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E041AB" w14:textId="1D90BBA1" w:rsidR="00076BF7" w:rsidRPr="00D75D2E" w:rsidRDefault="002C66D7" w:rsidP="00076BF7">
      <w:pPr>
        <w:spacing w:after="0" w:line="240" w:lineRule="auto"/>
        <w:jc w:val="center"/>
        <w:rPr>
          <w:rFonts w:ascii="Arial" w:eastAsia="Times New Roman" w:hAnsi="Arial" w:cs="Arial"/>
          <w:b/>
          <w:noProof/>
          <w:sz w:val="28"/>
          <w:szCs w:val="28"/>
          <w:lang w:eastAsia="fr-FR"/>
        </w:rPr>
      </w:pPr>
      <w:bookmarkStart w:id="0" w:name="_Toc452538192"/>
      <w:bookmarkStart w:id="1" w:name="_Toc16663451"/>
      <w:bookmarkStart w:id="2" w:name="_Toc16663625"/>
      <w:bookmarkStart w:id="3" w:name="_Hlk518584148"/>
      <w:bookmarkStart w:id="4" w:name="_GoBack"/>
      <w:bookmarkEnd w:id="4"/>
      <w:r>
        <w:rPr>
          <w:noProof/>
          <w:lang w:eastAsia="fr-FR"/>
        </w:rPr>
        <w:drawing>
          <wp:anchor distT="0" distB="0" distL="114300" distR="114300" simplePos="0" relativeHeight="251660800" behindDoc="0" locked="0" layoutInCell="1" allowOverlap="1" wp14:anchorId="26F48093" wp14:editId="1C705C46">
            <wp:simplePos x="0" y="0"/>
            <wp:positionH relativeFrom="column">
              <wp:posOffset>2253615</wp:posOffset>
            </wp:positionH>
            <wp:positionV relativeFrom="paragraph">
              <wp:posOffset>288290</wp:posOffset>
            </wp:positionV>
            <wp:extent cx="1203960" cy="708660"/>
            <wp:effectExtent l="0" t="0" r="0" b="0"/>
            <wp:wrapTopAndBottom/>
            <wp:docPr id="521" name="Image 14" descr="Description: Flag of the Democratic Republic of the Con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Flag of the Democratic Republic of the Congo.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96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8752" behindDoc="0" locked="0" layoutInCell="1" allowOverlap="1" wp14:anchorId="3F992FF8" wp14:editId="5160D661">
            <wp:simplePos x="0" y="0"/>
            <wp:positionH relativeFrom="margin">
              <wp:align>left</wp:align>
            </wp:positionH>
            <wp:positionV relativeFrom="paragraph">
              <wp:posOffset>-110490</wp:posOffset>
            </wp:positionV>
            <wp:extent cx="861060" cy="850900"/>
            <wp:effectExtent l="0" t="0" r="0" b="6350"/>
            <wp:wrapNone/>
            <wp:docPr id="520" name="Image 9" descr="http://tbn0.google.com/images?q=tbn:56PIxq_uYtfjXM:http://upload.wikimedia.org/wikipedia/commons/thumb/1/1f/Coat_of_Arms_of_the_R%C3%A9publique_D%C3%A9mocratique_du_Congo.svg/140px-Coat_of_Arms_of_the_R%C3%A9publique_D%C3%A9mocratique_du_Congo.svg.png">
              <a:hlinkClick xmlns:a="http://schemas.openxmlformats.org/drawingml/2006/main" r:id="rId1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tbn0.google.com/images?q=tbn:56PIxq_uYtfjXM:http://upload.wikimedia.org/wikipedia/commons/thumb/1/1f/Coat_of_Arms_of_the_R%C3%A9publique_D%C3%A9mocratique_du_Congo.svg/140px-Coat_of_Arms_of_the_R%C3%A9publique_D%C3%A9mocratique_du_Congo.svg.png">
                      <a:hlinkClick r:id="rId12" tgtFrame="_top"/>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106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6704" behindDoc="0" locked="0" layoutInCell="1" allowOverlap="1" wp14:anchorId="71AE29CC" wp14:editId="1ABA5715">
            <wp:simplePos x="0" y="0"/>
            <wp:positionH relativeFrom="margin">
              <wp:align>right</wp:align>
            </wp:positionH>
            <wp:positionV relativeFrom="paragraph">
              <wp:posOffset>-5080</wp:posOffset>
            </wp:positionV>
            <wp:extent cx="791845" cy="792480"/>
            <wp:effectExtent l="0" t="0" r="8255" b="7620"/>
            <wp:wrapNone/>
            <wp:docPr id="519" name="Image 16" descr="Logo banque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Logo banque mondia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9184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76BF7" w:rsidRPr="00D75D2E">
        <w:rPr>
          <w:rFonts w:ascii="Arial" w:eastAsia="Times New Roman" w:hAnsi="Arial" w:cs="Arial"/>
          <w:b/>
          <w:noProof/>
          <w:sz w:val="28"/>
          <w:szCs w:val="28"/>
          <w:lang w:eastAsia="fr-FR"/>
        </w:rPr>
        <w:t>RÉPUBLIQUE DÉMOCRATIQUE DU CONGO</w:t>
      </w:r>
    </w:p>
    <w:p w14:paraId="6143F29E" w14:textId="77777777" w:rsidR="00076BF7" w:rsidRPr="00D75D2E" w:rsidRDefault="00076BF7" w:rsidP="00076BF7">
      <w:pPr>
        <w:spacing w:after="0" w:line="240" w:lineRule="auto"/>
        <w:jc w:val="center"/>
        <w:rPr>
          <w:rFonts w:ascii="Arial" w:eastAsia="Times New Roman" w:hAnsi="Arial" w:cs="Arial"/>
          <w:b/>
          <w:noProof/>
          <w:sz w:val="12"/>
          <w:szCs w:val="14"/>
          <w:lang w:eastAsia="fr-FR"/>
        </w:rPr>
      </w:pPr>
    </w:p>
    <w:p w14:paraId="06BF8BC4" w14:textId="24B724E7" w:rsidR="00076BF7" w:rsidRPr="00D75D2E" w:rsidRDefault="00076BF7" w:rsidP="00E737B4">
      <w:pPr>
        <w:spacing w:after="0" w:line="240" w:lineRule="auto"/>
        <w:ind w:firstLine="720"/>
        <w:jc w:val="center"/>
        <w:rPr>
          <w:rFonts w:ascii="Arial" w:eastAsia="Times New Roman" w:hAnsi="Arial" w:cs="Arial"/>
          <w:b/>
          <w:noProof/>
          <w:sz w:val="24"/>
          <w:szCs w:val="24"/>
          <w:lang w:eastAsia="fr-FR"/>
        </w:rPr>
      </w:pPr>
      <w:r w:rsidRPr="00D75D2E">
        <w:rPr>
          <w:rFonts w:ascii="Arial" w:eastAsia="Times New Roman" w:hAnsi="Arial" w:cs="Arial"/>
          <w:b/>
          <w:noProof/>
          <w:sz w:val="24"/>
          <w:szCs w:val="24"/>
          <w:lang w:eastAsia="fr-FR"/>
        </w:rPr>
        <w:t>MINISTÈRE DES RESSOURCES HYDRAULIQUES ET</w:t>
      </w:r>
      <w:r w:rsidR="008C6CF6">
        <w:rPr>
          <w:rFonts w:ascii="Arial" w:eastAsia="Times New Roman" w:hAnsi="Arial" w:cs="Arial"/>
          <w:b/>
          <w:noProof/>
          <w:sz w:val="24"/>
          <w:szCs w:val="24"/>
          <w:lang w:eastAsia="fr-FR"/>
        </w:rPr>
        <w:t xml:space="preserve"> </w:t>
      </w:r>
      <w:r w:rsidRPr="00D75D2E">
        <w:rPr>
          <w:rFonts w:ascii="Arial" w:eastAsia="Times New Roman" w:hAnsi="Arial" w:cs="Arial"/>
          <w:b/>
          <w:noProof/>
          <w:sz w:val="24"/>
          <w:szCs w:val="24"/>
          <w:lang w:eastAsia="fr-FR"/>
        </w:rPr>
        <w:t>ÉLECTRICITÉ</w:t>
      </w:r>
    </w:p>
    <w:p w14:paraId="7D61950C" w14:textId="77777777" w:rsidR="00076BF7" w:rsidRPr="00D75D2E" w:rsidRDefault="00076BF7" w:rsidP="00076BF7">
      <w:pPr>
        <w:spacing w:after="0" w:line="240" w:lineRule="auto"/>
        <w:jc w:val="center"/>
        <w:rPr>
          <w:rFonts w:ascii="Arial" w:eastAsia="Times New Roman" w:hAnsi="Arial" w:cs="Arial"/>
          <w:b/>
          <w:noProof/>
          <w:szCs w:val="24"/>
          <w:lang w:eastAsia="fr-FR"/>
        </w:rPr>
      </w:pPr>
    </w:p>
    <w:p w14:paraId="239FEC11" w14:textId="77777777" w:rsidR="00076BF7" w:rsidRPr="00D75D2E" w:rsidRDefault="00076BF7" w:rsidP="00076BF7">
      <w:pPr>
        <w:spacing w:after="0" w:line="240" w:lineRule="auto"/>
        <w:jc w:val="center"/>
        <w:rPr>
          <w:rFonts w:ascii="Arial" w:eastAsia="Times New Roman" w:hAnsi="Arial" w:cs="Arial"/>
          <w:b/>
          <w:noProof/>
          <w:sz w:val="23"/>
          <w:szCs w:val="23"/>
          <w:lang w:eastAsia="fr-FR"/>
        </w:rPr>
      </w:pPr>
      <w:r w:rsidRPr="00D75D2E">
        <w:rPr>
          <w:rFonts w:ascii="Arial" w:eastAsia="Times New Roman" w:hAnsi="Arial" w:cs="Arial"/>
          <w:b/>
          <w:noProof/>
          <w:sz w:val="23"/>
          <w:szCs w:val="23"/>
          <w:lang w:eastAsia="fr-FR"/>
        </w:rPr>
        <w:t>UNITE DE COORDINATION ET DE MANAGEMENT DES PROJETS DU MINISTÈRE</w:t>
      </w:r>
    </w:p>
    <w:p w14:paraId="493001A5" w14:textId="77777777" w:rsidR="00076BF7" w:rsidRPr="00D75D2E" w:rsidRDefault="00076BF7" w:rsidP="00076BF7">
      <w:pPr>
        <w:spacing w:after="0" w:line="240" w:lineRule="auto"/>
        <w:jc w:val="center"/>
        <w:rPr>
          <w:rFonts w:ascii="Arial" w:eastAsia="Times New Roman" w:hAnsi="Arial" w:cs="Arial"/>
          <w:b/>
          <w:noProof/>
          <w:sz w:val="24"/>
          <w:szCs w:val="24"/>
          <w:lang w:eastAsia="fr-FR"/>
        </w:rPr>
      </w:pPr>
      <w:r w:rsidRPr="00D75D2E">
        <w:rPr>
          <w:rFonts w:ascii="Arial" w:eastAsia="Times New Roman" w:hAnsi="Arial" w:cs="Arial"/>
          <w:b/>
          <w:noProof/>
          <w:sz w:val="24"/>
          <w:szCs w:val="24"/>
          <w:lang w:eastAsia="fr-FR"/>
        </w:rPr>
        <w:t>«</w:t>
      </w:r>
      <w:r w:rsidRPr="00D75D2E">
        <w:rPr>
          <w:rFonts w:ascii="Arial" w:eastAsia="Times New Roman" w:hAnsi="Arial" w:cs="Arial"/>
          <w:b/>
          <w:noProof/>
          <w:sz w:val="44"/>
          <w:szCs w:val="44"/>
          <w:lang w:eastAsia="fr-FR"/>
        </w:rPr>
        <w:t> UCM</w:t>
      </w:r>
      <w:r w:rsidRPr="00D75D2E">
        <w:rPr>
          <w:rFonts w:ascii="Arial" w:eastAsia="Times New Roman" w:hAnsi="Arial" w:cs="Arial"/>
          <w:b/>
          <w:noProof/>
          <w:sz w:val="24"/>
          <w:szCs w:val="24"/>
          <w:lang w:eastAsia="fr-FR"/>
        </w:rPr>
        <w:t> »</w:t>
      </w:r>
    </w:p>
    <w:p w14:paraId="51BBFCFE" w14:textId="40DE5033" w:rsidR="00076BF7" w:rsidRPr="00D75D2E" w:rsidRDefault="00076BF7" w:rsidP="00076BF7">
      <w:pPr>
        <w:pBdr>
          <w:bottom w:val="single" w:sz="6" w:space="1" w:color="auto"/>
        </w:pBdr>
        <w:spacing w:after="0" w:line="240" w:lineRule="auto"/>
        <w:jc w:val="center"/>
        <w:rPr>
          <w:rFonts w:ascii="Arial" w:eastAsia="Times New Roman" w:hAnsi="Arial" w:cs="Arial"/>
          <w:b/>
          <w:noProof/>
          <w:sz w:val="23"/>
          <w:szCs w:val="23"/>
          <w:lang w:eastAsia="fr-FR"/>
        </w:rPr>
      </w:pPr>
      <w:r w:rsidRPr="00D75D2E">
        <w:rPr>
          <w:rFonts w:ascii="Arial" w:eastAsia="Times New Roman" w:hAnsi="Arial" w:cs="Arial"/>
          <w:b/>
          <w:noProof/>
          <w:sz w:val="23"/>
          <w:szCs w:val="23"/>
          <w:lang w:eastAsia="fr-FR"/>
        </w:rPr>
        <w:t>PROJET D</w:t>
      </w:r>
      <w:r w:rsidR="00C54761">
        <w:rPr>
          <w:rFonts w:ascii="Arial" w:eastAsia="Times New Roman" w:hAnsi="Arial" w:cs="Arial"/>
          <w:b/>
          <w:noProof/>
          <w:sz w:val="23"/>
          <w:szCs w:val="23"/>
          <w:lang w:eastAsia="fr-FR"/>
        </w:rPr>
        <w:t>’ACCES</w:t>
      </w:r>
      <w:r w:rsidR="00DE5A2E">
        <w:rPr>
          <w:rFonts w:ascii="Arial" w:eastAsia="Times New Roman" w:hAnsi="Arial" w:cs="Arial"/>
          <w:b/>
          <w:noProof/>
          <w:sz w:val="23"/>
          <w:szCs w:val="23"/>
          <w:lang w:eastAsia="fr-FR"/>
        </w:rPr>
        <w:t>,</w:t>
      </w:r>
      <w:r w:rsidR="00C54761">
        <w:rPr>
          <w:rFonts w:ascii="Arial" w:eastAsia="Times New Roman" w:hAnsi="Arial" w:cs="Arial"/>
          <w:b/>
          <w:noProof/>
          <w:sz w:val="23"/>
          <w:szCs w:val="23"/>
          <w:lang w:eastAsia="fr-FR"/>
        </w:rPr>
        <w:t xml:space="preserve"> DE </w:t>
      </w:r>
      <w:r w:rsidR="0046666F">
        <w:rPr>
          <w:rFonts w:ascii="Arial" w:eastAsia="Times New Roman" w:hAnsi="Arial" w:cs="Arial"/>
          <w:b/>
          <w:noProof/>
          <w:sz w:val="23"/>
          <w:szCs w:val="23"/>
          <w:lang w:eastAsia="fr-FR"/>
        </w:rPr>
        <w:t xml:space="preserve">GOUVERNANCE </w:t>
      </w:r>
      <w:r w:rsidR="00DE5A2E">
        <w:rPr>
          <w:rFonts w:ascii="Arial" w:eastAsia="Times New Roman" w:hAnsi="Arial" w:cs="Arial"/>
          <w:b/>
          <w:noProof/>
          <w:sz w:val="23"/>
          <w:szCs w:val="23"/>
          <w:lang w:eastAsia="fr-FR"/>
        </w:rPr>
        <w:t>ET DE R</w:t>
      </w:r>
      <w:r w:rsidR="00987263">
        <w:rPr>
          <w:rFonts w:ascii="Arial" w:eastAsia="Times New Roman" w:hAnsi="Arial" w:cs="Arial"/>
          <w:b/>
          <w:noProof/>
          <w:sz w:val="23"/>
          <w:szCs w:val="23"/>
          <w:lang w:eastAsia="fr-FR"/>
        </w:rPr>
        <w:t>E</w:t>
      </w:r>
      <w:r w:rsidR="00DE5A2E">
        <w:rPr>
          <w:rFonts w:ascii="Arial" w:eastAsia="Times New Roman" w:hAnsi="Arial" w:cs="Arial"/>
          <w:b/>
          <w:noProof/>
          <w:sz w:val="23"/>
          <w:szCs w:val="23"/>
          <w:lang w:eastAsia="fr-FR"/>
        </w:rPr>
        <w:t xml:space="preserve">FORME DES </w:t>
      </w:r>
      <w:r w:rsidR="00C54761">
        <w:rPr>
          <w:rFonts w:ascii="Arial" w:eastAsia="Times New Roman" w:hAnsi="Arial" w:cs="Arial"/>
          <w:b/>
          <w:noProof/>
          <w:sz w:val="23"/>
          <w:szCs w:val="23"/>
          <w:lang w:eastAsia="fr-FR"/>
        </w:rPr>
        <w:t xml:space="preserve"> SECTEUR</w:t>
      </w:r>
      <w:r w:rsidR="00DE5A2E">
        <w:rPr>
          <w:rFonts w:ascii="Arial" w:eastAsia="Times New Roman" w:hAnsi="Arial" w:cs="Arial"/>
          <w:b/>
          <w:noProof/>
          <w:sz w:val="23"/>
          <w:szCs w:val="23"/>
          <w:lang w:eastAsia="fr-FR"/>
        </w:rPr>
        <w:t>S</w:t>
      </w:r>
      <w:r w:rsidR="00C54761">
        <w:rPr>
          <w:rFonts w:ascii="Arial" w:eastAsia="Times New Roman" w:hAnsi="Arial" w:cs="Arial"/>
          <w:b/>
          <w:noProof/>
          <w:sz w:val="23"/>
          <w:szCs w:val="23"/>
          <w:lang w:eastAsia="fr-FR"/>
        </w:rPr>
        <w:t xml:space="preserve"> DE </w:t>
      </w:r>
      <w:r w:rsidR="00215867">
        <w:rPr>
          <w:rFonts w:ascii="Arial" w:eastAsia="Times New Roman" w:hAnsi="Arial" w:cs="Arial"/>
          <w:b/>
          <w:noProof/>
          <w:sz w:val="23"/>
          <w:szCs w:val="23"/>
          <w:lang w:eastAsia="fr-FR"/>
        </w:rPr>
        <w:t xml:space="preserve">          </w:t>
      </w:r>
      <w:r w:rsidR="00C54761">
        <w:rPr>
          <w:rFonts w:ascii="Arial" w:eastAsia="Times New Roman" w:hAnsi="Arial" w:cs="Arial"/>
          <w:b/>
          <w:noProof/>
          <w:sz w:val="23"/>
          <w:szCs w:val="23"/>
          <w:lang w:eastAsia="fr-FR"/>
        </w:rPr>
        <w:t>L</w:t>
      </w:r>
      <w:r w:rsidR="0046666F">
        <w:rPr>
          <w:rFonts w:ascii="Arial" w:eastAsia="Times New Roman" w:hAnsi="Arial" w:cs="Arial"/>
          <w:b/>
          <w:noProof/>
          <w:sz w:val="23"/>
          <w:szCs w:val="23"/>
          <w:lang w:eastAsia="fr-FR"/>
        </w:rPr>
        <w:t>’</w:t>
      </w:r>
      <w:r w:rsidRPr="00D75D2E">
        <w:rPr>
          <w:rFonts w:ascii="Arial" w:eastAsia="Times New Roman" w:hAnsi="Arial" w:cs="Arial"/>
          <w:b/>
          <w:noProof/>
          <w:sz w:val="23"/>
          <w:szCs w:val="23"/>
          <w:lang w:eastAsia="fr-FR"/>
        </w:rPr>
        <w:t xml:space="preserve"> ELECTRICITÉ</w:t>
      </w:r>
      <w:r w:rsidR="00C54761">
        <w:rPr>
          <w:rFonts w:ascii="Arial" w:eastAsia="Times New Roman" w:hAnsi="Arial" w:cs="Arial"/>
          <w:b/>
          <w:noProof/>
          <w:sz w:val="23"/>
          <w:szCs w:val="23"/>
          <w:lang w:eastAsia="fr-FR"/>
        </w:rPr>
        <w:t xml:space="preserve"> ET</w:t>
      </w:r>
      <w:r w:rsidR="0046666F">
        <w:rPr>
          <w:rFonts w:ascii="Arial" w:eastAsia="Times New Roman" w:hAnsi="Arial" w:cs="Arial"/>
          <w:b/>
          <w:noProof/>
          <w:sz w:val="23"/>
          <w:szCs w:val="23"/>
          <w:lang w:eastAsia="fr-FR"/>
        </w:rPr>
        <w:t xml:space="preserve"> </w:t>
      </w:r>
      <w:r w:rsidR="00DE5A2E">
        <w:rPr>
          <w:rFonts w:ascii="Arial" w:eastAsia="Times New Roman" w:hAnsi="Arial" w:cs="Arial"/>
          <w:b/>
          <w:noProof/>
          <w:sz w:val="23"/>
          <w:szCs w:val="23"/>
          <w:lang w:eastAsia="fr-FR"/>
        </w:rPr>
        <w:t>DE L’</w:t>
      </w:r>
      <w:r w:rsidRPr="00D75D2E">
        <w:rPr>
          <w:rFonts w:ascii="Arial" w:eastAsia="Times New Roman" w:hAnsi="Arial" w:cs="Arial"/>
          <w:b/>
          <w:noProof/>
          <w:sz w:val="23"/>
          <w:szCs w:val="23"/>
          <w:lang w:eastAsia="fr-FR"/>
        </w:rPr>
        <w:t>EAU (</w:t>
      </w:r>
      <w:r w:rsidR="00C54761">
        <w:rPr>
          <w:rFonts w:ascii="Arial" w:eastAsia="Times New Roman" w:hAnsi="Arial" w:cs="Arial"/>
          <w:b/>
          <w:noProof/>
          <w:sz w:val="23"/>
          <w:szCs w:val="23"/>
          <w:lang w:eastAsia="fr-FR"/>
        </w:rPr>
        <w:t>AGR</w:t>
      </w:r>
      <w:r w:rsidR="00C54761" w:rsidRPr="00D75D2E">
        <w:rPr>
          <w:rFonts w:ascii="Arial" w:eastAsia="Times New Roman" w:hAnsi="Arial" w:cs="Arial"/>
          <w:b/>
          <w:noProof/>
          <w:sz w:val="23"/>
          <w:szCs w:val="23"/>
          <w:lang w:eastAsia="fr-FR"/>
        </w:rPr>
        <w:t>EE</w:t>
      </w:r>
      <w:r w:rsidR="0046666F">
        <w:rPr>
          <w:rFonts w:ascii="Arial" w:eastAsia="Times New Roman" w:hAnsi="Arial" w:cs="Arial"/>
          <w:b/>
          <w:noProof/>
          <w:sz w:val="23"/>
          <w:szCs w:val="23"/>
          <w:lang w:eastAsia="fr-FR"/>
        </w:rPr>
        <w:t>/EWAG</w:t>
      </w:r>
      <w:r w:rsidRPr="00D75D2E">
        <w:rPr>
          <w:rFonts w:ascii="Arial" w:eastAsia="Times New Roman" w:hAnsi="Arial" w:cs="Arial"/>
          <w:b/>
          <w:noProof/>
          <w:sz w:val="23"/>
          <w:szCs w:val="23"/>
          <w:lang w:eastAsia="fr-FR"/>
        </w:rPr>
        <w:t>)</w:t>
      </w:r>
    </w:p>
    <w:p w14:paraId="33E58540" w14:textId="20CD9A6B" w:rsidR="00085B13" w:rsidRPr="00D75D2E" w:rsidRDefault="00085B13" w:rsidP="00076BF7">
      <w:pPr>
        <w:spacing w:after="0" w:line="240" w:lineRule="auto"/>
        <w:jc w:val="center"/>
        <w:rPr>
          <w:rFonts w:ascii="Times New Roman" w:hAnsi="Times New Roman"/>
          <w:b/>
          <w:bCs/>
          <w:sz w:val="28"/>
          <w:szCs w:val="28"/>
        </w:rPr>
      </w:pPr>
    </w:p>
    <w:tbl>
      <w:tblPr>
        <w:tblW w:w="10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5046"/>
      </w:tblGrid>
      <w:tr w:rsidR="00D75D2E" w:rsidRPr="00420C1B" w14:paraId="30EE6508" w14:textId="77777777" w:rsidTr="00420C1B">
        <w:trPr>
          <w:trHeight w:val="2840"/>
          <w:jc w:val="center"/>
        </w:trPr>
        <w:tc>
          <w:tcPr>
            <w:tcW w:w="5087" w:type="dxa"/>
            <w:shd w:val="clear" w:color="auto" w:fill="auto"/>
          </w:tcPr>
          <w:p w14:paraId="0735AE16" w14:textId="77777777" w:rsidR="00076BF7" w:rsidRPr="00420C1B" w:rsidRDefault="00076BF7" w:rsidP="00420C1B">
            <w:pPr>
              <w:spacing w:after="0" w:line="240" w:lineRule="auto"/>
              <w:jc w:val="center"/>
              <w:rPr>
                <w:rFonts w:ascii="Times New Roman" w:hAnsi="Times New Roman"/>
                <w:noProof/>
                <w:sz w:val="6"/>
                <w:szCs w:val="6"/>
              </w:rPr>
            </w:pPr>
          </w:p>
          <w:p w14:paraId="3164408F" w14:textId="44B20F87" w:rsidR="00076BF7" w:rsidRPr="00420C1B" w:rsidRDefault="002C66D7" w:rsidP="00420C1B">
            <w:pPr>
              <w:spacing w:after="0" w:line="240" w:lineRule="auto"/>
              <w:jc w:val="center"/>
              <w:rPr>
                <w:rFonts w:ascii="Times New Roman" w:hAnsi="Times New Roman"/>
                <w:noProof/>
                <w:sz w:val="4"/>
                <w:szCs w:val="4"/>
                <w:u w:val="single"/>
              </w:rPr>
            </w:pPr>
            <w:r w:rsidRPr="00420C1B">
              <w:rPr>
                <w:rFonts w:ascii="Times New Roman" w:hAnsi="Times New Roman"/>
                <w:noProof/>
                <w:sz w:val="4"/>
                <w:szCs w:val="4"/>
                <w:u w:val="single"/>
                <w:lang w:eastAsia="fr-FR"/>
              </w:rPr>
              <w:drawing>
                <wp:inline distT="0" distB="0" distL="0" distR="0" wp14:anchorId="4990BC7F" wp14:editId="42474F17">
                  <wp:extent cx="3095625" cy="3686175"/>
                  <wp:effectExtent l="0" t="0" r="9525" b="9525"/>
                  <wp:docPr id="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3686175"/>
                          </a:xfrm>
                          <a:prstGeom prst="rect">
                            <a:avLst/>
                          </a:prstGeom>
                          <a:noFill/>
                          <a:ln>
                            <a:noFill/>
                          </a:ln>
                        </pic:spPr>
                      </pic:pic>
                    </a:graphicData>
                  </a:graphic>
                </wp:inline>
              </w:drawing>
            </w:r>
          </w:p>
        </w:tc>
        <w:tc>
          <w:tcPr>
            <w:tcW w:w="5046" w:type="dxa"/>
            <w:shd w:val="clear" w:color="auto" w:fill="auto"/>
          </w:tcPr>
          <w:p w14:paraId="6E0D7B1F" w14:textId="77777777" w:rsidR="00076BF7" w:rsidRPr="00420C1B" w:rsidRDefault="00076BF7" w:rsidP="00420C1B">
            <w:pPr>
              <w:spacing w:after="0" w:line="240" w:lineRule="auto"/>
              <w:rPr>
                <w:rFonts w:ascii="Times New Roman" w:hAnsi="Times New Roman"/>
                <w:noProof/>
                <w:sz w:val="6"/>
                <w:szCs w:val="6"/>
              </w:rPr>
            </w:pPr>
          </w:p>
          <w:p w14:paraId="163957EA" w14:textId="7DB74615" w:rsidR="00076BF7" w:rsidRPr="00420C1B" w:rsidRDefault="002C66D7" w:rsidP="00420C1B">
            <w:pPr>
              <w:spacing w:after="0" w:line="240" w:lineRule="auto"/>
              <w:rPr>
                <w:rFonts w:ascii="Times New Roman" w:hAnsi="Times New Roman"/>
                <w:noProof/>
                <w:sz w:val="6"/>
                <w:szCs w:val="6"/>
              </w:rPr>
            </w:pPr>
            <w:r w:rsidRPr="00420C1B">
              <w:rPr>
                <w:rFonts w:ascii="Times New Roman" w:hAnsi="Times New Roman"/>
                <w:noProof/>
                <w:sz w:val="6"/>
                <w:szCs w:val="6"/>
                <w:lang w:eastAsia="fr-FR"/>
              </w:rPr>
              <w:drawing>
                <wp:inline distT="0" distB="0" distL="0" distR="0" wp14:anchorId="7F8EFE07" wp14:editId="4D02C11D">
                  <wp:extent cx="3057525" cy="3705225"/>
                  <wp:effectExtent l="0" t="0" r="9525" b="9525"/>
                  <wp:docPr id="49"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525" cy="3705225"/>
                          </a:xfrm>
                          <a:prstGeom prst="rect">
                            <a:avLst/>
                          </a:prstGeom>
                          <a:noFill/>
                          <a:ln>
                            <a:noFill/>
                          </a:ln>
                        </pic:spPr>
                      </pic:pic>
                    </a:graphicData>
                  </a:graphic>
                </wp:inline>
              </w:drawing>
            </w:r>
          </w:p>
        </w:tc>
      </w:tr>
    </w:tbl>
    <w:p w14:paraId="44A6A026" w14:textId="0B71D957" w:rsidR="00076BF7" w:rsidRPr="00D75D2E" w:rsidRDefault="002C66D7" w:rsidP="00076BF7">
      <w:pPr>
        <w:spacing w:after="0" w:line="240" w:lineRule="auto"/>
        <w:jc w:val="center"/>
        <w:rPr>
          <w:rFonts w:ascii="Times New Roman" w:eastAsia="Bookman Old Style" w:hAnsi="Times New Roman"/>
          <w:b/>
          <w:sz w:val="4"/>
          <w:szCs w:val="4"/>
          <w:lang w:eastAsia="fr-FR"/>
        </w:rPr>
      </w:pPr>
      <w:r>
        <w:rPr>
          <w:noProof/>
          <w:lang w:eastAsia="fr-FR"/>
        </w:rPr>
        <mc:AlternateContent>
          <mc:Choice Requires="wps">
            <w:drawing>
              <wp:anchor distT="0" distB="0" distL="114300" distR="114300" simplePos="0" relativeHeight="251652608" behindDoc="0" locked="0" layoutInCell="1" allowOverlap="1" wp14:anchorId="6903B94C" wp14:editId="163F0A11">
                <wp:simplePos x="0" y="0"/>
                <wp:positionH relativeFrom="margin">
                  <wp:posOffset>-237490</wp:posOffset>
                </wp:positionH>
                <wp:positionV relativeFrom="paragraph">
                  <wp:posOffset>62230</wp:posOffset>
                </wp:positionV>
                <wp:extent cx="6423660" cy="1113790"/>
                <wp:effectExtent l="0" t="0" r="15240" b="10160"/>
                <wp:wrapNone/>
                <wp:docPr id="515" name="Zone de texte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3660" cy="111379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34E18CE3" w14:textId="77777777" w:rsidR="0075784E" w:rsidRPr="008A6472" w:rsidRDefault="0075784E" w:rsidP="00420C1B">
                            <w:pPr>
                              <w:shd w:val="clear" w:color="auto" w:fill="C5E0B3"/>
                              <w:spacing w:after="0" w:line="240" w:lineRule="auto"/>
                              <w:jc w:val="center"/>
                              <w:rPr>
                                <w:rFonts w:ascii="Times New Roman" w:eastAsia="Bookman Old Style" w:hAnsi="Times New Roman"/>
                                <w:b/>
                                <w:color w:val="000000"/>
                                <w:sz w:val="32"/>
                                <w:szCs w:val="32"/>
                                <w:lang w:eastAsia="fr-FR"/>
                              </w:rPr>
                            </w:pPr>
                            <w:r>
                              <w:rPr>
                                <w:rFonts w:ascii="Times New Roman" w:eastAsia="Bookman Old Style" w:hAnsi="Times New Roman"/>
                                <w:b/>
                                <w:color w:val="000000"/>
                                <w:sz w:val="32"/>
                                <w:szCs w:val="32"/>
                                <w:lang w:eastAsia="fr-FR"/>
                              </w:rPr>
                              <w:t xml:space="preserve">Etude d’Impact Environnemental et Social </w:t>
                            </w:r>
                            <w:r w:rsidRPr="008A6472">
                              <w:rPr>
                                <w:rFonts w:ascii="Times New Roman" w:eastAsia="Bookman Old Style" w:hAnsi="Times New Roman"/>
                                <w:b/>
                                <w:color w:val="000000"/>
                                <w:sz w:val="32"/>
                                <w:szCs w:val="32"/>
                                <w:lang w:eastAsia="fr-FR"/>
                              </w:rPr>
                              <w:t>(</w:t>
                            </w:r>
                            <w:r>
                              <w:rPr>
                                <w:rFonts w:ascii="Times New Roman" w:eastAsia="Bookman Old Style" w:hAnsi="Times New Roman"/>
                                <w:b/>
                                <w:color w:val="000000"/>
                                <w:sz w:val="32"/>
                                <w:szCs w:val="32"/>
                                <w:lang w:eastAsia="fr-FR"/>
                              </w:rPr>
                              <w:t>EIES</w:t>
                            </w:r>
                            <w:r w:rsidRPr="008A6472">
                              <w:rPr>
                                <w:rFonts w:ascii="Times New Roman" w:eastAsia="Bookman Old Style" w:hAnsi="Times New Roman"/>
                                <w:b/>
                                <w:color w:val="000000"/>
                                <w:sz w:val="32"/>
                                <w:szCs w:val="32"/>
                                <w:lang w:eastAsia="fr-FR"/>
                              </w:rPr>
                              <w:t xml:space="preserve">) </w:t>
                            </w:r>
                            <w:r w:rsidRPr="001F1CC5">
                              <w:rPr>
                                <w:rFonts w:ascii="Times New Roman" w:eastAsia="Bookman Old Style" w:hAnsi="Times New Roman"/>
                                <w:b/>
                                <w:color w:val="000000"/>
                                <w:sz w:val="32"/>
                                <w:szCs w:val="32"/>
                                <w:lang w:eastAsia="fr-FR"/>
                              </w:rPr>
                              <w:t xml:space="preserve">des travaux d’électrification des poches noires, d’assainissement, de réhabilitation et de mise en conformité des réseaux SNEL des </w:t>
                            </w:r>
                            <w:r>
                              <w:rPr>
                                <w:rFonts w:ascii="Times New Roman" w:eastAsia="Bookman Old Style" w:hAnsi="Times New Roman"/>
                                <w:b/>
                                <w:color w:val="000000"/>
                                <w:sz w:val="32"/>
                                <w:szCs w:val="32"/>
                                <w:lang w:eastAsia="fr-FR"/>
                              </w:rPr>
                              <w:t>D</w:t>
                            </w:r>
                            <w:r w:rsidRPr="001F1CC5">
                              <w:rPr>
                                <w:rFonts w:ascii="Times New Roman" w:eastAsia="Bookman Old Style" w:hAnsi="Times New Roman"/>
                                <w:b/>
                                <w:color w:val="000000"/>
                                <w:sz w:val="32"/>
                                <w:szCs w:val="32"/>
                                <w:lang w:eastAsia="fr-FR"/>
                              </w:rPr>
                              <w:t>irections de Kinshasa Centre</w:t>
                            </w:r>
                            <w:r>
                              <w:rPr>
                                <w:rFonts w:ascii="Times New Roman" w:eastAsia="Bookman Old Style" w:hAnsi="Times New Roman"/>
                                <w:b/>
                                <w:color w:val="000000"/>
                                <w:sz w:val="32"/>
                                <w:szCs w:val="32"/>
                                <w:lang w:eastAsia="fr-FR"/>
                              </w:rPr>
                              <w:t xml:space="preserve"> </w:t>
                            </w:r>
                            <w:r w:rsidRPr="001F1CC5">
                              <w:rPr>
                                <w:rFonts w:ascii="Times New Roman" w:eastAsia="Bookman Old Style" w:hAnsi="Times New Roman"/>
                                <w:b/>
                                <w:color w:val="000000"/>
                                <w:sz w:val="32"/>
                                <w:szCs w:val="32"/>
                                <w:lang w:eastAsia="fr-FR"/>
                              </w:rPr>
                              <w:t>et Ouest</w:t>
                            </w:r>
                            <w:r>
                              <w:rPr>
                                <w:rFonts w:ascii="Times New Roman" w:eastAsia="Bookman Old Style" w:hAnsi="Times New Roman"/>
                                <w:b/>
                                <w:color w:val="000000"/>
                                <w:sz w:val="32"/>
                                <w:szCs w:val="32"/>
                                <w:lang w:eastAsia="fr-FR"/>
                              </w:rPr>
                              <w:t xml:space="preserve"> (DKC-DKO)</w:t>
                            </w:r>
                          </w:p>
                          <w:p w14:paraId="4BE6A2ED" w14:textId="77777777" w:rsidR="0075784E" w:rsidRPr="00AD57F2" w:rsidRDefault="0075784E" w:rsidP="00420C1B">
                            <w:pPr>
                              <w:shd w:val="clear" w:color="auto" w:fill="C5E0B3"/>
                              <w:spacing w:before="120" w:after="120" w:line="288" w:lineRule="auto"/>
                              <w:ind w:left="360"/>
                              <w:jc w:val="center"/>
                              <w:rPr>
                                <w:rFonts w:ascii="Times New Roman" w:hAnsi="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3B94C" id="_x0000_t202" coordsize="21600,21600" o:spt="202" path="m,l,21600r21600,l21600,xe">
                <v:stroke joinstyle="miter"/>
                <v:path gradientshapeok="t" o:connecttype="rect"/>
              </v:shapetype>
              <v:shape id="Zone de texte 515" o:spid="_x0000_s1026" type="#_x0000_t202" style="position:absolute;left:0;text-align:left;margin-left:-18.7pt;margin-top:4.9pt;width:505.8pt;height:87.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" fillcolor="window" strokecolor="windowText" strokeweight=".25pt">
                <v:textbox>
                  <w:txbxContent>
                    <w:p w14:paraId="34E18CE3" w14:textId="77777777" w:rsidR="0075784E" w:rsidRPr="008A6472" w:rsidRDefault="0075784E" w:rsidP="00420C1B">
                      <w:pPr>
                        <w:shd w:val="clear" w:color="auto" w:fill="C5E0B3"/>
                        <w:spacing w:after="0" w:line="240" w:lineRule="auto"/>
                        <w:jc w:val="center"/>
                        <w:rPr>
                          <w:rFonts w:ascii="Times New Roman" w:eastAsia="Bookman Old Style" w:hAnsi="Times New Roman"/>
                          <w:b/>
                          <w:color w:val="000000"/>
                          <w:sz w:val="32"/>
                          <w:szCs w:val="32"/>
                          <w:lang w:eastAsia="fr-FR"/>
                        </w:rPr>
                      </w:pPr>
                      <w:r>
                        <w:rPr>
                          <w:rFonts w:ascii="Times New Roman" w:eastAsia="Bookman Old Style" w:hAnsi="Times New Roman"/>
                          <w:b/>
                          <w:color w:val="000000"/>
                          <w:sz w:val="32"/>
                          <w:szCs w:val="32"/>
                          <w:lang w:eastAsia="fr-FR"/>
                        </w:rPr>
                        <w:t xml:space="preserve">Etude d’Impact Environnemental et Social </w:t>
                      </w:r>
                      <w:r w:rsidRPr="008A6472">
                        <w:rPr>
                          <w:rFonts w:ascii="Times New Roman" w:eastAsia="Bookman Old Style" w:hAnsi="Times New Roman"/>
                          <w:b/>
                          <w:color w:val="000000"/>
                          <w:sz w:val="32"/>
                          <w:szCs w:val="32"/>
                          <w:lang w:eastAsia="fr-FR"/>
                        </w:rPr>
                        <w:t>(</w:t>
                      </w:r>
                      <w:r>
                        <w:rPr>
                          <w:rFonts w:ascii="Times New Roman" w:eastAsia="Bookman Old Style" w:hAnsi="Times New Roman"/>
                          <w:b/>
                          <w:color w:val="000000"/>
                          <w:sz w:val="32"/>
                          <w:szCs w:val="32"/>
                          <w:lang w:eastAsia="fr-FR"/>
                        </w:rPr>
                        <w:t>EIES</w:t>
                      </w:r>
                      <w:r w:rsidRPr="008A6472">
                        <w:rPr>
                          <w:rFonts w:ascii="Times New Roman" w:eastAsia="Bookman Old Style" w:hAnsi="Times New Roman"/>
                          <w:b/>
                          <w:color w:val="000000"/>
                          <w:sz w:val="32"/>
                          <w:szCs w:val="32"/>
                          <w:lang w:eastAsia="fr-FR"/>
                        </w:rPr>
                        <w:t xml:space="preserve">) </w:t>
                      </w:r>
                      <w:r w:rsidRPr="001F1CC5">
                        <w:rPr>
                          <w:rFonts w:ascii="Times New Roman" w:eastAsia="Bookman Old Style" w:hAnsi="Times New Roman"/>
                          <w:b/>
                          <w:color w:val="000000"/>
                          <w:sz w:val="32"/>
                          <w:szCs w:val="32"/>
                          <w:lang w:eastAsia="fr-FR"/>
                        </w:rPr>
                        <w:t xml:space="preserve">des travaux d’électrification des poches noires, d’assainissement, de réhabilitation et de mise en conformité des réseaux SNEL des </w:t>
                      </w:r>
                      <w:r>
                        <w:rPr>
                          <w:rFonts w:ascii="Times New Roman" w:eastAsia="Bookman Old Style" w:hAnsi="Times New Roman"/>
                          <w:b/>
                          <w:color w:val="000000"/>
                          <w:sz w:val="32"/>
                          <w:szCs w:val="32"/>
                          <w:lang w:eastAsia="fr-FR"/>
                        </w:rPr>
                        <w:t>D</w:t>
                      </w:r>
                      <w:r w:rsidRPr="001F1CC5">
                        <w:rPr>
                          <w:rFonts w:ascii="Times New Roman" w:eastAsia="Bookman Old Style" w:hAnsi="Times New Roman"/>
                          <w:b/>
                          <w:color w:val="000000"/>
                          <w:sz w:val="32"/>
                          <w:szCs w:val="32"/>
                          <w:lang w:eastAsia="fr-FR"/>
                        </w:rPr>
                        <w:t>irections de Kinshasa Centre</w:t>
                      </w:r>
                      <w:r>
                        <w:rPr>
                          <w:rFonts w:ascii="Times New Roman" w:eastAsia="Bookman Old Style" w:hAnsi="Times New Roman"/>
                          <w:b/>
                          <w:color w:val="000000"/>
                          <w:sz w:val="32"/>
                          <w:szCs w:val="32"/>
                          <w:lang w:eastAsia="fr-FR"/>
                        </w:rPr>
                        <w:t xml:space="preserve"> </w:t>
                      </w:r>
                      <w:r w:rsidRPr="001F1CC5">
                        <w:rPr>
                          <w:rFonts w:ascii="Times New Roman" w:eastAsia="Bookman Old Style" w:hAnsi="Times New Roman"/>
                          <w:b/>
                          <w:color w:val="000000"/>
                          <w:sz w:val="32"/>
                          <w:szCs w:val="32"/>
                          <w:lang w:eastAsia="fr-FR"/>
                        </w:rPr>
                        <w:t>et Ouest</w:t>
                      </w:r>
                      <w:r>
                        <w:rPr>
                          <w:rFonts w:ascii="Times New Roman" w:eastAsia="Bookman Old Style" w:hAnsi="Times New Roman"/>
                          <w:b/>
                          <w:color w:val="000000"/>
                          <w:sz w:val="32"/>
                          <w:szCs w:val="32"/>
                          <w:lang w:eastAsia="fr-FR"/>
                        </w:rPr>
                        <w:t xml:space="preserve"> (DKC-DKO)</w:t>
                      </w:r>
                    </w:p>
                    <w:p w14:paraId="4BE6A2ED" w14:textId="77777777" w:rsidR="0075784E" w:rsidRPr="00AD57F2" w:rsidRDefault="0075784E" w:rsidP="00420C1B">
                      <w:pPr>
                        <w:shd w:val="clear" w:color="auto" w:fill="C5E0B3"/>
                        <w:spacing w:before="120" w:after="120" w:line="288" w:lineRule="auto"/>
                        <w:ind w:left="360"/>
                        <w:jc w:val="center"/>
                        <w:rPr>
                          <w:rFonts w:ascii="Times New Roman" w:hAnsi="Times New Roman"/>
                          <w:sz w:val="28"/>
                          <w:szCs w:val="28"/>
                        </w:rPr>
                      </w:pPr>
                    </w:p>
                  </w:txbxContent>
                </v:textbox>
                <w10:wrap anchorx="margin"/>
              </v:shape>
            </w:pict>
          </mc:Fallback>
        </mc:AlternateContent>
      </w:r>
    </w:p>
    <w:p w14:paraId="475AAD24" w14:textId="77777777" w:rsidR="00076BF7" w:rsidRPr="00D75D2E" w:rsidRDefault="00076BF7" w:rsidP="00076BF7">
      <w:pPr>
        <w:spacing w:after="0" w:line="240" w:lineRule="auto"/>
        <w:jc w:val="center"/>
        <w:rPr>
          <w:rFonts w:ascii="Times New Roman" w:eastAsia="Bookman Old Style" w:hAnsi="Times New Roman"/>
          <w:b/>
          <w:sz w:val="4"/>
          <w:szCs w:val="4"/>
          <w:lang w:eastAsia="fr-FR"/>
        </w:rPr>
      </w:pPr>
    </w:p>
    <w:p w14:paraId="7CB12806" w14:textId="77777777" w:rsidR="00076BF7" w:rsidRPr="00D75D2E" w:rsidRDefault="00076BF7" w:rsidP="00076BF7">
      <w:pPr>
        <w:spacing w:after="0" w:line="240" w:lineRule="auto"/>
        <w:jc w:val="center"/>
        <w:rPr>
          <w:rFonts w:ascii="Times New Roman" w:eastAsia="Bookman Old Style" w:hAnsi="Times New Roman"/>
          <w:b/>
          <w:sz w:val="32"/>
          <w:szCs w:val="32"/>
          <w:lang w:eastAsia="fr-FR"/>
        </w:rPr>
      </w:pPr>
    </w:p>
    <w:p w14:paraId="3359683D" w14:textId="77777777" w:rsidR="00076BF7" w:rsidRPr="00D75D2E" w:rsidRDefault="00076BF7" w:rsidP="00076BF7">
      <w:pPr>
        <w:spacing w:after="0" w:line="240" w:lineRule="auto"/>
        <w:jc w:val="center"/>
        <w:rPr>
          <w:rFonts w:ascii="Times New Roman" w:eastAsia="Bookman Old Style" w:hAnsi="Times New Roman"/>
          <w:b/>
          <w:sz w:val="32"/>
          <w:szCs w:val="32"/>
          <w:lang w:eastAsia="fr-FR"/>
        </w:rPr>
      </w:pPr>
    </w:p>
    <w:p w14:paraId="0800C1F5" w14:textId="77777777" w:rsidR="00076BF7" w:rsidRPr="00D75D2E" w:rsidRDefault="00076BF7" w:rsidP="00076BF7">
      <w:pPr>
        <w:spacing w:after="0" w:line="240" w:lineRule="auto"/>
        <w:jc w:val="center"/>
        <w:rPr>
          <w:rFonts w:ascii="Times New Roman" w:eastAsia="Bookman Old Style" w:hAnsi="Times New Roman"/>
          <w:b/>
          <w:sz w:val="24"/>
          <w:szCs w:val="24"/>
          <w:lang w:eastAsia="fr-FR"/>
        </w:rPr>
      </w:pPr>
    </w:p>
    <w:p w14:paraId="201D86A8" w14:textId="77777777" w:rsidR="00076BF7" w:rsidRPr="00D75D2E" w:rsidRDefault="00076BF7" w:rsidP="00076BF7">
      <w:pPr>
        <w:spacing w:after="0" w:line="240" w:lineRule="auto"/>
        <w:jc w:val="center"/>
        <w:rPr>
          <w:rFonts w:ascii="Times New Roman" w:eastAsia="Bookman Old Style" w:hAnsi="Times New Roman"/>
          <w:b/>
          <w:sz w:val="32"/>
          <w:szCs w:val="32"/>
          <w:lang w:eastAsia="fr-FR"/>
        </w:rPr>
      </w:pPr>
    </w:p>
    <w:p w14:paraId="27C3ACC8" w14:textId="77777777" w:rsidR="00076BF7" w:rsidRPr="00D75D2E" w:rsidRDefault="00076BF7" w:rsidP="00076BF7">
      <w:pPr>
        <w:jc w:val="center"/>
        <w:rPr>
          <w:rFonts w:ascii="Times New Roman" w:eastAsia="Bookman Old Style" w:hAnsi="Times New Roman"/>
          <w:b/>
          <w:sz w:val="32"/>
          <w:szCs w:val="32"/>
          <w:lang w:eastAsia="fr-FR"/>
        </w:rPr>
      </w:pPr>
    </w:p>
    <w:p w14:paraId="18C82EA7" w14:textId="0E891E00" w:rsidR="00076BF7" w:rsidRPr="00D75D2E" w:rsidRDefault="00214E6B" w:rsidP="00076BF7">
      <w:pPr>
        <w:spacing w:after="0" w:line="240" w:lineRule="auto"/>
        <w:jc w:val="center"/>
        <w:rPr>
          <w:rFonts w:ascii="Times New Roman" w:hAnsi="Times New Roman"/>
          <w:sz w:val="28"/>
          <w:szCs w:val="28"/>
        </w:rPr>
      </w:pPr>
      <w:r>
        <w:rPr>
          <w:rFonts w:ascii="Times New Roman" w:hAnsi="Times New Roman"/>
          <w:b/>
          <w:i/>
          <w:sz w:val="28"/>
          <w:szCs w:val="28"/>
          <w:u w:val="single"/>
        </w:rPr>
        <w:t>Rapport final</w:t>
      </w:r>
      <w:r w:rsidR="00076BF7" w:rsidRPr="00D75D2E">
        <w:rPr>
          <w:rFonts w:ascii="Times New Roman" w:hAnsi="Times New Roman"/>
          <w:b/>
          <w:i/>
          <w:sz w:val="28"/>
          <w:szCs w:val="28"/>
          <w:u w:val="single"/>
        </w:rPr>
        <w:t xml:space="preserve"> </w:t>
      </w:r>
    </w:p>
    <w:p w14:paraId="52B286C5" w14:textId="77777777" w:rsidR="00076BF7" w:rsidRPr="00D75D2E" w:rsidRDefault="00076BF7" w:rsidP="00076BF7">
      <w:pPr>
        <w:rPr>
          <w:rFonts w:ascii="Times New Roman" w:hAnsi="Times New Roman"/>
        </w:rPr>
      </w:pPr>
    </w:p>
    <w:p w14:paraId="25E9260F" w14:textId="77777777" w:rsidR="00897FAF" w:rsidRPr="00D75D2E" w:rsidRDefault="00897FAF" w:rsidP="00076BF7">
      <w:pPr>
        <w:rPr>
          <w:rFonts w:ascii="Times New Roman" w:hAnsi="Times New Roman"/>
        </w:rPr>
      </w:pPr>
    </w:p>
    <w:p w14:paraId="7C65D5E7" w14:textId="0F3F6A19" w:rsidR="00076BF7" w:rsidRPr="00D75D2E" w:rsidRDefault="00214E6B" w:rsidP="00076BF7">
      <w:pPr>
        <w:spacing w:after="0" w:line="240" w:lineRule="auto"/>
        <w:jc w:val="center"/>
        <w:rPr>
          <w:rFonts w:ascii="Times New Roman" w:hAnsi="Times New Roman"/>
          <w:b/>
          <w:sz w:val="24"/>
          <w:szCs w:val="24"/>
          <w:u w:val="single"/>
        </w:rPr>
      </w:pPr>
      <w:r>
        <w:rPr>
          <w:rFonts w:ascii="Times New Roman" w:hAnsi="Times New Roman"/>
          <w:b/>
          <w:sz w:val="24"/>
          <w:szCs w:val="24"/>
        </w:rPr>
        <w:t>juin 2022</w:t>
      </w:r>
    </w:p>
    <w:p w14:paraId="3A95609C" w14:textId="77777777" w:rsidR="00946F96" w:rsidRDefault="00076BF7">
      <w:pPr>
        <w:rPr>
          <w:rFonts w:ascii="Times New Roman" w:hAnsi="Times New Roman"/>
          <w:b/>
        </w:rPr>
        <w:sectPr w:rsidR="00946F96" w:rsidSect="00492332">
          <w:footerReference w:type="default" r:id="rId17"/>
          <w:footerReference w:type="first" r:id="rId18"/>
          <w:pgSz w:w="11906" w:h="16838"/>
          <w:pgMar w:top="1417" w:right="1416" w:bottom="1417" w:left="1417" w:header="720" w:footer="720" w:gutter="0"/>
          <w:pgNumType w:start="0"/>
          <w:cols w:space="720"/>
          <w:formProt w:val="0"/>
          <w:titlePg/>
          <w:docGrid w:linePitch="360" w:charSpace="-2049"/>
        </w:sectPr>
      </w:pPr>
      <w:r w:rsidRPr="00D75D2E">
        <w:rPr>
          <w:rFonts w:ascii="Times New Roman" w:hAnsi="Times New Roman"/>
          <w:b/>
        </w:rPr>
        <w:br w:type="page"/>
      </w:r>
    </w:p>
    <w:p w14:paraId="4FFED17E" w14:textId="77777777" w:rsidR="00ED17F3" w:rsidRPr="00BC4187" w:rsidRDefault="00ED17F3" w:rsidP="00F933DF">
      <w:pPr>
        <w:jc w:val="center"/>
        <w:rPr>
          <w:rFonts w:ascii="Times New Roman" w:hAnsi="Times New Roman"/>
          <w:bCs/>
          <w:sz w:val="24"/>
          <w:szCs w:val="24"/>
        </w:rPr>
      </w:pPr>
      <w:r w:rsidRPr="00BC4187">
        <w:rPr>
          <w:rFonts w:ascii="Times New Roman" w:hAnsi="Times New Roman"/>
          <w:bCs/>
          <w:sz w:val="24"/>
          <w:szCs w:val="24"/>
        </w:rPr>
        <w:lastRenderedPageBreak/>
        <w:t>TABLE DES MATIERES</w:t>
      </w:r>
    </w:p>
    <w:p w14:paraId="7C2BA6D8" w14:textId="77777777" w:rsidR="00BC4187" w:rsidRPr="00BC4187" w:rsidRDefault="00232EBD">
      <w:pPr>
        <w:pStyle w:val="TM1"/>
        <w:rPr>
          <w:rFonts w:eastAsiaTheme="minorEastAsia"/>
          <w:b w:val="0"/>
          <w:lang w:eastAsia="fr-FR"/>
        </w:rPr>
      </w:pPr>
      <w:r w:rsidRPr="00BC4187">
        <w:rPr>
          <w:rFonts w:eastAsia="Times New Roman"/>
          <w:b w:val="0"/>
        </w:rPr>
        <w:fldChar w:fldCharType="begin"/>
      </w:r>
      <w:r w:rsidRPr="00BC4187">
        <w:rPr>
          <w:rFonts w:eastAsia="Times New Roman"/>
          <w:b w:val="0"/>
        </w:rPr>
        <w:instrText xml:space="preserve"> TOC \o "1-5" \h \z \u </w:instrText>
      </w:r>
      <w:r w:rsidRPr="00BC4187">
        <w:rPr>
          <w:rFonts w:eastAsia="Times New Roman"/>
          <w:b w:val="0"/>
        </w:rPr>
        <w:fldChar w:fldCharType="separate"/>
      </w:r>
      <w:hyperlink w:anchor="_Toc103685588" w:history="1">
        <w:r w:rsidR="00BC4187" w:rsidRPr="00BC4187">
          <w:rPr>
            <w:rStyle w:val="Lienhypertexte"/>
            <w:b w:val="0"/>
            <w:lang w:val="en-US"/>
          </w:rPr>
          <w:t>SIGLES ET ABREVIATIONS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_Toc103685588 \h </w:instrText>
        </w:r>
        <w:r w:rsidR="00BC4187" w:rsidRPr="00BC4187">
          <w:rPr>
            <w:b w:val="0"/>
            <w:webHidden/>
          </w:rPr>
        </w:r>
        <w:r w:rsidR="00BC4187" w:rsidRPr="00BC4187">
          <w:rPr>
            <w:b w:val="0"/>
            <w:webHidden/>
          </w:rPr>
          <w:fldChar w:fldCharType="separate"/>
        </w:r>
        <w:r w:rsidR="00BC4187" w:rsidRPr="00BC4187">
          <w:rPr>
            <w:b w:val="0"/>
            <w:webHidden/>
          </w:rPr>
          <w:t>6</w:t>
        </w:r>
        <w:r w:rsidR="00BC4187" w:rsidRPr="00BC4187">
          <w:rPr>
            <w:b w:val="0"/>
            <w:webHidden/>
          </w:rPr>
          <w:fldChar w:fldCharType="end"/>
        </w:r>
      </w:hyperlink>
    </w:p>
    <w:p w14:paraId="31AC9632" w14:textId="77777777" w:rsidR="00BC4187" w:rsidRPr="00BC4187" w:rsidRDefault="004C0F64">
      <w:pPr>
        <w:pStyle w:val="TM1"/>
        <w:rPr>
          <w:rFonts w:eastAsiaTheme="minorEastAsia"/>
          <w:b w:val="0"/>
          <w:lang w:eastAsia="fr-FR"/>
        </w:rPr>
      </w:pPr>
      <w:hyperlink w:anchor="_Toc103685589" w:history="1">
        <w:r w:rsidR="00BC4187" w:rsidRPr="00BC4187">
          <w:rPr>
            <w:rStyle w:val="Lienhypertexte"/>
            <w:b w:val="0"/>
            <w:lang w:val="en-US"/>
          </w:rPr>
          <w:t>LISTE DES TABLEAUX</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_Toc103685589 \h </w:instrText>
        </w:r>
        <w:r w:rsidR="00BC4187" w:rsidRPr="00BC4187">
          <w:rPr>
            <w:b w:val="0"/>
            <w:webHidden/>
          </w:rPr>
        </w:r>
        <w:r w:rsidR="00BC4187" w:rsidRPr="00BC4187">
          <w:rPr>
            <w:b w:val="0"/>
            <w:webHidden/>
          </w:rPr>
          <w:fldChar w:fldCharType="separate"/>
        </w:r>
        <w:r w:rsidR="00BC4187" w:rsidRPr="00BC4187">
          <w:rPr>
            <w:b w:val="0"/>
            <w:webHidden/>
          </w:rPr>
          <w:t>8</w:t>
        </w:r>
        <w:r w:rsidR="00BC4187" w:rsidRPr="00BC4187">
          <w:rPr>
            <w:b w:val="0"/>
            <w:webHidden/>
          </w:rPr>
          <w:fldChar w:fldCharType="end"/>
        </w:r>
      </w:hyperlink>
    </w:p>
    <w:p w14:paraId="450ABB07" w14:textId="77777777" w:rsidR="00BC4187" w:rsidRPr="00BC4187" w:rsidRDefault="004C0F64">
      <w:pPr>
        <w:pStyle w:val="TM1"/>
        <w:rPr>
          <w:rFonts w:eastAsiaTheme="minorEastAsia"/>
          <w:b w:val="0"/>
          <w:lang w:eastAsia="fr-FR"/>
        </w:rPr>
      </w:pPr>
      <w:hyperlink w:anchor="_Toc103685590" w:history="1">
        <w:r w:rsidR="00BC4187" w:rsidRPr="00BC4187">
          <w:rPr>
            <w:rStyle w:val="Lienhypertexte"/>
            <w:b w:val="0"/>
            <w:lang w:val="en-US"/>
          </w:rPr>
          <w:t>LISTE DES PHOTOS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_Toc103685590 \h </w:instrText>
        </w:r>
        <w:r w:rsidR="00BC4187" w:rsidRPr="00BC4187">
          <w:rPr>
            <w:b w:val="0"/>
            <w:webHidden/>
          </w:rPr>
        </w:r>
        <w:r w:rsidR="00BC4187" w:rsidRPr="00BC4187">
          <w:rPr>
            <w:b w:val="0"/>
            <w:webHidden/>
          </w:rPr>
          <w:fldChar w:fldCharType="separate"/>
        </w:r>
        <w:r w:rsidR="00BC4187" w:rsidRPr="00BC4187">
          <w:rPr>
            <w:b w:val="0"/>
            <w:webHidden/>
          </w:rPr>
          <w:t>10</w:t>
        </w:r>
        <w:r w:rsidR="00BC4187" w:rsidRPr="00BC4187">
          <w:rPr>
            <w:b w:val="0"/>
            <w:webHidden/>
          </w:rPr>
          <w:fldChar w:fldCharType="end"/>
        </w:r>
      </w:hyperlink>
    </w:p>
    <w:p w14:paraId="47B5E498" w14:textId="77777777" w:rsidR="00BC4187" w:rsidRPr="00BC4187" w:rsidRDefault="004C0F64">
      <w:pPr>
        <w:pStyle w:val="TM1"/>
        <w:rPr>
          <w:rFonts w:eastAsiaTheme="minorEastAsia"/>
          <w:b w:val="0"/>
          <w:lang w:eastAsia="fr-FR"/>
        </w:rPr>
      </w:pPr>
      <w:hyperlink w:anchor="_Toc103685591" w:history="1">
        <w:r w:rsidR="00BC4187" w:rsidRPr="00BC4187">
          <w:rPr>
            <w:rStyle w:val="Lienhypertexte"/>
            <w:b w:val="0"/>
            <w:lang w:val="en-US"/>
          </w:rPr>
          <w:t>LISTE DES FUGURES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_Toc103685591 \h </w:instrText>
        </w:r>
        <w:r w:rsidR="00BC4187" w:rsidRPr="00BC4187">
          <w:rPr>
            <w:b w:val="0"/>
            <w:webHidden/>
          </w:rPr>
        </w:r>
        <w:r w:rsidR="00BC4187" w:rsidRPr="00BC4187">
          <w:rPr>
            <w:b w:val="0"/>
            <w:webHidden/>
          </w:rPr>
          <w:fldChar w:fldCharType="separate"/>
        </w:r>
        <w:r w:rsidR="00BC4187" w:rsidRPr="00BC4187">
          <w:rPr>
            <w:b w:val="0"/>
            <w:webHidden/>
          </w:rPr>
          <w:t>10</w:t>
        </w:r>
        <w:r w:rsidR="00BC4187" w:rsidRPr="00BC4187">
          <w:rPr>
            <w:b w:val="0"/>
            <w:webHidden/>
          </w:rPr>
          <w:fldChar w:fldCharType="end"/>
        </w:r>
      </w:hyperlink>
    </w:p>
    <w:p w14:paraId="280F6806" w14:textId="77777777" w:rsidR="00BC4187" w:rsidRPr="00BC4187" w:rsidRDefault="004C0F64">
      <w:pPr>
        <w:pStyle w:val="TM1"/>
        <w:rPr>
          <w:rFonts w:eastAsiaTheme="minorEastAsia"/>
          <w:b w:val="0"/>
          <w:lang w:eastAsia="fr-FR"/>
        </w:rPr>
      </w:pPr>
      <w:hyperlink w:anchor="_Toc103685592" w:history="1">
        <w:r w:rsidR="00BC4187" w:rsidRPr="00BC4187">
          <w:rPr>
            <w:rStyle w:val="Lienhypertexte"/>
            <w:b w:val="0"/>
            <w:lang w:val="en-US"/>
          </w:rPr>
          <w:t>LISTE DES ANNEXES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_Toc103685592 \h </w:instrText>
        </w:r>
        <w:r w:rsidR="00BC4187" w:rsidRPr="00BC4187">
          <w:rPr>
            <w:b w:val="0"/>
            <w:webHidden/>
          </w:rPr>
        </w:r>
        <w:r w:rsidR="00BC4187" w:rsidRPr="00BC4187">
          <w:rPr>
            <w:b w:val="0"/>
            <w:webHidden/>
          </w:rPr>
          <w:fldChar w:fldCharType="separate"/>
        </w:r>
        <w:r w:rsidR="00BC4187" w:rsidRPr="00BC4187">
          <w:rPr>
            <w:b w:val="0"/>
            <w:webHidden/>
          </w:rPr>
          <w:t>10</w:t>
        </w:r>
        <w:r w:rsidR="00BC4187" w:rsidRPr="00BC4187">
          <w:rPr>
            <w:b w:val="0"/>
            <w:webHidden/>
          </w:rPr>
          <w:fldChar w:fldCharType="end"/>
        </w:r>
      </w:hyperlink>
    </w:p>
    <w:p w14:paraId="7216689F" w14:textId="77777777" w:rsidR="00BC4187" w:rsidRPr="00BC4187" w:rsidRDefault="004C0F64">
      <w:pPr>
        <w:pStyle w:val="TM1"/>
        <w:rPr>
          <w:rFonts w:eastAsiaTheme="minorEastAsia"/>
          <w:b w:val="0"/>
          <w:lang w:eastAsia="fr-FR"/>
        </w:rPr>
      </w:pPr>
      <w:hyperlink w:anchor="_Toc103685593" w:history="1">
        <w:r w:rsidR="00BC4187" w:rsidRPr="00BC4187">
          <w:rPr>
            <w:rStyle w:val="Lienhypertexte"/>
            <w:b w:val="0"/>
            <w:lang w:val="en-US"/>
          </w:rPr>
          <w:t>RESUME NON TECHNIQUE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_Toc103685593 \h </w:instrText>
        </w:r>
        <w:r w:rsidR="00BC4187" w:rsidRPr="00BC4187">
          <w:rPr>
            <w:b w:val="0"/>
            <w:webHidden/>
          </w:rPr>
        </w:r>
        <w:r w:rsidR="00BC4187" w:rsidRPr="00BC4187">
          <w:rPr>
            <w:b w:val="0"/>
            <w:webHidden/>
          </w:rPr>
          <w:fldChar w:fldCharType="separate"/>
        </w:r>
        <w:r w:rsidR="00BC4187" w:rsidRPr="00BC4187">
          <w:rPr>
            <w:b w:val="0"/>
            <w:webHidden/>
          </w:rPr>
          <w:t>11</w:t>
        </w:r>
        <w:r w:rsidR="00BC4187" w:rsidRPr="00BC4187">
          <w:rPr>
            <w:b w:val="0"/>
            <w:webHidden/>
          </w:rPr>
          <w:fldChar w:fldCharType="end"/>
        </w:r>
      </w:hyperlink>
    </w:p>
    <w:p w14:paraId="60B88FAD" w14:textId="77777777" w:rsidR="00BC4187" w:rsidRPr="00BC4187" w:rsidRDefault="004C0F64">
      <w:pPr>
        <w:pStyle w:val="TM1"/>
        <w:rPr>
          <w:rFonts w:eastAsiaTheme="minorEastAsia"/>
          <w:b w:val="0"/>
          <w:lang w:eastAsia="fr-FR"/>
        </w:rPr>
      </w:pPr>
      <w:hyperlink w:anchor="_Toc103685594" w:history="1">
        <w:r w:rsidR="00BC4187" w:rsidRPr="00BC4187">
          <w:rPr>
            <w:rStyle w:val="Lienhypertexte"/>
            <w:b w:val="0"/>
            <w:lang w:val="en-US"/>
          </w:rPr>
          <w:t>NON-TECHNICAL SUMMARY</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_Toc103685594 \h </w:instrText>
        </w:r>
        <w:r w:rsidR="00BC4187" w:rsidRPr="00BC4187">
          <w:rPr>
            <w:b w:val="0"/>
            <w:webHidden/>
          </w:rPr>
        </w:r>
        <w:r w:rsidR="00BC4187" w:rsidRPr="00BC4187">
          <w:rPr>
            <w:b w:val="0"/>
            <w:webHidden/>
          </w:rPr>
          <w:fldChar w:fldCharType="separate"/>
        </w:r>
        <w:r w:rsidR="00BC4187" w:rsidRPr="00BC4187">
          <w:rPr>
            <w:b w:val="0"/>
            <w:webHidden/>
          </w:rPr>
          <w:t>30</w:t>
        </w:r>
        <w:r w:rsidR="00BC4187" w:rsidRPr="00BC4187">
          <w:rPr>
            <w:b w:val="0"/>
            <w:webHidden/>
          </w:rPr>
          <w:fldChar w:fldCharType="end"/>
        </w:r>
      </w:hyperlink>
    </w:p>
    <w:p w14:paraId="236CB9B0" w14:textId="77777777" w:rsidR="00BC4187" w:rsidRPr="00BC4187" w:rsidRDefault="004C0F64">
      <w:pPr>
        <w:pStyle w:val="TM1"/>
        <w:rPr>
          <w:rFonts w:eastAsiaTheme="minorEastAsia"/>
          <w:b w:val="0"/>
          <w:lang w:eastAsia="fr-FR"/>
        </w:rPr>
      </w:pPr>
      <w:hyperlink w:anchor="_Toc103685595" w:history="1">
        <w:r w:rsidR="00BC4187" w:rsidRPr="00BC4187">
          <w:rPr>
            <w:rStyle w:val="Lienhypertexte"/>
            <w:b w:val="0"/>
          </w:rPr>
          <w:t>BOKUSE YA LIKAMBO</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_Toc103685595 \h </w:instrText>
        </w:r>
        <w:r w:rsidR="00BC4187" w:rsidRPr="00BC4187">
          <w:rPr>
            <w:b w:val="0"/>
            <w:webHidden/>
          </w:rPr>
        </w:r>
        <w:r w:rsidR="00BC4187" w:rsidRPr="00BC4187">
          <w:rPr>
            <w:b w:val="0"/>
            <w:webHidden/>
          </w:rPr>
          <w:fldChar w:fldCharType="separate"/>
        </w:r>
        <w:r w:rsidR="00BC4187" w:rsidRPr="00BC4187">
          <w:rPr>
            <w:b w:val="0"/>
            <w:webHidden/>
          </w:rPr>
          <w:t>48</w:t>
        </w:r>
        <w:r w:rsidR="00BC4187" w:rsidRPr="00BC4187">
          <w:rPr>
            <w:b w:val="0"/>
            <w:webHidden/>
          </w:rPr>
          <w:fldChar w:fldCharType="end"/>
        </w:r>
      </w:hyperlink>
    </w:p>
    <w:p w14:paraId="1D1C669D" w14:textId="77777777" w:rsidR="00BC4187" w:rsidRPr="00BC4187" w:rsidRDefault="004C0F64">
      <w:pPr>
        <w:pStyle w:val="TM1"/>
        <w:rPr>
          <w:rFonts w:eastAsiaTheme="minorEastAsia"/>
          <w:b w:val="0"/>
          <w:lang w:eastAsia="fr-FR"/>
        </w:rPr>
      </w:pPr>
      <w:hyperlink w:anchor="_Toc103685596" w:history="1">
        <w:r w:rsidR="00BC4187" w:rsidRPr="00BC4187">
          <w:rPr>
            <w:rStyle w:val="Lienhypertexte"/>
            <w:b w:val="0"/>
          </w:rPr>
          <w:t>1.</w:t>
        </w:r>
        <w:r w:rsidR="00BC4187" w:rsidRPr="00BC4187">
          <w:rPr>
            <w:rFonts w:eastAsiaTheme="minorEastAsia"/>
            <w:b w:val="0"/>
            <w:lang w:eastAsia="fr-FR"/>
          </w:rPr>
          <w:tab/>
        </w:r>
        <w:r w:rsidR="00BC4187" w:rsidRPr="00BC4187">
          <w:rPr>
            <w:rStyle w:val="Lienhypertexte"/>
            <w:b w:val="0"/>
          </w:rPr>
          <w:t>INTRODUCTION</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_Toc103685596 \h </w:instrText>
        </w:r>
        <w:r w:rsidR="00BC4187" w:rsidRPr="00BC4187">
          <w:rPr>
            <w:b w:val="0"/>
            <w:webHidden/>
          </w:rPr>
        </w:r>
        <w:r w:rsidR="00BC4187" w:rsidRPr="00BC4187">
          <w:rPr>
            <w:b w:val="0"/>
            <w:webHidden/>
          </w:rPr>
          <w:fldChar w:fldCharType="separate"/>
        </w:r>
        <w:r w:rsidR="00BC4187" w:rsidRPr="00BC4187">
          <w:rPr>
            <w:b w:val="0"/>
            <w:webHidden/>
          </w:rPr>
          <w:t>66</w:t>
        </w:r>
        <w:r w:rsidR="00BC4187" w:rsidRPr="00BC4187">
          <w:rPr>
            <w:b w:val="0"/>
            <w:webHidden/>
          </w:rPr>
          <w:fldChar w:fldCharType="end"/>
        </w:r>
      </w:hyperlink>
    </w:p>
    <w:p w14:paraId="6599480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597" w:history="1">
        <w:r w:rsidR="00BC4187" w:rsidRPr="00BC4187">
          <w:rPr>
            <w:rStyle w:val="Lienhypertexte"/>
            <w:rFonts w:ascii="Times New Roman" w:hAnsi="Times New Roman"/>
            <w:noProof/>
            <w:sz w:val="24"/>
            <w:szCs w:val="24"/>
          </w:rPr>
          <w:t>1.1.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Contexte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_Toc103685597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66</w:t>
        </w:r>
        <w:r w:rsidR="00BC4187" w:rsidRPr="00BC4187">
          <w:rPr>
            <w:rFonts w:ascii="Times New Roman" w:hAnsi="Times New Roman"/>
            <w:noProof/>
            <w:webHidden/>
            <w:sz w:val="24"/>
            <w:szCs w:val="24"/>
          </w:rPr>
          <w:fldChar w:fldCharType="end"/>
        </w:r>
      </w:hyperlink>
    </w:p>
    <w:p w14:paraId="446E5C0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598" w:history="1">
        <w:r w:rsidR="00BC4187" w:rsidRPr="00BC4187">
          <w:rPr>
            <w:rStyle w:val="Lienhypertexte"/>
            <w:rFonts w:ascii="Times New Roman" w:hAnsi="Times New Roman"/>
            <w:noProof/>
            <w:sz w:val="24"/>
            <w:szCs w:val="24"/>
          </w:rPr>
          <w:t>1.2.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Justification et objectif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_Toc103685598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67</w:t>
        </w:r>
        <w:r w:rsidR="00BC4187" w:rsidRPr="00BC4187">
          <w:rPr>
            <w:rFonts w:ascii="Times New Roman" w:hAnsi="Times New Roman"/>
            <w:noProof/>
            <w:webHidden/>
            <w:sz w:val="24"/>
            <w:szCs w:val="24"/>
          </w:rPr>
          <w:fldChar w:fldCharType="end"/>
        </w:r>
      </w:hyperlink>
    </w:p>
    <w:p w14:paraId="58CDB762"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599" w:history="1">
        <w:r w:rsidR="00BC4187" w:rsidRPr="00BC4187">
          <w:rPr>
            <w:rStyle w:val="Lienhypertexte"/>
            <w:rFonts w:ascii="Times New Roman" w:eastAsia="Times New Roman" w:hAnsi="Times New Roman"/>
            <w:noProof/>
            <w:sz w:val="24"/>
            <w:szCs w:val="24"/>
          </w:rPr>
          <w:t>1.3.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Objectifs de l’EIES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_Toc103685599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68</w:t>
        </w:r>
        <w:r w:rsidR="00BC4187" w:rsidRPr="00BC4187">
          <w:rPr>
            <w:rFonts w:ascii="Times New Roman" w:hAnsi="Times New Roman"/>
            <w:noProof/>
            <w:webHidden/>
            <w:sz w:val="24"/>
            <w:szCs w:val="24"/>
          </w:rPr>
          <w:fldChar w:fldCharType="end"/>
        </w:r>
      </w:hyperlink>
    </w:p>
    <w:p w14:paraId="67011CF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0" w:history="1">
        <w:r w:rsidR="00BC4187" w:rsidRPr="00BC4187">
          <w:rPr>
            <w:rStyle w:val="Lienhypertexte"/>
            <w:rFonts w:ascii="Times New Roman" w:eastAsia="Times New Roman" w:hAnsi="Times New Roman"/>
            <w:noProof/>
            <w:sz w:val="24"/>
            <w:szCs w:val="24"/>
          </w:rPr>
          <w:t>1.4.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Procédure et méthodologie de l’élaboration de l’EIES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71</w:t>
        </w:r>
        <w:r w:rsidR="00BC4187" w:rsidRPr="00BC4187">
          <w:rPr>
            <w:rFonts w:ascii="Times New Roman" w:hAnsi="Times New Roman"/>
            <w:noProof/>
            <w:webHidden/>
            <w:sz w:val="24"/>
            <w:szCs w:val="24"/>
          </w:rPr>
          <w:fldChar w:fldCharType="end"/>
        </w:r>
      </w:hyperlink>
    </w:p>
    <w:p w14:paraId="30C02A6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1" w:history="1">
        <w:r w:rsidR="00BC4187" w:rsidRPr="00BC4187">
          <w:rPr>
            <w:rStyle w:val="Lienhypertexte"/>
            <w:rFonts w:ascii="Times New Roman" w:eastAsia="Times New Roman" w:hAnsi="Times New Roman"/>
            <w:noProof/>
            <w:sz w:val="24"/>
            <w:szCs w:val="24"/>
          </w:rPr>
          <w:t>1.5.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Difficultés de l’étude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73</w:t>
        </w:r>
        <w:r w:rsidR="00BC4187" w:rsidRPr="00BC4187">
          <w:rPr>
            <w:rFonts w:ascii="Times New Roman" w:hAnsi="Times New Roman"/>
            <w:noProof/>
            <w:webHidden/>
            <w:sz w:val="24"/>
            <w:szCs w:val="24"/>
          </w:rPr>
          <w:fldChar w:fldCharType="end"/>
        </w:r>
      </w:hyperlink>
    </w:p>
    <w:p w14:paraId="5728B8D8"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2" w:history="1">
        <w:r w:rsidR="00BC4187" w:rsidRPr="00BC4187">
          <w:rPr>
            <w:rStyle w:val="Lienhypertexte"/>
            <w:rFonts w:ascii="Times New Roman" w:eastAsia="Times New Roman" w:hAnsi="Times New Roman"/>
            <w:noProof/>
            <w:sz w:val="24"/>
            <w:szCs w:val="24"/>
          </w:rPr>
          <w:t>1.6.</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Structuration du rapport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73</w:t>
        </w:r>
        <w:r w:rsidR="00BC4187" w:rsidRPr="00BC4187">
          <w:rPr>
            <w:rFonts w:ascii="Times New Roman" w:hAnsi="Times New Roman"/>
            <w:noProof/>
            <w:webHidden/>
            <w:sz w:val="24"/>
            <w:szCs w:val="24"/>
          </w:rPr>
          <w:fldChar w:fldCharType="end"/>
        </w:r>
      </w:hyperlink>
    </w:p>
    <w:p w14:paraId="50480C1C" w14:textId="77777777" w:rsidR="00BC4187" w:rsidRPr="00BC4187" w:rsidRDefault="004C0F64" w:rsidP="00BC4187">
      <w:pPr>
        <w:pStyle w:val="TM1"/>
        <w:spacing w:line="20" w:lineRule="atLeast"/>
        <w:rPr>
          <w:rFonts w:eastAsiaTheme="minorEastAsia"/>
          <w:b w:val="0"/>
          <w:lang w:eastAsia="fr-FR"/>
        </w:rPr>
      </w:pPr>
      <w:hyperlink w:anchor="_Toc103685603" w:history="1">
        <w:r w:rsidR="00BC4187" w:rsidRPr="00BC4187">
          <w:rPr>
            <w:rStyle w:val="Lienhypertexte"/>
            <w:b w:val="0"/>
          </w:rPr>
          <w:t>2.</w:t>
        </w:r>
        <w:r w:rsidR="00BC4187" w:rsidRPr="00BC4187">
          <w:rPr>
            <w:rFonts w:eastAsiaTheme="minorEastAsia"/>
            <w:b w:val="0"/>
            <w:lang w:eastAsia="fr-FR"/>
          </w:rPr>
          <w:tab/>
        </w:r>
        <w:r w:rsidR="00BC4187" w:rsidRPr="00BC4187">
          <w:rPr>
            <w:rStyle w:val="Lienhypertexte"/>
            <w:b w:val="0"/>
          </w:rPr>
          <w:t>CADRE POLITIQUE, JURIDIQUE ET INSTITUTIONNEL</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_Toc103685603 \h </w:instrText>
        </w:r>
        <w:r w:rsidR="00BC4187" w:rsidRPr="00BC4187">
          <w:rPr>
            <w:b w:val="0"/>
            <w:webHidden/>
          </w:rPr>
        </w:r>
        <w:r w:rsidR="00BC4187" w:rsidRPr="00BC4187">
          <w:rPr>
            <w:b w:val="0"/>
            <w:webHidden/>
          </w:rPr>
          <w:fldChar w:fldCharType="separate"/>
        </w:r>
        <w:r w:rsidR="00BC4187" w:rsidRPr="00BC4187">
          <w:rPr>
            <w:b w:val="0"/>
            <w:webHidden/>
          </w:rPr>
          <w:t>75</w:t>
        </w:r>
        <w:r w:rsidR="00BC4187" w:rsidRPr="00BC4187">
          <w:rPr>
            <w:b w:val="0"/>
            <w:webHidden/>
          </w:rPr>
          <w:fldChar w:fldCharType="end"/>
        </w:r>
      </w:hyperlink>
    </w:p>
    <w:p w14:paraId="77057F9C" w14:textId="77777777" w:rsidR="00BC4187" w:rsidRPr="00BC4187" w:rsidRDefault="004C0F64" w:rsidP="00BC4187">
      <w:pPr>
        <w:pStyle w:val="TM1"/>
        <w:spacing w:line="20" w:lineRule="atLeast"/>
        <w:rPr>
          <w:rFonts w:eastAsiaTheme="minorEastAsia"/>
          <w:b w:val="0"/>
          <w:lang w:eastAsia="fr-FR"/>
        </w:rPr>
      </w:pPr>
      <w:hyperlink w:anchor="_Toc103685604" w:history="1">
        <w:r w:rsidR="00BC4187" w:rsidRPr="00BC4187">
          <w:rPr>
            <w:rStyle w:val="Lienhypertexte"/>
            <w:b w:val="0"/>
            <w:lang w:eastAsia="fr-FR"/>
          </w:rPr>
          <w:t>2.1.</w:t>
        </w:r>
        <w:r w:rsidR="00BC4187" w:rsidRPr="00BC4187">
          <w:rPr>
            <w:rFonts w:eastAsiaTheme="minorEastAsia"/>
            <w:b w:val="0"/>
            <w:lang w:eastAsia="fr-FR"/>
          </w:rPr>
          <w:tab/>
        </w:r>
        <w:r w:rsidR="00BC4187" w:rsidRPr="00BC4187">
          <w:rPr>
            <w:rStyle w:val="Lienhypertexte"/>
            <w:b w:val="0"/>
            <w:lang w:eastAsia="fr-FR"/>
          </w:rPr>
          <w:t>Cadre politique de gestion environnementale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_Toc103685604 \h </w:instrText>
        </w:r>
        <w:r w:rsidR="00BC4187" w:rsidRPr="00BC4187">
          <w:rPr>
            <w:b w:val="0"/>
            <w:webHidden/>
          </w:rPr>
        </w:r>
        <w:r w:rsidR="00BC4187" w:rsidRPr="00BC4187">
          <w:rPr>
            <w:b w:val="0"/>
            <w:webHidden/>
          </w:rPr>
          <w:fldChar w:fldCharType="separate"/>
        </w:r>
        <w:r w:rsidR="00BC4187" w:rsidRPr="00BC4187">
          <w:rPr>
            <w:b w:val="0"/>
            <w:webHidden/>
          </w:rPr>
          <w:t>75</w:t>
        </w:r>
        <w:r w:rsidR="00BC4187" w:rsidRPr="00BC4187">
          <w:rPr>
            <w:b w:val="0"/>
            <w:webHidden/>
          </w:rPr>
          <w:fldChar w:fldCharType="end"/>
        </w:r>
      </w:hyperlink>
    </w:p>
    <w:p w14:paraId="28FD8407"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5" w:history="1">
        <w:r w:rsidR="00BC4187" w:rsidRPr="00BC4187">
          <w:rPr>
            <w:rStyle w:val="Lienhypertexte"/>
            <w:rFonts w:ascii="Times New Roman" w:hAnsi="Times New Roman"/>
            <w:noProof/>
            <w:sz w:val="24"/>
            <w:szCs w:val="24"/>
          </w:rPr>
          <w:t>2.1.1.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Politiques et programme en rapport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75</w:t>
        </w:r>
        <w:r w:rsidR="00BC4187" w:rsidRPr="00BC4187">
          <w:rPr>
            <w:rFonts w:ascii="Times New Roman" w:hAnsi="Times New Roman"/>
            <w:noProof/>
            <w:webHidden/>
            <w:sz w:val="24"/>
            <w:szCs w:val="24"/>
          </w:rPr>
          <w:fldChar w:fldCharType="end"/>
        </w:r>
      </w:hyperlink>
    </w:p>
    <w:p w14:paraId="20BEB9D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6" w:history="1">
        <w:r w:rsidR="00BC4187" w:rsidRPr="00BC4187">
          <w:rPr>
            <w:rStyle w:val="Lienhypertexte"/>
            <w:rFonts w:ascii="Times New Roman" w:hAnsi="Times New Roman"/>
            <w:noProof/>
            <w:sz w:val="24"/>
            <w:szCs w:val="24"/>
          </w:rPr>
          <w:t>2.1.2.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Cadre normatif lié aux VBG en vigueur en RDC</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79</w:t>
        </w:r>
        <w:r w:rsidR="00BC4187" w:rsidRPr="00BC4187">
          <w:rPr>
            <w:rFonts w:ascii="Times New Roman" w:hAnsi="Times New Roman"/>
            <w:noProof/>
            <w:webHidden/>
            <w:sz w:val="24"/>
            <w:szCs w:val="24"/>
          </w:rPr>
          <w:fldChar w:fldCharType="end"/>
        </w:r>
      </w:hyperlink>
    </w:p>
    <w:p w14:paraId="4FED2B66" w14:textId="77777777" w:rsidR="00BC4187" w:rsidRPr="00BC4187" w:rsidRDefault="004C0F64" w:rsidP="00BC4187">
      <w:pPr>
        <w:pStyle w:val="TM1"/>
        <w:spacing w:line="20" w:lineRule="atLeast"/>
        <w:rPr>
          <w:rFonts w:eastAsiaTheme="minorEastAsia"/>
          <w:b w:val="0"/>
          <w:lang w:eastAsia="fr-FR"/>
        </w:rPr>
      </w:pPr>
      <w:hyperlink w:anchor="_Toc103685607" w:history="1">
        <w:r w:rsidR="00BC4187" w:rsidRPr="00BC4187">
          <w:rPr>
            <w:rStyle w:val="Lienhypertexte"/>
            <w:b w:val="0"/>
            <w:lang w:eastAsia="fr-FR"/>
          </w:rPr>
          <w:t>2.2.</w:t>
        </w:r>
        <w:r w:rsidR="00BC4187" w:rsidRPr="00BC4187">
          <w:rPr>
            <w:rFonts w:eastAsiaTheme="minorEastAsia"/>
            <w:b w:val="0"/>
            <w:lang w:eastAsia="fr-FR"/>
          </w:rPr>
          <w:tab/>
        </w:r>
        <w:r w:rsidR="00BC4187" w:rsidRPr="00BC4187">
          <w:rPr>
            <w:rStyle w:val="Lienhypertexte"/>
            <w:b w:val="0"/>
            <w:lang w:eastAsia="fr-FR"/>
          </w:rPr>
          <w:t>Cadre juridique de gestion environnementale et sociale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_Toc103685607 \h </w:instrText>
        </w:r>
        <w:r w:rsidR="00BC4187" w:rsidRPr="00BC4187">
          <w:rPr>
            <w:b w:val="0"/>
            <w:webHidden/>
          </w:rPr>
        </w:r>
        <w:r w:rsidR="00BC4187" w:rsidRPr="00BC4187">
          <w:rPr>
            <w:b w:val="0"/>
            <w:webHidden/>
          </w:rPr>
          <w:fldChar w:fldCharType="separate"/>
        </w:r>
        <w:r w:rsidR="00BC4187" w:rsidRPr="00BC4187">
          <w:rPr>
            <w:b w:val="0"/>
            <w:webHidden/>
          </w:rPr>
          <w:t>80</w:t>
        </w:r>
        <w:r w:rsidR="00BC4187" w:rsidRPr="00BC4187">
          <w:rPr>
            <w:b w:val="0"/>
            <w:webHidden/>
          </w:rPr>
          <w:fldChar w:fldCharType="end"/>
        </w:r>
      </w:hyperlink>
    </w:p>
    <w:p w14:paraId="58A6D94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08" w:history="1">
        <w:r w:rsidR="00BC4187" w:rsidRPr="00BC4187">
          <w:rPr>
            <w:rStyle w:val="Lienhypertexte"/>
            <w:rFonts w:ascii="Times New Roman" w:hAnsi="Times New Roman"/>
            <w:noProof/>
            <w:sz w:val="24"/>
            <w:szCs w:val="24"/>
          </w:rPr>
          <w:t>2.2.1.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Cadre juridique national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_Toc103685608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80</w:t>
        </w:r>
        <w:r w:rsidR="00BC4187" w:rsidRPr="00BC4187">
          <w:rPr>
            <w:rFonts w:ascii="Times New Roman" w:hAnsi="Times New Roman"/>
            <w:noProof/>
            <w:webHidden/>
            <w:sz w:val="24"/>
            <w:szCs w:val="24"/>
          </w:rPr>
          <w:fldChar w:fldCharType="end"/>
        </w:r>
      </w:hyperlink>
    </w:p>
    <w:p w14:paraId="13EA1784" w14:textId="77777777" w:rsidR="00BC4187" w:rsidRPr="00BC4187" w:rsidRDefault="004C0F64" w:rsidP="00BC4187">
      <w:pPr>
        <w:pStyle w:val="TM1"/>
        <w:spacing w:line="20" w:lineRule="atLeast"/>
        <w:rPr>
          <w:rFonts w:eastAsiaTheme="minorEastAsia"/>
          <w:b w:val="0"/>
          <w:lang w:eastAsia="fr-FR"/>
        </w:rPr>
      </w:pPr>
      <w:hyperlink w:anchor="_Toc103685609" w:history="1">
        <w:r w:rsidR="00BC4187" w:rsidRPr="00BC4187">
          <w:rPr>
            <w:rStyle w:val="Lienhypertexte"/>
            <w:b w:val="0"/>
            <w:lang w:eastAsia="fr-FR"/>
          </w:rPr>
          <w:t>2.3.</w:t>
        </w:r>
        <w:r w:rsidR="00BC4187" w:rsidRPr="00BC4187">
          <w:rPr>
            <w:rFonts w:eastAsiaTheme="minorEastAsia"/>
            <w:b w:val="0"/>
            <w:lang w:eastAsia="fr-FR"/>
          </w:rPr>
          <w:tab/>
        </w:r>
        <w:r w:rsidR="00BC4187" w:rsidRPr="00BC4187">
          <w:rPr>
            <w:rStyle w:val="Lienhypertexte"/>
            <w:b w:val="0"/>
            <w:lang w:eastAsia="fr-FR"/>
          </w:rPr>
          <w:t>Conditions d’emploi et de travail dans le cadre de la mise œuvre du projet</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_Toc103685609 \h </w:instrText>
        </w:r>
        <w:r w:rsidR="00BC4187" w:rsidRPr="00BC4187">
          <w:rPr>
            <w:b w:val="0"/>
            <w:webHidden/>
          </w:rPr>
        </w:r>
        <w:r w:rsidR="00BC4187" w:rsidRPr="00BC4187">
          <w:rPr>
            <w:b w:val="0"/>
            <w:webHidden/>
          </w:rPr>
          <w:fldChar w:fldCharType="separate"/>
        </w:r>
        <w:r w:rsidR="00BC4187" w:rsidRPr="00BC4187">
          <w:rPr>
            <w:b w:val="0"/>
            <w:webHidden/>
          </w:rPr>
          <w:t>86</w:t>
        </w:r>
        <w:r w:rsidR="00BC4187" w:rsidRPr="00BC4187">
          <w:rPr>
            <w:b w:val="0"/>
            <w:webHidden/>
          </w:rPr>
          <w:fldChar w:fldCharType="end"/>
        </w:r>
      </w:hyperlink>
    </w:p>
    <w:p w14:paraId="1694E89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0" w:history="1">
        <w:r w:rsidR="00BC4187" w:rsidRPr="00BC4187">
          <w:rPr>
            <w:rStyle w:val="Lienhypertexte"/>
            <w:rFonts w:ascii="Times New Roman" w:hAnsi="Times New Roman"/>
            <w:noProof/>
            <w:sz w:val="24"/>
            <w:szCs w:val="24"/>
          </w:rPr>
          <w:t>2.3.1.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Procédures de réalisation des études d’impact sur l’environnement en RDC</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87</w:t>
        </w:r>
        <w:r w:rsidR="00BC4187" w:rsidRPr="00BC4187">
          <w:rPr>
            <w:rFonts w:ascii="Times New Roman" w:hAnsi="Times New Roman"/>
            <w:noProof/>
            <w:webHidden/>
            <w:sz w:val="24"/>
            <w:szCs w:val="24"/>
          </w:rPr>
          <w:fldChar w:fldCharType="end"/>
        </w:r>
      </w:hyperlink>
    </w:p>
    <w:p w14:paraId="69AAAC5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1" w:history="1">
        <w:r w:rsidR="00BC4187" w:rsidRPr="00BC4187">
          <w:rPr>
            <w:rStyle w:val="Lienhypertexte"/>
            <w:rFonts w:ascii="Times New Roman" w:hAnsi="Times New Roman"/>
            <w:i/>
            <w:noProof/>
            <w:sz w:val="24"/>
            <w:szCs w:val="24"/>
          </w:rPr>
          <w:t>2.3.2.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Conventions, accords et normes internationaux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87</w:t>
        </w:r>
        <w:r w:rsidR="00BC4187" w:rsidRPr="00BC4187">
          <w:rPr>
            <w:rFonts w:ascii="Times New Roman" w:hAnsi="Times New Roman"/>
            <w:noProof/>
            <w:webHidden/>
            <w:sz w:val="24"/>
            <w:szCs w:val="24"/>
          </w:rPr>
          <w:fldChar w:fldCharType="end"/>
        </w:r>
      </w:hyperlink>
    </w:p>
    <w:p w14:paraId="53A238C8"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2" w:history="1">
        <w:r w:rsidR="00BC4187" w:rsidRPr="00BC4187">
          <w:rPr>
            <w:rStyle w:val="Lienhypertexte"/>
            <w:rFonts w:ascii="Times New Roman" w:hAnsi="Times New Roman"/>
            <w:i/>
            <w:noProof/>
            <w:sz w:val="24"/>
            <w:szCs w:val="24"/>
          </w:rPr>
          <w:t>2.3.3.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Normes Environnementales et sociales pertinentes pour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90</w:t>
        </w:r>
        <w:r w:rsidR="00BC4187" w:rsidRPr="00BC4187">
          <w:rPr>
            <w:rFonts w:ascii="Times New Roman" w:hAnsi="Times New Roman"/>
            <w:noProof/>
            <w:webHidden/>
            <w:sz w:val="24"/>
            <w:szCs w:val="24"/>
          </w:rPr>
          <w:fldChar w:fldCharType="end"/>
        </w:r>
      </w:hyperlink>
    </w:p>
    <w:p w14:paraId="11692CD2"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3" w:history="1">
        <w:r w:rsidR="00BC4187" w:rsidRPr="00BC4187">
          <w:rPr>
            <w:rStyle w:val="Lienhypertexte"/>
            <w:rFonts w:ascii="Times New Roman" w:hAnsi="Times New Roman"/>
            <w:noProof/>
            <w:sz w:val="24"/>
            <w:szCs w:val="24"/>
          </w:rPr>
          <w:t>2.3.4.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Autres directives applicables au sous-projet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125</w:t>
        </w:r>
        <w:r w:rsidR="00BC4187" w:rsidRPr="00BC4187">
          <w:rPr>
            <w:rFonts w:ascii="Times New Roman" w:hAnsi="Times New Roman"/>
            <w:noProof/>
            <w:webHidden/>
            <w:sz w:val="24"/>
            <w:szCs w:val="24"/>
          </w:rPr>
          <w:fldChar w:fldCharType="end"/>
        </w:r>
      </w:hyperlink>
    </w:p>
    <w:p w14:paraId="0AE937C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4" w:history="1">
        <w:r w:rsidR="00BC4187" w:rsidRPr="00BC4187">
          <w:rPr>
            <w:rStyle w:val="Lienhypertexte"/>
            <w:rFonts w:ascii="Times New Roman" w:eastAsia="Times New Roman" w:hAnsi="Times New Roman"/>
            <w:noProof/>
            <w:sz w:val="24"/>
            <w:szCs w:val="24"/>
          </w:rPr>
          <w:t>2.4.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Cadre institutionnel de gestion environnementale et sociale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126</w:t>
        </w:r>
        <w:r w:rsidR="00BC4187" w:rsidRPr="00BC4187">
          <w:rPr>
            <w:rFonts w:ascii="Times New Roman" w:hAnsi="Times New Roman"/>
            <w:noProof/>
            <w:webHidden/>
            <w:sz w:val="24"/>
            <w:szCs w:val="24"/>
          </w:rPr>
          <w:fldChar w:fldCharType="end"/>
        </w:r>
      </w:hyperlink>
    </w:p>
    <w:p w14:paraId="300E803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5" w:history="1">
        <w:r w:rsidR="00BC4187" w:rsidRPr="00BC4187">
          <w:rPr>
            <w:rStyle w:val="Lienhypertexte"/>
            <w:rFonts w:ascii="Times New Roman" w:hAnsi="Times New Roman"/>
            <w:noProof/>
            <w:sz w:val="24"/>
            <w:szCs w:val="24"/>
          </w:rPr>
          <w:t>2.4.1.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Ministère de l’Environnement et Développement Durable (MEDD)</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126</w:t>
        </w:r>
        <w:r w:rsidR="00BC4187" w:rsidRPr="00BC4187">
          <w:rPr>
            <w:rFonts w:ascii="Times New Roman" w:hAnsi="Times New Roman"/>
            <w:noProof/>
            <w:webHidden/>
            <w:sz w:val="24"/>
            <w:szCs w:val="24"/>
          </w:rPr>
          <w:fldChar w:fldCharType="end"/>
        </w:r>
      </w:hyperlink>
    </w:p>
    <w:p w14:paraId="3758FE5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6" w:history="1">
        <w:r w:rsidR="00BC4187" w:rsidRPr="00BC4187">
          <w:rPr>
            <w:rStyle w:val="Lienhypertexte"/>
            <w:rFonts w:ascii="Times New Roman" w:hAnsi="Times New Roman"/>
            <w:noProof/>
            <w:sz w:val="24"/>
            <w:szCs w:val="24"/>
          </w:rPr>
          <w:t>2.4.2.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Agence Congolaise de l’Environnement (ACE)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127</w:t>
        </w:r>
        <w:r w:rsidR="00BC4187" w:rsidRPr="00BC4187">
          <w:rPr>
            <w:rFonts w:ascii="Times New Roman" w:hAnsi="Times New Roman"/>
            <w:noProof/>
            <w:webHidden/>
            <w:sz w:val="24"/>
            <w:szCs w:val="24"/>
          </w:rPr>
          <w:fldChar w:fldCharType="end"/>
        </w:r>
      </w:hyperlink>
    </w:p>
    <w:p w14:paraId="6C232DD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7" w:history="1">
        <w:r w:rsidR="00BC4187" w:rsidRPr="00BC4187">
          <w:rPr>
            <w:rStyle w:val="Lienhypertexte"/>
            <w:rFonts w:ascii="Times New Roman" w:hAnsi="Times New Roman"/>
            <w:noProof/>
            <w:sz w:val="24"/>
            <w:szCs w:val="24"/>
          </w:rPr>
          <w:t>2.4.3.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Ministère des Ressources Hydrauliques et de l’Electricité</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127</w:t>
        </w:r>
        <w:r w:rsidR="00BC4187" w:rsidRPr="00BC4187">
          <w:rPr>
            <w:rFonts w:ascii="Times New Roman" w:hAnsi="Times New Roman"/>
            <w:noProof/>
            <w:webHidden/>
            <w:sz w:val="24"/>
            <w:szCs w:val="24"/>
          </w:rPr>
          <w:fldChar w:fldCharType="end"/>
        </w:r>
      </w:hyperlink>
    </w:p>
    <w:p w14:paraId="1CA1AAAE" w14:textId="039715FA"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8" w:history="1">
        <w:r w:rsidR="00BC4187" w:rsidRPr="00BC4187">
          <w:rPr>
            <w:rStyle w:val="Lienhypertexte"/>
            <w:rFonts w:ascii="Times New Roman" w:hAnsi="Times New Roman"/>
            <w:noProof/>
            <w:sz w:val="24"/>
            <w:szCs w:val="24"/>
          </w:rPr>
          <w:t>2.4.4.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Autres ministères impliqués dans la gestion environnementale et sociale du projet</w:t>
        </w:r>
        <w:r w:rsidR="00BC4187" w:rsidRPr="00BC4187">
          <w:rPr>
            <w:rFonts w:ascii="Times New Roman" w:hAnsi="Times New Roman"/>
            <w:noProof/>
            <w:webHidden/>
            <w:sz w:val="24"/>
            <w:szCs w:val="24"/>
          </w:rPr>
          <w:tab/>
        </w:r>
        <w:r w:rsidR="00BC4187">
          <w:rPr>
            <w:rFonts w:ascii="Times New Roman" w:hAnsi="Times New Roman"/>
            <w:noProof/>
            <w:webHidden/>
            <w:sz w:val="24"/>
            <w:szCs w:val="24"/>
          </w:rPr>
          <w:tab/>
        </w:r>
        <w:r w:rsidR="00BC4187">
          <w:rPr>
            <w:rFonts w:ascii="Times New Roman" w:hAnsi="Times New Roman"/>
            <w:noProof/>
            <w:webHidden/>
            <w:sz w:val="24"/>
            <w:szCs w:val="24"/>
          </w:rPr>
          <w:tab/>
        </w:r>
        <w:r w:rsid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127</w:t>
        </w:r>
        <w:r w:rsidR="00BC4187" w:rsidRPr="00BC4187">
          <w:rPr>
            <w:rFonts w:ascii="Times New Roman" w:hAnsi="Times New Roman"/>
            <w:noProof/>
            <w:webHidden/>
            <w:sz w:val="24"/>
            <w:szCs w:val="24"/>
          </w:rPr>
          <w:fldChar w:fldCharType="end"/>
        </w:r>
      </w:hyperlink>
    </w:p>
    <w:p w14:paraId="011DA384"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19" w:history="1">
        <w:r w:rsidR="00BC4187" w:rsidRPr="00BC4187">
          <w:rPr>
            <w:rStyle w:val="Lienhypertexte"/>
            <w:rFonts w:ascii="Times New Roman" w:hAnsi="Times New Roman"/>
            <w:noProof/>
            <w:sz w:val="24"/>
            <w:szCs w:val="24"/>
          </w:rPr>
          <w:t>2.4.5.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Collectivités locales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_Toc103685619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128</w:t>
        </w:r>
        <w:r w:rsidR="00BC4187" w:rsidRPr="00BC4187">
          <w:rPr>
            <w:rFonts w:ascii="Times New Roman" w:hAnsi="Times New Roman"/>
            <w:noProof/>
            <w:webHidden/>
            <w:sz w:val="24"/>
            <w:szCs w:val="24"/>
          </w:rPr>
          <w:fldChar w:fldCharType="end"/>
        </w:r>
      </w:hyperlink>
    </w:p>
    <w:p w14:paraId="6916AB4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0" w:history="1">
        <w:r w:rsidR="00BC4187" w:rsidRPr="00BC4187">
          <w:rPr>
            <w:rStyle w:val="Lienhypertexte"/>
            <w:rFonts w:ascii="Times New Roman" w:hAnsi="Times New Roman"/>
            <w:noProof/>
            <w:sz w:val="24"/>
            <w:szCs w:val="24"/>
          </w:rPr>
          <w:t>2.4.6.</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Acteurs Non Gouvernementaux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128</w:t>
        </w:r>
        <w:r w:rsidR="00BC4187" w:rsidRPr="00BC4187">
          <w:rPr>
            <w:rFonts w:ascii="Times New Roman" w:hAnsi="Times New Roman"/>
            <w:noProof/>
            <w:webHidden/>
            <w:sz w:val="24"/>
            <w:szCs w:val="24"/>
          </w:rPr>
          <w:fldChar w:fldCharType="end"/>
        </w:r>
      </w:hyperlink>
    </w:p>
    <w:p w14:paraId="25B6E3EC"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1" w:history="1">
        <w:r w:rsidR="00BC4187" w:rsidRPr="00BC4187">
          <w:rPr>
            <w:rStyle w:val="Lienhypertexte"/>
            <w:rFonts w:ascii="Times New Roman" w:hAnsi="Times New Roman"/>
            <w:noProof/>
            <w:sz w:val="24"/>
            <w:szCs w:val="24"/>
          </w:rPr>
          <w:t>2.4.7.</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Analyse du montage institutionnel de la gestion environnementale et sociale du sous-projet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129</w:t>
        </w:r>
        <w:r w:rsidR="00BC4187" w:rsidRPr="00BC4187">
          <w:rPr>
            <w:rFonts w:ascii="Times New Roman" w:hAnsi="Times New Roman"/>
            <w:noProof/>
            <w:webHidden/>
            <w:sz w:val="24"/>
            <w:szCs w:val="24"/>
          </w:rPr>
          <w:fldChar w:fldCharType="end"/>
        </w:r>
      </w:hyperlink>
    </w:p>
    <w:p w14:paraId="74529B17"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2" w:history="1">
        <w:r w:rsidR="00BC4187" w:rsidRPr="00BC4187">
          <w:rPr>
            <w:rStyle w:val="Lienhypertexte"/>
            <w:rFonts w:ascii="Times New Roman" w:eastAsia="Times New Roman" w:hAnsi="Times New Roman"/>
            <w:noProof/>
            <w:sz w:val="24"/>
            <w:szCs w:val="24"/>
          </w:rPr>
          <w:t>2.5.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Analyse des capacités de gestion environnementale et sociale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129</w:t>
        </w:r>
        <w:r w:rsidR="00BC4187" w:rsidRPr="00BC4187">
          <w:rPr>
            <w:rFonts w:ascii="Times New Roman" w:hAnsi="Times New Roman"/>
            <w:noProof/>
            <w:webHidden/>
            <w:sz w:val="24"/>
            <w:szCs w:val="24"/>
          </w:rPr>
          <w:fldChar w:fldCharType="end"/>
        </w:r>
      </w:hyperlink>
    </w:p>
    <w:p w14:paraId="2014B0B4"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3" w:history="1">
        <w:r w:rsidR="00BC4187" w:rsidRPr="00BC4187">
          <w:rPr>
            <w:rStyle w:val="Lienhypertexte"/>
            <w:rFonts w:ascii="Times New Roman" w:eastAsia="Times New Roman" w:hAnsi="Times New Roman"/>
            <w:noProof/>
            <w:sz w:val="24"/>
            <w:szCs w:val="24"/>
          </w:rPr>
          <w:t>2.6.</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Synthèse des Responsabilités pour la mise en œuvre et le suivi du PGES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131</w:t>
        </w:r>
        <w:r w:rsidR="00BC4187" w:rsidRPr="00BC4187">
          <w:rPr>
            <w:rFonts w:ascii="Times New Roman" w:hAnsi="Times New Roman"/>
            <w:noProof/>
            <w:webHidden/>
            <w:sz w:val="24"/>
            <w:szCs w:val="24"/>
          </w:rPr>
          <w:fldChar w:fldCharType="end"/>
        </w:r>
      </w:hyperlink>
    </w:p>
    <w:p w14:paraId="54CB99D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4" w:history="1">
        <w:r w:rsidR="00BC4187" w:rsidRPr="00BC4187">
          <w:rPr>
            <w:rStyle w:val="Lienhypertexte"/>
            <w:rFonts w:ascii="Times New Roman" w:eastAsia="Times New Roman" w:hAnsi="Times New Roman"/>
            <w:noProof/>
            <w:sz w:val="24"/>
            <w:szCs w:val="24"/>
          </w:rPr>
          <w:t>2.7.</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Justification de la nécessité de tout plan environnemental et social pour satisfaire aux exigences des SSE 1 à 10</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133</w:t>
        </w:r>
        <w:r w:rsidR="00BC4187" w:rsidRPr="00BC4187">
          <w:rPr>
            <w:rFonts w:ascii="Times New Roman" w:hAnsi="Times New Roman"/>
            <w:noProof/>
            <w:webHidden/>
            <w:sz w:val="24"/>
            <w:szCs w:val="24"/>
          </w:rPr>
          <w:fldChar w:fldCharType="end"/>
        </w:r>
      </w:hyperlink>
    </w:p>
    <w:p w14:paraId="21DAC77F" w14:textId="77777777" w:rsidR="00BC4187" w:rsidRPr="00BC4187" w:rsidRDefault="004C0F64" w:rsidP="00BC4187">
      <w:pPr>
        <w:pStyle w:val="TM1"/>
        <w:spacing w:line="20" w:lineRule="atLeast"/>
        <w:rPr>
          <w:rFonts w:eastAsiaTheme="minorEastAsia"/>
          <w:b w:val="0"/>
          <w:lang w:eastAsia="fr-FR"/>
        </w:rPr>
      </w:pPr>
      <w:hyperlink w:anchor="_Toc103685625" w:history="1">
        <w:r w:rsidR="00BC4187" w:rsidRPr="00BC4187">
          <w:rPr>
            <w:rStyle w:val="Lienhypertexte"/>
            <w:b w:val="0"/>
          </w:rPr>
          <w:t>3.</w:t>
        </w:r>
        <w:r w:rsidR="00BC4187" w:rsidRPr="00BC4187">
          <w:rPr>
            <w:rFonts w:eastAsiaTheme="minorEastAsia"/>
            <w:b w:val="0"/>
            <w:lang w:eastAsia="fr-FR"/>
          </w:rPr>
          <w:tab/>
        </w:r>
        <w:r w:rsidR="00BC4187" w:rsidRPr="00BC4187">
          <w:rPr>
            <w:rStyle w:val="Lienhypertexte"/>
            <w:b w:val="0"/>
          </w:rPr>
          <w:t>DESCRIPTION DU PROJET</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_Toc103685625 \h </w:instrText>
        </w:r>
        <w:r w:rsidR="00BC4187" w:rsidRPr="00BC4187">
          <w:rPr>
            <w:b w:val="0"/>
            <w:webHidden/>
          </w:rPr>
        </w:r>
        <w:r w:rsidR="00BC4187" w:rsidRPr="00BC4187">
          <w:rPr>
            <w:b w:val="0"/>
            <w:webHidden/>
          </w:rPr>
          <w:fldChar w:fldCharType="separate"/>
        </w:r>
        <w:r w:rsidR="00BC4187" w:rsidRPr="00BC4187">
          <w:rPr>
            <w:b w:val="0"/>
            <w:webHidden/>
          </w:rPr>
          <w:t>138</w:t>
        </w:r>
        <w:r w:rsidR="00BC4187" w:rsidRPr="00BC4187">
          <w:rPr>
            <w:b w:val="0"/>
            <w:webHidden/>
          </w:rPr>
          <w:fldChar w:fldCharType="end"/>
        </w:r>
      </w:hyperlink>
    </w:p>
    <w:p w14:paraId="6124118D"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6" w:history="1">
        <w:r w:rsidR="00BC4187" w:rsidRPr="00BC4187">
          <w:rPr>
            <w:rStyle w:val="Lienhypertexte"/>
            <w:rFonts w:ascii="Times New Roman" w:eastAsia="Times New Roman" w:hAnsi="Times New Roman"/>
            <w:noProof/>
            <w:sz w:val="24"/>
            <w:szCs w:val="24"/>
          </w:rPr>
          <w:t>3.1.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Présentation du promoteur</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138</w:t>
        </w:r>
        <w:r w:rsidR="00BC4187" w:rsidRPr="00BC4187">
          <w:rPr>
            <w:rFonts w:ascii="Times New Roman" w:hAnsi="Times New Roman"/>
            <w:noProof/>
            <w:webHidden/>
            <w:sz w:val="24"/>
            <w:szCs w:val="24"/>
          </w:rPr>
          <w:fldChar w:fldCharType="end"/>
        </w:r>
      </w:hyperlink>
    </w:p>
    <w:p w14:paraId="3FC233D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7" w:history="1">
        <w:r w:rsidR="00BC4187" w:rsidRPr="00BC4187">
          <w:rPr>
            <w:rStyle w:val="Lienhypertexte"/>
            <w:rFonts w:ascii="Times New Roman" w:eastAsia="Times New Roman" w:hAnsi="Times New Roman"/>
            <w:noProof/>
            <w:sz w:val="24"/>
            <w:szCs w:val="24"/>
          </w:rPr>
          <w:t>3.2.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Description des activités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138</w:t>
        </w:r>
        <w:r w:rsidR="00BC4187" w:rsidRPr="00BC4187">
          <w:rPr>
            <w:rFonts w:ascii="Times New Roman" w:hAnsi="Times New Roman"/>
            <w:noProof/>
            <w:webHidden/>
            <w:sz w:val="24"/>
            <w:szCs w:val="24"/>
          </w:rPr>
          <w:fldChar w:fldCharType="end"/>
        </w:r>
      </w:hyperlink>
    </w:p>
    <w:p w14:paraId="184B0B2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8" w:history="1">
        <w:r w:rsidR="00BC4187" w:rsidRPr="00BC4187">
          <w:rPr>
            <w:rStyle w:val="Lienhypertexte"/>
            <w:rFonts w:ascii="Times New Roman" w:eastAsia="Times New Roman" w:hAnsi="Times New Roman"/>
            <w:noProof/>
            <w:sz w:val="24"/>
            <w:szCs w:val="24"/>
          </w:rPr>
          <w:t>3.3.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Calendrier estimatif des travaux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142</w:t>
        </w:r>
        <w:r w:rsidR="00BC4187" w:rsidRPr="00BC4187">
          <w:rPr>
            <w:rFonts w:ascii="Times New Roman" w:hAnsi="Times New Roman"/>
            <w:noProof/>
            <w:webHidden/>
            <w:sz w:val="24"/>
            <w:szCs w:val="24"/>
          </w:rPr>
          <w:fldChar w:fldCharType="end"/>
        </w:r>
      </w:hyperlink>
    </w:p>
    <w:p w14:paraId="11F8C246"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29" w:history="1">
        <w:r w:rsidR="00BC4187" w:rsidRPr="00BC4187">
          <w:rPr>
            <w:rStyle w:val="Lienhypertexte"/>
            <w:rFonts w:ascii="Times New Roman" w:eastAsia="Times New Roman" w:hAnsi="Times New Roman"/>
            <w:noProof/>
            <w:sz w:val="24"/>
            <w:szCs w:val="24"/>
          </w:rPr>
          <w:t>3.4.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Main d’œuvre nécessaire pour les activités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_Toc103685629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143</w:t>
        </w:r>
        <w:r w:rsidR="00BC4187" w:rsidRPr="00BC4187">
          <w:rPr>
            <w:rFonts w:ascii="Times New Roman" w:hAnsi="Times New Roman"/>
            <w:noProof/>
            <w:webHidden/>
            <w:sz w:val="24"/>
            <w:szCs w:val="24"/>
          </w:rPr>
          <w:fldChar w:fldCharType="end"/>
        </w:r>
      </w:hyperlink>
    </w:p>
    <w:p w14:paraId="0F41B3C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0" w:history="1">
        <w:r w:rsidR="00BC4187" w:rsidRPr="00BC4187">
          <w:rPr>
            <w:rStyle w:val="Lienhypertexte"/>
            <w:rFonts w:ascii="Times New Roman" w:eastAsia="Times New Roman" w:hAnsi="Times New Roman"/>
            <w:noProof/>
            <w:sz w:val="24"/>
            <w:szCs w:val="24"/>
          </w:rPr>
          <w:t>3.5.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Sources d’approvisionnement des matériaux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143</w:t>
        </w:r>
        <w:r w:rsidR="00BC4187" w:rsidRPr="00BC4187">
          <w:rPr>
            <w:rFonts w:ascii="Times New Roman" w:hAnsi="Times New Roman"/>
            <w:noProof/>
            <w:webHidden/>
            <w:sz w:val="24"/>
            <w:szCs w:val="24"/>
          </w:rPr>
          <w:fldChar w:fldCharType="end"/>
        </w:r>
      </w:hyperlink>
    </w:p>
    <w:p w14:paraId="669988B1" w14:textId="77777777" w:rsidR="00BC4187" w:rsidRPr="00BC4187" w:rsidRDefault="004C0F64" w:rsidP="00BC4187">
      <w:pPr>
        <w:pStyle w:val="TM1"/>
        <w:spacing w:line="20" w:lineRule="atLeast"/>
        <w:rPr>
          <w:rFonts w:eastAsiaTheme="minorEastAsia"/>
          <w:b w:val="0"/>
          <w:lang w:eastAsia="fr-FR"/>
        </w:rPr>
      </w:pPr>
      <w:hyperlink w:anchor="_Toc103685631" w:history="1">
        <w:r w:rsidR="00BC4187" w:rsidRPr="00BC4187">
          <w:rPr>
            <w:rStyle w:val="Lienhypertexte"/>
            <w:b w:val="0"/>
          </w:rPr>
          <w:t>4.</w:t>
        </w:r>
        <w:r w:rsidR="00BC4187" w:rsidRPr="00BC4187">
          <w:rPr>
            <w:rFonts w:eastAsiaTheme="minorEastAsia"/>
            <w:b w:val="0"/>
            <w:lang w:eastAsia="fr-FR"/>
          </w:rPr>
          <w:tab/>
        </w:r>
        <w:r w:rsidR="00BC4187" w:rsidRPr="00BC4187">
          <w:rPr>
            <w:rStyle w:val="Lienhypertexte"/>
            <w:b w:val="0"/>
          </w:rPr>
          <w:t>DONNEES DE BASE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_Toc103685631 \h </w:instrText>
        </w:r>
        <w:r w:rsidR="00BC4187" w:rsidRPr="00BC4187">
          <w:rPr>
            <w:b w:val="0"/>
            <w:webHidden/>
          </w:rPr>
        </w:r>
        <w:r w:rsidR="00BC4187" w:rsidRPr="00BC4187">
          <w:rPr>
            <w:b w:val="0"/>
            <w:webHidden/>
          </w:rPr>
          <w:fldChar w:fldCharType="separate"/>
        </w:r>
        <w:r w:rsidR="00BC4187" w:rsidRPr="00BC4187">
          <w:rPr>
            <w:b w:val="0"/>
            <w:webHidden/>
          </w:rPr>
          <w:t>145</w:t>
        </w:r>
        <w:r w:rsidR="00BC4187" w:rsidRPr="00BC4187">
          <w:rPr>
            <w:b w:val="0"/>
            <w:webHidden/>
          </w:rPr>
          <w:fldChar w:fldCharType="end"/>
        </w:r>
      </w:hyperlink>
    </w:p>
    <w:p w14:paraId="2B1DD42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2" w:history="1">
        <w:r w:rsidR="00BC4187" w:rsidRPr="00BC4187">
          <w:rPr>
            <w:rStyle w:val="Lienhypertexte"/>
            <w:rFonts w:ascii="Times New Roman" w:eastAsia="Times New Roman" w:hAnsi="Times New Roman"/>
            <w:noProof/>
            <w:sz w:val="24"/>
            <w:szCs w:val="24"/>
          </w:rPr>
          <w:t>4.1.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Situation géographique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145</w:t>
        </w:r>
        <w:r w:rsidR="00BC4187" w:rsidRPr="00BC4187">
          <w:rPr>
            <w:rFonts w:ascii="Times New Roman" w:hAnsi="Times New Roman"/>
            <w:noProof/>
            <w:webHidden/>
            <w:sz w:val="24"/>
            <w:szCs w:val="24"/>
          </w:rPr>
          <w:fldChar w:fldCharType="end"/>
        </w:r>
      </w:hyperlink>
    </w:p>
    <w:p w14:paraId="325FCA0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3" w:history="1">
        <w:r w:rsidR="00BC4187" w:rsidRPr="00BC4187">
          <w:rPr>
            <w:rStyle w:val="Lienhypertexte"/>
            <w:rFonts w:ascii="Times New Roman" w:eastAsia="Times New Roman" w:hAnsi="Times New Roman"/>
            <w:noProof/>
            <w:sz w:val="24"/>
            <w:szCs w:val="24"/>
          </w:rPr>
          <w:t>4.2.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Zone d’influence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145</w:t>
        </w:r>
        <w:r w:rsidR="00BC4187" w:rsidRPr="00BC4187">
          <w:rPr>
            <w:rFonts w:ascii="Times New Roman" w:hAnsi="Times New Roman"/>
            <w:noProof/>
            <w:webHidden/>
            <w:sz w:val="24"/>
            <w:szCs w:val="24"/>
          </w:rPr>
          <w:fldChar w:fldCharType="end"/>
        </w:r>
      </w:hyperlink>
    </w:p>
    <w:p w14:paraId="1FD773A6"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4" w:history="1">
        <w:r w:rsidR="00BC4187" w:rsidRPr="00BC4187">
          <w:rPr>
            <w:rStyle w:val="Lienhypertexte"/>
            <w:rFonts w:ascii="Times New Roman" w:eastAsia="Times New Roman" w:hAnsi="Times New Roman"/>
            <w:noProof/>
            <w:sz w:val="24"/>
            <w:szCs w:val="24"/>
          </w:rPr>
          <w:t>4.3.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Profil biophysique et socio-économique de la zone d’étude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146</w:t>
        </w:r>
        <w:r w:rsidR="00BC4187" w:rsidRPr="00BC4187">
          <w:rPr>
            <w:rFonts w:ascii="Times New Roman" w:hAnsi="Times New Roman"/>
            <w:noProof/>
            <w:webHidden/>
            <w:sz w:val="24"/>
            <w:szCs w:val="24"/>
          </w:rPr>
          <w:fldChar w:fldCharType="end"/>
        </w:r>
      </w:hyperlink>
    </w:p>
    <w:p w14:paraId="277C64B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5" w:history="1">
        <w:r w:rsidR="00BC4187" w:rsidRPr="00BC4187">
          <w:rPr>
            <w:rStyle w:val="Lienhypertexte"/>
            <w:rFonts w:ascii="Times New Roman" w:eastAsia="Times New Roman" w:hAnsi="Times New Roman"/>
            <w:bCs/>
            <w:noProof/>
            <w:sz w:val="24"/>
            <w:szCs w:val="24"/>
          </w:rPr>
          <w:t>4.4.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bCs/>
            <w:noProof/>
            <w:sz w:val="24"/>
            <w:szCs w:val="24"/>
          </w:rPr>
          <w:t>Résultat d’analyse chimique de l’air, de l’eau du sol et des bruits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158</w:t>
        </w:r>
        <w:r w:rsidR="00BC4187" w:rsidRPr="00BC4187">
          <w:rPr>
            <w:rFonts w:ascii="Times New Roman" w:hAnsi="Times New Roman"/>
            <w:noProof/>
            <w:webHidden/>
            <w:sz w:val="24"/>
            <w:szCs w:val="24"/>
          </w:rPr>
          <w:fldChar w:fldCharType="end"/>
        </w:r>
      </w:hyperlink>
    </w:p>
    <w:p w14:paraId="6A31CB2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6" w:history="1">
        <w:r w:rsidR="00BC4187" w:rsidRPr="00BC4187">
          <w:rPr>
            <w:rStyle w:val="Lienhypertexte"/>
            <w:rFonts w:ascii="Times New Roman" w:hAnsi="Times New Roman"/>
            <w:noProof/>
            <w:sz w:val="24"/>
            <w:szCs w:val="24"/>
          </w:rPr>
          <w:t>4.4.1.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Présentation et interprétation des résultats de la qualité et la structure du Sol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159</w:t>
        </w:r>
        <w:r w:rsidR="00BC4187" w:rsidRPr="00BC4187">
          <w:rPr>
            <w:rFonts w:ascii="Times New Roman" w:hAnsi="Times New Roman"/>
            <w:noProof/>
            <w:webHidden/>
            <w:sz w:val="24"/>
            <w:szCs w:val="24"/>
          </w:rPr>
          <w:fldChar w:fldCharType="end"/>
        </w:r>
      </w:hyperlink>
    </w:p>
    <w:p w14:paraId="134A7F5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7" w:history="1">
        <w:r w:rsidR="00BC4187" w:rsidRPr="00BC4187">
          <w:rPr>
            <w:rStyle w:val="Lienhypertexte"/>
            <w:rFonts w:ascii="Times New Roman" w:hAnsi="Times New Roman"/>
            <w:noProof/>
            <w:sz w:val="24"/>
            <w:szCs w:val="24"/>
          </w:rPr>
          <w:t>4.4.2.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Présentation et interprétation des résultats de la qualité de l’eau</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163</w:t>
        </w:r>
        <w:r w:rsidR="00BC4187" w:rsidRPr="00BC4187">
          <w:rPr>
            <w:rFonts w:ascii="Times New Roman" w:hAnsi="Times New Roman"/>
            <w:noProof/>
            <w:webHidden/>
            <w:sz w:val="24"/>
            <w:szCs w:val="24"/>
          </w:rPr>
          <w:fldChar w:fldCharType="end"/>
        </w:r>
      </w:hyperlink>
    </w:p>
    <w:p w14:paraId="2C04EC7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8" w:history="1">
        <w:r w:rsidR="00BC4187" w:rsidRPr="00BC4187">
          <w:rPr>
            <w:rStyle w:val="Lienhypertexte"/>
            <w:rFonts w:ascii="Times New Roman" w:hAnsi="Times New Roman"/>
            <w:noProof/>
            <w:sz w:val="24"/>
            <w:szCs w:val="24"/>
          </w:rPr>
          <w:t>4.4.3.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Interprétation des résultats sur la qualité de l’air</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171</w:t>
        </w:r>
        <w:r w:rsidR="00BC4187" w:rsidRPr="00BC4187">
          <w:rPr>
            <w:rFonts w:ascii="Times New Roman" w:hAnsi="Times New Roman"/>
            <w:noProof/>
            <w:webHidden/>
            <w:sz w:val="24"/>
            <w:szCs w:val="24"/>
          </w:rPr>
          <w:fldChar w:fldCharType="end"/>
        </w:r>
      </w:hyperlink>
    </w:p>
    <w:p w14:paraId="53F0C80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39" w:history="1">
        <w:r w:rsidR="00BC4187" w:rsidRPr="00BC4187">
          <w:rPr>
            <w:rStyle w:val="Lienhypertexte"/>
            <w:rFonts w:ascii="Times New Roman" w:hAnsi="Times New Roman"/>
            <w:noProof/>
            <w:sz w:val="24"/>
            <w:szCs w:val="24"/>
          </w:rPr>
          <w:t>4.4.4.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Présentation et interprétation des résultats sur le bruit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_Toc103685639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171</w:t>
        </w:r>
        <w:r w:rsidR="00BC4187" w:rsidRPr="00BC4187">
          <w:rPr>
            <w:rFonts w:ascii="Times New Roman" w:hAnsi="Times New Roman"/>
            <w:noProof/>
            <w:webHidden/>
            <w:sz w:val="24"/>
            <w:szCs w:val="24"/>
          </w:rPr>
          <w:fldChar w:fldCharType="end"/>
        </w:r>
      </w:hyperlink>
    </w:p>
    <w:p w14:paraId="5737A2B7"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0" w:history="1">
        <w:r w:rsidR="00BC4187" w:rsidRPr="00BC4187">
          <w:rPr>
            <w:rStyle w:val="Lienhypertexte"/>
            <w:rFonts w:ascii="Times New Roman" w:eastAsia="Times New Roman" w:hAnsi="Times New Roman"/>
            <w:noProof/>
            <w:sz w:val="24"/>
            <w:szCs w:val="24"/>
          </w:rPr>
          <w:t>4.5.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Analyse des enjeux environnementaux et sociaux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172</w:t>
        </w:r>
        <w:r w:rsidR="00BC4187" w:rsidRPr="00BC4187">
          <w:rPr>
            <w:rFonts w:ascii="Times New Roman" w:hAnsi="Times New Roman"/>
            <w:noProof/>
            <w:webHidden/>
            <w:sz w:val="24"/>
            <w:szCs w:val="24"/>
          </w:rPr>
          <w:fldChar w:fldCharType="end"/>
        </w:r>
      </w:hyperlink>
    </w:p>
    <w:p w14:paraId="0C6A3A53" w14:textId="77777777" w:rsidR="00BC4187" w:rsidRPr="00BC4187" w:rsidRDefault="004C0F64" w:rsidP="00BC4187">
      <w:pPr>
        <w:pStyle w:val="TM1"/>
        <w:spacing w:line="20" w:lineRule="atLeast"/>
        <w:rPr>
          <w:rFonts w:eastAsiaTheme="minorEastAsia"/>
          <w:b w:val="0"/>
          <w:lang w:eastAsia="fr-FR"/>
        </w:rPr>
      </w:pPr>
      <w:hyperlink w:anchor="_Toc103685641" w:history="1">
        <w:r w:rsidR="00BC4187" w:rsidRPr="00BC4187">
          <w:rPr>
            <w:rStyle w:val="Lienhypertexte"/>
            <w:b w:val="0"/>
          </w:rPr>
          <w:t>5.</w:t>
        </w:r>
        <w:r w:rsidR="00BC4187" w:rsidRPr="00BC4187">
          <w:rPr>
            <w:rFonts w:eastAsiaTheme="minorEastAsia"/>
            <w:b w:val="0"/>
            <w:lang w:eastAsia="fr-FR"/>
          </w:rPr>
          <w:tab/>
        </w:r>
        <w:r w:rsidR="00BC4187" w:rsidRPr="00BC4187">
          <w:rPr>
            <w:rStyle w:val="Lienhypertexte"/>
            <w:b w:val="0"/>
          </w:rPr>
          <w:t>ANALYSE DES ALTERNATIVES ET VARIANTES DU PROJET</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_Toc103685641 \h </w:instrText>
        </w:r>
        <w:r w:rsidR="00BC4187" w:rsidRPr="00BC4187">
          <w:rPr>
            <w:b w:val="0"/>
            <w:webHidden/>
          </w:rPr>
        </w:r>
        <w:r w:rsidR="00BC4187" w:rsidRPr="00BC4187">
          <w:rPr>
            <w:b w:val="0"/>
            <w:webHidden/>
          </w:rPr>
          <w:fldChar w:fldCharType="separate"/>
        </w:r>
        <w:r w:rsidR="00BC4187" w:rsidRPr="00BC4187">
          <w:rPr>
            <w:b w:val="0"/>
            <w:webHidden/>
          </w:rPr>
          <w:t>177</w:t>
        </w:r>
        <w:r w:rsidR="00BC4187" w:rsidRPr="00BC4187">
          <w:rPr>
            <w:b w:val="0"/>
            <w:webHidden/>
          </w:rPr>
          <w:fldChar w:fldCharType="end"/>
        </w:r>
      </w:hyperlink>
    </w:p>
    <w:p w14:paraId="624C2E9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2" w:history="1">
        <w:r w:rsidR="00BC4187" w:rsidRPr="00BC4187">
          <w:rPr>
            <w:rStyle w:val="Lienhypertexte"/>
            <w:rFonts w:ascii="Times New Roman" w:eastAsia="Times New Roman" w:hAnsi="Times New Roman"/>
            <w:noProof/>
            <w:sz w:val="24"/>
            <w:szCs w:val="24"/>
          </w:rPr>
          <w:t>5.1.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Analyse de la variante « sans projet »</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177</w:t>
        </w:r>
        <w:r w:rsidR="00BC4187" w:rsidRPr="00BC4187">
          <w:rPr>
            <w:rFonts w:ascii="Times New Roman" w:hAnsi="Times New Roman"/>
            <w:noProof/>
            <w:webHidden/>
            <w:sz w:val="24"/>
            <w:szCs w:val="24"/>
          </w:rPr>
          <w:fldChar w:fldCharType="end"/>
        </w:r>
      </w:hyperlink>
    </w:p>
    <w:p w14:paraId="1FA3FF52"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3" w:history="1">
        <w:r w:rsidR="00BC4187" w:rsidRPr="00BC4187">
          <w:rPr>
            <w:rStyle w:val="Lienhypertexte"/>
            <w:rFonts w:ascii="Times New Roman" w:eastAsia="Times New Roman" w:hAnsi="Times New Roman"/>
            <w:noProof/>
            <w:sz w:val="24"/>
            <w:szCs w:val="24"/>
          </w:rPr>
          <w:t>5.2.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Analyse de la variante « avec projet »</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177</w:t>
        </w:r>
        <w:r w:rsidR="00BC4187" w:rsidRPr="00BC4187">
          <w:rPr>
            <w:rFonts w:ascii="Times New Roman" w:hAnsi="Times New Roman"/>
            <w:noProof/>
            <w:webHidden/>
            <w:sz w:val="24"/>
            <w:szCs w:val="24"/>
          </w:rPr>
          <w:fldChar w:fldCharType="end"/>
        </w:r>
      </w:hyperlink>
    </w:p>
    <w:p w14:paraId="7186A38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4" w:history="1">
        <w:r w:rsidR="00BC4187" w:rsidRPr="00BC4187">
          <w:rPr>
            <w:rStyle w:val="Lienhypertexte"/>
            <w:rFonts w:ascii="Times New Roman" w:eastAsia="Times New Roman" w:hAnsi="Times New Roman"/>
            <w:noProof/>
            <w:sz w:val="24"/>
            <w:szCs w:val="24"/>
          </w:rPr>
          <w:t>5.3.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Analyse des alternatives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177</w:t>
        </w:r>
        <w:r w:rsidR="00BC4187" w:rsidRPr="00BC4187">
          <w:rPr>
            <w:rFonts w:ascii="Times New Roman" w:hAnsi="Times New Roman"/>
            <w:noProof/>
            <w:webHidden/>
            <w:sz w:val="24"/>
            <w:szCs w:val="24"/>
          </w:rPr>
          <w:fldChar w:fldCharType="end"/>
        </w:r>
      </w:hyperlink>
    </w:p>
    <w:p w14:paraId="553D9CA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5" w:history="1">
        <w:r w:rsidR="00BC4187" w:rsidRPr="00BC4187">
          <w:rPr>
            <w:rStyle w:val="Lienhypertexte"/>
            <w:rFonts w:ascii="Times New Roman" w:hAnsi="Times New Roman"/>
            <w:noProof/>
            <w:sz w:val="24"/>
            <w:szCs w:val="24"/>
          </w:rPr>
          <w:t>5.3.1.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Option sans projet ou scénario de non développement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177</w:t>
        </w:r>
        <w:r w:rsidR="00BC4187" w:rsidRPr="00BC4187">
          <w:rPr>
            <w:rFonts w:ascii="Times New Roman" w:hAnsi="Times New Roman"/>
            <w:noProof/>
            <w:webHidden/>
            <w:sz w:val="24"/>
            <w:szCs w:val="24"/>
          </w:rPr>
          <w:fldChar w:fldCharType="end"/>
        </w:r>
      </w:hyperlink>
    </w:p>
    <w:p w14:paraId="37B0C99B"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46" w:history="1">
        <w:r w:rsidR="00BC4187" w:rsidRPr="00BC4187">
          <w:rPr>
            <w:rStyle w:val="Lienhypertexte"/>
            <w:rFonts w:ascii="Times New Roman" w:hAnsi="Times New Roman"/>
            <w:noProof/>
            <w:sz w:val="24"/>
            <w:szCs w:val="24"/>
          </w:rPr>
          <w:t>5.3.2.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Analyse de la variante « avec projet »</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178</w:t>
        </w:r>
        <w:r w:rsidR="00BC4187" w:rsidRPr="00BC4187">
          <w:rPr>
            <w:rFonts w:ascii="Times New Roman" w:hAnsi="Times New Roman"/>
            <w:noProof/>
            <w:webHidden/>
            <w:sz w:val="24"/>
            <w:szCs w:val="24"/>
          </w:rPr>
          <w:fldChar w:fldCharType="end"/>
        </w:r>
      </w:hyperlink>
    </w:p>
    <w:p w14:paraId="14330598"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47" w:history="1">
        <w:r w:rsidR="00BC4187" w:rsidRPr="00BC4187">
          <w:rPr>
            <w:rStyle w:val="Lienhypertexte"/>
            <w:rFonts w:ascii="Times New Roman" w:hAnsi="Times New Roman"/>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Variante 1 : Réseau MT/BT MALT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179</w:t>
        </w:r>
        <w:r w:rsidR="00BC4187" w:rsidRPr="00BC4187">
          <w:rPr>
            <w:rFonts w:ascii="Times New Roman" w:hAnsi="Times New Roman"/>
            <w:noProof/>
            <w:webHidden/>
            <w:sz w:val="24"/>
            <w:szCs w:val="24"/>
          </w:rPr>
          <w:fldChar w:fldCharType="end"/>
        </w:r>
      </w:hyperlink>
    </w:p>
    <w:p w14:paraId="046A5A3C"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48" w:history="1">
        <w:r w:rsidR="00BC4187" w:rsidRPr="00BC4187">
          <w:rPr>
            <w:rStyle w:val="Lienhypertexte"/>
            <w:rFonts w:ascii="Times New Roman" w:hAnsi="Times New Roman"/>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Variante 2 : Réseau MT/BT conventionnel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179</w:t>
        </w:r>
        <w:r w:rsidR="00BC4187" w:rsidRPr="00BC4187">
          <w:rPr>
            <w:rFonts w:ascii="Times New Roman" w:hAnsi="Times New Roman"/>
            <w:noProof/>
            <w:webHidden/>
            <w:sz w:val="24"/>
            <w:szCs w:val="24"/>
          </w:rPr>
          <w:fldChar w:fldCharType="end"/>
        </w:r>
      </w:hyperlink>
    </w:p>
    <w:p w14:paraId="7F14643E"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49" w:history="1">
        <w:r w:rsidR="00BC4187" w:rsidRPr="00BC4187">
          <w:rPr>
            <w:rStyle w:val="Lienhypertexte"/>
            <w:rFonts w:ascii="Times New Roman" w:hAnsi="Times New Roman"/>
            <w:noProof/>
            <w:sz w:val="24"/>
            <w:szCs w:val="24"/>
          </w:rPr>
          <w:t>c)</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Conclusion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_Toc103685649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180</w:t>
        </w:r>
        <w:r w:rsidR="00BC4187" w:rsidRPr="00BC4187">
          <w:rPr>
            <w:rFonts w:ascii="Times New Roman" w:hAnsi="Times New Roman"/>
            <w:noProof/>
            <w:webHidden/>
            <w:sz w:val="24"/>
            <w:szCs w:val="24"/>
          </w:rPr>
          <w:fldChar w:fldCharType="end"/>
        </w:r>
      </w:hyperlink>
    </w:p>
    <w:p w14:paraId="4C56A46B" w14:textId="77777777" w:rsidR="00BC4187" w:rsidRPr="00BC4187" w:rsidRDefault="004C0F64" w:rsidP="00BC4187">
      <w:pPr>
        <w:pStyle w:val="TM1"/>
        <w:spacing w:line="20" w:lineRule="atLeast"/>
        <w:rPr>
          <w:rFonts w:eastAsiaTheme="minorEastAsia"/>
          <w:b w:val="0"/>
          <w:lang w:eastAsia="fr-FR"/>
        </w:rPr>
      </w:pPr>
      <w:hyperlink w:anchor="_Toc103685650" w:history="1">
        <w:r w:rsidR="00BC4187" w:rsidRPr="00BC4187">
          <w:rPr>
            <w:rStyle w:val="Lienhypertexte"/>
            <w:b w:val="0"/>
          </w:rPr>
          <w:t>6.</w:t>
        </w:r>
        <w:r w:rsidR="00BC4187" w:rsidRPr="00BC4187">
          <w:rPr>
            <w:rFonts w:eastAsiaTheme="minorEastAsia"/>
            <w:b w:val="0"/>
            <w:lang w:eastAsia="fr-FR"/>
          </w:rPr>
          <w:tab/>
        </w:r>
        <w:r w:rsidR="00BC4187" w:rsidRPr="00BC4187">
          <w:rPr>
            <w:rStyle w:val="Lienhypertexte"/>
            <w:b w:val="0"/>
          </w:rPr>
          <w:t>RISQUES ET EFFETS ENVIRONNEMENTAUX ET SOCIAUX</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_Toc103685650 \h </w:instrText>
        </w:r>
        <w:r w:rsidR="00BC4187" w:rsidRPr="00BC4187">
          <w:rPr>
            <w:b w:val="0"/>
            <w:webHidden/>
          </w:rPr>
        </w:r>
        <w:r w:rsidR="00BC4187" w:rsidRPr="00BC4187">
          <w:rPr>
            <w:b w:val="0"/>
            <w:webHidden/>
          </w:rPr>
          <w:fldChar w:fldCharType="separate"/>
        </w:r>
        <w:r w:rsidR="00BC4187" w:rsidRPr="00BC4187">
          <w:rPr>
            <w:b w:val="0"/>
            <w:webHidden/>
          </w:rPr>
          <w:t>182</w:t>
        </w:r>
        <w:r w:rsidR="00BC4187" w:rsidRPr="00BC4187">
          <w:rPr>
            <w:b w:val="0"/>
            <w:webHidden/>
          </w:rPr>
          <w:fldChar w:fldCharType="end"/>
        </w:r>
      </w:hyperlink>
    </w:p>
    <w:p w14:paraId="32EE8D7D" w14:textId="77777777" w:rsidR="00BC4187" w:rsidRPr="00BC4187" w:rsidRDefault="004C0F64" w:rsidP="00BC4187">
      <w:pPr>
        <w:pStyle w:val="TM1"/>
        <w:spacing w:line="20" w:lineRule="atLeast"/>
        <w:rPr>
          <w:rFonts w:eastAsiaTheme="minorEastAsia"/>
          <w:b w:val="0"/>
          <w:lang w:eastAsia="fr-FR"/>
        </w:rPr>
      </w:pPr>
      <w:hyperlink w:anchor="_Toc103685651" w:history="1">
        <w:r w:rsidR="00BC4187" w:rsidRPr="00BC4187">
          <w:rPr>
            <w:rStyle w:val="Lienhypertexte"/>
            <w:b w:val="0"/>
          </w:rPr>
          <w:t>6.1.</w:t>
        </w:r>
        <w:r w:rsidR="00BC4187" w:rsidRPr="00BC4187">
          <w:rPr>
            <w:rFonts w:eastAsiaTheme="minorEastAsia"/>
            <w:b w:val="0"/>
            <w:lang w:eastAsia="fr-FR"/>
          </w:rPr>
          <w:tab/>
        </w:r>
        <w:r w:rsidR="00BC4187" w:rsidRPr="00BC4187">
          <w:rPr>
            <w:rStyle w:val="Lienhypertexte"/>
            <w:b w:val="0"/>
          </w:rPr>
          <w:t>Méthodes et techniques utilisées dans l’évaluation et analyse des impacts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_Toc103685651 \h </w:instrText>
        </w:r>
        <w:r w:rsidR="00BC4187" w:rsidRPr="00BC4187">
          <w:rPr>
            <w:b w:val="0"/>
            <w:webHidden/>
          </w:rPr>
        </w:r>
        <w:r w:rsidR="00BC4187" w:rsidRPr="00BC4187">
          <w:rPr>
            <w:b w:val="0"/>
            <w:webHidden/>
          </w:rPr>
          <w:fldChar w:fldCharType="separate"/>
        </w:r>
        <w:r w:rsidR="00BC4187" w:rsidRPr="00BC4187">
          <w:rPr>
            <w:b w:val="0"/>
            <w:webHidden/>
          </w:rPr>
          <w:t>182</w:t>
        </w:r>
        <w:r w:rsidR="00BC4187" w:rsidRPr="00BC4187">
          <w:rPr>
            <w:b w:val="0"/>
            <w:webHidden/>
          </w:rPr>
          <w:fldChar w:fldCharType="end"/>
        </w:r>
      </w:hyperlink>
    </w:p>
    <w:p w14:paraId="04B6CE7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52" w:history="1">
        <w:r w:rsidR="00BC4187" w:rsidRPr="00BC4187">
          <w:rPr>
            <w:rStyle w:val="Lienhypertexte"/>
            <w:rFonts w:ascii="Times New Roman" w:eastAsia="Times New Roman" w:hAnsi="Times New Roman"/>
            <w:noProof/>
            <w:sz w:val="24"/>
            <w:szCs w:val="24"/>
          </w:rPr>
          <w:t>6.1.1.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Identification des impacts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182</w:t>
        </w:r>
        <w:r w:rsidR="00BC4187" w:rsidRPr="00BC4187">
          <w:rPr>
            <w:rFonts w:ascii="Times New Roman" w:hAnsi="Times New Roman"/>
            <w:noProof/>
            <w:webHidden/>
            <w:sz w:val="24"/>
            <w:szCs w:val="24"/>
          </w:rPr>
          <w:fldChar w:fldCharType="end"/>
        </w:r>
      </w:hyperlink>
    </w:p>
    <w:p w14:paraId="741BDE88"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53" w:history="1">
        <w:r w:rsidR="00BC4187" w:rsidRPr="00BC4187">
          <w:rPr>
            <w:rStyle w:val="Lienhypertexte"/>
            <w:rFonts w:ascii="Times New Roman" w:eastAsia="Times New Roman" w:hAnsi="Times New Roman"/>
            <w:noProof/>
            <w:sz w:val="24"/>
            <w:szCs w:val="24"/>
          </w:rPr>
          <w:t>6.1.2.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Evaluation des impacts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182</w:t>
        </w:r>
        <w:r w:rsidR="00BC4187" w:rsidRPr="00BC4187">
          <w:rPr>
            <w:rFonts w:ascii="Times New Roman" w:hAnsi="Times New Roman"/>
            <w:noProof/>
            <w:webHidden/>
            <w:sz w:val="24"/>
            <w:szCs w:val="24"/>
          </w:rPr>
          <w:fldChar w:fldCharType="end"/>
        </w:r>
      </w:hyperlink>
    </w:p>
    <w:p w14:paraId="6C34FACB"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54" w:history="1">
        <w:r w:rsidR="00BC4187" w:rsidRPr="00BC4187">
          <w:rPr>
            <w:rStyle w:val="Lienhypertexte"/>
            <w:rFonts w:ascii="Times New Roman" w:eastAsia="Times New Roman" w:hAnsi="Times New Roman"/>
            <w:noProof/>
            <w:sz w:val="24"/>
            <w:szCs w:val="24"/>
          </w:rPr>
          <w:t>6.1.3.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Utilisation de la grille de Fecteau</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185</w:t>
        </w:r>
        <w:r w:rsidR="00BC4187" w:rsidRPr="00BC4187">
          <w:rPr>
            <w:rFonts w:ascii="Times New Roman" w:hAnsi="Times New Roman"/>
            <w:noProof/>
            <w:webHidden/>
            <w:sz w:val="24"/>
            <w:szCs w:val="24"/>
          </w:rPr>
          <w:fldChar w:fldCharType="end"/>
        </w:r>
      </w:hyperlink>
    </w:p>
    <w:p w14:paraId="47863375" w14:textId="77777777" w:rsidR="00BC4187" w:rsidRPr="00BC4187" w:rsidRDefault="004C0F64" w:rsidP="00BC4187">
      <w:pPr>
        <w:pStyle w:val="TM1"/>
        <w:spacing w:line="20" w:lineRule="atLeast"/>
        <w:rPr>
          <w:rFonts w:eastAsiaTheme="minorEastAsia"/>
          <w:b w:val="0"/>
          <w:lang w:eastAsia="fr-FR"/>
        </w:rPr>
      </w:pPr>
      <w:hyperlink w:anchor="_Toc103685655" w:history="1">
        <w:r w:rsidR="00BC4187" w:rsidRPr="00BC4187">
          <w:rPr>
            <w:rStyle w:val="Lienhypertexte"/>
            <w:b w:val="0"/>
          </w:rPr>
          <w:t>6.2.</w:t>
        </w:r>
        <w:r w:rsidR="00BC4187" w:rsidRPr="00BC4187">
          <w:rPr>
            <w:rFonts w:eastAsiaTheme="minorEastAsia"/>
            <w:b w:val="0"/>
            <w:lang w:eastAsia="fr-FR"/>
          </w:rPr>
          <w:tab/>
        </w:r>
        <w:r w:rsidR="00BC4187" w:rsidRPr="00BC4187">
          <w:rPr>
            <w:rStyle w:val="Lienhypertexte"/>
            <w:b w:val="0"/>
          </w:rPr>
          <w:t>Identification des sources et récepteurs d’impacts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_Toc103685655 \h </w:instrText>
        </w:r>
        <w:r w:rsidR="00BC4187" w:rsidRPr="00BC4187">
          <w:rPr>
            <w:b w:val="0"/>
            <w:webHidden/>
          </w:rPr>
        </w:r>
        <w:r w:rsidR="00BC4187" w:rsidRPr="00BC4187">
          <w:rPr>
            <w:b w:val="0"/>
            <w:webHidden/>
          </w:rPr>
          <w:fldChar w:fldCharType="separate"/>
        </w:r>
        <w:r w:rsidR="00BC4187" w:rsidRPr="00BC4187">
          <w:rPr>
            <w:b w:val="0"/>
            <w:webHidden/>
          </w:rPr>
          <w:t>186</w:t>
        </w:r>
        <w:r w:rsidR="00BC4187" w:rsidRPr="00BC4187">
          <w:rPr>
            <w:b w:val="0"/>
            <w:webHidden/>
          </w:rPr>
          <w:fldChar w:fldCharType="end"/>
        </w:r>
      </w:hyperlink>
    </w:p>
    <w:p w14:paraId="0270F722"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56" w:history="1">
        <w:r w:rsidR="00BC4187" w:rsidRPr="00BC4187">
          <w:rPr>
            <w:rStyle w:val="Lienhypertexte"/>
            <w:rFonts w:ascii="Times New Roman" w:eastAsia="Times New Roman" w:hAnsi="Times New Roman"/>
            <w:noProof/>
            <w:sz w:val="24"/>
            <w:szCs w:val="24"/>
          </w:rPr>
          <w:t>6.2.1.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Sources d’impacts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42C58ED8"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57" w:history="1">
        <w:r w:rsidR="00BC4187" w:rsidRPr="00BC4187">
          <w:rPr>
            <w:rStyle w:val="Lienhypertexte"/>
            <w:rFonts w:ascii="Times New Roman" w:hAnsi="Times New Roman"/>
            <w:i/>
            <w:iCs/>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Phase préparatoire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3005D6DA"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58" w:history="1">
        <w:r w:rsidR="00BC4187" w:rsidRPr="00BC4187">
          <w:rPr>
            <w:rStyle w:val="Lienhypertexte"/>
            <w:rFonts w:ascii="Times New Roman" w:hAnsi="Times New Roman"/>
            <w:i/>
            <w:iCs/>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Phase de construction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6B1046A1"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59" w:history="1">
        <w:r w:rsidR="00BC4187" w:rsidRPr="00BC4187">
          <w:rPr>
            <w:rStyle w:val="Lienhypertexte"/>
            <w:rFonts w:ascii="Times New Roman" w:hAnsi="Times New Roman"/>
            <w:i/>
            <w:iCs/>
            <w:noProof/>
            <w:sz w:val="24"/>
            <w:szCs w:val="24"/>
          </w:rPr>
          <w:t>c)</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Phase d’exploitation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_Toc103685659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6A727BBB"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60" w:history="1">
        <w:r w:rsidR="00BC4187" w:rsidRPr="00BC4187">
          <w:rPr>
            <w:rStyle w:val="Lienhypertexte"/>
            <w:rFonts w:ascii="Times New Roman" w:eastAsia="Times New Roman" w:hAnsi="Times New Roman"/>
            <w:noProof/>
            <w:sz w:val="24"/>
            <w:szCs w:val="24"/>
          </w:rPr>
          <w:t>6.2.2.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eastAsia="Times New Roman" w:hAnsi="Times New Roman"/>
            <w:noProof/>
            <w:sz w:val="24"/>
            <w:szCs w:val="24"/>
          </w:rPr>
          <w:t>Récepteurs d’impact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4501AED8"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61" w:history="1">
        <w:r w:rsidR="00BC4187" w:rsidRPr="00BC4187">
          <w:rPr>
            <w:rStyle w:val="Lienhypertexte"/>
            <w:rFonts w:ascii="Times New Roman" w:hAnsi="Times New Roman"/>
            <w:i/>
            <w:iCs/>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Milieu biophysique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6C9D5C3F"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62" w:history="1">
        <w:r w:rsidR="00BC4187" w:rsidRPr="00BC4187">
          <w:rPr>
            <w:rStyle w:val="Lienhypertexte"/>
            <w:rFonts w:ascii="Times New Roman" w:hAnsi="Times New Roman"/>
            <w:i/>
            <w:iCs/>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Milieu socioéconomique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186</w:t>
        </w:r>
        <w:r w:rsidR="00BC4187" w:rsidRPr="00BC4187">
          <w:rPr>
            <w:rFonts w:ascii="Times New Roman" w:hAnsi="Times New Roman"/>
            <w:noProof/>
            <w:webHidden/>
            <w:sz w:val="24"/>
            <w:szCs w:val="24"/>
          </w:rPr>
          <w:fldChar w:fldCharType="end"/>
        </w:r>
      </w:hyperlink>
    </w:p>
    <w:p w14:paraId="6BE8DD89" w14:textId="77777777" w:rsidR="00BC4187" w:rsidRPr="00BC4187" w:rsidRDefault="004C0F64" w:rsidP="00BC4187">
      <w:pPr>
        <w:pStyle w:val="TM1"/>
        <w:spacing w:line="20" w:lineRule="atLeast"/>
        <w:rPr>
          <w:rFonts w:eastAsiaTheme="minorEastAsia"/>
          <w:b w:val="0"/>
          <w:lang w:eastAsia="fr-FR"/>
        </w:rPr>
      </w:pPr>
      <w:hyperlink w:anchor="_Toc103685663" w:history="1">
        <w:r w:rsidR="00BC4187" w:rsidRPr="00BC4187">
          <w:rPr>
            <w:rStyle w:val="Lienhypertexte"/>
            <w:b w:val="0"/>
          </w:rPr>
          <w:t>6.3.</w:t>
        </w:r>
        <w:r w:rsidR="00BC4187" w:rsidRPr="00BC4187">
          <w:rPr>
            <w:rFonts w:eastAsiaTheme="minorEastAsia"/>
            <w:b w:val="0"/>
            <w:lang w:eastAsia="fr-FR"/>
          </w:rPr>
          <w:tab/>
        </w:r>
        <w:r w:rsidR="00BC4187" w:rsidRPr="00BC4187">
          <w:rPr>
            <w:rStyle w:val="Lienhypertexte"/>
            <w:b w:val="0"/>
          </w:rPr>
          <w:t>Analyse des impacts environnementaux et sociaux</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_Toc103685663 \h </w:instrText>
        </w:r>
        <w:r w:rsidR="00BC4187" w:rsidRPr="00BC4187">
          <w:rPr>
            <w:b w:val="0"/>
            <w:webHidden/>
          </w:rPr>
        </w:r>
        <w:r w:rsidR="00BC4187" w:rsidRPr="00BC4187">
          <w:rPr>
            <w:b w:val="0"/>
            <w:webHidden/>
          </w:rPr>
          <w:fldChar w:fldCharType="separate"/>
        </w:r>
        <w:r w:rsidR="00BC4187" w:rsidRPr="00BC4187">
          <w:rPr>
            <w:b w:val="0"/>
            <w:webHidden/>
          </w:rPr>
          <w:t>189</w:t>
        </w:r>
        <w:r w:rsidR="00BC4187" w:rsidRPr="00BC4187">
          <w:rPr>
            <w:b w:val="0"/>
            <w:webHidden/>
          </w:rPr>
          <w:fldChar w:fldCharType="end"/>
        </w:r>
      </w:hyperlink>
    </w:p>
    <w:p w14:paraId="5F87CC5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64" w:history="1">
        <w:r w:rsidR="00BC4187" w:rsidRPr="00BC4187">
          <w:rPr>
            <w:rStyle w:val="Lienhypertexte"/>
            <w:rFonts w:ascii="Times New Roman" w:hAnsi="Times New Roman"/>
            <w:noProof/>
            <w:sz w:val="24"/>
            <w:szCs w:val="24"/>
          </w:rPr>
          <w:t>6.3.1.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Variante sans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77B67A38"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65" w:history="1">
        <w:r w:rsidR="00BC4187" w:rsidRPr="00BC4187">
          <w:rPr>
            <w:rStyle w:val="Lienhypertexte"/>
            <w:rFonts w:ascii="Times New Roman" w:hAnsi="Times New Roman"/>
            <w:noProof/>
            <w:sz w:val="24"/>
            <w:szCs w:val="24"/>
          </w:rPr>
          <w:t>6.3.1.1.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positifs de la variante sans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2E7BB007"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66" w:history="1">
        <w:r w:rsidR="00BC4187" w:rsidRPr="00BC4187">
          <w:rPr>
            <w:rStyle w:val="Lienhypertexte"/>
            <w:rFonts w:ascii="Times New Roman" w:hAnsi="Times New Roman"/>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Plan environnemental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5A1CD5C8"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67" w:history="1">
        <w:r w:rsidR="00BC4187" w:rsidRPr="00BC4187">
          <w:rPr>
            <w:rStyle w:val="Lienhypertexte"/>
            <w:rFonts w:ascii="Times New Roman" w:hAnsi="Times New Roman"/>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Plan social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1F42404F"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68" w:history="1">
        <w:r w:rsidR="00BC4187" w:rsidRPr="00BC4187">
          <w:rPr>
            <w:rStyle w:val="Lienhypertexte"/>
            <w:rFonts w:ascii="Times New Roman" w:hAnsi="Times New Roman"/>
            <w:noProof/>
            <w:sz w:val="24"/>
            <w:szCs w:val="24"/>
          </w:rPr>
          <w:t>6.3.1.2.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négatifs de la variante sans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4BA9EAB2"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69" w:history="1">
        <w:r w:rsidR="00BC4187" w:rsidRPr="00BC4187">
          <w:rPr>
            <w:rStyle w:val="Lienhypertexte"/>
            <w:rFonts w:ascii="Times New Roman" w:hAnsi="Times New Roman"/>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Plan environnemental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_Toc103685669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509D79E4"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0" w:history="1">
        <w:r w:rsidR="00BC4187" w:rsidRPr="00BC4187">
          <w:rPr>
            <w:rStyle w:val="Lienhypertexte"/>
            <w:rFonts w:ascii="Times New Roman" w:hAnsi="Times New Roman"/>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Plan social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445A07C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71" w:history="1">
        <w:r w:rsidR="00BC4187" w:rsidRPr="00BC4187">
          <w:rPr>
            <w:rStyle w:val="Lienhypertexte"/>
            <w:rFonts w:ascii="Times New Roman" w:hAnsi="Times New Roman"/>
            <w:noProof/>
            <w:sz w:val="24"/>
            <w:szCs w:val="24"/>
          </w:rPr>
          <w:t>6.3.2.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Variante avec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4CE84E7B"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72" w:history="1">
        <w:r w:rsidR="00BC4187" w:rsidRPr="00BC4187">
          <w:rPr>
            <w:rStyle w:val="Lienhypertexte"/>
            <w:rFonts w:ascii="Times New Roman" w:hAnsi="Times New Roman"/>
            <w:noProof/>
            <w:sz w:val="24"/>
            <w:szCs w:val="24"/>
          </w:rPr>
          <w:t>6.3.2.1.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positifs de la variante avec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189</w:t>
        </w:r>
        <w:r w:rsidR="00BC4187" w:rsidRPr="00BC4187">
          <w:rPr>
            <w:rFonts w:ascii="Times New Roman" w:hAnsi="Times New Roman"/>
            <w:noProof/>
            <w:webHidden/>
            <w:sz w:val="24"/>
            <w:szCs w:val="24"/>
          </w:rPr>
          <w:fldChar w:fldCharType="end"/>
        </w:r>
      </w:hyperlink>
    </w:p>
    <w:p w14:paraId="07179696"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3" w:history="1">
        <w:r w:rsidR="00BC4187" w:rsidRPr="00BC4187">
          <w:rPr>
            <w:rStyle w:val="Lienhypertexte"/>
            <w:rFonts w:ascii="Times New Roman" w:hAnsi="Times New Roman"/>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environnementaux positifs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190</w:t>
        </w:r>
        <w:r w:rsidR="00BC4187" w:rsidRPr="00BC4187">
          <w:rPr>
            <w:rFonts w:ascii="Times New Roman" w:hAnsi="Times New Roman"/>
            <w:noProof/>
            <w:webHidden/>
            <w:sz w:val="24"/>
            <w:szCs w:val="24"/>
          </w:rPr>
          <w:fldChar w:fldCharType="end"/>
        </w:r>
      </w:hyperlink>
    </w:p>
    <w:p w14:paraId="2EF89A10"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4" w:history="1">
        <w:r w:rsidR="00BC4187" w:rsidRPr="00BC4187">
          <w:rPr>
            <w:rStyle w:val="Lienhypertexte"/>
            <w:rFonts w:ascii="Times New Roman" w:hAnsi="Times New Roman"/>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sociaux positifs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191</w:t>
        </w:r>
        <w:r w:rsidR="00BC4187" w:rsidRPr="00BC4187">
          <w:rPr>
            <w:rFonts w:ascii="Times New Roman" w:hAnsi="Times New Roman"/>
            <w:noProof/>
            <w:webHidden/>
            <w:sz w:val="24"/>
            <w:szCs w:val="24"/>
          </w:rPr>
          <w:fldChar w:fldCharType="end"/>
        </w:r>
      </w:hyperlink>
    </w:p>
    <w:p w14:paraId="123B19AD"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75" w:history="1">
        <w:r w:rsidR="00BC4187" w:rsidRPr="00BC4187">
          <w:rPr>
            <w:rStyle w:val="Lienhypertexte"/>
            <w:rFonts w:ascii="Times New Roman" w:hAnsi="Times New Roman"/>
            <w:noProof/>
            <w:sz w:val="24"/>
            <w:szCs w:val="24"/>
          </w:rPr>
          <w:t>6.3.2.2.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négatifs de la variante avec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194</w:t>
        </w:r>
        <w:r w:rsidR="00BC4187" w:rsidRPr="00BC4187">
          <w:rPr>
            <w:rFonts w:ascii="Times New Roman" w:hAnsi="Times New Roman"/>
            <w:noProof/>
            <w:webHidden/>
            <w:sz w:val="24"/>
            <w:szCs w:val="24"/>
          </w:rPr>
          <w:fldChar w:fldCharType="end"/>
        </w:r>
      </w:hyperlink>
    </w:p>
    <w:p w14:paraId="0054CEBA"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76" w:history="1">
        <w:r w:rsidR="00BC4187" w:rsidRPr="00BC4187">
          <w:rPr>
            <w:rStyle w:val="Lienhypertexte"/>
            <w:rFonts w:ascii="Times New Roman" w:hAnsi="Times New Roman"/>
            <w:noProof/>
            <w:sz w:val="24"/>
            <w:szCs w:val="24"/>
          </w:rPr>
          <w:t>6.3.2.3.</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environnementaux négatifs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194</w:t>
        </w:r>
        <w:r w:rsidR="00BC4187" w:rsidRPr="00BC4187">
          <w:rPr>
            <w:rFonts w:ascii="Times New Roman" w:hAnsi="Times New Roman"/>
            <w:noProof/>
            <w:webHidden/>
            <w:sz w:val="24"/>
            <w:szCs w:val="24"/>
          </w:rPr>
          <w:fldChar w:fldCharType="end"/>
        </w:r>
      </w:hyperlink>
    </w:p>
    <w:p w14:paraId="508B76FB"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7" w:history="1">
        <w:r w:rsidR="00BC4187" w:rsidRPr="00BC4187">
          <w:rPr>
            <w:rStyle w:val="Lienhypertexte"/>
            <w:rFonts w:ascii="Times New Roman" w:hAnsi="Times New Roman"/>
            <w:i/>
            <w:iCs/>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Phase préparatoire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194</w:t>
        </w:r>
        <w:r w:rsidR="00BC4187" w:rsidRPr="00BC4187">
          <w:rPr>
            <w:rFonts w:ascii="Times New Roman" w:hAnsi="Times New Roman"/>
            <w:noProof/>
            <w:webHidden/>
            <w:sz w:val="24"/>
            <w:szCs w:val="24"/>
          </w:rPr>
          <w:fldChar w:fldCharType="end"/>
        </w:r>
      </w:hyperlink>
    </w:p>
    <w:p w14:paraId="11606AFB"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8" w:history="1">
        <w:r w:rsidR="00BC4187" w:rsidRPr="00BC4187">
          <w:rPr>
            <w:rStyle w:val="Lienhypertexte"/>
            <w:rFonts w:ascii="Times New Roman" w:hAnsi="Times New Roman"/>
            <w:i/>
            <w:iCs/>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
            <w:iCs/>
            <w:noProof/>
            <w:sz w:val="24"/>
            <w:szCs w:val="24"/>
          </w:rPr>
          <w:t>Phase de construction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201</w:t>
        </w:r>
        <w:r w:rsidR="00BC4187" w:rsidRPr="00BC4187">
          <w:rPr>
            <w:rFonts w:ascii="Times New Roman" w:hAnsi="Times New Roman"/>
            <w:noProof/>
            <w:webHidden/>
            <w:sz w:val="24"/>
            <w:szCs w:val="24"/>
          </w:rPr>
          <w:fldChar w:fldCharType="end"/>
        </w:r>
      </w:hyperlink>
    </w:p>
    <w:p w14:paraId="3AF4E159"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79" w:history="1">
        <w:r w:rsidR="00BC4187" w:rsidRPr="00BC4187">
          <w:rPr>
            <w:rStyle w:val="Lienhypertexte"/>
            <w:rFonts w:ascii="Times New Roman" w:hAnsi="Times New Roman"/>
            <w:iCs/>
            <w:noProof/>
            <w:sz w:val="24"/>
            <w:szCs w:val="24"/>
          </w:rPr>
          <w:t>d)</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Cs/>
            <w:noProof/>
            <w:sz w:val="24"/>
            <w:szCs w:val="24"/>
          </w:rPr>
          <w:t>Synthèse des impacts négatifs environnementaux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_Toc103685679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211</w:t>
        </w:r>
        <w:r w:rsidR="00BC4187" w:rsidRPr="00BC4187">
          <w:rPr>
            <w:rFonts w:ascii="Times New Roman" w:hAnsi="Times New Roman"/>
            <w:noProof/>
            <w:webHidden/>
            <w:sz w:val="24"/>
            <w:szCs w:val="24"/>
          </w:rPr>
          <w:fldChar w:fldCharType="end"/>
        </w:r>
      </w:hyperlink>
    </w:p>
    <w:p w14:paraId="5F75D5B8"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80" w:history="1">
        <w:r w:rsidR="00BC4187" w:rsidRPr="00BC4187">
          <w:rPr>
            <w:rStyle w:val="Lienhypertexte"/>
            <w:rFonts w:ascii="Times New Roman" w:hAnsi="Times New Roman"/>
            <w:noProof/>
            <w:sz w:val="24"/>
            <w:szCs w:val="24"/>
          </w:rPr>
          <w:t>6.3.2.4.</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 social négatif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214</w:t>
        </w:r>
        <w:r w:rsidR="00BC4187" w:rsidRPr="00BC4187">
          <w:rPr>
            <w:rFonts w:ascii="Times New Roman" w:hAnsi="Times New Roman"/>
            <w:noProof/>
            <w:webHidden/>
            <w:sz w:val="24"/>
            <w:szCs w:val="24"/>
          </w:rPr>
          <w:fldChar w:fldCharType="end"/>
        </w:r>
      </w:hyperlink>
    </w:p>
    <w:p w14:paraId="4694CB23"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81" w:history="1">
        <w:r w:rsidR="00BC4187" w:rsidRPr="00BC4187">
          <w:rPr>
            <w:rStyle w:val="Lienhypertexte"/>
            <w:rFonts w:ascii="Times New Roman" w:hAnsi="Times New Roman"/>
            <w:iCs/>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Cs/>
            <w:noProof/>
            <w:sz w:val="24"/>
            <w:szCs w:val="24"/>
          </w:rPr>
          <w:t>Phase préparatoire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214</w:t>
        </w:r>
        <w:r w:rsidR="00BC4187" w:rsidRPr="00BC4187">
          <w:rPr>
            <w:rFonts w:ascii="Times New Roman" w:hAnsi="Times New Roman"/>
            <w:noProof/>
            <w:webHidden/>
            <w:sz w:val="24"/>
            <w:szCs w:val="24"/>
          </w:rPr>
          <w:fldChar w:fldCharType="end"/>
        </w:r>
      </w:hyperlink>
    </w:p>
    <w:p w14:paraId="5541C8A4"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682" w:history="1">
        <w:r w:rsidR="00BC4187" w:rsidRPr="00BC4187">
          <w:rPr>
            <w:rStyle w:val="Lienhypertexte"/>
            <w:rFonts w:ascii="Times New Roman" w:hAnsi="Times New Roman"/>
            <w:iCs/>
            <w:noProof/>
            <w:sz w:val="24"/>
            <w:szCs w:val="24"/>
          </w:rPr>
          <w:t>c)</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iCs/>
            <w:noProof/>
            <w:sz w:val="24"/>
            <w:szCs w:val="24"/>
          </w:rPr>
          <w:t>Synthèse des impacts sociaux de la variante avec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224</w:t>
        </w:r>
        <w:r w:rsidR="00BC4187" w:rsidRPr="00BC4187">
          <w:rPr>
            <w:rFonts w:ascii="Times New Roman" w:hAnsi="Times New Roman"/>
            <w:noProof/>
            <w:webHidden/>
            <w:sz w:val="24"/>
            <w:szCs w:val="24"/>
          </w:rPr>
          <w:fldChar w:fldCharType="end"/>
        </w:r>
      </w:hyperlink>
    </w:p>
    <w:p w14:paraId="57BB2DFE" w14:textId="77777777" w:rsidR="00BC4187" w:rsidRPr="00BC4187" w:rsidRDefault="004C0F64" w:rsidP="00BC4187">
      <w:pPr>
        <w:pStyle w:val="TM1"/>
        <w:spacing w:line="20" w:lineRule="atLeast"/>
        <w:rPr>
          <w:rFonts w:eastAsiaTheme="minorEastAsia"/>
          <w:b w:val="0"/>
          <w:lang w:eastAsia="fr-FR"/>
        </w:rPr>
      </w:pPr>
      <w:hyperlink w:anchor="_Toc103685683" w:history="1">
        <w:r w:rsidR="00BC4187" w:rsidRPr="00BC4187">
          <w:rPr>
            <w:rStyle w:val="Lienhypertexte"/>
            <w:b w:val="0"/>
          </w:rPr>
          <w:t>6.4.</w:t>
        </w:r>
        <w:r w:rsidR="00BC4187" w:rsidRPr="00BC4187">
          <w:rPr>
            <w:rFonts w:eastAsiaTheme="minorEastAsia"/>
            <w:b w:val="0"/>
            <w:lang w:eastAsia="fr-FR"/>
          </w:rPr>
          <w:tab/>
        </w:r>
        <w:r w:rsidR="00BC4187" w:rsidRPr="00BC4187">
          <w:rPr>
            <w:rStyle w:val="Lienhypertexte"/>
            <w:b w:val="0"/>
          </w:rPr>
          <w:t>Analyse des risques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_Toc103685683 \h </w:instrText>
        </w:r>
        <w:r w:rsidR="00BC4187" w:rsidRPr="00BC4187">
          <w:rPr>
            <w:b w:val="0"/>
            <w:webHidden/>
          </w:rPr>
        </w:r>
        <w:r w:rsidR="00BC4187" w:rsidRPr="00BC4187">
          <w:rPr>
            <w:b w:val="0"/>
            <w:webHidden/>
          </w:rPr>
          <w:fldChar w:fldCharType="separate"/>
        </w:r>
        <w:r w:rsidR="00BC4187" w:rsidRPr="00BC4187">
          <w:rPr>
            <w:b w:val="0"/>
            <w:webHidden/>
          </w:rPr>
          <w:t>227</w:t>
        </w:r>
        <w:r w:rsidR="00BC4187" w:rsidRPr="00BC4187">
          <w:rPr>
            <w:b w:val="0"/>
            <w:webHidden/>
          </w:rPr>
          <w:fldChar w:fldCharType="end"/>
        </w:r>
      </w:hyperlink>
    </w:p>
    <w:p w14:paraId="42E0512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84" w:history="1">
        <w:r w:rsidR="00BC4187" w:rsidRPr="00BC4187">
          <w:rPr>
            <w:rStyle w:val="Lienhypertexte"/>
            <w:rFonts w:ascii="Times New Roman" w:hAnsi="Times New Roman"/>
            <w:noProof/>
            <w:sz w:val="24"/>
            <w:szCs w:val="24"/>
          </w:rPr>
          <w:t>6.4.1.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Identification et évaluation des risques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227</w:t>
        </w:r>
        <w:r w:rsidR="00BC4187" w:rsidRPr="00BC4187">
          <w:rPr>
            <w:rFonts w:ascii="Times New Roman" w:hAnsi="Times New Roman"/>
            <w:noProof/>
            <w:webHidden/>
            <w:sz w:val="24"/>
            <w:szCs w:val="24"/>
          </w:rPr>
          <w:fldChar w:fldCharType="end"/>
        </w:r>
      </w:hyperlink>
    </w:p>
    <w:p w14:paraId="32950906"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85" w:history="1">
        <w:r w:rsidR="00BC4187" w:rsidRPr="00BC4187">
          <w:rPr>
            <w:rStyle w:val="Lienhypertexte"/>
            <w:rFonts w:ascii="Times New Roman" w:hAnsi="Times New Roman"/>
            <w:noProof/>
            <w:sz w:val="24"/>
            <w:szCs w:val="24"/>
          </w:rPr>
          <w:t>6.4.2.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Présentation de la grille d’évaluation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227</w:t>
        </w:r>
        <w:r w:rsidR="00BC4187" w:rsidRPr="00BC4187">
          <w:rPr>
            <w:rFonts w:ascii="Times New Roman" w:hAnsi="Times New Roman"/>
            <w:noProof/>
            <w:webHidden/>
            <w:sz w:val="24"/>
            <w:szCs w:val="24"/>
          </w:rPr>
          <w:fldChar w:fldCharType="end"/>
        </w:r>
      </w:hyperlink>
    </w:p>
    <w:p w14:paraId="1A88013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686" w:history="1">
        <w:r w:rsidR="00BC4187" w:rsidRPr="00BC4187">
          <w:rPr>
            <w:rStyle w:val="Lienhypertexte"/>
            <w:rFonts w:ascii="Times New Roman" w:hAnsi="Times New Roman"/>
            <w:noProof/>
            <w:sz w:val="24"/>
            <w:szCs w:val="24"/>
          </w:rPr>
          <w:t>6.4.3.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Risques en phase de travaux</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228</w:t>
        </w:r>
        <w:r w:rsidR="00BC4187" w:rsidRPr="00BC4187">
          <w:rPr>
            <w:rFonts w:ascii="Times New Roman" w:hAnsi="Times New Roman"/>
            <w:noProof/>
            <w:webHidden/>
            <w:sz w:val="24"/>
            <w:szCs w:val="24"/>
          </w:rPr>
          <w:fldChar w:fldCharType="end"/>
        </w:r>
      </w:hyperlink>
    </w:p>
    <w:p w14:paraId="6EA2C915" w14:textId="5632D3FD"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87" w:history="1">
        <w:r w:rsidR="00BC4187" w:rsidRPr="00BC4187">
          <w:rPr>
            <w:rStyle w:val="Lienhypertexte"/>
            <w:rFonts w:ascii="Times New Roman" w:hAnsi="Times New Roman"/>
            <w:noProof/>
            <w:sz w:val="24"/>
            <w:szCs w:val="24"/>
          </w:rPr>
          <w:t>6.4.3.1.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d’accidents liés aux mouvements des engins et équipements de chantier</w:t>
        </w:r>
        <w:r w:rsidR="00BC4187" w:rsidRPr="00BC4187">
          <w:rPr>
            <w:rFonts w:ascii="Times New Roman" w:hAnsi="Times New Roman"/>
            <w:noProof/>
            <w:webHidden/>
            <w:sz w:val="24"/>
            <w:szCs w:val="24"/>
          </w:rPr>
          <w:tab/>
        </w:r>
        <w:r w:rsid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228</w:t>
        </w:r>
        <w:r w:rsidR="00BC4187" w:rsidRPr="00BC4187">
          <w:rPr>
            <w:rFonts w:ascii="Times New Roman" w:hAnsi="Times New Roman"/>
            <w:noProof/>
            <w:webHidden/>
            <w:sz w:val="24"/>
            <w:szCs w:val="24"/>
          </w:rPr>
          <w:fldChar w:fldCharType="end"/>
        </w:r>
      </w:hyperlink>
    </w:p>
    <w:p w14:paraId="7609165F"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88" w:history="1">
        <w:r w:rsidR="00BC4187" w:rsidRPr="00BC4187">
          <w:rPr>
            <w:rStyle w:val="Lienhypertexte"/>
            <w:rFonts w:ascii="Times New Roman" w:hAnsi="Times New Roman"/>
            <w:noProof/>
            <w:sz w:val="24"/>
            <w:szCs w:val="24"/>
          </w:rPr>
          <w:t>6.4.3.2.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lié à la manutention manuelle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228</w:t>
        </w:r>
        <w:r w:rsidR="00BC4187" w:rsidRPr="00BC4187">
          <w:rPr>
            <w:rFonts w:ascii="Times New Roman" w:hAnsi="Times New Roman"/>
            <w:noProof/>
            <w:webHidden/>
            <w:sz w:val="24"/>
            <w:szCs w:val="24"/>
          </w:rPr>
          <w:fldChar w:fldCharType="end"/>
        </w:r>
      </w:hyperlink>
    </w:p>
    <w:p w14:paraId="55AC4281" w14:textId="76FB654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89" w:history="1">
        <w:r w:rsidR="00BC4187" w:rsidRPr="00BC4187">
          <w:rPr>
            <w:rStyle w:val="Lienhypertexte"/>
            <w:rFonts w:ascii="Times New Roman" w:hAnsi="Times New Roman"/>
            <w:noProof/>
            <w:sz w:val="24"/>
            <w:szCs w:val="24"/>
          </w:rPr>
          <w:t>6.4.3.3.</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d’accident lié aux chutes et aux effondrements (personnes et objets)</w:t>
        </w:r>
        <w:r w:rsidR="00BC4187" w:rsidRPr="00BC4187">
          <w:rPr>
            <w:rFonts w:ascii="Times New Roman" w:hAnsi="Times New Roman"/>
            <w:noProof/>
            <w:webHidden/>
            <w:sz w:val="24"/>
            <w:szCs w:val="24"/>
          </w:rPr>
          <w:tab/>
        </w:r>
        <w:r w:rsid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_Toc103685689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229</w:t>
        </w:r>
        <w:r w:rsidR="00BC4187" w:rsidRPr="00BC4187">
          <w:rPr>
            <w:rFonts w:ascii="Times New Roman" w:hAnsi="Times New Roman"/>
            <w:noProof/>
            <w:webHidden/>
            <w:sz w:val="24"/>
            <w:szCs w:val="24"/>
          </w:rPr>
          <w:fldChar w:fldCharType="end"/>
        </w:r>
      </w:hyperlink>
    </w:p>
    <w:p w14:paraId="4C8042C7"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0" w:history="1">
        <w:r w:rsidR="00BC4187" w:rsidRPr="00BC4187">
          <w:rPr>
            <w:rStyle w:val="Lienhypertexte"/>
            <w:rFonts w:ascii="Times New Roman" w:hAnsi="Times New Roman"/>
            <w:noProof/>
            <w:sz w:val="24"/>
            <w:szCs w:val="24"/>
          </w:rPr>
          <w:t>6.4.3.4.</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d’accident lié aux circulations des engins de chantier</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229</w:t>
        </w:r>
        <w:r w:rsidR="00BC4187" w:rsidRPr="00BC4187">
          <w:rPr>
            <w:rFonts w:ascii="Times New Roman" w:hAnsi="Times New Roman"/>
            <w:noProof/>
            <w:webHidden/>
            <w:sz w:val="24"/>
            <w:szCs w:val="24"/>
          </w:rPr>
          <w:fldChar w:fldCharType="end"/>
        </w:r>
      </w:hyperlink>
    </w:p>
    <w:p w14:paraId="6F8EA60E"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1" w:history="1">
        <w:r w:rsidR="00BC4187" w:rsidRPr="00BC4187">
          <w:rPr>
            <w:rStyle w:val="Lienhypertexte"/>
            <w:rFonts w:ascii="Times New Roman" w:hAnsi="Times New Roman"/>
            <w:noProof/>
            <w:sz w:val="24"/>
            <w:szCs w:val="24"/>
          </w:rPr>
          <w:t>6.4.3.5.</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de prolifération des déchets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230</w:t>
        </w:r>
        <w:r w:rsidR="00BC4187" w:rsidRPr="00BC4187">
          <w:rPr>
            <w:rFonts w:ascii="Times New Roman" w:hAnsi="Times New Roman"/>
            <w:noProof/>
            <w:webHidden/>
            <w:sz w:val="24"/>
            <w:szCs w:val="24"/>
          </w:rPr>
          <w:fldChar w:fldCharType="end"/>
        </w:r>
      </w:hyperlink>
    </w:p>
    <w:p w14:paraId="4E855827"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2" w:history="1">
        <w:r w:rsidR="00BC4187" w:rsidRPr="00BC4187">
          <w:rPr>
            <w:rStyle w:val="Lienhypertexte"/>
            <w:rFonts w:ascii="Times New Roman" w:hAnsi="Times New Roman"/>
            <w:noProof/>
            <w:sz w:val="24"/>
            <w:szCs w:val="24"/>
          </w:rPr>
          <w:t>6.4.3.6.</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d’incendie et d’explosion dans la base vie de chantier</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230</w:t>
        </w:r>
        <w:r w:rsidR="00BC4187" w:rsidRPr="00BC4187">
          <w:rPr>
            <w:rFonts w:ascii="Times New Roman" w:hAnsi="Times New Roman"/>
            <w:noProof/>
            <w:webHidden/>
            <w:sz w:val="24"/>
            <w:szCs w:val="24"/>
          </w:rPr>
          <w:fldChar w:fldCharType="end"/>
        </w:r>
      </w:hyperlink>
    </w:p>
    <w:p w14:paraId="6C93ADC0" w14:textId="256942DD"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3" w:history="1">
        <w:r w:rsidR="00BC4187" w:rsidRPr="00BC4187">
          <w:rPr>
            <w:rStyle w:val="Lienhypertexte"/>
            <w:rFonts w:ascii="Times New Roman" w:hAnsi="Times New Roman"/>
            <w:noProof/>
            <w:sz w:val="24"/>
            <w:szCs w:val="24"/>
          </w:rPr>
          <w:t>6.4.3.7.</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d’Exploitation et Abus Sexuel (EAS) et Harcèlement Sexuel (HS)</w:t>
        </w:r>
        <w:r w:rsidR="00BC4187" w:rsidRPr="00BC4187">
          <w:rPr>
            <w:rFonts w:ascii="Times New Roman" w:hAnsi="Times New Roman"/>
            <w:noProof/>
            <w:webHidden/>
            <w:sz w:val="24"/>
            <w:szCs w:val="24"/>
          </w:rPr>
          <w:tab/>
        </w:r>
        <w:r w:rsid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231</w:t>
        </w:r>
        <w:r w:rsidR="00BC4187" w:rsidRPr="00BC4187">
          <w:rPr>
            <w:rFonts w:ascii="Times New Roman" w:hAnsi="Times New Roman"/>
            <w:noProof/>
            <w:webHidden/>
            <w:sz w:val="24"/>
            <w:szCs w:val="24"/>
          </w:rPr>
          <w:fldChar w:fldCharType="end"/>
        </w:r>
      </w:hyperlink>
    </w:p>
    <w:p w14:paraId="787D99EE"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4" w:history="1">
        <w:r w:rsidR="00BC4187" w:rsidRPr="00BC4187">
          <w:rPr>
            <w:rStyle w:val="Lienhypertexte"/>
            <w:rFonts w:ascii="Times New Roman" w:hAnsi="Times New Roman"/>
            <w:noProof/>
            <w:sz w:val="24"/>
            <w:szCs w:val="24"/>
          </w:rPr>
          <w:t>6.4.3.8.</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de contamination de la COVID-19</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233</w:t>
        </w:r>
        <w:r w:rsidR="00BC4187" w:rsidRPr="00BC4187">
          <w:rPr>
            <w:rFonts w:ascii="Times New Roman" w:hAnsi="Times New Roman"/>
            <w:noProof/>
            <w:webHidden/>
            <w:sz w:val="24"/>
            <w:szCs w:val="24"/>
          </w:rPr>
          <w:fldChar w:fldCharType="end"/>
        </w:r>
      </w:hyperlink>
    </w:p>
    <w:p w14:paraId="058730FB"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5" w:history="1">
        <w:r w:rsidR="00BC4187" w:rsidRPr="00BC4187">
          <w:rPr>
            <w:rStyle w:val="Lienhypertexte"/>
            <w:rFonts w:ascii="Times New Roman" w:hAnsi="Times New Roman"/>
            <w:noProof/>
            <w:sz w:val="24"/>
            <w:szCs w:val="24"/>
          </w:rPr>
          <w:t>6.4.3.9.</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de la découverte fortuite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234</w:t>
        </w:r>
        <w:r w:rsidR="00BC4187" w:rsidRPr="00BC4187">
          <w:rPr>
            <w:rFonts w:ascii="Times New Roman" w:hAnsi="Times New Roman"/>
            <w:noProof/>
            <w:webHidden/>
            <w:sz w:val="24"/>
            <w:szCs w:val="24"/>
          </w:rPr>
          <w:fldChar w:fldCharType="end"/>
        </w:r>
      </w:hyperlink>
    </w:p>
    <w:p w14:paraId="2E6EC7DB"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6" w:history="1">
        <w:r w:rsidR="00BC4187" w:rsidRPr="00BC4187">
          <w:rPr>
            <w:rStyle w:val="Lienhypertexte"/>
            <w:rFonts w:ascii="Times New Roman" w:hAnsi="Times New Roman"/>
            <w:noProof/>
            <w:sz w:val="24"/>
            <w:szCs w:val="24"/>
          </w:rPr>
          <w:t>6.4.3.10.</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liés à la santé et sécurité au travail (OHS) et santé et sécurité pour les communautés et riverains des sites de construction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234</w:t>
        </w:r>
        <w:r w:rsidR="00BC4187" w:rsidRPr="00BC4187">
          <w:rPr>
            <w:rFonts w:ascii="Times New Roman" w:hAnsi="Times New Roman"/>
            <w:noProof/>
            <w:webHidden/>
            <w:sz w:val="24"/>
            <w:szCs w:val="24"/>
          </w:rPr>
          <w:fldChar w:fldCharType="end"/>
        </w:r>
      </w:hyperlink>
    </w:p>
    <w:p w14:paraId="6AF5D8A6"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7" w:history="1">
        <w:r w:rsidR="00BC4187" w:rsidRPr="00BC4187">
          <w:rPr>
            <w:rStyle w:val="Lienhypertexte"/>
            <w:rFonts w:ascii="Times New Roman" w:hAnsi="Times New Roman"/>
            <w:noProof/>
            <w:sz w:val="24"/>
            <w:szCs w:val="24"/>
          </w:rPr>
          <w:t>6.4.3.11.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de maladies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235</w:t>
        </w:r>
        <w:r w:rsidR="00BC4187" w:rsidRPr="00BC4187">
          <w:rPr>
            <w:rFonts w:ascii="Times New Roman" w:hAnsi="Times New Roman"/>
            <w:noProof/>
            <w:webHidden/>
            <w:sz w:val="24"/>
            <w:szCs w:val="24"/>
          </w:rPr>
          <w:fldChar w:fldCharType="end"/>
        </w:r>
      </w:hyperlink>
    </w:p>
    <w:p w14:paraId="74854C11"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8" w:history="1">
        <w:r w:rsidR="00BC4187" w:rsidRPr="00BC4187">
          <w:rPr>
            <w:rStyle w:val="Lienhypertexte"/>
            <w:rFonts w:ascii="Times New Roman" w:hAnsi="Times New Roman"/>
            <w:noProof/>
            <w:sz w:val="24"/>
            <w:szCs w:val="24"/>
          </w:rPr>
          <w:t>6.4.3.12.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 de dépravation des mœurs et de propagation des MST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236</w:t>
        </w:r>
        <w:r w:rsidR="00BC4187" w:rsidRPr="00BC4187">
          <w:rPr>
            <w:rFonts w:ascii="Times New Roman" w:hAnsi="Times New Roman"/>
            <w:noProof/>
            <w:webHidden/>
            <w:sz w:val="24"/>
            <w:szCs w:val="24"/>
          </w:rPr>
          <w:fldChar w:fldCharType="end"/>
        </w:r>
      </w:hyperlink>
    </w:p>
    <w:p w14:paraId="38C41A71"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699" w:history="1">
        <w:r w:rsidR="00BC4187" w:rsidRPr="00BC4187">
          <w:rPr>
            <w:rStyle w:val="Lienhypertexte"/>
            <w:rFonts w:ascii="Times New Roman" w:hAnsi="Times New Roman"/>
            <w:noProof/>
            <w:sz w:val="24"/>
            <w:szCs w:val="24"/>
          </w:rPr>
          <w:t>6.4.3.13.</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liés au travail des enfants et travaux forcés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_Toc103685699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236</w:t>
        </w:r>
        <w:r w:rsidR="00BC4187" w:rsidRPr="00BC4187">
          <w:rPr>
            <w:rFonts w:ascii="Times New Roman" w:hAnsi="Times New Roman"/>
            <w:noProof/>
            <w:webHidden/>
            <w:sz w:val="24"/>
            <w:szCs w:val="24"/>
          </w:rPr>
          <w:fldChar w:fldCharType="end"/>
        </w:r>
      </w:hyperlink>
    </w:p>
    <w:p w14:paraId="56373B0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00" w:history="1">
        <w:r w:rsidR="00BC4187" w:rsidRPr="00BC4187">
          <w:rPr>
            <w:rStyle w:val="Lienhypertexte"/>
            <w:rFonts w:ascii="Times New Roman" w:hAnsi="Times New Roman"/>
            <w:noProof/>
            <w:sz w:val="24"/>
            <w:szCs w:val="24"/>
          </w:rPr>
          <w:t>6.4.4.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noProof/>
            <w:sz w:val="24"/>
            <w:szCs w:val="24"/>
          </w:rPr>
          <w:t>Risques en phase d’exploitation des installations des lignes et cabines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237</w:t>
        </w:r>
        <w:r w:rsidR="00BC4187" w:rsidRPr="00BC4187">
          <w:rPr>
            <w:rFonts w:ascii="Times New Roman" w:hAnsi="Times New Roman"/>
            <w:noProof/>
            <w:webHidden/>
            <w:sz w:val="24"/>
            <w:szCs w:val="24"/>
          </w:rPr>
          <w:fldChar w:fldCharType="end"/>
        </w:r>
      </w:hyperlink>
    </w:p>
    <w:p w14:paraId="1FE0CE3E"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701" w:history="1">
        <w:r w:rsidR="00BC4187" w:rsidRPr="00BC4187">
          <w:rPr>
            <w:rStyle w:val="Lienhypertexte"/>
            <w:rFonts w:ascii="Times New Roman" w:hAnsi="Times New Roman"/>
            <w:noProof/>
            <w:sz w:val="24"/>
            <w:szCs w:val="24"/>
          </w:rPr>
          <w:t>a)</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d’incendie et d’explosion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237</w:t>
        </w:r>
        <w:r w:rsidR="00BC4187" w:rsidRPr="00BC4187">
          <w:rPr>
            <w:rFonts w:ascii="Times New Roman" w:hAnsi="Times New Roman"/>
            <w:noProof/>
            <w:webHidden/>
            <w:sz w:val="24"/>
            <w:szCs w:val="24"/>
          </w:rPr>
          <w:fldChar w:fldCharType="end"/>
        </w:r>
      </w:hyperlink>
    </w:p>
    <w:p w14:paraId="0E54F1AD" w14:textId="77777777" w:rsidR="00BC4187" w:rsidRPr="00BC4187" w:rsidRDefault="004C0F64" w:rsidP="00BC4187">
      <w:pPr>
        <w:pStyle w:val="TM4"/>
        <w:spacing w:after="0" w:line="20" w:lineRule="atLeast"/>
        <w:rPr>
          <w:rFonts w:ascii="Times New Roman" w:eastAsiaTheme="minorEastAsia" w:hAnsi="Times New Roman"/>
          <w:noProof/>
          <w:sz w:val="24"/>
          <w:szCs w:val="24"/>
        </w:rPr>
      </w:pPr>
      <w:hyperlink w:anchor="_Toc103685702" w:history="1">
        <w:r w:rsidR="00BC4187" w:rsidRPr="00BC4187">
          <w:rPr>
            <w:rStyle w:val="Lienhypertexte"/>
            <w:rFonts w:ascii="Times New Roman" w:hAnsi="Times New Roman"/>
            <w:noProof/>
            <w:sz w:val="24"/>
            <w:szCs w:val="24"/>
          </w:rPr>
          <w:t>b)</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Risques liés à l’électrocution ou l’électrisation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238</w:t>
        </w:r>
        <w:r w:rsidR="00BC4187" w:rsidRPr="00BC4187">
          <w:rPr>
            <w:rFonts w:ascii="Times New Roman" w:hAnsi="Times New Roman"/>
            <w:noProof/>
            <w:webHidden/>
            <w:sz w:val="24"/>
            <w:szCs w:val="24"/>
          </w:rPr>
          <w:fldChar w:fldCharType="end"/>
        </w:r>
      </w:hyperlink>
    </w:p>
    <w:p w14:paraId="6BC82275" w14:textId="77777777" w:rsidR="00BC4187" w:rsidRPr="00BC4187" w:rsidRDefault="004C0F64">
      <w:pPr>
        <w:pStyle w:val="TM1"/>
        <w:rPr>
          <w:rFonts w:eastAsiaTheme="minorEastAsia"/>
          <w:b w:val="0"/>
          <w:lang w:eastAsia="fr-FR"/>
        </w:rPr>
      </w:pPr>
      <w:hyperlink w:anchor="_Toc103685703" w:history="1">
        <w:r w:rsidR="00BC4187" w:rsidRPr="00BC4187">
          <w:rPr>
            <w:rStyle w:val="Lienhypertexte"/>
            <w:b w:val="0"/>
          </w:rPr>
          <w:t>6.5.</w:t>
        </w:r>
        <w:r w:rsidR="00BC4187" w:rsidRPr="00BC4187">
          <w:rPr>
            <w:rFonts w:eastAsiaTheme="minorEastAsia"/>
            <w:b w:val="0"/>
            <w:lang w:eastAsia="fr-FR"/>
          </w:rPr>
          <w:tab/>
        </w:r>
        <w:r w:rsidR="00BC4187" w:rsidRPr="00BC4187">
          <w:rPr>
            <w:rStyle w:val="Lienhypertexte"/>
            <w:b w:val="0"/>
          </w:rPr>
          <w:t>Analyse des impacts cumulatifs négatifs et mesures d’atténuation</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_Toc103685703 \h </w:instrText>
        </w:r>
        <w:r w:rsidR="00BC4187" w:rsidRPr="00BC4187">
          <w:rPr>
            <w:b w:val="0"/>
            <w:webHidden/>
          </w:rPr>
        </w:r>
        <w:r w:rsidR="00BC4187" w:rsidRPr="00BC4187">
          <w:rPr>
            <w:b w:val="0"/>
            <w:webHidden/>
          </w:rPr>
          <w:fldChar w:fldCharType="separate"/>
        </w:r>
        <w:r w:rsidR="00BC4187" w:rsidRPr="00BC4187">
          <w:rPr>
            <w:b w:val="0"/>
            <w:webHidden/>
          </w:rPr>
          <w:t>239</w:t>
        </w:r>
        <w:r w:rsidR="00BC4187" w:rsidRPr="00BC4187">
          <w:rPr>
            <w:b w:val="0"/>
            <w:webHidden/>
          </w:rPr>
          <w:fldChar w:fldCharType="end"/>
        </w:r>
      </w:hyperlink>
    </w:p>
    <w:p w14:paraId="77DECD9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04" w:history="1">
        <w:r w:rsidR="00BC4187" w:rsidRPr="00BC4187">
          <w:rPr>
            <w:rStyle w:val="Lienhypertexte"/>
            <w:rFonts w:ascii="Times New Roman" w:hAnsi="Times New Roman"/>
            <w:i/>
            <w:noProof/>
            <w:sz w:val="24"/>
            <w:szCs w:val="24"/>
          </w:rPr>
          <w:t>6.5.1.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Approche méthodologique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239</w:t>
        </w:r>
        <w:r w:rsidR="00BC4187" w:rsidRPr="00BC4187">
          <w:rPr>
            <w:rFonts w:ascii="Times New Roman" w:hAnsi="Times New Roman"/>
            <w:noProof/>
            <w:webHidden/>
            <w:sz w:val="24"/>
            <w:szCs w:val="24"/>
          </w:rPr>
          <w:fldChar w:fldCharType="end"/>
        </w:r>
      </w:hyperlink>
    </w:p>
    <w:p w14:paraId="39816FF9"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05" w:history="1">
        <w:r w:rsidR="00BC4187" w:rsidRPr="00BC4187">
          <w:rPr>
            <w:rStyle w:val="Lienhypertexte"/>
            <w:rFonts w:ascii="Times New Roman" w:hAnsi="Times New Roman"/>
            <w:i/>
            <w:noProof/>
            <w:sz w:val="24"/>
            <w:szCs w:val="24"/>
          </w:rPr>
          <w:t>6.5.2.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Identification des Projets/activités concrets réalisés dans le passé ou en cours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240</w:t>
        </w:r>
        <w:r w:rsidR="00BC4187" w:rsidRPr="00BC4187">
          <w:rPr>
            <w:rFonts w:ascii="Times New Roman" w:hAnsi="Times New Roman"/>
            <w:noProof/>
            <w:webHidden/>
            <w:sz w:val="24"/>
            <w:szCs w:val="24"/>
          </w:rPr>
          <w:fldChar w:fldCharType="end"/>
        </w:r>
      </w:hyperlink>
    </w:p>
    <w:p w14:paraId="35B168C4" w14:textId="08AF2942"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06" w:history="1">
        <w:r w:rsidR="00BC4187" w:rsidRPr="00BC4187">
          <w:rPr>
            <w:rStyle w:val="Lienhypertexte"/>
            <w:rFonts w:ascii="Times New Roman" w:hAnsi="Times New Roman"/>
            <w:i/>
            <w:noProof/>
            <w:sz w:val="24"/>
            <w:szCs w:val="24"/>
          </w:rPr>
          <w:t>6.5.3.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Identification des Projets/activités futurs dans la zone restreinte et/ou élargie du Projet</w:t>
        </w:r>
        <w:r w:rsidR="00BC4187" w:rsidRPr="00BC4187">
          <w:rPr>
            <w:rFonts w:ascii="Times New Roman" w:hAnsi="Times New Roman"/>
            <w:noProof/>
            <w:webHidden/>
            <w:sz w:val="24"/>
            <w:szCs w:val="24"/>
          </w:rPr>
          <w:tab/>
        </w:r>
        <w:r w:rsid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242</w:t>
        </w:r>
        <w:r w:rsidR="00BC4187" w:rsidRPr="00BC4187">
          <w:rPr>
            <w:rFonts w:ascii="Times New Roman" w:hAnsi="Times New Roman"/>
            <w:noProof/>
            <w:webHidden/>
            <w:sz w:val="24"/>
            <w:szCs w:val="24"/>
          </w:rPr>
          <w:fldChar w:fldCharType="end"/>
        </w:r>
      </w:hyperlink>
    </w:p>
    <w:p w14:paraId="720D01B7"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07" w:history="1">
        <w:r w:rsidR="00BC4187" w:rsidRPr="00BC4187">
          <w:rPr>
            <w:rStyle w:val="Lienhypertexte"/>
            <w:rFonts w:ascii="Times New Roman" w:hAnsi="Times New Roman"/>
            <w:i/>
            <w:noProof/>
            <w:sz w:val="24"/>
            <w:szCs w:val="24"/>
          </w:rPr>
          <w:t>6.5.4.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Analyse des effets cumulatifs et évaluation de l’importance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243</w:t>
        </w:r>
        <w:r w:rsidR="00BC4187" w:rsidRPr="00BC4187">
          <w:rPr>
            <w:rFonts w:ascii="Times New Roman" w:hAnsi="Times New Roman"/>
            <w:noProof/>
            <w:webHidden/>
            <w:sz w:val="24"/>
            <w:szCs w:val="24"/>
          </w:rPr>
          <w:fldChar w:fldCharType="end"/>
        </w:r>
      </w:hyperlink>
    </w:p>
    <w:p w14:paraId="7807B380"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08" w:history="1">
        <w:r w:rsidR="00BC4187" w:rsidRPr="00BC4187">
          <w:rPr>
            <w:rStyle w:val="Lienhypertexte"/>
            <w:rFonts w:ascii="Times New Roman" w:hAnsi="Times New Roman"/>
            <w:noProof/>
            <w:sz w:val="24"/>
            <w:szCs w:val="24"/>
          </w:rPr>
          <w:t>6.5.4.1.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Positifs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243</w:t>
        </w:r>
        <w:r w:rsidR="00BC4187" w:rsidRPr="00BC4187">
          <w:rPr>
            <w:rFonts w:ascii="Times New Roman" w:hAnsi="Times New Roman"/>
            <w:noProof/>
            <w:webHidden/>
            <w:sz w:val="24"/>
            <w:szCs w:val="24"/>
          </w:rPr>
          <w:fldChar w:fldCharType="end"/>
        </w:r>
      </w:hyperlink>
    </w:p>
    <w:p w14:paraId="5A7E369A"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09" w:history="1">
        <w:r w:rsidR="00BC4187" w:rsidRPr="00BC4187">
          <w:rPr>
            <w:rStyle w:val="Lienhypertexte"/>
            <w:rFonts w:ascii="Times New Roman" w:hAnsi="Times New Roman"/>
            <w:noProof/>
            <w:sz w:val="24"/>
            <w:szCs w:val="24"/>
          </w:rPr>
          <w:t>6.5.4.2.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Impacts négatifs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_Toc103685709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245</w:t>
        </w:r>
        <w:r w:rsidR="00BC4187" w:rsidRPr="00BC4187">
          <w:rPr>
            <w:rFonts w:ascii="Times New Roman" w:hAnsi="Times New Roman"/>
            <w:noProof/>
            <w:webHidden/>
            <w:sz w:val="24"/>
            <w:szCs w:val="24"/>
          </w:rPr>
          <w:fldChar w:fldCharType="end"/>
        </w:r>
      </w:hyperlink>
    </w:p>
    <w:p w14:paraId="37018A96"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10" w:history="1">
        <w:r w:rsidR="00BC4187" w:rsidRPr="00BC4187">
          <w:rPr>
            <w:rStyle w:val="Lienhypertexte"/>
            <w:rFonts w:ascii="Times New Roman" w:hAnsi="Times New Roman"/>
            <w:noProof/>
            <w:sz w:val="24"/>
            <w:szCs w:val="24"/>
          </w:rPr>
          <w:t>6.5.4.3.</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Détermination des mesures d’atténuation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245</w:t>
        </w:r>
        <w:r w:rsidR="00BC4187" w:rsidRPr="00BC4187">
          <w:rPr>
            <w:rFonts w:ascii="Times New Roman" w:hAnsi="Times New Roman"/>
            <w:noProof/>
            <w:webHidden/>
            <w:sz w:val="24"/>
            <w:szCs w:val="24"/>
          </w:rPr>
          <w:fldChar w:fldCharType="end"/>
        </w:r>
      </w:hyperlink>
    </w:p>
    <w:p w14:paraId="512E71C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11" w:history="1">
        <w:r w:rsidR="00BC4187" w:rsidRPr="00BC4187">
          <w:rPr>
            <w:rStyle w:val="Lienhypertexte"/>
            <w:rFonts w:ascii="Times New Roman" w:hAnsi="Times New Roman"/>
            <w:i/>
            <w:noProof/>
            <w:sz w:val="24"/>
            <w:szCs w:val="24"/>
          </w:rPr>
          <w:t>6.5.5.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Suivi des effets cumulatifs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245</w:t>
        </w:r>
        <w:r w:rsidR="00BC4187" w:rsidRPr="00BC4187">
          <w:rPr>
            <w:rFonts w:ascii="Times New Roman" w:hAnsi="Times New Roman"/>
            <w:noProof/>
            <w:webHidden/>
            <w:sz w:val="24"/>
            <w:szCs w:val="24"/>
          </w:rPr>
          <w:fldChar w:fldCharType="end"/>
        </w:r>
      </w:hyperlink>
    </w:p>
    <w:p w14:paraId="7DCF1470" w14:textId="77777777" w:rsidR="00BC4187" w:rsidRPr="00BC4187" w:rsidRDefault="004C0F64" w:rsidP="00BC4187">
      <w:pPr>
        <w:pStyle w:val="TM1"/>
        <w:spacing w:line="20" w:lineRule="atLeast"/>
        <w:rPr>
          <w:rFonts w:eastAsiaTheme="minorEastAsia"/>
          <w:b w:val="0"/>
          <w:lang w:eastAsia="fr-FR"/>
        </w:rPr>
      </w:pPr>
      <w:hyperlink w:anchor="_Toc103685712" w:history="1">
        <w:r w:rsidR="00BC4187" w:rsidRPr="00BC4187">
          <w:rPr>
            <w:rStyle w:val="Lienhypertexte"/>
            <w:b w:val="0"/>
          </w:rPr>
          <w:t>6.6.</w:t>
        </w:r>
        <w:r w:rsidR="00BC4187" w:rsidRPr="00BC4187">
          <w:rPr>
            <w:rFonts w:eastAsiaTheme="minorEastAsia"/>
            <w:b w:val="0"/>
            <w:lang w:eastAsia="fr-FR"/>
          </w:rPr>
          <w:tab/>
        </w:r>
        <w:r w:rsidR="00BC4187" w:rsidRPr="00BC4187">
          <w:rPr>
            <w:rStyle w:val="Lienhypertexte"/>
            <w:b w:val="0"/>
          </w:rPr>
          <w:t>Analyse et évaluation des impacts résiduels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_Toc103685712 \h </w:instrText>
        </w:r>
        <w:r w:rsidR="00BC4187" w:rsidRPr="00BC4187">
          <w:rPr>
            <w:b w:val="0"/>
            <w:webHidden/>
          </w:rPr>
        </w:r>
        <w:r w:rsidR="00BC4187" w:rsidRPr="00BC4187">
          <w:rPr>
            <w:b w:val="0"/>
            <w:webHidden/>
          </w:rPr>
          <w:fldChar w:fldCharType="separate"/>
        </w:r>
        <w:r w:rsidR="00BC4187" w:rsidRPr="00BC4187">
          <w:rPr>
            <w:b w:val="0"/>
            <w:webHidden/>
          </w:rPr>
          <w:t>246</w:t>
        </w:r>
        <w:r w:rsidR="00BC4187" w:rsidRPr="00BC4187">
          <w:rPr>
            <w:b w:val="0"/>
            <w:webHidden/>
          </w:rPr>
          <w:fldChar w:fldCharType="end"/>
        </w:r>
      </w:hyperlink>
    </w:p>
    <w:p w14:paraId="0C4FFB49"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13" w:history="1">
        <w:r w:rsidR="00BC4187" w:rsidRPr="00BC4187">
          <w:rPr>
            <w:rStyle w:val="Lienhypertexte"/>
            <w:rFonts w:ascii="Times New Roman" w:hAnsi="Times New Roman"/>
            <w:i/>
            <w:noProof/>
            <w:sz w:val="24"/>
            <w:szCs w:val="24"/>
          </w:rPr>
          <w:t>6.6.1.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Analyse des impacts résiduels et mesures d’atténuation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247</w:t>
        </w:r>
        <w:r w:rsidR="00BC4187" w:rsidRPr="00BC4187">
          <w:rPr>
            <w:rFonts w:ascii="Times New Roman" w:hAnsi="Times New Roman"/>
            <w:noProof/>
            <w:webHidden/>
            <w:sz w:val="24"/>
            <w:szCs w:val="24"/>
          </w:rPr>
          <w:fldChar w:fldCharType="end"/>
        </w:r>
      </w:hyperlink>
    </w:p>
    <w:p w14:paraId="7367D6E4" w14:textId="77777777" w:rsidR="00BC4187" w:rsidRPr="00BC4187" w:rsidRDefault="004C0F64" w:rsidP="00BC4187">
      <w:pPr>
        <w:pStyle w:val="TM1"/>
        <w:spacing w:line="20" w:lineRule="atLeast"/>
        <w:rPr>
          <w:rFonts w:eastAsiaTheme="minorEastAsia"/>
          <w:b w:val="0"/>
          <w:lang w:eastAsia="fr-FR"/>
        </w:rPr>
      </w:pPr>
      <w:hyperlink w:anchor="_Toc103685714" w:history="1">
        <w:r w:rsidR="00BC4187" w:rsidRPr="00BC4187">
          <w:rPr>
            <w:rStyle w:val="Lienhypertexte"/>
            <w:b w:val="0"/>
          </w:rPr>
          <w:t>7.</w:t>
        </w:r>
        <w:r w:rsidR="00BC4187" w:rsidRPr="00BC4187">
          <w:rPr>
            <w:rFonts w:eastAsiaTheme="minorEastAsia"/>
            <w:b w:val="0"/>
            <w:lang w:eastAsia="fr-FR"/>
          </w:rPr>
          <w:tab/>
        </w:r>
        <w:r w:rsidR="00BC4187" w:rsidRPr="00BC4187">
          <w:rPr>
            <w:rStyle w:val="Lienhypertexte"/>
            <w:b w:val="0"/>
          </w:rPr>
          <w:t>CONSULTATIONS PUBLIQUES ET MOBILISATION DES PARTIES PRENANTES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_Toc103685714 \h </w:instrText>
        </w:r>
        <w:r w:rsidR="00BC4187" w:rsidRPr="00BC4187">
          <w:rPr>
            <w:b w:val="0"/>
            <w:webHidden/>
          </w:rPr>
        </w:r>
        <w:r w:rsidR="00BC4187" w:rsidRPr="00BC4187">
          <w:rPr>
            <w:b w:val="0"/>
            <w:webHidden/>
          </w:rPr>
          <w:fldChar w:fldCharType="separate"/>
        </w:r>
        <w:r w:rsidR="00BC4187" w:rsidRPr="00BC4187">
          <w:rPr>
            <w:b w:val="0"/>
            <w:webHidden/>
          </w:rPr>
          <w:t>252</w:t>
        </w:r>
        <w:r w:rsidR="00BC4187" w:rsidRPr="00BC4187">
          <w:rPr>
            <w:b w:val="0"/>
            <w:webHidden/>
          </w:rPr>
          <w:fldChar w:fldCharType="end"/>
        </w:r>
      </w:hyperlink>
    </w:p>
    <w:p w14:paraId="71ABCB95" w14:textId="77777777" w:rsidR="00BC4187" w:rsidRPr="00BC4187" w:rsidRDefault="004C0F64" w:rsidP="00BC4187">
      <w:pPr>
        <w:pStyle w:val="TM1"/>
        <w:spacing w:line="20" w:lineRule="atLeast"/>
        <w:rPr>
          <w:rFonts w:eastAsiaTheme="minorEastAsia"/>
          <w:b w:val="0"/>
          <w:lang w:eastAsia="fr-FR"/>
        </w:rPr>
      </w:pPr>
      <w:hyperlink w:anchor="_Toc103685715" w:history="1">
        <w:r w:rsidR="00BC4187" w:rsidRPr="00BC4187">
          <w:rPr>
            <w:rStyle w:val="Lienhypertexte"/>
            <w:b w:val="0"/>
          </w:rPr>
          <w:t>7.1.</w:t>
        </w:r>
        <w:r w:rsidR="00BC4187" w:rsidRPr="00BC4187">
          <w:rPr>
            <w:rFonts w:eastAsiaTheme="minorEastAsia"/>
            <w:b w:val="0"/>
            <w:lang w:eastAsia="fr-FR"/>
          </w:rPr>
          <w:tab/>
        </w:r>
        <w:r w:rsidR="00BC4187" w:rsidRPr="00BC4187">
          <w:rPr>
            <w:rStyle w:val="Lienhypertexte"/>
            <w:b w:val="0"/>
          </w:rPr>
          <w:t>Mobilisation des parties prenantes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_Toc103685715 \h </w:instrText>
        </w:r>
        <w:r w:rsidR="00BC4187" w:rsidRPr="00BC4187">
          <w:rPr>
            <w:b w:val="0"/>
            <w:webHidden/>
          </w:rPr>
        </w:r>
        <w:r w:rsidR="00BC4187" w:rsidRPr="00BC4187">
          <w:rPr>
            <w:b w:val="0"/>
            <w:webHidden/>
          </w:rPr>
          <w:fldChar w:fldCharType="separate"/>
        </w:r>
        <w:r w:rsidR="00BC4187" w:rsidRPr="00BC4187">
          <w:rPr>
            <w:b w:val="0"/>
            <w:webHidden/>
          </w:rPr>
          <w:t>252</w:t>
        </w:r>
        <w:r w:rsidR="00BC4187" w:rsidRPr="00BC4187">
          <w:rPr>
            <w:b w:val="0"/>
            <w:webHidden/>
          </w:rPr>
          <w:fldChar w:fldCharType="end"/>
        </w:r>
      </w:hyperlink>
    </w:p>
    <w:p w14:paraId="66ADFC8D"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16" w:history="1">
        <w:r w:rsidR="00BC4187" w:rsidRPr="00BC4187">
          <w:rPr>
            <w:rStyle w:val="Lienhypertexte"/>
            <w:rFonts w:ascii="Times New Roman" w:hAnsi="Times New Roman"/>
            <w:i/>
            <w:noProof/>
            <w:sz w:val="24"/>
            <w:szCs w:val="24"/>
          </w:rPr>
          <w:t>7.1.1.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Plan de mobilisation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252</w:t>
        </w:r>
        <w:r w:rsidR="00BC4187" w:rsidRPr="00BC4187">
          <w:rPr>
            <w:rFonts w:ascii="Times New Roman" w:hAnsi="Times New Roman"/>
            <w:noProof/>
            <w:webHidden/>
            <w:sz w:val="24"/>
            <w:szCs w:val="24"/>
          </w:rPr>
          <w:fldChar w:fldCharType="end"/>
        </w:r>
      </w:hyperlink>
    </w:p>
    <w:p w14:paraId="3BBE9CF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17" w:history="1">
        <w:r w:rsidR="00BC4187" w:rsidRPr="00BC4187">
          <w:rPr>
            <w:rStyle w:val="Lienhypertexte"/>
            <w:rFonts w:ascii="Times New Roman" w:hAnsi="Times New Roman"/>
            <w:i/>
            <w:noProof/>
            <w:sz w:val="24"/>
            <w:szCs w:val="24"/>
          </w:rPr>
          <w:t>7.1.2.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Engagement des parties prenantes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252</w:t>
        </w:r>
        <w:r w:rsidR="00BC4187" w:rsidRPr="00BC4187">
          <w:rPr>
            <w:rFonts w:ascii="Times New Roman" w:hAnsi="Times New Roman"/>
            <w:noProof/>
            <w:webHidden/>
            <w:sz w:val="24"/>
            <w:szCs w:val="24"/>
          </w:rPr>
          <w:fldChar w:fldCharType="end"/>
        </w:r>
      </w:hyperlink>
    </w:p>
    <w:p w14:paraId="1A979CB9"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18" w:history="1">
        <w:r w:rsidR="00BC4187" w:rsidRPr="00BC4187">
          <w:rPr>
            <w:rStyle w:val="Lienhypertexte"/>
            <w:rFonts w:ascii="Times New Roman" w:hAnsi="Times New Roman"/>
            <w:i/>
            <w:noProof/>
            <w:sz w:val="24"/>
            <w:szCs w:val="24"/>
          </w:rPr>
          <w:t>7.1.3.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Stratégie de divulgation de l’information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_Toc103685718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253</w:t>
        </w:r>
        <w:r w:rsidR="00BC4187" w:rsidRPr="00BC4187">
          <w:rPr>
            <w:rFonts w:ascii="Times New Roman" w:hAnsi="Times New Roman"/>
            <w:noProof/>
            <w:webHidden/>
            <w:sz w:val="24"/>
            <w:szCs w:val="24"/>
          </w:rPr>
          <w:fldChar w:fldCharType="end"/>
        </w:r>
      </w:hyperlink>
    </w:p>
    <w:p w14:paraId="45643083" w14:textId="77777777" w:rsidR="00BC4187" w:rsidRPr="00BC4187" w:rsidRDefault="004C0F64" w:rsidP="00BC4187">
      <w:pPr>
        <w:pStyle w:val="TM1"/>
        <w:spacing w:line="20" w:lineRule="atLeast"/>
        <w:rPr>
          <w:rFonts w:eastAsiaTheme="minorEastAsia"/>
          <w:b w:val="0"/>
          <w:lang w:eastAsia="fr-FR"/>
        </w:rPr>
      </w:pPr>
      <w:hyperlink w:anchor="_Toc103685719" w:history="1">
        <w:r w:rsidR="00BC4187" w:rsidRPr="00BC4187">
          <w:rPr>
            <w:rStyle w:val="Lienhypertexte"/>
            <w:b w:val="0"/>
          </w:rPr>
          <w:t>7.2.</w:t>
        </w:r>
        <w:r w:rsidR="00BC4187" w:rsidRPr="00BC4187">
          <w:rPr>
            <w:rFonts w:eastAsiaTheme="minorEastAsia"/>
            <w:b w:val="0"/>
            <w:lang w:eastAsia="fr-FR"/>
          </w:rPr>
          <w:tab/>
        </w:r>
        <w:r w:rsidR="00BC4187" w:rsidRPr="00BC4187">
          <w:rPr>
            <w:rStyle w:val="Lienhypertexte"/>
            <w:b w:val="0"/>
          </w:rPr>
          <w:t>Consultations publiques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_Toc103685719 \h </w:instrText>
        </w:r>
        <w:r w:rsidR="00BC4187" w:rsidRPr="00BC4187">
          <w:rPr>
            <w:b w:val="0"/>
            <w:webHidden/>
          </w:rPr>
        </w:r>
        <w:r w:rsidR="00BC4187" w:rsidRPr="00BC4187">
          <w:rPr>
            <w:b w:val="0"/>
            <w:webHidden/>
          </w:rPr>
          <w:fldChar w:fldCharType="separate"/>
        </w:r>
        <w:r w:rsidR="00BC4187" w:rsidRPr="00BC4187">
          <w:rPr>
            <w:b w:val="0"/>
            <w:webHidden/>
          </w:rPr>
          <w:t>254</w:t>
        </w:r>
        <w:r w:rsidR="00BC4187" w:rsidRPr="00BC4187">
          <w:rPr>
            <w:b w:val="0"/>
            <w:webHidden/>
          </w:rPr>
          <w:fldChar w:fldCharType="end"/>
        </w:r>
      </w:hyperlink>
    </w:p>
    <w:p w14:paraId="2FA5DA1F"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0" w:history="1">
        <w:r w:rsidR="00BC4187" w:rsidRPr="00BC4187">
          <w:rPr>
            <w:rStyle w:val="Lienhypertexte"/>
            <w:rFonts w:ascii="Times New Roman" w:hAnsi="Times New Roman"/>
            <w:i/>
            <w:noProof/>
            <w:sz w:val="24"/>
            <w:szCs w:val="24"/>
          </w:rPr>
          <w:t>7.2.1.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Objectifs de la consultation publique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254</w:t>
        </w:r>
        <w:r w:rsidR="00BC4187" w:rsidRPr="00BC4187">
          <w:rPr>
            <w:rFonts w:ascii="Times New Roman" w:hAnsi="Times New Roman"/>
            <w:noProof/>
            <w:webHidden/>
            <w:sz w:val="24"/>
            <w:szCs w:val="24"/>
          </w:rPr>
          <w:fldChar w:fldCharType="end"/>
        </w:r>
      </w:hyperlink>
    </w:p>
    <w:p w14:paraId="08ADAA8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1" w:history="1">
        <w:r w:rsidR="00BC4187" w:rsidRPr="00BC4187">
          <w:rPr>
            <w:rStyle w:val="Lienhypertexte"/>
            <w:rFonts w:ascii="Times New Roman" w:hAnsi="Times New Roman"/>
            <w:i/>
            <w:noProof/>
            <w:sz w:val="24"/>
            <w:szCs w:val="24"/>
          </w:rPr>
          <w:t>7.2.2.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Méthodologie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254</w:t>
        </w:r>
        <w:r w:rsidR="00BC4187" w:rsidRPr="00BC4187">
          <w:rPr>
            <w:rFonts w:ascii="Times New Roman" w:hAnsi="Times New Roman"/>
            <w:noProof/>
            <w:webHidden/>
            <w:sz w:val="24"/>
            <w:szCs w:val="24"/>
          </w:rPr>
          <w:fldChar w:fldCharType="end"/>
        </w:r>
      </w:hyperlink>
    </w:p>
    <w:p w14:paraId="09730F8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2" w:history="1">
        <w:r w:rsidR="00BC4187" w:rsidRPr="00BC4187">
          <w:rPr>
            <w:rStyle w:val="Lienhypertexte"/>
            <w:rFonts w:ascii="Times New Roman" w:hAnsi="Times New Roman"/>
            <w:i/>
            <w:noProof/>
            <w:sz w:val="24"/>
            <w:szCs w:val="24"/>
          </w:rPr>
          <w:t>7.2.3.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Avis général sur le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256</w:t>
        </w:r>
        <w:r w:rsidR="00BC4187" w:rsidRPr="00BC4187">
          <w:rPr>
            <w:rFonts w:ascii="Times New Roman" w:hAnsi="Times New Roman"/>
            <w:noProof/>
            <w:webHidden/>
            <w:sz w:val="24"/>
            <w:szCs w:val="24"/>
          </w:rPr>
          <w:fldChar w:fldCharType="end"/>
        </w:r>
      </w:hyperlink>
    </w:p>
    <w:p w14:paraId="1E2665E9"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3" w:history="1">
        <w:r w:rsidR="00BC4187" w:rsidRPr="00BC4187">
          <w:rPr>
            <w:rStyle w:val="Lienhypertexte"/>
            <w:rFonts w:ascii="Times New Roman" w:hAnsi="Times New Roman"/>
            <w:i/>
            <w:noProof/>
            <w:sz w:val="24"/>
            <w:szCs w:val="24"/>
          </w:rPr>
          <w:t>7.2.4.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Résultats liés aux impacts directs clés du projet</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259</w:t>
        </w:r>
        <w:r w:rsidR="00BC4187" w:rsidRPr="00BC4187">
          <w:rPr>
            <w:rFonts w:ascii="Times New Roman" w:hAnsi="Times New Roman"/>
            <w:noProof/>
            <w:webHidden/>
            <w:sz w:val="24"/>
            <w:szCs w:val="24"/>
          </w:rPr>
          <w:fldChar w:fldCharType="end"/>
        </w:r>
      </w:hyperlink>
    </w:p>
    <w:p w14:paraId="42206F44"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4" w:history="1">
        <w:r w:rsidR="00BC4187" w:rsidRPr="00BC4187">
          <w:rPr>
            <w:rStyle w:val="Lienhypertexte"/>
            <w:rFonts w:ascii="Times New Roman" w:hAnsi="Times New Roman"/>
            <w:i/>
            <w:noProof/>
            <w:sz w:val="24"/>
            <w:szCs w:val="24"/>
          </w:rPr>
          <w:t>7.2.5.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Synthèses des réactions et recommandations par rapport aux impacts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263</w:t>
        </w:r>
        <w:r w:rsidR="00BC4187" w:rsidRPr="00BC4187">
          <w:rPr>
            <w:rFonts w:ascii="Times New Roman" w:hAnsi="Times New Roman"/>
            <w:noProof/>
            <w:webHidden/>
            <w:sz w:val="24"/>
            <w:szCs w:val="24"/>
          </w:rPr>
          <w:fldChar w:fldCharType="end"/>
        </w:r>
      </w:hyperlink>
    </w:p>
    <w:p w14:paraId="71595273" w14:textId="77777777" w:rsidR="00BC4187" w:rsidRPr="00BC4187" w:rsidRDefault="004C0F64" w:rsidP="00BC4187">
      <w:pPr>
        <w:pStyle w:val="TM1"/>
        <w:spacing w:line="20" w:lineRule="atLeast"/>
        <w:rPr>
          <w:rFonts w:eastAsiaTheme="minorEastAsia"/>
          <w:b w:val="0"/>
          <w:lang w:eastAsia="fr-FR"/>
        </w:rPr>
      </w:pPr>
      <w:hyperlink w:anchor="_Toc103685725" w:history="1">
        <w:r w:rsidR="00BC4187" w:rsidRPr="00BC4187">
          <w:rPr>
            <w:rStyle w:val="Lienhypertexte"/>
            <w:b w:val="0"/>
          </w:rPr>
          <w:t>8.</w:t>
        </w:r>
        <w:r w:rsidR="00BC4187" w:rsidRPr="00BC4187">
          <w:rPr>
            <w:rFonts w:eastAsiaTheme="minorEastAsia"/>
            <w:b w:val="0"/>
            <w:lang w:eastAsia="fr-FR"/>
          </w:rPr>
          <w:tab/>
        </w:r>
        <w:r w:rsidR="00BC4187" w:rsidRPr="00BC4187">
          <w:rPr>
            <w:rStyle w:val="Lienhypertexte"/>
            <w:b w:val="0"/>
          </w:rPr>
          <w:t>PLAN DE GESTION ENVIRONNEMENTALE ET SOCIALE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_Toc103685725 \h </w:instrText>
        </w:r>
        <w:r w:rsidR="00BC4187" w:rsidRPr="00BC4187">
          <w:rPr>
            <w:b w:val="0"/>
            <w:webHidden/>
          </w:rPr>
        </w:r>
        <w:r w:rsidR="00BC4187" w:rsidRPr="00BC4187">
          <w:rPr>
            <w:b w:val="0"/>
            <w:webHidden/>
          </w:rPr>
          <w:fldChar w:fldCharType="separate"/>
        </w:r>
        <w:r w:rsidR="00BC4187" w:rsidRPr="00BC4187">
          <w:rPr>
            <w:b w:val="0"/>
            <w:webHidden/>
          </w:rPr>
          <w:t>266</w:t>
        </w:r>
        <w:r w:rsidR="00BC4187" w:rsidRPr="00BC4187">
          <w:rPr>
            <w:b w:val="0"/>
            <w:webHidden/>
          </w:rPr>
          <w:fldChar w:fldCharType="end"/>
        </w:r>
      </w:hyperlink>
    </w:p>
    <w:p w14:paraId="0ABD0250" w14:textId="77777777" w:rsidR="00BC4187" w:rsidRPr="00BC4187" w:rsidRDefault="004C0F64" w:rsidP="00BC4187">
      <w:pPr>
        <w:pStyle w:val="TM1"/>
        <w:spacing w:line="20" w:lineRule="atLeast"/>
        <w:rPr>
          <w:rFonts w:eastAsiaTheme="minorEastAsia"/>
          <w:b w:val="0"/>
          <w:lang w:eastAsia="fr-FR"/>
        </w:rPr>
      </w:pPr>
      <w:hyperlink w:anchor="_Toc103685726" w:history="1">
        <w:r w:rsidR="00BC4187" w:rsidRPr="00BC4187">
          <w:rPr>
            <w:rStyle w:val="Lienhypertexte"/>
            <w:b w:val="0"/>
          </w:rPr>
          <w:t>8.1.</w:t>
        </w:r>
        <w:r w:rsidR="00BC4187" w:rsidRPr="00BC4187">
          <w:rPr>
            <w:rFonts w:eastAsiaTheme="minorEastAsia"/>
            <w:b w:val="0"/>
            <w:lang w:eastAsia="fr-FR"/>
          </w:rPr>
          <w:tab/>
        </w:r>
        <w:r w:rsidR="00BC4187" w:rsidRPr="00BC4187">
          <w:rPr>
            <w:rStyle w:val="Lienhypertexte"/>
            <w:b w:val="0"/>
          </w:rPr>
          <w:t>Mesures de bonification</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_Toc103685726 \h </w:instrText>
        </w:r>
        <w:r w:rsidR="00BC4187" w:rsidRPr="00BC4187">
          <w:rPr>
            <w:b w:val="0"/>
            <w:webHidden/>
          </w:rPr>
        </w:r>
        <w:r w:rsidR="00BC4187" w:rsidRPr="00BC4187">
          <w:rPr>
            <w:b w:val="0"/>
            <w:webHidden/>
          </w:rPr>
          <w:fldChar w:fldCharType="separate"/>
        </w:r>
        <w:r w:rsidR="00BC4187" w:rsidRPr="00BC4187">
          <w:rPr>
            <w:b w:val="0"/>
            <w:webHidden/>
          </w:rPr>
          <w:t>266</w:t>
        </w:r>
        <w:r w:rsidR="00BC4187" w:rsidRPr="00BC4187">
          <w:rPr>
            <w:b w:val="0"/>
            <w:webHidden/>
          </w:rPr>
          <w:fldChar w:fldCharType="end"/>
        </w:r>
      </w:hyperlink>
    </w:p>
    <w:p w14:paraId="100E6658" w14:textId="77777777" w:rsidR="00BC4187" w:rsidRPr="00BC4187" w:rsidRDefault="004C0F64" w:rsidP="00BC4187">
      <w:pPr>
        <w:pStyle w:val="TM1"/>
        <w:spacing w:line="20" w:lineRule="atLeast"/>
        <w:rPr>
          <w:rFonts w:eastAsiaTheme="minorEastAsia"/>
          <w:b w:val="0"/>
          <w:lang w:eastAsia="fr-FR"/>
        </w:rPr>
      </w:pPr>
      <w:hyperlink w:anchor="_Toc103685727" w:history="1">
        <w:r w:rsidR="00BC4187" w:rsidRPr="00BC4187">
          <w:rPr>
            <w:rStyle w:val="Lienhypertexte"/>
            <w:b w:val="0"/>
          </w:rPr>
          <w:t>8.2.</w:t>
        </w:r>
        <w:r w:rsidR="00BC4187" w:rsidRPr="00BC4187">
          <w:rPr>
            <w:rFonts w:eastAsiaTheme="minorEastAsia"/>
            <w:b w:val="0"/>
            <w:lang w:eastAsia="fr-FR"/>
          </w:rPr>
          <w:tab/>
        </w:r>
        <w:r w:rsidR="00BC4187" w:rsidRPr="00BC4187">
          <w:rPr>
            <w:rStyle w:val="Lienhypertexte"/>
            <w:b w:val="0"/>
          </w:rPr>
          <w:t>Mesures d’atténuation</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_Toc103685727 \h </w:instrText>
        </w:r>
        <w:r w:rsidR="00BC4187" w:rsidRPr="00BC4187">
          <w:rPr>
            <w:b w:val="0"/>
            <w:webHidden/>
          </w:rPr>
        </w:r>
        <w:r w:rsidR="00BC4187" w:rsidRPr="00BC4187">
          <w:rPr>
            <w:b w:val="0"/>
            <w:webHidden/>
          </w:rPr>
          <w:fldChar w:fldCharType="separate"/>
        </w:r>
        <w:r w:rsidR="00BC4187" w:rsidRPr="00BC4187">
          <w:rPr>
            <w:b w:val="0"/>
            <w:webHidden/>
          </w:rPr>
          <w:t>267</w:t>
        </w:r>
        <w:r w:rsidR="00BC4187" w:rsidRPr="00BC4187">
          <w:rPr>
            <w:b w:val="0"/>
            <w:webHidden/>
          </w:rPr>
          <w:fldChar w:fldCharType="end"/>
        </w:r>
      </w:hyperlink>
    </w:p>
    <w:p w14:paraId="1379090D"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8" w:history="1">
        <w:r w:rsidR="00BC4187" w:rsidRPr="00BC4187">
          <w:rPr>
            <w:rStyle w:val="Lienhypertexte"/>
            <w:rFonts w:ascii="Times New Roman" w:hAnsi="Times New Roman"/>
            <w:i/>
            <w:noProof/>
            <w:sz w:val="24"/>
            <w:szCs w:val="24"/>
          </w:rPr>
          <w:t>8.2.1.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Mesures d’atténuation des impacts environnementaux négatifs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267</w:t>
        </w:r>
        <w:r w:rsidR="00BC4187" w:rsidRPr="00BC4187">
          <w:rPr>
            <w:rFonts w:ascii="Times New Roman" w:hAnsi="Times New Roman"/>
            <w:noProof/>
            <w:webHidden/>
            <w:sz w:val="24"/>
            <w:szCs w:val="24"/>
          </w:rPr>
          <w:fldChar w:fldCharType="end"/>
        </w:r>
      </w:hyperlink>
    </w:p>
    <w:p w14:paraId="255CEB5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29" w:history="1">
        <w:r w:rsidR="00BC4187" w:rsidRPr="00BC4187">
          <w:rPr>
            <w:rStyle w:val="Lienhypertexte"/>
            <w:rFonts w:ascii="Times New Roman" w:hAnsi="Times New Roman"/>
            <w:i/>
            <w:noProof/>
            <w:sz w:val="24"/>
            <w:szCs w:val="24"/>
          </w:rPr>
          <w:t>8.2.2.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Mesure d’atténuation des impacts sociaux négatifs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_Toc103685729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284</w:t>
        </w:r>
        <w:r w:rsidR="00BC4187" w:rsidRPr="00BC4187">
          <w:rPr>
            <w:rFonts w:ascii="Times New Roman" w:hAnsi="Times New Roman"/>
            <w:noProof/>
            <w:webHidden/>
            <w:sz w:val="24"/>
            <w:szCs w:val="24"/>
          </w:rPr>
          <w:fldChar w:fldCharType="end"/>
        </w:r>
      </w:hyperlink>
    </w:p>
    <w:p w14:paraId="78BD94F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30" w:history="1">
        <w:r w:rsidR="00BC4187" w:rsidRPr="00BC4187">
          <w:rPr>
            <w:rStyle w:val="Lienhypertexte"/>
            <w:rFonts w:ascii="Times New Roman" w:hAnsi="Times New Roman"/>
            <w:i/>
            <w:noProof/>
            <w:sz w:val="24"/>
            <w:szCs w:val="24"/>
          </w:rPr>
          <w:t>8.2.3.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Mesures d’atténuation des impacts cumulatifs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289</w:t>
        </w:r>
        <w:r w:rsidR="00BC4187" w:rsidRPr="00BC4187">
          <w:rPr>
            <w:rFonts w:ascii="Times New Roman" w:hAnsi="Times New Roman"/>
            <w:noProof/>
            <w:webHidden/>
            <w:sz w:val="24"/>
            <w:szCs w:val="24"/>
          </w:rPr>
          <w:fldChar w:fldCharType="end"/>
        </w:r>
      </w:hyperlink>
    </w:p>
    <w:p w14:paraId="1C07B2B3" w14:textId="77777777" w:rsidR="00BC4187" w:rsidRPr="00BC4187" w:rsidRDefault="004C0F64" w:rsidP="00BC4187">
      <w:pPr>
        <w:pStyle w:val="TM1"/>
        <w:spacing w:line="20" w:lineRule="atLeast"/>
        <w:rPr>
          <w:rFonts w:eastAsiaTheme="minorEastAsia"/>
          <w:b w:val="0"/>
          <w:lang w:eastAsia="fr-FR"/>
        </w:rPr>
      </w:pPr>
      <w:hyperlink w:anchor="_Toc103685731" w:history="1">
        <w:r w:rsidR="00BC4187" w:rsidRPr="00BC4187">
          <w:rPr>
            <w:rStyle w:val="Lienhypertexte"/>
            <w:b w:val="0"/>
          </w:rPr>
          <w:t>8.3.</w:t>
        </w:r>
        <w:r w:rsidR="00BC4187" w:rsidRPr="00BC4187">
          <w:rPr>
            <w:rFonts w:eastAsiaTheme="minorEastAsia"/>
            <w:b w:val="0"/>
            <w:lang w:eastAsia="fr-FR"/>
          </w:rPr>
          <w:tab/>
        </w:r>
        <w:r w:rsidR="00BC4187" w:rsidRPr="00BC4187">
          <w:rPr>
            <w:rStyle w:val="Lienhypertexte"/>
            <w:b w:val="0"/>
          </w:rPr>
          <w:t>Plan de gestion d’urgence ou de gestion des Risques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_Toc103685731 \h </w:instrText>
        </w:r>
        <w:r w:rsidR="00BC4187" w:rsidRPr="00BC4187">
          <w:rPr>
            <w:b w:val="0"/>
            <w:webHidden/>
          </w:rPr>
        </w:r>
        <w:r w:rsidR="00BC4187" w:rsidRPr="00BC4187">
          <w:rPr>
            <w:b w:val="0"/>
            <w:webHidden/>
          </w:rPr>
          <w:fldChar w:fldCharType="separate"/>
        </w:r>
        <w:r w:rsidR="00BC4187" w:rsidRPr="00BC4187">
          <w:rPr>
            <w:b w:val="0"/>
            <w:webHidden/>
          </w:rPr>
          <w:t>290</w:t>
        </w:r>
        <w:r w:rsidR="00BC4187" w:rsidRPr="00BC4187">
          <w:rPr>
            <w:b w:val="0"/>
            <w:webHidden/>
          </w:rPr>
          <w:fldChar w:fldCharType="end"/>
        </w:r>
      </w:hyperlink>
    </w:p>
    <w:p w14:paraId="6E5F4C1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32" w:history="1">
        <w:r w:rsidR="00BC4187" w:rsidRPr="00BC4187">
          <w:rPr>
            <w:rStyle w:val="Lienhypertexte"/>
            <w:rFonts w:ascii="Times New Roman" w:hAnsi="Times New Roman"/>
            <w:i/>
            <w:noProof/>
            <w:sz w:val="24"/>
            <w:szCs w:val="24"/>
          </w:rPr>
          <w:t>8.3.1.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Rappel des risques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290</w:t>
        </w:r>
        <w:r w:rsidR="00BC4187" w:rsidRPr="00BC4187">
          <w:rPr>
            <w:rFonts w:ascii="Times New Roman" w:hAnsi="Times New Roman"/>
            <w:noProof/>
            <w:webHidden/>
            <w:sz w:val="24"/>
            <w:szCs w:val="24"/>
          </w:rPr>
          <w:fldChar w:fldCharType="end"/>
        </w:r>
      </w:hyperlink>
    </w:p>
    <w:p w14:paraId="58F666F1"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33" w:history="1">
        <w:r w:rsidR="00BC4187" w:rsidRPr="00BC4187">
          <w:rPr>
            <w:rStyle w:val="Lienhypertexte"/>
            <w:rFonts w:ascii="Times New Roman" w:hAnsi="Times New Roman"/>
            <w:i/>
            <w:noProof/>
            <w:sz w:val="24"/>
            <w:szCs w:val="24"/>
          </w:rPr>
          <w:t>8.3.2.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Stratégie de réponse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_Toc103685733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294</w:t>
        </w:r>
        <w:r w:rsidR="00BC4187" w:rsidRPr="00BC4187">
          <w:rPr>
            <w:rFonts w:ascii="Times New Roman" w:hAnsi="Times New Roman"/>
            <w:noProof/>
            <w:webHidden/>
            <w:sz w:val="24"/>
            <w:szCs w:val="24"/>
          </w:rPr>
          <w:fldChar w:fldCharType="end"/>
        </w:r>
      </w:hyperlink>
    </w:p>
    <w:p w14:paraId="7FD81712"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34" w:history="1">
        <w:r w:rsidR="00BC4187" w:rsidRPr="00BC4187">
          <w:rPr>
            <w:rStyle w:val="Lienhypertexte"/>
            <w:rFonts w:ascii="Times New Roman" w:hAnsi="Times New Roman"/>
            <w:noProof/>
            <w:sz w:val="24"/>
            <w:szCs w:val="24"/>
          </w:rPr>
          <w:t>8.3.2.1.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Disposition générale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294</w:t>
        </w:r>
        <w:r w:rsidR="00BC4187" w:rsidRPr="00BC4187">
          <w:rPr>
            <w:rFonts w:ascii="Times New Roman" w:hAnsi="Times New Roman"/>
            <w:noProof/>
            <w:webHidden/>
            <w:sz w:val="24"/>
            <w:szCs w:val="24"/>
          </w:rPr>
          <w:fldChar w:fldCharType="end"/>
        </w:r>
      </w:hyperlink>
    </w:p>
    <w:p w14:paraId="1FFA007B"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35" w:history="1">
        <w:r w:rsidR="00BC4187" w:rsidRPr="00BC4187">
          <w:rPr>
            <w:rStyle w:val="Lienhypertexte"/>
            <w:rFonts w:ascii="Times New Roman" w:hAnsi="Times New Roman"/>
            <w:noProof/>
            <w:sz w:val="24"/>
            <w:szCs w:val="24"/>
          </w:rPr>
          <w:t>8.3.2.2.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Mécanisme d’intervention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295</w:t>
        </w:r>
        <w:r w:rsidR="00BC4187" w:rsidRPr="00BC4187">
          <w:rPr>
            <w:rFonts w:ascii="Times New Roman" w:hAnsi="Times New Roman"/>
            <w:noProof/>
            <w:webHidden/>
            <w:sz w:val="24"/>
            <w:szCs w:val="24"/>
          </w:rPr>
          <w:fldChar w:fldCharType="end"/>
        </w:r>
      </w:hyperlink>
    </w:p>
    <w:p w14:paraId="54F13ABC"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36" w:history="1">
        <w:r w:rsidR="00BC4187" w:rsidRPr="00BC4187">
          <w:rPr>
            <w:rStyle w:val="Lienhypertexte"/>
            <w:rFonts w:ascii="Times New Roman" w:hAnsi="Times New Roman"/>
            <w:noProof/>
            <w:sz w:val="24"/>
            <w:szCs w:val="24"/>
          </w:rPr>
          <w:t>8.3.2.3.</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Mécanisme de réhabilitation</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298</w:t>
        </w:r>
        <w:r w:rsidR="00BC4187" w:rsidRPr="00BC4187">
          <w:rPr>
            <w:rFonts w:ascii="Times New Roman" w:hAnsi="Times New Roman"/>
            <w:noProof/>
            <w:webHidden/>
            <w:sz w:val="24"/>
            <w:szCs w:val="24"/>
          </w:rPr>
          <w:fldChar w:fldCharType="end"/>
        </w:r>
      </w:hyperlink>
    </w:p>
    <w:p w14:paraId="45672626"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37" w:history="1">
        <w:r w:rsidR="00BC4187" w:rsidRPr="00BC4187">
          <w:rPr>
            <w:rStyle w:val="Lienhypertexte"/>
            <w:rFonts w:ascii="Times New Roman" w:hAnsi="Times New Roman"/>
            <w:i/>
            <w:noProof/>
            <w:sz w:val="24"/>
            <w:szCs w:val="24"/>
          </w:rPr>
          <w:t>8.3.3.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Acteurs de mise en œuvre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299</w:t>
        </w:r>
        <w:r w:rsidR="00BC4187" w:rsidRPr="00BC4187">
          <w:rPr>
            <w:rFonts w:ascii="Times New Roman" w:hAnsi="Times New Roman"/>
            <w:noProof/>
            <w:webHidden/>
            <w:sz w:val="24"/>
            <w:szCs w:val="24"/>
          </w:rPr>
          <w:fldChar w:fldCharType="end"/>
        </w:r>
      </w:hyperlink>
    </w:p>
    <w:p w14:paraId="212F5034"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38" w:history="1">
        <w:r w:rsidR="00BC4187" w:rsidRPr="00BC4187">
          <w:rPr>
            <w:rStyle w:val="Lienhypertexte"/>
            <w:rFonts w:ascii="Times New Roman" w:hAnsi="Times New Roman"/>
            <w:noProof/>
            <w:sz w:val="24"/>
            <w:szCs w:val="24"/>
          </w:rPr>
          <w:t>8.3.3.1.</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Identification des acteurs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299</w:t>
        </w:r>
        <w:r w:rsidR="00BC4187" w:rsidRPr="00BC4187">
          <w:rPr>
            <w:rFonts w:ascii="Times New Roman" w:hAnsi="Times New Roman"/>
            <w:noProof/>
            <w:webHidden/>
            <w:sz w:val="24"/>
            <w:szCs w:val="24"/>
          </w:rPr>
          <w:fldChar w:fldCharType="end"/>
        </w:r>
      </w:hyperlink>
    </w:p>
    <w:p w14:paraId="2F24B0E9" w14:textId="77777777" w:rsidR="00BC4187" w:rsidRPr="00BC4187" w:rsidRDefault="004C0F64" w:rsidP="00BC4187">
      <w:pPr>
        <w:pStyle w:val="TM4"/>
        <w:tabs>
          <w:tab w:val="left" w:pos="1760"/>
        </w:tabs>
        <w:spacing w:after="0" w:line="20" w:lineRule="atLeast"/>
        <w:rPr>
          <w:rFonts w:ascii="Times New Roman" w:eastAsiaTheme="minorEastAsia" w:hAnsi="Times New Roman"/>
          <w:noProof/>
          <w:sz w:val="24"/>
          <w:szCs w:val="24"/>
        </w:rPr>
      </w:pPr>
      <w:hyperlink w:anchor="_Toc103685739" w:history="1">
        <w:r w:rsidR="00BC4187" w:rsidRPr="00BC4187">
          <w:rPr>
            <w:rStyle w:val="Lienhypertexte"/>
            <w:rFonts w:ascii="Times New Roman" w:hAnsi="Times New Roman"/>
            <w:noProof/>
            <w:sz w:val="24"/>
            <w:szCs w:val="24"/>
          </w:rPr>
          <w:t>8.3.3.2.</w:t>
        </w:r>
        <w:r w:rsidR="00BC4187" w:rsidRPr="00BC4187">
          <w:rPr>
            <w:rFonts w:ascii="Times New Roman" w:eastAsiaTheme="minorEastAsia" w:hAnsi="Times New Roman"/>
            <w:noProof/>
            <w:sz w:val="24"/>
            <w:szCs w:val="24"/>
          </w:rPr>
          <w:tab/>
        </w:r>
        <w:r w:rsidR="00BC4187" w:rsidRPr="00BC4187">
          <w:rPr>
            <w:rStyle w:val="Lienhypertexte"/>
            <w:rFonts w:ascii="Times New Roman" w:hAnsi="Times New Roman"/>
            <w:noProof/>
            <w:sz w:val="24"/>
            <w:szCs w:val="24"/>
          </w:rPr>
          <w:t>Renforcement des capacités des acteurs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_Toc103685739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299</w:t>
        </w:r>
        <w:r w:rsidR="00BC4187" w:rsidRPr="00BC4187">
          <w:rPr>
            <w:rFonts w:ascii="Times New Roman" w:hAnsi="Times New Roman"/>
            <w:noProof/>
            <w:webHidden/>
            <w:sz w:val="24"/>
            <w:szCs w:val="24"/>
          </w:rPr>
          <w:fldChar w:fldCharType="end"/>
        </w:r>
      </w:hyperlink>
    </w:p>
    <w:p w14:paraId="2DA3A234" w14:textId="77777777" w:rsidR="00BC4187" w:rsidRPr="00BC4187" w:rsidRDefault="004C0F64" w:rsidP="00BC4187">
      <w:pPr>
        <w:pStyle w:val="TM1"/>
        <w:spacing w:line="20" w:lineRule="atLeast"/>
        <w:rPr>
          <w:rFonts w:eastAsiaTheme="minorEastAsia"/>
          <w:b w:val="0"/>
          <w:lang w:eastAsia="fr-FR"/>
        </w:rPr>
      </w:pPr>
      <w:hyperlink w:anchor="_Toc103685740" w:history="1">
        <w:r w:rsidR="00BC4187" w:rsidRPr="00BC4187">
          <w:rPr>
            <w:rStyle w:val="Lienhypertexte"/>
            <w:b w:val="0"/>
          </w:rPr>
          <w:t>8.4.</w:t>
        </w:r>
        <w:r w:rsidR="00BC4187" w:rsidRPr="00BC4187">
          <w:rPr>
            <w:rFonts w:eastAsiaTheme="minorEastAsia"/>
            <w:b w:val="0"/>
            <w:lang w:eastAsia="fr-FR"/>
          </w:rPr>
          <w:tab/>
        </w:r>
        <w:r w:rsidR="00BC4187" w:rsidRPr="00BC4187">
          <w:rPr>
            <w:rStyle w:val="Lienhypertexte"/>
            <w:b w:val="0"/>
          </w:rPr>
          <w:t>Gestion des déchets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_Toc103685740 \h </w:instrText>
        </w:r>
        <w:r w:rsidR="00BC4187" w:rsidRPr="00BC4187">
          <w:rPr>
            <w:b w:val="0"/>
            <w:webHidden/>
          </w:rPr>
        </w:r>
        <w:r w:rsidR="00BC4187" w:rsidRPr="00BC4187">
          <w:rPr>
            <w:b w:val="0"/>
            <w:webHidden/>
          </w:rPr>
          <w:fldChar w:fldCharType="separate"/>
        </w:r>
        <w:r w:rsidR="00BC4187" w:rsidRPr="00BC4187">
          <w:rPr>
            <w:b w:val="0"/>
            <w:webHidden/>
          </w:rPr>
          <w:t>305</w:t>
        </w:r>
        <w:r w:rsidR="00BC4187" w:rsidRPr="00BC4187">
          <w:rPr>
            <w:b w:val="0"/>
            <w:webHidden/>
          </w:rPr>
          <w:fldChar w:fldCharType="end"/>
        </w:r>
      </w:hyperlink>
    </w:p>
    <w:p w14:paraId="79926A4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1" w:history="1">
        <w:r w:rsidR="00BC4187" w:rsidRPr="00BC4187">
          <w:rPr>
            <w:rStyle w:val="Lienhypertexte"/>
            <w:rFonts w:ascii="Times New Roman" w:hAnsi="Times New Roman"/>
            <w:i/>
            <w:noProof/>
            <w:sz w:val="24"/>
            <w:szCs w:val="24"/>
          </w:rPr>
          <w:t>8.4.1.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Gestion des déchets banals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305</w:t>
        </w:r>
        <w:r w:rsidR="00BC4187" w:rsidRPr="00BC4187">
          <w:rPr>
            <w:rFonts w:ascii="Times New Roman" w:hAnsi="Times New Roman"/>
            <w:noProof/>
            <w:webHidden/>
            <w:sz w:val="24"/>
            <w:szCs w:val="24"/>
          </w:rPr>
          <w:fldChar w:fldCharType="end"/>
        </w:r>
      </w:hyperlink>
    </w:p>
    <w:p w14:paraId="0103E0EA"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2" w:history="1">
        <w:r w:rsidR="00BC4187" w:rsidRPr="00BC4187">
          <w:rPr>
            <w:rStyle w:val="Lienhypertexte"/>
            <w:rFonts w:ascii="Times New Roman" w:hAnsi="Times New Roman"/>
            <w:i/>
            <w:noProof/>
            <w:sz w:val="24"/>
            <w:szCs w:val="24"/>
          </w:rPr>
          <w:t>8.4.2.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Gestion des matières dangereuses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_Toc103685742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306</w:t>
        </w:r>
        <w:r w:rsidR="00BC4187" w:rsidRPr="00BC4187">
          <w:rPr>
            <w:rFonts w:ascii="Times New Roman" w:hAnsi="Times New Roman"/>
            <w:noProof/>
            <w:webHidden/>
            <w:sz w:val="24"/>
            <w:szCs w:val="24"/>
          </w:rPr>
          <w:fldChar w:fldCharType="end"/>
        </w:r>
      </w:hyperlink>
    </w:p>
    <w:p w14:paraId="0CD830A0" w14:textId="77777777" w:rsidR="00BC4187" w:rsidRPr="00BC4187" w:rsidRDefault="004C0F64" w:rsidP="00BC4187">
      <w:pPr>
        <w:pStyle w:val="TM1"/>
        <w:spacing w:line="20" w:lineRule="atLeast"/>
        <w:rPr>
          <w:rFonts w:eastAsiaTheme="minorEastAsia"/>
          <w:b w:val="0"/>
          <w:lang w:eastAsia="fr-FR"/>
        </w:rPr>
      </w:pPr>
      <w:hyperlink w:anchor="_Toc103685743" w:history="1">
        <w:r w:rsidR="00BC4187" w:rsidRPr="00BC4187">
          <w:rPr>
            <w:rStyle w:val="Lienhypertexte"/>
            <w:b w:val="0"/>
          </w:rPr>
          <w:t>8.5.</w:t>
        </w:r>
        <w:r w:rsidR="00BC4187" w:rsidRPr="00BC4187">
          <w:rPr>
            <w:rFonts w:eastAsiaTheme="minorEastAsia"/>
            <w:b w:val="0"/>
            <w:lang w:eastAsia="fr-FR"/>
          </w:rPr>
          <w:tab/>
        </w:r>
        <w:r w:rsidR="00BC4187" w:rsidRPr="00BC4187">
          <w:rPr>
            <w:rStyle w:val="Lienhypertexte"/>
            <w:b w:val="0"/>
          </w:rPr>
          <w:t>Politique de sécurité de l’entreprise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_Toc103685743 \h </w:instrText>
        </w:r>
        <w:r w:rsidR="00BC4187" w:rsidRPr="00BC4187">
          <w:rPr>
            <w:b w:val="0"/>
            <w:webHidden/>
          </w:rPr>
        </w:r>
        <w:r w:rsidR="00BC4187" w:rsidRPr="00BC4187">
          <w:rPr>
            <w:b w:val="0"/>
            <w:webHidden/>
          </w:rPr>
          <w:fldChar w:fldCharType="separate"/>
        </w:r>
        <w:r w:rsidR="00BC4187" w:rsidRPr="00BC4187">
          <w:rPr>
            <w:b w:val="0"/>
            <w:webHidden/>
          </w:rPr>
          <w:t>307</w:t>
        </w:r>
        <w:r w:rsidR="00BC4187" w:rsidRPr="00BC4187">
          <w:rPr>
            <w:b w:val="0"/>
            <w:webHidden/>
          </w:rPr>
          <w:fldChar w:fldCharType="end"/>
        </w:r>
      </w:hyperlink>
    </w:p>
    <w:p w14:paraId="5CCE25C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4" w:history="1">
        <w:r w:rsidR="00BC4187" w:rsidRPr="00BC4187">
          <w:rPr>
            <w:rStyle w:val="Lienhypertexte"/>
            <w:rFonts w:ascii="Times New Roman" w:hAnsi="Times New Roman"/>
            <w:i/>
            <w:noProof/>
            <w:sz w:val="24"/>
            <w:szCs w:val="24"/>
          </w:rPr>
          <w:t>8.5.1.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Planification de la politique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_Toc103685744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308</w:t>
        </w:r>
        <w:r w:rsidR="00BC4187" w:rsidRPr="00BC4187">
          <w:rPr>
            <w:rFonts w:ascii="Times New Roman" w:hAnsi="Times New Roman"/>
            <w:noProof/>
            <w:webHidden/>
            <w:sz w:val="24"/>
            <w:szCs w:val="24"/>
          </w:rPr>
          <w:fldChar w:fldCharType="end"/>
        </w:r>
      </w:hyperlink>
    </w:p>
    <w:p w14:paraId="6B8BCC0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5" w:history="1">
        <w:r w:rsidR="00BC4187" w:rsidRPr="00BC4187">
          <w:rPr>
            <w:rStyle w:val="Lienhypertexte"/>
            <w:rFonts w:ascii="Times New Roman" w:hAnsi="Times New Roman"/>
            <w:i/>
            <w:noProof/>
            <w:sz w:val="24"/>
            <w:szCs w:val="24"/>
          </w:rPr>
          <w:t>8.5.2.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Mise en œuvre de la politique de l’entreprise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309</w:t>
        </w:r>
        <w:r w:rsidR="00BC4187" w:rsidRPr="00BC4187">
          <w:rPr>
            <w:rFonts w:ascii="Times New Roman" w:hAnsi="Times New Roman"/>
            <w:noProof/>
            <w:webHidden/>
            <w:sz w:val="24"/>
            <w:szCs w:val="24"/>
          </w:rPr>
          <w:fldChar w:fldCharType="end"/>
        </w:r>
      </w:hyperlink>
    </w:p>
    <w:p w14:paraId="6D1ECF0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6" w:history="1">
        <w:r w:rsidR="00BC4187" w:rsidRPr="00BC4187">
          <w:rPr>
            <w:rStyle w:val="Lienhypertexte"/>
            <w:rFonts w:ascii="Times New Roman" w:hAnsi="Times New Roman"/>
            <w:i/>
            <w:noProof/>
            <w:sz w:val="24"/>
            <w:szCs w:val="24"/>
          </w:rPr>
          <w:t>8.5.3.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Dispositions en matière de secours et d’évacuation généralement prises par l’entreprise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311</w:t>
        </w:r>
        <w:r w:rsidR="00BC4187" w:rsidRPr="00BC4187">
          <w:rPr>
            <w:rFonts w:ascii="Times New Roman" w:hAnsi="Times New Roman"/>
            <w:noProof/>
            <w:webHidden/>
            <w:sz w:val="24"/>
            <w:szCs w:val="24"/>
          </w:rPr>
          <w:fldChar w:fldCharType="end"/>
        </w:r>
      </w:hyperlink>
    </w:p>
    <w:p w14:paraId="51FA3403"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7" w:history="1">
        <w:r w:rsidR="00BC4187" w:rsidRPr="00BC4187">
          <w:rPr>
            <w:rStyle w:val="Lienhypertexte"/>
            <w:rFonts w:ascii="Times New Roman" w:hAnsi="Times New Roman"/>
            <w:i/>
            <w:noProof/>
            <w:sz w:val="24"/>
            <w:szCs w:val="24"/>
          </w:rPr>
          <w:t>8.5.4.</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Mise en conformité</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311</w:t>
        </w:r>
        <w:r w:rsidR="00BC4187" w:rsidRPr="00BC4187">
          <w:rPr>
            <w:rFonts w:ascii="Times New Roman" w:hAnsi="Times New Roman"/>
            <w:noProof/>
            <w:webHidden/>
            <w:sz w:val="24"/>
            <w:szCs w:val="24"/>
          </w:rPr>
          <w:fldChar w:fldCharType="end"/>
        </w:r>
      </w:hyperlink>
    </w:p>
    <w:p w14:paraId="06AA2E89"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8" w:history="1">
        <w:r w:rsidR="00BC4187" w:rsidRPr="00BC4187">
          <w:rPr>
            <w:rStyle w:val="Lienhypertexte"/>
            <w:rFonts w:ascii="Times New Roman" w:hAnsi="Times New Roman"/>
            <w:i/>
            <w:noProof/>
            <w:sz w:val="24"/>
            <w:szCs w:val="24"/>
          </w:rPr>
          <w:t>8.5.5.</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Protection individuelle : Equipements de Protection Individuelle (EPI)</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311</w:t>
        </w:r>
        <w:r w:rsidR="00BC4187" w:rsidRPr="00BC4187">
          <w:rPr>
            <w:rFonts w:ascii="Times New Roman" w:hAnsi="Times New Roman"/>
            <w:noProof/>
            <w:webHidden/>
            <w:sz w:val="24"/>
            <w:szCs w:val="24"/>
          </w:rPr>
          <w:fldChar w:fldCharType="end"/>
        </w:r>
      </w:hyperlink>
    </w:p>
    <w:p w14:paraId="49C7F04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49" w:history="1">
        <w:r w:rsidR="00BC4187" w:rsidRPr="00BC4187">
          <w:rPr>
            <w:rStyle w:val="Lienhypertexte"/>
            <w:rFonts w:ascii="Times New Roman" w:hAnsi="Times New Roman"/>
            <w:i/>
            <w:noProof/>
            <w:sz w:val="24"/>
            <w:szCs w:val="24"/>
          </w:rPr>
          <w:t>8.5.6.</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Formation sécurité</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_Toc103685749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312</w:t>
        </w:r>
        <w:r w:rsidR="00BC4187" w:rsidRPr="00BC4187">
          <w:rPr>
            <w:rFonts w:ascii="Times New Roman" w:hAnsi="Times New Roman"/>
            <w:noProof/>
            <w:webHidden/>
            <w:sz w:val="24"/>
            <w:szCs w:val="24"/>
          </w:rPr>
          <w:fldChar w:fldCharType="end"/>
        </w:r>
      </w:hyperlink>
    </w:p>
    <w:p w14:paraId="1659713E"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50" w:history="1">
        <w:r w:rsidR="00BC4187" w:rsidRPr="00BC4187">
          <w:rPr>
            <w:rStyle w:val="Lienhypertexte"/>
            <w:rFonts w:ascii="Times New Roman" w:hAnsi="Times New Roman"/>
            <w:noProof/>
            <w:sz w:val="24"/>
            <w:szCs w:val="24"/>
          </w:rPr>
          <w:t>8.5.7.</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Méthodes de suivi et de contrôle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_Toc103685750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313</w:t>
        </w:r>
        <w:r w:rsidR="00BC4187" w:rsidRPr="00BC4187">
          <w:rPr>
            <w:rFonts w:ascii="Times New Roman" w:hAnsi="Times New Roman"/>
            <w:noProof/>
            <w:webHidden/>
            <w:sz w:val="24"/>
            <w:szCs w:val="24"/>
          </w:rPr>
          <w:fldChar w:fldCharType="end"/>
        </w:r>
      </w:hyperlink>
    </w:p>
    <w:p w14:paraId="005A19C4"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51" w:history="1">
        <w:r w:rsidR="00BC4187" w:rsidRPr="00BC4187">
          <w:rPr>
            <w:rStyle w:val="Lienhypertexte"/>
            <w:rFonts w:ascii="Times New Roman" w:hAnsi="Times New Roman"/>
            <w:noProof/>
            <w:sz w:val="24"/>
            <w:szCs w:val="24"/>
          </w:rPr>
          <w:t>8.5.8.</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Gestion de la circulation routière sur et aux alentours du chantier</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_Toc103685751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313</w:t>
        </w:r>
        <w:r w:rsidR="00BC4187" w:rsidRPr="00BC4187">
          <w:rPr>
            <w:rFonts w:ascii="Times New Roman" w:hAnsi="Times New Roman"/>
            <w:noProof/>
            <w:webHidden/>
            <w:sz w:val="24"/>
            <w:szCs w:val="24"/>
          </w:rPr>
          <w:fldChar w:fldCharType="end"/>
        </w:r>
      </w:hyperlink>
    </w:p>
    <w:p w14:paraId="1B9B1732" w14:textId="77777777" w:rsidR="00BC4187" w:rsidRPr="00BC4187" w:rsidRDefault="004C0F64" w:rsidP="00BC4187">
      <w:pPr>
        <w:pStyle w:val="TM1"/>
        <w:spacing w:line="20" w:lineRule="atLeast"/>
        <w:rPr>
          <w:rFonts w:eastAsiaTheme="minorEastAsia"/>
          <w:b w:val="0"/>
          <w:lang w:eastAsia="fr-FR"/>
        </w:rPr>
      </w:pPr>
      <w:hyperlink w:anchor="_Toc103685752" w:history="1">
        <w:r w:rsidR="00BC4187" w:rsidRPr="00BC4187">
          <w:rPr>
            <w:rStyle w:val="Lienhypertexte"/>
            <w:b w:val="0"/>
          </w:rPr>
          <w:t>8.6.</w:t>
        </w:r>
        <w:r w:rsidR="00BC4187" w:rsidRPr="00BC4187">
          <w:rPr>
            <w:rFonts w:eastAsiaTheme="minorEastAsia"/>
            <w:b w:val="0"/>
            <w:lang w:eastAsia="fr-FR"/>
          </w:rPr>
          <w:tab/>
        </w:r>
        <w:r w:rsidR="00BC4187" w:rsidRPr="00BC4187">
          <w:rPr>
            <w:rStyle w:val="Lienhypertexte"/>
            <w:b w:val="0"/>
          </w:rPr>
          <w:t>Procédure spécifique général pour la protection de la biodiversité</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_Toc103685752 \h </w:instrText>
        </w:r>
        <w:r w:rsidR="00BC4187" w:rsidRPr="00BC4187">
          <w:rPr>
            <w:b w:val="0"/>
            <w:webHidden/>
          </w:rPr>
        </w:r>
        <w:r w:rsidR="00BC4187" w:rsidRPr="00BC4187">
          <w:rPr>
            <w:b w:val="0"/>
            <w:webHidden/>
          </w:rPr>
          <w:fldChar w:fldCharType="separate"/>
        </w:r>
        <w:r w:rsidR="00BC4187" w:rsidRPr="00BC4187">
          <w:rPr>
            <w:b w:val="0"/>
            <w:webHidden/>
          </w:rPr>
          <w:t>314</w:t>
        </w:r>
        <w:r w:rsidR="00BC4187" w:rsidRPr="00BC4187">
          <w:rPr>
            <w:b w:val="0"/>
            <w:webHidden/>
          </w:rPr>
          <w:fldChar w:fldCharType="end"/>
        </w:r>
      </w:hyperlink>
    </w:p>
    <w:p w14:paraId="27D5AC56" w14:textId="77777777" w:rsidR="00BC4187" w:rsidRPr="00BC4187" w:rsidRDefault="004C0F64" w:rsidP="00BC4187">
      <w:pPr>
        <w:pStyle w:val="TM1"/>
        <w:spacing w:line="20" w:lineRule="atLeast"/>
        <w:rPr>
          <w:rFonts w:eastAsiaTheme="minorEastAsia"/>
          <w:b w:val="0"/>
          <w:lang w:eastAsia="fr-FR"/>
        </w:rPr>
      </w:pPr>
      <w:hyperlink w:anchor="_Toc103685753" w:history="1">
        <w:r w:rsidR="00BC4187" w:rsidRPr="00BC4187">
          <w:rPr>
            <w:rStyle w:val="Lienhypertexte"/>
            <w:b w:val="0"/>
          </w:rPr>
          <w:t>8.7.</w:t>
        </w:r>
        <w:r w:rsidR="00BC4187" w:rsidRPr="00BC4187">
          <w:rPr>
            <w:rFonts w:eastAsiaTheme="minorEastAsia"/>
            <w:b w:val="0"/>
            <w:lang w:eastAsia="fr-FR"/>
          </w:rPr>
          <w:tab/>
        </w:r>
        <w:r w:rsidR="00BC4187" w:rsidRPr="00BC4187">
          <w:rPr>
            <w:rStyle w:val="Lienhypertexte"/>
            <w:b w:val="0"/>
          </w:rPr>
          <w:t>Procédure en cas de découverte fortuite</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_Toc103685753 \h </w:instrText>
        </w:r>
        <w:r w:rsidR="00BC4187" w:rsidRPr="00BC4187">
          <w:rPr>
            <w:b w:val="0"/>
            <w:webHidden/>
          </w:rPr>
        </w:r>
        <w:r w:rsidR="00BC4187" w:rsidRPr="00BC4187">
          <w:rPr>
            <w:b w:val="0"/>
            <w:webHidden/>
          </w:rPr>
          <w:fldChar w:fldCharType="separate"/>
        </w:r>
        <w:r w:rsidR="00BC4187" w:rsidRPr="00BC4187">
          <w:rPr>
            <w:b w:val="0"/>
            <w:webHidden/>
          </w:rPr>
          <w:t>316</w:t>
        </w:r>
        <w:r w:rsidR="00BC4187" w:rsidRPr="00BC4187">
          <w:rPr>
            <w:b w:val="0"/>
            <w:webHidden/>
          </w:rPr>
          <w:fldChar w:fldCharType="end"/>
        </w:r>
      </w:hyperlink>
    </w:p>
    <w:p w14:paraId="4B4138EE" w14:textId="77777777" w:rsidR="00BC4187" w:rsidRPr="00BC4187" w:rsidRDefault="004C0F64" w:rsidP="00BC4187">
      <w:pPr>
        <w:pStyle w:val="TM1"/>
        <w:spacing w:line="20" w:lineRule="atLeast"/>
        <w:rPr>
          <w:rFonts w:eastAsiaTheme="minorEastAsia"/>
          <w:b w:val="0"/>
          <w:lang w:eastAsia="fr-FR"/>
        </w:rPr>
      </w:pPr>
      <w:hyperlink w:anchor="_Toc103685754" w:history="1">
        <w:r w:rsidR="00BC4187" w:rsidRPr="00BC4187">
          <w:rPr>
            <w:rStyle w:val="Lienhypertexte"/>
            <w:b w:val="0"/>
          </w:rPr>
          <w:t>8.8.</w:t>
        </w:r>
        <w:r w:rsidR="00BC4187" w:rsidRPr="00BC4187">
          <w:rPr>
            <w:rFonts w:eastAsiaTheme="minorEastAsia"/>
            <w:b w:val="0"/>
            <w:lang w:eastAsia="fr-FR"/>
          </w:rPr>
          <w:tab/>
        </w:r>
        <w:r w:rsidR="00BC4187" w:rsidRPr="00BC4187">
          <w:rPr>
            <w:rStyle w:val="Lienhypertexte"/>
            <w:b w:val="0"/>
          </w:rPr>
          <w:t>Programme de surveillance et de suivi environnemental</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_Toc103685754 \h </w:instrText>
        </w:r>
        <w:r w:rsidR="00BC4187" w:rsidRPr="00BC4187">
          <w:rPr>
            <w:b w:val="0"/>
            <w:webHidden/>
          </w:rPr>
        </w:r>
        <w:r w:rsidR="00BC4187" w:rsidRPr="00BC4187">
          <w:rPr>
            <w:b w:val="0"/>
            <w:webHidden/>
          </w:rPr>
          <w:fldChar w:fldCharType="separate"/>
        </w:r>
        <w:r w:rsidR="00BC4187" w:rsidRPr="00BC4187">
          <w:rPr>
            <w:b w:val="0"/>
            <w:webHidden/>
          </w:rPr>
          <w:t>318</w:t>
        </w:r>
        <w:r w:rsidR="00BC4187" w:rsidRPr="00BC4187">
          <w:rPr>
            <w:b w:val="0"/>
            <w:webHidden/>
          </w:rPr>
          <w:fldChar w:fldCharType="end"/>
        </w:r>
      </w:hyperlink>
    </w:p>
    <w:p w14:paraId="2031EC90"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55" w:history="1">
        <w:r w:rsidR="00BC4187" w:rsidRPr="00BC4187">
          <w:rPr>
            <w:rStyle w:val="Lienhypertexte"/>
            <w:rFonts w:ascii="Times New Roman" w:hAnsi="Times New Roman"/>
            <w:i/>
            <w:noProof/>
            <w:sz w:val="24"/>
            <w:szCs w:val="24"/>
          </w:rPr>
          <w:t>8.8.1.</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Activités de surveillance environnementale et sociale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_Toc103685755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318</w:t>
        </w:r>
        <w:r w:rsidR="00BC4187" w:rsidRPr="00BC4187">
          <w:rPr>
            <w:rFonts w:ascii="Times New Roman" w:hAnsi="Times New Roman"/>
            <w:noProof/>
            <w:webHidden/>
            <w:sz w:val="24"/>
            <w:szCs w:val="24"/>
          </w:rPr>
          <w:fldChar w:fldCharType="end"/>
        </w:r>
      </w:hyperlink>
    </w:p>
    <w:p w14:paraId="364D0B95"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56" w:history="1">
        <w:r w:rsidR="00BC4187" w:rsidRPr="00BC4187">
          <w:rPr>
            <w:rStyle w:val="Lienhypertexte"/>
            <w:rFonts w:ascii="Times New Roman" w:hAnsi="Times New Roman"/>
            <w:i/>
            <w:noProof/>
            <w:sz w:val="24"/>
            <w:szCs w:val="24"/>
          </w:rPr>
          <w:t>8.8.2.</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Activités de suivi environnemental et social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_Toc103685756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318</w:t>
        </w:r>
        <w:r w:rsidR="00BC4187" w:rsidRPr="00BC4187">
          <w:rPr>
            <w:rFonts w:ascii="Times New Roman" w:hAnsi="Times New Roman"/>
            <w:noProof/>
            <w:webHidden/>
            <w:sz w:val="24"/>
            <w:szCs w:val="24"/>
          </w:rPr>
          <w:fldChar w:fldCharType="end"/>
        </w:r>
      </w:hyperlink>
    </w:p>
    <w:p w14:paraId="44C2209B" w14:textId="77777777" w:rsidR="00BC4187" w:rsidRPr="00BC4187" w:rsidRDefault="004C0F64" w:rsidP="00BC4187">
      <w:pPr>
        <w:pStyle w:val="TM2"/>
        <w:spacing w:line="20" w:lineRule="atLeast"/>
        <w:rPr>
          <w:rFonts w:ascii="Times New Roman" w:eastAsiaTheme="minorEastAsia" w:hAnsi="Times New Roman"/>
          <w:noProof/>
          <w:sz w:val="24"/>
          <w:szCs w:val="24"/>
          <w:lang w:eastAsia="fr-FR"/>
        </w:rPr>
      </w:pPr>
      <w:hyperlink w:anchor="_Toc103685757" w:history="1">
        <w:r w:rsidR="00BC4187" w:rsidRPr="00BC4187">
          <w:rPr>
            <w:rStyle w:val="Lienhypertexte"/>
            <w:rFonts w:ascii="Times New Roman" w:hAnsi="Times New Roman"/>
            <w:i/>
            <w:noProof/>
            <w:sz w:val="24"/>
            <w:szCs w:val="24"/>
          </w:rPr>
          <w:t>8.8.3.</w:t>
        </w:r>
        <w:r w:rsidR="00BC4187" w:rsidRPr="00BC4187">
          <w:rPr>
            <w:rFonts w:ascii="Times New Roman" w:eastAsiaTheme="minorEastAsia" w:hAnsi="Times New Roman"/>
            <w:noProof/>
            <w:sz w:val="24"/>
            <w:szCs w:val="24"/>
            <w:lang w:eastAsia="fr-FR"/>
          </w:rPr>
          <w:tab/>
        </w:r>
        <w:r w:rsidR="00BC4187" w:rsidRPr="00BC4187">
          <w:rPr>
            <w:rStyle w:val="Lienhypertexte"/>
            <w:rFonts w:ascii="Times New Roman" w:hAnsi="Times New Roman"/>
            <w:i/>
            <w:noProof/>
            <w:sz w:val="24"/>
            <w:szCs w:val="24"/>
          </w:rPr>
          <w:t>Programme de suivi environnemental</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_Toc103685757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329</w:t>
        </w:r>
        <w:r w:rsidR="00BC4187" w:rsidRPr="00BC4187">
          <w:rPr>
            <w:rFonts w:ascii="Times New Roman" w:hAnsi="Times New Roman"/>
            <w:noProof/>
            <w:webHidden/>
            <w:sz w:val="24"/>
            <w:szCs w:val="24"/>
          </w:rPr>
          <w:fldChar w:fldCharType="end"/>
        </w:r>
      </w:hyperlink>
    </w:p>
    <w:p w14:paraId="6669AD1A" w14:textId="77777777" w:rsidR="00BC4187" w:rsidRPr="00BC4187" w:rsidRDefault="004C0F64" w:rsidP="00BC4187">
      <w:pPr>
        <w:pStyle w:val="TM1"/>
        <w:spacing w:line="20" w:lineRule="atLeast"/>
        <w:rPr>
          <w:rFonts w:eastAsiaTheme="minorEastAsia"/>
          <w:b w:val="0"/>
          <w:lang w:eastAsia="fr-FR"/>
        </w:rPr>
      </w:pPr>
      <w:hyperlink w:anchor="_Toc103685758" w:history="1">
        <w:r w:rsidR="00BC4187" w:rsidRPr="00BC4187">
          <w:rPr>
            <w:rStyle w:val="Lienhypertexte"/>
            <w:b w:val="0"/>
          </w:rPr>
          <w:t>8.9.</w:t>
        </w:r>
        <w:r w:rsidR="00BC4187" w:rsidRPr="00BC4187">
          <w:rPr>
            <w:rFonts w:eastAsiaTheme="minorEastAsia"/>
            <w:b w:val="0"/>
            <w:lang w:eastAsia="fr-FR"/>
          </w:rPr>
          <w:tab/>
        </w:r>
        <w:r w:rsidR="00BC4187" w:rsidRPr="00BC4187">
          <w:rPr>
            <w:rStyle w:val="Lienhypertexte"/>
            <w:b w:val="0"/>
          </w:rPr>
          <w:t>Programme de renforcement de capacités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_Toc103685758 \h </w:instrText>
        </w:r>
        <w:r w:rsidR="00BC4187" w:rsidRPr="00BC4187">
          <w:rPr>
            <w:b w:val="0"/>
            <w:webHidden/>
          </w:rPr>
        </w:r>
        <w:r w:rsidR="00BC4187" w:rsidRPr="00BC4187">
          <w:rPr>
            <w:b w:val="0"/>
            <w:webHidden/>
          </w:rPr>
          <w:fldChar w:fldCharType="separate"/>
        </w:r>
        <w:r w:rsidR="00BC4187" w:rsidRPr="00BC4187">
          <w:rPr>
            <w:b w:val="0"/>
            <w:webHidden/>
          </w:rPr>
          <w:t>329</w:t>
        </w:r>
        <w:r w:rsidR="00BC4187" w:rsidRPr="00BC4187">
          <w:rPr>
            <w:b w:val="0"/>
            <w:webHidden/>
          </w:rPr>
          <w:fldChar w:fldCharType="end"/>
        </w:r>
      </w:hyperlink>
    </w:p>
    <w:p w14:paraId="7F22B3A1" w14:textId="77777777" w:rsidR="00BC4187" w:rsidRPr="00BC4187" w:rsidRDefault="004C0F64" w:rsidP="00BC4187">
      <w:pPr>
        <w:pStyle w:val="TM1"/>
        <w:tabs>
          <w:tab w:val="left" w:pos="880"/>
        </w:tabs>
        <w:spacing w:line="20" w:lineRule="atLeast"/>
        <w:rPr>
          <w:rFonts w:eastAsiaTheme="minorEastAsia"/>
          <w:b w:val="0"/>
          <w:lang w:eastAsia="fr-FR"/>
        </w:rPr>
      </w:pPr>
      <w:hyperlink w:anchor="_Toc103685759" w:history="1">
        <w:r w:rsidR="00BC4187" w:rsidRPr="00BC4187">
          <w:rPr>
            <w:rStyle w:val="Lienhypertexte"/>
            <w:b w:val="0"/>
          </w:rPr>
          <w:t>8.10.</w:t>
        </w:r>
        <w:r w:rsidR="00BC4187" w:rsidRPr="00BC4187">
          <w:rPr>
            <w:rFonts w:eastAsiaTheme="minorEastAsia"/>
            <w:b w:val="0"/>
            <w:lang w:eastAsia="fr-FR"/>
          </w:rPr>
          <w:tab/>
        </w:r>
        <w:r w:rsidR="00BC4187" w:rsidRPr="00BC4187">
          <w:rPr>
            <w:rStyle w:val="Lienhypertexte"/>
            <w:b w:val="0"/>
          </w:rPr>
          <w:t>Synthèse des Responsabilités pour la mise en œuvre et de suivi du PGES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_Toc103685759 \h </w:instrText>
        </w:r>
        <w:r w:rsidR="00BC4187" w:rsidRPr="00BC4187">
          <w:rPr>
            <w:b w:val="0"/>
            <w:webHidden/>
          </w:rPr>
        </w:r>
        <w:r w:rsidR="00BC4187" w:rsidRPr="00BC4187">
          <w:rPr>
            <w:b w:val="0"/>
            <w:webHidden/>
          </w:rPr>
          <w:fldChar w:fldCharType="separate"/>
        </w:r>
        <w:r w:rsidR="00BC4187" w:rsidRPr="00BC4187">
          <w:rPr>
            <w:b w:val="0"/>
            <w:webHidden/>
          </w:rPr>
          <w:t>330</w:t>
        </w:r>
        <w:r w:rsidR="00BC4187" w:rsidRPr="00BC4187">
          <w:rPr>
            <w:b w:val="0"/>
            <w:webHidden/>
          </w:rPr>
          <w:fldChar w:fldCharType="end"/>
        </w:r>
      </w:hyperlink>
    </w:p>
    <w:p w14:paraId="71522AFC" w14:textId="77777777" w:rsidR="00BC4187" w:rsidRPr="00BC4187" w:rsidRDefault="004C0F64" w:rsidP="00BC4187">
      <w:pPr>
        <w:pStyle w:val="TM1"/>
        <w:tabs>
          <w:tab w:val="left" w:pos="880"/>
        </w:tabs>
        <w:spacing w:line="20" w:lineRule="atLeast"/>
        <w:rPr>
          <w:rFonts w:eastAsiaTheme="minorEastAsia"/>
          <w:b w:val="0"/>
          <w:lang w:eastAsia="fr-FR"/>
        </w:rPr>
      </w:pPr>
      <w:hyperlink w:anchor="_Toc103685760" w:history="1">
        <w:r w:rsidR="00BC4187" w:rsidRPr="00BC4187">
          <w:rPr>
            <w:rStyle w:val="Lienhypertexte"/>
            <w:b w:val="0"/>
          </w:rPr>
          <w:t>8.11.</w:t>
        </w:r>
        <w:r w:rsidR="00BC4187" w:rsidRPr="00BC4187">
          <w:rPr>
            <w:rFonts w:eastAsiaTheme="minorEastAsia"/>
            <w:b w:val="0"/>
            <w:lang w:eastAsia="fr-FR"/>
          </w:rPr>
          <w:tab/>
        </w:r>
        <w:r w:rsidR="00BC4187" w:rsidRPr="00BC4187">
          <w:rPr>
            <w:rStyle w:val="Lienhypertexte"/>
            <w:b w:val="0"/>
          </w:rPr>
          <w:t>Mécanisme de gestion des plaintes sensible à l’EAS/HS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_Toc103685760 \h </w:instrText>
        </w:r>
        <w:r w:rsidR="00BC4187" w:rsidRPr="00BC4187">
          <w:rPr>
            <w:b w:val="0"/>
            <w:webHidden/>
          </w:rPr>
        </w:r>
        <w:r w:rsidR="00BC4187" w:rsidRPr="00BC4187">
          <w:rPr>
            <w:b w:val="0"/>
            <w:webHidden/>
          </w:rPr>
          <w:fldChar w:fldCharType="separate"/>
        </w:r>
        <w:r w:rsidR="00BC4187" w:rsidRPr="00BC4187">
          <w:rPr>
            <w:b w:val="0"/>
            <w:webHidden/>
          </w:rPr>
          <w:t>332</w:t>
        </w:r>
        <w:r w:rsidR="00BC4187" w:rsidRPr="00BC4187">
          <w:rPr>
            <w:b w:val="0"/>
            <w:webHidden/>
          </w:rPr>
          <w:fldChar w:fldCharType="end"/>
        </w:r>
      </w:hyperlink>
    </w:p>
    <w:p w14:paraId="7847FD5B" w14:textId="77777777" w:rsidR="00BC4187" w:rsidRPr="00BC4187" w:rsidRDefault="004C0F64" w:rsidP="00BC4187">
      <w:pPr>
        <w:pStyle w:val="TM1"/>
        <w:tabs>
          <w:tab w:val="left" w:pos="880"/>
        </w:tabs>
        <w:spacing w:line="20" w:lineRule="atLeast"/>
        <w:rPr>
          <w:rFonts w:eastAsiaTheme="minorEastAsia"/>
          <w:b w:val="0"/>
          <w:lang w:eastAsia="fr-FR"/>
        </w:rPr>
      </w:pPr>
      <w:hyperlink w:anchor="_Toc103685761" w:history="1">
        <w:r w:rsidR="00BC4187" w:rsidRPr="00BC4187">
          <w:rPr>
            <w:rStyle w:val="Lienhypertexte"/>
            <w:b w:val="0"/>
          </w:rPr>
          <w:t>8.12.</w:t>
        </w:r>
        <w:r w:rsidR="00BC4187" w:rsidRPr="00BC4187">
          <w:rPr>
            <w:rFonts w:eastAsiaTheme="minorEastAsia"/>
            <w:b w:val="0"/>
            <w:lang w:eastAsia="fr-FR"/>
          </w:rPr>
          <w:tab/>
        </w:r>
        <w:r w:rsidR="00BC4187" w:rsidRPr="00BC4187">
          <w:rPr>
            <w:rStyle w:val="Lienhypertexte"/>
            <w:b w:val="0"/>
          </w:rPr>
          <w:t>Budget du PGES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_Toc103685761 \h </w:instrText>
        </w:r>
        <w:r w:rsidR="00BC4187" w:rsidRPr="00BC4187">
          <w:rPr>
            <w:b w:val="0"/>
            <w:webHidden/>
          </w:rPr>
        </w:r>
        <w:r w:rsidR="00BC4187" w:rsidRPr="00BC4187">
          <w:rPr>
            <w:b w:val="0"/>
            <w:webHidden/>
          </w:rPr>
          <w:fldChar w:fldCharType="separate"/>
        </w:r>
        <w:r w:rsidR="00BC4187" w:rsidRPr="00BC4187">
          <w:rPr>
            <w:b w:val="0"/>
            <w:webHidden/>
          </w:rPr>
          <w:t>336</w:t>
        </w:r>
        <w:r w:rsidR="00BC4187" w:rsidRPr="00BC4187">
          <w:rPr>
            <w:b w:val="0"/>
            <w:webHidden/>
          </w:rPr>
          <w:fldChar w:fldCharType="end"/>
        </w:r>
      </w:hyperlink>
    </w:p>
    <w:p w14:paraId="7CCF76FA" w14:textId="77777777" w:rsidR="00BC4187" w:rsidRPr="00BC4187" w:rsidRDefault="004C0F64" w:rsidP="00BC4187">
      <w:pPr>
        <w:pStyle w:val="TM1"/>
        <w:spacing w:line="20" w:lineRule="atLeast"/>
        <w:rPr>
          <w:rFonts w:eastAsiaTheme="minorEastAsia"/>
          <w:b w:val="0"/>
          <w:lang w:eastAsia="fr-FR"/>
        </w:rPr>
      </w:pPr>
      <w:hyperlink w:anchor="_Toc103685762" w:history="1">
        <w:r w:rsidR="00BC4187" w:rsidRPr="00BC4187">
          <w:rPr>
            <w:rStyle w:val="Lienhypertexte"/>
            <w:b w:val="0"/>
          </w:rPr>
          <w:t>9.</w:t>
        </w:r>
        <w:r w:rsidR="00BC4187" w:rsidRPr="00BC4187">
          <w:rPr>
            <w:rFonts w:eastAsiaTheme="minorEastAsia"/>
            <w:b w:val="0"/>
            <w:lang w:eastAsia="fr-FR"/>
          </w:rPr>
          <w:tab/>
        </w:r>
        <w:r w:rsidR="00BC4187" w:rsidRPr="00BC4187">
          <w:rPr>
            <w:rStyle w:val="Lienhypertexte"/>
            <w:b w:val="0"/>
          </w:rPr>
          <w:t>CONCLUSION /RECOMMANDATIONS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_Toc103685762 \h </w:instrText>
        </w:r>
        <w:r w:rsidR="00BC4187" w:rsidRPr="00BC4187">
          <w:rPr>
            <w:b w:val="0"/>
            <w:webHidden/>
          </w:rPr>
        </w:r>
        <w:r w:rsidR="00BC4187" w:rsidRPr="00BC4187">
          <w:rPr>
            <w:b w:val="0"/>
            <w:webHidden/>
          </w:rPr>
          <w:fldChar w:fldCharType="separate"/>
        </w:r>
        <w:r w:rsidR="00BC4187" w:rsidRPr="00BC4187">
          <w:rPr>
            <w:b w:val="0"/>
            <w:webHidden/>
          </w:rPr>
          <w:t>338</w:t>
        </w:r>
        <w:r w:rsidR="00BC4187" w:rsidRPr="00BC4187">
          <w:rPr>
            <w:b w:val="0"/>
            <w:webHidden/>
          </w:rPr>
          <w:fldChar w:fldCharType="end"/>
        </w:r>
      </w:hyperlink>
    </w:p>
    <w:p w14:paraId="3E145CD1" w14:textId="77777777" w:rsidR="00BC4187" w:rsidRPr="00BC4187" w:rsidRDefault="004C0F64" w:rsidP="00BC4187">
      <w:pPr>
        <w:pStyle w:val="TM1"/>
        <w:spacing w:line="20" w:lineRule="atLeast"/>
        <w:rPr>
          <w:rFonts w:eastAsiaTheme="minorEastAsia"/>
          <w:b w:val="0"/>
          <w:lang w:eastAsia="fr-FR"/>
        </w:rPr>
      </w:pPr>
      <w:hyperlink w:anchor="_Toc103685763" w:history="1">
        <w:r w:rsidR="00BC4187" w:rsidRPr="00BC4187">
          <w:rPr>
            <w:rStyle w:val="Lienhypertexte"/>
            <w:b w:val="0"/>
          </w:rPr>
          <w:t>DOCUMENTS CONSULTES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_Toc103685763 \h </w:instrText>
        </w:r>
        <w:r w:rsidR="00BC4187" w:rsidRPr="00BC4187">
          <w:rPr>
            <w:b w:val="0"/>
            <w:webHidden/>
          </w:rPr>
        </w:r>
        <w:r w:rsidR="00BC4187" w:rsidRPr="00BC4187">
          <w:rPr>
            <w:b w:val="0"/>
            <w:webHidden/>
          </w:rPr>
          <w:fldChar w:fldCharType="separate"/>
        </w:r>
        <w:r w:rsidR="00BC4187" w:rsidRPr="00BC4187">
          <w:rPr>
            <w:b w:val="0"/>
            <w:webHidden/>
          </w:rPr>
          <w:t>341</w:t>
        </w:r>
        <w:r w:rsidR="00BC4187" w:rsidRPr="00BC4187">
          <w:rPr>
            <w:b w:val="0"/>
            <w:webHidden/>
          </w:rPr>
          <w:fldChar w:fldCharType="end"/>
        </w:r>
      </w:hyperlink>
    </w:p>
    <w:p w14:paraId="2E398B7A" w14:textId="77777777" w:rsidR="00BC4187" w:rsidRPr="00BC4187" w:rsidRDefault="004C0F64" w:rsidP="00BC4187">
      <w:pPr>
        <w:pStyle w:val="TM1"/>
        <w:spacing w:line="20" w:lineRule="atLeast"/>
        <w:rPr>
          <w:rFonts w:eastAsiaTheme="minorEastAsia"/>
          <w:b w:val="0"/>
          <w:lang w:eastAsia="fr-FR"/>
        </w:rPr>
      </w:pPr>
      <w:hyperlink w:anchor="_Toc103685764" w:history="1">
        <w:r w:rsidR="00BC4187" w:rsidRPr="00BC4187">
          <w:rPr>
            <w:rStyle w:val="Lienhypertexte"/>
            <w:b w:val="0"/>
          </w:rPr>
          <w:t>ANNEXES</w:t>
        </w:r>
        <w:r w:rsidR="00BC4187" w:rsidRPr="00BC4187">
          <w:rPr>
            <w:b w:val="0"/>
            <w:webHidden/>
          </w:rPr>
          <w:tab/>
        </w:r>
        <w:r w:rsidR="00BC4187" w:rsidRPr="00BC4187">
          <w:rPr>
            <w:b w:val="0"/>
            <w:webHidden/>
          </w:rPr>
          <w:fldChar w:fldCharType="begin"/>
        </w:r>
        <w:r w:rsidR="00BC4187" w:rsidRPr="00BC4187">
          <w:rPr>
            <w:b w:val="0"/>
            <w:webHidden/>
          </w:rPr>
          <w:instrText xml:space="preserve"> PAGEREF _Toc103685764 \h </w:instrText>
        </w:r>
        <w:r w:rsidR="00BC4187" w:rsidRPr="00BC4187">
          <w:rPr>
            <w:b w:val="0"/>
            <w:webHidden/>
          </w:rPr>
        </w:r>
        <w:r w:rsidR="00BC4187" w:rsidRPr="00BC4187">
          <w:rPr>
            <w:b w:val="0"/>
            <w:webHidden/>
          </w:rPr>
          <w:fldChar w:fldCharType="separate"/>
        </w:r>
        <w:r w:rsidR="00BC4187" w:rsidRPr="00BC4187">
          <w:rPr>
            <w:b w:val="0"/>
            <w:webHidden/>
          </w:rPr>
          <w:t>343</w:t>
        </w:r>
        <w:r w:rsidR="00BC4187" w:rsidRPr="00BC4187">
          <w:rPr>
            <w:b w:val="0"/>
            <w:webHidden/>
          </w:rPr>
          <w:fldChar w:fldCharType="end"/>
        </w:r>
      </w:hyperlink>
    </w:p>
    <w:p w14:paraId="70A8A115"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65" w:history="1">
        <w:r w:rsidR="00BC4187" w:rsidRPr="00BC4187">
          <w:rPr>
            <w:rStyle w:val="Lienhypertexte"/>
            <w:rFonts w:ascii="Times New Roman" w:hAnsi="Times New Roman"/>
            <w:noProof/>
            <w:sz w:val="24"/>
            <w:szCs w:val="24"/>
          </w:rPr>
          <w:t>Annexe 1 : PV de consultation Publique au niveau communal et liste des personnes rencontrées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_Toc103685765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343</w:t>
        </w:r>
        <w:r w:rsidR="00BC4187" w:rsidRPr="00BC4187">
          <w:rPr>
            <w:rFonts w:ascii="Times New Roman" w:hAnsi="Times New Roman"/>
            <w:noProof/>
            <w:webHidden/>
            <w:sz w:val="24"/>
            <w:szCs w:val="24"/>
          </w:rPr>
          <w:fldChar w:fldCharType="end"/>
        </w:r>
      </w:hyperlink>
    </w:p>
    <w:p w14:paraId="103893B3"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66" w:history="1">
        <w:r w:rsidR="00BC4187" w:rsidRPr="00BC4187">
          <w:rPr>
            <w:rStyle w:val="Lienhypertexte"/>
            <w:rFonts w:ascii="Times New Roman" w:hAnsi="Times New Roman"/>
            <w:noProof/>
            <w:sz w:val="24"/>
            <w:szCs w:val="24"/>
          </w:rPr>
          <w:t>Annexe 2 : Note aux soumissionnaires sur les attentes concernant les formations sur les VBG, y compris l’EAS/HS, VCE et VIH.SIDA dans le cadre de UCM</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_Toc103685766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344</w:t>
        </w:r>
        <w:r w:rsidR="00BC4187" w:rsidRPr="00BC4187">
          <w:rPr>
            <w:rFonts w:ascii="Times New Roman" w:hAnsi="Times New Roman"/>
            <w:noProof/>
            <w:webHidden/>
            <w:sz w:val="24"/>
            <w:szCs w:val="24"/>
          </w:rPr>
          <w:fldChar w:fldCharType="end"/>
        </w:r>
      </w:hyperlink>
    </w:p>
    <w:p w14:paraId="6586F13F"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67" w:history="1">
        <w:r w:rsidR="00BC4187" w:rsidRPr="00BC4187">
          <w:rPr>
            <w:rStyle w:val="Lienhypertexte"/>
            <w:rFonts w:ascii="Times New Roman" w:hAnsi="Times New Roman"/>
            <w:noProof/>
            <w:sz w:val="24"/>
            <w:szCs w:val="24"/>
          </w:rPr>
          <w:t>Annexe 3 : Codes de Conduite et Plan d'Action pour la mise en œuvre des Normes ESHS et SST et Prévention d’EAS/HS et Violence Contre Les Enfants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_Toc103685767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346</w:t>
        </w:r>
        <w:r w:rsidR="00BC4187" w:rsidRPr="00BC4187">
          <w:rPr>
            <w:rFonts w:ascii="Times New Roman" w:hAnsi="Times New Roman"/>
            <w:noProof/>
            <w:webHidden/>
            <w:sz w:val="24"/>
            <w:szCs w:val="24"/>
          </w:rPr>
          <w:fldChar w:fldCharType="end"/>
        </w:r>
      </w:hyperlink>
    </w:p>
    <w:p w14:paraId="04E1F913"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68" w:history="1">
        <w:r w:rsidR="00BC4187" w:rsidRPr="00BC4187">
          <w:rPr>
            <w:rStyle w:val="Lienhypertexte"/>
            <w:rFonts w:ascii="Times New Roman" w:hAnsi="Times New Roman"/>
            <w:noProof/>
            <w:sz w:val="24"/>
            <w:szCs w:val="24"/>
          </w:rPr>
          <w:t>Annexe 4 : Cahier des Clauses Administratives Générales : Indicateurs de performance des dispositions environnementales, sociales, hygiène et sécurité</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_Toc103685768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366</w:t>
        </w:r>
        <w:r w:rsidR="00BC4187" w:rsidRPr="00BC4187">
          <w:rPr>
            <w:rFonts w:ascii="Times New Roman" w:hAnsi="Times New Roman"/>
            <w:noProof/>
            <w:webHidden/>
            <w:sz w:val="24"/>
            <w:szCs w:val="24"/>
          </w:rPr>
          <w:fldChar w:fldCharType="end"/>
        </w:r>
      </w:hyperlink>
    </w:p>
    <w:p w14:paraId="6C1CF2B1"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69" w:history="1">
        <w:r w:rsidR="00BC4187" w:rsidRPr="00BC4187">
          <w:rPr>
            <w:rStyle w:val="Lienhypertexte"/>
            <w:rFonts w:ascii="Times New Roman" w:hAnsi="Times New Roman"/>
            <w:noProof/>
            <w:sz w:val="24"/>
            <w:szCs w:val="24"/>
          </w:rPr>
          <w:t>Annexe 5 : Clauses environnementales à insérer dans les dossiers de travaux contractuels</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_Toc103685769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371</w:t>
        </w:r>
        <w:r w:rsidR="00BC4187" w:rsidRPr="00BC4187">
          <w:rPr>
            <w:rFonts w:ascii="Times New Roman" w:hAnsi="Times New Roman"/>
            <w:noProof/>
            <w:webHidden/>
            <w:sz w:val="24"/>
            <w:szCs w:val="24"/>
          </w:rPr>
          <w:fldChar w:fldCharType="end"/>
        </w:r>
      </w:hyperlink>
    </w:p>
    <w:p w14:paraId="2D975142" w14:textId="77777777" w:rsidR="00BC4187" w:rsidRPr="00BC4187" w:rsidRDefault="004C0F64" w:rsidP="00BC4187">
      <w:pPr>
        <w:pStyle w:val="TM4"/>
        <w:spacing w:after="0" w:line="20" w:lineRule="atLeast"/>
        <w:ind w:left="658"/>
        <w:rPr>
          <w:rFonts w:ascii="Times New Roman" w:eastAsiaTheme="minorEastAsia" w:hAnsi="Times New Roman"/>
          <w:noProof/>
          <w:sz w:val="24"/>
          <w:szCs w:val="24"/>
        </w:rPr>
      </w:pPr>
      <w:hyperlink w:anchor="_Toc103685770" w:history="1">
        <w:r w:rsidR="00BC4187" w:rsidRPr="00BC4187">
          <w:rPr>
            <w:rStyle w:val="Lienhypertexte"/>
            <w:rFonts w:ascii="Times New Roman" w:hAnsi="Times New Roman"/>
            <w:noProof/>
            <w:sz w:val="24"/>
            <w:szCs w:val="24"/>
          </w:rPr>
          <w:t>Annexe 6 : TERMES DE REFERENCE</w:t>
        </w:r>
        <w:r w:rsidR="00BC4187" w:rsidRPr="00BC4187">
          <w:rPr>
            <w:rFonts w:ascii="Times New Roman" w:hAnsi="Times New Roman"/>
            <w:noProof/>
            <w:webHidden/>
            <w:sz w:val="24"/>
            <w:szCs w:val="24"/>
          </w:rPr>
          <w:tab/>
        </w:r>
        <w:r w:rsidR="00BC4187" w:rsidRPr="00BC4187">
          <w:rPr>
            <w:rFonts w:ascii="Times New Roman" w:hAnsi="Times New Roman"/>
            <w:noProof/>
            <w:webHidden/>
            <w:sz w:val="24"/>
            <w:szCs w:val="24"/>
          </w:rPr>
          <w:fldChar w:fldCharType="begin"/>
        </w:r>
        <w:r w:rsidR="00BC4187" w:rsidRPr="00BC4187">
          <w:rPr>
            <w:rFonts w:ascii="Times New Roman" w:hAnsi="Times New Roman"/>
            <w:noProof/>
            <w:webHidden/>
            <w:sz w:val="24"/>
            <w:szCs w:val="24"/>
          </w:rPr>
          <w:instrText xml:space="preserve"> PAGEREF _Toc103685770 \h </w:instrText>
        </w:r>
        <w:r w:rsidR="00BC4187" w:rsidRPr="00BC4187">
          <w:rPr>
            <w:rFonts w:ascii="Times New Roman" w:hAnsi="Times New Roman"/>
            <w:noProof/>
            <w:webHidden/>
            <w:sz w:val="24"/>
            <w:szCs w:val="24"/>
          </w:rPr>
        </w:r>
        <w:r w:rsidR="00BC4187" w:rsidRPr="00BC4187">
          <w:rPr>
            <w:rFonts w:ascii="Times New Roman" w:hAnsi="Times New Roman"/>
            <w:noProof/>
            <w:webHidden/>
            <w:sz w:val="24"/>
            <w:szCs w:val="24"/>
          </w:rPr>
          <w:fldChar w:fldCharType="separate"/>
        </w:r>
        <w:r w:rsidR="00BC4187" w:rsidRPr="00BC4187">
          <w:rPr>
            <w:rFonts w:ascii="Times New Roman" w:hAnsi="Times New Roman"/>
            <w:noProof/>
            <w:webHidden/>
            <w:sz w:val="24"/>
            <w:szCs w:val="24"/>
          </w:rPr>
          <w:t>397</w:t>
        </w:r>
        <w:r w:rsidR="00BC4187" w:rsidRPr="00BC4187">
          <w:rPr>
            <w:rFonts w:ascii="Times New Roman" w:hAnsi="Times New Roman"/>
            <w:noProof/>
            <w:webHidden/>
            <w:sz w:val="24"/>
            <w:szCs w:val="24"/>
          </w:rPr>
          <w:fldChar w:fldCharType="end"/>
        </w:r>
      </w:hyperlink>
    </w:p>
    <w:p w14:paraId="7184BEF1" w14:textId="67A77689" w:rsidR="00AD67C2" w:rsidRPr="008B7F9D" w:rsidRDefault="00232EBD" w:rsidP="008B7F9D">
      <w:pPr>
        <w:spacing w:after="0" w:line="240" w:lineRule="auto"/>
        <w:ind w:right="567"/>
        <w:jc w:val="both"/>
        <w:rPr>
          <w:rFonts w:ascii="Times New Roman" w:hAnsi="Times New Roman"/>
          <w:sz w:val="24"/>
          <w:szCs w:val="24"/>
        </w:rPr>
      </w:pPr>
      <w:r w:rsidRPr="00BC4187">
        <w:rPr>
          <w:rFonts w:ascii="Times New Roman" w:eastAsia="Times New Roman" w:hAnsi="Times New Roman"/>
          <w:noProof/>
          <w:sz w:val="24"/>
          <w:szCs w:val="24"/>
        </w:rPr>
        <w:fldChar w:fldCharType="end"/>
      </w:r>
    </w:p>
    <w:p w14:paraId="43183136" w14:textId="77777777" w:rsidR="001736A5" w:rsidRDefault="001736A5" w:rsidP="008B7F9D">
      <w:pPr>
        <w:spacing w:after="0" w:line="240" w:lineRule="auto"/>
        <w:ind w:right="567"/>
        <w:jc w:val="both"/>
        <w:rPr>
          <w:rFonts w:ascii="Times New Roman" w:hAnsi="Times New Roman"/>
          <w:sz w:val="24"/>
          <w:szCs w:val="24"/>
        </w:rPr>
      </w:pPr>
    </w:p>
    <w:p w14:paraId="1224C25B" w14:textId="77777777" w:rsidR="001736A5" w:rsidRDefault="001736A5" w:rsidP="008B7F9D">
      <w:pPr>
        <w:spacing w:after="0" w:line="240" w:lineRule="auto"/>
        <w:ind w:right="567"/>
        <w:jc w:val="both"/>
        <w:rPr>
          <w:rFonts w:ascii="Times New Roman" w:hAnsi="Times New Roman"/>
          <w:sz w:val="24"/>
          <w:szCs w:val="24"/>
        </w:rPr>
      </w:pPr>
    </w:p>
    <w:p w14:paraId="2740D974" w14:textId="77777777" w:rsidR="001736A5" w:rsidRDefault="001736A5" w:rsidP="008B7F9D">
      <w:pPr>
        <w:spacing w:after="0" w:line="240" w:lineRule="auto"/>
        <w:ind w:right="567"/>
        <w:jc w:val="both"/>
        <w:rPr>
          <w:rFonts w:ascii="Times New Roman" w:hAnsi="Times New Roman"/>
          <w:sz w:val="24"/>
          <w:szCs w:val="24"/>
        </w:rPr>
      </w:pPr>
    </w:p>
    <w:p w14:paraId="0C9E0A95" w14:textId="61EF26DD" w:rsidR="00A74378" w:rsidRPr="008B7F9D" w:rsidRDefault="00A74378" w:rsidP="008B7F9D">
      <w:pPr>
        <w:spacing w:after="0" w:line="240" w:lineRule="auto"/>
        <w:ind w:right="567"/>
        <w:jc w:val="both"/>
        <w:rPr>
          <w:rFonts w:ascii="Times New Roman" w:hAnsi="Times New Roman"/>
          <w:sz w:val="24"/>
          <w:szCs w:val="24"/>
        </w:rPr>
      </w:pPr>
      <w:r w:rsidRPr="008B7F9D">
        <w:rPr>
          <w:rFonts w:ascii="Times New Roman" w:hAnsi="Times New Roman"/>
          <w:sz w:val="24"/>
          <w:szCs w:val="24"/>
        </w:rPr>
        <w:br w:type="page"/>
      </w:r>
    </w:p>
    <w:p w14:paraId="2608A051" w14:textId="77777777" w:rsidR="00ED17F3" w:rsidRPr="007E5A67" w:rsidRDefault="00ED17F3" w:rsidP="001736A5">
      <w:pPr>
        <w:pStyle w:val="Titre1"/>
        <w:numPr>
          <w:ilvl w:val="0"/>
          <w:numId w:val="0"/>
        </w:numPr>
        <w:spacing w:before="0" w:after="200"/>
        <w:ind w:left="431" w:hanging="431"/>
        <w:rPr>
          <w:szCs w:val="24"/>
          <w:lang w:val="en-US"/>
        </w:rPr>
      </w:pPr>
      <w:bookmarkStart w:id="5" w:name="_Toc103685588"/>
      <w:r w:rsidRPr="007E5A67">
        <w:rPr>
          <w:szCs w:val="24"/>
          <w:lang w:val="en-US"/>
        </w:rPr>
        <w:t>SIGLES</w:t>
      </w:r>
      <w:bookmarkEnd w:id="0"/>
      <w:r w:rsidRPr="007E5A67">
        <w:rPr>
          <w:szCs w:val="24"/>
          <w:lang w:val="en-US"/>
        </w:rPr>
        <w:t xml:space="preserve"> ET ABREVIATIONS</w:t>
      </w:r>
      <w:bookmarkEnd w:id="1"/>
      <w:bookmarkEnd w:id="2"/>
      <w:bookmarkEnd w:id="5"/>
    </w:p>
    <w:tbl>
      <w:tblPr>
        <w:tblW w:w="9926" w:type="dxa"/>
        <w:tblLook w:val="04A0" w:firstRow="1" w:lastRow="0" w:firstColumn="1" w:lastColumn="0" w:noHBand="0" w:noVBand="1"/>
      </w:tblPr>
      <w:tblGrid>
        <w:gridCol w:w="1271"/>
        <w:gridCol w:w="296"/>
        <w:gridCol w:w="8359"/>
      </w:tblGrid>
      <w:tr w:rsidR="00D75D2E" w:rsidRPr="00420C1B" w14:paraId="7C9BD17B" w14:textId="77777777" w:rsidTr="00420C1B">
        <w:trPr>
          <w:trHeight w:val="411"/>
        </w:trPr>
        <w:tc>
          <w:tcPr>
            <w:tcW w:w="1271" w:type="dxa"/>
            <w:shd w:val="clear" w:color="auto" w:fill="auto"/>
            <w:noWrap/>
          </w:tcPr>
          <w:p w14:paraId="33FB0105" w14:textId="62F4EB4D" w:rsidR="002D3A81" w:rsidRPr="00420C1B" w:rsidRDefault="003229B0" w:rsidP="00232EBD">
            <w:pPr>
              <w:pStyle w:val="Normal0"/>
              <w:rPr>
                <w:rFonts w:ascii="Times New Roman" w:hAnsi="Times New Roman"/>
                <w:szCs w:val="24"/>
                <w:lang w:eastAsia="fr-FR"/>
              </w:rPr>
            </w:pPr>
            <w:r w:rsidRPr="00420C1B">
              <w:rPr>
                <w:rFonts w:ascii="Times New Roman" w:hAnsi="Times New Roman"/>
                <w:szCs w:val="24"/>
                <w:lang w:eastAsia="fr-FR"/>
              </w:rPr>
              <w:t>ABA</w:t>
            </w:r>
          </w:p>
        </w:tc>
        <w:tc>
          <w:tcPr>
            <w:tcW w:w="296" w:type="dxa"/>
            <w:shd w:val="clear" w:color="auto" w:fill="auto"/>
          </w:tcPr>
          <w:p w14:paraId="3F62DC22" w14:textId="77777777" w:rsidR="002D3A81" w:rsidRPr="00420C1B" w:rsidRDefault="00A74378"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tcPr>
          <w:p w14:paraId="4EA3CA7C" w14:textId="68F3D83D"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pacing w:val="-1"/>
                <w:szCs w:val="24"/>
                <w:lang w:val="fr-FR"/>
              </w:rPr>
              <w:t>Acad</w:t>
            </w:r>
            <w:r w:rsidRPr="00420C1B">
              <w:rPr>
                <w:rFonts w:ascii="Times New Roman" w:hAnsi="Times New Roman"/>
                <w:spacing w:val="-1"/>
                <w:szCs w:val="24"/>
                <w:lang w:val="fr-FR"/>
              </w:rPr>
              <w:t xml:space="preserve">émie des beaux-arts </w:t>
            </w:r>
            <w:r w:rsidR="0096564E" w:rsidRPr="00420C1B">
              <w:rPr>
                <w:rFonts w:ascii="Times New Roman" w:hAnsi="Times New Roman"/>
                <w:spacing w:val="-1"/>
                <w:szCs w:val="24"/>
                <w:lang w:val="fr-FR"/>
              </w:rPr>
              <w:t xml:space="preserve"> </w:t>
            </w:r>
            <w:r w:rsidRPr="00420C1B">
              <w:rPr>
                <w:rFonts w:ascii="Times New Roman" w:hAnsi="Times New Roman"/>
                <w:spacing w:val="-1"/>
                <w:szCs w:val="24"/>
                <w:lang w:val="fr-FR"/>
              </w:rPr>
              <w:t>de Kinshasa</w:t>
            </w:r>
          </w:p>
        </w:tc>
      </w:tr>
      <w:tr w:rsidR="00D75D2E" w:rsidRPr="00420C1B" w14:paraId="7408C74B" w14:textId="77777777" w:rsidTr="00420C1B">
        <w:trPr>
          <w:trHeight w:val="312"/>
        </w:trPr>
        <w:tc>
          <w:tcPr>
            <w:tcW w:w="1271" w:type="dxa"/>
            <w:shd w:val="clear" w:color="auto" w:fill="auto"/>
            <w:hideMark/>
          </w:tcPr>
          <w:p w14:paraId="00C0651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ACE</w:t>
            </w:r>
          </w:p>
        </w:tc>
        <w:tc>
          <w:tcPr>
            <w:tcW w:w="296" w:type="dxa"/>
            <w:shd w:val="clear" w:color="auto" w:fill="auto"/>
          </w:tcPr>
          <w:p w14:paraId="6FF3756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69EAE96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Agence Congolaise de l’Environnement</w:t>
            </w:r>
          </w:p>
        </w:tc>
      </w:tr>
      <w:tr w:rsidR="00D75D2E" w:rsidRPr="00420C1B" w14:paraId="7292BC7B" w14:textId="77777777" w:rsidTr="00420C1B">
        <w:trPr>
          <w:trHeight w:val="312"/>
        </w:trPr>
        <w:tc>
          <w:tcPr>
            <w:tcW w:w="1271" w:type="dxa"/>
            <w:shd w:val="clear" w:color="auto" w:fill="auto"/>
          </w:tcPr>
          <w:p w14:paraId="0FD26EE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rPr>
              <w:t xml:space="preserve">APD </w:t>
            </w:r>
          </w:p>
        </w:tc>
        <w:tc>
          <w:tcPr>
            <w:tcW w:w="296" w:type="dxa"/>
            <w:shd w:val="clear" w:color="auto" w:fill="auto"/>
          </w:tcPr>
          <w:p w14:paraId="16F541B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9E6493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Avant-Projet Détaillé</w:t>
            </w:r>
          </w:p>
        </w:tc>
      </w:tr>
      <w:tr w:rsidR="00D75D2E" w:rsidRPr="00420C1B" w14:paraId="3D191C60" w14:textId="77777777" w:rsidTr="00420C1B">
        <w:trPr>
          <w:trHeight w:val="312"/>
        </w:trPr>
        <w:tc>
          <w:tcPr>
            <w:tcW w:w="1271" w:type="dxa"/>
            <w:shd w:val="clear" w:color="auto" w:fill="auto"/>
          </w:tcPr>
          <w:p w14:paraId="0255B92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AGR</w:t>
            </w:r>
          </w:p>
        </w:tc>
        <w:tc>
          <w:tcPr>
            <w:tcW w:w="296" w:type="dxa"/>
            <w:shd w:val="clear" w:color="auto" w:fill="auto"/>
          </w:tcPr>
          <w:p w14:paraId="2DAD4B1D"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6C275C9E" w14:textId="5790B68E" w:rsidR="002D3A81" w:rsidRPr="00420C1B" w:rsidRDefault="002D3A81">
            <w:pPr>
              <w:pStyle w:val="Normal0"/>
              <w:rPr>
                <w:rFonts w:ascii="Times New Roman" w:hAnsi="Times New Roman"/>
                <w:szCs w:val="24"/>
                <w:lang w:val="fr-CD" w:eastAsia="fr-FR"/>
              </w:rPr>
            </w:pPr>
            <w:r w:rsidRPr="00420C1B">
              <w:rPr>
                <w:rFonts w:ascii="Times New Roman" w:hAnsi="Times New Roman"/>
                <w:szCs w:val="24"/>
                <w:lang w:val="fr-CD" w:eastAsia="fr-FR"/>
              </w:rPr>
              <w:t>A</w:t>
            </w:r>
            <w:r w:rsidR="00BC4DE2" w:rsidRPr="00420C1B">
              <w:rPr>
                <w:rFonts w:ascii="Times New Roman" w:hAnsi="Times New Roman"/>
                <w:szCs w:val="24"/>
                <w:lang w:val="fr-CD" w:eastAsia="fr-FR"/>
              </w:rPr>
              <w:t>ctivité Génératrice de Revenus</w:t>
            </w:r>
          </w:p>
        </w:tc>
      </w:tr>
      <w:tr w:rsidR="00D75D2E" w:rsidRPr="00420C1B" w14:paraId="009E4C15" w14:textId="77777777" w:rsidTr="00420C1B">
        <w:trPr>
          <w:trHeight w:val="312"/>
        </w:trPr>
        <w:tc>
          <w:tcPr>
            <w:tcW w:w="1271" w:type="dxa"/>
            <w:shd w:val="clear" w:color="auto" w:fill="auto"/>
            <w:hideMark/>
          </w:tcPr>
          <w:p w14:paraId="076255D6"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BM </w:t>
            </w:r>
          </w:p>
        </w:tc>
        <w:tc>
          <w:tcPr>
            <w:tcW w:w="296" w:type="dxa"/>
            <w:shd w:val="clear" w:color="auto" w:fill="auto"/>
          </w:tcPr>
          <w:p w14:paraId="6283A6B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6FA0A31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Banque mondiale</w:t>
            </w:r>
          </w:p>
        </w:tc>
      </w:tr>
      <w:tr w:rsidR="00D75D2E" w:rsidRPr="00420C1B" w14:paraId="1C1CD103" w14:textId="77777777" w:rsidTr="00420C1B">
        <w:trPr>
          <w:trHeight w:val="312"/>
        </w:trPr>
        <w:tc>
          <w:tcPr>
            <w:tcW w:w="1271" w:type="dxa"/>
            <w:shd w:val="clear" w:color="auto" w:fill="auto"/>
          </w:tcPr>
          <w:p w14:paraId="53D96C1D"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BC</w:t>
            </w:r>
          </w:p>
        </w:tc>
        <w:tc>
          <w:tcPr>
            <w:tcW w:w="296" w:type="dxa"/>
            <w:shd w:val="clear" w:color="auto" w:fill="auto"/>
          </w:tcPr>
          <w:p w14:paraId="57156E0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6C29D6A8"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 xml:space="preserve">Bureau de Contrôle </w:t>
            </w:r>
          </w:p>
        </w:tc>
      </w:tr>
      <w:tr w:rsidR="00D75D2E" w:rsidRPr="00420C1B" w14:paraId="4F7B5BBC" w14:textId="77777777" w:rsidTr="00420C1B">
        <w:trPr>
          <w:trHeight w:val="312"/>
        </w:trPr>
        <w:tc>
          <w:tcPr>
            <w:tcW w:w="1271" w:type="dxa"/>
            <w:shd w:val="clear" w:color="auto" w:fill="auto"/>
          </w:tcPr>
          <w:p w14:paraId="188B1BCF"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BT</w:t>
            </w:r>
          </w:p>
        </w:tc>
        <w:tc>
          <w:tcPr>
            <w:tcW w:w="296" w:type="dxa"/>
            <w:shd w:val="clear" w:color="auto" w:fill="auto"/>
          </w:tcPr>
          <w:p w14:paraId="2BB6A52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8E976B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Basse Tension </w:t>
            </w:r>
          </w:p>
        </w:tc>
      </w:tr>
      <w:tr w:rsidR="00D75D2E" w:rsidRPr="00420C1B" w14:paraId="0A9ED4EC" w14:textId="77777777" w:rsidTr="00420C1B">
        <w:trPr>
          <w:trHeight w:val="312"/>
        </w:trPr>
        <w:tc>
          <w:tcPr>
            <w:tcW w:w="1271" w:type="dxa"/>
            <w:shd w:val="clear" w:color="auto" w:fill="auto"/>
          </w:tcPr>
          <w:p w14:paraId="4A7B29A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BUE</w:t>
            </w:r>
          </w:p>
        </w:tc>
        <w:tc>
          <w:tcPr>
            <w:tcW w:w="296" w:type="dxa"/>
            <w:shd w:val="clear" w:color="auto" w:fill="auto"/>
          </w:tcPr>
          <w:p w14:paraId="71FA4DF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A8D5266"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Bureau Urbain de l’Environnement </w:t>
            </w:r>
          </w:p>
        </w:tc>
      </w:tr>
      <w:tr w:rsidR="00D75D2E" w:rsidRPr="00420C1B" w14:paraId="7B76A293" w14:textId="77777777" w:rsidTr="00420C1B">
        <w:trPr>
          <w:trHeight w:val="312"/>
        </w:trPr>
        <w:tc>
          <w:tcPr>
            <w:tcW w:w="1271" w:type="dxa"/>
            <w:shd w:val="clear" w:color="auto" w:fill="auto"/>
          </w:tcPr>
          <w:p w14:paraId="0A5B0840"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CPP</w:t>
            </w:r>
          </w:p>
        </w:tc>
        <w:tc>
          <w:tcPr>
            <w:tcW w:w="296" w:type="dxa"/>
            <w:shd w:val="clear" w:color="auto" w:fill="auto"/>
          </w:tcPr>
          <w:p w14:paraId="615840A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1B58331"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 xml:space="preserve">Coordination Provinciale du Projet </w:t>
            </w:r>
          </w:p>
        </w:tc>
      </w:tr>
      <w:tr w:rsidR="00D75D2E" w:rsidRPr="00420C1B" w14:paraId="32E98CEC" w14:textId="77777777" w:rsidTr="00420C1B">
        <w:trPr>
          <w:trHeight w:val="312"/>
        </w:trPr>
        <w:tc>
          <w:tcPr>
            <w:tcW w:w="1271" w:type="dxa"/>
            <w:shd w:val="clear" w:color="auto" w:fill="auto"/>
          </w:tcPr>
          <w:p w14:paraId="1147CEF3"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shd w:val="clear" w:color="auto" w:fill="FFFFFF"/>
              </w:rPr>
              <w:t>CCNUCC</w:t>
            </w:r>
          </w:p>
        </w:tc>
        <w:tc>
          <w:tcPr>
            <w:tcW w:w="296" w:type="dxa"/>
            <w:shd w:val="clear" w:color="auto" w:fill="auto"/>
          </w:tcPr>
          <w:p w14:paraId="0ADB0956"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001DF8B"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shd w:val="clear" w:color="auto" w:fill="FFFFFF"/>
                <w:lang w:val="fr-FR"/>
              </w:rPr>
              <w:t>Convention-cadre des Nations unies sur les changements climatiques</w:t>
            </w:r>
          </w:p>
        </w:tc>
      </w:tr>
      <w:tr w:rsidR="00D75D2E" w:rsidRPr="00420C1B" w14:paraId="07DED2BB" w14:textId="77777777" w:rsidTr="00420C1B">
        <w:trPr>
          <w:trHeight w:val="312"/>
        </w:trPr>
        <w:tc>
          <w:tcPr>
            <w:tcW w:w="1271" w:type="dxa"/>
            <w:shd w:val="clear" w:color="auto" w:fill="auto"/>
          </w:tcPr>
          <w:p w14:paraId="44D000C4" w14:textId="77777777" w:rsidR="002D3A81" w:rsidRPr="00420C1B" w:rsidRDefault="002D3A81" w:rsidP="00232EBD">
            <w:pPr>
              <w:pStyle w:val="Normal0"/>
              <w:rPr>
                <w:rFonts w:ascii="Times New Roman" w:eastAsia="Calibri" w:hAnsi="Times New Roman"/>
                <w:szCs w:val="24"/>
                <w:shd w:val="clear" w:color="auto" w:fill="FFFFFF"/>
              </w:rPr>
            </w:pPr>
            <w:r w:rsidRPr="00420C1B">
              <w:rPr>
                <w:rFonts w:ascii="Times New Roman" w:eastAsia="Calibri" w:hAnsi="Times New Roman"/>
                <w:szCs w:val="24"/>
                <w:shd w:val="clear" w:color="auto" w:fill="FFFFFF"/>
              </w:rPr>
              <w:t>CLCD</w:t>
            </w:r>
          </w:p>
        </w:tc>
        <w:tc>
          <w:tcPr>
            <w:tcW w:w="296" w:type="dxa"/>
            <w:shd w:val="clear" w:color="auto" w:fill="auto"/>
          </w:tcPr>
          <w:p w14:paraId="7ABA4088"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64A9FBC" w14:textId="77777777" w:rsidR="002D3A81" w:rsidRPr="00420C1B" w:rsidRDefault="002D3A81" w:rsidP="00232EBD">
            <w:pPr>
              <w:pStyle w:val="Normal0"/>
              <w:rPr>
                <w:rFonts w:ascii="Times New Roman" w:eastAsia="Calibri" w:hAnsi="Times New Roman"/>
                <w:szCs w:val="24"/>
                <w:lang w:val="fr-FR"/>
              </w:rPr>
            </w:pPr>
            <w:r w:rsidRPr="00420C1B">
              <w:rPr>
                <w:rFonts w:ascii="Times New Roman" w:eastAsia="Calibri" w:hAnsi="Times New Roman"/>
                <w:szCs w:val="24"/>
                <w:lang w:val="fr-FR" w:eastAsia="fr-FR"/>
              </w:rPr>
              <w:t>Convention des Nations Unies contre la Désertification</w:t>
            </w:r>
          </w:p>
        </w:tc>
      </w:tr>
      <w:tr w:rsidR="00D75D2E" w:rsidRPr="00420C1B" w14:paraId="7E6F4880" w14:textId="77777777" w:rsidTr="00420C1B">
        <w:trPr>
          <w:trHeight w:val="312"/>
        </w:trPr>
        <w:tc>
          <w:tcPr>
            <w:tcW w:w="1271" w:type="dxa"/>
            <w:shd w:val="clear" w:color="auto" w:fill="auto"/>
          </w:tcPr>
          <w:p w14:paraId="0A4704D6" w14:textId="77777777" w:rsidR="002D3A81" w:rsidRPr="00420C1B" w:rsidRDefault="002D3A81" w:rsidP="00232EBD">
            <w:pPr>
              <w:pStyle w:val="Normal0"/>
              <w:rPr>
                <w:rFonts w:ascii="Times New Roman" w:eastAsia="Calibri" w:hAnsi="Times New Roman"/>
                <w:szCs w:val="24"/>
                <w:shd w:val="clear" w:color="auto" w:fill="FFFFFF"/>
              </w:rPr>
            </w:pPr>
            <w:r w:rsidRPr="00420C1B">
              <w:rPr>
                <w:rFonts w:ascii="Times New Roman" w:eastAsia="Calibri" w:hAnsi="Times New Roman"/>
                <w:szCs w:val="24"/>
                <w:shd w:val="clear" w:color="auto" w:fill="FFFFFF"/>
              </w:rPr>
              <w:t>CDB</w:t>
            </w:r>
          </w:p>
        </w:tc>
        <w:tc>
          <w:tcPr>
            <w:tcW w:w="296" w:type="dxa"/>
            <w:shd w:val="clear" w:color="auto" w:fill="auto"/>
          </w:tcPr>
          <w:p w14:paraId="6191425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CAB9B3E" w14:textId="77777777" w:rsidR="002D3A81" w:rsidRPr="00420C1B" w:rsidRDefault="002D3A81" w:rsidP="00232EBD">
            <w:pPr>
              <w:pStyle w:val="Normal0"/>
              <w:rPr>
                <w:rFonts w:ascii="Times New Roman" w:eastAsia="Calibri" w:hAnsi="Times New Roman"/>
                <w:szCs w:val="24"/>
                <w:lang w:val="fr-FR" w:eastAsia="fr-FR"/>
              </w:rPr>
            </w:pPr>
            <w:r w:rsidRPr="00420C1B">
              <w:rPr>
                <w:rFonts w:ascii="Times New Roman" w:eastAsia="Calibri" w:hAnsi="Times New Roman"/>
                <w:szCs w:val="24"/>
                <w:lang w:val="fr-FR" w:eastAsia="fr-FR"/>
              </w:rPr>
              <w:t>Convention sur la Diversité Biologique</w:t>
            </w:r>
          </w:p>
        </w:tc>
      </w:tr>
      <w:tr w:rsidR="00D75D2E" w:rsidRPr="00420C1B" w14:paraId="10078558" w14:textId="77777777" w:rsidTr="00420C1B">
        <w:trPr>
          <w:trHeight w:val="312"/>
        </w:trPr>
        <w:tc>
          <w:tcPr>
            <w:tcW w:w="1271" w:type="dxa"/>
            <w:shd w:val="clear" w:color="auto" w:fill="auto"/>
          </w:tcPr>
          <w:p w14:paraId="0E3D526F"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CPL</w:t>
            </w:r>
          </w:p>
        </w:tc>
        <w:tc>
          <w:tcPr>
            <w:tcW w:w="296" w:type="dxa"/>
            <w:shd w:val="clear" w:color="auto" w:fill="auto"/>
          </w:tcPr>
          <w:p w14:paraId="6190309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73A4B02C"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lang w:eastAsia="fr-FR"/>
              </w:rPr>
              <w:t>Comité de Pilotage Local</w:t>
            </w:r>
          </w:p>
        </w:tc>
      </w:tr>
      <w:tr w:rsidR="00D75D2E" w:rsidRPr="00420C1B" w14:paraId="63B22610" w14:textId="77777777" w:rsidTr="00420C1B">
        <w:trPr>
          <w:trHeight w:val="312"/>
        </w:trPr>
        <w:tc>
          <w:tcPr>
            <w:tcW w:w="1271" w:type="dxa"/>
            <w:shd w:val="clear" w:color="auto" w:fill="auto"/>
            <w:hideMark/>
          </w:tcPr>
          <w:p w14:paraId="0B93301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CPE</w:t>
            </w:r>
          </w:p>
        </w:tc>
        <w:tc>
          <w:tcPr>
            <w:tcW w:w="296" w:type="dxa"/>
            <w:shd w:val="clear" w:color="auto" w:fill="auto"/>
          </w:tcPr>
          <w:p w14:paraId="28A9129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793AE6B8"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Coordination Provinciale de l’Environnement</w:t>
            </w:r>
          </w:p>
        </w:tc>
      </w:tr>
      <w:tr w:rsidR="00D75D2E" w:rsidRPr="00420C1B" w14:paraId="3A3E1BA0" w14:textId="77777777" w:rsidTr="00420C1B">
        <w:trPr>
          <w:trHeight w:val="312"/>
        </w:trPr>
        <w:tc>
          <w:tcPr>
            <w:tcW w:w="1271" w:type="dxa"/>
            <w:shd w:val="clear" w:color="auto" w:fill="auto"/>
            <w:noWrap/>
            <w:hideMark/>
          </w:tcPr>
          <w:p w14:paraId="446B3284"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CSMOD</w:t>
            </w:r>
          </w:p>
        </w:tc>
        <w:tc>
          <w:tcPr>
            <w:tcW w:w="296" w:type="dxa"/>
            <w:shd w:val="clear" w:color="auto" w:fill="auto"/>
          </w:tcPr>
          <w:p w14:paraId="5F7DD1B6"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hideMark/>
          </w:tcPr>
          <w:p w14:paraId="78E31233"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 xml:space="preserve">Cadre Stratégique de Mise en Œuvre de la Décentralisation </w:t>
            </w:r>
          </w:p>
        </w:tc>
      </w:tr>
      <w:tr w:rsidR="00D75D2E" w:rsidRPr="00420C1B" w14:paraId="5494EB03" w14:textId="77777777" w:rsidTr="00420C1B">
        <w:trPr>
          <w:trHeight w:val="312"/>
        </w:trPr>
        <w:tc>
          <w:tcPr>
            <w:tcW w:w="1271" w:type="dxa"/>
            <w:shd w:val="clear" w:color="auto" w:fill="auto"/>
            <w:noWrap/>
          </w:tcPr>
          <w:p w14:paraId="7BB68E95" w14:textId="77777777" w:rsidR="002D3A81" w:rsidRPr="00420C1B" w:rsidRDefault="002D3A81" w:rsidP="00232EBD">
            <w:pPr>
              <w:pStyle w:val="Normal0"/>
              <w:rPr>
                <w:rFonts w:ascii="Times New Roman" w:eastAsia="Calibri" w:hAnsi="Times New Roman"/>
                <w:szCs w:val="24"/>
                <w:lang w:eastAsia="fr-FR"/>
              </w:rPr>
            </w:pPr>
            <w:r w:rsidRPr="00420C1B">
              <w:rPr>
                <w:rFonts w:ascii="Times New Roman" w:eastAsia="Calibri" w:hAnsi="Times New Roman"/>
                <w:szCs w:val="24"/>
                <w:lang w:eastAsia="fr-FR"/>
              </w:rPr>
              <w:t>CUE</w:t>
            </w:r>
          </w:p>
        </w:tc>
        <w:tc>
          <w:tcPr>
            <w:tcW w:w="296" w:type="dxa"/>
            <w:shd w:val="clear" w:color="auto" w:fill="auto"/>
          </w:tcPr>
          <w:p w14:paraId="2588D295"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0D0359B3"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lang w:eastAsia="fr-FR"/>
              </w:rPr>
              <w:t xml:space="preserve"> Coordination Urbaine de l’Environnement </w:t>
            </w:r>
          </w:p>
        </w:tc>
      </w:tr>
      <w:tr w:rsidR="00D75D2E" w:rsidRPr="00420C1B" w14:paraId="36DA8F66" w14:textId="77777777" w:rsidTr="00420C1B">
        <w:trPr>
          <w:trHeight w:val="312"/>
        </w:trPr>
        <w:tc>
          <w:tcPr>
            <w:tcW w:w="1271" w:type="dxa"/>
            <w:shd w:val="clear" w:color="auto" w:fill="auto"/>
            <w:hideMark/>
          </w:tcPr>
          <w:p w14:paraId="7008BAC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DAO</w:t>
            </w:r>
          </w:p>
        </w:tc>
        <w:tc>
          <w:tcPr>
            <w:tcW w:w="296" w:type="dxa"/>
            <w:shd w:val="clear" w:color="auto" w:fill="auto"/>
          </w:tcPr>
          <w:p w14:paraId="19F1C18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6A9A271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Dossier d’Appel d’Offres</w:t>
            </w:r>
          </w:p>
        </w:tc>
      </w:tr>
      <w:tr w:rsidR="00D75D2E" w:rsidRPr="00420C1B" w14:paraId="5AD478B4" w14:textId="77777777" w:rsidTr="00420C1B">
        <w:trPr>
          <w:trHeight w:val="312"/>
        </w:trPr>
        <w:tc>
          <w:tcPr>
            <w:tcW w:w="1271" w:type="dxa"/>
            <w:shd w:val="clear" w:color="auto" w:fill="auto"/>
          </w:tcPr>
          <w:p w14:paraId="79BC010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DCVI</w:t>
            </w:r>
          </w:p>
        </w:tc>
        <w:tc>
          <w:tcPr>
            <w:tcW w:w="296" w:type="dxa"/>
            <w:shd w:val="clear" w:color="auto" w:fill="auto"/>
          </w:tcPr>
          <w:p w14:paraId="3C81A7D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50FD112"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Direction de Contrôle et de Vérification Interne</w:t>
            </w:r>
          </w:p>
        </w:tc>
      </w:tr>
      <w:tr w:rsidR="00D75D2E" w:rsidRPr="00420C1B" w14:paraId="7D99DB91" w14:textId="77777777" w:rsidTr="00420C1B">
        <w:trPr>
          <w:trHeight w:val="312"/>
        </w:trPr>
        <w:tc>
          <w:tcPr>
            <w:tcW w:w="1271" w:type="dxa"/>
            <w:shd w:val="clear" w:color="auto" w:fill="auto"/>
            <w:hideMark/>
          </w:tcPr>
          <w:p w14:paraId="24277113"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DKC</w:t>
            </w:r>
          </w:p>
        </w:tc>
        <w:tc>
          <w:tcPr>
            <w:tcW w:w="296" w:type="dxa"/>
            <w:shd w:val="clear" w:color="auto" w:fill="auto"/>
          </w:tcPr>
          <w:p w14:paraId="1829BE0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hideMark/>
          </w:tcPr>
          <w:p w14:paraId="146B90AC"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rPr>
              <w:t xml:space="preserve">Direction de distribution de Kinshasa Centre </w:t>
            </w:r>
          </w:p>
        </w:tc>
      </w:tr>
      <w:tr w:rsidR="00D75D2E" w:rsidRPr="00420C1B" w14:paraId="58D04823" w14:textId="77777777" w:rsidTr="00420C1B">
        <w:trPr>
          <w:trHeight w:val="312"/>
        </w:trPr>
        <w:tc>
          <w:tcPr>
            <w:tcW w:w="1271" w:type="dxa"/>
            <w:shd w:val="clear" w:color="auto" w:fill="auto"/>
            <w:hideMark/>
          </w:tcPr>
          <w:p w14:paraId="128935A7"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DKO</w:t>
            </w:r>
          </w:p>
        </w:tc>
        <w:tc>
          <w:tcPr>
            <w:tcW w:w="296" w:type="dxa"/>
            <w:shd w:val="clear" w:color="auto" w:fill="auto"/>
          </w:tcPr>
          <w:p w14:paraId="34DBF16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74C8DCEC"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rPr>
              <w:t xml:space="preserve">Direction de distribution de Kinshasa Ouest </w:t>
            </w:r>
          </w:p>
        </w:tc>
      </w:tr>
      <w:tr w:rsidR="00D75D2E" w:rsidRPr="00420C1B" w14:paraId="0A585AFC" w14:textId="77777777" w:rsidTr="00420C1B">
        <w:trPr>
          <w:trHeight w:val="312"/>
        </w:trPr>
        <w:tc>
          <w:tcPr>
            <w:tcW w:w="1271" w:type="dxa"/>
            <w:shd w:val="clear" w:color="auto" w:fill="auto"/>
            <w:hideMark/>
          </w:tcPr>
          <w:p w14:paraId="496C510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DIES</w:t>
            </w:r>
          </w:p>
        </w:tc>
        <w:tc>
          <w:tcPr>
            <w:tcW w:w="296" w:type="dxa"/>
            <w:shd w:val="clear" w:color="auto" w:fill="auto"/>
          </w:tcPr>
          <w:p w14:paraId="5B6DBCC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hideMark/>
          </w:tcPr>
          <w:p w14:paraId="1BF11250"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 xml:space="preserve">Diagnostics d'Impact Environnemental et Social </w:t>
            </w:r>
          </w:p>
        </w:tc>
      </w:tr>
      <w:tr w:rsidR="00D75D2E" w:rsidRPr="00420C1B" w14:paraId="4E3BA5F4" w14:textId="77777777" w:rsidTr="00420C1B">
        <w:trPr>
          <w:trHeight w:val="312"/>
        </w:trPr>
        <w:tc>
          <w:tcPr>
            <w:tcW w:w="1271" w:type="dxa"/>
            <w:shd w:val="clear" w:color="auto" w:fill="auto"/>
          </w:tcPr>
          <w:p w14:paraId="7AA739C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DPE</w:t>
            </w:r>
          </w:p>
        </w:tc>
        <w:tc>
          <w:tcPr>
            <w:tcW w:w="296" w:type="dxa"/>
            <w:shd w:val="clear" w:color="auto" w:fill="auto"/>
          </w:tcPr>
          <w:p w14:paraId="7C617FE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tcPr>
          <w:p w14:paraId="4373D83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Direction Provinciale de l’Environnement</w:t>
            </w:r>
          </w:p>
        </w:tc>
      </w:tr>
      <w:tr w:rsidR="00D75D2E" w:rsidRPr="00420C1B" w14:paraId="3D7410DB" w14:textId="77777777" w:rsidTr="00420C1B">
        <w:trPr>
          <w:trHeight w:val="312"/>
        </w:trPr>
        <w:tc>
          <w:tcPr>
            <w:tcW w:w="1271" w:type="dxa"/>
            <w:shd w:val="clear" w:color="auto" w:fill="auto"/>
            <w:hideMark/>
          </w:tcPr>
          <w:p w14:paraId="615A5CE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DSCRP </w:t>
            </w:r>
          </w:p>
        </w:tc>
        <w:tc>
          <w:tcPr>
            <w:tcW w:w="296" w:type="dxa"/>
            <w:shd w:val="clear" w:color="auto" w:fill="auto"/>
          </w:tcPr>
          <w:p w14:paraId="62AAECE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524F0B5F"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Document Stratégique de Réduction de la Pauvreté</w:t>
            </w:r>
          </w:p>
        </w:tc>
      </w:tr>
      <w:tr w:rsidR="00D75D2E" w:rsidRPr="00420C1B" w14:paraId="3B3E7909" w14:textId="77777777" w:rsidTr="00420C1B">
        <w:trPr>
          <w:trHeight w:val="312"/>
        </w:trPr>
        <w:tc>
          <w:tcPr>
            <w:tcW w:w="1271" w:type="dxa"/>
            <w:shd w:val="clear" w:color="auto" w:fill="auto"/>
            <w:hideMark/>
          </w:tcPr>
          <w:p w14:paraId="28B7772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EES</w:t>
            </w:r>
          </w:p>
        </w:tc>
        <w:tc>
          <w:tcPr>
            <w:tcW w:w="296" w:type="dxa"/>
            <w:shd w:val="clear" w:color="auto" w:fill="auto"/>
          </w:tcPr>
          <w:p w14:paraId="2161F11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456B2A3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Evaluation Environnementale et Sociale</w:t>
            </w:r>
          </w:p>
        </w:tc>
      </w:tr>
      <w:tr w:rsidR="00D75D2E" w:rsidRPr="00420C1B" w14:paraId="22944629" w14:textId="77777777" w:rsidTr="00420C1B">
        <w:trPr>
          <w:trHeight w:val="312"/>
        </w:trPr>
        <w:tc>
          <w:tcPr>
            <w:tcW w:w="1271" w:type="dxa"/>
            <w:shd w:val="clear" w:color="auto" w:fill="auto"/>
            <w:hideMark/>
          </w:tcPr>
          <w:p w14:paraId="66B622F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EIES </w:t>
            </w:r>
          </w:p>
        </w:tc>
        <w:tc>
          <w:tcPr>
            <w:tcW w:w="296" w:type="dxa"/>
            <w:shd w:val="clear" w:color="auto" w:fill="auto"/>
          </w:tcPr>
          <w:p w14:paraId="746734C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36602C67"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Etude d’Impact Environnemental et Social</w:t>
            </w:r>
          </w:p>
        </w:tc>
      </w:tr>
      <w:tr w:rsidR="00D75D2E" w:rsidRPr="00420C1B" w14:paraId="4C088002" w14:textId="77777777" w:rsidTr="00420C1B">
        <w:trPr>
          <w:trHeight w:val="312"/>
        </w:trPr>
        <w:tc>
          <w:tcPr>
            <w:tcW w:w="1271" w:type="dxa"/>
            <w:shd w:val="clear" w:color="auto" w:fill="auto"/>
            <w:hideMark/>
          </w:tcPr>
          <w:p w14:paraId="2D54451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EPI</w:t>
            </w:r>
          </w:p>
        </w:tc>
        <w:tc>
          <w:tcPr>
            <w:tcW w:w="296" w:type="dxa"/>
            <w:shd w:val="clear" w:color="auto" w:fill="auto"/>
          </w:tcPr>
          <w:p w14:paraId="14EB9E6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2E27E85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Equipement de Protection Individuelle</w:t>
            </w:r>
          </w:p>
        </w:tc>
      </w:tr>
      <w:tr w:rsidR="00D75D2E" w:rsidRPr="00420C1B" w14:paraId="7E09A860" w14:textId="77777777" w:rsidTr="00420C1B">
        <w:trPr>
          <w:trHeight w:val="312"/>
        </w:trPr>
        <w:tc>
          <w:tcPr>
            <w:tcW w:w="1271" w:type="dxa"/>
            <w:shd w:val="clear" w:color="auto" w:fill="auto"/>
          </w:tcPr>
          <w:p w14:paraId="7D23ADFB"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ETD</w:t>
            </w:r>
          </w:p>
        </w:tc>
        <w:tc>
          <w:tcPr>
            <w:tcW w:w="296" w:type="dxa"/>
            <w:shd w:val="clear" w:color="auto" w:fill="auto"/>
          </w:tcPr>
          <w:p w14:paraId="5CD66D8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93554F9"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Entités Territoriales Décentralisées</w:t>
            </w:r>
          </w:p>
        </w:tc>
      </w:tr>
      <w:tr w:rsidR="00D75D2E" w:rsidRPr="00420C1B" w14:paraId="5D8022A2" w14:textId="77777777" w:rsidTr="00420C1B">
        <w:trPr>
          <w:trHeight w:val="312"/>
        </w:trPr>
        <w:tc>
          <w:tcPr>
            <w:tcW w:w="1271" w:type="dxa"/>
            <w:shd w:val="clear" w:color="auto" w:fill="auto"/>
          </w:tcPr>
          <w:p w14:paraId="538D557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FAO</w:t>
            </w:r>
          </w:p>
        </w:tc>
        <w:tc>
          <w:tcPr>
            <w:tcW w:w="296" w:type="dxa"/>
            <w:shd w:val="clear" w:color="auto" w:fill="auto"/>
          </w:tcPr>
          <w:p w14:paraId="7015D541"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10A322F1"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Organisation des Nations Unies pour l’Alimentation et l’Agriculture</w:t>
            </w:r>
          </w:p>
        </w:tc>
      </w:tr>
      <w:tr w:rsidR="00D75D2E" w:rsidRPr="00420C1B" w14:paraId="2D490716" w14:textId="77777777" w:rsidTr="00420C1B">
        <w:trPr>
          <w:trHeight w:val="312"/>
        </w:trPr>
        <w:tc>
          <w:tcPr>
            <w:tcW w:w="1271" w:type="dxa"/>
            <w:shd w:val="clear" w:color="auto" w:fill="auto"/>
          </w:tcPr>
          <w:p w14:paraId="17BD8BB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FEM</w:t>
            </w:r>
          </w:p>
        </w:tc>
        <w:tc>
          <w:tcPr>
            <w:tcW w:w="296" w:type="dxa"/>
            <w:shd w:val="clear" w:color="auto" w:fill="auto"/>
          </w:tcPr>
          <w:p w14:paraId="5DA52C9D"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24AD740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Fonds pour l’Environnement Mondial</w:t>
            </w:r>
          </w:p>
        </w:tc>
      </w:tr>
      <w:tr w:rsidR="00D75D2E" w:rsidRPr="00420C1B" w14:paraId="05BE3279" w14:textId="77777777" w:rsidTr="00420C1B">
        <w:trPr>
          <w:trHeight w:val="312"/>
        </w:trPr>
        <w:tc>
          <w:tcPr>
            <w:tcW w:w="1271" w:type="dxa"/>
            <w:shd w:val="clear" w:color="auto" w:fill="auto"/>
          </w:tcPr>
          <w:p w14:paraId="65A1A8F6" w14:textId="77777777" w:rsidR="00934D33" w:rsidRPr="00420C1B" w:rsidRDefault="00934D33" w:rsidP="00232EBD">
            <w:pPr>
              <w:pStyle w:val="Normal0"/>
              <w:rPr>
                <w:rFonts w:ascii="Times New Roman" w:hAnsi="Times New Roman"/>
                <w:szCs w:val="24"/>
                <w:lang w:eastAsia="fr-FR"/>
              </w:rPr>
            </w:pPr>
            <w:r w:rsidRPr="00420C1B">
              <w:rPr>
                <w:rFonts w:ascii="Times New Roman" w:hAnsi="Times New Roman"/>
                <w:szCs w:val="24"/>
                <w:lang w:eastAsia="fr-FR"/>
              </w:rPr>
              <w:t>GES</w:t>
            </w:r>
          </w:p>
        </w:tc>
        <w:tc>
          <w:tcPr>
            <w:tcW w:w="296" w:type="dxa"/>
            <w:shd w:val="clear" w:color="auto" w:fill="auto"/>
          </w:tcPr>
          <w:p w14:paraId="05DBDAA2" w14:textId="77777777" w:rsidR="00934D33" w:rsidRPr="00420C1B" w:rsidRDefault="00934D33"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5E5F3697" w14:textId="77777777" w:rsidR="00934D33" w:rsidRPr="00420C1B" w:rsidRDefault="00934D33" w:rsidP="00232EBD">
            <w:pPr>
              <w:pStyle w:val="Normal0"/>
              <w:rPr>
                <w:rFonts w:ascii="Times New Roman" w:hAnsi="Times New Roman"/>
                <w:szCs w:val="24"/>
                <w:lang w:val="fr-FR"/>
              </w:rPr>
            </w:pPr>
            <w:r w:rsidRPr="00420C1B">
              <w:rPr>
                <w:rFonts w:ascii="Times New Roman" w:hAnsi="Times New Roman"/>
                <w:szCs w:val="24"/>
                <w:lang w:val="fr-FR"/>
              </w:rPr>
              <w:t>Gaz à effet de serre</w:t>
            </w:r>
          </w:p>
        </w:tc>
      </w:tr>
      <w:tr w:rsidR="00D75D2E" w:rsidRPr="00420C1B" w14:paraId="53DA5CD3" w14:textId="77777777" w:rsidTr="00420C1B">
        <w:trPr>
          <w:trHeight w:val="312"/>
        </w:trPr>
        <w:tc>
          <w:tcPr>
            <w:tcW w:w="1271" w:type="dxa"/>
            <w:shd w:val="clear" w:color="auto" w:fill="auto"/>
            <w:hideMark/>
          </w:tcPr>
          <w:p w14:paraId="6CA309D8"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ICCN</w:t>
            </w:r>
          </w:p>
        </w:tc>
        <w:tc>
          <w:tcPr>
            <w:tcW w:w="296" w:type="dxa"/>
            <w:shd w:val="clear" w:color="auto" w:fill="auto"/>
          </w:tcPr>
          <w:p w14:paraId="45BDA50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hideMark/>
          </w:tcPr>
          <w:p w14:paraId="17708CE8"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 xml:space="preserve">Institut Congolais de la Conservation de la Nature </w:t>
            </w:r>
          </w:p>
        </w:tc>
      </w:tr>
      <w:tr w:rsidR="00D75D2E" w:rsidRPr="00420C1B" w14:paraId="18914979" w14:textId="77777777" w:rsidTr="00420C1B">
        <w:trPr>
          <w:trHeight w:val="312"/>
        </w:trPr>
        <w:tc>
          <w:tcPr>
            <w:tcW w:w="1271" w:type="dxa"/>
            <w:shd w:val="clear" w:color="auto" w:fill="auto"/>
          </w:tcPr>
          <w:p w14:paraId="7B27DB7F"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lang w:bidi="fr-FR"/>
              </w:rPr>
              <w:t>IDA</w:t>
            </w:r>
          </w:p>
        </w:tc>
        <w:tc>
          <w:tcPr>
            <w:tcW w:w="296" w:type="dxa"/>
            <w:shd w:val="clear" w:color="auto" w:fill="auto"/>
          </w:tcPr>
          <w:p w14:paraId="431C96F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noWrap/>
          </w:tcPr>
          <w:p w14:paraId="3AD85713"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bidi="fr-FR"/>
              </w:rPr>
              <w:t>Association Internationale pour le Développement</w:t>
            </w:r>
          </w:p>
        </w:tc>
      </w:tr>
      <w:tr w:rsidR="00D75D2E" w:rsidRPr="00420C1B" w14:paraId="122C44C9" w14:textId="77777777" w:rsidTr="00420C1B">
        <w:trPr>
          <w:trHeight w:val="312"/>
        </w:trPr>
        <w:tc>
          <w:tcPr>
            <w:tcW w:w="1271" w:type="dxa"/>
            <w:shd w:val="clear" w:color="auto" w:fill="auto"/>
            <w:hideMark/>
          </w:tcPr>
          <w:p w14:paraId="18BC6B1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IEC                 </w:t>
            </w:r>
          </w:p>
        </w:tc>
        <w:tc>
          <w:tcPr>
            <w:tcW w:w="296" w:type="dxa"/>
            <w:shd w:val="clear" w:color="auto" w:fill="auto"/>
          </w:tcPr>
          <w:p w14:paraId="0F64494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155C54C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Information, éducation et communication</w:t>
            </w:r>
          </w:p>
        </w:tc>
      </w:tr>
      <w:tr w:rsidR="00D75D2E" w:rsidRPr="00420C1B" w14:paraId="1763CE71" w14:textId="77777777" w:rsidTr="00420C1B">
        <w:trPr>
          <w:trHeight w:val="312"/>
        </w:trPr>
        <w:tc>
          <w:tcPr>
            <w:tcW w:w="1271" w:type="dxa"/>
            <w:shd w:val="clear" w:color="auto" w:fill="auto"/>
          </w:tcPr>
          <w:p w14:paraId="4757903C"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shd w:val="clear" w:color="auto" w:fill="FDFDFD"/>
              </w:rPr>
              <w:t>ICREDES</w:t>
            </w:r>
          </w:p>
        </w:tc>
        <w:tc>
          <w:tcPr>
            <w:tcW w:w="296" w:type="dxa"/>
            <w:shd w:val="clear" w:color="auto" w:fill="auto"/>
          </w:tcPr>
          <w:p w14:paraId="0545370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4B5BAF60"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shd w:val="clear" w:color="auto" w:fill="FDFDFD"/>
                <w:lang w:val="fr-FR"/>
              </w:rPr>
              <w:t xml:space="preserve">Institut Congolais de Recherche en Développement et Etudes Stratégiques </w:t>
            </w:r>
          </w:p>
        </w:tc>
      </w:tr>
      <w:tr w:rsidR="00D75D2E" w:rsidRPr="00420C1B" w14:paraId="6B1536D3" w14:textId="77777777" w:rsidTr="00420C1B">
        <w:trPr>
          <w:trHeight w:val="312"/>
        </w:trPr>
        <w:tc>
          <w:tcPr>
            <w:tcW w:w="1271" w:type="dxa"/>
            <w:shd w:val="clear" w:color="auto" w:fill="auto"/>
            <w:hideMark/>
          </w:tcPr>
          <w:p w14:paraId="6AF3935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IRA</w:t>
            </w:r>
          </w:p>
        </w:tc>
        <w:tc>
          <w:tcPr>
            <w:tcW w:w="296" w:type="dxa"/>
            <w:shd w:val="clear" w:color="auto" w:fill="auto"/>
          </w:tcPr>
          <w:p w14:paraId="1D68B66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552AEEB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Infections Respiratoires Aigues</w:t>
            </w:r>
          </w:p>
        </w:tc>
      </w:tr>
      <w:tr w:rsidR="00D75D2E" w:rsidRPr="00420C1B" w14:paraId="0ACCF5D8" w14:textId="77777777" w:rsidTr="00420C1B">
        <w:trPr>
          <w:trHeight w:val="312"/>
        </w:trPr>
        <w:tc>
          <w:tcPr>
            <w:tcW w:w="1271" w:type="dxa"/>
            <w:shd w:val="clear" w:color="auto" w:fill="auto"/>
            <w:hideMark/>
          </w:tcPr>
          <w:p w14:paraId="27E5340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IST ou MST</w:t>
            </w:r>
          </w:p>
        </w:tc>
        <w:tc>
          <w:tcPr>
            <w:tcW w:w="296" w:type="dxa"/>
            <w:shd w:val="clear" w:color="auto" w:fill="auto"/>
          </w:tcPr>
          <w:p w14:paraId="1F093E9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40B21499"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Infections ou maladies sexuellement transmissibles</w:t>
            </w:r>
          </w:p>
        </w:tc>
      </w:tr>
      <w:tr w:rsidR="00D75D2E" w:rsidRPr="00420C1B" w14:paraId="3FE3AB78" w14:textId="77777777" w:rsidTr="00420C1B">
        <w:trPr>
          <w:trHeight w:val="312"/>
        </w:trPr>
        <w:tc>
          <w:tcPr>
            <w:tcW w:w="1271" w:type="dxa"/>
            <w:shd w:val="clear" w:color="auto" w:fill="auto"/>
          </w:tcPr>
          <w:p w14:paraId="74002526"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HT</w:t>
            </w:r>
          </w:p>
        </w:tc>
        <w:tc>
          <w:tcPr>
            <w:tcW w:w="296" w:type="dxa"/>
            <w:shd w:val="clear" w:color="auto" w:fill="auto"/>
          </w:tcPr>
          <w:p w14:paraId="449E202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01449A6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Haute Tension</w:t>
            </w:r>
          </w:p>
        </w:tc>
      </w:tr>
      <w:tr w:rsidR="00D75D2E" w:rsidRPr="00420C1B" w14:paraId="0F2719C1" w14:textId="77777777" w:rsidTr="00420C1B">
        <w:trPr>
          <w:trHeight w:val="312"/>
        </w:trPr>
        <w:tc>
          <w:tcPr>
            <w:tcW w:w="1271" w:type="dxa"/>
            <w:shd w:val="clear" w:color="auto" w:fill="auto"/>
          </w:tcPr>
          <w:p w14:paraId="1C35FCD4"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kVA</w:t>
            </w:r>
          </w:p>
        </w:tc>
        <w:tc>
          <w:tcPr>
            <w:tcW w:w="296" w:type="dxa"/>
            <w:shd w:val="clear" w:color="auto" w:fill="auto"/>
          </w:tcPr>
          <w:p w14:paraId="5E3114F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BFE8AF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Kilovoltampère</w:t>
            </w:r>
          </w:p>
        </w:tc>
      </w:tr>
      <w:tr w:rsidR="00D75D2E" w:rsidRPr="00420C1B" w14:paraId="358DFA88" w14:textId="77777777" w:rsidTr="00420C1B">
        <w:trPr>
          <w:trHeight w:val="312"/>
        </w:trPr>
        <w:tc>
          <w:tcPr>
            <w:tcW w:w="1271" w:type="dxa"/>
            <w:shd w:val="clear" w:color="auto" w:fill="auto"/>
          </w:tcPr>
          <w:p w14:paraId="6A13AEAB"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MALT</w:t>
            </w:r>
          </w:p>
        </w:tc>
        <w:tc>
          <w:tcPr>
            <w:tcW w:w="296" w:type="dxa"/>
            <w:shd w:val="clear" w:color="auto" w:fill="auto"/>
          </w:tcPr>
          <w:p w14:paraId="1020C0B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38F2512"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Mise A La Terre</w:t>
            </w:r>
          </w:p>
        </w:tc>
      </w:tr>
      <w:tr w:rsidR="00D75D2E" w:rsidRPr="00420C1B" w14:paraId="72F239DD" w14:textId="77777777" w:rsidTr="00420C1B">
        <w:trPr>
          <w:trHeight w:val="312"/>
        </w:trPr>
        <w:tc>
          <w:tcPr>
            <w:tcW w:w="1271" w:type="dxa"/>
            <w:shd w:val="clear" w:color="auto" w:fill="auto"/>
          </w:tcPr>
          <w:p w14:paraId="22D108D4"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iCs/>
                <w:szCs w:val="24"/>
              </w:rPr>
              <w:t xml:space="preserve"> MGP</w:t>
            </w:r>
          </w:p>
        </w:tc>
        <w:tc>
          <w:tcPr>
            <w:tcW w:w="296" w:type="dxa"/>
            <w:shd w:val="clear" w:color="auto" w:fill="auto"/>
          </w:tcPr>
          <w:p w14:paraId="484C633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35860ECA" w14:textId="77777777" w:rsidR="002D3A81" w:rsidRPr="00420C1B" w:rsidRDefault="002D3A81" w:rsidP="00232EBD">
            <w:pPr>
              <w:pStyle w:val="Normal0"/>
              <w:rPr>
                <w:rFonts w:ascii="Times New Roman" w:eastAsia="Calibri" w:hAnsi="Times New Roman"/>
                <w:szCs w:val="24"/>
                <w:lang w:val="fr-FR"/>
              </w:rPr>
            </w:pPr>
            <w:r w:rsidRPr="00420C1B">
              <w:rPr>
                <w:rFonts w:ascii="Times New Roman" w:eastAsia="Calibri" w:hAnsi="Times New Roman"/>
                <w:iCs/>
                <w:szCs w:val="24"/>
                <w:lang w:val="fr-FR"/>
              </w:rPr>
              <w:t>Mécanisme de Gestion des Plaintes</w:t>
            </w:r>
          </w:p>
        </w:tc>
      </w:tr>
      <w:tr w:rsidR="00D75D2E" w:rsidRPr="00420C1B" w14:paraId="220FDA43" w14:textId="77777777" w:rsidTr="00420C1B">
        <w:trPr>
          <w:trHeight w:val="312"/>
        </w:trPr>
        <w:tc>
          <w:tcPr>
            <w:tcW w:w="1271" w:type="dxa"/>
            <w:shd w:val="clear" w:color="auto" w:fill="auto"/>
          </w:tcPr>
          <w:p w14:paraId="51A2D55C" w14:textId="77777777" w:rsidR="00A2409E" w:rsidRPr="00420C1B" w:rsidRDefault="00A2409E" w:rsidP="00232EBD">
            <w:pPr>
              <w:pStyle w:val="Normal0"/>
              <w:rPr>
                <w:rFonts w:ascii="Times New Roman" w:eastAsia="Calibri" w:hAnsi="Times New Roman"/>
                <w:iCs/>
                <w:szCs w:val="24"/>
              </w:rPr>
            </w:pPr>
            <w:r w:rsidRPr="00420C1B">
              <w:rPr>
                <w:rFonts w:ascii="Times New Roman" w:hAnsi="Times New Roman"/>
                <w:iCs/>
                <w:szCs w:val="24"/>
                <w:lang w:val="fr-CA"/>
              </w:rPr>
              <w:t>MGPE</w:t>
            </w:r>
          </w:p>
        </w:tc>
        <w:tc>
          <w:tcPr>
            <w:tcW w:w="296" w:type="dxa"/>
            <w:shd w:val="clear" w:color="auto" w:fill="auto"/>
          </w:tcPr>
          <w:p w14:paraId="6EE010D9" w14:textId="77777777" w:rsidR="00A2409E" w:rsidRPr="00420C1B" w:rsidRDefault="00A2409E"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4F33A49" w14:textId="77777777" w:rsidR="00A2409E" w:rsidRPr="00420C1B" w:rsidRDefault="00A2409E" w:rsidP="00232EBD">
            <w:pPr>
              <w:pStyle w:val="Normal0"/>
              <w:rPr>
                <w:rFonts w:ascii="Times New Roman" w:hAnsi="Times New Roman"/>
                <w:iCs/>
                <w:szCs w:val="24"/>
                <w:lang w:val="fr-CA"/>
              </w:rPr>
            </w:pPr>
            <w:r w:rsidRPr="00420C1B">
              <w:rPr>
                <w:rFonts w:ascii="Times New Roman" w:hAnsi="Times New Roman"/>
                <w:iCs/>
                <w:szCs w:val="24"/>
                <w:lang w:val="fr-CA"/>
              </w:rPr>
              <w:t xml:space="preserve">Mécanisme de Gestion des Plaintes de l’Employeur </w:t>
            </w:r>
          </w:p>
        </w:tc>
      </w:tr>
      <w:tr w:rsidR="00D75D2E" w:rsidRPr="00420C1B" w14:paraId="70D8AB79" w14:textId="77777777" w:rsidTr="00420C1B">
        <w:trPr>
          <w:trHeight w:val="312"/>
        </w:trPr>
        <w:tc>
          <w:tcPr>
            <w:tcW w:w="1271" w:type="dxa"/>
            <w:shd w:val="clear" w:color="auto" w:fill="auto"/>
          </w:tcPr>
          <w:p w14:paraId="55350AB7" w14:textId="77777777" w:rsidR="002D3A81" w:rsidRPr="00420C1B" w:rsidRDefault="002D3A81" w:rsidP="00232EBD">
            <w:pPr>
              <w:pStyle w:val="Normal0"/>
              <w:rPr>
                <w:rFonts w:ascii="Times New Roman" w:eastAsia="Calibri" w:hAnsi="Times New Roman"/>
                <w:iCs/>
                <w:szCs w:val="24"/>
              </w:rPr>
            </w:pPr>
            <w:r w:rsidRPr="00420C1B">
              <w:rPr>
                <w:rFonts w:ascii="Times New Roman" w:eastAsia="Calibri" w:hAnsi="Times New Roman"/>
                <w:iCs/>
                <w:szCs w:val="24"/>
              </w:rPr>
              <w:t>MVA</w:t>
            </w:r>
          </w:p>
        </w:tc>
        <w:tc>
          <w:tcPr>
            <w:tcW w:w="296" w:type="dxa"/>
            <w:shd w:val="clear" w:color="auto" w:fill="auto"/>
          </w:tcPr>
          <w:p w14:paraId="6EE8E82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781FA3B7" w14:textId="77777777" w:rsidR="002D3A81" w:rsidRPr="00420C1B" w:rsidRDefault="002D3A81" w:rsidP="00232EBD">
            <w:pPr>
              <w:pStyle w:val="Normal0"/>
              <w:rPr>
                <w:rFonts w:ascii="Times New Roman" w:eastAsia="Calibri" w:hAnsi="Times New Roman"/>
                <w:iCs/>
                <w:szCs w:val="24"/>
              </w:rPr>
            </w:pPr>
            <w:r w:rsidRPr="00420C1B">
              <w:rPr>
                <w:rFonts w:ascii="Times New Roman" w:eastAsia="Calibri" w:hAnsi="Times New Roman"/>
                <w:iCs/>
                <w:szCs w:val="24"/>
              </w:rPr>
              <w:t>Méga voltampère</w:t>
            </w:r>
          </w:p>
        </w:tc>
      </w:tr>
      <w:tr w:rsidR="00D75D2E" w:rsidRPr="00420C1B" w14:paraId="4357920A" w14:textId="77777777" w:rsidTr="00420C1B">
        <w:trPr>
          <w:trHeight w:val="312"/>
        </w:trPr>
        <w:tc>
          <w:tcPr>
            <w:tcW w:w="1271" w:type="dxa"/>
            <w:shd w:val="clear" w:color="auto" w:fill="auto"/>
          </w:tcPr>
          <w:p w14:paraId="433734DF"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MT</w:t>
            </w:r>
          </w:p>
        </w:tc>
        <w:tc>
          <w:tcPr>
            <w:tcW w:w="296" w:type="dxa"/>
            <w:shd w:val="clear" w:color="auto" w:fill="auto"/>
          </w:tcPr>
          <w:p w14:paraId="37F428D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CD004D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Moyenne Tension</w:t>
            </w:r>
          </w:p>
        </w:tc>
      </w:tr>
      <w:tr w:rsidR="00D75D2E" w:rsidRPr="00420C1B" w14:paraId="751E2588" w14:textId="77777777" w:rsidTr="00420C1B">
        <w:trPr>
          <w:trHeight w:val="312"/>
        </w:trPr>
        <w:tc>
          <w:tcPr>
            <w:tcW w:w="1271" w:type="dxa"/>
            <w:shd w:val="clear" w:color="auto" w:fill="auto"/>
            <w:hideMark/>
          </w:tcPr>
          <w:p w14:paraId="118A57D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MdC </w:t>
            </w:r>
          </w:p>
        </w:tc>
        <w:tc>
          <w:tcPr>
            <w:tcW w:w="296" w:type="dxa"/>
            <w:shd w:val="clear" w:color="auto" w:fill="auto"/>
          </w:tcPr>
          <w:p w14:paraId="03595EA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1691DED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Mission de Contrôle </w:t>
            </w:r>
          </w:p>
        </w:tc>
      </w:tr>
      <w:tr w:rsidR="00D75D2E" w:rsidRPr="00420C1B" w14:paraId="29FEFA41" w14:textId="77777777" w:rsidTr="00420C1B">
        <w:trPr>
          <w:trHeight w:val="312"/>
        </w:trPr>
        <w:tc>
          <w:tcPr>
            <w:tcW w:w="1271" w:type="dxa"/>
            <w:shd w:val="clear" w:color="auto" w:fill="auto"/>
            <w:hideMark/>
          </w:tcPr>
          <w:p w14:paraId="2092CD4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MEDD</w:t>
            </w:r>
          </w:p>
        </w:tc>
        <w:tc>
          <w:tcPr>
            <w:tcW w:w="296" w:type="dxa"/>
            <w:shd w:val="clear" w:color="auto" w:fill="auto"/>
          </w:tcPr>
          <w:p w14:paraId="3ADA658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6775B71E"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Ministère de l’Environnement et du Développement Durable</w:t>
            </w:r>
          </w:p>
        </w:tc>
      </w:tr>
      <w:tr w:rsidR="00D75D2E" w:rsidRPr="00420C1B" w14:paraId="4DA0A2A9" w14:textId="77777777" w:rsidTr="00420C1B">
        <w:trPr>
          <w:trHeight w:val="312"/>
        </w:trPr>
        <w:tc>
          <w:tcPr>
            <w:tcW w:w="1271" w:type="dxa"/>
            <w:shd w:val="clear" w:color="auto" w:fill="auto"/>
            <w:hideMark/>
          </w:tcPr>
          <w:p w14:paraId="35D348D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ONG </w:t>
            </w:r>
          </w:p>
        </w:tc>
        <w:tc>
          <w:tcPr>
            <w:tcW w:w="296" w:type="dxa"/>
            <w:shd w:val="clear" w:color="auto" w:fill="auto"/>
          </w:tcPr>
          <w:p w14:paraId="059EF11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3D930E8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Organisation Non Gouvernementale</w:t>
            </w:r>
          </w:p>
        </w:tc>
      </w:tr>
      <w:tr w:rsidR="00D75D2E" w:rsidRPr="00420C1B" w14:paraId="442FCA5F" w14:textId="77777777" w:rsidTr="00420C1B">
        <w:trPr>
          <w:trHeight w:val="312"/>
        </w:trPr>
        <w:tc>
          <w:tcPr>
            <w:tcW w:w="1271" w:type="dxa"/>
            <w:shd w:val="clear" w:color="auto" w:fill="auto"/>
          </w:tcPr>
          <w:p w14:paraId="268D1CE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ONGD</w:t>
            </w:r>
          </w:p>
        </w:tc>
        <w:tc>
          <w:tcPr>
            <w:tcW w:w="296" w:type="dxa"/>
            <w:shd w:val="clear" w:color="auto" w:fill="auto"/>
          </w:tcPr>
          <w:p w14:paraId="0E9A151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48281162"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Organisation Non Gouvernementale pour le Développement</w:t>
            </w:r>
          </w:p>
        </w:tc>
      </w:tr>
      <w:tr w:rsidR="00D75D2E" w:rsidRPr="00420C1B" w14:paraId="7F725FF9" w14:textId="77777777" w:rsidTr="00420C1B">
        <w:trPr>
          <w:trHeight w:val="312"/>
        </w:trPr>
        <w:tc>
          <w:tcPr>
            <w:tcW w:w="1271" w:type="dxa"/>
            <w:shd w:val="clear" w:color="auto" w:fill="auto"/>
          </w:tcPr>
          <w:p w14:paraId="78737C5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PAE</w:t>
            </w:r>
          </w:p>
        </w:tc>
        <w:tc>
          <w:tcPr>
            <w:tcW w:w="296" w:type="dxa"/>
            <w:shd w:val="clear" w:color="auto" w:fill="auto"/>
          </w:tcPr>
          <w:p w14:paraId="01753F8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0A1269D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Plan d’Assurance Environnement</w:t>
            </w:r>
          </w:p>
        </w:tc>
      </w:tr>
      <w:tr w:rsidR="00D75D2E" w:rsidRPr="00420C1B" w14:paraId="26DD9895" w14:textId="77777777" w:rsidTr="00420C1B">
        <w:trPr>
          <w:trHeight w:val="312"/>
        </w:trPr>
        <w:tc>
          <w:tcPr>
            <w:tcW w:w="1271" w:type="dxa"/>
            <w:shd w:val="clear" w:color="auto" w:fill="auto"/>
          </w:tcPr>
          <w:p w14:paraId="61D8D21F" w14:textId="77777777" w:rsidR="00934D33" w:rsidRPr="00420C1B" w:rsidRDefault="00934D33" w:rsidP="00232EBD">
            <w:pPr>
              <w:pStyle w:val="Normal0"/>
              <w:rPr>
                <w:rFonts w:ascii="Times New Roman" w:hAnsi="Times New Roman"/>
                <w:szCs w:val="24"/>
              </w:rPr>
            </w:pPr>
            <w:r w:rsidRPr="00420C1B">
              <w:rPr>
                <w:rFonts w:ascii="Times New Roman" w:hAnsi="Times New Roman"/>
                <w:szCs w:val="24"/>
              </w:rPr>
              <w:t>P</w:t>
            </w:r>
            <w:r w:rsidRPr="00420C1B">
              <w:rPr>
                <w:rFonts w:ascii="Times New Roman" w:hAnsi="Times New Roman"/>
                <w:spacing w:val="-3"/>
                <w:szCs w:val="24"/>
              </w:rPr>
              <w:t>HSS</w:t>
            </w:r>
          </w:p>
        </w:tc>
        <w:tc>
          <w:tcPr>
            <w:tcW w:w="296" w:type="dxa"/>
            <w:shd w:val="clear" w:color="auto" w:fill="auto"/>
          </w:tcPr>
          <w:p w14:paraId="5601DED4" w14:textId="77777777" w:rsidR="00934D33" w:rsidRPr="00420C1B" w:rsidRDefault="00934D33"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0CE569D" w14:textId="77777777" w:rsidR="00934D33" w:rsidRPr="00420C1B" w:rsidRDefault="00934D33" w:rsidP="00232EBD">
            <w:pPr>
              <w:pStyle w:val="Normal0"/>
              <w:rPr>
                <w:rFonts w:ascii="Times New Roman" w:hAnsi="Times New Roman"/>
                <w:szCs w:val="24"/>
                <w:lang w:val="fr-FR" w:eastAsia="fr-FR"/>
              </w:rPr>
            </w:pPr>
            <w:r w:rsidRPr="00420C1B">
              <w:rPr>
                <w:rFonts w:ascii="Times New Roman" w:hAnsi="Times New Roman"/>
                <w:spacing w:val="-3"/>
                <w:szCs w:val="24"/>
                <w:lang w:val="fr-FR"/>
              </w:rPr>
              <w:t>P</w:t>
            </w:r>
            <w:r w:rsidRPr="00420C1B">
              <w:rPr>
                <w:rFonts w:ascii="Times New Roman" w:hAnsi="Times New Roman"/>
                <w:szCs w:val="24"/>
                <w:lang w:val="fr-FR"/>
              </w:rPr>
              <w:t>lan</w:t>
            </w:r>
            <w:r w:rsidRPr="00420C1B">
              <w:rPr>
                <w:rFonts w:ascii="Times New Roman" w:hAnsi="Times New Roman"/>
                <w:spacing w:val="4"/>
                <w:szCs w:val="24"/>
                <w:lang w:val="fr-FR"/>
              </w:rPr>
              <w:t xml:space="preserve"> </w:t>
            </w:r>
            <w:r w:rsidRPr="00420C1B">
              <w:rPr>
                <w:rFonts w:ascii="Times New Roman" w:hAnsi="Times New Roman"/>
                <w:szCs w:val="24"/>
                <w:lang w:val="fr-FR"/>
              </w:rPr>
              <w:t xml:space="preserve">d’hygiène </w:t>
            </w:r>
            <w:r w:rsidRPr="00420C1B">
              <w:rPr>
                <w:rFonts w:ascii="Times New Roman" w:hAnsi="Times New Roman"/>
                <w:spacing w:val="1"/>
                <w:szCs w:val="24"/>
                <w:lang w:val="fr-FR"/>
              </w:rPr>
              <w:t xml:space="preserve">Santé et Sécurité </w:t>
            </w:r>
          </w:p>
        </w:tc>
      </w:tr>
      <w:tr w:rsidR="00D75D2E" w:rsidRPr="00420C1B" w14:paraId="25687894" w14:textId="77777777" w:rsidTr="00420C1B">
        <w:trPr>
          <w:trHeight w:val="312"/>
        </w:trPr>
        <w:tc>
          <w:tcPr>
            <w:tcW w:w="1271" w:type="dxa"/>
            <w:shd w:val="clear" w:color="auto" w:fill="auto"/>
          </w:tcPr>
          <w:p w14:paraId="1E3353E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PPGED</w:t>
            </w:r>
          </w:p>
        </w:tc>
        <w:tc>
          <w:tcPr>
            <w:tcW w:w="296" w:type="dxa"/>
            <w:shd w:val="clear" w:color="auto" w:fill="auto"/>
          </w:tcPr>
          <w:p w14:paraId="3226EBE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A3604F2"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 xml:space="preserve">Plan Particulier de Gestion et d’Elimination des Déchets </w:t>
            </w:r>
          </w:p>
        </w:tc>
      </w:tr>
      <w:tr w:rsidR="00D75D2E" w:rsidRPr="00420C1B" w14:paraId="3ADD4848" w14:textId="77777777" w:rsidTr="00420C1B">
        <w:trPr>
          <w:trHeight w:val="312"/>
        </w:trPr>
        <w:tc>
          <w:tcPr>
            <w:tcW w:w="1271" w:type="dxa"/>
            <w:shd w:val="clear" w:color="auto" w:fill="auto"/>
          </w:tcPr>
          <w:p w14:paraId="33E6963D"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PAP</w:t>
            </w:r>
          </w:p>
        </w:tc>
        <w:tc>
          <w:tcPr>
            <w:tcW w:w="296" w:type="dxa"/>
            <w:shd w:val="clear" w:color="auto" w:fill="auto"/>
          </w:tcPr>
          <w:p w14:paraId="301E7F26"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D00983E" w14:textId="77777777" w:rsidR="002D3A81" w:rsidRPr="00420C1B" w:rsidRDefault="002D3A81" w:rsidP="00232EBD">
            <w:pPr>
              <w:pStyle w:val="Normal0"/>
              <w:rPr>
                <w:rFonts w:ascii="Times New Roman" w:eastAsia="Calibri" w:hAnsi="Times New Roman"/>
                <w:szCs w:val="24"/>
                <w:lang w:val="fr-FR"/>
              </w:rPr>
            </w:pPr>
            <w:r w:rsidRPr="00420C1B">
              <w:rPr>
                <w:rFonts w:ascii="Times New Roman" w:eastAsia="Calibri" w:hAnsi="Times New Roman"/>
                <w:szCs w:val="24"/>
                <w:lang w:val="fr-FR"/>
              </w:rPr>
              <w:t>Personne Affectée par le Projet</w:t>
            </w:r>
          </w:p>
        </w:tc>
      </w:tr>
      <w:tr w:rsidR="00D75D2E" w:rsidRPr="00420C1B" w14:paraId="40F4AABC" w14:textId="77777777" w:rsidTr="00420C1B">
        <w:trPr>
          <w:trHeight w:val="312"/>
        </w:trPr>
        <w:tc>
          <w:tcPr>
            <w:tcW w:w="1271" w:type="dxa"/>
            <w:shd w:val="clear" w:color="auto" w:fill="auto"/>
            <w:hideMark/>
          </w:tcPr>
          <w:p w14:paraId="562AD01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PAR </w:t>
            </w:r>
          </w:p>
        </w:tc>
        <w:tc>
          <w:tcPr>
            <w:tcW w:w="296" w:type="dxa"/>
            <w:shd w:val="clear" w:color="auto" w:fill="auto"/>
          </w:tcPr>
          <w:p w14:paraId="437EE032"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hideMark/>
          </w:tcPr>
          <w:p w14:paraId="756BBB1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Plan d’Action de Réinstallation</w:t>
            </w:r>
          </w:p>
        </w:tc>
      </w:tr>
      <w:tr w:rsidR="00D75D2E" w:rsidRPr="00420C1B" w14:paraId="1A91114D" w14:textId="77777777" w:rsidTr="00420C1B">
        <w:trPr>
          <w:trHeight w:val="312"/>
        </w:trPr>
        <w:tc>
          <w:tcPr>
            <w:tcW w:w="1271" w:type="dxa"/>
            <w:shd w:val="clear" w:color="auto" w:fill="auto"/>
          </w:tcPr>
          <w:p w14:paraId="0546B841"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PANA</w:t>
            </w:r>
          </w:p>
        </w:tc>
        <w:tc>
          <w:tcPr>
            <w:tcW w:w="296" w:type="dxa"/>
            <w:shd w:val="clear" w:color="auto" w:fill="auto"/>
          </w:tcPr>
          <w:p w14:paraId="051753CF"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6AF6D688"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rPr>
              <w:t>Plan d’Action National d’Adaptation aux changements climatiques</w:t>
            </w:r>
          </w:p>
        </w:tc>
      </w:tr>
      <w:tr w:rsidR="00D75D2E" w:rsidRPr="00420C1B" w14:paraId="24063195" w14:textId="77777777" w:rsidTr="00420C1B">
        <w:trPr>
          <w:trHeight w:val="312"/>
        </w:trPr>
        <w:tc>
          <w:tcPr>
            <w:tcW w:w="1271" w:type="dxa"/>
            <w:shd w:val="clear" w:color="auto" w:fill="auto"/>
          </w:tcPr>
          <w:p w14:paraId="4A516E0B"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PAP</w:t>
            </w:r>
          </w:p>
        </w:tc>
        <w:tc>
          <w:tcPr>
            <w:tcW w:w="296" w:type="dxa"/>
            <w:shd w:val="clear" w:color="auto" w:fill="auto"/>
          </w:tcPr>
          <w:p w14:paraId="30F7893E"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 xml:space="preserve">: </w:t>
            </w:r>
          </w:p>
        </w:tc>
        <w:tc>
          <w:tcPr>
            <w:tcW w:w="8359" w:type="dxa"/>
            <w:shd w:val="clear" w:color="auto" w:fill="auto"/>
          </w:tcPr>
          <w:p w14:paraId="2358E2EC" w14:textId="77777777" w:rsidR="002D3A81" w:rsidRPr="00420C1B" w:rsidRDefault="002D3A81" w:rsidP="00232EBD">
            <w:pPr>
              <w:pStyle w:val="Normal0"/>
              <w:rPr>
                <w:rFonts w:ascii="Times New Roman" w:eastAsia="Calibri" w:hAnsi="Times New Roman"/>
                <w:szCs w:val="24"/>
                <w:lang w:val="fr-FR"/>
              </w:rPr>
            </w:pPr>
            <w:r w:rsidRPr="00420C1B">
              <w:rPr>
                <w:rFonts w:ascii="Times New Roman" w:eastAsia="Calibri" w:hAnsi="Times New Roman"/>
                <w:szCs w:val="24"/>
                <w:lang w:val="fr-FR"/>
              </w:rPr>
              <w:t>Personne Affectée par le Projet</w:t>
            </w:r>
          </w:p>
        </w:tc>
      </w:tr>
      <w:tr w:rsidR="00D75D2E" w:rsidRPr="00420C1B" w14:paraId="49E7D226" w14:textId="77777777" w:rsidTr="00420C1B">
        <w:trPr>
          <w:trHeight w:val="312"/>
        </w:trPr>
        <w:tc>
          <w:tcPr>
            <w:tcW w:w="1271" w:type="dxa"/>
            <w:shd w:val="clear" w:color="auto" w:fill="auto"/>
          </w:tcPr>
          <w:p w14:paraId="1CA8DD4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PNDS</w:t>
            </w:r>
          </w:p>
        </w:tc>
        <w:tc>
          <w:tcPr>
            <w:tcW w:w="296" w:type="dxa"/>
            <w:shd w:val="clear" w:color="auto" w:fill="auto"/>
          </w:tcPr>
          <w:p w14:paraId="153E80FB"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19E6E4E5"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eastAsia="fr-FR"/>
              </w:rPr>
              <w:t>Plan National de Développement Sanitaire</w:t>
            </w:r>
          </w:p>
        </w:tc>
      </w:tr>
      <w:tr w:rsidR="00D75D2E" w:rsidRPr="00420C1B" w14:paraId="70FFCE33" w14:textId="77777777" w:rsidTr="00420C1B">
        <w:trPr>
          <w:trHeight w:val="312"/>
        </w:trPr>
        <w:tc>
          <w:tcPr>
            <w:tcW w:w="1271" w:type="dxa"/>
            <w:shd w:val="clear" w:color="auto" w:fill="auto"/>
          </w:tcPr>
          <w:p w14:paraId="5D75D50B"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PNAE</w:t>
            </w:r>
          </w:p>
        </w:tc>
        <w:tc>
          <w:tcPr>
            <w:tcW w:w="296" w:type="dxa"/>
            <w:shd w:val="clear" w:color="auto" w:fill="auto"/>
          </w:tcPr>
          <w:p w14:paraId="0C7AEDA7"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62FBCD4C" w14:textId="77777777" w:rsidR="002D3A81" w:rsidRPr="00420C1B" w:rsidRDefault="002D3A81" w:rsidP="00232EBD">
            <w:pPr>
              <w:pStyle w:val="Normal0"/>
              <w:rPr>
                <w:rFonts w:ascii="Times New Roman" w:hAnsi="Times New Roman"/>
                <w:iCs/>
                <w:szCs w:val="24"/>
              </w:rPr>
            </w:pPr>
            <w:r w:rsidRPr="00420C1B">
              <w:rPr>
                <w:rFonts w:ascii="Times New Roman" w:hAnsi="Times New Roman"/>
                <w:iCs/>
                <w:szCs w:val="24"/>
              </w:rPr>
              <w:t xml:space="preserve">Plan National d’Action Environnementale </w:t>
            </w:r>
          </w:p>
        </w:tc>
      </w:tr>
      <w:tr w:rsidR="00D75D2E" w:rsidRPr="00420C1B" w14:paraId="36D1A173" w14:textId="77777777" w:rsidTr="00420C1B">
        <w:trPr>
          <w:trHeight w:val="312"/>
        </w:trPr>
        <w:tc>
          <w:tcPr>
            <w:tcW w:w="1271" w:type="dxa"/>
            <w:shd w:val="clear" w:color="auto" w:fill="auto"/>
          </w:tcPr>
          <w:p w14:paraId="20966275"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PAASE</w:t>
            </w:r>
          </w:p>
        </w:tc>
        <w:tc>
          <w:tcPr>
            <w:tcW w:w="296" w:type="dxa"/>
            <w:shd w:val="clear" w:color="auto" w:fill="auto"/>
          </w:tcPr>
          <w:p w14:paraId="444BD395"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2C00D3FF" w14:textId="77777777" w:rsidR="002D3A81" w:rsidRPr="00420C1B" w:rsidRDefault="002D3A81" w:rsidP="00232EBD">
            <w:pPr>
              <w:pStyle w:val="Normal0"/>
              <w:rPr>
                <w:rFonts w:ascii="Times New Roman" w:hAnsi="Times New Roman"/>
                <w:szCs w:val="24"/>
                <w:lang w:val="fr-FR" w:eastAsia="fr-FR"/>
              </w:rPr>
            </w:pPr>
            <w:bookmarkStart w:id="6" w:name="_Toc519050435"/>
            <w:r w:rsidRPr="00420C1B">
              <w:rPr>
                <w:rFonts w:ascii="Times New Roman" w:hAnsi="Times New Roman"/>
                <w:szCs w:val="24"/>
                <w:lang w:val="fr-FR"/>
              </w:rPr>
              <w:t>Projet d’Accès et d’Amélioration des Services Electriques</w:t>
            </w:r>
            <w:bookmarkEnd w:id="6"/>
            <w:r w:rsidRPr="00420C1B">
              <w:rPr>
                <w:rFonts w:ascii="Times New Roman" w:hAnsi="Times New Roman"/>
                <w:szCs w:val="24"/>
                <w:lang w:val="fr-FR"/>
              </w:rPr>
              <w:t xml:space="preserve"> </w:t>
            </w:r>
          </w:p>
        </w:tc>
      </w:tr>
      <w:tr w:rsidR="00D75D2E" w:rsidRPr="00420C1B" w14:paraId="41E5D8D1" w14:textId="77777777" w:rsidTr="00420C1B">
        <w:trPr>
          <w:trHeight w:val="312"/>
        </w:trPr>
        <w:tc>
          <w:tcPr>
            <w:tcW w:w="1271" w:type="dxa"/>
            <w:shd w:val="clear" w:color="auto" w:fill="auto"/>
          </w:tcPr>
          <w:p w14:paraId="232B7B0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PFNL </w:t>
            </w:r>
          </w:p>
        </w:tc>
        <w:tc>
          <w:tcPr>
            <w:tcW w:w="296" w:type="dxa"/>
            <w:shd w:val="clear" w:color="auto" w:fill="auto"/>
          </w:tcPr>
          <w:p w14:paraId="561B11C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6787055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Produit Forestier Non ligneux</w:t>
            </w:r>
          </w:p>
        </w:tc>
      </w:tr>
      <w:tr w:rsidR="00D75D2E" w:rsidRPr="00420C1B" w14:paraId="6F782F96" w14:textId="77777777" w:rsidTr="00420C1B">
        <w:trPr>
          <w:trHeight w:val="312"/>
        </w:trPr>
        <w:tc>
          <w:tcPr>
            <w:tcW w:w="1271" w:type="dxa"/>
            <w:shd w:val="clear" w:color="auto" w:fill="auto"/>
          </w:tcPr>
          <w:p w14:paraId="29BB927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PGES </w:t>
            </w:r>
          </w:p>
        </w:tc>
        <w:tc>
          <w:tcPr>
            <w:tcW w:w="296" w:type="dxa"/>
            <w:shd w:val="clear" w:color="auto" w:fill="auto"/>
          </w:tcPr>
          <w:p w14:paraId="1BEE65C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3C24906"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Plan de Gestion Environnementale et Sociale</w:t>
            </w:r>
          </w:p>
        </w:tc>
      </w:tr>
      <w:tr w:rsidR="00D75D2E" w:rsidRPr="00420C1B" w14:paraId="38BBEF1E" w14:textId="77777777" w:rsidTr="00420C1B">
        <w:trPr>
          <w:trHeight w:val="312"/>
        </w:trPr>
        <w:tc>
          <w:tcPr>
            <w:tcW w:w="1271" w:type="dxa"/>
            <w:shd w:val="clear" w:color="auto" w:fill="auto"/>
          </w:tcPr>
          <w:p w14:paraId="70C6877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PEES</w:t>
            </w:r>
          </w:p>
        </w:tc>
        <w:tc>
          <w:tcPr>
            <w:tcW w:w="296" w:type="dxa"/>
            <w:shd w:val="clear" w:color="auto" w:fill="auto"/>
          </w:tcPr>
          <w:p w14:paraId="0B48221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694FE2C8"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Plan d’engagement environnemental et social (PEES)</w:t>
            </w:r>
          </w:p>
        </w:tc>
      </w:tr>
      <w:tr w:rsidR="00D75D2E" w:rsidRPr="00420C1B" w14:paraId="2D44ED4C" w14:textId="77777777" w:rsidTr="00420C1B">
        <w:trPr>
          <w:trHeight w:val="312"/>
        </w:trPr>
        <w:tc>
          <w:tcPr>
            <w:tcW w:w="1271" w:type="dxa"/>
            <w:shd w:val="clear" w:color="auto" w:fill="auto"/>
          </w:tcPr>
          <w:p w14:paraId="1CD1314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PIEC</w:t>
            </w:r>
          </w:p>
        </w:tc>
        <w:tc>
          <w:tcPr>
            <w:tcW w:w="296" w:type="dxa"/>
            <w:shd w:val="clear" w:color="auto" w:fill="auto"/>
          </w:tcPr>
          <w:p w14:paraId="205C79C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6B8092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Plan d’Information Education Communication </w:t>
            </w:r>
          </w:p>
        </w:tc>
      </w:tr>
      <w:tr w:rsidR="00D75D2E" w:rsidRPr="00420C1B" w14:paraId="19A01339" w14:textId="77777777" w:rsidTr="00420C1B">
        <w:trPr>
          <w:trHeight w:val="312"/>
        </w:trPr>
        <w:tc>
          <w:tcPr>
            <w:tcW w:w="1271" w:type="dxa"/>
            <w:shd w:val="clear" w:color="auto" w:fill="auto"/>
          </w:tcPr>
          <w:p w14:paraId="4850504E"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lang w:eastAsia="fr-FR"/>
              </w:rPr>
              <w:t>PMCES</w:t>
            </w:r>
          </w:p>
        </w:tc>
        <w:tc>
          <w:tcPr>
            <w:tcW w:w="296" w:type="dxa"/>
            <w:shd w:val="clear" w:color="auto" w:fill="auto"/>
          </w:tcPr>
          <w:p w14:paraId="4C25960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8FA6922"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eastAsia="fr-FR"/>
              </w:rPr>
              <w:t xml:space="preserve">Plans de Mise en Conformité Environnementale et Sociale </w:t>
            </w:r>
          </w:p>
        </w:tc>
      </w:tr>
      <w:tr w:rsidR="00D75D2E" w:rsidRPr="00420C1B" w14:paraId="2CAF5E25" w14:textId="77777777" w:rsidTr="00420C1B">
        <w:trPr>
          <w:trHeight w:val="312"/>
        </w:trPr>
        <w:tc>
          <w:tcPr>
            <w:tcW w:w="1271" w:type="dxa"/>
            <w:shd w:val="clear" w:color="auto" w:fill="auto"/>
          </w:tcPr>
          <w:p w14:paraId="2D0E2B54" w14:textId="77777777" w:rsidR="002D3A81" w:rsidRPr="00420C1B" w:rsidRDefault="002D3A81" w:rsidP="00232EBD">
            <w:pPr>
              <w:pStyle w:val="Normal0"/>
              <w:rPr>
                <w:rFonts w:ascii="Times New Roman" w:hAnsi="Times New Roman"/>
                <w:spacing w:val="-3"/>
                <w:szCs w:val="24"/>
              </w:rPr>
            </w:pPr>
            <w:r w:rsidRPr="00420C1B">
              <w:rPr>
                <w:rFonts w:ascii="Times New Roman" w:hAnsi="Times New Roman"/>
                <w:spacing w:val="-3"/>
                <w:szCs w:val="24"/>
              </w:rPr>
              <w:t>PMEDE</w:t>
            </w:r>
          </w:p>
        </w:tc>
        <w:tc>
          <w:tcPr>
            <w:tcW w:w="296" w:type="dxa"/>
            <w:shd w:val="clear" w:color="auto" w:fill="auto"/>
          </w:tcPr>
          <w:p w14:paraId="13A10325"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23025CD0"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 xml:space="preserve">Projet de Développement des Marchés d’Electricité </w:t>
            </w:r>
          </w:p>
        </w:tc>
      </w:tr>
      <w:tr w:rsidR="00D75D2E" w:rsidRPr="00420C1B" w14:paraId="13181EF5" w14:textId="77777777" w:rsidTr="00420C1B">
        <w:trPr>
          <w:trHeight w:val="312"/>
        </w:trPr>
        <w:tc>
          <w:tcPr>
            <w:tcW w:w="1271" w:type="dxa"/>
            <w:shd w:val="clear" w:color="auto" w:fill="auto"/>
          </w:tcPr>
          <w:p w14:paraId="5EBB8F53" w14:textId="77777777" w:rsidR="00A2409E" w:rsidRPr="00420C1B" w:rsidRDefault="00A2409E" w:rsidP="00232EBD">
            <w:pPr>
              <w:pStyle w:val="Normal0"/>
              <w:rPr>
                <w:rFonts w:ascii="Times New Roman" w:hAnsi="Times New Roman"/>
                <w:spacing w:val="-3"/>
                <w:szCs w:val="24"/>
              </w:rPr>
            </w:pPr>
            <w:r w:rsidRPr="00420C1B">
              <w:rPr>
                <w:rFonts w:ascii="Times New Roman" w:hAnsi="Times New Roman"/>
                <w:szCs w:val="24"/>
              </w:rPr>
              <w:t>PGMO</w:t>
            </w:r>
          </w:p>
        </w:tc>
        <w:tc>
          <w:tcPr>
            <w:tcW w:w="296" w:type="dxa"/>
            <w:shd w:val="clear" w:color="auto" w:fill="auto"/>
          </w:tcPr>
          <w:p w14:paraId="5C7653D8" w14:textId="77777777" w:rsidR="00A2409E" w:rsidRPr="00420C1B" w:rsidRDefault="00A2409E"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427B6680" w14:textId="77777777" w:rsidR="00A2409E" w:rsidRPr="00420C1B" w:rsidRDefault="00A2409E" w:rsidP="00232EBD">
            <w:pPr>
              <w:pStyle w:val="Normal0"/>
              <w:rPr>
                <w:rFonts w:ascii="Times New Roman" w:hAnsi="Times New Roman"/>
                <w:szCs w:val="24"/>
                <w:lang w:val="fr-FR"/>
              </w:rPr>
            </w:pPr>
            <w:r w:rsidRPr="00420C1B">
              <w:rPr>
                <w:rFonts w:ascii="Times New Roman" w:hAnsi="Times New Roman"/>
                <w:szCs w:val="24"/>
                <w:lang w:val="fr-FR"/>
              </w:rPr>
              <w:t xml:space="preserve">Plan de Gestion de la Main d’œuvre </w:t>
            </w:r>
          </w:p>
        </w:tc>
      </w:tr>
      <w:tr w:rsidR="00D75D2E" w:rsidRPr="00420C1B" w14:paraId="009C4C2A" w14:textId="77777777" w:rsidTr="00420C1B">
        <w:trPr>
          <w:trHeight w:val="299"/>
        </w:trPr>
        <w:tc>
          <w:tcPr>
            <w:tcW w:w="1271" w:type="dxa"/>
            <w:shd w:val="clear" w:color="auto" w:fill="auto"/>
          </w:tcPr>
          <w:p w14:paraId="1F686A68" w14:textId="77777777" w:rsidR="002D3A81" w:rsidRPr="00420C1B" w:rsidRDefault="002D3A81" w:rsidP="00232EBD">
            <w:pPr>
              <w:pStyle w:val="Normal0"/>
              <w:rPr>
                <w:rFonts w:ascii="Times New Roman" w:hAnsi="Times New Roman"/>
                <w:spacing w:val="-3"/>
                <w:szCs w:val="24"/>
              </w:rPr>
            </w:pPr>
            <w:r w:rsidRPr="00420C1B">
              <w:rPr>
                <w:rFonts w:ascii="Times New Roman" w:hAnsi="Times New Roman"/>
                <w:spacing w:val="-3"/>
                <w:szCs w:val="24"/>
              </w:rPr>
              <w:t>PNG</w:t>
            </w:r>
          </w:p>
        </w:tc>
        <w:tc>
          <w:tcPr>
            <w:tcW w:w="296" w:type="dxa"/>
            <w:shd w:val="clear" w:color="auto" w:fill="auto"/>
          </w:tcPr>
          <w:p w14:paraId="03C6E39D"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0016AA9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Politique Nationale Genre</w:t>
            </w:r>
          </w:p>
        </w:tc>
      </w:tr>
      <w:tr w:rsidR="00D75D2E" w:rsidRPr="00420C1B" w14:paraId="02C8B85B" w14:textId="77777777" w:rsidTr="00420C1B">
        <w:trPr>
          <w:trHeight w:val="312"/>
        </w:trPr>
        <w:tc>
          <w:tcPr>
            <w:tcW w:w="1271" w:type="dxa"/>
            <w:shd w:val="clear" w:color="auto" w:fill="auto"/>
          </w:tcPr>
          <w:p w14:paraId="072295CB"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PNUD</w:t>
            </w:r>
          </w:p>
        </w:tc>
        <w:tc>
          <w:tcPr>
            <w:tcW w:w="296" w:type="dxa"/>
            <w:shd w:val="clear" w:color="auto" w:fill="auto"/>
          </w:tcPr>
          <w:p w14:paraId="54D9462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E656461"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zCs w:val="24"/>
                <w:lang w:val="fr-FR" w:eastAsia="fr-FR"/>
              </w:rPr>
              <w:t>Programme des Nations Unies pour le Développement</w:t>
            </w:r>
          </w:p>
        </w:tc>
      </w:tr>
      <w:tr w:rsidR="00D75D2E" w:rsidRPr="00420C1B" w14:paraId="687B9799" w14:textId="77777777" w:rsidTr="00420C1B">
        <w:trPr>
          <w:trHeight w:val="312"/>
        </w:trPr>
        <w:tc>
          <w:tcPr>
            <w:tcW w:w="1271" w:type="dxa"/>
            <w:shd w:val="clear" w:color="auto" w:fill="auto"/>
            <w:hideMark/>
          </w:tcPr>
          <w:p w14:paraId="695529BD"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PO </w:t>
            </w:r>
          </w:p>
        </w:tc>
        <w:tc>
          <w:tcPr>
            <w:tcW w:w="296" w:type="dxa"/>
            <w:shd w:val="clear" w:color="auto" w:fill="auto"/>
          </w:tcPr>
          <w:p w14:paraId="032F17B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40ADD97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Politique Opérationnelle</w:t>
            </w:r>
          </w:p>
        </w:tc>
      </w:tr>
      <w:tr w:rsidR="00D75D2E" w:rsidRPr="00420C1B" w14:paraId="00047519" w14:textId="77777777" w:rsidTr="00420C1B">
        <w:trPr>
          <w:trHeight w:val="312"/>
        </w:trPr>
        <w:tc>
          <w:tcPr>
            <w:tcW w:w="1271" w:type="dxa"/>
            <w:shd w:val="clear" w:color="auto" w:fill="auto"/>
          </w:tcPr>
          <w:p w14:paraId="6873A75D" w14:textId="77777777" w:rsidR="00A2409E" w:rsidRPr="00420C1B" w:rsidRDefault="00A2409E" w:rsidP="00232EBD">
            <w:pPr>
              <w:pStyle w:val="Normal0"/>
              <w:rPr>
                <w:rFonts w:ascii="Times New Roman" w:hAnsi="Times New Roman"/>
                <w:szCs w:val="24"/>
                <w:lang w:eastAsia="fr-FR"/>
              </w:rPr>
            </w:pPr>
            <w:r w:rsidRPr="00420C1B">
              <w:rPr>
                <w:rFonts w:ascii="Times New Roman" w:hAnsi="Times New Roman"/>
                <w:iCs/>
                <w:szCs w:val="24"/>
              </w:rPr>
              <w:t>PPSPS</w:t>
            </w:r>
          </w:p>
        </w:tc>
        <w:tc>
          <w:tcPr>
            <w:tcW w:w="296" w:type="dxa"/>
            <w:shd w:val="clear" w:color="auto" w:fill="auto"/>
          </w:tcPr>
          <w:p w14:paraId="37E8925F" w14:textId="77777777" w:rsidR="00A2409E" w:rsidRPr="00420C1B" w:rsidRDefault="00A2409E"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70441C74" w14:textId="77777777" w:rsidR="00A2409E" w:rsidRPr="00420C1B" w:rsidRDefault="00A2409E" w:rsidP="00232EBD">
            <w:pPr>
              <w:pStyle w:val="Normal0"/>
              <w:rPr>
                <w:rFonts w:ascii="Times New Roman" w:hAnsi="Times New Roman"/>
                <w:szCs w:val="24"/>
                <w:lang w:val="fr-FR" w:eastAsia="fr-FR"/>
              </w:rPr>
            </w:pPr>
            <w:r w:rsidRPr="00420C1B">
              <w:rPr>
                <w:rFonts w:ascii="Times New Roman" w:hAnsi="Times New Roman"/>
                <w:iCs/>
                <w:szCs w:val="24"/>
                <w:lang w:val="fr-FR"/>
              </w:rPr>
              <w:t xml:space="preserve">Plan Particulier de Sécurité et de Protection de la Santé </w:t>
            </w:r>
          </w:p>
        </w:tc>
      </w:tr>
      <w:tr w:rsidR="00D75D2E" w:rsidRPr="00420C1B" w14:paraId="7F42D1D1" w14:textId="77777777" w:rsidTr="00420C1B">
        <w:trPr>
          <w:trHeight w:val="312"/>
        </w:trPr>
        <w:tc>
          <w:tcPr>
            <w:tcW w:w="1271" w:type="dxa"/>
            <w:shd w:val="clear" w:color="auto" w:fill="auto"/>
          </w:tcPr>
          <w:p w14:paraId="460CE360"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PV</w:t>
            </w:r>
          </w:p>
        </w:tc>
        <w:tc>
          <w:tcPr>
            <w:tcW w:w="296" w:type="dxa"/>
            <w:shd w:val="clear" w:color="auto" w:fill="auto"/>
          </w:tcPr>
          <w:p w14:paraId="777BA28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5D1810A1" w14:textId="77777777" w:rsidR="002D3A81" w:rsidRPr="00420C1B" w:rsidRDefault="002D3A81" w:rsidP="00232EBD">
            <w:pPr>
              <w:pStyle w:val="Normal0"/>
              <w:rPr>
                <w:rFonts w:ascii="Times New Roman" w:hAnsi="Times New Roman"/>
                <w:szCs w:val="24"/>
                <w:lang w:eastAsia="fr-FR"/>
              </w:rPr>
            </w:pPr>
            <w:r w:rsidRPr="00420C1B">
              <w:rPr>
                <w:rFonts w:ascii="Times New Roman" w:eastAsia="Calibri" w:hAnsi="Times New Roman"/>
                <w:szCs w:val="24"/>
              </w:rPr>
              <w:t xml:space="preserve">Procès-verbaux </w:t>
            </w:r>
          </w:p>
        </w:tc>
      </w:tr>
      <w:tr w:rsidR="00D75D2E" w:rsidRPr="00420C1B" w14:paraId="2D243DF5" w14:textId="77777777" w:rsidTr="00420C1B">
        <w:trPr>
          <w:trHeight w:val="312"/>
        </w:trPr>
        <w:tc>
          <w:tcPr>
            <w:tcW w:w="1271" w:type="dxa"/>
            <w:shd w:val="clear" w:color="auto" w:fill="auto"/>
            <w:hideMark/>
          </w:tcPr>
          <w:p w14:paraId="41783D4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RDC </w:t>
            </w:r>
          </w:p>
        </w:tc>
        <w:tc>
          <w:tcPr>
            <w:tcW w:w="296" w:type="dxa"/>
            <w:shd w:val="clear" w:color="auto" w:fill="auto"/>
          </w:tcPr>
          <w:p w14:paraId="3CD2CA0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7D9DE341"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République Démocratique du Congo</w:t>
            </w:r>
          </w:p>
        </w:tc>
      </w:tr>
      <w:tr w:rsidR="00D75D2E" w:rsidRPr="00420C1B" w14:paraId="52B6778C" w14:textId="77777777" w:rsidTr="00420C1B">
        <w:trPr>
          <w:trHeight w:val="312"/>
        </w:trPr>
        <w:tc>
          <w:tcPr>
            <w:tcW w:w="1271" w:type="dxa"/>
            <w:shd w:val="clear" w:color="auto" w:fill="auto"/>
            <w:hideMark/>
          </w:tcPr>
          <w:p w14:paraId="6269B7E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RE </w:t>
            </w:r>
          </w:p>
        </w:tc>
        <w:tc>
          <w:tcPr>
            <w:tcW w:w="296" w:type="dxa"/>
            <w:shd w:val="clear" w:color="auto" w:fill="auto"/>
          </w:tcPr>
          <w:p w14:paraId="0CC0A882"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hideMark/>
          </w:tcPr>
          <w:p w14:paraId="560D2E4F"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Responsable Environnement</w:t>
            </w:r>
          </w:p>
        </w:tc>
      </w:tr>
      <w:tr w:rsidR="00D75D2E" w:rsidRPr="00420C1B" w14:paraId="715E8432" w14:textId="77777777" w:rsidTr="00420C1B">
        <w:trPr>
          <w:trHeight w:val="127"/>
        </w:trPr>
        <w:tc>
          <w:tcPr>
            <w:tcW w:w="1271" w:type="dxa"/>
            <w:shd w:val="clear" w:color="auto" w:fill="auto"/>
          </w:tcPr>
          <w:p w14:paraId="3D151073"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SCES</w:t>
            </w:r>
          </w:p>
        </w:tc>
        <w:tc>
          <w:tcPr>
            <w:tcW w:w="296" w:type="dxa"/>
            <w:shd w:val="clear" w:color="auto" w:fill="auto"/>
          </w:tcPr>
          <w:p w14:paraId="6C24D667" w14:textId="77777777" w:rsidR="002D3A81" w:rsidRPr="00420C1B" w:rsidRDefault="002D3A81" w:rsidP="00232EBD">
            <w:pPr>
              <w:pStyle w:val="Normal0"/>
              <w:rPr>
                <w:rFonts w:ascii="Times New Roman" w:hAnsi="Times New Roman"/>
                <w:iCs/>
                <w:szCs w:val="24"/>
                <w:lang w:eastAsia="fr-FR"/>
              </w:rPr>
            </w:pPr>
            <w:r w:rsidRPr="00420C1B">
              <w:rPr>
                <w:rFonts w:ascii="Times New Roman" w:hAnsi="Times New Roman"/>
                <w:iCs/>
                <w:szCs w:val="24"/>
                <w:lang w:eastAsia="fr-FR"/>
              </w:rPr>
              <w:t>:</w:t>
            </w:r>
          </w:p>
        </w:tc>
        <w:tc>
          <w:tcPr>
            <w:tcW w:w="8359" w:type="dxa"/>
            <w:shd w:val="clear" w:color="auto" w:fill="auto"/>
          </w:tcPr>
          <w:p w14:paraId="5C422A52" w14:textId="77777777" w:rsidR="002D3A81" w:rsidRPr="00420C1B" w:rsidRDefault="002D3A81" w:rsidP="00232EBD">
            <w:pPr>
              <w:pStyle w:val="Normal0"/>
              <w:rPr>
                <w:rFonts w:ascii="Times New Roman" w:hAnsi="Times New Roman"/>
                <w:szCs w:val="24"/>
                <w:lang w:val="fr-FR" w:eastAsia="fr-FR"/>
              </w:rPr>
            </w:pPr>
            <w:r w:rsidRPr="00420C1B">
              <w:rPr>
                <w:rFonts w:ascii="Times New Roman" w:eastAsia="Calibri" w:hAnsi="Times New Roman"/>
                <w:szCs w:val="24"/>
                <w:lang w:val="fr-FR"/>
              </w:rPr>
              <w:t xml:space="preserve">Sous Cellule Environnementale et sociale </w:t>
            </w:r>
          </w:p>
        </w:tc>
      </w:tr>
      <w:tr w:rsidR="00D75D2E" w:rsidRPr="00420C1B" w14:paraId="32CD2079" w14:textId="77777777" w:rsidTr="00420C1B">
        <w:trPr>
          <w:trHeight w:val="312"/>
        </w:trPr>
        <w:tc>
          <w:tcPr>
            <w:tcW w:w="1271" w:type="dxa"/>
            <w:shd w:val="clear" w:color="auto" w:fill="auto"/>
            <w:hideMark/>
          </w:tcPr>
          <w:p w14:paraId="52026E6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SIDA</w:t>
            </w:r>
          </w:p>
        </w:tc>
        <w:tc>
          <w:tcPr>
            <w:tcW w:w="296" w:type="dxa"/>
            <w:shd w:val="clear" w:color="auto" w:fill="auto"/>
          </w:tcPr>
          <w:p w14:paraId="4251F8D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5DC39237"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 xml:space="preserve">Syndrome d’Immunodéficience Acquise </w:t>
            </w:r>
          </w:p>
        </w:tc>
      </w:tr>
      <w:tr w:rsidR="00D75D2E" w:rsidRPr="00420C1B" w14:paraId="7E595B80" w14:textId="77777777" w:rsidTr="00420C1B">
        <w:trPr>
          <w:trHeight w:val="312"/>
        </w:trPr>
        <w:tc>
          <w:tcPr>
            <w:tcW w:w="1271" w:type="dxa"/>
            <w:shd w:val="clear" w:color="auto" w:fill="auto"/>
          </w:tcPr>
          <w:p w14:paraId="0263894B"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 xml:space="preserve"> SNEL</w:t>
            </w:r>
          </w:p>
        </w:tc>
        <w:tc>
          <w:tcPr>
            <w:tcW w:w="296" w:type="dxa"/>
            <w:shd w:val="clear" w:color="auto" w:fill="auto"/>
          </w:tcPr>
          <w:p w14:paraId="3F96B2B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1353510F" w14:textId="77777777" w:rsidR="002D3A81" w:rsidRPr="00420C1B" w:rsidRDefault="002D3A81" w:rsidP="00232EBD">
            <w:pPr>
              <w:pStyle w:val="Normal0"/>
              <w:rPr>
                <w:rFonts w:ascii="Times New Roman" w:hAnsi="Times New Roman"/>
                <w:spacing w:val="-3"/>
                <w:szCs w:val="24"/>
              </w:rPr>
            </w:pPr>
            <w:r w:rsidRPr="00420C1B">
              <w:rPr>
                <w:rFonts w:ascii="Times New Roman" w:eastAsia="Calibri" w:hAnsi="Times New Roman"/>
                <w:szCs w:val="24"/>
              </w:rPr>
              <w:t>Société Nationale d’Electricité</w:t>
            </w:r>
          </w:p>
        </w:tc>
      </w:tr>
      <w:tr w:rsidR="00D75D2E" w:rsidRPr="00420C1B" w14:paraId="5038C14E" w14:textId="77777777" w:rsidTr="00420C1B">
        <w:trPr>
          <w:trHeight w:val="312"/>
        </w:trPr>
        <w:tc>
          <w:tcPr>
            <w:tcW w:w="1271" w:type="dxa"/>
            <w:shd w:val="clear" w:color="auto" w:fill="auto"/>
          </w:tcPr>
          <w:p w14:paraId="45184066"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szCs w:val="24"/>
              </w:rPr>
              <w:t xml:space="preserve">SNPA/BD </w:t>
            </w:r>
          </w:p>
        </w:tc>
        <w:tc>
          <w:tcPr>
            <w:tcW w:w="296" w:type="dxa"/>
            <w:shd w:val="clear" w:color="auto" w:fill="auto"/>
          </w:tcPr>
          <w:p w14:paraId="4E6B6F7B"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0AA0A724" w14:textId="77777777" w:rsidR="002D3A81" w:rsidRPr="00420C1B" w:rsidRDefault="002D3A81" w:rsidP="00232EBD">
            <w:pPr>
              <w:pStyle w:val="Normal0"/>
              <w:rPr>
                <w:rFonts w:ascii="Times New Roman" w:hAnsi="Times New Roman"/>
                <w:iCs/>
                <w:szCs w:val="24"/>
                <w:lang w:val="fr-FR"/>
              </w:rPr>
            </w:pPr>
            <w:r w:rsidRPr="00420C1B">
              <w:rPr>
                <w:rFonts w:ascii="Times New Roman" w:hAnsi="Times New Roman"/>
                <w:iCs/>
                <w:szCs w:val="24"/>
                <w:lang w:val="fr-FR"/>
              </w:rPr>
              <w:t>Stratégie nationale et Plan d’action de la Diversité biologique</w:t>
            </w:r>
          </w:p>
        </w:tc>
      </w:tr>
      <w:tr w:rsidR="00D75D2E" w:rsidRPr="00420C1B" w14:paraId="3740DAB5" w14:textId="77777777" w:rsidTr="00420C1B">
        <w:trPr>
          <w:trHeight w:val="312"/>
        </w:trPr>
        <w:tc>
          <w:tcPr>
            <w:tcW w:w="1271" w:type="dxa"/>
            <w:shd w:val="clear" w:color="auto" w:fill="auto"/>
          </w:tcPr>
          <w:p w14:paraId="2C5CB424" w14:textId="77777777" w:rsidR="002D3A81" w:rsidRPr="00420C1B" w:rsidRDefault="002D3A81" w:rsidP="00232EBD">
            <w:pPr>
              <w:pStyle w:val="Normal0"/>
              <w:rPr>
                <w:rFonts w:ascii="Times New Roman" w:eastAsia="Calibri" w:hAnsi="Times New Roman"/>
                <w:szCs w:val="24"/>
              </w:rPr>
            </w:pPr>
            <w:r w:rsidRPr="00420C1B">
              <w:rPr>
                <w:rFonts w:ascii="Times New Roman" w:eastAsia="Calibri" w:hAnsi="Times New Roman"/>
                <w:iCs/>
                <w:szCs w:val="24"/>
                <w:lang w:val="fr-FR"/>
              </w:rPr>
              <w:t xml:space="preserve"> </w:t>
            </w:r>
            <w:r w:rsidRPr="00420C1B">
              <w:rPr>
                <w:rFonts w:ascii="Times New Roman" w:eastAsia="Calibri" w:hAnsi="Times New Roman"/>
                <w:iCs/>
                <w:szCs w:val="24"/>
              </w:rPr>
              <w:t>TDR</w:t>
            </w:r>
          </w:p>
        </w:tc>
        <w:tc>
          <w:tcPr>
            <w:tcW w:w="296" w:type="dxa"/>
            <w:shd w:val="clear" w:color="auto" w:fill="auto"/>
          </w:tcPr>
          <w:p w14:paraId="7B7784A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3328974B" w14:textId="77777777" w:rsidR="002D3A81" w:rsidRPr="00420C1B" w:rsidRDefault="002D3A81" w:rsidP="00232EBD">
            <w:pPr>
              <w:pStyle w:val="Normal0"/>
              <w:rPr>
                <w:rFonts w:ascii="Times New Roman" w:hAnsi="Times New Roman"/>
                <w:iCs/>
                <w:szCs w:val="24"/>
              </w:rPr>
            </w:pPr>
            <w:r w:rsidRPr="00420C1B">
              <w:rPr>
                <w:rFonts w:ascii="Times New Roman" w:eastAsia="Calibri" w:hAnsi="Times New Roman"/>
                <w:iCs/>
                <w:szCs w:val="24"/>
              </w:rPr>
              <w:t>Termes De Référence</w:t>
            </w:r>
          </w:p>
        </w:tc>
      </w:tr>
      <w:tr w:rsidR="00D75D2E" w:rsidRPr="00420C1B" w14:paraId="277A5189" w14:textId="77777777" w:rsidTr="00420C1B">
        <w:trPr>
          <w:trHeight w:val="312"/>
        </w:trPr>
        <w:tc>
          <w:tcPr>
            <w:tcW w:w="1271" w:type="dxa"/>
            <w:shd w:val="clear" w:color="auto" w:fill="auto"/>
            <w:hideMark/>
          </w:tcPr>
          <w:p w14:paraId="4E13300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pacing w:val="-2"/>
                <w:szCs w:val="24"/>
              </w:rPr>
              <w:t>UCM</w:t>
            </w:r>
            <w:r w:rsidRPr="00420C1B">
              <w:rPr>
                <w:rFonts w:ascii="Times New Roman" w:hAnsi="Times New Roman"/>
                <w:spacing w:val="-3"/>
                <w:szCs w:val="24"/>
              </w:rPr>
              <w:t xml:space="preserve"> </w:t>
            </w:r>
          </w:p>
        </w:tc>
        <w:tc>
          <w:tcPr>
            <w:tcW w:w="296" w:type="dxa"/>
            <w:shd w:val="clear" w:color="auto" w:fill="auto"/>
          </w:tcPr>
          <w:p w14:paraId="5125D04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32B366C5" w14:textId="77777777" w:rsidR="002D3A81" w:rsidRPr="00420C1B" w:rsidRDefault="002D3A81" w:rsidP="00232EBD">
            <w:pPr>
              <w:pStyle w:val="Normal0"/>
              <w:rPr>
                <w:rFonts w:ascii="Times New Roman" w:hAnsi="Times New Roman"/>
                <w:szCs w:val="24"/>
                <w:lang w:val="fr-FR" w:eastAsia="fr-FR"/>
              </w:rPr>
            </w:pPr>
            <w:r w:rsidRPr="00420C1B">
              <w:rPr>
                <w:rFonts w:ascii="Times New Roman" w:hAnsi="Times New Roman"/>
                <w:spacing w:val="-3"/>
                <w:szCs w:val="24"/>
                <w:lang w:val="fr-FR"/>
              </w:rPr>
              <w:t xml:space="preserve">Unité de Coordination et de Management des </w:t>
            </w:r>
            <w:r w:rsidRPr="00420C1B">
              <w:rPr>
                <w:rFonts w:ascii="Times New Roman" w:hAnsi="Times New Roman"/>
                <w:spacing w:val="-2"/>
                <w:szCs w:val="24"/>
                <w:lang w:val="fr-FR"/>
              </w:rPr>
              <w:t xml:space="preserve">projets du Ministère </w:t>
            </w:r>
          </w:p>
        </w:tc>
      </w:tr>
      <w:tr w:rsidR="00D75D2E" w:rsidRPr="00420C1B" w14:paraId="1C938357" w14:textId="77777777" w:rsidTr="00420C1B">
        <w:trPr>
          <w:trHeight w:val="312"/>
        </w:trPr>
        <w:tc>
          <w:tcPr>
            <w:tcW w:w="1271" w:type="dxa"/>
            <w:shd w:val="clear" w:color="auto" w:fill="auto"/>
          </w:tcPr>
          <w:p w14:paraId="1A96B091" w14:textId="77777777" w:rsidR="002D3A81" w:rsidRPr="00420C1B" w:rsidRDefault="002D3A81" w:rsidP="00232EBD">
            <w:pPr>
              <w:pStyle w:val="Normal0"/>
              <w:rPr>
                <w:rFonts w:ascii="Times New Roman" w:hAnsi="Times New Roman"/>
                <w:spacing w:val="-2"/>
                <w:szCs w:val="24"/>
              </w:rPr>
            </w:pPr>
            <w:r w:rsidRPr="00420C1B">
              <w:rPr>
                <w:rFonts w:ascii="Times New Roman" w:hAnsi="Times New Roman"/>
                <w:spacing w:val="-2"/>
                <w:szCs w:val="24"/>
                <w:shd w:val="clear" w:color="auto" w:fill="FFFFFF"/>
                <w:lang w:eastAsia="fr-FR"/>
              </w:rPr>
              <w:t>UCP</w:t>
            </w:r>
          </w:p>
        </w:tc>
        <w:tc>
          <w:tcPr>
            <w:tcW w:w="296" w:type="dxa"/>
            <w:shd w:val="clear" w:color="auto" w:fill="auto"/>
          </w:tcPr>
          <w:p w14:paraId="22005C35"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02DE1335" w14:textId="77777777" w:rsidR="002D3A81" w:rsidRPr="00420C1B" w:rsidRDefault="002D3A81" w:rsidP="00232EBD">
            <w:pPr>
              <w:pStyle w:val="Normal0"/>
              <w:rPr>
                <w:rFonts w:ascii="Times New Roman" w:hAnsi="Times New Roman"/>
                <w:spacing w:val="-3"/>
                <w:szCs w:val="24"/>
                <w:lang w:val="fr-FR"/>
              </w:rPr>
            </w:pPr>
            <w:r w:rsidRPr="00420C1B">
              <w:rPr>
                <w:rFonts w:ascii="Times New Roman" w:hAnsi="Times New Roman"/>
                <w:spacing w:val="-2"/>
                <w:szCs w:val="24"/>
                <w:shd w:val="clear" w:color="auto" w:fill="FFFFFF"/>
                <w:lang w:val="fr-FR" w:eastAsia="fr-FR"/>
              </w:rPr>
              <w:t xml:space="preserve">Unité de coordination du Projet </w:t>
            </w:r>
          </w:p>
        </w:tc>
      </w:tr>
      <w:tr w:rsidR="00D75D2E" w:rsidRPr="00420C1B" w14:paraId="06F4627A" w14:textId="77777777" w:rsidTr="00420C1B">
        <w:trPr>
          <w:trHeight w:val="312"/>
        </w:trPr>
        <w:tc>
          <w:tcPr>
            <w:tcW w:w="1271" w:type="dxa"/>
            <w:shd w:val="clear" w:color="auto" w:fill="auto"/>
          </w:tcPr>
          <w:p w14:paraId="62226517" w14:textId="77777777" w:rsidR="002D3A81" w:rsidRPr="00420C1B" w:rsidRDefault="002D3A81" w:rsidP="00232EBD">
            <w:pPr>
              <w:pStyle w:val="Normal0"/>
              <w:rPr>
                <w:rFonts w:ascii="Times New Roman" w:hAnsi="Times New Roman"/>
                <w:spacing w:val="-2"/>
                <w:szCs w:val="24"/>
              </w:rPr>
            </w:pPr>
            <w:r w:rsidRPr="00420C1B">
              <w:rPr>
                <w:rFonts w:ascii="Times New Roman" w:eastAsia="Calibri" w:hAnsi="Times New Roman"/>
                <w:szCs w:val="24"/>
              </w:rPr>
              <w:t>UGES</w:t>
            </w:r>
          </w:p>
        </w:tc>
        <w:tc>
          <w:tcPr>
            <w:tcW w:w="296" w:type="dxa"/>
            <w:shd w:val="clear" w:color="auto" w:fill="auto"/>
          </w:tcPr>
          <w:p w14:paraId="5C8D14F2"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2B696FD7" w14:textId="77777777" w:rsidR="002D3A81" w:rsidRPr="00420C1B" w:rsidRDefault="002D3A81" w:rsidP="00232EBD">
            <w:pPr>
              <w:pStyle w:val="Normal0"/>
              <w:rPr>
                <w:rFonts w:ascii="Times New Roman" w:hAnsi="Times New Roman"/>
                <w:spacing w:val="-3"/>
                <w:szCs w:val="24"/>
                <w:lang w:val="fr-FR"/>
              </w:rPr>
            </w:pPr>
            <w:r w:rsidRPr="00420C1B">
              <w:rPr>
                <w:rFonts w:ascii="Times New Roman" w:eastAsia="Calibri" w:hAnsi="Times New Roman"/>
                <w:szCs w:val="24"/>
                <w:lang w:val="fr-FR"/>
              </w:rPr>
              <w:t xml:space="preserve">Unité de Gestion Environnementale et sociale </w:t>
            </w:r>
          </w:p>
        </w:tc>
      </w:tr>
      <w:tr w:rsidR="00D75D2E" w:rsidRPr="00420C1B" w14:paraId="0EFC5318" w14:textId="77777777" w:rsidTr="00420C1B">
        <w:trPr>
          <w:trHeight w:val="312"/>
        </w:trPr>
        <w:tc>
          <w:tcPr>
            <w:tcW w:w="1271" w:type="dxa"/>
            <w:shd w:val="clear" w:color="auto" w:fill="auto"/>
            <w:hideMark/>
          </w:tcPr>
          <w:p w14:paraId="68728DDA"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VIH</w:t>
            </w:r>
          </w:p>
        </w:tc>
        <w:tc>
          <w:tcPr>
            <w:tcW w:w="296" w:type="dxa"/>
            <w:shd w:val="clear" w:color="auto" w:fill="auto"/>
          </w:tcPr>
          <w:p w14:paraId="0DB8D27E"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hideMark/>
          </w:tcPr>
          <w:p w14:paraId="066FEDA4"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Virus d’Immunodéficience Humaine</w:t>
            </w:r>
          </w:p>
        </w:tc>
      </w:tr>
      <w:tr w:rsidR="00D75D2E" w:rsidRPr="00420C1B" w14:paraId="4512DCC1" w14:textId="77777777" w:rsidTr="00420C1B">
        <w:trPr>
          <w:trHeight w:val="312"/>
        </w:trPr>
        <w:tc>
          <w:tcPr>
            <w:tcW w:w="1271" w:type="dxa"/>
            <w:shd w:val="clear" w:color="auto" w:fill="auto"/>
          </w:tcPr>
          <w:p w14:paraId="010C8123"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VBG</w:t>
            </w:r>
          </w:p>
        </w:tc>
        <w:tc>
          <w:tcPr>
            <w:tcW w:w="296" w:type="dxa"/>
            <w:shd w:val="clear" w:color="auto" w:fill="auto"/>
          </w:tcPr>
          <w:p w14:paraId="57C2BEC8"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651DD8CB" w14:textId="77777777" w:rsidR="002D3A81" w:rsidRPr="00420C1B" w:rsidRDefault="002D3A81" w:rsidP="00232EBD">
            <w:pPr>
              <w:pStyle w:val="Normal0"/>
              <w:rPr>
                <w:rFonts w:ascii="Times New Roman" w:hAnsi="Times New Roman"/>
                <w:iCs/>
                <w:szCs w:val="24"/>
                <w:lang w:val="fr-FR"/>
              </w:rPr>
            </w:pPr>
            <w:r w:rsidRPr="00420C1B">
              <w:rPr>
                <w:rFonts w:ascii="Times New Roman" w:hAnsi="Times New Roman"/>
                <w:iCs/>
                <w:szCs w:val="24"/>
                <w:lang w:val="fr-FR"/>
              </w:rPr>
              <w:t>Violence Basée sur le Genre</w:t>
            </w:r>
          </w:p>
        </w:tc>
      </w:tr>
      <w:tr w:rsidR="002D3A81" w:rsidRPr="00420C1B" w14:paraId="6209499B" w14:textId="77777777" w:rsidTr="00420C1B">
        <w:trPr>
          <w:trHeight w:val="312"/>
        </w:trPr>
        <w:tc>
          <w:tcPr>
            <w:tcW w:w="1271" w:type="dxa"/>
            <w:shd w:val="clear" w:color="auto" w:fill="auto"/>
          </w:tcPr>
          <w:p w14:paraId="7FABBF5C"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VSBG</w:t>
            </w:r>
          </w:p>
        </w:tc>
        <w:tc>
          <w:tcPr>
            <w:tcW w:w="296" w:type="dxa"/>
            <w:shd w:val="clear" w:color="auto" w:fill="auto"/>
          </w:tcPr>
          <w:p w14:paraId="7AD93829" w14:textId="77777777" w:rsidR="002D3A81" w:rsidRPr="00420C1B" w:rsidRDefault="002D3A81" w:rsidP="00232EBD">
            <w:pPr>
              <w:pStyle w:val="Normal0"/>
              <w:rPr>
                <w:rFonts w:ascii="Times New Roman" w:hAnsi="Times New Roman"/>
                <w:szCs w:val="24"/>
                <w:lang w:eastAsia="fr-FR"/>
              </w:rPr>
            </w:pPr>
            <w:r w:rsidRPr="00420C1B">
              <w:rPr>
                <w:rFonts w:ascii="Times New Roman" w:hAnsi="Times New Roman"/>
                <w:szCs w:val="24"/>
                <w:lang w:eastAsia="fr-FR"/>
              </w:rPr>
              <w:t>:</w:t>
            </w:r>
          </w:p>
        </w:tc>
        <w:tc>
          <w:tcPr>
            <w:tcW w:w="8359" w:type="dxa"/>
            <w:shd w:val="clear" w:color="auto" w:fill="auto"/>
          </w:tcPr>
          <w:p w14:paraId="7A4C73F4" w14:textId="77777777" w:rsidR="002D3A81" w:rsidRPr="00420C1B" w:rsidRDefault="002D3A81" w:rsidP="00232EBD">
            <w:pPr>
              <w:pStyle w:val="Normal0"/>
              <w:rPr>
                <w:rFonts w:ascii="Times New Roman" w:hAnsi="Times New Roman"/>
                <w:iCs/>
                <w:szCs w:val="24"/>
                <w:lang w:val="fr-FR"/>
              </w:rPr>
            </w:pPr>
            <w:r w:rsidRPr="00420C1B">
              <w:rPr>
                <w:rFonts w:ascii="Times New Roman" w:hAnsi="Times New Roman"/>
                <w:iCs/>
                <w:szCs w:val="24"/>
                <w:lang w:val="fr-FR"/>
              </w:rPr>
              <w:t>Violence Sexuelle Basée sur le Genre</w:t>
            </w:r>
          </w:p>
        </w:tc>
      </w:tr>
    </w:tbl>
    <w:p w14:paraId="1959A3CA" w14:textId="77777777" w:rsidR="00FB563A" w:rsidRPr="00D75D2E" w:rsidRDefault="00FB563A" w:rsidP="00ED17F3">
      <w:pPr>
        <w:rPr>
          <w:rFonts w:ascii="Times New Roman" w:hAnsi="Times New Roman"/>
          <w:b/>
          <w:sz w:val="28"/>
          <w:szCs w:val="28"/>
        </w:rPr>
      </w:pPr>
      <w:bookmarkStart w:id="7" w:name="_Toc452538193"/>
      <w:bookmarkStart w:id="8" w:name="_Toc518587707"/>
      <w:bookmarkStart w:id="9" w:name="_Toc16663452"/>
      <w:bookmarkStart w:id="10" w:name="_Toc16663626"/>
    </w:p>
    <w:p w14:paraId="1EED461D" w14:textId="1512E04C" w:rsidR="00ED17F3" w:rsidRPr="00B334B1" w:rsidRDefault="00FB563A" w:rsidP="00215867">
      <w:pPr>
        <w:pStyle w:val="Titre1"/>
        <w:numPr>
          <w:ilvl w:val="0"/>
          <w:numId w:val="0"/>
        </w:numPr>
        <w:spacing w:before="0" w:after="120"/>
        <w:ind w:left="431" w:hanging="431"/>
        <w:rPr>
          <w:szCs w:val="24"/>
          <w:lang w:val="en-US"/>
        </w:rPr>
      </w:pPr>
      <w:r w:rsidRPr="00D75D2E">
        <w:rPr>
          <w:b w:val="0"/>
          <w:sz w:val="28"/>
          <w:szCs w:val="28"/>
        </w:rPr>
        <w:br w:type="page"/>
      </w:r>
      <w:bookmarkStart w:id="11" w:name="_Toc103685589"/>
      <w:r w:rsidR="00ED17F3" w:rsidRPr="007E5A67">
        <w:rPr>
          <w:szCs w:val="24"/>
          <w:lang w:val="en-US"/>
        </w:rPr>
        <w:t>LISTE DES TABLEAUX</w:t>
      </w:r>
      <w:bookmarkEnd w:id="7"/>
      <w:bookmarkEnd w:id="8"/>
      <w:bookmarkEnd w:id="9"/>
      <w:bookmarkEnd w:id="10"/>
      <w:bookmarkEnd w:id="11"/>
      <w:r w:rsidR="00ED17F3" w:rsidRPr="007E5A67">
        <w:rPr>
          <w:szCs w:val="24"/>
          <w:lang w:val="en-US"/>
        </w:rPr>
        <w:t xml:space="preserve"> </w:t>
      </w:r>
      <w:bookmarkStart w:id="12" w:name="_Toc452538194"/>
      <w:bookmarkStart w:id="13" w:name="_Toc518587708"/>
      <w:bookmarkStart w:id="14" w:name="_Toc16663453"/>
      <w:bookmarkStart w:id="15" w:name="_Toc16663627"/>
    </w:p>
    <w:p w14:paraId="74B14B81" w14:textId="77777777" w:rsidR="00A86929" w:rsidRPr="00215867" w:rsidRDefault="00ED17F3">
      <w:pPr>
        <w:pStyle w:val="Tabledesillustrations"/>
        <w:tabs>
          <w:tab w:val="right" w:leader="dot" w:pos="9054"/>
        </w:tabs>
        <w:rPr>
          <w:rFonts w:ascii="Times New Roman" w:eastAsia="Times New Roman" w:hAnsi="Times New Roman"/>
          <w:noProof/>
          <w:sz w:val="24"/>
          <w:szCs w:val="24"/>
          <w:lang w:val="en-US"/>
        </w:rPr>
      </w:pPr>
      <w:r w:rsidRPr="004D24BE">
        <w:rPr>
          <w:rFonts w:ascii="Times New Roman" w:hAnsi="Times New Roman"/>
          <w:sz w:val="24"/>
          <w:szCs w:val="24"/>
        </w:rPr>
        <w:fldChar w:fldCharType="begin"/>
      </w:r>
      <w:r w:rsidRPr="00A86929">
        <w:rPr>
          <w:rFonts w:ascii="Times New Roman" w:hAnsi="Times New Roman"/>
          <w:sz w:val="24"/>
          <w:szCs w:val="24"/>
        </w:rPr>
        <w:instrText xml:space="preserve"> TOC \h \z \c "Tableau" </w:instrText>
      </w:r>
      <w:r w:rsidRPr="004D24BE">
        <w:rPr>
          <w:rFonts w:ascii="Times New Roman" w:hAnsi="Times New Roman"/>
          <w:sz w:val="24"/>
          <w:szCs w:val="24"/>
        </w:rPr>
        <w:fldChar w:fldCharType="separate"/>
      </w:r>
      <w:hyperlink w:anchor="_Toc93050263" w:history="1">
        <w:r w:rsidR="00A86929" w:rsidRPr="00215867">
          <w:rPr>
            <w:rStyle w:val="Lienhypertexte"/>
            <w:rFonts w:ascii="Times New Roman" w:eastAsia="Times New Roman" w:hAnsi="Times New Roman"/>
            <w:bCs/>
            <w:noProof/>
            <w:sz w:val="24"/>
            <w:szCs w:val="24"/>
          </w:rPr>
          <w:t>Tableau 1: Politiques et programme en rapport avec le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54</w:t>
        </w:r>
        <w:r w:rsidR="00A86929" w:rsidRPr="00215867">
          <w:rPr>
            <w:rFonts w:ascii="Times New Roman" w:hAnsi="Times New Roman"/>
            <w:noProof/>
            <w:webHidden/>
            <w:sz w:val="24"/>
            <w:szCs w:val="24"/>
          </w:rPr>
          <w:fldChar w:fldCharType="end"/>
        </w:r>
      </w:hyperlink>
    </w:p>
    <w:p w14:paraId="50AA8FCB"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4" w:history="1">
        <w:r w:rsidR="00A86929" w:rsidRPr="00215867">
          <w:rPr>
            <w:rStyle w:val="Lienhypertexte"/>
            <w:rFonts w:ascii="Times New Roman" w:hAnsi="Times New Roman"/>
            <w:noProof/>
            <w:sz w:val="24"/>
            <w:szCs w:val="24"/>
          </w:rPr>
          <w:t>Tableau 2. Synthèse des textes légaux applicables au Projet et leurs pertinences.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60</w:t>
        </w:r>
        <w:r w:rsidR="00A86929" w:rsidRPr="00215867">
          <w:rPr>
            <w:rFonts w:ascii="Times New Roman" w:hAnsi="Times New Roman"/>
            <w:noProof/>
            <w:webHidden/>
            <w:sz w:val="24"/>
            <w:szCs w:val="24"/>
          </w:rPr>
          <w:fldChar w:fldCharType="end"/>
        </w:r>
      </w:hyperlink>
    </w:p>
    <w:p w14:paraId="3A5B495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5" w:history="1">
        <w:r w:rsidR="00A86929" w:rsidRPr="00215867">
          <w:rPr>
            <w:rStyle w:val="Lienhypertexte"/>
            <w:rFonts w:ascii="Times New Roman" w:hAnsi="Times New Roman"/>
            <w:noProof/>
            <w:sz w:val="24"/>
            <w:szCs w:val="24"/>
          </w:rPr>
          <w:t>Tableau 3 : Conventions internationales signées par la RDC applicables au sous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67</w:t>
        </w:r>
        <w:r w:rsidR="00A86929" w:rsidRPr="00215867">
          <w:rPr>
            <w:rFonts w:ascii="Times New Roman" w:hAnsi="Times New Roman"/>
            <w:noProof/>
            <w:webHidden/>
            <w:sz w:val="24"/>
            <w:szCs w:val="24"/>
          </w:rPr>
          <w:fldChar w:fldCharType="end"/>
        </w:r>
      </w:hyperlink>
    </w:p>
    <w:p w14:paraId="5B1A873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6" w:history="1">
        <w:r w:rsidR="00A86929" w:rsidRPr="00215867">
          <w:rPr>
            <w:rStyle w:val="Lienhypertexte"/>
            <w:rFonts w:ascii="Times New Roman" w:eastAsia="Times New Roman" w:hAnsi="Times New Roman"/>
            <w:noProof/>
            <w:sz w:val="24"/>
            <w:szCs w:val="24"/>
            <w:lang w:eastAsia="fr-FR"/>
          </w:rPr>
          <w:t>Tableau 4. Comparaison entre le Cadre environnemental et Social de la RDC avec les NES de la Banque mondiale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73</w:t>
        </w:r>
        <w:r w:rsidR="00A86929" w:rsidRPr="00215867">
          <w:rPr>
            <w:rFonts w:ascii="Times New Roman" w:hAnsi="Times New Roman"/>
            <w:noProof/>
            <w:webHidden/>
            <w:sz w:val="24"/>
            <w:szCs w:val="24"/>
          </w:rPr>
          <w:fldChar w:fldCharType="end"/>
        </w:r>
      </w:hyperlink>
    </w:p>
    <w:p w14:paraId="23C1602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7" w:history="1">
        <w:r w:rsidR="00A86929" w:rsidRPr="00215867">
          <w:rPr>
            <w:rStyle w:val="Lienhypertexte"/>
            <w:rFonts w:ascii="Times New Roman" w:eastAsia="Times New Roman" w:hAnsi="Times New Roman"/>
            <w:noProof/>
            <w:sz w:val="24"/>
            <w:szCs w:val="24"/>
            <w:lang w:eastAsia="fr-FR"/>
          </w:rPr>
          <w:t>Tableau 5. Lignes directrices sur les niveaux sonores de la SFI</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104</w:t>
        </w:r>
        <w:r w:rsidR="00A86929" w:rsidRPr="00215867">
          <w:rPr>
            <w:rFonts w:ascii="Times New Roman" w:hAnsi="Times New Roman"/>
            <w:noProof/>
            <w:webHidden/>
            <w:sz w:val="24"/>
            <w:szCs w:val="24"/>
          </w:rPr>
          <w:fldChar w:fldCharType="end"/>
        </w:r>
      </w:hyperlink>
    </w:p>
    <w:p w14:paraId="4C92B3F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8" w:history="1">
        <w:r w:rsidR="00A86929" w:rsidRPr="00215867">
          <w:rPr>
            <w:rStyle w:val="Lienhypertexte"/>
            <w:rFonts w:ascii="Times New Roman" w:hAnsi="Times New Roman"/>
            <w:noProof/>
            <w:sz w:val="24"/>
            <w:szCs w:val="24"/>
            <w:lang w:eastAsia="fr-FR"/>
          </w:rPr>
          <w:t>Tableau 6 : Synthèse des capacités de gestion environnementale des acteurs du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108</w:t>
        </w:r>
        <w:r w:rsidR="00A86929" w:rsidRPr="00215867">
          <w:rPr>
            <w:rFonts w:ascii="Times New Roman" w:hAnsi="Times New Roman"/>
            <w:noProof/>
            <w:webHidden/>
            <w:sz w:val="24"/>
            <w:szCs w:val="24"/>
          </w:rPr>
          <w:fldChar w:fldCharType="end"/>
        </w:r>
      </w:hyperlink>
    </w:p>
    <w:p w14:paraId="330E4DD1"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69" w:history="1">
        <w:r w:rsidR="00A86929" w:rsidRPr="00215867">
          <w:rPr>
            <w:rStyle w:val="Lienhypertexte"/>
            <w:rFonts w:ascii="Times New Roman" w:hAnsi="Times New Roman"/>
            <w:noProof/>
            <w:sz w:val="24"/>
            <w:szCs w:val="24"/>
          </w:rPr>
          <w:t>Tableau 7 : Justification de la nécessité de tout plan environnemental et social pour satisfaire aux exigences des NES 1 à 10.</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_Toc93050269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112</w:t>
        </w:r>
        <w:r w:rsidR="00A86929" w:rsidRPr="00215867">
          <w:rPr>
            <w:rFonts w:ascii="Times New Roman" w:hAnsi="Times New Roman"/>
            <w:noProof/>
            <w:webHidden/>
            <w:sz w:val="24"/>
            <w:szCs w:val="24"/>
          </w:rPr>
          <w:fldChar w:fldCharType="end"/>
        </w:r>
      </w:hyperlink>
    </w:p>
    <w:p w14:paraId="46CC0AE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0" w:history="1">
        <w:r w:rsidR="00A86929" w:rsidRPr="00215867">
          <w:rPr>
            <w:rStyle w:val="Lienhypertexte"/>
            <w:rFonts w:ascii="Times New Roman" w:hAnsi="Times New Roman"/>
            <w:noProof/>
            <w:sz w:val="24"/>
            <w:szCs w:val="24"/>
          </w:rPr>
          <w:t>Tableau 8. Liste des carrières d’emprunt des matériaux identifiés dans le territoire Kasangulu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122</w:t>
        </w:r>
        <w:r w:rsidR="00A86929" w:rsidRPr="00215867">
          <w:rPr>
            <w:rFonts w:ascii="Times New Roman" w:hAnsi="Times New Roman"/>
            <w:noProof/>
            <w:webHidden/>
            <w:sz w:val="24"/>
            <w:szCs w:val="24"/>
          </w:rPr>
          <w:fldChar w:fldCharType="end"/>
        </w:r>
      </w:hyperlink>
    </w:p>
    <w:p w14:paraId="1CCB917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1" w:history="1">
        <w:r w:rsidR="00A86929" w:rsidRPr="00215867">
          <w:rPr>
            <w:rStyle w:val="Lienhypertexte"/>
            <w:rFonts w:ascii="Times New Roman" w:hAnsi="Times New Roman"/>
            <w:iCs/>
            <w:noProof/>
            <w:sz w:val="24"/>
            <w:szCs w:val="24"/>
          </w:rPr>
          <w:t>Tableau 9 : Profil biophysique et socio-économique de la zone d’étude.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125</w:t>
        </w:r>
        <w:r w:rsidR="00A86929" w:rsidRPr="00215867">
          <w:rPr>
            <w:rFonts w:ascii="Times New Roman" w:hAnsi="Times New Roman"/>
            <w:noProof/>
            <w:webHidden/>
            <w:sz w:val="24"/>
            <w:szCs w:val="24"/>
          </w:rPr>
          <w:fldChar w:fldCharType="end"/>
        </w:r>
      </w:hyperlink>
    </w:p>
    <w:p w14:paraId="48996A7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2" w:history="1">
        <w:r w:rsidR="00A86929" w:rsidRPr="00215867">
          <w:rPr>
            <w:rStyle w:val="Lienhypertexte"/>
            <w:rFonts w:ascii="Times New Roman" w:hAnsi="Times New Roman"/>
            <w:i/>
            <w:noProof/>
            <w:sz w:val="24"/>
            <w:szCs w:val="24"/>
          </w:rPr>
          <w:t>Tableau 10 . Limites indicatives de la teneur du sol (mg/kg de matière sèche) en éléments extractibles par l’eau régale conformément à l’ISO 11 466</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138</w:t>
        </w:r>
        <w:r w:rsidR="00A86929" w:rsidRPr="00215867">
          <w:rPr>
            <w:rFonts w:ascii="Times New Roman" w:hAnsi="Times New Roman"/>
            <w:noProof/>
            <w:webHidden/>
            <w:sz w:val="24"/>
            <w:szCs w:val="24"/>
          </w:rPr>
          <w:fldChar w:fldCharType="end"/>
        </w:r>
      </w:hyperlink>
    </w:p>
    <w:p w14:paraId="4096FD7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3" w:history="1">
        <w:r w:rsidR="00A86929" w:rsidRPr="00215867">
          <w:rPr>
            <w:rStyle w:val="Lienhypertexte"/>
            <w:rFonts w:ascii="Times New Roman" w:hAnsi="Times New Roman"/>
            <w:i/>
            <w:noProof/>
            <w:sz w:val="24"/>
            <w:szCs w:val="24"/>
          </w:rPr>
          <w:t>Tableau 11 : Résultats des analyses des Sols au laboratoire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140</w:t>
        </w:r>
        <w:r w:rsidR="00A86929" w:rsidRPr="00215867">
          <w:rPr>
            <w:rFonts w:ascii="Times New Roman" w:hAnsi="Times New Roman"/>
            <w:noProof/>
            <w:webHidden/>
            <w:sz w:val="24"/>
            <w:szCs w:val="24"/>
          </w:rPr>
          <w:fldChar w:fldCharType="end"/>
        </w:r>
      </w:hyperlink>
    </w:p>
    <w:p w14:paraId="7B86F06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4" w:history="1">
        <w:r w:rsidR="00A86929" w:rsidRPr="00215867">
          <w:rPr>
            <w:rStyle w:val="Lienhypertexte"/>
            <w:rFonts w:ascii="Times New Roman" w:hAnsi="Times New Roman"/>
            <w:noProof/>
            <w:sz w:val="24"/>
            <w:szCs w:val="24"/>
          </w:rPr>
          <w:t>Tableau 12 : Normes de l’Organisation internationale de Normalisation (ISO) relatives à la qualité de l’eau et fournissant des recommandations concernant l’échantillonnage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145</w:t>
        </w:r>
        <w:r w:rsidR="00A86929" w:rsidRPr="00215867">
          <w:rPr>
            <w:rFonts w:ascii="Times New Roman" w:hAnsi="Times New Roman"/>
            <w:noProof/>
            <w:webHidden/>
            <w:sz w:val="24"/>
            <w:szCs w:val="24"/>
          </w:rPr>
          <w:fldChar w:fldCharType="end"/>
        </w:r>
      </w:hyperlink>
    </w:p>
    <w:p w14:paraId="02C1C3B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5" w:history="1">
        <w:r w:rsidR="00A86929" w:rsidRPr="00215867">
          <w:rPr>
            <w:rStyle w:val="Lienhypertexte"/>
            <w:rFonts w:ascii="Times New Roman" w:hAnsi="Times New Roman"/>
            <w:noProof/>
            <w:sz w:val="24"/>
            <w:szCs w:val="24"/>
          </w:rPr>
          <w:t xml:space="preserve">Tableau 13 : </w:t>
        </w:r>
        <w:r w:rsidR="00A86929" w:rsidRPr="00215867">
          <w:rPr>
            <w:rStyle w:val="Lienhypertexte"/>
            <w:rFonts w:ascii="Times New Roman" w:hAnsi="Times New Roman"/>
            <w:iCs/>
            <w:noProof/>
            <w:sz w:val="24"/>
            <w:szCs w:val="24"/>
          </w:rPr>
          <w:t>Résultat de l’analyse de l’eau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147</w:t>
        </w:r>
        <w:r w:rsidR="00A86929" w:rsidRPr="00215867">
          <w:rPr>
            <w:rFonts w:ascii="Times New Roman" w:hAnsi="Times New Roman"/>
            <w:noProof/>
            <w:webHidden/>
            <w:sz w:val="24"/>
            <w:szCs w:val="24"/>
          </w:rPr>
          <w:fldChar w:fldCharType="end"/>
        </w:r>
      </w:hyperlink>
    </w:p>
    <w:p w14:paraId="5E7EEA2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6" w:history="1">
        <w:r w:rsidR="00A86929" w:rsidRPr="00215867">
          <w:rPr>
            <w:rStyle w:val="Lienhypertexte"/>
            <w:rFonts w:ascii="Times New Roman" w:hAnsi="Times New Roman"/>
            <w:noProof/>
            <w:sz w:val="24"/>
            <w:szCs w:val="24"/>
          </w:rPr>
          <w:t>Tableau 14 : Sites de prélèvement de l’Air et Valeurs mesurées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149</w:t>
        </w:r>
        <w:r w:rsidR="00A86929" w:rsidRPr="00215867">
          <w:rPr>
            <w:rFonts w:ascii="Times New Roman" w:hAnsi="Times New Roman"/>
            <w:noProof/>
            <w:webHidden/>
            <w:sz w:val="24"/>
            <w:szCs w:val="24"/>
          </w:rPr>
          <w:fldChar w:fldCharType="end"/>
        </w:r>
      </w:hyperlink>
    </w:p>
    <w:p w14:paraId="45EA82E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7" w:history="1">
        <w:r w:rsidR="00A86929" w:rsidRPr="00215867">
          <w:rPr>
            <w:rStyle w:val="Lienhypertexte"/>
            <w:rFonts w:ascii="Times New Roman" w:hAnsi="Times New Roman"/>
            <w:noProof/>
            <w:sz w:val="24"/>
            <w:szCs w:val="24"/>
          </w:rPr>
          <w:t xml:space="preserve">Tableau 15 : </w:t>
        </w:r>
        <w:r w:rsidR="00A86929" w:rsidRPr="00215867">
          <w:rPr>
            <w:rStyle w:val="Lienhypertexte"/>
            <w:rFonts w:ascii="Times New Roman" w:hAnsi="Times New Roman"/>
            <w:i/>
            <w:noProof/>
            <w:sz w:val="24"/>
            <w:szCs w:val="24"/>
          </w:rPr>
          <w:t>Stations et Mesures de bruit prélevées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149</w:t>
        </w:r>
        <w:r w:rsidR="00A86929" w:rsidRPr="00215867">
          <w:rPr>
            <w:rFonts w:ascii="Times New Roman" w:hAnsi="Times New Roman"/>
            <w:noProof/>
            <w:webHidden/>
            <w:sz w:val="24"/>
            <w:szCs w:val="24"/>
          </w:rPr>
          <w:fldChar w:fldCharType="end"/>
        </w:r>
      </w:hyperlink>
    </w:p>
    <w:p w14:paraId="50AC1455"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8" w:history="1">
        <w:r w:rsidR="00A86929" w:rsidRPr="00215867">
          <w:rPr>
            <w:rStyle w:val="Lienhypertexte"/>
            <w:rFonts w:ascii="Times New Roman" w:hAnsi="Times New Roman"/>
            <w:noProof/>
            <w:sz w:val="24"/>
            <w:szCs w:val="24"/>
          </w:rPr>
          <w:t>Tableau 16 : Illustration de quelques enjeux environnementaux et sociaux identifiés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153</w:t>
        </w:r>
        <w:r w:rsidR="00A86929" w:rsidRPr="00215867">
          <w:rPr>
            <w:rFonts w:ascii="Times New Roman" w:hAnsi="Times New Roman"/>
            <w:noProof/>
            <w:webHidden/>
            <w:sz w:val="24"/>
            <w:szCs w:val="24"/>
          </w:rPr>
          <w:fldChar w:fldCharType="end"/>
        </w:r>
      </w:hyperlink>
    </w:p>
    <w:p w14:paraId="7494E0D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79" w:history="1">
        <w:r w:rsidR="00A86929" w:rsidRPr="00215867">
          <w:rPr>
            <w:rStyle w:val="Lienhypertexte"/>
            <w:rFonts w:ascii="Times New Roman" w:hAnsi="Times New Roman"/>
            <w:noProof/>
            <w:sz w:val="24"/>
            <w:szCs w:val="24"/>
            <w:lang w:eastAsia="fr-FR"/>
          </w:rPr>
          <w:t>Tableau 17 : Fiche d’impact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_Toc93050279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162</w:t>
        </w:r>
        <w:r w:rsidR="00A86929" w:rsidRPr="00215867">
          <w:rPr>
            <w:rFonts w:ascii="Times New Roman" w:hAnsi="Times New Roman"/>
            <w:noProof/>
            <w:webHidden/>
            <w:sz w:val="24"/>
            <w:szCs w:val="24"/>
          </w:rPr>
          <w:fldChar w:fldCharType="end"/>
        </w:r>
      </w:hyperlink>
    </w:p>
    <w:p w14:paraId="0E834BE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0" w:history="1">
        <w:r w:rsidR="00A86929" w:rsidRPr="00215867">
          <w:rPr>
            <w:rStyle w:val="Lienhypertexte"/>
            <w:rFonts w:ascii="Times New Roman" w:hAnsi="Times New Roman"/>
            <w:iCs/>
            <w:noProof/>
            <w:sz w:val="24"/>
            <w:szCs w:val="24"/>
            <w:lang w:val="x-none" w:eastAsia="x-none"/>
          </w:rPr>
          <w:t>Tableau 18 </w:t>
        </w:r>
        <w:r w:rsidR="00A86929" w:rsidRPr="00215867">
          <w:rPr>
            <w:rStyle w:val="Lienhypertexte"/>
            <w:rFonts w:ascii="Times New Roman" w:hAnsi="Times New Roman"/>
            <w:iCs/>
            <w:noProof/>
            <w:sz w:val="24"/>
            <w:szCs w:val="24"/>
            <w:lang w:eastAsia="x-none"/>
          </w:rPr>
          <w:t xml:space="preserve">: </w:t>
        </w:r>
        <w:r w:rsidR="00A86929" w:rsidRPr="00215867">
          <w:rPr>
            <w:rStyle w:val="Lienhypertexte"/>
            <w:rFonts w:ascii="Times New Roman" w:hAnsi="Times New Roman"/>
            <w:iCs/>
            <w:noProof/>
            <w:sz w:val="24"/>
            <w:szCs w:val="24"/>
            <w:lang w:val="x-none" w:eastAsia="x-none"/>
          </w:rPr>
          <w:t>Critères d’évaluation de l’importance d’un impact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162</w:t>
        </w:r>
        <w:r w:rsidR="00A86929" w:rsidRPr="00215867">
          <w:rPr>
            <w:rFonts w:ascii="Times New Roman" w:hAnsi="Times New Roman"/>
            <w:noProof/>
            <w:webHidden/>
            <w:sz w:val="24"/>
            <w:szCs w:val="24"/>
          </w:rPr>
          <w:fldChar w:fldCharType="end"/>
        </w:r>
      </w:hyperlink>
    </w:p>
    <w:p w14:paraId="5E040A6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1" w:history="1">
        <w:r w:rsidR="00A86929" w:rsidRPr="00215867">
          <w:rPr>
            <w:rStyle w:val="Lienhypertexte"/>
            <w:rFonts w:ascii="Times New Roman" w:hAnsi="Times New Roman"/>
            <w:noProof/>
            <w:sz w:val="24"/>
            <w:szCs w:val="24"/>
          </w:rPr>
          <w:t>Tableau 19 : Grille de Fecteau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163</w:t>
        </w:r>
        <w:r w:rsidR="00A86929" w:rsidRPr="00215867">
          <w:rPr>
            <w:rFonts w:ascii="Times New Roman" w:hAnsi="Times New Roman"/>
            <w:noProof/>
            <w:webHidden/>
            <w:sz w:val="24"/>
            <w:szCs w:val="24"/>
          </w:rPr>
          <w:fldChar w:fldCharType="end"/>
        </w:r>
      </w:hyperlink>
    </w:p>
    <w:p w14:paraId="5C0EF1D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2" w:history="1">
        <w:r w:rsidR="00A86929" w:rsidRPr="00215867">
          <w:rPr>
            <w:rStyle w:val="Lienhypertexte"/>
            <w:rFonts w:ascii="Times New Roman" w:hAnsi="Times New Roman"/>
            <w:noProof/>
            <w:sz w:val="24"/>
            <w:szCs w:val="24"/>
            <w:lang w:eastAsia="fr-FR"/>
          </w:rPr>
          <w:t>Tableau 20 : Matrice d’interactions des potentielles sources d’impacts et des récepteurs d’impacts du Projet d’électrification</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166</w:t>
        </w:r>
        <w:r w:rsidR="00A86929" w:rsidRPr="00215867">
          <w:rPr>
            <w:rFonts w:ascii="Times New Roman" w:hAnsi="Times New Roman"/>
            <w:noProof/>
            <w:webHidden/>
            <w:sz w:val="24"/>
            <w:szCs w:val="24"/>
          </w:rPr>
          <w:fldChar w:fldCharType="end"/>
        </w:r>
      </w:hyperlink>
    </w:p>
    <w:p w14:paraId="445FE32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3" w:history="1">
        <w:r w:rsidR="00A86929" w:rsidRPr="00215867">
          <w:rPr>
            <w:rStyle w:val="Lienhypertexte"/>
            <w:rFonts w:ascii="Times New Roman" w:hAnsi="Times New Roman"/>
            <w:noProof/>
            <w:sz w:val="24"/>
            <w:szCs w:val="24"/>
          </w:rPr>
          <w:t>Tableau 21 : Synthèse des impacts environnementaux positifs de la variante avec le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168</w:t>
        </w:r>
        <w:r w:rsidR="00A86929" w:rsidRPr="00215867">
          <w:rPr>
            <w:rFonts w:ascii="Times New Roman" w:hAnsi="Times New Roman"/>
            <w:noProof/>
            <w:webHidden/>
            <w:sz w:val="24"/>
            <w:szCs w:val="24"/>
          </w:rPr>
          <w:fldChar w:fldCharType="end"/>
        </w:r>
      </w:hyperlink>
    </w:p>
    <w:p w14:paraId="2D9AFFAE"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4" w:history="1">
        <w:r w:rsidR="00A86929" w:rsidRPr="00215867">
          <w:rPr>
            <w:rStyle w:val="Lienhypertexte"/>
            <w:rFonts w:ascii="Times New Roman" w:hAnsi="Times New Roman"/>
            <w:noProof/>
            <w:sz w:val="24"/>
            <w:szCs w:val="24"/>
          </w:rPr>
          <w:t>Tableau 22 : Synthèse impacts sociaux positifs de la variante avec le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169</w:t>
        </w:r>
        <w:r w:rsidR="00A86929" w:rsidRPr="00215867">
          <w:rPr>
            <w:rFonts w:ascii="Times New Roman" w:hAnsi="Times New Roman"/>
            <w:noProof/>
            <w:webHidden/>
            <w:sz w:val="24"/>
            <w:szCs w:val="24"/>
          </w:rPr>
          <w:fldChar w:fldCharType="end"/>
        </w:r>
      </w:hyperlink>
    </w:p>
    <w:p w14:paraId="2E4F70E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5" w:history="1">
        <w:r w:rsidR="00A86929" w:rsidRPr="00215867">
          <w:rPr>
            <w:rStyle w:val="Lienhypertexte"/>
            <w:rFonts w:ascii="Times New Roman" w:hAnsi="Times New Roman"/>
            <w:iCs/>
            <w:noProof/>
            <w:sz w:val="24"/>
            <w:szCs w:val="24"/>
          </w:rPr>
          <w:t>Tableau 23 : Fiche de déclaration d’Impact – Code 01</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172</w:t>
        </w:r>
        <w:r w:rsidR="00A86929" w:rsidRPr="00215867">
          <w:rPr>
            <w:rFonts w:ascii="Times New Roman" w:hAnsi="Times New Roman"/>
            <w:noProof/>
            <w:webHidden/>
            <w:sz w:val="24"/>
            <w:szCs w:val="24"/>
          </w:rPr>
          <w:fldChar w:fldCharType="end"/>
        </w:r>
      </w:hyperlink>
    </w:p>
    <w:p w14:paraId="38AA4A3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6" w:history="1">
        <w:r w:rsidR="00A86929" w:rsidRPr="00215867">
          <w:rPr>
            <w:rStyle w:val="Lienhypertexte"/>
            <w:rFonts w:ascii="Times New Roman" w:hAnsi="Times New Roman"/>
            <w:iCs/>
            <w:noProof/>
            <w:sz w:val="24"/>
            <w:szCs w:val="24"/>
          </w:rPr>
          <w:t>Tableau 24 : Fiche de déclaration d’Impact – Code 02</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173</w:t>
        </w:r>
        <w:r w:rsidR="00A86929" w:rsidRPr="00215867">
          <w:rPr>
            <w:rFonts w:ascii="Times New Roman" w:hAnsi="Times New Roman"/>
            <w:noProof/>
            <w:webHidden/>
            <w:sz w:val="24"/>
            <w:szCs w:val="24"/>
          </w:rPr>
          <w:fldChar w:fldCharType="end"/>
        </w:r>
      </w:hyperlink>
    </w:p>
    <w:p w14:paraId="77ED2D9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7" w:history="1">
        <w:r w:rsidR="00A86929" w:rsidRPr="00215867">
          <w:rPr>
            <w:rStyle w:val="Lienhypertexte"/>
            <w:rFonts w:ascii="Times New Roman" w:hAnsi="Times New Roman"/>
            <w:iCs/>
            <w:noProof/>
            <w:sz w:val="24"/>
            <w:szCs w:val="24"/>
          </w:rPr>
          <w:t>Tableau 25 : Fiche de déclaration d’Impact – Code 03</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174</w:t>
        </w:r>
        <w:r w:rsidR="00A86929" w:rsidRPr="00215867">
          <w:rPr>
            <w:rFonts w:ascii="Times New Roman" w:hAnsi="Times New Roman"/>
            <w:noProof/>
            <w:webHidden/>
            <w:sz w:val="24"/>
            <w:szCs w:val="24"/>
          </w:rPr>
          <w:fldChar w:fldCharType="end"/>
        </w:r>
      </w:hyperlink>
    </w:p>
    <w:p w14:paraId="60F9DF8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8" w:history="1">
        <w:r w:rsidR="00A86929" w:rsidRPr="00215867">
          <w:rPr>
            <w:rStyle w:val="Lienhypertexte"/>
            <w:rFonts w:ascii="Times New Roman" w:hAnsi="Times New Roman"/>
            <w:iCs/>
            <w:noProof/>
            <w:sz w:val="24"/>
            <w:szCs w:val="24"/>
          </w:rPr>
          <w:t>Tableau 26 : Fiche de déclaration d’Impact – Code 04</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175</w:t>
        </w:r>
        <w:r w:rsidR="00A86929" w:rsidRPr="00215867">
          <w:rPr>
            <w:rFonts w:ascii="Times New Roman" w:hAnsi="Times New Roman"/>
            <w:noProof/>
            <w:webHidden/>
            <w:sz w:val="24"/>
            <w:szCs w:val="24"/>
          </w:rPr>
          <w:fldChar w:fldCharType="end"/>
        </w:r>
      </w:hyperlink>
    </w:p>
    <w:p w14:paraId="6D002ACE"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89" w:history="1">
        <w:r w:rsidR="00A86929" w:rsidRPr="00215867">
          <w:rPr>
            <w:rStyle w:val="Lienhypertexte"/>
            <w:rFonts w:ascii="Times New Roman" w:hAnsi="Times New Roman"/>
            <w:iCs/>
            <w:noProof/>
            <w:sz w:val="24"/>
            <w:szCs w:val="24"/>
          </w:rPr>
          <w:t>Tableau 27 : Fiche de déclaration d’Impact – Code 05</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_Toc93050289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176</w:t>
        </w:r>
        <w:r w:rsidR="00A86929" w:rsidRPr="00215867">
          <w:rPr>
            <w:rFonts w:ascii="Times New Roman" w:hAnsi="Times New Roman"/>
            <w:noProof/>
            <w:webHidden/>
            <w:sz w:val="24"/>
            <w:szCs w:val="24"/>
          </w:rPr>
          <w:fldChar w:fldCharType="end"/>
        </w:r>
      </w:hyperlink>
    </w:p>
    <w:p w14:paraId="3A7723F6"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0" w:history="1">
        <w:r w:rsidR="00A86929" w:rsidRPr="00215867">
          <w:rPr>
            <w:rStyle w:val="Lienhypertexte"/>
            <w:rFonts w:ascii="Times New Roman" w:hAnsi="Times New Roman"/>
            <w:iCs/>
            <w:noProof/>
            <w:sz w:val="24"/>
            <w:szCs w:val="24"/>
          </w:rPr>
          <w:t>Tableau 28 : Fiche de déclaration d’Impact – Code 06</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177</w:t>
        </w:r>
        <w:r w:rsidR="00A86929" w:rsidRPr="00215867">
          <w:rPr>
            <w:rFonts w:ascii="Times New Roman" w:hAnsi="Times New Roman"/>
            <w:noProof/>
            <w:webHidden/>
            <w:sz w:val="24"/>
            <w:szCs w:val="24"/>
          </w:rPr>
          <w:fldChar w:fldCharType="end"/>
        </w:r>
      </w:hyperlink>
    </w:p>
    <w:p w14:paraId="07AB696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1" w:history="1">
        <w:r w:rsidR="00A86929" w:rsidRPr="00215867">
          <w:rPr>
            <w:rStyle w:val="Lienhypertexte"/>
            <w:rFonts w:ascii="Times New Roman" w:hAnsi="Times New Roman"/>
            <w:iCs/>
            <w:noProof/>
            <w:sz w:val="24"/>
            <w:szCs w:val="24"/>
          </w:rPr>
          <w:t>Tableau 29 : Fiche de déclaration d’Impact – Code 07</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178</w:t>
        </w:r>
        <w:r w:rsidR="00A86929" w:rsidRPr="00215867">
          <w:rPr>
            <w:rFonts w:ascii="Times New Roman" w:hAnsi="Times New Roman"/>
            <w:noProof/>
            <w:webHidden/>
            <w:sz w:val="24"/>
            <w:szCs w:val="24"/>
          </w:rPr>
          <w:fldChar w:fldCharType="end"/>
        </w:r>
      </w:hyperlink>
    </w:p>
    <w:p w14:paraId="55F7C134"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2" w:history="1">
        <w:r w:rsidR="00A86929" w:rsidRPr="00215867">
          <w:rPr>
            <w:rStyle w:val="Lienhypertexte"/>
            <w:rFonts w:ascii="Times New Roman" w:hAnsi="Times New Roman"/>
            <w:iCs/>
            <w:noProof/>
            <w:sz w:val="24"/>
            <w:szCs w:val="24"/>
          </w:rPr>
          <w:t>Tableau 30 : Fiche de déclaration d’Impact – Code 08</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179</w:t>
        </w:r>
        <w:r w:rsidR="00A86929" w:rsidRPr="00215867">
          <w:rPr>
            <w:rFonts w:ascii="Times New Roman" w:hAnsi="Times New Roman"/>
            <w:noProof/>
            <w:webHidden/>
            <w:sz w:val="24"/>
            <w:szCs w:val="24"/>
          </w:rPr>
          <w:fldChar w:fldCharType="end"/>
        </w:r>
      </w:hyperlink>
    </w:p>
    <w:p w14:paraId="1CBBBC7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3" w:history="1">
        <w:r w:rsidR="00A86929" w:rsidRPr="00215867">
          <w:rPr>
            <w:rStyle w:val="Lienhypertexte"/>
            <w:rFonts w:ascii="Times New Roman" w:hAnsi="Times New Roman"/>
            <w:iCs/>
            <w:noProof/>
            <w:sz w:val="24"/>
            <w:szCs w:val="24"/>
          </w:rPr>
          <w:t xml:space="preserve">Tableau 31 : </w:t>
        </w:r>
        <w:r w:rsidR="00A86929" w:rsidRPr="00215867">
          <w:rPr>
            <w:rStyle w:val="Lienhypertexte"/>
            <w:rFonts w:ascii="Times New Roman" w:hAnsi="Times New Roman"/>
            <w:noProof/>
            <w:sz w:val="24"/>
            <w:szCs w:val="24"/>
          </w:rPr>
          <w:t>Fiche de déclaration d’Impact – Code 09</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181</w:t>
        </w:r>
        <w:r w:rsidR="00A86929" w:rsidRPr="00215867">
          <w:rPr>
            <w:rFonts w:ascii="Times New Roman" w:hAnsi="Times New Roman"/>
            <w:noProof/>
            <w:webHidden/>
            <w:sz w:val="24"/>
            <w:szCs w:val="24"/>
          </w:rPr>
          <w:fldChar w:fldCharType="end"/>
        </w:r>
      </w:hyperlink>
    </w:p>
    <w:p w14:paraId="693ABDA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4" w:history="1">
        <w:r w:rsidR="00A86929" w:rsidRPr="00215867">
          <w:rPr>
            <w:rStyle w:val="Lienhypertexte"/>
            <w:rFonts w:ascii="Times New Roman" w:hAnsi="Times New Roman"/>
            <w:iCs/>
            <w:noProof/>
            <w:sz w:val="24"/>
            <w:szCs w:val="24"/>
          </w:rPr>
          <w:t>Tableau 32 : Fiche de déclaration d’Impact – Code 10</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182</w:t>
        </w:r>
        <w:r w:rsidR="00A86929" w:rsidRPr="00215867">
          <w:rPr>
            <w:rFonts w:ascii="Times New Roman" w:hAnsi="Times New Roman"/>
            <w:noProof/>
            <w:webHidden/>
            <w:sz w:val="24"/>
            <w:szCs w:val="24"/>
          </w:rPr>
          <w:fldChar w:fldCharType="end"/>
        </w:r>
      </w:hyperlink>
    </w:p>
    <w:p w14:paraId="0D8AC35B"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5" w:history="1">
        <w:r w:rsidR="00A86929" w:rsidRPr="00215867">
          <w:rPr>
            <w:rStyle w:val="Lienhypertexte"/>
            <w:rFonts w:ascii="Times New Roman" w:hAnsi="Times New Roman"/>
            <w:iCs/>
            <w:noProof/>
            <w:sz w:val="24"/>
            <w:szCs w:val="24"/>
          </w:rPr>
          <w:t>Tableau 33 : Fiche de déclaration d’Impact – Code 11</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183</w:t>
        </w:r>
        <w:r w:rsidR="00A86929" w:rsidRPr="00215867">
          <w:rPr>
            <w:rFonts w:ascii="Times New Roman" w:hAnsi="Times New Roman"/>
            <w:noProof/>
            <w:webHidden/>
            <w:sz w:val="24"/>
            <w:szCs w:val="24"/>
          </w:rPr>
          <w:fldChar w:fldCharType="end"/>
        </w:r>
      </w:hyperlink>
    </w:p>
    <w:p w14:paraId="1F752E1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6" w:history="1">
        <w:r w:rsidR="00A86929" w:rsidRPr="00215867">
          <w:rPr>
            <w:rStyle w:val="Lienhypertexte"/>
            <w:rFonts w:ascii="Times New Roman" w:hAnsi="Times New Roman"/>
            <w:noProof/>
            <w:sz w:val="24"/>
            <w:szCs w:val="24"/>
          </w:rPr>
          <w:t>Tableau 34:Fiche de déclaration d’Impact – Code 12</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184</w:t>
        </w:r>
        <w:r w:rsidR="00A86929" w:rsidRPr="00215867">
          <w:rPr>
            <w:rFonts w:ascii="Times New Roman" w:hAnsi="Times New Roman"/>
            <w:noProof/>
            <w:webHidden/>
            <w:sz w:val="24"/>
            <w:szCs w:val="24"/>
          </w:rPr>
          <w:fldChar w:fldCharType="end"/>
        </w:r>
      </w:hyperlink>
    </w:p>
    <w:p w14:paraId="6D74D18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7" w:history="1">
        <w:r w:rsidR="00A86929" w:rsidRPr="00215867">
          <w:rPr>
            <w:rStyle w:val="Lienhypertexte"/>
            <w:rFonts w:ascii="Times New Roman" w:hAnsi="Times New Roman"/>
            <w:noProof/>
            <w:sz w:val="24"/>
            <w:szCs w:val="24"/>
          </w:rPr>
          <w:t>Tableau 35 : Fiche de déclaration d’Impact – Code 13</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185</w:t>
        </w:r>
        <w:r w:rsidR="00A86929" w:rsidRPr="00215867">
          <w:rPr>
            <w:rFonts w:ascii="Times New Roman" w:hAnsi="Times New Roman"/>
            <w:noProof/>
            <w:webHidden/>
            <w:sz w:val="24"/>
            <w:szCs w:val="24"/>
          </w:rPr>
          <w:fldChar w:fldCharType="end"/>
        </w:r>
      </w:hyperlink>
    </w:p>
    <w:p w14:paraId="359757A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8" w:history="1">
        <w:r w:rsidR="00A86929" w:rsidRPr="00215867">
          <w:rPr>
            <w:rStyle w:val="Lienhypertexte"/>
            <w:rFonts w:ascii="Times New Roman" w:hAnsi="Times New Roman"/>
            <w:iCs/>
            <w:noProof/>
            <w:sz w:val="24"/>
            <w:szCs w:val="24"/>
          </w:rPr>
          <w:t xml:space="preserve">Tableau 36 : </w:t>
        </w:r>
        <w:r w:rsidR="00A86929" w:rsidRPr="00215867">
          <w:rPr>
            <w:rStyle w:val="Lienhypertexte"/>
            <w:rFonts w:ascii="Times New Roman" w:hAnsi="Times New Roman"/>
            <w:noProof/>
            <w:sz w:val="24"/>
            <w:szCs w:val="24"/>
          </w:rPr>
          <w:t>Fiche de déclaration d’Impact – Code 14</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186</w:t>
        </w:r>
        <w:r w:rsidR="00A86929" w:rsidRPr="00215867">
          <w:rPr>
            <w:rFonts w:ascii="Times New Roman" w:hAnsi="Times New Roman"/>
            <w:noProof/>
            <w:webHidden/>
            <w:sz w:val="24"/>
            <w:szCs w:val="24"/>
          </w:rPr>
          <w:fldChar w:fldCharType="end"/>
        </w:r>
      </w:hyperlink>
    </w:p>
    <w:p w14:paraId="0A0B58B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299" w:history="1">
        <w:r w:rsidR="00A86929" w:rsidRPr="00215867">
          <w:rPr>
            <w:rStyle w:val="Lienhypertexte"/>
            <w:rFonts w:ascii="Times New Roman" w:hAnsi="Times New Roman"/>
            <w:iCs/>
            <w:noProof/>
            <w:sz w:val="24"/>
            <w:szCs w:val="24"/>
          </w:rPr>
          <w:t>Tableau 37 : Fiche de déclaration d’Impact – Code 15</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_Toc93050299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187</w:t>
        </w:r>
        <w:r w:rsidR="00A86929" w:rsidRPr="00215867">
          <w:rPr>
            <w:rFonts w:ascii="Times New Roman" w:hAnsi="Times New Roman"/>
            <w:noProof/>
            <w:webHidden/>
            <w:sz w:val="24"/>
            <w:szCs w:val="24"/>
          </w:rPr>
          <w:fldChar w:fldCharType="end"/>
        </w:r>
      </w:hyperlink>
    </w:p>
    <w:p w14:paraId="70567E2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0" w:history="1">
        <w:r w:rsidR="00A86929" w:rsidRPr="00215867">
          <w:rPr>
            <w:rStyle w:val="Lienhypertexte"/>
            <w:rFonts w:ascii="Times New Roman" w:hAnsi="Times New Roman"/>
            <w:noProof/>
            <w:sz w:val="24"/>
            <w:szCs w:val="24"/>
            <w:lang w:eastAsia="fr-FR"/>
          </w:rPr>
          <w:t>Tableau 38 : Synthèse des impacts négatifs environnementaux de la variante avec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189</w:t>
        </w:r>
        <w:r w:rsidR="00A86929" w:rsidRPr="00215867">
          <w:rPr>
            <w:rFonts w:ascii="Times New Roman" w:hAnsi="Times New Roman"/>
            <w:noProof/>
            <w:webHidden/>
            <w:sz w:val="24"/>
            <w:szCs w:val="24"/>
          </w:rPr>
          <w:fldChar w:fldCharType="end"/>
        </w:r>
      </w:hyperlink>
    </w:p>
    <w:p w14:paraId="41318D2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1" w:history="1">
        <w:r w:rsidR="00A86929" w:rsidRPr="00215867">
          <w:rPr>
            <w:rStyle w:val="Lienhypertexte"/>
            <w:rFonts w:ascii="Times New Roman" w:hAnsi="Times New Roman"/>
            <w:iCs/>
            <w:noProof/>
            <w:sz w:val="24"/>
            <w:szCs w:val="24"/>
          </w:rPr>
          <w:t>Tableau 39 : Fiche de déclaration d’Impact – Code 16</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192</w:t>
        </w:r>
        <w:r w:rsidR="00A86929" w:rsidRPr="00215867">
          <w:rPr>
            <w:rFonts w:ascii="Times New Roman" w:hAnsi="Times New Roman"/>
            <w:noProof/>
            <w:webHidden/>
            <w:sz w:val="24"/>
            <w:szCs w:val="24"/>
          </w:rPr>
          <w:fldChar w:fldCharType="end"/>
        </w:r>
      </w:hyperlink>
    </w:p>
    <w:p w14:paraId="25020BC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2" w:history="1">
        <w:r w:rsidR="00A86929" w:rsidRPr="00215867">
          <w:rPr>
            <w:rStyle w:val="Lienhypertexte"/>
            <w:rFonts w:ascii="Times New Roman" w:hAnsi="Times New Roman"/>
            <w:iCs/>
            <w:noProof/>
            <w:sz w:val="24"/>
            <w:szCs w:val="24"/>
          </w:rPr>
          <w:t>Tableau 40 : Fiche de déclaration d’Impact – Code 17</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193</w:t>
        </w:r>
        <w:r w:rsidR="00A86929" w:rsidRPr="00215867">
          <w:rPr>
            <w:rFonts w:ascii="Times New Roman" w:hAnsi="Times New Roman"/>
            <w:noProof/>
            <w:webHidden/>
            <w:sz w:val="24"/>
            <w:szCs w:val="24"/>
          </w:rPr>
          <w:fldChar w:fldCharType="end"/>
        </w:r>
      </w:hyperlink>
    </w:p>
    <w:p w14:paraId="5A8ACAF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3" w:history="1">
        <w:r w:rsidR="00A86929" w:rsidRPr="00215867">
          <w:rPr>
            <w:rStyle w:val="Lienhypertexte"/>
            <w:rFonts w:ascii="Times New Roman" w:hAnsi="Times New Roman"/>
            <w:iCs/>
            <w:noProof/>
            <w:sz w:val="24"/>
            <w:szCs w:val="24"/>
          </w:rPr>
          <w:t>Tableau 41 : Fiche de déclaration d’Impact – Code 18</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194</w:t>
        </w:r>
        <w:r w:rsidR="00A86929" w:rsidRPr="00215867">
          <w:rPr>
            <w:rFonts w:ascii="Times New Roman" w:hAnsi="Times New Roman"/>
            <w:noProof/>
            <w:webHidden/>
            <w:sz w:val="24"/>
            <w:szCs w:val="24"/>
          </w:rPr>
          <w:fldChar w:fldCharType="end"/>
        </w:r>
      </w:hyperlink>
    </w:p>
    <w:p w14:paraId="1999B21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4" w:history="1">
        <w:r w:rsidR="00A86929" w:rsidRPr="00215867">
          <w:rPr>
            <w:rStyle w:val="Lienhypertexte"/>
            <w:rFonts w:ascii="Times New Roman" w:hAnsi="Times New Roman"/>
            <w:iCs/>
            <w:noProof/>
            <w:sz w:val="24"/>
            <w:szCs w:val="24"/>
          </w:rPr>
          <w:t>Tableau 42 : Fiche de déclaration d’Impact – Code 19</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195</w:t>
        </w:r>
        <w:r w:rsidR="00A86929" w:rsidRPr="00215867">
          <w:rPr>
            <w:rFonts w:ascii="Times New Roman" w:hAnsi="Times New Roman"/>
            <w:noProof/>
            <w:webHidden/>
            <w:sz w:val="24"/>
            <w:szCs w:val="24"/>
          </w:rPr>
          <w:fldChar w:fldCharType="end"/>
        </w:r>
      </w:hyperlink>
    </w:p>
    <w:p w14:paraId="3850D01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5" w:history="1">
        <w:r w:rsidR="00A86929" w:rsidRPr="00215867">
          <w:rPr>
            <w:rStyle w:val="Lienhypertexte"/>
            <w:rFonts w:ascii="Times New Roman" w:hAnsi="Times New Roman"/>
            <w:iCs/>
            <w:noProof/>
            <w:sz w:val="24"/>
            <w:szCs w:val="24"/>
          </w:rPr>
          <w:t>Tableau 43 : Fiche de déclaration d’Impact – Code 20</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196</w:t>
        </w:r>
        <w:r w:rsidR="00A86929" w:rsidRPr="00215867">
          <w:rPr>
            <w:rFonts w:ascii="Times New Roman" w:hAnsi="Times New Roman"/>
            <w:noProof/>
            <w:webHidden/>
            <w:sz w:val="24"/>
            <w:szCs w:val="24"/>
          </w:rPr>
          <w:fldChar w:fldCharType="end"/>
        </w:r>
      </w:hyperlink>
    </w:p>
    <w:p w14:paraId="0F4C4971"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6" w:history="1">
        <w:r w:rsidR="00A86929" w:rsidRPr="00215867">
          <w:rPr>
            <w:rStyle w:val="Lienhypertexte"/>
            <w:rFonts w:ascii="Times New Roman" w:hAnsi="Times New Roman"/>
            <w:iCs/>
            <w:noProof/>
            <w:sz w:val="24"/>
            <w:szCs w:val="24"/>
            <w:lang w:val="fr-CD"/>
          </w:rPr>
          <w:t>Tableau 44 : Fiche de déclaration d’Impact – Code 21</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197</w:t>
        </w:r>
        <w:r w:rsidR="00A86929" w:rsidRPr="00215867">
          <w:rPr>
            <w:rFonts w:ascii="Times New Roman" w:hAnsi="Times New Roman"/>
            <w:noProof/>
            <w:webHidden/>
            <w:sz w:val="24"/>
            <w:szCs w:val="24"/>
          </w:rPr>
          <w:fldChar w:fldCharType="end"/>
        </w:r>
      </w:hyperlink>
    </w:p>
    <w:p w14:paraId="7CAA3F47"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7" w:history="1">
        <w:r w:rsidR="00A86929" w:rsidRPr="00215867">
          <w:rPr>
            <w:rStyle w:val="Lienhypertexte"/>
            <w:rFonts w:ascii="Times New Roman" w:hAnsi="Times New Roman"/>
            <w:iCs/>
            <w:noProof/>
            <w:sz w:val="24"/>
            <w:szCs w:val="24"/>
            <w:lang w:val="fr-CD"/>
          </w:rPr>
          <w:t>Tableau 45 : Fiche de déclaration d’Impact – Code 22</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198</w:t>
        </w:r>
        <w:r w:rsidR="00A86929" w:rsidRPr="00215867">
          <w:rPr>
            <w:rFonts w:ascii="Times New Roman" w:hAnsi="Times New Roman"/>
            <w:noProof/>
            <w:webHidden/>
            <w:sz w:val="24"/>
            <w:szCs w:val="24"/>
          </w:rPr>
          <w:fldChar w:fldCharType="end"/>
        </w:r>
      </w:hyperlink>
    </w:p>
    <w:p w14:paraId="2A4A6EB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8" w:history="1">
        <w:r w:rsidR="00A86929" w:rsidRPr="00215867">
          <w:rPr>
            <w:rStyle w:val="Lienhypertexte"/>
            <w:rFonts w:ascii="Times New Roman" w:hAnsi="Times New Roman"/>
            <w:iCs/>
            <w:noProof/>
            <w:sz w:val="24"/>
            <w:szCs w:val="24"/>
            <w:lang w:val="fr-CD"/>
          </w:rPr>
          <w:t>Tableau 46 : Fiche de déclaration d’Impact – Code 23</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199</w:t>
        </w:r>
        <w:r w:rsidR="00A86929" w:rsidRPr="00215867">
          <w:rPr>
            <w:rFonts w:ascii="Times New Roman" w:hAnsi="Times New Roman"/>
            <w:noProof/>
            <w:webHidden/>
            <w:sz w:val="24"/>
            <w:szCs w:val="24"/>
          </w:rPr>
          <w:fldChar w:fldCharType="end"/>
        </w:r>
      </w:hyperlink>
    </w:p>
    <w:p w14:paraId="0486604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09" w:history="1">
        <w:r w:rsidR="00A86929" w:rsidRPr="00215867">
          <w:rPr>
            <w:rStyle w:val="Lienhypertexte"/>
            <w:rFonts w:ascii="Times New Roman" w:hAnsi="Times New Roman"/>
            <w:iCs/>
            <w:noProof/>
            <w:sz w:val="24"/>
            <w:szCs w:val="24"/>
          </w:rPr>
          <w:t>Tableau 47 : Fiche de déclaration d’Impact – Code 24</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_Toc93050309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200</w:t>
        </w:r>
        <w:r w:rsidR="00A86929" w:rsidRPr="00215867">
          <w:rPr>
            <w:rFonts w:ascii="Times New Roman" w:hAnsi="Times New Roman"/>
            <w:noProof/>
            <w:webHidden/>
            <w:sz w:val="24"/>
            <w:szCs w:val="24"/>
          </w:rPr>
          <w:fldChar w:fldCharType="end"/>
        </w:r>
      </w:hyperlink>
    </w:p>
    <w:p w14:paraId="3228A96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0" w:history="1">
        <w:r w:rsidR="00A86929" w:rsidRPr="00215867">
          <w:rPr>
            <w:rStyle w:val="Lienhypertexte"/>
            <w:rFonts w:ascii="Times New Roman" w:hAnsi="Times New Roman"/>
            <w:noProof/>
            <w:sz w:val="24"/>
            <w:szCs w:val="24"/>
          </w:rPr>
          <w:t>Tableau 48 : Synthèse des impacts négatifs sociaux de la variante avec le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202</w:t>
        </w:r>
        <w:r w:rsidR="00A86929" w:rsidRPr="00215867">
          <w:rPr>
            <w:rFonts w:ascii="Times New Roman" w:hAnsi="Times New Roman"/>
            <w:noProof/>
            <w:webHidden/>
            <w:sz w:val="24"/>
            <w:szCs w:val="24"/>
          </w:rPr>
          <w:fldChar w:fldCharType="end"/>
        </w:r>
      </w:hyperlink>
    </w:p>
    <w:p w14:paraId="5CF6FEC6"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1" w:history="1">
        <w:r w:rsidR="00A86929" w:rsidRPr="00215867">
          <w:rPr>
            <w:rStyle w:val="Lienhypertexte"/>
            <w:rFonts w:ascii="Times New Roman" w:hAnsi="Times New Roman"/>
            <w:noProof/>
            <w:sz w:val="24"/>
            <w:szCs w:val="24"/>
          </w:rPr>
          <w:t xml:space="preserve">Tableau 49 : </w:t>
        </w:r>
        <w:r w:rsidR="00A86929" w:rsidRPr="00215867">
          <w:rPr>
            <w:rStyle w:val="Lienhypertexte"/>
            <w:rFonts w:ascii="Times New Roman" w:eastAsia="Times New Roman" w:hAnsi="Times New Roman"/>
            <w:bCs/>
            <w:noProof/>
            <w:sz w:val="24"/>
            <w:szCs w:val="24"/>
          </w:rPr>
          <w:t>Niveaux des facteurs de la grille d’évaluation des risques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205</w:t>
        </w:r>
        <w:r w:rsidR="00A86929" w:rsidRPr="00215867">
          <w:rPr>
            <w:rFonts w:ascii="Times New Roman" w:hAnsi="Times New Roman"/>
            <w:noProof/>
            <w:webHidden/>
            <w:sz w:val="24"/>
            <w:szCs w:val="24"/>
          </w:rPr>
          <w:fldChar w:fldCharType="end"/>
        </w:r>
      </w:hyperlink>
    </w:p>
    <w:p w14:paraId="0A98DA8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r:id="rId19" w:anchor="_Toc93050312" w:history="1">
        <w:r w:rsidR="00A86929" w:rsidRPr="00215867">
          <w:rPr>
            <w:rStyle w:val="Lienhypertexte"/>
            <w:rFonts w:ascii="Times New Roman" w:hAnsi="Times New Roman"/>
            <w:noProof/>
            <w:sz w:val="24"/>
            <w:szCs w:val="24"/>
          </w:rPr>
          <w:t>Tableau 50 : Signification des couleurs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206</w:t>
        </w:r>
        <w:r w:rsidR="00A86929" w:rsidRPr="00215867">
          <w:rPr>
            <w:rFonts w:ascii="Times New Roman" w:hAnsi="Times New Roman"/>
            <w:noProof/>
            <w:webHidden/>
            <w:sz w:val="24"/>
            <w:szCs w:val="24"/>
          </w:rPr>
          <w:fldChar w:fldCharType="end"/>
        </w:r>
      </w:hyperlink>
    </w:p>
    <w:p w14:paraId="25045CC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r:id="rId20" w:anchor="_Toc93050313" w:history="1">
        <w:r w:rsidR="00A86929" w:rsidRPr="00215867">
          <w:rPr>
            <w:rStyle w:val="Lienhypertexte"/>
            <w:rFonts w:ascii="Times New Roman" w:hAnsi="Times New Roman"/>
            <w:noProof/>
            <w:sz w:val="24"/>
            <w:szCs w:val="24"/>
          </w:rPr>
          <w:t>Tableau 51 :</w:t>
        </w:r>
        <w:r w:rsidR="00A86929" w:rsidRPr="00215867">
          <w:rPr>
            <w:rStyle w:val="Lienhypertexte"/>
            <w:rFonts w:ascii="Times New Roman" w:eastAsia="Times New Roman" w:hAnsi="Times New Roman"/>
            <w:bCs/>
            <w:noProof/>
            <w:sz w:val="24"/>
            <w:szCs w:val="24"/>
          </w:rPr>
          <w:t xml:space="preserve"> Grille d’évaluation des risques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206</w:t>
        </w:r>
        <w:r w:rsidR="00A86929" w:rsidRPr="00215867">
          <w:rPr>
            <w:rFonts w:ascii="Times New Roman" w:hAnsi="Times New Roman"/>
            <w:noProof/>
            <w:webHidden/>
            <w:sz w:val="24"/>
            <w:szCs w:val="24"/>
          </w:rPr>
          <w:fldChar w:fldCharType="end"/>
        </w:r>
      </w:hyperlink>
    </w:p>
    <w:p w14:paraId="3367780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4" w:history="1">
        <w:r w:rsidR="00A86929" w:rsidRPr="00215867">
          <w:rPr>
            <w:rStyle w:val="Lienhypertexte"/>
            <w:rFonts w:ascii="Times New Roman" w:hAnsi="Times New Roman"/>
            <w:noProof/>
            <w:sz w:val="24"/>
            <w:szCs w:val="24"/>
          </w:rPr>
          <w:t>Tableau 52. Impacts positifs cumulatifs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219</w:t>
        </w:r>
        <w:r w:rsidR="00A86929" w:rsidRPr="00215867">
          <w:rPr>
            <w:rFonts w:ascii="Times New Roman" w:hAnsi="Times New Roman"/>
            <w:noProof/>
            <w:webHidden/>
            <w:sz w:val="24"/>
            <w:szCs w:val="24"/>
          </w:rPr>
          <w:fldChar w:fldCharType="end"/>
        </w:r>
      </w:hyperlink>
    </w:p>
    <w:p w14:paraId="2373D665"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5" w:history="1">
        <w:r w:rsidR="00A86929" w:rsidRPr="00215867">
          <w:rPr>
            <w:rStyle w:val="Lienhypertexte"/>
            <w:rFonts w:ascii="Times New Roman" w:hAnsi="Times New Roman"/>
            <w:noProof/>
            <w:sz w:val="24"/>
            <w:szCs w:val="24"/>
          </w:rPr>
          <w:t>Tableau 53. Impacts négatifs cumulatifs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221</w:t>
        </w:r>
        <w:r w:rsidR="00A86929" w:rsidRPr="00215867">
          <w:rPr>
            <w:rFonts w:ascii="Times New Roman" w:hAnsi="Times New Roman"/>
            <w:noProof/>
            <w:webHidden/>
            <w:sz w:val="24"/>
            <w:szCs w:val="24"/>
          </w:rPr>
          <w:fldChar w:fldCharType="end"/>
        </w:r>
      </w:hyperlink>
    </w:p>
    <w:p w14:paraId="2DF4A93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6" w:history="1">
        <w:r w:rsidR="00A86929" w:rsidRPr="00215867">
          <w:rPr>
            <w:rStyle w:val="Lienhypertexte"/>
            <w:rFonts w:ascii="Times New Roman" w:hAnsi="Times New Roman"/>
            <w:noProof/>
            <w:sz w:val="24"/>
            <w:szCs w:val="24"/>
          </w:rPr>
          <w:t>Tableau 54 : Analyse des impacts résiduels et mesures d’atténuation</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223</w:t>
        </w:r>
        <w:r w:rsidR="00A86929" w:rsidRPr="00215867">
          <w:rPr>
            <w:rFonts w:ascii="Times New Roman" w:hAnsi="Times New Roman"/>
            <w:noProof/>
            <w:webHidden/>
            <w:sz w:val="24"/>
            <w:szCs w:val="24"/>
          </w:rPr>
          <w:fldChar w:fldCharType="end"/>
        </w:r>
      </w:hyperlink>
    </w:p>
    <w:p w14:paraId="1E0CC2F4"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7" w:history="1">
        <w:r w:rsidR="00A86929" w:rsidRPr="00215867">
          <w:rPr>
            <w:rStyle w:val="Lienhypertexte"/>
            <w:rFonts w:ascii="Times New Roman" w:hAnsi="Times New Roman"/>
            <w:noProof/>
            <w:sz w:val="24"/>
            <w:szCs w:val="24"/>
          </w:rPr>
          <w:t>Tableau 55 : Calendrier des consultations publiques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233</w:t>
        </w:r>
        <w:r w:rsidR="00A86929" w:rsidRPr="00215867">
          <w:rPr>
            <w:rFonts w:ascii="Times New Roman" w:hAnsi="Times New Roman"/>
            <w:noProof/>
            <w:webHidden/>
            <w:sz w:val="24"/>
            <w:szCs w:val="24"/>
          </w:rPr>
          <w:fldChar w:fldCharType="end"/>
        </w:r>
      </w:hyperlink>
    </w:p>
    <w:p w14:paraId="6A9FDCE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8" w:history="1">
        <w:r w:rsidR="00A86929" w:rsidRPr="00215867">
          <w:rPr>
            <w:rStyle w:val="Lienhypertexte"/>
            <w:rFonts w:ascii="Times New Roman" w:hAnsi="Times New Roman"/>
            <w:noProof/>
            <w:sz w:val="24"/>
            <w:szCs w:val="24"/>
          </w:rPr>
          <w:t>Tableau 56 : Synthèse des réactions et recommandations par rapport aux impacts directs clés du projet lors de la consultation publique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235</w:t>
        </w:r>
        <w:r w:rsidR="00A86929" w:rsidRPr="00215867">
          <w:rPr>
            <w:rFonts w:ascii="Times New Roman" w:hAnsi="Times New Roman"/>
            <w:noProof/>
            <w:webHidden/>
            <w:sz w:val="24"/>
            <w:szCs w:val="24"/>
          </w:rPr>
          <w:fldChar w:fldCharType="end"/>
        </w:r>
      </w:hyperlink>
    </w:p>
    <w:p w14:paraId="11EAC16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19" w:history="1">
        <w:r w:rsidR="00A86929" w:rsidRPr="00215867">
          <w:rPr>
            <w:rStyle w:val="Lienhypertexte"/>
            <w:rFonts w:ascii="Times New Roman" w:hAnsi="Times New Roman"/>
            <w:noProof/>
            <w:sz w:val="24"/>
            <w:szCs w:val="24"/>
          </w:rPr>
          <w:t>Tableau 57 : Synthèse des préoccupations /craintes et suggestions des populations lors des consultations publiques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_Toc93050319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239</w:t>
        </w:r>
        <w:r w:rsidR="00A86929" w:rsidRPr="00215867">
          <w:rPr>
            <w:rFonts w:ascii="Times New Roman" w:hAnsi="Times New Roman"/>
            <w:noProof/>
            <w:webHidden/>
            <w:sz w:val="24"/>
            <w:szCs w:val="24"/>
          </w:rPr>
          <w:fldChar w:fldCharType="end"/>
        </w:r>
      </w:hyperlink>
    </w:p>
    <w:p w14:paraId="760AF97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0" w:history="1">
        <w:r w:rsidR="00A86929" w:rsidRPr="00215867">
          <w:rPr>
            <w:rStyle w:val="Lienhypertexte"/>
            <w:rFonts w:ascii="Times New Roman" w:hAnsi="Times New Roman"/>
            <w:noProof/>
            <w:sz w:val="24"/>
            <w:szCs w:val="24"/>
          </w:rPr>
          <w:t>Tableau 58 : Matrice de synthèse des mesures de bonification des effets positifs du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241</w:t>
        </w:r>
        <w:r w:rsidR="00A86929" w:rsidRPr="00215867">
          <w:rPr>
            <w:rFonts w:ascii="Times New Roman" w:hAnsi="Times New Roman"/>
            <w:noProof/>
            <w:webHidden/>
            <w:sz w:val="24"/>
            <w:szCs w:val="24"/>
          </w:rPr>
          <w:fldChar w:fldCharType="end"/>
        </w:r>
      </w:hyperlink>
    </w:p>
    <w:p w14:paraId="1E122587"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1" w:history="1">
        <w:r w:rsidR="00A86929" w:rsidRPr="00215867">
          <w:rPr>
            <w:rStyle w:val="Lienhypertexte"/>
            <w:rFonts w:ascii="Times New Roman" w:hAnsi="Times New Roman"/>
            <w:noProof/>
            <w:sz w:val="24"/>
            <w:szCs w:val="24"/>
          </w:rPr>
          <w:t>Tableau 59 : Matrice de synthèse des mesures d’atténuation sur le plan environnemental</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243</w:t>
        </w:r>
        <w:r w:rsidR="00A86929" w:rsidRPr="00215867">
          <w:rPr>
            <w:rFonts w:ascii="Times New Roman" w:hAnsi="Times New Roman"/>
            <w:noProof/>
            <w:webHidden/>
            <w:sz w:val="24"/>
            <w:szCs w:val="24"/>
          </w:rPr>
          <w:fldChar w:fldCharType="end"/>
        </w:r>
      </w:hyperlink>
    </w:p>
    <w:p w14:paraId="39365BE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2" w:history="1">
        <w:r w:rsidR="00A86929" w:rsidRPr="00215867">
          <w:rPr>
            <w:rStyle w:val="Lienhypertexte"/>
            <w:rFonts w:ascii="Times New Roman" w:hAnsi="Times New Roman"/>
            <w:noProof/>
            <w:sz w:val="24"/>
            <w:szCs w:val="24"/>
          </w:rPr>
          <w:t>Tableau 60 : Matrice de synthèse des mesures d’atténuation des aspects sociaux négatifs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260</w:t>
        </w:r>
        <w:r w:rsidR="00A86929" w:rsidRPr="00215867">
          <w:rPr>
            <w:rFonts w:ascii="Times New Roman" w:hAnsi="Times New Roman"/>
            <w:noProof/>
            <w:webHidden/>
            <w:sz w:val="24"/>
            <w:szCs w:val="24"/>
          </w:rPr>
          <w:fldChar w:fldCharType="end"/>
        </w:r>
      </w:hyperlink>
    </w:p>
    <w:p w14:paraId="75714931"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3" w:history="1">
        <w:r w:rsidR="00A86929" w:rsidRPr="00215867">
          <w:rPr>
            <w:rStyle w:val="Lienhypertexte"/>
            <w:rFonts w:ascii="Times New Roman" w:hAnsi="Times New Roman"/>
            <w:noProof/>
            <w:sz w:val="24"/>
            <w:szCs w:val="24"/>
          </w:rPr>
          <w:t>Tableau 61. Mesures d’atténuation des impacts négatifs cumulatifs génériques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265</w:t>
        </w:r>
        <w:r w:rsidR="00A86929" w:rsidRPr="00215867">
          <w:rPr>
            <w:rFonts w:ascii="Times New Roman" w:hAnsi="Times New Roman"/>
            <w:noProof/>
            <w:webHidden/>
            <w:sz w:val="24"/>
            <w:szCs w:val="24"/>
          </w:rPr>
          <w:fldChar w:fldCharType="end"/>
        </w:r>
      </w:hyperlink>
    </w:p>
    <w:p w14:paraId="1611E28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4" w:history="1">
        <w:r w:rsidR="00A86929" w:rsidRPr="00215867">
          <w:rPr>
            <w:rStyle w:val="Lienhypertexte"/>
            <w:rFonts w:ascii="Times New Roman" w:hAnsi="Times New Roman"/>
            <w:noProof/>
            <w:sz w:val="24"/>
            <w:szCs w:val="24"/>
          </w:rPr>
          <w:t>Tableau 62 : Matrice d’analyse des risques technologiques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267</w:t>
        </w:r>
        <w:r w:rsidR="00A86929" w:rsidRPr="00215867">
          <w:rPr>
            <w:rFonts w:ascii="Times New Roman" w:hAnsi="Times New Roman"/>
            <w:noProof/>
            <w:webHidden/>
            <w:sz w:val="24"/>
            <w:szCs w:val="24"/>
          </w:rPr>
          <w:fldChar w:fldCharType="end"/>
        </w:r>
      </w:hyperlink>
    </w:p>
    <w:p w14:paraId="472CF78A"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5" w:history="1">
        <w:r w:rsidR="00A86929" w:rsidRPr="00215867">
          <w:rPr>
            <w:rStyle w:val="Lienhypertexte"/>
            <w:rFonts w:ascii="Times New Roman" w:hAnsi="Times New Roman"/>
            <w:noProof/>
            <w:sz w:val="24"/>
            <w:szCs w:val="24"/>
          </w:rPr>
          <w:t>Tableau 63 : Matrice d’analyse des risques naturels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269</w:t>
        </w:r>
        <w:r w:rsidR="00A86929" w:rsidRPr="00215867">
          <w:rPr>
            <w:rFonts w:ascii="Times New Roman" w:hAnsi="Times New Roman"/>
            <w:noProof/>
            <w:webHidden/>
            <w:sz w:val="24"/>
            <w:szCs w:val="24"/>
          </w:rPr>
          <w:fldChar w:fldCharType="end"/>
        </w:r>
      </w:hyperlink>
    </w:p>
    <w:p w14:paraId="23214B71"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6" w:history="1">
        <w:r w:rsidR="00A86929" w:rsidRPr="00215867">
          <w:rPr>
            <w:rStyle w:val="Lienhypertexte"/>
            <w:rFonts w:ascii="Times New Roman" w:hAnsi="Times New Roman"/>
            <w:noProof/>
            <w:sz w:val="24"/>
            <w:szCs w:val="24"/>
          </w:rPr>
          <w:t>Tableau 64 : suivi des indicateurs clés retenus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285</w:t>
        </w:r>
        <w:r w:rsidR="00A86929" w:rsidRPr="00215867">
          <w:rPr>
            <w:rFonts w:ascii="Times New Roman" w:hAnsi="Times New Roman"/>
            <w:noProof/>
            <w:webHidden/>
            <w:sz w:val="24"/>
            <w:szCs w:val="24"/>
          </w:rPr>
          <w:fldChar w:fldCharType="end"/>
        </w:r>
      </w:hyperlink>
    </w:p>
    <w:p w14:paraId="4F57ED84"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7" w:history="1">
        <w:r w:rsidR="00A86929" w:rsidRPr="00215867">
          <w:rPr>
            <w:rStyle w:val="Lienhypertexte"/>
            <w:rFonts w:ascii="Times New Roman" w:hAnsi="Times New Roman"/>
            <w:noProof/>
            <w:sz w:val="24"/>
            <w:szCs w:val="24"/>
          </w:rPr>
          <w:t>Tableau 65 : Répartition des responsabilités dans le PHSS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286</w:t>
        </w:r>
        <w:r w:rsidR="00A86929" w:rsidRPr="00215867">
          <w:rPr>
            <w:rFonts w:ascii="Times New Roman" w:hAnsi="Times New Roman"/>
            <w:noProof/>
            <w:webHidden/>
            <w:sz w:val="24"/>
            <w:szCs w:val="24"/>
          </w:rPr>
          <w:fldChar w:fldCharType="end"/>
        </w:r>
      </w:hyperlink>
    </w:p>
    <w:p w14:paraId="7B3FB505"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8" w:history="1">
        <w:r w:rsidR="00A86929" w:rsidRPr="00215867">
          <w:rPr>
            <w:rStyle w:val="Lienhypertexte"/>
            <w:rFonts w:ascii="Times New Roman" w:hAnsi="Times New Roman"/>
            <w:noProof/>
            <w:sz w:val="24"/>
            <w:szCs w:val="24"/>
          </w:rPr>
          <w:t>Tableau 66: EPI nécessaires au chantier et aux types de travaux</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288</w:t>
        </w:r>
        <w:r w:rsidR="00A86929" w:rsidRPr="00215867">
          <w:rPr>
            <w:rFonts w:ascii="Times New Roman" w:hAnsi="Times New Roman"/>
            <w:noProof/>
            <w:webHidden/>
            <w:sz w:val="24"/>
            <w:szCs w:val="24"/>
          </w:rPr>
          <w:fldChar w:fldCharType="end"/>
        </w:r>
      </w:hyperlink>
    </w:p>
    <w:p w14:paraId="5610796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29" w:history="1">
        <w:r w:rsidR="00A86929" w:rsidRPr="00215867">
          <w:rPr>
            <w:rStyle w:val="Lienhypertexte"/>
            <w:rFonts w:ascii="Times New Roman" w:hAnsi="Times New Roman"/>
            <w:noProof/>
            <w:sz w:val="24"/>
            <w:szCs w:val="24"/>
          </w:rPr>
          <w:t xml:space="preserve">Tableau 67: </w:t>
        </w:r>
        <w:r w:rsidR="00A86929" w:rsidRPr="00215867">
          <w:rPr>
            <w:rStyle w:val="Lienhypertexte"/>
            <w:rFonts w:ascii="Times New Roman" w:eastAsia="Arial" w:hAnsi="Times New Roman"/>
            <w:noProof/>
            <w:sz w:val="24"/>
            <w:szCs w:val="24"/>
          </w:rPr>
          <w:t>Mesures d’atténuation envisagées afin de réduire au minimum les impacts sur la biodiversité</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_Toc93050329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291</w:t>
        </w:r>
        <w:r w:rsidR="00A86929" w:rsidRPr="00215867">
          <w:rPr>
            <w:rFonts w:ascii="Times New Roman" w:hAnsi="Times New Roman"/>
            <w:noProof/>
            <w:webHidden/>
            <w:sz w:val="24"/>
            <w:szCs w:val="24"/>
          </w:rPr>
          <w:fldChar w:fldCharType="end"/>
        </w:r>
      </w:hyperlink>
    </w:p>
    <w:p w14:paraId="510D3BC1"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0" w:history="1">
        <w:r w:rsidR="00A86929" w:rsidRPr="00215867">
          <w:rPr>
            <w:rStyle w:val="Lienhypertexte"/>
            <w:rFonts w:ascii="Times New Roman" w:hAnsi="Times New Roman"/>
            <w:noProof/>
            <w:sz w:val="24"/>
            <w:szCs w:val="24"/>
          </w:rPr>
          <w:t>Tableau 68: Indicateurs  de suivi de performance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296</w:t>
        </w:r>
        <w:r w:rsidR="00A86929" w:rsidRPr="00215867">
          <w:rPr>
            <w:rFonts w:ascii="Times New Roman" w:hAnsi="Times New Roman"/>
            <w:noProof/>
            <w:webHidden/>
            <w:sz w:val="24"/>
            <w:szCs w:val="24"/>
          </w:rPr>
          <w:fldChar w:fldCharType="end"/>
        </w:r>
      </w:hyperlink>
    </w:p>
    <w:p w14:paraId="03BA39D4"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1" w:history="1">
        <w:r w:rsidR="00A86929" w:rsidRPr="00215867">
          <w:rPr>
            <w:rStyle w:val="Lienhypertexte"/>
            <w:rFonts w:ascii="Times New Roman" w:hAnsi="Times New Roman"/>
            <w:noProof/>
            <w:sz w:val="24"/>
            <w:szCs w:val="24"/>
          </w:rPr>
          <w:t>Tableau 69: Méthode et dispositif de surveillance environnementale et sociale du PGES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298</w:t>
        </w:r>
        <w:r w:rsidR="00A86929" w:rsidRPr="00215867">
          <w:rPr>
            <w:rFonts w:ascii="Times New Roman" w:hAnsi="Times New Roman"/>
            <w:noProof/>
            <w:webHidden/>
            <w:sz w:val="24"/>
            <w:szCs w:val="24"/>
          </w:rPr>
          <w:fldChar w:fldCharType="end"/>
        </w:r>
      </w:hyperlink>
    </w:p>
    <w:p w14:paraId="1A491DE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2" w:history="1">
        <w:r w:rsidR="00A86929" w:rsidRPr="00215867">
          <w:rPr>
            <w:rStyle w:val="Lienhypertexte"/>
            <w:rFonts w:ascii="Times New Roman" w:hAnsi="Times New Roman"/>
            <w:noProof/>
            <w:sz w:val="24"/>
            <w:szCs w:val="24"/>
          </w:rPr>
          <w:t>Tableau 70 : Programme de surveillance environnementale du PGES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300</w:t>
        </w:r>
        <w:r w:rsidR="00A86929" w:rsidRPr="00215867">
          <w:rPr>
            <w:rFonts w:ascii="Times New Roman" w:hAnsi="Times New Roman"/>
            <w:noProof/>
            <w:webHidden/>
            <w:sz w:val="24"/>
            <w:szCs w:val="24"/>
          </w:rPr>
          <w:fldChar w:fldCharType="end"/>
        </w:r>
      </w:hyperlink>
    </w:p>
    <w:p w14:paraId="020D275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3" w:history="1">
        <w:r w:rsidR="00A86929" w:rsidRPr="00215867">
          <w:rPr>
            <w:rStyle w:val="Lienhypertexte"/>
            <w:rFonts w:ascii="Times New Roman" w:hAnsi="Times New Roman"/>
            <w:noProof/>
            <w:sz w:val="24"/>
            <w:szCs w:val="24"/>
          </w:rPr>
          <w:t>Tableau 71 : Programme de suivi environnemental</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305</w:t>
        </w:r>
        <w:r w:rsidR="00A86929" w:rsidRPr="00215867">
          <w:rPr>
            <w:rFonts w:ascii="Times New Roman" w:hAnsi="Times New Roman"/>
            <w:noProof/>
            <w:webHidden/>
            <w:sz w:val="24"/>
            <w:szCs w:val="24"/>
          </w:rPr>
          <w:fldChar w:fldCharType="end"/>
        </w:r>
      </w:hyperlink>
    </w:p>
    <w:p w14:paraId="4DAB418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4" w:history="1">
        <w:r w:rsidR="00A86929" w:rsidRPr="00215867">
          <w:rPr>
            <w:rStyle w:val="Lienhypertexte"/>
            <w:rFonts w:ascii="Times New Roman" w:hAnsi="Times New Roman"/>
            <w:noProof/>
            <w:sz w:val="24"/>
            <w:szCs w:val="24"/>
          </w:rPr>
          <w:t>Tableau 72 : Formation proposée pour différentes parties prenantes du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305</w:t>
        </w:r>
        <w:r w:rsidR="00A86929" w:rsidRPr="00215867">
          <w:rPr>
            <w:rFonts w:ascii="Times New Roman" w:hAnsi="Times New Roman"/>
            <w:noProof/>
            <w:webHidden/>
            <w:sz w:val="24"/>
            <w:szCs w:val="24"/>
          </w:rPr>
          <w:fldChar w:fldCharType="end"/>
        </w:r>
      </w:hyperlink>
    </w:p>
    <w:p w14:paraId="3DFE64E3"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335" w:history="1">
        <w:r w:rsidR="00A86929" w:rsidRPr="00215867">
          <w:rPr>
            <w:rStyle w:val="Lienhypertexte"/>
            <w:rFonts w:ascii="Times New Roman" w:hAnsi="Times New Roman"/>
            <w:noProof/>
            <w:sz w:val="24"/>
            <w:szCs w:val="24"/>
          </w:rPr>
          <w:t>Tableau 73 : Budget de mise en œuvre du PGES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_Toc93050335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312</w:t>
        </w:r>
        <w:r w:rsidR="00A86929" w:rsidRPr="00215867">
          <w:rPr>
            <w:rFonts w:ascii="Times New Roman" w:hAnsi="Times New Roman"/>
            <w:noProof/>
            <w:webHidden/>
            <w:sz w:val="24"/>
            <w:szCs w:val="24"/>
          </w:rPr>
          <w:fldChar w:fldCharType="end"/>
        </w:r>
      </w:hyperlink>
    </w:p>
    <w:p w14:paraId="6EDE024D" w14:textId="007109E8" w:rsidR="00FB563A" w:rsidRPr="00D75D2E" w:rsidRDefault="00ED17F3" w:rsidP="00215867">
      <w:pPr>
        <w:jc w:val="both"/>
        <w:rPr>
          <w:rFonts w:ascii="Times New Roman" w:hAnsi="Times New Roman"/>
        </w:rPr>
      </w:pPr>
      <w:r w:rsidRPr="004D24BE">
        <w:rPr>
          <w:rFonts w:ascii="Times New Roman" w:hAnsi="Times New Roman"/>
          <w:sz w:val="24"/>
          <w:szCs w:val="24"/>
        </w:rPr>
        <w:fldChar w:fldCharType="end"/>
      </w:r>
    </w:p>
    <w:p w14:paraId="560B339D" w14:textId="77777777" w:rsidR="00FB563A" w:rsidRPr="00D75D2E" w:rsidRDefault="00FB563A">
      <w:pPr>
        <w:rPr>
          <w:rFonts w:ascii="Times New Roman" w:hAnsi="Times New Roman"/>
        </w:rPr>
      </w:pPr>
      <w:r w:rsidRPr="00D75D2E">
        <w:rPr>
          <w:rFonts w:ascii="Times New Roman" w:hAnsi="Times New Roman"/>
        </w:rPr>
        <w:br w:type="page"/>
      </w:r>
    </w:p>
    <w:p w14:paraId="06C800C1" w14:textId="2051751C" w:rsidR="00ED17F3" w:rsidRPr="00B334B1" w:rsidRDefault="00ED17F3">
      <w:pPr>
        <w:pStyle w:val="Titre1"/>
        <w:numPr>
          <w:ilvl w:val="0"/>
          <w:numId w:val="0"/>
        </w:numPr>
        <w:spacing w:before="0" w:after="120"/>
        <w:ind w:left="431" w:hanging="431"/>
        <w:rPr>
          <w:szCs w:val="24"/>
          <w:lang w:val="en-US"/>
        </w:rPr>
      </w:pPr>
      <w:bookmarkStart w:id="16" w:name="_Toc518587709"/>
      <w:bookmarkStart w:id="17" w:name="_Toc16663454"/>
      <w:bookmarkStart w:id="18" w:name="_Toc16663628"/>
      <w:bookmarkStart w:id="19" w:name="_Toc103685590"/>
      <w:bookmarkEnd w:id="12"/>
      <w:bookmarkEnd w:id="13"/>
      <w:bookmarkEnd w:id="14"/>
      <w:bookmarkEnd w:id="15"/>
      <w:r w:rsidRPr="007E5A67">
        <w:rPr>
          <w:szCs w:val="24"/>
          <w:lang w:val="en-US"/>
        </w:rPr>
        <w:t>LISTE DES PHOTOS</w:t>
      </w:r>
      <w:bookmarkEnd w:id="16"/>
      <w:bookmarkEnd w:id="17"/>
      <w:bookmarkEnd w:id="18"/>
      <w:bookmarkEnd w:id="19"/>
    </w:p>
    <w:p w14:paraId="17E731DB" w14:textId="77777777" w:rsidR="00A86929" w:rsidRPr="00215867" w:rsidRDefault="00ED17F3">
      <w:pPr>
        <w:pStyle w:val="Tabledesillustrations"/>
        <w:tabs>
          <w:tab w:val="right" w:leader="dot" w:pos="9054"/>
        </w:tabs>
        <w:rPr>
          <w:rFonts w:ascii="Times New Roman" w:eastAsia="Times New Roman" w:hAnsi="Times New Roman"/>
          <w:noProof/>
          <w:sz w:val="24"/>
          <w:szCs w:val="24"/>
          <w:lang w:val="en-US"/>
        </w:rPr>
      </w:pPr>
      <w:r w:rsidRPr="00215867">
        <w:rPr>
          <w:rStyle w:val="Lienhypertexte"/>
          <w:rFonts w:ascii="Times New Roman" w:hAnsi="Times New Roman"/>
          <w:noProof/>
          <w:color w:val="auto"/>
          <w:sz w:val="24"/>
          <w:szCs w:val="24"/>
        </w:rPr>
        <w:fldChar w:fldCharType="begin"/>
      </w:r>
      <w:r w:rsidRPr="00A86929">
        <w:rPr>
          <w:rStyle w:val="Lienhypertexte"/>
          <w:rFonts w:ascii="Times New Roman" w:hAnsi="Times New Roman"/>
          <w:noProof/>
          <w:color w:val="auto"/>
          <w:sz w:val="24"/>
          <w:szCs w:val="24"/>
        </w:rPr>
        <w:instrText xml:space="preserve"> TOC \h \z \c "Photo" </w:instrText>
      </w:r>
      <w:r w:rsidRPr="00215867">
        <w:rPr>
          <w:rStyle w:val="Lienhypertexte"/>
          <w:rFonts w:ascii="Times New Roman" w:hAnsi="Times New Roman"/>
          <w:noProof/>
          <w:color w:val="auto"/>
          <w:sz w:val="24"/>
          <w:szCs w:val="24"/>
        </w:rPr>
        <w:fldChar w:fldCharType="separate"/>
      </w:r>
      <w:hyperlink w:anchor="_Toc93050576" w:history="1">
        <w:r w:rsidR="00A86929" w:rsidRPr="00215867">
          <w:rPr>
            <w:rStyle w:val="Lienhypertexte"/>
            <w:rFonts w:ascii="Times New Roman" w:hAnsi="Times New Roman"/>
            <w:noProof/>
            <w:sz w:val="24"/>
            <w:szCs w:val="24"/>
          </w:rPr>
          <w:t>Photo 1: Zone d'éboulement dans la commune de Mont - Ngafula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_Toc93050576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153</w:t>
        </w:r>
        <w:r w:rsidR="00A86929" w:rsidRPr="00215867">
          <w:rPr>
            <w:rFonts w:ascii="Times New Roman" w:hAnsi="Times New Roman"/>
            <w:noProof/>
            <w:webHidden/>
            <w:sz w:val="24"/>
            <w:szCs w:val="24"/>
          </w:rPr>
          <w:fldChar w:fldCharType="end"/>
        </w:r>
      </w:hyperlink>
    </w:p>
    <w:p w14:paraId="1B704EF7"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77" w:history="1">
        <w:r w:rsidR="00A86929" w:rsidRPr="00215867">
          <w:rPr>
            <w:rStyle w:val="Lienhypertexte"/>
            <w:rFonts w:ascii="Times New Roman" w:hAnsi="Times New Roman"/>
            <w:noProof/>
            <w:sz w:val="24"/>
            <w:szCs w:val="24"/>
          </w:rPr>
          <w:t>Photo 2: Etat de l'érosion dans la commune de Mont-Ngafula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_Toc93050577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153</w:t>
        </w:r>
        <w:r w:rsidR="00A86929" w:rsidRPr="00215867">
          <w:rPr>
            <w:rFonts w:ascii="Times New Roman" w:hAnsi="Times New Roman"/>
            <w:noProof/>
            <w:webHidden/>
            <w:sz w:val="24"/>
            <w:szCs w:val="24"/>
          </w:rPr>
          <w:fldChar w:fldCharType="end"/>
        </w:r>
      </w:hyperlink>
    </w:p>
    <w:p w14:paraId="3E921A3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78" w:history="1">
        <w:r w:rsidR="00A86929" w:rsidRPr="00215867">
          <w:rPr>
            <w:rStyle w:val="Lienhypertexte"/>
            <w:rFonts w:ascii="Times New Roman" w:hAnsi="Times New Roman"/>
            <w:noProof/>
            <w:sz w:val="24"/>
            <w:szCs w:val="24"/>
          </w:rPr>
          <w:t>Photo 3: dépotoir d'ordure sauvage dans la nature commune de Ngaliema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_Toc93050578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153</w:t>
        </w:r>
        <w:r w:rsidR="00A86929" w:rsidRPr="00215867">
          <w:rPr>
            <w:rFonts w:ascii="Times New Roman" w:hAnsi="Times New Roman"/>
            <w:noProof/>
            <w:webHidden/>
            <w:sz w:val="24"/>
            <w:szCs w:val="24"/>
          </w:rPr>
          <w:fldChar w:fldCharType="end"/>
        </w:r>
      </w:hyperlink>
    </w:p>
    <w:p w14:paraId="0605A56D"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79" w:history="1">
        <w:r w:rsidR="00A86929" w:rsidRPr="00215867">
          <w:rPr>
            <w:rStyle w:val="Lienhypertexte"/>
            <w:rFonts w:ascii="Times New Roman" w:hAnsi="Times New Roman"/>
            <w:noProof/>
            <w:sz w:val="24"/>
            <w:szCs w:val="24"/>
          </w:rPr>
          <w:t>Photo 4: Gros arbres situé dans l’emprise de la ligne électrique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_Toc93050579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154</w:t>
        </w:r>
        <w:r w:rsidR="00A86929" w:rsidRPr="00215867">
          <w:rPr>
            <w:rFonts w:ascii="Times New Roman" w:hAnsi="Times New Roman"/>
            <w:noProof/>
            <w:webHidden/>
            <w:sz w:val="24"/>
            <w:szCs w:val="24"/>
          </w:rPr>
          <w:fldChar w:fldCharType="end"/>
        </w:r>
      </w:hyperlink>
    </w:p>
    <w:p w14:paraId="21A80577"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0" w:history="1">
        <w:r w:rsidR="00A86929" w:rsidRPr="00215867">
          <w:rPr>
            <w:rStyle w:val="Lienhypertexte"/>
            <w:rFonts w:ascii="Times New Roman" w:hAnsi="Times New Roman"/>
            <w:noProof/>
            <w:sz w:val="24"/>
            <w:szCs w:val="24"/>
          </w:rPr>
          <w:t>Photo 5: Etat de la vétusté des anciennes installations</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154</w:t>
        </w:r>
        <w:r w:rsidR="00A86929" w:rsidRPr="00215867">
          <w:rPr>
            <w:rFonts w:ascii="Times New Roman" w:hAnsi="Times New Roman"/>
            <w:noProof/>
            <w:webHidden/>
            <w:sz w:val="24"/>
            <w:szCs w:val="24"/>
          </w:rPr>
          <w:fldChar w:fldCharType="end"/>
        </w:r>
      </w:hyperlink>
    </w:p>
    <w:p w14:paraId="45E668EB"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1" w:history="1">
        <w:r w:rsidR="00A86929" w:rsidRPr="00215867">
          <w:rPr>
            <w:rStyle w:val="Lienhypertexte"/>
            <w:rFonts w:ascii="Times New Roman" w:hAnsi="Times New Roman"/>
            <w:noProof/>
            <w:sz w:val="24"/>
            <w:szCs w:val="24"/>
          </w:rPr>
          <w:t>Photo 6: Entretien des lignes sans un minimum d'EPI par une femme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154</w:t>
        </w:r>
        <w:r w:rsidR="00A86929" w:rsidRPr="00215867">
          <w:rPr>
            <w:rFonts w:ascii="Times New Roman" w:hAnsi="Times New Roman"/>
            <w:noProof/>
            <w:webHidden/>
            <w:sz w:val="24"/>
            <w:szCs w:val="24"/>
          </w:rPr>
          <w:fldChar w:fldCharType="end"/>
        </w:r>
      </w:hyperlink>
    </w:p>
    <w:p w14:paraId="3353CC2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2" w:history="1">
        <w:r w:rsidR="00A86929" w:rsidRPr="00215867">
          <w:rPr>
            <w:rStyle w:val="Lienhypertexte"/>
            <w:rFonts w:ascii="Times New Roman" w:hAnsi="Times New Roman"/>
            <w:noProof/>
            <w:sz w:val="24"/>
            <w:szCs w:val="24"/>
          </w:rPr>
          <w:t>Photo 7 : Consultation publique à la communale de Ngaliema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230</w:t>
        </w:r>
        <w:r w:rsidR="00A86929" w:rsidRPr="00215867">
          <w:rPr>
            <w:rFonts w:ascii="Times New Roman" w:hAnsi="Times New Roman"/>
            <w:noProof/>
            <w:webHidden/>
            <w:sz w:val="24"/>
            <w:szCs w:val="24"/>
          </w:rPr>
          <w:fldChar w:fldCharType="end"/>
        </w:r>
      </w:hyperlink>
    </w:p>
    <w:p w14:paraId="30CC94CB"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3" w:history="1">
        <w:r w:rsidR="00A86929" w:rsidRPr="00215867">
          <w:rPr>
            <w:rStyle w:val="Lienhypertexte"/>
            <w:rFonts w:ascii="Times New Roman" w:hAnsi="Times New Roman"/>
            <w:noProof/>
            <w:sz w:val="24"/>
            <w:szCs w:val="24"/>
          </w:rPr>
          <w:t>Photo 8 : Photo de famille à l’issue de la consultation publique à la Mairie de Mont-Ngafula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230</w:t>
        </w:r>
        <w:r w:rsidR="00A86929" w:rsidRPr="00215867">
          <w:rPr>
            <w:rFonts w:ascii="Times New Roman" w:hAnsi="Times New Roman"/>
            <w:noProof/>
            <w:webHidden/>
            <w:sz w:val="24"/>
            <w:szCs w:val="24"/>
          </w:rPr>
          <w:fldChar w:fldCharType="end"/>
        </w:r>
      </w:hyperlink>
    </w:p>
    <w:p w14:paraId="3374FD4C"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4" w:history="1">
        <w:r w:rsidR="00A86929" w:rsidRPr="00215867">
          <w:rPr>
            <w:rStyle w:val="Lienhypertexte"/>
            <w:rFonts w:ascii="Times New Roman" w:hAnsi="Times New Roman"/>
            <w:noProof/>
            <w:sz w:val="24"/>
            <w:szCs w:val="24"/>
          </w:rPr>
          <w:t>Photo 9 : Consultation publique avec les personnes vivant avec un handicap à la Commune de Ngaliema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2A262660"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5" w:history="1">
        <w:r w:rsidR="00A86929" w:rsidRPr="00215867">
          <w:rPr>
            <w:rStyle w:val="Lienhypertexte"/>
            <w:rFonts w:ascii="Times New Roman" w:hAnsi="Times New Roman"/>
            <w:noProof/>
            <w:sz w:val="24"/>
            <w:szCs w:val="24"/>
          </w:rPr>
          <w:t>Photo 10 : Consultation publique à la Commune de Kalamu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149AFB95"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6" w:history="1">
        <w:r w:rsidR="00A86929" w:rsidRPr="00215867">
          <w:rPr>
            <w:rStyle w:val="Lienhypertexte"/>
            <w:rFonts w:ascii="Times New Roman" w:hAnsi="Times New Roman"/>
            <w:noProof/>
            <w:sz w:val="24"/>
            <w:szCs w:val="24"/>
          </w:rPr>
          <w:t>Photo 11 : Consultation publique à la Commune de Bandalungwa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18B23A47"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7" w:history="1">
        <w:r w:rsidR="00A86929" w:rsidRPr="00215867">
          <w:rPr>
            <w:rStyle w:val="Lienhypertexte"/>
            <w:rFonts w:ascii="Times New Roman" w:hAnsi="Times New Roman"/>
            <w:noProof/>
            <w:sz w:val="24"/>
            <w:szCs w:val="24"/>
          </w:rPr>
          <w:t>Photo 12 : Consultation publique à la Commune de Barumbu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087283A6"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8" w:history="1">
        <w:r w:rsidR="00A86929" w:rsidRPr="00215867">
          <w:rPr>
            <w:rStyle w:val="Lienhypertexte"/>
            <w:rFonts w:ascii="Times New Roman" w:hAnsi="Times New Roman"/>
            <w:noProof/>
            <w:sz w:val="24"/>
            <w:szCs w:val="24"/>
          </w:rPr>
          <w:t>Photo 13 : Consultation publique à la Commune de Kitambo</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2C31203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89" w:history="1">
        <w:r w:rsidR="00A86929" w:rsidRPr="00215867">
          <w:rPr>
            <w:rStyle w:val="Lienhypertexte"/>
            <w:rFonts w:ascii="Times New Roman" w:hAnsi="Times New Roman"/>
            <w:noProof/>
            <w:sz w:val="24"/>
            <w:szCs w:val="24"/>
          </w:rPr>
          <w:t>Photo 14 : Consultation publique à la Commune de Ngiri-Ngiri</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_Toc93050589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231</w:t>
        </w:r>
        <w:r w:rsidR="00A86929" w:rsidRPr="00215867">
          <w:rPr>
            <w:rFonts w:ascii="Times New Roman" w:hAnsi="Times New Roman"/>
            <w:noProof/>
            <w:webHidden/>
            <w:sz w:val="24"/>
            <w:szCs w:val="24"/>
          </w:rPr>
          <w:fldChar w:fldCharType="end"/>
        </w:r>
      </w:hyperlink>
    </w:p>
    <w:p w14:paraId="352C1248" w14:textId="0885394D" w:rsidR="00ED17F3" w:rsidRPr="00215867" w:rsidRDefault="00ED17F3" w:rsidP="00215867">
      <w:pPr>
        <w:spacing w:after="0"/>
        <w:rPr>
          <w:rStyle w:val="Lienhypertexte"/>
          <w:rFonts w:ascii="Times New Roman" w:hAnsi="Times New Roman"/>
          <w:noProof/>
          <w:color w:val="auto"/>
          <w:sz w:val="24"/>
          <w:szCs w:val="24"/>
        </w:rPr>
      </w:pPr>
      <w:r w:rsidRPr="00215867">
        <w:rPr>
          <w:rStyle w:val="Lienhypertexte"/>
          <w:rFonts w:ascii="Times New Roman" w:hAnsi="Times New Roman"/>
          <w:noProof/>
          <w:color w:val="auto"/>
          <w:sz w:val="24"/>
          <w:szCs w:val="24"/>
        </w:rPr>
        <w:fldChar w:fldCharType="end"/>
      </w:r>
      <w:bookmarkStart w:id="20" w:name="_Toc452538195"/>
      <w:bookmarkStart w:id="21" w:name="_Toc518587710"/>
      <w:bookmarkStart w:id="22" w:name="_Toc16663455"/>
      <w:bookmarkStart w:id="23" w:name="_Toc16663629"/>
    </w:p>
    <w:p w14:paraId="76C629DF" w14:textId="54D27A04" w:rsidR="00DF0D88" w:rsidRPr="00B334B1" w:rsidRDefault="00DF0D88">
      <w:pPr>
        <w:pStyle w:val="Titre1"/>
        <w:numPr>
          <w:ilvl w:val="0"/>
          <w:numId w:val="0"/>
        </w:numPr>
        <w:spacing w:before="0" w:after="120"/>
        <w:ind w:left="431" w:hanging="431"/>
        <w:rPr>
          <w:szCs w:val="24"/>
          <w:lang w:val="en-US"/>
        </w:rPr>
      </w:pPr>
      <w:bookmarkStart w:id="24" w:name="_Toc103685591"/>
      <w:r w:rsidRPr="007E5A67">
        <w:rPr>
          <w:szCs w:val="24"/>
          <w:lang w:val="en-US"/>
        </w:rPr>
        <w:t>LISTE DES FUGURES</w:t>
      </w:r>
      <w:bookmarkEnd w:id="24"/>
      <w:r w:rsidRPr="007E5A67">
        <w:rPr>
          <w:szCs w:val="24"/>
          <w:lang w:val="en-US"/>
        </w:rPr>
        <w:t xml:space="preserve"> </w:t>
      </w:r>
    </w:p>
    <w:p w14:paraId="77718907" w14:textId="77777777" w:rsidR="00A86929" w:rsidRPr="00215867" w:rsidRDefault="00E97814">
      <w:pPr>
        <w:pStyle w:val="Tabledesillustrations"/>
        <w:tabs>
          <w:tab w:val="right" w:leader="dot" w:pos="9054"/>
        </w:tabs>
        <w:rPr>
          <w:rFonts w:ascii="Times New Roman" w:eastAsia="Times New Roman" w:hAnsi="Times New Roman"/>
          <w:noProof/>
          <w:sz w:val="24"/>
          <w:szCs w:val="24"/>
          <w:lang w:val="en-US"/>
        </w:rPr>
      </w:pPr>
      <w:r w:rsidRPr="00215867">
        <w:rPr>
          <w:rFonts w:ascii="Times New Roman" w:hAnsi="Times New Roman"/>
          <w:sz w:val="24"/>
          <w:szCs w:val="24"/>
        </w:rPr>
        <w:fldChar w:fldCharType="begin"/>
      </w:r>
      <w:r w:rsidRPr="00215867">
        <w:rPr>
          <w:rFonts w:ascii="Times New Roman" w:hAnsi="Times New Roman"/>
          <w:sz w:val="24"/>
          <w:szCs w:val="24"/>
        </w:rPr>
        <w:instrText xml:space="preserve"> TOC \h \z \c "Figure" </w:instrText>
      </w:r>
      <w:r w:rsidRPr="00215867">
        <w:rPr>
          <w:rFonts w:ascii="Times New Roman" w:hAnsi="Times New Roman"/>
          <w:sz w:val="24"/>
          <w:szCs w:val="24"/>
        </w:rPr>
        <w:fldChar w:fldCharType="separate"/>
      </w:r>
      <w:hyperlink w:anchor="_Toc93050528" w:history="1">
        <w:r w:rsidR="00A86929" w:rsidRPr="00215867">
          <w:rPr>
            <w:rStyle w:val="Lienhypertexte"/>
            <w:rFonts w:ascii="Times New Roman" w:hAnsi="Times New Roman"/>
            <w:noProof/>
            <w:sz w:val="24"/>
            <w:szCs w:val="24"/>
          </w:rPr>
          <w:t>Figure 1 : Localisation de la zone d’intervention du sous projet</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_Toc93050528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124</w:t>
        </w:r>
        <w:r w:rsidR="00A86929" w:rsidRPr="00215867">
          <w:rPr>
            <w:rFonts w:ascii="Times New Roman" w:hAnsi="Times New Roman"/>
            <w:noProof/>
            <w:webHidden/>
            <w:sz w:val="24"/>
            <w:szCs w:val="24"/>
          </w:rPr>
          <w:fldChar w:fldCharType="end"/>
        </w:r>
      </w:hyperlink>
    </w:p>
    <w:p w14:paraId="59A2D198"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29" w:history="1">
        <w:r w:rsidR="00A86929" w:rsidRPr="00215867">
          <w:rPr>
            <w:rStyle w:val="Lienhypertexte"/>
            <w:rFonts w:ascii="Times New Roman" w:hAnsi="Times New Roman"/>
            <w:iCs/>
            <w:noProof/>
            <w:sz w:val="24"/>
            <w:szCs w:val="24"/>
          </w:rPr>
          <w:t>Figure 2</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Carte administrative de la ville province de Kinshasa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_Toc93050529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134</w:t>
        </w:r>
        <w:r w:rsidR="00A86929" w:rsidRPr="00215867">
          <w:rPr>
            <w:rFonts w:ascii="Times New Roman" w:hAnsi="Times New Roman"/>
            <w:noProof/>
            <w:webHidden/>
            <w:sz w:val="24"/>
            <w:szCs w:val="24"/>
          </w:rPr>
          <w:fldChar w:fldCharType="end"/>
        </w:r>
      </w:hyperlink>
    </w:p>
    <w:p w14:paraId="564F9E64"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0" w:history="1">
        <w:r w:rsidR="00A86929" w:rsidRPr="00215867">
          <w:rPr>
            <w:rStyle w:val="Lienhypertexte"/>
            <w:rFonts w:ascii="Times New Roman" w:hAnsi="Times New Roman"/>
            <w:iCs/>
            <w:noProof/>
            <w:sz w:val="24"/>
            <w:szCs w:val="24"/>
          </w:rPr>
          <w:t>Figure 3</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w:t>
        </w:r>
        <w:r w:rsidR="00A86929" w:rsidRPr="00215867">
          <w:rPr>
            <w:rStyle w:val="Lienhypertexte"/>
            <w:rFonts w:ascii="Times New Roman" w:hAnsi="Times New Roman"/>
            <w:noProof/>
            <w:sz w:val="24"/>
            <w:szCs w:val="24"/>
            <w:lang w:val="fr-CD"/>
          </w:rPr>
          <w:t>Carte d’occupation des sols dans la province de Kinshasa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_Toc93050530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135</w:t>
        </w:r>
        <w:r w:rsidR="00A86929" w:rsidRPr="00215867">
          <w:rPr>
            <w:rFonts w:ascii="Times New Roman" w:hAnsi="Times New Roman"/>
            <w:noProof/>
            <w:webHidden/>
            <w:sz w:val="24"/>
            <w:szCs w:val="24"/>
          </w:rPr>
          <w:fldChar w:fldCharType="end"/>
        </w:r>
      </w:hyperlink>
    </w:p>
    <w:p w14:paraId="477C4AEE"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1" w:history="1">
        <w:r w:rsidR="00A86929" w:rsidRPr="00215867">
          <w:rPr>
            <w:rStyle w:val="Lienhypertexte"/>
            <w:rFonts w:ascii="Times New Roman" w:hAnsi="Times New Roman"/>
            <w:iCs/>
            <w:noProof/>
            <w:sz w:val="24"/>
            <w:szCs w:val="24"/>
          </w:rPr>
          <w:t>Figure 4</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w:t>
        </w:r>
        <w:r w:rsidR="00A86929" w:rsidRPr="00215867">
          <w:rPr>
            <w:rStyle w:val="Lienhypertexte"/>
            <w:rFonts w:ascii="Times New Roman" w:hAnsi="Times New Roman"/>
            <w:noProof/>
            <w:sz w:val="24"/>
            <w:szCs w:val="24"/>
            <w:lang w:val="fr-CD"/>
          </w:rPr>
          <w:t xml:space="preserve"> Carte hydrographique de la ville de Kinshasa</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_Toc93050531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136</w:t>
        </w:r>
        <w:r w:rsidR="00A86929" w:rsidRPr="00215867">
          <w:rPr>
            <w:rFonts w:ascii="Times New Roman" w:hAnsi="Times New Roman"/>
            <w:noProof/>
            <w:webHidden/>
            <w:sz w:val="24"/>
            <w:szCs w:val="24"/>
          </w:rPr>
          <w:fldChar w:fldCharType="end"/>
        </w:r>
      </w:hyperlink>
    </w:p>
    <w:p w14:paraId="065355D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2" w:history="1">
        <w:r w:rsidR="00A86929" w:rsidRPr="00215867">
          <w:rPr>
            <w:rStyle w:val="Lienhypertexte"/>
            <w:rFonts w:ascii="Times New Roman" w:hAnsi="Times New Roman"/>
            <w:iCs/>
            <w:noProof/>
            <w:sz w:val="24"/>
            <w:szCs w:val="24"/>
          </w:rPr>
          <w:t>Figure 5</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w:t>
        </w:r>
        <w:r w:rsidR="00A86929" w:rsidRPr="00215867">
          <w:rPr>
            <w:rStyle w:val="Lienhypertexte"/>
            <w:rFonts w:ascii="Times New Roman" w:hAnsi="Times New Roman"/>
            <w:noProof/>
            <w:sz w:val="24"/>
            <w:szCs w:val="24"/>
            <w:lang w:val="fr-CD"/>
          </w:rPr>
          <w:t>Carte de distribution spatiale des ravins inventoriés à Kinshasa en 2007</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_Toc93050532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136</w:t>
        </w:r>
        <w:r w:rsidR="00A86929" w:rsidRPr="00215867">
          <w:rPr>
            <w:rFonts w:ascii="Times New Roman" w:hAnsi="Times New Roman"/>
            <w:noProof/>
            <w:webHidden/>
            <w:sz w:val="24"/>
            <w:szCs w:val="24"/>
          </w:rPr>
          <w:fldChar w:fldCharType="end"/>
        </w:r>
      </w:hyperlink>
    </w:p>
    <w:p w14:paraId="4610061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3" w:history="1">
        <w:r w:rsidR="00A86929" w:rsidRPr="00215867">
          <w:rPr>
            <w:rStyle w:val="Lienhypertexte"/>
            <w:rFonts w:ascii="Times New Roman" w:hAnsi="Times New Roman"/>
            <w:noProof/>
            <w:sz w:val="24"/>
            <w:szCs w:val="24"/>
            <w:lang w:val="fr-CD" w:eastAsia="fr-FR"/>
          </w:rPr>
          <w:t xml:space="preserve">Figure </w:t>
        </w:r>
        <w:r w:rsidR="00A86929" w:rsidRPr="00215867">
          <w:rPr>
            <w:rStyle w:val="Lienhypertexte"/>
            <w:rFonts w:ascii="Times New Roman" w:hAnsi="Times New Roman"/>
            <w:iCs/>
            <w:noProof/>
            <w:sz w:val="24"/>
            <w:szCs w:val="24"/>
          </w:rPr>
          <w:t>6</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w:t>
        </w:r>
        <w:r w:rsidR="00A86929" w:rsidRPr="00215867">
          <w:rPr>
            <w:rStyle w:val="Lienhypertexte"/>
            <w:rFonts w:ascii="Times New Roman" w:hAnsi="Times New Roman"/>
            <w:noProof/>
            <w:sz w:val="24"/>
            <w:szCs w:val="24"/>
            <w:lang w:val="fr-CD"/>
          </w:rPr>
          <w:t>Carte de localisation du domaine de chasse et réserve de Bombo-Lumene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_Toc93050533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137</w:t>
        </w:r>
        <w:r w:rsidR="00A86929" w:rsidRPr="00215867">
          <w:rPr>
            <w:rFonts w:ascii="Times New Roman" w:hAnsi="Times New Roman"/>
            <w:noProof/>
            <w:webHidden/>
            <w:sz w:val="24"/>
            <w:szCs w:val="24"/>
          </w:rPr>
          <w:fldChar w:fldCharType="end"/>
        </w:r>
      </w:hyperlink>
    </w:p>
    <w:p w14:paraId="6FC6B86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4" w:history="1">
        <w:r w:rsidR="00A86929" w:rsidRPr="00215867">
          <w:rPr>
            <w:rStyle w:val="Lienhypertexte"/>
            <w:rFonts w:ascii="Times New Roman" w:hAnsi="Times New Roman"/>
            <w:noProof/>
            <w:sz w:val="24"/>
            <w:szCs w:val="24"/>
          </w:rPr>
          <w:t>Figure 7. Procédé fabrication du béton</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_Toc93050534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143</w:t>
        </w:r>
        <w:r w:rsidR="00A86929" w:rsidRPr="00215867">
          <w:rPr>
            <w:rFonts w:ascii="Times New Roman" w:hAnsi="Times New Roman"/>
            <w:noProof/>
            <w:webHidden/>
            <w:sz w:val="24"/>
            <w:szCs w:val="24"/>
          </w:rPr>
          <w:fldChar w:fldCharType="end"/>
        </w:r>
      </w:hyperlink>
    </w:p>
    <w:p w14:paraId="359C767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5" w:history="1">
        <w:r w:rsidR="00A86929" w:rsidRPr="00215867">
          <w:rPr>
            <w:rStyle w:val="Lienhypertexte"/>
            <w:rFonts w:ascii="Times New Roman" w:hAnsi="Times New Roman"/>
            <w:iCs/>
            <w:noProof/>
            <w:sz w:val="24"/>
            <w:szCs w:val="24"/>
          </w:rPr>
          <w:t>Figure 8</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Vue satellitaire du Quartier Kimvula/Mitendi</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_Toc93050535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145</w:t>
        </w:r>
        <w:r w:rsidR="00A86929" w:rsidRPr="00215867">
          <w:rPr>
            <w:rFonts w:ascii="Times New Roman" w:hAnsi="Times New Roman"/>
            <w:noProof/>
            <w:webHidden/>
            <w:sz w:val="24"/>
            <w:szCs w:val="24"/>
          </w:rPr>
          <w:fldChar w:fldCharType="end"/>
        </w:r>
      </w:hyperlink>
    </w:p>
    <w:p w14:paraId="4E7AB962"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6" w:history="1">
        <w:r w:rsidR="00A86929" w:rsidRPr="00215867">
          <w:rPr>
            <w:rStyle w:val="Lienhypertexte"/>
            <w:rFonts w:ascii="Times New Roman" w:hAnsi="Times New Roman"/>
            <w:iCs/>
            <w:noProof/>
            <w:sz w:val="24"/>
            <w:szCs w:val="24"/>
          </w:rPr>
          <w:t>Figure 9</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Gros plan (à droite) sur la station de prélèvement de la source artésienne de Matsuku</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_Toc93050536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145</w:t>
        </w:r>
        <w:r w:rsidR="00A86929" w:rsidRPr="00215867">
          <w:rPr>
            <w:rFonts w:ascii="Times New Roman" w:hAnsi="Times New Roman"/>
            <w:noProof/>
            <w:webHidden/>
            <w:sz w:val="24"/>
            <w:szCs w:val="24"/>
          </w:rPr>
          <w:fldChar w:fldCharType="end"/>
        </w:r>
      </w:hyperlink>
    </w:p>
    <w:p w14:paraId="5526B6DF"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7" w:history="1">
        <w:r w:rsidR="00A86929" w:rsidRPr="00215867">
          <w:rPr>
            <w:rStyle w:val="Lienhypertexte"/>
            <w:rFonts w:ascii="Times New Roman" w:hAnsi="Times New Roman"/>
            <w:iCs/>
            <w:noProof/>
            <w:sz w:val="24"/>
            <w:szCs w:val="24"/>
          </w:rPr>
          <w:t>Figure 10</w:t>
        </w:r>
        <w:r w:rsidR="00A86929" w:rsidRPr="00215867">
          <w:rPr>
            <w:rStyle w:val="Lienhypertexte"/>
            <w:rFonts w:ascii="Times New Roman" w:hAnsi="Times New Roman"/>
            <w:noProof/>
            <w:sz w:val="24"/>
            <w:szCs w:val="24"/>
          </w:rPr>
          <w:t>.</w:t>
        </w:r>
        <w:r w:rsidR="00A86929" w:rsidRPr="00215867">
          <w:rPr>
            <w:rStyle w:val="Lienhypertexte"/>
            <w:rFonts w:ascii="Times New Roman" w:hAnsi="Times New Roman"/>
            <w:iCs/>
            <w:noProof/>
            <w:sz w:val="24"/>
            <w:szCs w:val="24"/>
          </w:rPr>
          <w:t xml:space="preserve"> Vue en 3D de la station de prélèvement Matsuku (en rouge tracé ligne MT EASE)</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_Toc93050537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145</w:t>
        </w:r>
        <w:r w:rsidR="00A86929" w:rsidRPr="00215867">
          <w:rPr>
            <w:rFonts w:ascii="Times New Roman" w:hAnsi="Times New Roman"/>
            <w:noProof/>
            <w:webHidden/>
            <w:sz w:val="24"/>
            <w:szCs w:val="24"/>
          </w:rPr>
          <w:fldChar w:fldCharType="end"/>
        </w:r>
      </w:hyperlink>
    </w:p>
    <w:p w14:paraId="494273C9" w14:textId="77777777" w:rsidR="00A86929" w:rsidRPr="00215867" w:rsidRDefault="004C0F64">
      <w:pPr>
        <w:pStyle w:val="Tabledesillustrations"/>
        <w:tabs>
          <w:tab w:val="right" w:leader="dot" w:pos="9054"/>
        </w:tabs>
        <w:rPr>
          <w:rFonts w:ascii="Times New Roman" w:eastAsia="Times New Roman" w:hAnsi="Times New Roman"/>
          <w:noProof/>
          <w:sz w:val="24"/>
          <w:szCs w:val="24"/>
          <w:lang w:val="en-US"/>
        </w:rPr>
      </w:pPr>
      <w:hyperlink w:anchor="_Toc93050538" w:history="1">
        <w:r w:rsidR="00A86929" w:rsidRPr="00215867">
          <w:rPr>
            <w:rStyle w:val="Lienhypertexte"/>
            <w:rFonts w:ascii="Times New Roman" w:hAnsi="Times New Roman"/>
            <w:noProof/>
            <w:sz w:val="24"/>
            <w:szCs w:val="24"/>
          </w:rPr>
          <w:t>Figure 11 : Organigramme des fonctions du MGP</w:t>
        </w:r>
        <w:r w:rsidR="00A86929" w:rsidRPr="00215867">
          <w:rPr>
            <w:rFonts w:ascii="Times New Roman" w:hAnsi="Times New Roman"/>
            <w:noProof/>
            <w:webHidden/>
            <w:sz w:val="24"/>
            <w:szCs w:val="24"/>
          </w:rPr>
          <w:tab/>
        </w:r>
        <w:r w:rsidR="00A86929" w:rsidRPr="00215867">
          <w:rPr>
            <w:rFonts w:ascii="Times New Roman" w:hAnsi="Times New Roman"/>
            <w:noProof/>
            <w:webHidden/>
            <w:sz w:val="24"/>
            <w:szCs w:val="24"/>
          </w:rPr>
          <w:fldChar w:fldCharType="begin"/>
        </w:r>
        <w:r w:rsidR="00A86929" w:rsidRPr="00215867">
          <w:rPr>
            <w:rFonts w:ascii="Times New Roman" w:hAnsi="Times New Roman"/>
            <w:noProof/>
            <w:webHidden/>
            <w:sz w:val="24"/>
            <w:szCs w:val="24"/>
          </w:rPr>
          <w:instrText xml:space="preserve"> PAGEREF _Toc93050538 \h </w:instrText>
        </w:r>
        <w:r w:rsidR="00A86929" w:rsidRPr="00215867">
          <w:rPr>
            <w:rFonts w:ascii="Times New Roman" w:hAnsi="Times New Roman"/>
            <w:noProof/>
            <w:webHidden/>
            <w:sz w:val="24"/>
            <w:szCs w:val="24"/>
          </w:rPr>
        </w:r>
        <w:r w:rsidR="00A86929" w:rsidRPr="00215867">
          <w:rPr>
            <w:rFonts w:ascii="Times New Roman" w:hAnsi="Times New Roman"/>
            <w:noProof/>
            <w:webHidden/>
            <w:sz w:val="24"/>
            <w:szCs w:val="24"/>
          </w:rPr>
          <w:fldChar w:fldCharType="separate"/>
        </w:r>
        <w:r w:rsidR="00A86929" w:rsidRPr="00215867">
          <w:rPr>
            <w:rFonts w:ascii="Times New Roman" w:hAnsi="Times New Roman"/>
            <w:noProof/>
            <w:webHidden/>
            <w:sz w:val="24"/>
            <w:szCs w:val="24"/>
          </w:rPr>
          <w:t>311</w:t>
        </w:r>
        <w:r w:rsidR="00A86929" w:rsidRPr="00215867">
          <w:rPr>
            <w:rFonts w:ascii="Times New Roman" w:hAnsi="Times New Roman"/>
            <w:noProof/>
            <w:webHidden/>
            <w:sz w:val="24"/>
            <w:szCs w:val="24"/>
          </w:rPr>
          <w:fldChar w:fldCharType="end"/>
        </w:r>
      </w:hyperlink>
    </w:p>
    <w:p w14:paraId="23C5FE4D" w14:textId="0AE8A20F" w:rsidR="00DF0D88" w:rsidRPr="00D75D2E" w:rsidRDefault="00E97814" w:rsidP="00215867">
      <w:pPr>
        <w:spacing w:after="0"/>
        <w:rPr>
          <w:rFonts w:ascii="Times New Roman" w:hAnsi="Times New Roman"/>
          <w:b/>
        </w:rPr>
      </w:pPr>
      <w:r w:rsidRPr="00215867">
        <w:rPr>
          <w:rFonts w:ascii="Times New Roman" w:hAnsi="Times New Roman"/>
          <w:sz w:val="24"/>
          <w:szCs w:val="24"/>
        </w:rPr>
        <w:fldChar w:fldCharType="end"/>
      </w:r>
    </w:p>
    <w:p w14:paraId="7DB9997A" w14:textId="77777777" w:rsidR="00ED17F3" w:rsidRPr="00D75D2E" w:rsidRDefault="00ED17F3">
      <w:pPr>
        <w:pStyle w:val="Titre1"/>
        <w:numPr>
          <w:ilvl w:val="0"/>
          <w:numId w:val="0"/>
        </w:numPr>
        <w:spacing w:before="0" w:after="120"/>
        <w:ind w:left="431" w:hanging="431"/>
        <w:rPr>
          <w:lang w:val="en-US"/>
        </w:rPr>
      </w:pPr>
      <w:bookmarkStart w:id="25" w:name="_Toc103685592"/>
      <w:r w:rsidRPr="00D75D2E">
        <w:rPr>
          <w:lang w:val="en-US"/>
        </w:rPr>
        <w:t>LISTE DES ANNEXES</w:t>
      </w:r>
      <w:bookmarkEnd w:id="20"/>
      <w:bookmarkEnd w:id="21"/>
      <w:bookmarkEnd w:id="22"/>
      <w:bookmarkEnd w:id="23"/>
      <w:bookmarkEnd w:id="25"/>
      <w:r w:rsidRPr="00D75D2E">
        <w:rPr>
          <w:lang w:val="en-US"/>
        </w:rPr>
        <w:t xml:space="preserve"> </w:t>
      </w:r>
    </w:p>
    <w:bookmarkStart w:id="26" w:name="_Toc452538196"/>
    <w:p w14:paraId="7E446DF5" w14:textId="77777777" w:rsidR="00AC6B73" w:rsidRPr="00215867" w:rsidRDefault="00ED17F3" w:rsidP="00215867">
      <w:pPr>
        <w:pStyle w:val="Tabledesillustrations"/>
        <w:tabs>
          <w:tab w:val="right" w:leader="dot" w:pos="9054"/>
        </w:tabs>
        <w:jc w:val="both"/>
        <w:rPr>
          <w:rFonts w:ascii="Times New Roman" w:eastAsia="Times New Roman" w:hAnsi="Times New Roman"/>
          <w:noProof/>
          <w:sz w:val="24"/>
          <w:szCs w:val="24"/>
          <w:lang w:val="en-US"/>
        </w:rPr>
      </w:pPr>
      <w:r w:rsidRPr="00215867">
        <w:rPr>
          <w:rStyle w:val="Lienhypertexte"/>
          <w:rFonts w:ascii="Times New Roman" w:hAnsi="Times New Roman"/>
          <w:color w:val="auto"/>
          <w:sz w:val="24"/>
          <w:szCs w:val="24"/>
        </w:rPr>
        <w:fldChar w:fldCharType="begin"/>
      </w:r>
      <w:r w:rsidRPr="00AC6B73">
        <w:rPr>
          <w:rStyle w:val="Lienhypertexte"/>
          <w:rFonts w:ascii="Times New Roman" w:hAnsi="Times New Roman"/>
          <w:color w:val="auto"/>
          <w:sz w:val="24"/>
          <w:szCs w:val="24"/>
        </w:rPr>
        <w:instrText xml:space="preserve"> TOC \h \z \t "Titre 6;6" \c "Annexe" </w:instrText>
      </w:r>
      <w:r w:rsidRPr="00215867">
        <w:rPr>
          <w:rStyle w:val="Lienhypertexte"/>
          <w:rFonts w:ascii="Times New Roman" w:hAnsi="Times New Roman"/>
          <w:color w:val="auto"/>
          <w:sz w:val="24"/>
          <w:szCs w:val="24"/>
        </w:rPr>
        <w:fldChar w:fldCharType="separate"/>
      </w:r>
      <w:hyperlink w:anchor="_Toc93050612" w:history="1">
        <w:r w:rsidR="00AC6B73" w:rsidRPr="00215867">
          <w:rPr>
            <w:rStyle w:val="Lienhypertexte"/>
            <w:rFonts w:ascii="Times New Roman" w:hAnsi="Times New Roman"/>
            <w:noProof/>
            <w:sz w:val="24"/>
            <w:szCs w:val="24"/>
          </w:rPr>
          <w:t>Annexe 1 : PV de consultation Publique au niveau communal et liste des personnes rencontrées</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_Toc93050612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319</w:t>
        </w:r>
        <w:r w:rsidR="00AC6B73" w:rsidRPr="00215867">
          <w:rPr>
            <w:rFonts w:ascii="Times New Roman" w:hAnsi="Times New Roman"/>
            <w:noProof/>
            <w:webHidden/>
            <w:sz w:val="24"/>
            <w:szCs w:val="24"/>
          </w:rPr>
          <w:fldChar w:fldCharType="end"/>
        </w:r>
      </w:hyperlink>
    </w:p>
    <w:p w14:paraId="223B3E4D"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3" w:history="1">
        <w:r w:rsidR="00AC6B73" w:rsidRPr="00215867">
          <w:rPr>
            <w:rStyle w:val="Lienhypertexte"/>
            <w:rFonts w:ascii="Times New Roman" w:hAnsi="Times New Roman"/>
            <w:noProof/>
            <w:sz w:val="24"/>
            <w:szCs w:val="24"/>
          </w:rPr>
          <w:t xml:space="preserve">Annexe 2 : </w:t>
        </w:r>
        <w:r w:rsidR="00AC6B73" w:rsidRPr="00215867">
          <w:rPr>
            <w:rStyle w:val="Lienhypertexte"/>
            <w:rFonts w:ascii="Times New Roman" w:hAnsi="Times New Roman"/>
            <w:iCs/>
            <w:noProof/>
            <w:sz w:val="24"/>
            <w:szCs w:val="24"/>
          </w:rPr>
          <w:t>Note aux soumissionnaires sur les attentes concernant les formations sur les VBG, y compris l’EAS/HS, VCE et VIH.SIDA dans le cadre de UCM</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_Toc93050613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320</w:t>
        </w:r>
        <w:r w:rsidR="00AC6B73" w:rsidRPr="00215867">
          <w:rPr>
            <w:rFonts w:ascii="Times New Roman" w:hAnsi="Times New Roman"/>
            <w:noProof/>
            <w:webHidden/>
            <w:sz w:val="24"/>
            <w:szCs w:val="24"/>
          </w:rPr>
          <w:fldChar w:fldCharType="end"/>
        </w:r>
      </w:hyperlink>
    </w:p>
    <w:p w14:paraId="55D1D1D5"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4" w:history="1">
        <w:r w:rsidR="00AC6B73" w:rsidRPr="00215867">
          <w:rPr>
            <w:rStyle w:val="Lienhypertexte"/>
            <w:rFonts w:ascii="Times New Roman" w:hAnsi="Times New Roman"/>
            <w:noProof/>
            <w:sz w:val="24"/>
            <w:szCs w:val="24"/>
          </w:rPr>
          <w:t>Annexe 3 : Codes de Conduite et Plan d'Action pour la mise en œuvre des Normes ESHS et SST et Prévention d’EAS/HS et Violence Contre Les Enfants</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_Toc93050614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322</w:t>
        </w:r>
        <w:r w:rsidR="00AC6B73" w:rsidRPr="00215867">
          <w:rPr>
            <w:rFonts w:ascii="Times New Roman" w:hAnsi="Times New Roman"/>
            <w:noProof/>
            <w:webHidden/>
            <w:sz w:val="24"/>
            <w:szCs w:val="24"/>
          </w:rPr>
          <w:fldChar w:fldCharType="end"/>
        </w:r>
      </w:hyperlink>
    </w:p>
    <w:p w14:paraId="6D6BCB9E"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5" w:history="1">
        <w:r w:rsidR="00AC6B73" w:rsidRPr="00215867">
          <w:rPr>
            <w:rStyle w:val="Lienhypertexte"/>
            <w:rFonts w:ascii="Times New Roman" w:hAnsi="Times New Roman"/>
            <w:noProof/>
            <w:sz w:val="24"/>
            <w:szCs w:val="24"/>
          </w:rPr>
          <w:t xml:space="preserve">Annexe 4 : </w:t>
        </w:r>
        <w:r w:rsidR="00AC6B73" w:rsidRPr="00215867">
          <w:rPr>
            <w:rStyle w:val="Lienhypertexte"/>
            <w:rFonts w:ascii="Times New Roman" w:hAnsi="Times New Roman"/>
            <w:iCs/>
            <w:noProof/>
            <w:sz w:val="24"/>
            <w:szCs w:val="24"/>
          </w:rPr>
          <w:t>Cahier des Clauses Administratives Générales : Indicateurs de performance des dispositions environnementales, sociales, hygiène et sécurité</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_Toc93050615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342</w:t>
        </w:r>
        <w:r w:rsidR="00AC6B73" w:rsidRPr="00215867">
          <w:rPr>
            <w:rFonts w:ascii="Times New Roman" w:hAnsi="Times New Roman"/>
            <w:noProof/>
            <w:webHidden/>
            <w:sz w:val="24"/>
            <w:szCs w:val="24"/>
          </w:rPr>
          <w:fldChar w:fldCharType="end"/>
        </w:r>
      </w:hyperlink>
    </w:p>
    <w:p w14:paraId="5B6F542C"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6" w:history="1">
        <w:r w:rsidR="00AC6B73" w:rsidRPr="00215867">
          <w:rPr>
            <w:rStyle w:val="Lienhypertexte"/>
            <w:rFonts w:ascii="Times New Roman" w:hAnsi="Times New Roman"/>
            <w:noProof/>
            <w:sz w:val="24"/>
            <w:szCs w:val="24"/>
          </w:rPr>
          <w:t>Annexe 5 : Clauses environnementales à insérer dans les dossiers de travaux contractuels</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_Toc93050616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346</w:t>
        </w:r>
        <w:r w:rsidR="00AC6B73" w:rsidRPr="00215867">
          <w:rPr>
            <w:rFonts w:ascii="Times New Roman" w:hAnsi="Times New Roman"/>
            <w:noProof/>
            <w:webHidden/>
            <w:sz w:val="24"/>
            <w:szCs w:val="24"/>
          </w:rPr>
          <w:fldChar w:fldCharType="end"/>
        </w:r>
      </w:hyperlink>
    </w:p>
    <w:p w14:paraId="58FD0BDA"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7" w:history="1">
        <w:r w:rsidR="00AC6B73" w:rsidRPr="00215867">
          <w:rPr>
            <w:rStyle w:val="Lienhypertexte"/>
            <w:rFonts w:ascii="Times New Roman" w:hAnsi="Times New Roman"/>
            <w:noProof/>
            <w:sz w:val="24"/>
            <w:szCs w:val="24"/>
          </w:rPr>
          <w:t>Annexe 6 : TERMES DE REFERENCE</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_Toc93050617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373</w:t>
        </w:r>
        <w:r w:rsidR="00AC6B73" w:rsidRPr="00215867">
          <w:rPr>
            <w:rFonts w:ascii="Times New Roman" w:hAnsi="Times New Roman"/>
            <w:noProof/>
            <w:webHidden/>
            <w:sz w:val="24"/>
            <w:szCs w:val="24"/>
          </w:rPr>
          <w:fldChar w:fldCharType="end"/>
        </w:r>
      </w:hyperlink>
    </w:p>
    <w:p w14:paraId="7EBC8B4D" w14:textId="77777777" w:rsidR="00AC6B73" w:rsidRPr="00215867" w:rsidRDefault="004C0F64" w:rsidP="00215867">
      <w:pPr>
        <w:pStyle w:val="Tabledesillustrations"/>
        <w:tabs>
          <w:tab w:val="right" w:leader="dot" w:pos="9054"/>
        </w:tabs>
        <w:jc w:val="both"/>
        <w:rPr>
          <w:rFonts w:ascii="Times New Roman" w:eastAsia="Times New Roman" w:hAnsi="Times New Roman"/>
          <w:noProof/>
          <w:sz w:val="24"/>
          <w:szCs w:val="24"/>
          <w:lang w:val="en-US"/>
        </w:rPr>
      </w:pPr>
      <w:hyperlink w:anchor="_Toc93050618" w:history="1">
        <w:r w:rsidR="00AC6B73" w:rsidRPr="00215867">
          <w:rPr>
            <w:rStyle w:val="Lienhypertexte"/>
            <w:rFonts w:ascii="Times New Roman" w:hAnsi="Times New Roman"/>
            <w:noProof/>
            <w:sz w:val="24"/>
            <w:szCs w:val="24"/>
          </w:rPr>
          <w:t>Annexe 7 : Code de procédures applicable à l’intention des fournisseurs principaux</w:t>
        </w:r>
        <w:r w:rsidR="00AC6B73" w:rsidRPr="00215867">
          <w:rPr>
            <w:rFonts w:ascii="Times New Roman" w:hAnsi="Times New Roman"/>
            <w:noProof/>
            <w:webHidden/>
            <w:sz w:val="24"/>
            <w:szCs w:val="24"/>
          </w:rPr>
          <w:tab/>
        </w:r>
        <w:r w:rsidR="00AC6B73" w:rsidRPr="00215867">
          <w:rPr>
            <w:rFonts w:ascii="Times New Roman" w:hAnsi="Times New Roman"/>
            <w:noProof/>
            <w:webHidden/>
            <w:sz w:val="24"/>
            <w:szCs w:val="24"/>
          </w:rPr>
          <w:fldChar w:fldCharType="begin"/>
        </w:r>
        <w:r w:rsidR="00AC6B73" w:rsidRPr="00215867">
          <w:rPr>
            <w:rFonts w:ascii="Times New Roman" w:hAnsi="Times New Roman"/>
            <w:noProof/>
            <w:webHidden/>
            <w:sz w:val="24"/>
            <w:szCs w:val="24"/>
          </w:rPr>
          <w:instrText xml:space="preserve"> PAGEREF _Toc93050618 \h </w:instrText>
        </w:r>
        <w:r w:rsidR="00AC6B73" w:rsidRPr="00215867">
          <w:rPr>
            <w:rFonts w:ascii="Times New Roman" w:hAnsi="Times New Roman"/>
            <w:noProof/>
            <w:webHidden/>
            <w:sz w:val="24"/>
            <w:szCs w:val="24"/>
          </w:rPr>
        </w:r>
        <w:r w:rsidR="00AC6B73" w:rsidRPr="00215867">
          <w:rPr>
            <w:rFonts w:ascii="Times New Roman" w:hAnsi="Times New Roman"/>
            <w:noProof/>
            <w:webHidden/>
            <w:sz w:val="24"/>
            <w:szCs w:val="24"/>
          </w:rPr>
          <w:fldChar w:fldCharType="separate"/>
        </w:r>
        <w:r w:rsidR="00AC6B73" w:rsidRPr="00215867">
          <w:rPr>
            <w:rFonts w:ascii="Times New Roman" w:hAnsi="Times New Roman"/>
            <w:noProof/>
            <w:webHidden/>
            <w:sz w:val="24"/>
            <w:szCs w:val="24"/>
          </w:rPr>
          <w:t>412</w:t>
        </w:r>
        <w:r w:rsidR="00AC6B73" w:rsidRPr="00215867">
          <w:rPr>
            <w:rFonts w:ascii="Times New Roman" w:hAnsi="Times New Roman"/>
            <w:noProof/>
            <w:webHidden/>
            <w:sz w:val="24"/>
            <w:szCs w:val="24"/>
          </w:rPr>
          <w:fldChar w:fldCharType="end"/>
        </w:r>
      </w:hyperlink>
    </w:p>
    <w:p w14:paraId="30B97ECD" w14:textId="2465C6DA" w:rsidR="00CB6BCB" w:rsidRPr="00420C1B" w:rsidRDefault="00ED17F3" w:rsidP="00215867">
      <w:pPr>
        <w:pStyle w:val="Normal0"/>
        <w:jc w:val="both"/>
        <w:rPr>
          <w:rStyle w:val="Lienhypertexte"/>
          <w:rFonts w:ascii="Times New Roman" w:eastAsia="Times New Roman" w:hAnsi="Times New Roman"/>
          <w:b/>
          <w:color w:val="auto"/>
          <w:szCs w:val="32"/>
        </w:rPr>
      </w:pPr>
      <w:r w:rsidRPr="00215867">
        <w:rPr>
          <w:rStyle w:val="Lienhypertexte"/>
          <w:rFonts w:ascii="Times New Roman" w:hAnsi="Times New Roman"/>
          <w:color w:val="auto"/>
          <w:szCs w:val="24"/>
        </w:rPr>
        <w:fldChar w:fldCharType="end"/>
      </w:r>
      <w:bookmarkStart w:id="27" w:name="_Hlk84056060"/>
    </w:p>
    <w:p w14:paraId="57423DA3" w14:textId="77777777" w:rsidR="00040F0E" w:rsidRDefault="00040F0E" w:rsidP="00215867">
      <w:pPr>
        <w:pStyle w:val="Titre1"/>
        <w:numPr>
          <w:ilvl w:val="0"/>
          <w:numId w:val="0"/>
        </w:numPr>
        <w:spacing w:before="0"/>
        <w:ind w:left="431" w:hanging="431"/>
        <w:rPr>
          <w:lang w:val="en-US"/>
        </w:rPr>
      </w:pPr>
      <w:bookmarkStart w:id="28" w:name="_Toc519050440"/>
      <w:bookmarkStart w:id="29" w:name="_Toc103685593"/>
      <w:bookmarkStart w:id="30" w:name="_Hlk519914559"/>
      <w:bookmarkStart w:id="31" w:name="_Toc452538197"/>
      <w:bookmarkEnd w:id="26"/>
      <w:r w:rsidRPr="00D75D2E">
        <w:rPr>
          <w:lang w:val="en-US"/>
        </w:rPr>
        <w:t>RESUME NON TECHNIQUE</w:t>
      </w:r>
      <w:bookmarkEnd w:id="28"/>
      <w:bookmarkEnd w:id="29"/>
      <w:r w:rsidRPr="00D75D2E">
        <w:rPr>
          <w:lang w:val="en-US"/>
        </w:rPr>
        <w:t xml:space="preserve"> </w:t>
      </w:r>
    </w:p>
    <w:p w14:paraId="234374C7" w14:textId="77777777" w:rsidR="00D75D2E" w:rsidRPr="00D75D2E" w:rsidRDefault="00D75D2E" w:rsidP="008C79F0">
      <w:pPr>
        <w:numPr>
          <w:ilvl w:val="0"/>
          <w:numId w:val="125"/>
        </w:numPr>
        <w:spacing w:before="120" w:after="120" w:line="276" w:lineRule="auto"/>
        <w:ind w:left="714" w:hanging="357"/>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Contexte du Projet</w:t>
      </w:r>
    </w:p>
    <w:p w14:paraId="6DE3B29C" w14:textId="77777777" w:rsidR="00D75D2E" w:rsidRPr="00D75D2E" w:rsidRDefault="00D75D2E" w:rsidP="00D75D2E">
      <w:pPr>
        <w:spacing w:line="240" w:lineRule="auto"/>
        <w:jc w:val="both"/>
        <w:rPr>
          <w:rFonts w:ascii="Times New Roman" w:eastAsia="Times New Roman" w:hAnsi="Times New Roman"/>
          <w:spacing w:val="-2"/>
          <w:sz w:val="24"/>
          <w:szCs w:val="24"/>
        </w:rPr>
      </w:pPr>
      <w:r w:rsidRPr="00D75D2E">
        <w:rPr>
          <w:rFonts w:ascii="Times New Roman" w:hAnsi="Times New Roman"/>
          <w:sz w:val="24"/>
          <w:szCs w:val="24"/>
        </w:rPr>
        <w:t>Le Projet d</w:t>
      </w:r>
      <w:r w:rsidR="0046666F">
        <w:rPr>
          <w:rFonts w:ascii="Times New Roman" w:hAnsi="Times New Roman"/>
          <w:sz w:val="24"/>
          <w:szCs w:val="24"/>
        </w:rPr>
        <w:t>e Gouvernance et d</w:t>
      </w:r>
      <w:r w:rsidRPr="00D75D2E">
        <w:rPr>
          <w:rFonts w:ascii="Times New Roman" w:hAnsi="Times New Roman"/>
          <w:sz w:val="24"/>
          <w:szCs w:val="24"/>
        </w:rPr>
        <w:t>’A</w:t>
      </w:r>
      <w:r w:rsidR="0046666F">
        <w:rPr>
          <w:rFonts w:ascii="Times New Roman" w:hAnsi="Times New Roman"/>
          <w:sz w:val="24"/>
          <w:szCs w:val="24"/>
        </w:rPr>
        <w:t>ccès à l’</w:t>
      </w:r>
      <w:r w:rsidRPr="00D75D2E">
        <w:rPr>
          <w:rFonts w:ascii="Times New Roman" w:hAnsi="Times New Roman"/>
          <w:sz w:val="24"/>
          <w:szCs w:val="24"/>
        </w:rPr>
        <w:t>Electricité</w:t>
      </w:r>
      <w:r w:rsidR="0046666F">
        <w:rPr>
          <w:rFonts w:ascii="Times New Roman" w:hAnsi="Times New Roman"/>
          <w:sz w:val="24"/>
          <w:szCs w:val="24"/>
        </w:rPr>
        <w:t>,  l’</w:t>
      </w:r>
      <w:r w:rsidRPr="00D75D2E">
        <w:rPr>
          <w:rFonts w:ascii="Times New Roman" w:hAnsi="Times New Roman"/>
          <w:sz w:val="24"/>
          <w:szCs w:val="24"/>
        </w:rPr>
        <w:t xml:space="preserve">Eau </w:t>
      </w:r>
      <w:r w:rsidR="00830618">
        <w:rPr>
          <w:rFonts w:ascii="Times New Roman" w:hAnsi="Times New Roman"/>
          <w:sz w:val="24"/>
          <w:szCs w:val="24"/>
        </w:rPr>
        <w:t xml:space="preserve">potable </w:t>
      </w:r>
      <w:r w:rsidRPr="00D75D2E">
        <w:rPr>
          <w:rFonts w:ascii="Times New Roman" w:hAnsi="Times New Roman"/>
          <w:sz w:val="24"/>
          <w:szCs w:val="24"/>
        </w:rPr>
        <w:t>et l</w:t>
      </w:r>
      <w:r w:rsidR="0046666F">
        <w:rPr>
          <w:rFonts w:ascii="Times New Roman" w:hAnsi="Times New Roman"/>
          <w:sz w:val="24"/>
          <w:szCs w:val="24"/>
        </w:rPr>
        <w:t>’Ass</w:t>
      </w:r>
      <w:r w:rsidRPr="00D75D2E">
        <w:rPr>
          <w:rFonts w:ascii="Times New Roman" w:hAnsi="Times New Roman"/>
          <w:sz w:val="24"/>
          <w:szCs w:val="24"/>
        </w:rPr>
        <w:t>a</w:t>
      </w:r>
      <w:r w:rsidR="0046666F">
        <w:rPr>
          <w:rFonts w:ascii="Times New Roman" w:hAnsi="Times New Roman"/>
          <w:sz w:val="24"/>
          <w:szCs w:val="24"/>
        </w:rPr>
        <w:t>inissement de base</w:t>
      </w:r>
      <w:r w:rsidR="00830618">
        <w:rPr>
          <w:rFonts w:ascii="Times New Roman" w:hAnsi="Times New Roman"/>
          <w:sz w:val="24"/>
          <w:szCs w:val="24"/>
        </w:rPr>
        <w:t xml:space="preserve">, </w:t>
      </w:r>
      <w:r w:rsidR="0046666F">
        <w:rPr>
          <w:rFonts w:ascii="Times New Roman" w:hAnsi="Times New Roman"/>
          <w:sz w:val="24"/>
          <w:szCs w:val="24"/>
        </w:rPr>
        <w:t xml:space="preserve"> </w:t>
      </w:r>
      <w:r w:rsidRPr="00D75D2E">
        <w:rPr>
          <w:rFonts w:ascii="Times New Roman" w:hAnsi="Times New Roman"/>
          <w:sz w:val="24"/>
          <w:szCs w:val="24"/>
        </w:rPr>
        <w:t xml:space="preserve">mis en place par la République Démocratique du Congo (RDC) </w:t>
      </w:r>
      <w:r w:rsidR="00830618">
        <w:rPr>
          <w:rFonts w:ascii="Times New Roman" w:hAnsi="Times New Roman"/>
          <w:sz w:val="24"/>
          <w:szCs w:val="24"/>
        </w:rPr>
        <w:t>avec le concours financier de la Banque mondiale (IDA) a pour</w:t>
      </w:r>
      <w:r w:rsidRPr="00D75D2E">
        <w:rPr>
          <w:rFonts w:ascii="Times New Roman" w:hAnsi="Times New Roman"/>
          <w:sz w:val="24"/>
          <w:szCs w:val="24"/>
        </w:rPr>
        <w:t xml:space="preserve"> objectifs </w:t>
      </w:r>
      <w:r w:rsidR="00830618">
        <w:rPr>
          <w:rFonts w:ascii="Times New Roman" w:hAnsi="Times New Roman"/>
          <w:sz w:val="24"/>
          <w:szCs w:val="24"/>
        </w:rPr>
        <w:t>notamment</w:t>
      </w:r>
      <w:r w:rsidRPr="00D75D2E">
        <w:rPr>
          <w:rFonts w:ascii="Times New Roman" w:hAnsi="Times New Roman"/>
          <w:sz w:val="24"/>
          <w:szCs w:val="24"/>
        </w:rPr>
        <w:t xml:space="preserve"> l’électrification des poches noires, </w:t>
      </w:r>
      <w:r w:rsidR="0046666F">
        <w:rPr>
          <w:rFonts w:ascii="Times New Roman" w:hAnsi="Times New Roman"/>
          <w:sz w:val="24"/>
          <w:szCs w:val="24"/>
        </w:rPr>
        <w:t>l</w:t>
      </w:r>
      <w:r w:rsidR="0046666F" w:rsidRPr="00D75D2E">
        <w:rPr>
          <w:rFonts w:ascii="Times New Roman" w:hAnsi="Times New Roman"/>
          <w:sz w:val="24"/>
          <w:szCs w:val="24"/>
        </w:rPr>
        <w:t>’assainissement</w:t>
      </w:r>
      <w:r w:rsidRPr="00D75D2E">
        <w:rPr>
          <w:rFonts w:ascii="Times New Roman" w:hAnsi="Times New Roman"/>
          <w:sz w:val="24"/>
          <w:szCs w:val="24"/>
        </w:rPr>
        <w:t xml:space="preserve">, </w:t>
      </w:r>
      <w:r w:rsidR="0046666F">
        <w:rPr>
          <w:rFonts w:ascii="Times New Roman" w:hAnsi="Times New Roman"/>
          <w:sz w:val="24"/>
          <w:szCs w:val="24"/>
        </w:rPr>
        <w:t>la</w:t>
      </w:r>
      <w:r w:rsidRPr="00D75D2E">
        <w:rPr>
          <w:rFonts w:ascii="Times New Roman" w:hAnsi="Times New Roman"/>
          <w:sz w:val="24"/>
          <w:szCs w:val="24"/>
        </w:rPr>
        <w:t xml:space="preserve"> réhabilitation et </w:t>
      </w:r>
      <w:r w:rsidR="0046666F">
        <w:rPr>
          <w:rFonts w:ascii="Times New Roman" w:hAnsi="Times New Roman"/>
          <w:sz w:val="24"/>
          <w:szCs w:val="24"/>
        </w:rPr>
        <w:t>la</w:t>
      </w:r>
      <w:r w:rsidR="0046666F" w:rsidRPr="00D75D2E">
        <w:rPr>
          <w:rFonts w:ascii="Times New Roman" w:hAnsi="Times New Roman"/>
          <w:sz w:val="24"/>
          <w:szCs w:val="24"/>
        </w:rPr>
        <w:t xml:space="preserve"> </w:t>
      </w:r>
      <w:r w:rsidRPr="00D75D2E">
        <w:rPr>
          <w:rFonts w:ascii="Times New Roman" w:hAnsi="Times New Roman"/>
          <w:sz w:val="24"/>
          <w:szCs w:val="24"/>
        </w:rPr>
        <w:t>mise en conformité des réseaux</w:t>
      </w:r>
      <w:r w:rsidR="0046666F">
        <w:rPr>
          <w:rFonts w:ascii="Times New Roman" w:hAnsi="Times New Roman"/>
          <w:sz w:val="24"/>
          <w:szCs w:val="24"/>
        </w:rPr>
        <w:t xml:space="preserve"> de distribution d’</w:t>
      </w:r>
      <w:r w:rsidRPr="00D75D2E">
        <w:rPr>
          <w:rFonts w:ascii="Times New Roman" w:hAnsi="Times New Roman"/>
          <w:sz w:val="24"/>
          <w:szCs w:val="24"/>
        </w:rPr>
        <w:t>électri</w:t>
      </w:r>
      <w:r w:rsidR="0046666F">
        <w:rPr>
          <w:rFonts w:ascii="Times New Roman" w:hAnsi="Times New Roman"/>
          <w:sz w:val="24"/>
          <w:szCs w:val="24"/>
        </w:rPr>
        <w:t xml:space="preserve">cité de SNEL </w:t>
      </w:r>
      <w:r w:rsidRPr="00D75D2E">
        <w:rPr>
          <w:rFonts w:ascii="Times New Roman" w:hAnsi="Times New Roman"/>
          <w:sz w:val="24"/>
          <w:szCs w:val="24"/>
        </w:rPr>
        <w:t xml:space="preserve">des Directions de Kinshasa Centre (DKC) et </w:t>
      </w:r>
      <w:r w:rsidR="0046666F">
        <w:rPr>
          <w:rFonts w:ascii="Times New Roman" w:hAnsi="Times New Roman"/>
          <w:sz w:val="24"/>
          <w:szCs w:val="24"/>
        </w:rPr>
        <w:t xml:space="preserve">Kinshasa </w:t>
      </w:r>
      <w:r w:rsidRPr="00D75D2E">
        <w:rPr>
          <w:rFonts w:ascii="Times New Roman" w:eastAsia="Times New Roman" w:hAnsi="Times New Roman"/>
          <w:spacing w:val="-2"/>
          <w:sz w:val="24"/>
          <w:szCs w:val="24"/>
        </w:rPr>
        <w:t xml:space="preserve">Ouest (DKO), </w:t>
      </w:r>
      <w:r w:rsidRPr="00D75D2E">
        <w:rPr>
          <w:rFonts w:ascii="Times New Roman" w:hAnsi="Times New Roman"/>
          <w:sz w:val="24"/>
          <w:szCs w:val="24"/>
        </w:rPr>
        <w:t>qui connaissent d’énormes problèmes en distribution d’énergie électrique</w:t>
      </w:r>
      <w:r w:rsidRPr="00D75D2E">
        <w:rPr>
          <w:rFonts w:ascii="Times New Roman" w:eastAsia="Times New Roman" w:hAnsi="Times New Roman"/>
          <w:spacing w:val="-2"/>
          <w:sz w:val="24"/>
          <w:szCs w:val="24"/>
        </w:rPr>
        <w:t xml:space="preserve">. </w:t>
      </w:r>
    </w:p>
    <w:p w14:paraId="5347ECFA" w14:textId="77777777" w:rsidR="00AF133F" w:rsidRPr="00D435B0" w:rsidRDefault="00DD3B06" w:rsidP="00AF133F">
      <w:pPr>
        <w:spacing w:line="240" w:lineRule="auto"/>
        <w:jc w:val="both"/>
        <w:rPr>
          <w:rFonts w:ascii="Times New Roman" w:hAnsi="Times New Roman"/>
          <w:sz w:val="24"/>
          <w:szCs w:val="24"/>
        </w:rPr>
      </w:pPr>
      <w:r>
        <w:rPr>
          <w:rFonts w:ascii="Times New Roman" w:hAnsi="Times New Roman"/>
          <w:sz w:val="24"/>
          <w:szCs w:val="24"/>
        </w:rPr>
        <w:t>C</w:t>
      </w:r>
      <w:r w:rsidRPr="00D75D2E">
        <w:rPr>
          <w:rFonts w:ascii="Times New Roman" w:hAnsi="Times New Roman"/>
          <w:sz w:val="24"/>
          <w:szCs w:val="24"/>
        </w:rPr>
        <w:t xml:space="preserve">e </w:t>
      </w:r>
      <w:r w:rsidR="00D75D2E" w:rsidRPr="00D75D2E">
        <w:rPr>
          <w:rFonts w:ascii="Times New Roman" w:hAnsi="Times New Roman"/>
          <w:sz w:val="24"/>
          <w:szCs w:val="24"/>
        </w:rPr>
        <w:t xml:space="preserve">sous-projet des travaux d’électrification des poches noires, d’assainissement, de réhabilitation et de mise en conformité des réseaux </w:t>
      </w:r>
      <w:r>
        <w:rPr>
          <w:rFonts w:ascii="Times New Roman" w:hAnsi="Times New Roman"/>
          <w:sz w:val="24"/>
          <w:szCs w:val="24"/>
        </w:rPr>
        <w:t xml:space="preserve">de distribution </w:t>
      </w:r>
      <w:r w:rsidR="00D75D2E" w:rsidRPr="00D75D2E">
        <w:rPr>
          <w:rFonts w:ascii="Times New Roman" w:hAnsi="Times New Roman"/>
          <w:sz w:val="24"/>
          <w:szCs w:val="24"/>
        </w:rPr>
        <w:t>électri</w:t>
      </w:r>
      <w:r>
        <w:rPr>
          <w:rFonts w:ascii="Times New Roman" w:hAnsi="Times New Roman"/>
          <w:sz w:val="24"/>
          <w:szCs w:val="24"/>
        </w:rPr>
        <w:t xml:space="preserve">cité de SNEL </w:t>
      </w:r>
      <w:r w:rsidR="00D75D2E" w:rsidRPr="00D75D2E">
        <w:rPr>
          <w:rFonts w:ascii="Times New Roman" w:hAnsi="Times New Roman"/>
          <w:sz w:val="24"/>
          <w:szCs w:val="24"/>
        </w:rPr>
        <w:t>des Directions de Kinshasa Centre (DKC) et</w:t>
      </w:r>
      <w:r>
        <w:rPr>
          <w:rFonts w:ascii="Times New Roman" w:hAnsi="Times New Roman"/>
          <w:sz w:val="24"/>
          <w:szCs w:val="24"/>
        </w:rPr>
        <w:t xml:space="preserve"> Kinshasa</w:t>
      </w:r>
      <w:r w:rsidR="00D75D2E" w:rsidRPr="00D75D2E">
        <w:rPr>
          <w:rFonts w:ascii="Times New Roman" w:hAnsi="Times New Roman"/>
          <w:sz w:val="24"/>
          <w:szCs w:val="24"/>
        </w:rPr>
        <w:t xml:space="preserve"> Ouest (DKO), couvre principalement dix (10) communes de la ville-province de Kinshasa, à savoir : Kalamu, Bumbu, Mont-Ngafula, Selembao, Ngiri-Ngiri, Makala, Bandalungwa, Kintambo, Ngaliema et Barumbu.</w:t>
      </w:r>
      <w:r w:rsidR="00AF133F" w:rsidRPr="00AF133F">
        <w:t xml:space="preserve"> </w:t>
      </w:r>
    </w:p>
    <w:p w14:paraId="095B18A7" w14:textId="6B9385AB" w:rsidR="00D75D2E" w:rsidRPr="00D75D2E" w:rsidRDefault="00830618" w:rsidP="00E737B4">
      <w:pPr>
        <w:spacing w:after="0" w:line="240" w:lineRule="auto"/>
        <w:jc w:val="both"/>
        <w:rPr>
          <w:rFonts w:ascii="Times New Roman" w:hAnsi="Times New Roman"/>
          <w:sz w:val="24"/>
          <w:szCs w:val="24"/>
        </w:rPr>
      </w:pPr>
      <w:r>
        <w:rPr>
          <w:rFonts w:ascii="Times New Roman" w:hAnsi="Times New Roman"/>
          <w:sz w:val="24"/>
          <w:szCs w:val="24"/>
        </w:rPr>
        <w:t>S</w:t>
      </w:r>
      <w:r w:rsidR="00D75D2E" w:rsidRPr="00D75D2E">
        <w:rPr>
          <w:rFonts w:ascii="Times New Roman" w:hAnsi="Times New Roman"/>
          <w:sz w:val="24"/>
          <w:szCs w:val="24"/>
        </w:rPr>
        <w:t>es activités sont susceptibles de produire des impacts et de présenter des risques environnementaux et sociaux. L’Unité de Coordination et de Management des projets du Ministère</w:t>
      </w:r>
      <w:r w:rsidR="00DD3B06">
        <w:rPr>
          <w:rFonts w:ascii="Times New Roman" w:hAnsi="Times New Roman"/>
          <w:sz w:val="24"/>
          <w:szCs w:val="24"/>
        </w:rPr>
        <w:t xml:space="preserve"> </w:t>
      </w:r>
      <w:r w:rsidR="00D75D2E" w:rsidRPr="00D75D2E">
        <w:rPr>
          <w:rFonts w:ascii="Times New Roman" w:hAnsi="Times New Roman"/>
          <w:sz w:val="24"/>
          <w:szCs w:val="24"/>
        </w:rPr>
        <w:t xml:space="preserve">des Ressources Hydrauliques et </w:t>
      </w:r>
      <w:r w:rsidR="00DD3B06">
        <w:rPr>
          <w:rFonts w:ascii="Times New Roman" w:hAnsi="Times New Roman"/>
          <w:sz w:val="24"/>
          <w:szCs w:val="24"/>
        </w:rPr>
        <w:t>E</w:t>
      </w:r>
      <w:r w:rsidR="00D75D2E" w:rsidRPr="00D75D2E">
        <w:rPr>
          <w:rFonts w:ascii="Times New Roman" w:hAnsi="Times New Roman"/>
          <w:sz w:val="24"/>
          <w:szCs w:val="24"/>
        </w:rPr>
        <w:t>lectricité</w:t>
      </w:r>
      <w:r w:rsidR="00422EE3">
        <w:rPr>
          <w:rFonts w:ascii="Times New Roman" w:hAnsi="Times New Roman"/>
          <w:sz w:val="24"/>
          <w:szCs w:val="24"/>
        </w:rPr>
        <w:t xml:space="preserve"> </w:t>
      </w:r>
      <w:r w:rsidR="00D75D2E" w:rsidRPr="00D75D2E">
        <w:rPr>
          <w:rFonts w:ascii="Times New Roman" w:hAnsi="Times New Roman"/>
          <w:sz w:val="24"/>
          <w:szCs w:val="24"/>
        </w:rPr>
        <w:t>(UCM) réalise la présente étude d’impact Environnemental et Social (EIES)</w:t>
      </w:r>
      <w:r w:rsidR="00D75D2E" w:rsidRPr="00D75D2E">
        <w:rPr>
          <w:rFonts w:ascii="Times New Roman" w:hAnsi="Times New Roman"/>
          <w:iCs/>
          <w:sz w:val="24"/>
          <w:szCs w:val="24"/>
        </w:rPr>
        <w:t xml:space="preserve"> dans le but de </w:t>
      </w:r>
      <w:r w:rsidR="0046666F">
        <w:rPr>
          <w:rFonts w:ascii="Times New Roman" w:hAnsi="Times New Roman"/>
          <w:iCs/>
          <w:sz w:val="24"/>
          <w:szCs w:val="24"/>
        </w:rPr>
        <w:t xml:space="preserve">(i) </w:t>
      </w:r>
      <w:r w:rsidR="00D75D2E" w:rsidRPr="00D75D2E">
        <w:rPr>
          <w:rFonts w:ascii="Times New Roman" w:hAnsi="Times New Roman"/>
          <w:iCs/>
          <w:sz w:val="24"/>
          <w:szCs w:val="24"/>
        </w:rPr>
        <w:t xml:space="preserve">gérer ces impacts et risques </w:t>
      </w:r>
      <w:r w:rsidR="003471CB">
        <w:rPr>
          <w:rFonts w:ascii="Times New Roman" w:hAnsi="Times New Roman"/>
          <w:iCs/>
          <w:sz w:val="24"/>
          <w:szCs w:val="24"/>
        </w:rPr>
        <w:t>environnementaux et sociaux</w:t>
      </w:r>
      <w:r w:rsidR="005C672B">
        <w:rPr>
          <w:rFonts w:ascii="Times New Roman" w:hAnsi="Times New Roman"/>
          <w:iCs/>
          <w:sz w:val="24"/>
          <w:szCs w:val="24"/>
        </w:rPr>
        <w:t>, y compris ceux d’Exploitation et Abus Sexuels, ainsi que le Harcèlement Sexuel (EAS/SH)</w:t>
      </w:r>
      <w:r w:rsidR="003471CB">
        <w:rPr>
          <w:rFonts w:ascii="Times New Roman" w:hAnsi="Times New Roman"/>
          <w:iCs/>
          <w:sz w:val="24"/>
          <w:szCs w:val="24"/>
        </w:rPr>
        <w:t xml:space="preserve"> </w:t>
      </w:r>
      <w:r w:rsidR="00D75D2E" w:rsidRPr="00D75D2E">
        <w:rPr>
          <w:rFonts w:ascii="Times New Roman" w:hAnsi="Times New Roman"/>
          <w:iCs/>
          <w:sz w:val="24"/>
          <w:szCs w:val="24"/>
        </w:rPr>
        <w:t>liés à ce sous projet e</w:t>
      </w:r>
      <w:r w:rsidR="0046666F">
        <w:rPr>
          <w:rFonts w:ascii="Times New Roman" w:hAnsi="Times New Roman"/>
          <w:iCs/>
          <w:sz w:val="24"/>
          <w:szCs w:val="24"/>
        </w:rPr>
        <w:t>t (ii)</w:t>
      </w:r>
      <w:r w:rsidR="00D75D2E" w:rsidRPr="00D75D2E">
        <w:rPr>
          <w:rFonts w:ascii="Times New Roman" w:hAnsi="Times New Roman"/>
          <w:iCs/>
          <w:sz w:val="24"/>
          <w:szCs w:val="24"/>
        </w:rPr>
        <w:t xml:space="preserve"> se conformer aux exigences nationales </w:t>
      </w:r>
      <w:r w:rsidR="00D75D2E" w:rsidRPr="00D75D2E">
        <w:rPr>
          <w:rFonts w:ascii="Times New Roman" w:hAnsi="Times New Roman"/>
          <w:sz w:val="24"/>
          <w:szCs w:val="24"/>
        </w:rPr>
        <w:t>et aux normes environnementales et sociales (NES) de la Banque mondiale.</w:t>
      </w:r>
    </w:p>
    <w:p w14:paraId="06CD6C61" w14:textId="77777777" w:rsidR="00D75D2E" w:rsidRPr="00D75D2E" w:rsidRDefault="00D75D2E" w:rsidP="008C79F0">
      <w:pPr>
        <w:numPr>
          <w:ilvl w:val="0"/>
          <w:numId w:val="125"/>
        </w:numPr>
        <w:spacing w:before="120" w:after="120" w:line="276" w:lineRule="auto"/>
        <w:ind w:left="714" w:hanging="357"/>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 xml:space="preserve">Méthodologie </w:t>
      </w:r>
    </w:p>
    <w:p w14:paraId="11C37113" w14:textId="157BE184" w:rsidR="00D75D2E" w:rsidRPr="00D75D2E" w:rsidRDefault="00D75D2E" w:rsidP="00D75D2E">
      <w:pPr>
        <w:spacing w:line="240" w:lineRule="auto"/>
        <w:jc w:val="both"/>
        <w:rPr>
          <w:rFonts w:ascii="Times New Roman" w:hAnsi="Times New Roman"/>
          <w:sz w:val="24"/>
          <w:szCs w:val="24"/>
        </w:rPr>
      </w:pPr>
      <w:r w:rsidRPr="00D75D2E">
        <w:rPr>
          <w:rFonts w:ascii="Times New Roman" w:hAnsi="Times New Roman"/>
          <w:sz w:val="24"/>
          <w:szCs w:val="24"/>
        </w:rPr>
        <w:t xml:space="preserve">La méthodologie a consisté </w:t>
      </w:r>
      <w:r w:rsidR="00830618">
        <w:rPr>
          <w:rFonts w:ascii="Times New Roman" w:hAnsi="Times New Roman"/>
          <w:sz w:val="24"/>
          <w:szCs w:val="24"/>
        </w:rPr>
        <w:t>en</w:t>
      </w:r>
      <w:r w:rsidRPr="00D75D2E">
        <w:rPr>
          <w:rFonts w:ascii="Times New Roman" w:hAnsi="Times New Roman"/>
          <w:sz w:val="24"/>
          <w:szCs w:val="24"/>
        </w:rPr>
        <w:t xml:space="preserve"> l’organisation d’une rencontre de cadrage avec </w:t>
      </w:r>
      <w:r w:rsidR="00DC397F">
        <w:rPr>
          <w:rFonts w:ascii="Times New Roman" w:hAnsi="Times New Roman"/>
          <w:sz w:val="24"/>
          <w:szCs w:val="24"/>
        </w:rPr>
        <w:t>l’unité d’exécution du</w:t>
      </w:r>
      <w:r w:rsidR="00DC397F" w:rsidRPr="00D75D2E">
        <w:rPr>
          <w:rFonts w:ascii="Times New Roman" w:hAnsi="Times New Roman"/>
          <w:sz w:val="24"/>
          <w:szCs w:val="24"/>
        </w:rPr>
        <w:t xml:space="preserve"> </w:t>
      </w:r>
      <w:r w:rsidRPr="00D75D2E">
        <w:rPr>
          <w:rFonts w:ascii="Times New Roman" w:hAnsi="Times New Roman"/>
          <w:sz w:val="24"/>
          <w:szCs w:val="24"/>
        </w:rPr>
        <w:t xml:space="preserve">projet, la recherche et l’analyse documentaire, la collecte de données et la consultation publique, puis </w:t>
      </w:r>
      <w:r w:rsidR="00DD3B06">
        <w:rPr>
          <w:rFonts w:ascii="Times New Roman" w:hAnsi="Times New Roman"/>
          <w:sz w:val="24"/>
          <w:szCs w:val="24"/>
        </w:rPr>
        <w:t>l’</w:t>
      </w:r>
      <w:r w:rsidRPr="00D75D2E">
        <w:rPr>
          <w:rFonts w:ascii="Times New Roman" w:hAnsi="Times New Roman"/>
          <w:sz w:val="24"/>
          <w:szCs w:val="24"/>
        </w:rPr>
        <w:t xml:space="preserve">analyse des données </w:t>
      </w:r>
      <w:r w:rsidR="00DD3B06">
        <w:rPr>
          <w:rFonts w:ascii="Times New Roman" w:hAnsi="Times New Roman"/>
          <w:sz w:val="24"/>
          <w:szCs w:val="24"/>
        </w:rPr>
        <w:t>recueillie</w:t>
      </w:r>
      <w:r w:rsidR="00830618">
        <w:rPr>
          <w:rFonts w:ascii="Times New Roman" w:hAnsi="Times New Roman"/>
          <w:sz w:val="24"/>
          <w:szCs w:val="24"/>
        </w:rPr>
        <w:t>s</w:t>
      </w:r>
      <w:r w:rsidR="00DD3B06">
        <w:rPr>
          <w:rFonts w:ascii="Times New Roman" w:hAnsi="Times New Roman"/>
          <w:sz w:val="24"/>
          <w:szCs w:val="24"/>
        </w:rPr>
        <w:t xml:space="preserve"> </w:t>
      </w:r>
      <w:r w:rsidRPr="00D75D2E">
        <w:rPr>
          <w:rFonts w:ascii="Times New Roman" w:hAnsi="Times New Roman"/>
          <w:sz w:val="24"/>
          <w:szCs w:val="24"/>
        </w:rPr>
        <w:t>a permis de rédiger l</w:t>
      </w:r>
      <w:r w:rsidR="00830618">
        <w:rPr>
          <w:rFonts w:ascii="Times New Roman" w:hAnsi="Times New Roman"/>
          <w:sz w:val="24"/>
          <w:szCs w:val="24"/>
        </w:rPr>
        <w:t xml:space="preserve">a présente </w:t>
      </w:r>
      <w:r w:rsidRPr="00D75D2E">
        <w:rPr>
          <w:rFonts w:ascii="Times New Roman" w:hAnsi="Times New Roman"/>
          <w:sz w:val="24"/>
          <w:szCs w:val="24"/>
        </w:rPr>
        <w:t>EIES.</w:t>
      </w:r>
    </w:p>
    <w:p w14:paraId="11D5A359" w14:textId="77777777" w:rsidR="00D75D2E" w:rsidRPr="00D75D2E" w:rsidRDefault="00D75D2E" w:rsidP="008C79F0">
      <w:pPr>
        <w:numPr>
          <w:ilvl w:val="0"/>
          <w:numId w:val="125"/>
        </w:numPr>
        <w:spacing w:before="120" w:after="120" w:line="276" w:lineRule="auto"/>
        <w:ind w:left="714" w:hanging="357"/>
        <w:jc w:val="both"/>
        <w:rPr>
          <w:rFonts w:ascii="Times New Roman" w:hAnsi="Times New Roman"/>
          <w:b/>
          <w:i/>
          <w:sz w:val="24"/>
          <w:szCs w:val="24"/>
        </w:rPr>
      </w:pPr>
      <w:r w:rsidRPr="00D75D2E">
        <w:rPr>
          <w:rFonts w:ascii="Times New Roman" w:hAnsi="Times New Roman"/>
          <w:b/>
          <w:i/>
          <w:sz w:val="24"/>
          <w:szCs w:val="24"/>
        </w:rPr>
        <w:t xml:space="preserve">Brève description du projet  </w:t>
      </w:r>
      <w:bookmarkStart w:id="32" w:name="_Hlk518737485"/>
    </w:p>
    <w:p w14:paraId="4BE83EB6" w14:textId="77777777" w:rsidR="00D75D2E" w:rsidRPr="00D75D2E" w:rsidRDefault="00D75D2E" w:rsidP="00D75D2E">
      <w:pPr>
        <w:pStyle w:val="Corpsdetexte"/>
        <w:spacing w:after="0"/>
        <w:jc w:val="both"/>
        <w:rPr>
          <w:rFonts w:ascii="Times New Roman" w:hAnsi="Times New Roman"/>
          <w:sz w:val="24"/>
          <w:szCs w:val="24"/>
        </w:rPr>
      </w:pPr>
      <w:r w:rsidRPr="00D75D2E">
        <w:rPr>
          <w:rFonts w:ascii="Times New Roman" w:hAnsi="Times New Roman"/>
          <w:sz w:val="24"/>
          <w:szCs w:val="24"/>
        </w:rPr>
        <w:t>Les activités s’exécuteront dans dix (10) communes de la ville-province de Kinshasa, à savoir Kalamu, Bumbu, Mont-Ngafula, Selembao, Ngiri-Ngiri, Makala, Bandalungwa, Kintambo, Ngaliema et Barumbu</w:t>
      </w:r>
      <w:r w:rsidR="00830618">
        <w:rPr>
          <w:rFonts w:ascii="Times New Roman" w:hAnsi="Times New Roman"/>
          <w:sz w:val="24"/>
          <w:szCs w:val="24"/>
        </w:rPr>
        <w:t>.</w:t>
      </w:r>
    </w:p>
    <w:p w14:paraId="27BA9A7E" w14:textId="77777777" w:rsidR="00D75D2E" w:rsidRPr="00D75D2E" w:rsidRDefault="00D75D2E" w:rsidP="00D75D2E">
      <w:pPr>
        <w:spacing w:before="120" w:after="120" w:line="240" w:lineRule="auto"/>
        <w:ind w:right="6"/>
        <w:jc w:val="both"/>
        <w:rPr>
          <w:rFonts w:ascii="Times New Roman" w:hAnsi="Times New Roman"/>
          <w:sz w:val="24"/>
          <w:szCs w:val="24"/>
        </w:rPr>
      </w:pPr>
      <w:r w:rsidRPr="00D75D2E">
        <w:rPr>
          <w:rFonts w:ascii="Times New Roman" w:hAnsi="Times New Roman"/>
          <w:sz w:val="24"/>
          <w:szCs w:val="24"/>
        </w:rPr>
        <w:t xml:space="preserve">De manière générale, les activités à réaliser dans le cadre des travaux d’électrification des poches noires, d’assainissement, de réhabilitation et de mise en conformité des réseaux de distribution SNEL des directions de Kinshasa Centre et Ouest pris en charge par le nouveau projet dénommé « Projet de Gouvernance et d’Accès à l’Électricité, l’Eau potable et  l’Assainissement de base » portent essentiellement  sur : </w:t>
      </w:r>
    </w:p>
    <w:p w14:paraId="3CC5AD77" w14:textId="77777777" w:rsidR="00D75D2E" w:rsidRPr="00D75D2E" w:rsidRDefault="00D75D2E" w:rsidP="008C79F0">
      <w:pPr>
        <w:pStyle w:val="Paragraphedeliste"/>
        <w:numPr>
          <w:ilvl w:val="0"/>
          <w:numId w:val="132"/>
        </w:numPr>
        <w:spacing w:before="120" w:after="120" w:line="240" w:lineRule="auto"/>
        <w:ind w:left="567" w:right="6" w:hanging="425"/>
        <w:jc w:val="both"/>
        <w:rPr>
          <w:rFonts w:ascii="Times New Roman" w:hAnsi="Times New Roman"/>
          <w:sz w:val="24"/>
          <w:szCs w:val="24"/>
        </w:rPr>
      </w:pPr>
      <w:r w:rsidRPr="00D75D2E">
        <w:rPr>
          <w:rFonts w:ascii="Times New Roman" w:hAnsi="Times New Roman"/>
          <w:sz w:val="24"/>
          <w:szCs w:val="24"/>
        </w:rPr>
        <w:t>la décharge des réseaux de distribution (MT et BT) des directions de Kinshasa Centre et Kinshasa Ouest ;</w:t>
      </w:r>
    </w:p>
    <w:p w14:paraId="069C71F8" w14:textId="77777777" w:rsidR="00D75D2E" w:rsidRPr="00D75D2E" w:rsidRDefault="00D75D2E" w:rsidP="008C79F0">
      <w:pPr>
        <w:pStyle w:val="Paragraphedeliste"/>
        <w:numPr>
          <w:ilvl w:val="0"/>
          <w:numId w:val="132"/>
        </w:numPr>
        <w:spacing w:before="120" w:after="120" w:line="240" w:lineRule="auto"/>
        <w:ind w:left="567" w:right="6" w:hanging="425"/>
        <w:jc w:val="both"/>
        <w:rPr>
          <w:rFonts w:ascii="Times New Roman" w:hAnsi="Times New Roman"/>
          <w:sz w:val="24"/>
          <w:szCs w:val="24"/>
        </w:rPr>
      </w:pPr>
      <w:r w:rsidRPr="00D75D2E">
        <w:rPr>
          <w:rFonts w:ascii="Times New Roman" w:hAnsi="Times New Roman"/>
          <w:sz w:val="24"/>
          <w:szCs w:val="24"/>
        </w:rPr>
        <w:t>l’assainissement et la mise en conformité des réseaux de distribution (MT et BT) des directions de Kinshasa Centre et Kinshasa Ouest ;</w:t>
      </w:r>
    </w:p>
    <w:p w14:paraId="3ACCF25D" w14:textId="77777777" w:rsidR="00D75D2E" w:rsidRPr="00D75D2E" w:rsidRDefault="00D75D2E" w:rsidP="008C79F0">
      <w:pPr>
        <w:pStyle w:val="Paragraphedeliste"/>
        <w:numPr>
          <w:ilvl w:val="0"/>
          <w:numId w:val="132"/>
        </w:numPr>
        <w:spacing w:before="120" w:after="120" w:line="240" w:lineRule="auto"/>
        <w:ind w:left="567" w:right="6" w:hanging="425"/>
        <w:jc w:val="both"/>
        <w:rPr>
          <w:rFonts w:ascii="Times New Roman" w:hAnsi="Times New Roman"/>
          <w:sz w:val="24"/>
          <w:szCs w:val="24"/>
        </w:rPr>
      </w:pPr>
      <w:r w:rsidRPr="00D75D2E">
        <w:rPr>
          <w:rFonts w:ascii="Times New Roman" w:hAnsi="Times New Roman"/>
          <w:sz w:val="24"/>
          <w:szCs w:val="24"/>
        </w:rPr>
        <w:t>l’extension des réseaux de distribution (MT et BT) des directions de Kinshasa Centre et Kinshasa Ouest ;</w:t>
      </w:r>
      <w:r w:rsidR="005A37EA">
        <w:rPr>
          <w:rFonts w:ascii="Times New Roman" w:hAnsi="Times New Roman"/>
          <w:sz w:val="24"/>
          <w:szCs w:val="24"/>
        </w:rPr>
        <w:t xml:space="preserve"> </w:t>
      </w:r>
    </w:p>
    <w:p w14:paraId="637AA742" w14:textId="77777777" w:rsidR="00D75D2E" w:rsidRPr="00D75D2E" w:rsidRDefault="00D75D2E" w:rsidP="008C79F0">
      <w:pPr>
        <w:pStyle w:val="Paragraphedeliste"/>
        <w:numPr>
          <w:ilvl w:val="0"/>
          <w:numId w:val="132"/>
        </w:numPr>
        <w:spacing w:before="120" w:after="120" w:line="240" w:lineRule="auto"/>
        <w:ind w:left="567" w:right="6" w:hanging="425"/>
        <w:jc w:val="both"/>
        <w:rPr>
          <w:rFonts w:ascii="Times New Roman" w:hAnsi="Times New Roman"/>
          <w:sz w:val="24"/>
          <w:szCs w:val="24"/>
        </w:rPr>
      </w:pPr>
      <w:r w:rsidRPr="00D75D2E">
        <w:rPr>
          <w:rFonts w:ascii="Times New Roman" w:hAnsi="Times New Roman"/>
          <w:sz w:val="24"/>
          <w:szCs w:val="24"/>
        </w:rPr>
        <w:t xml:space="preserve">l’installation des compteurs BT à prépaiement chez les ménages. </w:t>
      </w:r>
    </w:p>
    <w:p w14:paraId="736F8822" w14:textId="21F47599" w:rsidR="00AF133F" w:rsidRPr="00D435B0" w:rsidRDefault="00D75D2E" w:rsidP="00AF133F">
      <w:pPr>
        <w:spacing w:line="240" w:lineRule="auto"/>
        <w:jc w:val="both"/>
        <w:rPr>
          <w:rFonts w:ascii="Times New Roman" w:hAnsi="Times New Roman"/>
          <w:sz w:val="24"/>
          <w:szCs w:val="24"/>
        </w:rPr>
      </w:pPr>
      <w:r w:rsidRPr="00D75D2E">
        <w:rPr>
          <w:rFonts w:ascii="Times New Roman" w:hAnsi="Times New Roman"/>
          <w:iCs/>
          <w:sz w:val="24"/>
          <w:szCs w:val="24"/>
        </w:rPr>
        <w:t xml:space="preserve">La réalisation de ce </w:t>
      </w:r>
      <w:r w:rsidR="00DD3B06">
        <w:rPr>
          <w:rFonts w:ascii="Times New Roman" w:hAnsi="Times New Roman"/>
          <w:iCs/>
          <w:sz w:val="24"/>
          <w:szCs w:val="24"/>
        </w:rPr>
        <w:t>sous-</w:t>
      </w:r>
      <w:r w:rsidRPr="00D75D2E">
        <w:rPr>
          <w:rFonts w:ascii="Times New Roman" w:hAnsi="Times New Roman"/>
          <w:iCs/>
          <w:sz w:val="24"/>
          <w:szCs w:val="24"/>
        </w:rPr>
        <w:t>projet va générer certes des impacts sociaux, économiques et environnementaux positifs mais également des impacts négatifs</w:t>
      </w:r>
      <w:r w:rsidR="00DD3B06">
        <w:rPr>
          <w:rFonts w:ascii="Times New Roman" w:hAnsi="Times New Roman"/>
          <w:iCs/>
          <w:sz w:val="24"/>
          <w:szCs w:val="24"/>
        </w:rPr>
        <w:t xml:space="preserve"> et risques associés à l’exécution des travaux</w:t>
      </w:r>
      <w:r w:rsidRPr="00D75D2E">
        <w:rPr>
          <w:rFonts w:ascii="Times New Roman" w:hAnsi="Times New Roman"/>
          <w:b/>
          <w:iCs/>
          <w:sz w:val="24"/>
          <w:szCs w:val="24"/>
        </w:rPr>
        <w:t xml:space="preserve">. </w:t>
      </w:r>
      <w:r w:rsidRPr="00D75D2E">
        <w:rPr>
          <w:rFonts w:ascii="Times New Roman" w:hAnsi="Times New Roman"/>
          <w:iCs/>
          <w:sz w:val="24"/>
          <w:szCs w:val="24"/>
        </w:rPr>
        <w:t>C’est dans le but d’identifier et d’évaluer les impacts environnementaux et sociaux négatifs et de gérer ces impacts pour se conformer aux exigences nationales et aux normes environnementales et sociales (NES) de la Banque mondiale, que la Coordination du projet</w:t>
      </w:r>
      <w:r w:rsidRPr="00D75D2E">
        <w:rPr>
          <w:rFonts w:ascii="Times New Roman" w:eastAsia="Times New Roman" w:hAnsi="Times New Roman"/>
          <w:sz w:val="24"/>
          <w:szCs w:val="24"/>
          <w:lang w:eastAsia="fr-FR" w:bidi="fr-FR"/>
        </w:rPr>
        <w:t xml:space="preserve"> </w:t>
      </w:r>
      <w:r w:rsidRPr="00D75D2E">
        <w:rPr>
          <w:rFonts w:ascii="Times New Roman" w:hAnsi="Times New Roman"/>
          <w:iCs/>
          <w:sz w:val="24"/>
          <w:szCs w:val="24"/>
        </w:rPr>
        <w:t xml:space="preserve">a initié </w:t>
      </w:r>
      <w:r w:rsidRPr="00D75D2E">
        <w:rPr>
          <w:rFonts w:ascii="Times New Roman" w:hAnsi="Times New Roman"/>
          <w:b/>
          <w:bCs/>
          <w:iCs/>
          <w:sz w:val="24"/>
          <w:szCs w:val="24"/>
        </w:rPr>
        <w:t>l’actualisation de l’Etude d’Impact Environnemental et Social (EIES) des travaux d’électrification des poches noires, d’assainissement, de réhabilitation et de mise en conformité des réseaux SNEL des Directions de Kinshasa Centre et Ouest (DKC-DKO)</w:t>
      </w:r>
      <w:r w:rsidR="00DD3B06">
        <w:rPr>
          <w:rFonts w:ascii="Times New Roman" w:hAnsi="Times New Roman"/>
          <w:iCs/>
          <w:sz w:val="24"/>
          <w:szCs w:val="24"/>
        </w:rPr>
        <w:t>.</w:t>
      </w:r>
      <w:r w:rsidR="00AF133F" w:rsidRPr="00AF133F">
        <w:rPr>
          <w:rFonts w:ascii="Times New Roman" w:hAnsi="Times New Roman"/>
          <w:sz w:val="24"/>
          <w:szCs w:val="24"/>
        </w:rPr>
        <w:t xml:space="preserve"> </w:t>
      </w:r>
    </w:p>
    <w:p w14:paraId="18C6758B" w14:textId="391C8B5A" w:rsidR="00FF4A4B" w:rsidRDefault="00EE4B1A" w:rsidP="00E737B4">
      <w:pPr>
        <w:spacing w:after="120" w:line="276" w:lineRule="auto"/>
        <w:jc w:val="both"/>
        <w:rPr>
          <w:rFonts w:ascii="Times New Roman" w:hAnsi="Times New Roman"/>
          <w:iCs/>
          <w:sz w:val="24"/>
          <w:szCs w:val="24"/>
        </w:rPr>
      </w:pPr>
      <w:r>
        <w:rPr>
          <w:rFonts w:ascii="Times New Roman" w:hAnsi="Times New Roman"/>
          <w:iCs/>
          <w:sz w:val="24"/>
          <w:szCs w:val="24"/>
        </w:rPr>
        <w:t xml:space="preserve">Le sous-projet d’électrification des poches noires, d’assainissement, de réhabilitation et mise en conformité des réseaux SNEL des directions de Kinshasa Ouest et </w:t>
      </w:r>
      <w:r w:rsidRPr="002A6B9A">
        <w:rPr>
          <w:rFonts w:ascii="Times New Roman" w:hAnsi="Times New Roman"/>
          <w:iCs/>
          <w:sz w:val="24"/>
          <w:szCs w:val="24"/>
        </w:rPr>
        <w:t xml:space="preserve">Centre est classé </w:t>
      </w:r>
      <w:r w:rsidR="00E114CA" w:rsidRPr="002A6B9A">
        <w:rPr>
          <w:rFonts w:ascii="Times New Roman" w:hAnsi="Times New Roman"/>
          <w:iCs/>
          <w:sz w:val="24"/>
          <w:szCs w:val="24"/>
        </w:rPr>
        <w:t xml:space="preserve">comme étant un sous-projet </w:t>
      </w:r>
      <w:r w:rsidRPr="002A6B9A">
        <w:rPr>
          <w:rFonts w:ascii="Times New Roman" w:hAnsi="Times New Roman"/>
          <w:iCs/>
          <w:sz w:val="24"/>
          <w:szCs w:val="24"/>
        </w:rPr>
        <w:t xml:space="preserve">à risque </w:t>
      </w:r>
      <w:r w:rsidR="007B1C4A" w:rsidRPr="002A6B9A">
        <w:rPr>
          <w:rFonts w:ascii="Times New Roman" w:hAnsi="Times New Roman"/>
          <w:iCs/>
          <w:sz w:val="24"/>
          <w:szCs w:val="24"/>
        </w:rPr>
        <w:t xml:space="preserve">substantiel </w:t>
      </w:r>
      <w:r w:rsidRPr="002A6B9A">
        <w:rPr>
          <w:rFonts w:ascii="Times New Roman" w:hAnsi="Times New Roman"/>
          <w:iCs/>
          <w:sz w:val="24"/>
          <w:szCs w:val="24"/>
        </w:rPr>
        <w:t>sur le plan environnemental</w:t>
      </w:r>
      <w:r w:rsidR="002D58FF" w:rsidRPr="002A6B9A">
        <w:rPr>
          <w:rFonts w:ascii="Times New Roman" w:hAnsi="Times New Roman"/>
          <w:iCs/>
          <w:sz w:val="24"/>
          <w:szCs w:val="24"/>
        </w:rPr>
        <w:t xml:space="preserve"> et </w:t>
      </w:r>
      <w:r w:rsidRPr="002A6B9A">
        <w:rPr>
          <w:rFonts w:ascii="Times New Roman" w:hAnsi="Times New Roman"/>
          <w:iCs/>
          <w:sz w:val="24"/>
          <w:szCs w:val="24"/>
        </w:rPr>
        <w:t>social et</w:t>
      </w:r>
      <w:r>
        <w:rPr>
          <w:rFonts w:ascii="Times New Roman" w:hAnsi="Times New Roman"/>
          <w:iCs/>
          <w:sz w:val="24"/>
          <w:szCs w:val="24"/>
        </w:rPr>
        <w:t xml:space="preserve"> risque substantiel sur le</w:t>
      </w:r>
      <w:r w:rsidR="003B27CB">
        <w:rPr>
          <w:rFonts w:ascii="Times New Roman" w:hAnsi="Times New Roman"/>
          <w:iCs/>
          <w:sz w:val="24"/>
          <w:szCs w:val="24"/>
        </w:rPr>
        <w:t xml:space="preserve"> plan d</w:t>
      </w:r>
      <w:r w:rsidR="005C672B">
        <w:rPr>
          <w:rFonts w:ascii="Times New Roman" w:hAnsi="Times New Roman"/>
          <w:iCs/>
          <w:sz w:val="24"/>
          <w:szCs w:val="24"/>
        </w:rPr>
        <w:t>’</w:t>
      </w:r>
      <w:r>
        <w:rPr>
          <w:rFonts w:ascii="Times New Roman" w:hAnsi="Times New Roman"/>
          <w:iCs/>
          <w:sz w:val="24"/>
          <w:szCs w:val="24"/>
        </w:rPr>
        <w:t>EAS/HS</w:t>
      </w:r>
      <w:r w:rsidR="00FF4A4B">
        <w:rPr>
          <w:rFonts w:ascii="Times New Roman" w:hAnsi="Times New Roman"/>
          <w:iCs/>
          <w:sz w:val="24"/>
          <w:szCs w:val="24"/>
        </w:rPr>
        <w:t>.</w:t>
      </w:r>
    </w:p>
    <w:p w14:paraId="10980C46" w14:textId="77777777" w:rsidR="00FF4A4B" w:rsidRPr="00E737B4" w:rsidRDefault="00FF4A4B" w:rsidP="008C79F0">
      <w:pPr>
        <w:numPr>
          <w:ilvl w:val="0"/>
          <w:numId w:val="125"/>
        </w:numPr>
        <w:spacing w:before="120" w:after="120" w:line="276" w:lineRule="auto"/>
        <w:ind w:left="714" w:hanging="357"/>
        <w:jc w:val="both"/>
        <w:rPr>
          <w:rFonts w:ascii="Times New Roman" w:hAnsi="Times New Roman"/>
          <w:b/>
          <w:i/>
          <w:iCs/>
          <w:sz w:val="24"/>
          <w:szCs w:val="24"/>
        </w:rPr>
      </w:pPr>
      <w:r w:rsidRPr="00E737B4">
        <w:rPr>
          <w:rFonts w:ascii="Times New Roman" w:hAnsi="Times New Roman"/>
          <w:b/>
          <w:i/>
          <w:iCs/>
          <w:sz w:val="24"/>
          <w:szCs w:val="24"/>
        </w:rPr>
        <w:t>Modalité de mise en œuvre</w:t>
      </w:r>
    </w:p>
    <w:p w14:paraId="43794F62" w14:textId="46CEBE96" w:rsidR="002D58FF" w:rsidRDefault="00FF4A4B" w:rsidP="00AE31F1">
      <w:pPr>
        <w:pStyle w:val="Commentaire"/>
        <w:jc w:val="both"/>
      </w:pPr>
      <w:r w:rsidRPr="00E737B4">
        <w:rPr>
          <w:rFonts w:ascii="Times New Roman" w:hAnsi="Times New Roman"/>
          <w:iCs/>
          <w:sz w:val="24"/>
          <w:szCs w:val="24"/>
        </w:rPr>
        <w:t xml:space="preserve">La mise en œuvre de ce sous-projet </w:t>
      </w:r>
      <w:r w:rsidR="00F840FF">
        <w:rPr>
          <w:rFonts w:ascii="Times New Roman" w:hAnsi="Times New Roman"/>
          <w:iCs/>
          <w:sz w:val="24"/>
          <w:szCs w:val="24"/>
        </w:rPr>
        <w:t>se fera</w:t>
      </w:r>
      <w:r w:rsidRPr="00E737B4">
        <w:rPr>
          <w:rFonts w:ascii="Times New Roman" w:hAnsi="Times New Roman"/>
          <w:iCs/>
          <w:sz w:val="24"/>
          <w:szCs w:val="24"/>
        </w:rPr>
        <w:t xml:space="preserve"> </w:t>
      </w:r>
      <w:r w:rsidR="00F840FF">
        <w:rPr>
          <w:rFonts w:ascii="Times New Roman" w:hAnsi="Times New Roman"/>
          <w:iCs/>
          <w:sz w:val="24"/>
          <w:szCs w:val="24"/>
        </w:rPr>
        <w:t>sous la coordination de</w:t>
      </w:r>
      <w:r>
        <w:rPr>
          <w:rFonts w:ascii="Times New Roman" w:hAnsi="Times New Roman"/>
          <w:iCs/>
          <w:sz w:val="24"/>
          <w:szCs w:val="24"/>
        </w:rPr>
        <w:t xml:space="preserve"> l’Unité de Coordination et de Management des Projets du ministère des Ressources hydrauliques et électricité</w:t>
      </w:r>
      <w:r w:rsidR="00F840FF">
        <w:rPr>
          <w:rFonts w:ascii="Times New Roman" w:hAnsi="Times New Roman"/>
          <w:iCs/>
          <w:sz w:val="24"/>
          <w:szCs w:val="24"/>
        </w:rPr>
        <w:t>, qui en assurera le fi</w:t>
      </w:r>
      <w:r w:rsidR="003B0CD0">
        <w:rPr>
          <w:rFonts w:ascii="Times New Roman" w:hAnsi="Times New Roman"/>
          <w:iCs/>
          <w:sz w:val="24"/>
          <w:szCs w:val="24"/>
        </w:rPr>
        <w:t>duciaire et le volet technique sera assuré par la Société Nationale d’Electricité</w:t>
      </w:r>
      <w:r w:rsidR="002D58FF" w:rsidRPr="00AE31F1">
        <w:rPr>
          <w:rFonts w:ascii="Times New Roman" w:hAnsi="Times New Roman"/>
          <w:iCs/>
          <w:sz w:val="24"/>
          <w:szCs w:val="24"/>
        </w:rPr>
        <w:t xml:space="preserve"> Il devra requérir les services d’entreprises spécialisées pour les travaux de construction des ouvrages.</w:t>
      </w:r>
    </w:p>
    <w:p w14:paraId="2FE60539" w14:textId="77777777" w:rsidR="00DD03AA" w:rsidRPr="000125EF" w:rsidRDefault="00DD03AA" w:rsidP="00DD03AA">
      <w:pPr>
        <w:spacing w:before="120" w:after="120" w:line="240" w:lineRule="auto"/>
        <w:jc w:val="both"/>
        <w:rPr>
          <w:rFonts w:ascii="Times New Roman" w:hAnsi="Times New Roman"/>
          <w:iCs/>
          <w:sz w:val="24"/>
          <w:szCs w:val="24"/>
        </w:rPr>
      </w:pPr>
      <w:r w:rsidRPr="00AE31F1">
        <w:rPr>
          <w:rFonts w:ascii="Times New Roman" w:hAnsi="Times New Roman"/>
          <w:iCs/>
          <w:sz w:val="24"/>
          <w:szCs w:val="24"/>
        </w:rPr>
        <w:t>Au plan institutionnel, la mise</w:t>
      </w:r>
      <w:r w:rsidRPr="00DD03AA">
        <w:rPr>
          <w:rFonts w:ascii="Times New Roman" w:hAnsi="Times New Roman"/>
          <w:iCs/>
          <w:sz w:val="24"/>
          <w:szCs w:val="24"/>
        </w:rPr>
        <w:t xml:space="preserve"> en œuvre du proje</w:t>
      </w:r>
      <w:r w:rsidRPr="009E197F">
        <w:rPr>
          <w:rFonts w:ascii="Times New Roman" w:hAnsi="Times New Roman"/>
          <w:iCs/>
          <w:sz w:val="24"/>
          <w:szCs w:val="24"/>
        </w:rPr>
        <w:t>t relève de l’Unité de Coordination et de Management des projets (UCM) du Ministère des Ressources Hydrauliques et de l’électricité, le Ministère de l'Environnement et Développement Durable (MEDD) à travers l’</w:t>
      </w:r>
      <w:r w:rsidRPr="00AE31F1">
        <w:rPr>
          <w:rFonts w:ascii="Times New Roman" w:hAnsi="Times New Roman"/>
          <w:iCs/>
          <w:sz w:val="24"/>
          <w:szCs w:val="24"/>
        </w:rPr>
        <w:t>Agence Congolaise de l’Environnement (ACE) qui a pour mission l’évaluation et l’approbation de l’ensemble des études environnementales et sociales ainsi que le suivi de leur mise en œuvre ; le</w:t>
      </w:r>
      <w:r w:rsidRPr="001F1282">
        <w:rPr>
          <w:rFonts w:ascii="Times New Roman" w:hAnsi="Times New Roman"/>
          <w:iCs/>
          <w:sz w:val="24"/>
          <w:szCs w:val="24"/>
        </w:rPr>
        <w:t xml:space="preserve"> Ministère de l’Emploi, Travail et Prévoyance Sociale ; </w:t>
      </w:r>
      <w:r w:rsidRPr="00AE31F1">
        <w:rPr>
          <w:rFonts w:ascii="Times New Roman" w:hAnsi="Times New Roman"/>
          <w:iCs/>
          <w:sz w:val="24"/>
          <w:szCs w:val="24"/>
        </w:rPr>
        <w:t xml:space="preserve">le </w:t>
      </w:r>
      <w:r w:rsidRPr="00DD03AA">
        <w:rPr>
          <w:rFonts w:ascii="Times New Roman" w:hAnsi="Times New Roman"/>
          <w:iCs/>
          <w:sz w:val="24"/>
          <w:szCs w:val="24"/>
        </w:rPr>
        <w:t>Ministère de la Santé publique avec le Comité Multis</w:t>
      </w:r>
      <w:r w:rsidRPr="004C12CB">
        <w:rPr>
          <w:rFonts w:ascii="Times New Roman" w:hAnsi="Times New Roman"/>
          <w:iCs/>
          <w:sz w:val="24"/>
          <w:szCs w:val="24"/>
        </w:rPr>
        <w:t>ectoriel de Riposte contre le COVID-19 ainsi que les formations sanitaires de prise en charge des survivants des violences basées sur le genre ; le ministère des affaires sociales, le Ministère du G</w:t>
      </w:r>
      <w:r w:rsidRPr="00BB1D8F">
        <w:rPr>
          <w:rFonts w:ascii="Times New Roman" w:hAnsi="Times New Roman"/>
          <w:iCs/>
          <w:sz w:val="24"/>
          <w:szCs w:val="24"/>
        </w:rPr>
        <w:t xml:space="preserve">enre Enfant et Famille, les mairies, les ONG locales et les OBC  spécialisées en VBG ; etc.  </w:t>
      </w:r>
    </w:p>
    <w:p w14:paraId="1A477622" w14:textId="61DB4739" w:rsidR="002A6B9A" w:rsidRPr="002A6B9A" w:rsidRDefault="00DD03AA" w:rsidP="002A6B9A">
      <w:pPr>
        <w:spacing w:before="120" w:after="120" w:line="276" w:lineRule="auto"/>
        <w:jc w:val="both"/>
        <w:rPr>
          <w:rFonts w:ascii="Times New Roman" w:eastAsia="Times New Roman" w:hAnsi="Times New Roman"/>
          <w:b/>
          <w:i/>
          <w:sz w:val="24"/>
          <w:szCs w:val="24"/>
          <w:lang w:eastAsia="x-none"/>
        </w:rPr>
      </w:pPr>
      <w:r w:rsidRPr="002F4BEA">
        <w:rPr>
          <w:rFonts w:ascii="Times New Roman" w:hAnsi="Times New Roman"/>
          <w:iCs/>
          <w:sz w:val="24"/>
          <w:szCs w:val="24"/>
        </w:rPr>
        <w:t xml:space="preserve">Parmi les autres acteurs impliqués figurent </w:t>
      </w:r>
      <w:r w:rsidRPr="00AE31F1">
        <w:rPr>
          <w:rFonts w:ascii="Times New Roman" w:hAnsi="Times New Roman"/>
          <w:iCs/>
          <w:sz w:val="24"/>
          <w:szCs w:val="24"/>
        </w:rPr>
        <w:t xml:space="preserve">la Coordination Provinciale de l’Environnement (CPE), la Coordination Urbaine de l’Environnement (CUE) et le Comité de Pilotage Local (CPL) de chaque commune concernée par le projet. </w:t>
      </w:r>
      <w:bookmarkEnd w:id="32"/>
    </w:p>
    <w:p w14:paraId="1EB4A092" w14:textId="697DCDA7" w:rsidR="00D75D2E" w:rsidRPr="00D75D2E" w:rsidRDefault="00D75D2E" w:rsidP="008C79F0">
      <w:pPr>
        <w:numPr>
          <w:ilvl w:val="0"/>
          <w:numId w:val="125"/>
        </w:numPr>
        <w:spacing w:before="120" w:after="120" w:line="276" w:lineRule="auto"/>
        <w:ind w:left="714" w:hanging="357"/>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 xml:space="preserve">Brève description de l'état initial de l'environnement </w:t>
      </w:r>
    </w:p>
    <w:p w14:paraId="7F082077" w14:textId="6F8A5C54" w:rsidR="001F635F" w:rsidRDefault="00D75D2E" w:rsidP="00D75D2E">
      <w:pPr>
        <w:spacing w:line="240" w:lineRule="auto"/>
        <w:jc w:val="both"/>
        <w:rPr>
          <w:rFonts w:ascii="Times New Roman" w:hAnsi="Times New Roman"/>
          <w:sz w:val="24"/>
          <w:szCs w:val="24"/>
        </w:rPr>
      </w:pPr>
      <w:r w:rsidRPr="00D75D2E">
        <w:rPr>
          <w:rFonts w:ascii="Times New Roman" w:hAnsi="Times New Roman"/>
          <w:sz w:val="24"/>
          <w:szCs w:val="24"/>
        </w:rPr>
        <w:t>La zone du projet couvre dix (10) communes de la ville de Kinshasa, à savoir Kalamu, Bumbu, Mont-Ngafula, Selembao, Ngiri-Ngiri, Makala, Bandalungwa, Kintambo, Ngaliema et Barumbu</w:t>
      </w:r>
      <w:r w:rsidR="00B10BFD">
        <w:rPr>
          <w:rFonts w:ascii="Times New Roman" w:hAnsi="Times New Roman"/>
          <w:sz w:val="24"/>
          <w:szCs w:val="24"/>
        </w:rPr>
        <w:t>, qui représente 60% de la zone urbaine de la ville</w:t>
      </w:r>
      <w:r w:rsidRPr="00D75D2E">
        <w:rPr>
          <w:rFonts w:ascii="Times New Roman" w:hAnsi="Times New Roman"/>
          <w:sz w:val="24"/>
          <w:szCs w:val="24"/>
        </w:rPr>
        <w:t>.</w:t>
      </w:r>
      <w:r w:rsidRPr="00D75D2E">
        <w:rPr>
          <w:rFonts w:ascii="Times New Roman" w:eastAsia="Times New Roman" w:hAnsi="Times New Roman"/>
          <w:sz w:val="24"/>
          <w:szCs w:val="24"/>
          <w:lang w:eastAsia="fr-FR"/>
        </w:rPr>
        <w:t xml:space="preserve"> </w:t>
      </w:r>
      <w:r w:rsidRPr="00D75D2E">
        <w:rPr>
          <w:rFonts w:ascii="Times New Roman" w:hAnsi="Times New Roman"/>
          <w:sz w:val="24"/>
          <w:szCs w:val="24"/>
          <w:lang w:val="fr-MC"/>
        </w:rPr>
        <w:t>Le milieu physique est caractérisé par un</w:t>
      </w:r>
      <w:r w:rsidRPr="00D75D2E">
        <w:rPr>
          <w:rFonts w:ascii="Times New Roman" w:hAnsi="Times New Roman"/>
          <w:sz w:val="24"/>
          <w:szCs w:val="24"/>
        </w:rPr>
        <w:t xml:space="preserve"> climat tropical chaud et humide à deux saisons : une saison pluvieuse de septembre à mai et une saison sèche de juin à septembre. Le</w:t>
      </w:r>
      <w:r w:rsidRPr="00D75D2E">
        <w:rPr>
          <w:rFonts w:ascii="Times New Roman" w:eastAsia="Times New Roman" w:hAnsi="Times New Roman"/>
          <w:sz w:val="24"/>
          <w:szCs w:val="24"/>
          <w:lang w:val="fr-MC" w:eastAsia="fr-FR"/>
        </w:rPr>
        <w:t xml:space="preserve"> </w:t>
      </w:r>
      <w:r w:rsidRPr="00D75D2E">
        <w:rPr>
          <w:rFonts w:ascii="Times New Roman" w:hAnsi="Times New Roman"/>
          <w:sz w:val="24"/>
          <w:szCs w:val="24"/>
        </w:rPr>
        <w:t>relief est surtout constitué d’un plateau ondulé.</w:t>
      </w:r>
      <w:r w:rsidRPr="00D75D2E">
        <w:rPr>
          <w:rFonts w:ascii="Times New Roman" w:eastAsia="Times New Roman" w:hAnsi="Times New Roman"/>
          <w:sz w:val="24"/>
          <w:szCs w:val="24"/>
          <w:lang w:eastAsia="fr-FR"/>
        </w:rPr>
        <w:t xml:space="preserve"> </w:t>
      </w:r>
      <w:r w:rsidRPr="00D75D2E">
        <w:rPr>
          <w:rFonts w:ascii="Times New Roman" w:hAnsi="Times New Roman"/>
          <w:sz w:val="24"/>
          <w:szCs w:val="24"/>
        </w:rPr>
        <w:t>Le réseau hydrographique est constitué de quelques rivières dont celui de la Paix, de Nzopindo, Basoko I et II et Makanza.</w:t>
      </w:r>
      <w:r w:rsidRPr="00D75D2E">
        <w:rPr>
          <w:rFonts w:ascii="Times New Roman" w:hAnsi="Times New Roman"/>
          <w:bCs/>
          <w:iCs/>
          <w:sz w:val="24"/>
          <w:szCs w:val="24"/>
        </w:rPr>
        <w:t xml:space="preserve"> Le </w:t>
      </w:r>
      <w:r w:rsidRPr="00D75D2E">
        <w:rPr>
          <w:rFonts w:ascii="Times New Roman" w:hAnsi="Times New Roman"/>
          <w:sz w:val="24"/>
          <w:szCs w:val="24"/>
        </w:rPr>
        <w:t>sol est de type Arénoferrasol, constitué des sables fins et d’argile (inférieure à 20%) avec une faible teneur en matière organique. Il est fortement exposé aux risques d’érosion menaçant souvent des infrastructures en place notamment des maisons d’habitations, des voies d’accès, des ligne</w:t>
      </w:r>
      <w:r w:rsidR="003B27CB">
        <w:rPr>
          <w:rFonts w:ascii="Times New Roman" w:hAnsi="Times New Roman"/>
          <w:sz w:val="24"/>
          <w:szCs w:val="24"/>
        </w:rPr>
        <w:t>s</w:t>
      </w:r>
      <w:r w:rsidRPr="00D75D2E">
        <w:rPr>
          <w:rFonts w:ascii="Times New Roman" w:hAnsi="Times New Roman"/>
          <w:sz w:val="24"/>
          <w:szCs w:val="24"/>
        </w:rPr>
        <w:t xml:space="preserve"> ainsi que des poteaux électriques. La végétation est de type arboré-herbacé à rudérale et aquatique</w:t>
      </w:r>
      <w:r w:rsidR="003B12E2">
        <w:rPr>
          <w:rFonts w:ascii="Times New Roman" w:hAnsi="Times New Roman"/>
          <w:sz w:val="24"/>
          <w:szCs w:val="24"/>
        </w:rPr>
        <w:t xml:space="preserve">. Cette végétation </w:t>
      </w:r>
      <w:r w:rsidR="00BF1495">
        <w:rPr>
          <w:rFonts w:ascii="Times New Roman" w:hAnsi="Times New Roman"/>
          <w:sz w:val="24"/>
          <w:szCs w:val="24"/>
        </w:rPr>
        <w:t>e</w:t>
      </w:r>
      <w:r w:rsidR="003B12E2">
        <w:rPr>
          <w:rFonts w:ascii="Times New Roman" w:hAnsi="Times New Roman"/>
          <w:sz w:val="24"/>
          <w:szCs w:val="24"/>
        </w:rPr>
        <w:t>s</w:t>
      </w:r>
      <w:r w:rsidR="00BF1495">
        <w:rPr>
          <w:rFonts w:ascii="Times New Roman" w:hAnsi="Times New Roman"/>
          <w:sz w:val="24"/>
          <w:szCs w:val="24"/>
        </w:rPr>
        <w:t>t peuplée par les espèces tel</w:t>
      </w:r>
      <w:r w:rsidR="003B12E2">
        <w:rPr>
          <w:rFonts w:ascii="Times New Roman" w:hAnsi="Times New Roman"/>
          <w:sz w:val="24"/>
          <w:szCs w:val="24"/>
        </w:rPr>
        <w:t>le</w:t>
      </w:r>
      <w:r w:rsidR="00BF1495">
        <w:rPr>
          <w:rFonts w:ascii="Times New Roman" w:hAnsi="Times New Roman"/>
          <w:sz w:val="24"/>
          <w:szCs w:val="24"/>
        </w:rPr>
        <w:t xml:space="preserve">s que : </w:t>
      </w:r>
      <w:r w:rsidR="00BF1495" w:rsidRPr="00AE31F1">
        <w:rPr>
          <w:rFonts w:ascii="Times New Roman" w:hAnsi="Times New Roman"/>
          <w:i/>
          <w:sz w:val="24"/>
          <w:szCs w:val="24"/>
        </w:rPr>
        <w:t>Mangifera Indica</w:t>
      </w:r>
      <w:r w:rsidR="00BF1495">
        <w:rPr>
          <w:rFonts w:ascii="Times New Roman" w:hAnsi="Times New Roman"/>
          <w:i/>
          <w:sz w:val="24"/>
          <w:szCs w:val="24"/>
        </w:rPr>
        <w:t>, Persea americana, Elaeis guinensis, Eugenia malaccensis, Carica papaya, Dacruodes edulis, Terminalia mantaly, Musa sp, Artocarpus altilis, Moringa oleifera,</w:t>
      </w:r>
      <w:r w:rsidR="00EB7D46">
        <w:rPr>
          <w:rFonts w:ascii="Times New Roman" w:hAnsi="Times New Roman"/>
          <w:i/>
          <w:sz w:val="24"/>
          <w:szCs w:val="24"/>
        </w:rPr>
        <w:t xml:space="preserve"> abies alba, Adonsonia digitata, Albizia adianthifolia, Annona reticulata, Artocarpus altilis, Averrhoa carambola, Borasus aethiopum, Carpentaria acuminata, citrus sp, Cocos nucifera, Cupressus sp, Delonix Regia, Dichrostachys cinera, Dracaena sp, </w:t>
      </w:r>
      <w:r w:rsidR="006E7225">
        <w:rPr>
          <w:rFonts w:ascii="Times New Roman" w:hAnsi="Times New Roman"/>
          <w:i/>
          <w:sz w:val="24"/>
          <w:szCs w:val="24"/>
        </w:rPr>
        <w:t>Eucalyptus sp, Flacouria ramontchi, Garcinia mangostana, Leucena leucocephala, Milletia lautentii, Musanga cecropioides, Nwebouldia laevis, Oncoba spinosa, Passiflora edulus, Psidium guajava, Ravenala madagascariensis, Tabebuia impetiginosa, Terminalia catapa, Terminalia sp, Theob</w:t>
      </w:r>
      <w:r w:rsidR="000350FB">
        <w:rPr>
          <w:rFonts w:ascii="Times New Roman" w:hAnsi="Times New Roman"/>
          <w:i/>
          <w:sz w:val="24"/>
          <w:szCs w:val="24"/>
        </w:rPr>
        <w:t>roma cacao, Vernonia amygdalina</w:t>
      </w:r>
      <w:r w:rsidRPr="00D75D2E">
        <w:rPr>
          <w:rFonts w:ascii="Times New Roman" w:hAnsi="Times New Roman"/>
          <w:sz w:val="24"/>
          <w:szCs w:val="24"/>
        </w:rPr>
        <w:t xml:space="preserve">. </w:t>
      </w:r>
      <w:r w:rsidR="00513EB6">
        <w:rPr>
          <w:rFonts w:ascii="Times New Roman" w:hAnsi="Times New Roman"/>
          <w:sz w:val="24"/>
          <w:szCs w:val="24"/>
        </w:rPr>
        <w:t xml:space="preserve"> </w:t>
      </w:r>
      <w:r w:rsidR="000350FB">
        <w:rPr>
          <w:rFonts w:ascii="Times New Roman" w:hAnsi="Times New Roman"/>
          <w:sz w:val="24"/>
          <w:szCs w:val="24"/>
        </w:rPr>
        <w:t>L’emprise de la zone du sous-projet n</w:t>
      </w:r>
      <w:r w:rsidR="003E6768">
        <w:rPr>
          <w:rFonts w:ascii="Times New Roman" w:hAnsi="Times New Roman"/>
          <w:sz w:val="24"/>
          <w:szCs w:val="24"/>
        </w:rPr>
        <w:t>e renferme aucune aire protégée ou</w:t>
      </w:r>
      <w:r w:rsidR="000350FB">
        <w:rPr>
          <w:rFonts w:ascii="Times New Roman" w:hAnsi="Times New Roman"/>
          <w:sz w:val="24"/>
          <w:szCs w:val="24"/>
        </w:rPr>
        <w:t xml:space="preserve"> forêts classées</w:t>
      </w:r>
      <w:r w:rsidR="003E6768">
        <w:rPr>
          <w:rFonts w:ascii="Times New Roman" w:hAnsi="Times New Roman"/>
          <w:sz w:val="24"/>
          <w:szCs w:val="24"/>
        </w:rPr>
        <w:t xml:space="preserve">. Cependant, la commune de Mont-Ngafula couvert par le </w:t>
      </w:r>
      <w:r w:rsidR="00A15B88">
        <w:rPr>
          <w:rFonts w:ascii="Times New Roman" w:hAnsi="Times New Roman"/>
          <w:sz w:val="24"/>
          <w:szCs w:val="24"/>
        </w:rPr>
        <w:t>sous-</w:t>
      </w:r>
      <w:r w:rsidR="003E6768">
        <w:rPr>
          <w:rFonts w:ascii="Times New Roman" w:hAnsi="Times New Roman"/>
          <w:sz w:val="24"/>
          <w:szCs w:val="24"/>
        </w:rPr>
        <w:t>projet regorge</w:t>
      </w:r>
      <w:r w:rsidR="00A15B88">
        <w:rPr>
          <w:rFonts w:ascii="Times New Roman" w:hAnsi="Times New Roman"/>
          <w:sz w:val="24"/>
          <w:szCs w:val="24"/>
        </w:rPr>
        <w:t>, notamment :</w:t>
      </w:r>
      <w:r w:rsidR="003E6768">
        <w:rPr>
          <w:rFonts w:ascii="Times New Roman" w:hAnsi="Times New Roman"/>
          <w:sz w:val="24"/>
          <w:szCs w:val="24"/>
        </w:rPr>
        <w:t xml:space="preserve"> un site naturel du nom de </w:t>
      </w:r>
      <w:r w:rsidR="00D8597D">
        <w:rPr>
          <w:rFonts w:ascii="Times New Roman" w:hAnsi="Times New Roman"/>
          <w:sz w:val="24"/>
          <w:szCs w:val="24"/>
        </w:rPr>
        <w:t xml:space="preserve">Sanctuaire de Bonobo ou </w:t>
      </w:r>
      <w:r w:rsidR="003E6768">
        <w:rPr>
          <w:rFonts w:ascii="Times New Roman" w:hAnsi="Times New Roman"/>
          <w:sz w:val="24"/>
          <w:szCs w:val="24"/>
        </w:rPr>
        <w:t xml:space="preserve">Lola ya Bonobo, </w:t>
      </w:r>
      <w:r w:rsidR="000350FB">
        <w:rPr>
          <w:rFonts w:ascii="Times New Roman" w:hAnsi="Times New Roman"/>
          <w:sz w:val="24"/>
          <w:szCs w:val="24"/>
        </w:rPr>
        <w:t xml:space="preserve"> </w:t>
      </w:r>
      <w:r w:rsidR="008E318F">
        <w:rPr>
          <w:rFonts w:ascii="Times New Roman" w:hAnsi="Times New Roman"/>
          <w:sz w:val="24"/>
          <w:szCs w:val="24"/>
        </w:rPr>
        <w:t xml:space="preserve">3 sites touristiques à savoir : Chute de Lukaya, Mayi ya Pembe, </w:t>
      </w:r>
      <w:r w:rsidR="000350FB">
        <w:rPr>
          <w:rFonts w:ascii="Times New Roman" w:hAnsi="Times New Roman"/>
          <w:sz w:val="24"/>
          <w:szCs w:val="24"/>
        </w:rPr>
        <w:t xml:space="preserve">et </w:t>
      </w:r>
      <w:r w:rsidR="00D8597D">
        <w:rPr>
          <w:rFonts w:ascii="Times New Roman" w:hAnsi="Times New Roman"/>
          <w:sz w:val="24"/>
          <w:szCs w:val="24"/>
        </w:rPr>
        <w:t>la Place Mfuti.</w:t>
      </w:r>
      <w:r w:rsidR="0010755B">
        <w:rPr>
          <w:rFonts w:ascii="Times New Roman" w:hAnsi="Times New Roman"/>
          <w:sz w:val="24"/>
          <w:szCs w:val="24"/>
        </w:rPr>
        <w:t xml:space="preserve"> </w:t>
      </w:r>
      <w:r w:rsidR="009F6FE9">
        <w:rPr>
          <w:rFonts w:ascii="Times New Roman" w:hAnsi="Times New Roman"/>
          <w:sz w:val="24"/>
          <w:szCs w:val="24"/>
        </w:rPr>
        <w:t xml:space="preserve">La </w:t>
      </w:r>
      <w:r w:rsidR="0010755B">
        <w:rPr>
          <w:rFonts w:ascii="Times New Roman" w:hAnsi="Times New Roman"/>
          <w:sz w:val="24"/>
          <w:szCs w:val="24"/>
        </w:rPr>
        <w:t xml:space="preserve">zone couverte par le sous-projet </w:t>
      </w:r>
      <w:r w:rsidR="008E1FBE">
        <w:rPr>
          <w:rFonts w:ascii="Times New Roman" w:hAnsi="Times New Roman"/>
          <w:sz w:val="24"/>
          <w:szCs w:val="24"/>
        </w:rPr>
        <w:t>ne</w:t>
      </w:r>
      <w:r w:rsidR="0010755B">
        <w:rPr>
          <w:rFonts w:ascii="Times New Roman" w:hAnsi="Times New Roman"/>
          <w:sz w:val="24"/>
          <w:szCs w:val="24"/>
        </w:rPr>
        <w:t xml:space="preserve"> regorge pas des sites à caractère historique ou à valeur archéologique connue. </w:t>
      </w:r>
    </w:p>
    <w:p w14:paraId="1280B963" w14:textId="78C03FCB" w:rsidR="00D75D2E" w:rsidRPr="00D75D2E" w:rsidRDefault="00D75D2E" w:rsidP="00D75D2E">
      <w:pPr>
        <w:spacing w:line="240" w:lineRule="auto"/>
        <w:jc w:val="both"/>
        <w:rPr>
          <w:rFonts w:ascii="Times New Roman" w:eastAsia="Times New Roman" w:hAnsi="Times New Roman"/>
          <w:sz w:val="24"/>
          <w:szCs w:val="24"/>
        </w:rPr>
      </w:pPr>
      <w:r w:rsidRPr="00D75D2E">
        <w:rPr>
          <w:rFonts w:ascii="Times New Roman" w:eastAsia="Times New Roman" w:hAnsi="Times New Roman"/>
          <w:sz w:val="24"/>
          <w:szCs w:val="24"/>
        </w:rPr>
        <w:t>La zone du projet (à cheval sur 10 communes), comptait une population de</w:t>
      </w:r>
      <w:r w:rsidR="003B27CB">
        <w:rPr>
          <w:rFonts w:ascii="Times New Roman" w:eastAsia="Times New Roman" w:hAnsi="Times New Roman"/>
          <w:sz w:val="24"/>
          <w:szCs w:val="24"/>
        </w:rPr>
        <w:t xml:space="preserve"> </w:t>
      </w:r>
      <w:r w:rsidRPr="00D75D2E">
        <w:rPr>
          <w:rFonts w:ascii="Times New Roman" w:eastAsia="Times New Roman" w:hAnsi="Times New Roman"/>
          <w:sz w:val="24"/>
          <w:szCs w:val="24"/>
        </w:rPr>
        <w:t>3</w:t>
      </w:r>
      <w:r w:rsidR="003B27CB">
        <w:rPr>
          <w:rFonts w:ascii="Times New Roman" w:eastAsia="Times New Roman" w:hAnsi="Times New Roman"/>
          <w:sz w:val="24"/>
          <w:szCs w:val="24"/>
        </w:rPr>
        <w:t xml:space="preserve"> </w:t>
      </w:r>
      <w:r w:rsidRPr="00D75D2E">
        <w:rPr>
          <w:rFonts w:ascii="Times New Roman" w:eastAsia="Times New Roman" w:hAnsi="Times New Roman"/>
          <w:sz w:val="24"/>
          <w:szCs w:val="24"/>
        </w:rPr>
        <w:t>782</w:t>
      </w:r>
      <w:r w:rsidR="003B27CB">
        <w:rPr>
          <w:rFonts w:ascii="Times New Roman" w:eastAsia="Times New Roman" w:hAnsi="Times New Roman"/>
          <w:sz w:val="24"/>
          <w:szCs w:val="24"/>
        </w:rPr>
        <w:t xml:space="preserve"> </w:t>
      </w:r>
      <w:r w:rsidRPr="00D75D2E">
        <w:rPr>
          <w:rFonts w:ascii="Times New Roman" w:eastAsia="Times New Roman" w:hAnsi="Times New Roman"/>
          <w:sz w:val="24"/>
          <w:szCs w:val="24"/>
        </w:rPr>
        <w:t xml:space="preserve">958 habitants en 2015 (Monographie de la ville de Kinshasa : </w:t>
      </w:r>
      <w:r w:rsidRPr="00D75D2E">
        <w:rPr>
          <w:rFonts w:ascii="Times New Roman" w:hAnsi="Times New Roman"/>
        </w:rPr>
        <w:t xml:space="preserve">S. Shomba Kinyamba </w:t>
      </w:r>
      <w:r w:rsidRPr="00D75D2E">
        <w:rPr>
          <w:rFonts w:ascii="Times New Roman" w:hAnsi="Times New Roman"/>
          <w:i/>
        </w:rPr>
        <w:t>et al,</w:t>
      </w:r>
      <w:r w:rsidRPr="00D75D2E">
        <w:rPr>
          <w:rFonts w:ascii="Times New Roman" w:eastAsia="Times New Roman" w:hAnsi="Times New Roman"/>
          <w:sz w:val="24"/>
          <w:szCs w:val="24"/>
        </w:rPr>
        <w:t xml:space="preserve"> 2015)</w:t>
      </w:r>
      <w:r w:rsidR="003B27CB">
        <w:rPr>
          <w:rFonts w:ascii="Times New Roman" w:eastAsia="Times New Roman" w:hAnsi="Times New Roman"/>
          <w:sz w:val="24"/>
          <w:szCs w:val="24"/>
        </w:rPr>
        <w:t>.</w:t>
      </w:r>
      <w:r w:rsidR="009F6FE9">
        <w:rPr>
          <w:rFonts w:ascii="Times New Roman" w:eastAsia="Times New Roman" w:hAnsi="Times New Roman"/>
          <w:sz w:val="24"/>
          <w:szCs w:val="24"/>
        </w:rPr>
        <w:t xml:space="preserve"> </w:t>
      </w:r>
      <w:r w:rsidR="003B27CB">
        <w:rPr>
          <w:rFonts w:ascii="Times New Roman" w:eastAsia="Times New Roman" w:hAnsi="Times New Roman"/>
          <w:sz w:val="24"/>
          <w:szCs w:val="24"/>
        </w:rPr>
        <w:t>Cette</w:t>
      </w:r>
      <w:r w:rsidRPr="00D75D2E">
        <w:rPr>
          <w:rFonts w:ascii="Times New Roman" w:eastAsia="Times New Roman" w:hAnsi="Times New Roman"/>
          <w:sz w:val="24"/>
          <w:szCs w:val="24"/>
        </w:rPr>
        <w:t xml:space="preserve"> population est estimée sur la base des données de cette monographie (au taux de croissance annuel de 5,5 %) à 4</w:t>
      </w:r>
      <w:r w:rsidR="003B27CB">
        <w:rPr>
          <w:rFonts w:ascii="Times New Roman" w:eastAsia="Times New Roman" w:hAnsi="Times New Roman"/>
          <w:sz w:val="24"/>
          <w:szCs w:val="24"/>
        </w:rPr>
        <w:t> </w:t>
      </w:r>
      <w:r w:rsidRPr="00D75D2E">
        <w:rPr>
          <w:rFonts w:ascii="Times New Roman" w:eastAsia="Times New Roman" w:hAnsi="Times New Roman"/>
          <w:sz w:val="24"/>
          <w:szCs w:val="24"/>
        </w:rPr>
        <w:t>944</w:t>
      </w:r>
      <w:r w:rsidR="003B27CB">
        <w:rPr>
          <w:rFonts w:ascii="Times New Roman" w:eastAsia="Times New Roman" w:hAnsi="Times New Roman"/>
          <w:sz w:val="24"/>
          <w:szCs w:val="24"/>
        </w:rPr>
        <w:t xml:space="preserve"> </w:t>
      </w:r>
      <w:r w:rsidRPr="00D75D2E">
        <w:rPr>
          <w:rFonts w:ascii="Times New Roman" w:eastAsia="Times New Roman" w:hAnsi="Times New Roman"/>
          <w:sz w:val="24"/>
          <w:szCs w:val="24"/>
        </w:rPr>
        <w:t>175 habitants en 2020. Si cette croissance se maintenait cette population atteindrait le seuil de 8</w:t>
      </w:r>
      <w:r w:rsidR="003B27CB">
        <w:rPr>
          <w:rFonts w:ascii="Times New Roman" w:eastAsia="Times New Roman" w:hAnsi="Times New Roman"/>
          <w:sz w:val="24"/>
          <w:szCs w:val="24"/>
        </w:rPr>
        <w:t> </w:t>
      </w:r>
      <w:r w:rsidRPr="00D75D2E">
        <w:rPr>
          <w:rFonts w:ascii="Times New Roman" w:eastAsia="Times New Roman" w:hAnsi="Times New Roman"/>
          <w:sz w:val="24"/>
          <w:szCs w:val="24"/>
        </w:rPr>
        <w:t>445</w:t>
      </w:r>
      <w:r w:rsidR="003B27CB">
        <w:rPr>
          <w:rFonts w:ascii="Times New Roman" w:eastAsia="Times New Roman" w:hAnsi="Times New Roman"/>
          <w:sz w:val="24"/>
          <w:szCs w:val="24"/>
        </w:rPr>
        <w:t xml:space="preserve"> </w:t>
      </w:r>
      <w:r w:rsidRPr="00D75D2E">
        <w:rPr>
          <w:rFonts w:ascii="Times New Roman" w:eastAsia="Times New Roman" w:hAnsi="Times New Roman"/>
          <w:sz w:val="24"/>
          <w:szCs w:val="24"/>
        </w:rPr>
        <w:t>365 habitants à l’horizon 2030.</w:t>
      </w:r>
    </w:p>
    <w:p w14:paraId="6F54D537" w14:textId="0CB714A5" w:rsidR="00D75D2E" w:rsidRPr="00D75D2E" w:rsidRDefault="00D75D2E" w:rsidP="00D75D2E">
      <w:pPr>
        <w:spacing w:line="240" w:lineRule="auto"/>
        <w:jc w:val="both"/>
        <w:rPr>
          <w:rFonts w:ascii="Times New Roman" w:hAnsi="Times New Roman"/>
          <w:sz w:val="24"/>
          <w:szCs w:val="24"/>
          <w:lang w:val="fr-CA"/>
        </w:rPr>
      </w:pPr>
      <w:r w:rsidRPr="00D75D2E">
        <w:rPr>
          <w:rFonts w:ascii="Times New Roman" w:hAnsi="Times New Roman"/>
          <w:sz w:val="24"/>
          <w:szCs w:val="24"/>
        </w:rPr>
        <w:t xml:space="preserve">La population Kinoise dans son ensemble se compose des peuples </w:t>
      </w:r>
      <w:r w:rsidR="003B12E2">
        <w:rPr>
          <w:rFonts w:ascii="Times New Roman" w:hAnsi="Times New Roman"/>
          <w:sz w:val="24"/>
          <w:szCs w:val="24"/>
        </w:rPr>
        <w:t xml:space="preserve">orginaires </w:t>
      </w:r>
      <w:r w:rsidR="003B12E2" w:rsidRPr="00D75D2E">
        <w:rPr>
          <w:rFonts w:ascii="Times New Roman" w:hAnsi="Times New Roman"/>
          <w:sz w:val="24"/>
          <w:szCs w:val="24"/>
        </w:rPr>
        <w:t xml:space="preserve"> </w:t>
      </w:r>
      <w:r w:rsidRPr="00D75D2E">
        <w:rPr>
          <w:rFonts w:ascii="Times New Roman" w:hAnsi="Times New Roman"/>
          <w:sz w:val="24"/>
          <w:szCs w:val="24"/>
        </w:rPr>
        <w:t xml:space="preserve">(Humbu, Teke et Bamfununga) considérés comme propriétaires terriens mais également des Yaka, Banunu Bobangi et Bayanzi. On </w:t>
      </w:r>
      <w:r w:rsidR="003B27CB">
        <w:rPr>
          <w:rFonts w:ascii="Times New Roman" w:hAnsi="Times New Roman"/>
          <w:sz w:val="24"/>
          <w:szCs w:val="24"/>
        </w:rPr>
        <w:t xml:space="preserve">y </w:t>
      </w:r>
      <w:r w:rsidRPr="00D75D2E">
        <w:rPr>
          <w:rFonts w:ascii="Times New Roman" w:hAnsi="Times New Roman"/>
          <w:sz w:val="24"/>
          <w:szCs w:val="24"/>
        </w:rPr>
        <w:t xml:space="preserve">trouve aussi les Lari, les Zombo d’Angola, les Coastmen (Ouest-Africains), </w:t>
      </w:r>
      <w:r w:rsidR="003B27CB">
        <w:rPr>
          <w:rFonts w:ascii="Times New Roman" w:hAnsi="Times New Roman"/>
          <w:sz w:val="24"/>
          <w:szCs w:val="24"/>
        </w:rPr>
        <w:t>les</w:t>
      </w:r>
      <w:r w:rsidRPr="00D75D2E">
        <w:rPr>
          <w:rFonts w:ascii="Times New Roman" w:hAnsi="Times New Roman"/>
          <w:sz w:val="24"/>
          <w:szCs w:val="24"/>
        </w:rPr>
        <w:t xml:space="preserve"> populations européennes et asiatiques pour des raisons de commerce</w:t>
      </w:r>
      <w:r w:rsidR="003B27CB">
        <w:rPr>
          <w:rFonts w:ascii="Times New Roman" w:hAnsi="Times New Roman"/>
          <w:sz w:val="24"/>
          <w:szCs w:val="24"/>
        </w:rPr>
        <w:t xml:space="preserve"> et les populations venues des autres provinces pour diverses raisons (guerre, exode rural etc.)</w:t>
      </w:r>
      <w:r w:rsidRPr="00D75D2E">
        <w:rPr>
          <w:rFonts w:ascii="Times New Roman" w:hAnsi="Times New Roman"/>
          <w:sz w:val="24"/>
          <w:szCs w:val="24"/>
        </w:rPr>
        <w:t xml:space="preserve">. </w:t>
      </w:r>
      <w:r w:rsidRPr="00D75D2E">
        <w:rPr>
          <w:rFonts w:ascii="Times New Roman" w:hAnsi="Times New Roman"/>
          <w:sz w:val="24"/>
          <w:szCs w:val="24"/>
          <w:lang w:val="fr-CA"/>
        </w:rPr>
        <w:t>Le Lingala constitue la principale langue parlée. Le principal secteur économique de la ville est le commerce.</w:t>
      </w:r>
    </w:p>
    <w:p w14:paraId="24849F69" w14:textId="77777777" w:rsidR="00D75D2E" w:rsidRPr="00D75D2E" w:rsidRDefault="00D75D2E" w:rsidP="008C79F0">
      <w:pPr>
        <w:numPr>
          <w:ilvl w:val="0"/>
          <w:numId w:val="125"/>
        </w:numPr>
        <w:spacing w:before="120" w:after="120" w:line="240" w:lineRule="auto"/>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Enjeux environnementaux et sociaux</w:t>
      </w:r>
    </w:p>
    <w:p w14:paraId="0EE43F83" w14:textId="77777777" w:rsidR="00D75D2E" w:rsidRPr="00D75D2E" w:rsidRDefault="00D75D2E"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Les enjeux environnementaux et sociaux majeurs qui ont été identifiés dans la zone du projet sont</w:t>
      </w:r>
      <w:r w:rsidR="00196DDA">
        <w:rPr>
          <w:rFonts w:ascii="Times New Roman" w:hAnsi="Times New Roman"/>
          <w:sz w:val="24"/>
          <w:szCs w:val="24"/>
        </w:rPr>
        <w:t xml:space="preserve"> décrits ci-dessous.</w:t>
      </w:r>
    </w:p>
    <w:p w14:paraId="65653930" w14:textId="77777777" w:rsidR="00D75D2E" w:rsidRPr="00D75D2E" w:rsidRDefault="00D75D2E" w:rsidP="00E737B4">
      <w:pPr>
        <w:autoSpaceDE w:val="0"/>
        <w:autoSpaceDN w:val="0"/>
        <w:adjustRightInd w:val="0"/>
        <w:spacing w:before="120" w:after="120" w:line="240" w:lineRule="auto"/>
        <w:rPr>
          <w:rFonts w:ascii="Times New Roman" w:hAnsi="Times New Roman"/>
          <w:sz w:val="24"/>
          <w:szCs w:val="24"/>
        </w:rPr>
      </w:pPr>
      <w:r w:rsidRPr="00D75D2E">
        <w:rPr>
          <w:rFonts w:ascii="Times New Roman" w:hAnsi="Times New Roman"/>
          <w:sz w:val="24"/>
          <w:szCs w:val="24"/>
        </w:rPr>
        <w:t>L’analyse du contexte environnemental et socio-économique dans la zone d’intervention du projet a permis de déterminer les enjeux suivants :</w:t>
      </w:r>
    </w:p>
    <w:p w14:paraId="774FD3E8" w14:textId="1AB34186" w:rsidR="00D75D2E" w:rsidRPr="00D75D2E" w:rsidRDefault="00D75D2E" w:rsidP="008C79F0">
      <w:pPr>
        <w:numPr>
          <w:ilvl w:val="0"/>
          <w:numId w:val="137"/>
        </w:numPr>
        <w:spacing w:before="80" w:after="80" w:line="240" w:lineRule="auto"/>
        <w:ind w:left="567" w:hanging="357"/>
        <w:jc w:val="both"/>
        <w:rPr>
          <w:rFonts w:ascii="Times New Roman" w:hAnsi="Times New Roman"/>
          <w:sz w:val="24"/>
          <w:szCs w:val="24"/>
        </w:rPr>
      </w:pPr>
      <w:r w:rsidRPr="00D75D2E">
        <w:rPr>
          <w:rFonts w:ascii="Times New Roman" w:hAnsi="Times New Roman"/>
          <w:sz w:val="24"/>
          <w:szCs w:val="24"/>
        </w:rPr>
        <w:t xml:space="preserve">le premier enjeu est </w:t>
      </w:r>
      <w:r w:rsidR="00196DDA">
        <w:rPr>
          <w:rFonts w:ascii="Times New Roman" w:hAnsi="Times New Roman"/>
          <w:sz w:val="24"/>
          <w:szCs w:val="24"/>
        </w:rPr>
        <w:t xml:space="preserve">lié à </w:t>
      </w:r>
      <w:r w:rsidRPr="00D75D2E">
        <w:rPr>
          <w:rFonts w:ascii="Times New Roman" w:hAnsi="Times New Roman"/>
          <w:sz w:val="24"/>
          <w:szCs w:val="24"/>
        </w:rPr>
        <w:t>l’</w:t>
      </w:r>
      <w:r w:rsidR="00196DDA">
        <w:rPr>
          <w:rFonts w:ascii="Times New Roman" w:hAnsi="Times New Roman"/>
          <w:sz w:val="24"/>
          <w:szCs w:val="24"/>
        </w:rPr>
        <w:t>é</w:t>
      </w:r>
      <w:r w:rsidRPr="00D75D2E">
        <w:rPr>
          <w:rFonts w:ascii="Times New Roman" w:hAnsi="Times New Roman"/>
          <w:sz w:val="24"/>
          <w:szCs w:val="24"/>
        </w:rPr>
        <w:t>rosion du sol</w:t>
      </w:r>
      <w:r w:rsidR="00C15B1C">
        <w:rPr>
          <w:rFonts w:ascii="Times New Roman" w:hAnsi="Times New Roman"/>
          <w:sz w:val="24"/>
          <w:szCs w:val="24"/>
        </w:rPr>
        <w:t xml:space="preserve"> et aux inondations dans certains quartiers concernés par le sous-projet</w:t>
      </w:r>
      <w:r w:rsidRPr="00D75D2E">
        <w:rPr>
          <w:rFonts w:ascii="Times New Roman" w:hAnsi="Times New Roman"/>
          <w:sz w:val="24"/>
          <w:szCs w:val="24"/>
        </w:rPr>
        <w:t> </w:t>
      </w:r>
      <w:r w:rsidR="003B27CB">
        <w:rPr>
          <w:rFonts w:ascii="Times New Roman" w:hAnsi="Times New Roman"/>
          <w:sz w:val="24"/>
          <w:szCs w:val="24"/>
        </w:rPr>
        <w:t>(R</w:t>
      </w:r>
      <w:r w:rsidR="00196DDA" w:rsidRPr="00D75D2E">
        <w:rPr>
          <w:rFonts w:ascii="Times New Roman" w:hAnsi="Times New Roman"/>
          <w:sz w:val="24"/>
          <w:szCs w:val="24"/>
        </w:rPr>
        <w:t xml:space="preserve">éhabilitation </w:t>
      </w:r>
      <w:r w:rsidRPr="00D75D2E">
        <w:rPr>
          <w:rFonts w:ascii="Times New Roman" w:hAnsi="Times New Roman"/>
          <w:sz w:val="24"/>
          <w:szCs w:val="24"/>
        </w:rPr>
        <w:t>et extension des segments du réseau de distribution</w:t>
      </w:r>
      <w:r w:rsidR="00696361">
        <w:rPr>
          <w:rFonts w:ascii="Times New Roman" w:hAnsi="Times New Roman"/>
          <w:sz w:val="24"/>
          <w:szCs w:val="24"/>
        </w:rPr>
        <w:t>)</w:t>
      </w:r>
      <w:r w:rsidRPr="00D75D2E">
        <w:rPr>
          <w:rFonts w:ascii="Times New Roman" w:hAnsi="Times New Roman"/>
          <w:sz w:val="24"/>
          <w:szCs w:val="24"/>
        </w:rPr>
        <w:t xml:space="preserve"> </w:t>
      </w:r>
      <w:r w:rsidR="00696361">
        <w:rPr>
          <w:rFonts w:ascii="Times New Roman" w:hAnsi="Times New Roman"/>
          <w:sz w:val="24"/>
          <w:szCs w:val="24"/>
        </w:rPr>
        <w:t xml:space="preserve">qui </w:t>
      </w:r>
      <w:r w:rsidRPr="00D75D2E">
        <w:rPr>
          <w:rFonts w:ascii="Times New Roman" w:hAnsi="Times New Roman"/>
          <w:sz w:val="24"/>
          <w:szCs w:val="24"/>
        </w:rPr>
        <w:t>v</w:t>
      </w:r>
      <w:r w:rsidR="00696361">
        <w:rPr>
          <w:rFonts w:ascii="Times New Roman" w:hAnsi="Times New Roman"/>
          <w:sz w:val="24"/>
          <w:szCs w:val="24"/>
        </w:rPr>
        <w:t>a</w:t>
      </w:r>
      <w:r w:rsidRPr="00D75D2E">
        <w:rPr>
          <w:rFonts w:ascii="Times New Roman" w:hAnsi="Times New Roman"/>
          <w:sz w:val="24"/>
          <w:szCs w:val="24"/>
        </w:rPr>
        <w:t xml:space="preserve"> nécessiter </w:t>
      </w:r>
      <w:r w:rsidR="00696361">
        <w:rPr>
          <w:rFonts w:ascii="Times New Roman" w:hAnsi="Times New Roman"/>
          <w:sz w:val="24"/>
          <w:szCs w:val="24"/>
        </w:rPr>
        <w:t>d</w:t>
      </w:r>
      <w:r w:rsidRPr="00D75D2E">
        <w:rPr>
          <w:rFonts w:ascii="Times New Roman" w:hAnsi="Times New Roman"/>
          <w:sz w:val="24"/>
          <w:szCs w:val="24"/>
        </w:rPr>
        <w:t>es excavations</w:t>
      </w:r>
      <w:r w:rsidR="00696361">
        <w:rPr>
          <w:rFonts w:ascii="Times New Roman" w:hAnsi="Times New Roman"/>
          <w:sz w:val="24"/>
          <w:szCs w:val="24"/>
        </w:rPr>
        <w:t xml:space="preserve"> et</w:t>
      </w:r>
      <w:r w:rsidRPr="00D75D2E">
        <w:rPr>
          <w:rFonts w:ascii="Times New Roman" w:hAnsi="Times New Roman"/>
          <w:sz w:val="24"/>
          <w:szCs w:val="24"/>
        </w:rPr>
        <w:t xml:space="preserve"> terrassements </w:t>
      </w:r>
      <w:r w:rsidR="00696361">
        <w:rPr>
          <w:rFonts w:ascii="Times New Roman" w:hAnsi="Times New Roman"/>
          <w:sz w:val="24"/>
          <w:szCs w:val="24"/>
        </w:rPr>
        <w:t xml:space="preserve">susceptibles d’entrainer </w:t>
      </w:r>
      <w:r w:rsidRPr="00D75D2E">
        <w:rPr>
          <w:rFonts w:ascii="Times New Roman" w:hAnsi="Times New Roman"/>
          <w:sz w:val="24"/>
          <w:szCs w:val="24"/>
        </w:rPr>
        <w:t xml:space="preserve"> d</w:t>
      </w:r>
      <w:r w:rsidR="00696361">
        <w:rPr>
          <w:rFonts w:ascii="Times New Roman" w:hAnsi="Times New Roman"/>
          <w:sz w:val="24"/>
          <w:szCs w:val="24"/>
        </w:rPr>
        <w:t>es</w:t>
      </w:r>
      <w:r w:rsidRPr="00D75D2E">
        <w:rPr>
          <w:rFonts w:ascii="Times New Roman" w:hAnsi="Times New Roman"/>
          <w:sz w:val="24"/>
          <w:szCs w:val="24"/>
        </w:rPr>
        <w:t xml:space="preserve"> modification</w:t>
      </w:r>
      <w:r w:rsidR="00696361">
        <w:rPr>
          <w:rFonts w:ascii="Times New Roman" w:hAnsi="Times New Roman"/>
          <w:sz w:val="24"/>
          <w:szCs w:val="24"/>
        </w:rPr>
        <w:t>s</w:t>
      </w:r>
      <w:r w:rsidRPr="00D75D2E">
        <w:rPr>
          <w:rFonts w:ascii="Times New Roman" w:hAnsi="Times New Roman"/>
          <w:sz w:val="24"/>
          <w:szCs w:val="24"/>
        </w:rPr>
        <w:t xml:space="preserve"> de la structure du sol. Ces excavations pendant la période de pluie peuvent conduire à des érosions. Aussi, la présence de nombreuses têtes d’érosion dans la zone du projet, menace souvent les infrastructures en place notamment des maisons d’habitation, </w:t>
      </w:r>
      <w:r w:rsidR="00696361">
        <w:rPr>
          <w:rFonts w:ascii="Times New Roman" w:hAnsi="Times New Roman"/>
          <w:sz w:val="24"/>
          <w:szCs w:val="24"/>
        </w:rPr>
        <w:t>l</w:t>
      </w:r>
      <w:r w:rsidRPr="00D75D2E">
        <w:rPr>
          <w:rFonts w:ascii="Times New Roman" w:hAnsi="Times New Roman"/>
          <w:sz w:val="24"/>
          <w:szCs w:val="24"/>
        </w:rPr>
        <w:t>es voies d’accès, les ligne</w:t>
      </w:r>
      <w:r w:rsidR="00696361">
        <w:rPr>
          <w:rFonts w:ascii="Times New Roman" w:hAnsi="Times New Roman"/>
          <w:sz w:val="24"/>
          <w:szCs w:val="24"/>
        </w:rPr>
        <w:t>s</w:t>
      </w:r>
      <w:r w:rsidRPr="00D75D2E">
        <w:rPr>
          <w:rFonts w:ascii="Times New Roman" w:hAnsi="Times New Roman"/>
          <w:sz w:val="24"/>
          <w:szCs w:val="24"/>
        </w:rPr>
        <w:t xml:space="preserve"> et surtout les installations électriques existantes.</w:t>
      </w:r>
      <w:r w:rsidR="00C15B1C">
        <w:rPr>
          <w:rFonts w:ascii="Times New Roman" w:hAnsi="Times New Roman"/>
          <w:sz w:val="24"/>
          <w:szCs w:val="24"/>
        </w:rPr>
        <w:t xml:space="preserve"> </w:t>
      </w:r>
      <w:r w:rsidR="00A17FAB">
        <w:rPr>
          <w:rFonts w:ascii="Times New Roman" w:hAnsi="Times New Roman"/>
          <w:sz w:val="24"/>
          <w:szCs w:val="24"/>
        </w:rPr>
        <w:t>L</w:t>
      </w:r>
      <w:r w:rsidR="00374DA1">
        <w:rPr>
          <w:rFonts w:ascii="Times New Roman" w:hAnsi="Times New Roman"/>
          <w:sz w:val="24"/>
          <w:szCs w:val="24"/>
        </w:rPr>
        <w:t xml:space="preserve">’installation des ouvrages doivent prendre en compte les </w:t>
      </w:r>
      <w:r w:rsidR="00A17FAB">
        <w:rPr>
          <w:rFonts w:ascii="Times New Roman" w:hAnsi="Times New Roman"/>
          <w:sz w:val="24"/>
          <w:szCs w:val="24"/>
        </w:rPr>
        <w:t>mesures</w:t>
      </w:r>
      <w:r w:rsidR="00572DFD">
        <w:rPr>
          <w:rFonts w:ascii="Times New Roman" w:hAnsi="Times New Roman"/>
          <w:sz w:val="24"/>
          <w:szCs w:val="24"/>
        </w:rPr>
        <w:t xml:space="preserve"> et les actions de leur protection contre les inondations et</w:t>
      </w:r>
      <w:r w:rsidR="00A17FAB">
        <w:rPr>
          <w:rFonts w:ascii="Times New Roman" w:hAnsi="Times New Roman"/>
          <w:sz w:val="24"/>
          <w:szCs w:val="24"/>
        </w:rPr>
        <w:t xml:space="preserve"> d’adaptation aux changements climatiques, qui consistent à réduire les émissions de gaz à effet de serre et renforcer la résilience aux effets du changement climatique. </w:t>
      </w:r>
    </w:p>
    <w:p w14:paraId="4C815395" w14:textId="77777777" w:rsidR="00D75D2E" w:rsidRPr="00D75D2E" w:rsidRDefault="00D75D2E" w:rsidP="008C79F0">
      <w:pPr>
        <w:numPr>
          <w:ilvl w:val="0"/>
          <w:numId w:val="137"/>
        </w:numPr>
        <w:spacing w:before="80" w:after="80" w:line="240" w:lineRule="auto"/>
        <w:ind w:left="567" w:hanging="357"/>
        <w:jc w:val="both"/>
        <w:rPr>
          <w:rFonts w:ascii="Times New Roman" w:hAnsi="Times New Roman"/>
          <w:sz w:val="24"/>
          <w:szCs w:val="24"/>
        </w:rPr>
      </w:pPr>
      <w:r w:rsidRPr="00D75D2E">
        <w:rPr>
          <w:rFonts w:ascii="Times New Roman" w:hAnsi="Times New Roman"/>
          <w:sz w:val="24"/>
          <w:szCs w:val="24"/>
        </w:rPr>
        <w:t>le deuxième enjeu est la problématique du foncier. La réalisation de nouveaux investissements pourrait nécessiter l’acquisition de terrain</w:t>
      </w:r>
      <w:r w:rsidR="00AE0BB8">
        <w:rPr>
          <w:rFonts w:ascii="Times New Roman" w:hAnsi="Times New Roman"/>
          <w:sz w:val="24"/>
          <w:szCs w:val="24"/>
        </w:rPr>
        <w:t>s</w:t>
      </w:r>
      <w:r w:rsidRPr="00D75D2E">
        <w:rPr>
          <w:rFonts w:ascii="Times New Roman" w:hAnsi="Times New Roman"/>
          <w:sz w:val="24"/>
          <w:szCs w:val="24"/>
        </w:rPr>
        <w:t xml:space="preserve"> et conduire à des expropriations</w:t>
      </w:r>
      <w:r w:rsidR="00AE0BB8">
        <w:rPr>
          <w:rFonts w:ascii="Times New Roman" w:hAnsi="Times New Roman"/>
          <w:sz w:val="24"/>
          <w:szCs w:val="24"/>
        </w:rPr>
        <w:t xml:space="preserve"> pour cause d’utilité publique</w:t>
      </w:r>
      <w:r w:rsidRPr="00D75D2E">
        <w:rPr>
          <w:rFonts w:ascii="Times New Roman" w:hAnsi="Times New Roman"/>
          <w:sz w:val="24"/>
          <w:szCs w:val="24"/>
        </w:rPr>
        <w:t xml:space="preserve">. Cette éventuelle expropriation devrait se faire en impliquant les autorités administratives des ministères concernés, les responsables coutumiers et en tenant compte des textes en vigueur afin d’éviter des conflits. </w:t>
      </w:r>
    </w:p>
    <w:p w14:paraId="18704EFA" w14:textId="4280252D" w:rsidR="00D75D2E" w:rsidRPr="00D75D2E" w:rsidRDefault="00D75D2E" w:rsidP="008C79F0">
      <w:pPr>
        <w:numPr>
          <w:ilvl w:val="0"/>
          <w:numId w:val="137"/>
        </w:numPr>
        <w:spacing w:before="80" w:after="80" w:line="240" w:lineRule="auto"/>
        <w:ind w:left="567" w:hanging="357"/>
        <w:jc w:val="both"/>
        <w:rPr>
          <w:rFonts w:ascii="Times New Roman" w:hAnsi="Times New Roman"/>
          <w:sz w:val="24"/>
          <w:szCs w:val="24"/>
        </w:rPr>
      </w:pPr>
      <w:r w:rsidRPr="00D75D2E">
        <w:rPr>
          <w:rFonts w:ascii="Times New Roman" w:hAnsi="Times New Roman"/>
          <w:sz w:val="24"/>
          <w:szCs w:val="24"/>
        </w:rPr>
        <w:t>le troisième enjeu est</w:t>
      </w:r>
      <w:r w:rsidR="00196DDA">
        <w:rPr>
          <w:rFonts w:ascii="Times New Roman" w:hAnsi="Times New Roman"/>
          <w:sz w:val="24"/>
          <w:szCs w:val="24"/>
        </w:rPr>
        <w:t xml:space="preserve"> lié aux</w:t>
      </w:r>
      <w:r w:rsidRPr="00D75D2E">
        <w:rPr>
          <w:rFonts w:ascii="Times New Roman" w:hAnsi="Times New Roman"/>
          <w:sz w:val="24"/>
          <w:szCs w:val="24"/>
        </w:rPr>
        <w:t xml:space="preserve"> disparité</w:t>
      </w:r>
      <w:r w:rsidR="00196DDA">
        <w:rPr>
          <w:rFonts w:ascii="Times New Roman" w:hAnsi="Times New Roman"/>
          <w:sz w:val="24"/>
          <w:szCs w:val="24"/>
        </w:rPr>
        <w:t>s</w:t>
      </w:r>
      <w:r w:rsidRPr="00D75D2E">
        <w:rPr>
          <w:rFonts w:ascii="Times New Roman" w:hAnsi="Times New Roman"/>
          <w:sz w:val="24"/>
          <w:szCs w:val="24"/>
        </w:rPr>
        <w:t xml:space="preserve"> entre les sexes et </w:t>
      </w:r>
      <w:r w:rsidR="00196DDA">
        <w:rPr>
          <w:rFonts w:ascii="Times New Roman" w:hAnsi="Times New Roman"/>
          <w:sz w:val="24"/>
          <w:szCs w:val="24"/>
        </w:rPr>
        <w:t xml:space="preserve">aux risques </w:t>
      </w:r>
      <w:r w:rsidRPr="00D75D2E">
        <w:rPr>
          <w:rFonts w:ascii="Times New Roman" w:hAnsi="Times New Roman"/>
          <w:sz w:val="24"/>
          <w:szCs w:val="24"/>
        </w:rPr>
        <w:t>d</w:t>
      </w:r>
      <w:r w:rsidR="008F6FCE">
        <w:rPr>
          <w:rFonts w:ascii="Times New Roman" w:hAnsi="Times New Roman"/>
          <w:sz w:val="24"/>
          <w:szCs w:val="24"/>
        </w:rPr>
        <w:t xml:space="preserve">’EAS/HS </w:t>
      </w:r>
      <w:r w:rsidRPr="00D75D2E">
        <w:rPr>
          <w:rFonts w:ascii="Times New Roman" w:hAnsi="Times New Roman"/>
          <w:sz w:val="24"/>
          <w:szCs w:val="24"/>
        </w:rPr>
        <w:t xml:space="preserve">dans la zone du projet. Le projet doit donc contribuer à réduire cette disparité et mettre en place un </w:t>
      </w:r>
      <w:r w:rsidR="00794E7D">
        <w:rPr>
          <w:rFonts w:ascii="Times New Roman" w:hAnsi="Times New Roman"/>
          <w:sz w:val="24"/>
          <w:szCs w:val="24"/>
        </w:rPr>
        <w:t xml:space="preserve">plan d’action genre et les mesures idoines pour réduire ces disparités lors du recrutement du personnel du projet et </w:t>
      </w:r>
      <w:r w:rsidR="000A1374">
        <w:rPr>
          <w:rFonts w:ascii="Times New Roman" w:hAnsi="Times New Roman"/>
          <w:sz w:val="24"/>
          <w:szCs w:val="24"/>
        </w:rPr>
        <w:t xml:space="preserve">dans la mise en œuvre des activités proprement dit du projet, notamment lors du raccordement des ménages bénéficiaires, les femmes chefs de ménages devront bénéficier autant que les hommes </w:t>
      </w:r>
      <w:r w:rsidR="004A0CAC">
        <w:rPr>
          <w:rFonts w:ascii="Times New Roman" w:hAnsi="Times New Roman"/>
          <w:sz w:val="24"/>
          <w:szCs w:val="24"/>
        </w:rPr>
        <w:t xml:space="preserve">de l’électricité et ainsi que tout autres retombés du projet </w:t>
      </w:r>
      <w:r w:rsidR="00794E7D">
        <w:rPr>
          <w:rFonts w:ascii="Times New Roman" w:hAnsi="Times New Roman"/>
          <w:sz w:val="24"/>
          <w:szCs w:val="24"/>
        </w:rPr>
        <w:t xml:space="preserve"> </w:t>
      </w:r>
      <w:r w:rsidRPr="00D75D2E">
        <w:rPr>
          <w:rFonts w:ascii="Times New Roman" w:hAnsi="Times New Roman"/>
          <w:sz w:val="24"/>
          <w:szCs w:val="24"/>
        </w:rPr>
        <w:t>;</w:t>
      </w:r>
    </w:p>
    <w:p w14:paraId="27928A1D" w14:textId="77777777" w:rsidR="00D75D2E" w:rsidRPr="00D75D2E" w:rsidRDefault="00D75D2E" w:rsidP="008C79F0">
      <w:pPr>
        <w:numPr>
          <w:ilvl w:val="0"/>
          <w:numId w:val="137"/>
        </w:numPr>
        <w:spacing w:before="80" w:after="80" w:line="240" w:lineRule="auto"/>
        <w:ind w:left="567" w:hanging="357"/>
        <w:jc w:val="both"/>
        <w:rPr>
          <w:rFonts w:ascii="Times New Roman" w:hAnsi="Times New Roman"/>
          <w:sz w:val="24"/>
          <w:szCs w:val="24"/>
        </w:rPr>
      </w:pPr>
      <w:r w:rsidRPr="00D75D2E">
        <w:rPr>
          <w:rFonts w:ascii="Times New Roman" w:hAnsi="Times New Roman"/>
          <w:sz w:val="24"/>
          <w:szCs w:val="24"/>
        </w:rPr>
        <w:t xml:space="preserve">le quatrième enjeu est </w:t>
      </w:r>
      <w:r w:rsidR="00196DDA">
        <w:rPr>
          <w:rFonts w:ascii="Times New Roman" w:hAnsi="Times New Roman"/>
          <w:sz w:val="24"/>
          <w:szCs w:val="24"/>
        </w:rPr>
        <w:t>dû à la</w:t>
      </w:r>
      <w:r w:rsidRPr="00D75D2E">
        <w:rPr>
          <w:rFonts w:ascii="Times New Roman" w:hAnsi="Times New Roman"/>
          <w:sz w:val="24"/>
          <w:szCs w:val="24"/>
        </w:rPr>
        <w:t xml:space="preserve"> pandémie de la COVID 19 qui est présente dans la zone du projet. Le projet est donc </w:t>
      </w:r>
      <w:r w:rsidR="002E4080">
        <w:rPr>
          <w:rFonts w:ascii="Times New Roman" w:hAnsi="Times New Roman"/>
          <w:sz w:val="24"/>
          <w:szCs w:val="24"/>
        </w:rPr>
        <w:t>ap</w:t>
      </w:r>
      <w:r w:rsidR="002E4080" w:rsidRPr="00D75D2E">
        <w:rPr>
          <w:rFonts w:ascii="Times New Roman" w:hAnsi="Times New Roman"/>
          <w:sz w:val="24"/>
          <w:szCs w:val="24"/>
        </w:rPr>
        <w:t xml:space="preserve">pelé </w:t>
      </w:r>
      <w:r w:rsidR="00196DDA">
        <w:rPr>
          <w:rFonts w:ascii="Times New Roman" w:hAnsi="Times New Roman"/>
          <w:sz w:val="24"/>
          <w:szCs w:val="24"/>
        </w:rPr>
        <w:t>à</w:t>
      </w:r>
      <w:r w:rsidR="00196DDA" w:rsidRPr="00D75D2E">
        <w:rPr>
          <w:rFonts w:ascii="Times New Roman" w:hAnsi="Times New Roman"/>
          <w:sz w:val="24"/>
          <w:szCs w:val="24"/>
        </w:rPr>
        <w:t xml:space="preserve"> </w:t>
      </w:r>
      <w:r w:rsidRPr="00D75D2E">
        <w:rPr>
          <w:rFonts w:ascii="Times New Roman" w:hAnsi="Times New Roman"/>
          <w:sz w:val="24"/>
          <w:szCs w:val="24"/>
        </w:rPr>
        <w:t>mener des actions d’Information</w:t>
      </w:r>
      <w:r w:rsidR="00196DDA">
        <w:rPr>
          <w:rFonts w:ascii="Times New Roman" w:hAnsi="Times New Roman"/>
          <w:sz w:val="24"/>
          <w:szCs w:val="24"/>
        </w:rPr>
        <w:t>, d’</w:t>
      </w:r>
      <w:r w:rsidRPr="00D75D2E">
        <w:rPr>
          <w:rFonts w:ascii="Times New Roman" w:hAnsi="Times New Roman"/>
          <w:sz w:val="24"/>
          <w:szCs w:val="24"/>
        </w:rPr>
        <w:t xml:space="preserve">Education et </w:t>
      </w:r>
      <w:r w:rsidR="00196DDA">
        <w:rPr>
          <w:rFonts w:ascii="Times New Roman" w:hAnsi="Times New Roman"/>
          <w:sz w:val="24"/>
          <w:szCs w:val="24"/>
        </w:rPr>
        <w:t xml:space="preserve">de </w:t>
      </w:r>
      <w:r w:rsidRPr="00D75D2E">
        <w:rPr>
          <w:rFonts w:ascii="Times New Roman" w:hAnsi="Times New Roman"/>
          <w:sz w:val="24"/>
          <w:szCs w:val="24"/>
        </w:rPr>
        <w:t>Communication (IEC) afin que les mesures barrières adoptées par le gouvernement et l’OMS soient respectées</w:t>
      </w:r>
      <w:r w:rsidR="00196DDA">
        <w:rPr>
          <w:rFonts w:ascii="Times New Roman" w:hAnsi="Times New Roman"/>
          <w:sz w:val="24"/>
          <w:szCs w:val="24"/>
        </w:rPr>
        <w:t xml:space="preserve"> par l’ensemble des parties prenantes au projet</w:t>
      </w:r>
      <w:r w:rsidRPr="00D75D2E">
        <w:rPr>
          <w:rFonts w:ascii="Times New Roman" w:hAnsi="Times New Roman"/>
          <w:sz w:val="24"/>
          <w:szCs w:val="24"/>
        </w:rPr>
        <w:t> ;</w:t>
      </w:r>
    </w:p>
    <w:p w14:paraId="2284505C" w14:textId="0584C9AD" w:rsidR="004A76B9" w:rsidRPr="00AE31F1" w:rsidRDefault="00D75D2E" w:rsidP="00AE31F1">
      <w:pPr>
        <w:numPr>
          <w:ilvl w:val="0"/>
          <w:numId w:val="137"/>
        </w:numPr>
        <w:spacing w:before="80" w:after="80" w:line="240" w:lineRule="auto"/>
        <w:ind w:left="567" w:hanging="357"/>
        <w:jc w:val="both"/>
        <w:rPr>
          <w:rFonts w:ascii="Times New Roman" w:eastAsia="Times New Roman" w:hAnsi="Times New Roman"/>
          <w:color w:val="000000"/>
          <w:sz w:val="27"/>
          <w:szCs w:val="27"/>
          <w:lang w:val="fr-CD"/>
        </w:rPr>
      </w:pPr>
      <w:r w:rsidRPr="00D75D2E">
        <w:rPr>
          <w:rFonts w:ascii="Times New Roman" w:hAnsi="Times New Roman"/>
          <w:sz w:val="24"/>
          <w:szCs w:val="24"/>
        </w:rPr>
        <w:t>le cinquième enjeu est lié à la pollution des cours d’eau. L’absence d’un système adéquate de gestion des déchets amène les communautés à utiliser les cours d’eau et autres espaces comme des dépotoirs des déchets. On retrouve dans la plupart des grandes villes telles que Kinshasa, les dépôts des déchets plastiques flottant sur le lit des rivières (Funa, Binza, etc.)</w:t>
      </w:r>
      <w:r w:rsidR="006B49F7">
        <w:rPr>
          <w:rFonts w:ascii="Times New Roman" w:hAnsi="Times New Roman"/>
          <w:sz w:val="24"/>
          <w:szCs w:val="24"/>
        </w:rPr>
        <w:t xml:space="preserve">. Le projet devra mettre en place un plan de gestion des déchets, </w:t>
      </w:r>
      <w:r w:rsidR="00344BC8">
        <w:rPr>
          <w:rFonts w:ascii="Times New Roman" w:hAnsi="Times New Roman"/>
          <w:sz w:val="24"/>
          <w:szCs w:val="24"/>
        </w:rPr>
        <w:t>de manière</w:t>
      </w:r>
      <w:r w:rsidR="006B49F7">
        <w:rPr>
          <w:rFonts w:ascii="Times New Roman" w:hAnsi="Times New Roman"/>
          <w:sz w:val="24"/>
          <w:szCs w:val="24"/>
        </w:rPr>
        <w:t xml:space="preserve"> que les activités du projet ne puissent pas dégrader davantage les milieux naturels par des tas de déchets.</w:t>
      </w:r>
      <w:r w:rsidRPr="00AE31F1">
        <w:rPr>
          <w:rFonts w:ascii="Times New Roman" w:hAnsi="Times New Roman"/>
          <w:sz w:val="24"/>
          <w:szCs w:val="24"/>
        </w:rPr>
        <w:t>le sixième enjeu est celui lié à l’utilisation de la main d’œuvre : le projet devra veiller à ce que les entrepreneurs favorisent le recours à la main d’œuvre locale pendant le recrutement du personnel et que le quota de 30% minimum des femmes au sein de</w:t>
      </w:r>
      <w:r w:rsidR="002E4080" w:rsidRPr="00AE31F1">
        <w:rPr>
          <w:rFonts w:ascii="Times New Roman" w:hAnsi="Times New Roman"/>
          <w:sz w:val="24"/>
          <w:szCs w:val="24"/>
        </w:rPr>
        <w:t>s</w:t>
      </w:r>
      <w:r w:rsidRPr="00AE31F1">
        <w:rPr>
          <w:rFonts w:ascii="Times New Roman" w:hAnsi="Times New Roman"/>
          <w:sz w:val="24"/>
          <w:szCs w:val="24"/>
        </w:rPr>
        <w:t xml:space="preserve"> entreprise</w:t>
      </w:r>
      <w:r w:rsidR="002E4080" w:rsidRPr="00AE31F1">
        <w:rPr>
          <w:rFonts w:ascii="Times New Roman" w:hAnsi="Times New Roman"/>
          <w:sz w:val="24"/>
          <w:szCs w:val="24"/>
        </w:rPr>
        <w:t>s</w:t>
      </w:r>
      <w:r w:rsidRPr="00AE31F1">
        <w:rPr>
          <w:rFonts w:ascii="Times New Roman" w:hAnsi="Times New Roman"/>
          <w:sz w:val="24"/>
          <w:szCs w:val="24"/>
        </w:rPr>
        <w:t xml:space="preserve"> </w:t>
      </w:r>
      <w:r w:rsidR="002E4080" w:rsidRPr="00AE31F1">
        <w:rPr>
          <w:rFonts w:ascii="Times New Roman" w:hAnsi="Times New Roman"/>
          <w:sz w:val="24"/>
          <w:szCs w:val="24"/>
        </w:rPr>
        <w:t>prestataires s</w:t>
      </w:r>
      <w:r w:rsidRPr="00AE31F1">
        <w:rPr>
          <w:rFonts w:ascii="Times New Roman" w:hAnsi="Times New Roman"/>
          <w:sz w:val="24"/>
          <w:szCs w:val="24"/>
        </w:rPr>
        <w:t>oit respect</w:t>
      </w:r>
      <w:r w:rsidR="00592E45" w:rsidRPr="00AE31F1">
        <w:rPr>
          <w:rFonts w:ascii="Times New Roman" w:hAnsi="Times New Roman"/>
          <w:sz w:val="24"/>
          <w:szCs w:val="24"/>
        </w:rPr>
        <w:t>é</w:t>
      </w:r>
      <w:r w:rsidRPr="00AE31F1">
        <w:rPr>
          <w:rFonts w:ascii="Times New Roman" w:hAnsi="Times New Roman"/>
          <w:sz w:val="24"/>
          <w:szCs w:val="24"/>
        </w:rPr>
        <w:t xml:space="preserve"> </w:t>
      </w:r>
      <w:r w:rsidR="002E4080" w:rsidRPr="00AE31F1">
        <w:rPr>
          <w:rFonts w:ascii="Times New Roman" w:hAnsi="Times New Roman"/>
          <w:sz w:val="24"/>
          <w:szCs w:val="24"/>
        </w:rPr>
        <w:t xml:space="preserve">comme prescrit </w:t>
      </w:r>
      <w:r w:rsidR="004A76B9">
        <w:rPr>
          <w:rFonts w:ascii="Times New Roman" w:hAnsi="Times New Roman"/>
          <w:sz w:val="24"/>
          <w:szCs w:val="24"/>
        </w:rPr>
        <w:t>par la l</w:t>
      </w:r>
      <w:r w:rsidR="004A76B9" w:rsidRPr="00AE31F1">
        <w:rPr>
          <w:rFonts w:ascii="Times New Roman" w:hAnsi="Times New Roman"/>
          <w:sz w:val="24"/>
          <w:szCs w:val="24"/>
        </w:rPr>
        <w:t>oi n° 15/013 du 1</w:t>
      </w:r>
      <w:r w:rsidR="004A76B9" w:rsidRPr="00AE31F1">
        <w:rPr>
          <w:rFonts w:ascii="Times New Roman" w:hAnsi="Times New Roman"/>
          <w:sz w:val="24"/>
          <w:szCs w:val="24"/>
          <w:vertAlign w:val="superscript"/>
        </w:rPr>
        <w:t>er</w:t>
      </w:r>
      <w:r w:rsidR="004A76B9">
        <w:rPr>
          <w:rFonts w:ascii="Times New Roman" w:hAnsi="Times New Roman"/>
          <w:sz w:val="24"/>
          <w:szCs w:val="24"/>
        </w:rPr>
        <w:t xml:space="preserve"> </w:t>
      </w:r>
      <w:r w:rsidR="004A76B9" w:rsidRPr="00AE31F1">
        <w:rPr>
          <w:rFonts w:ascii="Times New Roman" w:hAnsi="Times New Roman"/>
          <w:sz w:val="24"/>
          <w:szCs w:val="24"/>
        </w:rPr>
        <w:t>août 2015 portant modalités d’application des droits de la femme et de la parité</w:t>
      </w:r>
      <w:r w:rsidR="00106D83">
        <w:rPr>
          <w:rFonts w:ascii="Times New Roman" w:hAnsi="Times New Roman"/>
          <w:sz w:val="24"/>
          <w:szCs w:val="24"/>
        </w:rPr>
        <w:t xml:space="preserve">. </w:t>
      </w:r>
    </w:p>
    <w:p w14:paraId="0EF627A6" w14:textId="03A33379" w:rsidR="00D75D2E" w:rsidRPr="00D75D2E" w:rsidRDefault="00D75D2E" w:rsidP="00E737B4">
      <w:pPr>
        <w:spacing w:before="120" w:after="120" w:line="240" w:lineRule="auto"/>
        <w:ind w:left="567"/>
        <w:jc w:val="both"/>
        <w:rPr>
          <w:rFonts w:ascii="Times New Roman" w:hAnsi="Times New Roman"/>
          <w:sz w:val="24"/>
          <w:szCs w:val="24"/>
        </w:rPr>
      </w:pPr>
      <w:r w:rsidRPr="00D75D2E">
        <w:rPr>
          <w:rFonts w:ascii="Times New Roman" w:hAnsi="Times New Roman"/>
          <w:sz w:val="24"/>
          <w:szCs w:val="24"/>
        </w:rPr>
        <w:t xml:space="preserve">Ainsi le recrutement des ouvriers qualifiés ou non devrait se faire en </w:t>
      </w:r>
      <w:r w:rsidR="00592E45">
        <w:rPr>
          <w:rFonts w:ascii="Times New Roman" w:hAnsi="Times New Roman"/>
          <w:sz w:val="24"/>
          <w:szCs w:val="24"/>
        </w:rPr>
        <w:t>privilégiant le recrutement local dans cha</w:t>
      </w:r>
      <w:r w:rsidR="002E4080">
        <w:rPr>
          <w:rFonts w:ascii="Times New Roman" w:hAnsi="Times New Roman"/>
          <w:sz w:val="24"/>
          <w:szCs w:val="24"/>
        </w:rPr>
        <w:t xml:space="preserve">cune des </w:t>
      </w:r>
      <w:r w:rsidRPr="00D75D2E">
        <w:rPr>
          <w:rFonts w:ascii="Times New Roman" w:hAnsi="Times New Roman"/>
          <w:sz w:val="24"/>
          <w:szCs w:val="24"/>
        </w:rPr>
        <w:t xml:space="preserve">communes concernées par le projet afin d’éviter </w:t>
      </w:r>
      <w:r w:rsidR="005E6703">
        <w:rPr>
          <w:rFonts w:ascii="Times New Roman" w:hAnsi="Times New Roman"/>
          <w:sz w:val="24"/>
          <w:szCs w:val="24"/>
        </w:rPr>
        <w:t xml:space="preserve">l’afflux de la main d’œuvre, pouvant conduire </w:t>
      </w:r>
      <w:r w:rsidR="008E1374">
        <w:rPr>
          <w:rFonts w:ascii="Times New Roman" w:hAnsi="Times New Roman"/>
          <w:sz w:val="24"/>
          <w:szCs w:val="24"/>
        </w:rPr>
        <w:t xml:space="preserve">à </w:t>
      </w:r>
      <w:r w:rsidRPr="00D75D2E">
        <w:rPr>
          <w:rFonts w:ascii="Times New Roman" w:hAnsi="Times New Roman"/>
          <w:sz w:val="24"/>
          <w:szCs w:val="24"/>
        </w:rPr>
        <w:t>des conflits </w:t>
      </w:r>
      <w:r w:rsidR="002E4080">
        <w:rPr>
          <w:rFonts w:ascii="Times New Roman" w:hAnsi="Times New Roman"/>
          <w:sz w:val="24"/>
          <w:szCs w:val="24"/>
        </w:rPr>
        <w:t>sociaux</w:t>
      </w:r>
      <w:r w:rsidRPr="00D75D2E">
        <w:rPr>
          <w:rFonts w:ascii="Times New Roman" w:hAnsi="Times New Roman"/>
          <w:sz w:val="24"/>
          <w:szCs w:val="24"/>
        </w:rPr>
        <w:t>;</w:t>
      </w:r>
    </w:p>
    <w:p w14:paraId="145BD616" w14:textId="77777777" w:rsidR="00D75D2E" w:rsidRPr="00D75D2E" w:rsidRDefault="00D75D2E" w:rsidP="008C79F0">
      <w:pPr>
        <w:numPr>
          <w:ilvl w:val="0"/>
          <w:numId w:val="137"/>
        </w:numPr>
        <w:spacing w:before="120" w:after="120" w:line="240" w:lineRule="auto"/>
        <w:ind w:left="567" w:hanging="357"/>
        <w:jc w:val="both"/>
        <w:rPr>
          <w:rFonts w:ascii="Times New Roman" w:hAnsi="Times New Roman"/>
          <w:sz w:val="24"/>
          <w:szCs w:val="24"/>
        </w:rPr>
      </w:pPr>
      <w:bookmarkStart w:id="33" w:name="_Hlk28331079"/>
      <w:r w:rsidRPr="00D75D2E">
        <w:rPr>
          <w:rFonts w:ascii="Times New Roman" w:hAnsi="Times New Roman"/>
          <w:sz w:val="24"/>
          <w:szCs w:val="24"/>
        </w:rPr>
        <w:t>le septième enjeu est la réduction de la végétation et des cultures</w:t>
      </w:r>
      <w:r w:rsidR="002E4080">
        <w:rPr>
          <w:rFonts w:ascii="Times New Roman" w:hAnsi="Times New Roman"/>
          <w:sz w:val="24"/>
          <w:szCs w:val="24"/>
        </w:rPr>
        <w:t>. E</w:t>
      </w:r>
      <w:r w:rsidRPr="00D75D2E">
        <w:rPr>
          <w:rFonts w:ascii="Times New Roman" w:hAnsi="Times New Roman"/>
          <w:sz w:val="24"/>
          <w:szCs w:val="24"/>
        </w:rPr>
        <w:t>n effet,</w:t>
      </w:r>
      <w:r w:rsidRPr="00D75D2E">
        <w:t xml:space="preserve"> </w:t>
      </w:r>
      <w:r w:rsidR="00592E45">
        <w:rPr>
          <w:rFonts w:ascii="Times New Roman" w:hAnsi="Times New Roman"/>
          <w:sz w:val="24"/>
          <w:szCs w:val="24"/>
        </w:rPr>
        <w:t>d</w:t>
      </w:r>
      <w:r w:rsidRPr="00D75D2E">
        <w:rPr>
          <w:rFonts w:ascii="Times New Roman" w:hAnsi="Times New Roman"/>
          <w:sz w:val="24"/>
          <w:szCs w:val="24"/>
        </w:rPr>
        <w:t>e façon générale, le couvert végétal de la zone d</w:t>
      </w:r>
      <w:r w:rsidR="002E4080">
        <w:rPr>
          <w:rFonts w:ascii="Times New Roman" w:hAnsi="Times New Roman"/>
          <w:sz w:val="24"/>
          <w:szCs w:val="24"/>
        </w:rPr>
        <w:t>u</w:t>
      </w:r>
      <w:r w:rsidRPr="00D75D2E">
        <w:rPr>
          <w:rFonts w:ascii="Times New Roman" w:hAnsi="Times New Roman"/>
          <w:sz w:val="24"/>
          <w:szCs w:val="24"/>
        </w:rPr>
        <w:t xml:space="preserve"> projet est déjà fortement dégradé par les activités anthropiques. Les travaux d’électrification entraineront l’abattage et l’élagage d’environ 869 arbres dont 815 arbres privés et 354 arbres du domaine public. Ces arbres sont tous situés dans l’emprise des lignes et des cabines en phase des travaux et l’élagage en phase d’exploitation.</w:t>
      </w:r>
    </w:p>
    <w:p w14:paraId="2230C81C" w14:textId="26FA650D" w:rsidR="002E4080" w:rsidRPr="00AE31F1" w:rsidRDefault="00D75D2E" w:rsidP="008C79F0">
      <w:pPr>
        <w:numPr>
          <w:ilvl w:val="0"/>
          <w:numId w:val="137"/>
        </w:numPr>
        <w:spacing w:before="120" w:after="120" w:line="240" w:lineRule="auto"/>
        <w:ind w:left="567" w:hanging="357"/>
        <w:jc w:val="both"/>
        <w:rPr>
          <w:rFonts w:ascii="Times New Roman" w:eastAsia="Times New Roman" w:hAnsi="Times New Roman"/>
          <w:b/>
          <w:i/>
          <w:sz w:val="24"/>
          <w:szCs w:val="24"/>
          <w:lang w:eastAsia="x-none"/>
        </w:rPr>
      </w:pPr>
      <w:r w:rsidRPr="00D75D2E">
        <w:rPr>
          <w:rFonts w:ascii="Times New Roman" w:hAnsi="Times New Roman"/>
          <w:sz w:val="24"/>
          <w:szCs w:val="24"/>
        </w:rPr>
        <w:t xml:space="preserve">le huitième enjeu est celui </w:t>
      </w:r>
      <w:r w:rsidR="006B49F7">
        <w:rPr>
          <w:rFonts w:ascii="Times New Roman" w:hAnsi="Times New Roman"/>
          <w:sz w:val="24"/>
          <w:szCs w:val="24"/>
        </w:rPr>
        <w:t>lié aux</w:t>
      </w:r>
      <w:r w:rsidRPr="00D75D2E">
        <w:rPr>
          <w:rFonts w:ascii="Times New Roman" w:hAnsi="Times New Roman"/>
          <w:sz w:val="24"/>
          <w:szCs w:val="24"/>
        </w:rPr>
        <w:t xml:space="preserve"> risques d’accident</w:t>
      </w:r>
      <w:r w:rsidR="006B49F7">
        <w:rPr>
          <w:rFonts w:ascii="Times New Roman" w:hAnsi="Times New Roman"/>
          <w:sz w:val="24"/>
          <w:szCs w:val="24"/>
        </w:rPr>
        <w:t>s</w:t>
      </w:r>
      <w:r w:rsidRPr="00D75D2E">
        <w:rPr>
          <w:rFonts w:ascii="Times New Roman" w:hAnsi="Times New Roman"/>
          <w:sz w:val="24"/>
          <w:szCs w:val="24"/>
        </w:rPr>
        <w:t xml:space="preserve"> (incendie, électrocution, </w:t>
      </w:r>
      <w:r w:rsidR="002E4080">
        <w:rPr>
          <w:rFonts w:ascii="Times New Roman" w:hAnsi="Times New Roman"/>
          <w:sz w:val="24"/>
          <w:szCs w:val="24"/>
        </w:rPr>
        <w:t xml:space="preserve">électrisation, </w:t>
      </w:r>
      <w:r w:rsidRPr="00D75D2E">
        <w:rPr>
          <w:rFonts w:ascii="Times New Roman" w:hAnsi="Times New Roman"/>
          <w:sz w:val="24"/>
          <w:szCs w:val="24"/>
        </w:rPr>
        <w:t>brûlure, chute,</w:t>
      </w:r>
      <w:r w:rsidR="006B49F7">
        <w:rPr>
          <w:rFonts w:ascii="Times New Roman" w:hAnsi="Times New Roman"/>
          <w:sz w:val="24"/>
          <w:szCs w:val="24"/>
        </w:rPr>
        <w:t xml:space="preserve"> </w:t>
      </w:r>
      <w:r w:rsidR="002E4080">
        <w:rPr>
          <w:rFonts w:ascii="Times New Roman" w:hAnsi="Times New Roman"/>
          <w:sz w:val="24"/>
          <w:szCs w:val="24"/>
        </w:rPr>
        <w:t>blessures</w:t>
      </w:r>
      <w:r w:rsidRPr="00D75D2E">
        <w:rPr>
          <w:rFonts w:ascii="Times New Roman" w:hAnsi="Times New Roman"/>
          <w:sz w:val="24"/>
          <w:szCs w:val="24"/>
        </w:rPr>
        <w:t>.)</w:t>
      </w:r>
      <w:r w:rsidR="002E4080">
        <w:rPr>
          <w:rFonts w:ascii="Times New Roman" w:hAnsi="Times New Roman"/>
          <w:sz w:val="24"/>
          <w:szCs w:val="24"/>
        </w:rPr>
        <w:t>. E</w:t>
      </w:r>
      <w:r w:rsidRPr="00D75D2E">
        <w:rPr>
          <w:rFonts w:ascii="Times New Roman" w:hAnsi="Times New Roman"/>
          <w:sz w:val="24"/>
          <w:szCs w:val="24"/>
        </w:rPr>
        <w:t>n effet, la vétusté du réseau électrique, les branchements frauduleux</w:t>
      </w:r>
      <w:r w:rsidR="006B49F7">
        <w:rPr>
          <w:rFonts w:ascii="Times New Roman" w:hAnsi="Times New Roman"/>
          <w:sz w:val="24"/>
          <w:szCs w:val="24"/>
        </w:rPr>
        <w:t xml:space="preserve"> ou illicites</w:t>
      </w:r>
      <w:r w:rsidRPr="00D75D2E">
        <w:rPr>
          <w:rFonts w:ascii="Times New Roman" w:hAnsi="Times New Roman"/>
          <w:sz w:val="24"/>
          <w:szCs w:val="24"/>
        </w:rPr>
        <w:t>, les installations anarchiques, l’exposition au sol de fils électriques dénudés</w:t>
      </w:r>
      <w:r w:rsidR="002E4080">
        <w:rPr>
          <w:rFonts w:ascii="Times New Roman" w:hAnsi="Times New Roman"/>
          <w:sz w:val="24"/>
          <w:szCs w:val="24"/>
        </w:rPr>
        <w:t>, le</w:t>
      </w:r>
      <w:r w:rsidR="002E4080" w:rsidRPr="00D75D2E">
        <w:rPr>
          <w:rFonts w:ascii="Times New Roman" w:hAnsi="Times New Roman"/>
          <w:sz w:val="24"/>
          <w:szCs w:val="24"/>
        </w:rPr>
        <w:t xml:space="preserve"> mouvement d’engins, </w:t>
      </w:r>
      <w:r w:rsidR="002E4080">
        <w:rPr>
          <w:rFonts w:ascii="Times New Roman" w:hAnsi="Times New Roman"/>
          <w:sz w:val="24"/>
          <w:szCs w:val="24"/>
        </w:rPr>
        <w:t>le transport de matériels et matériaux,</w:t>
      </w:r>
      <w:r w:rsidRPr="00D75D2E">
        <w:rPr>
          <w:rFonts w:ascii="Times New Roman" w:hAnsi="Times New Roman"/>
          <w:sz w:val="24"/>
          <w:szCs w:val="24"/>
        </w:rPr>
        <w:t xml:space="preserve"> la situation marécageuse dans certains quartiers concernés provoquent des incendies, des brulures, des électrocutions, </w:t>
      </w:r>
      <w:r w:rsidR="00F8619E">
        <w:rPr>
          <w:rFonts w:ascii="Times New Roman" w:hAnsi="Times New Roman"/>
          <w:sz w:val="24"/>
          <w:szCs w:val="24"/>
        </w:rPr>
        <w:t xml:space="preserve">de diverses nuisances sonores et olffactives </w:t>
      </w:r>
      <w:r w:rsidRPr="00D75D2E">
        <w:rPr>
          <w:rFonts w:ascii="Times New Roman" w:hAnsi="Times New Roman"/>
          <w:sz w:val="24"/>
          <w:szCs w:val="24"/>
        </w:rPr>
        <w:t xml:space="preserve">etc. </w:t>
      </w:r>
      <w:r w:rsidR="002E4080">
        <w:rPr>
          <w:rFonts w:ascii="Times New Roman" w:hAnsi="Times New Roman"/>
          <w:sz w:val="24"/>
          <w:szCs w:val="24"/>
        </w:rPr>
        <w:t>L</w:t>
      </w:r>
      <w:r w:rsidR="006B49F7">
        <w:rPr>
          <w:rFonts w:ascii="Times New Roman" w:hAnsi="Times New Roman"/>
          <w:sz w:val="24"/>
          <w:szCs w:val="24"/>
        </w:rPr>
        <w:t xml:space="preserve">e projet devra veiller à ce que la mise en œuvre de ce sous-projet puisse réduire les risques liés au courant électrique et ceux liés aux activités du chantier. </w:t>
      </w:r>
      <w:bookmarkStart w:id="34" w:name="_Hlk12447099"/>
      <w:bookmarkEnd w:id="33"/>
    </w:p>
    <w:p w14:paraId="22740BC9" w14:textId="63F99690" w:rsidR="00EB7527" w:rsidRPr="00AE31F1" w:rsidRDefault="00A041AE" w:rsidP="00897366">
      <w:pPr>
        <w:numPr>
          <w:ilvl w:val="0"/>
          <w:numId w:val="137"/>
        </w:numPr>
        <w:spacing w:before="120" w:after="120" w:line="240" w:lineRule="auto"/>
        <w:ind w:left="567" w:hanging="357"/>
        <w:jc w:val="both"/>
        <w:rPr>
          <w:rFonts w:ascii="Times New Roman" w:eastAsia="Times New Roman" w:hAnsi="Times New Roman"/>
          <w:b/>
          <w:i/>
          <w:sz w:val="24"/>
          <w:szCs w:val="24"/>
          <w:lang w:eastAsia="x-none"/>
        </w:rPr>
      </w:pPr>
      <w:r>
        <w:rPr>
          <w:rFonts w:ascii="Times New Roman" w:hAnsi="Times New Roman"/>
          <w:sz w:val="24"/>
          <w:szCs w:val="24"/>
        </w:rPr>
        <w:t>Le neuvième enjeu est l</w:t>
      </w:r>
      <w:r w:rsidR="00ED7D58">
        <w:rPr>
          <w:rFonts w:ascii="Times New Roman" w:hAnsi="Times New Roman"/>
          <w:sz w:val="24"/>
          <w:szCs w:val="24"/>
        </w:rPr>
        <w:t>ié aux risques d’accident</w:t>
      </w:r>
      <w:r w:rsidR="00EB7527">
        <w:rPr>
          <w:rFonts w:ascii="Times New Roman" w:hAnsi="Times New Roman"/>
          <w:sz w:val="24"/>
          <w:szCs w:val="24"/>
        </w:rPr>
        <w:t xml:space="preserve">s de circulation et de </w:t>
      </w:r>
      <w:r w:rsidR="00ED7D58">
        <w:rPr>
          <w:rFonts w:ascii="Times New Roman" w:hAnsi="Times New Roman"/>
          <w:sz w:val="24"/>
          <w:szCs w:val="24"/>
        </w:rPr>
        <w:t xml:space="preserve">la sécurité routière. </w:t>
      </w:r>
      <w:r w:rsidR="00EB7527" w:rsidRPr="00897366">
        <w:rPr>
          <w:rFonts w:ascii="Times New Roman" w:eastAsia="Times New Roman" w:hAnsi="Times New Roman"/>
          <w:sz w:val="24"/>
          <w:szCs w:val="24"/>
          <w:lang w:eastAsia="x-none"/>
        </w:rPr>
        <w:t xml:space="preserve">Le projet devra prévoir dans les clauses du contrat des entreprises la présentation </w:t>
      </w:r>
      <w:r w:rsidR="00626F76" w:rsidRPr="00897366">
        <w:rPr>
          <w:rFonts w:ascii="Times New Roman" w:eastAsia="Times New Roman" w:hAnsi="Times New Roman"/>
          <w:sz w:val="24"/>
          <w:szCs w:val="24"/>
          <w:lang w:eastAsia="x-none"/>
        </w:rPr>
        <w:t xml:space="preserve">avant le début des travaux </w:t>
      </w:r>
      <w:r w:rsidR="00EB7527" w:rsidRPr="001E753C">
        <w:rPr>
          <w:rFonts w:ascii="Times New Roman" w:eastAsia="Times New Roman" w:hAnsi="Times New Roman"/>
          <w:sz w:val="24"/>
          <w:szCs w:val="24"/>
          <w:lang w:eastAsia="x-none"/>
        </w:rPr>
        <w:t>d</w:t>
      </w:r>
      <w:r w:rsidR="00626F76" w:rsidRPr="006148F5">
        <w:rPr>
          <w:rFonts w:ascii="Times New Roman" w:eastAsia="Times New Roman" w:hAnsi="Times New Roman"/>
          <w:sz w:val="24"/>
          <w:szCs w:val="24"/>
          <w:lang w:eastAsia="x-none"/>
        </w:rPr>
        <w:t>’</w:t>
      </w:r>
      <w:r w:rsidR="00EB7527" w:rsidRPr="0098504A">
        <w:rPr>
          <w:rFonts w:ascii="Times New Roman" w:eastAsia="Times New Roman" w:hAnsi="Times New Roman"/>
          <w:sz w:val="24"/>
          <w:szCs w:val="24"/>
          <w:lang w:eastAsia="x-none"/>
        </w:rPr>
        <w:t>u</w:t>
      </w:r>
      <w:r w:rsidR="00626F76" w:rsidRPr="00B76612">
        <w:rPr>
          <w:rFonts w:ascii="Times New Roman" w:eastAsia="Times New Roman" w:hAnsi="Times New Roman"/>
          <w:sz w:val="24"/>
          <w:szCs w:val="24"/>
          <w:lang w:eastAsia="x-none"/>
        </w:rPr>
        <w:t>n</w:t>
      </w:r>
      <w:r w:rsidR="00EB7527" w:rsidRPr="00B76612">
        <w:rPr>
          <w:rFonts w:ascii="Times New Roman" w:eastAsia="Times New Roman" w:hAnsi="Times New Roman"/>
          <w:sz w:val="24"/>
          <w:szCs w:val="24"/>
          <w:lang w:eastAsia="x-none"/>
        </w:rPr>
        <w:t xml:space="preserve"> plan de circulation des véhicules et engins, et d</w:t>
      </w:r>
      <w:r w:rsidR="00EB7527" w:rsidRPr="00DD03AA">
        <w:rPr>
          <w:rFonts w:ascii="Times New Roman" w:eastAsia="Times New Roman" w:hAnsi="Times New Roman"/>
          <w:sz w:val="24"/>
          <w:szCs w:val="24"/>
          <w:lang w:eastAsia="x-none"/>
        </w:rPr>
        <w:t>u personnel</w:t>
      </w:r>
      <w:r w:rsidR="009A4102" w:rsidRPr="00DD03AA">
        <w:rPr>
          <w:rFonts w:ascii="Times New Roman" w:eastAsia="Times New Roman" w:hAnsi="Times New Roman"/>
          <w:sz w:val="24"/>
          <w:szCs w:val="24"/>
          <w:lang w:eastAsia="x-none"/>
        </w:rPr>
        <w:t xml:space="preserve">, incluant les principaux </w:t>
      </w:r>
      <w:r w:rsidR="009A4102" w:rsidRPr="004C12CB">
        <w:rPr>
          <w:rFonts w:ascii="Times New Roman" w:eastAsia="Times New Roman" w:hAnsi="Times New Roman"/>
          <w:sz w:val="24"/>
          <w:szCs w:val="24"/>
          <w:lang w:eastAsia="x-none"/>
        </w:rPr>
        <w:t>itinéraires devant être utilisé dans le cadre de la mise en œuvre</w:t>
      </w:r>
      <w:r w:rsidR="009A4102" w:rsidRPr="00897366">
        <w:rPr>
          <w:rFonts w:ascii="Times New Roman" w:eastAsia="Times New Roman" w:hAnsi="Times New Roman"/>
          <w:sz w:val="24"/>
          <w:szCs w:val="24"/>
          <w:lang w:eastAsia="x-none"/>
        </w:rPr>
        <w:t xml:space="preserve"> des activités du sous-projet, la formation du personnel et la diffusion des règles et des procédures relatives à la gestion </w:t>
      </w:r>
      <w:r w:rsidR="00626F76" w:rsidRPr="00897366">
        <w:rPr>
          <w:rFonts w:ascii="Times New Roman" w:eastAsia="Times New Roman" w:hAnsi="Times New Roman"/>
          <w:sz w:val="24"/>
          <w:szCs w:val="24"/>
          <w:lang w:eastAsia="x-none"/>
        </w:rPr>
        <w:t xml:space="preserve">routière. </w:t>
      </w:r>
    </w:p>
    <w:p w14:paraId="06E82940" w14:textId="6F03711F" w:rsidR="00BB1D8F" w:rsidRPr="00AE31F1" w:rsidRDefault="00897366" w:rsidP="008C79F0">
      <w:pPr>
        <w:numPr>
          <w:ilvl w:val="0"/>
          <w:numId w:val="137"/>
        </w:numPr>
        <w:spacing w:before="120" w:after="120" w:line="240" w:lineRule="auto"/>
        <w:ind w:left="567" w:hanging="357"/>
        <w:jc w:val="both"/>
        <w:rPr>
          <w:rFonts w:ascii="Times New Roman" w:eastAsia="Times New Roman" w:hAnsi="Times New Roman"/>
          <w:sz w:val="24"/>
          <w:szCs w:val="24"/>
          <w:lang w:eastAsia="x-none"/>
        </w:rPr>
      </w:pPr>
      <w:r w:rsidRPr="00AE31F1">
        <w:rPr>
          <w:rFonts w:ascii="Times New Roman" w:eastAsia="Times New Roman" w:hAnsi="Times New Roman"/>
          <w:sz w:val="24"/>
          <w:szCs w:val="24"/>
          <w:lang w:eastAsia="x-none"/>
        </w:rPr>
        <w:t xml:space="preserve">Le dixième enjeu </w:t>
      </w:r>
      <w:r>
        <w:rPr>
          <w:rFonts w:ascii="Times New Roman" w:eastAsia="Times New Roman" w:hAnsi="Times New Roman"/>
          <w:sz w:val="24"/>
          <w:szCs w:val="24"/>
          <w:lang w:eastAsia="x-none"/>
        </w:rPr>
        <w:t xml:space="preserve">est celui lié à la gestion des déchets dangereux dans la zone du sous-projet. Le projet devra </w:t>
      </w:r>
      <w:r w:rsidR="003069EA">
        <w:rPr>
          <w:rFonts w:ascii="Times New Roman" w:eastAsia="Times New Roman" w:hAnsi="Times New Roman"/>
          <w:sz w:val="24"/>
          <w:szCs w:val="24"/>
          <w:lang w:eastAsia="x-none"/>
        </w:rPr>
        <w:t>élaborer</w:t>
      </w:r>
      <w:r>
        <w:rPr>
          <w:rFonts w:ascii="Times New Roman" w:eastAsia="Times New Roman" w:hAnsi="Times New Roman"/>
          <w:sz w:val="24"/>
          <w:szCs w:val="24"/>
          <w:lang w:eastAsia="x-none"/>
        </w:rPr>
        <w:t xml:space="preserve"> (i) un plan de gestion des déchets électroniques et électriques pour définir les conditions de stockage et de traitement des déchets émanant des activités du chantier ; et (ii) un plan de gestion des déchets dangereux permettant également de traiter les déchets tels que les fol sols pollués par les huiles diélectriques dont l</w:t>
      </w:r>
      <w:r w:rsidR="004F67C4">
        <w:rPr>
          <w:rFonts w:ascii="Times New Roman" w:eastAsia="Times New Roman" w:hAnsi="Times New Roman"/>
          <w:sz w:val="24"/>
          <w:szCs w:val="24"/>
          <w:lang w:eastAsia="x-none"/>
        </w:rPr>
        <w:t>a</w:t>
      </w:r>
      <w:r>
        <w:rPr>
          <w:rFonts w:ascii="Times New Roman" w:eastAsia="Times New Roman" w:hAnsi="Times New Roman"/>
          <w:sz w:val="24"/>
          <w:szCs w:val="24"/>
          <w:lang w:eastAsia="x-none"/>
        </w:rPr>
        <w:t xml:space="preserve"> filière de recyclage n’existe pas localement et les autres catégories des déchets dangereux (déchets biomédicaux, déchets toxiques, etc.)</w:t>
      </w:r>
      <w:r w:rsidR="003069EA">
        <w:rPr>
          <w:rFonts w:ascii="Times New Roman" w:eastAsia="Times New Roman" w:hAnsi="Times New Roman"/>
          <w:sz w:val="24"/>
          <w:szCs w:val="24"/>
          <w:lang w:eastAsia="x-none"/>
        </w:rPr>
        <w:t>.</w:t>
      </w:r>
    </w:p>
    <w:p w14:paraId="4479A3E7" w14:textId="77777777" w:rsidR="00D75D2E" w:rsidRPr="00D75D2E" w:rsidRDefault="00D75D2E" w:rsidP="008C79F0">
      <w:pPr>
        <w:numPr>
          <w:ilvl w:val="0"/>
          <w:numId w:val="125"/>
        </w:numPr>
        <w:spacing w:before="120" w:after="120" w:line="240" w:lineRule="auto"/>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Cadre juridique et institutionnel de mise en œuvre du projet</w:t>
      </w:r>
    </w:p>
    <w:p w14:paraId="0991A492" w14:textId="77777777" w:rsidR="00D75D2E" w:rsidRPr="00420C1B" w:rsidRDefault="00D75D2E" w:rsidP="00215867">
      <w:pPr>
        <w:spacing w:before="120" w:after="120" w:line="20" w:lineRule="atLeast"/>
        <w:jc w:val="both"/>
        <w:rPr>
          <w:rFonts w:ascii="Times New Roman" w:eastAsia="Times New Roman" w:hAnsi="Times New Roman"/>
          <w:bCs/>
          <w:sz w:val="24"/>
          <w:szCs w:val="24"/>
        </w:rPr>
      </w:pPr>
      <w:r w:rsidRPr="00D75D2E">
        <w:rPr>
          <w:rFonts w:ascii="Times New Roman" w:hAnsi="Times New Roman"/>
          <w:spacing w:val="1"/>
          <w:sz w:val="24"/>
          <w:szCs w:val="24"/>
        </w:rPr>
        <w:t xml:space="preserve">Le contexte politique et juridique du secteur environnemental et social en République Démocratique du Congo </w:t>
      </w:r>
      <w:r w:rsidRPr="00D75D2E">
        <w:rPr>
          <w:rFonts w:ascii="Times New Roman" w:hAnsi="Times New Roman"/>
          <w:sz w:val="24"/>
          <w:szCs w:val="24"/>
        </w:rPr>
        <w:t xml:space="preserve">est défini par de documents de politiques notamment le </w:t>
      </w:r>
      <w:r w:rsidRPr="00D75D2E">
        <w:rPr>
          <w:rFonts w:ascii="Times New Roman" w:hAnsi="Times New Roman"/>
          <w:iCs/>
          <w:sz w:val="24"/>
          <w:szCs w:val="24"/>
        </w:rPr>
        <w:t>Plan National d’Action Environnemental (PNAE) de 1997, l</w:t>
      </w:r>
      <w:r w:rsidRPr="00D75D2E">
        <w:rPr>
          <w:rFonts w:ascii="Times New Roman" w:hAnsi="Times New Roman"/>
          <w:sz w:val="24"/>
          <w:szCs w:val="24"/>
          <w:lang w:eastAsia="fr-FR"/>
        </w:rPr>
        <w:t xml:space="preserve">a Stratégie </w:t>
      </w:r>
      <w:r w:rsidR="002E4080">
        <w:rPr>
          <w:rFonts w:ascii="Times New Roman" w:hAnsi="Times New Roman"/>
          <w:sz w:val="24"/>
          <w:szCs w:val="24"/>
          <w:lang w:eastAsia="fr-FR"/>
        </w:rPr>
        <w:t>N</w:t>
      </w:r>
      <w:r w:rsidR="00F8619E">
        <w:rPr>
          <w:rFonts w:ascii="Times New Roman" w:hAnsi="Times New Roman"/>
          <w:sz w:val="24"/>
          <w:szCs w:val="24"/>
          <w:lang w:eastAsia="fr-FR"/>
        </w:rPr>
        <w:t>a</w:t>
      </w:r>
      <w:r w:rsidRPr="00D75D2E">
        <w:rPr>
          <w:rFonts w:ascii="Times New Roman" w:hAnsi="Times New Roman"/>
          <w:sz w:val="24"/>
          <w:szCs w:val="24"/>
          <w:lang w:eastAsia="fr-FR"/>
        </w:rPr>
        <w:t>tionale et le Plan d’action de la Diversité biologique, élaboré en 1999 et actualisé en octobre 2001</w:t>
      </w:r>
      <w:r w:rsidRPr="00D75D2E">
        <w:rPr>
          <w:rFonts w:ascii="Times New Roman" w:hAnsi="Times New Roman"/>
          <w:sz w:val="24"/>
          <w:szCs w:val="24"/>
        </w:rPr>
        <w:t xml:space="preserve"> et le </w:t>
      </w:r>
      <w:r w:rsidRPr="00D75D2E">
        <w:rPr>
          <w:rFonts w:ascii="Times New Roman" w:eastAsia="Times New Roman" w:hAnsi="Times New Roman"/>
          <w:iCs/>
          <w:sz w:val="24"/>
          <w:szCs w:val="24"/>
          <w:lang w:eastAsia="fr-FR"/>
        </w:rPr>
        <w:t>Plan d’Action National d’Adaptation aux changements climatiques (PANA)</w:t>
      </w:r>
      <w:r w:rsidRPr="00D75D2E">
        <w:rPr>
          <w:rFonts w:ascii="Times New Roman" w:hAnsi="Times New Roman"/>
          <w:sz w:val="24"/>
          <w:szCs w:val="24"/>
        </w:rPr>
        <w:t>. A ceux-là s’ajoutent l</w:t>
      </w:r>
      <w:r w:rsidRPr="00D75D2E">
        <w:rPr>
          <w:rFonts w:ascii="Times New Roman" w:hAnsi="Times New Roman"/>
          <w:sz w:val="24"/>
          <w:szCs w:val="24"/>
          <w:lang w:eastAsia="fr-FR"/>
        </w:rPr>
        <w:t>e Document de Stratégie de Croissance et de Réduction de la Pauvr</w:t>
      </w:r>
      <w:r w:rsidRPr="00D75D2E">
        <w:rPr>
          <w:rFonts w:ascii="Times New Roman" w:hAnsi="Times New Roman"/>
          <w:sz w:val="24"/>
          <w:szCs w:val="24"/>
        </w:rPr>
        <w:t>eté (DSCRP)</w:t>
      </w:r>
      <w:r w:rsidRPr="00D75D2E">
        <w:rPr>
          <w:rFonts w:ascii="Times New Roman" w:hAnsi="Times New Roman"/>
          <w:sz w:val="24"/>
          <w:szCs w:val="24"/>
          <w:lang w:eastAsia="fr-FR"/>
        </w:rPr>
        <w:t xml:space="preserve"> (2011-2015)</w:t>
      </w:r>
      <w:r w:rsidRPr="00D75D2E">
        <w:rPr>
          <w:rFonts w:ascii="Times New Roman" w:hAnsi="Times New Roman"/>
          <w:sz w:val="24"/>
          <w:szCs w:val="24"/>
        </w:rPr>
        <w:t xml:space="preserve">, le </w:t>
      </w:r>
      <w:r w:rsidRPr="00D75D2E">
        <w:rPr>
          <w:rFonts w:ascii="Times New Roman" w:hAnsi="Times New Roman"/>
          <w:bCs/>
          <w:sz w:val="24"/>
          <w:szCs w:val="24"/>
          <w:lang w:eastAsia="fr-FR"/>
        </w:rPr>
        <w:t>Plan National de Développem</w:t>
      </w:r>
      <w:r w:rsidRPr="00D75D2E">
        <w:rPr>
          <w:rFonts w:ascii="Times New Roman" w:hAnsi="Times New Roman"/>
          <w:bCs/>
          <w:sz w:val="24"/>
          <w:szCs w:val="24"/>
        </w:rPr>
        <w:t xml:space="preserve">ent Sanitaire (PNDS 2011-2015) et le </w:t>
      </w:r>
      <w:r w:rsidRPr="00420C1B">
        <w:rPr>
          <w:rFonts w:ascii="Times New Roman" w:eastAsia="Times New Roman" w:hAnsi="Times New Roman"/>
          <w:bCs/>
          <w:sz w:val="24"/>
          <w:szCs w:val="24"/>
          <w:lang w:eastAsia="fr-FR"/>
        </w:rPr>
        <w:t>Cadre Stratégique de Mise en Œuvre de la Décentralisation (CSMOD, juillet 2009)</w:t>
      </w:r>
      <w:r w:rsidRPr="00420C1B">
        <w:rPr>
          <w:rFonts w:ascii="Times New Roman" w:eastAsia="Times New Roman" w:hAnsi="Times New Roman"/>
          <w:bCs/>
          <w:sz w:val="24"/>
          <w:szCs w:val="24"/>
        </w:rPr>
        <w:t xml:space="preserve">. </w:t>
      </w:r>
    </w:p>
    <w:p w14:paraId="7E91BC0F" w14:textId="77777777" w:rsidR="00D75D2E" w:rsidRPr="00D75D2E" w:rsidRDefault="00D75D2E">
      <w:pPr>
        <w:autoSpaceDE w:val="0"/>
        <w:autoSpaceDN w:val="0"/>
        <w:adjustRightInd w:val="0"/>
        <w:spacing w:before="120" w:after="120" w:line="20" w:lineRule="atLeast"/>
        <w:jc w:val="both"/>
        <w:rPr>
          <w:rFonts w:ascii="Times New Roman" w:hAnsi="Times New Roman"/>
          <w:sz w:val="24"/>
          <w:szCs w:val="24"/>
          <w:lang w:eastAsia="fr-FR"/>
        </w:rPr>
      </w:pPr>
      <w:r w:rsidRPr="00D75D2E">
        <w:rPr>
          <w:rFonts w:ascii="Times New Roman" w:hAnsi="Times New Roman"/>
          <w:sz w:val="24"/>
          <w:szCs w:val="24"/>
        </w:rPr>
        <w:t>Au plan</w:t>
      </w:r>
      <w:r w:rsidRPr="00D75D2E">
        <w:rPr>
          <w:rFonts w:ascii="Times New Roman" w:hAnsi="Times New Roman"/>
          <w:bCs/>
          <w:sz w:val="24"/>
          <w:szCs w:val="24"/>
        </w:rPr>
        <w:t xml:space="preserve"> législatif et réglementaire, on peut citer principalement </w:t>
      </w:r>
      <w:r w:rsidRPr="00420C1B">
        <w:rPr>
          <w:rFonts w:ascii="Times New Roman" w:eastAsia="Times New Roman" w:hAnsi="Times New Roman"/>
          <w:b/>
          <w:bCs/>
          <w:sz w:val="24"/>
          <w:szCs w:val="24"/>
        </w:rPr>
        <w:t>l</w:t>
      </w:r>
      <w:r w:rsidRPr="00D75D2E">
        <w:rPr>
          <w:rFonts w:ascii="Times New Roman" w:hAnsi="Times New Roman"/>
          <w:sz w:val="24"/>
          <w:szCs w:val="24"/>
          <w:lang w:eastAsia="fr-FR"/>
        </w:rPr>
        <w:t>a Constitution de la RDC adoptée le 18 février 2006</w:t>
      </w:r>
      <w:r w:rsidR="002E4080">
        <w:rPr>
          <w:rFonts w:ascii="Times New Roman" w:hAnsi="Times New Roman"/>
          <w:sz w:val="24"/>
          <w:szCs w:val="24"/>
          <w:lang w:eastAsia="fr-FR"/>
        </w:rPr>
        <w:t xml:space="preserve"> telle que </w:t>
      </w:r>
      <w:r w:rsidR="00A0533D">
        <w:rPr>
          <w:rFonts w:ascii="Times New Roman" w:hAnsi="Times New Roman"/>
          <w:sz w:val="24"/>
          <w:szCs w:val="24"/>
          <w:lang w:eastAsia="fr-FR"/>
        </w:rPr>
        <w:t xml:space="preserve">modifiée </w:t>
      </w:r>
      <w:r w:rsidR="002E4080">
        <w:rPr>
          <w:rFonts w:ascii="Times New Roman" w:hAnsi="Times New Roman"/>
          <w:sz w:val="24"/>
          <w:szCs w:val="24"/>
          <w:lang w:eastAsia="fr-FR"/>
        </w:rPr>
        <w:t xml:space="preserve">et complétée </w:t>
      </w:r>
      <w:r w:rsidR="00A0533D">
        <w:rPr>
          <w:rFonts w:ascii="Times New Roman" w:hAnsi="Times New Roman"/>
          <w:sz w:val="24"/>
          <w:szCs w:val="24"/>
          <w:lang w:eastAsia="fr-FR"/>
        </w:rPr>
        <w:t xml:space="preserve">par la Loi n°11/002 du 20 janvier 2011 portant révision de certains articles de la Constitution de la RDC, </w:t>
      </w:r>
      <w:r w:rsidRPr="00D75D2E">
        <w:rPr>
          <w:rFonts w:ascii="Times New Roman" w:hAnsi="Times New Roman"/>
          <w:sz w:val="24"/>
          <w:szCs w:val="24"/>
          <w:lang w:eastAsia="fr-FR"/>
        </w:rPr>
        <w:t xml:space="preserve"> </w:t>
      </w:r>
      <w:r w:rsidR="002E4080">
        <w:rPr>
          <w:rFonts w:ascii="Times New Roman" w:hAnsi="Times New Roman"/>
          <w:sz w:val="24"/>
          <w:szCs w:val="24"/>
        </w:rPr>
        <w:t>la</w:t>
      </w:r>
      <w:r w:rsidRPr="00D75D2E">
        <w:rPr>
          <w:rFonts w:ascii="Times New Roman" w:hAnsi="Times New Roman"/>
          <w:sz w:val="24"/>
          <w:szCs w:val="24"/>
          <w:lang w:eastAsia="fr-FR"/>
        </w:rPr>
        <w:t> Loi N°11/009 du 09 juillet 2011</w:t>
      </w:r>
      <w:r w:rsidR="00A0533D">
        <w:rPr>
          <w:rFonts w:ascii="Times New Roman" w:hAnsi="Times New Roman"/>
          <w:sz w:val="24"/>
          <w:szCs w:val="24"/>
          <w:lang w:eastAsia="fr-FR"/>
        </w:rPr>
        <w:t>,</w:t>
      </w:r>
      <w:r w:rsidRPr="00D75D2E">
        <w:rPr>
          <w:rFonts w:ascii="Times New Roman" w:hAnsi="Times New Roman"/>
          <w:sz w:val="24"/>
          <w:szCs w:val="24"/>
          <w:lang w:eastAsia="fr-FR"/>
        </w:rPr>
        <w:t xml:space="preserve"> portant principes fondamentaux relatifs à la protection de l’enviro</w:t>
      </w:r>
      <w:r w:rsidRPr="00D75D2E">
        <w:rPr>
          <w:rFonts w:ascii="Times New Roman" w:hAnsi="Times New Roman"/>
          <w:sz w:val="24"/>
          <w:szCs w:val="24"/>
        </w:rPr>
        <w:t xml:space="preserve">nnement », le décret n°14/019 du 02 août 2014 fixant les règles de fonctionnement des mécanismes procéduraux de la protection de l’environnement, </w:t>
      </w:r>
      <w:r w:rsidRPr="00E737B4">
        <w:rPr>
          <w:rFonts w:ascii="Times New Roman" w:hAnsi="Times New Roman"/>
          <w:iCs/>
          <w:sz w:val="24"/>
          <w:szCs w:val="24"/>
        </w:rPr>
        <w:t>l</w:t>
      </w:r>
      <w:r w:rsidRPr="00D75D2E">
        <w:rPr>
          <w:rFonts w:ascii="Times New Roman" w:hAnsi="Times New Roman"/>
          <w:bCs/>
          <w:sz w:val="24"/>
          <w:szCs w:val="24"/>
          <w:lang w:eastAsia="fr-FR"/>
        </w:rPr>
        <w:t xml:space="preserve">a Loi 011-2002 du 29 août </w:t>
      </w:r>
      <w:r w:rsidRPr="00D75D2E">
        <w:rPr>
          <w:rFonts w:ascii="Times New Roman" w:hAnsi="Times New Roman"/>
          <w:bCs/>
          <w:sz w:val="24"/>
          <w:szCs w:val="24"/>
        </w:rPr>
        <w:t xml:space="preserve">2002 portant Code forestier qui </w:t>
      </w:r>
      <w:r w:rsidRPr="00D75D2E">
        <w:rPr>
          <w:rFonts w:ascii="Times New Roman" w:hAnsi="Times New Roman"/>
          <w:bCs/>
          <w:sz w:val="24"/>
          <w:szCs w:val="24"/>
          <w:lang w:eastAsia="fr-FR"/>
        </w:rPr>
        <w:t>traite du défrichem</w:t>
      </w:r>
      <w:r w:rsidRPr="00D75D2E">
        <w:rPr>
          <w:rFonts w:ascii="Times New Roman" w:hAnsi="Times New Roman"/>
          <w:bCs/>
          <w:sz w:val="24"/>
          <w:szCs w:val="24"/>
        </w:rPr>
        <w:t>ent et des problèmes d’érosion, l</w:t>
      </w:r>
      <w:r w:rsidRPr="00D75D2E">
        <w:rPr>
          <w:rFonts w:ascii="Times New Roman" w:hAnsi="Times New Roman"/>
          <w:bCs/>
          <w:sz w:val="24"/>
          <w:szCs w:val="24"/>
          <w:lang w:eastAsia="fr-FR"/>
        </w:rPr>
        <w:t>a Loi n°007/2002 du 11 juillet 2002 portant Code minier et le</w:t>
      </w:r>
      <w:r w:rsidRPr="00D75D2E">
        <w:rPr>
          <w:rFonts w:ascii="Times New Roman" w:hAnsi="Times New Roman"/>
          <w:bCs/>
          <w:sz w:val="24"/>
          <w:szCs w:val="24"/>
        </w:rPr>
        <w:t xml:space="preserve"> Règlement minier de mars 2003, </w:t>
      </w:r>
      <w:r w:rsidRPr="00D75D2E">
        <w:rPr>
          <w:rFonts w:ascii="Times New Roman" w:hAnsi="Times New Roman"/>
          <w:sz w:val="24"/>
          <w:szCs w:val="24"/>
        </w:rPr>
        <w:t>la loi n°14/011 du 17 juin 2014 relative au secteur de l’électricité</w:t>
      </w:r>
      <w:r w:rsidRPr="00D75D2E">
        <w:rPr>
          <w:rFonts w:ascii="Times New Roman" w:hAnsi="Times New Roman"/>
          <w:bCs/>
          <w:sz w:val="24"/>
          <w:szCs w:val="24"/>
        </w:rPr>
        <w:t xml:space="preserve"> </w:t>
      </w:r>
    </w:p>
    <w:p w14:paraId="37E899D0" w14:textId="7217A473" w:rsidR="00D75D2E" w:rsidRDefault="00D75D2E" w:rsidP="00E737B4">
      <w:pPr>
        <w:autoSpaceDE w:val="0"/>
        <w:autoSpaceDN w:val="0"/>
        <w:adjustRightInd w:val="0"/>
        <w:spacing w:before="120" w:after="120" w:line="20" w:lineRule="atLeast"/>
        <w:jc w:val="both"/>
        <w:rPr>
          <w:rFonts w:ascii="Times New Roman" w:hAnsi="Times New Roman"/>
          <w:sz w:val="24"/>
          <w:szCs w:val="24"/>
          <w:lang w:eastAsia="fr-FR"/>
        </w:rPr>
      </w:pPr>
      <w:r w:rsidRPr="00D75D2E">
        <w:rPr>
          <w:rFonts w:ascii="Times New Roman" w:hAnsi="Times New Roman"/>
          <w:sz w:val="24"/>
          <w:szCs w:val="24"/>
          <w:lang w:eastAsia="fr-FR"/>
        </w:rPr>
        <w:t xml:space="preserve">La Loi cadre n°11/009 du 09 juillet 2011 ci-dessus énoncée fixe les principes fondamentaux relatifs à la protection de l’environnement, conformément à l’article 123 point 15 de la Constitution. Elle vise à favoriser la gestion durable des ressources naturelles, à prévenir les risques, à lutter contre toutes les formes de pollutions et nuisances, et à améliorer la qualité de la vie des populations dans le respect de l’équilibre écologique (article 1er). Elle </w:t>
      </w:r>
      <w:r w:rsidR="00F8619E">
        <w:rPr>
          <w:rFonts w:ascii="Times New Roman" w:hAnsi="Times New Roman"/>
          <w:sz w:val="24"/>
          <w:szCs w:val="24"/>
          <w:lang w:eastAsia="fr-FR"/>
        </w:rPr>
        <w:t xml:space="preserve">dispose </w:t>
      </w:r>
      <w:r w:rsidRPr="00D75D2E">
        <w:rPr>
          <w:rFonts w:ascii="Times New Roman" w:hAnsi="Times New Roman"/>
          <w:sz w:val="24"/>
          <w:szCs w:val="24"/>
          <w:lang w:eastAsia="fr-FR"/>
        </w:rPr>
        <w:t>que la protection de l’environnement et la gestion des ressources naturelles sont assurées de manière à répondre équitablement aux besoins de développement des générations présentes sans compromettre la capacité des générations futures à répondre à leurs propres besoins. Toute politique nationale en matière de développement économique et social intègre ce principe (article 7). Cette Loi-cadre introduit notamment l’obligation d’une évaluation environnementale, d’une étude d’impact environnemental et social, d’un audit environnemental et d’une enquête publique</w:t>
      </w:r>
      <w:r w:rsidR="00F8619E">
        <w:rPr>
          <w:rFonts w:ascii="Times New Roman" w:hAnsi="Times New Roman"/>
          <w:sz w:val="24"/>
          <w:szCs w:val="24"/>
          <w:lang w:eastAsia="fr-FR"/>
        </w:rPr>
        <w:t>, pour tous les travaux d’investissement</w:t>
      </w:r>
      <w:r w:rsidR="00B91A49">
        <w:rPr>
          <w:rFonts w:ascii="Times New Roman" w:hAnsi="Times New Roman"/>
          <w:sz w:val="24"/>
          <w:szCs w:val="24"/>
          <w:lang w:eastAsia="fr-FR"/>
        </w:rPr>
        <w:t>. Cette obligation a été réitérée pour le secteur de l’électricité par l’article 12 de la Loi n°14/011 du 17 juin 2014</w:t>
      </w:r>
      <w:r w:rsidRPr="00D75D2E">
        <w:rPr>
          <w:rFonts w:ascii="Times New Roman" w:hAnsi="Times New Roman"/>
          <w:sz w:val="24"/>
          <w:szCs w:val="24"/>
          <w:lang w:eastAsia="fr-FR"/>
        </w:rPr>
        <w:t>.</w:t>
      </w:r>
    </w:p>
    <w:p w14:paraId="3D820673" w14:textId="77777777" w:rsidR="00B02BF6" w:rsidRDefault="00B02BF6" w:rsidP="00AE31F1">
      <w:pPr>
        <w:tabs>
          <w:tab w:val="left" w:pos="0"/>
        </w:tabs>
        <w:autoSpaceDE w:val="0"/>
        <w:autoSpaceDN w:val="0"/>
        <w:adjustRightInd w:val="0"/>
        <w:spacing w:before="120" w:after="120" w:line="20" w:lineRule="atLeast"/>
        <w:jc w:val="both"/>
        <w:rPr>
          <w:rFonts w:ascii="Times New Roman" w:hAnsi="Times New Roman"/>
          <w:sz w:val="24"/>
          <w:szCs w:val="24"/>
          <w:lang w:eastAsia="fr-FR"/>
        </w:rPr>
      </w:pPr>
      <w:r w:rsidRPr="00AE31F1">
        <w:rPr>
          <w:rFonts w:ascii="Times New Roman" w:hAnsi="Times New Roman"/>
          <w:sz w:val="24"/>
          <w:szCs w:val="24"/>
          <w:lang w:eastAsia="fr-FR"/>
        </w:rPr>
        <w:t>Loi n° 06/018 du 20 juillet 2006 modifiant et complétant le « peine. Décret du 30 janvier 1940 portant Code pénal congolais.</w:t>
      </w:r>
    </w:p>
    <w:p w14:paraId="22BC2EA7" w14:textId="1BD62F26" w:rsidR="00B02BF6" w:rsidRDefault="00B02BF6" w:rsidP="00AE31F1">
      <w:pPr>
        <w:tabs>
          <w:tab w:val="left" w:pos="0"/>
        </w:tabs>
        <w:autoSpaceDE w:val="0"/>
        <w:autoSpaceDN w:val="0"/>
        <w:adjustRightInd w:val="0"/>
        <w:spacing w:before="120" w:after="120" w:line="20" w:lineRule="atLeast"/>
        <w:jc w:val="both"/>
        <w:rPr>
          <w:rFonts w:ascii="Times New Roman" w:hAnsi="Times New Roman"/>
          <w:sz w:val="24"/>
          <w:szCs w:val="24"/>
          <w:lang w:eastAsia="fr-FR"/>
        </w:rPr>
      </w:pPr>
      <w:r w:rsidRPr="00AE31F1">
        <w:rPr>
          <w:rFonts w:ascii="Times New Roman" w:hAnsi="Times New Roman"/>
          <w:sz w:val="24"/>
          <w:szCs w:val="24"/>
          <w:lang w:eastAsia="fr-FR"/>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A cette loi il faudra associer la loi portant protection de l’enfant ainsi que celle contre la stigmatisation et la discrimination de personnes vivant avec le VIH de la RDC qui comprennent certaines dispositions sur les violences basées sur le genre.</w:t>
      </w:r>
    </w:p>
    <w:p w14:paraId="5C8AEEE9" w14:textId="77777777" w:rsidR="00B76612" w:rsidRPr="00AE31F1" w:rsidRDefault="00B76612" w:rsidP="00B76612">
      <w:pPr>
        <w:tabs>
          <w:tab w:val="left" w:pos="567"/>
        </w:tabs>
        <w:spacing w:before="120" w:after="120" w:line="276" w:lineRule="auto"/>
        <w:jc w:val="both"/>
        <w:rPr>
          <w:rFonts w:ascii="Times New Roman" w:hAnsi="Times New Roman"/>
          <w:sz w:val="24"/>
          <w:szCs w:val="24"/>
          <w:lang w:eastAsia="fr-FR"/>
        </w:rPr>
      </w:pPr>
      <w:r w:rsidRPr="00AE31F1">
        <w:rPr>
          <w:rFonts w:ascii="Times New Roman" w:hAnsi="Times New Roman"/>
          <w:sz w:val="24"/>
          <w:szCs w:val="24"/>
          <w:lang w:eastAsia="fr-FR"/>
        </w:rPr>
        <w:t xml:space="preserve">En plus des  lois n°06/018 et n°06/019, d’autres dispositions de lutte contre les violences sexistes et la discrimination des femmes sont prise en compte notamment par :  </w:t>
      </w:r>
    </w:p>
    <w:p w14:paraId="58FC5023" w14:textId="77777777" w:rsidR="00B76612" w:rsidRPr="00AE31F1" w:rsidRDefault="00B76612" w:rsidP="00B76612">
      <w:pPr>
        <w:pStyle w:val="Paragraphedeliste"/>
        <w:numPr>
          <w:ilvl w:val="0"/>
          <w:numId w:val="245"/>
        </w:numPr>
        <w:tabs>
          <w:tab w:val="left" w:pos="567"/>
        </w:tabs>
        <w:spacing w:before="120" w:after="120" w:line="276" w:lineRule="auto"/>
        <w:ind w:left="567"/>
        <w:jc w:val="both"/>
        <w:rPr>
          <w:rFonts w:ascii="Times New Roman" w:hAnsi="Times New Roman"/>
          <w:sz w:val="24"/>
          <w:szCs w:val="24"/>
          <w:lang w:eastAsia="fr-FR"/>
        </w:rPr>
      </w:pPr>
      <w:r w:rsidRPr="00AE31F1">
        <w:rPr>
          <w:rFonts w:ascii="Times New Roman" w:hAnsi="Times New Roman"/>
          <w:sz w:val="24"/>
          <w:szCs w:val="24"/>
          <w:lang w:eastAsia="fr-FR"/>
        </w:rPr>
        <w:t>le Code du travail révisé qui supprime l’autorisation maritale pour l’embauche des femmes mariées à la recherche d’un emploi</w:t>
      </w:r>
    </w:p>
    <w:p w14:paraId="629B3357" w14:textId="77777777" w:rsidR="00B76612" w:rsidRPr="00AE31F1" w:rsidRDefault="00B76612" w:rsidP="00B76612">
      <w:pPr>
        <w:pStyle w:val="Paragraphedeliste"/>
        <w:numPr>
          <w:ilvl w:val="0"/>
          <w:numId w:val="245"/>
        </w:numPr>
        <w:spacing w:after="100" w:afterAutospacing="1" w:line="240" w:lineRule="auto"/>
        <w:ind w:left="567"/>
        <w:jc w:val="both"/>
        <w:rPr>
          <w:rFonts w:ascii="Times New Roman" w:hAnsi="Times New Roman"/>
          <w:sz w:val="24"/>
          <w:szCs w:val="24"/>
          <w:lang w:eastAsia="fr-FR"/>
        </w:rPr>
      </w:pPr>
      <w:r w:rsidRPr="00AE31F1">
        <w:rPr>
          <w:rFonts w:ascii="Times New Roman" w:hAnsi="Times New Roman"/>
          <w:sz w:val="24"/>
          <w:szCs w:val="24"/>
          <w:lang w:eastAsia="fr-FR"/>
        </w:rPr>
        <w:t xml:space="preserve">le Code judiciaire militaire qui réprime de manière particulièrement sévère le </w:t>
      </w:r>
      <w:r w:rsidRPr="00AE31F1">
        <w:rPr>
          <w:rFonts w:ascii="Times New Roman" w:hAnsi="Times New Roman"/>
          <w:sz w:val="24"/>
          <w:lang w:eastAsia="fr-FR"/>
        </w:rPr>
        <w:t>viol, l’esclavage sexuel, la prostitution forcée, la grossesse forcée, la stérilisation forcée et autre forme de violence sexuelle de gravité comparable</w:t>
      </w:r>
      <w:r w:rsidRPr="00AE31F1">
        <w:rPr>
          <w:rFonts w:ascii="Times New Roman" w:hAnsi="Times New Roman"/>
          <w:sz w:val="24"/>
          <w:szCs w:val="24"/>
          <w:lang w:eastAsia="fr-FR"/>
        </w:rPr>
        <w:t xml:space="preserve"> </w:t>
      </w:r>
    </w:p>
    <w:p w14:paraId="770D8EA2" w14:textId="77777777" w:rsidR="00B76612" w:rsidRPr="00AE31F1" w:rsidRDefault="00B76612" w:rsidP="00B76612">
      <w:pPr>
        <w:pStyle w:val="Paragraphedeliste"/>
        <w:numPr>
          <w:ilvl w:val="0"/>
          <w:numId w:val="245"/>
        </w:numPr>
        <w:tabs>
          <w:tab w:val="left" w:pos="567"/>
        </w:tabs>
        <w:spacing w:before="120" w:after="120" w:line="276" w:lineRule="auto"/>
        <w:ind w:left="567"/>
        <w:jc w:val="both"/>
        <w:rPr>
          <w:rFonts w:ascii="Times New Roman" w:hAnsi="Times New Roman"/>
          <w:sz w:val="24"/>
          <w:szCs w:val="24"/>
          <w:lang w:eastAsia="fr-FR"/>
        </w:rPr>
      </w:pPr>
      <w:r w:rsidRPr="00AE31F1">
        <w:rPr>
          <w:rFonts w:ascii="Times New Roman" w:hAnsi="Times New Roman"/>
          <w:sz w:val="24"/>
          <w:szCs w:val="24"/>
          <w:lang w:eastAsia="fr-FR"/>
        </w:rPr>
        <w:t xml:space="preserve">la Loi no 08/011 du 14 juillet 2008 portant protection des droits des personnes vivant avec le VIH/sida et des personnes affectées qui met notamment l’accent sur la femme séropositive bénéficie de toutes les dispositions mises en place par l’État dans le cadre de la politique nationale de santé de la reproduction et la protection de la transmission de la mère à l’enfant du VIH/sida. </w:t>
      </w:r>
    </w:p>
    <w:p w14:paraId="5E25CA9F" w14:textId="77777777" w:rsidR="00B76612" w:rsidRPr="00AE31F1" w:rsidRDefault="00B76612" w:rsidP="00B76612">
      <w:pPr>
        <w:pStyle w:val="Paragraphedeliste"/>
        <w:numPr>
          <w:ilvl w:val="0"/>
          <w:numId w:val="245"/>
        </w:numPr>
        <w:spacing w:after="0" w:line="240" w:lineRule="auto"/>
        <w:ind w:left="567"/>
        <w:jc w:val="both"/>
        <w:rPr>
          <w:rFonts w:ascii="Times New Roman" w:hAnsi="Times New Roman"/>
          <w:sz w:val="24"/>
          <w:szCs w:val="24"/>
          <w:lang w:eastAsia="fr-FR"/>
        </w:rPr>
      </w:pPr>
      <w:r w:rsidRPr="00AE31F1">
        <w:rPr>
          <w:rFonts w:ascii="Times New Roman" w:hAnsi="Times New Roman"/>
          <w:sz w:val="24"/>
          <w:szCs w:val="24"/>
          <w:lang w:eastAsia="fr-FR"/>
        </w:rPr>
        <w:t xml:space="preserve">la Loi n°87/010 du 1er août 1987 portant code de la famille telle que modifiée et complétée la loi n° 16/008 du 15 juillet 2016 qui intègre la dimension genre </w:t>
      </w:r>
    </w:p>
    <w:p w14:paraId="6ADB13A5" w14:textId="77777777" w:rsidR="00B76612" w:rsidRPr="00AE31F1" w:rsidRDefault="00B76612" w:rsidP="00B76612">
      <w:pPr>
        <w:pStyle w:val="Paragraphedeliste"/>
        <w:numPr>
          <w:ilvl w:val="0"/>
          <w:numId w:val="245"/>
        </w:numPr>
        <w:spacing w:after="100" w:afterAutospacing="1" w:line="240" w:lineRule="auto"/>
        <w:ind w:left="567"/>
        <w:rPr>
          <w:rFonts w:ascii="Times New Roman" w:hAnsi="Times New Roman"/>
          <w:sz w:val="24"/>
          <w:szCs w:val="24"/>
          <w:lang w:eastAsia="fr-FR"/>
        </w:rPr>
      </w:pPr>
      <w:r w:rsidRPr="00AE31F1">
        <w:rPr>
          <w:rFonts w:ascii="Times New Roman" w:hAnsi="Times New Roman"/>
          <w:sz w:val="24"/>
          <w:szCs w:val="24"/>
          <w:lang w:eastAsia="fr-FR"/>
        </w:rPr>
        <w:t>la Loi no 09/001 du 10 janvier 2009 portant protection de l’enfant qui définit l’enfant comme toute personne de moins de 18 ans et qui relève l’âge de mariage de 14 ans à 18 ans pour les filles.</w:t>
      </w:r>
    </w:p>
    <w:p w14:paraId="718D91A1" w14:textId="77777777" w:rsidR="00B76612" w:rsidRPr="00AE31F1" w:rsidRDefault="00B76612" w:rsidP="00B76612">
      <w:pPr>
        <w:pStyle w:val="Paragraphedeliste"/>
        <w:numPr>
          <w:ilvl w:val="0"/>
          <w:numId w:val="245"/>
        </w:numPr>
        <w:spacing w:after="100" w:afterAutospacing="1" w:line="240" w:lineRule="auto"/>
        <w:ind w:left="567"/>
        <w:rPr>
          <w:rFonts w:ascii="Times New Roman" w:hAnsi="Times New Roman"/>
          <w:sz w:val="24"/>
          <w:szCs w:val="24"/>
          <w:lang w:eastAsia="fr-FR"/>
        </w:rPr>
      </w:pPr>
      <w:r w:rsidRPr="00AE31F1">
        <w:rPr>
          <w:rFonts w:ascii="Times New Roman" w:hAnsi="Times New Roman"/>
          <w:sz w:val="24"/>
          <w:szCs w:val="24"/>
          <w:lang w:eastAsia="fr-FR"/>
        </w:rPr>
        <w:t>la Loi n°81-003 du 17 juillet 1981 portant statut du personnel de carrière des services publics de l’État détermine sans discrimination basée sur le sexe les conditions pour le recrutement, la rémunération, l’avancement en grade et les autres avantages sociaux.</w:t>
      </w:r>
    </w:p>
    <w:p w14:paraId="5F18D4E2" w14:textId="77777777" w:rsidR="00B76612" w:rsidRPr="00AE31F1" w:rsidRDefault="00B76612" w:rsidP="00215867">
      <w:pPr>
        <w:pStyle w:val="Paragraphedeliste"/>
        <w:numPr>
          <w:ilvl w:val="0"/>
          <w:numId w:val="245"/>
        </w:numPr>
        <w:spacing w:after="120" w:line="240" w:lineRule="auto"/>
        <w:ind w:left="567" w:hanging="357"/>
        <w:contextualSpacing w:val="0"/>
        <w:rPr>
          <w:rFonts w:ascii="Times New Roman" w:hAnsi="Times New Roman"/>
          <w:sz w:val="24"/>
          <w:szCs w:val="24"/>
          <w:lang w:eastAsia="fr-FR"/>
        </w:rPr>
      </w:pPr>
      <w:r w:rsidRPr="00AE31F1">
        <w:rPr>
          <w:rFonts w:ascii="Times New Roman" w:hAnsi="Times New Roman"/>
          <w:sz w:val="24"/>
          <w:szCs w:val="24"/>
          <w:lang w:eastAsia="fr-FR"/>
        </w:rPr>
        <w:t xml:space="preserve">la Loi n°15/013 du 1er août 2015 portant modalités d’application des droits de la femme et de la parité </w:t>
      </w:r>
    </w:p>
    <w:p w14:paraId="4919AB54" w14:textId="511E4D39" w:rsidR="00D75D2E" w:rsidRPr="00D75D2E" w:rsidRDefault="00D75D2E">
      <w:pPr>
        <w:autoSpaceDN w:val="0"/>
        <w:spacing w:before="120" w:after="120" w:line="20" w:lineRule="atLeast"/>
        <w:jc w:val="both"/>
        <w:textAlignment w:val="baseline"/>
        <w:rPr>
          <w:rFonts w:ascii="Times New Roman" w:hAnsi="Times New Roman"/>
          <w:bCs/>
          <w:sz w:val="24"/>
          <w:szCs w:val="24"/>
        </w:rPr>
      </w:pPr>
      <w:r w:rsidRPr="00D75D2E">
        <w:rPr>
          <w:rFonts w:ascii="Times New Roman" w:hAnsi="Times New Roman"/>
          <w:bCs/>
          <w:sz w:val="24"/>
          <w:szCs w:val="24"/>
        </w:rPr>
        <w:t xml:space="preserve">En ce qui concerne les risques liés </w:t>
      </w:r>
      <w:r w:rsidR="00B91A49">
        <w:rPr>
          <w:rFonts w:ascii="Times New Roman" w:hAnsi="Times New Roman"/>
          <w:bCs/>
          <w:sz w:val="24"/>
          <w:szCs w:val="24"/>
        </w:rPr>
        <w:t xml:space="preserve">aux </w:t>
      </w:r>
      <w:r w:rsidRPr="00D75D2E">
        <w:rPr>
          <w:rFonts w:ascii="Times New Roman" w:hAnsi="Times New Roman"/>
          <w:bCs/>
          <w:sz w:val="24"/>
          <w:szCs w:val="24"/>
        </w:rPr>
        <w:t xml:space="preserve">EAS/HS, </w:t>
      </w:r>
      <w:r w:rsidR="00F56080">
        <w:rPr>
          <w:rFonts w:ascii="Times New Roman" w:hAnsi="Times New Roman"/>
          <w:bCs/>
          <w:sz w:val="24"/>
          <w:szCs w:val="24"/>
        </w:rPr>
        <w:t>les recommandations de la Note de Bonnes Pratiques</w:t>
      </w:r>
      <w:r w:rsidR="00F56080">
        <w:rPr>
          <w:rStyle w:val="Appelnotedebasdep"/>
          <w:rFonts w:ascii="Times New Roman" w:hAnsi="Times New Roman"/>
          <w:bCs/>
          <w:sz w:val="24"/>
          <w:szCs w:val="24"/>
        </w:rPr>
        <w:footnoteReference w:id="1"/>
      </w:r>
      <w:r w:rsidR="00F56080">
        <w:rPr>
          <w:rFonts w:ascii="Times New Roman" w:hAnsi="Times New Roman"/>
          <w:bCs/>
          <w:sz w:val="24"/>
          <w:szCs w:val="24"/>
        </w:rPr>
        <w:t xml:space="preserve"> pour lutte contre</w:t>
      </w:r>
      <w:r w:rsidRPr="00D75D2E">
        <w:rPr>
          <w:rFonts w:ascii="Times New Roman" w:hAnsi="Times New Roman"/>
          <w:bCs/>
          <w:sz w:val="24"/>
          <w:szCs w:val="24"/>
        </w:rPr>
        <w:t xml:space="preserve"> </w:t>
      </w:r>
      <w:r w:rsidR="00F56080" w:rsidRPr="00AE31F1">
        <w:rPr>
          <w:rFonts w:ascii="Times New Roman" w:hAnsi="Times New Roman"/>
          <w:sz w:val="24"/>
          <w:szCs w:val="24"/>
          <w:lang w:eastAsia="fr-FR"/>
        </w:rPr>
        <w:t>l’Exploitation et les atteintes Sexuelles, et le Harcèlement sexuel dans le cadre du financement de projets d´investissement comportant de grands travaux de génie civil seront</w:t>
      </w:r>
      <w:r w:rsidR="00F56080" w:rsidRPr="00AE31F1" w:rsidDel="00F56080">
        <w:rPr>
          <w:rFonts w:ascii="Times New Roman" w:hAnsi="Times New Roman"/>
          <w:sz w:val="24"/>
          <w:szCs w:val="24"/>
          <w:lang w:eastAsia="fr-FR"/>
        </w:rPr>
        <w:t xml:space="preserve"> </w:t>
      </w:r>
      <w:r w:rsidR="00BB1D8F">
        <w:rPr>
          <w:rFonts w:ascii="Times New Roman" w:hAnsi="Times New Roman"/>
          <w:sz w:val="24"/>
          <w:szCs w:val="24"/>
          <w:lang w:eastAsia="fr-FR"/>
        </w:rPr>
        <w:t>appliquées</w:t>
      </w:r>
      <w:r w:rsidR="000125EF">
        <w:rPr>
          <w:rFonts w:ascii="Times New Roman" w:hAnsi="Times New Roman"/>
          <w:sz w:val="24"/>
          <w:szCs w:val="24"/>
          <w:lang w:eastAsia="fr-FR"/>
        </w:rPr>
        <w:t xml:space="preserve"> dans le cadre de la mise en œuvre des activités de ce sous-projet. </w:t>
      </w:r>
      <w:r w:rsidR="00BB1D8F">
        <w:rPr>
          <w:rFonts w:ascii="Times New Roman" w:hAnsi="Times New Roman"/>
          <w:sz w:val="24"/>
          <w:szCs w:val="24"/>
          <w:lang w:eastAsia="fr-FR"/>
        </w:rPr>
        <w:t xml:space="preserve"> </w:t>
      </w:r>
      <w:r w:rsidRPr="00D75D2E">
        <w:rPr>
          <w:rFonts w:ascii="Times New Roman" w:hAnsi="Times New Roman"/>
          <w:bCs/>
          <w:sz w:val="24"/>
          <w:szCs w:val="24"/>
        </w:rPr>
        <w:t>Cette Note de bonnes pratiques renseigne les équipes de projet sur les bonnes pratiques permettant de gérer les risques et effets de</w:t>
      </w:r>
      <w:r w:rsidR="00B91A49">
        <w:rPr>
          <w:rFonts w:ascii="Times New Roman" w:hAnsi="Times New Roman"/>
          <w:bCs/>
          <w:sz w:val="24"/>
          <w:szCs w:val="24"/>
        </w:rPr>
        <w:t>s</w:t>
      </w:r>
      <w:r w:rsidRPr="00D75D2E">
        <w:rPr>
          <w:rFonts w:ascii="Times New Roman" w:hAnsi="Times New Roman"/>
          <w:bCs/>
          <w:sz w:val="24"/>
          <w:szCs w:val="24"/>
        </w:rPr>
        <w:t xml:space="preserve"> EAS/HS dans le contexte du Cadre environnemental et social, notamment les Normes environnementales et sociales ci-après, ainsi que les mesures de sauvegarde antérieures au Cadre :</w:t>
      </w:r>
    </w:p>
    <w:p w14:paraId="78CEA455" w14:textId="77777777" w:rsidR="00D75D2E" w:rsidRPr="00D75D2E" w:rsidRDefault="00D75D2E" w:rsidP="00D75D2E">
      <w:pPr>
        <w:autoSpaceDN w:val="0"/>
        <w:spacing w:after="0"/>
        <w:jc w:val="both"/>
        <w:textAlignment w:val="baseline"/>
        <w:rPr>
          <w:rFonts w:ascii="Times New Roman" w:hAnsi="Times New Roman"/>
          <w:bCs/>
          <w:sz w:val="24"/>
          <w:szCs w:val="24"/>
        </w:rPr>
      </w:pPr>
      <w:r w:rsidRPr="00D75D2E">
        <w:rPr>
          <w:rFonts w:ascii="Times New Roman" w:hAnsi="Times New Roman"/>
          <w:bCs/>
          <w:sz w:val="24"/>
          <w:szCs w:val="24"/>
        </w:rPr>
        <w:t>• NES n</w:t>
      </w:r>
      <w:r w:rsidR="00B91A49">
        <w:rPr>
          <w:rFonts w:ascii="Times New Roman" w:hAnsi="Times New Roman"/>
          <w:bCs/>
          <w:sz w:val="24"/>
          <w:szCs w:val="24"/>
        </w:rPr>
        <w:t>°</w:t>
      </w:r>
      <w:r w:rsidRPr="00D75D2E">
        <w:rPr>
          <w:rFonts w:ascii="Times New Roman" w:hAnsi="Times New Roman"/>
          <w:bCs/>
          <w:sz w:val="24"/>
          <w:szCs w:val="24"/>
        </w:rPr>
        <w:t xml:space="preserve"> 1 : Évaluation et gestion des risques et effets environnementaux et sociaux ;</w:t>
      </w:r>
    </w:p>
    <w:p w14:paraId="2A834385" w14:textId="77777777" w:rsidR="00D75D2E" w:rsidRPr="00D75D2E" w:rsidRDefault="00D75D2E" w:rsidP="00D75D2E">
      <w:pPr>
        <w:autoSpaceDN w:val="0"/>
        <w:spacing w:after="0"/>
        <w:jc w:val="both"/>
        <w:textAlignment w:val="baseline"/>
        <w:rPr>
          <w:rFonts w:ascii="Times New Roman" w:hAnsi="Times New Roman"/>
          <w:bCs/>
          <w:sz w:val="24"/>
          <w:szCs w:val="24"/>
        </w:rPr>
      </w:pPr>
      <w:r w:rsidRPr="00D75D2E">
        <w:rPr>
          <w:rFonts w:ascii="Times New Roman" w:hAnsi="Times New Roman"/>
          <w:bCs/>
          <w:sz w:val="24"/>
          <w:szCs w:val="24"/>
        </w:rPr>
        <w:t>• NES n</w:t>
      </w:r>
      <w:r w:rsidR="00B91A49">
        <w:rPr>
          <w:rFonts w:ascii="Times New Roman" w:hAnsi="Times New Roman"/>
          <w:bCs/>
          <w:sz w:val="24"/>
          <w:szCs w:val="24"/>
        </w:rPr>
        <w:t>°</w:t>
      </w:r>
      <w:r w:rsidRPr="00D75D2E">
        <w:rPr>
          <w:rFonts w:ascii="Times New Roman" w:hAnsi="Times New Roman"/>
          <w:bCs/>
          <w:sz w:val="24"/>
          <w:szCs w:val="24"/>
        </w:rPr>
        <w:t xml:space="preserve"> 2 : Emploi et conditions de travail ;</w:t>
      </w:r>
    </w:p>
    <w:p w14:paraId="08C21BDD" w14:textId="77777777" w:rsidR="00D75D2E" w:rsidRPr="00D75D2E" w:rsidRDefault="00D75D2E" w:rsidP="00D75D2E">
      <w:pPr>
        <w:autoSpaceDN w:val="0"/>
        <w:spacing w:after="0"/>
        <w:jc w:val="both"/>
        <w:textAlignment w:val="baseline"/>
        <w:rPr>
          <w:rFonts w:ascii="Times New Roman" w:hAnsi="Times New Roman"/>
          <w:bCs/>
          <w:sz w:val="24"/>
          <w:szCs w:val="24"/>
        </w:rPr>
      </w:pPr>
      <w:r w:rsidRPr="00D75D2E">
        <w:rPr>
          <w:rFonts w:ascii="Times New Roman" w:hAnsi="Times New Roman"/>
          <w:bCs/>
          <w:sz w:val="24"/>
          <w:szCs w:val="24"/>
        </w:rPr>
        <w:t>• NES n</w:t>
      </w:r>
      <w:r w:rsidR="00B91A49">
        <w:rPr>
          <w:rFonts w:ascii="Times New Roman" w:hAnsi="Times New Roman"/>
          <w:bCs/>
          <w:sz w:val="24"/>
          <w:szCs w:val="24"/>
        </w:rPr>
        <w:t>°</w:t>
      </w:r>
      <w:r w:rsidRPr="00D75D2E">
        <w:rPr>
          <w:rFonts w:ascii="Times New Roman" w:hAnsi="Times New Roman"/>
          <w:bCs/>
          <w:sz w:val="24"/>
          <w:szCs w:val="24"/>
        </w:rPr>
        <w:t xml:space="preserve"> 4 : Santé et sécurité des populations ;</w:t>
      </w:r>
    </w:p>
    <w:p w14:paraId="19B398E5" w14:textId="77777777" w:rsidR="00D75D2E" w:rsidRDefault="00D75D2E" w:rsidP="00D75D2E">
      <w:pPr>
        <w:autoSpaceDN w:val="0"/>
        <w:spacing w:after="0"/>
        <w:jc w:val="both"/>
        <w:textAlignment w:val="baseline"/>
        <w:rPr>
          <w:rFonts w:ascii="Times New Roman" w:hAnsi="Times New Roman"/>
          <w:bCs/>
          <w:sz w:val="24"/>
          <w:szCs w:val="24"/>
        </w:rPr>
      </w:pPr>
      <w:r w:rsidRPr="00D75D2E">
        <w:rPr>
          <w:rFonts w:ascii="Times New Roman" w:hAnsi="Times New Roman"/>
          <w:bCs/>
          <w:sz w:val="24"/>
          <w:szCs w:val="24"/>
        </w:rPr>
        <w:t>• NES n</w:t>
      </w:r>
      <w:r w:rsidR="00B91A49">
        <w:rPr>
          <w:rFonts w:ascii="Times New Roman" w:hAnsi="Times New Roman"/>
          <w:bCs/>
          <w:sz w:val="24"/>
          <w:szCs w:val="24"/>
        </w:rPr>
        <w:t>°</w:t>
      </w:r>
      <w:r w:rsidRPr="00D75D2E">
        <w:rPr>
          <w:rFonts w:ascii="Times New Roman" w:hAnsi="Times New Roman"/>
          <w:bCs/>
          <w:sz w:val="24"/>
          <w:szCs w:val="24"/>
        </w:rPr>
        <w:t xml:space="preserve"> 10 : Mobilisation des parties prenantes et information. </w:t>
      </w:r>
    </w:p>
    <w:p w14:paraId="19FD5818" w14:textId="77777777" w:rsidR="00ED42C6" w:rsidRPr="00D75D2E" w:rsidRDefault="00A0533D" w:rsidP="00E737B4">
      <w:pPr>
        <w:autoSpaceDN w:val="0"/>
        <w:spacing w:after="0"/>
        <w:jc w:val="both"/>
        <w:textAlignment w:val="baseline"/>
        <w:rPr>
          <w:rFonts w:ascii="Times New Roman" w:hAnsi="Times New Roman"/>
          <w:sz w:val="24"/>
          <w:szCs w:val="24"/>
        </w:rPr>
      </w:pPr>
      <w:r>
        <w:rPr>
          <w:rFonts w:ascii="Times New Roman" w:hAnsi="Times New Roman"/>
          <w:bCs/>
          <w:sz w:val="24"/>
          <w:szCs w:val="24"/>
        </w:rPr>
        <w:t>La mise en œuvre global</w:t>
      </w:r>
      <w:r w:rsidR="00ED42C6">
        <w:rPr>
          <w:rFonts w:ascii="Times New Roman" w:hAnsi="Times New Roman"/>
          <w:bCs/>
          <w:sz w:val="24"/>
          <w:szCs w:val="24"/>
        </w:rPr>
        <w:t>e</w:t>
      </w:r>
      <w:r>
        <w:rPr>
          <w:rFonts w:ascii="Times New Roman" w:hAnsi="Times New Roman"/>
          <w:bCs/>
          <w:sz w:val="24"/>
          <w:szCs w:val="24"/>
        </w:rPr>
        <w:t xml:space="preserve"> du projet de gouvernance et d’accès à l’électricité, à l’eau et à l’assainissement </w:t>
      </w:r>
      <w:r w:rsidR="00ED42C6">
        <w:rPr>
          <w:rFonts w:ascii="Times New Roman" w:hAnsi="Times New Roman"/>
          <w:bCs/>
          <w:sz w:val="24"/>
          <w:szCs w:val="24"/>
        </w:rPr>
        <w:t xml:space="preserve">se conformer à </w:t>
      </w:r>
      <w:r>
        <w:rPr>
          <w:rFonts w:ascii="Times New Roman" w:hAnsi="Times New Roman"/>
          <w:bCs/>
          <w:sz w:val="24"/>
          <w:szCs w:val="24"/>
        </w:rPr>
        <w:t xml:space="preserve">9 des 10 normes de la Banque et 2 </w:t>
      </w:r>
      <w:r w:rsidR="00B91A49">
        <w:rPr>
          <w:rFonts w:ascii="Times New Roman" w:hAnsi="Times New Roman"/>
          <w:bCs/>
          <w:sz w:val="24"/>
          <w:szCs w:val="24"/>
        </w:rPr>
        <w:t xml:space="preserve">de ses </w:t>
      </w:r>
      <w:r>
        <w:rPr>
          <w:rFonts w:ascii="Times New Roman" w:hAnsi="Times New Roman"/>
          <w:bCs/>
          <w:sz w:val="24"/>
          <w:szCs w:val="24"/>
        </w:rPr>
        <w:t>anciennes politiques</w:t>
      </w:r>
      <w:r w:rsidR="00ED42C6">
        <w:rPr>
          <w:rFonts w:ascii="Times New Roman" w:hAnsi="Times New Roman"/>
          <w:bCs/>
          <w:sz w:val="24"/>
          <w:szCs w:val="24"/>
        </w:rPr>
        <w:t xml:space="preserve">. </w:t>
      </w:r>
      <w:r w:rsidR="00B91A49">
        <w:rPr>
          <w:rFonts w:ascii="Times New Roman" w:hAnsi="Times New Roman"/>
          <w:bCs/>
          <w:sz w:val="24"/>
          <w:szCs w:val="24"/>
        </w:rPr>
        <w:t xml:space="preserve">Ainsi, </w:t>
      </w:r>
      <w:r w:rsidR="00ED42C6">
        <w:rPr>
          <w:rFonts w:ascii="Times New Roman" w:hAnsi="Times New Roman"/>
          <w:bCs/>
          <w:sz w:val="24"/>
          <w:szCs w:val="24"/>
        </w:rPr>
        <w:t xml:space="preserve">pour le sous-projet d’électrification des poches noires, d’assainissement, de réhabilitation et mise en conformité des réseaux SNEL des directions de Kinshasa Centre et Ouest, </w:t>
      </w:r>
      <w:r w:rsidR="001E0B8A">
        <w:rPr>
          <w:rFonts w:ascii="Times New Roman" w:hAnsi="Times New Roman"/>
          <w:bCs/>
          <w:sz w:val="24"/>
          <w:szCs w:val="24"/>
        </w:rPr>
        <w:t>8</w:t>
      </w:r>
      <w:r w:rsidR="00ED42C6">
        <w:rPr>
          <w:rFonts w:ascii="Times New Roman" w:hAnsi="Times New Roman"/>
          <w:bCs/>
          <w:sz w:val="24"/>
          <w:szCs w:val="24"/>
        </w:rPr>
        <w:t xml:space="preserve"> </w:t>
      </w:r>
      <w:r>
        <w:rPr>
          <w:rFonts w:ascii="Times New Roman" w:hAnsi="Times New Roman"/>
          <w:bCs/>
          <w:sz w:val="24"/>
          <w:szCs w:val="24"/>
        </w:rPr>
        <w:t xml:space="preserve">de 10 normes de la Banque mondiale sont pertinentes </w:t>
      </w:r>
      <w:r w:rsidR="00ED42C6">
        <w:rPr>
          <w:rFonts w:ascii="Times New Roman" w:hAnsi="Times New Roman"/>
          <w:bCs/>
          <w:sz w:val="24"/>
          <w:szCs w:val="24"/>
        </w:rPr>
        <w:t>pour sa mise en œuvre</w:t>
      </w:r>
      <w:r>
        <w:rPr>
          <w:rFonts w:ascii="Times New Roman" w:hAnsi="Times New Roman"/>
          <w:bCs/>
          <w:sz w:val="24"/>
          <w:szCs w:val="24"/>
        </w:rPr>
        <w:t xml:space="preserve">. </w:t>
      </w:r>
      <w:r w:rsidR="00ED42C6" w:rsidRPr="00D75D2E">
        <w:rPr>
          <w:rFonts w:ascii="Times New Roman" w:hAnsi="Times New Roman"/>
          <w:sz w:val="24"/>
          <w:szCs w:val="24"/>
        </w:rPr>
        <w:t xml:space="preserve">Il s’agit plus précisément de : </w:t>
      </w:r>
    </w:p>
    <w:p w14:paraId="27294E76"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1 : Évaluation et gestion des risques et effets environnementaux et sociaux</w:t>
      </w:r>
    </w:p>
    <w:p w14:paraId="76B3D21E"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2 : Main d’œuvre et conditions de travail</w:t>
      </w:r>
    </w:p>
    <w:p w14:paraId="6B90AD26"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3 : Utilisation efficiente des ressources, prévention et gestion de la pollution</w:t>
      </w:r>
    </w:p>
    <w:p w14:paraId="284F8C82"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NES 4 : Santé et sécurité des communautés </w:t>
      </w:r>
    </w:p>
    <w:p w14:paraId="0ECE1AE4"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5 : Acquisition des terres, restrictions à l’utilisation des terres et réinstallation involontaire</w:t>
      </w:r>
    </w:p>
    <w:p w14:paraId="13EA5122"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6 : Conservation de la biodiversité et gestion des ressources naturelles vivantes</w:t>
      </w:r>
    </w:p>
    <w:p w14:paraId="1F373096"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8 : Patrimoine Culturel</w:t>
      </w:r>
    </w:p>
    <w:p w14:paraId="234FBCEA" w14:textId="77777777" w:rsidR="00ED42C6" w:rsidRPr="00D75D2E" w:rsidRDefault="00ED42C6"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NES 10 : Consultation et diffusion de l’information</w:t>
      </w:r>
    </w:p>
    <w:p w14:paraId="450F2F5B" w14:textId="128570CE" w:rsidR="004402C3" w:rsidRPr="00F127B4" w:rsidRDefault="004402C3" w:rsidP="00E737B4">
      <w:pPr>
        <w:autoSpaceDN w:val="0"/>
        <w:spacing w:before="120" w:after="120" w:line="20" w:lineRule="atLeast"/>
        <w:jc w:val="both"/>
        <w:textAlignment w:val="baseline"/>
        <w:rPr>
          <w:rFonts w:ascii="Times New Roman" w:hAnsi="Times New Roman"/>
          <w:sz w:val="24"/>
          <w:szCs w:val="24"/>
        </w:rPr>
      </w:pPr>
      <w:r w:rsidRPr="00800248">
        <w:rPr>
          <w:rFonts w:ascii="Times New Roman" w:hAnsi="Times New Roman"/>
          <w:sz w:val="24"/>
          <w:szCs w:val="24"/>
        </w:rPr>
        <w:t>Seule la NES n° 7 : relative aux Peuples autochtones/ Communautés locales traditionnelles d’Afrique subsaharienne historiquement défavorisées n’</w:t>
      </w:r>
      <w:r w:rsidRPr="00F127B4">
        <w:rPr>
          <w:rFonts w:ascii="Times New Roman" w:hAnsi="Times New Roman"/>
          <w:sz w:val="24"/>
          <w:szCs w:val="24"/>
        </w:rPr>
        <w:t>est pas applicable à ce sou</w:t>
      </w:r>
      <w:r w:rsidRPr="00800248">
        <w:rPr>
          <w:rFonts w:ascii="Times New Roman" w:hAnsi="Times New Roman"/>
          <w:sz w:val="24"/>
          <w:szCs w:val="24"/>
        </w:rPr>
        <w:t>s-projet</w:t>
      </w:r>
      <w:r w:rsidR="00BF2BBC">
        <w:rPr>
          <w:rFonts w:ascii="Times New Roman" w:hAnsi="Times New Roman"/>
          <w:sz w:val="24"/>
          <w:szCs w:val="24"/>
        </w:rPr>
        <w:t xml:space="preserve">, d’autant plus qu’il </w:t>
      </w:r>
      <w:r w:rsidR="00C41A0D">
        <w:rPr>
          <w:rFonts w:ascii="Times New Roman" w:hAnsi="Times New Roman"/>
          <w:sz w:val="24"/>
          <w:szCs w:val="24"/>
        </w:rPr>
        <w:t xml:space="preserve">se réalisera </w:t>
      </w:r>
      <w:r w:rsidR="004179CA">
        <w:rPr>
          <w:rFonts w:ascii="Times New Roman" w:hAnsi="Times New Roman"/>
          <w:sz w:val="24"/>
          <w:szCs w:val="24"/>
        </w:rPr>
        <w:t xml:space="preserve">en milieu </w:t>
      </w:r>
      <w:r w:rsidR="004F0646">
        <w:rPr>
          <w:rFonts w:ascii="Times New Roman" w:hAnsi="Times New Roman"/>
          <w:sz w:val="24"/>
          <w:szCs w:val="24"/>
        </w:rPr>
        <w:t>urbaine</w:t>
      </w:r>
      <w:r w:rsidR="00C41A0D">
        <w:rPr>
          <w:rFonts w:ascii="Times New Roman" w:hAnsi="Times New Roman"/>
          <w:sz w:val="24"/>
          <w:szCs w:val="24"/>
        </w:rPr>
        <w:t>.</w:t>
      </w:r>
      <w:r w:rsidRPr="00800248">
        <w:rPr>
          <w:rFonts w:ascii="Times New Roman" w:hAnsi="Times New Roman"/>
          <w:sz w:val="24"/>
          <w:szCs w:val="24"/>
        </w:rPr>
        <w:t xml:space="preserve"> </w:t>
      </w:r>
    </w:p>
    <w:p w14:paraId="7298816F" w14:textId="2445544C" w:rsidR="00D75D2E" w:rsidRPr="00D75D2E" w:rsidRDefault="00D75D2E" w:rsidP="00E737B4">
      <w:pPr>
        <w:autoSpaceDN w:val="0"/>
        <w:spacing w:before="120" w:after="120" w:line="20" w:lineRule="atLeast"/>
        <w:jc w:val="both"/>
        <w:textAlignment w:val="baseline"/>
        <w:rPr>
          <w:rFonts w:ascii="Times New Roman" w:hAnsi="Times New Roman"/>
          <w:sz w:val="24"/>
          <w:szCs w:val="24"/>
        </w:rPr>
      </w:pPr>
      <w:r w:rsidRPr="00D75D2E">
        <w:rPr>
          <w:rFonts w:ascii="Times New Roman" w:hAnsi="Times New Roman"/>
          <w:sz w:val="24"/>
          <w:szCs w:val="24"/>
        </w:rPr>
        <w:t xml:space="preserve">Le cadre légal </w:t>
      </w:r>
      <w:r w:rsidR="004402C3">
        <w:rPr>
          <w:rFonts w:ascii="Times New Roman" w:hAnsi="Times New Roman"/>
          <w:sz w:val="24"/>
          <w:szCs w:val="24"/>
        </w:rPr>
        <w:t xml:space="preserve">de la RDC </w:t>
      </w:r>
      <w:r w:rsidRPr="00D75D2E">
        <w:rPr>
          <w:rFonts w:ascii="Times New Roman" w:hAnsi="Times New Roman"/>
          <w:sz w:val="24"/>
          <w:szCs w:val="24"/>
        </w:rPr>
        <w:t xml:space="preserve">est complété par les Conventions internationales ratifiées ou signées par l’État congolais qui </w:t>
      </w:r>
      <w:r w:rsidRPr="00E737B4">
        <w:rPr>
          <w:rFonts w:ascii="Times New Roman" w:hAnsi="Times New Roman"/>
          <w:bCs/>
          <w:sz w:val="24"/>
          <w:szCs w:val="24"/>
        </w:rPr>
        <w:t>font</w:t>
      </w:r>
      <w:r w:rsidRPr="00D75D2E">
        <w:rPr>
          <w:rFonts w:ascii="Times New Roman" w:hAnsi="Times New Roman"/>
          <w:sz w:val="24"/>
          <w:szCs w:val="24"/>
        </w:rPr>
        <w:t xml:space="preserve"> d’office partie intégrante de l’arsenal juridique du pays.</w:t>
      </w:r>
    </w:p>
    <w:p w14:paraId="5FAA752F" w14:textId="77777777" w:rsidR="00D75D2E" w:rsidRPr="00D75D2E" w:rsidRDefault="00D75D2E" w:rsidP="00E737B4">
      <w:pPr>
        <w:spacing w:before="120" w:after="120" w:line="240" w:lineRule="auto"/>
        <w:rPr>
          <w:rFonts w:ascii="Times New Roman" w:hAnsi="Times New Roman"/>
          <w:b/>
          <w:sz w:val="24"/>
          <w:szCs w:val="24"/>
        </w:rPr>
      </w:pPr>
      <w:r w:rsidRPr="00D75D2E">
        <w:rPr>
          <w:rFonts w:ascii="Times New Roman" w:hAnsi="Times New Roman"/>
          <w:b/>
          <w:sz w:val="24"/>
          <w:szCs w:val="24"/>
        </w:rPr>
        <w:t xml:space="preserve">Au titre des conventions ratifiées </w:t>
      </w:r>
      <w:r w:rsidR="00ED42C6">
        <w:rPr>
          <w:rFonts w:ascii="Times New Roman" w:hAnsi="Times New Roman"/>
          <w:b/>
          <w:sz w:val="24"/>
          <w:szCs w:val="24"/>
        </w:rPr>
        <w:t xml:space="preserve">par la RDC et </w:t>
      </w:r>
      <w:r w:rsidRPr="00D75D2E">
        <w:rPr>
          <w:rFonts w:ascii="Times New Roman" w:hAnsi="Times New Roman"/>
          <w:b/>
          <w:sz w:val="24"/>
          <w:szCs w:val="24"/>
        </w:rPr>
        <w:t xml:space="preserve">pertinentes </w:t>
      </w:r>
      <w:r w:rsidR="00ED42C6">
        <w:rPr>
          <w:rFonts w:ascii="Times New Roman" w:hAnsi="Times New Roman"/>
          <w:b/>
          <w:sz w:val="24"/>
          <w:szCs w:val="24"/>
        </w:rPr>
        <w:t>dans le cadre de ce sous-</w:t>
      </w:r>
      <w:r w:rsidRPr="00D75D2E">
        <w:rPr>
          <w:rFonts w:ascii="Times New Roman" w:hAnsi="Times New Roman"/>
          <w:b/>
          <w:sz w:val="24"/>
          <w:szCs w:val="24"/>
        </w:rPr>
        <w:t>projet on peut citer pour l’essentiel :</w:t>
      </w:r>
    </w:p>
    <w:p w14:paraId="295E81A3" w14:textId="77777777" w:rsidR="00D75D2E" w:rsidRPr="00D75D2E" w:rsidRDefault="00D75D2E"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w:t>
      </w:r>
      <w:r w:rsidRPr="00D75D2E">
        <w:rPr>
          <w:rFonts w:ascii="Times New Roman" w:hAnsi="Times New Roman"/>
          <w:sz w:val="24"/>
          <w:szCs w:val="24"/>
          <w:lang w:eastAsia="fr-FR"/>
        </w:rPr>
        <w:t>Convention de Londres relative à la conservation de la faune et de la flore à l’état naturel ratifié</w:t>
      </w:r>
      <w:r w:rsidR="004402C3">
        <w:rPr>
          <w:rFonts w:ascii="Times New Roman" w:hAnsi="Times New Roman"/>
          <w:sz w:val="24"/>
          <w:szCs w:val="24"/>
          <w:lang w:eastAsia="fr-FR"/>
        </w:rPr>
        <w:t>e</w:t>
      </w:r>
      <w:r w:rsidRPr="00D75D2E">
        <w:rPr>
          <w:rFonts w:ascii="Times New Roman" w:hAnsi="Times New Roman"/>
          <w:sz w:val="24"/>
          <w:szCs w:val="24"/>
          <w:lang w:eastAsia="fr-FR"/>
        </w:rPr>
        <w:t xml:space="preserve"> le 14 janvier 1936 ;</w:t>
      </w:r>
    </w:p>
    <w:p w14:paraId="29A023D5" w14:textId="77777777" w:rsidR="00D75D2E" w:rsidRPr="00D75D2E" w:rsidRDefault="00D75D2E"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lang w:eastAsia="fr-FR"/>
        </w:rPr>
        <w:t>la Convention Africaine sur la conservation de la nature et des ressources naturelles ratifiée le 15 septembre 1968 ;</w:t>
      </w:r>
    </w:p>
    <w:p w14:paraId="7F8B5F24" w14:textId="77777777" w:rsidR="00D75D2E" w:rsidRPr="00D75D2E" w:rsidRDefault="00D75D2E"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lang w:eastAsia="fr-FR"/>
        </w:rPr>
        <w:t>la Convention de Paris relative à la protection du patrimoine mondial culturel et naturel ratifiée le 23 novembre 1972. ;</w:t>
      </w:r>
    </w:p>
    <w:p w14:paraId="20CDF432" w14:textId="77777777" w:rsidR="00D75D2E" w:rsidRPr="00D75D2E" w:rsidRDefault="00D75D2E"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w:t>
      </w:r>
      <w:r w:rsidRPr="00D75D2E">
        <w:rPr>
          <w:rFonts w:ascii="Times New Roman" w:hAnsi="Times New Roman"/>
          <w:sz w:val="24"/>
          <w:szCs w:val="24"/>
          <w:lang w:eastAsia="fr-FR"/>
        </w:rPr>
        <w:t xml:space="preserve">Convention-Cadre des Nations-Unies sur </w:t>
      </w:r>
      <w:r w:rsidR="001C21BB" w:rsidRPr="00D75D2E">
        <w:rPr>
          <w:rFonts w:ascii="Times New Roman" w:hAnsi="Times New Roman"/>
          <w:sz w:val="24"/>
          <w:szCs w:val="24"/>
          <w:lang w:eastAsia="fr-FR"/>
        </w:rPr>
        <w:t>les changements climatiques</w:t>
      </w:r>
      <w:r w:rsidR="004402C3">
        <w:rPr>
          <w:rFonts w:ascii="Times New Roman" w:hAnsi="Times New Roman"/>
          <w:sz w:val="24"/>
          <w:szCs w:val="24"/>
          <w:lang w:eastAsia="fr-FR"/>
        </w:rPr>
        <w:t>,</w:t>
      </w:r>
      <w:r w:rsidR="001C21BB" w:rsidRPr="00D75D2E">
        <w:rPr>
          <w:rFonts w:ascii="Times New Roman" w:hAnsi="Times New Roman"/>
          <w:sz w:val="24"/>
          <w:szCs w:val="24"/>
          <w:lang w:eastAsia="fr-FR"/>
        </w:rPr>
        <w:t xml:space="preserve"> ratifié</w:t>
      </w:r>
      <w:r w:rsidR="004402C3">
        <w:rPr>
          <w:rFonts w:ascii="Times New Roman" w:hAnsi="Times New Roman"/>
          <w:sz w:val="24"/>
          <w:szCs w:val="24"/>
          <w:lang w:eastAsia="fr-FR"/>
        </w:rPr>
        <w:t>e</w:t>
      </w:r>
      <w:r w:rsidRPr="00D75D2E">
        <w:rPr>
          <w:rFonts w:ascii="Times New Roman" w:hAnsi="Times New Roman"/>
          <w:sz w:val="24"/>
          <w:szCs w:val="24"/>
          <w:lang w:eastAsia="fr-FR"/>
        </w:rPr>
        <w:t xml:space="preserve"> le </w:t>
      </w:r>
      <w:r w:rsidRPr="00D75D2E">
        <w:rPr>
          <w:rFonts w:ascii="Times New Roman" w:hAnsi="Times New Roman"/>
          <w:sz w:val="24"/>
          <w:szCs w:val="24"/>
          <w:lang w:val="pt-PT" w:eastAsia="fr-FR"/>
        </w:rPr>
        <w:t>4 juin 1992;</w:t>
      </w:r>
    </w:p>
    <w:p w14:paraId="181DEF6B" w14:textId="77777777" w:rsidR="00D75D2E" w:rsidRPr="00D75D2E" w:rsidRDefault="00D75D2E" w:rsidP="008C79F0">
      <w:pPr>
        <w:numPr>
          <w:ilvl w:val="0"/>
          <w:numId w:val="136"/>
        </w:numPr>
        <w:spacing w:after="0" w:line="240" w:lineRule="auto"/>
        <w:contextualSpacing/>
        <w:jc w:val="both"/>
        <w:rPr>
          <w:rFonts w:ascii="Times New Roman" w:hAnsi="Times New Roman"/>
          <w:sz w:val="24"/>
          <w:szCs w:val="24"/>
        </w:rPr>
      </w:pPr>
      <w:r w:rsidRPr="00D75D2E">
        <w:rPr>
          <w:rFonts w:ascii="Times New Roman" w:hAnsi="Times New Roman"/>
          <w:sz w:val="24"/>
          <w:szCs w:val="24"/>
          <w:lang w:eastAsia="fr-FR"/>
        </w:rPr>
        <w:t>la Convention des Nations Unies contre la Désertification ratifiée le 17 octobre 1995.</w:t>
      </w:r>
    </w:p>
    <w:p w14:paraId="4F7699C3" w14:textId="77777777" w:rsidR="00D75D2E" w:rsidRPr="00D75D2E" w:rsidRDefault="00D75D2E" w:rsidP="008C79F0">
      <w:pPr>
        <w:numPr>
          <w:ilvl w:val="0"/>
          <w:numId w:val="136"/>
        </w:numPr>
        <w:spacing w:after="120" w:line="240" w:lineRule="auto"/>
        <w:ind w:left="357" w:hanging="357"/>
        <w:jc w:val="both"/>
        <w:rPr>
          <w:rFonts w:ascii="Times New Roman" w:hAnsi="Times New Roman"/>
          <w:sz w:val="24"/>
          <w:szCs w:val="24"/>
        </w:rPr>
      </w:pPr>
      <w:r w:rsidRPr="00D75D2E">
        <w:rPr>
          <w:rFonts w:ascii="Times New Roman" w:hAnsi="Times New Roman"/>
          <w:sz w:val="24"/>
          <w:szCs w:val="24"/>
          <w:lang w:eastAsia="fr-FR"/>
        </w:rPr>
        <w:t xml:space="preserve">La Convention sur la Diversité Biologique, ratifiée le </w:t>
      </w:r>
      <w:r w:rsidRPr="00D75D2E">
        <w:rPr>
          <w:rFonts w:ascii="Times New Roman" w:hAnsi="Times New Roman"/>
          <w:sz w:val="24"/>
          <w:szCs w:val="24"/>
          <w:lang w:val="pt-PT" w:eastAsia="fr-FR"/>
        </w:rPr>
        <w:t>4 juin 1992</w:t>
      </w:r>
      <w:r w:rsidR="00E114CA">
        <w:rPr>
          <w:rFonts w:ascii="Times New Roman" w:hAnsi="Times New Roman"/>
          <w:sz w:val="24"/>
          <w:szCs w:val="24"/>
          <w:lang w:val="pt-PT" w:eastAsia="fr-FR"/>
        </w:rPr>
        <w:t>.</w:t>
      </w:r>
    </w:p>
    <w:p w14:paraId="13F5A908" w14:textId="77777777" w:rsidR="00D75D2E" w:rsidRPr="00D75D2E" w:rsidRDefault="00D75D2E" w:rsidP="00E737B4">
      <w:pPr>
        <w:spacing w:before="120" w:after="120" w:line="240" w:lineRule="auto"/>
        <w:jc w:val="both"/>
        <w:rPr>
          <w:rFonts w:ascii="Times New Roman" w:hAnsi="Times New Roman"/>
          <w:sz w:val="24"/>
          <w:szCs w:val="24"/>
          <w:lang w:val="pt-PT" w:eastAsia="fr-FR"/>
        </w:rPr>
      </w:pPr>
      <w:r w:rsidRPr="00D75D2E">
        <w:rPr>
          <w:rFonts w:ascii="Times New Roman" w:hAnsi="Times New Roman"/>
          <w:sz w:val="24"/>
          <w:szCs w:val="24"/>
          <w:lang w:val="pt-PT" w:eastAsia="fr-FR"/>
        </w:rPr>
        <w:t>Au titre des convention sur le travail, la protection de la femme et de l’enfant, il y a entre autres:</w:t>
      </w:r>
    </w:p>
    <w:p w14:paraId="52624D8E" w14:textId="77777777" w:rsidR="00D75D2E" w:rsidRPr="00D75D2E" w:rsidRDefault="004402C3"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val="pt-PT" w:eastAsia="fr-FR"/>
        </w:rPr>
        <w:t>l</w:t>
      </w:r>
      <w:r>
        <w:rPr>
          <w:rFonts w:ascii="Times New Roman" w:hAnsi="Times New Roman"/>
          <w:sz w:val="24"/>
          <w:szCs w:val="24"/>
          <w:lang w:eastAsia="fr-FR"/>
        </w:rPr>
        <w:t xml:space="preserve">a </w:t>
      </w:r>
      <w:r w:rsidR="00D75D2E" w:rsidRPr="00D75D2E">
        <w:rPr>
          <w:rFonts w:ascii="Times New Roman" w:hAnsi="Times New Roman"/>
          <w:sz w:val="24"/>
          <w:szCs w:val="24"/>
          <w:lang w:eastAsia="fr-FR"/>
        </w:rPr>
        <w:t>Convention n° 150 concernant l’administration du travail: rôle, fonctions et organisation, Conclue à Genève le 26 juin 1978 ratifiée le 03/04/1987 et ratifié le </w:t>
      </w:r>
      <w:r w:rsidR="00D75D2E" w:rsidRPr="00D75D2E">
        <w:rPr>
          <w:rFonts w:ascii="Times New Roman" w:eastAsia="Times New Roman" w:hAnsi="Times New Roman"/>
          <w:lang w:eastAsia="fr-FR"/>
        </w:rPr>
        <w:t>03 avril1987</w:t>
      </w:r>
      <w:r w:rsidR="00D75D2E" w:rsidRPr="00D75D2E">
        <w:rPr>
          <w:rFonts w:ascii="Times New Roman" w:hAnsi="Times New Roman"/>
          <w:sz w:val="24"/>
          <w:szCs w:val="24"/>
          <w:lang w:eastAsia="fr-FR"/>
        </w:rPr>
        <w:t>;</w:t>
      </w:r>
    </w:p>
    <w:p w14:paraId="20461C86" w14:textId="77777777" w:rsidR="00D75D2E" w:rsidRPr="00D75D2E" w:rsidRDefault="004402C3"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Convention n° 182 concernant l’interdiction des pires formes de travail des enfants et l’action immédiate en vue de leur élimination, Conclue à Genève le 17 juin 1999 et ratifié le 20 juin 2001</w:t>
      </w:r>
    </w:p>
    <w:p w14:paraId="3CC115A6" w14:textId="77777777" w:rsidR="00D75D2E" w:rsidRPr="00D75D2E" w:rsidRDefault="004402C3"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Convention N° 138 sur l'âge minimum d'admission à l'emploi,  Conclue en 1999 et ratifié</w:t>
      </w:r>
      <w:r w:rsidR="00426831">
        <w:rPr>
          <w:rFonts w:ascii="Times New Roman" w:hAnsi="Times New Roman"/>
          <w:sz w:val="24"/>
          <w:szCs w:val="24"/>
          <w:lang w:eastAsia="fr-FR"/>
        </w:rPr>
        <w:t>e</w:t>
      </w:r>
      <w:r w:rsidR="00D75D2E" w:rsidRPr="00D75D2E">
        <w:rPr>
          <w:rFonts w:ascii="Times New Roman" w:hAnsi="Times New Roman"/>
          <w:sz w:val="24"/>
          <w:szCs w:val="24"/>
          <w:lang w:eastAsia="fr-FR"/>
        </w:rPr>
        <w:t xml:space="preserve"> 20 juin 2001</w:t>
      </w:r>
    </w:p>
    <w:p w14:paraId="56685A65" w14:textId="77777777" w:rsidR="00D75D2E" w:rsidRPr="00D75D2E" w:rsidRDefault="00D75D2E" w:rsidP="008C79F0">
      <w:pPr>
        <w:numPr>
          <w:ilvl w:val="0"/>
          <w:numId w:val="136"/>
        </w:numPr>
        <w:spacing w:line="240" w:lineRule="auto"/>
        <w:contextualSpacing/>
        <w:jc w:val="both"/>
        <w:rPr>
          <w:rFonts w:ascii="Times New Roman" w:hAnsi="Times New Roman"/>
          <w:sz w:val="24"/>
          <w:szCs w:val="24"/>
          <w:lang w:eastAsia="fr-FR"/>
        </w:rPr>
      </w:pPr>
      <w:r w:rsidRPr="00D75D2E">
        <w:rPr>
          <w:rFonts w:ascii="Times New Roman" w:hAnsi="Times New Roman"/>
          <w:sz w:val="24"/>
          <w:szCs w:val="24"/>
          <w:lang w:eastAsia="fr-FR"/>
        </w:rPr>
        <w:t>la Charte africaine des droits et du bien-être de l'enfant, Juillet 1990</w:t>
      </w:r>
    </w:p>
    <w:p w14:paraId="7C60AD67" w14:textId="77777777" w:rsidR="00D75D2E" w:rsidRPr="00D75D2E" w:rsidRDefault="004402C3"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Convention N° 121 sur les prestations en cas d’accidents du travail et de maladies professionnelles de 1964 (tableau I modifié en 1980) ratifiée le 05/09/1967 ;</w:t>
      </w:r>
    </w:p>
    <w:p w14:paraId="23E94B05" w14:textId="77777777" w:rsidR="00D75D2E" w:rsidRPr="00D75D2E" w:rsidRDefault="004402C3"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 xml:space="preserve">Convention N° 111 concernant la discrimination (emploi profession) de 1958, </w:t>
      </w:r>
      <w:r w:rsidR="00426831" w:rsidRPr="00D75D2E">
        <w:rPr>
          <w:rFonts w:ascii="Times New Roman" w:hAnsi="Times New Roman"/>
          <w:sz w:val="24"/>
          <w:szCs w:val="24"/>
          <w:lang w:eastAsia="fr-FR"/>
        </w:rPr>
        <w:t>ratifi</w:t>
      </w:r>
      <w:r w:rsidR="00426831">
        <w:rPr>
          <w:rFonts w:ascii="Times New Roman" w:hAnsi="Times New Roman"/>
          <w:sz w:val="24"/>
          <w:szCs w:val="24"/>
          <w:lang w:eastAsia="fr-FR"/>
        </w:rPr>
        <w:t>é</w:t>
      </w:r>
      <w:r w:rsidR="00426831" w:rsidRPr="00D75D2E">
        <w:rPr>
          <w:rFonts w:ascii="Times New Roman" w:hAnsi="Times New Roman"/>
          <w:sz w:val="24"/>
          <w:szCs w:val="24"/>
          <w:lang w:eastAsia="fr-FR"/>
        </w:rPr>
        <w:t>e</w:t>
      </w:r>
      <w:r w:rsidR="00D75D2E" w:rsidRPr="00D75D2E">
        <w:rPr>
          <w:rFonts w:ascii="Times New Roman" w:hAnsi="Times New Roman"/>
          <w:sz w:val="24"/>
          <w:szCs w:val="24"/>
          <w:lang w:eastAsia="fr-FR"/>
        </w:rPr>
        <w:t xml:space="preserve"> le 20 juin 2001</w:t>
      </w:r>
    </w:p>
    <w:p w14:paraId="47EFC95F" w14:textId="77777777" w:rsidR="00D75D2E" w:rsidRPr="00D75D2E" w:rsidRDefault="00426831" w:rsidP="008C79F0">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Convention sur l'élimination de toutes les formes de discrimination à l’égard des femmes ou la déclaration sur l’élimination de la violence contre les femmes, adopté</w:t>
      </w:r>
      <w:r w:rsidR="00ED42C6">
        <w:rPr>
          <w:rFonts w:ascii="Times New Roman" w:hAnsi="Times New Roman"/>
          <w:sz w:val="24"/>
          <w:szCs w:val="24"/>
          <w:lang w:eastAsia="fr-FR"/>
        </w:rPr>
        <w:t>e</w:t>
      </w:r>
      <w:r w:rsidR="00D75D2E" w:rsidRPr="00D75D2E">
        <w:rPr>
          <w:rFonts w:ascii="Times New Roman" w:hAnsi="Times New Roman"/>
          <w:sz w:val="24"/>
          <w:szCs w:val="24"/>
          <w:lang w:eastAsia="fr-FR"/>
        </w:rPr>
        <w:t xml:space="preserve"> le 18 Décembre 1979 par l’Assemblée générale des Nations Unies. Elle a été signée en 1980 et ratifié en 1986 par la RDC. Elle est entrée en vigueur le 3 septembre 1981 après avoir été ratifié par 20 pays</w:t>
      </w:r>
    </w:p>
    <w:p w14:paraId="550D1116" w14:textId="77777777" w:rsidR="00D75D2E" w:rsidRDefault="00426831" w:rsidP="00AE31F1">
      <w:pPr>
        <w:numPr>
          <w:ilvl w:val="0"/>
          <w:numId w:val="136"/>
        </w:numPr>
        <w:spacing w:after="0" w:line="240" w:lineRule="auto"/>
        <w:ind w:left="357" w:hanging="357"/>
        <w:jc w:val="both"/>
        <w:rPr>
          <w:rFonts w:ascii="Times New Roman" w:hAnsi="Times New Roman"/>
          <w:sz w:val="24"/>
          <w:szCs w:val="24"/>
          <w:lang w:eastAsia="fr-FR"/>
        </w:rPr>
      </w:pPr>
      <w:r>
        <w:rPr>
          <w:rFonts w:ascii="Times New Roman" w:hAnsi="Times New Roman"/>
          <w:sz w:val="24"/>
          <w:szCs w:val="24"/>
          <w:lang w:eastAsia="fr-FR"/>
        </w:rPr>
        <w:t xml:space="preserve">la </w:t>
      </w:r>
      <w:r w:rsidR="00D75D2E" w:rsidRPr="00D75D2E">
        <w:rPr>
          <w:rFonts w:ascii="Times New Roman" w:hAnsi="Times New Roman"/>
          <w:sz w:val="24"/>
          <w:szCs w:val="24"/>
          <w:lang w:eastAsia="fr-FR"/>
        </w:rPr>
        <w:t>Résolution 44/25 du 20 novembre 1989 sur les droits des enfants</w:t>
      </w:r>
    </w:p>
    <w:p w14:paraId="3F8FC5C1" w14:textId="6C058D82" w:rsidR="00ED7940" w:rsidRPr="00D75D2E" w:rsidRDefault="00ED7940" w:rsidP="00ED7940">
      <w:pPr>
        <w:numPr>
          <w:ilvl w:val="0"/>
          <w:numId w:val="136"/>
        </w:numPr>
        <w:spacing w:after="120" w:line="240" w:lineRule="auto"/>
        <w:ind w:left="357" w:hanging="357"/>
        <w:jc w:val="both"/>
        <w:rPr>
          <w:rFonts w:ascii="Times New Roman" w:hAnsi="Times New Roman"/>
          <w:sz w:val="24"/>
          <w:szCs w:val="24"/>
          <w:lang w:eastAsia="fr-FR"/>
        </w:rPr>
      </w:pPr>
      <w:r w:rsidRPr="00AE31F1">
        <w:rPr>
          <w:rFonts w:ascii="Times New Roman" w:hAnsi="Times New Roman"/>
          <w:sz w:val="24"/>
          <w:szCs w:val="24"/>
          <w:lang w:eastAsia="fr-FR"/>
        </w:rPr>
        <w:t>Résolution 2011/33 sur la Prévention, la protection et la coopération internationale contre l’utilisation de nouvelles technologies d’information pour abuser et/ou exploiter les enfants</w:t>
      </w:r>
      <w:r w:rsidR="0098504A">
        <w:rPr>
          <w:rFonts w:ascii="Times New Roman" w:hAnsi="Times New Roman"/>
          <w:sz w:val="24"/>
          <w:szCs w:val="24"/>
          <w:lang w:eastAsia="fr-FR"/>
        </w:rPr>
        <w:t>.</w:t>
      </w:r>
    </w:p>
    <w:bookmarkEnd w:id="34"/>
    <w:p w14:paraId="0A80E52F" w14:textId="35E90C13" w:rsidR="0022472B" w:rsidRPr="00215867" w:rsidRDefault="0022472B" w:rsidP="00215867">
      <w:pPr>
        <w:spacing w:after="0" w:line="240" w:lineRule="auto"/>
        <w:rPr>
          <w:rFonts w:ascii="Times New Roman" w:eastAsia="Times New Roman" w:hAnsi="Times New Roman"/>
          <w:sz w:val="24"/>
          <w:szCs w:val="24"/>
          <w:lang w:eastAsia="es-ES_tradnl"/>
        </w:rPr>
      </w:pPr>
      <w:r w:rsidRPr="00215867">
        <w:rPr>
          <w:rFonts w:ascii="Times New Roman" w:eastAsia="Times New Roman" w:hAnsi="Times New Roman"/>
          <w:sz w:val="24"/>
          <w:szCs w:val="24"/>
          <w:lang w:eastAsia="es-ES_tradnl"/>
        </w:rPr>
        <w:t>Au titre des VBG on peut citer :</w:t>
      </w:r>
    </w:p>
    <w:p w14:paraId="67F24DFC" w14:textId="02DD9A9B" w:rsidR="0022472B" w:rsidRPr="00AE31F1" w:rsidRDefault="0022472B" w:rsidP="0022472B">
      <w:pPr>
        <w:pStyle w:val="Paragraphedeliste"/>
        <w:numPr>
          <w:ilvl w:val="0"/>
          <w:numId w:val="243"/>
        </w:numPr>
        <w:spacing w:after="0" w:line="240" w:lineRule="auto"/>
        <w:rPr>
          <w:rFonts w:ascii="Times New Roman" w:eastAsia="Times New Roman" w:hAnsi="Times New Roman"/>
          <w:sz w:val="24"/>
          <w:szCs w:val="24"/>
          <w:lang w:eastAsia="es-ES_tradnl"/>
        </w:rPr>
      </w:pPr>
      <w:r w:rsidRPr="00AE31F1">
        <w:rPr>
          <w:rFonts w:ascii="Times New Roman" w:eastAsia="Times New Roman" w:hAnsi="Times New Roman"/>
          <w:sz w:val="24"/>
          <w:szCs w:val="24"/>
          <w:lang w:eastAsia="es-ES_tradnl"/>
        </w:rPr>
        <w:t>Loi n° 06/018 du 20 juillet 2006 modifiant et complétant le « peine. Décret du 30 janvier 1940 portant Code pénal congolais</w:t>
      </w:r>
      <w:r w:rsidRPr="00AE31F1">
        <w:rPr>
          <w:rFonts w:ascii="Times New Roman" w:eastAsia="Times New Roman" w:hAnsi="Times New Roman"/>
          <w:sz w:val="24"/>
          <w:szCs w:val="24"/>
          <w:lang w:val="es-ES" w:eastAsia="es-ES_tradnl"/>
        </w:rPr>
        <w:t>.</w:t>
      </w:r>
    </w:p>
    <w:p w14:paraId="55A6AA64" w14:textId="77777777" w:rsidR="0022472B" w:rsidRPr="00AE31F1" w:rsidRDefault="0022472B" w:rsidP="0022472B">
      <w:pPr>
        <w:pStyle w:val="Paragraphedeliste"/>
        <w:spacing w:after="0" w:line="240" w:lineRule="auto"/>
        <w:ind w:left="0"/>
        <w:rPr>
          <w:rFonts w:ascii="Times New Roman" w:eastAsia="Times New Roman" w:hAnsi="Times New Roman"/>
          <w:sz w:val="24"/>
          <w:szCs w:val="24"/>
          <w:lang w:eastAsia="es-ES_tradnl"/>
        </w:rPr>
      </w:pPr>
    </w:p>
    <w:p w14:paraId="75E3A31B" w14:textId="382C5922" w:rsidR="0022472B" w:rsidRPr="00AE31F1" w:rsidRDefault="0022472B" w:rsidP="0022472B">
      <w:pPr>
        <w:pStyle w:val="Paragraphedeliste"/>
        <w:numPr>
          <w:ilvl w:val="0"/>
          <w:numId w:val="242"/>
        </w:numPr>
        <w:spacing w:after="0" w:line="240" w:lineRule="auto"/>
        <w:jc w:val="both"/>
        <w:rPr>
          <w:rFonts w:ascii="Times New Roman" w:hAnsi="Times New Roman"/>
          <w:bCs/>
          <w:sz w:val="24"/>
          <w:szCs w:val="24"/>
        </w:rPr>
      </w:pPr>
      <w:r w:rsidRPr="00AE31F1">
        <w:rPr>
          <w:rFonts w:ascii="Times New Roman" w:hAnsi="Times New Roman"/>
          <w:bCs/>
          <w:sz w:val="24"/>
          <w:szCs w:val="24"/>
        </w:rPr>
        <w:t>La loi 06/018 modifiant et complétant le décret du 30 juin 1940 portant Code Pénal Congolais et la loi 06/019 modifiant et complétant le décret du 06 août 1959 portant Code de Procédure Pénale Congolais qui répertorie les différents types de violences sexuelles et les peines prévues contre leurs auteurs des faits. A cette loi il faudra associer la loi portant protection de l’enfant ainsi que celle contre la stigmatisation et la discrimination des personnes vivants avec le VIH e</w:t>
      </w:r>
      <w:r w:rsidR="00CC2F10">
        <w:rPr>
          <w:rFonts w:ascii="Times New Roman" w:hAnsi="Times New Roman"/>
          <w:bCs/>
          <w:sz w:val="24"/>
          <w:szCs w:val="24"/>
        </w:rPr>
        <w:t>n</w:t>
      </w:r>
      <w:r w:rsidRPr="00AE31F1">
        <w:rPr>
          <w:rFonts w:ascii="Times New Roman" w:hAnsi="Times New Roman"/>
          <w:bCs/>
          <w:sz w:val="24"/>
          <w:szCs w:val="24"/>
        </w:rPr>
        <w:t xml:space="preserve"> RDC qui comprennent certaines dispositions sur les violences basées sur le genre.</w:t>
      </w:r>
    </w:p>
    <w:p w14:paraId="38F5286A" w14:textId="77777777" w:rsidR="0022472B" w:rsidRPr="00AE31F1" w:rsidRDefault="0022472B" w:rsidP="0022472B">
      <w:pPr>
        <w:pStyle w:val="Paragraphedeliste"/>
        <w:numPr>
          <w:ilvl w:val="0"/>
          <w:numId w:val="242"/>
        </w:numPr>
        <w:spacing w:after="0" w:line="240" w:lineRule="auto"/>
        <w:jc w:val="both"/>
        <w:rPr>
          <w:rFonts w:ascii="Times New Roman" w:hAnsi="Times New Roman"/>
          <w:bCs/>
          <w:sz w:val="24"/>
          <w:szCs w:val="24"/>
        </w:rPr>
      </w:pPr>
      <w:r w:rsidRPr="00AE31F1">
        <w:rPr>
          <w:rFonts w:ascii="Times New Roman" w:hAnsi="Times New Roman"/>
          <w:sz w:val="24"/>
          <w:szCs w:val="24"/>
        </w:rPr>
        <w:t>Résolution 2011/33 sur la Prévention, la protection et la coopération internationale contre l’utilisation de nouvelles technologies d’information pour abuser et/ou exploiter les enfants,</w:t>
      </w:r>
    </w:p>
    <w:p w14:paraId="065C0753" w14:textId="105C860F" w:rsidR="0022472B" w:rsidRPr="00AE31F1" w:rsidRDefault="0022472B" w:rsidP="0022472B">
      <w:pPr>
        <w:suppressAutoHyphens/>
        <w:spacing w:line="240" w:lineRule="auto"/>
        <w:jc w:val="both"/>
        <w:rPr>
          <w:rStyle w:val="Lienhypertexte"/>
          <w:rFonts w:ascii="Times New Roman" w:hAnsi="Times New Roman"/>
          <w:sz w:val="24"/>
          <w:szCs w:val="24"/>
        </w:rPr>
      </w:pPr>
      <w:r w:rsidRPr="00AE31F1">
        <w:rPr>
          <w:rFonts w:ascii="Times New Roman" w:hAnsi="Times New Roman"/>
          <w:sz w:val="24"/>
          <w:szCs w:val="24"/>
        </w:rPr>
        <w:t xml:space="preserve">La loi de parité : </w:t>
      </w:r>
      <w:hyperlink r:id="rId21" w:anchor=":~:text=Loi%20n%C2%B0%2015%2F013,femme%20et%20de%20la%20parit%C3%A9&amp;text=Depuis%20son%20accession%20%C3%A0%20l,de%20leurs%20protection%20et%20s%C3%A9curit%C3%A9" w:history="1">
        <w:r w:rsidRPr="00AE31F1">
          <w:rPr>
            <w:rStyle w:val="Lienhypertexte"/>
            <w:rFonts w:ascii="Times New Roman" w:hAnsi="Times New Roman"/>
            <w:sz w:val="24"/>
            <w:szCs w:val="24"/>
          </w:rPr>
          <w:t>https://leganet.cd/Legislation/Droit%20Public/DH/Loi.15.013.01.08.html#:~:text=Loi%20n%C2%B0%2015%2F013,femme%20et%20de%20la%20parit%C3%A9&amp;text=Depuis%20son%20accession%20%C3%A0%20l,de%20leurs%20protection%20et%20s%C3%A9curit%C3%A9</w:t>
        </w:r>
      </w:hyperlink>
    </w:p>
    <w:p w14:paraId="2E461A69" w14:textId="584EB4D5" w:rsidR="00CA27E9" w:rsidRPr="00AE31F1" w:rsidRDefault="00CA27E9" w:rsidP="00AE31F1">
      <w:pPr>
        <w:numPr>
          <w:ilvl w:val="0"/>
          <w:numId w:val="125"/>
        </w:numPr>
        <w:spacing w:before="120" w:after="120" w:line="240" w:lineRule="auto"/>
        <w:ind w:left="714" w:hanging="357"/>
        <w:jc w:val="both"/>
        <w:rPr>
          <w:rFonts w:ascii="Times New Roman" w:eastAsia="Times New Roman" w:hAnsi="Times New Roman"/>
          <w:b/>
          <w:i/>
          <w:sz w:val="24"/>
          <w:szCs w:val="24"/>
          <w:lang w:eastAsia="x-none"/>
        </w:rPr>
      </w:pPr>
      <w:r w:rsidRPr="00AE31F1">
        <w:rPr>
          <w:rFonts w:ascii="Times New Roman" w:eastAsia="Times New Roman" w:hAnsi="Times New Roman"/>
          <w:b/>
          <w:i/>
          <w:sz w:val="24"/>
          <w:szCs w:val="24"/>
          <w:lang w:eastAsia="x-none"/>
        </w:rPr>
        <w:t>Analyse des solutions de rechange</w:t>
      </w:r>
      <w:r w:rsidR="00CF7866">
        <w:rPr>
          <w:rFonts w:ascii="Times New Roman" w:eastAsia="Times New Roman" w:hAnsi="Times New Roman"/>
          <w:b/>
          <w:i/>
          <w:sz w:val="24"/>
          <w:szCs w:val="24"/>
          <w:lang w:eastAsia="x-none"/>
        </w:rPr>
        <w:t xml:space="preserve"> en lien avec les impacts majeurs </w:t>
      </w:r>
    </w:p>
    <w:p w14:paraId="6BCA1B9D" w14:textId="55DA1B1C" w:rsidR="00263560" w:rsidRPr="00AE31F1" w:rsidRDefault="00342979" w:rsidP="00263560">
      <w:pPr>
        <w:pStyle w:val="Commentaire"/>
        <w:rPr>
          <w:rFonts w:ascii="Times New Roman" w:hAnsi="Times New Roman"/>
          <w:color w:val="FF0000"/>
          <w:sz w:val="24"/>
          <w:szCs w:val="24"/>
        </w:rPr>
      </w:pPr>
      <w:r w:rsidRPr="00420C1B">
        <w:rPr>
          <w:rFonts w:ascii="Times New Roman" w:hAnsi="Times New Roman"/>
          <w:color w:val="000000"/>
          <w:sz w:val="24"/>
          <w:szCs w:val="24"/>
        </w:rPr>
        <w:t xml:space="preserve">Les impacts majeurs identifiés (les habitations, les étalages commerciaux, les infrastructures collectives (formations sanitaires et éducatives, lieux de cultes et religieux, etc.)) ont fait l’objet d’optimisation afin de les éviter. Cette optimisation consiste </w:t>
      </w:r>
      <w:r w:rsidR="00EC09DB" w:rsidRPr="00420C1B">
        <w:rPr>
          <w:rFonts w:ascii="Times New Roman" w:hAnsi="Times New Roman"/>
          <w:color w:val="000000"/>
          <w:sz w:val="24"/>
          <w:szCs w:val="24"/>
        </w:rPr>
        <w:t>à rechercher un tracé de ligne présentant des impacts mineurs</w:t>
      </w:r>
      <w:r w:rsidR="00EC09DB">
        <w:rPr>
          <w:rFonts w:ascii="Times New Roman" w:hAnsi="Times New Roman"/>
          <w:color w:val="FF0000"/>
          <w:sz w:val="24"/>
          <w:szCs w:val="24"/>
        </w:rPr>
        <w:t xml:space="preserve">. </w:t>
      </w:r>
    </w:p>
    <w:p w14:paraId="3C242894" w14:textId="77777777" w:rsidR="00D75D2E" w:rsidRPr="00D75D2E" w:rsidRDefault="00D75D2E" w:rsidP="008C79F0">
      <w:pPr>
        <w:numPr>
          <w:ilvl w:val="0"/>
          <w:numId w:val="125"/>
        </w:numPr>
        <w:spacing w:before="120" w:after="120" w:line="240" w:lineRule="auto"/>
        <w:ind w:left="714" w:hanging="357"/>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 xml:space="preserve">Impacts environnementaux et sociaux majeurs </w:t>
      </w:r>
    </w:p>
    <w:p w14:paraId="523597B2" w14:textId="77777777" w:rsidR="00D75D2E" w:rsidRPr="00D75D2E" w:rsidRDefault="00D75D2E" w:rsidP="008C79F0">
      <w:pPr>
        <w:numPr>
          <w:ilvl w:val="0"/>
          <w:numId w:val="19"/>
        </w:numPr>
        <w:suppressAutoHyphens/>
        <w:spacing w:after="0" w:line="240" w:lineRule="auto"/>
        <w:contextualSpacing/>
        <w:jc w:val="both"/>
        <w:rPr>
          <w:rFonts w:ascii="Times New Roman" w:eastAsia="TimesNewRomanPSMT" w:hAnsi="Times New Roman"/>
          <w:b/>
          <w:sz w:val="24"/>
          <w:szCs w:val="24"/>
        </w:rPr>
      </w:pPr>
      <w:bookmarkStart w:id="35" w:name="_Hlk518755996"/>
      <w:r w:rsidRPr="00D75D2E">
        <w:rPr>
          <w:rFonts w:ascii="Times New Roman" w:eastAsia="TimesNewRomanPSMT" w:hAnsi="Times New Roman"/>
          <w:b/>
          <w:sz w:val="24"/>
          <w:szCs w:val="24"/>
        </w:rPr>
        <w:t xml:space="preserve">Au plan environnemental, </w:t>
      </w:r>
      <w:r w:rsidRPr="00D75D2E">
        <w:rPr>
          <w:rFonts w:ascii="Times New Roman" w:eastAsia="TimesNewRomanPSMT" w:hAnsi="Times New Roman"/>
          <w:sz w:val="24"/>
          <w:szCs w:val="24"/>
        </w:rPr>
        <w:t>les impacts négatifs sont</w:t>
      </w:r>
      <w:r w:rsidRPr="00D75D2E">
        <w:rPr>
          <w:rFonts w:ascii="Times New Roman" w:eastAsia="TimesNewRomanPSMT" w:hAnsi="Times New Roman"/>
          <w:b/>
          <w:sz w:val="24"/>
          <w:szCs w:val="24"/>
        </w:rPr>
        <w:t xml:space="preserve"> : </w:t>
      </w:r>
      <w:r w:rsidRPr="00D75D2E">
        <w:rPr>
          <w:rFonts w:ascii="Times New Roman" w:eastAsia="SimSun" w:hAnsi="Times New Roman"/>
          <w:sz w:val="24"/>
          <w:szCs w:val="24"/>
        </w:rPr>
        <w:t xml:space="preserve">la perte de </w:t>
      </w:r>
      <w:r w:rsidR="00BB63B5">
        <w:rPr>
          <w:rFonts w:ascii="Times New Roman" w:eastAsia="SimSun" w:hAnsi="Times New Roman"/>
          <w:sz w:val="24"/>
          <w:szCs w:val="24"/>
        </w:rPr>
        <w:t>1</w:t>
      </w:r>
      <w:r w:rsidR="00ED42C6">
        <w:rPr>
          <w:rFonts w:ascii="Times New Roman" w:eastAsia="SimSun" w:hAnsi="Times New Roman"/>
          <w:sz w:val="24"/>
          <w:szCs w:val="24"/>
        </w:rPr>
        <w:t xml:space="preserve"> </w:t>
      </w:r>
      <w:r w:rsidR="00BB63B5">
        <w:rPr>
          <w:rFonts w:ascii="Times New Roman" w:eastAsia="SimSun" w:hAnsi="Times New Roman"/>
          <w:sz w:val="24"/>
          <w:szCs w:val="24"/>
        </w:rPr>
        <w:t>169</w:t>
      </w:r>
      <w:r w:rsidRPr="00D75D2E">
        <w:rPr>
          <w:rFonts w:ascii="Times New Roman" w:eastAsia="SimSun" w:hAnsi="Times New Roman"/>
          <w:sz w:val="24"/>
          <w:szCs w:val="24"/>
        </w:rPr>
        <w:t xml:space="preserve"> pieds d’arbres, dont</w:t>
      </w:r>
      <w:r w:rsidRPr="00D75D2E">
        <w:rPr>
          <w:rFonts w:ascii="Times New Roman" w:hAnsi="Times New Roman"/>
          <w:sz w:val="24"/>
          <w:szCs w:val="24"/>
        </w:rPr>
        <w:t xml:space="preserve"> 815 arbres fruitiers et non fruitiers </w:t>
      </w:r>
      <w:r w:rsidRPr="00E21424">
        <w:rPr>
          <w:rFonts w:ascii="Times New Roman" w:hAnsi="Times New Roman"/>
          <w:sz w:val="24"/>
          <w:szCs w:val="24"/>
        </w:rPr>
        <w:t>privés, 354 arbres du domaine public</w:t>
      </w:r>
      <w:r w:rsidRPr="00E21424">
        <w:rPr>
          <w:rFonts w:ascii="Times New Roman" w:eastAsia="SimSun" w:hAnsi="Times New Roman"/>
          <w:sz w:val="24"/>
          <w:szCs w:val="24"/>
        </w:rPr>
        <w:t xml:space="preserve">. </w:t>
      </w:r>
      <w:r w:rsidRPr="00E21424">
        <w:rPr>
          <w:rFonts w:ascii="Times New Roman" w:hAnsi="Times New Roman"/>
          <w:sz w:val="24"/>
          <w:szCs w:val="24"/>
        </w:rPr>
        <w:t xml:space="preserve">Cette </w:t>
      </w:r>
      <w:r w:rsidRPr="00E21424">
        <w:rPr>
          <w:rFonts w:ascii="Times New Roman" w:hAnsi="Times New Roman"/>
          <w:bCs/>
          <w:iCs/>
          <w:sz w:val="24"/>
          <w:szCs w:val="24"/>
        </w:rPr>
        <w:t>perte</w:t>
      </w:r>
      <w:r w:rsidRPr="00E21424">
        <w:rPr>
          <w:rFonts w:ascii="Times New Roman" w:hAnsi="Times New Roman"/>
          <w:sz w:val="24"/>
          <w:szCs w:val="24"/>
        </w:rPr>
        <w:t xml:space="preserve"> du couvert végétal pourrait également s’accentuer lors de l’extension des zones d’emprunt. Elle va entraîner aussi </w:t>
      </w:r>
      <w:r w:rsidRPr="00E21424">
        <w:rPr>
          <w:rFonts w:ascii="Times New Roman" w:eastAsia="SimSun" w:hAnsi="Times New Roman"/>
          <w:sz w:val="24"/>
          <w:szCs w:val="24"/>
        </w:rPr>
        <w:t xml:space="preserve">la perte de la faune, la perturbation des habitats fauniques, </w:t>
      </w:r>
      <w:r w:rsidRPr="00E21424">
        <w:rPr>
          <w:rFonts w:ascii="Times New Roman" w:hAnsi="Times New Roman"/>
          <w:sz w:val="24"/>
          <w:szCs w:val="24"/>
        </w:rPr>
        <w:t xml:space="preserve">la </w:t>
      </w:r>
      <w:r w:rsidRPr="00E21424">
        <w:rPr>
          <w:rFonts w:ascii="Times New Roman" w:hAnsi="Times New Roman"/>
          <w:bCs/>
          <w:iCs/>
          <w:sz w:val="24"/>
          <w:szCs w:val="24"/>
        </w:rPr>
        <w:t>dégradation</w:t>
      </w:r>
      <w:r w:rsidRPr="00E21424">
        <w:rPr>
          <w:rFonts w:ascii="Times New Roman" w:hAnsi="Times New Roman"/>
          <w:sz w:val="24"/>
          <w:szCs w:val="24"/>
        </w:rPr>
        <w:t xml:space="preserve"> ou l’éboulement du</w:t>
      </w:r>
      <w:r w:rsidRPr="00D75D2E">
        <w:rPr>
          <w:rFonts w:ascii="Times New Roman" w:hAnsi="Times New Roman"/>
          <w:sz w:val="24"/>
          <w:szCs w:val="24"/>
        </w:rPr>
        <w:t xml:space="preserve"> sol sous l’effet de l’érosion, la pollution des sols, des eaux et de l’air liée à la gestion des déchets solides et liquides de chantiers lors des travaux</w:t>
      </w:r>
      <w:r w:rsidRPr="00D75D2E">
        <w:rPr>
          <w:rFonts w:ascii="Times New Roman" w:eastAsia="SimSun" w:hAnsi="Times New Roman"/>
          <w:sz w:val="24"/>
          <w:szCs w:val="24"/>
        </w:rPr>
        <w:t xml:space="preserve">, etc. </w:t>
      </w:r>
      <w:r w:rsidRPr="00D75D2E">
        <w:rPr>
          <w:rFonts w:ascii="Times New Roman" w:hAnsi="Times New Roman"/>
          <w:sz w:val="24"/>
          <w:szCs w:val="24"/>
        </w:rPr>
        <w:t>Dans tous les cas, les différentes alternatives, l’organisation des chantiers et le renforcement de capacités des acteurs se font de façon à minimiser ces impacts.</w:t>
      </w:r>
    </w:p>
    <w:p w14:paraId="6D097103" w14:textId="77777777" w:rsidR="00D75D2E" w:rsidRDefault="00D75D2E" w:rsidP="008C79F0">
      <w:pPr>
        <w:numPr>
          <w:ilvl w:val="0"/>
          <w:numId w:val="19"/>
        </w:numPr>
        <w:spacing w:after="0" w:line="240" w:lineRule="auto"/>
        <w:contextualSpacing/>
        <w:jc w:val="both"/>
        <w:rPr>
          <w:rFonts w:ascii="Times New Roman" w:hAnsi="Times New Roman"/>
          <w:sz w:val="24"/>
          <w:szCs w:val="24"/>
        </w:rPr>
      </w:pPr>
      <w:r w:rsidRPr="00D75D2E">
        <w:rPr>
          <w:rFonts w:ascii="Times New Roman" w:hAnsi="Times New Roman"/>
          <w:b/>
          <w:sz w:val="24"/>
          <w:szCs w:val="24"/>
        </w:rPr>
        <w:t xml:space="preserve">Au plan social, </w:t>
      </w:r>
      <w:r w:rsidRPr="00D75D2E">
        <w:rPr>
          <w:rFonts w:ascii="Times New Roman" w:hAnsi="Times New Roman"/>
          <w:bCs/>
          <w:sz w:val="24"/>
          <w:szCs w:val="24"/>
        </w:rPr>
        <w:t xml:space="preserve">environ 730 personnes dont 356 hommes, 221 femmes, 07 structures (personnes morales) 146 </w:t>
      </w:r>
      <w:r w:rsidRPr="00E21424">
        <w:rPr>
          <w:rFonts w:ascii="Times New Roman" w:eastAsia="SimSun" w:hAnsi="Times New Roman"/>
          <w:sz w:val="24"/>
          <w:szCs w:val="24"/>
        </w:rPr>
        <w:t>personnes déterminé</w:t>
      </w:r>
      <w:r w:rsidR="00426831" w:rsidRPr="00E21424">
        <w:rPr>
          <w:rFonts w:ascii="Times New Roman" w:eastAsia="SimSun" w:hAnsi="Times New Roman"/>
          <w:sz w:val="24"/>
          <w:szCs w:val="24"/>
        </w:rPr>
        <w:t>es</w:t>
      </w:r>
      <w:r w:rsidRPr="00E21424">
        <w:rPr>
          <w:rFonts w:ascii="Times New Roman" w:eastAsia="SimSun" w:hAnsi="Times New Roman"/>
          <w:sz w:val="24"/>
          <w:szCs w:val="24"/>
        </w:rPr>
        <w:t xml:space="preserve"> du</w:t>
      </w:r>
      <w:r w:rsidRPr="00D75D2E">
        <w:rPr>
          <w:rFonts w:ascii="Times New Roman" w:hAnsi="Times New Roman"/>
          <w:bCs/>
          <w:sz w:val="24"/>
          <w:szCs w:val="24"/>
        </w:rPr>
        <w:t xml:space="preserve"> fait qu’elles sont inconnues ou absentes lors des enquêtes terrains, seront affectées par les travaux</w:t>
      </w:r>
      <w:r w:rsidRPr="00D75D2E">
        <w:rPr>
          <w:rFonts w:ascii="Times New Roman" w:hAnsi="Times New Roman"/>
          <w:b/>
          <w:sz w:val="24"/>
          <w:szCs w:val="24"/>
        </w:rPr>
        <w:t xml:space="preserve">. </w:t>
      </w:r>
      <w:r w:rsidRPr="00D75D2E">
        <w:rPr>
          <w:rFonts w:ascii="Times New Roman" w:hAnsi="Times New Roman"/>
          <w:bCs/>
          <w:sz w:val="24"/>
          <w:szCs w:val="24"/>
        </w:rPr>
        <w:t>L</w:t>
      </w:r>
      <w:r w:rsidRPr="00D75D2E">
        <w:rPr>
          <w:rFonts w:ascii="Times New Roman" w:eastAsia="SimSun" w:hAnsi="Times New Roman"/>
          <w:sz w:val="24"/>
          <w:szCs w:val="24"/>
        </w:rPr>
        <w:t xml:space="preserve">es impacts négatifs de la mise en œuvre du projet toucheront entre autres, 154 bâtis, une perte foncière au </w:t>
      </w:r>
      <w:r w:rsidR="000657A0" w:rsidRPr="00D75D2E">
        <w:rPr>
          <w:rFonts w:ascii="Times New Roman" w:eastAsia="SimSun" w:hAnsi="Times New Roman"/>
          <w:sz w:val="24"/>
          <w:szCs w:val="24"/>
        </w:rPr>
        <w:t>niveau</w:t>
      </w:r>
      <w:r w:rsidRPr="00D75D2E">
        <w:rPr>
          <w:rFonts w:ascii="Times New Roman" w:eastAsia="SimSun" w:hAnsi="Times New Roman"/>
          <w:sz w:val="24"/>
          <w:szCs w:val="24"/>
        </w:rPr>
        <w:t xml:space="preserve"> de 16 parcelles privées</w:t>
      </w:r>
      <w:r w:rsidRPr="00D75D2E">
        <w:rPr>
          <w:rFonts w:ascii="Times New Roman" w:hAnsi="Times New Roman"/>
          <w:sz w:val="24"/>
          <w:szCs w:val="24"/>
        </w:rPr>
        <w:t>, la perturbation des activités socioéconomiques et les conflits sociaux liés à la compétition à l’emploi en phase des travaux.</w:t>
      </w:r>
    </w:p>
    <w:p w14:paraId="2E692C35" w14:textId="77777777" w:rsidR="00915003" w:rsidRDefault="00915003" w:rsidP="00215867">
      <w:pPr>
        <w:spacing w:after="0" w:line="240" w:lineRule="auto"/>
        <w:contextualSpacing/>
        <w:jc w:val="both"/>
        <w:rPr>
          <w:rFonts w:ascii="Times New Roman" w:hAnsi="Times New Roman"/>
          <w:sz w:val="24"/>
          <w:szCs w:val="24"/>
        </w:rPr>
      </w:pPr>
    </w:p>
    <w:p w14:paraId="13D1C6DF" w14:textId="77777777" w:rsidR="00915003" w:rsidRPr="001E0B8A" w:rsidRDefault="00915003" w:rsidP="00215867">
      <w:pPr>
        <w:spacing w:after="0" w:line="240" w:lineRule="auto"/>
        <w:contextualSpacing/>
        <w:jc w:val="both"/>
        <w:rPr>
          <w:rFonts w:ascii="Times New Roman" w:hAnsi="Times New Roman"/>
          <w:sz w:val="24"/>
          <w:szCs w:val="24"/>
        </w:rPr>
      </w:pPr>
    </w:p>
    <w:p w14:paraId="1E4168C4" w14:textId="77777777" w:rsidR="00D75D2E" w:rsidRPr="00D75D2E" w:rsidRDefault="00D75D2E" w:rsidP="008C79F0">
      <w:pPr>
        <w:numPr>
          <w:ilvl w:val="0"/>
          <w:numId w:val="125"/>
        </w:numPr>
        <w:spacing w:before="120" w:after="120" w:line="240" w:lineRule="auto"/>
        <w:ind w:left="0" w:firstLine="142"/>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Risques et impacts environnementaux et sociaux</w:t>
      </w:r>
    </w:p>
    <w:p w14:paraId="4E5CF79A" w14:textId="77777777" w:rsidR="00D75D2E" w:rsidRPr="00D75D2E" w:rsidRDefault="00D75D2E" w:rsidP="00D75D2E">
      <w:pPr>
        <w:spacing w:after="0"/>
        <w:contextualSpacing/>
        <w:jc w:val="both"/>
        <w:rPr>
          <w:rFonts w:ascii="Times New Roman" w:hAnsi="Times New Roman"/>
          <w:sz w:val="24"/>
          <w:szCs w:val="24"/>
          <w:lang w:val="fr-CI"/>
        </w:rPr>
      </w:pPr>
      <w:r w:rsidRPr="00D75D2E">
        <w:rPr>
          <w:rFonts w:ascii="Times New Roman" w:hAnsi="Times New Roman"/>
          <w:sz w:val="24"/>
          <w:szCs w:val="24"/>
          <w:lang w:val="fr-CI"/>
        </w:rPr>
        <w:t>Les activités envisagées dans le cadre des travaux sont susceptibles de générer à la fois des retombées positives sur la situation socio-économique de la zone du sous projet mais aussi des impacts négatifs sur les composantes biophysiques et humaines</w:t>
      </w:r>
    </w:p>
    <w:p w14:paraId="5F93A4F6" w14:textId="77777777" w:rsidR="00D75D2E" w:rsidRPr="00D75D2E" w:rsidRDefault="00D75D2E" w:rsidP="00E737B4">
      <w:pPr>
        <w:spacing w:before="120" w:after="120" w:line="240" w:lineRule="auto"/>
        <w:ind w:left="142"/>
        <w:jc w:val="both"/>
        <w:rPr>
          <w:rFonts w:ascii="Times New Roman" w:hAnsi="Times New Roman"/>
          <w:b/>
          <w:bCs/>
          <w:i/>
          <w:sz w:val="24"/>
          <w:szCs w:val="24"/>
          <w:lang w:val="fr-SN"/>
        </w:rPr>
      </w:pPr>
      <w:r w:rsidRPr="00D75D2E">
        <w:rPr>
          <w:rFonts w:ascii="Times New Roman" w:hAnsi="Times New Roman"/>
          <w:b/>
          <w:bCs/>
          <w:i/>
          <w:sz w:val="24"/>
          <w:szCs w:val="24"/>
          <w:lang w:val="fr-SN"/>
        </w:rPr>
        <w:t>Impacts environnementaux et sociaux positifs</w:t>
      </w:r>
    </w:p>
    <w:p w14:paraId="3E2C5F4A"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Opportunités d’affaires pour des opérateurs économiques privés ;</w:t>
      </w:r>
    </w:p>
    <w:p w14:paraId="47505F44"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Opportunités d’emplois (150 à 300 emploi</w:t>
      </w:r>
      <w:r w:rsidR="00CD5E4C">
        <w:rPr>
          <w:rFonts w:ascii="Times New Roman" w:hAnsi="Times New Roman"/>
          <w:bCs/>
          <w:iCs/>
          <w:sz w:val="24"/>
          <w:szCs w:val="24"/>
        </w:rPr>
        <w:t>s</w:t>
      </w:r>
      <w:r w:rsidRPr="00D75D2E">
        <w:rPr>
          <w:rFonts w:ascii="Times New Roman" w:hAnsi="Times New Roman"/>
          <w:bCs/>
          <w:iCs/>
          <w:sz w:val="24"/>
          <w:szCs w:val="24"/>
        </w:rPr>
        <w:t xml:space="preserve"> locaux directs dont plus ou moins 30% des femmes et jeunes filles) ;</w:t>
      </w:r>
    </w:p>
    <w:p w14:paraId="7163952F" w14:textId="77777777" w:rsidR="00D75D2E"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Développement des petits commerces tout autour d</w:t>
      </w:r>
      <w:r w:rsidR="00100479">
        <w:rPr>
          <w:rFonts w:ascii="Times New Roman" w:hAnsi="Times New Roman"/>
          <w:bCs/>
          <w:iCs/>
          <w:sz w:val="24"/>
          <w:szCs w:val="24"/>
        </w:rPr>
        <w:t>es</w:t>
      </w:r>
      <w:r w:rsidRPr="00D75D2E">
        <w:rPr>
          <w:rFonts w:ascii="Times New Roman" w:hAnsi="Times New Roman"/>
          <w:bCs/>
          <w:iCs/>
          <w:sz w:val="24"/>
          <w:szCs w:val="24"/>
        </w:rPr>
        <w:t xml:space="preserve"> chantier</w:t>
      </w:r>
      <w:r w:rsidR="00100479">
        <w:rPr>
          <w:rFonts w:ascii="Times New Roman" w:hAnsi="Times New Roman"/>
          <w:bCs/>
          <w:iCs/>
          <w:sz w:val="24"/>
          <w:szCs w:val="24"/>
        </w:rPr>
        <w:t>s</w:t>
      </w:r>
      <w:r w:rsidRPr="00D75D2E">
        <w:rPr>
          <w:rFonts w:ascii="Times New Roman" w:hAnsi="Times New Roman"/>
          <w:bCs/>
          <w:iCs/>
          <w:sz w:val="24"/>
          <w:szCs w:val="24"/>
        </w:rPr>
        <w:t xml:space="preserve"> dû à la présence des ouvriers ;</w:t>
      </w:r>
    </w:p>
    <w:p w14:paraId="0D4D1F6A" w14:textId="77777777" w:rsidR="00263560" w:rsidRPr="00C738C5" w:rsidRDefault="007764C2" w:rsidP="00263560">
      <w:pPr>
        <w:numPr>
          <w:ilvl w:val="0"/>
          <w:numId w:val="19"/>
        </w:numPr>
        <w:suppressAutoHyphens/>
        <w:spacing w:after="0" w:line="240" w:lineRule="auto"/>
        <w:contextualSpacing/>
        <w:jc w:val="both"/>
        <w:rPr>
          <w:rFonts w:ascii="Times New Roman" w:hAnsi="Times New Roman"/>
          <w:bCs/>
          <w:iCs/>
          <w:sz w:val="24"/>
          <w:szCs w:val="24"/>
        </w:rPr>
      </w:pPr>
      <w:r w:rsidRPr="00AE31F1">
        <w:rPr>
          <w:rFonts w:ascii="Times New Roman" w:hAnsi="Times New Roman"/>
          <w:bCs/>
          <w:iCs/>
          <w:sz w:val="24"/>
          <w:szCs w:val="24"/>
        </w:rPr>
        <w:t>Améliorer des conditions de travail dans les établissements scolaires et sanitaires</w:t>
      </w:r>
      <w:r w:rsidR="00263560">
        <w:rPr>
          <w:rFonts w:ascii="Times New Roman" w:hAnsi="Times New Roman"/>
          <w:bCs/>
          <w:iCs/>
          <w:sz w:val="24"/>
          <w:szCs w:val="24"/>
        </w:rPr>
        <w:t xml:space="preserve"> avec une fourniture régulière de l’électricité</w:t>
      </w:r>
      <w:r w:rsidR="00263560" w:rsidRPr="00C738C5">
        <w:rPr>
          <w:rFonts w:ascii="Times New Roman" w:hAnsi="Times New Roman"/>
          <w:bCs/>
          <w:iCs/>
          <w:sz w:val="24"/>
          <w:szCs w:val="24"/>
        </w:rPr>
        <w:t> </w:t>
      </w:r>
    </w:p>
    <w:p w14:paraId="2A45B661" w14:textId="10E85A0F" w:rsidR="007764C2" w:rsidRPr="00E21424" w:rsidRDefault="007764C2" w:rsidP="003229B0">
      <w:pPr>
        <w:numPr>
          <w:ilvl w:val="0"/>
          <w:numId w:val="19"/>
        </w:numPr>
        <w:suppressAutoHyphens/>
        <w:spacing w:after="0" w:line="240" w:lineRule="auto"/>
        <w:contextualSpacing/>
        <w:jc w:val="both"/>
        <w:rPr>
          <w:rFonts w:ascii="Times New Roman" w:hAnsi="Times New Roman"/>
          <w:bCs/>
          <w:iCs/>
          <w:sz w:val="24"/>
          <w:szCs w:val="24"/>
        </w:rPr>
      </w:pPr>
      <w:r w:rsidRPr="00E21424">
        <w:rPr>
          <w:rFonts w:ascii="Times New Roman" w:hAnsi="Times New Roman"/>
          <w:bCs/>
          <w:iCs/>
          <w:sz w:val="24"/>
          <w:szCs w:val="24"/>
        </w:rPr>
        <w:t>amélioration des résultats scolaires ainsi qu’une sensible appréciation des taux de fréquentation, dans l’enseignement de base </w:t>
      </w:r>
    </w:p>
    <w:p w14:paraId="145F11FB" w14:textId="12BFA9B3" w:rsidR="00D75D2E" w:rsidRPr="00D75D2E"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 xml:space="preserve">Renforcement des capacités d’environ 50 personnes dans la gestion environnementale et sociale des infrastructures électriques y compris </w:t>
      </w:r>
      <w:r w:rsidR="00532878">
        <w:rPr>
          <w:rFonts w:ascii="Times New Roman" w:hAnsi="Times New Roman"/>
          <w:bCs/>
          <w:iCs/>
          <w:sz w:val="24"/>
          <w:szCs w:val="24"/>
        </w:rPr>
        <w:t>sur la gestion de risques d’EAS/HS</w:t>
      </w:r>
      <w:r w:rsidRPr="00D75D2E">
        <w:rPr>
          <w:rFonts w:ascii="Times New Roman" w:hAnsi="Times New Roman"/>
          <w:bCs/>
          <w:iCs/>
          <w:sz w:val="24"/>
          <w:szCs w:val="24"/>
        </w:rPr>
        <w:t>   ;</w:t>
      </w:r>
    </w:p>
    <w:p w14:paraId="1E417EDC"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Augmentation de l’assiette fiscale selon les échanges avec les services techniques locaux</w:t>
      </w:r>
      <w:r w:rsidR="00100479">
        <w:rPr>
          <w:rFonts w:ascii="Times New Roman" w:hAnsi="Times New Roman"/>
          <w:bCs/>
          <w:iCs/>
          <w:sz w:val="24"/>
          <w:szCs w:val="24"/>
        </w:rPr>
        <w:t xml:space="preserve">, liée au fait de l’augmentation du nombre de manges desservis va emporter l’augmentation des recettes de SNEL et de l’Etat  </w:t>
      </w:r>
    </w:p>
    <w:p w14:paraId="51AC8BFF" w14:textId="26D137D4" w:rsidR="00D75D2E" w:rsidRPr="00D75D2E"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bCs/>
          <w:iCs/>
          <w:sz w:val="24"/>
          <w:szCs w:val="24"/>
        </w:rPr>
        <w:t>Amélioration des conditions de vie de la femme</w:t>
      </w:r>
      <w:r w:rsidR="00100479">
        <w:rPr>
          <w:rFonts w:ascii="Times New Roman" w:hAnsi="Times New Roman"/>
          <w:bCs/>
          <w:iCs/>
          <w:sz w:val="24"/>
          <w:szCs w:val="24"/>
        </w:rPr>
        <w:t> (</w:t>
      </w:r>
      <w:r w:rsidRPr="00D75D2E">
        <w:rPr>
          <w:rFonts w:ascii="Times New Roman" w:hAnsi="Times New Roman"/>
          <w:bCs/>
          <w:iCs/>
          <w:sz w:val="24"/>
          <w:szCs w:val="24"/>
        </w:rPr>
        <w:t>plus de 150 femmes</w:t>
      </w:r>
      <w:r w:rsidR="00100479">
        <w:rPr>
          <w:rFonts w:ascii="Times New Roman" w:hAnsi="Times New Roman"/>
          <w:bCs/>
          <w:iCs/>
          <w:sz w:val="24"/>
          <w:szCs w:val="24"/>
        </w:rPr>
        <w:t>)</w:t>
      </w:r>
      <w:r w:rsidRPr="00D75D2E">
        <w:rPr>
          <w:rFonts w:ascii="Times New Roman" w:hAnsi="Times New Roman"/>
          <w:bCs/>
          <w:iCs/>
          <w:sz w:val="24"/>
          <w:szCs w:val="24"/>
        </w:rPr>
        <w:t xml:space="preserve"> à travers l’acquisition de l’énergie électrique</w:t>
      </w:r>
      <w:r w:rsidR="00100479">
        <w:rPr>
          <w:rFonts w:ascii="Times New Roman" w:hAnsi="Times New Roman"/>
          <w:bCs/>
          <w:iCs/>
          <w:sz w:val="24"/>
          <w:szCs w:val="24"/>
        </w:rPr>
        <w:t xml:space="preserve">, réduisant la pénibilité du </w:t>
      </w:r>
      <w:r w:rsidR="00933AAD">
        <w:rPr>
          <w:rFonts w:ascii="Times New Roman" w:hAnsi="Times New Roman"/>
          <w:bCs/>
          <w:iCs/>
          <w:sz w:val="24"/>
          <w:szCs w:val="24"/>
        </w:rPr>
        <w:t xml:space="preserve">travail </w:t>
      </w:r>
      <w:r w:rsidR="00933AAD" w:rsidRPr="00D75D2E">
        <w:rPr>
          <w:rFonts w:ascii="Times New Roman" w:hAnsi="Times New Roman"/>
          <w:bCs/>
          <w:iCs/>
          <w:sz w:val="24"/>
          <w:szCs w:val="24"/>
        </w:rPr>
        <w:t>et</w:t>
      </w:r>
      <w:r w:rsidRPr="00D75D2E">
        <w:rPr>
          <w:rFonts w:ascii="Times New Roman" w:hAnsi="Times New Roman"/>
          <w:bCs/>
          <w:iCs/>
          <w:sz w:val="24"/>
          <w:szCs w:val="24"/>
        </w:rPr>
        <w:t xml:space="preserve"> la réalisation d’activités commerciales</w:t>
      </w:r>
      <w:r w:rsidR="000D5F9F">
        <w:rPr>
          <w:rFonts w:ascii="Times New Roman" w:hAnsi="Times New Roman"/>
          <w:bCs/>
          <w:iCs/>
          <w:sz w:val="24"/>
          <w:szCs w:val="24"/>
        </w:rPr>
        <w:t xml:space="preserve"> à travers les petits commerces dépendant de l’électricité (début de boisson, restaurant, petit chambre froid, maison de vente des vivres frais, etc.)</w:t>
      </w:r>
      <w:r w:rsidRPr="00D75D2E">
        <w:rPr>
          <w:rFonts w:ascii="Times New Roman" w:hAnsi="Times New Roman"/>
          <w:bCs/>
          <w:iCs/>
          <w:sz w:val="24"/>
          <w:szCs w:val="24"/>
        </w:rPr>
        <w:t> ;</w:t>
      </w:r>
    </w:p>
    <w:p w14:paraId="638399D0"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Meilleur développement des activités socioéconomiques ;</w:t>
      </w:r>
    </w:p>
    <w:p w14:paraId="4AB0BB25" w14:textId="77777777" w:rsidR="00D75D2E" w:rsidRPr="00DD0B93"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D0B93">
        <w:rPr>
          <w:rFonts w:ascii="Times New Roman" w:hAnsi="Times New Roman"/>
          <w:bCs/>
          <w:iCs/>
          <w:sz w:val="24"/>
          <w:szCs w:val="24"/>
        </w:rPr>
        <w:t xml:space="preserve">Amélioration de l’éclairage </w:t>
      </w:r>
      <w:r w:rsidR="00100479">
        <w:rPr>
          <w:rFonts w:ascii="Times New Roman" w:hAnsi="Times New Roman"/>
          <w:bCs/>
          <w:iCs/>
          <w:sz w:val="24"/>
          <w:szCs w:val="24"/>
        </w:rPr>
        <w:t xml:space="preserve">public </w:t>
      </w:r>
      <w:r w:rsidRPr="00DD0B93">
        <w:rPr>
          <w:rFonts w:ascii="Times New Roman" w:hAnsi="Times New Roman"/>
          <w:bCs/>
          <w:iCs/>
          <w:sz w:val="24"/>
          <w:szCs w:val="24"/>
        </w:rPr>
        <w:t>et de la sécurité des populations ;</w:t>
      </w:r>
    </w:p>
    <w:p w14:paraId="79085A92"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b/>
          <w:sz w:val="24"/>
          <w:szCs w:val="24"/>
          <w:u w:val="single"/>
        </w:rPr>
      </w:pPr>
      <w:r w:rsidRPr="00DD0B93">
        <w:rPr>
          <w:rFonts w:ascii="Times New Roman" w:hAnsi="Times New Roman"/>
          <w:bCs/>
          <w:iCs/>
          <w:sz w:val="24"/>
          <w:szCs w:val="24"/>
        </w:rPr>
        <w:t>Développement accru de l’économie</w:t>
      </w:r>
      <w:r w:rsidRPr="00D75D2E">
        <w:rPr>
          <w:rFonts w:ascii="Times New Roman" w:hAnsi="Times New Roman"/>
          <w:sz w:val="24"/>
          <w:szCs w:val="24"/>
        </w:rPr>
        <w:t xml:space="preserve"> informelle locale ; </w:t>
      </w:r>
    </w:p>
    <w:p w14:paraId="508794F7" w14:textId="77777777" w:rsidR="00D75D2E" w:rsidRPr="00D75D2E" w:rsidRDefault="00D75D2E" w:rsidP="00E737B4">
      <w:pPr>
        <w:spacing w:before="120" w:after="120" w:line="240" w:lineRule="auto"/>
        <w:ind w:left="142"/>
        <w:jc w:val="both"/>
        <w:rPr>
          <w:rFonts w:ascii="Times New Roman" w:hAnsi="Times New Roman"/>
          <w:b/>
          <w:i/>
          <w:sz w:val="24"/>
          <w:szCs w:val="24"/>
        </w:rPr>
      </w:pPr>
      <w:r w:rsidRPr="00D75D2E">
        <w:rPr>
          <w:rFonts w:ascii="Times New Roman" w:hAnsi="Times New Roman"/>
          <w:b/>
          <w:i/>
          <w:sz w:val="24"/>
          <w:szCs w:val="24"/>
        </w:rPr>
        <w:t xml:space="preserve">Risques et effets </w:t>
      </w:r>
      <w:r w:rsidRPr="00E737B4">
        <w:rPr>
          <w:rFonts w:ascii="Times New Roman" w:hAnsi="Times New Roman"/>
          <w:b/>
          <w:bCs/>
          <w:i/>
          <w:sz w:val="24"/>
          <w:szCs w:val="24"/>
          <w:lang w:val="fr-SN"/>
        </w:rPr>
        <w:t>environnementaux</w:t>
      </w:r>
      <w:r w:rsidRPr="00D75D2E">
        <w:rPr>
          <w:rFonts w:ascii="Times New Roman" w:hAnsi="Times New Roman"/>
          <w:b/>
          <w:i/>
          <w:sz w:val="24"/>
          <w:szCs w:val="24"/>
        </w:rPr>
        <w:t xml:space="preserve"> et sociaux négatifs</w:t>
      </w:r>
    </w:p>
    <w:p w14:paraId="7C6AA05E" w14:textId="590B61FB"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75D2E">
        <w:rPr>
          <w:rFonts w:ascii="Times New Roman" w:hAnsi="Times New Roman"/>
          <w:sz w:val="24"/>
          <w:szCs w:val="24"/>
        </w:rPr>
        <w:t xml:space="preserve">Défrichement et dessouchage des emprises, modification de la structure et de la </w:t>
      </w:r>
      <w:r w:rsidRPr="001E0B8A">
        <w:rPr>
          <w:rFonts w:ascii="Times New Roman" w:hAnsi="Times New Roman"/>
          <w:bCs/>
          <w:iCs/>
          <w:sz w:val="24"/>
          <w:szCs w:val="24"/>
        </w:rPr>
        <w:t>composition du sol</w:t>
      </w:r>
      <w:r w:rsidR="00A0006B">
        <w:rPr>
          <w:rFonts w:ascii="Times New Roman" w:hAnsi="Times New Roman"/>
          <w:bCs/>
          <w:iCs/>
          <w:sz w:val="24"/>
          <w:szCs w:val="24"/>
        </w:rPr>
        <w:t xml:space="preserve"> suite à </w:t>
      </w:r>
      <w:r w:rsidR="00E21424">
        <w:rPr>
          <w:rFonts w:ascii="Times New Roman" w:hAnsi="Times New Roman"/>
          <w:bCs/>
          <w:iCs/>
          <w:sz w:val="24"/>
          <w:szCs w:val="24"/>
        </w:rPr>
        <w:t xml:space="preserve">une </w:t>
      </w:r>
      <w:r w:rsidR="00A0006B">
        <w:rPr>
          <w:rFonts w:ascii="Times New Roman" w:hAnsi="Times New Roman"/>
          <w:bCs/>
          <w:iCs/>
          <w:sz w:val="24"/>
          <w:szCs w:val="24"/>
        </w:rPr>
        <w:t>perte de microflore et microfaune dépendant de la végétation</w:t>
      </w:r>
    </w:p>
    <w:p w14:paraId="219731C8"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Pollution et dégradation des eaux de surface et souterraines</w:t>
      </w:r>
    </w:p>
    <w:p w14:paraId="405D9468"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 xml:space="preserve">Déversements accidentels des hydrocarbures mal gérés ; </w:t>
      </w:r>
    </w:p>
    <w:p w14:paraId="61132FF2"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Déversement et infiltration des déchets liquides et produits dangereux ;</w:t>
      </w:r>
    </w:p>
    <w:p w14:paraId="382352C5"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Heurt, renversement lors des travaux, inhalation de poussière ; nuisance sonore, vibration et luminosité.</w:t>
      </w:r>
    </w:p>
    <w:p w14:paraId="3E2B3312"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Risque de</w:t>
      </w:r>
      <w:r w:rsidR="00100479">
        <w:rPr>
          <w:rFonts w:ascii="Times New Roman" w:hAnsi="Times New Roman"/>
          <w:bCs/>
          <w:iCs/>
          <w:sz w:val="24"/>
          <w:szCs w:val="24"/>
        </w:rPr>
        <w:t>s</w:t>
      </w:r>
      <w:r w:rsidRPr="001E0B8A">
        <w:rPr>
          <w:rFonts w:ascii="Times New Roman" w:hAnsi="Times New Roman"/>
          <w:bCs/>
          <w:iCs/>
          <w:sz w:val="24"/>
          <w:szCs w:val="24"/>
        </w:rPr>
        <w:t xml:space="preserve"> découverte</w:t>
      </w:r>
      <w:r w:rsidR="00100479">
        <w:rPr>
          <w:rFonts w:ascii="Times New Roman" w:hAnsi="Times New Roman"/>
          <w:bCs/>
          <w:iCs/>
          <w:sz w:val="24"/>
          <w:szCs w:val="24"/>
        </w:rPr>
        <w:t>s</w:t>
      </w:r>
      <w:r w:rsidRPr="001E0B8A">
        <w:rPr>
          <w:rFonts w:ascii="Times New Roman" w:hAnsi="Times New Roman"/>
          <w:bCs/>
          <w:iCs/>
          <w:sz w:val="24"/>
          <w:szCs w:val="24"/>
        </w:rPr>
        <w:t xml:space="preserve"> fortuite</w:t>
      </w:r>
      <w:r w:rsidR="00100479">
        <w:rPr>
          <w:rFonts w:ascii="Times New Roman" w:hAnsi="Times New Roman"/>
          <w:bCs/>
          <w:iCs/>
          <w:sz w:val="24"/>
          <w:szCs w:val="24"/>
        </w:rPr>
        <w:t>s</w:t>
      </w:r>
      <w:r w:rsidRPr="001E0B8A">
        <w:rPr>
          <w:rFonts w:ascii="Times New Roman" w:hAnsi="Times New Roman"/>
          <w:bCs/>
          <w:iCs/>
          <w:sz w:val="24"/>
          <w:szCs w:val="24"/>
        </w:rPr>
        <w:t> ;</w:t>
      </w:r>
    </w:p>
    <w:p w14:paraId="1A531BC6"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Risque de dégradation de la santé, la sécurité et l’hygiène des travailleurs et de la population riveraine;</w:t>
      </w:r>
    </w:p>
    <w:p w14:paraId="015D336E"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Risque de réinstallation involontaire des populations ;</w:t>
      </w:r>
    </w:p>
    <w:p w14:paraId="6F8AB4C9"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Risque des conflits sociaux :</w:t>
      </w:r>
    </w:p>
    <w:p w14:paraId="37467B35" w14:textId="106BD29E"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 xml:space="preserve">Risque d’augmentation et propagation des </w:t>
      </w:r>
      <w:r w:rsidR="00532878" w:rsidRPr="001E0B8A">
        <w:rPr>
          <w:rFonts w:ascii="Times New Roman" w:hAnsi="Times New Roman"/>
          <w:bCs/>
          <w:iCs/>
          <w:sz w:val="24"/>
          <w:szCs w:val="24"/>
        </w:rPr>
        <w:t>infections sexuellement</w:t>
      </w:r>
      <w:r w:rsidRPr="001E0B8A">
        <w:rPr>
          <w:rFonts w:ascii="Times New Roman" w:hAnsi="Times New Roman"/>
          <w:bCs/>
          <w:iCs/>
          <w:sz w:val="24"/>
          <w:szCs w:val="24"/>
        </w:rPr>
        <w:t xml:space="preserve"> transmissibles dont les IST/VIH/Sida :</w:t>
      </w:r>
    </w:p>
    <w:p w14:paraId="25F16CC2"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1E0B8A">
        <w:rPr>
          <w:rFonts w:ascii="Times New Roman" w:hAnsi="Times New Roman"/>
          <w:bCs/>
          <w:iCs/>
          <w:sz w:val="24"/>
          <w:szCs w:val="24"/>
        </w:rPr>
        <w:t>Risque d’emplo</w:t>
      </w:r>
      <w:r w:rsidR="00100479">
        <w:rPr>
          <w:rFonts w:ascii="Times New Roman" w:hAnsi="Times New Roman"/>
          <w:bCs/>
          <w:iCs/>
          <w:sz w:val="24"/>
          <w:szCs w:val="24"/>
        </w:rPr>
        <w:t>i d</w:t>
      </w:r>
      <w:r w:rsidRPr="001E0B8A">
        <w:rPr>
          <w:rFonts w:ascii="Times New Roman" w:hAnsi="Times New Roman"/>
          <w:bCs/>
          <w:iCs/>
          <w:sz w:val="24"/>
          <w:szCs w:val="24"/>
        </w:rPr>
        <w:t>es enfants sur le chantier ;</w:t>
      </w:r>
    </w:p>
    <w:p w14:paraId="39E61369" w14:textId="18642FE5" w:rsidR="00D75D2E" w:rsidRPr="00DD0B93"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D0B93">
        <w:rPr>
          <w:rFonts w:ascii="Times New Roman" w:hAnsi="Times New Roman"/>
          <w:bCs/>
          <w:iCs/>
          <w:sz w:val="24"/>
          <w:szCs w:val="24"/>
        </w:rPr>
        <w:t>Risques d’exacerber les Violences Basées sur le Genre : Exploitation et Abus Sexuels (dont les rapports sexuels monnayés), harcèlement sexuel</w:t>
      </w:r>
      <w:r w:rsidR="00532878">
        <w:rPr>
          <w:rFonts w:ascii="Times New Roman" w:hAnsi="Times New Roman"/>
          <w:bCs/>
          <w:iCs/>
          <w:sz w:val="24"/>
          <w:szCs w:val="24"/>
        </w:rPr>
        <w:t xml:space="preserve"> au milieu de travail lié à l’augmentation du personnel féminine au sein des entreprises</w:t>
      </w:r>
      <w:r w:rsidRPr="00DD0B93">
        <w:rPr>
          <w:rFonts w:ascii="Times New Roman" w:hAnsi="Times New Roman"/>
          <w:bCs/>
          <w:iCs/>
          <w:sz w:val="24"/>
          <w:szCs w:val="24"/>
        </w:rPr>
        <w:t>, dans la zone d’intervention du sous projet (</w:t>
      </w:r>
      <w:r w:rsidR="002339B8" w:rsidRPr="00DD0B93">
        <w:rPr>
          <w:rFonts w:ascii="Times New Roman" w:hAnsi="Times New Roman"/>
          <w:bCs/>
          <w:iCs/>
          <w:sz w:val="24"/>
          <w:szCs w:val="24"/>
        </w:rPr>
        <w:t>à la suite du</w:t>
      </w:r>
      <w:r w:rsidRPr="00DD0B93">
        <w:rPr>
          <w:rFonts w:ascii="Times New Roman" w:hAnsi="Times New Roman"/>
          <w:bCs/>
          <w:iCs/>
          <w:sz w:val="24"/>
          <w:szCs w:val="24"/>
        </w:rPr>
        <w:t xml:space="preserve"> brassage des populations et à l’afflux de la main d’œuvre allochtone) ;</w:t>
      </w:r>
    </w:p>
    <w:p w14:paraId="4A83812E" w14:textId="09C76B84" w:rsidR="00D75D2E" w:rsidRPr="00DD0B93"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DD0B93">
        <w:rPr>
          <w:rFonts w:ascii="Times New Roman" w:hAnsi="Times New Roman"/>
          <w:bCs/>
          <w:iCs/>
          <w:sz w:val="24"/>
          <w:szCs w:val="24"/>
        </w:rPr>
        <w:t xml:space="preserve">Risque de contamination de la COVID-19 si les mesures barrières ne sont pas respectées avec pour corollaires un recul d’engagement des femmes dans les activités </w:t>
      </w:r>
      <w:r w:rsidR="00532878" w:rsidRPr="00DD0B93">
        <w:rPr>
          <w:rFonts w:ascii="Times New Roman" w:hAnsi="Times New Roman"/>
          <w:bCs/>
          <w:iCs/>
          <w:sz w:val="24"/>
          <w:szCs w:val="24"/>
        </w:rPr>
        <w:t>économiques</w:t>
      </w:r>
      <w:r w:rsidR="00532878">
        <w:rPr>
          <w:rFonts w:ascii="Times New Roman" w:hAnsi="Times New Roman"/>
          <w:bCs/>
          <w:iCs/>
          <w:sz w:val="24"/>
          <w:szCs w:val="24"/>
        </w:rPr>
        <w:t> ;</w:t>
      </w:r>
    </w:p>
    <w:p w14:paraId="35C2E49C" w14:textId="77777777" w:rsidR="00D75D2E" w:rsidRPr="00B148A7" w:rsidRDefault="00CD5E4C" w:rsidP="008C79F0">
      <w:pPr>
        <w:numPr>
          <w:ilvl w:val="0"/>
          <w:numId w:val="19"/>
        </w:numPr>
        <w:suppressAutoHyphens/>
        <w:spacing w:after="0" w:line="240" w:lineRule="auto"/>
        <w:contextualSpacing/>
        <w:jc w:val="both"/>
        <w:rPr>
          <w:rFonts w:ascii="Times New Roman" w:hAnsi="Times New Roman"/>
          <w:bCs/>
          <w:iCs/>
          <w:sz w:val="24"/>
          <w:szCs w:val="24"/>
        </w:rPr>
      </w:pPr>
      <w:r w:rsidRPr="00365C77">
        <w:rPr>
          <w:rFonts w:ascii="Times New Roman" w:hAnsi="Times New Roman"/>
          <w:bCs/>
          <w:iCs/>
          <w:sz w:val="24"/>
          <w:szCs w:val="24"/>
        </w:rPr>
        <w:t xml:space="preserve">Risque </w:t>
      </w:r>
      <w:r w:rsidR="00B148A7" w:rsidRPr="00365C77">
        <w:rPr>
          <w:rFonts w:ascii="Times New Roman" w:hAnsi="Times New Roman"/>
          <w:bCs/>
          <w:iCs/>
          <w:sz w:val="24"/>
          <w:szCs w:val="24"/>
        </w:rPr>
        <w:t>d’</w:t>
      </w:r>
      <w:r w:rsidR="00B148A7">
        <w:rPr>
          <w:rFonts w:ascii="Times New Roman" w:hAnsi="Times New Roman"/>
          <w:bCs/>
          <w:iCs/>
          <w:sz w:val="24"/>
          <w:szCs w:val="24"/>
        </w:rPr>
        <w:t>a</w:t>
      </w:r>
      <w:r w:rsidR="00B148A7" w:rsidRPr="00365C77">
        <w:rPr>
          <w:rFonts w:ascii="Times New Roman" w:hAnsi="Times New Roman"/>
          <w:bCs/>
          <w:iCs/>
          <w:sz w:val="24"/>
          <w:szCs w:val="24"/>
        </w:rPr>
        <w:t xml:space="preserve">ccidents </w:t>
      </w:r>
      <w:r w:rsidR="00D75D2E" w:rsidRPr="00365C77">
        <w:rPr>
          <w:rFonts w:ascii="Times New Roman" w:hAnsi="Times New Roman"/>
          <w:bCs/>
          <w:iCs/>
          <w:sz w:val="24"/>
          <w:szCs w:val="24"/>
        </w:rPr>
        <w:t>de travail et maladies professionnelles liées à la manipulation d’engins ;</w:t>
      </w:r>
    </w:p>
    <w:p w14:paraId="10C917E1" w14:textId="0458002A" w:rsidR="00D75D2E"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B148A7">
        <w:rPr>
          <w:rFonts w:ascii="Times New Roman" w:hAnsi="Times New Roman"/>
          <w:bCs/>
          <w:iCs/>
          <w:sz w:val="24"/>
          <w:szCs w:val="24"/>
        </w:rPr>
        <w:t>Risques électriques (incendie, brûlure, électrocution ou électrisation)</w:t>
      </w:r>
    </w:p>
    <w:p w14:paraId="6722A301" w14:textId="77777777" w:rsidR="000E0074" w:rsidRDefault="00A64B53" w:rsidP="008C79F0">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Risques d’accidents de circulation (</w:t>
      </w:r>
      <w:r>
        <w:t xml:space="preserve">transport </w:t>
      </w:r>
      <w:r w:rsidR="00A636F8">
        <w:t xml:space="preserve">des </w:t>
      </w:r>
      <w:r>
        <w:t>graviers, ciment, sable, bois de coffrage, fer à béton,</w:t>
      </w:r>
      <w:r w:rsidR="00A636F8">
        <w:t>) et de perturbation de la circulation</w:t>
      </w:r>
      <w:r w:rsidR="000E0074">
        <w:t>.</w:t>
      </w:r>
    </w:p>
    <w:p w14:paraId="4BFB2CF7" w14:textId="2989D53E" w:rsidR="000E0074" w:rsidRPr="00215867" w:rsidRDefault="000E0074" w:rsidP="000E0074">
      <w:pPr>
        <w:suppressAutoHyphens/>
        <w:spacing w:after="0" w:line="240" w:lineRule="auto"/>
        <w:contextualSpacing/>
        <w:jc w:val="both"/>
        <w:rPr>
          <w:rFonts w:ascii="Times New Roman" w:hAnsi="Times New Roman"/>
          <w:sz w:val="24"/>
          <w:szCs w:val="24"/>
        </w:rPr>
      </w:pPr>
      <w:r w:rsidRPr="00215867">
        <w:rPr>
          <w:rFonts w:ascii="Times New Roman" w:hAnsi="Times New Roman"/>
          <w:sz w:val="24"/>
          <w:szCs w:val="24"/>
        </w:rPr>
        <w:t>Les transformateurs et autres équipements ne contiendraient pas du polychlorobiphényles (PCB) ou des huiles contaminées par du PCB</w:t>
      </w:r>
      <w:r w:rsidR="00561321" w:rsidRPr="00215867">
        <w:rPr>
          <w:rFonts w:ascii="Times New Roman" w:hAnsi="Times New Roman"/>
          <w:sz w:val="24"/>
          <w:szCs w:val="24"/>
        </w:rPr>
        <w:t xml:space="preserve">. Néanmoins, les postes existants qui sont par contre susceptibles d’en contenir, devraient être traités avec toutes les mesures de précaution nécessaires pour éviter des fuites ou des déversements. En outre, toutes procédures, équipements et systèmes de refroidissements pouvant libérer des chlorofluorocarbones (CFC), ne seraient pas utilisés dans le cadre du </w:t>
      </w:r>
      <w:r w:rsidR="002F260D" w:rsidRPr="00215867">
        <w:rPr>
          <w:rFonts w:ascii="Times New Roman" w:hAnsi="Times New Roman"/>
          <w:sz w:val="24"/>
          <w:szCs w:val="24"/>
        </w:rPr>
        <w:t xml:space="preserve">sous </w:t>
      </w:r>
      <w:r w:rsidR="00561321" w:rsidRPr="00215867">
        <w:rPr>
          <w:rFonts w:ascii="Times New Roman" w:hAnsi="Times New Roman"/>
          <w:sz w:val="24"/>
          <w:szCs w:val="24"/>
        </w:rPr>
        <w:t>projet</w:t>
      </w:r>
      <w:r w:rsidR="002F260D" w:rsidRPr="00215867">
        <w:rPr>
          <w:rFonts w:ascii="Times New Roman" w:hAnsi="Times New Roman"/>
          <w:sz w:val="24"/>
          <w:szCs w:val="24"/>
        </w:rPr>
        <w:t>.</w:t>
      </w:r>
    </w:p>
    <w:p w14:paraId="0DA5D919" w14:textId="77777777" w:rsidR="00D75D2E" w:rsidRPr="00D75D2E" w:rsidRDefault="00D75D2E" w:rsidP="008C79F0">
      <w:pPr>
        <w:numPr>
          <w:ilvl w:val="0"/>
          <w:numId w:val="125"/>
        </w:numPr>
        <w:spacing w:before="120" w:after="120" w:line="240" w:lineRule="auto"/>
        <w:ind w:left="0" w:firstLine="142"/>
        <w:jc w:val="both"/>
        <w:rPr>
          <w:rFonts w:ascii="Times New Roman" w:eastAsia="Times New Roman" w:hAnsi="Times New Roman"/>
          <w:b/>
          <w:i/>
          <w:sz w:val="24"/>
          <w:szCs w:val="24"/>
          <w:lang w:eastAsia="x-none"/>
        </w:rPr>
      </w:pPr>
      <w:r w:rsidRPr="00D75D2E">
        <w:rPr>
          <w:rFonts w:ascii="Times New Roman" w:eastAsia="Times New Roman" w:hAnsi="Times New Roman"/>
          <w:b/>
          <w:i/>
          <w:sz w:val="24"/>
          <w:szCs w:val="24"/>
          <w:lang w:eastAsia="x-none"/>
        </w:rPr>
        <w:t>Consultations publiques</w:t>
      </w:r>
    </w:p>
    <w:p w14:paraId="2E865D10" w14:textId="77777777" w:rsidR="00D75D2E" w:rsidRPr="00D75D2E" w:rsidRDefault="00D75D2E"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Dans le cadre de cette EIES, des séances de consultations des parties prenantes ont été réalisées du 17 au 29 juin 2021 avec les acteurs constitués de responsables administratifs, de structures techniques, les associations, les ONG, les responsables des quartiers et d’avenues, et </w:t>
      </w:r>
      <w:r w:rsidR="00100479">
        <w:rPr>
          <w:rFonts w:ascii="Times New Roman" w:hAnsi="Times New Roman"/>
          <w:sz w:val="24"/>
          <w:szCs w:val="24"/>
        </w:rPr>
        <w:t>l</w:t>
      </w:r>
      <w:r w:rsidRPr="00D75D2E">
        <w:rPr>
          <w:rFonts w:ascii="Times New Roman" w:hAnsi="Times New Roman"/>
          <w:sz w:val="24"/>
          <w:szCs w:val="24"/>
        </w:rPr>
        <w:t>es populations des communes concernées (PV en annexe du présent rapport). Environ 852 personnes ont été rencontrées lors des consultations publiques réalisées dans l’ensemble des communes et quartiers concernés (section sur les consultations publiques).</w:t>
      </w:r>
    </w:p>
    <w:p w14:paraId="73AD0580" w14:textId="77777777" w:rsidR="00D75D2E" w:rsidRPr="00D75D2E" w:rsidRDefault="00D75D2E" w:rsidP="00E737B4">
      <w:pPr>
        <w:spacing w:before="120" w:after="120" w:line="240" w:lineRule="auto"/>
        <w:rPr>
          <w:rFonts w:ascii="Times New Roman" w:hAnsi="Times New Roman"/>
          <w:sz w:val="24"/>
          <w:szCs w:val="24"/>
        </w:rPr>
      </w:pPr>
      <w:r w:rsidRPr="00D75D2E">
        <w:rPr>
          <w:rFonts w:ascii="Times New Roman" w:hAnsi="Times New Roman"/>
          <w:sz w:val="24"/>
          <w:szCs w:val="24"/>
        </w:rPr>
        <w:t xml:space="preserve">A l’issue de différentes rencontres de consultation publique, la population adhère pleinement à la réalisation du projet et a formulé des suggestions et recommandations qui se résument à : </w:t>
      </w:r>
    </w:p>
    <w:p w14:paraId="4FB905C5" w14:textId="1B32D983"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 xml:space="preserve">impliquer tous les acteurs locaux dans la mise en œuvre du </w:t>
      </w:r>
      <w:r w:rsidR="00E577B7">
        <w:rPr>
          <w:rFonts w:ascii="Times New Roman" w:hAnsi="Times New Roman"/>
          <w:bCs/>
          <w:iCs/>
          <w:sz w:val="24"/>
          <w:szCs w:val="24"/>
        </w:rPr>
        <w:t>sous -</w:t>
      </w:r>
      <w:r w:rsidRPr="00E737B4">
        <w:rPr>
          <w:rFonts w:ascii="Times New Roman" w:hAnsi="Times New Roman"/>
          <w:bCs/>
          <w:iCs/>
          <w:sz w:val="24"/>
          <w:szCs w:val="24"/>
        </w:rPr>
        <w:t>projet, surtout dans les choix des sites des poteaux et des cabines ;</w:t>
      </w:r>
    </w:p>
    <w:p w14:paraId="081F4397"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indemniser à juste valeur les biens de personnes qui seront impactés ;</w:t>
      </w:r>
    </w:p>
    <w:p w14:paraId="3270B659"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assurer la maintenance, la distribution et le contrôle du réseau pour éviter les raccordements frauduleux et les accidents liés à l’électricité ;</w:t>
      </w:r>
    </w:p>
    <w:p w14:paraId="29103A8B"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construire ou coffrer les poteaux électriques en béton armé pour éviter leur chute ;</w:t>
      </w:r>
    </w:p>
    <w:p w14:paraId="6EA2A189"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éviter les lignes souterraines surtout les fils torsadés pour minimiser les accidents liés à l’électrocution et autres décharges électriques </w:t>
      </w:r>
      <w:r w:rsidR="00100479">
        <w:rPr>
          <w:rFonts w:ascii="Times New Roman" w:hAnsi="Times New Roman"/>
          <w:bCs/>
          <w:iCs/>
          <w:sz w:val="24"/>
          <w:szCs w:val="24"/>
        </w:rPr>
        <w:t xml:space="preserve"> et </w:t>
      </w:r>
      <w:r w:rsidR="00100479" w:rsidRPr="00E737B4">
        <w:rPr>
          <w:rFonts w:ascii="Times New Roman" w:hAnsi="Times New Roman"/>
          <w:bCs/>
          <w:iCs/>
          <w:sz w:val="24"/>
          <w:szCs w:val="24"/>
        </w:rPr>
        <w:t>privilégier les lignes électriques aériennes </w:t>
      </w:r>
      <w:r w:rsidRPr="00E737B4">
        <w:rPr>
          <w:rFonts w:ascii="Times New Roman" w:hAnsi="Times New Roman"/>
          <w:bCs/>
          <w:iCs/>
          <w:sz w:val="24"/>
          <w:szCs w:val="24"/>
        </w:rPr>
        <w:t>;</w:t>
      </w:r>
    </w:p>
    <w:p w14:paraId="701C0A10"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 xml:space="preserve">assurer une large sensibilisation auprès de la population sur les risques liés à l’électricité notamment l’électrocution et l’électrisation ; </w:t>
      </w:r>
    </w:p>
    <w:p w14:paraId="7EBB0D68" w14:textId="4AA0DF1F" w:rsidR="00D75D2E" w:rsidRPr="00F12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F127B4">
        <w:rPr>
          <w:rFonts w:ascii="Times New Roman" w:hAnsi="Times New Roman"/>
          <w:bCs/>
          <w:iCs/>
          <w:sz w:val="24"/>
          <w:szCs w:val="24"/>
        </w:rPr>
        <w:t>recruter la main d’œuvre locale lors des travaux et réserver un bon traitement aux ouvriers salariés et journaliers, pour faire bien avancer les travaux et prévenir les vols des matériaux ;</w:t>
      </w:r>
    </w:p>
    <w:p w14:paraId="68FE49E3"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bCs/>
          <w:iCs/>
          <w:sz w:val="24"/>
          <w:szCs w:val="24"/>
        </w:rPr>
      </w:pPr>
      <w:r w:rsidRPr="00E737B4">
        <w:rPr>
          <w:rFonts w:ascii="Times New Roman" w:hAnsi="Times New Roman"/>
          <w:bCs/>
          <w:iCs/>
          <w:sz w:val="24"/>
          <w:szCs w:val="24"/>
        </w:rPr>
        <w:t xml:space="preserve">Accompagner et renforcer les </w:t>
      </w:r>
      <w:r w:rsidR="00100479">
        <w:rPr>
          <w:rFonts w:ascii="Times New Roman" w:hAnsi="Times New Roman"/>
          <w:bCs/>
          <w:iCs/>
          <w:sz w:val="24"/>
          <w:szCs w:val="24"/>
        </w:rPr>
        <w:t xml:space="preserve">capacités des </w:t>
      </w:r>
      <w:r w:rsidRPr="00E737B4">
        <w:rPr>
          <w:rFonts w:ascii="Times New Roman" w:hAnsi="Times New Roman"/>
          <w:bCs/>
          <w:iCs/>
          <w:sz w:val="24"/>
          <w:szCs w:val="24"/>
        </w:rPr>
        <w:t>communes concernées à mieux gérer leurs déchets ;</w:t>
      </w:r>
    </w:p>
    <w:p w14:paraId="15235C0B" w14:textId="77777777" w:rsidR="00D75D2E" w:rsidRPr="00E737B4" w:rsidRDefault="00100479" w:rsidP="008C79F0">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S</w:t>
      </w:r>
      <w:r w:rsidR="00D75D2E" w:rsidRPr="00E737B4">
        <w:rPr>
          <w:rFonts w:ascii="Times New Roman" w:hAnsi="Times New Roman"/>
          <w:bCs/>
          <w:iCs/>
          <w:sz w:val="24"/>
          <w:szCs w:val="24"/>
        </w:rPr>
        <w:t>ensibiliser et informer les populations et le personnel du projet sur les maladies et les risques sécuritaires (IST/VIH-SIDA) et le respect des us et coutumes ainsi que les couches vulnérables ;</w:t>
      </w:r>
    </w:p>
    <w:p w14:paraId="088EC2C7" w14:textId="2FD4C3F0" w:rsidR="00D75D2E" w:rsidRPr="00D75D2E" w:rsidRDefault="00100479" w:rsidP="008C79F0">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bCs/>
          <w:iCs/>
          <w:sz w:val="24"/>
          <w:szCs w:val="24"/>
        </w:rPr>
        <w:t>M</w:t>
      </w:r>
      <w:r w:rsidR="00D75D2E" w:rsidRPr="00E737B4">
        <w:rPr>
          <w:rFonts w:ascii="Times New Roman" w:hAnsi="Times New Roman"/>
          <w:bCs/>
          <w:iCs/>
          <w:sz w:val="24"/>
          <w:szCs w:val="24"/>
        </w:rPr>
        <w:t xml:space="preserve">ettre en place un Mécanisme de Gestion des Plaintes </w:t>
      </w:r>
      <w:r w:rsidR="00672521">
        <w:rPr>
          <w:rFonts w:ascii="Times New Roman" w:hAnsi="Times New Roman"/>
          <w:bCs/>
          <w:iCs/>
          <w:sz w:val="24"/>
          <w:szCs w:val="24"/>
        </w:rPr>
        <w:t xml:space="preserve">sensible à l’EAS/HS </w:t>
      </w:r>
      <w:r w:rsidR="00D75D2E" w:rsidRPr="00E737B4">
        <w:rPr>
          <w:rFonts w:ascii="Times New Roman" w:hAnsi="Times New Roman"/>
          <w:bCs/>
          <w:iCs/>
          <w:sz w:val="24"/>
          <w:szCs w:val="24"/>
        </w:rPr>
        <w:t>dans chaque commune concernée par le projet, chargé d’instaurer le dialogue entre l’entreprise</w:t>
      </w:r>
      <w:r w:rsidR="00D75D2E" w:rsidRPr="00D75D2E">
        <w:rPr>
          <w:rFonts w:ascii="Times New Roman" w:hAnsi="Times New Roman"/>
          <w:sz w:val="24"/>
          <w:szCs w:val="24"/>
        </w:rPr>
        <w:t xml:space="preserve"> et les populations riveraines et favoriser la quiétude et résoudre à l’amiable tout éventuel conflit lié à ce </w:t>
      </w:r>
      <w:r w:rsidR="00672521" w:rsidRPr="00D75D2E">
        <w:rPr>
          <w:rFonts w:ascii="Times New Roman" w:hAnsi="Times New Roman"/>
          <w:sz w:val="24"/>
          <w:szCs w:val="24"/>
        </w:rPr>
        <w:t>projet</w:t>
      </w:r>
      <w:r w:rsidR="00672521">
        <w:rPr>
          <w:rFonts w:ascii="Times New Roman" w:hAnsi="Times New Roman"/>
          <w:sz w:val="24"/>
          <w:szCs w:val="24"/>
        </w:rPr>
        <w:t>, ainsi que de répondre aux incidents liés à l’EAS/HS pendant la mise en œuvre des activités du projet</w:t>
      </w:r>
    </w:p>
    <w:p w14:paraId="67D30948" w14:textId="595E0B84" w:rsidR="00D75D2E" w:rsidRPr="00D75D2E" w:rsidRDefault="00D75D2E" w:rsidP="008C79F0">
      <w:pPr>
        <w:numPr>
          <w:ilvl w:val="0"/>
          <w:numId w:val="125"/>
        </w:numPr>
        <w:spacing w:before="120" w:after="120" w:line="240" w:lineRule="auto"/>
        <w:ind w:left="0" w:firstLine="142"/>
        <w:jc w:val="both"/>
        <w:rPr>
          <w:rFonts w:ascii="Times New Roman" w:hAnsi="Times New Roman"/>
          <w:sz w:val="24"/>
          <w:szCs w:val="24"/>
          <w:u w:val="single"/>
        </w:rPr>
      </w:pPr>
      <w:r w:rsidRPr="00D75D2E">
        <w:rPr>
          <w:rFonts w:ascii="Times New Roman" w:hAnsi="Times New Roman"/>
          <w:b/>
          <w:sz w:val="24"/>
          <w:szCs w:val="24"/>
          <w:u w:val="single"/>
        </w:rPr>
        <w:t xml:space="preserve">Mesures de bonification </w:t>
      </w:r>
    </w:p>
    <w:p w14:paraId="261809D1" w14:textId="77777777" w:rsidR="00D75D2E" w:rsidRPr="00D75D2E" w:rsidRDefault="00D75D2E" w:rsidP="00E737B4">
      <w:pPr>
        <w:suppressAutoHyphens/>
        <w:spacing w:before="120" w:after="120" w:line="240" w:lineRule="auto"/>
        <w:ind w:left="284"/>
        <w:rPr>
          <w:rFonts w:ascii="Times New Roman" w:eastAsia="Arial Unicode MS" w:hAnsi="Times New Roman"/>
          <w:sz w:val="24"/>
          <w:szCs w:val="24"/>
          <w:lang w:val="fr-CA"/>
        </w:rPr>
      </w:pPr>
      <w:r w:rsidRPr="00D75D2E">
        <w:rPr>
          <w:rFonts w:ascii="Times New Roman" w:eastAsia="Arial Unicode MS" w:hAnsi="Times New Roman"/>
          <w:sz w:val="24"/>
          <w:szCs w:val="24"/>
          <w:lang w:val="fr-CA"/>
        </w:rPr>
        <w:t xml:space="preserve">Les principales mesures de bonification sont : </w:t>
      </w:r>
    </w:p>
    <w:p w14:paraId="6358EC33" w14:textId="4A0D11F3"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sz w:val="24"/>
          <w:szCs w:val="24"/>
        </w:rPr>
        <w:t>élaborer et mettre en œuvre un plan d’information, éducation et communication (IEC) en faveur des ouvriers et des populations riveraines</w:t>
      </w:r>
      <w:r w:rsidRPr="00D75D2E">
        <w:rPr>
          <w:rFonts w:ascii="Times New Roman" w:hAnsi="Times New Roman"/>
          <w:iCs/>
          <w:sz w:val="24"/>
          <w:szCs w:val="24"/>
        </w:rPr>
        <w:t xml:space="preserve"> ;</w:t>
      </w:r>
    </w:p>
    <w:p w14:paraId="656A3965"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élaborer et mettre en œuvre  un plan de gestion des déchets ; </w:t>
      </w:r>
    </w:p>
    <w:p w14:paraId="3728B281"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iCs/>
          <w:sz w:val="24"/>
          <w:szCs w:val="24"/>
        </w:rPr>
        <w:t xml:space="preserve">aménager et stabiliser les aires de vidange afin de les imperméabiliser ; </w:t>
      </w:r>
    </w:p>
    <w:p w14:paraId="2F54DE66" w14:textId="188A7FBA"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iCs/>
          <w:sz w:val="24"/>
          <w:szCs w:val="24"/>
        </w:rPr>
        <w:t>recueillir les huiles usées en vue de leur recyclage ou réutilisation</w:t>
      </w:r>
      <w:r w:rsidR="005F4B3E">
        <w:rPr>
          <w:rFonts w:ascii="Times New Roman" w:hAnsi="Times New Roman"/>
          <w:iCs/>
          <w:sz w:val="24"/>
          <w:szCs w:val="24"/>
        </w:rPr>
        <w:t xml:space="preserve"> par la société Bookin pour chauffé ses chaudières </w:t>
      </w:r>
      <w:r w:rsidR="0083602B">
        <w:rPr>
          <w:rFonts w:ascii="Times New Roman" w:hAnsi="Times New Roman"/>
          <w:iCs/>
          <w:sz w:val="24"/>
          <w:szCs w:val="24"/>
        </w:rPr>
        <w:t>pour la fabrication des verres</w:t>
      </w:r>
      <w:r w:rsidRPr="00D75D2E">
        <w:rPr>
          <w:rFonts w:ascii="Times New Roman" w:hAnsi="Times New Roman"/>
          <w:iCs/>
          <w:sz w:val="24"/>
          <w:szCs w:val="24"/>
        </w:rPr>
        <w:t xml:space="preserve"> ; </w:t>
      </w:r>
    </w:p>
    <w:p w14:paraId="65E4B93B"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iCs/>
          <w:sz w:val="24"/>
          <w:szCs w:val="24"/>
        </w:rPr>
        <w:t>stocker de manière adéquate les hydrocarbures conformément aux normes en la matière ;</w:t>
      </w:r>
    </w:p>
    <w:p w14:paraId="12A305E5"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iCs/>
          <w:sz w:val="24"/>
          <w:szCs w:val="24"/>
        </w:rPr>
        <w:t>limiter  la vitesse des camions à 30 km/heure</w:t>
      </w:r>
      <w:r w:rsidR="00EB011B">
        <w:rPr>
          <w:rFonts w:ascii="Times New Roman" w:hAnsi="Times New Roman"/>
          <w:iCs/>
          <w:sz w:val="24"/>
          <w:szCs w:val="24"/>
        </w:rPr>
        <w:t xml:space="preserve"> dans la zone du projet </w:t>
      </w:r>
      <w:r w:rsidRPr="00D75D2E">
        <w:rPr>
          <w:rFonts w:ascii="Times New Roman" w:hAnsi="Times New Roman"/>
          <w:iCs/>
          <w:sz w:val="24"/>
          <w:szCs w:val="24"/>
        </w:rPr>
        <w:t>;</w:t>
      </w:r>
    </w:p>
    <w:p w14:paraId="1325E687" w14:textId="4B42A3B6"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sz w:val="24"/>
          <w:szCs w:val="24"/>
        </w:rPr>
        <w:t>élaborer et mettre en œuvre un Plan d’Action de Réinstallation</w:t>
      </w:r>
      <w:r w:rsidR="008C1316">
        <w:rPr>
          <w:rFonts w:ascii="Times New Roman" w:hAnsi="Times New Roman"/>
          <w:sz w:val="24"/>
          <w:szCs w:val="24"/>
        </w:rPr>
        <w:t xml:space="preserve"> incluant </w:t>
      </w:r>
      <w:r w:rsidR="008C1316">
        <w:rPr>
          <w:rFonts w:ascii="Times New Roman" w:eastAsia="Times New Roman" w:hAnsi="Times New Roman"/>
          <w:sz w:val="24"/>
          <w:szCs w:val="24"/>
          <w:lang w:eastAsia="fr-FR"/>
        </w:rPr>
        <w:t xml:space="preserve">le plan de restauration </w:t>
      </w:r>
      <w:r w:rsidR="008C1316" w:rsidRPr="003448B0">
        <w:rPr>
          <w:rFonts w:ascii="Times New Roman" w:eastAsia="Times New Roman" w:hAnsi="Times New Roman"/>
          <w:sz w:val="24"/>
          <w:szCs w:val="24"/>
          <w:lang w:eastAsia="fr-FR"/>
        </w:rPr>
        <w:t>des moyens de subsistance afin de compenser la perte des activités génératrices de revenus (AGR</w:t>
      </w:r>
      <w:r w:rsidR="008C1316" w:rsidRPr="00D75D2E">
        <w:rPr>
          <w:rFonts w:ascii="Times New Roman" w:eastAsia="Times New Roman" w:hAnsi="Times New Roman"/>
          <w:sz w:val="24"/>
          <w:szCs w:val="24"/>
          <w:lang w:eastAsia="fr-FR"/>
        </w:rPr>
        <w:t>)</w:t>
      </w:r>
      <w:r w:rsidRPr="00D75D2E">
        <w:rPr>
          <w:rFonts w:ascii="Times New Roman" w:hAnsi="Times New Roman"/>
          <w:sz w:val="24"/>
          <w:szCs w:val="24"/>
        </w:rPr>
        <w:t> ;</w:t>
      </w:r>
    </w:p>
    <w:p w14:paraId="300995B2"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iCs/>
          <w:sz w:val="24"/>
          <w:szCs w:val="24"/>
        </w:rPr>
        <w:t>impliquer les acteurs locaux dans la mise en œuvre du projet.</w:t>
      </w:r>
    </w:p>
    <w:p w14:paraId="7AC0A088" w14:textId="77777777"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Mesures d’atténuation des impacts</w:t>
      </w:r>
    </w:p>
    <w:p w14:paraId="4ADB7D90" w14:textId="77777777" w:rsidR="00D75D2E" w:rsidRPr="00D75D2E" w:rsidRDefault="00D75D2E" w:rsidP="00E737B4">
      <w:pPr>
        <w:suppressAutoHyphens/>
        <w:spacing w:before="120" w:after="120" w:line="240" w:lineRule="auto"/>
        <w:ind w:left="284"/>
        <w:rPr>
          <w:rFonts w:ascii="Times New Roman" w:eastAsia="Arial Unicode MS" w:hAnsi="Times New Roman"/>
          <w:sz w:val="24"/>
          <w:szCs w:val="24"/>
          <w:lang w:val="fr-CA" w:eastAsia="fr-FR"/>
        </w:rPr>
      </w:pPr>
      <w:r w:rsidRPr="00D75D2E">
        <w:rPr>
          <w:rFonts w:ascii="Times New Roman" w:eastAsia="Arial Unicode MS" w:hAnsi="Times New Roman"/>
          <w:sz w:val="24"/>
          <w:szCs w:val="24"/>
          <w:lang w:val="fr-CA" w:eastAsia="fr-FR"/>
        </w:rPr>
        <w:t xml:space="preserve">Les principales mesures d’atténuation identifiées sont : </w:t>
      </w:r>
    </w:p>
    <w:p w14:paraId="616CD667"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sz w:val="24"/>
          <w:szCs w:val="24"/>
        </w:rPr>
        <w:t xml:space="preserve">la mise en œuvre d’un plan de reboisement en étroite collaboration avec l’appui du Ministère en charge des Eaux et Forêts pour compenser la destruction des espèces végétales : ( </w:t>
      </w:r>
      <w:r w:rsidRPr="00D75D2E">
        <w:rPr>
          <w:rFonts w:ascii="Times New Roman" w:hAnsi="Times New Roman"/>
          <w:iCs/>
          <w:sz w:val="24"/>
          <w:szCs w:val="24"/>
        </w:rPr>
        <w:t xml:space="preserve">limiter le défrichement au strict minimum, remise en l’état des sites d’emprunts, </w:t>
      </w:r>
      <w:r w:rsidRPr="00D75D2E">
        <w:rPr>
          <w:rFonts w:ascii="Times New Roman" w:hAnsi="Times New Roman"/>
          <w:sz w:val="24"/>
          <w:szCs w:val="24"/>
        </w:rPr>
        <w:t xml:space="preserve">mise en œuvre d’un plan d’information, éducation et communication (IEC) au bénéfice des ouvriers </w:t>
      </w:r>
      <w:r w:rsidRPr="00D75D2E">
        <w:rPr>
          <w:rFonts w:ascii="Times New Roman" w:hAnsi="Times New Roman"/>
          <w:iCs/>
          <w:sz w:val="24"/>
          <w:szCs w:val="24"/>
        </w:rPr>
        <w:t>) ;</w:t>
      </w:r>
    </w:p>
    <w:p w14:paraId="276A0623"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mise  en œuvre  d’un </w:t>
      </w:r>
      <w:r w:rsidRPr="00D75D2E">
        <w:rPr>
          <w:rFonts w:ascii="Times New Roman" w:hAnsi="Times New Roman"/>
          <w:bCs/>
          <w:i/>
          <w:iCs/>
          <w:sz w:val="24"/>
          <w:szCs w:val="24"/>
        </w:rPr>
        <w:t xml:space="preserve">Plan Particulier de Gestion et d’Elimination des Déchets (PPGED) et d’un Plan d’Assurance Environnement (PAE) </w:t>
      </w:r>
      <w:r w:rsidRPr="00D75D2E">
        <w:rPr>
          <w:rFonts w:ascii="Times New Roman" w:hAnsi="Times New Roman"/>
          <w:sz w:val="24"/>
          <w:szCs w:val="24"/>
        </w:rPr>
        <w:t>afin d</w:t>
      </w:r>
      <w:r w:rsidR="00846BBC">
        <w:rPr>
          <w:rFonts w:ascii="Times New Roman" w:hAnsi="Times New Roman"/>
          <w:sz w:val="24"/>
          <w:szCs w:val="24"/>
        </w:rPr>
        <w:t xml:space="preserve">e : </w:t>
      </w:r>
      <w:r w:rsidRPr="00D75D2E">
        <w:rPr>
          <w:rFonts w:ascii="Times New Roman" w:hAnsi="Times New Roman"/>
          <w:sz w:val="24"/>
          <w:szCs w:val="24"/>
        </w:rPr>
        <w:t xml:space="preserve">éviter les pollutions de l’eau et du sol par les déchets solides et liquides issus des chantiers : </w:t>
      </w:r>
      <w:r w:rsidRPr="00D75D2E">
        <w:rPr>
          <w:rFonts w:ascii="Times New Roman" w:hAnsi="Times New Roman"/>
          <w:iCs/>
          <w:sz w:val="24"/>
          <w:szCs w:val="24"/>
        </w:rPr>
        <w:t xml:space="preserve">gérer de manière écologique les déchets de chantier ; aménager et stabiliser les aires de vidange </w:t>
      </w:r>
      <w:r w:rsidR="00846BBC">
        <w:rPr>
          <w:rFonts w:ascii="Times New Roman" w:hAnsi="Times New Roman"/>
          <w:iCs/>
          <w:sz w:val="24"/>
          <w:szCs w:val="24"/>
        </w:rPr>
        <w:t xml:space="preserve">des boues </w:t>
      </w:r>
      <w:r w:rsidRPr="00D75D2E">
        <w:rPr>
          <w:rFonts w:ascii="Times New Roman" w:hAnsi="Times New Roman"/>
          <w:iCs/>
          <w:sz w:val="24"/>
          <w:szCs w:val="24"/>
        </w:rPr>
        <w:t>afin de les imperméabiliser ; recueillir les huiles usées dans des contenants étanches en vue de leur recyclage ou réutilisation ; interdire formellement aux employés de laver les engins et autres matériels (bétonneuse, brouette, etc.) dans les cours d’eau ; éviter les sources d’eau utilisées par les populations pour les besoins des travaux ; stockage adéquat des hydrocarbures (citerne à gasoil ou pompe), conformément aux normes en la matière.</w:t>
      </w:r>
    </w:p>
    <w:p w14:paraId="297A2297"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mise en œuvre d’un Plan de </w:t>
      </w:r>
      <w:r w:rsidR="001E0B8A">
        <w:rPr>
          <w:rFonts w:ascii="Times New Roman" w:hAnsi="Times New Roman"/>
          <w:sz w:val="24"/>
          <w:szCs w:val="24"/>
        </w:rPr>
        <w:t xml:space="preserve">prévention et de </w:t>
      </w:r>
      <w:r w:rsidRPr="00D75D2E">
        <w:rPr>
          <w:rFonts w:ascii="Times New Roman" w:hAnsi="Times New Roman"/>
          <w:sz w:val="24"/>
          <w:szCs w:val="24"/>
        </w:rPr>
        <w:t>limitation de la pollution de l’air (</w:t>
      </w:r>
      <w:r w:rsidRPr="00D75D2E">
        <w:rPr>
          <w:rFonts w:ascii="Times New Roman" w:hAnsi="Times New Roman"/>
          <w:iCs/>
          <w:sz w:val="24"/>
          <w:szCs w:val="24"/>
        </w:rPr>
        <w:t>informer et sensibiliser les chauffeurs sur le respect de la limitation de vitesse</w:t>
      </w:r>
      <w:r w:rsidR="00D22480">
        <w:rPr>
          <w:rFonts w:ascii="Times New Roman" w:hAnsi="Times New Roman"/>
          <w:iCs/>
          <w:sz w:val="24"/>
          <w:szCs w:val="24"/>
        </w:rPr>
        <w:t xml:space="preserve"> dans la zone du projet </w:t>
      </w:r>
      <w:r w:rsidRPr="00D75D2E">
        <w:rPr>
          <w:rFonts w:ascii="Times New Roman" w:hAnsi="Times New Roman"/>
          <w:iCs/>
          <w:sz w:val="24"/>
          <w:szCs w:val="24"/>
        </w:rPr>
        <w:t>; entretenir régulièrement les camions et les engins lourds ; limiter la vitesse des camions à 30 km/heure</w:t>
      </w:r>
      <w:r w:rsidR="00D22480">
        <w:rPr>
          <w:rFonts w:ascii="Times New Roman" w:hAnsi="Times New Roman"/>
          <w:iCs/>
          <w:sz w:val="24"/>
          <w:szCs w:val="24"/>
        </w:rPr>
        <w:t xml:space="preserve"> dans la zone du projet</w:t>
      </w:r>
      <w:r w:rsidRPr="00D75D2E">
        <w:rPr>
          <w:rFonts w:ascii="Times New Roman" w:hAnsi="Times New Roman"/>
          <w:iCs/>
          <w:sz w:val="24"/>
          <w:szCs w:val="24"/>
        </w:rPr>
        <w:t xml:space="preserve"> ; </w:t>
      </w:r>
    </w:p>
    <w:p w14:paraId="4D8DC555" w14:textId="77777777" w:rsid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sz w:val="24"/>
          <w:szCs w:val="24"/>
        </w:rPr>
        <w:t>la mise en œuvre du Plan d’Action de Réinstallation avec un programme de réinstallation bien défini pour compenser les différentes pertes:</w:t>
      </w:r>
      <w:r w:rsidRPr="00D75D2E">
        <w:rPr>
          <w:rFonts w:ascii="Times New Roman" w:hAnsi="Times New Roman"/>
          <w:iCs/>
          <w:sz w:val="24"/>
          <w:szCs w:val="24"/>
        </w:rPr>
        <w:t xml:space="preserve"> indemniser les personnes affectées par le projet; informer et sensibiliser les populations riveraines, veiller à l’implication des communautés locales avant le démarrage des travaux.</w:t>
      </w:r>
    </w:p>
    <w:p w14:paraId="1452B06E" w14:textId="54374F1A" w:rsidR="0083602B" w:rsidRDefault="0083602B" w:rsidP="00AE31F1">
      <w:pPr>
        <w:tabs>
          <w:tab w:val="left" w:pos="0"/>
        </w:tabs>
        <w:suppressAutoHyphens/>
        <w:spacing w:before="120" w:after="120" w:line="240" w:lineRule="auto"/>
        <w:rPr>
          <w:rFonts w:ascii="Times New Roman" w:hAnsi="Times New Roman"/>
          <w:iCs/>
          <w:sz w:val="24"/>
          <w:szCs w:val="24"/>
        </w:rPr>
      </w:pPr>
      <w:r>
        <w:rPr>
          <w:rFonts w:ascii="Times New Roman" w:eastAsia="Arial Unicode MS" w:hAnsi="Times New Roman"/>
          <w:sz w:val="24"/>
          <w:szCs w:val="24"/>
          <w:lang w:val="fr-CA" w:eastAsia="fr-FR"/>
        </w:rPr>
        <w:t>E</w:t>
      </w:r>
      <w:r w:rsidRPr="00AE31F1">
        <w:rPr>
          <w:rFonts w:ascii="Times New Roman" w:eastAsia="Arial Unicode MS" w:hAnsi="Times New Roman"/>
          <w:sz w:val="24"/>
          <w:szCs w:val="24"/>
          <w:lang w:val="fr-CA" w:eastAsia="fr-FR"/>
        </w:rPr>
        <w:t>n</w:t>
      </w:r>
      <w:r>
        <w:rPr>
          <w:rFonts w:ascii="Times New Roman" w:hAnsi="Times New Roman"/>
          <w:iCs/>
          <w:sz w:val="24"/>
          <w:szCs w:val="24"/>
        </w:rPr>
        <w:t xml:space="preserve"> phase d’exploitation </w:t>
      </w:r>
      <w:r w:rsidR="008F2490">
        <w:rPr>
          <w:rFonts w:ascii="Times New Roman" w:hAnsi="Times New Roman"/>
          <w:iCs/>
          <w:sz w:val="24"/>
          <w:szCs w:val="24"/>
        </w:rPr>
        <w:t xml:space="preserve">SNEL devra </w:t>
      </w:r>
      <w:r>
        <w:rPr>
          <w:rFonts w:ascii="Times New Roman" w:hAnsi="Times New Roman"/>
          <w:iCs/>
          <w:sz w:val="24"/>
          <w:szCs w:val="24"/>
        </w:rPr>
        <w:t xml:space="preserve">: </w:t>
      </w:r>
    </w:p>
    <w:p w14:paraId="09A1B4D5" w14:textId="066C40E7" w:rsidR="0083602B" w:rsidRDefault="008F2490" w:rsidP="008F2490">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 xml:space="preserve">mettre en place les mesures HSE préconisés durant la phase des travaux lors des </w:t>
      </w:r>
      <w:r w:rsidRPr="008F2490">
        <w:rPr>
          <w:rFonts w:ascii="Times New Roman" w:hAnsi="Times New Roman"/>
          <w:sz w:val="24"/>
          <w:szCs w:val="24"/>
        </w:rPr>
        <w:t>entretiens</w:t>
      </w:r>
      <w:r>
        <w:rPr>
          <w:rFonts w:ascii="Times New Roman" w:hAnsi="Times New Roman"/>
          <w:iCs/>
          <w:sz w:val="24"/>
          <w:szCs w:val="24"/>
        </w:rPr>
        <w:t xml:space="preserve"> des réseaux</w:t>
      </w:r>
    </w:p>
    <w:p w14:paraId="204DEB58" w14:textId="77777777" w:rsidR="00545424" w:rsidRDefault="008F2490" w:rsidP="008F249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iCs/>
          <w:sz w:val="24"/>
          <w:szCs w:val="24"/>
        </w:rPr>
        <w:t xml:space="preserve">entretenir régulièrement les </w:t>
      </w:r>
      <w:r w:rsidR="00545424">
        <w:rPr>
          <w:rFonts w:ascii="Times New Roman" w:hAnsi="Times New Roman"/>
          <w:iCs/>
          <w:sz w:val="24"/>
          <w:szCs w:val="24"/>
        </w:rPr>
        <w:t>véhicules et assurer leur contrôle technique régulier</w:t>
      </w:r>
      <w:r w:rsidRPr="00D75D2E">
        <w:rPr>
          <w:rFonts w:ascii="Times New Roman" w:hAnsi="Times New Roman"/>
          <w:iCs/>
          <w:sz w:val="24"/>
          <w:szCs w:val="24"/>
        </w:rPr>
        <w:t xml:space="preserve"> ; </w:t>
      </w:r>
    </w:p>
    <w:p w14:paraId="32D7B13D" w14:textId="684A577F" w:rsidR="008F2490" w:rsidRDefault="008F2490" w:rsidP="008F249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iCs/>
          <w:sz w:val="24"/>
          <w:szCs w:val="24"/>
        </w:rPr>
        <w:t>limiter la vitesse des camions à 30 km/heure</w:t>
      </w:r>
      <w:r>
        <w:rPr>
          <w:rFonts w:ascii="Times New Roman" w:hAnsi="Times New Roman"/>
          <w:iCs/>
          <w:sz w:val="24"/>
          <w:szCs w:val="24"/>
        </w:rPr>
        <w:t xml:space="preserve"> dans le périmètre d’exploitation du réseau </w:t>
      </w:r>
    </w:p>
    <w:p w14:paraId="2FB9CFF9" w14:textId="57012F04" w:rsidR="008F2490" w:rsidRPr="00730749" w:rsidRDefault="00545424" w:rsidP="00730749">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élaborer un plan de sécuritaire routière et le divulgué dans les différents départements, notamment celui de l’équipement et de maintenance</w:t>
      </w:r>
      <w:r w:rsidR="00730749">
        <w:rPr>
          <w:rFonts w:ascii="Times New Roman" w:hAnsi="Times New Roman"/>
          <w:iCs/>
          <w:sz w:val="24"/>
          <w:szCs w:val="24"/>
        </w:rPr>
        <w:t>.</w:t>
      </w:r>
    </w:p>
    <w:p w14:paraId="52D83CD9" w14:textId="77777777"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bookmarkStart w:id="36" w:name="_Hlk28941886"/>
      <w:r w:rsidRPr="00D75D2E">
        <w:rPr>
          <w:rFonts w:ascii="Times New Roman" w:hAnsi="Times New Roman"/>
          <w:b/>
          <w:sz w:val="24"/>
          <w:szCs w:val="24"/>
          <w:u w:val="single"/>
        </w:rPr>
        <w:t>Mesures d’atténuation des risques</w:t>
      </w:r>
    </w:p>
    <w:bookmarkEnd w:id="36"/>
    <w:p w14:paraId="4CA32B0C" w14:textId="77777777" w:rsidR="00D75D2E" w:rsidRPr="00D75D2E" w:rsidRDefault="00D75D2E" w:rsidP="00E737B4">
      <w:pPr>
        <w:suppressAutoHyphens/>
        <w:spacing w:before="120" w:after="120" w:line="240" w:lineRule="auto"/>
        <w:ind w:left="284"/>
        <w:rPr>
          <w:rFonts w:ascii="Times New Roman" w:hAnsi="Times New Roman"/>
          <w:sz w:val="24"/>
          <w:szCs w:val="24"/>
        </w:rPr>
      </w:pPr>
      <w:r w:rsidRPr="00D75D2E">
        <w:rPr>
          <w:rFonts w:ascii="Times New Roman" w:hAnsi="Times New Roman"/>
          <w:sz w:val="24"/>
          <w:szCs w:val="24"/>
        </w:rPr>
        <w:t xml:space="preserve">Les </w:t>
      </w:r>
      <w:r w:rsidRPr="00E737B4">
        <w:rPr>
          <w:rFonts w:ascii="Times New Roman" w:eastAsia="Arial Unicode MS" w:hAnsi="Times New Roman"/>
          <w:sz w:val="24"/>
          <w:szCs w:val="24"/>
          <w:lang w:val="fr-CA" w:eastAsia="fr-FR"/>
        </w:rPr>
        <w:t>principales</w:t>
      </w:r>
      <w:r w:rsidRPr="00D75D2E">
        <w:rPr>
          <w:rFonts w:ascii="Times New Roman" w:hAnsi="Times New Roman"/>
          <w:sz w:val="24"/>
          <w:szCs w:val="24"/>
        </w:rPr>
        <w:t xml:space="preserve"> mesures d’atténuation des risques probables liés aux travaux sont :</w:t>
      </w:r>
    </w:p>
    <w:p w14:paraId="63759247" w14:textId="24746F44" w:rsidR="00730749"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mise en œuvre d’un Plan de Gestion de la Main d’œuvre (PGMO) </w:t>
      </w:r>
      <w:r w:rsidR="00C15259">
        <w:rPr>
          <w:rFonts w:ascii="Times New Roman" w:hAnsi="Times New Roman"/>
          <w:sz w:val="24"/>
          <w:szCs w:val="24"/>
        </w:rPr>
        <w:t xml:space="preserve">du projet </w:t>
      </w:r>
      <w:r w:rsidRPr="00D75D2E">
        <w:rPr>
          <w:rFonts w:ascii="Times New Roman" w:hAnsi="Times New Roman"/>
          <w:sz w:val="24"/>
          <w:szCs w:val="24"/>
        </w:rPr>
        <w:t xml:space="preserve">en s’inspirant des </w:t>
      </w:r>
      <w:r w:rsidRPr="001E0B8A">
        <w:rPr>
          <w:rFonts w:ascii="Times New Roman" w:hAnsi="Times New Roman"/>
          <w:iCs/>
          <w:sz w:val="24"/>
          <w:szCs w:val="24"/>
        </w:rPr>
        <w:t>dispositions</w:t>
      </w:r>
      <w:r w:rsidRPr="00D75D2E">
        <w:rPr>
          <w:rFonts w:ascii="Times New Roman" w:hAnsi="Times New Roman"/>
          <w:sz w:val="24"/>
          <w:szCs w:val="24"/>
        </w:rPr>
        <w:t xml:space="preserve"> de la Loi portant Code du Travail afin d’éviter les conflits sociaux. </w:t>
      </w:r>
    </w:p>
    <w:p w14:paraId="33388A1E" w14:textId="4512CF49" w:rsidR="00C15259" w:rsidRDefault="00730749" w:rsidP="008C79F0">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w:t>
      </w:r>
      <w:r w:rsidR="00D75D2E" w:rsidRPr="00D75D2E">
        <w:rPr>
          <w:rFonts w:ascii="Times New Roman" w:hAnsi="Times New Roman"/>
          <w:sz w:val="24"/>
          <w:szCs w:val="24"/>
        </w:rPr>
        <w:t xml:space="preserve">a mise en œuvre du Mécanisme de Gestion des Plaintes (MGP) </w:t>
      </w:r>
      <w:r w:rsidR="00B34F13" w:rsidRPr="00B34F13">
        <w:rPr>
          <w:rFonts w:ascii="Times New Roman" w:hAnsi="Times New Roman"/>
          <w:sz w:val="24"/>
          <w:szCs w:val="24"/>
        </w:rPr>
        <w:t xml:space="preserve"> </w:t>
      </w:r>
      <w:r w:rsidR="00B34F13">
        <w:rPr>
          <w:rFonts w:ascii="Times New Roman" w:hAnsi="Times New Roman"/>
          <w:sz w:val="24"/>
          <w:szCs w:val="24"/>
        </w:rPr>
        <w:t>du projet, sensible au VBG</w:t>
      </w:r>
      <w:r w:rsidR="00C15259" w:rsidRPr="00C15259">
        <w:rPr>
          <w:rFonts w:ascii="Times New Roman" w:hAnsi="Times New Roman"/>
          <w:sz w:val="24"/>
          <w:szCs w:val="24"/>
        </w:rPr>
        <w:t xml:space="preserve"> </w:t>
      </w:r>
    </w:p>
    <w:p w14:paraId="2AB73983" w14:textId="7DA6F051" w:rsidR="00D75D2E" w:rsidRDefault="00C15259" w:rsidP="008C79F0">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La mise en place par les entreprises en charge des travaux </w:t>
      </w:r>
      <w:r w:rsidR="00D75D2E" w:rsidRPr="00D75D2E">
        <w:rPr>
          <w:rFonts w:ascii="Times New Roman" w:hAnsi="Times New Roman"/>
          <w:sz w:val="24"/>
          <w:szCs w:val="24"/>
        </w:rPr>
        <w:t xml:space="preserve">du </w:t>
      </w:r>
      <w:r w:rsidR="00D75D2E" w:rsidRPr="00D75D2E">
        <w:rPr>
          <w:rFonts w:ascii="Times New Roman" w:hAnsi="Times New Roman"/>
          <w:b/>
          <w:bCs/>
          <w:i/>
          <w:iCs/>
          <w:sz w:val="24"/>
          <w:szCs w:val="24"/>
          <w:lang w:val="fr-CA"/>
        </w:rPr>
        <w:t xml:space="preserve">Mécanisme de Gestion des Plaintes de l’Employeur (MGPE) </w:t>
      </w:r>
      <w:r w:rsidR="00D75D2E" w:rsidRPr="00D75D2E">
        <w:rPr>
          <w:rFonts w:ascii="Times New Roman" w:hAnsi="Times New Roman"/>
          <w:sz w:val="24"/>
          <w:szCs w:val="24"/>
        </w:rPr>
        <w:t>permettront de prévenir et de gérer les différents conflits qui vont naître ;</w:t>
      </w:r>
    </w:p>
    <w:p w14:paraId="0E0C75CE" w14:textId="2BC2CF6C" w:rsidR="00B34F13" w:rsidRPr="00D75D2E" w:rsidRDefault="00B34F13" w:rsidP="008C79F0">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La préparation et la mise en œuvre par les entrepreneurs de leur plan de ges</w:t>
      </w:r>
      <w:r w:rsidR="006B05EE">
        <w:rPr>
          <w:rFonts w:ascii="Times New Roman" w:hAnsi="Times New Roman"/>
          <w:sz w:val="24"/>
          <w:szCs w:val="24"/>
        </w:rPr>
        <w:t>t</w:t>
      </w:r>
      <w:r>
        <w:rPr>
          <w:rFonts w:ascii="Times New Roman" w:hAnsi="Times New Roman"/>
          <w:sz w:val="24"/>
          <w:szCs w:val="24"/>
        </w:rPr>
        <w:t>ion de la main d’œuvre (PGMO) en s’inspirant au PGMO du projet</w:t>
      </w:r>
    </w:p>
    <w:p w14:paraId="52261B60"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mise en œuvre d’un </w:t>
      </w:r>
      <w:r w:rsidRPr="00D75D2E">
        <w:rPr>
          <w:rFonts w:ascii="Times New Roman" w:hAnsi="Times New Roman"/>
          <w:b/>
          <w:bCs/>
          <w:i/>
          <w:iCs/>
          <w:sz w:val="24"/>
          <w:szCs w:val="24"/>
        </w:rPr>
        <w:t>Plan Particulier de Sécurité et de Protection de la Santé (PPSPS)</w:t>
      </w:r>
      <w:r w:rsidRPr="00D75D2E">
        <w:rPr>
          <w:rFonts w:ascii="Times New Roman" w:hAnsi="Times New Roman"/>
          <w:b/>
          <w:bCs/>
          <w:i/>
          <w:iCs/>
          <w:sz w:val="24"/>
          <w:szCs w:val="24"/>
          <w:lang w:val="fr-CA"/>
        </w:rPr>
        <w:t xml:space="preserve"> </w:t>
      </w:r>
      <w:r w:rsidRPr="00D75D2E">
        <w:rPr>
          <w:rFonts w:ascii="Times New Roman" w:hAnsi="Times New Roman"/>
          <w:sz w:val="24"/>
          <w:szCs w:val="24"/>
        </w:rPr>
        <w:t>pour réduire les risques d’accidents professionnels pendant les  travaux  en y incluant un plan de circulation, l’entretien régulier des véhicules, le dispositif de sécurité des véhicules (</w:t>
      </w:r>
      <w:r w:rsidRPr="001E0B8A">
        <w:rPr>
          <w:rFonts w:ascii="Times New Roman" w:hAnsi="Times New Roman"/>
          <w:iCs/>
          <w:sz w:val="24"/>
          <w:szCs w:val="24"/>
        </w:rPr>
        <w:t>panneaux</w:t>
      </w:r>
      <w:r w:rsidRPr="00D75D2E">
        <w:rPr>
          <w:rFonts w:ascii="Times New Roman" w:hAnsi="Times New Roman"/>
          <w:sz w:val="24"/>
          <w:szCs w:val="24"/>
        </w:rPr>
        <w:t xml:space="preserve"> de signalisation, avertisseur sonore, signal lumineux, avertisseur de recul sonore etc.), la formation des conducteurs ; </w:t>
      </w:r>
      <w:r w:rsidR="00846BBC">
        <w:rPr>
          <w:rFonts w:ascii="Times New Roman" w:hAnsi="Times New Roman"/>
          <w:sz w:val="24"/>
          <w:szCs w:val="24"/>
        </w:rPr>
        <w:t xml:space="preserve">la </w:t>
      </w:r>
      <w:r w:rsidRPr="00D75D2E">
        <w:rPr>
          <w:rFonts w:ascii="Times New Roman" w:hAnsi="Times New Roman"/>
          <w:sz w:val="24"/>
          <w:szCs w:val="24"/>
        </w:rPr>
        <w:t>mise à disposition des véhicules adaptés ; l’organisation des déplacements,</w:t>
      </w:r>
      <w:r w:rsidR="00846BBC">
        <w:rPr>
          <w:rFonts w:ascii="Times New Roman" w:hAnsi="Times New Roman"/>
          <w:sz w:val="24"/>
          <w:szCs w:val="24"/>
        </w:rPr>
        <w:t xml:space="preserve"> l’</w:t>
      </w:r>
      <w:r w:rsidRPr="00D75D2E">
        <w:rPr>
          <w:rFonts w:ascii="Times New Roman" w:hAnsi="Times New Roman"/>
          <w:sz w:val="24"/>
          <w:szCs w:val="24"/>
        </w:rPr>
        <w:t>interdiction des stupéfiants et du téléphone au volant ; l’</w:t>
      </w:r>
      <w:r w:rsidR="00846BBC">
        <w:rPr>
          <w:rFonts w:ascii="Times New Roman" w:hAnsi="Times New Roman"/>
          <w:sz w:val="24"/>
          <w:szCs w:val="24"/>
        </w:rPr>
        <w:t>o</w:t>
      </w:r>
      <w:r w:rsidRPr="00D75D2E">
        <w:rPr>
          <w:rFonts w:ascii="Times New Roman" w:eastAsia="Times New Roman" w:hAnsi="Times New Roman"/>
          <w:sz w:val="24"/>
          <w:szCs w:val="24"/>
          <w:lang w:eastAsia="fr-FR"/>
        </w:rPr>
        <w:t>rganisation du stockage des matériaux/matériels et des hydrocarbures, l’établissement d’un plan d’intervention et d’évacuation, la disposition sur le chantier et dans les engins de moyens d’extinction (extincteurs, bacs à sable, émulseurs) ;</w:t>
      </w:r>
    </w:p>
    <w:p w14:paraId="1AF501FA" w14:textId="77777777" w:rsid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sz w:val="24"/>
          <w:szCs w:val="24"/>
        </w:rPr>
        <w:t xml:space="preserve">la prise de dispositions pour prévenir, atténuer et sanctionner les cas d’abus envers la population </w:t>
      </w:r>
      <w:r w:rsidRPr="001E0B8A">
        <w:rPr>
          <w:rFonts w:ascii="Times New Roman" w:hAnsi="Times New Roman"/>
          <w:iCs/>
          <w:sz w:val="24"/>
          <w:szCs w:val="24"/>
        </w:rPr>
        <w:t>riveraine et surtout celle vulnérable ;</w:t>
      </w:r>
    </w:p>
    <w:p w14:paraId="69B90BB0" w14:textId="39A2EB47" w:rsidR="003F0B30" w:rsidRPr="001E0B8A" w:rsidRDefault="003F0B30" w:rsidP="008C79F0">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mise en œuvre du plan d’action VBG du projet et vulgarisation du MGP sensible aux EAS/HS auprès des travailleurs et de la communauté</w:t>
      </w:r>
    </w:p>
    <w:p w14:paraId="44598DF7" w14:textId="085E5A9A" w:rsidR="00D75D2E" w:rsidRPr="00DD0B93"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D0B93">
        <w:rPr>
          <w:rFonts w:ascii="Times New Roman" w:hAnsi="Times New Roman"/>
          <w:iCs/>
          <w:sz w:val="24"/>
          <w:szCs w:val="24"/>
        </w:rPr>
        <w:t>adoption et vulgarisation d</w:t>
      </w:r>
      <w:r w:rsidR="00CD7818">
        <w:rPr>
          <w:rFonts w:ascii="Times New Roman" w:hAnsi="Times New Roman"/>
          <w:iCs/>
          <w:sz w:val="24"/>
          <w:szCs w:val="24"/>
        </w:rPr>
        <w:t>u</w:t>
      </w:r>
      <w:r w:rsidRPr="00DD0B93">
        <w:rPr>
          <w:rFonts w:ascii="Times New Roman" w:hAnsi="Times New Roman"/>
          <w:iCs/>
          <w:sz w:val="24"/>
          <w:szCs w:val="24"/>
        </w:rPr>
        <w:t xml:space="preserve"> code de bonne conduite auprès des travailleurs et des populations riveraines ;</w:t>
      </w:r>
    </w:p>
    <w:p w14:paraId="3AA814C6" w14:textId="77777777" w:rsidR="00D75D2E" w:rsidRPr="003E2EF0"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D0B93">
        <w:rPr>
          <w:rFonts w:ascii="Times New Roman" w:hAnsi="Times New Roman"/>
          <w:iCs/>
          <w:sz w:val="24"/>
          <w:szCs w:val="24"/>
        </w:rPr>
        <w:t>la mise en œuvre d’un Plan d’Information Education Communication (PIEC) des populations riveraines et</w:t>
      </w:r>
      <w:r w:rsidRPr="00D75D2E">
        <w:rPr>
          <w:rFonts w:ascii="Times New Roman" w:hAnsi="Times New Roman"/>
          <w:sz w:val="24"/>
          <w:szCs w:val="24"/>
        </w:rPr>
        <w:t xml:space="preserve"> des ouvriers sur les IRA, IST et VIH-SIDA</w:t>
      </w:r>
      <w:r w:rsidR="006C1ADB" w:rsidRPr="00D75D2E">
        <w:rPr>
          <w:rFonts w:ascii="Times New Roman" w:hAnsi="Times New Roman"/>
          <w:sz w:val="24"/>
          <w:szCs w:val="24"/>
        </w:rPr>
        <w:t>, VBG</w:t>
      </w:r>
      <w:r w:rsidRPr="00D75D2E">
        <w:rPr>
          <w:rFonts w:ascii="Times New Roman" w:hAnsi="Times New Roman"/>
          <w:sz w:val="24"/>
          <w:szCs w:val="24"/>
        </w:rPr>
        <w:t xml:space="preserve"> et COVID 19</w:t>
      </w:r>
      <w:r w:rsidRPr="00D75D2E">
        <w:rPr>
          <w:rFonts w:ascii="Times New Roman" w:hAnsi="Times New Roman"/>
          <w:iCs/>
          <w:sz w:val="24"/>
          <w:szCs w:val="24"/>
        </w:rPr>
        <w:t>.</w:t>
      </w:r>
    </w:p>
    <w:p w14:paraId="56CC2221" w14:textId="3DF228AA"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Action à mettre dans le PEES</w:t>
      </w:r>
    </w:p>
    <w:p w14:paraId="70463795" w14:textId="71412DA8" w:rsidR="00D75D2E" w:rsidRPr="00D75D2E" w:rsidRDefault="00D75D2E" w:rsidP="00E737B4">
      <w:pPr>
        <w:suppressAutoHyphens/>
        <w:spacing w:before="120" w:after="120" w:line="240" w:lineRule="auto"/>
        <w:ind w:left="284"/>
        <w:rPr>
          <w:rFonts w:ascii="Times New Roman" w:hAnsi="Times New Roman"/>
          <w:bCs/>
          <w:iCs/>
          <w:sz w:val="24"/>
          <w:szCs w:val="24"/>
          <w:lang w:val="fr-CA"/>
        </w:rPr>
      </w:pPr>
      <w:r w:rsidRPr="00D75D2E">
        <w:rPr>
          <w:rFonts w:ascii="Times New Roman" w:hAnsi="Times New Roman"/>
          <w:bCs/>
          <w:iCs/>
          <w:sz w:val="24"/>
          <w:szCs w:val="24"/>
          <w:lang w:val="fr-CA"/>
        </w:rPr>
        <w:t xml:space="preserve">Il sera intégré </w:t>
      </w:r>
      <w:r w:rsidRPr="00E737B4">
        <w:rPr>
          <w:rFonts w:ascii="Times New Roman" w:eastAsia="Arial Unicode MS" w:hAnsi="Times New Roman"/>
          <w:sz w:val="24"/>
          <w:szCs w:val="24"/>
          <w:lang w:val="fr-CA" w:eastAsia="fr-FR"/>
        </w:rPr>
        <w:t>dans</w:t>
      </w:r>
      <w:r w:rsidRPr="00D75D2E">
        <w:rPr>
          <w:rFonts w:ascii="Times New Roman" w:hAnsi="Times New Roman"/>
          <w:bCs/>
          <w:iCs/>
          <w:sz w:val="24"/>
          <w:szCs w:val="24"/>
          <w:lang w:val="fr-CA"/>
        </w:rPr>
        <w:t xml:space="preserve"> le PEES </w:t>
      </w:r>
      <w:r w:rsidR="001D5564">
        <w:rPr>
          <w:rFonts w:ascii="Times New Roman" w:hAnsi="Times New Roman"/>
          <w:bCs/>
          <w:iCs/>
          <w:sz w:val="24"/>
          <w:szCs w:val="24"/>
          <w:lang w:val="fr-CA"/>
        </w:rPr>
        <w:t xml:space="preserve"> </w:t>
      </w:r>
      <w:r w:rsidRPr="00D75D2E">
        <w:rPr>
          <w:rFonts w:ascii="Times New Roman" w:hAnsi="Times New Roman"/>
          <w:bCs/>
          <w:iCs/>
          <w:sz w:val="24"/>
          <w:szCs w:val="24"/>
          <w:lang w:val="fr-CA"/>
        </w:rPr>
        <w:t>que :</w:t>
      </w:r>
    </w:p>
    <w:p w14:paraId="50CF4909" w14:textId="77777777" w:rsidR="00D75D2E" w:rsidRPr="001E0B8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bCs/>
          <w:iCs/>
          <w:sz w:val="24"/>
          <w:szCs w:val="24"/>
          <w:lang w:val="fr-CA"/>
        </w:rPr>
        <w:t xml:space="preserve">l’Unité </w:t>
      </w:r>
      <w:r w:rsidRPr="00E737B4">
        <w:rPr>
          <w:rFonts w:ascii="Times New Roman" w:hAnsi="Times New Roman"/>
          <w:iCs/>
          <w:sz w:val="24"/>
          <w:szCs w:val="24"/>
        </w:rPr>
        <w:t>d’Exécution du Projet donnera l’ordre de démarrage des travaux à condition que les documents environnementaux et sociaux essentiels de l’entreprise contractée (PGES chantier, Plan</w:t>
      </w:r>
      <w:r w:rsidRPr="001E0B8A">
        <w:rPr>
          <w:rFonts w:ascii="Times New Roman" w:hAnsi="Times New Roman"/>
          <w:iCs/>
          <w:sz w:val="24"/>
          <w:szCs w:val="24"/>
        </w:rPr>
        <w:t xml:space="preserve"> d’Assurance Environnement (PAE), Plan Particulier de Gestion et d’Elimination des Déchets (PPGED), Plan Particulier de Sécurité et de Protection de la Santé (PPSPS</w:t>
      </w:r>
      <w:r w:rsidRPr="00E737B4">
        <w:rPr>
          <w:rFonts w:ascii="Times New Roman" w:hAnsi="Times New Roman"/>
          <w:iCs/>
          <w:sz w:val="24"/>
          <w:szCs w:val="24"/>
        </w:rPr>
        <w:t>), le Mécanisme de Gestion des Plaintes de l’Employeur (MGPE) ne soient approuvés et intégrés dans le planning global des travaux;</w:t>
      </w:r>
    </w:p>
    <w:p w14:paraId="42B6A9A5" w14:textId="568F5C0D" w:rsidR="00FE0258" w:rsidRDefault="00D75D2E" w:rsidP="00AE31F1">
      <w:pPr>
        <w:numPr>
          <w:ilvl w:val="0"/>
          <w:numId w:val="19"/>
        </w:numPr>
        <w:suppressAutoHyphens/>
        <w:spacing w:after="120" w:line="240" w:lineRule="auto"/>
        <w:ind w:left="641" w:hanging="357"/>
        <w:contextualSpacing/>
        <w:jc w:val="both"/>
        <w:rPr>
          <w:rFonts w:ascii="Times New Roman" w:hAnsi="Times New Roman"/>
          <w:iCs/>
          <w:sz w:val="24"/>
          <w:szCs w:val="24"/>
        </w:rPr>
      </w:pPr>
      <w:r w:rsidRPr="00E737B4">
        <w:rPr>
          <w:rFonts w:ascii="Times New Roman" w:hAnsi="Times New Roman"/>
          <w:iCs/>
          <w:sz w:val="24"/>
          <w:szCs w:val="24"/>
        </w:rPr>
        <w:t>le budget du présent PGES sera mobilisé et effectivement mis en œuvre</w:t>
      </w:r>
      <w:r w:rsidR="00F80460">
        <w:rPr>
          <w:rFonts w:ascii="Times New Roman" w:hAnsi="Times New Roman"/>
          <w:iCs/>
          <w:sz w:val="24"/>
          <w:szCs w:val="24"/>
        </w:rPr>
        <w:t xml:space="preserve"> </w:t>
      </w:r>
      <w:r w:rsidRPr="00E737B4">
        <w:rPr>
          <w:rFonts w:ascii="Times New Roman" w:hAnsi="Times New Roman"/>
          <w:iCs/>
          <w:sz w:val="24"/>
          <w:szCs w:val="24"/>
        </w:rPr>
        <w:t>;</w:t>
      </w:r>
      <w:r w:rsidR="008C1316">
        <w:rPr>
          <w:rFonts w:ascii="Times New Roman" w:hAnsi="Times New Roman"/>
          <w:iCs/>
          <w:sz w:val="24"/>
          <w:szCs w:val="24"/>
        </w:rPr>
        <w:t xml:space="preserve"> </w:t>
      </w:r>
      <w:r w:rsidRPr="001105B8">
        <w:rPr>
          <w:rFonts w:ascii="Times New Roman" w:hAnsi="Times New Roman"/>
          <w:iCs/>
          <w:sz w:val="24"/>
          <w:szCs w:val="24"/>
        </w:rPr>
        <w:t>le Plan d’Action de Réinstallation</w:t>
      </w:r>
      <w:r w:rsidRPr="001105B8">
        <w:rPr>
          <w:rFonts w:ascii="Times New Roman" w:hAnsi="Times New Roman"/>
          <w:bCs/>
          <w:iCs/>
          <w:sz w:val="24"/>
          <w:szCs w:val="24"/>
          <w:lang w:val="fr-CA"/>
        </w:rPr>
        <w:t xml:space="preserve"> sera élaboré et mis en œuvre avant le démarrage des travaux.</w:t>
      </w:r>
      <w:r w:rsidR="001105B8">
        <w:rPr>
          <w:rFonts w:ascii="Times New Roman" w:hAnsi="Times New Roman"/>
          <w:bCs/>
          <w:iCs/>
          <w:sz w:val="24"/>
          <w:szCs w:val="24"/>
          <w:lang w:val="fr-CA"/>
        </w:rPr>
        <w:t xml:space="preserve"> </w:t>
      </w:r>
      <w:r w:rsidR="001105B8" w:rsidRPr="00957AD8">
        <w:rPr>
          <w:rFonts w:ascii="Times New Roman" w:hAnsi="Times New Roman"/>
          <w:bCs/>
          <w:iCs/>
          <w:sz w:val="24"/>
          <w:szCs w:val="24"/>
          <w:lang w:val="fr-CA"/>
        </w:rPr>
        <w:t>L’Unité</w:t>
      </w:r>
      <w:r w:rsidR="007F556A" w:rsidRPr="00957AD8">
        <w:rPr>
          <w:rFonts w:ascii="Times New Roman" w:hAnsi="Times New Roman"/>
          <w:bCs/>
          <w:iCs/>
          <w:sz w:val="24"/>
          <w:szCs w:val="24"/>
          <w:lang w:val="fr-CA"/>
        </w:rPr>
        <w:t xml:space="preserve"> </w:t>
      </w:r>
      <w:r w:rsidR="007F556A" w:rsidRPr="004301C0">
        <w:rPr>
          <w:rFonts w:ascii="Times New Roman" w:hAnsi="Times New Roman"/>
          <w:iCs/>
          <w:sz w:val="24"/>
          <w:szCs w:val="24"/>
        </w:rPr>
        <w:t>d’Exécution du Projet</w:t>
      </w:r>
      <w:r w:rsidR="00AC2F32" w:rsidRPr="00396D55">
        <w:rPr>
          <w:rFonts w:ascii="Times New Roman" w:hAnsi="Times New Roman"/>
          <w:iCs/>
          <w:sz w:val="24"/>
          <w:szCs w:val="24"/>
        </w:rPr>
        <w:t xml:space="preserve"> </w:t>
      </w:r>
      <w:r w:rsidR="00427474" w:rsidRPr="00221028">
        <w:rPr>
          <w:rFonts w:ascii="Times New Roman" w:hAnsi="Times New Roman"/>
          <w:iCs/>
          <w:sz w:val="24"/>
          <w:szCs w:val="24"/>
        </w:rPr>
        <w:t>s</w:t>
      </w:r>
      <w:r w:rsidR="00427474" w:rsidRPr="00777EE5">
        <w:rPr>
          <w:rFonts w:ascii="Times New Roman" w:hAnsi="Times New Roman"/>
          <w:iCs/>
          <w:sz w:val="24"/>
          <w:szCs w:val="24"/>
        </w:rPr>
        <w:t>’</w:t>
      </w:r>
      <w:r w:rsidR="00427474" w:rsidRPr="005D41BB">
        <w:rPr>
          <w:rFonts w:ascii="Times New Roman" w:hAnsi="Times New Roman"/>
          <w:iCs/>
          <w:sz w:val="24"/>
          <w:szCs w:val="24"/>
        </w:rPr>
        <w:t>assurer</w:t>
      </w:r>
      <w:r w:rsidR="00427474" w:rsidRPr="00957AD8">
        <w:rPr>
          <w:rFonts w:ascii="Times New Roman" w:hAnsi="Times New Roman"/>
          <w:iCs/>
          <w:sz w:val="24"/>
          <w:szCs w:val="24"/>
        </w:rPr>
        <w:t>a</w:t>
      </w:r>
      <w:r w:rsidR="00AC2F32" w:rsidRPr="00957AD8">
        <w:rPr>
          <w:rFonts w:ascii="Times New Roman" w:hAnsi="Times New Roman"/>
          <w:iCs/>
          <w:sz w:val="24"/>
          <w:szCs w:val="24"/>
        </w:rPr>
        <w:t xml:space="preserve"> que les mécanismes et procédures pour l'information et la consultation </w:t>
      </w:r>
      <w:r w:rsidR="00D8156A">
        <w:rPr>
          <w:rFonts w:ascii="Times New Roman" w:hAnsi="Times New Roman"/>
          <w:iCs/>
          <w:sz w:val="24"/>
          <w:szCs w:val="24"/>
        </w:rPr>
        <w:t xml:space="preserve">des parties prenantes </w:t>
      </w:r>
      <w:r w:rsidR="00AC2F32" w:rsidRPr="00957AD8">
        <w:rPr>
          <w:rFonts w:ascii="Times New Roman" w:hAnsi="Times New Roman"/>
          <w:iCs/>
          <w:sz w:val="24"/>
          <w:szCs w:val="24"/>
        </w:rPr>
        <w:t xml:space="preserve"> </w:t>
      </w:r>
      <w:r w:rsidR="00EF4E7C" w:rsidRPr="00957AD8">
        <w:rPr>
          <w:rFonts w:ascii="Times New Roman" w:hAnsi="Times New Roman"/>
          <w:iCs/>
          <w:sz w:val="24"/>
          <w:szCs w:val="24"/>
        </w:rPr>
        <w:t xml:space="preserve">sont </w:t>
      </w:r>
      <w:r w:rsidR="007C721D" w:rsidRPr="00957AD8">
        <w:rPr>
          <w:rFonts w:ascii="Times New Roman" w:hAnsi="Times New Roman"/>
          <w:iCs/>
          <w:sz w:val="24"/>
          <w:szCs w:val="24"/>
        </w:rPr>
        <w:t xml:space="preserve">fonctionnels </w:t>
      </w:r>
      <w:r w:rsidR="00BC76C0" w:rsidRPr="00957AD8">
        <w:rPr>
          <w:rFonts w:ascii="Times New Roman" w:hAnsi="Times New Roman"/>
          <w:iCs/>
          <w:sz w:val="24"/>
          <w:szCs w:val="24"/>
        </w:rPr>
        <w:t xml:space="preserve">et permettent la </w:t>
      </w:r>
      <w:r w:rsidR="00AC2F32" w:rsidRPr="00957AD8">
        <w:rPr>
          <w:rFonts w:ascii="Times New Roman" w:hAnsi="Times New Roman"/>
          <w:iCs/>
          <w:sz w:val="24"/>
          <w:szCs w:val="24"/>
        </w:rPr>
        <w:t>connaissance</w:t>
      </w:r>
      <w:r w:rsidR="00BC76C0" w:rsidRPr="00957AD8">
        <w:rPr>
          <w:rFonts w:ascii="Times New Roman" w:hAnsi="Times New Roman"/>
          <w:iCs/>
          <w:sz w:val="24"/>
          <w:szCs w:val="24"/>
        </w:rPr>
        <w:t xml:space="preserve"> de </w:t>
      </w:r>
      <w:r w:rsidR="00AC2F32" w:rsidRPr="00957AD8">
        <w:rPr>
          <w:rFonts w:ascii="Times New Roman" w:hAnsi="Times New Roman"/>
          <w:iCs/>
          <w:sz w:val="24"/>
          <w:szCs w:val="24"/>
        </w:rPr>
        <w:t xml:space="preserve">l’environnement des zones d’intervention du Projet </w:t>
      </w:r>
      <w:r w:rsidR="00BC76C0" w:rsidRPr="00957AD8">
        <w:rPr>
          <w:rFonts w:ascii="Times New Roman" w:hAnsi="Times New Roman"/>
          <w:iCs/>
          <w:sz w:val="24"/>
          <w:szCs w:val="24"/>
        </w:rPr>
        <w:t xml:space="preserve">ainsi que </w:t>
      </w:r>
      <w:r w:rsidR="00297D18" w:rsidRPr="00957AD8">
        <w:rPr>
          <w:rFonts w:ascii="Times New Roman" w:hAnsi="Times New Roman"/>
          <w:iCs/>
          <w:sz w:val="24"/>
          <w:szCs w:val="24"/>
        </w:rPr>
        <w:t xml:space="preserve">son </w:t>
      </w:r>
      <w:r w:rsidR="00AC2F32" w:rsidRPr="00957AD8">
        <w:rPr>
          <w:rFonts w:ascii="Times New Roman" w:hAnsi="Times New Roman"/>
          <w:iCs/>
          <w:sz w:val="24"/>
          <w:szCs w:val="24"/>
        </w:rPr>
        <w:t xml:space="preserve">acceptabilité sociale. </w:t>
      </w:r>
      <w:r w:rsidR="00FE0258" w:rsidRPr="00AE31F1">
        <w:rPr>
          <w:rFonts w:ascii="Times New Roman" w:hAnsi="Times New Roman"/>
          <w:iCs/>
          <w:sz w:val="24"/>
          <w:szCs w:val="24"/>
        </w:rPr>
        <w:t>L</w:t>
      </w:r>
      <w:r w:rsidR="00DC6890">
        <w:rPr>
          <w:rFonts w:ascii="Times New Roman" w:hAnsi="Times New Roman"/>
          <w:iCs/>
          <w:sz w:val="24"/>
          <w:szCs w:val="24"/>
        </w:rPr>
        <w:t xml:space="preserve">es parties prenantes au projet et le </w:t>
      </w:r>
      <w:r w:rsidR="00FE0258">
        <w:rPr>
          <w:rFonts w:ascii="Times New Roman" w:hAnsi="Times New Roman"/>
          <w:iCs/>
          <w:sz w:val="24"/>
          <w:szCs w:val="24"/>
        </w:rPr>
        <w:t xml:space="preserve">personnel du projet sont formés </w:t>
      </w:r>
      <w:r w:rsidR="00DC6890">
        <w:rPr>
          <w:rFonts w:ascii="Times New Roman" w:hAnsi="Times New Roman"/>
          <w:iCs/>
          <w:sz w:val="24"/>
          <w:szCs w:val="24"/>
        </w:rPr>
        <w:t xml:space="preserve">en matière de gestion des risques environnementaux et sociaux et du nouveau cadre environnemental et social de la Banque </w:t>
      </w:r>
      <w:r w:rsidR="00FE0258" w:rsidRPr="00AE31F1">
        <w:rPr>
          <w:rFonts w:ascii="Times New Roman" w:hAnsi="Times New Roman"/>
          <w:iCs/>
          <w:sz w:val="24"/>
          <w:szCs w:val="24"/>
        </w:rPr>
        <w:t>;</w:t>
      </w:r>
    </w:p>
    <w:p w14:paraId="22D10A10" w14:textId="028220BC" w:rsidR="00FC3322" w:rsidRDefault="00FC3322" w:rsidP="00AE31F1">
      <w:pPr>
        <w:numPr>
          <w:ilvl w:val="0"/>
          <w:numId w:val="19"/>
        </w:numPr>
        <w:suppressAutoHyphens/>
        <w:spacing w:after="120" w:line="240" w:lineRule="auto"/>
        <w:ind w:left="641" w:hanging="357"/>
        <w:contextualSpacing/>
        <w:jc w:val="both"/>
        <w:rPr>
          <w:rFonts w:ascii="Times New Roman" w:hAnsi="Times New Roman"/>
          <w:iCs/>
          <w:sz w:val="24"/>
          <w:szCs w:val="24"/>
        </w:rPr>
      </w:pPr>
      <w:r>
        <w:rPr>
          <w:rFonts w:ascii="Times New Roman" w:hAnsi="Times New Roman"/>
          <w:iCs/>
          <w:sz w:val="24"/>
          <w:szCs w:val="24"/>
        </w:rPr>
        <w:t>Un état de lieu des sites d’emprunt des matériaux</w:t>
      </w:r>
      <w:r w:rsidR="001D5564">
        <w:rPr>
          <w:rFonts w:ascii="Times New Roman" w:hAnsi="Times New Roman"/>
          <w:iCs/>
          <w:sz w:val="24"/>
          <w:szCs w:val="24"/>
        </w:rPr>
        <w:t xml:space="preserve"> et des bases vies </w:t>
      </w:r>
      <w:r>
        <w:rPr>
          <w:rFonts w:ascii="Times New Roman" w:hAnsi="Times New Roman"/>
          <w:iCs/>
          <w:sz w:val="24"/>
          <w:szCs w:val="24"/>
        </w:rPr>
        <w:t xml:space="preserve"> est établi avant le démarrage des travaux et les non-conformités environnementales et sociales comblées</w:t>
      </w:r>
      <w:r w:rsidR="001D5564">
        <w:rPr>
          <w:rFonts w:ascii="Times New Roman" w:hAnsi="Times New Roman"/>
          <w:iCs/>
          <w:sz w:val="24"/>
          <w:szCs w:val="24"/>
        </w:rPr>
        <w:t xml:space="preserve"> en mettant en œuvre un PGES ou une EIES simplifiée ou éventuellement un PAR </w:t>
      </w:r>
      <w:r>
        <w:rPr>
          <w:rFonts w:ascii="Times New Roman" w:hAnsi="Times New Roman"/>
          <w:iCs/>
          <w:sz w:val="24"/>
          <w:szCs w:val="24"/>
        </w:rPr>
        <w:t xml:space="preserve"> </w:t>
      </w:r>
      <w:r w:rsidR="001D5564">
        <w:rPr>
          <w:rFonts w:ascii="Times New Roman" w:hAnsi="Times New Roman"/>
          <w:iCs/>
          <w:sz w:val="24"/>
          <w:szCs w:val="24"/>
        </w:rPr>
        <w:t>pour les sites d’emprunt et les bases vie</w:t>
      </w:r>
    </w:p>
    <w:p w14:paraId="63680CE0" w14:textId="243F06E2" w:rsidR="00FC3322" w:rsidRDefault="00FC3322">
      <w:pPr>
        <w:numPr>
          <w:ilvl w:val="0"/>
          <w:numId w:val="19"/>
        </w:numPr>
        <w:suppressAutoHyphens/>
        <w:spacing w:after="120" w:line="240" w:lineRule="auto"/>
        <w:ind w:left="641" w:hanging="357"/>
        <w:contextualSpacing/>
        <w:jc w:val="both"/>
        <w:rPr>
          <w:rFonts w:ascii="Times New Roman" w:hAnsi="Times New Roman"/>
          <w:iCs/>
          <w:sz w:val="24"/>
          <w:szCs w:val="24"/>
        </w:rPr>
      </w:pPr>
      <w:r>
        <w:rPr>
          <w:rFonts w:ascii="Times New Roman" w:hAnsi="Times New Roman"/>
          <w:iCs/>
          <w:sz w:val="24"/>
          <w:szCs w:val="24"/>
        </w:rPr>
        <w:t xml:space="preserve">L’ensemble des sites d’emprunts des matériaux utilisés pour des fins des travaux sont réhabilités. </w:t>
      </w:r>
    </w:p>
    <w:p w14:paraId="11F28E4B" w14:textId="7C596B0E" w:rsidR="001D5564" w:rsidRDefault="00430472" w:rsidP="001D5564">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L’entreprise </w:t>
      </w:r>
      <w:r w:rsidR="001D5564">
        <w:rPr>
          <w:rFonts w:ascii="Times New Roman" w:hAnsi="Times New Roman"/>
          <w:sz w:val="24"/>
          <w:szCs w:val="24"/>
        </w:rPr>
        <w:t>prépar</w:t>
      </w:r>
      <w:r>
        <w:rPr>
          <w:rFonts w:ascii="Times New Roman" w:hAnsi="Times New Roman"/>
          <w:sz w:val="24"/>
          <w:szCs w:val="24"/>
        </w:rPr>
        <w:t xml:space="preserve">era </w:t>
      </w:r>
      <w:r w:rsidR="001D5564">
        <w:rPr>
          <w:rFonts w:ascii="Times New Roman" w:hAnsi="Times New Roman"/>
          <w:sz w:val="24"/>
          <w:szCs w:val="24"/>
        </w:rPr>
        <w:t xml:space="preserve">et </w:t>
      </w:r>
      <w:r>
        <w:rPr>
          <w:rFonts w:ascii="Times New Roman" w:hAnsi="Times New Roman"/>
          <w:sz w:val="24"/>
          <w:szCs w:val="24"/>
        </w:rPr>
        <w:t xml:space="preserve">mettra </w:t>
      </w:r>
      <w:r w:rsidR="001D5564">
        <w:rPr>
          <w:rFonts w:ascii="Times New Roman" w:hAnsi="Times New Roman"/>
          <w:sz w:val="24"/>
          <w:szCs w:val="24"/>
        </w:rPr>
        <w:t xml:space="preserve"> en œuvre </w:t>
      </w:r>
      <w:r>
        <w:rPr>
          <w:rFonts w:ascii="Times New Roman" w:hAnsi="Times New Roman"/>
          <w:sz w:val="24"/>
          <w:szCs w:val="24"/>
        </w:rPr>
        <w:t xml:space="preserve">d’un </w:t>
      </w:r>
      <w:r w:rsidR="001D5564">
        <w:rPr>
          <w:rFonts w:ascii="Times New Roman" w:hAnsi="Times New Roman"/>
          <w:sz w:val="24"/>
          <w:szCs w:val="24"/>
        </w:rPr>
        <w:t xml:space="preserve"> plan de </w:t>
      </w:r>
      <w:r>
        <w:rPr>
          <w:rFonts w:ascii="Times New Roman" w:hAnsi="Times New Roman"/>
          <w:sz w:val="24"/>
          <w:szCs w:val="24"/>
        </w:rPr>
        <w:t>gestion</w:t>
      </w:r>
      <w:r w:rsidR="001D5564">
        <w:rPr>
          <w:rFonts w:ascii="Times New Roman" w:hAnsi="Times New Roman"/>
          <w:sz w:val="24"/>
          <w:szCs w:val="24"/>
        </w:rPr>
        <w:t xml:space="preserve"> de la main d’œuvre (PGMO) en s’inspirant au PGMO du projet</w:t>
      </w:r>
      <w:r>
        <w:rPr>
          <w:rFonts w:ascii="Times New Roman" w:hAnsi="Times New Roman"/>
          <w:sz w:val="24"/>
          <w:szCs w:val="24"/>
        </w:rPr>
        <w:t> ;</w:t>
      </w:r>
    </w:p>
    <w:p w14:paraId="36C9BC3D" w14:textId="60C7E521" w:rsidR="00430472" w:rsidRDefault="00430472" w:rsidP="001D5564">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un plan d’IEC (Information – Education – Communication) sur le travail des enfants et les EAS/HS ;</w:t>
      </w:r>
    </w:p>
    <w:p w14:paraId="6306933E" w14:textId="1E9211D6" w:rsidR="00430472" w:rsidRPr="00D75D2E" w:rsidRDefault="009F5D34" w:rsidP="001D5564">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va élaborer et mettre en œuvre un Plan de Gestion du Trafic ou de Sécurité Routière.</w:t>
      </w:r>
    </w:p>
    <w:p w14:paraId="609FC244" w14:textId="77777777" w:rsidR="009F5D34" w:rsidRPr="009F5D34" w:rsidRDefault="009F5D34" w:rsidP="009F5D34">
      <w:pPr>
        <w:pStyle w:val="Paragraphedeliste"/>
        <w:numPr>
          <w:ilvl w:val="0"/>
          <w:numId w:val="19"/>
        </w:numPr>
        <w:suppressAutoHyphens/>
        <w:spacing w:before="120" w:after="120" w:line="240" w:lineRule="auto"/>
        <w:jc w:val="both"/>
        <w:rPr>
          <w:rFonts w:ascii="Times New Roman" w:eastAsia="Times New Roman" w:hAnsi="Times New Roman"/>
          <w:sz w:val="24"/>
          <w:szCs w:val="24"/>
        </w:rPr>
      </w:pPr>
      <w:r w:rsidRPr="009F5D34">
        <w:rPr>
          <w:rFonts w:ascii="Times New Roman" w:eastAsia="Times New Roman" w:hAnsi="Times New Roman"/>
          <w:sz w:val="24"/>
          <w:szCs w:val="24"/>
        </w:rPr>
        <w:t>Les entreprises et la mission de contrôle devront développer un mécanisme de feedback communautaires adaptés aux plaintes d’EAS/HS.</w:t>
      </w:r>
    </w:p>
    <w:p w14:paraId="3163C16D" w14:textId="77777777"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 xml:space="preserve"> Indicateurs essentiels de performance</w:t>
      </w:r>
    </w:p>
    <w:p w14:paraId="5B0049AA" w14:textId="77777777" w:rsidR="00D75D2E" w:rsidRPr="00D75D2E" w:rsidRDefault="00D75D2E" w:rsidP="00E737B4">
      <w:pPr>
        <w:suppressAutoHyphens/>
        <w:spacing w:before="120" w:after="120" w:line="240" w:lineRule="auto"/>
        <w:ind w:left="284"/>
        <w:rPr>
          <w:rFonts w:ascii="Times New Roman" w:hAnsi="Times New Roman"/>
          <w:sz w:val="24"/>
          <w:szCs w:val="24"/>
        </w:rPr>
      </w:pPr>
      <w:r w:rsidRPr="00D75D2E">
        <w:rPr>
          <w:rFonts w:ascii="Times New Roman" w:hAnsi="Times New Roman"/>
          <w:sz w:val="24"/>
          <w:szCs w:val="24"/>
        </w:rPr>
        <w:t xml:space="preserve">Les </w:t>
      </w:r>
      <w:r w:rsidRPr="00E737B4">
        <w:rPr>
          <w:rFonts w:ascii="Times New Roman" w:hAnsi="Times New Roman"/>
          <w:bCs/>
          <w:iCs/>
          <w:sz w:val="24"/>
          <w:szCs w:val="24"/>
          <w:lang w:val="fr-CA"/>
        </w:rPr>
        <w:t>indicateurs</w:t>
      </w:r>
      <w:r w:rsidRPr="00D75D2E">
        <w:rPr>
          <w:rFonts w:ascii="Times New Roman" w:hAnsi="Times New Roman"/>
          <w:sz w:val="24"/>
          <w:szCs w:val="24"/>
        </w:rPr>
        <w:t xml:space="preserve"> essentiels à considérer en vue d’évaluer la performance environnementale et sociale du projet sont :</w:t>
      </w:r>
    </w:p>
    <w:p w14:paraId="3516DB25"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100%</w:t>
      </w:r>
      <w:r w:rsidRPr="00D75D2E">
        <w:rPr>
          <w:rFonts w:ascii="Times New Roman" w:hAnsi="Times New Roman"/>
          <w:iCs/>
          <w:sz w:val="24"/>
          <w:szCs w:val="24"/>
        </w:rPr>
        <w:t xml:space="preserve"> de plaintes enregistrées sont traitées ;</w:t>
      </w:r>
    </w:p>
    <w:p w14:paraId="48E1F2DB"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80% de réussite des plants mis en terre pour le reboisement compensatoire et antiérosif ;</w:t>
      </w:r>
    </w:p>
    <w:p w14:paraId="1F2EA24A"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des </w:t>
      </w:r>
      <w:r w:rsidRPr="00D75D2E">
        <w:rPr>
          <w:rFonts w:ascii="Times New Roman" w:hAnsi="Times New Roman"/>
          <w:iCs/>
          <w:sz w:val="24"/>
          <w:szCs w:val="24"/>
        </w:rPr>
        <w:t>ouvriers respectent le port d’EPI ;</w:t>
      </w:r>
    </w:p>
    <w:p w14:paraId="5B14A57B"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sidRPr="00D75D2E">
        <w:rPr>
          <w:rFonts w:ascii="Times New Roman" w:hAnsi="Times New Roman"/>
          <w:iCs/>
          <w:sz w:val="24"/>
          <w:szCs w:val="24"/>
        </w:rPr>
        <w:t>de séances d’IEC prévues sont réalisées en fonction des cibles ;</w:t>
      </w:r>
    </w:p>
    <w:p w14:paraId="421D4D27"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100% des personnes accidentées enre</w:t>
      </w:r>
      <w:r w:rsidRPr="00D75D2E">
        <w:rPr>
          <w:rFonts w:ascii="Times New Roman" w:hAnsi="Times New Roman"/>
          <w:iCs/>
          <w:sz w:val="24"/>
          <w:szCs w:val="24"/>
        </w:rPr>
        <w:t>gistrées sont prises en charge ;</w:t>
      </w:r>
    </w:p>
    <w:p w14:paraId="7925B977"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sidRPr="00D75D2E">
        <w:rPr>
          <w:rFonts w:ascii="Times New Roman" w:hAnsi="Times New Roman"/>
          <w:iCs/>
          <w:sz w:val="24"/>
          <w:szCs w:val="24"/>
        </w:rPr>
        <w:t>des personnes vulnérables ayant fait l’objet d’abus sexuels par le personnel de l’entreprise sont identifiées et prises en charge ;</w:t>
      </w:r>
    </w:p>
    <w:p w14:paraId="37490470"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sidRPr="00D75D2E">
        <w:rPr>
          <w:rFonts w:ascii="Times New Roman" w:hAnsi="Times New Roman"/>
          <w:iCs/>
          <w:sz w:val="24"/>
          <w:szCs w:val="24"/>
        </w:rPr>
        <w:t>de bacs de collecte des déchets prévus sont mis en place</w:t>
      </w:r>
    </w:p>
    <w:p w14:paraId="073C206C"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des sites </w:t>
      </w:r>
      <w:r w:rsidRPr="00D75D2E">
        <w:rPr>
          <w:rFonts w:ascii="Times New Roman" w:hAnsi="Times New Roman"/>
          <w:iCs/>
          <w:sz w:val="24"/>
          <w:szCs w:val="24"/>
        </w:rPr>
        <w:t>d’emprunt sont réhabilités,</w:t>
      </w:r>
    </w:p>
    <w:p w14:paraId="28B479A5"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100% des</w:t>
      </w:r>
      <w:r w:rsidRPr="00D75D2E">
        <w:rPr>
          <w:rFonts w:ascii="Times New Roman" w:hAnsi="Times New Roman"/>
          <w:iCs/>
          <w:sz w:val="24"/>
          <w:szCs w:val="24"/>
        </w:rPr>
        <w:t xml:space="preserve"> PAP sont indemnisées,</w:t>
      </w:r>
    </w:p>
    <w:p w14:paraId="2EAB8170" w14:textId="77777777" w:rsidR="00D75D2E"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100% des PAP choisies de façon aléatoire apprécient positivement le mécanisme</w:t>
      </w:r>
      <w:r w:rsidRPr="00E737B4">
        <w:rPr>
          <w:rFonts w:ascii="Times New Roman" w:hAnsi="Times New Roman"/>
          <w:iCs/>
          <w:sz w:val="24"/>
          <w:szCs w:val="24"/>
        </w:rPr>
        <w:t xml:space="preserve"> de gestion des plaintes.</w:t>
      </w:r>
    </w:p>
    <w:p w14:paraId="04917F02" w14:textId="03AD8A77"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 xml:space="preserve"> Mécanisme de gestion des plaintes </w:t>
      </w:r>
      <w:r w:rsidR="001105B8">
        <w:rPr>
          <w:rFonts w:ascii="Times New Roman" w:hAnsi="Times New Roman"/>
          <w:b/>
          <w:sz w:val="24"/>
          <w:szCs w:val="24"/>
          <w:u w:val="single"/>
        </w:rPr>
        <w:t>sensible à l’EAS/HS</w:t>
      </w:r>
    </w:p>
    <w:p w14:paraId="5CC2109E" w14:textId="77777777" w:rsidR="00D75D2E" w:rsidRPr="00D75D2E" w:rsidRDefault="00D75D2E" w:rsidP="00E737B4">
      <w:pPr>
        <w:suppressAutoHyphens/>
        <w:spacing w:before="120" w:after="120" w:line="240" w:lineRule="auto"/>
        <w:ind w:left="284"/>
        <w:jc w:val="both"/>
        <w:rPr>
          <w:rFonts w:ascii="Times New Roman" w:hAnsi="Times New Roman"/>
          <w:sz w:val="24"/>
          <w:szCs w:val="24"/>
        </w:rPr>
      </w:pPr>
      <w:bookmarkStart w:id="37" w:name="_Hlk33373433"/>
      <w:r w:rsidRPr="00D75D2E">
        <w:rPr>
          <w:rFonts w:ascii="Times New Roman" w:hAnsi="Times New Roman"/>
          <w:sz w:val="24"/>
          <w:szCs w:val="24"/>
        </w:rPr>
        <w:t>Dans le cadre des travaux d’</w:t>
      </w:r>
      <w:r w:rsidR="0044616B">
        <w:rPr>
          <w:rFonts w:ascii="Times New Roman" w:hAnsi="Times New Roman"/>
          <w:sz w:val="24"/>
          <w:szCs w:val="24"/>
        </w:rPr>
        <w:t>électrification des poches noires, d’assainissement, de réhabilitation et mise en conformité des réseaux SNEL des directions de Kinshasa Centre et Ouest</w:t>
      </w:r>
      <w:r w:rsidRPr="00D75D2E">
        <w:rPr>
          <w:rFonts w:ascii="Times New Roman" w:hAnsi="Times New Roman"/>
          <w:sz w:val="24"/>
          <w:szCs w:val="24"/>
        </w:rPr>
        <w:t xml:space="preserve"> du Projet d’A</w:t>
      </w:r>
      <w:r w:rsidR="00124BDB">
        <w:rPr>
          <w:rFonts w:ascii="Times New Roman" w:hAnsi="Times New Roman"/>
          <w:sz w:val="24"/>
          <w:szCs w:val="24"/>
        </w:rPr>
        <w:t>ccès et d’A</w:t>
      </w:r>
      <w:r w:rsidRPr="00D75D2E">
        <w:rPr>
          <w:rFonts w:ascii="Times New Roman" w:hAnsi="Times New Roman"/>
          <w:sz w:val="24"/>
          <w:szCs w:val="24"/>
        </w:rPr>
        <w:t>mélioration des Services Energétiques (PAASE), il existe déjà un mécanisme de gestion des plaintes mis en place par le projet</w:t>
      </w:r>
      <w:r w:rsidR="00124BDB">
        <w:rPr>
          <w:rFonts w:ascii="Times New Roman" w:hAnsi="Times New Roman"/>
          <w:sz w:val="24"/>
          <w:szCs w:val="24"/>
        </w:rPr>
        <w:t xml:space="preserve">, qui </w:t>
      </w:r>
      <w:r w:rsidRPr="00D75D2E">
        <w:rPr>
          <w:rFonts w:ascii="Times New Roman" w:hAnsi="Times New Roman"/>
          <w:sz w:val="24"/>
          <w:szCs w:val="24"/>
        </w:rPr>
        <w:t>a pour objectifs :</w:t>
      </w:r>
    </w:p>
    <w:p w14:paraId="1C0473A3" w14:textId="77777777" w:rsidR="00D75D2E" w:rsidRPr="00DD0B93"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bCs/>
          <w:sz w:val="24"/>
          <w:szCs w:val="24"/>
        </w:rPr>
        <w:t xml:space="preserve">la résolution des conflits à l’amiable, dont l’objectif est d’établir un dialogue entre le plaignant et le Projet, et de favoriser d’autres voies que l’action en justice afin de permettre aux </w:t>
      </w:r>
      <w:r w:rsidRPr="00DD0B93">
        <w:rPr>
          <w:rFonts w:ascii="Times New Roman" w:hAnsi="Times New Roman"/>
          <w:iCs/>
          <w:sz w:val="24"/>
          <w:szCs w:val="24"/>
        </w:rPr>
        <w:t>plaignants de faire valoir leurs droits. Sauf les cas des incidents VBG qui sont exclus d’une résolution à l’amiable.</w:t>
      </w:r>
    </w:p>
    <w:p w14:paraId="71D4FFD1"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bCs/>
          <w:sz w:val="24"/>
          <w:szCs w:val="24"/>
        </w:rPr>
      </w:pPr>
      <w:r w:rsidRPr="00DD0B93">
        <w:rPr>
          <w:rFonts w:ascii="Times New Roman" w:hAnsi="Times New Roman"/>
          <w:iCs/>
          <w:sz w:val="24"/>
          <w:szCs w:val="24"/>
        </w:rPr>
        <w:t>l’examen de la conformité, dont l’objectif est de s’assurer que le Projet s’est conformé aux politiques appropriées de la</w:t>
      </w:r>
      <w:r w:rsidRPr="00D75D2E">
        <w:rPr>
          <w:rFonts w:ascii="Times New Roman" w:hAnsi="Times New Roman"/>
          <w:bCs/>
          <w:sz w:val="24"/>
          <w:szCs w:val="24"/>
        </w:rPr>
        <w:t xml:space="preserve"> Banque et à la réglementation nationale. </w:t>
      </w:r>
    </w:p>
    <w:p w14:paraId="1366D955" w14:textId="77777777" w:rsidR="00D75D2E" w:rsidRPr="00D75D2E" w:rsidRDefault="00D75D2E" w:rsidP="00E737B4">
      <w:pPr>
        <w:suppressAutoHyphens/>
        <w:spacing w:before="120" w:after="120" w:line="240" w:lineRule="auto"/>
        <w:ind w:left="284"/>
        <w:rPr>
          <w:rFonts w:ascii="Times New Roman" w:hAnsi="Times New Roman"/>
          <w:sz w:val="24"/>
          <w:szCs w:val="24"/>
        </w:rPr>
      </w:pPr>
      <w:r w:rsidRPr="00D75D2E">
        <w:rPr>
          <w:rFonts w:ascii="Times New Roman" w:hAnsi="Times New Roman"/>
          <w:sz w:val="24"/>
          <w:szCs w:val="24"/>
        </w:rPr>
        <w:t xml:space="preserve">De manière spécifique, ce MGP permet de/d’: </w:t>
      </w:r>
    </w:p>
    <w:p w14:paraId="6BAC54A3" w14:textId="77777777" w:rsidR="00D75D2E" w:rsidRPr="00DD0B93"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75D2E">
        <w:rPr>
          <w:rFonts w:ascii="Times New Roman" w:hAnsi="Times New Roman"/>
          <w:bCs/>
          <w:sz w:val="24"/>
          <w:szCs w:val="24"/>
        </w:rPr>
        <w:t xml:space="preserve">éveiller la conscience du public sur le projet et augmenter le niveau d’implication des </w:t>
      </w:r>
      <w:r w:rsidRPr="00DD0B93">
        <w:rPr>
          <w:rFonts w:ascii="Times New Roman" w:hAnsi="Times New Roman"/>
          <w:iCs/>
          <w:sz w:val="24"/>
          <w:szCs w:val="24"/>
        </w:rPr>
        <w:t xml:space="preserve">parties prenantes dans le projet </w:t>
      </w:r>
    </w:p>
    <w:p w14:paraId="4D37EB59" w14:textId="77777777" w:rsidR="00D75D2E" w:rsidRPr="00DD0B93"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D0B93">
        <w:rPr>
          <w:rFonts w:ascii="Times New Roman" w:hAnsi="Times New Roman"/>
          <w:iCs/>
          <w:sz w:val="24"/>
          <w:szCs w:val="24"/>
        </w:rPr>
        <w:t xml:space="preserve">prendre connaissance des problèmes en rapport avec la mise en œuvre du projet et les résoudre avant qu’ils ne dégénèrent  </w:t>
      </w:r>
    </w:p>
    <w:p w14:paraId="754C922A" w14:textId="77777777" w:rsidR="00D75D2E" w:rsidRPr="00DD0B93"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D0B93">
        <w:rPr>
          <w:rFonts w:ascii="Times New Roman" w:hAnsi="Times New Roman"/>
          <w:iCs/>
          <w:sz w:val="24"/>
          <w:szCs w:val="24"/>
        </w:rPr>
        <w:t xml:space="preserve">mettre à la disposition des personnes, des communautés affectées ou de celles qui risqueraient de l’être par les activités du projet, des possibilités de soumettre leurs plaintes au travers d’un mécanisme accessible, rapide, efficace et culturellement adapté </w:t>
      </w:r>
    </w:p>
    <w:p w14:paraId="1590577C" w14:textId="2AB33506" w:rsidR="00D75D2E" w:rsidRPr="00E114C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E114CA">
        <w:rPr>
          <w:rFonts w:ascii="Times New Roman" w:hAnsi="Times New Roman"/>
          <w:iCs/>
          <w:sz w:val="24"/>
          <w:szCs w:val="24"/>
        </w:rPr>
        <w:t xml:space="preserve">prévenir la fraude, la corruption et les incidents de </w:t>
      </w:r>
      <w:r w:rsidR="00D8156A">
        <w:rPr>
          <w:rFonts w:ascii="Times New Roman" w:hAnsi="Times New Roman"/>
          <w:iCs/>
          <w:sz w:val="24"/>
          <w:szCs w:val="24"/>
        </w:rPr>
        <w:t>EAS/HS</w:t>
      </w:r>
      <w:r w:rsidR="00D95E12">
        <w:rPr>
          <w:rFonts w:ascii="Times New Roman" w:hAnsi="Times New Roman"/>
          <w:iCs/>
          <w:sz w:val="24"/>
          <w:szCs w:val="24"/>
        </w:rPr>
        <w:t xml:space="preserve"> </w:t>
      </w:r>
      <w:r w:rsidR="00E044D1">
        <w:rPr>
          <w:rFonts w:ascii="Times New Roman" w:hAnsi="Times New Roman"/>
          <w:iCs/>
          <w:sz w:val="24"/>
          <w:szCs w:val="24"/>
        </w:rPr>
        <w:t>(</w:t>
      </w:r>
      <w:r w:rsidRPr="00E114CA">
        <w:rPr>
          <w:rFonts w:ascii="Times New Roman" w:hAnsi="Times New Roman"/>
          <w:iCs/>
          <w:sz w:val="24"/>
          <w:szCs w:val="24"/>
        </w:rPr>
        <w:t>pendant la mise en œuvre du projet</w:t>
      </w:r>
    </w:p>
    <w:p w14:paraId="5D78FE32" w14:textId="77777777" w:rsidR="00D75D2E" w:rsidRPr="00365C77"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365C77">
        <w:rPr>
          <w:rFonts w:ascii="Times New Roman" w:hAnsi="Times New Roman"/>
          <w:iCs/>
          <w:sz w:val="24"/>
          <w:szCs w:val="24"/>
        </w:rPr>
        <w:t>augmenter l’implication des parties prenantes dans le projet</w:t>
      </w:r>
    </w:p>
    <w:p w14:paraId="05BCAF51"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bCs/>
          <w:sz w:val="24"/>
          <w:szCs w:val="24"/>
        </w:rPr>
      </w:pPr>
      <w:r w:rsidRPr="00D8156A">
        <w:rPr>
          <w:rFonts w:ascii="Times New Roman" w:hAnsi="Times New Roman"/>
          <w:iCs/>
          <w:sz w:val="24"/>
          <w:szCs w:val="24"/>
        </w:rPr>
        <w:t>identifier, proposer et</w:t>
      </w:r>
      <w:r w:rsidRPr="00D8156A">
        <w:rPr>
          <w:rFonts w:ascii="Times New Roman" w:hAnsi="Times New Roman"/>
          <w:bCs/>
          <w:sz w:val="24"/>
          <w:szCs w:val="24"/>
        </w:rPr>
        <w:t xml:space="preserve"> mettre en œuvre des solutions appropriées en réponse aux plaintes déposées.</w:t>
      </w:r>
    </w:p>
    <w:p w14:paraId="329E6029" w14:textId="77777777"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Trois niveau</w:t>
      </w:r>
      <w:r w:rsidR="00CA23FA" w:rsidRPr="00D8156A">
        <w:rPr>
          <w:rFonts w:ascii="Times New Roman" w:hAnsi="Times New Roman"/>
          <w:sz w:val="24"/>
          <w:szCs w:val="24"/>
        </w:rPr>
        <w:t>x</w:t>
      </w:r>
      <w:r w:rsidRPr="00D8156A">
        <w:rPr>
          <w:rFonts w:ascii="Times New Roman" w:hAnsi="Times New Roman"/>
          <w:sz w:val="24"/>
          <w:szCs w:val="24"/>
        </w:rPr>
        <w:t xml:space="preserve"> d’organisation sont mis en exergue dans le MGP. </w:t>
      </w:r>
    </w:p>
    <w:p w14:paraId="00DBE568" w14:textId="77777777"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Le niveau de base est la cellule de gestion des plaintes, le niveau intermédiaire est le comité de gestion des plaintes et le niveau supérieur est à l’échelle du projet.</w:t>
      </w:r>
    </w:p>
    <w:p w14:paraId="0EFC7876" w14:textId="58879746"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 xml:space="preserve">Les plaintes sont transmises à UCM à travers son secrétariat. </w:t>
      </w:r>
      <w:bookmarkStart w:id="38" w:name="_Hlk2937655"/>
      <w:r w:rsidRPr="00D8156A">
        <w:rPr>
          <w:rFonts w:ascii="Times New Roman" w:hAnsi="Times New Roman"/>
          <w:sz w:val="24"/>
          <w:szCs w:val="24"/>
        </w:rPr>
        <w:t xml:space="preserve">Les spécialistes </w:t>
      </w:r>
      <w:r w:rsidR="00957FF5" w:rsidRPr="00D8156A">
        <w:rPr>
          <w:rFonts w:ascii="Times New Roman" w:hAnsi="Times New Roman"/>
          <w:sz w:val="24"/>
          <w:szCs w:val="24"/>
        </w:rPr>
        <w:t>en question</w:t>
      </w:r>
      <w:r w:rsidRPr="00D8156A">
        <w:rPr>
          <w:rFonts w:ascii="Times New Roman" w:hAnsi="Times New Roman"/>
          <w:sz w:val="24"/>
          <w:szCs w:val="24"/>
        </w:rPr>
        <w:t xml:space="preserve"> environnementales et celui du développement social s’assurent de l’application des procédures suivantes </w:t>
      </w:r>
      <w:bookmarkEnd w:id="38"/>
      <w:r w:rsidRPr="00D8156A">
        <w:rPr>
          <w:rFonts w:ascii="Times New Roman" w:hAnsi="Times New Roman"/>
          <w:sz w:val="24"/>
          <w:szCs w:val="24"/>
        </w:rPr>
        <w:t xml:space="preserve">: </w:t>
      </w:r>
    </w:p>
    <w:p w14:paraId="06A60AC2"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bCs/>
          <w:sz w:val="24"/>
          <w:szCs w:val="24"/>
        </w:rPr>
        <w:t>réception e</w:t>
      </w:r>
      <w:r w:rsidRPr="00D8156A">
        <w:rPr>
          <w:rFonts w:ascii="Times New Roman" w:hAnsi="Times New Roman"/>
          <w:iCs/>
          <w:sz w:val="24"/>
          <w:szCs w:val="24"/>
        </w:rPr>
        <w:t>t enregistrement des plaintes</w:t>
      </w:r>
    </w:p>
    <w:p w14:paraId="2AF762D2"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 xml:space="preserve">réorientation de la plainte vers la structure appropriée  </w:t>
      </w:r>
    </w:p>
    <w:p w14:paraId="6F96E62B"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 xml:space="preserve">informer immédiatement la Banque dans les 24 heures de tout incident grave (décès d’une personne, cas de VBG et d’AES) et des dispositions prises. </w:t>
      </w:r>
    </w:p>
    <w:p w14:paraId="0B08F9F2"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suivi des plaintes</w:t>
      </w:r>
    </w:p>
    <w:p w14:paraId="72696D96" w14:textId="64C34BAB"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 xml:space="preserve">En ce qui concerne les plaintes ou les incidents </w:t>
      </w:r>
      <w:r w:rsidR="00957FF5" w:rsidRPr="00D8156A">
        <w:rPr>
          <w:rFonts w:ascii="Times New Roman" w:hAnsi="Times New Roman"/>
          <w:sz w:val="24"/>
          <w:szCs w:val="24"/>
        </w:rPr>
        <w:t xml:space="preserve">d’EAS/HS </w:t>
      </w:r>
      <w:r w:rsidRPr="00D8156A">
        <w:rPr>
          <w:rFonts w:ascii="Times New Roman" w:hAnsi="Times New Roman"/>
          <w:sz w:val="24"/>
          <w:szCs w:val="24"/>
        </w:rPr>
        <w:t>le (la) spécialiste d´UCM en charge des questions liées au VBG assurera la réception,</w:t>
      </w:r>
      <w:r w:rsidR="00957FF5" w:rsidRPr="00D8156A">
        <w:rPr>
          <w:rFonts w:ascii="Times New Roman" w:hAnsi="Times New Roman"/>
          <w:sz w:val="24"/>
          <w:szCs w:val="24"/>
        </w:rPr>
        <w:t xml:space="preserve"> la résolution,</w:t>
      </w:r>
      <w:r w:rsidRPr="00D8156A">
        <w:rPr>
          <w:rFonts w:ascii="Times New Roman" w:hAnsi="Times New Roman"/>
          <w:sz w:val="24"/>
          <w:szCs w:val="24"/>
        </w:rPr>
        <w:t xml:space="preserve"> le suivi, la production de rapport et communiquera l’incident à la Banque mondiale (IDA) via le TTL dans les 24 heures. </w:t>
      </w:r>
    </w:p>
    <w:p w14:paraId="519E07EE" w14:textId="333AC6E6"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 xml:space="preserve">Le Comité de gestion des plaintes est l’organe d’exécution de la mise en œuvre du MGP. Dans ses attributions régaliennes de traitement objectif des plaintes à l’exception de celles liées </w:t>
      </w:r>
      <w:r w:rsidR="00957FF5" w:rsidRPr="00D8156A">
        <w:rPr>
          <w:rFonts w:ascii="Times New Roman" w:hAnsi="Times New Roman"/>
          <w:sz w:val="24"/>
          <w:szCs w:val="24"/>
        </w:rPr>
        <w:t xml:space="preserve">EAS/HS </w:t>
      </w:r>
      <w:r w:rsidRPr="00D8156A">
        <w:rPr>
          <w:rFonts w:ascii="Times New Roman" w:hAnsi="Times New Roman"/>
          <w:sz w:val="24"/>
          <w:szCs w:val="24"/>
        </w:rPr>
        <w:t>qui lui sont adressées, il a pour rôles :</w:t>
      </w:r>
    </w:p>
    <w:p w14:paraId="36A319CA"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sz w:val="24"/>
          <w:szCs w:val="24"/>
        </w:rPr>
        <w:t>d’assurer la coord</w:t>
      </w:r>
      <w:r w:rsidRPr="00D8156A">
        <w:rPr>
          <w:rFonts w:ascii="Times New Roman" w:hAnsi="Times New Roman"/>
          <w:iCs/>
          <w:sz w:val="24"/>
          <w:szCs w:val="24"/>
        </w:rPr>
        <w:t>ination de la procédure de traitement des plaintes</w:t>
      </w:r>
    </w:p>
    <w:p w14:paraId="2A213C8A"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de rassembler et examiner les informations disponibles sur l’objet de la plainte</w:t>
      </w:r>
    </w:p>
    <w:p w14:paraId="581C5206"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de traiter les plaintes en favorisant le règlement à l'amiable</w:t>
      </w:r>
    </w:p>
    <w:p w14:paraId="51838C7E"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de proposer des réponses et des mesures de résolution des plaintes</w:t>
      </w:r>
    </w:p>
    <w:p w14:paraId="3EB18F39"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iCs/>
          <w:sz w:val="24"/>
          <w:szCs w:val="24"/>
        </w:rPr>
      </w:pPr>
      <w:r w:rsidRPr="00D8156A">
        <w:rPr>
          <w:rFonts w:ascii="Times New Roman" w:hAnsi="Times New Roman"/>
          <w:iCs/>
          <w:sz w:val="24"/>
          <w:szCs w:val="24"/>
        </w:rPr>
        <w:t>de rédiger les réponses destinées aux plaignants</w:t>
      </w:r>
    </w:p>
    <w:p w14:paraId="3CD04231" w14:textId="77777777" w:rsidR="00D75D2E" w:rsidRPr="00D8156A"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8156A">
        <w:rPr>
          <w:rFonts w:ascii="Times New Roman" w:hAnsi="Times New Roman"/>
          <w:sz w:val="24"/>
          <w:szCs w:val="24"/>
        </w:rPr>
        <w:t>de suivre et superviser la mise en œuvre du MGP au niveau local</w:t>
      </w:r>
    </w:p>
    <w:p w14:paraId="1C882C64" w14:textId="17074E32" w:rsidR="00D75D2E" w:rsidRPr="00D8156A" w:rsidRDefault="00D75D2E" w:rsidP="00E737B4">
      <w:pPr>
        <w:suppressAutoHyphens/>
        <w:spacing w:before="120" w:after="120" w:line="240" w:lineRule="auto"/>
        <w:ind w:left="284"/>
        <w:jc w:val="both"/>
        <w:rPr>
          <w:rFonts w:ascii="Times New Roman" w:hAnsi="Times New Roman"/>
          <w:sz w:val="24"/>
          <w:szCs w:val="24"/>
        </w:rPr>
      </w:pPr>
      <w:r w:rsidRPr="00D8156A">
        <w:rPr>
          <w:rFonts w:ascii="Times New Roman" w:hAnsi="Times New Roman"/>
          <w:sz w:val="24"/>
          <w:szCs w:val="24"/>
        </w:rPr>
        <w:t xml:space="preserve">Dans l’exercice de ses attributions, il </w:t>
      </w:r>
      <w:r w:rsidR="00957FF5" w:rsidRPr="00D8156A">
        <w:rPr>
          <w:rFonts w:ascii="Times New Roman" w:hAnsi="Times New Roman"/>
          <w:sz w:val="24"/>
          <w:szCs w:val="24"/>
        </w:rPr>
        <w:t xml:space="preserve">(elle) </w:t>
      </w:r>
      <w:r w:rsidRPr="00D8156A">
        <w:rPr>
          <w:rFonts w:ascii="Times New Roman" w:hAnsi="Times New Roman"/>
          <w:sz w:val="24"/>
          <w:szCs w:val="24"/>
        </w:rPr>
        <w:t>sera appuyé par des cellules locales qui seront</w:t>
      </w:r>
      <w:r w:rsidR="00957FF5" w:rsidRPr="00D8156A">
        <w:rPr>
          <w:rFonts w:ascii="Times New Roman" w:hAnsi="Times New Roman"/>
          <w:sz w:val="24"/>
          <w:szCs w:val="24"/>
        </w:rPr>
        <w:t xml:space="preserve"> parmi </w:t>
      </w:r>
      <w:r w:rsidRPr="00D8156A">
        <w:rPr>
          <w:rFonts w:ascii="Times New Roman" w:hAnsi="Times New Roman"/>
          <w:sz w:val="24"/>
          <w:szCs w:val="24"/>
        </w:rPr>
        <w:t xml:space="preserve">les </w:t>
      </w:r>
      <w:r w:rsidR="00E31771" w:rsidRPr="00D8156A">
        <w:rPr>
          <w:rFonts w:ascii="Times New Roman" w:hAnsi="Times New Roman"/>
          <w:sz w:val="24"/>
          <w:szCs w:val="24"/>
        </w:rPr>
        <w:t xml:space="preserve">autres </w:t>
      </w:r>
      <w:r w:rsidRPr="00D8156A">
        <w:rPr>
          <w:rFonts w:ascii="Times New Roman" w:hAnsi="Times New Roman"/>
          <w:sz w:val="24"/>
          <w:szCs w:val="24"/>
        </w:rPr>
        <w:t xml:space="preserve">points d’entrée des plaintes </w:t>
      </w:r>
      <w:r w:rsidR="00957FF5" w:rsidRPr="00D8156A">
        <w:rPr>
          <w:rFonts w:ascii="Times New Roman" w:hAnsi="Times New Roman"/>
          <w:sz w:val="24"/>
          <w:szCs w:val="24"/>
        </w:rPr>
        <w:t xml:space="preserve">EAS/HS </w:t>
      </w:r>
      <w:r w:rsidRPr="00D8156A">
        <w:rPr>
          <w:rFonts w:ascii="Times New Roman" w:hAnsi="Times New Roman"/>
          <w:sz w:val="24"/>
          <w:szCs w:val="24"/>
        </w:rPr>
        <w:t xml:space="preserve">dans le cadre du projet. </w:t>
      </w:r>
      <w:r w:rsidR="00CF7866" w:rsidRPr="000E2836">
        <w:rPr>
          <w:rFonts w:ascii="Times New Roman" w:hAnsi="Times New Roman"/>
          <w:sz w:val="24"/>
          <w:szCs w:val="24"/>
        </w:rPr>
        <w:t>Ces plusieurs points d’entrées du MGP EAS/HS devraient permettre de  garantir l’accès libre et sécure de la communauté. Ces portes d’entrée sont notamment les comités locaux, les centre de santé, les fournisseurs de services dans les zones, les organisations de base communautaires, etc</w:t>
      </w:r>
    </w:p>
    <w:p w14:paraId="2F1BC2F5" w14:textId="77777777" w:rsidR="00D75D2E" w:rsidRPr="00D8156A" w:rsidRDefault="00D75D2E" w:rsidP="00E737B4">
      <w:pPr>
        <w:suppressAutoHyphens/>
        <w:spacing w:before="120" w:after="120" w:line="240" w:lineRule="auto"/>
        <w:ind w:left="284"/>
        <w:jc w:val="both"/>
        <w:rPr>
          <w:rFonts w:ascii="Times New Roman" w:hAnsi="Times New Roman"/>
          <w:sz w:val="24"/>
          <w:szCs w:val="24"/>
        </w:rPr>
      </w:pPr>
      <w:r w:rsidRPr="00D8156A">
        <w:rPr>
          <w:rFonts w:ascii="Times New Roman" w:hAnsi="Times New Roman"/>
          <w:sz w:val="24"/>
          <w:szCs w:val="24"/>
        </w:rPr>
        <w:t xml:space="preserve">Au niveau local des cellules de base composées chacune d’un représentant du quartier, village ou groupement, un représentant des femmes et deux de jeunes (un jeune garçon et une jeune fille), seront constituées – les cellules locales de gestion des plaintes. </w:t>
      </w:r>
    </w:p>
    <w:p w14:paraId="5713078C" w14:textId="77777777" w:rsidR="00D75D2E" w:rsidRPr="00D8156A" w:rsidRDefault="00D75D2E" w:rsidP="00E737B4">
      <w:pPr>
        <w:suppressAutoHyphens/>
        <w:spacing w:before="120" w:after="120" w:line="240" w:lineRule="auto"/>
        <w:ind w:left="284"/>
        <w:jc w:val="both"/>
        <w:rPr>
          <w:rFonts w:ascii="Times New Roman" w:hAnsi="Times New Roman"/>
          <w:sz w:val="24"/>
          <w:szCs w:val="24"/>
        </w:rPr>
      </w:pPr>
      <w:r w:rsidRPr="00D8156A">
        <w:rPr>
          <w:rFonts w:ascii="Times New Roman" w:hAnsi="Times New Roman"/>
          <w:sz w:val="24"/>
          <w:szCs w:val="24"/>
        </w:rPr>
        <w:t>Elles joueront le rôle de courroie de transmission pour des personnes n’ayant pas les possibilités de rédiger et de transmettre leurs plaintes au Comité de gestion des plaintes.</w:t>
      </w:r>
      <w:bookmarkEnd w:id="37"/>
      <w:r w:rsidRPr="00D8156A">
        <w:rPr>
          <w:rFonts w:ascii="Times New Roman" w:hAnsi="Times New Roman"/>
          <w:sz w:val="24"/>
          <w:szCs w:val="24"/>
        </w:rPr>
        <w:t xml:space="preserve"> </w:t>
      </w:r>
    </w:p>
    <w:p w14:paraId="101557D6" w14:textId="77777777" w:rsidR="00D75D2E" w:rsidRPr="00D8156A"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8156A">
        <w:rPr>
          <w:rFonts w:ascii="Times New Roman" w:hAnsi="Times New Roman"/>
          <w:b/>
          <w:sz w:val="24"/>
          <w:szCs w:val="24"/>
          <w:u w:val="single"/>
        </w:rPr>
        <w:t>Rôles et responsabilités de la mise en œuvre et du suivi du PGES</w:t>
      </w:r>
    </w:p>
    <w:p w14:paraId="1DD75548" w14:textId="77777777" w:rsidR="00D75D2E" w:rsidRPr="00D8156A" w:rsidRDefault="00D75D2E" w:rsidP="00E737B4">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 xml:space="preserve">Plusieurs acteurs interviennent dans la mise en œuvre et le suivi du PGES. Il s’agit entre autres de : </w:t>
      </w:r>
      <w:bookmarkEnd w:id="35"/>
    </w:p>
    <w:p w14:paraId="68EF68E5" w14:textId="77777777" w:rsidR="00D75D2E" w:rsidRPr="00D8156A" w:rsidRDefault="00D75D2E" w:rsidP="008C79F0">
      <w:pPr>
        <w:numPr>
          <w:ilvl w:val="0"/>
          <w:numId w:val="44"/>
        </w:numPr>
        <w:spacing w:after="0" w:line="240" w:lineRule="auto"/>
        <w:contextualSpacing/>
        <w:jc w:val="both"/>
        <w:rPr>
          <w:rFonts w:ascii="Times New Roman" w:hAnsi="Times New Roman"/>
          <w:b/>
          <w:sz w:val="24"/>
          <w:szCs w:val="24"/>
        </w:rPr>
      </w:pPr>
      <w:r w:rsidRPr="00D8156A">
        <w:rPr>
          <w:rFonts w:ascii="Times New Roman" w:hAnsi="Times New Roman"/>
          <w:b/>
          <w:sz w:val="24"/>
          <w:szCs w:val="24"/>
        </w:rPr>
        <w:t>Cellule environnementale et sociale de l’UCM</w:t>
      </w:r>
    </w:p>
    <w:p w14:paraId="43980CCE" w14:textId="4F3A09A7" w:rsidR="00D75D2E" w:rsidRDefault="00D75D2E" w:rsidP="00E737B4">
      <w:pPr>
        <w:suppressAutoHyphens/>
        <w:spacing w:before="120" w:after="120" w:line="240" w:lineRule="auto"/>
        <w:ind w:left="284"/>
        <w:jc w:val="both"/>
        <w:rPr>
          <w:rFonts w:ascii="Times New Roman" w:hAnsi="Times New Roman"/>
          <w:sz w:val="24"/>
          <w:szCs w:val="24"/>
        </w:rPr>
      </w:pPr>
      <w:r w:rsidRPr="00D8156A">
        <w:rPr>
          <w:rFonts w:ascii="Times New Roman" w:hAnsi="Times New Roman"/>
          <w:sz w:val="24"/>
          <w:szCs w:val="24"/>
        </w:rPr>
        <w:t>Dans la préparation du PGES, son rôle est d’informer les parties prenantes ; organiser le séminaire de restitution et de validation du PGES ; consulter la société civile pendant la mise en œuvre du PGES ; suivre la</w:t>
      </w:r>
      <w:r w:rsidRPr="00D75D2E">
        <w:rPr>
          <w:rFonts w:ascii="Times New Roman" w:hAnsi="Times New Roman"/>
          <w:sz w:val="24"/>
          <w:szCs w:val="24"/>
        </w:rPr>
        <w:t xml:space="preserve"> mise en œuvre du PGES par l’intermédiaire d’une mission de contrôle; assurer la mise en œuvre de certaines mesures complémentaires à exécuter pour corriger des problèmes environnementaux et sociaux ; assurer la mise en œuvre des mesures environnementales et sociales du projet</w:t>
      </w:r>
      <w:r w:rsidR="00AA307A">
        <w:rPr>
          <w:rFonts w:ascii="Times New Roman" w:hAnsi="Times New Roman"/>
          <w:sz w:val="24"/>
          <w:szCs w:val="24"/>
        </w:rPr>
        <w:t>, y compris celles liées à l’EAS/HS</w:t>
      </w:r>
      <w:r w:rsidRPr="00D75D2E">
        <w:rPr>
          <w:rFonts w:ascii="Times New Roman" w:hAnsi="Times New Roman"/>
          <w:sz w:val="24"/>
          <w:szCs w:val="24"/>
        </w:rPr>
        <w:t xml:space="preserve"> ; assurer la supervision environnementale et sociale des travaux. </w:t>
      </w:r>
    </w:p>
    <w:p w14:paraId="2961E5B6" w14:textId="645BE52E" w:rsidR="00D70774" w:rsidRPr="00D75D2E" w:rsidRDefault="00E31771" w:rsidP="00E737B4">
      <w:pPr>
        <w:suppressAutoHyphens/>
        <w:spacing w:before="120" w:after="120" w:line="240" w:lineRule="auto"/>
        <w:ind w:left="284"/>
        <w:jc w:val="both"/>
        <w:rPr>
          <w:rFonts w:ascii="Times New Roman" w:hAnsi="Times New Roman"/>
          <w:sz w:val="24"/>
          <w:szCs w:val="24"/>
        </w:rPr>
      </w:pPr>
      <w:r>
        <w:rPr>
          <w:rFonts w:ascii="Times New Roman" w:hAnsi="Times New Roman"/>
          <w:iCs/>
          <w:sz w:val="24"/>
          <w:szCs w:val="24"/>
        </w:rPr>
        <w:t xml:space="preserve">Le </w:t>
      </w:r>
      <w:r w:rsidR="00D70774">
        <w:rPr>
          <w:rFonts w:ascii="Times New Roman" w:hAnsi="Times New Roman"/>
          <w:iCs/>
          <w:sz w:val="24"/>
          <w:szCs w:val="24"/>
        </w:rPr>
        <w:t>volet technique sera assuré par la Société Nationale d’Electricité</w:t>
      </w:r>
      <w:r>
        <w:rPr>
          <w:rFonts w:ascii="Times New Roman" w:hAnsi="Times New Roman"/>
          <w:iCs/>
          <w:sz w:val="24"/>
          <w:szCs w:val="24"/>
        </w:rPr>
        <w:t xml:space="preserve"> qui dispose en son sein une Unité de gestion environnementale et sociale (UGES), chargée de gérer toute les questions se rapport au volet environnemental et social des projets financés par les bailleurs de fonds internationaux. Le personnel d’UGES ont une bonne connaissance des politiques de sauvegarde environnementale et sociale de la Banque mondiale, expérience acquise à travers le projet PMEDE</w:t>
      </w:r>
      <w:r w:rsidR="004F3787">
        <w:rPr>
          <w:rFonts w:ascii="Times New Roman" w:hAnsi="Times New Roman"/>
          <w:iCs/>
          <w:sz w:val="24"/>
          <w:szCs w:val="24"/>
        </w:rPr>
        <w:t xml:space="preserve"> et</w:t>
      </w:r>
      <w:r>
        <w:rPr>
          <w:rFonts w:ascii="Times New Roman" w:hAnsi="Times New Roman"/>
          <w:iCs/>
          <w:sz w:val="24"/>
          <w:szCs w:val="24"/>
        </w:rPr>
        <w:t xml:space="preserve"> SAPMP</w:t>
      </w:r>
      <w:r w:rsidR="004F3787">
        <w:rPr>
          <w:rFonts w:ascii="Times New Roman" w:hAnsi="Times New Roman"/>
          <w:iCs/>
          <w:sz w:val="24"/>
          <w:szCs w:val="24"/>
        </w:rPr>
        <w:t xml:space="preserve">. Cependant, il ne dispose pas d’expérience en matière du nouveau cadre environnemental et social de la Banque. </w:t>
      </w:r>
    </w:p>
    <w:p w14:paraId="3B301F17" w14:textId="77777777" w:rsidR="00D75D2E" w:rsidRPr="00D75D2E" w:rsidRDefault="00D75D2E" w:rsidP="008C79F0">
      <w:pPr>
        <w:numPr>
          <w:ilvl w:val="0"/>
          <w:numId w:val="44"/>
        </w:numPr>
        <w:spacing w:after="0" w:line="240" w:lineRule="auto"/>
        <w:contextualSpacing/>
        <w:jc w:val="both"/>
        <w:rPr>
          <w:rFonts w:ascii="Times New Roman" w:hAnsi="Times New Roman"/>
          <w:b/>
          <w:sz w:val="24"/>
          <w:szCs w:val="24"/>
        </w:rPr>
      </w:pPr>
      <w:r w:rsidRPr="00D75D2E">
        <w:rPr>
          <w:rFonts w:ascii="Times New Roman" w:hAnsi="Times New Roman"/>
          <w:b/>
          <w:sz w:val="24"/>
          <w:szCs w:val="24"/>
        </w:rPr>
        <w:t>Ministère de l’Environnement et Développement Durable (MEDD)</w:t>
      </w:r>
    </w:p>
    <w:p w14:paraId="4025908B" w14:textId="77777777" w:rsidR="00D75D2E" w:rsidRP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Le MEDD intervient essentiellement par l’intermédiaire de l’ACE et de la DCVI, notamment en ce qui concerne la validation des EIES et le suivi-contrôle environnemental et social.</w:t>
      </w:r>
    </w:p>
    <w:p w14:paraId="7C270081" w14:textId="77777777" w:rsidR="00D75D2E" w:rsidRPr="00D75D2E" w:rsidRDefault="00D75D2E" w:rsidP="008C79F0">
      <w:pPr>
        <w:numPr>
          <w:ilvl w:val="0"/>
          <w:numId w:val="44"/>
        </w:numPr>
        <w:spacing w:after="0" w:line="240" w:lineRule="auto"/>
        <w:ind w:left="714" w:hanging="357"/>
        <w:jc w:val="both"/>
        <w:rPr>
          <w:rFonts w:ascii="Times New Roman" w:hAnsi="Times New Roman"/>
          <w:sz w:val="24"/>
          <w:szCs w:val="24"/>
        </w:rPr>
      </w:pPr>
      <w:r w:rsidRPr="00D75D2E">
        <w:rPr>
          <w:rFonts w:ascii="Times New Roman" w:hAnsi="Times New Roman"/>
          <w:b/>
          <w:sz w:val="24"/>
          <w:szCs w:val="24"/>
        </w:rPr>
        <w:t xml:space="preserve">ACE et le CPE de la Province Kinshasa </w:t>
      </w:r>
    </w:p>
    <w:p w14:paraId="7F4B5729" w14:textId="77777777" w:rsidR="00D75D2E" w:rsidRP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 xml:space="preserve">L’Agence Congolaise de l’Environnement fait partie des structures rattachées au Ministère en charge de l'environnement. Elle représente le bras armé du ministère pour la mise en œuvre de la procédure de l’étude d’impact sur l’environnement. L’ACE a également pour mission d’approuver la présente étude et de participer au suivi du PGES. Au niveau provincial et local, ce suivi-contrôle sera assuré par la CPE de Kinshasa. </w:t>
      </w:r>
    </w:p>
    <w:p w14:paraId="085BBB4E" w14:textId="77777777" w:rsidR="00D75D2E" w:rsidRPr="00D75D2E" w:rsidRDefault="00D75D2E" w:rsidP="008C79F0">
      <w:pPr>
        <w:numPr>
          <w:ilvl w:val="0"/>
          <w:numId w:val="44"/>
        </w:numPr>
        <w:spacing w:after="0" w:line="240" w:lineRule="auto"/>
        <w:contextualSpacing/>
        <w:jc w:val="both"/>
        <w:rPr>
          <w:rFonts w:ascii="Times New Roman" w:hAnsi="Times New Roman"/>
          <w:b/>
          <w:sz w:val="24"/>
          <w:szCs w:val="24"/>
        </w:rPr>
      </w:pPr>
      <w:r w:rsidRPr="00D75D2E">
        <w:rPr>
          <w:rFonts w:ascii="Times New Roman" w:hAnsi="Times New Roman"/>
          <w:b/>
          <w:sz w:val="24"/>
          <w:szCs w:val="24"/>
        </w:rPr>
        <w:t>Mission de Contrôle (MdC) </w:t>
      </w:r>
    </w:p>
    <w:p w14:paraId="422D591B" w14:textId="3E13CBFD" w:rsidR="00D75D2E" w:rsidRP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 xml:space="preserve">La </w:t>
      </w:r>
      <w:r w:rsidRPr="00D75D2E">
        <w:rPr>
          <w:rFonts w:ascii="Times New Roman" w:hAnsi="Times New Roman"/>
          <w:bCs/>
          <w:sz w:val="24"/>
          <w:szCs w:val="24"/>
        </w:rPr>
        <w:t>Mission de Contrôle (MdC) assure la supervision et le contrôle de l’ensemble des travaux exécutés par</w:t>
      </w:r>
      <w:r w:rsidRPr="00D75D2E">
        <w:rPr>
          <w:rFonts w:ascii="Times New Roman" w:hAnsi="Times New Roman"/>
          <w:sz w:val="24"/>
          <w:szCs w:val="24"/>
        </w:rPr>
        <w:t xml:space="preserve"> l’Entreprise des travaux.</w:t>
      </w:r>
      <w:r w:rsidRPr="00D75D2E">
        <w:rPr>
          <w:rFonts w:ascii="Times New Roman" w:eastAsia="Times New Roman" w:hAnsi="Times New Roman"/>
          <w:sz w:val="24"/>
          <w:szCs w:val="24"/>
        </w:rPr>
        <w:t xml:space="preserve"> La MdC, comprendra en son sein un Expert en Environnement de niveau senior avec des compétences avérées en Hygiène, Sant</w:t>
      </w:r>
      <w:r w:rsidR="009C52DF">
        <w:rPr>
          <w:rFonts w:ascii="Times New Roman" w:eastAsia="Times New Roman" w:hAnsi="Times New Roman"/>
          <w:sz w:val="24"/>
          <w:szCs w:val="24"/>
        </w:rPr>
        <w:t>é</w:t>
      </w:r>
      <w:r w:rsidRPr="00D75D2E">
        <w:rPr>
          <w:rFonts w:ascii="Times New Roman" w:eastAsia="Times New Roman" w:hAnsi="Times New Roman"/>
          <w:sz w:val="24"/>
          <w:szCs w:val="24"/>
        </w:rPr>
        <w:t xml:space="preserve"> et Sécurité. Il aura pour principale tâche de </w:t>
      </w:r>
      <w:r w:rsidRPr="00E737B4">
        <w:rPr>
          <w:rFonts w:ascii="Times New Roman" w:hAnsi="Times New Roman"/>
          <w:sz w:val="24"/>
          <w:szCs w:val="24"/>
        </w:rPr>
        <w:t>contrôler</w:t>
      </w:r>
      <w:r w:rsidRPr="00D75D2E">
        <w:rPr>
          <w:rFonts w:ascii="Times New Roman" w:eastAsia="Times New Roman" w:hAnsi="Times New Roman"/>
          <w:sz w:val="24"/>
          <w:szCs w:val="24"/>
        </w:rPr>
        <w:t xml:space="preserve"> et de surveiller la mise en œuvre du Plan de Gestion Environnementale et Sociale du Chantier (PGES-C), du </w:t>
      </w:r>
      <w:r w:rsidRPr="00D75D2E">
        <w:rPr>
          <w:rFonts w:ascii="Times New Roman" w:hAnsi="Times New Roman"/>
          <w:b/>
          <w:bCs/>
          <w:i/>
          <w:iCs/>
          <w:sz w:val="24"/>
          <w:szCs w:val="24"/>
        </w:rPr>
        <w:t>Plan d’Assurance Environnement (PAE), du Plan Particulier de Gestion et d’Elimination des Déchets (PPGED), du Plan Particulier de Sécurité et de Protection de la Santé (PPSPS</w:t>
      </w:r>
      <w:r w:rsidRPr="00D75D2E">
        <w:rPr>
          <w:rFonts w:ascii="Times New Roman" w:hAnsi="Times New Roman"/>
          <w:b/>
          <w:bCs/>
          <w:i/>
          <w:iCs/>
          <w:sz w:val="24"/>
          <w:szCs w:val="24"/>
          <w:lang w:val="fr-CA"/>
        </w:rPr>
        <w:t xml:space="preserve">), du Mécanisme de Gestion des Plaintes de l’Employeur (MGPE) </w:t>
      </w:r>
      <w:r w:rsidRPr="00D75D2E">
        <w:rPr>
          <w:rFonts w:ascii="Times New Roman" w:eastAsia="Times New Roman" w:hAnsi="Times New Roman"/>
          <w:sz w:val="24"/>
          <w:szCs w:val="24"/>
        </w:rPr>
        <w:t>élaborés par l’Entreprise des travaux.</w:t>
      </w:r>
      <w:r w:rsidR="00963014">
        <w:rPr>
          <w:rFonts w:ascii="Times New Roman" w:eastAsia="Times New Roman" w:hAnsi="Times New Roman"/>
          <w:sz w:val="24"/>
          <w:szCs w:val="24"/>
        </w:rPr>
        <w:t xml:space="preserve"> </w:t>
      </w:r>
      <w:r w:rsidR="00963014" w:rsidRPr="00AE31F1">
        <w:rPr>
          <w:rFonts w:ascii="Times New Roman" w:eastAsia="Times New Roman" w:hAnsi="Times New Roman"/>
          <w:sz w:val="24"/>
          <w:szCs w:val="24"/>
        </w:rPr>
        <w:t>Ce MGP doit développer de procédures spécifiques pour le traitement de plaintes d’EAS/HS en ligne avec celles identifiées par le projet. Ainsi le PGES-C doit aussi se faire écho des mesures de prévention et réponse aux risques d’EAS/HS, en ligne aussi avec le plan d’action du projet (élaboration du code de bonne conduite, signature du code, formation des travailleurs, etc.)</w:t>
      </w:r>
      <w:r w:rsidR="00963014">
        <w:rPr>
          <w:rFonts w:ascii="Times New Roman" w:eastAsia="Times New Roman" w:hAnsi="Times New Roman"/>
          <w:sz w:val="24"/>
          <w:szCs w:val="24"/>
        </w:rPr>
        <w:t>.</w:t>
      </w:r>
    </w:p>
    <w:p w14:paraId="60C03C5F" w14:textId="77777777" w:rsidR="00D75D2E" w:rsidRPr="00D75D2E" w:rsidRDefault="00D75D2E" w:rsidP="00E737B4">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 xml:space="preserve">Le Spécialiste Environnement de la MdC doit avoir une compétence avérée en matière de gestion de l’environnement. </w:t>
      </w:r>
      <w:r w:rsidRPr="00E737B4">
        <w:rPr>
          <w:rFonts w:ascii="Times New Roman" w:hAnsi="Times New Roman"/>
          <w:sz w:val="24"/>
          <w:szCs w:val="24"/>
        </w:rPr>
        <w:t>Cette</w:t>
      </w:r>
      <w:r w:rsidRPr="00D75D2E">
        <w:rPr>
          <w:rFonts w:ascii="Times New Roman" w:eastAsia="Times New Roman" w:hAnsi="Times New Roman"/>
          <w:sz w:val="24"/>
          <w:szCs w:val="24"/>
        </w:rPr>
        <w:t xml:space="preserve"> spécificité lui permettra de comprendre l’EIES élaborée dans le cadre des travaux prévus et d’assurer la mise en œuvre des mesures préconisées dans le rapport.</w:t>
      </w:r>
    </w:p>
    <w:p w14:paraId="49D8E100" w14:textId="77777777" w:rsidR="00D75D2E" w:rsidRPr="00D75D2E" w:rsidRDefault="00D75D2E" w:rsidP="00E737B4">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Les activités du Spécialiste Environnement de la MdC seront de :</w:t>
      </w:r>
    </w:p>
    <w:p w14:paraId="203CAAB3"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D75D2E">
        <w:rPr>
          <w:rFonts w:ascii="Times New Roman" w:eastAsia="Times New Roman" w:hAnsi="Times New Roman"/>
          <w:sz w:val="24"/>
          <w:szCs w:val="24"/>
        </w:rPr>
        <w:t xml:space="preserve">initier des </w:t>
      </w:r>
      <w:r w:rsidRPr="00E737B4">
        <w:rPr>
          <w:rFonts w:ascii="Times New Roman" w:hAnsi="Times New Roman"/>
          <w:sz w:val="24"/>
          <w:szCs w:val="24"/>
        </w:rPr>
        <w:t>réunions d’information, de sensibilisation et de consultation avec les populations riveraines pour les impliquer et prendre en compte leurs préoccupations par rapport aux travaux qui vont se faire ;</w:t>
      </w:r>
    </w:p>
    <w:p w14:paraId="526D4581" w14:textId="77777777" w:rsidR="00D75D2E" w:rsidRPr="00E737B4"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E737B4">
        <w:rPr>
          <w:rFonts w:ascii="Times New Roman" w:hAnsi="Times New Roman"/>
          <w:sz w:val="24"/>
          <w:szCs w:val="24"/>
        </w:rPr>
        <w:t>établir une plateforme de coopération avec les structures décentralisées des ministères et autres parties prenantes  impliqués dans la mise en œuvre du projet ;</w:t>
      </w:r>
    </w:p>
    <w:p w14:paraId="451053B5" w14:textId="0941C759" w:rsid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E737B4">
        <w:rPr>
          <w:rFonts w:ascii="Times New Roman" w:hAnsi="Times New Roman"/>
          <w:sz w:val="24"/>
          <w:szCs w:val="24"/>
        </w:rPr>
        <w:t>contrôler et surveiller tous les aspects du chantier liés à l’environnement et touchant de façon spécifique les aspects de la santé et de la sécurité des populations et du personnel de chantier;</w:t>
      </w:r>
    </w:p>
    <w:p w14:paraId="3B89697D" w14:textId="322A704F" w:rsidR="00EE79F9" w:rsidRPr="00E737B4" w:rsidRDefault="00EE79F9" w:rsidP="008C79F0">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Assurer que les mesures de prévention et réponse aux incidents d’EAS/HS sont mises en œuvre ;</w:t>
      </w:r>
    </w:p>
    <w:p w14:paraId="1E682B89" w14:textId="77777777" w:rsidR="00D75D2E" w:rsidRPr="00D75D2E" w:rsidRDefault="00D75D2E" w:rsidP="008C79F0">
      <w:pPr>
        <w:numPr>
          <w:ilvl w:val="0"/>
          <w:numId w:val="19"/>
        </w:numPr>
        <w:suppressAutoHyphens/>
        <w:spacing w:after="0" w:line="240" w:lineRule="auto"/>
        <w:contextualSpacing/>
        <w:jc w:val="both"/>
        <w:rPr>
          <w:rFonts w:ascii="Times New Roman" w:hAnsi="Times New Roman"/>
          <w:sz w:val="24"/>
          <w:szCs w:val="24"/>
        </w:rPr>
      </w:pPr>
      <w:r w:rsidRPr="00E737B4">
        <w:rPr>
          <w:rFonts w:ascii="Times New Roman" w:hAnsi="Times New Roman"/>
          <w:sz w:val="24"/>
          <w:szCs w:val="24"/>
        </w:rPr>
        <w:t>élaborer des rapports mensuels sur ses activités de suivi environnemental du chantier.</w:t>
      </w:r>
    </w:p>
    <w:p w14:paraId="1D5AE603" w14:textId="77777777" w:rsidR="00D75D2E" w:rsidRPr="00D75D2E" w:rsidRDefault="00D75D2E" w:rsidP="008C79F0">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Entreprise</w:t>
      </w:r>
    </w:p>
    <w:p w14:paraId="4336C041" w14:textId="77777777" w:rsidR="00D75D2E" w:rsidRPr="00D75D2E" w:rsidRDefault="00D75D2E" w:rsidP="00564B43">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L’entreprise chargée des travaux doit obligatoirement se conformer aux clauses du marché sur tous les aspects des travaux de construction.</w:t>
      </w:r>
    </w:p>
    <w:p w14:paraId="267A5C2D" w14:textId="77777777" w:rsidR="00D75D2E" w:rsidRPr="00D75D2E" w:rsidRDefault="00D75D2E" w:rsidP="00564B43">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En ce qui concerne le volet environnement des travaux, l’Entreprise doit avoir en son sein un Spécialiste en Environnement de niveau senior et connu de toutes les parties impliquées dans les travaux d’aménagement du projet.</w:t>
      </w:r>
    </w:p>
    <w:p w14:paraId="3F2EE6AA" w14:textId="77777777" w:rsidR="00D75D2E" w:rsidRPr="00D75D2E" w:rsidRDefault="00D75D2E" w:rsidP="00564B43">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 xml:space="preserve">Le Spécialiste en Environnement de l’Entreprise doit avoir une bonne compréhension des préoccupations environnementales, en général, et une compétence avérée en Hygiène, Sécurité et Environnement (HSE), en particulier. Cela lui permettra de comprendre le rapport de </w:t>
      </w:r>
      <w:r w:rsidR="00DD0B93">
        <w:rPr>
          <w:rFonts w:ascii="Times New Roman" w:eastAsia="Times New Roman" w:hAnsi="Times New Roman"/>
          <w:sz w:val="24"/>
          <w:szCs w:val="24"/>
        </w:rPr>
        <w:t>l’</w:t>
      </w:r>
      <w:r w:rsidRPr="00D75D2E">
        <w:rPr>
          <w:rFonts w:ascii="Times New Roman" w:eastAsia="Times New Roman" w:hAnsi="Times New Roman"/>
          <w:sz w:val="24"/>
          <w:szCs w:val="24"/>
        </w:rPr>
        <w:t>EIES et le PGES avant de suivre leur application sur le terrain.</w:t>
      </w:r>
    </w:p>
    <w:p w14:paraId="0553EA11" w14:textId="77777777" w:rsidR="00D75D2E" w:rsidRDefault="00D75D2E" w:rsidP="00564B43">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Le rôle du Spécialiste en Environnement est de faire le suivi au quotidien de l’application des différentes mesures environnementales, sanitaires, sécuritaires et sociales sur le terrain. Il est le premier interlocuteur de la MdC.</w:t>
      </w:r>
    </w:p>
    <w:p w14:paraId="7F474DA3" w14:textId="77777777" w:rsidR="00D75D2E" w:rsidRPr="00D75D2E" w:rsidRDefault="00D75D2E" w:rsidP="00E737B4">
      <w:pPr>
        <w:suppressAutoHyphens/>
        <w:spacing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Les activités dévolues au Spécialiste en Environnement sont :</w:t>
      </w:r>
    </w:p>
    <w:p w14:paraId="6D7A60A5" w14:textId="3DF43440" w:rsidR="00D75D2E" w:rsidRPr="00D75D2E" w:rsidRDefault="00D75D2E" w:rsidP="008C79F0">
      <w:pPr>
        <w:numPr>
          <w:ilvl w:val="0"/>
          <w:numId w:val="223"/>
        </w:numPr>
        <w:tabs>
          <w:tab w:val="left" w:pos="709"/>
        </w:tabs>
        <w:spacing w:after="0" w:line="240" w:lineRule="auto"/>
        <w:ind w:left="709"/>
        <w:jc w:val="both"/>
        <w:rPr>
          <w:rFonts w:ascii="Times New Roman" w:eastAsia="Times New Roman" w:hAnsi="Times New Roman"/>
          <w:sz w:val="24"/>
          <w:szCs w:val="24"/>
        </w:rPr>
      </w:pPr>
      <w:r w:rsidRPr="00D75D2E">
        <w:rPr>
          <w:rFonts w:ascii="Times New Roman" w:eastAsia="Times New Roman" w:hAnsi="Times New Roman"/>
          <w:sz w:val="24"/>
          <w:szCs w:val="24"/>
        </w:rPr>
        <w:t xml:space="preserve">élaborer et mettre en œuvre </w:t>
      </w:r>
      <w:r w:rsidRPr="00D75D2E">
        <w:rPr>
          <w:rFonts w:ascii="Times New Roman" w:eastAsia="Times New Roman" w:hAnsi="Times New Roman"/>
          <w:bCs/>
          <w:i/>
          <w:iCs/>
          <w:sz w:val="24"/>
          <w:szCs w:val="24"/>
        </w:rPr>
        <w:t xml:space="preserve">le Plan de Gestion de l’Environnementale et Sociale de Chantier (PGES-C),le </w:t>
      </w:r>
      <w:r w:rsidRPr="00D75D2E">
        <w:rPr>
          <w:rFonts w:ascii="Times New Roman" w:hAnsi="Times New Roman"/>
          <w:bCs/>
          <w:i/>
          <w:iCs/>
          <w:sz w:val="24"/>
          <w:szCs w:val="24"/>
        </w:rPr>
        <w:t>Plan d’Assurance Environnement (PAE), le  Plan Particulier de Gestion et d’Elimination des</w:t>
      </w:r>
      <w:r w:rsidRPr="00D75D2E">
        <w:rPr>
          <w:rFonts w:ascii="Times New Roman" w:hAnsi="Times New Roman"/>
          <w:b/>
          <w:bCs/>
          <w:i/>
          <w:iCs/>
          <w:sz w:val="24"/>
          <w:szCs w:val="24"/>
        </w:rPr>
        <w:t xml:space="preserve"> </w:t>
      </w:r>
      <w:r w:rsidRPr="00D75D2E">
        <w:rPr>
          <w:rFonts w:ascii="Times New Roman" w:hAnsi="Times New Roman"/>
          <w:bCs/>
          <w:i/>
          <w:iCs/>
          <w:sz w:val="24"/>
          <w:szCs w:val="24"/>
        </w:rPr>
        <w:t>Déchets (PPGED), le Plan Particulier de Sécurité et de Protection de la Santé (PPSPS</w:t>
      </w:r>
      <w:r w:rsidRPr="00D75D2E">
        <w:rPr>
          <w:rFonts w:ascii="Times New Roman" w:hAnsi="Times New Roman"/>
          <w:bCs/>
          <w:i/>
          <w:iCs/>
          <w:sz w:val="24"/>
          <w:szCs w:val="24"/>
          <w:lang w:val="fr-CA"/>
        </w:rPr>
        <w:t>), le  Mécanisme de Gestion des Plaintes de l’Employeur (MGPE)</w:t>
      </w:r>
      <w:r w:rsidRPr="00D75D2E">
        <w:rPr>
          <w:rFonts w:ascii="Times New Roman" w:eastAsia="Times New Roman" w:hAnsi="Times New Roman"/>
          <w:sz w:val="24"/>
          <w:szCs w:val="24"/>
        </w:rPr>
        <w:t xml:space="preserve">  que l’Entreprise s’engage à respecter, en mettant un accent particulier sur la gestion des hydrocarbures, la gestion des déchets solides, la protection des populations riveraines, le respect des milieux naturel et humain, la  protection de la santé et la sécurité du personnel, la gestion de la période du repli du matériel et la réhabilitation des sites après exploitation</w:t>
      </w:r>
      <w:r w:rsidR="00805314">
        <w:rPr>
          <w:rFonts w:ascii="Times New Roman" w:eastAsia="Times New Roman" w:hAnsi="Times New Roman"/>
          <w:sz w:val="24"/>
          <w:szCs w:val="24"/>
        </w:rPr>
        <w:t xml:space="preserve">. </w:t>
      </w:r>
      <w:r w:rsidR="00805314" w:rsidRPr="00272346">
        <w:rPr>
          <w:rFonts w:ascii="Times New Roman" w:eastAsia="Times New Roman" w:hAnsi="Times New Roman"/>
          <w:sz w:val="24"/>
          <w:szCs w:val="24"/>
        </w:rPr>
        <w:t>Ce MGP doit développer de procédures spécifiques pour le traitement de plaintes d’EAS/HS en ligne avec celles identifiées par le projet. Ainsi le PGES-C doit aussi se faire écho des mesures de prévention et réponse aux risques d’EAS/HS, en ligne aussi avec le plan d’action du projet (élaboration du code de bonne conduite, signature du code, formation des travailleurs, etc.)</w:t>
      </w:r>
      <w:r w:rsidRPr="00D75D2E">
        <w:rPr>
          <w:rFonts w:ascii="Times New Roman" w:eastAsia="Times New Roman" w:hAnsi="Times New Roman"/>
          <w:sz w:val="24"/>
          <w:szCs w:val="24"/>
        </w:rPr>
        <w:t> ;</w:t>
      </w:r>
    </w:p>
    <w:p w14:paraId="0ADA92A8" w14:textId="77777777" w:rsidR="00D75D2E" w:rsidRPr="00D75D2E" w:rsidRDefault="00D75D2E" w:rsidP="008C79F0">
      <w:pPr>
        <w:numPr>
          <w:ilvl w:val="0"/>
          <w:numId w:val="223"/>
        </w:numPr>
        <w:tabs>
          <w:tab w:val="left" w:pos="709"/>
        </w:tabs>
        <w:spacing w:after="0" w:line="240" w:lineRule="auto"/>
        <w:ind w:left="709"/>
        <w:jc w:val="both"/>
        <w:rPr>
          <w:rFonts w:ascii="Times New Roman" w:eastAsia="Times New Roman" w:hAnsi="Times New Roman"/>
          <w:sz w:val="24"/>
          <w:szCs w:val="24"/>
        </w:rPr>
      </w:pPr>
      <w:r w:rsidRPr="00D75D2E">
        <w:rPr>
          <w:rFonts w:ascii="Times New Roman" w:eastAsia="Times New Roman" w:hAnsi="Times New Roman"/>
          <w:sz w:val="24"/>
          <w:szCs w:val="24"/>
        </w:rPr>
        <w:t>élaborer les Plans de Protection de l’Environnement de Site (PPES) pour les zones les plus sensibles du chantier ;</w:t>
      </w:r>
    </w:p>
    <w:p w14:paraId="7E38DC1E" w14:textId="77777777" w:rsidR="00D75D2E" w:rsidRPr="00D75D2E" w:rsidRDefault="00D75D2E" w:rsidP="008C79F0">
      <w:pPr>
        <w:numPr>
          <w:ilvl w:val="0"/>
          <w:numId w:val="223"/>
        </w:numPr>
        <w:tabs>
          <w:tab w:val="left" w:pos="709"/>
        </w:tabs>
        <w:spacing w:after="0" w:line="240" w:lineRule="auto"/>
        <w:ind w:left="709"/>
        <w:jc w:val="both"/>
        <w:rPr>
          <w:rFonts w:ascii="Times New Roman" w:eastAsia="Times New Roman" w:hAnsi="Times New Roman"/>
          <w:sz w:val="24"/>
          <w:szCs w:val="24"/>
        </w:rPr>
      </w:pPr>
      <w:r w:rsidRPr="00D75D2E">
        <w:rPr>
          <w:rFonts w:ascii="Times New Roman" w:eastAsia="Times New Roman" w:hAnsi="Times New Roman"/>
          <w:sz w:val="24"/>
          <w:szCs w:val="24"/>
        </w:rPr>
        <w:t>élaborer un Plan d’Opération interne (POI).</w:t>
      </w:r>
    </w:p>
    <w:p w14:paraId="666167BA" w14:textId="5C8558AF" w:rsidR="00D75D2E" w:rsidRPr="00D75D2E" w:rsidRDefault="00D75D2E" w:rsidP="008C79F0">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Mécanisme de Gestion des Plaintes</w:t>
      </w:r>
      <w:r w:rsidR="00EE79F9">
        <w:rPr>
          <w:rFonts w:ascii="Times New Roman" w:eastAsia="Arial Unicode MS" w:hAnsi="Times New Roman"/>
          <w:b/>
          <w:sz w:val="24"/>
          <w:szCs w:val="24"/>
          <w:lang w:val="fr-CA" w:eastAsia="fr-FR"/>
        </w:rPr>
        <w:t xml:space="preserve"> sensible à l’EAS/HS</w:t>
      </w:r>
      <w:r w:rsidR="00805314">
        <w:rPr>
          <w:rFonts w:ascii="Times New Roman" w:eastAsia="Arial Unicode MS" w:hAnsi="Times New Roman"/>
          <w:b/>
          <w:sz w:val="24"/>
          <w:szCs w:val="24"/>
          <w:lang w:val="fr-CA" w:eastAsia="fr-FR"/>
        </w:rPr>
        <w:t xml:space="preserve"> du projet. </w:t>
      </w:r>
    </w:p>
    <w:p w14:paraId="41D53C16" w14:textId="77777777" w:rsidR="00D75D2E" w:rsidRDefault="00D75D2E" w:rsidP="00E737B4">
      <w:pPr>
        <w:suppressAutoHyphens/>
        <w:spacing w:before="120" w:after="120" w:line="240" w:lineRule="auto"/>
        <w:ind w:left="284"/>
        <w:jc w:val="both"/>
        <w:rPr>
          <w:rFonts w:ascii="Times New Roman" w:eastAsia="Times New Roman" w:hAnsi="Times New Roman"/>
          <w:sz w:val="24"/>
          <w:szCs w:val="24"/>
        </w:rPr>
      </w:pPr>
      <w:r w:rsidRPr="00D75D2E">
        <w:rPr>
          <w:rFonts w:ascii="Times New Roman" w:eastAsia="Times New Roman" w:hAnsi="Times New Roman"/>
          <w:sz w:val="24"/>
          <w:szCs w:val="24"/>
        </w:rPr>
        <w:t xml:space="preserve">Un </w:t>
      </w:r>
      <w:r w:rsidRPr="00D75D2E">
        <w:rPr>
          <w:rFonts w:ascii="Times New Roman" w:hAnsi="Times New Roman"/>
          <w:sz w:val="24"/>
          <w:szCs w:val="24"/>
        </w:rPr>
        <w:t xml:space="preserve">Mécanisme de </w:t>
      </w:r>
      <w:r w:rsidRPr="00E737B4">
        <w:rPr>
          <w:rFonts w:ascii="Times New Roman" w:eastAsia="Times New Roman" w:hAnsi="Times New Roman"/>
          <w:sz w:val="24"/>
          <w:szCs w:val="24"/>
        </w:rPr>
        <w:t>Gestion</w:t>
      </w:r>
      <w:r w:rsidRPr="00D75D2E">
        <w:rPr>
          <w:rFonts w:ascii="Times New Roman" w:hAnsi="Times New Roman"/>
          <w:sz w:val="24"/>
          <w:szCs w:val="24"/>
        </w:rPr>
        <w:t xml:space="preserve"> des Plaintes (MGP) </w:t>
      </w:r>
      <w:r w:rsidRPr="00D75D2E">
        <w:rPr>
          <w:rFonts w:ascii="Times New Roman" w:eastAsia="Times New Roman" w:hAnsi="Times New Roman"/>
          <w:sz w:val="24"/>
          <w:szCs w:val="24"/>
        </w:rPr>
        <w:t xml:space="preserve">est mis en place dans le cadre du projet et lui permet gérer tous les litiges pouvant intervenir avant, pendant et après la réalisation des travaux. </w:t>
      </w:r>
    </w:p>
    <w:p w14:paraId="47D04C85" w14:textId="4739C649" w:rsidR="006A34FB" w:rsidRPr="00D75D2E" w:rsidRDefault="006A34FB" w:rsidP="00E737B4">
      <w:pPr>
        <w:suppressAutoHyphens/>
        <w:spacing w:before="120" w:after="120" w:line="240" w:lineRule="auto"/>
        <w:ind w:left="284"/>
        <w:jc w:val="both"/>
        <w:rPr>
          <w:rFonts w:ascii="Times New Roman" w:eastAsia="Times New Roman" w:hAnsi="Times New Roman"/>
          <w:sz w:val="24"/>
          <w:szCs w:val="24"/>
        </w:rPr>
      </w:pPr>
      <w:r>
        <w:rPr>
          <w:rFonts w:ascii="Times New Roman" w:eastAsia="Times New Roman" w:hAnsi="Times New Roman"/>
          <w:sz w:val="24"/>
          <w:szCs w:val="24"/>
        </w:rPr>
        <w:t>Les entreprises et la mission de contrôle devront développer un mécanisme de feedback communautaires adaptés aux plaintes d’EAS/HS.</w:t>
      </w:r>
    </w:p>
    <w:p w14:paraId="2C6EF8F3" w14:textId="77777777" w:rsidR="00D75D2E" w:rsidRPr="00D75D2E" w:rsidRDefault="00D75D2E" w:rsidP="008C79F0">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 xml:space="preserve">Ministère en charge de la santé publique </w:t>
      </w:r>
    </w:p>
    <w:p w14:paraId="38515DC4" w14:textId="77777777" w:rsidR="00D75D2E" w:rsidRPr="00D75D2E" w:rsidRDefault="00D75D2E" w:rsidP="00E737B4">
      <w:pPr>
        <w:suppressAutoHyphens/>
        <w:spacing w:before="120" w:after="120" w:line="240" w:lineRule="auto"/>
        <w:ind w:left="284"/>
        <w:jc w:val="both"/>
        <w:rPr>
          <w:rFonts w:ascii="Times New Roman" w:eastAsia="Arial Unicode MS" w:hAnsi="Times New Roman"/>
          <w:b/>
          <w:sz w:val="24"/>
          <w:szCs w:val="24"/>
          <w:lang w:val="fr-CA" w:eastAsia="fr-FR"/>
        </w:rPr>
      </w:pPr>
      <w:r w:rsidRPr="00D75D2E">
        <w:rPr>
          <w:rFonts w:ascii="Times New Roman" w:eastAsia="Arial Unicode MS" w:hAnsi="Times New Roman"/>
          <w:sz w:val="24"/>
          <w:szCs w:val="24"/>
          <w:lang w:val="fr-CA" w:eastAsia="fr-FR"/>
        </w:rPr>
        <w:t>Le Ministère en charge de la santé publique assurera le suivi des maladies (IRA, IST, SIDA), etc.</w:t>
      </w:r>
    </w:p>
    <w:p w14:paraId="2486F9BA" w14:textId="77777777" w:rsidR="00D75D2E" w:rsidRPr="00D75D2E" w:rsidRDefault="00D75D2E" w:rsidP="008C79F0">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 xml:space="preserve">Communes de la ville-province de Kinshasa concernées par le projet </w:t>
      </w:r>
    </w:p>
    <w:p w14:paraId="69272005" w14:textId="77777777" w:rsid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Elles participent au suivi, à la sensibilisation des populations, aux activités de mobilisation sociale, à l’adoption et à la diffusion de l’information contenue dans le PGES, à la surveillance des travaux réalisés, etc.</w:t>
      </w:r>
    </w:p>
    <w:p w14:paraId="3D162A7F" w14:textId="55A7775A" w:rsidR="005A55F1" w:rsidRPr="00D75D2E" w:rsidRDefault="005A55F1" w:rsidP="00E737B4">
      <w:pPr>
        <w:suppressAutoHyphens/>
        <w:spacing w:before="120" w:after="120" w:line="240" w:lineRule="auto"/>
        <w:ind w:left="284"/>
        <w:jc w:val="both"/>
        <w:rPr>
          <w:rFonts w:ascii="Times New Roman" w:hAnsi="Times New Roman"/>
          <w:sz w:val="24"/>
          <w:szCs w:val="24"/>
        </w:rPr>
      </w:pPr>
      <w:r>
        <w:rPr>
          <w:rFonts w:ascii="Times New Roman" w:hAnsi="Times New Roman"/>
          <w:sz w:val="24"/>
          <w:szCs w:val="24"/>
        </w:rPr>
        <w:t xml:space="preserve">Les 10 communes </w:t>
      </w:r>
      <w:r w:rsidR="0021429B">
        <w:rPr>
          <w:rFonts w:ascii="Times New Roman" w:hAnsi="Times New Roman"/>
          <w:sz w:val="24"/>
          <w:szCs w:val="24"/>
        </w:rPr>
        <w:t>couvertes</w:t>
      </w:r>
      <w:r>
        <w:rPr>
          <w:rFonts w:ascii="Times New Roman" w:hAnsi="Times New Roman"/>
          <w:sz w:val="24"/>
          <w:szCs w:val="24"/>
        </w:rPr>
        <w:t xml:space="preserve"> par le projet disposent du personnel ayant en majorité de l’expérience en matière d’inspection environnementale et de sensibilisation. Cependant, la majorité </w:t>
      </w:r>
      <w:r w:rsidR="0021429B">
        <w:rPr>
          <w:rFonts w:ascii="Times New Roman" w:hAnsi="Times New Roman"/>
          <w:sz w:val="24"/>
          <w:szCs w:val="24"/>
        </w:rPr>
        <w:t>n’a</w:t>
      </w:r>
      <w:r>
        <w:rPr>
          <w:rFonts w:ascii="Times New Roman" w:hAnsi="Times New Roman"/>
          <w:sz w:val="24"/>
          <w:szCs w:val="24"/>
        </w:rPr>
        <w:t xml:space="preserve"> pas une formation de base en environnement. Le projet devra pendant sa phase de démarrage renforcer la capacité des services urbains de l’environnement, en matière de suivi environnemental</w:t>
      </w:r>
      <w:r w:rsidR="008C14E4">
        <w:rPr>
          <w:rFonts w:ascii="Times New Roman" w:hAnsi="Times New Roman"/>
          <w:sz w:val="24"/>
          <w:szCs w:val="24"/>
        </w:rPr>
        <w:t>,</w:t>
      </w:r>
      <w:r>
        <w:rPr>
          <w:rFonts w:ascii="Times New Roman" w:hAnsi="Times New Roman"/>
          <w:sz w:val="24"/>
          <w:szCs w:val="24"/>
        </w:rPr>
        <w:t xml:space="preserve"> de communication environnementale </w:t>
      </w:r>
      <w:r w:rsidR="008C14E4">
        <w:rPr>
          <w:rFonts w:ascii="Times New Roman" w:hAnsi="Times New Roman"/>
          <w:sz w:val="24"/>
          <w:szCs w:val="24"/>
        </w:rPr>
        <w:t>et du fonctionnement du MGP du projet.</w:t>
      </w:r>
    </w:p>
    <w:p w14:paraId="1D045CA6" w14:textId="77777777" w:rsidR="00D75D2E" w:rsidRPr="00D75D2E" w:rsidRDefault="00D75D2E" w:rsidP="008C79F0">
      <w:pPr>
        <w:numPr>
          <w:ilvl w:val="0"/>
          <w:numId w:val="44"/>
        </w:numPr>
        <w:spacing w:before="120" w:after="120" w:line="240" w:lineRule="auto"/>
        <w:ind w:left="714" w:hanging="357"/>
        <w:jc w:val="both"/>
        <w:rPr>
          <w:rFonts w:ascii="Times New Roman" w:hAnsi="Times New Roman"/>
          <w:b/>
          <w:sz w:val="24"/>
          <w:szCs w:val="24"/>
        </w:rPr>
      </w:pPr>
      <w:r w:rsidRPr="00D75D2E">
        <w:rPr>
          <w:rFonts w:ascii="Times New Roman" w:hAnsi="Times New Roman"/>
          <w:b/>
          <w:sz w:val="24"/>
          <w:szCs w:val="24"/>
        </w:rPr>
        <w:t>ONG et autres organisations de la société civile</w:t>
      </w:r>
    </w:p>
    <w:p w14:paraId="4B63174F" w14:textId="77777777" w:rsidR="00D75D2E" w:rsidRP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Ces ONG et organisations participent à la phase préparatoire du projet, aux consultations du public et au séminaire de restitution, examinent le document du PGES, informent et sensibilisent les acteurs du système sur les aspects environnementaux et sociaux liés aux travaux et à la mise en service du projet.</w:t>
      </w:r>
    </w:p>
    <w:p w14:paraId="338204B9" w14:textId="77777777" w:rsidR="00D75D2E" w:rsidRPr="00D75D2E" w:rsidRDefault="00D75D2E" w:rsidP="008C79F0">
      <w:pPr>
        <w:numPr>
          <w:ilvl w:val="0"/>
          <w:numId w:val="44"/>
        </w:numPr>
        <w:spacing w:before="120" w:after="120" w:line="240" w:lineRule="auto"/>
        <w:ind w:left="714" w:hanging="357"/>
        <w:jc w:val="both"/>
        <w:rPr>
          <w:rFonts w:ascii="Times New Roman" w:hAnsi="Times New Roman"/>
          <w:sz w:val="24"/>
          <w:szCs w:val="24"/>
        </w:rPr>
      </w:pPr>
      <w:r w:rsidRPr="00D75D2E">
        <w:rPr>
          <w:rFonts w:ascii="Times New Roman" w:hAnsi="Times New Roman"/>
          <w:b/>
          <w:sz w:val="24"/>
          <w:szCs w:val="24"/>
        </w:rPr>
        <w:t>Panel Consultatif Environnemental et Social (PCES) et la Banque mondiale</w:t>
      </w:r>
      <w:r w:rsidRPr="00D75D2E">
        <w:rPr>
          <w:rFonts w:ascii="Times New Roman" w:hAnsi="Times New Roman"/>
          <w:sz w:val="24"/>
          <w:szCs w:val="24"/>
        </w:rPr>
        <w:t xml:space="preserve"> </w:t>
      </w:r>
    </w:p>
    <w:p w14:paraId="1DFBEA93" w14:textId="7304E533" w:rsidR="00D75D2E" w:rsidRP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 xml:space="preserve">Ils veillent à la prise en compte de toutes les exigences environnementales et sociales dans la mise en œuvre et le suivi du projet et ce, conformément aux </w:t>
      </w:r>
      <w:r w:rsidR="00887B80">
        <w:rPr>
          <w:rFonts w:ascii="Times New Roman" w:hAnsi="Times New Roman"/>
          <w:sz w:val="24"/>
          <w:szCs w:val="24"/>
        </w:rPr>
        <w:t xml:space="preserve">normes </w:t>
      </w:r>
      <w:r w:rsidR="00887B80" w:rsidRPr="00D75D2E">
        <w:rPr>
          <w:rFonts w:ascii="Times New Roman" w:hAnsi="Times New Roman"/>
          <w:sz w:val="24"/>
          <w:szCs w:val="24"/>
        </w:rPr>
        <w:t>de</w:t>
      </w:r>
      <w:r w:rsidRPr="00D75D2E">
        <w:rPr>
          <w:rFonts w:ascii="Times New Roman" w:hAnsi="Times New Roman"/>
          <w:sz w:val="24"/>
          <w:szCs w:val="24"/>
        </w:rPr>
        <w:t xml:space="preserve"> la Banque mondiale </w:t>
      </w:r>
      <w:r w:rsidR="00887B80">
        <w:rPr>
          <w:rFonts w:ascii="Times New Roman" w:hAnsi="Times New Roman"/>
          <w:sz w:val="24"/>
          <w:szCs w:val="24"/>
        </w:rPr>
        <w:t>pertinentes pour</w:t>
      </w:r>
      <w:r w:rsidRPr="00D75D2E">
        <w:rPr>
          <w:rFonts w:ascii="Times New Roman" w:hAnsi="Times New Roman"/>
          <w:sz w:val="24"/>
          <w:szCs w:val="24"/>
        </w:rPr>
        <w:t xml:space="preserve"> le projet.</w:t>
      </w:r>
    </w:p>
    <w:p w14:paraId="6462DA2C" w14:textId="77777777" w:rsidR="00D75D2E" w:rsidRPr="00D75D2E" w:rsidRDefault="00D75D2E" w:rsidP="008C79F0">
      <w:pPr>
        <w:numPr>
          <w:ilvl w:val="0"/>
          <w:numId w:val="125"/>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Renforcement de</w:t>
      </w:r>
      <w:r w:rsidR="00417684">
        <w:rPr>
          <w:rFonts w:ascii="Times New Roman" w:hAnsi="Times New Roman"/>
          <w:b/>
          <w:sz w:val="24"/>
          <w:szCs w:val="24"/>
          <w:u w:val="single"/>
        </w:rPr>
        <w:t>s</w:t>
      </w:r>
      <w:r w:rsidRPr="00D75D2E">
        <w:rPr>
          <w:rFonts w:ascii="Times New Roman" w:hAnsi="Times New Roman"/>
          <w:b/>
          <w:sz w:val="24"/>
          <w:szCs w:val="24"/>
          <w:u w:val="single"/>
        </w:rPr>
        <w:t xml:space="preserve"> capacité</w:t>
      </w:r>
      <w:r w:rsidR="00417684">
        <w:rPr>
          <w:rFonts w:ascii="Times New Roman" w:hAnsi="Times New Roman"/>
          <w:b/>
          <w:sz w:val="24"/>
          <w:szCs w:val="24"/>
          <w:u w:val="single"/>
        </w:rPr>
        <w:t>s</w:t>
      </w:r>
    </w:p>
    <w:p w14:paraId="3F58C2D8" w14:textId="5465677F" w:rsidR="00D75D2E" w:rsidRDefault="00D75D2E" w:rsidP="00E737B4">
      <w:pPr>
        <w:suppressAutoHyphens/>
        <w:spacing w:before="120" w:after="120" w:line="240" w:lineRule="auto"/>
        <w:ind w:left="284"/>
        <w:jc w:val="both"/>
        <w:rPr>
          <w:rFonts w:ascii="Times New Roman" w:hAnsi="Times New Roman"/>
          <w:sz w:val="24"/>
          <w:szCs w:val="24"/>
        </w:rPr>
      </w:pPr>
      <w:r w:rsidRPr="00D75D2E">
        <w:rPr>
          <w:rFonts w:ascii="Times New Roman" w:hAnsi="Times New Roman"/>
          <w:sz w:val="24"/>
          <w:szCs w:val="24"/>
        </w:rPr>
        <w:t xml:space="preserve">Le renforcement des capacités visera les Spécialistes en environnement </w:t>
      </w:r>
      <w:r w:rsidR="005F702B">
        <w:rPr>
          <w:rFonts w:ascii="Times New Roman" w:hAnsi="Times New Roman"/>
          <w:sz w:val="24"/>
          <w:szCs w:val="24"/>
        </w:rPr>
        <w:t xml:space="preserve">et les spécialistes en développement social </w:t>
      </w:r>
      <w:r w:rsidRPr="00D75D2E">
        <w:rPr>
          <w:rFonts w:ascii="Times New Roman" w:hAnsi="Times New Roman"/>
          <w:sz w:val="24"/>
          <w:szCs w:val="24"/>
        </w:rPr>
        <w:t xml:space="preserve">ainsi que le personnel du projet, les cadres communaux assurant la gestion et le suivi du Projet au sein des Entités territoriales décentralisées ciblées, les organisations des bénéficiaires des infrastructures, les cadres des entreprises prestataires des travaux. Des ateliers de formation sur la gestion environnementale et sociale pendant la mise en œuvre du projet seront </w:t>
      </w:r>
      <w:r w:rsidR="00FA1873" w:rsidRPr="00D75D2E">
        <w:rPr>
          <w:rFonts w:ascii="Times New Roman" w:hAnsi="Times New Roman"/>
          <w:sz w:val="24"/>
          <w:szCs w:val="24"/>
        </w:rPr>
        <w:t>organisés</w:t>
      </w:r>
      <w:r w:rsidRPr="00D75D2E">
        <w:rPr>
          <w:rFonts w:ascii="Times New Roman" w:hAnsi="Times New Roman"/>
          <w:sz w:val="24"/>
          <w:szCs w:val="24"/>
        </w:rPr>
        <w:t xml:space="preserve"> </w:t>
      </w:r>
      <w:r w:rsidR="00FA1873">
        <w:rPr>
          <w:rFonts w:ascii="Times New Roman" w:hAnsi="Times New Roman"/>
          <w:sz w:val="24"/>
          <w:szCs w:val="24"/>
        </w:rPr>
        <w:t>dans</w:t>
      </w:r>
      <w:r w:rsidR="00FA1873" w:rsidRPr="00D75D2E">
        <w:rPr>
          <w:rFonts w:ascii="Times New Roman" w:hAnsi="Times New Roman"/>
          <w:sz w:val="24"/>
          <w:szCs w:val="24"/>
        </w:rPr>
        <w:t xml:space="preserve"> </w:t>
      </w:r>
      <w:r w:rsidRPr="00D75D2E">
        <w:rPr>
          <w:rFonts w:ascii="Times New Roman" w:hAnsi="Times New Roman"/>
          <w:sz w:val="24"/>
          <w:szCs w:val="24"/>
        </w:rPr>
        <w:t>la ville province de Kinshasa au lancement des travaux. Les formations comprendront des thèmes variés comme indiqués dans le tableau ci-après.</w:t>
      </w:r>
    </w:p>
    <w:p w14:paraId="4B37B1C8" w14:textId="77777777" w:rsidR="00D75D2E" w:rsidRPr="00D75D2E" w:rsidRDefault="00D75D2E" w:rsidP="008C79F0">
      <w:pPr>
        <w:numPr>
          <w:ilvl w:val="0"/>
          <w:numId w:val="91"/>
        </w:numPr>
        <w:spacing w:before="120" w:after="120" w:line="240" w:lineRule="auto"/>
        <w:ind w:left="714" w:hanging="357"/>
        <w:rPr>
          <w:rFonts w:ascii="Times New Roman" w:hAnsi="Times New Roman"/>
          <w:b/>
          <w:bCs/>
          <w:i/>
          <w:iCs/>
          <w:sz w:val="24"/>
          <w:szCs w:val="24"/>
        </w:rPr>
      </w:pPr>
      <w:r w:rsidRPr="00D75D2E">
        <w:rPr>
          <w:rFonts w:ascii="Times New Roman" w:hAnsi="Times New Roman"/>
          <w:b/>
          <w:bCs/>
          <w:i/>
          <w:iCs/>
          <w:sz w:val="24"/>
          <w:szCs w:val="24"/>
        </w:rPr>
        <w:t>Thèmes de formation et acteurs ciblés</w:t>
      </w:r>
    </w:p>
    <w:tbl>
      <w:tblPr>
        <w:tblW w:w="9255" w:type="dxa"/>
        <w:jc w:val="center"/>
        <w:tblCellMar>
          <w:left w:w="70" w:type="dxa"/>
          <w:right w:w="70" w:type="dxa"/>
        </w:tblCellMar>
        <w:tblLook w:val="04A0" w:firstRow="1" w:lastRow="0" w:firstColumn="1" w:lastColumn="0" w:noHBand="0" w:noVBand="1"/>
      </w:tblPr>
      <w:tblGrid>
        <w:gridCol w:w="536"/>
        <w:gridCol w:w="1722"/>
        <w:gridCol w:w="3495"/>
        <w:gridCol w:w="3502"/>
      </w:tblGrid>
      <w:tr w:rsidR="00D75D2E" w:rsidRPr="00420C1B" w14:paraId="2CC437CC" w14:textId="77777777" w:rsidTr="00E737B4">
        <w:trPr>
          <w:trHeight w:val="515"/>
          <w:tblHeader/>
          <w:jc w:val="center"/>
        </w:trPr>
        <w:tc>
          <w:tcPr>
            <w:tcW w:w="536"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32AC3347"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N°</w:t>
            </w:r>
          </w:p>
        </w:tc>
        <w:tc>
          <w:tcPr>
            <w:tcW w:w="1722" w:type="dxa"/>
            <w:tcBorders>
              <w:top w:val="single" w:sz="8" w:space="0" w:color="000000"/>
              <w:left w:val="nil"/>
              <w:bottom w:val="single" w:sz="8" w:space="0" w:color="000000"/>
              <w:right w:val="single" w:sz="8" w:space="0" w:color="000000"/>
            </w:tcBorders>
            <w:shd w:val="clear" w:color="000000" w:fill="92D050"/>
            <w:vAlign w:val="center"/>
            <w:hideMark/>
          </w:tcPr>
          <w:p w14:paraId="1337FAAB"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Thèmes de formation</w:t>
            </w:r>
            <w:r w:rsidRPr="00420C1B">
              <w:rPr>
                <w:rFonts w:ascii="Times New Roman" w:hAnsi="Times New Roman"/>
                <w:lang w:eastAsia="fr-FR"/>
              </w:rPr>
              <w:t> </w:t>
            </w:r>
          </w:p>
        </w:tc>
        <w:tc>
          <w:tcPr>
            <w:tcW w:w="3495" w:type="dxa"/>
            <w:tcBorders>
              <w:top w:val="single" w:sz="8" w:space="0" w:color="000000"/>
              <w:left w:val="nil"/>
              <w:bottom w:val="single" w:sz="8" w:space="0" w:color="000000"/>
              <w:right w:val="single" w:sz="8" w:space="0" w:color="000000"/>
            </w:tcBorders>
            <w:shd w:val="clear" w:color="000000" w:fill="92D050"/>
            <w:vAlign w:val="center"/>
            <w:hideMark/>
          </w:tcPr>
          <w:p w14:paraId="65983DB9"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Détails des modules</w:t>
            </w:r>
          </w:p>
        </w:tc>
        <w:tc>
          <w:tcPr>
            <w:tcW w:w="3502" w:type="dxa"/>
            <w:tcBorders>
              <w:top w:val="single" w:sz="8" w:space="0" w:color="000000"/>
              <w:left w:val="nil"/>
              <w:bottom w:val="single" w:sz="8" w:space="0" w:color="000000"/>
              <w:right w:val="single" w:sz="8" w:space="0" w:color="000000"/>
            </w:tcBorders>
            <w:shd w:val="clear" w:color="000000" w:fill="92D050"/>
            <w:vAlign w:val="center"/>
            <w:hideMark/>
          </w:tcPr>
          <w:p w14:paraId="1C84C69D"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Acteurs ciblés</w:t>
            </w:r>
          </w:p>
        </w:tc>
      </w:tr>
      <w:tr w:rsidR="00D75D2E" w:rsidRPr="00420C1B" w14:paraId="056096BB" w14:textId="77777777" w:rsidTr="00E737B4">
        <w:trPr>
          <w:trHeight w:val="230"/>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7E9D60E0"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1</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9A746C" w14:textId="2636B0B4" w:rsidR="00D75D2E" w:rsidRPr="00420C1B" w:rsidRDefault="00D75D2E" w:rsidP="00422EE3">
            <w:pPr>
              <w:spacing w:after="0" w:line="240" w:lineRule="auto"/>
              <w:rPr>
                <w:rFonts w:ascii="Times New Roman" w:hAnsi="Times New Roman"/>
                <w:lang w:eastAsia="fr-FR"/>
              </w:rPr>
            </w:pPr>
            <w:r w:rsidRPr="00420C1B">
              <w:rPr>
                <w:rFonts w:ascii="Times New Roman" w:hAnsi="Times New Roman"/>
                <w:lang w:eastAsia="fr-FR"/>
              </w:rPr>
              <w:t>Santé, hygiène et sécurité</w:t>
            </w:r>
            <w:r w:rsidR="00887B80" w:rsidRPr="00420C1B">
              <w:rPr>
                <w:rFonts w:ascii="Times New Roman" w:hAnsi="Times New Roman"/>
                <w:lang w:eastAsia="fr-FR"/>
              </w:rPr>
              <w:t xml:space="preserve"> (Investigation et reporting des incidents</w:t>
            </w:r>
            <w:r w:rsidR="006304E4" w:rsidRPr="00420C1B">
              <w:rPr>
                <w:rFonts w:ascii="Times New Roman" w:hAnsi="Times New Roman"/>
                <w:lang w:eastAsia="fr-FR"/>
              </w:rPr>
              <w:t>)</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1E71479A"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Équipements de protection individuelle</w:t>
            </w:r>
          </w:p>
          <w:p w14:paraId="7AD495DD"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Gestion des risques en milieu du travail</w:t>
            </w:r>
          </w:p>
          <w:p w14:paraId="488644F5"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Prévention des accidents de travail</w:t>
            </w:r>
          </w:p>
          <w:p w14:paraId="621046A4"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Règles d’hygiène et de sécurité</w:t>
            </w:r>
          </w:p>
          <w:p w14:paraId="2F6BFFA9" w14:textId="77777777" w:rsidR="00D75D2E" w:rsidRPr="00420C1B" w:rsidRDefault="00D75D2E" w:rsidP="006304E4">
            <w:pPr>
              <w:pStyle w:val="Paragraphedeliste1"/>
              <w:numPr>
                <w:ilvl w:val="0"/>
                <w:numId w:val="224"/>
              </w:numPr>
              <w:suppressAutoHyphens w:val="0"/>
              <w:ind w:left="249" w:hanging="249"/>
              <w:contextualSpacing/>
              <w:rPr>
                <w:rFonts w:eastAsia="Calibri"/>
                <w:sz w:val="22"/>
                <w:szCs w:val="22"/>
              </w:rPr>
            </w:pPr>
            <w:r w:rsidRPr="00420C1B">
              <w:rPr>
                <w:rFonts w:eastAsia="Calibri"/>
                <w:sz w:val="22"/>
                <w:szCs w:val="22"/>
              </w:rPr>
              <w:t xml:space="preserve">Gestion des déchets solides et liquides </w:t>
            </w:r>
          </w:p>
          <w:p w14:paraId="2572E10A" w14:textId="7DB8EE66" w:rsidR="00887B80" w:rsidRPr="00E737B4" w:rsidRDefault="00887B80" w:rsidP="006304E4">
            <w:pPr>
              <w:pStyle w:val="Paragraphedeliste1"/>
              <w:numPr>
                <w:ilvl w:val="0"/>
                <w:numId w:val="224"/>
              </w:numPr>
              <w:suppressAutoHyphens w:val="0"/>
              <w:ind w:left="249" w:hanging="249"/>
              <w:contextualSpacing/>
            </w:pPr>
            <w:r w:rsidRPr="00420C1B">
              <w:rPr>
                <w:rFonts w:eastAsia="Calibri"/>
                <w:sz w:val="22"/>
                <w:szCs w:val="22"/>
              </w:rPr>
              <w:t>Investigation et reporting des incidents</w:t>
            </w:r>
          </w:p>
        </w:tc>
        <w:tc>
          <w:tcPr>
            <w:tcW w:w="35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32FFFD8"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E737B4">
              <w:rPr>
                <w:rFonts w:ascii="Times New Roman" w:eastAsia="Symbol" w:hAnsi="Times New Roman"/>
                <w:lang w:eastAsia="fr-FR"/>
              </w:rPr>
              <w:t xml:space="preserve">Services Techniques et administratifs </w:t>
            </w:r>
          </w:p>
          <w:p w14:paraId="2376D8B0"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Services techniques municipaux</w:t>
            </w:r>
          </w:p>
          <w:p w14:paraId="21639BE6"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Associations de femmes et des jeunes</w:t>
            </w:r>
            <w:r w:rsidRPr="00E737B4">
              <w:rPr>
                <w:rFonts w:ascii="Times New Roman" w:eastAsia="Symbol" w:hAnsi="Times New Roman"/>
                <w:lang w:eastAsia="fr-FR"/>
              </w:rPr>
              <w:t>, PME (Petites et moyennes entreprises)</w:t>
            </w:r>
          </w:p>
        </w:tc>
      </w:tr>
      <w:tr w:rsidR="00D75D2E" w:rsidRPr="00420C1B" w14:paraId="1515C757" w14:textId="77777777" w:rsidTr="00E737B4">
        <w:trPr>
          <w:trHeight w:val="1315"/>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6583450B" w14:textId="77777777" w:rsidR="00D75D2E" w:rsidRPr="00420C1B" w:rsidRDefault="00D75D2E" w:rsidP="00422EE3">
            <w:pPr>
              <w:spacing w:after="0" w:line="240" w:lineRule="auto"/>
              <w:rPr>
                <w:rFonts w:ascii="Times New Roman" w:hAnsi="Times New Roman"/>
                <w:b/>
                <w:bCs/>
                <w:lang w:eastAsia="fr-FR"/>
              </w:rPr>
            </w:pPr>
            <w:r w:rsidRPr="00420C1B">
              <w:rPr>
                <w:rFonts w:ascii="Times New Roman" w:hAnsi="Times New Roman"/>
                <w:b/>
                <w:bCs/>
                <w:lang w:eastAsia="fr-FR"/>
              </w:rPr>
              <w:t>2</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FCB147" w14:textId="445F17EB" w:rsidR="00D75D2E" w:rsidRPr="00420C1B" w:rsidRDefault="00D75D2E" w:rsidP="00422EE3">
            <w:pPr>
              <w:spacing w:after="0" w:line="240" w:lineRule="auto"/>
              <w:rPr>
                <w:rFonts w:ascii="Times New Roman" w:hAnsi="Times New Roman"/>
                <w:lang w:eastAsia="fr-FR"/>
              </w:rPr>
            </w:pPr>
            <w:r w:rsidRPr="00420C1B">
              <w:rPr>
                <w:rFonts w:ascii="Times New Roman" w:hAnsi="Times New Roman"/>
                <w:lang w:eastAsia="fr-FR"/>
              </w:rPr>
              <w:t>Mécanisme de gestion des plaintes</w:t>
            </w:r>
            <w:r w:rsidR="00EE79F9" w:rsidRPr="00420C1B">
              <w:rPr>
                <w:rFonts w:ascii="Times New Roman" w:hAnsi="Times New Roman"/>
                <w:lang w:eastAsia="fr-FR"/>
              </w:rPr>
              <w:t xml:space="preserve"> </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3429DB6B"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Types de mécanisme</w:t>
            </w:r>
          </w:p>
          <w:p w14:paraId="44D35DA1"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Procédure d’enregistrement et de traitement</w:t>
            </w:r>
          </w:p>
          <w:p w14:paraId="7BBBC772"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Niveau de traitement, types d’instances et composition</w:t>
            </w:r>
          </w:p>
          <w:p w14:paraId="6DDF5812" w14:textId="77777777" w:rsidR="002B3522" w:rsidRPr="00420C1B" w:rsidRDefault="002B3522"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Recours</w:t>
            </w:r>
          </w:p>
        </w:tc>
        <w:tc>
          <w:tcPr>
            <w:tcW w:w="3502" w:type="dxa"/>
            <w:tcBorders>
              <w:top w:val="single" w:sz="8" w:space="0" w:color="000000"/>
              <w:left w:val="nil"/>
              <w:bottom w:val="single" w:sz="8" w:space="0" w:color="000000"/>
              <w:right w:val="single" w:sz="8" w:space="0" w:color="000000"/>
            </w:tcBorders>
            <w:shd w:val="clear" w:color="auto" w:fill="auto"/>
            <w:vAlign w:val="center"/>
            <w:hideMark/>
          </w:tcPr>
          <w:p w14:paraId="2C42ADE4"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E737B4">
              <w:rPr>
                <w:rFonts w:ascii="Times New Roman" w:eastAsia="Symbol" w:hAnsi="Times New Roman"/>
                <w:lang w:eastAsia="fr-FR"/>
              </w:rPr>
              <w:t xml:space="preserve">UCP, Services Techniques et administratifs départementaux et régionaux, </w:t>
            </w:r>
            <w:r w:rsidRPr="00420C1B">
              <w:rPr>
                <w:rFonts w:ascii="Times New Roman" w:hAnsi="Times New Roman"/>
                <w:lang w:eastAsia="fr-FR"/>
              </w:rPr>
              <w:t>Services techniques municipaux, Associations de femmes et des jeunes</w:t>
            </w:r>
            <w:r w:rsidRPr="00E737B4">
              <w:rPr>
                <w:rFonts w:ascii="Times New Roman" w:eastAsia="Symbol" w:hAnsi="Times New Roman"/>
                <w:lang w:eastAsia="fr-FR"/>
              </w:rPr>
              <w:t>, PME</w:t>
            </w:r>
          </w:p>
        </w:tc>
      </w:tr>
      <w:tr w:rsidR="00D75D2E" w:rsidRPr="00420C1B" w14:paraId="49751053" w14:textId="77777777" w:rsidTr="00E737B4">
        <w:trPr>
          <w:trHeight w:val="294"/>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7F8D2154" w14:textId="77777777" w:rsidR="00D75D2E" w:rsidRPr="00420C1B" w:rsidRDefault="00D75D2E" w:rsidP="00422EE3">
            <w:pPr>
              <w:spacing w:after="0" w:line="240" w:lineRule="auto"/>
              <w:jc w:val="center"/>
              <w:rPr>
                <w:rFonts w:ascii="Times New Roman" w:hAnsi="Times New Roman"/>
                <w:b/>
                <w:bCs/>
                <w:lang w:eastAsia="fr-FR"/>
              </w:rPr>
            </w:pPr>
            <w:r w:rsidRPr="00420C1B">
              <w:rPr>
                <w:rFonts w:ascii="Times New Roman" w:hAnsi="Times New Roman"/>
                <w:b/>
                <w:bCs/>
                <w:lang w:eastAsia="fr-FR"/>
              </w:rPr>
              <w:t>3</w:t>
            </w:r>
          </w:p>
        </w:tc>
        <w:tc>
          <w:tcPr>
            <w:tcW w:w="1722" w:type="dxa"/>
            <w:tcBorders>
              <w:top w:val="nil"/>
              <w:left w:val="single" w:sz="8" w:space="0" w:color="000000"/>
              <w:bottom w:val="single" w:sz="8" w:space="0" w:color="000000"/>
              <w:right w:val="single" w:sz="8" w:space="0" w:color="000000"/>
            </w:tcBorders>
            <w:shd w:val="clear" w:color="auto" w:fill="auto"/>
            <w:vAlign w:val="center"/>
            <w:hideMark/>
          </w:tcPr>
          <w:p w14:paraId="644493B7" w14:textId="4573E083" w:rsidR="00D75D2E" w:rsidRPr="00420C1B" w:rsidRDefault="00EE79F9" w:rsidP="00422EE3">
            <w:pPr>
              <w:spacing w:after="0" w:line="240" w:lineRule="auto"/>
              <w:rPr>
                <w:rFonts w:ascii="Times New Roman" w:hAnsi="Times New Roman"/>
                <w:lang w:eastAsia="fr-FR"/>
              </w:rPr>
            </w:pPr>
            <w:r w:rsidRPr="00420C1B">
              <w:rPr>
                <w:rFonts w:ascii="Times New Roman" w:hAnsi="Times New Roman"/>
                <w:lang w:eastAsia="fr-FR"/>
              </w:rPr>
              <w:t xml:space="preserve">Risques et conséquences des </w:t>
            </w:r>
            <w:r w:rsidR="00D75D2E" w:rsidRPr="00420C1B">
              <w:rPr>
                <w:rFonts w:ascii="Times New Roman" w:hAnsi="Times New Roman"/>
                <w:lang w:eastAsia="fr-FR"/>
              </w:rPr>
              <w:t>Violences Basée sur le Genre (VBG)</w:t>
            </w:r>
            <w:r w:rsidRPr="00420C1B">
              <w:rPr>
                <w:rFonts w:ascii="Times New Roman" w:hAnsi="Times New Roman"/>
                <w:lang w:eastAsia="fr-FR"/>
              </w:rPr>
              <w:t xml:space="preserve">, y compris l’EAS/HS, contenu du code de bonne conduite </w:t>
            </w:r>
            <w:r w:rsidR="00D75D2E" w:rsidRPr="00420C1B">
              <w:rPr>
                <w:rFonts w:ascii="Times New Roman" w:hAnsi="Times New Roman"/>
                <w:lang w:eastAsia="fr-FR"/>
              </w:rPr>
              <w:t xml:space="preserve">et Mécanisme de gestion </w:t>
            </w:r>
            <w:r w:rsidRPr="00420C1B">
              <w:rPr>
                <w:rFonts w:ascii="Times New Roman" w:hAnsi="Times New Roman"/>
                <w:lang w:eastAsia="fr-FR"/>
              </w:rPr>
              <w:t>sensible à l’EAS/HS</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5E0C97D8" w14:textId="00E2F374" w:rsidR="00067141" w:rsidRPr="00420C1B" w:rsidRDefault="00067141"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Risques et conséquences des VBG, y compris EAS/HS</w:t>
            </w:r>
          </w:p>
          <w:p w14:paraId="1DA25606" w14:textId="1F1DCA7A" w:rsidR="00067141" w:rsidRPr="00420C1B" w:rsidRDefault="00067141"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Contenu du code de bonne conduite</w:t>
            </w:r>
          </w:p>
          <w:p w14:paraId="54ED698F" w14:textId="29D8D55A" w:rsidR="00067141" w:rsidRPr="00420C1B" w:rsidRDefault="00067141"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Gestion de risques EAS/HS</w:t>
            </w:r>
          </w:p>
          <w:p w14:paraId="7E7DA0D4" w14:textId="4F03E407" w:rsidR="00067141" w:rsidRPr="00420C1B" w:rsidRDefault="00067141"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 xml:space="preserve">Cadre de redevabilité et réponse EAS/HS : Fonctionnement, principes recteurs , approche centrée sur la survivantes, etc. </w:t>
            </w:r>
          </w:p>
          <w:p w14:paraId="35E3CB97" w14:textId="0978E540"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Gestion de cas et prise en charge psycho-sociale</w:t>
            </w:r>
          </w:p>
          <w:p w14:paraId="2A0C4032" w14:textId="77777777" w:rsidR="00D75D2E" w:rsidRPr="00420C1B" w:rsidRDefault="002B3522"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G</w:t>
            </w:r>
            <w:r w:rsidR="00D75D2E" w:rsidRPr="00420C1B">
              <w:rPr>
                <w:rFonts w:ascii="Times New Roman" w:hAnsi="Times New Roman"/>
                <w:lang w:eastAsia="fr-FR"/>
              </w:rPr>
              <w:t>estion des conflits</w:t>
            </w:r>
          </w:p>
          <w:p w14:paraId="33078D97" w14:textId="77777777" w:rsidR="00D75D2E" w:rsidRPr="00420C1B" w:rsidRDefault="002B3522"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T</w:t>
            </w:r>
            <w:r w:rsidR="00D75D2E" w:rsidRPr="00420C1B">
              <w:rPr>
                <w:rFonts w:ascii="Times New Roman" w:hAnsi="Times New Roman"/>
                <w:lang w:eastAsia="fr-FR"/>
              </w:rPr>
              <w:t>echniques de sensibilisation pour le changement des comportements</w:t>
            </w:r>
          </w:p>
          <w:p w14:paraId="43CFA203"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Utilisation des supports de communication</w:t>
            </w:r>
          </w:p>
          <w:p w14:paraId="0F8723DC" w14:textId="428EF1E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 xml:space="preserve">Textes </w:t>
            </w:r>
            <w:r w:rsidR="00067141" w:rsidRPr="00420C1B">
              <w:rPr>
                <w:rFonts w:ascii="Times New Roman" w:hAnsi="Times New Roman"/>
                <w:lang w:eastAsia="fr-FR"/>
              </w:rPr>
              <w:t xml:space="preserve">nationaux et internationaux </w:t>
            </w:r>
            <w:r w:rsidRPr="00420C1B">
              <w:rPr>
                <w:rFonts w:ascii="Times New Roman" w:hAnsi="Times New Roman"/>
                <w:lang w:eastAsia="fr-FR"/>
              </w:rPr>
              <w:t>légaux sur les VBG</w:t>
            </w:r>
          </w:p>
        </w:tc>
        <w:tc>
          <w:tcPr>
            <w:tcW w:w="3502" w:type="dxa"/>
            <w:tcBorders>
              <w:top w:val="single" w:sz="8" w:space="0" w:color="000000"/>
              <w:left w:val="nil"/>
              <w:bottom w:val="single" w:sz="8" w:space="0" w:color="000000"/>
              <w:right w:val="single" w:sz="8" w:space="0" w:color="000000"/>
            </w:tcBorders>
            <w:shd w:val="clear" w:color="auto" w:fill="auto"/>
            <w:vAlign w:val="center"/>
            <w:hideMark/>
          </w:tcPr>
          <w:p w14:paraId="4E776F6F"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E737B4">
              <w:rPr>
                <w:rFonts w:ascii="Times New Roman" w:eastAsia="Symbol" w:hAnsi="Times New Roman"/>
                <w:lang w:eastAsia="fr-FR"/>
              </w:rPr>
              <w:t>Services Techniques et administratifs départementaux et régionaux</w:t>
            </w:r>
          </w:p>
          <w:p w14:paraId="56FADE39"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Services techniques municipaux</w:t>
            </w:r>
          </w:p>
          <w:p w14:paraId="712C15EF"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Associations de femmes et des jeunes</w:t>
            </w:r>
            <w:r w:rsidRPr="00E737B4">
              <w:rPr>
                <w:rFonts w:ascii="Times New Roman" w:eastAsia="Symbol" w:hAnsi="Times New Roman"/>
                <w:lang w:eastAsia="fr-FR"/>
              </w:rPr>
              <w:t>, PME</w:t>
            </w:r>
            <w:r w:rsidRPr="00420C1B">
              <w:rPr>
                <w:rFonts w:ascii="Times New Roman" w:hAnsi="Times New Roman"/>
                <w:lang w:eastAsia="fr-FR"/>
              </w:rPr>
              <w:t>.</w:t>
            </w:r>
          </w:p>
          <w:p w14:paraId="43525AE0" w14:textId="77777777" w:rsidR="00D75D2E" w:rsidRPr="00420C1B" w:rsidRDefault="00D75D2E" w:rsidP="00E737B4">
            <w:pPr>
              <w:spacing w:after="0" w:line="240" w:lineRule="auto"/>
              <w:ind w:left="249" w:hanging="249"/>
              <w:rPr>
                <w:rFonts w:ascii="Times New Roman" w:hAnsi="Times New Roman"/>
                <w:lang w:eastAsia="fr-FR"/>
              </w:rPr>
            </w:pPr>
          </w:p>
        </w:tc>
      </w:tr>
      <w:tr w:rsidR="00D75D2E" w:rsidRPr="00420C1B" w14:paraId="640D26C9" w14:textId="77777777" w:rsidTr="00E737B4">
        <w:trPr>
          <w:trHeight w:val="436"/>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2B002EE6" w14:textId="77777777" w:rsidR="00D75D2E" w:rsidRPr="00420C1B" w:rsidRDefault="00D75D2E" w:rsidP="00422EE3">
            <w:pPr>
              <w:spacing w:after="0" w:line="240" w:lineRule="auto"/>
              <w:jc w:val="center"/>
              <w:rPr>
                <w:rFonts w:ascii="Times New Roman" w:hAnsi="Times New Roman"/>
                <w:b/>
                <w:bCs/>
                <w:lang w:eastAsia="fr-FR"/>
              </w:rPr>
            </w:pPr>
            <w:r w:rsidRPr="00420C1B">
              <w:rPr>
                <w:rFonts w:ascii="Times New Roman" w:hAnsi="Times New Roman"/>
                <w:b/>
                <w:bCs/>
                <w:lang w:eastAsia="fr-FR"/>
              </w:rPr>
              <w:t>4</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113F2DD" w14:textId="77777777" w:rsidR="00D75D2E" w:rsidRPr="00420C1B" w:rsidRDefault="00D75D2E" w:rsidP="00422EE3">
            <w:pPr>
              <w:spacing w:after="0" w:line="240" w:lineRule="auto"/>
              <w:rPr>
                <w:rFonts w:ascii="Times New Roman" w:hAnsi="Times New Roman"/>
                <w:lang w:eastAsia="fr-FR"/>
              </w:rPr>
            </w:pPr>
            <w:r w:rsidRPr="00420C1B">
              <w:rPr>
                <w:rFonts w:ascii="Times New Roman" w:hAnsi="Times New Roman"/>
                <w:lang w:eastAsia="fr-FR"/>
              </w:rPr>
              <w:t xml:space="preserve">Initiation à la Gestion des risques et catastrophes (GRC)  </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3558E2CD"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Types de catastrophes</w:t>
            </w:r>
          </w:p>
          <w:p w14:paraId="2E019622"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Gestion d’une catastrophe dans le domaine de l’énergie</w:t>
            </w:r>
          </w:p>
        </w:tc>
        <w:tc>
          <w:tcPr>
            <w:tcW w:w="35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E97105"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E737B4">
              <w:rPr>
                <w:rFonts w:ascii="Times New Roman" w:eastAsia="Symbol" w:hAnsi="Times New Roman"/>
                <w:lang w:eastAsia="fr-FR"/>
              </w:rPr>
              <w:t>UCP, Services Techniques et administratifs départementaux et régionaux</w:t>
            </w:r>
          </w:p>
          <w:p w14:paraId="4FA1780D"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Services techniques municipaux</w:t>
            </w:r>
          </w:p>
          <w:p w14:paraId="00875D26" w14:textId="77777777" w:rsidR="00D75D2E" w:rsidRPr="00420C1B" w:rsidRDefault="00D75D2E" w:rsidP="008C79F0">
            <w:pPr>
              <w:pStyle w:val="Paragraphedeliste"/>
              <w:numPr>
                <w:ilvl w:val="0"/>
                <w:numId w:val="224"/>
              </w:numPr>
              <w:spacing w:after="0" w:line="240" w:lineRule="auto"/>
              <w:ind w:left="249" w:hanging="249"/>
              <w:rPr>
                <w:rFonts w:ascii="Times New Roman" w:hAnsi="Times New Roman"/>
                <w:lang w:eastAsia="fr-FR"/>
              </w:rPr>
            </w:pPr>
            <w:r w:rsidRPr="00420C1B">
              <w:rPr>
                <w:rFonts w:ascii="Times New Roman" w:hAnsi="Times New Roman"/>
                <w:lang w:eastAsia="fr-FR"/>
              </w:rPr>
              <w:t xml:space="preserve">Associations de femmes et des jeunes, </w:t>
            </w:r>
            <w:r w:rsidRPr="00E737B4">
              <w:rPr>
                <w:rFonts w:ascii="Times New Roman" w:eastAsia="Symbol" w:hAnsi="Times New Roman"/>
                <w:lang w:eastAsia="fr-FR"/>
              </w:rPr>
              <w:t>PME</w:t>
            </w:r>
            <w:r w:rsidRPr="00420C1B">
              <w:rPr>
                <w:rFonts w:ascii="Times New Roman" w:hAnsi="Times New Roman"/>
                <w:lang w:eastAsia="fr-FR"/>
              </w:rPr>
              <w:t>, ACE</w:t>
            </w:r>
          </w:p>
        </w:tc>
      </w:tr>
    </w:tbl>
    <w:p w14:paraId="6795DEC2" w14:textId="77777777" w:rsidR="00D75D2E" w:rsidRPr="00800248" w:rsidRDefault="00D75D2E" w:rsidP="008C79F0">
      <w:pPr>
        <w:numPr>
          <w:ilvl w:val="0"/>
          <w:numId w:val="125"/>
        </w:numPr>
        <w:spacing w:before="120" w:after="120" w:line="240" w:lineRule="auto"/>
        <w:ind w:left="0" w:firstLine="142"/>
        <w:jc w:val="both"/>
        <w:rPr>
          <w:rFonts w:ascii="Times New Roman" w:eastAsia="Arial Unicode MS" w:hAnsi="Times New Roman"/>
          <w:b/>
          <w:sz w:val="24"/>
          <w:szCs w:val="24"/>
          <w:u w:val="single"/>
          <w:lang w:val="fr-CA" w:eastAsia="fr-FR"/>
        </w:rPr>
      </w:pPr>
      <w:r w:rsidRPr="00800248">
        <w:rPr>
          <w:rFonts w:ascii="Times New Roman" w:eastAsia="Arial Unicode MS" w:hAnsi="Times New Roman"/>
          <w:b/>
          <w:sz w:val="24"/>
          <w:szCs w:val="24"/>
          <w:u w:val="single"/>
          <w:lang w:val="fr-CA" w:eastAsia="fr-FR"/>
        </w:rPr>
        <w:t>Budget global estimatif du PGES</w:t>
      </w:r>
    </w:p>
    <w:p w14:paraId="7B8FB9CD" w14:textId="345F5191" w:rsidR="00D75D2E" w:rsidRDefault="00D75D2E" w:rsidP="00D75D2E">
      <w:pPr>
        <w:spacing w:after="0" w:line="240" w:lineRule="auto"/>
        <w:jc w:val="both"/>
        <w:rPr>
          <w:rFonts w:ascii="Times New Roman" w:eastAsia="Times New Roman" w:hAnsi="Times New Roman"/>
          <w:sz w:val="24"/>
          <w:szCs w:val="24"/>
          <w:highlight w:val="yellow"/>
          <w:lang w:eastAsia="fr-FR"/>
        </w:rPr>
      </w:pPr>
      <w:r w:rsidRPr="00D75D2E">
        <w:rPr>
          <w:rFonts w:ascii="Times New Roman" w:hAnsi="Times New Roman"/>
          <w:sz w:val="24"/>
        </w:rPr>
        <w:t xml:space="preserve">La mise en œuvre du PGES est estimée à </w:t>
      </w:r>
      <w:r w:rsidRPr="00D75D2E">
        <w:rPr>
          <w:rFonts w:ascii="Times New Roman" w:hAnsi="Times New Roman"/>
          <w:b/>
          <w:bCs/>
          <w:sz w:val="24"/>
        </w:rPr>
        <w:t xml:space="preserve">  </w:t>
      </w:r>
      <w:r w:rsidR="00CB0941">
        <w:rPr>
          <w:rFonts w:ascii="Times New Roman" w:eastAsia="Times New Roman" w:hAnsi="Times New Roman"/>
          <w:b/>
          <w:bCs/>
          <w:lang w:eastAsia="fr-FR"/>
        </w:rPr>
        <w:t>206 050</w:t>
      </w:r>
      <w:r w:rsidRPr="00D75D2E">
        <w:rPr>
          <w:rFonts w:ascii="Times New Roman" w:eastAsia="Times New Roman" w:hAnsi="Times New Roman"/>
          <w:b/>
          <w:bCs/>
          <w:lang w:eastAsia="fr-FR"/>
        </w:rPr>
        <w:t xml:space="preserve">  </w:t>
      </w:r>
      <w:r w:rsidRPr="00D75D2E">
        <w:rPr>
          <w:rFonts w:ascii="Times New Roman" w:eastAsia="Times New Roman" w:hAnsi="Times New Roman"/>
          <w:b/>
          <w:bCs/>
          <w:sz w:val="24"/>
          <w:lang w:eastAsia="fr-FR"/>
        </w:rPr>
        <w:t>$</w:t>
      </w:r>
      <w:r w:rsidRPr="00D75D2E">
        <w:rPr>
          <w:rFonts w:ascii="Times New Roman" w:hAnsi="Times New Roman"/>
          <w:sz w:val="24"/>
        </w:rPr>
        <w:t xml:space="preserve"> US dont </w:t>
      </w:r>
      <w:r w:rsidRPr="00D75D2E">
        <w:rPr>
          <w:rFonts w:ascii="Times New Roman" w:hAnsi="Times New Roman"/>
          <w:b/>
          <w:bCs/>
          <w:sz w:val="24"/>
        </w:rPr>
        <w:t xml:space="preserve">  </w:t>
      </w:r>
      <w:r w:rsidR="00CB0941">
        <w:rPr>
          <w:rFonts w:ascii="Times New Roman" w:eastAsia="Times New Roman" w:hAnsi="Times New Roman"/>
          <w:b/>
          <w:bCs/>
          <w:lang w:eastAsia="fr-FR"/>
        </w:rPr>
        <w:t>141</w:t>
      </w:r>
      <w:r w:rsidR="006304E4">
        <w:rPr>
          <w:rFonts w:ascii="Times New Roman" w:eastAsia="Times New Roman" w:hAnsi="Times New Roman"/>
          <w:b/>
          <w:bCs/>
          <w:lang w:eastAsia="fr-FR"/>
        </w:rPr>
        <w:t xml:space="preserve"> </w:t>
      </w:r>
      <w:r w:rsidR="00CB0941">
        <w:rPr>
          <w:rFonts w:ascii="Times New Roman" w:eastAsia="Times New Roman" w:hAnsi="Times New Roman"/>
          <w:b/>
          <w:bCs/>
          <w:lang w:eastAsia="fr-FR"/>
        </w:rPr>
        <w:t>300</w:t>
      </w:r>
      <w:r w:rsidRPr="00D75D2E">
        <w:rPr>
          <w:rFonts w:ascii="Times New Roman" w:eastAsia="Times New Roman" w:hAnsi="Times New Roman"/>
          <w:b/>
          <w:bCs/>
          <w:lang w:eastAsia="fr-FR"/>
        </w:rPr>
        <w:t xml:space="preserve"> </w:t>
      </w:r>
      <w:r w:rsidRPr="00D75D2E">
        <w:rPr>
          <w:rFonts w:ascii="Times New Roman" w:eastAsia="Times New Roman" w:hAnsi="Times New Roman"/>
          <w:bCs/>
          <w:sz w:val="24"/>
          <w:lang w:eastAsia="fr-FR"/>
        </w:rPr>
        <w:t xml:space="preserve">$US pris en charge par le projet et </w:t>
      </w:r>
      <w:r w:rsidR="00CB0941">
        <w:rPr>
          <w:rFonts w:ascii="Times New Roman" w:eastAsia="Times New Roman" w:hAnsi="Times New Roman"/>
          <w:b/>
          <w:bCs/>
          <w:lang w:eastAsia="fr-FR"/>
        </w:rPr>
        <w:t>64</w:t>
      </w:r>
      <w:r w:rsidR="006304E4">
        <w:rPr>
          <w:rFonts w:ascii="Times New Roman" w:eastAsia="Times New Roman" w:hAnsi="Times New Roman"/>
          <w:b/>
          <w:bCs/>
          <w:lang w:eastAsia="fr-FR"/>
        </w:rPr>
        <w:t xml:space="preserve"> </w:t>
      </w:r>
      <w:r w:rsidR="00CB0941">
        <w:rPr>
          <w:rFonts w:ascii="Times New Roman" w:eastAsia="Times New Roman" w:hAnsi="Times New Roman"/>
          <w:b/>
          <w:bCs/>
          <w:lang w:eastAsia="fr-FR"/>
        </w:rPr>
        <w:t>750</w:t>
      </w:r>
      <w:r w:rsidRPr="00D75D2E">
        <w:rPr>
          <w:rFonts w:ascii="Times New Roman" w:eastAsia="Times New Roman" w:hAnsi="Times New Roman"/>
          <w:b/>
          <w:bCs/>
          <w:sz w:val="24"/>
          <w:lang w:eastAsia="fr-FR"/>
        </w:rPr>
        <w:t xml:space="preserve"> $</w:t>
      </w:r>
      <w:r w:rsidRPr="00D75D2E">
        <w:rPr>
          <w:rFonts w:ascii="Times New Roman" w:eastAsia="Times New Roman" w:hAnsi="Times New Roman"/>
          <w:bCs/>
          <w:sz w:val="24"/>
          <w:lang w:eastAsia="fr-FR"/>
        </w:rPr>
        <w:t xml:space="preserve"> US pris en charge par l’entreprise</w:t>
      </w:r>
      <w:r w:rsidRPr="00D75D2E">
        <w:rPr>
          <w:rFonts w:ascii="Times New Roman" w:eastAsia="Times New Roman" w:hAnsi="Times New Roman"/>
          <w:sz w:val="24"/>
          <w:szCs w:val="24"/>
          <w:lang w:eastAsia="fr-FR"/>
        </w:rPr>
        <w:t xml:space="preserve">. Le tableau ci-après présente le budget de mise en œuvre du PGES.  </w:t>
      </w:r>
    </w:p>
    <w:tbl>
      <w:tblPr>
        <w:tblW w:w="9381" w:type="dxa"/>
        <w:jc w:val="center"/>
        <w:tblCellMar>
          <w:left w:w="70" w:type="dxa"/>
          <w:right w:w="70" w:type="dxa"/>
        </w:tblCellMar>
        <w:tblLook w:val="04A0" w:firstRow="1" w:lastRow="0" w:firstColumn="1" w:lastColumn="0" w:noHBand="0" w:noVBand="1"/>
      </w:tblPr>
      <w:tblGrid>
        <w:gridCol w:w="629"/>
        <w:gridCol w:w="1807"/>
        <w:gridCol w:w="739"/>
        <w:gridCol w:w="1132"/>
        <w:gridCol w:w="1190"/>
        <w:gridCol w:w="1143"/>
        <w:gridCol w:w="1276"/>
        <w:gridCol w:w="1465"/>
      </w:tblGrid>
      <w:tr w:rsidR="002C66D7" w:rsidRPr="00420C1B" w14:paraId="6DDD79B0" w14:textId="77777777" w:rsidTr="00420C1B">
        <w:trPr>
          <w:trHeight w:val="62"/>
          <w:tblHeader/>
          <w:jc w:val="center"/>
        </w:trPr>
        <w:tc>
          <w:tcPr>
            <w:tcW w:w="629" w:type="dxa"/>
            <w:tcBorders>
              <w:top w:val="single" w:sz="8" w:space="0" w:color="auto"/>
              <w:left w:val="single" w:sz="8" w:space="0" w:color="auto"/>
              <w:bottom w:val="single" w:sz="8" w:space="0" w:color="auto"/>
              <w:right w:val="single" w:sz="8" w:space="0" w:color="auto"/>
            </w:tcBorders>
            <w:shd w:val="clear" w:color="auto" w:fill="A8D08D"/>
            <w:vAlign w:val="center"/>
            <w:hideMark/>
          </w:tcPr>
          <w:p w14:paraId="53D7DAF1"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Code FDI</w:t>
            </w:r>
          </w:p>
        </w:tc>
        <w:tc>
          <w:tcPr>
            <w:tcW w:w="1807" w:type="dxa"/>
            <w:tcBorders>
              <w:top w:val="single" w:sz="8" w:space="0" w:color="auto"/>
              <w:left w:val="nil"/>
              <w:bottom w:val="single" w:sz="8" w:space="0" w:color="auto"/>
              <w:right w:val="single" w:sz="8" w:space="0" w:color="auto"/>
            </w:tcBorders>
            <w:shd w:val="clear" w:color="auto" w:fill="A8D08D"/>
            <w:vAlign w:val="center"/>
            <w:hideMark/>
          </w:tcPr>
          <w:p w14:paraId="1AF737EE" w14:textId="77777777" w:rsidR="00D75D2E" w:rsidRPr="00D75D2E" w:rsidRDefault="00D75D2E" w:rsidP="00422EE3">
            <w:pPr>
              <w:spacing w:after="0" w:line="240" w:lineRule="auto"/>
              <w:rPr>
                <w:rFonts w:ascii="Times New Roman" w:eastAsia="Times New Roman" w:hAnsi="Times New Roman"/>
                <w:b/>
                <w:bCs/>
                <w:lang w:eastAsia="fr-FR"/>
              </w:rPr>
            </w:pPr>
            <w:r w:rsidRPr="00D75D2E">
              <w:rPr>
                <w:rFonts w:ascii="Times New Roman" w:eastAsia="Times New Roman" w:hAnsi="Times New Roman"/>
                <w:b/>
                <w:bCs/>
                <w:lang w:eastAsia="fr-FR"/>
              </w:rPr>
              <w:t>Mesures d’atténuation</w:t>
            </w:r>
          </w:p>
        </w:tc>
        <w:tc>
          <w:tcPr>
            <w:tcW w:w="739" w:type="dxa"/>
            <w:tcBorders>
              <w:top w:val="single" w:sz="8" w:space="0" w:color="auto"/>
              <w:left w:val="nil"/>
              <w:bottom w:val="single" w:sz="8" w:space="0" w:color="auto"/>
              <w:right w:val="single" w:sz="4" w:space="0" w:color="auto"/>
            </w:tcBorders>
            <w:shd w:val="clear" w:color="auto" w:fill="A8D08D"/>
            <w:vAlign w:val="center"/>
            <w:hideMark/>
          </w:tcPr>
          <w:p w14:paraId="192959EA"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Unités</w:t>
            </w:r>
          </w:p>
        </w:tc>
        <w:tc>
          <w:tcPr>
            <w:tcW w:w="1132" w:type="dxa"/>
            <w:tcBorders>
              <w:top w:val="single" w:sz="8" w:space="0" w:color="auto"/>
              <w:left w:val="single" w:sz="4" w:space="0" w:color="auto"/>
              <w:bottom w:val="single" w:sz="8" w:space="0" w:color="auto"/>
              <w:right w:val="single" w:sz="4" w:space="0" w:color="auto"/>
            </w:tcBorders>
            <w:shd w:val="clear" w:color="auto" w:fill="A8D08D"/>
            <w:vAlign w:val="center"/>
            <w:hideMark/>
          </w:tcPr>
          <w:p w14:paraId="626B1F2D"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Quantités</w:t>
            </w:r>
          </w:p>
        </w:tc>
        <w:tc>
          <w:tcPr>
            <w:tcW w:w="1190" w:type="dxa"/>
            <w:tcBorders>
              <w:top w:val="single" w:sz="8" w:space="0" w:color="auto"/>
              <w:left w:val="single" w:sz="4" w:space="0" w:color="auto"/>
              <w:bottom w:val="single" w:sz="8" w:space="0" w:color="auto"/>
              <w:right w:val="single" w:sz="8" w:space="0" w:color="auto"/>
            </w:tcBorders>
            <w:shd w:val="clear" w:color="auto" w:fill="A8D08D"/>
            <w:vAlign w:val="center"/>
            <w:hideMark/>
          </w:tcPr>
          <w:p w14:paraId="4297F1E4"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Coûts unitaires en $</w:t>
            </w:r>
          </w:p>
        </w:tc>
        <w:tc>
          <w:tcPr>
            <w:tcW w:w="1143" w:type="dxa"/>
            <w:tcBorders>
              <w:top w:val="single" w:sz="8" w:space="0" w:color="auto"/>
              <w:left w:val="nil"/>
              <w:bottom w:val="single" w:sz="8" w:space="0" w:color="auto"/>
              <w:right w:val="single" w:sz="8" w:space="0" w:color="auto"/>
            </w:tcBorders>
            <w:shd w:val="clear" w:color="auto" w:fill="A8D08D"/>
            <w:vAlign w:val="center"/>
            <w:hideMark/>
          </w:tcPr>
          <w:p w14:paraId="5A278AEC"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Entreprise en $</w:t>
            </w:r>
          </w:p>
        </w:tc>
        <w:tc>
          <w:tcPr>
            <w:tcW w:w="1276" w:type="dxa"/>
            <w:tcBorders>
              <w:top w:val="single" w:sz="8" w:space="0" w:color="auto"/>
              <w:left w:val="nil"/>
              <w:bottom w:val="single" w:sz="8" w:space="0" w:color="auto"/>
              <w:right w:val="single" w:sz="8" w:space="0" w:color="auto"/>
            </w:tcBorders>
            <w:shd w:val="clear" w:color="auto" w:fill="A8D08D"/>
            <w:vAlign w:val="center"/>
            <w:hideMark/>
          </w:tcPr>
          <w:p w14:paraId="3A096A6F"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Projet</w:t>
            </w:r>
          </w:p>
        </w:tc>
        <w:tc>
          <w:tcPr>
            <w:tcW w:w="1465" w:type="dxa"/>
            <w:tcBorders>
              <w:top w:val="single" w:sz="8" w:space="0" w:color="auto"/>
              <w:left w:val="nil"/>
              <w:bottom w:val="single" w:sz="8" w:space="0" w:color="auto"/>
              <w:right w:val="single" w:sz="8" w:space="0" w:color="auto"/>
            </w:tcBorders>
            <w:shd w:val="clear" w:color="auto" w:fill="A8D08D"/>
            <w:vAlign w:val="center"/>
            <w:hideMark/>
          </w:tcPr>
          <w:p w14:paraId="1644F0FB" w14:textId="77777777" w:rsidR="00D75D2E" w:rsidRPr="00D75D2E" w:rsidRDefault="00D75D2E" w:rsidP="00422EE3">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TOTAL</w:t>
            </w:r>
          </w:p>
        </w:tc>
      </w:tr>
      <w:tr w:rsidR="00CB0941" w:rsidRPr="00420C1B" w14:paraId="3DFD8BAB" w14:textId="77777777" w:rsidTr="00CB0941">
        <w:trPr>
          <w:trHeight w:val="552"/>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4925117" w14:textId="77777777" w:rsidR="00CB0941" w:rsidRPr="00D75D2E" w:rsidRDefault="00CB0941" w:rsidP="00CB0941">
            <w:pPr>
              <w:spacing w:after="0" w:line="240" w:lineRule="auto"/>
              <w:rPr>
                <w:rFonts w:ascii="Times New Roman" w:eastAsia="Times New Roman" w:hAnsi="Times New Roman"/>
                <w:b/>
                <w:bCs/>
                <w:lang w:eastAsia="fr-FR"/>
              </w:rPr>
            </w:pPr>
            <w:r w:rsidRPr="00D75D2E">
              <w:rPr>
                <w:rFonts w:ascii="Times New Roman" w:eastAsia="Times New Roman" w:hAnsi="Times New Roman"/>
                <w:b/>
                <w:bCs/>
                <w:lang w:eastAsia="fr-FR"/>
              </w:rPr>
              <w:t xml:space="preserve">Sous Total plan environnementaux </w:t>
            </w:r>
          </w:p>
        </w:tc>
        <w:tc>
          <w:tcPr>
            <w:tcW w:w="739" w:type="dxa"/>
            <w:tcBorders>
              <w:top w:val="nil"/>
              <w:left w:val="nil"/>
              <w:bottom w:val="single" w:sz="8" w:space="0" w:color="auto"/>
              <w:right w:val="single" w:sz="4" w:space="0" w:color="auto"/>
            </w:tcBorders>
            <w:shd w:val="clear" w:color="auto" w:fill="auto"/>
            <w:noWrap/>
            <w:vAlign w:val="center"/>
            <w:hideMark/>
          </w:tcPr>
          <w:p w14:paraId="5C3DDECF"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 </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14:paraId="4C9983EA"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 </w:t>
            </w:r>
          </w:p>
        </w:tc>
        <w:tc>
          <w:tcPr>
            <w:tcW w:w="1190" w:type="dxa"/>
            <w:tcBorders>
              <w:top w:val="nil"/>
              <w:left w:val="single" w:sz="4" w:space="0" w:color="auto"/>
              <w:bottom w:val="single" w:sz="8" w:space="0" w:color="auto"/>
              <w:right w:val="single" w:sz="4" w:space="0" w:color="auto"/>
            </w:tcBorders>
            <w:shd w:val="clear" w:color="auto" w:fill="auto"/>
            <w:noWrap/>
            <w:vAlign w:val="center"/>
            <w:hideMark/>
          </w:tcPr>
          <w:p w14:paraId="3866843F"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 </w:t>
            </w:r>
          </w:p>
        </w:tc>
        <w:tc>
          <w:tcPr>
            <w:tcW w:w="1143" w:type="dxa"/>
            <w:tcBorders>
              <w:top w:val="nil"/>
              <w:left w:val="single" w:sz="4" w:space="0" w:color="auto"/>
              <w:bottom w:val="single" w:sz="8" w:space="0" w:color="auto"/>
              <w:right w:val="single" w:sz="8" w:space="0" w:color="auto"/>
            </w:tcBorders>
            <w:shd w:val="clear" w:color="auto" w:fill="auto"/>
            <w:noWrap/>
            <w:vAlign w:val="center"/>
            <w:hideMark/>
          </w:tcPr>
          <w:p w14:paraId="4FEC2F5D" w14:textId="6B90E3F6" w:rsidR="00CB0941" w:rsidRPr="00D75D2E" w:rsidRDefault="00CB0941" w:rsidP="00CB0941">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33 750</w:t>
            </w:r>
          </w:p>
        </w:tc>
        <w:tc>
          <w:tcPr>
            <w:tcW w:w="1276" w:type="dxa"/>
            <w:tcBorders>
              <w:top w:val="nil"/>
              <w:left w:val="nil"/>
              <w:bottom w:val="single" w:sz="8" w:space="0" w:color="auto"/>
              <w:right w:val="single" w:sz="8" w:space="0" w:color="auto"/>
            </w:tcBorders>
            <w:shd w:val="clear" w:color="auto" w:fill="auto"/>
            <w:noWrap/>
            <w:vAlign w:val="center"/>
            <w:hideMark/>
          </w:tcPr>
          <w:p w14:paraId="32E1F1C1" w14:textId="30863D31" w:rsidR="00CB0941" w:rsidRPr="00D75D2E" w:rsidRDefault="00CB0941" w:rsidP="00CB0941">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48 000</w:t>
            </w:r>
          </w:p>
        </w:tc>
        <w:tc>
          <w:tcPr>
            <w:tcW w:w="1465" w:type="dxa"/>
            <w:tcBorders>
              <w:top w:val="nil"/>
              <w:left w:val="nil"/>
              <w:bottom w:val="single" w:sz="8" w:space="0" w:color="auto"/>
              <w:right w:val="single" w:sz="8" w:space="0" w:color="auto"/>
            </w:tcBorders>
            <w:shd w:val="clear" w:color="auto" w:fill="auto"/>
            <w:noWrap/>
            <w:vAlign w:val="center"/>
            <w:hideMark/>
          </w:tcPr>
          <w:p w14:paraId="21045354" w14:textId="28E65F23" w:rsidR="00CB0941" w:rsidRPr="00D75D2E" w:rsidRDefault="00CB0941" w:rsidP="00CB0941">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81 750</w:t>
            </w:r>
          </w:p>
        </w:tc>
      </w:tr>
      <w:tr w:rsidR="00CB0941" w:rsidRPr="00420C1B" w14:paraId="2D42B432" w14:textId="77777777" w:rsidTr="00CB0941">
        <w:trPr>
          <w:trHeight w:val="300"/>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2E3E3E8" w14:textId="77777777" w:rsidR="00CB0941" w:rsidRPr="00D75D2E" w:rsidRDefault="00CB0941" w:rsidP="00CB0941">
            <w:pPr>
              <w:spacing w:after="0" w:line="240" w:lineRule="auto"/>
              <w:rPr>
                <w:rFonts w:ascii="Times New Roman" w:eastAsia="Times New Roman" w:hAnsi="Times New Roman"/>
                <w:b/>
                <w:bCs/>
                <w:lang w:eastAsia="fr-FR"/>
              </w:rPr>
            </w:pPr>
            <w:r w:rsidRPr="00D75D2E">
              <w:rPr>
                <w:rFonts w:ascii="Times New Roman" w:eastAsia="Times New Roman" w:hAnsi="Times New Roman"/>
                <w:b/>
                <w:bCs/>
                <w:lang w:eastAsia="fr-FR"/>
              </w:rPr>
              <w:t>Sous Total plan social</w:t>
            </w:r>
          </w:p>
        </w:tc>
        <w:tc>
          <w:tcPr>
            <w:tcW w:w="739" w:type="dxa"/>
            <w:tcBorders>
              <w:top w:val="nil"/>
              <w:left w:val="nil"/>
              <w:bottom w:val="single" w:sz="8" w:space="0" w:color="auto"/>
              <w:right w:val="single" w:sz="8" w:space="0" w:color="auto"/>
            </w:tcBorders>
            <w:shd w:val="clear" w:color="auto" w:fill="auto"/>
            <w:noWrap/>
            <w:vAlign w:val="center"/>
            <w:hideMark/>
          </w:tcPr>
          <w:p w14:paraId="3BAB0B61"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32" w:type="dxa"/>
            <w:tcBorders>
              <w:top w:val="nil"/>
              <w:left w:val="nil"/>
              <w:bottom w:val="single" w:sz="8" w:space="0" w:color="auto"/>
              <w:right w:val="single" w:sz="8" w:space="0" w:color="auto"/>
            </w:tcBorders>
            <w:shd w:val="clear" w:color="auto" w:fill="auto"/>
            <w:noWrap/>
            <w:vAlign w:val="center"/>
            <w:hideMark/>
          </w:tcPr>
          <w:p w14:paraId="2BE068BF"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90" w:type="dxa"/>
            <w:tcBorders>
              <w:top w:val="nil"/>
              <w:left w:val="single" w:sz="4" w:space="0" w:color="auto"/>
              <w:bottom w:val="single" w:sz="8" w:space="0" w:color="auto"/>
              <w:right w:val="single" w:sz="8" w:space="0" w:color="auto"/>
            </w:tcBorders>
            <w:shd w:val="clear" w:color="auto" w:fill="auto"/>
            <w:noWrap/>
            <w:vAlign w:val="center"/>
            <w:hideMark/>
          </w:tcPr>
          <w:p w14:paraId="5B1F3F6D"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43" w:type="dxa"/>
            <w:tcBorders>
              <w:top w:val="nil"/>
              <w:left w:val="nil"/>
              <w:bottom w:val="single" w:sz="8" w:space="0" w:color="auto"/>
              <w:right w:val="single" w:sz="8" w:space="0" w:color="auto"/>
            </w:tcBorders>
            <w:shd w:val="clear" w:color="auto" w:fill="auto"/>
            <w:noWrap/>
            <w:vAlign w:val="center"/>
            <w:hideMark/>
          </w:tcPr>
          <w:p w14:paraId="58D122D8" w14:textId="28DC8F7E" w:rsidR="00CB0941" w:rsidRPr="00D75D2E" w:rsidRDefault="00CB0941" w:rsidP="00CB0941">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31000</w:t>
            </w:r>
          </w:p>
        </w:tc>
        <w:tc>
          <w:tcPr>
            <w:tcW w:w="1276" w:type="dxa"/>
            <w:tcBorders>
              <w:top w:val="nil"/>
              <w:left w:val="nil"/>
              <w:bottom w:val="single" w:sz="8" w:space="0" w:color="auto"/>
              <w:right w:val="single" w:sz="8" w:space="0" w:color="auto"/>
            </w:tcBorders>
            <w:shd w:val="clear" w:color="auto" w:fill="auto"/>
            <w:noWrap/>
            <w:vAlign w:val="center"/>
            <w:hideMark/>
          </w:tcPr>
          <w:p w14:paraId="6A32A809" w14:textId="30799D15" w:rsidR="00CB0941" w:rsidRPr="00D75D2E" w:rsidRDefault="00CB0941" w:rsidP="00CB0941">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7000</w:t>
            </w:r>
          </w:p>
        </w:tc>
        <w:tc>
          <w:tcPr>
            <w:tcW w:w="1465" w:type="dxa"/>
            <w:tcBorders>
              <w:top w:val="nil"/>
              <w:left w:val="nil"/>
              <w:bottom w:val="single" w:sz="8" w:space="0" w:color="auto"/>
              <w:right w:val="single" w:sz="8" w:space="0" w:color="auto"/>
            </w:tcBorders>
            <w:shd w:val="clear" w:color="auto" w:fill="auto"/>
            <w:noWrap/>
            <w:vAlign w:val="center"/>
            <w:hideMark/>
          </w:tcPr>
          <w:p w14:paraId="34654CDE" w14:textId="448BECF8" w:rsidR="00CB0941" w:rsidRPr="00D75D2E" w:rsidRDefault="00CB0941" w:rsidP="00CB0941">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38000</w:t>
            </w:r>
          </w:p>
        </w:tc>
      </w:tr>
      <w:tr w:rsidR="00CB0941" w:rsidRPr="00420C1B" w14:paraId="74C120BD" w14:textId="77777777" w:rsidTr="00CB0941">
        <w:trPr>
          <w:trHeight w:val="48"/>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07A9F1" w14:textId="0381A913" w:rsidR="00CB0941" w:rsidRPr="00D75D2E" w:rsidRDefault="00CB0941" w:rsidP="00CB0941">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Programme de surveillance environnementale</w:t>
            </w:r>
            <w:r>
              <w:rPr>
                <w:rFonts w:ascii="Times New Roman" w:eastAsia="Times New Roman" w:hAnsi="Times New Roman"/>
                <w:lang w:eastAsia="fr-FR"/>
              </w:rPr>
              <w:t xml:space="preserve"> en phase des travaux et d’exploitation</w:t>
            </w:r>
          </w:p>
        </w:tc>
        <w:tc>
          <w:tcPr>
            <w:tcW w:w="739" w:type="dxa"/>
            <w:tcBorders>
              <w:top w:val="nil"/>
              <w:left w:val="nil"/>
              <w:bottom w:val="single" w:sz="8" w:space="0" w:color="auto"/>
              <w:right w:val="single" w:sz="8" w:space="0" w:color="auto"/>
            </w:tcBorders>
            <w:shd w:val="clear" w:color="auto" w:fill="auto"/>
            <w:noWrap/>
            <w:vAlign w:val="center"/>
            <w:hideMark/>
          </w:tcPr>
          <w:p w14:paraId="080F8335" w14:textId="77777777" w:rsidR="00CB0941" w:rsidRPr="00D75D2E" w:rsidRDefault="00CB0941" w:rsidP="00CB0941">
            <w:pPr>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56293715" w14:textId="470EC4BA"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06330EA1" w14:textId="1C9DFD39"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0</w:t>
            </w:r>
          </w:p>
        </w:tc>
        <w:tc>
          <w:tcPr>
            <w:tcW w:w="1143" w:type="dxa"/>
            <w:tcBorders>
              <w:top w:val="nil"/>
              <w:left w:val="nil"/>
              <w:bottom w:val="single" w:sz="8" w:space="0" w:color="auto"/>
              <w:right w:val="single" w:sz="8" w:space="0" w:color="auto"/>
            </w:tcBorders>
            <w:shd w:val="clear" w:color="auto" w:fill="auto"/>
            <w:noWrap/>
            <w:vAlign w:val="center"/>
            <w:hideMark/>
          </w:tcPr>
          <w:p w14:paraId="6FC4DC79" w14:textId="74082B87"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6E4B11AE" w14:textId="787AC03E"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74 500</w:t>
            </w:r>
          </w:p>
        </w:tc>
        <w:tc>
          <w:tcPr>
            <w:tcW w:w="1465" w:type="dxa"/>
            <w:tcBorders>
              <w:top w:val="nil"/>
              <w:left w:val="nil"/>
              <w:bottom w:val="single" w:sz="8" w:space="0" w:color="auto"/>
              <w:right w:val="single" w:sz="8" w:space="0" w:color="auto"/>
            </w:tcBorders>
            <w:shd w:val="clear" w:color="auto" w:fill="auto"/>
            <w:noWrap/>
            <w:vAlign w:val="center"/>
            <w:hideMark/>
          </w:tcPr>
          <w:p w14:paraId="50F226A3" w14:textId="182E0170"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74 500</w:t>
            </w:r>
          </w:p>
        </w:tc>
      </w:tr>
      <w:tr w:rsidR="00CB0941" w:rsidRPr="00420C1B" w14:paraId="1CE4776B" w14:textId="77777777" w:rsidTr="00CB0941">
        <w:trPr>
          <w:trHeight w:val="72"/>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011F796" w14:textId="77777777" w:rsidR="00CB0941" w:rsidRPr="00D75D2E" w:rsidRDefault="00CB0941" w:rsidP="00CB0941">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Programme de suivi environnemental</w:t>
            </w:r>
          </w:p>
        </w:tc>
        <w:tc>
          <w:tcPr>
            <w:tcW w:w="739" w:type="dxa"/>
            <w:tcBorders>
              <w:top w:val="nil"/>
              <w:left w:val="nil"/>
              <w:bottom w:val="single" w:sz="8" w:space="0" w:color="auto"/>
              <w:right w:val="single" w:sz="8" w:space="0" w:color="auto"/>
            </w:tcBorders>
            <w:shd w:val="clear" w:color="auto" w:fill="auto"/>
            <w:noWrap/>
            <w:vAlign w:val="center"/>
            <w:hideMark/>
          </w:tcPr>
          <w:p w14:paraId="3C53F1F6" w14:textId="77777777" w:rsidR="00CB0941" w:rsidRPr="00D75D2E" w:rsidRDefault="00CB0941" w:rsidP="00CB0941">
            <w:pPr>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7B76343E" w14:textId="37F9E35B"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00BF327A" w14:textId="0893E058"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1600</w:t>
            </w:r>
          </w:p>
        </w:tc>
        <w:tc>
          <w:tcPr>
            <w:tcW w:w="1143" w:type="dxa"/>
            <w:tcBorders>
              <w:top w:val="nil"/>
              <w:left w:val="nil"/>
              <w:bottom w:val="single" w:sz="8" w:space="0" w:color="auto"/>
              <w:right w:val="single" w:sz="8" w:space="0" w:color="auto"/>
            </w:tcBorders>
            <w:shd w:val="clear" w:color="auto" w:fill="auto"/>
            <w:noWrap/>
            <w:vAlign w:val="center"/>
            <w:hideMark/>
          </w:tcPr>
          <w:p w14:paraId="420020DA" w14:textId="2C1251FB"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19F91D52" w14:textId="55DFE4FF"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800</w:t>
            </w:r>
          </w:p>
        </w:tc>
        <w:tc>
          <w:tcPr>
            <w:tcW w:w="1465" w:type="dxa"/>
            <w:tcBorders>
              <w:top w:val="nil"/>
              <w:left w:val="nil"/>
              <w:bottom w:val="single" w:sz="8" w:space="0" w:color="auto"/>
              <w:right w:val="single" w:sz="8" w:space="0" w:color="auto"/>
            </w:tcBorders>
            <w:shd w:val="clear" w:color="auto" w:fill="auto"/>
            <w:noWrap/>
            <w:vAlign w:val="center"/>
            <w:hideMark/>
          </w:tcPr>
          <w:p w14:paraId="04E694BB" w14:textId="0960EA2D"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800</w:t>
            </w:r>
          </w:p>
        </w:tc>
      </w:tr>
      <w:tr w:rsidR="00CB0941" w:rsidRPr="00420C1B" w14:paraId="17076BA3" w14:textId="77777777" w:rsidTr="00CB0941">
        <w:trPr>
          <w:trHeight w:val="48"/>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C6012B" w14:textId="77777777" w:rsidR="00CB0941" w:rsidRPr="00D75D2E" w:rsidRDefault="00CB0941" w:rsidP="00CB0941">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Programme de renforcement des capacités</w:t>
            </w:r>
          </w:p>
        </w:tc>
        <w:tc>
          <w:tcPr>
            <w:tcW w:w="739" w:type="dxa"/>
            <w:tcBorders>
              <w:top w:val="nil"/>
              <w:left w:val="nil"/>
              <w:bottom w:val="single" w:sz="8" w:space="0" w:color="auto"/>
              <w:right w:val="single" w:sz="8" w:space="0" w:color="auto"/>
            </w:tcBorders>
            <w:shd w:val="clear" w:color="auto" w:fill="auto"/>
            <w:noWrap/>
            <w:vAlign w:val="center"/>
            <w:hideMark/>
          </w:tcPr>
          <w:p w14:paraId="5E277210"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2A4FA66E" w14:textId="66046429"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4CB0A2E6" w14:textId="5183725A"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11000</w:t>
            </w:r>
          </w:p>
        </w:tc>
        <w:tc>
          <w:tcPr>
            <w:tcW w:w="1143" w:type="dxa"/>
            <w:tcBorders>
              <w:top w:val="nil"/>
              <w:left w:val="nil"/>
              <w:bottom w:val="single" w:sz="8" w:space="0" w:color="auto"/>
              <w:right w:val="single" w:sz="8" w:space="0" w:color="auto"/>
            </w:tcBorders>
            <w:shd w:val="clear" w:color="auto" w:fill="auto"/>
            <w:noWrap/>
            <w:vAlign w:val="center"/>
            <w:hideMark/>
          </w:tcPr>
          <w:p w14:paraId="2F6642B3" w14:textId="3AC6D165"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01198B26" w14:textId="785BDC57"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11000</w:t>
            </w:r>
          </w:p>
        </w:tc>
        <w:tc>
          <w:tcPr>
            <w:tcW w:w="1465" w:type="dxa"/>
            <w:tcBorders>
              <w:top w:val="nil"/>
              <w:left w:val="nil"/>
              <w:bottom w:val="single" w:sz="8" w:space="0" w:color="auto"/>
              <w:right w:val="single" w:sz="8" w:space="0" w:color="auto"/>
            </w:tcBorders>
            <w:shd w:val="clear" w:color="auto" w:fill="auto"/>
            <w:noWrap/>
            <w:vAlign w:val="center"/>
            <w:hideMark/>
          </w:tcPr>
          <w:p w14:paraId="4BFBD42C" w14:textId="7720EED6" w:rsidR="00CB0941" w:rsidRPr="00D75D2E" w:rsidRDefault="00CB0941" w:rsidP="00CB0941">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11 000</w:t>
            </w:r>
          </w:p>
        </w:tc>
      </w:tr>
      <w:tr w:rsidR="00CB0941" w:rsidRPr="00420C1B" w14:paraId="23852ADB" w14:textId="77777777" w:rsidTr="00AE31F1">
        <w:trPr>
          <w:trHeight w:val="300"/>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B90E61" w14:textId="77777777" w:rsidR="00CB0941" w:rsidRPr="00D75D2E" w:rsidRDefault="00CB0941" w:rsidP="00CB0941">
            <w:pPr>
              <w:spacing w:after="0" w:line="240" w:lineRule="auto"/>
              <w:rPr>
                <w:rFonts w:ascii="Times New Roman" w:eastAsia="Times New Roman" w:hAnsi="Times New Roman"/>
                <w:b/>
                <w:bCs/>
                <w:lang w:eastAsia="fr-FR"/>
              </w:rPr>
            </w:pPr>
            <w:r w:rsidRPr="00D75D2E">
              <w:rPr>
                <w:rFonts w:ascii="Times New Roman" w:eastAsia="Times New Roman" w:hAnsi="Times New Roman"/>
                <w:b/>
                <w:bCs/>
                <w:lang w:eastAsia="fr-FR"/>
              </w:rPr>
              <w:t>TOTAL GENERAL</w:t>
            </w:r>
          </w:p>
        </w:tc>
        <w:tc>
          <w:tcPr>
            <w:tcW w:w="739" w:type="dxa"/>
            <w:tcBorders>
              <w:top w:val="nil"/>
              <w:left w:val="nil"/>
              <w:bottom w:val="single" w:sz="8" w:space="0" w:color="auto"/>
              <w:right w:val="single" w:sz="8" w:space="0" w:color="auto"/>
            </w:tcBorders>
            <w:shd w:val="clear" w:color="auto" w:fill="auto"/>
            <w:noWrap/>
            <w:vAlign w:val="center"/>
            <w:hideMark/>
          </w:tcPr>
          <w:p w14:paraId="606961A0"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32" w:type="dxa"/>
            <w:tcBorders>
              <w:top w:val="nil"/>
              <w:left w:val="nil"/>
              <w:bottom w:val="single" w:sz="8" w:space="0" w:color="auto"/>
              <w:right w:val="single" w:sz="8" w:space="0" w:color="auto"/>
            </w:tcBorders>
            <w:shd w:val="clear" w:color="auto" w:fill="auto"/>
            <w:noWrap/>
            <w:vAlign w:val="center"/>
            <w:hideMark/>
          </w:tcPr>
          <w:p w14:paraId="45D30E6B"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90" w:type="dxa"/>
            <w:tcBorders>
              <w:top w:val="nil"/>
              <w:left w:val="nil"/>
              <w:bottom w:val="single" w:sz="8" w:space="0" w:color="auto"/>
              <w:right w:val="single" w:sz="8" w:space="0" w:color="auto"/>
            </w:tcBorders>
            <w:shd w:val="clear" w:color="auto" w:fill="auto"/>
            <w:noWrap/>
            <w:vAlign w:val="center"/>
            <w:hideMark/>
          </w:tcPr>
          <w:p w14:paraId="4CDCE9CD" w14:textId="77777777" w:rsidR="00CB0941" w:rsidRPr="00D75D2E" w:rsidRDefault="00CB0941" w:rsidP="00CB0941">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43" w:type="dxa"/>
            <w:tcBorders>
              <w:top w:val="nil"/>
              <w:left w:val="nil"/>
              <w:bottom w:val="single" w:sz="8" w:space="0" w:color="auto"/>
              <w:right w:val="single" w:sz="8" w:space="0" w:color="auto"/>
            </w:tcBorders>
            <w:shd w:val="clear" w:color="auto" w:fill="auto"/>
            <w:noWrap/>
            <w:vAlign w:val="center"/>
            <w:hideMark/>
          </w:tcPr>
          <w:p w14:paraId="52022986" w14:textId="4577840C" w:rsidR="00CB0941" w:rsidRPr="00D75D2E" w:rsidRDefault="00CB0941" w:rsidP="00CB0941">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64 750</w:t>
            </w:r>
          </w:p>
        </w:tc>
        <w:tc>
          <w:tcPr>
            <w:tcW w:w="1276" w:type="dxa"/>
            <w:tcBorders>
              <w:top w:val="nil"/>
              <w:left w:val="nil"/>
              <w:bottom w:val="single" w:sz="8" w:space="0" w:color="auto"/>
              <w:right w:val="single" w:sz="8" w:space="0" w:color="auto"/>
            </w:tcBorders>
            <w:shd w:val="clear" w:color="auto" w:fill="auto"/>
            <w:noWrap/>
            <w:vAlign w:val="center"/>
            <w:hideMark/>
          </w:tcPr>
          <w:p w14:paraId="37FFE188" w14:textId="1511A764" w:rsidR="00CB0941" w:rsidRPr="00D75D2E" w:rsidRDefault="00CB0941" w:rsidP="00CB0941">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141 300</w:t>
            </w:r>
          </w:p>
        </w:tc>
        <w:tc>
          <w:tcPr>
            <w:tcW w:w="1465" w:type="dxa"/>
            <w:tcBorders>
              <w:top w:val="nil"/>
              <w:left w:val="nil"/>
              <w:bottom w:val="single" w:sz="8" w:space="0" w:color="auto"/>
              <w:right w:val="single" w:sz="8" w:space="0" w:color="auto"/>
            </w:tcBorders>
            <w:shd w:val="clear" w:color="auto" w:fill="auto"/>
            <w:noWrap/>
            <w:vAlign w:val="center"/>
            <w:hideMark/>
          </w:tcPr>
          <w:p w14:paraId="6E7BEECD" w14:textId="614F5170" w:rsidR="00CB0941" w:rsidRPr="00D75D2E" w:rsidRDefault="00CB0941" w:rsidP="00CB0941">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206 050</w:t>
            </w:r>
          </w:p>
        </w:tc>
      </w:tr>
    </w:tbl>
    <w:p w14:paraId="4898EB19" w14:textId="77777777" w:rsidR="003C5D8E" w:rsidRPr="000E7AFE" w:rsidRDefault="003C5D8E" w:rsidP="00215867">
      <w:pPr>
        <w:spacing w:before="120" w:after="120"/>
        <w:rPr>
          <w:rFonts w:ascii="Times New Roman" w:hAnsi="Times New Roman"/>
          <w:sz w:val="24"/>
          <w:szCs w:val="24"/>
        </w:rPr>
      </w:pPr>
      <w:r w:rsidRPr="000E7AFE">
        <w:rPr>
          <w:rFonts w:ascii="Times New Roman" w:hAnsi="Times New Roman"/>
          <w:sz w:val="24"/>
          <w:szCs w:val="24"/>
        </w:rPr>
        <w:t>La mission relève des insuffisances dans le cadre de l’élaboration de la présente EIES. Il s’agit :</w:t>
      </w:r>
    </w:p>
    <w:p w14:paraId="2D80094E" w14:textId="01CB1EFB" w:rsidR="003C5D8E" w:rsidRPr="000E7AFE" w:rsidRDefault="003C5D8E" w:rsidP="003C5D8E">
      <w:pPr>
        <w:pStyle w:val="Paragraphedeliste"/>
        <w:numPr>
          <w:ilvl w:val="0"/>
          <w:numId w:val="355"/>
        </w:numPr>
        <w:rPr>
          <w:rFonts w:ascii="Times New Roman" w:hAnsi="Times New Roman"/>
          <w:sz w:val="24"/>
          <w:szCs w:val="24"/>
        </w:rPr>
      </w:pPr>
      <w:r w:rsidRPr="000E7AFE">
        <w:rPr>
          <w:rFonts w:ascii="Times New Roman" w:hAnsi="Times New Roman"/>
          <w:sz w:val="24"/>
          <w:szCs w:val="24"/>
        </w:rPr>
        <w:t xml:space="preserve">La </w:t>
      </w:r>
      <w:r w:rsidR="006304E4" w:rsidRPr="000E7AFE">
        <w:rPr>
          <w:rFonts w:ascii="Times New Roman" w:hAnsi="Times New Roman"/>
          <w:sz w:val="24"/>
          <w:szCs w:val="24"/>
        </w:rPr>
        <w:t>non-évaluation</w:t>
      </w:r>
      <w:r w:rsidRPr="000E7AFE">
        <w:rPr>
          <w:rFonts w:ascii="Times New Roman" w:hAnsi="Times New Roman"/>
          <w:sz w:val="24"/>
          <w:szCs w:val="24"/>
        </w:rPr>
        <w:t xml:space="preserve"> des sites d’emprunt et des conditions de travail des exploitants de ces sites ainsi qu’une évaluation des conditions de travail des enfants ;</w:t>
      </w:r>
    </w:p>
    <w:p w14:paraId="23F1CC68" w14:textId="77777777" w:rsidR="003C5D8E" w:rsidRDefault="003C5D8E" w:rsidP="003C5D8E">
      <w:pPr>
        <w:pStyle w:val="Paragraphedeliste"/>
        <w:numPr>
          <w:ilvl w:val="0"/>
          <w:numId w:val="355"/>
        </w:numPr>
        <w:rPr>
          <w:rFonts w:ascii="Times New Roman" w:hAnsi="Times New Roman"/>
          <w:sz w:val="24"/>
          <w:szCs w:val="24"/>
        </w:rPr>
      </w:pPr>
      <w:r w:rsidRPr="000E7AFE">
        <w:rPr>
          <w:rFonts w:ascii="Times New Roman" w:hAnsi="Times New Roman"/>
          <w:sz w:val="24"/>
          <w:szCs w:val="24"/>
        </w:rPr>
        <w:t>La non évaluation des bases vies car ce stade les bases vies ne sont pas connues</w:t>
      </w:r>
      <w:r>
        <w:rPr>
          <w:rFonts w:ascii="Times New Roman" w:hAnsi="Times New Roman"/>
          <w:sz w:val="24"/>
          <w:szCs w:val="24"/>
        </w:rPr>
        <w:t> ;</w:t>
      </w:r>
    </w:p>
    <w:p w14:paraId="0E3B67CF" w14:textId="77777777" w:rsidR="003C5D8E" w:rsidRPr="000E7AFE" w:rsidRDefault="003C5D8E" w:rsidP="003C5D8E">
      <w:pPr>
        <w:pStyle w:val="Paragraphedeliste"/>
        <w:numPr>
          <w:ilvl w:val="0"/>
          <w:numId w:val="355"/>
        </w:numPr>
        <w:rPr>
          <w:rFonts w:ascii="Times New Roman" w:hAnsi="Times New Roman"/>
          <w:sz w:val="24"/>
          <w:szCs w:val="24"/>
        </w:rPr>
      </w:pPr>
      <w:r>
        <w:rPr>
          <w:rFonts w:ascii="Times New Roman" w:hAnsi="Times New Roman"/>
          <w:sz w:val="24"/>
          <w:szCs w:val="24"/>
        </w:rPr>
        <w:t>La non prise en compte de la gestion du trafic ou de la sécurité routière.</w:t>
      </w:r>
    </w:p>
    <w:p w14:paraId="180A2241" w14:textId="3113A3EB" w:rsidR="003C5D8E" w:rsidRPr="003C5D8E" w:rsidRDefault="003C5D8E" w:rsidP="003C5D8E">
      <w:pPr>
        <w:spacing w:before="120" w:after="120" w:line="240" w:lineRule="auto"/>
        <w:ind w:left="284"/>
        <w:jc w:val="both"/>
        <w:rPr>
          <w:rFonts w:ascii="Times New Roman" w:eastAsia="Times New Roman" w:hAnsi="Times New Roman"/>
          <w:b/>
          <w:sz w:val="24"/>
          <w:szCs w:val="24"/>
          <w:lang w:eastAsia="fr-FR"/>
        </w:rPr>
      </w:pPr>
      <w:r w:rsidRPr="003C5D8E">
        <w:rPr>
          <w:rFonts w:ascii="Times New Roman" w:eastAsia="Times New Roman" w:hAnsi="Times New Roman"/>
          <w:b/>
          <w:sz w:val="24"/>
          <w:szCs w:val="24"/>
          <w:lang w:eastAsia="fr-FR"/>
        </w:rPr>
        <w:t xml:space="preserve">Pour remédier à cela, la mission </w:t>
      </w:r>
      <w:r w:rsidR="006304E4" w:rsidRPr="003C5D8E">
        <w:rPr>
          <w:rFonts w:ascii="Times New Roman" w:eastAsia="Times New Roman" w:hAnsi="Times New Roman"/>
          <w:b/>
          <w:sz w:val="24"/>
          <w:szCs w:val="24"/>
          <w:lang w:eastAsia="fr-FR"/>
        </w:rPr>
        <w:t>recommande</w:t>
      </w:r>
      <w:r w:rsidRPr="003C5D8E">
        <w:rPr>
          <w:rFonts w:ascii="Times New Roman" w:eastAsia="Times New Roman" w:hAnsi="Times New Roman"/>
          <w:b/>
          <w:sz w:val="24"/>
          <w:szCs w:val="24"/>
          <w:lang w:eastAsia="fr-FR"/>
        </w:rPr>
        <w:t> :</w:t>
      </w:r>
    </w:p>
    <w:p w14:paraId="57D0D7FA" w14:textId="366A3A61" w:rsidR="003C5D8E" w:rsidRDefault="003C5D8E" w:rsidP="003C5D8E">
      <w:pPr>
        <w:numPr>
          <w:ilvl w:val="0"/>
          <w:numId w:val="354"/>
        </w:numPr>
        <w:suppressAutoHyphens/>
        <w:spacing w:after="120" w:line="240" w:lineRule="auto"/>
        <w:contextualSpacing/>
        <w:jc w:val="both"/>
        <w:rPr>
          <w:rFonts w:ascii="Times New Roman" w:hAnsi="Times New Roman"/>
          <w:iCs/>
          <w:sz w:val="24"/>
          <w:szCs w:val="24"/>
        </w:rPr>
      </w:pPr>
      <w:r w:rsidRPr="003C5D8E">
        <w:rPr>
          <w:rFonts w:ascii="Times New Roman" w:hAnsi="Times New Roman"/>
          <w:iCs/>
          <w:sz w:val="24"/>
          <w:szCs w:val="24"/>
        </w:rPr>
        <w:t>Un état de</w:t>
      </w:r>
      <w:r>
        <w:rPr>
          <w:rFonts w:ascii="Times New Roman" w:hAnsi="Times New Roman"/>
          <w:iCs/>
          <w:sz w:val="24"/>
          <w:szCs w:val="24"/>
        </w:rPr>
        <w:t xml:space="preserve"> lieu des sites d’emprunt des matériaux et des bases vies  sera établi  par l’entreprise</w:t>
      </w:r>
      <w:r w:rsidR="006304E4">
        <w:rPr>
          <w:rFonts w:ascii="Times New Roman" w:hAnsi="Times New Roman"/>
          <w:iCs/>
          <w:sz w:val="24"/>
          <w:szCs w:val="24"/>
        </w:rPr>
        <w:t xml:space="preserve"> </w:t>
      </w:r>
      <w:r>
        <w:rPr>
          <w:rFonts w:ascii="Times New Roman" w:hAnsi="Times New Roman"/>
          <w:iCs/>
          <w:sz w:val="24"/>
          <w:szCs w:val="24"/>
        </w:rPr>
        <w:t>avant le démarrage des travaux et les non-conformités environnementales et sociales comblées en mettant en œuvre un PGES ou une EIES simplifiée ou éventuellement un PAR  pour les sites d’emprunt et les bases vie avec une procédure réhabilitation des sites d’emprunt des bases vie ;</w:t>
      </w:r>
    </w:p>
    <w:p w14:paraId="01FA6CCA" w14:textId="77777777" w:rsidR="003C5D8E" w:rsidRDefault="003C5D8E" w:rsidP="003C5D8E">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d’un  plan de gestion de la main d’œuvre (PGMO) en s’inspirant au PGMO du projet ;</w:t>
      </w:r>
    </w:p>
    <w:p w14:paraId="7F2C221F" w14:textId="77777777" w:rsidR="003C5D8E" w:rsidRDefault="003C5D8E" w:rsidP="003C5D8E">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un plan d’IEC (Information – Education – Communication) sur le travail des enfants et les EAS/HS ;</w:t>
      </w:r>
    </w:p>
    <w:p w14:paraId="5B260DED" w14:textId="77777777" w:rsidR="003C5D8E" w:rsidRPr="00D75D2E" w:rsidRDefault="003C5D8E" w:rsidP="003C5D8E">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va élaborer et mettre en œuvre un Plan de Gestion du Trafic ou de Sécurité Routière.</w:t>
      </w:r>
    </w:p>
    <w:p w14:paraId="48E7D348" w14:textId="77777777" w:rsidR="00183BD3" w:rsidRDefault="00183BD3" w:rsidP="00D75D2E"/>
    <w:bookmarkEnd w:id="30"/>
    <w:bookmarkEnd w:id="31"/>
    <w:p w14:paraId="48D0EA3B" w14:textId="77777777" w:rsidR="00F3055B" w:rsidRPr="00AE31F1" w:rsidRDefault="00F3055B">
      <w:pPr>
        <w:rPr>
          <w:rFonts w:ascii="Times New Roman" w:eastAsia="Times New Roman" w:hAnsi="Times New Roman"/>
          <w:b/>
          <w:color w:val="000000"/>
          <w:sz w:val="24"/>
          <w:lang w:eastAsia="fr-FR"/>
        </w:rPr>
      </w:pPr>
      <w:r w:rsidRPr="00AE31F1">
        <w:rPr>
          <w:rFonts w:ascii="Times New Roman" w:eastAsia="Times New Roman" w:hAnsi="Times New Roman"/>
          <w:b/>
          <w:color w:val="000000"/>
          <w:sz w:val="24"/>
          <w:lang w:eastAsia="fr-FR"/>
        </w:rPr>
        <w:br w:type="page"/>
      </w:r>
    </w:p>
    <w:p w14:paraId="00A152A4" w14:textId="5CFBF41D" w:rsidR="00A7025E" w:rsidRPr="00AE31F1" w:rsidRDefault="00A7025E" w:rsidP="00AE31F1">
      <w:pPr>
        <w:pStyle w:val="Titre1"/>
        <w:numPr>
          <w:ilvl w:val="0"/>
          <w:numId w:val="0"/>
        </w:numPr>
        <w:ind w:left="432" w:hanging="432"/>
        <w:rPr>
          <w:lang w:val="en-US"/>
        </w:rPr>
      </w:pPr>
      <w:bookmarkStart w:id="39" w:name="_Toc103685594"/>
      <w:bookmarkEnd w:id="27"/>
      <w:r w:rsidRPr="00AE31F1">
        <w:rPr>
          <w:lang w:val="en-US"/>
        </w:rPr>
        <w:t>NON-TECHNICAL SUMMARY</w:t>
      </w:r>
      <w:bookmarkEnd w:id="39"/>
      <w:r w:rsidRPr="00AE31F1">
        <w:rPr>
          <w:lang w:val="en-US"/>
        </w:rPr>
        <w:t xml:space="preserve">  </w:t>
      </w:r>
    </w:p>
    <w:p w14:paraId="489FEC5C"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rPr>
      </w:pPr>
      <w:r w:rsidRPr="00AE31F1">
        <w:rPr>
          <w:rFonts w:ascii="Times New Roman" w:eastAsia="Times New Roman" w:hAnsi="Times New Roman"/>
          <w:b/>
          <w:i/>
          <w:sz w:val="24"/>
          <w:szCs w:val="24"/>
        </w:rPr>
        <w:t>Project Background</w:t>
      </w:r>
    </w:p>
    <w:p w14:paraId="3A3B63AF"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The Governance and Access to Electricity, Drinking Water and Basic Sanitation Project, implemented by the Democratic Republic of Congo (DRC) with the financial support of the World Bank (IDA), has as its objectives the electrification of black pockets, sanitation, rehabilitation and compliance of SNEL's electricity distribution networks in the Kinshasa Centre (DKC) and Kinshasa </w:t>
      </w:r>
      <w:r w:rsidRPr="00AE31F1">
        <w:rPr>
          <w:rFonts w:ascii="Times New Roman" w:eastAsia="Times New Roman" w:hAnsi="Times New Roman"/>
          <w:spacing w:val="-2"/>
          <w:sz w:val="24"/>
          <w:szCs w:val="24"/>
          <w:lang w:val="en-US"/>
        </w:rPr>
        <w:t xml:space="preserve">West (DKW) </w:t>
      </w:r>
      <w:r w:rsidRPr="00AE31F1">
        <w:rPr>
          <w:rFonts w:ascii="Times New Roman" w:hAnsi="Times New Roman"/>
          <w:sz w:val="24"/>
          <w:szCs w:val="24"/>
          <w:lang w:val="en-US"/>
        </w:rPr>
        <w:t>Directorates, which are experiencing enormous problems in the distribution of electrical energy</w:t>
      </w:r>
      <w:r w:rsidRPr="00AE31F1">
        <w:rPr>
          <w:rFonts w:ascii="Times New Roman" w:eastAsia="Times New Roman" w:hAnsi="Times New Roman"/>
          <w:spacing w:val="-2"/>
          <w:sz w:val="24"/>
          <w:szCs w:val="24"/>
          <w:lang w:val="en-US"/>
        </w:rPr>
        <w:t xml:space="preserve">. </w:t>
      </w:r>
    </w:p>
    <w:p w14:paraId="136BF762"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This sub-project for the electrification of black pockets, sanitation, rehabilitation and upgrading of SNEL's electricity distribution networks in the Directorates of Kinshasa Centre (DKC) and Kinshasa West (DKW), covers mainly ten (10) communes of the city-province of Kinshasa, namely: Kalamu, Bumbu, Mont-Ngafula, Selembao, Ngiri-Ngiri, Makala, Bandalungwa, Kintambo, Ngaliema and Barumbu. </w:t>
      </w:r>
    </w:p>
    <w:p w14:paraId="2FFE3708"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Its activities are likely to produce environmental and social impacts and risks. The Project Coordination and Management Unit of the Ministry of Water Resources and Electricity (CMU) is conducting this Environmental and Social Impact Assessment (ESIA) </w:t>
      </w:r>
      <w:r w:rsidRPr="00AE31F1">
        <w:rPr>
          <w:rFonts w:ascii="Times New Roman" w:hAnsi="Times New Roman"/>
          <w:iCs/>
          <w:sz w:val="24"/>
          <w:szCs w:val="24"/>
          <w:lang w:val="en-US"/>
        </w:rPr>
        <w:t xml:space="preserve">in order to (i) manage these environmental and social impacts and risks, including those of Sexual Exploitation and Abuse and Sexual Harassment (SEA/SH) related to this sub-project, and (ii) comply with national requirements </w:t>
      </w:r>
      <w:r w:rsidRPr="00AE31F1">
        <w:rPr>
          <w:rFonts w:ascii="Times New Roman" w:hAnsi="Times New Roman"/>
          <w:sz w:val="24"/>
          <w:szCs w:val="24"/>
          <w:lang w:val="en-US"/>
        </w:rPr>
        <w:t>and the World Bank's Environmental and Social Standards (ESS)</w:t>
      </w:r>
    </w:p>
    <w:p w14:paraId="4691EBDF"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rPr>
      </w:pPr>
      <w:r w:rsidRPr="00AE31F1">
        <w:rPr>
          <w:rFonts w:ascii="Times New Roman" w:eastAsia="Times New Roman" w:hAnsi="Times New Roman"/>
          <w:b/>
          <w:i/>
          <w:sz w:val="24"/>
          <w:szCs w:val="24"/>
        </w:rPr>
        <w:t xml:space="preserve">Methodology </w:t>
      </w:r>
    </w:p>
    <w:p w14:paraId="6712AC2A"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The methodology consisted of a scoping meeting with the project implementation unit, literature search and analysis, data collection and public consultation, and then analysis of the data collected to produce this ESIA.</w:t>
      </w:r>
    </w:p>
    <w:p w14:paraId="5263C583"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rPr>
      </w:pPr>
      <w:r w:rsidRPr="00AE31F1">
        <w:rPr>
          <w:rFonts w:ascii="Times New Roman" w:hAnsi="Times New Roman"/>
          <w:b/>
          <w:i/>
          <w:sz w:val="24"/>
          <w:szCs w:val="24"/>
        </w:rPr>
        <w:t xml:space="preserve">Brief description of the project  </w:t>
      </w:r>
    </w:p>
    <w:p w14:paraId="589D0EE6" w14:textId="77777777" w:rsidR="009C11E8" w:rsidRPr="00AE31F1" w:rsidRDefault="009C11E8" w:rsidP="00215867">
      <w:pPr>
        <w:pStyle w:val="Corpsdetexte"/>
        <w:spacing w:before="120" w:line="240" w:lineRule="auto"/>
        <w:jc w:val="both"/>
        <w:rPr>
          <w:rFonts w:ascii="Times New Roman" w:hAnsi="Times New Roman"/>
          <w:sz w:val="24"/>
          <w:szCs w:val="24"/>
          <w:lang w:val="en-US"/>
        </w:rPr>
      </w:pPr>
      <w:r w:rsidRPr="00AE31F1">
        <w:rPr>
          <w:rFonts w:ascii="Times New Roman" w:hAnsi="Times New Roman"/>
          <w:sz w:val="24"/>
          <w:szCs w:val="24"/>
          <w:lang w:val="en-US"/>
        </w:rPr>
        <w:t>The activities will be carried out in ten (10) communes of the city-province of Kinshasa, namely Kalamu, Bumbu, Mont-Ngafula, Selembao, Ngiri-Ngiri, Makala, Bandalungwa, Kintambo, Ngaliema and Barumbu.</w:t>
      </w:r>
    </w:p>
    <w:p w14:paraId="1C51855E" w14:textId="77777777" w:rsidR="009C11E8" w:rsidRPr="00AE31F1" w:rsidRDefault="009C11E8" w:rsidP="00215867">
      <w:pPr>
        <w:spacing w:before="120" w:after="120" w:line="240" w:lineRule="auto"/>
        <w:ind w:right="6"/>
        <w:jc w:val="both"/>
        <w:rPr>
          <w:rFonts w:ascii="Times New Roman" w:hAnsi="Times New Roman"/>
          <w:sz w:val="24"/>
          <w:szCs w:val="24"/>
          <w:lang w:val="en-US"/>
        </w:rPr>
      </w:pPr>
      <w:r w:rsidRPr="00AE31F1">
        <w:rPr>
          <w:rFonts w:ascii="Times New Roman" w:hAnsi="Times New Roman"/>
          <w:sz w:val="24"/>
          <w:szCs w:val="24"/>
          <w:lang w:val="en-US"/>
        </w:rPr>
        <w:t xml:space="preserve">In general, the activities to be carried out as part of the electrification of the black pockets, sanitation, rehabilitation and compliance of the SNEL distribution networks of the Kinshasa Centre and West directorates taken over by the new project called "Governance and Access to Electricity, Drinking Water and Basic Sanitation Project" essentially concern </w:t>
      </w:r>
    </w:p>
    <w:p w14:paraId="7E762BA1" w14:textId="77777777" w:rsidR="009C11E8" w:rsidRPr="00AE31F1" w:rsidRDefault="009C11E8" w:rsidP="00AE31F1">
      <w:pPr>
        <w:pStyle w:val="Paragraphedeliste1"/>
        <w:numPr>
          <w:ilvl w:val="0"/>
          <w:numId w:val="346"/>
        </w:numPr>
        <w:ind w:left="567" w:right="6" w:hanging="425"/>
        <w:contextualSpacing/>
        <w:jc w:val="both"/>
        <w:rPr>
          <w:sz w:val="24"/>
          <w:lang w:val="en-US"/>
        </w:rPr>
      </w:pPr>
      <w:r w:rsidRPr="00AE31F1">
        <w:rPr>
          <w:sz w:val="24"/>
          <w:lang w:val="en-US"/>
        </w:rPr>
        <w:t>the unloading of the distribution networks (MV and LV) of the directorates of Kinshasa Centre and Kinshasa West;</w:t>
      </w:r>
    </w:p>
    <w:p w14:paraId="1674C071" w14:textId="77777777" w:rsidR="009C11E8" w:rsidRPr="00AE31F1" w:rsidRDefault="009C11E8" w:rsidP="00AE31F1">
      <w:pPr>
        <w:pStyle w:val="Paragraphedeliste1"/>
        <w:numPr>
          <w:ilvl w:val="0"/>
          <w:numId w:val="346"/>
        </w:numPr>
        <w:ind w:left="567" w:right="6" w:hanging="425"/>
        <w:contextualSpacing/>
        <w:jc w:val="both"/>
        <w:rPr>
          <w:sz w:val="24"/>
          <w:lang w:val="en-US"/>
        </w:rPr>
      </w:pPr>
      <w:r w:rsidRPr="00AE31F1">
        <w:rPr>
          <w:sz w:val="24"/>
          <w:lang w:val="en-US"/>
        </w:rPr>
        <w:t>Rehabilitation and upgrading of the distribution networks (MV and LV) of the Kinshasa Centre and Kinshasa West directorates;</w:t>
      </w:r>
    </w:p>
    <w:p w14:paraId="180779C2" w14:textId="77777777" w:rsidR="009C11E8" w:rsidRPr="00AE31F1" w:rsidRDefault="009C11E8" w:rsidP="00AE31F1">
      <w:pPr>
        <w:pStyle w:val="Paragraphedeliste1"/>
        <w:numPr>
          <w:ilvl w:val="0"/>
          <w:numId w:val="346"/>
        </w:numPr>
        <w:ind w:left="567" w:right="6" w:hanging="425"/>
        <w:contextualSpacing/>
        <w:jc w:val="both"/>
        <w:rPr>
          <w:sz w:val="24"/>
          <w:lang w:val="en-US"/>
        </w:rPr>
      </w:pPr>
      <w:r w:rsidRPr="00AE31F1">
        <w:rPr>
          <w:sz w:val="24"/>
          <w:lang w:val="en-US"/>
        </w:rPr>
        <w:t xml:space="preserve">Extension of the distribution networks (MV and LV) of the Kinshasa Centre and Kinshasa West branches; </w:t>
      </w:r>
    </w:p>
    <w:p w14:paraId="71D6BE9F" w14:textId="77777777" w:rsidR="009C11E8" w:rsidRPr="00AE31F1" w:rsidRDefault="009C11E8" w:rsidP="00AE31F1">
      <w:pPr>
        <w:pStyle w:val="Paragraphedeliste1"/>
        <w:numPr>
          <w:ilvl w:val="0"/>
          <w:numId w:val="346"/>
        </w:numPr>
        <w:ind w:left="567" w:right="6" w:hanging="425"/>
        <w:contextualSpacing/>
        <w:jc w:val="both"/>
        <w:rPr>
          <w:sz w:val="24"/>
          <w:lang w:val="en-US"/>
        </w:rPr>
      </w:pPr>
      <w:r w:rsidRPr="00AE31F1">
        <w:rPr>
          <w:sz w:val="24"/>
          <w:lang w:val="en-US"/>
        </w:rPr>
        <w:t xml:space="preserve">the installation of LV prepayment meters in households. </w:t>
      </w:r>
    </w:p>
    <w:p w14:paraId="565BCDF9"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iCs/>
          <w:sz w:val="24"/>
          <w:szCs w:val="24"/>
          <w:lang w:val="en-US"/>
        </w:rPr>
        <w:t>The implementation of this sub-project will certainly generate positive social, economic and environmental impacts, but also negative impacts and risks associated with the execution of the works</w:t>
      </w:r>
      <w:r w:rsidRPr="00AE31F1">
        <w:rPr>
          <w:rFonts w:ascii="Times New Roman" w:hAnsi="Times New Roman"/>
          <w:b/>
          <w:iCs/>
          <w:sz w:val="24"/>
          <w:szCs w:val="24"/>
          <w:lang w:val="en-US"/>
        </w:rPr>
        <w:t xml:space="preserve">. It is with the </w:t>
      </w:r>
      <w:r w:rsidRPr="00AE31F1">
        <w:rPr>
          <w:rFonts w:ascii="Times New Roman" w:hAnsi="Times New Roman"/>
          <w:iCs/>
          <w:sz w:val="24"/>
          <w:szCs w:val="24"/>
          <w:lang w:val="en-US"/>
        </w:rPr>
        <w:t xml:space="preserve">aim of identifying and assessing the negative environmental and social impacts and managing these impacts to comply with national requirements and the World Bank's environmental and social standards (ESS), that the project coordination has initiated the </w:t>
      </w:r>
      <w:r w:rsidRPr="00AE31F1">
        <w:rPr>
          <w:rFonts w:ascii="Times New Roman" w:hAnsi="Times New Roman"/>
          <w:b/>
          <w:bCs/>
          <w:iCs/>
          <w:sz w:val="24"/>
          <w:szCs w:val="24"/>
          <w:lang w:val="en-US"/>
        </w:rPr>
        <w:t>updating of the Environmental and Social Impact Assessment (ESIA) of the electrification works of the black pockets, sanitation, rehabilitation and compliance of the SNEL networks of the Directions of Kinshasa Centre and West (DKC-DKW)</w:t>
      </w:r>
      <w:r w:rsidRPr="00AE31F1">
        <w:rPr>
          <w:rFonts w:ascii="Times New Roman" w:hAnsi="Times New Roman"/>
          <w:iCs/>
          <w:sz w:val="24"/>
          <w:szCs w:val="24"/>
          <w:lang w:val="en-US"/>
        </w:rPr>
        <w:t xml:space="preserve">. </w:t>
      </w:r>
    </w:p>
    <w:p w14:paraId="1AF9BF2C"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iCs/>
          <w:sz w:val="24"/>
          <w:szCs w:val="24"/>
          <w:lang w:val="en-US"/>
        </w:rPr>
        <w:t>The sub-project of electrification of black pockets, sanitation, rehabilitation and compliance of SNEL networks in Kinshasa West and Centre directorates is classified as a sub-project with substantial environmental and social risk and substantial risk in terms of SEA/SH.</w:t>
      </w:r>
    </w:p>
    <w:p w14:paraId="7A27BC2B"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rPr>
      </w:pPr>
      <w:r w:rsidRPr="00AE31F1">
        <w:rPr>
          <w:rFonts w:ascii="Times New Roman" w:hAnsi="Times New Roman"/>
          <w:b/>
          <w:i/>
          <w:iCs/>
          <w:sz w:val="24"/>
          <w:szCs w:val="24"/>
        </w:rPr>
        <w:t>Method of implementation</w:t>
      </w:r>
    </w:p>
    <w:p w14:paraId="616ABEDF" w14:textId="77777777" w:rsidR="009C11E8" w:rsidRPr="00AE31F1" w:rsidRDefault="009C11E8" w:rsidP="00215867">
      <w:pPr>
        <w:pStyle w:val="Commentaire3"/>
        <w:spacing w:before="120" w:after="120"/>
        <w:jc w:val="both"/>
        <w:rPr>
          <w:rFonts w:ascii="Times New Roman" w:hAnsi="Times New Roman" w:cs="Times New Roman"/>
          <w:sz w:val="24"/>
          <w:szCs w:val="24"/>
          <w:lang w:val="en-US"/>
        </w:rPr>
      </w:pPr>
      <w:r w:rsidRPr="00AE31F1">
        <w:rPr>
          <w:rFonts w:ascii="Times New Roman" w:hAnsi="Times New Roman" w:cs="Times New Roman"/>
          <w:iCs/>
          <w:sz w:val="24"/>
          <w:szCs w:val="24"/>
          <w:lang w:val="en-US"/>
        </w:rPr>
        <w:t>The implementation of this sub-project will be coordinated by the Project Coordination and Management Unit of the Ministry of Water Resources and Electricity, which will be the trustee, and the technical part will be carried out by the National Electricity Company. It will require the services of specialized companies for the construction of the works.</w:t>
      </w:r>
    </w:p>
    <w:p w14:paraId="57295796"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iCs/>
          <w:sz w:val="24"/>
          <w:szCs w:val="24"/>
          <w:lang w:val="en-US"/>
        </w:rPr>
        <w:t xml:space="preserve">At the institutional level, the implementation of the project is the responsibility of the Project Coordination and Management Unit (CMU) of the Ministry of Water Resources and Electricity, the Ministry of the Environment and Sustainable Development (MESD) through the Congolese Environment Agency (CEA), which is responsible for evaluating and approving all environmental and social studies and monitoring their implementation; The Ministry of Employment, Labor and Social Security; the Ministry of Public Health with the Multisectoral Committee for the Response to COVID-19 and the health facilities that treat survivors of GBV; the Ministry of Social Affairs, the Ministry of Gender, Children and Family, the town halls, local NGOs and CBOs specialized in GBV; etc.  </w:t>
      </w:r>
    </w:p>
    <w:p w14:paraId="681208E1"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rPr>
      </w:pPr>
      <w:r w:rsidRPr="00AE31F1">
        <w:rPr>
          <w:rFonts w:ascii="Times New Roman" w:hAnsi="Times New Roman"/>
          <w:iCs/>
          <w:sz w:val="24"/>
          <w:szCs w:val="24"/>
          <w:lang w:val="en-US"/>
        </w:rPr>
        <w:t xml:space="preserve">Other actors involved include the Provincial Environmental Coordination (PEC), the Urban Environmental Coordination (CUE) and the Local Steering Committee (LSC) of each commune affected by the project. </w:t>
      </w:r>
      <w:r w:rsidRPr="00AE31F1">
        <w:rPr>
          <w:rFonts w:ascii="Times New Roman" w:eastAsia="Times New Roman" w:hAnsi="Times New Roman"/>
          <w:b/>
          <w:i/>
          <w:sz w:val="24"/>
          <w:szCs w:val="24"/>
        </w:rPr>
        <w:t xml:space="preserve">Brief description of the initial state of the environment </w:t>
      </w:r>
    </w:p>
    <w:p w14:paraId="16EB9574"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The project area covers ten (10) communes of the city of Kinshasa, namely Kalamu, Bumbu, Mont-Ngafula, Selembao, Ngiri-Ngiri, Makala, Bandalungwa, Kintambo, Ngaliema and Barumbu, which represents 60% of the urban area of the city. The physical environment is characterized by a hot and humid tropical climate with two seasons: a rainy season from September to May and a dry season from June to September. The relief is mainly made up of an undulating plateau. The hydrographic network is made up of a few rivers including the Peace, Nzopindo, Basoko I and II and Makanza. </w:t>
      </w:r>
      <w:r w:rsidRPr="00AE31F1">
        <w:rPr>
          <w:rFonts w:ascii="Times New Roman" w:hAnsi="Times New Roman"/>
          <w:bCs/>
          <w:iCs/>
          <w:sz w:val="24"/>
          <w:szCs w:val="24"/>
          <w:lang w:val="en-US"/>
        </w:rPr>
        <w:t xml:space="preserve">The </w:t>
      </w:r>
      <w:r w:rsidRPr="00AE31F1">
        <w:rPr>
          <w:rFonts w:ascii="Times New Roman" w:hAnsi="Times New Roman"/>
          <w:sz w:val="24"/>
          <w:szCs w:val="24"/>
          <w:lang w:val="en-US"/>
        </w:rPr>
        <w:t>soil is of the Arenoferrasol type, made up of</w:t>
      </w:r>
      <w:r w:rsidRPr="00AE31F1">
        <w:rPr>
          <w:rFonts w:ascii="Times New Roman" w:hAnsi="Times New Roman"/>
          <w:i/>
          <w:sz w:val="24"/>
          <w:szCs w:val="24"/>
          <w:lang w:val="en-US"/>
        </w:rPr>
        <w:t xml:space="preserve"> </w:t>
      </w:r>
      <w:r w:rsidRPr="00AE31F1">
        <w:rPr>
          <w:rFonts w:ascii="Times New Roman" w:hAnsi="Times New Roman"/>
          <w:sz w:val="24"/>
          <w:szCs w:val="24"/>
          <w:lang w:val="en-US"/>
        </w:rPr>
        <w:t>fine sands and clay (less than 20%) with a low organic matter content. It is highly exposed to the risks of erosion, often threatening existing infrastructures, notably houses, access roads, power lines and electricity poles. The vegetation is of the tree-herbaceous</w:t>
      </w:r>
      <w:r w:rsidRPr="00AE31F1">
        <w:rPr>
          <w:rFonts w:ascii="Times New Roman" w:hAnsi="Times New Roman"/>
          <w:i/>
          <w:sz w:val="24"/>
          <w:szCs w:val="24"/>
          <w:lang w:val="en-US"/>
        </w:rPr>
        <w:t xml:space="preserve"> </w:t>
      </w:r>
      <w:r w:rsidRPr="00AE31F1">
        <w:rPr>
          <w:rFonts w:ascii="Times New Roman" w:hAnsi="Times New Roman"/>
          <w:sz w:val="24"/>
          <w:szCs w:val="24"/>
          <w:lang w:val="en-US"/>
        </w:rPr>
        <w:t xml:space="preserve">to ruderal and aquatic type. This vegetation is populated by species such as: </w:t>
      </w:r>
      <w:r w:rsidRPr="00AE31F1">
        <w:rPr>
          <w:rFonts w:ascii="Times New Roman" w:hAnsi="Times New Roman"/>
          <w:i/>
          <w:sz w:val="24"/>
          <w:szCs w:val="24"/>
          <w:lang w:val="en-US"/>
        </w:rPr>
        <w:t>Mangifera Indica, Persea americana, Elaeis guineensis, Eugenia malaccensis, Carica papaya, Dacruodes edulis, Terminalia mantaly, Musa sp, Artocarpus altilis, Moringa oleifera, abies alba, Adonsonia digitata, Albizia adianthifolia, Annona reticulata, Artocarpus altilis, Averrhoa carambola, Borasus aethiopum, Carpentaria acuminata, citrus sp, Cocos nucifera, Cupressus sp, Delonix Regia, Dichrostachys cinera, Dracaena sp, Eucalyptus sp, Flacouria ramontchi, Garcinia mangostana, Leucena leucocephala, Milletia lautentii, Musanga cecropioides, Nwebouldia laevis, Oncoba spinosa, Passiflora edulus, Psidium guajava, Ravenala madagascariensis, Tabebuia impetiginosa, Terminalia catapa, Terminalia sp, Theobroma cacao, Vernonia amygdalina</w:t>
      </w:r>
      <w:r w:rsidRPr="00AE31F1">
        <w:rPr>
          <w:rFonts w:ascii="Times New Roman" w:hAnsi="Times New Roman"/>
          <w:sz w:val="24"/>
          <w:szCs w:val="24"/>
          <w:lang w:val="en-US"/>
        </w:rPr>
        <w:t xml:space="preserve">.  The sub-project area does not contain any protected areas or classified forests. However, the commune of Mont-Ngafula covered by the sub-project is full of: a natural site called Bonobo Sanctuary or Lola ya Bonobo, 3 tourist sites namely: The area covered by the sub-project is not full of sites of historical character or known archaeological value. </w:t>
      </w:r>
    </w:p>
    <w:p w14:paraId="66D14454"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eastAsia="Times New Roman" w:hAnsi="Times New Roman"/>
          <w:sz w:val="24"/>
          <w:szCs w:val="24"/>
          <w:lang w:val="en-US"/>
        </w:rPr>
        <w:t xml:space="preserve">The project area (straddling 10 communes) had a population of 3,782,958 inhabitants in 2015 (Monograph of Kinshasa city: </w:t>
      </w:r>
      <w:r w:rsidRPr="00AE31F1">
        <w:rPr>
          <w:rFonts w:ascii="Times New Roman" w:hAnsi="Times New Roman"/>
          <w:sz w:val="24"/>
          <w:szCs w:val="24"/>
          <w:lang w:val="en-US"/>
        </w:rPr>
        <w:t xml:space="preserve">S. Shomba Kinyamba </w:t>
      </w:r>
      <w:r w:rsidRPr="00AE31F1">
        <w:rPr>
          <w:rFonts w:ascii="Times New Roman" w:hAnsi="Times New Roman"/>
          <w:i/>
          <w:sz w:val="24"/>
          <w:szCs w:val="24"/>
          <w:lang w:val="en-US"/>
        </w:rPr>
        <w:t xml:space="preserve">et al, </w:t>
      </w:r>
      <w:r w:rsidRPr="00AE31F1">
        <w:rPr>
          <w:rFonts w:ascii="Times New Roman" w:eastAsia="Times New Roman" w:hAnsi="Times New Roman"/>
          <w:sz w:val="24"/>
          <w:szCs w:val="24"/>
          <w:lang w:val="en-US"/>
        </w:rPr>
        <w:t>2015).This population is estimated on the basis of the data in this monograph (at an annual growth rate of 5.5%) to be 4,944,175 inhabitants in 2020. If this growth were to continue, the population would reach 8,445,365 by 2030.</w:t>
      </w:r>
    </w:p>
    <w:p w14:paraId="05372568"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The population of Kinshasa as a whole is made up of the original peoples (Humbu, Teke and Bamfununga) considered as landowners, but also the Yaka, Banunu Bobangi and Bayanzi. There are also the Lari, the Zombo from Angola, the Coastmen (West Africans), the European and Asian populations for trade reasons and the populations coming from other provinces for various reasons (war, rural exodus etc.). Lingala is the main language spoken. The main economic sector of the city is trade.</w:t>
      </w:r>
    </w:p>
    <w:p w14:paraId="2FA2C6EC" w14:textId="77777777" w:rsidR="009C11E8" w:rsidRPr="00AE31F1" w:rsidRDefault="009C11E8" w:rsidP="00215867">
      <w:pPr>
        <w:numPr>
          <w:ilvl w:val="0"/>
          <w:numId w:val="345"/>
        </w:numPr>
        <w:suppressAutoHyphens/>
        <w:spacing w:before="120" w:after="120" w:line="240" w:lineRule="auto"/>
        <w:jc w:val="both"/>
        <w:rPr>
          <w:rFonts w:ascii="Times New Roman" w:hAnsi="Times New Roman"/>
          <w:sz w:val="24"/>
          <w:szCs w:val="24"/>
        </w:rPr>
      </w:pPr>
      <w:r w:rsidRPr="00AE31F1">
        <w:rPr>
          <w:rFonts w:ascii="Times New Roman" w:eastAsia="Times New Roman" w:hAnsi="Times New Roman"/>
          <w:b/>
          <w:i/>
          <w:sz w:val="24"/>
          <w:szCs w:val="24"/>
        </w:rPr>
        <w:t xml:space="preserve">Environmental and social issues </w:t>
      </w:r>
    </w:p>
    <w:p w14:paraId="12B611CC"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The major environmental and social issues that have been identified in the project area are described below.</w:t>
      </w:r>
    </w:p>
    <w:p w14:paraId="6DD56C37" w14:textId="77777777" w:rsidR="009C11E8" w:rsidRPr="00AE31F1" w:rsidRDefault="009C11E8" w:rsidP="00215867">
      <w:pPr>
        <w:spacing w:before="120" w:after="120" w:line="240" w:lineRule="auto"/>
        <w:rPr>
          <w:rFonts w:ascii="Times New Roman" w:hAnsi="Times New Roman"/>
          <w:sz w:val="24"/>
          <w:szCs w:val="24"/>
          <w:lang w:val="en-US"/>
        </w:rPr>
      </w:pPr>
      <w:r w:rsidRPr="00AE31F1">
        <w:rPr>
          <w:rFonts w:ascii="Times New Roman" w:hAnsi="Times New Roman"/>
          <w:sz w:val="24"/>
          <w:szCs w:val="24"/>
          <w:lang w:val="en-US"/>
        </w:rPr>
        <w:t>The analysis of the environmental and socio-economic context in the project's area of intervention made it possible to identify the following issues</w:t>
      </w:r>
    </w:p>
    <w:p w14:paraId="2FA56128"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 xml:space="preserve">The first issue is related to soil erosion and flooding in some of the areas affected by the sub-project (Rehabilitation and extension of the distribution network segments) which will require excavations and earthworks that may lead to changes in the soil structure. These excavations during the rainy period may lead to erosion. Also, the presence of numerous erosion heads in the project area often threatens existing infrastructures, notably residential houses, access roads, lines and especially existing electrical installations. The installation of the structures must take into account the measures and actions of their protection against floods and adaptation to climate change, which consist in reducing greenhouse gas emissions and strengthening resilience to the effects of climate change. </w:t>
      </w:r>
    </w:p>
    <w:p w14:paraId="768D1A03"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 xml:space="preserve">the second issue is the problem of land. The realization of new investments could require the acquisition of land and lead to expropriations for public utility. This possible expropriation should be done by involving the administrative authorities of the ministries concerned, customary leaders and by taking into account the texts in force in order to avoid conflicts. </w:t>
      </w:r>
    </w:p>
    <w:p w14:paraId="1E2BE72B"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The third issue is related to gender disparities and the risks of SEA/SH in the project area. The project must therefore contribute to reducing this disparity and put in place a gender action plan and appropriate measures to reduce these disparities in the recruitment of project staff and in the implementation of the project activities themselves, particularly in the connection of beneficiary households, where women heads of household should benefit as much as men from the electricity and any other benefits of the project;</w:t>
      </w:r>
    </w:p>
    <w:p w14:paraId="15501CB0"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The fourth issue is due to the COVID 19 pandemic which is present in the project area. The project is therefore expected to carry out Information, Education and Communication (IEC) activities to ensure that the barrier measures adopted by the government and WHO are respected by all project stakeholders;</w:t>
      </w:r>
    </w:p>
    <w:p w14:paraId="3D694B07"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 xml:space="preserve">The fifth issue is related to the pollution of waterways. The absence of an adequate waste management system leads communities to use rivers and other spaces as waste dumps. In most of the big cities such as Kinshasa, there are deposits of plastic waste floating on the riverbeds (Funa, Binza, etc.). The project will have to put in place a waste management plan so that the project activities cannot further degrade the natural environment by piles of waste. The sixth issue is that related to the use of labor: the project will have to ensure that contractors favor the use of local labor during the recruitment of staff and that the quota of 30% minimum of women within the service providers' companies is respected as prescribed by the law n° 15/013 of August </w:t>
      </w:r>
      <w:r w:rsidRPr="00AE31F1">
        <w:rPr>
          <w:rFonts w:ascii="Times New Roman" w:hAnsi="Times New Roman"/>
          <w:sz w:val="24"/>
          <w:szCs w:val="24"/>
          <w:vertAlign w:val="superscript"/>
          <w:lang w:val="en-US"/>
        </w:rPr>
        <w:t xml:space="preserve">1, </w:t>
      </w:r>
      <w:r w:rsidRPr="00AE31F1">
        <w:rPr>
          <w:rFonts w:ascii="Times New Roman" w:hAnsi="Times New Roman"/>
          <w:sz w:val="24"/>
          <w:szCs w:val="24"/>
          <w:lang w:val="en-US"/>
        </w:rPr>
        <w:t xml:space="preserve">2015 on the modalities of application of women's rights and parity. </w:t>
      </w:r>
    </w:p>
    <w:p w14:paraId="0B702323" w14:textId="77777777" w:rsidR="009C11E8" w:rsidRPr="00AE31F1" w:rsidRDefault="009C11E8" w:rsidP="00215867">
      <w:pPr>
        <w:spacing w:before="120" w:after="120" w:line="240" w:lineRule="auto"/>
        <w:ind w:left="567"/>
        <w:jc w:val="both"/>
        <w:rPr>
          <w:rFonts w:ascii="Times New Roman" w:hAnsi="Times New Roman"/>
          <w:sz w:val="24"/>
          <w:szCs w:val="24"/>
          <w:lang w:val="en-US"/>
        </w:rPr>
      </w:pPr>
      <w:r w:rsidRPr="00AE31F1">
        <w:rPr>
          <w:rFonts w:ascii="Times New Roman" w:hAnsi="Times New Roman"/>
          <w:sz w:val="24"/>
          <w:szCs w:val="24"/>
          <w:lang w:val="en-US"/>
        </w:rPr>
        <w:t>Thus, the recruitment of skilled and unskilled workers should be done by giving priority to local recruitment in each of the communes concerned by the project in order to avoid an influx of labor that could lead to social conflicts;</w:t>
      </w:r>
    </w:p>
    <w:p w14:paraId="6800B627"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The seventh issue is the reduction of vegetation and crops. In general, the vegetation cover in the project area is already heavily degraded by human activities. The electrification works will entail the felling and pruning of approximately 869 trees, of which 815 are privately owned and 354 are in the public domain. These trees are all located within the right-of-way of the lines and cabins during the construction phase and pruning during the operation phase.</w:t>
      </w:r>
    </w:p>
    <w:p w14:paraId="7E58D819"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 xml:space="preserve">The eighth issue is the risk of accidents (fire, electrocution, electrification, burns, falls, injuries). Indeed, the obsolescence of the electrical network, fraudulent or illicit connections, anarchic installations, exposure of bare electrical wires on the ground, movement of machinery, transport of equipment and materials, and the marshy situation in some of the districts concerned cause fires, burns, electrocutions, various noise and odour nuisances, etc. The project will have to ensure that the implementation of this sub-project can reduce the risks linked to the electric current and those linked to the activities of the construction site. </w:t>
      </w:r>
    </w:p>
    <w:p w14:paraId="3167206F"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hAnsi="Times New Roman"/>
          <w:sz w:val="24"/>
          <w:szCs w:val="24"/>
          <w:lang w:val="en-US"/>
        </w:rPr>
        <w:t xml:space="preserve">The ninth issue is related to the risk of traffic accidents and road safety. </w:t>
      </w:r>
      <w:r w:rsidRPr="00AE31F1">
        <w:rPr>
          <w:rFonts w:ascii="Times New Roman" w:eastAsia="Times New Roman" w:hAnsi="Times New Roman"/>
          <w:sz w:val="24"/>
          <w:szCs w:val="24"/>
          <w:lang w:val="en-US"/>
        </w:rPr>
        <w:t xml:space="preserve">The project will have to provide in the clauses of the contract of the companies the presentation before the beginning of the works of a plan of circulation of the vehicles and machines, and of the personnel, including the principal routes to be used within the framework of the implementation of the activities of the subproject, the training of the personnel and the diffusion of the rules and procedures relating to the road management. </w:t>
      </w:r>
    </w:p>
    <w:p w14:paraId="5C5404C9" w14:textId="77777777" w:rsidR="009C11E8" w:rsidRPr="00AE31F1" w:rsidRDefault="009C11E8" w:rsidP="00215867">
      <w:pPr>
        <w:numPr>
          <w:ilvl w:val="0"/>
          <w:numId w:val="348"/>
        </w:numPr>
        <w:suppressAutoHyphens/>
        <w:spacing w:before="120" w:after="120" w:line="240" w:lineRule="auto"/>
        <w:ind w:left="567" w:hanging="357"/>
        <w:jc w:val="both"/>
        <w:rPr>
          <w:rFonts w:ascii="Times New Roman" w:hAnsi="Times New Roman"/>
          <w:sz w:val="24"/>
          <w:szCs w:val="24"/>
          <w:lang w:val="en-US"/>
        </w:rPr>
      </w:pPr>
      <w:r w:rsidRPr="00AE31F1">
        <w:rPr>
          <w:rFonts w:ascii="Times New Roman" w:eastAsia="Times New Roman" w:hAnsi="Times New Roman"/>
          <w:sz w:val="24"/>
          <w:szCs w:val="24"/>
          <w:lang w:val="en-US"/>
        </w:rPr>
        <w:t>The tenth issue is related to hazardous waste management in the sub-project area. The project will have to develop (i) an electronic and electrical waste management plan to define the storage and treatment conditions for waste from the site activities; and (ii) a hazardous waste management plan that will also allow for the treatment of waste such as soil contaminated by dielectric oils for which there is no local recycling channel and other categories of hazardous waste (biomedical waste, toxic waste, etc.).</w:t>
      </w:r>
    </w:p>
    <w:p w14:paraId="1E487148" w14:textId="77777777" w:rsidR="009C11E8" w:rsidRPr="00AE31F1" w:rsidRDefault="009C11E8" w:rsidP="00215867">
      <w:pPr>
        <w:numPr>
          <w:ilvl w:val="0"/>
          <w:numId w:val="345"/>
        </w:numPr>
        <w:suppressAutoHyphens/>
        <w:spacing w:before="120" w:after="120" w:line="240" w:lineRule="auto"/>
        <w:jc w:val="both"/>
        <w:rPr>
          <w:rFonts w:ascii="Times New Roman" w:hAnsi="Times New Roman"/>
          <w:sz w:val="24"/>
          <w:szCs w:val="24"/>
          <w:lang w:val="en-US"/>
        </w:rPr>
      </w:pPr>
      <w:r w:rsidRPr="00AE31F1">
        <w:rPr>
          <w:rFonts w:ascii="Times New Roman" w:eastAsia="Times New Roman" w:hAnsi="Times New Roman"/>
          <w:b/>
          <w:i/>
          <w:sz w:val="24"/>
          <w:szCs w:val="24"/>
          <w:lang w:val="en-US"/>
        </w:rPr>
        <w:t>Legal and institutional framework for the implementation of the project</w:t>
      </w:r>
    </w:p>
    <w:p w14:paraId="5C2E9DF6"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pacing w:val="1"/>
          <w:sz w:val="24"/>
          <w:szCs w:val="24"/>
          <w:lang w:val="en-US"/>
        </w:rPr>
        <w:t xml:space="preserve">The political and legal context of the environmental and social sector in the Democratic Republic of Congo </w:t>
      </w:r>
      <w:r w:rsidRPr="00AE31F1">
        <w:rPr>
          <w:rFonts w:ascii="Times New Roman" w:hAnsi="Times New Roman"/>
          <w:sz w:val="24"/>
          <w:szCs w:val="24"/>
          <w:lang w:val="en-US"/>
        </w:rPr>
        <w:t xml:space="preserve">is defined by policy documents, in particular the </w:t>
      </w:r>
      <w:r w:rsidRPr="00AE31F1">
        <w:rPr>
          <w:rFonts w:ascii="Times New Roman" w:hAnsi="Times New Roman"/>
          <w:iCs/>
          <w:sz w:val="24"/>
          <w:szCs w:val="24"/>
          <w:lang w:val="en-US"/>
        </w:rPr>
        <w:t xml:space="preserve">1997 National Environmental Action Plan (PNAE), the </w:t>
      </w:r>
      <w:r w:rsidRPr="00AE31F1">
        <w:rPr>
          <w:rFonts w:ascii="Times New Roman" w:hAnsi="Times New Roman"/>
          <w:sz w:val="24"/>
          <w:szCs w:val="24"/>
          <w:lang w:val="en-US" w:eastAsia="fr-FR"/>
        </w:rPr>
        <w:t>National Strategy and Action Plan for Biological Diversity, drawn up in 1999 and updated in October 2001</w:t>
      </w:r>
      <w:r w:rsidRPr="00AE31F1">
        <w:rPr>
          <w:rFonts w:ascii="Times New Roman" w:hAnsi="Times New Roman"/>
          <w:sz w:val="24"/>
          <w:szCs w:val="24"/>
          <w:lang w:val="en-US"/>
        </w:rPr>
        <w:t xml:space="preserve">, and the </w:t>
      </w:r>
      <w:r w:rsidRPr="00AE31F1">
        <w:rPr>
          <w:rFonts w:ascii="Times New Roman" w:eastAsia="Times New Roman" w:hAnsi="Times New Roman"/>
          <w:iCs/>
          <w:sz w:val="24"/>
          <w:szCs w:val="24"/>
          <w:lang w:val="en-US" w:eastAsia="fr-FR"/>
        </w:rPr>
        <w:t>National Action Plan for Adaptation to Climate Change (PANA)</w:t>
      </w:r>
      <w:r w:rsidRPr="00AE31F1">
        <w:rPr>
          <w:rFonts w:ascii="Times New Roman" w:hAnsi="Times New Roman"/>
          <w:sz w:val="24"/>
          <w:szCs w:val="24"/>
          <w:lang w:val="en-US"/>
        </w:rPr>
        <w:t xml:space="preserve">. In addition, there is </w:t>
      </w:r>
      <w:r w:rsidRPr="00AE31F1">
        <w:rPr>
          <w:rFonts w:ascii="Times New Roman" w:hAnsi="Times New Roman"/>
          <w:sz w:val="24"/>
          <w:szCs w:val="24"/>
          <w:lang w:val="en-US" w:eastAsia="fr-FR"/>
        </w:rPr>
        <w:t xml:space="preserve">the Growth and Poverty Reduction Strategy Paper </w:t>
      </w:r>
      <w:r w:rsidRPr="00AE31F1">
        <w:rPr>
          <w:rFonts w:ascii="Times New Roman" w:hAnsi="Times New Roman"/>
          <w:sz w:val="24"/>
          <w:szCs w:val="24"/>
          <w:lang w:val="en-US"/>
        </w:rPr>
        <w:t xml:space="preserve">(GPRSP) </w:t>
      </w:r>
      <w:r w:rsidRPr="00AE31F1">
        <w:rPr>
          <w:rFonts w:ascii="Times New Roman" w:hAnsi="Times New Roman"/>
          <w:sz w:val="24"/>
          <w:szCs w:val="24"/>
          <w:lang w:val="en-US" w:eastAsia="fr-FR"/>
        </w:rPr>
        <w:t>(2011-2015)</w:t>
      </w:r>
      <w:r w:rsidRPr="00AE31F1">
        <w:rPr>
          <w:rFonts w:ascii="Times New Roman" w:hAnsi="Times New Roman"/>
          <w:sz w:val="24"/>
          <w:szCs w:val="24"/>
          <w:lang w:val="en-US"/>
        </w:rPr>
        <w:t xml:space="preserve">, the </w:t>
      </w:r>
      <w:r w:rsidRPr="00AE31F1">
        <w:rPr>
          <w:rFonts w:ascii="Times New Roman" w:hAnsi="Times New Roman"/>
          <w:bCs/>
          <w:sz w:val="24"/>
          <w:szCs w:val="24"/>
          <w:lang w:val="en-US" w:eastAsia="fr-FR"/>
        </w:rPr>
        <w:t xml:space="preserve">National </w:t>
      </w:r>
      <w:r w:rsidRPr="00AE31F1">
        <w:rPr>
          <w:rFonts w:ascii="Times New Roman" w:hAnsi="Times New Roman"/>
          <w:bCs/>
          <w:sz w:val="24"/>
          <w:szCs w:val="24"/>
          <w:lang w:val="en-US"/>
        </w:rPr>
        <w:t>Health Development</w:t>
      </w:r>
      <w:r w:rsidRPr="00AE31F1">
        <w:rPr>
          <w:rFonts w:ascii="Times New Roman" w:hAnsi="Times New Roman"/>
          <w:bCs/>
          <w:sz w:val="24"/>
          <w:szCs w:val="24"/>
          <w:lang w:val="en-US" w:eastAsia="fr-FR"/>
        </w:rPr>
        <w:t xml:space="preserve"> Plan </w:t>
      </w:r>
      <w:r w:rsidRPr="00AE31F1">
        <w:rPr>
          <w:rFonts w:ascii="Times New Roman" w:hAnsi="Times New Roman"/>
          <w:bCs/>
          <w:sz w:val="24"/>
          <w:szCs w:val="24"/>
          <w:lang w:val="en-US"/>
        </w:rPr>
        <w:t xml:space="preserve">(PNDS 2011-2015) and the </w:t>
      </w:r>
      <w:r w:rsidRPr="00AE31F1">
        <w:rPr>
          <w:rFonts w:ascii="Times New Roman" w:eastAsia="font946" w:hAnsi="Times New Roman"/>
          <w:bCs/>
          <w:sz w:val="24"/>
          <w:szCs w:val="24"/>
          <w:lang w:val="en-US" w:eastAsia="fr-FR"/>
        </w:rPr>
        <w:t>Strategic Framework for the Implementation of Decentralization (CSMOD, July 2009)</w:t>
      </w:r>
      <w:r w:rsidRPr="00AE31F1">
        <w:rPr>
          <w:rFonts w:ascii="Times New Roman" w:eastAsia="font946" w:hAnsi="Times New Roman"/>
          <w:bCs/>
          <w:sz w:val="24"/>
          <w:szCs w:val="24"/>
          <w:lang w:val="en-US"/>
        </w:rPr>
        <w:t xml:space="preserve">. </w:t>
      </w:r>
    </w:p>
    <w:p w14:paraId="036ED929"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At the </w:t>
      </w:r>
      <w:r w:rsidRPr="00AE31F1">
        <w:rPr>
          <w:rFonts w:ascii="Times New Roman" w:hAnsi="Times New Roman"/>
          <w:bCs/>
          <w:sz w:val="24"/>
          <w:szCs w:val="24"/>
          <w:lang w:val="en-US"/>
        </w:rPr>
        <w:t xml:space="preserve">legislative and regulatory </w:t>
      </w:r>
      <w:r w:rsidRPr="00AE31F1">
        <w:rPr>
          <w:rFonts w:ascii="Times New Roman" w:hAnsi="Times New Roman"/>
          <w:sz w:val="24"/>
          <w:szCs w:val="24"/>
          <w:lang w:val="en-US"/>
        </w:rPr>
        <w:t>level</w:t>
      </w:r>
      <w:r w:rsidRPr="00AE31F1">
        <w:rPr>
          <w:rFonts w:ascii="Times New Roman" w:hAnsi="Times New Roman"/>
          <w:bCs/>
          <w:sz w:val="24"/>
          <w:szCs w:val="24"/>
          <w:lang w:val="en-US"/>
        </w:rPr>
        <w:t xml:space="preserve">, we can mainly mention </w:t>
      </w:r>
      <w:r w:rsidRPr="00AE31F1">
        <w:rPr>
          <w:rFonts w:ascii="Times New Roman" w:hAnsi="Times New Roman"/>
          <w:sz w:val="24"/>
          <w:szCs w:val="24"/>
          <w:lang w:val="en-US" w:eastAsia="fr-FR"/>
        </w:rPr>
        <w:t xml:space="preserve">the Constitution of the DRC adopted on 18 February 2006 as amended and completed by Law N°11/002 of 20 January 2011 on the revision of certain articles of the Constitution of the DRC, Law N°11/009 of 09 July 2011, on the fundamental principles relating to </w:t>
      </w:r>
      <w:r w:rsidRPr="00AE31F1">
        <w:rPr>
          <w:rFonts w:ascii="Times New Roman" w:hAnsi="Times New Roman"/>
          <w:sz w:val="24"/>
          <w:szCs w:val="24"/>
          <w:lang w:val="en-US"/>
        </w:rPr>
        <w:t>environmental</w:t>
      </w:r>
      <w:r w:rsidRPr="00AE31F1">
        <w:rPr>
          <w:rFonts w:ascii="Times New Roman" w:hAnsi="Times New Roman"/>
          <w:sz w:val="24"/>
          <w:szCs w:val="24"/>
          <w:lang w:val="en-US" w:eastAsia="fr-FR"/>
        </w:rPr>
        <w:t xml:space="preserve"> protection</w:t>
      </w:r>
      <w:r w:rsidRPr="00AE31F1">
        <w:rPr>
          <w:rFonts w:ascii="Times New Roman" w:hAnsi="Times New Roman"/>
          <w:sz w:val="24"/>
          <w:szCs w:val="24"/>
          <w:lang w:val="en-US"/>
        </w:rPr>
        <w:t xml:space="preserve">", Decree n°14/019 of 02 August 2014 setting the rules of operation of the procedural mechanisms of environmental protection, </w:t>
      </w:r>
      <w:r w:rsidRPr="00AE31F1">
        <w:rPr>
          <w:rFonts w:ascii="Times New Roman" w:hAnsi="Times New Roman"/>
          <w:bCs/>
          <w:sz w:val="24"/>
          <w:szCs w:val="24"/>
          <w:lang w:val="en-US" w:eastAsia="fr-FR"/>
        </w:rPr>
        <w:t xml:space="preserve">Law 011-2002 of 29 August </w:t>
      </w:r>
      <w:r w:rsidRPr="00AE31F1">
        <w:rPr>
          <w:rFonts w:ascii="Times New Roman" w:hAnsi="Times New Roman"/>
          <w:bCs/>
          <w:sz w:val="24"/>
          <w:szCs w:val="24"/>
          <w:lang w:val="en-US"/>
        </w:rPr>
        <w:t xml:space="preserve">2002 on the Forestry Code which </w:t>
      </w:r>
      <w:r w:rsidRPr="00AE31F1">
        <w:rPr>
          <w:rFonts w:ascii="Times New Roman" w:hAnsi="Times New Roman"/>
          <w:bCs/>
          <w:sz w:val="24"/>
          <w:szCs w:val="24"/>
          <w:lang w:val="en-US" w:eastAsia="fr-FR"/>
        </w:rPr>
        <w:t xml:space="preserve">deals with land clearing </w:t>
      </w:r>
      <w:r w:rsidRPr="00AE31F1">
        <w:rPr>
          <w:rFonts w:ascii="Times New Roman" w:hAnsi="Times New Roman"/>
          <w:bCs/>
          <w:sz w:val="24"/>
          <w:szCs w:val="24"/>
          <w:lang w:val="en-US"/>
        </w:rPr>
        <w:t xml:space="preserve">and erosion problems, </w:t>
      </w:r>
      <w:r w:rsidRPr="00AE31F1">
        <w:rPr>
          <w:rFonts w:ascii="Times New Roman" w:hAnsi="Times New Roman"/>
          <w:bCs/>
          <w:sz w:val="24"/>
          <w:szCs w:val="24"/>
          <w:lang w:val="en-US" w:eastAsia="fr-FR"/>
        </w:rPr>
        <w:t xml:space="preserve">Law n°007/2002 of 11 July 2002 on the Mining Code and the </w:t>
      </w:r>
      <w:r w:rsidRPr="00AE31F1">
        <w:rPr>
          <w:rFonts w:ascii="Times New Roman" w:hAnsi="Times New Roman"/>
          <w:bCs/>
          <w:sz w:val="24"/>
          <w:szCs w:val="24"/>
          <w:lang w:val="en-US"/>
        </w:rPr>
        <w:t xml:space="preserve">Mining Regulations of March 2003, </w:t>
      </w:r>
      <w:r w:rsidRPr="00AE31F1">
        <w:rPr>
          <w:rFonts w:ascii="Times New Roman" w:hAnsi="Times New Roman"/>
          <w:sz w:val="24"/>
          <w:szCs w:val="24"/>
          <w:lang w:val="en-US"/>
        </w:rPr>
        <w:t xml:space="preserve">Law n°14/011 of 17 June 2014 on the electricity sector </w:t>
      </w:r>
    </w:p>
    <w:p w14:paraId="4E8DB7DC"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eastAsia="fr-FR"/>
        </w:rPr>
        <w:t>The above-mentioned Framework Law n°11/009 of July 09, 2011 sets out the fundamental principles relating to the protection of the environment, in accordance with Article 123 point 15 of the Constitution. It aims at promoting sustainable management of natural resources, preventing risks, fighting against all forms of pollution and nuisances, and improving the quality of life of the populations while respecting the ecological balance (Article 1). It provides that environmental protection and natural resource management shall be carried out in such a way as to meet the development needs of present generations in an equitable manner without compromising the ability of future generations to meet their own needs. Any national policy on economic and social development shall incorporate this principle (Article 7). This framework law introduces, among other things, the obligation of an environmental assessment, an environmental and social impact study, an environmental audit and a public inquiry for all investment works. This obligation was reiterated for the electricity sector by Article 12 of Law n°14/011 of 17 June 2014.</w:t>
      </w:r>
    </w:p>
    <w:p w14:paraId="2DD35514" w14:textId="77777777" w:rsidR="009C11E8" w:rsidRPr="00AE31F1" w:rsidRDefault="009C11E8" w:rsidP="00215867">
      <w:pPr>
        <w:tabs>
          <w:tab w:val="left" w:pos="0"/>
        </w:tabs>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eastAsia="fr-FR"/>
        </w:rPr>
        <w:t>Act No. 06/018 of 20 July 2006 amending and supplementing the Penal Code. Decree of 30 January 1940 on the Congolese Criminal Code.</w:t>
      </w:r>
    </w:p>
    <w:p w14:paraId="1F73B829" w14:textId="77777777" w:rsidR="009C11E8" w:rsidRPr="00AE31F1" w:rsidRDefault="009C11E8" w:rsidP="00215867">
      <w:pPr>
        <w:tabs>
          <w:tab w:val="left" w:pos="0"/>
        </w:tabs>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eastAsia="fr-FR"/>
        </w:rPr>
        <w:t>Law 06/018 amending and supplementing the decree of 30 June 1940 on the Congolese Criminal Code and Law 06/019 amending and supplementing the decree of 6 August 1959 on the Congolese Code of Criminal Procedure, which lists the various types of sexual violence and the penalties for their perpetrators. This law should be combined with the law on the protection of children and the law against the stigmatization of and discrimination against people living with HIV in the DRC, which include certain provisions on gender-based violence.</w:t>
      </w:r>
    </w:p>
    <w:p w14:paraId="356CB2D8" w14:textId="250A2CCC" w:rsidR="009C11E8" w:rsidRPr="00AE31F1" w:rsidRDefault="009C11E8" w:rsidP="00215867">
      <w:pPr>
        <w:tabs>
          <w:tab w:val="left" w:pos="567"/>
        </w:tabs>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eastAsia="fr-FR"/>
        </w:rPr>
        <w:t xml:space="preserve">In addition to Acts No. 06/018 and No. 06/019, other provisions to combat gender-based violence and discrimination against women are taken into account, in particular by </w:t>
      </w:r>
      <w:r w:rsidR="00D95E12">
        <w:rPr>
          <w:rFonts w:ascii="Times New Roman" w:hAnsi="Times New Roman"/>
          <w:sz w:val="24"/>
          <w:szCs w:val="24"/>
          <w:lang w:val="en-US" w:eastAsia="fr-FR"/>
        </w:rPr>
        <w:t>:</w:t>
      </w:r>
      <w:r w:rsidRPr="00AE31F1">
        <w:rPr>
          <w:rFonts w:ascii="Times New Roman" w:hAnsi="Times New Roman"/>
          <w:sz w:val="24"/>
          <w:szCs w:val="24"/>
          <w:lang w:val="en-US" w:eastAsia="fr-FR"/>
        </w:rPr>
        <w:t xml:space="preserve"> </w:t>
      </w:r>
    </w:p>
    <w:p w14:paraId="2615D9EB" w14:textId="77777777" w:rsidR="009C11E8" w:rsidRPr="00AE31F1" w:rsidRDefault="009C11E8" w:rsidP="00AE31F1">
      <w:pPr>
        <w:pStyle w:val="Paragraphedeliste1"/>
        <w:numPr>
          <w:ilvl w:val="0"/>
          <w:numId w:val="353"/>
        </w:numPr>
        <w:tabs>
          <w:tab w:val="left" w:pos="567"/>
        </w:tabs>
        <w:ind w:left="567"/>
        <w:contextualSpacing/>
        <w:jc w:val="both"/>
        <w:rPr>
          <w:sz w:val="24"/>
          <w:lang w:val="en-US"/>
        </w:rPr>
      </w:pPr>
      <w:r w:rsidRPr="00AE31F1">
        <w:rPr>
          <w:sz w:val="24"/>
          <w:lang w:val="en-US"/>
        </w:rPr>
        <w:t>the revised Labor Code, which abolishes the marital authorization for the hiring of married women seeking employment</w:t>
      </w:r>
    </w:p>
    <w:p w14:paraId="2F55D0DB" w14:textId="77777777" w:rsidR="009C11E8" w:rsidRPr="00AE31F1" w:rsidRDefault="009C11E8" w:rsidP="00AE31F1">
      <w:pPr>
        <w:pStyle w:val="Paragraphedeliste1"/>
        <w:numPr>
          <w:ilvl w:val="0"/>
          <w:numId w:val="353"/>
        </w:numPr>
        <w:ind w:left="567"/>
        <w:contextualSpacing/>
        <w:jc w:val="both"/>
        <w:rPr>
          <w:sz w:val="24"/>
          <w:lang w:val="en-US"/>
        </w:rPr>
      </w:pPr>
      <w:r w:rsidRPr="00AE31F1">
        <w:rPr>
          <w:sz w:val="24"/>
          <w:lang w:val="en-US"/>
        </w:rPr>
        <w:t xml:space="preserve">the Military Judicial Code, which imposes particularly severe penalties for rape, sexual slavery, forced prostitution, forced pregnancy, forced sterilization and other forms of sexual violence of comparable gravity </w:t>
      </w:r>
    </w:p>
    <w:p w14:paraId="0A3A3C27" w14:textId="77777777" w:rsidR="009C11E8" w:rsidRPr="00AE31F1" w:rsidRDefault="009C11E8" w:rsidP="00AE31F1">
      <w:pPr>
        <w:pStyle w:val="Paragraphedeliste1"/>
        <w:numPr>
          <w:ilvl w:val="0"/>
          <w:numId w:val="353"/>
        </w:numPr>
        <w:tabs>
          <w:tab w:val="left" w:pos="567"/>
        </w:tabs>
        <w:ind w:left="567"/>
        <w:contextualSpacing/>
        <w:jc w:val="both"/>
        <w:rPr>
          <w:sz w:val="24"/>
          <w:lang w:val="en-US"/>
        </w:rPr>
      </w:pPr>
      <w:r w:rsidRPr="00AE31F1">
        <w:rPr>
          <w:sz w:val="24"/>
          <w:lang w:val="en-US"/>
        </w:rPr>
        <w:t xml:space="preserve">Act No. 08/011 of 14 July 2008 on the protection of the rights of persons living with HIV/AIDS and those affected, which places particular emphasis on HIV-positive women, benefits from all the provisions put in place by the State under the national reproductive health policy and the protection of mother-to-child transmission of HIV/AIDS. </w:t>
      </w:r>
    </w:p>
    <w:p w14:paraId="7722486E" w14:textId="77777777" w:rsidR="009C11E8" w:rsidRPr="00AE31F1" w:rsidRDefault="009C11E8" w:rsidP="00AE31F1">
      <w:pPr>
        <w:pStyle w:val="Paragraphedeliste1"/>
        <w:numPr>
          <w:ilvl w:val="0"/>
          <w:numId w:val="353"/>
        </w:numPr>
        <w:ind w:left="567"/>
        <w:contextualSpacing/>
        <w:jc w:val="both"/>
        <w:rPr>
          <w:sz w:val="24"/>
          <w:lang w:val="en-US"/>
        </w:rPr>
      </w:pPr>
      <w:r w:rsidRPr="00AE31F1">
        <w:rPr>
          <w:sz w:val="24"/>
          <w:lang w:val="en-US"/>
        </w:rPr>
        <w:t xml:space="preserve">Law No. 87/010 of 1 August 1987 on the Family Code, as amended and supplemented by Law No. 16/008 of 15 July 2016, which incorporates the gender dimension </w:t>
      </w:r>
    </w:p>
    <w:p w14:paraId="7941A0DD" w14:textId="77777777" w:rsidR="009C11E8" w:rsidRPr="00AE31F1" w:rsidRDefault="009C11E8" w:rsidP="00AE31F1">
      <w:pPr>
        <w:pStyle w:val="Paragraphedeliste1"/>
        <w:numPr>
          <w:ilvl w:val="0"/>
          <w:numId w:val="353"/>
        </w:numPr>
        <w:ind w:left="567"/>
        <w:contextualSpacing/>
        <w:rPr>
          <w:sz w:val="24"/>
          <w:lang w:val="en-US"/>
        </w:rPr>
      </w:pPr>
      <w:r w:rsidRPr="00AE31F1">
        <w:rPr>
          <w:sz w:val="24"/>
          <w:lang w:val="en-US"/>
        </w:rPr>
        <w:t>Act No. 09/001 of 10 January 2009 on the protection of children, which defines a child as any person under 18 years of age and raises the age of marriage from 14 to 18 for girls.</w:t>
      </w:r>
    </w:p>
    <w:p w14:paraId="65C536B1" w14:textId="77777777" w:rsidR="009C11E8" w:rsidRPr="00AE31F1" w:rsidRDefault="009C11E8" w:rsidP="00AE31F1">
      <w:pPr>
        <w:pStyle w:val="Paragraphedeliste1"/>
        <w:numPr>
          <w:ilvl w:val="0"/>
          <w:numId w:val="353"/>
        </w:numPr>
        <w:ind w:left="567"/>
        <w:contextualSpacing/>
        <w:rPr>
          <w:sz w:val="24"/>
          <w:lang w:val="en-US"/>
        </w:rPr>
      </w:pPr>
      <w:r w:rsidRPr="00AE31F1">
        <w:rPr>
          <w:sz w:val="24"/>
          <w:lang w:val="en-US"/>
        </w:rPr>
        <w:t>Act No. 81-003 of 17 July 1981 on the status of career staff in the public services of the State establishes, without discrimination on the basis of sex, the conditions for recruitment, remuneration, advancement in grade and other social benefits.</w:t>
      </w:r>
    </w:p>
    <w:p w14:paraId="59D0209B" w14:textId="77777777" w:rsidR="009C11E8" w:rsidRPr="00AE31F1" w:rsidRDefault="009C11E8" w:rsidP="00AE31F1">
      <w:pPr>
        <w:pStyle w:val="Paragraphedeliste1"/>
        <w:numPr>
          <w:ilvl w:val="0"/>
          <w:numId w:val="353"/>
        </w:numPr>
        <w:ind w:left="567"/>
        <w:contextualSpacing/>
        <w:rPr>
          <w:sz w:val="24"/>
          <w:lang w:val="en-US"/>
        </w:rPr>
      </w:pPr>
      <w:r w:rsidRPr="00AE31F1">
        <w:rPr>
          <w:sz w:val="24"/>
          <w:lang w:val="en-US"/>
        </w:rPr>
        <w:t xml:space="preserve">Act No. 15/013 of 1 August 2015 on the implementation of women's rights and parity </w:t>
      </w:r>
    </w:p>
    <w:p w14:paraId="207FC143" w14:textId="77777777" w:rsidR="009C11E8" w:rsidRPr="00AE31F1" w:rsidRDefault="009C11E8" w:rsidP="00215867">
      <w:pPr>
        <w:spacing w:after="120" w:line="240" w:lineRule="auto"/>
        <w:jc w:val="both"/>
        <w:textAlignment w:val="baseline"/>
        <w:rPr>
          <w:rFonts w:ascii="Times New Roman" w:hAnsi="Times New Roman"/>
          <w:sz w:val="24"/>
          <w:szCs w:val="24"/>
          <w:lang w:val="en-US"/>
        </w:rPr>
      </w:pPr>
      <w:r w:rsidRPr="00AE31F1">
        <w:rPr>
          <w:rFonts w:ascii="Times New Roman" w:hAnsi="Times New Roman"/>
          <w:bCs/>
          <w:sz w:val="24"/>
          <w:szCs w:val="24"/>
          <w:lang w:val="en-US"/>
        </w:rPr>
        <w:t xml:space="preserve">With regard to the risks associated with SEA/SH, the recommendations of the Good Practice Note </w:t>
      </w:r>
      <w:r w:rsidRPr="00AE31F1">
        <w:rPr>
          <w:rStyle w:val="FootnoteCharacters"/>
          <w:rFonts w:ascii="Times New Roman" w:hAnsi="Times New Roman"/>
          <w:bCs/>
          <w:sz w:val="24"/>
          <w:szCs w:val="24"/>
        </w:rPr>
        <w:footnoteReference w:id="2"/>
      </w:r>
      <w:r w:rsidRPr="00AE31F1">
        <w:rPr>
          <w:rFonts w:ascii="Times New Roman" w:hAnsi="Times New Roman"/>
          <w:bCs/>
          <w:sz w:val="24"/>
          <w:szCs w:val="24"/>
          <w:lang w:val="en-US"/>
        </w:rPr>
        <w:t xml:space="preserve">on Addressing </w:t>
      </w:r>
      <w:r w:rsidRPr="00AE31F1">
        <w:rPr>
          <w:rFonts w:ascii="Times New Roman" w:hAnsi="Times New Roman"/>
          <w:sz w:val="24"/>
          <w:szCs w:val="24"/>
          <w:lang w:val="en-US" w:eastAsia="fr-FR"/>
        </w:rPr>
        <w:t xml:space="preserve">Sexual Exploitation and Abuse and Sexual Harassment in the context of financing investment projects involving major civil works will be applied in the implementation of the activities of this subproject.  </w:t>
      </w:r>
      <w:r w:rsidRPr="00AE31F1">
        <w:rPr>
          <w:rFonts w:ascii="Times New Roman" w:hAnsi="Times New Roman"/>
          <w:bCs/>
          <w:sz w:val="24"/>
          <w:szCs w:val="24"/>
          <w:lang w:val="en-US"/>
        </w:rPr>
        <w:t>This Good Practice Note informs project teams of good practices for managing the risks and impacts of SEA/SH in the context of the Environmental and Social Framework, including the following Environmental and Social Standards, as well as pre-Framework safeguards:</w:t>
      </w:r>
    </w:p>
    <w:p w14:paraId="6025F0D8" w14:textId="14D0A3AE" w:rsidR="009C11E8" w:rsidRPr="00215867" w:rsidRDefault="009C11E8" w:rsidP="00215867">
      <w:pPr>
        <w:pStyle w:val="Paragraphedeliste"/>
        <w:numPr>
          <w:ilvl w:val="0"/>
          <w:numId w:val="489"/>
        </w:numPr>
        <w:spacing w:after="0" w:line="240" w:lineRule="auto"/>
        <w:ind w:left="426"/>
        <w:jc w:val="both"/>
        <w:textAlignment w:val="baseline"/>
        <w:rPr>
          <w:rFonts w:ascii="Times New Roman" w:hAnsi="Times New Roman"/>
          <w:sz w:val="24"/>
          <w:szCs w:val="24"/>
          <w:lang w:val="en-US"/>
        </w:rPr>
      </w:pPr>
      <w:r w:rsidRPr="00215867">
        <w:rPr>
          <w:rFonts w:ascii="Times New Roman" w:hAnsi="Times New Roman"/>
          <w:bCs/>
          <w:sz w:val="24"/>
          <w:szCs w:val="24"/>
          <w:lang w:val="en-US"/>
        </w:rPr>
        <w:t>ESS No. 1: Assessment and management of environmental and social risks and impacts ;</w:t>
      </w:r>
    </w:p>
    <w:p w14:paraId="2A956F94" w14:textId="23240F12" w:rsidR="009C11E8" w:rsidRPr="00215867" w:rsidRDefault="009C11E8" w:rsidP="00215867">
      <w:pPr>
        <w:pStyle w:val="Paragraphedeliste"/>
        <w:numPr>
          <w:ilvl w:val="0"/>
          <w:numId w:val="489"/>
        </w:numPr>
        <w:spacing w:after="0" w:line="240" w:lineRule="auto"/>
        <w:ind w:left="426"/>
        <w:jc w:val="both"/>
        <w:textAlignment w:val="baseline"/>
        <w:rPr>
          <w:rFonts w:ascii="Times New Roman" w:hAnsi="Times New Roman"/>
          <w:sz w:val="24"/>
          <w:szCs w:val="24"/>
          <w:lang w:val="en-US"/>
        </w:rPr>
      </w:pPr>
      <w:r w:rsidRPr="00215867">
        <w:rPr>
          <w:rFonts w:ascii="Times New Roman" w:hAnsi="Times New Roman"/>
          <w:bCs/>
          <w:sz w:val="24"/>
          <w:szCs w:val="24"/>
          <w:lang w:val="en-US"/>
        </w:rPr>
        <w:t>ESS No. 2: Employment and working conditions ;</w:t>
      </w:r>
    </w:p>
    <w:p w14:paraId="41E643D4" w14:textId="3962FC9B" w:rsidR="009C11E8" w:rsidRPr="00215867" w:rsidRDefault="009C11E8" w:rsidP="00215867">
      <w:pPr>
        <w:pStyle w:val="Paragraphedeliste"/>
        <w:numPr>
          <w:ilvl w:val="0"/>
          <w:numId w:val="489"/>
        </w:numPr>
        <w:spacing w:after="0" w:line="240" w:lineRule="auto"/>
        <w:ind w:left="426"/>
        <w:jc w:val="both"/>
        <w:textAlignment w:val="baseline"/>
        <w:rPr>
          <w:rFonts w:ascii="Times New Roman" w:hAnsi="Times New Roman"/>
          <w:sz w:val="24"/>
          <w:szCs w:val="24"/>
          <w:lang w:val="en-US"/>
        </w:rPr>
      </w:pPr>
      <w:r w:rsidRPr="00215867">
        <w:rPr>
          <w:rFonts w:ascii="Times New Roman" w:hAnsi="Times New Roman"/>
          <w:bCs/>
          <w:sz w:val="24"/>
          <w:szCs w:val="24"/>
          <w:lang w:val="en-US"/>
        </w:rPr>
        <w:t>ESS No. 4: Population Health and Safety ;</w:t>
      </w:r>
    </w:p>
    <w:p w14:paraId="39C4E54C" w14:textId="2581A2B2" w:rsidR="009C11E8" w:rsidRPr="00215867" w:rsidRDefault="009C11E8" w:rsidP="00215867">
      <w:pPr>
        <w:pStyle w:val="Paragraphedeliste"/>
        <w:numPr>
          <w:ilvl w:val="0"/>
          <w:numId w:val="489"/>
        </w:numPr>
        <w:spacing w:after="0" w:line="240" w:lineRule="auto"/>
        <w:ind w:left="426"/>
        <w:jc w:val="both"/>
        <w:textAlignment w:val="baseline"/>
        <w:rPr>
          <w:rFonts w:ascii="Times New Roman" w:hAnsi="Times New Roman"/>
          <w:sz w:val="24"/>
          <w:szCs w:val="24"/>
          <w:lang w:val="en-US"/>
        </w:rPr>
      </w:pPr>
      <w:r w:rsidRPr="00215867">
        <w:rPr>
          <w:rFonts w:ascii="Times New Roman" w:hAnsi="Times New Roman"/>
          <w:bCs/>
          <w:sz w:val="24"/>
          <w:szCs w:val="24"/>
          <w:lang w:val="en-US"/>
        </w:rPr>
        <w:t xml:space="preserve">ESS No. 10: Stakeholder engagement and information. </w:t>
      </w:r>
    </w:p>
    <w:p w14:paraId="519D60D0" w14:textId="77777777" w:rsidR="009C11E8" w:rsidRPr="00AE31F1" w:rsidRDefault="009C11E8" w:rsidP="00215867">
      <w:pPr>
        <w:spacing w:before="120" w:after="120" w:line="240" w:lineRule="auto"/>
        <w:jc w:val="both"/>
        <w:textAlignment w:val="baseline"/>
        <w:rPr>
          <w:rFonts w:ascii="Times New Roman" w:hAnsi="Times New Roman"/>
          <w:sz w:val="24"/>
          <w:szCs w:val="24"/>
        </w:rPr>
      </w:pPr>
      <w:r w:rsidRPr="00AE31F1">
        <w:rPr>
          <w:rFonts w:ascii="Times New Roman" w:hAnsi="Times New Roman"/>
          <w:bCs/>
          <w:sz w:val="24"/>
          <w:szCs w:val="24"/>
          <w:lang w:val="en-US"/>
        </w:rPr>
        <w:t xml:space="preserve">The overall implementation of the governance and access to electricity, water and sanitation project complies with 9 of the Bank's 10 standards and 2 of its former policies. Thus, for the sub-project on electrification of black pockets, sanitation, rehabilitation and compliance of SNEL networks in the Kinshasa Centre and West directorates, 8 of the 10 World Bank standards are relevant to its implementation. </w:t>
      </w:r>
      <w:r w:rsidRPr="00AE31F1">
        <w:rPr>
          <w:rFonts w:ascii="Times New Roman" w:hAnsi="Times New Roman"/>
          <w:sz w:val="24"/>
          <w:szCs w:val="24"/>
        </w:rPr>
        <w:t xml:space="preserve">More specifically, these are </w:t>
      </w:r>
    </w:p>
    <w:p w14:paraId="1D97DAFD"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ESS 1: Assessment and Management of Environmental and Social Risks and Effects</w:t>
      </w:r>
    </w:p>
    <w:p w14:paraId="65B8E410"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rPr>
      </w:pPr>
      <w:r w:rsidRPr="00AE31F1">
        <w:rPr>
          <w:rFonts w:ascii="Times New Roman" w:hAnsi="Times New Roman"/>
          <w:sz w:val="24"/>
          <w:szCs w:val="24"/>
        </w:rPr>
        <w:t>ESS 2: Labour and working conditions</w:t>
      </w:r>
    </w:p>
    <w:p w14:paraId="011236F2"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rPr>
      </w:pPr>
      <w:r w:rsidRPr="00AE31F1">
        <w:rPr>
          <w:rFonts w:ascii="Times New Roman" w:hAnsi="Times New Roman"/>
          <w:sz w:val="24"/>
          <w:szCs w:val="24"/>
        </w:rPr>
        <w:t>ESS 3: Resource efficiency, pollution prevention and management</w:t>
      </w:r>
    </w:p>
    <w:p w14:paraId="32D2A26E"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rPr>
      </w:pPr>
      <w:r w:rsidRPr="00AE31F1">
        <w:rPr>
          <w:rFonts w:ascii="Times New Roman" w:hAnsi="Times New Roman"/>
          <w:sz w:val="24"/>
          <w:szCs w:val="24"/>
        </w:rPr>
        <w:t xml:space="preserve">ESS 4: Community Health and Safety </w:t>
      </w:r>
    </w:p>
    <w:p w14:paraId="55AE187F"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ESS 5: Land Acquisition, Land Use Restrictions and Involuntary Resettlement</w:t>
      </w:r>
    </w:p>
    <w:p w14:paraId="12EEB0DF"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ESS 6: Biodiversity conservation and management of living natural resources</w:t>
      </w:r>
    </w:p>
    <w:p w14:paraId="6A040605"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rPr>
      </w:pPr>
      <w:r w:rsidRPr="00AE31F1">
        <w:rPr>
          <w:rFonts w:ascii="Times New Roman" w:hAnsi="Times New Roman"/>
          <w:sz w:val="24"/>
          <w:szCs w:val="24"/>
        </w:rPr>
        <w:t>ESS 8: Cultural Heritage</w:t>
      </w:r>
    </w:p>
    <w:p w14:paraId="3767D1B2"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ESS 10: Consultation and Dissemination of Information</w:t>
      </w:r>
    </w:p>
    <w:p w14:paraId="24E47860" w14:textId="77777777" w:rsidR="009C11E8" w:rsidRPr="00AE31F1" w:rsidRDefault="009C11E8" w:rsidP="00215867">
      <w:pPr>
        <w:spacing w:before="120" w:after="120" w:line="240" w:lineRule="auto"/>
        <w:jc w:val="both"/>
        <w:textAlignment w:val="baseline"/>
        <w:rPr>
          <w:rFonts w:ascii="Times New Roman" w:hAnsi="Times New Roman"/>
          <w:sz w:val="24"/>
          <w:szCs w:val="24"/>
          <w:lang w:val="en-US"/>
        </w:rPr>
      </w:pPr>
      <w:r w:rsidRPr="00AE31F1">
        <w:rPr>
          <w:rFonts w:ascii="Times New Roman" w:hAnsi="Times New Roman"/>
          <w:sz w:val="24"/>
          <w:szCs w:val="24"/>
          <w:lang w:val="en-US"/>
        </w:rPr>
        <w:t xml:space="preserve">Only the SEA No. 7: Indigenous Peoples/Traditional Local Communities in Sub-Saharan Africa with Historical Disadvantages is not applicable to this sub-project, especially since it will be implemented in an urban area. </w:t>
      </w:r>
    </w:p>
    <w:p w14:paraId="6BEAC520" w14:textId="77777777" w:rsidR="009C11E8" w:rsidRPr="00AE31F1" w:rsidRDefault="009C11E8" w:rsidP="00215867">
      <w:pPr>
        <w:spacing w:before="120" w:after="120" w:line="240" w:lineRule="auto"/>
        <w:jc w:val="both"/>
        <w:textAlignment w:val="baseline"/>
        <w:rPr>
          <w:rFonts w:ascii="Times New Roman" w:hAnsi="Times New Roman"/>
          <w:sz w:val="24"/>
          <w:szCs w:val="24"/>
          <w:lang w:val="en-US"/>
        </w:rPr>
      </w:pPr>
      <w:r w:rsidRPr="00AE31F1">
        <w:rPr>
          <w:rFonts w:ascii="Times New Roman" w:hAnsi="Times New Roman"/>
          <w:sz w:val="24"/>
          <w:szCs w:val="24"/>
          <w:lang w:val="en-US"/>
        </w:rPr>
        <w:t xml:space="preserve">The legal framework of the DRC is completed by the international conventions ratified or signed by the Congolese State, which </w:t>
      </w:r>
      <w:r w:rsidRPr="00AE31F1">
        <w:rPr>
          <w:rFonts w:ascii="Times New Roman" w:hAnsi="Times New Roman"/>
          <w:bCs/>
          <w:sz w:val="24"/>
          <w:szCs w:val="24"/>
          <w:lang w:val="en-US"/>
        </w:rPr>
        <w:t xml:space="preserve">are </w:t>
      </w:r>
      <w:r w:rsidRPr="00AE31F1">
        <w:rPr>
          <w:rFonts w:ascii="Times New Roman" w:hAnsi="Times New Roman"/>
          <w:sz w:val="24"/>
          <w:szCs w:val="24"/>
          <w:lang w:val="en-US"/>
        </w:rPr>
        <w:t>automatically part of the country's legal arsenal.</w:t>
      </w:r>
    </w:p>
    <w:p w14:paraId="28995D0E" w14:textId="77777777" w:rsidR="009C11E8" w:rsidRPr="00AE31F1" w:rsidRDefault="009C11E8" w:rsidP="00215867">
      <w:pPr>
        <w:spacing w:before="120" w:after="120" w:line="240" w:lineRule="auto"/>
        <w:rPr>
          <w:rFonts w:ascii="Times New Roman" w:hAnsi="Times New Roman"/>
          <w:sz w:val="24"/>
          <w:szCs w:val="24"/>
          <w:lang w:val="en-US"/>
        </w:rPr>
      </w:pPr>
      <w:r w:rsidRPr="00AE31F1">
        <w:rPr>
          <w:rFonts w:ascii="Times New Roman" w:hAnsi="Times New Roman"/>
          <w:b/>
          <w:sz w:val="24"/>
          <w:szCs w:val="24"/>
          <w:lang w:val="en-US"/>
        </w:rPr>
        <w:t xml:space="preserve">The conventions ratified by the DRC and relevant to this sub-project include </w:t>
      </w:r>
    </w:p>
    <w:p w14:paraId="1E93A274"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w:t>
      </w:r>
      <w:r w:rsidRPr="00AE31F1">
        <w:rPr>
          <w:rFonts w:ascii="Times New Roman" w:hAnsi="Times New Roman"/>
          <w:sz w:val="24"/>
          <w:szCs w:val="24"/>
          <w:lang w:val="en-US" w:eastAsia="fr-FR"/>
        </w:rPr>
        <w:t>London Convention on the Conservation of Natural Habitats, ratified on 14 January 1936;</w:t>
      </w:r>
    </w:p>
    <w:p w14:paraId="20CBF0BE"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African Convention on the Conservation of Nature and Natural Resources ratified on 15 September 1968;</w:t>
      </w:r>
    </w:p>
    <w:p w14:paraId="4ADF7021"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Paris Convention concerning the Protection of the World Cultural and Natural Heritage ratified on 23 November 1972 ;</w:t>
      </w:r>
    </w:p>
    <w:p w14:paraId="78DD8A49"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w:t>
      </w:r>
      <w:r w:rsidRPr="00AE31F1">
        <w:rPr>
          <w:rFonts w:ascii="Times New Roman" w:hAnsi="Times New Roman"/>
          <w:sz w:val="24"/>
          <w:szCs w:val="24"/>
          <w:lang w:val="en-US" w:eastAsia="fr-FR"/>
        </w:rPr>
        <w:t xml:space="preserve">United Nations Framework Convention on Climate Change, ratified on </w:t>
      </w:r>
      <w:r w:rsidRPr="00AE31F1">
        <w:rPr>
          <w:rFonts w:ascii="Times New Roman" w:hAnsi="Times New Roman"/>
          <w:sz w:val="24"/>
          <w:szCs w:val="24"/>
          <w:lang w:val="pt-PT" w:eastAsia="fr-FR"/>
        </w:rPr>
        <w:t>4 June 1992;</w:t>
      </w:r>
    </w:p>
    <w:p w14:paraId="660F0CBA"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United Nations Convention against Desertification ratified on 17 October 1995.</w:t>
      </w:r>
    </w:p>
    <w:p w14:paraId="6A681F4C" w14:textId="77777777" w:rsidR="009C11E8" w:rsidRPr="00AE31F1" w:rsidRDefault="009C11E8" w:rsidP="00AE31F1">
      <w:pPr>
        <w:numPr>
          <w:ilvl w:val="0"/>
          <w:numId w:val="347"/>
        </w:numPr>
        <w:suppressAutoHyphens/>
        <w:spacing w:after="0" w:line="240" w:lineRule="auto"/>
        <w:ind w:left="357" w:hanging="357"/>
        <w:jc w:val="both"/>
        <w:rPr>
          <w:rFonts w:ascii="Times New Roman" w:hAnsi="Times New Roman"/>
          <w:sz w:val="24"/>
          <w:szCs w:val="24"/>
          <w:lang w:val="en-US"/>
        </w:rPr>
      </w:pPr>
      <w:r w:rsidRPr="00AE31F1">
        <w:rPr>
          <w:rFonts w:ascii="Times New Roman" w:hAnsi="Times New Roman"/>
          <w:sz w:val="24"/>
          <w:szCs w:val="24"/>
          <w:lang w:val="en-US" w:eastAsia="fr-FR"/>
        </w:rPr>
        <w:t xml:space="preserve">The Convention on Biological Diversity, ratified on </w:t>
      </w:r>
      <w:r w:rsidRPr="00AE31F1">
        <w:rPr>
          <w:rFonts w:ascii="Times New Roman" w:hAnsi="Times New Roman"/>
          <w:sz w:val="24"/>
          <w:szCs w:val="24"/>
          <w:lang w:val="pt-PT" w:eastAsia="fr-FR"/>
        </w:rPr>
        <w:t>4 June 1992.</w:t>
      </w:r>
    </w:p>
    <w:p w14:paraId="37859DBF" w14:textId="77777777" w:rsidR="009C11E8" w:rsidRPr="00AE31F1" w:rsidRDefault="009C11E8" w:rsidP="00215867">
      <w:pPr>
        <w:spacing w:before="120" w:after="120" w:line="240" w:lineRule="auto"/>
        <w:rPr>
          <w:rFonts w:ascii="Times New Roman" w:hAnsi="Times New Roman"/>
          <w:sz w:val="24"/>
          <w:szCs w:val="24"/>
          <w:lang w:val="en-US"/>
        </w:rPr>
      </w:pPr>
      <w:r w:rsidRPr="00AE31F1">
        <w:rPr>
          <w:rFonts w:ascii="Times New Roman" w:hAnsi="Times New Roman"/>
          <w:sz w:val="24"/>
          <w:szCs w:val="24"/>
          <w:lang w:val="pt-PT" w:eastAsia="fr-FR"/>
        </w:rPr>
        <w:t>The conventions on labour, women's and children's rights include the following:</w:t>
      </w:r>
    </w:p>
    <w:p w14:paraId="1C017AE3"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 xml:space="preserve">Convention No. 150 concerning Labor Administration: Role, Functions and Organization, Concluded at Geneva on 26 June 1978, ratified on </w:t>
      </w:r>
      <w:r w:rsidRPr="00AE31F1">
        <w:rPr>
          <w:rFonts w:ascii="Times New Roman" w:eastAsia="Times New Roman" w:hAnsi="Times New Roman"/>
          <w:sz w:val="24"/>
          <w:szCs w:val="24"/>
          <w:lang w:val="en-US" w:eastAsia="fr-FR"/>
        </w:rPr>
        <w:t>03/04/1987</w:t>
      </w:r>
    </w:p>
    <w:p w14:paraId="7FD4096A"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Convention No. 182 concerning the Prohibition and Immediate Action for the Elimination of the Worst Forms of Child Labor, concluded in Geneva on 17 June 1999 and ratified on 20 June 2001</w:t>
      </w:r>
    </w:p>
    <w:p w14:paraId="047A1522"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Convention No. 138 on the Minimum Age for Admission to Employment, concluded in 1999 and ratified on 20 June 2001</w:t>
      </w:r>
    </w:p>
    <w:p w14:paraId="5A8962EF"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African Charter on the Rights and Welfare of the Child, July 1990</w:t>
      </w:r>
    </w:p>
    <w:p w14:paraId="63A563C2"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Convention No. 121 on Benefits in respect of Occupational Injuries and Diseases of 1964 (Schedule I amended in 1980) ratified on 05/09/1967;</w:t>
      </w:r>
    </w:p>
    <w:p w14:paraId="5AF0E9C2"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Discrimination (Employment and Occupation) Convention, 1958 (No. 111), ratified on 20 June 2001</w:t>
      </w:r>
    </w:p>
    <w:p w14:paraId="6744A0F9" w14:textId="77777777" w:rsidR="009C11E8" w:rsidRPr="00AE31F1" w:rsidRDefault="009C11E8" w:rsidP="00AE31F1">
      <w:pPr>
        <w:numPr>
          <w:ilvl w:val="0"/>
          <w:numId w:val="347"/>
        </w:numPr>
        <w:suppressAutoHyphens/>
        <w:spacing w:after="0" w:line="240" w:lineRule="auto"/>
        <w:ind w:left="360"/>
        <w:contextualSpacing/>
        <w:jc w:val="both"/>
        <w:rPr>
          <w:rFonts w:ascii="Times New Roman" w:hAnsi="Times New Roman"/>
          <w:sz w:val="24"/>
          <w:szCs w:val="24"/>
          <w:lang w:val="en-US"/>
        </w:rPr>
      </w:pPr>
      <w:r w:rsidRPr="00AE31F1">
        <w:rPr>
          <w:rFonts w:ascii="Times New Roman" w:hAnsi="Times New Roman"/>
          <w:sz w:val="24"/>
          <w:szCs w:val="24"/>
          <w:lang w:val="en-US" w:eastAsia="fr-FR"/>
        </w:rPr>
        <w:t>The Convention on the Elimination of All Forms of Discrimination against Women or the Declaration on the Elimination of Violence against Women, adopted on 18 December 1979 by the United Nations General Assembly. It was signed in 1980 and ratified in 1986 by the DRC. It entered into force on 3 September 1981 after being ratified by 20 countries.</w:t>
      </w:r>
    </w:p>
    <w:p w14:paraId="4EE06711" w14:textId="77777777" w:rsidR="009C11E8" w:rsidRPr="00AE31F1" w:rsidRDefault="009C11E8" w:rsidP="00AE31F1">
      <w:pPr>
        <w:numPr>
          <w:ilvl w:val="0"/>
          <w:numId w:val="347"/>
        </w:numPr>
        <w:suppressAutoHyphens/>
        <w:spacing w:after="0" w:line="240" w:lineRule="auto"/>
        <w:ind w:left="357" w:hanging="357"/>
        <w:jc w:val="both"/>
        <w:rPr>
          <w:rFonts w:ascii="Times New Roman" w:hAnsi="Times New Roman"/>
          <w:sz w:val="24"/>
          <w:szCs w:val="24"/>
          <w:lang w:val="en-US"/>
        </w:rPr>
      </w:pPr>
      <w:r w:rsidRPr="00AE31F1">
        <w:rPr>
          <w:rFonts w:ascii="Times New Roman" w:hAnsi="Times New Roman"/>
          <w:sz w:val="24"/>
          <w:szCs w:val="24"/>
          <w:lang w:val="en-US" w:eastAsia="fr-FR"/>
        </w:rPr>
        <w:t>Resolution 44/25 of 20 November 1989 on the rights of the child</w:t>
      </w:r>
    </w:p>
    <w:p w14:paraId="11DEE5A0" w14:textId="77777777" w:rsidR="009C11E8" w:rsidRPr="00AE31F1" w:rsidRDefault="009C11E8" w:rsidP="00AE31F1">
      <w:pPr>
        <w:numPr>
          <w:ilvl w:val="0"/>
          <w:numId w:val="347"/>
        </w:numPr>
        <w:suppressAutoHyphens/>
        <w:spacing w:after="0" w:line="240" w:lineRule="auto"/>
        <w:ind w:left="357" w:hanging="357"/>
        <w:jc w:val="both"/>
        <w:rPr>
          <w:rFonts w:ascii="Times New Roman" w:hAnsi="Times New Roman"/>
          <w:sz w:val="24"/>
          <w:szCs w:val="24"/>
          <w:lang w:val="en-US"/>
        </w:rPr>
      </w:pPr>
      <w:r w:rsidRPr="00AE31F1">
        <w:rPr>
          <w:rFonts w:ascii="Times New Roman" w:hAnsi="Times New Roman"/>
          <w:sz w:val="24"/>
          <w:szCs w:val="24"/>
          <w:lang w:val="en-US" w:eastAsia="fr-FR"/>
        </w:rPr>
        <w:t>Resolution 2011/33 on Prevention, protection and international cooperation against the use of new information technologies for the purpose of abusing and/or exploiting children.</w:t>
      </w:r>
    </w:p>
    <w:p w14:paraId="2F1BD490" w14:textId="77777777" w:rsidR="009C11E8" w:rsidRPr="007E5A67" w:rsidRDefault="009C11E8" w:rsidP="00215867">
      <w:pPr>
        <w:spacing w:before="120" w:after="120" w:line="240" w:lineRule="auto"/>
        <w:rPr>
          <w:bCs/>
          <w:sz w:val="24"/>
          <w:lang w:val="en-US"/>
        </w:rPr>
      </w:pPr>
      <w:r w:rsidRPr="00215867">
        <w:rPr>
          <w:rFonts w:ascii="Times New Roman" w:eastAsia="Times New Roman" w:hAnsi="Times New Roman"/>
          <w:bCs/>
          <w:sz w:val="24"/>
          <w:szCs w:val="24"/>
          <w:lang w:val="en-US" w:eastAsia="fr-FR"/>
        </w:rPr>
        <w:t>The following are examples of GBV:</w:t>
      </w:r>
    </w:p>
    <w:p w14:paraId="59B65CF2" w14:textId="77777777" w:rsidR="009C11E8" w:rsidRPr="00AE31F1" w:rsidRDefault="009C11E8" w:rsidP="00AE31F1">
      <w:pPr>
        <w:pStyle w:val="Paragraphedeliste1"/>
        <w:numPr>
          <w:ilvl w:val="0"/>
          <w:numId w:val="352"/>
        </w:numPr>
        <w:contextualSpacing/>
        <w:rPr>
          <w:sz w:val="24"/>
        </w:rPr>
      </w:pPr>
      <w:r w:rsidRPr="00AE31F1">
        <w:rPr>
          <w:sz w:val="24"/>
          <w:lang w:val="en-US" w:eastAsia="es-ES_tradnl"/>
        </w:rPr>
        <w:t xml:space="preserve">Act No. 06/018 of 20 July 2006 amending and supplementing the Penal Code. </w:t>
      </w:r>
      <w:r w:rsidRPr="00AE31F1">
        <w:rPr>
          <w:sz w:val="24"/>
          <w:lang w:eastAsia="es-ES_tradnl"/>
        </w:rPr>
        <w:t>Decree of 30 January 1940 on the Congolese Criminal Code</w:t>
      </w:r>
      <w:r w:rsidRPr="00AE31F1">
        <w:rPr>
          <w:sz w:val="24"/>
          <w:lang w:val="es-ES" w:eastAsia="es-ES_tradnl"/>
        </w:rPr>
        <w:t>.</w:t>
      </w:r>
    </w:p>
    <w:p w14:paraId="7E9CE96F" w14:textId="77777777" w:rsidR="009C11E8" w:rsidRPr="00AE31F1" w:rsidRDefault="009C11E8" w:rsidP="00AE31F1">
      <w:pPr>
        <w:pStyle w:val="Paragraphedeliste1"/>
        <w:numPr>
          <w:ilvl w:val="0"/>
          <w:numId w:val="351"/>
        </w:numPr>
        <w:tabs>
          <w:tab w:val="clear" w:pos="0"/>
          <w:tab w:val="num" w:pos="720"/>
        </w:tabs>
        <w:contextualSpacing/>
        <w:jc w:val="both"/>
        <w:rPr>
          <w:sz w:val="24"/>
          <w:lang w:val="en-US"/>
        </w:rPr>
      </w:pPr>
      <w:r w:rsidRPr="00AE31F1">
        <w:rPr>
          <w:bCs/>
          <w:sz w:val="24"/>
          <w:lang w:val="en-US"/>
        </w:rPr>
        <w:t>Law 06/018 amending and supplementing the decree of 30 June 1940 on the Congolese Criminal Code and Law 06/019 amending and supplementing the decree of 6 August 1959 on the Congolese Code of Criminal Procedure, which lists the various types of sexual violence and the penalties for their perpetrators. This law should be combined with the law on the protection of children and the law against the stigmatization of and discrimination against people living with HIV in the DRC, which include certain provisions on gender-based violence.</w:t>
      </w:r>
    </w:p>
    <w:p w14:paraId="64B444FA" w14:textId="77777777" w:rsidR="009C11E8" w:rsidRPr="00AE31F1" w:rsidRDefault="009C11E8" w:rsidP="00AE31F1">
      <w:pPr>
        <w:pStyle w:val="Paragraphedeliste1"/>
        <w:numPr>
          <w:ilvl w:val="0"/>
          <w:numId w:val="351"/>
        </w:numPr>
        <w:tabs>
          <w:tab w:val="clear" w:pos="0"/>
          <w:tab w:val="num" w:pos="720"/>
        </w:tabs>
        <w:contextualSpacing/>
        <w:jc w:val="both"/>
        <w:rPr>
          <w:sz w:val="24"/>
          <w:lang w:val="en-US"/>
        </w:rPr>
      </w:pPr>
      <w:r w:rsidRPr="00AE31F1">
        <w:rPr>
          <w:sz w:val="24"/>
          <w:lang w:val="en-US"/>
        </w:rPr>
        <w:t>Resolution 2011/33 on Prevention, protection and international cooperation against the use of new information technologies for the purpose of abusing and/or exploiting children,</w:t>
      </w:r>
    </w:p>
    <w:p w14:paraId="72C71C2F" w14:textId="77777777" w:rsidR="009C11E8" w:rsidRPr="00AE31F1" w:rsidRDefault="009C11E8" w:rsidP="00AE31F1">
      <w:pPr>
        <w:spacing w:after="0" w:line="240" w:lineRule="auto"/>
        <w:jc w:val="both"/>
        <w:rPr>
          <w:rFonts w:ascii="Times New Roman" w:hAnsi="Times New Roman"/>
          <w:sz w:val="24"/>
          <w:szCs w:val="24"/>
        </w:rPr>
      </w:pPr>
      <w:r w:rsidRPr="00AE31F1">
        <w:rPr>
          <w:rFonts w:ascii="Times New Roman" w:hAnsi="Times New Roman"/>
          <w:sz w:val="24"/>
          <w:szCs w:val="24"/>
        </w:rPr>
        <w:t xml:space="preserve">La loi de parité : </w:t>
      </w:r>
      <w:hyperlink r:id="rId22" w:anchor=":~:text=Loi n° 15%2F013,femme et de la parité&amp;text=Depuis son accession à l,de leurs protection et sécurité" w:history="1">
        <w:r w:rsidRPr="00AE31F1">
          <w:rPr>
            <w:rStyle w:val="Lienhypertexte"/>
            <w:rFonts w:ascii="Times New Roman" w:hAnsi="Times New Roman"/>
            <w:color w:val="auto"/>
            <w:sz w:val="24"/>
            <w:szCs w:val="24"/>
          </w:rPr>
          <w:t>https://leganet.cd/Legislation/Droit%20Public/DH/Loi.15.013.01.08.html#:~:text=Loi%20n%C2%B0%2015%2F013,femme%20et%20de%20la%20parit%C3%A9&amp;text=Depuis%20son%20accession%20%C3%A0%20l,de%20leurs%20protection%20et%20s%C3%A9curit%C3%A9</w:t>
        </w:r>
      </w:hyperlink>
    </w:p>
    <w:p w14:paraId="6BFCDC3B" w14:textId="77777777" w:rsidR="009C11E8" w:rsidRPr="00AE31F1" w:rsidRDefault="009C11E8" w:rsidP="00215867">
      <w:pPr>
        <w:numPr>
          <w:ilvl w:val="0"/>
          <w:numId w:val="345"/>
        </w:numPr>
        <w:suppressAutoHyphens/>
        <w:spacing w:before="120" w:after="120" w:line="240" w:lineRule="auto"/>
        <w:ind w:left="714" w:hanging="357"/>
        <w:jc w:val="both"/>
        <w:rPr>
          <w:rFonts w:ascii="Times New Roman" w:hAnsi="Times New Roman"/>
          <w:sz w:val="24"/>
          <w:szCs w:val="24"/>
          <w:lang w:val="en-US"/>
        </w:rPr>
      </w:pPr>
      <w:r w:rsidRPr="00AE31F1">
        <w:rPr>
          <w:rFonts w:ascii="Times New Roman" w:eastAsia="Times New Roman" w:hAnsi="Times New Roman"/>
          <w:b/>
          <w:i/>
          <w:sz w:val="24"/>
          <w:szCs w:val="24"/>
          <w:lang w:val="en-US"/>
        </w:rPr>
        <w:t xml:space="preserve">Analysis of alternatives related to major impacts </w:t>
      </w:r>
    </w:p>
    <w:p w14:paraId="5E99BA91" w14:textId="77777777" w:rsidR="009C11E8" w:rsidRPr="00AE31F1" w:rsidRDefault="009C11E8" w:rsidP="00215867">
      <w:pPr>
        <w:pStyle w:val="Commentaire3"/>
        <w:spacing w:before="120" w:after="120"/>
        <w:rPr>
          <w:rFonts w:ascii="Times New Roman" w:hAnsi="Times New Roman" w:cs="Times New Roman"/>
          <w:sz w:val="24"/>
          <w:szCs w:val="24"/>
          <w:lang w:val="en-US"/>
        </w:rPr>
      </w:pPr>
      <w:r w:rsidRPr="00AE31F1">
        <w:rPr>
          <w:rFonts w:ascii="Times New Roman" w:hAnsi="Times New Roman" w:cs="Times New Roman"/>
          <w:sz w:val="24"/>
          <w:szCs w:val="24"/>
          <w:lang w:val="en-US"/>
        </w:rPr>
        <w:t xml:space="preserve">The major impacts identified (housing, commercial stalls, community infrastructures (health and educational facilities, places of worship and religion, etc.) were optimized to avoid them. This optimization consists in seeking a line route with minor impacts. </w:t>
      </w:r>
    </w:p>
    <w:p w14:paraId="285931D4" w14:textId="77777777" w:rsidR="009C11E8" w:rsidRPr="00AE31F1" w:rsidRDefault="009C11E8" w:rsidP="00215867">
      <w:pPr>
        <w:numPr>
          <w:ilvl w:val="0"/>
          <w:numId w:val="345"/>
        </w:numPr>
        <w:suppressAutoHyphens/>
        <w:spacing w:before="120" w:after="120" w:line="240" w:lineRule="auto"/>
        <w:ind w:left="426" w:hanging="357"/>
        <w:jc w:val="both"/>
        <w:rPr>
          <w:rFonts w:ascii="Times New Roman" w:hAnsi="Times New Roman"/>
          <w:sz w:val="24"/>
          <w:szCs w:val="24"/>
          <w:lang w:val="en-US"/>
        </w:rPr>
      </w:pPr>
      <w:r w:rsidRPr="00AE31F1">
        <w:rPr>
          <w:rFonts w:ascii="Times New Roman" w:eastAsia="Times New Roman" w:hAnsi="Times New Roman"/>
          <w:b/>
          <w:i/>
          <w:sz w:val="24"/>
          <w:szCs w:val="24"/>
          <w:lang w:val="en-US"/>
        </w:rPr>
        <w:t xml:space="preserve">Major environmental and social impacts </w:t>
      </w:r>
    </w:p>
    <w:p w14:paraId="00D95109" w14:textId="77777777" w:rsidR="009C11E8" w:rsidRPr="00AE31F1" w:rsidRDefault="009C11E8" w:rsidP="00D95E12">
      <w:pPr>
        <w:numPr>
          <w:ilvl w:val="0"/>
          <w:numId w:val="342"/>
        </w:numPr>
        <w:suppressAutoHyphens/>
        <w:spacing w:after="0" w:line="240" w:lineRule="auto"/>
        <w:ind w:left="709" w:hanging="283"/>
        <w:contextualSpacing/>
        <w:jc w:val="both"/>
        <w:rPr>
          <w:rFonts w:ascii="Times New Roman" w:hAnsi="Times New Roman"/>
          <w:sz w:val="24"/>
          <w:szCs w:val="24"/>
          <w:lang w:val="en-US"/>
        </w:rPr>
      </w:pPr>
      <w:r w:rsidRPr="00AE31F1">
        <w:rPr>
          <w:rFonts w:ascii="Times New Roman" w:eastAsia="TimesNewRomanPSMT" w:hAnsi="Times New Roman"/>
          <w:b/>
          <w:sz w:val="24"/>
          <w:szCs w:val="24"/>
          <w:lang w:val="en-US"/>
        </w:rPr>
        <w:t xml:space="preserve">In environmental terms, </w:t>
      </w:r>
      <w:r w:rsidRPr="00AE31F1">
        <w:rPr>
          <w:rFonts w:ascii="Times New Roman" w:eastAsia="TimesNewRomanPSMT" w:hAnsi="Times New Roman"/>
          <w:sz w:val="24"/>
          <w:szCs w:val="24"/>
          <w:lang w:val="en-US"/>
        </w:rPr>
        <w:t>the negative impacts are</w:t>
      </w:r>
      <w:r w:rsidRPr="00AE31F1">
        <w:rPr>
          <w:rFonts w:ascii="Times New Roman" w:eastAsia="TimesNewRomanPSMT" w:hAnsi="Times New Roman"/>
          <w:b/>
          <w:sz w:val="24"/>
          <w:szCs w:val="24"/>
          <w:lang w:val="en-US"/>
        </w:rPr>
        <w:t xml:space="preserve">: </w:t>
      </w:r>
      <w:r w:rsidRPr="00AE31F1">
        <w:rPr>
          <w:rFonts w:ascii="Times New Roman" w:eastAsia="SimSun" w:hAnsi="Times New Roman"/>
          <w:sz w:val="24"/>
          <w:szCs w:val="24"/>
          <w:lang w:val="en-US"/>
        </w:rPr>
        <w:t xml:space="preserve">the loss of 1,169 trees, including </w:t>
      </w:r>
      <w:r w:rsidRPr="00AE31F1">
        <w:rPr>
          <w:rFonts w:ascii="Times New Roman" w:hAnsi="Times New Roman"/>
          <w:sz w:val="24"/>
          <w:szCs w:val="24"/>
          <w:lang w:val="en-US"/>
        </w:rPr>
        <w:t>815 private fruit and non-fruit trees, 354 trees in the public domain</w:t>
      </w:r>
      <w:r w:rsidRPr="00AE31F1">
        <w:rPr>
          <w:rFonts w:ascii="Times New Roman" w:eastAsia="SimSun" w:hAnsi="Times New Roman"/>
          <w:sz w:val="24"/>
          <w:szCs w:val="24"/>
          <w:lang w:val="en-US"/>
        </w:rPr>
        <w:t xml:space="preserve">. </w:t>
      </w:r>
      <w:r w:rsidRPr="00AE31F1">
        <w:rPr>
          <w:rFonts w:ascii="Times New Roman" w:hAnsi="Times New Roman"/>
          <w:sz w:val="24"/>
          <w:szCs w:val="24"/>
          <w:lang w:val="en-US"/>
        </w:rPr>
        <w:t xml:space="preserve">This </w:t>
      </w:r>
      <w:r w:rsidRPr="00AE31F1">
        <w:rPr>
          <w:rFonts w:ascii="Times New Roman" w:hAnsi="Times New Roman"/>
          <w:bCs/>
          <w:iCs/>
          <w:sz w:val="24"/>
          <w:szCs w:val="24"/>
          <w:lang w:val="en-US"/>
        </w:rPr>
        <w:t xml:space="preserve">loss of </w:t>
      </w:r>
      <w:r w:rsidRPr="00AE31F1">
        <w:rPr>
          <w:rFonts w:ascii="Times New Roman" w:hAnsi="Times New Roman"/>
          <w:sz w:val="24"/>
          <w:szCs w:val="24"/>
          <w:lang w:val="en-US"/>
        </w:rPr>
        <w:t xml:space="preserve">vegetation cover could also be accentuated when the borrow areas are extended. It will also lead to </w:t>
      </w:r>
      <w:r w:rsidRPr="00AE31F1">
        <w:rPr>
          <w:rFonts w:ascii="Times New Roman" w:eastAsia="SimSun" w:hAnsi="Times New Roman"/>
          <w:sz w:val="24"/>
          <w:szCs w:val="24"/>
          <w:lang w:val="en-US"/>
        </w:rPr>
        <w:t xml:space="preserve">the loss of wildlife, the disturbance of wildlife habitats, </w:t>
      </w:r>
      <w:r w:rsidRPr="00AE31F1">
        <w:rPr>
          <w:rFonts w:ascii="Times New Roman" w:hAnsi="Times New Roman"/>
          <w:sz w:val="24"/>
          <w:szCs w:val="24"/>
          <w:lang w:val="en-US"/>
        </w:rPr>
        <w:t xml:space="preserve">the </w:t>
      </w:r>
      <w:r w:rsidRPr="00AE31F1">
        <w:rPr>
          <w:rFonts w:ascii="Times New Roman" w:hAnsi="Times New Roman"/>
          <w:bCs/>
          <w:iCs/>
          <w:sz w:val="24"/>
          <w:szCs w:val="24"/>
          <w:lang w:val="en-US"/>
        </w:rPr>
        <w:t xml:space="preserve">degradation </w:t>
      </w:r>
      <w:r w:rsidRPr="00AE31F1">
        <w:rPr>
          <w:rFonts w:ascii="Times New Roman" w:hAnsi="Times New Roman"/>
          <w:sz w:val="24"/>
          <w:szCs w:val="24"/>
          <w:lang w:val="en-US"/>
        </w:rPr>
        <w:t xml:space="preserve">or collapse of the soil due to erosion, soil, water and air pollution related to the management of solid and liquid waste from the construction sites during the work, </w:t>
      </w:r>
      <w:r w:rsidRPr="00AE31F1">
        <w:rPr>
          <w:rFonts w:ascii="Times New Roman" w:eastAsia="SimSun" w:hAnsi="Times New Roman"/>
          <w:sz w:val="24"/>
          <w:szCs w:val="24"/>
          <w:lang w:val="en-US"/>
        </w:rPr>
        <w:t xml:space="preserve">etc. </w:t>
      </w:r>
      <w:r w:rsidRPr="00AE31F1">
        <w:rPr>
          <w:rFonts w:ascii="Times New Roman" w:hAnsi="Times New Roman"/>
          <w:sz w:val="24"/>
          <w:szCs w:val="24"/>
          <w:lang w:val="en-US"/>
        </w:rPr>
        <w:t>In all cases, the various alternatives, the organization of the work sites and the capacity building of the actors are done in such a way as to minimize these impacts.</w:t>
      </w:r>
    </w:p>
    <w:p w14:paraId="2C067088" w14:textId="77777777" w:rsidR="009C11E8" w:rsidRPr="00AE31F1" w:rsidRDefault="009C11E8" w:rsidP="00215867">
      <w:pPr>
        <w:numPr>
          <w:ilvl w:val="0"/>
          <w:numId w:val="342"/>
        </w:numPr>
        <w:suppressAutoHyphens/>
        <w:spacing w:after="0" w:line="240" w:lineRule="auto"/>
        <w:ind w:left="709" w:hanging="283"/>
        <w:contextualSpacing/>
        <w:jc w:val="both"/>
        <w:rPr>
          <w:rFonts w:ascii="Times New Roman" w:hAnsi="Times New Roman"/>
          <w:sz w:val="24"/>
          <w:szCs w:val="24"/>
          <w:lang w:val="en-US"/>
        </w:rPr>
      </w:pPr>
      <w:r w:rsidRPr="00AE31F1">
        <w:rPr>
          <w:rFonts w:ascii="Times New Roman" w:hAnsi="Times New Roman"/>
          <w:b/>
          <w:sz w:val="24"/>
          <w:szCs w:val="24"/>
          <w:lang w:val="en-US"/>
        </w:rPr>
        <w:t xml:space="preserve">At the social level, </w:t>
      </w:r>
      <w:r w:rsidRPr="00AE31F1">
        <w:rPr>
          <w:rFonts w:ascii="Times New Roman" w:hAnsi="Times New Roman"/>
          <w:bCs/>
          <w:sz w:val="24"/>
          <w:szCs w:val="24"/>
          <w:lang w:val="en-US"/>
        </w:rPr>
        <w:t>approximately 730 people, including 356 men, 221 women, 07 structures (legal entities), and 146 people determined to be unknown or absent during the field surveys, will be affected by the work</w:t>
      </w:r>
      <w:r w:rsidRPr="00AE31F1">
        <w:rPr>
          <w:rFonts w:ascii="Times New Roman" w:hAnsi="Times New Roman"/>
          <w:b/>
          <w:sz w:val="24"/>
          <w:szCs w:val="24"/>
          <w:lang w:val="en-US"/>
        </w:rPr>
        <w:t xml:space="preserve">. </w:t>
      </w:r>
      <w:r w:rsidRPr="00AE31F1">
        <w:rPr>
          <w:rFonts w:ascii="Times New Roman" w:eastAsia="SimSun" w:hAnsi="Times New Roman"/>
          <w:sz w:val="24"/>
          <w:szCs w:val="24"/>
          <w:lang w:val="en-US"/>
        </w:rPr>
        <w:t>The negative impacts of the implementation of the project will affect, among others, 154 buildings, a loss of land at the level of 16 private plots</w:t>
      </w:r>
      <w:r w:rsidRPr="00AE31F1">
        <w:rPr>
          <w:rFonts w:ascii="Times New Roman" w:hAnsi="Times New Roman"/>
          <w:sz w:val="24"/>
          <w:szCs w:val="24"/>
          <w:lang w:val="en-US"/>
        </w:rPr>
        <w:t>, the disruption of socio-economic activities and social conflicts related to competition for jobs during the construction phase.</w:t>
      </w:r>
    </w:p>
    <w:p w14:paraId="0E17D5F8" w14:textId="77777777" w:rsidR="009C11E8" w:rsidRPr="00AE31F1" w:rsidRDefault="009C11E8" w:rsidP="00215867">
      <w:pPr>
        <w:numPr>
          <w:ilvl w:val="0"/>
          <w:numId w:val="345"/>
        </w:numPr>
        <w:suppressAutoHyphens/>
        <w:spacing w:before="120" w:after="120" w:line="240" w:lineRule="auto"/>
        <w:ind w:left="426" w:hanging="357"/>
        <w:jc w:val="both"/>
        <w:rPr>
          <w:rFonts w:ascii="Times New Roman" w:hAnsi="Times New Roman"/>
          <w:sz w:val="24"/>
          <w:szCs w:val="24"/>
          <w:lang w:val="en-US"/>
        </w:rPr>
      </w:pPr>
      <w:r w:rsidRPr="00AE31F1">
        <w:rPr>
          <w:rFonts w:ascii="Times New Roman" w:eastAsia="Times New Roman" w:hAnsi="Times New Roman"/>
          <w:b/>
          <w:i/>
          <w:sz w:val="24"/>
          <w:szCs w:val="24"/>
          <w:lang w:val="en-US"/>
        </w:rPr>
        <w:t>Environmental and social risks and impacts</w:t>
      </w:r>
    </w:p>
    <w:p w14:paraId="437851CA" w14:textId="77777777" w:rsidR="009C11E8" w:rsidRPr="00AE31F1" w:rsidRDefault="009C11E8" w:rsidP="00AE31F1">
      <w:pPr>
        <w:spacing w:after="0" w:line="240" w:lineRule="auto"/>
        <w:contextualSpacing/>
        <w:jc w:val="both"/>
        <w:rPr>
          <w:rFonts w:ascii="Times New Roman" w:hAnsi="Times New Roman"/>
          <w:sz w:val="24"/>
          <w:szCs w:val="24"/>
          <w:lang w:val="en-US"/>
        </w:rPr>
      </w:pPr>
      <w:r w:rsidRPr="00AE31F1">
        <w:rPr>
          <w:rFonts w:ascii="Times New Roman" w:hAnsi="Times New Roman"/>
          <w:sz w:val="24"/>
          <w:szCs w:val="24"/>
          <w:lang w:val="en-US"/>
        </w:rPr>
        <w:t>The activities envisaged within the framework of the works are likely to generate both positive spin-offs on the socio-economic situation of the sub-project area but also negative impacts on the biophysical and human components</w:t>
      </w:r>
    </w:p>
    <w:p w14:paraId="79E68789" w14:textId="77777777" w:rsidR="009C11E8" w:rsidRPr="00AE31F1" w:rsidRDefault="009C11E8" w:rsidP="00215867">
      <w:pPr>
        <w:spacing w:before="120" w:after="120" w:line="240" w:lineRule="auto"/>
        <w:ind w:left="142"/>
        <w:jc w:val="both"/>
        <w:rPr>
          <w:rFonts w:ascii="Times New Roman" w:hAnsi="Times New Roman"/>
          <w:bCs/>
          <w:iCs/>
          <w:sz w:val="24"/>
          <w:szCs w:val="24"/>
        </w:rPr>
      </w:pPr>
      <w:r w:rsidRPr="00AE31F1">
        <w:rPr>
          <w:rFonts w:ascii="Times New Roman" w:hAnsi="Times New Roman"/>
          <w:b/>
          <w:bCs/>
          <w:i/>
          <w:sz w:val="24"/>
          <w:szCs w:val="24"/>
          <w:lang w:val="fr-SN"/>
        </w:rPr>
        <w:t xml:space="preserve">Positive environmental and social impacts </w:t>
      </w:r>
    </w:p>
    <w:p w14:paraId="1BEA908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Business opportunities for private economic operators;</w:t>
      </w:r>
    </w:p>
    <w:p w14:paraId="10B6508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Employment opportunities (150 to 300 direct local jobs of which more or less 30% are for women and girls);</w:t>
      </w:r>
    </w:p>
    <w:p w14:paraId="3D3CE0B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Development of small businesses around the construction sites due to the presence of workers;</w:t>
      </w:r>
    </w:p>
    <w:p w14:paraId="63861F8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Improve working conditions in schools and health facilities with a regular supply of electricity </w:t>
      </w:r>
    </w:p>
    <w:p w14:paraId="4FC5F059" w14:textId="77777777" w:rsidR="009C11E8" w:rsidRPr="006F2A90" w:rsidRDefault="009C11E8">
      <w:pPr>
        <w:numPr>
          <w:ilvl w:val="0"/>
          <w:numId w:val="342"/>
        </w:numPr>
        <w:suppressAutoHyphens/>
        <w:spacing w:after="0" w:line="240" w:lineRule="auto"/>
        <w:ind w:left="644"/>
        <w:contextualSpacing/>
        <w:jc w:val="both"/>
        <w:rPr>
          <w:rFonts w:ascii="Times New Roman" w:hAnsi="Times New Roman"/>
          <w:sz w:val="24"/>
          <w:szCs w:val="24"/>
          <w:lang w:val="en-US"/>
        </w:rPr>
      </w:pPr>
      <w:r w:rsidRPr="006F2A90">
        <w:rPr>
          <w:rFonts w:ascii="Times New Roman" w:hAnsi="Times New Roman"/>
          <w:bCs/>
          <w:iCs/>
          <w:sz w:val="24"/>
          <w:szCs w:val="24"/>
          <w:lang w:val="en-US"/>
        </w:rPr>
        <w:t xml:space="preserve">improvement in school results as well as a significant increase in attendance rates in basic education </w:t>
      </w:r>
    </w:p>
    <w:p w14:paraId="77A2734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Capacity building of about 50 people in environmental and social management of electricity infrastructure including SEA/SH risk management;</w:t>
      </w:r>
    </w:p>
    <w:p w14:paraId="2E2D48A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Increase in the tax base according to exchanges with the local technical services, linked to the fact that the increase in the number of meals served will lead to an increase in SNEL and State revenue  </w:t>
      </w:r>
    </w:p>
    <w:p w14:paraId="1A4A059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bCs/>
          <w:iCs/>
          <w:sz w:val="24"/>
          <w:szCs w:val="24"/>
          <w:lang w:val="en-US"/>
        </w:rPr>
      </w:pPr>
      <w:r w:rsidRPr="00AE31F1">
        <w:rPr>
          <w:rFonts w:ascii="Times New Roman" w:hAnsi="Times New Roman"/>
          <w:bCs/>
          <w:iCs/>
          <w:sz w:val="24"/>
          <w:szCs w:val="24"/>
          <w:lang w:val="en-US"/>
        </w:rPr>
        <w:t xml:space="preserve">Improvement of women's living conditions (more than 150 women) through the acquisition of electrical energy, reducing the drudgery of work and the realization of commercial activities through small businesses dependent on electricity (start of drinking, restaurant, small cold room, house selling fresh food, etc.); </w:t>
      </w:r>
    </w:p>
    <w:p w14:paraId="24C6400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Better development of socio-economic activities ;</w:t>
      </w:r>
    </w:p>
    <w:p w14:paraId="6493779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Improving public lighting and safety ;</w:t>
      </w:r>
    </w:p>
    <w:p w14:paraId="0860431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Increased development of the </w:t>
      </w:r>
      <w:r w:rsidRPr="00AE31F1">
        <w:rPr>
          <w:rFonts w:ascii="Times New Roman" w:hAnsi="Times New Roman"/>
          <w:sz w:val="24"/>
          <w:szCs w:val="24"/>
          <w:lang w:val="en-US"/>
        </w:rPr>
        <w:t xml:space="preserve">local informal </w:t>
      </w:r>
      <w:r w:rsidRPr="00AE31F1">
        <w:rPr>
          <w:rFonts w:ascii="Times New Roman" w:hAnsi="Times New Roman"/>
          <w:bCs/>
          <w:iCs/>
          <w:sz w:val="24"/>
          <w:szCs w:val="24"/>
          <w:lang w:val="en-US"/>
        </w:rPr>
        <w:t xml:space="preserve">economy </w:t>
      </w:r>
      <w:r w:rsidRPr="00AE31F1">
        <w:rPr>
          <w:rFonts w:ascii="Times New Roman" w:hAnsi="Times New Roman"/>
          <w:sz w:val="24"/>
          <w:szCs w:val="24"/>
          <w:lang w:val="en-US"/>
        </w:rPr>
        <w:t xml:space="preserve">; </w:t>
      </w:r>
    </w:p>
    <w:p w14:paraId="6FFA6B4C"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b/>
          <w:i/>
          <w:sz w:val="24"/>
          <w:szCs w:val="24"/>
          <w:lang w:val="en-US"/>
        </w:rPr>
        <w:t xml:space="preserve">Risks and adverse </w:t>
      </w:r>
      <w:r w:rsidRPr="003A556C">
        <w:rPr>
          <w:rFonts w:ascii="Times New Roman" w:hAnsi="Times New Roman"/>
          <w:b/>
          <w:bCs/>
          <w:i/>
          <w:sz w:val="24"/>
          <w:szCs w:val="24"/>
          <w:lang w:val="en-US"/>
        </w:rPr>
        <w:t>environmental</w:t>
      </w:r>
      <w:r w:rsidRPr="00AE31F1">
        <w:rPr>
          <w:rFonts w:ascii="Times New Roman" w:hAnsi="Times New Roman"/>
          <w:b/>
          <w:bCs/>
          <w:i/>
          <w:sz w:val="24"/>
          <w:szCs w:val="24"/>
          <w:lang w:val="en-US"/>
        </w:rPr>
        <w:t xml:space="preserve"> </w:t>
      </w:r>
      <w:r w:rsidRPr="00AE31F1">
        <w:rPr>
          <w:rFonts w:ascii="Times New Roman" w:hAnsi="Times New Roman"/>
          <w:b/>
          <w:i/>
          <w:sz w:val="24"/>
          <w:szCs w:val="24"/>
          <w:lang w:val="en-US"/>
        </w:rPr>
        <w:t>and social effects</w:t>
      </w:r>
    </w:p>
    <w:p w14:paraId="74F3274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Clearing and clearing of rights-of-way, modification of </w:t>
      </w:r>
      <w:r w:rsidRPr="00AE31F1">
        <w:rPr>
          <w:rFonts w:ascii="Times New Roman" w:hAnsi="Times New Roman"/>
          <w:bCs/>
          <w:iCs/>
          <w:sz w:val="24"/>
          <w:szCs w:val="24"/>
          <w:lang w:val="en-US"/>
        </w:rPr>
        <w:t>soil</w:t>
      </w:r>
      <w:r w:rsidRPr="00AE31F1">
        <w:rPr>
          <w:rFonts w:ascii="Times New Roman" w:hAnsi="Times New Roman"/>
          <w:sz w:val="24"/>
          <w:szCs w:val="24"/>
          <w:lang w:val="en-US"/>
        </w:rPr>
        <w:t xml:space="preserve"> structure and </w:t>
      </w:r>
      <w:r w:rsidRPr="00AE31F1">
        <w:rPr>
          <w:rFonts w:ascii="Times New Roman" w:hAnsi="Times New Roman"/>
          <w:bCs/>
          <w:iCs/>
          <w:sz w:val="24"/>
          <w:szCs w:val="24"/>
          <w:lang w:val="en-US"/>
        </w:rPr>
        <w:t>composition due to loss of vegetation-dependent microflora and macrofauna</w:t>
      </w:r>
    </w:p>
    <w:p w14:paraId="2F3806B3"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Pollution and degradation of surface and groundwater</w:t>
      </w:r>
    </w:p>
    <w:p w14:paraId="1365C46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bCs/>
          <w:iCs/>
          <w:sz w:val="24"/>
          <w:szCs w:val="24"/>
        </w:rPr>
        <w:t xml:space="preserve">Improperly managed oil spills ; </w:t>
      </w:r>
    </w:p>
    <w:p w14:paraId="422BEF1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Spillage and infiltration of liquid waste and hazardous products;</w:t>
      </w:r>
    </w:p>
    <w:p w14:paraId="2A8133F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Striking, spilling during work, inhalation of dust; noise, vibration and light pollution.</w:t>
      </w:r>
    </w:p>
    <w:p w14:paraId="39B3F51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bCs/>
          <w:iCs/>
          <w:sz w:val="24"/>
          <w:szCs w:val="24"/>
        </w:rPr>
        <w:t>Risk of incidental findings ;</w:t>
      </w:r>
    </w:p>
    <w:p w14:paraId="47CEED3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damage to the health, safety and hygiene of workers and the surrounding population;</w:t>
      </w:r>
    </w:p>
    <w:p w14:paraId="68703498"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involuntary resettlement of populations ;</w:t>
      </w:r>
    </w:p>
    <w:p w14:paraId="339E9997"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bCs/>
          <w:iCs/>
          <w:sz w:val="24"/>
          <w:szCs w:val="24"/>
        </w:rPr>
        <w:t>Risk of social conflicts :</w:t>
      </w:r>
    </w:p>
    <w:p w14:paraId="6676FEA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increase and spread of sexually transmitted infections including STI/HIV/AIDS:</w:t>
      </w:r>
    </w:p>
    <w:p w14:paraId="7E156EB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employment of children on site ;</w:t>
      </w:r>
    </w:p>
    <w:p w14:paraId="1744647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Risks of exacerbating gender-based violence: sexual exploitation and abuse (including paid sex), sexual harassment in the workplace due to the increase in the number of women working in companies in the sub-project intervention zone (following the mixing of populations and the influx of non-native workers);</w:t>
      </w:r>
    </w:p>
    <w:p w14:paraId="35CE7C33"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contamination of COVID-19 if barrier measures are not respected, with the corollary that women's involvement in economic activities will decline;</w:t>
      </w:r>
    </w:p>
    <w:p w14:paraId="4D7F83F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occupational accidents and diseases related to the handling of machinery ;</w:t>
      </w:r>
    </w:p>
    <w:p w14:paraId="2FF7B4D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Electrical hazards (fire, burns, electrocution or electrification)</w:t>
      </w:r>
    </w:p>
    <w:p w14:paraId="4CE06DF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Risk of traffic accidents (</w:t>
      </w:r>
      <w:r w:rsidRPr="00AE31F1">
        <w:rPr>
          <w:rFonts w:ascii="Times New Roman" w:hAnsi="Times New Roman"/>
          <w:sz w:val="24"/>
          <w:szCs w:val="24"/>
          <w:lang w:val="en-US"/>
        </w:rPr>
        <w:t>transport of gravel, cement, sand, formwork wood, concrete reinforcing bars) and traffic disruption.</w:t>
      </w:r>
    </w:p>
    <w:p w14:paraId="58E7BE33"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Transformers and other equipment would not contain polychlorinated biphenyls (PCB) or PCB-contaminated oils. However, existing substations that may contain PCBs should be treated with all necessary precautionary measures to prevent leakage or spillage. In addition, any procedures, equipment and cooling systems that may release chlorofluorocarbons (CFCs) would not be used in the sub-project.</w:t>
      </w:r>
    </w:p>
    <w:p w14:paraId="4D789513"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rPr>
      </w:pPr>
      <w:r w:rsidRPr="00AE31F1">
        <w:rPr>
          <w:rFonts w:ascii="Times New Roman" w:eastAsia="Times New Roman" w:hAnsi="Times New Roman"/>
          <w:b/>
          <w:i/>
          <w:sz w:val="24"/>
          <w:szCs w:val="24"/>
        </w:rPr>
        <w:t>Public Consultations</w:t>
      </w:r>
    </w:p>
    <w:p w14:paraId="25FBDEFC"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Within the framework of this ESIA, stakeholder consultation sessions were held from June 17 to 29, 2021 with stakeholders consisting of administrative officials, technical structures, associations, NGOs, neighborhood and avenue officials, and the populations of the communes concerned (PV in the appendix to this report). Approximately 852 people were met during the public consultations carried out in all the communes and districts concerned (section on public consultations).</w:t>
      </w:r>
    </w:p>
    <w:p w14:paraId="4AA61E4C" w14:textId="77777777" w:rsidR="009C11E8" w:rsidRPr="00AE31F1" w:rsidRDefault="009C11E8" w:rsidP="00215867">
      <w:pPr>
        <w:spacing w:before="120" w:after="120" w:line="240" w:lineRule="auto"/>
        <w:rPr>
          <w:rFonts w:ascii="Times New Roman" w:hAnsi="Times New Roman"/>
          <w:sz w:val="24"/>
          <w:szCs w:val="24"/>
          <w:lang w:val="en-US"/>
        </w:rPr>
      </w:pPr>
      <w:r w:rsidRPr="00AE31F1">
        <w:rPr>
          <w:rFonts w:ascii="Times New Roman" w:hAnsi="Times New Roman"/>
          <w:sz w:val="24"/>
          <w:szCs w:val="24"/>
          <w:lang w:val="en-US"/>
        </w:rPr>
        <w:t xml:space="preserve">Following various public consultation meetings, the population fully supports the project and has made suggestions and recommendations that can be summarized as follows </w:t>
      </w:r>
    </w:p>
    <w:p w14:paraId="61E51EA7"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Involve all local stakeholders in the implementation of the sub-project, especially in the choice of sites for the poles and cabins;</w:t>
      </w:r>
    </w:p>
    <w:p w14:paraId="2DD5CCB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compensate fairly for the property of people who will be affected;</w:t>
      </w:r>
    </w:p>
    <w:p w14:paraId="7E1BD02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ensure the maintenance, distribution and control of the network to prevent fraudulent connections and electricity-related accidents;</w:t>
      </w:r>
    </w:p>
    <w:p w14:paraId="0C0DB7D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build or form the electric poles in reinforced concrete to prevent them from falling;</w:t>
      </w:r>
    </w:p>
    <w:p w14:paraId="0553ACF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Avoid underground lines, especially twisted wires, to minimize accidents related to electrocution and other electric shocks, and prefer overhead power lines;</w:t>
      </w:r>
    </w:p>
    <w:p w14:paraId="761F807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to ensure that the population is made aware of the risks associated with electricity, particularly electrocution and electrification; </w:t>
      </w:r>
    </w:p>
    <w:p w14:paraId="318FE498"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Recruiting local labour during the works and providing good treatment to the salaried and day laborer, in order to make the works progress well and to prevent thefts of materials;</w:t>
      </w:r>
    </w:p>
    <w:p w14:paraId="784157D5"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Support and strengthen the capacities of the municipalities concerned to better manage their waste;</w:t>
      </w:r>
    </w:p>
    <w:p w14:paraId="7DD3848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To sensitize and inform the population and the project staff on diseases and security risks (STI/HIV/AIDS) and the respect of the habits and customs as well as the vulnerable groups;</w:t>
      </w:r>
    </w:p>
    <w:p w14:paraId="3691374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Establish a SEA/SH Complaints Management Mechanism in each commune affected by the project, responsible for establishing dialogue between the company </w:t>
      </w:r>
      <w:r w:rsidRPr="00AE31F1">
        <w:rPr>
          <w:rFonts w:ascii="Times New Roman" w:hAnsi="Times New Roman"/>
          <w:sz w:val="24"/>
          <w:szCs w:val="24"/>
          <w:lang w:val="en-US"/>
        </w:rPr>
        <w:t>and the local population and promoting peace of mind and amicably resolving any possible conflict related to this project, as well as responding to SEA/SH-related incidents during the implementation of project activities</w:t>
      </w:r>
    </w:p>
    <w:p w14:paraId="7C030DE3"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rPr>
      </w:pPr>
      <w:r w:rsidRPr="00AE31F1">
        <w:rPr>
          <w:rFonts w:ascii="Times New Roman" w:hAnsi="Times New Roman"/>
          <w:b/>
          <w:sz w:val="24"/>
          <w:szCs w:val="24"/>
          <w:u w:val="single"/>
        </w:rPr>
        <w:t xml:space="preserve">Bonus measures </w:t>
      </w:r>
    </w:p>
    <w:p w14:paraId="1C38AEE9" w14:textId="77777777" w:rsidR="009C11E8" w:rsidRPr="00AE31F1" w:rsidRDefault="009C11E8" w:rsidP="00215867">
      <w:pPr>
        <w:spacing w:before="120" w:after="120" w:line="240" w:lineRule="auto"/>
        <w:ind w:left="142"/>
        <w:rPr>
          <w:rFonts w:ascii="Times New Roman" w:hAnsi="Times New Roman"/>
          <w:sz w:val="24"/>
          <w:szCs w:val="24"/>
        </w:rPr>
      </w:pPr>
      <w:r w:rsidRPr="00AE31F1">
        <w:rPr>
          <w:rFonts w:ascii="Times New Roman" w:eastAsia="Arial Unicode MS" w:hAnsi="Times New Roman"/>
          <w:sz w:val="24"/>
          <w:szCs w:val="24"/>
          <w:lang w:val="fr-CA"/>
        </w:rPr>
        <w:t xml:space="preserve">The main are : </w:t>
      </w:r>
    </w:p>
    <w:p w14:paraId="459AD46C"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Develop and implement an information, education and communication (IEC) plan for workers and local populations</w:t>
      </w:r>
      <w:r w:rsidRPr="00AE31F1">
        <w:rPr>
          <w:rFonts w:ascii="Times New Roman" w:hAnsi="Times New Roman"/>
          <w:iCs/>
          <w:sz w:val="24"/>
          <w:szCs w:val="24"/>
          <w:lang w:val="en-US"/>
        </w:rPr>
        <w:t>;</w:t>
      </w:r>
    </w:p>
    <w:p w14:paraId="5FD3FA6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develop and implement a waste management plan ; </w:t>
      </w:r>
    </w:p>
    <w:p w14:paraId="623AA3C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develop and stabilize the emptying areas in order to make them waterproof; </w:t>
      </w:r>
    </w:p>
    <w:p w14:paraId="7EA9D903"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collect used oil for recycling or reuse by the Booking company to heat its boilers for the manufacture of glass; </w:t>
      </w:r>
    </w:p>
    <w:p w14:paraId="54F7527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proper storage of hydrocarbons in accordance with the relevant standards;</w:t>
      </w:r>
    </w:p>
    <w:p w14:paraId="2F242568"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limit the speed of trucks to 30 km/hour in the project area;</w:t>
      </w:r>
    </w:p>
    <w:p w14:paraId="18BBCFC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develop and implement a Resettlement Action Plan ;</w:t>
      </w:r>
    </w:p>
    <w:p w14:paraId="781E4287"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Involve local stakeholders in the implementation of the project.</w:t>
      </w:r>
    </w:p>
    <w:p w14:paraId="3BEB3B51"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eastAsia="Arial Unicode MS" w:hAnsi="Times New Roman"/>
          <w:sz w:val="24"/>
          <w:szCs w:val="24"/>
          <w:lang w:val="fr-CA" w:eastAsia="fr-FR"/>
        </w:rPr>
      </w:pPr>
      <w:r w:rsidRPr="00AE31F1">
        <w:rPr>
          <w:rFonts w:ascii="Times New Roman" w:hAnsi="Times New Roman"/>
          <w:b/>
          <w:sz w:val="24"/>
          <w:szCs w:val="24"/>
          <w:u w:val="single"/>
        </w:rPr>
        <w:t xml:space="preserve">Impact mitigation measures </w:t>
      </w:r>
    </w:p>
    <w:p w14:paraId="4A4F5915" w14:textId="77777777" w:rsidR="009C11E8" w:rsidRPr="00AE31F1" w:rsidRDefault="009C11E8" w:rsidP="00215867">
      <w:pPr>
        <w:spacing w:before="120" w:after="120" w:line="240" w:lineRule="auto"/>
        <w:ind w:left="142"/>
        <w:rPr>
          <w:rFonts w:ascii="Times New Roman" w:hAnsi="Times New Roman"/>
          <w:sz w:val="24"/>
          <w:szCs w:val="24"/>
          <w:lang w:val="en-US"/>
        </w:rPr>
      </w:pPr>
      <w:r w:rsidRPr="00AE31F1">
        <w:rPr>
          <w:rFonts w:ascii="Times New Roman" w:eastAsia="Arial Unicode MS" w:hAnsi="Times New Roman"/>
          <w:sz w:val="24"/>
          <w:szCs w:val="24"/>
          <w:lang w:val="en-US" w:eastAsia="fr-FR"/>
        </w:rPr>
        <w:t xml:space="preserve">The </w:t>
      </w:r>
      <w:r w:rsidRPr="00215867">
        <w:rPr>
          <w:rFonts w:ascii="Times New Roman" w:eastAsia="Arial Unicode MS" w:hAnsi="Times New Roman"/>
          <w:sz w:val="24"/>
          <w:szCs w:val="24"/>
          <w:lang w:val="en-US"/>
        </w:rPr>
        <w:t>main</w:t>
      </w:r>
      <w:r w:rsidRPr="00AE31F1">
        <w:rPr>
          <w:rFonts w:ascii="Times New Roman" w:eastAsia="Arial Unicode MS" w:hAnsi="Times New Roman"/>
          <w:sz w:val="24"/>
          <w:szCs w:val="24"/>
          <w:lang w:val="en-US" w:eastAsia="fr-FR"/>
        </w:rPr>
        <w:t xml:space="preserve"> mitigation measures identified are: </w:t>
      </w:r>
    </w:p>
    <w:p w14:paraId="61195F7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Implementation of a reforestation plan in close collaboration with the Ministry of Water and Forests to compensate for the destruction of plant species: (</w:t>
      </w:r>
      <w:r w:rsidRPr="00AE31F1">
        <w:rPr>
          <w:rFonts w:ascii="Times New Roman" w:hAnsi="Times New Roman"/>
          <w:iCs/>
          <w:sz w:val="24"/>
          <w:szCs w:val="24"/>
          <w:lang w:val="en-US"/>
        </w:rPr>
        <w:t xml:space="preserve">limit clearing to a strict minimum, restore borrowed sites, </w:t>
      </w:r>
      <w:r w:rsidRPr="00AE31F1">
        <w:rPr>
          <w:rFonts w:ascii="Times New Roman" w:hAnsi="Times New Roman"/>
          <w:sz w:val="24"/>
          <w:szCs w:val="24"/>
          <w:lang w:val="en-US"/>
        </w:rPr>
        <w:t>implement an information, education and communication (IEC) plan for workers</w:t>
      </w:r>
      <w:r w:rsidRPr="00AE31F1">
        <w:rPr>
          <w:rFonts w:ascii="Times New Roman" w:hAnsi="Times New Roman"/>
          <w:iCs/>
          <w:sz w:val="24"/>
          <w:szCs w:val="24"/>
          <w:lang w:val="en-US"/>
        </w:rPr>
        <w:t>);</w:t>
      </w:r>
    </w:p>
    <w:p w14:paraId="2570DE4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Implementation of </w:t>
      </w:r>
      <w:r w:rsidRPr="00AE31F1">
        <w:rPr>
          <w:rFonts w:ascii="Times New Roman" w:hAnsi="Times New Roman"/>
          <w:sz w:val="24"/>
          <w:szCs w:val="24"/>
          <w:lang w:val="en-US"/>
        </w:rPr>
        <w:t xml:space="preserve">a </w:t>
      </w:r>
      <w:r w:rsidRPr="00AE31F1">
        <w:rPr>
          <w:rFonts w:ascii="Times New Roman" w:hAnsi="Times New Roman"/>
          <w:bCs/>
          <w:i/>
          <w:iCs/>
          <w:sz w:val="24"/>
          <w:szCs w:val="24"/>
          <w:lang w:val="en-US"/>
        </w:rPr>
        <w:t xml:space="preserve">Specific Waste Management and Disposal Plan (SWMDP) and an Environmental Assurance Plan (EAP) in </w:t>
      </w:r>
      <w:r w:rsidRPr="00AE31F1">
        <w:rPr>
          <w:rFonts w:ascii="Times New Roman" w:hAnsi="Times New Roman"/>
          <w:sz w:val="24"/>
          <w:szCs w:val="24"/>
          <w:lang w:val="en-US"/>
        </w:rPr>
        <w:t xml:space="preserve">order to: avoid water and soil pollution by solid and liquid waste from the construction sites: </w:t>
      </w:r>
      <w:r w:rsidRPr="00AE31F1">
        <w:rPr>
          <w:rFonts w:ascii="Times New Roman" w:hAnsi="Times New Roman"/>
          <w:iCs/>
          <w:sz w:val="24"/>
          <w:szCs w:val="24"/>
          <w:lang w:val="en-US"/>
        </w:rPr>
        <w:t>manage construction site waste in an environmentally friendly manner; develop and stabilize sludge emptying areas to make them waterproof; collect used oil in watertight containers for recycling or reuse; formally prohibit employees from washing machinery and other equipment (cement mixer, wheelbarrow, etc. Avoiding water sources used by the population for work purposes; adequate storage of hydrocarbons (diesel tank or pump), in accordance with the relevant standards.</w:t>
      </w:r>
    </w:p>
    <w:p w14:paraId="760B450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Implementation of an </w:t>
      </w:r>
      <w:r w:rsidRPr="00AE31F1">
        <w:rPr>
          <w:rFonts w:ascii="Times New Roman" w:hAnsi="Times New Roman"/>
          <w:sz w:val="24"/>
          <w:szCs w:val="24"/>
          <w:lang w:val="en-US"/>
        </w:rPr>
        <w:t>Air Pollution Prevention and Control Plan (</w:t>
      </w:r>
      <w:r w:rsidRPr="00AE31F1">
        <w:rPr>
          <w:rFonts w:ascii="Times New Roman" w:hAnsi="Times New Roman"/>
          <w:iCs/>
          <w:sz w:val="24"/>
          <w:szCs w:val="24"/>
          <w:lang w:val="en-US"/>
        </w:rPr>
        <w:t xml:space="preserve">informing and educating drivers about the speed limit in the project area; regular maintenance of trucks and heavy equipment; limiting the speed of trucks to 30 km/hour in the project area; </w:t>
      </w:r>
    </w:p>
    <w:p w14:paraId="2963AFC1"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Implementation of </w:t>
      </w:r>
      <w:r w:rsidRPr="00AE31F1">
        <w:rPr>
          <w:rFonts w:ascii="Times New Roman" w:hAnsi="Times New Roman"/>
          <w:sz w:val="24"/>
          <w:szCs w:val="24"/>
          <w:lang w:val="en-US"/>
        </w:rPr>
        <w:t xml:space="preserve">the Resettlement Action Plan with a well-defined resettlement program to compensate for the various losses: </w:t>
      </w:r>
      <w:r w:rsidRPr="00AE31F1">
        <w:rPr>
          <w:rFonts w:ascii="Times New Roman" w:hAnsi="Times New Roman"/>
          <w:iCs/>
          <w:sz w:val="24"/>
          <w:szCs w:val="24"/>
          <w:lang w:val="en-US"/>
        </w:rPr>
        <w:t>compensating people affected by the project; informing and sensitizing local populations; ensuring the involvement of local communities before the start of work.</w:t>
      </w:r>
    </w:p>
    <w:p w14:paraId="705A37FB" w14:textId="77777777" w:rsidR="009C11E8" w:rsidRPr="00AE31F1" w:rsidRDefault="009C11E8" w:rsidP="00215867">
      <w:pPr>
        <w:spacing w:before="120" w:after="120" w:line="240" w:lineRule="auto"/>
        <w:ind w:left="142"/>
        <w:rPr>
          <w:rFonts w:ascii="Times New Roman" w:hAnsi="Times New Roman"/>
          <w:sz w:val="24"/>
          <w:szCs w:val="24"/>
          <w:lang w:val="en-US"/>
        </w:rPr>
      </w:pPr>
      <w:r w:rsidRPr="00AE31F1">
        <w:rPr>
          <w:rFonts w:ascii="Times New Roman" w:eastAsia="Arial Unicode MS" w:hAnsi="Times New Roman"/>
          <w:sz w:val="24"/>
          <w:szCs w:val="24"/>
          <w:lang w:val="en-US" w:eastAsia="fr-FR"/>
        </w:rPr>
        <w:t xml:space="preserve">In the </w:t>
      </w:r>
      <w:r w:rsidRPr="00AE31F1">
        <w:rPr>
          <w:rFonts w:ascii="Times New Roman" w:hAnsi="Times New Roman"/>
          <w:iCs/>
          <w:sz w:val="24"/>
          <w:szCs w:val="24"/>
          <w:lang w:val="en-US"/>
        </w:rPr>
        <w:t xml:space="preserve">operational </w:t>
      </w:r>
      <w:r w:rsidRPr="00215867">
        <w:rPr>
          <w:rFonts w:ascii="Times New Roman" w:eastAsia="Arial Unicode MS" w:hAnsi="Times New Roman"/>
          <w:sz w:val="24"/>
          <w:szCs w:val="24"/>
          <w:lang w:val="en-US"/>
        </w:rPr>
        <w:t>phase</w:t>
      </w:r>
      <w:r w:rsidRPr="00AE31F1">
        <w:rPr>
          <w:rFonts w:ascii="Times New Roman" w:hAnsi="Times New Roman"/>
          <w:iCs/>
          <w:sz w:val="24"/>
          <w:szCs w:val="24"/>
          <w:lang w:val="en-US"/>
        </w:rPr>
        <w:t xml:space="preserve"> SNEL shall: </w:t>
      </w:r>
    </w:p>
    <w:p w14:paraId="50229337"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implement the HSE measures recommended during the work phase when </w:t>
      </w:r>
      <w:r w:rsidRPr="00AE31F1">
        <w:rPr>
          <w:rFonts w:ascii="Times New Roman" w:hAnsi="Times New Roman"/>
          <w:sz w:val="24"/>
          <w:szCs w:val="24"/>
          <w:lang w:val="en-US"/>
        </w:rPr>
        <w:t xml:space="preserve">maintaining </w:t>
      </w:r>
      <w:r w:rsidRPr="00AE31F1">
        <w:rPr>
          <w:rFonts w:ascii="Times New Roman" w:hAnsi="Times New Roman"/>
          <w:iCs/>
          <w:sz w:val="24"/>
          <w:szCs w:val="24"/>
          <w:lang w:val="en-US"/>
        </w:rPr>
        <w:t>the networks</w:t>
      </w:r>
    </w:p>
    <w:p w14:paraId="597688B5"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Maintain vehicles regularly and ensure their regular technical inspection; </w:t>
      </w:r>
    </w:p>
    <w:p w14:paraId="33677EE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limit the speed of trucks to 30 km/hour within the network's operating perimeter </w:t>
      </w:r>
    </w:p>
    <w:p w14:paraId="247BC35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develop a road safety plan and disseminate it to the various departments, particularly the equipment and maintenance department.</w:t>
      </w:r>
    </w:p>
    <w:p w14:paraId="3B012078"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rPr>
      </w:pPr>
      <w:r w:rsidRPr="00AE31F1">
        <w:rPr>
          <w:rFonts w:ascii="Times New Roman" w:hAnsi="Times New Roman"/>
          <w:b/>
          <w:sz w:val="24"/>
          <w:szCs w:val="24"/>
          <w:u w:val="single"/>
        </w:rPr>
        <w:t>Risk mitigation measures</w:t>
      </w:r>
    </w:p>
    <w:p w14:paraId="354762DA" w14:textId="77777777" w:rsidR="009C11E8" w:rsidRPr="00AE31F1" w:rsidRDefault="009C11E8" w:rsidP="00215867">
      <w:pPr>
        <w:spacing w:before="120" w:after="120" w:line="240" w:lineRule="auto"/>
        <w:ind w:left="142"/>
        <w:rPr>
          <w:rFonts w:ascii="Times New Roman" w:hAnsi="Times New Roman"/>
          <w:sz w:val="24"/>
          <w:szCs w:val="24"/>
          <w:lang w:val="en-US"/>
        </w:rPr>
      </w:pPr>
      <w:r w:rsidRPr="00AE31F1">
        <w:rPr>
          <w:rFonts w:ascii="Times New Roman" w:hAnsi="Times New Roman"/>
          <w:sz w:val="24"/>
          <w:szCs w:val="24"/>
          <w:lang w:val="en-US"/>
        </w:rPr>
        <w:t xml:space="preserve">The </w:t>
      </w:r>
      <w:r w:rsidRPr="00AE31F1">
        <w:rPr>
          <w:rFonts w:ascii="Times New Roman" w:eastAsia="Arial Unicode MS" w:hAnsi="Times New Roman"/>
          <w:sz w:val="24"/>
          <w:szCs w:val="24"/>
          <w:lang w:val="en-US" w:eastAsia="fr-FR"/>
        </w:rPr>
        <w:t xml:space="preserve">main </w:t>
      </w:r>
      <w:r w:rsidRPr="00AE31F1">
        <w:rPr>
          <w:rFonts w:ascii="Times New Roman" w:hAnsi="Times New Roman"/>
          <w:sz w:val="24"/>
          <w:szCs w:val="24"/>
          <w:lang w:val="en-US"/>
        </w:rPr>
        <w:t>mitigation measures for the likely risks associated with the works are:</w:t>
      </w:r>
    </w:p>
    <w:p w14:paraId="0EA8151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implementation of a Manpower Management Plan (MMP) for the project based on the </w:t>
      </w:r>
      <w:r w:rsidRPr="00AE31F1">
        <w:rPr>
          <w:rFonts w:ascii="Times New Roman" w:hAnsi="Times New Roman"/>
          <w:iCs/>
          <w:sz w:val="24"/>
          <w:szCs w:val="24"/>
          <w:lang w:val="en-US"/>
        </w:rPr>
        <w:t xml:space="preserve">provisions of </w:t>
      </w:r>
      <w:r w:rsidRPr="00AE31F1">
        <w:rPr>
          <w:rFonts w:ascii="Times New Roman" w:hAnsi="Times New Roman"/>
          <w:sz w:val="24"/>
          <w:szCs w:val="24"/>
          <w:lang w:val="en-US"/>
        </w:rPr>
        <w:t xml:space="preserve">the Labor Code Act in order to avoid social conflicts. </w:t>
      </w:r>
    </w:p>
    <w:p w14:paraId="613D1F2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implementation of the project's Complaints Management Mechanism (CMM), which is sensitive to GBV </w:t>
      </w:r>
    </w:p>
    <w:p w14:paraId="00E08C7C"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implementation by the companies in charge of the work of the </w:t>
      </w:r>
      <w:r w:rsidRPr="00AE31F1">
        <w:rPr>
          <w:rFonts w:ascii="Times New Roman" w:hAnsi="Times New Roman"/>
          <w:b/>
          <w:bCs/>
          <w:i/>
          <w:iCs/>
          <w:sz w:val="24"/>
          <w:szCs w:val="24"/>
          <w:lang w:val="en-US"/>
        </w:rPr>
        <w:t xml:space="preserve">Employer Complaint Management Mechanism (ECMM) </w:t>
      </w:r>
      <w:r w:rsidRPr="00AE31F1">
        <w:rPr>
          <w:rFonts w:ascii="Times New Roman" w:hAnsi="Times New Roman"/>
          <w:sz w:val="24"/>
          <w:szCs w:val="24"/>
          <w:lang w:val="en-US"/>
        </w:rPr>
        <w:t xml:space="preserve">will make it possible to prevent and manage the various conflicts that will arise; </w:t>
      </w:r>
    </w:p>
    <w:p w14:paraId="417A33C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The preparation and implementation by contractors of their Workforce Management Plan (WMP) based on the project's WMP</w:t>
      </w:r>
    </w:p>
    <w:p w14:paraId="08225FF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the implementation of a </w:t>
      </w:r>
      <w:r w:rsidRPr="00AE31F1">
        <w:rPr>
          <w:rFonts w:ascii="Times New Roman" w:hAnsi="Times New Roman"/>
          <w:b/>
          <w:i/>
          <w:sz w:val="24"/>
          <w:szCs w:val="24"/>
          <w:lang w:val="en-US"/>
        </w:rPr>
        <w:t>Specific Safety and Health Protection Plan</w:t>
      </w:r>
      <w:r w:rsidRPr="00AE31F1">
        <w:rPr>
          <w:rFonts w:ascii="Times New Roman" w:hAnsi="Times New Roman"/>
          <w:sz w:val="24"/>
          <w:szCs w:val="24"/>
          <w:lang w:val="en-US"/>
        </w:rPr>
        <w:t xml:space="preserve"> (SSHPP) to reduce the risk of occupational accidents during the work by including a traffic plan, regular vehicle maintenance, vehicle safety devices (traffic signs, horns, warning lights, back-up horns etc.), driver training, provision of suitable vehicles, organization of travel, prohibition of drugs and telephone use while driving, </w:t>
      </w:r>
      <w:r w:rsidRPr="00AE31F1">
        <w:rPr>
          <w:rFonts w:ascii="Times New Roman" w:eastAsia="Times New Roman" w:hAnsi="Times New Roman"/>
          <w:sz w:val="24"/>
          <w:szCs w:val="24"/>
          <w:lang w:val="en-US" w:eastAsia="fr-FR"/>
        </w:rPr>
        <w:t>organization of the storage of materials and hydrocarbons, establishment of an intervention and evacuation plan, provision of fire extinguishing equipment (fire extinguishers, sand trays, emulsifiers) on the site and in the machines;</w:t>
      </w:r>
    </w:p>
    <w:p w14:paraId="29C8953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 xml:space="preserve">taking measures to prevent, mitigate and punish cases of abuse against the </w:t>
      </w:r>
      <w:r w:rsidRPr="00AE31F1">
        <w:rPr>
          <w:rFonts w:ascii="Times New Roman" w:hAnsi="Times New Roman"/>
          <w:iCs/>
          <w:sz w:val="24"/>
          <w:szCs w:val="24"/>
          <w:lang w:val="en-US"/>
        </w:rPr>
        <w:t xml:space="preserve">local </w:t>
      </w:r>
      <w:r w:rsidRPr="00AE31F1">
        <w:rPr>
          <w:rFonts w:ascii="Times New Roman" w:hAnsi="Times New Roman"/>
          <w:sz w:val="24"/>
          <w:szCs w:val="24"/>
          <w:lang w:val="en-US"/>
        </w:rPr>
        <w:t xml:space="preserve">population, </w:t>
      </w:r>
      <w:r w:rsidRPr="00AE31F1">
        <w:rPr>
          <w:rFonts w:ascii="Times New Roman" w:hAnsi="Times New Roman"/>
          <w:iCs/>
          <w:sz w:val="24"/>
          <w:szCs w:val="24"/>
          <w:lang w:val="en-US"/>
        </w:rPr>
        <w:t>especially the vulnerable;</w:t>
      </w:r>
    </w:p>
    <w:p w14:paraId="0F1257CC"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Implementation of the project's GBV action plan and dissemination of the SEA/SH sensitive PMM to workers and the community</w:t>
      </w:r>
    </w:p>
    <w:p w14:paraId="4DBEF2A4"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iCs/>
          <w:sz w:val="24"/>
          <w:szCs w:val="24"/>
          <w:lang w:val="en-US"/>
        </w:rPr>
      </w:pPr>
      <w:r w:rsidRPr="00AE31F1">
        <w:rPr>
          <w:rFonts w:ascii="Times New Roman" w:hAnsi="Times New Roman"/>
          <w:iCs/>
          <w:sz w:val="24"/>
          <w:szCs w:val="24"/>
          <w:lang w:val="en-US"/>
        </w:rPr>
        <w:t xml:space="preserve">adoption and popularization of the code of conduct among workers and local populations; </w:t>
      </w:r>
    </w:p>
    <w:p w14:paraId="316F6CF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Implement an Information Education Communication Plan (IECP) for the local population and </w:t>
      </w:r>
      <w:r w:rsidRPr="00AE31F1">
        <w:rPr>
          <w:rFonts w:ascii="Times New Roman" w:hAnsi="Times New Roman"/>
          <w:sz w:val="24"/>
          <w:szCs w:val="24"/>
          <w:lang w:val="en-US"/>
        </w:rPr>
        <w:t>workers on ARI, STIs, HIV-AIDS, GBV and HIV/ AIDS</w:t>
      </w:r>
      <w:r w:rsidRPr="00AE31F1">
        <w:rPr>
          <w:rFonts w:ascii="Times New Roman" w:hAnsi="Times New Roman"/>
          <w:iCs/>
          <w:sz w:val="24"/>
          <w:szCs w:val="24"/>
          <w:lang w:val="en-US"/>
        </w:rPr>
        <w:t>.</w:t>
      </w:r>
    </w:p>
    <w:p w14:paraId="38D64F66"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bCs/>
          <w:iCs/>
          <w:sz w:val="24"/>
          <w:szCs w:val="24"/>
          <w:lang w:val="en-US"/>
        </w:rPr>
      </w:pPr>
      <w:r w:rsidRPr="00AE31F1">
        <w:rPr>
          <w:rFonts w:ascii="Times New Roman" w:hAnsi="Times New Roman"/>
          <w:b/>
          <w:sz w:val="24"/>
          <w:szCs w:val="24"/>
          <w:u w:val="single"/>
          <w:lang w:val="en-US"/>
        </w:rPr>
        <w:t xml:space="preserve">Action to be included in the ESAP </w:t>
      </w:r>
    </w:p>
    <w:p w14:paraId="10B0C317" w14:textId="77777777" w:rsidR="009C11E8" w:rsidRPr="00AE31F1" w:rsidRDefault="009C11E8" w:rsidP="00215867">
      <w:pPr>
        <w:spacing w:before="120" w:after="120" w:line="240" w:lineRule="auto"/>
        <w:ind w:left="142"/>
        <w:rPr>
          <w:rFonts w:ascii="Times New Roman" w:hAnsi="Times New Roman"/>
          <w:sz w:val="24"/>
          <w:szCs w:val="24"/>
          <w:lang w:val="en-US"/>
        </w:rPr>
      </w:pPr>
      <w:r w:rsidRPr="00AE31F1">
        <w:rPr>
          <w:rFonts w:ascii="Times New Roman" w:hAnsi="Times New Roman"/>
          <w:bCs/>
          <w:iCs/>
          <w:sz w:val="24"/>
          <w:szCs w:val="24"/>
          <w:lang w:val="en-US"/>
        </w:rPr>
        <w:t xml:space="preserve">It will be </w:t>
      </w:r>
      <w:r w:rsidRPr="00215867">
        <w:rPr>
          <w:rFonts w:ascii="Times New Roman" w:eastAsia="Arial Unicode MS" w:hAnsi="Times New Roman"/>
          <w:sz w:val="24"/>
          <w:szCs w:val="24"/>
          <w:lang w:val="en-US" w:eastAsia="fr-FR"/>
        </w:rPr>
        <w:t>incorporated</w:t>
      </w:r>
      <w:r w:rsidRPr="00AE31F1">
        <w:rPr>
          <w:rFonts w:ascii="Times New Roman" w:hAnsi="Times New Roman"/>
          <w:bCs/>
          <w:iCs/>
          <w:sz w:val="24"/>
          <w:szCs w:val="24"/>
          <w:lang w:val="en-US"/>
        </w:rPr>
        <w:t xml:space="preserve"> </w:t>
      </w:r>
      <w:r w:rsidRPr="00AE31F1">
        <w:rPr>
          <w:rFonts w:ascii="Times New Roman" w:eastAsia="Arial Unicode MS" w:hAnsi="Times New Roman"/>
          <w:sz w:val="24"/>
          <w:szCs w:val="24"/>
          <w:lang w:val="en-US" w:eastAsia="fr-FR"/>
        </w:rPr>
        <w:t xml:space="preserve">into </w:t>
      </w:r>
      <w:r w:rsidRPr="00AE31F1">
        <w:rPr>
          <w:rFonts w:ascii="Times New Roman" w:hAnsi="Times New Roman"/>
          <w:bCs/>
          <w:iCs/>
          <w:sz w:val="24"/>
          <w:szCs w:val="24"/>
          <w:lang w:val="en-US"/>
        </w:rPr>
        <w:t>the ESAP that:</w:t>
      </w:r>
    </w:p>
    <w:p w14:paraId="6839045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iCs/>
          <w:sz w:val="24"/>
          <w:szCs w:val="24"/>
          <w:lang w:val="en-US"/>
        </w:rPr>
        <w:t xml:space="preserve">The </w:t>
      </w:r>
      <w:r w:rsidRPr="00AE31F1">
        <w:rPr>
          <w:rFonts w:ascii="Times New Roman" w:hAnsi="Times New Roman"/>
          <w:iCs/>
          <w:sz w:val="24"/>
          <w:szCs w:val="24"/>
          <w:lang w:val="en-US"/>
        </w:rPr>
        <w:t xml:space="preserve">Project Implementation </w:t>
      </w:r>
      <w:r w:rsidRPr="00AE31F1">
        <w:rPr>
          <w:rFonts w:ascii="Times New Roman" w:hAnsi="Times New Roman"/>
          <w:bCs/>
          <w:iCs/>
          <w:sz w:val="24"/>
          <w:szCs w:val="24"/>
          <w:lang w:val="en-US"/>
        </w:rPr>
        <w:t xml:space="preserve">Unit </w:t>
      </w:r>
      <w:r w:rsidRPr="00AE31F1">
        <w:rPr>
          <w:rFonts w:ascii="Times New Roman" w:hAnsi="Times New Roman"/>
          <w:iCs/>
          <w:sz w:val="24"/>
          <w:szCs w:val="24"/>
          <w:lang w:val="en-US"/>
        </w:rPr>
        <w:t>will give the order to start work provided that the contracted company's essential environmental and social documents (ESMP, Environmental Assurance Plan (EAP), Specific Waste Management and Disposal Plan (SWMP), Specific Health and Safety Plan (SHSP), Employer's Complaint Management Mechanism (ECM)) are approved and included in the overall work schedule;</w:t>
      </w:r>
    </w:p>
    <w:p w14:paraId="6E67BC1E" w14:textId="77777777" w:rsidR="009C11E8" w:rsidRPr="00AE31F1" w:rsidRDefault="009C11E8" w:rsidP="00AE31F1">
      <w:pPr>
        <w:numPr>
          <w:ilvl w:val="0"/>
          <w:numId w:val="342"/>
        </w:numPr>
        <w:suppressAutoHyphens/>
        <w:spacing w:after="0" w:line="240" w:lineRule="auto"/>
        <w:ind w:left="641" w:hanging="357"/>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the budget for this ESMP will be mobilized and effectively implemented; the Resettlement Action Plan </w:t>
      </w:r>
      <w:r w:rsidRPr="00AE31F1">
        <w:rPr>
          <w:rFonts w:ascii="Times New Roman" w:hAnsi="Times New Roman"/>
          <w:bCs/>
          <w:iCs/>
          <w:sz w:val="24"/>
          <w:szCs w:val="24"/>
          <w:lang w:val="en-US"/>
        </w:rPr>
        <w:t xml:space="preserve">will be developed and implemented before the start of works. The </w:t>
      </w:r>
      <w:r w:rsidRPr="00AE31F1">
        <w:rPr>
          <w:rFonts w:ascii="Times New Roman" w:hAnsi="Times New Roman"/>
          <w:iCs/>
          <w:sz w:val="24"/>
          <w:szCs w:val="24"/>
          <w:lang w:val="en-US"/>
        </w:rPr>
        <w:t xml:space="preserve">Project Implementation </w:t>
      </w:r>
      <w:r w:rsidRPr="00AE31F1">
        <w:rPr>
          <w:rFonts w:ascii="Times New Roman" w:hAnsi="Times New Roman"/>
          <w:bCs/>
          <w:iCs/>
          <w:sz w:val="24"/>
          <w:szCs w:val="24"/>
          <w:lang w:val="en-US"/>
        </w:rPr>
        <w:t xml:space="preserve">Unit </w:t>
      </w:r>
      <w:r w:rsidRPr="00AE31F1">
        <w:rPr>
          <w:rFonts w:ascii="Times New Roman" w:hAnsi="Times New Roman"/>
          <w:iCs/>
          <w:sz w:val="24"/>
          <w:szCs w:val="24"/>
          <w:lang w:val="en-US"/>
        </w:rPr>
        <w:t>will ensure that the mechanisms and procedures for the information and consultation of stakeholders are functional and allow the knowledge of the environment of the Project intervention areas as well as its social acceptability. Project stakeholders and project staff are trained in environmental and social risk management and the Bank's new environmental and social framework;</w:t>
      </w:r>
    </w:p>
    <w:p w14:paraId="1CA8AE2E" w14:textId="77777777" w:rsidR="009C11E8" w:rsidRPr="00AE31F1" w:rsidRDefault="009C11E8" w:rsidP="00AE31F1">
      <w:pPr>
        <w:numPr>
          <w:ilvl w:val="0"/>
          <w:numId w:val="342"/>
        </w:numPr>
        <w:suppressAutoHyphens/>
        <w:spacing w:after="0" w:line="240" w:lineRule="auto"/>
        <w:ind w:left="641" w:hanging="357"/>
        <w:contextualSpacing/>
        <w:jc w:val="both"/>
        <w:rPr>
          <w:rFonts w:ascii="Times New Roman" w:hAnsi="Times New Roman"/>
          <w:sz w:val="24"/>
          <w:szCs w:val="24"/>
          <w:lang w:val="en-US"/>
        </w:rPr>
      </w:pPr>
      <w:r w:rsidRPr="00AE31F1">
        <w:rPr>
          <w:rFonts w:ascii="Times New Roman" w:hAnsi="Times New Roman"/>
          <w:iCs/>
          <w:sz w:val="24"/>
          <w:szCs w:val="24"/>
          <w:lang w:val="en-US"/>
        </w:rPr>
        <w:t>An inventory of material borrowing sites and living quarters is established before the start of work and environmental and social non-conformities are remedied by implementing an ESMP or a simplified ESIA or possibly a RAP for borrowing sites and living quarters</w:t>
      </w:r>
    </w:p>
    <w:p w14:paraId="0E2EE81D" w14:textId="77777777" w:rsidR="009C11E8" w:rsidRPr="00AE31F1" w:rsidRDefault="009C11E8" w:rsidP="00AE31F1">
      <w:pPr>
        <w:numPr>
          <w:ilvl w:val="0"/>
          <w:numId w:val="342"/>
        </w:numPr>
        <w:suppressAutoHyphens/>
        <w:spacing w:after="0" w:line="240" w:lineRule="auto"/>
        <w:ind w:left="641" w:hanging="357"/>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All of the sites where the materials used for the work were borrowed are rehabilitated. </w:t>
      </w:r>
    </w:p>
    <w:p w14:paraId="388B6C5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The company will prepare and implement a Workforce Management Plan (WMP) based on the project's WMP;</w:t>
      </w:r>
    </w:p>
    <w:p w14:paraId="57C8FEB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The company will prepare and implement an IEC (Information - Education - Communication) plan on child labor and SEA/SH;</w:t>
      </w:r>
    </w:p>
    <w:p w14:paraId="54E128B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The company will develop and implement a Traffic Management or Road Safety Plan.</w:t>
      </w:r>
    </w:p>
    <w:p w14:paraId="5CE3098E" w14:textId="77777777" w:rsidR="009C11E8" w:rsidRPr="00AE31F1" w:rsidRDefault="009C11E8" w:rsidP="00AE31F1">
      <w:pPr>
        <w:pStyle w:val="Paragraphedeliste1"/>
        <w:numPr>
          <w:ilvl w:val="0"/>
          <w:numId w:val="342"/>
        </w:numPr>
        <w:ind w:left="644"/>
        <w:contextualSpacing/>
        <w:jc w:val="both"/>
        <w:rPr>
          <w:sz w:val="24"/>
          <w:lang w:val="en-US"/>
        </w:rPr>
      </w:pPr>
      <w:r w:rsidRPr="00AE31F1">
        <w:rPr>
          <w:sz w:val="24"/>
          <w:lang w:val="en-US"/>
        </w:rPr>
        <w:t>The companies and the monitoring mission will have to develop a community feedback mechanism adapted to SEA/SH complaints.</w:t>
      </w:r>
    </w:p>
    <w:p w14:paraId="30979EBD" w14:textId="5B8B68FE"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rPr>
      </w:pPr>
      <w:r w:rsidRPr="00AE31F1">
        <w:rPr>
          <w:rFonts w:ascii="Times New Roman" w:hAnsi="Times New Roman"/>
          <w:b/>
          <w:sz w:val="24"/>
          <w:szCs w:val="24"/>
          <w:u w:val="single"/>
        </w:rPr>
        <w:t>Key Performance Indicators</w:t>
      </w:r>
    </w:p>
    <w:p w14:paraId="43B186A9" w14:textId="77777777" w:rsidR="009C11E8" w:rsidRPr="00AE31F1" w:rsidRDefault="009C11E8" w:rsidP="00215867">
      <w:pPr>
        <w:spacing w:before="120" w:after="120" w:line="240" w:lineRule="auto"/>
        <w:ind w:left="142"/>
        <w:rPr>
          <w:rFonts w:ascii="Times New Roman" w:hAnsi="Times New Roman"/>
          <w:sz w:val="24"/>
          <w:szCs w:val="24"/>
          <w:lang w:val="en-US"/>
        </w:rPr>
      </w:pPr>
      <w:r w:rsidRPr="00AE31F1">
        <w:rPr>
          <w:rFonts w:ascii="Times New Roman" w:hAnsi="Times New Roman"/>
          <w:sz w:val="24"/>
          <w:szCs w:val="24"/>
          <w:lang w:val="en-US"/>
        </w:rPr>
        <w:t xml:space="preserve">The key </w:t>
      </w:r>
      <w:r w:rsidRPr="00AE31F1">
        <w:rPr>
          <w:rFonts w:ascii="Times New Roman" w:hAnsi="Times New Roman"/>
          <w:bCs/>
          <w:iCs/>
          <w:sz w:val="24"/>
          <w:szCs w:val="24"/>
          <w:lang w:val="en-US"/>
        </w:rPr>
        <w:t xml:space="preserve">indicators </w:t>
      </w:r>
      <w:r w:rsidRPr="00AE31F1">
        <w:rPr>
          <w:rFonts w:ascii="Times New Roman" w:hAnsi="Times New Roman"/>
          <w:sz w:val="24"/>
          <w:szCs w:val="24"/>
          <w:lang w:val="en-US"/>
        </w:rPr>
        <w:t>to be considered in assessing the environmental and social performance of the project are :</w:t>
      </w:r>
    </w:p>
    <w:p w14:paraId="0C87DE9C"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registered complaints are processed;</w:t>
      </w:r>
    </w:p>
    <w:p w14:paraId="5373B8A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80% success rate of seedlings planted for compensatory and anti-erosion reforestation;</w:t>
      </w:r>
    </w:p>
    <w:p w14:paraId="197F9811"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the workers respect the wearing of PPE;</w:t>
      </w:r>
    </w:p>
    <w:p w14:paraId="4EF97CE5"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planned IEC sessions are carried out according to the targets;</w:t>
      </w:r>
    </w:p>
    <w:p w14:paraId="54394A4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registered accident victims are taken care of;</w:t>
      </w:r>
    </w:p>
    <w:p w14:paraId="34E3BE58"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vulnerable people who have been sexually abused by company staff are identified and dealt with;</w:t>
      </w:r>
    </w:p>
    <w:p w14:paraId="2009F80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planned waste collection bins are in place</w:t>
      </w:r>
    </w:p>
    <w:p w14:paraId="397E12D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the borrowing sites are rehabilitated,</w:t>
      </w:r>
    </w:p>
    <w:p w14:paraId="34A6AA1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the PAPs are compensated,</w:t>
      </w:r>
    </w:p>
    <w:p w14:paraId="78D6F25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100% of randomly selected PAPs are positive about the complaint management mechanism.</w:t>
      </w:r>
    </w:p>
    <w:p w14:paraId="691CCFB8" w14:textId="0E47B351"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lang w:val="en-US"/>
        </w:rPr>
      </w:pPr>
      <w:r w:rsidRPr="00AE31F1">
        <w:rPr>
          <w:rFonts w:ascii="Times New Roman" w:hAnsi="Times New Roman"/>
          <w:b/>
          <w:sz w:val="24"/>
          <w:szCs w:val="24"/>
          <w:u w:val="single"/>
          <w:lang w:val="en-US"/>
        </w:rPr>
        <w:t>SEA/SH sensitive complaint management mechanism</w:t>
      </w:r>
    </w:p>
    <w:p w14:paraId="1159C274"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As part </w:t>
      </w:r>
      <w:r w:rsidRPr="007E5A67">
        <w:rPr>
          <w:rFonts w:ascii="Times New Roman" w:hAnsi="Times New Roman"/>
          <w:bCs/>
          <w:iCs/>
          <w:sz w:val="24"/>
          <w:szCs w:val="24"/>
          <w:lang w:val="en-US"/>
        </w:rPr>
        <w:t>of the electrification of the black pockets, sanitation, rehabilitation and compliance of the S</w:t>
      </w:r>
      <w:r w:rsidRPr="00AE31F1">
        <w:rPr>
          <w:rFonts w:ascii="Times New Roman" w:hAnsi="Times New Roman"/>
          <w:sz w:val="24"/>
          <w:szCs w:val="24"/>
          <w:lang w:val="en-US"/>
        </w:rPr>
        <w:t>NEL networks of the Kinshasa Centre and West directorates of the Energy Services Access and Improvement Project (ESAIP), there is already a complaints management mechanism set up by the project, which has the following objectives</w:t>
      </w:r>
    </w:p>
    <w:p w14:paraId="3B85923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sz w:val="24"/>
          <w:szCs w:val="24"/>
          <w:lang w:val="en-US"/>
        </w:rPr>
        <w:t xml:space="preserve">out-of-court conflict resolution, the objective of which is to establish a dialogue between the complainant and the Project, and to promote alternatives to legal action in order to enable </w:t>
      </w:r>
      <w:r w:rsidRPr="00AE31F1">
        <w:rPr>
          <w:rFonts w:ascii="Times New Roman" w:hAnsi="Times New Roman"/>
          <w:iCs/>
          <w:sz w:val="24"/>
          <w:szCs w:val="24"/>
          <w:lang w:val="en-US"/>
        </w:rPr>
        <w:t>complainants to assert their rights. Except in the case of GBV incidents, which are excluded from an amicable resolution.</w:t>
      </w:r>
    </w:p>
    <w:p w14:paraId="0E480D8C"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compliance review, the objective of which is to ensure that the Project has complied with appropriate Bank policies </w:t>
      </w:r>
      <w:r w:rsidRPr="00AE31F1">
        <w:rPr>
          <w:rFonts w:ascii="Times New Roman" w:hAnsi="Times New Roman"/>
          <w:bCs/>
          <w:sz w:val="24"/>
          <w:szCs w:val="24"/>
          <w:lang w:val="en-US"/>
        </w:rPr>
        <w:t xml:space="preserve">and national regulations. </w:t>
      </w:r>
    </w:p>
    <w:p w14:paraId="7D3C7019" w14:textId="77777777" w:rsidR="009C11E8" w:rsidRPr="00AE31F1" w:rsidRDefault="009C11E8" w:rsidP="00215867">
      <w:pPr>
        <w:spacing w:before="120" w:after="120" w:line="240" w:lineRule="auto"/>
        <w:ind w:left="142"/>
        <w:jc w:val="both"/>
        <w:rPr>
          <w:rFonts w:ascii="Times New Roman" w:hAnsi="Times New Roman"/>
          <w:sz w:val="24"/>
          <w:szCs w:val="24"/>
        </w:rPr>
      </w:pPr>
      <w:r w:rsidRPr="00AE31F1">
        <w:rPr>
          <w:rFonts w:ascii="Times New Roman" w:hAnsi="Times New Roman"/>
          <w:sz w:val="24"/>
          <w:szCs w:val="24"/>
        </w:rPr>
        <w:t xml:space="preserve">Specifically, </w:t>
      </w:r>
      <w:r w:rsidRPr="00215867">
        <w:rPr>
          <w:rFonts w:ascii="Times New Roman" w:hAnsi="Times New Roman"/>
          <w:bCs/>
          <w:iCs/>
          <w:sz w:val="24"/>
          <w:szCs w:val="24"/>
          <w:lang w:val="en-US"/>
        </w:rPr>
        <w:t>this</w:t>
      </w:r>
      <w:r w:rsidRPr="00AE31F1">
        <w:rPr>
          <w:rFonts w:ascii="Times New Roman" w:hAnsi="Times New Roman"/>
          <w:sz w:val="24"/>
          <w:szCs w:val="24"/>
        </w:rPr>
        <w:t xml:space="preserve"> WMP allows for </w:t>
      </w:r>
    </w:p>
    <w:p w14:paraId="12A570C9"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bCs/>
          <w:sz w:val="24"/>
          <w:szCs w:val="24"/>
          <w:lang w:val="en-US"/>
        </w:rPr>
        <w:t xml:space="preserve">raise public awareness of the project and increase the level of stakeholder involvement </w:t>
      </w:r>
      <w:r w:rsidRPr="00AE31F1">
        <w:rPr>
          <w:rFonts w:ascii="Times New Roman" w:hAnsi="Times New Roman"/>
          <w:iCs/>
          <w:sz w:val="24"/>
          <w:szCs w:val="24"/>
          <w:lang w:val="en-US"/>
        </w:rPr>
        <w:t xml:space="preserve">in the project </w:t>
      </w:r>
    </w:p>
    <w:p w14:paraId="6FE492A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be aware of problems related to the implementation of the project and resolve them before they escalate  </w:t>
      </w:r>
    </w:p>
    <w:p w14:paraId="2EDBF7E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provide opportunities for individuals and communities affected or at risk of being affected by project activities to submit complaints through an accessible, timely, effective and culturally appropriate mechanism </w:t>
      </w:r>
    </w:p>
    <w:p w14:paraId="47C11E1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prevent fraud, corruption and SEA/SH incidents (during project implementation)</w:t>
      </w:r>
    </w:p>
    <w:p w14:paraId="56AD6B9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increase stakeholder involvement in the project</w:t>
      </w:r>
    </w:p>
    <w:p w14:paraId="56067CDD"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identify, propose and </w:t>
      </w:r>
      <w:r w:rsidRPr="00AE31F1">
        <w:rPr>
          <w:rFonts w:ascii="Times New Roman" w:hAnsi="Times New Roman"/>
          <w:bCs/>
          <w:sz w:val="24"/>
          <w:szCs w:val="24"/>
          <w:lang w:val="en-US"/>
        </w:rPr>
        <w:t>implement appropriate solutions in response to complaints.</w:t>
      </w:r>
    </w:p>
    <w:p w14:paraId="51F11CC6"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Three levels of organization are highlighted in the WMP. </w:t>
      </w:r>
    </w:p>
    <w:p w14:paraId="29E9C6C0"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The basic </w:t>
      </w:r>
      <w:r w:rsidRPr="007E5A67">
        <w:rPr>
          <w:rFonts w:ascii="Times New Roman" w:hAnsi="Times New Roman"/>
          <w:bCs/>
          <w:iCs/>
          <w:sz w:val="24"/>
          <w:szCs w:val="24"/>
          <w:lang w:val="en-US"/>
        </w:rPr>
        <w:t>level</w:t>
      </w:r>
      <w:r w:rsidRPr="00AE31F1">
        <w:rPr>
          <w:rFonts w:ascii="Times New Roman" w:hAnsi="Times New Roman"/>
          <w:sz w:val="24"/>
          <w:szCs w:val="24"/>
          <w:lang w:val="en-US"/>
        </w:rPr>
        <w:t xml:space="preserve"> is the complaints management cell, the intermediate level is the complaints management committee and the top level is at the project level.</w:t>
      </w:r>
    </w:p>
    <w:p w14:paraId="087A8008"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Complaints are forwarded to CMU through its secretariat. The environmental and social development specialists ensure that the following procedures: </w:t>
      </w:r>
    </w:p>
    <w:p w14:paraId="5E8E62EF"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bCs/>
          <w:sz w:val="24"/>
          <w:szCs w:val="24"/>
        </w:rPr>
        <w:t xml:space="preserve">receiving </w:t>
      </w:r>
      <w:r w:rsidRPr="00AE31F1">
        <w:rPr>
          <w:rFonts w:ascii="Times New Roman" w:hAnsi="Times New Roman"/>
          <w:iCs/>
          <w:sz w:val="24"/>
          <w:szCs w:val="24"/>
        </w:rPr>
        <w:t>and recording complaints</w:t>
      </w:r>
    </w:p>
    <w:p w14:paraId="1776553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redirection of the complaint to the appropriate structure  </w:t>
      </w:r>
    </w:p>
    <w:p w14:paraId="31B042DA"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 xml:space="preserve">inform the Bank immediately within 24 hours of any serious incident (death of a person, cases of GBV and SEA) and the measures taken. </w:t>
      </w:r>
    </w:p>
    <w:p w14:paraId="52016230"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iCs/>
          <w:sz w:val="24"/>
          <w:szCs w:val="24"/>
        </w:rPr>
        <w:t>complaint follow-up</w:t>
      </w:r>
    </w:p>
    <w:p w14:paraId="1A209FBC"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For SEA/SH complaints or incidents, the MCU GBV Specialist will receive, resolve, follow up, report and communicate the incident to the World Bank (IDA) via TTL within 24 hours. </w:t>
      </w:r>
    </w:p>
    <w:p w14:paraId="709CB008"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The Complaints Management Committee is the executive body for the implementation of the CMM. In its governing role of objectively dealing with complaints except those related to SEA/SH that are referred to it, its roles are:</w:t>
      </w:r>
    </w:p>
    <w:p w14:paraId="461A20B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iCs/>
          <w:sz w:val="24"/>
          <w:szCs w:val="24"/>
        </w:rPr>
        <w:t>coordinating the complaints procedure</w:t>
      </w:r>
    </w:p>
    <w:p w14:paraId="7365BF0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to gather and review available information on the subject matter of the complaint</w:t>
      </w:r>
    </w:p>
    <w:p w14:paraId="215F6D3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deal with complaints by encouraging informal resolution</w:t>
      </w:r>
    </w:p>
    <w:p w14:paraId="64EE2EB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iCs/>
          <w:sz w:val="24"/>
          <w:szCs w:val="24"/>
          <w:lang w:val="en-US"/>
        </w:rPr>
        <w:t>propose responses and measures to resolve complaints</w:t>
      </w:r>
    </w:p>
    <w:p w14:paraId="208260B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rPr>
      </w:pPr>
      <w:r w:rsidRPr="00AE31F1">
        <w:rPr>
          <w:rFonts w:ascii="Times New Roman" w:hAnsi="Times New Roman"/>
          <w:iCs/>
          <w:sz w:val="24"/>
          <w:szCs w:val="24"/>
        </w:rPr>
        <w:t>drafting responses to complainants</w:t>
      </w:r>
    </w:p>
    <w:p w14:paraId="44C45412"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monitoring and overseeing the implementation of the CMM at the local level</w:t>
      </w:r>
    </w:p>
    <w:p w14:paraId="3ADA145A"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In carrying out his/her duties, he/she will be supported by local cells that will be among the other entry points for SEA/SH complaints under the project. These several entry points of the SEA/SH PMM should ensure free and safe access to the community. These entry points include local committees, health centers, service providers in the areas, community-based organizations, etc.</w:t>
      </w:r>
    </w:p>
    <w:p w14:paraId="5B4B840E"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At the local level, basic cells, each composed of a representative of the neighborhood, village or grouping, a representative of the women and two of the young people (a young boy and a young girl), will be set up - the local complaints management cells. </w:t>
      </w:r>
    </w:p>
    <w:p w14:paraId="7B15F23C"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They will act as a conduit for people who do not have the ability to write and forward their complaints to the Complaints Management Committee. </w:t>
      </w:r>
    </w:p>
    <w:p w14:paraId="13FAF03F"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lang w:val="en-US"/>
        </w:rPr>
      </w:pPr>
      <w:r w:rsidRPr="00AE31F1">
        <w:rPr>
          <w:rFonts w:ascii="Times New Roman" w:hAnsi="Times New Roman"/>
          <w:b/>
          <w:sz w:val="24"/>
          <w:szCs w:val="24"/>
          <w:u w:val="single"/>
          <w:lang w:val="en-US"/>
        </w:rPr>
        <w:t>Roles and responsibilities for ESMP implementation and monitoring</w:t>
      </w:r>
    </w:p>
    <w:p w14:paraId="1CDF4B86" w14:textId="77777777" w:rsidR="009C11E8" w:rsidRPr="00AE31F1" w:rsidRDefault="009C11E8" w:rsidP="00215867">
      <w:pPr>
        <w:spacing w:before="120" w:after="120" w:line="240" w:lineRule="auto"/>
        <w:ind w:left="142"/>
        <w:jc w:val="both"/>
        <w:rPr>
          <w:rFonts w:ascii="Times New Roman" w:hAnsi="Times New Roman"/>
          <w:sz w:val="24"/>
          <w:szCs w:val="24"/>
        </w:rPr>
      </w:pPr>
      <w:r w:rsidRPr="00AE31F1">
        <w:rPr>
          <w:rFonts w:ascii="Times New Roman" w:hAnsi="Times New Roman"/>
          <w:sz w:val="24"/>
          <w:szCs w:val="24"/>
          <w:lang w:val="en-US"/>
        </w:rPr>
        <w:t xml:space="preserve">Several actors are involved in the implementation and monitoring of the ESMP. </w:t>
      </w:r>
      <w:r w:rsidRPr="00AE31F1">
        <w:rPr>
          <w:rFonts w:ascii="Times New Roman" w:hAnsi="Times New Roman"/>
          <w:sz w:val="24"/>
          <w:szCs w:val="24"/>
        </w:rPr>
        <w:t xml:space="preserve">These include </w:t>
      </w:r>
    </w:p>
    <w:p w14:paraId="3D6114B8" w14:textId="77777777" w:rsidR="009C11E8" w:rsidRPr="00AE31F1" w:rsidRDefault="009C11E8" w:rsidP="00AE31F1">
      <w:pPr>
        <w:numPr>
          <w:ilvl w:val="0"/>
          <w:numId w:val="343"/>
        </w:numPr>
        <w:suppressAutoHyphens/>
        <w:spacing w:after="0" w:line="240" w:lineRule="auto"/>
        <w:ind w:left="720"/>
        <w:contextualSpacing/>
        <w:jc w:val="both"/>
        <w:rPr>
          <w:rFonts w:ascii="Times New Roman" w:hAnsi="Times New Roman"/>
          <w:sz w:val="24"/>
          <w:szCs w:val="24"/>
        </w:rPr>
      </w:pPr>
      <w:r w:rsidRPr="00AE31F1">
        <w:rPr>
          <w:rFonts w:ascii="Times New Roman" w:hAnsi="Times New Roman"/>
          <w:b/>
          <w:sz w:val="24"/>
          <w:szCs w:val="24"/>
        </w:rPr>
        <w:t xml:space="preserve">CMU Environmental and Social Unit </w:t>
      </w:r>
    </w:p>
    <w:p w14:paraId="5064A3CB"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In the preparation of the ESMP, its role is to inform stakeholders; organize the ESMP restitution and validation seminar; consult civil society during the implementation of the ESMP; monitor the implementation of the ESMP through a control mission; ensure the implementation of certain complementary measures to be carried out to correct environmental and social problems; ensure the implementation of the project's environmental and social measures, including those related to SEA/SH; ensure the environmental and social supervision of the works. </w:t>
      </w:r>
    </w:p>
    <w:p w14:paraId="3FEC917E" w14:textId="77777777" w:rsidR="009C11E8" w:rsidRDefault="009C11E8" w:rsidP="00215867">
      <w:pPr>
        <w:spacing w:before="120" w:after="120" w:line="240" w:lineRule="auto"/>
        <w:ind w:left="142"/>
        <w:jc w:val="both"/>
        <w:rPr>
          <w:rFonts w:ascii="Times New Roman" w:hAnsi="Times New Roman"/>
          <w:iCs/>
          <w:sz w:val="24"/>
          <w:szCs w:val="24"/>
          <w:lang w:val="en-US"/>
        </w:rPr>
      </w:pPr>
      <w:r w:rsidRPr="00AE31F1">
        <w:rPr>
          <w:rFonts w:ascii="Times New Roman" w:hAnsi="Times New Roman"/>
          <w:iCs/>
          <w:sz w:val="24"/>
          <w:szCs w:val="24"/>
          <w:lang w:val="en-US"/>
        </w:rPr>
        <w:t xml:space="preserve">The technical component will be provided by the National Electricity Company, which has an </w:t>
      </w:r>
      <w:r w:rsidRPr="007E5A67">
        <w:rPr>
          <w:rFonts w:ascii="Times New Roman" w:hAnsi="Times New Roman"/>
          <w:sz w:val="24"/>
          <w:szCs w:val="24"/>
          <w:lang w:val="en-US"/>
        </w:rPr>
        <w:t>Environmental and Social Management Unit (ESMU) responsible for managing all issues related to the</w:t>
      </w:r>
      <w:r w:rsidRPr="00AE31F1">
        <w:rPr>
          <w:rFonts w:ascii="Times New Roman" w:hAnsi="Times New Roman"/>
          <w:iCs/>
          <w:sz w:val="24"/>
          <w:szCs w:val="24"/>
          <w:lang w:val="en-US"/>
        </w:rPr>
        <w:t xml:space="preserve"> environmental and social component of projects financed by international donors. The ESMU staff have a good knowledge of the World Bank's environmental and social safeguard policies, experience gained through the PMEDE and ESAPMP projects. However, they do not have experience with the Bank's new environmental and social framework. </w:t>
      </w:r>
    </w:p>
    <w:p w14:paraId="6AFB4B3B" w14:textId="77777777" w:rsidR="006F2A90" w:rsidRPr="00AE31F1" w:rsidRDefault="006F2A90" w:rsidP="00215867">
      <w:pPr>
        <w:spacing w:before="120" w:after="120" w:line="240" w:lineRule="auto"/>
        <w:ind w:left="142"/>
        <w:jc w:val="both"/>
        <w:rPr>
          <w:rFonts w:ascii="Times New Roman" w:hAnsi="Times New Roman"/>
          <w:sz w:val="24"/>
          <w:szCs w:val="24"/>
          <w:lang w:val="en-US"/>
        </w:rPr>
      </w:pPr>
    </w:p>
    <w:p w14:paraId="71965414" w14:textId="77777777" w:rsidR="009C11E8" w:rsidRPr="00AE31F1" w:rsidRDefault="009C11E8" w:rsidP="00AE31F1">
      <w:pPr>
        <w:numPr>
          <w:ilvl w:val="0"/>
          <w:numId w:val="343"/>
        </w:numPr>
        <w:suppressAutoHyphens/>
        <w:spacing w:after="0" w:line="240" w:lineRule="auto"/>
        <w:ind w:left="720"/>
        <w:contextualSpacing/>
        <w:jc w:val="both"/>
        <w:rPr>
          <w:rFonts w:ascii="Times New Roman" w:hAnsi="Times New Roman"/>
          <w:sz w:val="24"/>
          <w:szCs w:val="24"/>
          <w:lang w:val="en-US"/>
        </w:rPr>
      </w:pPr>
      <w:r w:rsidRPr="00AE31F1">
        <w:rPr>
          <w:rFonts w:ascii="Times New Roman" w:hAnsi="Times New Roman"/>
          <w:b/>
          <w:sz w:val="24"/>
          <w:szCs w:val="24"/>
          <w:lang w:val="en-US"/>
        </w:rPr>
        <w:t>Ministry of the Environment and Sustainable Development (MESD)</w:t>
      </w:r>
    </w:p>
    <w:p w14:paraId="2F248425"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The MESD intervenes essentially through the CEA and the DCVI, particularly with regard to the validation of ESIAs and environmental and social monitoring and control.</w:t>
      </w:r>
    </w:p>
    <w:p w14:paraId="26EE431A" w14:textId="77777777" w:rsidR="009C11E8" w:rsidRPr="00AE31F1" w:rsidRDefault="009C11E8" w:rsidP="00AE31F1">
      <w:pPr>
        <w:numPr>
          <w:ilvl w:val="0"/>
          <w:numId w:val="343"/>
        </w:numPr>
        <w:suppressAutoHyphens/>
        <w:spacing w:after="0" w:line="240" w:lineRule="auto"/>
        <w:ind w:left="714" w:hanging="357"/>
        <w:jc w:val="both"/>
        <w:rPr>
          <w:rFonts w:ascii="Times New Roman" w:hAnsi="Times New Roman"/>
          <w:sz w:val="24"/>
          <w:szCs w:val="24"/>
          <w:lang w:val="en-US"/>
        </w:rPr>
      </w:pPr>
      <w:r w:rsidRPr="00AE31F1">
        <w:rPr>
          <w:rFonts w:ascii="Times New Roman" w:hAnsi="Times New Roman"/>
          <w:b/>
          <w:sz w:val="24"/>
          <w:szCs w:val="24"/>
          <w:lang w:val="en-US"/>
        </w:rPr>
        <w:t xml:space="preserve">CEA and the PEC of Kinshasa Province </w:t>
      </w:r>
    </w:p>
    <w:p w14:paraId="1D91171C"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The Congolese Environment Agency is one of the structures attached to the Ministry in charge of the environment. It is the Ministry's armed wing for the implementation of the environmental impact study procedure. The ECA is also responsible for approving this study and participating in monitoring the ESMP. At the provincial and local levels, this monitoring will be carried out by the PEC of Kinshasa. </w:t>
      </w:r>
    </w:p>
    <w:p w14:paraId="62305EC4" w14:textId="77777777" w:rsidR="009C11E8" w:rsidRPr="00AE31F1" w:rsidRDefault="009C11E8" w:rsidP="00AE31F1">
      <w:pPr>
        <w:numPr>
          <w:ilvl w:val="0"/>
          <w:numId w:val="343"/>
        </w:numPr>
        <w:suppressAutoHyphens/>
        <w:spacing w:after="0" w:line="240" w:lineRule="auto"/>
        <w:ind w:left="720"/>
        <w:contextualSpacing/>
        <w:jc w:val="both"/>
        <w:rPr>
          <w:rFonts w:ascii="Times New Roman" w:hAnsi="Times New Roman"/>
          <w:sz w:val="24"/>
          <w:szCs w:val="24"/>
        </w:rPr>
      </w:pPr>
      <w:r w:rsidRPr="00AE31F1">
        <w:rPr>
          <w:rFonts w:ascii="Times New Roman" w:hAnsi="Times New Roman"/>
          <w:b/>
          <w:sz w:val="24"/>
          <w:szCs w:val="24"/>
        </w:rPr>
        <w:t xml:space="preserve">Control Mission (MoC) </w:t>
      </w:r>
    </w:p>
    <w:p w14:paraId="74B07DFC"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 xml:space="preserve">The </w:t>
      </w:r>
      <w:r w:rsidRPr="00AE31F1">
        <w:rPr>
          <w:rFonts w:ascii="Times New Roman" w:hAnsi="Times New Roman"/>
          <w:bCs/>
          <w:sz w:val="24"/>
          <w:szCs w:val="24"/>
          <w:lang w:val="en-US"/>
        </w:rPr>
        <w:t xml:space="preserve">Control Mission (MdC) ensures the supervision and control of all the works carried out by </w:t>
      </w:r>
      <w:r w:rsidRPr="00AE31F1">
        <w:rPr>
          <w:rFonts w:ascii="Times New Roman" w:hAnsi="Times New Roman"/>
          <w:sz w:val="24"/>
          <w:szCs w:val="24"/>
          <w:lang w:val="en-US"/>
        </w:rPr>
        <w:t xml:space="preserve">the Works Company. </w:t>
      </w:r>
      <w:r w:rsidRPr="00AE31F1">
        <w:rPr>
          <w:rFonts w:ascii="Times New Roman" w:eastAsia="Times New Roman" w:hAnsi="Times New Roman"/>
          <w:sz w:val="24"/>
          <w:szCs w:val="24"/>
          <w:lang w:val="en-US"/>
        </w:rPr>
        <w:t xml:space="preserve">The MoC will include a senior environmental expert with proven skills in </w:t>
      </w:r>
      <w:r w:rsidRPr="00215867">
        <w:rPr>
          <w:rFonts w:ascii="Times New Roman" w:hAnsi="Times New Roman"/>
          <w:sz w:val="24"/>
          <w:szCs w:val="24"/>
          <w:lang w:val="en-US"/>
        </w:rPr>
        <w:t>Health</w:t>
      </w:r>
      <w:r w:rsidRPr="00AE31F1">
        <w:rPr>
          <w:rFonts w:ascii="Times New Roman" w:eastAsia="Times New Roman" w:hAnsi="Times New Roman"/>
          <w:sz w:val="24"/>
          <w:szCs w:val="24"/>
          <w:lang w:val="en-US"/>
        </w:rPr>
        <w:t xml:space="preserve">, Safety and Security. His main task will be to </w:t>
      </w:r>
      <w:r w:rsidRPr="00AE31F1">
        <w:rPr>
          <w:rFonts w:ascii="Times New Roman" w:hAnsi="Times New Roman"/>
          <w:sz w:val="24"/>
          <w:szCs w:val="24"/>
          <w:lang w:val="en-US"/>
        </w:rPr>
        <w:t xml:space="preserve">control </w:t>
      </w:r>
      <w:r w:rsidRPr="00AE31F1">
        <w:rPr>
          <w:rFonts w:ascii="Times New Roman" w:eastAsia="Times New Roman" w:hAnsi="Times New Roman"/>
          <w:sz w:val="24"/>
          <w:szCs w:val="24"/>
          <w:lang w:val="en-US"/>
        </w:rPr>
        <w:t xml:space="preserve">and monitor the implementation of the Environmental and Social Management Plan of the Construction Site (ESMP-C), the </w:t>
      </w:r>
      <w:r w:rsidRPr="00AE31F1">
        <w:rPr>
          <w:rFonts w:ascii="Times New Roman" w:hAnsi="Times New Roman"/>
          <w:b/>
          <w:bCs/>
          <w:i/>
          <w:iCs/>
          <w:sz w:val="24"/>
          <w:szCs w:val="24"/>
          <w:lang w:val="en-US"/>
        </w:rPr>
        <w:t>Environmental Assurance Plan (EAP), the Particular Plan of Management and Elimination of Waste (SWMDP), the Particular Plan of Security and Protection of Health (SSHPP), the Mechanism of Management of the Complaints of the Employer (CMME</w:t>
      </w:r>
      <w:r w:rsidRPr="00AE31F1">
        <w:rPr>
          <w:rFonts w:ascii="Times New Roman" w:eastAsia="Times New Roman" w:hAnsi="Times New Roman"/>
          <w:sz w:val="24"/>
          <w:szCs w:val="24"/>
          <w:lang w:val="en-US"/>
        </w:rPr>
        <w:t>) elaborated by the Company of the works This CMM must develop specific procedures for handling SEA/SH complaints in line with those identified by the project. Thus, the ESMP-C must also reflect the prevention and response measures to SEA/SH risks, also in line with the project action plan (development of the code of conduct, signing of the code, worker training, etc.).</w:t>
      </w:r>
    </w:p>
    <w:p w14:paraId="31DE2542"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 xml:space="preserve">The MoC's Environmental Specialist must have proven competence in environmental management. </w:t>
      </w:r>
      <w:r w:rsidRPr="00AE31F1">
        <w:rPr>
          <w:rFonts w:ascii="Times New Roman" w:hAnsi="Times New Roman"/>
          <w:sz w:val="24"/>
          <w:szCs w:val="24"/>
          <w:lang w:val="en-US"/>
        </w:rPr>
        <w:t xml:space="preserve">This will </w:t>
      </w:r>
      <w:r w:rsidRPr="00AE31F1">
        <w:rPr>
          <w:rFonts w:ascii="Times New Roman" w:eastAsia="Times New Roman" w:hAnsi="Times New Roman"/>
          <w:sz w:val="24"/>
          <w:szCs w:val="24"/>
          <w:lang w:val="en-US"/>
        </w:rPr>
        <w:t>enable him/her to understand the ESIA prepared as part of the planned</w:t>
      </w:r>
      <w:r w:rsidRPr="00215867">
        <w:rPr>
          <w:rFonts w:ascii="Times New Roman" w:hAnsi="Times New Roman"/>
          <w:sz w:val="24"/>
          <w:szCs w:val="24"/>
          <w:lang w:val="en-US"/>
        </w:rPr>
        <w:t xml:space="preserve"> </w:t>
      </w:r>
      <w:r w:rsidRPr="00AE31F1">
        <w:rPr>
          <w:rFonts w:ascii="Times New Roman" w:eastAsia="Times New Roman" w:hAnsi="Times New Roman"/>
          <w:sz w:val="24"/>
          <w:szCs w:val="24"/>
          <w:lang w:val="en-US"/>
        </w:rPr>
        <w:t>works and to ensure the implementation of the measures recommended in the report.</w:t>
      </w:r>
    </w:p>
    <w:p w14:paraId="3248206E"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The activities of the MoC Environmental Specialist will be to:</w:t>
      </w:r>
    </w:p>
    <w:p w14:paraId="1410F26E"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eastAsia="Times New Roman" w:hAnsi="Times New Roman"/>
          <w:sz w:val="24"/>
          <w:szCs w:val="24"/>
          <w:lang w:val="en-US"/>
        </w:rPr>
        <w:t xml:space="preserve">Initiate </w:t>
      </w:r>
      <w:r w:rsidRPr="00AE31F1">
        <w:rPr>
          <w:rFonts w:ascii="Times New Roman" w:hAnsi="Times New Roman"/>
          <w:sz w:val="24"/>
          <w:szCs w:val="24"/>
          <w:lang w:val="en-US"/>
        </w:rPr>
        <w:t>information, awareness and consultation meetings with the local population to involve them and take into account their concerns regarding the work that will be carried out;</w:t>
      </w:r>
    </w:p>
    <w:p w14:paraId="693130F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Establish a cooperation platform with the decentralized structures of the ministries and other stakeholders involved in the implementation of the project;</w:t>
      </w:r>
    </w:p>
    <w:p w14:paraId="1F3046C1"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control and monitor all aspects of the site related to the environment and specifically affecting the health and safety of the population and site personnel;</w:t>
      </w:r>
    </w:p>
    <w:p w14:paraId="1A17177B"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To ensure that measures to prevent and respond to SEA/SH incidents are implemented;</w:t>
      </w:r>
    </w:p>
    <w:p w14:paraId="02EC9A76" w14:textId="77777777" w:rsidR="009C11E8" w:rsidRPr="00AE31F1" w:rsidRDefault="009C11E8" w:rsidP="00AE31F1">
      <w:pPr>
        <w:numPr>
          <w:ilvl w:val="0"/>
          <w:numId w:val="342"/>
        </w:numPr>
        <w:suppressAutoHyphens/>
        <w:spacing w:after="0" w:line="240" w:lineRule="auto"/>
        <w:ind w:left="644"/>
        <w:contextualSpacing/>
        <w:jc w:val="both"/>
        <w:rPr>
          <w:rFonts w:ascii="Times New Roman" w:hAnsi="Times New Roman"/>
          <w:sz w:val="24"/>
          <w:szCs w:val="24"/>
          <w:lang w:val="en-US"/>
        </w:rPr>
      </w:pPr>
      <w:r w:rsidRPr="00AE31F1">
        <w:rPr>
          <w:rFonts w:ascii="Times New Roman" w:hAnsi="Times New Roman"/>
          <w:sz w:val="24"/>
          <w:szCs w:val="24"/>
          <w:lang w:val="en-US"/>
        </w:rPr>
        <w:t>prepare monthly reports on its environmental monitoring activities on the site.</w:t>
      </w:r>
    </w:p>
    <w:p w14:paraId="49EE4D00" w14:textId="77777777" w:rsidR="009C11E8" w:rsidRPr="00AE31F1" w:rsidRDefault="009C11E8" w:rsidP="00215867">
      <w:pPr>
        <w:numPr>
          <w:ilvl w:val="0"/>
          <w:numId w:val="343"/>
        </w:numPr>
        <w:suppressAutoHyphens/>
        <w:spacing w:before="120" w:after="120" w:line="240" w:lineRule="auto"/>
        <w:ind w:left="714" w:hanging="357"/>
        <w:jc w:val="both"/>
        <w:rPr>
          <w:rFonts w:ascii="Times New Roman" w:hAnsi="Times New Roman"/>
          <w:sz w:val="24"/>
          <w:szCs w:val="24"/>
        </w:rPr>
      </w:pPr>
      <w:r w:rsidRPr="00AE31F1">
        <w:rPr>
          <w:rFonts w:ascii="Times New Roman" w:eastAsia="Arial Unicode MS" w:hAnsi="Times New Roman"/>
          <w:b/>
          <w:sz w:val="24"/>
          <w:szCs w:val="24"/>
          <w:lang w:val="fr-CA" w:eastAsia="fr-FR"/>
        </w:rPr>
        <w:t>Company</w:t>
      </w:r>
    </w:p>
    <w:p w14:paraId="560CD251"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It is mandatory for the company responsible for the work to comply with the terms of the contract in all aspects of the construction work.</w:t>
      </w:r>
    </w:p>
    <w:p w14:paraId="44ED4BB0"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With regard to the environmental aspect of the works, the Company must have a senior Environmental Specialist known to all parties involved in the project's development works.</w:t>
      </w:r>
    </w:p>
    <w:p w14:paraId="5E7D65BE"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The Corporate Environmental Specialist should have a good understanding of environmental concerns, in general, and proven competence in Health, Safety and Environment (HSE), in particular. This will enable him/her to understand the ESIA report and the ESMP before following their implementation in the field.</w:t>
      </w:r>
    </w:p>
    <w:p w14:paraId="0BB51CD1"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The role of the Environmental Specialist is to monitor the daily application of the various environmental, health, safety and social measures in the field. He is the first point of contact for the MoC.</w:t>
      </w:r>
    </w:p>
    <w:p w14:paraId="3E1F3BE4"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eastAsia="Times New Roman" w:hAnsi="Times New Roman"/>
          <w:sz w:val="24"/>
          <w:szCs w:val="24"/>
          <w:lang w:val="en-US"/>
        </w:rPr>
        <w:t>The activities of the Environmental Specialist are :</w:t>
      </w:r>
    </w:p>
    <w:p w14:paraId="4F497BFC" w14:textId="77777777" w:rsidR="009C11E8" w:rsidRPr="00AE31F1" w:rsidRDefault="009C11E8" w:rsidP="00AE31F1">
      <w:pPr>
        <w:numPr>
          <w:ilvl w:val="0"/>
          <w:numId w:val="349"/>
        </w:numPr>
        <w:tabs>
          <w:tab w:val="left" w:pos="709"/>
        </w:tabs>
        <w:suppressAutoHyphens/>
        <w:spacing w:after="0" w:line="240" w:lineRule="auto"/>
        <w:ind w:left="709"/>
        <w:jc w:val="both"/>
        <w:rPr>
          <w:rFonts w:ascii="Times New Roman" w:eastAsia="Times New Roman" w:hAnsi="Times New Roman"/>
          <w:sz w:val="24"/>
          <w:szCs w:val="24"/>
          <w:lang w:val="en-US"/>
        </w:rPr>
      </w:pPr>
      <w:r w:rsidRPr="00AE31F1">
        <w:rPr>
          <w:rFonts w:ascii="Times New Roman" w:eastAsia="Times New Roman" w:hAnsi="Times New Roman"/>
          <w:sz w:val="24"/>
          <w:szCs w:val="24"/>
          <w:lang w:val="en-US"/>
        </w:rPr>
        <w:t xml:space="preserve">Develop and implement </w:t>
      </w:r>
      <w:r w:rsidRPr="00AE31F1">
        <w:rPr>
          <w:rFonts w:ascii="Times New Roman" w:eastAsia="Times New Roman" w:hAnsi="Times New Roman"/>
          <w:bCs/>
          <w:i/>
          <w:iCs/>
          <w:sz w:val="24"/>
          <w:szCs w:val="24"/>
          <w:lang w:val="en-US"/>
        </w:rPr>
        <w:t xml:space="preserve">the Environmental and Social Management Plan for the construction site (ESMP-C), the </w:t>
      </w:r>
      <w:r w:rsidRPr="00AE31F1">
        <w:rPr>
          <w:rFonts w:ascii="Times New Roman" w:hAnsi="Times New Roman"/>
          <w:bCs/>
          <w:i/>
          <w:iCs/>
          <w:sz w:val="24"/>
          <w:szCs w:val="24"/>
          <w:lang w:val="en-US"/>
        </w:rPr>
        <w:t xml:space="preserve">Environmental Assurance Plan (EAP), the Specific Waste Management and Disposal Plan (SWMDP), the Specific Health and Safety Plan (SSHPP), the Employer's Complaints Management Mechanism (CMME), </w:t>
      </w:r>
      <w:r w:rsidRPr="00AE31F1">
        <w:rPr>
          <w:rFonts w:ascii="Times New Roman" w:eastAsia="Times New Roman" w:hAnsi="Times New Roman"/>
          <w:sz w:val="24"/>
          <w:szCs w:val="24"/>
          <w:lang w:val="en-US"/>
        </w:rPr>
        <w:t xml:space="preserve">which the Company undertakes to respect, with particular emphasis on hydrocarbon management, solid waste management, protection of local populations, respect for the natural and human environment, protection of personnel health and safety, management of the equipment withdrawal period, and rehabilitation of sites after operation. This PMM must develop specific procedures for handling SEA/SH complaints in line with those identified by the project. Thus, the ESMP-C must also echo the measures for preventing and responding to SAE/SH risks, also in line with the project action plan (development of the code of conduct, signing of the code, worker training, etc.); </w:t>
      </w:r>
    </w:p>
    <w:p w14:paraId="51264A70" w14:textId="77777777" w:rsidR="009C11E8" w:rsidRPr="00AE31F1" w:rsidRDefault="009C11E8" w:rsidP="00AE31F1">
      <w:pPr>
        <w:numPr>
          <w:ilvl w:val="0"/>
          <w:numId w:val="349"/>
        </w:numPr>
        <w:tabs>
          <w:tab w:val="left" w:pos="709"/>
        </w:tabs>
        <w:suppressAutoHyphens/>
        <w:spacing w:after="0" w:line="240" w:lineRule="auto"/>
        <w:ind w:left="709"/>
        <w:jc w:val="both"/>
        <w:rPr>
          <w:rFonts w:ascii="Times New Roman" w:hAnsi="Times New Roman"/>
          <w:sz w:val="24"/>
          <w:szCs w:val="24"/>
          <w:lang w:val="en-US"/>
        </w:rPr>
      </w:pPr>
      <w:r w:rsidRPr="00AE31F1">
        <w:rPr>
          <w:rFonts w:ascii="Times New Roman" w:eastAsia="Times New Roman" w:hAnsi="Times New Roman"/>
          <w:sz w:val="24"/>
          <w:szCs w:val="24"/>
          <w:lang w:val="en-US"/>
        </w:rPr>
        <w:t>draw up Site Environmental Protection Plans (SEP) for the most sensitive areas of the site;</w:t>
      </w:r>
    </w:p>
    <w:p w14:paraId="45028700" w14:textId="77777777" w:rsidR="009C11E8" w:rsidRPr="00AE31F1" w:rsidRDefault="009C11E8" w:rsidP="00AE31F1">
      <w:pPr>
        <w:numPr>
          <w:ilvl w:val="0"/>
          <w:numId w:val="349"/>
        </w:numPr>
        <w:tabs>
          <w:tab w:val="left" w:pos="709"/>
        </w:tabs>
        <w:suppressAutoHyphens/>
        <w:spacing w:after="0" w:line="240" w:lineRule="auto"/>
        <w:ind w:left="709"/>
        <w:jc w:val="both"/>
        <w:rPr>
          <w:rFonts w:ascii="Times New Roman" w:hAnsi="Times New Roman"/>
          <w:sz w:val="24"/>
          <w:szCs w:val="24"/>
          <w:lang w:val="en-US"/>
        </w:rPr>
      </w:pPr>
      <w:r w:rsidRPr="00AE31F1">
        <w:rPr>
          <w:rFonts w:ascii="Times New Roman" w:eastAsia="Times New Roman" w:hAnsi="Times New Roman"/>
          <w:sz w:val="24"/>
          <w:szCs w:val="24"/>
          <w:lang w:val="en-US"/>
        </w:rPr>
        <w:t>develop an Internal Operation Plan (IOP).</w:t>
      </w:r>
    </w:p>
    <w:p w14:paraId="0D01DC73" w14:textId="77777777" w:rsidR="009C11E8" w:rsidRPr="00AE31F1" w:rsidRDefault="009C11E8" w:rsidP="00215867">
      <w:pPr>
        <w:numPr>
          <w:ilvl w:val="0"/>
          <w:numId w:val="343"/>
        </w:numPr>
        <w:suppressAutoHyphens/>
        <w:spacing w:before="120" w:after="120" w:line="240" w:lineRule="auto"/>
        <w:ind w:left="714" w:hanging="357"/>
        <w:jc w:val="both"/>
        <w:rPr>
          <w:rFonts w:ascii="Times New Roman" w:eastAsia="Times New Roman" w:hAnsi="Times New Roman"/>
          <w:sz w:val="24"/>
          <w:szCs w:val="24"/>
          <w:lang w:val="en-US"/>
        </w:rPr>
      </w:pPr>
      <w:r w:rsidRPr="00215867">
        <w:rPr>
          <w:rFonts w:ascii="Times New Roman" w:hAnsi="Times New Roman"/>
          <w:b/>
          <w:sz w:val="24"/>
          <w:szCs w:val="24"/>
          <w:lang w:val="en-US"/>
        </w:rPr>
        <w:t>Complaint</w:t>
      </w:r>
      <w:r w:rsidRPr="00AE31F1">
        <w:rPr>
          <w:rFonts w:ascii="Times New Roman" w:eastAsia="Arial Unicode MS" w:hAnsi="Times New Roman"/>
          <w:b/>
          <w:sz w:val="24"/>
          <w:szCs w:val="24"/>
          <w:lang w:val="en-US" w:eastAsia="fr-FR"/>
        </w:rPr>
        <w:t xml:space="preserve"> Management Mechanism sensitive to the project's SEA/SH. </w:t>
      </w:r>
    </w:p>
    <w:p w14:paraId="1B72EC44" w14:textId="77777777" w:rsidR="009C11E8" w:rsidRPr="00215867" w:rsidRDefault="009C11E8" w:rsidP="00215867">
      <w:pPr>
        <w:spacing w:before="120" w:after="120" w:line="240" w:lineRule="auto"/>
        <w:ind w:left="142"/>
        <w:jc w:val="both"/>
        <w:rPr>
          <w:rFonts w:ascii="Times New Roman" w:eastAsia="Times New Roman" w:hAnsi="Times New Roman"/>
          <w:sz w:val="24"/>
          <w:szCs w:val="24"/>
          <w:lang w:val="en-US"/>
        </w:rPr>
      </w:pPr>
      <w:r w:rsidRPr="00AE31F1">
        <w:rPr>
          <w:rFonts w:ascii="Times New Roman" w:eastAsia="Times New Roman" w:hAnsi="Times New Roman"/>
          <w:sz w:val="24"/>
          <w:szCs w:val="24"/>
          <w:lang w:val="en-US"/>
        </w:rPr>
        <w:t xml:space="preserve">A </w:t>
      </w:r>
      <w:r w:rsidRPr="00215867">
        <w:rPr>
          <w:rFonts w:ascii="Times New Roman" w:eastAsia="Times New Roman" w:hAnsi="Times New Roman"/>
          <w:sz w:val="24"/>
          <w:szCs w:val="24"/>
          <w:lang w:val="en-US"/>
        </w:rPr>
        <w:t xml:space="preserve">Complaints </w:t>
      </w:r>
      <w:r w:rsidRPr="00AE31F1">
        <w:rPr>
          <w:rFonts w:ascii="Times New Roman" w:eastAsia="Times New Roman" w:hAnsi="Times New Roman"/>
          <w:sz w:val="24"/>
          <w:szCs w:val="24"/>
          <w:lang w:val="en-US"/>
        </w:rPr>
        <w:t xml:space="preserve">Management </w:t>
      </w:r>
      <w:r w:rsidRPr="00215867">
        <w:rPr>
          <w:rFonts w:ascii="Times New Roman" w:eastAsia="Times New Roman" w:hAnsi="Times New Roman"/>
          <w:sz w:val="24"/>
          <w:szCs w:val="24"/>
          <w:lang w:val="en-US"/>
        </w:rPr>
        <w:t xml:space="preserve">Mechanism (CMM) is set up </w:t>
      </w:r>
      <w:r w:rsidRPr="00AE31F1">
        <w:rPr>
          <w:rFonts w:ascii="Times New Roman" w:eastAsia="Times New Roman" w:hAnsi="Times New Roman"/>
          <w:sz w:val="24"/>
          <w:szCs w:val="24"/>
          <w:lang w:val="en-US"/>
        </w:rPr>
        <w:t xml:space="preserve">within the framework of the project and enables it to manage all disputes that may arise before, during and after the completion of the works. </w:t>
      </w:r>
    </w:p>
    <w:p w14:paraId="22DEA0EE" w14:textId="77777777" w:rsidR="009C11E8" w:rsidRPr="00215867" w:rsidRDefault="009C11E8" w:rsidP="00215867">
      <w:pPr>
        <w:spacing w:before="120" w:after="120" w:line="240" w:lineRule="auto"/>
        <w:ind w:left="142"/>
        <w:jc w:val="both"/>
        <w:rPr>
          <w:rFonts w:ascii="Times New Roman" w:eastAsia="Times New Roman" w:hAnsi="Times New Roman"/>
          <w:sz w:val="24"/>
          <w:szCs w:val="24"/>
          <w:lang w:val="en-US"/>
        </w:rPr>
      </w:pPr>
      <w:r w:rsidRPr="00AE31F1">
        <w:rPr>
          <w:rFonts w:ascii="Times New Roman" w:eastAsia="Times New Roman" w:hAnsi="Times New Roman"/>
          <w:sz w:val="24"/>
          <w:szCs w:val="24"/>
          <w:lang w:val="en-US"/>
        </w:rPr>
        <w:t>The companies and the monitoring mission will have to develop a community feedback mechanism adapted to SEA/SH complaints.</w:t>
      </w:r>
    </w:p>
    <w:p w14:paraId="51D09517" w14:textId="77777777" w:rsidR="009C11E8" w:rsidRPr="00AE31F1" w:rsidRDefault="009C11E8" w:rsidP="00215867">
      <w:pPr>
        <w:numPr>
          <w:ilvl w:val="0"/>
          <w:numId w:val="343"/>
        </w:numPr>
        <w:suppressAutoHyphens/>
        <w:spacing w:before="120" w:after="120" w:line="240" w:lineRule="auto"/>
        <w:ind w:left="714" w:hanging="357"/>
        <w:jc w:val="both"/>
        <w:rPr>
          <w:rFonts w:ascii="Times New Roman" w:hAnsi="Times New Roman"/>
          <w:sz w:val="24"/>
          <w:szCs w:val="24"/>
          <w:lang w:val="en-US"/>
        </w:rPr>
      </w:pPr>
      <w:r w:rsidRPr="00215867">
        <w:rPr>
          <w:rFonts w:ascii="Times New Roman" w:hAnsi="Times New Roman"/>
          <w:b/>
          <w:sz w:val="24"/>
          <w:szCs w:val="24"/>
          <w:lang w:val="en-US"/>
        </w:rPr>
        <w:t>Ministry</w:t>
      </w:r>
      <w:r w:rsidRPr="00AE31F1">
        <w:rPr>
          <w:rFonts w:ascii="Times New Roman" w:eastAsia="Arial Unicode MS" w:hAnsi="Times New Roman"/>
          <w:b/>
          <w:sz w:val="24"/>
          <w:szCs w:val="24"/>
          <w:lang w:val="en-US" w:eastAsia="fr-FR"/>
        </w:rPr>
        <w:t xml:space="preserve"> in charge of public health </w:t>
      </w:r>
    </w:p>
    <w:p w14:paraId="49F469E6" w14:textId="77777777" w:rsidR="009C11E8" w:rsidRPr="00AE31F1" w:rsidRDefault="009C11E8" w:rsidP="00AE31F1">
      <w:pPr>
        <w:spacing w:after="0" w:line="240" w:lineRule="auto"/>
        <w:ind w:left="284"/>
        <w:jc w:val="both"/>
        <w:rPr>
          <w:rFonts w:ascii="Times New Roman" w:hAnsi="Times New Roman"/>
          <w:sz w:val="24"/>
          <w:szCs w:val="24"/>
          <w:lang w:val="en-US"/>
        </w:rPr>
      </w:pPr>
      <w:r w:rsidRPr="00AE31F1">
        <w:rPr>
          <w:rFonts w:ascii="Times New Roman" w:eastAsia="Arial Unicode MS" w:hAnsi="Times New Roman"/>
          <w:sz w:val="24"/>
          <w:szCs w:val="24"/>
          <w:lang w:val="en-US" w:eastAsia="fr-FR"/>
        </w:rPr>
        <w:t>The Ministry in charge of public health will monitor diseases (ARI, STI, AIDS), etc.</w:t>
      </w:r>
    </w:p>
    <w:p w14:paraId="408F6E87" w14:textId="77777777" w:rsidR="009C11E8" w:rsidRPr="00AE31F1" w:rsidRDefault="009C11E8" w:rsidP="00215867">
      <w:pPr>
        <w:numPr>
          <w:ilvl w:val="0"/>
          <w:numId w:val="343"/>
        </w:numPr>
        <w:suppressAutoHyphens/>
        <w:spacing w:before="120" w:after="120" w:line="240" w:lineRule="auto"/>
        <w:ind w:left="714" w:hanging="357"/>
        <w:jc w:val="both"/>
        <w:rPr>
          <w:rFonts w:ascii="Times New Roman" w:hAnsi="Times New Roman"/>
          <w:sz w:val="24"/>
          <w:szCs w:val="24"/>
          <w:lang w:val="en-US"/>
        </w:rPr>
      </w:pPr>
      <w:r w:rsidRPr="00215867">
        <w:rPr>
          <w:rFonts w:ascii="Times New Roman" w:hAnsi="Times New Roman"/>
          <w:b/>
          <w:sz w:val="24"/>
          <w:szCs w:val="24"/>
          <w:lang w:val="en-US"/>
        </w:rPr>
        <w:t>Communes</w:t>
      </w:r>
      <w:r w:rsidRPr="00AE31F1">
        <w:rPr>
          <w:rFonts w:ascii="Times New Roman" w:eastAsia="Arial Unicode MS" w:hAnsi="Times New Roman"/>
          <w:b/>
          <w:sz w:val="24"/>
          <w:szCs w:val="24"/>
          <w:lang w:val="en-US" w:eastAsia="fr-FR"/>
        </w:rPr>
        <w:t xml:space="preserve"> of the city-province of Kinshasa concerned by the project </w:t>
      </w:r>
    </w:p>
    <w:p w14:paraId="598FFFF1" w14:textId="77777777" w:rsidR="009C11E8" w:rsidRPr="00215867" w:rsidRDefault="009C11E8" w:rsidP="00215867">
      <w:pPr>
        <w:spacing w:before="120" w:after="120" w:line="240" w:lineRule="auto"/>
        <w:ind w:left="142"/>
        <w:jc w:val="both"/>
        <w:rPr>
          <w:rFonts w:ascii="Times New Roman" w:eastAsia="Times New Roman" w:hAnsi="Times New Roman"/>
          <w:sz w:val="24"/>
          <w:szCs w:val="24"/>
          <w:lang w:val="en-US"/>
        </w:rPr>
      </w:pPr>
      <w:r w:rsidRPr="00215867">
        <w:rPr>
          <w:rFonts w:ascii="Times New Roman" w:eastAsia="Times New Roman" w:hAnsi="Times New Roman"/>
          <w:sz w:val="24"/>
          <w:szCs w:val="24"/>
          <w:lang w:val="en-US"/>
        </w:rPr>
        <w:t xml:space="preserve">They are involved in monitoring, awareness raising, social mobilization activities, adoption and dissemination of the information contained in the ESMP, monitoring of the work carried out, etc. </w:t>
      </w:r>
    </w:p>
    <w:p w14:paraId="045AA4A9" w14:textId="77777777" w:rsidR="009C11E8" w:rsidRPr="00215867" w:rsidRDefault="009C11E8" w:rsidP="00215867">
      <w:pPr>
        <w:spacing w:before="120" w:after="120" w:line="240" w:lineRule="auto"/>
        <w:ind w:left="142"/>
        <w:jc w:val="both"/>
        <w:rPr>
          <w:rFonts w:ascii="Times New Roman" w:eastAsia="Times New Roman" w:hAnsi="Times New Roman"/>
          <w:sz w:val="24"/>
          <w:szCs w:val="24"/>
          <w:lang w:val="en-US"/>
        </w:rPr>
      </w:pPr>
      <w:r w:rsidRPr="00215867">
        <w:rPr>
          <w:rFonts w:ascii="Times New Roman" w:eastAsia="Times New Roman" w:hAnsi="Times New Roman"/>
          <w:sz w:val="24"/>
          <w:szCs w:val="24"/>
          <w:lang w:val="en-US"/>
        </w:rPr>
        <w:t>The 10 communes covered by the project have personnel with experience in environmental inspection and awareness raising. However, most of them do not have basic environmental training. During its start-up phase, the project will have to strengthen the capacity of the urban environmental services in terms of environmental monitoring, environmental communication and the operation of the project's CMM.</w:t>
      </w:r>
    </w:p>
    <w:p w14:paraId="246B8E49" w14:textId="77777777" w:rsidR="009C11E8" w:rsidRPr="00AE31F1" w:rsidRDefault="009C11E8" w:rsidP="00AE31F1">
      <w:pPr>
        <w:numPr>
          <w:ilvl w:val="0"/>
          <w:numId w:val="343"/>
        </w:numPr>
        <w:suppressAutoHyphens/>
        <w:spacing w:after="0" w:line="240" w:lineRule="auto"/>
        <w:ind w:left="714" w:hanging="357"/>
        <w:jc w:val="both"/>
        <w:rPr>
          <w:rFonts w:ascii="Times New Roman" w:hAnsi="Times New Roman"/>
          <w:sz w:val="24"/>
          <w:szCs w:val="24"/>
          <w:lang w:val="en-US"/>
        </w:rPr>
      </w:pPr>
      <w:r w:rsidRPr="00AE31F1">
        <w:rPr>
          <w:rFonts w:ascii="Times New Roman" w:hAnsi="Times New Roman"/>
          <w:b/>
          <w:sz w:val="24"/>
          <w:szCs w:val="24"/>
          <w:lang w:val="en-US"/>
        </w:rPr>
        <w:t>NGOs and other civil society organizations</w:t>
      </w:r>
    </w:p>
    <w:p w14:paraId="4D3E4469" w14:textId="77777777" w:rsidR="009C11E8" w:rsidRPr="00AE31F1" w:rsidRDefault="009C11E8" w:rsidP="00215867">
      <w:pPr>
        <w:spacing w:before="120" w:after="120" w:line="240" w:lineRule="auto"/>
        <w:ind w:left="142"/>
        <w:jc w:val="both"/>
        <w:rPr>
          <w:rFonts w:ascii="Times New Roman" w:hAnsi="Times New Roman"/>
          <w:sz w:val="24"/>
          <w:szCs w:val="24"/>
          <w:lang w:val="en-US"/>
        </w:rPr>
      </w:pPr>
      <w:r w:rsidRPr="00AE31F1">
        <w:rPr>
          <w:rFonts w:ascii="Times New Roman" w:hAnsi="Times New Roman"/>
          <w:sz w:val="24"/>
          <w:szCs w:val="24"/>
          <w:lang w:val="en-US"/>
        </w:rPr>
        <w:t>These NGOs and organizations participate in the preparatory phase of the project, in the public consultations and the restitution seminar, review the ESMP document, inform and sensitize the actors of the system on the environmental and social aspects related to the works and the commissioning of the project.</w:t>
      </w:r>
    </w:p>
    <w:p w14:paraId="68D34B55" w14:textId="77777777" w:rsidR="009C11E8" w:rsidRPr="00AE31F1" w:rsidRDefault="009C11E8" w:rsidP="00AE31F1">
      <w:pPr>
        <w:numPr>
          <w:ilvl w:val="0"/>
          <w:numId w:val="343"/>
        </w:numPr>
        <w:suppressAutoHyphens/>
        <w:spacing w:after="0" w:line="240" w:lineRule="auto"/>
        <w:ind w:left="714" w:hanging="357"/>
        <w:jc w:val="both"/>
        <w:rPr>
          <w:rFonts w:ascii="Times New Roman" w:hAnsi="Times New Roman"/>
          <w:sz w:val="24"/>
          <w:szCs w:val="24"/>
          <w:lang w:val="en-US"/>
        </w:rPr>
      </w:pPr>
      <w:r w:rsidRPr="00AE31F1">
        <w:rPr>
          <w:rFonts w:ascii="Times New Roman" w:hAnsi="Times New Roman"/>
          <w:b/>
          <w:sz w:val="24"/>
          <w:szCs w:val="24"/>
          <w:lang w:val="en-US"/>
        </w:rPr>
        <w:t xml:space="preserve">Environmental and Social Advisory Panel (ESAP) and the World Bank </w:t>
      </w:r>
    </w:p>
    <w:p w14:paraId="0CFDD7E5" w14:textId="1CF70280" w:rsidR="00AE31F1" w:rsidRDefault="009C11E8" w:rsidP="00AE31F1">
      <w:pPr>
        <w:spacing w:after="0" w:line="240" w:lineRule="auto"/>
        <w:ind w:left="284"/>
        <w:jc w:val="both"/>
        <w:rPr>
          <w:rFonts w:ascii="Times New Roman" w:hAnsi="Times New Roman"/>
          <w:sz w:val="24"/>
          <w:szCs w:val="24"/>
          <w:lang w:val="en-US"/>
        </w:rPr>
      </w:pPr>
      <w:r w:rsidRPr="00AE31F1">
        <w:rPr>
          <w:rFonts w:ascii="Times New Roman" w:hAnsi="Times New Roman"/>
          <w:sz w:val="24"/>
          <w:szCs w:val="24"/>
          <w:lang w:val="en-US"/>
        </w:rPr>
        <w:t xml:space="preserve">They ensure that all environmental and social requirements are taken into account in the implementation and monitoring of the project in accordance with the relevant World Bank standards for the project. </w:t>
      </w:r>
    </w:p>
    <w:p w14:paraId="015021C5"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rPr>
      </w:pPr>
      <w:r w:rsidRPr="00AE31F1">
        <w:rPr>
          <w:rFonts w:ascii="Times New Roman" w:hAnsi="Times New Roman"/>
          <w:b/>
          <w:sz w:val="24"/>
          <w:szCs w:val="24"/>
          <w:u w:val="single"/>
        </w:rPr>
        <w:t xml:space="preserve">Capacity building </w:t>
      </w:r>
    </w:p>
    <w:p w14:paraId="7A2C312B" w14:textId="777777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 xml:space="preserve">The capacity building will target the environmental and social development specialists as well as the project staff, the communal executives in charge of the management and monitoring of the Project within the targeted decentralized territorial entities, the </w:t>
      </w:r>
      <w:r w:rsidRPr="00215867">
        <w:rPr>
          <w:rFonts w:ascii="Times New Roman" w:eastAsia="Times New Roman" w:hAnsi="Times New Roman"/>
          <w:sz w:val="24"/>
          <w:szCs w:val="24"/>
          <w:lang w:val="en-US"/>
        </w:rPr>
        <w:t>organizations</w:t>
      </w:r>
      <w:r w:rsidRPr="00AE31F1">
        <w:rPr>
          <w:rFonts w:ascii="Times New Roman" w:hAnsi="Times New Roman"/>
          <w:sz w:val="24"/>
          <w:szCs w:val="24"/>
          <w:lang w:val="en-US"/>
        </w:rPr>
        <w:t xml:space="preserve"> of the infrastructure beneficiaries, and the executives of the companies providing the works. Training workshops on environmental and social management during the implementation of the project will be organized in the provincial city of Kinshasa at the start of the works. The training will include various topics as indicated in the table below.</w:t>
      </w:r>
    </w:p>
    <w:p w14:paraId="0C673E14" w14:textId="77777777" w:rsidR="009C11E8" w:rsidRPr="00AE31F1" w:rsidRDefault="009C11E8" w:rsidP="00215867">
      <w:pPr>
        <w:numPr>
          <w:ilvl w:val="0"/>
          <w:numId w:val="344"/>
        </w:numPr>
        <w:suppressAutoHyphens/>
        <w:spacing w:after="120" w:line="240" w:lineRule="auto"/>
        <w:ind w:left="714" w:hanging="357"/>
        <w:rPr>
          <w:rFonts w:ascii="Times New Roman" w:hAnsi="Times New Roman"/>
          <w:sz w:val="24"/>
          <w:szCs w:val="24"/>
        </w:rPr>
      </w:pPr>
      <w:r w:rsidRPr="00AE31F1">
        <w:rPr>
          <w:rFonts w:ascii="Times New Roman" w:hAnsi="Times New Roman"/>
          <w:b/>
          <w:bCs/>
          <w:i/>
          <w:iCs/>
          <w:sz w:val="24"/>
          <w:szCs w:val="24"/>
        </w:rPr>
        <w:t>Training topics and target actors</w:t>
      </w:r>
    </w:p>
    <w:tbl>
      <w:tblPr>
        <w:tblW w:w="0" w:type="auto"/>
        <w:jc w:val="center"/>
        <w:tblLayout w:type="fixed"/>
        <w:tblCellMar>
          <w:left w:w="70" w:type="dxa"/>
          <w:right w:w="70" w:type="dxa"/>
        </w:tblCellMar>
        <w:tblLook w:val="0000" w:firstRow="0" w:lastRow="0" w:firstColumn="0" w:lastColumn="0" w:noHBand="0" w:noVBand="0"/>
      </w:tblPr>
      <w:tblGrid>
        <w:gridCol w:w="529"/>
        <w:gridCol w:w="1875"/>
        <w:gridCol w:w="3424"/>
        <w:gridCol w:w="3426"/>
      </w:tblGrid>
      <w:tr w:rsidR="00AE31F1" w:rsidRPr="00420C1B" w14:paraId="7D718F1F" w14:textId="77777777" w:rsidTr="00931D29">
        <w:trPr>
          <w:trHeight w:val="515"/>
          <w:tblHeader/>
          <w:jc w:val="center"/>
        </w:trPr>
        <w:tc>
          <w:tcPr>
            <w:tcW w:w="529" w:type="dxa"/>
            <w:tcBorders>
              <w:top w:val="single" w:sz="8" w:space="0" w:color="000000"/>
              <w:left w:val="single" w:sz="8" w:space="0" w:color="000000"/>
              <w:bottom w:val="single" w:sz="8" w:space="0" w:color="000000"/>
              <w:right w:val="single" w:sz="8" w:space="0" w:color="000000"/>
            </w:tcBorders>
            <w:shd w:val="clear" w:color="auto" w:fill="92D050"/>
            <w:vAlign w:val="center"/>
          </w:tcPr>
          <w:p w14:paraId="6FC5433B"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N°</w:t>
            </w:r>
          </w:p>
        </w:tc>
        <w:tc>
          <w:tcPr>
            <w:tcW w:w="1875" w:type="dxa"/>
            <w:tcBorders>
              <w:top w:val="single" w:sz="8" w:space="0" w:color="000000"/>
              <w:bottom w:val="single" w:sz="8" w:space="0" w:color="000000"/>
              <w:right w:val="single" w:sz="8" w:space="0" w:color="000000"/>
            </w:tcBorders>
            <w:shd w:val="clear" w:color="auto" w:fill="92D050"/>
            <w:vAlign w:val="center"/>
          </w:tcPr>
          <w:p w14:paraId="7DB11096"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 xml:space="preserve">Training topics </w:t>
            </w:r>
          </w:p>
        </w:tc>
        <w:tc>
          <w:tcPr>
            <w:tcW w:w="3424" w:type="dxa"/>
            <w:tcBorders>
              <w:top w:val="single" w:sz="8" w:space="0" w:color="000000"/>
              <w:bottom w:val="single" w:sz="8" w:space="0" w:color="000000"/>
              <w:right w:val="single" w:sz="8" w:space="0" w:color="000000"/>
            </w:tcBorders>
            <w:shd w:val="clear" w:color="auto" w:fill="92D050"/>
            <w:vAlign w:val="center"/>
          </w:tcPr>
          <w:p w14:paraId="0CD648E6"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Module details</w:t>
            </w:r>
          </w:p>
        </w:tc>
        <w:tc>
          <w:tcPr>
            <w:tcW w:w="3426" w:type="dxa"/>
            <w:tcBorders>
              <w:top w:val="single" w:sz="8" w:space="0" w:color="000000"/>
              <w:bottom w:val="single" w:sz="8" w:space="0" w:color="000000"/>
              <w:right w:val="single" w:sz="8" w:space="0" w:color="000000"/>
            </w:tcBorders>
            <w:shd w:val="clear" w:color="auto" w:fill="92D050"/>
            <w:vAlign w:val="center"/>
          </w:tcPr>
          <w:p w14:paraId="13B76385"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Targeted actors</w:t>
            </w:r>
          </w:p>
        </w:tc>
      </w:tr>
      <w:tr w:rsidR="00AE31F1" w:rsidRPr="00F933DF" w14:paraId="7B0FCA2B" w14:textId="77777777" w:rsidTr="00931D29">
        <w:trPr>
          <w:trHeight w:val="230"/>
          <w:jc w:val="center"/>
        </w:trPr>
        <w:tc>
          <w:tcPr>
            <w:tcW w:w="529" w:type="dxa"/>
            <w:tcBorders>
              <w:left w:val="single" w:sz="8" w:space="0" w:color="000000"/>
              <w:bottom w:val="single" w:sz="8" w:space="0" w:color="000000"/>
              <w:right w:val="single" w:sz="8" w:space="0" w:color="000000"/>
            </w:tcBorders>
            <w:shd w:val="clear" w:color="auto" w:fill="auto"/>
            <w:vAlign w:val="center"/>
          </w:tcPr>
          <w:p w14:paraId="088CA61B"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1</w:t>
            </w:r>
          </w:p>
        </w:tc>
        <w:tc>
          <w:tcPr>
            <w:tcW w:w="18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6CD0771" w14:textId="77777777" w:rsidR="009C11E8" w:rsidRPr="00420C1B" w:rsidRDefault="009C11E8" w:rsidP="00AE31F1">
            <w:pPr>
              <w:spacing w:after="0" w:line="240" w:lineRule="auto"/>
              <w:rPr>
                <w:rFonts w:ascii="Times New Roman" w:hAnsi="Times New Roman"/>
                <w:lang w:val="en-US"/>
              </w:rPr>
            </w:pPr>
            <w:r w:rsidRPr="00420C1B">
              <w:rPr>
                <w:rFonts w:ascii="Times New Roman" w:hAnsi="Times New Roman"/>
                <w:lang w:val="en-US" w:eastAsia="fr-FR"/>
              </w:rPr>
              <w:t>Health, Safety and Security (</w:t>
            </w:r>
            <w:r w:rsidRPr="00420C1B">
              <w:rPr>
                <w:rFonts w:ascii="Times New Roman" w:hAnsi="Times New Roman"/>
                <w:lang w:val="en-US"/>
              </w:rPr>
              <w:t>Incident Investigation and Reporting)</w:t>
            </w:r>
          </w:p>
        </w:tc>
        <w:tc>
          <w:tcPr>
            <w:tcW w:w="3424" w:type="dxa"/>
            <w:tcBorders>
              <w:top w:val="single" w:sz="8" w:space="0" w:color="000000"/>
              <w:bottom w:val="single" w:sz="8" w:space="0" w:color="000000"/>
              <w:right w:val="single" w:sz="8" w:space="0" w:color="000000"/>
            </w:tcBorders>
            <w:shd w:val="clear" w:color="auto" w:fill="auto"/>
            <w:vAlign w:val="center"/>
          </w:tcPr>
          <w:p w14:paraId="52A34547"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Personal protective equipment</w:t>
            </w:r>
          </w:p>
          <w:p w14:paraId="5CA59CB8"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Workplace Risk Management</w:t>
            </w:r>
          </w:p>
          <w:p w14:paraId="587A1635"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Prevention of work-related accidents</w:t>
            </w:r>
          </w:p>
          <w:p w14:paraId="5EB2E783"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Health and safety rules</w:t>
            </w:r>
          </w:p>
          <w:p w14:paraId="10687AE3"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 xml:space="preserve">Solid and liquid waste management </w:t>
            </w:r>
          </w:p>
          <w:p w14:paraId="133F1854"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Investigation and reporting of incidents</w:t>
            </w:r>
          </w:p>
        </w:tc>
        <w:tc>
          <w:tcPr>
            <w:tcW w:w="34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6951B64" w14:textId="77777777" w:rsidR="009C11E8" w:rsidRPr="00AE31F1" w:rsidRDefault="009C11E8" w:rsidP="00AE31F1">
            <w:pPr>
              <w:pStyle w:val="Paragraphedeliste1"/>
              <w:numPr>
                <w:ilvl w:val="0"/>
                <w:numId w:val="350"/>
              </w:numPr>
              <w:ind w:left="249" w:hanging="249"/>
              <w:contextualSpacing/>
              <w:rPr>
                <w:sz w:val="22"/>
                <w:szCs w:val="22"/>
              </w:rPr>
            </w:pPr>
            <w:r w:rsidRPr="00AE31F1">
              <w:rPr>
                <w:rFonts w:eastAsia="Symbol"/>
                <w:sz w:val="22"/>
                <w:szCs w:val="22"/>
              </w:rPr>
              <w:t xml:space="preserve">Technical and administrative services </w:t>
            </w:r>
          </w:p>
          <w:p w14:paraId="5148B31A"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Municipal technical services</w:t>
            </w:r>
          </w:p>
          <w:p w14:paraId="6D0BDC50"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Women's and youth associations</w:t>
            </w:r>
            <w:r w:rsidRPr="00AE31F1">
              <w:rPr>
                <w:rFonts w:eastAsia="Symbol"/>
                <w:sz w:val="22"/>
                <w:szCs w:val="22"/>
                <w:lang w:val="en-US"/>
              </w:rPr>
              <w:t>, SMEs (Small and Medium Enterprises)</w:t>
            </w:r>
          </w:p>
        </w:tc>
      </w:tr>
      <w:tr w:rsidR="00AE31F1" w:rsidRPr="00F933DF" w14:paraId="1100F232" w14:textId="77777777" w:rsidTr="00931D29">
        <w:trPr>
          <w:trHeight w:val="1315"/>
          <w:jc w:val="center"/>
        </w:trPr>
        <w:tc>
          <w:tcPr>
            <w:tcW w:w="529" w:type="dxa"/>
            <w:tcBorders>
              <w:left w:val="single" w:sz="8" w:space="0" w:color="000000"/>
              <w:bottom w:val="single" w:sz="8" w:space="0" w:color="000000"/>
              <w:right w:val="single" w:sz="8" w:space="0" w:color="000000"/>
            </w:tcBorders>
            <w:shd w:val="clear" w:color="auto" w:fill="auto"/>
            <w:vAlign w:val="center"/>
          </w:tcPr>
          <w:p w14:paraId="27CBBD0C" w14:textId="77777777" w:rsidR="009C11E8" w:rsidRPr="00420C1B" w:rsidRDefault="009C11E8" w:rsidP="00AE31F1">
            <w:pPr>
              <w:spacing w:after="0" w:line="240" w:lineRule="auto"/>
              <w:rPr>
                <w:rFonts w:ascii="Times New Roman" w:hAnsi="Times New Roman"/>
              </w:rPr>
            </w:pPr>
            <w:r w:rsidRPr="00420C1B">
              <w:rPr>
                <w:rFonts w:ascii="Times New Roman" w:hAnsi="Times New Roman"/>
                <w:b/>
                <w:bCs/>
                <w:lang w:eastAsia="fr-FR"/>
              </w:rPr>
              <w:t>2</w:t>
            </w:r>
          </w:p>
        </w:tc>
        <w:tc>
          <w:tcPr>
            <w:tcW w:w="18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203EB7" w14:textId="77777777" w:rsidR="009C11E8" w:rsidRPr="00420C1B" w:rsidRDefault="009C11E8" w:rsidP="00AE31F1">
            <w:pPr>
              <w:spacing w:after="0" w:line="240" w:lineRule="auto"/>
              <w:rPr>
                <w:rFonts w:ascii="Times New Roman" w:hAnsi="Times New Roman"/>
              </w:rPr>
            </w:pPr>
            <w:r w:rsidRPr="00420C1B">
              <w:rPr>
                <w:rFonts w:ascii="Times New Roman" w:hAnsi="Times New Roman"/>
                <w:lang w:eastAsia="fr-FR"/>
              </w:rPr>
              <w:t xml:space="preserve">Complaint management mechanism </w:t>
            </w:r>
          </w:p>
        </w:tc>
        <w:tc>
          <w:tcPr>
            <w:tcW w:w="3424" w:type="dxa"/>
            <w:tcBorders>
              <w:top w:val="single" w:sz="8" w:space="0" w:color="000000"/>
              <w:bottom w:val="single" w:sz="8" w:space="0" w:color="000000"/>
              <w:right w:val="single" w:sz="8" w:space="0" w:color="000000"/>
            </w:tcBorders>
            <w:shd w:val="clear" w:color="auto" w:fill="auto"/>
            <w:vAlign w:val="center"/>
          </w:tcPr>
          <w:p w14:paraId="4612C5A7"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Types of mechanisms</w:t>
            </w:r>
          </w:p>
          <w:p w14:paraId="593562F8"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Registration and processing procedure</w:t>
            </w:r>
          </w:p>
          <w:p w14:paraId="7022B2FC"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Level of treatment, types of instances and composition</w:t>
            </w:r>
          </w:p>
          <w:p w14:paraId="7E396727"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Recourse</w:t>
            </w:r>
          </w:p>
        </w:tc>
        <w:tc>
          <w:tcPr>
            <w:tcW w:w="3426" w:type="dxa"/>
            <w:tcBorders>
              <w:top w:val="single" w:sz="8" w:space="0" w:color="000000"/>
              <w:bottom w:val="single" w:sz="8" w:space="0" w:color="000000"/>
              <w:right w:val="single" w:sz="8" w:space="0" w:color="000000"/>
            </w:tcBorders>
            <w:shd w:val="clear" w:color="auto" w:fill="auto"/>
            <w:vAlign w:val="center"/>
          </w:tcPr>
          <w:p w14:paraId="7B373BE0"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rFonts w:eastAsia="Symbol"/>
                <w:sz w:val="22"/>
                <w:szCs w:val="22"/>
                <w:lang w:val="en-US"/>
              </w:rPr>
              <w:t xml:space="preserve">UCP, Departmental and regional technical and administrative services, </w:t>
            </w:r>
            <w:r w:rsidRPr="00AE31F1">
              <w:rPr>
                <w:sz w:val="22"/>
                <w:szCs w:val="22"/>
                <w:lang w:val="en-US"/>
              </w:rPr>
              <w:t>Municipal technical services, Women and youth associations</w:t>
            </w:r>
            <w:r w:rsidRPr="00AE31F1">
              <w:rPr>
                <w:rFonts w:eastAsia="Symbol"/>
                <w:sz w:val="22"/>
                <w:szCs w:val="22"/>
                <w:lang w:val="en-US"/>
              </w:rPr>
              <w:t>, SMEs</w:t>
            </w:r>
          </w:p>
        </w:tc>
      </w:tr>
      <w:tr w:rsidR="00AE31F1" w:rsidRPr="00F933DF" w14:paraId="4305A8ED" w14:textId="77777777" w:rsidTr="00931D29">
        <w:trPr>
          <w:trHeight w:val="294"/>
          <w:jc w:val="center"/>
        </w:trPr>
        <w:tc>
          <w:tcPr>
            <w:tcW w:w="529" w:type="dxa"/>
            <w:tcBorders>
              <w:left w:val="single" w:sz="8" w:space="0" w:color="000000"/>
              <w:bottom w:val="single" w:sz="8" w:space="0" w:color="000000"/>
              <w:right w:val="single" w:sz="8" w:space="0" w:color="000000"/>
            </w:tcBorders>
            <w:shd w:val="clear" w:color="auto" w:fill="auto"/>
            <w:vAlign w:val="center"/>
          </w:tcPr>
          <w:p w14:paraId="6C581857" w14:textId="77777777" w:rsidR="009C11E8" w:rsidRPr="00420C1B" w:rsidRDefault="009C11E8" w:rsidP="00AE31F1">
            <w:pPr>
              <w:spacing w:after="0" w:line="240" w:lineRule="auto"/>
              <w:jc w:val="center"/>
              <w:rPr>
                <w:rFonts w:ascii="Times New Roman" w:hAnsi="Times New Roman"/>
              </w:rPr>
            </w:pPr>
            <w:r w:rsidRPr="00420C1B">
              <w:rPr>
                <w:rFonts w:ascii="Times New Roman" w:hAnsi="Times New Roman"/>
                <w:b/>
                <w:bCs/>
                <w:lang w:eastAsia="fr-FR"/>
              </w:rPr>
              <w:t>3</w:t>
            </w:r>
          </w:p>
        </w:tc>
        <w:tc>
          <w:tcPr>
            <w:tcW w:w="1875" w:type="dxa"/>
            <w:tcBorders>
              <w:left w:val="single" w:sz="8" w:space="0" w:color="000000"/>
              <w:bottom w:val="single" w:sz="8" w:space="0" w:color="000000"/>
              <w:right w:val="single" w:sz="8" w:space="0" w:color="000000"/>
            </w:tcBorders>
            <w:shd w:val="clear" w:color="auto" w:fill="auto"/>
            <w:vAlign w:val="center"/>
          </w:tcPr>
          <w:p w14:paraId="0AAAB9F2" w14:textId="77777777" w:rsidR="009C11E8" w:rsidRPr="00420C1B" w:rsidRDefault="009C11E8" w:rsidP="00AE31F1">
            <w:pPr>
              <w:spacing w:after="0" w:line="240" w:lineRule="auto"/>
              <w:rPr>
                <w:rFonts w:ascii="Times New Roman" w:hAnsi="Times New Roman"/>
                <w:lang w:val="en-US"/>
              </w:rPr>
            </w:pPr>
            <w:r w:rsidRPr="00420C1B">
              <w:rPr>
                <w:rFonts w:ascii="Times New Roman" w:hAnsi="Times New Roman"/>
                <w:lang w:val="en-US" w:eastAsia="fr-FR"/>
              </w:rPr>
              <w:t>Risks and consequences of Gender Based Violence (GBV), including SEA/SH, content of the code of conduct and SEA/SH sensitive management mechanism</w:t>
            </w:r>
          </w:p>
        </w:tc>
        <w:tc>
          <w:tcPr>
            <w:tcW w:w="3424" w:type="dxa"/>
            <w:tcBorders>
              <w:top w:val="single" w:sz="8" w:space="0" w:color="000000"/>
              <w:bottom w:val="single" w:sz="8" w:space="0" w:color="000000"/>
              <w:right w:val="single" w:sz="8" w:space="0" w:color="000000"/>
            </w:tcBorders>
            <w:shd w:val="clear" w:color="auto" w:fill="auto"/>
            <w:vAlign w:val="center"/>
          </w:tcPr>
          <w:p w14:paraId="52AC2199"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Risks and consequences of GBV, including SEA/SH</w:t>
            </w:r>
          </w:p>
          <w:p w14:paraId="3091DCA0"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Content of the code of conduct</w:t>
            </w:r>
          </w:p>
          <w:p w14:paraId="66C9AB22"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SEA/SH risk management</w:t>
            </w:r>
          </w:p>
          <w:p w14:paraId="61B71C5A"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 xml:space="preserve">Accountability framework and SEA/SH response: How it works, guiding principles, survivor-centered approach, etc. </w:t>
            </w:r>
          </w:p>
          <w:p w14:paraId="48C7A334"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 xml:space="preserve">Case management and psychosocial care </w:t>
            </w:r>
          </w:p>
          <w:p w14:paraId="2DCCDB0F"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Conflict management</w:t>
            </w:r>
          </w:p>
          <w:p w14:paraId="26FC87C5"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Awareness techniques for behavioural change</w:t>
            </w:r>
          </w:p>
          <w:p w14:paraId="40F168AF"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Use of communication media</w:t>
            </w:r>
          </w:p>
          <w:p w14:paraId="0849CC6E"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National and international legal texts on GBV</w:t>
            </w:r>
          </w:p>
        </w:tc>
        <w:tc>
          <w:tcPr>
            <w:tcW w:w="3426" w:type="dxa"/>
            <w:tcBorders>
              <w:top w:val="single" w:sz="8" w:space="0" w:color="000000"/>
              <w:bottom w:val="single" w:sz="8" w:space="0" w:color="000000"/>
              <w:right w:val="single" w:sz="8" w:space="0" w:color="000000"/>
            </w:tcBorders>
            <w:shd w:val="clear" w:color="auto" w:fill="auto"/>
            <w:vAlign w:val="center"/>
          </w:tcPr>
          <w:p w14:paraId="12345D0C"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rFonts w:eastAsia="Symbol"/>
                <w:sz w:val="22"/>
                <w:szCs w:val="22"/>
                <w:lang w:val="en-US"/>
              </w:rPr>
              <w:t>Departmental and regional technical and administrative services</w:t>
            </w:r>
          </w:p>
          <w:p w14:paraId="7DE25AF7"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Municipal technical services</w:t>
            </w:r>
          </w:p>
          <w:p w14:paraId="6FC8AC1D"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Women's and youth associations</w:t>
            </w:r>
            <w:r w:rsidRPr="00AE31F1">
              <w:rPr>
                <w:rFonts w:eastAsia="Symbol"/>
                <w:sz w:val="22"/>
                <w:szCs w:val="22"/>
                <w:lang w:val="en-US"/>
              </w:rPr>
              <w:t>, SMEs</w:t>
            </w:r>
            <w:r w:rsidRPr="00AE31F1">
              <w:rPr>
                <w:sz w:val="22"/>
                <w:szCs w:val="22"/>
                <w:lang w:val="en-US"/>
              </w:rPr>
              <w:t>.</w:t>
            </w:r>
          </w:p>
          <w:p w14:paraId="007FD471" w14:textId="77777777" w:rsidR="009C11E8" w:rsidRPr="00420C1B" w:rsidRDefault="009C11E8" w:rsidP="00AE31F1">
            <w:pPr>
              <w:spacing w:after="0" w:line="240" w:lineRule="auto"/>
              <w:ind w:left="249" w:hanging="249"/>
              <w:rPr>
                <w:rFonts w:ascii="Times New Roman" w:hAnsi="Times New Roman"/>
                <w:lang w:val="en-US" w:eastAsia="fr-FR"/>
              </w:rPr>
            </w:pPr>
          </w:p>
        </w:tc>
      </w:tr>
      <w:tr w:rsidR="00AE31F1" w:rsidRPr="00F933DF" w14:paraId="320CF87E" w14:textId="77777777" w:rsidTr="00931D29">
        <w:trPr>
          <w:trHeight w:val="436"/>
          <w:jc w:val="center"/>
        </w:trPr>
        <w:tc>
          <w:tcPr>
            <w:tcW w:w="529" w:type="dxa"/>
            <w:tcBorders>
              <w:left w:val="single" w:sz="8" w:space="0" w:color="000000"/>
              <w:bottom w:val="single" w:sz="8" w:space="0" w:color="000000"/>
              <w:right w:val="single" w:sz="8" w:space="0" w:color="000000"/>
            </w:tcBorders>
            <w:shd w:val="clear" w:color="auto" w:fill="auto"/>
            <w:vAlign w:val="center"/>
          </w:tcPr>
          <w:p w14:paraId="4B2E5694" w14:textId="77777777" w:rsidR="009C11E8" w:rsidRPr="00420C1B" w:rsidRDefault="009C11E8" w:rsidP="00AE31F1">
            <w:pPr>
              <w:spacing w:after="0" w:line="240" w:lineRule="auto"/>
              <w:jc w:val="center"/>
              <w:rPr>
                <w:rFonts w:ascii="Times New Roman" w:hAnsi="Times New Roman"/>
              </w:rPr>
            </w:pPr>
            <w:r w:rsidRPr="00420C1B">
              <w:rPr>
                <w:rFonts w:ascii="Times New Roman" w:hAnsi="Times New Roman"/>
                <w:b/>
                <w:bCs/>
                <w:lang w:eastAsia="fr-FR"/>
              </w:rPr>
              <w:t>4</w:t>
            </w:r>
          </w:p>
        </w:tc>
        <w:tc>
          <w:tcPr>
            <w:tcW w:w="187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BC3FD6" w14:textId="77777777" w:rsidR="009C11E8" w:rsidRPr="00420C1B" w:rsidRDefault="009C11E8" w:rsidP="00AE31F1">
            <w:pPr>
              <w:spacing w:after="0" w:line="240" w:lineRule="auto"/>
              <w:rPr>
                <w:rFonts w:ascii="Times New Roman" w:hAnsi="Times New Roman"/>
                <w:lang w:val="en-US"/>
              </w:rPr>
            </w:pPr>
            <w:r w:rsidRPr="00420C1B">
              <w:rPr>
                <w:rFonts w:ascii="Times New Roman" w:hAnsi="Times New Roman"/>
                <w:lang w:val="en-US" w:eastAsia="fr-FR"/>
              </w:rPr>
              <w:t xml:space="preserve">Introduction to Risk and Disaster Management (DRM)  </w:t>
            </w:r>
          </w:p>
        </w:tc>
        <w:tc>
          <w:tcPr>
            <w:tcW w:w="3424" w:type="dxa"/>
            <w:tcBorders>
              <w:top w:val="single" w:sz="8" w:space="0" w:color="000000"/>
              <w:bottom w:val="single" w:sz="8" w:space="0" w:color="000000"/>
              <w:right w:val="single" w:sz="8" w:space="0" w:color="000000"/>
            </w:tcBorders>
            <w:shd w:val="clear" w:color="auto" w:fill="auto"/>
            <w:vAlign w:val="center"/>
          </w:tcPr>
          <w:p w14:paraId="0FE9C6F1"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Types of disasters</w:t>
            </w:r>
          </w:p>
          <w:p w14:paraId="1681C8FF"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Energy disaster management</w:t>
            </w:r>
          </w:p>
        </w:tc>
        <w:tc>
          <w:tcPr>
            <w:tcW w:w="342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089005"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rFonts w:eastAsia="Symbol"/>
                <w:sz w:val="22"/>
                <w:szCs w:val="22"/>
                <w:lang w:val="en-US"/>
              </w:rPr>
              <w:t>PCU, Departmental and Regional Technical and Administrative Services</w:t>
            </w:r>
          </w:p>
          <w:p w14:paraId="3F89B7D4" w14:textId="77777777" w:rsidR="009C11E8" w:rsidRPr="00AE31F1" w:rsidRDefault="009C11E8" w:rsidP="00AE31F1">
            <w:pPr>
              <w:pStyle w:val="Paragraphedeliste1"/>
              <w:numPr>
                <w:ilvl w:val="0"/>
                <w:numId w:val="350"/>
              </w:numPr>
              <w:ind w:left="249" w:hanging="249"/>
              <w:contextualSpacing/>
              <w:rPr>
                <w:sz w:val="22"/>
                <w:szCs w:val="22"/>
              </w:rPr>
            </w:pPr>
            <w:r w:rsidRPr="00AE31F1">
              <w:rPr>
                <w:sz w:val="22"/>
                <w:szCs w:val="22"/>
              </w:rPr>
              <w:t>Municipal technical services</w:t>
            </w:r>
          </w:p>
          <w:p w14:paraId="215E19B5" w14:textId="77777777" w:rsidR="009C11E8" w:rsidRPr="00AE31F1" w:rsidRDefault="009C11E8" w:rsidP="00AE31F1">
            <w:pPr>
              <w:pStyle w:val="Paragraphedeliste1"/>
              <w:numPr>
                <w:ilvl w:val="0"/>
                <w:numId w:val="350"/>
              </w:numPr>
              <w:ind w:left="249" w:hanging="249"/>
              <w:contextualSpacing/>
              <w:rPr>
                <w:sz w:val="22"/>
                <w:szCs w:val="22"/>
                <w:lang w:val="en-US"/>
              </w:rPr>
            </w:pPr>
            <w:r w:rsidRPr="00AE31F1">
              <w:rPr>
                <w:sz w:val="22"/>
                <w:szCs w:val="22"/>
                <w:lang w:val="en-US"/>
              </w:rPr>
              <w:t xml:space="preserve">Women's and youth associations, </w:t>
            </w:r>
            <w:r w:rsidRPr="00AE31F1">
              <w:rPr>
                <w:rFonts w:eastAsia="Symbol"/>
                <w:sz w:val="22"/>
                <w:szCs w:val="22"/>
                <w:lang w:val="en-US"/>
              </w:rPr>
              <w:t>SMEs</w:t>
            </w:r>
            <w:r w:rsidRPr="00AE31F1">
              <w:rPr>
                <w:sz w:val="22"/>
                <w:szCs w:val="22"/>
                <w:lang w:val="en-US"/>
              </w:rPr>
              <w:t>, CEA</w:t>
            </w:r>
          </w:p>
        </w:tc>
      </w:tr>
    </w:tbl>
    <w:p w14:paraId="36A5B50B" w14:textId="77777777" w:rsidR="009C11E8" w:rsidRPr="00AE31F1" w:rsidRDefault="009C11E8" w:rsidP="00215867">
      <w:pPr>
        <w:numPr>
          <w:ilvl w:val="0"/>
          <w:numId w:val="345"/>
        </w:numPr>
        <w:suppressAutoHyphens/>
        <w:spacing w:before="120" w:after="120" w:line="240" w:lineRule="auto"/>
        <w:ind w:left="0" w:firstLine="142"/>
        <w:jc w:val="both"/>
        <w:rPr>
          <w:rFonts w:ascii="Times New Roman" w:hAnsi="Times New Roman"/>
          <w:sz w:val="24"/>
          <w:szCs w:val="24"/>
          <w:lang w:val="en-US"/>
        </w:rPr>
      </w:pPr>
      <w:r w:rsidRPr="00AE31F1">
        <w:rPr>
          <w:rFonts w:ascii="Times New Roman" w:eastAsia="Arial Unicode MS" w:hAnsi="Times New Roman"/>
          <w:b/>
          <w:sz w:val="24"/>
          <w:szCs w:val="24"/>
          <w:u w:val="single"/>
          <w:lang w:val="en-US" w:eastAsia="fr-FR"/>
        </w:rPr>
        <w:t>Estimated overall budget for the ESMP</w:t>
      </w:r>
    </w:p>
    <w:p w14:paraId="0E1F347A" w14:textId="1F2C1577" w:rsidR="009C11E8" w:rsidRPr="00AE31F1" w:rsidRDefault="009C11E8"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The implementation of the ESMP is estimated at US$</w:t>
      </w:r>
      <w:r w:rsidR="00CB0941" w:rsidRPr="00AE31F1">
        <w:rPr>
          <w:rFonts w:ascii="Times New Roman" w:hAnsi="Times New Roman"/>
          <w:sz w:val="24"/>
          <w:szCs w:val="24"/>
          <w:lang w:val="en-US"/>
        </w:rPr>
        <w:t xml:space="preserve"> 200050</w:t>
      </w:r>
      <w:r w:rsidRPr="00AE31F1">
        <w:rPr>
          <w:rFonts w:ascii="Times New Roman" w:hAnsi="Times New Roman"/>
          <w:sz w:val="24"/>
          <w:szCs w:val="24"/>
          <w:lang w:val="en-US"/>
        </w:rPr>
        <w:t xml:space="preserve">, of which </w:t>
      </w:r>
      <w:r w:rsidRPr="00AE31F1">
        <w:rPr>
          <w:rFonts w:ascii="Times New Roman" w:eastAsia="Times New Roman" w:hAnsi="Times New Roman"/>
          <w:bCs/>
          <w:sz w:val="24"/>
          <w:szCs w:val="24"/>
          <w:lang w:val="en-US" w:eastAsia="fr-FR"/>
        </w:rPr>
        <w:t>US$</w:t>
      </w:r>
      <w:r w:rsidR="00CB0941" w:rsidRPr="00AE31F1">
        <w:rPr>
          <w:rFonts w:ascii="Times New Roman" w:eastAsia="Times New Roman" w:hAnsi="Times New Roman"/>
          <w:bCs/>
          <w:sz w:val="24"/>
          <w:szCs w:val="24"/>
          <w:lang w:val="en-US" w:eastAsia="fr-FR"/>
        </w:rPr>
        <w:t>141 300</w:t>
      </w:r>
      <w:r w:rsidRPr="00AE31F1">
        <w:rPr>
          <w:rFonts w:ascii="Times New Roman" w:eastAsia="Times New Roman" w:hAnsi="Times New Roman"/>
          <w:b/>
          <w:bCs/>
          <w:sz w:val="24"/>
          <w:szCs w:val="24"/>
          <w:lang w:val="en-US" w:eastAsia="fr-FR"/>
        </w:rPr>
        <w:t xml:space="preserve"> is </w:t>
      </w:r>
      <w:r w:rsidRPr="00AE31F1">
        <w:rPr>
          <w:rFonts w:ascii="Times New Roman" w:eastAsia="Times New Roman" w:hAnsi="Times New Roman"/>
          <w:bCs/>
          <w:sz w:val="24"/>
          <w:szCs w:val="24"/>
          <w:lang w:val="en-US" w:eastAsia="fr-FR"/>
        </w:rPr>
        <w:t xml:space="preserve">covered by the project </w:t>
      </w:r>
      <w:r w:rsidRPr="00215867">
        <w:rPr>
          <w:rFonts w:ascii="Times New Roman" w:hAnsi="Times New Roman"/>
          <w:sz w:val="24"/>
          <w:szCs w:val="24"/>
          <w:lang w:val="en-US"/>
        </w:rPr>
        <w:t>and</w:t>
      </w:r>
      <w:r w:rsidRPr="00AE31F1">
        <w:rPr>
          <w:rFonts w:ascii="Times New Roman" w:eastAsia="Times New Roman" w:hAnsi="Times New Roman"/>
          <w:bCs/>
          <w:sz w:val="24"/>
          <w:szCs w:val="24"/>
          <w:lang w:val="en-US" w:eastAsia="fr-FR"/>
        </w:rPr>
        <w:t xml:space="preserve"> US$</w:t>
      </w:r>
      <w:r w:rsidR="00CB0941" w:rsidRPr="00AE31F1">
        <w:rPr>
          <w:rFonts w:ascii="Times New Roman" w:eastAsia="Times New Roman" w:hAnsi="Times New Roman"/>
          <w:bCs/>
          <w:sz w:val="24"/>
          <w:szCs w:val="24"/>
          <w:lang w:val="en-US" w:eastAsia="fr-FR"/>
        </w:rPr>
        <w:t>64 750</w:t>
      </w:r>
      <w:r w:rsidRPr="00AE31F1">
        <w:rPr>
          <w:rFonts w:ascii="Times New Roman" w:eastAsia="Times New Roman" w:hAnsi="Times New Roman"/>
          <w:b/>
          <w:bCs/>
          <w:sz w:val="24"/>
          <w:szCs w:val="24"/>
          <w:lang w:val="en-US" w:eastAsia="fr-FR"/>
        </w:rPr>
        <w:t xml:space="preserve"> by the </w:t>
      </w:r>
      <w:r w:rsidRPr="00AE31F1">
        <w:rPr>
          <w:rFonts w:ascii="Times New Roman" w:eastAsia="Times New Roman" w:hAnsi="Times New Roman"/>
          <w:bCs/>
          <w:sz w:val="24"/>
          <w:szCs w:val="24"/>
          <w:lang w:val="en-US" w:eastAsia="fr-FR"/>
        </w:rPr>
        <w:t>company</w:t>
      </w:r>
      <w:r w:rsidRPr="00AE31F1">
        <w:rPr>
          <w:rFonts w:ascii="Times New Roman" w:eastAsia="Times New Roman" w:hAnsi="Times New Roman"/>
          <w:sz w:val="24"/>
          <w:szCs w:val="24"/>
          <w:lang w:val="en-US" w:eastAsia="fr-FR"/>
        </w:rPr>
        <w:t xml:space="preserve">. The table below presents the budget for the implementation of the ESMP.  </w:t>
      </w:r>
    </w:p>
    <w:tbl>
      <w:tblPr>
        <w:tblW w:w="9380" w:type="dxa"/>
        <w:jc w:val="center"/>
        <w:tblLayout w:type="fixed"/>
        <w:tblCellMar>
          <w:left w:w="70" w:type="dxa"/>
          <w:right w:w="70" w:type="dxa"/>
        </w:tblCellMar>
        <w:tblLook w:val="0000" w:firstRow="0" w:lastRow="0" w:firstColumn="0" w:lastColumn="0" w:noHBand="0" w:noVBand="0"/>
      </w:tblPr>
      <w:tblGrid>
        <w:gridCol w:w="628"/>
        <w:gridCol w:w="1976"/>
        <w:gridCol w:w="739"/>
        <w:gridCol w:w="1132"/>
        <w:gridCol w:w="1134"/>
        <w:gridCol w:w="1143"/>
        <w:gridCol w:w="1276"/>
        <w:gridCol w:w="1352"/>
      </w:tblGrid>
      <w:tr w:rsidR="00AE31F1" w:rsidRPr="00420C1B" w14:paraId="5D4D85B5" w14:textId="77777777" w:rsidTr="00CB0941">
        <w:trPr>
          <w:trHeight w:val="62"/>
          <w:tblHeader/>
          <w:jc w:val="center"/>
        </w:trPr>
        <w:tc>
          <w:tcPr>
            <w:tcW w:w="628"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5E2CD8C0" w14:textId="77777777" w:rsidR="009C11E8" w:rsidRPr="00420C1B" w:rsidRDefault="009C11E8"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FDI code</w:t>
            </w:r>
          </w:p>
        </w:tc>
        <w:tc>
          <w:tcPr>
            <w:tcW w:w="1976" w:type="dxa"/>
            <w:tcBorders>
              <w:top w:val="single" w:sz="8" w:space="0" w:color="000000"/>
              <w:bottom w:val="single" w:sz="8" w:space="0" w:color="000000"/>
              <w:right w:val="single" w:sz="8" w:space="0" w:color="000000"/>
            </w:tcBorders>
            <w:shd w:val="clear" w:color="auto" w:fill="A8D08D"/>
            <w:vAlign w:val="center"/>
          </w:tcPr>
          <w:p w14:paraId="798432EF" w14:textId="77777777" w:rsidR="009C11E8" w:rsidRPr="00420C1B" w:rsidRDefault="009C11E8" w:rsidP="00AE31F1">
            <w:pPr>
              <w:spacing w:after="0" w:line="240" w:lineRule="auto"/>
              <w:rPr>
                <w:rFonts w:ascii="Times New Roman" w:hAnsi="Times New Roman"/>
              </w:rPr>
            </w:pPr>
            <w:r w:rsidRPr="00AE31F1">
              <w:rPr>
                <w:rFonts w:ascii="Times New Roman" w:eastAsia="Times New Roman" w:hAnsi="Times New Roman"/>
                <w:b/>
                <w:bCs/>
                <w:lang w:eastAsia="fr-FR"/>
              </w:rPr>
              <w:t>Mitigation measures</w:t>
            </w:r>
          </w:p>
        </w:tc>
        <w:tc>
          <w:tcPr>
            <w:tcW w:w="739" w:type="dxa"/>
            <w:tcBorders>
              <w:top w:val="single" w:sz="8" w:space="0" w:color="000000"/>
              <w:bottom w:val="single" w:sz="8" w:space="0" w:color="000000"/>
              <w:right w:val="single" w:sz="4" w:space="0" w:color="000000"/>
            </w:tcBorders>
            <w:shd w:val="clear" w:color="auto" w:fill="A8D08D"/>
            <w:vAlign w:val="center"/>
          </w:tcPr>
          <w:p w14:paraId="5FA2FE52" w14:textId="77777777" w:rsidR="009C11E8" w:rsidRPr="00420C1B" w:rsidRDefault="009C11E8"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Units</w:t>
            </w:r>
          </w:p>
        </w:tc>
        <w:tc>
          <w:tcPr>
            <w:tcW w:w="1132" w:type="dxa"/>
            <w:tcBorders>
              <w:top w:val="single" w:sz="8" w:space="0" w:color="000000"/>
              <w:left w:val="single" w:sz="4" w:space="0" w:color="000000"/>
              <w:bottom w:val="single" w:sz="8" w:space="0" w:color="000000"/>
              <w:right w:val="single" w:sz="4" w:space="0" w:color="000000"/>
            </w:tcBorders>
            <w:shd w:val="clear" w:color="auto" w:fill="A8D08D"/>
            <w:vAlign w:val="center"/>
          </w:tcPr>
          <w:p w14:paraId="0B03879A" w14:textId="77777777" w:rsidR="009C11E8" w:rsidRPr="00420C1B" w:rsidRDefault="009C11E8" w:rsidP="00AE31F1">
            <w:pPr>
              <w:spacing w:after="0" w:line="240" w:lineRule="auto"/>
              <w:jc w:val="center"/>
              <w:rPr>
                <w:rFonts w:ascii="Times New Roman" w:hAnsi="Times New Roman"/>
              </w:rPr>
            </w:pPr>
            <w:r w:rsidRPr="00420C1B">
              <w:rPr>
                <w:rFonts w:ascii="Times New Roman" w:hAnsi="Times New Roman"/>
                <w:b/>
                <w:bCs/>
                <w:lang w:eastAsia="fr-FR"/>
              </w:rPr>
              <w:t>Quantities</w:t>
            </w:r>
          </w:p>
        </w:tc>
        <w:tc>
          <w:tcPr>
            <w:tcW w:w="1134" w:type="dxa"/>
            <w:tcBorders>
              <w:top w:val="single" w:sz="8" w:space="0" w:color="000000"/>
              <w:left w:val="single" w:sz="4" w:space="0" w:color="000000"/>
              <w:bottom w:val="single" w:sz="8" w:space="0" w:color="000000"/>
              <w:right w:val="single" w:sz="8" w:space="0" w:color="000000"/>
            </w:tcBorders>
            <w:shd w:val="clear" w:color="auto" w:fill="A8D08D"/>
            <w:vAlign w:val="center"/>
          </w:tcPr>
          <w:p w14:paraId="2175E36F" w14:textId="77777777" w:rsidR="009C11E8" w:rsidRPr="00420C1B" w:rsidRDefault="009C11E8" w:rsidP="00AE31F1">
            <w:pPr>
              <w:spacing w:after="0" w:line="240" w:lineRule="auto"/>
              <w:jc w:val="center"/>
              <w:rPr>
                <w:rFonts w:ascii="Times New Roman" w:hAnsi="Times New Roman"/>
              </w:rPr>
            </w:pPr>
            <w:r w:rsidRPr="00420C1B">
              <w:rPr>
                <w:rFonts w:ascii="Times New Roman" w:hAnsi="Times New Roman"/>
                <w:b/>
                <w:bCs/>
                <w:lang w:eastAsia="fr-FR"/>
              </w:rPr>
              <w:t>Unit costs in $.</w:t>
            </w:r>
          </w:p>
        </w:tc>
        <w:tc>
          <w:tcPr>
            <w:tcW w:w="1143" w:type="dxa"/>
            <w:tcBorders>
              <w:top w:val="single" w:sz="8" w:space="0" w:color="000000"/>
              <w:bottom w:val="single" w:sz="8" w:space="0" w:color="000000"/>
              <w:right w:val="single" w:sz="8" w:space="0" w:color="000000"/>
            </w:tcBorders>
            <w:shd w:val="clear" w:color="auto" w:fill="A8D08D"/>
            <w:vAlign w:val="center"/>
          </w:tcPr>
          <w:p w14:paraId="42A2CD8D" w14:textId="77777777" w:rsidR="009C11E8" w:rsidRPr="00420C1B" w:rsidRDefault="009C11E8" w:rsidP="00AE31F1">
            <w:pPr>
              <w:spacing w:after="0" w:line="240" w:lineRule="auto"/>
              <w:jc w:val="center"/>
              <w:rPr>
                <w:rFonts w:ascii="Times New Roman" w:hAnsi="Times New Roman"/>
              </w:rPr>
            </w:pPr>
            <w:r w:rsidRPr="00420C1B">
              <w:rPr>
                <w:rFonts w:ascii="Times New Roman" w:hAnsi="Times New Roman"/>
                <w:b/>
                <w:bCs/>
                <w:lang w:eastAsia="fr-FR"/>
              </w:rPr>
              <w:t>Company in $</w:t>
            </w:r>
          </w:p>
        </w:tc>
        <w:tc>
          <w:tcPr>
            <w:tcW w:w="1276" w:type="dxa"/>
            <w:tcBorders>
              <w:top w:val="single" w:sz="8" w:space="0" w:color="000000"/>
              <w:bottom w:val="single" w:sz="8" w:space="0" w:color="000000"/>
              <w:right w:val="single" w:sz="8" w:space="0" w:color="000000"/>
            </w:tcBorders>
            <w:shd w:val="clear" w:color="auto" w:fill="A8D08D"/>
            <w:vAlign w:val="center"/>
          </w:tcPr>
          <w:p w14:paraId="7AB464D9" w14:textId="77777777" w:rsidR="009C11E8" w:rsidRPr="00420C1B" w:rsidRDefault="009C11E8"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Project</w:t>
            </w:r>
          </w:p>
        </w:tc>
        <w:tc>
          <w:tcPr>
            <w:tcW w:w="1352" w:type="dxa"/>
            <w:tcBorders>
              <w:top w:val="single" w:sz="8" w:space="0" w:color="000000"/>
              <w:bottom w:val="single" w:sz="8" w:space="0" w:color="000000"/>
              <w:right w:val="single" w:sz="8" w:space="0" w:color="000000"/>
            </w:tcBorders>
            <w:shd w:val="clear" w:color="auto" w:fill="A8D08D"/>
            <w:vAlign w:val="center"/>
          </w:tcPr>
          <w:p w14:paraId="758DD5BC" w14:textId="77777777" w:rsidR="009C11E8" w:rsidRPr="00420C1B" w:rsidRDefault="009C11E8"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TOTAL</w:t>
            </w:r>
          </w:p>
        </w:tc>
      </w:tr>
      <w:tr w:rsidR="00AE31F1" w:rsidRPr="00420C1B" w14:paraId="183B6A1A" w14:textId="77777777" w:rsidTr="00CB0941">
        <w:trPr>
          <w:trHeight w:val="552"/>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020F46B3" w14:textId="77777777" w:rsidR="00CB0941" w:rsidRPr="00420C1B" w:rsidRDefault="00CB0941" w:rsidP="00AE31F1">
            <w:pPr>
              <w:spacing w:after="0" w:line="240" w:lineRule="auto"/>
              <w:rPr>
                <w:rFonts w:ascii="Times New Roman" w:hAnsi="Times New Roman"/>
              </w:rPr>
            </w:pPr>
            <w:r w:rsidRPr="00AE31F1">
              <w:rPr>
                <w:rFonts w:ascii="Times New Roman" w:eastAsia="Times New Roman" w:hAnsi="Times New Roman"/>
                <w:b/>
                <w:bCs/>
                <w:lang w:eastAsia="fr-FR"/>
              </w:rPr>
              <w:t xml:space="preserve">Subtotal environmental plans </w:t>
            </w:r>
          </w:p>
        </w:tc>
        <w:tc>
          <w:tcPr>
            <w:tcW w:w="739" w:type="dxa"/>
            <w:tcBorders>
              <w:bottom w:val="single" w:sz="8" w:space="0" w:color="000000"/>
              <w:right w:val="single" w:sz="4" w:space="0" w:color="000000"/>
            </w:tcBorders>
            <w:shd w:val="clear" w:color="auto" w:fill="auto"/>
            <w:vAlign w:val="center"/>
          </w:tcPr>
          <w:p w14:paraId="1F18019E" w14:textId="77777777"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 </w:t>
            </w:r>
          </w:p>
        </w:tc>
        <w:tc>
          <w:tcPr>
            <w:tcW w:w="1132" w:type="dxa"/>
            <w:tcBorders>
              <w:left w:val="single" w:sz="4" w:space="0" w:color="000000"/>
              <w:bottom w:val="single" w:sz="8" w:space="0" w:color="000000"/>
              <w:right w:val="single" w:sz="4" w:space="0" w:color="000000"/>
            </w:tcBorders>
            <w:shd w:val="clear" w:color="auto" w:fill="auto"/>
            <w:vAlign w:val="center"/>
          </w:tcPr>
          <w:p w14:paraId="7702D3E7" w14:textId="39879269"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 </w:t>
            </w:r>
          </w:p>
        </w:tc>
        <w:tc>
          <w:tcPr>
            <w:tcW w:w="1134" w:type="dxa"/>
            <w:tcBorders>
              <w:left w:val="single" w:sz="4" w:space="0" w:color="000000"/>
              <w:bottom w:val="single" w:sz="8" w:space="0" w:color="000000"/>
              <w:right w:val="single" w:sz="4" w:space="0" w:color="000000"/>
            </w:tcBorders>
            <w:shd w:val="clear" w:color="auto" w:fill="auto"/>
            <w:vAlign w:val="center"/>
          </w:tcPr>
          <w:p w14:paraId="42883D07" w14:textId="63449456"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 </w:t>
            </w:r>
          </w:p>
        </w:tc>
        <w:tc>
          <w:tcPr>
            <w:tcW w:w="1143" w:type="dxa"/>
            <w:tcBorders>
              <w:left w:val="single" w:sz="4" w:space="0" w:color="000000"/>
              <w:bottom w:val="single" w:sz="8" w:space="0" w:color="000000"/>
              <w:right w:val="single" w:sz="8" w:space="0" w:color="000000"/>
            </w:tcBorders>
            <w:shd w:val="clear" w:color="auto" w:fill="auto"/>
            <w:vAlign w:val="center"/>
          </w:tcPr>
          <w:p w14:paraId="7F9A15F9" w14:textId="47FAA19B"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33 750</w:t>
            </w:r>
          </w:p>
        </w:tc>
        <w:tc>
          <w:tcPr>
            <w:tcW w:w="1276" w:type="dxa"/>
            <w:tcBorders>
              <w:bottom w:val="single" w:sz="8" w:space="0" w:color="000000"/>
              <w:right w:val="single" w:sz="8" w:space="0" w:color="000000"/>
            </w:tcBorders>
            <w:shd w:val="clear" w:color="auto" w:fill="auto"/>
            <w:vAlign w:val="center"/>
          </w:tcPr>
          <w:p w14:paraId="5549E8E4" w14:textId="7D18F87E"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48 000</w:t>
            </w:r>
          </w:p>
        </w:tc>
        <w:tc>
          <w:tcPr>
            <w:tcW w:w="1352" w:type="dxa"/>
            <w:tcBorders>
              <w:bottom w:val="single" w:sz="8" w:space="0" w:color="000000"/>
              <w:right w:val="single" w:sz="8" w:space="0" w:color="000000"/>
            </w:tcBorders>
            <w:shd w:val="clear" w:color="auto" w:fill="auto"/>
            <w:vAlign w:val="center"/>
          </w:tcPr>
          <w:p w14:paraId="0F78615A" w14:textId="5EDA54D8"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81 750</w:t>
            </w:r>
          </w:p>
        </w:tc>
      </w:tr>
      <w:tr w:rsidR="00AE31F1" w:rsidRPr="00420C1B" w14:paraId="30F2BF63" w14:textId="77777777" w:rsidTr="00CB0941">
        <w:trPr>
          <w:trHeight w:val="300"/>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A6227F6" w14:textId="77777777" w:rsidR="00CB0941" w:rsidRPr="00420C1B" w:rsidRDefault="00CB0941" w:rsidP="00AE31F1">
            <w:pPr>
              <w:spacing w:after="0" w:line="240" w:lineRule="auto"/>
              <w:rPr>
                <w:rFonts w:ascii="Times New Roman" w:hAnsi="Times New Roman"/>
              </w:rPr>
            </w:pPr>
            <w:r w:rsidRPr="00AE31F1">
              <w:rPr>
                <w:rFonts w:ascii="Times New Roman" w:eastAsia="Times New Roman" w:hAnsi="Times New Roman"/>
                <w:b/>
                <w:bCs/>
                <w:lang w:eastAsia="fr-FR"/>
              </w:rPr>
              <w:t>Subtotal social plan</w:t>
            </w:r>
          </w:p>
        </w:tc>
        <w:tc>
          <w:tcPr>
            <w:tcW w:w="739" w:type="dxa"/>
            <w:tcBorders>
              <w:bottom w:val="single" w:sz="8" w:space="0" w:color="000000"/>
              <w:right w:val="single" w:sz="8" w:space="0" w:color="000000"/>
            </w:tcBorders>
            <w:shd w:val="clear" w:color="auto" w:fill="auto"/>
            <w:vAlign w:val="center"/>
          </w:tcPr>
          <w:p w14:paraId="62A3CAE7" w14:textId="77777777" w:rsidR="00CB0941" w:rsidRPr="00420C1B" w:rsidRDefault="00CB0941" w:rsidP="00AE31F1">
            <w:pPr>
              <w:spacing w:after="0" w:line="240" w:lineRule="auto"/>
              <w:jc w:val="center"/>
              <w:rPr>
                <w:rFonts w:ascii="Times New Roman" w:hAnsi="Times New Roman"/>
              </w:rPr>
            </w:pPr>
            <w:r w:rsidRPr="00420C1B">
              <w:rPr>
                <w:rFonts w:ascii="Times New Roman" w:hAnsi="Times New Roman"/>
                <w:b/>
                <w:bCs/>
                <w:lang w:eastAsia="fr-FR"/>
              </w:rPr>
              <w:t> </w:t>
            </w:r>
          </w:p>
        </w:tc>
        <w:tc>
          <w:tcPr>
            <w:tcW w:w="1132" w:type="dxa"/>
            <w:tcBorders>
              <w:bottom w:val="single" w:sz="8" w:space="0" w:color="000000"/>
              <w:right w:val="single" w:sz="8" w:space="0" w:color="000000"/>
            </w:tcBorders>
            <w:shd w:val="clear" w:color="auto" w:fill="auto"/>
            <w:vAlign w:val="center"/>
          </w:tcPr>
          <w:p w14:paraId="40ABE525" w14:textId="092E72E1" w:rsidR="00CB0941" w:rsidRPr="00420C1B" w:rsidRDefault="00CB0941" w:rsidP="00AE31F1">
            <w:pPr>
              <w:spacing w:after="0" w:line="240" w:lineRule="auto"/>
              <w:jc w:val="center"/>
              <w:rPr>
                <w:rFonts w:ascii="Times New Roman" w:hAnsi="Times New Roman"/>
              </w:rPr>
            </w:pPr>
            <w:r w:rsidRPr="00AE31F1">
              <w:rPr>
                <w:rFonts w:ascii="Times New Roman" w:hAnsi="Times New Roman"/>
                <w:b/>
                <w:bCs/>
                <w:lang w:eastAsia="fr-FR"/>
              </w:rPr>
              <w:t> </w:t>
            </w:r>
          </w:p>
        </w:tc>
        <w:tc>
          <w:tcPr>
            <w:tcW w:w="1134" w:type="dxa"/>
            <w:tcBorders>
              <w:left w:val="single" w:sz="4" w:space="0" w:color="000000"/>
              <w:bottom w:val="single" w:sz="8" w:space="0" w:color="000000"/>
              <w:right w:val="single" w:sz="8" w:space="0" w:color="000000"/>
            </w:tcBorders>
            <w:shd w:val="clear" w:color="auto" w:fill="auto"/>
            <w:vAlign w:val="center"/>
          </w:tcPr>
          <w:p w14:paraId="1D82A57E" w14:textId="6D6CA587" w:rsidR="00CB0941" w:rsidRPr="00420C1B" w:rsidRDefault="00CB0941" w:rsidP="00AE31F1">
            <w:pPr>
              <w:spacing w:after="0" w:line="240" w:lineRule="auto"/>
              <w:jc w:val="center"/>
              <w:rPr>
                <w:rFonts w:ascii="Times New Roman" w:hAnsi="Times New Roman"/>
              </w:rPr>
            </w:pPr>
            <w:r w:rsidRPr="00AE31F1">
              <w:rPr>
                <w:rFonts w:ascii="Times New Roman" w:hAnsi="Times New Roman"/>
                <w:b/>
                <w:bCs/>
                <w:lang w:eastAsia="fr-FR"/>
              </w:rPr>
              <w:t> </w:t>
            </w:r>
          </w:p>
        </w:tc>
        <w:tc>
          <w:tcPr>
            <w:tcW w:w="1143" w:type="dxa"/>
            <w:tcBorders>
              <w:bottom w:val="single" w:sz="8" w:space="0" w:color="000000"/>
              <w:right w:val="single" w:sz="8" w:space="0" w:color="000000"/>
            </w:tcBorders>
            <w:shd w:val="clear" w:color="auto" w:fill="auto"/>
            <w:vAlign w:val="center"/>
          </w:tcPr>
          <w:p w14:paraId="38139F93" w14:textId="1E994F31"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31000</w:t>
            </w:r>
          </w:p>
        </w:tc>
        <w:tc>
          <w:tcPr>
            <w:tcW w:w="1276" w:type="dxa"/>
            <w:tcBorders>
              <w:bottom w:val="single" w:sz="8" w:space="0" w:color="000000"/>
              <w:right w:val="single" w:sz="8" w:space="0" w:color="000000"/>
            </w:tcBorders>
            <w:shd w:val="clear" w:color="auto" w:fill="auto"/>
            <w:vAlign w:val="center"/>
          </w:tcPr>
          <w:p w14:paraId="63DDAB35" w14:textId="114080A4"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7000</w:t>
            </w:r>
          </w:p>
        </w:tc>
        <w:tc>
          <w:tcPr>
            <w:tcW w:w="1352" w:type="dxa"/>
            <w:tcBorders>
              <w:bottom w:val="single" w:sz="8" w:space="0" w:color="000000"/>
              <w:right w:val="single" w:sz="8" w:space="0" w:color="000000"/>
            </w:tcBorders>
            <w:shd w:val="clear" w:color="auto" w:fill="auto"/>
            <w:vAlign w:val="center"/>
          </w:tcPr>
          <w:p w14:paraId="49FE042B" w14:textId="2BF1A29E"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38000</w:t>
            </w:r>
          </w:p>
        </w:tc>
      </w:tr>
      <w:tr w:rsidR="00AE31F1" w:rsidRPr="00420C1B" w14:paraId="383041BB" w14:textId="77777777" w:rsidTr="00CB0941">
        <w:trPr>
          <w:trHeight w:val="48"/>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6BA503AA" w14:textId="77777777" w:rsidR="00CB0941" w:rsidRPr="00420C1B" w:rsidRDefault="00CB0941" w:rsidP="00AE31F1">
            <w:pPr>
              <w:spacing w:after="0" w:line="240" w:lineRule="auto"/>
              <w:jc w:val="both"/>
              <w:rPr>
                <w:rFonts w:ascii="Times New Roman" w:hAnsi="Times New Roman"/>
                <w:lang w:val="en-US"/>
              </w:rPr>
            </w:pPr>
            <w:r w:rsidRPr="00AE31F1">
              <w:rPr>
                <w:rFonts w:ascii="Times New Roman" w:eastAsia="Times New Roman" w:hAnsi="Times New Roman"/>
                <w:lang w:val="en-US" w:eastAsia="fr-FR"/>
              </w:rPr>
              <w:t>Environmental monitoring program during construction and operation</w:t>
            </w:r>
          </w:p>
        </w:tc>
        <w:tc>
          <w:tcPr>
            <w:tcW w:w="739" w:type="dxa"/>
            <w:tcBorders>
              <w:bottom w:val="single" w:sz="8" w:space="0" w:color="000000"/>
              <w:right w:val="single" w:sz="8" w:space="0" w:color="000000"/>
            </w:tcBorders>
            <w:shd w:val="clear" w:color="auto" w:fill="auto"/>
            <w:vAlign w:val="center"/>
          </w:tcPr>
          <w:p w14:paraId="348A94A2" w14:textId="77777777"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FF</w:t>
            </w:r>
          </w:p>
        </w:tc>
        <w:tc>
          <w:tcPr>
            <w:tcW w:w="1132" w:type="dxa"/>
            <w:tcBorders>
              <w:bottom w:val="single" w:sz="8" w:space="0" w:color="000000"/>
              <w:right w:val="single" w:sz="8" w:space="0" w:color="000000"/>
            </w:tcBorders>
            <w:shd w:val="clear" w:color="auto" w:fill="auto"/>
            <w:vAlign w:val="center"/>
          </w:tcPr>
          <w:p w14:paraId="4374D8B4" w14:textId="27412CA0"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w:t>
            </w:r>
          </w:p>
        </w:tc>
        <w:tc>
          <w:tcPr>
            <w:tcW w:w="1134" w:type="dxa"/>
            <w:tcBorders>
              <w:bottom w:val="single" w:sz="8" w:space="0" w:color="000000"/>
              <w:right w:val="single" w:sz="8" w:space="0" w:color="000000"/>
            </w:tcBorders>
            <w:shd w:val="clear" w:color="auto" w:fill="auto"/>
            <w:vAlign w:val="center"/>
          </w:tcPr>
          <w:p w14:paraId="74AA40A9" w14:textId="319A9344"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0</w:t>
            </w:r>
          </w:p>
        </w:tc>
        <w:tc>
          <w:tcPr>
            <w:tcW w:w="1143" w:type="dxa"/>
            <w:tcBorders>
              <w:bottom w:val="single" w:sz="8" w:space="0" w:color="000000"/>
              <w:right w:val="single" w:sz="8" w:space="0" w:color="000000"/>
            </w:tcBorders>
            <w:shd w:val="clear" w:color="auto" w:fill="auto"/>
            <w:vAlign w:val="center"/>
          </w:tcPr>
          <w:p w14:paraId="427F9A57" w14:textId="1BF1F265"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 </w:t>
            </w:r>
          </w:p>
        </w:tc>
        <w:tc>
          <w:tcPr>
            <w:tcW w:w="1276" w:type="dxa"/>
            <w:tcBorders>
              <w:bottom w:val="single" w:sz="8" w:space="0" w:color="000000"/>
              <w:right w:val="single" w:sz="8" w:space="0" w:color="000000"/>
            </w:tcBorders>
            <w:shd w:val="clear" w:color="auto" w:fill="auto"/>
            <w:vAlign w:val="center"/>
          </w:tcPr>
          <w:p w14:paraId="3450DAB1" w14:textId="368EEC88"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74 500</w:t>
            </w:r>
          </w:p>
        </w:tc>
        <w:tc>
          <w:tcPr>
            <w:tcW w:w="1352" w:type="dxa"/>
            <w:tcBorders>
              <w:bottom w:val="single" w:sz="8" w:space="0" w:color="000000"/>
              <w:right w:val="single" w:sz="8" w:space="0" w:color="000000"/>
            </w:tcBorders>
            <w:shd w:val="clear" w:color="auto" w:fill="auto"/>
            <w:vAlign w:val="center"/>
          </w:tcPr>
          <w:p w14:paraId="1CE27F09" w14:textId="53D6B820"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74 500</w:t>
            </w:r>
          </w:p>
        </w:tc>
      </w:tr>
      <w:tr w:rsidR="00AE31F1" w:rsidRPr="00420C1B" w14:paraId="016CB33B" w14:textId="77777777" w:rsidTr="00CB0941">
        <w:trPr>
          <w:trHeight w:val="72"/>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E566506" w14:textId="77777777" w:rsidR="00CB0941" w:rsidRPr="00420C1B" w:rsidRDefault="00CB0941" w:rsidP="00AE31F1">
            <w:pPr>
              <w:spacing w:after="0" w:line="240" w:lineRule="auto"/>
              <w:jc w:val="both"/>
              <w:rPr>
                <w:rFonts w:ascii="Times New Roman" w:hAnsi="Times New Roman"/>
              </w:rPr>
            </w:pPr>
            <w:r w:rsidRPr="00AE31F1">
              <w:rPr>
                <w:rFonts w:ascii="Times New Roman" w:eastAsia="Times New Roman" w:hAnsi="Times New Roman"/>
                <w:lang w:eastAsia="fr-FR"/>
              </w:rPr>
              <w:t>Environmental Monitoring Program</w:t>
            </w:r>
          </w:p>
        </w:tc>
        <w:tc>
          <w:tcPr>
            <w:tcW w:w="739" w:type="dxa"/>
            <w:tcBorders>
              <w:bottom w:val="single" w:sz="8" w:space="0" w:color="000000"/>
              <w:right w:val="single" w:sz="8" w:space="0" w:color="000000"/>
            </w:tcBorders>
            <w:shd w:val="clear" w:color="auto" w:fill="auto"/>
            <w:vAlign w:val="center"/>
          </w:tcPr>
          <w:p w14:paraId="436E5299" w14:textId="77777777"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FF</w:t>
            </w:r>
          </w:p>
        </w:tc>
        <w:tc>
          <w:tcPr>
            <w:tcW w:w="1132" w:type="dxa"/>
            <w:tcBorders>
              <w:bottom w:val="single" w:sz="8" w:space="0" w:color="000000"/>
              <w:right w:val="single" w:sz="8" w:space="0" w:color="000000"/>
            </w:tcBorders>
            <w:shd w:val="clear" w:color="auto" w:fill="auto"/>
            <w:vAlign w:val="center"/>
          </w:tcPr>
          <w:p w14:paraId="7A6392FE" w14:textId="33317059"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w:t>
            </w:r>
          </w:p>
        </w:tc>
        <w:tc>
          <w:tcPr>
            <w:tcW w:w="1134" w:type="dxa"/>
            <w:tcBorders>
              <w:bottom w:val="single" w:sz="8" w:space="0" w:color="000000"/>
              <w:right w:val="single" w:sz="8" w:space="0" w:color="000000"/>
            </w:tcBorders>
            <w:shd w:val="clear" w:color="auto" w:fill="auto"/>
            <w:vAlign w:val="center"/>
          </w:tcPr>
          <w:p w14:paraId="590B0B30" w14:textId="16F5D825"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1600</w:t>
            </w:r>
          </w:p>
        </w:tc>
        <w:tc>
          <w:tcPr>
            <w:tcW w:w="1143" w:type="dxa"/>
            <w:tcBorders>
              <w:bottom w:val="single" w:sz="8" w:space="0" w:color="000000"/>
              <w:right w:val="single" w:sz="8" w:space="0" w:color="000000"/>
            </w:tcBorders>
            <w:shd w:val="clear" w:color="auto" w:fill="auto"/>
            <w:vAlign w:val="center"/>
          </w:tcPr>
          <w:p w14:paraId="17B92674" w14:textId="559FE5C0"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 </w:t>
            </w:r>
          </w:p>
        </w:tc>
        <w:tc>
          <w:tcPr>
            <w:tcW w:w="1276" w:type="dxa"/>
            <w:tcBorders>
              <w:bottom w:val="single" w:sz="8" w:space="0" w:color="000000"/>
              <w:right w:val="single" w:sz="8" w:space="0" w:color="000000"/>
            </w:tcBorders>
            <w:shd w:val="clear" w:color="auto" w:fill="auto"/>
            <w:vAlign w:val="center"/>
          </w:tcPr>
          <w:p w14:paraId="3504E6D7" w14:textId="47F98838"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800</w:t>
            </w:r>
          </w:p>
        </w:tc>
        <w:tc>
          <w:tcPr>
            <w:tcW w:w="1352" w:type="dxa"/>
            <w:tcBorders>
              <w:bottom w:val="single" w:sz="8" w:space="0" w:color="000000"/>
              <w:right w:val="single" w:sz="8" w:space="0" w:color="000000"/>
            </w:tcBorders>
            <w:shd w:val="clear" w:color="auto" w:fill="auto"/>
            <w:vAlign w:val="center"/>
          </w:tcPr>
          <w:p w14:paraId="18189083" w14:textId="4BB53D5E"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800</w:t>
            </w:r>
          </w:p>
        </w:tc>
      </w:tr>
      <w:tr w:rsidR="00AE31F1" w:rsidRPr="00420C1B" w14:paraId="32419098" w14:textId="77777777" w:rsidTr="00CB0941">
        <w:trPr>
          <w:trHeight w:val="48"/>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42249668" w14:textId="77777777" w:rsidR="00CB0941" w:rsidRPr="00420C1B" w:rsidRDefault="00CB0941" w:rsidP="00AE31F1">
            <w:pPr>
              <w:spacing w:after="0" w:line="240" w:lineRule="auto"/>
              <w:jc w:val="both"/>
              <w:rPr>
                <w:rFonts w:ascii="Times New Roman" w:hAnsi="Times New Roman"/>
              </w:rPr>
            </w:pPr>
            <w:r w:rsidRPr="00AE31F1">
              <w:rPr>
                <w:rFonts w:ascii="Times New Roman" w:eastAsia="Times New Roman" w:hAnsi="Times New Roman"/>
                <w:lang w:eastAsia="fr-FR"/>
              </w:rPr>
              <w:t>Capacity Building Program</w:t>
            </w:r>
          </w:p>
        </w:tc>
        <w:tc>
          <w:tcPr>
            <w:tcW w:w="739" w:type="dxa"/>
            <w:tcBorders>
              <w:bottom w:val="single" w:sz="8" w:space="0" w:color="000000"/>
              <w:right w:val="single" w:sz="8" w:space="0" w:color="000000"/>
            </w:tcBorders>
            <w:shd w:val="clear" w:color="auto" w:fill="auto"/>
            <w:vAlign w:val="center"/>
          </w:tcPr>
          <w:p w14:paraId="10AAE190" w14:textId="77777777"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FF</w:t>
            </w:r>
          </w:p>
        </w:tc>
        <w:tc>
          <w:tcPr>
            <w:tcW w:w="1132" w:type="dxa"/>
            <w:tcBorders>
              <w:bottom w:val="single" w:sz="8" w:space="0" w:color="000000"/>
              <w:right w:val="single" w:sz="8" w:space="0" w:color="000000"/>
            </w:tcBorders>
            <w:shd w:val="clear" w:color="auto" w:fill="auto"/>
            <w:vAlign w:val="center"/>
          </w:tcPr>
          <w:p w14:paraId="069BFEB9" w14:textId="386C1552"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w:t>
            </w:r>
          </w:p>
        </w:tc>
        <w:tc>
          <w:tcPr>
            <w:tcW w:w="1134" w:type="dxa"/>
            <w:tcBorders>
              <w:bottom w:val="single" w:sz="8" w:space="0" w:color="000000"/>
              <w:right w:val="single" w:sz="8" w:space="0" w:color="000000"/>
            </w:tcBorders>
            <w:shd w:val="clear" w:color="auto" w:fill="auto"/>
            <w:vAlign w:val="center"/>
          </w:tcPr>
          <w:p w14:paraId="2987B588" w14:textId="70FBC6FD"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11000</w:t>
            </w:r>
          </w:p>
        </w:tc>
        <w:tc>
          <w:tcPr>
            <w:tcW w:w="1143" w:type="dxa"/>
            <w:tcBorders>
              <w:bottom w:val="single" w:sz="8" w:space="0" w:color="000000"/>
              <w:right w:val="single" w:sz="8" w:space="0" w:color="000000"/>
            </w:tcBorders>
            <w:shd w:val="clear" w:color="auto" w:fill="auto"/>
            <w:vAlign w:val="center"/>
          </w:tcPr>
          <w:p w14:paraId="564BF055" w14:textId="5BAD07C4"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 </w:t>
            </w:r>
          </w:p>
        </w:tc>
        <w:tc>
          <w:tcPr>
            <w:tcW w:w="1276" w:type="dxa"/>
            <w:tcBorders>
              <w:bottom w:val="single" w:sz="8" w:space="0" w:color="000000"/>
              <w:right w:val="single" w:sz="8" w:space="0" w:color="000000"/>
            </w:tcBorders>
            <w:shd w:val="clear" w:color="auto" w:fill="auto"/>
            <w:vAlign w:val="center"/>
          </w:tcPr>
          <w:p w14:paraId="3A4FC31F" w14:textId="335EA373"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11000</w:t>
            </w:r>
          </w:p>
        </w:tc>
        <w:tc>
          <w:tcPr>
            <w:tcW w:w="1352" w:type="dxa"/>
            <w:tcBorders>
              <w:bottom w:val="single" w:sz="8" w:space="0" w:color="000000"/>
              <w:right w:val="single" w:sz="8" w:space="0" w:color="000000"/>
            </w:tcBorders>
            <w:shd w:val="clear" w:color="auto" w:fill="auto"/>
            <w:vAlign w:val="center"/>
          </w:tcPr>
          <w:p w14:paraId="20FD58BA" w14:textId="3A6B16E0"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lang w:eastAsia="fr-FR"/>
              </w:rPr>
              <w:t>11 000</w:t>
            </w:r>
          </w:p>
        </w:tc>
      </w:tr>
      <w:tr w:rsidR="00AE31F1" w:rsidRPr="00420C1B" w14:paraId="2C9BDB04" w14:textId="77777777" w:rsidTr="00AE31F1">
        <w:trPr>
          <w:trHeight w:val="300"/>
          <w:jc w:val="center"/>
        </w:trPr>
        <w:tc>
          <w:tcPr>
            <w:tcW w:w="2604"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854D377" w14:textId="77777777" w:rsidR="00CB0941" w:rsidRPr="00420C1B" w:rsidRDefault="00CB0941" w:rsidP="00AE31F1">
            <w:pPr>
              <w:spacing w:after="0" w:line="240" w:lineRule="auto"/>
              <w:rPr>
                <w:rFonts w:ascii="Times New Roman" w:hAnsi="Times New Roman"/>
              </w:rPr>
            </w:pPr>
            <w:r w:rsidRPr="00AE31F1">
              <w:rPr>
                <w:rFonts w:ascii="Times New Roman" w:eastAsia="Times New Roman" w:hAnsi="Times New Roman"/>
                <w:b/>
                <w:bCs/>
                <w:lang w:eastAsia="fr-FR"/>
              </w:rPr>
              <w:t>TOTAL GENERAL</w:t>
            </w:r>
          </w:p>
        </w:tc>
        <w:tc>
          <w:tcPr>
            <w:tcW w:w="739" w:type="dxa"/>
            <w:tcBorders>
              <w:bottom w:val="single" w:sz="8" w:space="0" w:color="000000"/>
              <w:right w:val="single" w:sz="8" w:space="0" w:color="000000"/>
            </w:tcBorders>
            <w:shd w:val="clear" w:color="auto" w:fill="auto"/>
            <w:vAlign w:val="center"/>
          </w:tcPr>
          <w:p w14:paraId="09413135" w14:textId="77777777" w:rsidR="00CB0941" w:rsidRPr="00420C1B" w:rsidRDefault="00CB0941" w:rsidP="00AE31F1">
            <w:pPr>
              <w:spacing w:after="0" w:line="240" w:lineRule="auto"/>
              <w:jc w:val="center"/>
              <w:rPr>
                <w:rFonts w:ascii="Times New Roman" w:hAnsi="Times New Roman"/>
              </w:rPr>
            </w:pPr>
            <w:r w:rsidRPr="00420C1B">
              <w:rPr>
                <w:rFonts w:ascii="Times New Roman" w:hAnsi="Times New Roman"/>
                <w:b/>
                <w:bCs/>
                <w:lang w:eastAsia="fr-FR"/>
              </w:rPr>
              <w:t> </w:t>
            </w:r>
          </w:p>
        </w:tc>
        <w:tc>
          <w:tcPr>
            <w:tcW w:w="1132" w:type="dxa"/>
            <w:tcBorders>
              <w:bottom w:val="single" w:sz="8" w:space="0" w:color="000000"/>
              <w:right w:val="single" w:sz="8" w:space="0" w:color="000000"/>
            </w:tcBorders>
            <w:shd w:val="clear" w:color="auto" w:fill="auto"/>
            <w:vAlign w:val="center"/>
          </w:tcPr>
          <w:p w14:paraId="250981D7" w14:textId="36A1CF18" w:rsidR="00CB0941" w:rsidRPr="00420C1B" w:rsidRDefault="00CB0941" w:rsidP="00AE31F1">
            <w:pPr>
              <w:spacing w:after="0" w:line="240" w:lineRule="auto"/>
              <w:jc w:val="center"/>
              <w:rPr>
                <w:rFonts w:ascii="Times New Roman" w:hAnsi="Times New Roman"/>
              </w:rPr>
            </w:pPr>
            <w:r w:rsidRPr="00AE31F1">
              <w:rPr>
                <w:rFonts w:ascii="Times New Roman" w:hAnsi="Times New Roman"/>
                <w:b/>
                <w:bCs/>
                <w:lang w:eastAsia="fr-FR"/>
              </w:rPr>
              <w:t> </w:t>
            </w:r>
          </w:p>
        </w:tc>
        <w:tc>
          <w:tcPr>
            <w:tcW w:w="1134" w:type="dxa"/>
            <w:tcBorders>
              <w:bottom w:val="single" w:sz="8" w:space="0" w:color="000000"/>
              <w:right w:val="single" w:sz="8" w:space="0" w:color="000000"/>
            </w:tcBorders>
            <w:shd w:val="clear" w:color="auto" w:fill="auto"/>
            <w:vAlign w:val="center"/>
          </w:tcPr>
          <w:p w14:paraId="78C6E8CC" w14:textId="2945BA65" w:rsidR="00CB0941" w:rsidRPr="00420C1B" w:rsidRDefault="00CB0941" w:rsidP="00AE31F1">
            <w:pPr>
              <w:spacing w:after="0" w:line="240" w:lineRule="auto"/>
              <w:jc w:val="center"/>
              <w:rPr>
                <w:rFonts w:ascii="Times New Roman" w:hAnsi="Times New Roman"/>
              </w:rPr>
            </w:pPr>
            <w:r w:rsidRPr="00AE31F1">
              <w:rPr>
                <w:rFonts w:ascii="Times New Roman" w:hAnsi="Times New Roman"/>
                <w:b/>
                <w:bCs/>
                <w:lang w:eastAsia="fr-FR"/>
              </w:rPr>
              <w:t> </w:t>
            </w:r>
          </w:p>
        </w:tc>
        <w:tc>
          <w:tcPr>
            <w:tcW w:w="1143" w:type="dxa"/>
            <w:tcBorders>
              <w:bottom w:val="single" w:sz="8" w:space="0" w:color="000000"/>
              <w:right w:val="single" w:sz="8" w:space="0" w:color="000000"/>
            </w:tcBorders>
            <w:shd w:val="clear" w:color="auto" w:fill="auto"/>
            <w:vAlign w:val="center"/>
          </w:tcPr>
          <w:p w14:paraId="01DDD632" w14:textId="41F8DDC5"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64 750</w:t>
            </w:r>
          </w:p>
        </w:tc>
        <w:tc>
          <w:tcPr>
            <w:tcW w:w="1276" w:type="dxa"/>
            <w:tcBorders>
              <w:bottom w:val="single" w:sz="8" w:space="0" w:color="000000"/>
              <w:right w:val="single" w:sz="8" w:space="0" w:color="000000"/>
            </w:tcBorders>
            <w:shd w:val="clear" w:color="auto" w:fill="auto"/>
            <w:vAlign w:val="center"/>
          </w:tcPr>
          <w:p w14:paraId="366EE7D9" w14:textId="2F31E38E"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141 300</w:t>
            </w:r>
          </w:p>
        </w:tc>
        <w:tc>
          <w:tcPr>
            <w:tcW w:w="1352" w:type="dxa"/>
            <w:tcBorders>
              <w:bottom w:val="single" w:sz="8" w:space="0" w:color="000000"/>
              <w:right w:val="single" w:sz="8" w:space="0" w:color="000000"/>
            </w:tcBorders>
            <w:shd w:val="clear" w:color="auto" w:fill="auto"/>
            <w:vAlign w:val="center"/>
          </w:tcPr>
          <w:p w14:paraId="57C145B3" w14:textId="47C69849" w:rsidR="00CB0941" w:rsidRPr="00420C1B" w:rsidRDefault="00CB0941" w:rsidP="00AE31F1">
            <w:pPr>
              <w:spacing w:after="0" w:line="240" w:lineRule="auto"/>
              <w:jc w:val="center"/>
              <w:rPr>
                <w:rFonts w:ascii="Times New Roman" w:hAnsi="Times New Roman"/>
              </w:rPr>
            </w:pPr>
            <w:r w:rsidRPr="00AE31F1">
              <w:rPr>
                <w:rFonts w:ascii="Times New Roman" w:eastAsia="Times New Roman" w:hAnsi="Times New Roman"/>
                <w:b/>
                <w:bCs/>
                <w:lang w:eastAsia="fr-FR"/>
              </w:rPr>
              <w:t>206 050</w:t>
            </w:r>
          </w:p>
        </w:tc>
      </w:tr>
    </w:tbl>
    <w:p w14:paraId="722DED03" w14:textId="77777777" w:rsidR="009C11E8" w:rsidRPr="00AE31F1" w:rsidRDefault="009C11E8" w:rsidP="00AE31F1">
      <w:pPr>
        <w:spacing w:after="0" w:line="240" w:lineRule="auto"/>
        <w:rPr>
          <w:rFonts w:ascii="Times New Roman" w:hAnsi="Times New Roman"/>
          <w:sz w:val="24"/>
          <w:szCs w:val="24"/>
        </w:rPr>
      </w:pPr>
    </w:p>
    <w:p w14:paraId="70C6046E" w14:textId="77777777" w:rsidR="00E2177B" w:rsidRPr="00AE31F1" w:rsidRDefault="00E2177B"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The mission notes shortcomings in the preparation of this ESIA. These include:</w:t>
      </w:r>
    </w:p>
    <w:p w14:paraId="77A4EC57" w14:textId="6FB6D223" w:rsidR="00E2177B" w:rsidRPr="00215867" w:rsidRDefault="00E2177B" w:rsidP="00215867">
      <w:pPr>
        <w:pStyle w:val="Paragraphedeliste"/>
        <w:numPr>
          <w:ilvl w:val="0"/>
          <w:numId w:val="491"/>
        </w:numPr>
        <w:spacing w:after="0" w:line="240" w:lineRule="auto"/>
        <w:rPr>
          <w:rFonts w:ascii="Times New Roman" w:hAnsi="Times New Roman"/>
          <w:sz w:val="24"/>
          <w:szCs w:val="24"/>
          <w:lang w:val="en-US"/>
        </w:rPr>
      </w:pPr>
      <w:r w:rsidRPr="00215867">
        <w:rPr>
          <w:rFonts w:ascii="Times New Roman" w:hAnsi="Times New Roman"/>
          <w:sz w:val="24"/>
          <w:szCs w:val="24"/>
          <w:lang w:val="en-US"/>
        </w:rPr>
        <w:t>The non-assessment of the borrowing sites and the working conditions of the operators of these sites as well as an assessment of the working conditions of children;</w:t>
      </w:r>
    </w:p>
    <w:p w14:paraId="0D0BB387" w14:textId="53A86CE5" w:rsidR="00E2177B" w:rsidRPr="00215867" w:rsidRDefault="00E2177B" w:rsidP="00215867">
      <w:pPr>
        <w:pStyle w:val="Paragraphedeliste"/>
        <w:numPr>
          <w:ilvl w:val="0"/>
          <w:numId w:val="491"/>
        </w:numPr>
        <w:spacing w:after="0" w:line="240" w:lineRule="auto"/>
        <w:rPr>
          <w:rFonts w:ascii="Times New Roman" w:hAnsi="Times New Roman"/>
          <w:sz w:val="24"/>
          <w:szCs w:val="24"/>
          <w:lang w:val="en-US"/>
        </w:rPr>
      </w:pPr>
      <w:r w:rsidRPr="00215867">
        <w:rPr>
          <w:rFonts w:ascii="Times New Roman" w:hAnsi="Times New Roman"/>
          <w:sz w:val="24"/>
          <w:szCs w:val="24"/>
          <w:lang w:val="en-US"/>
        </w:rPr>
        <w:t>The non-assessment of the living bases because at this stage the living bases are not known;</w:t>
      </w:r>
    </w:p>
    <w:p w14:paraId="14F30781" w14:textId="7F66617B" w:rsidR="00E2177B" w:rsidRPr="00215867" w:rsidRDefault="00E2177B" w:rsidP="00215867">
      <w:pPr>
        <w:pStyle w:val="Paragraphedeliste"/>
        <w:numPr>
          <w:ilvl w:val="0"/>
          <w:numId w:val="491"/>
        </w:numPr>
        <w:spacing w:after="0" w:line="240" w:lineRule="auto"/>
        <w:rPr>
          <w:rFonts w:ascii="Times New Roman" w:hAnsi="Times New Roman"/>
          <w:sz w:val="24"/>
          <w:szCs w:val="24"/>
          <w:lang w:val="en-US"/>
        </w:rPr>
      </w:pPr>
      <w:r w:rsidRPr="00215867">
        <w:rPr>
          <w:rFonts w:ascii="Times New Roman" w:hAnsi="Times New Roman"/>
          <w:sz w:val="24"/>
          <w:szCs w:val="24"/>
          <w:lang w:val="en-US"/>
        </w:rPr>
        <w:t>The failure to take into account traffic management or road safety.</w:t>
      </w:r>
    </w:p>
    <w:p w14:paraId="4A73A1F3" w14:textId="77777777" w:rsidR="00E2177B" w:rsidRPr="00AE31F1" w:rsidRDefault="00E2177B" w:rsidP="00215867">
      <w:pPr>
        <w:spacing w:before="120" w:after="120" w:line="240" w:lineRule="auto"/>
        <w:jc w:val="both"/>
        <w:rPr>
          <w:rFonts w:ascii="Times New Roman" w:hAnsi="Times New Roman"/>
          <w:sz w:val="24"/>
          <w:szCs w:val="24"/>
          <w:lang w:val="en-US"/>
        </w:rPr>
      </w:pPr>
      <w:r w:rsidRPr="00AE31F1">
        <w:rPr>
          <w:rFonts w:ascii="Times New Roman" w:hAnsi="Times New Roman"/>
          <w:sz w:val="24"/>
          <w:szCs w:val="24"/>
          <w:lang w:val="en-US"/>
        </w:rPr>
        <w:t>To remedy this, the mission recommends</w:t>
      </w:r>
    </w:p>
    <w:p w14:paraId="5118C90F" w14:textId="15B6B927" w:rsidR="00E2177B" w:rsidRPr="00215867" w:rsidRDefault="00E2177B" w:rsidP="00215867">
      <w:pPr>
        <w:pStyle w:val="Paragraphedeliste"/>
        <w:numPr>
          <w:ilvl w:val="0"/>
          <w:numId w:val="493"/>
        </w:numPr>
        <w:spacing w:after="0" w:line="240" w:lineRule="auto"/>
        <w:ind w:left="567" w:hanging="425"/>
        <w:rPr>
          <w:rFonts w:ascii="Times New Roman" w:hAnsi="Times New Roman"/>
          <w:sz w:val="24"/>
          <w:szCs w:val="24"/>
          <w:lang w:val="en-US"/>
        </w:rPr>
      </w:pPr>
      <w:r w:rsidRPr="00215867">
        <w:rPr>
          <w:rFonts w:ascii="Times New Roman" w:hAnsi="Times New Roman"/>
          <w:sz w:val="24"/>
          <w:szCs w:val="24"/>
          <w:lang w:val="en-US"/>
        </w:rPr>
        <w:t>The company should draw up an inventory of the sites where materials are borrowed and the living quarters before starting work, and the environmental and social non-conformities should be remedied by implementing an ESMP or a simplified ESIA or possibly a RAP for the borrow sites and living quarters, with a procedure for rehabilitating the borrow sites and living quarters;</w:t>
      </w:r>
    </w:p>
    <w:p w14:paraId="3EE61FDD" w14:textId="1DE9BE40" w:rsidR="00E2177B" w:rsidRPr="00215867" w:rsidRDefault="00E2177B" w:rsidP="00215867">
      <w:pPr>
        <w:pStyle w:val="Paragraphedeliste"/>
        <w:numPr>
          <w:ilvl w:val="0"/>
          <w:numId w:val="493"/>
        </w:numPr>
        <w:spacing w:after="0" w:line="240" w:lineRule="auto"/>
        <w:ind w:left="567" w:hanging="425"/>
        <w:rPr>
          <w:rFonts w:ascii="Times New Roman" w:hAnsi="Times New Roman"/>
          <w:sz w:val="24"/>
          <w:szCs w:val="24"/>
          <w:lang w:val="en-US"/>
        </w:rPr>
      </w:pPr>
      <w:r w:rsidRPr="00215867">
        <w:rPr>
          <w:rFonts w:ascii="Times New Roman" w:hAnsi="Times New Roman"/>
          <w:sz w:val="24"/>
          <w:szCs w:val="24"/>
          <w:lang w:val="en-US"/>
        </w:rPr>
        <w:t>The company will prepare and implement a Workforce Management Plan (WMP) based on the project's WMP;</w:t>
      </w:r>
    </w:p>
    <w:p w14:paraId="1D612BD7" w14:textId="10E462ED" w:rsidR="00E2177B" w:rsidRPr="00215867" w:rsidRDefault="00E2177B" w:rsidP="00215867">
      <w:pPr>
        <w:pStyle w:val="Paragraphedeliste"/>
        <w:numPr>
          <w:ilvl w:val="0"/>
          <w:numId w:val="493"/>
        </w:numPr>
        <w:spacing w:after="0" w:line="240" w:lineRule="auto"/>
        <w:ind w:left="567" w:hanging="425"/>
        <w:rPr>
          <w:rFonts w:ascii="Times New Roman" w:hAnsi="Times New Roman"/>
          <w:sz w:val="24"/>
          <w:szCs w:val="24"/>
          <w:lang w:val="en-US"/>
        </w:rPr>
      </w:pPr>
      <w:r w:rsidRPr="00215867">
        <w:rPr>
          <w:rFonts w:ascii="Times New Roman" w:hAnsi="Times New Roman"/>
          <w:sz w:val="24"/>
          <w:szCs w:val="24"/>
          <w:lang w:val="en-US"/>
        </w:rPr>
        <w:t>The company will prepare and implement an IEC (Information - Education - Communication) plan on child labour and EAS/HS;</w:t>
      </w:r>
    </w:p>
    <w:p w14:paraId="33DBA6AE" w14:textId="24B3E056" w:rsidR="00E2177B" w:rsidRPr="00215867" w:rsidRDefault="00E2177B" w:rsidP="00215867">
      <w:pPr>
        <w:pStyle w:val="Paragraphedeliste"/>
        <w:numPr>
          <w:ilvl w:val="0"/>
          <w:numId w:val="493"/>
        </w:numPr>
        <w:spacing w:after="0" w:line="240" w:lineRule="auto"/>
        <w:ind w:left="567" w:hanging="425"/>
        <w:rPr>
          <w:rFonts w:ascii="Times New Roman" w:hAnsi="Times New Roman"/>
          <w:sz w:val="24"/>
          <w:szCs w:val="24"/>
          <w:lang w:val="en-US"/>
        </w:rPr>
      </w:pPr>
      <w:r w:rsidRPr="00215867">
        <w:rPr>
          <w:rFonts w:ascii="Times New Roman" w:hAnsi="Times New Roman"/>
          <w:sz w:val="24"/>
          <w:szCs w:val="24"/>
          <w:lang w:val="en-US"/>
        </w:rPr>
        <w:t>The company will develop and implement a Traffic Management or Road Safety Plan.</w:t>
      </w:r>
    </w:p>
    <w:p w14:paraId="0C96374F" w14:textId="77777777" w:rsidR="00E2177B" w:rsidRPr="00AE31F1" w:rsidRDefault="00E2177B" w:rsidP="00E2177B">
      <w:pPr>
        <w:rPr>
          <w:rFonts w:ascii="Times New Roman" w:hAnsi="Times New Roman"/>
          <w:sz w:val="24"/>
          <w:szCs w:val="24"/>
          <w:lang w:val="en-US"/>
        </w:rPr>
      </w:pPr>
    </w:p>
    <w:p w14:paraId="04546954" w14:textId="77777777" w:rsidR="00ED17F3" w:rsidRDefault="00ED17F3" w:rsidP="00ED17F3">
      <w:pPr>
        <w:suppressAutoHyphens/>
        <w:spacing w:after="0" w:line="240" w:lineRule="auto"/>
        <w:jc w:val="both"/>
        <w:rPr>
          <w:rFonts w:ascii="Times New Roman" w:hAnsi="Times New Roman"/>
          <w:sz w:val="24"/>
          <w:szCs w:val="24"/>
          <w:lang w:val="en-US"/>
        </w:rPr>
      </w:pPr>
    </w:p>
    <w:p w14:paraId="202BC36D" w14:textId="77777777" w:rsidR="00915003" w:rsidRDefault="00915003" w:rsidP="00ED17F3">
      <w:pPr>
        <w:suppressAutoHyphens/>
        <w:spacing w:after="0" w:line="240" w:lineRule="auto"/>
        <w:jc w:val="both"/>
        <w:rPr>
          <w:rFonts w:ascii="Times New Roman" w:hAnsi="Times New Roman"/>
          <w:sz w:val="24"/>
          <w:szCs w:val="24"/>
          <w:lang w:val="en-US"/>
        </w:rPr>
      </w:pPr>
    </w:p>
    <w:p w14:paraId="53DC1E6A" w14:textId="77777777" w:rsidR="00915003" w:rsidRPr="00215867" w:rsidRDefault="00915003">
      <w:pPr>
        <w:spacing w:after="0" w:line="240" w:lineRule="auto"/>
        <w:rPr>
          <w:rFonts w:ascii="Times New Roman" w:eastAsia="Times New Roman" w:hAnsi="Times New Roman"/>
          <w:b/>
          <w:sz w:val="24"/>
          <w:szCs w:val="32"/>
          <w:lang w:val="en-US"/>
        </w:rPr>
      </w:pPr>
      <w:r w:rsidRPr="00215867">
        <w:rPr>
          <w:lang w:val="en-US"/>
        </w:rPr>
        <w:br w:type="page"/>
      </w:r>
    </w:p>
    <w:p w14:paraId="34589476" w14:textId="5115FEC8" w:rsidR="00915003" w:rsidRDefault="00915003" w:rsidP="00215867">
      <w:pPr>
        <w:pStyle w:val="Titre1"/>
        <w:numPr>
          <w:ilvl w:val="0"/>
          <w:numId w:val="0"/>
        </w:numPr>
        <w:spacing w:before="0"/>
        <w:ind w:left="432" w:hanging="432"/>
      </w:pPr>
      <w:bookmarkStart w:id="40" w:name="_Toc103685595"/>
      <w:r>
        <w:t>BOKUSE YA LIKAMBO</w:t>
      </w:r>
      <w:bookmarkEnd w:id="40"/>
    </w:p>
    <w:p w14:paraId="45445446" w14:textId="77777777" w:rsidR="00915003" w:rsidRPr="00215867" w:rsidRDefault="00915003" w:rsidP="00215867">
      <w:pPr>
        <w:numPr>
          <w:ilvl w:val="0"/>
          <w:numId w:val="503"/>
        </w:numPr>
        <w:spacing w:before="120" w:after="120" w:line="276" w:lineRule="auto"/>
        <w:jc w:val="both"/>
        <w:rPr>
          <w:rFonts w:ascii="Times New Roman" w:eastAsia="Times New Roman" w:hAnsi="Times New Roman"/>
          <w:b/>
          <w:i/>
          <w:sz w:val="24"/>
          <w:szCs w:val="24"/>
          <w:lang w:val="en-US" w:eastAsia="x-none"/>
        </w:rPr>
      </w:pPr>
      <w:r w:rsidRPr="00215867">
        <w:rPr>
          <w:rFonts w:ascii="Times New Roman" w:eastAsia="Times New Roman" w:hAnsi="Times New Roman"/>
          <w:b/>
          <w:i/>
          <w:sz w:val="24"/>
          <w:szCs w:val="24"/>
          <w:lang w:val="en-US" w:eastAsia="x-none"/>
        </w:rPr>
        <w:t>Likambo mpe tina ya boyekoli mosala oyo</w:t>
      </w:r>
    </w:p>
    <w:p w14:paraId="6961EBDD" w14:textId="77777777" w:rsidR="00915003" w:rsidRPr="00D60172" w:rsidRDefault="00915003" w:rsidP="00915003">
      <w:pPr>
        <w:spacing w:line="240" w:lineRule="auto"/>
        <w:jc w:val="both"/>
        <w:rPr>
          <w:rFonts w:ascii="Times New Roman" w:eastAsia="Times New Roman" w:hAnsi="Times New Roman"/>
          <w:spacing w:val="-2"/>
          <w:sz w:val="24"/>
          <w:szCs w:val="24"/>
          <w:lang w:val="en-US"/>
        </w:rPr>
      </w:pPr>
      <w:r w:rsidRPr="00D60172">
        <w:rPr>
          <w:rFonts w:ascii="Times New Roman" w:hAnsi="Times New Roman"/>
          <w:sz w:val="24"/>
          <w:szCs w:val="24"/>
          <w:lang w:val="en-US"/>
        </w:rPr>
        <w:t xml:space="preserve">Musala ya kotambwisa </w:t>
      </w:r>
      <w:r w:rsidRPr="00D60172">
        <w:rPr>
          <w:rFonts w:ascii="Times New Roman" w:eastAsia="Times New Roman" w:hAnsi="Times New Roman"/>
          <w:sz w:val="24"/>
          <w:szCs w:val="24"/>
          <w:lang w:val="en-US" w:eastAsia="fr-FR"/>
        </w:rPr>
        <w:t>na kokotisa lotiliki mpe mayi, mpe bopeto.ya libandeli, oy’etiami na</w:t>
      </w:r>
      <w:r w:rsidRPr="00D60172">
        <w:rPr>
          <w:rFonts w:ascii="Times New Roman" w:hAnsi="Times New Roman"/>
          <w:sz w:val="24"/>
          <w:szCs w:val="24"/>
          <w:lang w:val="en-US"/>
        </w:rPr>
        <w:t xml:space="preserve"> Républica Démocratik ya Congo (RDC)  na nzela ya misolo ya Banki ya molongo mobimba (IDA) eza mpo na lotiliki na bisika ya molili makasi, bopeto, kobongisa mpe kotiya na misala kolandisama bosagani ya ba singa ya kokabola lotilii ya SNEL ya  ba Directions ya Kinshasa Centre (DKC) mpe Kinshasa </w:t>
      </w:r>
      <w:r w:rsidRPr="00D60172">
        <w:rPr>
          <w:rFonts w:ascii="Times New Roman" w:eastAsia="Times New Roman" w:hAnsi="Times New Roman"/>
          <w:spacing w:val="-2"/>
          <w:sz w:val="24"/>
          <w:szCs w:val="24"/>
          <w:lang w:val="en-US"/>
        </w:rPr>
        <w:t xml:space="preserve">Ouest (DKO), oyo bazali na bakokoso ebele mpo na bokaboli lotiliki. </w:t>
      </w:r>
    </w:p>
    <w:p w14:paraId="6CA26B21" w14:textId="77777777" w:rsidR="00915003" w:rsidRPr="00215867" w:rsidRDefault="00915003" w:rsidP="00915003">
      <w:pPr>
        <w:spacing w:line="240" w:lineRule="auto"/>
        <w:jc w:val="both"/>
        <w:rPr>
          <w:rFonts w:ascii="Times New Roman" w:hAnsi="Times New Roman"/>
          <w:sz w:val="24"/>
          <w:szCs w:val="24"/>
          <w:lang w:val="en-US"/>
        </w:rPr>
      </w:pPr>
      <w:r w:rsidRPr="00215867">
        <w:rPr>
          <w:rFonts w:ascii="Times New Roman" w:hAnsi="Times New Roman"/>
          <w:sz w:val="24"/>
          <w:szCs w:val="24"/>
          <w:lang w:val="en-US"/>
        </w:rPr>
        <w:t xml:space="preserve">Eteni ya misala ya kokotisa lotiliki na bisika ya milili, ya bopeto, mpe ya kobongisa mpe kotiya na misala kolandisama bosagani ya ba singa ya kokabola lotilii ya SNEL ya  ba Directions ya Kinshasa Centre (DKC) mpe Kinshasa </w:t>
      </w:r>
      <w:r w:rsidRPr="00215867">
        <w:rPr>
          <w:rFonts w:ascii="Times New Roman" w:eastAsia="Times New Roman" w:hAnsi="Times New Roman"/>
          <w:spacing w:val="-2"/>
          <w:sz w:val="24"/>
          <w:szCs w:val="24"/>
          <w:lang w:val="en-US"/>
        </w:rPr>
        <w:t>Ouest (DKO),</w:t>
      </w:r>
      <w:r w:rsidRPr="00215867">
        <w:rPr>
          <w:rFonts w:ascii="Times New Roman" w:hAnsi="Times New Roman"/>
          <w:sz w:val="24"/>
          <w:szCs w:val="24"/>
          <w:lang w:val="en-US"/>
        </w:rPr>
        <w:t xml:space="preserve"> oyo esangisi naino ba communes zomi (10) ya engumba etuka ya Kinshasa, na kati na yango : </w:t>
      </w:r>
      <w:r w:rsidRPr="00215867">
        <w:rPr>
          <w:rFonts w:ascii="Times New Roman" w:hAnsi="Times New Roman"/>
          <w:i/>
          <w:sz w:val="24"/>
          <w:szCs w:val="24"/>
          <w:lang w:val="en-US"/>
        </w:rPr>
        <w:t>Kalamu</w:t>
      </w:r>
      <w:r w:rsidRPr="00215867">
        <w:rPr>
          <w:rFonts w:ascii="Times New Roman" w:hAnsi="Times New Roman"/>
          <w:sz w:val="24"/>
          <w:szCs w:val="24"/>
          <w:lang w:val="en-US"/>
        </w:rPr>
        <w:t>, Bumbu, Mont-Ngafula, Selembao, Ngiri-Ngiri, Makala, Bandalungwa, Kintambo, Ngaliema na Barumbu.</w:t>
      </w:r>
      <w:r w:rsidRPr="00215867">
        <w:rPr>
          <w:lang w:val="en-US"/>
        </w:rPr>
        <w:t xml:space="preserve"> </w:t>
      </w:r>
    </w:p>
    <w:p w14:paraId="2DF4B5C5" w14:textId="77777777" w:rsidR="00915003" w:rsidRPr="00215867" w:rsidRDefault="00915003" w:rsidP="00915003">
      <w:pPr>
        <w:spacing w:after="0" w:line="240" w:lineRule="auto"/>
        <w:jc w:val="both"/>
        <w:rPr>
          <w:rFonts w:ascii="Times New Roman" w:hAnsi="Times New Roman"/>
          <w:sz w:val="24"/>
          <w:szCs w:val="24"/>
          <w:lang w:val="en-US"/>
        </w:rPr>
      </w:pPr>
      <w:r w:rsidRPr="00215867">
        <w:rPr>
          <w:rFonts w:ascii="Times New Roman" w:hAnsi="Times New Roman"/>
          <w:sz w:val="24"/>
          <w:szCs w:val="24"/>
          <w:lang w:val="en-US"/>
        </w:rPr>
        <w:t>Misala eye ezali kosenga kobota bilembo mpe kolakisa makama ya bisika bizingi bato na efandelo na bango Bo moko ya bokambami mpe botambwisa misala ya Mbula matari oyo etali mayi na lotiliki (UCM) ezo sala mayele ya kosala mayele oyo ya bilembo ya bisika bizingi bato na efandelo na bango (EIES)</w:t>
      </w:r>
      <w:r w:rsidRPr="00215867">
        <w:rPr>
          <w:rFonts w:ascii="Times New Roman" w:hAnsi="Times New Roman"/>
          <w:iCs/>
          <w:sz w:val="24"/>
          <w:szCs w:val="24"/>
          <w:lang w:val="en-US"/>
        </w:rPr>
        <w:t xml:space="preserve"> na ntina ya (i) kobomba bilembo mpe makama oyo</w:t>
      </w:r>
      <w:r w:rsidRPr="00215867">
        <w:rPr>
          <w:rFonts w:ascii="Times New Roman" w:hAnsi="Times New Roman"/>
          <w:sz w:val="24"/>
          <w:szCs w:val="24"/>
          <w:lang w:val="en-US"/>
        </w:rPr>
        <w:t xml:space="preserve"> bizingi bato na efandelo na bango</w:t>
      </w:r>
      <w:r w:rsidRPr="00215867">
        <w:rPr>
          <w:rFonts w:ascii="Times New Roman" w:hAnsi="Times New Roman"/>
          <w:iCs/>
          <w:sz w:val="24"/>
          <w:szCs w:val="24"/>
          <w:lang w:val="en-US"/>
        </w:rPr>
        <w:t xml:space="preserve"> na oyo etali makama ya kofanda na basi na makasi EAS/SH) na kati na misala oyo mpe (ii) kolandisama mibeko ya mboka mpe bisika </w:t>
      </w:r>
      <w:r w:rsidRPr="00215867">
        <w:rPr>
          <w:rFonts w:ascii="Times New Roman" w:hAnsi="Times New Roman"/>
          <w:sz w:val="24"/>
          <w:szCs w:val="24"/>
          <w:lang w:val="en-US"/>
        </w:rPr>
        <w:t>bizingi bato na efandelo (NES) na bango</w:t>
      </w:r>
      <w:r w:rsidRPr="00215867">
        <w:rPr>
          <w:rFonts w:ascii="Times New Roman" w:hAnsi="Times New Roman"/>
          <w:iCs/>
          <w:sz w:val="24"/>
          <w:szCs w:val="24"/>
          <w:lang w:val="en-US"/>
        </w:rPr>
        <w:t xml:space="preserve"> ya Banki ya molongo mobimba</w:t>
      </w:r>
      <w:r w:rsidRPr="00215867">
        <w:rPr>
          <w:rFonts w:ascii="Times New Roman" w:hAnsi="Times New Roman"/>
          <w:sz w:val="24"/>
          <w:szCs w:val="24"/>
          <w:lang w:val="en-US"/>
        </w:rPr>
        <w:t>.</w:t>
      </w:r>
    </w:p>
    <w:p w14:paraId="1FEE05E2" w14:textId="77777777" w:rsidR="00915003" w:rsidRPr="00D75D2E" w:rsidRDefault="00915003" w:rsidP="00215867">
      <w:pPr>
        <w:numPr>
          <w:ilvl w:val="0"/>
          <w:numId w:val="503"/>
        </w:numPr>
        <w:spacing w:before="120" w:after="120" w:line="276" w:lineRule="auto"/>
        <w:ind w:left="714" w:hanging="357"/>
        <w:jc w:val="both"/>
        <w:rPr>
          <w:rFonts w:ascii="Times New Roman" w:eastAsia="Times New Roman" w:hAnsi="Times New Roman"/>
          <w:b/>
          <w:i/>
          <w:sz w:val="24"/>
          <w:szCs w:val="24"/>
          <w:lang w:eastAsia="x-none"/>
        </w:rPr>
      </w:pPr>
      <w:r>
        <w:rPr>
          <w:rFonts w:ascii="Times New Roman" w:eastAsia="Times New Roman" w:hAnsi="Times New Roman"/>
          <w:b/>
          <w:i/>
          <w:sz w:val="24"/>
          <w:szCs w:val="24"/>
          <w:lang w:eastAsia="x-none"/>
        </w:rPr>
        <w:t>Lolenge ya kosalela</w:t>
      </w:r>
      <w:r w:rsidRPr="00D75D2E">
        <w:rPr>
          <w:rFonts w:ascii="Times New Roman" w:eastAsia="Times New Roman" w:hAnsi="Times New Roman"/>
          <w:b/>
          <w:i/>
          <w:sz w:val="24"/>
          <w:szCs w:val="24"/>
          <w:lang w:eastAsia="x-none"/>
        </w:rPr>
        <w:t xml:space="preserve"> </w:t>
      </w:r>
    </w:p>
    <w:p w14:paraId="0964753D" w14:textId="77777777" w:rsidR="00915003" w:rsidRPr="00D75D2E" w:rsidRDefault="00915003" w:rsidP="00915003">
      <w:pPr>
        <w:spacing w:line="240" w:lineRule="auto"/>
        <w:jc w:val="both"/>
        <w:rPr>
          <w:rFonts w:ascii="Times New Roman" w:hAnsi="Times New Roman"/>
          <w:sz w:val="24"/>
          <w:szCs w:val="24"/>
        </w:rPr>
      </w:pPr>
      <w:r w:rsidRPr="00D75D2E">
        <w:rPr>
          <w:rFonts w:ascii="Times New Roman" w:hAnsi="Times New Roman"/>
          <w:sz w:val="24"/>
          <w:szCs w:val="24"/>
        </w:rPr>
        <w:t>L</w:t>
      </w:r>
      <w:r>
        <w:rPr>
          <w:rFonts w:ascii="Times New Roman" w:hAnsi="Times New Roman"/>
          <w:sz w:val="24"/>
          <w:szCs w:val="24"/>
        </w:rPr>
        <w:t xml:space="preserve">olenge ya kosalela oyo etali mabongisi ya bokutani  ya bosangisa makanisi na lisanga ya botambwisi misala, koluka-luka </w:t>
      </w:r>
      <w:r w:rsidRPr="00D75D2E">
        <w:rPr>
          <w:rFonts w:ascii="Times New Roman" w:hAnsi="Times New Roman"/>
          <w:sz w:val="24"/>
          <w:szCs w:val="24"/>
        </w:rPr>
        <w:t>m</w:t>
      </w:r>
      <w:r>
        <w:rPr>
          <w:rFonts w:ascii="Times New Roman" w:hAnsi="Times New Roman"/>
          <w:sz w:val="24"/>
          <w:szCs w:val="24"/>
        </w:rPr>
        <w:t xml:space="preserve">pe kotanga mikanda, kokongola bisalelo mpe kosangisa ata libanda, na komanyola makambo oyo bazui epesi nzela na kokoma </w:t>
      </w:r>
      <w:r w:rsidRPr="00D75D2E">
        <w:rPr>
          <w:rFonts w:ascii="Times New Roman" w:hAnsi="Times New Roman"/>
          <w:sz w:val="24"/>
          <w:szCs w:val="24"/>
        </w:rPr>
        <w:t>EIES</w:t>
      </w:r>
      <w:r>
        <w:rPr>
          <w:rFonts w:ascii="Times New Roman" w:hAnsi="Times New Roman"/>
          <w:sz w:val="24"/>
          <w:szCs w:val="24"/>
        </w:rPr>
        <w:t xml:space="preserve"> oyo</w:t>
      </w:r>
      <w:r w:rsidRPr="00D75D2E">
        <w:rPr>
          <w:rFonts w:ascii="Times New Roman" w:hAnsi="Times New Roman"/>
          <w:sz w:val="24"/>
          <w:szCs w:val="24"/>
        </w:rPr>
        <w:t>.</w:t>
      </w:r>
    </w:p>
    <w:p w14:paraId="6DF2593C" w14:textId="77777777" w:rsidR="00915003" w:rsidRPr="00D60172" w:rsidRDefault="00915003" w:rsidP="00215867">
      <w:pPr>
        <w:numPr>
          <w:ilvl w:val="0"/>
          <w:numId w:val="503"/>
        </w:numPr>
        <w:spacing w:before="120" w:after="120" w:line="276" w:lineRule="auto"/>
        <w:ind w:left="714" w:hanging="357"/>
        <w:jc w:val="both"/>
        <w:rPr>
          <w:rFonts w:ascii="Times New Roman" w:eastAsia="Times New Roman" w:hAnsi="Times New Roman"/>
          <w:b/>
          <w:i/>
          <w:sz w:val="24"/>
          <w:szCs w:val="24"/>
          <w:lang w:eastAsia="x-none"/>
        </w:rPr>
      </w:pPr>
      <w:r w:rsidRPr="00D60172">
        <w:rPr>
          <w:rFonts w:ascii="Times New Roman" w:eastAsia="Times New Roman" w:hAnsi="Times New Roman"/>
          <w:b/>
          <w:i/>
          <w:sz w:val="24"/>
          <w:szCs w:val="24"/>
          <w:lang w:eastAsia="x-none"/>
        </w:rPr>
        <w:t xml:space="preserve">Bokuse ya koyema musala  </w:t>
      </w:r>
    </w:p>
    <w:p w14:paraId="055635DB" w14:textId="77777777" w:rsidR="00915003" w:rsidRPr="00D75D2E" w:rsidRDefault="00915003" w:rsidP="00915003">
      <w:pPr>
        <w:pStyle w:val="Corpsdetexte"/>
        <w:spacing w:after="0"/>
        <w:jc w:val="both"/>
        <w:rPr>
          <w:rFonts w:ascii="Times New Roman" w:hAnsi="Times New Roman"/>
          <w:sz w:val="24"/>
          <w:szCs w:val="24"/>
        </w:rPr>
      </w:pPr>
      <w:r>
        <w:rPr>
          <w:rFonts w:ascii="Times New Roman" w:hAnsi="Times New Roman"/>
          <w:sz w:val="24"/>
          <w:szCs w:val="24"/>
        </w:rPr>
        <w:t>Misala oyo ekosalama na ba communes zomi (10) ya engumba etuka ya</w:t>
      </w:r>
      <w:r w:rsidRPr="00D75D2E">
        <w:rPr>
          <w:rFonts w:ascii="Times New Roman" w:hAnsi="Times New Roman"/>
          <w:sz w:val="24"/>
          <w:szCs w:val="24"/>
        </w:rPr>
        <w:t xml:space="preserve"> Kinshasa, </w:t>
      </w:r>
      <w:r>
        <w:rPr>
          <w:rFonts w:ascii="Times New Roman" w:hAnsi="Times New Roman"/>
          <w:sz w:val="24"/>
          <w:szCs w:val="24"/>
        </w:rPr>
        <w:t>na oyo etali</w:t>
      </w:r>
      <w:r w:rsidRPr="00D75D2E">
        <w:rPr>
          <w:rFonts w:ascii="Times New Roman" w:hAnsi="Times New Roman"/>
          <w:sz w:val="24"/>
          <w:szCs w:val="24"/>
        </w:rPr>
        <w:t xml:space="preserve"> Kalamu, Bumbu, Mont-Ngafula, Selembao, Ngiri-Ngiri, Makala, Ban</w:t>
      </w:r>
      <w:r>
        <w:rPr>
          <w:rFonts w:ascii="Times New Roman" w:hAnsi="Times New Roman"/>
          <w:sz w:val="24"/>
          <w:szCs w:val="24"/>
        </w:rPr>
        <w:t xml:space="preserve">dalungwa, Kintambo, Ngaliema na </w:t>
      </w:r>
      <w:r w:rsidRPr="00D75D2E">
        <w:rPr>
          <w:rFonts w:ascii="Times New Roman" w:hAnsi="Times New Roman"/>
          <w:sz w:val="24"/>
          <w:szCs w:val="24"/>
        </w:rPr>
        <w:t>Barumbu</w:t>
      </w:r>
      <w:r>
        <w:rPr>
          <w:rFonts w:ascii="Times New Roman" w:hAnsi="Times New Roman"/>
          <w:sz w:val="24"/>
          <w:szCs w:val="24"/>
        </w:rPr>
        <w:t>.</w:t>
      </w:r>
    </w:p>
    <w:p w14:paraId="575CCB21" w14:textId="77777777" w:rsidR="00915003" w:rsidRPr="00D75D2E" w:rsidRDefault="00915003" w:rsidP="00915003">
      <w:pPr>
        <w:spacing w:before="120" w:after="120" w:line="240" w:lineRule="auto"/>
        <w:ind w:right="6"/>
        <w:jc w:val="both"/>
        <w:rPr>
          <w:rFonts w:ascii="Times New Roman" w:hAnsi="Times New Roman"/>
          <w:sz w:val="24"/>
          <w:szCs w:val="24"/>
        </w:rPr>
      </w:pPr>
      <w:r>
        <w:rPr>
          <w:rFonts w:ascii="Times New Roman" w:hAnsi="Times New Roman"/>
          <w:sz w:val="24"/>
          <w:szCs w:val="24"/>
        </w:rPr>
        <w:t>Na mobimba na yango</w:t>
      </w:r>
      <w:r w:rsidRPr="00D75D2E">
        <w:rPr>
          <w:rFonts w:ascii="Times New Roman" w:hAnsi="Times New Roman"/>
          <w:sz w:val="24"/>
          <w:szCs w:val="24"/>
        </w:rPr>
        <w:t xml:space="preserve">, </w:t>
      </w:r>
      <w:r>
        <w:rPr>
          <w:rFonts w:ascii="Times New Roman" w:hAnsi="Times New Roman"/>
          <w:sz w:val="24"/>
          <w:szCs w:val="24"/>
        </w:rPr>
        <w:t xml:space="preserve">misala ya kosala na nzela ya kotiya lotiliki na bisika ya milili , ya bopeto, ya kobongisa mpe kotiya engebene bosangisi ba singa ya bokaboli lotiliki ya </w:t>
      </w:r>
      <w:r w:rsidRPr="00D75D2E">
        <w:rPr>
          <w:rFonts w:ascii="Times New Roman" w:hAnsi="Times New Roman"/>
          <w:sz w:val="24"/>
          <w:szCs w:val="24"/>
        </w:rPr>
        <w:t xml:space="preserve">SNEL </w:t>
      </w:r>
      <w:r>
        <w:rPr>
          <w:rFonts w:ascii="Times New Roman" w:hAnsi="Times New Roman"/>
          <w:sz w:val="24"/>
          <w:szCs w:val="24"/>
        </w:rPr>
        <w:t>ya ba directions ya</w:t>
      </w:r>
      <w:r w:rsidRPr="00D75D2E">
        <w:rPr>
          <w:rFonts w:ascii="Times New Roman" w:hAnsi="Times New Roman"/>
          <w:sz w:val="24"/>
          <w:szCs w:val="24"/>
        </w:rPr>
        <w:t xml:space="preserve"> Kinshasa Centre et Ouest </w:t>
      </w:r>
      <w:r>
        <w:rPr>
          <w:rFonts w:ascii="Times New Roman" w:hAnsi="Times New Roman"/>
          <w:sz w:val="24"/>
          <w:szCs w:val="24"/>
        </w:rPr>
        <w:t xml:space="preserve">oyo ezwami na musala ya sika oyo ebengami na kombo ya </w:t>
      </w:r>
      <w:r w:rsidRPr="00D75D2E">
        <w:rPr>
          <w:rFonts w:ascii="Times New Roman" w:hAnsi="Times New Roman"/>
          <w:sz w:val="24"/>
          <w:szCs w:val="24"/>
        </w:rPr>
        <w:t xml:space="preserve">« Projet de Gouvernance et d’Accès à l’Électricité, l’Eau potable et  l’Assainissement de base » </w:t>
      </w:r>
      <w:r>
        <w:rPr>
          <w:rFonts w:ascii="Times New Roman" w:hAnsi="Times New Roman"/>
          <w:sz w:val="24"/>
          <w:szCs w:val="24"/>
        </w:rPr>
        <w:t xml:space="preserve">oyo etali naino </w:t>
      </w:r>
      <w:r w:rsidRPr="00D75D2E">
        <w:rPr>
          <w:rFonts w:ascii="Times New Roman" w:hAnsi="Times New Roman"/>
          <w:sz w:val="24"/>
          <w:szCs w:val="24"/>
        </w:rPr>
        <w:t xml:space="preserve"> : </w:t>
      </w:r>
    </w:p>
    <w:p w14:paraId="1DE99026" w14:textId="77777777" w:rsidR="00915003" w:rsidRPr="00D75D2E" w:rsidRDefault="00915003" w:rsidP="00915003">
      <w:pPr>
        <w:pStyle w:val="Paragraphedeliste"/>
        <w:numPr>
          <w:ilvl w:val="0"/>
          <w:numId w:val="132"/>
        </w:numPr>
        <w:spacing w:before="120" w:after="120" w:line="240" w:lineRule="auto"/>
        <w:ind w:left="567" w:right="6" w:hanging="425"/>
        <w:jc w:val="both"/>
        <w:rPr>
          <w:rFonts w:ascii="Times New Roman" w:hAnsi="Times New Roman"/>
          <w:sz w:val="24"/>
          <w:szCs w:val="24"/>
        </w:rPr>
      </w:pPr>
      <w:r>
        <w:rPr>
          <w:rFonts w:ascii="Times New Roman" w:hAnsi="Times New Roman"/>
          <w:sz w:val="24"/>
          <w:szCs w:val="24"/>
        </w:rPr>
        <w:t>Kosunga b</w:t>
      </w:r>
      <w:r w:rsidRPr="00D75D2E">
        <w:rPr>
          <w:rFonts w:ascii="Times New Roman" w:hAnsi="Times New Roman"/>
          <w:sz w:val="24"/>
          <w:szCs w:val="24"/>
        </w:rPr>
        <w:t xml:space="preserve">a </w:t>
      </w:r>
      <w:r>
        <w:rPr>
          <w:rFonts w:ascii="Times New Roman" w:hAnsi="Times New Roman"/>
          <w:sz w:val="24"/>
          <w:szCs w:val="24"/>
        </w:rPr>
        <w:t>singa ya bokaboli (MT na</w:t>
      </w:r>
      <w:r w:rsidRPr="00D75D2E">
        <w:rPr>
          <w:rFonts w:ascii="Times New Roman" w:hAnsi="Times New Roman"/>
          <w:sz w:val="24"/>
          <w:szCs w:val="24"/>
        </w:rPr>
        <w:t xml:space="preserve"> BT) </w:t>
      </w:r>
      <w:r>
        <w:rPr>
          <w:rFonts w:ascii="Times New Roman" w:hAnsi="Times New Roman"/>
          <w:sz w:val="24"/>
          <w:szCs w:val="24"/>
        </w:rPr>
        <w:t>ya ba directions ya</w:t>
      </w:r>
      <w:r w:rsidRPr="00D75D2E">
        <w:rPr>
          <w:rFonts w:ascii="Times New Roman" w:hAnsi="Times New Roman"/>
          <w:sz w:val="24"/>
          <w:szCs w:val="24"/>
        </w:rPr>
        <w:t xml:space="preserve"> Kinshasa Centre </w:t>
      </w:r>
      <w:r>
        <w:rPr>
          <w:rFonts w:ascii="Times New Roman" w:hAnsi="Times New Roman"/>
          <w:sz w:val="24"/>
          <w:szCs w:val="24"/>
        </w:rPr>
        <w:t>mpe</w:t>
      </w:r>
      <w:r w:rsidRPr="00D75D2E">
        <w:rPr>
          <w:rFonts w:ascii="Times New Roman" w:hAnsi="Times New Roman"/>
          <w:sz w:val="24"/>
          <w:szCs w:val="24"/>
        </w:rPr>
        <w:t xml:space="preserve"> Kinshasa Ouest ;</w:t>
      </w:r>
    </w:p>
    <w:p w14:paraId="244BCF82" w14:textId="77777777" w:rsidR="00915003" w:rsidRPr="00D75D2E" w:rsidRDefault="00915003" w:rsidP="00915003">
      <w:pPr>
        <w:pStyle w:val="Paragraphedeliste"/>
        <w:numPr>
          <w:ilvl w:val="0"/>
          <w:numId w:val="132"/>
        </w:numPr>
        <w:spacing w:before="120" w:after="120" w:line="240" w:lineRule="auto"/>
        <w:ind w:left="567" w:right="6" w:hanging="425"/>
        <w:jc w:val="both"/>
        <w:rPr>
          <w:rFonts w:ascii="Times New Roman" w:hAnsi="Times New Roman"/>
          <w:sz w:val="24"/>
          <w:szCs w:val="24"/>
        </w:rPr>
      </w:pPr>
      <w:r>
        <w:rPr>
          <w:rFonts w:ascii="Times New Roman" w:hAnsi="Times New Roman"/>
          <w:sz w:val="24"/>
          <w:szCs w:val="24"/>
        </w:rPr>
        <w:t>Bopeto mpe kotiya na misala engebene bosangisi ya ba singa ya kokabola (MT na</w:t>
      </w:r>
      <w:r w:rsidRPr="00D75D2E">
        <w:rPr>
          <w:rFonts w:ascii="Times New Roman" w:hAnsi="Times New Roman"/>
          <w:sz w:val="24"/>
          <w:szCs w:val="24"/>
        </w:rPr>
        <w:t xml:space="preserve"> BT) </w:t>
      </w:r>
      <w:r>
        <w:rPr>
          <w:rFonts w:ascii="Times New Roman" w:hAnsi="Times New Roman"/>
          <w:sz w:val="24"/>
          <w:szCs w:val="24"/>
        </w:rPr>
        <w:t>ya ba</w:t>
      </w:r>
      <w:r w:rsidRPr="00D75D2E">
        <w:rPr>
          <w:rFonts w:ascii="Times New Roman" w:hAnsi="Times New Roman"/>
          <w:sz w:val="24"/>
          <w:szCs w:val="24"/>
        </w:rPr>
        <w:t xml:space="preserve"> directio</w:t>
      </w:r>
      <w:r>
        <w:rPr>
          <w:rFonts w:ascii="Times New Roman" w:hAnsi="Times New Roman"/>
          <w:sz w:val="24"/>
          <w:szCs w:val="24"/>
        </w:rPr>
        <w:t>ns ya</w:t>
      </w:r>
      <w:r w:rsidRPr="00D75D2E">
        <w:rPr>
          <w:rFonts w:ascii="Times New Roman" w:hAnsi="Times New Roman"/>
          <w:sz w:val="24"/>
          <w:szCs w:val="24"/>
        </w:rPr>
        <w:t xml:space="preserve"> Kinshasa Centre et Kinshasa Ouest ;</w:t>
      </w:r>
    </w:p>
    <w:p w14:paraId="0B646F91" w14:textId="77777777" w:rsidR="00915003" w:rsidRPr="00D75D2E" w:rsidRDefault="00915003" w:rsidP="00915003">
      <w:pPr>
        <w:pStyle w:val="Paragraphedeliste"/>
        <w:numPr>
          <w:ilvl w:val="0"/>
          <w:numId w:val="132"/>
        </w:numPr>
        <w:spacing w:before="120" w:after="120" w:line="240" w:lineRule="auto"/>
        <w:ind w:left="567" w:right="6" w:hanging="425"/>
        <w:jc w:val="both"/>
        <w:rPr>
          <w:rFonts w:ascii="Times New Roman" w:hAnsi="Times New Roman"/>
          <w:sz w:val="24"/>
          <w:szCs w:val="24"/>
        </w:rPr>
      </w:pPr>
      <w:r>
        <w:rPr>
          <w:rFonts w:ascii="Times New Roman" w:hAnsi="Times New Roman"/>
          <w:sz w:val="24"/>
          <w:szCs w:val="24"/>
        </w:rPr>
        <w:t>Kobakisa ba singa ya kokabola (MT na</w:t>
      </w:r>
      <w:r w:rsidRPr="00D75D2E">
        <w:rPr>
          <w:rFonts w:ascii="Times New Roman" w:hAnsi="Times New Roman"/>
          <w:sz w:val="24"/>
          <w:szCs w:val="24"/>
        </w:rPr>
        <w:t xml:space="preserve"> BT) </w:t>
      </w:r>
      <w:r>
        <w:rPr>
          <w:rFonts w:ascii="Times New Roman" w:hAnsi="Times New Roman"/>
          <w:sz w:val="24"/>
          <w:szCs w:val="24"/>
        </w:rPr>
        <w:t>ba directions ya</w:t>
      </w:r>
      <w:r w:rsidRPr="00D75D2E">
        <w:rPr>
          <w:rFonts w:ascii="Times New Roman" w:hAnsi="Times New Roman"/>
          <w:sz w:val="24"/>
          <w:szCs w:val="24"/>
        </w:rPr>
        <w:t xml:space="preserve"> Kinshasa Centre </w:t>
      </w:r>
      <w:r>
        <w:rPr>
          <w:rFonts w:ascii="Times New Roman" w:hAnsi="Times New Roman"/>
          <w:sz w:val="24"/>
          <w:szCs w:val="24"/>
        </w:rPr>
        <w:t>na</w:t>
      </w:r>
      <w:r w:rsidRPr="00D75D2E">
        <w:rPr>
          <w:rFonts w:ascii="Times New Roman" w:hAnsi="Times New Roman"/>
          <w:sz w:val="24"/>
          <w:szCs w:val="24"/>
        </w:rPr>
        <w:t xml:space="preserve"> Kinshasa Ouest ;</w:t>
      </w:r>
      <w:r>
        <w:rPr>
          <w:rFonts w:ascii="Times New Roman" w:hAnsi="Times New Roman"/>
          <w:sz w:val="24"/>
          <w:szCs w:val="24"/>
        </w:rPr>
        <w:t xml:space="preserve"> </w:t>
      </w:r>
    </w:p>
    <w:p w14:paraId="2718D024" w14:textId="77777777" w:rsidR="00915003" w:rsidRPr="00D75D2E" w:rsidRDefault="00915003" w:rsidP="00915003">
      <w:pPr>
        <w:pStyle w:val="Paragraphedeliste"/>
        <w:numPr>
          <w:ilvl w:val="0"/>
          <w:numId w:val="132"/>
        </w:numPr>
        <w:spacing w:before="120" w:after="120" w:line="240" w:lineRule="auto"/>
        <w:ind w:left="567" w:right="6" w:hanging="425"/>
        <w:jc w:val="both"/>
        <w:rPr>
          <w:rFonts w:ascii="Times New Roman" w:hAnsi="Times New Roman"/>
          <w:sz w:val="24"/>
          <w:szCs w:val="24"/>
        </w:rPr>
      </w:pPr>
      <w:r>
        <w:rPr>
          <w:rFonts w:ascii="Times New Roman" w:hAnsi="Times New Roman"/>
          <w:sz w:val="24"/>
          <w:szCs w:val="24"/>
        </w:rPr>
        <w:t>Kotiya ba</w:t>
      </w:r>
      <w:r w:rsidRPr="00D75D2E">
        <w:rPr>
          <w:rFonts w:ascii="Times New Roman" w:hAnsi="Times New Roman"/>
          <w:sz w:val="24"/>
          <w:szCs w:val="24"/>
        </w:rPr>
        <w:t xml:space="preserve"> compteurs BT </w:t>
      </w:r>
      <w:r>
        <w:rPr>
          <w:rFonts w:ascii="Times New Roman" w:hAnsi="Times New Roman"/>
          <w:sz w:val="24"/>
          <w:szCs w:val="24"/>
        </w:rPr>
        <w:t>oyo bafutaka liboso osalela lotiliki na ba ndako</w:t>
      </w:r>
      <w:r w:rsidRPr="00D75D2E">
        <w:rPr>
          <w:rFonts w:ascii="Times New Roman" w:hAnsi="Times New Roman"/>
          <w:sz w:val="24"/>
          <w:szCs w:val="24"/>
        </w:rPr>
        <w:t xml:space="preserve">. </w:t>
      </w:r>
    </w:p>
    <w:p w14:paraId="7DF5ACF9" w14:textId="77777777" w:rsidR="00915003" w:rsidRPr="005F4ACA" w:rsidRDefault="00915003" w:rsidP="00915003">
      <w:pPr>
        <w:spacing w:line="240" w:lineRule="auto"/>
        <w:jc w:val="both"/>
        <w:rPr>
          <w:rFonts w:ascii="Times New Roman" w:hAnsi="Times New Roman"/>
          <w:sz w:val="24"/>
          <w:szCs w:val="24"/>
        </w:rPr>
      </w:pPr>
      <w:r>
        <w:rPr>
          <w:rFonts w:ascii="Times New Roman" w:hAnsi="Times New Roman"/>
          <w:iCs/>
          <w:sz w:val="24"/>
          <w:szCs w:val="24"/>
        </w:rPr>
        <w:t>Kosalala misala oyo eko bota solo bilembo ya malamu ya efandelo ya batu, mimbongo mpe bisika bizingi batu kasi lisusu mpe bilembo ya mabe mpe makama oyo na ntangu misala  ekobanda</w:t>
      </w:r>
      <w:r w:rsidRPr="00D75D2E">
        <w:rPr>
          <w:rFonts w:ascii="Times New Roman" w:hAnsi="Times New Roman"/>
          <w:b/>
          <w:iCs/>
          <w:sz w:val="24"/>
          <w:szCs w:val="24"/>
        </w:rPr>
        <w:t xml:space="preserve">. </w:t>
      </w:r>
      <w:r>
        <w:rPr>
          <w:rFonts w:ascii="Times New Roman" w:hAnsi="Times New Roman"/>
          <w:b/>
          <w:iCs/>
          <w:sz w:val="24"/>
          <w:szCs w:val="24"/>
        </w:rPr>
        <w:t xml:space="preserve"> </w:t>
      </w:r>
      <w:r w:rsidRPr="005F4ACA">
        <w:rPr>
          <w:rFonts w:ascii="Times New Roman" w:hAnsi="Times New Roman"/>
          <w:iCs/>
          <w:sz w:val="24"/>
          <w:szCs w:val="24"/>
        </w:rPr>
        <w:t xml:space="preserve">Nde ntina ya koluka mpe kotala-tala bilembo ya mabe na bisika bizingi batu na efandelo na bango mpe kobatela bilembo wana mpona kotosa na mibeko ya mboka mpe ya bisika bizingi batu na efandelo na bango (NES) ya banki ya molongo mobimba, oyo bokambami ya misala </w:t>
      </w:r>
      <w:r w:rsidRPr="00D60172">
        <w:rPr>
          <w:rFonts w:ascii="Times New Roman" w:hAnsi="Times New Roman"/>
          <w:iCs/>
          <w:sz w:val="24"/>
          <w:szCs w:val="24"/>
        </w:rPr>
        <w:t>abandeli</w:t>
      </w:r>
      <w:r w:rsidRPr="005F4ACA">
        <w:rPr>
          <w:rFonts w:ascii="Times New Roman" w:hAnsi="Times New Roman"/>
          <w:iCs/>
          <w:sz w:val="24"/>
          <w:szCs w:val="24"/>
        </w:rPr>
        <w:t xml:space="preserve"> musala ya</w:t>
      </w:r>
      <w:r>
        <w:rPr>
          <w:rFonts w:ascii="Times New Roman" w:hAnsi="Times New Roman"/>
          <w:iCs/>
          <w:sz w:val="24"/>
          <w:szCs w:val="24"/>
        </w:rPr>
        <w:t xml:space="preserve"> </w:t>
      </w:r>
      <w:r w:rsidRPr="00D75D2E">
        <w:rPr>
          <w:rFonts w:ascii="Times New Roman" w:hAnsi="Times New Roman"/>
          <w:b/>
          <w:bCs/>
          <w:iCs/>
          <w:sz w:val="24"/>
          <w:szCs w:val="24"/>
        </w:rPr>
        <w:t xml:space="preserve">Etude d’Impact Environnemental et Social (EIES) </w:t>
      </w:r>
      <w:r w:rsidRPr="005F4ACA">
        <w:rPr>
          <w:rFonts w:ascii="Times New Roman" w:hAnsi="Times New Roman"/>
          <w:bCs/>
          <w:iCs/>
          <w:sz w:val="24"/>
          <w:szCs w:val="24"/>
        </w:rPr>
        <w:t>ya misala ya kokotisa lotiliki na bisika ya milili , ya bopeto, ya kobongisa mpe kotiya na misala engebene ba singa ya lotiliki ya SNEL ya ba Directions ya Kinshasa Centre et Ouest (DKC-DKO)</w:t>
      </w:r>
      <w:r w:rsidRPr="005F4ACA">
        <w:rPr>
          <w:rFonts w:ascii="Times New Roman" w:hAnsi="Times New Roman"/>
          <w:iCs/>
          <w:sz w:val="24"/>
          <w:szCs w:val="24"/>
        </w:rPr>
        <w:t>.</w:t>
      </w:r>
      <w:r w:rsidRPr="005F4ACA">
        <w:rPr>
          <w:rFonts w:ascii="Times New Roman" w:hAnsi="Times New Roman"/>
          <w:sz w:val="24"/>
          <w:szCs w:val="24"/>
        </w:rPr>
        <w:t xml:space="preserve"> </w:t>
      </w:r>
    </w:p>
    <w:p w14:paraId="54F9B9A0" w14:textId="77777777" w:rsidR="00915003" w:rsidRDefault="00915003" w:rsidP="00915003">
      <w:pPr>
        <w:spacing w:after="120" w:line="276" w:lineRule="auto"/>
        <w:jc w:val="both"/>
        <w:rPr>
          <w:rFonts w:ascii="Times New Roman" w:hAnsi="Times New Roman"/>
          <w:iCs/>
          <w:sz w:val="24"/>
          <w:szCs w:val="24"/>
        </w:rPr>
      </w:pPr>
      <w:r>
        <w:rPr>
          <w:rFonts w:ascii="Times New Roman" w:hAnsi="Times New Roman"/>
          <w:bCs/>
          <w:iCs/>
          <w:sz w:val="24"/>
          <w:szCs w:val="24"/>
        </w:rPr>
        <w:t>M</w:t>
      </w:r>
      <w:r w:rsidRPr="005F4ACA">
        <w:rPr>
          <w:rFonts w:ascii="Times New Roman" w:hAnsi="Times New Roman"/>
          <w:bCs/>
          <w:iCs/>
          <w:sz w:val="24"/>
          <w:szCs w:val="24"/>
        </w:rPr>
        <w:t>isala ya kokoti</w:t>
      </w:r>
      <w:r>
        <w:rPr>
          <w:rFonts w:ascii="Times New Roman" w:hAnsi="Times New Roman"/>
          <w:bCs/>
          <w:iCs/>
          <w:sz w:val="24"/>
          <w:szCs w:val="24"/>
        </w:rPr>
        <w:t>sa lotiliki na bisika ya milili</w:t>
      </w:r>
      <w:r w:rsidRPr="005F4ACA">
        <w:rPr>
          <w:rFonts w:ascii="Times New Roman" w:hAnsi="Times New Roman"/>
          <w:bCs/>
          <w:iCs/>
          <w:sz w:val="24"/>
          <w:szCs w:val="24"/>
        </w:rPr>
        <w:t>, ya bopeto, ya kobongisa mpe kotiya na misala engebene ba singa ya lotiliki ya SNEL ya ba Directions ya Kinshasa Centre et Ouest (DKC-DKO)</w:t>
      </w:r>
      <w:r w:rsidRPr="005F4ACA">
        <w:rPr>
          <w:rFonts w:ascii="Times New Roman" w:hAnsi="Times New Roman"/>
          <w:iCs/>
          <w:sz w:val="24"/>
          <w:szCs w:val="24"/>
        </w:rPr>
        <w:t xml:space="preserve"> etiami lokola oyo ya makama mingi na oyo etali bisika bizingi batu na efandelo na bango mpe makama mingi na oyo etali EAS/HS</w:t>
      </w:r>
      <w:r>
        <w:rPr>
          <w:rFonts w:ascii="Times New Roman" w:hAnsi="Times New Roman"/>
          <w:iCs/>
          <w:sz w:val="24"/>
          <w:szCs w:val="24"/>
        </w:rPr>
        <w:t>.</w:t>
      </w:r>
    </w:p>
    <w:p w14:paraId="0B5321FE" w14:textId="77777777" w:rsidR="00915003" w:rsidRPr="00971CA0" w:rsidRDefault="00915003" w:rsidP="00215867">
      <w:pPr>
        <w:numPr>
          <w:ilvl w:val="0"/>
          <w:numId w:val="503"/>
        </w:numPr>
        <w:spacing w:before="120" w:after="120" w:line="276" w:lineRule="auto"/>
        <w:ind w:left="714" w:hanging="357"/>
        <w:jc w:val="both"/>
        <w:rPr>
          <w:rFonts w:ascii="Times New Roman" w:hAnsi="Times New Roman"/>
          <w:b/>
          <w:i/>
          <w:sz w:val="24"/>
          <w:szCs w:val="24"/>
        </w:rPr>
      </w:pPr>
      <w:r>
        <w:rPr>
          <w:rFonts w:ascii="Times New Roman" w:hAnsi="Times New Roman"/>
          <w:b/>
          <w:i/>
          <w:sz w:val="24"/>
          <w:szCs w:val="24"/>
        </w:rPr>
        <w:t>Lolenge ya kotiya na misala</w:t>
      </w:r>
    </w:p>
    <w:p w14:paraId="0F4BD236" w14:textId="77777777" w:rsidR="00915003" w:rsidRDefault="00915003" w:rsidP="00915003">
      <w:pPr>
        <w:pStyle w:val="Commentaire"/>
        <w:jc w:val="both"/>
      </w:pPr>
      <w:r>
        <w:rPr>
          <w:rFonts w:ascii="Times New Roman" w:hAnsi="Times New Roman"/>
          <w:iCs/>
          <w:sz w:val="24"/>
          <w:szCs w:val="24"/>
        </w:rPr>
        <w:t>Kotiya na misala ekosalema na bokambami ya Unité de Coordination et de Management des Projets ya ministère des Ressources hydrauliques et électricité, oyo akotala makambu ya misolo mpe ya tekiniki eko zala na bokambami ya Kompany ya bana mboka ya lotiliki (SNEL). Ye akozwa na misala ba kompany misusu mpo na oyo etali kotonga.</w:t>
      </w:r>
    </w:p>
    <w:p w14:paraId="6ACC1949" w14:textId="77777777" w:rsidR="00915003" w:rsidRPr="000125EF" w:rsidRDefault="00915003" w:rsidP="00915003">
      <w:pPr>
        <w:spacing w:before="120" w:after="120" w:line="240" w:lineRule="auto"/>
        <w:jc w:val="both"/>
        <w:rPr>
          <w:rFonts w:ascii="Times New Roman" w:hAnsi="Times New Roman"/>
          <w:iCs/>
          <w:sz w:val="24"/>
          <w:szCs w:val="24"/>
        </w:rPr>
      </w:pPr>
      <w:r>
        <w:rPr>
          <w:rFonts w:ascii="Times New Roman" w:hAnsi="Times New Roman"/>
          <w:iCs/>
          <w:sz w:val="24"/>
          <w:szCs w:val="24"/>
        </w:rPr>
        <w:t xml:space="preserve">Na oyo etali Mbula-matari misala ekosalama na nzela ya bokambami ya </w:t>
      </w:r>
      <w:r w:rsidRPr="009E197F">
        <w:rPr>
          <w:rFonts w:ascii="Times New Roman" w:hAnsi="Times New Roman"/>
          <w:iCs/>
          <w:sz w:val="24"/>
          <w:szCs w:val="24"/>
        </w:rPr>
        <w:t xml:space="preserve">Unité de Coordination et de Management des projets (UCM) </w:t>
      </w:r>
      <w:r>
        <w:rPr>
          <w:rFonts w:ascii="Times New Roman" w:hAnsi="Times New Roman"/>
          <w:iCs/>
          <w:sz w:val="24"/>
          <w:szCs w:val="24"/>
        </w:rPr>
        <w:t>ya</w:t>
      </w:r>
      <w:r w:rsidRPr="009E197F">
        <w:rPr>
          <w:rFonts w:ascii="Times New Roman" w:hAnsi="Times New Roman"/>
          <w:iCs/>
          <w:sz w:val="24"/>
          <w:szCs w:val="24"/>
        </w:rPr>
        <w:t xml:space="preserve"> Ministère des Ressources Hydra</w:t>
      </w:r>
      <w:r>
        <w:rPr>
          <w:rFonts w:ascii="Times New Roman" w:hAnsi="Times New Roman"/>
          <w:iCs/>
          <w:sz w:val="24"/>
          <w:szCs w:val="24"/>
        </w:rPr>
        <w:t xml:space="preserve">uliques et de l’électricité, </w:t>
      </w:r>
      <w:r w:rsidRPr="009E197F">
        <w:rPr>
          <w:rFonts w:ascii="Times New Roman" w:hAnsi="Times New Roman"/>
          <w:iCs/>
          <w:sz w:val="24"/>
          <w:szCs w:val="24"/>
        </w:rPr>
        <w:t xml:space="preserve">Ministère de l'Environnement et Développement Durable (MEDD) </w:t>
      </w:r>
      <w:r>
        <w:rPr>
          <w:rFonts w:ascii="Times New Roman" w:hAnsi="Times New Roman"/>
          <w:iCs/>
          <w:sz w:val="24"/>
          <w:szCs w:val="24"/>
        </w:rPr>
        <w:t xml:space="preserve">na nzela ya </w:t>
      </w:r>
      <w:r w:rsidRPr="00AE31F1">
        <w:rPr>
          <w:rFonts w:ascii="Times New Roman" w:hAnsi="Times New Roman"/>
          <w:iCs/>
          <w:sz w:val="24"/>
          <w:szCs w:val="24"/>
        </w:rPr>
        <w:t xml:space="preserve">Agence Congolaise de l’Environnement (ACE) </w:t>
      </w:r>
      <w:r>
        <w:rPr>
          <w:rFonts w:ascii="Times New Roman" w:hAnsi="Times New Roman"/>
          <w:iCs/>
          <w:sz w:val="24"/>
          <w:szCs w:val="24"/>
        </w:rPr>
        <w:t xml:space="preserve">oyo aza na litomba ya kotala-tala mpe kondima misala nyoso ya mayele ya bisika bizingi batu na efandeli na bango mpe kolandela lolenge misala ekosalema ; </w:t>
      </w:r>
      <w:r w:rsidRPr="001F1282">
        <w:rPr>
          <w:rFonts w:ascii="Times New Roman" w:hAnsi="Times New Roman"/>
          <w:iCs/>
          <w:sz w:val="24"/>
          <w:szCs w:val="24"/>
        </w:rPr>
        <w:t xml:space="preserve">Ministère de l’Emploi, Travail et Prévoyance Sociale ; </w:t>
      </w:r>
      <w:r w:rsidRPr="00AE31F1">
        <w:rPr>
          <w:rFonts w:ascii="Times New Roman" w:hAnsi="Times New Roman"/>
          <w:iCs/>
          <w:sz w:val="24"/>
          <w:szCs w:val="24"/>
        </w:rPr>
        <w:t xml:space="preserve">le </w:t>
      </w:r>
      <w:r w:rsidRPr="00DD03AA">
        <w:rPr>
          <w:rFonts w:ascii="Times New Roman" w:hAnsi="Times New Roman"/>
          <w:iCs/>
          <w:sz w:val="24"/>
          <w:szCs w:val="24"/>
        </w:rPr>
        <w:t xml:space="preserve">Ministère de la Santé publique </w:t>
      </w:r>
      <w:r>
        <w:rPr>
          <w:rFonts w:ascii="Times New Roman" w:hAnsi="Times New Roman"/>
          <w:iCs/>
          <w:sz w:val="24"/>
          <w:szCs w:val="24"/>
        </w:rPr>
        <w:t>na</w:t>
      </w:r>
      <w:r w:rsidRPr="00DD03AA">
        <w:rPr>
          <w:rFonts w:ascii="Times New Roman" w:hAnsi="Times New Roman"/>
          <w:iCs/>
          <w:sz w:val="24"/>
          <w:szCs w:val="24"/>
        </w:rPr>
        <w:t xml:space="preserve"> Comité Multis</w:t>
      </w:r>
      <w:r>
        <w:rPr>
          <w:rFonts w:ascii="Times New Roman" w:hAnsi="Times New Roman"/>
          <w:iCs/>
          <w:sz w:val="24"/>
          <w:szCs w:val="24"/>
        </w:rPr>
        <w:t>ectoriel de Riposte contre la</w:t>
      </w:r>
      <w:r w:rsidRPr="004C12CB">
        <w:rPr>
          <w:rFonts w:ascii="Times New Roman" w:hAnsi="Times New Roman"/>
          <w:iCs/>
          <w:sz w:val="24"/>
          <w:szCs w:val="24"/>
        </w:rPr>
        <w:t xml:space="preserve"> COVID-19 </w:t>
      </w:r>
      <w:r>
        <w:rPr>
          <w:rFonts w:ascii="Times New Roman" w:hAnsi="Times New Roman"/>
          <w:iCs/>
          <w:sz w:val="24"/>
          <w:szCs w:val="24"/>
        </w:rPr>
        <w:t xml:space="preserve">na mpe botangisi ya bokolongono ya nzoto oyo ezwui na maboko lisalisi na ba oyo ba biki na makamo ya kozwa basi na makasi ; </w:t>
      </w:r>
      <w:r w:rsidRPr="004C12CB">
        <w:rPr>
          <w:rFonts w:ascii="Times New Roman" w:hAnsi="Times New Roman"/>
          <w:iCs/>
          <w:sz w:val="24"/>
          <w:szCs w:val="24"/>
        </w:rPr>
        <w:t>mini</w:t>
      </w:r>
      <w:r>
        <w:rPr>
          <w:rFonts w:ascii="Times New Roman" w:hAnsi="Times New Roman"/>
          <w:iCs/>
          <w:sz w:val="24"/>
          <w:szCs w:val="24"/>
        </w:rPr>
        <w:t xml:space="preserve">stère des affaires sociales, </w:t>
      </w:r>
      <w:r w:rsidRPr="004C12CB">
        <w:rPr>
          <w:rFonts w:ascii="Times New Roman" w:hAnsi="Times New Roman"/>
          <w:iCs/>
          <w:sz w:val="24"/>
          <w:szCs w:val="24"/>
        </w:rPr>
        <w:t>Ministère du G</w:t>
      </w:r>
      <w:r>
        <w:rPr>
          <w:rFonts w:ascii="Times New Roman" w:hAnsi="Times New Roman"/>
          <w:iCs/>
          <w:sz w:val="24"/>
          <w:szCs w:val="24"/>
        </w:rPr>
        <w:t xml:space="preserve">enre Enfant na </w:t>
      </w:r>
      <w:r w:rsidRPr="00BB1D8F">
        <w:rPr>
          <w:rFonts w:ascii="Times New Roman" w:hAnsi="Times New Roman"/>
          <w:iCs/>
          <w:sz w:val="24"/>
          <w:szCs w:val="24"/>
        </w:rPr>
        <w:t xml:space="preserve">Famille, </w:t>
      </w:r>
      <w:r>
        <w:rPr>
          <w:rFonts w:ascii="Times New Roman" w:hAnsi="Times New Roman"/>
          <w:iCs/>
          <w:sz w:val="24"/>
          <w:szCs w:val="24"/>
        </w:rPr>
        <w:t xml:space="preserve">ba balani, ba </w:t>
      </w:r>
      <w:r w:rsidRPr="00BB1D8F">
        <w:rPr>
          <w:rFonts w:ascii="Times New Roman" w:hAnsi="Times New Roman"/>
          <w:iCs/>
          <w:sz w:val="24"/>
          <w:szCs w:val="24"/>
        </w:rPr>
        <w:t>ONG </w:t>
      </w:r>
      <w:r>
        <w:rPr>
          <w:rFonts w:ascii="Times New Roman" w:hAnsi="Times New Roman"/>
          <w:iCs/>
          <w:sz w:val="24"/>
          <w:szCs w:val="24"/>
        </w:rPr>
        <w:t xml:space="preserve">ya bisika misala ekosalama mpe ba </w:t>
      </w:r>
      <w:r w:rsidRPr="00BB1D8F">
        <w:rPr>
          <w:rFonts w:ascii="Times New Roman" w:hAnsi="Times New Roman"/>
          <w:iCs/>
          <w:sz w:val="24"/>
          <w:szCs w:val="24"/>
        </w:rPr>
        <w:t xml:space="preserve">OBC  </w:t>
      </w:r>
      <w:r>
        <w:rPr>
          <w:rFonts w:ascii="Times New Roman" w:hAnsi="Times New Roman"/>
          <w:iCs/>
          <w:sz w:val="24"/>
          <w:szCs w:val="24"/>
        </w:rPr>
        <w:t>oyo etali kaka</w:t>
      </w:r>
      <w:r w:rsidRPr="00BB1D8F">
        <w:rPr>
          <w:rFonts w:ascii="Times New Roman" w:hAnsi="Times New Roman"/>
          <w:iCs/>
          <w:sz w:val="24"/>
          <w:szCs w:val="24"/>
        </w:rPr>
        <w:t xml:space="preserve"> VBG ; etc.  </w:t>
      </w:r>
    </w:p>
    <w:p w14:paraId="32F30426" w14:textId="77777777" w:rsidR="00915003" w:rsidRPr="002A6B9A" w:rsidRDefault="00915003" w:rsidP="00915003">
      <w:pPr>
        <w:spacing w:before="120" w:after="120" w:line="276" w:lineRule="auto"/>
        <w:jc w:val="both"/>
        <w:rPr>
          <w:rFonts w:ascii="Times New Roman" w:eastAsia="Times New Roman" w:hAnsi="Times New Roman"/>
          <w:b/>
          <w:i/>
          <w:sz w:val="24"/>
          <w:szCs w:val="24"/>
          <w:lang w:eastAsia="x-none"/>
        </w:rPr>
      </w:pPr>
      <w:r>
        <w:rPr>
          <w:rFonts w:ascii="Times New Roman" w:hAnsi="Times New Roman"/>
          <w:iCs/>
          <w:sz w:val="24"/>
          <w:szCs w:val="24"/>
        </w:rPr>
        <w:t xml:space="preserve">Na kati na ba oyo basengeli kozala ezali Coordination Provinciale ya Environnement (CPE), na </w:t>
      </w:r>
      <w:r w:rsidRPr="00AE31F1">
        <w:rPr>
          <w:rFonts w:ascii="Times New Roman" w:hAnsi="Times New Roman"/>
          <w:iCs/>
          <w:sz w:val="24"/>
          <w:szCs w:val="24"/>
        </w:rPr>
        <w:t xml:space="preserve">Coordination Urbaine de l’Environnement (CUE) </w:t>
      </w:r>
      <w:r>
        <w:rPr>
          <w:rFonts w:ascii="Times New Roman" w:hAnsi="Times New Roman"/>
          <w:iCs/>
          <w:sz w:val="24"/>
          <w:szCs w:val="24"/>
        </w:rPr>
        <w:t>mpe</w:t>
      </w:r>
      <w:r w:rsidRPr="00AE31F1">
        <w:rPr>
          <w:rFonts w:ascii="Times New Roman" w:hAnsi="Times New Roman"/>
          <w:iCs/>
          <w:sz w:val="24"/>
          <w:szCs w:val="24"/>
        </w:rPr>
        <w:t xml:space="preserve"> Comité de Pilotage Local (CPL) de </w:t>
      </w:r>
      <w:r>
        <w:rPr>
          <w:rFonts w:ascii="Times New Roman" w:hAnsi="Times New Roman"/>
          <w:iCs/>
          <w:sz w:val="24"/>
          <w:szCs w:val="24"/>
        </w:rPr>
        <w:t>ya</w:t>
      </w:r>
      <w:r w:rsidRPr="00AE31F1">
        <w:rPr>
          <w:rFonts w:ascii="Times New Roman" w:hAnsi="Times New Roman"/>
          <w:iCs/>
          <w:sz w:val="24"/>
          <w:szCs w:val="24"/>
        </w:rPr>
        <w:t xml:space="preserve"> commune </w:t>
      </w:r>
      <w:r>
        <w:rPr>
          <w:rFonts w:ascii="Times New Roman" w:hAnsi="Times New Roman"/>
          <w:iCs/>
          <w:sz w:val="24"/>
          <w:szCs w:val="24"/>
        </w:rPr>
        <w:t>nyoso oyo etali misala wana</w:t>
      </w:r>
      <w:r w:rsidRPr="00AE31F1">
        <w:rPr>
          <w:rFonts w:ascii="Times New Roman" w:hAnsi="Times New Roman"/>
          <w:iCs/>
          <w:sz w:val="24"/>
          <w:szCs w:val="24"/>
        </w:rPr>
        <w:t xml:space="preserve">. </w:t>
      </w:r>
    </w:p>
    <w:p w14:paraId="2FF2FEBF" w14:textId="77777777" w:rsidR="00915003" w:rsidRPr="001B6A34" w:rsidRDefault="00915003" w:rsidP="00215867">
      <w:pPr>
        <w:numPr>
          <w:ilvl w:val="0"/>
          <w:numId w:val="503"/>
        </w:numPr>
        <w:spacing w:before="120" w:after="120" w:line="276" w:lineRule="auto"/>
        <w:ind w:left="714" w:hanging="357"/>
        <w:jc w:val="both"/>
        <w:rPr>
          <w:rFonts w:ascii="Times New Roman" w:hAnsi="Times New Roman"/>
          <w:b/>
          <w:i/>
          <w:sz w:val="24"/>
          <w:szCs w:val="24"/>
        </w:rPr>
      </w:pPr>
      <w:r>
        <w:rPr>
          <w:rFonts w:ascii="Times New Roman" w:hAnsi="Times New Roman"/>
          <w:b/>
          <w:i/>
          <w:sz w:val="24"/>
          <w:szCs w:val="24"/>
        </w:rPr>
        <w:t xml:space="preserve"> Mukuse lolenge ya koyema esika yambo misala ebanda</w:t>
      </w:r>
      <w:r w:rsidRPr="001B6A34">
        <w:rPr>
          <w:rFonts w:ascii="Times New Roman" w:hAnsi="Times New Roman"/>
          <w:b/>
          <w:i/>
          <w:sz w:val="24"/>
          <w:szCs w:val="24"/>
        </w:rPr>
        <w:t xml:space="preserve"> </w:t>
      </w:r>
    </w:p>
    <w:p w14:paraId="1823B02B" w14:textId="77777777" w:rsidR="00915003" w:rsidRPr="005F0D70" w:rsidRDefault="00915003" w:rsidP="00915003">
      <w:pPr>
        <w:spacing w:line="240" w:lineRule="auto"/>
        <w:jc w:val="both"/>
        <w:rPr>
          <w:rFonts w:ascii="Times New Roman" w:hAnsi="Times New Roman"/>
          <w:sz w:val="24"/>
          <w:szCs w:val="24"/>
        </w:rPr>
      </w:pPr>
      <w:r>
        <w:rPr>
          <w:rFonts w:ascii="Times New Roman" w:hAnsi="Times New Roman"/>
          <w:sz w:val="24"/>
          <w:szCs w:val="24"/>
        </w:rPr>
        <w:t>Esika misala ekosalama ekambi commune zomi (10) ya engumba ya</w:t>
      </w:r>
      <w:r w:rsidRPr="00D75D2E">
        <w:rPr>
          <w:rFonts w:ascii="Times New Roman" w:hAnsi="Times New Roman"/>
          <w:sz w:val="24"/>
          <w:szCs w:val="24"/>
        </w:rPr>
        <w:t xml:space="preserve"> Kinshasa, </w:t>
      </w:r>
      <w:r>
        <w:rPr>
          <w:rFonts w:ascii="Times New Roman" w:hAnsi="Times New Roman"/>
          <w:sz w:val="24"/>
          <w:szCs w:val="24"/>
        </w:rPr>
        <w:t>oyo :</w:t>
      </w:r>
      <w:r w:rsidRPr="00D75D2E">
        <w:rPr>
          <w:rFonts w:ascii="Times New Roman" w:hAnsi="Times New Roman"/>
          <w:sz w:val="24"/>
          <w:szCs w:val="24"/>
        </w:rPr>
        <w:t xml:space="preserve"> Kalamu, Bumbu, Mont-Ngafula, Selembao, Ngiri-Ngiri, Makala, Ba</w:t>
      </w:r>
      <w:r>
        <w:rPr>
          <w:rFonts w:ascii="Times New Roman" w:hAnsi="Times New Roman"/>
          <w:sz w:val="24"/>
          <w:szCs w:val="24"/>
        </w:rPr>
        <w:t>ndalungwa, Kintambo, Ngaliema na</w:t>
      </w:r>
      <w:r w:rsidRPr="00D75D2E">
        <w:rPr>
          <w:rFonts w:ascii="Times New Roman" w:hAnsi="Times New Roman"/>
          <w:sz w:val="24"/>
          <w:szCs w:val="24"/>
        </w:rPr>
        <w:t xml:space="preserve"> Barumbu</w:t>
      </w:r>
      <w:r>
        <w:rPr>
          <w:rFonts w:ascii="Times New Roman" w:hAnsi="Times New Roman"/>
          <w:sz w:val="24"/>
          <w:szCs w:val="24"/>
        </w:rPr>
        <w:t>, oyo elakisi 60% ya etando ya engumba</w:t>
      </w:r>
      <w:r w:rsidRPr="00D75D2E">
        <w:rPr>
          <w:rFonts w:ascii="Times New Roman" w:hAnsi="Times New Roman"/>
          <w:sz w:val="24"/>
          <w:szCs w:val="24"/>
        </w:rPr>
        <w:t>.</w:t>
      </w:r>
      <w:r w:rsidRPr="00D75D2E">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Bisika yango ezali moyi makasi mpe mbula na ntango mibale : ya mvula kobanda na sanza ya libwa ti na sanza ya mitano mpe eleko ya elanga wuta sanza ya motoba kino sanza ya libwa.</w:t>
      </w:r>
      <w:r w:rsidRPr="00D75D2E">
        <w:rPr>
          <w:rFonts w:ascii="Times New Roman" w:hAnsi="Times New Roman"/>
          <w:sz w:val="24"/>
          <w:szCs w:val="24"/>
        </w:rPr>
        <w:t xml:space="preserve"> </w:t>
      </w:r>
      <w:r>
        <w:rPr>
          <w:rFonts w:ascii="Times New Roman" w:hAnsi="Times New Roman"/>
          <w:sz w:val="24"/>
          <w:szCs w:val="24"/>
        </w:rPr>
        <w:t>Mabele ezali na bangomba ya mike</w:t>
      </w:r>
      <w:r w:rsidRPr="00D75D2E">
        <w:rPr>
          <w:rFonts w:ascii="Times New Roman" w:hAnsi="Times New Roman"/>
          <w:sz w:val="24"/>
          <w:szCs w:val="24"/>
        </w:rPr>
        <w:t>.</w:t>
      </w:r>
      <w:r w:rsidRPr="00D75D2E">
        <w:rPr>
          <w:rFonts w:ascii="Times New Roman" w:eastAsia="Times New Roman" w:hAnsi="Times New Roman"/>
          <w:sz w:val="24"/>
          <w:szCs w:val="24"/>
          <w:lang w:eastAsia="fr-FR"/>
        </w:rPr>
        <w:t xml:space="preserve"> </w:t>
      </w:r>
      <w:r w:rsidRPr="00D75D2E">
        <w:rPr>
          <w:rFonts w:ascii="Times New Roman" w:hAnsi="Times New Roman"/>
          <w:sz w:val="24"/>
          <w:szCs w:val="24"/>
        </w:rPr>
        <w:t>L</w:t>
      </w:r>
      <w:r>
        <w:rPr>
          <w:rFonts w:ascii="Times New Roman" w:hAnsi="Times New Roman"/>
          <w:sz w:val="24"/>
          <w:szCs w:val="24"/>
        </w:rPr>
        <w:t xml:space="preserve">isanga ya mayi eza na ndambu ya ba mayi ndakisa la Paix, Nzopindo, Basoko I mpe II  na </w:t>
      </w:r>
      <w:r w:rsidRPr="00D75D2E">
        <w:rPr>
          <w:rFonts w:ascii="Times New Roman" w:hAnsi="Times New Roman"/>
          <w:sz w:val="24"/>
          <w:szCs w:val="24"/>
        </w:rPr>
        <w:t>Makanza.</w:t>
      </w:r>
      <w:r w:rsidRPr="00D75D2E">
        <w:rPr>
          <w:rFonts w:ascii="Times New Roman" w:hAnsi="Times New Roman"/>
          <w:bCs/>
          <w:iCs/>
          <w:sz w:val="24"/>
          <w:szCs w:val="24"/>
        </w:rPr>
        <w:t xml:space="preserve"> </w:t>
      </w:r>
      <w:r>
        <w:rPr>
          <w:rFonts w:ascii="Times New Roman" w:hAnsi="Times New Roman"/>
          <w:bCs/>
          <w:iCs/>
          <w:sz w:val="24"/>
          <w:szCs w:val="24"/>
        </w:rPr>
        <w:t xml:space="preserve">Mabele eza ya lolenge ya </w:t>
      </w:r>
      <w:r w:rsidRPr="00D75D2E">
        <w:rPr>
          <w:rFonts w:ascii="Times New Roman" w:hAnsi="Times New Roman"/>
          <w:sz w:val="24"/>
          <w:szCs w:val="24"/>
        </w:rPr>
        <w:t xml:space="preserve">Arénoferrasol, </w:t>
      </w:r>
      <w:r>
        <w:rPr>
          <w:rFonts w:ascii="Times New Roman" w:hAnsi="Times New Roman"/>
          <w:sz w:val="24"/>
          <w:szCs w:val="24"/>
        </w:rPr>
        <w:t xml:space="preserve">esangani na zelo ya mike-mike mpe na poto-poto (oyo eleki te </w:t>
      </w:r>
      <w:r w:rsidRPr="00D75D2E">
        <w:rPr>
          <w:rFonts w:ascii="Times New Roman" w:hAnsi="Times New Roman"/>
          <w:sz w:val="24"/>
          <w:szCs w:val="24"/>
        </w:rPr>
        <w:t xml:space="preserve">20%) </w:t>
      </w:r>
      <w:r>
        <w:rPr>
          <w:rFonts w:ascii="Times New Roman" w:hAnsi="Times New Roman"/>
          <w:sz w:val="24"/>
          <w:szCs w:val="24"/>
        </w:rPr>
        <w:t>na ndambu ya makasa ya kopola</w:t>
      </w:r>
      <w:r w:rsidRPr="00D75D2E">
        <w:rPr>
          <w:rFonts w:ascii="Times New Roman" w:hAnsi="Times New Roman"/>
          <w:sz w:val="24"/>
          <w:szCs w:val="24"/>
        </w:rPr>
        <w:t xml:space="preserve">. </w:t>
      </w:r>
      <w:r>
        <w:rPr>
          <w:rFonts w:ascii="Times New Roman" w:hAnsi="Times New Roman"/>
          <w:sz w:val="24"/>
          <w:szCs w:val="24"/>
        </w:rPr>
        <w:t>Yango (mabele) eza na makama makasi ya mabengi oyo ekoki tango nyoso kobebisa biloko ba tongi oyo eza wana ndakisa ba ndaku, ba nzela, bisika nzela ya lotiliki na ba poteaux ya lotiliki</w:t>
      </w:r>
      <w:r w:rsidRPr="00D75D2E">
        <w:rPr>
          <w:rFonts w:ascii="Times New Roman" w:hAnsi="Times New Roman"/>
          <w:sz w:val="24"/>
          <w:szCs w:val="24"/>
        </w:rPr>
        <w:t xml:space="preserve">. </w:t>
      </w:r>
      <w:r>
        <w:rPr>
          <w:rFonts w:ascii="Times New Roman" w:hAnsi="Times New Roman"/>
          <w:sz w:val="24"/>
          <w:szCs w:val="24"/>
        </w:rPr>
        <w:t xml:space="preserve">Lisanga ya ba nzete oyo ebimi yango moko na oyo baloni eza lokola ba nzete na matiti tii na matiti oyo ebimi yango moko mpe na kati ya mayi. Lisanga ya ba nzete oyo ebimi yango moko na oyo baloni etondi na lolenge ya : </w:t>
      </w:r>
      <w:r w:rsidRPr="00AE31F1">
        <w:rPr>
          <w:rFonts w:ascii="Times New Roman" w:hAnsi="Times New Roman"/>
          <w:i/>
          <w:sz w:val="24"/>
          <w:szCs w:val="24"/>
        </w:rPr>
        <w:t>Mangifera Indica</w:t>
      </w:r>
      <w:r>
        <w:rPr>
          <w:rFonts w:ascii="Times New Roman" w:hAnsi="Times New Roman"/>
          <w:i/>
          <w:sz w:val="24"/>
          <w:szCs w:val="24"/>
        </w:rPr>
        <w:t>, Persea americana, Elaeis guinensis, Eugenia malaccensis, Carica papaya, Dacruodes edulis, Terminalia mantaly, Musa sp, Artocarpus altilis, Moringa oleifera, abies alba, Adonsonia digitata, Albizia adianthifolia, Annona reticulata, Artocarpus altilis, Averrhoa carambola, Borasus aethiopum, Carpentaria acuminata, citrus sp, Cocos nucifera, Cupressus sp, Delonix Regia, Dichrostachys cinera, Dracaena sp, Eucalyptus sp, Flacouria ramontchi, Garcinia mangostana, Leucena leucocephala, Milletia lautentii, Musanga cecropioides, Nwebouldia laevis, Oncoba spinosa, Passiflora edulus, Psidium guajava, Ravenala madagascariensis, Tabebuia impetiginosa, Terminalia catapa, Terminalia sp, Theobroma cacao, Vernonia amygdalina</w:t>
      </w:r>
      <w:r w:rsidRPr="00D75D2E">
        <w:rPr>
          <w:rFonts w:ascii="Times New Roman" w:hAnsi="Times New Roman"/>
          <w:sz w:val="24"/>
          <w:szCs w:val="24"/>
        </w:rPr>
        <w:t xml:space="preserve">. </w:t>
      </w:r>
      <w:r>
        <w:rPr>
          <w:rFonts w:ascii="Times New Roman" w:hAnsi="Times New Roman"/>
          <w:sz w:val="24"/>
          <w:szCs w:val="24"/>
        </w:rPr>
        <w:t xml:space="preserve"> Bisika misala ekosalama etangami te na etando ya kobatela bibwele to zamba. Kasi, commune ya Mont-Ngafula oyo misala ekosalama eza na Lola  ya Bonobo,  Bisika misatu ya kotambola-tambola mpo na kosepelisa nzoto ndakisa : Chute ya Lukaya, Mayi ya Pembe, mpe Place Mfuti. Esika misala ekosalama ezangi ata biloko ya kala to y aya bonkoko oyo eyebani. </w:t>
      </w:r>
    </w:p>
    <w:p w14:paraId="2C2A1FBD" w14:textId="77777777" w:rsidR="00915003" w:rsidRPr="00D75D2E" w:rsidRDefault="00915003" w:rsidP="00915003">
      <w:pPr>
        <w:spacing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Esika ya mosala ekosalama (na kati ya ba commune zomi) etangamaki na batu </w:t>
      </w:r>
      <w:r w:rsidRPr="00D75D2E">
        <w:rPr>
          <w:rFonts w:ascii="Times New Roman" w:eastAsia="Times New Roman" w:hAnsi="Times New Roman"/>
          <w:sz w:val="24"/>
          <w:szCs w:val="24"/>
        </w:rPr>
        <w:t>3</w:t>
      </w:r>
      <w:r>
        <w:rPr>
          <w:rFonts w:ascii="Times New Roman" w:eastAsia="Times New Roman" w:hAnsi="Times New Roman"/>
          <w:sz w:val="24"/>
          <w:szCs w:val="24"/>
        </w:rPr>
        <w:t xml:space="preserve"> </w:t>
      </w:r>
      <w:r w:rsidRPr="00D75D2E">
        <w:rPr>
          <w:rFonts w:ascii="Times New Roman" w:eastAsia="Times New Roman" w:hAnsi="Times New Roman"/>
          <w:sz w:val="24"/>
          <w:szCs w:val="24"/>
        </w:rPr>
        <w:t>782</w:t>
      </w:r>
      <w:r>
        <w:rPr>
          <w:rFonts w:ascii="Times New Roman" w:eastAsia="Times New Roman" w:hAnsi="Times New Roman"/>
          <w:sz w:val="24"/>
          <w:szCs w:val="24"/>
        </w:rPr>
        <w:t xml:space="preserve"> 958 ana mubu</w:t>
      </w:r>
      <w:r w:rsidRPr="00D75D2E">
        <w:rPr>
          <w:rFonts w:ascii="Times New Roman" w:eastAsia="Times New Roman" w:hAnsi="Times New Roman"/>
          <w:sz w:val="24"/>
          <w:szCs w:val="24"/>
        </w:rPr>
        <w:t xml:space="preserve"> 2015 (Monographie de la ville de Kinshasa : </w:t>
      </w:r>
      <w:r w:rsidRPr="00D75D2E">
        <w:rPr>
          <w:rFonts w:ascii="Times New Roman" w:hAnsi="Times New Roman"/>
        </w:rPr>
        <w:t xml:space="preserve">S. Shomba Kinyamba </w:t>
      </w:r>
      <w:r w:rsidRPr="00D75D2E">
        <w:rPr>
          <w:rFonts w:ascii="Times New Roman" w:hAnsi="Times New Roman"/>
          <w:i/>
        </w:rPr>
        <w:t>et al,</w:t>
      </w:r>
      <w:r w:rsidRPr="00D75D2E">
        <w:rPr>
          <w:rFonts w:ascii="Times New Roman" w:eastAsia="Times New Roman" w:hAnsi="Times New Roman"/>
          <w:sz w:val="24"/>
          <w:szCs w:val="24"/>
        </w:rPr>
        <w:t xml:space="preserve"> 2015)</w:t>
      </w:r>
      <w:r>
        <w:rPr>
          <w:rFonts w:ascii="Times New Roman" w:eastAsia="Times New Roman" w:hAnsi="Times New Roman"/>
          <w:sz w:val="24"/>
          <w:szCs w:val="24"/>
        </w:rPr>
        <w:t>. Motangu ya batu eyebani na bilembo oyo eza na buku ya</w:t>
      </w:r>
      <w:r w:rsidRPr="00D75D2E">
        <w:rPr>
          <w:rFonts w:ascii="Times New Roman" w:eastAsia="Times New Roman" w:hAnsi="Times New Roman"/>
          <w:sz w:val="24"/>
          <w:szCs w:val="24"/>
        </w:rPr>
        <w:t xml:space="preserve"> monographie (</w:t>
      </w:r>
      <w:r>
        <w:rPr>
          <w:rFonts w:ascii="Times New Roman" w:eastAsia="Times New Roman" w:hAnsi="Times New Roman"/>
          <w:sz w:val="24"/>
          <w:szCs w:val="24"/>
        </w:rPr>
        <w:t>motango ya mbotama ya batu na sima yambula moko eza ya 5,5 %) na kati ya batu</w:t>
      </w:r>
      <w:r w:rsidRPr="00D75D2E">
        <w:rPr>
          <w:rFonts w:ascii="Times New Roman" w:eastAsia="Times New Roman" w:hAnsi="Times New Roman"/>
          <w:sz w:val="24"/>
          <w:szCs w:val="24"/>
        </w:rPr>
        <w:t xml:space="preserve"> 4</w:t>
      </w:r>
      <w:r>
        <w:rPr>
          <w:rFonts w:ascii="Times New Roman" w:eastAsia="Times New Roman" w:hAnsi="Times New Roman"/>
          <w:sz w:val="24"/>
          <w:szCs w:val="24"/>
        </w:rPr>
        <w:t> </w:t>
      </w:r>
      <w:r w:rsidRPr="00D75D2E">
        <w:rPr>
          <w:rFonts w:ascii="Times New Roman" w:eastAsia="Times New Roman" w:hAnsi="Times New Roman"/>
          <w:sz w:val="24"/>
          <w:szCs w:val="24"/>
        </w:rPr>
        <w:t>944</w:t>
      </w:r>
      <w:r>
        <w:rPr>
          <w:rFonts w:ascii="Times New Roman" w:eastAsia="Times New Roman" w:hAnsi="Times New Roman"/>
          <w:sz w:val="24"/>
          <w:szCs w:val="24"/>
        </w:rPr>
        <w:t xml:space="preserve"> 175 na</w:t>
      </w:r>
      <w:r w:rsidRPr="00D75D2E">
        <w:rPr>
          <w:rFonts w:ascii="Times New Roman" w:eastAsia="Times New Roman" w:hAnsi="Times New Roman"/>
          <w:sz w:val="24"/>
          <w:szCs w:val="24"/>
        </w:rPr>
        <w:t xml:space="preserve"> 2020. </w:t>
      </w:r>
      <w:r>
        <w:rPr>
          <w:rFonts w:ascii="Times New Roman" w:eastAsia="Times New Roman" w:hAnsi="Times New Roman"/>
          <w:sz w:val="24"/>
          <w:szCs w:val="24"/>
        </w:rPr>
        <w:t xml:space="preserve">Soki motango wana etikali kaka bongo, motango ya batu ekoki kokoma na motango ya </w:t>
      </w:r>
      <w:r w:rsidRPr="00D75D2E">
        <w:rPr>
          <w:rFonts w:ascii="Times New Roman" w:eastAsia="Times New Roman" w:hAnsi="Times New Roman"/>
          <w:sz w:val="24"/>
          <w:szCs w:val="24"/>
        </w:rPr>
        <w:t>8</w:t>
      </w:r>
      <w:r>
        <w:rPr>
          <w:rFonts w:ascii="Times New Roman" w:eastAsia="Times New Roman" w:hAnsi="Times New Roman"/>
          <w:sz w:val="24"/>
          <w:szCs w:val="24"/>
        </w:rPr>
        <w:t> </w:t>
      </w:r>
      <w:r w:rsidRPr="00D75D2E">
        <w:rPr>
          <w:rFonts w:ascii="Times New Roman" w:eastAsia="Times New Roman" w:hAnsi="Times New Roman"/>
          <w:sz w:val="24"/>
          <w:szCs w:val="24"/>
        </w:rPr>
        <w:t>445</w:t>
      </w:r>
      <w:r>
        <w:rPr>
          <w:rFonts w:ascii="Times New Roman" w:eastAsia="Times New Roman" w:hAnsi="Times New Roman"/>
          <w:sz w:val="24"/>
          <w:szCs w:val="24"/>
        </w:rPr>
        <w:t xml:space="preserve"> </w:t>
      </w:r>
      <w:r w:rsidRPr="00D75D2E">
        <w:rPr>
          <w:rFonts w:ascii="Times New Roman" w:eastAsia="Times New Roman" w:hAnsi="Times New Roman"/>
          <w:sz w:val="24"/>
          <w:szCs w:val="24"/>
        </w:rPr>
        <w:t xml:space="preserve">365 </w:t>
      </w:r>
      <w:r>
        <w:rPr>
          <w:rFonts w:ascii="Times New Roman" w:eastAsia="Times New Roman" w:hAnsi="Times New Roman"/>
          <w:sz w:val="24"/>
          <w:szCs w:val="24"/>
        </w:rPr>
        <w:t xml:space="preserve">ti na mbula </w:t>
      </w:r>
      <w:r w:rsidRPr="00D75D2E">
        <w:rPr>
          <w:rFonts w:ascii="Times New Roman" w:eastAsia="Times New Roman" w:hAnsi="Times New Roman"/>
          <w:sz w:val="24"/>
          <w:szCs w:val="24"/>
        </w:rPr>
        <w:t>2030.</w:t>
      </w:r>
    </w:p>
    <w:p w14:paraId="67105F63" w14:textId="77777777" w:rsidR="00915003" w:rsidRPr="00D75D2E" w:rsidRDefault="00915003" w:rsidP="00915003">
      <w:pPr>
        <w:spacing w:line="240" w:lineRule="auto"/>
        <w:jc w:val="both"/>
        <w:rPr>
          <w:rFonts w:ascii="Times New Roman" w:hAnsi="Times New Roman"/>
          <w:sz w:val="24"/>
          <w:szCs w:val="24"/>
          <w:lang w:val="fr-CA"/>
        </w:rPr>
      </w:pPr>
      <w:r>
        <w:rPr>
          <w:rFonts w:ascii="Times New Roman" w:hAnsi="Times New Roman"/>
          <w:sz w:val="24"/>
          <w:szCs w:val="24"/>
        </w:rPr>
        <w:t>Motango ya batu na Kinshasa na mobimba na yango ezali na ba kolo mboka  (Humbu, Teke na</w:t>
      </w:r>
      <w:r w:rsidRPr="00D75D2E">
        <w:rPr>
          <w:rFonts w:ascii="Times New Roman" w:hAnsi="Times New Roman"/>
          <w:sz w:val="24"/>
          <w:szCs w:val="24"/>
        </w:rPr>
        <w:t xml:space="preserve"> Bamfununga) </w:t>
      </w:r>
      <w:r>
        <w:rPr>
          <w:rFonts w:ascii="Times New Roman" w:hAnsi="Times New Roman"/>
          <w:sz w:val="24"/>
          <w:szCs w:val="24"/>
        </w:rPr>
        <w:t>oyo bayebani lokola bakolo mabele kati na bango mpe ba Yaka, Banunu Bobangi na</w:t>
      </w:r>
      <w:r w:rsidRPr="00D75D2E">
        <w:rPr>
          <w:rFonts w:ascii="Times New Roman" w:hAnsi="Times New Roman"/>
          <w:sz w:val="24"/>
          <w:szCs w:val="24"/>
        </w:rPr>
        <w:t xml:space="preserve"> Bayanzi. </w:t>
      </w:r>
      <w:r>
        <w:rPr>
          <w:rFonts w:ascii="Times New Roman" w:hAnsi="Times New Roman"/>
          <w:sz w:val="24"/>
          <w:szCs w:val="24"/>
        </w:rPr>
        <w:t>Na kati na bango eza mpe na Lari, ba Zombo y’Angola, Ba Coastmen (Ndingari</w:t>
      </w:r>
      <w:r w:rsidRPr="00D75D2E">
        <w:rPr>
          <w:rFonts w:ascii="Times New Roman" w:hAnsi="Times New Roman"/>
          <w:sz w:val="24"/>
          <w:szCs w:val="24"/>
        </w:rPr>
        <w:t xml:space="preserve">), </w:t>
      </w:r>
      <w:r>
        <w:rPr>
          <w:rFonts w:ascii="Times New Roman" w:hAnsi="Times New Roman"/>
          <w:sz w:val="24"/>
          <w:szCs w:val="24"/>
        </w:rPr>
        <w:t>mabota ya mindele na batu ya asia</w:t>
      </w:r>
      <w:r w:rsidRPr="00D75D2E">
        <w:rPr>
          <w:rFonts w:ascii="Times New Roman" w:hAnsi="Times New Roman"/>
          <w:sz w:val="24"/>
          <w:szCs w:val="24"/>
        </w:rPr>
        <w:t xml:space="preserve"> </w:t>
      </w:r>
      <w:r>
        <w:rPr>
          <w:rFonts w:ascii="Times New Roman" w:hAnsi="Times New Roman"/>
          <w:sz w:val="24"/>
          <w:szCs w:val="24"/>
        </w:rPr>
        <w:t>pona na mimbongo mpe mabota oyo ewuti na bituka misusu bayaki mpo na (bitumba, kokima mboka etc.)</w:t>
      </w:r>
      <w:r w:rsidRPr="00D75D2E">
        <w:rPr>
          <w:rFonts w:ascii="Times New Roman" w:hAnsi="Times New Roman"/>
          <w:sz w:val="24"/>
          <w:szCs w:val="24"/>
        </w:rPr>
        <w:t xml:space="preserve">. </w:t>
      </w:r>
      <w:r w:rsidRPr="00D75D2E">
        <w:rPr>
          <w:rFonts w:ascii="Times New Roman" w:hAnsi="Times New Roman"/>
          <w:sz w:val="24"/>
          <w:szCs w:val="24"/>
          <w:lang w:val="fr-CA"/>
        </w:rPr>
        <w:t xml:space="preserve">Lingala </w:t>
      </w:r>
      <w:r>
        <w:rPr>
          <w:rFonts w:ascii="Times New Roman" w:hAnsi="Times New Roman"/>
          <w:sz w:val="24"/>
          <w:szCs w:val="24"/>
          <w:lang w:val="fr-CA"/>
        </w:rPr>
        <w:t>eza nkota ya libso oyo elobamaka mingi</w:t>
      </w:r>
      <w:r w:rsidRPr="00D75D2E">
        <w:rPr>
          <w:rFonts w:ascii="Times New Roman" w:hAnsi="Times New Roman"/>
          <w:sz w:val="24"/>
          <w:szCs w:val="24"/>
          <w:lang w:val="fr-CA"/>
        </w:rPr>
        <w:t xml:space="preserve">. </w:t>
      </w:r>
      <w:r>
        <w:rPr>
          <w:rFonts w:ascii="Times New Roman" w:hAnsi="Times New Roman"/>
          <w:sz w:val="24"/>
          <w:szCs w:val="24"/>
          <w:lang w:val="fr-CA"/>
        </w:rPr>
        <w:t>Mimbongo eza musala ya yambo na engumba ya Kinshasa</w:t>
      </w:r>
      <w:r w:rsidRPr="00D75D2E">
        <w:rPr>
          <w:rFonts w:ascii="Times New Roman" w:hAnsi="Times New Roman"/>
          <w:sz w:val="24"/>
          <w:szCs w:val="24"/>
          <w:lang w:val="fr-CA"/>
        </w:rPr>
        <w:t>.</w:t>
      </w:r>
    </w:p>
    <w:p w14:paraId="7A284EF9" w14:textId="77777777" w:rsidR="00915003" w:rsidRPr="008729F6" w:rsidRDefault="00915003" w:rsidP="00215867">
      <w:pPr>
        <w:numPr>
          <w:ilvl w:val="0"/>
          <w:numId w:val="503"/>
        </w:numPr>
        <w:spacing w:before="120" w:after="120" w:line="276" w:lineRule="auto"/>
        <w:ind w:left="714" w:hanging="357"/>
        <w:jc w:val="both"/>
        <w:rPr>
          <w:rFonts w:ascii="Times New Roman" w:hAnsi="Times New Roman"/>
          <w:b/>
          <w:i/>
          <w:sz w:val="24"/>
          <w:szCs w:val="24"/>
        </w:rPr>
      </w:pPr>
      <w:r>
        <w:rPr>
          <w:rFonts w:ascii="Times New Roman" w:hAnsi="Times New Roman"/>
          <w:b/>
          <w:i/>
          <w:sz w:val="24"/>
          <w:szCs w:val="24"/>
        </w:rPr>
        <w:t>Misala ya bisika bingi mboka na efandeli na bango</w:t>
      </w:r>
    </w:p>
    <w:p w14:paraId="776AA9E1" w14:textId="77777777" w:rsidR="00915003" w:rsidRDefault="00915003" w:rsidP="00915003">
      <w:pPr>
        <w:spacing w:before="120" w:after="120" w:line="276" w:lineRule="auto"/>
        <w:rPr>
          <w:rFonts w:ascii="Times New Roman" w:hAnsi="Times New Roman"/>
          <w:sz w:val="24"/>
          <w:szCs w:val="24"/>
        </w:rPr>
      </w:pPr>
      <w:r w:rsidRPr="008729F6">
        <w:rPr>
          <w:rFonts w:ascii="Times New Roman" w:hAnsi="Times New Roman"/>
          <w:sz w:val="24"/>
          <w:szCs w:val="24"/>
        </w:rPr>
        <w:t>Misala ya bisika bi</w:t>
      </w:r>
      <w:r>
        <w:rPr>
          <w:rFonts w:ascii="Times New Roman" w:hAnsi="Times New Roman"/>
          <w:sz w:val="24"/>
          <w:szCs w:val="24"/>
        </w:rPr>
        <w:t xml:space="preserve">zingi batu </w:t>
      </w:r>
      <w:r w:rsidRPr="008729F6">
        <w:rPr>
          <w:rFonts w:ascii="Times New Roman" w:hAnsi="Times New Roman"/>
          <w:sz w:val="24"/>
          <w:szCs w:val="24"/>
        </w:rPr>
        <w:t>na efandeli na bango</w:t>
      </w:r>
      <w:r>
        <w:rPr>
          <w:rFonts w:ascii="Times New Roman" w:hAnsi="Times New Roman"/>
          <w:sz w:val="24"/>
          <w:szCs w:val="24"/>
        </w:rPr>
        <w:t xml:space="preserve"> ya motuya oyo etangamaki na esika misala ekosalama etangami boye.</w:t>
      </w:r>
    </w:p>
    <w:p w14:paraId="52040DA8" w14:textId="77777777" w:rsidR="00915003" w:rsidRDefault="00915003" w:rsidP="00915003">
      <w:pPr>
        <w:autoSpaceDE w:val="0"/>
        <w:autoSpaceDN w:val="0"/>
        <w:adjustRightInd w:val="0"/>
        <w:spacing w:before="120" w:after="120" w:line="240" w:lineRule="auto"/>
        <w:rPr>
          <w:rFonts w:ascii="Times New Roman" w:hAnsi="Times New Roman"/>
          <w:sz w:val="24"/>
          <w:szCs w:val="24"/>
        </w:rPr>
      </w:pPr>
      <w:r>
        <w:rPr>
          <w:rFonts w:ascii="Times New Roman" w:hAnsi="Times New Roman"/>
          <w:sz w:val="24"/>
          <w:szCs w:val="24"/>
        </w:rPr>
        <w:t>Endimisami na oyo etali bisika bizingi batu na efandeli na bango mpe mimbongo na esika misala ekosalama epesi nzela ya kotanga misala boye :</w:t>
      </w:r>
    </w:p>
    <w:p w14:paraId="008CB5AF" w14:textId="77777777" w:rsidR="00915003" w:rsidRDefault="00915003" w:rsidP="00915003">
      <w:pPr>
        <w:numPr>
          <w:ilvl w:val="0"/>
          <w:numId w:val="137"/>
        </w:numPr>
        <w:spacing w:before="80" w:after="80" w:line="240" w:lineRule="auto"/>
        <w:ind w:left="567" w:hanging="357"/>
        <w:jc w:val="both"/>
        <w:rPr>
          <w:rFonts w:ascii="Times New Roman" w:hAnsi="Times New Roman"/>
          <w:sz w:val="24"/>
          <w:szCs w:val="24"/>
        </w:rPr>
      </w:pPr>
      <w:r>
        <w:rPr>
          <w:rFonts w:ascii="Times New Roman" w:hAnsi="Times New Roman"/>
          <w:sz w:val="24"/>
          <w:szCs w:val="24"/>
        </w:rPr>
        <w:t xml:space="preserve">Elembo ya liboso ezali mabengi mpe Kozinda na mayi na ba quartiers oyo etali misala (Kobongisa mpe kokatisa ba singa ya kokabola) oyo ekosenga kotimola mabulu oyo ekoki komema mbongwana na kotongama ya mabele. Mabulu wana na ntango ya mvula ekomema mabengi na bisika misala ekosalama, kobundisa tango nyoso misala oyo etiami ndakisa ba ndako, nzela, bisika ba singa mpe mingi-mingi misala ya lotiliki oyo ya kala. Kotonga misala esingi kaka kozwa mikano mpe mposa ya kobatela ya ngo mpo na koboya ba mabengi mpe kobongola yango na mbongwana ya ntango ; oyo etali kokitisa kopanzana ya milinga ya elembo ya kobakisa moto mpe kobakisa lolenge ya komibatela na bilembo ya mbongwana ya ntango. </w:t>
      </w:r>
    </w:p>
    <w:p w14:paraId="3122B146" w14:textId="77777777" w:rsidR="00915003" w:rsidRPr="00D60172" w:rsidRDefault="00915003" w:rsidP="00915003">
      <w:pPr>
        <w:numPr>
          <w:ilvl w:val="0"/>
          <w:numId w:val="137"/>
        </w:numPr>
        <w:spacing w:before="80" w:after="80" w:line="240" w:lineRule="auto"/>
        <w:ind w:left="567" w:hanging="357"/>
        <w:jc w:val="both"/>
        <w:rPr>
          <w:rFonts w:ascii="Times New Roman" w:hAnsi="Times New Roman"/>
          <w:sz w:val="24"/>
          <w:szCs w:val="24"/>
          <w:lang w:val="en-US"/>
        </w:rPr>
      </w:pPr>
      <w:r w:rsidRPr="00D60172">
        <w:rPr>
          <w:rFonts w:ascii="Times New Roman" w:hAnsi="Times New Roman"/>
          <w:sz w:val="24"/>
          <w:szCs w:val="24"/>
          <w:lang w:val="en-US"/>
        </w:rPr>
        <w:t xml:space="preserve">Elembo ya mibale eza makambo ya mabele. Kosalela ya kotiya misolo misusu ekoki kosenga kozala na mabele mpe komema na kobotola pona ntina ya leta. Soki kobotola ekoki kosalama na kosangisaka mpe ba konzi ya kalaka ya misala oyo etangami, bakonzi ya bokoko mpe kotiya na misala nkoma oyo ezali na ntina ya koboya bitumba. </w:t>
      </w:r>
    </w:p>
    <w:p w14:paraId="1AF794D6" w14:textId="77777777" w:rsidR="00915003" w:rsidRPr="00215867" w:rsidRDefault="00915003" w:rsidP="00915003">
      <w:pPr>
        <w:numPr>
          <w:ilvl w:val="0"/>
          <w:numId w:val="137"/>
        </w:numPr>
        <w:spacing w:before="80" w:after="80" w:line="240" w:lineRule="auto"/>
        <w:ind w:left="567" w:hanging="357"/>
        <w:jc w:val="both"/>
        <w:rPr>
          <w:rFonts w:ascii="Times New Roman" w:hAnsi="Times New Roman"/>
          <w:sz w:val="24"/>
          <w:szCs w:val="24"/>
          <w:lang w:val="en-US"/>
        </w:rPr>
      </w:pPr>
      <w:r w:rsidRPr="00215867">
        <w:rPr>
          <w:rFonts w:ascii="Times New Roman" w:hAnsi="Times New Roman"/>
          <w:sz w:val="24"/>
          <w:szCs w:val="24"/>
          <w:lang w:val="en-US"/>
        </w:rPr>
        <w:t>Elembo ya misatu etali bokesene kati ya kibomwasi to kimobali na bilembo ya EAS/HS na nzinga-nzinga ya musala eza kosalama. Musala esengi kaka kokitisa bokesene wana mpe kotiya muango ya kosala mpo kibomwasi to kimobali mpe mikano ya malama ya kokitisa bokesene na tango ya kozwa batu na misala ekobanda to na tango ba kosalela misala, na oyo etali kotiya lotiliki na ba ndako oyo basengeli na yango, basi ba kolo ndaku basengeli kaka kozwa lokola mpe mibali lotiliki mpe lokola oyo nyoso ezwami na nzela ya musala oyo ;</w:t>
      </w:r>
    </w:p>
    <w:p w14:paraId="2715A2E2" w14:textId="77777777" w:rsidR="00915003" w:rsidRPr="00215867" w:rsidRDefault="00915003" w:rsidP="00915003">
      <w:pPr>
        <w:numPr>
          <w:ilvl w:val="0"/>
          <w:numId w:val="137"/>
        </w:numPr>
        <w:spacing w:before="80" w:after="80" w:line="240" w:lineRule="auto"/>
        <w:ind w:left="567" w:hanging="357"/>
        <w:jc w:val="both"/>
        <w:rPr>
          <w:rFonts w:ascii="Times New Roman" w:hAnsi="Times New Roman"/>
          <w:sz w:val="24"/>
          <w:szCs w:val="24"/>
          <w:lang w:val="en-US"/>
        </w:rPr>
      </w:pPr>
      <w:r w:rsidRPr="00215867">
        <w:rPr>
          <w:rFonts w:ascii="Times New Roman" w:hAnsi="Times New Roman"/>
          <w:sz w:val="24"/>
          <w:szCs w:val="24"/>
          <w:lang w:val="en-US"/>
        </w:rPr>
        <w:t>Elembo ya mine ezali mpo na bokono ya COVID 19 oyo eza naino na nzinga –nzinga ya esika ya misala. Misala eza mpo emema misala ya koyebisa, kotangisa mpe kolobela (IEC) na tina été mikano oyo ya kokanga nzela na maladi oyo etiami na mbula-matari mpe na OMS etosama na lisanga ya batu nyoso na kati ya musala ;</w:t>
      </w:r>
    </w:p>
    <w:p w14:paraId="04167EBA" w14:textId="77777777" w:rsidR="00915003" w:rsidRPr="00215867" w:rsidRDefault="00915003" w:rsidP="00915003">
      <w:pPr>
        <w:numPr>
          <w:ilvl w:val="0"/>
          <w:numId w:val="137"/>
        </w:numPr>
        <w:spacing w:before="80" w:after="80" w:line="240" w:lineRule="auto"/>
        <w:ind w:left="567" w:hanging="357"/>
        <w:jc w:val="both"/>
        <w:rPr>
          <w:rFonts w:ascii="Times New Roman" w:eastAsia="Times New Roman" w:hAnsi="Times New Roman"/>
          <w:color w:val="000000"/>
          <w:sz w:val="27"/>
          <w:szCs w:val="27"/>
          <w:lang w:val="en-US"/>
        </w:rPr>
      </w:pPr>
      <w:r w:rsidRPr="00215867">
        <w:rPr>
          <w:rFonts w:ascii="Times New Roman" w:hAnsi="Times New Roman"/>
          <w:sz w:val="24"/>
          <w:szCs w:val="24"/>
          <w:lang w:val="en-US"/>
        </w:rPr>
        <w:t>Elembo ya mitano etali kobebisama ya ebale. Kozanga lolenge malamu ya kobatela bosoto etindi bavandi ya kosalela ebale ya kosalela yango mpe bisika misusu lokola fulu ya bosoto. Okomona na kati ya bingumba ya minene mingi lokola Kinshasa, ba fulu ya plastik kotepa na bibale (Funa, Binza, etc.). Musala esengi kotiya na kati na yango miango ya kobatela fulu, na ndenge oyo ekosala ete musala ebebisama te na bisika ya polele na nzela ya ba ngomba ya fulu.</w:t>
      </w:r>
    </w:p>
    <w:p w14:paraId="6E084D64" w14:textId="77777777" w:rsidR="00915003" w:rsidRPr="00215867" w:rsidRDefault="00915003" w:rsidP="00915003">
      <w:pPr>
        <w:numPr>
          <w:ilvl w:val="0"/>
          <w:numId w:val="137"/>
        </w:numPr>
        <w:spacing w:before="80" w:after="80" w:line="240" w:lineRule="auto"/>
        <w:ind w:left="567" w:hanging="357"/>
        <w:jc w:val="both"/>
        <w:rPr>
          <w:rFonts w:ascii="Times New Roman" w:eastAsia="Times New Roman" w:hAnsi="Times New Roman"/>
          <w:color w:val="000000"/>
          <w:sz w:val="27"/>
          <w:szCs w:val="27"/>
          <w:lang w:val="en-US"/>
        </w:rPr>
      </w:pPr>
      <w:r w:rsidRPr="00215867">
        <w:rPr>
          <w:rFonts w:ascii="Times New Roman" w:hAnsi="Times New Roman"/>
          <w:sz w:val="24"/>
          <w:szCs w:val="24"/>
          <w:lang w:val="en-US"/>
        </w:rPr>
        <w:t>Elembo ya motoba eza oyo etali batu ya kosala misala : musala esengi kosenzela na tina été bakonzi ya kompany bazwa naino na misala bavandi ya mboko ya misala ezo kosalema mpe na lolenge ete likabo ya basi ezala ya 30% ya muke  na yango na kati ya kompany oyo ezo sala musala etosama lokola ekomami na nzela ya mobeko n° 15/013 ya 1</w:t>
      </w:r>
      <w:r w:rsidRPr="00215867">
        <w:rPr>
          <w:rFonts w:ascii="Times New Roman" w:hAnsi="Times New Roman"/>
          <w:sz w:val="24"/>
          <w:szCs w:val="24"/>
          <w:vertAlign w:val="superscript"/>
          <w:lang w:val="en-US"/>
        </w:rPr>
        <w:t>er</w:t>
      </w:r>
      <w:r w:rsidRPr="00215867">
        <w:rPr>
          <w:rFonts w:ascii="Times New Roman" w:hAnsi="Times New Roman"/>
          <w:sz w:val="24"/>
          <w:szCs w:val="24"/>
          <w:lang w:val="en-US"/>
        </w:rPr>
        <w:t xml:space="preserve"> août 2015 oyo etalisami na ndenge ya kotiya na misala mikano ya basi mpe na lolenge moko. </w:t>
      </w:r>
    </w:p>
    <w:p w14:paraId="4F8DF724" w14:textId="77777777" w:rsidR="00915003" w:rsidRPr="00215867" w:rsidRDefault="00915003" w:rsidP="00915003">
      <w:pPr>
        <w:spacing w:before="120" w:after="120" w:line="240" w:lineRule="auto"/>
        <w:ind w:left="567"/>
        <w:jc w:val="both"/>
        <w:rPr>
          <w:rFonts w:ascii="Times New Roman" w:hAnsi="Times New Roman"/>
          <w:sz w:val="24"/>
          <w:szCs w:val="24"/>
          <w:lang w:val="en-US"/>
        </w:rPr>
      </w:pPr>
      <w:r w:rsidRPr="00215867">
        <w:rPr>
          <w:rFonts w:ascii="Times New Roman" w:hAnsi="Times New Roman"/>
          <w:sz w:val="24"/>
          <w:szCs w:val="24"/>
          <w:lang w:val="en-US"/>
        </w:rPr>
        <w:t>Na yango kozwa basali oyo bazali na diplomo to te ekosalama na kobanda naino na kozwa na misala bavandi ya mboka na kati ya ba communes oyo misala ekosalama mpo na koboya bo fuluki ya batu oyo ekoki komema mobulu na efandelo ya batu ;</w:t>
      </w:r>
    </w:p>
    <w:p w14:paraId="144F016A" w14:textId="77777777" w:rsidR="00915003" w:rsidRPr="00215867" w:rsidRDefault="00915003" w:rsidP="00915003">
      <w:pPr>
        <w:numPr>
          <w:ilvl w:val="0"/>
          <w:numId w:val="137"/>
        </w:numPr>
        <w:spacing w:before="120" w:after="120" w:line="240" w:lineRule="auto"/>
        <w:ind w:left="567" w:hanging="357"/>
        <w:jc w:val="both"/>
        <w:rPr>
          <w:rFonts w:ascii="Times New Roman" w:hAnsi="Times New Roman"/>
          <w:sz w:val="24"/>
          <w:szCs w:val="24"/>
          <w:lang w:val="en-US"/>
        </w:rPr>
      </w:pPr>
      <w:r w:rsidRPr="00215867">
        <w:rPr>
          <w:rFonts w:ascii="Times New Roman" w:hAnsi="Times New Roman"/>
          <w:sz w:val="24"/>
          <w:szCs w:val="24"/>
          <w:lang w:val="en-US"/>
        </w:rPr>
        <w:t>Elembo ya sambo ezali mpo na kokitisa nzete mpe biloko ba loni. Na yango,</w:t>
      </w:r>
      <w:r w:rsidRPr="00215867">
        <w:rPr>
          <w:lang w:val="en-US"/>
        </w:rPr>
        <w:t xml:space="preserve"> </w:t>
      </w:r>
      <w:r w:rsidRPr="00215867">
        <w:rPr>
          <w:rFonts w:ascii="Times New Roman" w:hAnsi="Times New Roman"/>
          <w:lang w:val="en-US"/>
        </w:rPr>
        <w:t>lolenge</w:t>
      </w:r>
      <w:r w:rsidRPr="00215867">
        <w:rPr>
          <w:rFonts w:ascii="Times New Roman" w:hAnsi="Times New Roman"/>
          <w:sz w:val="24"/>
          <w:szCs w:val="24"/>
          <w:lang w:val="en-US"/>
        </w:rPr>
        <w:t xml:space="preserve"> mobimba, kobatelama na nzela ya nzete na nkasa ya mobeso na esika misala ekosalama esi ebeba kala na nzela ya misala ya batu. Misala ya kotiya lotiliki ekomema na kokata ba nzete mpe kokata bitape pembeni ya 869 nzete na kati na yango 815 ya batu bango moko na 354 oyo etali libanda ya batu nyoso. Ba nzete nyoso oyo ezali na kati ya nzela ya basinga ya lotiliki ekoleka mpe ba cabines na ntagu ya misala mpe kokata bitape na ntangu mwinda ekopela.</w:t>
      </w:r>
    </w:p>
    <w:p w14:paraId="35F5F11C" w14:textId="77777777" w:rsidR="00915003" w:rsidRPr="00215867" w:rsidRDefault="00915003" w:rsidP="00915003">
      <w:pPr>
        <w:numPr>
          <w:ilvl w:val="0"/>
          <w:numId w:val="137"/>
        </w:numPr>
        <w:spacing w:before="120" w:after="120" w:line="240" w:lineRule="auto"/>
        <w:ind w:left="567" w:hanging="357"/>
        <w:jc w:val="both"/>
        <w:rPr>
          <w:rFonts w:ascii="Times New Roman" w:eastAsia="Times New Roman" w:hAnsi="Times New Roman"/>
          <w:b/>
          <w:i/>
          <w:sz w:val="24"/>
          <w:szCs w:val="24"/>
          <w:lang w:val="en-US" w:eastAsia="x-none"/>
        </w:rPr>
      </w:pPr>
      <w:r w:rsidRPr="00215867">
        <w:rPr>
          <w:rFonts w:ascii="Times New Roman" w:hAnsi="Times New Roman"/>
          <w:sz w:val="24"/>
          <w:szCs w:val="24"/>
          <w:lang w:val="en-US"/>
        </w:rPr>
        <w:t xml:space="preserve">Elembo ya mwambe eatli makama (kopela moto, kozika na lotiliki, kokangama, kozika, kokweya, kozoka.). Na yango, konuna ya basinga ya courant, kozwa lotiliki na nzela ya moyibi to kozanga kolanda mobeko, kotiya lotiliki na ndenge ya mobulu, kotiya ba singa bolumbu ya lotiliki na mabele, kotambola-tambola ya mituka, kotambwisama ya bisalelo, oyo etali bisaka ya mayi-mayi na kati ya ba quartiers oyo misala eko salama ememaka kopela moto, kozika, kozika na lotiliki, lolenge ebele ya kobebisa na nzela ya koyoka mpe solo etc. Musala oyo esengi esenzela na ndenge ete na tango ya kotiama na misala oyo esalama kolandisama kokitisa makama oyo etali lotiliki na ba oyo ya misala ya chantier. </w:t>
      </w:r>
    </w:p>
    <w:p w14:paraId="372FA274" w14:textId="77777777" w:rsidR="00915003" w:rsidRPr="00215867" w:rsidRDefault="00915003" w:rsidP="00915003">
      <w:pPr>
        <w:numPr>
          <w:ilvl w:val="0"/>
          <w:numId w:val="137"/>
        </w:numPr>
        <w:spacing w:before="120" w:after="120" w:line="240" w:lineRule="auto"/>
        <w:ind w:left="567" w:hanging="357"/>
        <w:jc w:val="both"/>
        <w:rPr>
          <w:rFonts w:ascii="Times New Roman" w:eastAsia="Times New Roman" w:hAnsi="Times New Roman"/>
          <w:b/>
          <w:i/>
          <w:sz w:val="24"/>
          <w:szCs w:val="24"/>
          <w:lang w:val="en-US" w:eastAsia="x-none"/>
        </w:rPr>
      </w:pPr>
      <w:r w:rsidRPr="00215867">
        <w:rPr>
          <w:rFonts w:ascii="Times New Roman" w:hAnsi="Times New Roman"/>
          <w:sz w:val="24"/>
          <w:szCs w:val="24"/>
          <w:lang w:val="en-US"/>
        </w:rPr>
        <w:t>Elembo ya libwa ezali makama ya botambwisi motuka mpe kosenzelama ya nzela ya mituka. Musala okobanza ba mibeko ya</w:t>
      </w:r>
      <w:r w:rsidRPr="00215867">
        <w:rPr>
          <w:rFonts w:ascii="Times New Roman" w:eastAsia="Times New Roman" w:hAnsi="Times New Roman"/>
          <w:sz w:val="24"/>
          <w:szCs w:val="24"/>
          <w:lang w:val="en-US" w:eastAsia="x-none"/>
        </w:rPr>
        <w:t xml:space="preserve"> contrat ya ba kompany, kotalisa liboso kobanda misala muango ya kotambwisa mituka mpe mituka minene mpe ya basali, esangisi ba nzela ya mituka oyo ba kosalela na tangu ya misala eko banda na kati ya misala, kotangisa basali mpe kopalanganisa mibeko mpe lolenge ya kosalela kobatela nzela. </w:t>
      </w:r>
    </w:p>
    <w:p w14:paraId="39780978" w14:textId="77777777" w:rsidR="00915003" w:rsidRPr="00215867" w:rsidRDefault="00915003" w:rsidP="00915003">
      <w:pPr>
        <w:numPr>
          <w:ilvl w:val="0"/>
          <w:numId w:val="137"/>
        </w:numPr>
        <w:spacing w:before="120" w:after="120" w:line="240" w:lineRule="auto"/>
        <w:ind w:left="567" w:hanging="357"/>
        <w:jc w:val="both"/>
        <w:rPr>
          <w:rFonts w:ascii="Times New Roman" w:eastAsia="Times New Roman" w:hAnsi="Times New Roman"/>
          <w:sz w:val="24"/>
          <w:szCs w:val="24"/>
          <w:lang w:val="en-US" w:eastAsia="x-none"/>
        </w:rPr>
      </w:pPr>
      <w:r w:rsidRPr="00215867">
        <w:rPr>
          <w:rFonts w:ascii="Times New Roman" w:eastAsia="Times New Roman" w:hAnsi="Times New Roman"/>
          <w:sz w:val="24"/>
          <w:szCs w:val="24"/>
          <w:lang w:val="en-US" w:eastAsia="x-none"/>
        </w:rPr>
        <w:t>Elembo ya zomi etali kobomba ba fulu ya mabe na nzinga-nzinga ya misala. Musala esengeli kosala (i) muango ya kobomba ba fulu ya electronik mpe ya lotiliki pona kotala lolenge ya kobomba mpe kosalela fulu oyo ewuti na misala ya chantier ; mpe (ii) Muango ya kobomba ba fulu ya mabe makasi epesi nzela mpe ya kolamba fulu lokola mabele ya kobeba na mafuta ya ba cabines na kati na yango motindo ya kobongola ya ngo ezalaka te na mboka mpe ndenge ya ba fulu ya mabe (fulu ya ba hopital, fulu ya mabe makasi, etc.).</w:t>
      </w:r>
    </w:p>
    <w:p w14:paraId="4D100574" w14:textId="77777777" w:rsidR="00915003" w:rsidRPr="00215867" w:rsidRDefault="00915003" w:rsidP="00215867">
      <w:pPr>
        <w:numPr>
          <w:ilvl w:val="0"/>
          <w:numId w:val="503"/>
        </w:numPr>
        <w:spacing w:before="120" w:after="120" w:line="276" w:lineRule="auto"/>
        <w:ind w:left="714" w:hanging="357"/>
        <w:jc w:val="both"/>
        <w:rPr>
          <w:rFonts w:ascii="Times New Roman" w:hAnsi="Times New Roman"/>
          <w:b/>
          <w:i/>
          <w:sz w:val="24"/>
          <w:szCs w:val="24"/>
          <w:lang w:val="en-US"/>
        </w:rPr>
      </w:pPr>
      <w:r w:rsidRPr="00215867">
        <w:rPr>
          <w:rFonts w:ascii="Times New Roman" w:hAnsi="Times New Roman"/>
          <w:b/>
          <w:i/>
          <w:sz w:val="24"/>
          <w:szCs w:val="24"/>
          <w:lang w:val="en-US"/>
        </w:rPr>
        <w:t>Mambi ya mibeko ya kotiyama na misala</w:t>
      </w:r>
    </w:p>
    <w:p w14:paraId="7AAE0A34" w14:textId="77777777" w:rsidR="00915003" w:rsidRDefault="00915003" w:rsidP="00915003">
      <w:pPr>
        <w:spacing w:line="240" w:lineRule="auto"/>
        <w:jc w:val="both"/>
        <w:rPr>
          <w:rFonts w:ascii="Times New Roman" w:eastAsiaTheme="majorEastAsia" w:hAnsi="Times New Roman"/>
          <w:bCs/>
          <w:sz w:val="24"/>
          <w:szCs w:val="24"/>
        </w:rPr>
      </w:pPr>
      <w:r>
        <w:rPr>
          <w:rFonts w:ascii="Times New Roman" w:hAnsi="Times New Roman"/>
          <w:spacing w:val="1"/>
          <w:sz w:val="24"/>
          <w:szCs w:val="24"/>
        </w:rPr>
        <w:t>Na oyo etali politico mpe mibeko na eteni ya</w:t>
      </w:r>
      <w:r w:rsidRPr="0001114F">
        <w:rPr>
          <w:rFonts w:ascii="Times New Roman" w:hAnsi="Times New Roman"/>
          <w:spacing w:val="1"/>
          <w:sz w:val="24"/>
          <w:szCs w:val="24"/>
        </w:rPr>
        <w:t xml:space="preserve">  biloko biye bizingi mokili na mpe</w:t>
      </w:r>
      <w:r w:rsidRPr="0001114F">
        <w:rPr>
          <w:rFonts w:ascii="Times New Roman" w:hAnsi="Times New Roman"/>
        </w:rPr>
        <w:t xml:space="preserve"> efandeli ya batu</w:t>
      </w:r>
      <w:r>
        <w:rPr>
          <w:rFonts w:ascii="Times New Roman" w:hAnsi="Times New Roman"/>
          <w:spacing w:val="1"/>
          <w:sz w:val="24"/>
          <w:szCs w:val="24"/>
        </w:rPr>
        <w:t xml:space="preserve"> ya République Démocratique du Congo elimbolami na buku ya</w:t>
      </w:r>
      <w:r>
        <w:rPr>
          <w:rFonts w:ascii="Times New Roman" w:hAnsi="Times New Roman"/>
          <w:sz w:val="24"/>
          <w:szCs w:val="24"/>
        </w:rPr>
        <w:t xml:space="preserve"> politik na nzela na yango </w:t>
      </w:r>
      <w:r>
        <w:rPr>
          <w:rFonts w:ascii="Times New Roman" w:hAnsi="Times New Roman"/>
          <w:iCs/>
          <w:sz w:val="24"/>
          <w:szCs w:val="24"/>
        </w:rPr>
        <w:t xml:space="preserve">Plan National d’Action Environnemental (PNAE) ya 1997, </w:t>
      </w:r>
      <w:r>
        <w:rPr>
          <w:rFonts w:ascii="Times New Roman" w:hAnsi="Times New Roman"/>
          <w:sz w:val="24"/>
          <w:szCs w:val="24"/>
          <w:lang w:eastAsia="fr-FR"/>
        </w:rPr>
        <w:t>Stratégie Nationale et le Plan d’action de la Diversité biologique, ekomaki na 1999 mpe bamanioli yango na octobre 2001</w:t>
      </w:r>
      <w:r>
        <w:rPr>
          <w:rFonts w:ascii="Times New Roman" w:hAnsi="Times New Roman"/>
          <w:sz w:val="24"/>
          <w:szCs w:val="24"/>
        </w:rPr>
        <w:t xml:space="preserve"> mpe </w:t>
      </w:r>
      <w:r>
        <w:rPr>
          <w:rFonts w:ascii="Times New Roman" w:eastAsia="Times New Roman" w:hAnsi="Times New Roman"/>
          <w:iCs/>
          <w:sz w:val="24"/>
          <w:szCs w:val="24"/>
          <w:lang w:eastAsia="fr-FR"/>
        </w:rPr>
        <w:t>Plan d’Action National d’Adaptation aux changements climatiques (PANA)</w:t>
      </w:r>
      <w:r>
        <w:rPr>
          <w:rFonts w:ascii="Times New Roman" w:hAnsi="Times New Roman"/>
          <w:sz w:val="24"/>
          <w:szCs w:val="24"/>
        </w:rPr>
        <w:t xml:space="preserve">. Na yango kobakisa </w:t>
      </w:r>
      <w:r>
        <w:rPr>
          <w:rFonts w:ascii="Times New Roman" w:hAnsi="Times New Roman"/>
          <w:sz w:val="24"/>
          <w:szCs w:val="24"/>
          <w:lang w:eastAsia="fr-FR"/>
        </w:rPr>
        <w:t>Document de Stratégie de Croissance et de Réduction de la Pauvr</w:t>
      </w:r>
      <w:r>
        <w:rPr>
          <w:rFonts w:ascii="Times New Roman" w:hAnsi="Times New Roman"/>
          <w:sz w:val="24"/>
          <w:szCs w:val="24"/>
        </w:rPr>
        <w:t>eté (DSCRP)</w:t>
      </w:r>
      <w:r>
        <w:rPr>
          <w:rFonts w:ascii="Times New Roman" w:hAnsi="Times New Roman"/>
          <w:sz w:val="24"/>
          <w:szCs w:val="24"/>
          <w:lang w:eastAsia="fr-FR"/>
        </w:rPr>
        <w:t xml:space="preserve"> (2011-2015)</w:t>
      </w:r>
      <w:r>
        <w:rPr>
          <w:rFonts w:ascii="Times New Roman" w:hAnsi="Times New Roman"/>
          <w:sz w:val="24"/>
          <w:szCs w:val="24"/>
        </w:rPr>
        <w:t xml:space="preserve">, </w:t>
      </w:r>
      <w:r>
        <w:rPr>
          <w:rFonts w:ascii="Times New Roman" w:hAnsi="Times New Roman"/>
          <w:bCs/>
          <w:sz w:val="24"/>
          <w:szCs w:val="24"/>
          <w:lang w:eastAsia="fr-FR"/>
        </w:rPr>
        <w:t>Plan National de Développem</w:t>
      </w:r>
      <w:r>
        <w:rPr>
          <w:rFonts w:ascii="Times New Roman" w:hAnsi="Times New Roman"/>
          <w:bCs/>
          <w:sz w:val="24"/>
          <w:szCs w:val="24"/>
        </w:rPr>
        <w:t xml:space="preserve">ent Sanitaire (PNDS 2011-2015) mpe </w:t>
      </w:r>
      <w:r>
        <w:rPr>
          <w:rFonts w:ascii="Times New Roman" w:eastAsiaTheme="majorEastAsia" w:hAnsi="Times New Roman"/>
          <w:bCs/>
          <w:sz w:val="24"/>
          <w:szCs w:val="24"/>
          <w:lang w:eastAsia="fr-FR"/>
        </w:rPr>
        <w:t>Cadre Stratégique de Mise en Œuvre de la Décentralisation (CSMOD, juillet 2009)</w:t>
      </w:r>
      <w:r>
        <w:rPr>
          <w:rFonts w:ascii="Times New Roman" w:eastAsiaTheme="majorEastAsia" w:hAnsi="Times New Roman"/>
          <w:bCs/>
          <w:sz w:val="24"/>
          <w:szCs w:val="24"/>
        </w:rPr>
        <w:t xml:space="preserve">. </w:t>
      </w:r>
    </w:p>
    <w:p w14:paraId="01CA6FA5" w14:textId="77777777" w:rsidR="00915003" w:rsidRDefault="00915003" w:rsidP="00915003">
      <w:pPr>
        <w:autoSpaceDE w:val="0"/>
        <w:autoSpaceDN w:val="0"/>
        <w:adjustRightInd w:val="0"/>
        <w:spacing w:before="120" w:after="120" w:line="20" w:lineRule="atLeast"/>
        <w:jc w:val="both"/>
        <w:rPr>
          <w:rFonts w:ascii="Times New Roman" w:hAnsi="Times New Roman"/>
          <w:sz w:val="24"/>
          <w:szCs w:val="24"/>
          <w:lang w:eastAsia="fr-FR"/>
        </w:rPr>
      </w:pPr>
      <w:r>
        <w:rPr>
          <w:rFonts w:ascii="Times New Roman" w:hAnsi="Times New Roman"/>
          <w:sz w:val="24"/>
          <w:szCs w:val="24"/>
        </w:rPr>
        <w:t>Na oyo etali mubeko, tokoki kotanga ya liboso naino mobeko likonzi ya</w:t>
      </w:r>
      <w:r>
        <w:rPr>
          <w:rFonts w:ascii="Times New Roman" w:hAnsi="Times New Roman"/>
          <w:sz w:val="24"/>
          <w:szCs w:val="24"/>
          <w:lang w:eastAsia="fr-FR"/>
        </w:rPr>
        <w:t xml:space="preserve"> RDC oyo endimbamaki na 18 février 2006 lokola ebongisami mpe etokangami na nzela ya mobeko n°11/002 ya 20 janvier 2011 oyo ebongolami na nzela ya biteni nzike ya mobeko likonzi ya RDC,  Mobeko N°11/009 du 09 juillet 2011, portant principes fondamentaux relatifs à la protection de l’enviro</w:t>
      </w:r>
      <w:r>
        <w:rPr>
          <w:rFonts w:ascii="Times New Roman" w:hAnsi="Times New Roman"/>
          <w:sz w:val="24"/>
          <w:szCs w:val="24"/>
        </w:rPr>
        <w:t xml:space="preserve">nnement », le décret n°14/019 du 02 août 2014 fixant les règles de fonctionnement des mécanismes procéduraux de la protection de l’environnement, </w:t>
      </w:r>
      <w:r>
        <w:rPr>
          <w:rFonts w:ascii="Times New Roman" w:hAnsi="Times New Roman"/>
          <w:iCs/>
          <w:sz w:val="24"/>
          <w:szCs w:val="24"/>
        </w:rPr>
        <w:t>Mobeko</w:t>
      </w:r>
      <w:r>
        <w:rPr>
          <w:rFonts w:ascii="Times New Roman" w:hAnsi="Times New Roman"/>
          <w:bCs/>
          <w:sz w:val="24"/>
          <w:szCs w:val="24"/>
          <w:lang w:eastAsia="fr-FR"/>
        </w:rPr>
        <w:t xml:space="preserve"> 011-2002 du 29 août </w:t>
      </w:r>
      <w:r>
        <w:rPr>
          <w:rFonts w:ascii="Times New Roman" w:hAnsi="Times New Roman"/>
          <w:bCs/>
          <w:sz w:val="24"/>
          <w:szCs w:val="24"/>
        </w:rPr>
        <w:t xml:space="preserve">2002 portant Code forestier qui </w:t>
      </w:r>
      <w:r>
        <w:rPr>
          <w:rFonts w:ascii="Times New Roman" w:hAnsi="Times New Roman"/>
          <w:bCs/>
          <w:sz w:val="24"/>
          <w:szCs w:val="24"/>
          <w:lang w:eastAsia="fr-FR"/>
        </w:rPr>
        <w:t>traite du défrichem</w:t>
      </w:r>
      <w:r>
        <w:rPr>
          <w:rFonts w:ascii="Times New Roman" w:hAnsi="Times New Roman"/>
          <w:bCs/>
          <w:sz w:val="24"/>
          <w:szCs w:val="24"/>
        </w:rPr>
        <w:t xml:space="preserve">ent et des problèmes d’érosion, Mobeko </w:t>
      </w:r>
      <w:r>
        <w:rPr>
          <w:rFonts w:ascii="Times New Roman" w:hAnsi="Times New Roman"/>
          <w:bCs/>
          <w:sz w:val="24"/>
          <w:szCs w:val="24"/>
          <w:lang w:eastAsia="fr-FR"/>
        </w:rPr>
        <w:t>n°007/2002 du 11 juillet 2002 portant Code minier et le</w:t>
      </w:r>
      <w:r>
        <w:rPr>
          <w:rFonts w:ascii="Times New Roman" w:hAnsi="Times New Roman"/>
          <w:bCs/>
          <w:sz w:val="24"/>
          <w:szCs w:val="24"/>
        </w:rPr>
        <w:t xml:space="preserve"> Règlement minier de mars 2003, </w:t>
      </w:r>
      <w:r>
        <w:rPr>
          <w:rFonts w:ascii="Times New Roman" w:hAnsi="Times New Roman"/>
          <w:sz w:val="24"/>
          <w:szCs w:val="24"/>
        </w:rPr>
        <w:t>mobeko  n°14/011 du 17 juin 2014 relative au secteur de l’électricité</w:t>
      </w:r>
      <w:r>
        <w:rPr>
          <w:rFonts w:ascii="Times New Roman" w:hAnsi="Times New Roman"/>
          <w:bCs/>
          <w:sz w:val="24"/>
          <w:szCs w:val="24"/>
        </w:rPr>
        <w:t xml:space="preserve"> </w:t>
      </w:r>
    </w:p>
    <w:p w14:paraId="4E29BF11" w14:textId="77777777" w:rsidR="00915003" w:rsidRDefault="00915003" w:rsidP="00915003">
      <w:pPr>
        <w:autoSpaceDE w:val="0"/>
        <w:autoSpaceDN w:val="0"/>
        <w:adjustRightInd w:val="0"/>
        <w:spacing w:before="120" w:after="120" w:line="20" w:lineRule="atLeast"/>
        <w:jc w:val="both"/>
        <w:rPr>
          <w:rFonts w:ascii="Times New Roman" w:hAnsi="Times New Roman"/>
          <w:sz w:val="24"/>
          <w:szCs w:val="24"/>
          <w:lang w:eastAsia="fr-FR"/>
        </w:rPr>
      </w:pPr>
      <w:r>
        <w:rPr>
          <w:rFonts w:ascii="Times New Roman" w:hAnsi="Times New Roman"/>
          <w:sz w:val="24"/>
          <w:szCs w:val="24"/>
          <w:lang w:eastAsia="fr-FR"/>
        </w:rPr>
        <w:t xml:space="preserve">Loi cadre n°11/009 ya 09 juillet 2011 oyo likolo elimbolami etie les principes fondamentaux relatifs à la protection de l’environnement, conformément à l’article 123 point 15 de la Constitution. Yango eza mpo na kopesa nzela ya kobomba na libela nkita ya zamba, na komonisa liboso makama, na kobunda mpo na koboya lolenge nyoso ya kobebisama, mpe na kobongisa bomoyi ya bavandi na botosi kobatela kozanga kobebisa bazamba, mayi, mabele (article 1er). Ebongisi kaka kobatela </w:t>
      </w:r>
      <w:r w:rsidRPr="00715F28">
        <w:rPr>
          <w:rFonts w:ascii="Times New Roman" w:hAnsi="Times New Roman"/>
          <w:sz w:val="24"/>
          <w:szCs w:val="24"/>
          <w:lang w:eastAsia="fr-FR"/>
        </w:rPr>
        <w:t>maye ma biloko biye bizingi mokili mpe</w:t>
      </w:r>
      <w:r>
        <w:rPr>
          <w:rFonts w:ascii="Times New Roman" w:hAnsi="Times New Roman"/>
          <w:sz w:val="24"/>
          <w:szCs w:val="24"/>
          <w:lang w:eastAsia="fr-FR"/>
        </w:rPr>
        <w:t xml:space="preserve"> kobatelala nkita ya mokili ezala na ndenge moko na mposa ya kotombola bikeke oyo kozanga kobebisa makoki ya bikeke ekoya na koyanola na ba mposa ya bongo meyi. Politiki nyoso ya molongo na oyo etali bo tombwami mombongo mpe efandeli ya batu ekotisi lolenge ya kosalela wana (article 7). Mokano wana ekotisi lotomo ya komeka kotala-tala bisika bizingi mboka, malongi</w:t>
      </w:r>
      <w:r w:rsidRPr="00070185">
        <w:rPr>
          <w:rFonts w:ascii="Times New Roman" w:hAnsi="Times New Roman"/>
          <w:sz w:val="24"/>
          <w:szCs w:val="24"/>
          <w:lang w:eastAsia="fr-FR"/>
        </w:rPr>
        <w:t xml:space="preserve"> maye ma biloko biye bizingi mokili na mpe efandeli ya batu</w:t>
      </w:r>
      <w:r>
        <w:rPr>
          <w:rFonts w:ascii="Times New Roman" w:hAnsi="Times New Roman"/>
          <w:sz w:val="24"/>
          <w:szCs w:val="24"/>
          <w:lang w:eastAsia="fr-FR"/>
        </w:rPr>
        <w:t>, na koluka-luka</w:t>
      </w:r>
      <w:r w:rsidRPr="00070185">
        <w:rPr>
          <w:rFonts w:ascii="Arial" w:hAnsi="Arial" w:cs="Arial"/>
        </w:rPr>
        <w:t xml:space="preserve"> </w:t>
      </w:r>
      <w:r w:rsidRPr="00070185">
        <w:rPr>
          <w:rFonts w:ascii="Times New Roman" w:hAnsi="Times New Roman"/>
          <w:sz w:val="24"/>
          <w:szCs w:val="24"/>
          <w:lang w:eastAsia="fr-FR"/>
        </w:rPr>
        <w:t>maye</w:t>
      </w:r>
      <w:r>
        <w:rPr>
          <w:rFonts w:ascii="Times New Roman" w:hAnsi="Times New Roman"/>
          <w:sz w:val="24"/>
          <w:szCs w:val="24"/>
          <w:lang w:eastAsia="fr-FR"/>
        </w:rPr>
        <w:t xml:space="preserve"> ma biloko biye bizingi mokili mpe na koluka-luka na polelele pona misala ya kotiya misolo. Lotomo liye etiami lisusu pona na lotiliki na nzela ya article 12 ya mobeko n°14/011 ya 17 juin 2014.</w:t>
      </w:r>
    </w:p>
    <w:p w14:paraId="3293DCE0" w14:textId="77777777" w:rsidR="00915003" w:rsidRDefault="00915003" w:rsidP="00915003">
      <w:pPr>
        <w:tabs>
          <w:tab w:val="left" w:pos="0"/>
        </w:tabs>
        <w:autoSpaceDE w:val="0"/>
        <w:autoSpaceDN w:val="0"/>
        <w:adjustRightInd w:val="0"/>
        <w:spacing w:before="120" w:after="120" w:line="20" w:lineRule="atLeast"/>
        <w:jc w:val="both"/>
        <w:rPr>
          <w:rFonts w:ascii="Times New Roman" w:hAnsi="Times New Roman"/>
          <w:sz w:val="24"/>
          <w:szCs w:val="24"/>
          <w:lang w:eastAsia="fr-FR"/>
        </w:rPr>
      </w:pPr>
      <w:r>
        <w:rPr>
          <w:rFonts w:ascii="Times New Roman" w:hAnsi="Times New Roman"/>
          <w:sz w:val="24"/>
          <w:szCs w:val="24"/>
          <w:lang w:eastAsia="fr-FR"/>
        </w:rPr>
        <w:t>Mobeko n° 06/018 du 20 juillet 2006 modifiant et complétant le « peine. Décret du 30 janvier 1940 portant Code pénal congolais.</w:t>
      </w:r>
    </w:p>
    <w:p w14:paraId="6D8D44DB" w14:textId="77777777" w:rsidR="00915003" w:rsidRDefault="00915003" w:rsidP="00915003">
      <w:pPr>
        <w:tabs>
          <w:tab w:val="left" w:pos="0"/>
        </w:tabs>
        <w:autoSpaceDE w:val="0"/>
        <w:autoSpaceDN w:val="0"/>
        <w:adjustRightInd w:val="0"/>
        <w:spacing w:before="120" w:after="120" w:line="20" w:lineRule="atLeast"/>
        <w:jc w:val="both"/>
        <w:rPr>
          <w:rFonts w:ascii="Times New Roman" w:hAnsi="Times New Roman"/>
          <w:sz w:val="24"/>
          <w:szCs w:val="24"/>
          <w:lang w:eastAsia="fr-FR"/>
        </w:rPr>
      </w:pPr>
      <w:r>
        <w:rPr>
          <w:rFonts w:ascii="Times New Roman" w:hAnsi="Times New Roman"/>
          <w:sz w:val="24"/>
          <w:szCs w:val="24"/>
          <w:lang w:eastAsia="fr-FR"/>
        </w:rPr>
        <w:t>La loi 06/018 modifiant et complétant le décret du 30 juin 1940 portant Code Pénal Congolais et la loi 06/019 modifiant et complétant le décret du 06 août 1959 portant Code de Procédure Pénale Congolais oyo eza kotanga lolenge nyoso ya botola basi na makasi mpe mbano oyo eza mpo ba oyo basali mbeba wana. Na mobeko wana esenge kobakisa mobeko oyo ebatelaka bana na mobeko oyo ezali kotelemela mpe koboya bokabwani na batu oyo ya VIH ya RDC oyo eza na mabongisi misusu mpo na oyo etali kobotala basi na makasi.</w:t>
      </w:r>
    </w:p>
    <w:p w14:paraId="5F976A56" w14:textId="77777777" w:rsidR="00915003" w:rsidRDefault="00915003" w:rsidP="00915003">
      <w:pPr>
        <w:tabs>
          <w:tab w:val="left" w:pos="567"/>
        </w:tabs>
        <w:spacing w:before="120" w:after="120" w:line="276" w:lineRule="auto"/>
        <w:jc w:val="both"/>
        <w:rPr>
          <w:rFonts w:ascii="Times New Roman" w:hAnsi="Times New Roman"/>
          <w:sz w:val="24"/>
          <w:szCs w:val="24"/>
          <w:lang w:eastAsia="fr-FR"/>
        </w:rPr>
      </w:pPr>
      <w:r>
        <w:rPr>
          <w:rFonts w:ascii="Times New Roman" w:hAnsi="Times New Roman"/>
          <w:sz w:val="24"/>
          <w:szCs w:val="24"/>
          <w:lang w:eastAsia="fr-FR"/>
        </w:rPr>
        <w:t xml:space="preserve">Libanda ya mibeko n°06/018 na n°06/019, mabongisi misusu ya kobunda na kobotola basi na makasi mpe kokabola basi na makasi ezwami na nzela ya :  </w:t>
      </w:r>
    </w:p>
    <w:p w14:paraId="4ED74AEB" w14:textId="77777777" w:rsidR="00915003" w:rsidRDefault="00915003" w:rsidP="00915003">
      <w:pPr>
        <w:pStyle w:val="Paragraphedeliste"/>
        <w:numPr>
          <w:ilvl w:val="0"/>
          <w:numId w:val="245"/>
        </w:numPr>
        <w:tabs>
          <w:tab w:val="left" w:pos="567"/>
        </w:tabs>
        <w:spacing w:before="120" w:after="120" w:line="276" w:lineRule="auto"/>
        <w:ind w:left="567"/>
        <w:jc w:val="both"/>
        <w:rPr>
          <w:rFonts w:ascii="Times New Roman" w:hAnsi="Times New Roman"/>
          <w:sz w:val="24"/>
          <w:szCs w:val="24"/>
          <w:lang w:eastAsia="fr-FR"/>
        </w:rPr>
      </w:pPr>
      <w:r>
        <w:rPr>
          <w:rFonts w:ascii="Times New Roman" w:hAnsi="Times New Roman"/>
          <w:sz w:val="24"/>
          <w:szCs w:val="24"/>
          <w:lang w:eastAsia="fr-FR"/>
        </w:rPr>
        <w:t>Mobeko ya musala oyo ba bongolo kati na yango ba longoli  mukanda oyo episi nzela mpo basi ya mabala ba zwa bango na misala ;</w:t>
      </w:r>
    </w:p>
    <w:p w14:paraId="346205DE" w14:textId="77777777" w:rsidR="00915003" w:rsidRDefault="00915003" w:rsidP="00915003">
      <w:pPr>
        <w:pStyle w:val="Paragraphedeliste"/>
        <w:numPr>
          <w:ilvl w:val="0"/>
          <w:numId w:val="245"/>
        </w:numPr>
        <w:spacing w:after="100" w:afterAutospacing="1" w:line="240" w:lineRule="auto"/>
        <w:ind w:left="567"/>
        <w:jc w:val="both"/>
        <w:rPr>
          <w:rFonts w:ascii="Times New Roman" w:hAnsi="Times New Roman"/>
          <w:sz w:val="24"/>
          <w:szCs w:val="24"/>
          <w:lang w:eastAsia="fr-FR"/>
        </w:rPr>
      </w:pPr>
      <w:r>
        <w:rPr>
          <w:rFonts w:ascii="Times New Roman" w:hAnsi="Times New Roman"/>
          <w:sz w:val="24"/>
          <w:szCs w:val="24"/>
          <w:lang w:eastAsia="fr-FR"/>
        </w:rPr>
        <w:t>Mobeko ya bazuzi ya soda oyo bazali kobeta makasi kobotala basi na makasi, bohumbu ya bosangani nzoto, bo ndumba na makasi, zemi na makasi, koboya kobota na makasi mpe lolenge mususu ya kobotala basi na makasi</w:t>
      </w:r>
    </w:p>
    <w:p w14:paraId="2F87F017" w14:textId="77777777" w:rsidR="00915003" w:rsidRDefault="00915003" w:rsidP="00915003">
      <w:pPr>
        <w:pStyle w:val="Paragraphedeliste"/>
        <w:numPr>
          <w:ilvl w:val="0"/>
          <w:numId w:val="245"/>
        </w:numPr>
        <w:tabs>
          <w:tab w:val="left" w:pos="567"/>
        </w:tabs>
        <w:spacing w:before="120" w:after="120" w:line="276" w:lineRule="auto"/>
        <w:ind w:left="567"/>
        <w:jc w:val="both"/>
        <w:rPr>
          <w:rFonts w:ascii="Times New Roman" w:hAnsi="Times New Roman"/>
          <w:sz w:val="24"/>
          <w:szCs w:val="24"/>
          <w:lang w:eastAsia="fr-FR"/>
        </w:rPr>
      </w:pPr>
      <w:r>
        <w:rPr>
          <w:rFonts w:ascii="Times New Roman" w:hAnsi="Times New Roman"/>
          <w:sz w:val="24"/>
          <w:szCs w:val="24"/>
          <w:lang w:eastAsia="fr-FR"/>
        </w:rPr>
        <w:t>Mobeko n</w:t>
      </w:r>
      <w:r w:rsidRPr="001D1010">
        <w:rPr>
          <w:rFonts w:ascii="Times New Roman" w:hAnsi="Times New Roman"/>
          <w:sz w:val="24"/>
          <w:szCs w:val="24"/>
          <w:vertAlign w:val="superscript"/>
          <w:lang w:eastAsia="fr-FR"/>
        </w:rPr>
        <w:t>o </w:t>
      </w:r>
      <w:r>
        <w:rPr>
          <w:rFonts w:ascii="Times New Roman" w:hAnsi="Times New Roman"/>
          <w:sz w:val="24"/>
          <w:szCs w:val="24"/>
          <w:lang w:eastAsia="fr-FR"/>
        </w:rPr>
        <w:t xml:space="preserve">08/011 ya 14 juillet 2008 oyo ebatelaka  batu oyo baza na bokono ya VIH/SIDA mpe ba séropositive ba oyo ba zali na bokono kasi kobeta sete na mwasi ezo zwa mbano na mibeko nyonso oyo mbula-matari atie na politiki ya mboka mobimba ya kolongono ya nzoto mpe ya kobota mpe kobatela ndenge VIH/Sida ekoki kowuta na maman mpo ekende na mwana. </w:t>
      </w:r>
    </w:p>
    <w:p w14:paraId="0D125F0D" w14:textId="77777777" w:rsidR="00915003" w:rsidRDefault="00915003" w:rsidP="00915003">
      <w:pPr>
        <w:pStyle w:val="Paragraphedeliste"/>
        <w:numPr>
          <w:ilvl w:val="0"/>
          <w:numId w:val="245"/>
        </w:numPr>
        <w:spacing w:after="0" w:line="240" w:lineRule="auto"/>
        <w:ind w:left="567"/>
        <w:jc w:val="both"/>
        <w:rPr>
          <w:rFonts w:ascii="Times New Roman" w:hAnsi="Times New Roman"/>
          <w:sz w:val="24"/>
          <w:szCs w:val="24"/>
          <w:lang w:eastAsia="fr-FR"/>
        </w:rPr>
      </w:pPr>
      <w:r>
        <w:rPr>
          <w:rFonts w:ascii="Times New Roman" w:hAnsi="Times New Roman"/>
          <w:sz w:val="24"/>
          <w:szCs w:val="24"/>
          <w:lang w:eastAsia="fr-FR"/>
        </w:rPr>
        <w:t xml:space="preserve">Mobeko  n°87/010 ya 1er août 1987 oyo etali code de la famille oyo ebongisami mpe ebakisami na oyo ya n° 16/008 ya 15 juillet 2016 oyo ekotisi ntaka ya muasi </w:t>
      </w:r>
    </w:p>
    <w:p w14:paraId="14D52E26" w14:textId="77777777" w:rsidR="00915003" w:rsidRDefault="00915003" w:rsidP="00915003">
      <w:pPr>
        <w:pStyle w:val="Paragraphedeliste"/>
        <w:numPr>
          <w:ilvl w:val="0"/>
          <w:numId w:val="245"/>
        </w:numPr>
        <w:spacing w:after="100" w:afterAutospacing="1" w:line="240" w:lineRule="auto"/>
        <w:ind w:left="567"/>
        <w:rPr>
          <w:rFonts w:ascii="Times New Roman" w:hAnsi="Times New Roman"/>
          <w:sz w:val="24"/>
          <w:szCs w:val="24"/>
          <w:lang w:eastAsia="fr-FR"/>
        </w:rPr>
      </w:pPr>
      <w:r>
        <w:rPr>
          <w:rFonts w:ascii="Times New Roman" w:hAnsi="Times New Roman"/>
          <w:sz w:val="24"/>
          <w:szCs w:val="24"/>
          <w:lang w:eastAsia="fr-FR"/>
        </w:rPr>
        <w:t>Mobeko n°09/001 ya 10 janvier 2009 oyo etali kobatelama ya bana oyo etalisi muana lokola moto nyoso oyo okokisi naino te  mvula18 mpe etalisi mvula ya kobala uta mvula 14  ti na 18  mpo na bana ya basi.</w:t>
      </w:r>
    </w:p>
    <w:p w14:paraId="515812AA" w14:textId="77777777" w:rsidR="00915003" w:rsidRDefault="00915003" w:rsidP="00915003">
      <w:pPr>
        <w:pStyle w:val="Paragraphedeliste"/>
        <w:numPr>
          <w:ilvl w:val="0"/>
          <w:numId w:val="245"/>
        </w:numPr>
        <w:spacing w:after="100" w:afterAutospacing="1" w:line="240" w:lineRule="auto"/>
        <w:ind w:left="567"/>
        <w:rPr>
          <w:rFonts w:ascii="Times New Roman" w:hAnsi="Times New Roman"/>
          <w:sz w:val="24"/>
          <w:szCs w:val="24"/>
          <w:lang w:eastAsia="fr-FR"/>
        </w:rPr>
      </w:pPr>
      <w:r>
        <w:rPr>
          <w:rFonts w:ascii="Times New Roman" w:hAnsi="Times New Roman"/>
          <w:sz w:val="24"/>
          <w:szCs w:val="24"/>
          <w:lang w:eastAsia="fr-FR"/>
        </w:rPr>
        <w:t>Mobeko n°81-003 ya 17 juillet 1981 oyo etali batu ya misala ya leta elatlisi kozanga kokabola mpona kibomwasi to kimobali liboso ya kuzwa mutu na musala, kofutama, komata na kibokonzi mpe mbano ya efandelo ya batu.</w:t>
      </w:r>
    </w:p>
    <w:p w14:paraId="3AD0D9B4" w14:textId="77777777" w:rsidR="00915003" w:rsidRDefault="00915003" w:rsidP="00915003">
      <w:pPr>
        <w:pStyle w:val="Paragraphedeliste"/>
        <w:numPr>
          <w:ilvl w:val="0"/>
          <w:numId w:val="245"/>
        </w:numPr>
        <w:spacing w:after="100" w:afterAutospacing="1" w:line="240" w:lineRule="auto"/>
        <w:ind w:left="567"/>
        <w:rPr>
          <w:rFonts w:ascii="Times New Roman" w:hAnsi="Times New Roman"/>
          <w:sz w:val="24"/>
          <w:szCs w:val="24"/>
          <w:lang w:eastAsia="fr-FR"/>
        </w:rPr>
      </w:pPr>
      <w:r>
        <w:rPr>
          <w:rFonts w:ascii="Times New Roman" w:hAnsi="Times New Roman"/>
          <w:sz w:val="24"/>
          <w:szCs w:val="24"/>
          <w:lang w:eastAsia="fr-FR"/>
        </w:rPr>
        <w:t xml:space="preserve">Mobeko n°15/013 ya 1er août 2015 oyo etali mabongisi ya kosalela makoki ya muasi na bokesene te na mobali </w:t>
      </w:r>
    </w:p>
    <w:p w14:paraId="793C8EFA" w14:textId="77777777" w:rsidR="00915003" w:rsidRDefault="00915003" w:rsidP="00915003">
      <w:pPr>
        <w:autoSpaceDN w:val="0"/>
        <w:spacing w:before="120" w:after="120" w:line="20" w:lineRule="atLeast"/>
        <w:jc w:val="both"/>
        <w:textAlignment w:val="baseline"/>
        <w:rPr>
          <w:rFonts w:ascii="Times New Roman" w:hAnsi="Times New Roman"/>
          <w:bCs/>
          <w:sz w:val="24"/>
          <w:szCs w:val="24"/>
        </w:rPr>
      </w:pPr>
      <w:r>
        <w:rPr>
          <w:rFonts w:ascii="Times New Roman" w:hAnsi="Times New Roman"/>
          <w:bCs/>
          <w:sz w:val="24"/>
          <w:szCs w:val="24"/>
        </w:rPr>
        <w:t>Na oyo etali makama ya EAS/HS, mabongisi ya mukanda ya bizaleli malamu</w:t>
      </w:r>
      <w:r>
        <w:rPr>
          <w:rStyle w:val="Appelnotedebasdep"/>
          <w:rFonts w:ascii="Times New Roman" w:hAnsi="Times New Roman"/>
          <w:bCs/>
          <w:sz w:val="24"/>
          <w:szCs w:val="24"/>
        </w:rPr>
        <w:footnoteReference w:id="3"/>
      </w:r>
      <w:r>
        <w:rPr>
          <w:rFonts w:ascii="Times New Roman" w:hAnsi="Times New Roman"/>
          <w:bCs/>
          <w:sz w:val="24"/>
          <w:szCs w:val="24"/>
        </w:rPr>
        <w:t xml:space="preserve"> ya kobunda mpo na kosalela mpe kobebisa, mpe kobotola muasi na makasi na oyo etali kotiya misolo mpo na misala ya minene ya botongi ekotiama na misala na kotala lolenge misala oyo ekosalama</w:t>
      </w:r>
      <w:r>
        <w:rPr>
          <w:rFonts w:ascii="Times New Roman" w:hAnsi="Times New Roman"/>
          <w:sz w:val="24"/>
          <w:szCs w:val="24"/>
          <w:lang w:eastAsia="fr-FR"/>
        </w:rPr>
        <w:t>.  Mukanda yo ya kotambwisa malamu elakisi motindo nini ya bakambi ya misala bako batela makama mpe bilembo ya</w:t>
      </w:r>
      <w:r>
        <w:rPr>
          <w:rFonts w:ascii="Times New Roman" w:hAnsi="Times New Roman"/>
          <w:bCs/>
          <w:sz w:val="24"/>
          <w:szCs w:val="24"/>
        </w:rPr>
        <w:t xml:space="preserve"> EAS/HS na oyo etali </w:t>
      </w:r>
      <w:r>
        <w:rPr>
          <w:rFonts w:ascii="Times New Roman" w:hAnsi="Times New Roman"/>
          <w:bCs/>
          <w:sz w:val="24"/>
        </w:rPr>
        <w:t>kadele</w:t>
      </w:r>
      <w:r w:rsidRPr="009A0C57">
        <w:rPr>
          <w:rFonts w:ascii="Times New Roman" w:hAnsi="Times New Roman"/>
          <w:bCs/>
          <w:sz w:val="24"/>
        </w:rPr>
        <w:t xml:space="preserve"> ya bisika bi</w:t>
      </w:r>
      <w:r>
        <w:rPr>
          <w:rFonts w:ascii="Times New Roman" w:hAnsi="Times New Roman"/>
          <w:bCs/>
          <w:sz w:val="24"/>
        </w:rPr>
        <w:t>zingi mokili na efandelo ya batu, na oyo etali ba</w:t>
      </w:r>
      <w:r>
        <w:rPr>
          <w:rFonts w:ascii="Times New Roman" w:hAnsi="Times New Roman"/>
          <w:bCs/>
          <w:sz w:val="24"/>
          <w:szCs w:val="24"/>
        </w:rPr>
        <w:t xml:space="preserve"> mambi ya bisika bizingi mokili na efandelo ya batu oyo elandi, na ba mikano ya kobatela ya liboso na kadele :</w:t>
      </w:r>
    </w:p>
    <w:p w14:paraId="2345FCB1" w14:textId="77777777" w:rsidR="00915003" w:rsidRPr="00146B44" w:rsidRDefault="00915003" w:rsidP="00915003">
      <w:pPr>
        <w:pStyle w:val="Paragraphedeliste"/>
        <w:numPr>
          <w:ilvl w:val="0"/>
          <w:numId w:val="500"/>
        </w:numPr>
        <w:autoSpaceDN w:val="0"/>
        <w:spacing w:after="0"/>
        <w:jc w:val="both"/>
        <w:textAlignment w:val="baseline"/>
        <w:rPr>
          <w:rFonts w:ascii="Times New Roman" w:hAnsi="Times New Roman"/>
          <w:bCs/>
          <w:sz w:val="28"/>
          <w:szCs w:val="24"/>
        </w:rPr>
      </w:pPr>
      <w:r w:rsidRPr="00146B44">
        <w:rPr>
          <w:rFonts w:ascii="Times New Roman" w:hAnsi="Times New Roman"/>
          <w:sz w:val="24"/>
        </w:rPr>
        <w:t xml:space="preserve">NES n°1 (Botaleli mambi ma biloko biye bizingi mokili na mpe efandeli ya batu) ; </w:t>
      </w:r>
    </w:p>
    <w:p w14:paraId="4EFBCD1E" w14:textId="77777777" w:rsidR="00915003" w:rsidRPr="00146B44" w:rsidRDefault="00915003" w:rsidP="00915003">
      <w:pPr>
        <w:pStyle w:val="Paragraphedeliste"/>
        <w:numPr>
          <w:ilvl w:val="0"/>
          <w:numId w:val="500"/>
        </w:numPr>
        <w:autoSpaceDN w:val="0"/>
        <w:spacing w:after="0"/>
        <w:jc w:val="both"/>
        <w:textAlignment w:val="baseline"/>
        <w:rPr>
          <w:rFonts w:ascii="Times New Roman" w:hAnsi="Times New Roman"/>
          <w:bCs/>
          <w:sz w:val="28"/>
          <w:szCs w:val="24"/>
        </w:rPr>
      </w:pPr>
      <w:r w:rsidRPr="00146B44">
        <w:rPr>
          <w:rFonts w:ascii="Times New Roman" w:hAnsi="Times New Roman"/>
          <w:sz w:val="24"/>
        </w:rPr>
        <w:t xml:space="preserve">NES n°2 (Botaleli mambi ma Musala na mpe batu ya misala) ; </w:t>
      </w:r>
    </w:p>
    <w:p w14:paraId="2CF8E84B" w14:textId="77777777" w:rsidR="00915003" w:rsidRPr="00146B44" w:rsidRDefault="00915003" w:rsidP="00915003">
      <w:pPr>
        <w:pStyle w:val="Paragraphedeliste"/>
        <w:numPr>
          <w:ilvl w:val="0"/>
          <w:numId w:val="500"/>
        </w:numPr>
        <w:spacing w:after="0" w:line="240" w:lineRule="auto"/>
        <w:jc w:val="both"/>
        <w:rPr>
          <w:rFonts w:ascii="Times New Roman" w:hAnsi="Times New Roman"/>
          <w:sz w:val="24"/>
        </w:rPr>
      </w:pPr>
      <w:r w:rsidRPr="00146B44">
        <w:rPr>
          <w:rFonts w:ascii="Times New Roman" w:hAnsi="Times New Roman"/>
          <w:sz w:val="24"/>
        </w:rPr>
        <w:t xml:space="preserve">NES n°4 (Bomoi na mpe bokengeli batu) ; </w:t>
      </w:r>
    </w:p>
    <w:p w14:paraId="63F44A67" w14:textId="77777777" w:rsidR="00915003" w:rsidRPr="00146B44" w:rsidRDefault="00915003" w:rsidP="00915003">
      <w:pPr>
        <w:pStyle w:val="Paragraphedeliste"/>
        <w:numPr>
          <w:ilvl w:val="0"/>
          <w:numId w:val="500"/>
        </w:numPr>
        <w:spacing w:after="0" w:line="240" w:lineRule="auto"/>
        <w:jc w:val="both"/>
        <w:rPr>
          <w:rFonts w:ascii="Times New Roman" w:hAnsi="Times New Roman"/>
          <w:sz w:val="24"/>
        </w:rPr>
      </w:pPr>
      <w:r w:rsidRPr="00146B44">
        <w:rPr>
          <w:rFonts w:ascii="Times New Roman" w:hAnsi="Times New Roman"/>
          <w:sz w:val="24"/>
        </w:rPr>
        <w:t>NES n°10 (Bopanzi na mpe bopesi batu ba nsango mpo na mambi ma misala na mpe bolendisi batu banso baye misala mikotalela).</w:t>
      </w:r>
    </w:p>
    <w:p w14:paraId="2DD7445C" w14:textId="77777777" w:rsidR="00915003" w:rsidRPr="003A128C" w:rsidRDefault="00915003" w:rsidP="00915003">
      <w:pPr>
        <w:autoSpaceDN w:val="0"/>
        <w:spacing w:after="0"/>
        <w:jc w:val="both"/>
        <w:textAlignment w:val="baseline"/>
        <w:rPr>
          <w:rFonts w:ascii="Times New Roman" w:hAnsi="Times New Roman"/>
          <w:sz w:val="24"/>
          <w:szCs w:val="24"/>
        </w:rPr>
      </w:pPr>
      <w:r>
        <w:rPr>
          <w:rFonts w:ascii="Times New Roman" w:hAnsi="Times New Roman"/>
          <w:bCs/>
          <w:sz w:val="24"/>
          <w:szCs w:val="24"/>
        </w:rPr>
        <w:t>Misala nyoso ya kotambwisa mpe kotiya lotiliki, mayi mpe bopeto esalami engebene mibeko 9 na kati ya mibeko 10 ya Banque mpe 2 ya politiki ya kala. Pona yango, pona misala ya mike-mike ya lotiliki na esika ya molili, ya bopeto, ya kotonga mpe kotiya na molongo lisanga ya ba singa ya SNEL ya ba directions ya Kinshasa Centre mpe Ouest, mibeko 8 na kati ya 10 ya Banque ya molongo mobimba ekokisami mpo musala esalama. Ezali oyo etali kaka</w:t>
      </w:r>
      <w:r>
        <w:rPr>
          <w:rFonts w:ascii="Times New Roman" w:hAnsi="Times New Roman"/>
          <w:sz w:val="24"/>
          <w:szCs w:val="24"/>
        </w:rPr>
        <w:t xml:space="preserve"> : </w:t>
      </w:r>
    </w:p>
    <w:p w14:paraId="36664953"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n°1 (Botaleli mambi ma biloko biye bizingi mokili na mpe efandeli ya batu) ; </w:t>
      </w:r>
    </w:p>
    <w:p w14:paraId="0D17CF12"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n°2 (Botaleli mambi ma Musala na mpe batu ya misala) ; </w:t>
      </w:r>
    </w:p>
    <w:p w14:paraId="656F97D0"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n°3 (Bosaleli malamu nkiti ya mokili) ; </w:t>
      </w:r>
    </w:p>
    <w:p w14:paraId="05200233"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n°4 (Bomoi na mpe bokengeli batu) ; </w:t>
      </w:r>
    </w:p>
    <w:p w14:paraId="380106C4"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n°5 (Bozwi mabele mpo na misala na mpe bopekisi batu ko masalela, na mpe kolongola batu bisika bia misala na biloko bia bango) ; </w:t>
      </w:r>
    </w:p>
    <w:p w14:paraId="1A6D5570"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n°6 (Bokengeli ba zamba, banyama na mpe ba nkita esusu ya mokili) ; </w:t>
      </w:r>
    </w:p>
    <w:p w14:paraId="6F73610F"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 xml:space="preserve">NES n°8 (Mambi ma bonkoko) ; na mpe </w:t>
      </w:r>
    </w:p>
    <w:p w14:paraId="385F5F35" w14:textId="77777777" w:rsidR="00915003" w:rsidRPr="003A128C" w:rsidRDefault="00915003" w:rsidP="00915003">
      <w:pPr>
        <w:pStyle w:val="Paragraphedeliste"/>
        <w:numPr>
          <w:ilvl w:val="0"/>
          <w:numId w:val="501"/>
        </w:numPr>
        <w:autoSpaceDN w:val="0"/>
        <w:spacing w:after="0"/>
        <w:jc w:val="both"/>
        <w:textAlignment w:val="baseline"/>
        <w:rPr>
          <w:rFonts w:ascii="Times New Roman" w:hAnsi="Times New Roman"/>
          <w:sz w:val="24"/>
          <w:szCs w:val="24"/>
        </w:rPr>
      </w:pPr>
      <w:r w:rsidRPr="003A128C">
        <w:rPr>
          <w:rFonts w:ascii="Times New Roman" w:hAnsi="Times New Roman"/>
          <w:sz w:val="24"/>
          <w:szCs w:val="24"/>
        </w:rPr>
        <w:t>NES n°10 (Bopanzi na mpe bopesi batu ba nsango mpo na mambi ma misala na mpe bolendisi batu banso baye misala mikotalela).</w:t>
      </w:r>
    </w:p>
    <w:p w14:paraId="3DD43751" w14:textId="77777777" w:rsidR="00915003" w:rsidRDefault="00915003" w:rsidP="00915003">
      <w:pPr>
        <w:autoSpaceDN w:val="0"/>
        <w:spacing w:before="120" w:after="120" w:line="20" w:lineRule="atLeast"/>
        <w:jc w:val="both"/>
        <w:textAlignment w:val="baseline"/>
        <w:rPr>
          <w:rFonts w:ascii="Times New Roman" w:hAnsi="Times New Roman"/>
          <w:sz w:val="24"/>
          <w:szCs w:val="24"/>
        </w:rPr>
      </w:pPr>
      <w:r>
        <w:rPr>
          <w:rFonts w:ascii="Times New Roman" w:hAnsi="Times New Roman"/>
          <w:sz w:val="24"/>
          <w:szCs w:val="24"/>
        </w:rPr>
        <w:t xml:space="preserve">Kaka NES n° 7 : oyo etalali bavandi ya mboka/ Lingomba ya mboka ya bonkoko ya Africa y’Afrique subsaharienne na kala batangaka bango te na kati ya musala oyo, eza mpo été misala eko salama na baengumba minene. </w:t>
      </w:r>
    </w:p>
    <w:p w14:paraId="115AE7B5" w14:textId="77777777" w:rsidR="00915003" w:rsidRDefault="00915003" w:rsidP="00915003">
      <w:pPr>
        <w:autoSpaceDN w:val="0"/>
        <w:spacing w:before="120" w:after="120" w:line="20" w:lineRule="atLeast"/>
        <w:jc w:val="both"/>
        <w:textAlignment w:val="baseline"/>
        <w:rPr>
          <w:rFonts w:ascii="Times New Roman" w:hAnsi="Times New Roman"/>
          <w:sz w:val="24"/>
          <w:szCs w:val="24"/>
        </w:rPr>
      </w:pPr>
      <w:r>
        <w:rPr>
          <w:rFonts w:ascii="Times New Roman" w:hAnsi="Times New Roman"/>
          <w:sz w:val="24"/>
          <w:szCs w:val="24"/>
        </w:rPr>
        <w:t>Kadele ya mibeko ya RDC ebakisami na ba Conventions internationales oyo andimi mpe tie manzaka na lokasa esali na libela lisanga ya mibeko ya mboka.</w:t>
      </w:r>
    </w:p>
    <w:p w14:paraId="6777D6F4" w14:textId="77777777" w:rsidR="00915003" w:rsidRDefault="00915003" w:rsidP="00915003">
      <w:pPr>
        <w:spacing w:before="120" w:after="120" w:line="240" w:lineRule="auto"/>
        <w:rPr>
          <w:rFonts w:ascii="Times New Roman" w:hAnsi="Times New Roman"/>
          <w:b/>
          <w:sz w:val="24"/>
          <w:szCs w:val="24"/>
        </w:rPr>
      </w:pPr>
      <w:r>
        <w:rPr>
          <w:rFonts w:ascii="Times New Roman" w:hAnsi="Times New Roman"/>
          <w:b/>
          <w:sz w:val="24"/>
          <w:szCs w:val="24"/>
        </w:rPr>
        <w:t>Na oyo etali ba conventions oyo RDC andimi mpe etiami na misala miye tokoki kotanga na bokuse :</w:t>
      </w:r>
    </w:p>
    <w:p w14:paraId="7B7E446D" w14:textId="77777777" w:rsidR="00915003" w:rsidRDefault="00915003" w:rsidP="00915003">
      <w:pPr>
        <w:numPr>
          <w:ilvl w:val="0"/>
          <w:numId w:val="136"/>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Convention ya Londres ya kobatela bibwele na zamba na ndenge ezalaki endimamaki na 14 janvier 1936 ;</w:t>
      </w:r>
    </w:p>
    <w:p w14:paraId="3613F81E" w14:textId="77777777" w:rsidR="00915003" w:rsidRDefault="00915003" w:rsidP="00915003">
      <w:pPr>
        <w:numPr>
          <w:ilvl w:val="0"/>
          <w:numId w:val="136"/>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 xml:space="preserve">Convention Africaine oyo etali kobatela </w:t>
      </w:r>
      <w:r w:rsidRPr="00C2459F">
        <w:rPr>
          <w:rFonts w:ascii="Times New Roman" w:hAnsi="Times New Roman"/>
          <w:sz w:val="24"/>
          <w:szCs w:val="24"/>
          <w:lang w:eastAsia="fr-FR"/>
        </w:rPr>
        <w:t>ba zamba, banyama na mpe ba nkita esusu ya mokili</w:t>
      </w:r>
      <w:r>
        <w:rPr>
          <w:rFonts w:ascii="Times New Roman" w:hAnsi="Times New Roman"/>
          <w:sz w:val="24"/>
          <w:szCs w:val="24"/>
          <w:lang w:eastAsia="fr-FR"/>
        </w:rPr>
        <w:t xml:space="preserve"> endimamaki na 15 septembre 1968 ;</w:t>
      </w:r>
    </w:p>
    <w:p w14:paraId="37226DBE" w14:textId="77777777" w:rsidR="00915003" w:rsidRDefault="00915003" w:rsidP="00915003">
      <w:pPr>
        <w:numPr>
          <w:ilvl w:val="0"/>
          <w:numId w:val="136"/>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 xml:space="preserve">Convention ya Paris na kobatela </w:t>
      </w:r>
      <w:r w:rsidRPr="003A128C">
        <w:rPr>
          <w:rFonts w:ascii="Times New Roman" w:hAnsi="Times New Roman"/>
          <w:sz w:val="24"/>
          <w:szCs w:val="24"/>
        </w:rPr>
        <w:t>Mambi ma bonkoko</w:t>
      </w:r>
      <w:r>
        <w:rPr>
          <w:rFonts w:ascii="Times New Roman" w:hAnsi="Times New Roman"/>
          <w:sz w:val="24"/>
          <w:szCs w:val="24"/>
          <w:lang w:eastAsia="fr-FR"/>
        </w:rPr>
        <w:t xml:space="preserve"> ya mokili mobimba endimamaki na 23 novembre 1972. ;</w:t>
      </w:r>
    </w:p>
    <w:p w14:paraId="3ED8D981" w14:textId="77777777" w:rsidR="00915003" w:rsidRDefault="00915003" w:rsidP="00915003">
      <w:pPr>
        <w:numPr>
          <w:ilvl w:val="0"/>
          <w:numId w:val="136"/>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 xml:space="preserve">Convention-Cadre des Nations-Unies oyo etali mbongwana ya ntangu, endimami na </w:t>
      </w:r>
      <w:r>
        <w:rPr>
          <w:rFonts w:ascii="Times New Roman" w:hAnsi="Times New Roman"/>
          <w:sz w:val="24"/>
          <w:szCs w:val="24"/>
          <w:lang w:val="pt-PT" w:eastAsia="fr-FR"/>
        </w:rPr>
        <w:t>4 juin 1992;</w:t>
      </w:r>
    </w:p>
    <w:p w14:paraId="201D0EA5" w14:textId="77777777" w:rsidR="00915003" w:rsidRDefault="00915003" w:rsidP="00915003">
      <w:pPr>
        <w:numPr>
          <w:ilvl w:val="0"/>
          <w:numId w:val="136"/>
        </w:numPr>
        <w:spacing w:after="0" w:line="240" w:lineRule="auto"/>
        <w:contextualSpacing/>
        <w:jc w:val="both"/>
        <w:rPr>
          <w:rFonts w:ascii="Times New Roman" w:hAnsi="Times New Roman"/>
          <w:sz w:val="24"/>
          <w:szCs w:val="24"/>
        </w:rPr>
      </w:pPr>
      <w:r>
        <w:rPr>
          <w:rFonts w:ascii="Times New Roman" w:hAnsi="Times New Roman"/>
          <w:sz w:val="24"/>
          <w:szCs w:val="24"/>
          <w:lang w:eastAsia="fr-FR"/>
        </w:rPr>
        <w:t>Convention des Nations Unies pona koboya moliki endimamami na 17 octobre 1995.</w:t>
      </w:r>
    </w:p>
    <w:p w14:paraId="15C78F2F" w14:textId="77777777" w:rsidR="00915003" w:rsidRDefault="00915003" w:rsidP="00915003">
      <w:pPr>
        <w:numPr>
          <w:ilvl w:val="0"/>
          <w:numId w:val="136"/>
        </w:numPr>
        <w:spacing w:after="120" w:line="240" w:lineRule="auto"/>
        <w:ind w:left="357" w:hanging="357"/>
        <w:jc w:val="both"/>
        <w:rPr>
          <w:rFonts w:ascii="Times New Roman" w:hAnsi="Times New Roman"/>
          <w:sz w:val="24"/>
          <w:szCs w:val="24"/>
        </w:rPr>
      </w:pPr>
      <w:r>
        <w:rPr>
          <w:rFonts w:ascii="Times New Roman" w:hAnsi="Times New Roman"/>
          <w:sz w:val="24"/>
          <w:szCs w:val="24"/>
          <w:lang w:eastAsia="fr-FR"/>
        </w:rPr>
        <w:t xml:space="preserve">Convention pona kobatela </w:t>
      </w:r>
      <w:r w:rsidRPr="00C2459F">
        <w:rPr>
          <w:rFonts w:ascii="Times New Roman" w:hAnsi="Times New Roman"/>
          <w:sz w:val="24"/>
          <w:szCs w:val="24"/>
          <w:lang w:eastAsia="fr-FR"/>
        </w:rPr>
        <w:t>ba zamba, banyama na mpe ba nkita esusu ya mokili</w:t>
      </w:r>
      <w:r>
        <w:rPr>
          <w:rFonts w:ascii="Times New Roman" w:hAnsi="Times New Roman"/>
          <w:sz w:val="24"/>
          <w:szCs w:val="24"/>
          <w:lang w:eastAsia="fr-FR"/>
        </w:rPr>
        <w:t xml:space="preserve"> endimamaki na kobatela </w:t>
      </w:r>
      <w:r w:rsidRPr="00C2459F">
        <w:rPr>
          <w:rFonts w:ascii="Times New Roman" w:hAnsi="Times New Roman"/>
          <w:sz w:val="24"/>
          <w:szCs w:val="24"/>
          <w:lang w:eastAsia="fr-FR"/>
        </w:rPr>
        <w:t>ba zamba, banyama na mpe ba nkita esusu ya mokili</w:t>
      </w:r>
      <w:r>
        <w:rPr>
          <w:rFonts w:ascii="Times New Roman" w:hAnsi="Times New Roman"/>
          <w:sz w:val="24"/>
          <w:szCs w:val="24"/>
          <w:lang w:eastAsia="fr-FR"/>
        </w:rPr>
        <w:t xml:space="preserve"> endimamaki na </w:t>
      </w:r>
      <w:r>
        <w:rPr>
          <w:rFonts w:ascii="Times New Roman" w:hAnsi="Times New Roman"/>
          <w:sz w:val="24"/>
          <w:szCs w:val="24"/>
          <w:lang w:val="pt-PT" w:eastAsia="fr-FR"/>
        </w:rPr>
        <w:t>4 juin 1992.</w:t>
      </w:r>
    </w:p>
    <w:p w14:paraId="23CCBD3E" w14:textId="77777777" w:rsidR="00915003" w:rsidRDefault="00915003" w:rsidP="00915003">
      <w:pPr>
        <w:spacing w:before="120" w:after="120" w:line="240" w:lineRule="auto"/>
        <w:jc w:val="both"/>
        <w:rPr>
          <w:rFonts w:ascii="Times New Roman" w:hAnsi="Times New Roman"/>
          <w:sz w:val="24"/>
          <w:szCs w:val="24"/>
          <w:lang w:val="pt-PT" w:eastAsia="fr-FR"/>
        </w:rPr>
      </w:pPr>
      <w:r>
        <w:rPr>
          <w:rFonts w:ascii="Times New Roman" w:hAnsi="Times New Roman"/>
          <w:sz w:val="24"/>
          <w:szCs w:val="24"/>
          <w:lang w:val="pt-PT" w:eastAsia="fr-FR"/>
        </w:rPr>
        <w:t>Na oyo etali mabongisi ya musala, kobatela muasi mpe muana, ezali mpe na misusu:</w:t>
      </w:r>
    </w:p>
    <w:p w14:paraId="0084ABB9" w14:textId="77777777" w:rsidR="00915003" w:rsidRPr="00D60172" w:rsidRDefault="00915003" w:rsidP="00915003">
      <w:pPr>
        <w:numPr>
          <w:ilvl w:val="0"/>
          <w:numId w:val="136"/>
        </w:numPr>
        <w:spacing w:line="240" w:lineRule="auto"/>
        <w:contextualSpacing/>
        <w:jc w:val="both"/>
        <w:rPr>
          <w:rFonts w:ascii="Times New Roman" w:hAnsi="Times New Roman"/>
          <w:sz w:val="24"/>
          <w:szCs w:val="24"/>
          <w:lang w:val="pt-PT" w:eastAsia="fr-FR"/>
        </w:rPr>
      </w:pPr>
      <w:r w:rsidRPr="00D60172">
        <w:rPr>
          <w:rFonts w:ascii="Times New Roman" w:hAnsi="Times New Roman"/>
          <w:sz w:val="24"/>
          <w:szCs w:val="24"/>
          <w:lang w:val="pt-PT" w:eastAsia="fr-FR"/>
        </w:rPr>
        <w:t>Convention n° 150 oyo etali kalaki ya musala : litomba, musala mpe kobongisa, endimamaki na Genève na 26 juin 1978 mpe kotiya mokolokoto na 03/04/1987 mpe kotiya mokolokoto na </w:t>
      </w:r>
      <w:r w:rsidRPr="00D60172">
        <w:rPr>
          <w:rFonts w:ascii="Times New Roman" w:eastAsia="Times New Roman" w:hAnsi="Times New Roman"/>
          <w:lang w:val="pt-PT" w:eastAsia="fr-FR"/>
        </w:rPr>
        <w:t>03 avril1987</w:t>
      </w:r>
      <w:r w:rsidRPr="00D60172">
        <w:rPr>
          <w:rFonts w:ascii="Times New Roman" w:hAnsi="Times New Roman"/>
          <w:sz w:val="24"/>
          <w:szCs w:val="24"/>
          <w:lang w:val="pt-PT" w:eastAsia="fr-FR"/>
        </w:rPr>
        <w:t>;</w:t>
      </w:r>
    </w:p>
    <w:p w14:paraId="7CBC9485" w14:textId="77777777" w:rsidR="00915003" w:rsidRPr="00D60172" w:rsidRDefault="00915003" w:rsidP="00915003">
      <w:pPr>
        <w:numPr>
          <w:ilvl w:val="0"/>
          <w:numId w:val="136"/>
        </w:numPr>
        <w:spacing w:line="240" w:lineRule="auto"/>
        <w:contextualSpacing/>
        <w:jc w:val="both"/>
        <w:rPr>
          <w:rFonts w:ascii="Times New Roman" w:hAnsi="Times New Roman"/>
          <w:sz w:val="24"/>
          <w:szCs w:val="24"/>
          <w:lang w:val="pt-PT" w:eastAsia="fr-FR"/>
        </w:rPr>
      </w:pPr>
      <w:r w:rsidRPr="00D60172">
        <w:rPr>
          <w:rFonts w:ascii="Times New Roman" w:hAnsi="Times New Roman"/>
          <w:sz w:val="24"/>
          <w:szCs w:val="24"/>
          <w:lang w:val="pt-PT" w:eastAsia="fr-FR"/>
        </w:rPr>
        <w:t>Convention n° 182 ya koboya lolenge ya misala ya mabe ya bana mike mpe lolenge ya mabe ya koboma bango mbala moko, ebongisami na Genève na 17 juin 1999 mpe endimamami na 20 juin 2001</w:t>
      </w:r>
    </w:p>
    <w:p w14:paraId="699ABAFC" w14:textId="77777777" w:rsidR="00915003" w:rsidRDefault="00915003" w:rsidP="00915003">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Convention N° 138 ya mvula ya kondimama na musala, endimamami na 1999 mpe na 20 juin 2001</w:t>
      </w:r>
    </w:p>
    <w:p w14:paraId="700446E9" w14:textId="77777777" w:rsidR="00915003" w:rsidRDefault="00915003" w:rsidP="00915003">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Buku ya Africa ya molongo mpe ya bolamu ya muana, Juillet 1990</w:t>
      </w:r>
    </w:p>
    <w:p w14:paraId="6F215207" w14:textId="77777777" w:rsidR="00915003" w:rsidRDefault="00915003" w:rsidP="00915003">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Convention N° 121 ya kosalela na ntangu ya likama ya musala mpe bokono ezumi na misala ya 1964 (etando I ebongisami na 1980) endimami na 05/09/1967 ;</w:t>
      </w:r>
    </w:p>
    <w:p w14:paraId="6C54BA45" w14:textId="77777777" w:rsidR="00915003" w:rsidRDefault="00915003" w:rsidP="00915003">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Convention N° 111 ya kokesenisa batu (musala) ya 1958, endimami na 20 juin 2001</w:t>
      </w:r>
    </w:p>
    <w:p w14:paraId="097AE048" w14:textId="77777777" w:rsidR="00915003" w:rsidRDefault="00915003" w:rsidP="00915003">
      <w:pPr>
        <w:numPr>
          <w:ilvl w:val="0"/>
          <w:numId w:val="136"/>
        </w:numPr>
        <w:spacing w:line="240" w:lineRule="auto"/>
        <w:contextualSpacing/>
        <w:jc w:val="both"/>
        <w:rPr>
          <w:rFonts w:ascii="Times New Roman" w:hAnsi="Times New Roman"/>
          <w:sz w:val="24"/>
          <w:szCs w:val="24"/>
          <w:lang w:eastAsia="fr-FR"/>
        </w:rPr>
      </w:pPr>
      <w:r>
        <w:rPr>
          <w:rFonts w:ascii="Times New Roman" w:hAnsi="Times New Roman"/>
          <w:sz w:val="24"/>
          <w:szCs w:val="24"/>
          <w:lang w:eastAsia="fr-FR"/>
        </w:rPr>
        <w:t xml:space="preserve">Convention ya kolongola lolenge nyoso ya kokesenisa batu na ntina ya basi to maloba ya kolongola mambi ya kobotola/Kozwa basi na makasi, endimamaki na 18 Décembre 1979 na lisanga mobimba ya Nations Unies. Etiamaki mokoloto na 1980 mpe endimamaki na 1986 na RDC. Ekoti na misala na 3 septembre 1981 na sima ya kondima yango na ba mboka 20 </w:t>
      </w:r>
    </w:p>
    <w:p w14:paraId="49FADD55" w14:textId="77777777" w:rsidR="00915003" w:rsidRDefault="00915003" w:rsidP="00915003">
      <w:pPr>
        <w:numPr>
          <w:ilvl w:val="0"/>
          <w:numId w:val="136"/>
        </w:numPr>
        <w:spacing w:after="0" w:line="240" w:lineRule="auto"/>
        <w:ind w:left="357" w:hanging="357"/>
        <w:jc w:val="both"/>
        <w:rPr>
          <w:rFonts w:ascii="Times New Roman" w:hAnsi="Times New Roman"/>
          <w:sz w:val="24"/>
          <w:szCs w:val="24"/>
          <w:lang w:eastAsia="fr-FR"/>
        </w:rPr>
      </w:pPr>
      <w:r>
        <w:rPr>
          <w:rFonts w:ascii="Times New Roman" w:hAnsi="Times New Roman"/>
          <w:sz w:val="24"/>
          <w:szCs w:val="24"/>
          <w:lang w:eastAsia="fr-FR"/>
        </w:rPr>
        <w:t>Mabongisi 44/25 ya 20 novembre 1989 ya molongo ya bana</w:t>
      </w:r>
    </w:p>
    <w:p w14:paraId="3809E20B" w14:textId="77777777" w:rsidR="00915003" w:rsidRDefault="00915003" w:rsidP="00915003">
      <w:pPr>
        <w:numPr>
          <w:ilvl w:val="0"/>
          <w:numId w:val="136"/>
        </w:numPr>
        <w:spacing w:after="120" w:line="240" w:lineRule="auto"/>
        <w:ind w:left="357" w:hanging="357"/>
        <w:jc w:val="both"/>
        <w:rPr>
          <w:rFonts w:ascii="Times New Roman" w:hAnsi="Times New Roman"/>
          <w:sz w:val="24"/>
          <w:szCs w:val="24"/>
          <w:lang w:eastAsia="fr-FR"/>
        </w:rPr>
      </w:pPr>
      <w:r>
        <w:rPr>
          <w:rFonts w:ascii="Times New Roman" w:hAnsi="Times New Roman"/>
          <w:sz w:val="24"/>
          <w:szCs w:val="24"/>
          <w:lang w:eastAsia="fr-FR"/>
        </w:rPr>
        <w:t>Mabongisi 2011/33 ya kokanisa, kobatela, mpe bosangani ya molongo mobimba na oyo etali kosalela technology ya sika ya koyebisa makambu pona kobebisa mpe/to kosalela bana.</w:t>
      </w:r>
    </w:p>
    <w:p w14:paraId="6E318381" w14:textId="77777777" w:rsidR="00915003" w:rsidRDefault="00915003" w:rsidP="00915003">
      <w:pPr>
        <w:pStyle w:val="Paragraphedeliste"/>
        <w:spacing w:after="0" w:line="240" w:lineRule="auto"/>
        <w:rPr>
          <w:rFonts w:ascii="Times New Roman" w:eastAsia="Times New Roman" w:hAnsi="Times New Roman"/>
          <w:sz w:val="24"/>
          <w:szCs w:val="24"/>
          <w:lang w:eastAsia="es-ES_tradnl"/>
        </w:rPr>
      </w:pPr>
      <w:r>
        <w:rPr>
          <w:rFonts w:ascii="Times New Roman" w:eastAsia="Times New Roman" w:hAnsi="Times New Roman"/>
          <w:sz w:val="24"/>
          <w:szCs w:val="24"/>
          <w:lang w:eastAsia="es-ES_tradnl"/>
        </w:rPr>
        <w:t>Na oyo etali VBG tokoki kotanga :</w:t>
      </w:r>
    </w:p>
    <w:p w14:paraId="7C8EDEF3" w14:textId="77777777" w:rsidR="00915003" w:rsidRDefault="00915003" w:rsidP="00915003">
      <w:pPr>
        <w:pStyle w:val="Paragraphedeliste"/>
        <w:numPr>
          <w:ilvl w:val="0"/>
          <w:numId w:val="243"/>
        </w:numPr>
        <w:spacing w:after="0" w:line="240" w:lineRule="auto"/>
        <w:rPr>
          <w:rFonts w:ascii="Times New Roman" w:eastAsia="Times New Roman" w:hAnsi="Times New Roman"/>
          <w:sz w:val="24"/>
          <w:szCs w:val="24"/>
          <w:lang w:eastAsia="es-ES_tradnl"/>
        </w:rPr>
      </w:pPr>
      <w:r>
        <w:rPr>
          <w:rFonts w:ascii="Times New Roman" w:eastAsia="Times New Roman" w:hAnsi="Times New Roman"/>
          <w:sz w:val="24"/>
          <w:szCs w:val="24"/>
          <w:lang w:eastAsia="es-ES_tradnl"/>
        </w:rPr>
        <w:t>Mobeko  n° 06/018 ya 20 juillet 2006 ya mbano. Décret ya 30 janvier 1940 ya kokanga na RD-Congo</w:t>
      </w:r>
      <w:r>
        <w:rPr>
          <w:rFonts w:ascii="Times New Roman" w:eastAsia="Times New Roman" w:hAnsi="Times New Roman"/>
          <w:sz w:val="24"/>
          <w:szCs w:val="24"/>
          <w:lang w:val="es-ES" w:eastAsia="es-ES_tradnl"/>
        </w:rPr>
        <w:t>.</w:t>
      </w:r>
    </w:p>
    <w:p w14:paraId="100C107C" w14:textId="77777777" w:rsidR="00915003" w:rsidRDefault="00915003" w:rsidP="00915003">
      <w:pPr>
        <w:pStyle w:val="Paragraphedeliste"/>
        <w:spacing w:after="0" w:line="240" w:lineRule="auto"/>
        <w:ind w:left="0"/>
        <w:rPr>
          <w:rFonts w:ascii="Times New Roman" w:eastAsia="Times New Roman" w:hAnsi="Times New Roman"/>
          <w:sz w:val="24"/>
          <w:szCs w:val="24"/>
          <w:lang w:eastAsia="es-ES_tradnl"/>
        </w:rPr>
      </w:pPr>
    </w:p>
    <w:p w14:paraId="39E1106E" w14:textId="77777777" w:rsidR="00915003" w:rsidRDefault="00915003" w:rsidP="00915003">
      <w:pPr>
        <w:pStyle w:val="Paragraphedeliste"/>
        <w:numPr>
          <w:ilvl w:val="0"/>
          <w:numId w:val="242"/>
        </w:numPr>
        <w:spacing w:after="0" w:line="240" w:lineRule="auto"/>
        <w:jc w:val="both"/>
        <w:rPr>
          <w:rFonts w:ascii="Times New Roman" w:hAnsi="Times New Roman"/>
          <w:bCs/>
          <w:sz w:val="24"/>
          <w:szCs w:val="24"/>
        </w:rPr>
      </w:pPr>
      <w:r>
        <w:rPr>
          <w:rFonts w:ascii="Times New Roman" w:hAnsi="Times New Roman"/>
          <w:bCs/>
          <w:sz w:val="24"/>
          <w:szCs w:val="24"/>
        </w:rPr>
        <w:t>Mobeko 06/018 ya décret ya 30 juin 1940 ya kokanga mpe mobeko 06/019 ya mabongisi ya décret ya 06 août 1959 ya mambi ya lolenge ya kokanga oyo etangami na motindo ebele ya kokanga basi na makasi mpe mbano oyo elengelami pona basali mbeba wana. Na mobeko wana esengeli kobakisa mobeko ya kobatela muana na mobeko ya kotalisa mpe kokesenisa batu ba oyo bazali na VIH na RDC ba oyo bayebi ndambu ya makambu na oyo etali kobotola basi na makasi.</w:t>
      </w:r>
    </w:p>
    <w:p w14:paraId="0A402C53" w14:textId="77777777" w:rsidR="00915003" w:rsidRDefault="00915003" w:rsidP="00915003">
      <w:pPr>
        <w:numPr>
          <w:ilvl w:val="0"/>
          <w:numId w:val="136"/>
        </w:numPr>
        <w:spacing w:after="120" w:line="240" w:lineRule="auto"/>
        <w:ind w:left="357" w:hanging="357"/>
        <w:jc w:val="both"/>
        <w:rPr>
          <w:rFonts w:ascii="Times New Roman" w:hAnsi="Times New Roman"/>
          <w:sz w:val="24"/>
          <w:szCs w:val="24"/>
          <w:lang w:eastAsia="fr-FR"/>
        </w:rPr>
      </w:pPr>
      <w:r>
        <w:rPr>
          <w:rFonts w:ascii="Times New Roman" w:hAnsi="Times New Roman"/>
          <w:sz w:val="24"/>
          <w:szCs w:val="24"/>
        </w:rPr>
        <w:t>Mabongisi 2011/33 ya kokanisa, kobatela mpe</w:t>
      </w:r>
      <w:r w:rsidRPr="00961FFA">
        <w:rPr>
          <w:rFonts w:ascii="Times New Roman" w:hAnsi="Times New Roman"/>
          <w:sz w:val="24"/>
          <w:szCs w:val="24"/>
          <w:lang w:eastAsia="fr-FR"/>
        </w:rPr>
        <w:t xml:space="preserve"> </w:t>
      </w:r>
      <w:r>
        <w:rPr>
          <w:rFonts w:ascii="Times New Roman" w:hAnsi="Times New Roman"/>
          <w:sz w:val="24"/>
          <w:szCs w:val="24"/>
          <w:lang w:eastAsia="fr-FR"/>
        </w:rPr>
        <w:t>bosangani ya molongo mobimba na oyo etali kosalela technology ya sika ya koyebisa makambu pona kobebisa mpe/to kosalela bana.</w:t>
      </w:r>
    </w:p>
    <w:p w14:paraId="5AF10FE4" w14:textId="77777777" w:rsidR="00915003" w:rsidRPr="00D60172" w:rsidRDefault="00915003" w:rsidP="00915003">
      <w:pPr>
        <w:numPr>
          <w:ilvl w:val="0"/>
          <w:numId w:val="136"/>
        </w:numPr>
        <w:spacing w:after="120" w:line="240" w:lineRule="auto"/>
        <w:ind w:left="357" w:hanging="357"/>
        <w:rPr>
          <w:rStyle w:val="Lienhypertexte"/>
          <w:rFonts w:ascii="Times New Roman" w:hAnsi="Times New Roman"/>
          <w:sz w:val="24"/>
          <w:szCs w:val="24"/>
          <w:lang w:val="en-US" w:eastAsia="fr-FR"/>
        </w:rPr>
      </w:pPr>
      <w:r w:rsidRPr="00D60172">
        <w:rPr>
          <w:rFonts w:ascii="Times New Roman" w:hAnsi="Times New Roman"/>
          <w:sz w:val="24"/>
          <w:szCs w:val="24"/>
          <w:lang w:val="en-US"/>
        </w:rPr>
        <w:t xml:space="preserve">Mobeko ya kokokisana : </w:t>
      </w:r>
      <w:hyperlink r:id="rId23" w:anchor=":~:text=Loi%20n%C2%B0%2015%2F013,femme%20et%20de%20la%20parit%C3%A9&amp;text=Depuis%20son%20accession%20%C3%A0%20l,de%20leurs%20protection%20et%20s%C3%A9curit%C3%A9" w:history="1">
        <w:r w:rsidRPr="00D60172">
          <w:rPr>
            <w:rStyle w:val="Lienhypertexte"/>
            <w:rFonts w:ascii="Times New Roman" w:hAnsi="Times New Roman"/>
            <w:szCs w:val="24"/>
            <w:lang w:val="en-US"/>
          </w:rPr>
          <w:t>https://leganet.cd/Legislation/Droit%20Public/DH/Loi.15.013.01.08.html#:~:text=Loi%20n%C2%B0%2015%2F013,femme%20et%20de%20la%20parit%C3%A9&amp;text=Depuis%20son%20accession%20%C3%A0%20l,de%20leurs%20protection%20et%20s%C3%A9curit%C3%A9</w:t>
        </w:r>
      </w:hyperlink>
    </w:p>
    <w:p w14:paraId="6CFB9051" w14:textId="77777777" w:rsidR="00915003" w:rsidRPr="00AE31F1" w:rsidRDefault="00915003" w:rsidP="00215867">
      <w:pPr>
        <w:numPr>
          <w:ilvl w:val="0"/>
          <w:numId w:val="503"/>
        </w:numPr>
        <w:spacing w:before="120" w:after="120" w:line="240" w:lineRule="auto"/>
        <w:ind w:left="714" w:hanging="357"/>
        <w:jc w:val="both"/>
        <w:rPr>
          <w:rFonts w:ascii="Times New Roman" w:eastAsia="Times New Roman" w:hAnsi="Times New Roman"/>
          <w:b/>
          <w:i/>
          <w:sz w:val="24"/>
          <w:szCs w:val="24"/>
          <w:lang w:eastAsia="x-none"/>
        </w:rPr>
      </w:pPr>
      <w:r>
        <w:rPr>
          <w:rFonts w:ascii="Times New Roman" w:eastAsia="Times New Roman" w:hAnsi="Times New Roman"/>
          <w:b/>
          <w:i/>
          <w:sz w:val="24"/>
          <w:szCs w:val="24"/>
          <w:lang w:eastAsia="x-none"/>
        </w:rPr>
        <w:t xml:space="preserve">Mabongisi ya kolengela na oyo etali bilembo ya minene </w:t>
      </w:r>
    </w:p>
    <w:p w14:paraId="09DC6240" w14:textId="77777777" w:rsidR="00915003" w:rsidRPr="00D75D2E" w:rsidRDefault="00915003" w:rsidP="00915003">
      <w:pPr>
        <w:pStyle w:val="Commentaire"/>
        <w:rPr>
          <w:rFonts w:ascii="Times New Roman" w:hAnsi="Times New Roman"/>
          <w:sz w:val="24"/>
          <w:szCs w:val="24"/>
        </w:rPr>
      </w:pPr>
      <w:r>
        <w:rPr>
          <w:rFonts w:ascii="Times New Roman" w:hAnsi="Times New Roman"/>
          <w:color w:val="000000" w:themeColor="text1"/>
          <w:sz w:val="24"/>
          <w:szCs w:val="24"/>
        </w:rPr>
        <w:t>Bilembo ya minene oyo eyebani</w:t>
      </w:r>
      <w:r w:rsidRPr="00E21424">
        <w:rPr>
          <w:rFonts w:ascii="Times New Roman" w:hAnsi="Times New Roman"/>
          <w:color w:val="000000" w:themeColor="text1"/>
          <w:sz w:val="24"/>
          <w:szCs w:val="24"/>
        </w:rPr>
        <w:t xml:space="preserve"> (</w:t>
      </w:r>
      <w:r>
        <w:rPr>
          <w:rFonts w:ascii="Times New Roman" w:hAnsi="Times New Roman"/>
          <w:color w:val="000000" w:themeColor="text1"/>
          <w:sz w:val="24"/>
          <w:szCs w:val="24"/>
        </w:rPr>
        <w:t>ba ndako ya kovanda, mitalaka ya koteka, botongi ya batu basangani</w:t>
      </w:r>
      <w:r w:rsidRPr="00E21424">
        <w:rPr>
          <w:rFonts w:ascii="Times New Roman" w:hAnsi="Times New Roman"/>
          <w:color w:val="000000" w:themeColor="text1"/>
          <w:sz w:val="24"/>
          <w:szCs w:val="24"/>
        </w:rPr>
        <w:t xml:space="preserve"> (</w:t>
      </w:r>
      <w:r>
        <w:rPr>
          <w:rFonts w:ascii="Times New Roman" w:hAnsi="Times New Roman"/>
          <w:color w:val="000000" w:themeColor="text1"/>
          <w:sz w:val="24"/>
          <w:szCs w:val="24"/>
        </w:rPr>
        <w:t>Lopitalo mpe kelasi, esika ya losambo, etc)) eponamaki na tina to boyi yango. Kopona liye ezalaki pona koluka nzela oyo ekopesa bilembo ya mike.</w:t>
      </w:r>
    </w:p>
    <w:p w14:paraId="66B1D73D" w14:textId="77777777" w:rsidR="00915003" w:rsidRPr="00D75D2E" w:rsidRDefault="00915003" w:rsidP="00215867">
      <w:pPr>
        <w:numPr>
          <w:ilvl w:val="0"/>
          <w:numId w:val="503"/>
        </w:numPr>
        <w:spacing w:before="120" w:after="120" w:line="240" w:lineRule="auto"/>
        <w:ind w:left="714" w:hanging="357"/>
        <w:jc w:val="both"/>
        <w:rPr>
          <w:rFonts w:ascii="Times New Roman" w:eastAsia="Times New Roman" w:hAnsi="Times New Roman"/>
          <w:b/>
          <w:i/>
          <w:sz w:val="24"/>
          <w:szCs w:val="24"/>
          <w:lang w:eastAsia="x-none"/>
        </w:rPr>
      </w:pPr>
      <w:r>
        <w:rPr>
          <w:rFonts w:ascii="Times New Roman" w:eastAsia="Times New Roman" w:hAnsi="Times New Roman"/>
          <w:b/>
          <w:i/>
          <w:sz w:val="24"/>
          <w:szCs w:val="24"/>
          <w:lang w:eastAsia="x-none"/>
        </w:rPr>
        <w:t>Bilembo ya bisika bizingi mokili na efandelo ya batu ya minene</w:t>
      </w:r>
      <w:r w:rsidRPr="00D75D2E">
        <w:rPr>
          <w:rFonts w:ascii="Times New Roman" w:eastAsia="Times New Roman" w:hAnsi="Times New Roman"/>
          <w:b/>
          <w:i/>
          <w:sz w:val="24"/>
          <w:szCs w:val="24"/>
          <w:lang w:eastAsia="x-none"/>
        </w:rPr>
        <w:t xml:space="preserve"> </w:t>
      </w:r>
    </w:p>
    <w:p w14:paraId="4F9B1C85" w14:textId="77777777" w:rsidR="00915003" w:rsidRPr="00D75D2E" w:rsidRDefault="00915003" w:rsidP="00915003">
      <w:pPr>
        <w:numPr>
          <w:ilvl w:val="0"/>
          <w:numId w:val="19"/>
        </w:numPr>
        <w:suppressAutoHyphens/>
        <w:spacing w:after="0" w:line="240" w:lineRule="auto"/>
        <w:contextualSpacing/>
        <w:jc w:val="both"/>
        <w:rPr>
          <w:rFonts w:ascii="Times New Roman" w:eastAsia="TimesNewRomanPSMT" w:hAnsi="Times New Roman"/>
          <w:b/>
          <w:sz w:val="24"/>
          <w:szCs w:val="24"/>
        </w:rPr>
      </w:pPr>
      <w:r>
        <w:rPr>
          <w:rFonts w:ascii="Times New Roman" w:eastAsia="TimesNewRomanPSMT" w:hAnsi="Times New Roman"/>
          <w:b/>
          <w:sz w:val="24"/>
          <w:szCs w:val="24"/>
        </w:rPr>
        <w:t>Na oyo etali Bisika bizingi mokili</w:t>
      </w:r>
      <w:r w:rsidRPr="00D75D2E">
        <w:rPr>
          <w:rFonts w:ascii="Times New Roman" w:eastAsia="TimesNewRomanPSMT" w:hAnsi="Times New Roman"/>
          <w:b/>
          <w:sz w:val="24"/>
          <w:szCs w:val="24"/>
        </w:rPr>
        <w:t xml:space="preserve">, </w:t>
      </w:r>
      <w:r w:rsidRPr="004102D5">
        <w:rPr>
          <w:rFonts w:ascii="Times New Roman" w:eastAsia="TimesNewRomanPSMT" w:hAnsi="Times New Roman"/>
          <w:sz w:val="24"/>
          <w:szCs w:val="24"/>
        </w:rPr>
        <w:t>bilembo ya mabe eza</w:t>
      </w:r>
      <w:r w:rsidRPr="00D75D2E">
        <w:rPr>
          <w:rFonts w:ascii="Times New Roman" w:eastAsia="TimesNewRomanPSMT" w:hAnsi="Times New Roman"/>
          <w:b/>
          <w:sz w:val="24"/>
          <w:szCs w:val="24"/>
        </w:rPr>
        <w:t xml:space="preserve"> : </w:t>
      </w:r>
      <w:r w:rsidRPr="004102D5">
        <w:rPr>
          <w:rFonts w:ascii="Times New Roman" w:eastAsia="TimesNewRomanPSMT" w:hAnsi="Times New Roman"/>
          <w:sz w:val="24"/>
          <w:szCs w:val="24"/>
        </w:rPr>
        <w:t>kobebisama</w:t>
      </w:r>
      <w:r>
        <w:rPr>
          <w:rFonts w:ascii="Times New Roman" w:eastAsia="SimSun" w:hAnsi="Times New Roman"/>
          <w:sz w:val="24"/>
          <w:szCs w:val="24"/>
        </w:rPr>
        <w:t xml:space="preserve"> ya</w:t>
      </w:r>
      <w:r w:rsidRPr="00D75D2E">
        <w:rPr>
          <w:rFonts w:ascii="Times New Roman" w:eastAsia="SimSun" w:hAnsi="Times New Roman"/>
          <w:sz w:val="24"/>
          <w:szCs w:val="24"/>
        </w:rPr>
        <w:t xml:space="preserve"> </w:t>
      </w:r>
      <w:r>
        <w:rPr>
          <w:rFonts w:ascii="Times New Roman" w:eastAsia="SimSun" w:hAnsi="Times New Roman"/>
          <w:sz w:val="24"/>
          <w:szCs w:val="24"/>
        </w:rPr>
        <w:t>1 169</w:t>
      </w:r>
      <w:r w:rsidRPr="00D75D2E">
        <w:rPr>
          <w:rFonts w:ascii="Times New Roman" w:eastAsia="SimSun" w:hAnsi="Times New Roman"/>
          <w:sz w:val="24"/>
          <w:szCs w:val="24"/>
        </w:rPr>
        <w:t xml:space="preserve"> </w:t>
      </w:r>
      <w:r>
        <w:rPr>
          <w:rFonts w:ascii="Times New Roman" w:eastAsia="SimSun" w:hAnsi="Times New Roman"/>
          <w:sz w:val="24"/>
          <w:szCs w:val="24"/>
        </w:rPr>
        <w:t>nzete</w:t>
      </w:r>
      <w:r w:rsidRPr="00D75D2E">
        <w:rPr>
          <w:rFonts w:ascii="Times New Roman" w:eastAsia="SimSun" w:hAnsi="Times New Roman"/>
          <w:sz w:val="24"/>
          <w:szCs w:val="24"/>
        </w:rPr>
        <w:t xml:space="preserve">, </w:t>
      </w:r>
      <w:r>
        <w:rPr>
          <w:rFonts w:ascii="Times New Roman" w:eastAsia="SimSun" w:hAnsi="Times New Roman"/>
          <w:sz w:val="24"/>
          <w:szCs w:val="24"/>
        </w:rPr>
        <w:t>na kati na yango</w:t>
      </w:r>
      <w:r w:rsidRPr="00D75D2E">
        <w:rPr>
          <w:rFonts w:ascii="Times New Roman" w:hAnsi="Times New Roman"/>
          <w:sz w:val="24"/>
          <w:szCs w:val="24"/>
        </w:rPr>
        <w:t xml:space="preserve"> 815 </w:t>
      </w:r>
      <w:r>
        <w:rPr>
          <w:rFonts w:ascii="Times New Roman" w:hAnsi="Times New Roman"/>
          <w:sz w:val="24"/>
          <w:szCs w:val="24"/>
        </w:rPr>
        <w:t>nzete ya mbuma mpe oyo ezanga mbuma ya batu</w:t>
      </w:r>
      <w:r w:rsidRPr="00E21424">
        <w:rPr>
          <w:rFonts w:ascii="Times New Roman" w:hAnsi="Times New Roman"/>
          <w:sz w:val="24"/>
          <w:szCs w:val="24"/>
        </w:rPr>
        <w:t xml:space="preserve">, 354 </w:t>
      </w:r>
      <w:r>
        <w:rPr>
          <w:rFonts w:ascii="Times New Roman" w:hAnsi="Times New Roman"/>
          <w:sz w:val="24"/>
          <w:szCs w:val="24"/>
        </w:rPr>
        <w:t>nzete ya leta</w:t>
      </w:r>
      <w:r w:rsidRPr="00E21424">
        <w:rPr>
          <w:rFonts w:ascii="Times New Roman" w:eastAsia="SimSun" w:hAnsi="Times New Roman"/>
          <w:sz w:val="24"/>
          <w:szCs w:val="24"/>
        </w:rPr>
        <w:t xml:space="preserve">. </w:t>
      </w:r>
      <w:r>
        <w:rPr>
          <w:rFonts w:ascii="Times New Roman" w:eastAsia="SimSun" w:hAnsi="Times New Roman"/>
          <w:sz w:val="24"/>
          <w:szCs w:val="24"/>
        </w:rPr>
        <w:t>Kobebisama liye ya kobatama matiti ekoki kobeba koleka na ntango ba kobakisa bisika ba kozwa mabele</w:t>
      </w:r>
      <w:r w:rsidRPr="00E21424">
        <w:rPr>
          <w:rFonts w:ascii="Times New Roman" w:hAnsi="Times New Roman"/>
          <w:sz w:val="24"/>
          <w:szCs w:val="24"/>
        </w:rPr>
        <w:t xml:space="preserve">. </w:t>
      </w:r>
      <w:r>
        <w:rPr>
          <w:rFonts w:ascii="Times New Roman" w:hAnsi="Times New Roman"/>
          <w:sz w:val="24"/>
          <w:szCs w:val="24"/>
        </w:rPr>
        <w:t>Eko mema lisusu kokita ya ba nyama, kobebisa bisika ba nyama ba fandaka, kobebisa to kobukana ya mabele na nzela ya mabengi, kobebisama ya mabele, ya mayi mpe ya mupepe na oyo etali kobatela ba fulu ya makasi mpe ya mayi na esika misala ekosala na ntangu misala ekosalama, etc</w:t>
      </w:r>
      <w:r w:rsidRPr="00D75D2E">
        <w:rPr>
          <w:rFonts w:ascii="Times New Roman" w:eastAsia="SimSun" w:hAnsi="Times New Roman"/>
          <w:sz w:val="24"/>
          <w:szCs w:val="24"/>
        </w:rPr>
        <w:t xml:space="preserve">. </w:t>
      </w:r>
      <w:r>
        <w:rPr>
          <w:rFonts w:ascii="Times New Roman" w:eastAsia="SimSun" w:hAnsi="Times New Roman"/>
          <w:sz w:val="24"/>
          <w:szCs w:val="24"/>
        </w:rPr>
        <w:t>Na nyoso, mabongisi nyoso, kobongisa esika misala eko banda mpe kobakisa mayele ya basali ekosalama na lolenge ya kokitisa bilembo wana</w:t>
      </w:r>
      <w:r w:rsidRPr="00D75D2E">
        <w:rPr>
          <w:rFonts w:ascii="Times New Roman" w:hAnsi="Times New Roman"/>
          <w:sz w:val="24"/>
          <w:szCs w:val="24"/>
        </w:rPr>
        <w:t>.</w:t>
      </w:r>
    </w:p>
    <w:p w14:paraId="0CA20099" w14:textId="77777777" w:rsidR="00915003" w:rsidRPr="001E0B8A" w:rsidRDefault="00915003" w:rsidP="00915003">
      <w:pPr>
        <w:numPr>
          <w:ilvl w:val="0"/>
          <w:numId w:val="19"/>
        </w:numPr>
        <w:spacing w:after="0" w:line="240" w:lineRule="auto"/>
        <w:contextualSpacing/>
        <w:jc w:val="both"/>
        <w:rPr>
          <w:rFonts w:ascii="Times New Roman" w:hAnsi="Times New Roman"/>
          <w:sz w:val="24"/>
          <w:szCs w:val="24"/>
        </w:rPr>
      </w:pPr>
      <w:r>
        <w:rPr>
          <w:rFonts w:ascii="Times New Roman" w:hAnsi="Times New Roman"/>
          <w:b/>
          <w:sz w:val="24"/>
          <w:szCs w:val="24"/>
        </w:rPr>
        <w:t>Na oyo etali efandela ya batu</w:t>
      </w:r>
      <w:r w:rsidRPr="00D75D2E">
        <w:rPr>
          <w:rFonts w:ascii="Times New Roman" w:hAnsi="Times New Roman"/>
          <w:b/>
          <w:sz w:val="24"/>
          <w:szCs w:val="24"/>
        </w:rPr>
        <w:t xml:space="preserve">, </w:t>
      </w:r>
      <w:r>
        <w:rPr>
          <w:rFonts w:ascii="Times New Roman" w:hAnsi="Times New Roman"/>
          <w:sz w:val="24"/>
          <w:szCs w:val="24"/>
        </w:rPr>
        <w:t>mo</w:t>
      </w:r>
      <w:r w:rsidRPr="009E0435">
        <w:rPr>
          <w:rFonts w:ascii="Times New Roman" w:hAnsi="Times New Roman"/>
          <w:sz w:val="24"/>
          <w:szCs w:val="24"/>
        </w:rPr>
        <w:t>tangu</w:t>
      </w:r>
      <w:r>
        <w:rPr>
          <w:rFonts w:ascii="Times New Roman" w:hAnsi="Times New Roman"/>
          <w:b/>
          <w:sz w:val="24"/>
          <w:szCs w:val="24"/>
        </w:rPr>
        <w:t xml:space="preserve"> </w:t>
      </w:r>
      <w:r>
        <w:rPr>
          <w:rFonts w:ascii="Times New Roman" w:hAnsi="Times New Roman"/>
          <w:sz w:val="24"/>
          <w:szCs w:val="24"/>
        </w:rPr>
        <w:t>lokola</w:t>
      </w:r>
      <w:r w:rsidRPr="00D75D2E">
        <w:rPr>
          <w:rFonts w:ascii="Times New Roman" w:hAnsi="Times New Roman"/>
          <w:bCs/>
          <w:sz w:val="24"/>
          <w:szCs w:val="24"/>
        </w:rPr>
        <w:t xml:space="preserve"> 730 </w:t>
      </w:r>
      <w:r>
        <w:rPr>
          <w:rFonts w:ascii="Times New Roman" w:hAnsi="Times New Roman"/>
          <w:bCs/>
          <w:sz w:val="24"/>
          <w:szCs w:val="24"/>
        </w:rPr>
        <w:t>ya batu na kati na bango</w:t>
      </w:r>
      <w:r w:rsidRPr="00D75D2E">
        <w:rPr>
          <w:rFonts w:ascii="Times New Roman" w:hAnsi="Times New Roman"/>
          <w:bCs/>
          <w:sz w:val="24"/>
          <w:szCs w:val="24"/>
        </w:rPr>
        <w:t xml:space="preserve"> 356 </w:t>
      </w:r>
      <w:r>
        <w:rPr>
          <w:rFonts w:ascii="Times New Roman" w:hAnsi="Times New Roman"/>
          <w:bCs/>
          <w:sz w:val="24"/>
          <w:szCs w:val="24"/>
        </w:rPr>
        <w:t>mibali</w:t>
      </w:r>
      <w:r w:rsidRPr="00D75D2E">
        <w:rPr>
          <w:rFonts w:ascii="Times New Roman" w:hAnsi="Times New Roman"/>
          <w:bCs/>
          <w:sz w:val="24"/>
          <w:szCs w:val="24"/>
        </w:rPr>
        <w:t xml:space="preserve">, 221 </w:t>
      </w:r>
      <w:r>
        <w:rPr>
          <w:rFonts w:ascii="Times New Roman" w:hAnsi="Times New Roman"/>
          <w:bCs/>
          <w:sz w:val="24"/>
          <w:szCs w:val="24"/>
        </w:rPr>
        <w:t>basi</w:t>
      </w:r>
      <w:r w:rsidRPr="00D75D2E">
        <w:rPr>
          <w:rFonts w:ascii="Times New Roman" w:hAnsi="Times New Roman"/>
          <w:bCs/>
          <w:sz w:val="24"/>
          <w:szCs w:val="24"/>
        </w:rPr>
        <w:t xml:space="preserve">, 07 </w:t>
      </w:r>
      <w:r>
        <w:rPr>
          <w:rFonts w:ascii="Times New Roman" w:hAnsi="Times New Roman"/>
          <w:bCs/>
          <w:sz w:val="24"/>
          <w:szCs w:val="24"/>
        </w:rPr>
        <w:t>lingomba</w:t>
      </w:r>
      <w:r w:rsidRPr="00D75D2E">
        <w:rPr>
          <w:rFonts w:ascii="Times New Roman" w:hAnsi="Times New Roman"/>
          <w:bCs/>
          <w:sz w:val="24"/>
          <w:szCs w:val="24"/>
        </w:rPr>
        <w:t xml:space="preserve"> (</w:t>
      </w:r>
      <w:r>
        <w:rPr>
          <w:rFonts w:ascii="Times New Roman" w:hAnsi="Times New Roman"/>
          <w:bCs/>
          <w:sz w:val="24"/>
          <w:szCs w:val="24"/>
        </w:rPr>
        <w:t>bosangani ya batu</w:t>
      </w:r>
      <w:r w:rsidRPr="00D75D2E">
        <w:rPr>
          <w:rFonts w:ascii="Times New Roman" w:hAnsi="Times New Roman"/>
          <w:bCs/>
          <w:sz w:val="24"/>
          <w:szCs w:val="24"/>
        </w:rPr>
        <w:t xml:space="preserve">) 146 </w:t>
      </w:r>
      <w:r>
        <w:rPr>
          <w:rFonts w:ascii="Times New Roman" w:hAnsi="Times New Roman"/>
          <w:bCs/>
          <w:sz w:val="24"/>
          <w:szCs w:val="24"/>
        </w:rPr>
        <w:t>batu bayebani te to bazalaki te na tangu ya koluka-luka esalamaki, bako beba na tangu ya misala</w:t>
      </w:r>
      <w:r w:rsidRPr="00D75D2E">
        <w:rPr>
          <w:rFonts w:ascii="Times New Roman" w:hAnsi="Times New Roman"/>
          <w:b/>
          <w:sz w:val="24"/>
          <w:szCs w:val="24"/>
        </w:rPr>
        <w:t xml:space="preserve">. </w:t>
      </w:r>
      <w:r w:rsidRPr="00506E9B">
        <w:rPr>
          <w:rFonts w:ascii="Times New Roman" w:hAnsi="Times New Roman"/>
          <w:sz w:val="24"/>
          <w:szCs w:val="24"/>
        </w:rPr>
        <w:t>Bilemb</w:t>
      </w:r>
      <w:r>
        <w:rPr>
          <w:rFonts w:ascii="Times New Roman" w:hAnsi="Times New Roman"/>
          <w:sz w:val="24"/>
          <w:szCs w:val="24"/>
        </w:rPr>
        <w:t>o ya mabe na ntangu ya misala eko banda eko simba kati na yango</w:t>
      </w:r>
      <w:r w:rsidRPr="00D75D2E">
        <w:rPr>
          <w:rFonts w:ascii="Times New Roman" w:eastAsia="SimSun" w:hAnsi="Times New Roman"/>
          <w:sz w:val="24"/>
          <w:szCs w:val="24"/>
        </w:rPr>
        <w:t xml:space="preserve">, 154 </w:t>
      </w:r>
      <w:r>
        <w:rPr>
          <w:rFonts w:ascii="Times New Roman" w:eastAsia="SimSun" w:hAnsi="Times New Roman"/>
          <w:sz w:val="24"/>
          <w:szCs w:val="24"/>
        </w:rPr>
        <w:t>ndako ya mabaya</w:t>
      </w:r>
      <w:r w:rsidRPr="00D75D2E">
        <w:rPr>
          <w:rFonts w:ascii="Times New Roman" w:eastAsia="SimSun" w:hAnsi="Times New Roman"/>
          <w:sz w:val="24"/>
          <w:szCs w:val="24"/>
        </w:rPr>
        <w:t xml:space="preserve">, </w:t>
      </w:r>
      <w:r>
        <w:rPr>
          <w:rFonts w:ascii="Times New Roman" w:eastAsia="SimSun" w:hAnsi="Times New Roman"/>
          <w:sz w:val="24"/>
          <w:szCs w:val="24"/>
        </w:rPr>
        <w:t>kobebisama ya mabele na nzela ya mapangu</w:t>
      </w:r>
      <w:r w:rsidRPr="00D75D2E">
        <w:rPr>
          <w:rFonts w:ascii="Times New Roman" w:eastAsia="SimSun" w:hAnsi="Times New Roman"/>
          <w:sz w:val="24"/>
          <w:szCs w:val="24"/>
        </w:rPr>
        <w:t xml:space="preserve"> 16 </w:t>
      </w:r>
      <w:r>
        <w:rPr>
          <w:rFonts w:ascii="Times New Roman" w:eastAsia="SimSun" w:hAnsi="Times New Roman"/>
          <w:sz w:val="24"/>
          <w:szCs w:val="24"/>
        </w:rPr>
        <w:t>ya batu</w:t>
      </w:r>
      <w:r w:rsidRPr="00D75D2E">
        <w:rPr>
          <w:rFonts w:ascii="Times New Roman" w:hAnsi="Times New Roman"/>
          <w:sz w:val="24"/>
          <w:szCs w:val="24"/>
        </w:rPr>
        <w:t xml:space="preserve">, </w:t>
      </w:r>
      <w:r>
        <w:rPr>
          <w:rFonts w:ascii="Times New Roman" w:hAnsi="Times New Roman"/>
          <w:sz w:val="24"/>
          <w:szCs w:val="24"/>
        </w:rPr>
        <w:t>kobebisama ya misala ya mimbongo mpe efandelo ya batu mpe koswana na efandelo ya batu pona tembe na tangu ya koluka misala</w:t>
      </w:r>
      <w:r w:rsidRPr="00D75D2E">
        <w:rPr>
          <w:rFonts w:ascii="Times New Roman" w:hAnsi="Times New Roman"/>
          <w:sz w:val="24"/>
          <w:szCs w:val="24"/>
        </w:rPr>
        <w:t xml:space="preserve">la </w:t>
      </w:r>
      <w:r>
        <w:rPr>
          <w:rFonts w:ascii="Times New Roman" w:hAnsi="Times New Roman"/>
          <w:sz w:val="24"/>
          <w:szCs w:val="24"/>
        </w:rPr>
        <w:t>na ntangu misala eko banda</w:t>
      </w:r>
      <w:r w:rsidRPr="00D75D2E">
        <w:rPr>
          <w:rFonts w:ascii="Times New Roman" w:hAnsi="Times New Roman"/>
          <w:sz w:val="24"/>
          <w:szCs w:val="24"/>
        </w:rPr>
        <w:t>.</w:t>
      </w:r>
    </w:p>
    <w:p w14:paraId="3DFD9EBC" w14:textId="77777777" w:rsidR="00915003" w:rsidRPr="00D75D2E" w:rsidRDefault="00915003" w:rsidP="00215867">
      <w:pPr>
        <w:numPr>
          <w:ilvl w:val="0"/>
          <w:numId w:val="503"/>
        </w:numPr>
        <w:spacing w:before="120" w:after="120" w:line="240" w:lineRule="auto"/>
        <w:ind w:left="0" w:firstLine="142"/>
        <w:jc w:val="both"/>
        <w:rPr>
          <w:rFonts w:ascii="Times New Roman" w:eastAsia="Times New Roman" w:hAnsi="Times New Roman"/>
          <w:b/>
          <w:i/>
          <w:sz w:val="24"/>
          <w:szCs w:val="24"/>
          <w:lang w:eastAsia="x-none"/>
        </w:rPr>
      </w:pPr>
      <w:r>
        <w:rPr>
          <w:rFonts w:ascii="Times New Roman" w:eastAsia="Times New Roman" w:hAnsi="Times New Roman"/>
          <w:b/>
          <w:i/>
          <w:sz w:val="24"/>
          <w:szCs w:val="24"/>
          <w:lang w:eastAsia="x-none"/>
        </w:rPr>
        <w:t>Makama mpe bilembo na bisik bizingi mokili na efandeli ya batu</w:t>
      </w:r>
    </w:p>
    <w:p w14:paraId="45BF7221" w14:textId="77777777" w:rsidR="00915003" w:rsidRPr="00D75D2E" w:rsidRDefault="00915003" w:rsidP="00915003">
      <w:pPr>
        <w:spacing w:after="0"/>
        <w:contextualSpacing/>
        <w:jc w:val="both"/>
        <w:rPr>
          <w:rFonts w:ascii="Times New Roman" w:hAnsi="Times New Roman"/>
          <w:sz w:val="24"/>
          <w:szCs w:val="24"/>
          <w:lang w:val="fr-CI"/>
        </w:rPr>
      </w:pPr>
      <w:r>
        <w:rPr>
          <w:rFonts w:ascii="Times New Roman" w:hAnsi="Times New Roman"/>
          <w:sz w:val="24"/>
          <w:szCs w:val="24"/>
          <w:lang w:val="fr-CI"/>
        </w:rPr>
        <w:t>Misala oyo ekosalama eko bota mbuma malamu na oyo etali efandeli ya batu mpe mimbongo ya batu ya nzinga-nzinga ya musala mpe lisusu bilembo ya mabe na nzela ya lisanga ya zamba, mayi, nyama, mupepe mpe batu.</w:t>
      </w:r>
    </w:p>
    <w:p w14:paraId="5C8A420A" w14:textId="77777777" w:rsidR="00915003" w:rsidRPr="00D75D2E" w:rsidRDefault="00915003" w:rsidP="00915003">
      <w:pPr>
        <w:spacing w:before="120" w:after="120" w:line="240" w:lineRule="auto"/>
        <w:ind w:left="142"/>
        <w:jc w:val="both"/>
        <w:rPr>
          <w:rFonts w:ascii="Times New Roman" w:hAnsi="Times New Roman"/>
          <w:b/>
          <w:bCs/>
          <w:i/>
          <w:sz w:val="24"/>
          <w:szCs w:val="24"/>
          <w:lang w:val="fr-SN"/>
        </w:rPr>
      </w:pPr>
      <w:r>
        <w:rPr>
          <w:rFonts w:ascii="Times New Roman" w:hAnsi="Times New Roman"/>
          <w:b/>
          <w:bCs/>
          <w:i/>
          <w:sz w:val="24"/>
          <w:szCs w:val="24"/>
          <w:lang w:val="fr-SN"/>
        </w:rPr>
        <w:t>Bilembo y bisika bizingi mokili na efandeli ya batu ya malamu</w:t>
      </w:r>
    </w:p>
    <w:p w14:paraId="3F14629C"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Bofongwami ya mimbongo mpo na batu ya mimbongo ya bango moko</w:t>
      </w:r>
      <w:r w:rsidRPr="00D75D2E">
        <w:rPr>
          <w:rFonts w:ascii="Times New Roman" w:hAnsi="Times New Roman"/>
          <w:bCs/>
          <w:iCs/>
          <w:sz w:val="24"/>
          <w:szCs w:val="24"/>
        </w:rPr>
        <w:t> ;</w:t>
      </w:r>
    </w:p>
    <w:p w14:paraId="0C17C082"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Bofongwami ya misala</w:t>
      </w:r>
      <w:r w:rsidRPr="00D75D2E">
        <w:rPr>
          <w:rFonts w:ascii="Times New Roman" w:hAnsi="Times New Roman"/>
          <w:bCs/>
          <w:iCs/>
          <w:sz w:val="24"/>
          <w:szCs w:val="24"/>
        </w:rPr>
        <w:t xml:space="preserve"> (</w:t>
      </w:r>
      <w:r>
        <w:rPr>
          <w:rFonts w:ascii="Times New Roman" w:hAnsi="Times New Roman"/>
          <w:bCs/>
          <w:iCs/>
          <w:sz w:val="24"/>
          <w:szCs w:val="24"/>
        </w:rPr>
        <w:t>batu 150 ti</w:t>
      </w:r>
      <w:r w:rsidRPr="00D75D2E">
        <w:rPr>
          <w:rFonts w:ascii="Times New Roman" w:hAnsi="Times New Roman"/>
          <w:bCs/>
          <w:iCs/>
          <w:sz w:val="24"/>
          <w:szCs w:val="24"/>
        </w:rPr>
        <w:t xml:space="preserve"> </w:t>
      </w:r>
      <w:r>
        <w:rPr>
          <w:rFonts w:ascii="Times New Roman" w:hAnsi="Times New Roman"/>
          <w:bCs/>
          <w:iCs/>
          <w:sz w:val="24"/>
          <w:szCs w:val="24"/>
        </w:rPr>
        <w:t xml:space="preserve"> na </w:t>
      </w:r>
      <w:r w:rsidRPr="00D75D2E">
        <w:rPr>
          <w:rFonts w:ascii="Times New Roman" w:hAnsi="Times New Roman"/>
          <w:bCs/>
          <w:iCs/>
          <w:sz w:val="24"/>
          <w:szCs w:val="24"/>
        </w:rPr>
        <w:t xml:space="preserve">300 </w:t>
      </w:r>
      <w:r>
        <w:rPr>
          <w:rFonts w:ascii="Times New Roman" w:hAnsi="Times New Roman"/>
          <w:bCs/>
          <w:iCs/>
          <w:sz w:val="24"/>
          <w:szCs w:val="24"/>
        </w:rPr>
        <w:t xml:space="preserve">bako kozwa misala pona bavandi mbala moko na kati na bango ata </w:t>
      </w:r>
      <w:r w:rsidRPr="00D75D2E">
        <w:rPr>
          <w:rFonts w:ascii="Times New Roman" w:hAnsi="Times New Roman"/>
          <w:bCs/>
          <w:iCs/>
          <w:sz w:val="24"/>
          <w:szCs w:val="24"/>
        </w:rPr>
        <w:t xml:space="preserve">30% </w:t>
      </w:r>
      <w:r>
        <w:rPr>
          <w:rFonts w:ascii="Times New Roman" w:hAnsi="Times New Roman"/>
          <w:bCs/>
          <w:iCs/>
          <w:sz w:val="24"/>
          <w:szCs w:val="24"/>
        </w:rPr>
        <w:t>ya basi mpe bilenge basi</w:t>
      </w:r>
      <w:r w:rsidRPr="00D75D2E">
        <w:rPr>
          <w:rFonts w:ascii="Times New Roman" w:hAnsi="Times New Roman"/>
          <w:bCs/>
          <w:iCs/>
          <w:sz w:val="24"/>
          <w:szCs w:val="24"/>
        </w:rPr>
        <w:t>) ;</w:t>
      </w:r>
    </w:p>
    <w:p w14:paraId="0640F9CC" w14:textId="77777777" w:rsidR="00915003"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Kotombolama ya mimbongo ya mike nzinga-nzinga esika ya misala na nzela ya basali</w:t>
      </w:r>
      <w:r w:rsidRPr="00D75D2E">
        <w:rPr>
          <w:rFonts w:ascii="Times New Roman" w:hAnsi="Times New Roman"/>
          <w:bCs/>
          <w:iCs/>
          <w:sz w:val="24"/>
          <w:szCs w:val="24"/>
        </w:rPr>
        <w:t> ;</w:t>
      </w:r>
    </w:p>
    <w:p w14:paraId="05BBADED" w14:textId="77777777" w:rsidR="00915003" w:rsidRPr="00C738C5"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Kobongisama ya lolenge misala  ekosalama na kati ya bakelasi mpe ba lopitalo na nzela ya kopesa lotiliki ;</w:t>
      </w:r>
      <w:r w:rsidRPr="00C738C5">
        <w:rPr>
          <w:rFonts w:ascii="Times New Roman" w:hAnsi="Times New Roman"/>
          <w:bCs/>
          <w:iCs/>
          <w:sz w:val="24"/>
          <w:szCs w:val="24"/>
        </w:rPr>
        <w:t> </w:t>
      </w:r>
    </w:p>
    <w:p w14:paraId="0C0C1406" w14:textId="77777777" w:rsidR="00915003" w:rsidRPr="00E21424"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Kobongisa mikano ya kelasi mpe motango ya kokota kelasi na kelasi ya ebandeli ;</w:t>
      </w:r>
      <w:r w:rsidRPr="00E21424">
        <w:rPr>
          <w:rFonts w:ascii="Times New Roman" w:hAnsi="Times New Roman"/>
          <w:bCs/>
          <w:iCs/>
          <w:sz w:val="24"/>
          <w:szCs w:val="24"/>
        </w:rPr>
        <w:t> </w:t>
      </w:r>
    </w:p>
    <w:p w14:paraId="4668E320"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Kobakisa mayele ya batu pembeni ya </w:t>
      </w:r>
      <w:r w:rsidRPr="00D75D2E">
        <w:rPr>
          <w:rFonts w:ascii="Times New Roman" w:hAnsi="Times New Roman"/>
          <w:bCs/>
          <w:iCs/>
          <w:sz w:val="24"/>
          <w:szCs w:val="24"/>
        </w:rPr>
        <w:t xml:space="preserve">50 </w:t>
      </w:r>
      <w:r>
        <w:rPr>
          <w:rFonts w:ascii="Times New Roman" w:hAnsi="Times New Roman"/>
          <w:bCs/>
          <w:iCs/>
          <w:sz w:val="24"/>
          <w:szCs w:val="24"/>
        </w:rPr>
        <w:t>na kobatela bisika bizingi mokili mpe efandeli ya batu ya ba ndaku ya lotiliki mpe oyo etali kobatela makama ya EAS/HS</w:t>
      </w:r>
      <w:r w:rsidRPr="00D75D2E">
        <w:rPr>
          <w:rFonts w:ascii="Times New Roman" w:hAnsi="Times New Roman"/>
          <w:bCs/>
          <w:iCs/>
          <w:sz w:val="24"/>
          <w:szCs w:val="24"/>
        </w:rPr>
        <w:t>   ;</w:t>
      </w:r>
    </w:p>
    <w:p w14:paraId="40DE1E43"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Kobakisa mbongo ya mpaku ya leta na nzela ya kosolola na basali ya tekniki na esika ya misala, na nzela ya kobakisama ya batu oyo bazwi lotiliki ba kobakisa bozwi ya misolo ya SNEL mpe Leta  </w:t>
      </w:r>
    </w:p>
    <w:p w14:paraId="243BCFCD"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Kobongisa makoki ya bomoyi ya mwasi (koleka basi 150)</w:t>
      </w:r>
      <w:r w:rsidRPr="00D75D2E">
        <w:rPr>
          <w:rFonts w:ascii="Times New Roman" w:hAnsi="Times New Roman"/>
          <w:bCs/>
          <w:iCs/>
          <w:sz w:val="24"/>
          <w:szCs w:val="24"/>
        </w:rPr>
        <w:t xml:space="preserve"> </w:t>
      </w:r>
      <w:r>
        <w:rPr>
          <w:rFonts w:ascii="Times New Roman" w:hAnsi="Times New Roman"/>
          <w:bCs/>
          <w:iCs/>
          <w:sz w:val="24"/>
          <w:szCs w:val="24"/>
        </w:rPr>
        <w:t>na nzela ya kozwa lotiliki, kokitisa mpasi na misala mpe kosala misala ya mimbongo na nzela ya mimbongo ya mike oyo ekosalama kaka na lotiliki (Esika ya koteka masanga, malewa, esika ya koteka biloko ya kolia ya malili, etc.)</w:t>
      </w:r>
      <w:r w:rsidRPr="00D75D2E">
        <w:rPr>
          <w:rFonts w:ascii="Times New Roman" w:hAnsi="Times New Roman"/>
          <w:bCs/>
          <w:iCs/>
          <w:sz w:val="24"/>
          <w:szCs w:val="24"/>
        </w:rPr>
        <w:t> ;</w:t>
      </w:r>
    </w:p>
    <w:p w14:paraId="259FAEAF"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Kobongisa kitoko koleka misala ya efandeli mpe mimbongo ya batu</w:t>
      </w:r>
      <w:r w:rsidRPr="001E0B8A">
        <w:rPr>
          <w:rFonts w:ascii="Times New Roman" w:hAnsi="Times New Roman"/>
          <w:bCs/>
          <w:iCs/>
          <w:sz w:val="24"/>
          <w:szCs w:val="24"/>
        </w:rPr>
        <w:t xml:space="preserve"> ;</w:t>
      </w:r>
    </w:p>
    <w:p w14:paraId="79FD46CA" w14:textId="77777777" w:rsidR="00915003" w:rsidRPr="00DD0B93"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Kobongisa mwinda ya bala-bala mpe kobatela biloko ya batu</w:t>
      </w:r>
      <w:r w:rsidRPr="00DD0B93">
        <w:rPr>
          <w:rFonts w:ascii="Times New Roman" w:hAnsi="Times New Roman"/>
          <w:bCs/>
          <w:iCs/>
          <w:sz w:val="24"/>
          <w:szCs w:val="24"/>
        </w:rPr>
        <w:t xml:space="preserve"> ;</w:t>
      </w:r>
    </w:p>
    <w:p w14:paraId="04919DB6"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b/>
          <w:sz w:val="24"/>
          <w:szCs w:val="24"/>
          <w:u w:val="single"/>
        </w:rPr>
      </w:pPr>
      <w:r>
        <w:rPr>
          <w:rFonts w:ascii="Times New Roman" w:hAnsi="Times New Roman"/>
          <w:bCs/>
          <w:iCs/>
          <w:sz w:val="24"/>
          <w:szCs w:val="24"/>
        </w:rPr>
        <w:t>Kobongisa mingi ya nkita ya bavandi bango moko</w:t>
      </w:r>
      <w:r w:rsidRPr="00D75D2E">
        <w:rPr>
          <w:rFonts w:ascii="Times New Roman" w:hAnsi="Times New Roman"/>
          <w:sz w:val="24"/>
          <w:szCs w:val="24"/>
        </w:rPr>
        <w:t xml:space="preserve"> ; </w:t>
      </w:r>
    </w:p>
    <w:p w14:paraId="615BF900" w14:textId="77777777" w:rsidR="00915003" w:rsidRPr="00D75D2E" w:rsidRDefault="00915003" w:rsidP="00915003">
      <w:pPr>
        <w:spacing w:before="120" w:after="120" w:line="240" w:lineRule="auto"/>
        <w:ind w:left="142"/>
        <w:jc w:val="both"/>
        <w:rPr>
          <w:rFonts w:ascii="Times New Roman" w:hAnsi="Times New Roman"/>
          <w:b/>
          <w:i/>
          <w:sz w:val="24"/>
          <w:szCs w:val="24"/>
        </w:rPr>
      </w:pPr>
      <w:r>
        <w:rPr>
          <w:rFonts w:ascii="Times New Roman" w:hAnsi="Times New Roman"/>
          <w:b/>
          <w:i/>
          <w:sz w:val="24"/>
          <w:szCs w:val="24"/>
        </w:rPr>
        <w:t>Makama mpe bilembo ya bisika bizingi mokili na efandelo ya batu ya mabe</w:t>
      </w:r>
    </w:p>
    <w:p w14:paraId="206C6372"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sz w:val="24"/>
          <w:szCs w:val="24"/>
        </w:rPr>
        <w:t>Kopindola matiti mpe kolongola misisa ya nzete na nzela, kobongola etongeli ya mabele mpe lolenge mabele ezali mpona kobunga ya ndambu ya zamba mpe ndambu ya baniama oyo wapi zamba ezalaki kobika na yango ;</w:t>
      </w:r>
    </w:p>
    <w:p w14:paraId="792FDC36"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Kobebisama ya mayi ya ebale mpe ya se ya mabele ;</w:t>
      </w:r>
    </w:p>
    <w:p w14:paraId="3C1FEE9E"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Kosopa na nzela ya makama pitolo oyo ebombami malamu te ;</w:t>
      </w:r>
      <w:r w:rsidRPr="001E0B8A">
        <w:rPr>
          <w:rFonts w:ascii="Times New Roman" w:hAnsi="Times New Roman"/>
          <w:bCs/>
          <w:iCs/>
          <w:sz w:val="24"/>
          <w:szCs w:val="24"/>
        </w:rPr>
        <w:t xml:space="preserve"> </w:t>
      </w:r>
    </w:p>
    <w:p w14:paraId="3011E590"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 xml:space="preserve">Kosopa mpe kokotisa na se ya mabele fulu ya mayi mpe  biloko ya mabe </w:t>
      </w:r>
      <w:r w:rsidRPr="001E0B8A">
        <w:rPr>
          <w:rFonts w:ascii="Times New Roman" w:hAnsi="Times New Roman"/>
          <w:bCs/>
          <w:iCs/>
          <w:sz w:val="24"/>
          <w:szCs w:val="24"/>
        </w:rPr>
        <w:t>;</w:t>
      </w:r>
    </w:p>
    <w:p w14:paraId="39A087B3" w14:textId="77777777" w:rsidR="00915003" w:rsidRPr="00E737B4"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Pr>
          <w:rFonts w:ascii="Times New Roman" w:hAnsi="Times New Roman"/>
          <w:bCs/>
          <w:iCs/>
          <w:sz w:val="24"/>
          <w:szCs w:val="24"/>
        </w:rPr>
        <w:t>Kotutana, kosopa na ntangu ya misala, komela putulu ; makelele ya mabe  koningana mpe mwinda ;</w:t>
      </w:r>
    </w:p>
    <w:p w14:paraId="5E82B551"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komona biloko na mpuasa ;</w:t>
      </w:r>
    </w:p>
    <w:p w14:paraId="5772D5B7"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kobebisa kolongono ya nzoto, kobatela mpe bopeto ya basali mpe ya bayi mboka;</w:t>
      </w:r>
    </w:p>
    <w:p w14:paraId="6B7DBFE5"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kolongola batu na bisika bazalaki ;</w:t>
      </w:r>
    </w:p>
    <w:p w14:paraId="52379C0B"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kosuana mpo efandelo ya batu ;</w:t>
      </w:r>
    </w:p>
    <w:p w14:paraId="3A6A228B"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kobakisa mpe kopanza bokono oyo ezwamaka na nzela ya bosangisi nzoto ndakisa IST/VIH/Sida :</w:t>
      </w:r>
    </w:p>
    <w:p w14:paraId="14BC1274"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kotiya bana ya mike na esika ya misala ;</w:t>
      </w:r>
    </w:p>
    <w:p w14:paraId="0E1CAB75"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komatisa mingi maye matali kobotola mwasi na makasi : kosalela mpe kobebisa na nzela ya bosangisi nzoto (na kati na yango kolala mwasi na sima ya kofuta), kotungisa muasi na nzela ya kovanda na ye na bisika ya musala mpo na bo fuluki ya basi na kati ya kompany, na nzinga-nzinga ya musala (na nzela ya bosangani ya batu ya misala mpe bofuluki ya batu ya misala maboko ya bapaya) ;</w:t>
      </w:r>
    </w:p>
    <w:p w14:paraId="7CEA6DA2"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kolokota COVID-19  soki mikano ya kokanga yango etosami te na lisanga na yango bokiti ya kokotisa basi na misala ya mumbongo ;</w:t>
      </w:r>
    </w:p>
    <w:p w14:paraId="487CE0A7"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na kati ya misala mpe bokono ezwami mpo na misala na oyo etali mituka ;</w:t>
      </w:r>
    </w:p>
    <w:p w14:paraId="79C349CB"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Likama ya lotiliki (kozikisama ya ndaku, mutu kozika, kokangama to komitiama na lotiliki)</w:t>
      </w:r>
    </w:p>
    <w:p w14:paraId="53F2FCDC"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iCs/>
          <w:sz w:val="24"/>
          <w:szCs w:val="24"/>
          <w:lang w:val="en-US"/>
        </w:rPr>
      </w:pPr>
      <w:r w:rsidRPr="00D60172">
        <w:rPr>
          <w:rFonts w:ascii="Times New Roman" w:hAnsi="Times New Roman"/>
          <w:bCs/>
          <w:iCs/>
          <w:sz w:val="24"/>
          <w:szCs w:val="24"/>
          <w:lang w:val="en-US"/>
        </w:rPr>
        <w:t>Makama ya mutuka (komema mabanga,</w:t>
      </w:r>
      <w:r w:rsidRPr="00D60172">
        <w:rPr>
          <w:rFonts w:ascii="Times New Roman" w:hAnsi="Times New Roman"/>
          <w:lang w:val="en-US"/>
        </w:rPr>
        <w:t xml:space="preserve"> ciment, zelo, mabaya ya kosalela, mabende ya</w:t>
      </w:r>
      <w:r w:rsidRPr="00D60172">
        <w:rPr>
          <w:lang w:val="en-US"/>
        </w:rPr>
        <w:t xml:space="preserve"> </w:t>
      </w:r>
      <w:r w:rsidRPr="00D60172">
        <w:rPr>
          <w:rFonts w:ascii="Times New Roman" w:hAnsi="Times New Roman"/>
          <w:lang w:val="en-US"/>
        </w:rPr>
        <w:t>kotonga,) mpe kobebisa nzela.</w:t>
      </w:r>
    </w:p>
    <w:p w14:paraId="2BDB778A" w14:textId="77777777" w:rsidR="00915003" w:rsidRPr="00D60172" w:rsidRDefault="00915003" w:rsidP="00915003">
      <w:pPr>
        <w:suppressAutoHyphens/>
        <w:spacing w:after="0" w:line="240" w:lineRule="auto"/>
        <w:contextualSpacing/>
        <w:jc w:val="both"/>
        <w:rPr>
          <w:rFonts w:ascii="Times New Roman" w:hAnsi="Times New Roman"/>
          <w:sz w:val="24"/>
          <w:szCs w:val="24"/>
          <w:lang w:val="en-US"/>
        </w:rPr>
      </w:pPr>
      <w:r w:rsidRPr="00D60172">
        <w:rPr>
          <w:rFonts w:ascii="Times New Roman" w:hAnsi="Times New Roman"/>
          <w:sz w:val="24"/>
          <w:szCs w:val="24"/>
          <w:lang w:val="en-US"/>
        </w:rPr>
        <w:t>Ba transfo mpe bisaleli misusu ekosala te na polychlorobiphényles (PCB) to mafuta oyo ebebisami na PCB. Kasi, ba postes ya kala kati na yango ekoki kozala, basengeli kolanda mpe kotosa mikano ya kitoko mpo na kobatela pona koboya bisika etoboki mpe kobwaka. Lisusu, motindo noyso ya kosala, bisalelo mpe lolenge ya malili oyo ekoki kobimisa ba chlorofluorocarbones (CFC), ekoki te kosala na kati musala oyo.</w:t>
      </w:r>
    </w:p>
    <w:p w14:paraId="1D85A707" w14:textId="77777777" w:rsidR="00915003" w:rsidRPr="00983D0A" w:rsidRDefault="00915003" w:rsidP="00215867">
      <w:pPr>
        <w:numPr>
          <w:ilvl w:val="0"/>
          <w:numId w:val="503"/>
        </w:numPr>
        <w:spacing w:before="120" w:after="120" w:line="240" w:lineRule="auto"/>
        <w:ind w:left="0" w:firstLine="142"/>
        <w:jc w:val="both"/>
        <w:rPr>
          <w:rFonts w:ascii="Times New Roman" w:eastAsia="Times New Roman" w:hAnsi="Times New Roman"/>
          <w:b/>
          <w:i/>
          <w:sz w:val="24"/>
          <w:szCs w:val="24"/>
          <w:lang w:eastAsia="x-none"/>
        </w:rPr>
      </w:pPr>
      <w:r w:rsidRPr="00983D0A">
        <w:rPr>
          <w:rFonts w:ascii="Times New Roman" w:eastAsia="Times New Roman" w:hAnsi="Times New Roman"/>
          <w:b/>
          <w:i/>
          <w:sz w:val="24"/>
          <w:szCs w:val="24"/>
          <w:lang w:eastAsia="x-none"/>
        </w:rPr>
        <w:t>Masolo na batu</w:t>
      </w:r>
    </w:p>
    <w:p w14:paraId="2B656C5E" w14:textId="77777777" w:rsidR="00915003" w:rsidRPr="00D60172" w:rsidRDefault="00915003" w:rsidP="00915003">
      <w:pPr>
        <w:spacing w:before="120" w:after="120" w:line="240" w:lineRule="auto"/>
        <w:jc w:val="both"/>
        <w:rPr>
          <w:rFonts w:ascii="Arial" w:hAnsi="Arial" w:cs="Arial"/>
        </w:rPr>
      </w:pPr>
      <w:r w:rsidRPr="00983D0A">
        <w:rPr>
          <w:rFonts w:ascii="Times New Roman" w:hAnsi="Times New Roman"/>
          <w:sz w:val="24"/>
        </w:rPr>
        <w:t>Na nzela ya bosali misala</w:t>
      </w:r>
      <w:r>
        <w:rPr>
          <w:rFonts w:ascii="Times New Roman" w:hAnsi="Times New Roman"/>
          <w:sz w:val="24"/>
        </w:rPr>
        <w:t xml:space="preserve"> ya</w:t>
      </w:r>
      <w:r w:rsidRPr="00983D0A">
        <w:rPr>
          <w:rFonts w:ascii="Times New Roman" w:hAnsi="Times New Roman"/>
          <w:sz w:val="24"/>
        </w:rPr>
        <w:t xml:space="preserve"> EIES</w:t>
      </w:r>
      <w:r>
        <w:rPr>
          <w:rFonts w:ascii="Times New Roman" w:hAnsi="Times New Roman"/>
          <w:sz w:val="24"/>
        </w:rPr>
        <w:t xml:space="preserve"> liye</w:t>
      </w:r>
      <w:r w:rsidRPr="00983D0A">
        <w:rPr>
          <w:rFonts w:ascii="Times New Roman" w:hAnsi="Times New Roman"/>
          <w:sz w:val="24"/>
        </w:rPr>
        <w:t xml:space="preserve">, </w:t>
      </w:r>
      <w:r>
        <w:rPr>
          <w:rFonts w:ascii="Times New Roman" w:hAnsi="Times New Roman"/>
          <w:sz w:val="24"/>
        </w:rPr>
        <w:t>masanga ya bokutani na batu nyoso elongo baye banso misala miye misalemaki uta</w:t>
      </w:r>
      <w:r>
        <w:rPr>
          <w:rFonts w:ascii="Times New Roman" w:hAnsi="Times New Roman"/>
          <w:sz w:val="24"/>
          <w:szCs w:val="24"/>
        </w:rPr>
        <w:t xml:space="preserve"> 17 ti</w:t>
      </w:r>
      <w:r w:rsidRPr="00D75D2E">
        <w:rPr>
          <w:rFonts w:ascii="Times New Roman" w:hAnsi="Times New Roman"/>
          <w:sz w:val="24"/>
          <w:szCs w:val="24"/>
        </w:rPr>
        <w:t xml:space="preserve"> 29 juin 2021 </w:t>
      </w:r>
      <w:r>
        <w:rPr>
          <w:rFonts w:ascii="Times New Roman" w:hAnsi="Times New Roman"/>
          <w:sz w:val="24"/>
          <w:szCs w:val="24"/>
        </w:rPr>
        <w:t>na  masanga kati na bango baza  bakambi ya kalaka, bayi tekiniki, masanga, ba ONG, bakambi ya quartiers mpe ya ba b</w:t>
      </w:r>
      <w:r w:rsidRPr="00D75D2E">
        <w:rPr>
          <w:rFonts w:ascii="Times New Roman" w:hAnsi="Times New Roman"/>
          <w:sz w:val="24"/>
          <w:szCs w:val="24"/>
        </w:rPr>
        <w:t>a</w:t>
      </w:r>
      <w:r>
        <w:rPr>
          <w:rFonts w:ascii="Times New Roman" w:hAnsi="Times New Roman"/>
          <w:sz w:val="24"/>
          <w:szCs w:val="24"/>
        </w:rPr>
        <w:t>la-bala mpe bavandi ya ba communes ya misala ekosalama</w:t>
      </w:r>
      <w:r w:rsidRPr="00D75D2E">
        <w:rPr>
          <w:rFonts w:ascii="Times New Roman" w:hAnsi="Times New Roman"/>
          <w:sz w:val="24"/>
          <w:szCs w:val="24"/>
        </w:rPr>
        <w:t xml:space="preserve"> (PV </w:t>
      </w:r>
      <w:r>
        <w:rPr>
          <w:rFonts w:ascii="Times New Roman" w:hAnsi="Times New Roman"/>
          <w:sz w:val="24"/>
          <w:szCs w:val="24"/>
        </w:rPr>
        <w:t>na kati ya lapor liye</w:t>
      </w:r>
      <w:r w:rsidRPr="00D75D2E">
        <w:rPr>
          <w:rFonts w:ascii="Times New Roman" w:hAnsi="Times New Roman"/>
          <w:sz w:val="24"/>
          <w:szCs w:val="24"/>
        </w:rPr>
        <w:t xml:space="preserve">). </w:t>
      </w:r>
      <w:r>
        <w:rPr>
          <w:rFonts w:ascii="Times New Roman" w:hAnsi="Times New Roman"/>
          <w:sz w:val="24"/>
          <w:szCs w:val="24"/>
        </w:rPr>
        <w:t>Lokola batu</w:t>
      </w:r>
      <w:r w:rsidRPr="00D75D2E">
        <w:rPr>
          <w:rFonts w:ascii="Times New Roman" w:hAnsi="Times New Roman"/>
          <w:sz w:val="24"/>
          <w:szCs w:val="24"/>
        </w:rPr>
        <w:t xml:space="preserve"> 852 </w:t>
      </w:r>
      <w:r>
        <w:rPr>
          <w:rFonts w:ascii="Times New Roman" w:hAnsi="Times New Roman"/>
          <w:sz w:val="24"/>
          <w:szCs w:val="24"/>
        </w:rPr>
        <w:t>bazwamaki na bokutani wana na lisanga ya ba communes mpe quartiers ya bavandi</w:t>
      </w:r>
      <w:r w:rsidRPr="00D75D2E">
        <w:rPr>
          <w:rFonts w:ascii="Times New Roman" w:hAnsi="Times New Roman"/>
          <w:sz w:val="24"/>
          <w:szCs w:val="24"/>
        </w:rPr>
        <w:t xml:space="preserve"> (</w:t>
      </w:r>
      <w:r>
        <w:rPr>
          <w:rFonts w:ascii="Times New Roman" w:hAnsi="Times New Roman"/>
          <w:sz w:val="24"/>
          <w:szCs w:val="24"/>
        </w:rPr>
        <w:t>eteni na kati ya masolo na batu</w:t>
      </w:r>
      <w:r w:rsidRPr="00D75D2E">
        <w:rPr>
          <w:rFonts w:ascii="Times New Roman" w:hAnsi="Times New Roman"/>
          <w:sz w:val="24"/>
          <w:szCs w:val="24"/>
        </w:rPr>
        <w:t>).</w:t>
      </w:r>
      <w:r w:rsidRPr="00D60172">
        <w:rPr>
          <w:rFonts w:ascii="Arial" w:hAnsi="Arial" w:cs="Arial"/>
        </w:rPr>
        <w:t xml:space="preserve"> </w:t>
      </w:r>
    </w:p>
    <w:p w14:paraId="6CFB2E28" w14:textId="77777777" w:rsidR="00915003" w:rsidRPr="00215867" w:rsidRDefault="00915003" w:rsidP="00915003">
      <w:pPr>
        <w:spacing w:before="120" w:after="120" w:line="240" w:lineRule="auto"/>
        <w:jc w:val="both"/>
        <w:rPr>
          <w:rFonts w:ascii="Times New Roman" w:hAnsi="Times New Roman"/>
          <w:sz w:val="24"/>
          <w:szCs w:val="24"/>
        </w:rPr>
      </w:pPr>
      <w:r w:rsidRPr="00215867">
        <w:rPr>
          <w:rFonts w:ascii="Times New Roman" w:hAnsi="Times New Roman"/>
        </w:rPr>
        <w:t>Na sima ya masanga ya bokutani, bavandi bandimi na ndenge musala ekosalama mpe ba lakisi ba posa na bango oyo na bokuse ezali boye</w:t>
      </w:r>
      <w:r w:rsidRPr="00215867">
        <w:rPr>
          <w:rFonts w:ascii="Times New Roman" w:hAnsi="Times New Roman"/>
          <w:sz w:val="24"/>
          <w:szCs w:val="24"/>
        </w:rPr>
        <w:t xml:space="preserve">: </w:t>
      </w:r>
    </w:p>
    <w:p w14:paraId="7B26B6D4"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Kotiya batu nyoso ya mboka oyo bandimi na tango misala ekobanda, naino na kopona bisika ya poteaux mpe ba cabines ;</w:t>
      </w:r>
    </w:p>
    <w:p w14:paraId="1740DE6D"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Kofuta na kobakisa te kaka biloko oyo eko bebisama ;</w:t>
      </w:r>
    </w:p>
    <w:p w14:paraId="2EA1B55E"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Kotiya tango nyoso musala ya kobongisa, kokabola, mpe kosenzela ba singa mpo na koboya bozwami ba courant ya moyibi mpe makama oyo etali lotiliki ;</w:t>
      </w:r>
    </w:p>
    <w:p w14:paraId="0CB7B2B7"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Kotonga to kokanga ba poteaux ya lotiliki na béton kati na yango batieyi mabende mpo na koboya ekweya ;</w:t>
      </w:r>
    </w:p>
    <w:p w14:paraId="7E4FC89B"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Koboya basinga ya se ya mabele naino na oyo etali ba singa oyo elingami pona koboya makama na oyo etali kokangama mpe misusu mpe kokanisa naino ba singa ya likolo ;</w:t>
      </w:r>
    </w:p>
    <w:p w14:paraId="55CFD001"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 xml:space="preserve">Kokebisa batu na makama oyo etali lotiliki na nzela na yango kokangama mpe kosika na lotiliki ; </w:t>
      </w:r>
    </w:p>
    <w:p w14:paraId="206B8D35"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Kozwa na misala bavandi na ntangu ya misala ekobanda mpe kofuta malamu basali mpe bayi ya mokolo na mokolo, mpo na musala ekende liboso mpe koboya muyibi ya bisaleli ;</w:t>
      </w:r>
    </w:p>
    <w:p w14:paraId="5914F1BC"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Kozala mpe kobakisa mayele ya bavandi ya ba communes ya misala mpo ete ba batela malamu fulu ;</w:t>
      </w:r>
    </w:p>
    <w:p w14:paraId="138A9E14" w14:textId="77777777" w:rsidR="00915003" w:rsidRPr="00215867" w:rsidRDefault="00915003" w:rsidP="00915003">
      <w:pPr>
        <w:numPr>
          <w:ilvl w:val="0"/>
          <w:numId w:val="19"/>
        </w:numPr>
        <w:suppressAutoHyphens/>
        <w:spacing w:after="0" w:line="240" w:lineRule="auto"/>
        <w:contextualSpacing/>
        <w:jc w:val="both"/>
        <w:rPr>
          <w:rFonts w:ascii="Times New Roman" w:hAnsi="Times New Roman"/>
          <w:bCs/>
          <w:iCs/>
          <w:sz w:val="24"/>
          <w:szCs w:val="24"/>
        </w:rPr>
      </w:pPr>
      <w:r w:rsidRPr="00215867">
        <w:rPr>
          <w:rFonts w:ascii="Times New Roman" w:hAnsi="Times New Roman"/>
          <w:bCs/>
          <w:iCs/>
          <w:sz w:val="24"/>
          <w:szCs w:val="24"/>
        </w:rPr>
        <w:t>Kokebisa mpe koyebisa bavandi mpe batu ya misala mpo na bokono mpe makama ya kobatelama (IST/VIH-SIDA) mpe kotosa bizaleli ya bokoko mpe babola ;</w:t>
      </w:r>
    </w:p>
    <w:p w14:paraId="47DF2481" w14:textId="5EFF6C0F" w:rsidR="00915003" w:rsidRPr="00215867" w:rsidRDefault="00915003" w:rsidP="00915003">
      <w:pPr>
        <w:numPr>
          <w:ilvl w:val="0"/>
          <w:numId w:val="19"/>
        </w:numPr>
        <w:suppressAutoHyphens/>
        <w:spacing w:after="0" w:line="240" w:lineRule="auto"/>
        <w:contextualSpacing/>
        <w:jc w:val="both"/>
        <w:rPr>
          <w:rFonts w:ascii="Times New Roman" w:hAnsi="Times New Roman"/>
          <w:sz w:val="24"/>
          <w:szCs w:val="24"/>
        </w:rPr>
      </w:pPr>
      <w:r w:rsidRPr="00215867">
        <w:rPr>
          <w:rFonts w:ascii="Times New Roman" w:hAnsi="Times New Roman"/>
          <w:bCs/>
          <w:iCs/>
          <w:sz w:val="24"/>
          <w:szCs w:val="24"/>
        </w:rPr>
        <w:t>Kotiya lolenge ya koyamba bafundi na EAS/HS na kati ya  commune nyoso oyo etali misala, pona na kotiya boyokani kati kompany na bavandi mpe kosala ete boyokani mpe kobongisa na libota kosuana nyoso oyo ekoki koya na oyo etali musala</w:t>
      </w:r>
      <w:r w:rsidRPr="00215867">
        <w:rPr>
          <w:rFonts w:ascii="Times New Roman" w:hAnsi="Times New Roman"/>
          <w:sz w:val="24"/>
          <w:szCs w:val="24"/>
        </w:rPr>
        <w:t>, mpe kobongisa makam oyo etali EAS/HS na ntangu ya misala ekosalama.</w:t>
      </w:r>
    </w:p>
    <w:p w14:paraId="56884E64" w14:textId="77777777" w:rsidR="00915003" w:rsidRPr="00D75D2E" w:rsidRDefault="00915003" w:rsidP="00215867">
      <w:pPr>
        <w:numPr>
          <w:ilvl w:val="0"/>
          <w:numId w:val="503"/>
        </w:numPr>
        <w:spacing w:before="120" w:after="120" w:line="240" w:lineRule="auto"/>
        <w:ind w:left="0" w:firstLine="142"/>
        <w:jc w:val="both"/>
        <w:rPr>
          <w:rFonts w:ascii="Times New Roman" w:hAnsi="Times New Roman"/>
          <w:sz w:val="24"/>
          <w:szCs w:val="24"/>
          <w:u w:val="single"/>
        </w:rPr>
      </w:pPr>
      <w:r>
        <w:rPr>
          <w:rFonts w:ascii="Times New Roman" w:hAnsi="Times New Roman"/>
          <w:b/>
          <w:sz w:val="24"/>
          <w:szCs w:val="24"/>
          <w:u w:val="single"/>
        </w:rPr>
        <w:t>Mikano ya kofuta malamu</w:t>
      </w:r>
      <w:r w:rsidRPr="00D75D2E">
        <w:rPr>
          <w:rFonts w:ascii="Times New Roman" w:hAnsi="Times New Roman"/>
          <w:b/>
          <w:sz w:val="24"/>
          <w:szCs w:val="24"/>
          <w:u w:val="single"/>
        </w:rPr>
        <w:t xml:space="preserve"> </w:t>
      </w:r>
    </w:p>
    <w:p w14:paraId="463430E3" w14:textId="77777777" w:rsidR="00915003" w:rsidRPr="00D75D2E" w:rsidRDefault="00915003" w:rsidP="00915003">
      <w:pPr>
        <w:suppressAutoHyphens/>
        <w:spacing w:before="120" w:after="120" w:line="240" w:lineRule="auto"/>
        <w:ind w:left="284"/>
        <w:rPr>
          <w:rFonts w:ascii="Times New Roman" w:eastAsia="Arial Unicode MS" w:hAnsi="Times New Roman"/>
          <w:sz w:val="24"/>
          <w:szCs w:val="24"/>
          <w:lang w:val="fr-CA"/>
        </w:rPr>
      </w:pPr>
      <w:r>
        <w:rPr>
          <w:rFonts w:ascii="Times New Roman" w:eastAsia="Arial Unicode MS" w:hAnsi="Times New Roman"/>
          <w:sz w:val="24"/>
          <w:szCs w:val="24"/>
          <w:lang w:val="fr-CA"/>
        </w:rPr>
        <w:t>Mikano ya minene ya kofuta malamu ezali</w:t>
      </w:r>
      <w:r w:rsidRPr="00D75D2E">
        <w:rPr>
          <w:rFonts w:ascii="Times New Roman" w:eastAsia="Arial Unicode MS" w:hAnsi="Times New Roman"/>
          <w:sz w:val="24"/>
          <w:szCs w:val="24"/>
          <w:lang w:val="fr-CA"/>
        </w:rPr>
        <w:t xml:space="preserve"> : </w:t>
      </w:r>
    </w:p>
    <w:p w14:paraId="5B445725"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sz w:val="24"/>
          <w:szCs w:val="24"/>
        </w:rPr>
        <w:t>Kokoma mpe kotiya na misala miango ya koyebisa, kotangisa mpe kopanza sango</w:t>
      </w:r>
      <w:r w:rsidRPr="00D75D2E">
        <w:rPr>
          <w:rFonts w:ascii="Times New Roman" w:hAnsi="Times New Roman"/>
          <w:sz w:val="24"/>
          <w:szCs w:val="24"/>
        </w:rPr>
        <w:t xml:space="preserve"> (IEC) </w:t>
      </w:r>
      <w:r>
        <w:rPr>
          <w:rFonts w:ascii="Times New Roman" w:hAnsi="Times New Roman"/>
          <w:sz w:val="24"/>
          <w:szCs w:val="24"/>
        </w:rPr>
        <w:t>mpo na batu ya misala mpe bavandi</w:t>
      </w:r>
      <w:r w:rsidRPr="00D75D2E">
        <w:rPr>
          <w:rFonts w:ascii="Times New Roman" w:hAnsi="Times New Roman"/>
          <w:iCs/>
          <w:sz w:val="24"/>
          <w:szCs w:val="24"/>
        </w:rPr>
        <w:t xml:space="preserve"> ;</w:t>
      </w:r>
    </w:p>
    <w:p w14:paraId="67D008BF"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Kokoma mpe kotiya na misala miango ya kobatela ba fulu</w:t>
      </w:r>
      <w:r w:rsidRPr="00D75D2E">
        <w:rPr>
          <w:rFonts w:ascii="Times New Roman" w:hAnsi="Times New Roman"/>
          <w:sz w:val="24"/>
          <w:szCs w:val="24"/>
        </w:rPr>
        <w:t xml:space="preserve"> ; </w:t>
      </w:r>
    </w:p>
    <w:p w14:paraId="32EC6D37"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iCs/>
          <w:sz w:val="24"/>
          <w:szCs w:val="24"/>
        </w:rPr>
        <w:t xml:space="preserve">Kobongisa mpe kokanga bitando ya kosopa na tina ete mayi ebima te </w:t>
      </w:r>
      <w:r w:rsidRPr="00D75D2E">
        <w:rPr>
          <w:rFonts w:ascii="Times New Roman" w:hAnsi="Times New Roman"/>
          <w:iCs/>
          <w:sz w:val="24"/>
          <w:szCs w:val="24"/>
        </w:rPr>
        <w:t xml:space="preserve">; </w:t>
      </w:r>
    </w:p>
    <w:p w14:paraId="3326AB0D"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iCs/>
          <w:sz w:val="24"/>
          <w:szCs w:val="24"/>
        </w:rPr>
        <w:t>Kokongola mafuta oyo ebebi mpo na kozongela yango to kosalela yango na nzela ya kompany Bookin pona na kopelisa ba chaudières na ye na ntango basalaka ba kopo</w:t>
      </w:r>
      <w:r w:rsidRPr="00D75D2E">
        <w:rPr>
          <w:rFonts w:ascii="Times New Roman" w:hAnsi="Times New Roman"/>
          <w:iCs/>
          <w:sz w:val="24"/>
          <w:szCs w:val="24"/>
        </w:rPr>
        <w:t xml:space="preserve"> ; </w:t>
      </w:r>
    </w:p>
    <w:p w14:paraId="6D7CE3EB"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iCs/>
          <w:sz w:val="24"/>
          <w:szCs w:val="24"/>
        </w:rPr>
        <w:t xml:space="preserve">Kosangisa na ndenge ya malamu ba </w:t>
      </w:r>
      <w:r w:rsidRPr="00D75D2E">
        <w:rPr>
          <w:rFonts w:ascii="Times New Roman" w:hAnsi="Times New Roman"/>
          <w:iCs/>
          <w:sz w:val="24"/>
          <w:szCs w:val="24"/>
        </w:rPr>
        <w:t xml:space="preserve">hydrocarbures </w:t>
      </w:r>
      <w:r>
        <w:rPr>
          <w:rFonts w:ascii="Times New Roman" w:hAnsi="Times New Roman"/>
          <w:iCs/>
          <w:sz w:val="24"/>
          <w:szCs w:val="24"/>
        </w:rPr>
        <w:t>engebene mikano oyo etali liango</w:t>
      </w:r>
      <w:r w:rsidRPr="00D75D2E">
        <w:rPr>
          <w:rFonts w:ascii="Times New Roman" w:hAnsi="Times New Roman"/>
          <w:iCs/>
          <w:sz w:val="24"/>
          <w:szCs w:val="24"/>
        </w:rPr>
        <w:t> ;</w:t>
      </w:r>
    </w:p>
    <w:p w14:paraId="6B40922C"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iCs/>
          <w:sz w:val="24"/>
          <w:szCs w:val="24"/>
        </w:rPr>
        <w:t>Kosukisa mbangu ya motuka na</w:t>
      </w:r>
      <w:r w:rsidRPr="00D75D2E">
        <w:rPr>
          <w:rFonts w:ascii="Times New Roman" w:hAnsi="Times New Roman"/>
          <w:iCs/>
          <w:sz w:val="24"/>
          <w:szCs w:val="24"/>
        </w:rPr>
        <w:t xml:space="preserve"> 30 km/heure</w:t>
      </w:r>
      <w:r>
        <w:rPr>
          <w:rFonts w:ascii="Times New Roman" w:hAnsi="Times New Roman"/>
          <w:iCs/>
          <w:sz w:val="24"/>
          <w:szCs w:val="24"/>
        </w:rPr>
        <w:t xml:space="preserve"> na nzinga-nzinga ya musala </w:t>
      </w:r>
      <w:r w:rsidRPr="00D75D2E">
        <w:rPr>
          <w:rFonts w:ascii="Times New Roman" w:hAnsi="Times New Roman"/>
          <w:iCs/>
          <w:sz w:val="24"/>
          <w:szCs w:val="24"/>
        </w:rPr>
        <w:t>;</w:t>
      </w:r>
    </w:p>
    <w:p w14:paraId="2734A017"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sz w:val="24"/>
          <w:szCs w:val="24"/>
        </w:rPr>
        <w:t>kokoma mpe kotiya na misala miango kozongi moto biloko na ye soki ebebi mpo na musala na kati na yango ezali na miango ya kozongisela ye ba makoki ya kobatelama pona kobatela ye na oyo ye abungisi na misala na ye ya mombongo</w:t>
      </w:r>
      <w:r w:rsidRPr="003448B0">
        <w:rPr>
          <w:rFonts w:ascii="Times New Roman" w:eastAsia="Times New Roman" w:hAnsi="Times New Roman"/>
          <w:sz w:val="24"/>
          <w:szCs w:val="24"/>
          <w:lang w:eastAsia="fr-FR"/>
        </w:rPr>
        <w:t xml:space="preserve"> (AGR</w:t>
      </w:r>
      <w:r w:rsidRPr="00D75D2E">
        <w:rPr>
          <w:rFonts w:ascii="Times New Roman" w:eastAsia="Times New Roman" w:hAnsi="Times New Roman"/>
          <w:sz w:val="24"/>
          <w:szCs w:val="24"/>
          <w:lang w:eastAsia="fr-FR"/>
        </w:rPr>
        <w:t>)</w:t>
      </w:r>
      <w:r w:rsidRPr="00D75D2E">
        <w:rPr>
          <w:rFonts w:ascii="Times New Roman" w:hAnsi="Times New Roman"/>
          <w:sz w:val="24"/>
          <w:szCs w:val="24"/>
        </w:rPr>
        <w:t> ;</w:t>
      </w:r>
    </w:p>
    <w:p w14:paraId="28EE60CF" w14:textId="77777777" w:rsidR="00915003" w:rsidRPr="007C64D7"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kotiya bavandi oyo ba ndimi na kati ya misala</w:t>
      </w:r>
      <w:r w:rsidRPr="00D75D2E">
        <w:rPr>
          <w:rFonts w:ascii="Times New Roman" w:hAnsi="Times New Roman"/>
          <w:iCs/>
          <w:sz w:val="24"/>
          <w:szCs w:val="24"/>
        </w:rPr>
        <w:t>.</w:t>
      </w:r>
    </w:p>
    <w:p w14:paraId="5C049F7E" w14:textId="77777777" w:rsidR="00915003" w:rsidRPr="00D75D2E"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M</w:t>
      </w:r>
      <w:r>
        <w:rPr>
          <w:rFonts w:ascii="Times New Roman" w:hAnsi="Times New Roman"/>
          <w:b/>
          <w:sz w:val="24"/>
          <w:szCs w:val="24"/>
          <w:u w:val="single"/>
        </w:rPr>
        <w:t>ikano ya kokitisa bilembo</w:t>
      </w:r>
    </w:p>
    <w:p w14:paraId="38678AC0" w14:textId="77777777" w:rsidR="00915003" w:rsidRPr="00D75D2E" w:rsidRDefault="00915003" w:rsidP="00915003">
      <w:pPr>
        <w:suppressAutoHyphens/>
        <w:spacing w:before="120" w:after="120" w:line="240" w:lineRule="auto"/>
        <w:ind w:left="284"/>
        <w:rPr>
          <w:rFonts w:ascii="Times New Roman" w:eastAsia="Arial Unicode MS" w:hAnsi="Times New Roman"/>
          <w:sz w:val="24"/>
          <w:szCs w:val="24"/>
          <w:lang w:val="fr-CA" w:eastAsia="fr-FR"/>
        </w:rPr>
      </w:pPr>
      <w:r>
        <w:rPr>
          <w:rFonts w:ascii="Times New Roman" w:eastAsia="Arial Unicode MS" w:hAnsi="Times New Roman"/>
          <w:sz w:val="24"/>
          <w:szCs w:val="24"/>
          <w:lang w:val="fr-CA" w:eastAsia="fr-FR"/>
        </w:rPr>
        <w:t>Mikano naino ya kokitisa bilembo oyo ezwami</w:t>
      </w:r>
      <w:r w:rsidRPr="00D75D2E">
        <w:rPr>
          <w:rFonts w:ascii="Times New Roman" w:eastAsia="Arial Unicode MS" w:hAnsi="Times New Roman"/>
          <w:sz w:val="24"/>
          <w:szCs w:val="24"/>
          <w:lang w:val="fr-CA" w:eastAsia="fr-FR"/>
        </w:rPr>
        <w:t xml:space="preserve"> : </w:t>
      </w:r>
    </w:p>
    <w:p w14:paraId="7742C9C1"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sz w:val="24"/>
          <w:szCs w:val="24"/>
        </w:rPr>
        <w:t xml:space="preserve">Kosalela miango ya kolona ba nzete lisanga na </w:t>
      </w:r>
      <w:r w:rsidRPr="00D75D2E">
        <w:rPr>
          <w:rFonts w:ascii="Times New Roman" w:hAnsi="Times New Roman"/>
          <w:sz w:val="24"/>
          <w:szCs w:val="24"/>
        </w:rPr>
        <w:t xml:space="preserve"> Ministère </w:t>
      </w:r>
      <w:r>
        <w:rPr>
          <w:rFonts w:ascii="Times New Roman" w:hAnsi="Times New Roman"/>
          <w:sz w:val="24"/>
          <w:szCs w:val="24"/>
        </w:rPr>
        <w:t>oyo eza kotala mayi na zamba pona kozongisa ba nzete oyo ebukamaki : (kotika kokata ba nzete, kozongisa ndenge ezalaki bisika ya kozwa mabele, kosalela miango ya koyebisa, kolakisa mpe kopanza sango</w:t>
      </w:r>
      <w:r w:rsidRPr="00D75D2E">
        <w:rPr>
          <w:rFonts w:ascii="Times New Roman" w:hAnsi="Times New Roman"/>
          <w:sz w:val="24"/>
          <w:szCs w:val="24"/>
        </w:rPr>
        <w:t xml:space="preserve"> (IEC) </w:t>
      </w:r>
      <w:r>
        <w:rPr>
          <w:rFonts w:ascii="Times New Roman" w:hAnsi="Times New Roman"/>
          <w:sz w:val="24"/>
          <w:szCs w:val="24"/>
        </w:rPr>
        <w:t>na mposa ya basali</w:t>
      </w:r>
      <w:r w:rsidRPr="00D75D2E">
        <w:rPr>
          <w:rFonts w:ascii="Times New Roman" w:hAnsi="Times New Roman"/>
          <w:iCs/>
          <w:sz w:val="24"/>
          <w:szCs w:val="24"/>
        </w:rPr>
        <w:t>) ;</w:t>
      </w:r>
    </w:p>
    <w:p w14:paraId="5842E16E"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Kotiya na misala miango moko ya kobomba mpe kolongola bikunde/fulu (</w:t>
      </w:r>
      <w:r w:rsidRPr="00D75D2E">
        <w:rPr>
          <w:rFonts w:ascii="Times New Roman" w:hAnsi="Times New Roman"/>
          <w:bCs/>
          <w:i/>
          <w:iCs/>
          <w:sz w:val="24"/>
          <w:szCs w:val="24"/>
        </w:rPr>
        <w:t xml:space="preserve">PPGED) </w:t>
      </w:r>
      <w:r>
        <w:rPr>
          <w:rFonts w:ascii="Times New Roman" w:hAnsi="Times New Roman"/>
          <w:bCs/>
          <w:i/>
          <w:iCs/>
          <w:sz w:val="24"/>
          <w:szCs w:val="24"/>
        </w:rPr>
        <w:t>mpe miango ya kondimisa ya bisika bizingi mokili</w:t>
      </w:r>
      <w:r w:rsidRPr="00D75D2E">
        <w:rPr>
          <w:rFonts w:ascii="Times New Roman" w:hAnsi="Times New Roman"/>
          <w:bCs/>
          <w:i/>
          <w:iCs/>
          <w:sz w:val="24"/>
          <w:szCs w:val="24"/>
        </w:rPr>
        <w:t xml:space="preserve"> (PAE) </w:t>
      </w:r>
      <w:r>
        <w:rPr>
          <w:rFonts w:ascii="Times New Roman" w:hAnsi="Times New Roman"/>
          <w:bCs/>
          <w:iCs/>
          <w:sz w:val="24"/>
          <w:szCs w:val="24"/>
        </w:rPr>
        <w:t>na tina ya</w:t>
      </w:r>
      <w:r>
        <w:rPr>
          <w:rFonts w:ascii="Times New Roman" w:hAnsi="Times New Roman"/>
          <w:sz w:val="24"/>
          <w:szCs w:val="24"/>
        </w:rPr>
        <w:t> : koboya kobebisama ya mayi mpe ya mabele nzela ya fulu ya makasi mpe ya mayi oyo ewuti na bisika ya mosala ; kobongisa mpe kobongisa bitando ya kobuaka poto-poto na ntina ya kokanga yango makasi mpo mayi ekota te</w:t>
      </w:r>
      <w:r w:rsidRPr="00D75D2E">
        <w:rPr>
          <w:rFonts w:ascii="Times New Roman" w:hAnsi="Times New Roman"/>
          <w:iCs/>
          <w:sz w:val="24"/>
          <w:szCs w:val="24"/>
        </w:rPr>
        <w:t xml:space="preserve"> ; </w:t>
      </w:r>
      <w:r>
        <w:rPr>
          <w:rFonts w:ascii="Times New Roman" w:hAnsi="Times New Roman"/>
          <w:iCs/>
          <w:sz w:val="24"/>
          <w:szCs w:val="24"/>
        </w:rPr>
        <w:t>kokongola mafuta oyo basalela na kati ya ekolo oyo etoboki te pona kozongela yangoto kosalela yango</w:t>
      </w:r>
      <w:r w:rsidRPr="00D75D2E">
        <w:rPr>
          <w:rFonts w:ascii="Times New Roman" w:hAnsi="Times New Roman"/>
          <w:iCs/>
          <w:sz w:val="24"/>
          <w:szCs w:val="24"/>
        </w:rPr>
        <w:t xml:space="preserve"> ; </w:t>
      </w:r>
      <w:r>
        <w:rPr>
          <w:rFonts w:ascii="Times New Roman" w:hAnsi="Times New Roman"/>
          <w:iCs/>
          <w:sz w:val="24"/>
          <w:szCs w:val="24"/>
        </w:rPr>
        <w:t>koboya penza na basali na kosokola mitu mpe biloko ya misala (bétonneuse, pusu</w:t>
      </w:r>
      <w:r w:rsidRPr="00D75D2E">
        <w:rPr>
          <w:rFonts w:ascii="Times New Roman" w:hAnsi="Times New Roman"/>
          <w:iCs/>
          <w:sz w:val="24"/>
          <w:szCs w:val="24"/>
        </w:rPr>
        <w:t xml:space="preserve">, etc.) </w:t>
      </w:r>
      <w:r>
        <w:rPr>
          <w:rFonts w:ascii="Times New Roman" w:hAnsi="Times New Roman"/>
          <w:iCs/>
          <w:sz w:val="24"/>
          <w:szCs w:val="24"/>
        </w:rPr>
        <w:t>na kati y’ebale</w:t>
      </w:r>
      <w:r w:rsidRPr="00D75D2E">
        <w:rPr>
          <w:rFonts w:ascii="Times New Roman" w:hAnsi="Times New Roman"/>
          <w:iCs/>
          <w:sz w:val="24"/>
          <w:szCs w:val="24"/>
        </w:rPr>
        <w:t xml:space="preserve"> ; </w:t>
      </w:r>
      <w:r>
        <w:rPr>
          <w:rFonts w:ascii="Times New Roman" w:hAnsi="Times New Roman"/>
          <w:iCs/>
          <w:sz w:val="24"/>
          <w:szCs w:val="24"/>
        </w:rPr>
        <w:t>koboya kosalela na bibale ya bavandi pona makambu ya misala</w:t>
      </w:r>
      <w:r w:rsidRPr="00D75D2E">
        <w:rPr>
          <w:rFonts w:ascii="Times New Roman" w:hAnsi="Times New Roman"/>
          <w:iCs/>
          <w:sz w:val="24"/>
          <w:szCs w:val="24"/>
        </w:rPr>
        <w:t xml:space="preserve"> ; </w:t>
      </w:r>
      <w:r>
        <w:rPr>
          <w:rFonts w:ascii="Times New Roman" w:hAnsi="Times New Roman"/>
          <w:iCs/>
          <w:sz w:val="24"/>
          <w:szCs w:val="24"/>
        </w:rPr>
        <w:t>kobomba na ndenge ya malamu ya ba hydrocarbures (Ngongolo ya mazout to pompi</w:t>
      </w:r>
      <w:r w:rsidRPr="00D75D2E">
        <w:rPr>
          <w:rFonts w:ascii="Times New Roman" w:hAnsi="Times New Roman"/>
          <w:iCs/>
          <w:sz w:val="24"/>
          <w:szCs w:val="24"/>
        </w:rPr>
        <w:t xml:space="preserve">), </w:t>
      </w:r>
      <w:r>
        <w:rPr>
          <w:rFonts w:ascii="Times New Roman" w:hAnsi="Times New Roman"/>
          <w:iCs/>
          <w:sz w:val="24"/>
          <w:szCs w:val="24"/>
        </w:rPr>
        <w:t>engebene mibeko na yango</w:t>
      </w:r>
      <w:r w:rsidRPr="00D75D2E">
        <w:rPr>
          <w:rFonts w:ascii="Times New Roman" w:hAnsi="Times New Roman"/>
          <w:iCs/>
          <w:sz w:val="24"/>
          <w:szCs w:val="24"/>
        </w:rPr>
        <w:t>.</w:t>
      </w:r>
    </w:p>
    <w:p w14:paraId="18CF1D98"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Kosalela miango ya kobatela mpe kotiya mindelo ya kobebisama ya mopepe </w:t>
      </w:r>
      <w:r w:rsidRPr="00D75D2E">
        <w:rPr>
          <w:rFonts w:ascii="Times New Roman" w:hAnsi="Times New Roman"/>
          <w:sz w:val="24"/>
          <w:szCs w:val="24"/>
        </w:rPr>
        <w:t xml:space="preserve"> (</w:t>
      </w:r>
      <w:r>
        <w:rPr>
          <w:rFonts w:ascii="Times New Roman" w:hAnsi="Times New Roman"/>
          <w:sz w:val="24"/>
          <w:szCs w:val="24"/>
        </w:rPr>
        <w:t>koyebisa mpe kosolola na bakumbi mituka na botosi mindelo ya bokimi mbangu ya motuka na nzinga-nzinga ya musala</w:t>
      </w:r>
      <w:r>
        <w:rPr>
          <w:rFonts w:ascii="Times New Roman" w:hAnsi="Times New Roman"/>
          <w:iCs/>
          <w:sz w:val="24"/>
          <w:szCs w:val="24"/>
        </w:rPr>
        <w:t xml:space="preserve"> </w:t>
      </w:r>
      <w:r w:rsidRPr="00D75D2E">
        <w:rPr>
          <w:rFonts w:ascii="Times New Roman" w:hAnsi="Times New Roman"/>
          <w:iCs/>
          <w:sz w:val="24"/>
          <w:szCs w:val="24"/>
        </w:rPr>
        <w:t xml:space="preserve">; </w:t>
      </w:r>
      <w:r>
        <w:rPr>
          <w:rFonts w:ascii="Times New Roman" w:hAnsi="Times New Roman"/>
          <w:iCs/>
          <w:sz w:val="24"/>
          <w:szCs w:val="24"/>
        </w:rPr>
        <w:t>kobongisa tangu nyoso mituka mpe mituka ya minene</w:t>
      </w:r>
      <w:r w:rsidRPr="00D75D2E">
        <w:rPr>
          <w:rFonts w:ascii="Times New Roman" w:hAnsi="Times New Roman"/>
          <w:iCs/>
          <w:sz w:val="24"/>
          <w:szCs w:val="24"/>
        </w:rPr>
        <w:t xml:space="preserve"> ; </w:t>
      </w:r>
      <w:r>
        <w:rPr>
          <w:rFonts w:ascii="Times New Roman" w:hAnsi="Times New Roman"/>
          <w:iCs/>
          <w:sz w:val="24"/>
          <w:szCs w:val="24"/>
        </w:rPr>
        <w:t xml:space="preserve">Kotika </w:t>
      </w:r>
      <w:r w:rsidRPr="00D75D2E">
        <w:rPr>
          <w:rFonts w:ascii="Times New Roman" w:hAnsi="Times New Roman"/>
          <w:iCs/>
          <w:sz w:val="24"/>
          <w:szCs w:val="24"/>
        </w:rPr>
        <w:t xml:space="preserve"> vitesse </w:t>
      </w:r>
      <w:r>
        <w:rPr>
          <w:rFonts w:ascii="Times New Roman" w:hAnsi="Times New Roman"/>
          <w:iCs/>
          <w:sz w:val="24"/>
          <w:szCs w:val="24"/>
        </w:rPr>
        <w:t xml:space="preserve">ya mituka na </w:t>
      </w:r>
      <w:r w:rsidRPr="00D75D2E">
        <w:rPr>
          <w:rFonts w:ascii="Times New Roman" w:hAnsi="Times New Roman"/>
          <w:iCs/>
          <w:sz w:val="24"/>
          <w:szCs w:val="24"/>
        </w:rPr>
        <w:t xml:space="preserve"> 30 km/heure</w:t>
      </w:r>
      <w:r>
        <w:rPr>
          <w:rFonts w:ascii="Times New Roman" w:hAnsi="Times New Roman"/>
          <w:iCs/>
          <w:sz w:val="24"/>
          <w:szCs w:val="24"/>
        </w:rPr>
        <w:t xml:space="preserve"> na nzinga –nzinga ya misala</w:t>
      </w:r>
      <w:r w:rsidRPr="00D75D2E">
        <w:rPr>
          <w:rFonts w:ascii="Times New Roman" w:hAnsi="Times New Roman"/>
          <w:iCs/>
          <w:sz w:val="24"/>
          <w:szCs w:val="24"/>
        </w:rPr>
        <w:t xml:space="preserve"> ; </w:t>
      </w:r>
    </w:p>
    <w:p w14:paraId="5CAF0185" w14:textId="77777777" w:rsidR="00915003" w:rsidRPr="00D67C50"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D67C50">
        <w:rPr>
          <w:rFonts w:ascii="Times New Roman" w:hAnsi="Times New Roman"/>
          <w:sz w:val="24"/>
          <w:szCs w:val="24"/>
        </w:rPr>
        <w:t xml:space="preserve">Kotiya na misala miango ya kosala ya kofuta to kobongisa batu oyo biloko na bango ebebi mpo na misala ; koyebisa, kosolola na bavandi, koluka kotiya bavandi, kokotisa mpeza </w:t>
      </w:r>
      <w:r>
        <w:rPr>
          <w:rFonts w:ascii="Times New Roman" w:hAnsi="Times New Roman"/>
          <w:sz w:val="24"/>
          <w:szCs w:val="24"/>
        </w:rPr>
        <w:t>bavandi liboso misala ebanda.</w:t>
      </w:r>
    </w:p>
    <w:p w14:paraId="40DA3916" w14:textId="77777777" w:rsidR="00915003" w:rsidRDefault="00915003" w:rsidP="00915003">
      <w:pPr>
        <w:tabs>
          <w:tab w:val="left" w:pos="0"/>
        </w:tabs>
        <w:suppressAutoHyphens/>
        <w:spacing w:before="120" w:after="120" w:line="240" w:lineRule="auto"/>
        <w:rPr>
          <w:rFonts w:ascii="Times New Roman" w:hAnsi="Times New Roman"/>
          <w:iCs/>
          <w:sz w:val="24"/>
          <w:szCs w:val="24"/>
        </w:rPr>
      </w:pPr>
      <w:r>
        <w:rPr>
          <w:rFonts w:ascii="Times New Roman" w:eastAsia="Arial Unicode MS" w:hAnsi="Times New Roman"/>
          <w:sz w:val="24"/>
          <w:szCs w:val="24"/>
          <w:lang w:val="fr-CA" w:eastAsia="fr-FR"/>
        </w:rPr>
        <w:t xml:space="preserve">Na eteni ya kosalela </w:t>
      </w:r>
      <w:r>
        <w:rPr>
          <w:rFonts w:ascii="Times New Roman" w:hAnsi="Times New Roman"/>
          <w:iCs/>
          <w:sz w:val="24"/>
          <w:szCs w:val="24"/>
        </w:rPr>
        <w:t xml:space="preserve">SNEL akotiya na misala : </w:t>
      </w:r>
    </w:p>
    <w:p w14:paraId="0ECCDECE" w14:textId="77777777" w:rsidR="00915003"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Kotiya na esika mikano ya HSE oyo eyebanaki na ntango ya misala na ntangu ya kobongisa basinga</w:t>
      </w:r>
    </w:p>
    <w:p w14:paraId="648C4832" w14:textId="77777777" w:rsidR="00915003"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Kobongisa tango nyoso mituka mpe kotala-tala tango nyoso yango</w:t>
      </w:r>
      <w:r w:rsidRPr="00D75D2E">
        <w:rPr>
          <w:rFonts w:ascii="Times New Roman" w:hAnsi="Times New Roman"/>
          <w:iCs/>
          <w:sz w:val="24"/>
          <w:szCs w:val="24"/>
        </w:rPr>
        <w:t xml:space="preserve"> ; </w:t>
      </w:r>
    </w:p>
    <w:p w14:paraId="74BA8B50" w14:textId="77777777" w:rsidR="00915003"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Kotika vitesse ya motuka na</w:t>
      </w:r>
      <w:r w:rsidRPr="00D75D2E">
        <w:rPr>
          <w:rFonts w:ascii="Times New Roman" w:hAnsi="Times New Roman"/>
          <w:iCs/>
          <w:sz w:val="24"/>
          <w:szCs w:val="24"/>
        </w:rPr>
        <w:t xml:space="preserve"> 30 km/heure</w:t>
      </w:r>
      <w:r>
        <w:rPr>
          <w:rFonts w:ascii="Times New Roman" w:hAnsi="Times New Roman"/>
          <w:iCs/>
          <w:sz w:val="24"/>
          <w:szCs w:val="24"/>
        </w:rPr>
        <w:t xml:space="preserve"> na nzinga-nzinga ya musala esalami </w:t>
      </w:r>
    </w:p>
    <w:p w14:paraId="337F8482" w14:textId="77777777" w:rsidR="00915003" w:rsidRPr="00730749"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Kosala miango ya kobatela ya nzela mpe kopanza na bituluku, na oyo etali naino oyo ya bisaleli mpe ya kobongisa.</w:t>
      </w:r>
    </w:p>
    <w:p w14:paraId="3E0B4039" w14:textId="77777777" w:rsidR="00915003" w:rsidRPr="00D75D2E"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M</w:t>
      </w:r>
      <w:r>
        <w:rPr>
          <w:rFonts w:ascii="Times New Roman" w:hAnsi="Times New Roman"/>
          <w:b/>
          <w:sz w:val="24"/>
          <w:szCs w:val="24"/>
          <w:u w:val="single"/>
        </w:rPr>
        <w:t>ikano ya kokitisa makama</w:t>
      </w:r>
    </w:p>
    <w:p w14:paraId="50ABB21B" w14:textId="77777777" w:rsidR="00915003" w:rsidRPr="00D75D2E"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Mikano oyo etali naino bokitisi ya makama oyo ekoki kosalama na nzela ya misala eza</w:t>
      </w:r>
      <w:r w:rsidRPr="00D75D2E">
        <w:rPr>
          <w:rFonts w:ascii="Times New Roman" w:hAnsi="Times New Roman"/>
          <w:sz w:val="24"/>
          <w:szCs w:val="24"/>
        </w:rPr>
        <w:t> :</w:t>
      </w:r>
    </w:p>
    <w:p w14:paraId="65DCA91F"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Kosala miango ya kobatela misala ya maboko</w:t>
      </w:r>
      <w:r w:rsidRPr="00D75D2E">
        <w:rPr>
          <w:rFonts w:ascii="Times New Roman" w:hAnsi="Times New Roman"/>
          <w:sz w:val="24"/>
          <w:szCs w:val="24"/>
        </w:rPr>
        <w:t xml:space="preserve"> (PGMO) </w:t>
      </w:r>
      <w:r>
        <w:rPr>
          <w:rFonts w:ascii="Times New Roman" w:hAnsi="Times New Roman"/>
          <w:sz w:val="24"/>
          <w:szCs w:val="24"/>
        </w:rPr>
        <w:t>na kolandaka botiami ya mibeko oyo etali</w:t>
      </w:r>
      <w:r w:rsidRPr="00D75D2E">
        <w:rPr>
          <w:rFonts w:ascii="Times New Roman" w:hAnsi="Times New Roman"/>
          <w:sz w:val="24"/>
          <w:szCs w:val="24"/>
        </w:rPr>
        <w:t xml:space="preserve"> Code du Travail </w:t>
      </w:r>
      <w:r>
        <w:rPr>
          <w:rFonts w:ascii="Times New Roman" w:hAnsi="Times New Roman"/>
          <w:sz w:val="24"/>
          <w:szCs w:val="24"/>
        </w:rPr>
        <w:t>na ntina ya koboya koswana</w:t>
      </w:r>
      <w:r w:rsidRPr="00D75D2E">
        <w:rPr>
          <w:rFonts w:ascii="Times New Roman" w:hAnsi="Times New Roman"/>
          <w:sz w:val="24"/>
          <w:szCs w:val="24"/>
        </w:rPr>
        <w:t xml:space="preserve">. </w:t>
      </w:r>
    </w:p>
    <w:p w14:paraId="5D50F901"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Kosala miango ya lolenge ya kobomba ba fundi</w:t>
      </w:r>
      <w:r w:rsidRPr="00D75D2E">
        <w:rPr>
          <w:rFonts w:ascii="Times New Roman" w:hAnsi="Times New Roman"/>
          <w:sz w:val="24"/>
          <w:szCs w:val="24"/>
        </w:rPr>
        <w:t xml:space="preserve"> (MGP) </w:t>
      </w:r>
      <w:r>
        <w:rPr>
          <w:rFonts w:ascii="Times New Roman" w:hAnsi="Times New Roman"/>
          <w:sz w:val="24"/>
          <w:szCs w:val="24"/>
        </w:rPr>
        <w:t>na musala, oyo etali kaka VBG</w:t>
      </w:r>
      <w:r w:rsidRPr="00C15259">
        <w:rPr>
          <w:rFonts w:ascii="Times New Roman" w:hAnsi="Times New Roman"/>
          <w:sz w:val="24"/>
          <w:szCs w:val="24"/>
        </w:rPr>
        <w:t xml:space="preserve"> </w:t>
      </w:r>
    </w:p>
    <w:p w14:paraId="066D870A"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Kotiya na nzela ya kompany oyo eko sala misala </w:t>
      </w:r>
      <w:r w:rsidRPr="00E021E8">
        <w:rPr>
          <w:rFonts w:ascii="Times New Roman" w:hAnsi="Times New Roman"/>
          <w:b/>
          <w:sz w:val="24"/>
          <w:szCs w:val="24"/>
        </w:rPr>
        <w:t>lolenge ya kobomba ba fundi ya mokonzi ya musala</w:t>
      </w:r>
      <w:r>
        <w:rPr>
          <w:rFonts w:ascii="Times New Roman" w:hAnsi="Times New Roman"/>
          <w:sz w:val="24"/>
          <w:szCs w:val="24"/>
        </w:rPr>
        <w:t xml:space="preserve"> </w:t>
      </w:r>
      <w:r w:rsidRPr="00D75D2E">
        <w:rPr>
          <w:rFonts w:ascii="Times New Roman" w:hAnsi="Times New Roman"/>
          <w:b/>
          <w:bCs/>
          <w:i/>
          <w:iCs/>
          <w:sz w:val="24"/>
          <w:szCs w:val="24"/>
          <w:lang w:val="fr-CA"/>
        </w:rPr>
        <w:t xml:space="preserve">(MGPE) </w:t>
      </w:r>
      <w:r w:rsidRPr="00E021E8">
        <w:rPr>
          <w:rFonts w:ascii="Times New Roman" w:hAnsi="Times New Roman"/>
          <w:bCs/>
          <w:iCs/>
          <w:sz w:val="24"/>
          <w:szCs w:val="24"/>
          <w:lang w:val="fr-CA"/>
        </w:rPr>
        <w:t>e</w:t>
      </w:r>
      <w:r>
        <w:rPr>
          <w:rFonts w:ascii="Times New Roman" w:hAnsi="Times New Roman"/>
          <w:bCs/>
          <w:iCs/>
          <w:sz w:val="24"/>
          <w:szCs w:val="24"/>
          <w:lang w:val="fr-CA"/>
        </w:rPr>
        <w:t>kopesa nzela ya kobatela mpe kobomba masuana nyoso oyo eko botama</w:t>
      </w:r>
      <w:r w:rsidRPr="00D75D2E">
        <w:rPr>
          <w:rFonts w:ascii="Times New Roman" w:hAnsi="Times New Roman"/>
          <w:sz w:val="24"/>
          <w:szCs w:val="24"/>
        </w:rPr>
        <w:t> ;</w:t>
      </w:r>
    </w:p>
    <w:p w14:paraId="32E23EC9"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Kobongisa mpe kosalela na nzela ya ba kompany miango na bango ya kozwa batu na misala maboko (PGMO) na komekolama ya PGMO ya musala</w:t>
      </w:r>
    </w:p>
    <w:p w14:paraId="2C8F68AE"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Kosalela </w:t>
      </w:r>
      <w:r w:rsidRPr="0059381F">
        <w:rPr>
          <w:rFonts w:ascii="Times New Roman" w:hAnsi="Times New Roman"/>
          <w:b/>
          <w:i/>
          <w:sz w:val="24"/>
          <w:szCs w:val="24"/>
        </w:rPr>
        <w:t>miango ya ndenge nango moko ya kobatela batu na biloko na bango mpe kobatela bokolongono bwa nzoto</w:t>
      </w:r>
      <w:r>
        <w:rPr>
          <w:rFonts w:ascii="Times New Roman" w:hAnsi="Times New Roman"/>
          <w:sz w:val="24"/>
          <w:szCs w:val="24"/>
        </w:rPr>
        <w:t xml:space="preserve"> </w:t>
      </w:r>
      <w:r w:rsidRPr="00D75D2E">
        <w:rPr>
          <w:rFonts w:ascii="Times New Roman" w:hAnsi="Times New Roman"/>
          <w:b/>
          <w:bCs/>
          <w:i/>
          <w:iCs/>
          <w:sz w:val="24"/>
          <w:szCs w:val="24"/>
        </w:rPr>
        <w:t>(PPSPS)</w:t>
      </w:r>
      <w:r w:rsidRPr="00D75D2E">
        <w:rPr>
          <w:rFonts w:ascii="Times New Roman" w:hAnsi="Times New Roman"/>
          <w:b/>
          <w:bCs/>
          <w:i/>
          <w:iCs/>
          <w:sz w:val="24"/>
          <w:szCs w:val="24"/>
          <w:lang w:val="fr-CA"/>
        </w:rPr>
        <w:t xml:space="preserve"> </w:t>
      </w:r>
      <w:r>
        <w:rPr>
          <w:rFonts w:ascii="Times New Roman" w:hAnsi="Times New Roman"/>
          <w:bCs/>
          <w:iCs/>
          <w:sz w:val="24"/>
          <w:szCs w:val="24"/>
          <w:lang w:val="fr-CA"/>
        </w:rPr>
        <w:t>pona kokitisa makama ya musala na tango ya misala na kati na yango kobakisa miango ya kotambola</w:t>
      </w:r>
      <w:r w:rsidRPr="00D75D2E">
        <w:rPr>
          <w:rFonts w:ascii="Times New Roman" w:hAnsi="Times New Roman"/>
          <w:sz w:val="24"/>
          <w:szCs w:val="24"/>
        </w:rPr>
        <w:t xml:space="preserve">, </w:t>
      </w:r>
      <w:r>
        <w:rPr>
          <w:rFonts w:ascii="Times New Roman" w:hAnsi="Times New Roman"/>
          <w:sz w:val="24"/>
          <w:szCs w:val="24"/>
        </w:rPr>
        <w:t>kobongisa tango nyoso mituka</w:t>
      </w:r>
      <w:r w:rsidRPr="00D75D2E">
        <w:rPr>
          <w:rFonts w:ascii="Times New Roman" w:hAnsi="Times New Roman"/>
          <w:sz w:val="24"/>
          <w:szCs w:val="24"/>
        </w:rPr>
        <w:t xml:space="preserve">, </w:t>
      </w:r>
      <w:r>
        <w:rPr>
          <w:rFonts w:ascii="Times New Roman" w:hAnsi="Times New Roman"/>
          <w:sz w:val="24"/>
          <w:szCs w:val="24"/>
        </w:rPr>
        <w:t>bilembo ya kobatela mituka</w:t>
      </w:r>
      <w:r w:rsidRPr="00D75D2E">
        <w:rPr>
          <w:rFonts w:ascii="Times New Roman" w:hAnsi="Times New Roman"/>
          <w:sz w:val="24"/>
          <w:szCs w:val="24"/>
        </w:rPr>
        <w:t xml:space="preserve"> (</w:t>
      </w:r>
      <w:r w:rsidRPr="001E0B8A">
        <w:rPr>
          <w:rFonts w:ascii="Times New Roman" w:hAnsi="Times New Roman"/>
          <w:iCs/>
          <w:sz w:val="24"/>
          <w:szCs w:val="24"/>
        </w:rPr>
        <w:t>panneaux</w:t>
      </w:r>
      <w:r w:rsidRPr="00D75D2E">
        <w:rPr>
          <w:rFonts w:ascii="Times New Roman" w:hAnsi="Times New Roman"/>
          <w:sz w:val="24"/>
          <w:szCs w:val="24"/>
        </w:rPr>
        <w:t xml:space="preserve"> </w:t>
      </w:r>
      <w:r>
        <w:rPr>
          <w:rFonts w:ascii="Times New Roman" w:hAnsi="Times New Roman"/>
          <w:sz w:val="24"/>
          <w:szCs w:val="24"/>
        </w:rPr>
        <w:t>ya kolakisa</w:t>
      </w:r>
      <w:r w:rsidRPr="00D75D2E">
        <w:rPr>
          <w:rFonts w:ascii="Times New Roman" w:hAnsi="Times New Roman"/>
          <w:sz w:val="24"/>
          <w:szCs w:val="24"/>
        </w:rPr>
        <w:t xml:space="preserve">, </w:t>
      </w:r>
      <w:r>
        <w:rPr>
          <w:rFonts w:ascii="Times New Roman" w:hAnsi="Times New Roman"/>
          <w:sz w:val="24"/>
          <w:szCs w:val="24"/>
        </w:rPr>
        <w:t>eloko ya kot</w:t>
      </w:r>
      <w:r w:rsidRPr="00D75D2E">
        <w:rPr>
          <w:rFonts w:ascii="Times New Roman" w:hAnsi="Times New Roman"/>
          <w:sz w:val="24"/>
          <w:szCs w:val="24"/>
        </w:rPr>
        <w:t>a</w:t>
      </w:r>
      <w:r>
        <w:rPr>
          <w:rFonts w:ascii="Times New Roman" w:hAnsi="Times New Roman"/>
          <w:sz w:val="24"/>
          <w:szCs w:val="24"/>
        </w:rPr>
        <w:t>lisa makelele</w:t>
      </w:r>
      <w:r w:rsidRPr="00D75D2E">
        <w:rPr>
          <w:rFonts w:ascii="Times New Roman" w:hAnsi="Times New Roman"/>
          <w:sz w:val="24"/>
          <w:szCs w:val="24"/>
        </w:rPr>
        <w:t xml:space="preserve">, </w:t>
      </w:r>
      <w:r>
        <w:rPr>
          <w:rFonts w:ascii="Times New Roman" w:hAnsi="Times New Roman"/>
          <w:sz w:val="24"/>
          <w:szCs w:val="24"/>
        </w:rPr>
        <w:t>eleko ya kolakisa mwinda</w:t>
      </w:r>
      <w:r w:rsidRPr="00D75D2E">
        <w:rPr>
          <w:rFonts w:ascii="Times New Roman" w:hAnsi="Times New Roman"/>
          <w:sz w:val="24"/>
          <w:szCs w:val="24"/>
        </w:rPr>
        <w:t xml:space="preserve">, </w:t>
      </w:r>
      <w:r>
        <w:rPr>
          <w:rFonts w:ascii="Times New Roman" w:hAnsi="Times New Roman"/>
          <w:sz w:val="24"/>
          <w:szCs w:val="24"/>
        </w:rPr>
        <w:t>eloko ya kolakisa bokitisi ya makelele</w:t>
      </w:r>
      <w:r w:rsidRPr="00D75D2E">
        <w:rPr>
          <w:rFonts w:ascii="Times New Roman" w:hAnsi="Times New Roman"/>
          <w:sz w:val="24"/>
          <w:szCs w:val="24"/>
        </w:rPr>
        <w:t xml:space="preserve"> etc.), </w:t>
      </w:r>
      <w:r>
        <w:rPr>
          <w:rFonts w:ascii="Times New Roman" w:hAnsi="Times New Roman"/>
          <w:sz w:val="24"/>
          <w:szCs w:val="24"/>
        </w:rPr>
        <w:t>Malongi ya batambwisi mituka, kotiya mituka oyo elongobani, mabongisi ya kotambola, koboya komela makaya ya makasi mpe télephone na ntangu ya kotambwisa motuka,  mabongi ya kobomba bisaleli mpe misalelo mpe pitolo, kosala miango ya kosalisa mpe kolongola mutu na ntango ya likama, kotiya n’esika ya musala mpe na mituka makoki ya koboma moto (eseleli ya koboma moto, ekolo ya zelo,</w:t>
      </w:r>
      <w:r w:rsidRPr="00D75D2E">
        <w:rPr>
          <w:rFonts w:ascii="Times New Roman" w:eastAsia="Times New Roman" w:hAnsi="Times New Roman"/>
          <w:sz w:val="24"/>
          <w:szCs w:val="24"/>
          <w:lang w:eastAsia="fr-FR"/>
        </w:rPr>
        <w:t xml:space="preserve"> émulseurs) ;</w:t>
      </w:r>
    </w:p>
    <w:p w14:paraId="14AFB5E1" w14:textId="77777777" w:rsidR="00915003"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sz w:val="24"/>
          <w:szCs w:val="24"/>
        </w:rPr>
        <w:t>Makoki ya kokanisa, kokitisa mpe kopesa mbano ndakisa kobebisa epayi ya bavandi mpe naino babola</w:t>
      </w:r>
      <w:r w:rsidRPr="001E0B8A">
        <w:rPr>
          <w:rFonts w:ascii="Times New Roman" w:hAnsi="Times New Roman"/>
          <w:iCs/>
          <w:sz w:val="24"/>
          <w:szCs w:val="24"/>
        </w:rPr>
        <w:t> ;</w:t>
      </w:r>
    </w:p>
    <w:p w14:paraId="33E123F9" w14:textId="77777777" w:rsidR="00915003" w:rsidRPr="001E0B8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Kosala miango ya VBG ya musala mpe kopanza sango ya MGP na oyo etali naino EAS/HS  na kati ya basali mpe lisanga ;</w:t>
      </w:r>
    </w:p>
    <w:p w14:paraId="5F2DD9E0" w14:textId="77777777" w:rsidR="00915003" w:rsidRPr="00DD0B93"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Kozwa mpe kopanza sango ya</w:t>
      </w:r>
      <w:r w:rsidRPr="00DD0B93">
        <w:rPr>
          <w:rFonts w:ascii="Times New Roman" w:hAnsi="Times New Roman"/>
          <w:iCs/>
          <w:sz w:val="24"/>
          <w:szCs w:val="24"/>
        </w:rPr>
        <w:t xml:space="preserve"> </w:t>
      </w:r>
      <w:r>
        <w:rPr>
          <w:rFonts w:ascii="Times New Roman" w:hAnsi="Times New Roman"/>
          <w:iCs/>
          <w:sz w:val="24"/>
          <w:szCs w:val="24"/>
        </w:rPr>
        <w:t>mokano ya kotambola malamu</w:t>
      </w:r>
      <w:r w:rsidRPr="00DD0B93">
        <w:rPr>
          <w:rFonts w:ascii="Times New Roman" w:hAnsi="Times New Roman"/>
          <w:iCs/>
          <w:sz w:val="24"/>
          <w:szCs w:val="24"/>
        </w:rPr>
        <w:t xml:space="preserve"> </w:t>
      </w:r>
      <w:r>
        <w:rPr>
          <w:rFonts w:ascii="Times New Roman" w:hAnsi="Times New Roman"/>
          <w:iCs/>
          <w:sz w:val="24"/>
          <w:szCs w:val="24"/>
        </w:rPr>
        <w:t>epayi ya basali mpe bavandi</w:t>
      </w:r>
      <w:r w:rsidRPr="00DD0B93">
        <w:rPr>
          <w:rFonts w:ascii="Times New Roman" w:hAnsi="Times New Roman"/>
          <w:iCs/>
          <w:sz w:val="24"/>
          <w:szCs w:val="24"/>
        </w:rPr>
        <w:t> ;</w:t>
      </w:r>
    </w:p>
    <w:p w14:paraId="7D0C5F15" w14:textId="77777777" w:rsidR="00915003" w:rsidRPr="000C6CBB"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iCs/>
          <w:sz w:val="24"/>
          <w:szCs w:val="24"/>
        </w:rPr>
        <w:t>Kosala miango ya koyebisa, kopesa malongi, kopanza sango</w:t>
      </w:r>
      <w:r w:rsidRPr="00DD0B93">
        <w:rPr>
          <w:rFonts w:ascii="Times New Roman" w:hAnsi="Times New Roman"/>
          <w:iCs/>
          <w:sz w:val="24"/>
          <w:szCs w:val="24"/>
        </w:rPr>
        <w:t xml:space="preserve"> (PIEC) </w:t>
      </w:r>
      <w:r>
        <w:rPr>
          <w:rFonts w:ascii="Times New Roman" w:hAnsi="Times New Roman"/>
          <w:iCs/>
          <w:sz w:val="24"/>
          <w:szCs w:val="24"/>
        </w:rPr>
        <w:t>ya bavandi mpe basali na oyo etali</w:t>
      </w:r>
      <w:r>
        <w:rPr>
          <w:rFonts w:ascii="Times New Roman" w:hAnsi="Times New Roman"/>
          <w:sz w:val="24"/>
          <w:szCs w:val="24"/>
        </w:rPr>
        <w:t xml:space="preserve"> IRA, IST mpe</w:t>
      </w:r>
      <w:r w:rsidRPr="00D75D2E">
        <w:rPr>
          <w:rFonts w:ascii="Times New Roman" w:hAnsi="Times New Roman"/>
          <w:sz w:val="24"/>
          <w:szCs w:val="24"/>
        </w:rPr>
        <w:t xml:space="preserve"> VIH-SIDA, VBG et COVID 19</w:t>
      </w:r>
      <w:r w:rsidRPr="00D75D2E">
        <w:rPr>
          <w:rFonts w:ascii="Times New Roman" w:hAnsi="Times New Roman"/>
          <w:iCs/>
          <w:sz w:val="24"/>
          <w:szCs w:val="24"/>
        </w:rPr>
        <w:t>.</w:t>
      </w:r>
    </w:p>
    <w:p w14:paraId="5EA89A5E" w14:textId="77777777" w:rsidR="00915003" w:rsidRPr="00D60172" w:rsidRDefault="00915003" w:rsidP="00215867">
      <w:pPr>
        <w:numPr>
          <w:ilvl w:val="0"/>
          <w:numId w:val="503"/>
        </w:numPr>
        <w:spacing w:before="120" w:after="120" w:line="240" w:lineRule="auto"/>
        <w:ind w:left="0" w:firstLine="142"/>
        <w:jc w:val="both"/>
        <w:rPr>
          <w:rFonts w:ascii="Times New Roman" w:hAnsi="Times New Roman"/>
          <w:b/>
          <w:sz w:val="24"/>
          <w:szCs w:val="24"/>
          <w:u w:val="single"/>
          <w:lang w:val="en-US"/>
        </w:rPr>
      </w:pPr>
      <w:r w:rsidRPr="00D60172">
        <w:rPr>
          <w:rFonts w:ascii="Times New Roman" w:hAnsi="Times New Roman"/>
          <w:b/>
          <w:sz w:val="24"/>
          <w:szCs w:val="24"/>
          <w:u w:val="single"/>
          <w:lang w:val="en-US"/>
        </w:rPr>
        <w:t>Makanisi ya kotiya na kati ya PEES</w:t>
      </w:r>
    </w:p>
    <w:p w14:paraId="0536FE2A" w14:textId="77777777" w:rsidR="00915003" w:rsidRPr="00D60172" w:rsidRDefault="00915003" w:rsidP="00915003">
      <w:pPr>
        <w:suppressAutoHyphens/>
        <w:spacing w:before="120" w:after="120" w:line="240" w:lineRule="auto"/>
        <w:ind w:left="284"/>
        <w:rPr>
          <w:rFonts w:ascii="Times New Roman" w:hAnsi="Times New Roman"/>
          <w:bCs/>
          <w:iCs/>
          <w:sz w:val="24"/>
          <w:szCs w:val="24"/>
          <w:lang w:val="en-US"/>
        </w:rPr>
      </w:pPr>
      <w:r w:rsidRPr="00D60172">
        <w:rPr>
          <w:rFonts w:ascii="Times New Roman" w:hAnsi="Times New Roman"/>
          <w:bCs/>
          <w:iCs/>
          <w:sz w:val="24"/>
          <w:szCs w:val="24"/>
          <w:lang w:val="en-US"/>
        </w:rPr>
        <w:t>Eko tiama na kati ya PEES  kaka :</w:t>
      </w:r>
    </w:p>
    <w:p w14:paraId="29C147F5" w14:textId="77777777" w:rsidR="00915003" w:rsidRPr="000C6CBB"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bCs/>
          <w:iCs/>
          <w:sz w:val="24"/>
          <w:szCs w:val="24"/>
          <w:lang w:val="fr-CA"/>
        </w:rPr>
        <w:t>Bomoko ya kosalela musala eko pesa mitindu ya kobanda misala soki kaka mikanda ya bisika bizingi mokili mpe efandelo ya batu ya motuya ya kompany oyo ekosala misala</w:t>
      </w:r>
      <w:r w:rsidRPr="00E737B4">
        <w:rPr>
          <w:rFonts w:ascii="Times New Roman" w:hAnsi="Times New Roman"/>
          <w:iCs/>
          <w:sz w:val="24"/>
          <w:szCs w:val="24"/>
        </w:rPr>
        <w:t xml:space="preserve"> (PGES chantier, Plan</w:t>
      </w:r>
      <w:r w:rsidRPr="001E0B8A">
        <w:rPr>
          <w:rFonts w:ascii="Times New Roman" w:hAnsi="Times New Roman"/>
          <w:iCs/>
          <w:sz w:val="24"/>
          <w:szCs w:val="24"/>
        </w:rPr>
        <w:t xml:space="preserve"> d’Assurance Environnement (PAE), Plan Particulier de Gestion et d’Elimination des Déchets (PPGED), Plan Particulier de Sécurité et de Protection de la Santé (PPSPS</w:t>
      </w:r>
      <w:r w:rsidRPr="00E737B4">
        <w:rPr>
          <w:rFonts w:ascii="Times New Roman" w:hAnsi="Times New Roman"/>
          <w:iCs/>
          <w:sz w:val="24"/>
          <w:szCs w:val="24"/>
        </w:rPr>
        <w:t xml:space="preserve">), le Mécanisme de Gestion des Plaintes de l’Employeur (MGPE) </w:t>
      </w:r>
      <w:r>
        <w:rPr>
          <w:rFonts w:ascii="Times New Roman" w:hAnsi="Times New Roman"/>
          <w:iCs/>
          <w:sz w:val="24"/>
          <w:szCs w:val="24"/>
        </w:rPr>
        <w:t>endimama mpe ekota na</w:t>
      </w:r>
      <w:r w:rsidRPr="00E737B4">
        <w:rPr>
          <w:rFonts w:ascii="Times New Roman" w:hAnsi="Times New Roman"/>
          <w:iCs/>
          <w:sz w:val="24"/>
          <w:szCs w:val="24"/>
        </w:rPr>
        <w:t xml:space="preserve"> planning </w:t>
      </w:r>
      <w:r>
        <w:rPr>
          <w:rFonts w:ascii="Times New Roman" w:hAnsi="Times New Roman"/>
          <w:iCs/>
          <w:sz w:val="24"/>
          <w:szCs w:val="24"/>
        </w:rPr>
        <w:t>nyoso ya misala</w:t>
      </w:r>
      <w:r w:rsidRPr="00E737B4">
        <w:rPr>
          <w:rFonts w:ascii="Times New Roman" w:hAnsi="Times New Roman"/>
          <w:iCs/>
          <w:sz w:val="24"/>
          <w:szCs w:val="24"/>
        </w:rPr>
        <w:t>;</w:t>
      </w:r>
    </w:p>
    <w:p w14:paraId="76F24C68" w14:textId="77777777" w:rsidR="00915003" w:rsidRPr="002E28D0" w:rsidRDefault="00915003" w:rsidP="00915003">
      <w:pPr>
        <w:numPr>
          <w:ilvl w:val="0"/>
          <w:numId w:val="19"/>
        </w:numPr>
        <w:suppressAutoHyphens/>
        <w:spacing w:after="120" w:line="240" w:lineRule="auto"/>
        <w:ind w:left="641" w:hanging="357"/>
        <w:contextualSpacing/>
        <w:jc w:val="both"/>
        <w:rPr>
          <w:rFonts w:ascii="Times New Roman" w:hAnsi="Times New Roman"/>
          <w:iCs/>
          <w:sz w:val="24"/>
          <w:szCs w:val="24"/>
        </w:rPr>
      </w:pPr>
      <w:r>
        <w:rPr>
          <w:rFonts w:ascii="Times New Roman" w:hAnsi="Times New Roman"/>
          <w:iCs/>
          <w:sz w:val="24"/>
          <w:szCs w:val="24"/>
        </w:rPr>
        <w:t xml:space="preserve">Mituya ya mbongo ya PGES liye ekopesama na bosolo ; miango ya kofuta batu oyo biloko na bango ebebi mpo na musala ekosalama mpe kotiama na misala liboso misala esalama. Bomoko ya kosalela musala ekondimisama soki lolenge ya kotambwisa nsangu mpe kosolola na batu nyoso oyo etali misala bazali kosala mpe kopesa nzela  koyeba bisika bizingi mokili ya musala eko salama mpe bondimi bwango na efandeli ya batu. Batu nyoso oyo etali musala mpe basali bako lakisama na oyo etali kobatela makama ya bisika bizingi mokili na efandeli na batu mpe ya nouveau cadre environnemental et social ya Banki </w:t>
      </w:r>
      <w:r w:rsidRPr="00AE31F1">
        <w:rPr>
          <w:rFonts w:ascii="Times New Roman" w:hAnsi="Times New Roman"/>
          <w:iCs/>
          <w:sz w:val="24"/>
          <w:szCs w:val="24"/>
        </w:rPr>
        <w:t>;</w:t>
      </w:r>
    </w:p>
    <w:p w14:paraId="486A19C8" w14:textId="77777777" w:rsidR="00915003" w:rsidRDefault="00915003" w:rsidP="00915003">
      <w:pPr>
        <w:numPr>
          <w:ilvl w:val="0"/>
          <w:numId w:val="19"/>
        </w:numPr>
        <w:suppressAutoHyphens/>
        <w:spacing w:after="120" w:line="240" w:lineRule="auto"/>
        <w:ind w:left="641" w:hanging="357"/>
        <w:contextualSpacing/>
        <w:jc w:val="both"/>
        <w:rPr>
          <w:rFonts w:ascii="Times New Roman" w:hAnsi="Times New Roman"/>
          <w:iCs/>
          <w:sz w:val="24"/>
          <w:szCs w:val="24"/>
        </w:rPr>
      </w:pPr>
      <w:r>
        <w:rPr>
          <w:rFonts w:ascii="Times New Roman" w:hAnsi="Times New Roman"/>
          <w:iCs/>
          <w:sz w:val="24"/>
          <w:szCs w:val="24"/>
        </w:rPr>
        <w:t>Koluka-luka bisika ya kozwa mabele mpo na musala ekosalama mpe bisika ba kotonga bandaku ya batu ya misala ba kofanda eko salama liboso misala ebanda mpe bambeba ya bisika bizinga mokili na efandeli ya batu eko zala te na tango bako salela PGES to EIES ya muke to PAR mpo na bisika ba kozwa mabele to bisika batu bakofanda</w:t>
      </w:r>
    </w:p>
    <w:p w14:paraId="296BEBFE" w14:textId="77777777" w:rsidR="00915003" w:rsidRDefault="00915003" w:rsidP="00915003">
      <w:pPr>
        <w:numPr>
          <w:ilvl w:val="0"/>
          <w:numId w:val="19"/>
        </w:numPr>
        <w:suppressAutoHyphens/>
        <w:spacing w:after="120" w:line="240" w:lineRule="auto"/>
        <w:ind w:left="641" w:hanging="357"/>
        <w:contextualSpacing/>
        <w:jc w:val="both"/>
        <w:rPr>
          <w:rFonts w:ascii="Times New Roman" w:hAnsi="Times New Roman"/>
          <w:iCs/>
          <w:sz w:val="24"/>
          <w:szCs w:val="24"/>
        </w:rPr>
      </w:pPr>
      <w:r>
        <w:rPr>
          <w:rFonts w:ascii="Times New Roman" w:hAnsi="Times New Roman"/>
          <w:iCs/>
          <w:sz w:val="24"/>
          <w:szCs w:val="24"/>
        </w:rPr>
        <w:t>Lisanga ya bisika ya kozwa mabele ya kosalela misala ebongisami</w:t>
      </w:r>
    </w:p>
    <w:p w14:paraId="2C493D0D"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ako sala mpe kotiya na misala miango ya kobatela batu ya misala (PGMO) kolandisama na PGMO ya musala ;</w:t>
      </w:r>
    </w:p>
    <w:p w14:paraId="10B7E408"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ako sala mpe kotiya na misala miango ya IEC (koyebisa – kolakisa – kopanza sango) ya musala ya bana mike mpe EAS/HS ;</w:t>
      </w:r>
    </w:p>
    <w:p w14:paraId="79B3C53E"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eko koma mpe kosalela miango ya kobatela botamboli mpe kobatela nzela ya motuka ;</w:t>
      </w:r>
    </w:p>
    <w:p w14:paraId="00A2E086" w14:textId="77777777" w:rsidR="00915003" w:rsidRPr="009F5D34" w:rsidRDefault="00915003" w:rsidP="00915003">
      <w:pPr>
        <w:pStyle w:val="Paragraphedeliste"/>
        <w:numPr>
          <w:ilvl w:val="0"/>
          <w:numId w:val="19"/>
        </w:numPr>
        <w:suppressAutoHyphens/>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Ba kompany mpe bazenzeli misala ba kofongola lolenge ya </w:t>
      </w:r>
      <w:r w:rsidRPr="009F5D34">
        <w:rPr>
          <w:rFonts w:ascii="Times New Roman" w:eastAsia="Times New Roman" w:hAnsi="Times New Roman"/>
          <w:sz w:val="24"/>
          <w:szCs w:val="24"/>
        </w:rPr>
        <w:t xml:space="preserve">feedback </w:t>
      </w:r>
      <w:r>
        <w:rPr>
          <w:rFonts w:ascii="Times New Roman" w:eastAsia="Times New Roman" w:hAnsi="Times New Roman"/>
          <w:sz w:val="24"/>
          <w:szCs w:val="24"/>
        </w:rPr>
        <w:t xml:space="preserve">ya lisanga oyo endimami na kofunda ya </w:t>
      </w:r>
      <w:r w:rsidRPr="009F5D34">
        <w:rPr>
          <w:rFonts w:ascii="Times New Roman" w:eastAsia="Times New Roman" w:hAnsi="Times New Roman"/>
          <w:sz w:val="24"/>
          <w:szCs w:val="24"/>
        </w:rPr>
        <w:t>EAS/HS.</w:t>
      </w:r>
    </w:p>
    <w:p w14:paraId="038C380B" w14:textId="77777777" w:rsidR="00915003" w:rsidRPr="00D75D2E"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sidRPr="00D75D2E">
        <w:rPr>
          <w:rFonts w:ascii="Times New Roman" w:hAnsi="Times New Roman"/>
          <w:b/>
          <w:sz w:val="24"/>
          <w:szCs w:val="24"/>
          <w:u w:val="single"/>
        </w:rPr>
        <w:t xml:space="preserve"> </w:t>
      </w:r>
      <w:r>
        <w:rPr>
          <w:rFonts w:ascii="Times New Roman" w:hAnsi="Times New Roman"/>
          <w:b/>
          <w:sz w:val="24"/>
          <w:szCs w:val="24"/>
          <w:u w:val="single"/>
        </w:rPr>
        <w:t>Bilembo ya motuya ya kotambwisa malamu</w:t>
      </w:r>
    </w:p>
    <w:p w14:paraId="354EBCCA" w14:textId="77777777" w:rsidR="00915003" w:rsidRPr="00D75D2E"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Bilembo ya motuya ya kotanga mpo na komeka botambwisi malamu na oyo etali bisika bizingi mokili mpe efandeli ya batu ya musala ezali :</w:t>
      </w:r>
    </w:p>
    <w:p w14:paraId="28AD5899"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100% ya kofunda na oyo efundami ba saleli yango ;</w:t>
      </w:r>
    </w:p>
    <w:p w14:paraId="1D2CBD83"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80% ya ba nzete baloni mpo na kozongisa na oyo ba kataki mpe kokanga mabengi ;</w:t>
      </w:r>
    </w:p>
    <w:p w14:paraId="586F1734"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 xml:space="preserve">ya basali bazali kotosa kolata </w:t>
      </w:r>
      <w:r w:rsidRPr="00D75D2E">
        <w:rPr>
          <w:rFonts w:ascii="Times New Roman" w:hAnsi="Times New Roman"/>
          <w:iCs/>
          <w:sz w:val="24"/>
          <w:szCs w:val="24"/>
        </w:rPr>
        <w:t>EPI ;</w:t>
      </w:r>
    </w:p>
    <w:p w14:paraId="38DA0876"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 xml:space="preserve"> ya masanga ya </w:t>
      </w:r>
      <w:r w:rsidRPr="00D75D2E">
        <w:rPr>
          <w:rFonts w:ascii="Times New Roman" w:hAnsi="Times New Roman"/>
          <w:iCs/>
          <w:sz w:val="24"/>
          <w:szCs w:val="24"/>
        </w:rPr>
        <w:t xml:space="preserve">IEC </w:t>
      </w:r>
      <w:r>
        <w:rPr>
          <w:rFonts w:ascii="Times New Roman" w:hAnsi="Times New Roman"/>
          <w:iCs/>
          <w:sz w:val="24"/>
          <w:szCs w:val="24"/>
        </w:rPr>
        <w:t>elengelamaki esalami kolandisama batu na batu</w:t>
      </w:r>
      <w:r w:rsidRPr="00D75D2E">
        <w:rPr>
          <w:rFonts w:ascii="Times New Roman" w:hAnsi="Times New Roman"/>
          <w:iCs/>
          <w:sz w:val="24"/>
          <w:szCs w:val="24"/>
        </w:rPr>
        <w:t> ;</w:t>
      </w:r>
    </w:p>
    <w:p w14:paraId="1F835B81"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ya batu bazoki mpe bazwami na buku basalisi bango</w:t>
      </w:r>
      <w:r w:rsidRPr="00D75D2E">
        <w:rPr>
          <w:rFonts w:ascii="Times New Roman" w:hAnsi="Times New Roman"/>
          <w:iCs/>
          <w:sz w:val="24"/>
          <w:szCs w:val="24"/>
        </w:rPr>
        <w:t> ;</w:t>
      </w:r>
    </w:p>
    <w:p w14:paraId="0D5A2607"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ya babola oyo ba bebisamaki na nzela ya ko fanda na bango na makasi na batu ya misala ya kompany bayebani mpe basalisi bango</w:t>
      </w:r>
      <w:r w:rsidRPr="00D75D2E">
        <w:rPr>
          <w:rFonts w:ascii="Times New Roman" w:hAnsi="Times New Roman"/>
          <w:iCs/>
          <w:sz w:val="24"/>
          <w:szCs w:val="24"/>
        </w:rPr>
        <w:t> ;</w:t>
      </w:r>
    </w:p>
    <w:p w14:paraId="56719CEE"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 xml:space="preserve"> ya ekolo ya fulu oyo elengelamaki, etiami ;</w:t>
      </w:r>
    </w:p>
    <w:p w14:paraId="5F9E2DC0"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sidRPr="001E0B8A">
        <w:rPr>
          <w:rFonts w:ascii="Times New Roman" w:hAnsi="Times New Roman"/>
          <w:iCs/>
          <w:sz w:val="24"/>
          <w:szCs w:val="24"/>
        </w:rPr>
        <w:t xml:space="preserve">100% </w:t>
      </w:r>
      <w:r>
        <w:rPr>
          <w:rFonts w:ascii="Times New Roman" w:hAnsi="Times New Roman"/>
          <w:iCs/>
          <w:sz w:val="24"/>
          <w:szCs w:val="24"/>
        </w:rPr>
        <w:t xml:space="preserve"> ya bisika ya kozwa mbele ezongi lolenge ezalaki ;</w:t>
      </w:r>
    </w:p>
    <w:p w14:paraId="524E100A" w14:textId="77777777" w:rsidR="00915003" w:rsidRPr="00D75D2E"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100%  ya</w:t>
      </w:r>
      <w:r w:rsidRPr="00D75D2E">
        <w:rPr>
          <w:rFonts w:ascii="Times New Roman" w:hAnsi="Times New Roman"/>
          <w:iCs/>
          <w:sz w:val="24"/>
          <w:szCs w:val="24"/>
        </w:rPr>
        <w:t xml:space="preserve"> PAP </w:t>
      </w:r>
      <w:r>
        <w:rPr>
          <w:rFonts w:ascii="Times New Roman" w:hAnsi="Times New Roman"/>
          <w:iCs/>
          <w:sz w:val="24"/>
          <w:szCs w:val="24"/>
        </w:rPr>
        <w:t>ba futami ;</w:t>
      </w:r>
    </w:p>
    <w:p w14:paraId="17CA420D"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100%  ya PAP oyo ba ponamaki bongo na bongo ba ndimi esalelo ya kobatela ba fundi.</w:t>
      </w:r>
    </w:p>
    <w:p w14:paraId="4554AE36" w14:textId="77777777" w:rsidR="00915003" w:rsidRPr="00D60172" w:rsidRDefault="00915003" w:rsidP="00215867">
      <w:pPr>
        <w:numPr>
          <w:ilvl w:val="0"/>
          <w:numId w:val="503"/>
        </w:numPr>
        <w:spacing w:before="120" w:after="120" w:line="240" w:lineRule="auto"/>
        <w:ind w:left="0" w:firstLine="142"/>
        <w:jc w:val="both"/>
        <w:rPr>
          <w:rFonts w:ascii="Times New Roman" w:hAnsi="Times New Roman"/>
          <w:b/>
          <w:sz w:val="24"/>
          <w:szCs w:val="24"/>
          <w:u w:val="single"/>
          <w:lang w:val="en-US"/>
        </w:rPr>
      </w:pPr>
      <w:r w:rsidRPr="00D60172">
        <w:rPr>
          <w:rFonts w:ascii="Times New Roman" w:hAnsi="Times New Roman"/>
          <w:b/>
          <w:sz w:val="24"/>
          <w:szCs w:val="24"/>
          <w:u w:val="single"/>
          <w:lang w:val="en-US"/>
        </w:rPr>
        <w:t xml:space="preserve"> Lolenge ya kobatela ba fundi oyo eyebani makasi na oyo etali l’EAS/HS</w:t>
      </w:r>
    </w:p>
    <w:p w14:paraId="5CAC1E04" w14:textId="77777777" w:rsidR="00915003" w:rsidRPr="00D60172" w:rsidRDefault="00915003" w:rsidP="00915003">
      <w:pPr>
        <w:suppressAutoHyphens/>
        <w:spacing w:before="120" w:after="120" w:line="240" w:lineRule="auto"/>
        <w:ind w:left="284"/>
        <w:jc w:val="both"/>
        <w:rPr>
          <w:rFonts w:ascii="Times New Roman" w:hAnsi="Times New Roman"/>
          <w:sz w:val="24"/>
          <w:szCs w:val="24"/>
          <w:lang w:val="en-US"/>
        </w:rPr>
      </w:pPr>
      <w:r w:rsidRPr="00D60172">
        <w:rPr>
          <w:rFonts w:ascii="Times New Roman" w:hAnsi="Times New Roman"/>
          <w:sz w:val="24"/>
          <w:szCs w:val="24"/>
          <w:lang w:val="en-US"/>
        </w:rPr>
        <w:t>Na nzela ya misala ya lotiliki na bisika na molili, bopeto, kobongisa mpe kosala engebene ba singa ya SNEL na bokambami ya Kinshasa Centre mpe Ouest ya misala ya kotiya mpa kobongisa misala ya lotiliki (PAASE), eza na mabongisi kala ya kobomba ba fundi oyo etiami na musala pona :</w:t>
      </w:r>
    </w:p>
    <w:p w14:paraId="52085578"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bCs/>
          <w:sz w:val="24"/>
          <w:szCs w:val="24"/>
          <w:lang w:val="en-US"/>
        </w:rPr>
        <w:t>Kobongisa masuana na kimoninga, mpo na yango kosolola kati na mufundi na musala, mpe ko sunga ba nzela misusu kati na yango kaka kofunda te na mbula-matari pona kopesa nzela na oyo afundi aloba makambu na ye. Kolongola makama oyo etali VBG oyo elengelami te na mabongisami ya kimoninga</w:t>
      </w:r>
      <w:r w:rsidRPr="00D60172">
        <w:rPr>
          <w:rFonts w:ascii="Times New Roman" w:hAnsi="Times New Roman"/>
          <w:iCs/>
          <w:sz w:val="24"/>
          <w:szCs w:val="24"/>
          <w:lang w:val="en-US"/>
        </w:rPr>
        <w:t>.</w:t>
      </w:r>
    </w:p>
    <w:p w14:paraId="24C3CA84"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bCs/>
          <w:sz w:val="24"/>
          <w:szCs w:val="24"/>
          <w:lang w:val="en-US"/>
        </w:rPr>
      </w:pPr>
      <w:r w:rsidRPr="00D60172">
        <w:rPr>
          <w:rFonts w:ascii="Times New Roman" w:hAnsi="Times New Roman"/>
          <w:iCs/>
          <w:sz w:val="24"/>
          <w:szCs w:val="24"/>
          <w:lang w:val="en-US"/>
        </w:rPr>
        <w:t>Na kotala na botosi, na kati na yango kondima ete musala esalami kolandisama politiki ya malamu ya Banki mpe mibeko ya mboka</w:t>
      </w:r>
      <w:r w:rsidRPr="00D60172">
        <w:rPr>
          <w:rFonts w:ascii="Times New Roman" w:hAnsi="Times New Roman"/>
          <w:bCs/>
          <w:sz w:val="24"/>
          <w:szCs w:val="24"/>
          <w:lang w:val="en-US"/>
        </w:rPr>
        <w:t xml:space="preserve">. </w:t>
      </w:r>
    </w:p>
    <w:p w14:paraId="063CEF57" w14:textId="77777777" w:rsidR="00915003" w:rsidRPr="00D60172" w:rsidRDefault="00915003" w:rsidP="00915003">
      <w:pPr>
        <w:suppressAutoHyphens/>
        <w:spacing w:before="120" w:after="120" w:line="240" w:lineRule="auto"/>
        <w:ind w:left="284"/>
        <w:rPr>
          <w:rFonts w:ascii="Times New Roman" w:hAnsi="Times New Roman"/>
          <w:sz w:val="24"/>
          <w:szCs w:val="24"/>
          <w:lang w:val="en-US"/>
        </w:rPr>
      </w:pPr>
      <w:r w:rsidRPr="00D60172">
        <w:rPr>
          <w:rFonts w:ascii="Times New Roman" w:hAnsi="Times New Roman"/>
          <w:sz w:val="24"/>
          <w:szCs w:val="24"/>
          <w:lang w:val="en-US"/>
        </w:rPr>
        <w:t xml:space="preserve">Na lolenge ya mike-mike, MGP liye epesi nzela ya: </w:t>
      </w:r>
    </w:p>
    <w:p w14:paraId="6AB697B9"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bCs/>
          <w:sz w:val="24"/>
          <w:szCs w:val="24"/>
          <w:lang w:val="en-US"/>
        </w:rPr>
        <w:t>Kolamusa mayele ya leta na maye matali musala mpe kobakisa ntaka ya basangani na kati ya musala ;</w:t>
      </w:r>
      <w:r w:rsidRPr="00D60172">
        <w:rPr>
          <w:rFonts w:ascii="Times New Roman" w:hAnsi="Times New Roman"/>
          <w:iCs/>
          <w:sz w:val="24"/>
          <w:szCs w:val="24"/>
          <w:lang w:val="en-US"/>
        </w:rPr>
        <w:t xml:space="preserve"> </w:t>
      </w:r>
    </w:p>
    <w:p w14:paraId="79E77A1B"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 xml:space="preserve">Koyeba  makambu kalandisama lolenge ekosalama mpe koyanola liboso ebeba ;  </w:t>
      </w:r>
    </w:p>
    <w:p w14:paraId="40445F36"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 xml:space="preserve">Kotiya mpo na basali, masanga oyo biloko ebebi to oyo okoki kobebisa pe biloko mpo na musala, makoki ya kofunda na nzela ya kokotisa, noki, mpe makasi mpe endimami na bokoko ; </w:t>
      </w:r>
    </w:p>
    <w:p w14:paraId="1A0568C5"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 xml:space="preserve">Kosakola moyibi, madeso ya bana mpe makama ya EAS/HS (na ntangu ya kosalela musala) ; </w:t>
      </w:r>
    </w:p>
    <w:p w14:paraId="5C911259" w14:textId="77777777" w:rsidR="00915003" w:rsidRPr="00365C77"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Kobakisa misala ya batu nyoso ya misala ;</w:t>
      </w:r>
    </w:p>
    <w:p w14:paraId="4479D6CB"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bCs/>
          <w:sz w:val="24"/>
          <w:szCs w:val="24"/>
        </w:rPr>
      </w:pPr>
      <w:r>
        <w:rPr>
          <w:rFonts w:ascii="Times New Roman" w:hAnsi="Times New Roman"/>
          <w:iCs/>
          <w:sz w:val="24"/>
          <w:szCs w:val="24"/>
        </w:rPr>
        <w:t>Kotanga, kotiya na nkoma mpe kopesa biyano oyo ekokani mpo na oyo bafund</w:t>
      </w:r>
      <w:r w:rsidRPr="00D8156A">
        <w:rPr>
          <w:rFonts w:ascii="Times New Roman" w:hAnsi="Times New Roman"/>
          <w:iCs/>
          <w:sz w:val="24"/>
          <w:szCs w:val="24"/>
        </w:rPr>
        <w:t>i</w:t>
      </w:r>
      <w:r w:rsidRPr="00D8156A">
        <w:rPr>
          <w:rFonts w:ascii="Times New Roman" w:hAnsi="Times New Roman"/>
          <w:bCs/>
          <w:sz w:val="24"/>
          <w:szCs w:val="24"/>
        </w:rPr>
        <w:t>.</w:t>
      </w:r>
    </w:p>
    <w:p w14:paraId="11320A42" w14:textId="77777777" w:rsidR="00915003" w:rsidRPr="00D8156A"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Ntaka misatu epesi nzela na kati ya</w:t>
      </w:r>
      <w:r w:rsidRPr="00D8156A">
        <w:rPr>
          <w:rFonts w:ascii="Times New Roman" w:hAnsi="Times New Roman"/>
          <w:sz w:val="24"/>
          <w:szCs w:val="24"/>
        </w:rPr>
        <w:t xml:space="preserve"> MGP. </w:t>
      </w:r>
    </w:p>
    <w:p w14:paraId="47C037A7" w14:textId="77777777" w:rsidR="00915003" w:rsidRPr="00D8156A"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Ntaka ya yambo eza ya lingomba ya kobatela oyo bafundi, na ntaka ya kati-kati eza lisanga ya kobatela mpe ntaka ya suka etali musala.</w:t>
      </w:r>
    </w:p>
    <w:p w14:paraId="3423EBEB" w14:textId="77777777" w:rsidR="00915003" w:rsidRPr="00D8156A"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Kofunda etindami na</w:t>
      </w:r>
      <w:r w:rsidRPr="00D8156A">
        <w:rPr>
          <w:rFonts w:ascii="Times New Roman" w:hAnsi="Times New Roman"/>
          <w:sz w:val="24"/>
          <w:szCs w:val="24"/>
        </w:rPr>
        <w:t xml:space="preserve"> UCM </w:t>
      </w:r>
      <w:r>
        <w:rPr>
          <w:rFonts w:ascii="Times New Roman" w:hAnsi="Times New Roman"/>
          <w:sz w:val="24"/>
          <w:szCs w:val="24"/>
        </w:rPr>
        <w:t>na nzela ya kalaki (secretaria)</w:t>
      </w:r>
      <w:r w:rsidRPr="00D8156A">
        <w:rPr>
          <w:rFonts w:ascii="Times New Roman" w:hAnsi="Times New Roman"/>
          <w:sz w:val="24"/>
          <w:szCs w:val="24"/>
        </w:rPr>
        <w:t xml:space="preserve">. </w:t>
      </w:r>
      <w:r>
        <w:rPr>
          <w:rFonts w:ascii="Times New Roman" w:hAnsi="Times New Roman"/>
          <w:sz w:val="24"/>
          <w:szCs w:val="24"/>
        </w:rPr>
        <w:t>Batu ya nzebi na oyo etali bisika bizingi mokili  mpe oyo ya kobakisa efandeli ya batu bako tiya na misala mibeko miye</w:t>
      </w:r>
      <w:r w:rsidRPr="00D8156A">
        <w:rPr>
          <w:rFonts w:ascii="Times New Roman" w:hAnsi="Times New Roman"/>
          <w:sz w:val="24"/>
          <w:szCs w:val="24"/>
        </w:rPr>
        <w:t> </w:t>
      </w:r>
    </w:p>
    <w:p w14:paraId="611E5F93"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bCs/>
          <w:sz w:val="24"/>
          <w:szCs w:val="24"/>
        </w:rPr>
        <w:t>Koyamba mpe kokoma na buku ya kofunda ;</w:t>
      </w:r>
    </w:p>
    <w:p w14:paraId="654575FF"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Kolakisa nzela ya kufunda na bisika malamu penza ;</w:t>
      </w:r>
      <w:r w:rsidRPr="00D8156A">
        <w:rPr>
          <w:rFonts w:ascii="Times New Roman" w:hAnsi="Times New Roman"/>
          <w:iCs/>
          <w:sz w:val="24"/>
          <w:szCs w:val="24"/>
        </w:rPr>
        <w:t xml:space="preserve">  </w:t>
      </w:r>
    </w:p>
    <w:p w14:paraId="34CCB18C"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 xml:space="preserve">Koyebisa mbala moko </w:t>
      </w:r>
      <w:r w:rsidRPr="00D8156A">
        <w:rPr>
          <w:rFonts w:ascii="Times New Roman" w:hAnsi="Times New Roman"/>
          <w:iCs/>
          <w:sz w:val="24"/>
          <w:szCs w:val="24"/>
        </w:rPr>
        <w:t>Ban</w:t>
      </w:r>
      <w:r>
        <w:rPr>
          <w:rFonts w:ascii="Times New Roman" w:hAnsi="Times New Roman"/>
          <w:iCs/>
          <w:sz w:val="24"/>
          <w:szCs w:val="24"/>
        </w:rPr>
        <w:t>ki na kati ya</w:t>
      </w:r>
      <w:r w:rsidRPr="00D8156A">
        <w:rPr>
          <w:rFonts w:ascii="Times New Roman" w:hAnsi="Times New Roman"/>
          <w:iCs/>
          <w:sz w:val="24"/>
          <w:szCs w:val="24"/>
        </w:rPr>
        <w:t xml:space="preserve"> 24 heures </w:t>
      </w:r>
      <w:r>
        <w:rPr>
          <w:rFonts w:ascii="Times New Roman" w:hAnsi="Times New Roman"/>
          <w:iCs/>
          <w:sz w:val="24"/>
          <w:szCs w:val="24"/>
        </w:rPr>
        <w:t>makama ya makasi</w:t>
      </w:r>
      <w:r w:rsidRPr="00D8156A">
        <w:rPr>
          <w:rFonts w:ascii="Times New Roman" w:hAnsi="Times New Roman"/>
          <w:iCs/>
          <w:sz w:val="24"/>
          <w:szCs w:val="24"/>
        </w:rPr>
        <w:t xml:space="preserve"> (</w:t>
      </w:r>
      <w:r>
        <w:rPr>
          <w:rFonts w:ascii="Times New Roman" w:hAnsi="Times New Roman"/>
          <w:iCs/>
          <w:sz w:val="24"/>
          <w:szCs w:val="24"/>
        </w:rPr>
        <w:t xml:space="preserve">liwa ya mutu moko, oyo etali VBG mpe </w:t>
      </w:r>
      <w:r w:rsidRPr="00D8156A">
        <w:rPr>
          <w:rFonts w:ascii="Times New Roman" w:hAnsi="Times New Roman"/>
          <w:iCs/>
          <w:sz w:val="24"/>
          <w:szCs w:val="24"/>
        </w:rPr>
        <w:t xml:space="preserve">AES) </w:t>
      </w:r>
      <w:r>
        <w:rPr>
          <w:rFonts w:ascii="Times New Roman" w:hAnsi="Times New Roman"/>
          <w:iCs/>
          <w:sz w:val="24"/>
          <w:szCs w:val="24"/>
        </w:rPr>
        <w:t>mpe ndenge bako salela</w:t>
      </w:r>
      <w:r w:rsidRPr="00D8156A">
        <w:rPr>
          <w:rFonts w:ascii="Times New Roman" w:hAnsi="Times New Roman"/>
          <w:iCs/>
          <w:sz w:val="24"/>
          <w:szCs w:val="24"/>
        </w:rPr>
        <w:t xml:space="preserve">. </w:t>
      </w:r>
    </w:p>
    <w:p w14:paraId="2BC40FA4"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Kolanda ko funda</w:t>
      </w:r>
    </w:p>
    <w:p w14:paraId="1B98E0DF" w14:textId="77777777" w:rsidR="00915003" w:rsidRPr="00D8156A" w:rsidRDefault="00915003" w:rsidP="00915003">
      <w:pPr>
        <w:suppressAutoHyphens/>
        <w:spacing w:before="120" w:after="120" w:line="240" w:lineRule="auto"/>
        <w:ind w:left="284"/>
        <w:rPr>
          <w:rFonts w:ascii="Times New Roman" w:hAnsi="Times New Roman"/>
          <w:sz w:val="24"/>
          <w:szCs w:val="24"/>
        </w:rPr>
      </w:pPr>
      <w:r>
        <w:rPr>
          <w:rFonts w:ascii="Times New Roman" w:hAnsi="Times New Roman"/>
          <w:sz w:val="24"/>
          <w:szCs w:val="24"/>
        </w:rPr>
        <w:t xml:space="preserve">Na oyo etali kofunda to makama ya EAS/HS  mosali ya </w:t>
      </w:r>
      <w:r w:rsidRPr="00D8156A">
        <w:rPr>
          <w:rFonts w:ascii="Times New Roman" w:hAnsi="Times New Roman"/>
          <w:sz w:val="24"/>
          <w:szCs w:val="24"/>
        </w:rPr>
        <w:t xml:space="preserve">UCM </w:t>
      </w:r>
      <w:r>
        <w:rPr>
          <w:rFonts w:ascii="Times New Roman" w:hAnsi="Times New Roman"/>
          <w:sz w:val="24"/>
          <w:szCs w:val="24"/>
        </w:rPr>
        <w:t xml:space="preserve">na oyo etali </w:t>
      </w:r>
      <w:r w:rsidRPr="00D8156A">
        <w:rPr>
          <w:rFonts w:ascii="Times New Roman" w:hAnsi="Times New Roman"/>
          <w:sz w:val="24"/>
          <w:szCs w:val="24"/>
        </w:rPr>
        <w:t xml:space="preserve">VBG </w:t>
      </w:r>
      <w:r>
        <w:rPr>
          <w:rFonts w:ascii="Times New Roman" w:hAnsi="Times New Roman"/>
          <w:sz w:val="24"/>
          <w:szCs w:val="24"/>
        </w:rPr>
        <w:t>ako yamba, koyanola, kolanda, kosala lapor mpe kopanza sango ya likama na  Banki ya molono Mobimba (IDA) na nzela ya</w:t>
      </w:r>
      <w:r w:rsidRPr="00D8156A">
        <w:rPr>
          <w:rFonts w:ascii="Times New Roman" w:hAnsi="Times New Roman"/>
          <w:sz w:val="24"/>
          <w:szCs w:val="24"/>
        </w:rPr>
        <w:t xml:space="preserve"> TTL </w:t>
      </w:r>
      <w:r>
        <w:rPr>
          <w:rFonts w:ascii="Times New Roman" w:hAnsi="Times New Roman"/>
          <w:iCs/>
          <w:sz w:val="24"/>
          <w:szCs w:val="24"/>
        </w:rPr>
        <w:t>na kati ya</w:t>
      </w:r>
      <w:r w:rsidRPr="00D8156A">
        <w:rPr>
          <w:rFonts w:ascii="Times New Roman" w:hAnsi="Times New Roman"/>
          <w:iCs/>
          <w:sz w:val="24"/>
          <w:szCs w:val="24"/>
        </w:rPr>
        <w:t xml:space="preserve"> 24 heures</w:t>
      </w:r>
      <w:r w:rsidRPr="00D8156A">
        <w:rPr>
          <w:rFonts w:ascii="Times New Roman" w:hAnsi="Times New Roman"/>
          <w:sz w:val="24"/>
          <w:szCs w:val="24"/>
        </w:rPr>
        <w:t xml:space="preserve">. </w:t>
      </w:r>
    </w:p>
    <w:p w14:paraId="52F779C4" w14:textId="77777777" w:rsidR="00915003" w:rsidRPr="00D8156A" w:rsidRDefault="00915003" w:rsidP="00915003">
      <w:pPr>
        <w:suppressAutoHyphens/>
        <w:spacing w:before="120" w:after="120" w:line="240" w:lineRule="auto"/>
        <w:ind w:left="284"/>
        <w:rPr>
          <w:rFonts w:ascii="Times New Roman" w:hAnsi="Times New Roman"/>
          <w:sz w:val="24"/>
          <w:szCs w:val="24"/>
        </w:rPr>
      </w:pPr>
      <w:r w:rsidRPr="00D8156A">
        <w:rPr>
          <w:rFonts w:ascii="Times New Roman" w:hAnsi="Times New Roman"/>
          <w:sz w:val="24"/>
          <w:szCs w:val="24"/>
        </w:rPr>
        <w:t>L</w:t>
      </w:r>
      <w:r>
        <w:rPr>
          <w:rFonts w:ascii="Times New Roman" w:hAnsi="Times New Roman"/>
          <w:sz w:val="24"/>
          <w:szCs w:val="24"/>
        </w:rPr>
        <w:t>isanga ya kobomba kofunda ezali kosalela mikano ya</w:t>
      </w:r>
      <w:r w:rsidRPr="00D8156A">
        <w:rPr>
          <w:rFonts w:ascii="Times New Roman" w:hAnsi="Times New Roman"/>
          <w:sz w:val="24"/>
          <w:szCs w:val="24"/>
        </w:rPr>
        <w:t xml:space="preserve"> MGP. </w:t>
      </w:r>
      <w:r>
        <w:rPr>
          <w:rFonts w:ascii="Times New Roman" w:hAnsi="Times New Roman"/>
          <w:sz w:val="24"/>
          <w:szCs w:val="24"/>
        </w:rPr>
        <w:t>Na kati ya misala na yango ya kotala makambo bafundi kolongola oyo etali</w:t>
      </w:r>
      <w:r w:rsidRPr="00D8156A">
        <w:rPr>
          <w:rFonts w:ascii="Times New Roman" w:hAnsi="Times New Roman"/>
          <w:sz w:val="24"/>
          <w:szCs w:val="24"/>
        </w:rPr>
        <w:t xml:space="preserve"> EAS/HS </w:t>
      </w:r>
      <w:r>
        <w:rPr>
          <w:rFonts w:ascii="Times New Roman" w:hAnsi="Times New Roman"/>
          <w:sz w:val="24"/>
          <w:szCs w:val="24"/>
        </w:rPr>
        <w:t>oyo ba tindeli ye, aza na mbano</w:t>
      </w:r>
      <w:r w:rsidRPr="00D8156A">
        <w:rPr>
          <w:rFonts w:ascii="Times New Roman" w:hAnsi="Times New Roman"/>
          <w:sz w:val="24"/>
          <w:szCs w:val="24"/>
        </w:rPr>
        <w:t> :</w:t>
      </w:r>
    </w:p>
    <w:p w14:paraId="7B073B3A"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sz w:val="24"/>
          <w:szCs w:val="24"/>
        </w:rPr>
        <w:t>Ya kotambwisa mikano ya kosalela kofunda ;</w:t>
      </w:r>
    </w:p>
    <w:p w14:paraId="5F7816E8" w14:textId="77777777" w:rsidR="00915003" w:rsidRPr="00D8156A" w:rsidRDefault="00915003" w:rsidP="00915003">
      <w:pPr>
        <w:numPr>
          <w:ilvl w:val="0"/>
          <w:numId w:val="19"/>
        </w:numPr>
        <w:suppressAutoHyphens/>
        <w:spacing w:after="0" w:line="240" w:lineRule="auto"/>
        <w:contextualSpacing/>
        <w:jc w:val="both"/>
        <w:rPr>
          <w:rFonts w:ascii="Times New Roman" w:hAnsi="Times New Roman"/>
          <w:iCs/>
          <w:sz w:val="24"/>
          <w:szCs w:val="24"/>
        </w:rPr>
      </w:pPr>
      <w:r>
        <w:rPr>
          <w:rFonts w:ascii="Times New Roman" w:hAnsi="Times New Roman"/>
          <w:iCs/>
          <w:sz w:val="24"/>
          <w:szCs w:val="24"/>
        </w:rPr>
        <w:t>Ya kosangisa mpe kotala mayebisi oyo ezali kati ya kofundama ;</w:t>
      </w:r>
    </w:p>
    <w:p w14:paraId="1D139F6B"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Kokata makambu na kosala yango engebene na kimoninga ;</w:t>
      </w:r>
    </w:p>
    <w:p w14:paraId="14D79D3F"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Ya kotiya na ba nkoma biyano mpe mikano ya koyanola makambo ba fundi ;</w:t>
      </w:r>
    </w:p>
    <w:p w14:paraId="2EB83767"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iCs/>
          <w:sz w:val="24"/>
          <w:szCs w:val="24"/>
          <w:lang w:val="en-US"/>
        </w:rPr>
      </w:pPr>
      <w:r w:rsidRPr="00D60172">
        <w:rPr>
          <w:rFonts w:ascii="Times New Roman" w:hAnsi="Times New Roman"/>
          <w:iCs/>
          <w:sz w:val="24"/>
          <w:szCs w:val="24"/>
          <w:lang w:val="en-US"/>
        </w:rPr>
        <w:t>Kokoma biyano mpo na oy’afundaki ;</w:t>
      </w:r>
    </w:p>
    <w:p w14:paraId="6C324920" w14:textId="77777777" w:rsidR="00915003" w:rsidRPr="00D60172" w:rsidRDefault="00915003" w:rsidP="00915003">
      <w:pPr>
        <w:numPr>
          <w:ilvl w:val="0"/>
          <w:numId w:val="19"/>
        </w:numPr>
        <w:suppressAutoHyphens/>
        <w:spacing w:after="0" w:line="240" w:lineRule="auto"/>
        <w:contextualSpacing/>
        <w:jc w:val="both"/>
        <w:rPr>
          <w:rFonts w:ascii="Times New Roman" w:hAnsi="Times New Roman"/>
          <w:sz w:val="24"/>
          <w:szCs w:val="24"/>
          <w:lang w:val="en-US"/>
        </w:rPr>
      </w:pPr>
      <w:r w:rsidRPr="00D60172">
        <w:rPr>
          <w:rFonts w:ascii="Times New Roman" w:hAnsi="Times New Roman"/>
          <w:sz w:val="24"/>
          <w:szCs w:val="24"/>
          <w:lang w:val="en-US"/>
        </w:rPr>
        <w:t>Ya kolanda mpe kokamba misala ya MGP na esika ya musala.</w:t>
      </w:r>
    </w:p>
    <w:p w14:paraId="602C413E" w14:textId="77777777" w:rsidR="00915003" w:rsidRPr="00D60172" w:rsidRDefault="00915003" w:rsidP="00915003">
      <w:pPr>
        <w:suppressAutoHyphens/>
        <w:spacing w:before="120" w:after="120" w:line="240" w:lineRule="auto"/>
        <w:ind w:left="284"/>
        <w:jc w:val="both"/>
        <w:rPr>
          <w:rFonts w:ascii="Times New Roman" w:hAnsi="Times New Roman"/>
          <w:sz w:val="24"/>
          <w:szCs w:val="24"/>
          <w:lang w:val="en-US"/>
        </w:rPr>
      </w:pPr>
      <w:r w:rsidRPr="00D60172">
        <w:rPr>
          <w:rFonts w:ascii="Times New Roman" w:hAnsi="Times New Roman"/>
          <w:sz w:val="24"/>
          <w:szCs w:val="24"/>
          <w:lang w:val="en-US"/>
        </w:rPr>
        <w:t>Na kati misala na ye, ako sungama na masanga ya ba mboka oyo eko zala na kati ya bisika ya bokotisa makambo ya kofunda ya EAS/HS mpo na musala liye. Na bisika nzike ya kokotisa ya MGP EAS/HS ekopesa nzela ya kobatela bokotisi pamba-pamba mpe kobatela lisanga. Bisika ya kokota maye ezali lokola masanga ya mboka, bisika ya kozwa mino (lopitalo), ba salisi misala na nzinga-nzinga, mabongisi ya yambo ya bavandi, etc</w:t>
      </w:r>
    </w:p>
    <w:p w14:paraId="1CCFC1AA" w14:textId="77777777" w:rsidR="00915003" w:rsidRPr="00D60172" w:rsidRDefault="00915003" w:rsidP="00915003">
      <w:pPr>
        <w:suppressAutoHyphens/>
        <w:spacing w:before="120" w:after="120" w:line="240" w:lineRule="auto"/>
        <w:ind w:left="284"/>
        <w:jc w:val="both"/>
        <w:rPr>
          <w:rFonts w:ascii="Times New Roman" w:hAnsi="Times New Roman"/>
          <w:sz w:val="24"/>
          <w:szCs w:val="24"/>
          <w:lang w:val="en-US"/>
        </w:rPr>
      </w:pPr>
      <w:r w:rsidRPr="00D60172">
        <w:rPr>
          <w:rFonts w:ascii="Times New Roman" w:hAnsi="Times New Roman"/>
          <w:sz w:val="24"/>
          <w:szCs w:val="24"/>
          <w:lang w:val="en-US"/>
        </w:rPr>
        <w:t xml:space="preserve">Na ntaka ya mboka mangomba ya yambo ezali na moko ya motindami ya quartier, ya mboka to groupement, motindami ya basi mpe mibale ya bilenge (moko elenge mobali mpe elenge ya mwasi moko), ba kosangana – masanga ya mboka ya kobomba makambo oyo bafundi. </w:t>
      </w:r>
    </w:p>
    <w:p w14:paraId="69455DF0" w14:textId="77777777" w:rsidR="00915003" w:rsidRPr="00215867" w:rsidRDefault="00915003" w:rsidP="00915003">
      <w:pPr>
        <w:suppressAutoHyphens/>
        <w:spacing w:before="120" w:after="120" w:line="240" w:lineRule="auto"/>
        <w:ind w:left="284"/>
        <w:jc w:val="both"/>
        <w:rPr>
          <w:rFonts w:ascii="Times New Roman" w:hAnsi="Times New Roman"/>
          <w:sz w:val="24"/>
          <w:szCs w:val="24"/>
          <w:lang w:val="en-US"/>
        </w:rPr>
      </w:pPr>
      <w:r w:rsidRPr="00215867">
        <w:rPr>
          <w:rFonts w:ascii="Times New Roman" w:hAnsi="Times New Roman"/>
          <w:sz w:val="24"/>
          <w:szCs w:val="24"/>
          <w:lang w:val="en-US"/>
        </w:rPr>
        <w:t>Bako salisa batu oyo bazali na makoki te ya kokoma mpe kotinda mafunda na bango na lisanga ya kobomba makambo ba fundi.</w:t>
      </w:r>
    </w:p>
    <w:p w14:paraId="2531AF75" w14:textId="77777777" w:rsidR="00915003" w:rsidRPr="00D8156A"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Pr>
          <w:rFonts w:ascii="Times New Roman" w:hAnsi="Times New Roman"/>
          <w:b/>
          <w:sz w:val="24"/>
          <w:szCs w:val="24"/>
          <w:u w:val="single"/>
        </w:rPr>
        <w:t>Musala ya kosalela mpe kolanda</w:t>
      </w:r>
      <w:r w:rsidRPr="00D8156A">
        <w:rPr>
          <w:rFonts w:ascii="Times New Roman" w:hAnsi="Times New Roman"/>
          <w:b/>
          <w:sz w:val="24"/>
          <w:szCs w:val="24"/>
          <w:u w:val="single"/>
        </w:rPr>
        <w:t xml:space="preserve"> PGES</w:t>
      </w:r>
    </w:p>
    <w:p w14:paraId="7E24EB39" w14:textId="77777777" w:rsidR="00915003" w:rsidRPr="00D8156A" w:rsidRDefault="00915003" w:rsidP="00915003">
      <w:pPr>
        <w:suppressAutoHyphens/>
        <w:spacing w:before="120" w:after="120" w:line="240" w:lineRule="auto"/>
        <w:rPr>
          <w:rFonts w:ascii="Times New Roman" w:hAnsi="Times New Roman"/>
          <w:sz w:val="24"/>
          <w:szCs w:val="24"/>
        </w:rPr>
      </w:pPr>
      <w:r>
        <w:rPr>
          <w:rFonts w:ascii="Times New Roman" w:hAnsi="Times New Roman"/>
          <w:sz w:val="24"/>
          <w:szCs w:val="24"/>
        </w:rPr>
        <w:t>Basali mingi ba kotaka na kosalela mpe kalenda</w:t>
      </w:r>
      <w:r w:rsidRPr="00D8156A">
        <w:rPr>
          <w:rFonts w:ascii="Times New Roman" w:hAnsi="Times New Roman"/>
          <w:sz w:val="24"/>
          <w:szCs w:val="24"/>
        </w:rPr>
        <w:t xml:space="preserve"> PGES. </w:t>
      </w:r>
      <w:r>
        <w:rPr>
          <w:rFonts w:ascii="Times New Roman" w:hAnsi="Times New Roman"/>
          <w:sz w:val="24"/>
          <w:szCs w:val="24"/>
        </w:rPr>
        <w:t>Ezali ndakisa</w:t>
      </w:r>
      <w:r w:rsidRPr="00D8156A">
        <w:rPr>
          <w:rFonts w:ascii="Times New Roman" w:hAnsi="Times New Roman"/>
          <w:sz w:val="24"/>
          <w:szCs w:val="24"/>
        </w:rPr>
        <w:t xml:space="preserve"> : </w:t>
      </w:r>
    </w:p>
    <w:p w14:paraId="6960F419" w14:textId="77777777" w:rsidR="00915003" w:rsidRPr="00D8156A" w:rsidRDefault="00915003" w:rsidP="00915003">
      <w:pPr>
        <w:numPr>
          <w:ilvl w:val="0"/>
          <w:numId w:val="44"/>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Lisanga ya bisika bizingi mokili mpe efndeli ya batu ya </w:t>
      </w:r>
      <w:r w:rsidRPr="00D8156A">
        <w:rPr>
          <w:rFonts w:ascii="Times New Roman" w:hAnsi="Times New Roman"/>
          <w:b/>
          <w:sz w:val="24"/>
          <w:szCs w:val="24"/>
        </w:rPr>
        <w:t>UCM</w:t>
      </w:r>
    </w:p>
    <w:p w14:paraId="47814FCE" w14:textId="77777777" w:rsidR="00915003" w:rsidRDefault="00915003" w:rsidP="00915003">
      <w:pPr>
        <w:suppressAutoHyphens/>
        <w:spacing w:before="120" w:after="120" w:line="240" w:lineRule="auto"/>
        <w:rPr>
          <w:rFonts w:ascii="Times New Roman" w:hAnsi="Times New Roman"/>
          <w:sz w:val="24"/>
          <w:szCs w:val="24"/>
        </w:rPr>
      </w:pPr>
      <w:r>
        <w:rPr>
          <w:rFonts w:ascii="Times New Roman" w:hAnsi="Times New Roman"/>
          <w:sz w:val="24"/>
          <w:szCs w:val="24"/>
        </w:rPr>
        <w:t xml:space="preserve">Na mabongisi ya </w:t>
      </w:r>
      <w:r w:rsidRPr="00D8156A">
        <w:rPr>
          <w:rFonts w:ascii="Times New Roman" w:hAnsi="Times New Roman"/>
          <w:sz w:val="24"/>
          <w:szCs w:val="24"/>
        </w:rPr>
        <w:t xml:space="preserve">PGES, </w:t>
      </w:r>
      <w:r>
        <w:rPr>
          <w:rFonts w:ascii="Times New Roman" w:hAnsi="Times New Roman"/>
          <w:sz w:val="24"/>
          <w:szCs w:val="24"/>
        </w:rPr>
        <w:t xml:space="preserve">musala na ye eza ya koyebisa batu nyoso baza na kati ya musala ; kobongisa lisanga ya bokutani mpo na koyebisa mpe kondimisama ya </w:t>
      </w:r>
      <w:r w:rsidRPr="00D8156A">
        <w:rPr>
          <w:rFonts w:ascii="Times New Roman" w:hAnsi="Times New Roman"/>
          <w:sz w:val="24"/>
          <w:szCs w:val="24"/>
        </w:rPr>
        <w:t xml:space="preserve">PGES ; </w:t>
      </w:r>
      <w:r>
        <w:rPr>
          <w:rFonts w:ascii="Times New Roman" w:hAnsi="Times New Roman"/>
          <w:sz w:val="24"/>
          <w:szCs w:val="24"/>
        </w:rPr>
        <w:t>kosolola na</w:t>
      </w:r>
      <w:r w:rsidRPr="00D8156A">
        <w:rPr>
          <w:rFonts w:ascii="Times New Roman" w:hAnsi="Times New Roman"/>
          <w:sz w:val="24"/>
          <w:szCs w:val="24"/>
        </w:rPr>
        <w:t xml:space="preserve"> société civile </w:t>
      </w:r>
      <w:r>
        <w:rPr>
          <w:rFonts w:ascii="Times New Roman" w:hAnsi="Times New Roman"/>
          <w:sz w:val="24"/>
          <w:szCs w:val="24"/>
        </w:rPr>
        <w:t xml:space="preserve">na ntango </w:t>
      </w:r>
      <w:r w:rsidRPr="00D8156A">
        <w:rPr>
          <w:rFonts w:ascii="Times New Roman" w:hAnsi="Times New Roman"/>
          <w:sz w:val="24"/>
          <w:szCs w:val="24"/>
        </w:rPr>
        <w:t>PGES</w:t>
      </w:r>
      <w:r>
        <w:rPr>
          <w:rFonts w:ascii="Times New Roman" w:hAnsi="Times New Roman"/>
          <w:sz w:val="24"/>
          <w:szCs w:val="24"/>
        </w:rPr>
        <w:t xml:space="preserve"> eko tiama na misala</w:t>
      </w:r>
      <w:r w:rsidRPr="00D8156A">
        <w:rPr>
          <w:rFonts w:ascii="Times New Roman" w:hAnsi="Times New Roman"/>
          <w:sz w:val="24"/>
          <w:szCs w:val="24"/>
        </w:rPr>
        <w:t xml:space="preserve"> ; </w:t>
      </w:r>
      <w:r>
        <w:rPr>
          <w:rFonts w:ascii="Times New Roman" w:hAnsi="Times New Roman"/>
          <w:sz w:val="24"/>
          <w:szCs w:val="24"/>
        </w:rPr>
        <w:t>kolanda ndenge PGES eko tiama na misala na nzela ya</w:t>
      </w:r>
      <w:r w:rsidRPr="00D75D2E">
        <w:rPr>
          <w:rFonts w:ascii="Times New Roman" w:hAnsi="Times New Roman"/>
          <w:sz w:val="24"/>
          <w:szCs w:val="24"/>
        </w:rPr>
        <w:t xml:space="preserve"> mission de contrôle; </w:t>
      </w:r>
      <w:r>
        <w:rPr>
          <w:rFonts w:ascii="Times New Roman" w:hAnsi="Times New Roman"/>
          <w:sz w:val="24"/>
          <w:szCs w:val="24"/>
        </w:rPr>
        <w:t>kotia na misala mikano ya kobakisa ya kosalela pona kobongisa makambu ya bisika bizingi mokili mpe efandeli ya batu</w:t>
      </w:r>
      <w:r w:rsidRPr="00D75D2E">
        <w:rPr>
          <w:rFonts w:ascii="Times New Roman" w:hAnsi="Times New Roman"/>
          <w:sz w:val="24"/>
          <w:szCs w:val="24"/>
        </w:rPr>
        <w:t xml:space="preserve"> ; </w:t>
      </w:r>
      <w:r>
        <w:rPr>
          <w:rFonts w:ascii="Times New Roman" w:hAnsi="Times New Roman"/>
          <w:sz w:val="24"/>
          <w:szCs w:val="24"/>
        </w:rPr>
        <w:t>kotiya na misala bisika bizingi mokili mpe efandeli ya batu na oyo etali EAS/HS</w:t>
      </w:r>
      <w:r w:rsidRPr="00D75D2E">
        <w:rPr>
          <w:rFonts w:ascii="Times New Roman" w:hAnsi="Times New Roman"/>
          <w:sz w:val="24"/>
          <w:szCs w:val="24"/>
        </w:rPr>
        <w:t xml:space="preserve"> ; </w:t>
      </w:r>
      <w:r>
        <w:rPr>
          <w:rFonts w:ascii="Times New Roman" w:hAnsi="Times New Roman"/>
          <w:sz w:val="24"/>
          <w:szCs w:val="24"/>
        </w:rPr>
        <w:t>Kosala bokambami ya  bisika bizingi mokili mpe efandeli ya batu ya misala</w:t>
      </w:r>
      <w:r w:rsidRPr="00D75D2E">
        <w:rPr>
          <w:rFonts w:ascii="Times New Roman" w:hAnsi="Times New Roman"/>
          <w:sz w:val="24"/>
          <w:szCs w:val="24"/>
        </w:rPr>
        <w:t xml:space="preserve">. </w:t>
      </w:r>
    </w:p>
    <w:p w14:paraId="46DF5AD1" w14:textId="77777777" w:rsidR="00915003" w:rsidRPr="00D75D2E" w:rsidRDefault="00915003" w:rsidP="00915003">
      <w:pPr>
        <w:suppressAutoHyphens/>
        <w:spacing w:before="120" w:after="120" w:line="240" w:lineRule="auto"/>
        <w:rPr>
          <w:rFonts w:ascii="Times New Roman" w:hAnsi="Times New Roman"/>
          <w:sz w:val="24"/>
          <w:szCs w:val="24"/>
        </w:rPr>
      </w:pPr>
      <w:r>
        <w:rPr>
          <w:rFonts w:ascii="Times New Roman" w:hAnsi="Times New Roman"/>
          <w:iCs/>
          <w:sz w:val="24"/>
          <w:szCs w:val="24"/>
        </w:rPr>
        <w:t xml:space="preserve">Ntaka ya tekiniki esalama na Société Nationale d’Electricité oyo aza na kati na ye Unité de gestion environnementale et sociale (UGES), mpo na kobomba makambu nyoso oyo etali </w:t>
      </w:r>
      <w:r>
        <w:rPr>
          <w:rFonts w:ascii="Times New Roman" w:hAnsi="Times New Roman"/>
          <w:sz w:val="24"/>
          <w:szCs w:val="24"/>
        </w:rPr>
        <w:t>bisika bizingi mokili mpe efandeli ya batu</w:t>
      </w:r>
      <w:r>
        <w:rPr>
          <w:rFonts w:ascii="Times New Roman" w:hAnsi="Times New Roman"/>
          <w:iCs/>
          <w:sz w:val="24"/>
          <w:szCs w:val="24"/>
        </w:rPr>
        <w:t xml:space="preserve"> ya misala efutami na ndaku ya mbongo ya mokili mobimba. Batu ya misala ya UGES bayebi malamu politiki ya kobomba bisika bzingi mkili mpe efandeli ya batu ya Banki ya Molongo mobimba, Ntangu mingi na misala na nzela ya projet PMEDE mpe SAPMP. Kasi, bayebi te mokano ya sika ya banki </w:t>
      </w:r>
    </w:p>
    <w:p w14:paraId="01ABDA9F" w14:textId="77777777" w:rsidR="00915003" w:rsidRPr="00D75D2E" w:rsidRDefault="00915003" w:rsidP="00915003">
      <w:pPr>
        <w:numPr>
          <w:ilvl w:val="0"/>
          <w:numId w:val="44"/>
        </w:num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Ministère ya </w:t>
      </w:r>
      <w:r w:rsidRPr="00D75D2E">
        <w:rPr>
          <w:rFonts w:ascii="Times New Roman" w:hAnsi="Times New Roman"/>
          <w:b/>
          <w:sz w:val="24"/>
          <w:szCs w:val="24"/>
        </w:rPr>
        <w:t>Environnement et Développement Durable (MEDD)</w:t>
      </w:r>
    </w:p>
    <w:p w14:paraId="38EEBF4F" w14:textId="77777777" w:rsidR="00915003" w:rsidRPr="00D75D2E" w:rsidRDefault="00915003" w:rsidP="00915003">
      <w:pPr>
        <w:suppressAutoHyphens/>
        <w:spacing w:before="120" w:after="120" w:line="240" w:lineRule="auto"/>
        <w:rPr>
          <w:rFonts w:ascii="Times New Roman" w:hAnsi="Times New Roman"/>
          <w:sz w:val="24"/>
          <w:szCs w:val="24"/>
        </w:rPr>
      </w:pPr>
      <w:r w:rsidRPr="00D75D2E">
        <w:rPr>
          <w:rFonts w:ascii="Times New Roman" w:hAnsi="Times New Roman"/>
          <w:sz w:val="24"/>
          <w:szCs w:val="24"/>
        </w:rPr>
        <w:t xml:space="preserve">MEDD </w:t>
      </w:r>
      <w:r>
        <w:rPr>
          <w:rFonts w:ascii="Times New Roman" w:hAnsi="Times New Roman"/>
          <w:sz w:val="24"/>
          <w:szCs w:val="24"/>
        </w:rPr>
        <w:t xml:space="preserve">oko kota naino kaka na nzela ya </w:t>
      </w:r>
      <w:r w:rsidRPr="00D75D2E">
        <w:rPr>
          <w:rFonts w:ascii="Times New Roman" w:hAnsi="Times New Roman"/>
          <w:sz w:val="24"/>
          <w:szCs w:val="24"/>
        </w:rPr>
        <w:t xml:space="preserve">ACE </w:t>
      </w:r>
      <w:r>
        <w:rPr>
          <w:rFonts w:ascii="Times New Roman" w:hAnsi="Times New Roman"/>
          <w:sz w:val="24"/>
          <w:szCs w:val="24"/>
        </w:rPr>
        <w:t>mpe</w:t>
      </w:r>
      <w:r w:rsidRPr="00D75D2E">
        <w:rPr>
          <w:rFonts w:ascii="Times New Roman" w:hAnsi="Times New Roman"/>
          <w:sz w:val="24"/>
          <w:szCs w:val="24"/>
        </w:rPr>
        <w:t xml:space="preserve"> DCVI, </w:t>
      </w:r>
      <w:r>
        <w:rPr>
          <w:rFonts w:ascii="Times New Roman" w:hAnsi="Times New Roman"/>
          <w:sz w:val="24"/>
          <w:szCs w:val="24"/>
        </w:rPr>
        <w:t xml:space="preserve">na oyo etali kondimama ya ba </w:t>
      </w:r>
      <w:r w:rsidRPr="00D75D2E">
        <w:rPr>
          <w:rFonts w:ascii="Times New Roman" w:hAnsi="Times New Roman"/>
          <w:sz w:val="24"/>
          <w:szCs w:val="24"/>
        </w:rPr>
        <w:t xml:space="preserve">EIES </w:t>
      </w:r>
      <w:r>
        <w:rPr>
          <w:rFonts w:ascii="Times New Roman" w:hAnsi="Times New Roman"/>
          <w:sz w:val="24"/>
          <w:szCs w:val="24"/>
        </w:rPr>
        <w:t>mpe kolanda- kotala-tala ya bisika bizingi mokili mpe efandeli  ya batu</w:t>
      </w:r>
      <w:r w:rsidRPr="00D75D2E">
        <w:rPr>
          <w:rFonts w:ascii="Times New Roman" w:hAnsi="Times New Roman"/>
          <w:sz w:val="24"/>
          <w:szCs w:val="24"/>
        </w:rPr>
        <w:t>.</w:t>
      </w:r>
    </w:p>
    <w:p w14:paraId="3A2E005C" w14:textId="77777777" w:rsidR="00915003" w:rsidRPr="00D75D2E" w:rsidRDefault="00915003" w:rsidP="00915003">
      <w:pPr>
        <w:numPr>
          <w:ilvl w:val="0"/>
          <w:numId w:val="44"/>
        </w:numPr>
        <w:spacing w:after="0" w:line="240" w:lineRule="auto"/>
        <w:ind w:left="714" w:hanging="357"/>
        <w:jc w:val="both"/>
        <w:rPr>
          <w:rFonts w:ascii="Times New Roman" w:hAnsi="Times New Roman"/>
          <w:sz w:val="24"/>
          <w:szCs w:val="24"/>
        </w:rPr>
      </w:pPr>
      <w:r>
        <w:rPr>
          <w:rFonts w:ascii="Times New Roman" w:hAnsi="Times New Roman"/>
          <w:b/>
          <w:sz w:val="24"/>
          <w:szCs w:val="24"/>
        </w:rPr>
        <w:t>ACE mpe CPE ya</w:t>
      </w:r>
      <w:r w:rsidRPr="00D75D2E">
        <w:rPr>
          <w:rFonts w:ascii="Times New Roman" w:hAnsi="Times New Roman"/>
          <w:b/>
          <w:sz w:val="24"/>
          <w:szCs w:val="24"/>
        </w:rPr>
        <w:t xml:space="preserve"> Province Kinshasa </w:t>
      </w:r>
    </w:p>
    <w:p w14:paraId="11D09EEB" w14:textId="77777777" w:rsidR="00915003" w:rsidRPr="00D75D2E" w:rsidRDefault="00915003" w:rsidP="00915003">
      <w:pPr>
        <w:suppressAutoHyphens/>
        <w:spacing w:before="120" w:after="120" w:line="240" w:lineRule="auto"/>
        <w:rPr>
          <w:rFonts w:ascii="Times New Roman" w:hAnsi="Times New Roman"/>
          <w:sz w:val="24"/>
          <w:szCs w:val="24"/>
        </w:rPr>
      </w:pPr>
      <w:r w:rsidRPr="00D75D2E">
        <w:rPr>
          <w:rFonts w:ascii="Times New Roman" w:hAnsi="Times New Roman"/>
          <w:sz w:val="24"/>
          <w:szCs w:val="24"/>
        </w:rPr>
        <w:t xml:space="preserve">Agence Congolaise de l’Environnement </w:t>
      </w:r>
      <w:r>
        <w:rPr>
          <w:rFonts w:ascii="Times New Roman" w:hAnsi="Times New Roman"/>
          <w:sz w:val="24"/>
          <w:szCs w:val="24"/>
        </w:rPr>
        <w:t xml:space="preserve">eza etablissement ya leta na kati ya </w:t>
      </w:r>
      <w:r w:rsidRPr="00D75D2E">
        <w:rPr>
          <w:rFonts w:ascii="Times New Roman" w:hAnsi="Times New Roman"/>
          <w:sz w:val="24"/>
          <w:szCs w:val="24"/>
        </w:rPr>
        <w:t xml:space="preserve">Ministère </w:t>
      </w:r>
      <w:r>
        <w:rPr>
          <w:rFonts w:ascii="Times New Roman" w:hAnsi="Times New Roman"/>
          <w:sz w:val="24"/>
          <w:szCs w:val="24"/>
        </w:rPr>
        <w:t>ya ya bisika bizingi mokili</w:t>
      </w:r>
      <w:r w:rsidRPr="00D75D2E">
        <w:rPr>
          <w:rFonts w:ascii="Times New Roman" w:hAnsi="Times New Roman"/>
          <w:sz w:val="24"/>
          <w:szCs w:val="24"/>
        </w:rPr>
        <w:t xml:space="preserve">. </w:t>
      </w:r>
      <w:r>
        <w:rPr>
          <w:rFonts w:ascii="Times New Roman" w:hAnsi="Times New Roman"/>
          <w:sz w:val="24"/>
          <w:szCs w:val="24"/>
        </w:rPr>
        <w:t xml:space="preserve">Azali kolakisa loboko makasi ya </w:t>
      </w:r>
      <w:r w:rsidRPr="00D75D2E">
        <w:rPr>
          <w:rFonts w:ascii="Times New Roman" w:hAnsi="Times New Roman"/>
          <w:sz w:val="24"/>
          <w:szCs w:val="24"/>
        </w:rPr>
        <w:t xml:space="preserve">ministère </w:t>
      </w:r>
      <w:r>
        <w:rPr>
          <w:rFonts w:ascii="Times New Roman" w:hAnsi="Times New Roman"/>
          <w:sz w:val="24"/>
          <w:szCs w:val="24"/>
        </w:rPr>
        <w:t xml:space="preserve">pona kosalela lolenge ya kosala </w:t>
      </w:r>
      <w:r w:rsidRPr="00D75D2E">
        <w:rPr>
          <w:rFonts w:ascii="Times New Roman" w:hAnsi="Times New Roman"/>
          <w:sz w:val="24"/>
          <w:szCs w:val="24"/>
        </w:rPr>
        <w:t xml:space="preserve">étude </w:t>
      </w:r>
      <w:r>
        <w:rPr>
          <w:rFonts w:ascii="Times New Roman" w:hAnsi="Times New Roman"/>
          <w:sz w:val="24"/>
          <w:szCs w:val="24"/>
        </w:rPr>
        <w:t xml:space="preserve">d’impact sur l’environnement. </w:t>
      </w:r>
      <w:r w:rsidRPr="00D75D2E">
        <w:rPr>
          <w:rFonts w:ascii="Times New Roman" w:hAnsi="Times New Roman"/>
          <w:sz w:val="24"/>
          <w:szCs w:val="24"/>
        </w:rPr>
        <w:t>ACE a</w:t>
      </w:r>
      <w:r>
        <w:rPr>
          <w:rFonts w:ascii="Times New Roman" w:hAnsi="Times New Roman"/>
          <w:sz w:val="24"/>
          <w:szCs w:val="24"/>
        </w:rPr>
        <w:t xml:space="preserve">za mpe na misala kondima musala liye mpe kozala na kati ya kolanda ya </w:t>
      </w:r>
      <w:r w:rsidRPr="00D75D2E">
        <w:rPr>
          <w:rFonts w:ascii="Times New Roman" w:hAnsi="Times New Roman"/>
          <w:sz w:val="24"/>
          <w:szCs w:val="24"/>
        </w:rPr>
        <w:t xml:space="preserve">PGES. </w:t>
      </w:r>
      <w:r>
        <w:rPr>
          <w:rFonts w:ascii="Times New Roman" w:hAnsi="Times New Roman"/>
          <w:sz w:val="24"/>
          <w:szCs w:val="24"/>
        </w:rPr>
        <w:t xml:space="preserve">Na ntaka ya province mpe ya bisika, kolanda mpe kotala-tala liye ekosalama na nzela ya CPE ya </w:t>
      </w:r>
      <w:r w:rsidRPr="00D75D2E">
        <w:rPr>
          <w:rFonts w:ascii="Times New Roman" w:hAnsi="Times New Roman"/>
          <w:sz w:val="24"/>
          <w:szCs w:val="24"/>
        </w:rPr>
        <w:t xml:space="preserve">Kinshasa. </w:t>
      </w:r>
    </w:p>
    <w:p w14:paraId="0B6D5A84" w14:textId="77777777" w:rsidR="00915003" w:rsidRPr="00D75D2E" w:rsidRDefault="00915003" w:rsidP="00915003">
      <w:pPr>
        <w:numPr>
          <w:ilvl w:val="0"/>
          <w:numId w:val="44"/>
        </w:numPr>
        <w:spacing w:after="0" w:line="240" w:lineRule="auto"/>
        <w:contextualSpacing/>
        <w:jc w:val="both"/>
        <w:rPr>
          <w:rFonts w:ascii="Times New Roman" w:hAnsi="Times New Roman"/>
          <w:b/>
          <w:sz w:val="24"/>
          <w:szCs w:val="24"/>
        </w:rPr>
      </w:pPr>
      <w:r w:rsidRPr="00D75D2E">
        <w:rPr>
          <w:rFonts w:ascii="Times New Roman" w:hAnsi="Times New Roman"/>
          <w:b/>
          <w:sz w:val="24"/>
          <w:szCs w:val="24"/>
        </w:rPr>
        <w:t>Mission de Contrôle (MdC) </w:t>
      </w:r>
    </w:p>
    <w:p w14:paraId="7D3635D1" w14:textId="77777777" w:rsidR="00915003" w:rsidRPr="00D75D2E" w:rsidRDefault="00915003" w:rsidP="00915003">
      <w:pPr>
        <w:suppressAutoHyphens/>
        <w:spacing w:before="120" w:after="120" w:line="240" w:lineRule="auto"/>
        <w:rPr>
          <w:rFonts w:ascii="Times New Roman" w:hAnsi="Times New Roman"/>
          <w:sz w:val="24"/>
          <w:szCs w:val="24"/>
        </w:rPr>
      </w:pPr>
      <w:r>
        <w:rPr>
          <w:rFonts w:ascii="Times New Roman" w:hAnsi="Times New Roman"/>
          <w:bCs/>
          <w:sz w:val="24"/>
          <w:szCs w:val="24"/>
        </w:rPr>
        <w:t xml:space="preserve">Mission ya </w:t>
      </w:r>
      <w:r w:rsidRPr="00D75D2E">
        <w:rPr>
          <w:rFonts w:ascii="Times New Roman" w:hAnsi="Times New Roman"/>
          <w:bCs/>
          <w:sz w:val="24"/>
          <w:szCs w:val="24"/>
        </w:rPr>
        <w:t xml:space="preserve">Contrôle (MdC) </w:t>
      </w:r>
      <w:r>
        <w:rPr>
          <w:rFonts w:ascii="Times New Roman" w:hAnsi="Times New Roman"/>
          <w:bCs/>
          <w:sz w:val="24"/>
          <w:szCs w:val="24"/>
        </w:rPr>
        <w:t>ako kamba mpe kolandela misala nyoso esalami na kompany ya misala</w:t>
      </w:r>
      <w:r w:rsidRPr="00D75D2E">
        <w:rPr>
          <w:rFonts w:ascii="Times New Roman" w:hAnsi="Times New Roman"/>
          <w:sz w:val="24"/>
          <w:szCs w:val="24"/>
        </w:rPr>
        <w:t>.</w:t>
      </w:r>
      <w:r>
        <w:rPr>
          <w:rFonts w:ascii="Times New Roman" w:eastAsia="Times New Roman" w:hAnsi="Times New Roman"/>
          <w:sz w:val="24"/>
          <w:szCs w:val="24"/>
        </w:rPr>
        <w:t xml:space="preserve"> </w:t>
      </w:r>
      <w:r w:rsidRPr="00D75D2E">
        <w:rPr>
          <w:rFonts w:ascii="Times New Roman" w:eastAsia="Times New Roman" w:hAnsi="Times New Roman"/>
          <w:sz w:val="24"/>
          <w:szCs w:val="24"/>
        </w:rPr>
        <w:t xml:space="preserve">MdC, </w:t>
      </w:r>
      <w:r>
        <w:rPr>
          <w:rFonts w:ascii="Times New Roman" w:eastAsia="Times New Roman" w:hAnsi="Times New Roman"/>
          <w:sz w:val="24"/>
          <w:szCs w:val="24"/>
        </w:rPr>
        <w:t>na kati na yango eza na mutu moko ya nzebi na</w:t>
      </w:r>
      <w:r w:rsidRPr="00D75D2E">
        <w:rPr>
          <w:rFonts w:ascii="Times New Roman" w:eastAsia="Times New Roman" w:hAnsi="Times New Roman"/>
          <w:sz w:val="24"/>
          <w:szCs w:val="24"/>
        </w:rPr>
        <w:t xml:space="preserve"> Environnement </w:t>
      </w:r>
      <w:r>
        <w:rPr>
          <w:rFonts w:ascii="Times New Roman" w:eastAsia="Times New Roman" w:hAnsi="Times New Roman"/>
          <w:sz w:val="24"/>
          <w:szCs w:val="24"/>
        </w:rPr>
        <w:t>na ntaka ya</w:t>
      </w:r>
      <w:r w:rsidRPr="00D75D2E">
        <w:rPr>
          <w:rFonts w:ascii="Times New Roman" w:eastAsia="Times New Roman" w:hAnsi="Times New Roman"/>
          <w:sz w:val="24"/>
          <w:szCs w:val="24"/>
        </w:rPr>
        <w:t xml:space="preserve"> senior </w:t>
      </w:r>
      <w:r>
        <w:rPr>
          <w:rFonts w:ascii="Times New Roman" w:eastAsia="Times New Roman" w:hAnsi="Times New Roman"/>
          <w:sz w:val="24"/>
          <w:szCs w:val="24"/>
        </w:rPr>
        <w:t>na makoki ya makasi mpo na</w:t>
      </w:r>
      <w:r w:rsidRPr="00D75D2E">
        <w:rPr>
          <w:rFonts w:ascii="Times New Roman" w:eastAsia="Times New Roman" w:hAnsi="Times New Roman"/>
          <w:sz w:val="24"/>
          <w:szCs w:val="24"/>
        </w:rPr>
        <w:t xml:space="preserve"> Hygiène, Sant</w:t>
      </w:r>
      <w:r>
        <w:rPr>
          <w:rFonts w:ascii="Times New Roman" w:eastAsia="Times New Roman" w:hAnsi="Times New Roman"/>
          <w:sz w:val="24"/>
          <w:szCs w:val="24"/>
        </w:rPr>
        <w:t xml:space="preserve">é na </w:t>
      </w:r>
      <w:r w:rsidRPr="00D75D2E">
        <w:rPr>
          <w:rFonts w:ascii="Times New Roman" w:eastAsia="Times New Roman" w:hAnsi="Times New Roman"/>
          <w:sz w:val="24"/>
          <w:szCs w:val="24"/>
        </w:rPr>
        <w:t xml:space="preserve">Sécurité. </w:t>
      </w:r>
      <w:r>
        <w:rPr>
          <w:rFonts w:ascii="Times New Roman" w:eastAsia="Times New Roman" w:hAnsi="Times New Roman"/>
          <w:sz w:val="24"/>
          <w:szCs w:val="24"/>
        </w:rPr>
        <w:t>Musala na ye ya yambo ezali kotala-tala mpe kolandela ndenge misala ya</w:t>
      </w:r>
      <w:r w:rsidRPr="00D75D2E">
        <w:rPr>
          <w:rFonts w:ascii="Times New Roman" w:eastAsia="Times New Roman" w:hAnsi="Times New Roman"/>
          <w:sz w:val="24"/>
          <w:szCs w:val="24"/>
        </w:rPr>
        <w:t xml:space="preserve"> (PGES-C), </w:t>
      </w:r>
      <w:r>
        <w:rPr>
          <w:rFonts w:ascii="Times New Roman" w:eastAsia="Times New Roman" w:hAnsi="Times New Roman"/>
          <w:sz w:val="24"/>
          <w:szCs w:val="24"/>
        </w:rPr>
        <w:t xml:space="preserve">ya </w:t>
      </w:r>
      <w:r w:rsidRPr="00D75D2E">
        <w:rPr>
          <w:rFonts w:ascii="Times New Roman" w:hAnsi="Times New Roman"/>
          <w:b/>
          <w:bCs/>
          <w:i/>
          <w:iCs/>
          <w:sz w:val="24"/>
          <w:szCs w:val="24"/>
        </w:rPr>
        <w:t xml:space="preserve">Plan d’Assurance Environnement (PAE), </w:t>
      </w:r>
      <w:r>
        <w:rPr>
          <w:rFonts w:ascii="Times New Roman" w:hAnsi="Times New Roman"/>
          <w:b/>
          <w:bCs/>
          <w:i/>
          <w:iCs/>
          <w:sz w:val="24"/>
          <w:szCs w:val="24"/>
        </w:rPr>
        <w:t xml:space="preserve">ya </w:t>
      </w:r>
      <w:r w:rsidRPr="00D75D2E">
        <w:rPr>
          <w:rFonts w:ascii="Times New Roman" w:hAnsi="Times New Roman"/>
          <w:b/>
          <w:bCs/>
          <w:i/>
          <w:iCs/>
          <w:sz w:val="24"/>
          <w:szCs w:val="24"/>
        </w:rPr>
        <w:t xml:space="preserve">Plan Particulier de Gestion </w:t>
      </w:r>
      <w:r>
        <w:rPr>
          <w:rFonts w:ascii="Times New Roman" w:hAnsi="Times New Roman"/>
          <w:b/>
          <w:bCs/>
          <w:i/>
          <w:iCs/>
          <w:sz w:val="24"/>
          <w:szCs w:val="24"/>
        </w:rPr>
        <w:t>mpe</w:t>
      </w:r>
      <w:r w:rsidRPr="00D75D2E">
        <w:rPr>
          <w:rFonts w:ascii="Times New Roman" w:hAnsi="Times New Roman"/>
          <w:b/>
          <w:bCs/>
          <w:i/>
          <w:iCs/>
          <w:sz w:val="24"/>
          <w:szCs w:val="24"/>
        </w:rPr>
        <w:t xml:space="preserve"> d’Elimination des Déchets (PPGED), </w:t>
      </w:r>
      <w:r>
        <w:rPr>
          <w:rFonts w:ascii="Times New Roman" w:hAnsi="Times New Roman"/>
          <w:b/>
          <w:bCs/>
          <w:i/>
          <w:iCs/>
          <w:sz w:val="24"/>
          <w:szCs w:val="24"/>
        </w:rPr>
        <w:t>ya</w:t>
      </w:r>
      <w:r w:rsidRPr="00D75D2E">
        <w:rPr>
          <w:rFonts w:ascii="Times New Roman" w:hAnsi="Times New Roman"/>
          <w:b/>
          <w:bCs/>
          <w:i/>
          <w:iCs/>
          <w:sz w:val="24"/>
          <w:szCs w:val="24"/>
        </w:rPr>
        <w:t xml:space="preserve"> Plan Particulier de Sécurité et de Protection de la Santé (PPSPS</w:t>
      </w:r>
      <w:r w:rsidRPr="00D75D2E">
        <w:rPr>
          <w:rFonts w:ascii="Times New Roman" w:hAnsi="Times New Roman"/>
          <w:b/>
          <w:bCs/>
          <w:i/>
          <w:iCs/>
          <w:sz w:val="24"/>
          <w:szCs w:val="24"/>
          <w:lang w:val="fr-CA"/>
        </w:rPr>
        <w:t xml:space="preserve">), </w:t>
      </w:r>
      <w:r>
        <w:rPr>
          <w:rFonts w:ascii="Times New Roman" w:hAnsi="Times New Roman"/>
          <w:b/>
          <w:bCs/>
          <w:i/>
          <w:iCs/>
          <w:sz w:val="24"/>
          <w:szCs w:val="24"/>
          <w:lang w:val="fr-CA"/>
        </w:rPr>
        <w:t>ya</w:t>
      </w:r>
      <w:r w:rsidRPr="00D75D2E">
        <w:rPr>
          <w:rFonts w:ascii="Times New Roman" w:hAnsi="Times New Roman"/>
          <w:b/>
          <w:bCs/>
          <w:i/>
          <w:iCs/>
          <w:sz w:val="24"/>
          <w:szCs w:val="24"/>
          <w:lang w:val="fr-CA"/>
        </w:rPr>
        <w:t xml:space="preserve"> Mécanisme de Gestion des Plaintes de l’Employeur (MGPE) </w:t>
      </w:r>
      <w:r w:rsidRPr="00C474D6">
        <w:rPr>
          <w:rFonts w:ascii="Times New Roman" w:hAnsi="Times New Roman"/>
          <w:bCs/>
          <w:iCs/>
          <w:sz w:val="24"/>
          <w:szCs w:val="24"/>
          <w:lang w:val="fr-CA"/>
        </w:rPr>
        <w:t>ekomami epayi ya kompany mpo na misala</w:t>
      </w:r>
      <w:r w:rsidRPr="00D75D2E">
        <w:rPr>
          <w:rFonts w:ascii="Times New Roman" w:eastAsia="Times New Roman" w:hAnsi="Times New Roman"/>
          <w:sz w:val="24"/>
          <w:szCs w:val="24"/>
        </w:rPr>
        <w:t>.</w:t>
      </w:r>
      <w:r>
        <w:rPr>
          <w:rFonts w:ascii="Times New Roman" w:eastAsia="Times New Roman" w:hAnsi="Times New Roman"/>
          <w:sz w:val="24"/>
          <w:szCs w:val="24"/>
        </w:rPr>
        <w:t xml:space="preserve"> </w:t>
      </w:r>
      <w:r w:rsidRPr="00AE31F1">
        <w:rPr>
          <w:rFonts w:ascii="Times New Roman" w:eastAsia="Times New Roman" w:hAnsi="Times New Roman"/>
          <w:sz w:val="24"/>
          <w:szCs w:val="24"/>
        </w:rPr>
        <w:t xml:space="preserve">MGP </w:t>
      </w:r>
      <w:r>
        <w:rPr>
          <w:rFonts w:ascii="Times New Roman" w:eastAsia="Times New Roman" w:hAnsi="Times New Roman"/>
          <w:sz w:val="24"/>
          <w:szCs w:val="24"/>
        </w:rPr>
        <w:t xml:space="preserve">liye ekosala naino mikano ya mike-mike pona sambisa bafundi ya </w:t>
      </w:r>
      <w:r w:rsidRPr="00AE31F1">
        <w:rPr>
          <w:rFonts w:ascii="Times New Roman" w:eastAsia="Times New Roman" w:hAnsi="Times New Roman"/>
          <w:sz w:val="24"/>
          <w:szCs w:val="24"/>
        </w:rPr>
        <w:t xml:space="preserve">EAS/HS </w:t>
      </w:r>
      <w:r>
        <w:rPr>
          <w:rFonts w:ascii="Times New Roman" w:eastAsia="Times New Roman" w:hAnsi="Times New Roman"/>
          <w:sz w:val="24"/>
          <w:szCs w:val="24"/>
        </w:rPr>
        <w:t>na ba oyo bazwami na musala</w:t>
      </w:r>
      <w:r w:rsidRPr="00AE31F1">
        <w:rPr>
          <w:rFonts w:ascii="Times New Roman" w:eastAsia="Times New Roman" w:hAnsi="Times New Roman"/>
          <w:sz w:val="24"/>
          <w:szCs w:val="24"/>
        </w:rPr>
        <w:t xml:space="preserve">. </w:t>
      </w:r>
      <w:r>
        <w:rPr>
          <w:rFonts w:ascii="Times New Roman" w:eastAsia="Times New Roman" w:hAnsi="Times New Roman"/>
          <w:sz w:val="24"/>
          <w:szCs w:val="24"/>
        </w:rPr>
        <w:t xml:space="preserve">Mpe, </w:t>
      </w:r>
      <w:r w:rsidRPr="00AE31F1">
        <w:rPr>
          <w:rFonts w:ascii="Times New Roman" w:eastAsia="Times New Roman" w:hAnsi="Times New Roman"/>
          <w:sz w:val="24"/>
          <w:szCs w:val="24"/>
        </w:rPr>
        <w:t xml:space="preserve">le PGES-C </w:t>
      </w:r>
      <w:r>
        <w:rPr>
          <w:rFonts w:ascii="Times New Roman" w:eastAsia="Times New Roman" w:hAnsi="Times New Roman"/>
          <w:sz w:val="24"/>
          <w:szCs w:val="24"/>
        </w:rPr>
        <w:t xml:space="preserve">eko zala pona kopanza sango ya mikano ya kobatela mpe eyano na makama ya </w:t>
      </w:r>
      <w:r w:rsidRPr="00AE31F1">
        <w:rPr>
          <w:rFonts w:ascii="Times New Roman" w:eastAsia="Times New Roman" w:hAnsi="Times New Roman"/>
          <w:sz w:val="24"/>
          <w:szCs w:val="24"/>
        </w:rPr>
        <w:t xml:space="preserve">EAS/HS, </w:t>
      </w:r>
      <w:r>
        <w:rPr>
          <w:rFonts w:ascii="Times New Roman" w:eastAsia="Times New Roman" w:hAnsi="Times New Roman"/>
          <w:sz w:val="24"/>
          <w:szCs w:val="24"/>
        </w:rPr>
        <w:t>nzela moko na miango ya musala</w:t>
      </w:r>
      <w:r w:rsidRPr="00AE31F1">
        <w:rPr>
          <w:rFonts w:ascii="Times New Roman" w:eastAsia="Times New Roman" w:hAnsi="Times New Roman"/>
          <w:sz w:val="24"/>
          <w:szCs w:val="24"/>
        </w:rPr>
        <w:t xml:space="preserve"> (</w:t>
      </w:r>
      <w:r>
        <w:rPr>
          <w:rFonts w:ascii="Times New Roman" w:eastAsia="Times New Roman" w:hAnsi="Times New Roman"/>
          <w:sz w:val="24"/>
          <w:szCs w:val="24"/>
        </w:rPr>
        <w:t>kokoma mobeko ya kotambola malamu, mukolokoto ya mobeko lina, kotangisa batu ya misala</w:t>
      </w:r>
      <w:r w:rsidRPr="00AE31F1">
        <w:rPr>
          <w:rFonts w:ascii="Times New Roman" w:eastAsia="Times New Roman" w:hAnsi="Times New Roman"/>
          <w:sz w:val="24"/>
          <w:szCs w:val="24"/>
        </w:rPr>
        <w:t>, etc.)</w:t>
      </w:r>
      <w:r>
        <w:rPr>
          <w:rFonts w:ascii="Times New Roman" w:eastAsia="Times New Roman" w:hAnsi="Times New Roman"/>
          <w:sz w:val="24"/>
          <w:szCs w:val="24"/>
        </w:rPr>
        <w:t>.</w:t>
      </w:r>
    </w:p>
    <w:p w14:paraId="23BB9826"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Mutu ya nzebi ya bisika bizingi mokili ya</w:t>
      </w:r>
      <w:r w:rsidRPr="00D75D2E">
        <w:rPr>
          <w:rFonts w:ascii="Times New Roman" w:eastAsia="Times New Roman" w:hAnsi="Times New Roman"/>
          <w:sz w:val="24"/>
          <w:szCs w:val="24"/>
        </w:rPr>
        <w:t xml:space="preserve"> MdC </w:t>
      </w:r>
      <w:r>
        <w:rPr>
          <w:rFonts w:ascii="Times New Roman" w:eastAsia="Times New Roman" w:hAnsi="Times New Roman"/>
          <w:sz w:val="24"/>
          <w:szCs w:val="24"/>
        </w:rPr>
        <w:t>akozala na makoki ya makasi na oyo etali kobatela</w:t>
      </w:r>
      <w:r>
        <w:rPr>
          <w:rFonts w:ascii="Times New Roman" w:hAnsi="Times New Roman"/>
          <w:sz w:val="24"/>
          <w:szCs w:val="24"/>
        </w:rPr>
        <w:t xml:space="preserve"> bisika bizingi mokili</w:t>
      </w:r>
      <w:r w:rsidRPr="00D75D2E">
        <w:rPr>
          <w:rFonts w:ascii="Times New Roman" w:eastAsia="Times New Roman" w:hAnsi="Times New Roman"/>
          <w:sz w:val="24"/>
          <w:szCs w:val="24"/>
        </w:rPr>
        <w:t xml:space="preserve">. </w:t>
      </w:r>
      <w:r>
        <w:rPr>
          <w:rFonts w:ascii="Times New Roman" w:eastAsia="Times New Roman" w:hAnsi="Times New Roman"/>
          <w:sz w:val="24"/>
          <w:szCs w:val="24"/>
        </w:rPr>
        <w:t>Makoki liye eko pesa ye nzela ya koyeba EIES ekomami mpo na misala mpe kosale</w:t>
      </w:r>
      <w:r w:rsidRPr="00D75D2E">
        <w:rPr>
          <w:rFonts w:ascii="Times New Roman" w:eastAsia="Times New Roman" w:hAnsi="Times New Roman"/>
          <w:sz w:val="24"/>
          <w:szCs w:val="24"/>
        </w:rPr>
        <w:t>la</w:t>
      </w:r>
      <w:r>
        <w:rPr>
          <w:rFonts w:ascii="Times New Roman" w:eastAsia="Times New Roman" w:hAnsi="Times New Roman"/>
          <w:sz w:val="24"/>
          <w:szCs w:val="24"/>
        </w:rPr>
        <w:t xml:space="preserve"> mikano oyo ebongisamaki na kati ya lapor</w:t>
      </w:r>
      <w:r w:rsidRPr="00D75D2E">
        <w:rPr>
          <w:rFonts w:ascii="Times New Roman" w:eastAsia="Times New Roman" w:hAnsi="Times New Roman"/>
          <w:sz w:val="24"/>
          <w:szCs w:val="24"/>
        </w:rPr>
        <w:t>.</w:t>
      </w:r>
    </w:p>
    <w:p w14:paraId="6EC8C225"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Misala ya mutu ya nzebi </w:t>
      </w:r>
      <w:r>
        <w:rPr>
          <w:rFonts w:ascii="Times New Roman" w:hAnsi="Times New Roman"/>
          <w:sz w:val="24"/>
          <w:szCs w:val="24"/>
        </w:rPr>
        <w:t>ya bisika bizingi mokili ya MdC eza</w:t>
      </w:r>
      <w:r w:rsidRPr="00D75D2E">
        <w:rPr>
          <w:rFonts w:ascii="Times New Roman" w:eastAsia="Times New Roman" w:hAnsi="Times New Roman"/>
          <w:sz w:val="24"/>
          <w:szCs w:val="24"/>
        </w:rPr>
        <w:t> :</w:t>
      </w:r>
    </w:p>
    <w:p w14:paraId="26CCE534" w14:textId="77777777" w:rsidR="00915003" w:rsidRPr="00E737B4"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eastAsia="Times New Roman" w:hAnsi="Times New Roman"/>
          <w:sz w:val="24"/>
          <w:szCs w:val="24"/>
        </w:rPr>
        <w:t>Kosala bokutani ya koyebisa, bokebisi,mpe masolo na bavandi pona na kokotisa bango, mpe kozwa makambo na bango na oyo ekobanda</w:t>
      </w:r>
      <w:r w:rsidRPr="00E737B4">
        <w:rPr>
          <w:rFonts w:ascii="Times New Roman" w:hAnsi="Times New Roman"/>
          <w:sz w:val="24"/>
          <w:szCs w:val="24"/>
        </w:rPr>
        <w:t> ;</w:t>
      </w:r>
    </w:p>
    <w:p w14:paraId="1D81B4C3" w14:textId="77777777" w:rsidR="00915003" w:rsidRPr="00E737B4"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Kotiya lisanga ya boyokani na masanga ya ba</w:t>
      </w:r>
      <w:r w:rsidRPr="00E737B4">
        <w:rPr>
          <w:rFonts w:ascii="Times New Roman" w:hAnsi="Times New Roman"/>
          <w:sz w:val="24"/>
          <w:szCs w:val="24"/>
        </w:rPr>
        <w:t xml:space="preserve"> ministères </w:t>
      </w:r>
      <w:r>
        <w:rPr>
          <w:rFonts w:ascii="Times New Roman" w:hAnsi="Times New Roman"/>
          <w:sz w:val="24"/>
          <w:szCs w:val="24"/>
        </w:rPr>
        <w:t>mpe batu oyo bandima misala</w:t>
      </w:r>
      <w:r w:rsidRPr="00E737B4">
        <w:rPr>
          <w:rFonts w:ascii="Times New Roman" w:hAnsi="Times New Roman"/>
          <w:sz w:val="24"/>
          <w:szCs w:val="24"/>
        </w:rPr>
        <w:t> ;</w:t>
      </w:r>
    </w:p>
    <w:p w14:paraId="14007183" w14:textId="77777777" w:rsidR="00915003"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Kota-tala bilembo nyoso na esika misala eko salama na oyo etali bisika bizingi mokili na ndenge ya mike-mike oyo etali kolongono ya nzoto mpe kobatelama ya batu na esika misala eko salama</w:t>
      </w:r>
      <w:r w:rsidRPr="00E737B4">
        <w:rPr>
          <w:rFonts w:ascii="Times New Roman" w:hAnsi="Times New Roman"/>
          <w:sz w:val="24"/>
          <w:szCs w:val="24"/>
        </w:rPr>
        <w:t>;</w:t>
      </w:r>
    </w:p>
    <w:p w14:paraId="700F6BCE" w14:textId="77777777" w:rsidR="00915003" w:rsidRPr="00E737B4"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Kotiya mikano ya kobatela mpe koyanola na oyo etali makama ya EAS/HS etiami na misala ;</w:t>
      </w:r>
    </w:p>
    <w:p w14:paraId="1AA7A70A" w14:textId="77777777" w:rsidR="00915003" w:rsidRPr="008E397B" w:rsidRDefault="00915003" w:rsidP="00915003">
      <w:pPr>
        <w:numPr>
          <w:ilvl w:val="0"/>
          <w:numId w:val="19"/>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Kokoma ba lapor ya suka sanza ya kolanda bisika misala ekoki kosalama</w:t>
      </w:r>
      <w:r w:rsidRPr="00E737B4">
        <w:rPr>
          <w:rFonts w:ascii="Times New Roman" w:hAnsi="Times New Roman"/>
          <w:sz w:val="24"/>
          <w:szCs w:val="24"/>
        </w:rPr>
        <w:t>.</w:t>
      </w:r>
    </w:p>
    <w:p w14:paraId="2CBFDF02" w14:textId="77777777" w:rsidR="00915003" w:rsidRPr="00D75D2E" w:rsidRDefault="00915003" w:rsidP="00915003">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Pr>
          <w:rFonts w:ascii="Times New Roman" w:eastAsia="Arial Unicode MS" w:hAnsi="Times New Roman"/>
          <w:b/>
          <w:sz w:val="24"/>
          <w:szCs w:val="24"/>
          <w:lang w:val="fr-CA" w:eastAsia="fr-FR"/>
        </w:rPr>
        <w:t>Kompany</w:t>
      </w:r>
    </w:p>
    <w:p w14:paraId="57DB284A"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Kompany oyo ekosala musala esengeli naino elanda mibeko ya kozwa misala na nzela na oyo etali misala ya botongi</w:t>
      </w:r>
    </w:p>
    <w:p w14:paraId="0DA5938D"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 xml:space="preserve">Na oyo etali likambo ya bisika bizingi mboka ya misala, Kompany </w:t>
      </w:r>
      <w:r w:rsidRPr="00D75D2E">
        <w:rPr>
          <w:rFonts w:ascii="Times New Roman" w:eastAsia="Times New Roman" w:hAnsi="Times New Roman"/>
          <w:sz w:val="24"/>
          <w:szCs w:val="24"/>
        </w:rPr>
        <w:t>E</w:t>
      </w:r>
      <w:r>
        <w:rPr>
          <w:rFonts w:ascii="Times New Roman" w:eastAsia="Times New Roman" w:hAnsi="Times New Roman"/>
          <w:sz w:val="24"/>
          <w:szCs w:val="24"/>
        </w:rPr>
        <w:t>sengeli azala na mutu ya nzebi na ye moko mpo na bisika bizingi mboka ya misala</w:t>
      </w:r>
      <w:r w:rsidRPr="00D75D2E">
        <w:rPr>
          <w:rFonts w:ascii="Times New Roman" w:eastAsia="Times New Roman" w:hAnsi="Times New Roman"/>
          <w:sz w:val="24"/>
          <w:szCs w:val="24"/>
        </w:rPr>
        <w:t xml:space="preserve"> </w:t>
      </w:r>
      <w:r>
        <w:rPr>
          <w:rFonts w:ascii="Times New Roman" w:eastAsia="Times New Roman" w:hAnsi="Times New Roman"/>
          <w:sz w:val="24"/>
          <w:szCs w:val="24"/>
        </w:rPr>
        <w:t>ya ntaka ya mingi (</w:t>
      </w:r>
      <w:r w:rsidRPr="00D75D2E">
        <w:rPr>
          <w:rFonts w:ascii="Times New Roman" w:eastAsia="Times New Roman" w:hAnsi="Times New Roman"/>
          <w:sz w:val="24"/>
          <w:szCs w:val="24"/>
        </w:rPr>
        <w:t>senior</w:t>
      </w:r>
      <w:r>
        <w:rPr>
          <w:rFonts w:ascii="Times New Roman" w:eastAsia="Times New Roman" w:hAnsi="Times New Roman"/>
          <w:sz w:val="24"/>
          <w:szCs w:val="24"/>
        </w:rPr>
        <w:t>) mpe ayebani na oyo ba ndimi musala na nzela uta misala ya kobongisa</w:t>
      </w:r>
    </w:p>
    <w:p w14:paraId="241A3495"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Na oyo etali likambo ya bisika bizingi mboka ya misala</w:t>
      </w:r>
      <w:r w:rsidRPr="00D75D2E">
        <w:rPr>
          <w:rFonts w:ascii="Times New Roman" w:eastAsia="Times New Roman" w:hAnsi="Times New Roman"/>
          <w:sz w:val="24"/>
          <w:szCs w:val="24"/>
        </w:rPr>
        <w:t xml:space="preserve"> </w:t>
      </w:r>
      <w:r>
        <w:rPr>
          <w:rFonts w:ascii="Times New Roman" w:eastAsia="Times New Roman" w:hAnsi="Times New Roman"/>
          <w:sz w:val="24"/>
          <w:szCs w:val="24"/>
        </w:rPr>
        <w:t xml:space="preserve">kompany ako zala na boyebi mingi Na oyo etali likambo ya bisika bizingi mboka ya misala, na mobimba, mpe koyeba ebele na bopeto, kobatelama, bisika bizingi mokili </w:t>
      </w:r>
      <w:r w:rsidRPr="00D75D2E">
        <w:rPr>
          <w:rFonts w:ascii="Times New Roman" w:eastAsia="Times New Roman" w:hAnsi="Times New Roman"/>
          <w:sz w:val="24"/>
          <w:szCs w:val="24"/>
        </w:rPr>
        <w:t xml:space="preserve">(HSE), </w:t>
      </w:r>
      <w:r>
        <w:rPr>
          <w:rFonts w:ascii="Times New Roman" w:eastAsia="Times New Roman" w:hAnsi="Times New Roman"/>
          <w:sz w:val="24"/>
          <w:szCs w:val="24"/>
        </w:rPr>
        <w:t>na muke na yango</w:t>
      </w:r>
      <w:r w:rsidRPr="00D75D2E">
        <w:rPr>
          <w:rFonts w:ascii="Times New Roman" w:eastAsia="Times New Roman" w:hAnsi="Times New Roman"/>
          <w:sz w:val="24"/>
          <w:szCs w:val="24"/>
        </w:rPr>
        <w:t xml:space="preserve">. </w:t>
      </w:r>
      <w:r>
        <w:rPr>
          <w:rFonts w:ascii="Times New Roman" w:eastAsia="Times New Roman" w:hAnsi="Times New Roman"/>
          <w:sz w:val="24"/>
          <w:szCs w:val="24"/>
        </w:rPr>
        <w:t>Wana nde episi ya nzela ya koyeba ba lapor ya EIES mpe ya</w:t>
      </w:r>
      <w:r w:rsidRPr="00D75D2E">
        <w:rPr>
          <w:rFonts w:ascii="Times New Roman" w:eastAsia="Times New Roman" w:hAnsi="Times New Roman"/>
          <w:sz w:val="24"/>
          <w:szCs w:val="24"/>
        </w:rPr>
        <w:t xml:space="preserve"> PGES </w:t>
      </w:r>
      <w:r>
        <w:rPr>
          <w:rFonts w:ascii="Times New Roman" w:eastAsia="Times New Roman" w:hAnsi="Times New Roman"/>
          <w:sz w:val="24"/>
          <w:szCs w:val="24"/>
        </w:rPr>
        <w:t>yambo asalela y</w:t>
      </w:r>
      <w:r w:rsidRPr="00D75D2E">
        <w:rPr>
          <w:rFonts w:ascii="Times New Roman" w:eastAsia="Times New Roman" w:hAnsi="Times New Roman"/>
          <w:sz w:val="24"/>
          <w:szCs w:val="24"/>
        </w:rPr>
        <w:t>a</w:t>
      </w:r>
      <w:r>
        <w:rPr>
          <w:rFonts w:ascii="Times New Roman" w:eastAsia="Times New Roman" w:hAnsi="Times New Roman"/>
          <w:sz w:val="24"/>
          <w:szCs w:val="24"/>
        </w:rPr>
        <w:t>ngo na esika ya misala</w:t>
      </w:r>
      <w:r w:rsidRPr="00D75D2E">
        <w:rPr>
          <w:rFonts w:ascii="Times New Roman" w:eastAsia="Times New Roman" w:hAnsi="Times New Roman"/>
          <w:sz w:val="24"/>
          <w:szCs w:val="24"/>
        </w:rPr>
        <w:t>.</w:t>
      </w:r>
    </w:p>
    <w:p w14:paraId="1C5FFFFD" w14:textId="77777777" w:rsidR="00915003"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Musala ya muntu ya nzebi ya</w:t>
      </w:r>
      <w:r w:rsidRPr="00D75D2E">
        <w:rPr>
          <w:rFonts w:ascii="Times New Roman" w:eastAsia="Times New Roman" w:hAnsi="Times New Roman"/>
          <w:sz w:val="24"/>
          <w:szCs w:val="24"/>
        </w:rPr>
        <w:t xml:space="preserve"> Environnement e</w:t>
      </w:r>
      <w:r>
        <w:rPr>
          <w:rFonts w:ascii="Times New Roman" w:eastAsia="Times New Roman" w:hAnsi="Times New Roman"/>
          <w:sz w:val="24"/>
          <w:szCs w:val="24"/>
        </w:rPr>
        <w:t xml:space="preserve">zali ya kolanda mikolo nyoso na kosalelaka mikano nyoso ya bisika bizingi mokili, bokolongo ya nzoto, kobatelama mpe efandeli ya batu na kati ya misala. Aza moto ya yambo ya kosolola na </w:t>
      </w:r>
      <w:r w:rsidRPr="00D75D2E">
        <w:rPr>
          <w:rFonts w:ascii="Times New Roman" w:eastAsia="Times New Roman" w:hAnsi="Times New Roman"/>
          <w:sz w:val="24"/>
          <w:szCs w:val="24"/>
        </w:rPr>
        <w:t xml:space="preserve"> MdC.</w:t>
      </w:r>
    </w:p>
    <w:p w14:paraId="29EC47CE" w14:textId="77777777" w:rsidR="00915003" w:rsidRPr="00D75D2E" w:rsidRDefault="00915003" w:rsidP="00915003">
      <w:pPr>
        <w:suppressAutoHyphens/>
        <w:spacing w:before="120" w:after="120" w:line="240" w:lineRule="auto"/>
        <w:rPr>
          <w:rFonts w:ascii="Times New Roman" w:eastAsia="Times New Roman" w:hAnsi="Times New Roman"/>
          <w:sz w:val="24"/>
          <w:szCs w:val="24"/>
        </w:rPr>
      </w:pPr>
      <w:r>
        <w:rPr>
          <w:rFonts w:ascii="Times New Roman" w:eastAsia="Times New Roman" w:hAnsi="Times New Roman"/>
          <w:sz w:val="24"/>
          <w:szCs w:val="24"/>
        </w:rPr>
        <w:t>Misala na ye ezali miye</w:t>
      </w:r>
      <w:r w:rsidRPr="00D75D2E">
        <w:rPr>
          <w:rFonts w:ascii="Times New Roman" w:eastAsia="Times New Roman" w:hAnsi="Times New Roman"/>
          <w:sz w:val="24"/>
          <w:szCs w:val="24"/>
        </w:rPr>
        <w:t xml:space="preserve"> :</w:t>
      </w:r>
    </w:p>
    <w:p w14:paraId="688B7AD5" w14:textId="77777777" w:rsidR="00915003" w:rsidRPr="00D75D2E" w:rsidRDefault="00915003" w:rsidP="00915003">
      <w:pPr>
        <w:numPr>
          <w:ilvl w:val="0"/>
          <w:numId w:val="223"/>
        </w:numPr>
        <w:tabs>
          <w:tab w:val="left" w:pos="709"/>
        </w:tabs>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Kokoma mpe kosalela</w:t>
      </w:r>
      <w:r w:rsidRPr="00D75D2E">
        <w:rPr>
          <w:rFonts w:ascii="Times New Roman" w:eastAsia="Times New Roman" w:hAnsi="Times New Roman"/>
          <w:bCs/>
          <w:i/>
          <w:iCs/>
          <w:sz w:val="24"/>
          <w:szCs w:val="24"/>
        </w:rPr>
        <w:t xml:space="preserve"> Plan de Gestion de l’Environnementale et </w:t>
      </w:r>
      <w:r>
        <w:rPr>
          <w:rFonts w:ascii="Times New Roman" w:eastAsia="Times New Roman" w:hAnsi="Times New Roman"/>
          <w:bCs/>
          <w:i/>
          <w:iCs/>
          <w:sz w:val="24"/>
          <w:szCs w:val="24"/>
        </w:rPr>
        <w:t xml:space="preserve">Sociale de Chantier (PGES-C), </w:t>
      </w:r>
      <w:r w:rsidRPr="00D75D2E">
        <w:rPr>
          <w:rFonts w:ascii="Times New Roman" w:hAnsi="Times New Roman"/>
          <w:bCs/>
          <w:i/>
          <w:iCs/>
          <w:sz w:val="24"/>
          <w:szCs w:val="24"/>
        </w:rPr>
        <w:t>Plan d’Ass</w:t>
      </w:r>
      <w:r>
        <w:rPr>
          <w:rFonts w:ascii="Times New Roman" w:hAnsi="Times New Roman"/>
          <w:bCs/>
          <w:i/>
          <w:iCs/>
          <w:sz w:val="24"/>
          <w:szCs w:val="24"/>
        </w:rPr>
        <w:t xml:space="preserve">urance Environnement (PAE), </w:t>
      </w:r>
      <w:r w:rsidRPr="00D75D2E">
        <w:rPr>
          <w:rFonts w:ascii="Times New Roman" w:hAnsi="Times New Roman"/>
          <w:bCs/>
          <w:i/>
          <w:iCs/>
          <w:sz w:val="24"/>
          <w:szCs w:val="24"/>
        </w:rPr>
        <w:t>Plan Particulier de Gestion et d’Elimination des</w:t>
      </w:r>
      <w:r w:rsidRPr="00D75D2E">
        <w:rPr>
          <w:rFonts w:ascii="Times New Roman" w:hAnsi="Times New Roman"/>
          <w:b/>
          <w:bCs/>
          <w:i/>
          <w:iCs/>
          <w:sz w:val="24"/>
          <w:szCs w:val="24"/>
        </w:rPr>
        <w:t xml:space="preserve"> </w:t>
      </w:r>
      <w:r>
        <w:rPr>
          <w:rFonts w:ascii="Times New Roman" w:hAnsi="Times New Roman"/>
          <w:bCs/>
          <w:i/>
          <w:iCs/>
          <w:sz w:val="24"/>
          <w:szCs w:val="24"/>
        </w:rPr>
        <w:t xml:space="preserve">Déchets (PPGED), </w:t>
      </w:r>
      <w:r w:rsidRPr="00D75D2E">
        <w:rPr>
          <w:rFonts w:ascii="Times New Roman" w:hAnsi="Times New Roman"/>
          <w:bCs/>
          <w:i/>
          <w:iCs/>
          <w:sz w:val="24"/>
          <w:szCs w:val="24"/>
        </w:rPr>
        <w:t>Plan Particulier de Sécurité et de Protection de la Santé (PPSPS</w:t>
      </w:r>
      <w:r>
        <w:rPr>
          <w:rFonts w:ascii="Times New Roman" w:hAnsi="Times New Roman"/>
          <w:bCs/>
          <w:i/>
          <w:iCs/>
          <w:sz w:val="24"/>
          <w:szCs w:val="24"/>
          <w:lang w:val="fr-CA"/>
        </w:rPr>
        <w:t xml:space="preserve">), </w:t>
      </w:r>
      <w:r w:rsidRPr="00D75D2E">
        <w:rPr>
          <w:rFonts w:ascii="Times New Roman" w:hAnsi="Times New Roman"/>
          <w:bCs/>
          <w:i/>
          <w:iCs/>
          <w:sz w:val="24"/>
          <w:szCs w:val="24"/>
          <w:lang w:val="fr-CA"/>
        </w:rPr>
        <w:t>Mécanisme de Gestion des Plaintes de l’Employeur (MGPE)</w:t>
      </w:r>
      <w:r w:rsidRPr="00D75D2E">
        <w:rPr>
          <w:rFonts w:ascii="Times New Roman" w:eastAsia="Times New Roman" w:hAnsi="Times New Roman"/>
          <w:sz w:val="24"/>
          <w:szCs w:val="24"/>
        </w:rPr>
        <w:t xml:space="preserve">  </w:t>
      </w:r>
      <w:r>
        <w:rPr>
          <w:rFonts w:ascii="Times New Roman" w:eastAsia="Times New Roman" w:hAnsi="Times New Roman"/>
          <w:sz w:val="24"/>
          <w:szCs w:val="24"/>
        </w:rPr>
        <w:t>oyo kompany andimi kotosa</w:t>
      </w:r>
      <w:r w:rsidRPr="00D75D2E">
        <w:rPr>
          <w:rFonts w:ascii="Times New Roman" w:eastAsia="Times New Roman" w:hAnsi="Times New Roman"/>
          <w:sz w:val="24"/>
          <w:szCs w:val="24"/>
        </w:rPr>
        <w:t xml:space="preserve">, </w:t>
      </w:r>
      <w:r>
        <w:rPr>
          <w:rFonts w:ascii="Times New Roman" w:eastAsia="Times New Roman" w:hAnsi="Times New Roman"/>
          <w:sz w:val="24"/>
          <w:szCs w:val="24"/>
        </w:rPr>
        <w:t>na kotiyaka mokolokoto na kobomba naino pitolo, kobomba fulu ya makasi</w:t>
      </w:r>
      <w:r w:rsidRPr="00D75D2E">
        <w:rPr>
          <w:rFonts w:ascii="Times New Roman" w:eastAsia="Times New Roman" w:hAnsi="Times New Roman"/>
          <w:sz w:val="24"/>
          <w:szCs w:val="24"/>
        </w:rPr>
        <w:t xml:space="preserve">, </w:t>
      </w:r>
      <w:r>
        <w:rPr>
          <w:rFonts w:ascii="Times New Roman" w:eastAsia="Times New Roman" w:hAnsi="Times New Roman"/>
          <w:sz w:val="24"/>
          <w:szCs w:val="24"/>
        </w:rPr>
        <w:t>kobatela bavandi</w:t>
      </w:r>
      <w:r w:rsidRPr="00D75D2E">
        <w:rPr>
          <w:rFonts w:ascii="Times New Roman" w:eastAsia="Times New Roman" w:hAnsi="Times New Roman"/>
          <w:sz w:val="24"/>
          <w:szCs w:val="24"/>
        </w:rPr>
        <w:t xml:space="preserve">, </w:t>
      </w:r>
      <w:r>
        <w:rPr>
          <w:rFonts w:ascii="Times New Roman" w:eastAsia="Times New Roman" w:hAnsi="Times New Roman"/>
          <w:sz w:val="24"/>
          <w:szCs w:val="24"/>
        </w:rPr>
        <w:t>kotosa bisika ya banyama, mayi, mabele mpe batu</w:t>
      </w:r>
      <w:r w:rsidRPr="00D75D2E">
        <w:rPr>
          <w:rFonts w:ascii="Times New Roman" w:eastAsia="Times New Roman" w:hAnsi="Times New Roman"/>
          <w:sz w:val="24"/>
          <w:szCs w:val="24"/>
        </w:rPr>
        <w:t xml:space="preserve">, </w:t>
      </w:r>
      <w:r>
        <w:rPr>
          <w:rFonts w:ascii="Times New Roman" w:eastAsia="Times New Roman" w:hAnsi="Times New Roman"/>
          <w:sz w:val="24"/>
          <w:szCs w:val="24"/>
        </w:rPr>
        <w:t>kobatela bokolongono bwa nzoto mpe kobatela basali, kobate</w:t>
      </w:r>
      <w:r w:rsidRPr="00D75D2E">
        <w:rPr>
          <w:rFonts w:ascii="Times New Roman" w:eastAsia="Times New Roman" w:hAnsi="Times New Roman"/>
          <w:sz w:val="24"/>
          <w:szCs w:val="24"/>
        </w:rPr>
        <w:t xml:space="preserve">la  </w:t>
      </w:r>
      <w:r>
        <w:rPr>
          <w:rFonts w:ascii="Times New Roman" w:eastAsia="Times New Roman" w:hAnsi="Times New Roman"/>
          <w:sz w:val="24"/>
          <w:szCs w:val="24"/>
        </w:rPr>
        <w:t xml:space="preserve">bisaleli ntangu ba kokanga misala mpe kobongisa bisika misala esalami sima kosalela. </w:t>
      </w:r>
      <w:r w:rsidRPr="00272346">
        <w:rPr>
          <w:rFonts w:ascii="Times New Roman" w:eastAsia="Times New Roman" w:hAnsi="Times New Roman"/>
          <w:sz w:val="24"/>
          <w:szCs w:val="24"/>
        </w:rPr>
        <w:t xml:space="preserve">MGP </w:t>
      </w:r>
      <w:r>
        <w:rPr>
          <w:rFonts w:ascii="Times New Roman" w:eastAsia="Times New Roman" w:hAnsi="Times New Roman"/>
          <w:sz w:val="24"/>
          <w:szCs w:val="24"/>
        </w:rPr>
        <w:t xml:space="preserve">liye ekofongola lolenge ya kosalela pona kolanda basaleli makambo oyo bafundaki ya </w:t>
      </w:r>
      <w:r w:rsidRPr="00272346">
        <w:rPr>
          <w:rFonts w:ascii="Times New Roman" w:eastAsia="Times New Roman" w:hAnsi="Times New Roman"/>
          <w:sz w:val="24"/>
          <w:szCs w:val="24"/>
        </w:rPr>
        <w:t xml:space="preserve">EAS/HS </w:t>
      </w:r>
      <w:r>
        <w:rPr>
          <w:rFonts w:ascii="Times New Roman" w:eastAsia="Times New Roman" w:hAnsi="Times New Roman"/>
          <w:sz w:val="24"/>
          <w:szCs w:val="24"/>
        </w:rPr>
        <w:t>na nzela moko na oyo ezwami na misala</w:t>
      </w:r>
      <w:r w:rsidRPr="00272346">
        <w:rPr>
          <w:rFonts w:ascii="Times New Roman" w:eastAsia="Times New Roman" w:hAnsi="Times New Roman"/>
          <w:sz w:val="24"/>
          <w:szCs w:val="24"/>
        </w:rPr>
        <w:t xml:space="preserve">. </w:t>
      </w:r>
      <w:r>
        <w:rPr>
          <w:rFonts w:ascii="Times New Roman" w:eastAsia="Times New Roman" w:hAnsi="Times New Roman"/>
          <w:sz w:val="24"/>
          <w:szCs w:val="24"/>
        </w:rPr>
        <w:t>Na yango</w:t>
      </w:r>
      <w:r w:rsidRPr="00272346">
        <w:rPr>
          <w:rFonts w:ascii="Times New Roman" w:eastAsia="Times New Roman" w:hAnsi="Times New Roman"/>
          <w:sz w:val="24"/>
          <w:szCs w:val="24"/>
        </w:rPr>
        <w:t xml:space="preserve"> PGES-C </w:t>
      </w:r>
      <w:r>
        <w:rPr>
          <w:rFonts w:ascii="Times New Roman" w:eastAsia="Times New Roman" w:hAnsi="Times New Roman"/>
          <w:sz w:val="24"/>
          <w:szCs w:val="24"/>
        </w:rPr>
        <w:t xml:space="preserve">eza na lotomo ya koyokanisa mikano oyo ebambami mpe biyano na makama ya </w:t>
      </w:r>
      <w:r w:rsidRPr="00272346">
        <w:rPr>
          <w:rFonts w:ascii="Times New Roman" w:eastAsia="Times New Roman" w:hAnsi="Times New Roman"/>
          <w:sz w:val="24"/>
          <w:szCs w:val="24"/>
        </w:rPr>
        <w:t xml:space="preserve">EAS/HS, </w:t>
      </w:r>
      <w:r>
        <w:rPr>
          <w:rFonts w:ascii="Times New Roman" w:eastAsia="Times New Roman" w:hAnsi="Times New Roman"/>
          <w:sz w:val="24"/>
          <w:szCs w:val="24"/>
        </w:rPr>
        <w:t>nzela moko na miango ya misala</w:t>
      </w:r>
      <w:r w:rsidRPr="00272346">
        <w:rPr>
          <w:rFonts w:ascii="Times New Roman" w:eastAsia="Times New Roman" w:hAnsi="Times New Roman"/>
          <w:sz w:val="24"/>
          <w:szCs w:val="24"/>
        </w:rPr>
        <w:t xml:space="preserve"> (</w:t>
      </w:r>
      <w:r>
        <w:rPr>
          <w:rFonts w:ascii="Times New Roman" w:eastAsia="Times New Roman" w:hAnsi="Times New Roman"/>
          <w:sz w:val="24"/>
          <w:szCs w:val="24"/>
        </w:rPr>
        <w:t>kokoma mobeko ya etamboli malamu</w:t>
      </w:r>
      <w:r w:rsidRPr="00272346">
        <w:rPr>
          <w:rFonts w:ascii="Times New Roman" w:eastAsia="Times New Roman" w:hAnsi="Times New Roman"/>
          <w:sz w:val="24"/>
          <w:szCs w:val="24"/>
        </w:rPr>
        <w:t xml:space="preserve">, </w:t>
      </w:r>
      <w:r>
        <w:rPr>
          <w:rFonts w:ascii="Times New Roman" w:eastAsia="Times New Roman" w:hAnsi="Times New Roman"/>
          <w:sz w:val="24"/>
          <w:szCs w:val="24"/>
        </w:rPr>
        <w:t>mokolokoto ya mobeko</w:t>
      </w:r>
      <w:r w:rsidRPr="00272346">
        <w:rPr>
          <w:rFonts w:ascii="Times New Roman" w:eastAsia="Times New Roman" w:hAnsi="Times New Roman"/>
          <w:sz w:val="24"/>
          <w:szCs w:val="24"/>
        </w:rPr>
        <w:t xml:space="preserve">, </w:t>
      </w:r>
      <w:r>
        <w:rPr>
          <w:rFonts w:ascii="Times New Roman" w:eastAsia="Times New Roman" w:hAnsi="Times New Roman"/>
          <w:sz w:val="24"/>
          <w:szCs w:val="24"/>
        </w:rPr>
        <w:t>kotangisa batu ya misala</w:t>
      </w:r>
      <w:r w:rsidRPr="00272346">
        <w:rPr>
          <w:rFonts w:ascii="Times New Roman" w:eastAsia="Times New Roman" w:hAnsi="Times New Roman"/>
          <w:sz w:val="24"/>
          <w:szCs w:val="24"/>
        </w:rPr>
        <w:t>, etc.)</w:t>
      </w:r>
      <w:r w:rsidRPr="00D75D2E">
        <w:rPr>
          <w:rFonts w:ascii="Times New Roman" w:eastAsia="Times New Roman" w:hAnsi="Times New Roman"/>
          <w:sz w:val="24"/>
          <w:szCs w:val="24"/>
        </w:rPr>
        <w:t> ;</w:t>
      </w:r>
    </w:p>
    <w:p w14:paraId="49F424C8" w14:textId="77777777" w:rsidR="00915003" w:rsidRPr="00D75D2E" w:rsidRDefault="00915003" w:rsidP="00915003">
      <w:pPr>
        <w:numPr>
          <w:ilvl w:val="0"/>
          <w:numId w:val="223"/>
        </w:numPr>
        <w:tabs>
          <w:tab w:val="left" w:pos="709"/>
        </w:tabs>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xml:space="preserve">Kosala miango ya kobatela bisika bizingi mokili ya bisika misala esalami </w:t>
      </w:r>
      <w:r w:rsidRPr="00D75D2E">
        <w:rPr>
          <w:rFonts w:ascii="Times New Roman" w:eastAsia="Times New Roman" w:hAnsi="Times New Roman"/>
          <w:sz w:val="24"/>
          <w:szCs w:val="24"/>
        </w:rPr>
        <w:t>(PPES) po</w:t>
      </w:r>
      <w:r>
        <w:rPr>
          <w:rFonts w:ascii="Times New Roman" w:eastAsia="Times New Roman" w:hAnsi="Times New Roman"/>
          <w:sz w:val="24"/>
          <w:szCs w:val="24"/>
        </w:rPr>
        <w:t>na nzinga-nzinga eza koyokana makasi ya musala</w:t>
      </w:r>
      <w:r w:rsidRPr="00D75D2E">
        <w:rPr>
          <w:rFonts w:ascii="Times New Roman" w:eastAsia="Times New Roman" w:hAnsi="Times New Roman"/>
          <w:sz w:val="24"/>
          <w:szCs w:val="24"/>
        </w:rPr>
        <w:t> ;</w:t>
      </w:r>
    </w:p>
    <w:p w14:paraId="3633D99C" w14:textId="77777777" w:rsidR="00915003" w:rsidRPr="00D75D2E" w:rsidRDefault="00915003" w:rsidP="00915003">
      <w:pPr>
        <w:numPr>
          <w:ilvl w:val="0"/>
          <w:numId w:val="223"/>
        </w:numPr>
        <w:tabs>
          <w:tab w:val="left" w:pos="709"/>
        </w:tabs>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Kasala miango musal ya kati</w:t>
      </w:r>
      <w:r w:rsidRPr="00D75D2E">
        <w:rPr>
          <w:rFonts w:ascii="Times New Roman" w:eastAsia="Times New Roman" w:hAnsi="Times New Roman"/>
          <w:sz w:val="24"/>
          <w:szCs w:val="24"/>
        </w:rPr>
        <w:t xml:space="preserve"> (POI).</w:t>
      </w:r>
    </w:p>
    <w:p w14:paraId="7E2FFE0D" w14:textId="77777777" w:rsidR="00915003" w:rsidRPr="00D75D2E" w:rsidRDefault="00915003" w:rsidP="00915003">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Pr>
          <w:rFonts w:ascii="Times New Roman" w:eastAsia="Arial Unicode MS" w:hAnsi="Times New Roman"/>
          <w:b/>
          <w:sz w:val="24"/>
          <w:szCs w:val="24"/>
          <w:lang w:val="fr-CA" w:eastAsia="fr-FR"/>
        </w:rPr>
        <w:t xml:space="preserve">Esalelo ya kobatela batu oyo bafundi oyo etali nde EAS/HS ya Musala. </w:t>
      </w:r>
    </w:p>
    <w:p w14:paraId="12322466" w14:textId="77777777" w:rsidR="00915003" w:rsidRDefault="00915003" w:rsidP="00915003">
      <w:pPr>
        <w:suppressAutoHyphens/>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Lolenge ya kobatela makambo ba fundi</w:t>
      </w:r>
      <w:r w:rsidRPr="00D75D2E">
        <w:rPr>
          <w:rFonts w:ascii="Times New Roman" w:hAnsi="Times New Roman"/>
          <w:sz w:val="24"/>
          <w:szCs w:val="24"/>
        </w:rPr>
        <w:t xml:space="preserve"> (MGP) </w:t>
      </w:r>
      <w:r>
        <w:rPr>
          <w:rFonts w:ascii="Times New Roman" w:eastAsia="Times New Roman" w:hAnsi="Times New Roman"/>
          <w:sz w:val="24"/>
          <w:szCs w:val="24"/>
        </w:rPr>
        <w:t>e</w:t>
      </w:r>
      <w:r w:rsidRPr="00D75D2E">
        <w:rPr>
          <w:rFonts w:ascii="Times New Roman" w:eastAsia="Times New Roman" w:hAnsi="Times New Roman"/>
          <w:sz w:val="24"/>
          <w:szCs w:val="24"/>
        </w:rPr>
        <w:t>t</w:t>
      </w:r>
      <w:r>
        <w:rPr>
          <w:rFonts w:ascii="Times New Roman" w:eastAsia="Times New Roman" w:hAnsi="Times New Roman"/>
          <w:sz w:val="24"/>
          <w:szCs w:val="24"/>
        </w:rPr>
        <w:t>iami na nzela ya misala miye mpe epesi nzela ya kobatela makambu nyoso oyo etikalaki lokola nyongo oyo ekoki kosalama liboso, na kati mpe sima ya misala</w:t>
      </w:r>
      <w:r w:rsidRPr="00D75D2E">
        <w:rPr>
          <w:rFonts w:ascii="Times New Roman" w:eastAsia="Times New Roman" w:hAnsi="Times New Roman"/>
          <w:sz w:val="24"/>
          <w:szCs w:val="24"/>
        </w:rPr>
        <w:t xml:space="preserve">. </w:t>
      </w:r>
    </w:p>
    <w:p w14:paraId="28AB1148" w14:textId="77777777" w:rsidR="00915003" w:rsidRPr="00D75D2E" w:rsidRDefault="00915003" w:rsidP="00915003">
      <w:pPr>
        <w:suppressAutoHyphens/>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Ba Kompany mpe ba sinzili bakoki kofongola lolenge moko ya feedback ya masanga oyo endimami na ba oyo bafundi mpo na EAS/HS.</w:t>
      </w:r>
    </w:p>
    <w:p w14:paraId="45C2C1C9" w14:textId="77777777" w:rsidR="00915003" w:rsidRPr="00D75D2E" w:rsidRDefault="00915003" w:rsidP="00915003">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Pr>
          <w:rFonts w:ascii="Times New Roman" w:eastAsia="Arial Unicode MS" w:hAnsi="Times New Roman"/>
          <w:b/>
          <w:sz w:val="24"/>
          <w:szCs w:val="24"/>
          <w:lang w:val="fr-CA" w:eastAsia="fr-FR"/>
        </w:rPr>
        <w:t>Ministère ya kolongono ya nzoto</w:t>
      </w:r>
      <w:r w:rsidRPr="00D75D2E">
        <w:rPr>
          <w:rFonts w:ascii="Times New Roman" w:eastAsia="Arial Unicode MS" w:hAnsi="Times New Roman"/>
          <w:b/>
          <w:sz w:val="24"/>
          <w:szCs w:val="24"/>
          <w:lang w:val="fr-CA" w:eastAsia="fr-FR"/>
        </w:rPr>
        <w:t xml:space="preserve"> </w:t>
      </w:r>
    </w:p>
    <w:p w14:paraId="5B91128F" w14:textId="77777777" w:rsidR="00915003" w:rsidRPr="00D75D2E" w:rsidRDefault="00915003" w:rsidP="00915003">
      <w:pPr>
        <w:suppressAutoHyphens/>
        <w:spacing w:before="120" w:after="120" w:line="240" w:lineRule="auto"/>
        <w:jc w:val="both"/>
        <w:rPr>
          <w:rFonts w:ascii="Times New Roman" w:eastAsia="Arial Unicode MS" w:hAnsi="Times New Roman"/>
          <w:b/>
          <w:sz w:val="24"/>
          <w:szCs w:val="24"/>
          <w:lang w:val="fr-CA" w:eastAsia="fr-FR"/>
        </w:rPr>
      </w:pPr>
      <w:r w:rsidRPr="00D75D2E">
        <w:rPr>
          <w:rFonts w:ascii="Times New Roman" w:eastAsia="Arial Unicode MS" w:hAnsi="Times New Roman"/>
          <w:sz w:val="24"/>
          <w:szCs w:val="24"/>
          <w:lang w:val="fr-CA" w:eastAsia="fr-FR"/>
        </w:rPr>
        <w:t xml:space="preserve">Ministère </w:t>
      </w:r>
      <w:r>
        <w:rPr>
          <w:rFonts w:ascii="Times New Roman" w:eastAsia="Arial Unicode MS" w:hAnsi="Times New Roman"/>
          <w:sz w:val="24"/>
          <w:szCs w:val="24"/>
          <w:lang w:val="fr-CA" w:eastAsia="fr-FR"/>
        </w:rPr>
        <w:t>oyo etali kolongono ya nzoto eko landa bokono maye</w:t>
      </w:r>
      <w:r w:rsidRPr="00D75D2E">
        <w:rPr>
          <w:rFonts w:ascii="Times New Roman" w:eastAsia="Arial Unicode MS" w:hAnsi="Times New Roman"/>
          <w:sz w:val="24"/>
          <w:szCs w:val="24"/>
          <w:lang w:val="fr-CA" w:eastAsia="fr-FR"/>
        </w:rPr>
        <w:t xml:space="preserve"> (IRA, IST, SIDA), etc.</w:t>
      </w:r>
    </w:p>
    <w:p w14:paraId="6781F048" w14:textId="77777777" w:rsidR="00915003" w:rsidRPr="00D75D2E" w:rsidRDefault="00915003" w:rsidP="00915003">
      <w:pPr>
        <w:numPr>
          <w:ilvl w:val="0"/>
          <w:numId w:val="44"/>
        </w:numPr>
        <w:spacing w:before="120" w:after="120" w:line="240" w:lineRule="auto"/>
        <w:ind w:left="714" w:hanging="357"/>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 xml:space="preserve">Communes </w:t>
      </w:r>
      <w:r>
        <w:rPr>
          <w:rFonts w:ascii="Times New Roman" w:eastAsia="Arial Unicode MS" w:hAnsi="Times New Roman"/>
          <w:b/>
          <w:sz w:val="24"/>
          <w:szCs w:val="24"/>
          <w:lang w:val="fr-CA" w:eastAsia="fr-FR"/>
        </w:rPr>
        <w:t>ya engumba ya</w:t>
      </w:r>
      <w:r w:rsidRPr="00D75D2E">
        <w:rPr>
          <w:rFonts w:ascii="Times New Roman" w:eastAsia="Arial Unicode MS" w:hAnsi="Times New Roman"/>
          <w:b/>
          <w:sz w:val="24"/>
          <w:szCs w:val="24"/>
          <w:lang w:val="fr-CA" w:eastAsia="fr-FR"/>
        </w:rPr>
        <w:t xml:space="preserve"> Kinshasa </w:t>
      </w:r>
      <w:r>
        <w:rPr>
          <w:rFonts w:ascii="Times New Roman" w:eastAsia="Arial Unicode MS" w:hAnsi="Times New Roman"/>
          <w:b/>
          <w:sz w:val="24"/>
          <w:szCs w:val="24"/>
          <w:lang w:val="fr-CA" w:eastAsia="fr-FR"/>
        </w:rPr>
        <w:t>oyo etali musala</w:t>
      </w:r>
      <w:r w:rsidRPr="00D75D2E">
        <w:rPr>
          <w:rFonts w:ascii="Times New Roman" w:eastAsia="Arial Unicode MS" w:hAnsi="Times New Roman"/>
          <w:b/>
          <w:sz w:val="24"/>
          <w:szCs w:val="24"/>
          <w:lang w:val="fr-CA" w:eastAsia="fr-FR"/>
        </w:rPr>
        <w:t xml:space="preserve"> </w:t>
      </w:r>
    </w:p>
    <w:p w14:paraId="7EEBEF6A" w14:textId="77777777" w:rsidR="00915003" w:rsidRPr="00D60172" w:rsidRDefault="00915003" w:rsidP="00915003">
      <w:pPr>
        <w:suppressAutoHyphens/>
        <w:spacing w:before="120" w:after="120" w:line="240" w:lineRule="auto"/>
        <w:jc w:val="both"/>
        <w:rPr>
          <w:rFonts w:ascii="Times New Roman" w:eastAsia="Arial Unicode MS" w:hAnsi="Times New Roman"/>
          <w:sz w:val="24"/>
          <w:szCs w:val="24"/>
          <w:lang w:val="fr-CA" w:eastAsia="fr-FR"/>
        </w:rPr>
      </w:pPr>
      <w:r>
        <w:rPr>
          <w:rFonts w:ascii="Times New Roman" w:hAnsi="Times New Roman"/>
          <w:sz w:val="24"/>
          <w:szCs w:val="24"/>
        </w:rPr>
        <w:t xml:space="preserve">Ba </w:t>
      </w:r>
      <w:r w:rsidRPr="00D60172">
        <w:rPr>
          <w:rFonts w:ascii="Times New Roman" w:eastAsia="Arial Unicode MS" w:hAnsi="Times New Roman"/>
          <w:sz w:val="24"/>
          <w:szCs w:val="24"/>
          <w:lang w:val="fr-CA" w:eastAsia="fr-FR"/>
        </w:rPr>
        <w:t>kolanda, ba kokebisa batu mpe na kosangisa batu, na kondima mpe kopalangisa sango ya PGES, na misala oyo esalami, etc.</w:t>
      </w:r>
    </w:p>
    <w:p w14:paraId="3C4CBFFA" w14:textId="77777777" w:rsidR="00915003" w:rsidRPr="00D75D2E" w:rsidRDefault="00915003" w:rsidP="00915003">
      <w:pPr>
        <w:suppressAutoHyphens/>
        <w:spacing w:before="120" w:after="120" w:line="240" w:lineRule="auto"/>
        <w:jc w:val="both"/>
        <w:rPr>
          <w:rFonts w:ascii="Times New Roman" w:hAnsi="Times New Roman"/>
          <w:sz w:val="24"/>
          <w:szCs w:val="24"/>
        </w:rPr>
      </w:pPr>
      <w:r w:rsidRPr="00D60172">
        <w:rPr>
          <w:rFonts w:ascii="Times New Roman" w:eastAsia="Arial Unicode MS" w:hAnsi="Times New Roman"/>
          <w:sz w:val="24"/>
          <w:szCs w:val="24"/>
          <w:lang w:val="fr-CA" w:eastAsia="fr-FR"/>
        </w:rPr>
        <w:t>Ba communes 10 oyo misala ekosalama baza na batu oyo ba yebi ko senzela bisika bizingi mokili mpe kokebisa. Kasi, mingi na bango batanga mingi te oyo ya moboku na bisika bizingi mokili. Musala esengeli na eteni ya kobanda ko bakisa mayele ya misala ya bisika bizingi mokili na oyo etali kolanda ya bisika bizingi mokili, kopanza sango ya bisika bizingi</w:t>
      </w:r>
      <w:r>
        <w:rPr>
          <w:rFonts w:ascii="Times New Roman" w:hAnsi="Times New Roman"/>
          <w:sz w:val="24"/>
          <w:szCs w:val="24"/>
        </w:rPr>
        <w:t xml:space="preserve"> mokili, mpe esaleli ya MGP.</w:t>
      </w:r>
    </w:p>
    <w:p w14:paraId="676DA712" w14:textId="77777777" w:rsidR="00915003" w:rsidRPr="00D75D2E" w:rsidRDefault="00915003" w:rsidP="00915003">
      <w:pPr>
        <w:numPr>
          <w:ilvl w:val="0"/>
          <w:numId w:val="44"/>
        </w:numPr>
        <w:spacing w:before="120" w:after="120" w:line="240" w:lineRule="auto"/>
        <w:ind w:left="714" w:hanging="357"/>
        <w:jc w:val="both"/>
        <w:rPr>
          <w:rFonts w:ascii="Times New Roman" w:hAnsi="Times New Roman"/>
          <w:b/>
          <w:sz w:val="24"/>
          <w:szCs w:val="24"/>
        </w:rPr>
      </w:pPr>
      <w:r>
        <w:rPr>
          <w:rFonts w:ascii="Times New Roman" w:hAnsi="Times New Roman"/>
          <w:b/>
          <w:sz w:val="24"/>
          <w:szCs w:val="24"/>
        </w:rPr>
        <w:t>ONG mpe Masanga ya</w:t>
      </w:r>
      <w:r w:rsidRPr="00D75D2E">
        <w:rPr>
          <w:rFonts w:ascii="Times New Roman" w:hAnsi="Times New Roman"/>
          <w:b/>
          <w:sz w:val="24"/>
          <w:szCs w:val="24"/>
        </w:rPr>
        <w:t xml:space="preserve"> société civile</w:t>
      </w:r>
    </w:p>
    <w:p w14:paraId="74AF41CA" w14:textId="77777777" w:rsidR="00915003" w:rsidRPr="00D75D2E" w:rsidRDefault="00915003" w:rsidP="00915003">
      <w:pPr>
        <w:suppressAutoHyphens/>
        <w:spacing w:before="120" w:after="120" w:line="240" w:lineRule="auto"/>
        <w:jc w:val="both"/>
        <w:rPr>
          <w:rFonts w:ascii="Times New Roman" w:hAnsi="Times New Roman"/>
          <w:sz w:val="24"/>
          <w:szCs w:val="24"/>
        </w:rPr>
      </w:pPr>
      <w:r>
        <w:rPr>
          <w:rFonts w:ascii="Times New Roman" w:hAnsi="Times New Roman"/>
          <w:sz w:val="24"/>
          <w:szCs w:val="24"/>
        </w:rPr>
        <w:t xml:space="preserve">Ba ONG mpe masanga baye ekozala na eteni ya mabongisi, na masolo ya libanda mpe </w:t>
      </w:r>
      <w:r w:rsidRPr="00D60172">
        <w:rPr>
          <w:rFonts w:ascii="Times New Roman" w:eastAsia="Arial Unicode MS" w:hAnsi="Times New Roman"/>
          <w:sz w:val="24"/>
          <w:szCs w:val="24"/>
          <w:lang w:val="fr-CA" w:eastAsia="fr-FR"/>
        </w:rPr>
        <w:t>bosangani</w:t>
      </w:r>
      <w:r>
        <w:rPr>
          <w:rFonts w:ascii="Times New Roman" w:hAnsi="Times New Roman"/>
          <w:sz w:val="24"/>
          <w:szCs w:val="24"/>
        </w:rPr>
        <w:t xml:space="preserve"> mpo na koyanola, kotala mukanda ya PGES, koyebisa mpe kokebisa batu nyoso ya musala na oyo etali ya bisika bizingi mokili mpe efandeli ya batu oyo etali misala mpe na kosalela musala</w:t>
      </w:r>
      <w:r w:rsidRPr="00D75D2E">
        <w:rPr>
          <w:rFonts w:ascii="Times New Roman" w:hAnsi="Times New Roman"/>
          <w:sz w:val="24"/>
          <w:szCs w:val="24"/>
        </w:rPr>
        <w:t>.</w:t>
      </w:r>
    </w:p>
    <w:p w14:paraId="027BE3F0" w14:textId="77777777" w:rsidR="00915003" w:rsidRPr="00D75D2E" w:rsidRDefault="00915003" w:rsidP="00915003">
      <w:pPr>
        <w:numPr>
          <w:ilvl w:val="0"/>
          <w:numId w:val="44"/>
        </w:numPr>
        <w:spacing w:before="120" w:after="120" w:line="240" w:lineRule="auto"/>
        <w:ind w:left="714" w:hanging="357"/>
        <w:jc w:val="both"/>
        <w:rPr>
          <w:rFonts w:ascii="Times New Roman" w:hAnsi="Times New Roman"/>
          <w:sz w:val="24"/>
          <w:szCs w:val="24"/>
        </w:rPr>
      </w:pPr>
      <w:r>
        <w:rPr>
          <w:rFonts w:ascii="Times New Roman" w:hAnsi="Times New Roman"/>
          <w:b/>
          <w:sz w:val="24"/>
          <w:szCs w:val="24"/>
        </w:rPr>
        <w:t>Lisanga ya kotalisa ya bisika bizingi mokili mpe bafandi ya batu</w:t>
      </w:r>
      <w:r w:rsidRPr="00D75D2E">
        <w:rPr>
          <w:rFonts w:ascii="Times New Roman" w:hAnsi="Times New Roman"/>
          <w:b/>
          <w:sz w:val="24"/>
          <w:szCs w:val="24"/>
        </w:rPr>
        <w:t xml:space="preserve"> (PCES) </w:t>
      </w:r>
      <w:r>
        <w:rPr>
          <w:rFonts w:ascii="Times New Roman" w:hAnsi="Times New Roman"/>
          <w:b/>
          <w:sz w:val="24"/>
          <w:szCs w:val="24"/>
        </w:rPr>
        <w:t xml:space="preserve">mpe </w:t>
      </w:r>
      <w:r w:rsidRPr="00D75D2E">
        <w:rPr>
          <w:rFonts w:ascii="Times New Roman" w:hAnsi="Times New Roman"/>
          <w:b/>
          <w:sz w:val="24"/>
          <w:szCs w:val="24"/>
        </w:rPr>
        <w:t>Ban</w:t>
      </w:r>
      <w:r>
        <w:rPr>
          <w:rFonts w:ascii="Times New Roman" w:hAnsi="Times New Roman"/>
          <w:b/>
          <w:sz w:val="24"/>
          <w:szCs w:val="24"/>
        </w:rPr>
        <w:t>ki ya molongo mobimba</w:t>
      </w:r>
      <w:r w:rsidRPr="00D75D2E">
        <w:rPr>
          <w:rFonts w:ascii="Times New Roman" w:hAnsi="Times New Roman"/>
          <w:sz w:val="24"/>
          <w:szCs w:val="24"/>
        </w:rPr>
        <w:t xml:space="preserve"> </w:t>
      </w:r>
    </w:p>
    <w:p w14:paraId="65E423E9" w14:textId="77777777" w:rsidR="00915003" w:rsidRPr="00D75D2E" w:rsidRDefault="00915003" w:rsidP="00915003">
      <w:pPr>
        <w:suppressAutoHyphens/>
        <w:spacing w:before="120" w:after="120" w:line="240" w:lineRule="auto"/>
        <w:jc w:val="both"/>
        <w:rPr>
          <w:rFonts w:ascii="Times New Roman" w:hAnsi="Times New Roman"/>
          <w:sz w:val="24"/>
          <w:szCs w:val="24"/>
        </w:rPr>
      </w:pPr>
      <w:r>
        <w:rPr>
          <w:rFonts w:ascii="Times New Roman" w:hAnsi="Times New Roman"/>
          <w:sz w:val="24"/>
          <w:szCs w:val="24"/>
        </w:rPr>
        <w:t xml:space="preserve">Lisanga ya kotalela makambu ya bisika bizingi mokili na efandeli ya batu mpe Banki ya molongo mobimba ako senzela na malombi nyoso ya  bisika bizingi mokili na efandeli ya batu </w:t>
      </w:r>
      <w:r w:rsidRPr="00D60172">
        <w:rPr>
          <w:rFonts w:ascii="Times New Roman" w:eastAsia="Arial Unicode MS" w:hAnsi="Times New Roman"/>
          <w:sz w:val="24"/>
          <w:szCs w:val="24"/>
          <w:lang w:val="fr-CA" w:eastAsia="fr-FR"/>
        </w:rPr>
        <w:t>ntango</w:t>
      </w:r>
      <w:r>
        <w:rPr>
          <w:rFonts w:ascii="Times New Roman" w:hAnsi="Times New Roman"/>
          <w:sz w:val="24"/>
          <w:szCs w:val="24"/>
        </w:rPr>
        <w:t xml:space="preserve"> misala ekosalama mpe kolanda misala mpa na yango, engebene mibeko ya </w:t>
      </w:r>
      <w:r w:rsidRPr="00D75D2E">
        <w:rPr>
          <w:rFonts w:ascii="Times New Roman" w:hAnsi="Times New Roman"/>
          <w:sz w:val="24"/>
          <w:szCs w:val="24"/>
        </w:rPr>
        <w:t xml:space="preserve"> Ban</w:t>
      </w:r>
      <w:r>
        <w:rPr>
          <w:rFonts w:ascii="Times New Roman" w:hAnsi="Times New Roman"/>
          <w:sz w:val="24"/>
          <w:szCs w:val="24"/>
        </w:rPr>
        <w:t>ki oyo etali mosala liye</w:t>
      </w:r>
      <w:r w:rsidRPr="00D75D2E">
        <w:rPr>
          <w:rFonts w:ascii="Times New Roman" w:hAnsi="Times New Roman"/>
          <w:sz w:val="24"/>
          <w:szCs w:val="24"/>
        </w:rPr>
        <w:t>.</w:t>
      </w:r>
    </w:p>
    <w:p w14:paraId="7C42848D" w14:textId="77777777" w:rsidR="00915003" w:rsidRPr="00D75D2E"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Pr>
          <w:rFonts w:ascii="Times New Roman" w:hAnsi="Times New Roman"/>
          <w:b/>
          <w:sz w:val="24"/>
          <w:szCs w:val="24"/>
          <w:u w:val="single"/>
        </w:rPr>
        <w:t>Kobakisa mayele</w:t>
      </w:r>
    </w:p>
    <w:p w14:paraId="1EE3FD13" w14:textId="77777777" w:rsidR="00915003" w:rsidRDefault="00915003" w:rsidP="00915003">
      <w:pPr>
        <w:suppressAutoHyphens/>
        <w:spacing w:before="120" w:after="120" w:line="240" w:lineRule="auto"/>
        <w:jc w:val="both"/>
        <w:rPr>
          <w:rFonts w:ascii="Times New Roman" w:hAnsi="Times New Roman"/>
          <w:sz w:val="24"/>
          <w:szCs w:val="24"/>
        </w:rPr>
      </w:pPr>
      <w:r>
        <w:rPr>
          <w:rFonts w:ascii="Times New Roman" w:hAnsi="Times New Roman"/>
          <w:sz w:val="24"/>
          <w:szCs w:val="24"/>
        </w:rPr>
        <w:t xml:space="preserve">Kobakisa mayele etali naino batu ya nzebi ya  bisika bizingi mokili mpe oyo kobongisa </w:t>
      </w:r>
      <w:r w:rsidRPr="00D60172">
        <w:rPr>
          <w:rFonts w:ascii="Times New Roman" w:eastAsia="Arial Unicode MS" w:hAnsi="Times New Roman"/>
          <w:sz w:val="24"/>
          <w:szCs w:val="24"/>
          <w:lang w:val="fr-CA" w:eastAsia="fr-FR"/>
        </w:rPr>
        <w:t xml:space="preserve">efandeli ya batu mpe na batu ya misala, ba kambi ya communes ba oyo bazali kobatela mpe kolanda musala na kati ya bituka na bango oyo eza esika misala eko salama, masanga oyo </w:t>
      </w:r>
      <w:r w:rsidRPr="00D60172">
        <w:rPr>
          <w:rFonts w:ascii="Times New Roman" w:eastAsiaTheme="minorHAnsi" w:hAnsi="Times New Roman"/>
          <w:sz w:val="24"/>
          <w:szCs w:val="24"/>
        </w:rPr>
        <w:t>eko</w:t>
      </w:r>
      <w:r w:rsidRPr="00D60172">
        <w:rPr>
          <w:rFonts w:ascii="Times New Roman" w:eastAsia="Arial Unicode MS" w:hAnsi="Times New Roman"/>
          <w:sz w:val="24"/>
          <w:szCs w:val="24"/>
          <w:lang w:val="fr-CA" w:eastAsia="fr-FR"/>
        </w:rPr>
        <w:t xml:space="preserve"> kozuwa oyo etongami, bakambi ya kompany ekosala musala. Masanga ya kotangisa</w:t>
      </w:r>
      <w:r>
        <w:rPr>
          <w:rFonts w:ascii="Times New Roman" w:hAnsi="Times New Roman"/>
          <w:sz w:val="24"/>
          <w:szCs w:val="24"/>
        </w:rPr>
        <w:t xml:space="preserve"> mpo na kobatela ya bisika bizingi mokili mpe efandela ya batu na ntango ya misala ekosalama ekobongisama na engumba etuka ya </w:t>
      </w:r>
      <w:r w:rsidRPr="00D75D2E">
        <w:rPr>
          <w:rFonts w:ascii="Times New Roman" w:hAnsi="Times New Roman"/>
          <w:sz w:val="24"/>
          <w:szCs w:val="24"/>
        </w:rPr>
        <w:t xml:space="preserve">Kinshasa </w:t>
      </w:r>
      <w:r>
        <w:rPr>
          <w:rFonts w:ascii="Times New Roman" w:hAnsi="Times New Roman"/>
          <w:sz w:val="24"/>
          <w:szCs w:val="24"/>
        </w:rPr>
        <w:t>na ntangu ba kopesa mbela mpo misala ebanda</w:t>
      </w:r>
      <w:r w:rsidRPr="00D75D2E">
        <w:rPr>
          <w:rFonts w:ascii="Times New Roman" w:hAnsi="Times New Roman"/>
          <w:sz w:val="24"/>
          <w:szCs w:val="24"/>
        </w:rPr>
        <w:t xml:space="preserve">. </w:t>
      </w:r>
      <w:r>
        <w:rPr>
          <w:rFonts w:ascii="Times New Roman" w:hAnsi="Times New Roman"/>
          <w:sz w:val="24"/>
          <w:szCs w:val="24"/>
        </w:rPr>
        <w:t>Kotangisa eza na milongo ekeseni lokola etiami na etando oyo</w:t>
      </w:r>
    </w:p>
    <w:tbl>
      <w:tblPr>
        <w:tblW w:w="9255" w:type="dxa"/>
        <w:jc w:val="center"/>
        <w:tblCellMar>
          <w:left w:w="70" w:type="dxa"/>
          <w:right w:w="70" w:type="dxa"/>
        </w:tblCellMar>
        <w:tblLook w:val="04A0" w:firstRow="1" w:lastRow="0" w:firstColumn="1" w:lastColumn="0" w:noHBand="0" w:noVBand="1"/>
      </w:tblPr>
      <w:tblGrid>
        <w:gridCol w:w="536"/>
        <w:gridCol w:w="1722"/>
        <w:gridCol w:w="3495"/>
        <w:gridCol w:w="3502"/>
      </w:tblGrid>
      <w:tr w:rsidR="00915003" w:rsidRPr="0039076C" w14:paraId="56C4950F" w14:textId="77777777" w:rsidTr="0081725D">
        <w:trPr>
          <w:trHeight w:val="515"/>
          <w:tblHeader/>
          <w:jc w:val="center"/>
        </w:trPr>
        <w:tc>
          <w:tcPr>
            <w:tcW w:w="536" w:type="dxa"/>
            <w:tcBorders>
              <w:top w:val="single" w:sz="8" w:space="0" w:color="000000"/>
              <w:left w:val="single" w:sz="8" w:space="0" w:color="000000"/>
              <w:bottom w:val="single" w:sz="8" w:space="0" w:color="000000"/>
              <w:right w:val="single" w:sz="8" w:space="0" w:color="000000"/>
            </w:tcBorders>
            <w:shd w:val="clear" w:color="000000" w:fill="92D050"/>
            <w:vAlign w:val="center"/>
            <w:hideMark/>
          </w:tcPr>
          <w:p w14:paraId="2B709274" w14:textId="77777777" w:rsidR="00915003" w:rsidRPr="0039076C" w:rsidRDefault="00915003" w:rsidP="0081725D">
            <w:pPr>
              <w:spacing w:after="0" w:line="240" w:lineRule="auto"/>
              <w:rPr>
                <w:rFonts w:ascii="Times New Roman" w:hAnsi="Times New Roman"/>
                <w:b/>
                <w:bCs/>
                <w:lang w:eastAsia="fr-FR"/>
              </w:rPr>
            </w:pPr>
            <w:r w:rsidRPr="0039076C">
              <w:rPr>
                <w:rFonts w:ascii="Times New Roman" w:hAnsi="Times New Roman"/>
                <w:b/>
                <w:bCs/>
                <w:lang w:eastAsia="fr-FR"/>
              </w:rPr>
              <w:t>N°</w:t>
            </w:r>
          </w:p>
        </w:tc>
        <w:tc>
          <w:tcPr>
            <w:tcW w:w="1722" w:type="dxa"/>
            <w:tcBorders>
              <w:top w:val="single" w:sz="8" w:space="0" w:color="000000"/>
              <w:left w:val="nil"/>
              <w:bottom w:val="single" w:sz="8" w:space="0" w:color="000000"/>
              <w:right w:val="single" w:sz="8" w:space="0" w:color="000000"/>
            </w:tcBorders>
            <w:shd w:val="clear" w:color="000000" w:fill="92D050"/>
            <w:vAlign w:val="center"/>
            <w:hideMark/>
          </w:tcPr>
          <w:p w14:paraId="18AF29BC" w14:textId="77777777" w:rsidR="00915003" w:rsidRPr="0039076C" w:rsidRDefault="00915003" w:rsidP="0081725D">
            <w:pPr>
              <w:spacing w:after="0" w:line="240" w:lineRule="auto"/>
              <w:rPr>
                <w:rFonts w:ascii="Times New Roman" w:hAnsi="Times New Roman"/>
                <w:b/>
                <w:bCs/>
                <w:lang w:eastAsia="fr-FR"/>
              </w:rPr>
            </w:pPr>
            <w:r>
              <w:rPr>
                <w:rFonts w:ascii="Times New Roman" w:hAnsi="Times New Roman"/>
                <w:b/>
                <w:bCs/>
                <w:lang w:eastAsia="fr-FR"/>
              </w:rPr>
              <w:t>Mama ya likambo ya kotangisa</w:t>
            </w:r>
            <w:r w:rsidRPr="0039076C">
              <w:rPr>
                <w:rFonts w:ascii="Times New Roman" w:hAnsi="Times New Roman"/>
                <w:lang w:eastAsia="fr-FR"/>
              </w:rPr>
              <w:t> </w:t>
            </w:r>
          </w:p>
        </w:tc>
        <w:tc>
          <w:tcPr>
            <w:tcW w:w="3495" w:type="dxa"/>
            <w:tcBorders>
              <w:top w:val="single" w:sz="8" w:space="0" w:color="000000"/>
              <w:left w:val="nil"/>
              <w:bottom w:val="single" w:sz="8" w:space="0" w:color="000000"/>
              <w:right w:val="single" w:sz="8" w:space="0" w:color="000000"/>
            </w:tcBorders>
            <w:shd w:val="clear" w:color="000000" w:fill="92D050"/>
            <w:vAlign w:val="center"/>
            <w:hideMark/>
          </w:tcPr>
          <w:p w14:paraId="12E0D09D" w14:textId="77777777" w:rsidR="00915003" w:rsidRPr="0039076C" w:rsidRDefault="00915003" w:rsidP="0081725D">
            <w:pPr>
              <w:spacing w:after="0" w:line="240" w:lineRule="auto"/>
              <w:rPr>
                <w:rFonts w:ascii="Times New Roman" w:hAnsi="Times New Roman"/>
                <w:b/>
                <w:bCs/>
                <w:lang w:eastAsia="fr-FR"/>
              </w:rPr>
            </w:pPr>
            <w:r>
              <w:rPr>
                <w:rFonts w:ascii="Times New Roman" w:hAnsi="Times New Roman"/>
                <w:b/>
                <w:bCs/>
                <w:lang w:eastAsia="fr-FR"/>
              </w:rPr>
              <w:t>Biteni ya makambu</w:t>
            </w:r>
          </w:p>
        </w:tc>
        <w:tc>
          <w:tcPr>
            <w:tcW w:w="3502" w:type="dxa"/>
            <w:tcBorders>
              <w:top w:val="single" w:sz="8" w:space="0" w:color="000000"/>
              <w:left w:val="nil"/>
              <w:bottom w:val="single" w:sz="8" w:space="0" w:color="000000"/>
              <w:right w:val="single" w:sz="8" w:space="0" w:color="000000"/>
            </w:tcBorders>
            <w:shd w:val="clear" w:color="000000" w:fill="92D050"/>
            <w:vAlign w:val="center"/>
            <w:hideMark/>
          </w:tcPr>
          <w:p w14:paraId="55AFDD2B" w14:textId="77777777" w:rsidR="00915003" w:rsidRPr="0039076C" w:rsidRDefault="00915003" w:rsidP="0081725D">
            <w:pPr>
              <w:spacing w:after="0" w:line="240" w:lineRule="auto"/>
              <w:rPr>
                <w:rFonts w:ascii="Times New Roman" w:hAnsi="Times New Roman"/>
                <w:b/>
                <w:bCs/>
                <w:lang w:eastAsia="fr-FR"/>
              </w:rPr>
            </w:pPr>
            <w:r>
              <w:rPr>
                <w:rFonts w:ascii="Times New Roman" w:hAnsi="Times New Roman"/>
                <w:b/>
                <w:bCs/>
                <w:lang w:eastAsia="fr-FR"/>
              </w:rPr>
              <w:t>Batu oyo balengelami</w:t>
            </w:r>
          </w:p>
        </w:tc>
      </w:tr>
      <w:tr w:rsidR="00915003" w:rsidRPr="00F933DF" w14:paraId="42EDF012" w14:textId="77777777" w:rsidTr="0081725D">
        <w:trPr>
          <w:trHeight w:val="230"/>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4E974381" w14:textId="77777777" w:rsidR="00915003" w:rsidRPr="0039076C" w:rsidRDefault="00915003" w:rsidP="0081725D">
            <w:pPr>
              <w:spacing w:after="0" w:line="240" w:lineRule="auto"/>
              <w:rPr>
                <w:rFonts w:ascii="Times New Roman" w:hAnsi="Times New Roman"/>
                <w:b/>
                <w:bCs/>
                <w:lang w:eastAsia="fr-FR"/>
              </w:rPr>
            </w:pPr>
            <w:r w:rsidRPr="0039076C">
              <w:rPr>
                <w:rFonts w:ascii="Times New Roman" w:hAnsi="Times New Roman"/>
                <w:b/>
                <w:bCs/>
                <w:lang w:eastAsia="fr-FR"/>
              </w:rPr>
              <w:t>1</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058AA6" w14:textId="77777777" w:rsidR="00915003" w:rsidRPr="0039076C" w:rsidRDefault="00915003" w:rsidP="0081725D">
            <w:pPr>
              <w:spacing w:after="0" w:line="240" w:lineRule="auto"/>
              <w:rPr>
                <w:rFonts w:ascii="Times New Roman" w:hAnsi="Times New Roman"/>
                <w:lang w:eastAsia="fr-FR"/>
              </w:rPr>
            </w:pPr>
            <w:r>
              <w:rPr>
                <w:rFonts w:ascii="Times New Roman" w:hAnsi="Times New Roman"/>
                <w:lang w:eastAsia="fr-FR"/>
              </w:rPr>
              <w:t>Bokolongono</w:t>
            </w:r>
            <w:r w:rsidRPr="0039076C">
              <w:rPr>
                <w:rFonts w:ascii="Times New Roman" w:hAnsi="Times New Roman"/>
                <w:lang w:eastAsia="fr-FR"/>
              </w:rPr>
              <w:t xml:space="preserve">, </w:t>
            </w:r>
            <w:r>
              <w:rPr>
                <w:rFonts w:ascii="Times New Roman" w:hAnsi="Times New Roman"/>
                <w:lang w:eastAsia="fr-FR"/>
              </w:rPr>
              <w:t>bopeto mpe kobatela (koluka mpe kopesa lapor ya makama)</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1BA4D388"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Bisalelo mpo na mutu ye meyi</w:t>
            </w:r>
          </w:p>
          <w:p w14:paraId="1D53B7FD"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makama na kati ya musala</w:t>
            </w:r>
          </w:p>
          <w:p w14:paraId="2FC62580"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makama ya musala</w:t>
            </w:r>
          </w:p>
          <w:p w14:paraId="5F996901"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Mibeko ya bopeto mpe kobatela</w:t>
            </w:r>
          </w:p>
          <w:p w14:paraId="1B5E2C79" w14:textId="77777777" w:rsidR="00915003" w:rsidRPr="00D60172" w:rsidRDefault="00915003" w:rsidP="00915003">
            <w:pPr>
              <w:pStyle w:val="Paragraphedeliste1"/>
              <w:numPr>
                <w:ilvl w:val="0"/>
                <w:numId w:val="224"/>
              </w:numPr>
              <w:suppressAutoHyphens w:val="0"/>
              <w:ind w:left="249" w:hanging="249"/>
              <w:contextualSpacing/>
              <w:rPr>
                <w:rFonts w:eastAsiaTheme="minorHAnsi"/>
                <w:sz w:val="22"/>
                <w:szCs w:val="22"/>
                <w:lang w:val="en-US"/>
              </w:rPr>
            </w:pPr>
            <w:r w:rsidRPr="00D60172">
              <w:rPr>
                <w:rFonts w:eastAsiaTheme="minorHAnsi"/>
                <w:sz w:val="22"/>
                <w:szCs w:val="22"/>
                <w:lang w:val="en-US"/>
              </w:rPr>
              <w:t xml:space="preserve">Kobatela fulu ya makasi mpe ya mayi </w:t>
            </w:r>
          </w:p>
          <w:p w14:paraId="06DCE106" w14:textId="77777777" w:rsidR="00915003" w:rsidRPr="00D60172" w:rsidRDefault="00915003" w:rsidP="00915003">
            <w:pPr>
              <w:pStyle w:val="Paragraphedeliste1"/>
              <w:numPr>
                <w:ilvl w:val="0"/>
                <w:numId w:val="224"/>
              </w:numPr>
              <w:suppressAutoHyphens w:val="0"/>
              <w:ind w:left="249" w:hanging="249"/>
              <w:contextualSpacing/>
              <w:rPr>
                <w:lang w:val="en-US"/>
              </w:rPr>
            </w:pPr>
            <w:r w:rsidRPr="00D60172">
              <w:rPr>
                <w:rFonts w:eastAsiaTheme="minorHAnsi"/>
                <w:sz w:val="22"/>
                <w:szCs w:val="22"/>
                <w:lang w:val="en-US"/>
              </w:rPr>
              <w:t>Koluka mpe kopesa lapor ya makama</w:t>
            </w:r>
          </w:p>
        </w:tc>
        <w:tc>
          <w:tcPr>
            <w:tcW w:w="35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2B14618" w14:textId="77777777" w:rsidR="00915003" w:rsidRPr="00D60172" w:rsidRDefault="00915003" w:rsidP="00915003">
            <w:pPr>
              <w:pStyle w:val="Paragraphedeliste"/>
              <w:numPr>
                <w:ilvl w:val="0"/>
                <w:numId w:val="224"/>
              </w:numPr>
              <w:spacing w:after="0" w:line="240" w:lineRule="auto"/>
              <w:ind w:left="249" w:hanging="249"/>
              <w:rPr>
                <w:rFonts w:ascii="Times New Roman" w:hAnsi="Times New Roman"/>
                <w:lang w:val="en-US" w:eastAsia="fr-FR"/>
              </w:rPr>
            </w:pPr>
            <w:r w:rsidRPr="00D60172">
              <w:rPr>
                <w:rFonts w:ascii="Times New Roman" w:eastAsia="Symbol" w:hAnsi="Times New Roman"/>
                <w:lang w:val="en-US" w:eastAsia="fr-FR"/>
              </w:rPr>
              <w:t xml:space="preserve">Misala ya tekniki mpe ya kalaki </w:t>
            </w:r>
          </w:p>
          <w:p w14:paraId="45DAF949"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Misala ya tekniki ya ba engumba</w:t>
            </w:r>
          </w:p>
          <w:p w14:paraId="7C9A34F1" w14:textId="77777777" w:rsidR="00915003" w:rsidRPr="00D60172" w:rsidRDefault="00915003" w:rsidP="00915003">
            <w:pPr>
              <w:pStyle w:val="Paragraphedeliste"/>
              <w:numPr>
                <w:ilvl w:val="0"/>
                <w:numId w:val="224"/>
              </w:numPr>
              <w:spacing w:after="0" w:line="240" w:lineRule="auto"/>
              <w:ind w:left="249" w:hanging="249"/>
              <w:rPr>
                <w:rFonts w:ascii="Times New Roman" w:hAnsi="Times New Roman"/>
                <w:lang w:val="en-US" w:eastAsia="fr-FR"/>
              </w:rPr>
            </w:pPr>
            <w:r w:rsidRPr="00D60172">
              <w:rPr>
                <w:rFonts w:ascii="Times New Roman" w:hAnsi="Times New Roman"/>
                <w:lang w:val="en-US" w:eastAsia="fr-FR"/>
              </w:rPr>
              <w:t xml:space="preserve">Masanga ya basi mpe bilenge, </w:t>
            </w:r>
            <w:r w:rsidRPr="00D60172">
              <w:rPr>
                <w:rFonts w:ascii="Times New Roman" w:eastAsia="Symbol" w:hAnsi="Times New Roman"/>
                <w:lang w:val="en-US" w:eastAsia="fr-FR"/>
              </w:rPr>
              <w:t xml:space="preserve"> PME (Kompany ya mike mep ya kati-kati)</w:t>
            </w:r>
          </w:p>
        </w:tc>
      </w:tr>
      <w:tr w:rsidR="00915003" w:rsidRPr="0039076C" w14:paraId="27B98B71" w14:textId="77777777" w:rsidTr="0081725D">
        <w:trPr>
          <w:trHeight w:val="1315"/>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3D1FB962" w14:textId="77777777" w:rsidR="00915003" w:rsidRPr="0039076C" w:rsidRDefault="00915003" w:rsidP="0081725D">
            <w:pPr>
              <w:spacing w:after="0" w:line="240" w:lineRule="auto"/>
              <w:rPr>
                <w:rFonts w:ascii="Times New Roman" w:hAnsi="Times New Roman"/>
                <w:b/>
                <w:bCs/>
                <w:lang w:eastAsia="fr-FR"/>
              </w:rPr>
            </w:pPr>
            <w:r w:rsidRPr="0039076C">
              <w:rPr>
                <w:rFonts w:ascii="Times New Roman" w:hAnsi="Times New Roman"/>
                <w:b/>
                <w:bCs/>
                <w:lang w:eastAsia="fr-FR"/>
              </w:rPr>
              <w:t>2</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17AC16" w14:textId="77777777" w:rsidR="00915003" w:rsidRPr="00D60172" w:rsidRDefault="00915003" w:rsidP="0081725D">
            <w:pPr>
              <w:spacing w:after="0" w:line="240" w:lineRule="auto"/>
              <w:rPr>
                <w:rFonts w:ascii="Times New Roman" w:hAnsi="Times New Roman"/>
                <w:lang w:val="en-US" w:eastAsia="fr-FR"/>
              </w:rPr>
            </w:pPr>
            <w:r w:rsidRPr="00D60172">
              <w:rPr>
                <w:rFonts w:ascii="Times New Roman" w:hAnsi="Times New Roman"/>
                <w:lang w:val="en-US" w:eastAsia="fr-FR"/>
              </w:rPr>
              <w:t xml:space="preserve">Lolenge ya kobatela batu oyo ba fundi </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78318668"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Ndenge  elengelami</w:t>
            </w:r>
          </w:p>
          <w:p w14:paraId="1EFE2963"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Ndenge ya kokoma mpe kosalela</w:t>
            </w:r>
          </w:p>
          <w:p w14:paraId="17867A22" w14:textId="77777777" w:rsidR="00915003"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Ntaka ya kosalela, ndenge bisika ya kokata mkambu mpe bosanagani</w:t>
            </w:r>
          </w:p>
          <w:p w14:paraId="1D08228D"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 xml:space="preserve">Kosenga </w:t>
            </w:r>
          </w:p>
        </w:tc>
        <w:tc>
          <w:tcPr>
            <w:tcW w:w="3502" w:type="dxa"/>
            <w:tcBorders>
              <w:top w:val="single" w:sz="8" w:space="0" w:color="000000"/>
              <w:left w:val="nil"/>
              <w:bottom w:val="single" w:sz="8" w:space="0" w:color="000000"/>
              <w:right w:val="single" w:sz="8" w:space="0" w:color="000000"/>
            </w:tcBorders>
            <w:shd w:val="clear" w:color="auto" w:fill="auto"/>
            <w:vAlign w:val="center"/>
            <w:hideMark/>
          </w:tcPr>
          <w:p w14:paraId="5C22378A" w14:textId="77777777" w:rsidR="00915003" w:rsidRPr="007E1B58" w:rsidRDefault="00915003" w:rsidP="00915003">
            <w:pPr>
              <w:pStyle w:val="Paragraphedeliste"/>
              <w:numPr>
                <w:ilvl w:val="0"/>
                <w:numId w:val="224"/>
              </w:numPr>
              <w:spacing w:after="0" w:line="240" w:lineRule="auto"/>
              <w:ind w:left="249" w:hanging="249"/>
              <w:rPr>
                <w:rFonts w:ascii="Times New Roman" w:hAnsi="Times New Roman"/>
                <w:lang w:eastAsia="fr-FR"/>
              </w:rPr>
            </w:pPr>
            <w:r w:rsidRPr="00E737B4">
              <w:rPr>
                <w:rFonts w:ascii="Times New Roman" w:eastAsia="Symbol" w:hAnsi="Times New Roman"/>
                <w:lang w:eastAsia="fr-FR"/>
              </w:rPr>
              <w:t xml:space="preserve">UCP, </w:t>
            </w:r>
            <w:r>
              <w:rPr>
                <w:rFonts w:ascii="Times New Roman" w:eastAsia="Symbol" w:hAnsi="Times New Roman"/>
                <w:lang w:eastAsia="fr-FR"/>
              </w:rPr>
              <w:t>Misala ya tekniki mpe ya kalaki</w:t>
            </w:r>
            <w:r w:rsidRPr="00E737B4">
              <w:rPr>
                <w:rFonts w:ascii="Times New Roman" w:eastAsia="Symbol" w:hAnsi="Times New Roman"/>
                <w:lang w:eastAsia="fr-FR"/>
              </w:rPr>
              <w:t xml:space="preserve"> </w:t>
            </w:r>
            <w:r w:rsidRPr="007E1B58">
              <w:rPr>
                <w:rFonts w:ascii="Times New Roman" w:eastAsia="Symbol" w:hAnsi="Times New Roman"/>
                <w:lang w:eastAsia="fr-FR"/>
              </w:rPr>
              <w:t xml:space="preserve"> </w:t>
            </w:r>
            <w:r>
              <w:rPr>
                <w:rFonts w:ascii="Times New Roman" w:eastAsia="Symbol" w:hAnsi="Times New Roman"/>
                <w:lang w:eastAsia="fr-FR"/>
              </w:rPr>
              <w:t>ya engumba</w:t>
            </w:r>
            <w:r w:rsidRPr="007E1B58">
              <w:rPr>
                <w:rFonts w:ascii="Times New Roman" w:eastAsia="Symbol" w:hAnsi="Times New Roman"/>
                <w:lang w:eastAsia="fr-FR"/>
              </w:rPr>
              <w:t xml:space="preserve">, </w:t>
            </w:r>
            <w:r>
              <w:rPr>
                <w:rFonts w:ascii="Times New Roman" w:eastAsia="Symbol" w:hAnsi="Times New Roman"/>
                <w:lang w:eastAsia="fr-FR"/>
              </w:rPr>
              <w:t>Misala ya tekniki ya ba engumba</w:t>
            </w:r>
            <w:r w:rsidRPr="007E1B58">
              <w:rPr>
                <w:rFonts w:ascii="Times New Roman" w:hAnsi="Times New Roman"/>
                <w:lang w:eastAsia="fr-FR"/>
              </w:rPr>
              <w:t xml:space="preserve">, </w:t>
            </w:r>
            <w:r>
              <w:rPr>
                <w:rFonts w:ascii="Times New Roman" w:hAnsi="Times New Roman"/>
                <w:lang w:eastAsia="fr-FR"/>
              </w:rPr>
              <w:t>Masanga ya basi mpe bilenge</w:t>
            </w:r>
            <w:r w:rsidRPr="007E1B58">
              <w:rPr>
                <w:rFonts w:ascii="Times New Roman" w:eastAsia="Symbol" w:hAnsi="Times New Roman"/>
                <w:lang w:eastAsia="fr-FR"/>
              </w:rPr>
              <w:t>, PME</w:t>
            </w:r>
          </w:p>
        </w:tc>
      </w:tr>
      <w:tr w:rsidR="00915003" w:rsidRPr="0039076C" w14:paraId="61381BA4" w14:textId="77777777" w:rsidTr="0081725D">
        <w:trPr>
          <w:trHeight w:val="294"/>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14272D85" w14:textId="77777777" w:rsidR="00915003" w:rsidRPr="0039076C" w:rsidRDefault="00915003" w:rsidP="0081725D">
            <w:pPr>
              <w:spacing w:after="0" w:line="240" w:lineRule="auto"/>
              <w:jc w:val="center"/>
              <w:rPr>
                <w:rFonts w:ascii="Times New Roman" w:hAnsi="Times New Roman"/>
                <w:b/>
                <w:bCs/>
                <w:lang w:eastAsia="fr-FR"/>
              </w:rPr>
            </w:pPr>
            <w:r w:rsidRPr="0039076C">
              <w:rPr>
                <w:rFonts w:ascii="Times New Roman" w:hAnsi="Times New Roman"/>
                <w:b/>
                <w:bCs/>
                <w:lang w:eastAsia="fr-FR"/>
              </w:rPr>
              <w:t>3</w:t>
            </w:r>
          </w:p>
        </w:tc>
        <w:tc>
          <w:tcPr>
            <w:tcW w:w="1722" w:type="dxa"/>
            <w:tcBorders>
              <w:top w:val="nil"/>
              <w:left w:val="single" w:sz="8" w:space="0" w:color="000000"/>
              <w:bottom w:val="single" w:sz="8" w:space="0" w:color="000000"/>
              <w:right w:val="single" w:sz="8" w:space="0" w:color="000000"/>
            </w:tcBorders>
            <w:shd w:val="clear" w:color="auto" w:fill="auto"/>
            <w:vAlign w:val="center"/>
            <w:hideMark/>
          </w:tcPr>
          <w:p w14:paraId="3E09F506" w14:textId="77777777" w:rsidR="00915003" w:rsidRPr="0039076C" w:rsidRDefault="00915003" w:rsidP="0081725D">
            <w:pPr>
              <w:spacing w:after="0" w:line="240" w:lineRule="auto"/>
              <w:rPr>
                <w:rFonts w:ascii="Times New Roman" w:hAnsi="Times New Roman"/>
                <w:lang w:eastAsia="fr-FR"/>
              </w:rPr>
            </w:pPr>
            <w:r>
              <w:rPr>
                <w:rFonts w:ascii="Times New Roman" w:hAnsi="Times New Roman"/>
                <w:lang w:eastAsia="fr-FR"/>
              </w:rPr>
              <w:t>Makama mpe litomba ya kobotola basi na makasi</w:t>
            </w:r>
            <w:r w:rsidRPr="0039076C">
              <w:rPr>
                <w:rFonts w:ascii="Times New Roman" w:hAnsi="Times New Roman"/>
                <w:lang w:eastAsia="fr-FR"/>
              </w:rPr>
              <w:t xml:space="preserve"> (VBG)</w:t>
            </w:r>
            <w:r>
              <w:rPr>
                <w:rFonts w:ascii="Times New Roman" w:hAnsi="Times New Roman"/>
                <w:lang w:eastAsia="fr-FR"/>
              </w:rPr>
              <w:t>, na oyo etali EAS/HS, etiami na buku ya mobeko ya kotambola malamu mpe lolenge ya kobatela makasi ya EAS/HS</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1F09B961" w14:textId="77777777" w:rsidR="00915003"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Makama mpe litomba ya VBG, mpe ya EAS/HS</w:t>
            </w:r>
          </w:p>
          <w:p w14:paraId="53197BAE" w14:textId="77777777" w:rsidR="00915003"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Oyo eyebani na kati ya mobeko ya kotambola malamu</w:t>
            </w:r>
          </w:p>
          <w:p w14:paraId="13AA99F4" w14:textId="77777777" w:rsidR="00915003"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makama ya EAS/HS</w:t>
            </w:r>
          </w:p>
          <w:p w14:paraId="12E0F405" w14:textId="77777777" w:rsidR="00915003"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 xml:space="preserve">Oyo etali kofuta mpe eyano ya EAS/HS : Botambwisi, mikano ya botambwisi, botambwisi oyo etali penza babiki ya basi, etc. </w:t>
            </w:r>
          </w:p>
          <w:p w14:paraId="5AFE1724"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ba</w:t>
            </w:r>
            <w:r w:rsidRPr="00E737B4">
              <w:rPr>
                <w:rFonts w:ascii="Times New Roman" w:hAnsi="Times New Roman"/>
                <w:lang w:eastAsia="fr-FR"/>
              </w:rPr>
              <w:t xml:space="preserve"> cas </w:t>
            </w:r>
            <w:r>
              <w:rPr>
                <w:rFonts w:ascii="Times New Roman" w:hAnsi="Times New Roman"/>
                <w:lang w:eastAsia="fr-FR"/>
              </w:rPr>
              <w:t>mpe kosalisa bokono ya mutu</w:t>
            </w:r>
          </w:p>
          <w:p w14:paraId="60CAAA2D"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bitumba</w:t>
            </w:r>
          </w:p>
          <w:p w14:paraId="59EF61FA"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Tekiniki ya kokebisa batu pona mbongwana ya bizaleli</w:t>
            </w:r>
          </w:p>
          <w:p w14:paraId="4F8EA7A9"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Kosalela ya bitando ya kopanza sango</w:t>
            </w:r>
          </w:p>
          <w:p w14:paraId="2EC2D131"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Nkoma ya mboka mpe ya ba paya ya mibeko mpo na</w:t>
            </w:r>
            <w:r w:rsidRPr="00E737B4">
              <w:rPr>
                <w:rFonts w:ascii="Times New Roman" w:hAnsi="Times New Roman"/>
                <w:lang w:eastAsia="fr-FR"/>
              </w:rPr>
              <w:t xml:space="preserve"> VBG</w:t>
            </w:r>
          </w:p>
        </w:tc>
        <w:tc>
          <w:tcPr>
            <w:tcW w:w="3502" w:type="dxa"/>
            <w:tcBorders>
              <w:top w:val="single" w:sz="8" w:space="0" w:color="000000"/>
              <w:left w:val="nil"/>
              <w:bottom w:val="single" w:sz="8" w:space="0" w:color="000000"/>
              <w:right w:val="single" w:sz="8" w:space="0" w:color="000000"/>
            </w:tcBorders>
            <w:shd w:val="clear" w:color="auto" w:fill="auto"/>
            <w:vAlign w:val="center"/>
            <w:hideMark/>
          </w:tcPr>
          <w:p w14:paraId="02E013A1" w14:textId="77777777" w:rsidR="00915003" w:rsidRPr="00B1665B"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eastAsia="Symbol" w:hAnsi="Times New Roman"/>
                <w:lang w:eastAsia="fr-FR"/>
              </w:rPr>
              <w:t>Misala ya tekniki mpe ya kalaki ya bingumba</w:t>
            </w:r>
          </w:p>
          <w:p w14:paraId="695DBE42" w14:textId="77777777" w:rsidR="00915003" w:rsidRPr="00B1665B"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eastAsia="Symbol" w:hAnsi="Times New Roman"/>
                <w:lang w:eastAsia="fr-FR"/>
              </w:rPr>
              <w:t>Misala ya tekniki ya bingumba</w:t>
            </w:r>
          </w:p>
          <w:p w14:paraId="4C58E1B7"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Masanga ya basi mpe bilenge</w:t>
            </w:r>
            <w:r w:rsidRPr="00E737B4">
              <w:rPr>
                <w:rFonts w:ascii="Times New Roman" w:eastAsia="Symbol" w:hAnsi="Times New Roman"/>
                <w:lang w:eastAsia="fr-FR"/>
              </w:rPr>
              <w:t>, PME</w:t>
            </w:r>
            <w:r w:rsidRPr="00E737B4">
              <w:rPr>
                <w:rFonts w:ascii="Times New Roman" w:hAnsi="Times New Roman"/>
                <w:lang w:eastAsia="fr-FR"/>
              </w:rPr>
              <w:t>.</w:t>
            </w:r>
          </w:p>
          <w:p w14:paraId="08D7FE01" w14:textId="77777777" w:rsidR="00915003" w:rsidRPr="0039076C" w:rsidRDefault="00915003" w:rsidP="0081725D">
            <w:pPr>
              <w:spacing w:after="0" w:line="240" w:lineRule="auto"/>
              <w:ind w:left="249" w:hanging="249"/>
              <w:rPr>
                <w:rFonts w:ascii="Times New Roman" w:hAnsi="Times New Roman"/>
                <w:lang w:eastAsia="fr-FR"/>
              </w:rPr>
            </w:pPr>
          </w:p>
        </w:tc>
      </w:tr>
      <w:tr w:rsidR="00915003" w:rsidRPr="0039076C" w14:paraId="33A3CDD5" w14:textId="77777777" w:rsidTr="0081725D">
        <w:trPr>
          <w:trHeight w:val="436"/>
          <w:jc w:val="center"/>
        </w:trPr>
        <w:tc>
          <w:tcPr>
            <w:tcW w:w="536" w:type="dxa"/>
            <w:tcBorders>
              <w:top w:val="nil"/>
              <w:left w:val="single" w:sz="8" w:space="0" w:color="000000"/>
              <w:bottom w:val="single" w:sz="8" w:space="0" w:color="000000"/>
              <w:right w:val="single" w:sz="8" w:space="0" w:color="000000"/>
            </w:tcBorders>
            <w:shd w:val="clear" w:color="auto" w:fill="auto"/>
            <w:vAlign w:val="center"/>
            <w:hideMark/>
          </w:tcPr>
          <w:p w14:paraId="40895405" w14:textId="77777777" w:rsidR="00915003" w:rsidRPr="0039076C" w:rsidRDefault="00915003" w:rsidP="0081725D">
            <w:pPr>
              <w:spacing w:after="0" w:line="240" w:lineRule="auto"/>
              <w:jc w:val="center"/>
              <w:rPr>
                <w:rFonts w:ascii="Times New Roman" w:hAnsi="Times New Roman"/>
                <w:b/>
                <w:bCs/>
                <w:lang w:eastAsia="fr-FR"/>
              </w:rPr>
            </w:pPr>
            <w:r w:rsidRPr="0039076C">
              <w:rPr>
                <w:rFonts w:ascii="Times New Roman" w:hAnsi="Times New Roman"/>
                <w:b/>
                <w:bCs/>
                <w:lang w:eastAsia="fr-FR"/>
              </w:rPr>
              <w:t>4</w:t>
            </w:r>
          </w:p>
        </w:tc>
        <w:tc>
          <w:tcPr>
            <w:tcW w:w="172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F691DCD" w14:textId="77777777" w:rsidR="00915003" w:rsidRPr="0039076C" w:rsidRDefault="00915003" w:rsidP="0081725D">
            <w:pPr>
              <w:spacing w:after="0" w:line="240" w:lineRule="auto"/>
              <w:rPr>
                <w:rFonts w:ascii="Times New Roman" w:hAnsi="Times New Roman"/>
                <w:lang w:eastAsia="fr-FR"/>
              </w:rPr>
            </w:pPr>
            <w:r>
              <w:rPr>
                <w:rFonts w:ascii="Times New Roman" w:hAnsi="Times New Roman"/>
                <w:lang w:eastAsia="fr-FR"/>
              </w:rPr>
              <w:t>Koyekola lolenge ya kobatela makama mpe kobebisama</w:t>
            </w:r>
            <w:r w:rsidRPr="0039076C">
              <w:rPr>
                <w:rFonts w:ascii="Times New Roman" w:hAnsi="Times New Roman"/>
                <w:lang w:eastAsia="fr-FR"/>
              </w:rPr>
              <w:t xml:space="preserve"> (GRC)  </w:t>
            </w:r>
          </w:p>
        </w:tc>
        <w:tc>
          <w:tcPr>
            <w:tcW w:w="3495" w:type="dxa"/>
            <w:tcBorders>
              <w:top w:val="single" w:sz="8" w:space="0" w:color="000000"/>
              <w:left w:val="nil"/>
              <w:bottom w:val="single" w:sz="8" w:space="0" w:color="000000"/>
              <w:right w:val="single" w:sz="8" w:space="0" w:color="000000"/>
            </w:tcBorders>
            <w:shd w:val="clear" w:color="auto" w:fill="auto"/>
            <w:vAlign w:val="center"/>
            <w:hideMark/>
          </w:tcPr>
          <w:p w14:paraId="2EA94772"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Ndenge ya kobebisama</w:t>
            </w:r>
          </w:p>
          <w:p w14:paraId="2F26B190"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Kobatela kobebisama na nzela ya lotiliki</w:t>
            </w:r>
          </w:p>
        </w:tc>
        <w:tc>
          <w:tcPr>
            <w:tcW w:w="35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A76B049" w14:textId="77777777" w:rsidR="00915003" w:rsidRPr="007E1B58" w:rsidRDefault="00915003" w:rsidP="00915003">
            <w:pPr>
              <w:pStyle w:val="Paragraphedeliste"/>
              <w:numPr>
                <w:ilvl w:val="0"/>
                <w:numId w:val="224"/>
              </w:numPr>
              <w:spacing w:after="0" w:line="240" w:lineRule="auto"/>
              <w:ind w:left="249" w:hanging="249"/>
              <w:rPr>
                <w:rFonts w:ascii="Times New Roman" w:hAnsi="Times New Roman"/>
                <w:lang w:eastAsia="fr-FR"/>
              </w:rPr>
            </w:pPr>
            <w:r w:rsidRPr="007E1B58">
              <w:rPr>
                <w:rFonts w:ascii="Times New Roman" w:eastAsia="Symbol" w:hAnsi="Times New Roman"/>
                <w:lang w:eastAsia="fr-FR"/>
              </w:rPr>
              <w:t>UCP, Misala ya tekniki mpe ya kalaki ya bingumba</w:t>
            </w:r>
          </w:p>
          <w:p w14:paraId="3655CB98" w14:textId="77777777" w:rsidR="00915003" w:rsidRPr="00B1665B" w:rsidRDefault="00915003" w:rsidP="00915003">
            <w:pPr>
              <w:pStyle w:val="Paragraphedeliste"/>
              <w:numPr>
                <w:ilvl w:val="0"/>
                <w:numId w:val="224"/>
              </w:numPr>
              <w:spacing w:after="0" w:line="240" w:lineRule="auto"/>
              <w:ind w:left="249" w:hanging="249"/>
              <w:rPr>
                <w:rFonts w:ascii="Times New Roman" w:hAnsi="Times New Roman"/>
                <w:lang w:eastAsia="fr-FR"/>
              </w:rPr>
            </w:pPr>
            <w:r w:rsidRPr="00B1665B">
              <w:rPr>
                <w:rFonts w:ascii="Times New Roman" w:eastAsia="Symbol" w:hAnsi="Times New Roman"/>
                <w:lang w:eastAsia="fr-FR"/>
              </w:rPr>
              <w:t>Misala ya tekniki mpe ya</w:t>
            </w:r>
            <w:r>
              <w:rPr>
                <w:rFonts w:ascii="Times New Roman" w:eastAsia="Symbol" w:hAnsi="Times New Roman"/>
                <w:lang w:eastAsia="fr-FR"/>
              </w:rPr>
              <w:t xml:space="preserve"> </w:t>
            </w:r>
            <w:r w:rsidRPr="00B1665B">
              <w:rPr>
                <w:rFonts w:ascii="Times New Roman" w:eastAsia="Symbol" w:hAnsi="Times New Roman"/>
                <w:lang w:eastAsia="fr-FR"/>
              </w:rPr>
              <w:t>bingumba</w:t>
            </w:r>
          </w:p>
          <w:p w14:paraId="14704F6D" w14:textId="77777777" w:rsidR="00915003" w:rsidRPr="00E737B4" w:rsidRDefault="00915003" w:rsidP="00915003">
            <w:pPr>
              <w:pStyle w:val="Paragraphedeliste"/>
              <w:numPr>
                <w:ilvl w:val="0"/>
                <w:numId w:val="224"/>
              </w:numPr>
              <w:spacing w:after="0" w:line="240" w:lineRule="auto"/>
              <w:ind w:left="249" w:hanging="249"/>
              <w:rPr>
                <w:rFonts w:ascii="Times New Roman" w:hAnsi="Times New Roman"/>
                <w:lang w:eastAsia="fr-FR"/>
              </w:rPr>
            </w:pPr>
            <w:r>
              <w:rPr>
                <w:rFonts w:ascii="Times New Roman" w:hAnsi="Times New Roman"/>
                <w:lang w:eastAsia="fr-FR"/>
              </w:rPr>
              <w:t>Masanga ya basi mpe bilenge</w:t>
            </w:r>
            <w:r w:rsidRPr="00E737B4">
              <w:rPr>
                <w:rFonts w:ascii="Times New Roman" w:hAnsi="Times New Roman"/>
                <w:lang w:eastAsia="fr-FR"/>
              </w:rPr>
              <w:t xml:space="preserve">, </w:t>
            </w:r>
            <w:r w:rsidRPr="00E737B4">
              <w:rPr>
                <w:rFonts w:ascii="Times New Roman" w:eastAsia="Symbol" w:hAnsi="Times New Roman"/>
                <w:lang w:eastAsia="fr-FR"/>
              </w:rPr>
              <w:t>PME</w:t>
            </w:r>
            <w:r w:rsidRPr="00E737B4">
              <w:rPr>
                <w:rFonts w:ascii="Times New Roman" w:hAnsi="Times New Roman"/>
                <w:lang w:eastAsia="fr-FR"/>
              </w:rPr>
              <w:t>, ACE</w:t>
            </w:r>
          </w:p>
        </w:tc>
      </w:tr>
    </w:tbl>
    <w:p w14:paraId="61C699D8" w14:textId="77777777" w:rsidR="00915003" w:rsidRDefault="00915003" w:rsidP="00215867">
      <w:pPr>
        <w:spacing w:before="120" w:after="120" w:line="240" w:lineRule="auto"/>
        <w:ind w:left="142"/>
        <w:jc w:val="both"/>
        <w:rPr>
          <w:rFonts w:ascii="Times New Roman" w:hAnsi="Times New Roman"/>
          <w:b/>
          <w:sz w:val="24"/>
          <w:szCs w:val="24"/>
          <w:u w:val="single"/>
        </w:rPr>
      </w:pPr>
    </w:p>
    <w:p w14:paraId="2E1C37ED" w14:textId="77777777" w:rsidR="00915003" w:rsidRPr="001A6257" w:rsidRDefault="00915003" w:rsidP="00215867">
      <w:pPr>
        <w:numPr>
          <w:ilvl w:val="0"/>
          <w:numId w:val="503"/>
        </w:numPr>
        <w:spacing w:before="120" w:after="120" w:line="240" w:lineRule="auto"/>
        <w:ind w:left="0" w:firstLine="142"/>
        <w:jc w:val="both"/>
        <w:rPr>
          <w:rFonts w:ascii="Times New Roman" w:hAnsi="Times New Roman"/>
          <w:b/>
          <w:sz w:val="24"/>
          <w:szCs w:val="24"/>
          <w:u w:val="single"/>
        </w:rPr>
      </w:pPr>
      <w:r>
        <w:rPr>
          <w:rFonts w:ascii="Times New Roman" w:hAnsi="Times New Roman"/>
          <w:b/>
          <w:sz w:val="24"/>
          <w:szCs w:val="24"/>
          <w:u w:val="single"/>
        </w:rPr>
        <w:t>Mituya nyoso ya</w:t>
      </w:r>
      <w:r w:rsidRPr="001A6257">
        <w:rPr>
          <w:rFonts w:ascii="Times New Roman" w:hAnsi="Times New Roman"/>
          <w:b/>
          <w:sz w:val="24"/>
          <w:szCs w:val="24"/>
          <w:u w:val="single"/>
        </w:rPr>
        <w:t xml:space="preserve"> PGES</w:t>
      </w:r>
    </w:p>
    <w:p w14:paraId="0B9A46E2" w14:textId="77777777" w:rsidR="00915003" w:rsidRDefault="00915003" w:rsidP="00915003">
      <w:pPr>
        <w:spacing w:after="0" w:line="240" w:lineRule="auto"/>
        <w:jc w:val="both"/>
        <w:rPr>
          <w:rFonts w:ascii="Times New Roman" w:eastAsia="Times New Roman" w:hAnsi="Times New Roman"/>
          <w:sz w:val="24"/>
          <w:szCs w:val="24"/>
          <w:highlight w:val="yellow"/>
          <w:lang w:eastAsia="fr-FR"/>
        </w:rPr>
      </w:pPr>
      <w:r w:rsidRPr="00D60172">
        <w:rPr>
          <w:rFonts w:ascii="Times New Roman" w:hAnsi="Times New Roman"/>
          <w:sz w:val="24"/>
          <w:lang w:val="en-US"/>
        </w:rPr>
        <w:t>Kosalela PGES esengi</w:t>
      </w:r>
      <w:r w:rsidRPr="00D60172">
        <w:rPr>
          <w:rFonts w:ascii="Times New Roman" w:hAnsi="Times New Roman"/>
          <w:b/>
          <w:bCs/>
          <w:sz w:val="24"/>
          <w:lang w:val="en-US"/>
        </w:rPr>
        <w:t xml:space="preserve">  </w:t>
      </w:r>
      <w:r w:rsidRPr="00D60172">
        <w:rPr>
          <w:rFonts w:ascii="Times New Roman" w:eastAsia="Times New Roman" w:hAnsi="Times New Roman"/>
          <w:b/>
          <w:bCs/>
          <w:lang w:val="en-US" w:eastAsia="fr-FR"/>
        </w:rPr>
        <w:t xml:space="preserve">206 050  </w:t>
      </w:r>
      <w:r w:rsidRPr="00D60172">
        <w:rPr>
          <w:rFonts w:ascii="Times New Roman" w:eastAsia="Times New Roman" w:hAnsi="Times New Roman"/>
          <w:b/>
          <w:bCs/>
          <w:sz w:val="24"/>
          <w:lang w:val="en-US" w:eastAsia="fr-FR"/>
        </w:rPr>
        <w:t>$</w:t>
      </w:r>
      <w:r w:rsidRPr="00D60172">
        <w:rPr>
          <w:rFonts w:ascii="Times New Roman" w:hAnsi="Times New Roman"/>
          <w:sz w:val="24"/>
          <w:lang w:val="en-US"/>
        </w:rPr>
        <w:t xml:space="preserve"> US na kati na yango</w:t>
      </w:r>
      <w:r w:rsidRPr="00D60172">
        <w:rPr>
          <w:rFonts w:ascii="Times New Roman" w:hAnsi="Times New Roman"/>
          <w:b/>
          <w:bCs/>
          <w:sz w:val="24"/>
          <w:lang w:val="en-US"/>
        </w:rPr>
        <w:t xml:space="preserve">  </w:t>
      </w:r>
      <w:r w:rsidRPr="00D60172">
        <w:rPr>
          <w:rFonts w:ascii="Times New Roman" w:eastAsia="Times New Roman" w:hAnsi="Times New Roman"/>
          <w:b/>
          <w:bCs/>
          <w:lang w:val="en-US" w:eastAsia="fr-FR"/>
        </w:rPr>
        <w:t xml:space="preserve">141 300 </w:t>
      </w:r>
      <w:r w:rsidRPr="00D60172">
        <w:rPr>
          <w:rFonts w:ascii="Times New Roman" w:eastAsia="Times New Roman" w:hAnsi="Times New Roman"/>
          <w:bCs/>
          <w:sz w:val="24"/>
          <w:lang w:val="en-US" w:eastAsia="fr-FR"/>
        </w:rPr>
        <w:t xml:space="preserve">$US ezwami na musala mpe </w:t>
      </w:r>
      <w:r w:rsidRPr="00D60172">
        <w:rPr>
          <w:rFonts w:ascii="Times New Roman" w:eastAsia="Times New Roman" w:hAnsi="Times New Roman"/>
          <w:b/>
          <w:bCs/>
          <w:lang w:val="en-US" w:eastAsia="fr-FR"/>
        </w:rPr>
        <w:t>64 750</w:t>
      </w:r>
      <w:r w:rsidRPr="00D60172">
        <w:rPr>
          <w:rFonts w:ascii="Times New Roman" w:eastAsia="Times New Roman" w:hAnsi="Times New Roman"/>
          <w:b/>
          <w:bCs/>
          <w:sz w:val="24"/>
          <w:lang w:val="en-US" w:eastAsia="fr-FR"/>
        </w:rPr>
        <w:t xml:space="preserve"> $</w:t>
      </w:r>
      <w:r w:rsidRPr="00D60172">
        <w:rPr>
          <w:rFonts w:ascii="Times New Roman" w:eastAsia="Times New Roman" w:hAnsi="Times New Roman"/>
          <w:bCs/>
          <w:sz w:val="24"/>
          <w:lang w:val="en-US" w:eastAsia="fr-FR"/>
        </w:rPr>
        <w:t xml:space="preserve"> US ezwami na kompany</w:t>
      </w:r>
      <w:r w:rsidRPr="00D60172">
        <w:rPr>
          <w:rFonts w:ascii="Times New Roman" w:eastAsia="Times New Roman" w:hAnsi="Times New Roman"/>
          <w:sz w:val="24"/>
          <w:szCs w:val="24"/>
          <w:lang w:val="en-US" w:eastAsia="fr-FR"/>
        </w:rPr>
        <w:t xml:space="preserve">. </w:t>
      </w:r>
      <w:r>
        <w:rPr>
          <w:rFonts w:ascii="Times New Roman" w:eastAsia="Times New Roman" w:hAnsi="Times New Roman"/>
          <w:sz w:val="24"/>
          <w:szCs w:val="24"/>
          <w:lang w:eastAsia="fr-FR"/>
        </w:rPr>
        <w:t xml:space="preserve">Etando liye etalisi mituya ya kosalela </w:t>
      </w:r>
      <w:r w:rsidRPr="00D75D2E">
        <w:rPr>
          <w:rFonts w:ascii="Times New Roman" w:eastAsia="Times New Roman" w:hAnsi="Times New Roman"/>
          <w:sz w:val="24"/>
          <w:szCs w:val="24"/>
          <w:lang w:eastAsia="fr-FR"/>
        </w:rPr>
        <w:t xml:space="preserve">PGES.  </w:t>
      </w:r>
    </w:p>
    <w:tbl>
      <w:tblPr>
        <w:tblW w:w="9381" w:type="dxa"/>
        <w:jc w:val="center"/>
        <w:tblCellMar>
          <w:left w:w="70" w:type="dxa"/>
          <w:right w:w="70" w:type="dxa"/>
        </w:tblCellMar>
        <w:tblLook w:val="04A0" w:firstRow="1" w:lastRow="0" w:firstColumn="1" w:lastColumn="0" w:noHBand="0" w:noVBand="1"/>
      </w:tblPr>
      <w:tblGrid>
        <w:gridCol w:w="629"/>
        <w:gridCol w:w="1562"/>
        <w:gridCol w:w="984"/>
        <w:gridCol w:w="1132"/>
        <w:gridCol w:w="1190"/>
        <w:gridCol w:w="1143"/>
        <w:gridCol w:w="1276"/>
        <w:gridCol w:w="1465"/>
      </w:tblGrid>
      <w:tr w:rsidR="00915003" w:rsidRPr="00D75D2E" w14:paraId="31AEC34A" w14:textId="77777777" w:rsidTr="0081725D">
        <w:trPr>
          <w:trHeight w:val="62"/>
          <w:tblHeader/>
          <w:jc w:val="center"/>
        </w:trPr>
        <w:tc>
          <w:tcPr>
            <w:tcW w:w="629" w:type="dxa"/>
            <w:tcBorders>
              <w:top w:val="single" w:sz="8" w:space="0" w:color="auto"/>
              <w:left w:val="single" w:sz="8" w:space="0" w:color="auto"/>
              <w:bottom w:val="single" w:sz="8" w:space="0" w:color="auto"/>
              <w:right w:val="single" w:sz="8" w:space="0" w:color="auto"/>
            </w:tcBorders>
            <w:shd w:val="clear" w:color="auto" w:fill="A8D08D" w:themeFill="accent6" w:themeFillTint="99"/>
            <w:vAlign w:val="center"/>
            <w:hideMark/>
          </w:tcPr>
          <w:p w14:paraId="389E0007"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Code FDI</w:t>
            </w:r>
          </w:p>
        </w:tc>
        <w:tc>
          <w:tcPr>
            <w:tcW w:w="1807"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2073E1AA" w14:textId="77777777" w:rsidR="00915003" w:rsidRPr="00D75D2E" w:rsidRDefault="00915003" w:rsidP="0081725D">
            <w:pPr>
              <w:spacing w:after="0" w:line="240" w:lineRule="auto"/>
              <w:rPr>
                <w:rFonts w:ascii="Times New Roman" w:eastAsia="Times New Roman" w:hAnsi="Times New Roman"/>
                <w:b/>
                <w:bCs/>
                <w:lang w:eastAsia="fr-FR"/>
              </w:rPr>
            </w:pPr>
            <w:r w:rsidRPr="00D75D2E">
              <w:rPr>
                <w:rFonts w:ascii="Times New Roman" w:eastAsia="Times New Roman" w:hAnsi="Times New Roman"/>
                <w:b/>
                <w:bCs/>
                <w:lang w:eastAsia="fr-FR"/>
              </w:rPr>
              <w:t>M</w:t>
            </w:r>
            <w:r>
              <w:rPr>
                <w:rFonts w:ascii="Times New Roman" w:eastAsia="Times New Roman" w:hAnsi="Times New Roman"/>
                <w:b/>
                <w:bCs/>
                <w:lang w:eastAsia="fr-FR"/>
              </w:rPr>
              <w:t>ikana ya kokitisa</w:t>
            </w:r>
          </w:p>
        </w:tc>
        <w:tc>
          <w:tcPr>
            <w:tcW w:w="739" w:type="dxa"/>
            <w:tcBorders>
              <w:top w:val="single" w:sz="8" w:space="0" w:color="auto"/>
              <w:left w:val="nil"/>
              <w:bottom w:val="single" w:sz="8" w:space="0" w:color="auto"/>
              <w:right w:val="single" w:sz="4" w:space="0" w:color="auto"/>
            </w:tcBorders>
            <w:shd w:val="clear" w:color="auto" w:fill="A8D08D" w:themeFill="accent6" w:themeFillTint="99"/>
            <w:vAlign w:val="center"/>
            <w:hideMark/>
          </w:tcPr>
          <w:p w14:paraId="18A4F76C" w14:textId="77777777" w:rsidR="00915003" w:rsidRPr="00D75D2E" w:rsidRDefault="00915003" w:rsidP="0081725D">
            <w:pPr>
              <w:spacing w:after="0" w:line="240" w:lineRule="auto"/>
              <w:jc w:val="center"/>
              <w:rPr>
                <w:rFonts w:ascii="Times New Roman" w:eastAsia="Times New Roman" w:hAnsi="Times New Roman"/>
                <w:b/>
                <w:bCs/>
                <w:lang w:eastAsia="fr-FR"/>
              </w:rPr>
            </w:pPr>
            <w:r>
              <w:rPr>
                <w:rFonts w:ascii="Times New Roman" w:eastAsia="Times New Roman" w:hAnsi="Times New Roman"/>
                <w:b/>
                <w:bCs/>
                <w:lang w:eastAsia="fr-FR"/>
              </w:rPr>
              <w:t>Motango</w:t>
            </w:r>
          </w:p>
        </w:tc>
        <w:tc>
          <w:tcPr>
            <w:tcW w:w="1132" w:type="dxa"/>
            <w:tcBorders>
              <w:top w:val="single" w:sz="8" w:space="0" w:color="auto"/>
              <w:left w:val="single" w:sz="4" w:space="0" w:color="auto"/>
              <w:bottom w:val="single" w:sz="8" w:space="0" w:color="auto"/>
              <w:right w:val="single" w:sz="4" w:space="0" w:color="auto"/>
            </w:tcBorders>
            <w:shd w:val="clear" w:color="auto" w:fill="A8D08D" w:themeFill="accent6" w:themeFillTint="99"/>
            <w:vAlign w:val="center"/>
            <w:hideMark/>
          </w:tcPr>
          <w:p w14:paraId="0BB4BAB6" w14:textId="77777777" w:rsidR="00915003" w:rsidRPr="00D75D2E" w:rsidRDefault="00915003" w:rsidP="0081725D">
            <w:pPr>
              <w:spacing w:after="0" w:line="240" w:lineRule="auto"/>
              <w:jc w:val="center"/>
              <w:rPr>
                <w:rFonts w:ascii="Times New Roman" w:eastAsia="Times New Roman" w:hAnsi="Times New Roman"/>
                <w:b/>
                <w:bCs/>
                <w:lang w:eastAsia="fr-FR"/>
              </w:rPr>
            </w:pPr>
            <w:r>
              <w:rPr>
                <w:rFonts w:ascii="Times New Roman" w:hAnsi="Times New Roman"/>
                <w:b/>
                <w:bCs/>
                <w:lang w:eastAsia="fr-FR"/>
              </w:rPr>
              <w:t>Monene</w:t>
            </w:r>
          </w:p>
        </w:tc>
        <w:tc>
          <w:tcPr>
            <w:tcW w:w="1190" w:type="dxa"/>
            <w:tcBorders>
              <w:top w:val="single" w:sz="8" w:space="0" w:color="auto"/>
              <w:left w:val="single" w:sz="4" w:space="0" w:color="auto"/>
              <w:bottom w:val="single" w:sz="8" w:space="0" w:color="auto"/>
              <w:right w:val="single" w:sz="8" w:space="0" w:color="auto"/>
            </w:tcBorders>
            <w:shd w:val="clear" w:color="auto" w:fill="A8D08D" w:themeFill="accent6" w:themeFillTint="99"/>
            <w:vAlign w:val="center"/>
            <w:hideMark/>
          </w:tcPr>
          <w:p w14:paraId="2F6B8EBE"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5F06F3">
              <w:rPr>
                <w:rFonts w:ascii="Times New Roman" w:hAnsi="Times New Roman"/>
                <w:b/>
                <w:sz w:val="20"/>
                <w:szCs w:val="20"/>
              </w:rPr>
              <w:t>Ntalo y emekeli moko</w:t>
            </w:r>
            <w:r w:rsidRPr="00B00C52">
              <w:rPr>
                <w:rFonts w:ascii="Arial" w:hAnsi="Arial" w:cs="Arial"/>
                <w:b/>
                <w:sz w:val="20"/>
                <w:szCs w:val="20"/>
              </w:rPr>
              <w:t xml:space="preserve"> </w:t>
            </w:r>
            <w:r w:rsidRPr="00D75D2E">
              <w:rPr>
                <w:rFonts w:ascii="Times New Roman" w:hAnsi="Times New Roman"/>
                <w:b/>
                <w:bCs/>
                <w:lang w:eastAsia="fr-FR"/>
              </w:rPr>
              <w:t>en $</w:t>
            </w:r>
          </w:p>
        </w:tc>
        <w:tc>
          <w:tcPr>
            <w:tcW w:w="1143"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4C4FD275" w14:textId="77777777" w:rsidR="00915003" w:rsidRPr="00D75D2E" w:rsidRDefault="00915003" w:rsidP="0081725D">
            <w:pPr>
              <w:spacing w:after="0" w:line="240" w:lineRule="auto"/>
              <w:jc w:val="center"/>
              <w:rPr>
                <w:rFonts w:ascii="Times New Roman" w:eastAsia="Times New Roman" w:hAnsi="Times New Roman"/>
                <w:b/>
                <w:bCs/>
                <w:lang w:eastAsia="fr-FR"/>
              </w:rPr>
            </w:pPr>
            <w:r>
              <w:rPr>
                <w:rFonts w:ascii="Times New Roman" w:hAnsi="Times New Roman"/>
                <w:b/>
                <w:bCs/>
                <w:lang w:eastAsia="fr-FR"/>
              </w:rPr>
              <w:t>Kompany</w:t>
            </w:r>
            <w:r w:rsidRPr="00D75D2E">
              <w:rPr>
                <w:rFonts w:ascii="Times New Roman" w:hAnsi="Times New Roman"/>
                <w:b/>
                <w:bCs/>
                <w:lang w:eastAsia="fr-FR"/>
              </w:rPr>
              <w:t xml:space="preserve"> en $</w:t>
            </w:r>
          </w:p>
        </w:tc>
        <w:tc>
          <w:tcPr>
            <w:tcW w:w="1276"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2D49BEA0" w14:textId="77777777" w:rsidR="00915003" w:rsidRPr="00D75D2E" w:rsidRDefault="00915003" w:rsidP="0081725D">
            <w:pPr>
              <w:spacing w:after="0" w:line="240" w:lineRule="auto"/>
              <w:jc w:val="center"/>
              <w:rPr>
                <w:rFonts w:ascii="Times New Roman" w:eastAsia="Times New Roman" w:hAnsi="Times New Roman"/>
                <w:b/>
                <w:bCs/>
                <w:lang w:eastAsia="fr-FR"/>
              </w:rPr>
            </w:pPr>
            <w:r>
              <w:rPr>
                <w:rFonts w:ascii="Times New Roman" w:eastAsia="Times New Roman" w:hAnsi="Times New Roman"/>
                <w:b/>
                <w:bCs/>
                <w:lang w:eastAsia="fr-FR"/>
              </w:rPr>
              <w:t>Musala</w:t>
            </w:r>
          </w:p>
        </w:tc>
        <w:tc>
          <w:tcPr>
            <w:tcW w:w="1465" w:type="dxa"/>
            <w:tcBorders>
              <w:top w:val="single" w:sz="8" w:space="0" w:color="auto"/>
              <w:left w:val="nil"/>
              <w:bottom w:val="single" w:sz="8" w:space="0" w:color="auto"/>
              <w:right w:val="single" w:sz="8" w:space="0" w:color="auto"/>
            </w:tcBorders>
            <w:shd w:val="clear" w:color="auto" w:fill="A8D08D" w:themeFill="accent6" w:themeFillTint="99"/>
            <w:vAlign w:val="center"/>
            <w:hideMark/>
          </w:tcPr>
          <w:p w14:paraId="0122DE17" w14:textId="77777777" w:rsidR="00915003" w:rsidRPr="005F06F3" w:rsidRDefault="00915003" w:rsidP="0081725D">
            <w:pPr>
              <w:spacing w:after="0" w:line="240" w:lineRule="auto"/>
              <w:jc w:val="center"/>
              <w:rPr>
                <w:rFonts w:ascii="Times New Roman" w:eastAsia="Times New Roman" w:hAnsi="Times New Roman"/>
                <w:b/>
                <w:bCs/>
                <w:lang w:eastAsia="fr-FR"/>
              </w:rPr>
            </w:pPr>
            <w:r w:rsidRPr="005F06F3">
              <w:rPr>
                <w:rFonts w:ascii="Times New Roman" w:hAnsi="Times New Roman"/>
                <w:b/>
                <w:sz w:val="20"/>
                <w:szCs w:val="20"/>
              </w:rPr>
              <w:t>Ntalo ya monene</w:t>
            </w:r>
          </w:p>
        </w:tc>
      </w:tr>
      <w:tr w:rsidR="00915003" w:rsidRPr="00D75D2E" w14:paraId="063AB83E" w14:textId="77777777" w:rsidTr="0081725D">
        <w:trPr>
          <w:trHeight w:val="552"/>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86CACC" w14:textId="77777777" w:rsidR="00915003" w:rsidRPr="00D60172" w:rsidRDefault="00915003" w:rsidP="0081725D">
            <w:pPr>
              <w:spacing w:after="0" w:line="240" w:lineRule="auto"/>
              <w:rPr>
                <w:rFonts w:ascii="Times New Roman" w:eastAsia="Times New Roman" w:hAnsi="Times New Roman"/>
                <w:b/>
                <w:bCs/>
                <w:lang w:val="en-US" w:eastAsia="fr-FR"/>
              </w:rPr>
            </w:pPr>
            <w:r w:rsidRPr="00D60172">
              <w:rPr>
                <w:rFonts w:ascii="Times New Roman" w:eastAsia="Times New Roman" w:hAnsi="Times New Roman"/>
                <w:b/>
                <w:bCs/>
                <w:lang w:val="en-US" w:eastAsia="fr-FR"/>
              </w:rPr>
              <w:t>Motango ya muke ya miango ya bisika bizingi mokili</w:t>
            </w:r>
          </w:p>
        </w:tc>
        <w:tc>
          <w:tcPr>
            <w:tcW w:w="739" w:type="dxa"/>
            <w:tcBorders>
              <w:top w:val="nil"/>
              <w:left w:val="nil"/>
              <w:bottom w:val="single" w:sz="8" w:space="0" w:color="auto"/>
              <w:right w:val="single" w:sz="4" w:space="0" w:color="auto"/>
            </w:tcBorders>
            <w:shd w:val="clear" w:color="auto" w:fill="auto"/>
            <w:noWrap/>
            <w:vAlign w:val="center"/>
            <w:hideMark/>
          </w:tcPr>
          <w:p w14:paraId="061EBC15" w14:textId="77777777" w:rsidR="00915003" w:rsidRPr="00D60172" w:rsidRDefault="00915003" w:rsidP="0081725D">
            <w:pPr>
              <w:spacing w:after="0" w:line="240" w:lineRule="auto"/>
              <w:jc w:val="center"/>
              <w:rPr>
                <w:rFonts w:ascii="Times New Roman" w:eastAsia="Times New Roman" w:hAnsi="Times New Roman"/>
                <w:b/>
                <w:bCs/>
                <w:lang w:val="en-US" w:eastAsia="fr-FR"/>
              </w:rPr>
            </w:pPr>
            <w:r w:rsidRPr="00D60172">
              <w:rPr>
                <w:rFonts w:ascii="Times New Roman" w:eastAsia="Times New Roman" w:hAnsi="Times New Roman"/>
                <w:b/>
                <w:bCs/>
                <w:lang w:val="en-US" w:eastAsia="fr-FR"/>
              </w:rPr>
              <w:t> </w:t>
            </w:r>
          </w:p>
        </w:tc>
        <w:tc>
          <w:tcPr>
            <w:tcW w:w="1132" w:type="dxa"/>
            <w:tcBorders>
              <w:top w:val="nil"/>
              <w:left w:val="single" w:sz="4" w:space="0" w:color="auto"/>
              <w:bottom w:val="single" w:sz="8" w:space="0" w:color="auto"/>
              <w:right w:val="single" w:sz="4" w:space="0" w:color="auto"/>
            </w:tcBorders>
            <w:shd w:val="clear" w:color="auto" w:fill="auto"/>
            <w:noWrap/>
            <w:vAlign w:val="center"/>
            <w:hideMark/>
          </w:tcPr>
          <w:p w14:paraId="642223CB" w14:textId="77777777" w:rsidR="00915003" w:rsidRPr="00D60172" w:rsidRDefault="00915003" w:rsidP="0081725D">
            <w:pPr>
              <w:spacing w:after="0" w:line="240" w:lineRule="auto"/>
              <w:jc w:val="center"/>
              <w:rPr>
                <w:rFonts w:ascii="Times New Roman" w:eastAsia="Times New Roman" w:hAnsi="Times New Roman"/>
                <w:b/>
                <w:bCs/>
                <w:lang w:val="en-US" w:eastAsia="fr-FR"/>
              </w:rPr>
            </w:pPr>
            <w:r w:rsidRPr="00D60172">
              <w:rPr>
                <w:rFonts w:ascii="Times New Roman" w:eastAsia="Times New Roman" w:hAnsi="Times New Roman"/>
                <w:b/>
                <w:bCs/>
                <w:lang w:val="en-US" w:eastAsia="fr-FR"/>
              </w:rPr>
              <w:t> </w:t>
            </w:r>
          </w:p>
        </w:tc>
        <w:tc>
          <w:tcPr>
            <w:tcW w:w="1190" w:type="dxa"/>
            <w:tcBorders>
              <w:top w:val="nil"/>
              <w:left w:val="single" w:sz="4" w:space="0" w:color="auto"/>
              <w:bottom w:val="single" w:sz="8" w:space="0" w:color="auto"/>
              <w:right w:val="single" w:sz="4" w:space="0" w:color="auto"/>
            </w:tcBorders>
            <w:shd w:val="clear" w:color="auto" w:fill="auto"/>
            <w:noWrap/>
            <w:vAlign w:val="center"/>
            <w:hideMark/>
          </w:tcPr>
          <w:p w14:paraId="0CC400BF" w14:textId="77777777" w:rsidR="00915003" w:rsidRPr="00D60172" w:rsidRDefault="00915003" w:rsidP="0081725D">
            <w:pPr>
              <w:spacing w:after="0" w:line="240" w:lineRule="auto"/>
              <w:jc w:val="center"/>
              <w:rPr>
                <w:rFonts w:ascii="Times New Roman" w:eastAsia="Times New Roman" w:hAnsi="Times New Roman"/>
                <w:b/>
                <w:bCs/>
                <w:lang w:val="en-US" w:eastAsia="fr-FR"/>
              </w:rPr>
            </w:pPr>
            <w:r w:rsidRPr="00D60172">
              <w:rPr>
                <w:rFonts w:ascii="Times New Roman" w:eastAsia="Times New Roman" w:hAnsi="Times New Roman"/>
                <w:b/>
                <w:bCs/>
                <w:lang w:val="en-US" w:eastAsia="fr-FR"/>
              </w:rPr>
              <w:t> </w:t>
            </w:r>
          </w:p>
        </w:tc>
        <w:tc>
          <w:tcPr>
            <w:tcW w:w="1143" w:type="dxa"/>
            <w:tcBorders>
              <w:top w:val="nil"/>
              <w:left w:val="single" w:sz="4" w:space="0" w:color="auto"/>
              <w:bottom w:val="single" w:sz="8" w:space="0" w:color="auto"/>
              <w:right w:val="single" w:sz="8" w:space="0" w:color="auto"/>
            </w:tcBorders>
            <w:shd w:val="clear" w:color="auto" w:fill="auto"/>
            <w:noWrap/>
            <w:vAlign w:val="center"/>
            <w:hideMark/>
          </w:tcPr>
          <w:p w14:paraId="565D6106"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33 750</w:t>
            </w:r>
          </w:p>
        </w:tc>
        <w:tc>
          <w:tcPr>
            <w:tcW w:w="1276" w:type="dxa"/>
            <w:tcBorders>
              <w:top w:val="nil"/>
              <w:left w:val="nil"/>
              <w:bottom w:val="single" w:sz="8" w:space="0" w:color="auto"/>
              <w:right w:val="single" w:sz="8" w:space="0" w:color="auto"/>
            </w:tcBorders>
            <w:shd w:val="clear" w:color="auto" w:fill="auto"/>
            <w:noWrap/>
            <w:vAlign w:val="center"/>
            <w:hideMark/>
          </w:tcPr>
          <w:p w14:paraId="57600183"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48 000</w:t>
            </w:r>
          </w:p>
        </w:tc>
        <w:tc>
          <w:tcPr>
            <w:tcW w:w="1465" w:type="dxa"/>
            <w:tcBorders>
              <w:top w:val="nil"/>
              <w:left w:val="nil"/>
              <w:bottom w:val="single" w:sz="8" w:space="0" w:color="auto"/>
              <w:right w:val="single" w:sz="8" w:space="0" w:color="auto"/>
            </w:tcBorders>
            <w:shd w:val="clear" w:color="auto" w:fill="auto"/>
            <w:noWrap/>
            <w:vAlign w:val="center"/>
            <w:hideMark/>
          </w:tcPr>
          <w:p w14:paraId="1926F2BB"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81 750</w:t>
            </w:r>
          </w:p>
        </w:tc>
      </w:tr>
      <w:tr w:rsidR="00915003" w:rsidRPr="00D75D2E" w14:paraId="3FC16759" w14:textId="77777777" w:rsidTr="0081725D">
        <w:trPr>
          <w:trHeight w:val="300"/>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5BAE0DE" w14:textId="77777777" w:rsidR="00915003" w:rsidRPr="00D75D2E" w:rsidRDefault="00915003" w:rsidP="0081725D">
            <w:pPr>
              <w:spacing w:after="0" w:line="240" w:lineRule="auto"/>
              <w:rPr>
                <w:rFonts w:ascii="Times New Roman" w:eastAsia="Times New Roman" w:hAnsi="Times New Roman"/>
                <w:b/>
                <w:bCs/>
                <w:lang w:eastAsia="fr-FR"/>
              </w:rPr>
            </w:pPr>
            <w:r>
              <w:rPr>
                <w:rFonts w:ascii="Times New Roman" w:eastAsia="Times New Roman" w:hAnsi="Times New Roman"/>
                <w:b/>
                <w:bCs/>
                <w:lang w:eastAsia="fr-FR"/>
              </w:rPr>
              <w:t>Motango ya muke ya bafandi ya batu</w:t>
            </w:r>
          </w:p>
        </w:tc>
        <w:tc>
          <w:tcPr>
            <w:tcW w:w="739" w:type="dxa"/>
            <w:tcBorders>
              <w:top w:val="nil"/>
              <w:left w:val="nil"/>
              <w:bottom w:val="single" w:sz="8" w:space="0" w:color="auto"/>
              <w:right w:val="single" w:sz="8" w:space="0" w:color="auto"/>
            </w:tcBorders>
            <w:shd w:val="clear" w:color="auto" w:fill="auto"/>
            <w:noWrap/>
            <w:vAlign w:val="center"/>
            <w:hideMark/>
          </w:tcPr>
          <w:p w14:paraId="3D515CEC"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32" w:type="dxa"/>
            <w:tcBorders>
              <w:top w:val="nil"/>
              <w:left w:val="nil"/>
              <w:bottom w:val="single" w:sz="8" w:space="0" w:color="auto"/>
              <w:right w:val="single" w:sz="8" w:space="0" w:color="auto"/>
            </w:tcBorders>
            <w:shd w:val="clear" w:color="auto" w:fill="auto"/>
            <w:noWrap/>
            <w:vAlign w:val="center"/>
            <w:hideMark/>
          </w:tcPr>
          <w:p w14:paraId="75668D04"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90" w:type="dxa"/>
            <w:tcBorders>
              <w:top w:val="nil"/>
              <w:left w:val="single" w:sz="4" w:space="0" w:color="auto"/>
              <w:bottom w:val="single" w:sz="8" w:space="0" w:color="auto"/>
              <w:right w:val="single" w:sz="8" w:space="0" w:color="auto"/>
            </w:tcBorders>
            <w:shd w:val="clear" w:color="auto" w:fill="auto"/>
            <w:noWrap/>
            <w:vAlign w:val="center"/>
            <w:hideMark/>
          </w:tcPr>
          <w:p w14:paraId="7A3CD700"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43" w:type="dxa"/>
            <w:tcBorders>
              <w:top w:val="nil"/>
              <w:left w:val="nil"/>
              <w:bottom w:val="single" w:sz="8" w:space="0" w:color="auto"/>
              <w:right w:val="single" w:sz="8" w:space="0" w:color="auto"/>
            </w:tcBorders>
            <w:shd w:val="clear" w:color="auto" w:fill="auto"/>
            <w:noWrap/>
            <w:vAlign w:val="center"/>
            <w:hideMark/>
          </w:tcPr>
          <w:p w14:paraId="0B110148"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31000</w:t>
            </w:r>
          </w:p>
        </w:tc>
        <w:tc>
          <w:tcPr>
            <w:tcW w:w="1276" w:type="dxa"/>
            <w:tcBorders>
              <w:top w:val="nil"/>
              <w:left w:val="nil"/>
              <w:bottom w:val="single" w:sz="8" w:space="0" w:color="auto"/>
              <w:right w:val="single" w:sz="8" w:space="0" w:color="auto"/>
            </w:tcBorders>
            <w:shd w:val="clear" w:color="auto" w:fill="auto"/>
            <w:noWrap/>
            <w:vAlign w:val="center"/>
            <w:hideMark/>
          </w:tcPr>
          <w:p w14:paraId="266AD863" w14:textId="77777777" w:rsidR="00915003" w:rsidRPr="00D75D2E" w:rsidRDefault="00915003" w:rsidP="0081725D">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7000</w:t>
            </w:r>
          </w:p>
        </w:tc>
        <w:tc>
          <w:tcPr>
            <w:tcW w:w="1465" w:type="dxa"/>
            <w:tcBorders>
              <w:top w:val="nil"/>
              <w:left w:val="nil"/>
              <w:bottom w:val="single" w:sz="8" w:space="0" w:color="auto"/>
              <w:right w:val="single" w:sz="8" w:space="0" w:color="auto"/>
            </w:tcBorders>
            <w:shd w:val="clear" w:color="auto" w:fill="auto"/>
            <w:noWrap/>
            <w:vAlign w:val="center"/>
            <w:hideMark/>
          </w:tcPr>
          <w:p w14:paraId="6BFC0E67" w14:textId="77777777" w:rsidR="00915003" w:rsidRPr="00D75D2E" w:rsidRDefault="00915003" w:rsidP="0081725D">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38000</w:t>
            </w:r>
          </w:p>
        </w:tc>
      </w:tr>
      <w:tr w:rsidR="00915003" w:rsidRPr="00D75D2E" w14:paraId="7178FA21" w14:textId="77777777" w:rsidTr="0081725D">
        <w:trPr>
          <w:trHeight w:val="48"/>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9A6AAC1" w14:textId="77777777" w:rsidR="00915003" w:rsidRPr="00D75D2E" w:rsidRDefault="00915003" w:rsidP="0081725D">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Mabongisi ya kosenzela bisika bizingi mokili na eteni ya misala mpe kosalela</w:t>
            </w:r>
          </w:p>
        </w:tc>
        <w:tc>
          <w:tcPr>
            <w:tcW w:w="739" w:type="dxa"/>
            <w:tcBorders>
              <w:top w:val="nil"/>
              <w:left w:val="nil"/>
              <w:bottom w:val="single" w:sz="8" w:space="0" w:color="auto"/>
              <w:right w:val="single" w:sz="8" w:space="0" w:color="auto"/>
            </w:tcBorders>
            <w:shd w:val="clear" w:color="auto" w:fill="auto"/>
            <w:noWrap/>
            <w:vAlign w:val="center"/>
            <w:hideMark/>
          </w:tcPr>
          <w:p w14:paraId="09F19DC3" w14:textId="77777777" w:rsidR="00915003" w:rsidRPr="00D75D2E" w:rsidRDefault="00915003" w:rsidP="0081725D">
            <w:pPr>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153DE7D5"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02F38D61"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0</w:t>
            </w:r>
          </w:p>
        </w:tc>
        <w:tc>
          <w:tcPr>
            <w:tcW w:w="1143" w:type="dxa"/>
            <w:tcBorders>
              <w:top w:val="nil"/>
              <w:left w:val="nil"/>
              <w:bottom w:val="single" w:sz="8" w:space="0" w:color="auto"/>
              <w:right w:val="single" w:sz="8" w:space="0" w:color="auto"/>
            </w:tcBorders>
            <w:shd w:val="clear" w:color="auto" w:fill="auto"/>
            <w:noWrap/>
            <w:vAlign w:val="center"/>
            <w:hideMark/>
          </w:tcPr>
          <w:p w14:paraId="54838227"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5424E9B0"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74 500</w:t>
            </w:r>
          </w:p>
        </w:tc>
        <w:tc>
          <w:tcPr>
            <w:tcW w:w="1465" w:type="dxa"/>
            <w:tcBorders>
              <w:top w:val="nil"/>
              <w:left w:val="nil"/>
              <w:bottom w:val="single" w:sz="8" w:space="0" w:color="auto"/>
              <w:right w:val="single" w:sz="8" w:space="0" w:color="auto"/>
            </w:tcBorders>
            <w:shd w:val="clear" w:color="auto" w:fill="auto"/>
            <w:noWrap/>
            <w:vAlign w:val="center"/>
            <w:hideMark/>
          </w:tcPr>
          <w:p w14:paraId="2725D56A"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74 500</w:t>
            </w:r>
          </w:p>
        </w:tc>
      </w:tr>
      <w:tr w:rsidR="00915003" w:rsidRPr="00D75D2E" w14:paraId="3FA8BC9F" w14:textId="77777777" w:rsidTr="0081725D">
        <w:trPr>
          <w:trHeight w:val="72"/>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920ADC9" w14:textId="77777777" w:rsidR="00915003" w:rsidRPr="00D75D2E" w:rsidRDefault="00915003" w:rsidP="0081725D">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Mabongisi ya kolanda oyo etali bisika bizingi mokili</w:t>
            </w:r>
          </w:p>
        </w:tc>
        <w:tc>
          <w:tcPr>
            <w:tcW w:w="739" w:type="dxa"/>
            <w:tcBorders>
              <w:top w:val="nil"/>
              <w:left w:val="nil"/>
              <w:bottom w:val="single" w:sz="8" w:space="0" w:color="auto"/>
              <w:right w:val="single" w:sz="8" w:space="0" w:color="auto"/>
            </w:tcBorders>
            <w:shd w:val="clear" w:color="auto" w:fill="auto"/>
            <w:noWrap/>
            <w:vAlign w:val="center"/>
            <w:hideMark/>
          </w:tcPr>
          <w:p w14:paraId="05B7E425" w14:textId="77777777" w:rsidR="00915003" w:rsidRPr="00D75D2E" w:rsidRDefault="00915003" w:rsidP="0081725D">
            <w:pPr>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7AB81709"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0358ABEF"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1600</w:t>
            </w:r>
          </w:p>
        </w:tc>
        <w:tc>
          <w:tcPr>
            <w:tcW w:w="1143" w:type="dxa"/>
            <w:tcBorders>
              <w:top w:val="nil"/>
              <w:left w:val="nil"/>
              <w:bottom w:val="single" w:sz="8" w:space="0" w:color="auto"/>
              <w:right w:val="single" w:sz="8" w:space="0" w:color="auto"/>
            </w:tcBorders>
            <w:shd w:val="clear" w:color="auto" w:fill="auto"/>
            <w:noWrap/>
            <w:vAlign w:val="center"/>
            <w:hideMark/>
          </w:tcPr>
          <w:p w14:paraId="7BC8A672"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5BA64D36"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800</w:t>
            </w:r>
          </w:p>
        </w:tc>
        <w:tc>
          <w:tcPr>
            <w:tcW w:w="1465" w:type="dxa"/>
            <w:tcBorders>
              <w:top w:val="nil"/>
              <w:left w:val="nil"/>
              <w:bottom w:val="single" w:sz="8" w:space="0" w:color="auto"/>
              <w:right w:val="single" w:sz="8" w:space="0" w:color="auto"/>
            </w:tcBorders>
            <w:shd w:val="clear" w:color="auto" w:fill="auto"/>
            <w:noWrap/>
            <w:vAlign w:val="center"/>
            <w:hideMark/>
          </w:tcPr>
          <w:p w14:paraId="15ECFCBE"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800</w:t>
            </w:r>
          </w:p>
        </w:tc>
      </w:tr>
      <w:tr w:rsidR="00915003" w:rsidRPr="00D75D2E" w14:paraId="33482BCE" w14:textId="77777777" w:rsidTr="0081725D">
        <w:trPr>
          <w:trHeight w:val="48"/>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758F10F" w14:textId="77777777" w:rsidR="00915003" w:rsidRPr="00D75D2E" w:rsidRDefault="00915003" w:rsidP="0081725D">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Mabongisi ya kobakisa mayele</w:t>
            </w:r>
          </w:p>
        </w:tc>
        <w:tc>
          <w:tcPr>
            <w:tcW w:w="739" w:type="dxa"/>
            <w:tcBorders>
              <w:top w:val="nil"/>
              <w:left w:val="nil"/>
              <w:bottom w:val="single" w:sz="8" w:space="0" w:color="auto"/>
              <w:right w:val="single" w:sz="8" w:space="0" w:color="auto"/>
            </w:tcBorders>
            <w:shd w:val="clear" w:color="auto" w:fill="auto"/>
            <w:noWrap/>
            <w:vAlign w:val="center"/>
            <w:hideMark/>
          </w:tcPr>
          <w:p w14:paraId="3A24A95C"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eastAsia="Times New Roman" w:hAnsi="Times New Roman"/>
                <w:b/>
                <w:bCs/>
                <w:lang w:eastAsia="fr-FR"/>
              </w:rPr>
              <w:t>FF</w:t>
            </w:r>
          </w:p>
        </w:tc>
        <w:tc>
          <w:tcPr>
            <w:tcW w:w="1132" w:type="dxa"/>
            <w:tcBorders>
              <w:top w:val="nil"/>
              <w:left w:val="nil"/>
              <w:bottom w:val="single" w:sz="8" w:space="0" w:color="auto"/>
              <w:right w:val="single" w:sz="8" w:space="0" w:color="auto"/>
            </w:tcBorders>
            <w:shd w:val="clear" w:color="auto" w:fill="auto"/>
            <w:noWrap/>
            <w:vAlign w:val="center"/>
            <w:hideMark/>
          </w:tcPr>
          <w:p w14:paraId="2B821141"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w:t>
            </w:r>
          </w:p>
        </w:tc>
        <w:tc>
          <w:tcPr>
            <w:tcW w:w="1190" w:type="dxa"/>
            <w:tcBorders>
              <w:top w:val="nil"/>
              <w:left w:val="nil"/>
              <w:bottom w:val="single" w:sz="8" w:space="0" w:color="auto"/>
              <w:right w:val="single" w:sz="8" w:space="0" w:color="auto"/>
            </w:tcBorders>
            <w:shd w:val="clear" w:color="auto" w:fill="auto"/>
            <w:noWrap/>
            <w:vAlign w:val="center"/>
            <w:hideMark/>
          </w:tcPr>
          <w:p w14:paraId="37DCB47E"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11000</w:t>
            </w:r>
          </w:p>
        </w:tc>
        <w:tc>
          <w:tcPr>
            <w:tcW w:w="1143" w:type="dxa"/>
            <w:tcBorders>
              <w:top w:val="nil"/>
              <w:left w:val="nil"/>
              <w:bottom w:val="single" w:sz="8" w:space="0" w:color="auto"/>
              <w:right w:val="single" w:sz="8" w:space="0" w:color="auto"/>
            </w:tcBorders>
            <w:shd w:val="clear" w:color="auto" w:fill="auto"/>
            <w:noWrap/>
            <w:vAlign w:val="center"/>
            <w:hideMark/>
          </w:tcPr>
          <w:p w14:paraId="2905235C"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 </w:t>
            </w:r>
          </w:p>
        </w:tc>
        <w:tc>
          <w:tcPr>
            <w:tcW w:w="1276" w:type="dxa"/>
            <w:tcBorders>
              <w:top w:val="nil"/>
              <w:left w:val="nil"/>
              <w:bottom w:val="single" w:sz="8" w:space="0" w:color="auto"/>
              <w:right w:val="single" w:sz="8" w:space="0" w:color="auto"/>
            </w:tcBorders>
            <w:shd w:val="clear" w:color="auto" w:fill="auto"/>
            <w:noWrap/>
            <w:vAlign w:val="center"/>
            <w:hideMark/>
          </w:tcPr>
          <w:p w14:paraId="452A553E"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11000</w:t>
            </w:r>
          </w:p>
        </w:tc>
        <w:tc>
          <w:tcPr>
            <w:tcW w:w="1465" w:type="dxa"/>
            <w:tcBorders>
              <w:top w:val="nil"/>
              <w:left w:val="nil"/>
              <w:bottom w:val="single" w:sz="8" w:space="0" w:color="auto"/>
              <w:right w:val="single" w:sz="8" w:space="0" w:color="auto"/>
            </w:tcBorders>
            <w:shd w:val="clear" w:color="auto" w:fill="auto"/>
            <w:noWrap/>
            <w:vAlign w:val="center"/>
            <w:hideMark/>
          </w:tcPr>
          <w:p w14:paraId="0414F6AE" w14:textId="77777777" w:rsidR="00915003" w:rsidRPr="00D75D2E" w:rsidRDefault="00915003" w:rsidP="0081725D">
            <w:pPr>
              <w:spacing w:after="0" w:line="240" w:lineRule="auto"/>
              <w:jc w:val="center"/>
              <w:rPr>
                <w:rFonts w:ascii="Times New Roman" w:eastAsia="Times New Roman" w:hAnsi="Times New Roman"/>
                <w:lang w:eastAsia="fr-FR"/>
              </w:rPr>
            </w:pPr>
            <w:r w:rsidRPr="009707D0">
              <w:rPr>
                <w:rFonts w:ascii="Times New Roman" w:eastAsia="Times New Roman" w:hAnsi="Times New Roman"/>
                <w:color w:val="000000"/>
                <w:sz w:val="20"/>
                <w:szCs w:val="20"/>
                <w:lang w:eastAsia="fr-FR"/>
              </w:rPr>
              <w:t>11 000</w:t>
            </w:r>
          </w:p>
        </w:tc>
      </w:tr>
      <w:tr w:rsidR="00915003" w:rsidRPr="00D75D2E" w14:paraId="29079DE8" w14:textId="77777777" w:rsidTr="0081725D">
        <w:trPr>
          <w:trHeight w:val="300"/>
          <w:jc w:val="center"/>
        </w:trPr>
        <w:tc>
          <w:tcPr>
            <w:tcW w:w="2436"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2C55952" w14:textId="77777777" w:rsidR="00915003" w:rsidRPr="00D75D2E" w:rsidRDefault="00915003" w:rsidP="0081725D">
            <w:pPr>
              <w:spacing w:after="0" w:line="240" w:lineRule="auto"/>
              <w:rPr>
                <w:rFonts w:ascii="Times New Roman" w:eastAsia="Times New Roman" w:hAnsi="Times New Roman"/>
                <w:b/>
                <w:bCs/>
                <w:lang w:eastAsia="fr-FR"/>
              </w:rPr>
            </w:pPr>
            <w:r>
              <w:rPr>
                <w:rFonts w:ascii="Times New Roman" w:eastAsia="Times New Roman" w:hAnsi="Times New Roman"/>
                <w:b/>
                <w:bCs/>
                <w:lang w:eastAsia="fr-FR"/>
              </w:rPr>
              <w:t>Ntalo ya monene</w:t>
            </w:r>
          </w:p>
        </w:tc>
        <w:tc>
          <w:tcPr>
            <w:tcW w:w="739" w:type="dxa"/>
            <w:tcBorders>
              <w:top w:val="nil"/>
              <w:left w:val="nil"/>
              <w:bottom w:val="single" w:sz="8" w:space="0" w:color="auto"/>
              <w:right w:val="single" w:sz="8" w:space="0" w:color="auto"/>
            </w:tcBorders>
            <w:shd w:val="clear" w:color="auto" w:fill="auto"/>
            <w:noWrap/>
            <w:vAlign w:val="center"/>
            <w:hideMark/>
          </w:tcPr>
          <w:p w14:paraId="180096AD"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32" w:type="dxa"/>
            <w:tcBorders>
              <w:top w:val="nil"/>
              <w:left w:val="nil"/>
              <w:bottom w:val="single" w:sz="8" w:space="0" w:color="auto"/>
              <w:right w:val="single" w:sz="8" w:space="0" w:color="auto"/>
            </w:tcBorders>
            <w:shd w:val="clear" w:color="auto" w:fill="auto"/>
            <w:noWrap/>
            <w:vAlign w:val="center"/>
            <w:hideMark/>
          </w:tcPr>
          <w:p w14:paraId="69A1364C"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90" w:type="dxa"/>
            <w:tcBorders>
              <w:top w:val="nil"/>
              <w:left w:val="nil"/>
              <w:bottom w:val="single" w:sz="8" w:space="0" w:color="auto"/>
              <w:right w:val="single" w:sz="8" w:space="0" w:color="auto"/>
            </w:tcBorders>
            <w:shd w:val="clear" w:color="auto" w:fill="auto"/>
            <w:noWrap/>
            <w:vAlign w:val="center"/>
            <w:hideMark/>
          </w:tcPr>
          <w:p w14:paraId="68ACFE70"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D75D2E">
              <w:rPr>
                <w:rFonts w:ascii="Times New Roman" w:hAnsi="Times New Roman"/>
                <w:b/>
                <w:bCs/>
                <w:lang w:eastAsia="fr-FR"/>
              </w:rPr>
              <w:t> </w:t>
            </w:r>
          </w:p>
        </w:tc>
        <w:tc>
          <w:tcPr>
            <w:tcW w:w="1143" w:type="dxa"/>
            <w:tcBorders>
              <w:top w:val="nil"/>
              <w:left w:val="nil"/>
              <w:bottom w:val="single" w:sz="8" w:space="0" w:color="auto"/>
              <w:right w:val="single" w:sz="8" w:space="0" w:color="auto"/>
            </w:tcBorders>
            <w:shd w:val="clear" w:color="auto" w:fill="auto"/>
            <w:noWrap/>
            <w:vAlign w:val="center"/>
            <w:hideMark/>
          </w:tcPr>
          <w:p w14:paraId="4FAA000E" w14:textId="77777777" w:rsidR="00915003" w:rsidRPr="00D75D2E" w:rsidRDefault="00915003" w:rsidP="0081725D">
            <w:pPr>
              <w:spacing w:after="0" w:line="240" w:lineRule="auto"/>
              <w:jc w:val="center"/>
              <w:rPr>
                <w:rFonts w:ascii="Times New Roman" w:eastAsia="Times New Roman" w:hAnsi="Times New Roman"/>
                <w:b/>
                <w:bCs/>
                <w:lang w:eastAsia="fr-FR"/>
              </w:rPr>
            </w:pPr>
            <w:r w:rsidRPr="009707D0">
              <w:rPr>
                <w:rFonts w:ascii="Times New Roman" w:eastAsia="Times New Roman" w:hAnsi="Times New Roman"/>
                <w:b/>
                <w:bCs/>
                <w:color w:val="000000"/>
                <w:sz w:val="20"/>
                <w:szCs w:val="20"/>
                <w:lang w:eastAsia="fr-FR"/>
              </w:rPr>
              <w:t>64 750</w:t>
            </w:r>
          </w:p>
        </w:tc>
        <w:tc>
          <w:tcPr>
            <w:tcW w:w="1276" w:type="dxa"/>
            <w:tcBorders>
              <w:top w:val="nil"/>
              <w:left w:val="nil"/>
              <w:bottom w:val="single" w:sz="8" w:space="0" w:color="auto"/>
              <w:right w:val="single" w:sz="8" w:space="0" w:color="auto"/>
            </w:tcBorders>
            <w:shd w:val="clear" w:color="auto" w:fill="auto"/>
            <w:noWrap/>
            <w:vAlign w:val="center"/>
            <w:hideMark/>
          </w:tcPr>
          <w:p w14:paraId="47D0EC1B" w14:textId="77777777" w:rsidR="00915003" w:rsidRPr="00D75D2E" w:rsidRDefault="00915003" w:rsidP="0081725D">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141 300</w:t>
            </w:r>
          </w:p>
        </w:tc>
        <w:tc>
          <w:tcPr>
            <w:tcW w:w="1465" w:type="dxa"/>
            <w:tcBorders>
              <w:top w:val="nil"/>
              <w:left w:val="nil"/>
              <w:bottom w:val="single" w:sz="8" w:space="0" w:color="auto"/>
              <w:right w:val="single" w:sz="8" w:space="0" w:color="auto"/>
            </w:tcBorders>
            <w:shd w:val="clear" w:color="auto" w:fill="auto"/>
            <w:noWrap/>
            <w:vAlign w:val="center"/>
            <w:hideMark/>
          </w:tcPr>
          <w:p w14:paraId="34FEAB8A" w14:textId="77777777" w:rsidR="00915003" w:rsidRPr="00D75D2E" w:rsidRDefault="00915003" w:rsidP="0081725D">
            <w:pPr>
              <w:spacing w:after="0" w:line="240" w:lineRule="auto"/>
              <w:jc w:val="center"/>
              <w:rPr>
                <w:rFonts w:ascii="Times New Roman" w:hAnsi="Times New Roman"/>
                <w:b/>
                <w:bCs/>
                <w:lang w:eastAsia="fr-FR"/>
              </w:rPr>
            </w:pPr>
            <w:r w:rsidRPr="009707D0">
              <w:rPr>
                <w:rFonts w:ascii="Times New Roman" w:eastAsia="Times New Roman" w:hAnsi="Times New Roman"/>
                <w:b/>
                <w:bCs/>
                <w:color w:val="000000"/>
                <w:sz w:val="20"/>
                <w:szCs w:val="20"/>
                <w:lang w:eastAsia="fr-FR"/>
              </w:rPr>
              <w:t>206 050</w:t>
            </w:r>
          </w:p>
        </w:tc>
      </w:tr>
    </w:tbl>
    <w:p w14:paraId="24419FC8" w14:textId="77777777" w:rsidR="00915003" w:rsidRPr="000E7AFE" w:rsidRDefault="00915003" w:rsidP="00915003">
      <w:pPr>
        <w:spacing w:before="240"/>
        <w:rPr>
          <w:rFonts w:ascii="Times New Roman" w:hAnsi="Times New Roman"/>
          <w:sz w:val="24"/>
          <w:szCs w:val="24"/>
        </w:rPr>
      </w:pPr>
      <w:r>
        <w:rPr>
          <w:rFonts w:ascii="Times New Roman" w:hAnsi="Times New Roman"/>
          <w:sz w:val="24"/>
          <w:szCs w:val="24"/>
        </w:rPr>
        <w:t>Musala etalisi ba mpasi na oyo etali kosala EIES liye. Eza</w:t>
      </w:r>
      <w:r w:rsidRPr="000E7AFE">
        <w:rPr>
          <w:rFonts w:ascii="Times New Roman" w:hAnsi="Times New Roman"/>
          <w:sz w:val="24"/>
          <w:szCs w:val="24"/>
        </w:rPr>
        <w:t> :</w:t>
      </w:r>
    </w:p>
    <w:p w14:paraId="049B6E9D" w14:textId="77777777" w:rsidR="00915003" w:rsidRPr="000E7AFE" w:rsidRDefault="00915003" w:rsidP="00915003">
      <w:pPr>
        <w:pStyle w:val="Paragraphedeliste"/>
        <w:numPr>
          <w:ilvl w:val="0"/>
          <w:numId w:val="355"/>
        </w:numPr>
        <w:rPr>
          <w:rFonts w:ascii="Times New Roman" w:hAnsi="Times New Roman"/>
          <w:sz w:val="24"/>
          <w:szCs w:val="24"/>
        </w:rPr>
      </w:pPr>
      <w:r>
        <w:rPr>
          <w:rFonts w:ascii="Times New Roman" w:hAnsi="Times New Roman"/>
          <w:sz w:val="24"/>
          <w:szCs w:val="24"/>
        </w:rPr>
        <w:t>Kotala te bisika ya kozwa zelo mpe lolenge misala eza kosalama, ba saleli ya esika  mpe kotala ndenge ya misala ya bana</w:t>
      </w:r>
      <w:r w:rsidRPr="000E7AFE">
        <w:rPr>
          <w:rFonts w:ascii="Times New Roman" w:hAnsi="Times New Roman"/>
          <w:sz w:val="24"/>
          <w:szCs w:val="24"/>
        </w:rPr>
        <w:t> ;</w:t>
      </w:r>
    </w:p>
    <w:p w14:paraId="59EF1DED" w14:textId="77777777" w:rsidR="00915003" w:rsidRDefault="00915003" w:rsidP="00915003">
      <w:pPr>
        <w:pStyle w:val="Paragraphedeliste"/>
        <w:numPr>
          <w:ilvl w:val="0"/>
          <w:numId w:val="355"/>
        </w:numPr>
        <w:rPr>
          <w:rFonts w:ascii="Times New Roman" w:hAnsi="Times New Roman"/>
          <w:sz w:val="24"/>
          <w:szCs w:val="24"/>
        </w:rPr>
      </w:pPr>
      <w:r>
        <w:rPr>
          <w:rFonts w:ascii="Times New Roman" w:hAnsi="Times New Roman"/>
          <w:sz w:val="24"/>
          <w:szCs w:val="24"/>
        </w:rPr>
        <w:t>Kotala te bisika ya batu ya misala bafandaka mpo na été etando ya bisika basali bafandi eyebani te ;</w:t>
      </w:r>
    </w:p>
    <w:p w14:paraId="455C0356" w14:textId="77777777" w:rsidR="00915003" w:rsidRPr="000E7AFE" w:rsidRDefault="00915003" w:rsidP="00915003">
      <w:pPr>
        <w:pStyle w:val="Paragraphedeliste"/>
        <w:numPr>
          <w:ilvl w:val="0"/>
          <w:numId w:val="355"/>
        </w:numPr>
        <w:rPr>
          <w:rFonts w:ascii="Times New Roman" w:hAnsi="Times New Roman"/>
          <w:sz w:val="24"/>
          <w:szCs w:val="24"/>
        </w:rPr>
      </w:pPr>
      <w:r>
        <w:rPr>
          <w:rFonts w:ascii="Times New Roman" w:hAnsi="Times New Roman"/>
          <w:sz w:val="24"/>
          <w:szCs w:val="24"/>
        </w:rPr>
        <w:t>Kozwa te bo batelama ya botambwisi mpe kobatelama ya bala-bala.</w:t>
      </w:r>
    </w:p>
    <w:p w14:paraId="75F8C5D8" w14:textId="77777777" w:rsidR="00915003" w:rsidRPr="003C5D8E" w:rsidRDefault="00915003" w:rsidP="00915003">
      <w:pPr>
        <w:spacing w:before="120" w:after="120" w:line="240" w:lineRule="auto"/>
        <w:jc w:val="both"/>
        <w:rPr>
          <w:rFonts w:ascii="Times New Roman" w:eastAsia="Times New Roman" w:hAnsi="Times New Roman"/>
          <w:b/>
          <w:sz w:val="24"/>
          <w:szCs w:val="24"/>
          <w:lang w:eastAsia="fr-FR"/>
        </w:rPr>
      </w:pPr>
      <w:r w:rsidRPr="003C5D8E">
        <w:rPr>
          <w:rFonts w:ascii="Times New Roman" w:eastAsia="Times New Roman" w:hAnsi="Times New Roman"/>
          <w:b/>
          <w:sz w:val="24"/>
          <w:szCs w:val="24"/>
          <w:lang w:eastAsia="fr-FR"/>
        </w:rPr>
        <w:t>Po</w:t>
      </w:r>
      <w:r>
        <w:rPr>
          <w:rFonts w:ascii="Times New Roman" w:eastAsia="Times New Roman" w:hAnsi="Times New Roman"/>
          <w:b/>
          <w:sz w:val="24"/>
          <w:szCs w:val="24"/>
          <w:lang w:eastAsia="fr-FR"/>
        </w:rPr>
        <w:t>na kobongisa yango, ez’osenga</w:t>
      </w:r>
      <w:r w:rsidRPr="003C5D8E">
        <w:rPr>
          <w:rFonts w:ascii="Times New Roman" w:eastAsia="Times New Roman" w:hAnsi="Times New Roman"/>
          <w:b/>
          <w:sz w:val="24"/>
          <w:szCs w:val="24"/>
          <w:lang w:eastAsia="fr-FR"/>
        </w:rPr>
        <w:t> :</w:t>
      </w:r>
    </w:p>
    <w:p w14:paraId="63CAD3DF" w14:textId="77777777" w:rsidR="00915003" w:rsidRDefault="00915003" w:rsidP="00915003">
      <w:pPr>
        <w:numPr>
          <w:ilvl w:val="0"/>
          <w:numId w:val="354"/>
        </w:numPr>
        <w:suppressAutoHyphens/>
        <w:spacing w:after="120" w:line="240" w:lineRule="auto"/>
        <w:contextualSpacing/>
        <w:jc w:val="both"/>
        <w:rPr>
          <w:rFonts w:ascii="Times New Roman" w:hAnsi="Times New Roman"/>
          <w:iCs/>
          <w:sz w:val="24"/>
          <w:szCs w:val="24"/>
        </w:rPr>
      </w:pPr>
      <w:r>
        <w:rPr>
          <w:rFonts w:ascii="Times New Roman" w:hAnsi="Times New Roman"/>
          <w:iCs/>
          <w:sz w:val="24"/>
          <w:szCs w:val="24"/>
        </w:rPr>
        <w:t>Kotala nyoso eza na bisika ya kozwa mabele ya kosalela misala mpe bisika basali bazali kofanda eko tiama na nzela ya kompany liboso misala efongwama mpe soki esalami te engebeni ya bisika bizingi mokili mpe efandeli ya batu esalami na kotiya na misala PGES moko to EIES moko ya muke to soki mpe PAR moko pona bisika oyo bazwaka mabele mpe bisika basali bafandi na nzela ya kobongisa bisika bazwaka mabele ya kosalela misala ;</w:t>
      </w:r>
    </w:p>
    <w:p w14:paraId="772EFB22" w14:textId="77777777" w:rsidR="00915003" w:rsidRDefault="00915003" w:rsidP="00915003">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ako bongisa mpe kotiya miango ya kobatela musala ya bato (PGMO) en kolandisama PGMO ya musala ;</w:t>
      </w:r>
    </w:p>
    <w:p w14:paraId="6065417C" w14:textId="77777777" w:rsidR="00915003" w:rsidRDefault="00915003" w:rsidP="00915003">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okobongisa mpe akotiya na misala miango ya IEC (koyebisa  – kolakisa – kopanza sango) na kati ya musala ya bana mpe ya ba EAS/HS ;</w:t>
      </w:r>
    </w:p>
    <w:p w14:paraId="278E0EE3" w14:textId="77777777" w:rsidR="00915003" w:rsidRPr="00D75D2E" w:rsidRDefault="00915003" w:rsidP="00915003">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Kompany ako sala mpe kotiya na misala miango ya kobatela botambwisi to kobatela nzela.</w:t>
      </w:r>
    </w:p>
    <w:p w14:paraId="1EB8DA61" w14:textId="77777777" w:rsidR="00915003" w:rsidRPr="00215867" w:rsidRDefault="00915003" w:rsidP="00ED17F3">
      <w:pPr>
        <w:suppressAutoHyphens/>
        <w:spacing w:after="0" w:line="240" w:lineRule="auto"/>
        <w:jc w:val="both"/>
        <w:rPr>
          <w:rFonts w:ascii="Times New Roman" w:hAnsi="Times New Roman"/>
          <w:sz w:val="24"/>
          <w:szCs w:val="24"/>
        </w:rPr>
      </w:pPr>
    </w:p>
    <w:p w14:paraId="349E8917" w14:textId="77777777" w:rsidR="00915003" w:rsidRPr="00215867" w:rsidRDefault="00915003" w:rsidP="00ED17F3">
      <w:pPr>
        <w:suppressAutoHyphens/>
        <w:spacing w:after="0" w:line="240" w:lineRule="auto"/>
        <w:jc w:val="both"/>
        <w:rPr>
          <w:rFonts w:ascii="Times New Roman" w:hAnsi="Times New Roman"/>
          <w:sz w:val="24"/>
          <w:szCs w:val="24"/>
        </w:rPr>
      </w:pPr>
    </w:p>
    <w:p w14:paraId="40FE06A1" w14:textId="77777777" w:rsidR="00915003" w:rsidRPr="00215867" w:rsidRDefault="00915003" w:rsidP="00ED17F3">
      <w:pPr>
        <w:suppressAutoHyphens/>
        <w:spacing w:after="0" w:line="240" w:lineRule="auto"/>
        <w:jc w:val="both"/>
        <w:rPr>
          <w:rFonts w:ascii="Times New Roman" w:hAnsi="Times New Roman"/>
          <w:sz w:val="24"/>
          <w:szCs w:val="24"/>
        </w:rPr>
      </w:pPr>
    </w:p>
    <w:p w14:paraId="6C512F12" w14:textId="77777777" w:rsidR="00915003" w:rsidRPr="00215867" w:rsidRDefault="00915003" w:rsidP="00ED17F3">
      <w:pPr>
        <w:suppressAutoHyphens/>
        <w:spacing w:after="0" w:line="240" w:lineRule="auto"/>
        <w:jc w:val="both"/>
        <w:rPr>
          <w:rFonts w:ascii="Times New Roman" w:hAnsi="Times New Roman"/>
          <w:sz w:val="24"/>
          <w:szCs w:val="24"/>
        </w:rPr>
      </w:pPr>
    </w:p>
    <w:p w14:paraId="35597CC7" w14:textId="77777777" w:rsidR="00E41A2F" w:rsidRPr="00215867" w:rsidRDefault="00E41A2F" w:rsidP="00E41A2F"/>
    <w:p w14:paraId="4514C026" w14:textId="14CD1CCA" w:rsidR="0028517D" w:rsidRPr="00215867" w:rsidRDefault="0028517D">
      <w:pPr>
        <w:rPr>
          <w:rFonts w:ascii="Times New Roman" w:hAnsi="Times New Roman"/>
          <w:sz w:val="24"/>
          <w:szCs w:val="24"/>
        </w:rPr>
      </w:pPr>
      <w:r w:rsidRPr="00215867">
        <w:rPr>
          <w:rFonts w:ascii="Times New Roman" w:hAnsi="Times New Roman"/>
          <w:sz w:val="24"/>
          <w:szCs w:val="24"/>
        </w:rPr>
        <w:br w:type="page"/>
      </w:r>
    </w:p>
    <w:p w14:paraId="481C542F" w14:textId="454D8B51" w:rsidR="00ED17F3" w:rsidRPr="00D75D2E" w:rsidRDefault="00ED17F3" w:rsidP="008C79F0">
      <w:pPr>
        <w:pStyle w:val="Titre1"/>
        <w:numPr>
          <w:ilvl w:val="0"/>
          <w:numId w:val="54"/>
        </w:numPr>
        <w:spacing w:after="120"/>
        <w:ind w:left="357" w:hanging="357"/>
      </w:pPr>
      <w:bookmarkStart w:id="41" w:name="_Toc452538198"/>
      <w:bookmarkStart w:id="42" w:name="_Toc16663459"/>
      <w:bookmarkStart w:id="43" w:name="_Toc16663633"/>
      <w:bookmarkStart w:id="44" w:name="_Toc16664878"/>
      <w:bookmarkStart w:id="45" w:name="_Toc103685596"/>
      <w:r w:rsidRPr="00D75D2E">
        <w:t>INTRODUCTION</w:t>
      </w:r>
      <w:bookmarkEnd w:id="41"/>
      <w:bookmarkEnd w:id="42"/>
      <w:bookmarkEnd w:id="43"/>
      <w:bookmarkEnd w:id="44"/>
      <w:bookmarkEnd w:id="45"/>
    </w:p>
    <w:p w14:paraId="01D67BE0" w14:textId="15259BB1" w:rsidR="00ED17F3" w:rsidRPr="00D75D2E" w:rsidRDefault="00ED17F3" w:rsidP="008C79F0">
      <w:pPr>
        <w:pStyle w:val="Titre2"/>
        <w:numPr>
          <w:ilvl w:val="1"/>
          <w:numId w:val="21"/>
        </w:numPr>
        <w:overflowPunct w:val="0"/>
        <w:autoSpaceDE w:val="0"/>
        <w:autoSpaceDN w:val="0"/>
        <w:adjustRightInd w:val="0"/>
        <w:spacing w:before="0" w:after="120" w:line="240" w:lineRule="auto"/>
        <w:ind w:left="1077"/>
        <w:contextualSpacing/>
        <w:jc w:val="both"/>
        <w:textAlignment w:val="baseline"/>
        <w:rPr>
          <w:color w:val="auto"/>
        </w:rPr>
      </w:pPr>
      <w:bookmarkStart w:id="46" w:name="_Toc16663460"/>
      <w:bookmarkStart w:id="47" w:name="_Toc16663634"/>
      <w:bookmarkStart w:id="48" w:name="_Toc16664879"/>
      <w:bookmarkStart w:id="49" w:name="_Toc103685597"/>
      <w:r w:rsidRPr="00D75D2E">
        <w:rPr>
          <w:color w:val="auto"/>
        </w:rPr>
        <w:t>Contexte</w:t>
      </w:r>
      <w:bookmarkEnd w:id="46"/>
      <w:bookmarkEnd w:id="47"/>
      <w:bookmarkEnd w:id="48"/>
      <w:bookmarkEnd w:id="49"/>
    </w:p>
    <w:p w14:paraId="1C5AE9F6" w14:textId="77777777" w:rsidR="00D24325" w:rsidRPr="00D75D2E" w:rsidRDefault="00D24325" w:rsidP="00D24325">
      <w:pPr>
        <w:jc w:val="both"/>
        <w:rPr>
          <w:rFonts w:ascii="Times New Roman" w:hAnsi="Times New Roman"/>
          <w:sz w:val="24"/>
          <w:szCs w:val="24"/>
        </w:rPr>
      </w:pPr>
      <w:bookmarkStart w:id="50" w:name="_Toc16663461"/>
      <w:bookmarkStart w:id="51" w:name="_Toc16663635"/>
      <w:bookmarkStart w:id="52" w:name="_Toc16664880"/>
      <w:r w:rsidRPr="00D75D2E">
        <w:rPr>
          <w:rFonts w:ascii="Times New Roman" w:hAnsi="Times New Roman"/>
          <w:sz w:val="24"/>
          <w:szCs w:val="24"/>
        </w:rPr>
        <w:t xml:space="preserve">La République Démocratique du Congo a obtenu de l’Association Internationale de Développement (IDA) des fonds en vue de financer un projet dénommé «Projet d’Accès et d’Amélioration des Services Electriques», EASE, dont l’objectif est de répondre aux besoins urgents en électricité des zones non desservies ou insuffisamment desservies en tant que première phase d'un vaste programme national d'électrification qui sera financé par le gouvernement, divers bailleurs de fonds et le secteur privé dans la perspective d’assurer un accès universel à l'électricité aux populations à l’horizon 2035. </w:t>
      </w:r>
    </w:p>
    <w:p w14:paraId="66CE54F0" w14:textId="16C6C6A2" w:rsidR="00D24325" w:rsidRDefault="00D24325" w:rsidP="00D24325">
      <w:pPr>
        <w:jc w:val="both"/>
        <w:rPr>
          <w:rFonts w:ascii="Times New Roman" w:hAnsi="Times New Roman"/>
          <w:sz w:val="24"/>
          <w:szCs w:val="24"/>
        </w:rPr>
      </w:pPr>
      <w:r w:rsidRPr="00D75D2E">
        <w:rPr>
          <w:rFonts w:ascii="Times New Roman" w:hAnsi="Times New Roman"/>
          <w:sz w:val="24"/>
          <w:szCs w:val="24"/>
        </w:rPr>
        <w:t>En ce qui concerne en particulier les travaux d’électrification des poches noires, d’assainissement, de réhabilitation et de mise en conformité des réseaux de distribution d’électricité de SNEL des directions de Kinshasa Centre et Ouest, les conclusions des études techniques ont révélé que l’implantation des 180 cabines de distribution et de leurs réseau</w:t>
      </w:r>
      <w:r w:rsidR="002C5BE1">
        <w:rPr>
          <w:rFonts w:ascii="Times New Roman" w:hAnsi="Times New Roman"/>
          <w:sz w:val="24"/>
          <w:szCs w:val="24"/>
        </w:rPr>
        <w:t>x</w:t>
      </w:r>
      <w:r w:rsidRPr="00D75D2E">
        <w:rPr>
          <w:rFonts w:ascii="Times New Roman" w:hAnsi="Times New Roman"/>
          <w:sz w:val="24"/>
          <w:szCs w:val="24"/>
        </w:rPr>
        <w:t xml:space="preserve"> associés telle qu’initialement  prévue dans le Document d’Evaluation du Projet (PAD) ne permettrait pas d’atteindre les indicateurs cibles du projet, à savoir le raccordement de 50 000 nouveaux ménages dans les poches noires de DKC &amp; DKO.  Pour atteindre cette cible, ces études ont recommandé l’implantation de 232 cabines additionnelles et de leurs réseaux</w:t>
      </w:r>
      <w:r w:rsidR="001F2614">
        <w:rPr>
          <w:rFonts w:ascii="Times New Roman" w:hAnsi="Times New Roman"/>
          <w:sz w:val="24"/>
          <w:szCs w:val="24"/>
        </w:rPr>
        <w:t xml:space="preserve"> </w:t>
      </w:r>
      <w:r w:rsidRPr="00D75D2E">
        <w:rPr>
          <w:rFonts w:ascii="Times New Roman" w:hAnsi="Times New Roman"/>
          <w:sz w:val="24"/>
          <w:szCs w:val="24"/>
        </w:rPr>
        <w:t>associés.</w:t>
      </w:r>
    </w:p>
    <w:p w14:paraId="0FE2BBEE" w14:textId="478B92DB" w:rsidR="00D00131" w:rsidRDefault="00D00131" w:rsidP="00D24325">
      <w:pPr>
        <w:jc w:val="both"/>
        <w:rPr>
          <w:rFonts w:ascii="Times New Roman" w:hAnsi="Times New Roman"/>
          <w:sz w:val="24"/>
          <w:szCs w:val="24"/>
        </w:rPr>
      </w:pPr>
      <w:r>
        <w:rPr>
          <w:rFonts w:ascii="Times New Roman" w:hAnsi="Times New Roman"/>
          <w:sz w:val="24"/>
          <w:szCs w:val="24"/>
        </w:rPr>
        <w:t>Par ailleurs, le coût des travaux tel qu’estimé par les études techniques est largement supérieur au montant du financement prévu dans le cadre du projet EASE, de sorte que le scope de travaux prévus a été réduit pour le rendre compatible avec le financement disponible.</w:t>
      </w:r>
    </w:p>
    <w:p w14:paraId="57F0AF8D" w14:textId="71BEAEA3" w:rsidR="00D00131" w:rsidRPr="00D75D2E" w:rsidRDefault="00D00131" w:rsidP="00D24325">
      <w:pPr>
        <w:jc w:val="both"/>
        <w:rPr>
          <w:rFonts w:ascii="Times New Roman" w:hAnsi="Times New Roman"/>
          <w:sz w:val="24"/>
          <w:szCs w:val="24"/>
        </w:rPr>
      </w:pPr>
      <w:r>
        <w:rPr>
          <w:rFonts w:ascii="Times New Roman" w:hAnsi="Times New Roman"/>
          <w:sz w:val="24"/>
          <w:szCs w:val="24"/>
        </w:rPr>
        <w:t xml:space="preserve">C’est en considération de ce qui précède que le projet EASE, n’a pris en charge </w:t>
      </w:r>
      <w:r w:rsidR="00530AC1">
        <w:rPr>
          <w:rFonts w:ascii="Times New Roman" w:hAnsi="Times New Roman"/>
          <w:sz w:val="24"/>
          <w:szCs w:val="24"/>
        </w:rPr>
        <w:t>qu’</w:t>
      </w:r>
      <w:r>
        <w:rPr>
          <w:rFonts w:ascii="Times New Roman" w:hAnsi="Times New Roman"/>
          <w:sz w:val="24"/>
          <w:szCs w:val="24"/>
        </w:rPr>
        <w:t xml:space="preserve">un scope partiel des travaux. </w:t>
      </w:r>
    </w:p>
    <w:p w14:paraId="149D727A" w14:textId="405C6154" w:rsidR="00D24325" w:rsidRPr="00D75D2E" w:rsidRDefault="003B6467" w:rsidP="00D24325">
      <w:pPr>
        <w:jc w:val="both"/>
        <w:rPr>
          <w:rFonts w:ascii="Times New Roman" w:hAnsi="Times New Roman"/>
          <w:sz w:val="24"/>
          <w:szCs w:val="24"/>
        </w:rPr>
      </w:pPr>
      <w:r w:rsidRPr="00D75D2E">
        <w:rPr>
          <w:rFonts w:ascii="Times New Roman" w:hAnsi="Times New Roman"/>
          <w:sz w:val="24"/>
          <w:szCs w:val="24"/>
        </w:rPr>
        <w:t>Le</w:t>
      </w:r>
      <w:r w:rsidR="00D24325" w:rsidRPr="00D75D2E">
        <w:rPr>
          <w:rFonts w:ascii="Times New Roman" w:hAnsi="Times New Roman"/>
          <w:sz w:val="24"/>
          <w:szCs w:val="24"/>
        </w:rPr>
        <w:t xml:space="preserve"> Gouvernement a sollicité de l’IDA un autre financement pour la mise en place d’un nouveau projet dénommé « Projet </w:t>
      </w:r>
      <w:r w:rsidR="00D00131" w:rsidRPr="00D75D2E">
        <w:rPr>
          <w:rFonts w:ascii="Times New Roman" w:hAnsi="Times New Roman"/>
          <w:sz w:val="24"/>
          <w:szCs w:val="24"/>
        </w:rPr>
        <w:t>d’Accès</w:t>
      </w:r>
      <w:r w:rsidR="00D00131">
        <w:rPr>
          <w:rFonts w:ascii="Times New Roman" w:hAnsi="Times New Roman"/>
          <w:sz w:val="24"/>
          <w:szCs w:val="24"/>
        </w:rPr>
        <w:t>,</w:t>
      </w:r>
      <w:r w:rsidR="00D00131" w:rsidRPr="00D75D2E">
        <w:rPr>
          <w:rFonts w:ascii="Times New Roman" w:hAnsi="Times New Roman"/>
          <w:sz w:val="24"/>
          <w:szCs w:val="24"/>
        </w:rPr>
        <w:t xml:space="preserve"> </w:t>
      </w:r>
      <w:r w:rsidR="00D24325" w:rsidRPr="00D75D2E">
        <w:rPr>
          <w:rFonts w:ascii="Times New Roman" w:hAnsi="Times New Roman"/>
          <w:sz w:val="24"/>
          <w:szCs w:val="24"/>
        </w:rPr>
        <w:t xml:space="preserve">de Gouvernance et </w:t>
      </w:r>
      <w:r w:rsidR="00D00131">
        <w:rPr>
          <w:rFonts w:ascii="Times New Roman" w:hAnsi="Times New Roman"/>
          <w:sz w:val="24"/>
          <w:szCs w:val="24"/>
        </w:rPr>
        <w:t>Reforme</w:t>
      </w:r>
      <w:r w:rsidR="00F81DD3">
        <w:rPr>
          <w:rFonts w:ascii="Times New Roman" w:hAnsi="Times New Roman"/>
          <w:sz w:val="24"/>
          <w:szCs w:val="24"/>
        </w:rPr>
        <w:t>s</w:t>
      </w:r>
      <w:r w:rsidR="00D24325" w:rsidRPr="00D75D2E">
        <w:rPr>
          <w:rFonts w:ascii="Times New Roman" w:hAnsi="Times New Roman"/>
          <w:sz w:val="24"/>
          <w:szCs w:val="24"/>
        </w:rPr>
        <w:t xml:space="preserve"> </w:t>
      </w:r>
      <w:r w:rsidR="00D00131">
        <w:rPr>
          <w:rFonts w:ascii="Times New Roman" w:hAnsi="Times New Roman"/>
          <w:sz w:val="24"/>
          <w:szCs w:val="24"/>
        </w:rPr>
        <w:t>des secteur</w:t>
      </w:r>
      <w:r w:rsidR="00F81DD3">
        <w:rPr>
          <w:rFonts w:ascii="Times New Roman" w:hAnsi="Times New Roman"/>
          <w:sz w:val="24"/>
          <w:szCs w:val="24"/>
        </w:rPr>
        <w:t>s</w:t>
      </w:r>
      <w:r w:rsidR="00D00131">
        <w:rPr>
          <w:rFonts w:ascii="Times New Roman" w:hAnsi="Times New Roman"/>
          <w:sz w:val="24"/>
          <w:szCs w:val="24"/>
        </w:rPr>
        <w:t xml:space="preserve"> de</w:t>
      </w:r>
      <w:r w:rsidR="00D24325" w:rsidRPr="00D75D2E">
        <w:rPr>
          <w:rFonts w:ascii="Times New Roman" w:hAnsi="Times New Roman"/>
          <w:sz w:val="24"/>
          <w:szCs w:val="24"/>
        </w:rPr>
        <w:t xml:space="preserve"> l’Électricité</w:t>
      </w:r>
      <w:r w:rsidR="00D00131">
        <w:rPr>
          <w:rFonts w:ascii="Times New Roman" w:hAnsi="Times New Roman"/>
          <w:sz w:val="24"/>
          <w:szCs w:val="24"/>
        </w:rPr>
        <w:t xml:space="preserve"> et de</w:t>
      </w:r>
      <w:r w:rsidR="00D24325" w:rsidRPr="00D75D2E">
        <w:rPr>
          <w:rFonts w:ascii="Times New Roman" w:hAnsi="Times New Roman"/>
          <w:sz w:val="24"/>
          <w:szCs w:val="24"/>
        </w:rPr>
        <w:t xml:space="preserve"> l’Eau </w:t>
      </w:r>
      <w:r w:rsidR="00DE5A2E">
        <w:rPr>
          <w:rFonts w:ascii="Times New Roman" w:hAnsi="Times New Roman"/>
          <w:sz w:val="24"/>
          <w:szCs w:val="24"/>
        </w:rPr>
        <w:t xml:space="preserve">(AGREE) </w:t>
      </w:r>
      <w:r w:rsidR="00D24325" w:rsidRPr="00D75D2E">
        <w:rPr>
          <w:rFonts w:ascii="Times New Roman" w:hAnsi="Times New Roman"/>
          <w:sz w:val="24"/>
          <w:szCs w:val="24"/>
        </w:rPr>
        <w:t>», dont les principales composantes sont les suivantes :</w:t>
      </w:r>
    </w:p>
    <w:p w14:paraId="773D6C63" w14:textId="556AEA3D" w:rsidR="00D24325" w:rsidRPr="00D75D2E" w:rsidRDefault="00D24325" w:rsidP="008C79F0">
      <w:pPr>
        <w:pStyle w:val="Paragraphedeliste"/>
        <w:numPr>
          <w:ilvl w:val="0"/>
          <w:numId w:val="138"/>
        </w:numPr>
        <w:spacing w:before="60" w:after="60" w:line="276" w:lineRule="auto"/>
        <w:ind w:left="567" w:right="6" w:hanging="425"/>
        <w:jc w:val="both"/>
        <w:rPr>
          <w:rFonts w:ascii="Times New Roman" w:hAnsi="Times New Roman"/>
          <w:sz w:val="24"/>
          <w:szCs w:val="24"/>
        </w:rPr>
      </w:pPr>
      <w:r w:rsidRPr="00D75D2E">
        <w:rPr>
          <w:rFonts w:ascii="Times New Roman" w:hAnsi="Times New Roman"/>
          <w:sz w:val="24"/>
          <w:szCs w:val="24"/>
        </w:rPr>
        <w:t xml:space="preserve">Composante 1 </w:t>
      </w:r>
      <w:r w:rsidR="00D00131">
        <w:rPr>
          <w:rFonts w:ascii="Times New Roman" w:hAnsi="Times New Roman"/>
          <w:sz w:val="24"/>
          <w:szCs w:val="24"/>
        </w:rPr>
        <w:t>-</w:t>
      </w:r>
      <w:r w:rsidR="00D00131" w:rsidRPr="00D75D2E">
        <w:rPr>
          <w:rFonts w:ascii="Times New Roman" w:hAnsi="Times New Roman"/>
          <w:sz w:val="24"/>
          <w:szCs w:val="24"/>
        </w:rPr>
        <w:t xml:space="preserve"> </w:t>
      </w:r>
      <w:r w:rsidRPr="00D75D2E">
        <w:rPr>
          <w:rFonts w:ascii="Times New Roman" w:hAnsi="Times New Roman"/>
          <w:sz w:val="24"/>
          <w:szCs w:val="24"/>
        </w:rPr>
        <w:t xml:space="preserve">Gouvernance et </w:t>
      </w:r>
      <w:r w:rsidR="00914E2E">
        <w:rPr>
          <w:rFonts w:ascii="Times New Roman" w:hAnsi="Times New Roman"/>
          <w:sz w:val="24"/>
          <w:szCs w:val="24"/>
        </w:rPr>
        <w:t xml:space="preserve">Performance des Sociétés Publiques </w:t>
      </w:r>
      <w:r w:rsidRPr="00D75D2E">
        <w:rPr>
          <w:rFonts w:ascii="Times New Roman" w:hAnsi="Times New Roman"/>
          <w:sz w:val="24"/>
          <w:szCs w:val="24"/>
        </w:rPr>
        <w:t>d’Électricité et d'Eau</w:t>
      </w:r>
    </w:p>
    <w:p w14:paraId="0A740967" w14:textId="4AE629F4" w:rsidR="00D24325" w:rsidRPr="00D75D2E" w:rsidRDefault="00D24325" w:rsidP="008C79F0">
      <w:pPr>
        <w:pStyle w:val="Paragraphedeliste"/>
        <w:numPr>
          <w:ilvl w:val="0"/>
          <w:numId w:val="138"/>
        </w:numPr>
        <w:spacing w:before="60" w:after="60" w:line="276" w:lineRule="auto"/>
        <w:ind w:left="567" w:right="6" w:hanging="425"/>
        <w:jc w:val="both"/>
        <w:rPr>
          <w:rFonts w:ascii="Times New Roman" w:eastAsia="MS PGothic" w:hAnsi="Times New Roman"/>
          <w:bCs/>
          <w:kern w:val="24"/>
          <w:sz w:val="24"/>
          <w:szCs w:val="24"/>
        </w:rPr>
      </w:pPr>
      <w:r w:rsidRPr="00D75D2E">
        <w:rPr>
          <w:rFonts w:ascii="Times New Roman" w:hAnsi="Times New Roman"/>
          <w:sz w:val="24"/>
          <w:szCs w:val="24"/>
        </w:rPr>
        <w:t xml:space="preserve">Composante 2 </w:t>
      </w:r>
      <w:r w:rsidR="00D00131">
        <w:rPr>
          <w:rFonts w:ascii="Times New Roman" w:hAnsi="Times New Roman"/>
          <w:sz w:val="24"/>
          <w:szCs w:val="24"/>
        </w:rPr>
        <w:t>-</w:t>
      </w:r>
      <w:r w:rsidR="00D00131" w:rsidRPr="00D75D2E">
        <w:rPr>
          <w:rFonts w:ascii="Times New Roman" w:hAnsi="Times New Roman"/>
          <w:sz w:val="24"/>
          <w:szCs w:val="24"/>
        </w:rPr>
        <w:t xml:space="preserve"> </w:t>
      </w:r>
      <w:r w:rsidRPr="00D75D2E">
        <w:rPr>
          <w:rFonts w:ascii="Times New Roman" w:hAnsi="Times New Roman"/>
          <w:sz w:val="24"/>
          <w:szCs w:val="24"/>
        </w:rPr>
        <w:t xml:space="preserve">Renforcement des Institutions et </w:t>
      </w:r>
      <w:r w:rsidR="009942E4">
        <w:rPr>
          <w:rFonts w:ascii="Times New Roman" w:hAnsi="Times New Roman"/>
          <w:sz w:val="24"/>
          <w:szCs w:val="24"/>
        </w:rPr>
        <w:t xml:space="preserve">Soutien de développement </w:t>
      </w:r>
    </w:p>
    <w:p w14:paraId="20997C93" w14:textId="40989E17" w:rsidR="00D24325" w:rsidRPr="00D75D2E" w:rsidRDefault="00D24325" w:rsidP="008C79F0">
      <w:pPr>
        <w:pStyle w:val="Paragraphedeliste"/>
        <w:numPr>
          <w:ilvl w:val="0"/>
          <w:numId w:val="138"/>
        </w:numPr>
        <w:spacing w:before="60" w:after="60" w:line="276" w:lineRule="auto"/>
        <w:ind w:left="567" w:right="6" w:hanging="425"/>
        <w:jc w:val="both"/>
        <w:rPr>
          <w:rFonts w:ascii="Times New Roman" w:eastAsia="MS PGothic" w:hAnsi="Times New Roman"/>
          <w:bCs/>
          <w:kern w:val="24"/>
          <w:sz w:val="24"/>
          <w:szCs w:val="24"/>
        </w:rPr>
      </w:pPr>
      <w:r w:rsidRPr="00D75D2E">
        <w:rPr>
          <w:rFonts w:ascii="Times New Roman" w:eastAsia="MS PGothic" w:hAnsi="Times New Roman"/>
          <w:bCs/>
          <w:kern w:val="24"/>
          <w:sz w:val="24"/>
          <w:szCs w:val="24"/>
        </w:rPr>
        <w:t xml:space="preserve">Composante 3 </w:t>
      </w:r>
      <w:r w:rsidR="009942E4">
        <w:rPr>
          <w:rFonts w:ascii="Times New Roman" w:eastAsia="MS PGothic" w:hAnsi="Times New Roman"/>
          <w:bCs/>
          <w:kern w:val="24"/>
          <w:sz w:val="24"/>
          <w:szCs w:val="24"/>
        </w:rPr>
        <w:t>–</w:t>
      </w:r>
      <w:r w:rsidRPr="00D75D2E">
        <w:rPr>
          <w:rFonts w:ascii="Times New Roman" w:eastAsia="MS PGothic" w:hAnsi="Times New Roman"/>
          <w:bCs/>
          <w:kern w:val="24"/>
          <w:sz w:val="24"/>
          <w:szCs w:val="24"/>
        </w:rPr>
        <w:t xml:space="preserve"> E</w:t>
      </w:r>
      <w:r w:rsidR="009942E4">
        <w:rPr>
          <w:rFonts w:ascii="Times New Roman" w:eastAsia="MS PGothic" w:hAnsi="Times New Roman"/>
          <w:bCs/>
          <w:kern w:val="24"/>
          <w:sz w:val="24"/>
          <w:szCs w:val="24"/>
        </w:rPr>
        <w:t>xpansion de l’Accès basée sur le Secteur Privé</w:t>
      </w:r>
    </w:p>
    <w:p w14:paraId="3B4CEA2B" w14:textId="7EBF8C40" w:rsidR="00D24325" w:rsidRPr="00D75D2E" w:rsidRDefault="00D24325" w:rsidP="008C79F0">
      <w:pPr>
        <w:pStyle w:val="NormalWeb"/>
        <w:numPr>
          <w:ilvl w:val="0"/>
          <w:numId w:val="138"/>
        </w:numPr>
        <w:spacing w:before="60" w:after="60"/>
        <w:ind w:left="567" w:right="6" w:hanging="425"/>
        <w:jc w:val="both"/>
        <w:rPr>
          <w:rFonts w:ascii="Times New Roman" w:eastAsia="MS PGothic" w:hAnsi="Times New Roman" w:cs="Times New Roman"/>
          <w:bCs/>
          <w:kern w:val="24"/>
        </w:rPr>
      </w:pPr>
      <w:r w:rsidRPr="00D75D2E">
        <w:rPr>
          <w:rFonts w:ascii="Times New Roman" w:eastAsia="MS PGothic" w:hAnsi="Times New Roman" w:cs="Times New Roman"/>
          <w:bCs/>
          <w:kern w:val="24"/>
        </w:rPr>
        <w:t xml:space="preserve">Composante 4 </w:t>
      </w:r>
      <w:r w:rsidR="009942E4">
        <w:rPr>
          <w:rFonts w:ascii="Times New Roman" w:eastAsia="MS PGothic" w:hAnsi="Times New Roman" w:cs="Times New Roman"/>
          <w:bCs/>
          <w:kern w:val="24"/>
        </w:rPr>
        <w:t>–</w:t>
      </w:r>
      <w:r w:rsidRPr="00D75D2E">
        <w:rPr>
          <w:rFonts w:ascii="Times New Roman" w:eastAsia="MS PGothic" w:hAnsi="Times New Roman" w:cs="Times New Roman"/>
          <w:bCs/>
          <w:kern w:val="24"/>
        </w:rPr>
        <w:t xml:space="preserve"> Ex</w:t>
      </w:r>
      <w:r w:rsidR="009942E4">
        <w:rPr>
          <w:rFonts w:ascii="Times New Roman" w:eastAsia="MS PGothic" w:hAnsi="Times New Roman" w:cs="Times New Roman"/>
          <w:bCs/>
          <w:kern w:val="24"/>
        </w:rPr>
        <w:t xml:space="preserve">tension de l’accès </w:t>
      </w:r>
      <w:r w:rsidRPr="00D75D2E">
        <w:rPr>
          <w:rFonts w:ascii="Times New Roman" w:eastAsia="MS PGothic" w:hAnsi="Times New Roman" w:cs="Times New Roman"/>
          <w:bCs/>
          <w:kern w:val="24"/>
        </w:rPr>
        <w:t xml:space="preserve">à l'électricité et à l'eau </w:t>
      </w:r>
      <w:r w:rsidR="009942E4">
        <w:rPr>
          <w:rFonts w:ascii="Times New Roman" w:eastAsia="MS PGothic" w:hAnsi="Times New Roman" w:cs="Times New Roman"/>
          <w:bCs/>
          <w:kern w:val="24"/>
        </w:rPr>
        <w:t xml:space="preserve">potable </w:t>
      </w:r>
      <w:r w:rsidR="00CF5F93">
        <w:rPr>
          <w:rFonts w:ascii="Times New Roman" w:eastAsia="MS PGothic" w:hAnsi="Times New Roman" w:cs="Times New Roman"/>
          <w:bCs/>
          <w:kern w:val="24"/>
        </w:rPr>
        <w:t>par</w:t>
      </w:r>
      <w:r w:rsidR="009942E4">
        <w:rPr>
          <w:rFonts w:ascii="Times New Roman" w:eastAsia="MS PGothic" w:hAnsi="Times New Roman" w:cs="Times New Roman"/>
          <w:bCs/>
          <w:kern w:val="24"/>
        </w:rPr>
        <w:t xml:space="preserve"> </w:t>
      </w:r>
      <w:r w:rsidRPr="00D75D2E">
        <w:rPr>
          <w:rFonts w:ascii="Times New Roman" w:eastAsia="MS PGothic" w:hAnsi="Times New Roman" w:cs="Times New Roman"/>
          <w:bCs/>
          <w:kern w:val="24"/>
        </w:rPr>
        <w:t xml:space="preserve">le secteur public </w:t>
      </w:r>
    </w:p>
    <w:p w14:paraId="10C05A80" w14:textId="0180C395" w:rsidR="00D24325" w:rsidRPr="00D75D2E" w:rsidRDefault="00D24325" w:rsidP="008C79F0">
      <w:pPr>
        <w:pStyle w:val="Paragraphedeliste"/>
        <w:numPr>
          <w:ilvl w:val="0"/>
          <w:numId w:val="138"/>
        </w:numPr>
        <w:spacing w:before="60" w:after="60" w:line="276" w:lineRule="auto"/>
        <w:ind w:left="567" w:right="6" w:hanging="425"/>
        <w:jc w:val="both"/>
        <w:rPr>
          <w:rFonts w:ascii="Times New Roman" w:hAnsi="Times New Roman"/>
          <w:sz w:val="24"/>
          <w:szCs w:val="24"/>
        </w:rPr>
      </w:pPr>
      <w:r w:rsidRPr="00D75D2E">
        <w:rPr>
          <w:rFonts w:ascii="Times New Roman" w:hAnsi="Times New Roman"/>
          <w:sz w:val="24"/>
          <w:szCs w:val="24"/>
        </w:rPr>
        <w:t>Composante 5 : Composante d'Intervention d'Urgence Conditionnelle</w:t>
      </w:r>
      <w:r w:rsidR="009942E4">
        <w:rPr>
          <w:rFonts w:ascii="Times New Roman" w:hAnsi="Times New Roman"/>
          <w:sz w:val="24"/>
          <w:szCs w:val="24"/>
        </w:rPr>
        <w:t xml:space="preserve"> (CERC)</w:t>
      </w:r>
    </w:p>
    <w:p w14:paraId="3E5CA309" w14:textId="2C128D3F" w:rsidR="00D24325" w:rsidRPr="00D75D2E" w:rsidRDefault="00D24325" w:rsidP="003B6467">
      <w:pPr>
        <w:jc w:val="both"/>
        <w:rPr>
          <w:rFonts w:ascii="Times New Roman" w:hAnsi="Times New Roman"/>
          <w:sz w:val="24"/>
          <w:szCs w:val="24"/>
        </w:rPr>
      </w:pPr>
      <w:r w:rsidRPr="00D75D2E">
        <w:rPr>
          <w:rFonts w:ascii="Times New Roman" w:hAnsi="Times New Roman"/>
          <w:sz w:val="24"/>
          <w:szCs w:val="24"/>
        </w:rPr>
        <w:t>La Composante 4 (Ex</w:t>
      </w:r>
      <w:r w:rsidR="00530AC1">
        <w:rPr>
          <w:rFonts w:ascii="Times New Roman" w:hAnsi="Times New Roman"/>
          <w:sz w:val="24"/>
          <w:szCs w:val="24"/>
        </w:rPr>
        <w:t>te</w:t>
      </w:r>
      <w:r w:rsidRPr="00D75D2E">
        <w:rPr>
          <w:rFonts w:ascii="Times New Roman" w:hAnsi="Times New Roman"/>
          <w:sz w:val="24"/>
          <w:szCs w:val="24"/>
        </w:rPr>
        <w:t xml:space="preserve">nsion de l'accès </w:t>
      </w:r>
      <w:r w:rsidR="00530AC1">
        <w:rPr>
          <w:rFonts w:ascii="Times New Roman" w:hAnsi="Times New Roman"/>
          <w:sz w:val="24"/>
          <w:szCs w:val="24"/>
        </w:rPr>
        <w:t>à l’</w:t>
      </w:r>
      <w:r w:rsidR="00F81DD3">
        <w:rPr>
          <w:rFonts w:ascii="Times New Roman" w:hAnsi="Times New Roman"/>
          <w:sz w:val="24"/>
          <w:szCs w:val="24"/>
        </w:rPr>
        <w:t>électricité</w:t>
      </w:r>
      <w:r w:rsidR="00530AC1">
        <w:rPr>
          <w:rFonts w:ascii="Times New Roman" w:hAnsi="Times New Roman"/>
          <w:sz w:val="24"/>
          <w:szCs w:val="24"/>
        </w:rPr>
        <w:t xml:space="preserve"> et à l’eau </w:t>
      </w:r>
      <w:r w:rsidR="00CF5F93">
        <w:rPr>
          <w:rFonts w:ascii="Times New Roman" w:hAnsi="Times New Roman"/>
          <w:sz w:val="24"/>
          <w:szCs w:val="24"/>
        </w:rPr>
        <w:t>par</w:t>
      </w:r>
      <w:r w:rsidRPr="00D75D2E">
        <w:rPr>
          <w:rFonts w:ascii="Times New Roman" w:hAnsi="Times New Roman"/>
          <w:sz w:val="24"/>
          <w:szCs w:val="24"/>
        </w:rPr>
        <w:t xml:space="preserve"> le secteur public) du nouveau projet cible entre autres la ville de Kinshasa en prenant notamment en charge la tranche des travaux non exécutée sous EASE </w:t>
      </w:r>
      <w:r w:rsidR="00A76CFF" w:rsidRPr="00D75D2E">
        <w:rPr>
          <w:rFonts w:ascii="Times New Roman" w:hAnsi="Times New Roman"/>
          <w:sz w:val="24"/>
          <w:szCs w:val="24"/>
        </w:rPr>
        <w:t>à la suite de</w:t>
      </w:r>
      <w:r w:rsidRPr="00D75D2E">
        <w:rPr>
          <w:rFonts w:ascii="Times New Roman" w:hAnsi="Times New Roman"/>
          <w:sz w:val="24"/>
          <w:szCs w:val="24"/>
        </w:rPr>
        <w:t xml:space="preserve"> l’insuffisance de financement</w:t>
      </w:r>
      <w:r w:rsidR="00CF5F93">
        <w:rPr>
          <w:rFonts w:ascii="Times New Roman" w:hAnsi="Times New Roman"/>
          <w:sz w:val="24"/>
          <w:szCs w:val="24"/>
        </w:rPr>
        <w:t>.</w:t>
      </w:r>
      <w:r w:rsidRPr="00D75D2E">
        <w:rPr>
          <w:rFonts w:ascii="Times New Roman" w:hAnsi="Times New Roman"/>
          <w:sz w:val="24"/>
          <w:szCs w:val="24"/>
        </w:rPr>
        <w:t xml:space="preserve">   </w:t>
      </w:r>
    </w:p>
    <w:p w14:paraId="02E77580" w14:textId="77777777" w:rsidR="00D24325" w:rsidRPr="00D75D2E" w:rsidRDefault="00D24325" w:rsidP="003B6467">
      <w:pPr>
        <w:jc w:val="both"/>
        <w:rPr>
          <w:rFonts w:ascii="Times New Roman" w:hAnsi="Times New Roman"/>
          <w:sz w:val="24"/>
          <w:szCs w:val="24"/>
        </w:rPr>
      </w:pPr>
      <w:r w:rsidRPr="00D75D2E">
        <w:rPr>
          <w:rFonts w:ascii="Times New Roman" w:hAnsi="Times New Roman"/>
          <w:sz w:val="24"/>
          <w:szCs w:val="24"/>
        </w:rPr>
        <w:t xml:space="preserve">UCM, agence fiduciaire du projet EASE et la Cellule d’exécution des Projets de REGIDESO (CEP-O) agence du Projet d’alimentation en Eau potable en Milieu Urbain (PEMU) sont désignées pour assurer l’exécution de certaines activités nécessaires à la préparation du nouveau Projet. </w:t>
      </w:r>
    </w:p>
    <w:p w14:paraId="5072E22F" w14:textId="0393E7EF" w:rsidR="00CF5F93" w:rsidRPr="00420C1B" w:rsidRDefault="00D24325" w:rsidP="00CF5F93">
      <w:pPr>
        <w:jc w:val="both"/>
        <w:rPr>
          <w:rFonts w:ascii="Times New Roman" w:hAnsi="Times New Roman"/>
          <w:sz w:val="24"/>
          <w:szCs w:val="24"/>
        </w:rPr>
      </w:pPr>
      <w:r w:rsidRPr="00D75D2E">
        <w:rPr>
          <w:rFonts w:ascii="Times New Roman" w:hAnsi="Times New Roman"/>
          <w:sz w:val="24"/>
          <w:szCs w:val="24"/>
        </w:rPr>
        <w:t>Dans le cadre de préparation</w:t>
      </w:r>
      <w:r w:rsidR="00A52EFF">
        <w:rPr>
          <w:rFonts w:ascii="Times New Roman" w:hAnsi="Times New Roman"/>
          <w:sz w:val="24"/>
          <w:szCs w:val="24"/>
        </w:rPr>
        <w:t xml:space="preserve"> du</w:t>
      </w:r>
      <w:r w:rsidR="001F2614">
        <w:rPr>
          <w:rFonts w:ascii="Times New Roman" w:hAnsi="Times New Roman"/>
          <w:sz w:val="24"/>
          <w:szCs w:val="24"/>
        </w:rPr>
        <w:t xml:space="preserve"> </w:t>
      </w:r>
      <w:r w:rsidRPr="00D75D2E">
        <w:rPr>
          <w:rFonts w:ascii="Times New Roman" w:hAnsi="Times New Roman"/>
          <w:sz w:val="24"/>
          <w:szCs w:val="24"/>
        </w:rPr>
        <w:t xml:space="preserve">Projet </w:t>
      </w:r>
      <w:r w:rsidR="00A52EFF">
        <w:rPr>
          <w:rFonts w:ascii="Times New Roman" w:hAnsi="Times New Roman"/>
          <w:sz w:val="24"/>
          <w:szCs w:val="24"/>
        </w:rPr>
        <w:t xml:space="preserve">AGREE </w:t>
      </w:r>
      <w:r w:rsidRPr="00D75D2E">
        <w:rPr>
          <w:rFonts w:ascii="Times New Roman" w:hAnsi="Times New Roman"/>
          <w:sz w:val="24"/>
          <w:szCs w:val="24"/>
        </w:rPr>
        <w:t xml:space="preserve">et </w:t>
      </w:r>
      <w:r w:rsidR="00CF5F93">
        <w:rPr>
          <w:rFonts w:ascii="Times New Roman" w:hAnsi="Times New Roman"/>
          <w:sz w:val="24"/>
          <w:szCs w:val="24"/>
        </w:rPr>
        <w:t xml:space="preserve">tels que convenu avec la Banque, UCM a procédé à l’actualisation de </w:t>
      </w:r>
      <w:r w:rsidR="00CF5F93" w:rsidRPr="00D75D2E">
        <w:rPr>
          <w:rFonts w:ascii="Times New Roman" w:hAnsi="Times New Roman"/>
          <w:sz w:val="24"/>
          <w:szCs w:val="24"/>
        </w:rPr>
        <w:t xml:space="preserve">l’Etude d’Impact Environnemental et </w:t>
      </w:r>
      <w:r w:rsidR="00CF5F93">
        <w:rPr>
          <w:rFonts w:ascii="Times New Roman" w:hAnsi="Times New Roman"/>
          <w:sz w:val="24"/>
          <w:szCs w:val="24"/>
        </w:rPr>
        <w:t>S</w:t>
      </w:r>
      <w:r w:rsidR="00CF5F93" w:rsidRPr="00D75D2E">
        <w:rPr>
          <w:rFonts w:ascii="Times New Roman" w:hAnsi="Times New Roman"/>
          <w:sz w:val="24"/>
          <w:szCs w:val="24"/>
        </w:rPr>
        <w:t xml:space="preserve">ocial (EIES) </w:t>
      </w:r>
      <w:r w:rsidR="00CF5F93" w:rsidRPr="006C2B16">
        <w:rPr>
          <w:rFonts w:ascii="Times New Roman" w:hAnsi="Times New Roman"/>
          <w:sz w:val="24"/>
          <w:szCs w:val="24"/>
        </w:rPr>
        <w:t>des travaux d’électrification des poches noires, d’assainissement, de réhabilitation et de mise en conformité des réseaux SNEL des directions de Kinshasa Centre et Ouest</w:t>
      </w:r>
      <w:r w:rsidR="00CF5F93">
        <w:rPr>
          <w:rFonts w:ascii="Times New Roman" w:hAnsi="Times New Roman"/>
          <w:sz w:val="24"/>
          <w:szCs w:val="24"/>
        </w:rPr>
        <w:t xml:space="preserve"> préparé dans le cadre du projet EASE</w:t>
      </w:r>
      <w:r w:rsidR="00F81DD3">
        <w:rPr>
          <w:rFonts w:ascii="Times New Roman" w:hAnsi="Times New Roman"/>
          <w:sz w:val="24"/>
          <w:szCs w:val="24"/>
        </w:rPr>
        <w:t xml:space="preserve">, qui fait l’objet du présent rapport, </w:t>
      </w:r>
      <w:r w:rsidR="00CF5F93">
        <w:rPr>
          <w:rFonts w:ascii="Times New Roman" w:hAnsi="Times New Roman"/>
          <w:sz w:val="24"/>
          <w:szCs w:val="24"/>
        </w:rPr>
        <w:t xml:space="preserve"> afin de le conformer aux exigences du </w:t>
      </w:r>
      <w:r w:rsidRPr="00D75D2E">
        <w:rPr>
          <w:rFonts w:ascii="Times New Roman" w:hAnsi="Times New Roman"/>
          <w:sz w:val="24"/>
          <w:szCs w:val="24"/>
        </w:rPr>
        <w:t xml:space="preserve">nouveau cadre environnemental et social de la Banque </w:t>
      </w:r>
      <w:r w:rsidR="00CF5F93">
        <w:rPr>
          <w:rFonts w:ascii="Times New Roman" w:hAnsi="Times New Roman"/>
          <w:sz w:val="24"/>
          <w:szCs w:val="24"/>
        </w:rPr>
        <w:t>m</w:t>
      </w:r>
      <w:r w:rsidRPr="00D75D2E">
        <w:rPr>
          <w:rFonts w:ascii="Times New Roman" w:hAnsi="Times New Roman"/>
          <w:sz w:val="24"/>
          <w:szCs w:val="24"/>
        </w:rPr>
        <w:t>ondiale</w:t>
      </w:r>
      <w:r w:rsidR="00CF5F93">
        <w:rPr>
          <w:rFonts w:ascii="Times New Roman" w:hAnsi="Times New Roman"/>
          <w:sz w:val="24"/>
          <w:szCs w:val="24"/>
        </w:rPr>
        <w:t>.</w:t>
      </w:r>
      <w:r w:rsidR="00A52EFF" w:rsidRPr="00215867">
        <w:rPr>
          <w:rFonts w:ascii="Times New Roman" w:hAnsi="Times New Roman"/>
          <w:sz w:val="24"/>
          <w:szCs w:val="24"/>
        </w:rPr>
        <w:t>.</w:t>
      </w:r>
      <w:r w:rsidRPr="00215867">
        <w:rPr>
          <w:rFonts w:ascii="Times New Roman" w:hAnsi="Times New Roman"/>
          <w:sz w:val="24"/>
          <w:szCs w:val="24"/>
        </w:rPr>
        <w:t>.</w:t>
      </w:r>
    </w:p>
    <w:p w14:paraId="69FBE3F5" w14:textId="2A35BD58" w:rsidR="00ED17F3" w:rsidRPr="00CF5F93" w:rsidRDefault="00ED17F3" w:rsidP="00CF5F93">
      <w:pPr>
        <w:pStyle w:val="Titre2"/>
        <w:numPr>
          <w:ilvl w:val="1"/>
          <w:numId w:val="21"/>
        </w:numPr>
        <w:overflowPunct w:val="0"/>
        <w:autoSpaceDE w:val="0"/>
        <w:autoSpaceDN w:val="0"/>
        <w:adjustRightInd w:val="0"/>
        <w:spacing w:before="0" w:after="120" w:line="240" w:lineRule="auto"/>
        <w:ind w:left="1077"/>
        <w:contextualSpacing/>
        <w:jc w:val="both"/>
        <w:textAlignment w:val="baseline"/>
        <w:rPr>
          <w:color w:val="auto"/>
          <w:szCs w:val="24"/>
        </w:rPr>
      </w:pPr>
      <w:bookmarkStart w:id="53" w:name="_Toc103685598"/>
      <w:r w:rsidRPr="00CF5F93">
        <w:rPr>
          <w:color w:val="auto"/>
          <w:szCs w:val="24"/>
        </w:rPr>
        <w:t>Justification et objectif du projet</w:t>
      </w:r>
      <w:bookmarkEnd w:id="50"/>
      <w:bookmarkEnd w:id="51"/>
      <w:bookmarkEnd w:id="52"/>
      <w:bookmarkEnd w:id="53"/>
    </w:p>
    <w:p w14:paraId="6C10CEE3" w14:textId="77777777" w:rsidR="00A25DB7" w:rsidRDefault="003B6467" w:rsidP="003B6467">
      <w:pPr>
        <w:jc w:val="both"/>
        <w:rPr>
          <w:rFonts w:ascii="Times New Roman" w:hAnsi="Times New Roman"/>
          <w:sz w:val="24"/>
          <w:szCs w:val="24"/>
        </w:rPr>
      </w:pPr>
      <w:r w:rsidRPr="00D75D2E">
        <w:rPr>
          <w:rFonts w:ascii="Times New Roman" w:hAnsi="Times New Roman"/>
          <w:sz w:val="24"/>
          <w:szCs w:val="24"/>
        </w:rPr>
        <w:t xml:space="preserve">Le projet </w:t>
      </w:r>
      <w:r w:rsidR="00CF5F93">
        <w:rPr>
          <w:rFonts w:ascii="Times New Roman" w:hAnsi="Times New Roman"/>
          <w:sz w:val="24"/>
          <w:szCs w:val="24"/>
        </w:rPr>
        <w:t xml:space="preserve">AGREE </w:t>
      </w:r>
      <w:r w:rsidRPr="00D75D2E">
        <w:rPr>
          <w:rFonts w:ascii="Times New Roman" w:hAnsi="Times New Roman"/>
          <w:sz w:val="24"/>
          <w:szCs w:val="24"/>
        </w:rPr>
        <w:t xml:space="preserve">vise à </w:t>
      </w:r>
      <w:r w:rsidR="00A25DB7">
        <w:rPr>
          <w:rFonts w:ascii="Times New Roman" w:hAnsi="Times New Roman"/>
          <w:sz w:val="24"/>
          <w:szCs w:val="24"/>
        </w:rPr>
        <w:t>(i) étendre l’accès à l’électricité et à l’eau potable basés sur les énergies renouvelables dans certaines zones urbaines et périurbaines de la RDC, (ii) améliorer la performance commerciale des services d’électricité et d’eau, et (iii) de renforcer la gouvernance des secteurs de l’électricité, de l’eau et de l’assainissement.</w:t>
      </w:r>
    </w:p>
    <w:p w14:paraId="7F652FF7" w14:textId="3627BA5C" w:rsidR="003B6467" w:rsidRDefault="003B6467" w:rsidP="003B6467">
      <w:pPr>
        <w:jc w:val="both"/>
        <w:rPr>
          <w:rFonts w:ascii="Times New Roman" w:hAnsi="Times New Roman"/>
          <w:sz w:val="24"/>
          <w:szCs w:val="24"/>
        </w:rPr>
      </w:pPr>
      <w:r w:rsidRPr="00D75D2E">
        <w:rPr>
          <w:rFonts w:ascii="Times New Roman" w:hAnsi="Times New Roman"/>
          <w:sz w:val="24"/>
          <w:szCs w:val="24"/>
        </w:rPr>
        <w:t>Il étendra les services d’électricité e</w:t>
      </w:r>
      <w:r w:rsidR="00F9401B">
        <w:rPr>
          <w:rFonts w:ascii="Times New Roman" w:hAnsi="Times New Roman"/>
          <w:sz w:val="24"/>
          <w:szCs w:val="24"/>
        </w:rPr>
        <w:t>t</w:t>
      </w:r>
      <w:r w:rsidRPr="00D75D2E">
        <w:rPr>
          <w:rFonts w:ascii="Times New Roman" w:hAnsi="Times New Roman"/>
          <w:sz w:val="24"/>
          <w:szCs w:val="24"/>
        </w:rPr>
        <w:t>/ou d’eau potable dans 1</w:t>
      </w:r>
      <w:r w:rsidR="006D3E26">
        <w:rPr>
          <w:rFonts w:ascii="Times New Roman" w:hAnsi="Times New Roman"/>
          <w:sz w:val="24"/>
          <w:szCs w:val="24"/>
        </w:rPr>
        <w:t>4</w:t>
      </w:r>
      <w:r w:rsidRPr="00D75D2E">
        <w:rPr>
          <w:rFonts w:ascii="Times New Roman" w:hAnsi="Times New Roman"/>
          <w:sz w:val="24"/>
          <w:szCs w:val="24"/>
        </w:rPr>
        <w:t xml:space="preserve"> villes de </w:t>
      </w:r>
      <w:r w:rsidR="006D3E26">
        <w:rPr>
          <w:rFonts w:ascii="Times New Roman" w:hAnsi="Times New Roman"/>
          <w:sz w:val="24"/>
          <w:szCs w:val="24"/>
        </w:rPr>
        <w:t>dix</w:t>
      </w:r>
      <w:r w:rsidRPr="00D75D2E">
        <w:rPr>
          <w:rFonts w:ascii="Times New Roman" w:hAnsi="Times New Roman"/>
          <w:sz w:val="24"/>
          <w:szCs w:val="24"/>
        </w:rPr>
        <w:t xml:space="preserve"> (</w:t>
      </w:r>
      <w:r w:rsidR="006D3E26">
        <w:rPr>
          <w:rFonts w:ascii="Times New Roman" w:hAnsi="Times New Roman"/>
          <w:sz w:val="24"/>
          <w:szCs w:val="24"/>
        </w:rPr>
        <w:t>10</w:t>
      </w:r>
      <w:r w:rsidRPr="00D75D2E">
        <w:rPr>
          <w:rFonts w:ascii="Times New Roman" w:hAnsi="Times New Roman"/>
          <w:sz w:val="24"/>
          <w:szCs w:val="24"/>
        </w:rPr>
        <w:t>) provinces suivantes : Kinshasa, Kwilu (Kikwit et Bandundu), Kasaï (Tshikapa), Kasaï central (Kananga), Kasaï oriental (Mbuji-Mayi), Lomami (Mwene-Ditu, Kabinda), Sud-Kivu (Bukavu), Nord-Kivu (Goma, Butembo et Beni), Ituri (Bunia)</w:t>
      </w:r>
      <w:r w:rsidR="006D3E26">
        <w:rPr>
          <w:rFonts w:ascii="Times New Roman" w:hAnsi="Times New Roman"/>
          <w:sz w:val="24"/>
          <w:szCs w:val="24"/>
        </w:rPr>
        <w:t>, Kongo Central (Boma)</w:t>
      </w:r>
      <w:r w:rsidRPr="00D75D2E">
        <w:rPr>
          <w:rFonts w:ascii="Times New Roman" w:hAnsi="Times New Roman"/>
          <w:sz w:val="24"/>
          <w:szCs w:val="24"/>
        </w:rPr>
        <w:t xml:space="preserve"> ainsi que leurs structures administratives. Le projet mettra aussi en œuvre les réformes nécessaires et les améliorations opérationnelles pour amener la SNEL et la REGIDESO sur la voie du redressement et renforcer la capacité des principales institutions nationales et provinciales.</w:t>
      </w:r>
    </w:p>
    <w:p w14:paraId="67EE05EC" w14:textId="2D253257" w:rsidR="003B6467" w:rsidRPr="00D75D2E" w:rsidRDefault="003B6467" w:rsidP="003B6467">
      <w:pPr>
        <w:jc w:val="both"/>
        <w:rPr>
          <w:rFonts w:ascii="Times New Roman" w:hAnsi="Times New Roman"/>
          <w:sz w:val="24"/>
          <w:szCs w:val="24"/>
        </w:rPr>
      </w:pPr>
      <w:r w:rsidRPr="00D75D2E">
        <w:rPr>
          <w:rFonts w:ascii="Times New Roman" w:hAnsi="Times New Roman"/>
          <w:sz w:val="24"/>
          <w:szCs w:val="24"/>
        </w:rPr>
        <w:t>Le projet prévoit également de poursuivre l’expansion de l’accès à l’électricité menée par le secteur public à Kinshasa, qui soutient le parachèvement des activités d’extension et d’assainissement du réseau SNEL de Kinshasa, dont les études techniques et les études environnementales et sociales ont été financées par le projet EASE. Cette expansion de l’accès à l’électricité porte sur la réhabilitation et l’extension des segments du réseau de distribution de SNEL dans la ville de Kinshasa</w:t>
      </w:r>
      <w:r w:rsidR="00DE5A2E">
        <w:rPr>
          <w:rFonts w:ascii="Times New Roman" w:hAnsi="Times New Roman"/>
          <w:sz w:val="24"/>
          <w:szCs w:val="24"/>
        </w:rPr>
        <w:t>,</w:t>
      </w:r>
      <w:r w:rsidR="00DE5A2E" w:rsidRPr="00D75D2E">
        <w:rPr>
          <w:rFonts w:ascii="Times New Roman" w:hAnsi="Times New Roman"/>
          <w:sz w:val="24"/>
          <w:szCs w:val="24"/>
        </w:rPr>
        <w:t xml:space="preserve">principalement </w:t>
      </w:r>
      <w:r w:rsidR="00DE5A2E">
        <w:rPr>
          <w:rFonts w:ascii="Times New Roman" w:hAnsi="Times New Roman"/>
          <w:sz w:val="24"/>
          <w:szCs w:val="24"/>
        </w:rPr>
        <w:t xml:space="preserve">dans les </w:t>
      </w:r>
      <w:r w:rsidR="00DE5A2E" w:rsidRPr="00D75D2E">
        <w:rPr>
          <w:rFonts w:ascii="Times New Roman" w:hAnsi="Times New Roman"/>
          <w:sz w:val="24"/>
          <w:szCs w:val="24"/>
        </w:rPr>
        <w:t xml:space="preserve">dix (10) communes </w:t>
      </w:r>
      <w:r w:rsidR="00DE5A2E">
        <w:rPr>
          <w:rFonts w:ascii="Times New Roman" w:hAnsi="Times New Roman"/>
          <w:sz w:val="24"/>
          <w:szCs w:val="24"/>
        </w:rPr>
        <w:t>suivantes</w:t>
      </w:r>
      <w:r w:rsidR="00DE5A2E" w:rsidRPr="00D75D2E">
        <w:rPr>
          <w:rFonts w:ascii="Times New Roman" w:hAnsi="Times New Roman"/>
          <w:sz w:val="24"/>
          <w:szCs w:val="24"/>
        </w:rPr>
        <w:t> : Kalamu, Bumbu, Mont-Ngafula, Selembao, Ngiri-Ngiri, Makala, Bandalungwa, Kintambo, Ngaliema et Barumbu.</w:t>
      </w:r>
    </w:p>
    <w:p w14:paraId="35941C59" w14:textId="3F66E946" w:rsidR="003B6467" w:rsidRPr="00D75D2E" w:rsidRDefault="003B6467" w:rsidP="003B6467">
      <w:pPr>
        <w:jc w:val="both"/>
        <w:rPr>
          <w:rFonts w:ascii="Times New Roman" w:hAnsi="Times New Roman"/>
          <w:sz w:val="24"/>
          <w:szCs w:val="24"/>
        </w:rPr>
      </w:pPr>
      <w:r w:rsidRPr="00D75D2E">
        <w:rPr>
          <w:rFonts w:ascii="Times New Roman" w:hAnsi="Times New Roman"/>
          <w:sz w:val="24"/>
          <w:szCs w:val="24"/>
        </w:rPr>
        <w:t>Ces segments du réseau de distribution de SNEL dans la ville de Kinshasa</w:t>
      </w:r>
      <w:r w:rsidR="000A1900">
        <w:rPr>
          <w:rFonts w:ascii="Times New Roman" w:hAnsi="Times New Roman"/>
          <w:sz w:val="24"/>
          <w:szCs w:val="24"/>
        </w:rPr>
        <w:t xml:space="preserve"> ayant une longueur de 353 Km et avec les voltages de</w:t>
      </w:r>
      <w:r w:rsidR="00425EDC">
        <w:rPr>
          <w:rFonts w:ascii="Times New Roman" w:hAnsi="Times New Roman"/>
          <w:sz w:val="24"/>
          <w:szCs w:val="24"/>
        </w:rPr>
        <w:t xml:space="preserve">s cabines préfabriquées </w:t>
      </w:r>
      <w:r w:rsidR="00425EDC" w:rsidRPr="00F728C5">
        <w:rPr>
          <w:rFonts w:ascii="Times New Roman" w:eastAsia="MS PGothic" w:hAnsi="Times New Roman"/>
          <w:bCs/>
          <w:kern w:val="24"/>
          <w:sz w:val="24"/>
          <w:szCs w:val="24"/>
        </w:rPr>
        <w:t>compactes  20/0,4 kV - 630 kVA et 20/0,4 kV - 160 kVA triphasées</w:t>
      </w:r>
      <w:r w:rsidR="00425EDC">
        <w:rPr>
          <w:rFonts w:ascii="Times New Roman" w:eastAsia="MS PGothic" w:hAnsi="Times New Roman"/>
          <w:bCs/>
          <w:kern w:val="24"/>
          <w:sz w:val="24"/>
          <w:szCs w:val="24"/>
        </w:rPr>
        <w:t xml:space="preserve"> </w:t>
      </w:r>
      <w:r w:rsidR="00425EDC" w:rsidRPr="00F728C5">
        <w:rPr>
          <w:rFonts w:ascii="Times New Roman" w:eastAsia="MS PGothic" w:hAnsi="Times New Roman"/>
          <w:bCs/>
          <w:kern w:val="24"/>
          <w:sz w:val="24"/>
          <w:szCs w:val="24"/>
        </w:rPr>
        <w:t>pour d</w:t>
      </w:r>
      <w:r w:rsidR="00425EDC">
        <w:rPr>
          <w:rFonts w:ascii="Times New Roman" w:eastAsia="MS PGothic" w:hAnsi="Times New Roman"/>
          <w:bCs/>
          <w:kern w:val="24"/>
          <w:sz w:val="24"/>
          <w:szCs w:val="24"/>
        </w:rPr>
        <w:t>écharger le réseau de Kinshasa ainsi que</w:t>
      </w:r>
      <w:r w:rsidR="004B09F6">
        <w:rPr>
          <w:rFonts w:ascii="Times New Roman" w:eastAsia="MS PGothic" w:hAnsi="Times New Roman"/>
          <w:bCs/>
          <w:kern w:val="24"/>
          <w:sz w:val="24"/>
          <w:szCs w:val="24"/>
        </w:rPr>
        <w:t xml:space="preserve"> </w:t>
      </w:r>
      <w:r w:rsidR="00425EDC">
        <w:rPr>
          <w:rFonts w:ascii="Times New Roman" w:eastAsia="MS PGothic" w:hAnsi="Times New Roman"/>
          <w:bCs/>
          <w:kern w:val="24"/>
          <w:sz w:val="24"/>
          <w:szCs w:val="24"/>
        </w:rPr>
        <w:t xml:space="preserve">des </w:t>
      </w:r>
      <w:r w:rsidR="00425EDC" w:rsidRPr="00F728C5">
        <w:rPr>
          <w:rFonts w:ascii="Times New Roman" w:eastAsia="MS PGothic" w:hAnsi="Times New Roman"/>
          <w:bCs/>
          <w:kern w:val="24"/>
          <w:sz w:val="24"/>
          <w:szCs w:val="24"/>
        </w:rPr>
        <w:t>cabines triphasées 160 kVA (MALT), 150 kVA (MALT) et 75 kVA (MALT)</w:t>
      </w:r>
      <w:r w:rsidRPr="00D75D2E">
        <w:rPr>
          <w:rFonts w:ascii="Times New Roman" w:hAnsi="Times New Roman"/>
          <w:sz w:val="24"/>
          <w:szCs w:val="24"/>
        </w:rPr>
        <w:t>, ont été évalués sur le plan environnemental et social au travers d’une EIES assortie de son Plan de Gestion Environnementale et Sociale (PGES) et du Plan d’Action de Réinstallation (PAR), élaborés par un consultant  en 2019 sous l‘empire de Politiques Opérationnelles de sauvegarde environnementale et sociale de la Banque mondiale</w:t>
      </w:r>
      <w:r w:rsidRPr="00215867">
        <w:rPr>
          <w:rFonts w:ascii="Times New Roman" w:hAnsi="Times New Roman"/>
          <w:sz w:val="24"/>
          <w:szCs w:val="24"/>
          <w:vertAlign w:val="superscript"/>
        </w:rPr>
        <w:footnoteReference w:id="4"/>
      </w:r>
      <w:r w:rsidRPr="00D75D2E">
        <w:rPr>
          <w:rFonts w:ascii="Times New Roman" w:hAnsi="Times New Roman"/>
          <w:sz w:val="24"/>
          <w:szCs w:val="24"/>
        </w:rPr>
        <w:t xml:space="preserve">, étant entendu que le projet EASE est en entrée en vigueur en février 2018, et donc avant la publication du Nouveau Cadre Environnemental et Social en octobre 2018. La Politique environnementale et sociale de la Banque mondiale pour le financement de projets d’investissement exige aux Emprunteurs de procéder à une évaluation environnementale et sociale des projets pour lesquels une demande de financement est adressée à la Banque, conformément à la NES n° 1. De plus, conformément au Décret n° 14/019 du 02 août 2014 fixant les règles de fonctionnement des mécanismes procéduraux de la protection de l'environnement, tout projet d'installation de ligne électrique est assujetti à une EIES.  Il est donc indispensable d’actualiser les documents de sauvegarde environnementale et sociale des travaux de Kinshasa afin de répondre aux exigences de la Banque mondiale et du cadre règlementaire national. </w:t>
      </w:r>
    </w:p>
    <w:p w14:paraId="0E10483E" w14:textId="3B6AA4FD" w:rsidR="003B6467" w:rsidRDefault="003B6467" w:rsidP="003B6467">
      <w:pPr>
        <w:jc w:val="both"/>
        <w:rPr>
          <w:rFonts w:ascii="Times New Roman" w:hAnsi="Times New Roman"/>
          <w:sz w:val="24"/>
          <w:szCs w:val="24"/>
        </w:rPr>
      </w:pPr>
      <w:r w:rsidRPr="00D75D2E">
        <w:rPr>
          <w:rFonts w:ascii="Times New Roman" w:hAnsi="Times New Roman"/>
          <w:sz w:val="24"/>
          <w:szCs w:val="24"/>
        </w:rPr>
        <w:t xml:space="preserve">Le Cadre environnemental et social de la Banque mondiale met plus d’accent sur l’identification et la gestion des risques environnementaux et sociaux et permet à l’emprunteur (le Gouvernement) de réaliser ses objectifs de réduction de la pauvreté et d’accroissement de la prospérité d’une façon durable pour le bien-être de ses citoyens et de l’environnement. Ses Normes favorisent la non-discrimination, la transparence, la participation, la responsabilisation et la gouvernance, et contribuent à améliorer les résultats du Projet en matière de développement durable grâce à l’adhésion permanente des parties prenantes.  </w:t>
      </w:r>
    </w:p>
    <w:p w14:paraId="0E03F39E" w14:textId="5738F941" w:rsidR="003A1A9E" w:rsidRPr="003A1A9E" w:rsidRDefault="003A1A9E" w:rsidP="003A1A9E">
      <w:pPr>
        <w:jc w:val="both"/>
        <w:rPr>
          <w:rFonts w:ascii="Times New Roman" w:hAnsi="Times New Roman"/>
          <w:sz w:val="24"/>
          <w:szCs w:val="24"/>
          <w:lang w:bidi="fr-FR"/>
        </w:rPr>
      </w:pPr>
      <w:r w:rsidRPr="003A1A9E">
        <w:rPr>
          <w:rFonts w:ascii="Times New Roman" w:hAnsi="Times New Roman"/>
          <w:sz w:val="24"/>
          <w:szCs w:val="24"/>
          <w:lang w:bidi="fr-FR"/>
        </w:rPr>
        <w:t>Les recommandations de la Note de bonnes pratiques</w:t>
      </w:r>
      <w:r>
        <w:rPr>
          <w:rStyle w:val="Appelnotedebasdep"/>
          <w:rFonts w:ascii="Times New Roman" w:hAnsi="Times New Roman"/>
          <w:sz w:val="24"/>
          <w:szCs w:val="24"/>
          <w:lang w:bidi="fr-FR"/>
        </w:rPr>
        <w:footnoteReference w:id="5"/>
      </w:r>
      <w:r w:rsidRPr="003A1A9E">
        <w:rPr>
          <w:rFonts w:ascii="Times New Roman" w:hAnsi="Times New Roman"/>
          <w:sz w:val="24"/>
          <w:szCs w:val="24"/>
          <w:lang w:bidi="fr-FR"/>
        </w:rPr>
        <w:t xml:space="preserve"> pour lutter contre l’Exploitation et les atteintes Sexuelles, et le Harcèlement sexuel dans le cadre du financement de projets d´investissement comportant de grands travaux de génie civil seront tenues en compte pour l´enrichissement des mesures de prévention, atténuation et réponse aux risques EAS/HS liés au projet. </w:t>
      </w:r>
    </w:p>
    <w:p w14:paraId="7AD4735E" w14:textId="0DA7CFA9" w:rsidR="00A951A7" w:rsidRDefault="002D3A81" w:rsidP="00704ABC">
      <w:pPr>
        <w:tabs>
          <w:tab w:val="left" w:pos="0"/>
        </w:tabs>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A cet effet, la présente EIES a été commanditée </w:t>
      </w:r>
      <w:r w:rsidR="00A951A7" w:rsidRPr="00A951A7">
        <w:rPr>
          <w:rFonts w:ascii="Times New Roman" w:hAnsi="Times New Roman"/>
          <w:sz w:val="24"/>
          <w:szCs w:val="24"/>
        </w:rPr>
        <w:t>afin de répondre aux exigences pertinentes du CES de la Banque mondiale</w:t>
      </w:r>
      <w:r w:rsidR="00A951A7" w:rsidRPr="00D75D2E">
        <w:rPr>
          <w:rFonts w:ascii="Times New Roman" w:hAnsi="Times New Roman"/>
          <w:sz w:val="24"/>
          <w:szCs w:val="24"/>
        </w:rPr>
        <w:t xml:space="preserve"> </w:t>
      </w:r>
      <w:r w:rsidR="00704ABC">
        <w:rPr>
          <w:rFonts w:ascii="Times New Roman" w:hAnsi="Times New Roman"/>
          <w:sz w:val="24"/>
          <w:szCs w:val="24"/>
        </w:rPr>
        <w:t xml:space="preserve">et </w:t>
      </w:r>
      <w:r w:rsidRPr="00D75D2E">
        <w:rPr>
          <w:rFonts w:ascii="Times New Roman" w:hAnsi="Times New Roman"/>
          <w:sz w:val="24"/>
          <w:szCs w:val="24"/>
        </w:rPr>
        <w:t xml:space="preserve">se conformer aux dispositions nationales notamment : </w:t>
      </w:r>
    </w:p>
    <w:p w14:paraId="00636082" w14:textId="01E9A10F" w:rsidR="002D3A81" w:rsidRPr="00D75D2E" w:rsidRDefault="002D3A81" w:rsidP="008C79F0">
      <w:pPr>
        <w:numPr>
          <w:ilvl w:val="0"/>
          <w:numId w:val="71"/>
        </w:numPr>
        <w:tabs>
          <w:tab w:val="left" w:pos="0"/>
        </w:tabs>
        <w:spacing w:after="0" w:line="240" w:lineRule="auto"/>
        <w:contextualSpacing/>
        <w:jc w:val="both"/>
        <w:rPr>
          <w:rFonts w:ascii="Times New Roman" w:hAnsi="Times New Roman"/>
          <w:sz w:val="24"/>
          <w:szCs w:val="24"/>
        </w:rPr>
      </w:pPr>
      <w:r w:rsidRPr="00D75D2E">
        <w:rPr>
          <w:rFonts w:ascii="Times New Roman" w:hAnsi="Times New Roman"/>
          <w:sz w:val="24"/>
          <w:szCs w:val="24"/>
        </w:rPr>
        <w:t>la loi n°11/009 du 09 juillet 2011 portant principes fondamentaux relatifs à la protection de l’environnement, en son article 21 assujettit tout projet de développement, d’infrastructures ou d’exploitation de toute activité industrielle, commerciale, agricole, forestière, minière, de télécommunication ou autre susceptible d’avoir un impact sur l’environnement est soumis à une étude d’impact environnemental et social préalable, assortie de son plan de gestion, dûment approuvé ;</w:t>
      </w:r>
    </w:p>
    <w:p w14:paraId="7F7A1285" w14:textId="77777777" w:rsidR="002D3A81" w:rsidRPr="00D75D2E" w:rsidRDefault="002D3A81" w:rsidP="008C79F0">
      <w:pPr>
        <w:numPr>
          <w:ilvl w:val="0"/>
          <w:numId w:val="71"/>
        </w:numPr>
        <w:tabs>
          <w:tab w:val="left" w:pos="0"/>
        </w:tab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loi n°14/011 du 17 juin 2014 relative au secteur de l’électricité en son article 12, stipule que tout projet de développement d’ouvrage ou d’installation électrique ou toute activité dans le secteur d’électricité est assujetti à une étude d’impact environnemental et social préalable, assortie de son plan de gestion dûment approuvé conformément à la législation sur la protection de l’environnement ; </w:t>
      </w:r>
    </w:p>
    <w:p w14:paraId="09257A79" w14:textId="77777777" w:rsidR="002D3A81" w:rsidRPr="00D75D2E" w:rsidRDefault="002D3A81" w:rsidP="008C79F0">
      <w:pPr>
        <w:numPr>
          <w:ilvl w:val="0"/>
          <w:numId w:val="71"/>
        </w:numPr>
        <w:tabs>
          <w:tab w:val="left" w:pos="0"/>
        </w:tabs>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 décret n°14/019 du 02 août 2014 fixant les règles de fonctionnement des mécanismes procéduraux de la protection de l’environnement, en son article 18, abonde dans le même sens que les articles 19 et 21 de la loi n°11/009 du 09 juillet 2011 sus-évoquée et  </w:t>
      </w:r>
    </w:p>
    <w:p w14:paraId="56BD5065" w14:textId="77777777" w:rsidR="002E536E" w:rsidRPr="00D75D2E" w:rsidRDefault="002E536E" w:rsidP="002E536E">
      <w:pPr>
        <w:tabs>
          <w:tab w:val="left" w:pos="0"/>
        </w:tabs>
        <w:spacing w:after="0" w:line="240" w:lineRule="auto"/>
        <w:ind w:left="720"/>
        <w:contextualSpacing/>
        <w:jc w:val="both"/>
        <w:rPr>
          <w:rFonts w:ascii="Times New Roman" w:hAnsi="Times New Roman"/>
          <w:sz w:val="24"/>
          <w:szCs w:val="24"/>
        </w:rPr>
      </w:pPr>
    </w:p>
    <w:p w14:paraId="67C6E67F" w14:textId="79D6311A" w:rsidR="00980F9C" w:rsidRPr="00D75D2E" w:rsidRDefault="00980F9C" w:rsidP="008C79F0">
      <w:pPr>
        <w:keepNext/>
        <w:keepLines/>
        <w:numPr>
          <w:ilvl w:val="1"/>
          <w:numId w:val="21"/>
        </w:numPr>
        <w:spacing w:before="120" w:after="120" w:line="240" w:lineRule="auto"/>
        <w:ind w:left="426" w:hanging="284"/>
        <w:outlineLvl w:val="1"/>
        <w:rPr>
          <w:rFonts w:ascii="Times New Roman" w:eastAsia="Times New Roman" w:hAnsi="Times New Roman"/>
          <w:b/>
          <w:sz w:val="24"/>
          <w:szCs w:val="24"/>
        </w:rPr>
      </w:pPr>
      <w:bookmarkStart w:id="54" w:name="_Toc29152077"/>
      <w:bookmarkStart w:id="55" w:name="_Toc103685599"/>
      <w:r w:rsidRPr="00D75D2E">
        <w:rPr>
          <w:rFonts w:ascii="Times New Roman" w:eastAsia="Times New Roman" w:hAnsi="Times New Roman"/>
          <w:b/>
          <w:sz w:val="24"/>
          <w:szCs w:val="24"/>
        </w:rPr>
        <w:t>Objectif</w:t>
      </w:r>
      <w:r w:rsidR="001D0375">
        <w:rPr>
          <w:rFonts w:ascii="Times New Roman" w:eastAsia="Times New Roman" w:hAnsi="Times New Roman"/>
          <w:b/>
          <w:sz w:val="24"/>
          <w:szCs w:val="24"/>
        </w:rPr>
        <w:t>s</w:t>
      </w:r>
      <w:r w:rsidRPr="00D75D2E">
        <w:rPr>
          <w:rFonts w:ascii="Times New Roman" w:eastAsia="Times New Roman" w:hAnsi="Times New Roman"/>
          <w:b/>
          <w:sz w:val="24"/>
          <w:szCs w:val="24"/>
        </w:rPr>
        <w:t xml:space="preserve"> de l’E</w:t>
      </w:r>
      <w:r w:rsidR="0044537E">
        <w:rPr>
          <w:rFonts w:ascii="Times New Roman" w:eastAsia="Times New Roman" w:hAnsi="Times New Roman"/>
          <w:b/>
          <w:sz w:val="24"/>
          <w:szCs w:val="24"/>
        </w:rPr>
        <w:t>IES</w:t>
      </w:r>
      <w:bookmarkEnd w:id="54"/>
      <w:bookmarkEnd w:id="55"/>
    </w:p>
    <w:p w14:paraId="3EC0E0A1" w14:textId="161E80A0" w:rsidR="00F3055B" w:rsidRPr="00AE31F1" w:rsidRDefault="009D4361" w:rsidP="00AE31F1">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L’objectif principal de l’EIES est de </w:t>
      </w:r>
      <w:r w:rsidR="00F3055B" w:rsidRPr="00AE31F1">
        <w:rPr>
          <w:rFonts w:ascii="Times New Roman" w:hAnsi="Times New Roman"/>
          <w:sz w:val="24"/>
          <w:szCs w:val="24"/>
        </w:rPr>
        <w:t>déterminer, évaluer et gérer les risques et effets environnementaux et sociaux du sous projet d’une manière compatible avec les N</w:t>
      </w:r>
      <w:r w:rsidR="0044537E">
        <w:rPr>
          <w:rFonts w:ascii="Times New Roman" w:hAnsi="Times New Roman"/>
          <w:sz w:val="24"/>
          <w:szCs w:val="24"/>
        </w:rPr>
        <w:t xml:space="preserve">ormes </w:t>
      </w:r>
      <w:r w:rsidR="00F3055B" w:rsidRPr="00AE31F1">
        <w:rPr>
          <w:rFonts w:ascii="Times New Roman" w:hAnsi="Times New Roman"/>
          <w:sz w:val="24"/>
          <w:szCs w:val="24"/>
        </w:rPr>
        <w:t>E</w:t>
      </w:r>
      <w:r w:rsidR="0044537E">
        <w:rPr>
          <w:rFonts w:ascii="Times New Roman" w:hAnsi="Times New Roman"/>
          <w:sz w:val="24"/>
          <w:szCs w:val="24"/>
        </w:rPr>
        <w:t xml:space="preserve">nvironnementales et </w:t>
      </w:r>
      <w:r w:rsidR="00F3055B" w:rsidRPr="00AE31F1">
        <w:rPr>
          <w:rFonts w:ascii="Times New Roman" w:hAnsi="Times New Roman"/>
          <w:sz w:val="24"/>
          <w:szCs w:val="24"/>
        </w:rPr>
        <w:t>S</w:t>
      </w:r>
      <w:r w:rsidR="0044537E">
        <w:rPr>
          <w:rFonts w:ascii="Times New Roman" w:hAnsi="Times New Roman"/>
          <w:sz w:val="24"/>
          <w:szCs w:val="24"/>
        </w:rPr>
        <w:t>ociales (NES)</w:t>
      </w:r>
      <w:r w:rsidR="00F3055B" w:rsidRPr="00AE31F1">
        <w:rPr>
          <w:rFonts w:ascii="Times New Roman" w:hAnsi="Times New Roman"/>
          <w:sz w:val="24"/>
          <w:szCs w:val="24"/>
        </w:rPr>
        <w:t xml:space="preserve">, y compris les risques VBG, EAS/HS et COVID-19, susceptibles d’être générés par les travaux </w:t>
      </w:r>
      <w:r w:rsidR="00F3055B">
        <w:rPr>
          <w:rFonts w:ascii="Times New Roman" w:hAnsi="Times New Roman"/>
          <w:sz w:val="24"/>
          <w:szCs w:val="24"/>
        </w:rPr>
        <w:t>d’électrification des poches noires, d’assainissement, de réhabilitation et mise en conformité des réseaux SNEL des DKC &amp; DKO</w:t>
      </w:r>
      <w:r w:rsidR="00F3055B" w:rsidRPr="00AE31F1">
        <w:rPr>
          <w:rFonts w:ascii="Times New Roman" w:hAnsi="Times New Roman"/>
          <w:sz w:val="24"/>
          <w:szCs w:val="24"/>
        </w:rPr>
        <w:t>, et proposer des mesures de suppression, d’atténuation et de compensation des effets négatifs, y compris celles relatives à la prévention, la minimisation et/ou la mitigation du coronavirus/covid19, et de bonification des impacts positifs, des indicateurs de suivi et de surveillance appropriés (prenant en compte les considérations du coronavirus/covid-19), ainsi que des dispositions institutionnelles (intégrant les considérations du coronavirus/covid-19) à mettre en place pour la mise en œuvre desdites mesures.</w:t>
      </w:r>
    </w:p>
    <w:p w14:paraId="4597E085" w14:textId="23A30F61" w:rsidR="00BB22C9" w:rsidRDefault="00EB53CD" w:rsidP="00E737B4">
      <w:pPr>
        <w:spacing w:before="120" w:after="120" w:line="240" w:lineRule="auto"/>
        <w:jc w:val="both"/>
        <w:rPr>
          <w:rFonts w:ascii="Times New Roman" w:hAnsi="Times New Roman"/>
          <w:sz w:val="24"/>
          <w:szCs w:val="24"/>
        </w:rPr>
      </w:pPr>
      <w:r>
        <w:rPr>
          <w:rFonts w:ascii="Times New Roman" w:eastAsia="Times New Roman" w:hAnsi="Times New Roman"/>
          <w:sz w:val="24"/>
          <w:szCs w:val="24"/>
        </w:rPr>
        <w:t xml:space="preserve">Plus spécifiquement, cette </w:t>
      </w:r>
      <w:r w:rsidRPr="002C10CE">
        <w:rPr>
          <w:rFonts w:ascii="Times New Roman" w:eastAsia="Times New Roman" w:hAnsi="Times New Roman"/>
          <w:sz w:val="24"/>
          <w:szCs w:val="24"/>
        </w:rPr>
        <w:t>actualisation de l’EIES</w:t>
      </w:r>
      <w:r>
        <w:rPr>
          <w:rFonts w:ascii="Times New Roman" w:eastAsia="Times New Roman" w:hAnsi="Times New Roman"/>
          <w:sz w:val="24"/>
          <w:szCs w:val="24"/>
        </w:rPr>
        <w:t xml:space="preserve"> vise à</w:t>
      </w:r>
      <w:r w:rsidR="00F117AE">
        <w:rPr>
          <w:rFonts w:ascii="Times New Roman" w:eastAsia="Times New Roman" w:hAnsi="Times New Roman"/>
          <w:sz w:val="24"/>
          <w:szCs w:val="24"/>
        </w:rPr>
        <w:t> :</w:t>
      </w:r>
    </w:p>
    <w:p w14:paraId="4A7855E6" w14:textId="4191C6A4" w:rsidR="001D0375" w:rsidRPr="00215867" w:rsidRDefault="001D0375" w:rsidP="00215867">
      <w:pPr>
        <w:pStyle w:val="gmail-msolistparagraph"/>
        <w:numPr>
          <w:ilvl w:val="0"/>
          <w:numId w:val="139"/>
        </w:numPr>
        <w:spacing w:before="0" w:beforeAutospacing="0" w:after="60" w:afterAutospacing="0"/>
        <w:ind w:left="567"/>
        <w:jc w:val="both"/>
        <w:rPr>
          <w:rFonts w:ascii="Times New Roman" w:hAnsi="Times New Roman"/>
          <w:sz w:val="24"/>
          <w:szCs w:val="24"/>
          <w:lang w:val="fr-CD"/>
        </w:rPr>
      </w:pPr>
      <w:r w:rsidRPr="00215867">
        <w:rPr>
          <w:rFonts w:ascii="Times New Roman" w:hAnsi="Times New Roman" w:cs="Times New Roman"/>
          <w:sz w:val="24"/>
          <w:szCs w:val="24"/>
          <w:lang w:val="fr-CD"/>
        </w:rPr>
        <w:t xml:space="preserve">Analyser l’état actuel de la zone d’influence du projet (étude de caractérisation environnementale et sociale de base) y compris son évolution probable en situation « sans projet » en intégrant notamment les aspects liés aux VBG, EAS, H/S et COVID-19 </w:t>
      </w:r>
    </w:p>
    <w:p w14:paraId="62995DEA" w14:textId="688BF39E" w:rsidR="009D4361" w:rsidRPr="00D75D2E" w:rsidRDefault="009D4361"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D75D2E">
        <w:rPr>
          <w:rFonts w:ascii="Times New Roman" w:hAnsi="Times New Roman" w:cs="Times New Roman"/>
          <w:sz w:val="24"/>
          <w:szCs w:val="24"/>
          <w:lang w:val="fr-FR"/>
        </w:rPr>
        <w:t>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w:t>
      </w:r>
      <w:r w:rsidR="0044537E">
        <w:rPr>
          <w:rFonts w:ascii="Times New Roman" w:hAnsi="Times New Roman" w:cs="Times New Roman"/>
          <w:sz w:val="24"/>
          <w:szCs w:val="24"/>
          <w:lang w:val="fr-FR"/>
        </w:rPr>
        <w:t xml:space="preserve"> </w:t>
      </w:r>
      <w:r w:rsidRPr="00D75D2E">
        <w:rPr>
          <w:rFonts w:ascii="Times New Roman" w:hAnsi="Times New Roman" w:cs="Times New Roman"/>
          <w:sz w:val="24"/>
          <w:szCs w:val="24"/>
          <w:lang w:val="fr-FR"/>
        </w:rPr>
        <w:t>; et d) lorsque les impacts résiduels sont importants, les compenser ou les neutraliser si cela est techniquement et financièrement possible. ;</w:t>
      </w:r>
    </w:p>
    <w:p w14:paraId="30B4D232" w14:textId="77777777" w:rsidR="009D4361" w:rsidRPr="00D75D2E" w:rsidRDefault="009D4361"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D75D2E">
        <w:rPr>
          <w:rFonts w:ascii="Times New Roman" w:hAnsi="Times New Roman" w:cs="Times New Roman"/>
          <w:sz w:val="24"/>
          <w:szCs w:val="24"/>
          <w:lang w:val="fr-FR"/>
        </w:rPr>
        <w:t>Adopter des mesures différenciées de telle sorte que les impacts négatifs ne touchent pas de façon disproportionnée les personnes défavorisées ou vulnérables, et que celles-ci ne soient pas lésées dans le partage des avantages et opportunités de développement qu’offre le projet ;</w:t>
      </w:r>
    </w:p>
    <w:p w14:paraId="23F08921" w14:textId="77777777" w:rsidR="009D4361" w:rsidRPr="00D75D2E" w:rsidRDefault="009D4361"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D75D2E">
        <w:rPr>
          <w:rFonts w:ascii="Times New Roman" w:hAnsi="Times New Roman" w:cs="Times New Roman"/>
          <w:sz w:val="24"/>
          <w:szCs w:val="24"/>
          <w:lang w:val="fr-FR"/>
        </w:rPr>
        <w:t>Utiliser, chaque fois qu’il convient, les institutions, lois, procédures, réglementations et systèmes nationaux en matière environnementale et sociale pour l’évaluation, la préparation et la mise en œuvre des projets ;</w:t>
      </w:r>
    </w:p>
    <w:p w14:paraId="5DC97CF8" w14:textId="169F0FCA" w:rsidR="009D4361" w:rsidRDefault="009D4361"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D75D2E">
        <w:rPr>
          <w:rFonts w:ascii="Times New Roman" w:hAnsi="Times New Roman" w:cs="Times New Roman"/>
          <w:sz w:val="24"/>
          <w:szCs w:val="24"/>
          <w:lang w:val="fr-FR"/>
        </w:rPr>
        <w:t>Promouvoir l’amélioration des performances environnementales et sociales d’une manière qui prend en compte et renforce les capacités de l’Emprunteur ;</w:t>
      </w:r>
    </w:p>
    <w:p w14:paraId="6F2D79CB" w14:textId="00DD271F" w:rsidR="00E47F6C" w:rsidRDefault="00E47F6C" w:rsidP="003A1A9E">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AE31F1">
        <w:rPr>
          <w:rFonts w:ascii="Times New Roman" w:hAnsi="Times New Roman" w:cs="Times New Roman"/>
          <w:sz w:val="24"/>
          <w:szCs w:val="24"/>
          <w:lang w:val="fr-FR"/>
        </w:rPr>
        <w:t>Comparer les lois et politiques nationales pertinentes de la RDC avec les NES du nouveau CES et faire ressortir les différences (objectifs, exigences, instruments, etc.) entre les deux, et proposer des recommandations pour combler ces différences/lacunes</w:t>
      </w:r>
    </w:p>
    <w:p w14:paraId="0BEE5665" w14:textId="77777777" w:rsidR="002A6CCF" w:rsidRPr="006304E4" w:rsidRDefault="00453A1F" w:rsidP="006304E4">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6304E4">
        <w:rPr>
          <w:rFonts w:ascii="Times New Roman" w:hAnsi="Times New Roman" w:cs="Times New Roman"/>
          <w:sz w:val="24"/>
          <w:szCs w:val="24"/>
          <w:lang w:val="fr-FR"/>
        </w:rPr>
        <w:t>Énoncer et évaluer les dispositions environnementales et sociales de toutes les entités participant au financement du sous projet ;</w:t>
      </w:r>
    </w:p>
    <w:p w14:paraId="65FB6C94" w14:textId="5EA174B8" w:rsidR="00453A1F" w:rsidRPr="006304E4" w:rsidRDefault="00261A6C" w:rsidP="006304E4">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FR"/>
        </w:rPr>
      </w:pPr>
      <w:r w:rsidRPr="006304E4">
        <w:rPr>
          <w:rFonts w:ascii="Times New Roman" w:hAnsi="Times New Roman" w:cs="Times New Roman"/>
          <w:sz w:val="24"/>
          <w:szCs w:val="24"/>
          <w:lang w:val="fr-FR"/>
        </w:rPr>
        <w:t>Identifier également des impacts sur les déplacements involontaires pour les besoins du sous projet, ainsi que des impacts sur les moyens de subsistance des populations riveraines qui nécessiteraient la préparation d’un PAR ; Incluant l’ouverture des zones d’emprunt et de dépôt</w:t>
      </w:r>
      <w:r w:rsidR="002A6CCF" w:rsidRPr="006304E4">
        <w:rPr>
          <w:rFonts w:ascii="Times New Roman" w:hAnsi="Times New Roman" w:cs="Times New Roman"/>
          <w:sz w:val="24"/>
          <w:szCs w:val="24"/>
          <w:lang w:val="fr-FR"/>
        </w:rPr>
        <w:t> ;</w:t>
      </w:r>
    </w:p>
    <w:p w14:paraId="15CC28F6" w14:textId="18ADD992" w:rsidR="009D4361" w:rsidRPr="00D75D2E" w:rsidRDefault="006304E4"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Pr>
          <w:rFonts w:ascii="Times New Roman" w:hAnsi="Times New Roman" w:cs="Times New Roman"/>
          <w:sz w:val="24"/>
          <w:szCs w:val="24"/>
          <w:lang w:val="fr-FR"/>
        </w:rPr>
        <w:t>D</w:t>
      </w:r>
      <w:r w:rsidR="009D4361" w:rsidRPr="00D75D2E">
        <w:rPr>
          <w:rFonts w:ascii="Times New Roman" w:hAnsi="Times New Roman" w:cs="Times New Roman"/>
          <w:sz w:val="24"/>
          <w:szCs w:val="24"/>
          <w:lang w:val="fr-FR"/>
        </w:rPr>
        <w:t xml:space="preserve">éterminer et mesurer la nature, le niveau des risques et effets environnementaux et sociaux, </w:t>
      </w:r>
      <w:r w:rsidR="003A1A9E">
        <w:rPr>
          <w:rFonts w:ascii="Times New Roman" w:hAnsi="Times New Roman" w:cs="Times New Roman"/>
          <w:sz w:val="24"/>
          <w:szCs w:val="24"/>
          <w:lang w:val="fr-FR"/>
        </w:rPr>
        <w:t xml:space="preserve">y </w:t>
      </w:r>
      <w:r w:rsidR="009D4361" w:rsidRPr="00D75D2E">
        <w:rPr>
          <w:rFonts w:ascii="Times New Roman" w:hAnsi="Times New Roman" w:cs="Times New Roman"/>
          <w:sz w:val="24"/>
          <w:szCs w:val="24"/>
          <w:lang w:val="fr-FR"/>
        </w:rPr>
        <w:t xml:space="preserve"> compris les risques VBG, EAS, HS et COVID-19, susceptibles d’être générés par les travaux concernés par le projet en vue d’évaluer et de proposer des mesures de suppression, d’atténuation et de compensation des effets négatifs et de bonification des impacts positifs, des indicateurs de suivi et de surveillance appropriés, ainsi que des dispositions institutionnelles à mettre en place pour la mise en œuvre desdites mesures.</w:t>
      </w:r>
      <w:r w:rsidR="009D4361" w:rsidRPr="00D75D2E">
        <w:rPr>
          <w:rFonts w:ascii="Times New Roman" w:eastAsia="Times New Roman" w:hAnsi="Times New Roman" w:cs="Times New Roman"/>
          <w:sz w:val="24"/>
          <w:szCs w:val="24"/>
          <w:lang w:val="fr-FR" w:eastAsia="fr-FR"/>
        </w:rPr>
        <w:t xml:space="preserve"> </w:t>
      </w:r>
    </w:p>
    <w:p w14:paraId="5329E6FE"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Décrire le sous-projet en incluant tous les services requis incluant les investissements hors site qui peuvent se révéler nécessaires. </w:t>
      </w:r>
    </w:p>
    <w:p w14:paraId="098F7711"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Décrire les autres projets de développement passés, en cours et envisagés dans la zone d’influence du sous-projet, même s’ils ne sont pas directement liés au projet ;</w:t>
      </w:r>
    </w:p>
    <w:p w14:paraId="5FD78404"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S’assurer que les communautés affectées et les autres parties prenantes sont impliquées dès le début du processus et tout au long du processus de l’EIES et de la durée de vie du projet, y compris à travers un mécanisme de recours efficace en cas de plainte.</w:t>
      </w:r>
    </w:p>
    <w:p w14:paraId="69F07A2C"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Définir et analyser l’état actuel de la zone d’influence (direct, indirect et cumulatif) des sous-projets (étude de caractérisation environnementale et sociale de base) y compris son évolution probable en situation « sans projet », en intégrant notamment les aspects liés aux VBG, EAS et HS, ainsi que les considérations du coronavirus/covid-19 ; </w:t>
      </w:r>
    </w:p>
    <w:p w14:paraId="498BD954" w14:textId="107E6995"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Fournir l’information sur les risques et impacts des sous-projets, mais aussi sur les différentes options, les mesures d'atténuation et de gestion des risques et impacts après la prise de décision ;</w:t>
      </w:r>
    </w:p>
    <w:p w14:paraId="151D4236"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Analyser le cadre politique, juridique et institutionnel du projet dans lequel s’inscrit l’évaluation environnementale et sociale, tenant compte des exigences du nouveau CES sur les aspects liés aux VIH/SIDA, VBG, EAS et HS, gestion de la main d’œuvre, mobilisation des parties prenantes, gestion de la sécurité, hygiène et santé des communautés (y compris les considérations du coronavirus/covid-19)</w:t>
      </w:r>
      <w:r w:rsidR="00B93F31" w:rsidRPr="00E737B4">
        <w:rPr>
          <w:rFonts w:ascii="Times New Roman" w:hAnsi="Times New Roman" w:cs="Times New Roman"/>
          <w:sz w:val="24"/>
          <w:szCs w:val="24"/>
          <w:lang w:val="fr-FR"/>
        </w:rPr>
        <w:t xml:space="preserve"> </w:t>
      </w:r>
      <w:r w:rsidRPr="00E737B4">
        <w:rPr>
          <w:rFonts w:ascii="Times New Roman" w:hAnsi="Times New Roman" w:cs="Times New Roman"/>
          <w:sz w:val="24"/>
          <w:szCs w:val="24"/>
          <w:lang w:val="fr-FR"/>
        </w:rPr>
        <w:t xml:space="preserve">; </w:t>
      </w:r>
    </w:p>
    <w:p w14:paraId="6E9E35A4" w14:textId="77777777" w:rsidR="000B48AC" w:rsidRPr="00AE31F1"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Identifier, analyser et évaluer de manière intégrée les impacts directs, indirects, cumulatifs, et transfrontaliers, et tenir compte du principe de hiérarchie dans l’atténuation, à la lumière des neuf (9) NES pertinentes, associés </w:t>
      </w:r>
      <w:r w:rsidRPr="00AE31F1">
        <w:rPr>
          <w:rFonts w:ascii="Times New Roman" w:hAnsi="Times New Roman" w:cs="Times New Roman"/>
          <w:sz w:val="24"/>
          <w:szCs w:val="24"/>
          <w:lang w:val="fr-FR"/>
        </w:rPr>
        <w:t xml:space="preserve">aux travaux envisagés </w:t>
      </w:r>
    </w:p>
    <w:p w14:paraId="467CC3EC" w14:textId="77777777" w:rsidR="000B48AC" w:rsidRPr="00AE31F1"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AE31F1">
        <w:rPr>
          <w:rFonts w:ascii="Times New Roman" w:hAnsi="Times New Roman" w:cs="Times New Roman"/>
          <w:sz w:val="24"/>
          <w:szCs w:val="24"/>
          <w:lang w:val="fr-FR"/>
        </w:rPr>
        <w:t>Évaluer les risques et impacts associés aux installations associées et ceux de la chaîne d'approvisionnement, ou démontrer l'incapacité juridique et institutionnelle de les contrôler ou influencer</w:t>
      </w:r>
    </w:p>
    <w:p w14:paraId="3B7516F7" w14:textId="6D391A93" w:rsidR="000B48AC" w:rsidRPr="00AE31F1"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AE31F1">
        <w:rPr>
          <w:rFonts w:ascii="Times New Roman" w:hAnsi="Times New Roman" w:cs="Times New Roman"/>
          <w:sz w:val="24"/>
          <w:szCs w:val="24"/>
          <w:lang w:val="fr-FR"/>
        </w:rPr>
        <w:t>Identifier et évaluer les potentiels risques des sous-projets sur les services écosystémiques, la circulation, la sécurité routière, le dispositif de sécurité et la santé communautaire</w:t>
      </w:r>
      <w:r w:rsidR="0044537E">
        <w:rPr>
          <w:rFonts w:ascii="Times New Roman" w:hAnsi="Times New Roman" w:cs="Times New Roman"/>
          <w:sz w:val="24"/>
          <w:szCs w:val="24"/>
          <w:lang w:val="fr-FR"/>
        </w:rPr>
        <w:t xml:space="preserve"> </w:t>
      </w:r>
      <w:r w:rsidRPr="00AE31F1">
        <w:rPr>
          <w:rFonts w:ascii="Times New Roman" w:hAnsi="Times New Roman" w:cs="Times New Roman"/>
          <w:sz w:val="24"/>
          <w:szCs w:val="24"/>
          <w:lang w:val="fr-FR"/>
        </w:rPr>
        <w:t xml:space="preserve">; conformément à la NES 4 ;  </w:t>
      </w:r>
    </w:p>
    <w:p w14:paraId="15FEE098"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Identifier les risques d’EAS/HS, en particulier les risques susceptibles d’être générés, exacerbés ou potentiellement prévenus par les travaux dans les zones d’intervention du projet. </w:t>
      </w:r>
    </w:p>
    <w:p w14:paraId="6DFAD90B" w14:textId="1748F720"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Proposer des mesures réalistes et appropriées, notamment celles liés aux risques </w:t>
      </w:r>
      <w:r w:rsidR="003A1A9E">
        <w:rPr>
          <w:rFonts w:ascii="Times New Roman" w:hAnsi="Times New Roman" w:cs="Times New Roman"/>
          <w:sz w:val="24"/>
          <w:szCs w:val="24"/>
          <w:lang w:val="fr-FR"/>
        </w:rPr>
        <w:t>d’</w:t>
      </w:r>
      <w:r w:rsidRPr="00E737B4">
        <w:rPr>
          <w:rFonts w:ascii="Times New Roman" w:hAnsi="Times New Roman" w:cs="Times New Roman"/>
          <w:sz w:val="24"/>
          <w:szCs w:val="24"/>
          <w:lang w:val="fr-FR"/>
        </w:rPr>
        <w:t xml:space="preserve">EAS et HS, de sécurité routière, ainsi que les considérations du coronavirus/covid-19, permettant soit d’éviter, d’atténuer, de minimiser ou de compenser les risques et effets négatifs, de prévenir et gérer leurs impacts, soit d’optimiser des impacts positifs et d’en évaluer les coûts y afférents ; </w:t>
      </w:r>
    </w:p>
    <w:p w14:paraId="4B65732E" w14:textId="77CB560C"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Proposer le MGP adapté à la réalité de terrain de manière qu’il prenne en compte les plaintes générales et les plaintes sensibles à l’EAS/HS, conforme avec les exigences de la NES n°2, 4 , 5, 8 et 10, de manière qu’il prenne en compte les exigences relatives à la gestion des plaintes de EAS/HS,  en ligne avec une approche axée sur les survivant(e)s et conforme avec les exigences du plan d’action EAS/HS en cours d’élaboration par le projet ;</w:t>
      </w:r>
    </w:p>
    <w:p w14:paraId="0E00930A"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Proposer un plan de santé, sécurité au travail en tenant compte du guide environnemental, santé et sécurité du groupe de la Banque mondiale et les bonnes pratiques internationales.</w:t>
      </w:r>
    </w:p>
    <w:p w14:paraId="4715AC9E"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Proposer les mesures liées à la promotion de l’inclusion sociale afin d’assurer l’égalité de chances dans les activités sur le terrain </w:t>
      </w:r>
    </w:p>
    <w:p w14:paraId="258BF5E7"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Proposer un résumé des mesures et actions clés à insérer dans le Plan d’Engagement Environnemental et Social (PEES)</w:t>
      </w:r>
      <w:r w:rsidR="00B93F31" w:rsidRPr="00E737B4">
        <w:rPr>
          <w:rFonts w:ascii="Times New Roman" w:hAnsi="Times New Roman" w:cs="Times New Roman"/>
          <w:sz w:val="24"/>
          <w:szCs w:val="24"/>
          <w:lang w:val="fr-FR"/>
        </w:rPr>
        <w:t> ;</w:t>
      </w:r>
    </w:p>
    <w:p w14:paraId="056563DB"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 xml:space="preserve">Proposer des clauses environnementales et sociales, incluant celles liées aux risques d’EAS et HS, à la sécurité routière, ainsi qu’aux considérations du coronavirus/covid-19, à insérer dans les Dossier d’Appel d’Offres (DAO) ; </w:t>
      </w:r>
    </w:p>
    <w:p w14:paraId="1DB4803C"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Proposer le mécanisme de surveillance et de suivi socio-environnemental, prenant notamment compte la sécurité routière et des considérations du coronavirus/covid-19), et d’évaluer les coûts y afférents ;</w:t>
      </w:r>
    </w:p>
    <w:p w14:paraId="30A82FB3" w14:textId="77777777" w:rsidR="000B48AC" w:rsidRPr="00E737B4" w:rsidRDefault="000B48AC" w:rsidP="008C79F0">
      <w:pPr>
        <w:pStyle w:val="gmail-msolistparagraph"/>
        <w:numPr>
          <w:ilvl w:val="0"/>
          <w:numId w:val="139"/>
        </w:numPr>
        <w:spacing w:before="0" w:beforeAutospacing="0" w:after="60" w:afterAutospacing="0"/>
        <w:ind w:left="567"/>
        <w:jc w:val="both"/>
        <w:rPr>
          <w:rFonts w:ascii="Times New Roman" w:hAnsi="Times New Roman" w:cs="Times New Roman"/>
          <w:sz w:val="24"/>
          <w:szCs w:val="24"/>
          <w:lang w:val="fr-CD"/>
        </w:rPr>
      </w:pPr>
      <w:r w:rsidRPr="00E737B4">
        <w:rPr>
          <w:rFonts w:ascii="Times New Roman" w:hAnsi="Times New Roman" w:cs="Times New Roman"/>
          <w:sz w:val="24"/>
          <w:szCs w:val="24"/>
          <w:lang w:val="fr-FR"/>
        </w:rPr>
        <w:t>Elaborer le Plan de Gestion Environnementale et Sociale conforme aux prescrits de la NES n°1 du CES de la Banque mondiale et de la législation nationale, qui comprendra les mesures d’atténuation et de suivi (y compris celles relatives à la prévention, la minimisation et/ou la mitigation des risques VBG/EAS/HS, de sécurité routière et du coronavirus/covid19), ainsi que de dispositions institutionnelles (intégrant les considérations du coronavirus/covid-19) à prendre en compte pendant l’exécution des travaux de la réalisation des infrastructures pour éliminer les risques et effets environnementaux et sociaux négatifs, les compenser ou les ramener à des niveaux acceptables, les besoins en renforcement de capacités et formation, le calendrier d’exécution et estimation des coûts de mise en œuvre du PGES.</w:t>
      </w:r>
    </w:p>
    <w:p w14:paraId="3F3ABED1" w14:textId="4EB10039" w:rsidR="000B48AC" w:rsidRPr="00420C1B" w:rsidRDefault="000B48AC" w:rsidP="008C79F0">
      <w:pPr>
        <w:pStyle w:val="gmail-msolistparagraph"/>
        <w:numPr>
          <w:ilvl w:val="0"/>
          <w:numId w:val="139"/>
        </w:numPr>
        <w:spacing w:before="0" w:beforeAutospacing="0" w:after="60" w:afterAutospacing="0"/>
        <w:ind w:left="567"/>
        <w:jc w:val="both"/>
        <w:rPr>
          <w:rFonts w:ascii="Times New Roman" w:eastAsia="Times New Roman" w:hAnsi="Times New Roman" w:cs="Times New Roman"/>
          <w:sz w:val="24"/>
          <w:szCs w:val="24"/>
          <w:lang w:val="fr-CD" w:eastAsia="fr-FR"/>
        </w:rPr>
      </w:pPr>
      <w:r w:rsidRPr="00E737B4">
        <w:rPr>
          <w:rFonts w:ascii="Times New Roman" w:hAnsi="Times New Roman" w:cs="Times New Roman"/>
          <w:sz w:val="24"/>
          <w:szCs w:val="24"/>
          <w:lang w:val="fr-FR"/>
        </w:rPr>
        <w:t>S’agissant</w:t>
      </w:r>
      <w:r w:rsidRPr="00420C1B">
        <w:rPr>
          <w:rFonts w:ascii="Times New Roman" w:eastAsia="Times New Roman" w:hAnsi="Times New Roman" w:cs="Times New Roman"/>
          <w:sz w:val="24"/>
          <w:szCs w:val="24"/>
          <w:lang w:val="fr-FR" w:eastAsia="fr-FR"/>
        </w:rPr>
        <w:t xml:space="preserve"> </w:t>
      </w:r>
      <w:r w:rsidRPr="00420C1B">
        <w:rPr>
          <w:rFonts w:ascii="Times New Roman" w:eastAsia="Times New Roman" w:hAnsi="Times New Roman" w:cs="Times New Roman"/>
          <w:sz w:val="24"/>
          <w:szCs w:val="24"/>
          <w:lang w:val="fr-FR" w:eastAsia="fr-FR" w:bidi="fr-FR"/>
        </w:rPr>
        <w:t>des considérations liées au coronavirus/covid-19 :</w:t>
      </w:r>
    </w:p>
    <w:p w14:paraId="4BB73B21" w14:textId="77777777" w:rsidR="000B48AC" w:rsidRPr="00420C1B" w:rsidRDefault="000B48AC" w:rsidP="008C79F0">
      <w:pPr>
        <w:numPr>
          <w:ilvl w:val="0"/>
          <w:numId w:val="140"/>
        </w:numPr>
        <w:tabs>
          <w:tab w:val="left" w:pos="426"/>
        </w:tabs>
        <w:spacing w:after="200" w:line="276" w:lineRule="auto"/>
        <w:contextualSpacing/>
        <w:jc w:val="both"/>
        <w:rPr>
          <w:rFonts w:ascii="Times New Roman" w:eastAsia="Times New Roman" w:hAnsi="Times New Roman"/>
          <w:sz w:val="24"/>
          <w:szCs w:val="24"/>
          <w:lang w:eastAsia="fr-FR"/>
        </w:rPr>
      </w:pPr>
      <w:r w:rsidRPr="00420C1B">
        <w:rPr>
          <w:rFonts w:ascii="Times New Roman" w:eastAsia="Times New Roman" w:hAnsi="Times New Roman"/>
          <w:sz w:val="24"/>
          <w:szCs w:val="24"/>
          <w:lang w:eastAsia="fr-FR"/>
        </w:rPr>
        <w:t xml:space="preserve">Identifier les risques spécifiques de COVID-19 face aux communautés locales ;  </w:t>
      </w:r>
    </w:p>
    <w:p w14:paraId="4F644DB5" w14:textId="77777777" w:rsidR="000B48AC" w:rsidRPr="00420C1B" w:rsidRDefault="000B48AC" w:rsidP="008C79F0">
      <w:pPr>
        <w:numPr>
          <w:ilvl w:val="0"/>
          <w:numId w:val="140"/>
        </w:numPr>
        <w:tabs>
          <w:tab w:val="left" w:pos="426"/>
        </w:tabs>
        <w:spacing w:after="200" w:line="276" w:lineRule="auto"/>
        <w:contextualSpacing/>
        <w:jc w:val="both"/>
        <w:rPr>
          <w:rFonts w:ascii="Times New Roman" w:eastAsia="Times New Roman" w:hAnsi="Times New Roman"/>
          <w:sz w:val="24"/>
          <w:szCs w:val="24"/>
          <w:lang w:eastAsia="fr-FR"/>
        </w:rPr>
      </w:pPr>
      <w:r w:rsidRPr="00420C1B">
        <w:rPr>
          <w:rFonts w:ascii="Times New Roman" w:eastAsia="Times New Roman" w:hAnsi="Times New Roman"/>
          <w:sz w:val="24"/>
          <w:szCs w:val="24"/>
          <w:lang w:eastAsia="fr-FR"/>
        </w:rPr>
        <w:t>Identifier les groupes vulnérables les plus touchés sur le plan psychologique et économique</w:t>
      </w:r>
      <w:r w:rsidR="00B93F31" w:rsidRPr="00420C1B">
        <w:rPr>
          <w:rFonts w:ascii="Times New Roman" w:eastAsia="Times New Roman" w:hAnsi="Times New Roman"/>
          <w:sz w:val="24"/>
          <w:szCs w:val="24"/>
          <w:lang w:eastAsia="fr-FR"/>
        </w:rPr>
        <w:t> ;</w:t>
      </w:r>
    </w:p>
    <w:p w14:paraId="56060819" w14:textId="77777777" w:rsidR="000B48AC" w:rsidRPr="00420C1B" w:rsidRDefault="000B48AC" w:rsidP="00E43AAB">
      <w:pPr>
        <w:tabs>
          <w:tab w:val="left" w:pos="426"/>
        </w:tabs>
        <w:spacing w:after="0" w:line="276" w:lineRule="auto"/>
        <w:ind w:left="786"/>
        <w:contextualSpacing/>
        <w:jc w:val="both"/>
        <w:rPr>
          <w:rFonts w:ascii="Times New Roman" w:eastAsia="Times New Roman" w:hAnsi="Times New Roman"/>
          <w:sz w:val="24"/>
          <w:szCs w:val="24"/>
          <w:lang w:eastAsia="fr-FR"/>
        </w:rPr>
      </w:pPr>
    </w:p>
    <w:p w14:paraId="40717DC6" w14:textId="77777777" w:rsidR="000B48AC" w:rsidRPr="00D75D2E" w:rsidRDefault="000B48AC" w:rsidP="008C79F0">
      <w:pPr>
        <w:numPr>
          <w:ilvl w:val="0"/>
          <w:numId w:val="140"/>
        </w:numPr>
        <w:shd w:val="clear" w:color="auto" w:fill="FFFFFF"/>
        <w:spacing w:after="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Proposer des mesures à mettre en place pour la prévention, la minimisation et/ou mitigation des risques spécifiquement associés au coronavirus/covid19 ;</w:t>
      </w:r>
    </w:p>
    <w:p w14:paraId="5CF2F4D6" w14:textId="77777777" w:rsidR="000B48AC" w:rsidRPr="00D75D2E" w:rsidRDefault="000B48AC" w:rsidP="008C79F0">
      <w:pPr>
        <w:numPr>
          <w:ilvl w:val="0"/>
          <w:numId w:val="140"/>
        </w:numPr>
        <w:shd w:val="clear" w:color="auto" w:fill="FFFFFF"/>
        <w:spacing w:after="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Intégrer les considérations du coronavirus/covid-19 dans les activités de suivi-évaluation ;</w:t>
      </w:r>
    </w:p>
    <w:p w14:paraId="6FA7A2C3" w14:textId="38671EEB" w:rsidR="000B48AC" w:rsidRDefault="000B48AC" w:rsidP="008C79F0">
      <w:pPr>
        <w:numPr>
          <w:ilvl w:val="0"/>
          <w:numId w:val="140"/>
        </w:numPr>
        <w:shd w:val="clear" w:color="auto" w:fill="FFFFFF"/>
        <w:spacing w:after="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Intégrer les considérations du coronavirus/covid-19 dans les arrangements institutionnels pour la mise en œuvre et le suivi-évaluation des activités de prévention et de minimisation de la propagation du coronavirus/covid-19.</w:t>
      </w:r>
    </w:p>
    <w:p w14:paraId="671A00CD" w14:textId="77777777" w:rsidR="0044537E" w:rsidRPr="00D75D2E" w:rsidRDefault="0044537E" w:rsidP="00215867">
      <w:pPr>
        <w:shd w:val="clear" w:color="auto" w:fill="FFFFFF"/>
        <w:spacing w:after="0" w:line="240" w:lineRule="auto"/>
        <w:ind w:left="786"/>
        <w:jc w:val="both"/>
        <w:rPr>
          <w:rFonts w:ascii="Times New Roman" w:eastAsia="Times New Roman" w:hAnsi="Times New Roman"/>
          <w:sz w:val="24"/>
          <w:szCs w:val="24"/>
          <w:lang w:eastAsia="fr-FR"/>
        </w:rPr>
      </w:pPr>
    </w:p>
    <w:p w14:paraId="0D1BF7B2" w14:textId="51261773" w:rsidR="00980F9C" w:rsidRPr="00D75D2E" w:rsidRDefault="00980F9C" w:rsidP="008C79F0">
      <w:pPr>
        <w:keepNext/>
        <w:keepLines/>
        <w:numPr>
          <w:ilvl w:val="1"/>
          <w:numId w:val="21"/>
        </w:numPr>
        <w:spacing w:before="120" w:after="120" w:line="240" w:lineRule="auto"/>
        <w:ind w:left="567" w:hanging="510"/>
        <w:outlineLvl w:val="1"/>
        <w:rPr>
          <w:rFonts w:ascii="Times New Roman" w:eastAsia="Times New Roman" w:hAnsi="Times New Roman"/>
          <w:b/>
          <w:sz w:val="24"/>
          <w:szCs w:val="24"/>
        </w:rPr>
      </w:pPr>
      <w:bookmarkStart w:id="56" w:name="_Toc103685600"/>
      <w:r w:rsidRPr="00D75D2E">
        <w:rPr>
          <w:rFonts w:ascii="Times New Roman" w:eastAsia="Times New Roman" w:hAnsi="Times New Roman"/>
          <w:b/>
          <w:sz w:val="24"/>
          <w:szCs w:val="24"/>
        </w:rPr>
        <w:t>Procédure et méthodologie de l’élaboration de l’EIES</w:t>
      </w:r>
      <w:bookmarkEnd w:id="56"/>
    </w:p>
    <w:p w14:paraId="488E62B2" w14:textId="77777777" w:rsidR="0044537E" w:rsidRDefault="0044537E" w:rsidP="00980F9C">
      <w:pPr>
        <w:spacing w:after="0" w:line="240" w:lineRule="auto"/>
        <w:jc w:val="both"/>
        <w:rPr>
          <w:rFonts w:ascii="Times New Roman" w:hAnsi="Times New Roman"/>
          <w:sz w:val="24"/>
          <w:szCs w:val="24"/>
        </w:rPr>
      </w:pPr>
    </w:p>
    <w:p w14:paraId="5924906E" w14:textId="77777777" w:rsidR="0044537E" w:rsidRDefault="00980F9C" w:rsidP="00980F9C">
      <w:pPr>
        <w:spacing w:after="0" w:line="240" w:lineRule="auto"/>
        <w:jc w:val="both"/>
        <w:rPr>
          <w:rFonts w:ascii="Times New Roman" w:hAnsi="Times New Roman"/>
          <w:sz w:val="24"/>
          <w:szCs w:val="24"/>
        </w:rPr>
      </w:pPr>
      <w:r w:rsidRPr="00D75D2E">
        <w:rPr>
          <w:rFonts w:ascii="Times New Roman" w:hAnsi="Times New Roman"/>
          <w:sz w:val="24"/>
          <w:szCs w:val="24"/>
        </w:rPr>
        <w:t xml:space="preserve">L’EIES a été élaborée en conformité avec les TDR et en employant la procédure </w:t>
      </w:r>
      <w:r w:rsidR="00086328">
        <w:rPr>
          <w:rFonts w:ascii="Times New Roman" w:hAnsi="Times New Roman"/>
          <w:sz w:val="24"/>
          <w:szCs w:val="24"/>
        </w:rPr>
        <w:t xml:space="preserve">et méthodologie </w:t>
      </w:r>
      <w:r w:rsidRPr="00D75D2E">
        <w:rPr>
          <w:rFonts w:ascii="Times New Roman" w:hAnsi="Times New Roman"/>
          <w:sz w:val="24"/>
          <w:szCs w:val="24"/>
        </w:rPr>
        <w:t>suivante :</w:t>
      </w:r>
    </w:p>
    <w:p w14:paraId="04FA2E07" w14:textId="1F855542" w:rsidR="00980F9C" w:rsidRPr="00D75D2E" w:rsidRDefault="00980F9C" w:rsidP="00980F9C">
      <w:pPr>
        <w:spacing w:after="0" w:line="240" w:lineRule="auto"/>
        <w:jc w:val="both"/>
        <w:rPr>
          <w:rFonts w:ascii="Times New Roman" w:hAnsi="Times New Roman"/>
          <w:sz w:val="24"/>
          <w:szCs w:val="24"/>
        </w:rPr>
      </w:pPr>
      <w:r w:rsidRPr="00D75D2E">
        <w:rPr>
          <w:rFonts w:ascii="Times New Roman" w:hAnsi="Times New Roman"/>
          <w:sz w:val="24"/>
          <w:szCs w:val="24"/>
        </w:rPr>
        <w:t xml:space="preserve"> </w:t>
      </w:r>
    </w:p>
    <w:p w14:paraId="0CC4652A" w14:textId="77777777" w:rsidR="00980F9C" w:rsidRPr="0015345E" w:rsidRDefault="00980F9C" w:rsidP="004E06C7">
      <w:pPr>
        <w:numPr>
          <w:ilvl w:val="2"/>
          <w:numId w:val="21"/>
        </w:numPr>
        <w:spacing w:after="0" w:line="240" w:lineRule="auto"/>
        <w:jc w:val="both"/>
        <w:rPr>
          <w:rFonts w:ascii="Times New Roman" w:hAnsi="Times New Roman"/>
          <w:b/>
          <w:sz w:val="24"/>
          <w:szCs w:val="24"/>
        </w:rPr>
      </w:pPr>
      <w:r w:rsidRPr="0015345E">
        <w:rPr>
          <w:rFonts w:ascii="Times New Roman" w:hAnsi="Times New Roman"/>
          <w:b/>
          <w:sz w:val="24"/>
          <w:szCs w:val="24"/>
        </w:rPr>
        <w:t>Phase préparatoire</w:t>
      </w:r>
    </w:p>
    <w:p w14:paraId="59FE3E07" w14:textId="77777777" w:rsidR="0044537E" w:rsidRDefault="0044537E" w:rsidP="004E06C7">
      <w:pPr>
        <w:spacing w:after="0" w:line="240" w:lineRule="auto"/>
        <w:jc w:val="both"/>
        <w:rPr>
          <w:rFonts w:ascii="Times New Roman" w:hAnsi="Times New Roman"/>
          <w:sz w:val="24"/>
          <w:szCs w:val="24"/>
        </w:rPr>
      </w:pPr>
    </w:p>
    <w:p w14:paraId="6569AC96" w14:textId="3AC708A7" w:rsidR="00980F9C" w:rsidRDefault="00C62F58" w:rsidP="004E06C7">
      <w:pPr>
        <w:spacing w:after="0" w:line="240" w:lineRule="auto"/>
        <w:jc w:val="both"/>
        <w:rPr>
          <w:rFonts w:ascii="Times New Roman" w:hAnsi="Times New Roman"/>
          <w:sz w:val="24"/>
          <w:szCs w:val="24"/>
        </w:rPr>
      </w:pPr>
      <w:r w:rsidRPr="00A712F9">
        <w:rPr>
          <w:rFonts w:ascii="Times New Roman" w:hAnsi="Times New Roman"/>
          <w:sz w:val="24"/>
          <w:szCs w:val="24"/>
        </w:rPr>
        <w:t xml:space="preserve">La réunion de </w:t>
      </w:r>
      <w:r w:rsidR="003D615E">
        <w:rPr>
          <w:rFonts w:ascii="Times New Roman" w:hAnsi="Times New Roman"/>
          <w:sz w:val="24"/>
          <w:szCs w:val="24"/>
        </w:rPr>
        <w:t>dé</w:t>
      </w:r>
      <w:r w:rsidR="004E06C7">
        <w:rPr>
          <w:rFonts w:ascii="Times New Roman" w:hAnsi="Times New Roman"/>
          <w:sz w:val="24"/>
          <w:szCs w:val="24"/>
        </w:rPr>
        <w:t>marrage</w:t>
      </w:r>
      <w:r w:rsidRPr="00A712F9">
        <w:rPr>
          <w:rFonts w:ascii="Times New Roman" w:hAnsi="Times New Roman"/>
          <w:sz w:val="24"/>
          <w:szCs w:val="24"/>
        </w:rPr>
        <w:t xml:space="preserve"> </w:t>
      </w:r>
      <w:r w:rsidR="004E06C7">
        <w:rPr>
          <w:rFonts w:ascii="Times New Roman" w:hAnsi="Times New Roman"/>
          <w:sz w:val="24"/>
          <w:szCs w:val="24"/>
        </w:rPr>
        <w:t xml:space="preserve">de la mission </w:t>
      </w:r>
      <w:r w:rsidRPr="00A712F9">
        <w:rPr>
          <w:rFonts w:ascii="Times New Roman" w:hAnsi="Times New Roman"/>
          <w:sz w:val="24"/>
          <w:szCs w:val="24"/>
        </w:rPr>
        <w:t xml:space="preserve">a </w:t>
      </w:r>
      <w:r w:rsidR="004E06C7">
        <w:rPr>
          <w:rFonts w:ascii="Times New Roman" w:hAnsi="Times New Roman"/>
          <w:sz w:val="24"/>
          <w:szCs w:val="24"/>
        </w:rPr>
        <w:t xml:space="preserve">eu </w:t>
      </w:r>
      <w:r w:rsidRPr="00A712F9">
        <w:rPr>
          <w:rFonts w:ascii="Times New Roman" w:hAnsi="Times New Roman"/>
          <w:sz w:val="24"/>
          <w:szCs w:val="24"/>
        </w:rPr>
        <w:t xml:space="preserve">lieu le </w:t>
      </w:r>
      <w:r w:rsidR="00A712F9" w:rsidRPr="00215867">
        <w:rPr>
          <w:rFonts w:ascii="Times New Roman" w:hAnsi="Times New Roman"/>
          <w:sz w:val="24"/>
          <w:szCs w:val="24"/>
        </w:rPr>
        <w:t>13 mai</w:t>
      </w:r>
      <w:r w:rsidRPr="00A712F9">
        <w:rPr>
          <w:rFonts w:ascii="Times New Roman" w:hAnsi="Times New Roman"/>
          <w:sz w:val="24"/>
          <w:szCs w:val="24"/>
        </w:rPr>
        <w:t xml:space="preserve"> 2021</w:t>
      </w:r>
      <w:r w:rsidR="004E06C7">
        <w:rPr>
          <w:rFonts w:ascii="Times New Roman" w:hAnsi="Times New Roman"/>
          <w:sz w:val="24"/>
          <w:szCs w:val="24"/>
        </w:rPr>
        <w:t xml:space="preserve"> et </w:t>
      </w:r>
      <w:r w:rsidR="00980F9C" w:rsidRPr="00D75D2E">
        <w:rPr>
          <w:rFonts w:ascii="Times New Roman" w:hAnsi="Times New Roman"/>
          <w:sz w:val="24"/>
          <w:szCs w:val="24"/>
        </w:rPr>
        <w:t>a consisté en une rencontre de cadrage avec les</w:t>
      </w:r>
      <w:r w:rsidR="00086328">
        <w:rPr>
          <w:rFonts w:ascii="Times New Roman" w:hAnsi="Times New Roman"/>
          <w:sz w:val="24"/>
          <w:szCs w:val="24"/>
        </w:rPr>
        <w:t xml:space="preserve"> équipes de sauvegarde environnementale et sociale d’UCM, et celle de l’Unité de Gestion Environnementale et Sociale de SNEL, les </w:t>
      </w:r>
      <w:r w:rsidR="00980F9C" w:rsidRPr="00D75D2E">
        <w:rPr>
          <w:rFonts w:ascii="Times New Roman" w:hAnsi="Times New Roman"/>
          <w:sz w:val="24"/>
          <w:szCs w:val="24"/>
        </w:rPr>
        <w:t xml:space="preserve">responsables </w:t>
      </w:r>
      <w:r w:rsidR="00086328">
        <w:rPr>
          <w:rFonts w:ascii="Times New Roman" w:hAnsi="Times New Roman"/>
          <w:sz w:val="24"/>
          <w:szCs w:val="24"/>
        </w:rPr>
        <w:t xml:space="preserve">techniques d’UCM et de SNEL </w:t>
      </w:r>
      <w:r w:rsidR="00980F9C" w:rsidRPr="00D75D2E">
        <w:rPr>
          <w:rFonts w:ascii="Times New Roman" w:hAnsi="Times New Roman"/>
          <w:sz w:val="24"/>
          <w:szCs w:val="24"/>
        </w:rPr>
        <w:t xml:space="preserve">afin de préciser et de clarifier les attentes </w:t>
      </w:r>
      <w:r w:rsidR="00086328">
        <w:rPr>
          <w:rFonts w:ascii="Times New Roman" w:hAnsi="Times New Roman"/>
          <w:sz w:val="24"/>
          <w:szCs w:val="24"/>
        </w:rPr>
        <w:t>s</w:t>
      </w:r>
      <w:r w:rsidR="00086328" w:rsidRPr="00D75D2E">
        <w:rPr>
          <w:rFonts w:ascii="Times New Roman" w:hAnsi="Times New Roman"/>
          <w:sz w:val="24"/>
          <w:szCs w:val="24"/>
        </w:rPr>
        <w:t xml:space="preserve">ur </w:t>
      </w:r>
      <w:r w:rsidR="00980F9C" w:rsidRPr="00D75D2E">
        <w:rPr>
          <w:rFonts w:ascii="Times New Roman" w:hAnsi="Times New Roman"/>
          <w:sz w:val="24"/>
          <w:szCs w:val="24"/>
        </w:rPr>
        <w:t xml:space="preserve">l’EIES, harmoniser les points de vue, recueillir la documentation existante et les contacts nécessaires. </w:t>
      </w:r>
      <w:r w:rsidR="00086328">
        <w:rPr>
          <w:rFonts w:ascii="Times New Roman" w:hAnsi="Times New Roman"/>
          <w:sz w:val="24"/>
          <w:szCs w:val="24"/>
        </w:rPr>
        <w:t xml:space="preserve">Cette rencontre de cadrage avait également pour objectif de présenter la méthodologie de réalisation de l’étude et </w:t>
      </w:r>
      <w:r w:rsidR="004D71EF">
        <w:rPr>
          <w:rFonts w:ascii="Times New Roman" w:hAnsi="Times New Roman"/>
          <w:sz w:val="24"/>
          <w:szCs w:val="24"/>
        </w:rPr>
        <w:t xml:space="preserve">le plan de consultation publique avec les parties prenantes clés. </w:t>
      </w:r>
    </w:p>
    <w:p w14:paraId="46EF3715" w14:textId="77777777" w:rsidR="0044537E" w:rsidRPr="00D75D2E" w:rsidRDefault="0044537E" w:rsidP="004E06C7">
      <w:pPr>
        <w:spacing w:after="0" w:line="240" w:lineRule="auto"/>
        <w:jc w:val="both"/>
        <w:rPr>
          <w:rFonts w:ascii="Times New Roman" w:hAnsi="Times New Roman"/>
          <w:sz w:val="24"/>
          <w:szCs w:val="24"/>
        </w:rPr>
      </w:pPr>
    </w:p>
    <w:p w14:paraId="219C14CD" w14:textId="3905AB34" w:rsidR="0013726C" w:rsidRDefault="00980F9C" w:rsidP="004E06C7">
      <w:pPr>
        <w:spacing w:after="0" w:line="240" w:lineRule="auto"/>
        <w:jc w:val="both"/>
        <w:rPr>
          <w:rFonts w:ascii="Times New Roman" w:hAnsi="Times New Roman"/>
          <w:sz w:val="24"/>
          <w:szCs w:val="24"/>
        </w:rPr>
      </w:pPr>
      <w:r w:rsidRPr="00D75D2E">
        <w:rPr>
          <w:rFonts w:ascii="Times New Roman" w:hAnsi="Times New Roman"/>
          <w:sz w:val="24"/>
          <w:szCs w:val="24"/>
        </w:rPr>
        <w:t>Ensuite, une recherche documentaire a été faite pour prendre en compte dans l’étude, la législation nationale congolaise en matière d’environnement notamment la loi n°11/009 du 09 juillet 2011 portant principes fondamentaux</w:t>
      </w:r>
      <w:r w:rsidR="0088779A" w:rsidRPr="00D75D2E">
        <w:rPr>
          <w:rFonts w:ascii="Times New Roman" w:hAnsi="Times New Roman"/>
          <w:sz w:val="24"/>
          <w:szCs w:val="24"/>
        </w:rPr>
        <w:t xml:space="preserve"> relatifs</w:t>
      </w:r>
      <w:r w:rsidRPr="00D75D2E">
        <w:rPr>
          <w:rFonts w:ascii="Times New Roman" w:hAnsi="Times New Roman"/>
          <w:sz w:val="24"/>
          <w:szCs w:val="24"/>
        </w:rPr>
        <w:t xml:space="preserve"> </w:t>
      </w:r>
      <w:r w:rsidR="0088779A" w:rsidRPr="00D75D2E">
        <w:rPr>
          <w:rFonts w:ascii="Times New Roman" w:hAnsi="Times New Roman"/>
          <w:sz w:val="24"/>
          <w:szCs w:val="24"/>
        </w:rPr>
        <w:t xml:space="preserve">à </w:t>
      </w:r>
      <w:r w:rsidRPr="00D75D2E">
        <w:rPr>
          <w:rFonts w:ascii="Times New Roman" w:hAnsi="Times New Roman"/>
          <w:sz w:val="24"/>
          <w:szCs w:val="24"/>
        </w:rPr>
        <w:t>la protection de l'Environnement,</w:t>
      </w:r>
      <w:r w:rsidR="009860BE" w:rsidRPr="00D75D2E">
        <w:rPr>
          <w:rFonts w:ascii="Times New Roman" w:hAnsi="Times New Roman"/>
          <w:sz w:val="24"/>
          <w:szCs w:val="24"/>
        </w:rPr>
        <w:t xml:space="preserve"> et</w:t>
      </w:r>
      <w:r w:rsidRPr="00D75D2E">
        <w:rPr>
          <w:rFonts w:ascii="Times New Roman" w:hAnsi="Times New Roman"/>
          <w:sz w:val="24"/>
          <w:szCs w:val="24"/>
        </w:rPr>
        <w:t xml:space="preserve"> </w:t>
      </w:r>
      <w:r w:rsidR="009860BE" w:rsidRPr="00D75D2E">
        <w:rPr>
          <w:rFonts w:ascii="Times New Roman" w:hAnsi="Times New Roman"/>
          <w:sz w:val="24"/>
          <w:szCs w:val="24"/>
        </w:rPr>
        <w:t xml:space="preserve">des exigences des </w:t>
      </w:r>
      <w:r w:rsidR="00437D69" w:rsidRPr="00D75D2E">
        <w:rPr>
          <w:rFonts w:ascii="Times New Roman" w:hAnsi="Times New Roman"/>
          <w:sz w:val="24"/>
          <w:szCs w:val="24"/>
        </w:rPr>
        <w:t>normes</w:t>
      </w:r>
      <w:r w:rsidR="009860BE" w:rsidRPr="00D75D2E">
        <w:rPr>
          <w:rFonts w:ascii="Times New Roman" w:hAnsi="Times New Roman"/>
          <w:sz w:val="24"/>
          <w:szCs w:val="24"/>
        </w:rPr>
        <w:t xml:space="preserve"> environnementales et sociales de la Banque </w:t>
      </w:r>
      <w:r w:rsidR="004E06C7">
        <w:rPr>
          <w:rFonts w:ascii="Times New Roman" w:hAnsi="Times New Roman"/>
          <w:sz w:val="24"/>
          <w:szCs w:val="24"/>
        </w:rPr>
        <w:t>m</w:t>
      </w:r>
      <w:r w:rsidR="009860BE" w:rsidRPr="00D75D2E">
        <w:rPr>
          <w:rFonts w:ascii="Times New Roman" w:hAnsi="Times New Roman"/>
          <w:sz w:val="24"/>
          <w:szCs w:val="24"/>
        </w:rPr>
        <w:t>ondiale</w:t>
      </w:r>
      <w:r w:rsidRPr="00D75D2E">
        <w:rPr>
          <w:rFonts w:ascii="Times New Roman" w:hAnsi="Times New Roman"/>
          <w:sz w:val="24"/>
          <w:szCs w:val="24"/>
        </w:rPr>
        <w:t xml:space="preserve">. Cette recherche a pris également en compte la consultation de documents nécessaires à la réalisation de cette étude notamment les EIES antérieures réalisées dans le cadre </w:t>
      </w:r>
      <w:r w:rsidRPr="00D75D2E">
        <w:rPr>
          <w:rFonts w:ascii="Times New Roman" w:hAnsi="Times New Roman"/>
          <w:sz w:val="24"/>
          <w:szCs w:val="24"/>
          <w:lang w:val="fr-CA"/>
        </w:rPr>
        <w:t>du</w:t>
      </w:r>
      <w:r w:rsidRPr="00D75D2E">
        <w:rPr>
          <w:rFonts w:ascii="Times New Roman" w:hAnsi="Times New Roman"/>
          <w:sz w:val="24"/>
          <w:szCs w:val="24"/>
        </w:rPr>
        <w:t xml:space="preserve"> PAASE/EASE  dans la ville de Kinshasa. Finalement, des outils de collecte des données ont été élaborés, à savoir les guides d’entretiens, les fiches d’identification et d’analyse des impacts et les fiches d’inventaires de la végétation. </w:t>
      </w:r>
    </w:p>
    <w:p w14:paraId="2E43F414" w14:textId="77777777" w:rsidR="00980F9C" w:rsidRPr="0015345E" w:rsidRDefault="00980F9C" w:rsidP="008C79F0">
      <w:pPr>
        <w:numPr>
          <w:ilvl w:val="2"/>
          <w:numId w:val="21"/>
        </w:numPr>
        <w:spacing w:before="120" w:after="120" w:line="240" w:lineRule="auto"/>
        <w:jc w:val="both"/>
        <w:rPr>
          <w:rFonts w:ascii="Times New Roman" w:hAnsi="Times New Roman"/>
          <w:b/>
          <w:sz w:val="24"/>
          <w:szCs w:val="24"/>
        </w:rPr>
      </w:pPr>
      <w:r w:rsidRPr="0015345E">
        <w:rPr>
          <w:rFonts w:ascii="Times New Roman" w:hAnsi="Times New Roman"/>
          <w:b/>
          <w:sz w:val="24"/>
          <w:szCs w:val="24"/>
        </w:rPr>
        <w:t>Collecte des données</w:t>
      </w:r>
    </w:p>
    <w:p w14:paraId="7FF761C1" w14:textId="18AFA3EC" w:rsidR="00AE31F1" w:rsidRDefault="00980F9C" w:rsidP="00980F9C">
      <w:pPr>
        <w:spacing w:after="0" w:line="240" w:lineRule="auto"/>
        <w:jc w:val="both"/>
        <w:rPr>
          <w:rFonts w:ascii="Times New Roman" w:hAnsi="Times New Roman"/>
          <w:sz w:val="24"/>
          <w:szCs w:val="24"/>
        </w:rPr>
      </w:pPr>
      <w:r w:rsidRPr="00D75D2E">
        <w:rPr>
          <w:rFonts w:ascii="Times New Roman" w:hAnsi="Times New Roman"/>
          <w:sz w:val="24"/>
          <w:szCs w:val="24"/>
        </w:rPr>
        <w:t>Elle a consisté au préalable en une information/sensibilisation des différentes parties prenantes du projet. Il a été question ensuite d’administrer les fiches de collecte des données et d’animer les séances de consultation du public. Cela s’est fait à travers des focus groups et d’entretiens individuels avec les différents bourgmestres, les services techniques concernés au niveau de chaque commune, les chefs de quartiers</w:t>
      </w:r>
      <w:r w:rsidR="004D71EF">
        <w:rPr>
          <w:rFonts w:ascii="Times New Roman" w:hAnsi="Times New Roman"/>
          <w:sz w:val="24"/>
          <w:szCs w:val="24"/>
        </w:rPr>
        <w:t>, d’avenues</w:t>
      </w:r>
      <w:r w:rsidRPr="00D75D2E">
        <w:rPr>
          <w:rFonts w:ascii="Times New Roman" w:hAnsi="Times New Roman"/>
          <w:sz w:val="24"/>
          <w:szCs w:val="24"/>
        </w:rPr>
        <w:t xml:space="preserve"> et rues concernés, les personnes ressources (responsables coutumiers et religieux, etc.), </w:t>
      </w:r>
      <w:r w:rsidR="00437D69" w:rsidRPr="00D75D2E">
        <w:rPr>
          <w:rFonts w:ascii="Times New Roman" w:hAnsi="Times New Roman"/>
          <w:sz w:val="24"/>
          <w:szCs w:val="24"/>
        </w:rPr>
        <w:t>les</w:t>
      </w:r>
      <w:r w:rsidRPr="00D75D2E">
        <w:rPr>
          <w:rFonts w:ascii="Times New Roman" w:hAnsi="Times New Roman"/>
          <w:sz w:val="24"/>
          <w:szCs w:val="24"/>
        </w:rPr>
        <w:t xml:space="preserve"> représentante</w:t>
      </w:r>
      <w:r w:rsidR="00437D69" w:rsidRPr="00D75D2E">
        <w:rPr>
          <w:rFonts w:ascii="Times New Roman" w:hAnsi="Times New Roman"/>
          <w:sz w:val="24"/>
          <w:szCs w:val="24"/>
        </w:rPr>
        <w:t>s</w:t>
      </w:r>
      <w:r w:rsidRPr="00D75D2E">
        <w:rPr>
          <w:rFonts w:ascii="Times New Roman" w:hAnsi="Times New Roman"/>
          <w:sz w:val="24"/>
          <w:szCs w:val="24"/>
        </w:rPr>
        <w:t xml:space="preserve"> des femmes, le</w:t>
      </w:r>
      <w:r w:rsidR="00437D69" w:rsidRPr="00D75D2E">
        <w:rPr>
          <w:rFonts w:ascii="Times New Roman" w:hAnsi="Times New Roman"/>
          <w:sz w:val="24"/>
          <w:szCs w:val="24"/>
        </w:rPr>
        <w:t>s</w:t>
      </w:r>
      <w:r w:rsidRPr="00D75D2E">
        <w:rPr>
          <w:rFonts w:ascii="Times New Roman" w:hAnsi="Times New Roman"/>
          <w:sz w:val="24"/>
          <w:szCs w:val="24"/>
        </w:rPr>
        <w:t xml:space="preserve"> représentant</w:t>
      </w:r>
      <w:r w:rsidR="00437D69" w:rsidRPr="00D75D2E">
        <w:rPr>
          <w:rFonts w:ascii="Times New Roman" w:hAnsi="Times New Roman"/>
          <w:sz w:val="24"/>
          <w:szCs w:val="24"/>
        </w:rPr>
        <w:t>s</w:t>
      </w:r>
      <w:r w:rsidRPr="00D75D2E">
        <w:rPr>
          <w:rFonts w:ascii="Times New Roman" w:hAnsi="Times New Roman"/>
          <w:sz w:val="24"/>
          <w:szCs w:val="24"/>
        </w:rPr>
        <w:t xml:space="preserve"> des jeunes, la société civile, les ONG et associations intervenant dans les communes concernées par le projet. La mission de terrain a permis au consultant d’apprécier l’état actuel de l’emprise et de collecter les données sur les plans biophysique et humain et les possibles impacts négatifs que les travaux pourraient engendrer sur les matrices de l’environnement et les communautés riveraines.</w:t>
      </w:r>
    </w:p>
    <w:p w14:paraId="38890F88" w14:textId="2985AB28" w:rsidR="00F65151" w:rsidRDefault="004E06C7" w:rsidP="00215867">
      <w:pPr>
        <w:spacing w:before="120" w:after="0" w:line="240" w:lineRule="auto"/>
        <w:jc w:val="both"/>
        <w:rPr>
          <w:rFonts w:ascii="Times New Roman" w:hAnsi="Times New Roman"/>
          <w:sz w:val="24"/>
          <w:szCs w:val="24"/>
        </w:rPr>
      </w:pPr>
      <w:r>
        <w:rPr>
          <w:rFonts w:ascii="Times New Roman" w:hAnsi="Times New Roman"/>
          <w:sz w:val="24"/>
          <w:szCs w:val="24"/>
        </w:rPr>
        <w:t xml:space="preserve">Pour faciliter la collecte des données sur terrain, le consultant </w:t>
      </w:r>
      <w:r w:rsidR="003D615E">
        <w:rPr>
          <w:rFonts w:ascii="Times New Roman" w:hAnsi="Times New Roman"/>
          <w:sz w:val="24"/>
          <w:szCs w:val="24"/>
        </w:rPr>
        <w:t>a eu recours en plus des experts clés définis dans les TdR de la mission, à 4 enquêteurs locaux et deux experts locaux, notamment, un chimiste pour les analyses de la qualité d’eau et des sols et un ingénieur agronome pour les évaluations des actifs agricoles impactés.</w:t>
      </w:r>
    </w:p>
    <w:p w14:paraId="7D259BBC" w14:textId="7F006CC0" w:rsidR="00F65151" w:rsidRDefault="00F65151" w:rsidP="00215867">
      <w:pPr>
        <w:spacing w:before="120" w:after="0" w:line="240" w:lineRule="auto"/>
        <w:jc w:val="both"/>
        <w:rPr>
          <w:rFonts w:ascii="Times New Roman" w:hAnsi="Times New Roman"/>
          <w:sz w:val="24"/>
          <w:szCs w:val="24"/>
        </w:rPr>
      </w:pPr>
      <w:r>
        <w:rPr>
          <w:rFonts w:ascii="Times New Roman" w:hAnsi="Times New Roman"/>
          <w:sz w:val="24"/>
          <w:szCs w:val="24"/>
        </w:rPr>
        <w:t xml:space="preserve">La collecte des données biophysiques et humains a pris en gros 21 jours et </w:t>
      </w:r>
      <w:r w:rsidR="00D014D6">
        <w:rPr>
          <w:rFonts w:ascii="Times New Roman" w:hAnsi="Times New Roman"/>
          <w:sz w:val="24"/>
          <w:szCs w:val="24"/>
        </w:rPr>
        <w:t>s’est déroulée</w:t>
      </w:r>
      <w:r>
        <w:rPr>
          <w:rFonts w:ascii="Times New Roman" w:hAnsi="Times New Roman"/>
          <w:sz w:val="24"/>
          <w:szCs w:val="24"/>
        </w:rPr>
        <w:t xml:space="preserve"> durant la période allant du 30 juin au 20 juillet 2021. Courant cette période, le consultant a </w:t>
      </w:r>
      <w:r w:rsidR="00847A48">
        <w:rPr>
          <w:rFonts w:ascii="Times New Roman" w:hAnsi="Times New Roman"/>
          <w:sz w:val="24"/>
          <w:szCs w:val="24"/>
        </w:rPr>
        <w:t>passé</w:t>
      </w:r>
      <w:r>
        <w:rPr>
          <w:rFonts w:ascii="Times New Roman" w:hAnsi="Times New Roman"/>
          <w:sz w:val="24"/>
          <w:szCs w:val="24"/>
        </w:rPr>
        <w:t xml:space="preserve"> en revue les différents tracés existant du réseau et toiletté la partie du tracé déjà financé sous EASE pour en retenir que la partie non couvert</w:t>
      </w:r>
      <w:r w:rsidR="00847A48">
        <w:rPr>
          <w:rFonts w:ascii="Times New Roman" w:hAnsi="Times New Roman"/>
          <w:sz w:val="24"/>
          <w:szCs w:val="24"/>
        </w:rPr>
        <w:t>e</w:t>
      </w:r>
      <w:r>
        <w:rPr>
          <w:rFonts w:ascii="Times New Roman" w:hAnsi="Times New Roman"/>
          <w:sz w:val="24"/>
          <w:szCs w:val="24"/>
        </w:rPr>
        <w:t xml:space="preserve"> qui devra être financé par AGREE. Les informations de base contenue dans l’EIES de 2018 et celle de 2019, telles que l’occupation du sol, la démographie, couvert végétal, la santé, la sécurité, l’éducation et la pauvreté et la situation de VBG dans la zone hôte du sous-projet ont été </w:t>
      </w:r>
      <w:r w:rsidR="00914967">
        <w:rPr>
          <w:rFonts w:ascii="Times New Roman" w:hAnsi="Times New Roman"/>
          <w:sz w:val="24"/>
          <w:szCs w:val="24"/>
        </w:rPr>
        <w:t xml:space="preserve">actualisées. Les données relatives au cadre </w:t>
      </w:r>
      <w:r>
        <w:rPr>
          <w:rFonts w:ascii="Times New Roman" w:hAnsi="Times New Roman"/>
          <w:sz w:val="24"/>
          <w:szCs w:val="24"/>
        </w:rPr>
        <w:t>juridique</w:t>
      </w:r>
      <w:r w:rsidR="00914967">
        <w:rPr>
          <w:rFonts w:ascii="Times New Roman" w:hAnsi="Times New Roman"/>
          <w:sz w:val="24"/>
          <w:szCs w:val="24"/>
        </w:rPr>
        <w:t>, légal</w:t>
      </w:r>
      <w:r>
        <w:rPr>
          <w:rFonts w:ascii="Times New Roman" w:hAnsi="Times New Roman"/>
          <w:sz w:val="24"/>
          <w:szCs w:val="24"/>
        </w:rPr>
        <w:t xml:space="preserve"> et institutionnelle</w:t>
      </w:r>
      <w:r w:rsidR="00914967">
        <w:rPr>
          <w:rFonts w:ascii="Times New Roman" w:hAnsi="Times New Roman"/>
          <w:sz w:val="24"/>
          <w:szCs w:val="24"/>
        </w:rPr>
        <w:t>, les informations relatives à l’analyse des variantes des sous-projets contenus dans les EIES de 2018 et 2019 ont été intégrées dans cette étude.</w:t>
      </w:r>
      <w:r>
        <w:rPr>
          <w:rFonts w:ascii="Times New Roman" w:hAnsi="Times New Roman"/>
          <w:sz w:val="24"/>
          <w:szCs w:val="24"/>
        </w:rPr>
        <w:t xml:space="preserve"> </w:t>
      </w:r>
      <w:r w:rsidR="00914967">
        <w:rPr>
          <w:rFonts w:ascii="Times New Roman" w:hAnsi="Times New Roman"/>
          <w:sz w:val="24"/>
          <w:szCs w:val="24"/>
        </w:rPr>
        <w:t xml:space="preserve"> Les autres informations tirées des anciennes versions des EIES ont été mise à jour pour se conformer aux TdR de la mission et au Cadre Environnemental et Social de la Banque.</w:t>
      </w:r>
    </w:p>
    <w:p w14:paraId="506E15AF" w14:textId="77777777" w:rsidR="00980F9C" w:rsidRPr="0015345E" w:rsidRDefault="00980F9C" w:rsidP="003D615E">
      <w:pPr>
        <w:numPr>
          <w:ilvl w:val="2"/>
          <w:numId w:val="21"/>
        </w:numPr>
        <w:spacing w:before="120" w:after="120" w:line="240" w:lineRule="auto"/>
        <w:jc w:val="both"/>
        <w:rPr>
          <w:rFonts w:ascii="Times New Roman" w:hAnsi="Times New Roman"/>
          <w:b/>
          <w:sz w:val="24"/>
          <w:szCs w:val="24"/>
        </w:rPr>
      </w:pPr>
      <w:r w:rsidRPr="0015345E">
        <w:rPr>
          <w:rFonts w:ascii="Times New Roman" w:hAnsi="Times New Roman"/>
          <w:b/>
          <w:sz w:val="24"/>
          <w:szCs w:val="24"/>
        </w:rPr>
        <w:t xml:space="preserve">Analyse des données et rédaction du rapport </w:t>
      </w:r>
    </w:p>
    <w:p w14:paraId="2A42BC0F" w14:textId="671E2049" w:rsidR="00980F9C" w:rsidRDefault="00980F9C" w:rsidP="00980F9C">
      <w:pPr>
        <w:spacing w:after="0" w:line="240" w:lineRule="auto"/>
        <w:jc w:val="both"/>
        <w:rPr>
          <w:rFonts w:ascii="Times New Roman" w:hAnsi="Times New Roman"/>
          <w:sz w:val="24"/>
          <w:szCs w:val="24"/>
        </w:rPr>
      </w:pPr>
      <w:r w:rsidRPr="00D75D2E">
        <w:rPr>
          <w:rFonts w:ascii="Times New Roman" w:hAnsi="Times New Roman"/>
          <w:sz w:val="24"/>
          <w:szCs w:val="24"/>
        </w:rPr>
        <w:t xml:space="preserve">Les données collectées ont été saisies et traitées </w:t>
      </w:r>
      <w:r w:rsidR="004D71EF">
        <w:rPr>
          <w:rFonts w:ascii="Times New Roman" w:hAnsi="Times New Roman"/>
          <w:sz w:val="24"/>
          <w:szCs w:val="24"/>
        </w:rPr>
        <w:t>dans</w:t>
      </w:r>
      <w:r w:rsidR="004D71EF" w:rsidRPr="00D75D2E">
        <w:rPr>
          <w:rFonts w:ascii="Times New Roman" w:hAnsi="Times New Roman"/>
          <w:sz w:val="24"/>
          <w:szCs w:val="24"/>
        </w:rPr>
        <w:t xml:space="preserve"> </w:t>
      </w:r>
      <w:r w:rsidRPr="00D75D2E">
        <w:rPr>
          <w:rFonts w:ascii="Times New Roman" w:hAnsi="Times New Roman"/>
          <w:sz w:val="24"/>
          <w:szCs w:val="24"/>
        </w:rPr>
        <w:t>le logiciel Excel puis analysées pour rédiger le rapport. Ce rapport de l’étude est rédigé en conformité avec le plan de rédaction consigné dans les TDR. Il sera restitué et les observations et les amendements seront pris en compte pour sa version finale.</w:t>
      </w:r>
      <w:r w:rsidR="001659F2">
        <w:rPr>
          <w:rFonts w:ascii="Times New Roman" w:hAnsi="Times New Roman"/>
          <w:sz w:val="24"/>
          <w:szCs w:val="24"/>
        </w:rPr>
        <w:t xml:space="preserve"> En ce qui concerne, l’identification des impacts du projet, la méthodologie utilisée a porté par la confrontation des composantes du milieu récepteur avec les activités de chaque phase du projet. Pour ce, la matrice de Léopold a été utilisé pour faciliter l’analyse des interactions entre les activités du sous-projet source d’impact et les milieux récepteurs. Cette matrice est mieux décrite au chapitre 6. </w:t>
      </w:r>
      <w:r w:rsidR="00DD2D7E" w:rsidRPr="00AE31F1">
        <w:rPr>
          <w:rFonts w:ascii="Times New Roman" w:hAnsi="Times New Roman"/>
          <w:sz w:val="24"/>
          <w:szCs w:val="24"/>
        </w:rPr>
        <w:t xml:space="preserve">L'évaluation de l'impact met à contribution la caractérisation des impacts. Les </w:t>
      </w:r>
      <w:r w:rsidR="00DD2D7E">
        <w:rPr>
          <w:rFonts w:ascii="Times New Roman" w:hAnsi="Times New Roman"/>
          <w:sz w:val="24"/>
          <w:szCs w:val="24"/>
        </w:rPr>
        <w:t>paramètres</w:t>
      </w:r>
      <w:r w:rsidR="00DD2D7E" w:rsidRPr="00AE31F1">
        <w:rPr>
          <w:rFonts w:ascii="Times New Roman" w:hAnsi="Times New Roman"/>
          <w:sz w:val="24"/>
          <w:szCs w:val="24"/>
        </w:rPr>
        <w:t xml:space="preserve"> utilisés pour cette caractérisation sont le type d'impact, la nature de l'interaction, l'intensité ou l'ampleur de l'impact, l'étendue ou la portée de l'impact et la durée de l'impact.</w:t>
      </w:r>
      <w:r w:rsidR="00DD2D7E">
        <w:rPr>
          <w:rFonts w:ascii="Times New Roman" w:hAnsi="Times New Roman"/>
          <w:sz w:val="24"/>
          <w:szCs w:val="24"/>
        </w:rPr>
        <w:t xml:space="preserve"> </w:t>
      </w:r>
    </w:p>
    <w:p w14:paraId="09C9912D" w14:textId="77777777" w:rsidR="00DB7100" w:rsidRDefault="00DB7100" w:rsidP="00980F9C">
      <w:pPr>
        <w:spacing w:after="0" w:line="240" w:lineRule="auto"/>
        <w:jc w:val="both"/>
        <w:rPr>
          <w:rFonts w:ascii="Times New Roman" w:hAnsi="Times New Roman"/>
          <w:sz w:val="24"/>
          <w:szCs w:val="24"/>
        </w:rPr>
      </w:pPr>
    </w:p>
    <w:p w14:paraId="5D354AFD" w14:textId="77777777" w:rsidR="00980F9C" w:rsidRPr="00D75D2E" w:rsidRDefault="00980F9C" w:rsidP="00326625">
      <w:pPr>
        <w:keepNext/>
        <w:keepLines/>
        <w:numPr>
          <w:ilvl w:val="1"/>
          <w:numId w:val="21"/>
        </w:numPr>
        <w:spacing w:before="120" w:after="120" w:line="240" w:lineRule="auto"/>
        <w:ind w:left="567" w:hanging="510"/>
        <w:outlineLvl w:val="1"/>
        <w:rPr>
          <w:rFonts w:ascii="Times New Roman" w:eastAsia="Times New Roman" w:hAnsi="Times New Roman"/>
          <w:b/>
          <w:sz w:val="24"/>
          <w:szCs w:val="24"/>
        </w:rPr>
      </w:pPr>
      <w:bookmarkStart w:id="57" w:name="_Toc28772360"/>
      <w:bookmarkStart w:id="58" w:name="_Toc29152081"/>
      <w:bookmarkStart w:id="59" w:name="_Toc103685601"/>
      <w:r w:rsidRPr="00D75D2E">
        <w:rPr>
          <w:rFonts w:ascii="Times New Roman" w:eastAsia="Times New Roman" w:hAnsi="Times New Roman"/>
          <w:b/>
          <w:sz w:val="24"/>
          <w:szCs w:val="24"/>
        </w:rPr>
        <w:t>Difficultés de l’étude</w:t>
      </w:r>
      <w:bookmarkEnd w:id="57"/>
      <w:bookmarkEnd w:id="58"/>
      <w:bookmarkEnd w:id="59"/>
    </w:p>
    <w:p w14:paraId="608AA6F2" w14:textId="696ECDF8" w:rsidR="00FA3013" w:rsidRPr="00D75D2E" w:rsidRDefault="00980F9C" w:rsidP="00980F9C">
      <w:pPr>
        <w:tabs>
          <w:tab w:val="left" w:pos="993"/>
        </w:tabs>
        <w:spacing w:after="0" w:line="240" w:lineRule="auto"/>
        <w:jc w:val="both"/>
        <w:rPr>
          <w:rFonts w:ascii="Times New Roman" w:hAnsi="Times New Roman"/>
          <w:sz w:val="24"/>
          <w:szCs w:val="24"/>
        </w:rPr>
      </w:pPr>
      <w:r w:rsidRPr="00D75D2E">
        <w:rPr>
          <w:rFonts w:ascii="Times New Roman" w:hAnsi="Times New Roman"/>
          <w:sz w:val="24"/>
          <w:szCs w:val="24"/>
        </w:rPr>
        <w:t>Les activités d’élaboration de l’EIES se sont bien déroulées avec la disponibilité et la collaboration des différents acteurs</w:t>
      </w:r>
      <w:r w:rsidR="00420141">
        <w:rPr>
          <w:rFonts w:ascii="Times New Roman" w:hAnsi="Times New Roman"/>
          <w:sz w:val="24"/>
          <w:szCs w:val="24"/>
        </w:rPr>
        <w:t>, à savoir</w:t>
      </w:r>
      <w:r w:rsidRPr="00D75D2E">
        <w:rPr>
          <w:rFonts w:ascii="Times New Roman" w:hAnsi="Times New Roman"/>
          <w:sz w:val="24"/>
          <w:szCs w:val="24"/>
        </w:rPr>
        <w:t xml:space="preserve"> : autorités municipales, administratives, les responsables des quartiers et rues, les populations de quartiers riverains aux </w:t>
      </w:r>
      <w:r w:rsidR="00FA3013" w:rsidRPr="00D75D2E">
        <w:rPr>
          <w:rFonts w:ascii="Times New Roman" w:hAnsi="Times New Roman"/>
          <w:sz w:val="24"/>
          <w:szCs w:val="24"/>
        </w:rPr>
        <w:t>lig</w:t>
      </w:r>
      <w:r w:rsidR="00420141">
        <w:rPr>
          <w:rFonts w:ascii="Times New Roman" w:hAnsi="Times New Roman"/>
          <w:sz w:val="24"/>
          <w:szCs w:val="24"/>
        </w:rPr>
        <w:t>n</w:t>
      </w:r>
      <w:r w:rsidR="00FA3013" w:rsidRPr="00D75D2E">
        <w:rPr>
          <w:rFonts w:ascii="Times New Roman" w:hAnsi="Times New Roman"/>
          <w:sz w:val="24"/>
          <w:szCs w:val="24"/>
        </w:rPr>
        <w:t>es électriques</w:t>
      </w:r>
      <w:r w:rsidRPr="00D75D2E">
        <w:rPr>
          <w:rFonts w:ascii="Times New Roman" w:hAnsi="Times New Roman"/>
          <w:sz w:val="24"/>
          <w:szCs w:val="24"/>
        </w:rPr>
        <w:t>, les représentants des femmes, des jeunes, des ONG et associations</w:t>
      </w:r>
      <w:r w:rsidR="00FA3013" w:rsidRPr="00D75D2E">
        <w:rPr>
          <w:rFonts w:ascii="Times New Roman" w:hAnsi="Times New Roman"/>
          <w:sz w:val="24"/>
          <w:szCs w:val="24"/>
        </w:rPr>
        <w:t>,</w:t>
      </w:r>
      <w:r w:rsidRPr="00D75D2E">
        <w:rPr>
          <w:rFonts w:ascii="Times New Roman" w:hAnsi="Times New Roman"/>
          <w:sz w:val="24"/>
          <w:szCs w:val="24"/>
        </w:rPr>
        <w:t xml:space="preserve"> etc. </w:t>
      </w:r>
      <w:r w:rsidR="00326625">
        <w:rPr>
          <w:rFonts w:ascii="Times New Roman" w:hAnsi="Times New Roman"/>
          <w:sz w:val="24"/>
          <w:szCs w:val="24"/>
        </w:rPr>
        <w:t xml:space="preserve">La plupart des emplacements des cabines mentionnés dans l’étude de faisabilité réalisée par </w:t>
      </w:r>
      <w:r w:rsidR="00DE5A2E">
        <w:rPr>
          <w:rFonts w:ascii="Times New Roman" w:hAnsi="Times New Roman"/>
          <w:sz w:val="24"/>
          <w:szCs w:val="24"/>
        </w:rPr>
        <w:t>AFRICAN GERMAN CONSULT</w:t>
      </w:r>
      <w:r w:rsidR="00326625">
        <w:rPr>
          <w:rFonts w:ascii="Times New Roman" w:hAnsi="Times New Roman"/>
          <w:sz w:val="24"/>
          <w:szCs w:val="24"/>
        </w:rPr>
        <w:t xml:space="preserve"> </w:t>
      </w:r>
      <w:r w:rsidR="000968D6">
        <w:rPr>
          <w:rFonts w:ascii="Times New Roman" w:hAnsi="Times New Roman"/>
          <w:sz w:val="24"/>
          <w:szCs w:val="24"/>
        </w:rPr>
        <w:t xml:space="preserve">(AGC) </w:t>
      </w:r>
      <w:r w:rsidR="00326625">
        <w:rPr>
          <w:rFonts w:ascii="Times New Roman" w:hAnsi="Times New Roman"/>
          <w:sz w:val="24"/>
          <w:szCs w:val="24"/>
        </w:rPr>
        <w:t xml:space="preserve">et initialement étudié en 2019 ont été emportés par les érosions hydriques, ce qui a nécessité après échange avec le client à la proposition des nouveaux emplacements en fonction des mesures d’optimisation. Ce temps d’optimisation et des échanges avec le client et le cabinet AGC a </w:t>
      </w:r>
      <w:r w:rsidR="001659F2">
        <w:rPr>
          <w:rFonts w:ascii="Times New Roman" w:hAnsi="Times New Roman"/>
          <w:sz w:val="24"/>
          <w:szCs w:val="24"/>
        </w:rPr>
        <w:t xml:space="preserve">consommé une bonne partie du temps de la mission. </w:t>
      </w:r>
    </w:p>
    <w:p w14:paraId="4233865A" w14:textId="77777777" w:rsidR="00FA3013" w:rsidRPr="00D75D2E" w:rsidRDefault="00980F9C" w:rsidP="00E737B4">
      <w:pPr>
        <w:tabs>
          <w:tab w:val="left" w:pos="993"/>
        </w:tabs>
        <w:spacing w:before="120" w:after="120" w:line="240" w:lineRule="auto"/>
        <w:jc w:val="both"/>
        <w:rPr>
          <w:rFonts w:ascii="Times New Roman" w:hAnsi="Times New Roman"/>
          <w:sz w:val="24"/>
          <w:szCs w:val="24"/>
        </w:rPr>
      </w:pPr>
      <w:r w:rsidRPr="00D75D2E">
        <w:rPr>
          <w:rFonts w:ascii="Times New Roman" w:hAnsi="Times New Roman"/>
          <w:sz w:val="24"/>
          <w:szCs w:val="24"/>
        </w:rPr>
        <w:t>Les difficultés rencontrées sont entre autres</w:t>
      </w:r>
      <w:r w:rsidR="00FA3013" w:rsidRPr="00D75D2E">
        <w:rPr>
          <w:rFonts w:ascii="Times New Roman" w:hAnsi="Times New Roman"/>
          <w:sz w:val="24"/>
          <w:szCs w:val="24"/>
        </w:rPr>
        <w:t> :</w:t>
      </w:r>
    </w:p>
    <w:p w14:paraId="4DB60EE0" w14:textId="0803D907" w:rsidR="00FA3013" w:rsidRPr="00D75D2E" w:rsidRDefault="00FA3013" w:rsidP="008C79F0">
      <w:pPr>
        <w:pStyle w:val="Paragraphedeliste"/>
        <w:numPr>
          <w:ilvl w:val="0"/>
          <w:numId w:val="140"/>
        </w:numPr>
        <w:tabs>
          <w:tab w:val="left" w:pos="993"/>
        </w:tabs>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l’acquisition tardive des </w:t>
      </w:r>
      <w:r w:rsidR="002B3522">
        <w:rPr>
          <w:rFonts w:ascii="Times New Roman" w:hAnsi="Times New Roman"/>
          <w:sz w:val="24"/>
          <w:szCs w:val="24"/>
        </w:rPr>
        <w:t xml:space="preserve">tracés des </w:t>
      </w:r>
      <w:r w:rsidRPr="00D75D2E">
        <w:rPr>
          <w:rFonts w:ascii="Times New Roman" w:hAnsi="Times New Roman"/>
          <w:sz w:val="24"/>
          <w:szCs w:val="24"/>
        </w:rPr>
        <w:t>lignes électriques, objets de l’étude qui a perturb</w:t>
      </w:r>
      <w:r w:rsidR="000F2319">
        <w:rPr>
          <w:rFonts w:ascii="Times New Roman" w:hAnsi="Times New Roman"/>
          <w:sz w:val="24"/>
          <w:szCs w:val="24"/>
        </w:rPr>
        <w:t>é</w:t>
      </w:r>
      <w:r w:rsidRPr="00D75D2E">
        <w:rPr>
          <w:rFonts w:ascii="Times New Roman" w:hAnsi="Times New Roman"/>
          <w:sz w:val="24"/>
          <w:szCs w:val="24"/>
        </w:rPr>
        <w:t xml:space="preserve"> le calendrier d’exécution des activités de recensement et d’inventaires des biens impactés ;</w:t>
      </w:r>
    </w:p>
    <w:p w14:paraId="5C657B98" w14:textId="77777777" w:rsidR="00FA3013" w:rsidRPr="00D75D2E" w:rsidRDefault="002C155B" w:rsidP="008C79F0">
      <w:pPr>
        <w:pStyle w:val="Paragraphedeliste"/>
        <w:numPr>
          <w:ilvl w:val="0"/>
          <w:numId w:val="140"/>
        </w:numPr>
        <w:tabs>
          <w:tab w:val="left" w:pos="993"/>
        </w:tabs>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le changement de l’itinéraire de certains tracés de lignes électriques du fait de l’érosion ; </w:t>
      </w:r>
    </w:p>
    <w:p w14:paraId="3C43565A" w14:textId="77777777" w:rsidR="002C155B" w:rsidRPr="00D75D2E" w:rsidRDefault="002C155B" w:rsidP="008C79F0">
      <w:pPr>
        <w:pStyle w:val="Paragraphedeliste"/>
        <w:numPr>
          <w:ilvl w:val="0"/>
          <w:numId w:val="140"/>
        </w:numPr>
        <w:tabs>
          <w:tab w:val="left" w:pos="993"/>
        </w:tabs>
        <w:spacing w:after="0" w:line="240" w:lineRule="auto"/>
        <w:ind w:left="567"/>
        <w:jc w:val="both"/>
        <w:rPr>
          <w:rFonts w:ascii="Times New Roman" w:hAnsi="Times New Roman"/>
          <w:sz w:val="24"/>
          <w:szCs w:val="24"/>
        </w:rPr>
      </w:pPr>
      <w:r w:rsidRPr="00D75D2E">
        <w:rPr>
          <w:rFonts w:ascii="Times New Roman" w:hAnsi="Times New Roman"/>
          <w:sz w:val="24"/>
          <w:szCs w:val="24"/>
        </w:rPr>
        <w:t>l’emprise des 14 m à considérer au début sur le réseau MALT qui n’a pas facilité l’avancée des activités de recensement en certains endroits du milieu urbain ;</w:t>
      </w:r>
    </w:p>
    <w:p w14:paraId="7E549641" w14:textId="77777777" w:rsidR="002C155B" w:rsidRPr="00D75D2E" w:rsidRDefault="002C155B" w:rsidP="008C79F0">
      <w:pPr>
        <w:pStyle w:val="Paragraphedeliste"/>
        <w:numPr>
          <w:ilvl w:val="0"/>
          <w:numId w:val="140"/>
        </w:numPr>
        <w:tabs>
          <w:tab w:val="left" w:pos="993"/>
        </w:tabs>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 </w:t>
      </w:r>
      <w:r w:rsidR="00980F9C" w:rsidRPr="00D75D2E">
        <w:rPr>
          <w:rFonts w:ascii="Times New Roman" w:hAnsi="Times New Roman"/>
          <w:sz w:val="24"/>
          <w:szCs w:val="24"/>
        </w:rPr>
        <w:t>l’</w:t>
      </w:r>
      <w:r w:rsidRPr="00D75D2E">
        <w:rPr>
          <w:rFonts w:ascii="Times New Roman" w:hAnsi="Times New Roman"/>
          <w:sz w:val="24"/>
          <w:szCs w:val="24"/>
        </w:rPr>
        <w:t>inaccessibilité de certains emplacement</w:t>
      </w:r>
      <w:r w:rsidR="000F2319">
        <w:rPr>
          <w:rFonts w:ascii="Times New Roman" w:hAnsi="Times New Roman"/>
          <w:sz w:val="24"/>
          <w:szCs w:val="24"/>
        </w:rPr>
        <w:t>s</w:t>
      </w:r>
      <w:r w:rsidRPr="00D75D2E">
        <w:rPr>
          <w:rFonts w:ascii="Times New Roman" w:hAnsi="Times New Roman"/>
          <w:sz w:val="24"/>
          <w:szCs w:val="24"/>
        </w:rPr>
        <w:t xml:space="preserve"> des cabines dans les parcelles privées ;</w:t>
      </w:r>
    </w:p>
    <w:p w14:paraId="091C559D" w14:textId="6E540422" w:rsidR="00A712F9" w:rsidRDefault="002B3522" w:rsidP="00A712F9">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l</w:t>
      </w:r>
      <w:r w:rsidR="002C155B" w:rsidRPr="00D75D2E">
        <w:rPr>
          <w:rFonts w:ascii="Times New Roman" w:hAnsi="Times New Roman"/>
          <w:sz w:val="24"/>
          <w:szCs w:val="24"/>
        </w:rPr>
        <w:t>es difficultés de retrouver certaines PAP</w:t>
      </w:r>
      <w:r w:rsidR="004D71EF">
        <w:rPr>
          <w:rFonts w:ascii="Times New Roman" w:hAnsi="Times New Roman"/>
          <w:sz w:val="24"/>
          <w:szCs w:val="24"/>
        </w:rPr>
        <w:t>.</w:t>
      </w:r>
    </w:p>
    <w:p w14:paraId="282F8E47" w14:textId="67DB0DE1" w:rsidR="00A712F9" w:rsidRDefault="00A712F9" w:rsidP="00A712F9">
      <w:pPr>
        <w:tabs>
          <w:tab w:val="left" w:pos="993"/>
        </w:tabs>
        <w:spacing w:after="0" w:line="240" w:lineRule="auto"/>
        <w:jc w:val="both"/>
        <w:rPr>
          <w:rFonts w:ascii="Times New Roman" w:hAnsi="Times New Roman"/>
          <w:sz w:val="24"/>
          <w:szCs w:val="24"/>
        </w:rPr>
      </w:pPr>
    </w:p>
    <w:p w14:paraId="59B04F85" w14:textId="7F792EB7" w:rsidR="00A712F9" w:rsidRDefault="00A712F9" w:rsidP="00A712F9">
      <w:pPr>
        <w:tabs>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Pour </w:t>
      </w:r>
      <w:r w:rsidR="00321989">
        <w:rPr>
          <w:rFonts w:ascii="Times New Roman" w:hAnsi="Times New Roman"/>
          <w:sz w:val="24"/>
          <w:szCs w:val="24"/>
        </w:rPr>
        <w:t>contourner ces difficultés, le C</w:t>
      </w:r>
      <w:r>
        <w:rPr>
          <w:rFonts w:ascii="Times New Roman" w:hAnsi="Times New Roman"/>
          <w:sz w:val="24"/>
          <w:szCs w:val="24"/>
        </w:rPr>
        <w:t>onsultant</w:t>
      </w:r>
      <w:r w:rsidR="00321989">
        <w:rPr>
          <w:rFonts w:ascii="Times New Roman" w:hAnsi="Times New Roman"/>
          <w:sz w:val="24"/>
          <w:szCs w:val="24"/>
        </w:rPr>
        <w:t xml:space="preserve"> a :</w:t>
      </w:r>
    </w:p>
    <w:p w14:paraId="670228D3" w14:textId="28001128" w:rsidR="00321989" w:rsidRDefault="00321989" w:rsidP="00A712F9">
      <w:pPr>
        <w:tabs>
          <w:tab w:val="left" w:pos="993"/>
        </w:tabs>
        <w:spacing w:after="0" w:line="240" w:lineRule="auto"/>
        <w:jc w:val="both"/>
        <w:rPr>
          <w:rFonts w:ascii="Times New Roman" w:hAnsi="Times New Roman"/>
          <w:sz w:val="24"/>
          <w:szCs w:val="24"/>
        </w:rPr>
      </w:pPr>
    </w:p>
    <w:p w14:paraId="259EE60D" w14:textId="6A7BE2D8" w:rsidR="00321989" w:rsidRDefault="00321989" w:rsidP="00215867">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Multipli</w:t>
      </w:r>
      <w:r w:rsidR="00F117AE">
        <w:rPr>
          <w:rFonts w:ascii="Times New Roman" w:hAnsi="Times New Roman"/>
          <w:sz w:val="24"/>
          <w:szCs w:val="24"/>
        </w:rPr>
        <w:t>é</w:t>
      </w:r>
      <w:r>
        <w:rPr>
          <w:rFonts w:ascii="Times New Roman" w:hAnsi="Times New Roman"/>
          <w:sz w:val="24"/>
          <w:szCs w:val="24"/>
        </w:rPr>
        <w:t xml:space="preserve"> </w:t>
      </w:r>
      <w:r w:rsidR="004E06C7">
        <w:rPr>
          <w:rFonts w:ascii="Times New Roman" w:hAnsi="Times New Roman"/>
          <w:sz w:val="24"/>
          <w:szCs w:val="24"/>
        </w:rPr>
        <w:t>l</w:t>
      </w:r>
      <w:r>
        <w:rPr>
          <w:rFonts w:ascii="Times New Roman" w:hAnsi="Times New Roman"/>
          <w:sz w:val="24"/>
          <w:szCs w:val="24"/>
        </w:rPr>
        <w:t>es équipes des enquêteurs sur terrain pour accélérer les activités de recensement et d’inventaires des biens impactés afin de respecter le calendrier et le délai convenu avec UCM</w:t>
      </w:r>
      <w:r w:rsidR="006B7B3E">
        <w:rPr>
          <w:rFonts w:ascii="Times New Roman" w:hAnsi="Times New Roman"/>
          <w:sz w:val="24"/>
          <w:szCs w:val="24"/>
        </w:rPr>
        <w:t> ;</w:t>
      </w:r>
    </w:p>
    <w:p w14:paraId="62515DF8" w14:textId="624D3757" w:rsidR="00321989" w:rsidRDefault="00321989" w:rsidP="00215867">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Propos</w:t>
      </w:r>
      <w:r w:rsidR="00F117AE">
        <w:rPr>
          <w:rFonts w:ascii="Times New Roman" w:hAnsi="Times New Roman"/>
          <w:sz w:val="24"/>
          <w:szCs w:val="24"/>
        </w:rPr>
        <w:t>é</w:t>
      </w:r>
      <w:r>
        <w:rPr>
          <w:rFonts w:ascii="Times New Roman" w:hAnsi="Times New Roman"/>
          <w:sz w:val="24"/>
          <w:szCs w:val="24"/>
        </w:rPr>
        <w:t xml:space="preserve"> des solutions d’optimisation et des nouveaux emplacements pour les cabines géo localisés sur les sites érosifs ;</w:t>
      </w:r>
    </w:p>
    <w:p w14:paraId="1E8261C3" w14:textId="5DC0583B" w:rsidR="00321989" w:rsidRDefault="0028654C" w:rsidP="00215867">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Pris une option optimale de réduire sensiblement l’emprise de 14m à 4m pour éviter les expropriations pour cause d’utilité publique ;</w:t>
      </w:r>
    </w:p>
    <w:p w14:paraId="3705C4B2" w14:textId="07890986" w:rsidR="0028654C" w:rsidRDefault="00DE5A2E" w:rsidP="00215867">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Négocier</w:t>
      </w:r>
      <w:r w:rsidR="0028654C">
        <w:rPr>
          <w:rFonts w:ascii="Times New Roman" w:hAnsi="Times New Roman"/>
          <w:sz w:val="24"/>
          <w:szCs w:val="24"/>
        </w:rPr>
        <w:t xml:space="preserve"> avec les propriétaires des parcelles pour exproprier les emplacements potentiels d’être impactés par les cabines ;</w:t>
      </w:r>
    </w:p>
    <w:p w14:paraId="7D3E2277" w14:textId="341782BE" w:rsidR="0028654C" w:rsidRPr="00215867" w:rsidRDefault="0028654C" w:rsidP="00215867">
      <w:pPr>
        <w:pStyle w:val="Paragraphedeliste"/>
        <w:numPr>
          <w:ilvl w:val="0"/>
          <w:numId w:val="140"/>
        </w:numPr>
        <w:tabs>
          <w:tab w:val="left" w:pos="993"/>
        </w:tabs>
        <w:spacing w:after="0" w:line="240" w:lineRule="auto"/>
        <w:ind w:left="567"/>
        <w:jc w:val="both"/>
        <w:rPr>
          <w:rFonts w:ascii="Times New Roman" w:hAnsi="Times New Roman"/>
          <w:sz w:val="24"/>
          <w:szCs w:val="24"/>
        </w:rPr>
      </w:pPr>
      <w:r>
        <w:rPr>
          <w:rFonts w:ascii="Times New Roman" w:hAnsi="Times New Roman"/>
          <w:sz w:val="24"/>
          <w:szCs w:val="24"/>
        </w:rPr>
        <w:t>Pris contact avec les chefs des quartiers, chefs d’avenues et les chefs coutumiers de cette juridiction pour avoir des informations sur l’identité et le numéro de téléphone des Personnes Affectées par le Projet (PAP)</w:t>
      </w:r>
      <w:r w:rsidR="00DB7100">
        <w:rPr>
          <w:rFonts w:ascii="Times New Roman" w:hAnsi="Times New Roman"/>
          <w:sz w:val="24"/>
          <w:szCs w:val="24"/>
        </w:rPr>
        <w:t xml:space="preserve"> propriétaires de terrain</w:t>
      </w:r>
      <w:r w:rsidR="0081725D">
        <w:rPr>
          <w:rFonts w:ascii="Times New Roman" w:hAnsi="Times New Roman"/>
          <w:sz w:val="24"/>
          <w:szCs w:val="24"/>
        </w:rPr>
        <w:t>s</w:t>
      </w:r>
      <w:r w:rsidR="00DB7100">
        <w:rPr>
          <w:rFonts w:ascii="Times New Roman" w:hAnsi="Times New Roman"/>
          <w:sz w:val="24"/>
          <w:szCs w:val="24"/>
        </w:rPr>
        <w:t xml:space="preserve"> vide</w:t>
      </w:r>
      <w:r w:rsidR="0081725D">
        <w:rPr>
          <w:rFonts w:ascii="Times New Roman" w:hAnsi="Times New Roman"/>
          <w:sz w:val="24"/>
          <w:szCs w:val="24"/>
        </w:rPr>
        <w:t>s</w:t>
      </w:r>
      <w:r w:rsidR="00DB7100">
        <w:rPr>
          <w:rFonts w:ascii="Times New Roman" w:hAnsi="Times New Roman"/>
          <w:sz w:val="24"/>
          <w:szCs w:val="24"/>
        </w:rPr>
        <w:t xml:space="preserve"> sans aucune construction</w:t>
      </w:r>
      <w:r>
        <w:rPr>
          <w:rFonts w:ascii="Times New Roman" w:hAnsi="Times New Roman"/>
          <w:sz w:val="24"/>
          <w:szCs w:val="24"/>
        </w:rPr>
        <w:t>.</w:t>
      </w:r>
    </w:p>
    <w:p w14:paraId="5F70D500" w14:textId="77777777" w:rsidR="00980F9C" w:rsidRPr="00D75D2E" w:rsidRDefault="00980F9C" w:rsidP="008C79F0">
      <w:pPr>
        <w:keepNext/>
        <w:keepLines/>
        <w:numPr>
          <w:ilvl w:val="1"/>
          <w:numId w:val="21"/>
        </w:numPr>
        <w:spacing w:before="120" w:after="120" w:line="240" w:lineRule="auto"/>
        <w:ind w:left="567" w:hanging="510"/>
        <w:outlineLvl w:val="1"/>
        <w:rPr>
          <w:rFonts w:ascii="Times New Roman" w:eastAsia="Times New Roman" w:hAnsi="Times New Roman"/>
          <w:b/>
          <w:sz w:val="24"/>
          <w:szCs w:val="24"/>
        </w:rPr>
      </w:pPr>
      <w:bookmarkStart w:id="60" w:name="_Toc29152082"/>
      <w:bookmarkStart w:id="61" w:name="_Toc103685602"/>
      <w:r w:rsidRPr="00D75D2E">
        <w:rPr>
          <w:rFonts w:ascii="Times New Roman" w:eastAsia="Times New Roman" w:hAnsi="Times New Roman"/>
          <w:b/>
          <w:sz w:val="24"/>
          <w:szCs w:val="24"/>
        </w:rPr>
        <w:t>Structuration du rapport</w:t>
      </w:r>
      <w:bookmarkEnd w:id="60"/>
      <w:bookmarkEnd w:id="61"/>
      <w:r w:rsidRPr="00D75D2E">
        <w:rPr>
          <w:rFonts w:ascii="Times New Roman" w:eastAsia="Times New Roman" w:hAnsi="Times New Roman"/>
          <w:b/>
          <w:sz w:val="24"/>
          <w:szCs w:val="24"/>
        </w:rPr>
        <w:t xml:space="preserve"> </w:t>
      </w:r>
    </w:p>
    <w:p w14:paraId="06A83ED0" w14:textId="77777777" w:rsidR="00980F9C" w:rsidRPr="00D75D2E" w:rsidRDefault="00980F9C" w:rsidP="00E737B4">
      <w:pPr>
        <w:tabs>
          <w:tab w:val="left" w:pos="916"/>
          <w:tab w:val="left" w:pos="1832"/>
          <w:tab w:val="left" w:pos="2748"/>
          <w:tab w:val="left" w:pos="3664"/>
          <w:tab w:val="left" w:pos="4580"/>
          <w:tab w:val="left" w:pos="5496"/>
          <w:tab w:val="left" w:pos="6412"/>
          <w:tab w:val="left" w:pos="7328"/>
          <w:tab w:val="left" w:pos="7836"/>
        </w:tabs>
        <w:suppressAutoHyphens/>
        <w:spacing w:before="120" w:after="120" w:line="240" w:lineRule="auto"/>
        <w:jc w:val="both"/>
        <w:rPr>
          <w:rFonts w:ascii="Times New Roman" w:hAnsi="Times New Roman"/>
          <w:sz w:val="24"/>
          <w:szCs w:val="24"/>
        </w:rPr>
      </w:pPr>
      <w:r w:rsidRPr="00D75D2E">
        <w:rPr>
          <w:rFonts w:ascii="Times New Roman" w:eastAsia="SimSun" w:hAnsi="Times New Roman"/>
          <w:sz w:val="24"/>
          <w:szCs w:val="24"/>
          <w:lang w:val="x-none" w:eastAsia="x-none"/>
        </w:rPr>
        <w:t xml:space="preserve">Le présent rapport est </w:t>
      </w:r>
      <w:r w:rsidRPr="00D75D2E">
        <w:rPr>
          <w:rFonts w:ascii="Times New Roman" w:hAnsi="Times New Roman"/>
          <w:sz w:val="24"/>
          <w:szCs w:val="24"/>
        </w:rPr>
        <w:t>structuré de la manière suivante :</w:t>
      </w:r>
    </w:p>
    <w:p w14:paraId="7F7E74EB" w14:textId="77777777" w:rsidR="008A36DE" w:rsidRPr="00D75D2E" w:rsidRDefault="008A36DE" w:rsidP="00DA38C0">
      <w:pPr>
        <w:pStyle w:val="Paragraphedeliste"/>
        <w:spacing w:after="0" w:line="240" w:lineRule="auto"/>
        <w:jc w:val="both"/>
        <w:rPr>
          <w:rFonts w:ascii="Times New Roman" w:eastAsia="Times New Roman" w:hAnsi="Times New Roman"/>
          <w:sz w:val="24"/>
          <w:szCs w:val="24"/>
        </w:rPr>
      </w:pPr>
      <w:r w:rsidRPr="00D75D2E">
        <w:rPr>
          <w:rFonts w:ascii="Times New Roman" w:eastAsia="Times New Roman" w:hAnsi="Times New Roman"/>
          <w:sz w:val="24"/>
          <w:szCs w:val="24"/>
        </w:rPr>
        <w:t>Page de garde</w:t>
      </w:r>
    </w:p>
    <w:p w14:paraId="315866E4" w14:textId="77777777" w:rsidR="008A36DE" w:rsidRPr="00D75D2E" w:rsidRDefault="008A36DE" w:rsidP="00DA38C0">
      <w:pPr>
        <w:pStyle w:val="Paragraphedeliste"/>
        <w:spacing w:after="0" w:line="240" w:lineRule="auto"/>
        <w:jc w:val="both"/>
        <w:rPr>
          <w:rFonts w:ascii="Times New Roman" w:eastAsia="Times New Roman" w:hAnsi="Times New Roman"/>
          <w:sz w:val="24"/>
          <w:szCs w:val="24"/>
        </w:rPr>
      </w:pPr>
      <w:r w:rsidRPr="00D75D2E">
        <w:rPr>
          <w:rFonts w:ascii="Times New Roman" w:eastAsia="Times New Roman" w:hAnsi="Times New Roman"/>
          <w:sz w:val="24"/>
          <w:szCs w:val="24"/>
        </w:rPr>
        <w:t>Table des matières</w:t>
      </w:r>
    </w:p>
    <w:p w14:paraId="276FF4B3" w14:textId="77777777" w:rsidR="008A36DE" w:rsidRPr="00D75D2E" w:rsidRDefault="008A36DE" w:rsidP="00DA38C0">
      <w:pPr>
        <w:pStyle w:val="Paragraphedeliste"/>
        <w:spacing w:after="0" w:line="240" w:lineRule="auto"/>
        <w:jc w:val="both"/>
        <w:rPr>
          <w:rFonts w:ascii="Times New Roman" w:hAnsi="Times New Roman"/>
          <w:sz w:val="24"/>
          <w:szCs w:val="24"/>
        </w:rPr>
      </w:pPr>
      <w:r w:rsidRPr="00D75D2E">
        <w:rPr>
          <w:rFonts w:ascii="Times New Roman" w:eastAsia="Times New Roman" w:hAnsi="Times New Roman"/>
          <w:sz w:val="24"/>
          <w:szCs w:val="24"/>
        </w:rPr>
        <w:t>Liste des sigles et abréviations</w:t>
      </w:r>
    </w:p>
    <w:p w14:paraId="0D0B2F87" w14:textId="328F2FE1" w:rsidR="008A36DE"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D75D2E">
        <w:rPr>
          <w:rFonts w:ascii="Times New Roman" w:hAnsi="Times New Roman"/>
          <w:sz w:val="24"/>
          <w:szCs w:val="24"/>
        </w:rPr>
        <w:t>Résumé exécutif </w:t>
      </w:r>
      <w:r w:rsidRPr="00D75D2E">
        <w:rPr>
          <w:rFonts w:ascii="Times New Roman" w:eastAsia="Times New Roman" w:hAnsi="Times New Roman"/>
          <w:sz w:val="24"/>
          <w:szCs w:val="24"/>
        </w:rPr>
        <w:t>en français, anglais et langue lingala</w:t>
      </w:r>
      <w:r w:rsidRPr="00D75D2E">
        <w:rPr>
          <w:rFonts w:ascii="Times New Roman" w:hAnsi="Times New Roman"/>
          <w:sz w:val="24"/>
          <w:szCs w:val="24"/>
        </w:rPr>
        <w:t xml:space="preserve"> : </w:t>
      </w:r>
    </w:p>
    <w:p w14:paraId="0848E650" w14:textId="77777777" w:rsidR="00815B52" w:rsidRPr="0004235D" w:rsidRDefault="00815B52" w:rsidP="00815B52">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04235D">
        <w:rPr>
          <w:rFonts w:ascii="Times New Roman" w:hAnsi="Times New Roman"/>
          <w:sz w:val="24"/>
          <w:szCs w:val="24"/>
        </w:rPr>
        <w:t>Description du projet</w:t>
      </w:r>
    </w:p>
    <w:p w14:paraId="012AFFE0" w14:textId="77777777" w:rsidR="008A36DE" w:rsidRPr="0004235D"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D75D2E">
        <w:rPr>
          <w:rFonts w:ascii="Times New Roman" w:hAnsi="Times New Roman"/>
          <w:sz w:val="24"/>
          <w:szCs w:val="24"/>
        </w:rPr>
        <w:t>Cadre politique</w:t>
      </w:r>
      <w:r w:rsidRPr="004D71EF">
        <w:rPr>
          <w:rFonts w:ascii="Times New Roman" w:hAnsi="Times New Roman"/>
          <w:sz w:val="24"/>
          <w:szCs w:val="24"/>
        </w:rPr>
        <w:t xml:space="preserve">, </w:t>
      </w:r>
      <w:r w:rsidRPr="0004235D">
        <w:rPr>
          <w:rFonts w:ascii="Times New Roman" w:hAnsi="Times New Roman"/>
          <w:sz w:val="24"/>
          <w:szCs w:val="24"/>
        </w:rPr>
        <w:t>juridique et institutionnel</w:t>
      </w:r>
    </w:p>
    <w:p w14:paraId="41E5D5B5" w14:textId="77777777" w:rsidR="008A36DE" w:rsidRPr="00B86B2D"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B86B2D">
        <w:rPr>
          <w:rFonts w:ascii="Times New Roman" w:hAnsi="Times New Roman"/>
          <w:sz w:val="24"/>
          <w:szCs w:val="24"/>
        </w:rPr>
        <w:t>Données de base</w:t>
      </w:r>
    </w:p>
    <w:p w14:paraId="29445234" w14:textId="77777777" w:rsidR="008A36DE" w:rsidRPr="0025665A"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B86B2D">
        <w:rPr>
          <w:rFonts w:ascii="Times New Roman" w:hAnsi="Times New Roman"/>
          <w:sz w:val="24"/>
          <w:szCs w:val="24"/>
        </w:rPr>
        <w:t xml:space="preserve">Risques et </w:t>
      </w:r>
      <w:r w:rsidRPr="0025665A">
        <w:rPr>
          <w:rFonts w:ascii="Times New Roman" w:hAnsi="Times New Roman"/>
          <w:sz w:val="24"/>
          <w:szCs w:val="24"/>
        </w:rPr>
        <w:t>effets environnementaux et sociaux</w:t>
      </w:r>
    </w:p>
    <w:p w14:paraId="3D125960" w14:textId="77777777" w:rsidR="008A36DE" w:rsidRPr="00B832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C4359F">
        <w:rPr>
          <w:rFonts w:ascii="Times New Roman" w:hAnsi="Times New Roman"/>
          <w:sz w:val="24"/>
          <w:szCs w:val="24"/>
        </w:rPr>
        <w:t>Mesures</w:t>
      </w:r>
      <w:r w:rsidRPr="00B832EF">
        <w:rPr>
          <w:rFonts w:ascii="Times New Roman" w:hAnsi="Times New Roman"/>
          <w:sz w:val="24"/>
          <w:szCs w:val="24"/>
        </w:rPr>
        <w:t xml:space="preserve"> d’atténuation</w:t>
      </w:r>
    </w:p>
    <w:p w14:paraId="03FB9278" w14:textId="77777777" w:rsidR="008A36DE" w:rsidRPr="004D71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4D71EF">
        <w:rPr>
          <w:rFonts w:ascii="Times New Roman" w:hAnsi="Times New Roman"/>
          <w:sz w:val="24"/>
          <w:szCs w:val="24"/>
        </w:rPr>
        <w:t>Analyse des solutions de rechange</w:t>
      </w:r>
    </w:p>
    <w:p w14:paraId="652EA9DB" w14:textId="77777777" w:rsidR="008A36DE" w:rsidRPr="004D71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4D71EF">
        <w:rPr>
          <w:rFonts w:ascii="Times New Roman" w:hAnsi="Times New Roman"/>
          <w:sz w:val="24"/>
          <w:szCs w:val="24"/>
        </w:rPr>
        <w:t>Conception du projet</w:t>
      </w:r>
    </w:p>
    <w:p w14:paraId="4A373377" w14:textId="77777777" w:rsidR="008A36DE" w:rsidRPr="004D71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4D71EF">
        <w:rPr>
          <w:rFonts w:ascii="Times New Roman" w:hAnsi="Times New Roman"/>
          <w:sz w:val="24"/>
          <w:szCs w:val="24"/>
        </w:rPr>
        <w:t xml:space="preserve">Mesures et actions </w:t>
      </w:r>
      <w:r w:rsidR="002B3522">
        <w:rPr>
          <w:rFonts w:ascii="Times New Roman" w:hAnsi="Times New Roman"/>
          <w:sz w:val="24"/>
          <w:szCs w:val="24"/>
        </w:rPr>
        <w:t xml:space="preserve">- </w:t>
      </w:r>
      <w:r w:rsidRPr="004D71EF">
        <w:rPr>
          <w:rFonts w:ascii="Times New Roman" w:hAnsi="Times New Roman"/>
          <w:sz w:val="24"/>
          <w:szCs w:val="24"/>
        </w:rPr>
        <w:t>clés du Plan d’engagement environnemental et social (PEES)</w:t>
      </w:r>
    </w:p>
    <w:p w14:paraId="42BE2E34" w14:textId="77777777" w:rsidR="008A36DE" w:rsidRPr="004D71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4D71EF">
        <w:rPr>
          <w:rFonts w:ascii="Times New Roman" w:hAnsi="Times New Roman"/>
          <w:sz w:val="24"/>
          <w:szCs w:val="24"/>
        </w:rPr>
        <w:t>Consultation publique</w:t>
      </w:r>
    </w:p>
    <w:p w14:paraId="14FF4FCB" w14:textId="77777777" w:rsidR="008A36DE" w:rsidRPr="004D71EF" w:rsidRDefault="008A36DE" w:rsidP="008C79F0">
      <w:pPr>
        <w:pStyle w:val="Paragraphedeliste"/>
        <w:numPr>
          <w:ilvl w:val="0"/>
          <w:numId w:val="141"/>
        </w:numPr>
        <w:autoSpaceDE w:val="0"/>
        <w:autoSpaceDN w:val="0"/>
        <w:adjustRightInd w:val="0"/>
        <w:spacing w:after="0" w:line="240" w:lineRule="auto"/>
        <w:ind w:left="709" w:hanging="425"/>
        <w:contextualSpacing w:val="0"/>
        <w:jc w:val="both"/>
        <w:rPr>
          <w:rFonts w:ascii="Times New Roman" w:hAnsi="Times New Roman"/>
          <w:sz w:val="24"/>
          <w:szCs w:val="24"/>
        </w:rPr>
      </w:pPr>
      <w:r w:rsidRPr="004D71EF">
        <w:rPr>
          <w:rFonts w:ascii="Times New Roman" w:hAnsi="Times New Roman"/>
          <w:sz w:val="24"/>
          <w:szCs w:val="24"/>
        </w:rPr>
        <w:t>PGES</w:t>
      </w:r>
    </w:p>
    <w:p w14:paraId="21A4DC7D" w14:textId="77777777" w:rsidR="008A36DE" w:rsidRPr="004D71EF" w:rsidRDefault="008A36DE" w:rsidP="008C79F0">
      <w:pPr>
        <w:pStyle w:val="Paragraphedeliste"/>
        <w:numPr>
          <w:ilvl w:val="0"/>
          <w:numId w:val="142"/>
        </w:numPr>
        <w:autoSpaceDE w:val="0"/>
        <w:autoSpaceDN w:val="0"/>
        <w:adjustRightInd w:val="0"/>
        <w:spacing w:after="0" w:line="240" w:lineRule="auto"/>
        <w:ind w:left="1069"/>
        <w:jc w:val="both"/>
        <w:rPr>
          <w:rFonts w:ascii="Times New Roman" w:hAnsi="Times New Roman"/>
          <w:sz w:val="24"/>
          <w:szCs w:val="24"/>
        </w:rPr>
      </w:pPr>
      <w:r w:rsidRPr="004D71EF">
        <w:rPr>
          <w:rFonts w:ascii="Times New Roman" w:hAnsi="Times New Roman"/>
          <w:sz w:val="24"/>
          <w:szCs w:val="24"/>
        </w:rPr>
        <w:t>Atténuation</w:t>
      </w:r>
    </w:p>
    <w:p w14:paraId="4CAB74A9" w14:textId="77777777" w:rsidR="008A36DE" w:rsidRPr="004D71EF" w:rsidRDefault="008A36DE" w:rsidP="008C79F0">
      <w:pPr>
        <w:pStyle w:val="Paragraphedeliste"/>
        <w:numPr>
          <w:ilvl w:val="0"/>
          <w:numId w:val="142"/>
        </w:numPr>
        <w:autoSpaceDE w:val="0"/>
        <w:autoSpaceDN w:val="0"/>
        <w:adjustRightInd w:val="0"/>
        <w:spacing w:after="0" w:line="240" w:lineRule="auto"/>
        <w:ind w:left="1069"/>
        <w:jc w:val="both"/>
        <w:rPr>
          <w:rFonts w:ascii="Times New Roman" w:hAnsi="Times New Roman"/>
          <w:sz w:val="24"/>
          <w:szCs w:val="24"/>
        </w:rPr>
      </w:pPr>
      <w:r w:rsidRPr="004D71EF">
        <w:rPr>
          <w:rFonts w:ascii="Times New Roman" w:hAnsi="Times New Roman"/>
          <w:sz w:val="24"/>
          <w:szCs w:val="24"/>
        </w:rPr>
        <w:t>Suivi</w:t>
      </w:r>
    </w:p>
    <w:p w14:paraId="68A75BA5" w14:textId="77777777" w:rsidR="008A36DE" w:rsidRPr="004D71EF" w:rsidRDefault="008A36DE" w:rsidP="008C79F0">
      <w:pPr>
        <w:pStyle w:val="Paragraphedeliste"/>
        <w:numPr>
          <w:ilvl w:val="0"/>
          <w:numId w:val="142"/>
        </w:numPr>
        <w:autoSpaceDE w:val="0"/>
        <w:autoSpaceDN w:val="0"/>
        <w:adjustRightInd w:val="0"/>
        <w:spacing w:after="0" w:line="240" w:lineRule="auto"/>
        <w:ind w:left="1069"/>
        <w:jc w:val="both"/>
        <w:rPr>
          <w:rFonts w:ascii="Times New Roman" w:hAnsi="Times New Roman"/>
          <w:sz w:val="24"/>
          <w:szCs w:val="24"/>
        </w:rPr>
      </w:pPr>
      <w:r w:rsidRPr="004D71EF">
        <w:rPr>
          <w:rFonts w:ascii="Times New Roman" w:hAnsi="Times New Roman"/>
          <w:sz w:val="24"/>
          <w:szCs w:val="24"/>
        </w:rPr>
        <w:t>Renforcement des capacités et formation</w:t>
      </w:r>
    </w:p>
    <w:p w14:paraId="7773CA7D" w14:textId="77777777" w:rsidR="008A36DE" w:rsidRPr="00D75D2E" w:rsidRDefault="008A36DE" w:rsidP="008C79F0">
      <w:pPr>
        <w:pStyle w:val="Paragraphedeliste"/>
        <w:numPr>
          <w:ilvl w:val="0"/>
          <w:numId w:val="142"/>
        </w:numPr>
        <w:autoSpaceDE w:val="0"/>
        <w:autoSpaceDN w:val="0"/>
        <w:adjustRightInd w:val="0"/>
        <w:spacing w:after="0" w:line="240" w:lineRule="auto"/>
        <w:ind w:left="1069"/>
        <w:jc w:val="both"/>
        <w:rPr>
          <w:rFonts w:ascii="Times New Roman" w:hAnsi="Times New Roman"/>
          <w:sz w:val="24"/>
          <w:szCs w:val="24"/>
        </w:rPr>
      </w:pPr>
      <w:r w:rsidRPr="00D75D2E">
        <w:rPr>
          <w:rFonts w:ascii="Times New Roman" w:hAnsi="Times New Roman"/>
          <w:sz w:val="24"/>
          <w:szCs w:val="24"/>
        </w:rPr>
        <w:t>Calendrier d’exécution et estimation des coûts</w:t>
      </w:r>
    </w:p>
    <w:p w14:paraId="302C1FC9" w14:textId="77777777" w:rsidR="008A36DE" w:rsidRPr="00D75D2E" w:rsidRDefault="008A36DE" w:rsidP="008C79F0">
      <w:pPr>
        <w:pStyle w:val="Paragraphedeliste"/>
        <w:numPr>
          <w:ilvl w:val="0"/>
          <w:numId w:val="142"/>
        </w:numPr>
        <w:autoSpaceDE w:val="0"/>
        <w:autoSpaceDN w:val="0"/>
        <w:adjustRightInd w:val="0"/>
        <w:spacing w:after="0" w:line="240" w:lineRule="auto"/>
        <w:ind w:left="1069"/>
        <w:jc w:val="both"/>
        <w:rPr>
          <w:rFonts w:ascii="Times New Roman" w:hAnsi="Times New Roman"/>
          <w:sz w:val="24"/>
          <w:szCs w:val="24"/>
        </w:rPr>
      </w:pPr>
      <w:r w:rsidRPr="00D75D2E">
        <w:rPr>
          <w:rFonts w:ascii="Times New Roman" w:hAnsi="Times New Roman"/>
          <w:sz w:val="24"/>
          <w:szCs w:val="24"/>
        </w:rPr>
        <w:t>Appendices</w:t>
      </w:r>
    </w:p>
    <w:p w14:paraId="27CC3DF5" w14:textId="77777777" w:rsidR="008A36DE" w:rsidRPr="00D75D2E" w:rsidRDefault="008A36DE">
      <w:pPr>
        <w:rPr>
          <w:rFonts w:ascii="Times New Roman" w:hAnsi="Times New Roman"/>
          <w:sz w:val="24"/>
          <w:szCs w:val="24"/>
        </w:rPr>
      </w:pPr>
    </w:p>
    <w:p w14:paraId="6171B4F9" w14:textId="77777777" w:rsidR="008A36DE" w:rsidRPr="00D75D2E" w:rsidRDefault="008A36DE">
      <w:pPr>
        <w:rPr>
          <w:rFonts w:ascii="Times New Roman" w:hAnsi="Times New Roman"/>
          <w:sz w:val="24"/>
          <w:szCs w:val="24"/>
        </w:rPr>
      </w:pPr>
    </w:p>
    <w:p w14:paraId="62388D8C" w14:textId="77777777" w:rsidR="008A36DE" w:rsidRPr="00D75D2E" w:rsidRDefault="008A36DE">
      <w:pPr>
        <w:rPr>
          <w:rFonts w:ascii="Times New Roman" w:hAnsi="Times New Roman"/>
          <w:sz w:val="24"/>
          <w:szCs w:val="24"/>
        </w:rPr>
      </w:pPr>
    </w:p>
    <w:p w14:paraId="2E9B0C93" w14:textId="77777777" w:rsidR="00221268" w:rsidRPr="00D75D2E" w:rsidRDefault="00221268">
      <w:pPr>
        <w:rPr>
          <w:rFonts w:ascii="Times New Roman" w:hAnsi="Times New Roman"/>
          <w:sz w:val="24"/>
          <w:szCs w:val="24"/>
        </w:rPr>
      </w:pPr>
    </w:p>
    <w:p w14:paraId="0D3E3FA4" w14:textId="77777777" w:rsidR="00221268" w:rsidRPr="00D75D2E" w:rsidRDefault="00221268">
      <w:pPr>
        <w:rPr>
          <w:rFonts w:ascii="Times New Roman" w:hAnsi="Times New Roman"/>
          <w:sz w:val="24"/>
          <w:szCs w:val="24"/>
        </w:rPr>
      </w:pPr>
    </w:p>
    <w:p w14:paraId="281C410F" w14:textId="77777777" w:rsidR="00221268" w:rsidRPr="00D75D2E" w:rsidRDefault="00221268">
      <w:pPr>
        <w:rPr>
          <w:rFonts w:ascii="Times New Roman" w:hAnsi="Times New Roman"/>
          <w:sz w:val="24"/>
          <w:szCs w:val="24"/>
        </w:rPr>
      </w:pPr>
      <w:r w:rsidRPr="00D75D2E">
        <w:rPr>
          <w:rFonts w:ascii="Times New Roman" w:hAnsi="Times New Roman"/>
          <w:sz w:val="24"/>
          <w:szCs w:val="24"/>
        </w:rPr>
        <w:br w:type="page"/>
      </w:r>
    </w:p>
    <w:p w14:paraId="5EF8A50E" w14:textId="6D0E0705" w:rsidR="00221268" w:rsidRPr="00D75D2E" w:rsidRDefault="00221268" w:rsidP="008C79F0">
      <w:pPr>
        <w:pStyle w:val="Titre1"/>
        <w:numPr>
          <w:ilvl w:val="0"/>
          <w:numId w:val="54"/>
        </w:numPr>
        <w:spacing w:after="120"/>
        <w:ind w:left="357" w:hanging="357"/>
      </w:pPr>
      <w:bookmarkStart w:id="62" w:name="_Toc103685603"/>
      <w:bookmarkStart w:id="63" w:name="_Toc452538231"/>
      <w:bookmarkStart w:id="64" w:name="_Toc519050463"/>
      <w:r w:rsidRPr="00D75D2E">
        <w:t>CADRE POLITIQUE, JURIDIQUE ET INSTITUTIONNEL</w:t>
      </w:r>
      <w:bookmarkEnd w:id="62"/>
      <w:r w:rsidRPr="00D75D2E">
        <w:t xml:space="preserve"> </w:t>
      </w:r>
      <w:bookmarkEnd w:id="63"/>
      <w:bookmarkEnd w:id="64"/>
    </w:p>
    <w:p w14:paraId="03E0E44E" w14:textId="77777777" w:rsidR="00221268" w:rsidRPr="00D75D2E" w:rsidRDefault="00221268" w:rsidP="00E737B4">
      <w:pPr>
        <w:spacing w:before="120" w:after="120" w:line="240" w:lineRule="auto"/>
        <w:jc w:val="both"/>
      </w:pPr>
      <w:r w:rsidRPr="00D75D2E">
        <w:rPr>
          <w:rFonts w:ascii="Times New Roman" w:eastAsia="Times New Roman" w:hAnsi="Times New Roman"/>
          <w:sz w:val="24"/>
          <w:szCs w:val="24"/>
          <w:lang w:eastAsia="fr-FR"/>
        </w:rPr>
        <w:t xml:space="preserve">Le présent </w:t>
      </w:r>
      <w:r w:rsidRPr="0004235D">
        <w:rPr>
          <w:rFonts w:ascii="Times New Roman" w:eastAsia="Times New Roman" w:hAnsi="Times New Roman"/>
          <w:sz w:val="24"/>
          <w:szCs w:val="24"/>
          <w:lang w:eastAsia="fr-FR"/>
        </w:rPr>
        <w:t>chapitre décrit le cadre politique, juridique, et institutionnel du projet dans lequel s’inscrit l’évaluation environnementale et sociale, y compris les questions énoncées au paragraphe 26 de la NES n°1. Il compare le cadre environnemental et social de l’Emprunteur avec les NES et fait ressortir les différences entre les deux. Enfin, énonce et évalue les dispositions environnementales et sociales de toutes les entités participant au financement du projet</w:t>
      </w:r>
      <w:r w:rsidRPr="00B86B2D">
        <w:rPr>
          <w:rFonts w:ascii="Times New Roman" w:eastAsia="Times New Roman" w:hAnsi="Times New Roman"/>
          <w:sz w:val="24"/>
          <w:szCs w:val="24"/>
          <w:lang w:eastAsia="fr-FR"/>
        </w:rPr>
        <w:t>.</w:t>
      </w:r>
    </w:p>
    <w:p w14:paraId="65A32C1F" w14:textId="3B12AFCD" w:rsidR="00221268" w:rsidRPr="00D75D2E" w:rsidRDefault="00221268" w:rsidP="008C79F0">
      <w:pPr>
        <w:pStyle w:val="Titre1"/>
        <w:numPr>
          <w:ilvl w:val="1"/>
          <w:numId w:val="54"/>
        </w:numPr>
        <w:spacing w:before="120" w:after="120" w:line="240" w:lineRule="auto"/>
        <w:ind w:left="788" w:hanging="431"/>
        <w:jc w:val="both"/>
        <w:rPr>
          <w:szCs w:val="24"/>
          <w:lang w:eastAsia="fr-FR"/>
        </w:rPr>
      </w:pPr>
      <w:bookmarkStart w:id="65" w:name="_Toc78601971"/>
      <w:bookmarkStart w:id="66" w:name="_Toc103685604"/>
      <w:r w:rsidRPr="00D75D2E">
        <w:rPr>
          <w:szCs w:val="24"/>
          <w:lang w:eastAsia="fr-FR"/>
        </w:rPr>
        <w:t>Cadre politique de gestion environnementale</w:t>
      </w:r>
      <w:bookmarkEnd w:id="65"/>
      <w:bookmarkEnd w:id="66"/>
    </w:p>
    <w:p w14:paraId="3FE08C69" w14:textId="77777777" w:rsidR="00221268" w:rsidRPr="00D75D2E" w:rsidRDefault="00221268" w:rsidP="00E737B4">
      <w:pPr>
        <w:spacing w:before="120" w:after="120" w:line="240" w:lineRule="auto"/>
        <w:jc w:val="both"/>
        <w:rPr>
          <w:rFonts w:ascii="Times New Roman" w:eastAsia="Times New Roman" w:hAnsi="Times New Roman"/>
          <w:bCs/>
          <w:sz w:val="24"/>
          <w:szCs w:val="24"/>
          <w:lang w:eastAsia="fr-FR"/>
        </w:rPr>
      </w:pPr>
      <w:r w:rsidRPr="00D75D2E">
        <w:rPr>
          <w:rFonts w:ascii="Times New Roman" w:eastAsia="Times New Roman" w:hAnsi="Times New Roman"/>
          <w:sz w:val="24"/>
          <w:szCs w:val="24"/>
          <w:lang w:eastAsia="fr-FR"/>
        </w:rPr>
        <w:t xml:space="preserve">La volonté </w:t>
      </w:r>
      <w:r w:rsidRPr="00D75D2E">
        <w:rPr>
          <w:rFonts w:ascii="Times New Roman" w:eastAsia="Times New Roman" w:hAnsi="Times New Roman"/>
          <w:bCs/>
          <w:sz w:val="24"/>
          <w:szCs w:val="24"/>
          <w:lang w:eastAsia="fr-FR"/>
        </w:rPr>
        <w:t>politique du Gouvernement de la RDC, en matière de protection de l’environnement, est clairement exprimée dans</w:t>
      </w:r>
      <w:bookmarkStart w:id="67" w:name="_Toc448605166"/>
      <w:bookmarkStart w:id="68" w:name="_Toc448738221"/>
      <w:bookmarkStart w:id="69" w:name="_Toc448738727"/>
      <w:bookmarkStart w:id="70" w:name="_Toc448867543"/>
      <w:bookmarkStart w:id="71" w:name="_Toc448931906"/>
      <w:bookmarkStart w:id="72" w:name="_Toc449170023"/>
      <w:bookmarkStart w:id="73" w:name="_Toc449202502"/>
      <w:bookmarkStart w:id="74" w:name="_Toc449514513"/>
      <w:bookmarkStart w:id="75" w:name="_Toc456722113"/>
      <w:bookmarkStart w:id="76" w:name="_Toc463440134"/>
      <w:bookmarkStart w:id="77" w:name="_Toc463443039"/>
      <w:r w:rsidRPr="00D75D2E">
        <w:rPr>
          <w:rFonts w:ascii="Times New Roman" w:eastAsia="Times New Roman" w:hAnsi="Times New Roman"/>
          <w:bCs/>
          <w:sz w:val="24"/>
          <w:szCs w:val="24"/>
          <w:lang w:eastAsia="fr-FR"/>
        </w:rPr>
        <w:t xml:space="preserve"> le Document de la Stratégie de Croissance et de réduction de la Pauvreté II (DSCRP 2)</w:t>
      </w:r>
      <w:bookmarkEnd w:id="67"/>
      <w:bookmarkEnd w:id="68"/>
      <w:bookmarkEnd w:id="69"/>
      <w:bookmarkEnd w:id="70"/>
      <w:bookmarkEnd w:id="71"/>
      <w:bookmarkEnd w:id="72"/>
      <w:bookmarkEnd w:id="73"/>
      <w:bookmarkEnd w:id="74"/>
      <w:bookmarkEnd w:id="75"/>
      <w:bookmarkEnd w:id="76"/>
      <w:bookmarkEnd w:id="77"/>
      <w:r w:rsidRPr="00D75D2E">
        <w:rPr>
          <w:rFonts w:ascii="Times New Roman" w:eastAsia="Times New Roman" w:hAnsi="Times New Roman"/>
          <w:bCs/>
          <w:sz w:val="24"/>
          <w:szCs w:val="24"/>
          <w:lang w:eastAsia="fr-FR"/>
        </w:rPr>
        <w:t xml:space="preserve">. En effet, en vue de préserver l’environnement et de garantir un développement humain durable, la stratégie qu’entend mener le Gouvernement, à travers la DSCRP, consiste en la protection de l’environnement à travers une prise en compte systématique des questions liées aux changements climatiques. </w:t>
      </w:r>
    </w:p>
    <w:p w14:paraId="2477683F" w14:textId="77777777" w:rsidR="00221268" w:rsidRPr="00D75D2E" w:rsidRDefault="00221268" w:rsidP="00E737B4">
      <w:pPr>
        <w:spacing w:before="120" w:after="120" w:line="240" w:lineRule="auto"/>
        <w:jc w:val="both"/>
        <w:rPr>
          <w:rFonts w:ascii="Times New Roman" w:eastAsia="Times New Roman" w:hAnsi="Times New Roman"/>
          <w:bCs/>
          <w:sz w:val="24"/>
          <w:szCs w:val="24"/>
          <w:lang w:eastAsia="fr-FR"/>
        </w:rPr>
      </w:pPr>
      <w:r w:rsidRPr="00D75D2E">
        <w:rPr>
          <w:rFonts w:ascii="Times New Roman" w:eastAsia="Times New Roman" w:hAnsi="Times New Roman"/>
          <w:bCs/>
          <w:sz w:val="24"/>
          <w:szCs w:val="24"/>
          <w:lang w:eastAsia="fr-FR"/>
        </w:rPr>
        <w:t>Cette volonté de protéger l’environnement apparait, également, dans différents documents de planification environnementale, que la RDC a élaborée et qui reconnaissent, tous, l’importance de tenir compte de l’impact environnemental des projets de développement dans la gestion de l’environnement. Il s’agit, notamment, du Plan National</w:t>
      </w:r>
      <w:bookmarkStart w:id="78" w:name="_Toc448605169"/>
      <w:bookmarkStart w:id="79" w:name="_Toc448738224"/>
      <w:bookmarkStart w:id="80" w:name="_Toc448738730"/>
      <w:bookmarkStart w:id="81" w:name="_Toc448867546"/>
      <w:bookmarkStart w:id="82" w:name="_Toc448931909"/>
      <w:bookmarkStart w:id="83" w:name="_Toc449170026"/>
      <w:bookmarkStart w:id="84" w:name="_Toc449202505"/>
      <w:bookmarkStart w:id="85" w:name="_Toc449514516"/>
      <w:bookmarkStart w:id="86" w:name="_Toc456722116"/>
      <w:bookmarkStart w:id="87" w:name="_Toc463440136"/>
      <w:bookmarkStart w:id="88" w:name="_Toc463443041"/>
      <w:r w:rsidRPr="00D75D2E">
        <w:rPr>
          <w:rFonts w:ascii="Times New Roman" w:eastAsia="Times New Roman" w:hAnsi="Times New Roman"/>
          <w:bCs/>
          <w:sz w:val="24"/>
          <w:szCs w:val="24"/>
          <w:lang w:eastAsia="fr-FR"/>
        </w:rPr>
        <w:t xml:space="preserve"> d’Action Environnemental (PNAE de 1997)</w:t>
      </w:r>
      <w:bookmarkEnd w:id="78"/>
      <w:bookmarkEnd w:id="79"/>
      <w:bookmarkEnd w:id="80"/>
      <w:bookmarkEnd w:id="81"/>
      <w:bookmarkEnd w:id="82"/>
      <w:bookmarkEnd w:id="83"/>
      <w:bookmarkEnd w:id="84"/>
      <w:bookmarkEnd w:id="85"/>
      <w:bookmarkEnd w:id="86"/>
      <w:bookmarkEnd w:id="87"/>
      <w:bookmarkEnd w:id="88"/>
      <w:r w:rsidRPr="00D75D2E">
        <w:rPr>
          <w:rFonts w:ascii="Times New Roman" w:eastAsia="Times New Roman" w:hAnsi="Times New Roman"/>
          <w:bCs/>
          <w:sz w:val="24"/>
          <w:szCs w:val="24"/>
          <w:lang w:eastAsia="fr-FR"/>
        </w:rPr>
        <w:t xml:space="preserve"> et de la Stratégie nationale et le Plan d’action de la Diversité biologique (de 1999 et actualisés en octobre 2001). </w:t>
      </w:r>
    </w:p>
    <w:p w14:paraId="13E6F309" w14:textId="7E615717" w:rsidR="00221268" w:rsidRPr="00D75D2E" w:rsidRDefault="00221268" w:rsidP="008C79F0">
      <w:pPr>
        <w:pStyle w:val="Titre31"/>
        <w:numPr>
          <w:ilvl w:val="2"/>
          <w:numId w:val="54"/>
        </w:numPr>
        <w:rPr>
          <w:rFonts w:eastAsia="Calibri"/>
          <w:u w:val="none"/>
        </w:rPr>
      </w:pPr>
      <w:bookmarkStart w:id="89" w:name="_Toc103685605"/>
      <w:r w:rsidRPr="00D75D2E">
        <w:rPr>
          <w:rFonts w:eastAsia="Calibri"/>
          <w:u w:val="none"/>
        </w:rPr>
        <w:t>Politiques et programme en rapport avec le projet</w:t>
      </w:r>
      <w:bookmarkEnd w:id="89"/>
    </w:p>
    <w:p w14:paraId="1E0651F3" w14:textId="77777777" w:rsidR="00221268" w:rsidRPr="00D75D2E" w:rsidRDefault="00221268" w:rsidP="00221268">
      <w:pPr>
        <w:spacing w:after="0" w:line="240" w:lineRule="auto"/>
        <w:jc w:val="both"/>
        <w:rPr>
          <w:rFonts w:ascii="Times New Roman" w:eastAsia="Times New Roman" w:hAnsi="Times New Roman"/>
          <w:bCs/>
          <w:sz w:val="24"/>
          <w:szCs w:val="24"/>
          <w:lang w:eastAsia="fr-FR"/>
        </w:rPr>
      </w:pPr>
    </w:p>
    <w:p w14:paraId="143EE439" w14:textId="77777777" w:rsidR="00360D1B" w:rsidRDefault="00221268" w:rsidP="00AE31F1">
      <w:pPr>
        <w:spacing w:after="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Tableau </w:t>
      </w:r>
      <w:r w:rsidR="0015345E">
        <w:rPr>
          <w:rFonts w:ascii="Times New Roman" w:eastAsia="Times New Roman" w:hAnsi="Times New Roman"/>
          <w:sz w:val="24"/>
          <w:szCs w:val="24"/>
          <w:lang w:eastAsia="fr-FR"/>
        </w:rPr>
        <w:t>1</w:t>
      </w:r>
      <w:r w:rsidRPr="00D75D2E">
        <w:rPr>
          <w:rFonts w:ascii="Times New Roman" w:eastAsia="Times New Roman" w:hAnsi="Times New Roman"/>
          <w:sz w:val="24"/>
          <w:szCs w:val="24"/>
          <w:lang w:eastAsia="fr-FR"/>
        </w:rPr>
        <w:t xml:space="preserve"> présente les politiques et programme en rapport avec </w:t>
      </w:r>
      <w:r w:rsidRPr="0016501C">
        <w:rPr>
          <w:rFonts w:ascii="Times New Roman" w:eastAsia="Times New Roman" w:hAnsi="Times New Roman"/>
          <w:sz w:val="24"/>
          <w:szCs w:val="24"/>
          <w:lang w:eastAsia="fr-FR"/>
        </w:rPr>
        <w:t>le p</w:t>
      </w:r>
      <w:r w:rsidRPr="00215867">
        <w:rPr>
          <w:rFonts w:ascii="Times New Roman" w:eastAsia="Times New Roman" w:hAnsi="Times New Roman"/>
          <w:sz w:val="24"/>
          <w:szCs w:val="24"/>
          <w:lang w:eastAsia="fr-FR"/>
        </w:rPr>
        <w:t>rojet</w:t>
      </w:r>
      <w:r w:rsidRPr="0016501C">
        <w:rPr>
          <w:rFonts w:ascii="Times New Roman" w:eastAsia="Times New Roman" w:hAnsi="Times New Roman"/>
          <w:sz w:val="24"/>
          <w:szCs w:val="24"/>
          <w:lang w:eastAsia="fr-FR"/>
        </w:rPr>
        <w:t>.</w:t>
      </w:r>
      <w:r w:rsidRPr="00D75D2E">
        <w:rPr>
          <w:rFonts w:ascii="Times New Roman" w:eastAsia="Times New Roman" w:hAnsi="Times New Roman"/>
          <w:sz w:val="24"/>
          <w:szCs w:val="24"/>
          <w:lang w:eastAsia="fr-FR"/>
        </w:rPr>
        <w:t xml:space="preserve"> </w:t>
      </w:r>
      <w:bookmarkStart w:id="90" w:name="_Toc526695468"/>
      <w:bookmarkStart w:id="91" w:name="_Toc36632178"/>
      <w:bookmarkStart w:id="92" w:name="_Toc78602863"/>
    </w:p>
    <w:p w14:paraId="0794F3AF" w14:textId="77777777" w:rsidR="00360D1B" w:rsidRDefault="00360D1B" w:rsidP="00AE31F1">
      <w:pPr>
        <w:spacing w:after="0" w:line="240" w:lineRule="auto"/>
        <w:jc w:val="both"/>
        <w:rPr>
          <w:rFonts w:ascii="Times New Roman" w:eastAsia="Times New Roman" w:hAnsi="Times New Roman"/>
          <w:sz w:val="24"/>
          <w:szCs w:val="24"/>
          <w:lang w:eastAsia="fr-FR"/>
        </w:rPr>
      </w:pPr>
    </w:p>
    <w:p w14:paraId="4F7F35B8" w14:textId="4BC60AB1" w:rsidR="00221268" w:rsidRPr="00D75D2E" w:rsidRDefault="00221268" w:rsidP="00AE31F1">
      <w:pPr>
        <w:spacing w:after="0" w:line="240" w:lineRule="auto"/>
        <w:jc w:val="both"/>
        <w:rPr>
          <w:rFonts w:ascii="Times New Roman" w:eastAsia="Times New Roman" w:hAnsi="Times New Roman"/>
          <w:bCs/>
          <w:sz w:val="24"/>
          <w:szCs w:val="24"/>
        </w:rPr>
      </w:pPr>
      <w:bookmarkStart w:id="93" w:name="_Toc93050263"/>
      <w:r w:rsidRPr="00D75D2E">
        <w:rPr>
          <w:rFonts w:ascii="Times New Roman" w:eastAsia="Times New Roman" w:hAnsi="Times New Roman"/>
          <w:bCs/>
          <w:sz w:val="24"/>
          <w:szCs w:val="24"/>
        </w:rPr>
        <w:t xml:space="preserve">Tableau </w:t>
      </w:r>
      <w:r w:rsidRPr="00D75D2E">
        <w:rPr>
          <w:rFonts w:ascii="Times New Roman" w:eastAsia="Times New Roman" w:hAnsi="Times New Roman"/>
          <w:bCs/>
          <w:sz w:val="24"/>
          <w:szCs w:val="24"/>
          <w:lang w:val="en-US"/>
        </w:rPr>
        <w:fldChar w:fldCharType="begin"/>
      </w:r>
      <w:r w:rsidRPr="00D75D2E">
        <w:rPr>
          <w:rFonts w:ascii="Times New Roman" w:eastAsia="Times New Roman" w:hAnsi="Times New Roman"/>
          <w:bCs/>
          <w:sz w:val="24"/>
          <w:szCs w:val="24"/>
        </w:rPr>
        <w:instrText xml:space="preserve"> SEQ Tableau \* ARABIC </w:instrText>
      </w:r>
      <w:r w:rsidRPr="00D75D2E">
        <w:rPr>
          <w:rFonts w:ascii="Times New Roman" w:eastAsia="Times New Roman" w:hAnsi="Times New Roman"/>
          <w:bCs/>
          <w:sz w:val="24"/>
          <w:szCs w:val="24"/>
          <w:lang w:val="en-US"/>
        </w:rPr>
        <w:fldChar w:fldCharType="separate"/>
      </w:r>
      <w:r w:rsidR="00691EF5">
        <w:rPr>
          <w:rFonts w:ascii="Times New Roman" w:eastAsia="Times New Roman" w:hAnsi="Times New Roman"/>
          <w:bCs/>
          <w:noProof/>
          <w:sz w:val="24"/>
          <w:szCs w:val="24"/>
        </w:rPr>
        <w:t>1</w:t>
      </w:r>
      <w:r w:rsidRPr="00D75D2E">
        <w:rPr>
          <w:rFonts w:ascii="Times New Roman" w:eastAsia="Times New Roman" w:hAnsi="Times New Roman"/>
          <w:bCs/>
          <w:sz w:val="24"/>
          <w:szCs w:val="24"/>
          <w:lang w:val="en-US"/>
        </w:rPr>
        <w:fldChar w:fldCharType="end"/>
      </w:r>
      <w:r w:rsidRPr="00D75D2E">
        <w:rPr>
          <w:rFonts w:ascii="Times New Roman" w:eastAsia="Times New Roman" w:hAnsi="Times New Roman"/>
          <w:bCs/>
          <w:sz w:val="24"/>
          <w:szCs w:val="24"/>
        </w:rPr>
        <w:t xml:space="preserve">: </w:t>
      </w:r>
      <w:r w:rsidR="00D90923">
        <w:rPr>
          <w:rFonts w:ascii="Times New Roman" w:eastAsia="Times New Roman" w:hAnsi="Times New Roman"/>
          <w:bCs/>
          <w:sz w:val="24"/>
          <w:szCs w:val="24"/>
        </w:rPr>
        <w:t>P</w:t>
      </w:r>
      <w:r w:rsidRPr="00D75D2E">
        <w:rPr>
          <w:rFonts w:ascii="Times New Roman" w:eastAsia="Times New Roman" w:hAnsi="Times New Roman"/>
          <w:bCs/>
          <w:sz w:val="24"/>
          <w:szCs w:val="24"/>
        </w:rPr>
        <w:t>olitiques et programme en rapport avec le projet</w:t>
      </w:r>
      <w:bookmarkEnd w:id="90"/>
      <w:bookmarkEnd w:id="91"/>
      <w:bookmarkEnd w:id="92"/>
      <w:bookmarkEnd w:id="93"/>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410"/>
        <w:gridCol w:w="4927"/>
      </w:tblGrid>
      <w:tr w:rsidR="00647F6F" w:rsidRPr="00420C1B" w14:paraId="6B6726AC" w14:textId="77777777" w:rsidTr="00E737B4">
        <w:trPr>
          <w:trHeight w:val="582"/>
          <w:tblHeader/>
        </w:trPr>
        <w:tc>
          <w:tcPr>
            <w:tcW w:w="1843" w:type="dxa"/>
            <w:shd w:val="clear" w:color="auto" w:fill="92D050"/>
            <w:vAlign w:val="center"/>
          </w:tcPr>
          <w:p w14:paraId="5E3CC4D6"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r w:rsidRPr="00D75D2E">
              <w:rPr>
                <w:rFonts w:ascii="Times New Roman" w:eastAsia="Times New Roman" w:hAnsi="Times New Roman"/>
                <w:b/>
                <w:bCs/>
                <w:szCs w:val="24"/>
                <w:lang w:eastAsia="fr-FR"/>
              </w:rPr>
              <w:t>Politiques</w:t>
            </w:r>
          </w:p>
        </w:tc>
        <w:tc>
          <w:tcPr>
            <w:tcW w:w="2410" w:type="dxa"/>
            <w:shd w:val="clear" w:color="auto" w:fill="92D050"/>
            <w:vAlign w:val="center"/>
          </w:tcPr>
          <w:p w14:paraId="5C581C48" w14:textId="3AF5C9CA" w:rsidR="00647F6F" w:rsidRPr="00D75D2E" w:rsidRDefault="00647F6F" w:rsidP="00422EE3">
            <w:pPr>
              <w:spacing w:after="0" w:line="240" w:lineRule="auto"/>
              <w:jc w:val="both"/>
              <w:rPr>
                <w:rFonts w:ascii="Times New Roman" w:eastAsia="Times New Roman" w:hAnsi="Times New Roman"/>
                <w:b/>
                <w:bCs/>
                <w:szCs w:val="24"/>
                <w:lang w:eastAsia="fr-FR"/>
              </w:rPr>
            </w:pPr>
            <w:bookmarkStart w:id="94" w:name="_Toc448605163"/>
            <w:bookmarkStart w:id="95" w:name="_Toc448738218"/>
            <w:bookmarkStart w:id="96" w:name="_Toc448738724"/>
            <w:bookmarkStart w:id="97" w:name="_Toc448867540"/>
            <w:bookmarkStart w:id="98" w:name="_Toc448931903"/>
            <w:bookmarkStart w:id="99" w:name="_Toc449170020"/>
            <w:bookmarkStart w:id="100" w:name="_Toc449202499"/>
            <w:bookmarkStart w:id="101" w:name="_Toc449514510"/>
            <w:bookmarkStart w:id="102" w:name="_Toc456722110"/>
            <w:bookmarkStart w:id="103" w:name="_Toc463440131"/>
            <w:bookmarkStart w:id="104" w:name="_Toc463443036"/>
            <w:r w:rsidRPr="00D75D2E">
              <w:rPr>
                <w:rFonts w:ascii="Times New Roman" w:eastAsia="Times New Roman" w:hAnsi="Times New Roman"/>
                <w:b/>
                <w:bCs/>
                <w:szCs w:val="24"/>
                <w:lang w:eastAsia="fr-FR"/>
              </w:rPr>
              <w:t>Niveau opérationnel</w:t>
            </w:r>
            <w:bookmarkEnd w:id="94"/>
            <w:bookmarkEnd w:id="95"/>
            <w:bookmarkEnd w:id="96"/>
            <w:bookmarkEnd w:id="97"/>
            <w:bookmarkEnd w:id="98"/>
            <w:bookmarkEnd w:id="99"/>
            <w:bookmarkEnd w:id="100"/>
            <w:bookmarkEnd w:id="101"/>
            <w:bookmarkEnd w:id="102"/>
            <w:bookmarkEnd w:id="103"/>
            <w:bookmarkEnd w:id="104"/>
          </w:p>
        </w:tc>
        <w:tc>
          <w:tcPr>
            <w:tcW w:w="4927" w:type="dxa"/>
            <w:shd w:val="clear" w:color="auto" w:fill="92D050"/>
            <w:vAlign w:val="center"/>
          </w:tcPr>
          <w:p w14:paraId="3B41EE7E" w14:textId="7A521C54" w:rsidR="00647F6F" w:rsidRPr="00D75D2E" w:rsidRDefault="00647F6F" w:rsidP="00422EE3">
            <w:pPr>
              <w:spacing w:after="0" w:line="240" w:lineRule="auto"/>
              <w:jc w:val="both"/>
              <w:rPr>
                <w:rFonts w:ascii="Times New Roman" w:eastAsia="Times New Roman" w:hAnsi="Times New Roman"/>
                <w:b/>
                <w:bCs/>
                <w:szCs w:val="24"/>
                <w:lang w:eastAsia="fr-FR"/>
              </w:rPr>
            </w:pPr>
            <w:bookmarkStart w:id="105" w:name="_Toc448605164"/>
            <w:bookmarkStart w:id="106" w:name="_Toc448738219"/>
            <w:bookmarkStart w:id="107" w:name="_Toc448738725"/>
            <w:bookmarkStart w:id="108" w:name="_Toc448867541"/>
            <w:bookmarkStart w:id="109" w:name="_Toc448931904"/>
            <w:bookmarkStart w:id="110" w:name="_Toc449170021"/>
            <w:bookmarkStart w:id="111" w:name="_Toc449202500"/>
            <w:bookmarkStart w:id="112" w:name="_Toc449514511"/>
            <w:bookmarkStart w:id="113" w:name="_Toc456722111"/>
            <w:bookmarkStart w:id="114" w:name="_Toc463440132"/>
            <w:bookmarkStart w:id="115" w:name="_Toc463443037"/>
            <w:r w:rsidRPr="00D75D2E">
              <w:rPr>
                <w:rFonts w:ascii="Times New Roman" w:eastAsia="Times New Roman" w:hAnsi="Times New Roman"/>
                <w:b/>
                <w:bCs/>
                <w:szCs w:val="24"/>
                <w:lang w:eastAsia="fr-FR"/>
              </w:rPr>
              <w:t>Dispositions et orientations</w:t>
            </w:r>
            <w:bookmarkEnd w:id="105"/>
            <w:bookmarkEnd w:id="106"/>
            <w:bookmarkEnd w:id="107"/>
            <w:bookmarkEnd w:id="108"/>
            <w:bookmarkEnd w:id="109"/>
            <w:bookmarkEnd w:id="110"/>
            <w:bookmarkEnd w:id="111"/>
            <w:bookmarkEnd w:id="112"/>
            <w:bookmarkEnd w:id="113"/>
            <w:bookmarkEnd w:id="114"/>
            <w:bookmarkEnd w:id="115"/>
          </w:p>
        </w:tc>
      </w:tr>
      <w:tr w:rsidR="00647F6F" w:rsidRPr="00420C1B" w14:paraId="4DFE710D" w14:textId="77777777" w:rsidTr="00E737B4">
        <w:tc>
          <w:tcPr>
            <w:tcW w:w="1843" w:type="dxa"/>
            <w:vMerge w:val="restart"/>
            <w:vAlign w:val="center"/>
          </w:tcPr>
          <w:p w14:paraId="6F437896"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p>
          <w:p w14:paraId="0A76061C" w14:textId="4E95859D" w:rsidR="00647F6F" w:rsidRPr="00D75D2E" w:rsidRDefault="00647F6F" w:rsidP="00422EE3">
            <w:pPr>
              <w:spacing w:after="0" w:line="240" w:lineRule="auto"/>
              <w:jc w:val="both"/>
              <w:rPr>
                <w:rFonts w:ascii="Times New Roman" w:eastAsia="Times New Roman" w:hAnsi="Times New Roman"/>
                <w:b/>
                <w:bCs/>
                <w:sz w:val="20"/>
                <w:szCs w:val="24"/>
                <w:lang w:eastAsia="fr-FR"/>
              </w:rPr>
            </w:pPr>
            <w:bookmarkStart w:id="116" w:name="_Toc448605165"/>
            <w:bookmarkStart w:id="117" w:name="_Toc448738220"/>
            <w:bookmarkStart w:id="118" w:name="_Toc448738726"/>
            <w:bookmarkStart w:id="119" w:name="_Toc448867542"/>
            <w:bookmarkStart w:id="120" w:name="_Toc448931905"/>
            <w:bookmarkStart w:id="121" w:name="_Toc449170022"/>
            <w:bookmarkStart w:id="122" w:name="_Toc449202501"/>
            <w:bookmarkStart w:id="123" w:name="_Toc449514512"/>
            <w:bookmarkStart w:id="124" w:name="_Toc456722112"/>
            <w:bookmarkStart w:id="125" w:name="_Toc463440133"/>
            <w:bookmarkStart w:id="126" w:name="_Toc463443038"/>
            <w:r w:rsidRPr="00D75D2E">
              <w:rPr>
                <w:rFonts w:ascii="Times New Roman" w:eastAsia="Times New Roman" w:hAnsi="Times New Roman"/>
                <w:b/>
                <w:i/>
                <w:sz w:val="20"/>
                <w:szCs w:val="24"/>
                <w:lang w:eastAsia="fr-FR"/>
              </w:rPr>
              <w:t>Politique et programmes environnementaux</w:t>
            </w:r>
            <w:bookmarkEnd w:id="116"/>
            <w:bookmarkEnd w:id="117"/>
            <w:bookmarkEnd w:id="118"/>
            <w:bookmarkEnd w:id="119"/>
            <w:bookmarkEnd w:id="120"/>
            <w:bookmarkEnd w:id="121"/>
            <w:bookmarkEnd w:id="122"/>
            <w:bookmarkEnd w:id="123"/>
            <w:bookmarkEnd w:id="124"/>
            <w:bookmarkEnd w:id="125"/>
            <w:bookmarkEnd w:id="126"/>
          </w:p>
        </w:tc>
        <w:tc>
          <w:tcPr>
            <w:tcW w:w="2410" w:type="dxa"/>
            <w:vAlign w:val="center"/>
          </w:tcPr>
          <w:p w14:paraId="6CD51E23"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Le Plan National d’Action Environnemental (PNAE)</w:t>
            </w:r>
          </w:p>
        </w:tc>
        <w:tc>
          <w:tcPr>
            <w:tcW w:w="4927" w:type="dxa"/>
          </w:tcPr>
          <w:p w14:paraId="46F206DF" w14:textId="7F473CE8" w:rsidR="00647F6F" w:rsidRPr="00D75D2E" w:rsidRDefault="00647F6F" w:rsidP="00422EE3">
            <w:pPr>
              <w:spacing w:after="0" w:line="240" w:lineRule="auto"/>
              <w:jc w:val="both"/>
              <w:rPr>
                <w:rFonts w:ascii="Times New Roman" w:eastAsia="Times New Roman" w:hAnsi="Times New Roman"/>
                <w:b/>
                <w:bCs/>
                <w:szCs w:val="24"/>
                <w:lang w:eastAsia="fr-FR"/>
              </w:rPr>
            </w:pPr>
            <w:bookmarkStart w:id="127" w:name="_Toc448605167"/>
            <w:bookmarkStart w:id="128" w:name="_Toc448738222"/>
            <w:bookmarkStart w:id="129" w:name="_Toc448738728"/>
            <w:bookmarkStart w:id="130" w:name="_Toc448867544"/>
            <w:bookmarkStart w:id="131" w:name="_Toc448931907"/>
            <w:bookmarkStart w:id="132" w:name="_Toc449170024"/>
            <w:bookmarkStart w:id="133" w:name="_Toc449202503"/>
            <w:bookmarkStart w:id="134" w:name="_Toc449514514"/>
            <w:bookmarkStart w:id="135" w:name="_Toc456722114"/>
            <w:bookmarkStart w:id="136" w:name="_Toc463440135"/>
            <w:bookmarkStart w:id="137" w:name="_Toc463443040"/>
            <w:r w:rsidRPr="00D75D2E">
              <w:rPr>
                <w:rFonts w:ascii="Times New Roman" w:eastAsia="Times New Roman" w:hAnsi="Times New Roman"/>
                <w:szCs w:val="24"/>
                <w:lang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27"/>
            <w:bookmarkEnd w:id="128"/>
            <w:bookmarkEnd w:id="129"/>
            <w:bookmarkEnd w:id="130"/>
            <w:bookmarkEnd w:id="131"/>
            <w:bookmarkEnd w:id="132"/>
            <w:bookmarkEnd w:id="133"/>
            <w:bookmarkEnd w:id="134"/>
            <w:bookmarkEnd w:id="135"/>
            <w:bookmarkEnd w:id="136"/>
            <w:bookmarkEnd w:id="137"/>
          </w:p>
        </w:tc>
      </w:tr>
      <w:tr w:rsidR="00647F6F" w:rsidRPr="00420C1B" w14:paraId="0EDA1B13" w14:textId="77777777" w:rsidTr="00E737B4">
        <w:tc>
          <w:tcPr>
            <w:tcW w:w="1843" w:type="dxa"/>
            <w:vMerge/>
            <w:vAlign w:val="center"/>
          </w:tcPr>
          <w:p w14:paraId="3543E9F9"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p>
        </w:tc>
        <w:tc>
          <w:tcPr>
            <w:tcW w:w="2410" w:type="dxa"/>
            <w:vAlign w:val="center"/>
          </w:tcPr>
          <w:p w14:paraId="0973BEAA"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Le Plan d’Action National d’Adaptation aux changements climatiques (PANA)</w:t>
            </w:r>
          </w:p>
          <w:p w14:paraId="386644FE"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467197D2" w14:textId="77777777" w:rsidR="00647F6F" w:rsidRPr="00D75D2E" w:rsidRDefault="00647F6F" w:rsidP="00E737B4">
            <w:pPr>
              <w:spacing w:after="0"/>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En ce qui concerne le changement climatique, le Gouvernement de la RDC, avec l’assistance des partenaires au développement (FEM, PNUD) a élaboré le Plan d’Action National d’Adaptation aux changements climatiques (PANA) en 2007. Le PANA a permis entre autres d’établir l’inventaire des risques climatiques les plus courants ainsi que leur tendance et les mesures d’adaptations urgentes appropriées à envisagées.</w:t>
            </w:r>
          </w:p>
        </w:tc>
      </w:tr>
      <w:tr w:rsidR="00647F6F" w:rsidRPr="00420C1B" w14:paraId="17D0ADB7" w14:textId="77777777" w:rsidTr="00E737B4">
        <w:tc>
          <w:tcPr>
            <w:tcW w:w="1843" w:type="dxa"/>
            <w:vMerge/>
            <w:vAlign w:val="center"/>
          </w:tcPr>
          <w:p w14:paraId="604D5BD3"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p>
        </w:tc>
        <w:tc>
          <w:tcPr>
            <w:tcW w:w="2410" w:type="dxa"/>
            <w:vAlign w:val="center"/>
          </w:tcPr>
          <w:p w14:paraId="12C8A923"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La Stratégie nationale et le Plan d’action de la Diversité biologique</w:t>
            </w:r>
          </w:p>
        </w:tc>
        <w:tc>
          <w:tcPr>
            <w:tcW w:w="4927" w:type="dxa"/>
          </w:tcPr>
          <w:p w14:paraId="370D6461" w14:textId="7B93E199" w:rsidR="00647F6F" w:rsidRPr="00D75D2E" w:rsidRDefault="00647F6F" w:rsidP="00422EE3">
            <w:pPr>
              <w:spacing w:after="0" w:line="240" w:lineRule="auto"/>
              <w:jc w:val="both"/>
              <w:rPr>
                <w:rFonts w:ascii="Times New Roman" w:eastAsia="Times New Roman" w:hAnsi="Times New Roman"/>
                <w:b/>
                <w:bCs/>
                <w:szCs w:val="24"/>
                <w:lang w:eastAsia="fr-FR"/>
              </w:rPr>
            </w:pPr>
            <w:bookmarkStart w:id="138" w:name="_Toc463440137"/>
            <w:bookmarkStart w:id="139" w:name="_Toc463443042"/>
            <w:r w:rsidRPr="00D75D2E">
              <w:rPr>
                <w:rFonts w:ascii="Times New Roman" w:eastAsia="Times New Roman" w:hAnsi="Times New Roman"/>
                <w:szCs w:val="24"/>
                <w:lang w:eastAsia="fr-FR"/>
              </w:rPr>
              <w:t>La Stratégie nationale et le Plan d’action de la Diversité biologique, élaborés en 1999 et actualisés en octobre 2001 constituent un cadre de référence pour la gestion durable des ressources biologiques de la RDC. La vision de la Stratégie est que « D’ici à 2035, la biodiversité est gérée de façon durable par son intégration dans tous les secteurs nationaux pertinents, participe à l’essor du pays et tous les Congolais sont conscients de sa valeur et de sa contribution pour leur bien-être ». Les Axes prioritaires arrêtés et les objectifs fixés dans le cadre de la Stratégie seront atteints avec la mise en œuvre des actions opérationnalisées par un Plan d’Action</w:t>
            </w:r>
            <w:r w:rsidRPr="00D75D2E">
              <w:rPr>
                <w:rFonts w:ascii="Times New Roman" w:eastAsia="Times New Roman" w:hAnsi="Times New Roman"/>
                <w:szCs w:val="18"/>
                <w:lang w:eastAsia="fr-FR"/>
              </w:rPr>
              <w:t>.</w:t>
            </w:r>
            <w:bookmarkEnd w:id="138"/>
            <w:bookmarkEnd w:id="139"/>
          </w:p>
        </w:tc>
      </w:tr>
      <w:tr w:rsidR="00647F6F" w:rsidRPr="00420C1B" w14:paraId="083755E5" w14:textId="77777777" w:rsidTr="00E737B4">
        <w:tc>
          <w:tcPr>
            <w:tcW w:w="1843" w:type="dxa"/>
            <w:vMerge/>
            <w:vAlign w:val="center"/>
          </w:tcPr>
          <w:p w14:paraId="3BA4FC1B"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p>
        </w:tc>
        <w:tc>
          <w:tcPr>
            <w:tcW w:w="2410" w:type="dxa"/>
            <w:vAlign w:val="center"/>
          </w:tcPr>
          <w:p w14:paraId="43685B3F"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Stratégie Nationale de Conservation de la biodiversité dans les aires protégées de la République démocratique du Congo (ICCN, 2012)</w:t>
            </w:r>
          </w:p>
          <w:p w14:paraId="158145A6"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1B59A8E7"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Cette stratégie a pour objectif global : assurer la conservation et la gestion efficace et durable de la biodiversité dans tout le réseau national d’aires protégées de la RDC, en coopération avec les communautés locales et les autres partenaires pour le bien-être des populations congolaises et de toute l’humanité</w:t>
            </w:r>
          </w:p>
          <w:p w14:paraId="59B17737" w14:textId="77777777" w:rsidR="00647F6F" w:rsidRPr="00D75D2E" w:rsidRDefault="00647F6F" w:rsidP="00E737B4">
            <w:pPr>
              <w:spacing w:before="120"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Elle poursuit les objectifs spécifiques suivants : (i) maintenir et développer un réseau d’AP viable et représentatif de la biodiversité de la RDC ; (ii) développer et appliquer un système performant de gestion durable des ressources naturelles des AP ; (iii) permettre à l’ICCN de disposer d’un financement durable ; (iv) servir de cadre de référence pour la planification, le partenariat et la promotion de la conservation dans les aires protégées de la RDC ; (v) favoriser la collaboration transfrontalière et la participation des communautés locales et autres acteurs.</w:t>
            </w:r>
          </w:p>
        </w:tc>
      </w:tr>
      <w:tr w:rsidR="00647F6F" w:rsidRPr="00420C1B" w14:paraId="4E829095" w14:textId="77777777" w:rsidTr="00E737B4">
        <w:tc>
          <w:tcPr>
            <w:tcW w:w="1843" w:type="dxa"/>
            <w:vMerge w:val="restart"/>
            <w:vAlign w:val="center"/>
          </w:tcPr>
          <w:p w14:paraId="4DE6EEA8"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p>
        </w:tc>
        <w:tc>
          <w:tcPr>
            <w:tcW w:w="2410" w:type="dxa"/>
            <w:vAlign w:val="center"/>
          </w:tcPr>
          <w:p w14:paraId="2F5E9346"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Cadre National de Biosécurité en République Démocratique du Congo</w:t>
            </w:r>
          </w:p>
          <w:p w14:paraId="5A44C204"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1AD3E846"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La principale finalité de la politique nationale devra permettre de garantir la santé de la population et d’assurer la protection de l’environnement, des ressources biologiques, des tissus socioéconomiques par l’application du principe de précaution. Le cadre met l’accent sur l’élaboration et la mise en œuvre d’un cadre juridique de la biosécurité ; l’intégration dans les politiques de développement sectorielles existantes de prédilection des biotechnologies ; l’élaboration et la mise en œuvre des mécanismes d’évaluation et de gestion des risques biotechnologiques renforcement des capacités nationales de gestion de la biosécurité.</w:t>
            </w:r>
          </w:p>
        </w:tc>
      </w:tr>
      <w:tr w:rsidR="00647F6F" w:rsidRPr="00420C1B" w14:paraId="544D5284" w14:textId="77777777" w:rsidTr="00E737B4">
        <w:tc>
          <w:tcPr>
            <w:tcW w:w="1843" w:type="dxa"/>
            <w:vMerge/>
            <w:vAlign w:val="center"/>
          </w:tcPr>
          <w:p w14:paraId="01F18517"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p>
        </w:tc>
        <w:tc>
          <w:tcPr>
            <w:tcW w:w="2410" w:type="dxa"/>
            <w:vAlign w:val="center"/>
          </w:tcPr>
          <w:p w14:paraId="298B787B" w14:textId="1F4AC4A7" w:rsidR="00647F6F" w:rsidRPr="00D75D2E" w:rsidRDefault="00647F6F" w:rsidP="00422EE3">
            <w:pPr>
              <w:spacing w:after="0" w:line="240" w:lineRule="auto"/>
              <w:jc w:val="both"/>
              <w:rPr>
                <w:rFonts w:ascii="Times New Roman" w:eastAsia="Times New Roman" w:hAnsi="Times New Roman"/>
                <w:szCs w:val="24"/>
                <w:lang w:eastAsia="fr-FR"/>
              </w:rPr>
            </w:pPr>
            <w:bookmarkStart w:id="140" w:name="_Toc444435689"/>
            <w:r w:rsidRPr="00D75D2E">
              <w:rPr>
                <w:rFonts w:ascii="Times New Roman" w:eastAsia="Times New Roman" w:hAnsi="Times New Roman"/>
                <w:szCs w:val="24"/>
                <w:lang w:eastAsia="fr-FR"/>
              </w:rPr>
              <w:t>Cadre Stratégique de Mise en Œuvre de la Décentralisation (CSMOD, juillet 2009)</w:t>
            </w:r>
            <w:bookmarkEnd w:id="140"/>
          </w:p>
          <w:p w14:paraId="6699D835"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37084BB6"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l’Etat central et les provinces et le financement de la décentralisation.</w:t>
            </w:r>
          </w:p>
        </w:tc>
      </w:tr>
      <w:tr w:rsidR="00647F6F" w:rsidRPr="00420C1B" w14:paraId="065CC489" w14:textId="77777777" w:rsidTr="00E737B4">
        <w:tc>
          <w:tcPr>
            <w:tcW w:w="1843" w:type="dxa"/>
            <w:vAlign w:val="center"/>
          </w:tcPr>
          <w:p w14:paraId="35638425"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141" w:name="_Toc333853323"/>
            <w:bookmarkStart w:id="142" w:name="_Toc444435679"/>
          </w:p>
          <w:p w14:paraId="45D15263" w14:textId="070E3EBF"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143" w:name="_Toc448605170"/>
            <w:bookmarkStart w:id="144" w:name="_Toc448738225"/>
            <w:bookmarkStart w:id="145" w:name="_Toc448738731"/>
            <w:bookmarkStart w:id="146" w:name="_Toc448867547"/>
            <w:bookmarkStart w:id="147" w:name="_Toc448931910"/>
            <w:bookmarkStart w:id="148" w:name="_Toc449170027"/>
            <w:bookmarkStart w:id="149" w:name="_Toc449202506"/>
            <w:bookmarkStart w:id="150" w:name="_Toc449514517"/>
            <w:bookmarkStart w:id="151" w:name="_Toc456722117"/>
            <w:bookmarkStart w:id="152" w:name="_Toc463440138"/>
            <w:bookmarkStart w:id="153" w:name="_Toc463443043"/>
            <w:r w:rsidRPr="00D75D2E">
              <w:rPr>
                <w:rFonts w:ascii="Times New Roman" w:eastAsia="Times New Roman" w:hAnsi="Times New Roman"/>
                <w:b/>
                <w:i/>
                <w:sz w:val="20"/>
                <w:szCs w:val="24"/>
                <w:lang w:eastAsia="fr-FR"/>
              </w:rPr>
              <w:t>Politique et programmes économiques et sociaux</w:t>
            </w:r>
            <w:bookmarkEnd w:id="141"/>
            <w:bookmarkEnd w:id="142"/>
            <w:bookmarkEnd w:id="143"/>
            <w:bookmarkEnd w:id="144"/>
            <w:bookmarkEnd w:id="145"/>
            <w:bookmarkEnd w:id="146"/>
            <w:bookmarkEnd w:id="147"/>
            <w:bookmarkEnd w:id="148"/>
            <w:bookmarkEnd w:id="149"/>
            <w:bookmarkEnd w:id="150"/>
            <w:bookmarkEnd w:id="151"/>
            <w:bookmarkEnd w:id="152"/>
            <w:bookmarkEnd w:id="153"/>
          </w:p>
        </w:tc>
        <w:tc>
          <w:tcPr>
            <w:tcW w:w="2410" w:type="dxa"/>
            <w:vAlign w:val="center"/>
          </w:tcPr>
          <w:p w14:paraId="0A527CBB" w14:textId="79B680D6" w:rsidR="00647F6F" w:rsidRPr="00D75D2E" w:rsidRDefault="00647F6F" w:rsidP="00422EE3">
            <w:pPr>
              <w:spacing w:after="0" w:line="240" w:lineRule="auto"/>
              <w:jc w:val="both"/>
              <w:rPr>
                <w:rFonts w:ascii="Times New Roman" w:eastAsia="Times New Roman" w:hAnsi="Times New Roman"/>
                <w:szCs w:val="24"/>
                <w:lang w:eastAsia="fr-FR"/>
              </w:rPr>
            </w:pPr>
            <w:bookmarkStart w:id="154" w:name="_Toc448605171"/>
            <w:bookmarkStart w:id="155" w:name="_Toc448738226"/>
            <w:bookmarkStart w:id="156" w:name="_Toc448738732"/>
            <w:bookmarkStart w:id="157" w:name="_Toc448867548"/>
            <w:bookmarkStart w:id="158" w:name="_Toc448931911"/>
            <w:bookmarkStart w:id="159" w:name="_Toc449170028"/>
            <w:bookmarkStart w:id="160" w:name="_Toc449202507"/>
            <w:bookmarkStart w:id="161" w:name="_Toc449514518"/>
            <w:bookmarkStart w:id="162" w:name="_Toc456722118"/>
            <w:bookmarkStart w:id="163" w:name="_Toc463440139"/>
            <w:bookmarkStart w:id="164" w:name="_Toc463443044"/>
            <w:r w:rsidRPr="00D75D2E">
              <w:rPr>
                <w:rFonts w:ascii="Times New Roman" w:eastAsia="Times New Roman" w:hAnsi="Times New Roman"/>
                <w:szCs w:val="24"/>
                <w:lang w:eastAsia="fr-FR"/>
              </w:rPr>
              <w:t>Document de Stratégie de Croissance et de Réduction de la Pauvreté (DSCRP années svp)</w:t>
            </w:r>
            <w:bookmarkEnd w:id="154"/>
            <w:bookmarkEnd w:id="155"/>
            <w:bookmarkEnd w:id="156"/>
            <w:bookmarkEnd w:id="157"/>
            <w:bookmarkEnd w:id="158"/>
            <w:bookmarkEnd w:id="159"/>
            <w:bookmarkEnd w:id="160"/>
            <w:bookmarkEnd w:id="161"/>
            <w:bookmarkEnd w:id="162"/>
            <w:bookmarkEnd w:id="163"/>
            <w:bookmarkEnd w:id="164"/>
          </w:p>
          <w:p w14:paraId="1987C077"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07EF675B" w14:textId="77777777" w:rsidR="00647F6F" w:rsidRPr="00D75D2E" w:rsidRDefault="00647F6F" w:rsidP="00422EE3">
            <w:pPr>
              <w:spacing w:after="0" w:line="240" w:lineRule="auto"/>
              <w:jc w:val="both"/>
              <w:rPr>
                <w:rFonts w:ascii="Times New Roman" w:eastAsia="Times New Roman" w:hAnsi="Times New Roman"/>
                <w:b/>
                <w:bCs/>
                <w:szCs w:val="24"/>
                <w:lang w:eastAsia="fr-FR"/>
              </w:rPr>
            </w:pPr>
            <w:bookmarkStart w:id="165" w:name="_Toc448605172"/>
            <w:bookmarkStart w:id="166" w:name="_Toc448738227"/>
            <w:bookmarkStart w:id="167" w:name="_Toc448738733"/>
            <w:bookmarkStart w:id="168" w:name="_Toc448867549"/>
            <w:bookmarkStart w:id="169" w:name="_Toc448931912"/>
            <w:bookmarkStart w:id="170" w:name="_Toc449170029"/>
            <w:bookmarkStart w:id="171" w:name="_Toc449202508"/>
            <w:bookmarkStart w:id="172" w:name="_Toc449514519"/>
            <w:bookmarkStart w:id="173" w:name="_Toc456722119"/>
            <w:bookmarkStart w:id="174" w:name="_Toc463440140"/>
            <w:bookmarkStart w:id="175" w:name="_Toc463443045"/>
            <w:r w:rsidRPr="00D75D2E">
              <w:rPr>
                <w:rFonts w:ascii="Times New Roman" w:eastAsia="Times New Roman" w:hAnsi="Times New Roman"/>
                <w:szCs w:val="24"/>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165"/>
            <w:bookmarkEnd w:id="166"/>
            <w:bookmarkEnd w:id="167"/>
            <w:bookmarkEnd w:id="168"/>
            <w:bookmarkEnd w:id="169"/>
            <w:bookmarkEnd w:id="170"/>
            <w:bookmarkEnd w:id="171"/>
            <w:bookmarkEnd w:id="172"/>
            <w:bookmarkEnd w:id="173"/>
            <w:bookmarkEnd w:id="174"/>
            <w:bookmarkEnd w:id="175"/>
            <w:r w:rsidRPr="00D75D2E">
              <w:rPr>
                <w:rFonts w:ascii="Times New Roman" w:eastAsia="Times New Roman" w:hAnsi="Times New Roman"/>
                <w:szCs w:val="24"/>
                <w:lang w:eastAsia="fr-FR"/>
              </w:rPr>
              <w:t>.</w:t>
            </w:r>
          </w:p>
        </w:tc>
      </w:tr>
      <w:tr w:rsidR="00647F6F" w:rsidRPr="00420C1B" w14:paraId="03743119" w14:textId="77777777" w:rsidTr="00E737B4">
        <w:tc>
          <w:tcPr>
            <w:tcW w:w="1843" w:type="dxa"/>
            <w:vAlign w:val="center"/>
          </w:tcPr>
          <w:p w14:paraId="2FEC7145"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176" w:name="_Toc185344555"/>
            <w:bookmarkStart w:id="177" w:name="_Toc333853327"/>
            <w:bookmarkStart w:id="178" w:name="_Toc444435686"/>
          </w:p>
          <w:p w14:paraId="1CC23212" w14:textId="2246CFCE"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179" w:name="_Toc448605173"/>
            <w:bookmarkStart w:id="180" w:name="_Toc448738228"/>
            <w:bookmarkStart w:id="181" w:name="_Toc448738734"/>
            <w:bookmarkStart w:id="182" w:name="_Toc448867550"/>
            <w:bookmarkStart w:id="183" w:name="_Toc448931913"/>
            <w:bookmarkStart w:id="184" w:name="_Toc449170030"/>
            <w:bookmarkStart w:id="185" w:name="_Toc449202509"/>
            <w:bookmarkStart w:id="186" w:name="_Toc449514520"/>
            <w:bookmarkStart w:id="187" w:name="_Toc456722120"/>
            <w:bookmarkStart w:id="188" w:name="_Toc463440141"/>
            <w:bookmarkStart w:id="189" w:name="_Toc463443046"/>
            <w:r w:rsidRPr="00D75D2E">
              <w:rPr>
                <w:rFonts w:ascii="Times New Roman" w:eastAsia="Times New Roman" w:hAnsi="Times New Roman"/>
                <w:b/>
                <w:i/>
                <w:sz w:val="20"/>
                <w:szCs w:val="24"/>
                <w:lang w:eastAsia="fr-FR"/>
              </w:rPr>
              <w:t>Politique sanitaire et d’hygiène du milieu</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tc>
        <w:tc>
          <w:tcPr>
            <w:tcW w:w="2410" w:type="dxa"/>
          </w:tcPr>
          <w:p w14:paraId="61079363" w14:textId="07B40AD8" w:rsidR="00647F6F" w:rsidRPr="00D75D2E" w:rsidRDefault="00647F6F" w:rsidP="00422EE3">
            <w:pPr>
              <w:spacing w:after="0" w:line="240" w:lineRule="auto"/>
              <w:jc w:val="both"/>
              <w:rPr>
                <w:rFonts w:ascii="Times New Roman" w:eastAsia="Times New Roman" w:hAnsi="Times New Roman"/>
                <w:szCs w:val="24"/>
                <w:lang w:eastAsia="fr-FR"/>
              </w:rPr>
            </w:pPr>
            <w:bookmarkStart w:id="190" w:name="_Toc463439423"/>
            <w:bookmarkStart w:id="191" w:name="_Toc471307780"/>
            <w:bookmarkStart w:id="192" w:name="_Toc471926920"/>
            <w:bookmarkStart w:id="193" w:name="_Toc475991700"/>
            <w:bookmarkStart w:id="194" w:name="_Toc487790315"/>
            <w:bookmarkStart w:id="195" w:name="_Toc444435687"/>
            <w:bookmarkStart w:id="196" w:name="_Toc448605174"/>
            <w:bookmarkStart w:id="197" w:name="_Toc448738229"/>
            <w:bookmarkStart w:id="198" w:name="_Toc448738735"/>
            <w:bookmarkStart w:id="199" w:name="_Toc448867551"/>
            <w:bookmarkStart w:id="200" w:name="_Toc448931914"/>
            <w:bookmarkStart w:id="201" w:name="_Toc449170031"/>
            <w:bookmarkStart w:id="202" w:name="_Toc449202510"/>
            <w:bookmarkStart w:id="203" w:name="_Toc449514521"/>
            <w:bookmarkStart w:id="204" w:name="_Toc456722121"/>
            <w:bookmarkStart w:id="205" w:name="_Toc463440142"/>
            <w:bookmarkStart w:id="206" w:name="_Toc463443047"/>
            <w:r w:rsidRPr="00D75D2E">
              <w:rPr>
                <w:rFonts w:ascii="Times New Roman" w:eastAsia="Times New Roman" w:hAnsi="Times New Roman"/>
                <w:szCs w:val="24"/>
                <w:lang w:eastAsia="fr-FR"/>
              </w:rPr>
              <w:t>Plan National de Développement Sanitaire (PNDS 2016-2020)</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tc>
        <w:tc>
          <w:tcPr>
            <w:tcW w:w="4927" w:type="dxa"/>
          </w:tcPr>
          <w:p w14:paraId="7AAE154D" w14:textId="7F102826" w:rsidR="00647F6F" w:rsidRPr="00D75D2E" w:rsidRDefault="00647F6F" w:rsidP="00422EE3">
            <w:pPr>
              <w:spacing w:after="0" w:line="240" w:lineRule="auto"/>
              <w:jc w:val="both"/>
              <w:rPr>
                <w:rFonts w:ascii="Times New Roman" w:eastAsia="Times New Roman" w:hAnsi="Times New Roman"/>
                <w:b/>
                <w:bCs/>
                <w:szCs w:val="24"/>
                <w:lang w:eastAsia="fr-FR"/>
              </w:rPr>
            </w:pPr>
            <w:bookmarkStart w:id="207" w:name="_Toc463439424"/>
            <w:bookmarkStart w:id="208" w:name="_Toc471307781"/>
            <w:bookmarkStart w:id="209" w:name="_Toc471926921"/>
            <w:bookmarkStart w:id="210" w:name="_Toc475991701"/>
            <w:bookmarkStart w:id="211" w:name="_Toc487790316"/>
            <w:bookmarkStart w:id="212" w:name="_Toc448605175"/>
            <w:bookmarkStart w:id="213" w:name="_Toc448738230"/>
            <w:bookmarkStart w:id="214" w:name="_Toc448738736"/>
            <w:bookmarkStart w:id="215" w:name="_Toc448867552"/>
            <w:bookmarkStart w:id="216" w:name="_Toc448931915"/>
            <w:bookmarkStart w:id="217" w:name="_Toc449170032"/>
            <w:bookmarkStart w:id="218" w:name="_Toc449202511"/>
            <w:bookmarkStart w:id="219" w:name="_Toc449514522"/>
            <w:bookmarkStart w:id="220" w:name="_Toc456722122"/>
            <w:bookmarkStart w:id="221" w:name="_Toc463440143"/>
            <w:bookmarkStart w:id="222" w:name="_Toc463443048"/>
            <w:r w:rsidRPr="00D75D2E">
              <w:rPr>
                <w:rFonts w:ascii="Times New Roman" w:eastAsia="Times New Roman" w:hAnsi="Times New Roman"/>
                <w:szCs w:val="24"/>
                <w:lang w:eastAsia="fr-FR"/>
              </w:rPr>
              <w:t>Le but du PNDS est de contribuer au bien-être de la population congolaise d’ici 2020.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tc>
      </w:tr>
      <w:tr w:rsidR="00647F6F" w:rsidRPr="00420C1B" w14:paraId="51AE3B9F" w14:textId="77777777" w:rsidTr="0004235D">
        <w:tc>
          <w:tcPr>
            <w:tcW w:w="1843" w:type="dxa"/>
            <w:vAlign w:val="center"/>
          </w:tcPr>
          <w:p w14:paraId="1B8C44F5"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223" w:name="_Toc333853328"/>
            <w:bookmarkStart w:id="224" w:name="_Toc444435688"/>
          </w:p>
          <w:p w14:paraId="6F3E194F"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r w:rsidRPr="00D75D2E">
              <w:rPr>
                <w:rFonts w:ascii="Times New Roman" w:eastAsia="Times New Roman" w:hAnsi="Times New Roman"/>
                <w:b/>
                <w:i/>
                <w:sz w:val="20"/>
                <w:szCs w:val="24"/>
                <w:lang w:eastAsia="fr-FR"/>
              </w:rPr>
              <w:t xml:space="preserve">Politique d’assainissement </w:t>
            </w:r>
          </w:p>
          <w:bookmarkEnd w:id="223"/>
          <w:bookmarkEnd w:id="224"/>
          <w:p w14:paraId="3C5DCF48" w14:textId="77777777" w:rsidR="00647F6F" w:rsidRPr="00D75D2E" w:rsidRDefault="00647F6F" w:rsidP="00422EE3">
            <w:pPr>
              <w:spacing w:after="0" w:line="240" w:lineRule="auto"/>
              <w:jc w:val="both"/>
              <w:rPr>
                <w:rFonts w:ascii="Times New Roman" w:eastAsia="Times New Roman" w:hAnsi="Times New Roman"/>
                <w:b/>
                <w:bCs/>
                <w:sz w:val="20"/>
                <w:szCs w:val="24"/>
                <w:lang w:eastAsia="fr-FR"/>
              </w:rPr>
            </w:pPr>
          </w:p>
        </w:tc>
        <w:tc>
          <w:tcPr>
            <w:tcW w:w="2410" w:type="dxa"/>
            <w:vAlign w:val="center"/>
          </w:tcPr>
          <w:p w14:paraId="75E5C010"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Stratégie nationale d’assainissement en milieu rural et périurbain (en cours d’élaboration)</w:t>
            </w:r>
          </w:p>
        </w:tc>
        <w:tc>
          <w:tcPr>
            <w:tcW w:w="4927" w:type="dxa"/>
          </w:tcPr>
          <w:p w14:paraId="0A062DE3" w14:textId="77777777" w:rsidR="00647F6F" w:rsidRPr="00D75D2E" w:rsidRDefault="00647F6F" w:rsidP="00E737B4">
            <w:pPr>
              <w:spacing w:after="12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La SNA fait siens les neuf objectifs spécifiques de la PNA, à savoir : </w:t>
            </w:r>
          </w:p>
          <w:p w14:paraId="2A1B0B8C"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Promouvoir les approches pro-pauvres pour la mise en place des infrastructures et la prestation des services d’assainissement ; </w:t>
            </w:r>
          </w:p>
          <w:p w14:paraId="6A96C888"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Valoriser le secteur de l’assainissement auprès de toutes les parties prenantes ; </w:t>
            </w:r>
          </w:p>
          <w:p w14:paraId="3597FEF8"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Mettre en place des mécanismes de mobilisation des ressources financières endogènes et exogènes du secteur de l’assainissement ;</w:t>
            </w:r>
          </w:p>
          <w:p w14:paraId="231D49B6"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Améliorer la gouvernance du secteur de l’assainissement ; </w:t>
            </w:r>
          </w:p>
          <w:p w14:paraId="35A187E3"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Impulser un changement de mentalité et de comportement en matière d’assainissement ; </w:t>
            </w:r>
          </w:p>
          <w:p w14:paraId="10E6CEDB"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Harmoniser les différentes approches dans le secteur de l’assainissement ; </w:t>
            </w:r>
          </w:p>
          <w:p w14:paraId="019A74AA" w14:textId="77777777" w:rsidR="00647F6F" w:rsidRPr="00D75D2E" w:rsidRDefault="00647F6F" w:rsidP="008C79F0">
            <w:pPr>
              <w:numPr>
                <w:ilvl w:val="0"/>
                <w:numId w:val="226"/>
              </w:numPr>
              <w:spacing w:after="0" w:line="240" w:lineRule="auto"/>
              <w:contextualSpacing/>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 xml:space="preserve">Promouvoir l’élaboration et la mise en œuvre des programmes sous-sectoriels ; </w:t>
            </w:r>
          </w:p>
          <w:p w14:paraId="1D7A4DB7" w14:textId="77777777" w:rsidR="0004235D" w:rsidRDefault="00647F6F" w:rsidP="008C79F0">
            <w:pPr>
              <w:numPr>
                <w:ilvl w:val="0"/>
                <w:numId w:val="145"/>
              </w:numPr>
              <w:spacing w:after="0" w:line="240" w:lineRule="auto"/>
              <w:ind w:left="425"/>
              <w:contextualSpacing/>
              <w:jc w:val="both"/>
              <w:rPr>
                <w:rFonts w:ascii="Times New Roman" w:eastAsia="Times New Roman" w:hAnsi="Times New Roman"/>
                <w:szCs w:val="24"/>
                <w:lang w:eastAsia="fr-FR"/>
              </w:rPr>
            </w:pPr>
            <w:r w:rsidRPr="0004235D">
              <w:rPr>
                <w:rFonts w:ascii="Times New Roman" w:eastAsia="Times New Roman" w:hAnsi="Times New Roman"/>
                <w:szCs w:val="24"/>
                <w:lang w:eastAsia="fr-FR"/>
              </w:rPr>
              <w:t>Promouvoir le respect de l’égalité du genre ;</w:t>
            </w:r>
          </w:p>
          <w:p w14:paraId="7804228C" w14:textId="77777777" w:rsidR="00647F6F" w:rsidRPr="0004235D" w:rsidRDefault="00647F6F" w:rsidP="008C79F0">
            <w:pPr>
              <w:numPr>
                <w:ilvl w:val="0"/>
                <w:numId w:val="145"/>
              </w:numPr>
              <w:spacing w:after="0" w:line="240" w:lineRule="auto"/>
              <w:ind w:left="425"/>
              <w:contextualSpacing/>
              <w:jc w:val="both"/>
              <w:rPr>
                <w:rFonts w:ascii="Times New Roman" w:eastAsia="Times New Roman" w:hAnsi="Times New Roman"/>
                <w:szCs w:val="24"/>
                <w:lang w:eastAsia="fr-FR"/>
              </w:rPr>
            </w:pPr>
            <w:r w:rsidRPr="0004235D">
              <w:rPr>
                <w:rFonts w:ascii="Times New Roman" w:eastAsia="Times New Roman" w:hAnsi="Times New Roman"/>
                <w:szCs w:val="24"/>
                <w:lang w:eastAsia="fr-FR"/>
              </w:rPr>
              <w:t xml:space="preserve">Contribuer à l’amélioration de la santé publique en raison de nombreuses maladies liées à un milieu insalubre. </w:t>
            </w:r>
          </w:p>
        </w:tc>
      </w:tr>
      <w:tr w:rsidR="00647F6F" w:rsidRPr="00420C1B" w14:paraId="62CB25C3" w14:textId="77777777" w:rsidTr="00E737B4">
        <w:tc>
          <w:tcPr>
            <w:tcW w:w="1843" w:type="dxa"/>
            <w:vAlign w:val="center"/>
          </w:tcPr>
          <w:p w14:paraId="2432346E" w14:textId="442EBA1E"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225" w:name="_Toc463440146"/>
            <w:bookmarkStart w:id="226" w:name="_Toc463443051"/>
            <w:r w:rsidRPr="00D75D2E">
              <w:rPr>
                <w:rFonts w:ascii="Times New Roman" w:eastAsia="Times New Roman" w:hAnsi="Times New Roman"/>
                <w:b/>
                <w:i/>
                <w:sz w:val="20"/>
                <w:szCs w:val="24"/>
                <w:lang w:eastAsia="fr-FR"/>
              </w:rPr>
              <w:t>Politique foncière</w:t>
            </w:r>
            <w:bookmarkEnd w:id="225"/>
            <w:bookmarkEnd w:id="226"/>
          </w:p>
        </w:tc>
        <w:tc>
          <w:tcPr>
            <w:tcW w:w="2410" w:type="dxa"/>
            <w:vAlign w:val="center"/>
          </w:tcPr>
          <w:p w14:paraId="3512287E" w14:textId="55A83EB5" w:rsidR="00647F6F" w:rsidRPr="00D75D2E" w:rsidRDefault="00647F6F" w:rsidP="00422EE3">
            <w:pPr>
              <w:spacing w:after="0" w:line="240" w:lineRule="auto"/>
              <w:jc w:val="both"/>
              <w:rPr>
                <w:rFonts w:ascii="Times New Roman" w:eastAsia="Times New Roman" w:hAnsi="Times New Roman"/>
                <w:szCs w:val="24"/>
                <w:lang w:eastAsia="fr-FR"/>
              </w:rPr>
            </w:pPr>
            <w:bookmarkStart w:id="227" w:name="_Toc463440147"/>
            <w:bookmarkStart w:id="228" w:name="_Toc463443052"/>
            <w:r w:rsidRPr="00D75D2E">
              <w:rPr>
                <w:rFonts w:ascii="Times New Roman" w:eastAsia="Times New Roman" w:hAnsi="Times New Roman"/>
                <w:szCs w:val="24"/>
                <w:lang w:eastAsia="fr-FR"/>
              </w:rPr>
              <w:t>Programme de réforme foncière</w:t>
            </w:r>
            <w:bookmarkEnd w:id="227"/>
            <w:bookmarkEnd w:id="228"/>
          </w:p>
          <w:p w14:paraId="14A83D06" w14:textId="77777777" w:rsidR="00647F6F" w:rsidRPr="00D75D2E" w:rsidRDefault="00647F6F" w:rsidP="00422EE3">
            <w:pPr>
              <w:spacing w:after="0" w:line="240" w:lineRule="auto"/>
              <w:jc w:val="both"/>
              <w:rPr>
                <w:rFonts w:ascii="Times New Roman" w:eastAsia="Times New Roman" w:hAnsi="Times New Roman"/>
                <w:szCs w:val="24"/>
                <w:lang w:eastAsia="fr-FR"/>
              </w:rPr>
            </w:pPr>
          </w:p>
        </w:tc>
        <w:tc>
          <w:tcPr>
            <w:tcW w:w="4927" w:type="dxa"/>
          </w:tcPr>
          <w:p w14:paraId="1539BB17"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647F6F" w:rsidRPr="00420C1B" w14:paraId="54A024FC" w14:textId="77777777" w:rsidTr="00E737B4">
        <w:tc>
          <w:tcPr>
            <w:tcW w:w="1843" w:type="dxa"/>
            <w:vAlign w:val="center"/>
          </w:tcPr>
          <w:p w14:paraId="2674A3D3" w14:textId="6CDE0074" w:rsidR="00647F6F" w:rsidRPr="00D75D2E" w:rsidRDefault="00647F6F" w:rsidP="00422EE3">
            <w:pPr>
              <w:spacing w:after="0" w:line="240" w:lineRule="auto"/>
              <w:jc w:val="both"/>
              <w:rPr>
                <w:rFonts w:ascii="Times New Roman" w:eastAsia="Times New Roman" w:hAnsi="Times New Roman"/>
                <w:b/>
                <w:i/>
                <w:sz w:val="20"/>
                <w:szCs w:val="24"/>
                <w:lang w:eastAsia="fr-FR"/>
              </w:rPr>
            </w:pPr>
            <w:bookmarkStart w:id="229" w:name="_Toc463440148"/>
            <w:bookmarkStart w:id="230" w:name="_Toc463443053"/>
            <w:r w:rsidRPr="00D75D2E">
              <w:rPr>
                <w:rFonts w:ascii="Times New Roman" w:eastAsia="Times New Roman" w:hAnsi="Times New Roman"/>
                <w:b/>
                <w:i/>
                <w:sz w:val="20"/>
                <w:szCs w:val="24"/>
                <w:lang w:eastAsia="fr-FR"/>
              </w:rPr>
              <w:t xml:space="preserve">Politique </w:t>
            </w:r>
            <w:r w:rsidR="006C1F98">
              <w:rPr>
                <w:rFonts w:ascii="Times New Roman" w:eastAsia="Times New Roman" w:hAnsi="Times New Roman"/>
                <w:b/>
                <w:i/>
                <w:sz w:val="20"/>
                <w:szCs w:val="24"/>
                <w:lang w:eastAsia="fr-FR"/>
              </w:rPr>
              <w:t xml:space="preserve">de protection </w:t>
            </w:r>
            <w:r w:rsidRPr="00D75D2E">
              <w:rPr>
                <w:rFonts w:ascii="Times New Roman" w:eastAsia="Times New Roman" w:hAnsi="Times New Roman"/>
                <w:b/>
                <w:i/>
                <w:sz w:val="20"/>
                <w:szCs w:val="24"/>
                <w:lang w:eastAsia="fr-FR"/>
              </w:rPr>
              <w:t>sociale</w:t>
            </w:r>
            <w:bookmarkEnd w:id="229"/>
            <w:bookmarkEnd w:id="230"/>
          </w:p>
        </w:tc>
        <w:tc>
          <w:tcPr>
            <w:tcW w:w="2410" w:type="dxa"/>
            <w:vAlign w:val="center"/>
          </w:tcPr>
          <w:p w14:paraId="63BDA466" w14:textId="74B57A51" w:rsidR="00647F6F" w:rsidRPr="00D75D2E" w:rsidRDefault="00647F6F" w:rsidP="00422EE3">
            <w:pPr>
              <w:spacing w:after="0" w:line="240" w:lineRule="auto"/>
              <w:jc w:val="both"/>
              <w:rPr>
                <w:rFonts w:ascii="Times New Roman" w:eastAsia="Times New Roman" w:hAnsi="Times New Roman"/>
                <w:szCs w:val="24"/>
                <w:lang w:eastAsia="fr-FR"/>
              </w:rPr>
            </w:pPr>
            <w:bookmarkStart w:id="231" w:name="_Toc463440149"/>
            <w:bookmarkStart w:id="232" w:name="_Toc463443054"/>
            <w:r w:rsidRPr="00D75D2E">
              <w:rPr>
                <w:rFonts w:ascii="Times New Roman" w:eastAsia="Times New Roman" w:hAnsi="Times New Roman"/>
                <w:szCs w:val="24"/>
                <w:lang w:eastAsia="fr-FR"/>
              </w:rPr>
              <w:t>Document stratégique sur la politique nationale de la protection sociale, 2015</w:t>
            </w:r>
            <w:bookmarkEnd w:id="231"/>
            <w:bookmarkEnd w:id="232"/>
          </w:p>
        </w:tc>
        <w:tc>
          <w:tcPr>
            <w:tcW w:w="4927" w:type="dxa"/>
          </w:tcPr>
          <w:p w14:paraId="7D58D995"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L’objectif est la mise en place effective d’une politique nationale de la protection sociale en RDC, assurant à tous les Congolais et à toutes les Congolaises une couverture sanitaire universelle ».</w:t>
            </w:r>
          </w:p>
        </w:tc>
      </w:tr>
      <w:tr w:rsidR="00647F6F" w:rsidRPr="00420C1B" w14:paraId="2038537E" w14:textId="77777777" w:rsidTr="00E737B4">
        <w:tc>
          <w:tcPr>
            <w:tcW w:w="1843" w:type="dxa"/>
            <w:vMerge w:val="restart"/>
            <w:vAlign w:val="center"/>
          </w:tcPr>
          <w:p w14:paraId="1EB7BB21" w14:textId="11AF7133" w:rsidR="00647F6F" w:rsidRPr="00D75D2E" w:rsidRDefault="00647F6F" w:rsidP="00422EE3">
            <w:pPr>
              <w:spacing w:after="0" w:line="240" w:lineRule="auto"/>
              <w:jc w:val="both"/>
              <w:rPr>
                <w:rFonts w:ascii="Times New Roman" w:eastAsia="Times New Roman" w:hAnsi="Times New Roman"/>
                <w:b/>
                <w:i/>
                <w:lang w:eastAsia="fr-FR"/>
              </w:rPr>
            </w:pPr>
            <w:bookmarkStart w:id="233" w:name="_Toc463440150"/>
            <w:bookmarkStart w:id="234" w:name="_Toc463443055"/>
            <w:r w:rsidRPr="00D75D2E">
              <w:rPr>
                <w:rFonts w:ascii="Times New Roman" w:eastAsia="Times New Roman" w:hAnsi="Times New Roman"/>
                <w:b/>
                <w:i/>
                <w:lang w:eastAsia="fr-FR"/>
              </w:rPr>
              <w:t>Politique genre</w:t>
            </w:r>
            <w:bookmarkEnd w:id="233"/>
            <w:bookmarkEnd w:id="234"/>
          </w:p>
        </w:tc>
        <w:tc>
          <w:tcPr>
            <w:tcW w:w="2410" w:type="dxa"/>
          </w:tcPr>
          <w:p w14:paraId="0992A3D4" w14:textId="77777777" w:rsidR="00647F6F" w:rsidRPr="00D75D2E" w:rsidRDefault="00647F6F" w:rsidP="00422EE3">
            <w:pPr>
              <w:spacing w:after="0" w:line="240" w:lineRule="auto"/>
              <w:jc w:val="both"/>
              <w:rPr>
                <w:rFonts w:ascii="Times New Roman" w:eastAsia="Times New Roman" w:hAnsi="Times New Roman"/>
                <w:lang w:eastAsia="fr-FR"/>
              </w:rPr>
            </w:pPr>
            <w:bookmarkStart w:id="235" w:name="_Toc463439432"/>
            <w:bookmarkStart w:id="236" w:name="_Toc471307789"/>
            <w:bookmarkStart w:id="237" w:name="_Toc471926929"/>
            <w:bookmarkStart w:id="238" w:name="_Toc475991709"/>
            <w:bookmarkStart w:id="239" w:name="_Toc487790324"/>
            <w:bookmarkStart w:id="240" w:name="_Toc463440151"/>
            <w:bookmarkStart w:id="241" w:name="_Toc463443056"/>
            <w:r w:rsidRPr="00D75D2E">
              <w:rPr>
                <w:rFonts w:ascii="Times New Roman" w:eastAsia="Times New Roman" w:hAnsi="Times New Roman"/>
                <w:lang w:eastAsia="fr-FR"/>
              </w:rPr>
              <w:t xml:space="preserve">Stratégie nationale de lutte contre les violences basées sur le genre révisée (SNVBG), novembre </w:t>
            </w:r>
            <w:bookmarkEnd w:id="235"/>
            <w:bookmarkEnd w:id="236"/>
            <w:bookmarkEnd w:id="237"/>
            <w:bookmarkEnd w:id="238"/>
            <w:bookmarkEnd w:id="239"/>
            <w:r w:rsidRPr="00D75D2E">
              <w:rPr>
                <w:rFonts w:ascii="Times New Roman" w:eastAsia="Times New Roman" w:hAnsi="Times New Roman"/>
                <w:lang w:eastAsia="fr-FR"/>
              </w:rPr>
              <w:t>2019</w:t>
            </w:r>
          </w:p>
          <w:bookmarkEnd w:id="240"/>
          <w:bookmarkEnd w:id="241"/>
          <w:p w14:paraId="59A3B064" w14:textId="77777777" w:rsidR="00647F6F" w:rsidRPr="00D75D2E" w:rsidRDefault="00647F6F" w:rsidP="00422EE3">
            <w:pPr>
              <w:spacing w:after="0" w:line="240" w:lineRule="auto"/>
              <w:jc w:val="both"/>
              <w:rPr>
                <w:rFonts w:ascii="Times New Roman" w:eastAsia="Times New Roman" w:hAnsi="Times New Roman"/>
                <w:lang w:eastAsia="fr-FR"/>
              </w:rPr>
            </w:pPr>
          </w:p>
        </w:tc>
        <w:tc>
          <w:tcPr>
            <w:tcW w:w="4927" w:type="dxa"/>
          </w:tcPr>
          <w:p w14:paraId="77B2C4E4" w14:textId="77777777" w:rsidR="00647F6F" w:rsidRPr="00D75D2E" w:rsidRDefault="00647F6F" w:rsidP="00422EE3">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L’Objectif global de la présente Stratégie Nationale de lutte contre les violences basées sur le genre révisée est de fournir au Gouvernement, à ses partenaires techniques et financiers  et à l’ensemble des acteurs, un cadre de référence, d’orientation des programmes et d’activités visant à contribuer à la prévention et à l’élimination des VBG ainsi qu’à la prise en charge holistique des victimes et survivantes, en vue de promouvoir et de défendre les droits humains de la femme congolaise, mais aussi sa dignité, d’améliorer ses conditions de vie, et de garantir sa contribution au développement du pays.</w:t>
            </w:r>
          </w:p>
        </w:tc>
      </w:tr>
      <w:tr w:rsidR="00647F6F" w:rsidRPr="00420C1B" w14:paraId="6D438FE1" w14:textId="77777777" w:rsidTr="00E737B4">
        <w:tc>
          <w:tcPr>
            <w:tcW w:w="1843" w:type="dxa"/>
            <w:vMerge/>
            <w:vAlign w:val="center"/>
          </w:tcPr>
          <w:p w14:paraId="2BE7DB92" w14:textId="77777777" w:rsidR="00647F6F" w:rsidRPr="00D75D2E" w:rsidRDefault="00647F6F" w:rsidP="00422EE3">
            <w:pPr>
              <w:spacing w:after="0" w:line="240" w:lineRule="auto"/>
              <w:jc w:val="both"/>
              <w:rPr>
                <w:rFonts w:ascii="Times New Roman" w:eastAsia="Times New Roman" w:hAnsi="Times New Roman"/>
                <w:b/>
                <w:i/>
                <w:sz w:val="20"/>
                <w:szCs w:val="24"/>
                <w:lang w:eastAsia="fr-FR"/>
              </w:rPr>
            </w:pPr>
          </w:p>
        </w:tc>
        <w:tc>
          <w:tcPr>
            <w:tcW w:w="2410" w:type="dxa"/>
            <w:vAlign w:val="center"/>
          </w:tcPr>
          <w:p w14:paraId="78DF3EDC" w14:textId="05B0162B" w:rsidR="00647F6F" w:rsidRPr="00D75D2E" w:rsidRDefault="00647F6F" w:rsidP="00422EE3">
            <w:pPr>
              <w:spacing w:after="0" w:line="240" w:lineRule="auto"/>
              <w:jc w:val="both"/>
              <w:rPr>
                <w:rFonts w:ascii="Times New Roman" w:eastAsia="Times New Roman" w:hAnsi="Times New Roman"/>
                <w:szCs w:val="24"/>
                <w:lang w:eastAsia="fr-FR"/>
              </w:rPr>
            </w:pPr>
            <w:bookmarkStart w:id="242" w:name="_Toc463440152"/>
            <w:bookmarkStart w:id="243" w:name="_Toc463443057"/>
            <w:r w:rsidRPr="00D75D2E">
              <w:rPr>
                <w:rFonts w:ascii="Times New Roman" w:eastAsia="Times New Roman" w:hAnsi="Times New Roman"/>
                <w:szCs w:val="24"/>
                <w:lang w:eastAsia="fr-FR"/>
              </w:rPr>
              <w:t>Politique Nationale d’Intégration du Genre, de Promotion de la Famille et de la Protection de l’Enfant:</w:t>
            </w:r>
            <w:bookmarkEnd w:id="242"/>
            <w:bookmarkEnd w:id="243"/>
          </w:p>
        </w:tc>
        <w:tc>
          <w:tcPr>
            <w:tcW w:w="4927" w:type="dxa"/>
          </w:tcPr>
          <w:p w14:paraId="277B816C" w14:textId="77777777" w:rsidR="00647F6F" w:rsidRPr="00D75D2E" w:rsidRDefault="00647F6F" w:rsidP="00422EE3">
            <w:p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La politique vise les objectifs suivants :</w:t>
            </w:r>
          </w:p>
          <w:p w14:paraId="4820DDAE" w14:textId="77777777" w:rsidR="00647F6F" w:rsidRPr="00D75D2E" w:rsidRDefault="00647F6F" w:rsidP="008C79F0">
            <w:pPr>
              <w:numPr>
                <w:ilvl w:val="0"/>
                <w:numId w:val="144"/>
              </w:num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Promouvoir l’accès à l’éducation et à la formation de tous, surtout des filles/femmes</w:t>
            </w:r>
          </w:p>
          <w:p w14:paraId="2FE5470F" w14:textId="77777777" w:rsidR="00647F6F" w:rsidRPr="00D75D2E" w:rsidRDefault="00647F6F" w:rsidP="008C79F0">
            <w:pPr>
              <w:numPr>
                <w:ilvl w:val="0"/>
                <w:numId w:val="144"/>
              </w:num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Œuvrer au renforcement du pouvoir économique des hommes et de la femme</w:t>
            </w:r>
          </w:p>
          <w:p w14:paraId="09E3E50B" w14:textId="77777777" w:rsidR="00647F6F" w:rsidRPr="00D75D2E" w:rsidRDefault="00647F6F" w:rsidP="008C79F0">
            <w:pPr>
              <w:numPr>
                <w:ilvl w:val="0"/>
                <w:numId w:val="144"/>
              </w:num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Travailler à la réduction de la vulnérabilité de la Population Congolaise en particulier celle de la femme</w:t>
            </w:r>
          </w:p>
          <w:p w14:paraId="06D67B44" w14:textId="77777777" w:rsidR="00647F6F" w:rsidRPr="00D75D2E" w:rsidRDefault="00647F6F" w:rsidP="008C79F0">
            <w:pPr>
              <w:numPr>
                <w:ilvl w:val="0"/>
                <w:numId w:val="144"/>
              </w:numPr>
              <w:spacing w:after="0" w:line="240" w:lineRule="auto"/>
              <w:jc w:val="both"/>
              <w:rPr>
                <w:rFonts w:ascii="Times New Roman" w:eastAsia="Times New Roman" w:hAnsi="Times New Roman"/>
                <w:szCs w:val="24"/>
                <w:lang w:eastAsia="fr-FR"/>
              </w:rPr>
            </w:pPr>
            <w:r w:rsidRPr="00D75D2E">
              <w:rPr>
                <w:rFonts w:ascii="Times New Roman" w:eastAsia="Times New Roman" w:hAnsi="Times New Roman"/>
                <w:szCs w:val="24"/>
                <w:lang w:eastAsia="fr-FR"/>
              </w:rPr>
              <w:t>Contribuer à l’amélioration de la participation citoyenne et politique et encourager la femme dans ce secteur</w:t>
            </w:r>
          </w:p>
        </w:tc>
      </w:tr>
    </w:tbl>
    <w:p w14:paraId="53F3A312" w14:textId="77777777" w:rsidR="00FB3D81" w:rsidRPr="00024B30" w:rsidRDefault="00FB3D81" w:rsidP="00E737B4">
      <w:pPr>
        <w:spacing w:before="120" w:after="120" w:line="240" w:lineRule="auto"/>
        <w:jc w:val="center"/>
        <w:rPr>
          <w:rFonts w:ascii="Times New Roman" w:hAnsi="Times New Roman"/>
          <w:bCs/>
          <w:i/>
        </w:rPr>
      </w:pPr>
      <w:r w:rsidRPr="00024B30">
        <w:rPr>
          <w:rFonts w:ascii="Times New Roman" w:hAnsi="Times New Roman"/>
          <w:bCs/>
          <w:i/>
          <w:u w:val="single"/>
        </w:rPr>
        <w:t>Source </w:t>
      </w:r>
      <w:r w:rsidRPr="00024B30">
        <w:rPr>
          <w:rFonts w:ascii="Times New Roman" w:hAnsi="Times New Roman"/>
          <w:bCs/>
          <w:i/>
        </w:rPr>
        <w:t>: Mission</w:t>
      </w:r>
      <w:r>
        <w:rPr>
          <w:rFonts w:ascii="Times New Roman" w:hAnsi="Times New Roman"/>
          <w:bCs/>
          <w:i/>
        </w:rPr>
        <w:t xml:space="preserve"> d</w:t>
      </w:r>
      <w:r w:rsidRPr="00024B30">
        <w:rPr>
          <w:rFonts w:ascii="Times New Roman" w:hAnsi="Times New Roman"/>
          <w:bCs/>
          <w:i/>
        </w:rPr>
        <w:t xml:space="preserve">’élaboration de l’EIES DKC </w:t>
      </w:r>
      <w:r w:rsidR="00124BDB">
        <w:rPr>
          <w:rFonts w:ascii="Times New Roman" w:hAnsi="Times New Roman"/>
          <w:bCs/>
          <w:i/>
        </w:rPr>
        <w:t xml:space="preserve">&amp; </w:t>
      </w:r>
      <w:r w:rsidRPr="00024B30">
        <w:rPr>
          <w:rFonts w:ascii="Times New Roman" w:hAnsi="Times New Roman"/>
          <w:bCs/>
          <w:i/>
        </w:rPr>
        <w:t>DKO</w:t>
      </w:r>
      <w:r w:rsidR="00124BDB">
        <w:rPr>
          <w:rFonts w:ascii="Times New Roman" w:hAnsi="Times New Roman"/>
          <w:bCs/>
          <w:i/>
        </w:rPr>
        <w:t xml:space="preserve">, </w:t>
      </w:r>
      <w:r w:rsidRPr="00024B30">
        <w:rPr>
          <w:rFonts w:ascii="Times New Roman" w:hAnsi="Times New Roman"/>
          <w:bCs/>
          <w:i/>
        </w:rPr>
        <w:t>juillet 2021</w:t>
      </w:r>
    </w:p>
    <w:p w14:paraId="44C3DEF4" w14:textId="77777777" w:rsidR="00647F6F" w:rsidRPr="00647F6F" w:rsidRDefault="00647F6F" w:rsidP="00647F6F">
      <w:pPr>
        <w:spacing w:after="0" w:line="240" w:lineRule="auto"/>
        <w:jc w:val="both"/>
        <w:rPr>
          <w:rFonts w:ascii="Times New Roman" w:eastAsia="Times New Roman" w:hAnsi="Times New Roman"/>
          <w:lang w:eastAsia="fr-FR"/>
        </w:rPr>
        <w:sectPr w:rsidR="00647F6F" w:rsidRPr="00647F6F" w:rsidSect="00E737B4">
          <w:headerReference w:type="default" r:id="rId24"/>
          <w:headerReference w:type="first" r:id="rId25"/>
          <w:pgSz w:w="11900" w:h="16840"/>
          <w:pgMar w:top="1418" w:right="1418" w:bottom="1418" w:left="1418" w:header="709" w:footer="709" w:gutter="0"/>
          <w:cols w:space="708"/>
          <w:titlePg/>
          <w:docGrid w:linePitch="360"/>
        </w:sectPr>
      </w:pPr>
    </w:p>
    <w:p w14:paraId="294D0252" w14:textId="77777777" w:rsidR="00221268" w:rsidRPr="00D75D2E" w:rsidRDefault="00221268" w:rsidP="008C79F0">
      <w:pPr>
        <w:pStyle w:val="Titre31"/>
        <w:numPr>
          <w:ilvl w:val="2"/>
          <w:numId w:val="54"/>
        </w:numPr>
        <w:tabs>
          <w:tab w:val="left" w:pos="142"/>
        </w:tabs>
        <w:ind w:left="1225" w:hanging="505"/>
        <w:rPr>
          <w:rFonts w:eastAsia="Calibri"/>
          <w:u w:val="none"/>
        </w:rPr>
      </w:pPr>
      <w:bookmarkStart w:id="244" w:name="_Toc103685606"/>
      <w:r w:rsidRPr="00D75D2E">
        <w:rPr>
          <w:rFonts w:eastAsia="Calibri"/>
          <w:u w:val="none"/>
        </w:rPr>
        <w:t>Cadre normatif lié aux VBG en vigueur en RDC</w:t>
      </w:r>
      <w:bookmarkEnd w:id="244"/>
      <w:r w:rsidRPr="00D75D2E">
        <w:rPr>
          <w:rFonts w:eastAsia="Calibri"/>
          <w:u w:val="none"/>
        </w:rPr>
        <w:t xml:space="preserve"> </w:t>
      </w:r>
    </w:p>
    <w:p w14:paraId="0A5EC8CD" w14:textId="77777777" w:rsidR="00FF7BEB" w:rsidRPr="00800248" w:rsidRDefault="00FF7BEB" w:rsidP="008C79F0">
      <w:pPr>
        <w:pStyle w:val="Paragraphedeliste"/>
        <w:numPr>
          <w:ilvl w:val="3"/>
          <w:numId w:val="54"/>
        </w:numPr>
        <w:spacing w:before="120" w:after="120" w:line="240" w:lineRule="auto"/>
        <w:ind w:left="-284" w:firstLine="851"/>
        <w:jc w:val="both"/>
        <w:rPr>
          <w:rFonts w:ascii="Times New Roman" w:hAnsi="Times New Roman"/>
          <w:b/>
          <w:i/>
          <w:sz w:val="24"/>
          <w:szCs w:val="24"/>
        </w:rPr>
      </w:pPr>
      <w:r w:rsidRPr="00800248">
        <w:rPr>
          <w:rFonts w:ascii="Times New Roman" w:hAnsi="Times New Roman"/>
          <w:b/>
          <w:i/>
          <w:sz w:val="24"/>
          <w:szCs w:val="24"/>
        </w:rPr>
        <w:t xml:space="preserve">Cadre juridique </w:t>
      </w:r>
    </w:p>
    <w:p w14:paraId="714A1F1C"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Le </w:t>
      </w:r>
      <w:r w:rsidRPr="00AE101C">
        <w:rPr>
          <w:rFonts w:ascii="Times New Roman" w:hAnsi="Times New Roman"/>
          <w:sz w:val="24"/>
          <w:szCs w:val="24"/>
        </w:rPr>
        <w:t xml:space="preserve">cadre </w:t>
      </w:r>
      <w:r w:rsidRPr="00AE31F1">
        <w:rPr>
          <w:rFonts w:ascii="Times New Roman" w:hAnsi="Times New Roman"/>
          <w:sz w:val="24"/>
          <w:szCs w:val="24"/>
        </w:rPr>
        <w:t>j</w:t>
      </w:r>
      <w:r w:rsidRPr="00AE101C">
        <w:rPr>
          <w:rFonts w:ascii="Times New Roman" w:hAnsi="Times New Roman"/>
          <w:sz w:val="24"/>
          <w:szCs w:val="24"/>
        </w:rPr>
        <w:t>uridique</w:t>
      </w:r>
      <w:r w:rsidRPr="00D75D2E">
        <w:rPr>
          <w:rFonts w:ascii="Times New Roman" w:hAnsi="Times New Roman"/>
          <w:sz w:val="24"/>
          <w:szCs w:val="24"/>
        </w:rPr>
        <w:t xml:space="preserve"> a été rendu sensible au </w:t>
      </w:r>
      <w:r w:rsidRPr="00583D18">
        <w:rPr>
          <w:rFonts w:ascii="Times New Roman" w:hAnsi="Times New Roman"/>
          <w:sz w:val="24"/>
          <w:szCs w:val="24"/>
        </w:rPr>
        <w:t>genre</w:t>
      </w:r>
      <w:r w:rsidRPr="00D75D2E">
        <w:rPr>
          <w:rFonts w:ascii="Times New Roman" w:hAnsi="Times New Roman"/>
          <w:sz w:val="24"/>
          <w:szCs w:val="24"/>
        </w:rPr>
        <w:t xml:space="preserve"> dans la mesure où la Constitution, à travers </w:t>
      </w:r>
      <w:r w:rsidR="00FF7BEB">
        <w:rPr>
          <w:rFonts w:ascii="Times New Roman" w:hAnsi="Times New Roman"/>
          <w:sz w:val="24"/>
          <w:szCs w:val="24"/>
        </w:rPr>
        <w:t>s</w:t>
      </w:r>
      <w:r w:rsidRPr="00D75D2E">
        <w:rPr>
          <w:rFonts w:ascii="Times New Roman" w:hAnsi="Times New Roman"/>
          <w:sz w:val="24"/>
          <w:szCs w:val="24"/>
        </w:rPr>
        <w:t xml:space="preserve">es articles 12, 13 et 14, prône la nécessité de mettre en œuvre l’égalité des droits, des chances et des sexes entre les Congolaises et les Congolais, ainsi que l’obligation d’éliminer toutes les formes des violences à l’endroit de la femme dans la vie publique et privée. La mise en œuvre des dispositions constitutionnelles ci-dessus évoquées a nécessité la promulgation des lois suivantes : </w:t>
      </w:r>
    </w:p>
    <w:p w14:paraId="43986FAE" w14:textId="77777777" w:rsidR="00221268" w:rsidRPr="00D75D2E"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La Loi n° 06/018 du 20 juillet 2006 modifiant et complétant le Décret du 30 janvier 1940 portant Code pénal congolais criminalise les violences sexuelles et alourdit les peines contre les auteurs ;</w:t>
      </w:r>
    </w:p>
    <w:p w14:paraId="4A013F73" w14:textId="77777777" w:rsidR="00221268" w:rsidRPr="00D75D2E"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La loi n° 09/001 du 10 janvier 2009 portant protection de l’enfant ;</w:t>
      </w:r>
    </w:p>
    <w:p w14:paraId="2CEC056E" w14:textId="77777777" w:rsidR="00221268" w:rsidRPr="00D75D2E"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La loi n° 08/011 du 14 juillet 2008 portant protection des droits des personnes vivant avec le VIH/SIDA et des personnes affectées, intégrant les questions du genre ;</w:t>
      </w:r>
    </w:p>
    <w:p w14:paraId="759920F4" w14:textId="77777777" w:rsidR="00221268" w:rsidRPr="00D75D2E"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Le Code du Travail révisé, qui supprime l’autorisation maritale pour </w:t>
      </w:r>
      <w:r w:rsidR="00D90923">
        <w:rPr>
          <w:rFonts w:ascii="Times New Roman" w:hAnsi="Times New Roman"/>
          <w:sz w:val="24"/>
          <w:szCs w:val="24"/>
        </w:rPr>
        <w:t>l’embauche d</w:t>
      </w:r>
      <w:r w:rsidRPr="00D75D2E">
        <w:rPr>
          <w:rFonts w:ascii="Times New Roman" w:hAnsi="Times New Roman"/>
          <w:sz w:val="24"/>
          <w:szCs w:val="24"/>
        </w:rPr>
        <w:t>es femmes mariées à la recherche d’un emploi ;</w:t>
      </w:r>
    </w:p>
    <w:p w14:paraId="0E92223C" w14:textId="77777777" w:rsidR="00221268" w:rsidRPr="00D75D2E"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La Loi portant modalités d’application des droits de la femme et de la parité (loi n°15/013 du 1er août 2015) ;</w:t>
      </w:r>
    </w:p>
    <w:p w14:paraId="1738195D" w14:textId="77777777" w:rsidR="00466661" w:rsidRDefault="00221268" w:rsidP="008C79F0">
      <w:pPr>
        <w:pStyle w:val="Paragraphedeliste"/>
        <w:numPr>
          <w:ilvl w:val="0"/>
          <w:numId w:val="164"/>
        </w:numPr>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La loi </w:t>
      </w:r>
      <w:r w:rsidR="00D90923">
        <w:rPr>
          <w:rFonts w:ascii="Times New Roman" w:hAnsi="Times New Roman"/>
          <w:sz w:val="24"/>
          <w:szCs w:val="24"/>
        </w:rPr>
        <w:t>n°87/010 du 1</w:t>
      </w:r>
      <w:r w:rsidR="00D90923" w:rsidRPr="00800248">
        <w:rPr>
          <w:rFonts w:ascii="Times New Roman" w:hAnsi="Times New Roman"/>
          <w:sz w:val="24"/>
          <w:szCs w:val="24"/>
          <w:vertAlign w:val="superscript"/>
        </w:rPr>
        <w:t>er</w:t>
      </w:r>
      <w:r w:rsidR="00D90923">
        <w:rPr>
          <w:rFonts w:ascii="Times New Roman" w:hAnsi="Times New Roman"/>
          <w:sz w:val="24"/>
          <w:szCs w:val="24"/>
        </w:rPr>
        <w:t xml:space="preserve"> août 1987 portant </w:t>
      </w:r>
      <w:r w:rsidRPr="00D75D2E">
        <w:rPr>
          <w:rFonts w:ascii="Times New Roman" w:hAnsi="Times New Roman"/>
          <w:sz w:val="24"/>
          <w:szCs w:val="24"/>
        </w:rPr>
        <w:t xml:space="preserve">code de la famille </w:t>
      </w:r>
      <w:r w:rsidR="00D90923">
        <w:rPr>
          <w:rFonts w:ascii="Times New Roman" w:hAnsi="Times New Roman"/>
          <w:sz w:val="24"/>
          <w:szCs w:val="24"/>
        </w:rPr>
        <w:t xml:space="preserve">telle que </w:t>
      </w:r>
      <w:r w:rsidRPr="00D75D2E">
        <w:rPr>
          <w:rFonts w:ascii="Times New Roman" w:hAnsi="Times New Roman"/>
          <w:sz w:val="24"/>
          <w:szCs w:val="24"/>
        </w:rPr>
        <w:t>modifié</w:t>
      </w:r>
      <w:r w:rsidR="00D90923">
        <w:rPr>
          <w:rFonts w:ascii="Times New Roman" w:hAnsi="Times New Roman"/>
          <w:sz w:val="24"/>
          <w:szCs w:val="24"/>
        </w:rPr>
        <w:t>e</w:t>
      </w:r>
      <w:r w:rsidRPr="00D75D2E">
        <w:rPr>
          <w:rFonts w:ascii="Times New Roman" w:hAnsi="Times New Roman"/>
          <w:sz w:val="24"/>
          <w:szCs w:val="24"/>
        </w:rPr>
        <w:t xml:space="preserve"> et complété</w:t>
      </w:r>
      <w:r w:rsidR="00D90923">
        <w:rPr>
          <w:rFonts w:ascii="Times New Roman" w:hAnsi="Times New Roman"/>
          <w:sz w:val="24"/>
          <w:szCs w:val="24"/>
        </w:rPr>
        <w:t xml:space="preserve">e la </w:t>
      </w:r>
      <w:r w:rsidR="00D90923" w:rsidRPr="00D75D2E">
        <w:rPr>
          <w:rFonts w:ascii="Times New Roman" w:hAnsi="Times New Roman"/>
          <w:sz w:val="24"/>
          <w:szCs w:val="24"/>
        </w:rPr>
        <w:t>loi n° 16/008 du 15 juillet 2016</w:t>
      </w:r>
      <w:r w:rsidR="00D90923">
        <w:rPr>
          <w:rFonts w:ascii="Times New Roman" w:hAnsi="Times New Roman"/>
          <w:sz w:val="24"/>
          <w:szCs w:val="24"/>
        </w:rPr>
        <w:t xml:space="preserve">, </w:t>
      </w:r>
      <w:r w:rsidRPr="00800248">
        <w:rPr>
          <w:rFonts w:ascii="Times New Roman" w:hAnsi="Times New Roman"/>
          <w:sz w:val="24"/>
          <w:szCs w:val="24"/>
        </w:rPr>
        <w:t xml:space="preserve">intégrant la dimension genre </w:t>
      </w:r>
    </w:p>
    <w:p w14:paraId="5E31B5C9" w14:textId="77777777" w:rsidR="00221268" w:rsidRPr="00800248" w:rsidRDefault="00221268" w:rsidP="00800248">
      <w:pPr>
        <w:pStyle w:val="Paragraphedeliste"/>
        <w:spacing w:after="0" w:line="240" w:lineRule="auto"/>
        <w:ind w:left="567"/>
        <w:jc w:val="both"/>
        <w:rPr>
          <w:rFonts w:ascii="Times New Roman" w:hAnsi="Times New Roman"/>
          <w:sz w:val="24"/>
          <w:szCs w:val="24"/>
        </w:rPr>
      </w:pPr>
    </w:p>
    <w:p w14:paraId="3417D848" w14:textId="77777777" w:rsidR="00221268" w:rsidRPr="00800248" w:rsidRDefault="00221268" w:rsidP="008C79F0">
      <w:pPr>
        <w:pStyle w:val="Paragraphedeliste"/>
        <w:numPr>
          <w:ilvl w:val="3"/>
          <w:numId w:val="54"/>
        </w:numPr>
        <w:spacing w:before="120" w:after="120" w:line="240" w:lineRule="auto"/>
        <w:ind w:left="-284" w:firstLine="851"/>
        <w:jc w:val="both"/>
        <w:rPr>
          <w:rFonts w:ascii="Times New Roman" w:hAnsi="Times New Roman"/>
          <w:b/>
          <w:i/>
          <w:sz w:val="24"/>
          <w:szCs w:val="24"/>
        </w:rPr>
      </w:pPr>
      <w:r w:rsidRPr="00800248">
        <w:rPr>
          <w:rFonts w:ascii="Times New Roman" w:hAnsi="Times New Roman"/>
          <w:b/>
          <w:i/>
          <w:sz w:val="24"/>
          <w:szCs w:val="24"/>
        </w:rPr>
        <w:t xml:space="preserve">Politiques liées aux VBG en RDC </w:t>
      </w:r>
    </w:p>
    <w:p w14:paraId="11D10A17" w14:textId="77777777" w:rsidR="00221268" w:rsidRPr="00E737B4" w:rsidRDefault="00221268" w:rsidP="00E737B4">
      <w:pPr>
        <w:spacing w:before="120" w:after="120" w:line="240" w:lineRule="auto"/>
        <w:jc w:val="both"/>
        <w:rPr>
          <w:rFonts w:ascii="Times New Roman" w:hAnsi="Times New Roman"/>
          <w:sz w:val="24"/>
          <w:szCs w:val="24"/>
        </w:rPr>
      </w:pPr>
      <w:r w:rsidRPr="00E737B4">
        <w:rPr>
          <w:rFonts w:ascii="Times New Roman" w:hAnsi="Times New Roman"/>
          <w:sz w:val="24"/>
          <w:szCs w:val="24"/>
        </w:rPr>
        <w:t xml:space="preserve">Politique et programmes économiques et sociaux : </w:t>
      </w:r>
    </w:p>
    <w:p w14:paraId="1B7CD638"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Document de Stratégie de Croissance et de Réduction de la Pauvreté ;</w:t>
      </w:r>
    </w:p>
    <w:p w14:paraId="1F32EF39" w14:textId="77777777" w:rsidR="00221268" w:rsidRPr="00F127B4" w:rsidRDefault="00221268" w:rsidP="008C79F0">
      <w:pPr>
        <w:pStyle w:val="Paragraphedeliste"/>
        <w:numPr>
          <w:ilvl w:val="0"/>
          <w:numId w:val="164"/>
        </w:numPr>
        <w:spacing w:after="0" w:line="240" w:lineRule="auto"/>
        <w:jc w:val="both"/>
        <w:rPr>
          <w:rFonts w:ascii="Times New Roman" w:hAnsi="Times New Roman"/>
          <w:sz w:val="24"/>
          <w:szCs w:val="24"/>
        </w:rPr>
      </w:pPr>
      <w:r w:rsidRPr="00F127B4">
        <w:rPr>
          <w:rFonts w:ascii="Times New Roman" w:hAnsi="Times New Roman"/>
          <w:sz w:val="24"/>
          <w:szCs w:val="24"/>
        </w:rPr>
        <w:t>Stratégie Nationale de lutte contre les Violences Basées sur le Genre révisée (SNVBG), Novembre 2019 ;</w:t>
      </w:r>
    </w:p>
    <w:p w14:paraId="00101F20"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Stratégie Nationale de Communication pour le changement de comportements dans le cadre de la Lutte contre les violences sexuelles et basées sur le genre en République Démocratique du Congo ;</w:t>
      </w:r>
    </w:p>
    <w:p w14:paraId="0586B1B2" w14:textId="77777777" w:rsidR="00221268"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Politique Nationale d’Intégration du Genre, de Promotion de la Famille et de la Protection de l’Enfant.</w:t>
      </w:r>
    </w:p>
    <w:p w14:paraId="1B5BAD72" w14:textId="77777777" w:rsidR="00466661" w:rsidRPr="00D75D2E" w:rsidRDefault="00466661" w:rsidP="00800248">
      <w:pPr>
        <w:pStyle w:val="Paragraphedeliste"/>
        <w:spacing w:after="0" w:line="240" w:lineRule="auto"/>
        <w:jc w:val="both"/>
        <w:rPr>
          <w:rFonts w:ascii="Times New Roman" w:hAnsi="Times New Roman"/>
          <w:sz w:val="24"/>
          <w:szCs w:val="24"/>
        </w:rPr>
      </w:pPr>
    </w:p>
    <w:p w14:paraId="27199CE4" w14:textId="5BC99EFC" w:rsidR="00221268" w:rsidRPr="00800248" w:rsidRDefault="00221268" w:rsidP="008C79F0">
      <w:pPr>
        <w:pStyle w:val="Paragraphedeliste"/>
        <w:numPr>
          <w:ilvl w:val="3"/>
          <w:numId w:val="54"/>
        </w:numPr>
        <w:spacing w:before="120" w:after="120" w:line="240" w:lineRule="auto"/>
        <w:ind w:left="-284" w:firstLine="851"/>
        <w:jc w:val="both"/>
        <w:rPr>
          <w:rFonts w:ascii="Times New Roman" w:hAnsi="Times New Roman"/>
          <w:b/>
          <w:i/>
          <w:sz w:val="24"/>
          <w:szCs w:val="24"/>
        </w:rPr>
      </w:pPr>
      <w:r w:rsidRPr="00800248">
        <w:rPr>
          <w:rFonts w:ascii="Times New Roman" w:hAnsi="Times New Roman"/>
          <w:b/>
          <w:i/>
          <w:sz w:val="24"/>
          <w:szCs w:val="24"/>
        </w:rPr>
        <w:t>Conventions et Accords Internationaux liés au VBG ratifiés par la RDC</w:t>
      </w:r>
    </w:p>
    <w:p w14:paraId="1CA49A1E"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Sur le plan international, la RDC est signataire de plusieurs Conventions Internationales en matière de VBG. Les Conventions internationales signées par la RDC applicables au projet sont les suivants : </w:t>
      </w:r>
    </w:p>
    <w:p w14:paraId="71B928B8"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 xml:space="preserve">La Convention des Nations Unies sur l’élimination de toutes les formes de discrimination à l’égard des femmes ; </w:t>
      </w:r>
    </w:p>
    <w:p w14:paraId="675C010B"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 xml:space="preserve">La Convention des Nations Unies relative aux droits de l’enfant et à la Charte africaine des droits et du bien-être de l’enfant ; </w:t>
      </w:r>
    </w:p>
    <w:p w14:paraId="4FA0F9E8"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 xml:space="preserve">La Déclaration sur l’élimination de la violence à l’égard des femmes (1993) ;   </w:t>
      </w:r>
    </w:p>
    <w:p w14:paraId="6DA01D3C"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 xml:space="preserve">La Charte africaine des droits de l’homme et des peuples et le Protocole de la Charte africaine des droits des femmes en Afrique (Protocole de Maputo) (2003) ; </w:t>
      </w:r>
    </w:p>
    <w:p w14:paraId="328E6C7A"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Le Protocole sur la prévention et la répression de la violence sexuelle à l’égard des femmes et des enfants de la Conférence internationale sur la région des Grands Lacs (2006) ;</w:t>
      </w:r>
    </w:p>
    <w:p w14:paraId="1CE44A88"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La Déclaration de Kampala sur la fin de l’impunité (2003) ;</w:t>
      </w:r>
    </w:p>
    <w:p w14:paraId="7D0BFE72"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La Charte africaine des droits et du bien-être de l'enfant (Juillet 1990) ;</w:t>
      </w:r>
    </w:p>
    <w:p w14:paraId="502D60B6" w14:textId="77777777" w:rsidR="00221268" w:rsidRPr="00D75D2E"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 xml:space="preserve">La Convention sur l'élimination de toutes les formes de discrimination à l’égard des femmes ou la déclaration sur l’élimination de la violence contre les femmes (1981) : </w:t>
      </w:r>
      <w:r w:rsidR="0004235D">
        <w:rPr>
          <w:rFonts w:ascii="Times New Roman" w:hAnsi="Times New Roman"/>
          <w:sz w:val="24"/>
          <w:szCs w:val="24"/>
        </w:rPr>
        <w:t>a</w:t>
      </w:r>
      <w:r w:rsidR="0004235D" w:rsidRPr="00D75D2E">
        <w:rPr>
          <w:rFonts w:ascii="Times New Roman" w:hAnsi="Times New Roman"/>
          <w:sz w:val="24"/>
          <w:szCs w:val="24"/>
        </w:rPr>
        <w:t xml:space="preserve"> </w:t>
      </w:r>
      <w:r w:rsidRPr="00D75D2E">
        <w:rPr>
          <w:rFonts w:ascii="Times New Roman" w:hAnsi="Times New Roman"/>
          <w:sz w:val="24"/>
          <w:szCs w:val="24"/>
        </w:rPr>
        <w:t>été adopté le 18 Décembre 1979 par l’Assemblée générale des Nations Unies. Elle a été signée en 1980 et ratifié en 1986 par la RDC. Elle est entrée en vigueur le 3 septembre 1981 après avoir été ratifié par 20 pays ;</w:t>
      </w:r>
    </w:p>
    <w:p w14:paraId="77E40559" w14:textId="77777777" w:rsidR="00221268" w:rsidRDefault="00221268" w:rsidP="008C79F0">
      <w:pPr>
        <w:pStyle w:val="Paragraphedeliste"/>
        <w:numPr>
          <w:ilvl w:val="0"/>
          <w:numId w:val="164"/>
        </w:numPr>
        <w:spacing w:after="0" w:line="240" w:lineRule="auto"/>
        <w:jc w:val="both"/>
        <w:rPr>
          <w:rFonts w:ascii="Times New Roman" w:hAnsi="Times New Roman"/>
          <w:sz w:val="24"/>
          <w:szCs w:val="24"/>
        </w:rPr>
      </w:pPr>
      <w:r w:rsidRPr="00D75D2E">
        <w:rPr>
          <w:rFonts w:ascii="Times New Roman" w:hAnsi="Times New Roman"/>
          <w:sz w:val="24"/>
          <w:szCs w:val="24"/>
        </w:rPr>
        <w:t>La Résolution 2011/33 sur la Prévention, la protection et la coopération internationale contre l’utilisation de nouvelles technologies d’information pour abuser et/ou exploiter les enfants (1981) : A été adopté le 18 Décembre 1979 par l’Assemblée générale des Nations Unies. Elle a été signée en 1980 et ratifié en 1986 par la RDC. Elle est entrée en vigueur le 3 septembre 1981 après avoir été ratifié par 20 pays.</w:t>
      </w:r>
    </w:p>
    <w:p w14:paraId="01AE225E" w14:textId="6908D844" w:rsidR="00221268" w:rsidRPr="00D75D2E" w:rsidRDefault="00221268" w:rsidP="008C79F0">
      <w:pPr>
        <w:pStyle w:val="Titre1"/>
        <w:numPr>
          <w:ilvl w:val="1"/>
          <w:numId w:val="54"/>
        </w:numPr>
        <w:spacing w:before="120" w:after="120" w:line="240" w:lineRule="auto"/>
        <w:ind w:left="709" w:hanging="567"/>
        <w:jc w:val="both"/>
        <w:rPr>
          <w:szCs w:val="24"/>
          <w:lang w:eastAsia="fr-FR"/>
        </w:rPr>
      </w:pPr>
      <w:bookmarkStart w:id="245" w:name="_Toc425004118"/>
      <w:bookmarkStart w:id="246" w:name="_Toc78601972"/>
      <w:bookmarkStart w:id="247" w:name="_Toc103685607"/>
      <w:bookmarkEnd w:id="245"/>
      <w:r w:rsidRPr="00D75D2E">
        <w:rPr>
          <w:szCs w:val="24"/>
          <w:lang w:eastAsia="fr-FR"/>
        </w:rPr>
        <w:t>Cadre juridique de gestion environnementale et sociale</w:t>
      </w:r>
      <w:bookmarkEnd w:id="246"/>
      <w:bookmarkEnd w:id="247"/>
    </w:p>
    <w:p w14:paraId="10692D85" w14:textId="1DE5BE78" w:rsidR="00221268" w:rsidRPr="00D75D2E" w:rsidRDefault="00221268" w:rsidP="008C79F0">
      <w:pPr>
        <w:pStyle w:val="Titre31"/>
        <w:numPr>
          <w:ilvl w:val="2"/>
          <w:numId w:val="54"/>
        </w:numPr>
        <w:spacing w:before="120" w:after="120"/>
        <w:ind w:left="1225" w:hanging="505"/>
        <w:rPr>
          <w:rFonts w:eastAsia="Calibri"/>
          <w:u w:val="none"/>
        </w:rPr>
      </w:pPr>
      <w:bookmarkStart w:id="248" w:name="_Toc425004119"/>
      <w:bookmarkStart w:id="249" w:name="_Toc425004120"/>
      <w:bookmarkStart w:id="250" w:name="_Toc78601973"/>
      <w:bookmarkStart w:id="251" w:name="_Toc103685608"/>
      <w:bookmarkEnd w:id="248"/>
      <w:bookmarkEnd w:id="249"/>
      <w:r w:rsidRPr="00D75D2E">
        <w:rPr>
          <w:rFonts w:eastAsia="Calibri"/>
          <w:u w:val="none"/>
        </w:rPr>
        <w:t>Cadre juridique national</w:t>
      </w:r>
      <w:bookmarkEnd w:id="250"/>
      <w:bookmarkEnd w:id="251"/>
    </w:p>
    <w:p w14:paraId="2E03F1BB"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bCs/>
          <w:sz w:val="24"/>
          <w:szCs w:val="24"/>
        </w:rPr>
        <w:t>Le cadre législatif congolais est marqué par une multitude de textes environnementaux, très anciens pour la plupart. L</w:t>
      </w:r>
      <w:r w:rsidRPr="00D75D2E">
        <w:rPr>
          <w:rFonts w:ascii="Times New Roman" w:hAnsi="Times New Roman"/>
          <w:sz w:val="24"/>
          <w:szCs w:val="24"/>
        </w:rPr>
        <w:t xml:space="preserve">a Constitution de la RDC, adoptée en février 2006, stipule en son article </w:t>
      </w:r>
      <w:r w:rsidRPr="00D75D2E">
        <w:rPr>
          <w:rStyle w:val="lev"/>
          <w:rFonts w:ascii="Times New Roman" w:hAnsi="Times New Roman"/>
          <w:sz w:val="24"/>
          <w:szCs w:val="24"/>
        </w:rPr>
        <w:t>53 qu</w:t>
      </w:r>
      <w:r w:rsidRPr="00D75D2E">
        <w:rPr>
          <w:rFonts w:ascii="Times New Roman" w:hAnsi="Times New Roman"/>
          <w:bCs/>
          <w:sz w:val="24"/>
          <w:szCs w:val="24"/>
        </w:rPr>
        <w:t>e « </w:t>
      </w:r>
      <w:r w:rsidRPr="00D75D2E">
        <w:rPr>
          <w:rFonts w:ascii="Times New Roman" w:hAnsi="Times New Roman"/>
          <w:sz w:val="24"/>
          <w:szCs w:val="24"/>
        </w:rPr>
        <w:t>Toute personne a droit à un environnement sain et propice à son épanouissement intégral. Elle a le devoir de le défendre. L’Etat veille à la protection de l’environnement et à la santé des populations ».</w:t>
      </w:r>
    </w:p>
    <w:p w14:paraId="685D5611"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La loi-cadre sur l’environnement dénommée « </w:t>
      </w:r>
      <w:r w:rsidRPr="00D75D2E">
        <w:rPr>
          <w:rFonts w:ascii="Times New Roman" w:hAnsi="Times New Roman"/>
          <w:b/>
          <w:i/>
          <w:sz w:val="24"/>
          <w:szCs w:val="24"/>
        </w:rPr>
        <w:t>Loi N°11/009 du 09 juillet 2011</w:t>
      </w:r>
      <w:r w:rsidRPr="00D75D2E">
        <w:rPr>
          <w:rFonts w:ascii="Times New Roman" w:hAnsi="Times New Roman"/>
          <w:sz w:val="24"/>
          <w:szCs w:val="24"/>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5FBBC0C9"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Quelques mesures d’application de ladite loi ont été promulguées notamment : le Décret n° 14/030 du 18 novembre 2014 fixant les statuts d’un Etablissement Public dénommé Agence Congolaise de l’Environnement « ACE » ; le Décret n° 14/019 du 02 août 2014 fixant les règles de fonctionnement des mécanismes procéduraux de la protection de l’environnement, notamment s’agissant des EIES ; le Décret n° 13-015 du 29 mai 2013 portant réglementation des installations classées ; l’Arrêté Ministériel n° 28/CAB/MIN/ECNDD/23/RBM/2016 du 22 mars 2016 fixant les conditions d’agrément d’un Bureau d’Etudes en évaluation environnementale et sociale ; l’Arrêté Ministériel n° 022/CAB/MIN/EDD/AAN/2017 du 06 septembre 2017 fixant les frais liés à l’évaluation des études environnementales et sociales. Dans le cadre du Projet, les dispositions relatives à cette loi devront être rigoureusement respectées. </w:t>
      </w:r>
    </w:p>
    <w:p w14:paraId="40DFCD77"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D’autres textes se rapportent aux questions environnementales et sociales, comme présenté </w:t>
      </w:r>
      <w:r w:rsidR="0015345E">
        <w:rPr>
          <w:rFonts w:ascii="Times New Roman" w:hAnsi="Times New Roman"/>
          <w:sz w:val="24"/>
          <w:szCs w:val="24"/>
        </w:rPr>
        <w:t>dans le tableau 2</w:t>
      </w:r>
      <w:r w:rsidRPr="00D75D2E">
        <w:rPr>
          <w:rFonts w:ascii="Times New Roman" w:hAnsi="Times New Roman"/>
          <w:sz w:val="24"/>
          <w:szCs w:val="24"/>
        </w:rPr>
        <w:t>.</w:t>
      </w:r>
    </w:p>
    <w:p w14:paraId="64DA1E07" w14:textId="77777777" w:rsidR="00221268" w:rsidRPr="00D75D2E" w:rsidRDefault="00221268" w:rsidP="00221268">
      <w:pPr>
        <w:widowControl w:val="0"/>
        <w:spacing w:after="0" w:line="240" w:lineRule="auto"/>
        <w:jc w:val="both"/>
        <w:rPr>
          <w:rFonts w:ascii="Times New Roman" w:hAnsi="Times New Roman"/>
          <w:bCs/>
          <w:sz w:val="24"/>
          <w:szCs w:val="24"/>
        </w:rPr>
      </w:pPr>
    </w:p>
    <w:p w14:paraId="1EBEDD8B" w14:textId="77777777" w:rsidR="00221268" w:rsidRPr="00D75D2E" w:rsidRDefault="00221268" w:rsidP="00221268">
      <w:pPr>
        <w:spacing w:after="0"/>
        <w:jc w:val="both"/>
        <w:rPr>
          <w:rFonts w:ascii="Times New Roman" w:hAnsi="Times New Roman"/>
          <w:sz w:val="24"/>
          <w:szCs w:val="24"/>
        </w:rPr>
      </w:pPr>
      <w:bookmarkStart w:id="252" w:name="_Toc536015389"/>
      <w:r w:rsidRPr="00D75D2E">
        <w:rPr>
          <w:rFonts w:ascii="Times New Roman" w:hAnsi="Times New Roman"/>
          <w:sz w:val="24"/>
          <w:szCs w:val="24"/>
        </w:rPr>
        <w:br w:type="page"/>
      </w:r>
    </w:p>
    <w:p w14:paraId="1B45DFA9" w14:textId="77777777" w:rsidR="00221268" w:rsidRPr="00D75D2E" w:rsidRDefault="00221268" w:rsidP="00221268">
      <w:pPr>
        <w:spacing w:after="0" w:line="240" w:lineRule="auto"/>
        <w:jc w:val="both"/>
        <w:rPr>
          <w:rFonts w:ascii="Times New Roman" w:hAnsi="Times New Roman"/>
          <w:sz w:val="24"/>
          <w:szCs w:val="24"/>
        </w:rPr>
        <w:sectPr w:rsidR="00221268" w:rsidRPr="00D75D2E">
          <w:pgSz w:w="11906" w:h="16838"/>
          <w:pgMar w:top="1417" w:right="1417" w:bottom="1417" w:left="1417" w:header="720" w:footer="720" w:gutter="0"/>
          <w:cols w:space="720"/>
          <w:formProt w:val="0"/>
          <w:docGrid w:linePitch="360" w:charSpace="-2049"/>
        </w:sectPr>
      </w:pPr>
    </w:p>
    <w:p w14:paraId="62A218C7" w14:textId="6480500D" w:rsidR="00221268" w:rsidRPr="00D75D2E" w:rsidRDefault="00221268" w:rsidP="00E737B4">
      <w:pPr>
        <w:spacing w:after="120" w:line="240" w:lineRule="auto"/>
        <w:jc w:val="both"/>
        <w:rPr>
          <w:rFonts w:ascii="Times New Roman" w:hAnsi="Times New Roman"/>
          <w:sz w:val="24"/>
          <w:szCs w:val="24"/>
        </w:rPr>
      </w:pPr>
      <w:bookmarkStart w:id="253" w:name="_Toc78602864"/>
      <w:bookmarkStart w:id="254" w:name="_Toc93050264"/>
      <w:r w:rsidRPr="00D75D2E">
        <w:rPr>
          <w:rFonts w:ascii="Times New Roman" w:hAnsi="Times New Roman"/>
          <w:sz w:val="24"/>
          <w:szCs w:val="24"/>
        </w:rPr>
        <w:t xml:space="preserve">Tableau </w:t>
      </w:r>
      <w:r w:rsidRPr="00D75D2E">
        <w:rPr>
          <w:rFonts w:ascii="Times New Roman" w:hAnsi="Times New Roman"/>
          <w:sz w:val="24"/>
          <w:szCs w:val="24"/>
        </w:rPr>
        <w:fldChar w:fldCharType="begin"/>
      </w:r>
      <w:r w:rsidRPr="00D75D2E">
        <w:rPr>
          <w:rFonts w:ascii="Times New Roman" w:hAnsi="Times New Roman"/>
          <w:sz w:val="24"/>
          <w:szCs w:val="24"/>
        </w:rPr>
        <w:instrText xml:space="preserve"> SEQ Tableau \* ARABIC </w:instrText>
      </w:r>
      <w:r w:rsidRPr="00D75D2E">
        <w:rPr>
          <w:rFonts w:ascii="Times New Roman" w:hAnsi="Times New Roman"/>
          <w:sz w:val="24"/>
          <w:szCs w:val="24"/>
        </w:rPr>
        <w:fldChar w:fldCharType="separate"/>
      </w:r>
      <w:r w:rsidR="00691EF5">
        <w:rPr>
          <w:rFonts w:ascii="Times New Roman" w:hAnsi="Times New Roman"/>
          <w:noProof/>
          <w:sz w:val="24"/>
          <w:szCs w:val="24"/>
        </w:rPr>
        <w:t>2</w:t>
      </w:r>
      <w:r w:rsidRPr="00D75D2E">
        <w:rPr>
          <w:rFonts w:ascii="Times New Roman" w:hAnsi="Times New Roman"/>
          <w:sz w:val="24"/>
          <w:szCs w:val="24"/>
        </w:rPr>
        <w:fldChar w:fldCharType="end"/>
      </w:r>
      <w:r w:rsidRPr="00D75D2E">
        <w:rPr>
          <w:rFonts w:ascii="Times New Roman" w:hAnsi="Times New Roman"/>
          <w:sz w:val="24"/>
          <w:szCs w:val="24"/>
        </w:rPr>
        <w:t>. Synthèse des textes légaux applicables au Projet et leurs pertinences.</w:t>
      </w:r>
      <w:bookmarkEnd w:id="252"/>
      <w:bookmarkEnd w:id="253"/>
      <w:bookmarkEnd w:id="254"/>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6397"/>
        <w:gridCol w:w="4376"/>
      </w:tblGrid>
      <w:tr w:rsidR="00D75D2E" w:rsidRPr="00420C1B" w14:paraId="12FE8131" w14:textId="77777777" w:rsidTr="00E737B4">
        <w:trPr>
          <w:trHeight w:val="390"/>
          <w:tblHeader/>
          <w:jc w:val="center"/>
        </w:trPr>
        <w:tc>
          <w:tcPr>
            <w:tcW w:w="4106" w:type="dxa"/>
            <w:shd w:val="clear" w:color="auto" w:fill="92D050"/>
            <w:vAlign w:val="center"/>
          </w:tcPr>
          <w:p w14:paraId="7F9D87F2" w14:textId="77777777" w:rsidR="00221268" w:rsidRPr="00420C1B" w:rsidRDefault="00221268" w:rsidP="00647F6F">
            <w:pPr>
              <w:spacing w:after="0" w:line="240" w:lineRule="auto"/>
              <w:jc w:val="both"/>
              <w:rPr>
                <w:rFonts w:ascii="Times New Roman" w:hAnsi="Times New Roman"/>
                <w:b/>
              </w:rPr>
            </w:pPr>
            <w:r w:rsidRPr="00420C1B">
              <w:rPr>
                <w:rFonts w:ascii="Times New Roman" w:hAnsi="Times New Roman"/>
                <w:b/>
              </w:rPr>
              <w:t>Textes légaux</w:t>
            </w:r>
          </w:p>
        </w:tc>
        <w:tc>
          <w:tcPr>
            <w:tcW w:w="6397" w:type="dxa"/>
            <w:shd w:val="clear" w:color="auto" w:fill="92D050"/>
            <w:vAlign w:val="center"/>
          </w:tcPr>
          <w:p w14:paraId="59754034" w14:textId="77777777" w:rsidR="00221268" w:rsidRPr="00420C1B" w:rsidRDefault="00221268" w:rsidP="00647F6F">
            <w:pPr>
              <w:spacing w:after="0" w:line="240" w:lineRule="auto"/>
              <w:jc w:val="both"/>
              <w:rPr>
                <w:rFonts w:ascii="Times New Roman" w:hAnsi="Times New Roman"/>
                <w:b/>
              </w:rPr>
            </w:pPr>
            <w:r w:rsidRPr="00420C1B">
              <w:rPr>
                <w:rFonts w:ascii="Times New Roman" w:hAnsi="Times New Roman"/>
                <w:b/>
              </w:rPr>
              <w:t>Description</w:t>
            </w:r>
          </w:p>
        </w:tc>
        <w:tc>
          <w:tcPr>
            <w:tcW w:w="4376" w:type="dxa"/>
            <w:shd w:val="clear" w:color="auto" w:fill="92D050"/>
            <w:vAlign w:val="center"/>
          </w:tcPr>
          <w:p w14:paraId="022CFD4F" w14:textId="77777777" w:rsidR="00221268" w:rsidRPr="00420C1B" w:rsidRDefault="00221268" w:rsidP="00647F6F">
            <w:pPr>
              <w:spacing w:after="0" w:line="240" w:lineRule="auto"/>
              <w:jc w:val="both"/>
              <w:rPr>
                <w:rFonts w:ascii="Times New Roman" w:hAnsi="Times New Roman"/>
                <w:b/>
              </w:rPr>
            </w:pPr>
            <w:r w:rsidRPr="00420C1B">
              <w:rPr>
                <w:rFonts w:ascii="Times New Roman" w:hAnsi="Times New Roman"/>
                <w:b/>
              </w:rPr>
              <w:t>Pertinence</w:t>
            </w:r>
          </w:p>
        </w:tc>
      </w:tr>
      <w:tr w:rsidR="00D75D2E" w:rsidRPr="00420C1B" w14:paraId="4C75C005" w14:textId="77777777" w:rsidTr="00E737B4">
        <w:trPr>
          <w:jc w:val="center"/>
        </w:trPr>
        <w:tc>
          <w:tcPr>
            <w:tcW w:w="4106" w:type="dxa"/>
            <w:vAlign w:val="center"/>
          </w:tcPr>
          <w:p w14:paraId="48AEDED6"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Constitution du 18 février 2006 telle que révisée par la Loi n°11/002 du 20 janvier 2011</w:t>
            </w:r>
          </w:p>
        </w:tc>
        <w:tc>
          <w:tcPr>
            <w:tcW w:w="6397" w:type="dxa"/>
            <w:vAlign w:val="center"/>
          </w:tcPr>
          <w:p w14:paraId="77A7A4C3"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La Constitution oblige l’État Congolais à protéger l’environnement (article 53) et renvoie au domaine de la loi pour la détermination du régime de la protection de l’environnement (article 123, point 15).</w:t>
            </w:r>
          </w:p>
        </w:tc>
        <w:tc>
          <w:tcPr>
            <w:tcW w:w="4376" w:type="dxa"/>
            <w:vAlign w:val="center"/>
          </w:tcPr>
          <w:p w14:paraId="7568B1B1"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Elle est la loi fondamentale du Pays. C’est sur elle que toutes les autres lois tirent leur légitimité.</w:t>
            </w:r>
          </w:p>
        </w:tc>
      </w:tr>
      <w:tr w:rsidR="00D75D2E" w:rsidRPr="00420C1B" w14:paraId="05307648" w14:textId="77777777" w:rsidTr="00E737B4">
        <w:trPr>
          <w:jc w:val="center"/>
        </w:trPr>
        <w:tc>
          <w:tcPr>
            <w:tcW w:w="4106" w:type="dxa"/>
            <w:vAlign w:val="center"/>
          </w:tcPr>
          <w:p w14:paraId="5C546F3C"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Loi n°11/009 du 09 juillet 2011 portant principes fondamentaux relatifs à la protection de l’environnement</w:t>
            </w:r>
          </w:p>
        </w:tc>
        <w:tc>
          <w:tcPr>
            <w:tcW w:w="6397" w:type="dxa"/>
            <w:vAlign w:val="center"/>
          </w:tcPr>
          <w:p w14:paraId="2E3C2E75"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L’Article 21 de cette loi exige à tous les projets de développements qui peuvent avoir un impact sur l’environnement de présenter une étude d’impact environnemental et social assortie d’un Plan de gestion environnementale et sociale.</w:t>
            </w:r>
          </w:p>
        </w:tc>
        <w:tc>
          <w:tcPr>
            <w:tcW w:w="4376" w:type="dxa"/>
            <w:vAlign w:val="center"/>
          </w:tcPr>
          <w:p w14:paraId="55CF1A4A"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Cette loi régit le secteur de l’environnement en RDC</w:t>
            </w:r>
          </w:p>
        </w:tc>
      </w:tr>
      <w:tr w:rsidR="00D75D2E" w:rsidRPr="00420C1B" w14:paraId="2228EA0B" w14:textId="77777777" w:rsidTr="00E737B4">
        <w:trPr>
          <w:jc w:val="center"/>
        </w:trPr>
        <w:tc>
          <w:tcPr>
            <w:tcW w:w="4106" w:type="dxa"/>
            <w:vAlign w:val="center"/>
          </w:tcPr>
          <w:p w14:paraId="2F366320"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La Loi 011-2002 du 29 août 2002 portant Code forestier qui traite du défrichement et des problèmes d’érosion</w:t>
            </w:r>
          </w:p>
        </w:tc>
        <w:tc>
          <w:tcPr>
            <w:tcW w:w="6397" w:type="dxa"/>
            <w:vAlign w:val="center"/>
          </w:tcPr>
          <w:p w14:paraId="54859A97"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 xml:space="preserve">Le code interdit « tous actes de déboisement des zones exposées au risque d’érosion et d’inondation ; tout déboisement sur une distance de 50 mètres de part et d’autre des cours d’eau et dans un rayon de 100 mètres autour de leurs sources ». En outre, le code précise : « tout déboisement doit être compensé par un reboisement équivalent en qualité et en superficie au couvert forestier initial (…) et exige l’obtention d’un permis de déboisement pour une superficie supérieure à 2 ha ». </w:t>
            </w:r>
          </w:p>
        </w:tc>
        <w:tc>
          <w:tcPr>
            <w:tcW w:w="4376" w:type="dxa"/>
            <w:vAlign w:val="center"/>
          </w:tcPr>
          <w:p w14:paraId="24887623" w14:textId="42B0F67A" w:rsidR="00221268" w:rsidRPr="00420C1B" w:rsidRDefault="00221268" w:rsidP="00B86B2D">
            <w:pPr>
              <w:spacing w:after="0" w:line="240" w:lineRule="auto"/>
              <w:jc w:val="both"/>
              <w:rPr>
                <w:rFonts w:ascii="Times New Roman" w:hAnsi="Times New Roman"/>
                <w:bCs/>
              </w:rPr>
            </w:pPr>
            <w:bookmarkStart w:id="255" w:name="_Toc56523233"/>
            <w:bookmarkStart w:id="256" w:name="_Toc56676327"/>
            <w:bookmarkStart w:id="257" w:name="_Toc56782562"/>
            <w:r w:rsidRPr="00420C1B">
              <w:rPr>
                <w:rFonts w:ascii="Times New Roman" w:hAnsi="Times New Roman"/>
                <w:bCs/>
              </w:rPr>
              <w:t>Protection de la végétation et de la faune</w:t>
            </w:r>
            <w:bookmarkEnd w:id="255"/>
            <w:bookmarkEnd w:id="256"/>
            <w:bookmarkEnd w:id="257"/>
          </w:p>
        </w:tc>
      </w:tr>
      <w:tr w:rsidR="00D75D2E" w:rsidRPr="00420C1B" w14:paraId="14CC3C02" w14:textId="77777777" w:rsidTr="00E737B4">
        <w:trPr>
          <w:jc w:val="center"/>
        </w:trPr>
        <w:tc>
          <w:tcPr>
            <w:tcW w:w="4106" w:type="dxa"/>
            <w:vAlign w:val="center"/>
          </w:tcPr>
          <w:p w14:paraId="16A76CDC" w14:textId="77777777" w:rsidR="00221268" w:rsidRPr="00420C1B" w:rsidRDefault="00221268" w:rsidP="00F127B4">
            <w:pPr>
              <w:spacing w:after="0" w:line="240" w:lineRule="auto"/>
              <w:jc w:val="both"/>
              <w:rPr>
                <w:rFonts w:ascii="Times New Roman" w:hAnsi="Times New Roman"/>
                <w:bCs/>
              </w:rPr>
            </w:pPr>
            <w:r w:rsidRPr="00420C1B">
              <w:rPr>
                <w:rFonts w:ascii="Times New Roman" w:hAnsi="Times New Roman"/>
                <w:bCs/>
              </w:rPr>
              <w:t xml:space="preserve">La loi n°14/003 du 11 février 2014 relative à la conservation de la nature </w:t>
            </w:r>
            <w:r w:rsidR="00D90923" w:rsidRPr="00420C1B">
              <w:rPr>
                <w:rFonts w:ascii="Times New Roman" w:hAnsi="Times New Roman"/>
                <w:bCs/>
              </w:rPr>
              <w:t>en</w:t>
            </w:r>
            <w:r w:rsidRPr="00420C1B">
              <w:rPr>
                <w:rFonts w:ascii="Times New Roman" w:hAnsi="Times New Roman"/>
                <w:bCs/>
              </w:rPr>
              <w:t xml:space="preserve"> ses articles 63-67</w:t>
            </w:r>
          </w:p>
        </w:tc>
        <w:tc>
          <w:tcPr>
            <w:tcW w:w="6397" w:type="dxa"/>
            <w:vAlign w:val="center"/>
          </w:tcPr>
          <w:p w14:paraId="3007E4A0"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Cette loi interdit le commerce des espèces protégées en RDC est soumis aux mesures restrictives prévues à l’Arrêté départemental 069 du 04 décembre 1980 portant dispositions relatives à la délivrance du permis de légitime détention et permis d’importation ou d’exportation et l’Arrêté n°056 CAB/MIN/AFF-ECNT/F/01/00 du 28 mars 2000 portant règlementation du commerce international des espèces de la faune et de la flore menacées d’extinction.</w:t>
            </w:r>
          </w:p>
        </w:tc>
        <w:tc>
          <w:tcPr>
            <w:tcW w:w="4376" w:type="dxa"/>
            <w:vAlign w:val="center"/>
          </w:tcPr>
          <w:p w14:paraId="39DAAA83"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La loi sur la conservation de la nature règlemente le secteur des aires protégées</w:t>
            </w:r>
          </w:p>
        </w:tc>
      </w:tr>
      <w:tr w:rsidR="00D75D2E" w:rsidRPr="00420C1B" w14:paraId="7E9F7B3B" w14:textId="77777777" w:rsidTr="00E737B4">
        <w:trPr>
          <w:jc w:val="center"/>
        </w:trPr>
        <w:tc>
          <w:tcPr>
            <w:tcW w:w="4106" w:type="dxa"/>
            <w:vAlign w:val="center"/>
          </w:tcPr>
          <w:p w14:paraId="7A26D916"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 xml:space="preserve">La Loi n°007/2002 du 11 juillet 2002 portant Code minier telle que modifiée par la loi n°18/001 du 09 mars 2018 et le Décret n°038/2003 du 26 mars portant Règlement minier tel que modifié et complété par le Décret n°18/024 du 08 juin 2019 : </w:t>
            </w:r>
          </w:p>
        </w:tc>
        <w:tc>
          <w:tcPr>
            <w:tcW w:w="6397" w:type="dxa"/>
            <w:vAlign w:val="center"/>
          </w:tcPr>
          <w:p w14:paraId="3F632252"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tout en définissant les conditions d’ouverture et d’exploitation des gîtes de matériaux, le Code minier et son Règlement prennent en compte les préoccupations environnementales (par exemple : « 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Étude d’Impact Environnemental (EIE) et un Plan de Gestion Environnementale de son Projet (PGEP), etc. »);  en cas d’extraction de matériaux de construction, le Projet devra respecter les dispositions du Code minier y relatives</w:t>
            </w:r>
            <w:r w:rsidR="00B86B2D" w:rsidRPr="00420C1B">
              <w:rPr>
                <w:rFonts w:ascii="Times New Roman" w:hAnsi="Times New Roman"/>
                <w:bCs/>
              </w:rPr>
              <w:t>.</w:t>
            </w:r>
          </w:p>
        </w:tc>
        <w:tc>
          <w:tcPr>
            <w:tcW w:w="4376" w:type="dxa"/>
            <w:vAlign w:val="center"/>
          </w:tcPr>
          <w:p w14:paraId="59286B0B" w14:textId="77777777" w:rsidR="00221268" w:rsidRPr="00420C1B" w:rsidRDefault="00221268" w:rsidP="00B86B2D">
            <w:pPr>
              <w:spacing w:after="0" w:line="240" w:lineRule="auto"/>
              <w:jc w:val="both"/>
              <w:rPr>
                <w:rFonts w:ascii="Times New Roman" w:hAnsi="Times New Roman"/>
                <w:bCs/>
              </w:rPr>
            </w:pPr>
            <w:r w:rsidRPr="00420C1B">
              <w:rPr>
                <w:rFonts w:ascii="Times New Roman" w:hAnsi="Times New Roman"/>
                <w:bCs/>
              </w:rPr>
              <w:t>Ce Code minier est pertinent car les travaux routiers requièrent l’ouverture des carrières d’emprunts des matériaux (latérites, sable, moellon) risquent de toucher les carrières des mines.</w:t>
            </w:r>
          </w:p>
        </w:tc>
      </w:tr>
      <w:tr w:rsidR="00D75D2E" w:rsidRPr="00420C1B" w14:paraId="33BE1826" w14:textId="77777777" w:rsidTr="00E737B4">
        <w:trPr>
          <w:jc w:val="center"/>
        </w:trPr>
        <w:tc>
          <w:tcPr>
            <w:tcW w:w="4106" w:type="dxa"/>
            <w:vAlign w:val="center"/>
          </w:tcPr>
          <w:p w14:paraId="47477866" w14:textId="77777777" w:rsidR="00221268" w:rsidRPr="00420C1B" w:rsidRDefault="00221268" w:rsidP="00B86B2D">
            <w:pPr>
              <w:autoSpaceDE w:val="0"/>
              <w:autoSpaceDN w:val="0"/>
              <w:adjustRightInd w:val="0"/>
              <w:spacing w:after="0" w:line="240" w:lineRule="auto"/>
              <w:jc w:val="both"/>
              <w:rPr>
                <w:rFonts w:ascii="Times New Roman" w:hAnsi="Times New Roman"/>
              </w:rPr>
            </w:pPr>
            <w:bookmarkStart w:id="258" w:name="Haut"/>
            <w:r w:rsidRPr="00420C1B">
              <w:rPr>
                <w:rFonts w:ascii="Times New Roman" w:hAnsi="Times New Roman"/>
              </w:rPr>
              <w:t>Loi</w:t>
            </w:r>
            <w:bookmarkEnd w:id="258"/>
            <w:r w:rsidRPr="00420C1B">
              <w:rPr>
                <w:rFonts w:ascii="Times New Roman" w:hAnsi="Times New Roman"/>
              </w:rPr>
              <w:t xml:space="preserve"> n° 09/001 du 10 janvier 2009 portant protection de l'enfant en RDC</w:t>
            </w:r>
          </w:p>
        </w:tc>
        <w:tc>
          <w:tcPr>
            <w:tcW w:w="6397" w:type="dxa"/>
            <w:vAlign w:val="center"/>
          </w:tcPr>
          <w:p w14:paraId="1BE2C589" w14:textId="77777777" w:rsidR="00221268" w:rsidRPr="00420C1B" w:rsidRDefault="00221268" w:rsidP="00B86B2D">
            <w:pPr>
              <w:autoSpaceDE w:val="0"/>
              <w:autoSpaceDN w:val="0"/>
              <w:adjustRightInd w:val="0"/>
              <w:spacing w:after="0" w:line="240" w:lineRule="auto"/>
              <w:jc w:val="both"/>
              <w:rPr>
                <w:rFonts w:ascii="Times New Roman" w:hAnsi="Times New Roman"/>
              </w:rPr>
            </w:pPr>
            <w:r w:rsidRPr="00420C1B">
              <w:rPr>
                <w:rFonts w:ascii="Times New Roman" w:hAnsi="Times New Roman"/>
              </w:rPr>
              <w:t>Cette loi présente la condition de l'enfant dans le monde et en RDC en raison de sa vulnérabilité, de sa dépendance par rapport au milieu, de son manque de maturité physique, intellectuelle et émotionnelle, nécessitant de soins spéciaux et une protection particulière n'a cessé d'interpeller depuis un certain temps la communauté internationale et nationale.</w:t>
            </w:r>
          </w:p>
        </w:tc>
        <w:tc>
          <w:tcPr>
            <w:tcW w:w="4376" w:type="dxa"/>
            <w:vAlign w:val="center"/>
          </w:tcPr>
          <w:p w14:paraId="65C0E27F" w14:textId="77777777" w:rsidR="00221268" w:rsidRPr="00420C1B" w:rsidRDefault="00221268" w:rsidP="00B86B2D">
            <w:pPr>
              <w:autoSpaceDE w:val="0"/>
              <w:autoSpaceDN w:val="0"/>
              <w:adjustRightInd w:val="0"/>
              <w:spacing w:after="0" w:line="240" w:lineRule="auto"/>
              <w:jc w:val="both"/>
              <w:rPr>
                <w:rFonts w:ascii="Times New Roman" w:hAnsi="Times New Roman"/>
              </w:rPr>
            </w:pPr>
            <w:r w:rsidRPr="00420C1B">
              <w:rPr>
                <w:rFonts w:ascii="Times New Roman" w:hAnsi="Times New Roman"/>
              </w:rPr>
              <w:t>Cette loi protège les enfants qui risquent d’être employés sur le chantier bien que la présente étude interdit d’employer les enfants de moins de 18 ans sur le chantier.</w:t>
            </w:r>
          </w:p>
        </w:tc>
      </w:tr>
      <w:tr w:rsidR="00D75D2E" w:rsidRPr="00420C1B" w14:paraId="774CEE8A" w14:textId="77777777" w:rsidTr="00E737B4">
        <w:trPr>
          <w:jc w:val="center"/>
        </w:trPr>
        <w:tc>
          <w:tcPr>
            <w:tcW w:w="4106" w:type="dxa"/>
            <w:vAlign w:val="center"/>
          </w:tcPr>
          <w:p w14:paraId="1EB146DE"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Loi n°004/2002 du 21 février 2002 portant Codes investissements</w:t>
            </w:r>
          </w:p>
        </w:tc>
        <w:tc>
          <w:tcPr>
            <w:tcW w:w="6397" w:type="dxa"/>
            <w:vAlign w:val="center"/>
          </w:tcPr>
          <w:p w14:paraId="11F87D0E"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Le Code oblige tout investisseur de remplir les règlements nationaux couvrant la protection de l’environnement, la conservation de la nature et l’emploi.</w:t>
            </w:r>
          </w:p>
        </w:tc>
        <w:tc>
          <w:tcPr>
            <w:tcW w:w="4376" w:type="dxa"/>
            <w:vAlign w:val="center"/>
          </w:tcPr>
          <w:p w14:paraId="04E243BA"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 xml:space="preserve">Ce Code est pertinent dans le cadre du </w:t>
            </w:r>
            <w:r w:rsidR="0015345E" w:rsidRPr="00420C1B">
              <w:rPr>
                <w:rFonts w:ascii="Times New Roman" w:hAnsi="Times New Roman"/>
              </w:rPr>
              <w:t>Projet</w:t>
            </w:r>
            <w:r w:rsidRPr="00420C1B">
              <w:rPr>
                <w:rFonts w:ascii="Times New Roman" w:hAnsi="Times New Roman"/>
              </w:rPr>
              <w:t xml:space="preserve"> car les travaux de bitumage de la route va susciter aux opérateurs économiques de projeter des projets d’investissement suite à l’ouverture de la route</w:t>
            </w:r>
          </w:p>
        </w:tc>
      </w:tr>
      <w:tr w:rsidR="00D75D2E" w:rsidRPr="00420C1B" w14:paraId="4A098491" w14:textId="77777777" w:rsidTr="00E737B4">
        <w:trPr>
          <w:jc w:val="center"/>
        </w:trPr>
        <w:tc>
          <w:tcPr>
            <w:tcW w:w="4106" w:type="dxa"/>
            <w:vAlign w:val="center"/>
          </w:tcPr>
          <w:p w14:paraId="5D681845"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 xml:space="preserve">Loi n° 16/010 du 15 juillet 2016 modifiant et complétant la loi n° 15/2002 du 16 octobre 2002 portant Code du travail. </w:t>
            </w:r>
          </w:p>
        </w:tc>
        <w:tc>
          <w:tcPr>
            <w:tcW w:w="6397" w:type="dxa"/>
            <w:vAlign w:val="center"/>
          </w:tcPr>
          <w:p w14:paraId="7D77FDE2"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Cette loi vise entre autres à protéger la santé et la sécurité des travailleurs, à assurer un service médical, à garantir le salaire minimum légal en RD Congo et à réglementer les conditions de travail. Le projet devra veiller à faire respecter le Code du travail dans l’utilisation du personnel lors des travaux.</w:t>
            </w:r>
          </w:p>
        </w:tc>
        <w:tc>
          <w:tcPr>
            <w:tcW w:w="4376" w:type="dxa"/>
            <w:vAlign w:val="center"/>
          </w:tcPr>
          <w:p w14:paraId="7F53B9BD"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 xml:space="preserve">Cette loi est très pertinente dans le cadre du </w:t>
            </w:r>
            <w:r w:rsidR="0015345E" w:rsidRPr="00420C1B">
              <w:rPr>
                <w:rFonts w:ascii="Times New Roman" w:hAnsi="Times New Roman"/>
              </w:rPr>
              <w:t>Projet</w:t>
            </w:r>
            <w:r w:rsidRPr="00420C1B">
              <w:rPr>
                <w:rFonts w:ascii="Times New Roman" w:hAnsi="Times New Roman"/>
              </w:rPr>
              <w:t xml:space="preserve"> car elle règlemente les relations entre l’employeur et le travailleur</w:t>
            </w:r>
          </w:p>
        </w:tc>
      </w:tr>
      <w:tr w:rsidR="00D75D2E" w:rsidRPr="00420C1B" w14:paraId="45888D39" w14:textId="77777777" w:rsidTr="00E737B4">
        <w:trPr>
          <w:jc w:val="center"/>
        </w:trPr>
        <w:tc>
          <w:tcPr>
            <w:tcW w:w="4106" w:type="dxa"/>
            <w:vAlign w:val="center"/>
          </w:tcPr>
          <w:p w14:paraId="6A2F80B8" w14:textId="77777777" w:rsidR="00221268" w:rsidRPr="00420C1B" w:rsidRDefault="00221268" w:rsidP="00B86B2D">
            <w:pPr>
              <w:spacing w:after="0" w:line="240" w:lineRule="auto"/>
              <w:jc w:val="both"/>
              <w:rPr>
                <w:rFonts w:ascii="Times New Roman" w:hAnsi="Times New Roman"/>
              </w:rPr>
            </w:pPr>
            <w:r w:rsidRPr="00420C1B">
              <w:rPr>
                <w:rFonts w:ascii="Times New Roman" w:hAnsi="Times New Roman"/>
              </w:rPr>
              <w:t xml:space="preserve">Loi n° 15/026 du 31 décembre 2015 relative à l’eau </w:t>
            </w:r>
          </w:p>
          <w:p w14:paraId="3B6A0F13" w14:textId="77777777" w:rsidR="00221268" w:rsidRPr="00420C1B" w:rsidRDefault="00221268" w:rsidP="00B86B2D">
            <w:pPr>
              <w:spacing w:after="0" w:line="240" w:lineRule="auto"/>
              <w:jc w:val="both"/>
              <w:rPr>
                <w:rFonts w:ascii="Times New Roman" w:hAnsi="Times New Roman"/>
              </w:rPr>
            </w:pPr>
          </w:p>
        </w:tc>
        <w:tc>
          <w:tcPr>
            <w:tcW w:w="6397" w:type="dxa"/>
            <w:vAlign w:val="center"/>
          </w:tcPr>
          <w:p w14:paraId="6ED12BE2" w14:textId="77777777" w:rsidR="00C836E0" w:rsidRPr="00420C1B" w:rsidRDefault="00C836E0" w:rsidP="00B86B2D">
            <w:pPr>
              <w:spacing w:after="0" w:line="240" w:lineRule="auto"/>
              <w:jc w:val="both"/>
              <w:rPr>
                <w:rFonts w:ascii="Times New Roman" w:hAnsi="Times New Roman"/>
                <w:bCs/>
              </w:rPr>
            </w:pPr>
            <w:r w:rsidRPr="00420C1B">
              <w:rPr>
                <w:rFonts w:ascii="Times New Roman" w:hAnsi="Times New Roman"/>
                <w:bCs/>
              </w:rPr>
              <w:t>La présente loi a pour objet la gestion durable et équitable des ressources en eau constituées des eaux souterraines et de surface, tant continentales que maritimes, conformément aux articles 9 et 48 de la Constitution. L’Article 30 de cette loi conditionne l’octroi de la concession à une étude d’impact environnemental et social, assortie de son plan de gestion dûment approuvés. Cette étude intègre notamment les données climatiques, hydrologiques et hydrogéologiques ainsi que l’état des ouvrages de rétention, prélèvement et dérivation des eaux.</w:t>
            </w:r>
          </w:p>
          <w:p w14:paraId="698D7117" w14:textId="77777777" w:rsidR="00C836E0" w:rsidRPr="00420C1B" w:rsidRDefault="00C836E0" w:rsidP="00B86B2D">
            <w:pPr>
              <w:spacing w:after="0" w:line="240" w:lineRule="auto"/>
              <w:jc w:val="both"/>
              <w:rPr>
                <w:rFonts w:ascii="Times New Roman" w:hAnsi="Times New Roman"/>
              </w:rPr>
            </w:pPr>
          </w:p>
          <w:p w14:paraId="72386016" w14:textId="77777777" w:rsidR="00221268" w:rsidRPr="00420C1B" w:rsidRDefault="00221268" w:rsidP="00C836E0">
            <w:pPr>
              <w:spacing w:after="0" w:line="240" w:lineRule="auto"/>
              <w:jc w:val="both"/>
              <w:rPr>
                <w:rFonts w:ascii="Times New Roman" w:hAnsi="Times New Roman"/>
              </w:rPr>
            </w:pPr>
            <w:r w:rsidRPr="00420C1B">
              <w:rPr>
                <w:rFonts w:ascii="Times New Roman" w:hAnsi="Times New Roman"/>
              </w:rPr>
              <w:t xml:space="preserve">Cette Loi en son Article 73 </w:t>
            </w:r>
            <w:r w:rsidR="00C836E0" w:rsidRPr="00420C1B">
              <w:rPr>
                <w:rFonts w:ascii="Times New Roman" w:hAnsi="Times New Roman"/>
              </w:rPr>
              <w:t>dispose</w:t>
            </w:r>
            <w:r w:rsidRPr="00420C1B">
              <w:rPr>
                <w:rFonts w:ascii="Times New Roman" w:hAnsi="Times New Roman"/>
              </w:rPr>
              <w:t xml:space="preserve"> : « Dans le cas des réseaux autonomes de service public d’approvisionnement en eau, des sources et points d’eau aménagés et des installations ponctuelles de prélèvement, en particulier les puits et forages avec ou sans pompe manuelle, la responsabilité de maître d’ouvrage est dévolue aux associations d’usagers ou aux comités locaux d’eau ». </w:t>
            </w:r>
          </w:p>
        </w:tc>
        <w:tc>
          <w:tcPr>
            <w:tcW w:w="4376" w:type="dxa"/>
            <w:vAlign w:val="center"/>
          </w:tcPr>
          <w:p w14:paraId="77CB18EF" w14:textId="77777777" w:rsidR="00221268" w:rsidRPr="00420C1B" w:rsidRDefault="00221268" w:rsidP="00C836E0">
            <w:pPr>
              <w:spacing w:after="0" w:line="240" w:lineRule="auto"/>
              <w:jc w:val="both"/>
              <w:rPr>
                <w:rFonts w:ascii="Times New Roman" w:hAnsi="Times New Roman"/>
              </w:rPr>
            </w:pPr>
            <w:r w:rsidRPr="00420C1B">
              <w:rPr>
                <w:rFonts w:ascii="Times New Roman" w:hAnsi="Times New Roman"/>
              </w:rPr>
              <w:t xml:space="preserve">Cette loi est pertinente car elle réglemente la gestion </w:t>
            </w:r>
            <w:r w:rsidR="00C836E0" w:rsidRPr="00420C1B">
              <w:rPr>
                <w:rFonts w:ascii="Times New Roman" w:hAnsi="Times New Roman"/>
              </w:rPr>
              <w:t>et l’</w:t>
            </w:r>
            <w:r w:rsidR="00C836E0" w:rsidRPr="00420C1B">
              <w:rPr>
                <w:rFonts w:ascii="Times New Roman" w:hAnsi="Times New Roman"/>
                <w:bCs/>
              </w:rPr>
              <w:t xml:space="preserve">utilisation </w:t>
            </w:r>
            <w:r w:rsidRPr="00420C1B">
              <w:rPr>
                <w:rFonts w:ascii="Times New Roman" w:hAnsi="Times New Roman"/>
              </w:rPr>
              <w:t>de l’eau</w:t>
            </w:r>
          </w:p>
        </w:tc>
      </w:tr>
      <w:tr w:rsidR="00F127B4" w:rsidRPr="00420C1B" w14:paraId="5F11657C" w14:textId="77777777" w:rsidTr="00E737B4">
        <w:trPr>
          <w:jc w:val="center"/>
        </w:trPr>
        <w:tc>
          <w:tcPr>
            <w:tcW w:w="4106" w:type="dxa"/>
            <w:vAlign w:val="center"/>
          </w:tcPr>
          <w:p w14:paraId="229E9C0D"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Loi n° 14/011 du 17 juin 2014 relative au secteur de l’électricité </w:t>
            </w:r>
          </w:p>
          <w:p w14:paraId="39D5581E" w14:textId="77777777" w:rsidR="00F127B4" w:rsidRPr="00420C1B" w:rsidRDefault="00F127B4" w:rsidP="00F127B4">
            <w:pPr>
              <w:spacing w:after="0" w:line="240" w:lineRule="auto"/>
              <w:jc w:val="both"/>
              <w:rPr>
                <w:rFonts w:ascii="Times New Roman" w:hAnsi="Times New Roman"/>
              </w:rPr>
            </w:pPr>
          </w:p>
        </w:tc>
        <w:tc>
          <w:tcPr>
            <w:tcW w:w="6397" w:type="dxa"/>
            <w:vAlign w:val="center"/>
          </w:tcPr>
          <w:p w14:paraId="48A255FB"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L’article 6 de la loi disposé que la loi régit les activités relatives à la production, le transport, la distribution et l'importation de l'énergie électrique en vue de sa commercialisation qui constituent  le service public de l'électricité</w:t>
            </w:r>
          </w:p>
          <w:p w14:paraId="16C96B48"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L’article 12 de la loi dispose que tout projet de développement, d'ouvrage ou d'installation électrique ou toute activité dans le secteur de l'électricité est assujetti à une étude d'impact environnemental et social préalable assortie de son plan de gestion dûment approuvé conformément à la législation sur la protection de I'environnement </w:t>
            </w:r>
          </w:p>
        </w:tc>
        <w:tc>
          <w:tcPr>
            <w:tcW w:w="4376" w:type="dxa"/>
            <w:vAlign w:val="center"/>
          </w:tcPr>
          <w:p w14:paraId="48256E9D"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Cette loi est pertinente car elle réglemente la gestion des activités du secteur de l’électricité </w:t>
            </w:r>
          </w:p>
        </w:tc>
      </w:tr>
      <w:tr w:rsidR="00F127B4" w:rsidRPr="00420C1B" w14:paraId="5C8F4C21" w14:textId="77777777" w:rsidTr="00E737B4">
        <w:trPr>
          <w:jc w:val="center"/>
        </w:trPr>
        <w:tc>
          <w:tcPr>
            <w:tcW w:w="4106" w:type="dxa"/>
            <w:vAlign w:val="center"/>
          </w:tcPr>
          <w:p w14:paraId="396F27D4" w14:textId="77777777" w:rsidR="00F127B4" w:rsidRPr="00420C1B" w:rsidRDefault="00F127B4" w:rsidP="00F127B4">
            <w:pPr>
              <w:spacing w:after="0" w:line="240" w:lineRule="auto"/>
              <w:jc w:val="both"/>
              <w:rPr>
                <w:rFonts w:ascii="Times New Roman" w:hAnsi="Times New Roman"/>
              </w:rPr>
            </w:pPr>
          </w:p>
          <w:p w14:paraId="7857CB6D"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La Loi n° 16/010 du 15 juillet 2016 modifiant et complétant la loi n° 015-2002 du 16 octobre 2002 portant code du travail, notamment en ses articles 1er, 6, 7, 62, 119, 121, 125, 129, 190, 216, 217, 218, 219, 241 et 321 </w:t>
            </w:r>
          </w:p>
          <w:p w14:paraId="5B240583" w14:textId="77777777" w:rsidR="00F127B4" w:rsidRPr="00420C1B" w:rsidRDefault="00F127B4" w:rsidP="00F127B4">
            <w:pPr>
              <w:spacing w:after="0" w:line="240" w:lineRule="auto"/>
              <w:jc w:val="both"/>
              <w:rPr>
                <w:rFonts w:ascii="Times New Roman" w:hAnsi="Times New Roman"/>
              </w:rPr>
            </w:pPr>
          </w:p>
        </w:tc>
        <w:tc>
          <w:tcPr>
            <w:tcW w:w="6397" w:type="dxa"/>
            <w:vAlign w:val="center"/>
          </w:tcPr>
          <w:p w14:paraId="0FF4689B"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Le Code du Travail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tc>
        <w:tc>
          <w:tcPr>
            <w:tcW w:w="4376" w:type="dxa"/>
            <w:vAlign w:val="center"/>
          </w:tcPr>
          <w:p w14:paraId="2E5DB902" w14:textId="17DDBB97" w:rsidR="00F127B4" w:rsidRPr="00420C1B" w:rsidRDefault="00F127B4" w:rsidP="00F127B4">
            <w:pPr>
              <w:spacing w:after="0" w:line="240" w:lineRule="auto"/>
              <w:jc w:val="both"/>
              <w:rPr>
                <w:rFonts w:ascii="Times New Roman" w:hAnsi="Times New Roman"/>
              </w:rPr>
            </w:pPr>
            <w:bookmarkStart w:id="259" w:name="_Toc56523235"/>
            <w:bookmarkStart w:id="260" w:name="_Toc56676329"/>
            <w:bookmarkStart w:id="261" w:name="_Toc56782564"/>
            <w:r w:rsidRPr="00420C1B">
              <w:rPr>
                <w:rFonts w:ascii="Times New Roman" w:hAnsi="Times New Roman"/>
              </w:rPr>
              <w:t>Cette loi réglemente le secteur du travail</w:t>
            </w:r>
            <w:bookmarkEnd w:id="259"/>
            <w:bookmarkEnd w:id="260"/>
            <w:bookmarkEnd w:id="261"/>
          </w:p>
        </w:tc>
      </w:tr>
      <w:tr w:rsidR="00F127B4" w:rsidRPr="00420C1B" w14:paraId="5C682773" w14:textId="77777777" w:rsidTr="00E737B4">
        <w:trPr>
          <w:jc w:val="center"/>
        </w:trPr>
        <w:tc>
          <w:tcPr>
            <w:tcW w:w="4106" w:type="dxa"/>
            <w:vAlign w:val="center"/>
          </w:tcPr>
          <w:p w14:paraId="006875FE"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La loi 06/018 modifiant et complétant le décret du 30 juin 1940 portant Code Pénal Congolais et la loi 06/019 modifiant et complétant le décret du 06 août 1959 portant Code de Procédure Pénale Congolais.</w:t>
            </w:r>
          </w:p>
        </w:tc>
        <w:tc>
          <w:tcPr>
            <w:tcW w:w="6397" w:type="dxa"/>
            <w:vAlign w:val="center"/>
          </w:tcPr>
          <w:p w14:paraId="4283493F"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loi répertorie les différents types de violences sexuelles et les peines prévues contre leurs auteurs des faits. A cette loi il faudra associer la loi portant protection de l’enfant ainsi que celle contre la stigmatisation et la discrimination de personnes vivantes avec le VIH de la RDC qui comprennent certaines dispositions sur les violences basées sur le genre.</w:t>
            </w:r>
          </w:p>
        </w:tc>
        <w:tc>
          <w:tcPr>
            <w:tcW w:w="4376" w:type="dxa"/>
            <w:vAlign w:val="center"/>
          </w:tcPr>
          <w:p w14:paraId="419DC3AA" w14:textId="25E5F3DB" w:rsidR="00F127B4" w:rsidRPr="00420C1B" w:rsidRDefault="00F127B4" w:rsidP="00C836E0">
            <w:pPr>
              <w:spacing w:after="0" w:line="240" w:lineRule="auto"/>
              <w:jc w:val="both"/>
              <w:rPr>
                <w:rFonts w:ascii="Times New Roman" w:hAnsi="Times New Roman"/>
              </w:rPr>
            </w:pPr>
            <w:bookmarkStart w:id="262" w:name="_Toc56523236"/>
            <w:bookmarkStart w:id="263" w:name="_Toc56676330"/>
            <w:bookmarkStart w:id="264" w:name="_Toc56782565"/>
            <w:r w:rsidRPr="00420C1B">
              <w:rPr>
                <w:rFonts w:ascii="Times New Roman" w:hAnsi="Times New Roman"/>
              </w:rPr>
              <w:t>Cette loi sur les violences basées sur le genre et portant protection des personnes vulnérables est pertinente pour le Projet car elle propose des sanctions aux personnes qui s’adonnent à la violence basée sur le genre et les EAS / HS</w:t>
            </w:r>
            <w:bookmarkEnd w:id="262"/>
            <w:bookmarkEnd w:id="263"/>
            <w:bookmarkEnd w:id="264"/>
          </w:p>
        </w:tc>
      </w:tr>
      <w:tr w:rsidR="00F127B4" w:rsidRPr="00420C1B" w14:paraId="0D3DCE7C" w14:textId="77777777" w:rsidTr="00E737B4">
        <w:trPr>
          <w:jc w:val="center"/>
        </w:trPr>
        <w:tc>
          <w:tcPr>
            <w:tcW w:w="4106" w:type="dxa"/>
            <w:vAlign w:val="center"/>
          </w:tcPr>
          <w:p w14:paraId="22BE46B0" w14:textId="77777777" w:rsidR="00F127B4" w:rsidRPr="00420C1B" w:rsidRDefault="00F127B4" w:rsidP="00F127B4">
            <w:pPr>
              <w:spacing w:after="0" w:line="240" w:lineRule="auto"/>
              <w:jc w:val="both"/>
              <w:rPr>
                <w:rFonts w:ascii="Times New Roman" w:hAnsi="Times New Roman"/>
              </w:rPr>
            </w:pPr>
          </w:p>
          <w:p w14:paraId="78AA9497"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La Loi 73 – 021 du 20 juillet 1973 porte sur le régime général des biens, régime foncier et immobilier et régime des suretés. </w:t>
            </w:r>
          </w:p>
          <w:p w14:paraId="43137013" w14:textId="77777777" w:rsidR="00F127B4" w:rsidRPr="00420C1B" w:rsidRDefault="00F127B4" w:rsidP="00F127B4">
            <w:pPr>
              <w:spacing w:after="0" w:line="240" w:lineRule="auto"/>
              <w:jc w:val="both"/>
              <w:rPr>
                <w:rFonts w:ascii="Times New Roman" w:hAnsi="Times New Roman"/>
              </w:rPr>
            </w:pPr>
          </w:p>
        </w:tc>
        <w:tc>
          <w:tcPr>
            <w:tcW w:w="6397" w:type="dxa"/>
            <w:vAlign w:val="center"/>
          </w:tcPr>
          <w:p w14:paraId="5BBF4F42"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Au regard de l'article 34 de la Constitution du 18 février 2006, toute décision d'expropriation relève de la compétence du pouvoir législatif. En tenant compte de cet article de la Constitution, la loi n° 11-2004 du 26 mars 2004 décrit les procédures d'expropriation pour cause d’utilité publique qui devraient être en rigueur.</w:t>
            </w:r>
          </w:p>
        </w:tc>
        <w:tc>
          <w:tcPr>
            <w:tcW w:w="4376" w:type="dxa"/>
            <w:vAlign w:val="center"/>
          </w:tcPr>
          <w:p w14:paraId="55508652" w14:textId="2556F635" w:rsidR="00F127B4" w:rsidRPr="00420C1B" w:rsidRDefault="00F127B4" w:rsidP="00F127B4">
            <w:pPr>
              <w:spacing w:after="0" w:line="240" w:lineRule="auto"/>
              <w:jc w:val="both"/>
              <w:rPr>
                <w:rFonts w:ascii="Times New Roman" w:hAnsi="Times New Roman"/>
              </w:rPr>
            </w:pPr>
            <w:bookmarkStart w:id="265" w:name="_Toc425004127"/>
            <w:bookmarkStart w:id="266" w:name="_Toc312453015"/>
            <w:bookmarkStart w:id="267" w:name="_Toc315262285"/>
            <w:bookmarkStart w:id="268" w:name="_Toc56523237"/>
            <w:bookmarkStart w:id="269" w:name="_Toc56676331"/>
            <w:bookmarkStart w:id="270" w:name="_Toc56782566"/>
            <w:r w:rsidRPr="00420C1B">
              <w:rPr>
                <w:rFonts w:ascii="Times New Roman" w:hAnsi="Times New Roman"/>
              </w:rPr>
              <w:t xml:space="preserve">Cette loi réglementé la législation sur le foncier </w:t>
            </w:r>
            <w:bookmarkEnd w:id="265"/>
            <w:bookmarkEnd w:id="266"/>
            <w:bookmarkEnd w:id="267"/>
            <w:r w:rsidRPr="00420C1B">
              <w:rPr>
                <w:rFonts w:ascii="Times New Roman" w:hAnsi="Times New Roman"/>
              </w:rPr>
              <w:t>du pays</w:t>
            </w:r>
            <w:bookmarkEnd w:id="268"/>
            <w:bookmarkEnd w:id="269"/>
            <w:bookmarkEnd w:id="270"/>
          </w:p>
        </w:tc>
      </w:tr>
      <w:tr w:rsidR="00F127B4" w:rsidRPr="00420C1B" w14:paraId="346CCA7B" w14:textId="77777777" w:rsidTr="00E737B4">
        <w:trPr>
          <w:jc w:val="center"/>
        </w:trPr>
        <w:tc>
          <w:tcPr>
            <w:tcW w:w="4106" w:type="dxa"/>
            <w:vAlign w:val="center"/>
          </w:tcPr>
          <w:p w14:paraId="17272498"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La Loi n°77/01 du 22 février 1977 sur l'expropriation pour cause d’utilité publique </w:t>
            </w:r>
            <w:r w:rsidRPr="00420C1B" w:rsidDel="005E6F57">
              <w:rPr>
                <w:rFonts w:ascii="Times New Roman" w:hAnsi="Times New Roman"/>
              </w:rPr>
              <w:t xml:space="preserve"> </w:t>
            </w:r>
          </w:p>
          <w:p w14:paraId="53B3A1E0" w14:textId="77777777" w:rsidR="00F127B4" w:rsidRPr="00420C1B" w:rsidRDefault="00F127B4" w:rsidP="00F127B4">
            <w:pPr>
              <w:spacing w:after="0" w:line="240" w:lineRule="auto"/>
              <w:jc w:val="both"/>
              <w:rPr>
                <w:rFonts w:ascii="Times New Roman" w:hAnsi="Times New Roman"/>
              </w:rPr>
            </w:pPr>
          </w:p>
          <w:p w14:paraId="2D55F33B" w14:textId="77777777" w:rsidR="00F127B4" w:rsidRPr="00420C1B" w:rsidRDefault="00F127B4" w:rsidP="00F127B4">
            <w:pPr>
              <w:spacing w:after="0" w:line="240" w:lineRule="auto"/>
              <w:jc w:val="both"/>
              <w:rPr>
                <w:rFonts w:ascii="Times New Roman" w:hAnsi="Times New Roman"/>
              </w:rPr>
            </w:pPr>
          </w:p>
        </w:tc>
        <w:tc>
          <w:tcPr>
            <w:tcW w:w="6397" w:type="dxa"/>
            <w:vAlign w:val="center"/>
          </w:tcPr>
          <w:p w14:paraId="5560E4A4"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Cette loi liste les acteurs susceptibles d’être expropriés pour cause d’utilité publique et décrit les procédures d’expropriation. En son art.4, elle prévoit que c’est le président de la République qui peut ordonner l’expropriation par zones, de biens destinés à servir l’exécution de ces travaux ou à être mis en vente ou concédés au profit de l’État. </w:t>
            </w:r>
          </w:p>
        </w:tc>
        <w:tc>
          <w:tcPr>
            <w:tcW w:w="4376" w:type="dxa"/>
            <w:vAlign w:val="center"/>
          </w:tcPr>
          <w:p w14:paraId="013048FD" w14:textId="6290B11D" w:rsidR="00F127B4" w:rsidRPr="00420C1B" w:rsidRDefault="00F127B4" w:rsidP="00F127B4">
            <w:pPr>
              <w:spacing w:after="0" w:line="240" w:lineRule="auto"/>
              <w:jc w:val="both"/>
              <w:rPr>
                <w:rFonts w:ascii="Times New Roman" w:hAnsi="Times New Roman"/>
              </w:rPr>
            </w:pPr>
            <w:bookmarkStart w:id="271" w:name="_Toc56523238"/>
            <w:bookmarkStart w:id="272" w:name="_Toc56676332"/>
            <w:bookmarkStart w:id="273" w:name="_Toc56782567"/>
            <w:r w:rsidRPr="00420C1B">
              <w:rPr>
                <w:rFonts w:ascii="Times New Roman" w:hAnsi="Times New Roman"/>
              </w:rPr>
              <w:t>Cette loi réglemente la question d’expropriation pour cause d’utilité publique en RDC. Le Projet n’échappera pas à la réinstallation involontaire au regard de la nature des travaux</w:t>
            </w:r>
            <w:bookmarkEnd w:id="271"/>
            <w:bookmarkEnd w:id="272"/>
            <w:bookmarkEnd w:id="273"/>
          </w:p>
        </w:tc>
      </w:tr>
      <w:tr w:rsidR="00F127B4" w:rsidRPr="00420C1B" w14:paraId="3FDC775E" w14:textId="77777777" w:rsidTr="00E737B4">
        <w:trPr>
          <w:jc w:val="center"/>
        </w:trPr>
        <w:tc>
          <w:tcPr>
            <w:tcW w:w="4106" w:type="dxa"/>
            <w:vAlign w:val="center"/>
          </w:tcPr>
          <w:p w14:paraId="4CA0AFD8" w14:textId="77777777" w:rsidR="00F127B4" w:rsidRPr="00420C1B" w:rsidRDefault="00F127B4" w:rsidP="00F127B4">
            <w:pPr>
              <w:spacing w:after="0" w:line="240" w:lineRule="auto"/>
              <w:jc w:val="both"/>
              <w:rPr>
                <w:rFonts w:ascii="Times New Roman" w:hAnsi="Times New Roman"/>
              </w:rPr>
            </w:pPr>
          </w:p>
          <w:p w14:paraId="4B86CAAC"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La Loi n° 78-022 portant Code de la Route et la Loi n° 73-013 du 5 janvier 1973 </w:t>
            </w:r>
          </w:p>
        </w:tc>
        <w:tc>
          <w:tcPr>
            <w:tcW w:w="6397" w:type="dxa"/>
            <w:vAlign w:val="center"/>
          </w:tcPr>
          <w:p w14:paraId="0D19F883"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loi règlemente le Code de la route, l’assurance obligation de l’assurance de responsabilité civile en matière d’utilisation des véhicules automoteurs</w:t>
            </w:r>
          </w:p>
        </w:tc>
        <w:tc>
          <w:tcPr>
            <w:tcW w:w="4376" w:type="dxa"/>
            <w:vAlign w:val="center"/>
          </w:tcPr>
          <w:p w14:paraId="385F6CC4" w14:textId="4A735064" w:rsidR="00F127B4" w:rsidRPr="00420C1B" w:rsidRDefault="00F127B4" w:rsidP="00F127B4">
            <w:pPr>
              <w:spacing w:after="0" w:line="240" w:lineRule="auto"/>
              <w:jc w:val="both"/>
              <w:rPr>
                <w:rFonts w:ascii="Times New Roman" w:hAnsi="Times New Roman"/>
              </w:rPr>
            </w:pPr>
            <w:bookmarkStart w:id="274" w:name="_Toc56523239"/>
            <w:bookmarkStart w:id="275" w:name="_Toc56676333"/>
            <w:bookmarkStart w:id="276" w:name="_Toc56782568"/>
            <w:r w:rsidRPr="00420C1B">
              <w:rPr>
                <w:rFonts w:ascii="Times New Roman" w:hAnsi="Times New Roman"/>
              </w:rPr>
              <w:t>Cette règlemente la circulation routière en RDC. Elle est pertinente car le Projet va utiliser des engins et des gros véhicules pour les travaux de la route</w:t>
            </w:r>
            <w:bookmarkEnd w:id="274"/>
            <w:bookmarkEnd w:id="275"/>
            <w:bookmarkEnd w:id="276"/>
          </w:p>
        </w:tc>
      </w:tr>
      <w:tr w:rsidR="00F127B4" w:rsidRPr="00420C1B" w14:paraId="72C15E1D" w14:textId="77777777" w:rsidTr="00E737B4">
        <w:trPr>
          <w:jc w:val="center"/>
        </w:trPr>
        <w:tc>
          <w:tcPr>
            <w:tcW w:w="4106" w:type="dxa"/>
            <w:vAlign w:val="center"/>
          </w:tcPr>
          <w:p w14:paraId="07DC14AA"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Ordonnance n° 74/098 du 06 juin 1974 relative à la protection de la main d’œuvre nationale contre la concurrence étrangère</w:t>
            </w:r>
          </w:p>
        </w:tc>
        <w:tc>
          <w:tcPr>
            <w:tcW w:w="6397" w:type="dxa"/>
            <w:vAlign w:val="center"/>
          </w:tcPr>
          <w:p w14:paraId="21116420"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Ordonnance tient à la protection de la main d’œuvre nationale contre la concurrence étrangère. Le projet devra veiller à faire respecter cette Ordonnance dans l’utilisation de la main d’œuvre locale lors des travaux.</w:t>
            </w:r>
          </w:p>
        </w:tc>
        <w:tc>
          <w:tcPr>
            <w:tcW w:w="4376" w:type="dxa"/>
            <w:vAlign w:val="center"/>
          </w:tcPr>
          <w:p w14:paraId="333AD31A"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ordonnance est pertinente dans le cadre du Projet car elle protège la main d’œuvre locale contre l’afflux des travailleurs étrangers en quête du travail</w:t>
            </w:r>
          </w:p>
        </w:tc>
      </w:tr>
      <w:tr w:rsidR="00F127B4" w:rsidRPr="00420C1B" w14:paraId="01CDC5D8" w14:textId="77777777" w:rsidTr="00E737B4">
        <w:trPr>
          <w:jc w:val="center"/>
        </w:trPr>
        <w:tc>
          <w:tcPr>
            <w:tcW w:w="4106" w:type="dxa"/>
            <w:vAlign w:val="center"/>
          </w:tcPr>
          <w:p w14:paraId="7F447E49"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Ordonnance n° 17/ 025 du 10 juillet 2017 fixant les attributions des ministères.</w:t>
            </w:r>
          </w:p>
        </w:tc>
        <w:tc>
          <w:tcPr>
            <w:tcW w:w="6397" w:type="dxa"/>
            <w:vAlign w:val="center"/>
          </w:tcPr>
          <w:p w14:paraId="01ADAB30"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Ordonnance définit les attributions communes et spécifiques de tous les Ministères en RDC.</w:t>
            </w:r>
          </w:p>
        </w:tc>
        <w:tc>
          <w:tcPr>
            <w:tcW w:w="4376" w:type="dxa"/>
            <w:vAlign w:val="center"/>
          </w:tcPr>
          <w:p w14:paraId="7E8CFCDE"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ordonnance est importante car fixe les attributions de chaque ministère qui est partie prenante au Projet.</w:t>
            </w:r>
          </w:p>
        </w:tc>
      </w:tr>
      <w:tr w:rsidR="00F127B4" w:rsidRPr="00420C1B" w14:paraId="2E81E444" w14:textId="77777777" w:rsidTr="00E737B4">
        <w:trPr>
          <w:jc w:val="center"/>
        </w:trPr>
        <w:tc>
          <w:tcPr>
            <w:tcW w:w="4106" w:type="dxa"/>
            <w:vAlign w:val="center"/>
          </w:tcPr>
          <w:p w14:paraId="4E2B96F5"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Ordonnance-loi n°71-016 du 15 mars 1971 relative à la protection des biens culturels </w:t>
            </w:r>
          </w:p>
        </w:tc>
        <w:tc>
          <w:tcPr>
            <w:tcW w:w="6397" w:type="dxa"/>
            <w:vAlign w:val="center"/>
          </w:tcPr>
          <w:p w14:paraId="794B0447"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 xml:space="preserve">Cette Ordonnance-loi prévoit que les découvertes de vestiges immobiliers ou d’objets pouvant intéresser l’art, l’histoire ou l’archéologie, qu’elles soient faites au cours de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 Lors des travaux, il est possible de découvrir de façon fortuite des vestiges culturels. Dans ce cas, le projet devra se conformer aux exigences de cette Ordonnance-loi. </w:t>
            </w:r>
          </w:p>
        </w:tc>
        <w:tc>
          <w:tcPr>
            <w:tcW w:w="4376" w:type="dxa"/>
            <w:vAlign w:val="center"/>
          </w:tcPr>
          <w:p w14:paraId="4DF00F61"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Cette ordonnance est pertinente car elle présente la procédure en cas de la découverte fortuite pendant les travaux. Elle présente toutes mesures utiles à la conservation des vestiges ou objets découverts.</w:t>
            </w:r>
          </w:p>
          <w:p w14:paraId="0D8AD22F" w14:textId="77777777" w:rsidR="00F127B4" w:rsidRPr="00420C1B" w:rsidRDefault="00F127B4" w:rsidP="00F127B4">
            <w:pPr>
              <w:spacing w:after="0" w:line="240" w:lineRule="auto"/>
              <w:jc w:val="both"/>
              <w:rPr>
                <w:rFonts w:ascii="Times New Roman" w:hAnsi="Times New Roman"/>
              </w:rPr>
            </w:pPr>
          </w:p>
          <w:p w14:paraId="21AE15AA" w14:textId="77777777" w:rsidR="00F127B4" w:rsidRPr="00420C1B" w:rsidRDefault="00F127B4" w:rsidP="00F127B4">
            <w:pPr>
              <w:spacing w:after="0" w:line="240" w:lineRule="auto"/>
              <w:jc w:val="both"/>
              <w:rPr>
                <w:rFonts w:ascii="Times New Roman" w:hAnsi="Times New Roman"/>
              </w:rPr>
            </w:pPr>
          </w:p>
        </w:tc>
      </w:tr>
      <w:tr w:rsidR="00F127B4" w:rsidRPr="00420C1B" w14:paraId="747F282A" w14:textId="77777777" w:rsidTr="00E737B4">
        <w:trPr>
          <w:trHeight w:val="1133"/>
          <w:jc w:val="center"/>
        </w:trPr>
        <w:tc>
          <w:tcPr>
            <w:tcW w:w="4106" w:type="dxa"/>
            <w:vAlign w:val="center"/>
          </w:tcPr>
          <w:p w14:paraId="481EBF72"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Décret n°14/019 du 02 août 2014 fixant les règles de fonctionnement des mécanismes procéduraux de protection de l’environnement.</w:t>
            </w:r>
          </w:p>
        </w:tc>
        <w:tc>
          <w:tcPr>
            <w:tcW w:w="6397" w:type="dxa"/>
            <w:vAlign w:val="center"/>
          </w:tcPr>
          <w:p w14:paraId="5EA361D6"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L’article 18 de ce Décret abonde dans le même sens que l'article 21 de la Loi n°11/009 du 09 juillet 2011 portant principes fondamentaux relatifs à la protection de l’environnement en assujettissant obligatoirement et préalablement tout projet susceptible d’avoir un impact sur l’environnement à une étude d'impact environnemental et social, assortie de son plan de gestion.</w:t>
            </w:r>
          </w:p>
        </w:tc>
        <w:tc>
          <w:tcPr>
            <w:tcW w:w="4376" w:type="dxa"/>
            <w:vAlign w:val="center"/>
          </w:tcPr>
          <w:p w14:paraId="3CED3E63"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 décret est pertinent car il définit les mesures d’application de la loi portant principes fondamentaux de l’environnement</w:t>
            </w:r>
          </w:p>
        </w:tc>
      </w:tr>
      <w:tr w:rsidR="00F127B4" w:rsidRPr="00420C1B" w14:paraId="253C00DF" w14:textId="77777777" w:rsidTr="00E737B4">
        <w:trPr>
          <w:jc w:val="center"/>
        </w:trPr>
        <w:tc>
          <w:tcPr>
            <w:tcW w:w="4106" w:type="dxa"/>
            <w:vAlign w:val="center"/>
          </w:tcPr>
          <w:p w14:paraId="4D34C90B"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Décret n°14/030 du 18 novembre 2014 fixant les statuts d’un établissement public dénommé Agence Congolaise de l’Environnement, en sigle (ACE)</w:t>
            </w:r>
          </w:p>
        </w:tc>
        <w:tc>
          <w:tcPr>
            <w:tcW w:w="6397" w:type="dxa"/>
            <w:vAlign w:val="center"/>
          </w:tcPr>
          <w:p w14:paraId="7D119983"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Le Décret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w:t>
            </w:r>
          </w:p>
        </w:tc>
        <w:tc>
          <w:tcPr>
            <w:tcW w:w="4376" w:type="dxa"/>
            <w:vAlign w:val="center"/>
          </w:tcPr>
          <w:p w14:paraId="273B33B9" w14:textId="77777777" w:rsidR="00F127B4" w:rsidRPr="00420C1B" w:rsidRDefault="00F127B4" w:rsidP="00466661">
            <w:pPr>
              <w:spacing w:after="0" w:line="240" w:lineRule="auto"/>
              <w:jc w:val="both"/>
              <w:rPr>
                <w:rFonts w:ascii="Times New Roman" w:hAnsi="Times New Roman"/>
              </w:rPr>
            </w:pPr>
            <w:r w:rsidRPr="00420C1B">
              <w:rPr>
                <w:rFonts w:ascii="Times New Roman" w:hAnsi="Times New Roman"/>
              </w:rPr>
              <w:t xml:space="preserve">Ce décret </w:t>
            </w:r>
            <w:r w:rsidR="00466661" w:rsidRPr="00420C1B">
              <w:rPr>
                <w:rFonts w:ascii="Times New Roman" w:hAnsi="Times New Roman"/>
              </w:rPr>
              <w:t xml:space="preserve">porte </w:t>
            </w:r>
            <w:r w:rsidRPr="00420C1B">
              <w:rPr>
                <w:rFonts w:ascii="Times New Roman" w:hAnsi="Times New Roman"/>
              </w:rPr>
              <w:t>les statuts de l’ACE</w:t>
            </w:r>
          </w:p>
        </w:tc>
      </w:tr>
      <w:tr w:rsidR="00F127B4" w:rsidRPr="00420C1B" w14:paraId="6945BA83" w14:textId="77777777" w:rsidTr="00E737B4">
        <w:trPr>
          <w:jc w:val="center"/>
        </w:trPr>
        <w:tc>
          <w:tcPr>
            <w:tcW w:w="4106" w:type="dxa"/>
            <w:vAlign w:val="center"/>
          </w:tcPr>
          <w:p w14:paraId="09FA3B7D"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Décret n° 09/37 du 10 octobre 2009 portant création, organisation et fonctionnement d'un Etablissement public dénommé « Fonds National pour la Promotion de la Femme et la Protection de l'Enfant</w:t>
            </w:r>
          </w:p>
        </w:tc>
        <w:tc>
          <w:tcPr>
            <w:tcW w:w="6397" w:type="dxa"/>
            <w:vAlign w:val="center"/>
          </w:tcPr>
          <w:p w14:paraId="5FC8E108"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Créé un Fonds National pour la Promotion de la Femme et la Protection de l'Enfant, en sigle « FONAFEN »</w:t>
            </w:r>
          </w:p>
        </w:tc>
        <w:tc>
          <w:tcPr>
            <w:tcW w:w="4376" w:type="dxa"/>
            <w:vAlign w:val="center"/>
          </w:tcPr>
          <w:p w14:paraId="386DD9B5"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 décret met en place le fonds pour la protection des femmes et enfants qui font partir des personnes vulnérables dans le cadre du Projet</w:t>
            </w:r>
          </w:p>
        </w:tc>
      </w:tr>
      <w:tr w:rsidR="00F127B4" w:rsidRPr="00420C1B" w14:paraId="170FA9E7" w14:textId="77777777" w:rsidTr="00E737B4">
        <w:trPr>
          <w:jc w:val="center"/>
        </w:trPr>
        <w:tc>
          <w:tcPr>
            <w:tcW w:w="4106" w:type="dxa"/>
            <w:vAlign w:val="center"/>
          </w:tcPr>
          <w:p w14:paraId="3311118D"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Arrêté départemental 78/004 bis du 3 janvier 1978 portant institution des comités d’hygiène et de sécurité dans les entreprises</w:t>
            </w:r>
          </w:p>
        </w:tc>
        <w:tc>
          <w:tcPr>
            <w:tcW w:w="6397" w:type="dxa"/>
            <w:vAlign w:val="center"/>
          </w:tcPr>
          <w:p w14:paraId="30DB1F85"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 Arrêté institue les comités d’hygiène et de sécurité dans les entreprises. Le Projet devra veiller à faire respecter Cet Arrêté lors des travaux.</w:t>
            </w:r>
          </w:p>
        </w:tc>
        <w:tc>
          <w:tcPr>
            <w:tcW w:w="4376" w:type="dxa"/>
            <w:vAlign w:val="center"/>
          </w:tcPr>
          <w:p w14:paraId="61550E3A" w14:textId="77777777" w:rsidR="00F127B4" w:rsidRPr="00420C1B" w:rsidRDefault="00F127B4" w:rsidP="00F127B4">
            <w:pPr>
              <w:spacing w:after="0" w:line="240" w:lineRule="auto"/>
              <w:jc w:val="both"/>
              <w:rPr>
                <w:rFonts w:ascii="Times New Roman" w:hAnsi="Times New Roman"/>
              </w:rPr>
            </w:pPr>
            <w:r w:rsidRPr="00420C1B">
              <w:rPr>
                <w:rFonts w:ascii="Times New Roman" w:hAnsi="Times New Roman"/>
              </w:rPr>
              <w:t>Cet Arrêté est important pour le Projet car il donne la possibilité de faire respecter la question d’hygiène santé et sécurité au sein des entreprises et autres prestataires du Projet.</w:t>
            </w:r>
          </w:p>
        </w:tc>
      </w:tr>
      <w:tr w:rsidR="001F1282" w:rsidRPr="00420C1B" w14:paraId="02BA147B" w14:textId="77777777" w:rsidTr="00E737B4">
        <w:trPr>
          <w:jc w:val="center"/>
        </w:trPr>
        <w:tc>
          <w:tcPr>
            <w:tcW w:w="4106" w:type="dxa"/>
            <w:vAlign w:val="center"/>
          </w:tcPr>
          <w:p w14:paraId="12163430" w14:textId="3A6DBE9F" w:rsidR="001F1282" w:rsidRPr="00420C1B" w:rsidRDefault="001F1282" w:rsidP="001F1282">
            <w:pPr>
              <w:spacing w:after="0" w:line="240" w:lineRule="auto"/>
              <w:jc w:val="both"/>
              <w:rPr>
                <w:rFonts w:ascii="Times New Roman" w:hAnsi="Times New Roman"/>
              </w:rPr>
            </w:pPr>
            <w:r w:rsidRPr="00420C1B">
              <w:rPr>
                <w:rFonts w:ascii="Times New Roman" w:hAnsi="Times New Roman"/>
              </w:rPr>
              <w:t>Arrêté n° CAB.MIN/IND/CJA/10/10/2020 du 27 octobre 2020 portant adoption des normes nationales congolaises sur  les  produits  cosmétiques  et détergents, les lubrifiants et produits pétroliers, les ciments, les peintures et vernis, l'électrotechnique, la technologie de l'information et la sécurité, le management  sécurité  routière  et l'approvisionnement, l'assainissement, l'environnement, eaux usées et de forage et leur mise en application.</w:t>
            </w:r>
          </w:p>
        </w:tc>
        <w:tc>
          <w:tcPr>
            <w:tcW w:w="6397" w:type="dxa"/>
            <w:vAlign w:val="center"/>
          </w:tcPr>
          <w:p w14:paraId="13C6FBE9" w14:textId="728187A4" w:rsidR="005F7D3D" w:rsidRPr="00420C1B" w:rsidRDefault="001F1282" w:rsidP="00AE31F1">
            <w:pPr>
              <w:spacing w:after="0" w:line="240" w:lineRule="auto"/>
              <w:jc w:val="both"/>
            </w:pPr>
            <w:r w:rsidRPr="00420C1B">
              <w:rPr>
                <w:rFonts w:ascii="Times New Roman" w:hAnsi="Times New Roman"/>
              </w:rPr>
              <w:t xml:space="preserve">Cet arrêté </w:t>
            </w:r>
            <w:r w:rsidR="005F7D3D" w:rsidRPr="0039060A">
              <w:rPr>
                <w:rFonts w:ascii="Times New Roman" w:eastAsia="Times New Roman" w:hAnsi="Times New Roman"/>
                <w:sz w:val="24"/>
                <w:szCs w:val="24"/>
              </w:rPr>
              <w:t>contient les Normes sur l’éclairage public (10 normes), Normes sur le Management de l’énergie (17 normes) et les Normes sur l’électrification rurale (17 normes)</w:t>
            </w:r>
            <w:r w:rsidR="005F7D3D">
              <w:rPr>
                <w:rFonts w:ascii="Times New Roman" w:eastAsia="Times New Roman" w:hAnsi="Times New Roman"/>
                <w:sz w:val="24"/>
                <w:szCs w:val="24"/>
              </w:rPr>
              <w:t>, qui sont pertinentes pour ce sous-projet</w:t>
            </w:r>
            <w:r w:rsidR="005F7D3D" w:rsidRPr="0039060A">
              <w:rPr>
                <w:rFonts w:ascii="Times New Roman" w:eastAsia="Times New Roman" w:hAnsi="Times New Roman"/>
                <w:sz w:val="24"/>
                <w:szCs w:val="24"/>
              </w:rPr>
              <w:t>.</w:t>
            </w:r>
          </w:p>
          <w:p w14:paraId="78DCCE88" w14:textId="22FDB215" w:rsidR="001F1282" w:rsidRPr="00420C1B" w:rsidRDefault="001F1282" w:rsidP="00F127B4">
            <w:pPr>
              <w:spacing w:after="0" w:line="240" w:lineRule="auto"/>
              <w:jc w:val="both"/>
              <w:rPr>
                <w:rFonts w:ascii="Times New Roman" w:hAnsi="Times New Roman"/>
              </w:rPr>
            </w:pPr>
            <w:r w:rsidRPr="00420C1B">
              <w:rPr>
                <w:rFonts w:ascii="Times New Roman" w:hAnsi="Times New Roman"/>
              </w:rPr>
              <w:t xml:space="preserve"> </w:t>
            </w:r>
          </w:p>
        </w:tc>
        <w:tc>
          <w:tcPr>
            <w:tcW w:w="4376" w:type="dxa"/>
            <w:vAlign w:val="center"/>
          </w:tcPr>
          <w:p w14:paraId="49EC20FB" w14:textId="38DE3D8F" w:rsidR="001F1282" w:rsidRPr="00420C1B" w:rsidRDefault="005F7D3D" w:rsidP="00F127B4">
            <w:pPr>
              <w:spacing w:after="0" w:line="240" w:lineRule="auto"/>
              <w:jc w:val="both"/>
              <w:rPr>
                <w:rFonts w:ascii="Times New Roman" w:hAnsi="Times New Roman"/>
              </w:rPr>
            </w:pPr>
            <w:r w:rsidRPr="00420C1B">
              <w:rPr>
                <w:rFonts w:ascii="Times New Roman" w:hAnsi="Times New Roman"/>
              </w:rPr>
              <w:t>Le projet se basera sur ces normes lors de l’élaboration des spécifications techniques et la préparation des cahiers des charges entreprises, ainsi que du DAO des travaux</w:t>
            </w:r>
          </w:p>
        </w:tc>
      </w:tr>
      <w:tr w:rsidR="001F1282" w:rsidRPr="00420C1B" w14:paraId="33968458" w14:textId="77777777" w:rsidTr="00E737B4">
        <w:trPr>
          <w:jc w:val="center"/>
        </w:trPr>
        <w:tc>
          <w:tcPr>
            <w:tcW w:w="4106" w:type="dxa"/>
            <w:vAlign w:val="center"/>
          </w:tcPr>
          <w:p w14:paraId="08E280BE" w14:textId="60CDA738" w:rsidR="001F1282" w:rsidRPr="00420C1B" w:rsidRDefault="001F1282" w:rsidP="00AE31F1">
            <w:pPr>
              <w:spacing w:after="0" w:line="240" w:lineRule="auto"/>
              <w:jc w:val="both"/>
              <w:rPr>
                <w:rFonts w:ascii="Times New Roman" w:hAnsi="Times New Roman"/>
              </w:rPr>
            </w:pPr>
            <w:r w:rsidRPr="00420C1B">
              <w:rPr>
                <w:rFonts w:ascii="Times New Roman" w:hAnsi="Times New Roman"/>
              </w:rPr>
              <w:t>Décret n° 20/023 du 1er octobre 2020 portant mesures barrières de lutte contre la pandémie de Covid-19 en République Démocratique du Congo</w:t>
            </w:r>
          </w:p>
        </w:tc>
        <w:tc>
          <w:tcPr>
            <w:tcW w:w="6397" w:type="dxa"/>
            <w:vAlign w:val="center"/>
          </w:tcPr>
          <w:p w14:paraId="7471AFF1" w14:textId="7AC69209" w:rsidR="001F1282" w:rsidRPr="00420C1B" w:rsidRDefault="00D059A3" w:rsidP="00F127B4">
            <w:pPr>
              <w:spacing w:after="0" w:line="240" w:lineRule="auto"/>
              <w:jc w:val="both"/>
              <w:rPr>
                <w:rFonts w:ascii="Times New Roman" w:hAnsi="Times New Roman"/>
              </w:rPr>
            </w:pPr>
            <w:r w:rsidRPr="00420C1B">
              <w:rPr>
                <w:rFonts w:ascii="Times New Roman" w:hAnsi="Times New Roman"/>
              </w:rPr>
              <w:t>Cet arrêté défini les mesures barrières et les règles d’hygiène à observer pour prévenir la contamination au COVID-19</w:t>
            </w:r>
          </w:p>
        </w:tc>
        <w:tc>
          <w:tcPr>
            <w:tcW w:w="4376" w:type="dxa"/>
            <w:vAlign w:val="center"/>
          </w:tcPr>
          <w:p w14:paraId="4877B639" w14:textId="64ECA3A8" w:rsidR="001F1282" w:rsidRPr="00420C1B" w:rsidRDefault="00D059A3" w:rsidP="00F127B4">
            <w:pPr>
              <w:spacing w:after="0" w:line="240" w:lineRule="auto"/>
              <w:jc w:val="both"/>
              <w:rPr>
                <w:rFonts w:ascii="Times New Roman" w:hAnsi="Times New Roman"/>
              </w:rPr>
            </w:pPr>
            <w:r w:rsidRPr="00420C1B">
              <w:rPr>
                <w:rFonts w:ascii="Times New Roman" w:hAnsi="Times New Roman"/>
              </w:rPr>
              <w:t>Le projet se basera sur les mesures barrière</w:t>
            </w:r>
            <w:r w:rsidR="00E67154" w:rsidRPr="00420C1B">
              <w:rPr>
                <w:rFonts w:ascii="Times New Roman" w:hAnsi="Times New Roman"/>
              </w:rPr>
              <w:t>s</w:t>
            </w:r>
            <w:r w:rsidRPr="00420C1B">
              <w:rPr>
                <w:rFonts w:ascii="Times New Roman" w:hAnsi="Times New Roman"/>
              </w:rPr>
              <w:t xml:space="preserve"> de lutte contre le COVID-19 </w:t>
            </w:r>
            <w:r w:rsidR="00E67154" w:rsidRPr="00420C1B">
              <w:rPr>
                <w:rFonts w:ascii="Times New Roman" w:hAnsi="Times New Roman"/>
              </w:rPr>
              <w:t>prônées</w:t>
            </w:r>
            <w:r w:rsidRPr="00420C1B">
              <w:rPr>
                <w:rFonts w:ascii="Times New Roman" w:hAnsi="Times New Roman"/>
              </w:rPr>
              <w:t xml:space="preserve"> par le gouvernement central pour l’application des mesures contre cette pandémie</w:t>
            </w:r>
          </w:p>
        </w:tc>
      </w:tr>
    </w:tbl>
    <w:p w14:paraId="4EF5CCCC" w14:textId="77777777" w:rsidR="00FB3D81" w:rsidRPr="00024B30" w:rsidRDefault="00FB3D81" w:rsidP="00E737B4">
      <w:pPr>
        <w:spacing w:before="120" w:after="0" w:line="240" w:lineRule="auto"/>
        <w:jc w:val="center"/>
        <w:rPr>
          <w:rFonts w:ascii="Times New Roman" w:hAnsi="Times New Roman"/>
          <w:bCs/>
          <w:i/>
        </w:rPr>
      </w:pPr>
      <w:bookmarkStart w:id="277" w:name="_Toc425004121"/>
      <w:bookmarkStart w:id="278" w:name="_Toc425004124"/>
      <w:bookmarkStart w:id="279" w:name="_Toc425004125"/>
      <w:bookmarkStart w:id="280" w:name="_Toc312453019"/>
      <w:bookmarkStart w:id="281" w:name="_Toc315262289"/>
      <w:bookmarkStart w:id="282" w:name="_Toc425004126"/>
      <w:bookmarkStart w:id="283" w:name="_Toc312453014"/>
      <w:bookmarkStart w:id="284" w:name="_Toc315262284"/>
      <w:bookmarkStart w:id="285" w:name="_Toc22166146"/>
      <w:bookmarkStart w:id="286" w:name="_Toc26693421"/>
      <w:bookmarkStart w:id="287" w:name="_Toc31834183"/>
      <w:bookmarkStart w:id="288" w:name="_Toc78601974"/>
      <w:bookmarkEnd w:id="277"/>
      <w:bookmarkEnd w:id="278"/>
      <w:bookmarkEnd w:id="279"/>
      <w:bookmarkEnd w:id="280"/>
      <w:bookmarkEnd w:id="281"/>
      <w:bookmarkEnd w:id="282"/>
      <w:bookmarkEnd w:id="283"/>
      <w:bookmarkEnd w:id="284"/>
      <w:r w:rsidRPr="00024B30">
        <w:rPr>
          <w:rFonts w:ascii="Times New Roman" w:hAnsi="Times New Roman"/>
          <w:bCs/>
          <w:i/>
          <w:u w:val="single"/>
        </w:rPr>
        <w:t>Source </w:t>
      </w:r>
      <w:r w:rsidRPr="00024B30">
        <w:rPr>
          <w:rFonts w:ascii="Times New Roman" w:hAnsi="Times New Roman"/>
          <w:bCs/>
          <w:i/>
        </w:rPr>
        <w:t>: Mission</w:t>
      </w:r>
      <w:r>
        <w:rPr>
          <w:rFonts w:ascii="Times New Roman" w:hAnsi="Times New Roman"/>
          <w:bCs/>
          <w:i/>
        </w:rPr>
        <w:t xml:space="preserve"> d</w:t>
      </w:r>
      <w:r w:rsidRPr="00024B30">
        <w:rPr>
          <w:rFonts w:ascii="Times New Roman" w:hAnsi="Times New Roman"/>
          <w:bCs/>
          <w:i/>
        </w:rPr>
        <w:t xml:space="preserve">’élaboration de l’EIES DKC </w:t>
      </w:r>
      <w:r w:rsidR="00B86B2D">
        <w:rPr>
          <w:rFonts w:ascii="Times New Roman" w:hAnsi="Times New Roman"/>
          <w:bCs/>
          <w:i/>
        </w:rPr>
        <w:t xml:space="preserve">&amp; </w:t>
      </w:r>
      <w:r w:rsidRPr="00024B30">
        <w:rPr>
          <w:rFonts w:ascii="Times New Roman" w:hAnsi="Times New Roman"/>
          <w:bCs/>
          <w:i/>
        </w:rPr>
        <w:t>DKO</w:t>
      </w:r>
      <w:r w:rsidR="00B86B2D">
        <w:rPr>
          <w:rFonts w:ascii="Times New Roman" w:hAnsi="Times New Roman"/>
          <w:bCs/>
          <w:i/>
        </w:rPr>
        <w:t xml:space="preserve">, </w:t>
      </w:r>
      <w:r w:rsidRPr="00024B30">
        <w:rPr>
          <w:rFonts w:ascii="Times New Roman" w:hAnsi="Times New Roman"/>
          <w:bCs/>
          <w:i/>
        </w:rPr>
        <w:t>juillet 2021</w:t>
      </w:r>
    </w:p>
    <w:p w14:paraId="46BE8BB2" w14:textId="77777777" w:rsidR="00647F6F" w:rsidRPr="00647F6F" w:rsidRDefault="00647F6F" w:rsidP="00647F6F">
      <w:pPr>
        <w:spacing w:after="0" w:line="240" w:lineRule="auto"/>
        <w:jc w:val="both"/>
        <w:rPr>
          <w:rFonts w:ascii="Times New Roman" w:eastAsia="Times New Roman" w:hAnsi="Times New Roman"/>
          <w:lang w:eastAsia="fr-FR"/>
        </w:rPr>
        <w:sectPr w:rsidR="00647F6F" w:rsidRPr="00647F6F" w:rsidSect="0082631D">
          <w:headerReference w:type="default" r:id="rId26"/>
          <w:headerReference w:type="first" r:id="rId27"/>
          <w:pgSz w:w="16840" w:h="11900" w:orient="landscape"/>
          <w:pgMar w:top="1418" w:right="1418" w:bottom="1418" w:left="1418" w:header="709" w:footer="709" w:gutter="0"/>
          <w:cols w:space="708"/>
          <w:titlePg/>
          <w:docGrid w:linePitch="360"/>
        </w:sectPr>
      </w:pPr>
    </w:p>
    <w:p w14:paraId="1702007C" w14:textId="67DC0028" w:rsidR="00221268" w:rsidRPr="00D75D2E" w:rsidRDefault="00B86B2D" w:rsidP="008C79F0">
      <w:pPr>
        <w:pStyle w:val="Titre1"/>
        <w:numPr>
          <w:ilvl w:val="1"/>
          <w:numId w:val="54"/>
        </w:numPr>
        <w:spacing w:before="0" w:line="240" w:lineRule="auto"/>
        <w:ind w:left="426" w:hanging="284"/>
        <w:jc w:val="both"/>
        <w:rPr>
          <w:szCs w:val="24"/>
          <w:lang w:eastAsia="fr-FR"/>
        </w:rPr>
      </w:pPr>
      <w:r>
        <w:rPr>
          <w:szCs w:val="24"/>
          <w:lang w:eastAsia="fr-FR"/>
        </w:rPr>
        <w:t xml:space="preserve"> </w:t>
      </w:r>
      <w:bookmarkStart w:id="289" w:name="_Toc103685609"/>
      <w:r w:rsidR="00221268" w:rsidRPr="00D75D2E">
        <w:rPr>
          <w:szCs w:val="24"/>
          <w:lang w:eastAsia="fr-FR"/>
        </w:rPr>
        <w:t xml:space="preserve">Conditions d’emploi et de travail dans le cadre de la mise œuvre </w:t>
      </w:r>
      <w:bookmarkEnd w:id="285"/>
      <w:r w:rsidR="00221268" w:rsidRPr="00D75D2E">
        <w:rPr>
          <w:szCs w:val="24"/>
          <w:lang w:eastAsia="fr-FR"/>
        </w:rPr>
        <w:t xml:space="preserve">du </w:t>
      </w:r>
      <w:bookmarkEnd w:id="286"/>
      <w:bookmarkEnd w:id="287"/>
      <w:r w:rsidR="00221268" w:rsidRPr="00D75D2E">
        <w:rPr>
          <w:szCs w:val="24"/>
          <w:lang w:eastAsia="fr-FR"/>
        </w:rPr>
        <w:t>projet</w:t>
      </w:r>
      <w:bookmarkEnd w:id="288"/>
      <w:bookmarkEnd w:id="289"/>
    </w:p>
    <w:p w14:paraId="42D96033"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 code de travail  congolais  ne fait pas de distinction entre les nationaux et les non nationaux comme indiqué dans l’article 7 de la loi n° 16/010 du 15 juillet 2016 modifiant et complétant la loi n° 015 /2002 du 16 octobre 2002 portant Code du travail en République Démocratique du Congo  (est considérée comme travailleur toute personne physique en âge de contracter, quels que soient son sexe, son état civil et sa nationalité, qui s'est engagée à mettre son activité professionnelle, moyennant rémunération, sous la direction et l'autorité d'une personne physique ou morale, publique ou privée, dans les liens d'un contrat de travail. Pour la détermination de la qualité de travailleur, il ne sera tenu compte ni du statut juridique de l’employeur ni de celui de l’employé). Mais il est institué auprès du Ministère du Travail et de la Prévoyance Sociale une « Commission Nationale de l‘Emploi des Etrangers » (article 208 de la Loi n° 015 /2002 du 16 octobre 2002 portant Code du travail en République Démocratique du Congo). Selon l’article 209 de la Loi n° 015 /2002 du 16 octobre 2002, la Commission Nationale de l’Emploi des Etrangers a comme mission générale de statuer sur la délivrance des cartes de travail pour étrangers.</w:t>
      </w:r>
    </w:p>
    <w:p w14:paraId="284C657C"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L’article 133 de la Loi n° 015 /2002 du 16 octobre 2002 portant Code du travail stipule que les enfants ne peuvent être employés dans une entreprise même comme apprentis, avant l’âge de 15 ans sauf dérogation expresse de l’Inspecteur du Travail du ressort et de l’autorité parentale ou tutélaire. En aucun cas, l’autorisation expresse de l’Inspecteur du Travail du ressort et de l’autorité parentale ou tutélaire ne doit être accordée en dessous de 15 ans. L’Arrêté ministériel N° 12/CAB.MIN/TPSI/045 /08 du 08 août 2008 fixant les conditions de travail des enfants en son Article premier stipule que : Il est interdit à tout employeur, personne physique ou morale d'occuper des enfants à des travaux excédant leurs forces, les exposant à des risques professionnels élevés, ou qui par leur nature ou par les conditions dans lesquelles ils sont effectués, sont susceptibles de blesser leur moralité. Selon l’article 2 de cet arrêté, l'expression « enfant » désigne toute personne âgée de moins de 18 ans. Article 7 :</w:t>
      </w:r>
    </w:p>
    <w:p w14:paraId="15DE218A"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 travail de nuit est interdit à tout enfant âgé de moins de 18 ans (article 7 de l’Arrêté ministériel N° 12/CAB.MIN/TPSI/045 /08 du 08 août 2008 fixant les conditions de travail des enfants).</w:t>
      </w:r>
    </w:p>
    <w:p w14:paraId="05B9564C"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Cette loi est en concordance avec la Norme Environnementale et Sociale N°2. Sauf qu’elle ne prévoit pas l’élaboration et la mise en œuvre d’un Plan de Gestion de la Main d’œuvre (PGMO).</w:t>
      </w:r>
    </w:p>
    <w:p w14:paraId="323046B3"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Ainsi, il sera élaboré et mis en œuvre un PGMO qui va s’appliquer aux travailleurs de l’entreprise. Ces procédures décriront la manière dont les travailleurs de l’entreprise seront gérés, conformément aux prescriptions du droit national et de la présente NES N°2. Elles indiqueront de quelle façon la présente NES s’appliquera aux différentes catégories de travailleurs de l’entreprise, y compris les travailleurs directs, et les obligations que l’Emprunteur imposera aux tiers concernant la gestion de leurs employés, conformément aux paragraphes 31 à 33 de la NES N°2.</w:t>
      </w:r>
    </w:p>
    <w:p w14:paraId="01151780"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Dans la mise en œuvre du projet, une documentation et des informations précises et concises seront inscrits dans le DAO afin de communiquer à l’entreprise les conditions d’emploi. Ces informations et documents décriront les droits des travailleurs au regard de la législation nationale du travail, notamment leurs droits en matière de temps de travail, de salaire, d’heures supplémentaires, de rémunération et d’avantages sociaux ainsi que tout autre droit mentionné dans la Norme Environnementale et Sociale N°2. Cette documentation et ces informations seront mises à disposition au début de la relation de travail et en cas de modification importante des conditions d’emploi. Des mesures relatives à la santé et la sécurité au travail seront également appliquées par l’entreprise. </w:t>
      </w:r>
    </w:p>
    <w:p w14:paraId="21332E24" w14:textId="77777777" w:rsidR="00221268" w:rsidRPr="00E737B4" w:rsidRDefault="00221268" w:rsidP="008C79F0">
      <w:pPr>
        <w:pStyle w:val="Titre31"/>
        <w:numPr>
          <w:ilvl w:val="2"/>
          <w:numId w:val="54"/>
        </w:numPr>
        <w:tabs>
          <w:tab w:val="left" w:pos="993"/>
          <w:tab w:val="left" w:pos="1134"/>
        </w:tabs>
        <w:spacing w:before="120" w:after="120"/>
        <w:ind w:left="993" w:hanging="505"/>
        <w:rPr>
          <w:rFonts w:eastAsia="Calibri"/>
          <w:u w:val="none"/>
        </w:rPr>
      </w:pPr>
      <w:bookmarkStart w:id="290" w:name="_Toc78601975"/>
      <w:bookmarkStart w:id="291" w:name="_Toc103685610"/>
      <w:r w:rsidRPr="00E737B4">
        <w:rPr>
          <w:rFonts w:eastAsia="Calibri"/>
          <w:u w:val="none"/>
        </w:rPr>
        <w:t>Procédures de réalisation des études d’impact sur l’environnement en RDC</w:t>
      </w:r>
      <w:bookmarkEnd w:id="290"/>
      <w:bookmarkEnd w:id="291"/>
      <w:r w:rsidRPr="00E737B4">
        <w:rPr>
          <w:rFonts w:eastAsia="Calibri"/>
          <w:u w:val="none"/>
        </w:rPr>
        <w:t xml:space="preserve"> </w:t>
      </w:r>
    </w:p>
    <w:p w14:paraId="437DEE1A" w14:textId="50346B30"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Le décret n° 14/019 du 02 août 2014 fixant les règles de fonctionnement des mécanismes procéduraux de la protection de l’environnement constitue le texte qui encadre toute la procédure de réalisation d’une Étude d’Impact Environnemental et Social (ÉIES) de manière à s’assurer qu’un projet respecte les normes existantes en matière d’environnement.  Ce texte précise que l’EIES devra être réalisée par le promoteur et sous sa seule responsabilité. Les termes de référence seront établis par l’administration de tutelle du secteur d’activité concerné en liaison avec le promoteur du projet, sur la base des orientations générales et sectorielles qui seront alors élaborées par l’Agence Congolaise de l’Environnement (ACE). Les indicateurs pour identifier les risques </w:t>
      </w:r>
      <w:r w:rsidR="00AE101C">
        <w:rPr>
          <w:rFonts w:ascii="Times New Roman" w:hAnsi="Times New Roman"/>
          <w:sz w:val="24"/>
          <w:szCs w:val="24"/>
        </w:rPr>
        <w:t>d’EAS/HS</w:t>
      </w:r>
      <w:r w:rsidR="00AE101C" w:rsidRPr="00D75D2E">
        <w:rPr>
          <w:rFonts w:ascii="Times New Roman" w:hAnsi="Times New Roman"/>
          <w:sz w:val="24"/>
          <w:szCs w:val="24"/>
        </w:rPr>
        <w:t xml:space="preserve"> </w:t>
      </w:r>
      <w:r w:rsidRPr="00D75D2E">
        <w:rPr>
          <w:rFonts w:ascii="Times New Roman" w:hAnsi="Times New Roman"/>
          <w:sz w:val="24"/>
          <w:szCs w:val="24"/>
        </w:rPr>
        <w:t xml:space="preserve">pendant la mise en œuvre du projet y seront aussi intégrés. </w:t>
      </w:r>
    </w:p>
    <w:p w14:paraId="51242450"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Par ailleurs, l’article 19 dudit décret dispose sur le contenu de l'étude d'impact environnemental et social, et décrit l'incidence prévisible du projet sur l'environnement. La procédure d’EIES est la suivante :  </w:t>
      </w:r>
    </w:p>
    <w:p w14:paraId="7291F085"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 xml:space="preserve">L'Agence élabore, en collaboration avec tous les services concernés, et met à la disposition du public le Manuel d'Opérations et des Procédures de réalisation des études d'impact environnemental et social. </w:t>
      </w:r>
    </w:p>
    <w:p w14:paraId="63C507E3"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 xml:space="preserve">L'étude d'impact environnemental et social est à la charge du promoteur. </w:t>
      </w:r>
    </w:p>
    <w:p w14:paraId="18CC8D1F"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Le promoteur recrute un bureau d'études national agréé par le Ministère de l'Environnement ou International pour la réaliser. Toutefois, à compétence égale, la priorité est accordée aux nationaux ;</w:t>
      </w:r>
    </w:p>
    <w:p w14:paraId="7A4EA930"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 xml:space="preserve">Tout bureau d'études International recruté s'associe à un bureau d'études national. </w:t>
      </w:r>
    </w:p>
    <w:p w14:paraId="36BD88DB"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Un arrêté du ministre ayant l'environnement dans ses attributions fixe les conditions d'agrément des bureaux d'études ;</w:t>
      </w:r>
    </w:p>
    <w:p w14:paraId="2037FB20"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 xml:space="preserve">Le promoteur adresse une demande de réalisation de l'étude d'impact environnemental et social à l'Agence se conformant aux directives contenues dans le manuel d'opérations et des procédures prévus à l'article 20 ci-dessus. </w:t>
      </w:r>
    </w:p>
    <w:p w14:paraId="1EA9ABA1"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L'autorisation de la réalisation de tout projet assujetti à une étude d'impact environnemental et social est sanctionnée par la délivrance d'un Certificat Environnemental par l'Agence :</w:t>
      </w:r>
    </w:p>
    <w:p w14:paraId="6E2A1162"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 xml:space="preserve">Après examen de la demande, l'Agence détermine si le projet est assujetti ou non à l'étude d'impact environnemental et social et en informe le promoteur. </w:t>
      </w:r>
    </w:p>
    <w:p w14:paraId="5EE9CAE5" w14:textId="77777777" w:rsidR="00221268" w:rsidRPr="00D75D2E" w:rsidRDefault="00221268" w:rsidP="008C79F0">
      <w:pPr>
        <w:pStyle w:val="Paragraphedeliste"/>
        <w:numPr>
          <w:ilvl w:val="0"/>
          <w:numId w:val="146"/>
        </w:numPr>
        <w:suppressAutoHyphens/>
        <w:spacing w:after="0" w:line="240" w:lineRule="auto"/>
        <w:ind w:left="567" w:hanging="425"/>
        <w:jc w:val="both"/>
        <w:rPr>
          <w:rFonts w:ascii="Times New Roman" w:hAnsi="Times New Roman"/>
          <w:sz w:val="24"/>
          <w:szCs w:val="24"/>
        </w:rPr>
      </w:pPr>
      <w:r w:rsidRPr="00D75D2E">
        <w:rPr>
          <w:rFonts w:ascii="Times New Roman" w:hAnsi="Times New Roman"/>
          <w:sz w:val="24"/>
          <w:szCs w:val="24"/>
        </w:rPr>
        <w:t>L'Agence constitue, après le dépôt de l'étude, un Panel d'expert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4A199B6B" w14:textId="1318064F" w:rsidR="00221268" w:rsidRPr="00D75D2E" w:rsidRDefault="00221268" w:rsidP="008C79F0">
      <w:pPr>
        <w:pStyle w:val="Titre31"/>
        <w:numPr>
          <w:ilvl w:val="2"/>
          <w:numId w:val="54"/>
        </w:numPr>
        <w:tabs>
          <w:tab w:val="left" w:pos="993"/>
          <w:tab w:val="left" w:pos="1134"/>
        </w:tabs>
        <w:spacing w:before="120" w:after="120"/>
        <w:ind w:left="993" w:hanging="505"/>
        <w:rPr>
          <w:rFonts w:cs="Times New Roman"/>
          <w:i/>
        </w:rPr>
      </w:pPr>
      <w:bookmarkStart w:id="292" w:name="_Toc78601976"/>
      <w:bookmarkStart w:id="293" w:name="_Toc103685611"/>
      <w:r w:rsidRPr="00E737B4">
        <w:rPr>
          <w:rFonts w:eastAsia="Calibri"/>
          <w:u w:val="none"/>
        </w:rPr>
        <w:t>Conventions, accords et normes internationaux</w:t>
      </w:r>
      <w:bookmarkEnd w:id="292"/>
      <w:bookmarkEnd w:id="293"/>
    </w:p>
    <w:p w14:paraId="536C24BF" w14:textId="77777777" w:rsidR="0025665A" w:rsidRDefault="00221268" w:rsidP="00221268">
      <w:pPr>
        <w:spacing w:after="0" w:line="240" w:lineRule="auto"/>
        <w:jc w:val="both"/>
        <w:rPr>
          <w:rFonts w:ascii="Times New Roman" w:hAnsi="Times New Roman"/>
          <w:sz w:val="24"/>
          <w:szCs w:val="24"/>
        </w:rPr>
      </w:pPr>
      <w:r w:rsidRPr="00D75D2E">
        <w:rPr>
          <w:rFonts w:ascii="Times New Roman" w:eastAsia="Times" w:hAnsi="Times New Roman"/>
          <w:sz w:val="24"/>
          <w:szCs w:val="24"/>
        </w:rPr>
        <w:t xml:space="preserve">Au plan international, la RDC est signataire de plusieurs Conventions Internationales en matière d’environnement. Les </w:t>
      </w:r>
      <w:r w:rsidRPr="00D75D2E">
        <w:rPr>
          <w:rFonts w:ascii="Times New Roman" w:hAnsi="Times New Roman"/>
          <w:sz w:val="24"/>
          <w:szCs w:val="24"/>
        </w:rPr>
        <w:t xml:space="preserve">accords multilatéraux en relation avec le projet sont </w:t>
      </w:r>
      <w:r w:rsidR="00EF6C10">
        <w:rPr>
          <w:rFonts w:ascii="Times New Roman" w:hAnsi="Times New Roman"/>
          <w:sz w:val="24"/>
          <w:szCs w:val="24"/>
        </w:rPr>
        <w:t>consignés dans le tableau 3.</w:t>
      </w:r>
      <w:r w:rsidRPr="00D75D2E">
        <w:rPr>
          <w:rFonts w:ascii="Times New Roman" w:hAnsi="Times New Roman"/>
          <w:sz w:val="24"/>
          <w:szCs w:val="24"/>
        </w:rPr>
        <w:t xml:space="preserve"> </w:t>
      </w:r>
    </w:p>
    <w:p w14:paraId="76CA9B29" w14:textId="77777777" w:rsidR="0025665A" w:rsidRDefault="0025665A" w:rsidP="00221268">
      <w:pPr>
        <w:spacing w:after="0" w:line="240" w:lineRule="auto"/>
        <w:jc w:val="both"/>
        <w:rPr>
          <w:rFonts w:ascii="Times New Roman" w:hAnsi="Times New Roman"/>
          <w:sz w:val="24"/>
          <w:szCs w:val="24"/>
        </w:rPr>
      </w:pPr>
    </w:p>
    <w:p w14:paraId="49E767E7" w14:textId="77777777" w:rsidR="00AE101C" w:rsidRDefault="00AE101C" w:rsidP="00221268">
      <w:pPr>
        <w:spacing w:after="0" w:line="240" w:lineRule="auto"/>
        <w:jc w:val="both"/>
        <w:rPr>
          <w:rFonts w:ascii="Times New Roman" w:hAnsi="Times New Roman"/>
          <w:sz w:val="24"/>
          <w:szCs w:val="24"/>
        </w:rPr>
        <w:sectPr w:rsidR="00AE101C">
          <w:pgSz w:w="11906" w:h="16838"/>
          <w:pgMar w:top="1417" w:right="1417" w:bottom="1417" w:left="1417" w:header="720" w:footer="720" w:gutter="0"/>
          <w:cols w:space="720"/>
          <w:formProt w:val="0"/>
          <w:docGrid w:linePitch="360" w:charSpace="-2049"/>
        </w:sectPr>
      </w:pPr>
    </w:p>
    <w:p w14:paraId="5C8F8FA3" w14:textId="769E7978" w:rsidR="00221268" w:rsidRPr="00E737B4" w:rsidRDefault="00221268" w:rsidP="00E737B4">
      <w:pPr>
        <w:pStyle w:val="Lgende"/>
        <w:spacing w:before="120" w:after="120"/>
        <w:jc w:val="both"/>
        <w:rPr>
          <w:b/>
          <w:i/>
          <w:color w:val="auto"/>
          <w:sz w:val="24"/>
        </w:rPr>
      </w:pPr>
      <w:bookmarkStart w:id="294" w:name="_Toc425004227"/>
      <w:bookmarkStart w:id="295" w:name="_Toc78602865"/>
      <w:bookmarkStart w:id="296" w:name="_Toc93050265"/>
      <w:r w:rsidRPr="00E737B4">
        <w:rPr>
          <w:color w:val="auto"/>
          <w:sz w:val="24"/>
        </w:rPr>
        <w:t xml:space="preserve">Tableau </w:t>
      </w:r>
      <w:r w:rsidRPr="00E737B4">
        <w:rPr>
          <w:b/>
          <w:i/>
          <w:color w:val="auto"/>
          <w:sz w:val="24"/>
        </w:rPr>
        <w:fldChar w:fldCharType="begin"/>
      </w:r>
      <w:r w:rsidRPr="00E737B4">
        <w:rPr>
          <w:color w:val="auto"/>
          <w:sz w:val="24"/>
        </w:rPr>
        <w:instrText>SEQ "Tableau" \*Arabic</w:instrText>
      </w:r>
      <w:r w:rsidRPr="00E737B4">
        <w:rPr>
          <w:b/>
          <w:i/>
          <w:color w:val="auto"/>
          <w:sz w:val="24"/>
        </w:rPr>
        <w:fldChar w:fldCharType="separate"/>
      </w:r>
      <w:r w:rsidR="00691EF5">
        <w:rPr>
          <w:noProof/>
          <w:color w:val="auto"/>
          <w:sz w:val="24"/>
        </w:rPr>
        <w:t>3</w:t>
      </w:r>
      <w:r w:rsidRPr="00E737B4">
        <w:rPr>
          <w:b/>
          <w:i/>
          <w:color w:val="auto"/>
          <w:sz w:val="24"/>
        </w:rPr>
        <w:fldChar w:fldCharType="end"/>
      </w:r>
      <w:bookmarkEnd w:id="294"/>
      <w:r w:rsidRPr="00E737B4">
        <w:rPr>
          <w:color w:val="auto"/>
          <w:sz w:val="24"/>
        </w:rPr>
        <w:t> : Convention</w:t>
      </w:r>
      <w:r w:rsidR="009C7329">
        <w:rPr>
          <w:color w:val="auto"/>
          <w:sz w:val="24"/>
        </w:rPr>
        <w:t>s</w:t>
      </w:r>
      <w:r w:rsidRPr="00E737B4">
        <w:rPr>
          <w:color w:val="auto"/>
          <w:sz w:val="24"/>
        </w:rPr>
        <w:t xml:space="preserve"> internationale</w:t>
      </w:r>
      <w:r w:rsidR="009C7329">
        <w:rPr>
          <w:color w:val="auto"/>
          <w:sz w:val="24"/>
        </w:rPr>
        <w:t>s</w:t>
      </w:r>
      <w:r w:rsidRPr="00E737B4">
        <w:rPr>
          <w:color w:val="auto"/>
          <w:sz w:val="24"/>
        </w:rPr>
        <w:t xml:space="preserve"> signées par la RDC applicables au </w:t>
      </w:r>
      <w:r w:rsidR="00BB3D7B">
        <w:rPr>
          <w:color w:val="auto"/>
          <w:sz w:val="24"/>
        </w:rPr>
        <w:t xml:space="preserve">sous </w:t>
      </w:r>
      <w:r w:rsidRPr="00E737B4">
        <w:rPr>
          <w:color w:val="auto"/>
          <w:sz w:val="24"/>
        </w:rPr>
        <w:t>projet</w:t>
      </w:r>
      <w:bookmarkEnd w:id="295"/>
      <w:bookmarkEnd w:id="296"/>
    </w:p>
    <w:tbl>
      <w:tblPr>
        <w:tblW w:w="1523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3402"/>
        <w:gridCol w:w="1984"/>
        <w:gridCol w:w="6021"/>
      </w:tblGrid>
      <w:tr w:rsidR="00866FDD" w:rsidRPr="00420C1B" w14:paraId="2E09957C" w14:textId="5B53F530" w:rsidTr="00AE31F1">
        <w:trPr>
          <w:tblHeader/>
        </w:trPr>
        <w:tc>
          <w:tcPr>
            <w:tcW w:w="3828" w:type="dxa"/>
            <w:shd w:val="clear" w:color="auto" w:fill="92D050"/>
          </w:tcPr>
          <w:p w14:paraId="0A864CDD" w14:textId="77777777" w:rsidR="00866FDD" w:rsidRPr="00D75D2E" w:rsidRDefault="00866FDD" w:rsidP="0062151B">
            <w:pPr>
              <w:spacing w:after="0" w:line="240" w:lineRule="auto"/>
              <w:jc w:val="both"/>
              <w:rPr>
                <w:rFonts w:ascii="Times New Roman" w:eastAsia="Times New Roman" w:hAnsi="Times New Roman"/>
                <w:b/>
                <w:lang w:eastAsia="fr-FR"/>
              </w:rPr>
            </w:pPr>
          </w:p>
          <w:p w14:paraId="5D3F7C4C" w14:textId="77777777" w:rsidR="00866FDD" w:rsidRPr="00D75D2E" w:rsidRDefault="00866FDD" w:rsidP="0062151B">
            <w:pPr>
              <w:spacing w:after="0" w:line="240" w:lineRule="auto"/>
              <w:jc w:val="both"/>
              <w:rPr>
                <w:rFonts w:ascii="Times New Roman" w:eastAsia="Times New Roman" w:hAnsi="Times New Roman"/>
                <w:b/>
                <w:lang w:eastAsia="fr-FR"/>
              </w:rPr>
            </w:pPr>
            <w:r w:rsidRPr="00D75D2E">
              <w:rPr>
                <w:rFonts w:ascii="Times New Roman" w:eastAsia="Times New Roman" w:hAnsi="Times New Roman"/>
                <w:b/>
                <w:lang w:eastAsia="fr-FR"/>
              </w:rPr>
              <w:t>Nom et objet de la convention</w:t>
            </w:r>
          </w:p>
        </w:tc>
        <w:tc>
          <w:tcPr>
            <w:tcW w:w="3402" w:type="dxa"/>
            <w:shd w:val="clear" w:color="auto" w:fill="92D050"/>
          </w:tcPr>
          <w:p w14:paraId="67904A6C" w14:textId="77777777" w:rsidR="00866FDD" w:rsidRPr="00D75D2E" w:rsidRDefault="00866FDD" w:rsidP="0062151B">
            <w:pPr>
              <w:spacing w:after="0" w:line="240" w:lineRule="auto"/>
              <w:jc w:val="both"/>
              <w:rPr>
                <w:rFonts w:ascii="Times New Roman" w:eastAsia="Times New Roman" w:hAnsi="Times New Roman"/>
                <w:b/>
                <w:lang w:eastAsia="fr-FR"/>
              </w:rPr>
            </w:pPr>
          </w:p>
          <w:p w14:paraId="2583F0C5" w14:textId="77777777" w:rsidR="00866FDD" w:rsidRPr="00D75D2E" w:rsidRDefault="00866FDD" w:rsidP="0062151B">
            <w:pPr>
              <w:spacing w:after="0" w:line="240" w:lineRule="auto"/>
              <w:jc w:val="both"/>
              <w:rPr>
                <w:rFonts w:ascii="Times New Roman" w:eastAsia="Times New Roman" w:hAnsi="Times New Roman"/>
                <w:b/>
                <w:lang w:eastAsia="fr-FR"/>
              </w:rPr>
            </w:pPr>
            <w:r w:rsidRPr="00D75D2E">
              <w:rPr>
                <w:rFonts w:ascii="Times New Roman" w:eastAsia="Times New Roman" w:hAnsi="Times New Roman"/>
                <w:b/>
                <w:lang w:eastAsia="fr-FR"/>
              </w:rPr>
              <w:t>Pays ou ville d’adoption</w:t>
            </w:r>
          </w:p>
        </w:tc>
        <w:tc>
          <w:tcPr>
            <w:tcW w:w="1984" w:type="dxa"/>
            <w:shd w:val="clear" w:color="auto" w:fill="92D050"/>
          </w:tcPr>
          <w:p w14:paraId="51B87FBF" w14:textId="77777777" w:rsidR="00866FDD" w:rsidRPr="00D75D2E" w:rsidRDefault="00866FDD" w:rsidP="0062151B">
            <w:pPr>
              <w:spacing w:after="0" w:line="240" w:lineRule="auto"/>
              <w:jc w:val="both"/>
              <w:rPr>
                <w:rFonts w:ascii="Times New Roman" w:eastAsia="Times New Roman" w:hAnsi="Times New Roman"/>
                <w:b/>
                <w:lang w:eastAsia="fr-FR"/>
              </w:rPr>
            </w:pPr>
            <w:r w:rsidRPr="00D75D2E">
              <w:rPr>
                <w:rFonts w:ascii="Times New Roman" w:eastAsia="Times New Roman" w:hAnsi="Times New Roman"/>
                <w:b/>
                <w:lang w:eastAsia="fr-FR"/>
              </w:rPr>
              <w:t>Date de ratification par RDC</w:t>
            </w:r>
          </w:p>
        </w:tc>
        <w:tc>
          <w:tcPr>
            <w:tcW w:w="6021" w:type="dxa"/>
            <w:shd w:val="clear" w:color="auto" w:fill="92D050"/>
          </w:tcPr>
          <w:p w14:paraId="3EF22BD2" w14:textId="15E76B79" w:rsidR="00866FDD" w:rsidRPr="00D75D2E" w:rsidRDefault="00866FDD" w:rsidP="0062151B">
            <w:pPr>
              <w:spacing w:after="0" w:line="240" w:lineRule="auto"/>
              <w:jc w:val="both"/>
              <w:rPr>
                <w:rFonts w:ascii="Times New Roman" w:eastAsia="Times New Roman" w:hAnsi="Times New Roman"/>
                <w:b/>
                <w:lang w:eastAsia="fr-FR"/>
              </w:rPr>
            </w:pPr>
            <w:r>
              <w:rPr>
                <w:rFonts w:ascii="Times New Roman" w:eastAsia="Times New Roman" w:hAnsi="Times New Roman"/>
                <w:b/>
                <w:lang w:eastAsia="fr-FR"/>
              </w:rPr>
              <w:t xml:space="preserve">Pertinence </w:t>
            </w:r>
          </w:p>
        </w:tc>
      </w:tr>
      <w:tr w:rsidR="005E1C0F" w:rsidRPr="00420C1B" w14:paraId="191493B9" w14:textId="3D3D1EB7" w:rsidTr="00AE31F1">
        <w:trPr>
          <w:trHeight w:val="185"/>
        </w:trPr>
        <w:tc>
          <w:tcPr>
            <w:tcW w:w="3828" w:type="dxa"/>
            <w:vAlign w:val="center"/>
          </w:tcPr>
          <w:p w14:paraId="1B42470D"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relative la protection du patrimoine mondial culturel et naturel.</w:t>
            </w:r>
          </w:p>
        </w:tc>
        <w:tc>
          <w:tcPr>
            <w:tcW w:w="3402" w:type="dxa"/>
            <w:vAlign w:val="center"/>
          </w:tcPr>
          <w:p w14:paraId="58AC7B9D"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Paris (France), 16 novembre 1972.</w:t>
            </w:r>
          </w:p>
        </w:tc>
        <w:tc>
          <w:tcPr>
            <w:tcW w:w="1984" w:type="dxa"/>
            <w:vAlign w:val="center"/>
          </w:tcPr>
          <w:p w14:paraId="6C0F1138"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17 décembre 1975</w:t>
            </w:r>
          </w:p>
        </w:tc>
        <w:tc>
          <w:tcPr>
            <w:tcW w:w="6021" w:type="dxa"/>
          </w:tcPr>
          <w:p w14:paraId="6CD03708" w14:textId="18E2C453" w:rsidR="005E1C0F" w:rsidRPr="00D75D2E" w:rsidRDefault="005E1C0F" w:rsidP="005E1C0F">
            <w:pPr>
              <w:tabs>
                <w:tab w:val="left" w:pos="360"/>
              </w:tabs>
              <w:spacing w:after="0" w:line="240" w:lineRule="auto"/>
              <w:rPr>
                <w:rFonts w:ascii="Times New Roman" w:eastAsia="Times New Roman" w:hAnsi="Times New Roman"/>
                <w:lang w:eastAsia="fr-FR"/>
              </w:rPr>
            </w:pPr>
            <w:r w:rsidRPr="00420C1B">
              <w:rPr>
                <w:rFonts w:ascii="Times New Roman" w:hAnsi="Times New Roman"/>
                <w:sz w:val="24"/>
                <w:szCs w:val="24"/>
              </w:rPr>
              <w:t>Durant toute la période la mise en œuvre du projet, les émissions gazeuses à effet de serre (CO</w:t>
            </w:r>
            <w:r w:rsidRPr="00420C1B">
              <w:rPr>
                <w:rFonts w:ascii="Times New Roman" w:hAnsi="Times New Roman"/>
                <w:sz w:val="24"/>
                <w:szCs w:val="24"/>
                <w:vertAlign w:val="subscript"/>
              </w:rPr>
              <w:t>2</w:t>
            </w:r>
            <w:r w:rsidRPr="00420C1B">
              <w:rPr>
                <w:rFonts w:ascii="Times New Roman" w:hAnsi="Times New Roman"/>
                <w:sz w:val="24"/>
                <w:szCs w:val="24"/>
              </w:rPr>
              <w:t>, CH</w:t>
            </w:r>
            <w:r w:rsidRPr="00420C1B">
              <w:rPr>
                <w:rFonts w:ascii="Times New Roman" w:hAnsi="Times New Roman"/>
                <w:sz w:val="24"/>
                <w:szCs w:val="24"/>
                <w:vertAlign w:val="subscript"/>
              </w:rPr>
              <w:t>4</w:t>
            </w:r>
            <w:r w:rsidRPr="00420C1B">
              <w:rPr>
                <w:rFonts w:ascii="Times New Roman" w:hAnsi="Times New Roman"/>
                <w:sz w:val="24"/>
                <w:szCs w:val="24"/>
              </w:rPr>
              <w:t>, oxydes d’azote, CFCl</w:t>
            </w:r>
            <w:r w:rsidRPr="00420C1B">
              <w:rPr>
                <w:rFonts w:ascii="Times New Roman" w:hAnsi="Times New Roman"/>
                <w:sz w:val="24"/>
                <w:szCs w:val="24"/>
                <w:vertAlign w:val="subscript"/>
              </w:rPr>
              <w:t>3</w:t>
            </w:r>
            <w:r w:rsidRPr="00420C1B">
              <w:rPr>
                <w:rFonts w:ascii="Times New Roman" w:hAnsi="Times New Roman"/>
                <w:sz w:val="24"/>
                <w:szCs w:val="24"/>
              </w:rPr>
              <w:t>, etc.) et fumées seront minimisées ou évitées dans la mesure du possible. Les engins de transport et équipements devront être dans un bon état de fonctionnement ; éviter de brûler les carburants et huiles de vidange, veillé au stockage des huiles et des hydrocarbures, etc.</w:t>
            </w:r>
          </w:p>
        </w:tc>
      </w:tr>
      <w:tr w:rsidR="005E1C0F" w:rsidRPr="00420C1B" w14:paraId="5D0717E6" w14:textId="5017D611" w:rsidTr="00AE31F1">
        <w:tc>
          <w:tcPr>
            <w:tcW w:w="3828" w:type="dxa"/>
            <w:vAlign w:val="center"/>
          </w:tcPr>
          <w:p w14:paraId="4573D5C8"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de Nations-Unies sur les changements climatiques.</w:t>
            </w:r>
          </w:p>
        </w:tc>
        <w:tc>
          <w:tcPr>
            <w:tcW w:w="3402" w:type="dxa"/>
            <w:vAlign w:val="center"/>
          </w:tcPr>
          <w:p w14:paraId="07DD2EA1" w14:textId="77777777" w:rsidR="005E1C0F" w:rsidRPr="00D75D2E" w:rsidRDefault="005E1C0F" w:rsidP="005E1C0F">
            <w:pPr>
              <w:spacing w:after="0" w:line="240" w:lineRule="auto"/>
              <w:rPr>
                <w:rFonts w:ascii="Times New Roman" w:eastAsia="Times New Roman" w:hAnsi="Times New Roman"/>
                <w:lang w:val="pt-PT" w:eastAsia="fr-FR"/>
              </w:rPr>
            </w:pPr>
            <w:r w:rsidRPr="00D75D2E">
              <w:rPr>
                <w:rFonts w:ascii="Times New Roman" w:eastAsia="Times New Roman" w:hAnsi="Times New Roman"/>
                <w:lang w:val="pt-PT" w:eastAsia="fr-FR"/>
              </w:rPr>
              <w:t>Rio de Janeiro (Brésil) 4 juin 1992.</w:t>
            </w:r>
          </w:p>
          <w:p w14:paraId="4B528937" w14:textId="77777777" w:rsidR="005E1C0F" w:rsidRPr="00D75D2E" w:rsidRDefault="005E1C0F" w:rsidP="005E1C0F">
            <w:pPr>
              <w:spacing w:after="0" w:line="240" w:lineRule="auto"/>
              <w:rPr>
                <w:rFonts w:ascii="Times New Roman" w:eastAsia="Times New Roman" w:hAnsi="Times New Roman"/>
                <w:lang w:val="pt-PT" w:eastAsia="fr-FR"/>
              </w:rPr>
            </w:pPr>
            <w:r w:rsidRPr="00D75D2E">
              <w:rPr>
                <w:rFonts w:ascii="Times New Roman" w:eastAsia="Times New Roman" w:hAnsi="Times New Roman"/>
                <w:lang w:val="pt-PT" w:eastAsia="fr-FR"/>
              </w:rPr>
              <w:t>Puis COP 21 Paris 2015</w:t>
            </w:r>
          </w:p>
        </w:tc>
        <w:tc>
          <w:tcPr>
            <w:tcW w:w="1984" w:type="dxa"/>
            <w:vAlign w:val="center"/>
          </w:tcPr>
          <w:p w14:paraId="3866DBB2" w14:textId="77777777"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8 décembre 1994</w:t>
            </w:r>
          </w:p>
        </w:tc>
        <w:tc>
          <w:tcPr>
            <w:tcW w:w="6021" w:type="dxa"/>
          </w:tcPr>
          <w:p w14:paraId="3D7C334D" w14:textId="4E92675D"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 xml:space="preserve">Certains quartiers reculés situés à la limite entre le territoire de Kasangulu et la commune de Mont-Ngafula regorgent encore quelques petits mammifères. Ainsi au cours de l’exécution du sous-projet, les contractants devront éviter toute acquisition d’espèces de la faune sauvage en voie d’extinction ou de la flore spécifiques à la RDC </w:t>
            </w:r>
          </w:p>
        </w:tc>
      </w:tr>
      <w:tr w:rsidR="005E1C0F" w:rsidRPr="00420C1B" w14:paraId="66C0263D" w14:textId="17503994" w:rsidTr="00AE31F1">
        <w:tc>
          <w:tcPr>
            <w:tcW w:w="3828" w:type="dxa"/>
            <w:vAlign w:val="center"/>
          </w:tcPr>
          <w:p w14:paraId="591E2F8E"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sur la Diversité Biologique.</w:t>
            </w:r>
          </w:p>
        </w:tc>
        <w:tc>
          <w:tcPr>
            <w:tcW w:w="3402" w:type="dxa"/>
            <w:vAlign w:val="center"/>
          </w:tcPr>
          <w:p w14:paraId="761345CE" w14:textId="77777777" w:rsidR="005E1C0F" w:rsidRPr="00D75D2E" w:rsidRDefault="005E1C0F" w:rsidP="005E1C0F">
            <w:pPr>
              <w:spacing w:after="0" w:line="240" w:lineRule="auto"/>
              <w:rPr>
                <w:rFonts w:ascii="Times New Roman" w:eastAsia="Times New Roman" w:hAnsi="Times New Roman"/>
                <w:lang w:val="pt-PT" w:eastAsia="fr-FR"/>
              </w:rPr>
            </w:pPr>
            <w:r w:rsidRPr="00D75D2E">
              <w:rPr>
                <w:rFonts w:ascii="Times New Roman" w:eastAsia="Times New Roman" w:hAnsi="Times New Roman"/>
                <w:lang w:val="pt-PT" w:eastAsia="fr-FR"/>
              </w:rPr>
              <w:t>Rio de Janeiro (Brésil) 4 juin 1994.</w:t>
            </w:r>
          </w:p>
        </w:tc>
        <w:tc>
          <w:tcPr>
            <w:tcW w:w="1984" w:type="dxa"/>
            <w:vAlign w:val="center"/>
          </w:tcPr>
          <w:p w14:paraId="5C69ED44" w14:textId="77777777"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3 décembre 1994</w:t>
            </w:r>
          </w:p>
        </w:tc>
        <w:tc>
          <w:tcPr>
            <w:tcW w:w="6021" w:type="dxa"/>
          </w:tcPr>
          <w:p w14:paraId="7BBDABBE" w14:textId="591E11EF"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Dans le cadre de la mise en œuvre du sous-projet, la biodiversité pourrait être affectée par une gestion inappropriée des déchets solides ou liquides, certains huiles diélectrique contiennent des matières toxiques, une fois déverser accidentellement sur le sol ou dans l’eau pourrait affectée la qualité de ceux-ci.</w:t>
            </w:r>
          </w:p>
        </w:tc>
      </w:tr>
      <w:tr w:rsidR="005E1C0F" w:rsidRPr="00420C1B" w14:paraId="7EFF6954" w14:textId="4DEC64E0" w:rsidTr="00AE31F1">
        <w:tc>
          <w:tcPr>
            <w:tcW w:w="3828" w:type="dxa"/>
            <w:vAlign w:val="center"/>
          </w:tcPr>
          <w:p w14:paraId="7487D882"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des Nations Unies contre la désertification et la sécheresse</w:t>
            </w:r>
          </w:p>
        </w:tc>
        <w:tc>
          <w:tcPr>
            <w:tcW w:w="3402" w:type="dxa"/>
            <w:vAlign w:val="center"/>
          </w:tcPr>
          <w:p w14:paraId="1A89F814"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17 octobre 1995</w:t>
            </w:r>
          </w:p>
        </w:tc>
        <w:tc>
          <w:tcPr>
            <w:tcW w:w="1984" w:type="dxa"/>
            <w:vAlign w:val="center"/>
          </w:tcPr>
          <w:p w14:paraId="39FECCB1" w14:textId="77777777"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11 septembre 1997</w:t>
            </w:r>
          </w:p>
        </w:tc>
        <w:tc>
          <w:tcPr>
            <w:tcW w:w="6021" w:type="dxa"/>
          </w:tcPr>
          <w:p w14:paraId="00E6C61D" w14:textId="71A2D869" w:rsidR="005E1C0F" w:rsidRPr="00420C1B" w:rsidRDefault="005E1C0F" w:rsidP="005E1C0F">
            <w:pPr>
              <w:spacing w:after="0" w:line="240" w:lineRule="auto"/>
              <w:rPr>
                <w:rFonts w:ascii="Times New Roman" w:hAnsi="Times New Roman"/>
                <w:sz w:val="24"/>
                <w:szCs w:val="24"/>
              </w:rPr>
            </w:pPr>
            <w:r w:rsidRPr="00420C1B">
              <w:rPr>
                <w:rFonts w:ascii="Times New Roman" w:hAnsi="Times New Roman"/>
                <w:sz w:val="24"/>
                <w:szCs w:val="24"/>
              </w:rPr>
              <w:t xml:space="preserve">La mise en œuvre du sous-projet devra minimiser la coupe d’arbre, dans le cas où c’est inévitable de reboiser sur une zone tampon en collaboration avec la division provinciale de l’environnement pour compenser le carbone déséquestrer. </w:t>
            </w:r>
          </w:p>
        </w:tc>
      </w:tr>
      <w:tr w:rsidR="005E1C0F" w:rsidRPr="00420C1B" w14:paraId="79F9A7F6" w14:textId="1A59C9AB" w:rsidTr="00AE31F1">
        <w:tc>
          <w:tcPr>
            <w:tcW w:w="3828" w:type="dxa"/>
            <w:vAlign w:val="center"/>
          </w:tcPr>
          <w:p w14:paraId="1A8D0906"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n° 150 concernant l’administration du travail: rôle, fonctions et organisation</w:t>
            </w:r>
          </w:p>
        </w:tc>
        <w:tc>
          <w:tcPr>
            <w:tcW w:w="3402" w:type="dxa"/>
            <w:vAlign w:val="center"/>
          </w:tcPr>
          <w:p w14:paraId="2F9FD85D"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Conclue à Genève le 26 juin 1978 ratifiée le 03/04/1987</w:t>
            </w:r>
          </w:p>
        </w:tc>
        <w:tc>
          <w:tcPr>
            <w:tcW w:w="1984" w:type="dxa"/>
            <w:vAlign w:val="center"/>
          </w:tcPr>
          <w:p w14:paraId="223C2F92"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03 avril1987</w:t>
            </w:r>
          </w:p>
        </w:tc>
        <w:tc>
          <w:tcPr>
            <w:tcW w:w="6021" w:type="dxa"/>
          </w:tcPr>
          <w:p w14:paraId="019A5647" w14:textId="324F231A" w:rsidR="005E1C0F" w:rsidRPr="00D75D2E" w:rsidRDefault="005E1C0F" w:rsidP="005E1C0F">
            <w:pPr>
              <w:spacing w:after="0" w:line="240" w:lineRule="auto"/>
              <w:rPr>
                <w:rFonts w:ascii="Times New Roman" w:eastAsia="Times New Roman" w:hAnsi="Times New Roman"/>
                <w:lang w:eastAsia="fr-FR"/>
              </w:rPr>
            </w:pPr>
            <w:r w:rsidRPr="00420C1B">
              <w:rPr>
                <w:rFonts w:ascii="Times New Roman" w:hAnsi="Times New Roman"/>
                <w:sz w:val="24"/>
                <w:szCs w:val="24"/>
              </w:rPr>
              <w:t>La mise en œuvre du sous-projet devra se conformer à cette convention</w:t>
            </w:r>
          </w:p>
        </w:tc>
      </w:tr>
      <w:tr w:rsidR="005E1C0F" w:rsidRPr="00420C1B" w14:paraId="61D4198C" w14:textId="3F45D3CE" w:rsidTr="00931D29">
        <w:tc>
          <w:tcPr>
            <w:tcW w:w="3828" w:type="dxa"/>
            <w:vAlign w:val="center"/>
          </w:tcPr>
          <w:p w14:paraId="79AD83D9"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 xml:space="preserve">Convention n° 182 concernant l’interdiction des pires formes de travail des enfants et l’action immédiate en vue de leur élimination </w:t>
            </w:r>
          </w:p>
        </w:tc>
        <w:tc>
          <w:tcPr>
            <w:tcW w:w="3402" w:type="dxa"/>
            <w:vAlign w:val="center"/>
          </w:tcPr>
          <w:p w14:paraId="10A802DD"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Conclue à Genève le 17 juin 1999</w:t>
            </w:r>
          </w:p>
        </w:tc>
        <w:tc>
          <w:tcPr>
            <w:tcW w:w="1984" w:type="dxa"/>
            <w:vAlign w:val="center"/>
          </w:tcPr>
          <w:p w14:paraId="18828279"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20 juin 2001</w:t>
            </w:r>
          </w:p>
        </w:tc>
        <w:tc>
          <w:tcPr>
            <w:tcW w:w="6021" w:type="dxa"/>
            <w:vMerge w:val="restart"/>
            <w:vAlign w:val="center"/>
          </w:tcPr>
          <w:p w14:paraId="74DB5A5A" w14:textId="7BB484D5" w:rsidR="005E1C0F" w:rsidRPr="00D75D2E" w:rsidRDefault="005E1C0F" w:rsidP="005E1C0F">
            <w:pPr>
              <w:tabs>
                <w:tab w:val="left" w:pos="360"/>
              </w:tabs>
              <w:spacing w:after="0" w:line="240" w:lineRule="auto"/>
              <w:rPr>
                <w:rFonts w:ascii="Times New Roman" w:eastAsia="Times New Roman" w:hAnsi="Times New Roman"/>
                <w:lang w:eastAsia="fr-FR"/>
              </w:rPr>
            </w:pPr>
            <w:r>
              <w:rPr>
                <w:rFonts w:ascii="Times New Roman" w:eastAsia="Times New Roman" w:hAnsi="Times New Roman"/>
                <w:lang w:eastAsia="fr-FR"/>
              </w:rPr>
              <w:t>Le sous-projet devra élaborer durant sa phase de démarrage une procédure de gestion de la main d’œuvre qui se basera sur celui élaboré dans le cadre du projet et tenir compte des recommandations de la note des bonnes pratiques de l’IDA sur la prévention des risques liés à l’EAS/HS dans les grands projets d’infrastructures.</w:t>
            </w:r>
          </w:p>
        </w:tc>
      </w:tr>
      <w:tr w:rsidR="005E1C0F" w:rsidRPr="00420C1B" w14:paraId="5CDC2422" w14:textId="0EA4E375" w:rsidTr="00931D29">
        <w:tc>
          <w:tcPr>
            <w:tcW w:w="3828" w:type="dxa"/>
            <w:vAlign w:val="center"/>
          </w:tcPr>
          <w:p w14:paraId="20E4F58A"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N° 138 sur l'âge minimum d'admission à l'emploi</w:t>
            </w:r>
          </w:p>
        </w:tc>
        <w:tc>
          <w:tcPr>
            <w:tcW w:w="3402" w:type="dxa"/>
            <w:vAlign w:val="center"/>
          </w:tcPr>
          <w:p w14:paraId="0AAC7545"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Conclue en 1999</w:t>
            </w:r>
          </w:p>
        </w:tc>
        <w:tc>
          <w:tcPr>
            <w:tcW w:w="1984" w:type="dxa"/>
            <w:vAlign w:val="center"/>
          </w:tcPr>
          <w:p w14:paraId="151B8C25"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20 juin 2001</w:t>
            </w:r>
          </w:p>
        </w:tc>
        <w:tc>
          <w:tcPr>
            <w:tcW w:w="6021" w:type="dxa"/>
            <w:vMerge/>
          </w:tcPr>
          <w:p w14:paraId="66B6B4A0" w14:textId="77777777" w:rsidR="005E1C0F" w:rsidRPr="00D75D2E" w:rsidRDefault="005E1C0F" w:rsidP="005E1C0F">
            <w:pPr>
              <w:tabs>
                <w:tab w:val="left" w:pos="360"/>
              </w:tabs>
              <w:spacing w:after="0" w:line="240" w:lineRule="auto"/>
              <w:rPr>
                <w:rFonts w:ascii="Times New Roman" w:eastAsia="Times New Roman" w:hAnsi="Times New Roman"/>
                <w:lang w:eastAsia="fr-FR"/>
              </w:rPr>
            </w:pPr>
          </w:p>
        </w:tc>
      </w:tr>
      <w:tr w:rsidR="005E1C0F" w:rsidRPr="00420C1B" w14:paraId="09024FF2" w14:textId="2502B6F7" w:rsidTr="00931D29">
        <w:tc>
          <w:tcPr>
            <w:tcW w:w="3828" w:type="dxa"/>
            <w:vAlign w:val="center"/>
          </w:tcPr>
          <w:p w14:paraId="04630B24"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la Charte africaine des droits et du bien-être de l'enfant</w:t>
            </w:r>
          </w:p>
        </w:tc>
        <w:tc>
          <w:tcPr>
            <w:tcW w:w="3402" w:type="dxa"/>
            <w:vAlign w:val="center"/>
          </w:tcPr>
          <w:p w14:paraId="66AF0EEF"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Juillet 1990</w:t>
            </w:r>
          </w:p>
        </w:tc>
        <w:tc>
          <w:tcPr>
            <w:tcW w:w="1984" w:type="dxa"/>
            <w:vAlign w:val="center"/>
          </w:tcPr>
          <w:p w14:paraId="64DCE321" w14:textId="77777777" w:rsidR="005E1C0F" w:rsidRPr="00D75D2E" w:rsidRDefault="005E1C0F" w:rsidP="005E1C0F">
            <w:pPr>
              <w:spacing w:after="0" w:line="240" w:lineRule="auto"/>
              <w:rPr>
                <w:rFonts w:ascii="Times New Roman" w:eastAsia="Times New Roman" w:hAnsi="Times New Roman"/>
                <w:lang w:eastAsia="fr-FR"/>
              </w:rPr>
            </w:pPr>
            <w:r>
              <w:rPr>
                <w:rFonts w:ascii="Times New Roman" w:eastAsia="Times New Roman" w:hAnsi="Times New Roman"/>
                <w:lang w:eastAsia="fr-FR"/>
              </w:rPr>
              <w:t>08 décembre 2020</w:t>
            </w:r>
          </w:p>
        </w:tc>
        <w:tc>
          <w:tcPr>
            <w:tcW w:w="6021" w:type="dxa"/>
            <w:vMerge/>
          </w:tcPr>
          <w:p w14:paraId="7431ECBB" w14:textId="77777777" w:rsidR="005E1C0F" w:rsidRDefault="005E1C0F" w:rsidP="005E1C0F">
            <w:pPr>
              <w:spacing w:after="0" w:line="240" w:lineRule="auto"/>
              <w:rPr>
                <w:rFonts w:ascii="Times New Roman" w:eastAsia="Times New Roman" w:hAnsi="Times New Roman"/>
                <w:lang w:eastAsia="fr-FR"/>
              </w:rPr>
            </w:pPr>
          </w:p>
        </w:tc>
      </w:tr>
      <w:tr w:rsidR="005E1C0F" w:rsidRPr="00420C1B" w14:paraId="1083636E" w14:textId="4C012D4E" w:rsidTr="00931D29">
        <w:tc>
          <w:tcPr>
            <w:tcW w:w="3828" w:type="dxa"/>
            <w:vAlign w:val="center"/>
          </w:tcPr>
          <w:p w14:paraId="38C19A0E"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N° 121 sur les prestations en cas d’accidents du travail et de maladies professionnelles</w:t>
            </w:r>
          </w:p>
        </w:tc>
        <w:tc>
          <w:tcPr>
            <w:tcW w:w="3402" w:type="dxa"/>
            <w:vAlign w:val="center"/>
          </w:tcPr>
          <w:p w14:paraId="763FEC31"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de 1964 (tableau I modifié en 1980) ratifiée le 05/09/1967</w:t>
            </w:r>
          </w:p>
        </w:tc>
        <w:tc>
          <w:tcPr>
            <w:tcW w:w="1984" w:type="dxa"/>
            <w:vAlign w:val="center"/>
          </w:tcPr>
          <w:p w14:paraId="0D54FD3A"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05 septembre 1967</w:t>
            </w:r>
          </w:p>
        </w:tc>
        <w:tc>
          <w:tcPr>
            <w:tcW w:w="6021" w:type="dxa"/>
            <w:vMerge/>
          </w:tcPr>
          <w:p w14:paraId="6433DBD5" w14:textId="77777777" w:rsidR="005E1C0F" w:rsidRPr="00D75D2E" w:rsidRDefault="005E1C0F" w:rsidP="005E1C0F">
            <w:pPr>
              <w:spacing w:after="0" w:line="240" w:lineRule="auto"/>
              <w:rPr>
                <w:rFonts w:ascii="Times New Roman" w:eastAsia="Times New Roman" w:hAnsi="Times New Roman"/>
                <w:lang w:eastAsia="fr-FR"/>
              </w:rPr>
            </w:pPr>
          </w:p>
        </w:tc>
      </w:tr>
      <w:tr w:rsidR="005E1C0F" w:rsidRPr="00420C1B" w14:paraId="16AF99BF" w14:textId="6B8C1F9B" w:rsidTr="00931D29">
        <w:tc>
          <w:tcPr>
            <w:tcW w:w="3828" w:type="dxa"/>
            <w:vAlign w:val="center"/>
          </w:tcPr>
          <w:p w14:paraId="1B8A1FC5"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N° 111 concernant la discrimination (emploi profession)</w:t>
            </w:r>
          </w:p>
        </w:tc>
        <w:tc>
          <w:tcPr>
            <w:tcW w:w="3402" w:type="dxa"/>
            <w:vAlign w:val="center"/>
          </w:tcPr>
          <w:p w14:paraId="1CF193DF"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xml:space="preserve">1958 </w:t>
            </w:r>
          </w:p>
        </w:tc>
        <w:tc>
          <w:tcPr>
            <w:tcW w:w="1984" w:type="dxa"/>
            <w:vAlign w:val="center"/>
          </w:tcPr>
          <w:p w14:paraId="7AC29A8A"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20 juin 2001</w:t>
            </w:r>
          </w:p>
        </w:tc>
        <w:tc>
          <w:tcPr>
            <w:tcW w:w="6021" w:type="dxa"/>
            <w:vMerge/>
          </w:tcPr>
          <w:p w14:paraId="79A56F6C" w14:textId="77777777" w:rsidR="005E1C0F" w:rsidRPr="00D75D2E" w:rsidRDefault="005E1C0F" w:rsidP="005E1C0F">
            <w:pPr>
              <w:spacing w:after="0" w:line="240" w:lineRule="auto"/>
              <w:rPr>
                <w:rFonts w:ascii="Times New Roman" w:eastAsia="Times New Roman" w:hAnsi="Times New Roman"/>
                <w:lang w:eastAsia="fr-FR"/>
              </w:rPr>
            </w:pPr>
          </w:p>
        </w:tc>
      </w:tr>
      <w:tr w:rsidR="005E1C0F" w:rsidRPr="00420C1B" w14:paraId="50FB16A4" w14:textId="19AE6ACD" w:rsidTr="00931D29">
        <w:tc>
          <w:tcPr>
            <w:tcW w:w="3828" w:type="dxa"/>
            <w:vAlign w:val="center"/>
          </w:tcPr>
          <w:p w14:paraId="69A9E05E" w14:textId="77777777" w:rsidR="005E1C0F" w:rsidRPr="00D75D2E" w:rsidRDefault="005E1C0F" w:rsidP="005E1C0F">
            <w:pPr>
              <w:spacing w:after="0" w:line="240" w:lineRule="auto"/>
              <w:ind w:left="-4"/>
              <w:rPr>
                <w:rFonts w:ascii="Times New Roman" w:eastAsia="Times New Roman" w:hAnsi="Times New Roman"/>
                <w:lang w:eastAsia="fr-FR"/>
              </w:rPr>
            </w:pPr>
            <w:r w:rsidRPr="00D75D2E">
              <w:rPr>
                <w:rFonts w:ascii="Times New Roman" w:eastAsia="Times New Roman" w:hAnsi="Times New Roman"/>
                <w:lang w:eastAsia="fr-FR"/>
              </w:rPr>
              <w:t>Convention sur l'élimination de toutes les formes de discrimination à l’égard des femmes</w:t>
            </w:r>
            <w:r w:rsidRPr="00E737B4">
              <w:rPr>
                <w:rFonts w:ascii="Times New Roman" w:eastAsia="Times New Roman" w:hAnsi="Times New Roman"/>
                <w:lang w:eastAsia="fr-FR"/>
              </w:rPr>
              <w:t xml:space="preserve"> ou la déclaration sur l’élimination de la violence contre les femmes.</w:t>
            </w:r>
            <w:r w:rsidRPr="00D75D2E">
              <w:rPr>
                <w:rFonts w:ascii="Times New Roman" w:eastAsia="Times New Roman" w:hAnsi="Times New Roman"/>
                <w:lang w:eastAsia="fr-FR"/>
              </w:rPr>
              <w:t xml:space="preserve"> </w:t>
            </w:r>
          </w:p>
        </w:tc>
        <w:tc>
          <w:tcPr>
            <w:tcW w:w="3402" w:type="dxa"/>
            <w:vAlign w:val="center"/>
          </w:tcPr>
          <w:p w14:paraId="351167E4" w14:textId="77777777" w:rsidR="005E1C0F" w:rsidRPr="00D75D2E" w:rsidRDefault="005E1C0F" w:rsidP="005E1C0F">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xml:space="preserve">A été adopté le 18 Décembre 1979 par l’Assemblée générale des Nations Unies. Elle a été signée en 1980 et ratifié en 1986 par la RDC. Elle est entrée en vigueur le 3 septembre 1981 après avoir été ratifié par 20 pays </w:t>
            </w:r>
          </w:p>
        </w:tc>
        <w:tc>
          <w:tcPr>
            <w:tcW w:w="1984" w:type="dxa"/>
            <w:vAlign w:val="center"/>
          </w:tcPr>
          <w:p w14:paraId="77CB6553" w14:textId="77777777" w:rsidR="005E1C0F" w:rsidRPr="00D75D2E" w:rsidRDefault="005E1C0F" w:rsidP="005E1C0F">
            <w:pPr>
              <w:spacing w:after="0" w:line="240" w:lineRule="auto"/>
              <w:rPr>
                <w:rFonts w:ascii="Times New Roman" w:eastAsia="Times New Roman" w:hAnsi="Times New Roman"/>
                <w:lang w:eastAsia="fr-FR"/>
              </w:rPr>
            </w:pPr>
            <w:r>
              <w:rPr>
                <w:rFonts w:ascii="Times New Roman" w:eastAsia="Times New Roman" w:hAnsi="Times New Roman"/>
                <w:lang w:eastAsia="fr-FR"/>
              </w:rPr>
              <w:t>17 octobre 1986</w:t>
            </w:r>
          </w:p>
        </w:tc>
        <w:tc>
          <w:tcPr>
            <w:tcW w:w="6021" w:type="dxa"/>
            <w:vMerge/>
          </w:tcPr>
          <w:p w14:paraId="53440C5E" w14:textId="77777777" w:rsidR="005E1C0F" w:rsidRDefault="005E1C0F" w:rsidP="005E1C0F">
            <w:pPr>
              <w:spacing w:after="0" w:line="240" w:lineRule="auto"/>
              <w:rPr>
                <w:rFonts w:ascii="Times New Roman" w:eastAsia="Times New Roman" w:hAnsi="Times New Roman"/>
                <w:lang w:eastAsia="fr-FR"/>
              </w:rPr>
            </w:pPr>
          </w:p>
        </w:tc>
      </w:tr>
      <w:tr w:rsidR="005E1C0F" w:rsidRPr="00420C1B" w14:paraId="74CDD939" w14:textId="46B6EBBF" w:rsidTr="00931D29">
        <w:tc>
          <w:tcPr>
            <w:tcW w:w="3828" w:type="dxa"/>
          </w:tcPr>
          <w:p w14:paraId="4BA06439" w14:textId="77777777" w:rsidR="005E1C0F" w:rsidRPr="00D75D2E" w:rsidRDefault="005E1C0F" w:rsidP="00360D1B">
            <w:pPr>
              <w:spacing w:after="0" w:line="240" w:lineRule="auto"/>
              <w:ind w:left="-4"/>
              <w:jc w:val="both"/>
              <w:rPr>
                <w:rFonts w:ascii="Times New Roman" w:eastAsia="Times New Roman" w:hAnsi="Times New Roman"/>
                <w:lang w:eastAsia="fr-FR"/>
              </w:rPr>
            </w:pPr>
            <w:r w:rsidRPr="00D75D2E">
              <w:rPr>
                <w:rFonts w:ascii="Times New Roman" w:eastAsia="Times New Roman" w:hAnsi="Times New Roman"/>
                <w:lang w:eastAsia="fr-FR"/>
              </w:rPr>
              <w:t xml:space="preserve">Résolution 2011/33 sur la Prévention, la protection et la coopération internationale contre l’utilisation de nouvelles technologies d’information pour abuser et/ou exploiter les enfants </w:t>
            </w:r>
          </w:p>
        </w:tc>
        <w:tc>
          <w:tcPr>
            <w:tcW w:w="3402" w:type="dxa"/>
          </w:tcPr>
          <w:p w14:paraId="6331C5F5" w14:textId="77777777" w:rsidR="005E1C0F" w:rsidRPr="00D75D2E" w:rsidRDefault="005E1C0F" w:rsidP="00360D1B">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 xml:space="preserve"> A été adopté le 18 Décembre 1979 par l’Assemblée générale des Nations Unies. Elle a été signée en 1980 et ratifié en 1986 par la RDC. Elle est entrée en vigueur le 3 septembre 1981 après avoir été ratifié par 20 pays </w:t>
            </w:r>
          </w:p>
        </w:tc>
        <w:tc>
          <w:tcPr>
            <w:tcW w:w="1984" w:type="dxa"/>
          </w:tcPr>
          <w:p w14:paraId="07842D63" w14:textId="77777777" w:rsidR="005E1C0F" w:rsidRPr="00D75D2E" w:rsidRDefault="005E1C0F" w:rsidP="00360D1B">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1981</w:t>
            </w:r>
          </w:p>
        </w:tc>
        <w:tc>
          <w:tcPr>
            <w:tcW w:w="6021" w:type="dxa"/>
            <w:vMerge w:val="restart"/>
          </w:tcPr>
          <w:p w14:paraId="727EC6C4" w14:textId="2C8C16A9" w:rsidR="005E1C0F" w:rsidRPr="00D75D2E" w:rsidRDefault="005E1C0F" w:rsidP="00360D1B">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Le sous-projet devra élaborer durant sa phase de démarrage une procédure de gestion de la main d’œuvre qui se basera sur celui élaboré dans le cadre du projet et tenir compte des recommandations de la note des bonnes pratiques de l’IDA sur la prévention des risques liés à l’EAS/HS dans les grands projets d’infrastructures.</w:t>
            </w:r>
          </w:p>
        </w:tc>
      </w:tr>
      <w:tr w:rsidR="005E1C0F" w:rsidRPr="00420C1B" w14:paraId="30249375" w14:textId="1AF0A55D" w:rsidTr="00931D29">
        <w:tc>
          <w:tcPr>
            <w:tcW w:w="3828" w:type="dxa"/>
          </w:tcPr>
          <w:p w14:paraId="18134AA2" w14:textId="77777777" w:rsidR="005E1C0F" w:rsidRPr="00D75D2E" w:rsidRDefault="005E1C0F" w:rsidP="00360D1B">
            <w:pPr>
              <w:spacing w:after="0" w:line="240" w:lineRule="auto"/>
              <w:ind w:left="-4"/>
              <w:jc w:val="both"/>
              <w:rPr>
                <w:rFonts w:ascii="Times New Roman" w:eastAsia="Times New Roman" w:hAnsi="Times New Roman"/>
                <w:lang w:eastAsia="fr-FR"/>
              </w:rPr>
            </w:pPr>
            <w:r w:rsidRPr="00D75D2E">
              <w:rPr>
                <w:rFonts w:ascii="Times New Roman" w:eastAsia="Times New Roman" w:hAnsi="Times New Roman"/>
                <w:lang w:eastAsia="fr-FR"/>
              </w:rPr>
              <w:t>Résolution 44/25 du 20 novembre 1989 sur les droits des enfants</w:t>
            </w:r>
          </w:p>
        </w:tc>
        <w:tc>
          <w:tcPr>
            <w:tcW w:w="3402" w:type="dxa"/>
          </w:tcPr>
          <w:p w14:paraId="3722E41F" w14:textId="77777777" w:rsidR="005E1C0F" w:rsidRPr="00D75D2E" w:rsidRDefault="005E1C0F" w:rsidP="00360D1B">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Adopté à New York, le 20 novembre 1989 par l’Assemblée Générale des Nations Unies.</w:t>
            </w:r>
          </w:p>
        </w:tc>
        <w:tc>
          <w:tcPr>
            <w:tcW w:w="1984" w:type="dxa"/>
          </w:tcPr>
          <w:p w14:paraId="509646BD" w14:textId="77777777" w:rsidR="005E1C0F" w:rsidRPr="00D75D2E" w:rsidRDefault="005E1C0F" w:rsidP="00360D1B">
            <w:pPr>
              <w:spacing w:after="0" w:line="240" w:lineRule="auto"/>
              <w:jc w:val="both"/>
              <w:rPr>
                <w:rFonts w:ascii="Times New Roman" w:eastAsia="Times New Roman" w:hAnsi="Times New Roman"/>
                <w:lang w:eastAsia="fr-FR"/>
              </w:rPr>
            </w:pPr>
            <w:r>
              <w:rPr>
                <w:rFonts w:ascii="Times New Roman" w:eastAsia="Times New Roman" w:hAnsi="Times New Roman"/>
                <w:lang w:eastAsia="fr-FR"/>
              </w:rPr>
              <w:t>02 septembre 1990</w:t>
            </w:r>
          </w:p>
        </w:tc>
        <w:tc>
          <w:tcPr>
            <w:tcW w:w="6021" w:type="dxa"/>
            <w:vMerge/>
          </w:tcPr>
          <w:p w14:paraId="1D0490F7" w14:textId="77777777" w:rsidR="005E1C0F" w:rsidRDefault="005E1C0F" w:rsidP="00360D1B">
            <w:pPr>
              <w:spacing w:after="0" w:line="240" w:lineRule="auto"/>
              <w:jc w:val="both"/>
              <w:rPr>
                <w:rFonts w:ascii="Times New Roman" w:eastAsia="Times New Roman" w:hAnsi="Times New Roman"/>
                <w:lang w:eastAsia="fr-FR"/>
              </w:rPr>
            </w:pPr>
          </w:p>
        </w:tc>
      </w:tr>
    </w:tbl>
    <w:p w14:paraId="3C854CE4" w14:textId="5343CF42" w:rsidR="00AE101C" w:rsidRDefault="00FB3D81" w:rsidP="00360D1B">
      <w:pPr>
        <w:spacing w:after="0" w:line="240" w:lineRule="auto"/>
        <w:jc w:val="center"/>
        <w:rPr>
          <w:rFonts w:ascii="Times New Roman" w:eastAsia="Times New Roman" w:hAnsi="Times New Roman"/>
          <w:sz w:val="24"/>
          <w:lang w:val="fr-CD"/>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w:t>
      </w:r>
      <w:r w:rsidR="00325A16">
        <w:rPr>
          <w:rFonts w:ascii="Times New Roman" w:hAnsi="Times New Roman"/>
          <w:bCs/>
          <w:i/>
          <w:sz w:val="24"/>
        </w:rPr>
        <w:t xml:space="preserve">, </w:t>
      </w:r>
      <w:r w:rsidRPr="00E737B4">
        <w:rPr>
          <w:rFonts w:ascii="Times New Roman" w:hAnsi="Times New Roman"/>
          <w:bCs/>
          <w:i/>
          <w:sz w:val="24"/>
        </w:rPr>
        <w:t xml:space="preserve"> juillet 2021</w:t>
      </w:r>
    </w:p>
    <w:p w14:paraId="18F08247" w14:textId="77777777" w:rsidR="00AE101C" w:rsidRDefault="00AE101C" w:rsidP="00E737B4">
      <w:pPr>
        <w:spacing w:before="120" w:after="120" w:line="240" w:lineRule="auto"/>
        <w:jc w:val="both"/>
        <w:rPr>
          <w:rFonts w:ascii="Times New Roman" w:eastAsia="Times New Roman" w:hAnsi="Times New Roman"/>
          <w:sz w:val="24"/>
          <w:lang w:val="fr-CD"/>
        </w:rPr>
      </w:pPr>
    </w:p>
    <w:p w14:paraId="2F2A680D" w14:textId="77777777" w:rsidR="00AE101C" w:rsidRDefault="00AE101C" w:rsidP="00E737B4">
      <w:pPr>
        <w:spacing w:before="120" w:after="120" w:line="240" w:lineRule="auto"/>
        <w:jc w:val="both"/>
        <w:rPr>
          <w:rFonts w:ascii="Times New Roman" w:eastAsia="Times New Roman" w:hAnsi="Times New Roman"/>
          <w:sz w:val="24"/>
          <w:lang w:val="fr-CD"/>
        </w:rPr>
        <w:sectPr w:rsidR="00AE101C" w:rsidSect="00AE101C">
          <w:pgSz w:w="16838" w:h="11906" w:orient="landscape"/>
          <w:pgMar w:top="1417" w:right="1417" w:bottom="1417" w:left="1417" w:header="720" w:footer="720" w:gutter="0"/>
          <w:cols w:space="720"/>
          <w:formProt w:val="0"/>
          <w:docGrid w:linePitch="360" w:charSpace="-2049"/>
        </w:sectPr>
      </w:pPr>
    </w:p>
    <w:p w14:paraId="704779A6" w14:textId="16B666F2" w:rsidR="00221268" w:rsidRPr="00D75D2E" w:rsidRDefault="00221268" w:rsidP="00E737B4">
      <w:pPr>
        <w:spacing w:before="120" w:after="120" w:line="240" w:lineRule="auto"/>
        <w:jc w:val="both"/>
        <w:rPr>
          <w:rFonts w:ascii="Times New Roman" w:eastAsia="Times New Roman" w:hAnsi="Times New Roman"/>
          <w:sz w:val="24"/>
          <w:lang w:val="fr-CD"/>
        </w:rPr>
      </w:pPr>
      <w:r w:rsidRPr="00D75D2E">
        <w:rPr>
          <w:rFonts w:ascii="Times New Roman" w:eastAsia="Times New Roman" w:hAnsi="Times New Roman"/>
          <w:sz w:val="24"/>
          <w:lang w:val="fr-CD"/>
        </w:rPr>
        <w:t>Outre,  les  conventions   susmentionnées,   les  normes  ci-après   figurent   parmi  celles  qui s’appliquent à la présente étude d’impact environnemental et social :</w:t>
      </w:r>
    </w:p>
    <w:p w14:paraId="0112CD0B" w14:textId="77777777" w:rsidR="00221268" w:rsidRPr="00D75D2E" w:rsidRDefault="00221268" w:rsidP="008C79F0">
      <w:pPr>
        <w:pStyle w:val="Paragraphedeliste"/>
        <w:widowControl w:val="0"/>
        <w:numPr>
          <w:ilvl w:val="0"/>
          <w:numId w:val="165"/>
        </w:numPr>
        <w:tabs>
          <w:tab w:val="left" w:pos="1240"/>
        </w:tabs>
        <w:autoSpaceDE w:val="0"/>
        <w:autoSpaceDN w:val="0"/>
        <w:adjustRightInd w:val="0"/>
        <w:spacing w:before="80" w:after="80" w:line="20" w:lineRule="atLeast"/>
        <w:ind w:left="425" w:right="133" w:hanging="426"/>
        <w:contextualSpacing w:val="0"/>
        <w:jc w:val="both"/>
        <w:rPr>
          <w:rFonts w:ascii="Times New Roman" w:eastAsia="Times New Roman" w:hAnsi="Times New Roman"/>
          <w:sz w:val="24"/>
          <w:lang w:val="fr-CD"/>
        </w:rPr>
      </w:pPr>
      <w:r w:rsidRPr="00D75D2E">
        <w:rPr>
          <w:rFonts w:ascii="Times New Roman" w:eastAsia="Times New Roman" w:hAnsi="Times New Roman"/>
          <w:sz w:val="24"/>
          <w:lang w:val="fr-CD"/>
        </w:rPr>
        <w:t>La norme ISO 14001 prescrit les exigences relatives à un SGE permettant à un organisme de formuler une politique et des objectifs prenant compte des exigences législatives et les informations relatives aux impacts environnementaux significatifs.</w:t>
      </w:r>
    </w:p>
    <w:p w14:paraId="4950DCA9" w14:textId="77777777" w:rsidR="00221268" w:rsidRPr="00D75D2E" w:rsidRDefault="00221268" w:rsidP="00E737B4">
      <w:pPr>
        <w:pStyle w:val="Paragraphedeliste"/>
        <w:widowControl w:val="0"/>
        <w:tabs>
          <w:tab w:val="left" w:pos="1240"/>
        </w:tabs>
        <w:autoSpaceDE w:val="0"/>
        <w:autoSpaceDN w:val="0"/>
        <w:adjustRightInd w:val="0"/>
        <w:spacing w:before="80" w:after="80" w:line="20" w:lineRule="atLeast"/>
        <w:ind w:left="425" w:right="130"/>
        <w:contextualSpacing w:val="0"/>
        <w:jc w:val="both"/>
        <w:rPr>
          <w:rFonts w:ascii="Times New Roman" w:eastAsia="Times New Roman" w:hAnsi="Times New Roman"/>
          <w:sz w:val="24"/>
          <w:lang w:val="fr-CD"/>
        </w:rPr>
      </w:pPr>
      <w:r w:rsidRPr="00D75D2E">
        <w:rPr>
          <w:rFonts w:ascii="Times New Roman" w:eastAsia="Times New Roman" w:hAnsi="Times New Roman"/>
          <w:sz w:val="24"/>
          <w:lang w:val="fr-CD"/>
        </w:rPr>
        <w:t>L’élaboration d’une politique environnementale est indispensable pour la mise en œuvre et l’amélioration du SGE. Elle doit refléter l’engagement de l’entreprise de se conformer aux exigences légales applicables, de s’engager à la prévention de la pollution et à l’amélioration continue du SGE.</w:t>
      </w:r>
    </w:p>
    <w:p w14:paraId="3E2E2C0B" w14:textId="77777777" w:rsidR="00221268" w:rsidRPr="00D75D2E" w:rsidRDefault="00221268" w:rsidP="008C79F0">
      <w:pPr>
        <w:pStyle w:val="Paragraphedeliste"/>
        <w:widowControl w:val="0"/>
        <w:numPr>
          <w:ilvl w:val="0"/>
          <w:numId w:val="165"/>
        </w:numPr>
        <w:tabs>
          <w:tab w:val="left" w:pos="1240"/>
        </w:tabs>
        <w:autoSpaceDE w:val="0"/>
        <w:autoSpaceDN w:val="0"/>
        <w:adjustRightInd w:val="0"/>
        <w:spacing w:before="80" w:after="80" w:line="20" w:lineRule="atLeast"/>
        <w:ind w:left="425" w:right="133" w:hanging="426"/>
        <w:contextualSpacing w:val="0"/>
        <w:jc w:val="both"/>
        <w:rPr>
          <w:rFonts w:ascii="Times New Roman" w:eastAsia="Times New Roman" w:hAnsi="Times New Roman"/>
          <w:sz w:val="24"/>
          <w:lang w:val="fr-CD"/>
        </w:rPr>
      </w:pPr>
      <w:r w:rsidRPr="00D75D2E">
        <w:rPr>
          <w:rFonts w:ascii="Times New Roman" w:eastAsia="Times New Roman" w:hAnsi="Times New Roman"/>
          <w:sz w:val="24"/>
          <w:lang w:val="fr-CD"/>
        </w:rPr>
        <w:t>La mise en œuvre du SGE se base sur la méthodologie utilisée par la norme ISO 14001 connue sous le nom de PDCA (Plan-Do-Check-Act) et regroupe ainsi la planification (Plan) des objectifs et des processus nécessaires à l’implantation du SGE, la mise en œuvre (Do) de ces processus, le contrôle et l’évaluation (Check) de ces processus, et la mise en place d’actions correctives et complémentaires (Act) permettant d’améliorer de manière continue la performance environnementale de l’entreprise par l’entremise de son SGE.</w:t>
      </w:r>
    </w:p>
    <w:p w14:paraId="0C5C6F7A" w14:textId="77777777" w:rsidR="00221268" w:rsidRPr="00D75D2E" w:rsidRDefault="00221268" w:rsidP="008C79F0">
      <w:pPr>
        <w:pStyle w:val="Paragraphedeliste"/>
        <w:widowControl w:val="0"/>
        <w:numPr>
          <w:ilvl w:val="0"/>
          <w:numId w:val="165"/>
        </w:numPr>
        <w:tabs>
          <w:tab w:val="left" w:pos="1240"/>
        </w:tabs>
        <w:autoSpaceDE w:val="0"/>
        <w:autoSpaceDN w:val="0"/>
        <w:adjustRightInd w:val="0"/>
        <w:spacing w:before="80" w:after="80" w:line="20" w:lineRule="atLeast"/>
        <w:ind w:left="425" w:right="133" w:hanging="426"/>
        <w:contextualSpacing w:val="0"/>
        <w:jc w:val="both"/>
        <w:rPr>
          <w:rFonts w:ascii="Times New Roman" w:eastAsia="Times New Roman" w:hAnsi="Times New Roman"/>
          <w:sz w:val="24"/>
          <w:lang w:val="fr-CD"/>
        </w:rPr>
      </w:pPr>
      <w:r w:rsidRPr="00D75D2E">
        <w:rPr>
          <w:rFonts w:ascii="Times New Roman" w:eastAsia="Times New Roman" w:hAnsi="Times New Roman"/>
          <w:sz w:val="24"/>
          <w:lang w:val="fr-CD"/>
        </w:rPr>
        <w:t>La norme ISO 14,000 sur le management environnemental dans les entreprises ;</w:t>
      </w:r>
    </w:p>
    <w:p w14:paraId="512D47C1" w14:textId="77777777" w:rsidR="00221268" w:rsidRPr="00D75D2E" w:rsidRDefault="00221268" w:rsidP="008C79F0">
      <w:pPr>
        <w:pStyle w:val="Paragraphedeliste"/>
        <w:widowControl w:val="0"/>
        <w:numPr>
          <w:ilvl w:val="0"/>
          <w:numId w:val="165"/>
        </w:numPr>
        <w:tabs>
          <w:tab w:val="left" w:pos="1240"/>
        </w:tabs>
        <w:autoSpaceDE w:val="0"/>
        <w:autoSpaceDN w:val="0"/>
        <w:adjustRightInd w:val="0"/>
        <w:spacing w:before="80" w:after="80" w:line="20" w:lineRule="atLeast"/>
        <w:ind w:left="425" w:right="133" w:hanging="426"/>
        <w:contextualSpacing w:val="0"/>
        <w:jc w:val="both"/>
        <w:rPr>
          <w:rFonts w:ascii="Times New Roman" w:eastAsia="Times New Roman" w:hAnsi="Times New Roman"/>
          <w:sz w:val="24"/>
          <w:lang w:val="fr-CD"/>
        </w:rPr>
      </w:pPr>
      <w:r w:rsidRPr="00D75D2E">
        <w:rPr>
          <w:rFonts w:ascii="Times New Roman" w:eastAsia="Times New Roman" w:hAnsi="Times New Roman"/>
          <w:sz w:val="24"/>
          <w:lang w:val="fr-CD"/>
        </w:rPr>
        <w:t>Normes OHSAS (référentiel de management santé et sécurité au travail) 18001 et 18002. Traite des conditions de travail et de la sécurité dans le milieu du travail.</w:t>
      </w:r>
    </w:p>
    <w:p w14:paraId="512685F0" w14:textId="77777777" w:rsidR="00221268" w:rsidRPr="00E737B4" w:rsidRDefault="00221268" w:rsidP="008C79F0">
      <w:pPr>
        <w:pStyle w:val="Paragraphedeliste"/>
        <w:widowControl w:val="0"/>
        <w:numPr>
          <w:ilvl w:val="0"/>
          <w:numId w:val="165"/>
        </w:numPr>
        <w:tabs>
          <w:tab w:val="left" w:pos="1240"/>
        </w:tabs>
        <w:autoSpaceDE w:val="0"/>
        <w:autoSpaceDN w:val="0"/>
        <w:adjustRightInd w:val="0"/>
        <w:spacing w:before="80" w:after="80" w:line="20" w:lineRule="atLeast"/>
        <w:ind w:left="425" w:right="133" w:hanging="426"/>
        <w:contextualSpacing w:val="0"/>
        <w:jc w:val="both"/>
        <w:rPr>
          <w:rFonts w:ascii="Times New Roman" w:eastAsia="Times New Roman" w:hAnsi="Times New Roman"/>
          <w:b/>
          <w:bCs/>
          <w:i/>
          <w:sz w:val="24"/>
          <w:szCs w:val="24"/>
          <w:lang w:val="fr-CD" w:eastAsia="fr-FR"/>
        </w:rPr>
      </w:pPr>
      <w:r w:rsidRPr="00D75D2E">
        <w:rPr>
          <w:rFonts w:ascii="Times New Roman" w:eastAsia="Times New Roman" w:hAnsi="Times New Roman"/>
          <w:sz w:val="24"/>
          <w:lang w:val="fr-CD"/>
        </w:rPr>
        <w:t>Les traités ratifiés sont intégrés à la législation nationale et leurs dispositions prévalent en cas de contradiction avec les dispositions du droit national conformément à la constitution de la RDC. Les principales conventions ratifiées par la RDC, applicable au projet sont reprises dans le tableau 10 ci-dessous.</w:t>
      </w:r>
    </w:p>
    <w:p w14:paraId="4DED2553" w14:textId="75D335AF" w:rsidR="00221268" w:rsidRPr="00D75D2E" w:rsidRDefault="00221268" w:rsidP="008C79F0">
      <w:pPr>
        <w:pStyle w:val="Titre31"/>
        <w:numPr>
          <w:ilvl w:val="2"/>
          <w:numId w:val="54"/>
        </w:numPr>
        <w:tabs>
          <w:tab w:val="left" w:pos="993"/>
          <w:tab w:val="left" w:pos="1134"/>
        </w:tabs>
        <w:spacing w:before="120" w:after="120"/>
        <w:ind w:left="993" w:hanging="505"/>
        <w:rPr>
          <w:rFonts w:cs="Times New Roman"/>
          <w:i/>
        </w:rPr>
      </w:pPr>
      <w:bookmarkStart w:id="297" w:name="_Toc497052675"/>
      <w:bookmarkStart w:id="298" w:name="_Toc103685612"/>
      <w:bookmarkStart w:id="299" w:name="_Toc36632023"/>
      <w:bookmarkStart w:id="300" w:name="_Toc33464177"/>
      <w:bookmarkStart w:id="301" w:name="_Toc78601977"/>
      <w:r w:rsidRPr="00E737B4">
        <w:rPr>
          <w:rFonts w:eastAsia="Calibri"/>
          <w:u w:val="none"/>
        </w:rPr>
        <w:t xml:space="preserve">Normes Environnementales et sociales pertinentes </w:t>
      </w:r>
      <w:r w:rsidR="009C7329">
        <w:rPr>
          <w:rFonts w:eastAsia="Calibri"/>
          <w:u w:val="none"/>
        </w:rPr>
        <w:t xml:space="preserve">pour le </w:t>
      </w:r>
      <w:r w:rsidRPr="00E737B4">
        <w:rPr>
          <w:rFonts w:eastAsia="Calibri"/>
          <w:u w:val="none"/>
        </w:rPr>
        <w:t>projet</w:t>
      </w:r>
      <w:bookmarkEnd w:id="297"/>
      <w:bookmarkEnd w:id="298"/>
      <w:r w:rsidRPr="00D75D2E">
        <w:rPr>
          <w:rFonts w:cs="Times New Roman"/>
          <w:i/>
        </w:rPr>
        <w:t xml:space="preserve"> </w:t>
      </w:r>
      <w:bookmarkStart w:id="302" w:name="_Toc312599251"/>
      <w:bookmarkStart w:id="303" w:name="_Toc312599390"/>
      <w:bookmarkStart w:id="304" w:name="_Toc314095904"/>
      <w:bookmarkStart w:id="305" w:name="_Toc375289249"/>
      <w:bookmarkStart w:id="306" w:name="_Toc375295209"/>
      <w:bookmarkStart w:id="307" w:name="_Toc375296093"/>
      <w:bookmarkStart w:id="308" w:name="_Toc375296237"/>
      <w:bookmarkStart w:id="309" w:name="_Toc375300561"/>
      <w:bookmarkStart w:id="310" w:name="_Toc375305357"/>
      <w:bookmarkStart w:id="311" w:name="_Toc375305682"/>
      <w:bookmarkStart w:id="312" w:name="_Toc375309249"/>
      <w:bookmarkStart w:id="313" w:name="_Toc375309394"/>
      <w:bookmarkStart w:id="314" w:name="_Toc386786710"/>
      <w:bookmarkStart w:id="315" w:name="_Toc398487783"/>
      <w:bookmarkStart w:id="316" w:name="_Toc398545811"/>
      <w:bookmarkStart w:id="317" w:name="_Toc417923296"/>
      <w:bookmarkStart w:id="318" w:name="_Toc419295724"/>
      <w:bookmarkStart w:id="319" w:name="_Toc419298257"/>
      <w:bookmarkStart w:id="320" w:name="_Toc419298413"/>
      <w:bookmarkStart w:id="321" w:name="_Toc419298569"/>
      <w:bookmarkStart w:id="322" w:name="_Toc419298725"/>
      <w:bookmarkStart w:id="323" w:name="_Toc419298881"/>
      <w:bookmarkStart w:id="324" w:name="_Toc423711599"/>
      <w:bookmarkStart w:id="325" w:name="_Toc424487324"/>
      <w:bookmarkStart w:id="326" w:name="_Toc426666545"/>
      <w:bookmarkStart w:id="327" w:name="_Toc471757365"/>
      <w:bookmarkStart w:id="328" w:name="_Toc471814050"/>
      <w:bookmarkStart w:id="329" w:name="_Toc471816972"/>
      <w:bookmarkStart w:id="330" w:name="_Toc471819839"/>
      <w:bookmarkStart w:id="331" w:name="_Toc473238617"/>
      <w:bookmarkStart w:id="332" w:name="_Toc476043694"/>
      <w:bookmarkStart w:id="333" w:name="_Toc476071942"/>
      <w:bookmarkStart w:id="334" w:name="_Toc497052916"/>
      <w:bookmarkStart w:id="335" w:name="_Toc497147413"/>
      <w:bookmarkStart w:id="336" w:name="_Toc497202106"/>
      <w:bookmarkStart w:id="337" w:name="_Toc497202325"/>
      <w:bookmarkStart w:id="338" w:name="_Toc497202564"/>
      <w:bookmarkStart w:id="339" w:name="_Toc497202805"/>
      <w:bookmarkStart w:id="340" w:name="_Toc471757366"/>
      <w:bookmarkStart w:id="341" w:name="_Toc471814051"/>
      <w:bookmarkStart w:id="342" w:name="_Toc471816973"/>
      <w:bookmarkStart w:id="343" w:name="_Toc471819840"/>
      <w:bookmarkStart w:id="344" w:name="_Toc473238618"/>
      <w:bookmarkStart w:id="345" w:name="_Toc476043695"/>
      <w:bookmarkStart w:id="346" w:name="_Toc476071943"/>
      <w:bookmarkStart w:id="347" w:name="_Toc497052917"/>
      <w:bookmarkStart w:id="348" w:name="_Toc497147414"/>
      <w:bookmarkStart w:id="349" w:name="_Toc497202107"/>
      <w:bookmarkStart w:id="350" w:name="_Toc497202326"/>
      <w:bookmarkStart w:id="351" w:name="_Toc497202565"/>
      <w:bookmarkStart w:id="352" w:name="_Toc497202806"/>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1DBDB287" w14:textId="77777777" w:rsidR="00B832EF"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Projet d’amélioration de la desserte en électricité et eau et la gouvernance est soumis aux exigences du nouveau Cadre Environnemental et Social de la Banque mondiale, entré en vigueur le 1 octobre 2018. L’évaluation préliminaire des risques et impacts environnementaux et sociaux du projet ont permis de le classer comme projet à risque environnemental et social élevé. Neuf sur les dix Normes environnementales et Sociales (NES) ont été jugées pertinentes pour </w:t>
      </w:r>
      <w:r w:rsidR="00325A16">
        <w:rPr>
          <w:rFonts w:ascii="Times New Roman" w:eastAsia="Times New Roman" w:hAnsi="Times New Roman"/>
          <w:sz w:val="24"/>
          <w:szCs w:val="24"/>
          <w:lang w:eastAsia="fr-FR"/>
        </w:rPr>
        <w:t>l</w:t>
      </w:r>
      <w:r w:rsidR="00325A16" w:rsidRPr="00D75D2E">
        <w:rPr>
          <w:rFonts w:ascii="Times New Roman" w:eastAsia="Times New Roman" w:hAnsi="Times New Roman"/>
          <w:sz w:val="24"/>
          <w:szCs w:val="24"/>
          <w:lang w:eastAsia="fr-FR"/>
        </w:rPr>
        <w:t xml:space="preserve">e </w:t>
      </w:r>
      <w:r w:rsidRPr="00D75D2E">
        <w:rPr>
          <w:rFonts w:ascii="Times New Roman" w:eastAsia="Times New Roman" w:hAnsi="Times New Roman"/>
          <w:sz w:val="24"/>
          <w:szCs w:val="24"/>
          <w:lang w:eastAsia="fr-FR"/>
        </w:rPr>
        <w:t>projet</w:t>
      </w:r>
      <w:r w:rsidR="00325A16">
        <w:rPr>
          <w:rFonts w:ascii="Times New Roman" w:eastAsia="Times New Roman" w:hAnsi="Times New Roman"/>
          <w:sz w:val="24"/>
          <w:szCs w:val="24"/>
          <w:lang w:eastAsia="fr-FR"/>
        </w:rPr>
        <w:t xml:space="preserve"> de gouvernance et d’accès à l’électricité, à l’eau et à l’assainissement</w:t>
      </w:r>
      <w:r w:rsidRPr="00D75D2E">
        <w:rPr>
          <w:rFonts w:ascii="Times New Roman" w:eastAsia="Times New Roman" w:hAnsi="Times New Roman"/>
          <w:sz w:val="24"/>
          <w:szCs w:val="24"/>
          <w:lang w:eastAsia="fr-FR"/>
        </w:rPr>
        <w:t>.</w:t>
      </w:r>
      <w:r w:rsidR="00325A16">
        <w:rPr>
          <w:rFonts w:ascii="Times New Roman" w:eastAsia="Times New Roman" w:hAnsi="Times New Roman"/>
          <w:sz w:val="24"/>
          <w:szCs w:val="24"/>
          <w:lang w:eastAsia="fr-FR"/>
        </w:rPr>
        <w:t xml:space="preserve"> Pour le sous-projet d’électrification des poches noires, d’assainissement, de réhabilitation et mise en conformité des réseaux SNEL des directions de Kinshasa Centre et Ouest</w:t>
      </w:r>
      <w:r w:rsidR="00B832EF">
        <w:rPr>
          <w:rFonts w:ascii="Times New Roman" w:eastAsia="Times New Roman" w:hAnsi="Times New Roman"/>
          <w:sz w:val="24"/>
          <w:szCs w:val="24"/>
          <w:lang w:eastAsia="fr-FR"/>
        </w:rPr>
        <w:t xml:space="preserve">, </w:t>
      </w:r>
      <w:r w:rsidR="007F5B06">
        <w:rPr>
          <w:rFonts w:ascii="Times New Roman" w:eastAsia="Times New Roman" w:hAnsi="Times New Roman"/>
          <w:sz w:val="24"/>
          <w:szCs w:val="24"/>
          <w:lang w:eastAsia="fr-FR"/>
        </w:rPr>
        <w:t>huit</w:t>
      </w:r>
      <w:r w:rsidR="009C7329">
        <w:rPr>
          <w:rFonts w:ascii="Times New Roman" w:eastAsia="Times New Roman" w:hAnsi="Times New Roman"/>
          <w:sz w:val="24"/>
          <w:szCs w:val="24"/>
          <w:lang w:eastAsia="fr-FR"/>
        </w:rPr>
        <w:t xml:space="preserve"> </w:t>
      </w:r>
      <w:r w:rsidR="00B832EF">
        <w:rPr>
          <w:rFonts w:ascii="Times New Roman" w:eastAsia="Times New Roman" w:hAnsi="Times New Roman"/>
          <w:sz w:val="24"/>
          <w:szCs w:val="24"/>
          <w:lang w:eastAsia="fr-FR"/>
        </w:rPr>
        <w:t>de</w:t>
      </w:r>
      <w:r w:rsidR="009C7329">
        <w:rPr>
          <w:rFonts w:ascii="Times New Roman" w:eastAsia="Times New Roman" w:hAnsi="Times New Roman"/>
          <w:sz w:val="24"/>
          <w:szCs w:val="24"/>
          <w:lang w:eastAsia="fr-FR"/>
        </w:rPr>
        <w:t>s</w:t>
      </w:r>
      <w:r w:rsidR="00B832EF">
        <w:rPr>
          <w:rFonts w:ascii="Times New Roman" w:eastAsia="Times New Roman" w:hAnsi="Times New Roman"/>
          <w:sz w:val="24"/>
          <w:szCs w:val="24"/>
          <w:lang w:eastAsia="fr-FR"/>
        </w:rPr>
        <w:t xml:space="preserve"> dix normes environnementales et sociales de la Banque sont pertinentes.</w:t>
      </w:r>
      <w:r w:rsidRPr="00D75D2E">
        <w:rPr>
          <w:rFonts w:ascii="Times New Roman" w:eastAsia="Times New Roman" w:hAnsi="Times New Roman"/>
          <w:sz w:val="24"/>
          <w:szCs w:val="24"/>
          <w:lang w:eastAsia="fr-FR"/>
        </w:rPr>
        <w:t xml:space="preserve"> </w:t>
      </w:r>
    </w:p>
    <w:p w14:paraId="1176A290" w14:textId="77777777"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Il s’agit de : </w:t>
      </w:r>
    </w:p>
    <w:p w14:paraId="0F4726A9" w14:textId="77777777"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1 (Évaluation et gestion des risques et effets environnementaux et sociaux)</w:t>
      </w:r>
      <w:r w:rsidRPr="00D75D2E">
        <w:rPr>
          <w:rFonts w:ascii="Times New Roman" w:eastAsia="Times New Roman" w:hAnsi="Times New Roman"/>
          <w:sz w:val="24"/>
          <w:szCs w:val="24"/>
          <w:lang w:eastAsia="fr-FR"/>
        </w:rPr>
        <w:t xml:space="preserve"> : elle énonce les responsabilités de l’Emprunteur en matière d’évaluation, de gestion et de suivi des risques et effets environnementaux et sociaux, y compris les risques liés à l’EAS/HS associés à chaque étape d’un projet appuyé par la Banque au moyen du mécanisme de Financement de projets d’investissement (FPI), en vue d’atteindre des résultats environnementaux et sociaux compatibles avec les Normes environnementales et sociales (NES) ; </w:t>
      </w:r>
    </w:p>
    <w:p w14:paraId="37A2EBA6" w14:textId="77777777"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2 (Emploi et conditions de travail)</w:t>
      </w:r>
      <w:r w:rsidRPr="00D75D2E">
        <w:rPr>
          <w:rFonts w:ascii="Times New Roman" w:eastAsia="Times New Roman" w:hAnsi="Times New Roman"/>
          <w:sz w:val="24"/>
          <w:szCs w:val="24"/>
          <w:lang w:eastAsia="fr-FR"/>
        </w:rPr>
        <w:t xml:space="preserve"> : elle reconnaît l’importance de la création d’emplois et d’activités génératrices de revenus à des fins de réduction de la pauvreté et de promotion d’une croissance économique solidaire. Les Emprunteurs peuvent promouvoir de bonnes relations entre travailleurs et employeurs et améliorer les retombées d’un projet sur le développement en traitant les travailleurs du projet de façon équitable et en leur offrant des conditions de travail saines et sûres. Tous les travailleurs signeront un code de conduite qui spécifiquement interdit et sanctionne la commission des actes d’EAS/HS et tous les travailleurs recevront des formations en matière d’EAS/HS avant de signer les codes et ensuite régulièrement.</w:t>
      </w:r>
    </w:p>
    <w:p w14:paraId="0037195F" w14:textId="77777777"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Cs/>
          <w:sz w:val="24"/>
          <w:szCs w:val="24"/>
          <w:lang w:eastAsia="fr-FR"/>
        </w:rPr>
        <w:t>La NES n°2</w:t>
      </w:r>
      <w:r w:rsidRPr="00D75D2E">
        <w:rPr>
          <w:rFonts w:ascii="Times New Roman" w:eastAsia="Times New Roman" w:hAnsi="Times New Roman"/>
          <w:sz w:val="24"/>
          <w:szCs w:val="24"/>
          <w:lang w:eastAsia="fr-FR"/>
        </w:rPr>
        <w:t xml:space="preserve"> s’applique aux travailleurs du projet qui sont des travailleurs à temps plein, à temps partiel, temporaires, saisonniers et migrants (travailleurs directs), travailleurs contractuels, aux personnes employées ou recrutées par les fournisseurs principaux, les membres de la communauté ou recrutés pour travailler sur le Projet (travailleurs communautaires). Elle s’applique aussi à : </w:t>
      </w:r>
    </w:p>
    <w:p w14:paraId="5CD511B9" w14:textId="77777777" w:rsidR="00221268" w:rsidRPr="00D75D2E" w:rsidRDefault="00221268" w:rsidP="008C79F0">
      <w:pPr>
        <w:pStyle w:val="Commentaire"/>
        <w:numPr>
          <w:ilvl w:val="0"/>
          <w:numId w:val="143"/>
        </w:numPr>
        <w:suppressAutoHyphens/>
        <w:spacing w:after="0" w:line="20" w:lineRule="atLeast"/>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protection de la main d’œuvre (pour éviter le travail des enfants, travail forces)</w:t>
      </w:r>
    </w:p>
    <w:p w14:paraId="7515D998" w14:textId="77777777" w:rsidR="00221268" w:rsidRPr="00D75D2E" w:rsidRDefault="00221268" w:rsidP="008C79F0">
      <w:pPr>
        <w:pStyle w:val="Commentaire"/>
        <w:numPr>
          <w:ilvl w:val="0"/>
          <w:numId w:val="143"/>
        </w:numPr>
        <w:suppressAutoHyphens/>
        <w:spacing w:after="0" w:line="20" w:lineRule="atLeast"/>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mise sur pied d’un mécanisme de gestion des plaintes des travailleurs,</w:t>
      </w:r>
    </w:p>
    <w:p w14:paraId="6249A051" w14:textId="77777777" w:rsidR="00221268" w:rsidRPr="00D75D2E" w:rsidRDefault="00221268" w:rsidP="008C79F0">
      <w:pPr>
        <w:pStyle w:val="Commentaire"/>
        <w:numPr>
          <w:ilvl w:val="0"/>
          <w:numId w:val="143"/>
        </w:numPr>
        <w:suppressAutoHyphens/>
        <w:spacing w:after="0" w:line="20" w:lineRule="atLeast"/>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l’application des mesures relatives à la santé et sécurité au travail</w:t>
      </w:r>
    </w:p>
    <w:p w14:paraId="3D982642" w14:textId="77777777"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3 (Utilisation rationnelle des ressources et prévention et gestion de la pollution)</w:t>
      </w:r>
      <w:r w:rsidRPr="00D75D2E">
        <w:rPr>
          <w:rFonts w:ascii="Times New Roman" w:eastAsia="Times New Roman" w:hAnsi="Times New Roman"/>
          <w:sz w:val="24"/>
          <w:szCs w:val="24"/>
          <w:lang w:eastAsia="fr-FR"/>
        </w:rPr>
        <w:t xml:space="preserve"> : elle reconnaît que l’activité économique et l’urbanisation sont souvent à l’origine de la pollution de l’air, de l’eau et des sols, et appauvrissent les ressources déjà limitées. Ces effets peuvent menacer les personnes, les services écosystémiques et l’environnement à l’échelle locale, régionale et mondiale, y compris les concentrations atmosphériques actuelles et prévisionnelles de gaz à effet de serre (GES) qui menacent le bien-être des générations actuelles et futures. Pour des projets tel que la construction des routes qui requiert l’utilisation significative des quantités d’eau (pour la compaction, utilisation domestique, l’atténuation de poussière) et d’énergie ( pour l’alimentation des bases vie et des engins), l’utilisation rationnelle de ces ressources est primordiale.</w:t>
      </w:r>
    </w:p>
    <w:p w14:paraId="11007BDC" w14:textId="3F3A7E46" w:rsidR="00221268" w:rsidRPr="00D75D2E" w:rsidRDefault="00221268" w:rsidP="00E737B4">
      <w:pPr>
        <w:pStyle w:val="Commentaire"/>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4 (Santé et sécurité des populations)</w:t>
      </w:r>
      <w:r w:rsidRPr="00D75D2E">
        <w:rPr>
          <w:rFonts w:ascii="Times New Roman" w:eastAsia="Times New Roman" w:hAnsi="Times New Roman"/>
          <w:sz w:val="24"/>
          <w:szCs w:val="24"/>
          <w:lang w:eastAsia="fr-FR"/>
        </w:rPr>
        <w:t xml:space="preserve"> : elle reconnaît que les activités, le matériel et les infrastructures du projet peuvent augmenter leur exposition aux risques et effets néfastes associés au projet. En outre, celles qui subissent déjà l’impact du changement climatique peuvent connaître une accélération ou une intensification de ceux-ci à cause du projet. conformément aux dispositions de la NES 4 ; la  formulation d’un plan d’intervention d’urgence, la mise en place d’un dispositif de la  gestion et la sécurité des matières dangereuses et ma mise en place d’un personnel de sécurité sont requis</w:t>
      </w:r>
      <w:r w:rsidR="00D059A3">
        <w:rPr>
          <w:rFonts w:ascii="Times New Roman" w:eastAsia="Times New Roman" w:hAnsi="Times New Roman"/>
          <w:sz w:val="24"/>
          <w:szCs w:val="24"/>
          <w:lang w:eastAsia="fr-FR"/>
        </w:rPr>
        <w:t xml:space="preserve">. </w:t>
      </w:r>
      <w:r w:rsidR="00D059A3" w:rsidRPr="00AE31F1">
        <w:rPr>
          <w:rFonts w:ascii="Times New Roman" w:eastAsia="Times New Roman" w:hAnsi="Times New Roman"/>
          <w:sz w:val="24"/>
          <w:szCs w:val="24"/>
          <w:lang w:eastAsia="fr-FR"/>
        </w:rPr>
        <w:t>En ce qui concerne l’EAS/HS, l’identification de fournisseurs de services dans les zones d’intervention</w:t>
      </w:r>
      <w:r w:rsidR="00D059A3">
        <w:rPr>
          <w:rFonts w:ascii="Times New Roman" w:eastAsia="Times New Roman" w:hAnsi="Times New Roman"/>
          <w:sz w:val="24"/>
          <w:szCs w:val="24"/>
          <w:lang w:eastAsia="fr-FR"/>
        </w:rPr>
        <w:t xml:space="preserve"> se fera grâce à la cartographie existante, qui devra être mis à jour avant la mise en vigueur du projet</w:t>
      </w:r>
      <w:r w:rsidR="00D059A3" w:rsidRPr="00AE31F1">
        <w:rPr>
          <w:rFonts w:ascii="Times New Roman" w:eastAsia="Times New Roman" w:hAnsi="Times New Roman"/>
          <w:sz w:val="24"/>
          <w:szCs w:val="24"/>
          <w:lang w:eastAsia="fr-FR"/>
        </w:rPr>
        <w:t>, dans le but d´élaborer de circuit de référencement appropriés pour la prise en charge de survivantes</w:t>
      </w:r>
      <w:r w:rsidR="00D059A3">
        <w:rPr>
          <w:rFonts w:ascii="Times New Roman" w:eastAsia="Times New Roman" w:hAnsi="Times New Roman"/>
          <w:sz w:val="24"/>
          <w:szCs w:val="24"/>
          <w:lang w:eastAsia="fr-FR"/>
        </w:rPr>
        <w:t xml:space="preserve"> tout se focalisant sur </w:t>
      </w:r>
      <w:r w:rsidR="00D059A3" w:rsidRPr="00AE31F1">
        <w:rPr>
          <w:rFonts w:ascii="Times New Roman" w:eastAsia="Times New Roman" w:hAnsi="Times New Roman"/>
          <w:sz w:val="24"/>
          <w:szCs w:val="24"/>
          <w:lang w:eastAsia="fr-FR"/>
        </w:rPr>
        <w:t>une approche centrée sur la survivante</w:t>
      </w:r>
    </w:p>
    <w:p w14:paraId="5A9C5E25" w14:textId="77777777" w:rsidR="00221268" w:rsidRPr="00D75D2E" w:rsidRDefault="00221268" w:rsidP="00E737B4">
      <w:pPr>
        <w:spacing w:before="120" w:after="120" w:line="20" w:lineRule="atLeast"/>
        <w:jc w:val="both"/>
        <w:rPr>
          <w:rFonts w:ascii="Times New Roman" w:eastAsia="Times New Roman" w:hAnsi="Times New Roman"/>
          <w:b/>
          <w:i/>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5 (Acquisition de terres, restrictions à l’utilisation de terres et réinstallation involontaire)</w:t>
      </w:r>
      <w:r w:rsidRPr="00D75D2E">
        <w:rPr>
          <w:rFonts w:ascii="Times New Roman" w:eastAsia="Times New Roman" w:hAnsi="Times New Roman"/>
          <w:sz w:val="24"/>
          <w:szCs w:val="24"/>
          <w:lang w:eastAsia="fr-FR"/>
        </w:rPr>
        <w:t xml:space="preserve"> : elle reconnaît que l’acquisition de terres en rapport avec le projet et l’imposition de restrictions à leur utilisation peuvent avoir des effets néfastes sur les communautés et les populations. L’acquisition de terres ou l’imposition de restrictions à l’utilisation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 réinstallation involontaire » se rapporte à ces effets. La réinstallation est considérée comme involontaire lorsque les personnes ou les communautés touchées n’ont pas le droit ou d’autre alternative de refuser l’acquisition de terres ou les restrictions à leur utilisation qui est à l’origine du déplacement.</w:t>
      </w:r>
    </w:p>
    <w:p w14:paraId="3BD48643" w14:textId="097983CE" w:rsidR="00221268" w:rsidRPr="00D75D2E" w:rsidRDefault="00221268" w:rsidP="00E737B4">
      <w:pPr>
        <w:pStyle w:val="Commentaire"/>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6 (Préservation de la biodiversité et gestion durable des ressources naturelles biologiques)</w:t>
      </w:r>
      <w:r w:rsidRPr="00D75D2E">
        <w:rPr>
          <w:rFonts w:ascii="Times New Roman" w:eastAsia="Times New Roman" w:hAnsi="Times New Roman"/>
          <w:sz w:val="24"/>
          <w:szCs w:val="24"/>
          <w:lang w:eastAsia="fr-FR"/>
        </w:rPr>
        <w:t xml:space="preserve"> : elle reconnaît que la protection et la préservation de la biodiversité et la gestion durable des ressources naturelles biologiques sont fondamentales pour le développement durable. La biodiversité désigne la variabilité des organismes vivants de toute origine, y compris, entre autres, les écosystèmes terrestres, marins et autres écosystèmes aquatiques et les complexes écologiques dont ils font partie. Cela comprend la diversité au sein des espèces et entre espèces, ainsi que celle des écosystèmes. Parce que la biodiversité sous-tend souvent les services écosystémiques valorisés par les humains, des effets néfastes sur la diversité biologique peuvent avoir une incidence négative sur ces services. Ce faisant, Bien que ça soit un projet de réhabilitation, le site des emprunts pourrait présenter des indices de biodiversité important. Ce qui induit la nécessité d’une évaluation de la biodiversité lors des EIES</w:t>
      </w:r>
      <w:r w:rsidR="00DB7100">
        <w:rPr>
          <w:rFonts w:ascii="Times New Roman" w:eastAsia="Times New Roman" w:hAnsi="Times New Roman"/>
          <w:sz w:val="24"/>
          <w:szCs w:val="24"/>
          <w:lang w:eastAsia="fr-FR"/>
        </w:rPr>
        <w:t>.</w:t>
      </w:r>
    </w:p>
    <w:p w14:paraId="632F837E" w14:textId="4E347576" w:rsidR="00221268" w:rsidRDefault="00221268" w:rsidP="00E737B4">
      <w:pPr>
        <w:pStyle w:val="Commentaire"/>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C7329">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8 (Patrimoine culturel)</w:t>
      </w:r>
      <w:r w:rsidRPr="00D75D2E">
        <w:rPr>
          <w:rFonts w:ascii="Times New Roman" w:eastAsia="Times New Roman" w:hAnsi="Times New Roman"/>
          <w:sz w:val="24"/>
          <w:szCs w:val="24"/>
          <w:lang w:eastAsia="fr-FR"/>
        </w:rPr>
        <w:t xml:space="preserve"> : elle reconnaît que le patrimoine culturel permet d’assurer la continuité entre le passé, le présent et l’avenir de façon tangible ou intangible. Les individus s’identifient à leur patrimoine culturel comme étant le reflet et l’expression de leurs valeurs, croyances, savoirs et traditions en constante évolution. Par ses nombreux aspects, le patrimoine culturel est important en ce qu’il est une source de précieuses informations scientifiques et </w:t>
      </w:r>
      <w:r w:rsidR="0016501C" w:rsidRPr="00D75D2E">
        <w:rPr>
          <w:rFonts w:ascii="Times New Roman" w:eastAsia="Times New Roman" w:hAnsi="Times New Roman"/>
          <w:sz w:val="24"/>
          <w:szCs w:val="24"/>
          <w:lang w:eastAsia="fr-FR"/>
        </w:rPr>
        <w:t xml:space="preserve">historiques, </w:t>
      </w:r>
      <w:r w:rsidR="0016501C" w:rsidRPr="00D75D2E">
        <w:t>mais</w:t>
      </w:r>
      <w:r w:rsidRPr="00D75D2E">
        <w:rPr>
          <w:rFonts w:ascii="Times New Roman" w:eastAsia="Times New Roman" w:hAnsi="Times New Roman"/>
          <w:sz w:val="24"/>
          <w:szCs w:val="24"/>
          <w:lang w:eastAsia="fr-FR"/>
        </w:rPr>
        <w:t xml:space="preserve"> aussi une source de revenu économique pour les populations concernées ou l’ensemble du pays, un atout économique et social pour le développement, et une partie intégrante de l’identité et de la pratique culturelles d’un peuple. La NES no 8 énonce des mesures destinées à protéger le patrimoine culturel y compris les découvertes aléatoires tout au long du cycle de vie du projet.</w:t>
      </w:r>
    </w:p>
    <w:p w14:paraId="5D83366B" w14:textId="235AE671" w:rsidR="005F738E" w:rsidRDefault="00221268" w:rsidP="00AE31F1">
      <w:pPr>
        <w:pStyle w:val="Commentaire"/>
        <w:jc w:val="both"/>
        <w:rPr>
          <w:rFonts w:ascii="Times New Roman" w:eastAsia="Times New Roman" w:hAnsi="Times New Roman"/>
          <w:sz w:val="24"/>
          <w:szCs w:val="24"/>
          <w:lang w:eastAsia="fr-FR"/>
        </w:rPr>
      </w:pPr>
      <w:r w:rsidRPr="00D75D2E">
        <w:rPr>
          <w:rFonts w:ascii="Times New Roman" w:eastAsia="Times New Roman" w:hAnsi="Times New Roman"/>
          <w:b/>
          <w:i/>
          <w:sz w:val="24"/>
          <w:szCs w:val="24"/>
          <w:lang w:eastAsia="fr-FR"/>
        </w:rPr>
        <w:t xml:space="preserve">NES </w:t>
      </w:r>
      <w:r w:rsidR="00992D95">
        <w:rPr>
          <w:rFonts w:ascii="Times New Roman" w:eastAsia="Times New Roman" w:hAnsi="Times New Roman"/>
          <w:b/>
          <w:i/>
          <w:sz w:val="24"/>
          <w:szCs w:val="24"/>
          <w:lang w:eastAsia="fr-FR"/>
        </w:rPr>
        <w:t>N°</w:t>
      </w:r>
      <w:r w:rsidRPr="00D75D2E">
        <w:rPr>
          <w:rFonts w:ascii="Times New Roman" w:eastAsia="Times New Roman" w:hAnsi="Times New Roman"/>
          <w:b/>
          <w:i/>
          <w:sz w:val="24"/>
          <w:szCs w:val="24"/>
          <w:lang w:eastAsia="fr-FR"/>
        </w:rPr>
        <w:t>10 (Mobilisation des parties prenantes et information) :</w:t>
      </w:r>
      <w:r w:rsidRPr="00D75D2E">
        <w:rPr>
          <w:rFonts w:ascii="Times New Roman" w:eastAsia="Times New Roman" w:hAnsi="Times New Roman"/>
          <w:sz w:val="24"/>
          <w:szCs w:val="24"/>
          <w:lang w:eastAsia="fr-FR"/>
        </w:rPr>
        <w:t xml:space="preserve"> elle reconnaît l’importance d’une collaboration ouverte et transparente entre l’Emprunteur et les parties prenantes du projet, élément essentiel des bonnes pratiques internationales. La mobilisation effective des parties prenantes peut améliorer la durabilité environnementale et sociale des projets, renforcer l’adhésion aux projets, et contribuer sensiblement à une conception et une mise en œuvre réussies du projet. </w:t>
      </w:r>
      <w:r w:rsidR="00D059A3" w:rsidRPr="00AE31F1">
        <w:rPr>
          <w:rFonts w:ascii="Times New Roman" w:eastAsia="Times New Roman" w:hAnsi="Times New Roman"/>
          <w:sz w:val="24"/>
          <w:szCs w:val="24"/>
          <w:lang w:eastAsia="fr-FR"/>
        </w:rPr>
        <w:t>Les différentes</w:t>
      </w:r>
      <w:r w:rsidR="00D059A3" w:rsidRPr="00D059A3">
        <w:rPr>
          <w:rFonts w:ascii="Times New Roman" w:eastAsia="Times New Roman" w:hAnsi="Times New Roman"/>
          <w:sz w:val="24"/>
          <w:szCs w:val="24"/>
          <w:lang w:eastAsia="fr-FR"/>
        </w:rPr>
        <w:t xml:space="preserve"> couches des communautés seront</w:t>
      </w:r>
      <w:r w:rsidR="00D059A3">
        <w:rPr>
          <w:rFonts w:ascii="Times New Roman" w:eastAsia="Times New Roman" w:hAnsi="Times New Roman"/>
          <w:sz w:val="24"/>
          <w:szCs w:val="24"/>
          <w:lang w:eastAsia="fr-FR"/>
        </w:rPr>
        <w:t xml:space="preserve"> </w:t>
      </w:r>
      <w:r w:rsidR="00D059A3" w:rsidRPr="00AE31F1">
        <w:rPr>
          <w:rFonts w:ascii="Times New Roman" w:eastAsia="Times New Roman" w:hAnsi="Times New Roman"/>
          <w:sz w:val="24"/>
          <w:szCs w:val="24"/>
          <w:lang w:eastAsia="fr-FR"/>
        </w:rPr>
        <w:t>mobilisées/consultées, y compris les femmes et des autres groupes de personnes défavorisés dans le but de recueillir leurs préoccupations en matière sanitaire, sécuritaire et leur bien-être.</w:t>
      </w:r>
      <w:r w:rsidR="00D059A3">
        <w:t xml:space="preserve"> </w:t>
      </w:r>
    </w:p>
    <w:p w14:paraId="3D974CA8" w14:textId="77777777" w:rsidR="00911575" w:rsidRDefault="005F738E" w:rsidP="00E737B4">
      <w:pPr>
        <w:spacing w:before="120" w:after="120" w:line="20" w:lineRule="atLeast"/>
        <w:jc w:val="both"/>
        <w:rPr>
          <w:rFonts w:ascii="Times New Roman" w:hAnsi="Times New Roman"/>
          <w:bCs/>
          <w:sz w:val="24"/>
          <w:szCs w:val="24"/>
        </w:rPr>
      </w:pPr>
      <w:r w:rsidRPr="005F738E">
        <w:rPr>
          <w:rFonts w:ascii="Times New Roman" w:eastAsia="Times New Roman" w:hAnsi="Times New Roman"/>
          <w:sz w:val="24"/>
          <w:szCs w:val="24"/>
          <w:lang w:eastAsia="fr-FR"/>
        </w:rPr>
        <w:t xml:space="preserve">La </w:t>
      </w:r>
      <w:r w:rsidRPr="00800248">
        <w:rPr>
          <w:rFonts w:ascii="Times New Roman" w:eastAsia="Times New Roman" w:hAnsi="Times New Roman"/>
          <w:b/>
          <w:sz w:val="24"/>
          <w:szCs w:val="24"/>
          <w:lang w:eastAsia="fr-FR"/>
        </w:rPr>
        <w:t>NES N°7</w:t>
      </w:r>
      <w:r w:rsidRPr="005F738E">
        <w:rPr>
          <w:rFonts w:ascii="Times New Roman" w:eastAsia="Times New Roman" w:hAnsi="Times New Roman"/>
          <w:sz w:val="24"/>
          <w:szCs w:val="24"/>
          <w:lang w:eastAsia="fr-FR"/>
        </w:rPr>
        <w:t xml:space="preserve"> (</w:t>
      </w:r>
      <w:r w:rsidRPr="00800248">
        <w:rPr>
          <w:rFonts w:ascii="Times New Roman" w:hAnsi="Times New Roman"/>
          <w:sz w:val="24"/>
          <w:szCs w:val="24"/>
        </w:rPr>
        <w:t>Peuples autochtones/ Communautés locales traditionnelles d’Afrique subsaharienne historiquement défavorisées</w:t>
      </w:r>
      <w:r w:rsidRPr="005F738E">
        <w:rPr>
          <w:rFonts w:ascii="Times New Roman" w:hAnsi="Times New Roman"/>
          <w:sz w:val="24"/>
          <w:szCs w:val="24"/>
        </w:rPr>
        <w:t xml:space="preserve">) n’est </w:t>
      </w:r>
      <w:r w:rsidRPr="00800248">
        <w:rPr>
          <w:rFonts w:ascii="Times New Roman" w:hAnsi="Times New Roman"/>
          <w:sz w:val="24"/>
          <w:szCs w:val="24"/>
        </w:rPr>
        <w:t>pas pertinente pour le sous-projet objet de la présente étude étant donné qu’il s’exécute en milieu urbain exempt de la présence des peuples autochtones</w:t>
      </w:r>
      <w:r w:rsidRPr="00800248">
        <w:rPr>
          <w:rFonts w:ascii="Times New Roman" w:hAnsi="Times New Roman"/>
          <w:bCs/>
          <w:sz w:val="24"/>
          <w:szCs w:val="24"/>
        </w:rPr>
        <w:t xml:space="preserve">. </w:t>
      </w:r>
    </w:p>
    <w:p w14:paraId="68AEA61A" w14:textId="67DFB226" w:rsidR="00911575" w:rsidRDefault="0015450C" w:rsidP="00E737B4">
      <w:pPr>
        <w:spacing w:before="120" w:after="120" w:line="20" w:lineRule="atLeast"/>
        <w:jc w:val="both"/>
        <w:rPr>
          <w:rFonts w:ascii="Times New Roman" w:hAnsi="Times New Roman"/>
          <w:sz w:val="24"/>
          <w:szCs w:val="24"/>
        </w:rPr>
      </w:pPr>
      <w:r>
        <w:rPr>
          <w:rFonts w:ascii="Times New Roman" w:hAnsi="Times New Roman"/>
          <w:bCs/>
          <w:sz w:val="24"/>
          <w:szCs w:val="24"/>
        </w:rPr>
        <w:t xml:space="preserve">En effet, la ville de Kinshasa, est une ville </w:t>
      </w:r>
      <w:r w:rsidR="00D014D6">
        <w:rPr>
          <w:rFonts w:ascii="Times New Roman" w:hAnsi="Times New Roman"/>
          <w:bCs/>
          <w:sz w:val="24"/>
          <w:szCs w:val="24"/>
        </w:rPr>
        <w:t>cosm</w:t>
      </w:r>
      <w:r>
        <w:rPr>
          <w:rFonts w:ascii="Times New Roman" w:hAnsi="Times New Roman"/>
          <w:bCs/>
          <w:sz w:val="24"/>
          <w:szCs w:val="24"/>
        </w:rPr>
        <w:t>opolite</w:t>
      </w:r>
      <w:r w:rsidR="00911575">
        <w:rPr>
          <w:rFonts w:ascii="Times New Roman" w:hAnsi="Times New Roman"/>
          <w:bCs/>
          <w:sz w:val="24"/>
          <w:szCs w:val="24"/>
        </w:rPr>
        <w:t xml:space="preserve"> où </w:t>
      </w:r>
      <w:r w:rsidR="00D014D6">
        <w:rPr>
          <w:rFonts w:ascii="Times New Roman" w:hAnsi="Times New Roman"/>
          <w:bCs/>
          <w:sz w:val="24"/>
          <w:szCs w:val="24"/>
        </w:rPr>
        <w:t xml:space="preserve">il n’existe aucun habitat des </w:t>
      </w:r>
      <w:r w:rsidRPr="0015450C">
        <w:rPr>
          <w:rFonts w:ascii="Times New Roman" w:hAnsi="Times New Roman"/>
          <w:sz w:val="24"/>
          <w:szCs w:val="24"/>
        </w:rPr>
        <w:t>Peuples autochtones/Communautés locales traditionnelles d’Afrique subsaharienne historiquement défavorisées</w:t>
      </w:r>
      <w:r>
        <w:rPr>
          <w:rFonts w:ascii="Times New Roman" w:hAnsi="Times New Roman"/>
          <w:sz w:val="24"/>
          <w:szCs w:val="24"/>
        </w:rPr>
        <w:t xml:space="preserve"> désigner exclu</w:t>
      </w:r>
      <w:r w:rsidRPr="0015450C">
        <w:rPr>
          <w:rFonts w:ascii="Times New Roman" w:hAnsi="Times New Roman"/>
          <w:sz w:val="24"/>
          <w:szCs w:val="24"/>
        </w:rPr>
        <w:t>sivement un groupe soci</w:t>
      </w:r>
      <w:r>
        <w:rPr>
          <w:rFonts w:ascii="Times New Roman" w:hAnsi="Times New Roman"/>
          <w:sz w:val="24"/>
          <w:szCs w:val="24"/>
        </w:rPr>
        <w:t>al et culturel distinct, présen</w:t>
      </w:r>
      <w:r w:rsidRPr="0015450C">
        <w:rPr>
          <w:rFonts w:ascii="Times New Roman" w:hAnsi="Times New Roman"/>
          <w:sz w:val="24"/>
          <w:szCs w:val="24"/>
        </w:rPr>
        <w:t xml:space="preserve">tant les caractéristiques suivantes à des degrés divers : </w:t>
      </w:r>
    </w:p>
    <w:p w14:paraId="189DD13B" w14:textId="3D0F1213" w:rsidR="00911575" w:rsidRDefault="00911575" w:rsidP="00215867">
      <w:pPr>
        <w:pStyle w:val="Paragraphedeliste"/>
        <w:numPr>
          <w:ilvl w:val="0"/>
          <w:numId w:val="360"/>
        </w:numPr>
        <w:spacing w:before="120" w:after="120" w:line="20" w:lineRule="atLeast"/>
        <w:jc w:val="both"/>
        <w:rPr>
          <w:rFonts w:ascii="Times New Roman" w:hAnsi="Times New Roman"/>
          <w:sz w:val="24"/>
          <w:szCs w:val="24"/>
        </w:rPr>
      </w:pPr>
      <w:r>
        <w:rPr>
          <w:rFonts w:ascii="Times New Roman" w:hAnsi="Times New Roman"/>
          <w:sz w:val="24"/>
          <w:szCs w:val="24"/>
        </w:rPr>
        <w:t>Le</w:t>
      </w:r>
      <w:r w:rsidR="0015450C" w:rsidRPr="00215867">
        <w:rPr>
          <w:rFonts w:ascii="Times New Roman" w:hAnsi="Times New Roman"/>
          <w:sz w:val="24"/>
          <w:szCs w:val="24"/>
        </w:rPr>
        <w:t xml:space="preserve"> sentiment d’appartenance à un groupe socioculturel autochtone distinct et la reconnaissance de ce</w:t>
      </w:r>
      <w:r w:rsidRPr="00215867">
        <w:rPr>
          <w:rFonts w:ascii="Times New Roman" w:hAnsi="Times New Roman"/>
          <w:sz w:val="24"/>
          <w:szCs w:val="24"/>
        </w:rPr>
        <w:t xml:space="preserve">tte identité par les autres ; </w:t>
      </w:r>
      <w:r w:rsidR="0015450C" w:rsidRPr="00215867">
        <w:rPr>
          <w:rFonts w:ascii="Times New Roman" w:hAnsi="Times New Roman"/>
          <w:sz w:val="24"/>
          <w:szCs w:val="24"/>
        </w:rPr>
        <w:t xml:space="preserve"> </w:t>
      </w:r>
    </w:p>
    <w:p w14:paraId="735C60AD" w14:textId="6125C608" w:rsidR="00911575" w:rsidRDefault="00911575" w:rsidP="00215867">
      <w:pPr>
        <w:pStyle w:val="Paragraphedeliste"/>
        <w:numPr>
          <w:ilvl w:val="0"/>
          <w:numId w:val="360"/>
        </w:numPr>
        <w:spacing w:before="120" w:after="120" w:line="20" w:lineRule="atLeast"/>
        <w:jc w:val="both"/>
        <w:rPr>
          <w:rFonts w:ascii="Times New Roman" w:hAnsi="Times New Roman"/>
          <w:sz w:val="24"/>
          <w:szCs w:val="24"/>
        </w:rPr>
      </w:pPr>
      <w:r>
        <w:rPr>
          <w:rFonts w:ascii="Times New Roman" w:hAnsi="Times New Roman"/>
          <w:sz w:val="24"/>
          <w:szCs w:val="24"/>
        </w:rPr>
        <w:t>L</w:t>
      </w:r>
      <w:r w:rsidR="0015450C" w:rsidRPr="00215867">
        <w:rPr>
          <w:rFonts w:ascii="Times New Roman" w:hAnsi="Times New Roman"/>
          <w:sz w:val="24"/>
          <w:szCs w:val="24"/>
        </w:rPr>
        <w:t xml:space="preserve">’attachement collectif à des habitats géographiquement distincts, des territoires ancestraux ou des zones exploitées ou occupées de manière saisonnière, ainsi qu’aux ressources naturelles qui </w:t>
      </w:r>
      <w:r w:rsidRPr="00215867">
        <w:rPr>
          <w:rFonts w:ascii="Times New Roman" w:hAnsi="Times New Roman"/>
          <w:sz w:val="24"/>
          <w:szCs w:val="24"/>
        </w:rPr>
        <w:t xml:space="preserve">se trouvent dans ces zones ; </w:t>
      </w:r>
    </w:p>
    <w:p w14:paraId="391C074C" w14:textId="4814C846" w:rsidR="00911575" w:rsidRDefault="00911575" w:rsidP="00215867">
      <w:pPr>
        <w:pStyle w:val="Paragraphedeliste"/>
        <w:numPr>
          <w:ilvl w:val="0"/>
          <w:numId w:val="360"/>
        </w:numPr>
        <w:spacing w:before="120" w:after="120" w:line="20" w:lineRule="atLeast"/>
        <w:jc w:val="both"/>
        <w:rPr>
          <w:rFonts w:ascii="Times New Roman" w:hAnsi="Times New Roman"/>
          <w:sz w:val="24"/>
          <w:szCs w:val="24"/>
        </w:rPr>
      </w:pPr>
      <w:r>
        <w:rPr>
          <w:rFonts w:ascii="Times New Roman" w:hAnsi="Times New Roman"/>
          <w:sz w:val="24"/>
          <w:szCs w:val="24"/>
        </w:rPr>
        <w:t>L</w:t>
      </w:r>
      <w:r w:rsidR="0015450C" w:rsidRPr="00215867">
        <w:rPr>
          <w:rFonts w:ascii="Times New Roman" w:hAnsi="Times New Roman"/>
          <w:sz w:val="24"/>
          <w:szCs w:val="24"/>
        </w:rPr>
        <w:t>es institutions culturelles, économiques, sociales ou politiques coutumières distinctes ou séparées de celles de la société o</w:t>
      </w:r>
      <w:r w:rsidRPr="00215867">
        <w:rPr>
          <w:rFonts w:ascii="Times New Roman" w:hAnsi="Times New Roman"/>
          <w:sz w:val="24"/>
          <w:szCs w:val="24"/>
        </w:rPr>
        <w:t xml:space="preserve">u de la culture dominantes ; </w:t>
      </w:r>
      <w:r>
        <w:rPr>
          <w:rFonts w:ascii="Times New Roman" w:hAnsi="Times New Roman"/>
          <w:sz w:val="24"/>
          <w:szCs w:val="24"/>
        </w:rPr>
        <w:t>et</w:t>
      </w:r>
    </w:p>
    <w:p w14:paraId="5CAEE5D5" w14:textId="2602577D" w:rsidR="0015450C" w:rsidRPr="00215867" w:rsidRDefault="00911575" w:rsidP="00215867">
      <w:pPr>
        <w:pStyle w:val="Paragraphedeliste"/>
        <w:numPr>
          <w:ilvl w:val="0"/>
          <w:numId w:val="360"/>
        </w:numPr>
        <w:spacing w:before="120" w:after="120" w:line="20" w:lineRule="atLeast"/>
        <w:jc w:val="both"/>
        <w:rPr>
          <w:rFonts w:ascii="Times New Roman" w:hAnsi="Times New Roman"/>
          <w:sz w:val="24"/>
          <w:szCs w:val="24"/>
        </w:rPr>
      </w:pPr>
      <w:r>
        <w:rPr>
          <w:rFonts w:ascii="Times New Roman" w:hAnsi="Times New Roman"/>
          <w:sz w:val="24"/>
          <w:szCs w:val="24"/>
        </w:rPr>
        <w:t>U</w:t>
      </w:r>
      <w:r w:rsidR="0015450C" w:rsidRPr="00215867">
        <w:rPr>
          <w:rFonts w:ascii="Times New Roman" w:hAnsi="Times New Roman"/>
          <w:sz w:val="24"/>
          <w:szCs w:val="24"/>
        </w:rPr>
        <w:t>ne langue ou un dialecte distinct, souvent différents de la langue ou des langues officielles du pays ou de la région dans lesquels il</w:t>
      </w:r>
      <w:r w:rsidR="00F158FB">
        <w:rPr>
          <w:rFonts w:ascii="Times New Roman" w:hAnsi="Times New Roman"/>
          <w:sz w:val="24"/>
          <w:szCs w:val="24"/>
        </w:rPr>
        <w:t>s</w:t>
      </w:r>
      <w:r w:rsidR="0015450C" w:rsidRPr="00215867">
        <w:rPr>
          <w:rFonts w:ascii="Times New Roman" w:hAnsi="Times New Roman"/>
          <w:sz w:val="24"/>
          <w:szCs w:val="24"/>
        </w:rPr>
        <w:t xml:space="preserve"> vi</w:t>
      </w:r>
      <w:r w:rsidR="00F158FB">
        <w:rPr>
          <w:rFonts w:ascii="Times New Roman" w:hAnsi="Times New Roman"/>
          <w:sz w:val="24"/>
          <w:szCs w:val="24"/>
        </w:rPr>
        <w:t>ven</w:t>
      </w:r>
      <w:r w:rsidR="0015450C" w:rsidRPr="00215867">
        <w:rPr>
          <w:rFonts w:ascii="Times New Roman" w:hAnsi="Times New Roman"/>
          <w:sz w:val="24"/>
          <w:szCs w:val="24"/>
        </w:rPr>
        <w:t>t.</w:t>
      </w:r>
    </w:p>
    <w:p w14:paraId="38E1C0DB" w14:textId="54E91E88" w:rsidR="000425B9" w:rsidRPr="00215867" w:rsidRDefault="000425B9" w:rsidP="00215867">
      <w:pPr>
        <w:ind w:left="-142"/>
        <w:jc w:val="both"/>
        <w:rPr>
          <w:rFonts w:ascii="Times New Roman" w:hAnsi="Times New Roman"/>
          <w:sz w:val="24"/>
          <w:szCs w:val="24"/>
          <w:lang w:val="fr-CD"/>
        </w:rPr>
      </w:pPr>
      <w:r w:rsidRPr="00215867">
        <w:rPr>
          <w:rFonts w:ascii="Times New Roman" w:hAnsi="Times New Roman"/>
          <w:bCs/>
          <w:sz w:val="24"/>
          <w:szCs w:val="24"/>
        </w:rPr>
        <w:t xml:space="preserve">L’aire du projet objet de l’EIES dans la ville de Kinshasa (Directions de SNEL de  Kinshasa Centre et Kinshasa Sud) est constituée des communes suivantes : </w:t>
      </w:r>
      <w:r w:rsidRPr="00215867">
        <w:rPr>
          <w:rFonts w:ascii="Times New Roman" w:hAnsi="Times New Roman"/>
          <w:sz w:val="24"/>
          <w:szCs w:val="24"/>
          <w:lang w:val="fr-CD"/>
        </w:rPr>
        <w:t xml:space="preserve">Bandalungwa,  </w:t>
      </w:r>
      <w:r w:rsidR="0081725D">
        <w:rPr>
          <w:rFonts w:ascii="Times New Roman" w:hAnsi="Times New Roman"/>
          <w:sz w:val="24"/>
          <w:szCs w:val="24"/>
          <w:lang w:val="fr-CD"/>
        </w:rPr>
        <w:t xml:space="preserve">Barumbu </w:t>
      </w:r>
      <w:r w:rsidRPr="00215867">
        <w:rPr>
          <w:rFonts w:ascii="Times New Roman" w:hAnsi="Times New Roman"/>
          <w:sz w:val="24"/>
          <w:szCs w:val="24"/>
          <w:lang w:val="fr-CD"/>
        </w:rPr>
        <w:t>Bumbu, Kalamu, Kimbanseke, Kintambo, Makala, Mont-Ngafula Ngaliema, Ngiri-Ngiri</w:t>
      </w:r>
      <w:r w:rsidR="0081725D">
        <w:rPr>
          <w:rFonts w:ascii="Times New Roman" w:hAnsi="Times New Roman"/>
          <w:sz w:val="24"/>
          <w:szCs w:val="24"/>
          <w:lang w:val="fr-CD"/>
        </w:rPr>
        <w:t xml:space="preserve">, </w:t>
      </w:r>
      <w:r w:rsidRPr="00215867">
        <w:rPr>
          <w:rFonts w:ascii="Times New Roman" w:hAnsi="Times New Roman"/>
          <w:sz w:val="24"/>
          <w:szCs w:val="24"/>
          <w:lang w:val="fr-CD"/>
        </w:rPr>
        <w:t xml:space="preserve"> et Selembao</w:t>
      </w:r>
    </w:p>
    <w:p w14:paraId="27F2F841" w14:textId="62F77D6F" w:rsidR="0019702E" w:rsidRPr="00800248" w:rsidRDefault="005F738E" w:rsidP="00E737B4">
      <w:pPr>
        <w:spacing w:before="120" w:after="120" w:line="20" w:lineRule="atLeast"/>
        <w:jc w:val="both"/>
        <w:rPr>
          <w:rFonts w:ascii="Times New Roman" w:hAnsi="Times New Roman"/>
          <w:bCs/>
          <w:sz w:val="24"/>
          <w:szCs w:val="24"/>
        </w:rPr>
      </w:pPr>
      <w:r w:rsidRPr="00800248">
        <w:rPr>
          <w:rFonts w:ascii="Times New Roman" w:hAnsi="Times New Roman"/>
          <w:bCs/>
          <w:sz w:val="24"/>
          <w:szCs w:val="24"/>
        </w:rPr>
        <w:t xml:space="preserve">Il en est de même de la </w:t>
      </w:r>
      <w:r w:rsidRPr="00800248">
        <w:rPr>
          <w:rFonts w:ascii="Times New Roman" w:hAnsi="Times New Roman"/>
          <w:b/>
          <w:bCs/>
          <w:sz w:val="24"/>
          <w:szCs w:val="24"/>
        </w:rPr>
        <w:t>NES N°9</w:t>
      </w:r>
      <w:r w:rsidRPr="00800248">
        <w:rPr>
          <w:rFonts w:ascii="Times New Roman" w:hAnsi="Times New Roman"/>
          <w:bCs/>
          <w:sz w:val="24"/>
          <w:szCs w:val="24"/>
        </w:rPr>
        <w:t xml:space="preserve"> (Intermédiaires financier</w:t>
      </w:r>
      <w:r w:rsidR="00A93400">
        <w:rPr>
          <w:rFonts w:ascii="Times New Roman" w:hAnsi="Times New Roman"/>
          <w:bCs/>
          <w:sz w:val="24"/>
          <w:szCs w:val="24"/>
        </w:rPr>
        <w:t>s)</w:t>
      </w:r>
      <w:r w:rsidRPr="00800248">
        <w:rPr>
          <w:rFonts w:ascii="Times New Roman" w:hAnsi="Times New Roman"/>
          <w:bCs/>
          <w:sz w:val="24"/>
          <w:szCs w:val="24"/>
        </w:rPr>
        <w:t xml:space="preserve"> qui n’est pas</w:t>
      </w:r>
      <w:r w:rsidR="00A93400">
        <w:rPr>
          <w:rFonts w:ascii="Times New Roman" w:hAnsi="Times New Roman"/>
          <w:bCs/>
          <w:sz w:val="24"/>
          <w:szCs w:val="24"/>
        </w:rPr>
        <w:t xml:space="preserve"> </w:t>
      </w:r>
      <w:r w:rsidRPr="00800248">
        <w:rPr>
          <w:rFonts w:ascii="Times New Roman" w:hAnsi="Times New Roman"/>
          <w:bCs/>
          <w:sz w:val="24"/>
          <w:szCs w:val="24"/>
        </w:rPr>
        <w:t>pertinent</w:t>
      </w:r>
      <w:r w:rsidR="00A93400">
        <w:rPr>
          <w:rFonts w:ascii="Times New Roman" w:hAnsi="Times New Roman"/>
          <w:bCs/>
          <w:sz w:val="24"/>
          <w:szCs w:val="24"/>
        </w:rPr>
        <w:t>e</w:t>
      </w:r>
      <w:r w:rsidRPr="00800248">
        <w:rPr>
          <w:rFonts w:ascii="Times New Roman" w:hAnsi="Times New Roman"/>
          <w:bCs/>
          <w:sz w:val="24"/>
          <w:szCs w:val="24"/>
        </w:rPr>
        <w:t xml:space="preserve"> pour le sous-projet du fait qu’il ne bénéficie pas de financement émanant du marché financier au titre de prêt fourni par un intermédiaire</w:t>
      </w:r>
      <w:r w:rsidR="00A93400" w:rsidRPr="00A93400">
        <w:rPr>
          <w:rFonts w:ascii="Times New Roman" w:hAnsi="Times New Roman"/>
          <w:bCs/>
          <w:sz w:val="24"/>
          <w:szCs w:val="24"/>
        </w:rPr>
        <w:t xml:space="preserve"> financier.</w:t>
      </w:r>
      <w:r w:rsidRPr="00800248">
        <w:rPr>
          <w:rFonts w:ascii="Times New Roman" w:hAnsi="Times New Roman"/>
          <w:bCs/>
          <w:sz w:val="24"/>
          <w:szCs w:val="24"/>
        </w:rPr>
        <w:t xml:space="preserve"> </w:t>
      </w:r>
    </w:p>
    <w:p w14:paraId="2F2A92FB" w14:textId="77777777" w:rsidR="00221268" w:rsidRPr="00D75D2E" w:rsidRDefault="00221268" w:rsidP="00E737B4">
      <w:pPr>
        <w:spacing w:before="120" w:after="120" w:line="20" w:lineRule="atLeast"/>
        <w:jc w:val="both"/>
        <w:rPr>
          <w:rFonts w:ascii="Times New Roman" w:hAnsi="Times New Roman"/>
          <w:b/>
          <w:bCs/>
          <w:i/>
        </w:rPr>
      </w:pPr>
      <w:r w:rsidRPr="00D75D2E">
        <w:rPr>
          <w:rFonts w:ascii="Times New Roman" w:hAnsi="Times New Roman"/>
          <w:b/>
          <w:bCs/>
          <w:i/>
        </w:rPr>
        <w:t>Exigences du CES de la Banque mondiale par le projet et dispositions nationales pertinentes</w:t>
      </w:r>
    </w:p>
    <w:p w14:paraId="0F5577F6" w14:textId="77777777" w:rsidR="001970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L’analyse des points de convergence et de divergence entre la législation environnementale et sociale congolaise et les Normes Environnementales et Sociales qui s’appliquent au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 xml:space="preserve"> vise à mettre en exergue les similitudes ou les divergences avec la législation nationale afin de préconiser des mesures visant à satisfaire les exigences desdites NES et proposer des mesures de mise en œuvre du projet devant combler les insuffisances relevées. </w:t>
      </w:r>
    </w:p>
    <w:p w14:paraId="5CE7C480" w14:textId="77777777" w:rsidR="0025665A" w:rsidRDefault="00221268" w:rsidP="00E737B4">
      <w:pPr>
        <w:spacing w:before="120" w:after="120" w:line="20" w:lineRule="atLeast"/>
        <w:jc w:val="both"/>
        <w:rPr>
          <w:rFonts w:ascii="Times New Roman" w:hAnsi="Times New Roman"/>
          <w:bCs/>
        </w:rPr>
      </w:pPr>
      <w:r w:rsidRPr="00D75D2E">
        <w:rPr>
          <w:rFonts w:ascii="Times New Roman" w:eastAsia="Times New Roman" w:hAnsi="Times New Roman"/>
          <w:sz w:val="24"/>
          <w:szCs w:val="24"/>
          <w:lang w:eastAsia="fr-FR"/>
        </w:rPr>
        <w:t xml:space="preserve">Le Tableau </w:t>
      </w:r>
      <w:r w:rsidR="00EF6C10">
        <w:rPr>
          <w:rFonts w:ascii="Times New Roman" w:eastAsia="Times New Roman" w:hAnsi="Times New Roman"/>
          <w:sz w:val="24"/>
          <w:szCs w:val="24"/>
          <w:lang w:eastAsia="fr-FR"/>
        </w:rPr>
        <w:t>4</w:t>
      </w:r>
      <w:r w:rsidRPr="00D75D2E">
        <w:rPr>
          <w:rFonts w:ascii="Times New Roman" w:eastAsia="Times New Roman" w:hAnsi="Times New Roman"/>
          <w:sz w:val="24"/>
          <w:szCs w:val="24"/>
          <w:lang w:eastAsia="fr-FR"/>
        </w:rPr>
        <w:t xml:space="preserve"> dresse une synthèse des exigences des NES et des dispositions nationales.</w:t>
      </w:r>
      <w:r w:rsidRPr="00D75D2E">
        <w:rPr>
          <w:rFonts w:ascii="Times New Roman" w:hAnsi="Times New Roman"/>
          <w:bCs/>
        </w:rPr>
        <w:t xml:space="preserve"> </w:t>
      </w:r>
    </w:p>
    <w:p w14:paraId="426A3BD1" w14:textId="77777777" w:rsidR="00221268" w:rsidRPr="00D75D2E" w:rsidRDefault="00221268" w:rsidP="00E737B4">
      <w:pPr>
        <w:spacing w:before="120" w:after="120" w:line="20" w:lineRule="atLeast"/>
        <w:jc w:val="both"/>
        <w:rPr>
          <w:rFonts w:ascii="Times New Roman" w:hAnsi="Times New Roman"/>
          <w:bCs/>
          <w:sz w:val="24"/>
          <w:szCs w:val="24"/>
        </w:rPr>
        <w:sectPr w:rsidR="00221268" w:rsidRPr="00D75D2E" w:rsidSect="00AE101C">
          <w:pgSz w:w="11906" w:h="16838"/>
          <w:pgMar w:top="1417" w:right="1417" w:bottom="1417" w:left="1417" w:header="720" w:footer="720" w:gutter="0"/>
          <w:cols w:space="720"/>
          <w:formProt w:val="0"/>
          <w:docGrid w:linePitch="360" w:charSpace="-2049"/>
        </w:sectPr>
      </w:pPr>
      <w:r w:rsidRPr="00D75D2E">
        <w:rPr>
          <w:rFonts w:ascii="Times New Roman" w:hAnsi="Times New Roman"/>
          <w:bCs/>
        </w:rPr>
        <w:t xml:space="preserve"> </w:t>
      </w:r>
      <w:r w:rsidRPr="00D75D2E">
        <w:rPr>
          <w:rFonts w:ascii="Times New Roman" w:hAnsi="Times New Roman"/>
          <w:bCs/>
        </w:rPr>
        <w:br w:type="page"/>
      </w:r>
    </w:p>
    <w:p w14:paraId="00858830" w14:textId="50119C3C" w:rsidR="00221268" w:rsidRDefault="00221268" w:rsidP="00221268">
      <w:pPr>
        <w:tabs>
          <w:tab w:val="left" w:pos="1740"/>
        </w:tabs>
        <w:jc w:val="both"/>
        <w:rPr>
          <w:rFonts w:ascii="Times New Roman" w:eastAsia="Times New Roman" w:hAnsi="Times New Roman"/>
          <w:sz w:val="24"/>
          <w:szCs w:val="21"/>
          <w:lang w:eastAsia="fr-FR"/>
        </w:rPr>
      </w:pPr>
      <w:bookmarkStart w:id="353" w:name="_Toc78602866"/>
      <w:bookmarkStart w:id="354" w:name="_Toc93050266"/>
      <w:r w:rsidRPr="00D75D2E">
        <w:rPr>
          <w:rFonts w:ascii="Times New Roman" w:eastAsia="Times New Roman" w:hAnsi="Times New Roman"/>
          <w:sz w:val="24"/>
          <w:szCs w:val="21"/>
          <w:lang w:eastAsia="fr-FR"/>
        </w:rPr>
        <w:t xml:space="preserve">Tableau </w:t>
      </w:r>
      <w:r w:rsidRPr="00D75D2E">
        <w:rPr>
          <w:rFonts w:ascii="Times New Roman" w:eastAsia="Times New Roman" w:hAnsi="Times New Roman"/>
          <w:sz w:val="24"/>
          <w:szCs w:val="21"/>
          <w:lang w:eastAsia="fr-FR"/>
        </w:rPr>
        <w:fldChar w:fldCharType="begin"/>
      </w:r>
      <w:r w:rsidRPr="00D75D2E">
        <w:rPr>
          <w:rFonts w:ascii="Times New Roman" w:eastAsia="Times New Roman" w:hAnsi="Times New Roman"/>
          <w:sz w:val="24"/>
          <w:szCs w:val="21"/>
          <w:lang w:eastAsia="fr-FR"/>
        </w:rPr>
        <w:instrText xml:space="preserve"> SEQ Tableau \* ARABIC </w:instrText>
      </w:r>
      <w:r w:rsidRPr="00D75D2E">
        <w:rPr>
          <w:rFonts w:ascii="Times New Roman" w:eastAsia="Times New Roman" w:hAnsi="Times New Roman"/>
          <w:sz w:val="24"/>
          <w:szCs w:val="21"/>
          <w:lang w:eastAsia="fr-FR"/>
        </w:rPr>
        <w:fldChar w:fldCharType="separate"/>
      </w:r>
      <w:r w:rsidR="00691EF5">
        <w:rPr>
          <w:rFonts w:ascii="Times New Roman" w:eastAsia="Times New Roman" w:hAnsi="Times New Roman"/>
          <w:noProof/>
          <w:sz w:val="24"/>
          <w:szCs w:val="21"/>
          <w:lang w:eastAsia="fr-FR"/>
        </w:rPr>
        <w:t>4</w:t>
      </w:r>
      <w:r w:rsidRPr="00D75D2E">
        <w:rPr>
          <w:rFonts w:ascii="Times New Roman" w:eastAsia="Times New Roman" w:hAnsi="Times New Roman"/>
          <w:sz w:val="24"/>
          <w:szCs w:val="21"/>
          <w:lang w:eastAsia="fr-FR"/>
        </w:rPr>
        <w:fldChar w:fldCharType="end"/>
      </w:r>
      <w:r w:rsidRPr="00D75D2E">
        <w:rPr>
          <w:rFonts w:ascii="Times New Roman" w:eastAsia="Times New Roman" w:hAnsi="Times New Roman"/>
          <w:sz w:val="24"/>
          <w:szCs w:val="21"/>
          <w:lang w:eastAsia="fr-FR"/>
        </w:rPr>
        <w:t>. Comparaison entre le Cadre environnemental et Social de la RDC avec les NES de la Banque mondiale</w:t>
      </w:r>
      <w:bookmarkEnd w:id="353"/>
      <w:bookmarkEnd w:id="354"/>
    </w:p>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6379"/>
        <w:gridCol w:w="4929"/>
      </w:tblGrid>
      <w:tr w:rsidR="00C4359F" w:rsidRPr="00420C1B" w14:paraId="681269F1" w14:textId="77777777" w:rsidTr="00E737B4">
        <w:trPr>
          <w:tblHeader/>
          <w:jc w:val="center"/>
        </w:trPr>
        <w:tc>
          <w:tcPr>
            <w:tcW w:w="1194" w:type="pct"/>
            <w:shd w:val="clear" w:color="auto" w:fill="92D050"/>
            <w:vAlign w:val="center"/>
          </w:tcPr>
          <w:p w14:paraId="1DC642F3"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147" w:type="pct"/>
            <w:shd w:val="clear" w:color="auto" w:fill="92D050"/>
            <w:vAlign w:val="center"/>
          </w:tcPr>
          <w:p w14:paraId="5A032FE1"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659" w:type="pct"/>
            <w:shd w:val="clear" w:color="auto" w:fill="92D050"/>
            <w:vAlign w:val="center"/>
          </w:tcPr>
          <w:p w14:paraId="7F151D4F" w14:textId="664CE6B0" w:rsidR="00C4359F" w:rsidRPr="00420C1B" w:rsidRDefault="00C4359F" w:rsidP="00777EE5">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6646B176" w14:textId="77777777" w:rsidTr="00E737B4">
        <w:trPr>
          <w:cantSplit/>
          <w:tblHeader/>
          <w:jc w:val="center"/>
        </w:trPr>
        <w:tc>
          <w:tcPr>
            <w:tcW w:w="5000" w:type="pct"/>
            <w:gridSpan w:val="3"/>
            <w:shd w:val="clear" w:color="auto" w:fill="C5E0B3"/>
          </w:tcPr>
          <w:p w14:paraId="25772156" w14:textId="77777777" w:rsidR="00C4359F" w:rsidRPr="00420C1B" w:rsidRDefault="00C4359F" w:rsidP="005232A3">
            <w:pPr>
              <w:spacing w:after="0" w:line="240" w:lineRule="auto"/>
              <w:rPr>
                <w:rFonts w:ascii="Times New Roman" w:hAnsi="Times New Roman"/>
                <w:b/>
                <w:bCs/>
              </w:rPr>
            </w:pPr>
            <w:r w:rsidRPr="00420C1B">
              <w:rPr>
                <w:rFonts w:ascii="Times New Roman" w:hAnsi="Times New Roman"/>
                <w:b/>
                <w:bCs/>
              </w:rPr>
              <w:t>NES 1.  Évaluation et gestion des risques et effets environnementaux et sociaux</w:t>
            </w:r>
          </w:p>
        </w:tc>
      </w:tr>
      <w:tr w:rsidR="00C4359F" w:rsidRPr="00420C1B" w14:paraId="381948E2" w14:textId="77777777" w:rsidTr="00E737B4">
        <w:trPr>
          <w:cantSplit/>
          <w:jc w:val="center"/>
        </w:trPr>
        <w:tc>
          <w:tcPr>
            <w:tcW w:w="1194" w:type="pct"/>
            <w:vAlign w:val="center"/>
          </w:tcPr>
          <w:p w14:paraId="4112F82C"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Répondre aux exigences NES de manière et dans des délais acceptables (y compris pour les installations existantes), gérer les entités associées à la mise en œuvre, déployer des personnes qualifiées, ainsi qu’à des spécialistes indépendants pour les projets à haut risque</w:t>
            </w:r>
          </w:p>
          <w:p w14:paraId="0FC796F0" w14:textId="77777777" w:rsidR="00C4359F" w:rsidRPr="00420C1B" w:rsidRDefault="00C4359F" w:rsidP="005232A3">
            <w:pPr>
              <w:spacing w:after="0" w:line="240" w:lineRule="auto"/>
              <w:rPr>
                <w:rFonts w:ascii="Times New Roman" w:hAnsi="Times New Roman"/>
                <w:i/>
                <w:u w:val="single"/>
              </w:rPr>
            </w:pPr>
            <w:r w:rsidRPr="00420C1B">
              <w:rPr>
                <w:rFonts w:ascii="Times New Roman" w:hAnsi="Times New Roman"/>
                <w:i/>
                <w:iCs/>
              </w:rPr>
              <w:t>Paragraphes 7, 10, 11, 16, 25 et 33</w:t>
            </w:r>
          </w:p>
        </w:tc>
        <w:tc>
          <w:tcPr>
            <w:tcW w:w="2147" w:type="pct"/>
            <w:shd w:val="clear" w:color="auto" w:fill="auto"/>
            <w:vAlign w:val="center"/>
          </w:tcPr>
          <w:p w14:paraId="76F63EB0" w14:textId="77777777" w:rsidR="00C4359F" w:rsidRPr="00420C1B" w:rsidRDefault="00C4359F" w:rsidP="00B832EF">
            <w:pPr>
              <w:spacing w:after="0" w:line="240" w:lineRule="auto"/>
              <w:jc w:val="both"/>
              <w:rPr>
                <w:rFonts w:ascii="Times New Roman" w:hAnsi="Times New Roman"/>
              </w:rPr>
            </w:pPr>
            <w:r w:rsidRPr="00420C1B">
              <w:rPr>
                <w:rFonts w:ascii="Times New Roman" w:hAnsi="Times New Roman"/>
              </w:rPr>
              <w:t xml:space="preserve">La loi n°11/009 du 09 juillet 2011 portant principes fondamentaux relatifs à la protection de l’environnement fixe les principes conformément à l’article 123 point 15 de la  Constitution. </w:t>
            </w:r>
          </w:p>
          <w:p w14:paraId="5FCFED68" w14:textId="77777777" w:rsidR="00C4359F" w:rsidRPr="00420C1B" w:rsidRDefault="00C4359F" w:rsidP="00B832EF">
            <w:pPr>
              <w:spacing w:after="0" w:line="240" w:lineRule="auto"/>
              <w:jc w:val="both"/>
              <w:rPr>
                <w:rFonts w:ascii="Times New Roman" w:hAnsi="Times New Roman"/>
              </w:rPr>
            </w:pPr>
            <w:r w:rsidRPr="00420C1B">
              <w:rPr>
                <w:rFonts w:ascii="Times New Roman" w:hAnsi="Times New Roman"/>
              </w:rPr>
              <w:t>Le décret n°14/019 du 02 août 2014 fixant les règles de fonctionnement des mécanismes procéduraux de la protection de l’environnement. Ces mécanismes sont : EES, EIES, AE et enquête public</w:t>
            </w:r>
          </w:p>
          <w:p w14:paraId="46D39835" w14:textId="77777777" w:rsidR="00C4359F" w:rsidRPr="00420C1B" w:rsidRDefault="00C4359F">
            <w:pPr>
              <w:spacing w:after="0" w:line="240" w:lineRule="auto"/>
              <w:jc w:val="both"/>
              <w:rPr>
                <w:rFonts w:ascii="Times New Roman" w:hAnsi="Times New Roman"/>
              </w:rPr>
            </w:pPr>
            <w:r w:rsidRPr="00420C1B">
              <w:rPr>
                <w:rFonts w:ascii="Times New Roman" w:hAnsi="Times New Roman"/>
              </w:rPr>
              <w:t>La loi n°14/011 du 17 juin 2014 relative au secteur de l’électricité assujetti le développement, d’ouvrage ou d’installation électrique à une EIES préalable assortie du PGES dûment approuvé conformément à la législation sur la protection de l’environnement (Art.12)</w:t>
            </w:r>
          </w:p>
        </w:tc>
        <w:tc>
          <w:tcPr>
            <w:tcW w:w="1659" w:type="pct"/>
            <w:shd w:val="clear" w:color="auto" w:fill="auto"/>
            <w:vAlign w:val="center"/>
          </w:tcPr>
          <w:p w14:paraId="3E82F289" w14:textId="77777777" w:rsidR="00C4359F" w:rsidRPr="00420C1B" w:rsidRDefault="00C4359F" w:rsidP="00E737B4">
            <w:pPr>
              <w:spacing w:before="120" w:after="120" w:line="240" w:lineRule="auto"/>
              <w:jc w:val="both"/>
              <w:rPr>
                <w:rFonts w:ascii="Times New Roman" w:hAnsi="Times New Roman"/>
              </w:rPr>
            </w:pPr>
            <w:r w:rsidRPr="00420C1B">
              <w:rPr>
                <w:rFonts w:ascii="Times New Roman" w:hAnsi="Times New Roman"/>
              </w:rPr>
              <w:t>La législation environnementale nationale ne prévoit aucune classification des projets (haut-risque, risque faible, modèle et substantiel). Elle préconise juste la réalisation d’une EIES pour un projet d’électricité.</w:t>
            </w:r>
          </w:p>
          <w:p w14:paraId="409F3DF9" w14:textId="77777777" w:rsidR="00C4359F" w:rsidRPr="00420C1B" w:rsidRDefault="00C4359F" w:rsidP="00E737B4">
            <w:pPr>
              <w:spacing w:before="120" w:after="120" w:line="240" w:lineRule="auto"/>
              <w:jc w:val="both"/>
              <w:rPr>
                <w:rFonts w:ascii="Times New Roman" w:hAnsi="Times New Roman"/>
              </w:rPr>
            </w:pPr>
            <w:r w:rsidRPr="00420C1B">
              <w:rPr>
                <w:rFonts w:ascii="Times New Roman" w:hAnsi="Times New Roman"/>
              </w:rPr>
              <w:t>La NES de la Banque va s’appliquer pour la sélection et classification des projets.</w:t>
            </w:r>
          </w:p>
        </w:tc>
      </w:tr>
      <w:tr w:rsidR="00C4359F" w:rsidRPr="00420C1B" w14:paraId="033B8FB7" w14:textId="77777777" w:rsidTr="00E737B4">
        <w:trPr>
          <w:cantSplit/>
          <w:jc w:val="center"/>
        </w:trPr>
        <w:tc>
          <w:tcPr>
            <w:tcW w:w="1194" w:type="pct"/>
            <w:vAlign w:val="center"/>
          </w:tcPr>
          <w:p w14:paraId="3D0DCE42"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Convenir d'une "approche commune" pour le financement conjoint avec d'autres IFI (mesures incluses dans le PEES, divulgation d'un seul jeu de documents de projet)</w:t>
            </w:r>
          </w:p>
          <w:p w14:paraId="55AE90BE" w14:textId="77777777" w:rsidR="00C4359F" w:rsidRPr="00420C1B" w:rsidRDefault="00C4359F" w:rsidP="00E737B4">
            <w:pPr>
              <w:spacing w:after="0" w:line="240" w:lineRule="auto"/>
              <w:jc w:val="both"/>
              <w:rPr>
                <w:rFonts w:ascii="Times New Roman" w:hAnsi="Times New Roman"/>
                <w:i/>
                <w:u w:val="single"/>
              </w:rPr>
            </w:pPr>
            <w:r w:rsidRPr="00420C1B">
              <w:rPr>
                <w:rFonts w:ascii="Times New Roman" w:hAnsi="Times New Roman"/>
                <w:i/>
                <w:iCs/>
              </w:rPr>
              <w:t>Paragraphes 9, 12, 13</w:t>
            </w:r>
          </w:p>
        </w:tc>
        <w:tc>
          <w:tcPr>
            <w:tcW w:w="2147" w:type="pct"/>
            <w:shd w:val="clear" w:color="auto" w:fill="auto"/>
            <w:vAlign w:val="center"/>
          </w:tcPr>
          <w:p w14:paraId="24F3AFE7"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 loi n°11/009 préconise des mécanismes de financement par la création d’un Fonds d’intervention pour l’environnement (FIPE), qui assure le financement notamment de la recherche environnementale, de la conservation de la diversité biologique, des opérations d’assainissement, de prévention et de lutte contre la pollution ainsi que de réhabilitation et de restauration des sites ou paysages pollués ou dégradés. </w:t>
            </w:r>
          </w:p>
          <w:p w14:paraId="33AFF375"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 FIPE est un établissement public créé par Décret n°20/031 du 31 octobre 2020 et sous tutelle du ministère de l’environnement et du Développement Durable.</w:t>
            </w:r>
          </w:p>
        </w:tc>
        <w:tc>
          <w:tcPr>
            <w:tcW w:w="1659" w:type="pct"/>
            <w:shd w:val="clear" w:color="auto" w:fill="auto"/>
            <w:vAlign w:val="center"/>
          </w:tcPr>
          <w:p w14:paraId="001B8E5F" w14:textId="77777777" w:rsidR="00C4359F" w:rsidRPr="00420C1B" w:rsidRDefault="00C4359F" w:rsidP="00E737B4">
            <w:pPr>
              <w:spacing w:after="0" w:line="240" w:lineRule="auto"/>
              <w:jc w:val="both"/>
              <w:rPr>
                <w:rFonts w:ascii="Times New Roman" w:hAnsi="Times New Roman"/>
              </w:rPr>
            </w:pPr>
            <w:r w:rsidRPr="00420C1B">
              <w:rPr>
                <w:rFonts w:ascii="Times New Roman" w:hAnsi="Times New Roman"/>
              </w:rPr>
              <w:t xml:space="preserve">La législation nationale n’est pas assez claire quant à l’approche commune pour le financement conjoint avec d’autres IFI. Elle ne précise pas non plus les partenaires devant participer dans le financement des activités environnementales. </w:t>
            </w:r>
          </w:p>
          <w:p w14:paraId="3C319533" w14:textId="77777777" w:rsidR="00C4359F" w:rsidRPr="00420C1B" w:rsidRDefault="00C4359F" w:rsidP="00E737B4">
            <w:pPr>
              <w:spacing w:after="0" w:line="240" w:lineRule="auto"/>
              <w:jc w:val="both"/>
              <w:rPr>
                <w:rFonts w:ascii="Times New Roman" w:hAnsi="Times New Roman"/>
              </w:rPr>
            </w:pPr>
          </w:p>
          <w:p w14:paraId="55359254" w14:textId="77777777" w:rsidR="00C4359F" w:rsidRPr="00420C1B" w:rsidRDefault="00C4359F" w:rsidP="00E737B4">
            <w:pPr>
              <w:spacing w:after="0" w:line="240" w:lineRule="auto"/>
              <w:jc w:val="both"/>
              <w:rPr>
                <w:rFonts w:ascii="Times New Roman" w:hAnsi="Times New Roman"/>
              </w:rPr>
            </w:pPr>
            <w:r w:rsidRPr="00420C1B">
              <w:rPr>
                <w:rFonts w:ascii="Times New Roman" w:hAnsi="Times New Roman"/>
              </w:rPr>
              <w:t>La NES de la Banque va s’appliquer pour fixer les modalités de financement.</w:t>
            </w:r>
          </w:p>
        </w:tc>
      </w:tr>
      <w:tr w:rsidR="00C4359F" w:rsidRPr="00420C1B" w14:paraId="26609051" w14:textId="77777777" w:rsidTr="00E737B4">
        <w:trPr>
          <w:cantSplit/>
          <w:jc w:val="center"/>
        </w:trPr>
        <w:tc>
          <w:tcPr>
            <w:tcW w:w="1194" w:type="pct"/>
            <w:vAlign w:val="center"/>
          </w:tcPr>
          <w:p w14:paraId="1F0501E0"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Évaluer et gérer les installations associées et les risques de la chaîne d'approvisionnement, ou démontrer l'incapacité juridique et institutionnelle de les contrôler ou influencer.</w:t>
            </w:r>
          </w:p>
          <w:p w14:paraId="1E25B02B" w14:textId="77777777" w:rsidR="00C4359F" w:rsidRPr="00420C1B" w:rsidRDefault="00C4359F" w:rsidP="00E737B4">
            <w:pPr>
              <w:spacing w:after="0" w:line="240" w:lineRule="auto"/>
              <w:jc w:val="both"/>
              <w:rPr>
                <w:rFonts w:ascii="Times New Roman" w:hAnsi="Times New Roman"/>
                <w:i/>
                <w:u w:val="single"/>
              </w:rPr>
            </w:pPr>
            <w:r w:rsidRPr="00420C1B">
              <w:rPr>
                <w:rFonts w:ascii="Times New Roman" w:hAnsi="Times New Roman"/>
                <w:i/>
                <w:iCs/>
              </w:rPr>
              <w:t>Paragraphes 10, 11, 30, 32, 36</w:t>
            </w:r>
          </w:p>
        </w:tc>
        <w:tc>
          <w:tcPr>
            <w:tcW w:w="2147" w:type="pct"/>
            <w:shd w:val="clear" w:color="auto" w:fill="auto"/>
            <w:vAlign w:val="center"/>
          </w:tcPr>
          <w:p w14:paraId="26E4182C"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 décret n°13/015 du 29 mai 2013 portant réglementation des installations classées spécialement en son article 11, conditionne la délivrance de tout permis d’exploitation d’une installation classée par la réalisation préalable d’une enquête publique telle que prévue par l’article 24 de la loi n°11/009. En outre, lorsque la demande du permis concerne une installation dont les activités sont susceptibles d’avoir un impact sur l’environnement, la délivrance du permis est subordonnée à la réalisation préalable d’une étude d’impact environnemental et social, conformément à l’article 21 de loi 11/009.</w:t>
            </w:r>
          </w:p>
          <w:p w14:paraId="17800C74"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Art. 28 de le décret 13/015 : La surveillance et le suivi des installations classées quant aux conditions d’exploitation sont assurés par les agents attitrés de l’administration chargée de l’environnement au niveau tant central que provincial. Ils sont les seuls compétents pour interpréter les données techniques relatives aux installations classées.</w:t>
            </w:r>
          </w:p>
        </w:tc>
        <w:tc>
          <w:tcPr>
            <w:tcW w:w="1659" w:type="pct"/>
            <w:shd w:val="clear" w:color="auto" w:fill="auto"/>
            <w:vAlign w:val="center"/>
          </w:tcPr>
          <w:p w14:paraId="266A8806"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La plupart de cas, les agents de l’administration chargé de l’environnement, tant au niveau provincial que central, sont butés à des difficultés techniques et financière pour bien assuré le contrôle des installations.</w:t>
            </w:r>
          </w:p>
          <w:p w14:paraId="5FF10566"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p>
          <w:p w14:paraId="3C69153D" w14:textId="2F3AD052"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Le projet devra se conformer aux exigences de la NES de la Banque pour évaluer et gérer </w:t>
            </w:r>
            <w:r w:rsidR="004F3628" w:rsidRPr="00E737B4">
              <w:rPr>
                <w:rFonts w:ascii="Times New Roman" w:eastAsia="Arial" w:hAnsi="Times New Roman"/>
                <w:w w:val="105"/>
              </w:rPr>
              <w:t>les installations associées</w:t>
            </w:r>
            <w:r w:rsidRPr="00E737B4">
              <w:rPr>
                <w:rFonts w:ascii="Times New Roman" w:eastAsia="Arial" w:hAnsi="Times New Roman"/>
                <w:w w:val="105"/>
              </w:rPr>
              <w:t xml:space="preserve"> et les risques de la chaîne d’approvisionnement</w:t>
            </w:r>
          </w:p>
        </w:tc>
      </w:tr>
      <w:tr w:rsidR="00C4359F" w:rsidRPr="00420C1B" w14:paraId="7D47FCB5" w14:textId="77777777" w:rsidTr="00E737B4">
        <w:trPr>
          <w:cantSplit/>
          <w:jc w:val="center"/>
        </w:trPr>
        <w:tc>
          <w:tcPr>
            <w:tcW w:w="1194" w:type="pct"/>
          </w:tcPr>
          <w:p w14:paraId="618D2E05"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Utiliser le cadre de l'emprunteur lorsqu'il est substantiellement cohérent avec les NES, et comprendre, le cas échéant, des mesures de renforcement des capacités de l’emprunteur</w:t>
            </w:r>
          </w:p>
          <w:p w14:paraId="002B514F" w14:textId="77777777" w:rsidR="00C4359F" w:rsidRPr="00420C1B" w:rsidRDefault="00C4359F" w:rsidP="00B832EF">
            <w:pPr>
              <w:spacing w:after="0" w:line="240" w:lineRule="auto"/>
              <w:jc w:val="both"/>
              <w:rPr>
                <w:rFonts w:ascii="Times New Roman" w:hAnsi="Times New Roman"/>
                <w:i/>
                <w:u w:val="single"/>
              </w:rPr>
            </w:pPr>
            <w:r w:rsidRPr="00420C1B">
              <w:rPr>
                <w:rFonts w:ascii="Times New Roman" w:hAnsi="Times New Roman"/>
                <w:i/>
                <w:iCs/>
              </w:rPr>
              <w:t>Paragraphe 5, 19, 20 et 21</w:t>
            </w:r>
          </w:p>
        </w:tc>
        <w:tc>
          <w:tcPr>
            <w:tcW w:w="2147" w:type="pct"/>
            <w:shd w:val="clear" w:color="auto" w:fill="auto"/>
            <w:vAlign w:val="center"/>
          </w:tcPr>
          <w:p w14:paraId="18DAEEDC" w14:textId="77777777" w:rsidR="00C4359F" w:rsidRPr="00420C1B" w:rsidRDefault="00C4359F">
            <w:pPr>
              <w:spacing w:after="0" w:line="240" w:lineRule="auto"/>
              <w:jc w:val="both"/>
              <w:rPr>
                <w:rFonts w:ascii="Times New Roman" w:hAnsi="Times New Roman"/>
              </w:rPr>
            </w:pPr>
            <w:r w:rsidRPr="00420C1B">
              <w:rPr>
                <w:rFonts w:ascii="Times New Roman" w:hAnsi="Times New Roman"/>
              </w:rPr>
              <w:t>La Constitution de la RDC prévoit dans son Art.215 que les traités et accords internationaux régulièrement conclus, ont dès leur publication, une autorité supérieure à celle des lois, sous réserve pour chaque traité ou accord, de son application par l’autre partie.</w:t>
            </w:r>
          </w:p>
        </w:tc>
        <w:tc>
          <w:tcPr>
            <w:tcW w:w="1659" w:type="pct"/>
            <w:shd w:val="clear" w:color="auto" w:fill="auto"/>
            <w:vAlign w:val="center"/>
          </w:tcPr>
          <w:p w14:paraId="220A3961" w14:textId="7E56A038" w:rsidR="00C4359F" w:rsidRPr="00420C1B" w:rsidRDefault="00C4359F" w:rsidP="00D059A3">
            <w:pPr>
              <w:spacing w:after="0" w:line="240" w:lineRule="auto"/>
              <w:jc w:val="both"/>
              <w:rPr>
                <w:rFonts w:ascii="Times New Roman" w:hAnsi="Times New Roman"/>
              </w:rPr>
            </w:pPr>
            <w:r w:rsidRPr="00420C1B">
              <w:rPr>
                <w:rFonts w:ascii="Times New Roman" w:hAnsi="Times New Roman"/>
              </w:rPr>
              <w:t xml:space="preserve">En vertu de cette disposition de la </w:t>
            </w:r>
            <w:r w:rsidR="00D059A3" w:rsidRPr="00420C1B">
              <w:rPr>
                <w:rFonts w:ascii="Times New Roman" w:hAnsi="Times New Roman"/>
              </w:rPr>
              <w:t>Constitution de la RDC</w:t>
            </w:r>
            <w:r w:rsidRPr="00420C1B">
              <w:rPr>
                <w:rFonts w:ascii="Times New Roman" w:hAnsi="Times New Roman"/>
              </w:rPr>
              <w:t xml:space="preserve">, c’est la NES </w:t>
            </w:r>
            <w:r w:rsidR="00227EF6" w:rsidRPr="00420C1B">
              <w:rPr>
                <w:rFonts w:ascii="Times New Roman" w:hAnsi="Times New Roman"/>
              </w:rPr>
              <w:t xml:space="preserve">n°1 </w:t>
            </w:r>
            <w:r w:rsidRPr="00420C1B">
              <w:rPr>
                <w:rFonts w:ascii="Times New Roman" w:hAnsi="Times New Roman"/>
              </w:rPr>
              <w:t>de la Banque qui s’applique</w:t>
            </w:r>
          </w:p>
        </w:tc>
      </w:tr>
      <w:tr w:rsidR="00C4359F" w:rsidRPr="00420C1B" w14:paraId="5C553137" w14:textId="77777777" w:rsidTr="00E737B4">
        <w:trPr>
          <w:cantSplit/>
          <w:jc w:val="center"/>
        </w:trPr>
        <w:tc>
          <w:tcPr>
            <w:tcW w:w="1194" w:type="pct"/>
          </w:tcPr>
          <w:p w14:paraId="4DB6A03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Effectuer une évaluation environnementale et sociale (EES) intégrée des impacts directs, indirects, cumulatifs, et transfrontaliers, et tenir compte du principe d’hiérarchie d'atténuation.</w:t>
            </w:r>
          </w:p>
          <w:p w14:paraId="722C5C21"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23 à 29, 35</w:t>
            </w:r>
          </w:p>
        </w:tc>
        <w:tc>
          <w:tcPr>
            <w:tcW w:w="2147" w:type="pct"/>
            <w:shd w:val="clear" w:color="auto" w:fill="auto"/>
            <w:vAlign w:val="center"/>
          </w:tcPr>
          <w:p w14:paraId="2AD74025" w14:textId="77777777" w:rsidR="00C4359F" w:rsidRPr="00420C1B" w:rsidRDefault="00C4359F" w:rsidP="005232A3">
            <w:pPr>
              <w:spacing w:after="0" w:line="240" w:lineRule="auto"/>
              <w:jc w:val="both"/>
              <w:rPr>
                <w:rFonts w:ascii="Times New Roman" w:hAnsi="Times New Roman"/>
              </w:rPr>
            </w:pPr>
            <w:r w:rsidRPr="00E737B4">
              <w:rPr>
                <w:rFonts w:ascii="Times New Roman" w:eastAsia="Arial" w:hAnsi="Times New Roman"/>
                <w:w w:val="105"/>
              </w:rPr>
              <w:t xml:space="preserve">La loi n°11/009 assujetti à une EIES préalable, assortie de son PGES dûment approuvés, tout projet de développement, d’infrastructures ou d’exploitation de toute activité industrielle, commerciale, agricole, forestiers, miniers, de télécommunication ou autre. La </w:t>
            </w:r>
            <w:r w:rsidRPr="00420C1B">
              <w:rPr>
                <w:rFonts w:ascii="Times New Roman" w:hAnsi="Times New Roman"/>
              </w:rPr>
              <w:t>loi n°14/011relative au secteur d’électricité a confirmé la nécessiter d’effectuer une EIES pour tout projet de développement d’infrastructures électriques. Le décret n°14/019 précise la nécessiter d’une EES pour toute politique, plan ou programme élaboré par l’Etat, la province, l’entité territoriale décentralisée ou l’établissement public. Il définit également les procédures d’évaluation environnementale et sociale et les mécanismes requis et le contenu de chaque type d’instrument.</w:t>
            </w:r>
          </w:p>
        </w:tc>
        <w:tc>
          <w:tcPr>
            <w:tcW w:w="1659" w:type="pct"/>
            <w:shd w:val="clear" w:color="auto" w:fill="auto"/>
            <w:vAlign w:val="center"/>
          </w:tcPr>
          <w:p w14:paraId="1EC4A37C"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législation nationale précise la nécessiter d’effectuer une évaluation environnementale et sociale et donne le contenu de ces EES, EIES et préconise le type des mesures (atténuation et bonification) sans faire allusion au principe d’hiérarchie d’atténuation.</w:t>
            </w:r>
          </w:p>
          <w:p w14:paraId="78C08FEE" w14:textId="77777777" w:rsidR="00C4359F" w:rsidRPr="00420C1B" w:rsidRDefault="00C4359F" w:rsidP="005232A3">
            <w:pPr>
              <w:spacing w:after="0" w:line="240" w:lineRule="auto"/>
              <w:jc w:val="both"/>
              <w:rPr>
                <w:rFonts w:ascii="Times New Roman" w:hAnsi="Times New Roman"/>
              </w:rPr>
            </w:pPr>
          </w:p>
          <w:p w14:paraId="0E5E8D08" w14:textId="075CC1FA"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NES </w:t>
            </w:r>
            <w:r w:rsidR="00227EF6" w:rsidRPr="00420C1B">
              <w:rPr>
                <w:rFonts w:ascii="Times New Roman" w:hAnsi="Times New Roman"/>
              </w:rPr>
              <w:t xml:space="preserve">n°1 </w:t>
            </w:r>
            <w:r w:rsidRPr="00420C1B">
              <w:rPr>
                <w:rFonts w:ascii="Times New Roman" w:hAnsi="Times New Roman"/>
              </w:rPr>
              <w:t xml:space="preserve">de la Banque va s’appliquer pour définir les mesures, ainsi que le principe d’hiérarchie d’atténuation. </w:t>
            </w:r>
          </w:p>
        </w:tc>
      </w:tr>
      <w:tr w:rsidR="00C4359F" w:rsidRPr="00420C1B" w14:paraId="2A43EF7F" w14:textId="77777777" w:rsidTr="00E737B4">
        <w:trPr>
          <w:cantSplit/>
          <w:jc w:val="center"/>
        </w:trPr>
        <w:tc>
          <w:tcPr>
            <w:tcW w:w="1194" w:type="pct"/>
            <w:vAlign w:val="center"/>
          </w:tcPr>
          <w:p w14:paraId="4B4DE57E"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Prendre en compte tous les risques et effets environnementaux et sociaux pertinents du projet, et se conformer aux dispositions pertinentes des Directives environnementales, sanitaires et sécuritaires ESS et les autres bonnes pratiques internationales en vigueur dans les secteurs d’activité (concernés BPISA)</w:t>
            </w:r>
          </w:p>
          <w:p w14:paraId="0669FCCD" w14:textId="77777777" w:rsidR="00C4359F" w:rsidRPr="00420C1B" w:rsidRDefault="00C4359F" w:rsidP="00E737B4">
            <w:pPr>
              <w:spacing w:after="0" w:line="240" w:lineRule="auto"/>
              <w:jc w:val="both"/>
              <w:rPr>
                <w:rFonts w:ascii="Times New Roman" w:hAnsi="Times New Roman"/>
                <w:i/>
                <w:u w:val="single"/>
              </w:rPr>
            </w:pPr>
            <w:r w:rsidRPr="00420C1B">
              <w:rPr>
                <w:rFonts w:ascii="Times New Roman" w:hAnsi="Times New Roman"/>
                <w:i/>
                <w:iCs/>
              </w:rPr>
              <w:t>Paragraphe 18, 26, 28</w:t>
            </w:r>
          </w:p>
        </w:tc>
        <w:tc>
          <w:tcPr>
            <w:tcW w:w="2147" w:type="pct"/>
            <w:shd w:val="clear" w:color="auto" w:fill="auto"/>
            <w:vAlign w:val="center"/>
          </w:tcPr>
          <w:p w14:paraId="2B13F8C6"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 décret 13/015 du 29 mai 2013 portant réglementation des installations classées précise que tout exploitant d’une installation classée soumis à autorisation élabore et met en œuvre des mesures de sécurité industrielle appropriées et établit un plan d’urgence décrivant les mesures nécessaires pour maîtriser les accidents industriels et limiter leurs conséquences pour l’environnement et la santé.</w:t>
            </w:r>
          </w:p>
          <w:p w14:paraId="383B9587"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Ce plan d’urgence est porté à la connaissance des autorités administratives compétentes et des populations avoisinantes (Art. 24).</w:t>
            </w:r>
          </w:p>
          <w:p w14:paraId="60E42E76"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L’exploitant d’une installation dont l’implantation a été subordonnée à la réalisation d’une étude d’impact environnementale et sociale est tenu d’exécuter toutes les mesures prévues dans son plan de gestion environnementale et sociale (Art.25).</w:t>
            </w:r>
          </w:p>
          <w:p w14:paraId="2CD75D94"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Article 26 :</w:t>
            </w:r>
            <w:r>
              <w:rPr>
                <w:rFonts w:ascii="Times New Roman" w:eastAsia="Arial" w:hAnsi="Times New Roman"/>
                <w:w w:val="105"/>
              </w:rPr>
              <w:t xml:space="preserve"> </w:t>
            </w:r>
            <w:r w:rsidRPr="00E737B4">
              <w:rPr>
                <w:rFonts w:ascii="Times New Roman" w:eastAsia="Arial" w:hAnsi="Times New Roman"/>
                <w:w w:val="105"/>
              </w:rPr>
              <w:t>Outre le prescrit des articles 24 et 25 ci-dessus, les installations classées sont gérées et exploitées conformément aux conditions et prescriptions prévues par des arrêtés du Ministre et visant à éviter les dangers pour la santé, la sécurité, la salubrité publique, l’environnement ou la conservation des sites et monuments ou les inconvénients pour la commodité du voisinage pouvant résulter des activités concernées.</w:t>
            </w:r>
          </w:p>
          <w:p w14:paraId="5D2DC224"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Ces conditions et prescriptions sont soit d’ordre général lorsqu’elles concernent l’ensemble des installations classées, soit d’ordre particulier lorsqu’elles visent une ou plusieurs activités spécifiques.</w:t>
            </w:r>
          </w:p>
          <w:p w14:paraId="3F7DD4F1" w14:textId="77777777" w:rsidR="00C4359F" w:rsidRPr="00E737B4" w:rsidRDefault="00C4359F" w:rsidP="00E737B4">
            <w:pPr>
              <w:jc w:val="both"/>
              <w:rPr>
                <w:rFonts w:ascii="Times New Roman" w:eastAsia="Arial" w:hAnsi="Times New Roman"/>
                <w:w w:val="105"/>
              </w:rPr>
            </w:pPr>
            <w:r w:rsidRPr="00E737B4">
              <w:rPr>
                <w:rFonts w:ascii="Times New Roman" w:eastAsia="Arial" w:hAnsi="Times New Roman"/>
                <w:w w:val="105"/>
              </w:rPr>
              <w:t>L’Arrêté n° CAB.MIN/IND/CJA/10/10/2020 du 27 octobre 2020, précise les normes internationales et nationale devant s’appliquer dans différents secteurs et produits, notamment  des normes nationales congolaises  sur  les  produits  cosmétiques  et détergents, les lubrifiants et produits pétroliers, les ciments, les peintures et vernis, l'électrotechnique, la technologie de l'information et la sécurité, le management  sécurité  routière  et l'approvisionnement, l'assainissement, l'environnement, eaux usées et de forage et leur mise en application.  Il contient les Normes sur l’éclairage public (10 normes), Normes sur le Management de l’énergie (17 normes) et les Normes sur l’électrification rurale (17 normes).</w:t>
            </w:r>
          </w:p>
        </w:tc>
        <w:tc>
          <w:tcPr>
            <w:tcW w:w="1659" w:type="pct"/>
            <w:shd w:val="clear" w:color="auto" w:fill="auto"/>
            <w:vAlign w:val="center"/>
          </w:tcPr>
          <w:p w14:paraId="595EF0AD" w14:textId="4DB54119" w:rsidR="00C4359F" w:rsidRPr="00420C1B" w:rsidRDefault="00C4359F" w:rsidP="00227EF6">
            <w:pPr>
              <w:spacing w:after="0" w:line="240" w:lineRule="auto"/>
              <w:jc w:val="both"/>
              <w:rPr>
                <w:rFonts w:ascii="Times New Roman" w:hAnsi="Times New Roman"/>
              </w:rPr>
            </w:pPr>
            <w:r w:rsidRPr="00420C1B">
              <w:rPr>
                <w:rFonts w:ascii="Times New Roman" w:hAnsi="Times New Roman"/>
              </w:rPr>
              <w:t>La législation nationale est assez outillée en cette matière. Les dispositions de la législation vont s’appliquer et entant de besoin l</w:t>
            </w:r>
            <w:r w:rsidR="00227EF6" w:rsidRPr="00420C1B">
              <w:rPr>
                <w:rFonts w:ascii="Times New Roman" w:hAnsi="Times New Roman"/>
              </w:rPr>
              <w:t xml:space="preserve">a </w:t>
            </w:r>
            <w:r w:rsidRPr="00420C1B">
              <w:rPr>
                <w:rFonts w:ascii="Times New Roman" w:hAnsi="Times New Roman"/>
              </w:rPr>
              <w:t>norme</w:t>
            </w:r>
            <w:r w:rsidR="00227EF6" w:rsidRPr="00420C1B">
              <w:rPr>
                <w:rFonts w:ascii="Times New Roman" w:hAnsi="Times New Roman"/>
              </w:rPr>
              <w:t xml:space="preserve"> n°1</w:t>
            </w:r>
            <w:r w:rsidRPr="00420C1B">
              <w:rPr>
                <w:rFonts w:ascii="Times New Roman" w:hAnsi="Times New Roman"/>
              </w:rPr>
              <w:t xml:space="preserve"> de la Banque ser</w:t>
            </w:r>
            <w:r w:rsidR="00227EF6" w:rsidRPr="00420C1B">
              <w:rPr>
                <w:rFonts w:ascii="Times New Roman" w:hAnsi="Times New Roman"/>
              </w:rPr>
              <w:t>a</w:t>
            </w:r>
            <w:r w:rsidRPr="00420C1B">
              <w:rPr>
                <w:rFonts w:ascii="Times New Roman" w:hAnsi="Times New Roman"/>
              </w:rPr>
              <w:t xml:space="preserve"> également appliquées</w:t>
            </w:r>
          </w:p>
        </w:tc>
      </w:tr>
      <w:tr w:rsidR="00C4359F" w:rsidRPr="00420C1B" w14:paraId="4B473C85" w14:textId="77777777" w:rsidTr="00E737B4">
        <w:trPr>
          <w:cantSplit/>
          <w:jc w:val="center"/>
        </w:trPr>
        <w:tc>
          <w:tcPr>
            <w:tcW w:w="1194" w:type="pct"/>
          </w:tcPr>
          <w:p w14:paraId="0B479C0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Mettre en œuvre des mesures différenciées de sorte que les impacts négatifs du projet n’affectent de manière disproportionnée les groupes défavorisés et vulnérables</w:t>
            </w:r>
          </w:p>
          <w:p w14:paraId="5539778F"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 28,29</w:t>
            </w:r>
          </w:p>
        </w:tc>
        <w:tc>
          <w:tcPr>
            <w:tcW w:w="2147" w:type="pct"/>
            <w:shd w:val="clear" w:color="auto" w:fill="auto"/>
            <w:vAlign w:val="center"/>
          </w:tcPr>
          <w:p w14:paraId="18AC7993" w14:textId="77777777" w:rsidR="00C4359F" w:rsidRPr="00420C1B" w:rsidRDefault="00C4359F" w:rsidP="005232A3">
            <w:pPr>
              <w:spacing w:after="120" w:line="240" w:lineRule="auto"/>
              <w:jc w:val="both"/>
              <w:rPr>
                <w:rFonts w:ascii="Times New Roman" w:hAnsi="Times New Roman"/>
              </w:rPr>
            </w:pPr>
            <w:r w:rsidRPr="00420C1B">
              <w:rPr>
                <w:rFonts w:ascii="Times New Roman" w:hAnsi="Times New Roman"/>
              </w:rPr>
              <w:t>La Constitution de la RDC (Art.49) prévoit que la personne du troisième âge et la personne avec handicap aient droit à des mesures spécifiques de protection en rapport avec leurs besoins physiques, intellectuels et moraux. L’Etat a le devoir de promouvoir la présence de la personne avec handicap au sein des institutions nationales, provinciales et locales. Pour confirmer cet engagement, le Gouvernement a élaboré un Plan stratégique quinquennal (2016-2021) de protection et de promotion des personnes handicapées en R.D Congo, qui est encore opérationnel à ce jour.</w:t>
            </w:r>
          </w:p>
          <w:p w14:paraId="2BC0C0F7" w14:textId="77777777" w:rsidR="00C4359F" w:rsidRPr="00420C1B" w:rsidRDefault="00C4359F" w:rsidP="005232A3">
            <w:pPr>
              <w:spacing w:after="120" w:line="240" w:lineRule="auto"/>
              <w:jc w:val="both"/>
              <w:rPr>
                <w:rFonts w:ascii="Times New Roman" w:hAnsi="Times New Roman"/>
              </w:rPr>
            </w:pPr>
            <w:r w:rsidRPr="00420C1B">
              <w:rPr>
                <w:rFonts w:ascii="Times New Roman" w:hAnsi="Times New Roman"/>
              </w:rPr>
              <w:t>La loi n°08/011 du 14 juillet 2008 portant protection des droits des personnes vivant avec le VIH/SIDA et les personnes affectées, sanctionne toute forme de discrimination et de stigmatisation à l’égard des personnes à statut sérologique au VIH avéré ou présumé, de son conjoint ou de ses proches (Art. 10 et 42).</w:t>
            </w:r>
          </w:p>
          <w:p w14:paraId="1CB77EED" w14:textId="77777777" w:rsidR="00C4359F" w:rsidRPr="00420C1B" w:rsidRDefault="00C4359F" w:rsidP="005232A3">
            <w:pPr>
              <w:pStyle w:val="NormalWeb"/>
              <w:spacing w:before="0" w:beforeAutospacing="0" w:after="0" w:afterAutospacing="0"/>
              <w:ind w:right="-34"/>
              <w:jc w:val="both"/>
              <w:rPr>
                <w:rFonts w:ascii="Times New Roman" w:eastAsia="Times New Roman" w:hAnsi="Times New Roman" w:cs="Times New Roman"/>
                <w:sz w:val="22"/>
                <w:szCs w:val="22"/>
                <w:lang w:val="fr-FR"/>
              </w:rPr>
            </w:pPr>
            <w:r w:rsidRPr="00420C1B">
              <w:rPr>
                <w:rFonts w:ascii="Times New Roman" w:eastAsia="Times New Roman" w:hAnsi="Times New Roman" w:cs="Times New Roman"/>
                <w:sz w:val="22"/>
                <w:szCs w:val="22"/>
                <w:lang w:val="fr-FR"/>
              </w:rPr>
              <w:t>La Loi n° 15/013 du 1eraoût 2015, portant modalités d’application des droits de la femme et de la parité fixe les modalités d’application des droits de la femme et de la parité homme-femme conformément à l’Art.14 de la Constitution. Ces droits concernent : (i) l’élimination de toute forme de discrimination à l’égard de la femme ainsi que la protection et la promotion de ses droits ; (ii) le total épanouissement et la pleine participation de la femme au développement de la Nation ; (iii) la protection contre les violences faites à la femme dans la vie publique et dans la vie privée ; (iv) une représentation équitable au sein des institutions nationales, provinciales et locales ; (v) la parité homme-femme.</w:t>
            </w:r>
          </w:p>
          <w:p w14:paraId="468D109B"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n°09/001 du 10 janvier 2009 portant protection de l’enfant détermine les principes fondamentaux relatifs à la protection et à la promotion des droits de l’enfant conformément aux articles 122, point 5, 123 point 16 et 149, alinéa 5 de la Constitution. Cette loi interdit et sanctionne également tout acte de discrimination à l’égard des enfants (Art. 5)</w:t>
            </w:r>
          </w:p>
        </w:tc>
        <w:tc>
          <w:tcPr>
            <w:tcW w:w="1659" w:type="pct"/>
            <w:shd w:val="clear" w:color="auto" w:fill="auto"/>
            <w:vAlign w:val="center"/>
          </w:tcPr>
          <w:p w14:paraId="2CC2E13A" w14:textId="77777777" w:rsidR="00C4359F" w:rsidRPr="00420C1B" w:rsidRDefault="00C4359F" w:rsidP="005232A3">
            <w:pPr>
              <w:spacing w:after="0" w:line="240" w:lineRule="auto"/>
              <w:jc w:val="both"/>
              <w:rPr>
                <w:rFonts w:ascii="Times New Roman" w:hAnsi="Times New Roman"/>
              </w:rPr>
            </w:pPr>
          </w:p>
        </w:tc>
      </w:tr>
      <w:tr w:rsidR="00C4359F" w:rsidRPr="00420C1B" w14:paraId="63F14685" w14:textId="77777777" w:rsidTr="00E737B4">
        <w:trPr>
          <w:cantSplit/>
          <w:jc w:val="center"/>
        </w:trPr>
        <w:tc>
          <w:tcPr>
            <w:tcW w:w="1194" w:type="pct"/>
          </w:tcPr>
          <w:p w14:paraId="06E99AFA"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Élaborer, divulguer et mettre en œuvre un plan d'engagement environnemental et social (PEES)</w:t>
            </w:r>
          </w:p>
          <w:p w14:paraId="4AEB286F"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36 à 44</w:t>
            </w:r>
          </w:p>
        </w:tc>
        <w:tc>
          <w:tcPr>
            <w:tcW w:w="2147" w:type="pct"/>
            <w:shd w:val="clear" w:color="auto" w:fill="auto"/>
            <w:vAlign w:val="center"/>
          </w:tcPr>
          <w:p w14:paraId="3A7B0C55"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législation nationale ne prévoit aucune disposition quant à l’élaboration et divulgation du PEES</w:t>
            </w:r>
          </w:p>
        </w:tc>
        <w:tc>
          <w:tcPr>
            <w:tcW w:w="1659" w:type="pct"/>
            <w:shd w:val="clear" w:color="auto" w:fill="auto"/>
            <w:vAlign w:val="center"/>
          </w:tcPr>
          <w:p w14:paraId="1D94E2D6"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Constitution de la RDC prévoit dans son Art.215 que les traités et accords internationaux régulièrement conclus, ont dès leur publication, une autorité supérieure à celle des lois, sous réserve pour chaque traité ou accord, de son application par l’autre partie.</w:t>
            </w:r>
          </w:p>
          <w:p w14:paraId="73CEE9EE" w14:textId="3D8F4176"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En vertu de cette disposition de la loi, c’est la </w:t>
            </w:r>
            <w:r w:rsidR="004766A4" w:rsidRPr="00420C1B">
              <w:rPr>
                <w:rFonts w:ascii="Times New Roman" w:hAnsi="Times New Roman"/>
              </w:rPr>
              <w:t xml:space="preserve">disposition </w:t>
            </w:r>
            <w:r w:rsidR="00636F44" w:rsidRPr="00420C1B">
              <w:rPr>
                <w:rFonts w:ascii="Times New Roman" w:hAnsi="Times New Roman"/>
              </w:rPr>
              <w:t>favorable aux bénéficiaires</w:t>
            </w:r>
            <w:r w:rsidRPr="00420C1B">
              <w:rPr>
                <w:rFonts w:ascii="Times New Roman" w:hAnsi="Times New Roman"/>
              </w:rPr>
              <w:t xml:space="preserve"> qui s’applique</w:t>
            </w:r>
          </w:p>
        </w:tc>
      </w:tr>
      <w:tr w:rsidR="00C4359F" w:rsidRPr="00420C1B" w14:paraId="7AF29FE8" w14:textId="77777777" w:rsidTr="00E737B4">
        <w:trPr>
          <w:cantSplit/>
          <w:jc w:val="center"/>
        </w:trPr>
        <w:tc>
          <w:tcPr>
            <w:tcW w:w="1194" w:type="pct"/>
          </w:tcPr>
          <w:p w14:paraId="3A2B4E4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Assurer le suivi, y compris par des tiers, mettre en œuvre des mesures préventives et correctives, notifier la Banque tout incident ou accident en lien avec le projet susceptible d’avoir des conséquences graves</w:t>
            </w:r>
          </w:p>
          <w:p w14:paraId="2A670490"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 45-50</w:t>
            </w:r>
          </w:p>
        </w:tc>
        <w:tc>
          <w:tcPr>
            <w:tcW w:w="2147" w:type="pct"/>
            <w:shd w:val="clear" w:color="auto" w:fill="auto"/>
            <w:vAlign w:val="center"/>
          </w:tcPr>
          <w:p w14:paraId="4D26CB13"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Le décret n°14/019 du 02 prévoit quelques soient les raisons que le promoteur prennent des mesures d’ajustement nécessaires, dans cas où celles initialement prévues dans le PGES se révèlent inadéquates.  Ces mesures se conforment aux nouvelles directives et normes d’ajustement nécessaires.</w:t>
            </w:r>
          </w:p>
        </w:tc>
        <w:tc>
          <w:tcPr>
            <w:tcW w:w="1659" w:type="pct"/>
            <w:shd w:val="clear" w:color="auto" w:fill="auto"/>
            <w:vAlign w:val="center"/>
          </w:tcPr>
          <w:p w14:paraId="64496BAC"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législation nationale n’a prévue aucune disposition quant au recours par des tiers pour la mise en œuvre des mesures préventives et correctives. </w:t>
            </w:r>
          </w:p>
          <w:p w14:paraId="6FB4822B" w14:textId="138B3CFE"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NES </w:t>
            </w:r>
            <w:r w:rsidR="00227EF6" w:rsidRPr="00420C1B">
              <w:rPr>
                <w:rFonts w:ascii="Times New Roman" w:hAnsi="Times New Roman"/>
              </w:rPr>
              <w:t xml:space="preserve">n°1 </w:t>
            </w:r>
            <w:r w:rsidRPr="00420C1B">
              <w:rPr>
                <w:rFonts w:ascii="Times New Roman" w:hAnsi="Times New Roman"/>
              </w:rPr>
              <w:t>de la Banque va s’appliquer et le projet se conformera au PEES du projet.</w:t>
            </w:r>
          </w:p>
        </w:tc>
      </w:tr>
      <w:tr w:rsidR="00C4359F" w:rsidRPr="00420C1B" w14:paraId="31083ED9" w14:textId="77777777" w:rsidTr="00E737B4">
        <w:trPr>
          <w:cantSplit/>
          <w:jc w:val="center"/>
        </w:trPr>
        <w:tc>
          <w:tcPr>
            <w:tcW w:w="1194" w:type="pct"/>
            <w:vAlign w:val="center"/>
          </w:tcPr>
          <w:p w14:paraId="48ED83E3" w14:textId="77777777" w:rsidR="00C4359F" w:rsidRPr="00E737B4" w:rsidRDefault="00C4359F" w:rsidP="005232A3">
            <w:pPr>
              <w:widowControl w:val="0"/>
              <w:autoSpaceDE w:val="0"/>
              <w:autoSpaceDN w:val="0"/>
              <w:spacing w:after="0" w:line="240" w:lineRule="auto"/>
              <w:rPr>
                <w:rFonts w:ascii="Times New Roman" w:eastAsia="Arial" w:hAnsi="Times New Roman"/>
                <w:w w:val="105"/>
              </w:rPr>
            </w:pPr>
            <w:r w:rsidRPr="00E737B4">
              <w:rPr>
                <w:rFonts w:ascii="Times New Roman" w:eastAsia="Arial" w:hAnsi="Times New Roman"/>
                <w:w w:val="105"/>
              </w:rPr>
              <w:t>Mobiliser les parties prenantes et rendre public des informations sur les risques, et effets environnementaux et sociaux du projet, avant l’évaluation du projet</w:t>
            </w:r>
          </w:p>
          <w:p w14:paraId="5AE97800" w14:textId="77777777" w:rsidR="00C4359F" w:rsidRPr="00420C1B" w:rsidRDefault="00C4359F" w:rsidP="005232A3">
            <w:pPr>
              <w:spacing w:after="0" w:line="240" w:lineRule="auto"/>
              <w:rPr>
                <w:rFonts w:ascii="Times New Roman" w:hAnsi="Times New Roman"/>
                <w:i/>
                <w:u w:val="single"/>
              </w:rPr>
            </w:pPr>
            <w:r w:rsidRPr="00420C1B">
              <w:rPr>
                <w:rFonts w:ascii="Times New Roman" w:hAnsi="Times New Roman"/>
                <w:i/>
                <w:iCs/>
              </w:rPr>
              <w:t>Paragraphes 51-53</w:t>
            </w:r>
          </w:p>
        </w:tc>
        <w:tc>
          <w:tcPr>
            <w:tcW w:w="2147" w:type="pct"/>
            <w:shd w:val="clear" w:color="auto" w:fill="auto"/>
            <w:vAlign w:val="center"/>
          </w:tcPr>
          <w:p w14:paraId="49AD7E5A" w14:textId="77777777" w:rsidR="00C4359F" w:rsidRPr="00E737B4" w:rsidRDefault="00C4359F" w:rsidP="005232A3">
            <w:pPr>
              <w:spacing w:after="0" w:line="240" w:lineRule="auto"/>
              <w:jc w:val="both"/>
              <w:rPr>
                <w:rFonts w:ascii="Times New Roman" w:eastAsia="Arial" w:hAnsi="Times New Roman"/>
                <w:w w:val="105"/>
              </w:rPr>
            </w:pPr>
            <w:r w:rsidRPr="00E737B4">
              <w:rPr>
                <w:rFonts w:ascii="Times New Roman" w:eastAsia="Arial" w:hAnsi="Times New Roman"/>
                <w:w w:val="105"/>
              </w:rPr>
              <w:t>La loi n°11/009 assujetti tout projet ou activité susceptible d’avoir un impact sur l’environnement à une enquête public préalable, qui a pour objet (i) d’informer le public en général et la population locale en particulier sur le projet ou l’activité ; (ii) de recueillir les informations sur la nature et l’étendue des droits que pourraient détenir les tiers sur la zone affectée par le projet ou l’activité ; (iii) de collecter les appréciations, suggestions et contre-propositions, afin de permettre à l’autorité compétente de disposer de tous les éléments nécessaires à sa décision.</w:t>
            </w:r>
          </w:p>
          <w:p w14:paraId="1FD5212F"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Le décret n°14/019 du 02 prévoit que cette enquête publique soit initié par le gouverneur après être saisit par le promoteur du projet (Art.52). La demande d’enquête publique est accompagnée d’un dossier comprenant les documents suivants établis en français : (i) une fiche descriptive faisant ressortir les principales caractéristiques technique du projet soumis à l’enquête publique ; (ii) un résumé non technique du projet et (iii) la zone d’influence du projet (Art.53). sur instruction du gouverneur, l’enquête publique est menée par une commission constituée et présidée par l’Administrateur du territoire ou le bourgmestre, qui comprend : (i) le représentant du service local de l’environnement ; (ii) les représentants des services des autres ministères sectoriels concernés ; (iii) les représentants de la société civile locale (Art. 54). Le président de la commission peut, à la demande des membres de la commission, recourir à des experts privés et/ou publics si les spécificités du projet l’exigent. L’enquête publique est annoncée par toutes les voies de communication accessibles au public de la zone d’insertion du projet, en français et dans la langue nationale du lieu, au moins deux mois avant la date fixée pour son ouverture.</w:t>
            </w:r>
          </w:p>
        </w:tc>
        <w:tc>
          <w:tcPr>
            <w:tcW w:w="1659" w:type="pct"/>
            <w:shd w:val="clear" w:color="auto" w:fill="auto"/>
            <w:vAlign w:val="center"/>
          </w:tcPr>
          <w:p w14:paraId="4E66BD6C" w14:textId="77777777" w:rsidR="00C4359F" w:rsidRPr="00420C1B" w:rsidRDefault="00C4359F" w:rsidP="005232A3">
            <w:pPr>
              <w:spacing w:after="0" w:line="240" w:lineRule="auto"/>
              <w:rPr>
                <w:rFonts w:ascii="Times New Roman" w:hAnsi="Times New Roman"/>
              </w:rPr>
            </w:pPr>
            <w:r w:rsidRPr="00420C1B">
              <w:rPr>
                <w:rFonts w:ascii="Times New Roman" w:hAnsi="Times New Roman"/>
              </w:rPr>
              <w:t>La législation nationale ne précise pas le contenu des informations du résumé non technique du projet et ne fait aucune allusion aux risques.</w:t>
            </w:r>
          </w:p>
          <w:p w14:paraId="567DBEA9" w14:textId="3BCF1C7E" w:rsidR="00C4359F" w:rsidRPr="00420C1B" w:rsidRDefault="00C4359F" w:rsidP="00227EF6">
            <w:pPr>
              <w:spacing w:after="0" w:line="240" w:lineRule="auto"/>
              <w:rPr>
                <w:rFonts w:ascii="Times New Roman" w:hAnsi="Times New Roman"/>
              </w:rPr>
            </w:pPr>
            <w:r w:rsidRPr="00420C1B">
              <w:rPr>
                <w:rFonts w:ascii="Times New Roman" w:hAnsi="Times New Roman"/>
              </w:rPr>
              <w:t xml:space="preserve">Donc, c’est </w:t>
            </w:r>
            <w:r w:rsidR="00227EF6" w:rsidRPr="00420C1B">
              <w:rPr>
                <w:rFonts w:ascii="Times New Roman" w:hAnsi="Times New Roman"/>
              </w:rPr>
              <w:t xml:space="preserve">les </w:t>
            </w:r>
            <w:r w:rsidRPr="00420C1B">
              <w:rPr>
                <w:rFonts w:ascii="Times New Roman" w:hAnsi="Times New Roman"/>
              </w:rPr>
              <w:t xml:space="preserve">NES </w:t>
            </w:r>
            <w:r w:rsidR="00227EF6" w:rsidRPr="00420C1B">
              <w:rPr>
                <w:rFonts w:ascii="Times New Roman" w:hAnsi="Times New Roman"/>
              </w:rPr>
              <w:t xml:space="preserve">n°1 et n°10 </w:t>
            </w:r>
            <w:r w:rsidRPr="00420C1B">
              <w:rPr>
                <w:rFonts w:ascii="Times New Roman" w:hAnsi="Times New Roman"/>
              </w:rPr>
              <w:t xml:space="preserve">de la Banque qui va s’appliquer </w:t>
            </w:r>
          </w:p>
        </w:tc>
      </w:tr>
    </w:tbl>
    <w:p w14:paraId="245FE26D" w14:textId="77777777" w:rsidR="00C4359F" w:rsidRDefault="00C4359F"/>
    <w:p w14:paraId="0D7E300A" w14:textId="77777777" w:rsidR="00C4359F" w:rsidRDefault="00C4359F"/>
    <w:p w14:paraId="49F1285B" w14:textId="77777777" w:rsidR="00227EF6" w:rsidRDefault="00227EF6"/>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6518"/>
        <w:gridCol w:w="4789"/>
      </w:tblGrid>
      <w:tr w:rsidR="00C4359F" w:rsidRPr="00420C1B" w14:paraId="13E99869" w14:textId="77777777" w:rsidTr="00E737B4">
        <w:trPr>
          <w:tblHeader/>
          <w:jc w:val="center"/>
        </w:trPr>
        <w:tc>
          <w:tcPr>
            <w:tcW w:w="1194" w:type="pct"/>
            <w:shd w:val="clear" w:color="auto" w:fill="92D050"/>
            <w:vAlign w:val="center"/>
          </w:tcPr>
          <w:p w14:paraId="3D05AB34"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194" w:type="pct"/>
            <w:shd w:val="clear" w:color="auto" w:fill="92D050"/>
            <w:vAlign w:val="center"/>
          </w:tcPr>
          <w:p w14:paraId="1D85ACE1"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612" w:type="pct"/>
            <w:shd w:val="clear" w:color="auto" w:fill="92D050"/>
            <w:vAlign w:val="center"/>
          </w:tcPr>
          <w:p w14:paraId="12FD210D" w14:textId="5132D732" w:rsidR="00C4359F" w:rsidRPr="00420C1B" w:rsidRDefault="00C4359F" w:rsidP="00777EE5">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3033C6AA" w14:textId="77777777" w:rsidTr="00E737B4">
        <w:trPr>
          <w:jc w:val="center"/>
        </w:trPr>
        <w:tc>
          <w:tcPr>
            <w:tcW w:w="5000" w:type="pct"/>
            <w:gridSpan w:val="3"/>
            <w:shd w:val="clear" w:color="auto" w:fill="C5E0B3"/>
            <w:vAlign w:val="center"/>
          </w:tcPr>
          <w:p w14:paraId="0388BFD3" w14:textId="25F0E9F3" w:rsidR="00C4359F" w:rsidRPr="00420C1B" w:rsidRDefault="00C4359F" w:rsidP="005232A3">
            <w:pPr>
              <w:spacing w:after="0" w:line="240" w:lineRule="auto"/>
              <w:rPr>
                <w:rFonts w:ascii="Times New Roman" w:hAnsi="Times New Roman"/>
                <w:b/>
                <w:bCs/>
              </w:rPr>
            </w:pPr>
            <w:r w:rsidRPr="00420C1B">
              <w:rPr>
                <w:rFonts w:ascii="Times New Roman" w:hAnsi="Times New Roman"/>
                <w:b/>
                <w:bCs/>
              </w:rPr>
              <w:t>NES 2.  Emploi et conditions de travail</w:t>
            </w:r>
          </w:p>
        </w:tc>
      </w:tr>
      <w:tr w:rsidR="00C4359F" w:rsidRPr="00420C1B" w14:paraId="212BC868" w14:textId="77777777" w:rsidTr="00E737B4">
        <w:trPr>
          <w:cantSplit/>
          <w:jc w:val="center"/>
        </w:trPr>
        <w:tc>
          <w:tcPr>
            <w:tcW w:w="1194" w:type="pct"/>
          </w:tcPr>
          <w:p w14:paraId="4D59266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les travailleurs du projet à temps plein, à temps partiel, temporaires, saisonniers et migrants (directs, contractuels, employés des principaux fournisseurs, travailleurs communautaires)</w:t>
            </w:r>
          </w:p>
          <w:p w14:paraId="7022EB32"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3 à 8</w:t>
            </w:r>
          </w:p>
        </w:tc>
        <w:tc>
          <w:tcPr>
            <w:tcW w:w="2194" w:type="pct"/>
            <w:shd w:val="clear" w:color="auto" w:fill="auto"/>
            <w:vAlign w:val="center"/>
          </w:tcPr>
          <w:p w14:paraId="06A5DCB2"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 xml:space="preserve">Loi n°15/2002 du 16 octobre 2002 portant Code du Travail en RDC prévoit les contrats à durée indéterminée (CDI) et le contrat à durée déterminée (CDD). La période d’essai pour le CDD est d’un mois et six mois pour le CDI. En plus de ces deux types de contrat, la loi congolaise prévoit également le contrat d’apprentissage dont la durée maximale n’excède pas 48 mois. La prorogation des services au-delà de cette durée maximale d’essai entraîne automatiquement la confirmation du contrat de travail. Le CDD est renouvelable une seule fois, une dérogation est faite pour l’exécution des travaux saisonniers, d’ouvrage bien définis et autres travaux déterminés par l’arrêté Ministériel. </w:t>
            </w:r>
          </w:p>
        </w:tc>
        <w:tc>
          <w:tcPr>
            <w:tcW w:w="1612" w:type="pct"/>
            <w:shd w:val="clear" w:color="auto" w:fill="auto"/>
            <w:vAlign w:val="center"/>
          </w:tcPr>
          <w:p w14:paraId="24105223" w14:textId="1DEE7823"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aux exigences de la NES 2</w:t>
            </w:r>
            <w:r w:rsidR="00FB1D47" w:rsidRPr="00420C1B">
              <w:rPr>
                <w:rFonts w:ascii="Times New Roman" w:hAnsi="Times New Roman"/>
              </w:rPr>
              <w:t>. Ainsi, la NES 2 de la Banque mondiale sera d’application.</w:t>
            </w:r>
          </w:p>
        </w:tc>
      </w:tr>
      <w:tr w:rsidR="00C4359F" w:rsidRPr="00420C1B" w14:paraId="2477C41F" w14:textId="77777777" w:rsidTr="00E737B4">
        <w:trPr>
          <w:cantSplit/>
          <w:jc w:val="center"/>
        </w:trPr>
        <w:tc>
          <w:tcPr>
            <w:tcW w:w="1194" w:type="pct"/>
          </w:tcPr>
          <w:p w14:paraId="27B4006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Établir des procédures écrites de gestion de la main d’œuvre qui s’appliquent au projet, y compris les conditions de travail et d’emploi</w:t>
            </w:r>
          </w:p>
          <w:p w14:paraId="3F7FE886"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9 à 12</w:t>
            </w:r>
          </w:p>
        </w:tc>
        <w:tc>
          <w:tcPr>
            <w:tcW w:w="2194" w:type="pct"/>
            <w:shd w:val="clear" w:color="auto" w:fill="auto"/>
            <w:vAlign w:val="center"/>
          </w:tcPr>
          <w:p w14:paraId="2908419C"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 xml:space="preserve">La loi ne réfère pas explicitement a des procédures écrites de gestion des ressources humaines mais l’article 157 exige le règlement d’entreprise et son contenu concerne essentiellement les règles relatives à l'organisation technique du travail, à la discipline, aux prescriptions concernant l'hygiène et la sécurité nécessaires à la bonne marche de l'entreprise, de l'établissement ou du service et aux modalités de paiement des rémunérations. </w:t>
            </w:r>
          </w:p>
        </w:tc>
        <w:tc>
          <w:tcPr>
            <w:tcW w:w="1612" w:type="pct"/>
            <w:shd w:val="clear" w:color="auto" w:fill="auto"/>
            <w:vAlign w:val="center"/>
          </w:tcPr>
          <w:p w14:paraId="3CC9CAD9" w14:textId="40647868"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n°2. Donc, ces sont les dispositions de la loi </w:t>
            </w:r>
            <w:r w:rsidR="00AD491C" w:rsidRPr="00420C1B">
              <w:rPr>
                <w:rFonts w:ascii="Times New Roman" w:hAnsi="Times New Roman"/>
              </w:rPr>
              <w:t xml:space="preserve">nationale </w:t>
            </w:r>
            <w:r w:rsidRPr="00420C1B">
              <w:rPr>
                <w:rFonts w:ascii="Times New Roman" w:hAnsi="Times New Roman"/>
              </w:rPr>
              <w:t>qui vont s’appliquer</w:t>
            </w:r>
          </w:p>
        </w:tc>
      </w:tr>
      <w:tr w:rsidR="00C4359F" w:rsidRPr="00420C1B" w14:paraId="34FFA9F0" w14:textId="77777777" w:rsidTr="00E737B4">
        <w:trPr>
          <w:cantSplit/>
          <w:jc w:val="center"/>
        </w:trPr>
        <w:tc>
          <w:tcPr>
            <w:tcW w:w="1194" w:type="pct"/>
          </w:tcPr>
          <w:p w14:paraId="21AB923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Assurer la non-discrimination et l'égalité des chances, prévenir la discrimination, et prendre des mesures pour protéger les personnes vulnérables</w:t>
            </w:r>
          </w:p>
          <w:p w14:paraId="4E14D6E4"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13-15</w:t>
            </w:r>
          </w:p>
        </w:tc>
        <w:tc>
          <w:tcPr>
            <w:tcW w:w="2194" w:type="pct"/>
            <w:shd w:val="clear" w:color="auto" w:fill="auto"/>
            <w:vAlign w:val="center"/>
          </w:tcPr>
          <w:p w14:paraId="1084C84A"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L’une des innovations les plus importantes de la Loi n°15/2002 du 16 octobre 2002 portant Code du Travail est le renforcement des mesures antidiscriminatoires à l’égard des femmes et des personnes avec handicap.</w:t>
            </w:r>
          </w:p>
        </w:tc>
        <w:tc>
          <w:tcPr>
            <w:tcW w:w="1612" w:type="pct"/>
            <w:shd w:val="clear" w:color="auto" w:fill="auto"/>
            <w:vAlign w:val="center"/>
          </w:tcPr>
          <w:p w14:paraId="51048218" w14:textId="18D6D212"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n°2. Donc, ces sont les dispositions de la loi </w:t>
            </w:r>
            <w:r w:rsidR="00AD491C" w:rsidRPr="00420C1B">
              <w:rPr>
                <w:rFonts w:ascii="Times New Roman" w:hAnsi="Times New Roman"/>
              </w:rPr>
              <w:t xml:space="preserve">nationale </w:t>
            </w:r>
            <w:r w:rsidRPr="00420C1B">
              <w:rPr>
                <w:rFonts w:ascii="Times New Roman" w:hAnsi="Times New Roman"/>
              </w:rPr>
              <w:t>qui vont s’appliquer</w:t>
            </w:r>
          </w:p>
        </w:tc>
      </w:tr>
      <w:tr w:rsidR="00C4359F" w:rsidRPr="00420C1B" w14:paraId="62FE93AA" w14:textId="77777777" w:rsidTr="00E737B4">
        <w:trPr>
          <w:cantSplit/>
          <w:jc w:val="center"/>
        </w:trPr>
        <w:tc>
          <w:tcPr>
            <w:tcW w:w="1194" w:type="pct"/>
          </w:tcPr>
          <w:p w14:paraId="4F27202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Respecter le rôle des organisations de travailleurs dans les pays où le droit national reconnaît le droit des travailleurs à se constituer en association</w:t>
            </w:r>
          </w:p>
          <w:p w14:paraId="2B0921FB"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16</w:t>
            </w:r>
          </w:p>
        </w:tc>
        <w:tc>
          <w:tcPr>
            <w:tcW w:w="2194" w:type="pct"/>
            <w:shd w:val="clear" w:color="auto" w:fill="auto"/>
            <w:vAlign w:val="center"/>
          </w:tcPr>
          <w:p w14:paraId="18695B4D"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n°15/2002 prévoit à l’Art 230 et 7 que les travailleurs ont le droit de se constituer en organisations ayant exclusivement pour objet l’étude, la défense et le développement de leurs intérêts professionnels ainsi que le progrès social, économique et moral de leurs membres.</w:t>
            </w:r>
          </w:p>
        </w:tc>
        <w:tc>
          <w:tcPr>
            <w:tcW w:w="1612" w:type="pct"/>
            <w:shd w:val="clear" w:color="auto" w:fill="auto"/>
            <w:vAlign w:val="center"/>
          </w:tcPr>
          <w:p w14:paraId="1CE04688" w14:textId="3061618E"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n°2. Donc, ces sont les dispositions de la loi </w:t>
            </w:r>
            <w:r w:rsidR="00AD491C" w:rsidRPr="00420C1B">
              <w:rPr>
                <w:rFonts w:ascii="Times New Roman" w:hAnsi="Times New Roman"/>
              </w:rPr>
              <w:t xml:space="preserve">nationale </w:t>
            </w:r>
            <w:r w:rsidRPr="00420C1B">
              <w:rPr>
                <w:rFonts w:ascii="Times New Roman" w:hAnsi="Times New Roman"/>
              </w:rPr>
              <w:t>qui vont s’appliquer</w:t>
            </w:r>
          </w:p>
        </w:tc>
      </w:tr>
      <w:tr w:rsidR="00C4359F" w:rsidRPr="00420C1B" w14:paraId="6A9A72C8" w14:textId="77777777" w:rsidTr="00E737B4">
        <w:trPr>
          <w:cantSplit/>
          <w:jc w:val="center"/>
        </w:trPr>
        <w:tc>
          <w:tcPr>
            <w:tcW w:w="1194" w:type="pct"/>
          </w:tcPr>
          <w:p w14:paraId="5B73CCCE"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Ne pas employer les enfants n’ayant pas atteint l’âge minimum et ne pas avoir recours au travail forcé.</w:t>
            </w:r>
          </w:p>
          <w:p w14:paraId="0484D1D5"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17-20</w:t>
            </w:r>
          </w:p>
        </w:tc>
        <w:tc>
          <w:tcPr>
            <w:tcW w:w="2194" w:type="pct"/>
            <w:shd w:val="clear" w:color="auto" w:fill="auto"/>
            <w:vAlign w:val="center"/>
          </w:tcPr>
          <w:p w14:paraId="7672876E"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fixe l'âge minimum d'accession à l'emploi à 15 ans, après que l'employeur ait obtenu le consentement des parents ou des tuteurs de l'enfant. Les enfants de moins de 16 ans ne sont pas autorisés à travailler plus de 4 heures par jour et aucun enfant n'est autorisé à occuper des postes dangereux, figurant sur la liste établie par le gouvernement.</w:t>
            </w:r>
          </w:p>
          <w:p w14:paraId="22C289DD"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Toutes les pires formes de travail des enfants sont abolies aux termes de l'article 3 du code du travail. L'article reprend in extenso les points a) à b) de l'article 3 de la C182 qui énumèrent certaines pires formes de travail des enfants. L’Arrêté ministériel n°12/CAB.MIN/TPSI/045/08 du 08 août 2008 fixe les conditions de travail des enfants.</w:t>
            </w:r>
          </w:p>
        </w:tc>
        <w:tc>
          <w:tcPr>
            <w:tcW w:w="1612" w:type="pct"/>
            <w:shd w:val="clear" w:color="auto" w:fill="auto"/>
            <w:vAlign w:val="center"/>
          </w:tcPr>
          <w:p w14:paraId="1C2FA35A" w14:textId="1FB9B09F"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n°2. Donc, ces sont les dispositions de la loi </w:t>
            </w:r>
            <w:r w:rsidR="00AD491C" w:rsidRPr="00420C1B">
              <w:rPr>
                <w:rFonts w:ascii="Times New Roman" w:hAnsi="Times New Roman"/>
              </w:rPr>
              <w:t xml:space="preserve">nationale </w:t>
            </w:r>
            <w:r w:rsidRPr="00420C1B">
              <w:rPr>
                <w:rFonts w:ascii="Times New Roman" w:hAnsi="Times New Roman"/>
              </w:rPr>
              <w:t>qui vont s’appliquer</w:t>
            </w:r>
          </w:p>
        </w:tc>
      </w:tr>
      <w:tr w:rsidR="00C4359F" w:rsidRPr="00420C1B" w14:paraId="13E44B3E" w14:textId="77777777" w:rsidTr="00E737B4">
        <w:trPr>
          <w:cantSplit/>
          <w:jc w:val="center"/>
        </w:trPr>
        <w:tc>
          <w:tcPr>
            <w:tcW w:w="1194" w:type="pct"/>
          </w:tcPr>
          <w:p w14:paraId="4232609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Mettre à disposition de tous les travailleurs un mécanisme de gestion des plaintes.  Ce mécanisme est distinct de celui requis par la NES10 et n’est pas applicable aux travailleurs communautaires)</w:t>
            </w:r>
          </w:p>
          <w:p w14:paraId="21B1277A"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21-23, 33, 36</w:t>
            </w:r>
          </w:p>
        </w:tc>
        <w:tc>
          <w:tcPr>
            <w:tcW w:w="2194" w:type="pct"/>
            <w:shd w:val="clear" w:color="auto" w:fill="auto"/>
            <w:vAlign w:val="center"/>
          </w:tcPr>
          <w:p w14:paraId="24442EE4"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législation nationale ne mentionne pas ce mécanisme de gestion des plaintes pour les travailleurs mais la Loi n°15/2002 du 16 octobre 2002 portant Code du Travail, en son article 62, Chapitre VI, Section I, dispose que : Ne constitue pas de motifs valables de licenciement notamment … le fait d’avoir déposé une plainte ou participé à des procédures engagées contre un employeur en raison de violations alléguées de la législation, ou présenté un recours devant les autorités administratives compétentes, …</w:t>
            </w:r>
          </w:p>
        </w:tc>
        <w:tc>
          <w:tcPr>
            <w:tcW w:w="1612" w:type="pct"/>
            <w:shd w:val="clear" w:color="auto" w:fill="auto"/>
            <w:vAlign w:val="center"/>
          </w:tcPr>
          <w:p w14:paraId="66C7A3D0" w14:textId="75890AB5"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 loi nationale prend en compte implicitement cette exigence de la NES n°2 et donc la satisfait partiellement. Il sera nécessaire donc de prendre en compte le mécanisme de gestion des plaintes pour les travailleurs. </w:t>
            </w:r>
            <w:r w:rsidR="00AD491C">
              <w:rPr>
                <w:rFonts w:ascii="Times New Roman" w:eastAsia="Arial" w:hAnsi="Times New Roman"/>
                <w:w w:val="105"/>
              </w:rPr>
              <w:t>A</w:t>
            </w:r>
            <w:r w:rsidR="005B408B">
              <w:rPr>
                <w:rFonts w:ascii="Times New Roman" w:eastAsia="Arial" w:hAnsi="Times New Roman"/>
                <w:w w:val="105"/>
              </w:rPr>
              <w:t>i</w:t>
            </w:r>
            <w:r w:rsidR="00AD491C">
              <w:rPr>
                <w:rFonts w:ascii="Times New Roman" w:eastAsia="Arial" w:hAnsi="Times New Roman"/>
                <w:w w:val="105"/>
              </w:rPr>
              <w:t>nsi</w:t>
            </w:r>
            <w:r w:rsidR="005B408B">
              <w:rPr>
                <w:rFonts w:ascii="Times New Roman" w:eastAsia="Arial" w:hAnsi="Times New Roman"/>
                <w:w w:val="105"/>
              </w:rPr>
              <w:t>, c’est l</w:t>
            </w:r>
            <w:r w:rsidRPr="00E737B4">
              <w:rPr>
                <w:rFonts w:ascii="Times New Roman" w:eastAsia="Arial" w:hAnsi="Times New Roman"/>
                <w:w w:val="105"/>
              </w:rPr>
              <w:t xml:space="preserve">a NES n°2 </w:t>
            </w:r>
            <w:r w:rsidR="005B408B">
              <w:rPr>
                <w:rFonts w:ascii="Times New Roman" w:eastAsia="Arial" w:hAnsi="Times New Roman"/>
                <w:w w:val="105"/>
              </w:rPr>
              <w:t xml:space="preserve">qui </w:t>
            </w:r>
            <w:r w:rsidRPr="00E737B4">
              <w:rPr>
                <w:rFonts w:ascii="Times New Roman" w:eastAsia="Arial" w:hAnsi="Times New Roman"/>
                <w:w w:val="105"/>
              </w:rPr>
              <w:t>s’appliquera</w:t>
            </w:r>
          </w:p>
        </w:tc>
      </w:tr>
      <w:tr w:rsidR="00C4359F" w:rsidRPr="00420C1B" w14:paraId="2AECA9A2" w14:textId="77777777" w:rsidTr="00E737B4">
        <w:trPr>
          <w:cantSplit/>
          <w:jc w:val="center"/>
        </w:trPr>
        <w:tc>
          <w:tcPr>
            <w:tcW w:w="1194" w:type="pct"/>
            <w:vAlign w:val="center"/>
          </w:tcPr>
          <w:p w14:paraId="3827337C" w14:textId="77777777" w:rsidR="00C4359F" w:rsidRPr="00E737B4" w:rsidRDefault="00C4359F" w:rsidP="005232A3">
            <w:pPr>
              <w:widowControl w:val="0"/>
              <w:autoSpaceDE w:val="0"/>
              <w:autoSpaceDN w:val="0"/>
              <w:spacing w:after="0" w:line="240" w:lineRule="auto"/>
              <w:rPr>
                <w:rFonts w:ascii="Times New Roman" w:eastAsia="Arial" w:hAnsi="Times New Roman"/>
                <w:w w:val="105"/>
              </w:rPr>
            </w:pPr>
            <w:r w:rsidRPr="00E737B4">
              <w:rPr>
                <w:rFonts w:ascii="Times New Roman" w:eastAsia="Arial" w:hAnsi="Times New Roman"/>
                <w:w w:val="105"/>
              </w:rPr>
              <w:t>Appliquer les mesures relatives à la santé et la sécurité au travail en tenant compte des DESS</w:t>
            </w:r>
          </w:p>
          <w:p w14:paraId="52EEEB18" w14:textId="77777777" w:rsidR="00C4359F" w:rsidRPr="00420C1B" w:rsidRDefault="00C4359F" w:rsidP="005232A3">
            <w:pPr>
              <w:autoSpaceDE w:val="0"/>
              <w:autoSpaceDN w:val="0"/>
              <w:adjustRightInd w:val="0"/>
              <w:spacing w:after="0" w:line="240" w:lineRule="auto"/>
              <w:rPr>
                <w:rFonts w:ascii="Times New Roman" w:hAnsi="Times New Roman"/>
              </w:rPr>
            </w:pPr>
            <w:r w:rsidRPr="00420C1B">
              <w:rPr>
                <w:rFonts w:ascii="Times New Roman" w:hAnsi="Times New Roman"/>
                <w:i/>
                <w:iCs/>
              </w:rPr>
              <w:t>Paragraphes 24-30</w:t>
            </w:r>
          </w:p>
        </w:tc>
        <w:tc>
          <w:tcPr>
            <w:tcW w:w="2194" w:type="pct"/>
            <w:shd w:val="clear" w:color="auto" w:fill="auto"/>
            <w:vAlign w:val="center"/>
          </w:tcPr>
          <w:p w14:paraId="32BDE9C3"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L’une des innovations les plus importantes de la Loi n°15/2002 du 16 octobre 2002 portant Code du Travail est la mise en place des structures appropriées en matière de santé et sécurité au travail afin d’assurer une protection optimale du travailleur contre les nuisances.</w:t>
            </w:r>
          </w:p>
          <w:p w14:paraId="3ABDA2D9" w14:textId="77777777" w:rsidR="00C4359F" w:rsidRPr="00E737B4" w:rsidRDefault="00C4359F" w:rsidP="005232A3">
            <w:pPr>
              <w:autoSpaceDE w:val="0"/>
              <w:autoSpaceDN w:val="0"/>
              <w:adjustRightInd w:val="0"/>
              <w:spacing w:before="120" w:after="120" w:line="240" w:lineRule="auto"/>
              <w:jc w:val="both"/>
              <w:rPr>
                <w:rFonts w:ascii="Times New Roman" w:eastAsia="Arial" w:hAnsi="Times New Roman"/>
                <w:w w:val="105"/>
              </w:rPr>
            </w:pPr>
            <w:r w:rsidRPr="00E737B4">
              <w:rPr>
                <w:rFonts w:ascii="Times New Roman" w:eastAsia="Arial" w:hAnsi="Times New Roman"/>
                <w:w w:val="105"/>
              </w:rPr>
              <w:t>La Loi n° 16/010 du 15 juillet 2016 modifiant et complétant la Loi n° 015-2002 portant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 ;</w:t>
            </w:r>
          </w:p>
          <w:p w14:paraId="181D43D7" w14:textId="77777777" w:rsidR="00C4359F" w:rsidRPr="00E737B4" w:rsidRDefault="00C4359F" w:rsidP="005232A3">
            <w:pPr>
              <w:autoSpaceDE w:val="0"/>
              <w:autoSpaceDN w:val="0"/>
              <w:adjustRightInd w:val="0"/>
              <w:spacing w:before="120" w:after="0" w:line="240" w:lineRule="auto"/>
              <w:jc w:val="both"/>
              <w:rPr>
                <w:rFonts w:ascii="Times New Roman" w:eastAsia="Arial" w:hAnsi="Times New Roman"/>
                <w:w w:val="105"/>
              </w:rPr>
            </w:pPr>
            <w:r w:rsidRPr="00E737B4">
              <w:rPr>
                <w:rFonts w:ascii="Times New Roman" w:eastAsia="Arial" w:hAnsi="Times New Roman"/>
                <w:w w:val="105"/>
              </w:rPr>
              <w:t>Le Décret n°18/17 du 22 mai 2018 portant fixation du Salaire Minimum Interprofessionnel garanti, des allocations familiales minima et de la contre-valeur du logement.</w:t>
            </w:r>
          </w:p>
        </w:tc>
        <w:tc>
          <w:tcPr>
            <w:tcW w:w="1612" w:type="pct"/>
            <w:shd w:val="clear" w:color="auto" w:fill="auto"/>
            <w:vAlign w:val="center"/>
          </w:tcPr>
          <w:p w14:paraId="35C03CE3" w14:textId="63C5F558" w:rsidR="00C4359F" w:rsidRPr="00420C1B" w:rsidRDefault="00C4359F" w:rsidP="005232A3">
            <w:pPr>
              <w:spacing w:after="0" w:line="240" w:lineRule="auto"/>
              <w:rPr>
                <w:rFonts w:ascii="Times New Roman" w:hAnsi="Times New Roman"/>
              </w:rPr>
            </w:pPr>
            <w:r w:rsidRPr="00420C1B">
              <w:rPr>
                <w:rFonts w:ascii="Times New Roman" w:hAnsi="Times New Roman"/>
              </w:rPr>
              <w:t>La loi nationale satisfait cette exigence de la NES n°2.</w:t>
            </w:r>
            <w:r w:rsidR="005B408B" w:rsidRPr="00420C1B">
              <w:rPr>
                <w:rFonts w:ascii="Times New Roman" w:hAnsi="Times New Roman"/>
              </w:rPr>
              <w:t xml:space="preserve"> Donc, ces sont les dispositions de la loi nationale qui vont s’appliquer</w:t>
            </w:r>
          </w:p>
        </w:tc>
      </w:tr>
      <w:tr w:rsidR="00C4359F" w:rsidRPr="00420C1B" w14:paraId="6AF56D00" w14:textId="77777777" w:rsidTr="00E737B4">
        <w:trPr>
          <w:cantSplit/>
          <w:jc w:val="center"/>
        </w:trPr>
        <w:tc>
          <w:tcPr>
            <w:tcW w:w="1194" w:type="pct"/>
          </w:tcPr>
          <w:p w14:paraId="5434652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Gérer les travailleurs contractuels des tiers et vérifier la fiabilité des entités contractantes</w:t>
            </w:r>
          </w:p>
          <w:p w14:paraId="791A2119"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31-32</w:t>
            </w:r>
          </w:p>
        </w:tc>
        <w:tc>
          <w:tcPr>
            <w:tcW w:w="2194" w:type="pct"/>
            <w:shd w:val="clear" w:color="auto" w:fill="auto"/>
            <w:vAlign w:val="center"/>
          </w:tcPr>
          <w:p w14:paraId="7A74AD4C"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n°2017-01 du 08 février 2017  fixe les règles applicables à la sous-traitance entre personnes physiques ou morales de droit privé. Elle vise à promouvoir les petites et moyennes entreprises à capitaux, à protéger la main-d’œuvre nationale. </w:t>
            </w:r>
          </w:p>
        </w:tc>
        <w:tc>
          <w:tcPr>
            <w:tcW w:w="1612" w:type="pct"/>
            <w:shd w:val="clear" w:color="auto" w:fill="auto"/>
            <w:vAlign w:val="center"/>
          </w:tcPr>
          <w:p w14:paraId="69292821" w14:textId="199E695B"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cette exigence de la NES n°2.</w:t>
            </w:r>
            <w:r w:rsidR="005B408B" w:rsidRPr="00420C1B">
              <w:rPr>
                <w:rFonts w:ascii="Times New Roman" w:hAnsi="Times New Roman"/>
              </w:rPr>
              <w:t xml:space="preserve"> Donc, ces sont les dispositions de la loi nationale qui vont s’appliquer</w:t>
            </w:r>
          </w:p>
        </w:tc>
      </w:tr>
      <w:tr w:rsidR="00C4359F" w:rsidRPr="00420C1B" w14:paraId="66F2B150" w14:textId="77777777" w:rsidTr="00E737B4">
        <w:trPr>
          <w:cantSplit/>
          <w:jc w:val="center"/>
        </w:trPr>
        <w:tc>
          <w:tcPr>
            <w:tcW w:w="1194" w:type="pct"/>
          </w:tcPr>
          <w:p w14:paraId="6463923B"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Appliquera les dispositions pertinentes de la présente NES d’une manière proportionnée aux activités spécifiques auxquelles contribuent les travailleurs communautaires, et la nature des risques et effets potentiels</w:t>
            </w:r>
          </w:p>
          <w:p w14:paraId="5AEDDDBD"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34 à 38</w:t>
            </w:r>
          </w:p>
        </w:tc>
        <w:tc>
          <w:tcPr>
            <w:tcW w:w="2194" w:type="pct"/>
            <w:shd w:val="clear" w:color="auto" w:fill="auto"/>
            <w:vAlign w:val="center"/>
          </w:tcPr>
          <w:p w14:paraId="7260829C"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La Constitution de la RDC prévoit dans son Art.215 que les traités et accords internationaux régulièrement conclus, ont dès leur publication, une autorité supérieure à celle des lois, sous réserve pour chaque traité ou accord, de son application par l’autre partie.</w:t>
            </w:r>
          </w:p>
        </w:tc>
        <w:tc>
          <w:tcPr>
            <w:tcW w:w="1612" w:type="pct"/>
            <w:shd w:val="clear" w:color="auto" w:fill="auto"/>
            <w:vAlign w:val="center"/>
          </w:tcPr>
          <w:p w14:paraId="7B7F8A89" w14:textId="59930EA8" w:rsidR="00C4359F" w:rsidRPr="00420C1B" w:rsidRDefault="0068264A" w:rsidP="005232A3">
            <w:pPr>
              <w:spacing w:after="0" w:line="240" w:lineRule="auto"/>
              <w:jc w:val="both"/>
              <w:rPr>
                <w:rFonts w:ascii="Times New Roman" w:hAnsi="Times New Roman"/>
              </w:rPr>
            </w:pPr>
            <w:r w:rsidRPr="00420C1B">
              <w:rPr>
                <w:rFonts w:ascii="Times New Roman" w:hAnsi="Times New Roman"/>
              </w:rPr>
              <w:t xml:space="preserve">Ce sont des dispositions de la loi nationale ou </w:t>
            </w:r>
            <w:r w:rsidR="00571762" w:rsidRPr="00420C1B">
              <w:rPr>
                <w:rFonts w:ascii="Times New Roman" w:hAnsi="Times New Roman"/>
              </w:rPr>
              <w:t xml:space="preserve">du CES de la Banque mondiale </w:t>
            </w:r>
            <w:r w:rsidRPr="00420C1B">
              <w:rPr>
                <w:rFonts w:ascii="Times New Roman" w:hAnsi="Times New Roman"/>
              </w:rPr>
              <w:t xml:space="preserve"> qui sont favorables aux bénéficiaires qui vont s’appliquer</w:t>
            </w:r>
          </w:p>
        </w:tc>
      </w:tr>
      <w:tr w:rsidR="00C4359F" w:rsidRPr="00420C1B" w14:paraId="5EDAA0B9" w14:textId="77777777" w:rsidTr="00E737B4">
        <w:trPr>
          <w:cantSplit/>
          <w:jc w:val="center"/>
        </w:trPr>
        <w:tc>
          <w:tcPr>
            <w:tcW w:w="1194" w:type="pct"/>
          </w:tcPr>
          <w:p w14:paraId="07893A89" w14:textId="7C00E699"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Gérer les risques associés aux fournisseurs principaux</w:t>
            </w:r>
          </w:p>
          <w:p w14:paraId="36973F89" w14:textId="4CD1617F"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39</w:t>
            </w:r>
          </w:p>
        </w:tc>
        <w:tc>
          <w:tcPr>
            <w:tcW w:w="2194" w:type="pct"/>
            <w:shd w:val="clear" w:color="auto" w:fill="auto"/>
            <w:vAlign w:val="center"/>
          </w:tcPr>
          <w:p w14:paraId="636D3339"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Décret n°18/019 portant mesures d’application de la loi 17-001 du 08 février 2017 fixant les règles applicables à la sous-traitance dans le secteur privé.</w:t>
            </w:r>
          </w:p>
        </w:tc>
        <w:tc>
          <w:tcPr>
            <w:tcW w:w="1612" w:type="pct"/>
            <w:shd w:val="clear" w:color="auto" w:fill="auto"/>
            <w:vAlign w:val="center"/>
          </w:tcPr>
          <w:p w14:paraId="6F530458" w14:textId="2B0B4A94"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cette exigence de la NES n°2.</w:t>
            </w:r>
            <w:r w:rsidR="00571762" w:rsidRPr="00420C1B">
              <w:rPr>
                <w:rFonts w:ascii="Times New Roman" w:hAnsi="Times New Roman"/>
              </w:rPr>
              <w:t xml:space="preserve"> Donc, ces sont les dispositions de la loi nationale qui vont s’appliquer</w:t>
            </w:r>
          </w:p>
        </w:tc>
      </w:tr>
    </w:tbl>
    <w:p w14:paraId="0454C3AF" w14:textId="77777777" w:rsidR="00C4359F" w:rsidRDefault="00C4359F"/>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6518"/>
        <w:gridCol w:w="4789"/>
      </w:tblGrid>
      <w:tr w:rsidR="00C4359F" w:rsidRPr="00420C1B" w14:paraId="1A188C59" w14:textId="77777777" w:rsidTr="00E737B4">
        <w:trPr>
          <w:tblHeader/>
          <w:jc w:val="center"/>
        </w:trPr>
        <w:tc>
          <w:tcPr>
            <w:tcW w:w="1194" w:type="pct"/>
            <w:shd w:val="clear" w:color="auto" w:fill="92D050"/>
            <w:vAlign w:val="center"/>
          </w:tcPr>
          <w:p w14:paraId="42E3C852"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194" w:type="pct"/>
            <w:shd w:val="clear" w:color="auto" w:fill="92D050"/>
            <w:vAlign w:val="center"/>
          </w:tcPr>
          <w:p w14:paraId="3788D106"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612" w:type="pct"/>
            <w:shd w:val="clear" w:color="auto" w:fill="92D050"/>
            <w:vAlign w:val="center"/>
          </w:tcPr>
          <w:p w14:paraId="047F136A" w14:textId="6B946C76" w:rsidR="00C4359F" w:rsidRPr="00420C1B" w:rsidRDefault="00C4359F" w:rsidP="00777EE5">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61BB8651" w14:textId="77777777" w:rsidTr="00E737B4">
        <w:trPr>
          <w:jc w:val="center"/>
        </w:trPr>
        <w:tc>
          <w:tcPr>
            <w:tcW w:w="5000" w:type="pct"/>
            <w:gridSpan w:val="3"/>
            <w:shd w:val="clear" w:color="auto" w:fill="C5E0B3"/>
            <w:vAlign w:val="center"/>
          </w:tcPr>
          <w:p w14:paraId="3ACCE6B5" w14:textId="77777777" w:rsidR="00C4359F" w:rsidRPr="00420C1B" w:rsidRDefault="00C4359F" w:rsidP="005232A3">
            <w:pPr>
              <w:keepNext/>
              <w:keepLines/>
              <w:spacing w:after="0" w:line="240" w:lineRule="auto"/>
              <w:jc w:val="both"/>
              <w:rPr>
                <w:rFonts w:ascii="Times New Roman" w:hAnsi="Times New Roman"/>
                <w:b/>
                <w:bCs/>
              </w:rPr>
            </w:pPr>
            <w:r w:rsidRPr="00420C1B">
              <w:rPr>
                <w:rFonts w:ascii="Times New Roman" w:hAnsi="Times New Roman"/>
                <w:b/>
                <w:bCs/>
              </w:rPr>
              <w:t xml:space="preserve">NES 3.  Utilisation rationnelle des ressources et prévention et gestion de la pollution </w:t>
            </w:r>
          </w:p>
        </w:tc>
      </w:tr>
      <w:tr w:rsidR="00C4359F" w:rsidRPr="00420C1B" w14:paraId="7AEBC347" w14:textId="77777777" w:rsidTr="00E737B4">
        <w:trPr>
          <w:cantSplit/>
          <w:jc w:val="center"/>
        </w:trPr>
        <w:tc>
          <w:tcPr>
            <w:tcW w:w="1194" w:type="pct"/>
          </w:tcPr>
          <w:p w14:paraId="721CC61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Adopter les mesures indiquées dans les Directives ESS pour optimiser l’utilisation de l’énergie lorsque cela est techniquement et financièrement possible</w:t>
            </w:r>
          </w:p>
          <w:p w14:paraId="54E83313"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6</w:t>
            </w:r>
          </w:p>
        </w:tc>
        <w:tc>
          <w:tcPr>
            <w:tcW w:w="2194" w:type="pct"/>
            <w:shd w:val="clear" w:color="auto" w:fill="auto"/>
            <w:vAlign w:val="center"/>
          </w:tcPr>
          <w:p w14:paraId="6AFC4E1F"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 Loi cadre N°11/009 réfère à la gestion des ressources en eaux, notamment : les eaux souterraines et de surface, tant continentales que maritimes. Leur protection, leur mise en valeur et leur utilisation ainsi que la coopération interétatique pour les lacs et les cours d’eau transfrontalières soient effectués dans le respect des équilibres écologiques. Cette loi ne référé pas à la gestion durable de l’énergie mais la Loi N° 14/011 DU 17 juin 2014 relative au secteur de l’électricité, prescrit la couverture des besoins en électricité de toutes les catégories de consommateurs par des fournitures de qualité et dans le respect des normes de l'environnement et de sécurité. </w:t>
            </w:r>
          </w:p>
          <w:p w14:paraId="6C4DDC84" w14:textId="77777777" w:rsidR="00C4359F" w:rsidRPr="00E737B4" w:rsidRDefault="00C4359F" w:rsidP="005232A3">
            <w:pPr>
              <w:widowControl w:val="0"/>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n°15/026 du 31 décembre relative à l’eau détermine les instruments nécessaires pour la gestion rationnelle et équilibrée du patrimoine hydrique, selon une approche multisectorielle qui tienne compte des besoins présents et à venir et protégé la ressource en eau et réglemente son utilisation</w:t>
            </w:r>
          </w:p>
        </w:tc>
        <w:tc>
          <w:tcPr>
            <w:tcW w:w="1612" w:type="pct"/>
            <w:shd w:val="clear" w:color="auto" w:fill="auto"/>
            <w:vAlign w:val="center"/>
          </w:tcPr>
          <w:p w14:paraId="0211AB78" w14:textId="2F701BA9" w:rsidR="00C4359F" w:rsidRPr="00420C1B" w:rsidRDefault="00C4359F" w:rsidP="005232A3">
            <w:pPr>
              <w:spacing w:after="0" w:line="240" w:lineRule="auto"/>
              <w:rPr>
                <w:rFonts w:ascii="Times New Roman" w:hAnsi="Times New Roman"/>
              </w:rPr>
            </w:pPr>
            <w:r w:rsidRPr="00420C1B">
              <w:rPr>
                <w:rFonts w:ascii="Times New Roman" w:hAnsi="Times New Roman"/>
              </w:rPr>
              <w:t xml:space="preserve">La loi nationale satisfait cette exigence de la NES n°3. </w:t>
            </w:r>
            <w:r w:rsidR="00571762" w:rsidRPr="00420C1B">
              <w:rPr>
                <w:rFonts w:ascii="Times New Roman" w:hAnsi="Times New Roman"/>
              </w:rPr>
              <w:t>Donc, ces sont les dispositions de la loi nationale qui vont s’appliquer</w:t>
            </w:r>
          </w:p>
        </w:tc>
      </w:tr>
      <w:tr w:rsidR="00C4359F" w:rsidRPr="00420C1B" w14:paraId="6CEC47B5" w14:textId="77777777" w:rsidTr="00E737B4">
        <w:trPr>
          <w:cantSplit/>
          <w:jc w:val="center"/>
        </w:trPr>
        <w:tc>
          <w:tcPr>
            <w:tcW w:w="1194" w:type="pct"/>
          </w:tcPr>
          <w:p w14:paraId="41AF6CD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Adopter des mesures pour éviter ou réduire la surconsommation d’eau, lorsque cela est techniquement et financièrement possible.</w:t>
            </w:r>
          </w:p>
          <w:p w14:paraId="01EF29D5"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7 à 9</w:t>
            </w:r>
          </w:p>
        </w:tc>
        <w:tc>
          <w:tcPr>
            <w:tcW w:w="2194" w:type="pct"/>
            <w:shd w:val="clear" w:color="auto" w:fill="auto"/>
            <w:vAlign w:val="center"/>
          </w:tcPr>
          <w:p w14:paraId="4F248CEC"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n°15/026 du 31 décembre relative à l’eau détermine les instruments nécessaires pour la gestion rationnelle et équilibrée du patrimoine hydrique, selon une approche multisectorielle qui tienne compte des besoins présents et à venir et protégé la ressource en eau et réglemente son utilisation</w:t>
            </w:r>
          </w:p>
          <w:p w14:paraId="483F0A96"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Le gouvernement, le gouvernement provincial ainsi les collèges exécutifs urbain, communal, de secteur et de chefferie prennent, chacun dans les limites de ses compétences et attributions, les mesures destinées à l’inventaire de toutes les ressources en eau, à leur conversation, en ce compris, les zones humides, les zones côtières et les bassins et sous-bassins versants, ainsi qu’à leur protection, à la prévention et au contrôle de la pollution (Art. 13).</w:t>
            </w:r>
          </w:p>
        </w:tc>
        <w:tc>
          <w:tcPr>
            <w:tcW w:w="1612" w:type="pct"/>
            <w:shd w:val="clear" w:color="auto" w:fill="auto"/>
            <w:vAlign w:val="center"/>
          </w:tcPr>
          <w:p w14:paraId="3585E699" w14:textId="5E3D2A00" w:rsidR="00C4359F" w:rsidRPr="00420C1B" w:rsidRDefault="00C4359F" w:rsidP="005232A3">
            <w:pPr>
              <w:spacing w:after="0" w:line="240" w:lineRule="auto"/>
              <w:rPr>
                <w:rFonts w:ascii="Times New Roman" w:hAnsi="Times New Roman"/>
              </w:rPr>
            </w:pPr>
            <w:r w:rsidRPr="00420C1B">
              <w:rPr>
                <w:rFonts w:ascii="Times New Roman" w:hAnsi="Times New Roman"/>
              </w:rPr>
              <w:t xml:space="preserve">La loi nationale satisfait cette exigence de la NES n°3. </w:t>
            </w:r>
            <w:r w:rsidR="00571762" w:rsidRPr="00420C1B">
              <w:rPr>
                <w:rFonts w:ascii="Times New Roman" w:hAnsi="Times New Roman"/>
              </w:rPr>
              <w:t>Donc, ces sont les dispositions de la loi nationale qui vont s’appliquer</w:t>
            </w:r>
          </w:p>
        </w:tc>
      </w:tr>
      <w:tr w:rsidR="00C4359F" w:rsidRPr="00420C1B" w14:paraId="007CD651" w14:textId="77777777" w:rsidTr="00E737B4">
        <w:trPr>
          <w:cantSplit/>
          <w:jc w:val="center"/>
        </w:trPr>
        <w:tc>
          <w:tcPr>
            <w:tcW w:w="1194" w:type="pct"/>
          </w:tcPr>
          <w:p w14:paraId="3F87D993"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Adopter les mesures indiquées dans les Directives ESS et dans d’autres BPISA pour encourager l’utilisation rationnelle des matières premières lorsque cela est techniquement et financièrement possible.</w:t>
            </w:r>
          </w:p>
          <w:p w14:paraId="59B2A8C1"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10</w:t>
            </w:r>
          </w:p>
        </w:tc>
        <w:tc>
          <w:tcPr>
            <w:tcW w:w="2194" w:type="pct"/>
            <w:shd w:val="clear" w:color="auto" w:fill="auto"/>
            <w:vAlign w:val="center"/>
          </w:tcPr>
          <w:p w14:paraId="3600D17A"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Non mentionnée dans la législation nationale congolaise</w:t>
            </w:r>
          </w:p>
        </w:tc>
        <w:tc>
          <w:tcPr>
            <w:tcW w:w="1612" w:type="pct"/>
            <w:shd w:val="clear" w:color="auto" w:fill="auto"/>
            <w:vAlign w:val="center"/>
          </w:tcPr>
          <w:p w14:paraId="5870F53C" w14:textId="394AE3BF"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w:t>
            </w:r>
            <w:r w:rsidR="00571762" w:rsidRPr="00420C1B">
              <w:rPr>
                <w:rFonts w:ascii="Times New Roman" w:hAnsi="Times New Roman"/>
              </w:rPr>
              <w:t xml:space="preserve">de la Banque mondiale </w:t>
            </w:r>
            <w:r w:rsidRPr="00420C1B">
              <w:rPr>
                <w:rFonts w:ascii="Times New Roman" w:hAnsi="Times New Roman"/>
              </w:rPr>
              <w:t xml:space="preserve">qui s’appliquera </w:t>
            </w:r>
          </w:p>
        </w:tc>
      </w:tr>
      <w:tr w:rsidR="00C4359F" w:rsidRPr="00420C1B" w14:paraId="45856714" w14:textId="77777777" w:rsidTr="00E737B4">
        <w:trPr>
          <w:cantSplit/>
          <w:jc w:val="center"/>
        </w:trPr>
        <w:tc>
          <w:tcPr>
            <w:tcW w:w="1194" w:type="pct"/>
          </w:tcPr>
          <w:p w14:paraId="50369AE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de rejeter des polluants dans l’air, l’eau et les sols de façon régulière, sinon éviter, limiter et contrôlera la concentration ou le débit massique de ces rejets sur la base des normes nationales ou des Directives ESS</w:t>
            </w:r>
          </w:p>
          <w:p w14:paraId="59E1293E"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11</w:t>
            </w:r>
          </w:p>
        </w:tc>
        <w:tc>
          <w:tcPr>
            <w:tcW w:w="2194" w:type="pct"/>
            <w:shd w:val="clear" w:color="auto" w:fill="auto"/>
            <w:vAlign w:val="center"/>
          </w:tcPr>
          <w:p w14:paraId="2DF823F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La loi n°11/009 du 09 juillet 2011 portant principes fondamentaux relatifs à la protection de l’environnement traite dans son chapitre 5 relative à la conservation et la gestion durable des ressources naturelles. Elle traite aussi dans son chapitre 6 de la prévention et de la lutte contre les pollutions et nuisances. Ces éléments sont pris en compte dans l’évaluation environnementale et sociale du projet.</w:t>
            </w:r>
          </w:p>
        </w:tc>
        <w:tc>
          <w:tcPr>
            <w:tcW w:w="1612" w:type="pct"/>
            <w:shd w:val="clear" w:color="auto" w:fill="auto"/>
            <w:vAlign w:val="center"/>
          </w:tcPr>
          <w:p w14:paraId="2388788C" w14:textId="48BB4F1B"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qui s’appliquera </w:t>
            </w:r>
          </w:p>
        </w:tc>
      </w:tr>
      <w:tr w:rsidR="00C4359F" w:rsidRPr="00420C1B" w14:paraId="546970BC" w14:textId="77777777" w:rsidTr="00E737B4">
        <w:trPr>
          <w:cantSplit/>
          <w:jc w:val="center"/>
        </w:trPr>
        <w:tc>
          <w:tcPr>
            <w:tcW w:w="1194" w:type="pct"/>
          </w:tcPr>
          <w:p w14:paraId="29D04A6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Si la pollution historique peut poser un risque important pour les communautés, les travailleurs et l’environnement, identifier les parties responsables et entreprendra une évaluation des risques</w:t>
            </w:r>
          </w:p>
          <w:p w14:paraId="36C3069E"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12</w:t>
            </w:r>
          </w:p>
        </w:tc>
        <w:tc>
          <w:tcPr>
            <w:tcW w:w="2194" w:type="pct"/>
            <w:shd w:val="clear" w:color="auto" w:fill="auto"/>
            <w:vAlign w:val="center"/>
          </w:tcPr>
          <w:p w14:paraId="72E1B3E3"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n°11/009 du 09 juillet 2011 portant principes fondamentaux relatifs à la protection de l’environnement traite dans son chapitre 6 relatif à la prévention et la lutte contre les pollutions et nuisances. Ces éléments sont pris en compte dans l’évaluation environnementale et sociale du projet.</w:t>
            </w:r>
          </w:p>
        </w:tc>
        <w:tc>
          <w:tcPr>
            <w:tcW w:w="1612" w:type="pct"/>
            <w:shd w:val="clear" w:color="auto" w:fill="auto"/>
            <w:vAlign w:val="center"/>
          </w:tcPr>
          <w:p w14:paraId="57BEF929" w14:textId="6783CDAC"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qui s’appliquera </w:t>
            </w:r>
          </w:p>
        </w:tc>
      </w:tr>
      <w:tr w:rsidR="00C4359F" w:rsidRPr="00420C1B" w14:paraId="780E1FAE" w14:textId="77777777" w:rsidTr="00E737B4">
        <w:trPr>
          <w:cantSplit/>
          <w:jc w:val="center"/>
        </w:trPr>
        <w:tc>
          <w:tcPr>
            <w:tcW w:w="1194" w:type="pct"/>
          </w:tcPr>
          <w:p w14:paraId="6C16CA24"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Tenir compte les facteurs pertinents de facteurs tels que : les conditions ambiantes, la capacité d’assimilation, l’utilisation des terres, la proximité de zones de biodiversité, impacts cumulatifs et l’impact du changement climatique</w:t>
            </w:r>
          </w:p>
          <w:p w14:paraId="4155ABDB"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13</w:t>
            </w:r>
          </w:p>
        </w:tc>
        <w:tc>
          <w:tcPr>
            <w:tcW w:w="2194" w:type="pct"/>
            <w:shd w:val="clear" w:color="auto" w:fill="auto"/>
            <w:vAlign w:val="center"/>
          </w:tcPr>
          <w:p w14:paraId="0EAED63D"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n°11/009 du 09 juillet 2011 portant principes fondamentaux relatifs à la protection de l’environnement traite dans son chapitre 5 relative à la conservation et la gestion durable des ressources naturelles. Elle traite aussi dans son chapitre 6 de la prévention et de la lutte contre les pollutions et nuisances. Ces éléments sont pris en compte dans l’évaluation environnementale et sociale du projet.</w:t>
            </w:r>
          </w:p>
        </w:tc>
        <w:tc>
          <w:tcPr>
            <w:tcW w:w="1612" w:type="pct"/>
            <w:shd w:val="clear" w:color="auto" w:fill="auto"/>
            <w:vAlign w:val="center"/>
          </w:tcPr>
          <w:p w14:paraId="645DA84B" w14:textId="296B635A"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qui s’appliquera </w:t>
            </w:r>
          </w:p>
        </w:tc>
      </w:tr>
      <w:tr w:rsidR="00C4359F" w:rsidRPr="00420C1B" w14:paraId="62019C1A" w14:textId="77777777" w:rsidTr="00E737B4">
        <w:trPr>
          <w:cantSplit/>
          <w:jc w:val="center"/>
        </w:trPr>
        <w:tc>
          <w:tcPr>
            <w:tcW w:w="1194" w:type="pct"/>
          </w:tcPr>
          <w:p w14:paraId="50E25FA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ou réduire les émissions atmosphériques pendant la conception, la construction et l’exploitation du projet</w:t>
            </w:r>
          </w:p>
          <w:p w14:paraId="177B826D"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15</w:t>
            </w:r>
          </w:p>
        </w:tc>
        <w:tc>
          <w:tcPr>
            <w:tcW w:w="2194" w:type="pct"/>
            <w:shd w:val="clear" w:color="auto" w:fill="auto"/>
            <w:vAlign w:val="center"/>
          </w:tcPr>
          <w:p w14:paraId="78474864"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n°11/009 du 09 juillet 2011 portant principes fondamentaux relatifs à la protection de l’environnement traite dans son chapitre 5 relative à la conservation et la gestion durable des ressources naturelles. Elle traite aussi dans son chapitre 6 de la prévention et de la lutte contre les pollutions et nuisances. Ces éléments sont pris en compte dans l’évaluation environnementale et sociale du projet.</w:t>
            </w:r>
          </w:p>
        </w:tc>
        <w:tc>
          <w:tcPr>
            <w:tcW w:w="1612" w:type="pct"/>
            <w:shd w:val="clear" w:color="auto" w:fill="auto"/>
            <w:vAlign w:val="center"/>
          </w:tcPr>
          <w:p w14:paraId="61B11864" w14:textId="2C247FDF"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qui s’appliquera </w:t>
            </w:r>
          </w:p>
        </w:tc>
      </w:tr>
      <w:tr w:rsidR="00C4359F" w:rsidRPr="00420C1B" w14:paraId="52040D2C" w14:textId="77777777" w:rsidTr="00E737B4">
        <w:trPr>
          <w:cantSplit/>
          <w:jc w:val="center"/>
        </w:trPr>
        <w:tc>
          <w:tcPr>
            <w:tcW w:w="1194" w:type="pct"/>
          </w:tcPr>
          <w:p w14:paraId="72CE813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et estimer les émissions brutes de gaz à effet de serre (GES) résultant du projet, lorsque cette estimation est techniquement et financièrement réalisable.  Au besoin la Banque mondiale peur fournir une assistance</w:t>
            </w:r>
          </w:p>
          <w:p w14:paraId="7740DB4C"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16</w:t>
            </w:r>
          </w:p>
        </w:tc>
        <w:tc>
          <w:tcPr>
            <w:tcW w:w="2194" w:type="pct"/>
            <w:shd w:val="clear" w:color="auto" w:fill="auto"/>
            <w:vAlign w:val="center"/>
          </w:tcPr>
          <w:p w14:paraId="0E29E03C"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n°11/009 du 09 juillet 2011 portant principes fondamentaux relatifs à la protection de l’environnement traite dans son chapitre 6 relatif à la prévention et la lutte contre les pollutions et nuisances. Ces éléments sont pris en compte dans l’évaluation environnementale et sociale du projet.</w:t>
            </w:r>
          </w:p>
        </w:tc>
        <w:tc>
          <w:tcPr>
            <w:tcW w:w="1612" w:type="pct"/>
            <w:shd w:val="clear" w:color="auto" w:fill="auto"/>
            <w:vAlign w:val="center"/>
          </w:tcPr>
          <w:p w14:paraId="778C0761" w14:textId="330A1F2D"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n°3. Ainsi, c’est la NES n°3 qui s’appliquera </w:t>
            </w:r>
          </w:p>
        </w:tc>
      </w:tr>
      <w:tr w:rsidR="00C4359F" w:rsidRPr="00420C1B" w14:paraId="2C8243E0" w14:textId="77777777" w:rsidTr="00E737B4">
        <w:trPr>
          <w:cantSplit/>
          <w:jc w:val="center"/>
        </w:trPr>
        <w:tc>
          <w:tcPr>
            <w:tcW w:w="1194" w:type="pct"/>
          </w:tcPr>
          <w:p w14:paraId="007A316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ou minimiser la production de déchets dangereux et non dangereux, réutiliser, recycler et récupérer ces déchets, se conformer aux dispositions en vigueur en matière de stockage, de transport et d’élimination</w:t>
            </w:r>
          </w:p>
          <w:p w14:paraId="6AC6A6F1"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17 à 20</w:t>
            </w:r>
          </w:p>
        </w:tc>
        <w:tc>
          <w:tcPr>
            <w:tcW w:w="2194" w:type="pct"/>
            <w:shd w:val="clear" w:color="auto" w:fill="auto"/>
            <w:vAlign w:val="center"/>
          </w:tcPr>
          <w:p w14:paraId="61FF59EB"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n°11/009 du 09 juillet 2011 portant principes fondamentaux relatifs à la protection de l’environnement traite dans son chapitre 5 relative à la conservation et la gestion durable des ressources naturelles. Elle traite aussi dans son chapitre 6 de la prévention et de la lutte contre les pollutions et nuisances (section 4, de la gestion des déchets). Ces éléments sont pris en compte dans l’évaluation environnementale et sociale du projet.</w:t>
            </w:r>
          </w:p>
          <w:p w14:paraId="1C29872E"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La loi n°15/026 du 31 décembre relative à l’eau proscrit tout rejet des déchets, substances ou espèces biologiques exotiques envahissantes susceptibles de polluer, d’altérer ou de dégrader la qualité des eaux de surface ou souterraine, tant continentales que maritimes, de nuire à leurs ressources biologiques et aux écosystèmes côtiers et de mettre en danger la santé.</w:t>
            </w:r>
          </w:p>
        </w:tc>
        <w:tc>
          <w:tcPr>
            <w:tcW w:w="1612" w:type="pct"/>
            <w:shd w:val="clear" w:color="auto" w:fill="auto"/>
            <w:vAlign w:val="center"/>
          </w:tcPr>
          <w:p w14:paraId="0033BE64" w14:textId="265ACC5A"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Les lois nationales se satisf</w:t>
            </w:r>
            <w:r w:rsidR="00DA06AD" w:rsidRPr="00420C1B">
              <w:rPr>
                <w:rFonts w:ascii="Times New Roman" w:hAnsi="Times New Roman"/>
              </w:rPr>
              <w:t>ont</w:t>
            </w:r>
            <w:r w:rsidRPr="00420C1B">
              <w:rPr>
                <w:rFonts w:ascii="Times New Roman" w:hAnsi="Times New Roman"/>
              </w:rPr>
              <w:t xml:space="preserve"> pas entièrement cette exigence de la NES n°3. La promotion des moyens de lutte intégrée et de lutte alternative n’est pas suffisamment vulgarisée. </w:t>
            </w:r>
          </w:p>
          <w:p w14:paraId="5C1BAB2A" w14:textId="5C4AFDD3" w:rsidR="00C4359F" w:rsidRPr="00420C1B" w:rsidRDefault="000017A8" w:rsidP="005232A3">
            <w:pPr>
              <w:spacing w:after="0" w:line="240" w:lineRule="auto"/>
              <w:jc w:val="both"/>
              <w:rPr>
                <w:rFonts w:ascii="Times New Roman" w:hAnsi="Times New Roman"/>
              </w:rPr>
            </w:pPr>
            <w:r w:rsidRPr="00420C1B">
              <w:rPr>
                <w:rFonts w:ascii="Times New Roman" w:hAnsi="Times New Roman"/>
              </w:rPr>
              <w:t>C’est</w:t>
            </w:r>
            <w:r w:rsidR="00C367D9" w:rsidRPr="00420C1B">
              <w:rPr>
                <w:rFonts w:ascii="Times New Roman" w:hAnsi="Times New Roman"/>
              </w:rPr>
              <w:t xml:space="preserve"> l</w:t>
            </w:r>
            <w:r w:rsidRPr="00420C1B">
              <w:rPr>
                <w:rFonts w:ascii="Times New Roman" w:hAnsi="Times New Roman"/>
              </w:rPr>
              <w:t xml:space="preserve">a </w:t>
            </w:r>
            <w:r w:rsidR="00C4359F" w:rsidRPr="00420C1B">
              <w:rPr>
                <w:rFonts w:ascii="Times New Roman" w:hAnsi="Times New Roman"/>
              </w:rPr>
              <w:t xml:space="preserve">NES n°3 </w:t>
            </w:r>
            <w:r w:rsidR="00C367D9" w:rsidRPr="00420C1B">
              <w:rPr>
                <w:rFonts w:ascii="Times New Roman" w:hAnsi="Times New Roman"/>
              </w:rPr>
              <w:t xml:space="preserve">qui </w:t>
            </w:r>
            <w:r w:rsidR="00C4359F" w:rsidRPr="00420C1B">
              <w:rPr>
                <w:rFonts w:ascii="Times New Roman" w:hAnsi="Times New Roman"/>
              </w:rPr>
              <w:t xml:space="preserve">s’appliquera </w:t>
            </w:r>
            <w:r w:rsidR="00C367D9" w:rsidRPr="00420C1B">
              <w:rPr>
                <w:rFonts w:ascii="Times New Roman" w:hAnsi="Times New Roman"/>
              </w:rPr>
              <w:t>.</w:t>
            </w:r>
          </w:p>
        </w:tc>
      </w:tr>
      <w:tr w:rsidR="00C4359F" w:rsidRPr="00420C1B" w14:paraId="15B5D7A4" w14:textId="77777777" w:rsidTr="00E737B4">
        <w:trPr>
          <w:cantSplit/>
          <w:jc w:val="center"/>
        </w:trPr>
        <w:tc>
          <w:tcPr>
            <w:tcW w:w="1194" w:type="pct"/>
            <w:vAlign w:val="center"/>
          </w:tcPr>
          <w:p w14:paraId="1C72B388"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Pour tout projet présentant des enjeux importants en matière de lutte antiparasitaire ou de gestion des pesticides, préparer un plan de lutte contre les nuisible, en utilisant des stratégies combinées de gestion intégrée es nuisibles et des vecteurs</w:t>
            </w:r>
          </w:p>
          <w:p w14:paraId="775E22FF" w14:textId="77777777" w:rsidR="00C4359F" w:rsidRPr="00E737B4" w:rsidRDefault="00C4359F" w:rsidP="005232A3">
            <w:pPr>
              <w:widowControl w:val="0"/>
              <w:autoSpaceDE w:val="0"/>
              <w:autoSpaceDN w:val="0"/>
              <w:spacing w:after="0" w:line="240" w:lineRule="auto"/>
              <w:rPr>
                <w:rFonts w:ascii="Times New Roman" w:eastAsia="Arial" w:hAnsi="Times New Roman"/>
                <w:i/>
                <w:iCs/>
                <w:w w:val="105"/>
              </w:rPr>
            </w:pPr>
            <w:r w:rsidRPr="00E737B4">
              <w:rPr>
                <w:rFonts w:ascii="Times New Roman" w:eastAsia="Arial" w:hAnsi="Times New Roman"/>
                <w:i/>
                <w:iCs/>
                <w:w w:val="105"/>
              </w:rPr>
              <w:t>Paragraphes 22 à 25</w:t>
            </w:r>
          </w:p>
        </w:tc>
        <w:tc>
          <w:tcPr>
            <w:tcW w:w="2194" w:type="pct"/>
            <w:shd w:val="clear" w:color="auto" w:fill="auto"/>
            <w:vAlign w:val="center"/>
          </w:tcPr>
          <w:p w14:paraId="7171927C" w14:textId="77777777" w:rsidR="00C4359F" w:rsidRPr="00E737B4" w:rsidRDefault="00C4359F" w:rsidP="005232A3">
            <w:pPr>
              <w:autoSpaceDE w:val="0"/>
              <w:autoSpaceDN w:val="0"/>
              <w:adjustRightInd w:val="0"/>
              <w:spacing w:after="0" w:line="240" w:lineRule="auto"/>
              <w:jc w:val="both"/>
              <w:rPr>
                <w:rFonts w:ascii="Times New Roman" w:eastAsia="Arial" w:hAnsi="Times New Roman"/>
                <w:w w:val="105"/>
              </w:rPr>
            </w:pPr>
            <w:r w:rsidRPr="00E737B4">
              <w:rPr>
                <w:rFonts w:ascii="Times New Roman" w:eastAsia="Arial" w:hAnsi="Times New Roman"/>
                <w:w w:val="105"/>
              </w:rPr>
              <w:t>La loi n°15/026 du 31 décembre relative à l’eau interdit le dépôt ou l’épandage de toute substance présentant des risques de toxicité, tels les produits chimiques, les pesticides et engrais, les ordures, les immondices, les détritus, les fumiers et les hydrocarbures sur les périmètres de protection rapprochée des cours d’eau (Art. 49)</w:t>
            </w:r>
          </w:p>
          <w:p w14:paraId="2D0D9702" w14:textId="77777777" w:rsidR="00C4359F" w:rsidRPr="00E737B4" w:rsidRDefault="00C4359F" w:rsidP="005232A3">
            <w:pPr>
              <w:autoSpaceDE w:val="0"/>
              <w:autoSpaceDN w:val="0"/>
              <w:adjustRightInd w:val="0"/>
              <w:spacing w:after="0" w:line="240" w:lineRule="auto"/>
              <w:rPr>
                <w:rFonts w:ascii="Times New Roman" w:eastAsia="Arial" w:hAnsi="Times New Roman"/>
                <w:w w:val="105"/>
              </w:rPr>
            </w:pPr>
            <w:r w:rsidRPr="00E737B4">
              <w:rPr>
                <w:rFonts w:ascii="Times New Roman" w:eastAsia="Arial" w:hAnsi="Times New Roman"/>
                <w:w w:val="105"/>
              </w:rPr>
              <w:t>La loi n°11/002 du 24 décembre 2011 portant principes fondamentaux relatifs à l’Agriculture prend en charge de façon globale les conditions de gestion des pesticides au niveau de toute la filière (importation, stockage, transport, utilisation, élimination des contenants, …).</w:t>
            </w:r>
          </w:p>
          <w:p w14:paraId="7D66FA38"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E737B4">
              <w:rPr>
                <w:rFonts w:ascii="Times New Roman" w:eastAsia="Arial" w:hAnsi="Times New Roman"/>
                <w:w w:val="105"/>
              </w:rPr>
              <w:t>Le décret n°05/162 du 18 novembre 2005 portant réglementation phytosanitaire en RDC.</w:t>
            </w:r>
          </w:p>
        </w:tc>
        <w:tc>
          <w:tcPr>
            <w:tcW w:w="1612" w:type="pct"/>
            <w:shd w:val="clear" w:color="auto" w:fill="auto"/>
            <w:vAlign w:val="center"/>
          </w:tcPr>
          <w:p w14:paraId="729A3605" w14:textId="41432F38" w:rsidR="00C4359F" w:rsidRPr="00E737B4" w:rsidRDefault="00C4359F" w:rsidP="005232A3">
            <w:pPr>
              <w:spacing w:after="0" w:line="240" w:lineRule="auto"/>
              <w:rPr>
                <w:rFonts w:ascii="Times New Roman" w:eastAsia="Arial" w:hAnsi="Times New Roman"/>
                <w:w w:val="105"/>
              </w:rPr>
            </w:pPr>
            <w:r w:rsidRPr="00420C1B">
              <w:rPr>
                <w:rFonts w:ascii="Times New Roman" w:hAnsi="Times New Roman"/>
              </w:rPr>
              <w:t xml:space="preserve">La législation nationale ne prévoit </w:t>
            </w:r>
            <w:r w:rsidR="00C367D9" w:rsidRPr="00420C1B">
              <w:rPr>
                <w:rFonts w:ascii="Times New Roman" w:hAnsi="Times New Roman"/>
              </w:rPr>
              <w:t xml:space="preserve">pas </w:t>
            </w:r>
            <w:r w:rsidRPr="00420C1B">
              <w:rPr>
                <w:rFonts w:ascii="Times New Roman" w:hAnsi="Times New Roman"/>
              </w:rPr>
              <w:t xml:space="preserve">la préparation d’un plan de lutte contre les </w:t>
            </w:r>
            <w:r w:rsidRPr="00E737B4">
              <w:rPr>
                <w:rFonts w:ascii="Times New Roman" w:eastAsia="Arial" w:hAnsi="Times New Roman"/>
                <w:w w:val="105"/>
              </w:rPr>
              <w:t>nuisibles, cependant, l’unique instrument exigé est l’EIES, requit pour tout projet (i) d'aménagement ou réhabilitation hydro agricole ou agricole de plus de cinq cent hectares (500 ha) ; (ii) projet d'épandage de produits chimiques, de par son envergure de porter atteinte à l'environnement et à la santé Humaine ; (iii) toute unité de stockage de pesticides, de produits chimiques, pharmaceutiques d'une capacité supérieure à dix tonnes (10 T) ; (iv) toute unité de récupération, d'élimination ou de traitement de déchets domestiques, industriels et autres déchets à caractère dangereux ; etc.</w:t>
            </w:r>
          </w:p>
          <w:p w14:paraId="21174B70" w14:textId="6541B1D8" w:rsidR="00C4359F" w:rsidRPr="00E737B4" w:rsidRDefault="00C367D9" w:rsidP="005232A3">
            <w:pPr>
              <w:spacing w:after="0" w:line="240" w:lineRule="auto"/>
              <w:rPr>
                <w:rFonts w:ascii="Times New Roman" w:eastAsia="Arial" w:hAnsi="Times New Roman"/>
                <w:w w:val="105"/>
              </w:rPr>
            </w:pPr>
            <w:r w:rsidRPr="00420C1B">
              <w:rPr>
                <w:rFonts w:ascii="Times New Roman" w:hAnsi="Times New Roman"/>
              </w:rPr>
              <w:t>Ainsi, c’est l</w:t>
            </w:r>
            <w:r w:rsidR="00C4359F" w:rsidRPr="00420C1B">
              <w:rPr>
                <w:rFonts w:ascii="Times New Roman" w:hAnsi="Times New Roman"/>
              </w:rPr>
              <w:t xml:space="preserve">a NES n°3 </w:t>
            </w:r>
            <w:r w:rsidRPr="00420C1B">
              <w:rPr>
                <w:rFonts w:ascii="Times New Roman" w:hAnsi="Times New Roman"/>
              </w:rPr>
              <w:t xml:space="preserve">qui </w:t>
            </w:r>
            <w:r w:rsidR="00C4359F" w:rsidRPr="00420C1B">
              <w:rPr>
                <w:rFonts w:ascii="Times New Roman" w:hAnsi="Times New Roman"/>
              </w:rPr>
              <w:t xml:space="preserve">s’appliquera </w:t>
            </w:r>
            <w:r w:rsidRPr="00420C1B">
              <w:rPr>
                <w:rFonts w:ascii="Times New Roman" w:hAnsi="Times New Roman"/>
              </w:rPr>
              <w:t>.</w:t>
            </w:r>
          </w:p>
        </w:tc>
      </w:tr>
    </w:tbl>
    <w:p w14:paraId="7C1E5AC8" w14:textId="77777777" w:rsidR="00C4359F" w:rsidRDefault="00C4359F"/>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7"/>
        <w:gridCol w:w="5951"/>
        <w:gridCol w:w="5357"/>
      </w:tblGrid>
      <w:tr w:rsidR="00C4359F" w:rsidRPr="00420C1B" w14:paraId="778003FF" w14:textId="77777777" w:rsidTr="00215867">
        <w:trPr>
          <w:tblHeader/>
          <w:jc w:val="center"/>
        </w:trPr>
        <w:tc>
          <w:tcPr>
            <w:tcW w:w="1194" w:type="pct"/>
            <w:shd w:val="clear" w:color="auto" w:fill="92D050"/>
            <w:vAlign w:val="center"/>
          </w:tcPr>
          <w:p w14:paraId="5DD7C08C"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003" w:type="pct"/>
            <w:shd w:val="clear" w:color="auto" w:fill="92D050"/>
            <w:vAlign w:val="center"/>
          </w:tcPr>
          <w:p w14:paraId="39029214"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803" w:type="pct"/>
            <w:shd w:val="clear" w:color="auto" w:fill="92D050"/>
            <w:vAlign w:val="center"/>
          </w:tcPr>
          <w:p w14:paraId="5D8FFA3E" w14:textId="4A446CA0" w:rsidR="00C4359F" w:rsidRPr="00420C1B" w:rsidRDefault="00C4359F" w:rsidP="00777EE5">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28A1ECFF" w14:textId="77777777" w:rsidTr="00E737B4">
        <w:trPr>
          <w:jc w:val="center"/>
        </w:trPr>
        <w:tc>
          <w:tcPr>
            <w:tcW w:w="5000" w:type="pct"/>
            <w:gridSpan w:val="3"/>
            <w:shd w:val="clear" w:color="auto" w:fill="C5E0B3"/>
            <w:vAlign w:val="center"/>
          </w:tcPr>
          <w:p w14:paraId="052647EC" w14:textId="77777777" w:rsidR="00C4359F" w:rsidRPr="00420C1B" w:rsidRDefault="00C4359F" w:rsidP="005232A3">
            <w:pPr>
              <w:keepNext/>
              <w:keepLines/>
              <w:spacing w:after="0" w:line="240" w:lineRule="auto"/>
              <w:jc w:val="both"/>
              <w:rPr>
                <w:rFonts w:ascii="Times New Roman" w:hAnsi="Times New Roman"/>
                <w:b/>
                <w:bCs/>
              </w:rPr>
            </w:pPr>
            <w:r w:rsidRPr="00420C1B">
              <w:rPr>
                <w:rFonts w:ascii="Times New Roman" w:hAnsi="Times New Roman"/>
                <w:b/>
                <w:bCs/>
              </w:rPr>
              <w:t>NES4.  Santé et sécurité des populations</w:t>
            </w:r>
          </w:p>
        </w:tc>
      </w:tr>
      <w:tr w:rsidR="00C4359F" w:rsidRPr="00420C1B" w14:paraId="151B060B" w14:textId="77777777" w:rsidTr="00215867">
        <w:trPr>
          <w:jc w:val="center"/>
        </w:trPr>
        <w:tc>
          <w:tcPr>
            <w:tcW w:w="1194" w:type="pct"/>
          </w:tcPr>
          <w:p w14:paraId="670DB85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Évaluer les risques et effets sur la santé et la sécurité des populations touchées par le projet tout au long de celui-ci, y compris les personnes qui peuvent être considérées comme vulnérables en raison de leur situation particulière.</w:t>
            </w:r>
          </w:p>
          <w:p w14:paraId="1464F8C9"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5</w:t>
            </w:r>
          </w:p>
        </w:tc>
        <w:tc>
          <w:tcPr>
            <w:tcW w:w="2003" w:type="pct"/>
            <w:shd w:val="clear" w:color="auto" w:fill="auto"/>
            <w:vAlign w:val="center"/>
          </w:tcPr>
          <w:p w14:paraId="00A8E614"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 xml:space="preserve">Les dispositions de la loi 11/009 du 09 juillet 2011 prennent en compte la santé et la sécurité des communautés. </w:t>
            </w:r>
          </w:p>
        </w:tc>
        <w:tc>
          <w:tcPr>
            <w:tcW w:w="1803" w:type="pct"/>
            <w:shd w:val="clear" w:color="auto" w:fill="auto"/>
            <w:vAlign w:val="center"/>
          </w:tcPr>
          <w:p w14:paraId="6A8F4370" w14:textId="0BA9CB7C"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loi nationale satisfait à cette exigence de la NES n°4 mais avec un besoin de renforcement des dispositions relatives au personnel chargé de la sécurité. </w:t>
            </w:r>
            <w:r w:rsidR="00C367D9" w:rsidRPr="00420C1B">
              <w:rPr>
                <w:rFonts w:ascii="Times New Roman" w:hAnsi="Times New Roman"/>
                <w:color w:val="000000"/>
              </w:rPr>
              <w:t>Ainsi</w:t>
            </w:r>
            <w:r w:rsidRPr="00420C1B">
              <w:rPr>
                <w:rFonts w:ascii="Times New Roman" w:hAnsi="Times New Roman"/>
                <w:color w:val="000000"/>
              </w:rPr>
              <w:t xml:space="preserve">, la NES n°4 s’appliquera </w:t>
            </w:r>
            <w:r w:rsidR="00E229EB" w:rsidRPr="00420C1B">
              <w:rPr>
                <w:rFonts w:ascii="Times New Roman" w:hAnsi="Times New Roman"/>
                <w:color w:val="000000"/>
              </w:rPr>
              <w:t>.</w:t>
            </w:r>
          </w:p>
        </w:tc>
      </w:tr>
      <w:tr w:rsidR="00C4359F" w:rsidRPr="00420C1B" w14:paraId="482C77D1" w14:textId="77777777" w:rsidTr="00215867">
        <w:trPr>
          <w:jc w:val="center"/>
        </w:trPr>
        <w:tc>
          <w:tcPr>
            <w:tcW w:w="1194" w:type="pct"/>
          </w:tcPr>
          <w:p w14:paraId="48C3979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Assurer la conception, la construction, l’exploitation et le démantèlement des structures du projet, conformément aux dispositions nationales, aux Directives ESS et aux autres BPISA, par des professionnels compétents et certifiés, et tenir compte du changement climatique</w:t>
            </w:r>
          </w:p>
          <w:p w14:paraId="129B02D4"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6 à 8</w:t>
            </w:r>
          </w:p>
        </w:tc>
        <w:tc>
          <w:tcPr>
            <w:tcW w:w="2003" w:type="pct"/>
            <w:shd w:val="clear" w:color="auto" w:fill="auto"/>
            <w:vAlign w:val="center"/>
          </w:tcPr>
          <w:p w14:paraId="5FC82E5E"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 xml:space="preserve">Non mentionné dans la législation nationale congolaise </w:t>
            </w:r>
          </w:p>
        </w:tc>
        <w:tc>
          <w:tcPr>
            <w:tcW w:w="1803" w:type="pct"/>
            <w:shd w:val="clear" w:color="auto" w:fill="auto"/>
            <w:vAlign w:val="center"/>
          </w:tcPr>
          <w:p w14:paraId="1DA7C490" w14:textId="2FF068F1"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loi nationale ne satisfait pas à cette exigence de la NES n°4. Ainsi, c’est la NES 4 qui s’appliquera </w:t>
            </w:r>
            <w:r w:rsidR="00E229EB" w:rsidRPr="00420C1B">
              <w:rPr>
                <w:rFonts w:ascii="Times New Roman" w:hAnsi="Times New Roman"/>
                <w:color w:val="000000"/>
              </w:rPr>
              <w:t>.</w:t>
            </w:r>
          </w:p>
        </w:tc>
      </w:tr>
      <w:tr w:rsidR="00C4359F" w:rsidRPr="00420C1B" w14:paraId="49930CF9" w14:textId="77777777" w:rsidTr="00215867">
        <w:trPr>
          <w:jc w:val="center"/>
        </w:trPr>
        <w:tc>
          <w:tcPr>
            <w:tcW w:w="1194" w:type="pct"/>
            <w:vAlign w:val="center"/>
          </w:tcPr>
          <w:p w14:paraId="6CFD6CE8"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Anticiper et minimiser les risques et effets que les services offerts aux communautés par le projet peuvent avoir sur leur santé et leur sécurité, et appliquer le principe d'accès universel lorsque cela est possible.</w:t>
            </w:r>
          </w:p>
          <w:p w14:paraId="5147F445" w14:textId="77777777" w:rsidR="00C4359F" w:rsidRPr="00420C1B" w:rsidRDefault="00C4359F" w:rsidP="00B832EF">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9</w:t>
            </w:r>
          </w:p>
        </w:tc>
        <w:tc>
          <w:tcPr>
            <w:tcW w:w="2003" w:type="pct"/>
            <w:shd w:val="clear" w:color="auto" w:fill="auto"/>
            <w:vAlign w:val="center"/>
          </w:tcPr>
          <w:p w14:paraId="5072DBCC" w14:textId="77777777" w:rsidR="00C4359F" w:rsidRPr="00420C1B" w:rsidRDefault="00C4359F">
            <w:pPr>
              <w:autoSpaceDE w:val="0"/>
              <w:autoSpaceDN w:val="0"/>
              <w:adjustRightInd w:val="0"/>
              <w:spacing w:after="0" w:line="240" w:lineRule="auto"/>
              <w:jc w:val="both"/>
              <w:rPr>
                <w:rFonts w:ascii="Times New Roman" w:hAnsi="Times New Roman"/>
              </w:rPr>
            </w:pPr>
            <w:r w:rsidRPr="00420C1B">
              <w:rPr>
                <w:rFonts w:ascii="Times New Roman" w:hAnsi="Times New Roman"/>
              </w:rPr>
              <w:t xml:space="preserve">la loi 11/009 du 09 juillet 2011 dispose que tout exploitant d’une installation classée élabore et met en œuvre des mesures de sécurité industrielle appropriées et établit un plan d’urgence décrivant les mesures nécessaires pour maitrise les accidents industriels et limiter leurs conséquences pour l’environnement et la santé. Ce plan d’urgence est porté à la connaissance des autorités administratives compétentes et des populations avoisinantes (Art. 40). Est soumise à l’autorisation, toute installation dont l’existence ou l’exploitation présente des dangers, des inconvénients, ou des incommodités graves pour la santé, la sécurité, la salubrité publique, le voisinage, l’environnement ou la conservation des sites et monuments. </w:t>
            </w:r>
          </w:p>
        </w:tc>
        <w:tc>
          <w:tcPr>
            <w:tcW w:w="1803" w:type="pct"/>
            <w:shd w:val="clear" w:color="auto" w:fill="auto"/>
            <w:vAlign w:val="center"/>
          </w:tcPr>
          <w:p w14:paraId="61670E0E" w14:textId="1C15136C" w:rsidR="00C4359F" w:rsidRPr="00420C1B" w:rsidRDefault="00C4359F">
            <w:pPr>
              <w:spacing w:after="0" w:line="240" w:lineRule="auto"/>
              <w:jc w:val="both"/>
              <w:rPr>
                <w:rFonts w:ascii="Times New Roman" w:hAnsi="Times New Roman"/>
                <w:color w:val="000000"/>
              </w:rPr>
            </w:pPr>
            <w:r w:rsidRPr="00420C1B">
              <w:rPr>
                <w:rFonts w:ascii="Times New Roman" w:hAnsi="Times New Roman"/>
                <w:color w:val="000000"/>
              </w:rPr>
              <w:t xml:space="preserve">La législation nationale n’aborde pas explicitement les risques de sécurité routière, les aspects de services écosystémiques, accès universel et d’utilisation du personnel de sécurité, et le projet devra s’assurer que ces exigences soient bien prises en compte dans les instruments E&amp;S à préparer. Il existe des similitudes sur le plan de l’évaluation des dangers, gestion de la prise en compte des mesures d’urgence et des atteintes à la santé, sécurité, la protection des populations avoisinantes. Ainsi, la NES n°4 sera appliquée </w:t>
            </w:r>
            <w:r w:rsidR="003B4085" w:rsidRPr="00420C1B">
              <w:rPr>
                <w:rFonts w:ascii="Times New Roman" w:hAnsi="Times New Roman"/>
                <w:color w:val="000000"/>
              </w:rPr>
              <w:t>.</w:t>
            </w:r>
          </w:p>
        </w:tc>
      </w:tr>
      <w:tr w:rsidR="00C4359F" w:rsidRPr="00420C1B" w14:paraId="78B1615C" w14:textId="77777777" w:rsidTr="00215867">
        <w:trPr>
          <w:jc w:val="center"/>
        </w:trPr>
        <w:tc>
          <w:tcPr>
            <w:tcW w:w="1194" w:type="pct"/>
            <w:vAlign w:val="center"/>
          </w:tcPr>
          <w:p w14:paraId="296576CA"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évaluer et surveiller les risques du projet liés à la circulation et à la sécurité routière, améliorer la sécurité des conducteurs et des véhicules du projet, et éviter que des personnes étrangères au projet soient victimes d’accidents</w:t>
            </w:r>
          </w:p>
          <w:p w14:paraId="348ADE0D" w14:textId="77777777" w:rsidR="00C4359F" w:rsidRPr="00420C1B" w:rsidRDefault="00C4359F" w:rsidP="00B832EF">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Paragraphes 10 à 12</w:t>
            </w:r>
          </w:p>
        </w:tc>
        <w:tc>
          <w:tcPr>
            <w:tcW w:w="2003" w:type="pct"/>
            <w:shd w:val="clear" w:color="auto" w:fill="auto"/>
            <w:vAlign w:val="center"/>
          </w:tcPr>
          <w:p w14:paraId="4E757B2E" w14:textId="77777777" w:rsidR="00C4359F" w:rsidRPr="00420C1B" w:rsidRDefault="00C4359F" w:rsidP="00B832EF">
            <w:pPr>
              <w:autoSpaceDE w:val="0"/>
              <w:autoSpaceDN w:val="0"/>
              <w:adjustRightInd w:val="0"/>
              <w:spacing w:after="0" w:line="240" w:lineRule="auto"/>
              <w:jc w:val="both"/>
              <w:rPr>
                <w:rFonts w:ascii="Times New Roman" w:hAnsi="Times New Roman"/>
              </w:rPr>
            </w:pPr>
            <w:r w:rsidRPr="00420C1B">
              <w:rPr>
                <w:rFonts w:ascii="Times New Roman" w:hAnsi="Times New Roman"/>
              </w:rPr>
              <w:t>Les dispositions de la loi n°11/009 DU 09 juillet 2011 portant principes fondamentaux relatifs à la protection de l’environnement et la loi 78-022 du 30 août 1978 portant nouveau Code de la route qui régit la circulation routière en RDC abordent partiellement les aspects liés à la sécurité routière.</w:t>
            </w:r>
          </w:p>
        </w:tc>
        <w:tc>
          <w:tcPr>
            <w:tcW w:w="1803" w:type="pct"/>
            <w:shd w:val="clear" w:color="auto" w:fill="auto"/>
            <w:vAlign w:val="center"/>
          </w:tcPr>
          <w:p w14:paraId="0C03611E" w14:textId="07D91061" w:rsidR="00C4359F" w:rsidRPr="00420C1B" w:rsidRDefault="00C4359F">
            <w:pPr>
              <w:spacing w:after="0" w:line="240" w:lineRule="auto"/>
              <w:jc w:val="both"/>
              <w:rPr>
                <w:rFonts w:ascii="Times New Roman" w:hAnsi="Times New Roman"/>
                <w:color w:val="000000"/>
              </w:rPr>
            </w:pPr>
            <w:r w:rsidRPr="00420C1B">
              <w:rPr>
                <w:rFonts w:ascii="Times New Roman" w:hAnsi="Times New Roman"/>
                <w:color w:val="000000"/>
              </w:rPr>
              <w:t>La législation nationale n’aborde pas explicitement les risques de sécurité routière, d’où le projet devra s’assurer que cette exigence soit bien prise en compte dans les instruments E&amp;S à préparer. Il existe des similitudes quant à l’évaluation des dangers, la gestion de la prise en compte des mesures d’urgence et des atteintes à la santé, sécurité, la protection des populations avoisinantes. Ainsi, la NES n°4 sera appliquée.</w:t>
            </w:r>
          </w:p>
        </w:tc>
      </w:tr>
      <w:tr w:rsidR="00C4359F" w:rsidRPr="00420C1B" w14:paraId="1B440195" w14:textId="77777777" w:rsidTr="00215867">
        <w:trPr>
          <w:jc w:val="center"/>
        </w:trPr>
        <w:tc>
          <w:tcPr>
            <w:tcW w:w="1194" w:type="pct"/>
          </w:tcPr>
          <w:p w14:paraId="47F0FFBB"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les risques et effets potentiels du projet sur les services écosystémiques qui pourraient être exacerbés par le changement climatique, et compromettre sur la santé et la sécurité des populations touchées</w:t>
            </w:r>
          </w:p>
          <w:p w14:paraId="038F85C6"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14</w:t>
            </w:r>
          </w:p>
        </w:tc>
        <w:tc>
          <w:tcPr>
            <w:tcW w:w="2003" w:type="pct"/>
            <w:shd w:val="clear" w:color="auto" w:fill="auto"/>
            <w:vAlign w:val="center"/>
          </w:tcPr>
          <w:p w14:paraId="340BB26E"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Non mentionné dans la législation nationale congolaise</w:t>
            </w:r>
          </w:p>
        </w:tc>
        <w:tc>
          <w:tcPr>
            <w:tcW w:w="1803" w:type="pct"/>
            <w:shd w:val="clear" w:color="auto" w:fill="auto"/>
            <w:vAlign w:val="center"/>
          </w:tcPr>
          <w:p w14:paraId="3FC8F3F6" w14:textId="6034CD7D"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législation nationale ne satisfait pas à cette exigence de la NES n°4. Ainsi, c’est la NES n°4 qui s’appliquera </w:t>
            </w:r>
          </w:p>
        </w:tc>
      </w:tr>
      <w:tr w:rsidR="00C4359F" w:rsidRPr="00420C1B" w14:paraId="0430B260" w14:textId="77777777" w:rsidTr="00215867">
        <w:trPr>
          <w:jc w:val="center"/>
        </w:trPr>
        <w:tc>
          <w:tcPr>
            <w:tcW w:w="1194" w:type="pct"/>
          </w:tcPr>
          <w:p w14:paraId="1AFD631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ou minimiser la propagation de maladies transmissibles qui peuvent être associées à l’afflux de main-d’œuvre temporaire ou permanente sur le projet.</w:t>
            </w:r>
          </w:p>
          <w:p w14:paraId="05CFE292"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15 et 16</w:t>
            </w:r>
          </w:p>
        </w:tc>
        <w:tc>
          <w:tcPr>
            <w:tcW w:w="2003" w:type="pct"/>
            <w:shd w:val="clear" w:color="auto" w:fill="auto"/>
            <w:vAlign w:val="center"/>
          </w:tcPr>
          <w:p w14:paraId="1333B3C3"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La loi n°08/011 du 14 juillet 2008 portant protection des droits des personnes vivant avec le VIH/SIDA et des personnes affectées, et l’Ordonnance n°20/014 du 24 mars 2020 portant proclamation de l’état d’urgence sanitaire pour faire face à l’épidémie de COVID-19 aborde la situation de la propagation des maladies transmissibles</w:t>
            </w:r>
          </w:p>
        </w:tc>
        <w:tc>
          <w:tcPr>
            <w:tcW w:w="1803" w:type="pct"/>
            <w:shd w:val="clear" w:color="auto" w:fill="auto"/>
            <w:vAlign w:val="center"/>
          </w:tcPr>
          <w:p w14:paraId="41840693" w14:textId="1E085896"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Les lois nationales satisfont à cette exigence de la NES n°4. Ainsi, </w:t>
            </w:r>
            <w:r w:rsidR="003B4085" w:rsidRPr="00420C1B">
              <w:rPr>
                <w:rFonts w:ascii="Times New Roman" w:hAnsi="Times New Roman"/>
                <w:color w:val="000000"/>
              </w:rPr>
              <w:t xml:space="preserve">ce sont les lois nationales </w:t>
            </w:r>
            <w:r w:rsidRPr="00420C1B">
              <w:rPr>
                <w:rFonts w:ascii="Times New Roman" w:hAnsi="Times New Roman"/>
                <w:color w:val="000000"/>
              </w:rPr>
              <w:t>qui s’appliquer</w:t>
            </w:r>
            <w:r w:rsidR="003B4085" w:rsidRPr="00420C1B">
              <w:rPr>
                <w:rFonts w:ascii="Times New Roman" w:hAnsi="Times New Roman"/>
                <w:color w:val="000000"/>
              </w:rPr>
              <w:t>ont</w:t>
            </w:r>
            <w:r w:rsidRPr="00420C1B">
              <w:rPr>
                <w:rFonts w:ascii="Times New Roman" w:hAnsi="Times New Roman"/>
                <w:color w:val="000000"/>
              </w:rPr>
              <w:t>.</w:t>
            </w:r>
          </w:p>
          <w:p w14:paraId="00FCFADD" w14:textId="1956DCCA" w:rsidR="00C4359F" w:rsidRPr="00420C1B" w:rsidRDefault="00631EF7" w:rsidP="005232A3">
            <w:pPr>
              <w:spacing w:after="0" w:line="240" w:lineRule="auto"/>
              <w:jc w:val="both"/>
              <w:rPr>
                <w:rFonts w:ascii="Times New Roman" w:hAnsi="Times New Roman"/>
                <w:color w:val="000000"/>
              </w:rPr>
            </w:pPr>
            <w:r w:rsidRPr="00420C1B">
              <w:rPr>
                <w:rFonts w:ascii="Times New Roman" w:hAnsi="Times New Roman"/>
                <w:color w:val="000000"/>
              </w:rPr>
              <w:t>Toutefois, l</w:t>
            </w:r>
            <w:r w:rsidR="00C4359F" w:rsidRPr="00420C1B">
              <w:rPr>
                <w:rFonts w:ascii="Times New Roman" w:hAnsi="Times New Roman"/>
                <w:color w:val="000000"/>
              </w:rPr>
              <w:t xml:space="preserve">e </w:t>
            </w:r>
            <w:r w:rsidRPr="00420C1B">
              <w:rPr>
                <w:rFonts w:ascii="Times New Roman" w:hAnsi="Times New Roman"/>
                <w:color w:val="000000"/>
              </w:rPr>
              <w:t xml:space="preserve">projet EWAG </w:t>
            </w:r>
            <w:r w:rsidR="00C4359F" w:rsidRPr="00420C1B">
              <w:rPr>
                <w:rFonts w:ascii="Times New Roman" w:hAnsi="Times New Roman"/>
                <w:color w:val="000000"/>
              </w:rPr>
              <w:t>suivra les dernières directives de la Banque mondiale relative</w:t>
            </w:r>
            <w:r w:rsidRPr="00420C1B">
              <w:rPr>
                <w:rFonts w:ascii="Times New Roman" w:hAnsi="Times New Roman"/>
                <w:color w:val="000000"/>
              </w:rPr>
              <w:t>s</w:t>
            </w:r>
            <w:r w:rsidR="00C4359F" w:rsidRPr="00420C1B">
              <w:rPr>
                <w:rFonts w:ascii="Times New Roman" w:hAnsi="Times New Roman"/>
                <w:color w:val="000000"/>
              </w:rPr>
              <w:t xml:space="preserve"> à la COVID-19 et les lignes directrices de l’OMS.</w:t>
            </w:r>
          </w:p>
        </w:tc>
      </w:tr>
      <w:tr w:rsidR="00C4359F" w:rsidRPr="00420C1B" w14:paraId="24CDC327" w14:textId="77777777" w:rsidTr="00215867">
        <w:trPr>
          <w:jc w:val="center"/>
        </w:trPr>
        <w:tc>
          <w:tcPr>
            <w:tcW w:w="1194" w:type="pct"/>
          </w:tcPr>
          <w:p w14:paraId="5B37C84B"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que les populations soient exposées aux matières et substances dangereuses qui peuvent être émises par le projet ou minimisera leur exposition à ces matières et substances</w:t>
            </w:r>
          </w:p>
          <w:p w14:paraId="060BCC29" w14:textId="77777777" w:rsidR="00C4359F" w:rsidRPr="00420C1B" w:rsidRDefault="00C4359F" w:rsidP="005232A3">
            <w:pPr>
              <w:autoSpaceDE w:val="0"/>
              <w:autoSpaceDN w:val="0"/>
              <w:adjustRightInd w:val="0"/>
              <w:spacing w:after="0" w:line="240" w:lineRule="auto"/>
              <w:jc w:val="both"/>
              <w:rPr>
                <w:rFonts w:ascii="Times New Roman" w:hAnsi="Times New Roman"/>
                <w:i/>
                <w:iCs/>
              </w:rPr>
            </w:pPr>
            <w:r w:rsidRPr="00420C1B">
              <w:rPr>
                <w:rFonts w:ascii="Times New Roman" w:hAnsi="Times New Roman"/>
                <w:i/>
                <w:iCs/>
              </w:rPr>
              <w:t>Paragraphe 17 et 178</w:t>
            </w:r>
          </w:p>
          <w:p w14:paraId="0DA3EC22" w14:textId="77777777" w:rsidR="00C4359F" w:rsidRPr="00420C1B" w:rsidRDefault="00C4359F" w:rsidP="005232A3">
            <w:pPr>
              <w:autoSpaceDE w:val="0"/>
              <w:autoSpaceDN w:val="0"/>
              <w:adjustRightInd w:val="0"/>
              <w:spacing w:after="0" w:line="240" w:lineRule="auto"/>
              <w:jc w:val="both"/>
              <w:rPr>
                <w:rFonts w:ascii="Times New Roman" w:hAnsi="Times New Roman"/>
              </w:rPr>
            </w:pPr>
          </w:p>
        </w:tc>
        <w:tc>
          <w:tcPr>
            <w:tcW w:w="2003" w:type="pct"/>
            <w:shd w:val="clear" w:color="auto" w:fill="auto"/>
            <w:vAlign w:val="center"/>
          </w:tcPr>
          <w:p w14:paraId="64A68068"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La constitution de la RDC dans ses articles 123 point 15 et la Loi n°11/009 préconisent les dispositions pour prévenir les risques et lutter contre toutes les formes de pollutions et nuisances. La même loi stipule que l’Etat prend des mesures appropriées pour prévenir, atténuer et éliminer les effets nuisibles sur l’environnement et la santé des produits chimiques, des pesticides dangereux et des polluants organiques persistants (Art.53). La section 4 est dédiée à la gestion des déchets.</w:t>
            </w:r>
          </w:p>
        </w:tc>
        <w:tc>
          <w:tcPr>
            <w:tcW w:w="1803" w:type="pct"/>
            <w:shd w:val="clear" w:color="auto" w:fill="auto"/>
            <w:vAlign w:val="center"/>
          </w:tcPr>
          <w:p w14:paraId="62990E7D" w14:textId="3460EA08"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loi nationale satisfait à cette exigence de la NES n°4, </w:t>
            </w:r>
            <w:r w:rsidR="00204041" w:rsidRPr="00420C1B">
              <w:rPr>
                <w:rFonts w:ascii="Times New Roman" w:hAnsi="Times New Roman"/>
                <w:color w:val="000000"/>
              </w:rPr>
              <w:t xml:space="preserve">Les lois nationales </w:t>
            </w:r>
            <w:r w:rsidRPr="00420C1B">
              <w:rPr>
                <w:rFonts w:ascii="Times New Roman" w:hAnsi="Times New Roman"/>
                <w:color w:val="000000"/>
              </w:rPr>
              <w:t>qui s’appliquera et sera suivi</w:t>
            </w:r>
            <w:r w:rsidR="0019702E" w:rsidRPr="00420C1B">
              <w:rPr>
                <w:rFonts w:ascii="Times New Roman" w:hAnsi="Times New Roman"/>
                <w:color w:val="000000"/>
              </w:rPr>
              <w:t>e</w:t>
            </w:r>
            <w:r w:rsidRPr="00420C1B">
              <w:rPr>
                <w:rFonts w:ascii="Times New Roman" w:hAnsi="Times New Roman"/>
                <w:color w:val="000000"/>
              </w:rPr>
              <w:t xml:space="preserve"> par l’IDA.</w:t>
            </w:r>
          </w:p>
        </w:tc>
      </w:tr>
      <w:tr w:rsidR="00C4359F" w:rsidRPr="00420C1B" w14:paraId="5673E9F2" w14:textId="77777777" w:rsidTr="00215867">
        <w:trPr>
          <w:jc w:val="center"/>
        </w:trPr>
        <w:tc>
          <w:tcPr>
            <w:tcW w:w="1194" w:type="pct"/>
          </w:tcPr>
          <w:p w14:paraId="04C47EA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Formuler et mettre en œuvre des mesures permettant de gérer les situations d’urgence, y compris l’évaluation des risques et dangers (ERD) et la préparation d’un Plan d’intervention d’urgence (PIU) en coordination avec les autorités locales compétentes et la communauté touchée</w:t>
            </w:r>
          </w:p>
          <w:p w14:paraId="013C3540"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Paragraphe 19 à 23</w:t>
            </w:r>
          </w:p>
        </w:tc>
        <w:tc>
          <w:tcPr>
            <w:tcW w:w="2003" w:type="pct"/>
            <w:shd w:val="clear" w:color="auto" w:fill="auto"/>
            <w:vAlign w:val="center"/>
          </w:tcPr>
          <w:p w14:paraId="7DD38487"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La loi n°11/009 dispose que tout exploitant d’une installation classée élabore et met en œuvre des mesures de sécurité industriels appropriées et établit un plan d’urgence décrivant les mesures nécessaires pour maitriser les accidents industriels ou limiter leurs conséquences pour l’environnement et la santé (Art.40). ce plan d’urgence est porté à la connaissance des autorités administratives compétentes et des populations avoisinantes. Est soumise à l’autorisation, toute installation dont l’existence ou l’exploitation présente des dangers, des inconvénients, ou des incommodités graves à la santé, la sécurité, la salubrité publique, le voisinage, l’environnement ou la conservation des sites et monuments.</w:t>
            </w:r>
          </w:p>
        </w:tc>
        <w:tc>
          <w:tcPr>
            <w:tcW w:w="1803" w:type="pct"/>
            <w:shd w:val="clear" w:color="auto" w:fill="auto"/>
            <w:vAlign w:val="center"/>
          </w:tcPr>
          <w:p w14:paraId="36903CA9" w14:textId="63C331E3"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loi nationale satisfait à cette exigence de la NES n°4. Ainsi, c’est la NES n°4 qui s’appliquera </w:t>
            </w:r>
          </w:p>
        </w:tc>
      </w:tr>
      <w:tr w:rsidR="00C4359F" w:rsidRPr="00420C1B" w14:paraId="0F49FFC0" w14:textId="77777777" w:rsidTr="00215867">
        <w:trPr>
          <w:jc w:val="center"/>
        </w:trPr>
        <w:tc>
          <w:tcPr>
            <w:tcW w:w="1194" w:type="pct"/>
            <w:vAlign w:val="center"/>
          </w:tcPr>
          <w:p w14:paraId="37E2DEDA" w14:textId="77777777" w:rsidR="00C4359F" w:rsidRPr="00E737B4" w:rsidRDefault="00C4359F" w:rsidP="00215867">
            <w:pPr>
              <w:widowControl w:val="0"/>
              <w:autoSpaceDE w:val="0"/>
              <w:autoSpaceDN w:val="0"/>
              <w:spacing w:after="0" w:line="240" w:lineRule="auto"/>
              <w:rPr>
                <w:rFonts w:ascii="Times New Roman" w:eastAsia="Arial" w:hAnsi="Times New Roman"/>
                <w:w w:val="105"/>
              </w:rPr>
            </w:pPr>
            <w:r w:rsidRPr="00E737B4">
              <w:rPr>
                <w:rFonts w:ascii="Times New Roman" w:eastAsia="Arial" w:hAnsi="Times New Roman"/>
                <w:w w:val="105"/>
              </w:rPr>
              <w:t>Évaluer les risques posés par les dispositifs de sécurité, tant à l’intérieur qu’à l’extérieur du site du projet, encouragera les autorités compétentes à publier les dispositifs de sécurité applicables</w:t>
            </w:r>
          </w:p>
          <w:p w14:paraId="158C274A" w14:textId="77777777" w:rsidR="00C4359F" w:rsidRPr="00420C1B" w:rsidRDefault="00C4359F" w:rsidP="00215867">
            <w:pPr>
              <w:autoSpaceDE w:val="0"/>
              <w:autoSpaceDN w:val="0"/>
              <w:adjustRightInd w:val="0"/>
              <w:spacing w:after="0" w:line="240" w:lineRule="auto"/>
              <w:rPr>
                <w:rFonts w:ascii="Times New Roman" w:hAnsi="Times New Roman"/>
              </w:rPr>
            </w:pPr>
            <w:r w:rsidRPr="00420C1B">
              <w:rPr>
                <w:rFonts w:ascii="Times New Roman" w:hAnsi="Times New Roman"/>
                <w:i/>
                <w:iCs/>
              </w:rPr>
              <w:t>Paragraphe 24-27</w:t>
            </w:r>
          </w:p>
        </w:tc>
        <w:tc>
          <w:tcPr>
            <w:tcW w:w="2003" w:type="pct"/>
            <w:shd w:val="clear" w:color="auto" w:fill="auto"/>
            <w:vAlign w:val="center"/>
          </w:tcPr>
          <w:p w14:paraId="3CCC1068" w14:textId="77777777" w:rsidR="00C4359F" w:rsidRPr="00420C1B" w:rsidRDefault="00C4359F" w:rsidP="00215867">
            <w:pPr>
              <w:autoSpaceDE w:val="0"/>
              <w:autoSpaceDN w:val="0"/>
              <w:adjustRightInd w:val="0"/>
              <w:spacing w:after="0" w:line="240" w:lineRule="auto"/>
              <w:rPr>
                <w:rFonts w:ascii="Times New Roman" w:hAnsi="Times New Roman"/>
              </w:rPr>
            </w:pPr>
            <w:r w:rsidRPr="00420C1B">
              <w:rPr>
                <w:rFonts w:ascii="Times New Roman" w:hAnsi="Times New Roman"/>
              </w:rPr>
              <w:t>Les dispositions de la loi n°11/009 portant Principes fondamentaux de protection de l’environnement, et la loi n°78-022 du 30 août 1978 portant nouveau code de la route qui régit la circulation routière en RDC abordent partiellement des aspects liés à la sécurité.</w:t>
            </w:r>
          </w:p>
          <w:p w14:paraId="7B9E4D67" w14:textId="77777777" w:rsidR="00C4359F" w:rsidRPr="00420C1B" w:rsidRDefault="00C4359F" w:rsidP="00215867">
            <w:pPr>
              <w:autoSpaceDE w:val="0"/>
              <w:autoSpaceDN w:val="0"/>
              <w:adjustRightInd w:val="0"/>
              <w:spacing w:after="0" w:line="240" w:lineRule="auto"/>
              <w:rPr>
                <w:rFonts w:ascii="Times New Roman" w:hAnsi="Times New Roman"/>
              </w:rPr>
            </w:pPr>
          </w:p>
        </w:tc>
        <w:tc>
          <w:tcPr>
            <w:tcW w:w="1803" w:type="pct"/>
            <w:shd w:val="clear" w:color="auto" w:fill="auto"/>
            <w:vAlign w:val="center"/>
          </w:tcPr>
          <w:p w14:paraId="030C70A4" w14:textId="0BC23E6A" w:rsidR="00C4359F" w:rsidRPr="00420C1B" w:rsidRDefault="00C4359F" w:rsidP="007E5A67">
            <w:pPr>
              <w:spacing w:after="0" w:line="240" w:lineRule="auto"/>
              <w:jc w:val="both"/>
              <w:rPr>
                <w:rFonts w:ascii="Times New Roman" w:hAnsi="Times New Roman"/>
                <w:color w:val="000000"/>
              </w:rPr>
            </w:pPr>
            <w:r w:rsidRPr="00420C1B">
              <w:rPr>
                <w:rFonts w:ascii="Times New Roman" w:hAnsi="Times New Roman"/>
                <w:color w:val="000000"/>
              </w:rPr>
              <w:t>La législation nationale n’aborde pas explicitement les risques de sécurité routière, les aspects de services écosystémiques, accès universel et l’utilisation du personnel de sécurité, et le projet devra s’assurer que ces exigences si requises soient bien prise en compte dans les instruments E&amp;S à préparer. Il existe une similitude sur le plan de l’évaluation des dangers, gestion de la prise en compte des mesures d’urgence et des atteintes à la santé, sécurité, la protection des populations avoisinantes. Ainsi, la NES n°4 sera appliquée</w:t>
            </w:r>
            <w:r w:rsidR="00DC0609" w:rsidRPr="00420C1B">
              <w:rPr>
                <w:rFonts w:ascii="Times New Roman" w:hAnsi="Times New Roman"/>
                <w:color w:val="000000"/>
              </w:rPr>
              <w:t>.</w:t>
            </w:r>
          </w:p>
        </w:tc>
      </w:tr>
      <w:tr w:rsidR="00C4359F" w:rsidRPr="00420C1B" w14:paraId="7D56E0CF" w14:textId="77777777" w:rsidTr="00215867">
        <w:trPr>
          <w:jc w:val="center"/>
        </w:trPr>
        <w:tc>
          <w:tcPr>
            <w:tcW w:w="1194" w:type="pct"/>
          </w:tcPr>
          <w:p w14:paraId="24E516C3"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Recrutera des professionnels expérimentés et compétents pour superviser la conception et la construction de nouveaux barrages, et adopter et mettre en œuvre les mesures de sécurité des barrages.</w:t>
            </w:r>
          </w:p>
          <w:p w14:paraId="03A6EF31" w14:textId="77777777"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i/>
                <w:iCs/>
              </w:rPr>
              <w:t>Annexe 1</w:t>
            </w:r>
          </w:p>
        </w:tc>
        <w:tc>
          <w:tcPr>
            <w:tcW w:w="2003" w:type="pct"/>
            <w:shd w:val="clear" w:color="auto" w:fill="auto"/>
            <w:vAlign w:val="center"/>
          </w:tcPr>
          <w:p w14:paraId="5630365D" w14:textId="35E11D7C" w:rsidR="00C4359F" w:rsidRPr="00420C1B" w:rsidRDefault="00C4359F" w:rsidP="005232A3">
            <w:pPr>
              <w:autoSpaceDE w:val="0"/>
              <w:autoSpaceDN w:val="0"/>
              <w:adjustRightInd w:val="0"/>
              <w:spacing w:after="0" w:line="240" w:lineRule="auto"/>
              <w:jc w:val="both"/>
              <w:rPr>
                <w:rFonts w:ascii="Times New Roman" w:hAnsi="Times New Roman"/>
              </w:rPr>
            </w:pPr>
            <w:r w:rsidRPr="00420C1B">
              <w:rPr>
                <w:rFonts w:ascii="Times New Roman" w:hAnsi="Times New Roman"/>
              </w:rPr>
              <w:t>La loi relative à l’électricité dans son article 34 requiert la mobilisation des experts indépendants pour la certification des installations électriques de production, de transport et de distribution suivant les puissances ou tensions exploitées sont agréées par le ministre afin d’exercer, à charge de l’opérateur, le contrôle ou l’inspection technique de conformité requis dans le cadre de la présente loi et de ses mesures d’exécution.</w:t>
            </w:r>
          </w:p>
        </w:tc>
        <w:tc>
          <w:tcPr>
            <w:tcW w:w="1803" w:type="pct"/>
            <w:shd w:val="clear" w:color="auto" w:fill="auto"/>
            <w:vAlign w:val="center"/>
          </w:tcPr>
          <w:p w14:paraId="12A2745D" w14:textId="468FA4D5" w:rsidR="00C4359F" w:rsidRPr="00420C1B" w:rsidRDefault="00C4359F" w:rsidP="005232A3">
            <w:pPr>
              <w:spacing w:after="0" w:line="240" w:lineRule="auto"/>
              <w:jc w:val="both"/>
              <w:rPr>
                <w:rFonts w:ascii="Times New Roman" w:hAnsi="Times New Roman"/>
                <w:color w:val="000000"/>
              </w:rPr>
            </w:pPr>
            <w:r w:rsidRPr="00420C1B">
              <w:rPr>
                <w:rFonts w:ascii="Times New Roman" w:hAnsi="Times New Roman"/>
                <w:color w:val="000000"/>
              </w:rPr>
              <w:t xml:space="preserve">La loi nationale satisfait à cette exigence de la NES n°4. Ainsi, c’est la </w:t>
            </w:r>
            <w:r w:rsidR="00DC0609" w:rsidRPr="00420C1B">
              <w:rPr>
                <w:rFonts w:ascii="Times New Roman" w:hAnsi="Times New Roman"/>
                <w:color w:val="000000"/>
              </w:rPr>
              <w:t>loi nationale</w:t>
            </w:r>
            <w:r w:rsidRPr="00420C1B">
              <w:rPr>
                <w:rFonts w:ascii="Times New Roman" w:hAnsi="Times New Roman"/>
                <w:color w:val="000000"/>
              </w:rPr>
              <w:t xml:space="preserve"> qui s’appliquera </w:t>
            </w:r>
          </w:p>
        </w:tc>
      </w:tr>
    </w:tbl>
    <w:p w14:paraId="08FB5AEA" w14:textId="77777777" w:rsidR="00C4359F" w:rsidRDefault="00C4359F"/>
    <w:p w14:paraId="2DDB8446" w14:textId="77777777" w:rsidR="00C4359F" w:rsidRDefault="00C4359F"/>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8"/>
        <w:gridCol w:w="6518"/>
        <w:gridCol w:w="4789"/>
      </w:tblGrid>
      <w:tr w:rsidR="00C4359F" w:rsidRPr="00420C1B" w14:paraId="0A53CC97" w14:textId="77777777" w:rsidTr="00E737B4">
        <w:trPr>
          <w:tblHeader/>
          <w:jc w:val="center"/>
        </w:trPr>
        <w:tc>
          <w:tcPr>
            <w:tcW w:w="1194" w:type="pct"/>
            <w:shd w:val="clear" w:color="auto" w:fill="92D050"/>
            <w:vAlign w:val="center"/>
          </w:tcPr>
          <w:p w14:paraId="596E2CEC"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194" w:type="pct"/>
            <w:shd w:val="clear" w:color="auto" w:fill="92D050"/>
            <w:vAlign w:val="center"/>
          </w:tcPr>
          <w:p w14:paraId="72BE3C1D" w14:textId="77777777" w:rsidR="00C4359F" w:rsidRPr="00420C1B" w:rsidRDefault="00C4359F"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612" w:type="pct"/>
            <w:shd w:val="clear" w:color="auto" w:fill="92D050"/>
            <w:vAlign w:val="center"/>
          </w:tcPr>
          <w:p w14:paraId="4E46B9D4" w14:textId="6A85CDC3" w:rsidR="00C4359F" w:rsidRPr="00420C1B" w:rsidRDefault="00C4359F" w:rsidP="001B6CBF">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63C5736D" w14:textId="77777777" w:rsidTr="00E737B4">
        <w:trPr>
          <w:jc w:val="center"/>
        </w:trPr>
        <w:tc>
          <w:tcPr>
            <w:tcW w:w="5000" w:type="pct"/>
            <w:gridSpan w:val="3"/>
            <w:shd w:val="clear" w:color="auto" w:fill="C5E0B3"/>
            <w:vAlign w:val="center"/>
          </w:tcPr>
          <w:p w14:paraId="4BDC76C6" w14:textId="77777777" w:rsidR="00C4359F" w:rsidRPr="00420C1B" w:rsidRDefault="00C4359F" w:rsidP="005232A3">
            <w:pPr>
              <w:spacing w:after="0" w:line="240" w:lineRule="auto"/>
              <w:jc w:val="both"/>
              <w:rPr>
                <w:rFonts w:ascii="Times New Roman" w:hAnsi="Times New Roman"/>
                <w:b/>
                <w:bCs/>
              </w:rPr>
            </w:pPr>
            <w:r w:rsidRPr="00420C1B">
              <w:rPr>
                <w:rFonts w:ascii="Times New Roman" w:hAnsi="Times New Roman"/>
                <w:b/>
                <w:bCs/>
              </w:rPr>
              <w:t xml:space="preserve">NES 5.  Acquisition de terres, restrictions à l’utilisation de terres et réinstallation involontaire </w:t>
            </w:r>
          </w:p>
        </w:tc>
      </w:tr>
      <w:tr w:rsidR="00C4359F" w:rsidRPr="00420C1B" w14:paraId="20C09DD5" w14:textId="77777777" w:rsidTr="00E737B4">
        <w:trPr>
          <w:jc w:val="center"/>
        </w:trPr>
        <w:tc>
          <w:tcPr>
            <w:tcW w:w="1194" w:type="pct"/>
          </w:tcPr>
          <w:p w14:paraId="28EA133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la réinstallation involontaire ou, lorsqu’elle est inévitable, la minimiser en envisageant des solutions de rechange lors de la conception du projet, et éviter l’expulsion forcée</w:t>
            </w:r>
          </w:p>
          <w:p w14:paraId="36EFC6B3"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 2</w:t>
            </w:r>
          </w:p>
        </w:tc>
        <w:tc>
          <w:tcPr>
            <w:tcW w:w="2194" w:type="pct"/>
            <w:shd w:val="clear" w:color="auto" w:fill="auto"/>
            <w:vAlign w:val="center"/>
          </w:tcPr>
          <w:p w14:paraId="27A690D4"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n°77-001 du 22 février 1977 sur l’expropriation pour cause d’utilité publique n’est pas explicite sur les aspects liés à l’expulsion forcée, l’évitement de la réinstallation forcée, etc. Par ailleurs, les personnes éligibles à une compensation sont les propriétaires d’un immeuble ; les titulaires des droits de créance ayant pour objet l’acquisition ou la jouissance d’un immeuble ; les titulaires de droits des communautés locales sur les terres domaniales (Art. 1)</w:t>
            </w:r>
          </w:p>
        </w:tc>
        <w:tc>
          <w:tcPr>
            <w:tcW w:w="1612" w:type="pct"/>
            <w:shd w:val="clear" w:color="auto" w:fill="auto"/>
            <w:vAlign w:val="center"/>
          </w:tcPr>
          <w:p w14:paraId="3C0ED9A7" w14:textId="5791A512"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w:t>
            </w:r>
            <w:r w:rsidR="00221028" w:rsidRPr="00420C1B">
              <w:rPr>
                <w:rFonts w:ascii="Times New Roman" w:hAnsi="Times New Roman"/>
              </w:rPr>
              <w:t xml:space="preserve">ne </w:t>
            </w:r>
            <w:r w:rsidRPr="00420C1B">
              <w:rPr>
                <w:rFonts w:ascii="Times New Roman" w:hAnsi="Times New Roman"/>
              </w:rPr>
              <w:t xml:space="preserve">satisfait </w:t>
            </w:r>
            <w:r w:rsidR="00221028" w:rsidRPr="00420C1B">
              <w:rPr>
                <w:rFonts w:ascii="Times New Roman" w:hAnsi="Times New Roman"/>
              </w:rPr>
              <w:t xml:space="preserve">pas </w:t>
            </w:r>
            <w:r w:rsidR="003E219B" w:rsidRPr="00420C1B">
              <w:rPr>
                <w:rFonts w:ascii="Times New Roman" w:hAnsi="Times New Roman"/>
              </w:rPr>
              <w:t xml:space="preserve">entièrement </w:t>
            </w:r>
            <w:r w:rsidRPr="00420C1B">
              <w:rPr>
                <w:rFonts w:ascii="Times New Roman" w:hAnsi="Times New Roman"/>
              </w:rPr>
              <w:t>à cette exigence de la NES n°5. Ainsi, c’est la NES n°5 qui s’appliquera</w:t>
            </w:r>
            <w:r w:rsidR="005775DB" w:rsidRPr="00420C1B">
              <w:rPr>
                <w:rFonts w:ascii="Times New Roman" w:hAnsi="Times New Roman"/>
              </w:rPr>
              <w:t>.</w:t>
            </w:r>
          </w:p>
        </w:tc>
      </w:tr>
      <w:tr w:rsidR="00C4359F" w:rsidRPr="00420C1B" w14:paraId="3730DFEC" w14:textId="77777777" w:rsidTr="00E737B4">
        <w:trPr>
          <w:jc w:val="center"/>
        </w:trPr>
        <w:tc>
          <w:tcPr>
            <w:tcW w:w="1194" w:type="pct"/>
          </w:tcPr>
          <w:p w14:paraId="1873B6C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Atténuer les effets sociaux et économiques néfastes de l’acquisition de terres ou des restrictions à leur utilisation, en assurant une indemnisation rapide au coût de remplacement des personnes spoliées de leurs biens, et aider les personnes déplacées à rétablir ou améliorer leurs moyens de subsistance et leur niveau de vie d’avant le projet</w:t>
            </w:r>
          </w:p>
          <w:p w14:paraId="2A37547F"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2</w:t>
            </w:r>
          </w:p>
        </w:tc>
        <w:tc>
          <w:tcPr>
            <w:tcW w:w="2194" w:type="pct"/>
            <w:shd w:val="clear" w:color="auto" w:fill="auto"/>
            <w:vAlign w:val="center"/>
          </w:tcPr>
          <w:p w14:paraId="27B15711" w14:textId="77777777" w:rsidR="00C4359F" w:rsidRPr="00420C1B" w:rsidRDefault="00C4359F" w:rsidP="005232A3">
            <w:pPr>
              <w:spacing w:after="0" w:line="240" w:lineRule="auto"/>
              <w:jc w:val="both"/>
              <w:rPr>
                <w:rFonts w:ascii="Times New Roman" w:hAnsi="Times New Roman"/>
              </w:rPr>
            </w:pPr>
            <w:r w:rsidRPr="00E737B4">
              <w:rPr>
                <w:rFonts w:ascii="Times New Roman" w:eastAsia="Arial" w:hAnsi="Times New Roman"/>
                <w:w w:val="105"/>
              </w:rPr>
              <w:t>La Loi N° 14/011 DU 17 juin 2014 relative au secteur de l’électricité, prévoit qu’en cas de déclaration d’utilité publique, les indemnités dues aux titulaires des droits sur les concessions foncières soient fixées et payés conformément aux règles, procédures et modalités de règlements des indemnités en matière d’expropriation pour cause d’utilité publique (Art 112). L’article 113 précise que le doit une indemnisation n’est requis que pour les titulaires de droit sur les concessions foncières et des locataires fonciers et des occupants des terres rurales qui ont effectivement mis le fonds en valeur.</w:t>
            </w:r>
          </w:p>
        </w:tc>
        <w:tc>
          <w:tcPr>
            <w:tcW w:w="1612" w:type="pct"/>
            <w:shd w:val="clear" w:color="auto" w:fill="auto"/>
            <w:vAlign w:val="center"/>
          </w:tcPr>
          <w:p w14:paraId="5965F33A" w14:textId="3662520E"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à cette exigence de la NES n°5. Ainsi, c’est la </w:t>
            </w:r>
            <w:r w:rsidR="00371DB2" w:rsidRPr="00420C1B">
              <w:rPr>
                <w:rFonts w:ascii="Times New Roman" w:hAnsi="Times New Roman"/>
              </w:rPr>
              <w:t>loi nationale</w:t>
            </w:r>
            <w:r w:rsidRPr="00420C1B">
              <w:rPr>
                <w:rFonts w:ascii="Times New Roman" w:hAnsi="Times New Roman"/>
              </w:rPr>
              <w:t xml:space="preserve"> qui s’appliquera</w:t>
            </w:r>
            <w:r w:rsidR="005775DB" w:rsidRPr="00420C1B">
              <w:rPr>
                <w:rFonts w:ascii="Times New Roman" w:hAnsi="Times New Roman"/>
              </w:rPr>
              <w:t>.</w:t>
            </w:r>
          </w:p>
        </w:tc>
      </w:tr>
      <w:tr w:rsidR="00C4359F" w:rsidRPr="00420C1B" w14:paraId="07C92517" w14:textId="77777777" w:rsidTr="00E737B4">
        <w:trPr>
          <w:cantSplit/>
          <w:jc w:val="center"/>
        </w:trPr>
        <w:tc>
          <w:tcPr>
            <w:tcW w:w="1194" w:type="pct"/>
          </w:tcPr>
          <w:p w14:paraId="690B312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Ne pas appliquer le NES5 aux effets qui ne sont pas directement imputables à l’acquisition de terres ou aux restrictions à leur utilisation imposée par le projet, mais plutôt gérer ces effets conformément à la NES1</w:t>
            </w:r>
          </w:p>
          <w:p w14:paraId="6D68BB5E"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5 à 9</w:t>
            </w:r>
          </w:p>
        </w:tc>
        <w:tc>
          <w:tcPr>
            <w:tcW w:w="2194" w:type="pct"/>
            <w:shd w:val="clear" w:color="auto" w:fill="auto"/>
            <w:vAlign w:val="center"/>
          </w:tcPr>
          <w:p w14:paraId="65E8F311"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Non mentionné dans la législation nationale </w:t>
            </w:r>
          </w:p>
        </w:tc>
        <w:tc>
          <w:tcPr>
            <w:tcW w:w="1612" w:type="pct"/>
            <w:shd w:val="clear" w:color="auto" w:fill="auto"/>
            <w:vAlign w:val="center"/>
          </w:tcPr>
          <w:p w14:paraId="34C1BF00" w14:textId="3547DF99"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n°5. Ainsi, c’est la NES n°5 qui s’appliquera </w:t>
            </w:r>
            <w:r w:rsidR="005775DB" w:rsidRPr="00420C1B">
              <w:rPr>
                <w:rFonts w:ascii="Times New Roman" w:hAnsi="Times New Roman"/>
              </w:rPr>
              <w:t>.</w:t>
            </w:r>
          </w:p>
        </w:tc>
      </w:tr>
      <w:tr w:rsidR="00C4359F" w:rsidRPr="00420C1B" w14:paraId="25D852B5" w14:textId="77777777" w:rsidTr="00E737B4">
        <w:trPr>
          <w:cantSplit/>
          <w:jc w:val="center"/>
        </w:trPr>
        <w:tc>
          <w:tcPr>
            <w:tcW w:w="1194" w:type="pct"/>
          </w:tcPr>
          <w:p w14:paraId="4AA09EC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Démontrera que l’acquisition forcée de terres ou les restrictions à leur utilisation se limitent aux besoins directs du projet, et étudier des variantes de conception du projet afin d’éviter ou de minimiser l’acquisition de terres ou les restrictions à leur utilisation</w:t>
            </w:r>
          </w:p>
          <w:p w14:paraId="0EF7ED58"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11</w:t>
            </w:r>
          </w:p>
        </w:tc>
        <w:tc>
          <w:tcPr>
            <w:tcW w:w="2194" w:type="pct"/>
            <w:shd w:val="clear" w:color="auto" w:fill="auto"/>
            <w:vAlign w:val="center"/>
          </w:tcPr>
          <w:p w14:paraId="58591385"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612" w:type="pct"/>
            <w:shd w:val="clear" w:color="auto" w:fill="auto"/>
            <w:vAlign w:val="center"/>
          </w:tcPr>
          <w:p w14:paraId="6C4ECB40" w14:textId="2B92FC58"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n°5. Ainsi, c’est la NES n°5 qui s’appliquera </w:t>
            </w:r>
            <w:r w:rsidR="005775DB" w:rsidRPr="00420C1B">
              <w:rPr>
                <w:rFonts w:ascii="Times New Roman" w:hAnsi="Times New Roman"/>
              </w:rPr>
              <w:t>.</w:t>
            </w:r>
          </w:p>
        </w:tc>
      </w:tr>
      <w:tr w:rsidR="00C4359F" w:rsidRPr="00420C1B" w14:paraId="5FA3D450" w14:textId="77777777" w:rsidTr="00E737B4">
        <w:trPr>
          <w:cantSplit/>
          <w:jc w:val="center"/>
        </w:trPr>
        <w:tc>
          <w:tcPr>
            <w:tcW w:w="1194" w:type="pct"/>
          </w:tcPr>
          <w:p w14:paraId="76E9B85A"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Ne prendre possession des terres et des actifs connexes que lorsque les indemnisations auront été versées conformément aux dispositions de la présente NES et, le cas échéant, lorsque les personnes déplacées auront été réinstallées et les indemnités de déplacement leur auront été versées en sus des indemnisations</w:t>
            </w:r>
          </w:p>
          <w:p w14:paraId="7F524349"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15 et 16</w:t>
            </w:r>
          </w:p>
        </w:tc>
        <w:tc>
          <w:tcPr>
            <w:tcW w:w="2194" w:type="pct"/>
            <w:shd w:val="clear" w:color="auto" w:fill="auto"/>
            <w:vAlign w:val="center"/>
          </w:tcPr>
          <w:p w14:paraId="11EC4B9F"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612" w:type="pct"/>
            <w:shd w:val="clear" w:color="auto" w:fill="auto"/>
            <w:vAlign w:val="center"/>
          </w:tcPr>
          <w:p w14:paraId="311DCF3B" w14:textId="6F2DB9B2"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à cette exigence de la NES n°5. Ainsi, c’est la NES n°5 qui s’appliquera </w:t>
            </w:r>
            <w:r w:rsidR="005775DB" w:rsidRPr="00420C1B">
              <w:rPr>
                <w:rFonts w:ascii="Times New Roman" w:hAnsi="Times New Roman"/>
              </w:rPr>
              <w:t>.</w:t>
            </w:r>
          </w:p>
        </w:tc>
      </w:tr>
      <w:tr w:rsidR="00C4359F" w:rsidRPr="00420C1B" w14:paraId="743806E2" w14:textId="77777777" w:rsidTr="00E737B4">
        <w:trPr>
          <w:cantSplit/>
          <w:jc w:val="center"/>
        </w:trPr>
        <w:tc>
          <w:tcPr>
            <w:tcW w:w="1194" w:type="pct"/>
          </w:tcPr>
          <w:p w14:paraId="2B14DEA6" w14:textId="7BB27456"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Veiller à ce qu’un mécanisme de gestion des plaintes soit en place le plus tôt possible pendant la phase de préparation du projet, conformément aux dispositions de la NES10, afin de gérer les préoccupations soulevées par les personnes déplacées</w:t>
            </w:r>
          </w:p>
          <w:p w14:paraId="5AAE5B1F"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 19</w:t>
            </w:r>
          </w:p>
        </w:tc>
        <w:tc>
          <w:tcPr>
            <w:tcW w:w="2194" w:type="pct"/>
            <w:shd w:val="clear" w:color="auto" w:fill="auto"/>
            <w:vAlign w:val="center"/>
          </w:tcPr>
          <w:p w14:paraId="6DEAA5C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L’article 11 de la loi n°77-001 du 22 février 1977 dispose que les réclamations, observations et accords auxquels la décision d’expropriation donne lieu, ainsi les prix, indemnités ou compensations dûment justifiés, que les personnes intéressées réclament, doivent être portés à la connaissance de l’autorité qui a pris la décision d’expropriation, dans le délai d’un mois à dater de l’avis de réception ou du récépissé prévus aux articles 7 et 8 qui précédent. Négociation à travers les structures étatiques pour s’entendre sur le montant de l’indemnisation. Dans le cas contraire, la phase judiciaire est mise en œuvre. </w:t>
            </w:r>
          </w:p>
        </w:tc>
        <w:tc>
          <w:tcPr>
            <w:tcW w:w="1612" w:type="pct"/>
            <w:shd w:val="clear" w:color="auto" w:fill="auto"/>
            <w:vAlign w:val="center"/>
          </w:tcPr>
          <w:p w14:paraId="5DE6A440" w14:textId="6B08E7F4"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Deux modalités différentes sur le plan des principes mais dans la réalité les mécanismes de résolution de conflit rejoignent ceux érigés par la Banque mondiale. </w:t>
            </w:r>
            <w:r w:rsidR="00DB2D6B" w:rsidRPr="00420C1B">
              <w:rPr>
                <w:rFonts w:ascii="Times New Roman" w:hAnsi="Times New Roman"/>
              </w:rPr>
              <w:t>Ainsi</w:t>
            </w:r>
            <w:r w:rsidRPr="00420C1B">
              <w:rPr>
                <w:rFonts w:ascii="Times New Roman" w:hAnsi="Times New Roman"/>
              </w:rPr>
              <w:t xml:space="preserve">, </w:t>
            </w:r>
            <w:r w:rsidR="00DB2D6B" w:rsidRPr="00420C1B">
              <w:rPr>
                <w:rFonts w:ascii="Times New Roman" w:hAnsi="Times New Roman"/>
              </w:rPr>
              <w:t xml:space="preserve">loi nationale sera </w:t>
            </w:r>
            <w:r w:rsidR="00180082" w:rsidRPr="00420C1B">
              <w:rPr>
                <w:rFonts w:ascii="Times New Roman" w:hAnsi="Times New Roman"/>
              </w:rPr>
              <w:t>appliquée</w:t>
            </w:r>
          </w:p>
        </w:tc>
      </w:tr>
      <w:tr w:rsidR="00C4359F" w:rsidRPr="00420C1B" w14:paraId="6F25D726" w14:textId="77777777" w:rsidTr="00E737B4">
        <w:trPr>
          <w:cantSplit/>
          <w:jc w:val="center"/>
        </w:trPr>
        <w:tc>
          <w:tcPr>
            <w:tcW w:w="1194" w:type="pct"/>
          </w:tcPr>
          <w:p w14:paraId="246D11ED"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Dans le cadre de l’évaluation environnementale et sociale, recenser les personnes touchées par le projet, faire l’inventaire des terres et des biens concernés, identifier les personnes éligibles à être indemnisées ou aidées, et dissuader celles qui ne rempliront pas les conditions requises à cette fin, et préparer un plan de réinstallation proportionné aux risques et effets associés</w:t>
            </w:r>
          </w:p>
          <w:p w14:paraId="07557476"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20 à 25</w:t>
            </w:r>
          </w:p>
        </w:tc>
        <w:tc>
          <w:tcPr>
            <w:tcW w:w="2194" w:type="pct"/>
            <w:shd w:val="clear" w:color="auto" w:fill="auto"/>
            <w:vAlign w:val="center"/>
          </w:tcPr>
          <w:p w14:paraId="746191A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Les personnes éligibles à une compensation sont les propriétaires d’un immeuble ; les titulaires de droits réels immobiliser et fonciers ; les titulaires des droits d’un immeuble ; les titulaires de droits des communautés locales sur les terres domaniales (Art 1.de la loi n°77-001 du 22 février 1977)</w:t>
            </w:r>
          </w:p>
          <w:p w14:paraId="5E1DBC1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p>
          <w:p w14:paraId="35C67589"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L’EIES exige le recensement des personnes touchées par le projet, faire l’inventaire des terres et des biens concernés, identifier les personnes éligibles à être expropriées.</w:t>
            </w:r>
          </w:p>
        </w:tc>
        <w:tc>
          <w:tcPr>
            <w:tcW w:w="1612" w:type="pct"/>
            <w:shd w:val="clear" w:color="auto" w:fill="auto"/>
            <w:vAlign w:val="center"/>
          </w:tcPr>
          <w:p w14:paraId="1997C9CF" w14:textId="4FB770AE"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5. Ainsi, la </w:t>
            </w:r>
            <w:r w:rsidR="00242EA1" w:rsidRPr="00420C1B">
              <w:rPr>
                <w:rFonts w:ascii="Times New Roman" w:hAnsi="Times New Roman"/>
              </w:rPr>
              <w:t>loi nationale</w:t>
            </w:r>
            <w:r w:rsidR="00242EA1" w:rsidRPr="00420C1B" w:rsidDel="00242EA1">
              <w:rPr>
                <w:rFonts w:ascii="Times New Roman" w:hAnsi="Times New Roman"/>
              </w:rPr>
              <w:t xml:space="preserve"> </w:t>
            </w:r>
            <w:r w:rsidRPr="00420C1B">
              <w:rPr>
                <w:rFonts w:ascii="Times New Roman" w:hAnsi="Times New Roman"/>
              </w:rPr>
              <w:t>s’appliquera.</w:t>
            </w:r>
          </w:p>
        </w:tc>
      </w:tr>
      <w:tr w:rsidR="00C4359F" w:rsidRPr="00420C1B" w14:paraId="019716C4" w14:textId="77777777" w:rsidTr="00E737B4">
        <w:trPr>
          <w:cantSplit/>
          <w:jc w:val="center"/>
        </w:trPr>
        <w:tc>
          <w:tcPr>
            <w:tcW w:w="1194" w:type="pct"/>
          </w:tcPr>
          <w:p w14:paraId="19BBBB8D"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Offrir aux personnes concernées par un déplacement physique le choix entre un bien de remplacement d’une valeur égale ou supérieure, avec sécurité de jouissance, ou une indemnisation financière au coût de remplacement, ainsi qu’un appui temporaire afin de rétablir leur capacité à gagner leur vie, leur niveau de production et de vie.</w:t>
            </w:r>
          </w:p>
          <w:p w14:paraId="5216D5AE"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26 à 32</w:t>
            </w:r>
          </w:p>
        </w:tc>
        <w:tc>
          <w:tcPr>
            <w:tcW w:w="2194" w:type="pct"/>
            <w:shd w:val="clear" w:color="auto" w:fill="auto"/>
            <w:vAlign w:val="center"/>
          </w:tcPr>
          <w:p w14:paraId="51105CA9" w14:textId="77777777" w:rsidR="00C4359F" w:rsidRPr="00420C1B" w:rsidRDefault="00C4359F" w:rsidP="005232A3">
            <w:pPr>
              <w:widowControl w:val="0"/>
              <w:autoSpaceDE w:val="0"/>
              <w:autoSpaceDN w:val="0"/>
              <w:spacing w:after="0" w:line="240" w:lineRule="auto"/>
              <w:jc w:val="both"/>
              <w:rPr>
                <w:rFonts w:ascii="Times New Roman" w:hAnsi="Times New Roman"/>
                <w:w w:val="105"/>
              </w:rPr>
            </w:pPr>
            <w:r w:rsidRPr="00420C1B">
              <w:rPr>
                <w:rFonts w:ascii="Times New Roman" w:hAnsi="Times New Roman"/>
              </w:rPr>
              <w:t>Non mentionné dans la législation nationale</w:t>
            </w:r>
          </w:p>
        </w:tc>
        <w:tc>
          <w:tcPr>
            <w:tcW w:w="1612" w:type="pct"/>
            <w:shd w:val="clear" w:color="auto" w:fill="auto"/>
            <w:vAlign w:val="center"/>
          </w:tcPr>
          <w:p w14:paraId="7BBFA12C" w14:textId="61AD8C63"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cette exigence de la NES 5. Ainsi, la NES n°5 s’appliquera </w:t>
            </w:r>
            <w:r w:rsidR="00242EA1" w:rsidRPr="00420C1B">
              <w:rPr>
                <w:rFonts w:ascii="Times New Roman" w:hAnsi="Times New Roman"/>
              </w:rPr>
              <w:t>.</w:t>
            </w:r>
          </w:p>
        </w:tc>
      </w:tr>
      <w:tr w:rsidR="00C4359F" w:rsidRPr="00420C1B" w14:paraId="70073DA0" w14:textId="77777777" w:rsidTr="00E737B4">
        <w:trPr>
          <w:cantSplit/>
          <w:jc w:val="center"/>
        </w:trPr>
        <w:tc>
          <w:tcPr>
            <w:tcW w:w="1194" w:type="pct"/>
          </w:tcPr>
          <w:p w14:paraId="1C51016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Au besoin, mettre en œuvre un plan contenant des mesures pour aider les personnes touchées à améliorer, ou tout au moins rétablir, leurs revenus ou moyens de subsistance, et faire en sorte ces prestations soient accordées d’une manière transparente, cohérente et équitable.</w:t>
            </w:r>
          </w:p>
          <w:p w14:paraId="6AAF4F44"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33 à 36</w:t>
            </w:r>
          </w:p>
        </w:tc>
        <w:tc>
          <w:tcPr>
            <w:tcW w:w="2194" w:type="pct"/>
            <w:shd w:val="clear" w:color="auto" w:fill="auto"/>
            <w:vAlign w:val="center"/>
          </w:tcPr>
          <w:p w14:paraId="6280C54C"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612" w:type="pct"/>
            <w:shd w:val="clear" w:color="auto" w:fill="auto"/>
            <w:vAlign w:val="center"/>
          </w:tcPr>
          <w:p w14:paraId="011DD1D3" w14:textId="6E4E4F23"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cette exigence de la NES 5. Ainsi, la NES n°5 s’appliquera </w:t>
            </w:r>
            <w:r w:rsidR="00242EA1" w:rsidRPr="00420C1B">
              <w:rPr>
                <w:rFonts w:ascii="Times New Roman" w:hAnsi="Times New Roman"/>
              </w:rPr>
              <w:t>.</w:t>
            </w:r>
          </w:p>
        </w:tc>
      </w:tr>
      <w:tr w:rsidR="00C4359F" w:rsidRPr="00420C1B" w14:paraId="03C6A7A8" w14:textId="77777777" w:rsidTr="00E737B4">
        <w:trPr>
          <w:cantSplit/>
          <w:jc w:val="center"/>
        </w:trPr>
        <w:tc>
          <w:tcPr>
            <w:tcW w:w="1194" w:type="pct"/>
          </w:tcPr>
          <w:p w14:paraId="60D4293F"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Assurer la collaboration entre l’entité chargée de la mise en œuvre du projet et toute autre agence publique ou autorité ou entité locale chargée de l’acquisition de terres, de la planification de la réinstallation, ou de la mise à disposition de l’aide nécessaire, et au besoin demander l’assistance technique ou l’aide financière de la Banque mondiale</w:t>
            </w:r>
          </w:p>
          <w:p w14:paraId="463F4082" w14:textId="77777777" w:rsidR="00C4359F" w:rsidRPr="00420C1B" w:rsidRDefault="00C4359F" w:rsidP="005232A3">
            <w:pPr>
              <w:spacing w:after="0" w:line="240" w:lineRule="auto"/>
              <w:jc w:val="both"/>
              <w:rPr>
                <w:rFonts w:ascii="Times New Roman" w:hAnsi="Times New Roman"/>
                <w:i/>
                <w:u w:val="single"/>
              </w:rPr>
            </w:pPr>
            <w:r w:rsidRPr="00420C1B">
              <w:rPr>
                <w:rFonts w:ascii="Times New Roman" w:hAnsi="Times New Roman"/>
                <w:i/>
                <w:iCs/>
              </w:rPr>
              <w:t>Paragraphes 37 à 39</w:t>
            </w:r>
          </w:p>
        </w:tc>
        <w:tc>
          <w:tcPr>
            <w:tcW w:w="2194" w:type="pct"/>
            <w:shd w:val="clear" w:color="auto" w:fill="auto"/>
            <w:vAlign w:val="center"/>
          </w:tcPr>
          <w:p w14:paraId="039AA747"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612" w:type="pct"/>
            <w:shd w:val="clear" w:color="auto" w:fill="auto"/>
            <w:vAlign w:val="center"/>
          </w:tcPr>
          <w:p w14:paraId="5F0FFF6B" w14:textId="2A54B5C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cette exigence de la NES 5. Ainsi, la NES n°5 s’appliquera </w:t>
            </w:r>
            <w:r w:rsidR="00242EA1" w:rsidRPr="00420C1B">
              <w:rPr>
                <w:rFonts w:ascii="Times New Roman" w:hAnsi="Times New Roman"/>
              </w:rPr>
              <w:t>.</w:t>
            </w:r>
          </w:p>
        </w:tc>
      </w:tr>
    </w:tbl>
    <w:p w14:paraId="771A8E34" w14:textId="77777777" w:rsidR="00325A16" w:rsidRDefault="00325A16"/>
    <w:p w14:paraId="50CE473E" w14:textId="77777777" w:rsidR="00325A16" w:rsidRDefault="00325A16"/>
    <w:p w14:paraId="148FF429" w14:textId="77777777" w:rsidR="00325A16" w:rsidRDefault="00325A16"/>
    <w:p w14:paraId="71968C2D" w14:textId="77777777" w:rsidR="00325A16" w:rsidRDefault="00325A16"/>
    <w:p w14:paraId="378C9EE6" w14:textId="5559EC36" w:rsidR="00325A16" w:rsidRDefault="00325A16"/>
    <w:p w14:paraId="75C7A5BC" w14:textId="77777777" w:rsidR="00194A11" w:rsidRDefault="00194A11"/>
    <w:p w14:paraId="28B89D78" w14:textId="77777777" w:rsidR="00325A16" w:rsidRDefault="00325A16"/>
    <w:tbl>
      <w:tblPr>
        <w:tblW w:w="14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7"/>
        <w:gridCol w:w="6661"/>
        <w:gridCol w:w="3797"/>
      </w:tblGrid>
      <w:tr w:rsidR="00325A16" w:rsidRPr="00420C1B" w14:paraId="28813BA0" w14:textId="77777777" w:rsidTr="00325A16">
        <w:trPr>
          <w:tblHeader/>
          <w:jc w:val="center"/>
        </w:trPr>
        <w:tc>
          <w:tcPr>
            <w:tcW w:w="1480" w:type="pct"/>
            <w:shd w:val="clear" w:color="auto" w:fill="92D050"/>
            <w:vAlign w:val="center"/>
          </w:tcPr>
          <w:p w14:paraId="4D7DDC1C" w14:textId="554C5CB7" w:rsidR="00325A16" w:rsidRPr="00420C1B" w:rsidRDefault="00325A16"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242" w:type="pct"/>
            <w:shd w:val="clear" w:color="auto" w:fill="92D050"/>
            <w:vAlign w:val="center"/>
          </w:tcPr>
          <w:p w14:paraId="7071FE01" w14:textId="77777777" w:rsidR="00325A16" w:rsidRPr="00420C1B" w:rsidRDefault="00325A16"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278" w:type="pct"/>
            <w:shd w:val="clear" w:color="auto" w:fill="92D050"/>
            <w:vAlign w:val="center"/>
          </w:tcPr>
          <w:p w14:paraId="52A895A2" w14:textId="443A0C2E" w:rsidR="00325A16" w:rsidRPr="00420C1B" w:rsidRDefault="00325A16" w:rsidP="001B6CBF">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24984CB4" w14:textId="77777777" w:rsidTr="00E737B4">
        <w:trPr>
          <w:cantSplit/>
          <w:jc w:val="center"/>
        </w:trPr>
        <w:tc>
          <w:tcPr>
            <w:tcW w:w="5000" w:type="pct"/>
            <w:gridSpan w:val="3"/>
            <w:shd w:val="clear" w:color="auto" w:fill="C5E0B3"/>
            <w:vAlign w:val="center"/>
          </w:tcPr>
          <w:p w14:paraId="00D91F74" w14:textId="77777777" w:rsidR="00C4359F" w:rsidRPr="00420C1B" w:rsidRDefault="00C4359F" w:rsidP="005232A3">
            <w:pPr>
              <w:spacing w:after="0" w:line="240" w:lineRule="auto"/>
              <w:jc w:val="both"/>
              <w:rPr>
                <w:rFonts w:ascii="Times New Roman" w:hAnsi="Times New Roman"/>
                <w:b/>
                <w:bCs/>
              </w:rPr>
            </w:pPr>
            <w:r w:rsidRPr="00420C1B">
              <w:rPr>
                <w:rFonts w:ascii="Times New Roman" w:hAnsi="Times New Roman"/>
                <w:b/>
                <w:bCs/>
              </w:rPr>
              <w:t>NES 6.  Préservation de la biodiversité et gestion durable des res</w:t>
            </w:r>
            <w:r w:rsidR="00325A16" w:rsidRPr="00420C1B">
              <w:rPr>
                <w:rFonts w:ascii="Times New Roman" w:hAnsi="Times New Roman"/>
                <w:b/>
                <w:bCs/>
              </w:rPr>
              <w:t>sources naturelles biologiques</w:t>
            </w:r>
          </w:p>
        </w:tc>
      </w:tr>
      <w:tr w:rsidR="00C4359F" w:rsidRPr="00420C1B" w14:paraId="3F0D98A4" w14:textId="77777777" w:rsidTr="00E737B4">
        <w:trPr>
          <w:cantSplit/>
          <w:jc w:val="center"/>
        </w:trPr>
        <w:tc>
          <w:tcPr>
            <w:tcW w:w="1480" w:type="pct"/>
          </w:tcPr>
          <w:p w14:paraId="01C36BA3"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Déterminera les risques et effets potentiels du projet sur les habitats et la biodiversité qu’ils abritent, évaluer ces risques et effets du projet, et les gérer selon le principe de la hiérarchie d’atténuation et les BPISA.</w:t>
            </w:r>
          </w:p>
          <w:p w14:paraId="41050DD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 10 à 12</w:t>
            </w:r>
          </w:p>
        </w:tc>
        <w:tc>
          <w:tcPr>
            <w:tcW w:w="2242" w:type="pct"/>
            <w:shd w:val="clear" w:color="auto" w:fill="auto"/>
            <w:vAlign w:val="center"/>
          </w:tcPr>
          <w:p w14:paraId="79EFD29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 loi n°11/009 du 09 juillet 2011 portant Principes fondamentaux relatifs à la protection de l’environnement et le Décret n°14/019 du 02 août 2014 fixant les règles de fonctionnement des mécanismes procéduraux de la protection de l’environnement et mettent un accent particulier sur les habitats naturels. Aussi, il stipulé en son article 32 que l’Etat, la Province et l’Entité territoriale décentralisée assurent, dans les limites de leurs compétences respectives, la protection et la gestion durable de la biodiversité </w:t>
            </w:r>
          </w:p>
        </w:tc>
        <w:tc>
          <w:tcPr>
            <w:tcW w:w="1278" w:type="pct"/>
            <w:shd w:val="clear" w:color="auto" w:fill="auto"/>
            <w:vAlign w:val="center"/>
          </w:tcPr>
          <w:p w14:paraId="006F0B35"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partiellement à cette NES 6, donc la NES 6 s’appliquera.</w:t>
            </w:r>
          </w:p>
        </w:tc>
      </w:tr>
      <w:tr w:rsidR="00C4359F" w:rsidRPr="00420C1B" w14:paraId="22D3FDDE" w14:textId="77777777" w:rsidTr="00E737B4">
        <w:trPr>
          <w:cantSplit/>
          <w:jc w:val="center"/>
        </w:trPr>
        <w:tc>
          <w:tcPr>
            <w:tcW w:w="1480" w:type="pct"/>
          </w:tcPr>
          <w:p w14:paraId="07A5A1C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Lorsque la stratégie d’atténuation comprend un système de compensation, faire intervenir les parties concernées et des experts qualifiés, et démontrer que ce système entrainera de préférence un gain net de biodiversité, et qu’il sera techniquement et financièrement viable à long terme</w:t>
            </w:r>
          </w:p>
          <w:p w14:paraId="783AFD5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13 à 16</w:t>
            </w:r>
          </w:p>
        </w:tc>
        <w:tc>
          <w:tcPr>
            <w:tcW w:w="2242" w:type="pct"/>
            <w:shd w:val="clear" w:color="auto" w:fill="auto"/>
            <w:vAlign w:val="center"/>
          </w:tcPr>
          <w:p w14:paraId="0A15F476"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074FFE1B" w14:textId="3FC0D78C" w:rsidR="00C4359F" w:rsidRPr="00420C1B" w:rsidRDefault="00C4359F" w:rsidP="007E5A67">
            <w:pPr>
              <w:spacing w:after="0" w:line="240" w:lineRule="auto"/>
              <w:jc w:val="both"/>
              <w:rPr>
                <w:rFonts w:ascii="Times New Roman" w:hAnsi="Times New Roman"/>
              </w:rPr>
            </w:pPr>
            <w:r w:rsidRPr="00420C1B">
              <w:rPr>
                <w:rFonts w:ascii="Times New Roman" w:hAnsi="Times New Roman"/>
              </w:rPr>
              <w:t>La loi nationale ne satisfait pas cette exigence de la NES 6. Ainsi, la NES n°6 s’appliquera</w:t>
            </w:r>
            <w:r w:rsidR="007E5A67">
              <w:rPr>
                <w:rFonts w:ascii="Times New Roman" w:hAnsi="Times New Roman"/>
              </w:rPr>
              <w:t>.</w:t>
            </w:r>
            <w:r w:rsidRPr="00420C1B">
              <w:rPr>
                <w:rFonts w:ascii="Times New Roman" w:hAnsi="Times New Roman"/>
              </w:rPr>
              <w:t xml:space="preserve"> </w:t>
            </w:r>
          </w:p>
        </w:tc>
      </w:tr>
      <w:tr w:rsidR="00C4359F" w:rsidRPr="00420C1B" w14:paraId="709B75B8" w14:textId="77777777" w:rsidTr="00E737B4">
        <w:trPr>
          <w:cantSplit/>
          <w:jc w:val="center"/>
        </w:trPr>
        <w:tc>
          <w:tcPr>
            <w:tcW w:w="1480" w:type="pct"/>
          </w:tcPr>
          <w:p w14:paraId="39BEFFFF"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ou minimiser les impacts sur la biodiversité des habitats modifiés et mettre en œuvre des mesures d’atténuation selon le cas.</w:t>
            </w:r>
          </w:p>
          <w:p w14:paraId="6F6FA503"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19 et 20</w:t>
            </w:r>
          </w:p>
        </w:tc>
        <w:tc>
          <w:tcPr>
            <w:tcW w:w="2242" w:type="pct"/>
            <w:shd w:val="clear" w:color="auto" w:fill="auto"/>
            <w:vAlign w:val="center"/>
          </w:tcPr>
          <w:p w14:paraId="291A59F4"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La loi n°11/009 du 09 juillet 2011 portant Principes fondamentaux relatifs à la protection de l’environnement, et le Décret n°14/019 du 02 août 2014 fixant les règles de fonctionnement des mécanismes procéduraux de la protection de l’environnement et mettent un accent particulier sur les habitats naturels</w:t>
            </w:r>
          </w:p>
        </w:tc>
        <w:tc>
          <w:tcPr>
            <w:tcW w:w="1278" w:type="pct"/>
            <w:shd w:val="clear" w:color="auto" w:fill="auto"/>
            <w:vAlign w:val="center"/>
          </w:tcPr>
          <w:p w14:paraId="72F9B4D6" w14:textId="5AD53922"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cette exigence de la NES 6</w:t>
            </w:r>
            <w:r w:rsidR="0085350A" w:rsidRPr="00420C1B">
              <w:rPr>
                <w:rFonts w:ascii="Times New Roman" w:hAnsi="Times New Roman"/>
              </w:rPr>
              <w:t xml:space="preserve">. Ainsi, </w:t>
            </w:r>
            <w:r w:rsidR="004130B3" w:rsidRPr="00420C1B">
              <w:rPr>
                <w:rFonts w:ascii="Times New Roman" w:hAnsi="Times New Roman"/>
              </w:rPr>
              <w:t xml:space="preserve">c’est la loi nationale qui </w:t>
            </w:r>
            <w:r w:rsidRPr="00420C1B">
              <w:rPr>
                <w:rFonts w:ascii="Times New Roman" w:hAnsi="Times New Roman"/>
              </w:rPr>
              <w:t xml:space="preserve">s’appliquera </w:t>
            </w:r>
            <w:r w:rsidR="004130B3" w:rsidRPr="00420C1B">
              <w:rPr>
                <w:rFonts w:ascii="Times New Roman" w:hAnsi="Times New Roman"/>
              </w:rPr>
              <w:t>.</w:t>
            </w:r>
          </w:p>
        </w:tc>
      </w:tr>
      <w:tr w:rsidR="00C4359F" w:rsidRPr="00420C1B" w14:paraId="0E812546" w14:textId="77777777" w:rsidTr="00E737B4">
        <w:trPr>
          <w:cantSplit/>
          <w:jc w:val="center"/>
        </w:trPr>
        <w:tc>
          <w:tcPr>
            <w:tcW w:w="1480" w:type="pct"/>
          </w:tcPr>
          <w:p w14:paraId="16FFF6FA"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Éviter les impacts négatifs sur les habitats naturels, sauf s’il n’existe aucune autre solution technique, et alors mettre en place des mesures d’atténuation appropriées selon principe de la hiérarchie d’atténuation, et au besoin compenser la selon le principe « d’équivalence ou d’amélioration écologique ».</w:t>
            </w:r>
          </w:p>
          <w:p w14:paraId="74B2944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19-à 22</w:t>
            </w:r>
          </w:p>
        </w:tc>
        <w:tc>
          <w:tcPr>
            <w:tcW w:w="2242" w:type="pct"/>
            <w:shd w:val="clear" w:color="auto" w:fill="auto"/>
            <w:vAlign w:val="center"/>
          </w:tcPr>
          <w:p w14:paraId="01EF889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5D57DB33" w14:textId="1E32AB7D"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ne satisfait pas cette exigence de la NES 6. Ainsi, la NES n°6 s’appliquera</w:t>
            </w:r>
            <w:r w:rsidR="004130B3" w:rsidRPr="00420C1B">
              <w:rPr>
                <w:rFonts w:ascii="Times New Roman" w:hAnsi="Times New Roman"/>
              </w:rPr>
              <w:t>.</w:t>
            </w:r>
          </w:p>
        </w:tc>
      </w:tr>
      <w:tr w:rsidR="00C4359F" w:rsidRPr="00420C1B" w14:paraId="2EDA0277" w14:textId="77777777" w:rsidTr="00E737B4">
        <w:trPr>
          <w:cantSplit/>
          <w:jc w:val="center"/>
        </w:trPr>
        <w:tc>
          <w:tcPr>
            <w:tcW w:w="1480" w:type="pct"/>
          </w:tcPr>
          <w:p w14:paraId="0B7FAE92"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Mettre en œuvre aucune activité du susceptible d’avoir une incidence négative sur une zone d’habitat critique, à moins de démontrer que toutes les conditions décrites dans la NES6 ont été remplies</w:t>
            </w:r>
          </w:p>
          <w:p w14:paraId="3C58DD19"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23 et 24</w:t>
            </w:r>
          </w:p>
        </w:tc>
        <w:tc>
          <w:tcPr>
            <w:tcW w:w="2242" w:type="pct"/>
            <w:shd w:val="clear" w:color="auto" w:fill="auto"/>
            <w:vAlign w:val="center"/>
          </w:tcPr>
          <w:p w14:paraId="3826DB8E"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45C19766" w14:textId="264B72AF"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ne satisfait pas cette exigence de la NES 6. Ainsi, la NES n°6 s’appliquera</w:t>
            </w:r>
            <w:r w:rsidR="004130B3" w:rsidRPr="00420C1B">
              <w:rPr>
                <w:rFonts w:ascii="Times New Roman" w:hAnsi="Times New Roman"/>
              </w:rPr>
              <w:t>.</w:t>
            </w:r>
          </w:p>
        </w:tc>
      </w:tr>
      <w:tr w:rsidR="00C4359F" w:rsidRPr="00420C1B" w14:paraId="2730F316" w14:textId="77777777" w:rsidTr="00E737B4">
        <w:trPr>
          <w:cantSplit/>
          <w:jc w:val="center"/>
        </w:trPr>
        <w:tc>
          <w:tcPr>
            <w:tcW w:w="1480" w:type="pct"/>
          </w:tcPr>
          <w:p w14:paraId="7C9D63F9"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Veiller à ce que les activités du projet soient compatibles avec le statut juridique des zones protégées affectées et leurs objectifs d’aménagement, et appliquer le principe de hiérarchie d’atténuation afin d’atténuer les effets qui pourraient compromettre à leur intégrité, nuire aux objectifs de conservation, ou réduire l’importance de la biodiversité</w:t>
            </w:r>
          </w:p>
          <w:p w14:paraId="3D11320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26 et 27</w:t>
            </w:r>
          </w:p>
        </w:tc>
        <w:tc>
          <w:tcPr>
            <w:tcW w:w="2242" w:type="pct"/>
            <w:shd w:val="clear" w:color="auto" w:fill="auto"/>
            <w:vAlign w:val="center"/>
          </w:tcPr>
          <w:p w14:paraId="57B8359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50ECCAE7" w14:textId="18B1AFEE"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ne satisfait pas cette exigence de la NES 6. Ainsi, la NES n°6 s’appliquera.</w:t>
            </w:r>
          </w:p>
        </w:tc>
      </w:tr>
      <w:tr w:rsidR="00C4359F" w:rsidRPr="00420C1B" w14:paraId="60605BFB" w14:textId="77777777" w:rsidTr="00E737B4">
        <w:trPr>
          <w:cantSplit/>
          <w:jc w:val="center"/>
        </w:trPr>
        <w:tc>
          <w:tcPr>
            <w:tcW w:w="1480" w:type="pct"/>
          </w:tcPr>
          <w:p w14:paraId="1BEA4D7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Ne pas introduire intentionnellement de nouvelles espèces exotiques, à moins qu’elles ne soient ces espèces soient introduites conformément au cadre réglementaire en vigueur, et prévenir que le projet propage les espèces exotiques déjà présentes vers de nouvelles zones</w:t>
            </w:r>
          </w:p>
          <w:p w14:paraId="06A98F3E"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28 à 30</w:t>
            </w:r>
          </w:p>
        </w:tc>
        <w:tc>
          <w:tcPr>
            <w:tcW w:w="2242" w:type="pct"/>
            <w:shd w:val="clear" w:color="auto" w:fill="auto"/>
            <w:vAlign w:val="center"/>
          </w:tcPr>
          <w:p w14:paraId="31E8F0ED"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506F7ECD" w14:textId="1F0DC093"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ne satisfait pas cette exigence de la NES 6. Ainsi, la NES n°6 s’appliquera.</w:t>
            </w:r>
          </w:p>
        </w:tc>
      </w:tr>
      <w:tr w:rsidR="00C4359F" w:rsidRPr="00420C1B" w14:paraId="65E81943" w14:textId="77777777" w:rsidTr="00E737B4">
        <w:trPr>
          <w:cantSplit/>
          <w:jc w:val="center"/>
        </w:trPr>
        <w:tc>
          <w:tcPr>
            <w:tcW w:w="1480" w:type="pct"/>
          </w:tcPr>
          <w:p w14:paraId="6BB5A065"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Évaluer si les projets incluant la production primaire et l’exploitation de ressources naturelles sont globalement durables, ainsi que leurs effets potentiels sur les habitats locaux, avoisinants ou écologiquement associés, sur la biodiversité et sur les communautés locales, y compris les peuples autochtones.</w:t>
            </w:r>
          </w:p>
          <w:p w14:paraId="31D73854"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31 à 34</w:t>
            </w:r>
          </w:p>
        </w:tc>
        <w:tc>
          <w:tcPr>
            <w:tcW w:w="2242" w:type="pct"/>
            <w:shd w:val="clear" w:color="auto" w:fill="auto"/>
            <w:vAlign w:val="center"/>
          </w:tcPr>
          <w:p w14:paraId="2898CF4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 xml:space="preserve">La loi n°14/003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 Elle concourt à assurer notamment la conservation des écosystèmes et des habitats naturels, la protection des espèces de faune et flore sauvages ainsi le développement durable dans les aires protégées. </w:t>
            </w:r>
          </w:p>
        </w:tc>
        <w:tc>
          <w:tcPr>
            <w:tcW w:w="1278" w:type="pct"/>
            <w:shd w:val="clear" w:color="auto" w:fill="auto"/>
            <w:vAlign w:val="center"/>
          </w:tcPr>
          <w:p w14:paraId="095390D6" w14:textId="72E45B41"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à cette exigence de la NES 6. Ainsi, la NES n°6 s’appliquera </w:t>
            </w:r>
          </w:p>
        </w:tc>
      </w:tr>
      <w:tr w:rsidR="00C4359F" w:rsidRPr="00420C1B" w14:paraId="2C1B16BD" w14:textId="77777777" w:rsidTr="00E737B4">
        <w:trPr>
          <w:cantSplit/>
          <w:jc w:val="center"/>
        </w:trPr>
        <w:tc>
          <w:tcPr>
            <w:tcW w:w="1480" w:type="pct"/>
          </w:tcPr>
          <w:p w14:paraId="141E1009"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Exiger que l’exploitation des ressources naturelles biologiques soit gérée d’une manière durable, y compris d’être soumise à un système indépendant de certification forestière pour les projets industriels, et d’accords de gestion forestière conjointe lorsque le projet n’est associé directement à une exploitation industrielle</w:t>
            </w:r>
          </w:p>
          <w:p w14:paraId="6059E3F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35-36</w:t>
            </w:r>
          </w:p>
        </w:tc>
        <w:tc>
          <w:tcPr>
            <w:tcW w:w="2242" w:type="pct"/>
            <w:shd w:val="clear" w:color="auto" w:fill="auto"/>
            <w:vAlign w:val="center"/>
          </w:tcPr>
          <w:p w14:paraId="738A50A4"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La loi n°011-2002 du 29 août 2002 portant Code forestier traite du défrichement et des problèmes d’érosion. Le code précise : « tout déboisement doit être compensé par un reboisement équivalent en qualité et en superficie au couvert forestier initial(…) et exige l’obtention d’un permis de déboisement pour une superficie supérieur à 2 ha ».</w:t>
            </w:r>
          </w:p>
          <w:p w14:paraId="1C44975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La loi 14/003 du 11 février 2014 relative à la conservation de la nature fixe les règles relatives à la conservation de la diversité biologique, à l’utilisation durable de ses éléments constitutifs ainsi qu’à l’accès et au partage juste et équitable des avantages découlant de l’exploitation des ressources biologiques et génétiques.</w:t>
            </w:r>
          </w:p>
          <w:p w14:paraId="0E6ED6E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Elle concourt à assurer notamment la conservation des écosystèmes et des habitats naturels, la protection des espèces de faune et de flore sauvages, ainsi que le développement durable dans les aires protégées</w:t>
            </w:r>
          </w:p>
        </w:tc>
        <w:tc>
          <w:tcPr>
            <w:tcW w:w="1278" w:type="pct"/>
            <w:shd w:val="clear" w:color="auto" w:fill="auto"/>
            <w:vAlign w:val="center"/>
          </w:tcPr>
          <w:p w14:paraId="4D3602ED" w14:textId="2A0C45B1"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à cette NES n°6, donc la NES 6 s’appliquera </w:t>
            </w:r>
          </w:p>
        </w:tc>
      </w:tr>
      <w:tr w:rsidR="00C4359F" w:rsidRPr="00420C1B" w14:paraId="46C12FB0" w14:textId="77777777" w:rsidTr="00E737B4">
        <w:trPr>
          <w:cantSplit/>
          <w:jc w:val="center"/>
        </w:trPr>
        <w:tc>
          <w:tcPr>
            <w:tcW w:w="1480" w:type="pct"/>
          </w:tcPr>
          <w:p w14:paraId="264425EE"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Pour les fournisseurs principaux de ressources naturelles, contrôler les lieux de provenance, confirmer qu’ils ne contribuent pas d’une manière substantielle à la conversion ou la dégradation d’habitats naturels ou critiques, et sinon les remplacer</w:t>
            </w:r>
          </w:p>
          <w:p w14:paraId="1F6FEA10"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Paragraphes 38 à 40</w:t>
            </w:r>
          </w:p>
        </w:tc>
        <w:tc>
          <w:tcPr>
            <w:tcW w:w="2242" w:type="pct"/>
            <w:shd w:val="clear" w:color="auto" w:fill="auto"/>
            <w:vAlign w:val="center"/>
          </w:tcPr>
          <w:p w14:paraId="2373300C"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278" w:type="pct"/>
            <w:shd w:val="clear" w:color="auto" w:fill="auto"/>
            <w:vAlign w:val="center"/>
          </w:tcPr>
          <w:p w14:paraId="1506F3BC" w14:textId="7B83AD54"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ne satisfait pas cette exigence de la NES 6. Ainsi, la NES n°6 s’appliquera </w:t>
            </w:r>
          </w:p>
        </w:tc>
      </w:tr>
      <w:tr w:rsidR="00C4359F" w:rsidRPr="00420C1B" w14:paraId="0B916554" w14:textId="77777777" w:rsidTr="00E737B4">
        <w:trPr>
          <w:cantSplit/>
          <w:jc w:val="center"/>
        </w:trPr>
        <w:tc>
          <w:tcPr>
            <w:tcW w:w="5000" w:type="pct"/>
            <w:gridSpan w:val="3"/>
            <w:shd w:val="clear" w:color="auto" w:fill="C5E0B3"/>
          </w:tcPr>
          <w:p w14:paraId="7C4F5C35" w14:textId="77777777" w:rsidR="00C4359F" w:rsidRPr="00420C1B" w:rsidRDefault="00C4359F" w:rsidP="005232A3">
            <w:pPr>
              <w:spacing w:after="0" w:line="240" w:lineRule="auto"/>
              <w:jc w:val="both"/>
              <w:rPr>
                <w:rFonts w:ascii="Times New Roman" w:hAnsi="Times New Roman"/>
                <w:b/>
                <w:bCs/>
              </w:rPr>
            </w:pPr>
            <w:r w:rsidRPr="00420C1B">
              <w:rPr>
                <w:rFonts w:ascii="Times New Roman" w:hAnsi="Times New Roman"/>
                <w:b/>
                <w:bCs/>
              </w:rPr>
              <w:t>NES 8. Patrimoine culturel</w:t>
            </w:r>
          </w:p>
        </w:tc>
      </w:tr>
      <w:tr w:rsidR="00C4359F" w:rsidRPr="00420C1B" w14:paraId="400BB771" w14:textId="77777777" w:rsidTr="00E737B4">
        <w:trPr>
          <w:cantSplit/>
          <w:jc w:val="center"/>
        </w:trPr>
        <w:tc>
          <w:tcPr>
            <w:tcW w:w="1480" w:type="pct"/>
          </w:tcPr>
          <w:p w14:paraId="63E8F598"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Inclure le patrimoine culturel dans l’évaluation environnementale et sociale, éviter les impacts négatifs sur le patrimoine culturel, sinon prévoir la mise en œuvre de mesures pour gérer ces impacts, et au besoin, élaborer un Plan de gestion du patrimoine culturel</w:t>
            </w:r>
          </w:p>
          <w:p w14:paraId="7B22BD41"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8 et 9</w:t>
            </w:r>
          </w:p>
        </w:tc>
        <w:tc>
          <w:tcPr>
            <w:tcW w:w="2242" w:type="pct"/>
            <w:vMerge w:val="restart"/>
            <w:shd w:val="clear" w:color="auto" w:fill="auto"/>
            <w:vAlign w:val="center"/>
          </w:tcPr>
          <w:p w14:paraId="7EC35C2C" w14:textId="77777777" w:rsidR="00C4359F" w:rsidRPr="00E737B4" w:rsidRDefault="00C4359F" w:rsidP="005232A3">
            <w:pPr>
              <w:widowControl w:val="0"/>
              <w:autoSpaceDE w:val="0"/>
              <w:autoSpaceDN w:val="0"/>
              <w:spacing w:after="0" w:line="240" w:lineRule="auto"/>
              <w:rPr>
                <w:rFonts w:ascii="Times New Roman" w:eastAsia="Arial" w:hAnsi="Times New Roman"/>
                <w:w w:val="105"/>
              </w:rPr>
            </w:pPr>
            <w:r w:rsidRPr="00E737B4">
              <w:rPr>
                <w:rFonts w:ascii="Times New Roman" w:eastAsia="Arial" w:hAnsi="Times New Roman"/>
                <w:w w:val="105"/>
              </w:rPr>
              <w:t xml:space="preserve">L’Ordonnance loi n°71-016 du 15 mars 1971 relative à la protection des biens culturels prévoit que les découvertes de vestiges immobiliers ou d’objets pouvant intéresser l’art, l’histoire ou l’archéologie, qu’elles soient faires au cours des fouilles ou qu’elles soient fortuites, doivent être déclarées immédiatement par l’inventaire ou le propriétaire à l’administrateur du territoire ou au premier bourgmestre qui en avise le ministre de la culture. </w:t>
            </w:r>
          </w:p>
        </w:tc>
        <w:tc>
          <w:tcPr>
            <w:tcW w:w="1278" w:type="pct"/>
            <w:shd w:val="clear" w:color="auto" w:fill="auto"/>
            <w:vAlign w:val="center"/>
          </w:tcPr>
          <w:p w14:paraId="27B4040A" w14:textId="059D7BDC" w:rsidR="00C4359F" w:rsidRPr="00420C1B" w:rsidRDefault="00C4359F" w:rsidP="005232A3">
            <w:pPr>
              <w:spacing w:after="0" w:line="240" w:lineRule="auto"/>
              <w:jc w:val="both"/>
              <w:rPr>
                <w:rFonts w:ascii="Times New Roman" w:hAnsi="Times New Roman"/>
              </w:rPr>
            </w:pPr>
            <w:r w:rsidRPr="00420C1B">
              <w:rPr>
                <w:rFonts w:ascii="Times New Roman" w:hAnsi="Times New Roman"/>
              </w:rPr>
              <w:t xml:space="preserve">La loi nationale satisfait cette exigence de la NES 8. C’est la </w:t>
            </w:r>
            <w:r w:rsidR="00D5029E" w:rsidRPr="00420C1B">
              <w:rPr>
                <w:rFonts w:ascii="Times New Roman" w:hAnsi="Times New Roman"/>
                <w:color w:val="000000"/>
              </w:rPr>
              <w:t>loi nationale</w:t>
            </w:r>
            <w:r w:rsidR="00D5029E" w:rsidRPr="00420C1B" w:rsidDel="00D5029E">
              <w:rPr>
                <w:rFonts w:ascii="Times New Roman" w:hAnsi="Times New Roman"/>
              </w:rPr>
              <w:t xml:space="preserve"> </w:t>
            </w:r>
            <w:r w:rsidRPr="00420C1B">
              <w:rPr>
                <w:rFonts w:ascii="Times New Roman" w:hAnsi="Times New Roman"/>
              </w:rPr>
              <w:t>qui sera appliqué</w:t>
            </w:r>
            <w:r w:rsidR="0019702E" w:rsidRPr="00420C1B">
              <w:rPr>
                <w:rFonts w:ascii="Times New Roman" w:hAnsi="Times New Roman"/>
              </w:rPr>
              <w:t>e</w:t>
            </w:r>
            <w:r w:rsidRPr="00420C1B">
              <w:rPr>
                <w:rFonts w:ascii="Times New Roman" w:hAnsi="Times New Roman"/>
              </w:rPr>
              <w:t>.</w:t>
            </w:r>
          </w:p>
        </w:tc>
      </w:tr>
      <w:tr w:rsidR="00C4359F" w:rsidRPr="00420C1B" w14:paraId="55F4BBA7" w14:textId="77777777" w:rsidTr="00E737B4">
        <w:trPr>
          <w:cantSplit/>
          <w:jc w:val="center"/>
        </w:trPr>
        <w:tc>
          <w:tcPr>
            <w:tcW w:w="1480" w:type="pct"/>
          </w:tcPr>
          <w:p w14:paraId="1C8952A7"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Inclure une procédure de découverte fortuite dans tous les marchés et contrats de construction du projet comprenant des fouilles, des démolitions, des terrassements, des inondations et d’autres modifications physiques de l’environnement, en cas de découverte, durant les activités du projet, d’un patrimoine culturel inconnu auparavant.</w:t>
            </w:r>
          </w:p>
          <w:p w14:paraId="5B349A05"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 11</w:t>
            </w:r>
          </w:p>
        </w:tc>
        <w:tc>
          <w:tcPr>
            <w:tcW w:w="2242" w:type="pct"/>
            <w:vMerge/>
            <w:shd w:val="clear" w:color="auto" w:fill="auto"/>
            <w:vAlign w:val="center"/>
          </w:tcPr>
          <w:p w14:paraId="0C05AB5B" w14:textId="77777777" w:rsidR="00C4359F" w:rsidRPr="00420C1B" w:rsidRDefault="00C4359F" w:rsidP="005232A3">
            <w:pPr>
              <w:spacing w:after="0" w:line="240" w:lineRule="auto"/>
              <w:jc w:val="both"/>
              <w:rPr>
                <w:rFonts w:ascii="Times New Roman" w:hAnsi="Times New Roman"/>
              </w:rPr>
            </w:pPr>
          </w:p>
        </w:tc>
        <w:tc>
          <w:tcPr>
            <w:tcW w:w="1278" w:type="pct"/>
            <w:shd w:val="clear" w:color="auto" w:fill="auto"/>
            <w:vAlign w:val="center"/>
          </w:tcPr>
          <w:p w14:paraId="508B66FF"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La loi nationale satisfait à cette disposition de la NES 8, mais pour être en conformité avec cette politique, des dispositions sont prises dans le CGES pour protéger les sites culturels et les éventuelles découvertes archéologiques.</w:t>
            </w:r>
          </w:p>
          <w:p w14:paraId="0EFB3389" w14:textId="05A562A5" w:rsidR="00C4359F" w:rsidRPr="00420C1B" w:rsidRDefault="00AD3B2F" w:rsidP="005232A3">
            <w:pPr>
              <w:spacing w:after="0" w:line="240" w:lineRule="auto"/>
              <w:jc w:val="both"/>
              <w:rPr>
                <w:rFonts w:ascii="Times New Roman" w:hAnsi="Times New Roman"/>
              </w:rPr>
            </w:pPr>
            <w:r w:rsidRPr="00420C1B">
              <w:rPr>
                <w:rFonts w:ascii="Times New Roman" w:hAnsi="Times New Roman"/>
              </w:rPr>
              <w:t xml:space="preserve">Ainsi, les </w:t>
            </w:r>
            <w:r w:rsidR="00C4359F" w:rsidRPr="00420C1B">
              <w:rPr>
                <w:rFonts w:ascii="Times New Roman" w:hAnsi="Times New Roman"/>
              </w:rPr>
              <w:t xml:space="preserve">exigences de la NES 8 vont s’appliquer dans le cadre du projet. </w:t>
            </w:r>
          </w:p>
        </w:tc>
      </w:tr>
      <w:tr w:rsidR="00C4359F" w:rsidRPr="00420C1B" w14:paraId="52450D90" w14:textId="77777777" w:rsidTr="00E737B4">
        <w:trPr>
          <w:cantSplit/>
          <w:jc w:val="center"/>
        </w:trPr>
        <w:tc>
          <w:tcPr>
            <w:tcW w:w="1480" w:type="pct"/>
          </w:tcPr>
          <w:p w14:paraId="28CFC7F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conformément à la NES 10, toutes les parties concernées par le patrimoine culturel connu ou susceptible d’être découvert durant le projet, et tenir des consultations approfondies avec les parties prenantes, conformément à la NES 10.</w:t>
            </w:r>
          </w:p>
          <w:p w14:paraId="46362CF6"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 13 et 14</w:t>
            </w:r>
          </w:p>
        </w:tc>
        <w:tc>
          <w:tcPr>
            <w:tcW w:w="2242" w:type="pct"/>
            <w:shd w:val="clear" w:color="auto" w:fill="auto"/>
            <w:vAlign w:val="center"/>
          </w:tcPr>
          <w:p w14:paraId="2767ACFD"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4F6434A9" w14:textId="55E425E5"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572A2B23" w14:textId="77777777" w:rsidTr="00E737B4">
        <w:trPr>
          <w:cantSplit/>
          <w:jc w:val="center"/>
        </w:trPr>
        <w:tc>
          <w:tcPr>
            <w:tcW w:w="1480" w:type="pct"/>
          </w:tcPr>
          <w:p w14:paraId="3E2622CE"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Lorsque le site du projet abrite un patrimoine culturel ou bloque l’accès à des sites du patrimoine culturel accessibles auparavant, autoriser l’accès continu aux sites culturels, ou ouvrir une autre voie d’accès.</w:t>
            </w:r>
          </w:p>
          <w:p w14:paraId="58121C57"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16</w:t>
            </w:r>
          </w:p>
        </w:tc>
        <w:tc>
          <w:tcPr>
            <w:tcW w:w="2242" w:type="pct"/>
            <w:shd w:val="clear" w:color="auto" w:fill="auto"/>
            <w:vAlign w:val="center"/>
          </w:tcPr>
          <w:p w14:paraId="49D617D6"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355D4B9A" w14:textId="34544D33"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491F4725" w14:textId="77777777" w:rsidTr="00E737B4">
        <w:trPr>
          <w:cantSplit/>
          <w:jc w:val="center"/>
        </w:trPr>
        <w:tc>
          <w:tcPr>
            <w:tcW w:w="1480" w:type="pct"/>
          </w:tcPr>
          <w:p w14:paraId="07C5AF8A"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Dresser l’inventaire de toutes les aires protégées touchées par le projet qui abritent un patrimoine culturel classé</w:t>
            </w:r>
          </w:p>
          <w:p w14:paraId="45EC0218"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17</w:t>
            </w:r>
          </w:p>
        </w:tc>
        <w:tc>
          <w:tcPr>
            <w:tcW w:w="2242" w:type="pct"/>
            <w:shd w:val="clear" w:color="auto" w:fill="auto"/>
            <w:vAlign w:val="center"/>
          </w:tcPr>
          <w:p w14:paraId="0A193F12"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05953BAE" w14:textId="59224EAA"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0D60CE25" w14:textId="77777777" w:rsidTr="00E737B4">
        <w:trPr>
          <w:cantSplit/>
          <w:jc w:val="center"/>
        </w:trPr>
        <w:tc>
          <w:tcPr>
            <w:tcW w:w="1480" w:type="pct"/>
          </w:tcPr>
          <w:p w14:paraId="4FF9347A"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Lorsqu’il existe une forte probabilité d’activité humaine passée dans la zone du projet, procéder à une recherche documentaire et des enquêtes de terrain pour enregistrer, cartographier et étudier les vestiges archéologiques, garder trace écrite de l’emplacement de sites découverts, et transmettre les informations aux institutions nationales ou locales concernées.</w:t>
            </w:r>
          </w:p>
          <w:p w14:paraId="265F0496"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18 à 20</w:t>
            </w:r>
          </w:p>
        </w:tc>
        <w:tc>
          <w:tcPr>
            <w:tcW w:w="2242" w:type="pct"/>
            <w:shd w:val="clear" w:color="auto" w:fill="auto"/>
            <w:vAlign w:val="center"/>
          </w:tcPr>
          <w:p w14:paraId="263FC749"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77CCF85C" w14:textId="59FDDCF7"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5F4339D3" w14:textId="77777777" w:rsidTr="00E737B4">
        <w:trPr>
          <w:cantSplit/>
          <w:jc w:val="center"/>
        </w:trPr>
        <w:tc>
          <w:tcPr>
            <w:tcW w:w="1480" w:type="pct"/>
          </w:tcPr>
          <w:p w14:paraId="55D12A7F"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Définir des mesures d’atténuation appropriées pour remédier aux impacts négatifs sur le patrimoine bâti, préserver l’authenticité des formes, des matériaux et des techniques de construction, ainsi que l’environnement physique et visuel des structures historiques.</w:t>
            </w:r>
          </w:p>
          <w:p w14:paraId="545827CC"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21 à 23</w:t>
            </w:r>
          </w:p>
        </w:tc>
        <w:tc>
          <w:tcPr>
            <w:tcW w:w="2242" w:type="pct"/>
            <w:shd w:val="clear" w:color="auto" w:fill="auto"/>
            <w:vAlign w:val="center"/>
          </w:tcPr>
          <w:p w14:paraId="54FB98E5"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53257696" w14:textId="46FDE73C"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7A401C69" w14:textId="77777777" w:rsidTr="00E737B4">
        <w:trPr>
          <w:cantSplit/>
          <w:jc w:val="center"/>
        </w:trPr>
        <w:tc>
          <w:tcPr>
            <w:tcW w:w="1480" w:type="pct"/>
          </w:tcPr>
          <w:p w14:paraId="310E2B9F"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à travers la recherche et des consultations avec les parties concernées, les éléments naturels d’importance pour le patrimoine culturel qui pourraient être touchés par le projet, les populations qui valorisent ces éléments et les individus ou groupes qui sont habilités à représenter ces populations.</w:t>
            </w:r>
          </w:p>
          <w:p w14:paraId="07AC2FAF"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24 à 26</w:t>
            </w:r>
          </w:p>
        </w:tc>
        <w:tc>
          <w:tcPr>
            <w:tcW w:w="2242" w:type="pct"/>
            <w:shd w:val="clear" w:color="auto" w:fill="auto"/>
            <w:vAlign w:val="center"/>
          </w:tcPr>
          <w:p w14:paraId="73ADF389"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7364B9FD" w14:textId="0F42886A"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7FD98D88" w14:textId="77777777" w:rsidTr="00E737B4">
        <w:trPr>
          <w:cantSplit/>
          <w:jc w:val="center"/>
        </w:trPr>
        <w:tc>
          <w:tcPr>
            <w:tcW w:w="1480" w:type="pct"/>
          </w:tcPr>
          <w:p w14:paraId="088EF1F1"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Prendre des mesures pour se prémunir contre le vol et le trafic illicite d’objets du patrimoine culturel mobilier touché par le projet, et informera les autorités compétentes de toute activité de cette nature.</w:t>
            </w:r>
          </w:p>
          <w:p w14:paraId="6EE45F86" w14:textId="77777777" w:rsidR="00C4359F" w:rsidRPr="00420C1B" w:rsidRDefault="00C4359F" w:rsidP="005232A3">
            <w:pPr>
              <w:spacing w:after="0" w:line="240" w:lineRule="auto"/>
              <w:jc w:val="both"/>
              <w:rPr>
                <w:rFonts w:ascii="Times New Roman" w:hAnsi="Times New Roman"/>
                <w:lang w:eastAsia="x-none"/>
              </w:rPr>
            </w:pPr>
            <w:r w:rsidRPr="00420C1B">
              <w:rPr>
                <w:rFonts w:ascii="Times New Roman" w:hAnsi="Times New Roman"/>
                <w:i/>
                <w:iCs/>
              </w:rPr>
              <w:t>Paragraphes 27 et 28</w:t>
            </w:r>
          </w:p>
        </w:tc>
        <w:tc>
          <w:tcPr>
            <w:tcW w:w="2242" w:type="pct"/>
            <w:shd w:val="clear" w:color="auto" w:fill="auto"/>
            <w:vAlign w:val="center"/>
          </w:tcPr>
          <w:p w14:paraId="4A3181A1"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6846D155" w14:textId="2879736D"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r w:rsidR="00C4359F" w:rsidRPr="00420C1B" w14:paraId="4526934B" w14:textId="77777777" w:rsidTr="00E737B4">
        <w:trPr>
          <w:cantSplit/>
          <w:jc w:val="center"/>
        </w:trPr>
        <w:tc>
          <w:tcPr>
            <w:tcW w:w="1480" w:type="pct"/>
          </w:tcPr>
          <w:p w14:paraId="58178A93"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Ne procéder à une lise en valeur de patrimoine culturel à des fins commerciales qu'après des consultations approfondies, un partage juste et équitable des avantages issus de la mise en valeur, et la définition de mesures d’atténuation</w:t>
            </w:r>
          </w:p>
          <w:p w14:paraId="1A2C0019" w14:textId="77777777" w:rsidR="00C4359F" w:rsidRPr="00E737B4" w:rsidRDefault="00C4359F" w:rsidP="005232A3">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i/>
                <w:iCs/>
                <w:w w:val="105"/>
              </w:rPr>
              <w:t>Paragraphe 29</w:t>
            </w:r>
          </w:p>
        </w:tc>
        <w:tc>
          <w:tcPr>
            <w:tcW w:w="2242" w:type="pct"/>
            <w:shd w:val="clear" w:color="auto" w:fill="auto"/>
            <w:vAlign w:val="center"/>
          </w:tcPr>
          <w:p w14:paraId="250C78A1" w14:textId="77777777" w:rsidR="00C4359F" w:rsidRPr="00420C1B" w:rsidRDefault="00C4359F" w:rsidP="005232A3">
            <w:pPr>
              <w:spacing w:after="0" w:line="240" w:lineRule="auto"/>
              <w:jc w:val="both"/>
              <w:rPr>
                <w:rFonts w:ascii="Times New Roman" w:hAnsi="Times New Roman"/>
              </w:rPr>
            </w:pPr>
            <w:r w:rsidRPr="00420C1B">
              <w:rPr>
                <w:rFonts w:ascii="Times New Roman" w:hAnsi="Times New Roman"/>
              </w:rPr>
              <w:t>Non mentionné dans la législation nationale</w:t>
            </w:r>
          </w:p>
        </w:tc>
        <w:tc>
          <w:tcPr>
            <w:tcW w:w="1278" w:type="pct"/>
            <w:shd w:val="clear" w:color="auto" w:fill="auto"/>
            <w:vAlign w:val="center"/>
          </w:tcPr>
          <w:p w14:paraId="6A7C7F25" w14:textId="149B0432"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8. C’est la NES n°8 qui sera appliqu</w:t>
            </w:r>
            <w:r w:rsidR="0019702E" w:rsidRPr="00420C1B">
              <w:rPr>
                <w:rFonts w:ascii="Times New Roman" w:hAnsi="Times New Roman"/>
              </w:rPr>
              <w:t>ée</w:t>
            </w:r>
            <w:r w:rsidRPr="00420C1B">
              <w:rPr>
                <w:rFonts w:ascii="Times New Roman" w:hAnsi="Times New Roman"/>
              </w:rPr>
              <w:t>.</w:t>
            </w:r>
          </w:p>
        </w:tc>
      </w:tr>
    </w:tbl>
    <w:p w14:paraId="73ED90D0" w14:textId="77777777" w:rsidR="00325A16" w:rsidRDefault="00325A16"/>
    <w:p w14:paraId="7BD98354" w14:textId="77777777" w:rsidR="00325A16" w:rsidRDefault="00325A16"/>
    <w:p w14:paraId="44529022" w14:textId="2E7032D5" w:rsidR="00194A11" w:rsidRDefault="00194A11"/>
    <w:p w14:paraId="215ADDFD" w14:textId="3602E6C3" w:rsidR="00194A11" w:rsidRDefault="00194A11"/>
    <w:p w14:paraId="285B94FE" w14:textId="5C6F990E" w:rsidR="00194A11" w:rsidRDefault="00194A11"/>
    <w:p w14:paraId="404FA48C" w14:textId="4A686F5E" w:rsidR="00194A11" w:rsidRDefault="00194A11"/>
    <w:p w14:paraId="23854131" w14:textId="4A22B8AF" w:rsidR="00194A11" w:rsidRDefault="00194A11"/>
    <w:p w14:paraId="31140125" w14:textId="677CADAC" w:rsidR="00194A11" w:rsidRDefault="00194A11"/>
    <w:p w14:paraId="351F9965" w14:textId="184C7F7A" w:rsidR="00194A11" w:rsidRDefault="00194A11"/>
    <w:p w14:paraId="49C31F3F" w14:textId="5D928901" w:rsidR="00194A11" w:rsidRDefault="00194A11"/>
    <w:p w14:paraId="599ED263" w14:textId="3CFA16CD" w:rsidR="00194A11" w:rsidRDefault="00194A11"/>
    <w:p w14:paraId="61499375" w14:textId="5EAAD94D" w:rsidR="00194A11" w:rsidRDefault="00194A11"/>
    <w:p w14:paraId="5B5F4B18" w14:textId="71D0B5AD" w:rsidR="00194A11" w:rsidRDefault="00194A11"/>
    <w:p w14:paraId="6ED6A581" w14:textId="77777777" w:rsidR="00194A11" w:rsidRDefault="00194A11"/>
    <w:p w14:paraId="01FF7C53" w14:textId="77777777" w:rsidR="00325A16" w:rsidRDefault="00325A16"/>
    <w:tbl>
      <w:tblPr>
        <w:tblW w:w="15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4"/>
        <w:gridCol w:w="7652"/>
        <w:gridCol w:w="3517"/>
      </w:tblGrid>
      <w:tr w:rsidR="00325A16" w:rsidRPr="00420C1B" w14:paraId="020D0C05" w14:textId="77777777" w:rsidTr="00360D1B">
        <w:trPr>
          <w:tblHeader/>
          <w:jc w:val="center"/>
        </w:trPr>
        <w:tc>
          <w:tcPr>
            <w:tcW w:w="1300" w:type="pct"/>
            <w:shd w:val="clear" w:color="auto" w:fill="92D050"/>
            <w:vAlign w:val="center"/>
          </w:tcPr>
          <w:p w14:paraId="41511DA5" w14:textId="77777777" w:rsidR="00325A16" w:rsidRPr="00420C1B" w:rsidRDefault="00325A16" w:rsidP="005232A3">
            <w:pPr>
              <w:spacing w:after="0" w:line="240" w:lineRule="auto"/>
              <w:jc w:val="center"/>
              <w:rPr>
                <w:rFonts w:ascii="Times New Roman" w:hAnsi="Times New Roman"/>
                <w:b/>
                <w:i/>
                <w:iCs/>
              </w:rPr>
            </w:pPr>
            <w:r w:rsidRPr="00420C1B">
              <w:rPr>
                <w:rFonts w:ascii="Times New Roman" w:hAnsi="Times New Roman"/>
                <w:b/>
                <w:i/>
                <w:iCs/>
              </w:rPr>
              <w:t>Exigences des NES</w:t>
            </w:r>
          </w:p>
        </w:tc>
        <w:tc>
          <w:tcPr>
            <w:tcW w:w="2535" w:type="pct"/>
            <w:shd w:val="clear" w:color="auto" w:fill="92D050"/>
            <w:vAlign w:val="center"/>
          </w:tcPr>
          <w:p w14:paraId="5FEB2433" w14:textId="77777777" w:rsidR="00325A16" w:rsidRPr="00420C1B" w:rsidRDefault="00325A16" w:rsidP="005232A3">
            <w:pPr>
              <w:spacing w:after="0" w:line="240" w:lineRule="auto"/>
              <w:jc w:val="center"/>
              <w:rPr>
                <w:rFonts w:ascii="Times New Roman" w:hAnsi="Times New Roman"/>
                <w:b/>
                <w:i/>
                <w:iCs/>
              </w:rPr>
            </w:pPr>
            <w:r w:rsidRPr="00420C1B">
              <w:rPr>
                <w:rFonts w:ascii="Times New Roman" w:hAnsi="Times New Roman"/>
                <w:b/>
                <w:i/>
                <w:iCs/>
              </w:rPr>
              <w:t>Dispositions nationales pertinentes</w:t>
            </w:r>
          </w:p>
        </w:tc>
        <w:tc>
          <w:tcPr>
            <w:tcW w:w="1164" w:type="pct"/>
            <w:shd w:val="clear" w:color="auto" w:fill="92D050"/>
            <w:vAlign w:val="center"/>
          </w:tcPr>
          <w:p w14:paraId="43933961" w14:textId="49FE588B" w:rsidR="00325A16" w:rsidRPr="00420C1B" w:rsidRDefault="00325A16" w:rsidP="001B6CBF">
            <w:pPr>
              <w:spacing w:after="0" w:line="240" w:lineRule="auto"/>
              <w:jc w:val="center"/>
              <w:rPr>
                <w:rFonts w:ascii="Times New Roman" w:hAnsi="Times New Roman"/>
                <w:b/>
                <w:i/>
                <w:iCs/>
              </w:rPr>
            </w:pPr>
            <w:r w:rsidRPr="00420C1B">
              <w:rPr>
                <w:rFonts w:ascii="Times New Roman" w:hAnsi="Times New Roman"/>
                <w:b/>
                <w:i/>
                <w:iCs/>
              </w:rPr>
              <w:t>Observations</w:t>
            </w:r>
          </w:p>
        </w:tc>
      </w:tr>
      <w:tr w:rsidR="00C4359F" w:rsidRPr="00420C1B" w14:paraId="1D86A02F" w14:textId="77777777" w:rsidTr="00360D1B">
        <w:trPr>
          <w:cantSplit/>
          <w:jc w:val="center"/>
        </w:trPr>
        <w:tc>
          <w:tcPr>
            <w:tcW w:w="5000" w:type="pct"/>
            <w:gridSpan w:val="3"/>
            <w:shd w:val="clear" w:color="auto" w:fill="C5E0B3"/>
          </w:tcPr>
          <w:p w14:paraId="4992BDC2" w14:textId="77777777" w:rsidR="00C4359F" w:rsidRPr="00420C1B" w:rsidRDefault="00C4359F" w:rsidP="005232A3">
            <w:pPr>
              <w:spacing w:after="0" w:line="240" w:lineRule="auto"/>
              <w:jc w:val="both"/>
              <w:rPr>
                <w:rFonts w:ascii="Times New Roman" w:hAnsi="Times New Roman"/>
                <w:b/>
                <w:bCs/>
              </w:rPr>
            </w:pPr>
            <w:r w:rsidRPr="00420C1B">
              <w:rPr>
                <w:rFonts w:ascii="Times New Roman" w:hAnsi="Times New Roman"/>
                <w:b/>
                <w:bCs/>
              </w:rPr>
              <w:t>NES 10.  Mobilisation des parties prenantes et information</w:t>
            </w:r>
          </w:p>
        </w:tc>
      </w:tr>
      <w:tr w:rsidR="00325A16" w:rsidRPr="00420C1B" w14:paraId="0D51D8D3" w14:textId="77777777" w:rsidTr="00360D1B">
        <w:trPr>
          <w:cantSplit/>
          <w:jc w:val="center"/>
        </w:trPr>
        <w:tc>
          <w:tcPr>
            <w:tcW w:w="1300" w:type="pct"/>
            <w:vAlign w:val="center"/>
          </w:tcPr>
          <w:p w14:paraId="50BBFA59"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Mettre en place un processus de mobilisation des parties prenantes qui sera intégré à l’évaluation environnementale et sociale et à la conception et la mise en œuvre du projet, tel que préconisé dans la NES 1.</w:t>
            </w:r>
          </w:p>
          <w:p w14:paraId="568008EA"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 4</w:t>
            </w:r>
          </w:p>
        </w:tc>
        <w:tc>
          <w:tcPr>
            <w:tcW w:w="2535" w:type="pct"/>
            <w:shd w:val="clear" w:color="auto" w:fill="auto"/>
            <w:vAlign w:val="center"/>
          </w:tcPr>
          <w:p w14:paraId="08E2D805" w14:textId="77777777" w:rsidR="00C4359F" w:rsidRPr="00E737B4" w:rsidRDefault="00C4359F">
            <w:pPr>
              <w:spacing w:after="0" w:line="240" w:lineRule="auto"/>
              <w:jc w:val="both"/>
              <w:rPr>
                <w:rFonts w:ascii="Times New Roman" w:eastAsia="Arial" w:hAnsi="Times New Roman"/>
                <w:w w:val="105"/>
              </w:rPr>
            </w:pPr>
            <w:r w:rsidRPr="00E737B4">
              <w:rPr>
                <w:rFonts w:ascii="Times New Roman" w:eastAsia="Arial" w:hAnsi="Times New Roman"/>
                <w:w w:val="105"/>
              </w:rPr>
              <w:t>La loi n°11/009 assujetti tout projet ou activité susceptible d’avoir un impact sur l’environnement à une enquête public préalable, qui a pour objet (i) d’informer le public en général et la population locale en particulier sur le projet ou l’activité ; (ii) de recueillir les informations sur la nature et l’étendue des droits que pourraient détenir les tiers sur la zone affectée par le projet ou l’activité ; (iii) de collecter les appréciations, suggestions et contre-propositions, afin de permettre à l’autorité compétente de disposer de tous les éléments nécessaires à sa décision.</w:t>
            </w:r>
          </w:p>
          <w:p w14:paraId="0185F796" w14:textId="77777777" w:rsidR="00C4359F" w:rsidRPr="00E737B4" w:rsidRDefault="00C4359F" w:rsidP="008C79F0">
            <w:pPr>
              <w:pStyle w:val="Paragraphedeliste"/>
              <w:widowControl w:val="0"/>
              <w:numPr>
                <w:ilvl w:val="0"/>
                <w:numId w:val="227"/>
              </w:numPr>
              <w:autoSpaceDE w:val="0"/>
              <w:autoSpaceDN w:val="0"/>
              <w:spacing w:after="0" w:line="240" w:lineRule="auto"/>
              <w:ind w:left="356" w:hanging="356"/>
              <w:jc w:val="both"/>
              <w:rPr>
                <w:rFonts w:ascii="Times New Roman" w:eastAsia="Arial" w:hAnsi="Times New Roman"/>
                <w:w w:val="105"/>
              </w:rPr>
            </w:pPr>
            <w:r w:rsidRPr="00420C1B">
              <w:rPr>
                <w:rFonts w:ascii="Times New Roman" w:hAnsi="Times New Roman"/>
              </w:rPr>
              <w:t>Le décret n°14/019 du 02 prévoit que cette enquête publique soit initié par le gouverneur après être saisit par le promoteur du projet (Art.52). La demande d’enquête publique est accompagnée d’un dossier comprenant les documents suivants établis en français : (i) une fiche descriptive faisant ressortir les principales caractéristiques technique du projet soumis à l’enquête publique ; (ii) un résumé non technique du projet et (iii) la zone d’influence du projet (Art.53). sur instruction du gouverneur, l’enquête publique est menée par une commission constituée et présidée par l’Administrateur du territoire ou le bourgmestre, qui comprend : (i) le représentant du service local de l’environnement ; (ii) les représentants des services des autres ministères sectoriels concernés ; (iii) les représentants de la société civile locale (Art. 54). Le président de la commission peut, à la demande des membres de la commission, recourir à des experts privés et/ou publics si les spécificités du projet l’exigent. L’enquête publique est annoncée par toutes les voies de communication accessibles au public de la zone d’insertion du projet, en français et dans la langue nationale du lieu, au moins deux mois avant la date fixée pour son ouverture.</w:t>
            </w:r>
          </w:p>
        </w:tc>
        <w:tc>
          <w:tcPr>
            <w:tcW w:w="1164" w:type="pct"/>
            <w:shd w:val="clear" w:color="auto" w:fill="auto"/>
            <w:vAlign w:val="center"/>
          </w:tcPr>
          <w:p w14:paraId="0B77D8B6" w14:textId="77777777" w:rsidR="00C4359F" w:rsidRPr="00420C1B" w:rsidRDefault="00C4359F" w:rsidP="00E737B4">
            <w:pPr>
              <w:spacing w:after="0" w:line="240" w:lineRule="auto"/>
              <w:jc w:val="both"/>
              <w:rPr>
                <w:rFonts w:ascii="Times New Roman" w:hAnsi="Times New Roman"/>
              </w:rPr>
            </w:pPr>
            <w:r w:rsidRPr="00420C1B">
              <w:rPr>
                <w:rFonts w:ascii="Times New Roman" w:hAnsi="Times New Roman"/>
              </w:rPr>
              <w:t xml:space="preserve">La législation nationale ne précise pas les types de projets soumis à une enquête publique, moins encore le contenu des informations du résumé non technique et ne fait aucune allusion aux risques. </w:t>
            </w:r>
          </w:p>
          <w:p w14:paraId="0FC17FD5" w14:textId="69CBA0E2" w:rsidR="00C4359F" w:rsidRPr="00420C1B" w:rsidRDefault="00C4359F" w:rsidP="00B832EF">
            <w:pPr>
              <w:spacing w:after="0" w:line="240" w:lineRule="auto"/>
              <w:jc w:val="both"/>
              <w:rPr>
                <w:rFonts w:ascii="Times New Roman" w:hAnsi="Times New Roman"/>
              </w:rPr>
            </w:pPr>
            <w:r w:rsidRPr="00420C1B">
              <w:rPr>
                <w:rFonts w:ascii="Times New Roman" w:hAnsi="Times New Roman"/>
              </w:rPr>
              <w:t xml:space="preserve">Donc, c’est la NES </w:t>
            </w:r>
            <w:r w:rsidR="00710500" w:rsidRPr="00420C1B">
              <w:rPr>
                <w:rFonts w:ascii="Times New Roman" w:hAnsi="Times New Roman"/>
              </w:rPr>
              <w:t xml:space="preserve">10 </w:t>
            </w:r>
            <w:r w:rsidRPr="00420C1B">
              <w:rPr>
                <w:rFonts w:ascii="Times New Roman" w:hAnsi="Times New Roman"/>
              </w:rPr>
              <w:t xml:space="preserve">de la Banque qui va s’appliquer </w:t>
            </w:r>
          </w:p>
        </w:tc>
      </w:tr>
      <w:tr w:rsidR="00325A16" w:rsidRPr="00420C1B" w14:paraId="48B25B8A" w14:textId="77777777" w:rsidTr="00360D1B">
        <w:trPr>
          <w:cantSplit/>
          <w:jc w:val="center"/>
        </w:trPr>
        <w:tc>
          <w:tcPr>
            <w:tcW w:w="1300" w:type="pct"/>
            <w:vAlign w:val="center"/>
          </w:tcPr>
          <w:p w14:paraId="17F7C898"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Mobiliser les parties prenantes pendant toute la durée de vie du projet, le plus tôt possible pendant l’élaboration du projet, et selon un calendrier qui permette des consultations approfondies avec les parties prenantes sur la conception du projet, et proportionner la nature, la portée et la fréquence de cette mobilisation à l’envergure et aux risques du projet.</w:t>
            </w:r>
          </w:p>
          <w:p w14:paraId="17D73850"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 6</w:t>
            </w:r>
          </w:p>
        </w:tc>
        <w:tc>
          <w:tcPr>
            <w:tcW w:w="2535" w:type="pct"/>
            <w:shd w:val="clear" w:color="auto" w:fill="auto"/>
            <w:vAlign w:val="center"/>
          </w:tcPr>
          <w:p w14:paraId="36982307" w14:textId="77777777" w:rsidR="00C4359F" w:rsidRPr="00420C1B" w:rsidRDefault="00C4359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05848A18" w14:textId="401CD77C"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19702E" w:rsidRPr="00420C1B">
              <w:rPr>
                <w:rFonts w:ascii="Times New Roman" w:hAnsi="Times New Roman"/>
              </w:rPr>
              <w:t>ée</w:t>
            </w:r>
            <w:r w:rsidRPr="00420C1B">
              <w:rPr>
                <w:rFonts w:ascii="Times New Roman" w:hAnsi="Times New Roman"/>
              </w:rPr>
              <w:t xml:space="preserve"> </w:t>
            </w:r>
          </w:p>
        </w:tc>
      </w:tr>
      <w:tr w:rsidR="00325A16" w:rsidRPr="00420C1B" w14:paraId="5FFD9D97" w14:textId="77777777" w:rsidTr="00360D1B">
        <w:trPr>
          <w:cantSplit/>
          <w:jc w:val="center"/>
        </w:trPr>
        <w:tc>
          <w:tcPr>
            <w:tcW w:w="1300" w:type="pct"/>
            <w:vAlign w:val="center"/>
          </w:tcPr>
          <w:p w14:paraId="7D6E8609"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Mener des consultations approfondies avec l’ensemble des parties prenantes, leur communiquer des informations à jour, pertinentes, compréhensibles et accessibles, et les consulter d’une manière adaptée à leur culture et libre de toute manipulation, interférence, coercition, discrimination et intimidation.</w:t>
            </w:r>
          </w:p>
          <w:p w14:paraId="1418FD5C"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Paragraphes 7</w:t>
            </w:r>
          </w:p>
        </w:tc>
        <w:tc>
          <w:tcPr>
            <w:tcW w:w="2535" w:type="pct"/>
            <w:shd w:val="clear" w:color="auto" w:fill="auto"/>
            <w:vAlign w:val="center"/>
          </w:tcPr>
          <w:p w14:paraId="1DBC7017" w14:textId="77777777" w:rsidR="00C4359F" w:rsidRPr="00420C1B" w:rsidRDefault="00C4359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6124E8A3" w14:textId="243B08EC"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19702E" w:rsidRPr="00420C1B">
              <w:rPr>
                <w:rFonts w:ascii="Times New Roman" w:hAnsi="Times New Roman"/>
              </w:rPr>
              <w:t>ée</w:t>
            </w:r>
            <w:r w:rsidRPr="00420C1B">
              <w:rPr>
                <w:rFonts w:ascii="Times New Roman" w:hAnsi="Times New Roman"/>
              </w:rPr>
              <w:t xml:space="preserve"> </w:t>
            </w:r>
          </w:p>
        </w:tc>
      </w:tr>
      <w:tr w:rsidR="00325A16" w:rsidRPr="00420C1B" w14:paraId="1730208F" w14:textId="77777777" w:rsidTr="00360D1B">
        <w:trPr>
          <w:cantSplit/>
          <w:jc w:val="center"/>
        </w:trPr>
        <w:tc>
          <w:tcPr>
            <w:tcW w:w="1300" w:type="pct"/>
            <w:vAlign w:val="center"/>
          </w:tcPr>
          <w:p w14:paraId="1F9384AC"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Maintenir et publier dans le cadre de l’évaluation environnementale et sociale, un recueil de documents rendant compte de la mobilisation des parties prenantes, y compris une présentation des parties prenantes consultées, un résumé des réactions obtenues, et une brève explication de la manière dont ces réactions ont été prises en compte ou non.</w:t>
            </w:r>
          </w:p>
          <w:p w14:paraId="795573A7"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 9</w:t>
            </w:r>
          </w:p>
        </w:tc>
        <w:tc>
          <w:tcPr>
            <w:tcW w:w="2535" w:type="pct"/>
            <w:shd w:val="clear" w:color="auto" w:fill="auto"/>
            <w:vAlign w:val="center"/>
          </w:tcPr>
          <w:p w14:paraId="5E42BE35" w14:textId="77777777" w:rsidR="00C4359F" w:rsidRPr="00420C1B" w:rsidRDefault="00C4359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4187F0DD" w14:textId="28714262" w:rsidR="00C4359F" w:rsidRPr="00420C1B" w:rsidRDefault="00C4359F" w:rsidP="0019702E">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19702E" w:rsidRPr="00420C1B">
              <w:rPr>
                <w:rFonts w:ascii="Times New Roman" w:hAnsi="Times New Roman"/>
              </w:rPr>
              <w:t>ée</w:t>
            </w:r>
            <w:r w:rsidRPr="00420C1B">
              <w:rPr>
                <w:rFonts w:ascii="Times New Roman" w:hAnsi="Times New Roman"/>
              </w:rPr>
              <w:t xml:space="preserve"> </w:t>
            </w:r>
          </w:p>
        </w:tc>
      </w:tr>
      <w:tr w:rsidR="00325A16" w:rsidRPr="00420C1B" w14:paraId="07D03515" w14:textId="77777777" w:rsidTr="00360D1B">
        <w:trPr>
          <w:cantSplit/>
          <w:jc w:val="center"/>
        </w:trPr>
        <w:tc>
          <w:tcPr>
            <w:tcW w:w="1300" w:type="pct"/>
            <w:vAlign w:val="center"/>
          </w:tcPr>
          <w:p w14:paraId="2C5DD25C"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Identifier les différentes parties prenantes, aussi bien les parties touchées par le projet que les autres parties concernées, notamment les individus ou les groupes qui, en raison de leur situation particulière, peuvent être défavorisés ou vulnérables</w:t>
            </w:r>
          </w:p>
          <w:p w14:paraId="265BE70B"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Paragraphes 10 à 12</w:t>
            </w:r>
          </w:p>
        </w:tc>
        <w:tc>
          <w:tcPr>
            <w:tcW w:w="2535" w:type="pct"/>
            <w:shd w:val="clear" w:color="auto" w:fill="auto"/>
            <w:vAlign w:val="center"/>
          </w:tcPr>
          <w:p w14:paraId="2EBB5FBF" w14:textId="77777777" w:rsidR="00C4359F" w:rsidRPr="00420C1B" w:rsidRDefault="00C4359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6554F88D" w14:textId="456DCD05" w:rsidR="00C4359F" w:rsidRPr="00420C1B" w:rsidRDefault="00C4359F" w:rsidP="00937E0B">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937E0B" w:rsidRPr="00420C1B">
              <w:rPr>
                <w:rFonts w:ascii="Times New Roman" w:hAnsi="Times New Roman"/>
              </w:rPr>
              <w:t>ée</w:t>
            </w:r>
            <w:r w:rsidRPr="00420C1B">
              <w:rPr>
                <w:rFonts w:ascii="Times New Roman" w:hAnsi="Times New Roman"/>
              </w:rPr>
              <w:t xml:space="preserve"> </w:t>
            </w:r>
          </w:p>
        </w:tc>
      </w:tr>
      <w:tr w:rsidR="00325A16" w:rsidRPr="00420C1B" w14:paraId="51380257" w14:textId="77777777" w:rsidTr="00360D1B">
        <w:trPr>
          <w:cantSplit/>
          <w:jc w:val="center"/>
        </w:trPr>
        <w:tc>
          <w:tcPr>
            <w:tcW w:w="1300" w:type="pct"/>
            <w:vAlign w:val="center"/>
          </w:tcPr>
          <w:p w14:paraId="599123C5" w14:textId="77777777" w:rsidR="00C4359F" w:rsidRPr="00E737B4" w:rsidRDefault="00C4359F" w:rsidP="00B832EF">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Élaborer, mettre en œuvre et rendre public un Plan de mobilisation des parties prenantes (CMPP) proportionné à la nature et l’envergure du projet, qui décrive les mesures prises pour lever les obstacles à la participation, et les modalités pour la prise en compte des points de vue de groupes touchés différemment.</w:t>
            </w:r>
          </w:p>
          <w:p w14:paraId="30161ECC"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Paragraphes 13 à 18</w:t>
            </w:r>
          </w:p>
        </w:tc>
        <w:tc>
          <w:tcPr>
            <w:tcW w:w="2535" w:type="pct"/>
            <w:shd w:val="clear" w:color="auto" w:fill="auto"/>
            <w:vAlign w:val="center"/>
          </w:tcPr>
          <w:p w14:paraId="5BA856F8" w14:textId="77777777" w:rsidR="00C4359F" w:rsidRPr="00420C1B" w:rsidRDefault="00C4359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641D4048" w14:textId="60153AD5" w:rsidR="00C4359F" w:rsidRPr="00420C1B" w:rsidRDefault="00C4359F" w:rsidP="00937E0B">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937E0B" w:rsidRPr="00420C1B">
              <w:rPr>
                <w:rFonts w:ascii="Times New Roman" w:hAnsi="Times New Roman"/>
              </w:rPr>
              <w:t>ée</w:t>
            </w:r>
            <w:r w:rsidRPr="00420C1B">
              <w:rPr>
                <w:rFonts w:ascii="Times New Roman" w:hAnsi="Times New Roman"/>
              </w:rPr>
              <w:t xml:space="preserve"> </w:t>
            </w:r>
          </w:p>
        </w:tc>
      </w:tr>
      <w:tr w:rsidR="00325A16" w:rsidRPr="00420C1B" w14:paraId="362FF8F8" w14:textId="77777777" w:rsidTr="00360D1B">
        <w:trPr>
          <w:cantSplit/>
          <w:jc w:val="center"/>
        </w:trPr>
        <w:tc>
          <w:tcPr>
            <w:tcW w:w="1300" w:type="pct"/>
            <w:vAlign w:val="center"/>
          </w:tcPr>
          <w:p w14:paraId="6CBEAAEE"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Rendre publiques les informations sur le projet pour permettre aux parties prenantes de comprendre les risques et ses effets potentiels, ainsi que les possibilités qu’il pourrait offrir.</w:t>
            </w:r>
          </w:p>
          <w:p w14:paraId="69B058CE"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 19 et 20</w:t>
            </w:r>
          </w:p>
        </w:tc>
        <w:tc>
          <w:tcPr>
            <w:tcW w:w="2535" w:type="pct"/>
            <w:shd w:val="clear" w:color="auto" w:fill="auto"/>
            <w:vAlign w:val="center"/>
          </w:tcPr>
          <w:p w14:paraId="2D4BC9DA"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420C1B">
              <w:rPr>
                <w:rFonts w:ascii="Times New Roman" w:hAnsi="Times New Roman"/>
              </w:rPr>
              <w:t>Non mentionné dans la législation nationale</w:t>
            </w:r>
          </w:p>
        </w:tc>
        <w:tc>
          <w:tcPr>
            <w:tcW w:w="1164" w:type="pct"/>
            <w:shd w:val="clear" w:color="auto" w:fill="auto"/>
            <w:vAlign w:val="center"/>
          </w:tcPr>
          <w:p w14:paraId="4F8B8311" w14:textId="33A88503" w:rsidR="00C4359F" w:rsidRPr="00420C1B" w:rsidRDefault="00C4359F" w:rsidP="00937E0B">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937E0B" w:rsidRPr="00420C1B">
              <w:rPr>
                <w:rFonts w:ascii="Times New Roman" w:hAnsi="Times New Roman"/>
              </w:rPr>
              <w:t>ée</w:t>
            </w:r>
            <w:r w:rsidRPr="00420C1B">
              <w:rPr>
                <w:rFonts w:ascii="Times New Roman" w:hAnsi="Times New Roman"/>
              </w:rPr>
              <w:t xml:space="preserve"> </w:t>
            </w:r>
          </w:p>
        </w:tc>
      </w:tr>
      <w:tr w:rsidR="00325A16" w:rsidRPr="00420C1B" w14:paraId="7CBE04D5" w14:textId="77777777" w:rsidTr="00360D1B">
        <w:trPr>
          <w:cantSplit/>
          <w:jc w:val="center"/>
        </w:trPr>
        <w:tc>
          <w:tcPr>
            <w:tcW w:w="1300" w:type="pct"/>
            <w:vAlign w:val="center"/>
          </w:tcPr>
          <w:p w14:paraId="696F1B1B"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Entreprendre des consultations approfondies qui offrent la possibilité aux parties prenantes de donner leur avis sur les risques, les effets et les mesures d’atténuation du projet, de façon continue, au fur et à mesure de l’évolution des enjeux, des impacts et des possibilités.</w:t>
            </w:r>
          </w:p>
          <w:p w14:paraId="666FD2EB"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Paragraphes 21 et 22</w:t>
            </w:r>
          </w:p>
        </w:tc>
        <w:tc>
          <w:tcPr>
            <w:tcW w:w="2535" w:type="pct"/>
            <w:shd w:val="clear" w:color="auto" w:fill="auto"/>
            <w:vAlign w:val="center"/>
          </w:tcPr>
          <w:p w14:paraId="6AFB61BA"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48E10D0A" w14:textId="2E8C0777" w:rsidR="00C4359F" w:rsidRPr="00420C1B" w:rsidRDefault="00C4359F" w:rsidP="00937E0B">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937E0B" w:rsidRPr="00420C1B">
              <w:rPr>
                <w:rFonts w:ascii="Times New Roman" w:hAnsi="Times New Roman"/>
              </w:rPr>
              <w:t>ée</w:t>
            </w:r>
            <w:r w:rsidRPr="00420C1B">
              <w:rPr>
                <w:rFonts w:ascii="Times New Roman" w:hAnsi="Times New Roman"/>
              </w:rPr>
              <w:t xml:space="preserve"> </w:t>
            </w:r>
          </w:p>
        </w:tc>
      </w:tr>
      <w:tr w:rsidR="00325A16" w:rsidRPr="00420C1B" w14:paraId="3D6E5A0D" w14:textId="77777777" w:rsidTr="00360D1B">
        <w:trPr>
          <w:cantSplit/>
          <w:jc w:val="center"/>
        </w:trPr>
        <w:tc>
          <w:tcPr>
            <w:tcW w:w="1300" w:type="pct"/>
            <w:vAlign w:val="center"/>
          </w:tcPr>
          <w:p w14:paraId="20CC552B"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Continuer de mobiliser les parties prenantes conformément au PMPP pendant toute la durée du projet, solliciter les réactions des parties prenantes sur la mise en œuvre des mesures d’atténuation énoncées dans le PEES, et publier un PEES révisé indiquant toute mesure d’atténuation supplémentaire</w:t>
            </w:r>
          </w:p>
          <w:p w14:paraId="59EC1AC7"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 23 à 25</w:t>
            </w:r>
          </w:p>
        </w:tc>
        <w:tc>
          <w:tcPr>
            <w:tcW w:w="2535" w:type="pct"/>
            <w:shd w:val="clear" w:color="auto" w:fill="auto"/>
            <w:vAlign w:val="center"/>
          </w:tcPr>
          <w:p w14:paraId="51CC1B0F"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1E36F554" w14:textId="7D3481A1" w:rsidR="00C4359F" w:rsidRPr="00420C1B" w:rsidRDefault="00C4359F" w:rsidP="00937E0B">
            <w:pPr>
              <w:spacing w:after="0" w:line="240" w:lineRule="auto"/>
              <w:jc w:val="both"/>
              <w:rPr>
                <w:rFonts w:ascii="Times New Roman" w:hAnsi="Times New Roman"/>
              </w:rPr>
            </w:pPr>
            <w:r w:rsidRPr="00420C1B">
              <w:rPr>
                <w:rFonts w:ascii="Times New Roman" w:hAnsi="Times New Roman"/>
              </w:rPr>
              <w:t>La loi nationale ne satisfait pas cette exigence de la NES 10. C’est la NES n°10 qui sera appliqu</w:t>
            </w:r>
            <w:r w:rsidR="00937E0B" w:rsidRPr="00420C1B">
              <w:rPr>
                <w:rFonts w:ascii="Times New Roman" w:hAnsi="Times New Roman"/>
              </w:rPr>
              <w:t>ée</w:t>
            </w:r>
            <w:r w:rsidRPr="00420C1B">
              <w:rPr>
                <w:rFonts w:ascii="Times New Roman" w:hAnsi="Times New Roman"/>
              </w:rPr>
              <w:t xml:space="preserve"> </w:t>
            </w:r>
          </w:p>
        </w:tc>
      </w:tr>
      <w:tr w:rsidR="00325A16" w:rsidRPr="00420C1B" w14:paraId="0A7B5239" w14:textId="77777777" w:rsidTr="00360D1B">
        <w:trPr>
          <w:cantSplit/>
          <w:jc w:val="center"/>
        </w:trPr>
        <w:tc>
          <w:tcPr>
            <w:tcW w:w="1300" w:type="pct"/>
            <w:vAlign w:val="center"/>
          </w:tcPr>
          <w:p w14:paraId="4D8189F3" w14:textId="77777777" w:rsidR="00C4359F" w:rsidRPr="00E737B4" w:rsidRDefault="00C4359F" w:rsidP="00E737B4">
            <w:pPr>
              <w:widowControl w:val="0"/>
              <w:autoSpaceDE w:val="0"/>
              <w:autoSpaceDN w:val="0"/>
              <w:spacing w:after="0" w:line="240" w:lineRule="auto"/>
              <w:jc w:val="both"/>
              <w:rPr>
                <w:rFonts w:ascii="Times New Roman" w:eastAsia="Arial" w:hAnsi="Times New Roman"/>
                <w:w w:val="105"/>
              </w:rPr>
            </w:pPr>
            <w:r w:rsidRPr="00E737B4">
              <w:rPr>
                <w:rFonts w:ascii="Times New Roman" w:eastAsia="Arial" w:hAnsi="Times New Roman"/>
                <w:w w:val="105"/>
              </w:rPr>
              <w:t>Mettre en œuvre un mécanisme de gestion des plaintes proportionné aux risques et aux effets néfastes potentiels du projet, accessible et ouvert à tous, rapide, efficace, transparent, respectueux de la culture locale, sans frais ni rétribution.</w:t>
            </w:r>
          </w:p>
          <w:p w14:paraId="7D961853"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
                <w:u w:val="single"/>
              </w:rPr>
            </w:pPr>
            <w:r w:rsidRPr="00420C1B">
              <w:rPr>
                <w:rFonts w:ascii="Times New Roman" w:hAnsi="Times New Roman"/>
                <w:i/>
                <w:iCs/>
              </w:rPr>
              <w:t>Paragraphes 26 et 27</w:t>
            </w:r>
          </w:p>
        </w:tc>
        <w:tc>
          <w:tcPr>
            <w:tcW w:w="2535" w:type="pct"/>
            <w:shd w:val="clear" w:color="auto" w:fill="auto"/>
            <w:vAlign w:val="center"/>
          </w:tcPr>
          <w:p w14:paraId="02301B52" w14:textId="77777777" w:rsidR="00C4359F" w:rsidRPr="00420C1B" w:rsidRDefault="00C4359F" w:rsidP="00B832EF">
            <w:pPr>
              <w:tabs>
                <w:tab w:val="center" w:pos="4320"/>
                <w:tab w:val="right" w:pos="8640"/>
              </w:tabs>
              <w:autoSpaceDE w:val="0"/>
              <w:autoSpaceDN w:val="0"/>
              <w:adjustRightInd w:val="0"/>
              <w:spacing w:after="0" w:line="240" w:lineRule="auto"/>
              <w:jc w:val="both"/>
              <w:rPr>
                <w:rFonts w:ascii="Times New Roman" w:hAnsi="Times New Roman"/>
                <w:iCs/>
              </w:rPr>
            </w:pPr>
            <w:r w:rsidRPr="00420C1B">
              <w:rPr>
                <w:rFonts w:ascii="Times New Roman" w:hAnsi="Times New Roman"/>
              </w:rPr>
              <w:t>Non mentionné dans la législation nationale</w:t>
            </w:r>
          </w:p>
        </w:tc>
        <w:tc>
          <w:tcPr>
            <w:tcW w:w="1164" w:type="pct"/>
            <w:shd w:val="clear" w:color="auto" w:fill="auto"/>
            <w:vAlign w:val="center"/>
          </w:tcPr>
          <w:p w14:paraId="0A94D350" w14:textId="3C57A9EA" w:rsidR="00C4359F" w:rsidRPr="00420C1B" w:rsidRDefault="00C4359F" w:rsidP="00937E0B">
            <w:pPr>
              <w:spacing w:after="0" w:line="240" w:lineRule="auto"/>
              <w:jc w:val="both"/>
              <w:rPr>
                <w:rFonts w:ascii="Times New Roman" w:hAnsi="Times New Roman"/>
              </w:rPr>
            </w:pPr>
            <w:r w:rsidRPr="00420C1B">
              <w:rPr>
                <w:rFonts w:ascii="Times New Roman" w:hAnsi="Times New Roman"/>
              </w:rPr>
              <w:t xml:space="preserve">La loi nationale ne satisfait pas cette exigence de la NES 10. C’est la NES n°10 qui sera </w:t>
            </w:r>
            <w:r w:rsidR="00937E0B" w:rsidRPr="00420C1B">
              <w:rPr>
                <w:rFonts w:ascii="Times New Roman" w:hAnsi="Times New Roman"/>
              </w:rPr>
              <w:t>appliquée</w:t>
            </w:r>
            <w:r w:rsidRPr="00420C1B">
              <w:rPr>
                <w:rFonts w:ascii="Times New Roman" w:hAnsi="Times New Roman"/>
              </w:rPr>
              <w:t xml:space="preserve"> </w:t>
            </w:r>
          </w:p>
        </w:tc>
      </w:tr>
    </w:tbl>
    <w:p w14:paraId="380E1AFB" w14:textId="77777777" w:rsidR="00FB3D81" w:rsidRPr="00024B30" w:rsidRDefault="00FB3D81" w:rsidP="00E737B4">
      <w:pPr>
        <w:spacing w:before="120" w:after="120" w:line="240" w:lineRule="auto"/>
        <w:jc w:val="center"/>
        <w:rPr>
          <w:rFonts w:ascii="Times New Roman" w:hAnsi="Times New Roman"/>
          <w:bCs/>
          <w:i/>
        </w:rPr>
      </w:pPr>
      <w:r w:rsidRPr="00024B30">
        <w:rPr>
          <w:rFonts w:ascii="Times New Roman" w:hAnsi="Times New Roman"/>
          <w:bCs/>
          <w:i/>
          <w:u w:val="single"/>
        </w:rPr>
        <w:t>Source </w:t>
      </w:r>
      <w:r w:rsidRPr="00024B30">
        <w:rPr>
          <w:rFonts w:ascii="Times New Roman" w:hAnsi="Times New Roman"/>
          <w:bCs/>
          <w:i/>
        </w:rPr>
        <w:t>: Mission</w:t>
      </w:r>
      <w:r>
        <w:rPr>
          <w:rFonts w:ascii="Times New Roman" w:hAnsi="Times New Roman"/>
          <w:bCs/>
          <w:i/>
        </w:rPr>
        <w:t xml:space="preserve"> d</w:t>
      </w:r>
      <w:r w:rsidRPr="00024B30">
        <w:rPr>
          <w:rFonts w:ascii="Times New Roman" w:hAnsi="Times New Roman"/>
          <w:bCs/>
          <w:i/>
        </w:rPr>
        <w:t xml:space="preserve">’élaboration de l’EIES DKC </w:t>
      </w:r>
      <w:r w:rsidR="00C4359F">
        <w:rPr>
          <w:rFonts w:ascii="Times New Roman" w:hAnsi="Times New Roman"/>
          <w:bCs/>
          <w:i/>
        </w:rPr>
        <w:t xml:space="preserve">&amp; </w:t>
      </w:r>
      <w:r w:rsidRPr="00024B30">
        <w:rPr>
          <w:rFonts w:ascii="Times New Roman" w:hAnsi="Times New Roman"/>
          <w:bCs/>
          <w:i/>
        </w:rPr>
        <w:t>DKO</w:t>
      </w:r>
      <w:r w:rsidR="00C4359F">
        <w:rPr>
          <w:rFonts w:ascii="Times New Roman" w:hAnsi="Times New Roman"/>
          <w:bCs/>
          <w:i/>
        </w:rPr>
        <w:t>,</w:t>
      </w:r>
      <w:r w:rsidRPr="00024B30">
        <w:rPr>
          <w:rFonts w:ascii="Times New Roman" w:hAnsi="Times New Roman"/>
          <w:bCs/>
          <w:i/>
        </w:rPr>
        <w:t xml:space="preserve"> juillet 2021</w:t>
      </w:r>
    </w:p>
    <w:p w14:paraId="102DE84E" w14:textId="77777777" w:rsidR="00AE61CE" w:rsidRPr="00D75D2E" w:rsidRDefault="00AE61CE" w:rsidP="00AE61CE">
      <w:pPr>
        <w:spacing w:after="0" w:line="240" w:lineRule="auto"/>
        <w:jc w:val="both"/>
        <w:rPr>
          <w:rFonts w:ascii="Times New Roman" w:eastAsia="Times New Roman" w:hAnsi="Times New Roman"/>
          <w:b/>
          <w:bCs/>
          <w:i/>
          <w:sz w:val="24"/>
          <w:szCs w:val="24"/>
          <w:lang w:eastAsia="fr-FR"/>
        </w:rPr>
      </w:pPr>
    </w:p>
    <w:p w14:paraId="4C35B21B" w14:textId="77777777" w:rsidR="00221268" w:rsidRPr="00D75D2E" w:rsidRDefault="00221268" w:rsidP="00221268">
      <w:pPr>
        <w:tabs>
          <w:tab w:val="left" w:pos="1740"/>
        </w:tabs>
        <w:jc w:val="both"/>
        <w:rPr>
          <w:rFonts w:ascii="Times New Roman" w:eastAsia="Times New Roman" w:hAnsi="Times New Roman"/>
          <w:sz w:val="24"/>
          <w:szCs w:val="24"/>
          <w:lang w:eastAsia="fr-FR"/>
        </w:rPr>
        <w:sectPr w:rsidR="00221268" w:rsidRPr="00D75D2E" w:rsidSect="0062151B">
          <w:pgSz w:w="16838" w:h="11906" w:orient="landscape"/>
          <w:pgMar w:top="1418" w:right="1418" w:bottom="1418" w:left="1418" w:header="720" w:footer="720" w:gutter="0"/>
          <w:cols w:space="720"/>
          <w:formProt w:val="0"/>
          <w:docGrid w:linePitch="360" w:charSpace="-2049"/>
        </w:sectPr>
      </w:pPr>
    </w:p>
    <w:p w14:paraId="42FE915F" w14:textId="6D527F28" w:rsidR="00221268" w:rsidRPr="00E737B4" w:rsidRDefault="00221268" w:rsidP="008C79F0">
      <w:pPr>
        <w:pStyle w:val="Titre31"/>
        <w:numPr>
          <w:ilvl w:val="2"/>
          <w:numId w:val="54"/>
        </w:numPr>
        <w:tabs>
          <w:tab w:val="left" w:pos="993"/>
          <w:tab w:val="left" w:pos="1134"/>
        </w:tabs>
        <w:spacing w:after="120"/>
        <w:ind w:left="993" w:hanging="505"/>
        <w:rPr>
          <w:rFonts w:eastAsia="Calibri"/>
          <w:u w:val="none"/>
        </w:rPr>
      </w:pPr>
      <w:bookmarkStart w:id="355" w:name="_Toc78601978"/>
      <w:bookmarkStart w:id="356" w:name="_Toc103685613"/>
      <w:r w:rsidRPr="00E737B4">
        <w:rPr>
          <w:rFonts w:eastAsia="Calibri"/>
          <w:u w:val="none"/>
        </w:rPr>
        <w:t>Autres directives applicables au sous-projet</w:t>
      </w:r>
      <w:bookmarkEnd w:id="355"/>
      <w:bookmarkEnd w:id="356"/>
    </w:p>
    <w:p w14:paraId="3B1BC201" w14:textId="6419EB93" w:rsidR="00221268" w:rsidRPr="00D75D2E" w:rsidRDefault="00221268"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hAnsi="Times New Roman"/>
          <w:b/>
          <w:i/>
          <w:sz w:val="24"/>
          <w:szCs w:val="24"/>
        </w:rPr>
        <w:t xml:space="preserve">La Note de Bonnes Pratiques de la Banque </w:t>
      </w:r>
      <w:r w:rsidR="00F158FB">
        <w:rPr>
          <w:rFonts w:ascii="Times New Roman" w:hAnsi="Times New Roman"/>
          <w:b/>
          <w:i/>
          <w:sz w:val="24"/>
          <w:szCs w:val="24"/>
        </w:rPr>
        <w:t>m</w:t>
      </w:r>
      <w:r w:rsidRPr="00D75D2E">
        <w:rPr>
          <w:rFonts w:ascii="Times New Roman" w:hAnsi="Times New Roman"/>
          <w:b/>
          <w:i/>
          <w:sz w:val="24"/>
          <w:szCs w:val="24"/>
        </w:rPr>
        <w:t>ondiale pour lutter contre les violences sexistes dans le cadre du financement de projets d’investissement comportant de grands travaux de génie civil (septembre 2018)</w:t>
      </w:r>
    </w:p>
    <w:p w14:paraId="18683D14" w14:textId="77777777" w:rsidR="007E5A67" w:rsidRPr="00215867" w:rsidRDefault="00221268" w:rsidP="008C79F0">
      <w:pPr>
        <w:numPr>
          <w:ilvl w:val="0"/>
          <w:numId w:val="148"/>
        </w:numPr>
        <w:spacing w:before="120" w:after="120" w:line="20" w:lineRule="atLeast"/>
        <w:jc w:val="both"/>
        <w:rPr>
          <w:rFonts w:ascii="Times New Roman" w:eastAsia="Times New Roman" w:hAnsi="Times New Roman"/>
          <w:b/>
          <w:bCs/>
          <w:i/>
          <w:sz w:val="24"/>
          <w:szCs w:val="24"/>
          <w:lang w:val="fr-BE" w:eastAsia="fr-FR"/>
        </w:rPr>
      </w:pPr>
      <w:r w:rsidRPr="00D75D2E">
        <w:rPr>
          <w:rFonts w:ascii="Times New Roman" w:eastAsia="Times New Roman" w:hAnsi="Times New Roman"/>
          <w:bCs/>
          <w:sz w:val="24"/>
          <w:szCs w:val="24"/>
          <w:lang w:val="fr-BE" w:eastAsia="fr-FR"/>
        </w:rPr>
        <w:t>Cette Note de bonnes pratiques a été préparée pour aider les équipes de projet à définir une approche permettant de déterminer les risques de violence sexiste, en particulier d’exploitation et de sévices sexuels ainsi que de harcèlement sexuel, que peuvent présenter des opérations de financement de projets d’investissement (FPI) comportant des marchés de grands travaux de génie civil, et de conseiller en conséquence les Emprunteurs sur la meilleure façon de gérer ces risques. La Note s’appuie sur l’expérience de la Banque mondiale et sur les bonnes pratiques en usage dans ce secteur au niveau international, y compris celles d’autres partenaires de développement. Si elle est destinée principalement à l’usage des équipes de projet de la Banque mondiale, elle a également pour objectif de contribuer à la constitution d’une base de connaissances grandissante sur le sujet.</w:t>
      </w:r>
    </w:p>
    <w:p w14:paraId="32EE67B2" w14:textId="65F05C48" w:rsidR="00221268" w:rsidRPr="00D75D2E" w:rsidRDefault="00221268" w:rsidP="00215867">
      <w:pPr>
        <w:spacing w:before="120" w:after="120" w:line="20" w:lineRule="atLeast"/>
        <w:ind w:left="720"/>
        <w:jc w:val="both"/>
        <w:rPr>
          <w:rFonts w:ascii="Times New Roman" w:eastAsia="Times New Roman" w:hAnsi="Times New Roman"/>
          <w:b/>
          <w:bCs/>
          <w:i/>
          <w:sz w:val="24"/>
          <w:szCs w:val="24"/>
          <w:lang w:val="fr-BE" w:eastAsia="fr-FR"/>
        </w:rPr>
      </w:pPr>
      <w:r w:rsidRPr="00D75D2E">
        <w:rPr>
          <w:rFonts w:ascii="Times New Roman" w:eastAsia="Times New Roman" w:hAnsi="Times New Roman"/>
          <w:b/>
          <w:bCs/>
          <w:i/>
          <w:sz w:val="24"/>
          <w:szCs w:val="24"/>
          <w:lang w:val="fr-BE" w:eastAsia="fr-FR"/>
        </w:rPr>
        <w:t>Directives de l’O</w:t>
      </w:r>
      <w:r w:rsidR="0083274D">
        <w:rPr>
          <w:rFonts w:ascii="Times New Roman" w:eastAsia="Times New Roman" w:hAnsi="Times New Roman"/>
          <w:b/>
          <w:bCs/>
          <w:i/>
          <w:sz w:val="24"/>
          <w:szCs w:val="24"/>
          <w:lang w:val="fr-BE" w:eastAsia="fr-FR"/>
        </w:rPr>
        <w:t xml:space="preserve">rganisation mondiale </w:t>
      </w:r>
      <w:r w:rsidR="007E5A67">
        <w:rPr>
          <w:rFonts w:ascii="Times New Roman" w:eastAsia="Times New Roman" w:hAnsi="Times New Roman"/>
          <w:b/>
          <w:bCs/>
          <w:i/>
          <w:sz w:val="24"/>
          <w:szCs w:val="24"/>
          <w:lang w:val="fr-BE" w:eastAsia="fr-FR"/>
        </w:rPr>
        <w:t>de la santé O</w:t>
      </w:r>
      <w:r w:rsidRPr="00D75D2E">
        <w:rPr>
          <w:rFonts w:ascii="Times New Roman" w:eastAsia="Times New Roman" w:hAnsi="Times New Roman"/>
          <w:b/>
          <w:bCs/>
          <w:i/>
          <w:sz w:val="24"/>
          <w:szCs w:val="24"/>
          <w:lang w:val="fr-BE" w:eastAsia="fr-FR"/>
        </w:rPr>
        <w:t xml:space="preserve">MS/OCDE </w:t>
      </w:r>
    </w:p>
    <w:p w14:paraId="7F0CEE81" w14:textId="77777777" w:rsidR="00221268" w:rsidRPr="00D75D2E" w:rsidRDefault="00221268" w:rsidP="00BE14A1">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Directives de l’Organisation mondiale de la santé (OMS 1999) relatives au bruit dans l’environnement (Eds B. Berglund, T. Lindvall, D.H. Schwela. Genève : OMS) fournissent la recommandation générique suivante concernant l’apparition d’effets du bruit sur la santé. </w:t>
      </w:r>
    </w:p>
    <w:p w14:paraId="2E26B8B6" w14:textId="77777777" w:rsidR="00221268" w:rsidRPr="00D75D2E" w:rsidRDefault="00221268" w:rsidP="008C79F0">
      <w:pPr>
        <w:numPr>
          <w:ilvl w:val="0"/>
          <w:numId w:val="147"/>
        </w:numPr>
        <w:spacing w:after="0" w:line="240" w:lineRule="auto"/>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Pour protéger la majorité des personnes contre les fortes nuisances sonores diurnes, le niveau de pression acoustique sur les balcons, terrasses et espaces de vie extérieurs ne devrait pas dépasser 55 dB LAeq pour un bruit de fond continu. </w:t>
      </w:r>
    </w:p>
    <w:p w14:paraId="1E88DCAF" w14:textId="77777777" w:rsidR="00221268" w:rsidRPr="00D75D2E" w:rsidRDefault="00221268" w:rsidP="008C79F0">
      <w:pPr>
        <w:numPr>
          <w:ilvl w:val="0"/>
          <w:numId w:val="147"/>
        </w:numPr>
        <w:spacing w:after="0" w:line="240" w:lineRule="auto"/>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Pour protéger la majorité des personnes contre des nuisances diurnes modérées, le niveau de pression acoustique extérieur ne devrait pas dépasser 50 dB LAeq. </w:t>
      </w:r>
    </w:p>
    <w:p w14:paraId="0386F2C1" w14:textId="77777777" w:rsidR="00221268" w:rsidRPr="00D75D2E" w:rsidRDefault="00221268" w:rsidP="008C79F0">
      <w:pPr>
        <w:numPr>
          <w:ilvl w:val="0"/>
          <w:numId w:val="147"/>
        </w:numPr>
        <w:spacing w:after="0" w:line="240" w:lineRule="auto"/>
        <w:ind w:left="567" w:hanging="357"/>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La nuit, les niveaux de pression acoustique au droit des façades extérieures des espaces de vie ne devraient pas dépasser 45 dB LAeq et 60 dB LAMax, pour que les personnes puissent dormir les fenêtres ouvertes. Ces valeurs ont été obtenues en supposant que la réduction du bruit de l’extérieur vers l’intérieur avec les fenêtres en partie ouvertes s’élève à 15 dB. </w:t>
      </w:r>
    </w:p>
    <w:p w14:paraId="6B1B8D09" w14:textId="47FB48BA" w:rsidR="00221268" w:rsidRPr="00D75D2E" w:rsidRDefault="00221268" w:rsidP="008C79F0">
      <w:pPr>
        <w:numPr>
          <w:ilvl w:val="0"/>
          <w:numId w:val="148"/>
        </w:numPr>
        <w:spacing w:before="120" w:after="120" w:line="20" w:lineRule="atLeast"/>
        <w:ind w:left="714" w:hanging="357"/>
        <w:jc w:val="both"/>
        <w:rPr>
          <w:rFonts w:ascii="Times New Roman" w:eastAsia="Times New Roman" w:hAnsi="Times New Roman"/>
          <w:b/>
          <w:bCs/>
          <w:i/>
          <w:sz w:val="24"/>
          <w:szCs w:val="24"/>
          <w:lang w:val="fr-BE" w:eastAsia="fr-FR"/>
        </w:rPr>
      </w:pPr>
      <w:r w:rsidRPr="00D75D2E">
        <w:rPr>
          <w:rFonts w:ascii="Times New Roman" w:eastAsia="Times New Roman" w:hAnsi="Times New Roman"/>
          <w:b/>
          <w:bCs/>
          <w:i/>
          <w:sz w:val="24"/>
          <w:szCs w:val="24"/>
          <w:lang w:val="fr-BE" w:eastAsia="fr-FR"/>
        </w:rPr>
        <w:t>Directives d</w:t>
      </w:r>
      <w:r w:rsidR="00227EF6">
        <w:rPr>
          <w:rFonts w:ascii="Times New Roman" w:eastAsia="Times New Roman" w:hAnsi="Times New Roman"/>
          <w:b/>
          <w:bCs/>
          <w:i/>
          <w:sz w:val="24"/>
          <w:szCs w:val="24"/>
          <w:lang w:val="fr-BE" w:eastAsia="fr-FR"/>
        </w:rPr>
        <w:t>u groupe de la Banque mondial</w:t>
      </w:r>
      <w:r w:rsidRPr="00D75D2E">
        <w:rPr>
          <w:rFonts w:ascii="Times New Roman" w:eastAsia="Times New Roman" w:hAnsi="Times New Roman"/>
          <w:b/>
          <w:bCs/>
          <w:i/>
          <w:sz w:val="24"/>
          <w:szCs w:val="24"/>
          <w:lang w:val="fr-BE" w:eastAsia="fr-FR"/>
        </w:rPr>
        <w:t>e</w:t>
      </w:r>
      <w:r w:rsidR="00227EF6">
        <w:rPr>
          <w:rFonts w:ascii="Times New Roman" w:eastAsia="Times New Roman" w:hAnsi="Times New Roman"/>
          <w:b/>
          <w:bCs/>
          <w:i/>
          <w:sz w:val="24"/>
          <w:szCs w:val="24"/>
          <w:lang w:val="fr-BE" w:eastAsia="fr-FR"/>
        </w:rPr>
        <w:t xml:space="preserve"> en matière d’environnement, santé et de sécurité (directive </w:t>
      </w:r>
      <w:r w:rsidR="00227EF6" w:rsidRPr="00227EF6">
        <w:rPr>
          <w:rFonts w:ascii="Times New Roman" w:eastAsia="Times New Roman" w:hAnsi="Times New Roman"/>
          <w:b/>
          <w:bCs/>
          <w:i/>
          <w:sz w:val="24"/>
          <w:szCs w:val="24"/>
          <w:lang w:val="fr-BE" w:eastAsia="fr-FR"/>
        </w:rPr>
        <w:t xml:space="preserve"> </w:t>
      </w:r>
      <w:r w:rsidR="00227EF6" w:rsidRPr="00D75D2E">
        <w:rPr>
          <w:rFonts w:ascii="Times New Roman" w:eastAsia="Times New Roman" w:hAnsi="Times New Roman"/>
          <w:b/>
          <w:bCs/>
          <w:i/>
          <w:sz w:val="24"/>
          <w:szCs w:val="24"/>
          <w:lang w:val="fr-BE" w:eastAsia="fr-FR"/>
        </w:rPr>
        <w:t>EHS</w:t>
      </w:r>
      <w:r w:rsidR="00227EF6">
        <w:rPr>
          <w:rFonts w:ascii="Times New Roman" w:eastAsia="Times New Roman" w:hAnsi="Times New Roman"/>
          <w:b/>
          <w:bCs/>
          <w:i/>
          <w:sz w:val="24"/>
          <w:szCs w:val="24"/>
          <w:lang w:val="fr-BE" w:eastAsia="fr-FR"/>
        </w:rPr>
        <w:t xml:space="preserve">) applicables au projet, notamment la Directive Générale </w:t>
      </w:r>
      <w:r w:rsidRPr="00D75D2E">
        <w:rPr>
          <w:rFonts w:ascii="Times New Roman" w:eastAsia="Times New Roman" w:hAnsi="Times New Roman"/>
          <w:b/>
          <w:bCs/>
          <w:i/>
          <w:sz w:val="24"/>
          <w:szCs w:val="24"/>
          <w:lang w:val="fr-BE" w:eastAsia="fr-FR"/>
        </w:rPr>
        <w:t xml:space="preserve"> </w:t>
      </w:r>
    </w:p>
    <w:p w14:paraId="1AFE7195" w14:textId="13BB68AA" w:rsidR="00221268" w:rsidRDefault="00221268" w:rsidP="00E737B4">
      <w:pPr>
        <w:spacing w:before="120" w:after="120" w:line="240" w:lineRule="auto"/>
        <w:jc w:val="both"/>
        <w:rPr>
          <w:rFonts w:ascii="Times New Roman" w:eastAsia="Times New Roman" w:hAnsi="Times New Roman"/>
          <w:sz w:val="24"/>
          <w:szCs w:val="21"/>
          <w:lang w:eastAsia="fr-FR"/>
        </w:rPr>
      </w:pPr>
      <w:r w:rsidRPr="00D75D2E">
        <w:rPr>
          <w:rFonts w:ascii="Times New Roman" w:eastAsia="Times New Roman" w:hAnsi="Times New Roman"/>
          <w:sz w:val="24"/>
          <w:szCs w:val="21"/>
          <w:lang w:eastAsia="fr-FR"/>
        </w:rPr>
        <w:t xml:space="preserve">Les directives générales EHS générales de la SFI distinguent deux catégories principales de récepteurs, à savoir les récepteurs résidentiels et les récepteurs industriels, mais elles ne sont pas spécifiques à une source particulière. Les directives relatives aux niveaux sonores pour ces récepteurs sont </w:t>
      </w:r>
      <w:r w:rsidR="00B832EF" w:rsidRPr="00D75D2E">
        <w:rPr>
          <w:rFonts w:ascii="Times New Roman" w:eastAsia="Times New Roman" w:hAnsi="Times New Roman"/>
          <w:sz w:val="24"/>
          <w:szCs w:val="21"/>
          <w:lang w:eastAsia="fr-FR"/>
        </w:rPr>
        <w:t>résumés</w:t>
      </w:r>
      <w:r w:rsidRPr="00D75D2E">
        <w:rPr>
          <w:rFonts w:ascii="Times New Roman" w:eastAsia="Times New Roman" w:hAnsi="Times New Roman"/>
          <w:sz w:val="24"/>
          <w:szCs w:val="21"/>
          <w:lang w:eastAsia="fr-FR"/>
        </w:rPr>
        <w:t xml:space="preserve"> dans le Tableau </w:t>
      </w:r>
      <w:r w:rsidR="00EF6C10">
        <w:rPr>
          <w:rFonts w:ascii="Times New Roman" w:eastAsia="Times New Roman" w:hAnsi="Times New Roman"/>
          <w:sz w:val="24"/>
          <w:szCs w:val="21"/>
          <w:lang w:eastAsia="fr-FR"/>
        </w:rPr>
        <w:t>5</w:t>
      </w:r>
      <w:r w:rsidRPr="00D75D2E">
        <w:rPr>
          <w:rFonts w:ascii="Times New Roman" w:eastAsia="Times New Roman" w:hAnsi="Times New Roman"/>
          <w:sz w:val="24"/>
          <w:szCs w:val="21"/>
          <w:lang w:eastAsia="fr-FR"/>
        </w:rPr>
        <w:t xml:space="preserve">.  Elles font référence au bruit provenant des installations et aux sources de bruit stationnaires et elles sont habituellement utilisées comme normes pour la conception des installations industrielles. Bien qu’elles fournissent des recommandations générales sur les effets du bruit, la SFI a indiqué qu’elles n’étaient pas directement applicables aux sources de bruit mobiles ou liées au transport. Les mesures doivent être relevées aux récepteurs du bruit situé en dehors du périmètre de la propriété du projet. </w:t>
      </w:r>
    </w:p>
    <w:p w14:paraId="6E10EAFB" w14:textId="4A00E134" w:rsidR="00942127" w:rsidRPr="00EF6C10" w:rsidRDefault="00942127" w:rsidP="00942127">
      <w:pPr>
        <w:jc w:val="both"/>
        <w:rPr>
          <w:rFonts w:ascii="Times New Roman" w:hAnsi="Times New Roman"/>
        </w:rPr>
      </w:pPr>
      <w:bookmarkStart w:id="357" w:name="_Toc93050267"/>
      <w:r w:rsidRPr="00D75D2E">
        <w:rPr>
          <w:rFonts w:ascii="Times New Roman" w:eastAsia="Times New Roman" w:hAnsi="Times New Roman"/>
          <w:sz w:val="24"/>
          <w:szCs w:val="21"/>
          <w:lang w:eastAsia="fr-FR"/>
        </w:rPr>
        <w:t xml:space="preserve">Tableau </w:t>
      </w:r>
      <w:r w:rsidRPr="00D75D2E">
        <w:rPr>
          <w:rFonts w:ascii="Times New Roman" w:eastAsia="Times New Roman" w:hAnsi="Times New Roman"/>
          <w:sz w:val="24"/>
          <w:szCs w:val="21"/>
          <w:lang w:eastAsia="fr-FR"/>
        </w:rPr>
        <w:fldChar w:fldCharType="begin"/>
      </w:r>
      <w:r w:rsidRPr="00D75D2E">
        <w:rPr>
          <w:rFonts w:ascii="Times New Roman" w:eastAsia="Times New Roman" w:hAnsi="Times New Roman"/>
          <w:sz w:val="24"/>
          <w:szCs w:val="21"/>
          <w:lang w:eastAsia="fr-FR"/>
        </w:rPr>
        <w:instrText xml:space="preserve"> SEQ Tableau \* ARABIC </w:instrText>
      </w:r>
      <w:r w:rsidRPr="00D75D2E">
        <w:rPr>
          <w:rFonts w:ascii="Times New Roman" w:eastAsia="Times New Roman" w:hAnsi="Times New Roman"/>
          <w:sz w:val="24"/>
          <w:szCs w:val="21"/>
          <w:lang w:eastAsia="fr-FR"/>
        </w:rPr>
        <w:fldChar w:fldCharType="separate"/>
      </w:r>
      <w:r>
        <w:rPr>
          <w:rFonts w:ascii="Times New Roman" w:eastAsia="Times New Roman" w:hAnsi="Times New Roman"/>
          <w:noProof/>
          <w:sz w:val="24"/>
          <w:szCs w:val="21"/>
          <w:lang w:eastAsia="fr-FR"/>
        </w:rPr>
        <w:t>5</w:t>
      </w:r>
      <w:r w:rsidRPr="00D75D2E">
        <w:rPr>
          <w:rFonts w:ascii="Times New Roman" w:eastAsia="Times New Roman" w:hAnsi="Times New Roman"/>
          <w:noProof/>
          <w:sz w:val="24"/>
          <w:szCs w:val="21"/>
          <w:lang w:eastAsia="fr-FR"/>
        </w:rPr>
        <w:fldChar w:fldCharType="end"/>
      </w:r>
      <w:r w:rsidRPr="00D75D2E">
        <w:rPr>
          <w:rFonts w:ascii="Times New Roman" w:eastAsia="Times New Roman" w:hAnsi="Times New Roman"/>
          <w:sz w:val="24"/>
          <w:szCs w:val="21"/>
          <w:lang w:eastAsia="fr-FR"/>
        </w:rPr>
        <w:t>. Lignes directrices sur les niveaux sonores de la SFI</w:t>
      </w:r>
      <w:bookmarkEnd w:id="3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410"/>
        <w:gridCol w:w="2441"/>
      </w:tblGrid>
      <w:tr w:rsidR="00D75D2E" w:rsidRPr="00420C1B" w14:paraId="19F92242" w14:textId="77777777" w:rsidTr="00420C1B">
        <w:tc>
          <w:tcPr>
            <w:tcW w:w="4361" w:type="dxa"/>
            <w:vMerge w:val="restart"/>
            <w:shd w:val="clear" w:color="auto" w:fill="92D050"/>
          </w:tcPr>
          <w:p w14:paraId="04604CE1" w14:textId="77777777" w:rsidR="00221268" w:rsidRPr="00420C1B" w:rsidRDefault="00221268" w:rsidP="00420C1B">
            <w:pPr>
              <w:spacing w:after="0" w:line="240" w:lineRule="auto"/>
              <w:jc w:val="both"/>
              <w:rPr>
                <w:rFonts w:ascii="Times New Roman" w:hAnsi="Times New Roman"/>
              </w:rPr>
            </w:pPr>
          </w:p>
          <w:p w14:paraId="7D7216F2"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 xml:space="preserve">Récepteur </w:t>
            </w:r>
          </w:p>
          <w:p w14:paraId="1CE73F7F" w14:textId="77777777" w:rsidR="00221268" w:rsidRPr="00420C1B" w:rsidRDefault="00221268" w:rsidP="00420C1B">
            <w:pPr>
              <w:spacing w:after="0" w:line="240" w:lineRule="auto"/>
              <w:jc w:val="both"/>
              <w:rPr>
                <w:rFonts w:ascii="Times New Roman" w:hAnsi="Times New Roman"/>
              </w:rPr>
            </w:pPr>
          </w:p>
        </w:tc>
        <w:tc>
          <w:tcPr>
            <w:tcW w:w="4851" w:type="dxa"/>
            <w:gridSpan w:val="2"/>
            <w:shd w:val="clear" w:color="auto" w:fill="92D050"/>
          </w:tcPr>
          <w:p w14:paraId="6E7BAF18"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Niveaux de bruits ambiants maximum admissibles, LAeq, 1h, dBA espace ouvert</w:t>
            </w:r>
          </w:p>
        </w:tc>
      </w:tr>
      <w:tr w:rsidR="00D75D2E" w:rsidRPr="00420C1B" w14:paraId="58793840" w14:textId="77777777" w:rsidTr="00420C1B">
        <w:tc>
          <w:tcPr>
            <w:tcW w:w="4361" w:type="dxa"/>
            <w:vMerge/>
            <w:shd w:val="clear" w:color="auto" w:fill="92D050"/>
          </w:tcPr>
          <w:p w14:paraId="05A3FF3E" w14:textId="77777777" w:rsidR="00221268" w:rsidRPr="00420C1B" w:rsidRDefault="00221268" w:rsidP="00420C1B">
            <w:pPr>
              <w:spacing w:after="0" w:line="240" w:lineRule="auto"/>
              <w:jc w:val="both"/>
              <w:rPr>
                <w:rFonts w:ascii="Times New Roman" w:hAnsi="Times New Roman"/>
              </w:rPr>
            </w:pPr>
          </w:p>
        </w:tc>
        <w:tc>
          <w:tcPr>
            <w:tcW w:w="2410" w:type="dxa"/>
            <w:shd w:val="clear" w:color="auto" w:fill="92D050"/>
          </w:tcPr>
          <w:p w14:paraId="7F83A903"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Diurne</w:t>
            </w:r>
          </w:p>
        </w:tc>
        <w:tc>
          <w:tcPr>
            <w:tcW w:w="2441" w:type="dxa"/>
            <w:shd w:val="clear" w:color="auto" w:fill="92D050"/>
          </w:tcPr>
          <w:p w14:paraId="78F7E0D5"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Nocturne</w:t>
            </w:r>
          </w:p>
        </w:tc>
      </w:tr>
      <w:tr w:rsidR="00D75D2E" w:rsidRPr="00420C1B" w14:paraId="33173958" w14:textId="77777777" w:rsidTr="00420C1B">
        <w:tc>
          <w:tcPr>
            <w:tcW w:w="4361" w:type="dxa"/>
            <w:vMerge/>
            <w:shd w:val="clear" w:color="auto" w:fill="92D050"/>
          </w:tcPr>
          <w:p w14:paraId="3D6FC63E" w14:textId="77777777" w:rsidR="00221268" w:rsidRPr="00420C1B" w:rsidRDefault="00221268" w:rsidP="00420C1B">
            <w:pPr>
              <w:spacing w:after="0" w:line="240" w:lineRule="auto"/>
              <w:jc w:val="both"/>
              <w:rPr>
                <w:rFonts w:ascii="Times New Roman" w:hAnsi="Times New Roman"/>
              </w:rPr>
            </w:pPr>
          </w:p>
        </w:tc>
        <w:tc>
          <w:tcPr>
            <w:tcW w:w="2410" w:type="dxa"/>
            <w:shd w:val="clear" w:color="auto" w:fill="92D050"/>
          </w:tcPr>
          <w:p w14:paraId="04150DF2"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07h00 à 22h00</w:t>
            </w:r>
          </w:p>
        </w:tc>
        <w:tc>
          <w:tcPr>
            <w:tcW w:w="2441" w:type="dxa"/>
            <w:shd w:val="clear" w:color="auto" w:fill="92D050"/>
          </w:tcPr>
          <w:p w14:paraId="36C4B317"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22h00 à 07h00</w:t>
            </w:r>
          </w:p>
        </w:tc>
      </w:tr>
      <w:tr w:rsidR="00D75D2E" w:rsidRPr="00420C1B" w14:paraId="79561A36" w14:textId="77777777" w:rsidTr="00420C1B">
        <w:tc>
          <w:tcPr>
            <w:tcW w:w="4361" w:type="dxa"/>
            <w:shd w:val="clear" w:color="auto" w:fill="auto"/>
          </w:tcPr>
          <w:p w14:paraId="1CFFC375"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Résidentiel, institutionnel, d’enseignement</w:t>
            </w:r>
          </w:p>
        </w:tc>
        <w:tc>
          <w:tcPr>
            <w:tcW w:w="2410" w:type="dxa"/>
            <w:shd w:val="clear" w:color="auto" w:fill="auto"/>
          </w:tcPr>
          <w:p w14:paraId="1AFA14DB"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55</w:t>
            </w:r>
          </w:p>
        </w:tc>
        <w:tc>
          <w:tcPr>
            <w:tcW w:w="2441" w:type="dxa"/>
            <w:shd w:val="clear" w:color="auto" w:fill="auto"/>
          </w:tcPr>
          <w:p w14:paraId="06FED5A0"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45</w:t>
            </w:r>
          </w:p>
        </w:tc>
      </w:tr>
      <w:tr w:rsidR="00D75D2E" w:rsidRPr="00420C1B" w14:paraId="5161E061" w14:textId="77777777" w:rsidTr="00420C1B">
        <w:trPr>
          <w:trHeight w:val="248"/>
        </w:trPr>
        <w:tc>
          <w:tcPr>
            <w:tcW w:w="4361" w:type="dxa"/>
            <w:shd w:val="clear" w:color="auto" w:fill="auto"/>
          </w:tcPr>
          <w:p w14:paraId="77388792"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 xml:space="preserve">Industriel, commercial </w:t>
            </w:r>
          </w:p>
        </w:tc>
        <w:tc>
          <w:tcPr>
            <w:tcW w:w="2410" w:type="dxa"/>
            <w:shd w:val="clear" w:color="auto" w:fill="auto"/>
          </w:tcPr>
          <w:p w14:paraId="4EB5D2EA"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70</w:t>
            </w:r>
          </w:p>
        </w:tc>
        <w:tc>
          <w:tcPr>
            <w:tcW w:w="2441" w:type="dxa"/>
            <w:shd w:val="clear" w:color="auto" w:fill="auto"/>
          </w:tcPr>
          <w:p w14:paraId="306943FC" w14:textId="77777777" w:rsidR="00221268" w:rsidRPr="00420C1B" w:rsidRDefault="00221268" w:rsidP="00420C1B">
            <w:pPr>
              <w:spacing w:after="0" w:line="240" w:lineRule="auto"/>
              <w:jc w:val="both"/>
              <w:rPr>
                <w:rFonts w:ascii="Times New Roman" w:hAnsi="Times New Roman"/>
              </w:rPr>
            </w:pPr>
            <w:r w:rsidRPr="00420C1B">
              <w:rPr>
                <w:rFonts w:ascii="Times New Roman" w:hAnsi="Times New Roman"/>
              </w:rPr>
              <w:t>70</w:t>
            </w:r>
          </w:p>
        </w:tc>
      </w:tr>
    </w:tbl>
    <w:p w14:paraId="32E9CE2B" w14:textId="68F4DA7E" w:rsidR="00221268" w:rsidRDefault="00221268" w:rsidP="00221268">
      <w:pPr>
        <w:spacing w:after="0" w:line="240" w:lineRule="auto"/>
        <w:jc w:val="both"/>
        <w:rPr>
          <w:rFonts w:ascii="Times New Roman" w:eastAsia="Times New Roman" w:hAnsi="Times New Roman"/>
          <w:i/>
          <w:lang w:eastAsia="fr-FR"/>
        </w:rPr>
      </w:pPr>
      <w:r w:rsidRPr="00FB3D81">
        <w:rPr>
          <w:rFonts w:ascii="Times New Roman" w:eastAsia="Times New Roman" w:hAnsi="Times New Roman"/>
          <w:i/>
          <w:lang w:eastAsia="fr-FR"/>
        </w:rPr>
        <w:t>Source : Directives Environnement Hygiène et Santé générales de la SFI</w:t>
      </w:r>
    </w:p>
    <w:p w14:paraId="146EFACE" w14:textId="00985AF3" w:rsidR="00963510" w:rsidRDefault="00963510" w:rsidP="00221268">
      <w:pPr>
        <w:spacing w:after="0" w:line="240" w:lineRule="auto"/>
        <w:jc w:val="both"/>
        <w:rPr>
          <w:rFonts w:ascii="Times New Roman" w:eastAsia="Times New Roman" w:hAnsi="Times New Roman"/>
          <w:i/>
          <w:lang w:eastAsia="fr-FR"/>
        </w:rPr>
      </w:pPr>
    </w:p>
    <w:p w14:paraId="198180F4" w14:textId="26422022" w:rsidR="001C1F09" w:rsidRPr="001C1F09" w:rsidRDefault="001C1F09" w:rsidP="00215867">
      <w:pPr>
        <w:numPr>
          <w:ilvl w:val="0"/>
          <w:numId w:val="148"/>
        </w:numPr>
        <w:spacing w:after="0" w:line="20" w:lineRule="atLeast"/>
        <w:ind w:left="714" w:hanging="357"/>
        <w:jc w:val="both"/>
        <w:rPr>
          <w:rFonts w:ascii="Times New Roman" w:eastAsia="Times New Roman" w:hAnsi="Times New Roman"/>
          <w:b/>
          <w:bCs/>
          <w:i/>
          <w:sz w:val="24"/>
          <w:szCs w:val="24"/>
          <w:lang w:val="fr-BE" w:eastAsia="fr-FR"/>
        </w:rPr>
      </w:pPr>
      <w:r w:rsidRPr="001C1F09">
        <w:rPr>
          <w:rFonts w:ascii="Times New Roman" w:eastAsia="Times New Roman" w:hAnsi="Times New Roman"/>
          <w:b/>
          <w:bCs/>
          <w:i/>
          <w:sz w:val="24"/>
          <w:szCs w:val="24"/>
          <w:lang w:val="fr-BE" w:eastAsia="fr-FR"/>
        </w:rPr>
        <w:t>Directives du groupe de la Banque mondiale en matière d’environnement, santé et de sécurité (directive HS) – Lignes de transmission et distribution électrique, 2007)</w:t>
      </w:r>
      <w:r w:rsidR="00F66749">
        <w:rPr>
          <w:rStyle w:val="Appelnotedebasdep"/>
          <w:rFonts w:ascii="Times New Roman" w:eastAsia="Times New Roman" w:hAnsi="Times New Roman"/>
          <w:b/>
          <w:bCs/>
          <w:i/>
          <w:sz w:val="24"/>
          <w:szCs w:val="24"/>
          <w:lang w:val="fr-BE" w:eastAsia="fr-FR"/>
        </w:rPr>
        <w:footnoteReference w:id="6"/>
      </w:r>
    </w:p>
    <w:p w14:paraId="3221D541" w14:textId="77777777" w:rsidR="00F66749" w:rsidRDefault="00F66749" w:rsidP="00F66749">
      <w:pPr>
        <w:spacing w:after="0" w:line="240" w:lineRule="auto"/>
        <w:jc w:val="both"/>
      </w:pPr>
    </w:p>
    <w:p w14:paraId="6FE5D2E6" w14:textId="57AEC621" w:rsidR="00963510" w:rsidRPr="00215867" w:rsidRDefault="00F66749" w:rsidP="00215867">
      <w:pPr>
        <w:spacing w:after="0" w:line="276" w:lineRule="auto"/>
        <w:jc w:val="both"/>
        <w:rPr>
          <w:rFonts w:ascii="Times New Roman" w:hAnsi="Times New Roman"/>
        </w:rPr>
      </w:pPr>
      <w:r w:rsidRPr="00215867">
        <w:rPr>
          <w:rFonts w:ascii="Times New Roman" w:hAnsi="Times New Roman"/>
        </w:rPr>
        <w:t>Les Directives EHS pour le transport et la distribution d’électricité contiennent des renseignements concernant le transport de l’énergie entre une centrale de production et une sous-station qui fait partie du réseau de transport, ainsi que la distribution de l’électricité, à partir d’une sous-station, aux consommateurs des zones résidentielles, commerciales et industrielles. Les Directives EHS générales contiennent d’autres recommandations relatives à la gestion des problèmes environnementaux durant les phases de construction et de démantèlement des réseaux de transport et de distribution d’électricité. Parmi les exemples des impacts environnementaux, sanitaires et sécuritaires du transport et de la distribution d’électricité dont traitent les Directives EHS générales figurent :</w:t>
      </w:r>
    </w:p>
    <w:p w14:paraId="66F3B46E" w14:textId="2DD49126" w:rsidR="00F66749" w:rsidRPr="00215867" w:rsidRDefault="00F66749" w:rsidP="00215867">
      <w:pPr>
        <w:spacing w:after="0" w:line="276" w:lineRule="auto"/>
        <w:jc w:val="both"/>
        <w:rPr>
          <w:rFonts w:ascii="Times New Roman" w:hAnsi="Times New Roman"/>
        </w:rPr>
      </w:pPr>
    </w:p>
    <w:p w14:paraId="42C5F2D1" w14:textId="77777777" w:rsidR="00F66749" w:rsidRPr="00215867" w:rsidRDefault="00F66749" w:rsidP="00215867">
      <w:pPr>
        <w:pStyle w:val="Paragraphedeliste"/>
        <w:numPr>
          <w:ilvl w:val="0"/>
          <w:numId w:val="147"/>
        </w:numPr>
        <w:spacing w:after="0" w:line="276" w:lineRule="auto"/>
        <w:jc w:val="both"/>
        <w:rPr>
          <w:rFonts w:ascii="Times New Roman" w:eastAsia="Times New Roman" w:hAnsi="Times New Roman"/>
          <w:i/>
          <w:lang w:eastAsia="fr-FR"/>
        </w:rPr>
      </w:pPr>
      <w:r w:rsidRPr="00215867">
        <w:rPr>
          <w:rFonts w:ascii="Times New Roman" w:hAnsi="Times New Roman"/>
        </w:rPr>
        <w:t xml:space="preserve">la production de déchets par les chantiers de construction ; </w:t>
      </w:r>
    </w:p>
    <w:p w14:paraId="4ED1319A" w14:textId="1A667DDB" w:rsidR="00F66749" w:rsidRPr="00215867" w:rsidRDefault="00F66749" w:rsidP="00215867">
      <w:pPr>
        <w:pStyle w:val="Paragraphedeliste"/>
        <w:numPr>
          <w:ilvl w:val="0"/>
          <w:numId w:val="147"/>
        </w:numPr>
        <w:spacing w:after="0" w:line="276" w:lineRule="auto"/>
        <w:jc w:val="both"/>
        <w:rPr>
          <w:rFonts w:ascii="Times New Roman" w:eastAsia="Times New Roman" w:hAnsi="Times New Roman"/>
          <w:i/>
          <w:lang w:eastAsia="fr-FR"/>
        </w:rPr>
      </w:pPr>
      <w:r w:rsidRPr="00215867">
        <w:rPr>
          <w:rFonts w:ascii="Times New Roman" w:hAnsi="Times New Roman"/>
        </w:rPr>
        <w:t>l’érosion du sol et la formation des sédiments dans les zones d’approvisionnement en matériaux, ainsi que dans le cadre des activités de préparation du site ;</w:t>
      </w:r>
    </w:p>
    <w:p w14:paraId="103F21BA" w14:textId="77777777" w:rsidR="00F66749" w:rsidRPr="00215867" w:rsidRDefault="00F66749" w:rsidP="00215867">
      <w:pPr>
        <w:pStyle w:val="Paragraphedeliste"/>
        <w:numPr>
          <w:ilvl w:val="0"/>
          <w:numId w:val="147"/>
        </w:numPr>
        <w:spacing w:after="0" w:line="276" w:lineRule="auto"/>
        <w:jc w:val="both"/>
        <w:rPr>
          <w:rFonts w:ascii="Times New Roman" w:eastAsia="Times New Roman" w:hAnsi="Times New Roman"/>
          <w:i/>
          <w:lang w:eastAsia="fr-FR"/>
        </w:rPr>
      </w:pPr>
      <w:r w:rsidRPr="00215867">
        <w:rPr>
          <w:rFonts w:ascii="Times New Roman" w:hAnsi="Times New Roman"/>
        </w:rPr>
        <w:t xml:space="preserve">les poussières diffuses et autres émissions (dues par exemple à la circulation routière, aux activités de défrichement et au stockage de matériaux) ; </w:t>
      </w:r>
    </w:p>
    <w:p w14:paraId="7E1C658B" w14:textId="0A5F5EB6" w:rsidR="00F66749" w:rsidRPr="00215867" w:rsidRDefault="00F66749" w:rsidP="00215867">
      <w:pPr>
        <w:pStyle w:val="Paragraphedeliste"/>
        <w:numPr>
          <w:ilvl w:val="0"/>
          <w:numId w:val="147"/>
        </w:numPr>
        <w:spacing w:after="0" w:line="276" w:lineRule="auto"/>
        <w:jc w:val="both"/>
        <w:rPr>
          <w:rFonts w:ascii="Times New Roman" w:eastAsia="Times New Roman" w:hAnsi="Times New Roman"/>
          <w:i/>
          <w:lang w:eastAsia="fr-FR"/>
        </w:rPr>
      </w:pPr>
      <w:r w:rsidRPr="00215867">
        <w:rPr>
          <w:rFonts w:ascii="Times New Roman" w:hAnsi="Times New Roman"/>
        </w:rPr>
        <w:t xml:space="preserve">les nuisances sonores dues aux engins / l’utilisation de matériel lourd;et le bruit généré par les camions ; et  </w:t>
      </w:r>
    </w:p>
    <w:p w14:paraId="6656EE1C" w14:textId="2DC7B227" w:rsidR="00F66749" w:rsidRPr="00F66749" w:rsidRDefault="00F66749" w:rsidP="00215867">
      <w:pPr>
        <w:pStyle w:val="Paragraphedeliste"/>
        <w:numPr>
          <w:ilvl w:val="0"/>
          <w:numId w:val="147"/>
        </w:numPr>
        <w:spacing w:after="0" w:line="276" w:lineRule="auto"/>
        <w:jc w:val="both"/>
        <w:rPr>
          <w:rFonts w:ascii="Times New Roman" w:eastAsia="Times New Roman" w:hAnsi="Times New Roman"/>
          <w:i/>
          <w:lang w:eastAsia="fr-FR"/>
        </w:rPr>
      </w:pPr>
      <w:r w:rsidRPr="00215867">
        <w:rPr>
          <w:rFonts w:ascii="Times New Roman" w:hAnsi="Times New Roman"/>
        </w:rPr>
        <w:t>le risque de déversement de matières dangereuses et d’hydrocarbures suite à l’utilisation de matériel lourd et du ravitaillement en carburant.</w:t>
      </w:r>
    </w:p>
    <w:p w14:paraId="29F15805" w14:textId="77777777" w:rsidR="001C1F09" w:rsidRPr="001C1F09" w:rsidRDefault="001C1F09" w:rsidP="00221268">
      <w:pPr>
        <w:spacing w:after="0" w:line="240" w:lineRule="auto"/>
        <w:jc w:val="both"/>
        <w:rPr>
          <w:rFonts w:ascii="Times New Roman" w:eastAsia="Times New Roman" w:hAnsi="Times New Roman"/>
          <w:lang w:eastAsia="fr-FR"/>
        </w:rPr>
      </w:pPr>
    </w:p>
    <w:p w14:paraId="4E9714CC" w14:textId="27A0BBD0" w:rsidR="00221268" w:rsidRPr="00D75D2E" w:rsidRDefault="00221268" w:rsidP="008C79F0">
      <w:pPr>
        <w:pStyle w:val="Paragraphedeliste"/>
        <w:keepNext/>
        <w:keepLines/>
        <w:numPr>
          <w:ilvl w:val="1"/>
          <w:numId w:val="54"/>
        </w:numPr>
        <w:tabs>
          <w:tab w:val="left" w:pos="851"/>
        </w:tabs>
        <w:spacing w:after="0" w:line="240" w:lineRule="auto"/>
        <w:outlineLvl w:val="1"/>
        <w:rPr>
          <w:rFonts w:ascii="Times New Roman" w:eastAsia="Times New Roman" w:hAnsi="Times New Roman"/>
          <w:b/>
          <w:sz w:val="24"/>
          <w:szCs w:val="24"/>
        </w:rPr>
      </w:pPr>
      <w:bookmarkStart w:id="358" w:name="_Toc490930604"/>
      <w:bookmarkStart w:id="359" w:name="_Toc495426705"/>
      <w:bookmarkStart w:id="360" w:name="_Toc496048529"/>
      <w:bookmarkStart w:id="361" w:name="_Toc508376554"/>
      <w:bookmarkStart w:id="362" w:name="_Toc509309550"/>
      <w:bookmarkStart w:id="363" w:name="_Toc29152115"/>
      <w:bookmarkStart w:id="364" w:name="_Toc103685614"/>
      <w:r w:rsidRPr="00D75D2E">
        <w:rPr>
          <w:rFonts w:ascii="Times New Roman" w:eastAsia="Times New Roman" w:hAnsi="Times New Roman"/>
          <w:b/>
          <w:sz w:val="24"/>
          <w:szCs w:val="24"/>
        </w:rPr>
        <w:t>Cadre institutionnel de gestion environnementale et sociale</w:t>
      </w:r>
      <w:bookmarkEnd w:id="358"/>
      <w:bookmarkEnd w:id="359"/>
      <w:bookmarkEnd w:id="360"/>
      <w:bookmarkEnd w:id="361"/>
      <w:bookmarkEnd w:id="362"/>
      <w:bookmarkEnd w:id="363"/>
      <w:bookmarkEnd w:id="364"/>
    </w:p>
    <w:p w14:paraId="1505B366" w14:textId="77777777" w:rsidR="00221268" w:rsidRPr="00D75D2E" w:rsidRDefault="00221268" w:rsidP="00221268">
      <w:pPr>
        <w:spacing w:after="200" w:line="276" w:lineRule="auto"/>
        <w:rPr>
          <w:rFonts w:ascii="Times New Roman" w:eastAsia="Times New Roman" w:hAnsi="Times New Roman"/>
          <w:sz w:val="2"/>
          <w:lang w:eastAsia="fr-FR"/>
        </w:rPr>
      </w:pPr>
    </w:p>
    <w:p w14:paraId="16C00901" w14:textId="28573148" w:rsidR="00221268" w:rsidRPr="00D75D2E" w:rsidRDefault="00221268" w:rsidP="008C79F0">
      <w:pPr>
        <w:pStyle w:val="Titre31"/>
        <w:numPr>
          <w:ilvl w:val="2"/>
          <w:numId w:val="54"/>
        </w:numPr>
        <w:rPr>
          <w:rFonts w:eastAsia="Calibri"/>
          <w:u w:val="none"/>
        </w:rPr>
      </w:pPr>
      <w:bookmarkStart w:id="365" w:name="_Toc490930605"/>
      <w:bookmarkStart w:id="366" w:name="_Toc495426706"/>
      <w:bookmarkStart w:id="367" w:name="_Toc496048530"/>
      <w:bookmarkStart w:id="368" w:name="_Toc508376555"/>
      <w:bookmarkStart w:id="369" w:name="_Toc509309551"/>
      <w:bookmarkStart w:id="370" w:name="_Toc29152116"/>
      <w:bookmarkStart w:id="371" w:name="_Toc103685615"/>
      <w:r w:rsidRPr="00D75D2E">
        <w:rPr>
          <w:rFonts w:eastAsia="Calibri"/>
          <w:u w:val="none"/>
        </w:rPr>
        <w:t>Ministère de l’Environnement et Développement Durable (MEDD)</w:t>
      </w:r>
      <w:bookmarkEnd w:id="365"/>
      <w:bookmarkEnd w:id="366"/>
      <w:bookmarkEnd w:id="367"/>
      <w:bookmarkEnd w:id="368"/>
      <w:bookmarkEnd w:id="369"/>
      <w:bookmarkEnd w:id="370"/>
      <w:bookmarkEnd w:id="371"/>
    </w:p>
    <w:p w14:paraId="602620A3" w14:textId="77777777" w:rsidR="00221268" w:rsidRPr="00D75D2E" w:rsidRDefault="00221268" w:rsidP="005232A3">
      <w:pPr>
        <w:spacing w:before="120" w:after="120" w:line="240" w:lineRule="auto"/>
        <w:jc w:val="both"/>
        <w:rPr>
          <w:rFonts w:ascii="Times New Roman" w:hAnsi="Times New Roman"/>
          <w:sz w:val="24"/>
          <w:szCs w:val="24"/>
          <w:lang w:eastAsia="fr-FR"/>
        </w:rPr>
      </w:pPr>
      <w:r w:rsidRPr="00D75D2E">
        <w:rPr>
          <w:rFonts w:ascii="Times New Roman" w:hAnsi="Times New Roman"/>
          <w:sz w:val="24"/>
          <w:szCs w:val="24"/>
          <w:lang w:eastAsia="fr-FR"/>
        </w:rPr>
        <w:t xml:space="preserve">Le Ministère de l’Environnement </w:t>
      </w:r>
      <w:r w:rsidRPr="00D75D2E">
        <w:rPr>
          <w:rFonts w:ascii="Times New Roman" w:hAnsi="Times New Roman"/>
          <w:iCs/>
          <w:sz w:val="24"/>
          <w:szCs w:val="24"/>
          <w:lang w:eastAsia="fr-FR"/>
        </w:rPr>
        <w:t>et Développement Durable</w:t>
      </w:r>
      <w:r w:rsidRPr="00D75D2E">
        <w:rPr>
          <w:rFonts w:ascii="Times New Roman" w:hAnsi="Times New Roman"/>
          <w:sz w:val="24"/>
          <w:szCs w:val="24"/>
          <w:lang w:eastAsia="fr-FR"/>
        </w:rPr>
        <w:t xml:space="preserve"> (MEDD) prépare et met en œuvre la politique du Gouvernement dans les domaines de l’environnement et de la protection de la nature. A ce titre, il est directement responsable de la lutte contre les pollutions de toute nature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Le MEDD compte en son sein des Directions et des Cellules. Il s’agit de la Direction de la Gestion forestière, de la Direction de la Conservation de la nature, de la Direction de contrôle et de vérification interne (DCVI) pour la gestion et le suivi des activités aux postes de contrôle faunique et floristique, de la Direction du Développement Durable et de la Direction de l’Assainissement. D’autres structures sont rattachées au MEDD comme l’Institut Congolais de la Conservation de la Nature (ICCN) et l’Agence Congolaise de l’Environnement (ACE). </w:t>
      </w:r>
    </w:p>
    <w:p w14:paraId="31BEECAD" w14:textId="77777777" w:rsidR="00221268" w:rsidRPr="00D75D2E" w:rsidRDefault="00221268" w:rsidP="005232A3">
      <w:pPr>
        <w:spacing w:before="120" w:after="120" w:line="240" w:lineRule="auto"/>
        <w:jc w:val="both"/>
        <w:rPr>
          <w:rFonts w:ascii="Times New Roman" w:hAnsi="Times New Roman"/>
          <w:sz w:val="24"/>
          <w:szCs w:val="24"/>
          <w:lang w:eastAsia="fr-FR"/>
        </w:rPr>
      </w:pPr>
      <w:r w:rsidRPr="00D75D2E">
        <w:rPr>
          <w:rFonts w:ascii="Times New Roman" w:hAnsi="Times New Roman"/>
          <w:sz w:val="24"/>
          <w:szCs w:val="24"/>
          <w:lang w:eastAsia="fr-FR"/>
        </w:rPr>
        <w:t>Au niveau provincial, on note la Coordination Provinciale de l’Environnement (CPE) et la Coordination Urbaine de l’Environnement (CUE).</w:t>
      </w:r>
    </w:p>
    <w:p w14:paraId="048A6C10" w14:textId="77777777" w:rsidR="00221268" w:rsidRPr="00D75D2E" w:rsidRDefault="00221268" w:rsidP="005232A3">
      <w:pPr>
        <w:spacing w:before="120" w:after="120" w:line="240" w:lineRule="auto"/>
        <w:jc w:val="both"/>
        <w:rPr>
          <w:rFonts w:ascii="Times New Roman" w:hAnsi="Times New Roman"/>
          <w:sz w:val="24"/>
          <w:szCs w:val="24"/>
          <w:lang w:eastAsia="fr-FR"/>
        </w:rPr>
      </w:pPr>
      <w:r w:rsidRPr="00D75D2E">
        <w:rPr>
          <w:rFonts w:ascii="Times New Roman" w:hAnsi="Times New Roman"/>
          <w:sz w:val="24"/>
          <w:szCs w:val="24"/>
          <w:lang w:eastAsia="fr-FR"/>
        </w:rPr>
        <w:t xml:space="preserve">Dans la conduite et le suivi des procédures des EIES, le MEDD s’appuie sur l’ACE. Celle-ci constitue l’organe direct de mise en œuvre de la politique de l’évaluation des impacts environnementaux et sociaux des activités humaines et de développement en RDC. </w:t>
      </w:r>
    </w:p>
    <w:p w14:paraId="4D6052AA" w14:textId="77777777" w:rsidR="00221268" w:rsidRPr="00D75D2E" w:rsidRDefault="00221268" w:rsidP="005232A3">
      <w:pPr>
        <w:spacing w:before="120" w:after="120" w:line="240" w:lineRule="auto"/>
        <w:jc w:val="both"/>
        <w:rPr>
          <w:rFonts w:ascii="Times New Roman" w:hAnsi="Times New Roman"/>
          <w:b/>
          <w:i/>
          <w:lang w:eastAsia="fr-FR"/>
        </w:rPr>
      </w:pPr>
      <w:r w:rsidRPr="00D75D2E">
        <w:rPr>
          <w:rFonts w:ascii="Times New Roman" w:hAnsi="Times New Roman"/>
          <w:b/>
          <w:i/>
          <w:sz w:val="24"/>
          <w:szCs w:val="24"/>
          <w:lang w:eastAsia="fr-FR"/>
        </w:rPr>
        <w:t>Dans la mise en œuvre du projet, le MEDD assure à travers l’ACE la conduite et le suivi des procédures de l’EIES.</w:t>
      </w:r>
    </w:p>
    <w:p w14:paraId="03502E16" w14:textId="2F837922" w:rsidR="00221268" w:rsidRPr="00D75D2E" w:rsidRDefault="00221268" w:rsidP="008C79F0">
      <w:pPr>
        <w:pStyle w:val="Titre31"/>
        <w:numPr>
          <w:ilvl w:val="2"/>
          <w:numId w:val="54"/>
        </w:numPr>
        <w:spacing w:before="120" w:after="120"/>
        <w:rPr>
          <w:rFonts w:eastAsia="Calibri"/>
          <w:u w:val="none"/>
        </w:rPr>
      </w:pPr>
      <w:bookmarkStart w:id="372" w:name="_Toc490930606"/>
      <w:bookmarkStart w:id="373" w:name="_Toc495426707"/>
      <w:bookmarkStart w:id="374" w:name="_Toc496048531"/>
      <w:bookmarkStart w:id="375" w:name="_Toc508376556"/>
      <w:bookmarkStart w:id="376" w:name="_Toc509309552"/>
      <w:bookmarkStart w:id="377" w:name="_Toc29152117"/>
      <w:bookmarkStart w:id="378" w:name="_Toc103685616"/>
      <w:r w:rsidRPr="00D75D2E">
        <w:rPr>
          <w:rFonts w:eastAsia="Calibri"/>
          <w:u w:val="none"/>
        </w:rPr>
        <w:t>Agence Congolaise de l’Environnement (ACE)</w:t>
      </w:r>
      <w:bookmarkEnd w:id="372"/>
      <w:bookmarkEnd w:id="373"/>
      <w:bookmarkEnd w:id="374"/>
      <w:bookmarkEnd w:id="375"/>
      <w:bookmarkEnd w:id="376"/>
      <w:bookmarkEnd w:id="377"/>
      <w:bookmarkEnd w:id="378"/>
    </w:p>
    <w:p w14:paraId="3604ABCE" w14:textId="77777777" w:rsidR="00221268" w:rsidRPr="00D75D2E" w:rsidRDefault="00221268" w:rsidP="005232A3">
      <w:pPr>
        <w:spacing w:before="120" w:after="120" w:line="240" w:lineRule="auto"/>
        <w:jc w:val="both"/>
        <w:rPr>
          <w:rFonts w:ascii="Times New Roman" w:hAnsi="Times New Roman"/>
          <w:sz w:val="24"/>
          <w:szCs w:val="26"/>
          <w:lang w:eastAsia="fr-FR"/>
        </w:rPr>
      </w:pPr>
      <w:r w:rsidRPr="00D75D2E">
        <w:rPr>
          <w:rFonts w:ascii="Times New Roman" w:hAnsi="Times New Roman"/>
          <w:sz w:val="24"/>
          <w:szCs w:val="26"/>
          <w:lang w:eastAsia="fr-FR"/>
        </w:rPr>
        <w:t xml:space="preserve">L’Agence a pour mission l’évaluation et l’approbation de l’ensemble des études environnementales et sociales ainsi que le suivi de leur mise en œuvre. </w:t>
      </w:r>
    </w:p>
    <w:p w14:paraId="6C3FBEF3" w14:textId="77777777" w:rsidR="00221268" w:rsidRPr="00D75D2E" w:rsidRDefault="00221268" w:rsidP="005232A3">
      <w:pPr>
        <w:spacing w:before="120" w:after="120" w:line="240" w:lineRule="auto"/>
        <w:jc w:val="both"/>
        <w:rPr>
          <w:rFonts w:ascii="Times New Roman" w:hAnsi="Times New Roman"/>
          <w:sz w:val="24"/>
          <w:szCs w:val="26"/>
          <w:lang w:eastAsia="fr-FR"/>
        </w:rPr>
      </w:pPr>
      <w:r w:rsidRPr="00D75D2E">
        <w:rPr>
          <w:rFonts w:ascii="Times New Roman" w:hAnsi="Times New Roman"/>
          <w:sz w:val="24"/>
          <w:szCs w:val="26"/>
          <w:lang w:eastAsia="fr-FR"/>
        </w:rPr>
        <w:t>Sans préjudice des dispositions de l’article 71 de la Loi n°11/009 du 09 juillet 2011 portant principes fondamentaux relatifs à la protection de l’environnement, elle veille à la prise en compte de la protection de l’environnement dans l’exécution de tout projet de développement, d’infrastructures ou d’exploitation de toute activité industrielle, commerciale, agricole, forestière, minière, de télécommunication ou autre, susceptible d’avoir un impact sur l’environnement.</w:t>
      </w:r>
    </w:p>
    <w:p w14:paraId="648D5B33" w14:textId="77777777" w:rsidR="00221268" w:rsidRPr="00D75D2E" w:rsidRDefault="00221268" w:rsidP="005232A3">
      <w:pPr>
        <w:spacing w:before="120" w:after="120" w:line="240" w:lineRule="auto"/>
        <w:jc w:val="both"/>
        <w:rPr>
          <w:rFonts w:ascii="Times New Roman" w:hAnsi="Times New Roman"/>
          <w:b/>
          <w:sz w:val="24"/>
          <w:szCs w:val="26"/>
          <w:lang w:eastAsia="fr-FR"/>
        </w:rPr>
      </w:pPr>
      <w:r w:rsidRPr="00D75D2E">
        <w:rPr>
          <w:rFonts w:ascii="Times New Roman" w:hAnsi="Times New Roman"/>
          <w:b/>
          <w:sz w:val="24"/>
          <w:szCs w:val="26"/>
          <w:lang w:eastAsia="fr-FR"/>
        </w:rPr>
        <w:t>L’ACE a pour mission :</w:t>
      </w:r>
    </w:p>
    <w:p w14:paraId="1DF09529"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6"/>
          <w:lang w:eastAsia="fr-FR"/>
        </w:rPr>
      </w:pPr>
      <w:r w:rsidRPr="00D75D2E">
        <w:rPr>
          <w:rFonts w:ascii="Times New Roman" w:hAnsi="Times New Roman"/>
          <w:sz w:val="24"/>
          <w:szCs w:val="26"/>
          <w:lang w:eastAsia="fr-FR"/>
        </w:rPr>
        <w:t>la validation des rapports d’Etudes d'Impact Environnemental et Social (EIES), des Diagnostics d'Impact Environnemental et Social (DIES), des Plans de Gestion Environnementale et Sociale (PGES) et des Plans de Mise en Conformité Environnementale et Sociale (PMCES) ;</w:t>
      </w:r>
    </w:p>
    <w:p w14:paraId="3197135F" w14:textId="77777777" w:rsidR="00221268" w:rsidRPr="00823AB3" w:rsidRDefault="00221268" w:rsidP="008C79F0">
      <w:pPr>
        <w:numPr>
          <w:ilvl w:val="0"/>
          <w:numId w:val="23"/>
        </w:numPr>
        <w:suppressAutoHyphens/>
        <w:spacing w:after="0" w:line="240" w:lineRule="auto"/>
        <w:ind w:left="567"/>
        <w:jc w:val="both"/>
        <w:rPr>
          <w:rFonts w:ascii="Times New Roman" w:hAnsi="Times New Roman"/>
          <w:sz w:val="24"/>
          <w:szCs w:val="26"/>
          <w:lang w:eastAsia="fr-FR"/>
        </w:rPr>
      </w:pPr>
      <w:r w:rsidRPr="00D75D2E">
        <w:rPr>
          <w:rFonts w:ascii="Times New Roman" w:hAnsi="Times New Roman"/>
          <w:sz w:val="24"/>
          <w:szCs w:val="26"/>
          <w:lang w:eastAsia="fr-FR"/>
        </w:rPr>
        <w:t xml:space="preserve">le suivi administratif et </w:t>
      </w:r>
      <w:r w:rsidRPr="00823AB3">
        <w:rPr>
          <w:rFonts w:ascii="Times New Roman" w:hAnsi="Times New Roman"/>
          <w:sz w:val="24"/>
          <w:szCs w:val="26"/>
          <w:lang w:eastAsia="fr-FR"/>
        </w:rPr>
        <w:t xml:space="preserve">technique des projets en cours d'exécution (analyse des rapports de terrain, inspection et audit environnemental). </w:t>
      </w:r>
    </w:p>
    <w:p w14:paraId="0BCEF650" w14:textId="77777777" w:rsidR="00221268" w:rsidRPr="00823AB3" w:rsidRDefault="00221268" w:rsidP="008C79F0">
      <w:pPr>
        <w:numPr>
          <w:ilvl w:val="0"/>
          <w:numId w:val="23"/>
        </w:numPr>
        <w:suppressAutoHyphens/>
        <w:spacing w:after="0" w:line="240" w:lineRule="auto"/>
        <w:ind w:left="567"/>
        <w:jc w:val="both"/>
        <w:rPr>
          <w:rFonts w:ascii="Times New Roman" w:hAnsi="Times New Roman"/>
          <w:sz w:val="24"/>
          <w:szCs w:val="26"/>
          <w:lang w:eastAsia="fr-FR"/>
        </w:rPr>
      </w:pPr>
      <w:r w:rsidRPr="00215867">
        <w:rPr>
          <w:rFonts w:ascii="Times New Roman" w:hAnsi="Times New Roman"/>
          <w:sz w:val="24"/>
          <w:szCs w:val="26"/>
          <w:lang w:eastAsia="fr-FR"/>
        </w:rPr>
        <w:t>L’ACE dispose des compétences humaines requises dans le domaine des Evaluations et Etudes d’Impacts sur l’Environnement, pour mener à bien sa mission</w:t>
      </w:r>
      <w:r w:rsidRPr="00823AB3">
        <w:rPr>
          <w:rFonts w:ascii="Times New Roman" w:hAnsi="Times New Roman"/>
          <w:sz w:val="24"/>
          <w:szCs w:val="26"/>
          <w:lang w:eastAsia="fr-FR"/>
        </w:rPr>
        <w:t xml:space="preserve">. Toutefois, ses capacités matérielles et financières sont relativement réduites pour lui permettre d’assurer correctement l’accomplissement de sa mission. </w:t>
      </w:r>
    </w:p>
    <w:p w14:paraId="1DCC0387" w14:textId="77777777" w:rsidR="00221268" w:rsidRPr="00D75D2E" w:rsidRDefault="00221268" w:rsidP="00E737B4">
      <w:pPr>
        <w:spacing w:after="0" w:line="240" w:lineRule="auto"/>
        <w:ind w:left="720"/>
        <w:contextualSpacing/>
        <w:jc w:val="both"/>
        <w:rPr>
          <w:rFonts w:ascii="Times New Roman" w:hAnsi="Times New Roman"/>
          <w:sz w:val="24"/>
          <w:szCs w:val="26"/>
          <w:lang w:eastAsia="fr-FR"/>
        </w:rPr>
      </w:pPr>
    </w:p>
    <w:p w14:paraId="36B008D1" w14:textId="731B10CC" w:rsidR="00221268" w:rsidRPr="00E737B4" w:rsidRDefault="00221268" w:rsidP="00221268">
      <w:pPr>
        <w:spacing w:after="0" w:line="240" w:lineRule="auto"/>
        <w:jc w:val="both"/>
        <w:rPr>
          <w:rFonts w:ascii="Times New Roman" w:hAnsi="Times New Roman"/>
          <w:b/>
          <w:i/>
          <w:sz w:val="24"/>
          <w:lang w:eastAsia="fr-FR"/>
        </w:rPr>
      </w:pPr>
      <w:r w:rsidRPr="00E737B4">
        <w:rPr>
          <w:rFonts w:ascii="Times New Roman" w:hAnsi="Times New Roman"/>
          <w:b/>
          <w:i/>
          <w:sz w:val="24"/>
          <w:lang w:eastAsia="fr-FR"/>
        </w:rPr>
        <w:t>L’ACE valide le rapport d’Etude d'Impact Environnemental et Social (EIES)</w:t>
      </w:r>
      <w:r w:rsidR="00227EF6">
        <w:rPr>
          <w:rFonts w:ascii="Times New Roman" w:hAnsi="Times New Roman"/>
          <w:b/>
          <w:i/>
          <w:sz w:val="24"/>
          <w:lang w:eastAsia="fr-FR"/>
        </w:rPr>
        <w:t xml:space="preserve"> et délivre le certificat environnemental</w:t>
      </w:r>
      <w:r w:rsidRPr="00E737B4">
        <w:rPr>
          <w:rFonts w:ascii="Times New Roman" w:hAnsi="Times New Roman"/>
          <w:b/>
          <w:i/>
          <w:sz w:val="24"/>
          <w:lang w:eastAsia="fr-FR"/>
        </w:rPr>
        <w:t xml:space="preserve">, analyse le rapport de terrain, assure le suivi et l’audit environnemental. </w:t>
      </w:r>
    </w:p>
    <w:p w14:paraId="1A4F0B4D" w14:textId="77777777" w:rsidR="00221268" w:rsidRPr="00D75D2E" w:rsidRDefault="00221268" w:rsidP="00221268">
      <w:pPr>
        <w:spacing w:after="0" w:line="240" w:lineRule="auto"/>
        <w:jc w:val="both"/>
        <w:rPr>
          <w:rFonts w:ascii="Times New Roman" w:hAnsi="Times New Roman"/>
          <w:b/>
          <w:i/>
          <w:lang w:eastAsia="fr-FR"/>
        </w:rPr>
      </w:pPr>
    </w:p>
    <w:p w14:paraId="6571467D" w14:textId="026CA307" w:rsidR="00221268" w:rsidRPr="00E737B4" w:rsidRDefault="00221268" w:rsidP="008C79F0">
      <w:pPr>
        <w:pStyle w:val="Titre31"/>
        <w:numPr>
          <w:ilvl w:val="2"/>
          <w:numId w:val="54"/>
        </w:numPr>
      </w:pPr>
      <w:bookmarkStart w:id="379" w:name="_Toc425004130"/>
      <w:bookmarkStart w:id="380" w:name="_Toc485127810"/>
      <w:bookmarkStart w:id="381" w:name="_Toc103685617"/>
      <w:bookmarkEnd w:id="379"/>
      <w:r w:rsidRPr="00D75D2E">
        <w:rPr>
          <w:rFonts w:eastAsia="Calibri"/>
          <w:u w:val="none"/>
        </w:rPr>
        <w:t>Ministère d</w:t>
      </w:r>
      <w:bookmarkEnd w:id="380"/>
      <w:r w:rsidRPr="00D75D2E">
        <w:rPr>
          <w:rFonts w:eastAsia="Calibri"/>
          <w:u w:val="none"/>
        </w:rPr>
        <w:t>es Ressources Hydrauliques et de l’Electricité</w:t>
      </w:r>
      <w:bookmarkStart w:id="382" w:name="_Toc519050477"/>
      <w:bookmarkEnd w:id="381"/>
      <w:r w:rsidRPr="00D75D2E">
        <w:rPr>
          <w:rFonts w:eastAsia="Calibri"/>
          <w:u w:val="none"/>
        </w:rPr>
        <w:t xml:space="preserve">  </w:t>
      </w:r>
      <w:bookmarkEnd w:id="382"/>
    </w:p>
    <w:p w14:paraId="45AA081F" w14:textId="77777777" w:rsidR="007C584E" w:rsidRPr="00D75D2E" w:rsidRDefault="007C584E" w:rsidP="007C584E">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La mise en œuvre du projet est coordonnée par le </w:t>
      </w:r>
      <w:r w:rsidRPr="00D75D2E">
        <w:rPr>
          <w:rFonts w:ascii="Times New Roman" w:hAnsi="Times New Roman"/>
          <w:b/>
          <w:sz w:val="24"/>
          <w:szCs w:val="24"/>
        </w:rPr>
        <w:t xml:space="preserve">Ministère Ressources Hydrauliques de l’électricité </w:t>
      </w:r>
      <w:r w:rsidRPr="00D75D2E">
        <w:rPr>
          <w:rFonts w:ascii="Times New Roman" w:hAnsi="Times New Roman"/>
          <w:spacing w:val="4"/>
          <w:sz w:val="24"/>
          <w:szCs w:val="24"/>
        </w:rPr>
        <w:t>à travers l’</w:t>
      </w:r>
      <w:r w:rsidRPr="00D75D2E">
        <w:rPr>
          <w:rFonts w:ascii="Times New Roman" w:hAnsi="Times New Roman"/>
          <w:bCs/>
          <w:spacing w:val="-4"/>
          <w:sz w:val="24"/>
          <w:szCs w:val="24"/>
        </w:rPr>
        <w:t>Unit</w:t>
      </w:r>
      <w:r w:rsidRPr="00D75D2E">
        <w:rPr>
          <w:rFonts w:ascii="Times New Roman" w:eastAsia="Times New Roman" w:hAnsi="Times New Roman"/>
          <w:bCs/>
          <w:spacing w:val="-4"/>
          <w:sz w:val="24"/>
          <w:szCs w:val="24"/>
        </w:rPr>
        <w:t>é de Coordination et de Management des projets du Ministère</w:t>
      </w:r>
      <w:r w:rsidRPr="00D75D2E">
        <w:rPr>
          <w:rFonts w:ascii="Times New Roman" w:hAnsi="Times New Roman"/>
          <w:bCs/>
          <w:spacing w:val="-10"/>
          <w:sz w:val="24"/>
          <w:szCs w:val="24"/>
        </w:rPr>
        <w:t xml:space="preserve"> (UCM). </w:t>
      </w:r>
      <w:r w:rsidRPr="00D75D2E">
        <w:rPr>
          <w:rFonts w:ascii="Times New Roman" w:hAnsi="Times New Roman"/>
          <w:sz w:val="24"/>
          <w:szCs w:val="24"/>
        </w:rPr>
        <w:t>Dans la préparation du PGES, son rôle est d’informer les parties prenantes ; organiser le séminaire de restitution et de validation du PGES ; consulter la société civile pendant la mise en œuvre du PGES ; assurer la mise en œuvre de certaines mesures complémentaires à exécuter pour corriger des problèmes environnementaux et sociaux qui concernent l’espace couvert par la zone d’influence du projet.</w:t>
      </w:r>
    </w:p>
    <w:p w14:paraId="39583D05" w14:textId="3BD97529" w:rsidR="00221268" w:rsidRPr="00D75D2E" w:rsidRDefault="00221268" w:rsidP="008C79F0">
      <w:pPr>
        <w:pStyle w:val="Titre31"/>
        <w:numPr>
          <w:ilvl w:val="2"/>
          <w:numId w:val="54"/>
        </w:numPr>
        <w:ind w:left="1418" w:hanging="708"/>
        <w:rPr>
          <w:rFonts w:eastAsia="Calibri"/>
          <w:u w:val="none"/>
        </w:rPr>
      </w:pPr>
      <w:bookmarkStart w:id="383" w:name="_Toc485127813"/>
      <w:bookmarkStart w:id="384" w:name="_Toc519050478"/>
      <w:bookmarkStart w:id="385" w:name="_Toc103685618"/>
      <w:r w:rsidRPr="00D75D2E">
        <w:rPr>
          <w:rFonts w:eastAsia="Calibri"/>
          <w:u w:val="none"/>
        </w:rPr>
        <w:t>Autres ministères impliqués dans la gestion environnementale et sociale du projet</w:t>
      </w:r>
      <w:bookmarkEnd w:id="383"/>
      <w:bookmarkEnd w:id="384"/>
      <w:bookmarkEnd w:id="385"/>
    </w:p>
    <w:p w14:paraId="0929A909"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La gestion environnementale et sociale des activités du projet interpelle aussi les institutions suivantes : </w:t>
      </w:r>
    </w:p>
    <w:p w14:paraId="1E4664EF"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6"/>
          <w:lang w:eastAsia="fr-FR"/>
        </w:rPr>
      </w:pPr>
      <w:r w:rsidRPr="00D75D2E">
        <w:rPr>
          <w:rFonts w:ascii="Times New Roman" w:hAnsi="Times New Roman"/>
          <w:sz w:val="24"/>
          <w:szCs w:val="26"/>
          <w:lang w:eastAsia="fr-FR"/>
        </w:rPr>
        <w:t>le ministère en charge des mines qui assure la mise en œuvre et le suivi de la politique du Gouvernement dans le domaine des mines ; à ce titre, il délivre l’autorisation préalable sur tout projet de création, d’aménagement et/ou d’exploitation d’une zone d’emprunt ou d’une carrière de moellons et de caillasses ;</w:t>
      </w:r>
    </w:p>
    <w:p w14:paraId="0D9AF42D"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de la santé publique qui coordonne la lutte contre le VIH/SIDA, à travers le Programme National de Lutte contre le SIDA et les IST et la prise en charge des maladies respiratoires et des cas d’accident;</w:t>
      </w:r>
    </w:p>
    <w:p w14:paraId="0C96238A"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du plan à travers la mobilisation des ressources financières ;</w:t>
      </w:r>
    </w:p>
    <w:p w14:paraId="76DE19A8"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de l’Urbanisme et de l’Habitat qui s’occupe de l’aménagement de l’espace urbain en matière d’urbanisme et d’habitat, du respect strict des règles ;</w:t>
      </w:r>
    </w:p>
    <w:p w14:paraId="418B2889"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6"/>
          <w:lang w:eastAsia="fr-FR"/>
        </w:rPr>
      </w:pPr>
      <w:r w:rsidRPr="00D75D2E">
        <w:rPr>
          <w:rFonts w:ascii="Times New Roman" w:hAnsi="Times New Roman"/>
          <w:sz w:val="24"/>
          <w:szCs w:val="26"/>
          <w:lang w:eastAsia="fr-FR"/>
        </w:rPr>
        <w:t xml:space="preserve">le ministère des Affaires Sociales et le Ministère des Affaires Foncières à travers la mise à la disposition  de site de réinstallation ainsi que de mercuriale des prix pour l’indemnisation des populations affectées par le projet. </w:t>
      </w:r>
    </w:p>
    <w:p w14:paraId="129ED5D5"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de la justice qui interviendra dans le cas de la réinstallation involontaire du projet pour régler en dernier ressort les litiges qui n’ont pas trouvé de solution à l’amiable;</w:t>
      </w:r>
    </w:p>
    <w:p w14:paraId="727DF97C"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de l’agriculture, pêche, élevage et développement rural pour l’évaluation des actifs agricole impactés.</w:t>
      </w:r>
    </w:p>
    <w:p w14:paraId="65D8F139"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6"/>
          <w:lang w:eastAsia="fr-FR"/>
        </w:rPr>
        <w:t>le ministère des Infrastructures, des Travaux Publics et de la Reconstruction à travers la  conception, la construction, la modernisation, le développement, l’aménagement et l’entretien des infrastructures routières.</w:t>
      </w:r>
    </w:p>
    <w:p w14:paraId="4EAAF631"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 xml:space="preserve">le ministère du Genre, famille et enfant </w:t>
      </w:r>
    </w:p>
    <w:p w14:paraId="0FB39184" w14:textId="77777777" w:rsidR="00221268" w:rsidRPr="00D75D2E" w:rsidRDefault="00221268" w:rsidP="008C79F0">
      <w:pPr>
        <w:numPr>
          <w:ilvl w:val="0"/>
          <w:numId w:val="23"/>
        </w:numPr>
        <w:suppressAutoHyphens/>
        <w:spacing w:after="0" w:line="240" w:lineRule="auto"/>
        <w:ind w:left="567"/>
        <w:jc w:val="both"/>
        <w:rPr>
          <w:rFonts w:ascii="Times New Roman" w:hAnsi="Times New Roman"/>
          <w:sz w:val="24"/>
          <w:szCs w:val="24"/>
        </w:rPr>
      </w:pPr>
      <w:r w:rsidRPr="00D75D2E">
        <w:rPr>
          <w:rFonts w:ascii="Times New Roman" w:hAnsi="Times New Roman"/>
          <w:sz w:val="24"/>
          <w:szCs w:val="24"/>
        </w:rPr>
        <w:t>le ministère en charge de l’emploi </w:t>
      </w:r>
    </w:p>
    <w:p w14:paraId="76E23504" w14:textId="77777777" w:rsidR="00221268" w:rsidRPr="00D75D2E" w:rsidRDefault="00221268" w:rsidP="008C79F0">
      <w:pPr>
        <w:pStyle w:val="Titre31"/>
        <w:numPr>
          <w:ilvl w:val="2"/>
          <w:numId w:val="54"/>
        </w:numPr>
        <w:spacing w:before="120" w:after="120"/>
        <w:ind w:left="1418" w:hanging="709"/>
        <w:rPr>
          <w:rFonts w:eastAsia="Calibri"/>
          <w:u w:val="none"/>
        </w:rPr>
      </w:pPr>
      <w:bookmarkStart w:id="386" w:name="_Toc485127814"/>
      <w:bookmarkStart w:id="387" w:name="_Toc519050479"/>
      <w:bookmarkStart w:id="388" w:name="_Toc103685619"/>
      <w:r w:rsidRPr="00D75D2E">
        <w:rPr>
          <w:rFonts w:eastAsia="Calibri"/>
          <w:u w:val="none"/>
        </w:rPr>
        <w:t>Collectivités locales</w:t>
      </w:r>
      <w:bookmarkEnd w:id="386"/>
      <w:bookmarkEnd w:id="387"/>
      <w:bookmarkEnd w:id="388"/>
      <w:r w:rsidRPr="00D75D2E">
        <w:rPr>
          <w:rFonts w:eastAsia="Calibri"/>
          <w:u w:val="none"/>
        </w:rPr>
        <w:t> </w:t>
      </w:r>
    </w:p>
    <w:p w14:paraId="5F18BFE8" w14:textId="77777777" w:rsidR="00221268" w:rsidRPr="00D75D2E" w:rsidRDefault="00221268" w:rsidP="00E737B4">
      <w:pPr>
        <w:widowControl w:val="0"/>
        <w:kinsoku w:val="0"/>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ordonnances portant création et organisation des collectivités locales et des circonscriptions administratives attribuent des compétences aux collectivités en ce qui concerne la gestion de leur environnement (</w:t>
      </w:r>
      <w:r w:rsidRPr="00D75D2E">
        <w:rPr>
          <w:rFonts w:ascii="Times New Roman" w:eastAsia="Times New Roman" w:hAnsi="Times New Roman"/>
          <w:spacing w:val="1"/>
          <w:sz w:val="24"/>
          <w:szCs w:val="24"/>
          <w:lang w:eastAsia="fr-FR"/>
        </w:rPr>
        <w:t xml:space="preserve">décret-loi du 02 juillet 1998 portant organisation territoriale et administrative de la </w:t>
      </w:r>
      <w:r w:rsidRPr="00D75D2E">
        <w:rPr>
          <w:rFonts w:ascii="Times New Roman" w:eastAsia="Times New Roman" w:hAnsi="Times New Roman"/>
          <w:spacing w:val="5"/>
          <w:sz w:val="24"/>
          <w:szCs w:val="24"/>
          <w:lang w:eastAsia="fr-FR"/>
        </w:rPr>
        <w:t>République Démocratique du Congo)</w:t>
      </w:r>
      <w:r w:rsidRPr="00D75D2E">
        <w:rPr>
          <w:rFonts w:ascii="Times New Roman" w:eastAsia="Times New Roman" w:hAnsi="Times New Roman"/>
          <w:sz w:val="24"/>
          <w:szCs w:val="24"/>
          <w:lang w:eastAsia="fr-FR"/>
        </w:rPr>
        <w:t xml:space="preserve">. Selon ce décret, les entités </w:t>
      </w:r>
      <w:r w:rsidRPr="00D75D2E">
        <w:rPr>
          <w:rFonts w:ascii="Times New Roman" w:eastAsia="Times New Roman" w:hAnsi="Times New Roman"/>
          <w:spacing w:val="5"/>
          <w:sz w:val="24"/>
          <w:szCs w:val="24"/>
          <w:lang w:eastAsia="fr-FR"/>
        </w:rPr>
        <w:t xml:space="preserve">administratives décentralisées dotées de la personnalité </w:t>
      </w:r>
      <w:r w:rsidRPr="00D75D2E">
        <w:rPr>
          <w:rFonts w:ascii="Times New Roman" w:eastAsia="Times New Roman" w:hAnsi="Times New Roman"/>
          <w:spacing w:val="1"/>
          <w:sz w:val="24"/>
          <w:szCs w:val="24"/>
          <w:lang w:eastAsia="fr-FR"/>
        </w:rPr>
        <w:t>juridique</w:t>
      </w:r>
      <w:r w:rsidRPr="00D75D2E">
        <w:rPr>
          <w:rFonts w:ascii="Times New Roman" w:eastAsia="Times New Roman" w:hAnsi="Times New Roman"/>
          <w:sz w:val="24"/>
          <w:szCs w:val="24"/>
          <w:lang w:eastAsia="fr-FR"/>
        </w:rPr>
        <w:t xml:space="preserve"> sont </w:t>
      </w:r>
      <w:r w:rsidRPr="00D75D2E">
        <w:rPr>
          <w:rFonts w:ascii="Times New Roman" w:eastAsia="Times New Roman" w:hAnsi="Times New Roman"/>
          <w:spacing w:val="1"/>
          <w:sz w:val="24"/>
          <w:szCs w:val="24"/>
          <w:lang w:eastAsia="fr-FR"/>
        </w:rPr>
        <w:t xml:space="preserve">la province, la ville, le territoire et la commune. </w:t>
      </w:r>
      <w:r w:rsidRPr="00D75D2E">
        <w:rPr>
          <w:rFonts w:ascii="Times New Roman" w:eastAsia="Times New Roman" w:hAnsi="Times New Roman"/>
          <w:sz w:val="24"/>
          <w:szCs w:val="24"/>
          <w:lang w:eastAsia="fr-FR"/>
        </w:rPr>
        <w:t xml:space="preserve">Ce décret-loi établit la répartition des attributions spécifiques par secteur d’activité entre le pouvoir central et les </w:t>
      </w:r>
      <w:r w:rsidRPr="00D75D2E">
        <w:rPr>
          <w:rFonts w:ascii="Times New Roman" w:eastAsia="Times New Roman" w:hAnsi="Times New Roman"/>
          <w:spacing w:val="3"/>
          <w:sz w:val="24"/>
          <w:szCs w:val="24"/>
          <w:lang w:eastAsia="fr-FR"/>
        </w:rPr>
        <w:t xml:space="preserve">entités administratives décentralisées. Ces dernières se sont vues attribuées entre autres les compétences </w:t>
      </w:r>
      <w:r w:rsidRPr="00D75D2E">
        <w:rPr>
          <w:rFonts w:ascii="Times New Roman" w:eastAsia="Times New Roman" w:hAnsi="Times New Roman"/>
          <w:sz w:val="24"/>
          <w:szCs w:val="24"/>
          <w:lang w:eastAsia="fr-FR"/>
        </w:rPr>
        <w:t>environnementales suivantes :</w:t>
      </w:r>
    </w:p>
    <w:p w14:paraId="5386FF05"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la lutte anti-vectorielle et, particulièrement, la désinsectisation sous toutes ses formes ;</w:t>
      </w:r>
    </w:p>
    <w:p w14:paraId="7CF2578D"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 xml:space="preserve">la protection des sites classés installés dans les entités locales ainsi que celle des monuments ; </w:t>
      </w:r>
    </w:p>
    <w:p w14:paraId="7815BC46"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la sensibilisation de la population aux problèmes de l’hygiène du milieu ;</w:t>
      </w:r>
    </w:p>
    <w:p w14:paraId="74E4B39A"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la délivrance des permis d’exploitation et de contrôle des établissements dangereux, insalubres et incommodes de la catégorie III ;</w:t>
      </w:r>
    </w:p>
    <w:p w14:paraId="04CB03A0"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le drainage et le curage des collecteurs et égouts des eaux usées ;</w:t>
      </w:r>
    </w:p>
    <w:p w14:paraId="7B56BB28" w14:textId="77777777" w:rsidR="00221268" w:rsidRPr="00E737B4" w:rsidRDefault="00221268" w:rsidP="008C79F0">
      <w:pPr>
        <w:numPr>
          <w:ilvl w:val="0"/>
          <w:numId w:val="23"/>
        </w:numPr>
        <w:suppressAutoHyphens/>
        <w:spacing w:after="0" w:line="240" w:lineRule="auto"/>
        <w:ind w:left="567"/>
        <w:jc w:val="both"/>
        <w:rPr>
          <w:rFonts w:ascii="Times New Roman" w:hAnsi="Times New Roman"/>
          <w:sz w:val="24"/>
          <w:szCs w:val="24"/>
        </w:rPr>
      </w:pPr>
      <w:r w:rsidRPr="00E737B4">
        <w:rPr>
          <w:rFonts w:ascii="Times New Roman" w:hAnsi="Times New Roman"/>
          <w:sz w:val="24"/>
          <w:szCs w:val="24"/>
        </w:rPr>
        <w:t xml:space="preserve">le nettoiement, la collecte et l’évacuation des ordures ménagères et immondices. </w:t>
      </w:r>
    </w:p>
    <w:p w14:paraId="4956E9E9" w14:textId="77777777" w:rsidR="00221268" w:rsidRPr="00D75D2E" w:rsidRDefault="00221268" w:rsidP="00E737B4">
      <w:pPr>
        <w:widowControl w:val="0"/>
        <w:kinsoku w:val="0"/>
        <w:spacing w:before="120" w:after="120" w:line="240" w:lineRule="auto"/>
        <w:jc w:val="both"/>
        <w:rPr>
          <w:rFonts w:ascii="Times New Roman" w:hAnsi="Times New Roman"/>
          <w:sz w:val="24"/>
          <w:szCs w:val="24"/>
        </w:rPr>
      </w:pPr>
      <w:r w:rsidRPr="00D75D2E">
        <w:rPr>
          <w:rFonts w:ascii="Times New Roman" w:hAnsi="Times New Roman"/>
          <w:sz w:val="24"/>
          <w:szCs w:val="24"/>
        </w:rPr>
        <w:t>Il faut tout de même relever la faiblesse des capacités d’intervention et de gestion environnementale et sociales de ces collectivités, notamment en termes de suivi de la mise en œuvre des projets qui s’exécutent sur leur territoire.</w:t>
      </w:r>
    </w:p>
    <w:p w14:paraId="26587D91" w14:textId="1FD1AC2C" w:rsidR="00221268" w:rsidRPr="00D75D2E" w:rsidRDefault="00221268" w:rsidP="008C79F0">
      <w:pPr>
        <w:pStyle w:val="Titre31"/>
        <w:numPr>
          <w:ilvl w:val="2"/>
          <w:numId w:val="54"/>
        </w:numPr>
        <w:rPr>
          <w:rFonts w:eastAsia="Calibri"/>
          <w:u w:val="none"/>
        </w:rPr>
      </w:pPr>
      <w:bookmarkStart w:id="389" w:name="_Toc485127815"/>
      <w:bookmarkStart w:id="390" w:name="_Toc519050480"/>
      <w:bookmarkStart w:id="391" w:name="_Toc103685620"/>
      <w:r w:rsidRPr="00D75D2E">
        <w:rPr>
          <w:rFonts w:eastAsia="Calibri"/>
          <w:u w:val="none"/>
        </w:rPr>
        <w:t>Acteurs Non Gouvernementaux</w:t>
      </w:r>
      <w:bookmarkEnd w:id="389"/>
      <w:bookmarkEnd w:id="390"/>
      <w:bookmarkEnd w:id="391"/>
    </w:p>
    <w:p w14:paraId="2BD5E910" w14:textId="77777777" w:rsidR="00221268" w:rsidRPr="00D75D2E" w:rsidRDefault="00221268" w:rsidP="00E737B4">
      <w:pPr>
        <w:widowControl w:val="0"/>
        <w:kinsoku w:val="0"/>
        <w:spacing w:before="120" w:after="120" w:line="240" w:lineRule="auto"/>
        <w:jc w:val="both"/>
        <w:rPr>
          <w:rFonts w:ascii="Times New Roman" w:hAnsi="Times New Roman"/>
          <w:sz w:val="24"/>
          <w:szCs w:val="24"/>
        </w:rPr>
      </w:pPr>
      <w:r w:rsidRPr="00D75D2E">
        <w:rPr>
          <w:rFonts w:ascii="Times New Roman" w:hAnsi="Times New Roman"/>
          <w:bCs/>
          <w:sz w:val="24"/>
          <w:szCs w:val="24"/>
        </w:rPr>
        <w:t xml:space="preserve">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 et Réseaux d’ONG </w:t>
      </w:r>
      <w:r w:rsidRPr="00D75D2E">
        <w:rPr>
          <w:rFonts w:ascii="Times New Roman" w:hAnsi="Times New Roman"/>
          <w:sz w:val="24"/>
          <w:szCs w:val="24"/>
        </w:rPr>
        <w:t xml:space="preserve">nationales et internationales </w:t>
      </w:r>
      <w:r w:rsidRPr="00D75D2E">
        <w:rPr>
          <w:rFonts w:ascii="Times New Roman" w:hAnsi="Times New Roman"/>
          <w:bCs/>
          <w:sz w:val="24"/>
          <w:szCs w:val="24"/>
        </w:rPr>
        <w:t xml:space="preserve">évoluent dans le secteur de l’environnement et </w:t>
      </w:r>
      <w:r w:rsidRPr="00D75D2E">
        <w:rPr>
          <w:rFonts w:ascii="Times New Roman" w:hAnsi="Times New Roman"/>
          <w:sz w:val="24"/>
          <w:szCs w:val="24"/>
        </w:rPr>
        <w:t>accompagnent les secteurs de développement dans plusieurs domaines : renforcement des capacités, information, sensibilisation, mobilisation et accompagnement social ; protection. Ces structures de proximité peuvent jouer un rôle important dans le suivi de la mise en œuvre du projet.</w:t>
      </w:r>
      <w:bookmarkStart w:id="392" w:name="_Toc425004143"/>
      <w:bookmarkStart w:id="393" w:name="_Toc418783680"/>
      <w:bookmarkStart w:id="394" w:name="_Toc425004144"/>
      <w:bookmarkStart w:id="395" w:name="_Toc418783681"/>
      <w:bookmarkEnd w:id="392"/>
      <w:bookmarkEnd w:id="393"/>
      <w:bookmarkEnd w:id="394"/>
      <w:bookmarkEnd w:id="395"/>
    </w:p>
    <w:p w14:paraId="485AC5EE" w14:textId="77777777" w:rsidR="00221268" w:rsidRPr="00E737B4" w:rsidRDefault="00221268" w:rsidP="00221268">
      <w:pPr>
        <w:spacing w:after="0" w:line="240" w:lineRule="auto"/>
        <w:jc w:val="both"/>
        <w:rPr>
          <w:rFonts w:ascii="Times New Roman" w:hAnsi="Times New Roman"/>
          <w:i/>
          <w:sz w:val="24"/>
          <w:lang w:eastAsia="fr-FR"/>
        </w:rPr>
      </w:pPr>
      <w:r w:rsidRPr="00E737B4">
        <w:rPr>
          <w:rFonts w:ascii="Times New Roman" w:hAnsi="Times New Roman"/>
          <w:bCs/>
          <w:i/>
          <w:sz w:val="24"/>
          <w:lang w:eastAsia="fr-FR"/>
        </w:rPr>
        <w:t xml:space="preserve">ONGs et Réseaux d’ONG </w:t>
      </w:r>
      <w:r w:rsidRPr="00E737B4">
        <w:rPr>
          <w:rFonts w:ascii="Times New Roman" w:hAnsi="Times New Roman"/>
          <w:i/>
          <w:sz w:val="24"/>
          <w:lang w:eastAsia="fr-FR"/>
        </w:rPr>
        <w:t xml:space="preserve">nationales et internationales </w:t>
      </w:r>
      <w:r w:rsidRPr="00E737B4">
        <w:rPr>
          <w:rFonts w:ascii="Times New Roman" w:hAnsi="Times New Roman"/>
          <w:bCs/>
          <w:i/>
          <w:sz w:val="24"/>
          <w:lang w:eastAsia="fr-FR"/>
        </w:rPr>
        <w:t xml:space="preserve">évoluent dans le secteur de l’environnement et </w:t>
      </w:r>
      <w:r w:rsidRPr="00E737B4">
        <w:rPr>
          <w:rFonts w:ascii="Times New Roman" w:hAnsi="Times New Roman"/>
          <w:i/>
          <w:sz w:val="24"/>
          <w:lang w:eastAsia="fr-FR"/>
        </w:rPr>
        <w:t>accompagnent les populations dans de nombreux domaines de développement.</w:t>
      </w:r>
    </w:p>
    <w:p w14:paraId="5D68215D" w14:textId="77777777" w:rsidR="00221268" w:rsidRPr="00D75D2E" w:rsidRDefault="00221268" w:rsidP="00221268">
      <w:pPr>
        <w:spacing w:after="0" w:line="240" w:lineRule="auto"/>
        <w:jc w:val="both"/>
        <w:rPr>
          <w:rFonts w:ascii="Times New Roman" w:hAnsi="Times New Roman"/>
          <w:b/>
          <w:i/>
          <w:lang w:eastAsia="fr-FR"/>
        </w:rPr>
      </w:pPr>
    </w:p>
    <w:p w14:paraId="7ED4C7D2" w14:textId="40CB1D66" w:rsidR="00221268" w:rsidRPr="00D75D2E" w:rsidRDefault="00221268" w:rsidP="008C79F0">
      <w:pPr>
        <w:pStyle w:val="Titre31"/>
        <w:numPr>
          <w:ilvl w:val="2"/>
          <w:numId w:val="54"/>
        </w:numPr>
        <w:tabs>
          <w:tab w:val="left" w:pos="1418"/>
        </w:tabs>
        <w:ind w:left="1276" w:hanging="709"/>
        <w:rPr>
          <w:rFonts w:eastAsia="Calibri"/>
          <w:u w:val="none"/>
        </w:rPr>
      </w:pPr>
      <w:bookmarkStart w:id="396" w:name="_Toc468693950"/>
      <w:bookmarkStart w:id="397" w:name="_Toc490930611"/>
      <w:bookmarkStart w:id="398" w:name="_Toc495426712"/>
      <w:bookmarkStart w:id="399" w:name="_Toc496048536"/>
      <w:bookmarkStart w:id="400" w:name="_Toc508376563"/>
      <w:bookmarkStart w:id="401" w:name="_Toc509309559"/>
      <w:bookmarkStart w:id="402" w:name="_Toc29152122"/>
      <w:bookmarkStart w:id="403" w:name="_Toc103685621"/>
      <w:r w:rsidRPr="00D75D2E">
        <w:rPr>
          <w:rFonts w:eastAsia="Calibri"/>
          <w:u w:val="none"/>
        </w:rPr>
        <w:t xml:space="preserve">Analyse du montage institutionnel de la gestion environnementale et sociale du </w:t>
      </w:r>
      <w:r w:rsidR="00227EF6">
        <w:rPr>
          <w:rFonts w:eastAsia="Calibri"/>
          <w:u w:val="none"/>
        </w:rPr>
        <w:t>sous-</w:t>
      </w:r>
      <w:r w:rsidRPr="00D75D2E">
        <w:rPr>
          <w:rFonts w:eastAsia="Calibri"/>
          <w:u w:val="none"/>
        </w:rPr>
        <w:t>projet</w:t>
      </w:r>
      <w:bookmarkEnd w:id="396"/>
      <w:bookmarkEnd w:id="397"/>
      <w:bookmarkEnd w:id="398"/>
      <w:bookmarkEnd w:id="399"/>
      <w:bookmarkEnd w:id="400"/>
      <w:bookmarkEnd w:id="401"/>
      <w:bookmarkEnd w:id="402"/>
      <w:bookmarkEnd w:id="403"/>
    </w:p>
    <w:p w14:paraId="4402B7BA" w14:textId="77777777" w:rsidR="00221268" w:rsidRPr="00D75D2E" w:rsidRDefault="00221268" w:rsidP="00E737B4">
      <w:pPr>
        <w:widowControl w:val="0"/>
        <w:kinsoku w:val="0"/>
        <w:spacing w:before="120" w:after="120" w:line="240" w:lineRule="auto"/>
        <w:jc w:val="both"/>
        <w:rPr>
          <w:rFonts w:ascii="Times New Roman" w:hAnsi="Times New Roman"/>
          <w:bCs/>
          <w:sz w:val="24"/>
          <w:szCs w:val="26"/>
          <w:lang w:eastAsia="fr-FR"/>
        </w:rPr>
      </w:pPr>
      <w:r w:rsidRPr="00D75D2E">
        <w:rPr>
          <w:rFonts w:ascii="Times New Roman" w:hAnsi="Times New Roman"/>
          <w:bCs/>
          <w:sz w:val="24"/>
          <w:szCs w:val="26"/>
          <w:lang w:eastAsia="fr-FR"/>
        </w:rPr>
        <w:t>Le montage institutionnel de la gestion environnementale et sociale de Projet se caractérise par une pluralité d’acteurs dont les rôles et responsabilités sont relativement bien définies et selon la loi cadre N°11/009 du 09 juillet 2011. Les principaux acteurs de la gestion environnementale et sociale sont : la</w:t>
      </w:r>
      <w:r w:rsidRPr="00D75D2E">
        <w:rPr>
          <w:rFonts w:ascii="Times New Roman" w:hAnsi="Times New Roman"/>
          <w:sz w:val="24"/>
          <w:szCs w:val="24"/>
        </w:rPr>
        <w:t xml:space="preserve"> Sous Cellule Environnementale et sociale (SCES)/UCM/SNEL</w:t>
      </w:r>
      <w:r w:rsidRPr="00D75D2E">
        <w:rPr>
          <w:rFonts w:ascii="Times New Roman" w:hAnsi="Times New Roman"/>
          <w:bCs/>
          <w:sz w:val="24"/>
          <w:szCs w:val="26"/>
          <w:lang w:eastAsia="fr-FR"/>
        </w:rPr>
        <w:t xml:space="preserve">, le MEDD (à travers l’ACE), le Ministère </w:t>
      </w:r>
      <w:r w:rsidRPr="00E737B4">
        <w:rPr>
          <w:rFonts w:ascii="Times New Roman" w:hAnsi="Times New Roman"/>
          <w:bCs/>
          <w:sz w:val="24"/>
          <w:szCs w:val="24"/>
        </w:rPr>
        <w:t>Provincial</w:t>
      </w:r>
      <w:r w:rsidRPr="00D75D2E">
        <w:rPr>
          <w:rFonts w:ascii="Times New Roman" w:hAnsi="Times New Roman"/>
          <w:bCs/>
          <w:sz w:val="24"/>
          <w:szCs w:val="26"/>
          <w:lang w:eastAsia="fr-FR"/>
        </w:rPr>
        <w:t xml:space="preserve"> en charge de l’Environnement à travers la Coordination Urbaine de l’Environnement (CUE), les Entreprises et ONG locales et autres prestataires de services (Missions de Contrôle, </w:t>
      </w:r>
      <w:r w:rsidRPr="00D75D2E">
        <w:rPr>
          <w:rFonts w:ascii="Times New Roman" w:hAnsi="Times New Roman"/>
          <w:sz w:val="24"/>
          <w:szCs w:val="26"/>
          <w:lang w:eastAsia="fr-FR"/>
        </w:rPr>
        <w:t>Entreprises en charge des travaux, le Comité de Pilotage Local, CPL..</w:t>
      </w:r>
      <w:r w:rsidRPr="00D75D2E">
        <w:rPr>
          <w:rFonts w:ascii="Times New Roman" w:hAnsi="Times New Roman"/>
          <w:bCs/>
          <w:sz w:val="24"/>
          <w:szCs w:val="26"/>
          <w:lang w:eastAsia="fr-FR"/>
        </w:rPr>
        <w:t xml:space="preserve">.) </w:t>
      </w:r>
    </w:p>
    <w:p w14:paraId="374F3EE6" w14:textId="05C9CA3B" w:rsidR="00221268" w:rsidRPr="00D75D2E" w:rsidRDefault="00221268" w:rsidP="008C79F0">
      <w:pPr>
        <w:pStyle w:val="Paragraphedeliste"/>
        <w:keepNext/>
        <w:keepLines/>
        <w:numPr>
          <w:ilvl w:val="1"/>
          <w:numId w:val="54"/>
        </w:numPr>
        <w:tabs>
          <w:tab w:val="left" w:pos="851"/>
        </w:tabs>
        <w:spacing w:before="120" w:after="120" w:line="240" w:lineRule="auto"/>
        <w:ind w:left="788" w:hanging="431"/>
        <w:contextualSpacing w:val="0"/>
        <w:outlineLvl w:val="1"/>
        <w:rPr>
          <w:rFonts w:ascii="Times New Roman" w:eastAsia="Times New Roman" w:hAnsi="Times New Roman"/>
          <w:b/>
          <w:sz w:val="24"/>
          <w:szCs w:val="24"/>
        </w:rPr>
      </w:pPr>
      <w:bookmarkStart w:id="404" w:name="_Toc284240620"/>
      <w:bookmarkStart w:id="405" w:name="_Toc485127816"/>
      <w:bookmarkStart w:id="406" w:name="_Toc519050481"/>
      <w:bookmarkStart w:id="407" w:name="_Toc103685622"/>
      <w:r w:rsidRPr="00D75D2E">
        <w:rPr>
          <w:rFonts w:ascii="Times New Roman" w:eastAsia="Times New Roman" w:hAnsi="Times New Roman"/>
          <w:b/>
          <w:sz w:val="24"/>
          <w:szCs w:val="24"/>
        </w:rPr>
        <w:t>Analyse des capacités de gestion environnementale et sociale</w:t>
      </w:r>
      <w:bookmarkEnd w:id="404"/>
      <w:bookmarkEnd w:id="405"/>
      <w:bookmarkEnd w:id="406"/>
      <w:bookmarkEnd w:id="407"/>
    </w:p>
    <w:p w14:paraId="762CDFB5" w14:textId="77777777" w:rsidR="00221268" w:rsidRPr="00D75D2E" w:rsidRDefault="00221268" w:rsidP="00221268">
      <w:pPr>
        <w:autoSpaceDE w:val="0"/>
        <w:autoSpaceDN w:val="0"/>
        <w:adjustRightInd w:val="0"/>
        <w:spacing w:after="0" w:line="240" w:lineRule="auto"/>
        <w:jc w:val="both"/>
        <w:rPr>
          <w:rFonts w:ascii="Times New Roman" w:hAnsi="Times New Roman"/>
          <w:sz w:val="24"/>
          <w:szCs w:val="24"/>
          <w:lang w:eastAsia="fr-FR"/>
        </w:rPr>
      </w:pPr>
      <w:bookmarkStart w:id="408" w:name="_Toc464166382"/>
      <w:r w:rsidRPr="00D75D2E">
        <w:rPr>
          <w:rFonts w:ascii="Times New Roman" w:hAnsi="Times New Roman"/>
          <w:sz w:val="24"/>
          <w:szCs w:val="24"/>
          <w:lang w:eastAsia="fr-FR"/>
        </w:rPr>
        <w:t xml:space="preserve">Le tableau </w:t>
      </w:r>
      <w:r w:rsidR="00EF6C10">
        <w:rPr>
          <w:rFonts w:ascii="Times New Roman" w:hAnsi="Times New Roman"/>
          <w:sz w:val="24"/>
          <w:szCs w:val="24"/>
          <w:lang w:eastAsia="fr-FR"/>
        </w:rPr>
        <w:t xml:space="preserve">6 </w:t>
      </w:r>
      <w:r w:rsidRPr="00D75D2E">
        <w:rPr>
          <w:rFonts w:ascii="Times New Roman" w:hAnsi="Times New Roman"/>
          <w:sz w:val="24"/>
          <w:szCs w:val="24"/>
          <w:lang w:eastAsia="fr-FR"/>
        </w:rPr>
        <w:t xml:space="preserve"> fait une analyse des capacités de gestion de différents acteurs et présente des mesures à prendre.</w:t>
      </w:r>
    </w:p>
    <w:p w14:paraId="328F2102" w14:textId="729DEB15" w:rsidR="00221268" w:rsidRPr="00D75D2E" w:rsidRDefault="00221268" w:rsidP="00E737B4">
      <w:pPr>
        <w:spacing w:before="120" w:after="120"/>
        <w:rPr>
          <w:rFonts w:ascii="Times New Roman" w:hAnsi="Times New Roman"/>
          <w:b/>
          <w:sz w:val="24"/>
          <w:szCs w:val="24"/>
          <w:lang w:eastAsia="fr-FR"/>
        </w:rPr>
      </w:pPr>
      <w:bookmarkStart w:id="409" w:name="_Toc519048923"/>
      <w:bookmarkStart w:id="410" w:name="_Toc93050268"/>
      <w:r w:rsidRPr="00D75D2E">
        <w:rPr>
          <w:rFonts w:ascii="Times New Roman" w:hAnsi="Times New Roman"/>
          <w:sz w:val="24"/>
          <w:szCs w:val="24"/>
          <w:lang w:eastAsia="fr-FR"/>
        </w:rPr>
        <w:t xml:space="preserve">Tableau </w:t>
      </w:r>
      <w:r w:rsidRPr="00D75D2E">
        <w:rPr>
          <w:rFonts w:ascii="Times New Roman" w:hAnsi="Times New Roman"/>
          <w:sz w:val="24"/>
          <w:szCs w:val="24"/>
          <w:lang w:eastAsia="fr-FR"/>
        </w:rPr>
        <w:fldChar w:fldCharType="begin"/>
      </w:r>
      <w:r w:rsidRPr="00D75D2E">
        <w:rPr>
          <w:rFonts w:ascii="Times New Roman" w:hAnsi="Times New Roman"/>
          <w:sz w:val="24"/>
          <w:szCs w:val="24"/>
          <w:lang w:eastAsia="fr-FR"/>
        </w:rPr>
        <w:instrText xml:space="preserve"> SEQ Tableau \* ARABIC </w:instrText>
      </w:r>
      <w:r w:rsidRPr="00D75D2E">
        <w:rPr>
          <w:rFonts w:ascii="Times New Roman" w:hAnsi="Times New Roman"/>
          <w:sz w:val="24"/>
          <w:szCs w:val="24"/>
          <w:lang w:eastAsia="fr-FR"/>
        </w:rPr>
        <w:fldChar w:fldCharType="separate"/>
      </w:r>
      <w:r w:rsidR="00691EF5">
        <w:rPr>
          <w:rFonts w:ascii="Times New Roman" w:hAnsi="Times New Roman"/>
          <w:noProof/>
          <w:sz w:val="24"/>
          <w:szCs w:val="24"/>
          <w:lang w:eastAsia="fr-FR"/>
        </w:rPr>
        <w:t>6</w:t>
      </w:r>
      <w:r w:rsidRPr="00D75D2E">
        <w:rPr>
          <w:rFonts w:ascii="Times New Roman" w:hAnsi="Times New Roman"/>
          <w:noProof/>
          <w:sz w:val="24"/>
          <w:szCs w:val="24"/>
          <w:lang w:eastAsia="fr-FR"/>
        </w:rPr>
        <w:fldChar w:fldCharType="end"/>
      </w:r>
      <w:r w:rsidRPr="00D75D2E">
        <w:rPr>
          <w:rFonts w:ascii="Times New Roman" w:hAnsi="Times New Roman"/>
          <w:sz w:val="24"/>
          <w:szCs w:val="24"/>
          <w:lang w:eastAsia="fr-FR"/>
        </w:rPr>
        <w:t xml:space="preserve"> : </w:t>
      </w:r>
      <w:bookmarkEnd w:id="408"/>
      <w:r w:rsidRPr="00D75D2E">
        <w:rPr>
          <w:rFonts w:ascii="Times New Roman" w:hAnsi="Times New Roman"/>
          <w:sz w:val="24"/>
          <w:szCs w:val="24"/>
          <w:lang w:eastAsia="fr-FR"/>
        </w:rPr>
        <w:t>Synthèse des capacités de gestion environnementale des acteurs du projet</w:t>
      </w:r>
      <w:bookmarkEnd w:id="409"/>
      <w:bookmarkEnd w:id="410"/>
      <w:r w:rsidRPr="00D75D2E">
        <w:rPr>
          <w:rFonts w:ascii="Times New Roman" w:hAnsi="Times New Roman"/>
          <w:sz w:val="24"/>
          <w:szCs w:val="24"/>
          <w:lang w:eastAsia="fr-FR"/>
        </w:rPr>
        <w:t xml:space="preserve"> </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759"/>
        <w:gridCol w:w="2409"/>
        <w:gridCol w:w="2977"/>
      </w:tblGrid>
      <w:tr w:rsidR="00D75D2E" w:rsidRPr="00420C1B" w14:paraId="2656DC54" w14:textId="77777777" w:rsidTr="00420C1B">
        <w:trPr>
          <w:trHeight w:val="248"/>
          <w:tblHeader/>
          <w:jc w:val="center"/>
        </w:trPr>
        <w:tc>
          <w:tcPr>
            <w:tcW w:w="1843" w:type="dxa"/>
            <w:vMerge w:val="restart"/>
            <w:shd w:val="clear" w:color="auto" w:fill="92D050"/>
            <w:vAlign w:val="center"/>
          </w:tcPr>
          <w:p w14:paraId="37F2261D" w14:textId="77777777" w:rsidR="00221268" w:rsidRPr="00420C1B" w:rsidRDefault="00221268" w:rsidP="00420C1B">
            <w:pPr>
              <w:spacing w:after="0" w:line="240" w:lineRule="auto"/>
              <w:jc w:val="center"/>
              <w:rPr>
                <w:rFonts w:ascii="Times New Roman" w:hAnsi="Times New Roman"/>
              </w:rPr>
            </w:pPr>
            <w:r w:rsidRPr="00420C1B">
              <w:rPr>
                <w:rFonts w:ascii="Times New Roman" w:hAnsi="Times New Roman"/>
                <w:b/>
                <w:bCs/>
              </w:rPr>
              <w:t>Acteurs</w:t>
            </w:r>
          </w:p>
        </w:tc>
        <w:tc>
          <w:tcPr>
            <w:tcW w:w="5168" w:type="dxa"/>
            <w:gridSpan w:val="2"/>
            <w:shd w:val="clear" w:color="auto" w:fill="92D050"/>
            <w:vAlign w:val="center"/>
          </w:tcPr>
          <w:p w14:paraId="5FACFEF3" w14:textId="77777777" w:rsidR="00221268" w:rsidRPr="00420C1B" w:rsidRDefault="00221268" w:rsidP="00420C1B">
            <w:pPr>
              <w:spacing w:after="0" w:line="240" w:lineRule="auto"/>
              <w:jc w:val="center"/>
              <w:rPr>
                <w:rFonts w:ascii="Times New Roman" w:hAnsi="Times New Roman"/>
              </w:rPr>
            </w:pPr>
            <w:r w:rsidRPr="00420C1B">
              <w:rPr>
                <w:rFonts w:ascii="Times New Roman" w:hAnsi="Times New Roman"/>
                <w:b/>
                <w:bCs/>
              </w:rPr>
              <w:t>Capacités</w:t>
            </w:r>
          </w:p>
        </w:tc>
        <w:tc>
          <w:tcPr>
            <w:tcW w:w="2977" w:type="dxa"/>
            <w:vMerge w:val="restart"/>
            <w:shd w:val="clear" w:color="auto" w:fill="92D050"/>
            <w:vAlign w:val="center"/>
          </w:tcPr>
          <w:p w14:paraId="0ABD9702" w14:textId="77777777" w:rsidR="00221268" w:rsidRPr="00420C1B" w:rsidRDefault="00221268" w:rsidP="00420C1B">
            <w:pPr>
              <w:spacing w:after="0" w:line="240" w:lineRule="auto"/>
              <w:jc w:val="center"/>
              <w:rPr>
                <w:rFonts w:ascii="Times New Roman" w:hAnsi="Times New Roman"/>
              </w:rPr>
            </w:pPr>
            <w:r w:rsidRPr="00420C1B">
              <w:rPr>
                <w:rFonts w:ascii="Times New Roman" w:hAnsi="Times New Roman"/>
                <w:b/>
                <w:bCs/>
              </w:rPr>
              <w:t>Propositions</w:t>
            </w:r>
          </w:p>
        </w:tc>
      </w:tr>
      <w:tr w:rsidR="002C66D7" w:rsidRPr="00420C1B" w14:paraId="1414FFBF" w14:textId="77777777" w:rsidTr="00420C1B">
        <w:trPr>
          <w:trHeight w:val="248"/>
          <w:tblHeader/>
          <w:jc w:val="center"/>
        </w:trPr>
        <w:tc>
          <w:tcPr>
            <w:tcW w:w="1843" w:type="dxa"/>
            <w:vMerge/>
            <w:shd w:val="clear" w:color="auto" w:fill="auto"/>
          </w:tcPr>
          <w:p w14:paraId="6D4F499F" w14:textId="77777777" w:rsidR="00221268" w:rsidRPr="00420C1B" w:rsidRDefault="00221268" w:rsidP="00420C1B">
            <w:pPr>
              <w:spacing w:after="0" w:line="240" w:lineRule="auto"/>
              <w:rPr>
                <w:rFonts w:ascii="Times New Roman" w:hAnsi="Times New Roman"/>
              </w:rPr>
            </w:pPr>
          </w:p>
        </w:tc>
        <w:tc>
          <w:tcPr>
            <w:tcW w:w="2759" w:type="dxa"/>
            <w:shd w:val="clear" w:color="auto" w:fill="92D050"/>
            <w:vAlign w:val="center"/>
          </w:tcPr>
          <w:p w14:paraId="15C84111" w14:textId="77777777" w:rsidR="00221268" w:rsidRPr="00420C1B" w:rsidRDefault="00221268" w:rsidP="00420C1B">
            <w:pPr>
              <w:spacing w:after="0" w:line="240" w:lineRule="auto"/>
              <w:jc w:val="center"/>
              <w:rPr>
                <w:rFonts w:ascii="Times New Roman" w:hAnsi="Times New Roman"/>
              </w:rPr>
            </w:pPr>
            <w:r w:rsidRPr="00420C1B">
              <w:rPr>
                <w:rFonts w:ascii="Times New Roman" w:hAnsi="Times New Roman"/>
                <w:b/>
                <w:bCs/>
              </w:rPr>
              <w:t>Atouts</w:t>
            </w:r>
          </w:p>
        </w:tc>
        <w:tc>
          <w:tcPr>
            <w:tcW w:w="2409" w:type="dxa"/>
            <w:shd w:val="clear" w:color="auto" w:fill="92D050"/>
            <w:vAlign w:val="center"/>
          </w:tcPr>
          <w:p w14:paraId="3E74D6A8" w14:textId="77777777" w:rsidR="00221268" w:rsidRPr="00420C1B" w:rsidRDefault="00221268" w:rsidP="00420C1B">
            <w:pPr>
              <w:spacing w:after="0" w:line="240" w:lineRule="auto"/>
              <w:jc w:val="center"/>
              <w:rPr>
                <w:rFonts w:ascii="Times New Roman" w:hAnsi="Times New Roman"/>
              </w:rPr>
            </w:pPr>
            <w:r w:rsidRPr="00420C1B">
              <w:rPr>
                <w:rFonts w:ascii="Times New Roman" w:hAnsi="Times New Roman"/>
                <w:b/>
                <w:bCs/>
              </w:rPr>
              <w:t>Limites</w:t>
            </w:r>
          </w:p>
        </w:tc>
        <w:tc>
          <w:tcPr>
            <w:tcW w:w="2977" w:type="dxa"/>
            <w:vMerge/>
            <w:shd w:val="clear" w:color="auto" w:fill="auto"/>
            <w:vAlign w:val="center"/>
          </w:tcPr>
          <w:p w14:paraId="235BCEB0" w14:textId="77777777" w:rsidR="00221268" w:rsidRPr="00420C1B" w:rsidRDefault="00221268" w:rsidP="00420C1B">
            <w:pPr>
              <w:spacing w:after="0" w:line="240" w:lineRule="auto"/>
              <w:jc w:val="center"/>
              <w:rPr>
                <w:rFonts w:ascii="Times New Roman" w:hAnsi="Times New Roman"/>
              </w:rPr>
            </w:pPr>
          </w:p>
        </w:tc>
      </w:tr>
      <w:tr w:rsidR="002C66D7" w:rsidRPr="00420C1B" w14:paraId="0C207FD8" w14:textId="77777777" w:rsidTr="00420C1B">
        <w:trPr>
          <w:trHeight w:val="1391"/>
          <w:jc w:val="center"/>
        </w:trPr>
        <w:tc>
          <w:tcPr>
            <w:tcW w:w="1843" w:type="dxa"/>
            <w:shd w:val="clear" w:color="auto" w:fill="auto"/>
            <w:vAlign w:val="center"/>
          </w:tcPr>
          <w:p w14:paraId="04A3F2A5" w14:textId="77777777" w:rsidR="00221268" w:rsidRPr="00420C1B" w:rsidRDefault="00221268" w:rsidP="00420C1B">
            <w:pPr>
              <w:spacing w:after="0" w:line="240" w:lineRule="auto"/>
              <w:rPr>
                <w:rFonts w:ascii="Times New Roman" w:hAnsi="Times New Roman"/>
              </w:rPr>
            </w:pPr>
            <w:r w:rsidRPr="00420C1B">
              <w:rPr>
                <w:rFonts w:ascii="Times New Roman" w:hAnsi="Times New Roman"/>
              </w:rPr>
              <w:t xml:space="preserve">SCES/UCM </w:t>
            </w:r>
          </w:p>
        </w:tc>
        <w:tc>
          <w:tcPr>
            <w:tcW w:w="2759" w:type="dxa"/>
            <w:shd w:val="clear" w:color="auto" w:fill="auto"/>
            <w:vAlign w:val="center"/>
          </w:tcPr>
          <w:p w14:paraId="20A05685" w14:textId="77777777" w:rsidR="00221268" w:rsidRPr="00420C1B" w:rsidRDefault="00221268" w:rsidP="00420C1B">
            <w:pPr>
              <w:autoSpaceDE w:val="0"/>
              <w:autoSpaceDN w:val="0"/>
              <w:adjustRightInd w:val="0"/>
              <w:spacing w:after="0" w:line="240" w:lineRule="auto"/>
              <w:rPr>
                <w:rFonts w:ascii="Times New Roman" w:hAnsi="Times New Roman"/>
              </w:rPr>
            </w:pPr>
            <w:r w:rsidRPr="00420C1B">
              <w:rPr>
                <w:rFonts w:ascii="Times New Roman" w:hAnsi="Times New Roman"/>
              </w:rPr>
              <w:t>Existence d’experts en EES au niveau de l’UCM ;</w:t>
            </w:r>
          </w:p>
          <w:p w14:paraId="4223F718" w14:textId="77777777" w:rsidR="00221268" w:rsidRPr="00420C1B" w:rsidRDefault="00221268" w:rsidP="00420C1B">
            <w:pPr>
              <w:autoSpaceDE w:val="0"/>
              <w:autoSpaceDN w:val="0"/>
              <w:adjustRightInd w:val="0"/>
              <w:spacing w:after="0" w:line="240" w:lineRule="auto"/>
              <w:rPr>
                <w:rFonts w:ascii="Times New Roman" w:hAnsi="Times New Roman"/>
                <w:b/>
                <w:bCs/>
              </w:rPr>
            </w:pPr>
            <w:r w:rsidRPr="00420C1B">
              <w:rPr>
                <w:rFonts w:ascii="Times New Roman" w:hAnsi="Times New Roman"/>
              </w:rPr>
              <w:t xml:space="preserve">Existence d’une unité environnementale au sein de la SNEL </w:t>
            </w:r>
          </w:p>
        </w:tc>
        <w:tc>
          <w:tcPr>
            <w:tcW w:w="2409" w:type="dxa"/>
            <w:shd w:val="clear" w:color="auto" w:fill="auto"/>
            <w:vAlign w:val="center"/>
          </w:tcPr>
          <w:p w14:paraId="37376CC1"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Seul le spécialiste en questions environnementales a reçu une formation sur les NES de la Banque</w:t>
            </w:r>
          </w:p>
          <w:p w14:paraId="645409F8"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Les autres membres de l’équipe devront être formés sur le ESF</w:t>
            </w:r>
          </w:p>
          <w:p w14:paraId="78CB3832" w14:textId="070F517A" w:rsidR="00221268"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Absence d’un spécialiste en VBG</w:t>
            </w:r>
          </w:p>
          <w:p w14:paraId="2737C642" w14:textId="77777777" w:rsidR="00221268" w:rsidRPr="00420C1B" w:rsidRDefault="00221268" w:rsidP="00420C1B">
            <w:pPr>
              <w:autoSpaceDE w:val="0"/>
              <w:autoSpaceDN w:val="0"/>
              <w:adjustRightInd w:val="0"/>
              <w:spacing w:after="0" w:line="240" w:lineRule="auto"/>
              <w:rPr>
                <w:rFonts w:ascii="Times New Roman" w:hAnsi="Times New Roman"/>
              </w:rPr>
            </w:pPr>
          </w:p>
          <w:p w14:paraId="21BDA1A1" w14:textId="77777777" w:rsidR="00221268" w:rsidRPr="00420C1B" w:rsidRDefault="00221268" w:rsidP="00420C1B">
            <w:pPr>
              <w:numPr>
                <w:ilvl w:val="0"/>
                <w:numId w:val="22"/>
              </w:numPr>
              <w:autoSpaceDE w:val="0"/>
              <w:autoSpaceDN w:val="0"/>
              <w:adjustRightInd w:val="0"/>
              <w:spacing w:after="0" w:line="240" w:lineRule="auto"/>
              <w:contextualSpacing/>
              <w:rPr>
                <w:rFonts w:ascii="Times New Roman" w:hAnsi="Times New Roman"/>
              </w:rPr>
            </w:pPr>
          </w:p>
        </w:tc>
        <w:tc>
          <w:tcPr>
            <w:tcW w:w="2977" w:type="dxa"/>
            <w:shd w:val="clear" w:color="auto" w:fill="auto"/>
            <w:vAlign w:val="center"/>
          </w:tcPr>
          <w:p w14:paraId="44F98FEE" w14:textId="77777777" w:rsidR="003B587C" w:rsidRPr="00420C1B" w:rsidRDefault="00221268" w:rsidP="00420C1B">
            <w:pPr>
              <w:autoSpaceDE w:val="0"/>
              <w:autoSpaceDN w:val="0"/>
              <w:adjustRightInd w:val="0"/>
              <w:spacing w:after="0" w:line="240" w:lineRule="auto"/>
              <w:rPr>
                <w:rFonts w:ascii="Times New Roman" w:hAnsi="Times New Roman"/>
              </w:rPr>
            </w:pPr>
            <w:r w:rsidRPr="00420C1B">
              <w:rPr>
                <w:rFonts w:ascii="Times New Roman" w:hAnsi="Times New Roman"/>
              </w:rPr>
              <w:t>Renforcer davantage les capacités en matière de gestion environnementale et sociale des acteurs</w:t>
            </w:r>
            <w:r w:rsidR="003B587C" w:rsidRPr="00420C1B">
              <w:rPr>
                <w:rFonts w:ascii="Times New Roman" w:hAnsi="Times New Roman"/>
              </w:rPr>
              <w:t xml:space="preserve"> notamment en ce qui concerne la mise en œuvre des instruments de sauvegarde dans le nouveau cadre environnemental et social de la Banque mondiale</w:t>
            </w:r>
          </w:p>
          <w:p w14:paraId="02EE5431" w14:textId="35137DBF" w:rsidR="00221268"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Recrutement d’un expert en VBG</w:t>
            </w:r>
          </w:p>
        </w:tc>
      </w:tr>
      <w:tr w:rsidR="002C66D7" w:rsidRPr="00420C1B" w14:paraId="22740365" w14:textId="77777777" w:rsidTr="00420C1B">
        <w:trPr>
          <w:trHeight w:val="1004"/>
          <w:jc w:val="center"/>
        </w:trPr>
        <w:tc>
          <w:tcPr>
            <w:tcW w:w="1843" w:type="dxa"/>
            <w:shd w:val="clear" w:color="auto" w:fill="auto"/>
            <w:vAlign w:val="center"/>
          </w:tcPr>
          <w:p w14:paraId="55D5431B" w14:textId="77777777" w:rsidR="003B587C" w:rsidRPr="00420C1B" w:rsidRDefault="003B587C" w:rsidP="00420C1B">
            <w:pPr>
              <w:spacing w:after="0" w:line="240" w:lineRule="auto"/>
              <w:rPr>
                <w:rFonts w:ascii="Times New Roman" w:hAnsi="Times New Roman"/>
              </w:rPr>
            </w:pPr>
            <w:r w:rsidRPr="00420C1B">
              <w:rPr>
                <w:rFonts w:ascii="Times New Roman" w:hAnsi="Times New Roman"/>
              </w:rPr>
              <w:t>SNEL</w:t>
            </w:r>
          </w:p>
        </w:tc>
        <w:tc>
          <w:tcPr>
            <w:tcW w:w="2759" w:type="dxa"/>
            <w:shd w:val="clear" w:color="auto" w:fill="auto"/>
            <w:vAlign w:val="center"/>
          </w:tcPr>
          <w:p w14:paraId="33E71263"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Existence d’experts en EES au niveau de SNEL</w:t>
            </w:r>
          </w:p>
          <w:p w14:paraId="02D24EEF"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 du budget annuel alloue a la gestion des risques E&amp;S </w:t>
            </w:r>
          </w:p>
          <w:p w14:paraId="717C5822" w14:textId="32234854"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Experience dans le suivi de la mise en œuvre du PGES acquise grâce au PMEDE et SAPMP</w:t>
            </w:r>
          </w:p>
        </w:tc>
        <w:tc>
          <w:tcPr>
            <w:tcW w:w="2409" w:type="dxa"/>
            <w:shd w:val="clear" w:color="auto" w:fill="auto"/>
            <w:vAlign w:val="center"/>
          </w:tcPr>
          <w:p w14:paraId="1923E4D6" w14:textId="77777777" w:rsidR="003B587C" w:rsidRPr="00420C1B" w:rsidRDefault="003B587C" w:rsidP="00420C1B">
            <w:pPr>
              <w:autoSpaceDE w:val="0"/>
              <w:autoSpaceDN w:val="0"/>
              <w:adjustRightInd w:val="0"/>
              <w:spacing w:after="0" w:line="240" w:lineRule="auto"/>
              <w:contextualSpacing/>
              <w:rPr>
                <w:rFonts w:ascii="Times New Roman" w:hAnsi="Times New Roman"/>
              </w:rPr>
            </w:pPr>
            <w:r w:rsidRPr="00420C1B">
              <w:rPr>
                <w:rFonts w:ascii="Times New Roman" w:hAnsi="Times New Roman"/>
              </w:rPr>
              <w:t xml:space="preserve">Pas de connaissance de NES de la Banque </w:t>
            </w:r>
          </w:p>
          <w:p w14:paraId="4A4E1280" w14:textId="77777777" w:rsidR="003B587C" w:rsidRPr="00420C1B" w:rsidRDefault="003B587C" w:rsidP="00420C1B">
            <w:pPr>
              <w:numPr>
                <w:ilvl w:val="0"/>
                <w:numId w:val="22"/>
              </w:numPr>
              <w:autoSpaceDE w:val="0"/>
              <w:autoSpaceDN w:val="0"/>
              <w:adjustRightInd w:val="0"/>
              <w:spacing w:after="0" w:line="240" w:lineRule="auto"/>
              <w:contextualSpacing/>
              <w:rPr>
                <w:rFonts w:ascii="Times New Roman" w:hAnsi="Times New Roman"/>
              </w:rPr>
            </w:pPr>
          </w:p>
        </w:tc>
        <w:tc>
          <w:tcPr>
            <w:tcW w:w="2977" w:type="dxa"/>
            <w:shd w:val="clear" w:color="auto" w:fill="auto"/>
            <w:vAlign w:val="center"/>
          </w:tcPr>
          <w:p w14:paraId="3028A5F9"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Renforcer la capacité des DPE en matière des NES de la BM, et sur le mécanisme de gestion des plaintes etc.</w:t>
            </w:r>
          </w:p>
        </w:tc>
      </w:tr>
      <w:tr w:rsidR="002C66D7" w:rsidRPr="00420C1B" w14:paraId="65C1B5B6" w14:textId="77777777" w:rsidTr="00420C1B">
        <w:trPr>
          <w:trHeight w:val="1499"/>
          <w:jc w:val="center"/>
        </w:trPr>
        <w:tc>
          <w:tcPr>
            <w:tcW w:w="1843" w:type="dxa"/>
            <w:shd w:val="clear" w:color="auto" w:fill="auto"/>
            <w:vAlign w:val="center"/>
          </w:tcPr>
          <w:p w14:paraId="57B30D89" w14:textId="77777777" w:rsidR="003B587C" w:rsidRPr="00420C1B" w:rsidRDefault="003B587C" w:rsidP="00420C1B">
            <w:pPr>
              <w:spacing w:after="0" w:line="240" w:lineRule="auto"/>
              <w:rPr>
                <w:rFonts w:ascii="Times New Roman" w:hAnsi="Times New Roman"/>
              </w:rPr>
            </w:pPr>
            <w:r w:rsidRPr="00420C1B">
              <w:rPr>
                <w:rFonts w:ascii="Times New Roman" w:hAnsi="Times New Roman"/>
              </w:rPr>
              <w:t>ACE</w:t>
            </w:r>
          </w:p>
        </w:tc>
        <w:tc>
          <w:tcPr>
            <w:tcW w:w="2759" w:type="dxa"/>
            <w:shd w:val="clear" w:color="auto" w:fill="auto"/>
            <w:vAlign w:val="center"/>
          </w:tcPr>
          <w:p w14:paraId="0B1B246D"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Existence des cadres maîtrisant les outils d’évaluation environnementales nationales et de la BM</w:t>
            </w:r>
          </w:p>
        </w:tc>
        <w:tc>
          <w:tcPr>
            <w:tcW w:w="2409" w:type="dxa"/>
            <w:shd w:val="clear" w:color="auto" w:fill="auto"/>
            <w:vAlign w:val="center"/>
          </w:tcPr>
          <w:p w14:paraId="2B51336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des moyens financiers et logistiques ;</w:t>
            </w:r>
          </w:p>
          <w:p w14:paraId="652DCD08"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de capacités techniques ;</w:t>
            </w:r>
          </w:p>
          <w:p w14:paraId="291FAB36"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de suivi de la mise en œuvre des PGES</w:t>
            </w:r>
          </w:p>
        </w:tc>
        <w:tc>
          <w:tcPr>
            <w:tcW w:w="2977" w:type="dxa"/>
            <w:shd w:val="clear" w:color="auto" w:fill="auto"/>
            <w:vAlign w:val="center"/>
          </w:tcPr>
          <w:p w14:paraId="3EF80165"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Mettre à la disposition de l’ACE des ressources financières et logistiques pour accomplir leur mission de suivi </w:t>
            </w:r>
          </w:p>
          <w:p w14:paraId="4B5A642B"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Renforcer les capacités techniques des agents</w:t>
            </w:r>
          </w:p>
        </w:tc>
      </w:tr>
      <w:tr w:rsidR="002C66D7" w:rsidRPr="00420C1B" w14:paraId="49283797" w14:textId="77777777" w:rsidTr="00420C1B">
        <w:trPr>
          <w:trHeight w:val="2007"/>
          <w:jc w:val="center"/>
        </w:trPr>
        <w:tc>
          <w:tcPr>
            <w:tcW w:w="1843" w:type="dxa"/>
            <w:shd w:val="clear" w:color="auto" w:fill="auto"/>
            <w:vAlign w:val="center"/>
          </w:tcPr>
          <w:p w14:paraId="5364FD21" w14:textId="77777777" w:rsidR="003B587C" w:rsidRPr="00420C1B" w:rsidRDefault="003B587C" w:rsidP="00420C1B">
            <w:pPr>
              <w:spacing w:after="0" w:line="240" w:lineRule="auto"/>
              <w:rPr>
                <w:rFonts w:ascii="Times New Roman" w:hAnsi="Times New Roman"/>
              </w:rPr>
            </w:pPr>
            <w:r w:rsidRPr="00420C1B">
              <w:rPr>
                <w:rFonts w:ascii="Times New Roman" w:hAnsi="Times New Roman"/>
              </w:rPr>
              <w:t xml:space="preserve">Communes </w:t>
            </w:r>
          </w:p>
        </w:tc>
        <w:tc>
          <w:tcPr>
            <w:tcW w:w="2759" w:type="dxa"/>
            <w:shd w:val="clear" w:color="auto" w:fill="auto"/>
            <w:vAlign w:val="center"/>
          </w:tcPr>
          <w:p w14:paraId="644FB80C"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Existence des services techniques communaux (Environnement, Habitat et urbanisme, Energie, Populations, sécurité)</w:t>
            </w:r>
          </w:p>
          <w:p w14:paraId="61549520" w14:textId="77777777" w:rsidR="003B587C" w:rsidRPr="00420C1B" w:rsidRDefault="003B587C" w:rsidP="00420C1B">
            <w:pPr>
              <w:autoSpaceDE w:val="0"/>
              <w:autoSpaceDN w:val="0"/>
              <w:adjustRightInd w:val="0"/>
              <w:spacing w:after="0" w:line="240" w:lineRule="auto"/>
              <w:rPr>
                <w:rFonts w:ascii="Times New Roman" w:hAnsi="Times New Roman"/>
                <w:b/>
                <w:bCs/>
              </w:rPr>
            </w:pPr>
          </w:p>
          <w:p w14:paraId="04E9D4A1" w14:textId="77777777" w:rsidR="003B587C" w:rsidRPr="00420C1B" w:rsidRDefault="003B587C" w:rsidP="00420C1B">
            <w:pPr>
              <w:spacing w:after="0" w:line="240" w:lineRule="auto"/>
              <w:rPr>
                <w:rFonts w:ascii="Times New Roman" w:hAnsi="Times New Roman"/>
                <w:b/>
                <w:bCs/>
              </w:rPr>
            </w:pPr>
          </w:p>
        </w:tc>
        <w:tc>
          <w:tcPr>
            <w:tcW w:w="2409" w:type="dxa"/>
            <w:shd w:val="clear" w:color="auto" w:fill="auto"/>
            <w:vAlign w:val="center"/>
          </w:tcPr>
          <w:p w14:paraId="198EDC76"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de formation des cadres de services technique communaux en gestion environnementale et sociale, suivi des PGES</w:t>
            </w:r>
          </w:p>
          <w:p w14:paraId="18AC68A5" w14:textId="1A634AEB"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Non maitrise des NES de la Banque mondiale</w:t>
            </w:r>
          </w:p>
        </w:tc>
        <w:tc>
          <w:tcPr>
            <w:tcW w:w="2977" w:type="dxa"/>
            <w:shd w:val="clear" w:color="auto" w:fill="auto"/>
            <w:vAlign w:val="center"/>
          </w:tcPr>
          <w:p w14:paraId="29374A40"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Former les cadres du BUE prioritairement et l’ensemble du personnel de chaque commune dans le domaine de l’environnement, sur la législation nationale et les NES de la BM, le suivi et évaluation environnementale et sociale</w:t>
            </w:r>
          </w:p>
        </w:tc>
      </w:tr>
      <w:tr w:rsidR="002C66D7" w:rsidRPr="00420C1B" w14:paraId="3553FE16" w14:textId="77777777" w:rsidTr="00420C1B">
        <w:trPr>
          <w:trHeight w:val="993"/>
          <w:jc w:val="center"/>
        </w:trPr>
        <w:tc>
          <w:tcPr>
            <w:tcW w:w="1843" w:type="dxa"/>
            <w:shd w:val="clear" w:color="auto" w:fill="auto"/>
            <w:vAlign w:val="center"/>
          </w:tcPr>
          <w:p w14:paraId="26E97A7E"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Directions</w:t>
            </w:r>
          </w:p>
          <w:p w14:paraId="660CF70F"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Provinciales de l’Environnement</w:t>
            </w:r>
          </w:p>
          <w:p w14:paraId="1A6ED8A3"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(DPE) et autres directions impliquées</w:t>
            </w:r>
          </w:p>
        </w:tc>
        <w:tc>
          <w:tcPr>
            <w:tcW w:w="2759" w:type="dxa"/>
            <w:shd w:val="clear" w:color="auto" w:fill="auto"/>
            <w:vAlign w:val="center"/>
          </w:tcPr>
          <w:p w14:paraId="2979A50E"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Les DPE ont des atouts qui leur permettent de faire le suivi environnemental et social</w:t>
            </w:r>
          </w:p>
        </w:tc>
        <w:tc>
          <w:tcPr>
            <w:tcW w:w="2409" w:type="dxa"/>
            <w:shd w:val="clear" w:color="auto" w:fill="auto"/>
            <w:vAlign w:val="center"/>
          </w:tcPr>
          <w:p w14:paraId="3ABDDAA2" w14:textId="516F5ED0" w:rsidR="003B587C" w:rsidRPr="00420C1B" w:rsidRDefault="007E5A67" w:rsidP="00420C1B">
            <w:pPr>
              <w:autoSpaceDE w:val="0"/>
              <w:autoSpaceDN w:val="0"/>
              <w:adjustRightInd w:val="0"/>
              <w:spacing w:after="0" w:line="240" w:lineRule="auto"/>
              <w:rPr>
                <w:rFonts w:ascii="Times New Roman" w:hAnsi="Times New Roman"/>
              </w:rPr>
            </w:pPr>
            <w:r w:rsidRPr="00420C1B">
              <w:rPr>
                <w:rFonts w:ascii="Times New Roman" w:hAnsi="Times New Roman"/>
              </w:rPr>
              <w:t>L</w:t>
            </w:r>
            <w:r>
              <w:rPr>
                <w:rFonts w:ascii="Times New Roman" w:hAnsi="Times New Roman"/>
              </w:rPr>
              <w:t>e</w:t>
            </w:r>
            <w:r w:rsidRPr="00420C1B">
              <w:rPr>
                <w:rFonts w:ascii="Times New Roman" w:hAnsi="Times New Roman"/>
              </w:rPr>
              <w:t xml:space="preserve"> </w:t>
            </w:r>
            <w:r w:rsidR="003B587C" w:rsidRPr="00420C1B">
              <w:rPr>
                <w:rFonts w:ascii="Times New Roman" w:hAnsi="Times New Roman"/>
              </w:rPr>
              <w:t>manque maîtrise des NES de la BM</w:t>
            </w:r>
          </w:p>
          <w:p w14:paraId="20795CCF" w14:textId="77777777" w:rsidR="003B587C" w:rsidRPr="00420C1B" w:rsidRDefault="003B587C" w:rsidP="00420C1B">
            <w:pPr>
              <w:autoSpaceDE w:val="0"/>
              <w:autoSpaceDN w:val="0"/>
              <w:adjustRightInd w:val="0"/>
              <w:spacing w:after="0" w:line="240" w:lineRule="auto"/>
              <w:rPr>
                <w:rFonts w:ascii="Times New Roman" w:hAnsi="Times New Roman"/>
              </w:rPr>
            </w:pPr>
          </w:p>
        </w:tc>
        <w:tc>
          <w:tcPr>
            <w:tcW w:w="2977" w:type="dxa"/>
            <w:shd w:val="clear" w:color="auto" w:fill="auto"/>
            <w:vAlign w:val="center"/>
          </w:tcPr>
          <w:p w14:paraId="6AEA3083"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Renforcer la capacité des DPE en matière des NES de la BM, et sur le mécanisme de gestion des plaintes etc.</w:t>
            </w:r>
          </w:p>
        </w:tc>
      </w:tr>
      <w:tr w:rsidR="002C66D7" w:rsidRPr="00420C1B" w14:paraId="60CF0BA0" w14:textId="77777777" w:rsidTr="00420C1B">
        <w:trPr>
          <w:trHeight w:val="2503"/>
          <w:jc w:val="center"/>
        </w:trPr>
        <w:tc>
          <w:tcPr>
            <w:tcW w:w="1843" w:type="dxa"/>
            <w:shd w:val="clear" w:color="auto" w:fill="auto"/>
            <w:vAlign w:val="center"/>
          </w:tcPr>
          <w:p w14:paraId="72476C6E" w14:textId="77777777" w:rsidR="003B587C" w:rsidRPr="00420C1B" w:rsidRDefault="003B587C" w:rsidP="00420C1B">
            <w:pPr>
              <w:autoSpaceDE w:val="0"/>
              <w:autoSpaceDN w:val="0"/>
              <w:adjustRightInd w:val="0"/>
              <w:spacing w:after="0" w:line="240" w:lineRule="auto"/>
              <w:rPr>
                <w:rFonts w:ascii="Times New Roman" w:hAnsi="Times New Roman"/>
              </w:rPr>
            </w:pPr>
          </w:p>
          <w:p w14:paraId="39179B04" w14:textId="77777777" w:rsidR="003B587C" w:rsidRPr="00420C1B" w:rsidRDefault="003B587C" w:rsidP="00420C1B">
            <w:pPr>
              <w:autoSpaceDE w:val="0"/>
              <w:autoSpaceDN w:val="0"/>
              <w:adjustRightInd w:val="0"/>
              <w:spacing w:after="0" w:line="240" w:lineRule="auto"/>
              <w:rPr>
                <w:rFonts w:ascii="Times New Roman" w:hAnsi="Times New Roman"/>
              </w:rPr>
            </w:pPr>
          </w:p>
          <w:p w14:paraId="59A2C763" w14:textId="77777777" w:rsidR="003B587C" w:rsidRPr="00420C1B" w:rsidRDefault="003B587C" w:rsidP="00420C1B">
            <w:pPr>
              <w:autoSpaceDE w:val="0"/>
              <w:autoSpaceDN w:val="0"/>
              <w:adjustRightInd w:val="0"/>
              <w:spacing w:after="0" w:line="240" w:lineRule="auto"/>
              <w:rPr>
                <w:rFonts w:ascii="Times New Roman" w:hAnsi="Times New Roman"/>
              </w:rPr>
            </w:pPr>
          </w:p>
          <w:p w14:paraId="54C8001F" w14:textId="77777777" w:rsidR="003B587C" w:rsidRPr="00420C1B" w:rsidRDefault="003B587C" w:rsidP="00420C1B">
            <w:pPr>
              <w:autoSpaceDE w:val="0"/>
              <w:autoSpaceDN w:val="0"/>
              <w:adjustRightInd w:val="0"/>
              <w:spacing w:after="0" w:line="240" w:lineRule="auto"/>
              <w:rPr>
                <w:rFonts w:ascii="Times New Roman" w:hAnsi="Times New Roman"/>
              </w:rPr>
            </w:pPr>
          </w:p>
          <w:p w14:paraId="17B99954"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Opérateurs Privés </w:t>
            </w:r>
          </w:p>
        </w:tc>
        <w:tc>
          <w:tcPr>
            <w:tcW w:w="2759" w:type="dxa"/>
            <w:shd w:val="clear" w:color="auto" w:fill="auto"/>
            <w:vAlign w:val="center"/>
          </w:tcPr>
          <w:p w14:paraId="463BECDA" w14:textId="77777777" w:rsidR="003B587C" w:rsidRPr="00420C1B" w:rsidRDefault="003B587C" w:rsidP="00420C1B">
            <w:pPr>
              <w:spacing w:after="0" w:line="240" w:lineRule="auto"/>
              <w:rPr>
                <w:rFonts w:ascii="Times New Roman" w:hAnsi="Times New Roman"/>
                <w:bCs/>
              </w:rPr>
            </w:pPr>
            <w:r w:rsidRPr="00420C1B">
              <w:rPr>
                <w:rFonts w:ascii="Times New Roman" w:hAnsi="Times New Roman"/>
                <w:bCs/>
              </w:rPr>
              <w:t xml:space="preserve">Disponibilité des opérateurs privés (concession des services publics, affermage, régie intéressée et gérance), prévue par la loi n° 014/011 du 17 juin relative au secteur de l’électricité </w:t>
            </w:r>
          </w:p>
        </w:tc>
        <w:tc>
          <w:tcPr>
            <w:tcW w:w="2409" w:type="dxa"/>
            <w:shd w:val="clear" w:color="auto" w:fill="auto"/>
            <w:vAlign w:val="center"/>
          </w:tcPr>
          <w:p w14:paraId="03FA5006" w14:textId="77777777" w:rsidR="003B587C" w:rsidRPr="00420C1B" w:rsidRDefault="003B587C" w:rsidP="00420C1B">
            <w:pPr>
              <w:autoSpaceDE w:val="0"/>
              <w:autoSpaceDN w:val="0"/>
              <w:adjustRightInd w:val="0"/>
              <w:spacing w:after="0" w:line="240" w:lineRule="auto"/>
              <w:rPr>
                <w:rFonts w:ascii="Times New Roman" w:hAnsi="Times New Roman"/>
              </w:rPr>
            </w:pPr>
          </w:p>
          <w:p w14:paraId="34DCAE14"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dans l’harmonisation des coûts de prestation ;</w:t>
            </w:r>
          </w:p>
          <w:p w14:paraId="110EFC13"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Insuffisance en matière de gestion environnementales et sociales au sein de ces structures</w:t>
            </w:r>
          </w:p>
        </w:tc>
        <w:tc>
          <w:tcPr>
            <w:tcW w:w="2977" w:type="dxa"/>
            <w:shd w:val="clear" w:color="auto" w:fill="auto"/>
            <w:vAlign w:val="center"/>
          </w:tcPr>
          <w:p w14:paraId="06E93155"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Organiser et encadrer les opérateurs pour une meilleure contribution à la promotion du secteur d’activités.  </w:t>
            </w:r>
          </w:p>
          <w:p w14:paraId="3B1647D8"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Prévoir une formation environnementale et sociale et exiger le recrutement d’un environnementaliste en leur sein.</w:t>
            </w:r>
          </w:p>
        </w:tc>
      </w:tr>
      <w:tr w:rsidR="002C66D7" w:rsidRPr="00420C1B" w14:paraId="590911AD" w14:textId="77777777" w:rsidTr="00420C1B">
        <w:trPr>
          <w:trHeight w:val="1737"/>
          <w:jc w:val="center"/>
        </w:trPr>
        <w:tc>
          <w:tcPr>
            <w:tcW w:w="1843" w:type="dxa"/>
            <w:shd w:val="clear" w:color="auto" w:fill="auto"/>
            <w:vAlign w:val="center"/>
          </w:tcPr>
          <w:p w14:paraId="01FDD105" w14:textId="77777777" w:rsidR="003B587C" w:rsidRPr="00420C1B" w:rsidRDefault="003B587C" w:rsidP="00420C1B">
            <w:pPr>
              <w:autoSpaceDE w:val="0"/>
              <w:autoSpaceDN w:val="0"/>
              <w:adjustRightInd w:val="0"/>
              <w:spacing w:after="0" w:line="240" w:lineRule="auto"/>
              <w:rPr>
                <w:rFonts w:ascii="Times New Roman" w:hAnsi="Times New Roman"/>
              </w:rPr>
            </w:pPr>
          </w:p>
          <w:p w14:paraId="014862C5" w14:textId="77777777" w:rsidR="003B587C" w:rsidRPr="00420C1B" w:rsidRDefault="003B587C" w:rsidP="00420C1B">
            <w:pPr>
              <w:autoSpaceDE w:val="0"/>
              <w:autoSpaceDN w:val="0"/>
              <w:adjustRightInd w:val="0"/>
              <w:spacing w:after="0" w:line="240" w:lineRule="auto"/>
              <w:rPr>
                <w:rFonts w:ascii="Times New Roman" w:hAnsi="Times New Roman"/>
              </w:rPr>
            </w:pPr>
          </w:p>
          <w:p w14:paraId="5101CAA7" w14:textId="77777777" w:rsidR="003B587C" w:rsidRPr="00420C1B" w:rsidRDefault="003B587C" w:rsidP="00420C1B">
            <w:pPr>
              <w:autoSpaceDE w:val="0"/>
              <w:autoSpaceDN w:val="0"/>
              <w:adjustRightInd w:val="0"/>
              <w:spacing w:after="0" w:line="240" w:lineRule="auto"/>
              <w:rPr>
                <w:rFonts w:ascii="Times New Roman" w:hAnsi="Times New Roman"/>
              </w:rPr>
            </w:pPr>
          </w:p>
          <w:p w14:paraId="4CC84426"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Collectivités (communes)</w:t>
            </w:r>
          </w:p>
        </w:tc>
        <w:tc>
          <w:tcPr>
            <w:tcW w:w="2759" w:type="dxa"/>
            <w:shd w:val="clear" w:color="auto" w:fill="auto"/>
            <w:vAlign w:val="center"/>
          </w:tcPr>
          <w:p w14:paraId="39EB4A95"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Existence des Bureaux</w:t>
            </w:r>
          </w:p>
          <w:p w14:paraId="12991BBC"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Urbains de l’Environnement (BUE) ;</w:t>
            </w:r>
          </w:p>
          <w:p w14:paraId="16C9BA7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Existence d’un bon niveau de subsidiarité entre les communes, les quartiers et les avenues  </w:t>
            </w:r>
          </w:p>
        </w:tc>
        <w:tc>
          <w:tcPr>
            <w:tcW w:w="2409" w:type="dxa"/>
            <w:shd w:val="clear" w:color="auto" w:fill="auto"/>
            <w:vAlign w:val="center"/>
          </w:tcPr>
          <w:p w14:paraId="54031F6D"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Insuffisance d’expertise pour la gestion environnementale et sociale ; </w:t>
            </w:r>
          </w:p>
          <w:p w14:paraId="16D97B48" w14:textId="77777777" w:rsidR="003B587C" w:rsidRPr="00420C1B" w:rsidRDefault="003B587C" w:rsidP="00420C1B">
            <w:pPr>
              <w:autoSpaceDE w:val="0"/>
              <w:autoSpaceDN w:val="0"/>
              <w:adjustRightInd w:val="0"/>
              <w:spacing w:after="0" w:line="240" w:lineRule="auto"/>
              <w:rPr>
                <w:rFonts w:ascii="Times New Roman" w:hAnsi="Times New Roman"/>
                <w:b/>
                <w:bCs/>
              </w:rPr>
            </w:pPr>
            <w:r w:rsidRPr="00420C1B">
              <w:rPr>
                <w:rFonts w:ascii="Times New Roman" w:hAnsi="Times New Roman"/>
              </w:rPr>
              <w:t xml:space="preserve"> Insuffisance des moyens financiers pour le suivi environnemental et social. </w:t>
            </w:r>
          </w:p>
        </w:tc>
        <w:tc>
          <w:tcPr>
            <w:tcW w:w="2977" w:type="dxa"/>
            <w:shd w:val="clear" w:color="auto" w:fill="auto"/>
            <w:vAlign w:val="center"/>
          </w:tcPr>
          <w:p w14:paraId="305B351A"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Former ces collectivités sur le suivi environnemental</w:t>
            </w:r>
          </w:p>
          <w:p w14:paraId="3610E5E9" w14:textId="77777777" w:rsidR="003B587C" w:rsidRPr="00420C1B" w:rsidRDefault="003B587C" w:rsidP="00420C1B">
            <w:pPr>
              <w:autoSpaceDE w:val="0"/>
              <w:autoSpaceDN w:val="0"/>
              <w:adjustRightInd w:val="0"/>
              <w:spacing w:after="0" w:line="240" w:lineRule="auto"/>
              <w:rPr>
                <w:rFonts w:ascii="Times New Roman" w:hAnsi="Times New Roman"/>
              </w:rPr>
            </w:pPr>
          </w:p>
          <w:p w14:paraId="4150EFB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Prévoir un budget pour le suivi environnemental par les BUE</w:t>
            </w:r>
          </w:p>
        </w:tc>
      </w:tr>
      <w:tr w:rsidR="002C66D7" w:rsidRPr="00420C1B" w14:paraId="3FD38BD7" w14:textId="77777777" w:rsidTr="00420C1B">
        <w:trPr>
          <w:trHeight w:val="2244"/>
          <w:jc w:val="center"/>
        </w:trPr>
        <w:tc>
          <w:tcPr>
            <w:tcW w:w="1843" w:type="dxa"/>
            <w:shd w:val="clear" w:color="auto" w:fill="auto"/>
            <w:vAlign w:val="center"/>
          </w:tcPr>
          <w:p w14:paraId="4BF7FDA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ONGD et</w:t>
            </w:r>
          </w:p>
          <w:p w14:paraId="03CAC76A" w14:textId="77777777" w:rsidR="003B587C" w:rsidRPr="00420C1B" w:rsidRDefault="003B587C" w:rsidP="00420C1B">
            <w:pPr>
              <w:spacing w:after="0" w:line="240" w:lineRule="auto"/>
              <w:rPr>
                <w:rFonts w:ascii="Times New Roman" w:hAnsi="Times New Roman"/>
              </w:rPr>
            </w:pPr>
            <w:r w:rsidRPr="00420C1B">
              <w:rPr>
                <w:rFonts w:ascii="Times New Roman" w:hAnsi="Times New Roman"/>
              </w:rPr>
              <w:t>Associations</w:t>
            </w:r>
          </w:p>
        </w:tc>
        <w:tc>
          <w:tcPr>
            <w:tcW w:w="2759" w:type="dxa"/>
            <w:shd w:val="clear" w:color="auto" w:fill="auto"/>
            <w:vAlign w:val="center"/>
          </w:tcPr>
          <w:p w14:paraId="1550D586"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Vecteurs efficaces pour informer, sensibiliser et éduquer les populations ;</w:t>
            </w:r>
          </w:p>
          <w:p w14:paraId="591C2901"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Bonne capacité de mobilisation des acteurs locaux ;</w:t>
            </w:r>
          </w:p>
          <w:p w14:paraId="285DF57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Facilitation de contact avec les partenaires au développement.</w:t>
            </w:r>
          </w:p>
        </w:tc>
        <w:tc>
          <w:tcPr>
            <w:tcW w:w="2409" w:type="dxa"/>
            <w:shd w:val="clear" w:color="auto" w:fill="auto"/>
            <w:vAlign w:val="center"/>
          </w:tcPr>
          <w:p w14:paraId="379E9180"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 xml:space="preserve">Expertise insuffisante par rapport aux missions environnementales et sociales ; </w:t>
            </w:r>
          </w:p>
          <w:p w14:paraId="5940A8FA"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Manque de moyens financiers pour la conduite de leurs missions de suivi ;</w:t>
            </w:r>
          </w:p>
          <w:p w14:paraId="209F519E"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Absence de coordination des interventions</w:t>
            </w:r>
          </w:p>
        </w:tc>
        <w:tc>
          <w:tcPr>
            <w:tcW w:w="2977" w:type="dxa"/>
            <w:shd w:val="clear" w:color="auto" w:fill="auto"/>
            <w:vAlign w:val="center"/>
          </w:tcPr>
          <w:p w14:paraId="1B0AE93A"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Prévoir un budget d’intervention de ces organisations dans le suivi environnemental du projet ;</w:t>
            </w:r>
          </w:p>
          <w:p w14:paraId="0CA20CD9"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Prévoir des formations en évaluations environnementales notamment le suivi des PGES, le screening</w:t>
            </w:r>
          </w:p>
        </w:tc>
      </w:tr>
      <w:tr w:rsidR="002C66D7" w:rsidRPr="00420C1B" w14:paraId="7CDEE281" w14:textId="77777777" w:rsidTr="00420C1B">
        <w:trPr>
          <w:trHeight w:val="1251"/>
          <w:jc w:val="center"/>
        </w:trPr>
        <w:tc>
          <w:tcPr>
            <w:tcW w:w="1843" w:type="dxa"/>
            <w:shd w:val="clear" w:color="auto" w:fill="auto"/>
            <w:vAlign w:val="center"/>
          </w:tcPr>
          <w:p w14:paraId="31A89AFC"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Entreprises de BTP et PME</w:t>
            </w:r>
          </w:p>
        </w:tc>
        <w:tc>
          <w:tcPr>
            <w:tcW w:w="2759" w:type="dxa"/>
            <w:shd w:val="clear" w:color="auto" w:fill="auto"/>
            <w:vAlign w:val="center"/>
          </w:tcPr>
          <w:p w14:paraId="2C4E9442"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Expérience dans la réalisation des travaux</w:t>
            </w:r>
          </w:p>
          <w:p w14:paraId="5D9A723B"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Recrutement de la main d’œuvre locale en priorité</w:t>
            </w:r>
          </w:p>
        </w:tc>
        <w:tc>
          <w:tcPr>
            <w:tcW w:w="2409" w:type="dxa"/>
            <w:shd w:val="clear" w:color="auto" w:fill="auto"/>
            <w:vAlign w:val="center"/>
          </w:tcPr>
          <w:p w14:paraId="091D1B80"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Manque d’expérience dans la prise en compte de l’environnement dans l’exécution des travaux</w:t>
            </w:r>
          </w:p>
        </w:tc>
        <w:tc>
          <w:tcPr>
            <w:tcW w:w="2977" w:type="dxa"/>
            <w:shd w:val="clear" w:color="auto" w:fill="auto"/>
            <w:vAlign w:val="center"/>
          </w:tcPr>
          <w:p w14:paraId="3CB4BDB7" w14:textId="77777777" w:rsidR="003B587C" w:rsidRPr="00420C1B" w:rsidRDefault="003B587C" w:rsidP="00420C1B">
            <w:pPr>
              <w:autoSpaceDE w:val="0"/>
              <w:autoSpaceDN w:val="0"/>
              <w:adjustRightInd w:val="0"/>
              <w:spacing w:after="0" w:line="240" w:lineRule="auto"/>
              <w:rPr>
                <w:rFonts w:ascii="Times New Roman" w:hAnsi="Times New Roman"/>
              </w:rPr>
            </w:pPr>
            <w:r w:rsidRPr="00420C1B">
              <w:rPr>
                <w:rFonts w:ascii="Times New Roman" w:hAnsi="Times New Roman"/>
              </w:rPr>
              <w:t>Prévoir des formations pour l’élaboration, la mise en œuvre et le suivi des PGES de chantiers</w:t>
            </w:r>
          </w:p>
        </w:tc>
      </w:tr>
    </w:tbl>
    <w:p w14:paraId="0DA46494" w14:textId="77777777" w:rsidR="00FB3D81" w:rsidRPr="00E737B4" w:rsidRDefault="00FB3D81" w:rsidP="00E737B4">
      <w:pPr>
        <w:spacing w:before="120" w:after="12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76B34306" w14:textId="77777777" w:rsidR="00221268" w:rsidRPr="00D75D2E" w:rsidRDefault="00221268" w:rsidP="00E95DBB">
      <w:pPr>
        <w:pStyle w:val="Paragraphedeliste"/>
        <w:keepNext/>
        <w:keepLines/>
        <w:numPr>
          <w:ilvl w:val="1"/>
          <w:numId w:val="54"/>
        </w:numPr>
        <w:tabs>
          <w:tab w:val="left" w:pos="567"/>
        </w:tabs>
        <w:spacing w:before="240" w:after="120" w:line="240" w:lineRule="auto"/>
        <w:ind w:left="567" w:hanging="567"/>
        <w:contextualSpacing w:val="0"/>
        <w:outlineLvl w:val="1"/>
        <w:rPr>
          <w:rFonts w:ascii="Times New Roman" w:eastAsia="Times New Roman" w:hAnsi="Times New Roman"/>
          <w:b/>
          <w:sz w:val="24"/>
          <w:szCs w:val="24"/>
        </w:rPr>
      </w:pPr>
      <w:bookmarkStart w:id="411" w:name="_Toc519050506"/>
      <w:bookmarkStart w:id="412" w:name="_Toc103685623"/>
      <w:r w:rsidRPr="00D75D2E">
        <w:rPr>
          <w:rFonts w:ascii="Times New Roman" w:eastAsia="Times New Roman" w:hAnsi="Times New Roman"/>
          <w:b/>
          <w:sz w:val="24"/>
          <w:szCs w:val="24"/>
        </w:rPr>
        <w:t xml:space="preserve">Synthèse des Responsabilités pour la mise en œuvre et </w:t>
      </w:r>
      <w:r w:rsidR="005B5158">
        <w:rPr>
          <w:rFonts w:ascii="Times New Roman" w:eastAsia="Times New Roman" w:hAnsi="Times New Roman"/>
          <w:b/>
          <w:sz w:val="24"/>
          <w:szCs w:val="24"/>
        </w:rPr>
        <w:t>l</w:t>
      </w:r>
      <w:r w:rsidRPr="00D75D2E">
        <w:rPr>
          <w:rFonts w:ascii="Times New Roman" w:eastAsia="Times New Roman" w:hAnsi="Times New Roman"/>
          <w:b/>
          <w:sz w:val="24"/>
          <w:szCs w:val="24"/>
        </w:rPr>
        <w:t>e suivi du PGES</w:t>
      </w:r>
      <w:bookmarkEnd w:id="411"/>
      <w:bookmarkEnd w:id="412"/>
    </w:p>
    <w:p w14:paraId="561F4566" w14:textId="5E81513E" w:rsidR="00221268" w:rsidRDefault="00221268" w:rsidP="00E737B4">
      <w:pPr>
        <w:spacing w:after="0" w:line="240" w:lineRule="auto"/>
        <w:jc w:val="both"/>
        <w:rPr>
          <w:rFonts w:ascii="Times New Roman" w:hAnsi="Times New Roman"/>
          <w:sz w:val="24"/>
          <w:szCs w:val="24"/>
        </w:rPr>
      </w:pPr>
      <w:r w:rsidRPr="00D75D2E">
        <w:rPr>
          <w:rFonts w:ascii="Times New Roman" w:hAnsi="Times New Roman"/>
          <w:sz w:val="24"/>
          <w:szCs w:val="24"/>
        </w:rPr>
        <w:t>Dans le cadre de la mise en œuvre et du suivi du PGES, les arrangements suivants sont proposés :</w:t>
      </w:r>
    </w:p>
    <w:p w14:paraId="1994F082" w14:textId="77777777" w:rsidR="003B587C" w:rsidRPr="00C738C5" w:rsidRDefault="003B587C" w:rsidP="00215867">
      <w:pPr>
        <w:pStyle w:val="Paragraphedeliste"/>
        <w:numPr>
          <w:ilvl w:val="0"/>
          <w:numId w:val="295"/>
        </w:numPr>
        <w:spacing w:before="120" w:after="120" w:line="240" w:lineRule="auto"/>
        <w:ind w:left="426" w:hanging="426"/>
        <w:contextualSpacing w:val="0"/>
        <w:jc w:val="both"/>
        <w:rPr>
          <w:rFonts w:ascii="Times New Roman" w:hAnsi="Times New Roman"/>
          <w:b/>
          <w:sz w:val="24"/>
          <w:szCs w:val="24"/>
        </w:rPr>
      </w:pPr>
      <w:r w:rsidRPr="00C738C5">
        <w:rPr>
          <w:rFonts w:ascii="Times New Roman" w:hAnsi="Times New Roman"/>
          <w:b/>
          <w:sz w:val="24"/>
          <w:szCs w:val="24"/>
        </w:rPr>
        <w:t xml:space="preserve">En phase des travaux </w:t>
      </w:r>
    </w:p>
    <w:p w14:paraId="08B63C97" w14:textId="77777777" w:rsidR="00221268" w:rsidRPr="00D75D2E" w:rsidRDefault="00221268" w:rsidP="00E95DBB">
      <w:pPr>
        <w:numPr>
          <w:ilvl w:val="0"/>
          <w:numId w:val="27"/>
        </w:numPr>
        <w:spacing w:before="120" w:after="120" w:line="240" w:lineRule="auto"/>
        <w:ind w:left="851" w:hanging="357"/>
        <w:jc w:val="both"/>
        <w:rPr>
          <w:rFonts w:ascii="Times New Roman" w:hAnsi="Times New Roman"/>
          <w:b/>
          <w:sz w:val="24"/>
          <w:szCs w:val="24"/>
        </w:rPr>
      </w:pPr>
      <w:r w:rsidRPr="00D75D2E">
        <w:rPr>
          <w:rFonts w:ascii="Times New Roman" w:hAnsi="Times New Roman"/>
          <w:b/>
          <w:sz w:val="24"/>
          <w:szCs w:val="24"/>
        </w:rPr>
        <w:t xml:space="preserve">Ministère </w:t>
      </w:r>
      <w:r w:rsidR="00BE14A1" w:rsidRPr="00D75D2E">
        <w:rPr>
          <w:rFonts w:ascii="Times New Roman" w:hAnsi="Times New Roman"/>
          <w:b/>
          <w:sz w:val="24"/>
          <w:szCs w:val="24"/>
        </w:rPr>
        <w:t xml:space="preserve">de </w:t>
      </w:r>
      <w:r w:rsidRPr="00D75D2E">
        <w:rPr>
          <w:rFonts w:ascii="Times New Roman" w:hAnsi="Times New Roman"/>
          <w:b/>
          <w:sz w:val="24"/>
          <w:szCs w:val="24"/>
        </w:rPr>
        <w:t xml:space="preserve">Ressources Hydrauliques </w:t>
      </w:r>
      <w:r w:rsidR="00BE14A1">
        <w:rPr>
          <w:rFonts w:ascii="Times New Roman" w:hAnsi="Times New Roman"/>
          <w:b/>
          <w:sz w:val="24"/>
          <w:szCs w:val="24"/>
        </w:rPr>
        <w:t xml:space="preserve">et </w:t>
      </w:r>
      <w:r w:rsidR="00BE14A1" w:rsidRPr="00D75D2E">
        <w:rPr>
          <w:rFonts w:ascii="Times New Roman" w:hAnsi="Times New Roman"/>
          <w:b/>
          <w:sz w:val="24"/>
          <w:szCs w:val="24"/>
        </w:rPr>
        <w:t>électricité</w:t>
      </w:r>
    </w:p>
    <w:p w14:paraId="523F1ADC" w14:textId="74906CBB"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w:t>
      </w:r>
      <w:r w:rsidR="00BE14A1">
        <w:rPr>
          <w:rFonts w:ascii="Times New Roman" w:hAnsi="Times New Roman"/>
          <w:sz w:val="24"/>
          <w:szCs w:val="24"/>
        </w:rPr>
        <w:t>e ministère des Ressources Hydrauliques et électricité à travers l</w:t>
      </w:r>
      <w:r w:rsidR="009F4327">
        <w:rPr>
          <w:rFonts w:ascii="Times New Roman" w:hAnsi="Times New Roman"/>
          <w:sz w:val="24"/>
          <w:szCs w:val="24"/>
        </w:rPr>
        <w:t>’</w:t>
      </w:r>
      <w:r w:rsidRPr="00D75D2E">
        <w:rPr>
          <w:rFonts w:ascii="Times New Roman" w:hAnsi="Times New Roman"/>
          <w:sz w:val="24"/>
          <w:szCs w:val="24"/>
        </w:rPr>
        <w:t xml:space="preserve">UCM </w:t>
      </w:r>
      <w:r w:rsidR="009F4327">
        <w:rPr>
          <w:rFonts w:ascii="Times New Roman" w:hAnsi="Times New Roman"/>
          <w:sz w:val="24"/>
          <w:szCs w:val="24"/>
        </w:rPr>
        <w:t xml:space="preserve">a une Cellule Environnementale et Sociale en son sein composée d’un Expert environnementaliste et </w:t>
      </w:r>
      <w:r w:rsidR="00CF54DB">
        <w:rPr>
          <w:rFonts w:ascii="Times New Roman" w:hAnsi="Times New Roman"/>
          <w:sz w:val="24"/>
          <w:szCs w:val="24"/>
        </w:rPr>
        <w:t>d’</w:t>
      </w:r>
      <w:r w:rsidR="009F4327">
        <w:rPr>
          <w:rFonts w:ascii="Times New Roman" w:hAnsi="Times New Roman"/>
          <w:sz w:val="24"/>
          <w:szCs w:val="24"/>
        </w:rPr>
        <w:t>un Expert en développement social. L’expert en VBG sera recruté avant la mise en œuvre du Projet AGREE. Par contre,</w:t>
      </w:r>
      <w:r w:rsidRPr="00D75D2E">
        <w:rPr>
          <w:rFonts w:ascii="Times New Roman" w:hAnsi="Times New Roman"/>
          <w:sz w:val="24"/>
          <w:szCs w:val="24"/>
        </w:rPr>
        <w:t xml:space="preserve"> l’Unité </w:t>
      </w:r>
      <w:r w:rsidR="009F4327">
        <w:rPr>
          <w:rFonts w:ascii="Times New Roman" w:hAnsi="Times New Roman"/>
          <w:sz w:val="24"/>
          <w:szCs w:val="24"/>
        </w:rPr>
        <w:t xml:space="preserve">de Gestion </w:t>
      </w:r>
      <w:r w:rsidRPr="00D75D2E">
        <w:rPr>
          <w:rFonts w:ascii="Times New Roman" w:hAnsi="Times New Roman"/>
          <w:sz w:val="24"/>
          <w:szCs w:val="24"/>
        </w:rPr>
        <w:t>Environnementale et Sociale</w:t>
      </w:r>
      <w:r w:rsidR="009F4327">
        <w:rPr>
          <w:rFonts w:ascii="Times New Roman" w:hAnsi="Times New Roman"/>
          <w:sz w:val="24"/>
          <w:szCs w:val="24"/>
        </w:rPr>
        <w:t xml:space="preserve"> (UGES)</w:t>
      </w:r>
      <w:r w:rsidRPr="00D75D2E">
        <w:rPr>
          <w:rFonts w:ascii="Times New Roman" w:hAnsi="Times New Roman"/>
          <w:sz w:val="24"/>
          <w:szCs w:val="24"/>
        </w:rPr>
        <w:t xml:space="preserve"> de la SNEL</w:t>
      </w:r>
      <w:r w:rsidR="009F4327">
        <w:rPr>
          <w:rFonts w:ascii="Times New Roman" w:hAnsi="Times New Roman"/>
          <w:sz w:val="24"/>
          <w:szCs w:val="24"/>
        </w:rPr>
        <w:t xml:space="preserve"> est composée de deux experts environnementalistes et deux experts sociologues qui</w:t>
      </w:r>
      <w:r w:rsidRPr="00D75D2E">
        <w:rPr>
          <w:rFonts w:ascii="Times New Roman" w:hAnsi="Times New Roman"/>
          <w:sz w:val="24"/>
          <w:szCs w:val="24"/>
        </w:rPr>
        <w:t xml:space="preserve"> vont </w:t>
      </w:r>
      <w:r w:rsidR="00D973D2">
        <w:rPr>
          <w:rFonts w:ascii="Times New Roman" w:hAnsi="Times New Roman"/>
          <w:sz w:val="24"/>
          <w:szCs w:val="24"/>
        </w:rPr>
        <w:t xml:space="preserve">participer à </w:t>
      </w:r>
      <w:r w:rsidRPr="00D75D2E">
        <w:rPr>
          <w:rFonts w:ascii="Times New Roman" w:hAnsi="Times New Roman"/>
          <w:sz w:val="24"/>
          <w:szCs w:val="24"/>
        </w:rPr>
        <w:t>la supervision environnementale et sociale des travaux. Compte tenu des enjeux environnementaux, sociaux et fonciers du projet, ces deux organes et la Mission de Contrôle (MdC) vont veiller à l’effectivité de la prise en compte de ces aspects par les entreprises lors des travaux. Dans ce cadre, des rapports sur la gestion environnementale et sociale des travaux devront être produits tous les mois et transmis à l’UES-UCM afin de permettre de suivre l’évolution de la gestion environnementale du chantier.</w:t>
      </w:r>
    </w:p>
    <w:p w14:paraId="59F657FE" w14:textId="77777777" w:rsidR="00221268" w:rsidRPr="00D75D2E" w:rsidRDefault="00221268" w:rsidP="008C79F0">
      <w:pPr>
        <w:numPr>
          <w:ilvl w:val="0"/>
          <w:numId w:val="20"/>
        </w:numPr>
        <w:suppressAutoHyphens/>
        <w:spacing w:before="120" w:after="120" w:line="240" w:lineRule="auto"/>
        <w:ind w:left="426"/>
        <w:jc w:val="both"/>
        <w:rPr>
          <w:rFonts w:ascii="Times New Roman" w:eastAsia="Arial Unicode MS" w:hAnsi="Times New Roman"/>
          <w:b/>
          <w:sz w:val="24"/>
          <w:szCs w:val="24"/>
          <w:lang w:val="fr-CA" w:eastAsia="fr-FR"/>
        </w:rPr>
      </w:pPr>
      <w:r w:rsidRPr="00D75D2E">
        <w:rPr>
          <w:rFonts w:ascii="Times New Roman" w:eastAsia="Arial Unicode MS" w:hAnsi="Times New Roman"/>
          <w:b/>
          <w:sz w:val="24"/>
          <w:szCs w:val="24"/>
          <w:lang w:val="fr-CA" w:eastAsia="fr-FR"/>
        </w:rPr>
        <w:t>Rôles et responsabilités de la mise en œuvre, du suivi du PGES</w:t>
      </w:r>
    </w:p>
    <w:p w14:paraId="5A9A7E98"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Plusieurs acteurs interviennent dans la mise en œuvre et le suivi du PGES. Il s’agit entre autres : </w:t>
      </w:r>
    </w:p>
    <w:p w14:paraId="73F76675" w14:textId="77777777" w:rsidR="00221268" w:rsidRPr="00D75D2E" w:rsidRDefault="00221268" w:rsidP="00215867">
      <w:pPr>
        <w:numPr>
          <w:ilvl w:val="0"/>
          <w:numId w:val="27"/>
        </w:numPr>
        <w:spacing w:before="120" w:after="120" w:line="240" w:lineRule="auto"/>
        <w:ind w:left="851" w:hanging="357"/>
        <w:jc w:val="both"/>
        <w:rPr>
          <w:rFonts w:ascii="Times New Roman" w:hAnsi="Times New Roman"/>
          <w:sz w:val="24"/>
          <w:szCs w:val="24"/>
        </w:rPr>
      </w:pPr>
      <w:r w:rsidRPr="00D75D2E">
        <w:rPr>
          <w:rFonts w:ascii="Times New Roman" w:hAnsi="Times New Roman"/>
          <w:sz w:val="24"/>
          <w:szCs w:val="24"/>
        </w:rPr>
        <w:t>La Sous Cellule environnementale et sociale de l’UCM,</w:t>
      </w:r>
    </w:p>
    <w:p w14:paraId="75227D27"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Dans la préparation du PGES, son rôle est de: informer les parties prenantes ; organiser le séminaire de restitution et de validation du PGES ; consulter la société civile pendant la mise en œuvre du PGES ; suivre la mise en œuvre du PGES par l’intermédiaire d’une mission de contrôle; assurer la mise en œuvre de certaines mesures complémentaires à exécuter pour corriger des problèmes environnementaux et sociaux ; assurer la mise en œuvre des mesures environnementales et sociales du projet ; assurer la supervision environnementale et sociale des travaux. </w:t>
      </w:r>
    </w:p>
    <w:p w14:paraId="47283BAD" w14:textId="752DCD30" w:rsidR="00221268" w:rsidRPr="00D75D2E" w:rsidRDefault="00221268" w:rsidP="00215867">
      <w:pPr>
        <w:numPr>
          <w:ilvl w:val="0"/>
          <w:numId w:val="27"/>
        </w:numPr>
        <w:spacing w:before="120" w:after="120" w:line="240" w:lineRule="auto"/>
        <w:ind w:left="851" w:hanging="357"/>
        <w:jc w:val="both"/>
        <w:rPr>
          <w:rFonts w:ascii="Times New Roman" w:hAnsi="Times New Roman"/>
          <w:b/>
          <w:sz w:val="24"/>
          <w:szCs w:val="24"/>
        </w:rPr>
      </w:pPr>
      <w:r w:rsidRPr="00D75D2E">
        <w:rPr>
          <w:rFonts w:ascii="Times New Roman" w:hAnsi="Times New Roman"/>
          <w:b/>
          <w:sz w:val="24"/>
          <w:szCs w:val="24"/>
        </w:rPr>
        <w:t>Ministère de l’Environnement et Développement Durable (MEDD)</w:t>
      </w:r>
    </w:p>
    <w:p w14:paraId="6D863516"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 MEDD intervient essentiellement par l’intermédiaire de l’ACE et de la DCVI, notamment en ce qui concerne la validation des EIES et le suivi-contrôle environnemental et social.</w:t>
      </w:r>
    </w:p>
    <w:p w14:paraId="50AF73A5" w14:textId="77777777" w:rsidR="00221268" w:rsidRPr="00D75D2E" w:rsidRDefault="00221268" w:rsidP="00215867">
      <w:pPr>
        <w:numPr>
          <w:ilvl w:val="0"/>
          <w:numId w:val="27"/>
        </w:numPr>
        <w:spacing w:before="120" w:after="120" w:line="240" w:lineRule="auto"/>
        <w:ind w:left="851" w:hanging="357"/>
        <w:jc w:val="both"/>
        <w:rPr>
          <w:rFonts w:ascii="Times New Roman" w:hAnsi="Times New Roman"/>
          <w:sz w:val="24"/>
          <w:szCs w:val="24"/>
        </w:rPr>
      </w:pPr>
      <w:r w:rsidRPr="00D75D2E">
        <w:rPr>
          <w:rFonts w:ascii="Times New Roman" w:hAnsi="Times New Roman"/>
          <w:b/>
          <w:sz w:val="24"/>
          <w:szCs w:val="24"/>
        </w:rPr>
        <w:t xml:space="preserve">ACE et le CPE de la Province Kinshasa </w:t>
      </w:r>
    </w:p>
    <w:p w14:paraId="75F45515"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Ils ont pour rôle la validation de l’EIES par l’ACE pour le compte du MEDD. L’ACE assure le suivi-contrôle de la mise en œuvre des mesures environnementales et sociales du projet. Au niveau provincial et local, ce suivi-contrôle sera assuré par la CPE de Kinshasa. </w:t>
      </w:r>
    </w:p>
    <w:p w14:paraId="39710628" w14:textId="77777777" w:rsidR="00221268" w:rsidRPr="00D75D2E" w:rsidRDefault="00221268" w:rsidP="00215867">
      <w:pPr>
        <w:numPr>
          <w:ilvl w:val="0"/>
          <w:numId w:val="27"/>
        </w:numPr>
        <w:spacing w:before="120" w:after="120" w:line="240" w:lineRule="auto"/>
        <w:ind w:left="851" w:hanging="357"/>
        <w:jc w:val="both"/>
        <w:rPr>
          <w:rFonts w:ascii="Times New Roman" w:hAnsi="Times New Roman"/>
          <w:b/>
          <w:sz w:val="24"/>
          <w:szCs w:val="24"/>
        </w:rPr>
      </w:pPr>
      <w:r w:rsidRPr="00D75D2E">
        <w:rPr>
          <w:rFonts w:ascii="Times New Roman" w:hAnsi="Times New Roman"/>
          <w:b/>
          <w:sz w:val="24"/>
          <w:szCs w:val="24"/>
        </w:rPr>
        <w:t>Entreprises de travaux </w:t>
      </w:r>
    </w:p>
    <w:p w14:paraId="40060C5D" w14:textId="77777777" w:rsidR="00221268"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Les entreprises sont chargées de l’exécution physique des travaux sur le terrain, y compris l’exécution du PGES. Les entreprises assurent la réalisation effective de certaines mesures d’atténuation inscrites dans le PGES et éventuellement, des mesures d’atténuation complémentaires identifiées dans le cadre des activités du suivi et de surveillance environnementale. Elles élaborent et mettent en œuvre un Plan de gestion environnementale et sociale de chantier.</w:t>
      </w:r>
    </w:p>
    <w:p w14:paraId="2AC64F63" w14:textId="77777777" w:rsidR="00C63DB9" w:rsidRDefault="00C63DB9" w:rsidP="00E737B4">
      <w:pPr>
        <w:spacing w:before="120" w:after="120" w:line="240" w:lineRule="auto"/>
        <w:jc w:val="both"/>
        <w:rPr>
          <w:rFonts w:ascii="Times New Roman" w:hAnsi="Times New Roman"/>
          <w:sz w:val="24"/>
          <w:szCs w:val="24"/>
        </w:rPr>
      </w:pPr>
    </w:p>
    <w:p w14:paraId="14E047C2" w14:textId="77777777" w:rsidR="00C63DB9" w:rsidRPr="00D75D2E" w:rsidRDefault="00C63DB9" w:rsidP="00E737B4">
      <w:pPr>
        <w:spacing w:before="120" w:after="120" w:line="240" w:lineRule="auto"/>
        <w:jc w:val="both"/>
        <w:rPr>
          <w:rFonts w:ascii="Times New Roman" w:hAnsi="Times New Roman"/>
          <w:sz w:val="24"/>
          <w:szCs w:val="24"/>
        </w:rPr>
      </w:pPr>
    </w:p>
    <w:p w14:paraId="431531D6" w14:textId="77777777" w:rsidR="00221268" w:rsidRPr="00D75D2E" w:rsidRDefault="00221268" w:rsidP="00215867">
      <w:pPr>
        <w:numPr>
          <w:ilvl w:val="0"/>
          <w:numId w:val="27"/>
        </w:numPr>
        <w:spacing w:before="120" w:after="120" w:line="240" w:lineRule="auto"/>
        <w:ind w:left="851" w:hanging="357"/>
        <w:jc w:val="both"/>
        <w:rPr>
          <w:rFonts w:ascii="Times New Roman" w:hAnsi="Times New Roman"/>
          <w:b/>
          <w:sz w:val="24"/>
          <w:szCs w:val="24"/>
        </w:rPr>
      </w:pPr>
      <w:r w:rsidRPr="00D75D2E">
        <w:rPr>
          <w:rFonts w:ascii="Times New Roman" w:hAnsi="Times New Roman"/>
          <w:b/>
          <w:sz w:val="24"/>
          <w:szCs w:val="24"/>
        </w:rPr>
        <w:t xml:space="preserve"> Mission de Contrôle (MdC) </w:t>
      </w:r>
    </w:p>
    <w:p w14:paraId="1F25C7B8"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La </w:t>
      </w:r>
      <w:r w:rsidRPr="00D75D2E">
        <w:rPr>
          <w:rFonts w:ascii="Times New Roman" w:hAnsi="Times New Roman"/>
          <w:bCs/>
          <w:sz w:val="24"/>
          <w:szCs w:val="24"/>
        </w:rPr>
        <w:t>Mission de Contrôle (MdC) assure la supervision et le contrôle de l’ensemble des travaux exécutés par</w:t>
      </w:r>
      <w:r w:rsidRPr="00D75D2E">
        <w:rPr>
          <w:rFonts w:ascii="Times New Roman" w:hAnsi="Times New Roman"/>
          <w:sz w:val="24"/>
          <w:szCs w:val="24"/>
        </w:rPr>
        <w:t xml:space="preserve"> l’Entreprise de travaux.</w:t>
      </w:r>
    </w:p>
    <w:p w14:paraId="076BA3AE" w14:textId="77777777" w:rsidR="00221268" w:rsidRPr="00D75D2E" w:rsidRDefault="00221268" w:rsidP="008C79F0">
      <w:pPr>
        <w:numPr>
          <w:ilvl w:val="0"/>
          <w:numId w:val="27"/>
        </w:numPr>
        <w:spacing w:before="120" w:after="120" w:line="240" w:lineRule="auto"/>
        <w:ind w:left="708"/>
        <w:jc w:val="both"/>
        <w:rPr>
          <w:rFonts w:ascii="Times New Roman" w:hAnsi="Times New Roman"/>
          <w:sz w:val="24"/>
          <w:szCs w:val="24"/>
        </w:rPr>
      </w:pPr>
      <w:r w:rsidRPr="00D75D2E">
        <w:rPr>
          <w:rFonts w:ascii="Times New Roman" w:hAnsi="Times New Roman"/>
          <w:sz w:val="24"/>
          <w:szCs w:val="24"/>
        </w:rPr>
        <w:t> </w:t>
      </w:r>
      <w:r w:rsidRPr="00D75D2E">
        <w:rPr>
          <w:rFonts w:ascii="Times New Roman" w:hAnsi="Times New Roman"/>
          <w:b/>
          <w:i/>
          <w:sz w:val="24"/>
          <w:szCs w:val="24"/>
        </w:rPr>
        <w:t xml:space="preserve"> Communes situées dans la zone du projet </w:t>
      </w:r>
    </w:p>
    <w:p w14:paraId="477308C7"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Les quatre (04) communes de la zone du projet notamment les Bourgmestres par l’intermédiaire du Bureau Urbain de l’Environnement (BUE) participeront au suivi, à la sensibilisation des populations, aux activités de mobilisation sociale. Dans chaque commune concernée, les services techniques locaux vont assurer le suivi de proximité de la mise en œuvre des recommandations du PGES. Elles participeront à la mobilisation sociale, à l’adoption et à la diffusion de l’information contenue dans le PGES et veilleront à la surveillance des infrastructures réalisées.</w:t>
      </w:r>
    </w:p>
    <w:p w14:paraId="23248779" w14:textId="77777777" w:rsidR="00221268" w:rsidRPr="00D75D2E" w:rsidRDefault="00221268" w:rsidP="008C79F0">
      <w:pPr>
        <w:numPr>
          <w:ilvl w:val="0"/>
          <w:numId w:val="27"/>
        </w:numPr>
        <w:spacing w:before="120" w:after="120" w:line="240" w:lineRule="auto"/>
        <w:ind w:left="708"/>
        <w:jc w:val="both"/>
        <w:rPr>
          <w:rFonts w:ascii="Times New Roman" w:hAnsi="Times New Roman"/>
          <w:b/>
          <w:i/>
          <w:sz w:val="24"/>
          <w:szCs w:val="24"/>
        </w:rPr>
      </w:pPr>
      <w:r w:rsidRPr="00D75D2E">
        <w:rPr>
          <w:rFonts w:ascii="Times New Roman" w:hAnsi="Times New Roman"/>
          <w:b/>
          <w:i/>
          <w:sz w:val="24"/>
          <w:szCs w:val="24"/>
        </w:rPr>
        <w:t>ONG et autres organisations de la société civile</w:t>
      </w:r>
    </w:p>
    <w:p w14:paraId="4B6DE3E1"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La société civile jouera un rôle essentiel en participant à la phase préparatoire du projet, en prenant part aux consultations publiques, au séminaire de restitution, en examinant le document du PGES et en transmettant ses commentaires à la CI ; suivant les résultats et les problèmes qui surgissent et en donnant ses réactions et suggestions à tous les intervenants. </w:t>
      </w:r>
    </w:p>
    <w:p w14:paraId="51CC0E0C" w14:textId="77777777" w:rsidR="00221268" w:rsidRPr="00D75D2E" w:rsidRDefault="00221268"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Ces organisations pourront aussi appuyer le projet dans l’information et la sensibilisation des acteurs impliqués et des populations des zones bénéficiaires sur les aspects environnementaux et sociaux liés aux travaux et à la mise en service du projet.</w:t>
      </w:r>
    </w:p>
    <w:p w14:paraId="002BD384" w14:textId="321F0936" w:rsidR="007001C1" w:rsidRPr="00215867" w:rsidRDefault="007001C1" w:rsidP="00215867">
      <w:pPr>
        <w:spacing w:before="120" w:after="120" w:line="240" w:lineRule="auto"/>
        <w:jc w:val="both"/>
        <w:rPr>
          <w:rFonts w:ascii="Times New Roman" w:hAnsi="Times New Roman"/>
          <w:sz w:val="24"/>
          <w:szCs w:val="24"/>
        </w:rPr>
      </w:pPr>
      <w:r>
        <w:rPr>
          <w:rFonts w:ascii="Times New Roman" w:hAnsi="Times New Roman"/>
          <w:sz w:val="24"/>
          <w:szCs w:val="24"/>
        </w:rPr>
        <w:t>En outre, les ONG locales spécialisées en VBG vont</w:t>
      </w:r>
      <w:r w:rsidR="00120503">
        <w:rPr>
          <w:rFonts w:ascii="Times New Roman" w:hAnsi="Times New Roman"/>
          <w:sz w:val="24"/>
          <w:szCs w:val="24"/>
        </w:rPr>
        <w:t xml:space="preserve"> : (i) former et sensibiliser les parties prenantes sur la lutte contre les EAS/HS conformément au Plan d’Action </w:t>
      </w:r>
      <w:r w:rsidR="00B334B1">
        <w:rPr>
          <w:rFonts w:ascii="Times New Roman" w:hAnsi="Times New Roman"/>
          <w:sz w:val="24"/>
          <w:szCs w:val="24"/>
        </w:rPr>
        <w:t>EAS/HS</w:t>
      </w:r>
      <w:r w:rsidR="00120503">
        <w:rPr>
          <w:rFonts w:ascii="Times New Roman" w:hAnsi="Times New Roman"/>
          <w:sz w:val="24"/>
          <w:szCs w:val="24"/>
        </w:rPr>
        <w:t xml:space="preserve"> et au PMPP du Projet AGREE ; (ii) référencer les </w:t>
      </w:r>
      <w:r w:rsidR="00F158FB">
        <w:rPr>
          <w:rFonts w:ascii="Times New Roman" w:hAnsi="Times New Roman"/>
          <w:sz w:val="24"/>
          <w:szCs w:val="24"/>
        </w:rPr>
        <w:t xml:space="preserve">survivants vers les </w:t>
      </w:r>
      <w:r w:rsidR="00120503">
        <w:rPr>
          <w:rFonts w:ascii="Times New Roman" w:hAnsi="Times New Roman"/>
          <w:sz w:val="24"/>
          <w:szCs w:val="24"/>
        </w:rPr>
        <w:t xml:space="preserve">services VBG ; (iii) </w:t>
      </w:r>
      <w:r w:rsidR="00D973D2">
        <w:rPr>
          <w:rFonts w:ascii="Times New Roman" w:hAnsi="Times New Roman"/>
          <w:sz w:val="24"/>
          <w:szCs w:val="24"/>
        </w:rPr>
        <w:t xml:space="preserve">assurer la </w:t>
      </w:r>
      <w:r w:rsidR="00120503">
        <w:rPr>
          <w:rFonts w:ascii="Times New Roman" w:hAnsi="Times New Roman"/>
          <w:sz w:val="24"/>
          <w:szCs w:val="24"/>
        </w:rPr>
        <w:t>prise en charge médicale, psychosociale et juridique des survivants ; participer à la gestion des plaintes sensibles aux EAS/HS.</w:t>
      </w:r>
    </w:p>
    <w:p w14:paraId="1B069359" w14:textId="77777777" w:rsidR="003B587C" w:rsidRPr="0039060A" w:rsidRDefault="003B587C" w:rsidP="003B587C">
      <w:pPr>
        <w:pStyle w:val="Paragraphedeliste"/>
        <w:numPr>
          <w:ilvl w:val="0"/>
          <w:numId w:val="295"/>
        </w:numPr>
        <w:spacing w:after="0" w:line="240" w:lineRule="auto"/>
        <w:ind w:left="426"/>
        <w:jc w:val="both"/>
        <w:rPr>
          <w:rFonts w:ascii="Times New Roman" w:hAnsi="Times New Roman"/>
          <w:b/>
          <w:sz w:val="24"/>
          <w:szCs w:val="24"/>
        </w:rPr>
      </w:pPr>
      <w:r w:rsidRPr="0039060A">
        <w:rPr>
          <w:rFonts w:ascii="Times New Roman" w:hAnsi="Times New Roman"/>
          <w:b/>
          <w:sz w:val="24"/>
          <w:szCs w:val="24"/>
        </w:rPr>
        <w:t xml:space="preserve">En phase </w:t>
      </w:r>
      <w:r>
        <w:rPr>
          <w:rFonts w:ascii="Times New Roman" w:hAnsi="Times New Roman"/>
          <w:b/>
          <w:sz w:val="24"/>
          <w:szCs w:val="24"/>
        </w:rPr>
        <w:t>d’exploitation</w:t>
      </w:r>
    </w:p>
    <w:p w14:paraId="664F7C6B" w14:textId="77777777" w:rsidR="003B587C" w:rsidRPr="00D75D2E" w:rsidRDefault="003B587C" w:rsidP="003B587C">
      <w:pPr>
        <w:spacing w:after="0" w:line="240" w:lineRule="auto"/>
        <w:rPr>
          <w:rFonts w:ascii="Times New Roman" w:hAnsi="Times New Roman"/>
        </w:rPr>
      </w:pPr>
    </w:p>
    <w:p w14:paraId="126512D4" w14:textId="77777777" w:rsidR="003B587C" w:rsidRDefault="003B587C" w:rsidP="003B587C">
      <w:pPr>
        <w:jc w:val="both"/>
        <w:rPr>
          <w:rFonts w:ascii="Times New Roman" w:hAnsi="Times New Roman"/>
          <w:sz w:val="24"/>
          <w:szCs w:val="24"/>
        </w:rPr>
      </w:pPr>
      <w:r>
        <w:rPr>
          <w:rFonts w:ascii="Times New Roman" w:hAnsi="Times New Roman"/>
          <w:sz w:val="24"/>
          <w:szCs w:val="24"/>
        </w:rPr>
        <w:t>L’Unité de Gestion Environnementale et Sociale (UGES) de la Direction des grands Projets de la Société Nationale d’Electricité (SNEL) assureront la mise en œuvre du PGES en phase d’exploitation et entretien des installations au cours de leur cycle de vie.</w:t>
      </w:r>
    </w:p>
    <w:p w14:paraId="4A900F74" w14:textId="77777777" w:rsidR="003B587C" w:rsidRPr="00D75D2E" w:rsidRDefault="003B587C" w:rsidP="003B587C">
      <w:pPr>
        <w:numPr>
          <w:ilvl w:val="0"/>
          <w:numId w:val="44"/>
        </w:numPr>
        <w:spacing w:before="120" w:after="120" w:line="240" w:lineRule="auto"/>
        <w:jc w:val="both"/>
        <w:rPr>
          <w:rFonts w:ascii="Times New Roman" w:hAnsi="Times New Roman"/>
          <w:b/>
          <w:sz w:val="24"/>
          <w:szCs w:val="24"/>
        </w:rPr>
      </w:pPr>
      <w:r w:rsidRPr="00D75D2E">
        <w:rPr>
          <w:rFonts w:ascii="Times New Roman" w:hAnsi="Times New Roman"/>
          <w:b/>
          <w:sz w:val="24"/>
          <w:szCs w:val="24"/>
        </w:rPr>
        <w:t>Ministère de l’Environnement et Développement Durable (MEDD)</w:t>
      </w:r>
    </w:p>
    <w:p w14:paraId="13ADB713" w14:textId="77777777" w:rsidR="003B587C" w:rsidRDefault="003B587C" w:rsidP="003B587C">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Le MEDD intervient essentiellement par l’intermédiaire de l’ACE et de la </w:t>
      </w:r>
      <w:r>
        <w:rPr>
          <w:rFonts w:ascii="Times New Roman" w:hAnsi="Times New Roman"/>
          <w:sz w:val="24"/>
          <w:szCs w:val="24"/>
        </w:rPr>
        <w:t>Direction des établissements humains (DEPH)</w:t>
      </w:r>
      <w:r w:rsidRPr="00D75D2E">
        <w:rPr>
          <w:rFonts w:ascii="Times New Roman" w:hAnsi="Times New Roman"/>
          <w:sz w:val="24"/>
          <w:szCs w:val="24"/>
        </w:rPr>
        <w:t>, notamment en ce qui concerne le suivi-contrôle environnemental et social.</w:t>
      </w:r>
    </w:p>
    <w:p w14:paraId="0B7CD377" w14:textId="77777777" w:rsidR="00360D1B" w:rsidRDefault="00360D1B">
      <w:pPr>
        <w:rPr>
          <w:rFonts w:ascii="Times New Roman" w:hAnsi="Times New Roman"/>
          <w:sz w:val="24"/>
          <w:szCs w:val="24"/>
        </w:rPr>
        <w:sectPr w:rsidR="00360D1B" w:rsidSect="00360D1B">
          <w:footerReference w:type="default" r:id="rId28"/>
          <w:footerReference w:type="first" r:id="rId29"/>
          <w:pgSz w:w="11906" w:h="16838"/>
          <w:pgMar w:top="1418" w:right="1418" w:bottom="1418" w:left="1134" w:header="709" w:footer="709" w:gutter="0"/>
          <w:cols w:space="708"/>
          <w:docGrid w:linePitch="360"/>
        </w:sectPr>
      </w:pPr>
    </w:p>
    <w:p w14:paraId="3BDB7409" w14:textId="0E596B09" w:rsidR="003B587C" w:rsidRPr="00AE31F1" w:rsidRDefault="003B587C" w:rsidP="00215867">
      <w:pPr>
        <w:pStyle w:val="Paragraphedeliste"/>
        <w:keepNext/>
        <w:keepLines/>
        <w:numPr>
          <w:ilvl w:val="1"/>
          <w:numId w:val="54"/>
        </w:numPr>
        <w:tabs>
          <w:tab w:val="left" w:pos="567"/>
        </w:tabs>
        <w:spacing w:before="240" w:after="120" w:line="240" w:lineRule="auto"/>
        <w:ind w:left="567" w:hanging="567"/>
        <w:outlineLvl w:val="1"/>
        <w:rPr>
          <w:rFonts w:ascii="Times New Roman" w:eastAsia="Times New Roman" w:hAnsi="Times New Roman"/>
          <w:b/>
          <w:sz w:val="24"/>
          <w:szCs w:val="24"/>
        </w:rPr>
      </w:pPr>
      <w:bookmarkStart w:id="413" w:name="_Toc103685624"/>
      <w:r w:rsidRPr="00AE31F1">
        <w:rPr>
          <w:rFonts w:ascii="Times New Roman" w:eastAsia="Times New Roman" w:hAnsi="Times New Roman"/>
          <w:b/>
          <w:sz w:val="24"/>
          <w:szCs w:val="24"/>
        </w:rPr>
        <w:t>Justification de la nécessité de tout plan environnemental et social pour satisfaire aux exigences des SSE 1 à 10</w:t>
      </w:r>
      <w:bookmarkEnd w:id="413"/>
      <w:r w:rsidRPr="00AE31F1">
        <w:rPr>
          <w:rFonts w:ascii="Times New Roman" w:eastAsia="Times New Roman" w:hAnsi="Times New Roman"/>
          <w:b/>
          <w:sz w:val="24"/>
          <w:szCs w:val="24"/>
        </w:rPr>
        <w:t> </w:t>
      </w:r>
    </w:p>
    <w:p w14:paraId="33807DE5" w14:textId="3DAD94D9" w:rsidR="003912E1" w:rsidRPr="00420C1B" w:rsidRDefault="00E732DD" w:rsidP="003B587C">
      <w:pPr>
        <w:spacing w:before="120" w:after="120" w:line="20" w:lineRule="atLeast"/>
        <w:jc w:val="both"/>
        <w:rPr>
          <w:rFonts w:ascii="Times New Roman" w:hAnsi="Times New Roman"/>
          <w:color w:val="000000"/>
          <w:sz w:val="24"/>
          <w:szCs w:val="24"/>
        </w:rPr>
      </w:pPr>
      <w:r w:rsidRPr="00420C1B">
        <w:rPr>
          <w:rFonts w:ascii="Times New Roman" w:hAnsi="Times New Roman"/>
          <w:color w:val="000000"/>
          <w:sz w:val="24"/>
          <w:szCs w:val="24"/>
        </w:rPr>
        <w:t>Cette justification est faite au tabl</w:t>
      </w:r>
      <w:r w:rsidR="008B0CC6" w:rsidRPr="00420C1B">
        <w:rPr>
          <w:rFonts w:ascii="Times New Roman" w:hAnsi="Times New Roman"/>
          <w:color w:val="000000"/>
          <w:sz w:val="24"/>
          <w:szCs w:val="24"/>
        </w:rPr>
        <w:t>e</w:t>
      </w:r>
      <w:r w:rsidRPr="00420C1B">
        <w:rPr>
          <w:rFonts w:ascii="Times New Roman" w:hAnsi="Times New Roman"/>
          <w:color w:val="000000"/>
          <w:sz w:val="24"/>
          <w:szCs w:val="24"/>
        </w:rPr>
        <w:t>au 7.</w:t>
      </w:r>
    </w:p>
    <w:p w14:paraId="6CFF468C" w14:textId="4045093F" w:rsidR="003B587C" w:rsidRPr="00420C1B" w:rsidRDefault="003B587C" w:rsidP="003B587C">
      <w:pPr>
        <w:spacing w:before="120" w:after="120" w:line="20" w:lineRule="atLeast"/>
        <w:jc w:val="both"/>
        <w:rPr>
          <w:rFonts w:ascii="Times New Roman" w:hAnsi="Times New Roman"/>
          <w:color w:val="000000"/>
          <w:sz w:val="24"/>
          <w:szCs w:val="24"/>
        </w:rPr>
      </w:pPr>
      <w:r w:rsidRPr="00420C1B">
        <w:rPr>
          <w:rFonts w:ascii="Times New Roman" w:hAnsi="Times New Roman"/>
          <w:color w:val="000000"/>
          <w:sz w:val="24"/>
          <w:szCs w:val="24"/>
        </w:rPr>
        <w:t>Le tableau 7 fait une analyse de la nécessité de tout plan environnemental et social pour satisfaire aux exigences des dix (10) Normes Environnementales et Sociales (NES).</w:t>
      </w:r>
    </w:p>
    <w:p w14:paraId="44BA3419" w14:textId="5A2AF9ED" w:rsidR="003B587C" w:rsidRPr="00E737B4" w:rsidRDefault="003B587C" w:rsidP="003B587C">
      <w:pPr>
        <w:pStyle w:val="Lgende"/>
        <w:spacing w:before="120" w:after="120" w:line="20" w:lineRule="atLeast"/>
        <w:rPr>
          <w:b/>
          <w:bCs/>
          <w:color w:val="FF0000"/>
          <w:sz w:val="24"/>
          <w:szCs w:val="24"/>
        </w:rPr>
      </w:pPr>
      <w:bookmarkStart w:id="414" w:name="_Toc93050269"/>
      <w:r w:rsidRPr="00E737B4">
        <w:rPr>
          <w:sz w:val="24"/>
          <w:szCs w:val="24"/>
        </w:rPr>
        <w:t xml:space="preserve">Tableau </w:t>
      </w:r>
      <w:r w:rsidRPr="00E737B4">
        <w:rPr>
          <w:b/>
          <w:bCs/>
          <w:sz w:val="24"/>
          <w:szCs w:val="24"/>
        </w:rPr>
        <w:fldChar w:fldCharType="begin"/>
      </w:r>
      <w:r w:rsidRPr="00E737B4">
        <w:rPr>
          <w:sz w:val="24"/>
          <w:szCs w:val="24"/>
        </w:rPr>
        <w:instrText xml:space="preserve"> SEQ Tableau \* ARABIC </w:instrText>
      </w:r>
      <w:r w:rsidRPr="00E737B4">
        <w:rPr>
          <w:b/>
          <w:bCs/>
          <w:sz w:val="24"/>
          <w:szCs w:val="24"/>
        </w:rPr>
        <w:fldChar w:fldCharType="separate"/>
      </w:r>
      <w:r w:rsidR="00691EF5">
        <w:rPr>
          <w:noProof/>
          <w:sz w:val="24"/>
          <w:szCs w:val="24"/>
        </w:rPr>
        <w:t>7</w:t>
      </w:r>
      <w:r w:rsidRPr="00E737B4">
        <w:rPr>
          <w:b/>
          <w:bCs/>
          <w:sz w:val="24"/>
          <w:szCs w:val="24"/>
        </w:rPr>
        <w:fldChar w:fldCharType="end"/>
      </w:r>
      <w:r w:rsidRPr="00E737B4">
        <w:rPr>
          <w:sz w:val="24"/>
          <w:szCs w:val="24"/>
        </w:rPr>
        <w:t> : Justification de la nécessité de tout plan environnemental et social pour satisfaire aux exigences des NES 1 à 10.</w:t>
      </w:r>
      <w:bookmarkEnd w:id="414"/>
    </w:p>
    <w:tbl>
      <w:tblPr>
        <w:tblW w:w="50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984"/>
        <w:gridCol w:w="1792"/>
        <w:gridCol w:w="2873"/>
      </w:tblGrid>
      <w:tr w:rsidR="003B587C" w:rsidRPr="00420C1B" w14:paraId="0BBE8BDF" w14:textId="77777777" w:rsidTr="00931D29">
        <w:trPr>
          <w:trHeight w:val="613"/>
          <w:tblHeader/>
          <w:jc w:val="center"/>
        </w:trPr>
        <w:tc>
          <w:tcPr>
            <w:tcW w:w="894" w:type="pct"/>
            <w:shd w:val="clear" w:color="auto" w:fill="92D050"/>
            <w:vAlign w:val="center"/>
          </w:tcPr>
          <w:p w14:paraId="366D7235" w14:textId="77777777" w:rsidR="003B587C" w:rsidRPr="00420C1B" w:rsidRDefault="003B587C" w:rsidP="00931D29">
            <w:pPr>
              <w:spacing w:after="0" w:line="240" w:lineRule="auto"/>
              <w:jc w:val="center"/>
              <w:rPr>
                <w:rFonts w:ascii="Times New Roman" w:hAnsi="Times New Roman"/>
                <w:b/>
              </w:rPr>
            </w:pPr>
            <w:r w:rsidRPr="00420C1B">
              <w:rPr>
                <w:rFonts w:ascii="Times New Roman" w:hAnsi="Times New Roman"/>
                <w:b/>
              </w:rPr>
              <w:t>Intitulé de la Norme</w:t>
            </w:r>
          </w:p>
        </w:tc>
        <w:tc>
          <w:tcPr>
            <w:tcW w:w="1636" w:type="pct"/>
            <w:shd w:val="clear" w:color="auto" w:fill="92D050"/>
            <w:vAlign w:val="center"/>
          </w:tcPr>
          <w:p w14:paraId="1FC32DE7" w14:textId="77777777" w:rsidR="003B587C" w:rsidRPr="00420C1B" w:rsidRDefault="003B587C" w:rsidP="00931D29">
            <w:pPr>
              <w:spacing w:after="0" w:line="240" w:lineRule="auto"/>
              <w:jc w:val="center"/>
              <w:rPr>
                <w:rFonts w:ascii="Times New Roman" w:hAnsi="Times New Roman"/>
                <w:b/>
              </w:rPr>
            </w:pPr>
            <w:r w:rsidRPr="00420C1B">
              <w:rPr>
                <w:rFonts w:ascii="Times New Roman" w:hAnsi="Times New Roman"/>
                <w:b/>
              </w:rPr>
              <w:t xml:space="preserve">Aspects environnementaux </w:t>
            </w:r>
          </w:p>
          <w:p w14:paraId="1DC4B7CF" w14:textId="77777777" w:rsidR="003B587C" w:rsidRPr="00420C1B" w:rsidRDefault="003B587C" w:rsidP="00931D29">
            <w:pPr>
              <w:spacing w:after="0" w:line="240" w:lineRule="auto"/>
              <w:jc w:val="center"/>
              <w:rPr>
                <w:rFonts w:ascii="Times New Roman" w:hAnsi="Times New Roman"/>
                <w:b/>
              </w:rPr>
            </w:pPr>
            <w:r w:rsidRPr="00420C1B">
              <w:rPr>
                <w:rFonts w:ascii="Times New Roman" w:hAnsi="Times New Roman"/>
                <w:b/>
              </w:rPr>
              <w:t>et/ou sociaux couverts</w:t>
            </w:r>
          </w:p>
        </w:tc>
        <w:tc>
          <w:tcPr>
            <w:tcW w:w="892" w:type="pct"/>
            <w:shd w:val="clear" w:color="auto" w:fill="92D050"/>
          </w:tcPr>
          <w:p w14:paraId="1ECC3F37" w14:textId="77777777" w:rsidR="003B587C" w:rsidRPr="00420C1B" w:rsidRDefault="003B587C" w:rsidP="00931D29">
            <w:pPr>
              <w:spacing w:after="0" w:line="240" w:lineRule="auto"/>
              <w:jc w:val="center"/>
              <w:rPr>
                <w:rFonts w:ascii="Times New Roman" w:hAnsi="Times New Roman"/>
                <w:b/>
              </w:rPr>
            </w:pPr>
            <w:r w:rsidRPr="00420C1B">
              <w:rPr>
                <w:rFonts w:ascii="Times New Roman" w:hAnsi="Times New Roman"/>
                <w:b/>
              </w:rPr>
              <w:t>Instruments pertinents à élaborer dans le cadre du projet</w:t>
            </w:r>
          </w:p>
        </w:tc>
        <w:tc>
          <w:tcPr>
            <w:tcW w:w="1578" w:type="pct"/>
            <w:shd w:val="clear" w:color="auto" w:fill="92D050"/>
            <w:vAlign w:val="center"/>
          </w:tcPr>
          <w:p w14:paraId="1CA1F19B" w14:textId="77777777" w:rsidR="003B587C" w:rsidRPr="00420C1B" w:rsidRDefault="003B587C" w:rsidP="00931D29">
            <w:pPr>
              <w:spacing w:after="0" w:line="240" w:lineRule="auto"/>
              <w:jc w:val="center"/>
              <w:rPr>
                <w:rFonts w:ascii="Times New Roman" w:hAnsi="Times New Roman"/>
                <w:b/>
              </w:rPr>
            </w:pPr>
            <w:r w:rsidRPr="00420C1B">
              <w:rPr>
                <w:rFonts w:ascii="Times New Roman" w:hAnsi="Times New Roman"/>
                <w:b/>
              </w:rPr>
              <w:t xml:space="preserve">Justification de la Pertinence des instruments à élaborer  pour le Projet </w:t>
            </w:r>
          </w:p>
        </w:tc>
      </w:tr>
      <w:tr w:rsidR="003B587C" w:rsidRPr="00420C1B" w14:paraId="1790D3D5" w14:textId="77777777" w:rsidTr="00931D29">
        <w:trPr>
          <w:jc w:val="center"/>
        </w:trPr>
        <w:tc>
          <w:tcPr>
            <w:tcW w:w="894" w:type="pct"/>
            <w:shd w:val="clear" w:color="auto" w:fill="auto"/>
            <w:vAlign w:val="center"/>
          </w:tcPr>
          <w:p w14:paraId="2808A535"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n°1, Évaluation et gestion des risques et effets environnementaux et sociaux</w:t>
            </w:r>
          </w:p>
        </w:tc>
        <w:tc>
          <w:tcPr>
            <w:tcW w:w="1636" w:type="pct"/>
            <w:shd w:val="clear" w:color="auto" w:fill="auto"/>
            <w:vAlign w:val="center"/>
          </w:tcPr>
          <w:p w14:paraId="6EB6A8C2"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lang w:eastAsia="fr-FR"/>
              </w:rPr>
              <w:t>La NES n°1 énonce les responsabilités de l'Emprunteur pour évaluer, gérer et surveiller les risques et les impacts environnementaux et sociaux associés à chaque étape d'un projet financé par la Banque par le biais du Financement des projets d'investissement (FPI), afin d'atteindre des résultats environnementaux et sociaux compatibles avec les Normes Environnementales et Sociales (NES).</w:t>
            </w:r>
          </w:p>
        </w:tc>
        <w:tc>
          <w:tcPr>
            <w:tcW w:w="892" w:type="pct"/>
            <w:vAlign w:val="center"/>
          </w:tcPr>
          <w:p w14:paraId="707517C1"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PEES, CGES, EIES, rapport de screening ; audit </w:t>
            </w:r>
          </w:p>
        </w:tc>
        <w:tc>
          <w:tcPr>
            <w:tcW w:w="1578" w:type="pct"/>
            <w:shd w:val="clear" w:color="auto" w:fill="auto"/>
            <w:vAlign w:val="center"/>
          </w:tcPr>
          <w:p w14:paraId="571D3BED"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Le Projet   à travers ses composantes pourrait générer des risques et impacts environnementaux et sociaux qu’il faudrait gérer durant tout le cycle du projet. Dès lors, la NES n°1 s’applique au projet. Ainsi, en conformité avec les exigences de cette norme, le gouvernement en tant qu’Emprunteur devra réaliser une évaluation environnementale et sociale du Projet. Il est prévu un audit de l’EIES pour évaluer la performance environnementale et sociale du projet</w:t>
            </w:r>
          </w:p>
        </w:tc>
      </w:tr>
      <w:tr w:rsidR="003B587C" w:rsidRPr="00420C1B" w14:paraId="44C9FA96" w14:textId="77777777" w:rsidTr="00931D29">
        <w:trPr>
          <w:jc w:val="center"/>
        </w:trPr>
        <w:tc>
          <w:tcPr>
            <w:tcW w:w="894" w:type="pct"/>
            <w:shd w:val="clear" w:color="auto" w:fill="auto"/>
            <w:vAlign w:val="center"/>
          </w:tcPr>
          <w:p w14:paraId="2A1B58F7"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n°2, Emploi et conditions de travail</w:t>
            </w:r>
          </w:p>
        </w:tc>
        <w:tc>
          <w:tcPr>
            <w:tcW w:w="1636" w:type="pct"/>
            <w:shd w:val="clear" w:color="auto" w:fill="auto"/>
            <w:vAlign w:val="center"/>
          </w:tcPr>
          <w:p w14:paraId="7630B340"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n°2 reconnaît l'importance de la création d'emplois et de la génération de revenus dans la poursuite de la réduction de la pauvreté et de la croissance économique inclusive. Les Emprunteurs peuvent promouvoir des relations constructives entre les travailleurs d'un projet et la coordination/gestionnaire, et renforcer les bénéfices du développement d'un projet en traitant les travailleurs de manière équitable et en garantissant des conditions de travail sûres et saines.</w:t>
            </w:r>
          </w:p>
        </w:tc>
        <w:tc>
          <w:tcPr>
            <w:tcW w:w="892" w:type="pct"/>
            <w:vAlign w:val="center"/>
          </w:tcPr>
          <w:p w14:paraId="45598EF1"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PGMO et Mécanisme de Gestion des Plaintes (MGP)</w:t>
            </w:r>
          </w:p>
        </w:tc>
        <w:tc>
          <w:tcPr>
            <w:tcW w:w="1578" w:type="pct"/>
            <w:shd w:val="clear" w:color="auto" w:fill="auto"/>
            <w:vAlign w:val="center"/>
          </w:tcPr>
          <w:p w14:paraId="17CD9496"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L’exécution de certaines activités ou travaux du occasionnera la création d’emplois et les exigences en matière de traitement des travailleurs et de conditions de travail telles que définies dans la présente NES devront être respectées. Le gouvernement mettra en œuvre des procédures de gestions des ressources humaines, applicables au projet. Aussi, un mécanisme de gestion des plaintes devra être mis à la disposition des travailleurs. Aussi la présente EIES a évalué aussi le risque de travail des enfants et de travail forcé.</w:t>
            </w:r>
          </w:p>
        </w:tc>
      </w:tr>
      <w:tr w:rsidR="003B587C" w:rsidRPr="00420C1B" w14:paraId="18553B0C" w14:textId="77777777" w:rsidTr="00931D29">
        <w:trPr>
          <w:jc w:val="center"/>
        </w:trPr>
        <w:tc>
          <w:tcPr>
            <w:tcW w:w="894" w:type="pct"/>
            <w:shd w:val="clear" w:color="auto" w:fill="auto"/>
            <w:vAlign w:val="center"/>
          </w:tcPr>
          <w:p w14:paraId="139F19E5"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n°3, Utilisation rationnelle des ressources et prévention et gestion de la pollution</w:t>
            </w:r>
          </w:p>
        </w:tc>
        <w:tc>
          <w:tcPr>
            <w:tcW w:w="1636" w:type="pct"/>
            <w:shd w:val="clear" w:color="auto" w:fill="auto"/>
            <w:vAlign w:val="center"/>
          </w:tcPr>
          <w:p w14:paraId="59B13205"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n°3 reconnaît que l’activité économique et l’urbanisation génèrent souvent une augmentation des niveaux de pollution de l'air, de l'eau et du sol, et consomment des ressources limitées d'une manière qui peut menacer les populations, les services des écosystèmes et l'environnement aux niveaux local, régional et mondial. La NES décrit les exigences nécessaires pour traiter l'utilisation rationnelle des ressources, la prévention et la gestion de la pollution tout au long du cycle de vie d'un projet.</w:t>
            </w:r>
          </w:p>
        </w:tc>
        <w:tc>
          <w:tcPr>
            <w:tcW w:w="892" w:type="pct"/>
            <w:vAlign w:val="center"/>
          </w:tcPr>
          <w:p w14:paraId="7DD8BCC2"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Plan de Gestion des déchets </w:t>
            </w:r>
          </w:p>
        </w:tc>
        <w:tc>
          <w:tcPr>
            <w:tcW w:w="1578" w:type="pct"/>
            <w:shd w:val="clear" w:color="auto" w:fill="auto"/>
            <w:vAlign w:val="center"/>
          </w:tcPr>
          <w:p w14:paraId="7ECE6199"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La mise en œuvre de certains sous-projets nécessitera l’utilisation des ressources et comportera des risques de pollution de l’environnement, par rapport auxquelles s’impose le respect des exigences de la NES n°3 pour traiter l’utilisation rationnelle des ressources, ainsi que la prévention et la gestion de la pollution. La présente EIES a proposé des mesures pour la gestion des déchets et la prévention des pollutions. </w:t>
            </w:r>
          </w:p>
          <w:p w14:paraId="4E8325FD" w14:textId="77777777" w:rsidR="003B587C" w:rsidRPr="00420C1B" w:rsidRDefault="003B587C" w:rsidP="00931D29">
            <w:pPr>
              <w:spacing w:after="0" w:line="240" w:lineRule="auto"/>
              <w:jc w:val="both"/>
              <w:rPr>
                <w:rFonts w:ascii="Times New Roman" w:hAnsi="Times New Roman"/>
                <w:color w:val="000000"/>
              </w:rPr>
            </w:pPr>
          </w:p>
        </w:tc>
      </w:tr>
      <w:tr w:rsidR="003B587C" w:rsidRPr="00420C1B" w14:paraId="11931BEB" w14:textId="77777777" w:rsidTr="00931D29">
        <w:trPr>
          <w:jc w:val="center"/>
        </w:trPr>
        <w:tc>
          <w:tcPr>
            <w:tcW w:w="894" w:type="pct"/>
            <w:shd w:val="clear" w:color="auto" w:fill="auto"/>
            <w:vAlign w:val="center"/>
          </w:tcPr>
          <w:p w14:paraId="18C6F090"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n°4, Santé et sécurité des populations</w:t>
            </w:r>
          </w:p>
        </w:tc>
        <w:tc>
          <w:tcPr>
            <w:tcW w:w="1636" w:type="pct"/>
            <w:shd w:val="clear" w:color="auto" w:fill="auto"/>
            <w:vAlign w:val="center"/>
          </w:tcPr>
          <w:p w14:paraId="23077671"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n°4 traite des risques et des impacts sur la sécurité, la sûreté et la santé des communautés affectées par le projet, ainsi que de la responsabilité respective des Emprunteurs de réduire ou atténuer ces risques et ces impacts, en portant une attention particulière aux groupes qui, en raison de leur situation particulière, peuvent être vulnérables.</w:t>
            </w:r>
          </w:p>
        </w:tc>
        <w:tc>
          <w:tcPr>
            <w:tcW w:w="892" w:type="pct"/>
            <w:vAlign w:val="center"/>
          </w:tcPr>
          <w:p w14:paraId="70579461" w14:textId="77777777" w:rsidR="003B587C" w:rsidRPr="00420C1B" w:rsidRDefault="003B587C" w:rsidP="00931D29">
            <w:pPr>
              <w:pStyle w:val="Paragraphedeliste"/>
              <w:spacing w:after="0" w:line="240" w:lineRule="auto"/>
              <w:ind w:left="0"/>
              <w:jc w:val="both"/>
              <w:rPr>
                <w:rFonts w:ascii="Times New Roman" w:hAnsi="Times New Roman"/>
                <w:color w:val="000000"/>
              </w:rPr>
            </w:pPr>
            <w:r w:rsidRPr="00420C1B">
              <w:rPr>
                <w:rFonts w:ascii="Times New Roman" w:hAnsi="Times New Roman"/>
                <w:color w:val="000000"/>
              </w:rPr>
              <w:t>Plan de Gestion de Trafic</w:t>
            </w:r>
          </w:p>
          <w:p w14:paraId="6AE44A71"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Plan d’Information Education et Communication (PIEC) sur les VBG, le VIH et la COVID 19 </w:t>
            </w:r>
          </w:p>
        </w:tc>
        <w:tc>
          <w:tcPr>
            <w:tcW w:w="1578" w:type="pct"/>
            <w:shd w:val="clear" w:color="auto" w:fill="auto"/>
            <w:vAlign w:val="center"/>
          </w:tcPr>
          <w:p w14:paraId="5308BEF8"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Les populations localisées dans les zones d’implantation du sous-projet </w:t>
            </w:r>
            <w:r w:rsidRPr="00420C1B">
              <w:rPr>
                <w:rFonts w:ascii="Times New Roman" w:hAnsi="Times New Roman"/>
                <w:color w:val="000000"/>
                <w:spacing w:val="5"/>
              </w:rPr>
              <w:t xml:space="preserve">ainsi que les travailleurs </w:t>
            </w:r>
            <w:r w:rsidRPr="00420C1B">
              <w:rPr>
                <w:rFonts w:ascii="Times New Roman" w:hAnsi="Times New Roman"/>
                <w:color w:val="000000"/>
              </w:rPr>
              <w:t>risquent d’être impactées du point de vue sécuritaire et sanitaire, lors de la mise en œuvre de ces sous-projets. Ainsi, les exigences de la présente NES en matière de réduction ou d’atténuation de ces risques et impacts ont été intégrés dans la présente EIES.</w:t>
            </w:r>
          </w:p>
        </w:tc>
      </w:tr>
      <w:tr w:rsidR="003B587C" w:rsidRPr="00420C1B" w14:paraId="6D1864CF" w14:textId="77777777" w:rsidTr="00931D29">
        <w:trPr>
          <w:jc w:val="center"/>
        </w:trPr>
        <w:tc>
          <w:tcPr>
            <w:tcW w:w="894" w:type="pct"/>
            <w:shd w:val="clear" w:color="auto" w:fill="auto"/>
            <w:vAlign w:val="center"/>
          </w:tcPr>
          <w:p w14:paraId="53A2C875"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n°5, Acquisition des terres, restrictions à l'utilisation des terres et réinstallation involontaire</w:t>
            </w:r>
          </w:p>
        </w:tc>
        <w:tc>
          <w:tcPr>
            <w:tcW w:w="1636" w:type="pct"/>
            <w:shd w:val="clear" w:color="auto" w:fill="auto"/>
            <w:vAlign w:val="center"/>
          </w:tcPr>
          <w:p w14:paraId="26F1124A"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n°5 a pour principe de base que la réinstallation involontaire doit être évitée. Lorsque la réinstallation involontaire est inévitable, elle doit être limitée, et des mesures appropriées pour minimiser les impacts négatifs sur les personnes déplacées (et les communautés hôtes qui accueillent les personnes déplacées) doivent être soigneusement planifiées et mises en œuvre.</w:t>
            </w:r>
          </w:p>
        </w:tc>
        <w:tc>
          <w:tcPr>
            <w:tcW w:w="892" w:type="pct"/>
            <w:vAlign w:val="center"/>
          </w:tcPr>
          <w:p w14:paraId="095755F0"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CPR et PAR</w:t>
            </w:r>
          </w:p>
        </w:tc>
        <w:tc>
          <w:tcPr>
            <w:tcW w:w="1578" w:type="pct"/>
            <w:shd w:val="clear" w:color="auto" w:fill="auto"/>
            <w:vAlign w:val="center"/>
          </w:tcPr>
          <w:p w14:paraId="76887C60"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Cette NES s’applique car la mise en œuvre du  sous-projet va entraîner une acquisition de terre et un déplacement involontaire, physique et/ou économique, de populations. C’est d’ailleurs pour cette raison qu’un Cadre de Politique de Réinstallation a été élaboré et un PAR est également élaboré en même temps que la présente EIES. </w:t>
            </w:r>
          </w:p>
        </w:tc>
      </w:tr>
      <w:tr w:rsidR="003B587C" w:rsidRPr="00420C1B" w14:paraId="33F9AB48" w14:textId="77777777" w:rsidTr="00931D29">
        <w:trPr>
          <w:jc w:val="center"/>
        </w:trPr>
        <w:tc>
          <w:tcPr>
            <w:tcW w:w="894" w:type="pct"/>
            <w:shd w:val="clear" w:color="auto" w:fill="auto"/>
            <w:vAlign w:val="center"/>
          </w:tcPr>
          <w:p w14:paraId="5BE055CE"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n°6, Préservation de la biodiversité et gestion durable des ressources naturelles biologiques</w:t>
            </w:r>
          </w:p>
        </w:tc>
        <w:tc>
          <w:tcPr>
            <w:tcW w:w="1636" w:type="pct"/>
            <w:shd w:val="clear" w:color="auto" w:fill="auto"/>
            <w:vAlign w:val="center"/>
          </w:tcPr>
          <w:p w14:paraId="48489C5F"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n°6 reconnaît que la protection et la conservation de la biodiversité, et la gestion durable des ressources naturelles vivantes, revêtent une importance capitale pour le développement durable. Elle reconnaît également l'importance de la conservation des fonctions écologiques clés des habitats, notamment les forêts, et la biodiversité qu'ils abritent. La NES n°6 se penche également sur la gestion durable de la production primaire et de l'exploitation des ressources naturelles, et reconnaît la nécessité d'examiner les moyens de subsistance des parties affectées par le projet, y compris les Peuples autochtones, dont l'accès ou l'utilisation de la biodiversité ou des ressources naturelles vivantes peuvent être affectés par un projet.</w:t>
            </w:r>
          </w:p>
        </w:tc>
        <w:tc>
          <w:tcPr>
            <w:tcW w:w="892" w:type="pct"/>
            <w:vAlign w:val="center"/>
          </w:tcPr>
          <w:p w14:paraId="24A3CEDE"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Plan de localisation et de préservation de la Biodiversité</w:t>
            </w:r>
          </w:p>
        </w:tc>
        <w:tc>
          <w:tcPr>
            <w:tcW w:w="1578" w:type="pct"/>
            <w:shd w:val="clear" w:color="auto" w:fill="auto"/>
            <w:vAlign w:val="center"/>
          </w:tcPr>
          <w:p w14:paraId="3B43D2C5"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Les interventions prévues notamment la réalisation des lignes et des cabines pourrait  toucher des habitats naturels et la biodiversité dans la zone d’intervention. Aussi, elles peuvent affecter l’accès ou l’utilisation de la biodiversité ou des ressources naturelles vivantes par les populations affectées. Pour ces raisons, la NES n°6 et les exigences qu’elle renferme, en termes de préservation de la biodiversité et de gestion durable des ressources naturelles biologiques, devront être respectées par le Projet. Pour ce faire, des mesures spécifiques de gestion ont été proposées dans la  présente EIES et il sera élaboré par l’entreprise un Plan de Localisation et de préservation de la Biodiversité.</w:t>
            </w:r>
          </w:p>
        </w:tc>
      </w:tr>
      <w:tr w:rsidR="003B587C" w:rsidRPr="00420C1B" w14:paraId="7292B2F2" w14:textId="77777777" w:rsidTr="00931D29">
        <w:trPr>
          <w:trHeight w:val="1902"/>
          <w:jc w:val="center"/>
        </w:trPr>
        <w:tc>
          <w:tcPr>
            <w:tcW w:w="894" w:type="pct"/>
            <w:shd w:val="clear" w:color="auto" w:fill="auto"/>
            <w:vAlign w:val="center"/>
          </w:tcPr>
          <w:p w14:paraId="0C2CA939"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n°7, Peuples autochtones / Communautés locales traditionnelles d’Afrique subsaharienne historiquement défavorisées</w:t>
            </w:r>
          </w:p>
        </w:tc>
        <w:tc>
          <w:tcPr>
            <w:tcW w:w="1636" w:type="pct"/>
            <w:shd w:val="clear" w:color="auto" w:fill="auto"/>
            <w:vAlign w:val="center"/>
          </w:tcPr>
          <w:p w14:paraId="2864AECC"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n°7 veille à ce que le processus de développement favorise le plein respect des droits humains, de la dignité, des aspirations, de l'identité, de la culture et des moyens de subsistance fondés sur des ressources naturelles des Peuples autochtones / Communautés locales traditionnelles d’Afrique subsaharienne historiquement défavorisées. La NES n°7 a également pour objectif d'éviter les impacts négatifs des projets sur les Peuples autochtones / Communautés locales traditionnelles d’Afrique subsaharienne historiquement défavorisées ou, si cela n’est pas possible, réduire, atténuer et / ou compenser ces impacts.</w:t>
            </w:r>
          </w:p>
        </w:tc>
        <w:tc>
          <w:tcPr>
            <w:tcW w:w="892" w:type="pct"/>
            <w:vAlign w:val="center"/>
          </w:tcPr>
          <w:p w14:paraId="39929FB4"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CPPA ou PPA</w:t>
            </w:r>
          </w:p>
        </w:tc>
        <w:tc>
          <w:tcPr>
            <w:tcW w:w="1578" w:type="pct"/>
            <w:shd w:val="clear" w:color="auto" w:fill="auto"/>
            <w:vAlign w:val="center"/>
          </w:tcPr>
          <w:p w14:paraId="49057CD4" w14:textId="77777777" w:rsidR="003B587C" w:rsidRPr="00420C1B" w:rsidRDefault="003B587C" w:rsidP="00931D29">
            <w:pPr>
              <w:spacing w:after="0" w:line="240" w:lineRule="auto"/>
              <w:jc w:val="both"/>
              <w:rPr>
                <w:rFonts w:ascii="Times New Roman" w:hAnsi="Times New Roman"/>
                <w:color w:val="000000"/>
              </w:rPr>
            </w:pPr>
            <w:r w:rsidRPr="005F738E">
              <w:rPr>
                <w:rFonts w:ascii="Times New Roman" w:eastAsia="Times New Roman" w:hAnsi="Times New Roman"/>
                <w:sz w:val="24"/>
                <w:szCs w:val="24"/>
                <w:lang w:eastAsia="fr-FR"/>
              </w:rPr>
              <w:t xml:space="preserve">La </w:t>
            </w:r>
            <w:r w:rsidRPr="00D435B0">
              <w:rPr>
                <w:rFonts w:ascii="Times New Roman" w:eastAsia="Times New Roman" w:hAnsi="Times New Roman"/>
                <w:b/>
                <w:sz w:val="24"/>
                <w:szCs w:val="24"/>
                <w:lang w:eastAsia="fr-FR"/>
              </w:rPr>
              <w:t>NES N°7</w:t>
            </w:r>
            <w:r w:rsidRPr="005F738E">
              <w:rPr>
                <w:rFonts w:ascii="Times New Roman" w:eastAsia="Times New Roman" w:hAnsi="Times New Roman"/>
                <w:sz w:val="24"/>
                <w:szCs w:val="24"/>
                <w:lang w:eastAsia="fr-FR"/>
              </w:rPr>
              <w:t xml:space="preserve"> </w:t>
            </w:r>
            <w:r w:rsidRPr="00420C1B">
              <w:rPr>
                <w:rFonts w:ascii="Times New Roman" w:hAnsi="Times New Roman"/>
                <w:sz w:val="24"/>
                <w:szCs w:val="24"/>
              </w:rPr>
              <w:t xml:space="preserve"> n’est pas pertinente pour le sous-projet objet de la présente étude étant donné qu’il  s’exécute en milieu urbain exempt de la présence des peuples autochtones</w:t>
            </w:r>
            <w:r w:rsidRPr="00420C1B">
              <w:rPr>
                <w:rFonts w:ascii="Times New Roman" w:hAnsi="Times New Roman"/>
                <w:bCs/>
                <w:sz w:val="24"/>
                <w:szCs w:val="24"/>
              </w:rPr>
              <w:t>. fourni par un intermédiaire financier</w:t>
            </w:r>
          </w:p>
        </w:tc>
      </w:tr>
      <w:tr w:rsidR="003B587C" w:rsidRPr="00420C1B" w14:paraId="73EB9C43" w14:textId="77777777" w:rsidTr="00931D29">
        <w:trPr>
          <w:jc w:val="center"/>
        </w:trPr>
        <w:tc>
          <w:tcPr>
            <w:tcW w:w="894" w:type="pct"/>
            <w:shd w:val="clear" w:color="auto" w:fill="auto"/>
            <w:vAlign w:val="center"/>
          </w:tcPr>
          <w:p w14:paraId="00E7D744"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n°8, Patrimoine culturel</w:t>
            </w:r>
          </w:p>
        </w:tc>
        <w:tc>
          <w:tcPr>
            <w:tcW w:w="1636" w:type="pct"/>
            <w:shd w:val="clear" w:color="auto" w:fill="auto"/>
            <w:vAlign w:val="center"/>
          </w:tcPr>
          <w:p w14:paraId="593A0E2A"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n°8 reconnaît que le patrimoine culturel offre une continuité des formes matérielles et immatérielles entre le passé, le présent et le futur. La NES n°8 fixe les mesures conçues pour protéger le patrimoine culturel tout au long de la durée de vie d'un projet.</w:t>
            </w:r>
          </w:p>
        </w:tc>
        <w:tc>
          <w:tcPr>
            <w:tcW w:w="892" w:type="pct"/>
            <w:vAlign w:val="center"/>
          </w:tcPr>
          <w:p w14:paraId="233E3F85"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PGES incluant des mesures de protection des ressources culturelle ou si besoin préparer un plan de gestion des ressources culturelles physique</w:t>
            </w:r>
          </w:p>
        </w:tc>
        <w:tc>
          <w:tcPr>
            <w:tcW w:w="1578" w:type="pct"/>
            <w:shd w:val="clear" w:color="auto" w:fill="auto"/>
            <w:vAlign w:val="center"/>
          </w:tcPr>
          <w:p w14:paraId="2617A397"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La construction des infrastructures va nécessiter des excavations avec des possibilités de ramener en surface des ressources culturelles physiques archéologiques, préhistoriques, etc. Fort de cela, l’EIES inclut un chapitre qui traite de la conduite à tenir en cas de découverte fortuite. </w:t>
            </w:r>
          </w:p>
        </w:tc>
      </w:tr>
      <w:tr w:rsidR="003B587C" w:rsidRPr="00420C1B" w14:paraId="26835675" w14:textId="77777777" w:rsidTr="00931D29">
        <w:trPr>
          <w:jc w:val="center"/>
        </w:trPr>
        <w:tc>
          <w:tcPr>
            <w:tcW w:w="894" w:type="pct"/>
            <w:shd w:val="clear" w:color="auto" w:fill="auto"/>
            <w:vAlign w:val="center"/>
          </w:tcPr>
          <w:p w14:paraId="30D6B053"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n°9, Intermédiaires financiers (IF)</w:t>
            </w:r>
          </w:p>
        </w:tc>
        <w:tc>
          <w:tcPr>
            <w:tcW w:w="1636" w:type="pct"/>
            <w:shd w:val="clear" w:color="auto" w:fill="auto"/>
            <w:vAlign w:val="center"/>
          </w:tcPr>
          <w:p w14:paraId="37372EE7" w14:textId="77777777" w:rsidR="003B587C" w:rsidRPr="00420C1B" w:rsidRDefault="003B587C" w:rsidP="00931D29">
            <w:pPr>
              <w:spacing w:after="0" w:line="240" w:lineRule="auto"/>
              <w:jc w:val="both"/>
              <w:rPr>
                <w:rFonts w:ascii="Times New Roman" w:hAnsi="Times New Roman"/>
                <w:color w:val="000000"/>
                <w:lang w:eastAsia="fr-FR"/>
              </w:rPr>
            </w:pPr>
            <w:r w:rsidRPr="00420C1B">
              <w:rPr>
                <w:rFonts w:ascii="Times New Roman" w:hAnsi="Times New Roman"/>
                <w:color w:val="000000"/>
              </w:rPr>
              <w:t>La NES n°9 reconnaît que la solidité des marchés intérieurs financiers et de capitaux et l'accès au financement sont des facteurs importants pour le développement économique, la croissance et la réduction de la pauvreté. Les IF sont tenus de surveiller et de gérer les risques et les impacts environnementaux et sociaux de leurs portefeuilles et les sous-projets de l'IF, et de surveiller le risque du portefeuille en fonction de la nature du financement convoyé/géré. La manière dont l'IF gèrera son portefeuille pourra prendre différentes formes, en fonction d'un certain nombre de considérations, y compris les capacités de l'IF et la nature et la portée du financement qui sera accordé par l'IF.</w:t>
            </w:r>
          </w:p>
        </w:tc>
        <w:tc>
          <w:tcPr>
            <w:tcW w:w="892" w:type="pct"/>
            <w:vAlign w:val="center"/>
          </w:tcPr>
          <w:p w14:paraId="5B0F2A16"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Audit Environnemental et Social pour les IF qui ont des Directives environnementale et sociales afin de s’assurer de leur conformité avec les NES ou pour celles qui n’en possède susciter la mise en place de cette directive</w:t>
            </w:r>
          </w:p>
        </w:tc>
        <w:tc>
          <w:tcPr>
            <w:tcW w:w="1578" w:type="pct"/>
            <w:shd w:val="clear" w:color="auto" w:fill="auto"/>
            <w:vAlign w:val="center"/>
          </w:tcPr>
          <w:p w14:paraId="6FCE637C"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bCs/>
                <w:sz w:val="24"/>
                <w:szCs w:val="24"/>
              </w:rPr>
              <w:t xml:space="preserve">La </w:t>
            </w:r>
            <w:r w:rsidRPr="00420C1B">
              <w:rPr>
                <w:rFonts w:ascii="Times New Roman" w:hAnsi="Times New Roman"/>
                <w:b/>
                <w:bCs/>
                <w:sz w:val="24"/>
                <w:szCs w:val="24"/>
              </w:rPr>
              <w:t>NES N°9</w:t>
            </w:r>
            <w:r w:rsidRPr="00420C1B">
              <w:rPr>
                <w:rFonts w:ascii="Times New Roman" w:hAnsi="Times New Roman"/>
                <w:bCs/>
                <w:sz w:val="24"/>
                <w:szCs w:val="24"/>
              </w:rPr>
              <w:t xml:space="preserve"> n’est pas pertinente pour le sous-projet du fait qu’il ne bénéficie pas de financement émanant du marché financier au titre de prêt</w:t>
            </w:r>
          </w:p>
          <w:p w14:paraId="5BCB6F8D"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Le Projet prévoit le recours à des Intermédiaires financiers (IF). De ce fait, cette NES est pertinente pour le projet et donc appelle la mise en place d’un Système de Gestion Environnementale et Sociale (SGES) pour les IF.</w:t>
            </w:r>
          </w:p>
        </w:tc>
      </w:tr>
      <w:tr w:rsidR="003B587C" w:rsidRPr="00420C1B" w14:paraId="76A82C1A" w14:textId="77777777" w:rsidTr="00931D29">
        <w:trPr>
          <w:jc w:val="center"/>
        </w:trPr>
        <w:tc>
          <w:tcPr>
            <w:tcW w:w="894" w:type="pct"/>
            <w:shd w:val="clear" w:color="auto" w:fill="auto"/>
            <w:vAlign w:val="center"/>
          </w:tcPr>
          <w:p w14:paraId="17987F01" w14:textId="77777777" w:rsidR="003B587C" w:rsidRPr="00420C1B" w:rsidRDefault="003B587C" w:rsidP="00931D29">
            <w:pPr>
              <w:spacing w:after="0" w:line="240" w:lineRule="auto"/>
              <w:jc w:val="both"/>
              <w:rPr>
                <w:rFonts w:ascii="Times New Roman" w:hAnsi="Times New Roman"/>
                <w:b/>
                <w:bCs/>
                <w:color w:val="000000"/>
                <w:lang w:eastAsia="fr-FR"/>
              </w:rPr>
            </w:pPr>
            <w:r w:rsidRPr="00420C1B">
              <w:rPr>
                <w:rFonts w:ascii="Times New Roman" w:hAnsi="Times New Roman"/>
                <w:b/>
                <w:bCs/>
                <w:color w:val="000000"/>
              </w:rPr>
              <w:t>NES n°10, Mobilisation des parties prenantes et information</w:t>
            </w:r>
          </w:p>
        </w:tc>
        <w:tc>
          <w:tcPr>
            <w:tcW w:w="1636" w:type="pct"/>
            <w:shd w:val="clear" w:color="auto" w:fill="auto"/>
            <w:vAlign w:val="center"/>
          </w:tcPr>
          <w:p w14:paraId="504CFB31"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La NES n°10 reconnaît l'importance de la consultation ouverte et transparente entre l'Emprunteur et les parties prenantes d'un projet, comme un élément essentiel de bonne pratique internationale. La consultation efficace des parties prenantes peut améliorer la durabilité environnementale et sociale des projets, améliorer l'acceptation des projets, et contribuer de manière significative à la conception et la mise en œuvre réussie des projets.</w:t>
            </w:r>
          </w:p>
        </w:tc>
        <w:tc>
          <w:tcPr>
            <w:tcW w:w="892" w:type="pct"/>
            <w:vAlign w:val="center"/>
          </w:tcPr>
          <w:p w14:paraId="344D58A0"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PMPP et les campagnes d’info</w:t>
            </w:r>
          </w:p>
        </w:tc>
        <w:tc>
          <w:tcPr>
            <w:tcW w:w="1578" w:type="pct"/>
            <w:shd w:val="clear" w:color="auto" w:fill="auto"/>
            <w:vAlign w:val="center"/>
          </w:tcPr>
          <w:p w14:paraId="164DB317"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 xml:space="preserve">Un PMPP  et MGP ont  été élaboré par le projet et un résumé de ces instruments a été intégré dans la présente EIES. </w:t>
            </w:r>
          </w:p>
          <w:p w14:paraId="3DDC3F57" w14:textId="77777777" w:rsidR="003B587C" w:rsidRPr="00420C1B" w:rsidRDefault="003B587C" w:rsidP="00931D29">
            <w:pPr>
              <w:spacing w:after="0" w:line="240" w:lineRule="auto"/>
              <w:jc w:val="both"/>
              <w:rPr>
                <w:rFonts w:ascii="Times New Roman" w:hAnsi="Times New Roman"/>
                <w:color w:val="000000"/>
              </w:rPr>
            </w:pPr>
            <w:r w:rsidRPr="00420C1B">
              <w:rPr>
                <w:rFonts w:ascii="Times New Roman" w:hAnsi="Times New Roman"/>
                <w:color w:val="000000"/>
              </w:rPr>
              <w:t>Aussi, le Coordonnateur du projet diffusera les informations sur du sous projet pour permettre aux parties prenantes de comprendre ses risques et impacts, ainsi que ses opportunités potentielles.</w:t>
            </w:r>
          </w:p>
          <w:p w14:paraId="4576B91B" w14:textId="77777777" w:rsidR="003B587C" w:rsidRPr="00420C1B" w:rsidRDefault="003B587C" w:rsidP="00931D29">
            <w:pPr>
              <w:spacing w:after="0" w:line="240" w:lineRule="auto"/>
              <w:jc w:val="both"/>
              <w:rPr>
                <w:rFonts w:ascii="Times New Roman" w:hAnsi="Times New Roman"/>
                <w:color w:val="000000"/>
              </w:rPr>
            </w:pPr>
          </w:p>
        </w:tc>
      </w:tr>
    </w:tbl>
    <w:p w14:paraId="2CB0E5D8" w14:textId="77777777" w:rsidR="003B587C" w:rsidRPr="00E737B4" w:rsidRDefault="003B587C" w:rsidP="003B587C">
      <w:pPr>
        <w:spacing w:before="120"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Pr>
          <w:rFonts w:ascii="Times New Roman" w:hAnsi="Times New Roman"/>
          <w:bCs/>
          <w:i/>
          <w:sz w:val="24"/>
        </w:rPr>
        <w:t xml:space="preserve">&amp; </w:t>
      </w:r>
      <w:r w:rsidRPr="00E737B4">
        <w:rPr>
          <w:rFonts w:ascii="Times New Roman" w:hAnsi="Times New Roman"/>
          <w:bCs/>
          <w:i/>
          <w:sz w:val="24"/>
        </w:rPr>
        <w:t>DKO</w:t>
      </w:r>
      <w:r>
        <w:rPr>
          <w:rFonts w:ascii="Times New Roman" w:hAnsi="Times New Roman"/>
          <w:bCs/>
          <w:i/>
          <w:sz w:val="24"/>
        </w:rPr>
        <w:t>,</w:t>
      </w:r>
      <w:r w:rsidRPr="00E737B4">
        <w:rPr>
          <w:rFonts w:ascii="Times New Roman" w:hAnsi="Times New Roman"/>
          <w:bCs/>
          <w:i/>
          <w:sz w:val="24"/>
        </w:rPr>
        <w:t xml:space="preserve"> juillet 2021</w:t>
      </w:r>
    </w:p>
    <w:p w14:paraId="196E67D0" w14:textId="77777777" w:rsidR="003B587C" w:rsidRPr="00420C1B" w:rsidRDefault="003B587C" w:rsidP="003B587C">
      <w:pPr>
        <w:pStyle w:val="Paragraphedeliste"/>
        <w:spacing w:after="0" w:line="240" w:lineRule="auto"/>
        <w:jc w:val="both"/>
        <w:rPr>
          <w:color w:val="000000"/>
        </w:rPr>
      </w:pPr>
    </w:p>
    <w:p w14:paraId="6DDCBF18" w14:textId="5A635C47" w:rsidR="008A36DE" w:rsidRPr="00D75D2E" w:rsidRDefault="008A36DE">
      <w:pPr>
        <w:rPr>
          <w:rFonts w:ascii="Times New Roman" w:hAnsi="Times New Roman"/>
          <w:sz w:val="24"/>
          <w:szCs w:val="24"/>
        </w:rPr>
      </w:pPr>
      <w:r w:rsidRPr="00D75D2E">
        <w:rPr>
          <w:rFonts w:ascii="Times New Roman" w:hAnsi="Times New Roman"/>
          <w:sz w:val="24"/>
          <w:szCs w:val="24"/>
        </w:rPr>
        <w:br w:type="page"/>
      </w:r>
    </w:p>
    <w:p w14:paraId="489BE54B" w14:textId="6DFF2F3B" w:rsidR="00980F9C" w:rsidRPr="00D75D2E" w:rsidRDefault="00980F9C" w:rsidP="00AE31F1">
      <w:pPr>
        <w:pStyle w:val="Titre1"/>
        <w:numPr>
          <w:ilvl w:val="0"/>
          <w:numId w:val="54"/>
        </w:numPr>
        <w:spacing w:after="120"/>
        <w:ind w:left="357" w:hanging="357"/>
      </w:pPr>
      <w:bookmarkStart w:id="415" w:name="_Toc519050449"/>
      <w:bookmarkStart w:id="416" w:name="_Toc103685625"/>
      <w:r w:rsidRPr="00D75D2E">
        <w:t>DESCRIPTION DU PROJET</w:t>
      </w:r>
      <w:bookmarkEnd w:id="415"/>
      <w:bookmarkEnd w:id="416"/>
    </w:p>
    <w:p w14:paraId="1FB8458A" w14:textId="77777777" w:rsidR="00980F9C" w:rsidRPr="00D75D2E" w:rsidRDefault="00980F9C" w:rsidP="00AE31F1">
      <w:pPr>
        <w:pStyle w:val="Paragraphedeliste"/>
        <w:keepNext/>
        <w:keepLines/>
        <w:numPr>
          <w:ilvl w:val="1"/>
          <w:numId w:val="54"/>
        </w:numPr>
        <w:tabs>
          <w:tab w:val="left" w:pos="851"/>
        </w:tabs>
        <w:spacing w:before="120" w:after="120" w:line="240" w:lineRule="auto"/>
        <w:ind w:left="788" w:hanging="431"/>
        <w:contextualSpacing w:val="0"/>
        <w:outlineLvl w:val="1"/>
        <w:rPr>
          <w:rFonts w:ascii="Times New Roman" w:eastAsia="Times New Roman" w:hAnsi="Times New Roman"/>
          <w:b/>
          <w:sz w:val="24"/>
          <w:szCs w:val="24"/>
        </w:rPr>
      </w:pPr>
      <w:bookmarkStart w:id="417" w:name="_Toc519050450"/>
      <w:bookmarkStart w:id="418" w:name="_Toc103685626"/>
      <w:r w:rsidRPr="00D75D2E">
        <w:rPr>
          <w:rFonts w:ascii="Times New Roman" w:eastAsia="Times New Roman" w:hAnsi="Times New Roman"/>
          <w:b/>
          <w:sz w:val="24"/>
          <w:szCs w:val="24"/>
        </w:rPr>
        <w:t>Présentation du promoteur</w:t>
      </w:r>
      <w:bookmarkEnd w:id="417"/>
      <w:bookmarkEnd w:id="418"/>
      <w:r w:rsidRPr="00D75D2E">
        <w:rPr>
          <w:rFonts w:ascii="Times New Roman" w:eastAsia="Times New Roman" w:hAnsi="Times New Roman"/>
          <w:b/>
          <w:sz w:val="24"/>
          <w:szCs w:val="24"/>
        </w:rPr>
        <w:t xml:space="preserve"> </w:t>
      </w:r>
    </w:p>
    <w:p w14:paraId="7B508A0F" w14:textId="57F5979E" w:rsidR="008A36DE" w:rsidRPr="00D75D2E" w:rsidRDefault="008A36DE" w:rsidP="00E737B4">
      <w:pPr>
        <w:spacing w:before="120" w:after="120" w:line="240" w:lineRule="auto"/>
        <w:jc w:val="both"/>
        <w:rPr>
          <w:rFonts w:ascii="Times New Roman" w:hAnsi="Times New Roman"/>
          <w:sz w:val="24"/>
          <w:szCs w:val="24"/>
        </w:rPr>
      </w:pPr>
      <w:r w:rsidRPr="0073411C">
        <w:rPr>
          <w:rFonts w:ascii="Times New Roman" w:hAnsi="Times New Roman"/>
          <w:sz w:val="24"/>
          <w:szCs w:val="24"/>
        </w:rPr>
        <w:t xml:space="preserve">Le Projet de </w:t>
      </w:r>
      <w:r w:rsidR="003A3A26">
        <w:rPr>
          <w:rFonts w:ascii="Times New Roman" w:hAnsi="Times New Roman"/>
          <w:sz w:val="24"/>
          <w:szCs w:val="24"/>
        </w:rPr>
        <w:t xml:space="preserve">d’Accès, de </w:t>
      </w:r>
      <w:r w:rsidRPr="0073411C">
        <w:rPr>
          <w:rFonts w:ascii="Times New Roman" w:hAnsi="Times New Roman"/>
          <w:sz w:val="24"/>
          <w:szCs w:val="24"/>
        </w:rPr>
        <w:t>Gouvernance et d</w:t>
      </w:r>
      <w:r w:rsidR="003A3A26">
        <w:rPr>
          <w:rFonts w:ascii="Times New Roman" w:hAnsi="Times New Roman"/>
          <w:sz w:val="24"/>
          <w:szCs w:val="24"/>
        </w:rPr>
        <w:t xml:space="preserve">e Réforme des secteurs de </w:t>
      </w:r>
      <w:r w:rsidRPr="0073411C">
        <w:rPr>
          <w:rFonts w:ascii="Times New Roman" w:hAnsi="Times New Roman"/>
          <w:sz w:val="24"/>
          <w:szCs w:val="24"/>
        </w:rPr>
        <w:t xml:space="preserve">l’Électricité,  </w:t>
      </w:r>
      <w:r w:rsidR="003A3A26">
        <w:rPr>
          <w:rFonts w:ascii="Times New Roman" w:hAnsi="Times New Roman"/>
          <w:sz w:val="24"/>
          <w:szCs w:val="24"/>
        </w:rPr>
        <w:t xml:space="preserve">et de </w:t>
      </w:r>
      <w:r w:rsidRPr="0073411C">
        <w:rPr>
          <w:rFonts w:ascii="Times New Roman" w:hAnsi="Times New Roman"/>
          <w:sz w:val="24"/>
          <w:szCs w:val="24"/>
        </w:rPr>
        <w:t xml:space="preserve">l’Eau  </w:t>
      </w:r>
      <w:r w:rsidR="00980F9C" w:rsidRPr="0073411C">
        <w:rPr>
          <w:rFonts w:ascii="Times New Roman" w:hAnsi="Times New Roman"/>
          <w:sz w:val="24"/>
          <w:szCs w:val="24"/>
        </w:rPr>
        <w:t xml:space="preserve">est sous la tutelle du Ministère </w:t>
      </w:r>
      <w:r w:rsidR="00666BA5" w:rsidRPr="0073411C">
        <w:rPr>
          <w:rFonts w:ascii="Times New Roman" w:hAnsi="Times New Roman"/>
          <w:sz w:val="24"/>
          <w:szCs w:val="24"/>
        </w:rPr>
        <w:t>des Ressources</w:t>
      </w:r>
      <w:r w:rsidR="00980F9C" w:rsidRPr="0073411C">
        <w:rPr>
          <w:rFonts w:ascii="Times New Roman" w:hAnsi="Times New Roman"/>
          <w:sz w:val="24"/>
          <w:szCs w:val="24"/>
        </w:rPr>
        <w:t xml:space="preserve"> hydrauliques</w:t>
      </w:r>
      <w:r w:rsidR="00666BA5" w:rsidRPr="0073411C">
        <w:rPr>
          <w:rFonts w:ascii="Times New Roman" w:hAnsi="Times New Roman"/>
          <w:sz w:val="24"/>
          <w:szCs w:val="24"/>
        </w:rPr>
        <w:t xml:space="preserve"> et de l’électricité</w:t>
      </w:r>
      <w:r w:rsidR="00980F9C" w:rsidRPr="0073411C">
        <w:rPr>
          <w:rFonts w:ascii="Times New Roman" w:hAnsi="Times New Roman"/>
          <w:sz w:val="24"/>
          <w:szCs w:val="24"/>
        </w:rPr>
        <w:t xml:space="preserve"> à travers son Unité de Coordination et de Management des projets (UCM)</w:t>
      </w:r>
      <w:r w:rsidR="003912E1">
        <w:rPr>
          <w:rFonts w:ascii="Times New Roman" w:hAnsi="Times New Roman"/>
          <w:sz w:val="24"/>
          <w:szCs w:val="24"/>
        </w:rPr>
        <w:t xml:space="preserve"> et la Société Nationale d’Electricité</w:t>
      </w:r>
      <w:r w:rsidR="00980F9C" w:rsidRPr="0073411C">
        <w:rPr>
          <w:rFonts w:ascii="Times New Roman" w:hAnsi="Times New Roman"/>
          <w:sz w:val="24"/>
          <w:szCs w:val="24"/>
        </w:rPr>
        <w:t>.</w:t>
      </w:r>
      <w:r w:rsidR="00980F9C" w:rsidRPr="00D75D2E">
        <w:rPr>
          <w:rFonts w:ascii="Times New Roman" w:hAnsi="Times New Roman"/>
          <w:sz w:val="24"/>
          <w:szCs w:val="24"/>
        </w:rPr>
        <w:t xml:space="preserve"> </w:t>
      </w:r>
    </w:p>
    <w:p w14:paraId="5BCD53DD" w14:textId="77777777" w:rsidR="00C959F4" w:rsidRPr="00D75D2E" w:rsidRDefault="00C959F4"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Les principales composantes sont  les suivantes :</w:t>
      </w:r>
    </w:p>
    <w:p w14:paraId="6F172D35" w14:textId="77777777" w:rsidR="00C959F4" w:rsidRPr="00D75D2E" w:rsidRDefault="00C959F4" w:rsidP="008C79F0">
      <w:pPr>
        <w:pStyle w:val="Paragraphedeliste"/>
        <w:numPr>
          <w:ilvl w:val="0"/>
          <w:numId w:val="138"/>
        </w:numPr>
        <w:spacing w:before="60" w:after="60" w:line="276" w:lineRule="auto"/>
        <w:ind w:left="567" w:right="6"/>
        <w:jc w:val="both"/>
        <w:rPr>
          <w:rFonts w:ascii="Times New Roman" w:hAnsi="Times New Roman"/>
          <w:sz w:val="24"/>
          <w:szCs w:val="24"/>
        </w:rPr>
      </w:pPr>
      <w:r w:rsidRPr="00D75D2E">
        <w:rPr>
          <w:rFonts w:ascii="Times New Roman" w:hAnsi="Times New Roman"/>
          <w:sz w:val="24"/>
          <w:szCs w:val="24"/>
        </w:rPr>
        <w:t>Composante 1 : Gouvernance et Amélioration des performances des Entreprises d’Électricité et d'Eau</w:t>
      </w:r>
    </w:p>
    <w:p w14:paraId="672E47FB" w14:textId="77777777" w:rsidR="00C959F4" w:rsidRPr="00D75D2E" w:rsidRDefault="00C959F4" w:rsidP="008C79F0">
      <w:pPr>
        <w:pStyle w:val="Paragraphedeliste"/>
        <w:numPr>
          <w:ilvl w:val="0"/>
          <w:numId w:val="138"/>
        </w:numPr>
        <w:spacing w:before="60" w:after="60" w:line="276" w:lineRule="auto"/>
        <w:ind w:left="567" w:right="6"/>
        <w:jc w:val="both"/>
        <w:rPr>
          <w:rFonts w:ascii="Times New Roman" w:eastAsia="MS PGothic" w:hAnsi="Times New Roman"/>
          <w:bCs/>
          <w:kern w:val="24"/>
          <w:sz w:val="24"/>
          <w:szCs w:val="24"/>
        </w:rPr>
      </w:pPr>
      <w:r w:rsidRPr="00D75D2E">
        <w:rPr>
          <w:rFonts w:ascii="Times New Roman" w:hAnsi="Times New Roman"/>
          <w:sz w:val="24"/>
          <w:szCs w:val="24"/>
        </w:rPr>
        <w:t>Composante 2 : Ren</w:t>
      </w:r>
      <w:r w:rsidRPr="00E737B4">
        <w:rPr>
          <w:rFonts w:ascii="Times New Roman" w:hAnsi="Times New Roman"/>
          <w:sz w:val="24"/>
          <w:szCs w:val="24"/>
          <w:highlight w:val="yellow"/>
        </w:rPr>
        <w:t>f</w:t>
      </w:r>
      <w:r w:rsidRPr="00D75D2E">
        <w:rPr>
          <w:rFonts w:ascii="Times New Roman" w:hAnsi="Times New Roman"/>
          <w:sz w:val="24"/>
          <w:szCs w:val="24"/>
        </w:rPr>
        <w:t xml:space="preserve">orcement des </w:t>
      </w:r>
      <w:r w:rsidRPr="00E737B4">
        <w:rPr>
          <w:rFonts w:ascii="Times New Roman" w:hAnsi="Times New Roman"/>
          <w:sz w:val="24"/>
          <w:szCs w:val="24"/>
          <w:highlight w:val="yellow"/>
        </w:rPr>
        <w:t>I</w:t>
      </w:r>
      <w:r w:rsidRPr="00D75D2E">
        <w:rPr>
          <w:rFonts w:ascii="Times New Roman" w:hAnsi="Times New Roman"/>
          <w:sz w:val="24"/>
          <w:szCs w:val="24"/>
        </w:rPr>
        <w:t>nstitutions des secteurs de l’électricité, de l’eau et de l’assainissement et Assistance Technique</w:t>
      </w:r>
    </w:p>
    <w:p w14:paraId="758C6097" w14:textId="77777777" w:rsidR="00C959F4" w:rsidRPr="00D75D2E" w:rsidRDefault="00C959F4" w:rsidP="008C79F0">
      <w:pPr>
        <w:pStyle w:val="Paragraphedeliste"/>
        <w:numPr>
          <w:ilvl w:val="0"/>
          <w:numId w:val="138"/>
        </w:numPr>
        <w:spacing w:before="60" w:after="60" w:line="276" w:lineRule="auto"/>
        <w:ind w:left="567" w:right="6"/>
        <w:jc w:val="both"/>
        <w:rPr>
          <w:rFonts w:ascii="Times New Roman" w:eastAsia="MS PGothic" w:hAnsi="Times New Roman"/>
          <w:bCs/>
          <w:kern w:val="24"/>
          <w:sz w:val="24"/>
          <w:szCs w:val="24"/>
        </w:rPr>
      </w:pPr>
      <w:r w:rsidRPr="00D75D2E">
        <w:rPr>
          <w:rFonts w:ascii="Times New Roman" w:eastAsia="MS PGothic" w:hAnsi="Times New Roman"/>
          <w:bCs/>
          <w:kern w:val="24"/>
          <w:sz w:val="24"/>
          <w:szCs w:val="24"/>
        </w:rPr>
        <w:t>Composante 3</w:t>
      </w:r>
      <w:r w:rsidR="00CC1E4C">
        <w:rPr>
          <w:rFonts w:ascii="Times New Roman" w:eastAsia="MS PGothic" w:hAnsi="Times New Roman"/>
          <w:bCs/>
          <w:kern w:val="24"/>
          <w:sz w:val="24"/>
          <w:szCs w:val="24"/>
        </w:rPr>
        <w:t> :</w:t>
      </w:r>
      <w:r w:rsidRPr="00D75D2E">
        <w:rPr>
          <w:rFonts w:ascii="Times New Roman" w:eastAsia="MS PGothic" w:hAnsi="Times New Roman"/>
          <w:bCs/>
          <w:kern w:val="24"/>
          <w:sz w:val="24"/>
          <w:szCs w:val="24"/>
        </w:rPr>
        <w:t xml:space="preserve"> Electrification basée sur le secteur privé de villes provinciales sélectionnées et  soutien aux opérateurs privés d'eau et d'assainissement</w:t>
      </w:r>
    </w:p>
    <w:p w14:paraId="25627D17" w14:textId="77777777" w:rsidR="00C959F4" w:rsidRPr="00D75D2E" w:rsidRDefault="00C959F4" w:rsidP="008C79F0">
      <w:pPr>
        <w:pStyle w:val="NormalWeb"/>
        <w:numPr>
          <w:ilvl w:val="0"/>
          <w:numId w:val="138"/>
        </w:numPr>
        <w:spacing w:before="60" w:after="60"/>
        <w:ind w:left="567" w:right="6"/>
        <w:jc w:val="both"/>
        <w:rPr>
          <w:rFonts w:ascii="Times New Roman" w:eastAsia="MS PGothic" w:hAnsi="Times New Roman" w:cs="Times New Roman"/>
          <w:bCs/>
          <w:kern w:val="24"/>
        </w:rPr>
      </w:pPr>
      <w:r w:rsidRPr="00D75D2E">
        <w:rPr>
          <w:rFonts w:ascii="Times New Roman" w:eastAsia="MS PGothic" w:hAnsi="Times New Roman" w:cs="Times New Roman"/>
          <w:bCs/>
          <w:kern w:val="24"/>
        </w:rPr>
        <w:t>Composante 4</w:t>
      </w:r>
      <w:r w:rsidR="00CC1E4C">
        <w:rPr>
          <w:rFonts w:ascii="Times New Roman" w:eastAsia="MS PGothic" w:hAnsi="Times New Roman" w:cs="Times New Roman"/>
          <w:bCs/>
          <w:kern w:val="24"/>
        </w:rPr>
        <w:t> :</w:t>
      </w:r>
      <w:r w:rsidRPr="00D75D2E">
        <w:rPr>
          <w:rFonts w:ascii="Times New Roman" w:eastAsia="MS PGothic" w:hAnsi="Times New Roman" w:cs="Times New Roman"/>
          <w:bCs/>
          <w:kern w:val="24"/>
        </w:rPr>
        <w:t xml:space="preserve"> Expansion de l'accès à l'électricité et à l'eau basée sur le secteur public </w:t>
      </w:r>
    </w:p>
    <w:p w14:paraId="4E659520" w14:textId="77777777" w:rsidR="00C959F4" w:rsidRPr="00D75D2E" w:rsidRDefault="00C959F4" w:rsidP="008C79F0">
      <w:pPr>
        <w:pStyle w:val="Paragraphedeliste"/>
        <w:numPr>
          <w:ilvl w:val="0"/>
          <w:numId w:val="138"/>
        </w:numPr>
        <w:spacing w:before="60" w:after="60" w:line="276" w:lineRule="auto"/>
        <w:ind w:left="567" w:right="6"/>
        <w:jc w:val="both"/>
        <w:rPr>
          <w:rFonts w:ascii="Times New Roman" w:hAnsi="Times New Roman"/>
          <w:sz w:val="24"/>
          <w:szCs w:val="24"/>
        </w:rPr>
      </w:pPr>
      <w:r w:rsidRPr="00D75D2E">
        <w:rPr>
          <w:rFonts w:ascii="Times New Roman" w:hAnsi="Times New Roman"/>
          <w:sz w:val="24"/>
          <w:szCs w:val="24"/>
        </w:rPr>
        <w:t>Composante 5 : Composante d'Intervention d'Urgence Conditionnelle</w:t>
      </w:r>
    </w:p>
    <w:p w14:paraId="2A16C830" w14:textId="77777777" w:rsidR="00C959F4" w:rsidRDefault="00FD70C0" w:rsidP="00E737B4">
      <w:pPr>
        <w:spacing w:before="120" w:after="120" w:line="240" w:lineRule="auto"/>
        <w:jc w:val="both"/>
        <w:rPr>
          <w:rFonts w:ascii="Times New Roman" w:hAnsi="Times New Roman"/>
          <w:sz w:val="24"/>
          <w:szCs w:val="24"/>
        </w:rPr>
      </w:pPr>
      <w:r>
        <w:rPr>
          <w:rFonts w:ascii="Times New Roman" w:hAnsi="Times New Roman"/>
          <w:sz w:val="24"/>
          <w:szCs w:val="24"/>
        </w:rPr>
        <w:t>Le sous-projet d’électrification des poches noires, d’assainissement, de réhabilitation et mise en conformité des réseaux SNEL des directions de Kinshasa Centre et Ouest fait partie de l</w:t>
      </w:r>
      <w:r w:rsidR="00C959F4" w:rsidRPr="00D75D2E">
        <w:rPr>
          <w:rFonts w:ascii="Times New Roman" w:hAnsi="Times New Roman"/>
          <w:sz w:val="24"/>
          <w:szCs w:val="24"/>
        </w:rPr>
        <w:t xml:space="preserve">a Composante 4 </w:t>
      </w:r>
      <w:r>
        <w:rPr>
          <w:rFonts w:ascii="Times New Roman" w:hAnsi="Times New Roman"/>
          <w:sz w:val="24"/>
          <w:szCs w:val="24"/>
        </w:rPr>
        <w:t>relatif à l’e</w:t>
      </w:r>
      <w:r w:rsidR="00C959F4" w:rsidRPr="00D75D2E">
        <w:rPr>
          <w:rFonts w:ascii="Times New Roman" w:hAnsi="Times New Roman"/>
          <w:sz w:val="24"/>
          <w:szCs w:val="24"/>
        </w:rPr>
        <w:t>xpansion de l'accès à l'électricité et à l'eau basée sur le secteur public</w:t>
      </w:r>
      <w:r>
        <w:rPr>
          <w:rFonts w:ascii="Times New Roman" w:hAnsi="Times New Roman"/>
          <w:sz w:val="24"/>
          <w:szCs w:val="24"/>
        </w:rPr>
        <w:t>. Le</w:t>
      </w:r>
      <w:r w:rsidR="00C959F4" w:rsidRPr="00D75D2E">
        <w:rPr>
          <w:rFonts w:ascii="Times New Roman" w:hAnsi="Times New Roman"/>
          <w:sz w:val="24"/>
          <w:szCs w:val="24"/>
        </w:rPr>
        <w:t xml:space="preserve"> projet cible entre autres la ville de Kinshasa en prenant notamment en charge l</w:t>
      </w:r>
      <w:r>
        <w:rPr>
          <w:rFonts w:ascii="Times New Roman" w:hAnsi="Times New Roman"/>
          <w:sz w:val="24"/>
          <w:szCs w:val="24"/>
        </w:rPr>
        <w:t>e parachèvement de l’électrification de la ville incluant l</w:t>
      </w:r>
      <w:r w:rsidR="00C959F4" w:rsidRPr="00D75D2E">
        <w:rPr>
          <w:rFonts w:ascii="Times New Roman" w:hAnsi="Times New Roman"/>
          <w:sz w:val="24"/>
          <w:szCs w:val="24"/>
        </w:rPr>
        <w:t xml:space="preserve">a tranche des travaux non exécutée sous EASE suite </w:t>
      </w:r>
      <w:r>
        <w:rPr>
          <w:rFonts w:ascii="Times New Roman" w:hAnsi="Times New Roman"/>
          <w:sz w:val="24"/>
          <w:szCs w:val="24"/>
        </w:rPr>
        <w:t>au manque de</w:t>
      </w:r>
      <w:r w:rsidR="0073411C" w:rsidRPr="00D75D2E">
        <w:rPr>
          <w:rFonts w:ascii="Times New Roman" w:hAnsi="Times New Roman"/>
          <w:sz w:val="24"/>
          <w:szCs w:val="24"/>
        </w:rPr>
        <w:t xml:space="preserve"> </w:t>
      </w:r>
      <w:r w:rsidR="00C959F4" w:rsidRPr="00D75D2E">
        <w:rPr>
          <w:rFonts w:ascii="Times New Roman" w:hAnsi="Times New Roman"/>
          <w:sz w:val="24"/>
          <w:szCs w:val="24"/>
        </w:rPr>
        <w:t xml:space="preserve">financement.   </w:t>
      </w:r>
    </w:p>
    <w:p w14:paraId="470AB1ED" w14:textId="4A8411AE" w:rsidR="008A36DE" w:rsidRPr="00D75D2E" w:rsidRDefault="00FD70C0" w:rsidP="00E737B4">
      <w:pPr>
        <w:spacing w:before="120" w:after="120" w:line="240" w:lineRule="auto"/>
        <w:jc w:val="both"/>
        <w:rPr>
          <w:rFonts w:ascii="Times New Roman" w:hAnsi="Times New Roman"/>
          <w:sz w:val="24"/>
          <w:szCs w:val="24"/>
        </w:rPr>
      </w:pPr>
      <w:r>
        <w:rPr>
          <w:rFonts w:ascii="Times New Roman" w:hAnsi="Times New Roman"/>
          <w:sz w:val="24"/>
          <w:szCs w:val="24"/>
        </w:rPr>
        <w:t>Ce sous-projet va p</w:t>
      </w:r>
      <w:r w:rsidRPr="00D75D2E">
        <w:rPr>
          <w:rFonts w:ascii="Times New Roman" w:hAnsi="Times New Roman"/>
          <w:sz w:val="24"/>
          <w:szCs w:val="24"/>
        </w:rPr>
        <w:t>oursuivre</w:t>
      </w:r>
      <w:r w:rsidR="008A36DE" w:rsidRPr="00D75D2E">
        <w:rPr>
          <w:rFonts w:ascii="Times New Roman" w:hAnsi="Times New Roman"/>
          <w:sz w:val="24"/>
          <w:szCs w:val="24"/>
        </w:rPr>
        <w:t xml:space="preserve"> l’expansion de l’accès à l’électricité menée par le secteur public à Kinshasa, </w:t>
      </w:r>
      <w:r>
        <w:rPr>
          <w:rFonts w:ascii="Times New Roman" w:hAnsi="Times New Roman"/>
          <w:sz w:val="24"/>
          <w:szCs w:val="24"/>
        </w:rPr>
        <w:t xml:space="preserve">pour laquelle, </w:t>
      </w:r>
      <w:r w:rsidR="008A36DE" w:rsidRPr="00D75D2E">
        <w:rPr>
          <w:rFonts w:ascii="Times New Roman" w:hAnsi="Times New Roman"/>
          <w:sz w:val="24"/>
          <w:szCs w:val="24"/>
        </w:rPr>
        <w:t>les études techniques et environnementales et sociales ont été financées par le projet EASE.</w:t>
      </w:r>
      <w:r>
        <w:rPr>
          <w:rFonts w:ascii="Times New Roman" w:hAnsi="Times New Roman"/>
          <w:sz w:val="24"/>
          <w:szCs w:val="24"/>
        </w:rPr>
        <w:t xml:space="preserve"> </w:t>
      </w:r>
    </w:p>
    <w:p w14:paraId="0058BECC" w14:textId="77777777" w:rsidR="00E51580" w:rsidRPr="00D75D2E" w:rsidRDefault="00E51580" w:rsidP="00AE31F1">
      <w:pPr>
        <w:keepNext/>
        <w:keepLines/>
        <w:numPr>
          <w:ilvl w:val="1"/>
          <w:numId w:val="54"/>
        </w:numPr>
        <w:tabs>
          <w:tab w:val="left" w:pos="851"/>
        </w:tabs>
        <w:spacing w:before="120" w:after="120" w:line="240" w:lineRule="auto"/>
        <w:outlineLvl w:val="1"/>
        <w:rPr>
          <w:rFonts w:ascii="Times New Roman" w:eastAsia="Times New Roman" w:hAnsi="Times New Roman"/>
          <w:b/>
          <w:sz w:val="24"/>
          <w:szCs w:val="24"/>
        </w:rPr>
      </w:pPr>
      <w:bookmarkStart w:id="419" w:name="_Toc519050452"/>
      <w:bookmarkStart w:id="420" w:name="_Toc103685627"/>
      <w:r w:rsidRPr="00D75D2E">
        <w:rPr>
          <w:rFonts w:ascii="Times New Roman" w:eastAsia="Times New Roman" w:hAnsi="Times New Roman"/>
          <w:b/>
          <w:sz w:val="24"/>
          <w:szCs w:val="24"/>
        </w:rPr>
        <w:t xml:space="preserve">Description des activités </w:t>
      </w:r>
      <w:bookmarkEnd w:id="419"/>
      <w:r w:rsidRPr="00D75D2E">
        <w:rPr>
          <w:rFonts w:ascii="Times New Roman" w:eastAsia="Times New Roman" w:hAnsi="Times New Roman"/>
          <w:b/>
          <w:sz w:val="24"/>
          <w:szCs w:val="24"/>
        </w:rPr>
        <w:t>du projet</w:t>
      </w:r>
      <w:bookmarkEnd w:id="420"/>
      <w:r w:rsidRPr="00D75D2E">
        <w:rPr>
          <w:rFonts w:ascii="Times New Roman" w:eastAsia="Times New Roman" w:hAnsi="Times New Roman"/>
          <w:b/>
          <w:sz w:val="24"/>
          <w:szCs w:val="24"/>
        </w:rPr>
        <w:t xml:space="preserve">  </w:t>
      </w:r>
    </w:p>
    <w:p w14:paraId="679C4896" w14:textId="77777777" w:rsidR="00C959F4" w:rsidRPr="00D75D2E" w:rsidRDefault="00C959F4" w:rsidP="00E737B4">
      <w:pPr>
        <w:spacing w:before="120" w:after="120" w:line="240" w:lineRule="auto"/>
        <w:jc w:val="both"/>
        <w:rPr>
          <w:rFonts w:ascii="Times New Roman" w:hAnsi="Times New Roman"/>
          <w:noProof/>
          <w:sz w:val="24"/>
          <w:szCs w:val="24"/>
          <w:lang w:val="fr-CA" w:eastAsia="fr-FR"/>
        </w:rPr>
      </w:pPr>
      <w:r w:rsidRPr="00D75D2E">
        <w:rPr>
          <w:rFonts w:ascii="Times New Roman" w:eastAsia="Times New Roman" w:hAnsi="Times New Roman"/>
          <w:noProof/>
          <w:sz w:val="24"/>
          <w:szCs w:val="24"/>
          <w:lang w:val="fr-CA" w:eastAsia="fr-FR"/>
        </w:rPr>
        <w:t>Les activités s’exécuteront dans dix (10) communes de la ville-province de Kinshasa, à savoir</w:t>
      </w:r>
      <w:r w:rsidRPr="00D75D2E">
        <w:rPr>
          <w:rFonts w:ascii="Times New Roman" w:hAnsi="Times New Roman"/>
          <w:noProof/>
          <w:sz w:val="24"/>
          <w:szCs w:val="24"/>
          <w:lang w:val="fr-CA" w:eastAsia="fr-FR"/>
        </w:rPr>
        <w:t xml:space="preserve"> Kalamu, Bumbu, Mont-Ngafula, Selembao, Ngiri-Ngiri, Makala, Bandalungwa, Kintambo, Ngaliema et Barumbu.</w:t>
      </w:r>
    </w:p>
    <w:p w14:paraId="71999056" w14:textId="77777777" w:rsidR="00C959F4" w:rsidRPr="00D75D2E" w:rsidRDefault="00C959F4" w:rsidP="0073411C">
      <w:pPr>
        <w:spacing w:before="120" w:after="120" w:line="240" w:lineRule="auto"/>
        <w:ind w:right="6"/>
        <w:jc w:val="both"/>
        <w:rPr>
          <w:rFonts w:ascii="Times New Roman" w:hAnsi="Times New Roman"/>
          <w:sz w:val="24"/>
          <w:szCs w:val="24"/>
        </w:rPr>
      </w:pPr>
      <w:r w:rsidRPr="00D75D2E">
        <w:rPr>
          <w:rFonts w:ascii="Times New Roman" w:hAnsi="Times New Roman"/>
          <w:sz w:val="24"/>
          <w:szCs w:val="24"/>
        </w:rPr>
        <w:t xml:space="preserve">De manière générale, les activités à réaliser dans le cadre des travaux d’électrification des poches noires, d’assainissement, de réhabilitation et de mise en conformité des réseaux de distribution SNEL des directions de Kinshasa Centre et Ouest pris en charge par le nouveau projet dénommé « Projet de Gouvernance et d’Accès à l’Électricité, à l’Eau potable et à l’Assainissement de base » portent essentiellement  sur : </w:t>
      </w:r>
    </w:p>
    <w:p w14:paraId="2B432669" w14:textId="77777777" w:rsidR="00C959F4" w:rsidRPr="00D75D2E" w:rsidRDefault="00C959F4" w:rsidP="008C79F0">
      <w:pPr>
        <w:numPr>
          <w:ilvl w:val="0"/>
          <w:numId w:val="228"/>
        </w:numPr>
        <w:tabs>
          <w:tab w:val="left" w:pos="709"/>
        </w:tabs>
        <w:spacing w:before="120" w:after="120" w:line="240" w:lineRule="auto"/>
        <w:ind w:left="709" w:right="6" w:hanging="425"/>
        <w:contextualSpacing/>
        <w:jc w:val="both"/>
        <w:rPr>
          <w:rFonts w:ascii="Times New Roman" w:hAnsi="Times New Roman"/>
          <w:sz w:val="24"/>
          <w:szCs w:val="24"/>
        </w:rPr>
      </w:pPr>
      <w:r w:rsidRPr="00D75D2E">
        <w:rPr>
          <w:rFonts w:ascii="Times New Roman" w:hAnsi="Times New Roman"/>
          <w:sz w:val="24"/>
          <w:szCs w:val="24"/>
        </w:rPr>
        <w:t>la décharge des réseaux de distribution (MT et BT) des directions de Kinshasa Centre et Kinshasa Ouest ;</w:t>
      </w:r>
    </w:p>
    <w:p w14:paraId="4A2544AA" w14:textId="77777777" w:rsidR="00C959F4" w:rsidRPr="00D75D2E" w:rsidRDefault="00C959F4" w:rsidP="008C79F0">
      <w:pPr>
        <w:numPr>
          <w:ilvl w:val="0"/>
          <w:numId w:val="228"/>
        </w:numPr>
        <w:tabs>
          <w:tab w:val="left" w:pos="709"/>
        </w:tabs>
        <w:spacing w:before="120" w:after="120" w:line="240" w:lineRule="auto"/>
        <w:ind w:left="709" w:right="6" w:hanging="425"/>
        <w:contextualSpacing/>
        <w:jc w:val="both"/>
        <w:rPr>
          <w:rFonts w:ascii="Times New Roman" w:hAnsi="Times New Roman"/>
          <w:sz w:val="24"/>
          <w:szCs w:val="24"/>
        </w:rPr>
      </w:pPr>
      <w:r w:rsidRPr="00D75D2E">
        <w:rPr>
          <w:rFonts w:ascii="Times New Roman" w:hAnsi="Times New Roman"/>
          <w:sz w:val="24"/>
          <w:szCs w:val="24"/>
        </w:rPr>
        <w:t>l’assainissement et la mise en conformité des réseaux de distribution (MT et BT) des directions de Kinshasa Centre et Kinshasa Ouest ;</w:t>
      </w:r>
    </w:p>
    <w:p w14:paraId="12C80248" w14:textId="77777777" w:rsidR="00C959F4" w:rsidRPr="00D75D2E" w:rsidRDefault="00C959F4" w:rsidP="008C79F0">
      <w:pPr>
        <w:numPr>
          <w:ilvl w:val="0"/>
          <w:numId w:val="228"/>
        </w:numPr>
        <w:tabs>
          <w:tab w:val="left" w:pos="709"/>
        </w:tabs>
        <w:spacing w:before="120" w:after="120" w:line="240" w:lineRule="auto"/>
        <w:ind w:left="709" w:right="6" w:hanging="425"/>
        <w:contextualSpacing/>
        <w:jc w:val="both"/>
        <w:rPr>
          <w:rFonts w:ascii="Times New Roman" w:hAnsi="Times New Roman"/>
          <w:sz w:val="24"/>
          <w:szCs w:val="24"/>
        </w:rPr>
      </w:pPr>
      <w:r w:rsidRPr="00D75D2E">
        <w:rPr>
          <w:rFonts w:ascii="Times New Roman" w:hAnsi="Times New Roman"/>
          <w:sz w:val="24"/>
          <w:szCs w:val="24"/>
        </w:rPr>
        <w:t>l’extension des réseaux de distribution (MT et BT) des directions de Kinshasa Centre et Kinshasa Ouest ;</w:t>
      </w:r>
    </w:p>
    <w:p w14:paraId="1E0C3370" w14:textId="77777777" w:rsidR="00C959F4" w:rsidRPr="00D75D2E" w:rsidRDefault="00C959F4" w:rsidP="008C79F0">
      <w:pPr>
        <w:numPr>
          <w:ilvl w:val="0"/>
          <w:numId w:val="228"/>
        </w:numPr>
        <w:tabs>
          <w:tab w:val="left" w:pos="709"/>
        </w:tabs>
        <w:spacing w:after="120" w:line="240" w:lineRule="auto"/>
        <w:ind w:left="709" w:right="6" w:hanging="425"/>
        <w:jc w:val="both"/>
        <w:rPr>
          <w:rFonts w:ascii="Times New Roman" w:hAnsi="Times New Roman"/>
          <w:sz w:val="24"/>
          <w:szCs w:val="24"/>
        </w:rPr>
      </w:pPr>
      <w:r w:rsidRPr="00D75D2E">
        <w:rPr>
          <w:rFonts w:ascii="Times New Roman" w:hAnsi="Times New Roman"/>
          <w:sz w:val="24"/>
          <w:szCs w:val="24"/>
        </w:rPr>
        <w:t xml:space="preserve">l’installation des compteurs BT à prépaiement chez les ménages. </w:t>
      </w:r>
    </w:p>
    <w:p w14:paraId="551E1AC4" w14:textId="77777777" w:rsidR="00C959F4" w:rsidRDefault="00C959F4" w:rsidP="00E737B4">
      <w:pPr>
        <w:spacing w:before="120" w:after="120" w:line="240" w:lineRule="auto"/>
        <w:ind w:right="6"/>
        <w:jc w:val="both"/>
        <w:rPr>
          <w:rFonts w:ascii="Times New Roman" w:hAnsi="Times New Roman"/>
          <w:sz w:val="24"/>
          <w:szCs w:val="24"/>
        </w:rPr>
      </w:pPr>
      <w:r w:rsidRPr="00D75D2E">
        <w:rPr>
          <w:rFonts w:ascii="Times New Roman" w:hAnsi="Times New Roman"/>
          <w:sz w:val="24"/>
          <w:szCs w:val="24"/>
        </w:rPr>
        <w:t xml:space="preserve">Les actions sur les postes Haute-tension et Moyenne-tension ne sont pas concernées par le présent Projet. </w:t>
      </w:r>
    </w:p>
    <w:p w14:paraId="7EF5AB30" w14:textId="77777777" w:rsidR="007636AC" w:rsidRPr="00D75D2E" w:rsidRDefault="007636AC" w:rsidP="00E737B4">
      <w:pPr>
        <w:spacing w:before="120" w:after="120" w:line="240" w:lineRule="auto"/>
        <w:ind w:right="6"/>
        <w:jc w:val="both"/>
        <w:rPr>
          <w:rFonts w:ascii="Times New Roman" w:hAnsi="Times New Roman"/>
          <w:sz w:val="24"/>
          <w:szCs w:val="24"/>
        </w:rPr>
      </w:pPr>
    </w:p>
    <w:p w14:paraId="31B55669" w14:textId="77777777" w:rsidR="00C959F4" w:rsidRPr="00D75D2E" w:rsidRDefault="00C959F4" w:rsidP="008C79F0">
      <w:pPr>
        <w:numPr>
          <w:ilvl w:val="0"/>
          <w:numId w:val="134"/>
        </w:numPr>
        <w:spacing w:after="120" w:line="240" w:lineRule="auto"/>
        <w:ind w:left="714" w:hanging="357"/>
        <w:jc w:val="both"/>
        <w:rPr>
          <w:rFonts w:ascii="Times New Roman" w:hAnsi="Times New Roman"/>
          <w:bCs/>
          <w:i/>
          <w:iCs/>
          <w:sz w:val="24"/>
          <w:szCs w:val="24"/>
          <w:u w:val="single"/>
        </w:rPr>
      </w:pPr>
      <w:r w:rsidRPr="00D75D2E">
        <w:rPr>
          <w:rFonts w:ascii="Times New Roman" w:hAnsi="Times New Roman"/>
          <w:bCs/>
          <w:i/>
          <w:iCs/>
          <w:sz w:val="24"/>
          <w:szCs w:val="24"/>
          <w:u w:val="single"/>
        </w:rPr>
        <w:t>Electrification des poches noires</w:t>
      </w:r>
    </w:p>
    <w:p w14:paraId="14C0CB4B" w14:textId="480B0C55" w:rsidR="00C959F4" w:rsidRDefault="00C959F4" w:rsidP="00E737B4">
      <w:pPr>
        <w:tabs>
          <w:tab w:val="left" w:pos="567"/>
        </w:tabs>
        <w:autoSpaceDE w:val="0"/>
        <w:autoSpaceDN w:val="0"/>
        <w:adjustRightInd w:val="0"/>
        <w:spacing w:before="120" w:after="120" w:line="240" w:lineRule="auto"/>
        <w:ind w:left="567"/>
        <w:jc w:val="both"/>
        <w:rPr>
          <w:rFonts w:ascii="Times New Roman" w:hAnsi="Times New Roman"/>
          <w:sz w:val="24"/>
          <w:szCs w:val="24"/>
        </w:rPr>
      </w:pPr>
      <w:r w:rsidRPr="00D75D2E">
        <w:rPr>
          <w:rFonts w:ascii="Times New Roman" w:hAnsi="Times New Roman"/>
          <w:sz w:val="24"/>
          <w:szCs w:val="24"/>
        </w:rPr>
        <w:t xml:space="preserve">L’électrification des poches noires portera sur la construction des nouveaux segments du réseau moyenne-tension (MT), la réhabilitation et l’assainissement des anciens segments du réseau MT et BT dans la zone du projet. </w:t>
      </w:r>
    </w:p>
    <w:p w14:paraId="02C2146C" w14:textId="77777777" w:rsidR="003912E1" w:rsidRDefault="003912E1" w:rsidP="00AE31F1">
      <w:pPr>
        <w:tabs>
          <w:tab w:val="left" w:pos="567"/>
        </w:tabs>
        <w:autoSpaceDE w:val="0"/>
        <w:autoSpaceDN w:val="0"/>
        <w:adjustRightInd w:val="0"/>
        <w:spacing w:before="120" w:after="120" w:line="240" w:lineRule="auto"/>
        <w:ind w:left="567"/>
        <w:jc w:val="both"/>
        <w:rPr>
          <w:rFonts w:ascii="Times New Roman" w:hAnsi="Times New Roman"/>
          <w:sz w:val="24"/>
          <w:szCs w:val="24"/>
        </w:rPr>
      </w:pPr>
      <w:r w:rsidRPr="00AE31F1">
        <w:rPr>
          <w:rFonts w:ascii="Times New Roman" w:hAnsi="Times New Roman"/>
          <w:sz w:val="24"/>
          <w:szCs w:val="24"/>
        </w:rPr>
        <w:t>Les installations électriques doivent être réalisées conformément aux règles de l’art et répondre aux prescriptions des normes en vigueur, notamment en ce qui concerne la protection contre les surintensités et contre les contacts indirects mettant en jeu la sécurité des personnes.</w:t>
      </w:r>
      <w:r>
        <w:rPr>
          <w:rFonts w:ascii="Times New Roman" w:hAnsi="Times New Roman"/>
          <w:sz w:val="24"/>
          <w:szCs w:val="24"/>
        </w:rPr>
        <w:t xml:space="preserve"> </w:t>
      </w:r>
    </w:p>
    <w:p w14:paraId="6A9628F5" w14:textId="77777777" w:rsidR="003912E1" w:rsidRPr="00D75D2E" w:rsidRDefault="003912E1" w:rsidP="003912E1">
      <w:pPr>
        <w:tabs>
          <w:tab w:val="left" w:pos="567"/>
        </w:tabs>
        <w:autoSpaceDE w:val="0"/>
        <w:autoSpaceDN w:val="0"/>
        <w:adjustRightInd w:val="0"/>
        <w:spacing w:before="120" w:after="120" w:line="240" w:lineRule="auto"/>
        <w:ind w:left="567"/>
        <w:jc w:val="both"/>
        <w:rPr>
          <w:rFonts w:ascii="Times New Roman" w:hAnsi="Times New Roman"/>
          <w:sz w:val="24"/>
          <w:szCs w:val="24"/>
        </w:rPr>
      </w:pPr>
      <w:r>
        <w:rPr>
          <w:rFonts w:ascii="Times New Roman" w:hAnsi="Times New Roman"/>
          <w:sz w:val="24"/>
          <w:szCs w:val="24"/>
        </w:rPr>
        <w:t>Les entrepreneurs devront se conformer aux 17 normes relatives au Management de l’énergie défini dans l’</w:t>
      </w:r>
      <w:r w:rsidRPr="00AE31F1">
        <w:rPr>
          <w:rFonts w:ascii="Times New Roman" w:hAnsi="Times New Roman"/>
          <w:sz w:val="24"/>
          <w:szCs w:val="24"/>
        </w:rPr>
        <w:t>arrêté n° CAB.MIN/IND/CJA/10/10/2020 du 27 octobre 2020 portant adoption des normes nationales congolaises sur  les  produits  cosmétiques  et détergents, les lubrifiants et produits pétroliers, les ciments, les peintures et vernis, l'électrotechnique, la technologie de l'information et la sécurité, le management  sécurité  routière  et l'approvisionnement, l'assainissement, l'environnement, eaux usées et de forage et leur mise en application.</w:t>
      </w:r>
    </w:p>
    <w:p w14:paraId="4343CB38" w14:textId="77777777" w:rsidR="00C959F4" w:rsidRPr="00D75D2E" w:rsidRDefault="00C959F4" w:rsidP="008C79F0">
      <w:pPr>
        <w:numPr>
          <w:ilvl w:val="0"/>
          <w:numId w:val="133"/>
        </w:numPr>
        <w:tabs>
          <w:tab w:val="left" w:pos="567"/>
        </w:tabs>
        <w:autoSpaceDE w:val="0"/>
        <w:autoSpaceDN w:val="0"/>
        <w:adjustRightInd w:val="0"/>
        <w:spacing w:before="120" w:after="120" w:line="240" w:lineRule="auto"/>
        <w:ind w:left="1134" w:hanging="425"/>
        <w:jc w:val="both"/>
        <w:rPr>
          <w:rFonts w:ascii="Times New Roman" w:hAnsi="Times New Roman"/>
          <w:sz w:val="24"/>
          <w:szCs w:val="24"/>
        </w:rPr>
      </w:pPr>
      <w:r w:rsidRPr="00D75D2E">
        <w:rPr>
          <w:rFonts w:ascii="Times New Roman" w:hAnsi="Times New Roman"/>
          <w:sz w:val="24"/>
          <w:szCs w:val="24"/>
        </w:rPr>
        <w:t xml:space="preserve">Décharge des réseaux de distribution (MT et BT) </w:t>
      </w:r>
    </w:p>
    <w:p w14:paraId="1AD80E6B" w14:textId="77777777" w:rsidR="00C959F4" w:rsidRPr="00D75D2E" w:rsidRDefault="00C959F4" w:rsidP="00E737B4">
      <w:pPr>
        <w:tabs>
          <w:tab w:val="left" w:pos="1134"/>
        </w:tabs>
        <w:autoSpaceDE w:val="0"/>
        <w:autoSpaceDN w:val="0"/>
        <w:adjustRightInd w:val="0"/>
        <w:spacing w:before="120" w:after="120" w:line="240" w:lineRule="auto"/>
        <w:ind w:left="1134"/>
        <w:jc w:val="both"/>
        <w:rPr>
          <w:rFonts w:ascii="Times New Roman" w:hAnsi="Times New Roman"/>
          <w:sz w:val="24"/>
          <w:szCs w:val="24"/>
        </w:rPr>
      </w:pPr>
      <w:r w:rsidRPr="00D75D2E">
        <w:rPr>
          <w:rFonts w:ascii="Times New Roman" w:hAnsi="Times New Roman"/>
          <w:sz w:val="24"/>
          <w:szCs w:val="24"/>
        </w:rPr>
        <w:t>Les actions de décharge des réseaux portent sur l’installation des 148 nouvelles cabines pour décharger les cabines existantes dans les poches noires des communes de de Kalamu, Bumbu, Mont-Ngafula, Selembao, Ngiri-Ngiri, Makala, Bandalungwa, Kintambo, Ngaliema et Barumbu. Ces poches noires fonctionnent avec un taux de charge dépassant 100% de leur capacité ; ce qui entraine au niveau de l’exploitant SNEL, l’application du régime de délestage pour préserver les équipements électriques. L’installation des nouvelles cabines prévues dans le cadre de la décharge des réseaux permettra de réduire la surcharge et le taux de charge maximum de 100 à 80% pour les cabines.</w:t>
      </w:r>
    </w:p>
    <w:p w14:paraId="6DADE800" w14:textId="77777777" w:rsidR="00C959F4" w:rsidRPr="00D75D2E" w:rsidRDefault="00C959F4" w:rsidP="008C79F0">
      <w:pPr>
        <w:numPr>
          <w:ilvl w:val="0"/>
          <w:numId w:val="133"/>
        </w:numPr>
        <w:tabs>
          <w:tab w:val="left" w:pos="567"/>
        </w:tabs>
        <w:autoSpaceDE w:val="0"/>
        <w:autoSpaceDN w:val="0"/>
        <w:adjustRightInd w:val="0"/>
        <w:spacing w:before="120" w:after="120" w:line="240" w:lineRule="auto"/>
        <w:ind w:left="1134" w:hanging="425"/>
        <w:jc w:val="both"/>
        <w:rPr>
          <w:rFonts w:ascii="Times New Roman" w:hAnsi="Times New Roman"/>
          <w:sz w:val="24"/>
          <w:szCs w:val="24"/>
        </w:rPr>
      </w:pPr>
      <w:r w:rsidRPr="00D75D2E">
        <w:rPr>
          <w:rFonts w:ascii="Times New Roman" w:hAnsi="Times New Roman"/>
          <w:sz w:val="24"/>
          <w:szCs w:val="24"/>
        </w:rPr>
        <w:t xml:space="preserve">L’extension des réseaux de distribution (MT et BT) </w:t>
      </w:r>
    </w:p>
    <w:p w14:paraId="43AA2CA1" w14:textId="5262B447" w:rsidR="00C959F4" w:rsidRDefault="00C959F4" w:rsidP="00E737B4">
      <w:pPr>
        <w:tabs>
          <w:tab w:val="left" w:pos="1134"/>
        </w:tabs>
        <w:autoSpaceDE w:val="0"/>
        <w:autoSpaceDN w:val="0"/>
        <w:adjustRightInd w:val="0"/>
        <w:spacing w:before="120" w:after="120" w:line="240" w:lineRule="auto"/>
        <w:ind w:left="1134"/>
        <w:jc w:val="both"/>
        <w:rPr>
          <w:rFonts w:ascii="Times New Roman" w:hAnsi="Times New Roman"/>
          <w:sz w:val="24"/>
          <w:szCs w:val="24"/>
        </w:rPr>
      </w:pPr>
      <w:r w:rsidRPr="00D75D2E">
        <w:rPr>
          <w:rFonts w:ascii="Times New Roman" w:hAnsi="Times New Roman"/>
          <w:sz w:val="24"/>
          <w:szCs w:val="24"/>
        </w:rPr>
        <w:t xml:space="preserve">L’extension des réseaux de distribution portera sur l’ajout de 86 nouvelles cabines dans la zone desservie par les réseaux DKC et DKO, dont 14 cabines sur poteau et 72 cabines compactes pour alimenter 43 000 nouveaux abonnés situés dans les 33 poches noires de la zone du projet.  </w:t>
      </w:r>
    </w:p>
    <w:p w14:paraId="1C54CE49" w14:textId="77777777" w:rsidR="003912E1" w:rsidRPr="00C738C5" w:rsidRDefault="003912E1" w:rsidP="00AE31F1">
      <w:pPr>
        <w:tabs>
          <w:tab w:val="left" w:pos="1134"/>
        </w:tabs>
        <w:autoSpaceDE w:val="0"/>
        <w:autoSpaceDN w:val="0"/>
        <w:adjustRightInd w:val="0"/>
        <w:spacing w:before="120" w:after="120" w:line="276" w:lineRule="auto"/>
        <w:ind w:left="1134"/>
        <w:jc w:val="both"/>
        <w:rPr>
          <w:rFonts w:ascii="Times New Roman" w:hAnsi="Times New Roman"/>
          <w:b/>
          <w:sz w:val="24"/>
          <w:szCs w:val="24"/>
        </w:rPr>
      </w:pPr>
      <w:r w:rsidRPr="00C738C5">
        <w:rPr>
          <w:rFonts w:ascii="Times New Roman" w:hAnsi="Times New Roman"/>
          <w:b/>
          <w:sz w:val="24"/>
          <w:szCs w:val="24"/>
        </w:rPr>
        <w:t xml:space="preserve">Types de poteaux </w:t>
      </w:r>
    </w:p>
    <w:p w14:paraId="7C7A7C2A" w14:textId="77777777" w:rsidR="003912E1" w:rsidRDefault="003912E1" w:rsidP="003912E1">
      <w:pPr>
        <w:tabs>
          <w:tab w:val="left" w:pos="1134"/>
        </w:tabs>
        <w:autoSpaceDE w:val="0"/>
        <w:autoSpaceDN w:val="0"/>
        <w:adjustRightInd w:val="0"/>
        <w:spacing w:before="120" w:after="120" w:line="240" w:lineRule="auto"/>
        <w:ind w:left="1134"/>
        <w:jc w:val="both"/>
        <w:rPr>
          <w:rFonts w:ascii="Times New Roman" w:hAnsi="Times New Roman"/>
          <w:sz w:val="24"/>
          <w:szCs w:val="24"/>
        </w:rPr>
      </w:pPr>
      <w:r>
        <w:rPr>
          <w:rFonts w:ascii="Times New Roman" w:hAnsi="Times New Roman"/>
          <w:sz w:val="24"/>
          <w:szCs w:val="24"/>
        </w:rPr>
        <w:t xml:space="preserve">Les réseaux de distribution MT/BT comprendront des poteaux métalliques et les poteaux bois. Le réseau MT comprendra essentiellement les poteaux métalliques et le réseau BT des poteaux bois. </w:t>
      </w:r>
    </w:p>
    <w:p w14:paraId="727EF43A" w14:textId="77777777" w:rsidR="00C959F4" w:rsidRPr="00D75D2E" w:rsidRDefault="00C959F4" w:rsidP="008C79F0">
      <w:pPr>
        <w:numPr>
          <w:ilvl w:val="0"/>
          <w:numId w:val="133"/>
        </w:numPr>
        <w:tabs>
          <w:tab w:val="left" w:pos="567"/>
        </w:tabs>
        <w:autoSpaceDE w:val="0"/>
        <w:autoSpaceDN w:val="0"/>
        <w:adjustRightInd w:val="0"/>
        <w:spacing w:before="120" w:after="120" w:line="240" w:lineRule="auto"/>
        <w:ind w:left="1134" w:hanging="425"/>
        <w:jc w:val="both"/>
        <w:rPr>
          <w:rFonts w:ascii="Times New Roman" w:hAnsi="Times New Roman"/>
          <w:sz w:val="24"/>
          <w:szCs w:val="24"/>
        </w:rPr>
      </w:pPr>
      <w:r w:rsidRPr="00D75D2E">
        <w:rPr>
          <w:rFonts w:ascii="Times New Roman" w:hAnsi="Times New Roman"/>
          <w:sz w:val="24"/>
          <w:szCs w:val="24"/>
        </w:rPr>
        <w:t xml:space="preserve">L’assainissement et la mise en conformité des réseaux de distribution (MT et BT) </w:t>
      </w:r>
    </w:p>
    <w:p w14:paraId="0B6C49D0" w14:textId="77777777" w:rsidR="00C959F4" w:rsidRPr="00D75D2E" w:rsidRDefault="00C959F4" w:rsidP="00E737B4">
      <w:pPr>
        <w:tabs>
          <w:tab w:val="left" w:pos="1134"/>
        </w:tabs>
        <w:autoSpaceDE w:val="0"/>
        <w:autoSpaceDN w:val="0"/>
        <w:adjustRightInd w:val="0"/>
        <w:spacing w:before="120" w:after="120" w:line="240" w:lineRule="auto"/>
        <w:ind w:left="1134"/>
        <w:jc w:val="both"/>
        <w:rPr>
          <w:rFonts w:ascii="Times New Roman" w:hAnsi="Times New Roman"/>
          <w:sz w:val="24"/>
          <w:szCs w:val="24"/>
        </w:rPr>
      </w:pPr>
      <w:r w:rsidRPr="00D75D2E">
        <w:rPr>
          <w:rFonts w:ascii="Times New Roman" w:hAnsi="Times New Roman"/>
          <w:sz w:val="24"/>
          <w:szCs w:val="24"/>
        </w:rPr>
        <w:t>Les actions prévues dans le cadre de ce volet portent sur la réhabilitation des infrastructures électriques, l’installation des équipements de contrôle, de comptage et de protection des réseaux. En sus de ces actions, le basculement des abonnés facturés sur base d’un régime forfaitaire dans le cadre du  système post-paiement d sur le système de prépaiement grâce à l’installation des nouveaux compteurs intelligents.</w:t>
      </w:r>
    </w:p>
    <w:p w14:paraId="5458640A" w14:textId="77777777" w:rsidR="00C959F4" w:rsidRPr="00D75D2E" w:rsidRDefault="00C959F4" w:rsidP="008C79F0">
      <w:pPr>
        <w:numPr>
          <w:ilvl w:val="0"/>
          <w:numId w:val="134"/>
        </w:numPr>
        <w:spacing w:before="120" w:after="120" w:line="240" w:lineRule="auto"/>
        <w:jc w:val="both"/>
        <w:rPr>
          <w:rFonts w:ascii="Times New Roman" w:hAnsi="Times New Roman"/>
          <w:bCs/>
          <w:i/>
          <w:iCs/>
          <w:sz w:val="24"/>
          <w:szCs w:val="24"/>
          <w:u w:val="single"/>
        </w:rPr>
      </w:pPr>
      <w:r w:rsidRPr="00D75D2E">
        <w:rPr>
          <w:rFonts w:ascii="Times New Roman" w:hAnsi="Times New Roman"/>
          <w:bCs/>
          <w:i/>
          <w:iCs/>
          <w:sz w:val="24"/>
          <w:szCs w:val="24"/>
          <w:u w:val="single"/>
        </w:rPr>
        <w:t>Fournitures des équipements MT/BT</w:t>
      </w:r>
    </w:p>
    <w:p w14:paraId="5E02A54E" w14:textId="77777777" w:rsidR="00C959F4" w:rsidRPr="00D75D2E" w:rsidRDefault="00C959F4" w:rsidP="00E737B4">
      <w:pPr>
        <w:tabs>
          <w:tab w:val="left" w:pos="709"/>
        </w:tabs>
        <w:autoSpaceDE w:val="0"/>
        <w:autoSpaceDN w:val="0"/>
        <w:adjustRightInd w:val="0"/>
        <w:spacing w:before="120" w:after="120" w:line="240" w:lineRule="auto"/>
        <w:ind w:left="709"/>
        <w:jc w:val="both"/>
        <w:rPr>
          <w:rFonts w:ascii="Times New Roman" w:hAnsi="Times New Roman"/>
          <w:sz w:val="24"/>
          <w:szCs w:val="24"/>
        </w:rPr>
      </w:pPr>
      <w:r w:rsidRPr="00D75D2E">
        <w:rPr>
          <w:rFonts w:ascii="Times New Roman" w:hAnsi="Times New Roman"/>
          <w:sz w:val="24"/>
          <w:szCs w:val="24"/>
        </w:rPr>
        <w:t>De façon résumée, les travaux comprennent la fourniture, l’installation et la pose de :</w:t>
      </w:r>
    </w:p>
    <w:p w14:paraId="268C7ABA"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 xml:space="preserve">cabines préfabriquées compactes  20/0,4 kV - 630 kVA et 20/0,4 kV - 160 kVA triphasées pour décharger le réseau de Kinshasa; cabines triphasées 160 kVA (MALT), 150 kVA (MALT) et 75 kVA (MALT) sur  poteau </w:t>
      </w:r>
    </w:p>
    <w:p w14:paraId="764CFFCB"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 xml:space="preserve">cabines monophasées 150 kVA (MALT) et 75 kVA (MALT) sur poteau ; </w:t>
      </w:r>
    </w:p>
    <w:p w14:paraId="02FE00DE"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 xml:space="preserve">réseaux moyenne-tension (MT) en conducteurs torsadés. </w:t>
      </w:r>
    </w:p>
    <w:p w14:paraId="6573EA56"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réseaux aériens moyenne-tension (MT) en conducteurs nus à 4 fils</w:t>
      </w:r>
    </w:p>
    <w:p w14:paraId="2AF1CD19"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réseaux BT.</w:t>
      </w:r>
    </w:p>
    <w:p w14:paraId="1955F91F" w14:textId="77777777" w:rsidR="00C959F4" w:rsidRPr="00D75D2E" w:rsidRDefault="00C959F4" w:rsidP="00E737B4">
      <w:pPr>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rPr>
        <w:t>Ces travaux nécessiteront l’acquisition de  lopins de terre pour l’installation des cabines compactes, en gardant à l’esprit  que chaque cabine est appelée à occuper une surface d’environ 36 m</w:t>
      </w:r>
      <w:r w:rsidRPr="00D75D2E">
        <w:rPr>
          <w:rFonts w:ascii="Times New Roman" w:hAnsi="Times New Roman"/>
          <w:sz w:val="24"/>
          <w:szCs w:val="24"/>
          <w:vertAlign w:val="superscript"/>
        </w:rPr>
        <w:t>2</w:t>
      </w:r>
      <w:r w:rsidRPr="00D75D2E">
        <w:rPr>
          <w:rFonts w:ascii="Times New Roman" w:hAnsi="Times New Roman"/>
          <w:sz w:val="24"/>
          <w:szCs w:val="24"/>
        </w:rPr>
        <w:t>.</w:t>
      </w:r>
    </w:p>
    <w:p w14:paraId="1242E737" w14:textId="77777777" w:rsidR="00C959F4" w:rsidRPr="00D75D2E" w:rsidRDefault="00C959F4" w:rsidP="008C79F0">
      <w:pPr>
        <w:numPr>
          <w:ilvl w:val="0"/>
          <w:numId w:val="134"/>
        </w:numPr>
        <w:spacing w:before="120" w:after="120" w:line="240" w:lineRule="auto"/>
        <w:jc w:val="both"/>
        <w:rPr>
          <w:rFonts w:ascii="Times New Roman" w:hAnsi="Times New Roman"/>
          <w:b/>
          <w:i/>
          <w:iCs/>
          <w:sz w:val="24"/>
          <w:szCs w:val="24"/>
          <w:u w:val="single"/>
        </w:rPr>
      </w:pPr>
      <w:r w:rsidRPr="00D75D2E">
        <w:rPr>
          <w:rFonts w:ascii="Times New Roman" w:hAnsi="Times New Roman"/>
          <w:b/>
          <w:i/>
          <w:iCs/>
          <w:sz w:val="24"/>
          <w:szCs w:val="24"/>
          <w:u w:val="single"/>
        </w:rPr>
        <w:t>Montage des lignes MT</w:t>
      </w:r>
    </w:p>
    <w:p w14:paraId="2BACF15D" w14:textId="243A6570" w:rsidR="00C959F4" w:rsidRPr="00D75D2E" w:rsidRDefault="00C959F4" w:rsidP="00E737B4">
      <w:pPr>
        <w:tabs>
          <w:tab w:val="left" w:pos="709"/>
        </w:tabs>
        <w:autoSpaceDE w:val="0"/>
        <w:autoSpaceDN w:val="0"/>
        <w:adjustRightInd w:val="0"/>
        <w:spacing w:before="120" w:after="120" w:line="240" w:lineRule="auto"/>
        <w:ind w:left="709"/>
        <w:jc w:val="both"/>
        <w:rPr>
          <w:rFonts w:ascii="Times New Roman" w:hAnsi="Times New Roman"/>
          <w:sz w:val="24"/>
          <w:szCs w:val="24"/>
        </w:rPr>
      </w:pPr>
      <w:r w:rsidRPr="00D75D2E">
        <w:rPr>
          <w:rFonts w:ascii="Times New Roman" w:hAnsi="Times New Roman"/>
          <w:sz w:val="24"/>
          <w:szCs w:val="24"/>
        </w:rPr>
        <w:t>Le montage des lignes MT</w:t>
      </w:r>
      <w:r w:rsidR="003912E1">
        <w:rPr>
          <w:rFonts w:ascii="Times New Roman" w:hAnsi="Times New Roman"/>
          <w:sz w:val="24"/>
          <w:szCs w:val="24"/>
        </w:rPr>
        <w:t xml:space="preserve"> d’une longueur de 353 kilomètres</w:t>
      </w:r>
      <w:r w:rsidR="003912E1" w:rsidRPr="00D75D2E">
        <w:rPr>
          <w:rFonts w:ascii="Times New Roman" w:hAnsi="Times New Roman"/>
          <w:sz w:val="24"/>
          <w:szCs w:val="24"/>
        </w:rPr>
        <w:t> </w:t>
      </w:r>
      <w:r w:rsidRPr="00D75D2E">
        <w:rPr>
          <w:rFonts w:ascii="Times New Roman" w:hAnsi="Times New Roman"/>
          <w:sz w:val="24"/>
          <w:szCs w:val="24"/>
        </w:rPr>
        <w:t> se fait en trois grandes étapes :</w:t>
      </w:r>
    </w:p>
    <w:p w14:paraId="24B44219"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la réalisation des fondations pour les supports (Poteaux).</w:t>
      </w:r>
    </w:p>
    <w:p w14:paraId="32586D3C"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le levage des supports, approvisionnés en plusieurs éléments, à l'aide d'une grue.</w:t>
      </w:r>
    </w:p>
    <w:p w14:paraId="05635A76" w14:textId="77777777" w:rsidR="00C959F4" w:rsidRPr="00E737B4" w:rsidRDefault="00C959F4" w:rsidP="008C79F0">
      <w:pPr>
        <w:pStyle w:val="Paragraphedeliste"/>
        <w:numPr>
          <w:ilvl w:val="0"/>
          <w:numId w:val="138"/>
        </w:numPr>
        <w:spacing w:before="60" w:after="60" w:line="276" w:lineRule="auto"/>
        <w:ind w:left="1276" w:right="6"/>
        <w:jc w:val="both"/>
        <w:rPr>
          <w:rFonts w:ascii="Times New Roman" w:eastAsia="MS PGothic" w:hAnsi="Times New Roman"/>
          <w:bCs/>
          <w:kern w:val="24"/>
          <w:sz w:val="24"/>
          <w:szCs w:val="24"/>
        </w:rPr>
      </w:pPr>
      <w:r w:rsidRPr="00E737B4">
        <w:rPr>
          <w:rFonts w:ascii="Times New Roman" w:eastAsia="MS PGothic" w:hAnsi="Times New Roman"/>
          <w:bCs/>
          <w:kern w:val="24"/>
          <w:sz w:val="24"/>
          <w:szCs w:val="24"/>
        </w:rPr>
        <w:t>la pose des accessoires et le déroulage (Tirage) des câbles.</w:t>
      </w:r>
    </w:p>
    <w:p w14:paraId="4F92152B" w14:textId="77777777" w:rsidR="007636AC" w:rsidRPr="00D75D2E" w:rsidRDefault="007636AC" w:rsidP="00E737B4">
      <w:pPr>
        <w:autoSpaceDE w:val="0"/>
        <w:autoSpaceDN w:val="0"/>
        <w:adjustRightInd w:val="0"/>
        <w:spacing w:after="0" w:line="240" w:lineRule="auto"/>
        <w:ind w:left="1560"/>
        <w:contextualSpacing/>
        <w:jc w:val="both"/>
        <w:rPr>
          <w:rFonts w:ascii="Times New Roman" w:hAnsi="Times New Roman"/>
          <w:sz w:val="24"/>
          <w:szCs w:val="24"/>
        </w:rPr>
      </w:pPr>
    </w:p>
    <w:p w14:paraId="3242E438" w14:textId="77777777" w:rsidR="00C959F4" w:rsidRPr="00D75D2E" w:rsidRDefault="00C959F4" w:rsidP="00C959F4">
      <w:pPr>
        <w:spacing w:before="120" w:after="120" w:line="240" w:lineRule="auto"/>
        <w:jc w:val="both"/>
        <w:rPr>
          <w:rFonts w:ascii="Times New Roman" w:hAnsi="Times New Roman"/>
          <w:b/>
          <w:bCs/>
          <w:sz w:val="24"/>
          <w:szCs w:val="24"/>
        </w:rPr>
      </w:pPr>
      <w:r w:rsidRPr="00D75D2E">
        <w:rPr>
          <w:rFonts w:ascii="Times New Roman" w:hAnsi="Times New Roman"/>
          <w:b/>
          <w:bCs/>
          <w:i/>
          <w:iCs/>
          <w:sz w:val="24"/>
          <w:szCs w:val="24"/>
        </w:rPr>
        <w:t>La description des travaux de montage des lignes MT</w:t>
      </w:r>
      <w:r w:rsidRPr="00D75D2E">
        <w:rPr>
          <w:rFonts w:ascii="Times New Roman" w:hAnsi="Times New Roman"/>
          <w:b/>
          <w:bCs/>
          <w:sz w:val="24"/>
          <w:szCs w:val="24"/>
        </w:rPr>
        <w:t xml:space="preserve"> comprennent principalement :</w:t>
      </w:r>
    </w:p>
    <w:p w14:paraId="4B3A0AC4"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 piquetage de la ligne ;</w:t>
      </w:r>
    </w:p>
    <w:p w14:paraId="0CBBD38E"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 nettoyage des surfaces,  l’élagage ou la coupe d’arbres pour la libération de l’emprise</w:t>
      </w:r>
    </w:p>
    <w:p w14:paraId="1CAF939A"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 déboisement et le débroussaillage pour les lignes en dehors des agglomérations ;</w:t>
      </w:r>
    </w:p>
    <w:p w14:paraId="16BE4A72"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la préparation des accès et leur entretien ;</w:t>
      </w:r>
    </w:p>
    <w:p w14:paraId="1D3AC68A"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les essais de sol éventuels ;</w:t>
      </w:r>
    </w:p>
    <w:p w14:paraId="72DF6EC7"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l’excavation des sols ou le creusage des trous qui accueillera la fondation stabilisant le poteau métallique </w:t>
      </w:r>
    </w:p>
    <w:p w14:paraId="00A9AF8C"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la réalisation complète des fondations ;</w:t>
      </w:r>
    </w:p>
    <w:p w14:paraId="08C04D07" w14:textId="47A72D3B"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 levage du poteau métallique à l’aide d’une grue et son </w:t>
      </w:r>
      <w:r w:rsidR="009C2BB3" w:rsidRPr="00D75D2E">
        <w:rPr>
          <w:rFonts w:ascii="Times New Roman" w:hAnsi="Times New Roman"/>
          <w:sz w:val="24"/>
          <w:szCs w:val="24"/>
        </w:rPr>
        <w:t>ancrage</w:t>
      </w:r>
      <w:r w:rsidRPr="00D75D2E">
        <w:rPr>
          <w:rFonts w:ascii="Times New Roman" w:hAnsi="Times New Roman"/>
          <w:sz w:val="24"/>
          <w:szCs w:val="24"/>
        </w:rPr>
        <w:t xml:space="preserve"> dans le trou</w:t>
      </w:r>
    </w:p>
    <w:p w14:paraId="5457BDBD"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 déroulage, tirage, réglage et mise sur pinces des câbles : le déroulage consiste à tirer les câbles d’un poteau métallique à l’autre. Le déroulage se fait à l’aide d’un poste tracteur, équipé d’un treuil de déroulage et d’une freineuse.</w:t>
      </w:r>
    </w:p>
    <w:p w14:paraId="4516E9D8"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la réalisation complète des mises à la terre et la mesure des résistances de terre des supports. La mise à la terre permet de protéger la ligne et le support contre la foudre. Les travaux mineurs d’excavations et de remblayage sont réalisés pour assurer la mise à la terre de la ligne pour le réseau MALT et des supports métalliques pour le réseau conventionnel</w:t>
      </w:r>
    </w:p>
    <w:p w14:paraId="1B15CE1A"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 nettoyage du chantier. Cette activité va consister à enlever tous les débris et les déchets et le démantèlement des installations provisoires.</w:t>
      </w:r>
    </w:p>
    <w:p w14:paraId="2E906BA0"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les différents essais et mesures après achèvement de la ligne et lors de l'inspection finale;</w:t>
      </w:r>
    </w:p>
    <w:p w14:paraId="757DAB18" w14:textId="77777777" w:rsidR="00C959F4" w:rsidRPr="00D75D2E" w:rsidRDefault="00C959F4" w:rsidP="008C79F0">
      <w:pPr>
        <w:numPr>
          <w:ilvl w:val="0"/>
          <w:numId w:val="229"/>
        </w:numPr>
        <w:autoSpaceDE w:val="0"/>
        <w:autoSpaceDN w:val="0"/>
        <w:adjustRightInd w:val="0"/>
        <w:spacing w:after="0" w:line="240" w:lineRule="auto"/>
        <w:contextualSpacing/>
        <w:jc w:val="both"/>
        <w:rPr>
          <w:rFonts w:ascii="Times New Roman" w:hAnsi="Times New Roman"/>
          <w:sz w:val="24"/>
          <w:szCs w:val="24"/>
        </w:rPr>
      </w:pPr>
      <w:r w:rsidRPr="00D75D2E">
        <w:rPr>
          <w:rFonts w:ascii="Times New Roman" w:hAnsi="Times New Roman"/>
          <w:sz w:val="24"/>
          <w:szCs w:val="24"/>
        </w:rPr>
        <w:t>la mise en service de la ligne.</w:t>
      </w:r>
    </w:p>
    <w:p w14:paraId="7119ACFB" w14:textId="77777777" w:rsidR="00C959F4" w:rsidRPr="00D75D2E" w:rsidRDefault="00C959F4" w:rsidP="00C959F4">
      <w:pPr>
        <w:spacing w:before="120" w:after="120" w:line="240" w:lineRule="auto"/>
        <w:jc w:val="both"/>
        <w:rPr>
          <w:rFonts w:ascii="Times New Roman" w:hAnsi="Times New Roman"/>
          <w:sz w:val="24"/>
          <w:szCs w:val="24"/>
        </w:rPr>
      </w:pPr>
      <w:r w:rsidRPr="00D75D2E">
        <w:rPr>
          <w:rFonts w:ascii="Times New Roman" w:hAnsi="Times New Roman"/>
          <w:sz w:val="24"/>
          <w:szCs w:val="24"/>
        </w:rPr>
        <w:t>Les caractéristiques générales du réseau MT</w:t>
      </w:r>
    </w:p>
    <w:p w14:paraId="010DFD5E" w14:textId="77777777" w:rsidR="00C959F4" w:rsidRPr="00D75D2E" w:rsidRDefault="00C959F4" w:rsidP="00C959F4">
      <w:pPr>
        <w:spacing w:after="120" w:line="240" w:lineRule="auto"/>
        <w:jc w:val="both"/>
        <w:rPr>
          <w:rFonts w:ascii="Times New Roman" w:hAnsi="Times New Roman"/>
          <w:sz w:val="24"/>
          <w:szCs w:val="24"/>
          <w:lang w:eastAsia="bs-Latn-BA"/>
        </w:rPr>
      </w:pPr>
      <w:r w:rsidRPr="00D75D2E">
        <w:rPr>
          <w:rFonts w:ascii="Times New Roman" w:hAnsi="Times New Roman"/>
          <w:sz w:val="24"/>
          <w:szCs w:val="24"/>
          <w:lang w:eastAsia="bs-Latn-BA"/>
        </w:rPr>
        <w:t>Le réseau à construire pour l'alimentation des poches noires sera aérien sur supports métalliques à partir du :</w:t>
      </w:r>
    </w:p>
    <w:p w14:paraId="10BDAD15" w14:textId="77777777" w:rsidR="00C959F4" w:rsidRPr="00D75D2E" w:rsidRDefault="00C959F4" w:rsidP="008C79F0">
      <w:pPr>
        <w:numPr>
          <w:ilvl w:val="0"/>
          <w:numId w:val="135"/>
        </w:numPr>
        <w:autoSpaceDE w:val="0"/>
        <w:autoSpaceDN w:val="0"/>
        <w:adjustRightInd w:val="0"/>
        <w:spacing w:after="0" w:line="240" w:lineRule="auto"/>
        <w:ind w:left="709" w:hanging="425"/>
        <w:contextualSpacing/>
        <w:jc w:val="both"/>
        <w:rPr>
          <w:rFonts w:ascii="Times New Roman" w:hAnsi="Times New Roman"/>
          <w:sz w:val="24"/>
          <w:szCs w:val="24"/>
        </w:rPr>
      </w:pPr>
      <w:r w:rsidRPr="00D75D2E">
        <w:rPr>
          <w:rFonts w:ascii="Times New Roman" w:hAnsi="Times New Roman"/>
          <w:sz w:val="24"/>
          <w:szCs w:val="24"/>
        </w:rPr>
        <w:t xml:space="preserve">nouveau poste 132/20 kV de MITENDI pour le réseau MALT </w:t>
      </w:r>
    </w:p>
    <w:p w14:paraId="57A5BF5E" w14:textId="77777777" w:rsidR="00C959F4" w:rsidRPr="00D75D2E" w:rsidRDefault="00C959F4" w:rsidP="008C79F0">
      <w:pPr>
        <w:numPr>
          <w:ilvl w:val="0"/>
          <w:numId w:val="135"/>
        </w:numPr>
        <w:autoSpaceDE w:val="0"/>
        <w:autoSpaceDN w:val="0"/>
        <w:adjustRightInd w:val="0"/>
        <w:spacing w:after="0" w:line="240" w:lineRule="auto"/>
        <w:ind w:left="709" w:hanging="425"/>
        <w:contextualSpacing/>
        <w:jc w:val="both"/>
        <w:rPr>
          <w:rFonts w:ascii="Times New Roman" w:hAnsi="Times New Roman"/>
          <w:sz w:val="24"/>
          <w:szCs w:val="24"/>
        </w:rPr>
      </w:pPr>
      <w:r w:rsidRPr="00D75D2E">
        <w:rPr>
          <w:rFonts w:ascii="Times New Roman" w:hAnsi="Times New Roman"/>
          <w:sz w:val="24"/>
          <w:szCs w:val="24"/>
        </w:rPr>
        <w:t>des sous-stations : Dévinière, Kinsuka, CDA, Ndolo, UPN et Badiadingi pour le réseau conventionnel.</w:t>
      </w:r>
    </w:p>
    <w:p w14:paraId="0CAB5C18" w14:textId="77777777" w:rsidR="00C959F4" w:rsidRPr="00D75D2E" w:rsidRDefault="00C959F4" w:rsidP="00E737B4">
      <w:pPr>
        <w:spacing w:before="120" w:after="120" w:line="240" w:lineRule="auto"/>
        <w:jc w:val="both"/>
        <w:rPr>
          <w:rFonts w:ascii="Times New Roman" w:hAnsi="Times New Roman"/>
          <w:sz w:val="24"/>
          <w:szCs w:val="24"/>
          <w:lang w:eastAsia="bs-Latn-BA"/>
        </w:rPr>
      </w:pPr>
      <w:r w:rsidRPr="00D75D2E">
        <w:rPr>
          <w:rFonts w:ascii="Times New Roman" w:hAnsi="Times New Roman"/>
          <w:sz w:val="24"/>
          <w:szCs w:val="24"/>
          <w:lang w:eastAsia="bs-Latn-BA"/>
        </w:rPr>
        <w:t>Il sera conçu et réalisé pour permettre l'alimentation des lignes de type MALT (lignes triphasées avec neutre mis à la terre et distribué).</w:t>
      </w:r>
    </w:p>
    <w:p w14:paraId="24F8C5E9" w14:textId="77777777" w:rsidR="00C959F4" w:rsidRPr="00D75D2E" w:rsidRDefault="00C959F4" w:rsidP="00E737B4">
      <w:pPr>
        <w:spacing w:before="120" w:after="120" w:line="240" w:lineRule="auto"/>
        <w:jc w:val="both"/>
        <w:rPr>
          <w:rFonts w:ascii="Times New Roman" w:hAnsi="Times New Roman"/>
          <w:sz w:val="24"/>
          <w:szCs w:val="24"/>
          <w:lang w:eastAsia="bs-Latn-BA"/>
        </w:rPr>
      </w:pPr>
      <w:r w:rsidRPr="00D75D2E">
        <w:rPr>
          <w:rFonts w:ascii="Times New Roman" w:hAnsi="Times New Roman"/>
          <w:sz w:val="24"/>
          <w:szCs w:val="24"/>
          <w:lang w:eastAsia="bs-Latn-BA"/>
        </w:rPr>
        <w:t xml:space="preserve">Les transformateurs 20/0.4 kV seront du type accroché aux poteaux et pour des puissances ne dépassant pas 300 kVA. </w:t>
      </w:r>
    </w:p>
    <w:p w14:paraId="76CD302B" w14:textId="77777777" w:rsidR="00C959F4" w:rsidRPr="00D75D2E" w:rsidRDefault="00C959F4" w:rsidP="00E737B4">
      <w:pPr>
        <w:spacing w:before="120" w:after="120" w:line="240" w:lineRule="auto"/>
        <w:jc w:val="both"/>
        <w:rPr>
          <w:rFonts w:ascii="Times New Roman" w:hAnsi="Times New Roman"/>
          <w:sz w:val="24"/>
          <w:szCs w:val="24"/>
          <w:lang w:eastAsia="bs-Latn-BA"/>
        </w:rPr>
      </w:pPr>
      <w:r w:rsidRPr="00D75D2E">
        <w:rPr>
          <w:rFonts w:ascii="Times New Roman" w:hAnsi="Times New Roman"/>
          <w:sz w:val="24"/>
          <w:szCs w:val="24"/>
          <w:lang w:eastAsia="bs-Latn-BA"/>
        </w:rPr>
        <w:t xml:space="preserve">La tension de service moyenne tension sera le 20 kV. </w:t>
      </w:r>
    </w:p>
    <w:p w14:paraId="38BDC820" w14:textId="77777777" w:rsidR="00C959F4" w:rsidRPr="00D75D2E" w:rsidRDefault="00C959F4" w:rsidP="00E737B4">
      <w:pPr>
        <w:spacing w:before="120" w:after="120" w:line="240" w:lineRule="auto"/>
        <w:jc w:val="both"/>
        <w:rPr>
          <w:rFonts w:ascii="Times New Roman" w:hAnsi="Times New Roman"/>
          <w:sz w:val="24"/>
          <w:szCs w:val="24"/>
          <w:lang w:eastAsia="bs-Latn-BA"/>
        </w:rPr>
      </w:pPr>
      <w:r w:rsidRPr="00D75D2E">
        <w:rPr>
          <w:rFonts w:ascii="Times New Roman" w:hAnsi="Times New Roman"/>
          <w:sz w:val="24"/>
          <w:szCs w:val="24"/>
          <w:lang w:eastAsia="bs-Latn-BA"/>
        </w:rPr>
        <w:t>Les feeders MT seront protégés par des disjoncteurs avec des relais à temps inverse et les dérivations seront protégées par des sectionneurs fusibles à expulsion.</w:t>
      </w:r>
    </w:p>
    <w:p w14:paraId="63B339AE" w14:textId="77777777" w:rsidR="00C959F4" w:rsidRPr="00D75D2E" w:rsidRDefault="00C959F4" w:rsidP="008C79F0">
      <w:pPr>
        <w:numPr>
          <w:ilvl w:val="0"/>
          <w:numId w:val="134"/>
        </w:numPr>
        <w:spacing w:before="120" w:after="120" w:line="240" w:lineRule="auto"/>
        <w:jc w:val="both"/>
        <w:rPr>
          <w:rFonts w:ascii="Times New Roman" w:hAnsi="Times New Roman"/>
          <w:b/>
          <w:i/>
          <w:iCs/>
          <w:sz w:val="24"/>
          <w:szCs w:val="24"/>
          <w:u w:val="single"/>
        </w:rPr>
      </w:pPr>
      <w:r w:rsidRPr="00D75D2E">
        <w:rPr>
          <w:rFonts w:ascii="Times New Roman" w:hAnsi="Times New Roman"/>
          <w:b/>
          <w:i/>
          <w:iCs/>
          <w:sz w:val="24"/>
          <w:szCs w:val="24"/>
          <w:u w:val="single"/>
        </w:rPr>
        <w:t>Montage du réseau BT</w:t>
      </w:r>
    </w:p>
    <w:p w14:paraId="6DB8C20B" w14:textId="42684847" w:rsidR="00C959F4" w:rsidRPr="00D75D2E" w:rsidRDefault="00C959F4" w:rsidP="00E737B4">
      <w:pPr>
        <w:tabs>
          <w:tab w:val="left" w:pos="426"/>
        </w:tabs>
        <w:autoSpaceDE w:val="0"/>
        <w:autoSpaceDN w:val="0"/>
        <w:adjustRightInd w:val="0"/>
        <w:spacing w:before="120" w:after="120" w:line="240" w:lineRule="auto"/>
        <w:ind w:left="567"/>
        <w:jc w:val="both"/>
        <w:rPr>
          <w:rFonts w:ascii="Times New Roman" w:hAnsi="Times New Roman"/>
          <w:sz w:val="24"/>
          <w:szCs w:val="24"/>
        </w:rPr>
      </w:pPr>
      <w:r w:rsidRPr="00D75D2E">
        <w:rPr>
          <w:rFonts w:ascii="Times New Roman" w:hAnsi="Times New Roman"/>
          <w:sz w:val="24"/>
          <w:szCs w:val="24"/>
        </w:rPr>
        <w:t xml:space="preserve">Le déploiement du réseau BT </w:t>
      </w:r>
      <w:r w:rsidR="009C2BB3">
        <w:rPr>
          <w:rFonts w:ascii="Times New Roman" w:hAnsi="Times New Roman"/>
          <w:sz w:val="24"/>
          <w:szCs w:val="24"/>
        </w:rPr>
        <w:t>d’une longueur de 664 kilomètres</w:t>
      </w:r>
      <w:r w:rsidR="009C2BB3" w:rsidRPr="00D75D2E">
        <w:rPr>
          <w:rFonts w:ascii="Times New Roman" w:hAnsi="Times New Roman"/>
          <w:sz w:val="24"/>
          <w:szCs w:val="24"/>
        </w:rPr>
        <w:t xml:space="preserve"> </w:t>
      </w:r>
      <w:r w:rsidRPr="00D75D2E">
        <w:rPr>
          <w:rFonts w:ascii="Times New Roman" w:hAnsi="Times New Roman"/>
          <w:sz w:val="24"/>
          <w:szCs w:val="24"/>
        </w:rPr>
        <w:t>se fait en trois grandes étapes :</w:t>
      </w:r>
    </w:p>
    <w:p w14:paraId="63F9072C"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la réalisation des fondations pour les supports (Poteaux)</w:t>
      </w:r>
    </w:p>
    <w:p w14:paraId="63950178"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le levage des supports est réalisé à l'aide d'une grue.</w:t>
      </w:r>
    </w:p>
    <w:p w14:paraId="6666344E"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la pose des accessoires et le déroulage du câble.</w:t>
      </w:r>
    </w:p>
    <w:p w14:paraId="79F17AC2" w14:textId="737F1549" w:rsidR="00C959F4" w:rsidRDefault="00C959F4" w:rsidP="00C959F4">
      <w:pPr>
        <w:spacing w:before="120" w:after="120" w:line="240" w:lineRule="auto"/>
        <w:jc w:val="both"/>
        <w:rPr>
          <w:rFonts w:ascii="Times New Roman" w:hAnsi="Times New Roman"/>
          <w:sz w:val="24"/>
          <w:szCs w:val="24"/>
        </w:rPr>
      </w:pPr>
      <w:r w:rsidRPr="00D75D2E">
        <w:rPr>
          <w:rFonts w:ascii="Times New Roman" w:hAnsi="Times New Roman"/>
          <w:i/>
          <w:iCs/>
          <w:sz w:val="24"/>
          <w:szCs w:val="24"/>
        </w:rPr>
        <w:t>La description des travaux de la ligne BT</w:t>
      </w:r>
      <w:r w:rsidRPr="00D75D2E">
        <w:rPr>
          <w:rFonts w:ascii="Times New Roman" w:hAnsi="Times New Roman"/>
          <w:sz w:val="24"/>
          <w:szCs w:val="24"/>
        </w:rPr>
        <w:t xml:space="preserve"> </w:t>
      </w:r>
      <w:r w:rsidR="009C2BB3">
        <w:rPr>
          <w:rFonts w:ascii="Times New Roman" w:hAnsi="Times New Roman"/>
          <w:sz w:val="24"/>
          <w:szCs w:val="24"/>
        </w:rPr>
        <w:t xml:space="preserve"> </w:t>
      </w:r>
    </w:p>
    <w:p w14:paraId="46C8A89E" w14:textId="2244B14B" w:rsidR="009C2BB3" w:rsidRPr="00D75D2E" w:rsidRDefault="009C2BB3" w:rsidP="00C959F4">
      <w:pPr>
        <w:spacing w:before="120" w:after="120" w:line="240" w:lineRule="auto"/>
        <w:jc w:val="both"/>
        <w:rPr>
          <w:rFonts w:ascii="Times New Roman" w:hAnsi="Times New Roman"/>
          <w:sz w:val="24"/>
          <w:szCs w:val="24"/>
        </w:rPr>
      </w:pPr>
      <w:r>
        <w:rPr>
          <w:rFonts w:ascii="Times New Roman" w:hAnsi="Times New Roman"/>
          <w:sz w:val="24"/>
          <w:szCs w:val="24"/>
        </w:rPr>
        <w:t>La ligne comprend 664 km des câbles BT pour le réseau BT et 1 248 km des câbles de branchement. La mise en œuvre du réseau</w:t>
      </w:r>
    </w:p>
    <w:p w14:paraId="3FFF704B"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le piquetage de la ligne ;</w:t>
      </w:r>
    </w:p>
    <w:p w14:paraId="4583C4FD"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le nettoyage des surfaces,  l’élagage ou la coupe d’arbre pour la libération de l’emprise</w:t>
      </w:r>
    </w:p>
    <w:p w14:paraId="6B28EC48"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 xml:space="preserve">l’excavation des sols ou le creusage des trous qui accueillera la fondation stabilisant le poteau métallique </w:t>
      </w:r>
    </w:p>
    <w:p w14:paraId="1BFD8636"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la réalisation complète des fondations ;</w:t>
      </w:r>
    </w:p>
    <w:p w14:paraId="6812896D"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levage du poteau bois à l’aide d’une grue ou manuellement et mise encrage dans le trou.</w:t>
      </w:r>
    </w:p>
    <w:p w14:paraId="2A2F0333"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le déroulage, tirage, réglage et mise sur pinces des câbles.</w:t>
      </w:r>
    </w:p>
    <w:p w14:paraId="689A84E1"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 xml:space="preserve">le nettoyage du chantier. </w:t>
      </w:r>
    </w:p>
    <w:p w14:paraId="0AE8A547"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les différents essais et mesures après achèvement de la ligne et lors de l'inspection finale;</w:t>
      </w:r>
    </w:p>
    <w:p w14:paraId="1A1939BC" w14:textId="77777777" w:rsidR="00C959F4" w:rsidRPr="00D75D2E" w:rsidRDefault="00C959F4" w:rsidP="008C79F0">
      <w:pPr>
        <w:numPr>
          <w:ilvl w:val="0"/>
          <w:numId w:val="135"/>
        </w:numPr>
        <w:autoSpaceDE w:val="0"/>
        <w:autoSpaceDN w:val="0"/>
        <w:adjustRightInd w:val="0"/>
        <w:spacing w:after="0" w:line="240" w:lineRule="auto"/>
        <w:ind w:left="851"/>
        <w:contextualSpacing/>
        <w:jc w:val="both"/>
        <w:rPr>
          <w:rFonts w:ascii="Times New Roman" w:hAnsi="Times New Roman"/>
          <w:sz w:val="24"/>
          <w:szCs w:val="24"/>
        </w:rPr>
      </w:pPr>
      <w:r w:rsidRPr="00D75D2E">
        <w:rPr>
          <w:rFonts w:ascii="Times New Roman" w:hAnsi="Times New Roman"/>
          <w:sz w:val="24"/>
          <w:szCs w:val="24"/>
        </w:rPr>
        <w:t>la mise en service de la ligne BT.</w:t>
      </w:r>
    </w:p>
    <w:p w14:paraId="54C8A9D4" w14:textId="77777777" w:rsidR="00C959F4" w:rsidRPr="00D75D2E" w:rsidRDefault="00C959F4" w:rsidP="00831E5D">
      <w:pPr>
        <w:spacing w:before="120" w:after="120" w:line="240" w:lineRule="auto"/>
        <w:jc w:val="both"/>
        <w:rPr>
          <w:rFonts w:ascii="Times New Roman" w:hAnsi="Times New Roman"/>
          <w:i/>
          <w:iCs/>
          <w:sz w:val="24"/>
          <w:szCs w:val="24"/>
        </w:rPr>
      </w:pPr>
      <w:r w:rsidRPr="00D75D2E">
        <w:rPr>
          <w:rFonts w:ascii="Times New Roman" w:hAnsi="Times New Roman"/>
          <w:i/>
          <w:iCs/>
          <w:sz w:val="24"/>
          <w:szCs w:val="24"/>
        </w:rPr>
        <w:t>Les caractéristiques générales du réseau de distribution BT</w:t>
      </w:r>
    </w:p>
    <w:p w14:paraId="3127FD43" w14:textId="77777777" w:rsidR="00C959F4" w:rsidRPr="00D75D2E" w:rsidRDefault="00C959F4" w:rsidP="00E737B4">
      <w:pPr>
        <w:tabs>
          <w:tab w:val="left" w:pos="709"/>
        </w:tabs>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rPr>
        <w:t>Le réseau à construire pour l'alimentation des poches noires sera aérien sur supports métalliques.</w:t>
      </w:r>
    </w:p>
    <w:p w14:paraId="662BC59C" w14:textId="77777777" w:rsidR="00C959F4" w:rsidRPr="00D75D2E" w:rsidRDefault="00C959F4" w:rsidP="00E737B4">
      <w:pPr>
        <w:pStyle w:val="0"/>
        <w:spacing w:before="120" w:after="120"/>
        <w:rPr>
          <w:rFonts w:eastAsia="Calibri"/>
          <w:b/>
          <w:bCs/>
          <w:sz w:val="24"/>
          <w:szCs w:val="24"/>
          <w:lang w:eastAsia="bs-Latn-BA"/>
        </w:rPr>
      </w:pPr>
      <w:r w:rsidRPr="00D75D2E">
        <w:rPr>
          <w:rFonts w:eastAsia="Calibri"/>
          <w:b/>
          <w:bCs/>
          <w:sz w:val="24"/>
          <w:szCs w:val="24"/>
          <w:lang w:eastAsia="bs-Latn-BA"/>
        </w:rPr>
        <w:t>Réseaux 230/400 V</w:t>
      </w:r>
    </w:p>
    <w:p w14:paraId="3848DC72" w14:textId="77777777" w:rsidR="00C959F4" w:rsidRPr="00D75D2E" w:rsidRDefault="00C959F4" w:rsidP="00831E5D">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Le réseau BT associé aux nouvelles cabines sera de type radial arborescent. Il sera réalisé au moyen de conducteurs torsadés en aluminium isolés montés sur des poteaux métalliques. Une option en poteau en bois devra également être proposée. </w:t>
      </w:r>
    </w:p>
    <w:p w14:paraId="5E3DD508" w14:textId="77777777" w:rsidR="00C959F4" w:rsidRPr="00D75D2E" w:rsidRDefault="00C959F4" w:rsidP="00E737B4">
      <w:pPr>
        <w:pStyle w:val="0"/>
        <w:spacing w:before="120" w:after="120"/>
        <w:rPr>
          <w:rFonts w:eastAsia="Calibri"/>
          <w:b/>
          <w:bCs/>
          <w:sz w:val="24"/>
          <w:szCs w:val="24"/>
          <w:lang w:eastAsia="bs-Latn-BA"/>
        </w:rPr>
      </w:pPr>
      <w:r w:rsidRPr="00D75D2E">
        <w:rPr>
          <w:rFonts w:eastAsia="Calibri"/>
          <w:b/>
          <w:bCs/>
          <w:sz w:val="24"/>
          <w:szCs w:val="24"/>
          <w:lang w:eastAsia="bs-Latn-BA"/>
        </w:rPr>
        <w:t>Branchement de ménages</w:t>
      </w:r>
    </w:p>
    <w:p w14:paraId="05228906" w14:textId="77777777" w:rsidR="00C959F4" w:rsidRPr="00D75D2E" w:rsidRDefault="00C959F4" w:rsidP="00831E5D">
      <w:pPr>
        <w:spacing w:before="120" w:after="120" w:line="240" w:lineRule="auto"/>
        <w:jc w:val="both"/>
        <w:rPr>
          <w:rFonts w:ascii="Times New Roman" w:hAnsi="Times New Roman"/>
          <w:sz w:val="24"/>
          <w:szCs w:val="24"/>
        </w:rPr>
      </w:pPr>
      <w:r w:rsidRPr="00D75D2E">
        <w:rPr>
          <w:rFonts w:ascii="Times New Roman" w:hAnsi="Times New Roman"/>
          <w:sz w:val="24"/>
          <w:szCs w:val="24"/>
        </w:rPr>
        <w:t>Les lignes de branchement seront soit en monophasé soit en triphasé. Le choix du mode de branchement dépendra de la puissance souscrite par le ménage et tiendra compte des normes BT SNEL.</w:t>
      </w:r>
    </w:p>
    <w:p w14:paraId="18EF5AFD" w14:textId="77777777" w:rsidR="00C959F4" w:rsidRPr="00D75D2E" w:rsidRDefault="00C959F4" w:rsidP="00831E5D">
      <w:pPr>
        <w:tabs>
          <w:tab w:val="left" w:pos="709"/>
        </w:tabs>
        <w:spacing w:before="120" w:after="120" w:line="240" w:lineRule="auto"/>
        <w:jc w:val="both"/>
        <w:rPr>
          <w:rFonts w:ascii="Times New Roman" w:hAnsi="Times New Roman"/>
          <w:sz w:val="24"/>
          <w:szCs w:val="24"/>
        </w:rPr>
      </w:pPr>
      <w:r w:rsidRPr="00D75D2E">
        <w:rPr>
          <w:rFonts w:ascii="Times New Roman" w:hAnsi="Times New Roman"/>
          <w:sz w:val="24"/>
          <w:szCs w:val="24"/>
        </w:rPr>
        <w:t>Le raccordement de ménage se fera via un compteur BT à prépaiement monophasé ou triphasé. Ce compteur sera soit installé sur poteau soit sur un point extérieur à la maison mais géré par la SNEL. Une unité d'interface client (CIU) sera installée dans la maison du client.</w:t>
      </w:r>
    </w:p>
    <w:p w14:paraId="31824B0B" w14:textId="77777777" w:rsidR="00C959F4" w:rsidRPr="00D75D2E" w:rsidRDefault="00C959F4" w:rsidP="008C79F0">
      <w:pPr>
        <w:numPr>
          <w:ilvl w:val="0"/>
          <w:numId w:val="134"/>
        </w:numPr>
        <w:spacing w:before="120" w:after="120" w:line="240" w:lineRule="auto"/>
        <w:jc w:val="both"/>
        <w:rPr>
          <w:rFonts w:ascii="Times New Roman" w:hAnsi="Times New Roman"/>
          <w:b/>
          <w:i/>
          <w:iCs/>
          <w:sz w:val="24"/>
          <w:szCs w:val="24"/>
          <w:u w:val="single"/>
        </w:rPr>
      </w:pPr>
      <w:r w:rsidRPr="00D75D2E">
        <w:rPr>
          <w:rFonts w:ascii="Times New Roman" w:hAnsi="Times New Roman"/>
          <w:b/>
          <w:i/>
          <w:iCs/>
          <w:sz w:val="24"/>
          <w:szCs w:val="24"/>
          <w:u w:val="single"/>
        </w:rPr>
        <w:t xml:space="preserve">Raccordement des ménages BT en prépaiement </w:t>
      </w:r>
    </w:p>
    <w:p w14:paraId="6E85A223" w14:textId="77777777" w:rsidR="00C959F4" w:rsidRPr="00D75D2E" w:rsidRDefault="00C959F4" w:rsidP="00E737B4">
      <w:pPr>
        <w:tabs>
          <w:tab w:val="left" w:pos="567"/>
        </w:tabs>
        <w:autoSpaceDE w:val="0"/>
        <w:autoSpaceDN w:val="0"/>
        <w:adjustRightInd w:val="0"/>
        <w:spacing w:before="120" w:after="120" w:line="240" w:lineRule="auto"/>
        <w:ind w:left="567"/>
        <w:jc w:val="both"/>
        <w:rPr>
          <w:rFonts w:ascii="Times New Roman" w:hAnsi="Times New Roman"/>
          <w:sz w:val="24"/>
          <w:szCs w:val="24"/>
        </w:rPr>
      </w:pPr>
      <w:r w:rsidRPr="00D75D2E">
        <w:rPr>
          <w:rFonts w:ascii="Times New Roman" w:hAnsi="Times New Roman"/>
          <w:sz w:val="24"/>
          <w:szCs w:val="24"/>
        </w:rPr>
        <w:t>Le raccordement des ménages se fera par selon le processus suivant:</w:t>
      </w:r>
    </w:p>
    <w:p w14:paraId="17A9FAF3"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Identification des abonnées</w:t>
      </w:r>
    </w:p>
    <w:p w14:paraId="6F0CF4D8"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 xml:space="preserve">Vérification du schéma unifilaire et de la conformité des installations du ménage </w:t>
      </w:r>
    </w:p>
    <w:p w14:paraId="5F1A07FD"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Tirage de câble BT du poteau vers le ménage</w:t>
      </w:r>
    </w:p>
    <w:p w14:paraId="04B16921" w14:textId="77777777" w:rsidR="00C959F4" w:rsidRPr="00D75D2E"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Fixation et installation du coffret de compteur sur poteau et de l’interface utilisation (clavier) au niveau du ménage</w:t>
      </w:r>
    </w:p>
    <w:p w14:paraId="251ABFE7" w14:textId="77777777" w:rsidR="00C959F4" w:rsidRDefault="00C959F4" w:rsidP="008C79F0">
      <w:pPr>
        <w:numPr>
          <w:ilvl w:val="0"/>
          <w:numId w:val="229"/>
        </w:numPr>
        <w:autoSpaceDE w:val="0"/>
        <w:autoSpaceDN w:val="0"/>
        <w:adjustRightInd w:val="0"/>
        <w:spacing w:after="0" w:line="240" w:lineRule="auto"/>
        <w:ind w:left="993"/>
        <w:contextualSpacing/>
        <w:jc w:val="both"/>
        <w:rPr>
          <w:rFonts w:ascii="Times New Roman" w:hAnsi="Times New Roman"/>
          <w:sz w:val="24"/>
          <w:szCs w:val="24"/>
        </w:rPr>
      </w:pPr>
      <w:r w:rsidRPr="00D75D2E">
        <w:rPr>
          <w:rFonts w:ascii="Times New Roman" w:hAnsi="Times New Roman"/>
          <w:sz w:val="24"/>
          <w:szCs w:val="24"/>
        </w:rPr>
        <w:t>Activation du compteur et octroi du code client au ménage bénéficiaire par le service commercial de SNEL</w:t>
      </w:r>
    </w:p>
    <w:p w14:paraId="0E40BB24" w14:textId="77777777" w:rsidR="00831E5D" w:rsidRPr="00E737B4" w:rsidRDefault="00831E5D" w:rsidP="00E737B4">
      <w:pPr>
        <w:autoSpaceDE w:val="0"/>
        <w:autoSpaceDN w:val="0"/>
        <w:adjustRightInd w:val="0"/>
        <w:spacing w:before="120" w:after="120" w:line="240" w:lineRule="auto"/>
        <w:jc w:val="both"/>
        <w:rPr>
          <w:rFonts w:ascii="Times New Roman" w:hAnsi="Times New Roman"/>
          <w:b/>
          <w:sz w:val="24"/>
          <w:szCs w:val="24"/>
        </w:rPr>
      </w:pPr>
      <w:r w:rsidRPr="00E737B4">
        <w:rPr>
          <w:rFonts w:ascii="Times New Roman" w:hAnsi="Times New Roman"/>
          <w:b/>
          <w:sz w:val="24"/>
          <w:szCs w:val="24"/>
        </w:rPr>
        <w:t>Consistance des travaux</w:t>
      </w:r>
    </w:p>
    <w:p w14:paraId="64580CB9" w14:textId="77777777" w:rsidR="00831E5D" w:rsidRPr="00D75D2E" w:rsidRDefault="00831E5D" w:rsidP="00E737B4">
      <w:pPr>
        <w:autoSpaceDE w:val="0"/>
        <w:autoSpaceDN w:val="0"/>
        <w:adjustRightInd w:val="0"/>
        <w:spacing w:after="0" w:line="240" w:lineRule="auto"/>
        <w:contextualSpacing/>
        <w:jc w:val="both"/>
        <w:rPr>
          <w:rFonts w:ascii="Times New Roman" w:hAnsi="Times New Roman"/>
          <w:noProof/>
          <w:sz w:val="24"/>
          <w:szCs w:val="24"/>
          <w:lang w:val="fr-CA" w:eastAsia="fr-FR"/>
        </w:rPr>
      </w:pPr>
      <w:r>
        <w:rPr>
          <w:rFonts w:ascii="Times New Roman" w:hAnsi="Times New Roman"/>
          <w:sz w:val="24"/>
          <w:szCs w:val="24"/>
        </w:rPr>
        <w:t>La réalisation de ce sous-projet se fera s</w:t>
      </w:r>
      <w:r w:rsidRPr="00D75D2E">
        <w:rPr>
          <w:rFonts w:ascii="Times New Roman" w:hAnsi="Times New Roman"/>
          <w:noProof/>
          <w:sz w:val="24"/>
          <w:szCs w:val="24"/>
          <w:lang w:val="fr-CA" w:eastAsia="fr-FR"/>
        </w:rPr>
        <w:t>uivant les différentes phase</w:t>
      </w:r>
      <w:r>
        <w:rPr>
          <w:rFonts w:ascii="Times New Roman" w:hAnsi="Times New Roman"/>
          <w:noProof/>
          <w:sz w:val="24"/>
          <w:szCs w:val="24"/>
          <w:lang w:val="fr-CA" w:eastAsia="fr-FR"/>
        </w:rPr>
        <w:t>s</w:t>
      </w:r>
      <w:r w:rsidRPr="00D75D2E">
        <w:rPr>
          <w:rFonts w:ascii="Times New Roman" w:hAnsi="Times New Roman"/>
          <w:noProof/>
          <w:sz w:val="24"/>
          <w:szCs w:val="24"/>
          <w:lang w:val="fr-CA" w:eastAsia="fr-FR"/>
        </w:rPr>
        <w:t xml:space="preserve"> </w:t>
      </w:r>
      <w:r>
        <w:rPr>
          <w:rFonts w:ascii="Times New Roman" w:hAnsi="Times New Roman"/>
          <w:noProof/>
          <w:sz w:val="24"/>
          <w:szCs w:val="24"/>
          <w:lang w:val="fr-CA" w:eastAsia="fr-FR"/>
        </w:rPr>
        <w:t>suivantes</w:t>
      </w:r>
      <w:r w:rsidRPr="00D75D2E">
        <w:rPr>
          <w:rFonts w:ascii="Times New Roman" w:hAnsi="Times New Roman"/>
          <w:noProof/>
          <w:sz w:val="24"/>
          <w:szCs w:val="24"/>
          <w:lang w:val="fr-CA" w:eastAsia="fr-FR"/>
        </w:rPr>
        <w:t> :</w:t>
      </w:r>
    </w:p>
    <w:p w14:paraId="20ECFB56" w14:textId="77777777" w:rsidR="00831E5D" w:rsidRPr="00D75D2E" w:rsidRDefault="00831E5D" w:rsidP="008C79F0">
      <w:pPr>
        <w:pStyle w:val="Normal0"/>
        <w:numPr>
          <w:ilvl w:val="0"/>
          <w:numId w:val="195"/>
        </w:numPr>
        <w:spacing w:before="120" w:after="120"/>
        <w:ind w:left="567" w:hanging="357"/>
        <w:rPr>
          <w:rFonts w:ascii="Times New Roman" w:hAnsi="Times New Roman"/>
        </w:rPr>
      </w:pPr>
      <w:r w:rsidRPr="00D75D2E">
        <w:rPr>
          <w:rFonts w:ascii="Times New Roman" w:hAnsi="Times New Roman"/>
        </w:rPr>
        <w:t>Phase préparatoire</w:t>
      </w:r>
    </w:p>
    <w:p w14:paraId="3E72DBD2"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Indemnisation des biens touchés (perte d’arbres, de bâtisses et/ou de terre, revenu) ;</w:t>
      </w:r>
    </w:p>
    <w:p w14:paraId="5767EF5D" w14:textId="77777777" w:rsidR="00831E5D"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Libération des emprises ;</w:t>
      </w:r>
    </w:p>
    <w:p w14:paraId="4956A817"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Pr>
          <w:rFonts w:ascii="Times New Roman" w:hAnsi="Times New Roman"/>
          <w:iCs/>
          <w:sz w:val="24"/>
          <w:szCs w:val="24"/>
        </w:rPr>
        <w:t>Piquetage de la ligne ;</w:t>
      </w:r>
    </w:p>
    <w:p w14:paraId="1C7B4403"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 xml:space="preserve">Installation de chantier et de base-vie ;  </w:t>
      </w:r>
    </w:p>
    <w:p w14:paraId="3FECEFC5" w14:textId="77777777" w:rsidR="00831E5D"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Abattage ou l’élagage des arbres dans les emprises</w:t>
      </w:r>
      <w:r>
        <w:rPr>
          <w:rFonts w:ascii="Times New Roman" w:hAnsi="Times New Roman"/>
          <w:iCs/>
          <w:sz w:val="24"/>
          <w:szCs w:val="24"/>
        </w:rPr>
        <w:t> ;</w:t>
      </w:r>
    </w:p>
    <w:p w14:paraId="7FB739BF" w14:textId="77777777" w:rsidR="00831E5D" w:rsidRDefault="00831E5D" w:rsidP="008C79F0">
      <w:pPr>
        <w:numPr>
          <w:ilvl w:val="0"/>
          <w:numId w:val="196"/>
        </w:numPr>
        <w:spacing w:after="0" w:line="240" w:lineRule="auto"/>
        <w:contextualSpacing/>
        <w:rPr>
          <w:rFonts w:ascii="Times New Roman" w:hAnsi="Times New Roman"/>
          <w:iCs/>
          <w:sz w:val="24"/>
          <w:szCs w:val="24"/>
        </w:rPr>
      </w:pPr>
      <w:r>
        <w:rPr>
          <w:rFonts w:ascii="Times New Roman" w:hAnsi="Times New Roman"/>
          <w:iCs/>
          <w:sz w:val="24"/>
          <w:szCs w:val="24"/>
        </w:rPr>
        <w:t xml:space="preserve">Recrutement et mobilisation du personnel </w:t>
      </w:r>
    </w:p>
    <w:p w14:paraId="332F44C8" w14:textId="77777777" w:rsidR="00831E5D" w:rsidRDefault="00831E5D" w:rsidP="008C79F0">
      <w:pPr>
        <w:numPr>
          <w:ilvl w:val="0"/>
          <w:numId w:val="196"/>
        </w:numPr>
        <w:spacing w:after="0" w:line="240" w:lineRule="auto"/>
        <w:contextualSpacing/>
        <w:rPr>
          <w:rFonts w:ascii="Times New Roman" w:hAnsi="Times New Roman"/>
          <w:iCs/>
          <w:sz w:val="24"/>
          <w:szCs w:val="24"/>
        </w:rPr>
      </w:pPr>
      <w:r>
        <w:rPr>
          <w:rFonts w:ascii="Times New Roman" w:hAnsi="Times New Roman"/>
          <w:iCs/>
          <w:sz w:val="24"/>
          <w:szCs w:val="24"/>
        </w:rPr>
        <w:t>Mobilisation des équipements et de la logistique du chantier.</w:t>
      </w:r>
    </w:p>
    <w:p w14:paraId="376E71D1" w14:textId="77777777" w:rsidR="00831E5D" w:rsidRPr="00D75D2E" w:rsidRDefault="00831E5D" w:rsidP="00E737B4">
      <w:pPr>
        <w:spacing w:after="0" w:line="240" w:lineRule="auto"/>
        <w:ind w:left="1068"/>
        <w:contextualSpacing/>
        <w:rPr>
          <w:rFonts w:ascii="Times New Roman" w:hAnsi="Times New Roman"/>
          <w:iCs/>
          <w:sz w:val="24"/>
          <w:szCs w:val="24"/>
        </w:rPr>
      </w:pPr>
    </w:p>
    <w:p w14:paraId="23112B81" w14:textId="77777777" w:rsidR="00831E5D" w:rsidRPr="00D75D2E" w:rsidRDefault="00831E5D" w:rsidP="008C79F0">
      <w:pPr>
        <w:pStyle w:val="Normal0"/>
        <w:numPr>
          <w:ilvl w:val="0"/>
          <w:numId w:val="195"/>
        </w:numPr>
        <w:spacing w:before="120" w:after="120"/>
        <w:ind w:left="567" w:hanging="357"/>
        <w:rPr>
          <w:rFonts w:ascii="Times New Roman" w:hAnsi="Times New Roman"/>
        </w:rPr>
      </w:pPr>
      <w:r w:rsidRPr="00D75D2E">
        <w:rPr>
          <w:rFonts w:ascii="Times New Roman" w:hAnsi="Times New Roman"/>
        </w:rPr>
        <w:t xml:space="preserve">Phase de construction  </w:t>
      </w:r>
    </w:p>
    <w:p w14:paraId="64BEBFC4"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Terrassement (fouilles, excavations, remblayage, nivellements, bétonnage, etc.) ;</w:t>
      </w:r>
    </w:p>
    <w:p w14:paraId="04CF9C1F"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Fourniture et stockage des matériaux ;</w:t>
      </w:r>
    </w:p>
    <w:p w14:paraId="2BA5038A"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Emploi de la main d’œuvre ;</w:t>
      </w:r>
    </w:p>
    <w:p w14:paraId="74859A66"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Tirage des câbles BT/MT ;</w:t>
      </w:r>
    </w:p>
    <w:p w14:paraId="44813005"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Transport et circulation de la main d'œuvre, de la machinerie (camion, poulie de déroulage, grimpette, etc.) et des matériaux ;</w:t>
      </w:r>
    </w:p>
    <w:p w14:paraId="2B1BF820"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Pose des cabines ;</w:t>
      </w:r>
    </w:p>
    <w:p w14:paraId="6B0AA1F7"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Plantation d’arbres de compensation ;</w:t>
      </w:r>
    </w:p>
    <w:p w14:paraId="11F45F5E"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 xml:space="preserve">Nettoyage et repli du chantier </w:t>
      </w:r>
    </w:p>
    <w:p w14:paraId="66FB5C82" w14:textId="77777777" w:rsidR="00831E5D" w:rsidRPr="00D75D2E" w:rsidRDefault="00831E5D" w:rsidP="008C79F0">
      <w:pPr>
        <w:pStyle w:val="Normal0"/>
        <w:numPr>
          <w:ilvl w:val="0"/>
          <w:numId w:val="195"/>
        </w:numPr>
        <w:spacing w:after="120"/>
        <w:ind w:left="567" w:hanging="357"/>
        <w:rPr>
          <w:rFonts w:ascii="Times New Roman" w:hAnsi="Times New Roman"/>
        </w:rPr>
      </w:pPr>
      <w:r w:rsidRPr="00D75D2E">
        <w:rPr>
          <w:rFonts w:ascii="Times New Roman" w:hAnsi="Times New Roman"/>
        </w:rPr>
        <w:t>Phase d’exploitation</w:t>
      </w:r>
    </w:p>
    <w:p w14:paraId="5418CC61"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Raccordement des abonnés au réseau et installation des compteurs prépayés ;</w:t>
      </w:r>
    </w:p>
    <w:p w14:paraId="56658752" w14:textId="77777777" w:rsidR="00831E5D" w:rsidRPr="00D75D2E"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Suivi et entretien des installations existantes.</w:t>
      </w:r>
    </w:p>
    <w:p w14:paraId="100525B7" w14:textId="0C11643B" w:rsidR="00831E5D" w:rsidRDefault="00831E5D" w:rsidP="008C79F0">
      <w:pPr>
        <w:numPr>
          <w:ilvl w:val="0"/>
          <w:numId w:val="196"/>
        </w:numPr>
        <w:spacing w:after="0" w:line="240" w:lineRule="auto"/>
        <w:contextualSpacing/>
        <w:rPr>
          <w:rFonts w:ascii="Times New Roman" w:hAnsi="Times New Roman"/>
          <w:iCs/>
          <w:sz w:val="24"/>
          <w:szCs w:val="24"/>
        </w:rPr>
      </w:pPr>
      <w:r w:rsidRPr="00D75D2E">
        <w:rPr>
          <w:rFonts w:ascii="Times New Roman" w:hAnsi="Times New Roman"/>
          <w:iCs/>
          <w:sz w:val="24"/>
          <w:szCs w:val="24"/>
        </w:rPr>
        <w:t xml:space="preserve">Montage des lanternes et réhabilitation du réseau d’éclairage public. </w:t>
      </w:r>
    </w:p>
    <w:p w14:paraId="3B2DF0D4" w14:textId="77777777" w:rsidR="00975FB9" w:rsidRPr="00AE31F1" w:rsidRDefault="00975FB9" w:rsidP="002D28DE">
      <w:pPr>
        <w:pStyle w:val="Listepuces"/>
        <w:numPr>
          <w:ilvl w:val="0"/>
          <w:numId w:val="196"/>
        </w:numPr>
        <w:rPr>
          <w:lang w:val="fr-CD"/>
        </w:rPr>
      </w:pPr>
    </w:p>
    <w:p w14:paraId="2842BBC5" w14:textId="77777777" w:rsidR="009C2BB3" w:rsidRPr="00AE31F1" w:rsidRDefault="009C2BB3" w:rsidP="00AE31F1">
      <w:pPr>
        <w:keepNext/>
        <w:keepLines/>
        <w:numPr>
          <w:ilvl w:val="1"/>
          <w:numId w:val="54"/>
        </w:numPr>
        <w:tabs>
          <w:tab w:val="left" w:pos="851"/>
        </w:tabs>
        <w:spacing w:before="120" w:after="120" w:line="240" w:lineRule="auto"/>
        <w:outlineLvl w:val="1"/>
        <w:rPr>
          <w:rFonts w:ascii="Times New Roman" w:eastAsia="Times New Roman" w:hAnsi="Times New Roman"/>
          <w:b/>
          <w:sz w:val="24"/>
          <w:szCs w:val="24"/>
        </w:rPr>
      </w:pPr>
      <w:bookmarkStart w:id="421" w:name="_Toc103685628"/>
      <w:r w:rsidRPr="009474BC">
        <w:rPr>
          <w:rFonts w:ascii="Times New Roman" w:eastAsia="Times New Roman" w:hAnsi="Times New Roman"/>
          <w:b/>
          <w:sz w:val="24"/>
          <w:szCs w:val="24"/>
        </w:rPr>
        <w:t xml:space="preserve">Calendrier </w:t>
      </w:r>
      <w:r w:rsidRPr="00C738C5">
        <w:rPr>
          <w:rFonts w:ascii="Times New Roman" w:eastAsia="Times New Roman" w:hAnsi="Times New Roman"/>
          <w:b/>
          <w:sz w:val="24"/>
          <w:szCs w:val="24"/>
        </w:rPr>
        <w:t>estimatif des travaux</w:t>
      </w:r>
      <w:bookmarkEnd w:id="421"/>
    </w:p>
    <w:p w14:paraId="232A4F3B" w14:textId="77777777" w:rsidR="009C2BB3" w:rsidRPr="00C738C5" w:rsidRDefault="009C2BB3" w:rsidP="009C2BB3">
      <w:pPr>
        <w:autoSpaceDE w:val="0"/>
        <w:autoSpaceDN w:val="0"/>
        <w:adjustRightInd w:val="0"/>
        <w:spacing w:after="0"/>
        <w:ind w:left="284"/>
        <w:jc w:val="both"/>
        <w:rPr>
          <w:rFonts w:ascii="Times New Roman" w:hAnsi="Times New Roman"/>
          <w:sz w:val="24"/>
          <w:szCs w:val="24"/>
        </w:rPr>
      </w:pPr>
      <w:r w:rsidRPr="00C738C5">
        <w:rPr>
          <w:rFonts w:ascii="Times New Roman" w:hAnsi="Times New Roman"/>
          <w:sz w:val="24"/>
          <w:szCs w:val="24"/>
        </w:rPr>
        <w:t>La mise en œuvre générale du projet s’effectuera en trois étapes principales qui devraient couvrir un total de 1</w:t>
      </w:r>
      <w:r>
        <w:rPr>
          <w:rFonts w:ascii="Times New Roman" w:hAnsi="Times New Roman"/>
          <w:sz w:val="24"/>
          <w:szCs w:val="24"/>
        </w:rPr>
        <w:t>6</w:t>
      </w:r>
      <w:r w:rsidRPr="00C738C5">
        <w:rPr>
          <w:rFonts w:ascii="Times New Roman" w:hAnsi="Times New Roman"/>
          <w:sz w:val="24"/>
          <w:szCs w:val="24"/>
        </w:rPr>
        <w:t xml:space="preserve"> mois, soit 1 année et </w:t>
      </w:r>
      <w:r>
        <w:rPr>
          <w:rFonts w:ascii="Times New Roman" w:hAnsi="Times New Roman"/>
          <w:sz w:val="24"/>
          <w:szCs w:val="24"/>
        </w:rPr>
        <w:t>4</w:t>
      </w:r>
      <w:r w:rsidRPr="00C738C5">
        <w:rPr>
          <w:rFonts w:ascii="Times New Roman" w:hAnsi="Times New Roman"/>
          <w:sz w:val="24"/>
          <w:szCs w:val="24"/>
        </w:rPr>
        <w:t xml:space="preserve"> mois: </w:t>
      </w:r>
    </w:p>
    <w:p w14:paraId="292E5C08" w14:textId="77777777" w:rsidR="009C2BB3" w:rsidRDefault="009C2BB3" w:rsidP="009C2BB3">
      <w:pPr>
        <w:pStyle w:val="Default"/>
        <w:numPr>
          <w:ilvl w:val="0"/>
          <w:numId w:val="297"/>
        </w:numPr>
        <w:tabs>
          <w:tab w:val="left" w:pos="1701"/>
        </w:tabs>
        <w:jc w:val="both"/>
        <w:rPr>
          <w:color w:val="auto"/>
          <w:lang w:eastAsia="en-US"/>
        </w:rPr>
      </w:pPr>
      <w:r w:rsidRPr="00C738C5">
        <w:rPr>
          <w:color w:val="auto"/>
          <w:lang w:eastAsia="en-US"/>
        </w:rPr>
        <w:t>Etape  I</w:t>
      </w:r>
      <w:r w:rsidRPr="00C738C5">
        <w:rPr>
          <w:color w:val="auto"/>
          <w:lang w:eastAsia="en-US"/>
        </w:rPr>
        <w:tab/>
        <w:t xml:space="preserve">: </w:t>
      </w:r>
      <w:r>
        <w:rPr>
          <w:color w:val="auto"/>
          <w:lang w:eastAsia="en-US"/>
        </w:rPr>
        <w:t>Etudes d’exécution et confirmation de la commande de fabrication des équipements en usine (6 mois)</w:t>
      </w:r>
    </w:p>
    <w:p w14:paraId="728D7153" w14:textId="77777777" w:rsidR="009C2BB3" w:rsidRPr="00C738C5" w:rsidRDefault="009C2BB3" w:rsidP="009C2BB3">
      <w:pPr>
        <w:pStyle w:val="Default"/>
        <w:numPr>
          <w:ilvl w:val="0"/>
          <w:numId w:val="297"/>
        </w:numPr>
        <w:tabs>
          <w:tab w:val="left" w:pos="1701"/>
        </w:tabs>
        <w:jc w:val="both"/>
        <w:rPr>
          <w:color w:val="auto"/>
          <w:lang w:eastAsia="en-US"/>
        </w:rPr>
      </w:pPr>
      <w:r w:rsidRPr="004E6F47">
        <w:rPr>
          <w:color w:val="auto"/>
          <w:lang w:eastAsia="en-US"/>
        </w:rPr>
        <w:t xml:space="preserve">Etape II   : </w:t>
      </w:r>
      <w:r w:rsidRPr="00C738C5">
        <w:rPr>
          <w:color w:val="auto"/>
          <w:lang w:eastAsia="en-US"/>
        </w:rPr>
        <w:t xml:space="preserve">Préparation du site des travaux (piquetage, terrassement et nivellement du site (6 mois) </w:t>
      </w:r>
    </w:p>
    <w:p w14:paraId="374175DD" w14:textId="77777777" w:rsidR="009C2BB3" w:rsidRDefault="009C2BB3" w:rsidP="009C2BB3">
      <w:pPr>
        <w:pStyle w:val="Default"/>
        <w:numPr>
          <w:ilvl w:val="0"/>
          <w:numId w:val="297"/>
        </w:numPr>
        <w:tabs>
          <w:tab w:val="left" w:pos="1701"/>
        </w:tabs>
        <w:jc w:val="both"/>
        <w:rPr>
          <w:color w:val="auto"/>
          <w:lang w:eastAsia="en-US"/>
        </w:rPr>
      </w:pPr>
      <w:r w:rsidRPr="00C738C5">
        <w:rPr>
          <w:color w:val="auto"/>
          <w:lang w:eastAsia="en-US"/>
        </w:rPr>
        <w:t>Etape II</w:t>
      </w:r>
      <w:r>
        <w:rPr>
          <w:color w:val="auto"/>
          <w:lang w:eastAsia="en-US"/>
        </w:rPr>
        <w:t>I</w:t>
      </w:r>
      <w:r w:rsidRPr="008C376B">
        <w:rPr>
          <w:color w:val="auto"/>
          <w:lang w:eastAsia="en-US"/>
        </w:rPr>
        <w:tab/>
        <w:t>: Travaux d</w:t>
      </w:r>
      <w:r>
        <w:rPr>
          <w:color w:val="auto"/>
          <w:lang w:eastAsia="en-US"/>
        </w:rPr>
        <w:t>’aménagement des socles des cabines (2 mois)</w:t>
      </w:r>
    </w:p>
    <w:p w14:paraId="65536ABC" w14:textId="77777777" w:rsidR="009C2BB3" w:rsidRDefault="009C2BB3" w:rsidP="009C2BB3">
      <w:pPr>
        <w:pStyle w:val="Default"/>
        <w:numPr>
          <w:ilvl w:val="0"/>
          <w:numId w:val="297"/>
        </w:numPr>
        <w:tabs>
          <w:tab w:val="left" w:pos="1701"/>
        </w:tabs>
        <w:jc w:val="both"/>
        <w:rPr>
          <w:color w:val="auto"/>
          <w:lang w:eastAsia="en-US"/>
        </w:rPr>
      </w:pPr>
      <w:r>
        <w:rPr>
          <w:color w:val="auto"/>
          <w:lang w:eastAsia="en-US"/>
        </w:rPr>
        <w:t>Etape IV : Implantation des poteaux MT et BT (3 mois)</w:t>
      </w:r>
    </w:p>
    <w:p w14:paraId="4EDBDBFE" w14:textId="4FF91CDA" w:rsidR="009C2BB3" w:rsidRPr="00391966" w:rsidRDefault="009C2BB3" w:rsidP="003229B0">
      <w:pPr>
        <w:pStyle w:val="Default"/>
        <w:numPr>
          <w:ilvl w:val="0"/>
          <w:numId w:val="297"/>
        </w:numPr>
        <w:tabs>
          <w:tab w:val="left" w:pos="1701"/>
        </w:tabs>
        <w:jc w:val="both"/>
        <w:rPr>
          <w:color w:val="auto"/>
          <w:lang w:eastAsia="en-US"/>
        </w:rPr>
      </w:pPr>
      <w:r w:rsidRPr="00391966">
        <w:rPr>
          <w:color w:val="auto"/>
          <w:lang w:eastAsia="en-US"/>
        </w:rPr>
        <w:t xml:space="preserve"> Etape V : Mise en service et réception définitive (2 mois) </w:t>
      </w:r>
    </w:p>
    <w:p w14:paraId="6393724B" w14:textId="77777777" w:rsidR="009C2BB3" w:rsidRPr="00C738C5" w:rsidRDefault="009C2BB3" w:rsidP="009C2BB3">
      <w:pPr>
        <w:autoSpaceDE w:val="0"/>
        <w:autoSpaceDN w:val="0"/>
        <w:adjustRightInd w:val="0"/>
        <w:spacing w:before="120" w:after="0"/>
        <w:jc w:val="both"/>
        <w:rPr>
          <w:rFonts w:ascii="Times New Roman" w:hAnsi="Times New Roman"/>
          <w:sz w:val="24"/>
          <w:szCs w:val="24"/>
        </w:rPr>
      </w:pPr>
      <w:r w:rsidRPr="00C738C5">
        <w:rPr>
          <w:rFonts w:ascii="Times New Roman" w:hAnsi="Times New Roman"/>
          <w:sz w:val="24"/>
          <w:szCs w:val="24"/>
        </w:rPr>
        <w:t xml:space="preserve">Le calendrier de mise en œuvre </w:t>
      </w:r>
      <w:r>
        <w:rPr>
          <w:rFonts w:ascii="Times New Roman" w:hAnsi="Times New Roman"/>
          <w:sz w:val="24"/>
          <w:szCs w:val="24"/>
        </w:rPr>
        <w:t>sera</w:t>
      </w:r>
      <w:r w:rsidRPr="00C738C5">
        <w:rPr>
          <w:rFonts w:ascii="Times New Roman" w:hAnsi="Times New Roman"/>
          <w:sz w:val="24"/>
          <w:szCs w:val="24"/>
        </w:rPr>
        <w:t xml:space="preserve"> élaboré sur base de l’étude d’exécution de l’entrepreneur. </w:t>
      </w:r>
    </w:p>
    <w:p w14:paraId="123ED4DF" w14:textId="77777777" w:rsidR="00975FB9" w:rsidRPr="00831E5D" w:rsidRDefault="00975FB9" w:rsidP="00975FB9">
      <w:pPr>
        <w:spacing w:after="0" w:line="240" w:lineRule="auto"/>
        <w:contextualSpacing/>
        <w:rPr>
          <w:rFonts w:ascii="Times New Roman" w:hAnsi="Times New Roman"/>
          <w:iCs/>
          <w:sz w:val="24"/>
          <w:szCs w:val="24"/>
        </w:rPr>
      </w:pPr>
    </w:p>
    <w:p w14:paraId="3084978D" w14:textId="77777777" w:rsidR="00C959F4" w:rsidRPr="00E737B4" w:rsidRDefault="00C959F4" w:rsidP="00AE31F1">
      <w:pPr>
        <w:keepNext/>
        <w:keepLines/>
        <w:numPr>
          <w:ilvl w:val="1"/>
          <w:numId w:val="54"/>
        </w:numPr>
        <w:tabs>
          <w:tab w:val="left" w:pos="851"/>
        </w:tabs>
        <w:spacing w:before="120" w:after="120" w:line="20" w:lineRule="atLeast"/>
        <w:ind w:hanging="508"/>
        <w:outlineLvl w:val="1"/>
        <w:rPr>
          <w:rFonts w:ascii="Times New Roman" w:eastAsia="Times New Roman" w:hAnsi="Times New Roman"/>
          <w:b/>
          <w:sz w:val="24"/>
          <w:szCs w:val="24"/>
        </w:rPr>
      </w:pPr>
      <w:bookmarkStart w:id="422" w:name="_Toc103685629"/>
      <w:r w:rsidRPr="00E737B4">
        <w:rPr>
          <w:rFonts w:ascii="Times New Roman" w:eastAsia="Times New Roman" w:hAnsi="Times New Roman"/>
          <w:b/>
          <w:sz w:val="24"/>
          <w:szCs w:val="24"/>
        </w:rPr>
        <w:t>Main d’œuvre nécessaire pour les activités</w:t>
      </w:r>
      <w:bookmarkEnd w:id="422"/>
      <w:r w:rsidRPr="00E737B4">
        <w:rPr>
          <w:rFonts w:ascii="Times New Roman" w:eastAsia="Times New Roman" w:hAnsi="Times New Roman"/>
          <w:b/>
          <w:sz w:val="24"/>
          <w:szCs w:val="24"/>
        </w:rPr>
        <w:t xml:space="preserve"> </w:t>
      </w:r>
    </w:p>
    <w:p w14:paraId="69B6CD4B" w14:textId="700389AE" w:rsidR="00C959F4" w:rsidRPr="00D75D2E" w:rsidRDefault="00C959F4" w:rsidP="00E737B4">
      <w:pPr>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rPr>
        <w:t>La main d’œuvre nécessaire pour les travaux est estimée à 250 personnes, dont plus d’une centaine d’emplois non qualifiés. La priorité sera accordée à la main d’œuvre locale du site du projet lors du recrutement du personnel.</w:t>
      </w:r>
      <w:r w:rsidR="009167A6">
        <w:rPr>
          <w:rFonts w:ascii="Times New Roman" w:hAnsi="Times New Roman"/>
          <w:sz w:val="24"/>
          <w:szCs w:val="24"/>
        </w:rPr>
        <w:t xml:space="preserve"> Il est important de signaler que la main d’œuvre locale </w:t>
      </w:r>
      <w:r w:rsidR="009167A6" w:rsidRPr="00215867">
        <w:rPr>
          <w:rFonts w:ascii="Times New Roman" w:hAnsi="Times New Roman"/>
          <w:sz w:val="24"/>
          <w:szCs w:val="24"/>
        </w:rPr>
        <w:t xml:space="preserve">sera suffisante pour combler les besoins </w:t>
      </w:r>
      <w:r w:rsidR="00F158FB">
        <w:rPr>
          <w:rFonts w:ascii="Times New Roman" w:hAnsi="Times New Roman"/>
          <w:sz w:val="24"/>
          <w:szCs w:val="24"/>
        </w:rPr>
        <w:t xml:space="preserve">en personnel, </w:t>
      </w:r>
      <w:r w:rsidR="009167A6" w:rsidRPr="00215867">
        <w:rPr>
          <w:rFonts w:ascii="Times New Roman" w:hAnsi="Times New Roman"/>
          <w:sz w:val="24"/>
          <w:szCs w:val="24"/>
        </w:rPr>
        <w:t xml:space="preserve">car la ville de Kinshasa compte beaucoup des jeunes </w:t>
      </w:r>
      <w:r w:rsidR="00F158FB">
        <w:rPr>
          <w:rFonts w:ascii="Times New Roman" w:hAnsi="Times New Roman"/>
          <w:sz w:val="24"/>
          <w:szCs w:val="24"/>
        </w:rPr>
        <w:t>sans emplois</w:t>
      </w:r>
      <w:r w:rsidR="009167A6" w:rsidRPr="00215867">
        <w:rPr>
          <w:rFonts w:ascii="Times New Roman" w:hAnsi="Times New Roman"/>
          <w:sz w:val="24"/>
          <w:szCs w:val="24"/>
        </w:rPr>
        <w:t xml:space="preserve"> et le recrutement de ladite main d’œuvre locale se fera conformément au Code du travail de la RDC et </w:t>
      </w:r>
      <w:r w:rsidR="00F158FB">
        <w:rPr>
          <w:rFonts w:ascii="Times New Roman" w:hAnsi="Times New Roman"/>
          <w:sz w:val="24"/>
          <w:szCs w:val="24"/>
        </w:rPr>
        <w:t>aux</w:t>
      </w:r>
      <w:r w:rsidR="009167A6" w:rsidRPr="00215867">
        <w:rPr>
          <w:rFonts w:ascii="Times New Roman" w:hAnsi="Times New Roman"/>
          <w:sz w:val="24"/>
          <w:szCs w:val="24"/>
        </w:rPr>
        <w:t xml:space="preserve"> Procédures de Gestion de la Main d’œuvre (PGMO) du Projet AGREE.</w:t>
      </w:r>
    </w:p>
    <w:p w14:paraId="24EEA49E" w14:textId="77777777" w:rsidR="00C959F4" w:rsidRPr="00E737B4" w:rsidRDefault="00C959F4" w:rsidP="00AE31F1">
      <w:pPr>
        <w:keepNext/>
        <w:keepLines/>
        <w:numPr>
          <w:ilvl w:val="1"/>
          <w:numId w:val="54"/>
        </w:numPr>
        <w:tabs>
          <w:tab w:val="left" w:pos="851"/>
        </w:tabs>
        <w:spacing w:before="120" w:after="120" w:line="20" w:lineRule="atLeast"/>
        <w:ind w:hanging="508"/>
        <w:outlineLvl w:val="1"/>
        <w:rPr>
          <w:rFonts w:ascii="Times New Roman" w:eastAsia="Times New Roman" w:hAnsi="Times New Roman"/>
          <w:b/>
          <w:sz w:val="24"/>
          <w:szCs w:val="24"/>
        </w:rPr>
      </w:pPr>
      <w:bookmarkStart w:id="423" w:name="_Toc103685630"/>
      <w:r w:rsidRPr="00E737B4">
        <w:rPr>
          <w:rFonts w:ascii="Times New Roman" w:eastAsia="Times New Roman" w:hAnsi="Times New Roman"/>
          <w:b/>
          <w:sz w:val="24"/>
          <w:szCs w:val="24"/>
        </w:rPr>
        <w:t>Sources d’approvisionnement des matériaux</w:t>
      </w:r>
      <w:bookmarkEnd w:id="423"/>
    </w:p>
    <w:p w14:paraId="722E0A3A" w14:textId="77777777" w:rsidR="00C959F4" w:rsidRPr="00D75D2E" w:rsidRDefault="00C959F4" w:rsidP="00831E5D">
      <w:pPr>
        <w:tabs>
          <w:tab w:val="left" w:pos="567"/>
        </w:tabs>
        <w:spacing w:before="120" w:after="120" w:line="240" w:lineRule="auto"/>
        <w:jc w:val="both"/>
        <w:rPr>
          <w:rFonts w:ascii="Times New Roman" w:hAnsi="Times New Roman"/>
          <w:sz w:val="24"/>
          <w:szCs w:val="24"/>
        </w:rPr>
      </w:pPr>
      <w:r w:rsidRPr="00D75D2E">
        <w:rPr>
          <w:rFonts w:ascii="Times New Roman" w:hAnsi="Times New Roman"/>
          <w:sz w:val="24"/>
          <w:szCs w:val="24"/>
        </w:rPr>
        <w:t>Les intrants des travaux (matériaux naturels nécessaires aux travaux de construction des socles, massif en béton, etc.) seront constitués essentiellement des concassés, du sable, du ciment et de l’eau.</w:t>
      </w:r>
    </w:p>
    <w:p w14:paraId="6B4B4230" w14:textId="77777777" w:rsidR="00C959F4" w:rsidRPr="00D75D2E" w:rsidRDefault="00C959F4" w:rsidP="00831E5D">
      <w:pPr>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u w:val="single"/>
        </w:rPr>
        <w:t>Pour ce qui est des carrières d’emprunts, l</w:t>
      </w:r>
      <w:r w:rsidRPr="00D75D2E">
        <w:rPr>
          <w:rFonts w:ascii="Times New Roman" w:hAnsi="Times New Roman"/>
          <w:sz w:val="24"/>
          <w:szCs w:val="24"/>
        </w:rPr>
        <w:t>e projet va acheter les concassés à partir des carrières des graviers exploités par des entreprises chinoises à Kasangulu dans la province du Kongo-central pour les sites des travaux situés dans les communes de Mont-Ngafula et les carrières de Carrigres et Safricas à Kinsuka dans la commune de Ngaliema à Kinshasa pour les autres sites des travaux.</w:t>
      </w:r>
    </w:p>
    <w:p w14:paraId="413713AA" w14:textId="50203529" w:rsidR="00C959F4" w:rsidRDefault="00C959F4" w:rsidP="00C959F4">
      <w:pPr>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u w:val="single"/>
        </w:rPr>
        <w:t xml:space="preserve">Pour ce qui est du sable, </w:t>
      </w:r>
      <w:r w:rsidRPr="00D75D2E">
        <w:rPr>
          <w:rFonts w:ascii="Times New Roman" w:hAnsi="Times New Roman"/>
          <w:sz w:val="24"/>
          <w:szCs w:val="24"/>
        </w:rPr>
        <w:t xml:space="preserve">le projet va nécessiter du sable pour fabriquer du béton devant servir au coulage du socle des supports des poteaux et les massifs en béton pour la fondation des différentes cabines compactes. L’approvisionnement en sable se fera à partir des carrières de Kinsuka, Kingatoko et N’djili CECOMAF dans la ville de Kinshasa. Il s’agit des sables extraits des cours d’eau, notamment : la rivière Nd’jili, Lukaya et Binza. </w:t>
      </w:r>
    </w:p>
    <w:p w14:paraId="0D1DD767" w14:textId="693D1A7E" w:rsidR="009C2BB3" w:rsidRPr="00C738C5" w:rsidRDefault="009C2BB3" w:rsidP="009C2BB3">
      <w:pPr>
        <w:pStyle w:val="Lgende"/>
        <w:spacing w:before="240" w:after="120"/>
        <w:rPr>
          <w:sz w:val="28"/>
          <w:szCs w:val="24"/>
        </w:rPr>
      </w:pPr>
      <w:bookmarkStart w:id="424" w:name="_Toc93050270"/>
      <w:r w:rsidRPr="00C738C5">
        <w:rPr>
          <w:sz w:val="24"/>
        </w:rPr>
        <w:t xml:space="preserve">Tableau </w:t>
      </w:r>
      <w:r w:rsidRPr="00C738C5">
        <w:rPr>
          <w:sz w:val="24"/>
        </w:rPr>
        <w:fldChar w:fldCharType="begin"/>
      </w:r>
      <w:r w:rsidRPr="00C738C5">
        <w:rPr>
          <w:sz w:val="24"/>
        </w:rPr>
        <w:instrText xml:space="preserve"> SEQ Tableau \* ARABIC </w:instrText>
      </w:r>
      <w:r w:rsidRPr="00C738C5">
        <w:rPr>
          <w:sz w:val="24"/>
        </w:rPr>
        <w:fldChar w:fldCharType="separate"/>
      </w:r>
      <w:r w:rsidR="00691EF5">
        <w:rPr>
          <w:noProof/>
          <w:sz w:val="24"/>
        </w:rPr>
        <w:t>8</w:t>
      </w:r>
      <w:r w:rsidRPr="00C738C5">
        <w:rPr>
          <w:sz w:val="24"/>
        </w:rPr>
        <w:fldChar w:fldCharType="end"/>
      </w:r>
      <w:r w:rsidRPr="00C738C5">
        <w:rPr>
          <w:sz w:val="24"/>
        </w:rPr>
        <w:t>. Liste des carrières d’emprunt des matériaux identifiés dans le territoire Kasangulu</w:t>
      </w:r>
      <w:bookmarkEnd w:id="4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60"/>
        <w:gridCol w:w="1672"/>
        <w:gridCol w:w="1163"/>
        <w:gridCol w:w="1134"/>
        <w:gridCol w:w="1701"/>
      </w:tblGrid>
      <w:tr w:rsidR="002C66D7" w:rsidRPr="00420C1B" w14:paraId="0007041A" w14:textId="77777777" w:rsidTr="00420C1B">
        <w:tc>
          <w:tcPr>
            <w:tcW w:w="534" w:type="dxa"/>
            <w:shd w:val="clear" w:color="auto" w:fill="auto"/>
            <w:vAlign w:val="center"/>
          </w:tcPr>
          <w:p w14:paraId="4CDD3E31" w14:textId="77777777" w:rsidR="009C2BB3" w:rsidRPr="00420C1B" w:rsidRDefault="009C2BB3" w:rsidP="00420C1B">
            <w:pPr>
              <w:autoSpaceDE w:val="0"/>
              <w:autoSpaceDN w:val="0"/>
              <w:adjustRightInd w:val="0"/>
              <w:spacing w:after="0" w:line="240" w:lineRule="auto"/>
              <w:rPr>
                <w:rFonts w:ascii="Times New Roman" w:hAnsi="Times New Roman"/>
                <w:b/>
                <w:sz w:val="24"/>
                <w:szCs w:val="24"/>
              </w:rPr>
            </w:pPr>
            <w:r w:rsidRPr="00420C1B">
              <w:rPr>
                <w:rFonts w:ascii="Times New Roman" w:hAnsi="Times New Roman"/>
                <w:b/>
                <w:sz w:val="24"/>
                <w:szCs w:val="24"/>
              </w:rPr>
              <w:t>N°</w:t>
            </w:r>
          </w:p>
        </w:tc>
        <w:tc>
          <w:tcPr>
            <w:tcW w:w="3260" w:type="dxa"/>
            <w:shd w:val="clear" w:color="auto" w:fill="auto"/>
            <w:vAlign w:val="center"/>
          </w:tcPr>
          <w:p w14:paraId="5EA7CB58" w14:textId="77777777" w:rsidR="009C2BB3" w:rsidRPr="00420C1B" w:rsidRDefault="009C2BB3" w:rsidP="00420C1B">
            <w:pPr>
              <w:autoSpaceDE w:val="0"/>
              <w:autoSpaceDN w:val="0"/>
              <w:adjustRightInd w:val="0"/>
              <w:spacing w:after="0" w:line="240" w:lineRule="auto"/>
              <w:rPr>
                <w:rFonts w:ascii="Times New Roman" w:hAnsi="Times New Roman"/>
                <w:b/>
                <w:sz w:val="24"/>
                <w:szCs w:val="24"/>
              </w:rPr>
            </w:pPr>
            <w:r w:rsidRPr="00420C1B">
              <w:rPr>
                <w:rFonts w:ascii="Times New Roman" w:hAnsi="Times New Roman"/>
                <w:b/>
                <w:sz w:val="24"/>
                <w:szCs w:val="24"/>
              </w:rPr>
              <w:t>Entreprises</w:t>
            </w:r>
          </w:p>
        </w:tc>
        <w:tc>
          <w:tcPr>
            <w:tcW w:w="1672" w:type="dxa"/>
            <w:shd w:val="clear" w:color="auto" w:fill="auto"/>
            <w:vAlign w:val="center"/>
          </w:tcPr>
          <w:p w14:paraId="6630DE3C" w14:textId="77777777" w:rsidR="009C2BB3" w:rsidRPr="00420C1B" w:rsidRDefault="009C2BB3" w:rsidP="00420C1B">
            <w:pPr>
              <w:autoSpaceDE w:val="0"/>
              <w:autoSpaceDN w:val="0"/>
              <w:adjustRightInd w:val="0"/>
              <w:spacing w:after="0" w:line="240" w:lineRule="auto"/>
              <w:rPr>
                <w:rFonts w:ascii="Times New Roman" w:hAnsi="Times New Roman"/>
                <w:b/>
                <w:sz w:val="24"/>
                <w:szCs w:val="24"/>
              </w:rPr>
            </w:pPr>
            <w:r w:rsidRPr="00420C1B">
              <w:rPr>
                <w:rFonts w:ascii="Times New Roman" w:hAnsi="Times New Roman"/>
                <w:b/>
                <w:sz w:val="24"/>
                <w:szCs w:val="24"/>
              </w:rPr>
              <w:t>Localisation</w:t>
            </w:r>
          </w:p>
        </w:tc>
        <w:tc>
          <w:tcPr>
            <w:tcW w:w="2297" w:type="dxa"/>
            <w:gridSpan w:val="2"/>
            <w:shd w:val="clear" w:color="auto" w:fill="auto"/>
            <w:vAlign w:val="center"/>
          </w:tcPr>
          <w:p w14:paraId="7BCA99E1" w14:textId="77777777" w:rsidR="009C2BB3" w:rsidRPr="00420C1B" w:rsidRDefault="009C2BB3" w:rsidP="00420C1B">
            <w:pPr>
              <w:autoSpaceDE w:val="0"/>
              <w:autoSpaceDN w:val="0"/>
              <w:adjustRightInd w:val="0"/>
              <w:spacing w:after="0" w:line="240" w:lineRule="auto"/>
              <w:jc w:val="center"/>
              <w:rPr>
                <w:rFonts w:ascii="Times New Roman" w:hAnsi="Times New Roman"/>
                <w:b/>
                <w:sz w:val="24"/>
                <w:szCs w:val="24"/>
              </w:rPr>
            </w:pPr>
            <w:r w:rsidRPr="00420C1B">
              <w:rPr>
                <w:rFonts w:ascii="Times New Roman" w:hAnsi="Times New Roman"/>
                <w:b/>
                <w:sz w:val="24"/>
                <w:szCs w:val="24"/>
              </w:rPr>
              <w:t>Effectifs des employés</w:t>
            </w:r>
          </w:p>
        </w:tc>
        <w:tc>
          <w:tcPr>
            <w:tcW w:w="1701" w:type="dxa"/>
            <w:shd w:val="clear" w:color="auto" w:fill="auto"/>
            <w:vAlign w:val="center"/>
          </w:tcPr>
          <w:p w14:paraId="267E5722" w14:textId="77777777" w:rsidR="009C2BB3" w:rsidRPr="00420C1B" w:rsidRDefault="009C2BB3" w:rsidP="00420C1B">
            <w:pPr>
              <w:autoSpaceDE w:val="0"/>
              <w:autoSpaceDN w:val="0"/>
              <w:adjustRightInd w:val="0"/>
              <w:spacing w:after="0" w:line="240" w:lineRule="auto"/>
              <w:jc w:val="center"/>
              <w:rPr>
                <w:rFonts w:ascii="Times New Roman" w:hAnsi="Times New Roman"/>
                <w:b/>
                <w:sz w:val="24"/>
                <w:szCs w:val="24"/>
              </w:rPr>
            </w:pPr>
            <w:r w:rsidRPr="00420C1B">
              <w:rPr>
                <w:rFonts w:ascii="Times New Roman" w:hAnsi="Times New Roman"/>
                <w:b/>
                <w:sz w:val="24"/>
                <w:szCs w:val="24"/>
              </w:rPr>
              <w:t>Production</w:t>
            </w:r>
          </w:p>
          <w:p w14:paraId="57E179B5"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rPr>
            </w:pPr>
            <w:r w:rsidRPr="00420C1B">
              <w:rPr>
                <w:rFonts w:ascii="Times New Roman" w:hAnsi="Times New Roman"/>
                <w:sz w:val="24"/>
                <w:szCs w:val="24"/>
              </w:rPr>
              <w:t>en tonne</w:t>
            </w:r>
          </w:p>
        </w:tc>
      </w:tr>
      <w:tr w:rsidR="002C66D7" w:rsidRPr="00420C1B" w14:paraId="7F0EA1F5" w14:textId="77777777" w:rsidTr="00420C1B">
        <w:tc>
          <w:tcPr>
            <w:tcW w:w="534" w:type="dxa"/>
            <w:shd w:val="clear" w:color="auto" w:fill="auto"/>
            <w:vAlign w:val="center"/>
          </w:tcPr>
          <w:p w14:paraId="283509C7"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rPr>
            </w:pPr>
            <w:r w:rsidRPr="00420C1B">
              <w:rPr>
                <w:rFonts w:ascii="Times New Roman" w:hAnsi="Times New Roman"/>
                <w:sz w:val="24"/>
                <w:szCs w:val="24"/>
              </w:rPr>
              <w:t>1</w:t>
            </w:r>
          </w:p>
        </w:tc>
        <w:tc>
          <w:tcPr>
            <w:tcW w:w="3260" w:type="dxa"/>
            <w:shd w:val="clear" w:color="auto" w:fill="auto"/>
            <w:vAlign w:val="center"/>
          </w:tcPr>
          <w:p w14:paraId="15C4D0D8"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Société de Broyage Africain (SBA)</w:t>
            </w:r>
          </w:p>
        </w:tc>
        <w:tc>
          <w:tcPr>
            <w:tcW w:w="1672" w:type="dxa"/>
            <w:shd w:val="clear" w:color="auto" w:fill="auto"/>
            <w:vAlign w:val="center"/>
          </w:tcPr>
          <w:p w14:paraId="3A8C9C67"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Kasangulu</w:t>
            </w:r>
          </w:p>
        </w:tc>
        <w:tc>
          <w:tcPr>
            <w:tcW w:w="1163" w:type="dxa"/>
            <w:shd w:val="clear" w:color="auto" w:fill="auto"/>
            <w:vAlign w:val="center"/>
          </w:tcPr>
          <w:p w14:paraId="3F58DC28"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37</w:t>
            </w:r>
          </w:p>
        </w:tc>
        <w:tc>
          <w:tcPr>
            <w:tcW w:w="1134" w:type="dxa"/>
            <w:shd w:val="clear" w:color="auto" w:fill="auto"/>
            <w:vAlign w:val="center"/>
          </w:tcPr>
          <w:p w14:paraId="4F02C1F9"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2</w:t>
            </w:r>
          </w:p>
        </w:tc>
        <w:tc>
          <w:tcPr>
            <w:tcW w:w="1701" w:type="dxa"/>
            <w:shd w:val="clear" w:color="auto" w:fill="auto"/>
            <w:vAlign w:val="center"/>
          </w:tcPr>
          <w:p w14:paraId="37D84653"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p>
        </w:tc>
      </w:tr>
      <w:tr w:rsidR="002C66D7" w:rsidRPr="00420C1B" w14:paraId="508FC717" w14:textId="77777777" w:rsidTr="00420C1B">
        <w:tc>
          <w:tcPr>
            <w:tcW w:w="534" w:type="dxa"/>
            <w:shd w:val="clear" w:color="auto" w:fill="auto"/>
            <w:vAlign w:val="center"/>
          </w:tcPr>
          <w:p w14:paraId="6F6842F7"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rPr>
            </w:pPr>
            <w:r w:rsidRPr="00420C1B">
              <w:rPr>
                <w:rFonts w:ascii="Times New Roman" w:hAnsi="Times New Roman"/>
                <w:sz w:val="24"/>
                <w:szCs w:val="24"/>
              </w:rPr>
              <w:t>2</w:t>
            </w:r>
          </w:p>
        </w:tc>
        <w:tc>
          <w:tcPr>
            <w:tcW w:w="3260" w:type="dxa"/>
            <w:shd w:val="clear" w:color="auto" w:fill="auto"/>
            <w:vAlign w:val="center"/>
          </w:tcPr>
          <w:p w14:paraId="0DDDED74"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Fortune Construction Congo</w:t>
            </w:r>
          </w:p>
        </w:tc>
        <w:tc>
          <w:tcPr>
            <w:tcW w:w="1672" w:type="dxa"/>
            <w:shd w:val="clear" w:color="auto" w:fill="auto"/>
            <w:vAlign w:val="center"/>
          </w:tcPr>
          <w:p w14:paraId="15EB2807"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Kasangulu</w:t>
            </w:r>
          </w:p>
        </w:tc>
        <w:tc>
          <w:tcPr>
            <w:tcW w:w="1163" w:type="dxa"/>
            <w:shd w:val="clear" w:color="auto" w:fill="auto"/>
            <w:vAlign w:val="center"/>
          </w:tcPr>
          <w:p w14:paraId="796B4073"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18</w:t>
            </w:r>
          </w:p>
        </w:tc>
        <w:tc>
          <w:tcPr>
            <w:tcW w:w="1134" w:type="dxa"/>
            <w:shd w:val="clear" w:color="auto" w:fill="auto"/>
            <w:vAlign w:val="center"/>
          </w:tcPr>
          <w:p w14:paraId="2294668D"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3</w:t>
            </w:r>
          </w:p>
        </w:tc>
        <w:tc>
          <w:tcPr>
            <w:tcW w:w="1701" w:type="dxa"/>
            <w:shd w:val="clear" w:color="auto" w:fill="auto"/>
            <w:vAlign w:val="center"/>
          </w:tcPr>
          <w:p w14:paraId="322F02EB"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14 790</w:t>
            </w:r>
          </w:p>
        </w:tc>
      </w:tr>
      <w:tr w:rsidR="002C66D7" w:rsidRPr="00420C1B" w14:paraId="52725E24" w14:textId="77777777" w:rsidTr="00420C1B">
        <w:tc>
          <w:tcPr>
            <w:tcW w:w="534" w:type="dxa"/>
            <w:shd w:val="clear" w:color="auto" w:fill="auto"/>
            <w:vAlign w:val="center"/>
          </w:tcPr>
          <w:p w14:paraId="36D58F67"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rPr>
            </w:pPr>
            <w:r w:rsidRPr="00420C1B">
              <w:rPr>
                <w:rFonts w:ascii="Times New Roman" w:hAnsi="Times New Roman"/>
                <w:sz w:val="24"/>
                <w:szCs w:val="24"/>
              </w:rPr>
              <w:t>3</w:t>
            </w:r>
          </w:p>
        </w:tc>
        <w:tc>
          <w:tcPr>
            <w:tcW w:w="3260" w:type="dxa"/>
            <w:shd w:val="clear" w:color="auto" w:fill="auto"/>
            <w:vAlign w:val="center"/>
          </w:tcPr>
          <w:p w14:paraId="39EB3849"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ARD Minsongi</w:t>
            </w:r>
          </w:p>
        </w:tc>
        <w:tc>
          <w:tcPr>
            <w:tcW w:w="1672" w:type="dxa"/>
            <w:shd w:val="clear" w:color="auto" w:fill="auto"/>
            <w:vAlign w:val="center"/>
          </w:tcPr>
          <w:p w14:paraId="0FDB2882" w14:textId="77777777" w:rsidR="009C2BB3" w:rsidRPr="00420C1B" w:rsidRDefault="009C2BB3" w:rsidP="00420C1B">
            <w:pPr>
              <w:autoSpaceDE w:val="0"/>
              <w:autoSpaceDN w:val="0"/>
              <w:adjustRightInd w:val="0"/>
              <w:spacing w:after="0" w:line="240" w:lineRule="auto"/>
              <w:rPr>
                <w:rFonts w:ascii="Times New Roman" w:hAnsi="Times New Roman"/>
                <w:sz w:val="24"/>
                <w:szCs w:val="24"/>
              </w:rPr>
            </w:pPr>
            <w:r w:rsidRPr="00420C1B">
              <w:rPr>
                <w:rFonts w:ascii="Times New Roman" w:hAnsi="Times New Roman"/>
                <w:sz w:val="24"/>
                <w:szCs w:val="24"/>
              </w:rPr>
              <w:t>Kasangulu</w:t>
            </w:r>
          </w:p>
        </w:tc>
        <w:tc>
          <w:tcPr>
            <w:tcW w:w="3998" w:type="dxa"/>
            <w:gridSpan w:val="3"/>
            <w:shd w:val="clear" w:color="auto" w:fill="auto"/>
            <w:vAlign w:val="center"/>
          </w:tcPr>
          <w:p w14:paraId="65ADAA7D" w14:textId="77777777" w:rsidR="009C2BB3" w:rsidRPr="00420C1B" w:rsidRDefault="009C2BB3" w:rsidP="00420C1B">
            <w:pPr>
              <w:autoSpaceDE w:val="0"/>
              <w:autoSpaceDN w:val="0"/>
              <w:adjustRightInd w:val="0"/>
              <w:spacing w:after="0" w:line="240" w:lineRule="auto"/>
              <w:rPr>
                <w:rFonts w:ascii="Times New Roman" w:hAnsi="Times New Roman"/>
                <w:i/>
                <w:sz w:val="24"/>
                <w:szCs w:val="24"/>
              </w:rPr>
            </w:pPr>
            <w:r w:rsidRPr="00420C1B">
              <w:rPr>
                <w:rFonts w:ascii="Times New Roman" w:hAnsi="Times New Roman"/>
                <w:i/>
                <w:sz w:val="24"/>
                <w:szCs w:val="24"/>
              </w:rPr>
              <w:t>Données non disponibles</w:t>
            </w:r>
          </w:p>
        </w:tc>
      </w:tr>
      <w:tr w:rsidR="002C66D7" w:rsidRPr="00420C1B" w14:paraId="3FE03A95" w14:textId="77777777" w:rsidTr="00420C1B">
        <w:tc>
          <w:tcPr>
            <w:tcW w:w="534" w:type="dxa"/>
            <w:shd w:val="clear" w:color="auto" w:fill="auto"/>
            <w:vAlign w:val="center"/>
          </w:tcPr>
          <w:p w14:paraId="08927807"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rPr>
            </w:pPr>
            <w:r w:rsidRPr="00420C1B">
              <w:rPr>
                <w:rFonts w:ascii="Times New Roman" w:hAnsi="Times New Roman"/>
                <w:sz w:val="24"/>
                <w:szCs w:val="24"/>
              </w:rPr>
              <w:t>4</w:t>
            </w:r>
          </w:p>
        </w:tc>
        <w:tc>
          <w:tcPr>
            <w:tcW w:w="3260" w:type="dxa"/>
            <w:shd w:val="clear" w:color="auto" w:fill="auto"/>
            <w:vAlign w:val="center"/>
          </w:tcPr>
          <w:p w14:paraId="76135C10"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Construction &amp; Contracting Congo, C.C.C</w:t>
            </w:r>
          </w:p>
        </w:tc>
        <w:tc>
          <w:tcPr>
            <w:tcW w:w="1672" w:type="dxa"/>
            <w:shd w:val="clear" w:color="auto" w:fill="auto"/>
            <w:vAlign w:val="center"/>
          </w:tcPr>
          <w:p w14:paraId="5FBFC281"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rPr>
              <w:t>Kasangulu</w:t>
            </w:r>
          </w:p>
        </w:tc>
        <w:tc>
          <w:tcPr>
            <w:tcW w:w="1163" w:type="dxa"/>
            <w:shd w:val="clear" w:color="auto" w:fill="auto"/>
            <w:vAlign w:val="center"/>
          </w:tcPr>
          <w:p w14:paraId="5A95AFE5"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34</w:t>
            </w:r>
          </w:p>
        </w:tc>
        <w:tc>
          <w:tcPr>
            <w:tcW w:w="1134" w:type="dxa"/>
            <w:shd w:val="clear" w:color="auto" w:fill="auto"/>
            <w:vAlign w:val="center"/>
          </w:tcPr>
          <w:p w14:paraId="3B89C6A6"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4</w:t>
            </w:r>
          </w:p>
        </w:tc>
        <w:tc>
          <w:tcPr>
            <w:tcW w:w="1701" w:type="dxa"/>
            <w:shd w:val="clear" w:color="auto" w:fill="auto"/>
            <w:vAlign w:val="center"/>
          </w:tcPr>
          <w:p w14:paraId="2F969BB5"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11 201</w:t>
            </w:r>
          </w:p>
        </w:tc>
      </w:tr>
      <w:tr w:rsidR="002C66D7" w:rsidRPr="00420C1B" w14:paraId="1D49B942" w14:textId="77777777" w:rsidTr="00420C1B">
        <w:tc>
          <w:tcPr>
            <w:tcW w:w="534" w:type="dxa"/>
            <w:shd w:val="clear" w:color="auto" w:fill="auto"/>
            <w:vAlign w:val="center"/>
          </w:tcPr>
          <w:p w14:paraId="18343914"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lang w:val="en-US"/>
              </w:rPr>
            </w:pPr>
            <w:r w:rsidRPr="00420C1B">
              <w:rPr>
                <w:rFonts w:ascii="Times New Roman" w:hAnsi="Times New Roman"/>
                <w:sz w:val="24"/>
                <w:szCs w:val="24"/>
                <w:lang w:val="en-US"/>
              </w:rPr>
              <w:t>5</w:t>
            </w:r>
          </w:p>
        </w:tc>
        <w:tc>
          <w:tcPr>
            <w:tcW w:w="3260" w:type="dxa"/>
            <w:shd w:val="clear" w:color="auto" w:fill="auto"/>
            <w:vAlign w:val="center"/>
          </w:tcPr>
          <w:p w14:paraId="267E6AAA"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fr-CD"/>
              </w:rPr>
            </w:pPr>
            <w:r w:rsidRPr="00420C1B">
              <w:rPr>
                <w:rFonts w:ascii="Times New Roman" w:hAnsi="Times New Roman"/>
                <w:sz w:val="24"/>
                <w:szCs w:val="24"/>
                <w:lang w:val="fr-CD"/>
              </w:rPr>
              <w:t>C.G.C.D (Entreprise chinoise)</w:t>
            </w:r>
          </w:p>
        </w:tc>
        <w:tc>
          <w:tcPr>
            <w:tcW w:w="1672" w:type="dxa"/>
            <w:shd w:val="clear" w:color="auto" w:fill="auto"/>
            <w:vAlign w:val="center"/>
          </w:tcPr>
          <w:p w14:paraId="5ACED0A6"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Kasangulu</w:t>
            </w:r>
          </w:p>
        </w:tc>
        <w:tc>
          <w:tcPr>
            <w:tcW w:w="1163" w:type="dxa"/>
            <w:shd w:val="clear" w:color="auto" w:fill="auto"/>
            <w:vAlign w:val="center"/>
          </w:tcPr>
          <w:p w14:paraId="4B2768CA"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134" w:type="dxa"/>
            <w:shd w:val="clear" w:color="auto" w:fill="auto"/>
            <w:vAlign w:val="center"/>
          </w:tcPr>
          <w:p w14:paraId="41EBEA38"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701" w:type="dxa"/>
            <w:shd w:val="clear" w:color="auto" w:fill="auto"/>
            <w:vAlign w:val="center"/>
          </w:tcPr>
          <w:p w14:paraId="12854235"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10 570</w:t>
            </w:r>
          </w:p>
        </w:tc>
      </w:tr>
      <w:tr w:rsidR="002C66D7" w:rsidRPr="00420C1B" w14:paraId="15230687" w14:textId="77777777" w:rsidTr="00420C1B">
        <w:tc>
          <w:tcPr>
            <w:tcW w:w="534" w:type="dxa"/>
            <w:shd w:val="clear" w:color="auto" w:fill="auto"/>
            <w:vAlign w:val="center"/>
          </w:tcPr>
          <w:p w14:paraId="3054CFD3"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lang w:val="en-US"/>
              </w:rPr>
            </w:pPr>
            <w:r w:rsidRPr="00420C1B">
              <w:rPr>
                <w:rFonts w:ascii="Times New Roman" w:hAnsi="Times New Roman"/>
                <w:sz w:val="24"/>
                <w:szCs w:val="24"/>
                <w:lang w:val="en-US"/>
              </w:rPr>
              <w:t>6</w:t>
            </w:r>
          </w:p>
        </w:tc>
        <w:tc>
          <w:tcPr>
            <w:tcW w:w="3260" w:type="dxa"/>
            <w:shd w:val="clear" w:color="auto" w:fill="auto"/>
            <w:vAlign w:val="center"/>
          </w:tcPr>
          <w:p w14:paraId="40B5A9FE"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CREC-8 (Entreprise chinoise)</w:t>
            </w:r>
          </w:p>
        </w:tc>
        <w:tc>
          <w:tcPr>
            <w:tcW w:w="1672" w:type="dxa"/>
            <w:shd w:val="clear" w:color="auto" w:fill="auto"/>
            <w:vAlign w:val="center"/>
          </w:tcPr>
          <w:p w14:paraId="14475509"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Kasangulu</w:t>
            </w:r>
          </w:p>
        </w:tc>
        <w:tc>
          <w:tcPr>
            <w:tcW w:w="1163" w:type="dxa"/>
            <w:shd w:val="clear" w:color="auto" w:fill="auto"/>
            <w:vAlign w:val="center"/>
          </w:tcPr>
          <w:p w14:paraId="0F95F2FE"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134" w:type="dxa"/>
            <w:shd w:val="clear" w:color="auto" w:fill="auto"/>
            <w:vAlign w:val="center"/>
          </w:tcPr>
          <w:p w14:paraId="0697C102"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701" w:type="dxa"/>
            <w:shd w:val="clear" w:color="auto" w:fill="auto"/>
            <w:vAlign w:val="center"/>
          </w:tcPr>
          <w:p w14:paraId="06D42F30"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32 900</w:t>
            </w:r>
          </w:p>
        </w:tc>
      </w:tr>
      <w:tr w:rsidR="002C66D7" w:rsidRPr="00420C1B" w14:paraId="7C40719A" w14:textId="77777777" w:rsidTr="00420C1B">
        <w:tc>
          <w:tcPr>
            <w:tcW w:w="534" w:type="dxa"/>
            <w:shd w:val="clear" w:color="auto" w:fill="auto"/>
            <w:vAlign w:val="center"/>
          </w:tcPr>
          <w:p w14:paraId="7BBE2475" w14:textId="77777777" w:rsidR="009C2BB3" w:rsidRPr="00420C1B" w:rsidRDefault="009C2BB3" w:rsidP="00420C1B">
            <w:pPr>
              <w:autoSpaceDE w:val="0"/>
              <w:autoSpaceDN w:val="0"/>
              <w:adjustRightInd w:val="0"/>
              <w:spacing w:after="0" w:line="240" w:lineRule="auto"/>
              <w:jc w:val="center"/>
              <w:rPr>
                <w:rFonts w:ascii="Times New Roman" w:hAnsi="Times New Roman"/>
                <w:sz w:val="24"/>
                <w:szCs w:val="24"/>
                <w:lang w:val="en-US"/>
              </w:rPr>
            </w:pPr>
            <w:r w:rsidRPr="00420C1B">
              <w:rPr>
                <w:rFonts w:ascii="Times New Roman" w:hAnsi="Times New Roman"/>
                <w:sz w:val="24"/>
                <w:szCs w:val="24"/>
                <w:lang w:val="en-US"/>
              </w:rPr>
              <w:t>7</w:t>
            </w:r>
          </w:p>
        </w:tc>
        <w:tc>
          <w:tcPr>
            <w:tcW w:w="3260" w:type="dxa"/>
            <w:shd w:val="clear" w:color="auto" w:fill="auto"/>
            <w:vAlign w:val="center"/>
          </w:tcPr>
          <w:p w14:paraId="48899E48"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ZHENGWEI (Entreprise chinoise)</w:t>
            </w:r>
          </w:p>
        </w:tc>
        <w:tc>
          <w:tcPr>
            <w:tcW w:w="1672" w:type="dxa"/>
            <w:shd w:val="clear" w:color="auto" w:fill="auto"/>
            <w:vAlign w:val="center"/>
          </w:tcPr>
          <w:p w14:paraId="6289FAB5"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Kasangulu</w:t>
            </w:r>
          </w:p>
        </w:tc>
        <w:tc>
          <w:tcPr>
            <w:tcW w:w="1163" w:type="dxa"/>
            <w:shd w:val="clear" w:color="auto" w:fill="auto"/>
            <w:vAlign w:val="center"/>
          </w:tcPr>
          <w:p w14:paraId="6263E7B0"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134" w:type="dxa"/>
            <w:shd w:val="clear" w:color="auto" w:fill="auto"/>
            <w:vAlign w:val="center"/>
          </w:tcPr>
          <w:p w14:paraId="2DBC4765"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p>
        </w:tc>
        <w:tc>
          <w:tcPr>
            <w:tcW w:w="1701" w:type="dxa"/>
            <w:shd w:val="clear" w:color="auto" w:fill="auto"/>
            <w:vAlign w:val="center"/>
          </w:tcPr>
          <w:p w14:paraId="2B0BBC38" w14:textId="77777777" w:rsidR="009C2BB3" w:rsidRPr="00420C1B" w:rsidRDefault="009C2BB3" w:rsidP="00420C1B">
            <w:pPr>
              <w:autoSpaceDE w:val="0"/>
              <w:autoSpaceDN w:val="0"/>
              <w:adjustRightInd w:val="0"/>
              <w:spacing w:after="0" w:line="240" w:lineRule="auto"/>
              <w:rPr>
                <w:rFonts w:ascii="Times New Roman" w:hAnsi="Times New Roman"/>
                <w:sz w:val="24"/>
                <w:szCs w:val="24"/>
                <w:lang w:val="en-US"/>
              </w:rPr>
            </w:pPr>
            <w:r w:rsidRPr="00420C1B">
              <w:rPr>
                <w:rFonts w:ascii="Times New Roman" w:hAnsi="Times New Roman"/>
                <w:sz w:val="24"/>
                <w:szCs w:val="24"/>
                <w:lang w:val="en-US"/>
              </w:rPr>
              <w:t>41 700</w:t>
            </w:r>
          </w:p>
        </w:tc>
      </w:tr>
    </w:tbl>
    <w:p w14:paraId="4F53292A"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lang w:val="en-US"/>
        </w:rPr>
      </w:pPr>
    </w:p>
    <w:p w14:paraId="3DD13ACE" w14:textId="77777777" w:rsidR="00F158FB" w:rsidRDefault="00F158FB" w:rsidP="009C2BB3">
      <w:pPr>
        <w:autoSpaceDE w:val="0"/>
        <w:autoSpaceDN w:val="0"/>
        <w:adjustRightInd w:val="0"/>
        <w:spacing w:before="120" w:after="120" w:line="240" w:lineRule="auto"/>
        <w:jc w:val="both"/>
        <w:rPr>
          <w:rFonts w:ascii="Times New Roman" w:hAnsi="Times New Roman"/>
          <w:sz w:val="24"/>
          <w:szCs w:val="24"/>
          <w:lang w:val="en-US"/>
        </w:rPr>
      </w:pPr>
    </w:p>
    <w:p w14:paraId="680AF02C" w14:textId="77777777" w:rsidR="00B334B1" w:rsidRDefault="00B334B1" w:rsidP="009C2BB3">
      <w:pPr>
        <w:autoSpaceDE w:val="0"/>
        <w:autoSpaceDN w:val="0"/>
        <w:adjustRightInd w:val="0"/>
        <w:spacing w:before="120" w:after="120" w:line="240" w:lineRule="auto"/>
        <w:jc w:val="both"/>
        <w:rPr>
          <w:rFonts w:ascii="Times New Roman" w:hAnsi="Times New Roman"/>
          <w:sz w:val="24"/>
          <w:szCs w:val="24"/>
          <w:lang w:val="en-US"/>
        </w:rPr>
      </w:pPr>
    </w:p>
    <w:p w14:paraId="39F5EA04" w14:textId="77777777" w:rsidR="00084A51" w:rsidRDefault="00084A51" w:rsidP="009C2BB3">
      <w:pPr>
        <w:autoSpaceDE w:val="0"/>
        <w:autoSpaceDN w:val="0"/>
        <w:adjustRightInd w:val="0"/>
        <w:spacing w:before="120" w:after="120" w:line="240" w:lineRule="auto"/>
        <w:jc w:val="both"/>
        <w:rPr>
          <w:rFonts w:ascii="Times New Roman" w:hAnsi="Times New Roman"/>
          <w:sz w:val="24"/>
          <w:szCs w:val="24"/>
          <w:lang w:val="en-US"/>
        </w:rPr>
      </w:pPr>
    </w:p>
    <w:p w14:paraId="2A1F6077" w14:textId="77777777" w:rsidR="00084A51" w:rsidRPr="00C738C5" w:rsidRDefault="00084A51" w:rsidP="009C2BB3">
      <w:pPr>
        <w:autoSpaceDE w:val="0"/>
        <w:autoSpaceDN w:val="0"/>
        <w:adjustRightInd w:val="0"/>
        <w:spacing w:before="120" w:after="120" w:line="240" w:lineRule="auto"/>
        <w:jc w:val="both"/>
        <w:rPr>
          <w:rFonts w:ascii="Times New Roman" w:hAnsi="Times New Roman"/>
          <w:sz w:val="24"/>
          <w:szCs w:val="24"/>
          <w:lang w:val="en-US"/>
        </w:rPr>
      </w:pPr>
    </w:p>
    <w:p w14:paraId="445F12CA" w14:textId="77777777" w:rsidR="009C2BB3" w:rsidRPr="00C738C5" w:rsidRDefault="009C2BB3" w:rsidP="009C2BB3">
      <w:pPr>
        <w:autoSpaceDE w:val="0"/>
        <w:autoSpaceDN w:val="0"/>
        <w:adjustRightInd w:val="0"/>
        <w:spacing w:before="120" w:after="120" w:line="240" w:lineRule="auto"/>
        <w:jc w:val="both"/>
        <w:rPr>
          <w:rFonts w:ascii="Times New Roman" w:hAnsi="Times New Roman"/>
          <w:b/>
          <w:sz w:val="24"/>
          <w:szCs w:val="24"/>
        </w:rPr>
      </w:pPr>
      <w:r w:rsidRPr="00C738C5">
        <w:rPr>
          <w:rFonts w:ascii="Times New Roman" w:hAnsi="Times New Roman"/>
          <w:b/>
          <w:i/>
          <w:sz w:val="24"/>
          <w:szCs w:val="24"/>
        </w:rPr>
        <w:t>Conditions d’exploitation des matériaux au niveau des carrières d’emprunt</w:t>
      </w:r>
    </w:p>
    <w:p w14:paraId="0E60A3C1"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Conformément à la Loi n°</w:t>
      </w:r>
      <w:r w:rsidRPr="00C738C5">
        <w:rPr>
          <w:rFonts w:ascii="Times New Roman" w:hAnsi="Times New Roman"/>
          <w:sz w:val="24"/>
          <w:szCs w:val="24"/>
        </w:rPr>
        <w:t xml:space="preserve"> 007/2002 </w:t>
      </w:r>
      <w:r w:rsidRPr="00D747CE">
        <w:rPr>
          <w:rFonts w:ascii="Times New Roman" w:hAnsi="Times New Roman"/>
          <w:sz w:val="24"/>
          <w:szCs w:val="24"/>
        </w:rPr>
        <w:t xml:space="preserve">du </w:t>
      </w:r>
      <w:r w:rsidRPr="00C738C5">
        <w:rPr>
          <w:rFonts w:ascii="Times New Roman" w:hAnsi="Times New Roman"/>
          <w:sz w:val="24"/>
          <w:szCs w:val="24"/>
        </w:rPr>
        <w:t xml:space="preserve">11 </w:t>
      </w:r>
      <w:r w:rsidRPr="00D747CE">
        <w:rPr>
          <w:rFonts w:ascii="Times New Roman" w:hAnsi="Times New Roman"/>
          <w:sz w:val="24"/>
          <w:szCs w:val="24"/>
        </w:rPr>
        <w:t xml:space="preserve">juillet </w:t>
      </w:r>
      <w:r w:rsidRPr="00C738C5">
        <w:rPr>
          <w:rFonts w:ascii="Times New Roman" w:hAnsi="Times New Roman"/>
          <w:sz w:val="24"/>
          <w:szCs w:val="24"/>
        </w:rPr>
        <w:t xml:space="preserve">2002 </w:t>
      </w:r>
      <w:r w:rsidRPr="00D747CE">
        <w:rPr>
          <w:rFonts w:ascii="Times New Roman" w:hAnsi="Times New Roman"/>
          <w:sz w:val="24"/>
          <w:szCs w:val="24"/>
        </w:rPr>
        <w:t xml:space="preserve">portant Code Minier </w:t>
      </w:r>
      <w:r>
        <w:rPr>
          <w:rFonts w:ascii="Times New Roman" w:hAnsi="Times New Roman"/>
          <w:sz w:val="24"/>
          <w:szCs w:val="24"/>
        </w:rPr>
        <w:t>en vigueur en RDC, l’ouverture d’une carrière d’emprunt est assujettit à l’obtention du titre de concession minier délivré par le service de Cadastre minier. L’exploitation de la carrière est assujettit à l’élaboration d’une EIES assortie de son Plan de Gestion Environnementale et Sociale du Projet. Les études environnementales dans le secteur minier sont validées par la Direction de la Protection de l’Environnement Minier (DPEM).</w:t>
      </w:r>
    </w:p>
    <w:p w14:paraId="2C76EAD2"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Le transport des matériaux des carrières est également soumis aux conditions de la Loi n°</w:t>
      </w:r>
      <w:r w:rsidRPr="00A920BC">
        <w:rPr>
          <w:rFonts w:ascii="Times New Roman" w:hAnsi="Times New Roman"/>
          <w:sz w:val="24"/>
          <w:szCs w:val="24"/>
        </w:rPr>
        <w:t xml:space="preserve"> 007/2002 </w:t>
      </w:r>
      <w:r w:rsidRPr="00D747CE">
        <w:rPr>
          <w:rFonts w:ascii="Times New Roman" w:hAnsi="Times New Roman"/>
          <w:sz w:val="24"/>
          <w:szCs w:val="24"/>
        </w:rPr>
        <w:t xml:space="preserve">du </w:t>
      </w:r>
      <w:r w:rsidRPr="00A920BC">
        <w:rPr>
          <w:rFonts w:ascii="Times New Roman" w:hAnsi="Times New Roman"/>
          <w:sz w:val="24"/>
          <w:szCs w:val="24"/>
        </w:rPr>
        <w:t xml:space="preserve">11 </w:t>
      </w:r>
      <w:r w:rsidRPr="00D747CE">
        <w:rPr>
          <w:rFonts w:ascii="Times New Roman" w:hAnsi="Times New Roman"/>
          <w:sz w:val="24"/>
          <w:szCs w:val="24"/>
        </w:rPr>
        <w:t xml:space="preserve">juillet </w:t>
      </w:r>
      <w:r w:rsidRPr="00A920BC">
        <w:rPr>
          <w:rFonts w:ascii="Times New Roman" w:hAnsi="Times New Roman"/>
          <w:sz w:val="24"/>
          <w:szCs w:val="24"/>
        </w:rPr>
        <w:t>2002</w:t>
      </w:r>
      <w:r>
        <w:rPr>
          <w:rFonts w:ascii="Times New Roman" w:hAnsi="Times New Roman"/>
          <w:sz w:val="24"/>
          <w:szCs w:val="24"/>
        </w:rPr>
        <w:t xml:space="preserve"> et au Code minier. Le règlement minier impose l’actualisation de l’EIES tous les 5 ans ; l’élaboration du plan d’atténuation et de réhabilitation tous les 2 ans et chaque année d’un rapport annuel de mise en œuvre des mesures environnementale et sociale devant être transmis à la DPEM. Le règlement minier prévoit également la réalisation de l’audit environnemental et social chaque quinquennat.   </w:t>
      </w:r>
    </w:p>
    <w:p w14:paraId="691B4D9B"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sidRPr="00D75D2E">
        <w:rPr>
          <w:rFonts w:ascii="Times New Roman" w:hAnsi="Times New Roman"/>
          <w:sz w:val="24"/>
          <w:szCs w:val="24"/>
          <w:u w:val="single"/>
        </w:rPr>
        <w:t xml:space="preserve">Pour ce qui est du sable, </w:t>
      </w:r>
      <w:r w:rsidRPr="00D75D2E">
        <w:rPr>
          <w:rFonts w:ascii="Times New Roman" w:hAnsi="Times New Roman"/>
          <w:sz w:val="24"/>
          <w:szCs w:val="24"/>
        </w:rPr>
        <w:t>le projet va nécessiter du sable pour fabriquer du béton devant servir au coulage du socle des supports des poteaux et les massifs en béton pour la fondation des différentes cabines compactes. L’approvisionnement en sable se fera à partir des carrières de Kinsuka, Kingatoko et N’djili CECOMAF dans la ville de Kinshasa. Il s’agit des sables extraits des cours d’eau, notamment : la rivière N</w:t>
      </w:r>
      <w:r>
        <w:rPr>
          <w:rFonts w:ascii="Times New Roman" w:hAnsi="Times New Roman"/>
          <w:sz w:val="24"/>
          <w:szCs w:val="24"/>
        </w:rPr>
        <w:t>’</w:t>
      </w:r>
      <w:r w:rsidRPr="00D75D2E">
        <w:rPr>
          <w:rFonts w:ascii="Times New Roman" w:hAnsi="Times New Roman"/>
          <w:sz w:val="24"/>
          <w:szCs w:val="24"/>
        </w:rPr>
        <w:t>djili, Lukaya</w:t>
      </w:r>
      <w:r>
        <w:rPr>
          <w:rFonts w:ascii="Times New Roman" w:hAnsi="Times New Roman"/>
          <w:sz w:val="24"/>
          <w:szCs w:val="24"/>
        </w:rPr>
        <w:t>, Funa</w:t>
      </w:r>
      <w:r w:rsidRPr="00D75D2E">
        <w:rPr>
          <w:rFonts w:ascii="Times New Roman" w:hAnsi="Times New Roman"/>
          <w:sz w:val="24"/>
          <w:szCs w:val="24"/>
        </w:rPr>
        <w:t xml:space="preserve"> et Binza. </w:t>
      </w:r>
    </w:p>
    <w:p w14:paraId="577D32E9" w14:textId="77777777" w:rsidR="009C2BB3" w:rsidRPr="00A920BC" w:rsidRDefault="009C2BB3" w:rsidP="009C2BB3">
      <w:pPr>
        <w:autoSpaceDE w:val="0"/>
        <w:autoSpaceDN w:val="0"/>
        <w:adjustRightInd w:val="0"/>
        <w:spacing w:before="120" w:after="120" w:line="240" w:lineRule="auto"/>
        <w:jc w:val="both"/>
        <w:rPr>
          <w:rFonts w:ascii="Times New Roman" w:hAnsi="Times New Roman"/>
          <w:b/>
          <w:sz w:val="24"/>
          <w:szCs w:val="24"/>
        </w:rPr>
      </w:pPr>
      <w:r w:rsidRPr="00A920BC">
        <w:rPr>
          <w:rFonts w:ascii="Times New Roman" w:hAnsi="Times New Roman"/>
          <w:b/>
          <w:i/>
          <w:sz w:val="24"/>
          <w:szCs w:val="24"/>
        </w:rPr>
        <w:t>Conditions d’exploitation des matériaux au niveau des carrières d’emprunt</w:t>
      </w:r>
    </w:p>
    <w:p w14:paraId="7916FB4B"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Conformément à la Loi n°</w:t>
      </w:r>
      <w:r w:rsidRPr="00A920BC">
        <w:rPr>
          <w:rFonts w:ascii="Times New Roman" w:hAnsi="Times New Roman"/>
          <w:sz w:val="24"/>
          <w:szCs w:val="24"/>
        </w:rPr>
        <w:t xml:space="preserve"> 007/2002 </w:t>
      </w:r>
      <w:r w:rsidRPr="00D747CE">
        <w:rPr>
          <w:rFonts w:ascii="Times New Roman" w:hAnsi="Times New Roman"/>
          <w:sz w:val="24"/>
          <w:szCs w:val="24"/>
        </w:rPr>
        <w:t xml:space="preserve">du </w:t>
      </w:r>
      <w:r w:rsidRPr="00A920BC">
        <w:rPr>
          <w:rFonts w:ascii="Times New Roman" w:hAnsi="Times New Roman"/>
          <w:sz w:val="24"/>
          <w:szCs w:val="24"/>
        </w:rPr>
        <w:t xml:space="preserve">11 </w:t>
      </w:r>
      <w:r w:rsidRPr="00D747CE">
        <w:rPr>
          <w:rFonts w:ascii="Times New Roman" w:hAnsi="Times New Roman"/>
          <w:sz w:val="24"/>
          <w:szCs w:val="24"/>
        </w:rPr>
        <w:t xml:space="preserve">juillet </w:t>
      </w:r>
      <w:r w:rsidRPr="00A920BC">
        <w:rPr>
          <w:rFonts w:ascii="Times New Roman" w:hAnsi="Times New Roman"/>
          <w:sz w:val="24"/>
          <w:szCs w:val="24"/>
        </w:rPr>
        <w:t xml:space="preserve">2002 </w:t>
      </w:r>
      <w:r w:rsidRPr="00D747CE">
        <w:rPr>
          <w:rFonts w:ascii="Times New Roman" w:hAnsi="Times New Roman"/>
          <w:sz w:val="24"/>
          <w:szCs w:val="24"/>
        </w:rPr>
        <w:t xml:space="preserve">portant Code Minier </w:t>
      </w:r>
      <w:r>
        <w:rPr>
          <w:rFonts w:ascii="Times New Roman" w:hAnsi="Times New Roman"/>
          <w:sz w:val="24"/>
          <w:szCs w:val="24"/>
        </w:rPr>
        <w:t>en vigueur en RDC, l’exploitation d’une carrière sablière est régie par le décret n°038/2003 du 26 mars 2003 portant règlement minier.</w:t>
      </w:r>
    </w:p>
    <w:p w14:paraId="01B3669C"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 xml:space="preserve">Cependant, la plupart des carrières des sables exploités artisanalement ne respectent pas les conditions requises par le code et règlement minier. Dans ce carrière où les sables sont extraits des cours d’eau des rivières telles que : N’djili, Lukaya, Binza, Funa, Bitshaku-tshaku, les personnes mineures et adultes y font l’extraction des sables. </w:t>
      </w:r>
    </w:p>
    <w:p w14:paraId="5A74139C"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r>
        <w:rPr>
          <w:rFonts w:ascii="Times New Roman" w:hAnsi="Times New Roman"/>
          <w:sz w:val="24"/>
          <w:szCs w:val="24"/>
        </w:rPr>
        <w:t xml:space="preserve">De ce fait, les entrepreneurs privilégieront les carrières formelles pour l’achat des matériaux et élaboreront à cet effet, un plan de gestion des carrières et un plan de gestion routière avant le démarrage des travaux. Ces plans seront validés par la mission de contrôle, UCM et SNEL et enfin soumis à la Banque mondiale pour avis de non-objection avant le début des travaux. </w:t>
      </w:r>
    </w:p>
    <w:p w14:paraId="32213692"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p>
    <w:p w14:paraId="3F3742ED" w14:textId="77777777" w:rsidR="009C2BB3" w:rsidRDefault="009C2BB3" w:rsidP="009C2BB3">
      <w:pPr>
        <w:autoSpaceDE w:val="0"/>
        <w:autoSpaceDN w:val="0"/>
        <w:adjustRightInd w:val="0"/>
        <w:spacing w:before="120" w:after="120" w:line="240" w:lineRule="auto"/>
        <w:jc w:val="both"/>
        <w:rPr>
          <w:rFonts w:ascii="Times New Roman" w:hAnsi="Times New Roman"/>
          <w:sz w:val="24"/>
          <w:szCs w:val="24"/>
        </w:rPr>
      </w:pPr>
    </w:p>
    <w:p w14:paraId="2A0DF1C8" w14:textId="62A1498C" w:rsidR="00DD0065" w:rsidRDefault="00DD0065" w:rsidP="00C959F4">
      <w:pPr>
        <w:autoSpaceDE w:val="0"/>
        <w:autoSpaceDN w:val="0"/>
        <w:adjustRightInd w:val="0"/>
        <w:spacing w:before="120" w:after="120" w:line="240" w:lineRule="auto"/>
        <w:jc w:val="both"/>
        <w:rPr>
          <w:rFonts w:ascii="Times New Roman" w:hAnsi="Times New Roman"/>
          <w:sz w:val="24"/>
          <w:szCs w:val="24"/>
        </w:rPr>
      </w:pPr>
    </w:p>
    <w:p w14:paraId="608F5A4C" w14:textId="23F955CC" w:rsidR="00DD0065" w:rsidRDefault="00DD0065" w:rsidP="00C959F4">
      <w:pPr>
        <w:autoSpaceDE w:val="0"/>
        <w:autoSpaceDN w:val="0"/>
        <w:adjustRightInd w:val="0"/>
        <w:spacing w:before="120" w:after="120" w:line="240" w:lineRule="auto"/>
        <w:jc w:val="both"/>
        <w:rPr>
          <w:rFonts w:ascii="Times New Roman" w:hAnsi="Times New Roman"/>
          <w:sz w:val="24"/>
          <w:szCs w:val="24"/>
        </w:rPr>
      </w:pPr>
    </w:p>
    <w:p w14:paraId="2F5D29A9" w14:textId="65FF04D7" w:rsidR="00DD0065" w:rsidRDefault="00DD0065" w:rsidP="00C959F4">
      <w:pPr>
        <w:autoSpaceDE w:val="0"/>
        <w:autoSpaceDN w:val="0"/>
        <w:adjustRightInd w:val="0"/>
        <w:spacing w:before="120" w:after="120" w:line="240" w:lineRule="auto"/>
        <w:jc w:val="both"/>
        <w:rPr>
          <w:rFonts w:ascii="Times New Roman" w:hAnsi="Times New Roman"/>
          <w:sz w:val="24"/>
          <w:szCs w:val="24"/>
        </w:rPr>
      </w:pPr>
    </w:p>
    <w:p w14:paraId="2F177869" w14:textId="77777777" w:rsidR="003D69DE" w:rsidRPr="00420C1B" w:rsidRDefault="003D69DE" w:rsidP="00AE31F1">
      <w:pPr>
        <w:spacing w:before="120" w:after="0" w:line="240" w:lineRule="auto"/>
        <w:jc w:val="center"/>
        <w:rPr>
          <w:color w:val="000000"/>
        </w:rPr>
      </w:pPr>
    </w:p>
    <w:p w14:paraId="32732BE3" w14:textId="77777777" w:rsidR="00795B42" w:rsidRPr="00D75D2E" w:rsidRDefault="00795B42">
      <w:pPr>
        <w:rPr>
          <w:rFonts w:ascii="Times New Roman" w:hAnsi="Times New Roman"/>
          <w:sz w:val="24"/>
          <w:szCs w:val="24"/>
        </w:rPr>
      </w:pPr>
    </w:p>
    <w:p w14:paraId="076771D8" w14:textId="77777777" w:rsidR="00D61927" w:rsidRDefault="00D61927" w:rsidP="00AE31F1">
      <w:pPr>
        <w:pStyle w:val="Titre1"/>
        <w:numPr>
          <w:ilvl w:val="0"/>
          <w:numId w:val="54"/>
        </w:numPr>
        <w:spacing w:after="120"/>
        <w:ind w:left="357" w:hanging="357"/>
        <w:sectPr w:rsidR="00D61927" w:rsidSect="00360D1B">
          <w:pgSz w:w="11906" w:h="16838"/>
          <w:pgMar w:top="1417" w:right="1418" w:bottom="1417" w:left="1133" w:header="709" w:footer="709" w:gutter="0"/>
          <w:cols w:space="708"/>
          <w:docGrid w:linePitch="360"/>
        </w:sectPr>
      </w:pPr>
    </w:p>
    <w:p w14:paraId="26871ECC" w14:textId="77777777" w:rsidR="00D57D96" w:rsidRPr="00D75D2E" w:rsidRDefault="00CF6488" w:rsidP="00215867">
      <w:pPr>
        <w:pStyle w:val="Titre1"/>
        <w:numPr>
          <w:ilvl w:val="0"/>
          <w:numId w:val="54"/>
        </w:numPr>
        <w:spacing w:before="0" w:after="120"/>
        <w:ind w:left="357" w:hanging="357"/>
      </w:pPr>
      <w:bookmarkStart w:id="425" w:name="_Toc103685631"/>
      <w:r w:rsidRPr="00D75D2E">
        <w:t>DONNEES DE BASE</w:t>
      </w:r>
      <w:bookmarkStart w:id="426" w:name="_Hlk516371968"/>
      <w:bookmarkEnd w:id="425"/>
    </w:p>
    <w:p w14:paraId="28B53BD9" w14:textId="77777777" w:rsidR="00CF6488" w:rsidRPr="00D75D2E" w:rsidRDefault="00CF6488" w:rsidP="00AE31F1">
      <w:pPr>
        <w:pStyle w:val="Paragraphedeliste"/>
        <w:keepNext/>
        <w:keepLines/>
        <w:numPr>
          <w:ilvl w:val="1"/>
          <w:numId w:val="54"/>
        </w:numPr>
        <w:tabs>
          <w:tab w:val="left" w:pos="851"/>
        </w:tabs>
        <w:spacing w:before="120" w:after="120" w:line="20" w:lineRule="atLeast"/>
        <w:contextualSpacing w:val="0"/>
        <w:outlineLvl w:val="1"/>
        <w:rPr>
          <w:rFonts w:ascii="Times New Roman" w:eastAsia="Times New Roman" w:hAnsi="Times New Roman"/>
          <w:b/>
          <w:sz w:val="24"/>
          <w:szCs w:val="24"/>
        </w:rPr>
      </w:pPr>
      <w:bookmarkStart w:id="427" w:name="_Toc519050451"/>
      <w:bookmarkStart w:id="428" w:name="_Toc103685632"/>
      <w:r w:rsidRPr="00D75D2E">
        <w:rPr>
          <w:rFonts w:ascii="Times New Roman" w:eastAsia="Times New Roman" w:hAnsi="Times New Roman"/>
          <w:b/>
          <w:sz w:val="24"/>
          <w:szCs w:val="24"/>
        </w:rPr>
        <w:t>Situation géographique du projet</w:t>
      </w:r>
      <w:bookmarkEnd w:id="427"/>
      <w:bookmarkEnd w:id="428"/>
    </w:p>
    <w:p w14:paraId="4BC5AF1A" w14:textId="77777777" w:rsidR="00CF6488" w:rsidRPr="00D75D2E" w:rsidRDefault="00CF6488"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Les travaux d’électrification des poches noires, d’assainissement, de réhabilitation et de mise en conformité des réseaux SNEL des Directions de Kinshasa Centre et Ouest (DKC/DKO), objet de la présente étude concerne les Communes de Kalamu, Bumbu, Mont-Ngafula, Selembao, Ngiri-Ngiri, Makala, Bandalungwa, Kintambo, Ngaliema et Barumbu.</w:t>
      </w:r>
    </w:p>
    <w:p w14:paraId="79DB45EB" w14:textId="77777777" w:rsidR="00CF6488" w:rsidRPr="00D75D2E" w:rsidRDefault="00CF6488"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La figure </w:t>
      </w:r>
      <w:r w:rsidR="00EF6C10">
        <w:rPr>
          <w:rFonts w:ascii="Times New Roman" w:hAnsi="Times New Roman"/>
          <w:sz w:val="24"/>
          <w:szCs w:val="24"/>
        </w:rPr>
        <w:t>1</w:t>
      </w:r>
      <w:r w:rsidRPr="00D75D2E">
        <w:rPr>
          <w:rFonts w:ascii="Times New Roman" w:hAnsi="Times New Roman"/>
          <w:sz w:val="24"/>
          <w:szCs w:val="24"/>
        </w:rPr>
        <w:t xml:space="preserve"> présente la localisation de la zone d’étude.</w:t>
      </w:r>
    </w:p>
    <w:p w14:paraId="6C164187" w14:textId="77777777" w:rsidR="00CF6488" w:rsidRPr="00E737B4" w:rsidRDefault="00CF6488" w:rsidP="00E737B4">
      <w:pPr>
        <w:pStyle w:val="Lgende"/>
        <w:keepNext/>
        <w:spacing w:before="120" w:after="120" w:line="20" w:lineRule="atLeast"/>
        <w:jc w:val="center"/>
        <w:rPr>
          <w:noProof/>
          <w:color w:val="auto"/>
          <w:sz w:val="24"/>
        </w:rPr>
      </w:pPr>
      <w:bookmarkStart w:id="429" w:name="_Toc93050528"/>
      <w:r w:rsidRPr="00E737B4">
        <w:rPr>
          <w:color w:val="auto"/>
          <w:sz w:val="24"/>
        </w:rPr>
        <w:t xml:space="preserve">Figure </w:t>
      </w:r>
      <w:r w:rsidRPr="00E737B4">
        <w:rPr>
          <w:noProof/>
          <w:color w:val="auto"/>
          <w:sz w:val="24"/>
        </w:rPr>
        <w:fldChar w:fldCharType="begin"/>
      </w:r>
      <w:r w:rsidRPr="00E737B4">
        <w:rPr>
          <w:noProof/>
          <w:color w:val="auto"/>
          <w:sz w:val="24"/>
        </w:rPr>
        <w:instrText xml:space="preserve"> SEQ Figure \* ARABIC </w:instrText>
      </w:r>
      <w:r w:rsidRPr="00E737B4">
        <w:rPr>
          <w:noProof/>
          <w:color w:val="auto"/>
          <w:sz w:val="24"/>
        </w:rPr>
        <w:fldChar w:fldCharType="separate"/>
      </w:r>
      <w:r w:rsidR="000F2319" w:rsidRPr="00E737B4">
        <w:rPr>
          <w:noProof/>
          <w:color w:val="auto"/>
          <w:sz w:val="24"/>
        </w:rPr>
        <w:t>1</w:t>
      </w:r>
      <w:r w:rsidRPr="00E737B4">
        <w:rPr>
          <w:noProof/>
          <w:color w:val="auto"/>
          <w:sz w:val="24"/>
        </w:rPr>
        <w:fldChar w:fldCharType="end"/>
      </w:r>
      <w:r w:rsidRPr="00E737B4">
        <w:rPr>
          <w:noProof/>
          <w:color w:val="auto"/>
          <w:sz w:val="24"/>
        </w:rPr>
        <w:t xml:space="preserve"> : Localisation de la zone d’intervention du sous projet</w:t>
      </w:r>
      <w:bookmarkEnd w:id="429"/>
    </w:p>
    <w:p w14:paraId="2CDCCD4F" w14:textId="5B745576" w:rsidR="00CF6488" w:rsidRPr="00D75D2E" w:rsidRDefault="002C66D7" w:rsidP="00CF6488">
      <w:pPr>
        <w:pStyle w:val="Default"/>
        <w:jc w:val="center"/>
        <w:rPr>
          <w:color w:val="auto"/>
        </w:rPr>
      </w:pPr>
      <w:r w:rsidRPr="00420C1B">
        <w:rPr>
          <w:noProof/>
          <w:color w:val="auto"/>
        </w:rPr>
        <w:drawing>
          <wp:inline distT="0" distB="0" distL="0" distR="0" wp14:anchorId="1D232180" wp14:editId="6FD863AA">
            <wp:extent cx="5762625" cy="4181475"/>
            <wp:effectExtent l="0" t="0" r="9525" b="9525"/>
            <wp:docPr id="48" name="Image 129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6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4181475"/>
                    </a:xfrm>
                    <a:prstGeom prst="rect">
                      <a:avLst/>
                    </a:prstGeom>
                    <a:noFill/>
                    <a:ln>
                      <a:noFill/>
                    </a:ln>
                  </pic:spPr>
                </pic:pic>
              </a:graphicData>
            </a:graphic>
          </wp:inline>
        </w:drawing>
      </w:r>
    </w:p>
    <w:p w14:paraId="2DBD0D84" w14:textId="77777777" w:rsidR="00CF6488" w:rsidRPr="00E737B4" w:rsidRDefault="00CF6488" w:rsidP="00E737B4">
      <w:pPr>
        <w:pStyle w:val="Default"/>
        <w:spacing w:before="120"/>
        <w:jc w:val="center"/>
        <w:rPr>
          <w:i/>
          <w:iCs/>
          <w:color w:val="auto"/>
          <w:szCs w:val="22"/>
        </w:rPr>
      </w:pPr>
      <w:r w:rsidRPr="00E737B4">
        <w:rPr>
          <w:i/>
          <w:iCs/>
          <w:color w:val="auto"/>
          <w:szCs w:val="22"/>
        </w:rPr>
        <w:t>Sources : Base de données du RGC/RDC, 2015;  Données AGC 2019 et Relevés  GPS terrain,</w:t>
      </w:r>
      <w:r w:rsidR="00D61927">
        <w:rPr>
          <w:i/>
          <w:iCs/>
          <w:color w:val="auto"/>
          <w:szCs w:val="22"/>
        </w:rPr>
        <w:t xml:space="preserve"> </w:t>
      </w:r>
      <w:r w:rsidRPr="00E737B4">
        <w:rPr>
          <w:i/>
          <w:iCs/>
          <w:color w:val="auto"/>
          <w:szCs w:val="22"/>
        </w:rPr>
        <w:t>2021</w:t>
      </w:r>
    </w:p>
    <w:p w14:paraId="48BC552C" w14:textId="77777777" w:rsidR="008315E5" w:rsidRPr="00D75D2E" w:rsidRDefault="008315E5" w:rsidP="00AE31F1">
      <w:pPr>
        <w:pStyle w:val="Paragraphedeliste"/>
        <w:keepNext/>
        <w:keepLines/>
        <w:numPr>
          <w:ilvl w:val="1"/>
          <w:numId w:val="54"/>
        </w:numPr>
        <w:tabs>
          <w:tab w:val="left" w:pos="851"/>
        </w:tabs>
        <w:spacing w:before="120" w:after="120" w:line="240" w:lineRule="auto"/>
        <w:ind w:hanging="508"/>
        <w:contextualSpacing w:val="0"/>
        <w:outlineLvl w:val="1"/>
        <w:rPr>
          <w:rFonts w:ascii="Times New Roman" w:eastAsia="Times New Roman" w:hAnsi="Times New Roman"/>
          <w:b/>
          <w:sz w:val="24"/>
          <w:szCs w:val="24"/>
        </w:rPr>
      </w:pPr>
      <w:bookmarkStart w:id="430" w:name="_Toc103685633"/>
      <w:r w:rsidRPr="00D75D2E">
        <w:rPr>
          <w:rFonts w:ascii="Times New Roman" w:eastAsia="Times New Roman" w:hAnsi="Times New Roman"/>
          <w:b/>
          <w:sz w:val="24"/>
          <w:szCs w:val="24"/>
        </w:rPr>
        <w:t>Zone d’influence du projet</w:t>
      </w:r>
      <w:bookmarkEnd w:id="430"/>
    </w:p>
    <w:p w14:paraId="7C1C591D" w14:textId="77777777" w:rsidR="008315E5" w:rsidRPr="00D75D2E" w:rsidRDefault="008315E5" w:rsidP="00E737B4">
      <w:pPr>
        <w:spacing w:before="120" w:after="120" w:line="240" w:lineRule="auto"/>
        <w:jc w:val="both"/>
        <w:rPr>
          <w:rFonts w:ascii="Times New Roman" w:hAnsi="Times New Roman"/>
          <w:iCs/>
          <w:sz w:val="24"/>
          <w:szCs w:val="24"/>
        </w:rPr>
      </w:pPr>
      <w:r w:rsidRPr="00D75D2E">
        <w:rPr>
          <w:rFonts w:ascii="Times New Roman" w:hAnsi="Times New Roman"/>
          <w:iCs/>
          <w:sz w:val="24"/>
          <w:szCs w:val="24"/>
        </w:rPr>
        <w:t>Les tracés des lignes traverseront dix (10) communes de la ville-province de Kinshasa à savoir Kalamu, Bumbu, Mont-Ngafula, Selembao, Ngiri-Ngiri, Makala, Bandalungwa, Kintambo, Ngaliema et Barumbu</w:t>
      </w:r>
    </w:p>
    <w:p w14:paraId="6693AF75" w14:textId="77777777" w:rsidR="008315E5" w:rsidRPr="00D75D2E" w:rsidRDefault="008315E5"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Ainsi, la zone d’influence du présent projet se répartit en trois axes :  </w:t>
      </w:r>
    </w:p>
    <w:p w14:paraId="4ABF1A82" w14:textId="77777777" w:rsidR="008315E5" w:rsidRPr="00D75D2E" w:rsidRDefault="008315E5" w:rsidP="00D61927">
      <w:pPr>
        <w:numPr>
          <w:ilvl w:val="0"/>
          <w:numId w:val="1"/>
        </w:numPr>
        <w:spacing w:after="0" w:line="240" w:lineRule="auto"/>
        <w:ind w:left="709" w:hanging="425"/>
        <w:jc w:val="both"/>
        <w:rPr>
          <w:rFonts w:ascii="Times New Roman" w:hAnsi="Times New Roman"/>
          <w:iCs/>
          <w:sz w:val="24"/>
          <w:szCs w:val="24"/>
        </w:rPr>
      </w:pPr>
      <w:r w:rsidRPr="00D75D2E">
        <w:rPr>
          <w:rFonts w:ascii="Times New Roman" w:hAnsi="Times New Roman"/>
          <w:iCs/>
          <w:sz w:val="24"/>
          <w:szCs w:val="24"/>
        </w:rPr>
        <w:t>la zone d’influence directe qui correspond à l’emprise des lignes et des cabines ainsi que les quartiers traversés ;</w:t>
      </w:r>
    </w:p>
    <w:p w14:paraId="2068C27F" w14:textId="77777777" w:rsidR="008315E5" w:rsidRPr="00D75D2E" w:rsidRDefault="008315E5" w:rsidP="00D61927">
      <w:pPr>
        <w:numPr>
          <w:ilvl w:val="0"/>
          <w:numId w:val="1"/>
        </w:numPr>
        <w:spacing w:after="0" w:line="240" w:lineRule="auto"/>
        <w:ind w:left="709" w:hanging="425"/>
        <w:jc w:val="both"/>
        <w:rPr>
          <w:rFonts w:ascii="Times New Roman" w:hAnsi="Times New Roman"/>
          <w:iCs/>
          <w:sz w:val="24"/>
          <w:szCs w:val="24"/>
        </w:rPr>
      </w:pPr>
      <w:r w:rsidRPr="00D75D2E">
        <w:rPr>
          <w:rFonts w:ascii="Times New Roman" w:hAnsi="Times New Roman"/>
          <w:iCs/>
          <w:sz w:val="24"/>
          <w:szCs w:val="24"/>
        </w:rPr>
        <w:t xml:space="preserve">la zone d’influence locale qui correspond aux dix (10) communes abritant le projet à savoir : Kalamu, Bumbu, Mont-Ngafula, Selembao, Ngiri-Ngiri, Makala, Bandalungwa, Kintambo, Ngaliema et Barumbu; </w:t>
      </w:r>
    </w:p>
    <w:p w14:paraId="6DFA50BC" w14:textId="77777777" w:rsidR="008315E5" w:rsidRPr="00D75D2E" w:rsidRDefault="008315E5" w:rsidP="00E737B4">
      <w:pPr>
        <w:numPr>
          <w:ilvl w:val="0"/>
          <w:numId w:val="1"/>
        </w:numPr>
        <w:spacing w:after="0" w:line="240" w:lineRule="auto"/>
        <w:ind w:left="709" w:hanging="425"/>
        <w:jc w:val="both"/>
        <w:rPr>
          <w:rFonts w:ascii="Times New Roman" w:hAnsi="Times New Roman"/>
          <w:iCs/>
          <w:sz w:val="24"/>
          <w:szCs w:val="24"/>
        </w:rPr>
      </w:pPr>
      <w:r w:rsidRPr="00D75D2E">
        <w:rPr>
          <w:rFonts w:ascii="Times New Roman" w:hAnsi="Times New Roman"/>
          <w:iCs/>
          <w:sz w:val="24"/>
          <w:szCs w:val="24"/>
        </w:rPr>
        <w:t>la zone d’influence générale qui concerne à la ville- provinciale de Kinshasa et ses environnants.</w:t>
      </w:r>
    </w:p>
    <w:p w14:paraId="36F82AE4" w14:textId="77777777" w:rsidR="008315E5" w:rsidRPr="00D75D2E" w:rsidRDefault="008315E5" w:rsidP="008315E5">
      <w:pPr>
        <w:spacing w:after="0" w:line="240" w:lineRule="auto"/>
        <w:jc w:val="both"/>
        <w:rPr>
          <w:rFonts w:ascii="Times New Roman" w:hAnsi="Times New Roman"/>
          <w:sz w:val="24"/>
          <w:szCs w:val="24"/>
        </w:rPr>
      </w:pPr>
    </w:p>
    <w:p w14:paraId="69924A90" w14:textId="77777777" w:rsidR="00D57D96" w:rsidRPr="00D75D2E" w:rsidRDefault="00D57D96" w:rsidP="00AE31F1">
      <w:pPr>
        <w:pStyle w:val="Paragraphedeliste"/>
        <w:keepNext/>
        <w:keepLines/>
        <w:numPr>
          <w:ilvl w:val="1"/>
          <w:numId w:val="54"/>
        </w:numPr>
        <w:tabs>
          <w:tab w:val="left" w:pos="851"/>
        </w:tabs>
        <w:spacing w:before="120" w:after="120" w:line="240" w:lineRule="auto"/>
        <w:ind w:hanging="508"/>
        <w:contextualSpacing w:val="0"/>
        <w:outlineLvl w:val="1"/>
        <w:rPr>
          <w:rFonts w:ascii="Times New Roman" w:eastAsia="Times New Roman" w:hAnsi="Times New Roman"/>
          <w:b/>
          <w:sz w:val="24"/>
          <w:szCs w:val="24"/>
        </w:rPr>
      </w:pPr>
      <w:bookmarkStart w:id="431" w:name="_Toc476157493"/>
      <w:bookmarkStart w:id="432" w:name="_Toc476159212"/>
      <w:bookmarkStart w:id="433" w:name="_Toc519050461"/>
      <w:bookmarkStart w:id="434" w:name="_Toc103685634"/>
      <w:r w:rsidRPr="00D75D2E">
        <w:rPr>
          <w:rFonts w:ascii="Times New Roman" w:eastAsia="Times New Roman" w:hAnsi="Times New Roman"/>
          <w:b/>
          <w:sz w:val="24"/>
          <w:szCs w:val="24"/>
        </w:rPr>
        <w:t>Profil biophysique et socio-économique de la zone d’étude</w:t>
      </w:r>
      <w:bookmarkEnd w:id="431"/>
      <w:bookmarkEnd w:id="432"/>
      <w:bookmarkEnd w:id="433"/>
      <w:bookmarkEnd w:id="434"/>
    </w:p>
    <w:p w14:paraId="2C435912" w14:textId="6F35D6BC" w:rsidR="00D57D96" w:rsidRPr="00D75D2E" w:rsidRDefault="00D57D96" w:rsidP="00215867">
      <w:pPr>
        <w:spacing w:before="120" w:after="120" w:line="20" w:lineRule="atLeast"/>
        <w:ind w:left="-5" w:right="-1" w:hanging="10"/>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tableau </w:t>
      </w:r>
      <w:r w:rsidR="00E732DD">
        <w:rPr>
          <w:rFonts w:ascii="Times New Roman" w:eastAsia="Times New Roman" w:hAnsi="Times New Roman"/>
          <w:sz w:val="24"/>
          <w:szCs w:val="24"/>
          <w:lang w:eastAsia="fr-FR"/>
        </w:rPr>
        <w:t>9</w:t>
      </w:r>
      <w:r w:rsidR="00E732DD" w:rsidRPr="00D75D2E">
        <w:rPr>
          <w:rFonts w:ascii="Times New Roman" w:eastAsia="Times New Roman" w:hAnsi="Times New Roman"/>
          <w:sz w:val="24"/>
          <w:szCs w:val="24"/>
          <w:lang w:eastAsia="fr-FR"/>
        </w:rPr>
        <w:t xml:space="preserve"> </w:t>
      </w:r>
      <w:r w:rsidRPr="00D75D2E">
        <w:rPr>
          <w:rFonts w:ascii="Times New Roman" w:eastAsia="Times New Roman" w:hAnsi="Times New Roman"/>
          <w:sz w:val="24"/>
          <w:szCs w:val="24"/>
          <w:lang w:eastAsia="fr-FR"/>
        </w:rPr>
        <w:t xml:space="preserve">fait une synthèse du profil biophysique et socio-économique de la zone d’étude. </w:t>
      </w:r>
      <w:r w:rsidR="00324529" w:rsidRPr="00EB2A1F">
        <w:rPr>
          <w:rFonts w:ascii="Times New Roman" w:eastAsia="Times New Roman" w:hAnsi="Times New Roman"/>
          <w:sz w:val="24"/>
          <w:szCs w:val="24"/>
          <w:lang w:eastAsia="fr-FR"/>
        </w:rPr>
        <w:t>Les informations présentées dans ce chapitre sont des données qui permettent de comprendre les enjeux environnementaux et sociaux du sous Projet, notamment ce qui pourrait être affecté par le sous Projet ou ceux qui pourraient affecter le sous Projet, y compris les informations pertinentes sur la zone d’accueil des activités concernées et les installations associées (localités, populations, économie locale, pauvreté, conflit, sécurité, géographie, secteurs ciblés, hydrologie, climat, biodiversité, aires protégées</w:t>
      </w:r>
      <w:r w:rsidR="00EB2A1F">
        <w:rPr>
          <w:rFonts w:ascii="Times New Roman" w:eastAsia="Times New Roman" w:hAnsi="Times New Roman"/>
          <w:sz w:val="24"/>
          <w:szCs w:val="24"/>
          <w:lang w:eastAsia="fr-FR"/>
        </w:rPr>
        <w:t>).</w:t>
      </w:r>
    </w:p>
    <w:p w14:paraId="2EBCCA74" w14:textId="2AD9676F" w:rsidR="0076751E" w:rsidRDefault="00D57D96" w:rsidP="00E737B4">
      <w:pPr>
        <w:spacing w:before="120" w:after="120" w:line="20" w:lineRule="atLeast"/>
        <w:jc w:val="center"/>
        <w:rPr>
          <w:rFonts w:ascii="Times New Roman" w:hAnsi="Times New Roman"/>
          <w:iCs/>
          <w:sz w:val="24"/>
          <w:szCs w:val="24"/>
        </w:rPr>
      </w:pPr>
      <w:bookmarkStart w:id="435" w:name="_Toc519048920"/>
      <w:bookmarkStart w:id="436" w:name="_Toc93050271"/>
      <w:bookmarkStart w:id="437" w:name="_Hlk518825909"/>
      <w:r w:rsidRPr="00D75D2E">
        <w:rPr>
          <w:rFonts w:ascii="Times New Roman" w:hAnsi="Times New Roman"/>
          <w:iCs/>
          <w:sz w:val="24"/>
          <w:szCs w:val="24"/>
        </w:rPr>
        <w:t xml:space="preserve">Tableau </w:t>
      </w:r>
      <w:r w:rsidRPr="00D75D2E">
        <w:rPr>
          <w:rFonts w:ascii="Times New Roman" w:hAnsi="Times New Roman"/>
          <w:iCs/>
          <w:sz w:val="24"/>
          <w:szCs w:val="24"/>
        </w:rPr>
        <w:fldChar w:fldCharType="begin"/>
      </w:r>
      <w:r w:rsidRPr="00D75D2E">
        <w:rPr>
          <w:rFonts w:ascii="Times New Roman" w:hAnsi="Times New Roman"/>
          <w:iCs/>
          <w:sz w:val="24"/>
          <w:szCs w:val="24"/>
        </w:rPr>
        <w:instrText xml:space="preserve"> SEQ Tableau \* ARABIC </w:instrText>
      </w:r>
      <w:r w:rsidRPr="00D75D2E">
        <w:rPr>
          <w:rFonts w:ascii="Times New Roman" w:hAnsi="Times New Roman"/>
          <w:iCs/>
          <w:sz w:val="24"/>
          <w:szCs w:val="24"/>
        </w:rPr>
        <w:fldChar w:fldCharType="separate"/>
      </w:r>
      <w:r w:rsidR="00E732DD">
        <w:rPr>
          <w:rFonts w:ascii="Times New Roman" w:hAnsi="Times New Roman"/>
          <w:iCs/>
          <w:noProof/>
          <w:sz w:val="24"/>
          <w:szCs w:val="24"/>
        </w:rPr>
        <w:t>9</w:t>
      </w:r>
      <w:r w:rsidRPr="00D75D2E">
        <w:rPr>
          <w:rFonts w:ascii="Times New Roman" w:hAnsi="Times New Roman"/>
          <w:iCs/>
          <w:noProof/>
          <w:sz w:val="24"/>
          <w:szCs w:val="24"/>
        </w:rPr>
        <w:fldChar w:fldCharType="end"/>
      </w:r>
      <w:r w:rsidRPr="00D75D2E">
        <w:rPr>
          <w:rFonts w:ascii="Times New Roman" w:hAnsi="Times New Roman"/>
          <w:iCs/>
          <w:sz w:val="24"/>
          <w:szCs w:val="24"/>
        </w:rPr>
        <w:t> : Profil biophysique et socio-économique de la zone d’étude.</w:t>
      </w:r>
      <w:bookmarkEnd w:id="435"/>
      <w:bookmarkEnd w:id="436"/>
    </w:p>
    <w:tbl>
      <w:tblPr>
        <w:tblW w:w="9571"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668"/>
        <w:gridCol w:w="7903"/>
      </w:tblGrid>
      <w:tr w:rsidR="00981BCA" w:rsidRPr="00420C1B" w14:paraId="4876DD59" w14:textId="77777777" w:rsidTr="00215867">
        <w:trPr>
          <w:trHeight w:val="414"/>
          <w:tblHeade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92D050"/>
            <w:tcMar>
              <w:left w:w="108" w:type="dxa"/>
            </w:tcMar>
          </w:tcPr>
          <w:p w14:paraId="50783BC7" w14:textId="77777777" w:rsidR="00981BCA" w:rsidRPr="00215867" w:rsidRDefault="00981BCA" w:rsidP="00931D29">
            <w:pPr>
              <w:spacing w:after="0" w:line="240" w:lineRule="auto"/>
              <w:jc w:val="center"/>
              <w:rPr>
                <w:rFonts w:ascii="Times New Roman" w:hAnsi="Times New Roman"/>
                <w:b/>
                <w:sz w:val="20"/>
                <w:szCs w:val="20"/>
              </w:rPr>
            </w:pPr>
            <w:r w:rsidRPr="00215867">
              <w:rPr>
                <w:rFonts w:ascii="Times New Roman" w:hAnsi="Times New Roman"/>
                <w:b/>
                <w:sz w:val="20"/>
                <w:szCs w:val="20"/>
              </w:rPr>
              <w:t>VOLETS</w:t>
            </w:r>
          </w:p>
        </w:tc>
        <w:tc>
          <w:tcPr>
            <w:tcW w:w="7903" w:type="dxa"/>
            <w:tcBorders>
              <w:top w:val="single" w:sz="4" w:space="0" w:color="000001"/>
              <w:left w:val="single" w:sz="4" w:space="0" w:color="000001"/>
              <w:bottom w:val="single" w:sz="4" w:space="0" w:color="000001"/>
              <w:right w:val="single" w:sz="4" w:space="0" w:color="000001"/>
            </w:tcBorders>
            <w:shd w:val="clear" w:color="auto" w:fill="92D050"/>
            <w:tcMar>
              <w:left w:w="108" w:type="dxa"/>
            </w:tcMar>
          </w:tcPr>
          <w:p w14:paraId="2F9A2B2B" w14:textId="77777777" w:rsidR="00981BCA" w:rsidRPr="00215867" w:rsidRDefault="00981BCA" w:rsidP="00931D29">
            <w:pPr>
              <w:spacing w:after="0" w:line="240" w:lineRule="auto"/>
              <w:jc w:val="center"/>
              <w:rPr>
                <w:rFonts w:ascii="Times New Roman" w:hAnsi="Times New Roman"/>
                <w:b/>
                <w:spacing w:val="2"/>
                <w:sz w:val="20"/>
                <w:szCs w:val="20"/>
              </w:rPr>
            </w:pPr>
            <w:r w:rsidRPr="00215867">
              <w:rPr>
                <w:rFonts w:ascii="Times New Roman" w:hAnsi="Times New Roman"/>
                <w:b/>
                <w:spacing w:val="2"/>
                <w:sz w:val="20"/>
                <w:szCs w:val="20"/>
              </w:rPr>
              <w:t>DESCRIPTION</w:t>
            </w:r>
          </w:p>
        </w:tc>
      </w:tr>
      <w:tr w:rsidR="00981BCA" w:rsidRPr="00420C1B" w14:paraId="2DC32C6C"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BDD6EE"/>
            <w:tcMar>
              <w:left w:w="108" w:type="dxa"/>
            </w:tcMar>
          </w:tcPr>
          <w:p w14:paraId="1316792D" w14:textId="77777777" w:rsidR="00981BCA" w:rsidRPr="00215867" w:rsidRDefault="00981BCA"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 xml:space="preserve">Profil </w:t>
            </w:r>
          </w:p>
        </w:tc>
        <w:tc>
          <w:tcPr>
            <w:tcW w:w="7903" w:type="dxa"/>
            <w:tcBorders>
              <w:top w:val="single" w:sz="4" w:space="0" w:color="000001"/>
              <w:left w:val="single" w:sz="4" w:space="0" w:color="000001"/>
              <w:bottom w:val="single" w:sz="4" w:space="0" w:color="000001"/>
              <w:right w:val="single" w:sz="4" w:space="0" w:color="000001"/>
            </w:tcBorders>
            <w:shd w:val="clear" w:color="auto" w:fill="BDD6EE"/>
            <w:tcMar>
              <w:left w:w="108" w:type="dxa"/>
            </w:tcMar>
          </w:tcPr>
          <w:p w14:paraId="60335EA8" w14:textId="77777777" w:rsidR="00981BCA" w:rsidRPr="00215867" w:rsidRDefault="00981BCA"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rPr>
              <w:t>Physique de la zone du projet</w:t>
            </w:r>
          </w:p>
        </w:tc>
      </w:tr>
      <w:tr w:rsidR="00981BCA" w:rsidRPr="00420C1B" w14:paraId="120E72BE"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38BF976" w14:textId="77777777" w:rsidR="00981BCA" w:rsidRPr="00215867" w:rsidRDefault="00981BCA"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Situation géographique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EC9C788" w14:textId="750B0435" w:rsidR="00F158FB" w:rsidRPr="00215867" w:rsidRDefault="00F158FB" w:rsidP="00215867">
            <w:pPr>
              <w:spacing w:after="120" w:line="240" w:lineRule="auto"/>
              <w:jc w:val="both"/>
              <w:rPr>
                <w:rFonts w:ascii="Times New Roman" w:hAnsi="Times New Roman"/>
                <w:sz w:val="20"/>
                <w:szCs w:val="20"/>
              </w:rPr>
            </w:pPr>
            <w:r w:rsidRPr="00215867">
              <w:rPr>
                <w:rFonts w:ascii="Times New Roman" w:hAnsi="Times New Roman"/>
                <w:sz w:val="20"/>
                <w:szCs w:val="20"/>
              </w:rPr>
              <w:t xml:space="preserve">Le projet est circonscrit dans la ville de Kinshasa qui s’étend sur 9 965 km2, soit 0,42% de la superficie de la RDC. Kinshasa est située à l’Ouest du pays entre 3,9 et 5,1° de latitude, et entre 15,2 et 16,6° de longitude Est. </w:t>
            </w:r>
            <w:r w:rsidR="00583365" w:rsidRPr="00215867">
              <w:rPr>
                <w:rFonts w:ascii="Times New Roman" w:hAnsi="Times New Roman"/>
                <w:sz w:val="20"/>
                <w:szCs w:val="20"/>
              </w:rPr>
              <w:t>Elle limité au Nord-Est et à l’Est par la province du Kwango, au Sud et au Sud-Ouest par celle du Kongo-central et au Nord-Ouest par le fleuve Congo, frontière naturelle avec la République sœur du Congo-Brazzaville.</w:t>
            </w:r>
          </w:p>
          <w:p w14:paraId="1BEDEF9F" w14:textId="6E73625F" w:rsidR="00981BCA" w:rsidRPr="00215867" w:rsidRDefault="00981BCA" w:rsidP="00215867">
            <w:pPr>
              <w:spacing w:after="0"/>
              <w:jc w:val="both"/>
              <w:rPr>
                <w:rFonts w:ascii="Times New Roman" w:hAnsi="Times New Roman"/>
                <w:sz w:val="20"/>
                <w:szCs w:val="20"/>
              </w:rPr>
            </w:pPr>
            <w:r w:rsidRPr="00215867">
              <w:rPr>
                <w:rFonts w:ascii="Times New Roman" w:hAnsi="Times New Roman"/>
                <w:sz w:val="20"/>
                <w:szCs w:val="20"/>
              </w:rPr>
              <w:t>L</w:t>
            </w:r>
            <w:r w:rsidR="00486F23" w:rsidRPr="00215867">
              <w:rPr>
                <w:rFonts w:ascii="Times New Roman" w:hAnsi="Times New Roman"/>
                <w:sz w:val="20"/>
                <w:szCs w:val="20"/>
              </w:rPr>
              <w:t xml:space="preserve">es travaux se réaliseront dans </w:t>
            </w:r>
            <w:r w:rsidRPr="00215867">
              <w:rPr>
                <w:rFonts w:ascii="Times New Roman" w:hAnsi="Times New Roman"/>
                <w:sz w:val="20"/>
                <w:szCs w:val="20"/>
              </w:rPr>
              <w:t>les communes de Communes de Kalamu, Bumbu, Mont-Ngafula, Selembao, Ngiri-Ngiri, Makala, Bandalungwa, Kintambo, Ngaliema et Barumbu. Cette zone est comprise entre 15°10'11,10" et 15°18'53,78". de longitude Est et entre 4°19'46,71" et 4°31'17,01".de Latitude Sud.</w:t>
            </w:r>
            <w:r w:rsidRPr="00215867" w:rsidDel="00B84770">
              <w:rPr>
                <w:rFonts w:ascii="Times New Roman" w:hAnsi="Times New Roman"/>
                <w:sz w:val="20"/>
                <w:szCs w:val="20"/>
              </w:rPr>
              <w:t xml:space="preserve"> </w:t>
            </w:r>
            <w:r w:rsidRPr="00215867">
              <w:rPr>
                <w:rFonts w:ascii="Times New Roman" w:hAnsi="Times New Roman"/>
                <w:sz w:val="20"/>
                <w:szCs w:val="20"/>
              </w:rPr>
              <w:t>(</w:t>
            </w:r>
            <w:r w:rsidRPr="00215867">
              <w:rPr>
                <w:rFonts w:ascii="Times New Roman" w:hAnsi="Times New Roman"/>
                <w:bCs/>
                <w:i/>
                <w:iCs/>
                <w:sz w:val="20"/>
                <w:szCs w:val="20"/>
              </w:rPr>
              <w:t>Source : Relevés GPS terrain 2021)</w:t>
            </w:r>
          </w:p>
        </w:tc>
      </w:tr>
      <w:tr w:rsidR="000637A4" w:rsidRPr="00420C1B" w14:paraId="30C0730B"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D477DDE" w14:textId="29FA213F" w:rsidR="000637A4" w:rsidRPr="00215867" w:rsidRDefault="000637A4"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Couvert végétale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6FD185" w14:textId="0434C440" w:rsidR="00110A00" w:rsidRPr="00C57AA3" w:rsidRDefault="00110A00" w:rsidP="00215867">
            <w:pPr>
              <w:spacing w:after="0"/>
              <w:jc w:val="both"/>
              <w:rPr>
                <w:rFonts w:ascii="Times New Roman" w:hAnsi="Times New Roman"/>
                <w:sz w:val="20"/>
                <w:szCs w:val="20"/>
              </w:rPr>
            </w:pPr>
            <w:r w:rsidRPr="00C57AA3">
              <w:rPr>
                <w:rFonts w:ascii="Times New Roman" w:hAnsi="Times New Roman"/>
                <w:sz w:val="20"/>
                <w:szCs w:val="20"/>
              </w:rPr>
              <w:t xml:space="preserve">La </w:t>
            </w:r>
            <w:r w:rsidRPr="00A82C14">
              <w:rPr>
                <w:rFonts w:ascii="Times New Roman" w:hAnsi="Times New Roman"/>
                <w:sz w:val="20"/>
                <w:szCs w:val="20"/>
              </w:rPr>
              <w:t xml:space="preserve">ville de Kinshasa était jadis occupée par la forêt caducifoliée subéquatoriale dénommée </w:t>
            </w:r>
            <w:r w:rsidRPr="00C57AA3">
              <w:rPr>
                <w:rFonts w:ascii="Times New Roman" w:hAnsi="Times New Roman"/>
                <w:sz w:val="20"/>
                <w:szCs w:val="20"/>
              </w:rPr>
              <w:t>« savane boisée ». sa végétation naturelle avait été décrite comme étant des forêts denses et humides semi-circulaires subéquatoriales et péri-guinéennes, en galerie ou à l’état de massifs isolés dans les savanes guinéennes. Cette végétation s’est développée sur des sols sableux et sablo-argileux des s</w:t>
            </w:r>
            <w:r w:rsidR="009C2744">
              <w:rPr>
                <w:rFonts w:ascii="Times New Roman" w:hAnsi="Times New Roman"/>
                <w:sz w:val="20"/>
                <w:szCs w:val="20"/>
              </w:rPr>
              <w:t>y</w:t>
            </w:r>
            <w:r w:rsidRPr="00C57AA3">
              <w:rPr>
                <w:rFonts w:ascii="Times New Roman" w:hAnsi="Times New Roman"/>
                <w:sz w:val="20"/>
                <w:szCs w:val="20"/>
              </w:rPr>
              <w:t>stèmes Bateke en fonction de la géomorphologie du site (DEVRED, 1959). Actuellement, la végétation est constituée en règle générale de savanes parsemées d’arbustes et entrecoupées de galeries forestières de</w:t>
            </w:r>
            <w:r w:rsidR="00214484" w:rsidRPr="00C57AA3">
              <w:rPr>
                <w:rFonts w:ascii="Times New Roman" w:hAnsi="Times New Roman"/>
                <w:sz w:val="20"/>
                <w:szCs w:val="20"/>
              </w:rPr>
              <w:t xml:space="preserve"> faibles densités et superficies.</w:t>
            </w:r>
          </w:p>
          <w:p w14:paraId="638AC932" w14:textId="033B7A51" w:rsidR="00214484" w:rsidRPr="00C57AA3" w:rsidRDefault="00214484" w:rsidP="00215867">
            <w:pPr>
              <w:spacing w:before="120" w:after="120"/>
              <w:jc w:val="both"/>
              <w:rPr>
                <w:rFonts w:ascii="Times New Roman" w:hAnsi="Times New Roman"/>
                <w:sz w:val="20"/>
                <w:szCs w:val="20"/>
              </w:rPr>
            </w:pPr>
            <w:r w:rsidRPr="00C57AA3">
              <w:rPr>
                <w:rFonts w:ascii="Times New Roman" w:hAnsi="Times New Roman"/>
                <w:sz w:val="20"/>
                <w:szCs w:val="20"/>
              </w:rPr>
              <w:t xml:space="preserve">Des forêts secondaires semi caducifoliées subéquatoriales et des savanes arbustives de type guinéen sont observées au Sud-Ouest de la zone d’étude. Par ailleurs, au Nord-Ouest de cette zone, pousse, sur du sable argileux, une mosaïque de savane et de savanes arbustives à </w:t>
            </w:r>
            <w:r w:rsidRPr="00C57AA3">
              <w:rPr>
                <w:rFonts w:ascii="Times New Roman" w:hAnsi="Times New Roman"/>
                <w:i/>
                <w:sz w:val="20"/>
                <w:szCs w:val="20"/>
              </w:rPr>
              <w:t>Loudetia demeuseï</w:t>
            </w:r>
            <w:r w:rsidRPr="00C57AA3">
              <w:rPr>
                <w:rFonts w:ascii="Times New Roman" w:hAnsi="Times New Roman"/>
                <w:sz w:val="20"/>
                <w:szCs w:val="20"/>
              </w:rPr>
              <w:t>, plante herbacée qui peut atteindre 1,70 m de hauteur.</w:t>
            </w:r>
          </w:p>
          <w:p w14:paraId="1BD02861" w14:textId="36DE8BE0" w:rsidR="00214484" w:rsidRPr="00C57AA3" w:rsidRDefault="00214484" w:rsidP="00215867">
            <w:pPr>
              <w:spacing w:before="120" w:after="120"/>
              <w:jc w:val="both"/>
              <w:rPr>
                <w:rFonts w:ascii="Times New Roman" w:hAnsi="Times New Roman"/>
                <w:sz w:val="20"/>
                <w:szCs w:val="20"/>
              </w:rPr>
            </w:pPr>
            <w:r w:rsidRPr="00C57AA3">
              <w:rPr>
                <w:rFonts w:ascii="Times New Roman" w:hAnsi="Times New Roman"/>
                <w:sz w:val="20"/>
                <w:szCs w:val="20"/>
              </w:rPr>
              <w:t xml:space="preserve">Dans la partie collinaire de la ville (Mont-Ngafula, Ngaliema, Mont-Amba, …), la strate herbacée, bien représentée, atteint 2 à 4 m et est dominée par les espèces suivantes : </w:t>
            </w:r>
            <w:r w:rsidRPr="00C57AA3">
              <w:rPr>
                <w:rFonts w:ascii="Times New Roman" w:hAnsi="Times New Roman"/>
                <w:i/>
                <w:sz w:val="20"/>
                <w:szCs w:val="20"/>
              </w:rPr>
              <w:t xml:space="preserve">Hymenocardia acide, Syzyglum macrocarpum, Anona arenaria, Nuclea latifolia </w:t>
            </w:r>
            <w:r w:rsidRPr="00C57AA3">
              <w:rPr>
                <w:rFonts w:ascii="Times New Roman" w:hAnsi="Times New Roman"/>
                <w:sz w:val="20"/>
                <w:szCs w:val="20"/>
              </w:rPr>
              <w:t xml:space="preserve">et </w:t>
            </w:r>
            <w:r w:rsidRPr="00C57AA3">
              <w:rPr>
                <w:rFonts w:ascii="Times New Roman" w:hAnsi="Times New Roman"/>
                <w:i/>
                <w:sz w:val="20"/>
                <w:szCs w:val="20"/>
              </w:rPr>
              <w:t>Crossopterix febrifuga.</w:t>
            </w:r>
            <w:r w:rsidRPr="00C57AA3">
              <w:rPr>
                <w:rFonts w:ascii="Times New Roman" w:hAnsi="Times New Roman"/>
                <w:sz w:val="20"/>
                <w:szCs w:val="20"/>
              </w:rPr>
              <w:t xml:space="preserve"> La strate herbacée supérieure est dominée par le </w:t>
            </w:r>
            <w:r w:rsidRPr="00C57AA3">
              <w:rPr>
                <w:rFonts w:ascii="Times New Roman" w:hAnsi="Times New Roman"/>
                <w:i/>
                <w:sz w:val="20"/>
                <w:szCs w:val="20"/>
              </w:rPr>
              <w:t xml:space="preserve">Loutetia demeusei. </w:t>
            </w:r>
            <w:r w:rsidRPr="00C57AA3">
              <w:rPr>
                <w:rFonts w:ascii="Times New Roman" w:hAnsi="Times New Roman"/>
                <w:sz w:val="20"/>
                <w:szCs w:val="20"/>
              </w:rPr>
              <w:t xml:space="preserve">La strate herbacée inférieure, quant à elle, a une hauteur moyenne de 0,40 m et est représentée par le </w:t>
            </w:r>
            <w:r w:rsidRPr="00C57AA3">
              <w:rPr>
                <w:rFonts w:ascii="Times New Roman" w:hAnsi="Times New Roman"/>
                <w:i/>
                <w:sz w:val="20"/>
                <w:szCs w:val="20"/>
              </w:rPr>
              <w:t xml:space="preserve">Sporobolus sp, </w:t>
            </w:r>
            <w:r w:rsidRPr="00C57AA3">
              <w:rPr>
                <w:rFonts w:ascii="Times New Roman" w:hAnsi="Times New Roman"/>
                <w:sz w:val="20"/>
                <w:szCs w:val="20"/>
              </w:rPr>
              <w:t xml:space="preserve">le </w:t>
            </w:r>
            <w:r w:rsidRPr="00C57AA3">
              <w:rPr>
                <w:rFonts w:ascii="Times New Roman" w:hAnsi="Times New Roman"/>
                <w:i/>
                <w:sz w:val="20"/>
                <w:szCs w:val="20"/>
              </w:rPr>
              <w:t xml:space="preserve">Rhynchalytrum roseum, </w:t>
            </w:r>
            <w:r w:rsidRPr="00C57AA3">
              <w:rPr>
                <w:rFonts w:ascii="Times New Roman" w:hAnsi="Times New Roman"/>
                <w:sz w:val="20"/>
                <w:szCs w:val="20"/>
              </w:rPr>
              <w:t xml:space="preserve">et le </w:t>
            </w:r>
            <w:r w:rsidRPr="00C57AA3">
              <w:rPr>
                <w:rFonts w:ascii="Times New Roman" w:hAnsi="Times New Roman"/>
                <w:i/>
                <w:sz w:val="20"/>
                <w:szCs w:val="20"/>
              </w:rPr>
              <w:t>Digitaria brazzae.</w:t>
            </w:r>
          </w:p>
          <w:p w14:paraId="12A8F48F" w14:textId="77597834" w:rsidR="00214484" w:rsidRPr="00C57AA3" w:rsidRDefault="00214484" w:rsidP="00215867">
            <w:pPr>
              <w:spacing w:before="120" w:after="120"/>
              <w:jc w:val="both"/>
              <w:rPr>
                <w:rFonts w:ascii="Times New Roman" w:hAnsi="Times New Roman"/>
                <w:sz w:val="20"/>
                <w:szCs w:val="20"/>
              </w:rPr>
            </w:pPr>
            <w:r w:rsidRPr="00C57AA3">
              <w:rPr>
                <w:rFonts w:ascii="Times New Roman" w:hAnsi="Times New Roman"/>
                <w:sz w:val="20"/>
                <w:szCs w:val="20"/>
              </w:rPr>
              <w:t xml:space="preserve">La forêt naturelle a complément disparu à ce jour au niveau de la partie intra urbaine de la ville, laissant la place à des habitations, des industries, des fermes, des espaces maraïchers, etc. les versants des collines sont cependant couverts de forêts secondaires issues des actions de reboisement et de culture des arbres fruitiers. La végétation </w:t>
            </w:r>
            <w:r w:rsidR="005D25FB" w:rsidRPr="00C57AA3">
              <w:rPr>
                <w:rFonts w:ascii="Times New Roman" w:hAnsi="Times New Roman"/>
                <w:sz w:val="20"/>
                <w:szCs w:val="20"/>
              </w:rPr>
              <w:t>marécageuse</w:t>
            </w:r>
            <w:r w:rsidRPr="00C57AA3">
              <w:rPr>
                <w:rFonts w:ascii="Times New Roman" w:hAnsi="Times New Roman"/>
                <w:sz w:val="20"/>
                <w:szCs w:val="20"/>
              </w:rPr>
              <w:t xml:space="preserve"> pousse dans le Pool Malebo.</w:t>
            </w:r>
          </w:p>
          <w:p w14:paraId="5060795A" w14:textId="52806280" w:rsidR="000637A4" w:rsidRPr="00C57AA3" w:rsidRDefault="00C07D9B" w:rsidP="00215867">
            <w:pPr>
              <w:spacing w:before="120" w:after="0"/>
              <w:jc w:val="both"/>
              <w:rPr>
                <w:rFonts w:ascii="Times New Roman" w:hAnsi="Times New Roman"/>
                <w:i/>
                <w:sz w:val="20"/>
                <w:szCs w:val="20"/>
              </w:rPr>
            </w:pPr>
            <w:r w:rsidRPr="00215867">
              <w:rPr>
                <w:rFonts w:ascii="Times New Roman" w:hAnsi="Times New Roman"/>
                <w:sz w:val="20"/>
                <w:szCs w:val="20"/>
              </w:rPr>
              <w:t xml:space="preserve">Dans la partie Ouest du bassin versant Est de la rivière N’djili, la végétation est calquée suivant la morphologie des sites. Ainsi au niveau des collines, on rencontre des galeries, des jachères et des lambeaux forestiers ; les plaines sont colonisées par la savane et la forêt à Papyrus, tandis que le long des cours d’eau se rencontre les forêts galeries. </w:t>
            </w:r>
            <w:r w:rsidR="00FC021D" w:rsidRPr="00C57AA3">
              <w:rPr>
                <w:rFonts w:ascii="Times New Roman" w:hAnsi="Times New Roman"/>
                <w:sz w:val="20"/>
                <w:szCs w:val="20"/>
              </w:rPr>
              <w:t xml:space="preserve">Dans les quartiers, </w:t>
            </w:r>
            <w:r w:rsidRPr="00215867">
              <w:rPr>
                <w:rFonts w:ascii="Times New Roman" w:hAnsi="Times New Roman"/>
                <w:sz w:val="20"/>
                <w:szCs w:val="20"/>
              </w:rPr>
              <w:t>les arbres fruitiers suivants</w:t>
            </w:r>
            <w:r w:rsidR="00FC021D" w:rsidRPr="00C57AA3">
              <w:rPr>
                <w:rFonts w:ascii="Times New Roman" w:hAnsi="Times New Roman"/>
                <w:sz w:val="20"/>
                <w:szCs w:val="20"/>
              </w:rPr>
              <w:t xml:space="preserve"> sont rencontrés à savoir </w:t>
            </w:r>
            <w:r w:rsidRPr="00215867">
              <w:rPr>
                <w:rFonts w:ascii="Times New Roman" w:hAnsi="Times New Roman"/>
                <w:sz w:val="20"/>
                <w:szCs w:val="20"/>
              </w:rPr>
              <w:t>: manguier (</w:t>
            </w:r>
            <w:r w:rsidRPr="00215867">
              <w:rPr>
                <w:rFonts w:ascii="Times New Roman" w:hAnsi="Times New Roman"/>
                <w:i/>
                <w:sz w:val="20"/>
                <w:szCs w:val="20"/>
              </w:rPr>
              <w:t>anacardiaceae</w:t>
            </w:r>
            <w:r w:rsidRPr="00420C1B">
              <w:rPr>
                <w:rFonts w:ascii="Times New Roman" w:hAnsi="Times New Roman"/>
                <w:i/>
                <w:sz w:val="20"/>
                <w:szCs w:val="20"/>
              </w:rPr>
              <w:t>), palmier (</w:t>
            </w:r>
            <w:r w:rsidRPr="00215867">
              <w:rPr>
                <w:rFonts w:ascii="Times New Roman" w:hAnsi="Times New Roman"/>
                <w:i/>
                <w:sz w:val="20"/>
                <w:szCs w:val="20"/>
              </w:rPr>
              <w:t>Elaies guineensis Jacq.)</w:t>
            </w:r>
            <w:r w:rsidRPr="00C57AA3">
              <w:rPr>
                <w:rFonts w:ascii="Times New Roman" w:hAnsi="Times New Roman"/>
                <w:i/>
                <w:sz w:val="20"/>
                <w:szCs w:val="20"/>
              </w:rPr>
              <w:t>, coctier (Cocos nucifera L.), Bambou (</w:t>
            </w:r>
            <w:r w:rsidRPr="00215867">
              <w:rPr>
                <w:rFonts w:ascii="Times New Roman" w:hAnsi="Times New Roman"/>
                <w:i/>
                <w:sz w:val="20"/>
                <w:szCs w:val="20"/>
              </w:rPr>
              <w:t>Bambusa vulgaris Schrad.</w:t>
            </w:r>
            <w:r w:rsidRPr="00C57AA3">
              <w:rPr>
                <w:rFonts w:ascii="Times New Roman" w:hAnsi="Times New Roman"/>
                <w:i/>
                <w:sz w:val="20"/>
                <w:szCs w:val="20"/>
              </w:rPr>
              <w:t>), papayer (</w:t>
            </w:r>
            <w:r w:rsidRPr="00215867">
              <w:rPr>
                <w:rFonts w:ascii="Times New Roman" w:hAnsi="Times New Roman"/>
                <w:i/>
                <w:sz w:val="20"/>
                <w:szCs w:val="20"/>
              </w:rPr>
              <w:t>Carica papaya)</w:t>
            </w:r>
            <w:r w:rsidRPr="00C57AA3">
              <w:rPr>
                <w:rFonts w:ascii="Times New Roman" w:hAnsi="Times New Roman"/>
                <w:i/>
                <w:sz w:val="20"/>
                <w:szCs w:val="20"/>
              </w:rPr>
              <w:t>, Moringa (</w:t>
            </w:r>
            <w:r w:rsidRPr="00215867">
              <w:rPr>
                <w:rFonts w:ascii="Times New Roman" w:hAnsi="Times New Roman"/>
                <w:i/>
                <w:sz w:val="20"/>
                <w:szCs w:val="20"/>
              </w:rPr>
              <w:t>Moringa oleifera)</w:t>
            </w:r>
            <w:r w:rsidR="007E0449" w:rsidRPr="00C57AA3">
              <w:rPr>
                <w:rFonts w:ascii="Times New Roman" w:hAnsi="Times New Roman"/>
                <w:i/>
                <w:sz w:val="20"/>
                <w:szCs w:val="20"/>
              </w:rPr>
              <w:t>, madamier (</w:t>
            </w:r>
            <w:r w:rsidR="007E0449" w:rsidRPr="00215867">
              <w:rPr>
                <w:rFonts w:ascii="Times New Roman" w:hAnsi="Times New Roman"/>
                <w:i/>
                <w:sz w:val="20"/>
                <w:szCs w:val="20"/>
              </w:rPr>
              <w:t>Terminalia catappa L.</w:t>
            </w:r>
            <w:r w:rsidR="007E0449" w:rsidRPr="00C57AA3">
              <w:rPr>
                <w:rFonts w:ascii="Times New Roman" w:hAnsi="Times New Roman"/>
                <w:i/>
                <w:sz w:val="20"/>
                <w:szCs w:val="20"/>
              </w:rPr>
              <w:t>)</w:t>
            </w:r>
            <w:r w:rsidR="00FC021D" w:rsidRPr="00C57AA3">
              <w:rPr>
                <w:rFonts w:ascii="Times New Roman" w:hAnsi="Times New Roman"/>
                <w:i/>
                <w:sz w:val="20"/>
                <w:szCs w:val="20"/>
              </w:rPr>
              <w:t>.</w:t>
            </w:r>
          </w:p>
          <w:p w14:paraId="6AB4AF92" w14:textId="126B6A17" w:rsidR="00FC021D" w:rsidRPr="00215867" w:rsidRDefault="00FC021D" w:rsidP="00215867">
            <w:pPr>
              <w:spacing w:before="120" w:after="0"/>
              <w:jc w:val="both"/>
              <w:rPr>
                <w:rFonts w:ascii="Times New Roman" w:hAnsi="Times New Roman"/>
                <w:sz w:val="20"/>
                <w:szCs w:val="20"/>
              </w:rPr>
            </w:pPr>
            <w:r w:rsidRPr="00215867">
              <w:rPr>
                <w:rFonts w:ascii="Times New Roman" w:hAnsi="Times New Roman"/>
                <w:sz w:val="20"/>
                <w:szCs w:val="20"/>
              </w:rPr>
              <w:t>La végétation le long des cours d’eau est constituée de forêts galeries (forêts rivulaires, forêts semi – caducifoliées). Les forêts rivulaires sont composées de plusieurs essences ou espèces telles que </w:t>
            </w:r>
            <w:r w:rsidRPr="00215867">
              <w:rPr>
                <w:rFonts w:ascii="Times New Roman" w:hAnsi="Times New Roman"/>
                <w:i/>
                <w:iCs/>
                <w:sz w:val="20"/>
                <w:szCs w:val="20"/>
              </w:rPr>
              <w:t>Raphia sp</w:t>
            </w:r>
            <w:r w:rsidRPr="00215867">
              <w:rPr>
                <w:rFonts w:ascii="Times New Roman" w:hAnsi="Times New Roman"/>
                <w:sz w:val="20"/>
                <w:szCs w:val="20"/>
              </w:rPr>
              <w:t>, </w:t>
            </w:r>
            <w:r w:rsidRPr="00215867">
              <w:rPr>
                <w:rFonts w:ascii="Times New Roman" w:hAnsi="Times New Roman"/>
                <w:i/>
                <w:iCs/>
                <w:sz w:val="20"/>
                <w:szCs w:val="20"/>
              </w:rPr>
              <w:t>Irvingia sp</w:t>
            </w:r>
            <w:r w:rsidRPr="00215867">
              <w:rPr>
                <w:rFonts w:ascii="Times New Roman" w:hAnsi="Times New Roman"/>
                <w:sz w:val="20"/>
                <w:szCs w:val="20"/>
              </w:rPr>
              <w:t>, </w:t>
            </w:r>
            <w:r w:rsidRPr="00215867">
              <w:rPr>
                <w:rFonts w:ascii="Times New Roman" w:hAnsi="Times New Roman"/>
                <w:i/>
                <w:iCs/>
                <w:sz w:val="20"/>
                <w:szCs w:val="20"/>
              </w:rPr>
              <w:t>Simithée sp</w:t>
            </w:r>
            <w:r w:rsidRPr="00215867">
              <w:rPr>
                <w:rFonts w:ascii="Times New Roman" w:hAnsi="Times New Roman"/>
                <w:sz w:val="20"/>
                <w:szCs w:val="20"/>
              </w:rPr>
              <w:t>, </w:t>
            </w:r>
            <w:r w:rsidRPr="00215867">
              <w:rPr>
                <w:rFonts w:ascii="Times New Roman" w:hAnsi="Times New Roman"/>
                <w:i/>
                <w:iCs/>
                <w:sz w:val="20"/>
                <w:szCs w:val="20"/>
              </w:rPr>
              <w:t>Caloncoba glauca</w:t>
            </w:r>
            <w:r w:rsidRPr="00215867">
              <w:rPr>
                <w:rFonts w:ascii="Times New Roman" w:hAnsi="Times New Roman"/>
                <w:sz w:val="20"/>
                <w:szCs w:val="20"/>
              </w:rPr>
              <w:t> et </w:t>
            </w:r>
            <w:r w:rsidRPr="00215867">
              <w:rPr>
                <w:rFonts w:ascii="Times New Roman" w:hAnsi="Times New Roman"/>
                <w:i/>
                <w:iCs/>
                <w:sz w:val="20"/>
                <w:szCs w:val="20"/>
              </w:rPr>
              <w:t>Carthormion altissimum</w:t>
            </w:r>
            <w:r w:rsidRPr="00215867">
              <w:rPr>
                <w:rFonts w:ascii="Times New Roman" w:hAnsi="Times New Roman"/>
                <w:sz w:val="20"/>
                <w:szCs w:val="20"/>
              </w:rPr>
              <w:t>. Elles cèdent la place aux forêts semi - caducifoliées qui, souvent sont fortement secondarisé</w:t>
            </w:r>
            <w:r w:rsidR="00467E01" w:rsidRPr="00420C1B">
              <w:rPr>
                <w:rFonts w:ascii="Times New Roman" w:hAnsi="Times New Roman"/>
                <w:sz w:val="20"/>
                <w:szCs w:val="20"/>
              </w:rPr>
              <w:t>es vue la proximité des nouvelles habitations</w:t>
            </w:r>
            <w:r w:rsidRPr="00215867">
              <w:rPr>
                <w:rFonts w:ascii="Times New Roman" w:hAnsi="Times New Roman"/>
                <w:sz w:val="20"/>
                <w:szCs w:val="20"/>
              </w:rPr>
              <w:t xml:space="preserve">. </w:t>
            </w:r>
          </w:p>
        </w:tc>
      </w:tr>
      <w:tr w:rsidR="000637A4" w:rsidRPr="00420C1B" w14:paraId="04951A24"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96DA8A3" w14:textId="326ADCD0" w:rsidR="000637A4" w:rsidRPr="00215867" w:rsidRDefault="000637A4"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Faune aviaire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1BDDA60" w14:textId="55DD4B9A" w:rsidR="000637A4" w:rsidRPr="00215867" w:rsidRDefault="000637A4" w:rsidP="00215867">
            <w:pPr>
              <w:spacing w:after="0"/>
              <w:jc w:val="both"/>
              <w:rPr>
                <w:rFonts w:ascii="Times New Roman" w:hAnsi="Times New Roman"/>
                <w:i/>
                <w:sz w:val="20"/>
                <w:szCs w:val="20"/>
              </w:rPr>
            </w:pPr>
            <w:r w:rsidRPr="00215867">
              <w:rPr>
                <w:rFonts w:ascii="Times New Roman" w:hAnsi="Times New Roman"/>
                <w:sz w:val="20"/>
                <w:szCs w:val="20"/>
              </w:rPr>
              <w:t xml:space="preserve">Dans la zone du </w:t>
            </w:r>
            <w:r w:rsidR="007E0449" w:rsidRPr="00215867">
              <w:rPr>
                <w:rFonts w:ascii="Times New Roman" w:hAnsi="Times New Roman"/>
                <w:sz w:val="20"/>
                <w:szCs w:val="20"/>
              </w:rPr>
              <w:t xml:space="preserve">projet </w:t>
            </w:r>
            <w:r w:rsidRPr="00215867">
              <w:rPr>
                <w:rFonts w:ascii="Times New Roman" w:hAnsi="Times New Roman"/>
                <w:sz w:val="20"/>
                <w:szCs w:val="20"/>
              </w:rPr>
              <w:t> </w:t>
            </w:r>
            <w:r w:rsidR="007E0449" w:rsidRPr="00215867">
              <w:rPr>
                <w:rFonts w:ascii="Times New Roman" w:hAnsi="Times New Roman"/>
                <w:sz w:val="20"/>
                <w:szCs w:val="20"/>
              </w:rPr>
              <w:t xml:space="preserve">abrite une faune diversifiée comprenant : des oiseaux </w:t>
            </w:r>
            <w:r w:rsidRPr="00215867">
              <w:rPr>
                <w:rFonts w:ascii="Times New Roman" w:hAnsi="Times New Roman"/>
                <w:sz w:val="20"/>
                <w:szCs w:val="20"/>
              </w:rPr>
              <w:t>les corbeaux</w:t>
            </w:r>
            <w:r w:rsidR="0079345A" w:rsidRPr="00215867">
              <w:rPr>
                <w:rFonts w:ascii="Times New Roman" w:hAnsi="Times New Roman"/>
                <w:sz w:val="20"/>
                <w:szCs w:val="20"/>
              </w:rPr>
              <w:t xml:space="preserve"> </w:t>
            </w:r>
            <w:r w:rsidR="003B72F2" w:rsidRPr="00215867">
              <w:rPr>
                <w:rFonts w:ascii="Times New Roman" w:hAnsi="Times New Roman"/>
                <w:sz w:val="20"/>
                <w:szCs w:val="20"/>
              </w:rPr>
              <w:t>(</w:t>
            </w:r>
            <w:r w:rsidR="003B72F2" w:rsidRPr="00215867">
              <w:rPr>
                <w:rFonts w:ascii="Times New Roman" w:hAnsi="Times New Roman"/>
                <w:i/>
                <w:sz w:val="20"/>
                <w:szCs w:val="20"/>
              </w:rPr>
              <w:t>Corvus corax</w:t>
            </w:r>
            <w:r w:rsidR="003B72F2" w:rsidRPr="00215867">
              <w:rPr>
                <w:rFonts w:ascii="Times New Roman" w:hAnsi="Times New Roman"/>
                <w:sz w:val="20"/>
                <w:szCs w:val="20"/>
              </w:rPr>
              <w:t>)</w:t>
            </w:r>
            <w:r w:rsidRPr="00215867">
              <w:rPr>
                <w:rFonts w:ascii="Times New Roman" w:hAnsi="Times New Roman"/>
                <w:sz w:val="20"/>
                <w:szCs w:val="20"/>
              </w:rPr>
              <w:t>,</w:t>
            </w:r>
            <w:r w:rsidR="003B72F2" w:rsidRPr="00215867">
              <w:rPr>
                <w:rFonts w:ascii="Times New Roman" w:hAnsi="Times New Roman"/>
                <w:sz w:val="20"/>
                <w:szCs w:val="20"/>
              </w:rPr>
              <w:t xml:space="preserve"> </w:t>
            </w:r>
            <w:r w:rsidR="007E0449" w:rsidRPr="00215867">
              <w:rPr>
                <w:rFonts w:ascii="Times New Roman" w:hAnsi="Times New Roman"/>
                <w:sz w:val="20"/>
                <w:szCs w:val="20"/>
              </w:rPr>
              <w:t>hirondelle</w:t>
            </w:r>
            <w:r w:rsidR="003B72F2" w:rsidRPr="00215867">
              <w:rPr>
                <w:rFonts w:ascii="Times New Roman" w:hAnsi="Times New Roman"/>
                <w:sz w:val="20"/>
                <w:szCs w:val="20"/>
              </w:rPr>
              <w:t xml:space="preserve"> (</w:t>
            </w:r>
            <w:r w:rsidR="003B72F2" w:rsidRPr="00215867">
              <w:rPr>
                <w:rFonts w:ascii="Times New Roman" w:hAnsi="Times New Roman"/>
                <w:i/>
                <w:sz w:val="20"/>
                <w:szCs w:val="20"/>
              </w:rPr>
              <w:t>Hirundinidae</w:t>
            </w:r>
            <w:r w:rsidR="003B72F2" w:rsidRPr="00215867">
              <w:rPr>
                <w:rFonts w:ascii="Times New Roman" w:hAnsi="Times New Roman"/>
                <w:sz w:val="20"/>
                <w:szCs w:val="20"/>
              </w:rPr>
              <w:t>), pigeon domestique (</w:t>
            </w:r>
            <w:r w:rsidR="003B72F2" w:rsidRPr="00215867">
              <w:rPr>
                <w:rFonts w:ascii="Times New Roman" w:hAnsi="Times New Roman"/>
                <w:i/>
                <w:sz w:val="20"/>
                <w:szCs w:val="20"/>
              </w:rPr>
              <w:t>Columba livia domestica</w:t>
            </w:r>
            <w:r w:rsidR="003B72F2" w:rsidRPr="00215867">
              <w:rPr>
                <w:rFonts w:ascii="Times New Roman" w:hAnsi="Times New Roman"/>
                <w:sz w:val="20"/>
                <w:szCs w:val="20"/>
              </w:rPr>
              <w:t xml:space="preserve">), </w:t>
            </w:r>
            <w:r w:rsidR="007B7DCD" w:rsidRPr="00215867">
              <w:rPr>
                <w:rFonts w:ascii="Times New Roman" w:hAnsi="Times New Roman"/>
                <w:sz w:val="20"/>
                <w:szCs w:val="20"/>
              </w:rPr>
              <w:t xml:space="preserve">canard (Anas </w:t>
            </w:r>
            <w:r w:rsidR="007B7DCD" w:rsidRPr="00215867">
              <w:rPr>
                <w:rFonts w:ascii="Times New Roman" w:hAnsi="Times New Roman"/>
                <w:i/>
                <w:sz w:val="20"/>
                <w:szCs w:val="20"/>
              </w:rPr>
              <w:t>platyrhynchos domesticus</w:t>
            </w:r>
            <w:r w:rsidR="007B7DCD" w:rsidRPr="00215867">
              <w:rPr>
                <w:rFonts w:ascii="Times New Roman" w:hAnsi="Times New Roman"/>
                <w:sz w:val="20"/>
                <w:szCs w:val="20"/>
              </w:rPr>
              <w:t>), moineaux domestiques (</w:t>
            </w:r>
            <w:r w:rsidR="007B7DCD" w:rsidRPr="00215867">
              <w:rPr>
                <w:rFonts w:ascii="Times New Roman" w:hAnsi="Times New Roman"/>
                <w:i/>
                <w:sz w:val="20"/>
                <w:szCs w:val="20"/>
              </w:rPr>
              <w:t>Passer domesticus</w:t>
            </w:r>
            <w:r w:rsidR="007B7DCD" w:rsidRPr="00215867">
              <w:rPr>
                <w:rFonts w:ascii="Times New Roman" w:hAnsi="Times New Roman"/>
                <w:sz w:val="20"/>
                <w:szCs w:val="20"/>
              </w:rPr>
              <w:t xml:space="preserve">), coq </w:t>
            </w:r>
            <w:r w:rsidR="007B7DCD" w:rsidRPr="00215867">
              <w:rPr>
                <w:rFonts w:ascii="Times New Roman" w:hAnsi="Times New Roman"/>
                <w:i/>
                <w:sz w:val="20"/>
                <w:szCs w:val="20"/>
              </w:rPr>
              <w:t xml:space="preserve">(Gallus gallus domesticus), </w:t>
            </w:r>
            <w:r w:rsidR="007E0449" w:rsidRPr="00215867">
              <w:rPr>
                <w:rFonts w:ascii="Times New Roman" w:hAnsi="Times New Roman"/>
                <w:i/>
                <w:sz w:val="20"/>
                <w:szCs w:val="20"/>
              </w:rPr>
              <w:t>(perdrix</w:t>
            </w:r>
            <w:r w:rsidR="00FC021D" w:rsidRPr="00215867">
              <w:rPr>
                <w:rFonts w:ascii="Times New Roman" w:hAnsi="Times New Roman"/>
                <w:i/>
                <w:sz w:val="20"/>
                <w:szCs w:val="20"/>
              </w:rPr>
              <w:t xml:space="preserve"> (Perdix perdix)</w:t>
            </w:r>
            <w:r w:rsidR="007E0449" w:rsidRPr="00215867">
              <w:rPr>
                <w:rFonts w:ascii="Times New Roman" w:hAnsi="Times New Roman"/>
                <w:i/>
                <w:sz w:val="20"/>
                <w:szCs w:val="20"/>
              </w:rPr>
              <w:t>, pintade</w:t>
            </w:r>
            <w:r w:rsidR="00FC021D" w:rsidRPr="00215867">
              <w:rPr>
                <w:rFonts w:ascii="Times New Roman" w:hAnsi="Times New Roman"/>
                <w:i/>
                <w:sz w:val="20"/>
                <w:szCs w:val="20"/>
              </w:rPr>
              <w:t xml:space="preserve"> (Numididae)</w:t>
            </w:r>
            <w:r w:rsidR="007E0449" w:rsidRPr="00215867">
              <w:rPr>
                <w:rFonts w:ascii="Times New Roman" w:hAnsi="Times New Roman"/>
                <w:i/>
                <w:sz w:val="20"/>
                <w:szCs w:val="20"/>
              </w:rPr>
              <w:t>, colombe</w:t>
            </w:r>
            <w:r w:rsidR="0079345A" w:rsidRPr="00215867">
              <w:rPr>
                <w:rFonts w:ascii="Times New Roman" w:hAnsi="Times New Roman"/>
                <w:i/>
                <w:sz w:val="20"/>
                <w:szCs w:val="20"/>
              </w:rPr>
              <w:t xml:space="preserve"> (Columbinae)</w:t>
            </w:r>
            <w:r w:rsidR="007E0449" w:rsidRPr="00215867">
              <w:rPr>
                <w:rFonts w:ascii="Times New Roman" w:hAnsi="Times New Roman"/>
                <w:i/>
                <w:sz w:val="20"/>
                <w:szCs w:val="20"/>
              </w:rPr>
              <w:t>,</w:t>
            </w:r>
            <w:r w:rsidR="0079345A" w:rsidRPr="00215867">
              <w:rPr>
                <w:rFonts w:ascii="Times New Roman" w:hAnsi="Times New Roman"/>
                <w:i/>
                <w:sz w:val="20"/>
                <w:szCs w:val="20"/>
              </w:rPr>
              <w:t xml:space="preserve"> tourterelle (Streptopelia decaocto), </w:t>
            </w:r>
            <w:r w:rsidR="007E0449" w:rsidRPr="00215867">
              <w:rPr>
                <w:rFonts w:ascii="Times New Roman" w:hAnsi="Times New Roman"/>
                <w:i/>
                <w:sz w:val="20"/>
                <w:szCs w:val="20"/>
              </w:rPr>
              <w:t>hiboux</w:t>
            </w:r>
            <w:r w:rsidR="0079345A" w:rsidRPr="00215867">
              <w:rPr>
                <w:rFonts w:ascii="Times New Roman" w:hAnsi="Times New Roman"/>
                <w:i/>
                <w:sz w:val="20"/>
                <w:szCs w:val="20"/>
              </w:rPr>
              <w:t xml:space="preserve"> (Asio otus)</w:t>
            </w:r>
            <w:r w:rsidR="007E0449" w:rsidRPr="00215867">
              <w:rPr>
                <w:rFonts w:ascii="Times New Roman" w:hAnsi="Times New Roman"/>
                <w:i/>
                <w:sz w:val="20"/>
                <w:szCs w:val="20"/>
              </w:rPr>
              <w:t>, gendarme</w:t>
            </w:r>
            <w:r w:rsidR="0079345A" w:rsidRPr="00215867">
              <w:rPr>
                <w:rFonts w:ascii="Times New Roman" w:hAnsi="Times New Roman"/>
                <w:i/>
                <w:sz w:val="20"/>
                <w:szCs w:val="20"/>
              </w:rPr>
              <w:t xml:space="preserve"> (Pyrrhocoris apterus)</w:t>
            </w:r>
            <w:r w:rsidR="007E0449" w:rsidRPr="00215867">
              <w:rPr>
                <w:rFonts w:ascii="Times New Roman" w:hAnsi="Times New Roman"/>
                <w:i/>
                <w:sz w:val="20"/>
                <w:szCs w:val="20"/>
              </w:rPr>
              <w:t>, martin-pêcheur,  perroquet, pigeon vert</w:t>
            </w:r>
            <w:r w:rsidR="0079345A" w:rsidRPr="00215867">
              <w:rPr>
                <w:rFonts w:ascii="Times New Roman" w:hAnsi="Times New Roman"/>
                <w:i/>
                <w:sz w:val="20"/>
                <w:szCs w:val="20"/>
              </w:rPr>
              <w:t xml:space="preserve"> (Treron calvus)</w:t>
            </w:r>
            <w:r w:rsidR="007E0449" w:rsidRPr="00215867">
              <w:rPr>
                <w:rFonts w:ascii="Times New Roman" w:hAnsi="Times New Roman"/>
                <w:i/>
                <w:sz w:val="20"/>
                <w:szCs w:val="20"/>
              </w:rPr>
              <w:t>, vampire (Desmodus rotundus), chauve- souris (Chiroptera), toucan</w:t>
            </w:r>
            <w:r w:rsidR="0079345A" w:rsidRPr="00215867">
              <w:rPr>
                <w:rFonts w:ascii="Times New Roman" w:hAnsi="Times New Roman"/>
                <w:i/>
                <w:sz w:val="20"/>
                <w:szCs w:val="20"/>
              </w:rPr>
              <w:t xml:space="preserve"> (Ramphastidae)</w:t>
            </w:r>
            <w:r w:rsidR="007E0449" w:rsidRPr="00215867">
              <w:rPr>
                <w:rFonts w:ascii="Times New Roman" w:hAnsi="Times New Roman"/>
                <w:i/>
                <w:sz w:val="20"/>
                <w:szCs w:val="20"/>
              </w:rPr>
              <w:t>, colibri</w:t>
            </w:r>
            <w:r w:rsidR="0079345A" w:rsidRPr="00215867">
              <w:rPr>
                <w:rFonts w:ascii="Times New Roman" w:hAnsi="Times New Roman"/>
                <w:i/>
                <w:sz w:val="20"/>
                <w:szCs w:val="20"/>
              </w:rPr>
              <w:t xml:space="preserve"> (Trochilidae</w:t>
            </w:r>
            <w:r w:rsidR="007E0449" w:rsidRPr="00215867">
              <w:rPr>
                <w:rFonts w:ascii="Times New Roman" w:hAnsi="Times New Roman"/>
                <w:i/>
                <w:sz w:val="20"/>
                <w:szCs w:val="20"/>
              </w:rPr>
              <w:t xml:space="preserve">): </w:t>
            </w:r>
            <w:r w:rsidR="007B7DCD" w:rsidRPr="00215867">
              <w:rPr>
                <w:rFonts w:ascii="Times New Roman" w:hAnsi="Times New Roman"/>
                <w:i/>
                <w:sz w:val="20"/>
                <w:szCs w:val="20"/>
              </w:rPr>
              <w:t>etc.</w:t>
            </w:r>
          </w:p>
          <w:p w14:paraId="5EEB5126" w14:textId="643ED356" w:rsidR="000637A4" w:rsidRPr="00215867" w:rsidRDefault="007B7DCD" w:rsidP="00215867">
            <w:pPr>
              <w:spacing w:before="120" w:after="0"/>
              <w:jc w:val="both"/>
              <w:rPr>
                <w:rFonts w:ascii="Times New Roman" w:hAnsi="Times New Roman"/>
                <w:i/>
                <w:sz w:val="20"/>
                <w:szCs w:val="20"/>
              </w:rPr>
            </w:pPr>
            <w:r w:rsidRPr="00215867">
              <w:rPr>
                <w:rFonts w:ascii="Times New Roman" w:hAnsi="Times New Roman"/>
                <w:i/>
                <w:sz w:val="20"/>
                <w:szCs w:val="20"/>
              </w:rPr>
              <w:t xml:space="preserve">Le type d’oiseau </w:t>
            </w:r>
            <w:r w:rsidR="000637A4" w:rsidRPr="00215867">
              <w:rPr>
                <w:rFonts w:ascii="Times New Roman" w:hAnsi="Times New Roman"/>
                <w:i/>
                <w:sz w:val="20"/>
                <w:szCs w:val="20"/>
              </w:rPr>
              <w:t xml:space="preserve">Francolin de Nahan Ptilopachus nahani EN, </w:t>
            </w:r>
            <w:r w:rsidR="00FC021D" w:rsidRPr="00215867">
              <w:rPr>
                <w:rFonts w:ascii="Times New Roman" w:hAnsi="Times New Roman"/>
                <w:sz w:val="20"/>
                <w:szCs w:val="20"/>
              </w:rPr>
              <w:t>c</w:t>
            </w:r>
            <w:r w:rsidR="000637A4" w:rsidRPr="00215867">
              <w:rPr>
                <w:rFonts w:ascii="Times New Roman" w:hAnsi="Times New Roman"/>
                <w:sz w:val="20"/>
                <w:szCs w:val="20"/>
              </w:rPr>
              <w:t>ette espèce possède une aire de répartition de très petite taille et fragmentée</w:t>
            </w:r>
            <w:r w:rsidRPr="00215867">
              <w:rPr>
                <w:rFonts w:ascii="Times New Roman" w:hAnsi="Times New Roman"/>
                <w:sz w:val="20"/>
                <w:szCs w:val="20"/>
              </w:rPr>
              <w:t xml:space="preserve"> </w:t>
            </w:r>
            <w:r w:rsidR="00837888" w:rsidRPr="00215867">
              <w:rPr>
                <w:rFonts w:ascii="Times New Roman" w:hAnsi="Times New Roman"/>
                <w:sz w:val="20"/>
                <w:szCs w:val="20"/>
              </w:rPr>
              <w:t xml:space="preserve">n’est pas identifiée dans la ville de Kinshasa, mais plutot </w:t>
            </w:r>
            <w:r w:rsidR="000637A4" w:rsidRPr="00215867">
              <w:rPr>
                <w:rFonts w:ascii="Times New Roman" w:hAnsi="Times New Roman"/>
                <w:sz w:val="20"/>
                <w:szCs w:val="20"/>
              </w:rPr>
              <w:t>dans l’est de la République démocratique du Congo</w:t>
            </w:r>
            <w:r w:rsidR="00837888" w:rsidRPr="00215867">
              <w:rPr>
                <w:rFonts w:ascii="Times New Roman" w:hAnsi="Times New Roman"/>
                <w:sz w:val="20"/>
                <w:szCs w:val="20"/>
              </w:rPr>
              <w:t xml:space="preserve"> </w:t>
            </w:r>
            <w:r w:rsidR="000637A4" w:rsidRPr="00215867">
              <w:rPr>
                <w:rFonts w:ascii="Times New Roman" w:hAnsi="Times New Roman"/>
                <w:sz w:val="20"/>
                <w:szCs w:val="20"/>
              </w:rPr>
              <w:t xml:space="preserve">; sa population connaît un déclin attribuable à la déforestation et à la dégradation de son habitat. </w:t>
            </w:r>
            <w:r w:rsidR="00837888" w:rsidRPr="00215867">
              <w:rPr>
                <w:rFonts w:ascii="Times New Roman" w:hAnsi="Times New Roman"/>
                <w:sz w:val="20"/>
                <w:szCs w:val="20"/>
              </w:rPr>
              <w:t>Elle se trouve dans la</w:t>
            </w:r>
            <w:r w:rsidR="00C57AA3">
              <w:rPr>
                <w:rFonts w:ascii="Times New Roman" w:hAnsi="Times New Roman"/>
                <w:sz w:val="20"/>
                <w:szCs w:val="20"/>
              </w:rPr>
              <w:t xml:space="preserve"> </w:t>
            </w:r>
            <w:r w:rsidR="00837888" w:rsidRPr="00215867">
              <w:rPr>
                <w:rFonts w:ascii="Times New Roman" w:hAnsi="Times New Roman"/>
                <w:sz w:val="20"/>
                <w:szCs w:val="20"/>
              </w:rPr>
              <w:t>li</w:t>
            </w:r>
            <w:r w:rsidR="00C57AA3">
              <w:rPr>
                <w:rFonts w:ascii="Times New Roman" w:hAnsi="Times New Roman"/>
                <w:sz w:val="20"/>
                <w:szCs w:val="20"/>
              </w:rPr>
              <w:t>st</w:t>
            </w:r>
            <w:r w:rsidR="00837888" w:rsidRPr="00215867">
              <w:rPr>
                <w:rFonts w:ascii="Times New Roman" w:hAnsi="Times New Roman"/>
                <w:sz w:val="20"/>
                <w:szCs w:val="20"/>
              </w:rPr>
              <w:t xml:space="preserve">e rouge d’UICN </w:t>
            </w:r>
            <w:r w:rsidR="000637A4" w:rsidRPr="00215867">
              <w:rPr>
                <w:rFonts w:ascii="Times New Roman" w:hAnsi="Times New Roman"/>
                <w:sz w:val="20"/>
                <w:szCs w:val="20"/>
              </w:rPr>
              <w:t>(BirdLife International 2014)</w:t>
            </w:r>
          </w:p>
        </w:tc>
      </w:tr>
      <w:tr w:rsidR="00A82C14" w:rsidRPr="00420C1B" w14:paraId="31057BDE"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CD6197" w14:textId="765E0A50" w:rsidR="00A82C14" w:rsidRPr="00A82C14" w:rsidRDefault="00A82C14" w:rsidP="00931D29">
            <w:pPr>
              <w:spacing w:after="0" w:line="240" w:lineRule="auto"/>
              <w:jc w:val="both"/>
              <w:rPr>
                <w:rFonts w:ascii="Times New Roman" w:hAnsi="Times New Roman"/>
                <w:b/>
                <w:sz w:val="20"/>
                <w:szCs w:val="20"/>
                <w:lang w:val="fr-MC"/>
              </w:rPr>
            </w:pPr>
            <w:r>
              <w:rPr>
                <w:rFonts w:ascii="Times New Roman" w:hAnsi="Times New Roman"/>
                <w:b/>
                <w:sz w:val="20"/>
                <w:szCs w:val="20"/>
                <w:lang w:val="fr-MC"/>
              </w:rPr>
              <w:t>Catastrophes naturels</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98CCE0" w14:textId="2F757743" w:rsidR="00A82C14" w:rsidRDefault="005B724A" w:rsidP="00215867">
            <w:pPr>
              <w:spacing w:after="0"/>
              <w:jc w:val="both"/>
              <w:rPr>
                <w:rFonts w:ascii="Times New Roman" w:hAnsi="Times New Roman"/>
                <w:sz w:val="20"/>
                <w:szCs w:val="20"/>
              </w:rPr>
            </w:pPr>
            <w:r>
              <w:rPr>
                <w:rFonts w:ascii="Times New Roman" w:hAnsi="Times New Roman"/>
                <w:sz w:val="20"/>
                <w:szCs w:val="20"/>
              </w:rPr>
              <w:t xml:space="preserve">La zone du projet </w:t>
            </w:r>
            <w:r w:rsidR="00131D23">
              <w:rPr>
                <w:rFonts w:ascii="Times New Roman" w:hAnsi="Times New Roman"/>
                <w:sz w:val="20"/>
                <w:szCs w:val="20"/>
              </w:rPr>
              <w:t xml:space="preserve">fait face </w:t>
            </w:r>
            <w:r>
              <w:rPr>
                <w:rFonts w:ascii="Times New Roman" w:hAnsi="Times New Roman"/>
                <w:sz w:val="20"/>
                <w:szCs w:val="20"/>
              </w:rPr>
              <w:t xml:space="preserve"> </w:t>
            </w:r>
            <w:r w:rsidR="00375888">
              <w:rPr>
                <w:rFonts w:ascii="Times New Roman" w:hAnsi="Times New Roman"/>
                <w:sz w:val="20"/>
                <w:szCs w:val="20"/>
              </w:rPr>
              <w:t xml:space="preserve">à plusieurs aléas naturels, dont </w:t>
            </w:r>
            <w:r w:rsidR="00131D23">
              <w:rPr>
                <w:rFonts w:ascii="Times New Roman" w:hAnsi="Times New Roman"/>
                <w:sz w:val="20"/>
                <w:szCs w:val="20"/>
              </w:rPr>
              <w:t xml:space="preserve">les plus </w:t>
            </w:r>
            <w:r w:rsidR="00B03CE6">
              <w:rPr>
                <w:rFonts w:ascii="Times New Roman" w:hAnsi="Times New Roman"/>
                <w:sz w:val="20"/>
                <w:szCs w:val="20"/>
              </w:rPr>
              <w:t>récurrents</w:t>
            </w:r>
            <w:r w:rsidR="00131D23">
              <w:rPr>
                <w:rFonts w:ascii="Times New Roman" w:hAnsi="Times New Roman"/>
                <w:sz w:val="20"/>
                <w:szCs w:val="20"/>
              </w:rPr>
              <w:t xml:space="preserve"> est l’épisode de chaleur extrême, </w:t>
            </w:r>
            <w:r w:rsidR="00C06C01">
              <w:rPr>
                <w:rFonts w:ascii="Times New Roman" w:hAnsi="Times New Roman"/>
                <w:sz w:val="20"/>
                <w:szCs w:val="20"/>
              </w:rPr>
              <w:t xml:space="preserve">les crues et l’inondation urbaines. </w:t>
            </w:r>
          </w:p>
          <w:p w14:paraId="1A25A3B1" w14:textId="11797BDD" w:rsidR="008B383C" w:rsidRPr="00C06C01" w:rsidRDefault="008B383C" w:rsidP="00215867">
            <w:pPr>
              <w:spacing w:before="120" w:after="0"/>
              <w:jc w:val="both"/>
              <w:rPr>
                <w:rFonts w:ascii="Times New Roman" w:hAnsi="Times New Roman"/>
                <w:sz w:val="20"/>
                <w:szCs w:val="20"/>
              </w:rPr>
            </w:pPr>
            <w:r>
              <w:rPr>
                <w:rFonts w:ascii="Times New Roman" w:hAnsi="Times New Roman"/>
                <w:sz w:val="20"/>
                <w:szCs w:val="20"/>
              </w:rPr>
              <w:t xml:space="preserve">Kinshasa </w:t>
            </w:r>
            <w:r w:rsidR="00C36F04">
              <w:rPr>
                <w:rFonts w:ascii="Times New Roman" w:hAnsi="Times New Roman"/>
                <w:sz w:val="20"/>
                <w:szCs w:val="20"/>
              </w:rPr>
              <w:t xml:space="preserve">fait face à de la chaleur extrême pouvant entraîner un stress thermique suite à une exposition prolongée. </w:t>
            </w:r>
            <w:r w:rsidR="00AC53ED">
              <w:rPr>
                <w:rFonts w:ascii="Times New Roman" w:hAnsi="Times New Roman"/>
                <w:sz w:val="20"/>
                <w:szCs w:val="20"/>
              </w:rPr>
              <w:t xml:space="preserve">En plus, </w:t>
            </w:r>
            <w:r w:rsidR="009B7B15">
              <w:rPr>
                <w:rFonts w:ascii="Times New Roman" w:hAnsi="Times New Roman"/>
                <w:sz w:val="20"/>
                <w:szCs w:val="20"/>
              </w:rPr>
              <w:t xml:space="preserve">il y a lieu de noter </w:t>
            </w:r>
            <w:r w:rsidR="00AC53ED">
              <w:rPr>
                <w:rFonts w:ascii="Times New Roman" w:hAnsi="Times New Roman"/>
                <w:sz w:val="20"/>
                <w:szCs w:val="20"/>
              </w:rPr>
              <w:t xml:space="preserve">également </w:t>
            </w:r>
            <w:r w:rsidR="009B7B15">
              <w:rPr>
                <w:rFonts w:ascii="Times New Roman" w:hAnsi="Times New Roman"/>
                <w:sz w:val="20"/>
                <w:szCs w:val="20"/>
              </w:rPr>
              <w:t>les crues récurrent des cours d’eau tels que les rivières Funa, Bitshaku-tshaku, Lunkunga, Binza, Nd’jili, Nsele et Bombo suite aux pluies torrentielles saisonnières. L’absence d’u</w:t>
            </w:r>
            <w:r w:rsidR="00131D23">
              <w:rPr>
                <w:rFonts w:ascii="Times New Roman" w:hAnsi="Times New Roman"/>
                <w:sz w:val="20"/>
                <w:szCs w:val="20"/>
              </w:rPr>
              <w:t>n</w:t>
            </w:r>
            <w:r w:rsidR="009B7B15">
              <w:rPr>
                <w:rFonts w:ascii="Times New Roman" w:hAnsi="Times New Roman"/>
                <w:sz w:val="20"/>
                <w:szCs w:val="20"/>
              </w:rPr>
              <w:t xml:space="preserve"> réseau de drainage </w:t>
            </w:r>
            <w:r w:rsidR="00131D23">
              <w:rPr>
                <w:rFonts w:ascii="Times New Roman" w:hAnsi="Times New Roman"/>
                <w:sz w:val="20"/>
                <w:szCs w:val="20"/>
              </w:rPr>
              <w:t xml:space="preserve">d’eaux usées et pluviales, et le manque d’une urbanisation planifiée dans  la zone du projet est à la base des inondations urbaines récurrentes pendant la saison de pluie. </w:t>
            </w:r>
            <w:r w:rsidRPr="0042136F">
              <w:rPr>
                <w:rFonts w:ascii="Times New Roman" w:eastAsia="Times New Roman" w:hAnsi="Times New Roman"/>
                <w:sz w:val="24"/>
                <w:szCs w:val="24"/>
                <w:lang w:val="fr-CD"/>
              </w:rPr>
              <w:t xml:space="preserve"> </w:t>
            </w:r>
          </w:p>
        </w:tc>
      </w:tr>
      <w:tr w:rsidR="000637A4" w:rsidRPr="00420C1B" w14:paraId="04B3026D" w14:textId="77777777" w:rsidTr="00215867">
        <w:trPr>
          <w:trHeight w:val="235"/>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D5EB73" w14:textId="388CE82D" w:rsidR="000637A4" w:rsidRPr="00215867" w:rsidRDefault="000637A4"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Espace naturel</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76B3D43" w14:textId="77BAEE61" w:rsidR="007518DA" w:rsidRDefault="007518DA" w:rsidP="00215867">
            <w:pPr>
              <w:spacing w:after="120"/>
              <w:jc w:val="both"/>
              <w:rPr>
                <w:rFonts w:ascii="Times New Roman" w:hAnsi="Times New Roman"/>
                <w:sz w:val="20"/>
                <w:szCs w:val="20"/>
              </w:rPr>
            </w:pPr>
            <w:r>
              <w:rPr>
                <w:rFonts w:ascii="Times New Roman" w:hAnsi="Times New Roman"/>
                <w:sz w:val="20"/>
                <w:szCs w:val="20"/>
              </w:rPr>
              <w:t xml:space="preserve">La ville de Kinshasa regorge </w:t>
            </w:r>
            <w:r w:rsidR="006F465C">
              <w:rPr>
                <w:rFonts w:ascii="Times New Roman" w:hAnsi="Times New Roman"/>
                <w:sz w:val="20"/>
                <w:szCs w:val="20"/>
              </w:rPr>
              <w:t>6</w:t>
            </w:r>
            <w:r>
              <w:rPr>
                <w:rFonts w:ascii="Times New Roman" w:hAnsi="Times New Roman"/>
                <w:sz w:val="20"/>
                <w:szCs w:val="20"/>
              </w:rPr>
              <w:t xml:space="preserve"> espaces naturels pour la conservation de flore et la faune sauvage ainsi que des sites touristiques, à savoir :</w:t>
            </w:r>
          </w:p>
          <w:p w14:paraId="148F55CB" w14:textId="342DDE5E" w:rsidR="007518DA" w:rsidRDefault="007518DA" w:rsidP="00215867">
            <w:pPr>
              <w:pStyle w:val="Paragraphedeliste"/>
              <w:numPr>
                <w:ilvl w:val="0"/>
                <w:numId w:val="1"/>
              </w:numPr>
              <w:spacing w:after="0"/>
              <w:ind w:left="471"/>
              <w:jc w:val="both"/>
              <w:rPr>
                <w:rFonts w:ascii="Times New Roman" w:hAnsi="Times New Roman"/>
                <w:sz w:val="20"/>
                <w:szCs w:val="20"/>
              </w:rPr>
            </w:pPr>
            <w:r>
              <w:rPr>
                <w:rFonts w:ascii="Times New Roman" w:hAnsi="Times New Roman"/>
                <w:sz w:val="20"/>
                <w:szCs w:val="20"/>
              </w:rPr>
              <w:t>Lola ya Bonobo</w:t>
            </w:r>
            <w:r w:rsidR="00760A2B">
              <w:rPr>
                <w:rFonts w:ascii="Times New Roman" w:hAnsi="Times New Roman"/>
                <w:sz w:val="20"/>
                <w:szCs w:val="20"/>
              </w:rPr>
              <w:t xml:space="preserve"> en Lingala, « le paradis des bonobos », est un sanctuaire créé par Claudine André dans le but de recueillir et de sauver des bébés Bonobos victimes de braconnage, et, à terme, de les réintroduire dans une réserve naturelle. Cette sanctuaire compte 60 primates et est située dans la commune de Mont-Ngafula et à 10 km des sites du projet ;</w:t>
            </w:r>
          </w:p>
          <w:p w14:paraId="78E74B0B" w14:textId="77777777" w:rsidR="00760A2B" w:rsidRDefault="00445634" w:rsidP="00215867">
            <w:pPr>
              <w:pStyle w:val="Paragraphedeliste"/>
              <w:numPr>
                <w:ilvl w:val="0"/>
                <w:numId w:val="1"/>
              </w:numPr>
              <w:spacing w:after="0"/>
              <w:ind w:left="471"/>
              <w:jc w:val="both"/>
              <w:rPr>
                <w:rFonts w:ascii="Times New Roman" w:hAnsi="Times New Roman"/>
                <w:sz w:val="20"/>
                <w:szCs w:val="20"/>
              </w:rPr>
            </w:pPr>
            <w:r>
              <w:rPr>
                <w:rFonts w:ascii="Times New Roman" w:hAnsi="Times New Roman"/>
                <w:sz w:val="20"/>
                <w:szCs w:val="20"/>
              </w:rPr>
              <w:t>S</w:t>
            </w:r>
            <w:r w:rsidR="00760A2B">
              <w:rPr>
                <w:rFonts w:ascii="Times New Roman" w:hAnsi="Times New Roman"/>
                <w:sz w:val="20"/>
                <w:szCs w:val="20"/>
              </w:rPr>
              <w:t>erpentorium</w:t>
            </w:r>
            <w:r>
              <w:rPr>
                <w:rFonts w:ascii="Times New Roman" w:hAnsi="Times New Roman"/>
                <w:sz w:val="20"/>
                <w:szCs w:val="20"/>
              </w:rPr>
              <w:t xml:space="preserve"> ou Serpent du Congo, est un sanctuaire de serpents</w:t>
            </w:r>
            <w:r w:rsidR="00773A97">
              <w:rPr>
                <w:rFonts w:ascii="Times New Roman" w:hAnsi="Times New Roman"/>
                <w:sz w:val="20"/>
                <w:szCs w:val="20"/>
              </w:rPr>
              <w:t xml:space="preserve"> situé dans la commune de Mont-Ngafula et</w:t>
            </w:r>
            <w:r>
              <w:rPr>
                <w:rFonts w:ascii="Times New Roman" w:hAnsi="Times New Roman"/>
                <w:sz w:val="20"/>
                <w:szCs w:val="20"/>
              </w:rPr>
              <w:t xml:space="preserve"> renfermant une douzaine de spécimens (Mamba vert noir, vipères, </w:t>
            </w:r>
            <w:r w:rsidR="00773A97" w:rsidRPr="00773A97">
              <w:rPr>
                <w:rFonts w:ascii="Times New Roman" w:hAnsi="Times New Roman"/>
                <w:i/>
                <w:sz w:val="20"/>
                <w:szCs w:val="20"/>
              </w:rPr>
              <w:t xml:space="preserve">Thrasops </w:t>
            </w:r>
            <w:r w:rsidRPr="00215867">
              <w:rPr>
                <w:rFonts w:ascii="Times New Roman" w:hAnsi="Times New Roman"/>
                <w:i/>
                <w:sz w:val="20"/>
                <w:szCs w:val="20"/>
              </w:rPr>
              <w:t>jacksonii</w:t>
            </w:r>
            <w:r>
              <w:rPr>
                <w:rFonts w:ascii="Times New Roman" w:hAnsi="Times New Roman"/>
                <w:sz w:val="20"/>
                <w:szCs w:val="20"/>
              </w:rPr>
              <w:t xml:space="preserve">, python seba et dasypelthis mangeur d’œufs) élevés dans un but purement touristiques. </w:t>
            </w:r>
          </w:p>
          <w:p w14:paraId="6DC3E337" w14:textId="09CCF705" w:rsidR="006672E0" w:rsidRDefault="00773A97" w:rsidP="00215867">
            <w:pPr>
              <w:pStyle w:val="Paragraphedeliste"/>
              <w:numPr>
                <w:ilvl w:val="0"/>
                <w:numId w:val="1"/>
              </w:numPr>
              <w:spacing w:after="0"/>
              <w:ind w:left="471"/>
              <w:jc w:val="both"/>
              <w:rPr>
                <w:rFonts w:ascii="Times New Roman" w:hAnsi="Times New Roman"/>
                <w:sz w:val="20"/>
                <w:szCs w:val="20"/>
              </w:rPr>
            </w:pPr>
            <w:r>
              <w:rPr>
                <w:rFonts w:ascii="Times New Roman" w:hAnsi="Times New Roman"/>
                <w:sz w:val="20"/>
                <w:szCs w:val="20"/>
              </w:rPr>
              <w:t>Parc de valée de la Nsele</w:t>
            </w:r>
            <w:r w:rsidR="006672E0">
              <w:rPr>
                <w:rFonts w:ascii="Times New Roman" w:hAnsi="Times New Roman"/>
                <w:sz w:val="20"/>
                <w:szCs w:val="20"/>
              </w:rPr>
              <w:t xml:space="preserve"> (PVN)</w:t>
            </w:r>
            <w:r>
              <w:rPr>
                <w:rFonts w:ascii="Times New Roman" w:hAnsi="Times New Roman"/>
                <w:sz w:val="20"/>
                <w:szCs w:val="20"/>
              </w:rPr>
              <w:t xml:space="preserve">, </w:t>
            </w:r>
            <w:r w:rsidRPr="00215867">
              <w:rPr>
                <w:rFonts w:ascii="Times New Roman" w:hAnsi="Times New Roman"/>
                <w:sz w:val="20"/>
                <w:szCs w:val="20"/>
              </w:rPr>
              <w:t xml:space="preserve">un Joyau de la RDC. Une aire protégée </w:t>
            </w:r>
            <w:r w:rsidR="006672E0" w:rsidRPr="006672E0">
              <w:rPr>
                <w:rFonts w:ascii="Times New Roman" w:hAnsi="Times New Roman"/>
                <w:sz w:val="20"/>
                <w:szCs w:val="20"/>
              </w:rPr>
              <w:t>dédiée</w:t>
            </w:r>
            <w:r w:rsidRPr="00215867">
              <w:rPr>
                <w:rFonts w:ascii="Times New Roman" w:hAnsi="Times New Roman"/>
                <w:sz w:val="20"/>
                <w:szCs w:val="20"/>
              </w:rPr>
              <w:t xml:space="preserve"> à la conservation de la faune et de la flore.</w:t>
            </w:r>
            <w:r w:rsidR="006672E0">
              <w:rPr>
                <w:rFonts w:ascii="Times New Roman" w:hAnsi="Times New Roman"/>
                <w:sz w:val="20"/>
                <w:szCs w:val="20"/>
              </w:rPr>
              <w:t xml:space="preserve"> </w:t>
            </w:r>
            <w:r w:rsidR="005F5016">
              <w:rPr>
                <w:rFonts w:ascii="Times New Roman" w:hAnsi="Times New Roman"/>
                <w:sz w:val="20"/>
                <w:szCs w:val="20"/>
              </w:rPr>
              <w:t>Il</w:t>
            </w:r>
            <w:r w:rsidR="006672E0">
              <w:rPr>
                <w:rFonts w:ascii="Times New Roman" w:hAnsi="Times New Roman"/>
                <w:sz w:val="20"/>
                <w:szCs w:val="20"/>
              </w:rPr>
              <w:t xml:space="preserve"> est situé à l’Est et au Sud par le plateau des Batékés, et à l’Ouest par la rivière Nsele. Créé par l’ordonnance n°83-110 du 05 mai 1983, comme réserve naturelle intégrale dénommée « Parc Président Mobutu ». D’une superficie de </w:t>
            </w:r>
            <w:r w:rsidR="006672E0" w:rsidRPr="00215867">
              <w:rPr>
                <w:rFonts w:ascii="Times New Roman" w:hAnsi="Times New Roman"/>
                <w:sz w:val="20"/>
                <w:szCs w:val="20"/>
              </w:rPr>
              <w:t>3550 hectares, contigu au domaine présidentiel de la Nsele, il est situé à 60 km à l’</w:t>
            </w:r>
            <w:r w:rsidR="005F5016">
              <w:rPr>
                <w:rFonts w:ascii="Times New Roman" w:hAnsi="Times New Roman"/>
                <w:sz w:val="20"/>
                <w:szCs w:val="20"/>
              </w:rPr>
              <w:t>E</w:t>
            </w:r>
            <w:r w:rsidR="006672E0" w:rsidRPr="00215867">
              <w:rPr>
                <w:rFonts w:ascii="Times New Roman" w:hAnsi="Times New Roman"/>
                <w:sz w:val="20"/>
                <w:szCs w:val="20"/>
              </w:rPr>
              <w:t xml:space="preserve">st de Kinshasa, dans la commune de la Nsele. On y retrouve encore quelques espèces de cercopithèques de Brazza, de phacochères, de sitatungas, de tortues, de varans du Nil ainsi que des pintades et de perdrix encore en abondance. Le parc de la Nsele est caractérisé par deux types de végétations dominantes que sont la forêt galerie le long de la Nsele et la savane arbustive avec présence très remarquée de </w:t>
            </w:r>
            <w:r w:rsidR="006672E0" w:rsidRPr="00215867">
              <w:rPr>
                <w:rFonts w:ascii="Times New Roman" w:hAnsi="Times New Roman"/>
                <w:i/>
                <w:sz w:val="20"/>
                <w:szCs w:val="20"/>
              </w:rPr>
              <w:t>Borassus regina</w:t>
            </w:r>
            <w:r w:rsidR="006672E0" w:rsidRPr="00215867">
              <w:rPr>
                <w:rFonts w:ascii="Times New Roman" w:hAnsi="Times New Roman"/>
                <w:sz w:val="20"/>
                <w:szCs w:val="20"/>
              </w:rPr>
              <w:t>.</w:t>
            </w:r>
            <w:r w:rsidR="006672E0" w:rsidRPr="00420C1B">
              <w:t xml:space="preserve"> </w:t>
            </w:r>
            <w:r w:rsidR="006672E0" w:rsidRPr="00215867">
              <w:rPr>
                <w:rFonts w:ascii="Times New Roman" w:hAnsi="Times New Roman"/>
                <w:sz w:val="20"/>
                <w:szCs w:val="20"/>
              </w:rPr>
              <w:t>Les habitats de ce parc sont en grande partie dévastés par les activités humaines.</w:t>
            </w:r>
          </w:p>
          <w:p w14:paraId="6CECA4D2" w14:textId="77777777" w:rsidR="006672E0" w:rsidRDefault="006672E0" w:rsidP="00215867">
            <w:pPr>
              <w:pStyle w:val="Paragraphedeliste"/>
              <w:numPr>
                <w:ilvl w:val="0"/>
                <w:numId w:val="1"/>
              </w:numPr>
              <w:spacing w:after="0"/>
              <w:ind w:left="471"/>
              <w:jc w:val="both"/>
              <w:rPr>
                <w:rFonts w:ascii="Times New Roman" w:hAnsi="Times New Roman"/>
                <w:sz w:val="20"/>
                <w:szCs w:val="20"/>
              </w:rPr>
            </w:pPr>
            <w:r w:rsidRPr="00215867">
              <w:rPr>
                <w:rFonts w:ascii="Times New Roman" w:hAnsi="Times New Roman"/>
                <w:sz w:val="20"/>
                <w:szCs w:val="20"/>
              </w:rPr>
              <w:t>Domaine de chasse de Bombo Lumene (DCBL)</w:t>
            </w:r>
            <w:r w:rsidR="005F5016">
              <w:rPr>
                <w:rFonts w:ascii="Times New Roman" w:hAnsi="Times New Roman"/>
                <w:sz w:val="20"/>
                <w:szCs w:val="20"/>
              </w:rPr>
              <w:t> :</w:t>
            </w:r>
            <w:r w:rsidRPr="00215867">
              <w:rPr>
                <w:rFonts w:ascii="Times New Roman" w:hAnsi="Times New Roman"/>
                <w:sz w:val="20"/>
                <w:szCs w:val="20"/>
              </w:rPr>
              <w:t xml:space="preserve"> Située </w:t>
            </w:r>
            <w:r w:rsidR="005F5016">
              <w:rPr>
                <w:rFonts w:ascii="Times New Roman" w:hAnsi="Times New Roman"/>
                <w:sz w:val="20"/>
                <w:szCs w:val="20"/>
              </w:rPr>
              <w:t xml:space="preserve">dans la commune de Maluku et </w:t>
            </w:r>
            <w:r w:rsidRPr="00215867">
              <w:rPr>
                <w:rFonts w:ascii="Times New Roman" w:hAnsi="Times New Roman"/>
                <w:sz w:val="20"/>
                <w:szCs w:val="20"/>
              </w:rPr>
              <w:t xml:space="preserve">à 120 km </w:t>
            </w:r>
            <w:r w:rsidR="005F5016">
              <w:rPr>
                <w:rFonts w:ascii="Times New Roman" w:hAnsi="Times New Roman"/>
                <w:sz w:val="20"/>
                <w:szCs w:val="20"/>
              </w:rPr>
              <w:t xml:space="preserve">à l’Est de </w:t>
            </w:r>
            <w:r w:rsidR="005F5016" w:rsidRPr="005F5016">
              <w:rPr>
                <w:rFonts w:ascii="Times New Roman" w:hAnsi="Times New Roman"/>
                <w:sz w:val="20"/>
                <w:szCs w:val="20"/>
              </w:rPr>
              <w:t>Kinshasa</w:t>
            </w:r>
            <w:r w:rsidRPr="00215867">
              <w:rPr>
                <w:rFonts w:ascii="Times New Roman" w:hAnsi="Times New Roman"/>
                <w:sz w:val="20"/>
                <w:szCs w:val="20"/>
              </w:rPr>
              <w:t>, le domaine et la réserve de chasse de Bombo-Lumene ont été créés respectivement en 1968 pour ce qui concerne la partie «domaine» et en 1976 pour la partie réserve créée en son sein. L’objectif était de promouvoir la conservation et l’utilisation durable des ressources naturelles. Aujourd’hui, alors que la ville de Kinshasa est en pleine expansion, le Domaine de Bombo</w:t>
            </w:r>
            <w:r w:rsidR="005F5016">
              <w:rPr>
                <w:rFonts w:ascii="Times New Roman" w:hAnsi="Times New Roman"/>
                <w:sz w:val="20"/>
                <w:szCs w:val="20"/>
              </w:rPr>
              <w:t>-</w:t>
            </w:r>
            <w:r w:rsidRPr="00215867">
              <w:rPr>
                <w:rFonts w:ascii="Times New Roman" w:hAnsi="Times New Roman"/>
                <w:sz w:val="20"/>
                <w:szCs w:val="20"/>
              </w:rPr>
              <w:t>Lumene représente un des patrimoines congolais parmi les plus menacés. D’une superficie approximative de 350 000 ha, le domaine de chasse s’inscrit sur la partie congolaise du plateau des Batékés. Ce dernier constitue une vaste surface plane sur la série des sables ocre du Kalahari. Le plateau est entamé profondément par des vallées</w:t>
            </w:r>
            <w:r w:rsidR="005F5016">
              <w:rPr>
                <w:rFonts w:ascii="Times New Roman" w:hAnsi="Times New Roman"/>
                <w:sz w:val="20"/>
                <w:szCs w:val="20"/>
              </w:rPr>
              <w:t xml:space="preserve"> </w:t>
            </w:r>
            <w:r w:rsidRPr="00215867">
              <w:rPr>
                <w:rFonts w:ascii="Times New Roman" w:hAnsi="Times New Roman"/>
                <w:sz w:val="20"/>
                <w:szCs w:val="20"/>
              </w:rPr>
              <w:t xml:space="preserve">encaissées coulant du Sud au Nord, dont les rivières Bombo et Lumene qui ont donné leur nom au Domaine de chasse. Ce relief particulier confère au site ces vastes paysages vallonnés qui en tire sa beauté particulière. La pluviosité élevée (1 500 mm, quatre mois de saison sèche) caractérise un climat soudano-guinéen du type AW4 de Köppen. Du fait des sols sablonneux, la végétation des plateaux est surtout caractérisée par une savane arbustive à </w:t>
            </w:r>
            <w:r w:rsidRPr="00215867">
              <w:rPr>
                <w:rFonts w:ascii="Times New Roman" w:hAnsi="Times New Roman"/>
                <w:i/>
                <w:sz w:val="20"/>
                <w:szCs w:val="20"/>
              </w:rPr>
              <w:t>Hymenocardia acida</w:t>
            </w:r>
            <w:r w:rsidRPr="00215867">
              <w:rPr>
                <w:rFonts w:ascii="Times New Roman" w:hAnsi="Times New Roman"/>
                <w:sz w:val="20"/>
                <w:szCs w:val="20"/>
              </w:rPr>
              <w:t xml:space="preserve">, </w:t>
            </w:r>
            <w:r w:rsidRPr="00215867">
              <w:rPr>
                <w:rFonts w:ascii="Times New Roman" w:hAnsi="Times New Roman"/>
                <w:i/>
                <w:sz w:val="20"/>
                <w:szCs w:val="20"/>
              </w:rPr>
              <w:t>Crossopteryx febrifuga, Annona senegalensis et Vitex madiensis</w:t>
            </w:r>
            <w:r w:rsidRPr="00215867">
              <w:rPr>
                <w:rFonts w:ascii="Times New Roman" w:hAnsi="Times New Roman"/>
                <w:sz w:val="20"/>
                <w:szCs w:val="20"/>
              </w:rPr>
              <w:t xml:space="preserve"> alternant avec une savane herbeuse à </w:t>
            </w:r>
            <w:r w:rsidRPr="00215867">
              <w:rPr>
                <w:rFonts w:ascii="Times New Roman" w:hAnsi="Times New Roman"/>
                <w:i/>
                <w:sz w:val="20"/>
                <w:szCs w:val="20"/>
              </w:rPr>
              <w:t>Loudetia demeusii, Ctenium newtonii et Laudelphia lanceolata</w:t>
            </w:r>
            <w:r w:rsidRPr="00215867">
              <w:rPr>
                <w:rFonts w:ascii="Times New Roman" w:hAnsi="Times New Roman"/>
                <w:sz w:val="20"/>
                <w:szCs w:val="20"/>
              </w:rPr>
              <w:t>. Les cours d’eau sont bordés de galeries forestières dont le développement varie selon les lieux. Lors de sa création, Bombo-Lumene possédait la faune riche et variée propre aux savanes: Buffle, Hippopotame, Cobe Defassa, Guib harnaché, Céphalophe de Grimm. La pression cynégétique locale, doublée d’un braconnage intensif provenant de chasseurs kinois, ont largement entamé ce potentiel faunistique, de sorte que ne subsistent que quelques populations décimées de buffles, d’hippopotames, de guibs et de céphalophes de Grimm. Néanmoins, ces reliquats de populations animales peuvent être considérés comme exceptionnels si l’on considère la pression potentielle que représente une ville comme Kinshasa. L’intérêt pour le domaine n’a cependant jamais disparu; aujourd’hui encore de nombreux touristes fréquentent les paysages moutonneux des plateaux Batékés.</w:t>
            </w:r>
          </w:p>
          <w:p w14:paraId="2D4FF3A3" w14:textId="59A7DC67" w:rsidR="00787BF6" w:rsidRDefault="00787BF6" w:rsidP="00215867">
            <w:pPr>
              <w:pStyle w:val="Paragraphedeliste"/>
              <w:spacing w:after="0"/>
              <w:ind w:left="471"/>
              <w:jc w:val="both"/>
              <w:rPr>
                <w:rFonts w:ascii="Times New Roman" w:hAnsi="Times New Roman"/>
                <w:sz w:val="20"/>
                <w:szCs w:val="20"/>
              </w:rPr>
            </w:pPr>
            <w:r>
              <w:rPr>
                <w:rFonts w:ascii="Times New Roman" w:hAnsi="Times New Roman"/>
                <w:sz w:val="20"/>
                <w:szCs w:val="20"/>
              </w:rPr>
              <w:t>La réserve régorge au moins 60 pourcents des espèces totalement ou partiellement protégées selon la classification de UICN.</w:t>
            </w:r>
          </w:p>
          <w:p w14:paraId="7B4BB58B" w14:textId="77777777" w:rsidR="005F5016" w:rsidRDefault="005F5016" w:rsidP="00215867">
            <w:pPr>
              <w:pStyle w:val="Paragraphedeliste"/>
              <w:numPr>
                <w:ilvl w:val="0"/>
                <w:numId w:val="1"/>
              </w:numPr>
              <w:spacing w:after="0"/>
              <w:ind w:left="471"/>
              <w:jc w:val="both"/>
              <w:rPr>
                <w:rFonts w:ascii="Times New Roman" w:hAnsi="Times New Roman"/>
                <w:sz w:val="20"/>
                <w:szCs w:val="20"/>
              </w:rPr>
            </w:pPr>
            <w:r>
              <w:rPr>
                <w:rFonts w:ascii="Times New Roman" w:hAnsi="Times New Roman"/>
                <w:sz w:val="20"/>
                <w:szCs w:val="20"/>
              </w:rPr>
              <w:t>Le jardin botanique et zoologique de Kinshasa : i</w:t>
            </w:r>
            <w:r w:rsidRPr="00215867">
              <w:rPr>
                <w:rFonts w:ascii="Times New Roman" w:hAnsi="Times New Roman"/>
                <w:sz w:val="20"/>
                <w:szCs w:val="20"/>
              </w:rPr>
              <w:t>l s'agit d'un type de la conservation ex-situ de la faune et de la flore. Ces jardins sont sous la responsabilité de l'Institut des Jardins Zoologiques et Botaniques du Congo (IJZBC), institué par ord</w:t>
            </w:r>
            <w:r w:rsidRPr="005F5016">
              <w:rPr>
                <w:rFonts w:ascii="Times New Roman" w:hAnsi="Times New Roman"/>
                <w:sz w:val="20"/>
                <w:szCs w:val="20"/>
              </w:rPr>
              <w:t>onnance n° 78-215 du 5 mai 1978</w:t>
            </w:r>
            <w:r>
              <w:rPr>
                <w:rFonts w:ascii="Times New Roman" w:hAnsi="Times New Roman"/>
                <w:sz w:val="20"/>
                <w:szCs w:val="20"/>
              </w:rPr>
              <w:t xml:space="preserve">. </w:t>
            </w:r>
          </w:p>
          <w:p w14:paraId="7CBFD86B" w14:textId="77777777" w:rsidR="00E06345" w:rsidRDefault="00E06345" w:rsidP="00215867">
            <w:pPr>
              <w:pStyle w:val="Paragraphedeliste"/>
              <w:spacing w:after="0"/>
              <w:ind w:left="471"/>
              <w:jc w:val="both"/>
              <w:rPr>
                <w:rFonts w:ascii="Times New Roman" w:hAnsi="Times New Roman"/>
                <w:sz w:val="20"/>
                <w:szCs w:val="20"/>
              </w:rPr>
            </w:pPr>
            <w:r>
              <w:rPr>
                <w:rFonts w:ascii="Times New Roman" w:hAnsi="Times New Roman"/>
                <w:sz w:val="20"/>
                <w:szCs w:val="20"/>
              </w:rPr>
              <w:t>C</w:t>
            </w:r>
            <w:r w:rsidRPr="00215867">
              <w:rPr>
                <w:rFonts w:ascii="Times New Roman" w:hAnsi="Times New Roman"/>
                <w:sz w:val="20"/>
                <w:szCs w:val="20"/>
              </w:rPr>
              <w:t>réé en 1936 à Kinshasa, avec une superficie de 6 hectares. On y dénombre près de 300 espèces de plantes</w:t>
            </w:r>
            <w:r>
              <w:rPr>
                <w:rFonts w:ascii="Times New Roman" w:hAnsi="Times New Roman"/>
                <w:sz w:val="20"/>
                <w:szCs w:val="20"/>
              </w:rPr>
              <w:t xml:space="preserve"> dans le jardin botanique de Kinshasa</w:t>
            </w:r>
            <w:r w:rsidR="00C06FDD">
              <w:rPr>
                <w:rFonts w:ascii="Times New Roman" w:hAnsi="Times New Roman"/>
                <w:sz w:val="20"/>
                <w:szCs w:val="20"/>
              </w:rPr>
              <w:t xml:space="preserve">. </w:t>
            </w:r>
          </w:p>
          <w:p w14:paraId="3AB674FE" w14:textId="7DA5A3BF" w:rsidR="00C87356" w:rsidRPr="00215867" w:rsidRDefault="00C87356" w:rsidP="00215867">
            <w:pPr>
              <w:pStyle w:val="Paragraphedeliste"/>
              <w:spacing w:after="0"/>
              <w:ind w:left="471"/>
              <w:jc w:val="both"/>
              <w:rPr>
                <w:rFonts w:ascii="Times New Roman" w:hAnsi="Times New Roman"/>
                <w:sz w:val="20"/>
                <w:szCs w:val="20"/>
              </w:rPr>
            </w:pPr>
            <w:r w:rsidRPr="00215867">
              <w:rPr>
                <w:rFonts w:ascii="Times New Roman" w:hAnsi="Times New Roman"/>
                <w:sz w:val="20"/>
                <w:szCs w:val="20"/>
              </w:rPr>
              <w:t>Cr</w:t>
            </w:r>
            <w:r w:rsidRPr="00215867">
              <w:rPr>
                <w:rFonts w:ascii="Times New Roman" w:hAnsi="Times New Roman" w:hint="eastAsia"/>
                <w:sz w:val="20"/>
                <w:szCs w:val="20"/>
              </w:rPr>
              <w:t>éé</w:t>
            </w:r>
            <w:r w:rsidRPr="00215867">
              <w:rPr>
                <w:rFonts w:ascii="Times New Roman" w:hAnsi="Times New Roman"/>
                <w:sz w:val="20"/>
                <w:szCs w:val="20"/>
              </w:rPr>
              <w:t xml:space="preserve"> depuis l</w:t>
            </w:r>
            <w:r w:rsidR="006F465C" w:rsidRPr="00215867">
              <w:rPr>
                <w:rFonts w:ascii="Times New Roman" w:hAnsi="Times New Roman"/>
                <w:sz w:val="20"/>
                <w:szCs w:val="20"/>
              </w:rPr>
              <w:t>’</w:t>
            </w:r>
            <w:r w:rsidRPr="00215867">
              <w:rPr>
                <w:rFonts w:ascii="Times New Roman" w:hAnsi="Times New Roman" w:hint="eastAsia"/>
                <w:sz w:val="20"/>
                <w:szCs w:val="20"/>
              </w:rPr>
              <w:t>é</w:t>
            </w:r>
            <w:r w:rsidRPr="00215867">
              <w:rPr>
                <w:rFonts w:ascii="Times New Roman" w:hAnsi="Times New Roman"/>
                <w:sz w:val="20"/>
                <w:szCs w:val="20"/>
              </w:rPr>
              <w:t>poque coloniale, pr</w:t>
            </w:r>
            <w:r w:rsidRPr="00215867">
              <w:rPr>
                <w:rFonts w:ascii="Times New Roman" w:hAnsi="Times New Roman" w:hint="eastAsia"/>
                <w:sz w:val="20"/>
                <w:szCs w:val="20"/>
              </w:rPr>
              <w:t>é</w:t>
            </w:r>
            <w:r w:rsidRPr="00215867">
              <w:rPr>
                <w:rFonts w:ascii="Times New Roman" w:hAnsi="Times New Roman"/>
                <w:sz w:val="20"/>
                <w:szCs w:val="20"/>
              </w:rPr>
              <w:t>cis</w:t>
            </w:r>
            <w:r w:rsidRPr="00215867">
              <w:rPr>
                <w:rFonts w:ascii="Times New Roman" w:hAnsi="Times New Roman" w:hint="eastAsia"/>
                <w:sz w:val="20"/>
                <w:szCs w:val="20"/>
              </w:rPr>
              <w:t>é</w:t>
            </w:r>
            <w:r w:rsidRPr="00215867">
              <w:rPr>
                <w:rFonts w:ascii="Times New Roman" w:hAnsi="Times New Roman"/>
                <w:sz w:val="20"/>
                <w:szCs w:val="20"/>
              </w:rPr>
              <w:t>ment dans les ann</w:t>
            </w:r>
            <w:r w:rsidRPr="00215867">
              <w:rPr>
                <w:rFonts w:ascii="Times New Roman" w:hAnsi="Times New Roman" w:hint="eastAsia"/>
                <w:sz w:val="20"/>
                <w:szCs w:val="20"/>
              </w:rPr>
              <w:t>é</w:t>
            </w:r>
            <w:r w:rsidRPr="00215867">
              <w:rPr>
                <w:rFonts w:ascii="Times New Roman" w:hAnsi="Times New Roman"/>
                <w:sz w:val="20"/>
                <w:szCs w:val="20"/>
              </w:rPr>
              <w:t xml:space="preserve">es 1938, le Jardin Zoologique de Kinshasa </w:t>
            </w:r>
            <w:r w:rsidRPr="00215867">
              <w:rPr>
                <w:rFonts w:ascii="Times New Roman" w:hAnsi="Times New Roman" w:hint="eastAsia"/>
                <w:sz w:val="20"/>
                <w:szCs w:val="20"/>
              </w:rPr>
              <w:t>é</w:t>
            </w:r>
            <w:r w:rsidRPr="00215867">
              <w:rPr>
                <w:rFonts w:ascii="Times New Roman" w:hAnsi="Times New Roman"/>
                <w:sz w:val="20"/>
                <w:szCs w:val="20"/>
              </w:rPr>
              <w:t>tait autrefois tr</w:t>
            </w:r>
            <w:r w:rsidRPr="00215867">
              <w:rPr>
                <w:rFonts w:ascii="Times New Roman" w:hAnsi="Times New Roman" w:hint="eastAsia"/>
                <w:sz w:val="20"/>
                <w:szCs w:val="20"/>
              </w:rPr>
              <w:t>è</w:t>
            </w:r>
            <w:r w:rsidRPr="00215867">
              <w:rPr>
                <w:rFonts w:ascii="Times New Roman" w:hAnsi="Times New Roman"/>
                <w:sz w:val="20"/>
                <w:szCs w:val="20"/>
              </w:rPr>
              <w:t>s appr</w:t>
            </w:r>
            <w:r w:rsidRPr="00215867">
              <w:rPr>
                <w:rFonts w:ascii="Times New Roman" w:hAnsi="Times New Roman" w:hint="eastAsia"/>
                <w:sz w:val="20"/>
                <w:szCs w:val="20"/>
              </w:rPr>
              <w:t>é</w:t>
            </w:r>
            <w:r w:rsidRPr="00215867">
              <w:rPr>
                <w:rFonts w:ascii="Times New Roman" w:hAnsi="Times New Roman"/>
                <w:sz w:val="20"/>
                <w:szCs w:val="20"/>
              </w:rPr>
              <w:t>ci</w:t>
            </w:r>
            <w:r w:rsidRPr="00215867">
              <w:rPr>
                <w:rFonts w:ascii="Times New Roman" w:hAnsi="Times New Roman" w:hint="eastAsia"/>
                <w:sz w:val="20"/>
                <w:szCs w:val="20"/>
              </w:rPr>
              <w:t>é</w:t>
            </w:r>
            <w:r w:rsidRPr="00215867">
              <w:rPr>
                <w:rFonts w:ascii="Times New Roman" w:hAnsi="Times New Roman"/>
                <w:sz w:val="20"/>
                <w:szCs w:val="20"/>
              </w:rPr>
              <w:t xml:space="preserve"> pour la vari</w:t>
            </w:r>
            <w:r w:rsidRPr="00215867">
              <w:rPr>
                <w:rFonts w:ascii="Times New Roman" w:hAnsi="Times New Roman" w:hint="eastAsia"/>
                <w:sz w:val="20"/>
                <w:szCs w:val="20"/>
              </w:rPr>
              <w:t>é</w:t>
            </w:r>
            <w:r w:rsidRPr="00215867">
              <w:rPr>
                <w:rFonts w:ascii="Times New Roman" w:hAnsi="Times New Roman"/>
                <w:sz w:val="20"/>
                <w:szCs w:val="20"/>
              </w:rPr>
              <w:t>t</w:t>
            </w:r>
            <w:r w:rsidRPr="00215867">
              <w:rPr>
                <w:rFonts w:ascii="Times New Roman" w:hAnsi="Times New Roman" w:hint="eastAsia"/>
                <w:sz w:val="20"/>
                <w:szCs w:val="20"/>
              </w:rPr>
              <w:t>é</w:t>
            </w:r>
            <w:r w:rsidRPr="00215867">
              <w:rPr>
                <w:rFonts w:ascii="Times New Roman" w:hAnsi="Times New Roman"/>
                <w:sz w:val="20"/>
                <w:szCs w:val="20"/>
              </w:rPr>
              <w:t xml:space="preserve"> d</w:t>
            </w:r>
            <w:r w:rsidR="00B04EAD" w:rsidRPr="00215867">
              <w:rPr>
                <w:rFonts w:ascii="Times New Roman" w:hAnsi="Times New Roman"/>
                <w:sz w:val="20"/>
                <w:szCs w:val="20"/>
              </w:rPr>
              <w:t>’</w:t>
            </w:r>
            <w:r w:rsidRPr="00215867">
              <w:rPr>
                <w:rFonts w:ascii="Times New Roman" w:hAnsi="Times New Roman"/>
                <w:sz w:val="20"/>
                <w:szCs w:val="20"/>
              </w:rPr>
              <w:t>esp</w:t>
            </w:r>
            <w:r w:rsidRPr="00215867">
              <w:rPr>
                <w:rFonts w:ascii="Times New Roman" w:hAnsi="Times New Roman" w:hint="eastAsia"/>
                <w:sz w:val="20"/>
                <w:szCs w:val="20"/>
              </w:rPr>
              <w:t>è</w:t>
            </w:r>
            <w:r w:rsidRPr="00215867">
              <w:rPr>
                <w:rFonts w:ascii="Times New Roman" w:hAnsi="Times New Roman"/>
                <w:sz w:val="20"/>
                <w:szCs w:val="20"/>
              </w:rPr>
              <w:t>ces d</w:t>
            </w:r>
            <w:r w:rsidR="00B04EAD" w:rsidRPr="00215867">
              <w:rPr>
                <w:rFonts w:ascii="Times New Roman" w:hAnsi="Times New Roman"/>
                <w:sz w:val="20"/>
                <w:szCs w:val="20"/>
              </w:rPr>
              <w:t>’</w:t>
            </w:r>
            <w:r w:rsidRPr="00215867">
              <w:rPr>
                <w:rFonts w:ascii="Times New Roman" w:hAnsi="Times New Roman"/>
                <w:sz w:val="20"/>
                <w:szCs w:val="20"/>
              </w:rPr>
              <w:t>animaux qu</w:t>
            </w:r>
            <w:r w:rsidR="00B04EAD" w:rsidRPr="00215867">
              <w:rPr>
                <w:rFonts w:ascii="Times New Roman" w:hAnsi="Times New Roman"/>
                <w:sz w:val="20"/>
                <w:szCs w:val="20"/>
              </w:rPr>
              <w:t>’</w:t>
            </w:r>
            <w:r w:rsidRPr="00215867">
              <w:rPr>
                <w:rFonts w:ascii="Times New Roman" w:hAnsi="Times New Roman"/>
                <w:sz w:val="20"/>
                <w:szCs w:val="20"/>
              </w:rPr>
              <w:t>il h</w:t>
            </w:r>
            <w:r w:rsidRPr="00215867">
              <w:rPr>
                <w:rFonts w:ascii="Times New Roman" w:hAnsi="Times New Roman" w:hint="eastAsia"/>
                <w:sz w:val="20"/>
                <w:szCs w:val="20"/>
              </w:rPr>
              <w:t>é</w:t>
            </w:r>
            <w:r w:rsidRPr="00215867">
              <w:rPr>
                <w:rFonts w:ascii="Times New Roman" w:hAnsi="Times New Roman"/>
                <w:sz w:val="20"/>
                <w:szCs w:val="20"/>
              </w:rPr>
              <w:t xml:space="preserve">bergeait et </w:t>
            </w:r>
            <w:r w:rsidRPr="00215867">
              <w:rPr>
                <w:rFonts w:ascii="Times New Roman" w:hAnsi="Times New Roman" w:hint="eastAsia"/>
                <w:sz w:val="20"/>
                <w:szCs w:val="20"/>
              </w:rPr>
              <w:t>é</w:t>
            </w:r>
            <w:r w:rsidRPr="00215867">
              <w:rPr>
                <w:rFonts w:ascii="Times New Roman" w:hAnsi="Times New Roman"/>
                <w:sz w:val="20"/>
                <w:szCs w:val="20"/>
              </w:rPr>
              <w:t>tait comme la vitrine de la faune congolaise dans la capitale. Au d</w:t>
            </w:r>
            <w:r w:rsidRPr="00215867">
              <w:rPr>
                <w:rFonts w:ascii="Times New Roman" w:hAnsi="Times New Roman" w:hint="eastAsia"/>
                <w:sz w:val="20"/>
                <w:szCs w:val="20"/>
              </w:rPr>
              <w:t>é</w:t>
            </w:r>
            <w:r w:rsidRPr="00215867">
              <w:rPr>
                <w:rFonts w:ascii="Times New Roman" w:hAnsi="Times New Roman"/>
                <w:sz w:val="20"/>
                <w:szCs w:val="20"/>
              </w:rPr>
              <w:t>part, il s</w:t>
            </w:r>
            <w:r w:rsidR="00B04EAD" w:rsidRPr="00215867">
              <w:rPr>
                <w:rFonts w:ascii="Times New Roman" w:hAnsi="Times New Roman"/>
                <w:sz w:val="20"/>
                <w:szCs w:val="20"/>
              </w:rPr>
              <w:t>’</w:t>
            </w:r>
            <w:r w:rsidRPr="00215867">
              <w:rPr>
                <w:rFonts w:ascii="Times New Roman" w:hAnsi="Times New Roman"/>
                <w:sz w:val="20"/>
                <w:szCs w:val="20"/>
              </w:rPr>
              <w:t>agissait d</w:t>
            </w:r>
            <w:r w:rsidR="00B04EAD" w:rsidRPr="00215867">
              <w:rPr>
                <w:rFonts w:ascii="Times New Roman" w:hAnsi="Times New Roman"/>
                <w:sz w:val="20"/>
                <w:szCs w:val="20"/>
              </w:rPr>
              <w:t>’</w:t>
            </w:r>
            <w:r w:rsidRPr="00215867">
              <w:rPr>
                <w:rFonts w:ascii="Times New Roman" w:hAnsi="Times New Roman"/>
                <w:sz w:val="20"/>
                <w:szCs w:val="20"/>
              </w:rPr>
              <w:t>un centre de quarantaine pour animaux destin</w:t>
            </w:r>
            <w:r w:rsidRPr="00215867">
              <w:rPr>
                <w:rFonts w:ascii="Times New Roman" w:hAnsi="Times New Roman" w:hint="eastAsia"/>
                <w:sz w:val="20"/>
                <w:szCs w:val="20"/>
              </w:rPr>
              <w:t>é</w:t>
            </w:r>
            <w:r w:rsidRPr="00215867">
              <w:rPr>
                <w:rFonts w:ascii="Times New Roman" w:hAnsi="Times New Roman"/>
                <w:sz w:val="20"/>
                <w:szCs w:val="20"/>
              </w:rPr>
              <w:t xml:space="preserve">s </w:t>
            </w:r>
            <w:r w:rsidRPr="00215867">
              <w:rPr>
                <w:rFonts w:ascii="Times New Roman" w:hAnsi="Times New Roman" w:hint="eastAsia"/>
                <w:sz w:val="20"/>
                <w:szCs w:val="20"/>
              </w:rPr>
              <w:t>à</w:t>
            </w:r>
            <w:r w:rsidRPr="00215867">
              <w:rPr>
                <w:rFonts w:ascii="Times New Roman" w:hAnsi="Times New Roman"/>
                <w:sz w:val="20"/>
                <w:szCs w:val="20"/>
              </w:rPr>
              <w:t xml:space="preserve"> l</w:t>
            </w:r>
            <w:r w:rsidR="00B04EAD" w:rsidRPr="00215867">
              <w:rPr>
                <w:rFonts w:ascii="Times New Roman" w:hAnsi="Times New Roman"/>
                <w:sz w:val="20"/>
                <w:szCs w:val="20"/>
              </w:rPr>
              <w:t>’</w:t>
            </w:r>
            <w:r w:rsidRPr="00215867">
              <w:rPr>
                <w:rFonts w:ascii="Times New Roman" w:hAnsi="Times New Roman"/>
                <w:sz w:val="20"/>
                <w:szCs w:val="20"/>
              </w:rPr>
              <w:t>exportation. Le Jardin Zoologique h</w:t>
            </w:r>
            <w:r w:rsidRPr="00215867">
              <w:rPr>
                <w:rFonts w:ascii="Times New Roman" w:hAnsi="Times New Roman" w:hint="eastAsia"/>
                <w:sz w:val="20"/>
                <w:szCs w:val="20"/>
              </w:rPr>
              <w:t>é</w:t>
            </w:r>
            <w:r w:rsidRPr="00215867">
              <w:rPr>
                <w:rFonts w:ascii="Times New Roman" w:hAnsi="Times New Roman"/>
                <w:sz w:val="20"/>
                <w:szCs w:val="20"/>
              </w:rPr>
              <w:t>berge actuellement quelques singes, dont des chimpanz</w:t>
            </w:r>
            <w:r w:rsidRPr="00215867">
              <w:rPr>
                <w:rFonts w:ascii="Times New Roman" w:hAnsi="Times New Roman" w:hint="eastAsia"/>
                <w:sz w:val="20"/>
                <w:szCs w:val="20"/>
              </w:rPr>
              <w:t>é</w:t>
            </w:r>
            <w:r w:rsidRPr="00215867">
              <w:rPr>
                <w:rFonts w:ascii="Times New Roman" w:hAnsi="Times New Roman"/>
                <w:sz w:val="20"/>
                <w:szCs w:val="20"/>
              </w:rPr>
              <w:t>s, des crocodiles, des oiseaux et quelques reptiles.</w:t>
            </w:r>
            <w:r w:rsidR="00080A0D">
              <w:rPr>
                <w:rFonts w:ascii="Times New Roman" w:hAnsi="Times New Roman"/>
                <w:sz w:val="20"/>
                <w:szCs w:val="20"/>
              </w:rPr>
              <w:t xml:space="preserve"> </w:t>
            </w:r>
          </w:p>
        </w:tc>
      </w:tr>
      <w:tr w:rsidR="00486F23" w:rsidRPr="00420C1B" w14:paraId="198C1A36"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A1E8F7A" w14:textId="59DB011F" w:rsidR="00486F23" w:rsidRPr="00215867" w:rsidRDefault="00486F23"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Relief</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E521D46" w14:textId="77777777" w:rsidR="00486F23" w:rsidRPr="00215867" w:rsidRDefault="00486F23" w:rsidP="00215867">
            <w:pPr>
              <w:spacing w:after="0"/>
              <w:jc w:val="both"/>
              <w:rPr>
                <w:rFonts w:ascii="Times New Roman" w:hAnsi="Times New Roman"/>
                <w:sz w:val="20"/>
                <w:szCs w:val="20"/>
              </w:rPr>
            </w:pPr>
            <w:r w:rsidRPr="00215867">
              <w:rPr>
                <w:rFonts w:ascii="Times New Roman" w:hAnsi="Times New Roman"/>
                <w:sz w:val="20"/>
                <w:szCs w:val="20"/>
              </w:rPr>
              <w:t>Le relief de la ville de Kinshasa ressemble à un amphithéâtre. Il est formé d’un plateau à l’Est (Plateau des Bateke), d’une chaîne de collines au Sud et à l’Ouest, d’une plainte au Nord et de zones marécageuses aux abords du Fleuve-Congo, au Nord.</w:t>
            </w:r>
          </w:p>
          <w:p w14:paraId="6173262B" w14:textId="1E32E023" w:rsidR="00486F23" w:rsidRPr="00215867" w:rsidRDefault="00486F23" w:rsidP="00215867">
            <w:pPr>
              <w:spacing w:before="120" w:after="0"/>
              <w:jc w:val="both"/>
              <w:rPr>
                <w:rFonts w:ascii="Times New Roman" w:hAnsi="Times New Roman"/>
                <w:sz w:val="20"/>
                <w:szCs w:val="20"/>
              </w:rPr>
            </w:pPr>
            <w:r w:rsidRPr="00215867">
              <w:rPr>
                <w:rFonts w:ascii="Times New Roman" w:hAnsi="Times New Roman"/>
                <w:sz w:val="20"/>
                <w:szCs w:val="20"/>
              </w:rPr>
              <w:t xml:space="preserve">Le Plateau de Bateke, situé entre 600 et 700 m d’altitude, domine complètement la partie Est de la ville de Kinshasa. La Plaine, dont l’altitude est comprise entre 300 et 330 m, se présente sous la forme d’un croissant, longeant le fleuve par sa face concave, avec une superficie d’environ 100 km2. Elle est divisée en deux entités séparées par la rivière Ndjili : la Plainte de Lemba, à l’Ouest, avec une surface légèrement ondulée et la Plaine de la Nsele, à l’Est. Cette dernière présente une surface plutôt plane, sillonnée de nombreuses rivières qui coulent quasi parallèlement du Sud-Est vers le Nord-Ouest, pour se jeter dans le fleuve-Congo. </w:t>
            </w:r>
          </w:p>
        </w:tc>
      </w:tr>
      <w:tr w:rsidR="00486F23" w:rsidRPr="00420C1B" w14:paraId="7EF4CC62"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F0B0CEE" w14:textId="2732BD59" w:rsidR="00486F23" w:rsidRPr="00215867" w:rsidRDefault="00CC0292"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 xml:space="preserve">Hydrologie </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94F0F0D" w14:textId="77777777" w:rsidR="00486F23" w:rsidRPr="00215867" w:rsidRDefault="00361FE7" w:rsidP="00CE21C1">
            <w:pPr>
              <w:spacing w:after="0"/>
              <w:rPr>
                <w:rFonts w:ascii="Times New Roman" w:hAnsi="Times New Roman"/>
                <w:sz w:val="20"/>
                <w:szCs w:val="20"/>
              </w:rPr>
            </w:pPr>
            <w:r w:rsidRPr="00215867">
              <w:rPr>
                <w:rFonts w:ascii="Times New Roman" w:hAnsi="Times New Roman"/>
                <w:sz w:val="20"/>
                <w:szCs w:val="20"/>
              </w:rPr>
              <w:t xml:space="preserve">Le réseau hydrologique de la ville de Kinshasa est constitué principalement par le fleuve Congo, qui s’étend sur plus de 20 km de large au niveau du Pool Malebo, avant les rapides de Kinsuka, à l’Ouest de la ville. </w:t>
            </w:r>
          </w:p>
          <w:p w14:paraId="15FBFBBA" w14:textId="193DBE45" w:rsidR="00361FE7" w:rsidRPr="00215867" w:rsidRDefault="00361FE7" w:rsidP="00110A00">
            <w:pPr>
              <w:spacing w:after="0"/>
              <w:rPr>
                <w:rFonts w:ascii="Times New Roman" w:hAnsi="Times New Roman"/>
                <w:sz w:val="20"/>
                <w:szCs w:val="20"/>
              </w:rPr>
            </w:pPr>
            <w:r w:rsidRPr="00215867">
              <w:rPr>
                <w:rFonts w:ascii="Times New Roman" w:hAnsi="Times New Roman"/>
                <w:sz w:val="20"/>
                <w:szCs w:val="20"/>
              </w:rPr>
              <w:t xml:space="preserve">La zone concernée par le sous-projet est drainée par plusieurs rivières </w:t>
            </w:r>
            <w:r w:rsidR="00110A00" w:rsidRPr="00215867">
              <w:rPr>
                <w:rFonts w:ascii="Times New Roman" w:hAnsi="Times New Roman"/>
                <w:sz w:val="20"/>
                <w:szCs w:val="20"/>
              </w:rPr>
              <w:t xml:space="preserve">dont les plus importants sont Lukunga, un des affluents de la rivière Ndjili et la rivière Binza et Funa. </w:t>
            </w:r>
          </w:p>
        </w:tc>
      </w:tr>
      <w:tr w:rsidR="00AC7768" w:rsidRPr="00420C1B" w14:paraId="27CDB36A"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64CF6C6D" w14:textId="677BC81B" w:rsidR="00AC7768" w:rsidRPr="00215867" w:rsidRDefault="00AC7768"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Sols</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2B7A8ED" w14:textId="60F7F6C4" w:rsidR="00AC7768" w:rsidRPr="00215867" w:rsidRDefault="00AC7768" w:rsidP="00AC7768">
            <w:pPr>
              <w:spacing w:after="0"/>
              <w:jc w:val="both"/>
              <w:rPr>
                <w:rFonts w:ascii="Times New Roman" w:hAnsi="Times New Roman"/>
                <w:sz w:val="20"/>
                <w:szCs w:val="20"/>
              </w:rPr>
            </w:pPr>
            <w:r w:rsidRPr="00215867">
              <w:rPr>
                <w:rFonts w:ascii="Times New Roman" w:hAnsi="Times New Roman"/>
                <w:sz w:val="20"/>
                <w:szCs w:val="20"/>
              </w:rPr>
              <w:t xml:space="preserve">Les sols identifiés dans la ville de Kinshasa sont essentiellement </w:t>
            </w:r>
            <w:r w:rsidR="00D47BA7" w:rsidRPr="00215867">
              <w:rPr>
                <w:rFonts w:ascii="Times New Roman" w:hAnsi="Times New Roman"/>
                <w:sz w:val="20"/>
                <w:szCs w:val="20"/>
              </w:rPr>
              <w:t>sablonneux</w:t>
            </w:r>
            <w:r w:rsidRPr="00215867">
              <w:rPr>
                <w:rFonts w:ascii="Times New Roman" w:hAnsi="Times New Roman"/>
                <w:sz w:val="20"/>
                <w:szCs w:val="20"/>
              </w:rPr>
              <w:t>. Ce sont des sols minéraux récents développés sur du sable de Kalahari. Ils sont caractérisés par une faible teneur en argile (moins de 20%) sur au moins 100 cm de profondeur et une faible réserve en minéraux altérables.</w:t>
            </w:r>
          </w:p>
          <w:p w14:paraId="3AB1DC26" w14:textId="7B08EF26" w:rsidR="00AC7768" w:rsidRPr="00215867" w:rsidRDefault="00D47BA7" w:rsidP="00215867">
            <w:pPr>
              <w:spacing w:before="120" w:after="0"/>
              <w:jc w:val="both"/>
              <w:rPr>
                <w:rFonts w:ascii="Times New Roman" w:hAnsi="Times New Roman"/>
                <w:sz w:val="20"/>
                <w:szCs w:val="20"/>
              </w:rPr>
            </w:pPr>
            <w:r w:rsidRPr="00215867">
              <w:rPr>
                <w:rFonts w:ascii="Times New Roman" w:hAnsi="Times New Roman"/>
                <w:sz w:val="20"/>
                <w:szCs w:val="20"/>
              </w:rPr>
              <w:t xml:space="preserve">Au niveau des sites du sous-projet, le recouvrement sableux se retrouve soit sur </w:t>
            </w:r>
            <w:r w:rsidR="005F5016" w:rsidRPr="005F5016">
              <w:rPr>
                <w:rFonts w:ascii="Times New Roman" w:hAnsi="Times New Roman"/>
                <w:sz w:val="20"/>
                <w:szCs w:val="20"/>
              </w:rPr>
              <w:t>d</w:t>
            </w:r>
            <w:r w:rsidR="005F5016">
              <w:rPr>
                <w:rFonts w:ascii="Times New Roman" w:hAnsi="Times New Roman"/>
                <w:sz w:val="20"/>
                <w:szCs w:val="20"/>
              </w:rPr>
              <w:t>u</w:t>
            </w:r>
            <w:r w:rsidR="005F5016" w:rsidRPr="005F5016">
              <w:rPr>
                <w:rFonts w:ascii="Times New Roman" w:hAnsi="Times New Roman"/>
                <w:sz w:val="20"/>
                <w:szCs w:val="20"/>
              </w:rPr>
              <w:t xml:space="preserve"> gré</w:t>
            </w:r>
            <w:r w:rsidRPr="00215867">
              <w:rPr>
                <w:rFonts w:ascii="Times New Roman" w:hAnsi="Times New Roman"/>
                <w:sz w:val="20"/>
                <w:szCs w:val="20"/>
              </w:rPr>
              <w:t xml:space="preserve"> tendre, soit sur un banc argileux ou enfin sur du grés induré. </w:t>
            </w:r>
          </w:p>
          <w:p w14:paraId="047F6EE3" w14:textId="31C9AD9E" w:rsidR="00D47BA7" w:rsidRPr="00215867" w:rsidRDefault="00D47BA7" w:rsidP="00215867">
            <w:pPr>
              <w:spacing w:before="120" w:after="0"/>
              <w:jc w:val="both"/>
              <w:rPr>
                <w:rFonts w:ascii="Times New Roman" w:hAnsi="Times New Roman"/>
                <w:sz w:val="20"/>
                <w:szCs w:val="20"/>
              </w:rPr>
            </w:pPr>
            <w:r w:rsidRPr="00215867">
              <w:rPr>
                <w:rFonts w:ascii="Times New Roman" w:hAnsi="Times New Roman"/>
                <w:sz w:val="20"/>
                <w:szCs w:val="20"/>
              </w:rPr>
              <w:t xml:space="preserve">Dans la partie Ouest et Sud de Kinshasa, il y a par endroits, un mélange des sols sableux et d’autres sols à tendance kaolinitique ou ferralitique. Dans la partie centre et Est, on rencontre des sols alluvionnaires à textures variable et des podzols. Les sols organiques sont localisés au niveau du Pool Malebo et des podzols. </w:t>
            </w:r>
          </w:p>
        </w:tc>
      </w:tr>
      <w:tr w:rsidR="00486F23" w:rsidRPr="00420C1B" w14:paraId="1BBC7B35" w14:textId="77777777" w:rsidTr="00215867">
        <w:trPr>
          <w:trHeight w:val="558"/>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95A1D1" w14:textId="5AD84C29" w:rsidR="00486F23" w:rsidRPr="00215867" w:rsidRDefault="00110A00" w:rsidP="00931D29">
            <w:pPr>
              <w:spacing w:after="0" w:line="240" w:lineRule="auto"/>
              <w:jc w:val="both"/>
              <w:rPr>
                <w:rFonts w:ascii="Times New Roman" w:hAnsi="Times New Roman"/>
                <w:b/>
                <w:sz w:val="20"/>
                <w:szCs w:val="20"/>
                <w:lang w:val="fr-MC"/>
              </w:rPr>
            </w:pPr>
            <w:r w:rsidRPr="00215867">
              <w:rPr>
                <w:rFonts w:ascii="Times New Roman" w:hAnsi="Times New Roman"/>
                <w:b/>
                <w:sz w:val="20"/>
                <w:szCs w:val="20"/>
                <w:lang w:val="fr-MC"/>
              </w:rPr>
              <w:t xml:space="preserve">Climat </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E4AA3DA" w14:textId="77777777" w:rsidR="00AC7768"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Selon la clasification de Köppen-Geiger est de type Aw , la ville a un climat tropical chaud et humide à deux saisons : une saison pluvieuse qui s’étend de fin septembre à fin mai avec de fortes pluies aux mois de novembre et d’avril et un léger ralentissement de pluies entre janvier-février suivie d’une saison sèche de juin à septembre.</w:t>
            </w:r>
          </w:p>
          <w:p w14:paraId="707CC7F2" w14:textId="77777777" w:rsidR="00AC7768" w:rsidRPr="00215867" w:rsidRDefault="00AC7768" w:rsidP="00215867">
            <w:pPr>
              <w:spacing w:before="120" w:after="120"/>
              <w:jc w:val="both"/>
              <w:rPr>
                <w:rFonts w:ascii="Times New Roman" w:hAnsi="Times New Roman"/>
                <w:sz w:val="20"/>
                <w:szCs w:val="20"/>
              </w:rPr>
            </w:pPr>
            <w:r w:rsidRPr="00215867">
              <w:rPr>
                <w:rFonts w:ascii="Times New Roman" w:hAnsi="Times New Roman"/>
                <w:sz w:val="20"/>
                <w:szCs w:val="20"/>
              </w:rPr>
              <w:t>Kinshasa affiche une température annuelle moyenne de 25.5 °C. Chaque année, les précipitations sont en moyenne de 1368 mm. La variation des précipitations entre le mois le plus sec et le mois le plus humide est de 247 mm. La température moyenne au cours de l'année varie de 4.4 °C.</w:t>
            </w:r>
          </w:p>
          <w:p w14:paraId="4EF0F63A" w14:textId="77777777" w:rsidR="00486F23"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Selon le rapport « Les changements climatiques en République Démocratique du Congo : état de lieux et perspectives dans le cadre de l’ANCR</w:t>
            </w:r>
            <w:r w:rsidRPr="00215867">
              <w:rPr>
                <w:rFonts w:ascii="Times New Roman" w:hAnsi="Times New Roman"/>
                <w:sz w:val="20"/>
                <w:szCs w:val="20"/>
              </w:rPr>
              <w:footnoteReference w:id="7"/>
            </w:r>
            <w:r w:rsidRPr="00215867">
              <w:rPr>
                <w:rFonts w:ascii="Times New Roman" w:hAnsi="Times New Roman"/>
                <w:sz w:val="20"/>
                <w:szCs w:val="20"/>
              </w:rPr>
              <w:t> » (Margarita Arguelles 2007), les évolutions annuelles préconisent une augmentation des pluies et des températures sur la grande partie du pays sauf dans les contrées de la frange côtière (Bas-Congo) et de l’extrême Sud dont le Katanga. Ainsi à Kinshasa  ele se traduira par de 1530 à 1753 pour les pluies et de 25,0 à 28,2°C pour les températures entre 1990 et 2100.</w:t>
            </w:r>
          </w:p>
          <w:p w14:paraId="1551F89E" w14:textId="77777777" w:rsidR="00AC7768"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La vitesse moyenne du vent est inférieure à 3,5 m/s à Kinshasa, sauf en saison sèche.</w:t>
            </w:r>
          </w:p>
          <w:p w14:paraId="0276A1C5" w14:textId="77777777" w:rsidR="00AC7768"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Le rayonnement varie en moyenne entre un minimum de 3,9 heures/jours et un maximum de 5,2 heures/jour, en avril. La durée moyenne journalière d’insolation est de 4,9 heures. La durée moyenne maximale étant de 6,4 heures.</w:t>
            </w:r>
          </w:p>
          <w:p w14:paraId="0D2CC994" w14:textId="77777777" w:rsidR="00AC7768"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La moyenne de l’évaporation mensuelle mesurée sous abri à l’aide de l’évaporomètre Piche varie entre 69,2 mm en juin et 137,2 mm en août, pour un total de 1053,1 mm par an.</w:t>
            </w:r>
          </w:p>
          <w:p w14:paraId="3A6DA76B" w14:textId="2279A998" w:rsidR="00AC7768" w:rsidRPr="00215867" w:rsidRDefault="00AC7768" w:rsidP="00215867">
            <w:pPr>
              <w:spacing w:after="0"/>
              <w:jc w:val="both"/>
              <w:rPr>
                <w:rFonts w:ascii="Times New Roman" w:hAnsi="Times New Roman"/>
                <w:sz w:val="20"/>
                <w:szCs w:val="20"/>
              </w:rPr>
            </w:pPr>
            <w:r w:rsidRPr="00215867">
              <w:rPr>
                <w:rFonts w:ascii="Times New Roman" w:hAnsi="Times New Roman"/>
                <w:sz w:val="20"/>
                <w:szCs w:val="20"/>
              </w:rPr>
              <w:t>L’humide relative à Kinshasa est fonction de la température, de l’évaporation et de la convection des vapeurs d’eau provenance du Pool Malebo et de l’océan. De manière générale, l’humidité relative de l’air varie entre 71% en septembre et 84% en novembre.</w:t>
            </w:r>
          </w:p>
        </w:tc>
      </w:tr>
      <w:tr w:rsidR="00375888" w:rsidRPr="00420C1B" w14:paraId="59B61918" w14:textId="77777777" w:rsidTr="00215867">
        <w:trPr>
          <w:trHeight w:val="287"/>
          <w:tblHeader/>
          <w:jc w:val="center"/>
        </w:trPr>
        <w:tc>
          <w:tcPr>
            <w:tcW w:w="9571" w:type="dxa"/>
            <w:gridSpan w:val="2"/>
            <w:tcBorders>
              <w:top w:val="single" w:sz="4" w:space="0" w:color="000001"/>
              <w:left w:val="single" w:sz="4" w:space="0" w:color="000001"/>
              <w:bottom w:val="single" w:sz="4" w:space="0" w:color="000001"/>
              <w:right w:val="single" w:sz="4" w:space="0" w:color="000001"/>
            </w:tcBorders>
            <w:shd w:val="clear" w:color="auto" w:fill="BDD6EE"/>
            <w:tcMar>
              <w:left w:w="108" w:type="dxa"/>
            </w:tcMar>
            <w:vAlign w:val="center"/>
          </w:tcPr>
          <w:p w14:paraId="7C2CB203" w14:textId="6272DBB2" w:rsidR="00375888" w:rsidRPr="00215867" w:rsidRDefault="00375888" w:rsidP="00375888">
            <w:pPr>
              <w:spacing w:after="0" w:line="240" w:lineRule="auto"/>
              <w:jc w:val="center"/>
              <w:rPr>
                <w:rFonts w:ascii="Times New Roman" w:hAnsi="Times New Roman"/>
                <w:b/>
                <w:spacing w:val="2"/>
                <w:sz w:val="20"/>
                <w:szCs w:val="20"/>
              </w:rPr>
            </w:pPr>
            <w:r w:rsidRPr="00215867">
              <w:rPr>
                <w:rFonts w:ascii="Times New Roman" w:hAnsi="Times New Roman"/>
                <w:b/>
                <w:spacing w:val="2"/>
                <w:sz w:val="20"/>
                <w:szCs w:val="20"/>
              </w:rPr>
              <w:t>Profil</w:t>
            </w:r>
            <w:r>
              <w:rPr>
                <w:rFonts w:ascii="Times New Roman" w:hAnsi="Times New Roman"/>
                <w:b/>
                <w:spacing w:val="2"/>
                <w:sz w:val="20"/>
                <w:szCs w:val="20"/>
              </w:rPr>
              <w:t xml:space="preserve"> s</w:t>
            </w:r>
            <w:r w:rsidRPr="00215867">
              <w:rPr>
                <w:rFonts w:ascii="Times New Roman" w:hAnsi="Times New Roman"/>
                <w:b/>
                <w:spacing w:val="2"/>
                <w:sz w:val="20"/>
                <w:szCs w:val="20"/>
              </w:rPr>
              <w:t>ocio</w:t>
            </w:r>
            <w:r>
              <w:rPr>
                <w:rFonts w:ascii="Times New Roman" w:hAnsi="Times New Roman"/>
                <w:b/>
                <w:spacing w:val="2"/>
                <w:sz w:val="20"/>
                <w:szCs w:val="20"/>
              </w:rPr>
              <w:t>-</w:t>
            </w:r>
            <w:r w:rsidRPr="00215867">
              <w:rPr>
                <w:rFonts w:ascii="Times New Roman" w:hAnsi="Times New Roman"/>
                <w:b/>
                <w:spacing w:val="2"/>
                <w:sz w:val="20"/>
                <w:szCs w:val="20"/>
              </w:rPr>
              <w:t>culturel et économique</w:t>
            </w:r>
          </w:p>
        </w:tc>
      </w:tr>
      <w:tr w:rsidR="00981BCA" w:rsidRPr="00420C1B" w14:paraId="3C04449A" w14:textId="77777777" w:rsidTr="00215867">
        <w:trPr>
          <w:trHeight w:val="935"/>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9ED9F3C" w14:textId="77777777" w:rsidR="00981BCA" w:rsidRPr="00215867" w:rsidRDefault="00981BCA" w:rsidP="00931D29">
            <w:pPr>
              <w:spacing w:after="0" w:line="240" w:lineRule="auto"/>
              <w:rPr>
                <w:rFonts w:ascii="Times New Roman" w:hAnsi="Times New Roman"/>
                <w:b/>
                <w:sz w:val="20"/>
                <w:szCs w:val="20"/>
                <w:lang w:val="fr-MC"/>
              </w:rPr>
            </w:pPr>
            <w:r w:rsidRPr="00215867">
              <w:rPr>
                <w:rFonts w:ascii="Times New Roman" w:hAnsi="Times New Roman"/>
                <w:b/>
                <w:sz w:val="20"/>
                <w:szCs w:val="20"/>
                <w:lang w:val="fr-MC"/>
              </w:rPr>
              <w:t>Populations</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7EBC217" w14:textId="77777777" w:rsidR="00981BCA" w:rsidRPr="00215867" w:rsidRDefault="00981BCA" w:rsidP="00931D2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La population de la zone du projet comptait environ 3</w:t>
            </w:r>
            <w:r w:rsidR="00D47BA7" w:rsidRPr="00215867">
              <w:rPr>
                <w:rFonts w:ascii="Times New Roman" w:hAnsi="Times New Roman"/>
                <w:sz w:val="20"/>
                <w:szCs w:val="20"/>
              </w:rPr>
              <w:t> </w:t>
            </w:r>
            <w:r w:rsidRPr="00215867">
              <w:rPr>
                <w:rFonts w:ascii="Times New Roman" w:hAnsi="Times New Roman"/>
                <w:sz w:val="20"/>
                <w:szCs w:val="20"/>
              </w:rPr>
              <w:t>782</w:t>
            </w:r>
            <w:r w:rsidR="00D47BA7" w:rsidRPr="00215867">
              <w:rPr>
                <w:rFonts w:ascii="Times New Roman" w:hAnsi="Times New Roman"/>
                <w:sz w:val="20"/>
                <w:szCs w:val="20"/>
              </w:rPr>
              <w:t xml:space="preserve"> </w:t>
            </w:r>
            <w:r w:rsidRPr="00215867">
              <w:rPr>
                <w:rFonts w:ascii="Times New Roman" w:hAnsi="Times New Roman"/>
                <w:sz w:val="20"/>
                <w:szCs w:val="20"/>
              </w:rPr>
              <w:t>598 habitants (ICREDES, 2015). Selon les « Perspectives mondiales de </w:t>
            </w:r>
            <w:hyperlink r:id="rId31" w:tgtFrame="_blank" w:history="1">
              <w:r w:rsidRPr="00215867">
                <w:rPr>
                  <w:rFonts w:ascii="Times New Roman" w:hAnsi="Times New Roman"/>
                  <w:sz w:val="20"/>
                  <w:szCs w:val="20"/>
                </w:rPr>
                <w:t>l’urbanisation des Nations Unies</w:t>
              </w:r>
            </w:hyperlink>
            <w:r w:rsidRPr="00215867">
              <w:rPr>
                <w:rFonts w:ascii="Times New Roman" w:hAnsi="Times New Roman"/>
                <w:sz w:val="20"/>
                <w:szCs w:val="20"/>
              </w:rPr>
              <w:t> » le taux d’accroissement annuel entre de 2015 et 2021 est de 4,30 %. Ce faisant la zone du projet abrite actuellement une population estimée à  3 945 250 habitants</w:t>
            </w:r>
            <w:r w:rsidR="009B5587" w:rsidRPr="00215867">
              <w:rPr>
                <w:rFonts w:ascii="Times New Roman" w:hAnsi="Times New Roman"/>
                <w:sz w:val="20"/>
                <w:szCs w:val="20"/>
              </w:rPr>
              <w:t>.</w:t>
            </w:r>
          </w:p>
          <w:p w14:paraId="7BE4B853" w14:textId="77777777" w:rsidR="009B5587" w:rsidRPr="00215867" w:rsidRDefault="009B5587" w:rsidP="009B5587">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La population actuelle de Kinshasa est estimée à environ 10 000 000 habitants avec un taux de croissance démographique de 4,7% par an. La distribution spatiale de la population est déséquilibrée. En effet, elle occupe principalement la plaine ainsi que la zone des collines qui la surplombe au Sud et à l’Ouest. La densité démographique y est de plus de 1000 habitants au km</w:t>
            </w:r>
            <w:r w:rsidRPr="00215867">
              <w:rPr>
                <w:rFonts w:ascii="Times New Roman" w:hAnsi="Times New Roman"/>
                <w:sz w:val="20"/>
                <w:szCs w:val="20"/>
                <w:vertAlign w:val="superscript"/>
              </w:rPr>
              <w:t>2</w:t>
            </w:r>
            <w:r w:rsidRPr="00215867">
              <w:rPr>
                <w:rFonts w:ascii="Times New Roman" w:hAnsi="Times New Roman"/>
                <w:sz w:val="20"/>
                <w:szCs w:val="20"/>
              </w:rPr>
              <w:t xml:space="preserve">. Cependant, on relève à peine 2% de la population sur le Plateau de Bateke situé à l’Est de la capitale et qui couvre près de 80% de la zone d’étude. </w:t>
            </w:r>
          </w:p>
          <w:p w14:paraId="09B8EF0D" w14:textId="77777777" w:rsidR="009B5587" w:rsidRPr="00215867" w:rsidRDefault="009B5587" w:rsidP="009B5587">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 xml:space="preserve">Kinshasa est peuplée par </w:t>
            </w:r>
            <w:r w:rsidR="00F53D1B" w:rsidRPr="00215867">
              <w:rPr>
                <w:rFonts w:ascii="Times New Roman" w:hAnsi="Times New Roman"/>
                <w:sz w:val="20"/>
                <w:szCs w:val="20"/>
              </w:rPr>
              <w:t xml:space="preserve">toutes les ethnies de la RDC provenant des différents provinces du pays, à savoir : les pygmées, les bantous, les nilotiques et les soudanais. Les bantous constituent la population majoritaire et représente plus de 60% de la population de Kinshasa.  </w:t>
            </w:r>
          </w:p>
          <w:p w14:paraId="6C02A1C0" w14:textId="17137CEB" w:rsidR="008641B9" w:rsidRPr="00215867" w:rsidRDefault="008641B9" w:rsidP="009B5587">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Le lingala constitue la principalement langue locale parlée dans la zone du projet et le français est la langue officielle parlée à travers le pays.</w:t>
            </w:r>
          </w:p>
        </w:tc>
      </w:tr>
      <w:tr w:rsidR="00981BCA" w:rsidRPr="00420C1B" w14:paraId="2C8278B8" w14:textId="77777777" w:rsidTr="00215867">
        <w:trPr>
          <w:trHeight w:val="646"/>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0AC8998C" w14:textId="4A81B257" w:rsidR="00981BCA" w:rsidRPr="00215867" w:rsidRDefault="00981BCA" w:rsidP="00931D29">
            <w:pPr>
              <w:spacing w:after="0" w:line="240" w:lineRule="auto"/>
              <w:rPr>
                <w:rFonts w:ascii="Times New Roman" w:hAnsi="Times New Roman"/>
                <w:b/>
                <w:sz w:val="20"/>
                <w:szCs w:val="20"/>
                <w:lang w:val="fr-MC"/>
              </w:rPr>
            </w:pPr>
            <w:r w:rsidRPr="00215867">
              <w:rPr>
                <w:rFonts w:ascii="Times New Roman" w:hAnsi="Times New Roman"/>
                <w:b/>
                <w:sz w:val="20"/>
                <w:szCs w:val="20"/>
                <w:lang w:val="fr-MC"/>
              </w:rPr>
              <w:t xml:space="preserve">Structure sociale </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CB73BEB" w14:textId="6B63399E" w:rsidR="00981BCA" w:rsidRPr="00215867" w:rsidRDefault="00981BCA" w:rsidP="00215867">
            <w:pPr>
              <w:spacing w:before="60" w:after="60"/>
              <w:jc w:val="both"/>
              <w:rPr>
                <w:rFonts w:ascii="Times New Roman" w:hAnsi="Times New Roman"/>
                <w:sz w:val="20"/>
                <w:szCs w:val="20"/>
              </w:rPr>
            </w:pPr>
            <w:r w:rsidRPr="00215867">
              <w:rPr>
                <w:rFonts w:ascii="Times New Roman" w:hAnsi="Times New Roman"/>
                <w:sz w:val="20"/>
                <w:szCs w:val="20"/>
              </w:rPr>
              <w:t>La zone du projet est une entité urbaine, antérieurement dominé par la présence du pouvoir coutumier. En effet les populations autochtones sont : les Humbu, les Tekes et les Bamfununga considérés comme propriétaires terriens. Les autres peuples qui ont côtoyé ces derniers sont inévitablement les Yaka, les Banunu Bobangi venus du Bas-Congo ainsi que les Bayanzi, population flottante, qui commerçait naturellement avec Kinshasa grâce au fleuve. Aujourd’hui on y rencontre des populations venant de toutes les provinces de la RDC et des étrangers de différentes nationalités.</w:t>
            </w:r>
          </w:p>
        </w:tc>
      </w:tr>
      <w:tr w:rsidR="00981BCA" w:rsidRPr="00420C1B" w14:paraId="13969862"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45DF639" w14:textId="77777777" w:rsidR="00981BCA" w:rsidRPr="00215867" w:rsidRDefault="00981BCA" w:rsidP="00931D29">
            <w:pPr>
              <w:spacing w:after="0" w:line="240" w:lineRule="auto"/>
              <w:rPr>
                <w:rFonts w:ascii="Times New Roman" w:hAnsi="Times New Roman"/>
                <w:b/>
                <w:sz w:val="20"/>
                <w:szCs w:val="20"/>
              </w:rPr>
            </w:pPr>
            <w:r w:rsidRPr="00215867">
              <w:rPr>
                <w:rFonts w:ascii="Times New Roman" w:hAnsi="Times New Roman"/>
                <w:b/>
                <w:sz w:val="20"/>
                <w:szCs w:val="20"/>
              </w:rPr>
              <w:t>Infrastructures de transport</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3BBB835" w14:textId="77777777" w:rsidR="00981BCA" w:rsidRPr="00215867" w:rsidRDefault="00981BCA" w:rsidP="00215867">
            <w:pPr>
              <w:spacing w:before="60" w:after="60"/>
              <w:jc w:val="both"/>
              <w:rPr>
                <w:rFonts w:ascii="Times New Roman" w:hAnsi="Times New Roman"/>
                <w:sz w:val="20"/>
                <w:szCs w:val="20"/>
              </w:rPr>
            </w:pPr>
            <w:r w:rsidRPr="00215867">
              <w:rPr>
                <w:rFonts w:ascii="Times New Roman" w:hAnsi="Times New Roman"/>
                <w:sz w:val="20"/>
                <w:szCs w:val="20"/>
              </w:rPr>
              <w:t xml:space="preserve">L’accès à Kinshasa se fait par trois voies : navigable, routière et aérienne. Le Fleuve Congo constitue la toile de fond du réseau national des transports intégré, eau-rail-route. Il est complété par la voie aérienne qui met en liaison la province de Kinshasa avec toutes les autres provinces du pays et l’étranger grâce </w:t>
            </w:r>
            <w:r w:rsidRPr="00215867">
              <w:rPr>
                <w:rFonts w:ascii="Times New Roman" w:eastAsia="Times New Roman" w:hAnsi="Times New Roman"/>
                <w:sz w:val="20"/>
                <w:szCs w:val="20"/>
              </w:rPr>
              <w:t xml:space="preserve">l’aéroport international de </w:t>
            </w:r>
            <w:r w:rsidRPr="00215867">
              <w:rPr>
                <w:rFonts w:ascii="Times New Roman" w:eastAsia="Times New Roman" w:hAnsi="Times New Roman"/>
                <w:sz w:val="20"/>
                <w:szCs w:val="20"/>
                <w:lang w:eastAsia="fr-FR"/>
              </w:rPr>
              <w:t>N’djili</w:t>
            </w:r>
            <w:r w:rsidRPr="00215867">
              <w:rPr>
                <w:rFonts w:ascii="Times New Roman" w:eastAsia="Times New Roman" w:hAnsi="Times New Roman"/>
                <w:sz w:val="20"/>
                <w:szCs w:val="20"/>
              </w:rPr>
              <w:t xml:space="preserve"> et l’aéroport de Ndolo. </w:t>
            </w:r>
            <w:r w:rsidRPr="00215867">
              <w:rPr>
                <w:rFonts w:ascii="Times New Roman" w:hAnsi="Times New Roman"/>
                <w:sz w:val="20"/>
                <w:szCs w:val="20"/>
              </w:rPr>
              <w:t xml:space="preserve">Le réseau routier comprend 5109 km de routes urbaines (dont seulement 546 km asphaltées mais en mauvais état), 362 km de routes nationales et 74 km de routes d’intérêt provincial. Le secteur ferroviaire dont la qualité s’est dégradée sensiblement est le système de transport le moins développé à Kinshasa couvrant 92 km, il relie Kinshasa à Kasangulu (Bas-Congo) et la partie interurbaine va de Masina à Kinsuka via Kintambo. </w:t>
            </w:r>
          </w:p>
        </w:tc>
      </w:tr>
      <w:tr w:rsidR="003F5E91" w:rsidRPr="00420C1B" w14:paraId="5F7810CC"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36093E3" w14:textId="77777777" w:rsidR="00981BCA" w:rsidRPr="00215867" w:rsidRDefault="00981BCA" w:rsidP="00931D29">
            <w:pPr>
              <w:spacing w:after="0" w:line="240" w:lineRule="auto"/>
              <w:rPr>
                <w:rFonts w:ascii="Times New Roman" w:hAnsi="Times New Roman"/>
                <w:b/>
                <w:sz w:val="20"/>
                <w:szCs w:val="20"/>
              </w:rPr>
            </w:pPr>
            <w:r w:rsidRPr="00215867">
              <w:rPr>
                <w:rFonts w:ascii="Times New Roman" w:hAnsi="Times New Roman"/>
                <w:b/>
                <w:sz w:val="20"/>
                <w:szCs w:val="20"/>
              </w:rPr>
              <w:t>Habitat</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B162C59" w14:textId="58A64933" w:rsidR="00981BCA" w:rsidRPr="00215867" w:rsidRDefault="00981BCA" w:rsidP="00215867">
            <w:pPr>
              <w:spacing w:before="60" w:after="60"/>
              <w:jc w:val="both"/>
              <w:rPr>
                <w:rFonts w:ascii="Times New Roman" w:eastAsia="Times New Roman" w:hAnsi="Times New Roman"/>
                <w:sz w:val="20"/>
                <w:szCs w:val="20"/>
                <w:lang w:eastAsia="fr-FR"/>
              </w:rPr>
            </w:pPr>
            <w:r w:rsidRPr="00215867">
              <w:rPr>
                <w:rFonts w:ascii="Times New Roman" w:hAnsi="Times New Roman"/>
                <w:sz w:val="20"/>
                <w:szCs w:val="20"/>
              </w:rPr>
              <w:t xml:space="preserve">Dans la zone du projet, la plupart des ménages habitent dans des maisons en bloc de ciment (83,1%) avec des sols en planche ou en ciment (79,5%).  </w:t>
            </w:r>
          </w:p>
          <w:p w14:paraId="1CB05E13" w14:textId="77777777" w:rsidR="00981BCA" w:rsidRPr="00215867" w:rsidRDefault="00981BCA" w:rsidP="00931D29">
            <w:pPr>
              <w:jc w:val="both"/>
              <w:rPr>
                <w:rFonts w:ascii="Times New Roman" w:hAnsi="Times New Roman"/>
                <w:sz w:val="20"/>
                <w:szCs w:val="20"/>
              </w:rPr>
            </w:pPr>
            <w:r w:rsidRPr="00215867">
              <w:rPr>
                <w:rFonts w:ascii="Times New Roman" w:hAnsi="Times New Roman"/>
                <w:sz w:val="20"/>
                <w:szCs w:val="20"/>
              </w:rPr>
              <w:t>L’habitat représente, une réalité à plusieurs visages. En effet, il va des villas résidentielles modernes (Minorité), aux résidences modernes modestes, jusqu’aux taudis (squating).</w:t>
            </w:r>
          </w:p>
          <w:p w14:paraId="3515CF9A" w14:textId="77777777" w:rsidR="00981BCA" w:rsidRPr="00215867" w:rsidRDefault="00981BCA" w:rsidP="00931D29">
            <w:pPr>
              <w:jc w:val="both"/>
              <w:rPr>
                <w:rFonts w:ascii="Times New Roman" w:hAnsi="Times New Roman"/>
                <w:sz w:val="20"/>
                <w:szCs w:val="20"/>
              </w:rPr>
            </w:pPr>
            <w:r w:rsidRPr="00215867">
              <w:rPr>
                <w:rFonts w:ascii="Times New Roman" w:hAnsi="Times New Roman"/>
                <w:sz w:val="20"/>
                <w:szCs w:val="20"/>
              </w:rPr>
              <w:t xml:space="preserve">Ainsi l’habitat dans la zone du projet eut être stratifié ainsi qu’il suit :  </w:t>
            </w:r>
          </w:p>
          <w:p w14:paraId="20CA127A" w14:textId="77777777" w:rsidR="00981BCA" w:rsidRPr="00215867" w:rsidRDefault="00981BCA" w:rsidP="00981BCA">
            <w:pPr>
              <w:pStyle w:val="Paragraphedeliste"/>
              <w:numPr>
                <w:ilvl w:val="0"/>
                <w:numId w:val="288"/>
              </w:numPr>
              <w:suppressAutoHyphens/>
              <w:spacing w:after="0" w:line="240" w:lineRule="auto"/>
              <w:jc w:val="both"/>
              <w:rPr>
                <w:rFonts w:ascii="Times New Roman" w:hAnsi="Times New Roman"/>
                <w:sz w:val="20"/>
                <w:szCs w:val="20"/>
              </w:rPr>
            </w:pPr>
            <w:r w:rsidRPr="00215867">
              <w:rPr>
                <w:rFonts w:ascii="Times New Roman" w:hAnsi="Times New Roman"/>
                <w:b/>
                <w:sz w:val="20"/>
                <w:szCs w:val="20"/>
              </w:rPr>
              <w:t>Les cités planifiées</w:t>
            </w:r>
            <w:r w:rsidRPr="00215867">
              <w:rPr>
                <w:rFonts w:ascii="Times New Roman" w:hAnsi="Times New Roman"/>
                <w:sz w:val="20"/>
                <w:szCs w:val="20"/>
              </w:rPr>
              <w:t xml:space="preserve"> : Ils se trouvent dans les communes de Kalamu, Bumbu, Selembao, Ngiri-Ngiri, Makala, Bandalungwa, Kintambo, Ngaliema et Barumbu.. on y retrouve des quartiers cadastrés, planifiés, dotés des commodités urbaines. Les canalisations sont vieilles et sous-dimensionnées.  La population a un niveau de vie moyen. La densité de la population est très forte : 350 hab. /ha. </w:t>
            </w:r>
          </w:p>
          <w:p w14:paraId="03338966" w14:textId="77777777" w:rsidR="00981BCA" w:rsidRPr="00215867" w:rsidRDefault="00981BCA" w:rsidP="00981BCA">
            <w:pPr>
              <w:pStyle w:val="Paragraphedeliste"/>
              <w:numPr>
                <w:ilvl w:val="0"/>
                <w:numId w:val="288"/>
              </w:numPr>
              <w:suppressAutoHyphens/>
              <w:spacing w:after="0" w:line="240" w:lineRule="auto"/>
              <w:jc w:val="both"/>
              <w:rPr>
                <w:rFonts w:ascii="Times New Roman" w:hAnsi="Times New Roman"/>
                <w:sz w:val="20"/>
                <w:szCs w:val="20"/>
              </w:rPr>
            </w:pPr>
            <w:r w:rsidRPr="00215867">
              <w:rPr>
                <w:rFonts w:ascii="Times New Roman" w:hAnsi="Times New Roman"/>
                <w:b/>
                <w:sz w:val="20"/>
                <w:szCs w:val="20"/>
              </w:rPr>
              <w:t>Les quartiers excentriques et d’extension</w:t>
            </w:r>
            <w:r w:rsidRPr="00215867">
              <w:rPr>
                <w:rFonts w:ascii="Times New Roman" w:hAnsi="Times New Roman"/>
                <w:sz w:val="20"/>
                <w:szCs w:val="20"/>
              </w:rPr>
              <w:t xml:space="preserve"> : Ils se trouvent dans la commune de Mont Ngafula.  Ce sont les quartiers d’auto-construction.    Ils sont souvent isolés, non cadastrés, en majorité habités par des gens à faibles revenus. Certains auteurs les qualifient de banlieues abandonnées.   </w:t>
            </w:r>
          </w:p>
          <w:p w14:paraId="6B2AAE92" w14:textId="77777777" w:rsidR="00981BCA" w:rsidRPr="00215867" w:rsidRDefault="00981BCA" w:rsidP="00981BCA">
            <w:pPr>
              <w:pStyle w:val="Paragraphedeliste"/>
              <w:numPr>
                <w:ilvl w:val="0"/>
                <w:numId w:val="288"/>
              </w:numPr>
              <w:suppressAutoHyphens/>
              <w:spacing w:after="0" w:line="240" w:lineRule="auto"/>
              <w:jc w:val="both"/>
              <w:rPr>
                <w:rFonts w:ascii="Times New Roman" w:eastAsia="Times New Roman" w:hAnsi="Times New Roman"/>
                <w:sz w:val="20"/>
                <w:szCs w:val="20"/>
                <w:lang w:eastAsia="fr-FR"/>
              </w:rPr>
            </w:pPr>
            <w:r w:rsidRPr="00215867">
              <w:rPr>
                <w:rFonts w:ascii="Times New Roman" w:hAnsi="Times New Roman"/>
                <w:b/>
                <w:sz w:val="20"/>
                <w:szCs w:val="20"/>
              </w:rPr>
              <w:t>Les quartiers semi-ruraux</w:t>
            </w:r>
            <w:r w:rsidRPr="00215867">
              <w:rPr>
                <w:rFonts w:ascii="Times New Roman" w:hAnsi="Times New Roman"/>
                <w:sz w:val="20"/>
                <w:szCs w:val="20"/>
              </w:rPr>
              <w:t> : Ce sont ceux de la Commune du Mont-Ngafula. Ils sont faiblement occupés. Les emplois informels sont faibles et dépendent de l’ancienneté du quartier.</w:t>
            </w:r>
          </w:p>
        </w:tc>
      </w:tr>
      <w:tr w:rsidR="00981BCA" w:rsidRPr="00420C1B" w14:paraId="73F50EE7" w14:textId="77777777" w:rsidTr="00215867">
        <w:trPr>
          <w:trHeight w:val="1650"/>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C295953" w14:textId="77777777" w:rsidR="00981BCA" w:rsidRPr="00215867" w:rsidRDefault="00981BCA" w:rsidP="00931D29">
            <w:pPr>
              <w:spacing w:after="0" w:line="240" w:lineRule="auto"/>
              <w:rPr>
                <w:rFonts w:ascii="Times New Roman" w:hAnsi="Times New Roman"/>
                <w:b/>
                <w:sz w:val="20"/>
                <w:szCs w:val="20"/>
              </w:rPr>
            </w:pPr>
            <w:r w:rsidRPr="00215867">
              <w:rPr>
                <w:rFonts w:ascii="Times New Roman" w:hAnsi="Times New Roman"/>
                <w:b/>
                <w:sz w:val="20"/>
                <w:szCs w:val="20"/>
              </w:rPr>
              <w:t>Régime foncier</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9547840" w14:textId="77777777" w:rsidR="00981BCA" w:rsidRPr="00215867" w:rsidRDefault="00981BCA" w:rsidP="00931D29">
            <w:pPr>
              <w:spacing w:after="0"/>
              <w:jc w:val="both"/>
              <w:rPr>
                <w:rFonts w:ascii="Times New Roman" w:hAnsi="Times New Roman"/>
                <w:sz w:val="20"/>
                <w:szCs w:val="20"/>
              </w:rPr>
            </w:pPr>
            <w:r w:rsidRPr="00215867">
              <w:rPr>
                <w:rFonts w:ascii="Times New Roman" w:hAnsi="Times New Roman"/>
                <w:sz w:val="20"/>
                <w:szCs w:val="20"/>
                <w:lang w:val="fr-CH"/>
              </w:rPr>
              <w:t>Selon la loi</w:t>
            </w:r>
            <w:r w:rsidRPr="00215867">
              <w:rPr>
                <w:rFonts w:ascii="Times New Roman" w:hAnsi="Times New Roman"/>
                <w:bCs/>
                <w:sz w:val="20"/>
                <w:szCs w:val="20"/>
              </w:rPr>
              <w:t xml:space="preserve"> N° 80-008 du 18 juillet 1980, </w:t>
            </w:r>
            <w:r w:rsidRPr="00215867">
              <w:rPr>
                <w:rFonts w:ascii="Times New Roman" w:hAnsi="Times New Roman"/>
                <w:sz w:val="20"/>
                <w:szCs w:val="20"/>
                <w:lang w:val="fr-CH"/>
              </w:rPr>
              <w:t xml:space="preserve">le sol, </w:t>
            </w:r>
            <w:r w:rsidRPr="00215867">
              <w:rPr>
                <w:rFonts w:ascii="Times New Roman" w:hAnsi="Times New Roman"/>
                <w:sz w:val="20"/>
                <w:szCs w:val="20"/>
              </w:rPr>
              <w:t>propriété de l’État, est géré par les administrations publiques. Des fonctionnaires investis de la qualité de conservateur de titres immobiliers délivrent aux particuliers des certificats d’enregistrement dans leurs circonscriptions foncières respectives.</w:t>
            </w:r>
          </w:p>
          <w:p w14:paraId="38962ACF" w14:textId="52EB70DA" w:rsidR="00981BCA" w:rsidRPr="00215867" w:rsidRDefault="00981BCA" w:rsidP="008A5DC8">
            <w:pPr>
              <w:jc w:val="both"/>
              <w:rPr>
                <w:rFonts w:ascii="Times New Roman" w:hAnsi="Times New Roman"/>
                <w:sz w:val="20"/>
                <w:szCs w:val="20"/>
              </w:rPr>
            </w:pPr>
            <w:r w:rsidRPr="00215867">
              <w:rPr>
                <w:rFonts w:ascii="Times New Roman" w:hAnsi="Times New Roman"/>
                <w:sz w:val="20"/>
                <w:szCs w:val="20"/>
              </w:rPr>
              <w:t>la zone du projet est régie par deux modes de gestion foncière, domaniale et de concession. Le mode domanial concerne les terres que l'Etat gère directement ou par délégation des organismes publics ou privés. Pour les portions érigées en circonscriptions urbaines, le Président de la République ou son délégué fait dresser un plan parcellaire des terrains à lotir. Ceci est aussi appliqué aux terres des Communes rurales comme celle de mont Ngafula.  Dans la réalité la gestion des terres semi rurales est assurée par la gestion de propriété coutumière. Cependant cette gestion est déclarée nulle par la loi précitée. Cette disposition engendre souvent des conflits entre l’Etat (loi foncière) et les différentes coutumes, qui généralement ont leur propre rationalité qui va dans le sens de considérer les terres sur lesquelles ils vivent, comme des biens appartenant à leurs clans respectifs (familles) ; d’où, l’importance d’impliquer les Chefs coutumiers dès le commencement du projet.</w:t>
            </w:r>
          </w:p>
        </w:tc>
      </w:tr>
      <w:tr w:rsidR="00981BCA" w:rsidRPr="00420C1B" w14:paraId="3DF3B6B7"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B49AD9B" w14:textId="77777777" w:rsidR="00981BCA" w:rsidRPr="00215867" w:rsidRDefault="00981BCA" w:rsidP="00931D29">
            <w:pPr>
              <w:spacing w:after="0" w:line="240" w:lineRule="auto"/>
              <w:rPr>
                <w:rFonts w:ascii="Times New Roman" w:hAnsi="Times New Roman"/>
                <w:b/>
                <w:sz w:val="20"/>
                <w:szCs w:val="20"/>
                <w:lang w:val="fr-MC"/>
              </w:rPr>
            </w:pPr>
            <w:r w:rsidRPr="00215867">
              <w:rPr>
                <w:rFonts w:ascii="Times New Roman" w:hAnsi="Times New Roman"/>
                <w:b/>
                <w:sz w:val="20"/>
                <w:szCs w:val="20"/>
              </w:rPr>
              <w:t xml:space="preserve">Education </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495C62F" w14:textId="77777777" w:rsidR="00981BCA" w:rsidRPr="00215867" w:rsidRDefault="00981BCA" w:rsidP="00931D2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En matière d’éducation, selon l’annuaire statistique de l’enseignement primaire, secondaire et professionnel 2006-2007 cité par PNUD/RDC, (2009) la ville-province de Kinshasa disposait de 2390 écoles primaires (dont 187 non conventionnées, 658 conventionnées et 1545 privées) et 1413 établissements du secondaire (dont 133 non conventionnés, 386 conventionnés et 894 privés). Selon la même source, la province de Kinshasa compte le taux de scolarisation et le taux d’alphabétisation les plus élevés en RDC : taux net de scolarisation dans le primaire de 74,8% à Kinshasa contre 55,0% pour la RDC, taux d’alphabétisation de 67,6% contre 43,2% en RDC.</w:t>
            </w:r>
          </w:p>
          <w:p w14:paraId="30E0DFBA" w14:textId="77777777" w:rsidR="00981BCA" w:rsidRPr="00215867" w:rsidRDefault="00981BCA" w:rsidP="00931D2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 xml:space="preserve">En ce qui concerne l’accès à l’énergie des écoles dans la zone du projet ; celui*ci reste faible. En effet, la zone du projet est celle des poches noires de la ville de Kinshasa. Ainsi moins de 20 % d’écoles ont accès à l’électricité par des sources autres que celles de la SNEL. Il s’agit notamment de groupes électrogènes et de panneaux solaires. </w:t>
            </w:r>
          </w:p>
        </w:tc>
      </w:tr>
      <w:tr w:rsidR="00981BCA" w:rsidRPr="00420C1B" w14:paraId="073C81B3"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B563A5" w14:textId="77777777" w:rsidR="00981BCA" w:rsidRPr="00215867" w:rsidRDefault="00981BCA" w:rsidP="00931D29">
            <w:pPr>
              <w:spacing w:after="0" w:line="240" w:lineRule="auto"/>
              <w:rPr>
                <w:rFonts w:ascii="Times New Roman" w:hAnsi="Times New Roman"/>
                <w:b/>
                <w:sz w:val="20"/>
                <w:szCs w:val="20"/>
                <w:lang w:val="fr-MC"/>
              </w:rPr>
            </w:pPr>
            <w:r w:rsidRPr="00215867">
              <w:rPr>
                <w:rFonts w:ascii="Times New Roman" w:hAnsi="Times New Roman"/>
                <w:b/>
                <w:sz w:val="20"/>
                <w:szCs w:val="20"/>
              </w:rPr>
              <w:t xml:space="preserve">Santé </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305223E" w14:textId="4E59039A" w:rsidR="00981BCA" w:rsidRPr="00215867" w:rsidRDefault="00981BCA" w:rsidP="00931D2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Selon PNUD/RDC, 2009, la province de Kinshasa dispose de 94 hôpitaux avec plus de 2150 structures de santé privées dont trois sur quatre (76 %) ne sont pas homologuées par le Ministère de la Santé. Les services de santé ne sont pas suffisants à Kinshasa. Cette insuffisance est plus remarquable dans la zone du projet et surtout dans la commune de Mont Ngafula.  Par ailleurs, on compte pour l’ensemble de la ville 1 médecin pour 4865 habitants dans cette province, en dessous de la norme de l’OMS qui préconise 1 médecin pour 10.000 habitants. Des disparités existent également dans cette répartition. Ainsi dans la zone du projet, ces effectifs sont en deçà des données ici énumérées. Le paludisme demeure l’endémie majeure et la première cause de morbidité. Les principales maladies rencontrées sont : le paludisme, la verminose, la dysenterie amibienne, la bilharziose, la filariose, la typhoïde, le choléra, etc. Le taux de prévalence du sida est estimé à 3,2% dans la province de Kinshasa.</w:t>
            </w:r>
            <w:r w:rsidR="00230622" w:rsidRPr="00215867">
              <w:rPr>
                <w:rFonts w:ascii="Times New Roman" w:hAnsi="Times New Roman"/>
                <w:sz w:val="20"/>
                <w:szCs w:val="20"/>
              </w:rPr>
              <w:t xml:space="preserve"> En outre, la zone du Projet est </w:t>
            </w:r>
            <w:r w:rsidR="00B03CE6">
              <w:rPr>
                <w:rFonts w:ascii="Times New Roman" w:hAnsi="Times New Roman"/>
                <w:sz w:val="20"/>
                <w:szCs w:val="20"/>
              </w:rPr>
              <w:t xml:space="preserve">aussi habitée </w:t>
            </w:r>
            <w:r w:rsidR="00230622" w:rsidRPr="00215867">
              <w:rPr>
                <w:rFonts w:ascii="Times New Roman" w:hAnsi="Times New Roman"/>
                <w:sz w:val="20"/>
                <w:szCs w:val="20"/>
              </w:rPr>
              <w:t>touchée par des personnes vivant</w:t>
            </w:r>
            <w:r w:rsidR="0045711F">
              <w:rPr>
                <w:rFonts w:ascii="Times New Roman" w:hAnsi="Times New Roman"/>
                <w:sz w:val="20"/>
                <w:szCs w:val="20"/>
              </w:rPr>
              <w:t>e</w:t>
            </w:r>
            <w:r w:rsidR="00230622" w:rsidRPr="00215867">
              <w:rPr>
                <w:rFonts w:ascii="Times New Roman" w:hAnsi="Times New Roman"/>
                <w:sz w:val="20"/>
                <w:szCs w:val="20"/>
              </w:rPr>
              <w:t>s</w:t>
            </w:r>
            <w:r w:rsidR="005D25FB">
              <w:rPr>
                <w:rFonts w:ascii="Times New Roman" w:hAnsi="Times New Roman"/>
                <w:sz w:val="20"/>
                <w:szCs w:val="20"/>
              </w:rPr>
              <w:t xml:space="preserve"> </w:t>
            </w:r>
            <w:r w:rsidR="00230622" w:rsidRPr="00215867">
              <w:rPr>
                <w:rFonts w:ascii="Times New Roman" w:hAnsi="Times New Roman"/>
                <w:sz w:val="20"/>
                <w:szCs w:val="20"/>
              </w:rPr>
              <w:t>avec</w:t>
            </w:r>
            <w:r w:rsidR="005D25FB">
              <w:rPr>
                <w:rFonts w:ascii="Times New Roman" w:hAnsi="Times New Roman"/>
                <w:sz w:val="20"/>
                <w:szCs w:val="20"/>
              </w:rPr>
              <w:t xml:space="preserve"> </w:t>
            </w:r>
            <w:r w:rsidR="00230622" w:rsidRPr="00215867">
              <w:rPr>
                <w:rFonts w:ascii="Times New Roman" w:hAnsi="Times New Roman"/>
                <w:sz w:val="20"/>
                <w:szCs w:val="20"/>
              </w:rPr>
              <w:t>handicap physique et menta</w:t>
            </w:r>
            <w:r w:rsidR="005D25FB">
              <w:rPr>
                <w:rFonts w:ascii="Times New Roman" w:hAnsi="Times New Roman"/>
                <w:sz w:val="20"/>
                <w:szCs w:val="20"/>
              </w:rPr>
              <w:t>l</w:t>
            </w:r>
            <w:r w:rsidR="00230622" w:rsidRPr="00215867">
              <w:rPr>
                <w:rFonts w:ascii="Times New Roman" w:hAnsi="Times New Roman"/>
                <w:sz w:val="20"/>
                <w:szCs w:val="20"/>
              </w:rPr>
              <w:t xml:space="preserve">, personnes atteintes d’albinisme, personnes atteintes du VIH/SIDA, </w:t>
            </w:r>
          </w:p>
          <w:p w14:paraId="66FF6F60" w14:textId="77777777" w:rsidR="00981BCA" w:rsidRPr="00215867" w:rsidRDefault="00981BCA" w:rsidP="00931D29">
            <w:pPr>
              <w:shd w:val="clear" w:color="auto" w:fill="FFFFFF"/>
              <w:spacing w:after="60" w:line="240" w:lineRule="auto"/>
              <w:jc w:val="both"/>
              <w:textAlignment w:val="baseline"/>
              <w:rPr>
                <w:rFonts w:ascii="Times New Roman" w:hAnsi="Times New Roman"/>
                <w:sz w:val="20"/>
                <w:szCs w:val="20"/>
              </w:rPr>
            </w:pPr>
            <w:r w:rsidRPr="00215867">
              <w:rPr>
                <w:rFonts w:ascii="Times New Roman" w:hAnsi="Times New Roman"/>
                <w:sz w:val="20"/>
                <w:szCs w:val="20"/>
              </w:rPr>
              <w:t>Depuis le début de la 3ème vague de la COVID-19 signalée aux alentours de la 2ème quinzaine du mois de mai 2021, le nombre de cas de contamination reste en hausse dans l’ensemble la ville de Kinshasa.</w:t>
            </w:r>
          </w:p>
          <w:p w14:paraId="7060A152" w14:textId="77777777" w:rsidR="00981BCA" w:rsidRPr="00215867" w:rsidRDefault="00981BCA" w:rsidP="00931D29">
            <w:pPr>
              <w:shd w:val="clear" w:color="auto" w:fill="FFFFFF"/>
              <w:spacing w:after="60" w:line="240" w:lineRule="auto"/>
              <w:jc w:val="both"/>
              <w:textAlignment w:val="baseline"/>
              <w:rPr>
                <w:rFonts w:ascii="Times New Roman" w:hAnsi="Times New Roman"/>
                <w:sz w:val="20"/>
                <w:szCs w:val="20"/>
              </w:rPr>
            </w:pPr>
            <w:r w:rsidRPr="00215867">
              <w:rPr>
                <w:rFonts w:ascii="Times New Roman" w:hAnsi="Times New Roman"/>
                <w:sz w:val="20"/>
                <w:szCs w:val="20"/>
              </w:rPr>
              <w:t>Dans un contexte de diffusion croissante du variant préoccupant Delta, la suspension de la vaccination due à la rupture de stock des vaccins et la baisse de l’adhésion aux mesures barrières dans les transports en commun, les lieux des cultes, les rassemblements lors des funérailles et des cérémonies de mariage ainsi que dans les bars où ces mesures barrières sont plus difficiles à maintenir, il a été observée une forte augmentation des cas de COVID-19 au sein de la population, avec plus de 18 700 cas actifs pour le pays. Il est donc fortement recommandé que chacun maintienne un niveau élevé d’adhésion à la vaccination et aux mesures individuelles de prévention, de dépistage ainsi que de renforcement des traçages des contacts.</w:t>
            </w:r>
          </w:p>
          <w:p w14:paraId="4619B2C3" w14:textId="77777777" w:rsidR="00981BCA" w:rsidRPr="00215867" w:rsidRDefault="00981BCA" w:rsidP="00931D29">
            <w:pPr>
              <w:shd w:val="clear" w:color="auto" w:fill="FFFFFF"/>
              <w:spacing w:after="60" w:line="240" w:lineRule="auto"/>
              <w:jc w:val="both"/>
              <w:textAlignment w:val="baseline"/>
              <w:rPr>
                <w:rFonts w:ascii="Times New Roman" w:hAnsi="Times New Roman"/>
                <w:sz w:val="20"/>
                <w:szCs w:val="20"/>
              </w:rPr>
            </w:pPr>
            <w:r w:rsidRPr="00215867">
              <w:rPr>
                <w:rFonts w:ascii="Times New Roman" w:hAnsi="Times New Roman"/>
                <w:sz w:val="20"/>
                <w:szCs w:val="20"/>
              </w:rPr>
              <w:t>Les données cumulées depuis le début de l’épidémie de COVID-19 montrent que la capitale de la RDC reste la ville la plus touchée par la circulation virale du SARS-CoV-2 dans le pays, avec 67% du total de cas.</w:t>
            </w:r>
          </w:p>
          <w:p w14:paraId="62EBB2F0" w14:textId="77777777" w:rsidR="00981BCA" w:rsidRPr="00215867" w:rsidRDefault="00981BCA" w:rsidP="00931D29">
            <w:pPr>
              <w:shd w:val="clear" w:color="auto" w:fill="FFFFFF"/>
              <w:spacing w:after="60" w:line="240" w:lineRule="auto"/>
              <w:jc w:val="both"/>
              <w:textAlignment w:val="baseline"/>
              <w:rPr>
                <w:rFonts w:ascii="Times New Roman" w:hAnsi="Times New Roman"/>
                <w:sz w:val="20"/>
                <w:szCs w:val="20"/>
              </w:rPr>
            </w:pPr>
            <w:r w:rsidRPr="00215867">
              <w:rPr>
                <w:rFonts w:ascii="Times New Roman" w:hAnsi="Times New Roman"/>
                <w:sz w:val="20"/>
                <w:szCs w:val="20"/>
              </w:rPr>
              <w:t>en ce qui concerne la vaccination, les données disponibles fournies jusqu’au 28 juillet indiquent un cumul de 29 433 vaccinés personnes déjà vaccinées Kinshasa avec le vaccin AstraZeneca-Vaxzevria - depuis le 19 avril 2021.</w:t>
            </w:r>
          </w:p>
        </w:tc>
      </w:tr>
      <w:tr w:rsidR="00981BCA" w:rsidRPr="00420C1B" w14:paraId="5A1CDC56"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74861B5"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Situation des VBG, y compris l’EAS/HS</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ED920A3" w14:textId="77777777" w:rsidR="00981BCA" w:rsidRPr="00215867" w:rsidRDefault="00981BCA" w:rsidP="00931D29">
            <w:pPr>
              <w:jc w:val="both"/>
              <w:rPr>
                <w:rFonts w:ascii="Times New Roman" w:hAnsi="Times New Roman"/>
                <w:sz w:val="20"/>
                <w:szCs w:val="20"/>
              </w:rPr>
            </w:pPr>
            <w:r w:rsidRPr="00215867">
              <w:rPr>
                <w:rFonts w:ascii="Times New Roman" w:hAnsi="Times New Roman"/>
                <w:sz w:val="20"/>
                <w:szCs w:val="20"/>
              </w:rPr>
              <w:t xml:space="preserve">Les risques identifiés  et les facteurs influençant l’occurrence des VBG/EAS dans la zone du projet se déclinent ainsi qu’il suit : </w:t>
            </w:r>
          </w:p>
          <w:p w14:paraId="1AC5FCC9" w14:textId="77777777" w:rsidR="00981BCA" w:rsidRPr="00215867" w:rsidRDefault="00981BCA" w:rsidP="00931D29">
            <w:pPr>
              <w:spacing w:before="120" w:after="120" w:line="240" w:lineRule="auto"/>
              <w:ind w:left="329" w:hanging="284"/>
              <w:jc w:val="both"/>
              <w:rPr>
                <w:rFonts w:ascii="Times New Roman" w:hAnsi="Times New Roman"/>
                <w:sz w:val="20"/>
                <w:szCs w:val="20"/>
              </w:rPr>
            </w:pPr>
            <w:r w:rsidRPr="00215867">
              <w:rPr>
                <w:rFonts w:ascii="Times New Roman" w:hAnsi="Times New Roman"/>
                <w:sz w:val="20"/>
                <w:szCs w:val="20"/>
              </w:rPr>
              <w:t>•</w:t>
            </w:r>
            <w:r w:rsidRPr="00215867">
              <w:rPr>
                <w:rFonts w:ascii="Times New Roman" w:hAnsi="Times New Roman"/>
                <w:sz w:val="20"/>
                <w:szCs w:val="20"/>
              </w:rPr>
              <w:tab/>
            </w:r>
            <w:r w:rsidRPr="00215867">
              <w:rPr>
                <w:rFonts w:ascii="Times New Roman" w:hAnsi="Times New Roman"/>
                <w:b/>
                <w:sz w:val="20"/>
                <w:szCs w:val="20"/>
              </w:rPr>
              <w:t>Du point de vue de la sécurité</w:t>
            </w:r>
            <w:r w:rsidRPr="00215867">
              <w:rPr>
                <w:rFonts w:ascii="Times New Roman" w:hAnsi="Times New Roman"/>
                <w:sz w:val="20"/>
                <w:szCs w:val="20"/>
              </w:rPr>
              <w:t xml:space="preserve"> : la situation est relativement calme sur ce site. Les populations circulent librement sans beaucoup d’inquiétude. Cependant, l’on y remarque une faible présence des agents de sécurité, notamment la police et l’armée. Ceux qui y sont déployés sont souvent mal encadrés, mal entraînés, sous-équipés et même mal payés. Ce qui représente un risque important de tracasserie des populations et de recours à des méthodes illégales pour assurer la survie quotidienne. Cette situation explique la tendance à faire des VBG/AES un fonds de commerce en favorisant les arrangements à l’amiable. Ce fait d’être découragé par la police à se présenter aux instances judiciaires met les parents dans une situation de vouloir marchander l’incident que subit la fille au détriment de celle-ci. L’argumentaire qui permet à en faire croire à certains parents est qu’au tribunal, ils ne seront pas payés, et la voix à l’amiable leur permet « de se retrouver ». L’ignorance de certains policiers, des parents ou tuteurs des violences basées sur le genre, de la contamination du VIH possible lors d’un incident de viol peuvent être aussi les raisons qui les laissent croire aux baratins de certaines polices. </w:t>
            </w:r>
          </w:p>
          <w:p w14:paraId="387F7054" w14:textId="77777777" w:rsidR="00981BCA" w:rsidRPr="00215867" w:rsidRDefault="00981BCA" w:rsidP="00931D29">
            <w:pPr>
              <w:spacing w:before="120" w:after="120" w:line="240" w:lineRule="auto"/>
              <w:ind w:left="329" w:hanging="284"/>
              <w:jc w:val="both"/>
              <w:rPr>
                <w:rFonts w:ascii="Times New Roman" w:hAnsi="Times New Roman"/>
                <w:sz w:val="20"/>
                <w:szCs w:val="20"/>
              </w:rPr>
            </w:pPr>
            <w:r w:rsidRPr="00215867">
              <w:rPr>
                <w:rFonts w:ascii="Times New Roman" w:hAnsi="Times New Roman"/>
                <w:sz w:val="20"/>
                <w:szCs w:val="20"/>
              </w:rPr>
              <w:t>•</w:t>
            </w:r>
            <w:r w:rsidRPr="00215867">
              <w:rPr>
                <w:rFonts w:ascii="Times New Roman" w:hAnsi="Times New Roman"/>
                <w:sz w:val="20"/>
                <w:szCs w:val="20"/>
              </w:rPr>
              <w:tab/>
            </w:r>
            <w:r w:rsidRPr="00215867">
              <w:rPr>
                <w:rFonts w:ascii="Times New Roman" w:hAnsi="Times New Roman"/>
                <w:b/>
                <w:sz w:val="20"/>
                <w:szCs w:val="20"/>
              </w:rPr>
              <w:t>Attitudes, pratiques et normes de la communauté desservie par les lignes</w:t>
            </w:r>
            <w:r w:rsidRPr="00215867">
              <w:rPr>
                <w:rFonts w:ascii="Times New Roman" w:hAnsi="Times New Roman"/>
                <w:sz w:val="20"/>
                <w:szCs w:val="20"/>
              </w:rPr>
              <w:t xml:space="preserve"> : Certaines tribus adoptent encore certaines pratiques culturelles et traditionnelles, us et coutumes rétrogrades telles que le rapt (enlèvement de la fille contre son gré), sororat (épouser la sœur en remplacement d’une épouse décédée), les danses nocturnes (lors des récréations festives), cinéma nocturne, etc. L’existence des marchés de nuit contribue aussi à la recrudescence des cas des violences basées sur le genre.</w:t>
            </w:r>
          </w:p>
          <w:p w14:paraId="0C052108" w14:textId="77777777" w:rsidR="00981BCA" w:rsidRPr="00215867" w:rsidRDefault="00981BCA" w:rsidP="00931D29">
            <w:pPr>
              <w:spacing w:before="120" w:after="120" w:line="240" w:lineRule="auto"/>
              <w:ind w:left="329" w:hanging="284"/>
              <w:jc w:val="both"/>
              <w:rPr>
                <w:rFonts w:ascii="Times New Roman" w:hAnsi="Times New Roman"/>
                <w:sz w:val="20"/>
                <w:szCs w:val="20"/>
              </w:rPr>
            </w:pPr>
            <w:r w:rsidRPr="00215867">
              <w:rPr>
                <w:rFonts w:ascii="Times New Roman" w:hAnsi="Times New Roman"/>
                <w:sz w:val="20"/>
                <w:szCs w:val="20"/>
              </w:rPr>
              <w:t>•</w:t>
            </w:r>
            <w:r w:rsidRPr="00215867">
              <w:rPr>
                <w:rFonts w:ascii="Times New Roman" w:hAnsi="Times New Roman"/>
                <w:sz w:val="20"/>
                <w:szCs w:val="20"/>
              </w:rPr>
              <w:tab/>
            </w:r>
            <w:r w:rsidRPr="00215867">
              <w:rPr>
                <w:rFonts w:ascii="Times New Roman" w:hAnsi="Times New Roman"/>
                <w:b/>
                <w:sz w:val="20"/>
                <w:szCs w:val="20"/>
              </w:rPr>
              <w:t>Faible présence et capacités des acteurs en matière de lutte contre les VBG et spécifiquement sur le site</w:t>
            </w:r>
            <w:r w:rsidRPr="00215867">
              <w:rPr>
                <w:rFonts w:ascii="Times New Roman" w:hAnsi="Times New Roman"/>
                <w:sz w:val="20"/>
                <w:szCs w:val="20"/>
              </w:rPr>
              <w:t xml:space="preserve"> : les pratiques et attitudes des prestataires  de services VBG sont à risque de subir l’influence négative de l’opinion dominante dans la communauté. Cette insuffisance combinée à l’acceptation par la communauté des VBG/EAS/HS n’incite guère les survivants à rechercher de l’aide. Les cas qui sont dénoncés de fois sont ceux-là dont les arrangements à l’amiable n’ont pas aboutis. Ce qui explique l’arrivée de fois tardive des cas au niveau des formations sanitaires. </w:t>
            </w:r>
          </w:p>
          <w:p w14:paraId="3BD0F391" w14:textId="77777777" w:rsidR="00981BCA" w:rsidRPr="00215867" w:rsidRDefault="00981BCA" w:rsidP="00931D29">
            <w:pPr>
              <w:autoSpaceDE w:val="0"/>
              <w:autoSpaceDN w:val="0"/>
              <w:adjustRightInd w:val="0"/>
              <w:spacing w:after="0" w:line="240" w:lineRule="auto"/>
              <w:ind w:left="326" w:hanging="283"/>
              <w:jc w:val="both"/>
              <w:rPr>
                <w:rFonts w:ascii="Times New Roman" w:hAnsi="Times New Roman"/>
                <w:sz w:val="20"/>
                <w:szCs w:val="20"/>
              </w:rPr>
            </w:pPr>
            <w:r w:rsidRPr="00215867">
              <w:rPr>
                <w:rFonts w:ascii="Times New Roman" w:hAnsi="Times New Roman"/>
                <w:sz w:val="20"/>
                <w:szCs w:val="20"/>
              </w:rPr>
              <w:t>•</w:t>
            </w:r>
            <w:r w:rsidRPr="00215867">
              <w:rPr>
                <w:rFonts w:ascii="Times New Roman" w:hAnsi="Times New Roman"/>
                <w:sz w:val="20"/>
                <w:szCs w:val="20"/>
              </w:rPr>
              <w:tab/>
            </w:r>
            <w:r w:rsidRPr="00215867">
              <w:rPr>
                <w:rFonts w:ascii="Times New Roman" w:hAnsi="Times New Roman"/>
                <w:b/>
                <w:sz w:val="20"/>
                <w:szCs w:val="20"/>
              </w:rPr>
              <w:t>Facteurs de risque et de protection identifiés</w:t>
            </w:r>
            <w:r w:rsidRPr="00215867">
              <w:rPr>
                <w:rFonts w:ascii="Times New Roman" w:hAnsi="Times New Roman"/>
                <w:sz w:val="20"/>
                <w:szCs w:val="20"/>
              </w:rPr>
              <w:t xml:space="preserve"> : la persistance des VBG et EAS est motivé par l’impunité (la faiblesse de l’appareil judiciaire à réprimer les  auteurs  des incidents VBG/EAS/HS, absence d’acteurs judiciaires dans les lieux d’incidents obligeant l’organisation des audiences foraines, difficulté d’exécuter les jugements prononcés, etc.), la pauvreté de la population, le chômage (manque d’occupations des femmes et des hommes, des jeunes garçons et filles) et le conflit récurrent entre les communautés dans la  zone. </w:t>
            </w:r>
          </w:p>
        </w:tc>
      </w:tr>
      <w:tr w:rsidR="00981BCA" w:rsidRPr="00420C1B" w14:paraId="5EBE63B9"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99EE299"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Sécurité</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F67DE0C" w14:textId="77777777" w:rsidR="00981BCA" w:rsidRPr="00215867" w:rsidRDefault="00981BCA" w:rsidP="008641B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 xml:space="preserve">La question sécuritaire est perturbée par la criminalité dont les faits saillants et récurrents sont les vols simples, avec arme blanche, arme à feu, les assassinats ciblés, tueries, justice populaire, violence basée sur le genre, kidnapping, enlèvement, embuscade. Certains conflits récurrents sont également des éléments perturbateurs de la situation sécuritaire. </w:t>
            </w:r>
          </w:p>
        </w:tc>
      </w:tr>
      <w:tr w:rsidR="00981BCA" w:rsidRPr="00420C1B" w14:paraId="13813334"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904A997"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Energie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2EAE996" w14:textId="77777777" w:rsidR="00981BCA" w:rsidRPr="00215867" w:rsidRDefault="00981BCA" w:rsidP="008641B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 xml:space="preserve">La ville est alimentée actuellement à partir des centrales hydroélectriques Inga et Zongo situées dans le Bas-Congo. La pointe actuelle de la ville est d’environ 490 MW et la demande est estimée à 1.000 MW. La demande non satisfaite est estimée à 500 MW. L’énergie la plus exploitée pour l’éclairage reste l'énergie hydraulique suivie de l’énergie solaire. Cette énergie électrique n’est accessible que par une faible proportion des ménages. Environ 67,9% des ménages utilisent les hydrocarbures pour s’éclairer et pour alimenter les véhicules (motocycles, pirogues motorisées et automobiles). En ce qui concerne la cuisson des aliments, le bois de chauffe est utilisé par 77,1% des ménages. </w:t>
            </w:r>
          </w:p>
          <w:p w14:paraId="190FF045" w14:textId="77777777" w:rsidR="00981BCA" w:rsidRPr="00215867" w:rsidRDefault="00981BCA" w:rsidP="008641B9">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la zone du projet quant à elle constitue les poches noires de la ville en matière d’accs à l’énergie électrique.</w:t>
            </w:r>
          </w:p>
        </w:tc>
      </w:tr>
      <w:tr w:rsidR="00981BCA" w:rsidRPr="00420C1B" w14:paraId="2ECA4472"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9604D7"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Eau potable et assainissement</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C4499BA" w14:textId="77777777" w:rsidR="00981BCA" w:rsidRPr="00215867" w:rsidRDefault="00981BCA" w:rsidP="00215867">
            <w:pPr>
              <w:autoSpaceDE w:val="0"/>
              <w:autoSpaceDN w:val="0"/>
              <w:adjustRightInd w:val="0"/>
              <w:spacing w:after="0" w:line="240" w:lineRule="auto"/>
              <w:rPr>
                <w:rFonts w:ascii="Times New Roman" w:hAnsi="Times New Roman"/>
                <w:sz w:val="20"/>
                <w:szCs w:val="20"/>
              </w:rPr>
            </w:pPr>
            <w:r w:rsidRPr="00215867">
              <w:rPr>
                <w:rFonts w:ascii="Times New Roman" w:eastAsia="Times New Roman" w:hAnsi="Times New Roman"/>
                <w:sz w:val="20"/>
                <w:szCs w:val="20"/>
              </w:rPr>
              <w:t xml:space="preserve">Selon PNUD/RDC (2009), </w:t>
            </w:r>
            <w:r w:rsidRPr="00215867">
              <w:rPr>
                <w:rFonts w:ascii="Times New Roman" w:hAnsi="Times New Roman"/>
                <w:sz w:val="20"/>
                <w:szCs w:val="20"/>
              </w:rPr>
              <w:t>la Province de Kinshasa souffre de retards importants dans le secteur de la couverture en eau potable et de l’assainissement. L’enfouissement est le principal mode</w:t>
            </w:r>
            <w:r w:rsidRPr="00215867">
              <w:rPr>
                <w:rFonts w:ascii="Times New Roman" w:hAnsi="Times New Roman"/>
                <w:bCs/>
                <w:sz w:val="20"/>
                <w:szCs w:val="20"/>
              </w:rPr>
              <w:t xml:space="preserve"> </w:t>
            </w:r>
            <w:r w:rsidRPr="00215867">
              <w:rPr>
                <w:rFonts w:ascii="Times New Roman" w:hAnsi="Times New Roman"/>
                <w:sz w:val="20"/>
                <w:szCs w:val="20"/>
              </w:rPr>
              <w:t>d’évacuation des ordures des ménages. Un nombre important des ménages kinois optent pour</w:t>
            </w:r>
            <w:r w:rsidRPr="00215867">
              <w:rPr>
                <w:rFonts w:ascii="Times New Roman" w:hAnsi="Times New Roman"/>
                <w:bCs/>
                <w:sz w:val="20"/>
                <w:szCs w:val="20"/>
              </w:rPr>
              <w:t xml:space="preserve"> </w:t>
            </w:r>
            <w:r w:rsidRPr="00215867">
              <w:rPr>
                <w:rFonts w:ascii="Times New Roman" w:hAnsi="Times New Roman"/>
                <w:sz w:val="20"/>
                <w:szCs w:val="20"/>
              </w:rPr>
              <w:t>le dépotoir sauvage et</w:t>
            </w:r>
            <w:r w:rsidRPr="00215867">
              <w:rPr>
                <w:rFonts w:ascii="Times New Roman" w:hAnsi="Times New Roman"/>
                <w:bCs/>
                <w:sz w:val="20"/>
                <w:szCs w:val="20"/>
              </w:rPr>
              <w:t xml:space="preserve"> certains d’entre eux jettent leurs ordures sur la voie publique </w:t>
            </w:r>
            <w:r w:rsidRPr="00215867">
              <w:rPr>
                <w:rFonts w:ascii="Times New Roman" w:hAnsi="Times New Roman"/>
                <w:sz w:val="20"/>
                <w:szCs w:val="20"/>
              </w:rPr>
              <w:t>et polluent l’environnement. Enfin, la majorité des ménages déclare disposer de toilettes, mais en réalité ces toilettes sont des trous dans la parcelle. Ainsi, l’accès à l’eau potable, l’hygiène et à l’assainissement est encore très bas à Kinshasa. Cela nuit à la santé et conduit à une forte morbidité et risque de constituer un frein à la réalisation des objectifs du millénaire dans le secteur. La province de Kinshasa devra en conséquence déployer d’importants efforts dans ces domaines en commençant notamment par l’élaboration d’un schéma directeur pour le développement de la province.</w:t>
            </w:r>
          </w:p>
        </w:tc>
      </w:tr>
      <w:tr w:rsidR="00981BCA" w:rsidRPr="00420C1B" w14:paraId="234820AF"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0B09505"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Pauvreté</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1519EDC" w14:textId="77777777" w:rsidR="00981BCA" w:rsidRPr="00215867" w:rsidRDefault="00981BCA" w:rsidP="00215867">
            <w:pPr>
              <w:autoSpaceDE w:val="0"/>
              <w:autoSpaceDN w:val="0"/>
              <w:adjustRightInd w:val="0"/>
              <w:spacing w:after="0" w:line="240" w:lineRule="auto"/>
              <w:rPr>
                <w:rFonts w:ascii="Times New Roman" w:hAnsi="Times New Roman"/>
                <w:sz w:val="20"/>
                <w:szCs w:val="20"/>
              </w:rPr>
            </w:pPr>
            <w:r w:rsidRPr="00215867">
              <w:rPr>
                <w:rFonts w:ascii="Times New Roman" w:hAnsi="Times New Roman"/>
                <w:sz w:val="20"/>
                <w:szCs w:val="20"/>
              </w:rPr>
              <w:t xml:space="preserve">la zone du projet ne décline pas de données désagrégées en matière de pauvreté. Cependant Kinshasa dont elle fait partie intégrante, connaît une incidence de la pauvreté de l’ordre de 41,6% (ICREDES, 2017). La catégorie des ménages des inactifs, des chômeurs et des retraités (53,2%), les ménages informels non agricoles (47,2%) et les ménages informels agricoles (40,1%) que l’on retrouve le plus des pauvres (47,2%). </w:t>
            </w:r>
            <w:r w:rsidRPr="00215867">
              <w:rPr>
                <w:rFonts w:ascii="Times New Roman" w:hAnsi="Times New Roman"/>
                <w:sz w:val="20"/>
                <w:szCs w:val="20"/>
                <w:shd w:val="clear" w:color="auto" w:fill="FDFDFD"/>
              </w:rPr>
              <w:t>La pauvreté est plus répandue dans les ménages dirigés par les femmes (45,7%) que pour les ménages dirigés par les hommes (40,7%) (</w:t>
            </w:r>
            <w:r w:rsidRPr="00215867">
              <w:rPr>
                <w:rFonts w:ascii="Times New Roman" w:hAnsi="Times New Roman"/>
                <w:sz w:val="20"/>
                <w:szCs w:val="20"/>
              </w:rPr>
              <w:t>ICREDES, 2017)</w:t>
            </w:r>
            <w:r w:rsidRPr="00215867">
              <w:rPr>
                <w:rFonts w:ascii="Times New Roman" w:hAnsi="Times New Roman"/>
                <w:sz w:val="20"/>
                <w:szCs w:val="20"/>
                <w:shd w:val="clear" w:color="auto" w:fill="FDFDFD"/>
              </w:rPr>
              <w:t>.</w:t>
            </w:r>
            <w:r w:rsidRPr="00215867">
              <w:rPr>
                <w:rFonts w:ascii="Times New Roman" w:hAnsi="Times New Roman"/>
                <w:sz w:val="20"/>
                <w:szCs w:val="20"/>
              </w:rPr>
              <w:t xml:space="preserve"> Les causes de la pauvreté sont la taille élevée du ménage, du chômage élevé et la précarité des revenus chez les actifs. </w:t>
            </w:r>
          </w:p>
        </w:tc>
      </w:tr>
      <w:tr w:rsidR="00981BCA" w:rsidRPr="00420C1B" w14:paraId="140F2BF6"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11AAD59"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Agriculture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78E5A8" w14:textId="77777777" w:rsidR="00981BCA" w:rsidRPr="00215867" w:rsidRDefault="00981BCA" w:rsidP="00215867">
            <w:pPr>
              <w:spacing w:after="0" w:line="240" w:lineRule="auto"/>
              <w:rPr>
                <w:rFonts w:ascii="Times New Roman" w:eastAsia="Times New Roman" w:hAnsi="Times New Roman"/>
                <w:sz w:val="20"/>
                <w:szCs w:val="20"/>
              </w:rPr>
            </w:pPr>
            <w:r w:rsidRPr="00215867">
              <w:rPr>
                <w:rFonts w:ascii="Times New Roman" w:eastAsia="Times New Roman" w:hAnsi="Times New Roman"/>
                <w:sz w:val="20"/>
                <w:szCs w:val="20"/>
              </w:rPr>
              <w:t>L’agriculture est de faible importance. Elle se pratique sur des petites parcelles vides, le long des rues et dans les enclos parcellaires. Les cultures pratiquées sont l’amarante, les haricots, les feuilles de manioc et les légumes. Les produits vivriers consommés dans la zone du projet proviennent en grande partie de la région de Bas-Congo et d’autres territoires de la République Démocratique du Congo.</w:t>
            </w:r>
          </w:p>
        </w:tc>
      </w:tr>
      <w:tr w:rsidR="00981BCA" w:rsidRPr="00420C1B" w14:paraId="1286BAB8"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5162C40"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Elevage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EAC4959" w14:textId="77777777" w:rsidR="00981BCA" w:rsidRPr="00215867" w:rsidRDefault="00981BCA" w:rsidP="00215867">
            <w:pPr>
              <w:spacing w:after="0" w:line="240" w:lineRule="auto"/>
              <w:rPr>
                <w:rFonts w:ascii="Times New Roman" w:eastAsia="Times New Roman" w:hAnsi="Times New Roman"/>
                <w:sz w:val="20"/>
                <w:szCs w:val="20"/>
              </w:rPr>
            </w:pPr>
            <w:r w:rsidRPr="00215867">
              <w:rPr>
                <w:rFonts w:ascii="Times New Roman" w:eastAsia="Times New Roman" w:hAnsi="Times New Roman"/>
                <w:sz w:val="20"/>
                <w:szCs w:val="20"/>
              </w:rPr>
              <w:t xml:space="preserve"> La population kinoise s’adonne à l’élevage en parcelle de la volaille notamment les poulets de chair, les canards.</w:t>
            </w:r>
            <w:r w:rsidRPr="00215867">
              <w:rPr>
                <w:rFonts w:ascii="Times New Roman" w:hAnsi="Times New Roman"/>
                <w:sz w:val="20"/>
                <w:szCs w:val="20"/>
              </w:rPr>
              <w:t xml:space="preserve"> </w:t>
            </w:r>
            <w:r w:rsidRPr="00215867">
              <w:rPr>
                <w:rFonts w:ascii="Times New Roman" w:eastAsia="Times New Roman" w:hAnsi="Times New Roman"/>
                <w:sz w:val="20"/>
                <w:szCs w:val="20"/>
              </w:rPr>
              <w:t xml:space="preserve">On rencontre du petit bétail de la race locale surtout des caprins, des gallinacés et des porcins. Cet élevage est aussi caractérisé par un rendement faible. </w:t>
            </w:r>
          </w:p>
        </w:tc>
      </w:tr>
      <w:tr w:rsidR="00981BCA" w:rsidRPr="00420C1B" w14:paraId="47AC5477"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5B5E116"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Pêche et aquaculture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D88E455" w14:textId="77777777" w:rsidR="00981BCA" w:rsidRPr="00215867" w:rsidRDefault="00981BCA" w:rsidP="00215867">
            <w:pPr>
              <w:spacing w:after="0" w:line="240" w:lineRule="auto"/>
              <w:rPr>
                <w:rFonts w:ascii="Times New Roman" w:eastAsia="Times New Roman" w:hAnsi="Times New Roman"/>
                <w:sz w:val="20"/>
                <w:szCs w:val="20"/>
              </w:rPr>
            </w:pPr>
            <w:r w:rsidRPr="00215867">
              <w:rPr>
                <w:rFonts w:ascii="Times New Roman" w:hAnsi="Times New Roman"/>
                <w:sz w:val="20"/>
                <w:szCs w:val="20"/>
              </w:rPr>
              <w:t xml:space="preserve">La pêche dans la ville-province de Kinshasa est de type artisanal car les pêcheurs manquent cruellement des matériels et équipements de pêche et les moyens de conservation et des transformations sont inexistantes. </w:t>
            </w:r>
            <w:r w:rsidRPr="00215867">
              <w:rPr>
                <w:rFonts w:ascii="Times New Roman" w:eastAsia="Times New Roman" w:hAnsi="Times New Roman"/>
                <w:sz w:val="20"/>
                <w:szCs w:val="20"/>
              </w:rPr>
              <w:t xml:space="preserve">L’aquaculture </w:t>
            </w:r>
            <w:r w:rsidRPr="00215867">
              <w:rPr>
                <w:rFonts w:ascii="Times New Roman" w:hAnsi="Times New Roman"/>
                <w:sz w:val="20"/>
                <w:szCs w:val="20"/>
              </w:rPr>
              <w:t>repose principalement sur la pisciculture familiale de subsistance dans laquelle la culture de tilapia et de poissons chat est prédominante malgré les potentialités d’élevage d’autres</w:t>
            </w:r>
            <w:r w:rsidRPr="00215867">
              <w:rPr>
                <w:rFonts w:ascii="Times New Roman" w:eastAsia="Times New Roman" w:hAnsi="Times New Roman"/>
                <w:sz w:val="20"/>
                <w:szCs w:val="20"/>
              </w:rPr>
              <w:t xml:space="preserve"> </w:t>
            </w:r>
            <w:r w:rsidRPr="00215867">
              <w:rPr>
                <w:rFonts w:ascii="Times New Roman" w:hAnsi="Times New Roman"/>
                <w:sz w:val="20"/>
                <w:szCs w:val="20"/>
              </w:rPr>
              <w:t>espèces (FAO, 2009).</w:t>
            </w:r>
            <w:r w:rsidRPr="00215867">
              <w:rPr>
                <w:rFonts w:ascii="Times New Roman" w:eastAsia="Times New Roman" w:hAnsi="Times New Roman"/>
                <w:sz w:val="20"/>
                <w:szCs w:val="20"/>
              </w:rPr>
              <w:t xml:space="preserve"> Dans la zone du projet se rencontrent quelques étangs piscicoles notamment dans la commune de Mont Ngafula.</w:t>
            </w:r>
          </w:p>
        </w:tc>
      </w:tr>
      <w:tr w:rsidR="00981BCA" w:rsidRPr="00420C1B" w14:paraId="08E40658"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456D9A53" w14:textId="77777777" w:rsidR="00981BCA" w:rsidRPr="00215867" w:rsidRDefault="00981BCA" w:rsidP="00215867">
            <w:pPr>
              <w:spacing w:after="0" w:line="240" w:lineRule="auto"/>
              <w:rPr>
                <w:rFonts w:ascii="Times New Roman" w:eastAsia="Times New Roman" w:hAnsi="Times New Roman"/>
                <w:b/>
                <w:sz w:val="20"/>
                <w:szCs w:val="20"/>
              </w:rPr>
            </w:pPr>
            <w:r w:rsidRPr="00215867">
              <w:rPr>
                <w:rFonts w:ascii="Times New Roman" w:eastAsia="Times New Roman" w:hAnsi="Times New Roman"/>
                <w:b/>
                <w:sz w:val="20"/>
                <w:szCs w:val="20"/>
              </w:rPr>
              <w:t>Artisanat et commerce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8C64223" w14:textId="77777777" w:rsidR="00981BCA" w:rsidRPr="00215867" w:rsidRDefault="00981BCA" w:rsidP="00215867">
            <w:pPr>
              <w:spacing w:after="0" w:line="240" w:lineRule="auto"/>
              <w:rPr>
                <w:rFonts w:ascii="Times New Roman" w:eastAsia="Times New Roman" w:hAnsi="Times New Roman"/>
                <w:sz w:val="20"/>
                <w:szCs w:val="20"/>
              </w:rPr>
            </w:pPr>
            <w:r w:rsidRPr="00215867">
              <w:rPr>
                <w:rFonts w:ascii="Times New Roman" w:eastAsia="Times New Roman" w:hAnsi="Times New Roman"/>
                <w:sz w:val="20"/>
                <w:szCs w:val="20"/>
              </w:rPr>
              <w:t>L’artisanat occupe une place importante à Kinshasa. Les artisans Kinois sont organisés en groupes et bénéficient de l’encadrement de certaines structures telles que l’Académie des Beaux-Arts de Kinshasa. Le Marché des valeurs dans le Quartier Royal près du Boulevard de 30 juin est l’un des principaux lieux de vente des objets d’arts à Kinshasa. On y trouve du siège au tabouret, des boîtes à bijoux, bibelots divers, ouvre-bouteilles, paniers tressés, coussins, peintures, tableaux, céramiques, poterie, tambours, tapis Kuba, masques, etc.</w:t>
            </w:r>
          </w:p>
        </w:tc>
      </w:tr>
      <w:tr w:rsidR="00981BCA" w:rsidRPr="00420C1B" w14:paraId="0A937754" w14:textId="77777777" w:rsidTr="00215867">
        <w:trPr>
          <w:trHeight w:val="854"/>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ED41857"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Mine et industrie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9B68831" w14:textId="77777777" w:rsidR="00981BCA" w:rsidRPr="00215867" w:rsidRDefault="00981BCA" w:rsidP="00215867">
            <w:pPr>
              <w:shd w:val="clear" w:color="auto" w:fill="FFFFFF"/>
              <w:spacing w:after="0" w:line="240" w:lineRule="auto"/>
              <w:ind w:left="14"/>
              <w:rPr>
                <w:rFonts w:ascii="Times New Roman" w:hAnsi="Times New Roman"/>
                <w:bCs/>
                <w:spacing w:val="2"/>
                <w:sz w:val="20"/>
                <w:szCs w:val="20"/>
              </w:rPr>
            </w:pPr>
            <w:r w:rsidRPr="00215867">
              <w:rPr>
                <w:rFonts w:ascii="Times New Roman" w:hAnsi="Times New Roman"/>
                <w:bCs/>
                <w:spacing w:val="2"/>
                <w:sz w:val="20"/>
                <w:szCs w:val="20"/>
              </w:rPr>
              <w:t xml:space="preserve">Kinshasa est le premier centre de consommation de la RDC et le cœur des activités industrielles. Les principales industries de Kinshasa concernent l’agroalimentaire, la production des biens de consommation (bière, textiles, chaussures) et les bâtiments. </w:t>
            </w:r>
          </w:p>
        </w:tc>
      </w:tr>
      <w:tr w:rsidR="00981BCA" w:rsidRPr="00420C1B" w14:paraId="46BBDEF0"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655757B" w14:textId="77777777" w:rsidR="00981BCA" w:rsidRPr="00215867" w:rsidRDefault="00981BCA" w:rsidP="00215867">
            <w:pPr>
              <w:spacing w:after="0" w:line="240" w:lineRule="auto"/>
              <w:rPr>
                <w:rFonts w:ascii="Times New Roman" w:hAnsi="Times New Roman"/>
                <w:b/>
                <w:sz w:val="20"/>
                <w:szCs w:val="20"/>
              </w:rPr>
            </w:pPr>
            <w:r w:rsidRPr="00215867">
              <w:rPr>
                <w:rFonts w:ascii="Times New Roman" w:hAnsi="Times New Roman"/>
                <w:b/>
                <w:sz w:val="20"/>
                <w:szCs w:val="20"/>
              </w:rPr>
              <w:t>Secteurs principaux d’emploi</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2788D0B8" w14:textId="77777777" w:rsidR="00981BCA" w:rsidRPr="00215867" w:rsidRDefault="00981BCA" w:rsidP="00215867">
            <w:pPr>
              <w:autoSpaceDE w:val="0"/>
              <w:autoSpaceDN w:val="0"/>
              <w:adjustRightInd w:val="0"/>
              <w:spacing w:after="0" w:line="240" w:lineRule="auto"/>
              <w:rPr>
                <w:rFonts w:ascii="Times New Roman" w:hAnsi="Times New Roman"/>
                <w:sz w:val="20"/>
                <w:szCs w:val="20"/>
              </w:rPr>
            </w:pPr>
            <w:r w:rsidRPr="00215867">
              <w:rPr>
                <w:rFonts w:ascii="Times New Roman" w:hAnsi="Times New Roman"/>
                <w:sz w:val="20"/>
                <w:szCs w:val="20"/>
              </w:rPr>
              <w:t xml:space="preserve">Selon PNUD/RDC (2009), le principal pourvoyeur d’emplois à Kinshasa est le secteur informel notamment non agricole (65,6%) d’emplois, suivi de l’administration publique 11,9%, le secteur privé formel (8,8%), l’agriculture (5,2% actifs occupés) et enfin les entreprises publiques (5%). </w:t>
            </w:r>
            <w:r w:rsidRPr="00215867">
              <w:rPr>
                <w:rFonts w:ascii="Times New Roman" w:hAnsi="Times New Roman"/>
                <w:bCs/>
                <w:spacing w:val="2"/>
                <w:sz w:val="20"/>
                <w:szCs w:val="20"/>
              </w:rPr>
              <w:t>La province de Kinshasa compte 875000 unités de production informelle. Les revenus les plus faibles sont observés dans le secteur informel agricole, non agricole et l’administration publique.</w:t>
            </w:r>
          </w:p>
        </w:tc>
      </w:tr>
      <w:tr w:rsidR="0011561D" w:rsidRPr="00420C1B" w14:paraId="66AEBB49"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51BD373F" w14:textId="77777777" w:rsidR="0011561D" w:rsidRPr="00215867" w:rsidRDefault="0011561D" w:rsidP="00215867">
            <w:pPr>
              <w:spacing w:after="0" w:line="240" w:lineRule="auto"/>
              <w:rPr>
                <w:rFonts w:ascii="Times New Roman" w:hAnsi="Times New Roman"/>
                <w:b/>
                <w:sz w:val="20"/>
                <w:szCs w:val="20"/>
                <w:lang w:val="fr-MC"/>
              </w:rPr>
            </w:pPr>
            <w:r w:rsidRPr="00215867">
              <w:rPr>
                <w:rFonts w:ascii="Times New Roman" w:hAnsi="Times New Roman"/>
                <w:b/>
                <w:sz w:val="20"/>
                <w:szCs w:val="20"/>
                <w:lang w:val="fr-MC"/>
              </w:rPr>
              <w:t>Groupes vulnérables</w:t>
            </w:r>
          </w:p>
          <w:p w14:paraId="5F12108C" w14:textId="77777777" w:rsidR="0011561D" w:rsidRPr="00215867" w:rsidRDefault="0011561D" w:rsidP="008641B9">
            <w:pPr>
              <w:spacing w:after="0" w:line="240" w:lineRule="auto"/>
              <w:rPr>
                <w:rFonts w:ascii="Times New Roman" w:hAnsi="Times New Roman"/>
                <w:b/>
                <w:sz w:val="20"/>
                <w:szCs w:val="20"/>
                <w:lang w:val="fr-MC"/>
              </w:rPr>
            </w:pP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DE7538E" w14:textId="77777777" w:rsidR="0011561D" w:rsidRDefault="0011561D" w:rsidP="00215867">
            <w:pPr>
              <w:autoSpaceDE w:val="0"/>
              <w:autoSpaceDN w:val="0"/>
              <w:adjustRightInd w:val="0"/>
              <w:spacing w:after="0" w:line="240" w:lineRule="auto"/>
              <w:jc w:val="both"/>
              <w:rPr>
                <w:rFonts w:ascii="Times New Roman" w:hAnsi="Times New Roman"/>
                <w:sz w:val="20"/>
                <w:szCs w:val="20"/>
              </w:rPr>
            </w:pPr>
            <w:r w:rsidRPr="00215867">
              <w:rPr>
                <w:rFonts w:ascii="Times New Roman" w:hAnsi="Times New Roman"/>
                <w:sz w:val="20"/>
                <w:szCs w:val="20"/>
              </w:rPr>
              <w:t>La majorité de la population des communes de la zone du projet vit dans l’extrême pauvreté. Toutefois, une catégorie de cette population est la plus frappée par les affres de la pauvreté à cause de son état de vulnérabilité aux risques. Il s’agit des catégories communément appelées « groupes vulnérables », c’est-à-dire des personnes qui, sans appuis spécifiques extérieurs, ne peuvent pas sortir de l’état de précarité dans lequel elles se trouvent. Elles sont généralement orphelines, personnes vivant avec handicap, personnes de 3</w:t>
            </w:r>
            <w:r w:rsidRPr="00215867">
              <w:rPr>
                <w:rFonts w:ascii="Times New Roman" w:hAnsi="Times New Roman"/>
                <w:sz w:val="20"/>
                <w:szCs w:val="20"/>
                <w:vertAlign w:val="superscript"/>
              </w:rPr>
              <w:t>ème</w:t>
            </w:r>
            <w:r w:rsidRPr="00215867">
              <w:rPr>
                <w:rFonts w:ascii="Times New Roman" w:hAnsi="Times New Roman"/>
                <w:sz w:val="20"/>
                <w:szCs w:val="20"/>
              </w:rPr>
              <w:t xml:space="preserve"> âge. Les femmes chefs de ménages sans soutien, filles-mères, mères des enfants handicapées sans soutien, les femmes veuves également sans soutien font aussi parties des vulnérables. Les enfants en rupture des liens familiaux, communément appelés « enfants de la rue » sont aussi existants dans les communes d’intervention du projet. Ce groupe de vulnérable seront consultés et leurs préoccupations pris en compte tout au long de la mise en œuvre du projet.</w:t>
            </w:r>
          </w:p>
          <w:p w14:paraId="5311A333" w14:textId="18891B9B" w:rsidR="00B334B1" w:rsidRPr="00215867" w:rsidRDefault="00B334B1" w:rsidP="00215867">
            <w:pPr>
              <w:autoSpaceDE w:val="0"/>
              <w:autoSpaceDN w:val="0"/>
              <w:adjustRightInd w:val="0"/>
              <w:spacing w:after="0" w:line="240" w:lineRule="auto"/>
              <w:jc w:val="both"/>
              <w:rPr>
                <w:rFonts w:ascii="Times New Roman" w:hAnsi="Times New Roman"/>
                <w:sz w:val="20"/>
                <w:szCs w:val="20"/>
              </w:rPr>
            </w:pPr>
          </w:p>
        </w:tc>
      </w:tr>
      <w:tr w:rsidR="00981BCA" w:rsidRPr="00420C1B" w14:paraId="106A0515" w14:textId="77777777" w:rsidTr="00215867">
        <w:trPr>
          <w:jc w:val="center"/>
        </w:trPr>
        <w:tc>
          <w:tcPr>
            <w:tcW w:w="1668"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30646A97" w14:textId="77777777" w:rsidR="00981BCA" w:rsidRPr="00215867" w:rsidRDefault="00981BCA" w:rsidP="00215867">
            <w:pPr>
              <w:spacing w:after="0" w:line="240" w:lineRule="auto"/>
              <w:rPr>
                <w:rFonts w:ascii="Times New Roman" w:hAnsi="Times New Roman"/>
                <w:b/>
                <w:sz w:val="20"/>
                <w:szCs w:val="20"/>
                <w:lang w:val="fr-MC"/>
              </w:rPr>
            </w:pPr>
            <w:r w:rsidRPr="00215867">
              <w:rPr>
                <w:rFonts w:ascii="Times New Roman" w:hAnsi="Times New Roman"/>
                <w:b/>
                <w:sz w:val="20"/>
                <w:szCs w:val="20"/>
                <w:lang w:val="fr-MC"/>
              </w:rPr>
              <w:t>Tourisme</w:t>
            </w:r>
          </w:p>
        </w:tc>
        <w:tc>
          <w:tcPr>
            <w:tcW w:w="7903" w:type="dxa"/>
            <w:tcBorders>
              <w:top w:val="single" w:sz="4" w:space="0" w:color="000001"/>
              <w:left w:val="single" w:sz="4" w:space="0" w:color="000001"/>
              <w:bottom w:val="single" w:sz="4" w:space="0" w:color="000001"/>
              <w:right w:val="single" w:sz="4" w:space="0" w:color="000001"/>
            </w:tcBorders>
            <w:shd w:val="clear" w:color="auto" w:fill="auto"/>
            <w:tcMar>
              <w:left w:w="108" w:type="dxa"/>
            </w:tcMar>
            <w:vAlign w:val="center"/>
          </w:tcPr>
          <w:p w14:paraId="1759EEB0" w14:textId="793195FB" w:rsidR="00981BCA" w:rsidRPr="00215867" w:rsidRDefault="00981BCA" w:rsidP="00215867">
            <w:pPr>
              <w:spacing w:after="0" w:line="240" w:lineRule="auto"/>
              <w:ind w:left="10"/>
              <w:rPr>
                <w:rFonts w:ascii="Times New Roman" w:eastAsia="Times New Roman" w:hAnsi="Times New Roman"/>
                <w:bCs/>
                <w:spacing w:val="1"/>
                <w:sz w:val="20"/>
                <w:szCs w:val="20"/>
              </w:rPr>
            </w:pPr>
            <w:r w:rsidRPr="00215867">
              <w:rPr>
                <w:rFonts w:ascii="Times New Roman" w:hAnsi="Times New Roman"/>
                <w:spacing w:val="-4"/>
                <w:sz w:val="20"/>
                <w:szCs w:val="20"/>
              </w:rPr>
              <w:t xml:space="preserve">Kinshasa compte de nombreux sites touristiques. On y trouve </w:t>
            </w:r>
            <w:r w:rsidRPr="00215867">
              <w:rPr>
                <w:rFonts w:ascii="Times New Roman" w:eastAsia="Times New Roman" w:hAnsi="Times New Roman"/>
                <w:sz w:val="20"/>
                <w:szCs w:val="20"/>
              </w:rPr>
              <w:t>les deux clubs nautiques yacht-club et Nautic-Club-</w:t>
            </w:r>
            <w:r w:rsidRPr="00215867">
              <w:rPr>
                <w:rFonts w:ascii="Times New Roman" w:eastAsia="Times New Roman" w:hAnsi="Times New Roman"/>
                <w:spacing w:val="-3"/>
                <w:sz w:val="20"/>
                <w:szCs w:val="20"/>
              </w:rPr>
              <w:t xml:space="preserve">offre avec des bateaux, canots rapides et jet- ski de pratique du ski nautique, le </w:t>
            </w:r>
            <w:r w:rsidRPr="00215867">
              <w:rPr>
                <w:rFonts w:ascii="Times New Roman" w:eastAsia="Times New Roman" w:hAnsi="Times New Roman"/>
                <w:spacing w:val="-2"/>
                <w:sz w:val="20"/>
                <w:szCs w:val="20"/>
              </w:rPr>
              <w:t xml:space="preserve">Mausolée du Feu </w:t>
            </w:r>
            <w:r w:rsidRPr="00215867">
              <w:rPr>
                <w:rFonts w:ascii="Times New Roman" w:eastAsia="Times New Roman" w:hAnsi="Times New Roman"/>
                <w:sz w:val="20"/>
                <w:szCs w:val="20"/>
              </w:rPr>
              <w:t>Président, Laurent Désiré Kabila,</w:t>
            </w:r>
            <w:r w:rsidRPr="00215867">
              <w:rPr>
                <w:rFonts w:ascii="Times New Roman" w:eastAsia="Times New Roman" w:hAnsi="Times New Roman"/>
                <w:spacing w:val="1"/>
                <w:sz w:val="20"/>
                <w:szCs w:val="20"/>
              </w:rPr>
              <w:t xml:space="preserve"> le New Nganda </w:t>
            </w:r>
            <w:r w:rsidR="005D25FB" w:rsidRPr="005D25FB">
              <w:rPr>
                <w:rFonts w:ascii="Times New Roman" w:eastAsia="Times New Roman" w:hAnsi="Times New Roman"/>
                <w:spacing w:val="1"/>
                <w:sz w:val="20"/>
                <w:szCs w:val="20"/>
              </w:rPr>
              <w:t>Yala</w:t>
            </w:r>
            <w:r w:rsidRPr="00215867">
              <w:rPr>
                <w:rFonts w:ascii="Times New Roman" w:eastAsia="Times New Roman" w:hAnsi="Times New Roman"/>
                <w:spacing w:val="1"/>
                <w:sz w:val="20"/>
                <w:szCs w:val="20"/>
              </w:rPr>
              <w:t>, l</w:t>
            </w:r>
            <w:r w:rsidRPr="00215867">
              <w:rPr>
                <w:rFonts w:ascii="Times New Roman" w:eastAsia="Times New Roman" w:hAnsi="Times New Roman"/>
                <w:spacing w:val="-1"/>
                <w:sz w:val="20"/>
                <w:szCs w:val="20"/>
              </w:rPr>
              <w:t>e lac de ma vallée, l</w:t>
            </w:r>
            <w:r w:rsidRPr="00215867">
              <w:rPr>
                <w:rFonts w:ascii="Times New Roman" w:hAnsi="Times New Roman"/>
                <w:spacing w:val="-1"/>
                <w:sz w:val="20"/>
                <w:szCs w:val="20"/>
              </w:rPr>
              <w:t>'Acad</w:t>
            </w:r>
            <w:r w:rsidRPr="00215867">
              <w:rPr>
                <w:rFonts w:ascii="Times New Roman" w:eastAsia="Times New Roman" w:hAnsi="Times New Roman"/>
                <w:spacing w:val="-1"/>
                <w:sz w:val="20"/>
                <w:szCs w:val="20"/>
              </w:rPr>
              <w:t xml:space="preserve">émie des beaux-arts de Kinshasa </w:t>
            </w:r>
            <w:r w:rsidRPr="00215867">
              <w:rPr>
                <w:rFonts w:ascii="Times New Roman" w:eastAsia="Times New Roman" w:hAnsi="Times New Roman"/>
                <w:sz w:val="20"/>
                <w:szCs w:val="20"/>
              </w:rPr>
              <w:t xml:space="preserve">(ABA), les </w:t>
            </w:r>
            <w:r w:rsidRPr="00215867">
              <w:rPr>
                <w:rFonts w:ascii="Times New Roman" w:hAnsi="Times New Roman"/>
                <w:bCs/>
                <w:spacing w:val="-2"/>
                <w:sz w:val="20"/>
                <w:szCs w:val="20"/>
              </w:rPr>
              <w:t xml:space="preserve">ateliers de </w:t>
            </w:r>
            <w:r w:rsidRPr="00215867">
              <w:rPr>
                <w:rFonts w:ascii="Times New Roman" w:hAnsi="Times New Roman"/>
                <w:spacing w:val="1"/>
                <w:sz w:val="20"/>
                <w:szCs w:val="20"/>
              </w:rPr>
              <w:t>Alfred Liyolo, (sculpteur-plasticien</w:t>
            </w:r>
            <w:r w:rsidRPr="00215867">
              <w:rPr>
                <w:rFonts w:ascii="Times New Roman" w:eastAsia="Times New Roman" w:hAnsi="Times New Roman"/>
                <w:spacing w:val="1"/>
                <w:sz w:val="20"/>
                <w:szCs w:val="20"/>
              </w:rPr>
              <w:t xml:space="preserve">), </w:t>
            </w:r>
            <w:r w:rsidRPr="00215867">
              <w:rPr>
                <w:rFonts w:ascii="Times New Roman" w:eastAsia="Times New Roman" w:hAnsi="Times New Roman"/>
                <w:spacing w:val="-2"/>
                <w:sz w:val="20"/>
                <w:szCs w:val="20"/>
              </w:rPr>
              <w:t xml:space="preserve">la galerie d'art du Centre culturel Boboto, la </w:t>
            </w:r>
            <w:r w:rsidRPr="00215867">
              <w:rPr>
                <w:rFonts w:ascii="Times New Roman" w:hAnsi="Times New Roman"/>
                <w:bCs/>
                <w:spacing w:val="1"/>
                <w:sz w:val="20"/>
                <w:szCs w:val="20"/>
              </w:rPr>
              <w:t>cit</w:t>
            </w:r>
            <w:r w:rsidRPr="00215867">
              <w:rPr>
                <w:rFonts w:ascii="Times New Roman" w:eastAsia="Times New Roman" w:hAnsi="Times New Roman"/>
                <w:bCs/>
                <w:spacing w:val="1"/>
                <w:sz w:val="20"/>
                <w:szCs w:val="20"/>
              </w:rPr>
              <w:t>é des pêcheurs de Kinkole</w:t>
            </w:r>
            <w:r w:rsidR="008641B9" w:rsidRPr="00215867">
              <w:rPr>
                <w:rFonts w:ascii="Times New Roman" w:eastAsia="Times New Roman" w:hAnsi="Times New Roman"/>
                <w:bCs/>
                <w:spacing w:val="1"/>
                <w:sz w:val="20"/>
                <w:szCs w:val="20"/>
              </w:rPr>
              <w:t xml:space="preserve">, </w:t>
            </w:r>
            <w:r w:rsidRPr="00215867">
              <w:rPr>
                <w:rFonts w:ascii="Times New Roman" w:eastAsia="Times New Roman" w:hAnsi="Times New Roman"/>
                <w:bCs/>
                <w:spacing w:val="1"/>
                <w:sz w:val="20"/>
                <w:szCs w:val="20"/>
              </w:rPr>
              <w:t>etc.</w:t>
            </w:r>
          </w:p>
          <w:p w14:paraId="70268284" w14:textId="77777777" w:rsidR="00981BCA" w:rsidRPr="00215867" w:rsidRDefault="00981BCA" w:rsidP="00215867">
            <w:pPr>
              <w:spacing w:after="0" w:line="240" w:lineRule="auto"/>
              <w:ind w:left="10"/>
              <w:rPr>
                <w:rFonts w:ascii="Times New Roman" w:hAnsi="Times New Roman"/>
                <w:sz w:val="20"/>
                <w:szCs w:val="20"/>
              </w:rPr>
            </w:pPr>
            <w:r w:rsidRPr="00215867">
              <w:rPr>
                <w:rFonts w:ascii="Times New Roman" w:hAnsi="Times New Roman"/>
                <w:sz w:val="20"/>
                <w:szCs w:val="20"/>
              </w:rPr>
              <w:t xml:space="preserve">Enfin, la station de Bombo-Lumene est un lieu privilégié pour l’observation de l’avifaune abondante et variée avec des espèces comme l’outarde, la cigogne, le francolin, la perdrix, la tourterelle. </w:t>
            </w:r>
          </w:p>
        </w:tc>
      </w:tr>
    </w:tbl>
    <w:p w14:paraId="5F4C0F9E" w14:textId="77777777" w:rsidR="00D0157D" w:rsidRDefault="0076751E" w:rsidP="00215867">
      <w:pPr>
        <w:keepNext/>
        <w:autoSpaceDE w:val="0"/>
        <w:autoSpaceDN w:val="0"/>
        <w:adjustRightInd w:val="0"/>
        <w:spacing w:after="0" w:line="240" w:lineRule="auto"/>
        <w:jc w:val="center"/>
        <w:rPr>
          <w:rFonts w:ascii="Times New Roman" w:hAnsi="Times New Roman"/>
          <w:sz w:val="24"/>
          <w:lang w:eastAsia="fr-FR"/>
        </w:rPr>
      </w:pPr>
      <w:r w:rsidRPr="00215867">
        <w:rPr>
          <w:rFonts w:ascii="Times New Roman" w:hAnsi="Times New Roman"/>
          <w:b/>
          <w:sz w:val="24"/>
          <w:lang w:eastAsia="fr-FR"/>
        </w:rPr>
        <w:t xml:space="preserve">Source : Plusieurs bibliographies ont été consultées </w:t>
      </w:r>
      <w:r w:rsidRPr="005D25FB">
        <w:rPr>
          <w:rFonts w:ascii="Times New Roman" w:hAnsi="Times New Roman"/>
          <w:sz w:val="24"/>
          <w:lang w:eastAsia="fr-FR"/>
        </w:rPr>
        <w:t>(voir</w:t>
      </w:r>
      <w:r w:rsidR="00580E91" w:rsidRPr="005D25FB">
        <w:rPr>
          <w:rFonts w:ascii="Times New Roman" w:hAnsi="Times New Roman"/>
          <w:sz w:val="24"/>
          <w:lang w:eastAsia="fr-FR"/>
        </w:rPr>
        <w:t xml:space="preserve"> le </w:t>
      </w:r>
      <w:r w:rsidR="000E652E" w:rsidRPr="005D25FB">
        <w:rPr>
          <w:rFonts w:ascii="Times New Roman" w:hAnsi="Times New Roman"/>
          <w:sz w:val="24"/>
          <w:lang w:eastAsia="fr-FR"/>
        </w:rPr>
        <w:t>tableau ci</w:t>
      </w:r>
      <w:r w:rsidRPr="005D25FB">
        <w:rPr>
          <w:rFonts w:ascii="Times New Roman" w:hAnsi="Times New Roman"/>
          <w:sz w:val="24"/>
          <w:lang w:eastAsia="fr-FR"/>
        </w:rPr>
        <w:t>-dessus)</w:t>
      </w:r>
    </w:p>
    <w:p w14:paraId="0EB12204" w14:textId="734C5CAC" w:rsidR="00D0157D" w:rsidRDefault="002C66D7" w:rsidP="00215867">
      <w:pPr>
        <w:spacing w:after="80"/>
      </w:pPr>
      <w:r w:rsidRPr="00EC5A8E">
        <w:rPr>
          <w:noProof/>
          <w:lang w:eastAsia="fr-FR"/>
        </w:rPr>
        <w:drawing>
          <wp:inline distT="0" distB="0" distL="0" distR="0" wp14:anchorId="7CFAFC4D" wp14:editId="468EE74D">
            <wp:extent cx="5905500" cy="4410075"/>
            <wp:effectExtent l="0" t="0" r="0" b="9525"/>
            <wp:docPr id="47"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0" cy="4410075"/>
                    </a:xfrm>
                    <a:prstGeom prst="rect">
                      <a:avLst/>
                    </a:prstGeom>
                    <a:noFill/>
                    <a:ln>
                      <a:noFill/>
                    </a:ln>
                  </pic:spPr>
                </pic:pic>
              </a:graphicData>
            </a:graphic>
          </wp:inline>
        </w:drawing>
      </w:r>
      <w:r w:rsidRPr="00215867">
        <w:rPr>
          <w:rFonts w:ascii="Times New Roman" w:hAnsi="Times New Roman"/>
          <w:noProof/>
          <w:sz w:val="24"/>
          <w:lang w:eastAsia="fr-FR"/>
        </w:rPr>
        <w:drawing>
          <wp:inline distT="0" distB="0" distL="0" distR="0" wp14:anchorId="1FCE057C" wp14:editId="36EBD9A5">
            <wp:extent cx="5915025" cy="3914775"/>
            <wp:effectExtent l="0" t="0" r="9525" b="9525"/>
            <wp:docPr id="46"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3914775"/>
                    </a:xfrm>
                    <a:prstGeom prst="rect">
                      <a:avLst/>
                    </a:prstGeom>
                    <a:noFill/>
                    <a:ln>
                      <a:noFill/>
                    </a:ln>
                  </pic:spPr>
                </pic:pic>
              </a:graphicData>
            </a:graphic>
          </wp:inline>
        </w:drawing>
      </w:r>
    </w:p>
    <w:p w14:paraId="733186DB" w14:textId="7E53C726" w:rsidR="00D0157D" w:rsidRPr="00937CD5" w:rsidRDefault="000A6843" w:rsidP="000A6843">
      <w:pPr>
        <w:spacing w:before="40" w:after="120"/>
        <w:rPr>
          <w:lang w:val="fr-CD"/>
        </w:rPr>
      </w:pPr>
      <w:bookmarkStart w:id="438" w:name="_Toc93050529"/>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Pr>
          <w:rStyle w:val="Emphaseintense"/>
          <w:rFonts w:ascii="Times New Roman" w:hAnsi="Times New Roman"/>
          <w:noProof/>
          <w:sz w:val="24"/>
        </w:rPr>
        <w:t>2</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00D0157D" w:rsidRPr="00215867">
        <w:rPr>
          <w:rStyle w:val="Emphaseintense"/>
        </w:rPr>
        <w:t>Carte administrative de la ville province de Kinshasa</w:t>
      </w:r>
      <w:bookmarkEnd w:id="438"/>
    </w:p>
    <w:p w14:paraId="4E0F799E" w14:textId="7A99AC36" w:rsidR="00D0157D" w:rsidRDefault="002C66D7" w:rsidP="00D0157D">
      <w:r w:rsidRPr="00EC5A8E">
        <w:rPr>
          <w:noProof/>
          <w:lang w:eastAsia="fr-FR"/>
        </w:rPr>
        <w:drawing>
          <wp:inline distT="0" distB="0" distL="0" distR="0" wp14:anchorId="3A4C9201" wp14:editId="7E8CCCCC">
            <wp:extent cx="5934075" cy="7610475"/>
            <wp:effectExtent l="0" t="0" r="9525" b="9525"/>
            <wp:docPr id="45"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7610475"/>
                    </a:xfrm>
                    <a:prstGeom prst="rect">
                      <a:avLst/>
                    </a:prstGeom>
                    <a:noFill/>
                    <a:ln>
                      <a:noFill/>
                    </a:ln>
                  </pic:spPr>
                </pic:pic>
              </a:graphicData>
            </a:graphic>
          </wp:inline>
        </w:drawing>
      </w:r>
    </w:p>
    <w:p w14:paraId="42B97831" w14:textId="6F0BFE81" w:rsidR="00D0157D" w:rsidRPr="00215867" w:rsidRDefault="000A6843" w:rsidP="000A6843">
      <w:pPr>
        <w:spacing w:before="40" w:after="120"/>
        <w:rPr>
          <w:rFonts w:ascii="Times New Roman" w:hAnsi="Times New Roman"/>
          <w:b/>
          <w:sz w:val="24"/>
          <w:lang w:val="fr-CD"/>
        </w:rPr>
      </w:pPr>
      <w:bookmarkStart w:id="439" w:name="_Toc93050530"/>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Pr>
          <w:rStyle w:val="Emphaseintense"/>
          <w:rFonts w:ascii="Times New Roman" w:hAnsi="Times New Roman"/>
          <w:noProof/>
          <w:sz w:val="24"/>
        </w:rPr>
        <w:t>3</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00D0157D" w:rsidRPr="00215867">
        <w:rPr>
          <w:rFonts w:ascii="Times New Roman" w:hAnsi="Times New Roman"/>
          <w:b/>
          <w:sz w:val="24"/>
          <w:lang w:val="fr-CD"/>
        </w:rPr>
        <w:t>Carte d’occupation des sols dans la province de Kinshasa</w:t>
      </w:r>
      <w:bookmarkEnd w:id="439"/>
    </w:p>
    <w:p w14:paraId="6044C8D0" w14:textId="77777777" w:rsidR="00D0157D" w:rsidRPr="00937CD5" w:rsidRDefault="00D0157D" w:rsidP="00D0157D">
      <w:pPr>
        <w:rPr>
          <w:lang w:val="fr-CD"/>
        </w:rPr>
      </w:pPr>
    </w:p>
    <w:p w14:paraId="49D8CBAC" w14:textId="1B535FB7" w:rsidR="00D0157D" w:rsidRDefault="002C66D7" w:rsidP="00215867">
      <w:pPr>
        <w:spacing w:after="0"/>
      </w:pPr>
      <w:r w:rsidRPr="00EC5A8E">
        <w:rPr>
          <w:noProof/>
          <w:lang w:eastAsia="fr-FR"/>
        </w:rPr>
        <w:drawing>
          <wp:inline distT="0" distB="0" distL="0" distR="0" wp14:anchorId="1862BE96" wp14:editId="51BEAF2E">
            <wp:extent cx="5962650" cy="4333875"/>
            <wp:effectExtent l="0" t="0" r="0" b="9525"/>
            <wp:docPr id="44"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2650" cy="4333875"/>
                    </a:xfrm>
                    <a:prstGeom prst="rect">
                      <a:avLst/>
                    </a:prstGeom>
                    <a:noFill/>
                    <a:ln>
                      <a:noFill/>
                    </a:ln>
                  </pic:spPr>
                </pic:pic>
              </a:graphicData>
            </a:graphic>
          </wp:inline>
        </w:drawing>
      </w:r>
    </w:p>
    <w:p w14:paraId="1D0A65D8" w14:textId="3A2F84E3" w:rsidR="00D0157D" w:rsidRDefault="000A6843" w:rsidP="000A6843">
      <w:pPr>
        <w:spacing w:after="0"/>
        <w:rPr>
          <w:rFonts w:ascii="Times New Roman" w:hAnsi="Times New Roman"/>
          <w:sz w:val="24"/>
          <w:lang w:val="fr-CD"/>
        </w:rPr>
      </w:pPr>
      <w:bookmarkStart w:id="440" w:name="_Toc93050531"/>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Pr>
          <w:rStyle w:val="Emphaseintense"/>
          <w:rFonts w:ascii="Times New Roman" w:hAnsi="Times New Roman"/>
          <w:noProof/>
          <w:sz w:val="24"/>
        </w:rPr>
        <w:t>4</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00D0157D">
        <w:rPr>
          <w:rFonts w:ascii="Times New Roman" w:hAnsi="Times New Roman"/>
          <w:sz w:val="24"/>
          <w:lang w:val="fr-CD"/>
        </w:rPr>
        <w:t xml:space="preserve"> </w:t>
      </w:r>
      <w:r w:rsidR="00D0157D" w:rsidRPr="00937CD5">
        <w:rPr>
          <w:rFonts w:ascii="Times New Roman" w:hAnsi="Times New Roman"/>
          <w:sz w:val="24"/>
          <w:lang w:val="fr-CD"/>
        </w:rPr>
        <w:t>Carte hydrographique de la ville de Kinshasa</w:t>
      </w:r>
      <w:bookmarkEnd w:id="440"/>
    </w:p>
    <w:p w14:paraId="280CC22B" w14:textId="77777777" w:rsidR="001C1ECC" w:rsidRPr="00937CD5" w:rsidRDefault="001C1ECC" w:rsidP="00215867">
      <w:pPr>
        <w:spacing w:after="0"/>
        <w:rPr>
          <w:rFonts w:ascii="Times New Roman" w:hAnsi="Times New Roman"/>
          <w:sz w:val="24"/>
          <w:lang w:val="fr-CD"/>
        </w:rPr>
      </w:pPr>
    </w:p>
    <w:p w14:paraId="5A9605C6" w14:textId="77BDECFB" w:rsidR="00D0157D" w:rsidRDefault="002C66D7" w:rsidP="00215867">
      <w:pPr>
        <w:spacing w:after="0"/>
        <w:rPr>
          <w:lang w:val="fr-CD"/>
        </w:rPr>
      </w:pPr>
      <w:r w:rsidRPr="00EC5A8E">
        <w:rPr>
          <w:noProof/>
          <w:lang w:eastAsia="fr-FR"/>
        </w:rPr>
        <w:drawing>
          <wp:inline distT="0" distB="0" distL="0" distR="0" wp14:anchorId="076D16D7" wp14:editId="57AF362B">
            <wp:extent cx="5972175" cy="3743325"/>
            <wp:effectExtent l="0" t="0" r="9525" b="9525"/>
            <wp:docPr id="43"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3743325"/>
                    </a:xfrm>
                    <a:prstGeom prst="rect">
                      <a:avLst/>
                    </a:prstGeom>
                    <a:noFill/>
                    <a:ln>
                      <a:noFill/>
                    </a:ln>
                  </pic:spPr>
                </pic:pic>
              </a:graphicData>
            </a:graphic>
          </wp:inline>
        </w:drawing>
      </w:r>
    </w:p>
    <w:p w14:paraId="7A7CA1AC" w14:textId="4C09D334" w:rsidR="00FF2755" w:rsidRDefault="000A6843">
      <w:pPr>
        <w:spacing w:after="0"/>
        <w:rPr>
          <w:rFonts w:ascii="Times New Roman" w:hAnsi="Times New Roman"/>
          <w:sz w:val="24"/>
          <w:lang w:val="fr-CD"/>
        </w:rPr>
        <w:sectPr w:rsidR="00FF2755" w:rsidSect="00360D1B">
          <w:pgSz w:w="11906" w:h="16838"/>
          <w:pgMar w:top="1417" w:right="1133" w:bottom="1417" w:left="1418" w:header="709" w:footer="709" w:gutter="0"/>
          <w:cols w:space="708"/>
          <w:docGrid w:linePitch="360"/>
        </w:sectPr>
      </w:pPr>
      <w:bookmarkStart w:id="441" w:name="_Toc93050532"/>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Pr>
          <w:rStyle w:val="Emphaseintense"/>
          <w:rFonts w:ascii="Times New Roman" w:hAnsi="Times New Roman"/>
          <w:noProof/>
          <w:sz w:val="24"/>
        </w:rPr>
        <w:t>5</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00D0157D" w:rsidRPr="00710360">
        <w:rPr>
          <w:rFonts w:ascii="Times New Roman" w:hAnsi="Times New Roman"/>
          <w:sz w:val="24"/>
          <w:lang w:val="fr-CD"/>
        </w:rPr>
        <w:t>Carte</w:t>
      </w:r>
      <w:r w:rsidR="00D0157D">
        <w:rPr>
          <w:rFonts w:ascii="Times New Roman" w:hAnsi="Times New Roman"/>
          <w:sz w:val="24"/>
          <w:lang w:val="fr-CD"/>
        </w:rPr>
        <w:t xml:space="preserve"> de distribution spatiale des ravins inventoriés à Kinshasa en 2007</w:t>
      </w:r>
      <w:bookmarkEnd w:id="441"/>
    </w:p>
    <w:p w14:paraId="08A5F9B0" w14:textId="5E80C6C2" w:rsidR="00FF2755" w:rsidRDefault="002C66D7">
      <w:pPr>
        <w:spacing w:after="0"/>
        <w:rPr>
          <w:rFonts w:ascii="Times New Roman" w:hAnsi="Times New Roman"/>
          <w:b/>
          <w:sz w:val="24"/>
          <w:lang w:eastAsia="fr-FR"/>
        </w:rPr>
      </w:pPr>
      <w:r w:rsidRPr="00215867">
        <w:rPr>
          <w:rFonts w:ascii="Times New Roman" w:hAnsi="Times New Roman"/>
          <w:b/>
          <w:noProof/>
          <w:sz w:val="24"/>
          <w:lang w:eastAsia="fr-FR"/>
        </w:rPr>
        <w:drawing>
          <wp:inline distT="0" distB="0" distL="0" distR="0" wp14:anchorId="283F1C6A" wp14:editId="560D7CFD">
            <wp:extent cx="8886825" cy="5095875"/>
            <wp:effectExtent l="0" t="0" r="9525" b="9525"/>
            <wp:docPr id="42" name="Image 519" descr="E:\Carte Bombo-Lume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9" descr="E:\Carte Bombo-Lume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86825" cy="5095875"/>
                    </a:xfrm>
                    <a:prstGeom prst="rect">
                      <a:avLst/>
                    </a:prstGeom>
                    <a:noFill/>
                    <a:ln>
                      <a:noFill/>
                    </a:ln>
                  </pic:spPr>
                </pic:pic>
              </a:graphicData>
            </a:graphic>
          </wp:inline>
        </w:drawing>
      </w:r>
    </w:p>
    <w:p w14:paraId="6875147A" w14:textId="77777777" w:rsidR="00FF2755" w:rsidRDefault="00FF2755">
      <w:pPr>
        <w:spacing w:after="0"/>
        <w:rPr>
          <w:rFonts w:ascii="Times New Roman" w:hAnsi="Times New Roman"/>
          <w:b/>
          <w:sz w:val="24"/>
          <w:lang w:eastAsia="fr-FR"/>
        </w:rPr>
      </w:pPr>
    </w:p>
    <w:p w14:paraId="6E9F84F4" w14:textId="2FF84A75" w:rsidR="00FF2755" w:rsidRPr="00215867" w:rsidRDefault="00FF2755">
      <w:pPr>
        <w:spacing w:after="0"/>
        <w:rPr>
          <w:rFonts w:ascii="Times New Roman" w:hAnsi="Times New Roman"/>
          <w:b/>
          <w:sz w:val="24"/>
          <w:lang w:val="fr-CD" w:eastAsia="fr-FR"/>
        </w:rPr>
        <w:sectPr w:rsidR="00FF2755" w:rsidRPr="00215867" w:rsidSect="00FF2755">
          <w:pgSz w:w="16838" w:h="11906" w:orient="landscape"/>
          <w:pgMar w:top="1133" w:right="1417" w:bottom="1418" w:left="1417" w:header="709" w:footer="709" w:gutter="0"/>
          <w:cols w:space="708"/>
          <w:docGrid w:linePitch="360"/>
        </w:sectPr>
      </w:pPr>
      <w:bookmarkStart w:id="442" w:name="_Toc93050533"/>
      <w:r>
        <w:rPr>
          <w:rFonts w:ascii="Times New Roman" w:hAnsi="Times New Roman"/>
          <w:b/>
          <w:sz w:val="24"/>
          <w:lang w:val="fr-CD" w:eastAsia="fr-FR"/>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Pr>
          <w:rStyle w:val="Emphaseintense"/>
          <w:rFonts w:ascii="Times New Roman" w:hAnsi="Times New Roman"/>
          <w:noProof/>
          <w:sz w:val="24"/>
        </w:rPr>
        <w:t>6</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Pr="00710360">
        <w:rPr>
          <w:rFonts w:ascii="Times New Roman" w:hAnsi="Times New Roman"/>
          <w:sz w:val="24"/>
          <w:lang w:val="fr-CD"/>
        </w:rPr>
        <w:t>Carte</w:t>
      </w:r>
      <w:r>
        <w:rPr>
          <w:rFonts w:ascii="Times New Roman" w:hAnsi="Times New Roman"/>
          <w:sz w:val="24"/>
          <w:lang w:val="fr-CD"/>
        </w:rPr>
        <w:t xml:space="preserve"> de localisation du domaine de chasse et réserve de Bombo-Lumene</w:t>
      </w:r>
      <w:bookmarkEnd w:id="442"/>
    </w:p>
    <w:p w14:paraId="57430C56" w14:textId="634D38CD" w:rsidR="0076751E" w:rsidRPr="00215867" w:rsidRDefault="0076751E" w:rsidP="00215867">
      <w:pPr>
        <w:spacing w:after="0"/>
        <w:rPr>
          <w:rFonts w:ascii="Times New Roman" w:hAnsi="Times New Roman"/>
          <w:sz w:val="24"/>
          <w:lang w:val="fr-CD"/>
        </w:rPr>
      </w:pPr>
    </w:p>
    <w:p w14:paraId="423D1F9A" w14:textId="77777777" w:rsidR="00857867" w:rsidRPr="00215867" w:rsidRDefault="00857867" w:rsidP="00215867">
      <w:pPr>
        <w:pStyle w:val="Paragraphedeliste"/>
        <w:keepNext/>
        <w:keepLines/>
        <w:numPr>
          <w:ilvl w:val="1"/>
          <w:numId w:val="54"/>
        </w:numPr>
        <w:tabs>
          <w:tab w:val="left" w:pos="567"/>
        </w:tabs>
        <w:spacing w:before="240" w:after="120" w:line="240" w:lineRule="auto"/>
        <w:ind w:left="567" w:hanging="567"/>
        <w:contextualSpacing w:val="0"/>
        <w:outlineLvl w:val="1"/>
        <w:rPr>
          <w:rFonts w:ascii="Times New Roman" w:eastAsia="Times New Roman" w:hAnsi="Times New Roman"/>
          <w:b/>
          <w:bCs/>
          <w:sz w:val="24"/>
          <w:szCs w:val="24"/>
        </w:rPr>
      </w:pPr>
      <w:bookmarkStart w:id="443" w:name="_Toc103685635"/>
      <w:r w:rsidRPr="00215867">
        <w:rPr>
          <w:rFonts w:ascii="Times New Roman" w:eastAsia="Times New Roman" w:hAnsi="Times New Roman"/>
          <w:b/>
          <w:bCs/>
          <w:sz w:val="24"/>
          <w:szCs w:val="24"/>
        </w:rPr>
        <w:t>Résultat d’analyse chimique de l’air, de l’eau du sol et des bruits</w:t>
      </w:r>
      <w:bookmarkEnd w:id="443"/>
      <w:r w:rsidRPr="00215867">
        <w:rPr>
          <w:rFonts w:ascii="Times New Roman" w:eastAsia="Times New Roman" w:hAnsi="Times New Roman"/>
          <w:b/>
          <w:bCs/>
          <w:sz w:val="24"/>
          <w:szCs w:val="24"/>
        </w:rPr>
        <w:t xml:space="preserve"> </w:t>
      </w:r>
    </w:p>
    <w:p w14:paraId="7F39E90A" w14:textId="2039CB82" w:rsidR="00F01166" w:rsidRDefault="0015245E" w:rsidP="00E737B4">
      <w:pPr>
        <w:spacing w:before="120" w:after="120" w:line="240" w:lineRule="auto"/>
        <w:jc w:val="both"/>
        <w:rPr>
          <w:rFonts w:ascii="Times New Roman" w:hAnsi="Times New Roman"/>
          <w:iCs/>
          <w:sz w:val="24"/>
          <w:szCs w:val="24"/>
        </w:rPr>
      </w:pPr>
      <w:r w:rsidRPr="00E737B4">
        <w:rPr>
          <w:rFonts w:ascii="Times New Roman" w:hAnsi="Times New Roman"/>
          <w:iCs/>
          <w:sz w:val="24"/>
          <w:szCs w:val="24"/>
        </w:rPr>
        <w:t xml:space="preserve">Les méthodologies </w:t>
      </w:r>
      <w:r w:rsidR="00F01166">
        <w:rPr>
          <w:rFonts w:ascii="Times New Roman" w:hAnsi="Times New Roman"/>
          <w:iCs/>
          <w:sz w:val="24"/>
          <w:szCs w:val="24"/>
        </w:rPr>
        <w:t xml:space="preserve">détaillées utilisées </w:t>
      </w:r>
      <w:r w:rsidRPr="00E737B4">
        <w:rPr>
          <w:rFonts w:ascii="Times New Roman" w:hAnsi="Times New Roman"/>
          <w:iCs/>
          <w:sz w:val="24"/>
          <w:szCs w:val="24"/>
        </w:rPr>
        <w:t xml:space="preserve">pour les analyses de l’air, de l’eau, du sol et des bruits sont données dans le rapport </w:t>
      </w:r>
      <w:r w:rsidR="00F01166">
        <w:rPr>
          <w:rFonts w:ascii="Times New Roman" w:hAnsi="Times New Roman"/>
          <w:iCs/>
          <w:sz w:val="24"/>
          <w:szCs w:val="24"/>
        </w:rPr>
        <w:t xml:space="preserve">volume II-Analyse des éléments physiques de l’environnement </w:t>
      </w:r>
      <w:r w:rsidRPr="00E737B4">
        <w:rPr>
          <w:rFonts w:ascii="Times New Roman" w:hAnsi="Times New Roman"/>
          <w:iCs/>
          <w:sz w:val="24"/>
          <w:szCs w:val="24"/>
        </w:rPr>
        <w:t xml:space="preserve">produit en volume séparé. </w:t>
      </w:r>
      <w:r w:rsidR="00F01166">
        <w:rPr>
          <w:rFonts w:ascii="Times New Roman" w:hAnsi="Times New Roman"/>
          <w:iCs/>
          <w:sz w:val="24"/>
          <w:szCs w:val="24"/>
        </w:rPr>
        <w:t>La synthèse de la méthodologie utilisée se présente comme suit :</w:t>
      </w:r>
    </w:p>
    <w:p w14:paraId="64410C45" w14:textId="47EBFC8B" w:rsidR="00F01166" w:rsidRDefault="005D25FB" w:rsidP="00215867">
      <w:pPr>
        <w:pStyle w:val="Paragraphedeliste"/>
        <w:numPr>
          <w:ilvl w:val="0"/>
          <w:numId w:val="378"/>
        </w:numPr>
        <w:spacing w:before="120" w:after="120" w:line="240" w:lineRule="auto"/>
        <w:jc w:val="both"/>
        <w:rPr>
          <w:rFonts w:ascii="Times New Roman" w:hAnsi="Times New Roman"/>
          <w:iCs/>
          <w:sz w:val="24"/>
          <w:szCs w:val="24"/>
        </w:rPr>
      </w:pPr>
      <w:r>
        <w:rPr>
          <w:rFonts w:ascii="Times New Roman" w:hAnsi="Times New Roman"/>
          <w:iCs/>
          <w:sz w:val="24"/>
          <w:szCs w:val="24"/>
        </w:rPr>
        <w:t>Méthodologie utilisées pour l’a</w:t>
      </w:r>
      <w:r w:rsidR="00896915">
        <w:rPr>
          <w:rFonts w:ascii="Times New Roman" w:hAnsi="Times New Roman"/>
          <w:iCs/>
          <w:sz w:val="24"/>
          <w:szCs w:val="24"/>
        </w:rPr>
        <w:t xml:space="preserve">nalyse de la qualité </w:t>
      </w:r>
      <w:r w:rsidR="002E1FF2">
        <w:rPr>
          <w:rFonts w:ascii="Times New Roman" w:hAnsi="Times New Roman"/>
          <w:iCs/>
          <w:sz w:val="24"/>
          <w:szCs w:val="24"/>
        </w:rPr>
        <w:t>du sol</w:t>
      </w:r>
    </w:p>
    <w:p w14:paraId="7658D52B" w14:textId="77777777" w:rsidR="00860BD4" w:rsidRDefault="00074AF8" w:rsidP="00215867">
      <w:pPr>
        <w:spacing w:before="120" w:after="120"/>
        <w:jc w:val="both"/>
        <w:rPr>
          <w:rFonts w:ascii="Times New Roman" w:hAnsi="Times New Roman"/>
          <w:sz w:val="24"/>
        </w:rPr>
      </w:pPr>
      <w:r w:rsidRPr="00215867">
        <w:rPr>
          <w:rFonts w:ascii="Times New Roman" w:hAnsi="Times New Roman"/>
          <w:sz w:val="24"/>
        </w:rPr>
        <w:t>L</w:t>
      </w:r>
      <w:r w:rsidR="00AD28E4" w:rsidRPr="00215867">
        <w:rPr>
          <w:rFonts w:ascii="Times New Roman" w:hAnsi="Times New Roman"/>
          <w:sz w:val="24"/>
        </w:rPr>
        <w:t xml:space="preserve">’analyse de la qualité de sol a porté sur la recherche des éléments traces indicateurs d’une pollution sur le sol et vérifier leur concentration afin de s’assurer que les activités du projet </w:t>
      </w:r>
      <w:r w:rsidR="00E90773" w:rsidRPr="00215867">
        <w:rPr>
          <w:rFonts w:ascii="Times New Roman" w:hAnsi="Times New Roman"/>
          <w:sz w:val="24"/>
        </w:rPr>
        <w:t xml:space="preserve">ne vont pas exacerber ou dégrader d’avantage la qualité du sol. Pour ce, les analyses se sont référées </w:t>
      </w:r>
      <w:r w:rsidR="00860BD4">
        <w:rPr>
          <w:rFonts w:ascii="Times New Roman" w:hAnsi="Times New Roman"/>
          <w:sz w:val="24"/>
        </w:rPr>
        <w:t>aux</w:t>
      </w:r>
      <w:r w:rsidR="00E90773" w:rsidRPr="00215867">
        <w:rPr>
          <w:rFonts w:ascii="Times New Roman" w:hAnsi="Times New Roman"/>
          <w:sz w:val="24"/>
        </w:rPr>
        <w:t xml:space="preserve"> norme</w:t>
      </w:r>
      <w:r w:rsidR="00860BD4">
        <w:rPr>
          <w:rFonts w:ascii="Times New Roman" w:hAnsi="Times New Roman"/>
          <w:sz w:val="24"/>
        </w:rPr>
        <w:t>s :</w:t>
      </w:r>
    </w:p>
    <w:p w14:paraId="541D9A9E" w14:textId="0A6FA036" w:rsidR="0020728C" w:rsidRDefault="00E90773" w:rsidP="00215867">
      <w:pPr>
        <w:pStyle w:val="Paragraphedeliste"/>
        <w:numPr>
          <w:ilvl w:val="0"/>
          <w:numId w:val="288"/>
        </w:numPr>
        <w:jc w:val="both"/>
        <w:rPr>
          <w:rFonts w:ascii="Times New Roman" w:hAnsi="Times New Roman"/>
          <w:sz w:val="24"/>
        </w:rPr>
      </w:pPr>
      <w:r w:rsidRPr="00215867">
        <w:rPr>
          <w:rFonts w:ascii="Times New Roman" w:hAnsi="Times New Roman"/>
          <w:sz w:val="24"/>
        </w:rPr>
        <w:t>ISO 15</w:t>
      </w:r>
      <w:r w:rsidR="009B1638">
        <w:rPr>
          <w:rFonts w:ascii="Times New Roman" w:hAnsi="Times New Roman"/>
          <w:sz w:val="24"/>
        </w:rPr>
        <w:t> </w:t>
      </w:r>
      <w:r w:rsidRPr="00215867">
        <w:rPr>
          <w:rFonts w:ascii="Times New Roman" w:hAnsi="Times New Roman"/>
          <w:sz w:val="24"/>
        </w:rPr>
        <w:t>176</w:t>
      </w:r>
      <w:r w:rsidR="009B1638">
        <w:rPr>
          <w:rFonts w:ascii="Times New Roman" w:hAnsi="Times New Roman"/>
          <w:sz w:val="24"/>
        </w:rPr>
        <w:t xml:space="preserve"> et 11 265</w:t>
      </w:r>
      <w:r w:rsidRPr="00215867">
        <w:rPr>
          <w:rFonts w:ascii="Times New Roman" w:hAnsi="Times New Roman"/>
          <w:sz w:val="24"/>
        </w:rPr>
        <w:t xml:space="preserve"> relative à la qualité d</w:t>
      </w:r>
      <w:r w:rsidR="009B1638">
        <w:rPr>
          <w:rFonts w:ascii="Times New Roman" w:hAnsi="Times New Roman"/>
          <w:sz w:val="24"/>
        </w:rPr>
        <w:t>u</w:t>
      </w:r>
      <w:r w:rsidRPr="00215867">
        <w:rPr>
          <w:rFonts w:ascii="Times New Roman" w:hAnsi="Times New Roman"/>
          <w:sz w:val="24"/>
        </w:rPr>
        <w:t xml:space="preserve"> sol</w:t>
      </w:r>
      <w:r w:rsidR="00860BD4">
        <w:rPr>
          <w:rFonts w:ascii="Times New Roman" w:hAnsi="Times New Roman"/>
          <w:sz w:val="24"/>
        </w:rPr>
        <w:t> ;</w:t>
      </w:r>
    </w:p>
    <w:p w14:paraId="71A493E9" w14:textId="405414B0" w:rsidR="00860BD4" w:rsidRDefault="00860BD4" w:rsidP="00215867">
      <w:pPr>
        <w:pStyle w:val="Paragraphedeliste"/>
        <w:numPr>
          <w:ilvl w:val="0"/>
          <w:numId w:val="288"/>
        </w:numPr>
        <w:jc w:val="both"/>
        <w:rPr>
          <w:rFonts w:ascii="Times New Roman" w:hAnsi="Times New Roman"/>
          <w:sz w:val="24"/>
        </w:rPr>
      </w:pPr>
      <w:r>
        <w:rPr>
          <w:rFonts w:ascii="Times New Roman" w:hAnsi="Times New Roman"/>
          <w:sz w:val="24"/>
        </w:rPr>
        <w:t>ISO 10</w:t>
      </w:r>
      <w:r w:rsidR="00A35CD2">
        <w:rPr>
          <w:rFonts w:ascii="Times New Roman" w:hAnsi="Times New Roman"/>
          <w:sz w:val="24"/>
        </w:rPr>
        <w:t> </w:t>
      </w:r>
      <w:r>
        <w:rPr>
          <w:rFonts w:ascii="Times New Roman" w:hAnsi="Times New Roman"/>
          <w:sz w:val="24"/>
        </w:rPr>
        <w:t>390</w:t>
      </w:r>
      <w:r w:rsidR="00A35CD2">
        <w:rPr>
          <w:rFonts w:ascii="Times New Roman" w:hAnsi="Times New Roman"/>
          <w:sz w:val="24"/>
        </w:rPr>
        <w:t xml:space="preserve"> relative à la mesure du potentiel en hydrogène (pH)</w:t>
      </w:r>
      <w:r w:rsidR="00DB2769">
        <w:rPr>
          <w:rFonts w:ascii="Times New Roman" w:hAnsi="Times New Roman"/>
          <w:sz w:val="24"/>
        </w:rPr>
        <w:t xml:space="preserve">. Détermination expérimentale par </w:t>
      </w:r>
      <w:r w:rsidR="00DB2769" w:rsidRPr="00215867">
        <w:rPr>
          <w:rFonts w:ascii="Times New Roman" w:hAnsi="Times New Roman"/>
          <w:sz w:val="24"/>
          <w:szCs w:val="24"/>
        </w:rPr>
        <w:t>routine du pH dans le domaine de pH compris entre 2 et 12 à l’aide d’une électrode en verre dans une suspension de sol, de boues et de biodéchets traités</w:t>
      </w:r>
      <w:r w:rsidR="009F2814">
        <w:rPr>
          <w:rFonts w:ascii="Times New Roman" w:hAnsi="Times New Roman"/>
          <w:sz w:val="24"/>
          <w:szCs w:val="24"/>
        </w:rPr>
        <w:t xml:space="preserve"> et</w:t>
      </w:r>
      <w:r w:rsidR="00DB2769" w:rsidRPr="00215867">
        <w:rPr>
          <w:rFonts w:ascii="Times New Roman" w:hAnsi="Times New Roman"/>
          <w:sz w:val="24"/>
          <w:szCs w:val="24"/>
        </w:rPr>
        <w:t xml:space="preserve"> diluée à 1: 5 (fraction volumique) soit dans de l’eau (pH dans H</w:t>
      </w:r>
      <w:r w:rsidR="00DB2769" w:rsidRPr="00215867">
        <w:rPr>
          <w:rFonts w:ascii="Times New Roman" w:hAnsi="Times New Roman"/>
          <w:sz w:val="24"/>
          <w:szCs w:val="24"/>
          <w:vertAlign w:val="subscript"/>
        </w:rPr>
        <w:t>2</w:t>
      </w:r>
      <w:r w:rsidR="00DB2769" w:rsidRPr="00215867">
        <w:rPr>
          <w:rFonts w:ascii="Times New Roman" w:hAnsi="Times New Roman"/>
          <w:sz w:val="24"/>
          <w:szCs w:val="24"/>
        </w:rPr>
        <w:t>O), soit dans une solution de chlorure de potassium à 1 mol/l (pH dans KCl) ou dans une solution de chlorure de calcium à 0,01 mol/l (pH dans CaCl</w:t>
      </w:r>
      <w:r w:rsidR="00DB2769" w:rsidRPr="00215867">
        <w:rPr>
          <w:rFonts w:ascii="Times New Roman" w:hAnsi="Times New Roman"/>
          <w:sz w:val="24"/>
          <w:szCs w:val="24"/>
          <w:vertAlign w:val="subscript"/>
        </w:rPr>
        <w:t>2</w:t>
      </w:r>
      <w:r w:rsidR="00DB2769" w:rsidRPr="00215867">
        <w:rPr>
          <w:rFonts w:ascii="Times New Roman" w:hAnsi="Times New Roman"/>
          <w:sz w:val="24"/>
          <w:szCs w:val="24"/>
        </w:rPr>
        <w:t>).</w:t>
      </w:r>
      <w:r w:rsidR="002A5356" w:rsidRPr="00DB2769">
        <w:rPr>
          <w:rFonts w:ascii="Times New Roman" w:hAnsi="Times New Roman"/>
          <w:sz w:val="24"/>
          <w:szCs w:val="24"/>
        </w:rPr>
        <w:t> ;</w:t>
      </w:r>
    </w:p>
    <w:p w14:paraId="50F6F4AC" w14:textId="5743C439" w:rsidR="00A35CD2" w:rsidRDefault="009B1638" w:rsidP="00215867">
      <w:pPr>
        <w:pStyle w:val="Paragraphedeliste"/>
        <w:numPr>
          <w:ilvl w:val="0"/>
          <w:numId w:val="288"/>
        </w:numPr>
        <w:jc w:val="both"/>
        <w:rPr>
          <w:rFonts w:ascii="Times New Roman" w:hAnsi="Times New Roman"/>
          <w:sz w:val="24"/>
        </w:rPr>
      </w:pPr>
      <w:r>
        <w:rPr>
          <w:rFonts w:ascii="Times New Roman" w:hAnsi="Times New Roman"/>
          <w:sz w:val="24"/>
        </w:rPr>
        <w:t>ISO 1014 relative à la d</w:t>
      </w:r>
      <w:r w:rsidRPr="00215867">
        <w:rPr>
          <w:rFonts w:ascii="Times New Roman" w:hAnsi="Times New Roman"/>
          <w:sz w:val="24"/>
        </w:rPr>
        <w:t>étermination de la densité relative vraie, de la densité relative apparente et de la porosité</w:t>
      </w:r>
      <w:r>
        <w:rPr>
          <w:rFonts w:ascii="Times New Roman" w:hAnsi="Times New Roman"/>
          <w:sz w:val="24"/>
        </w:rPr>
        <w:t xml:space="preserve"> de sol</w:t>
      </w:r>
      <w:r w:rsidR="00872496">
        <w:rPr>
          <w:rFonts w:ascii="Times New Roman" w:hAnsi="Times New Roman"/>
          <w:sz w:val="24"/>
        </w:rPr>
        <w:t xml:space="preserve">. </w:t>
      </w:r>
      <w:r w:rsidR="002938D2">
        <w:rPr>
          <w:rFonts w:ascii="Times New Roman" w:hAnsi="Times New Roman"/>
          <w:sz w:val="24"/>
        </w:rPr>
        <w:t xml:space="preserve">La densité relative vraie du coke broyé à </w:t>
      </w:r>
      <w:r w:rsidR="002938D2">
        <w:rPr>
          <w:rFonts w:ascii="Times New Roman" w:hAnsi="Times New Roman"/>
          <w:lang w:val="fr-CD"/>
        </w:rPr>
        <w:t xml:space="preserve">&lt; 212 </w:t>
      </w:r>
      <w:r w:rsidR="00E25FDC" w:rsidRPr="00215867">
        <w:rPr>
          <w:rFonts w:ascii="Times New Roman" w:hAnsi="Times New Roman"/>
          <w:sz w:val="24"/>
          <w:lang w:val="fr-CD"/>
        </w:rPr>
        <w:t>μ</w:t>
      </w:r>
      <w:r w:rsidR="00E25FDC">
        <w:rPr>
          <w:rFonts w:ascii="Times New Roman" w:hAnsi="Times New Roman"/>
          <w:lang w:val="fr-CD"/>
        </w:rPr>
        <w:t xml:space="preserve">m </w:t>
      </w:r>
      <w:r w:rsidR="002938D2">
        <w:rPr>
          <w:rFonts w:ascii="Times New Roman" w:hAnsi="Times New Roman"/>
          <w:sz w:val="24"/>
        </w:rPr>
        <w:t xml:space="preserve">est </w:t>
      </w:r>
      <w:r w:rsidR="00221496">
        <w:rPr>
          <w:rFonts w:ascii="Times New Roman" w:hAnsi="Times New Roman"/>
          <w:sz w:val="24"/>
        </w:rPr>
        <w:t>déterminée</w:t>
      </w:r>
      <w:r w:rsidR="00E25FDC">
        <w:rPr>
          <w:rFonts w:ascii="Times New Roman" w:hAnsi="Times New Roman"/>
          <w:sz w:val="24"/>
        </w:rPr>
        <w:t xml:space="preserve"> par rapport à l’eau.</w:t>
      </w:r>
      <w:r w:rsidR="002938D2">
        <w:rPr>
          <w:rFonts w:ascii="Times New Roman" w:hAnsi="Times New Roman"/>
          <w:sz w:val="24"/>
        </w:rPr>
        <w:t xml:space="preserve"> </w:t>
      </w:r>
      <w:r w:rsidR="002A5356">
        <w:rPr>
          <w:rFonts w:ascii="Times New Roman" w:hAnsi="Times New Roman"/>
          <w:sz w:val="24"/>
        </w:rPr>
        <w:t>;</w:t>
      </w:r>
    </w:p>
    <w:p w14:paraId="40AEB3EB" w14:textId="6D23B23B" w:rsidR="009B1638" w:rsidRDefault="005E2810" w:rsidP="00215867">
      <w:pPr>
        <w:pStyle w:val="Paragraphedeliste"/>
        <w:numPr>
          <w:ilvl w:val="0"/>
          <w:numId w:val="288"/>
        </w:numPr>
        <w:jc w:val="both"/>
        <w:rPr>
          <w:rFonts w:ascii="Times New Roman" w:hAnsi="Times New Roman"/>
          <w:sz w:val="24"/>
        </w:rPr>
      </w:pPr>
      <w:r w:rsidRPr="00215867">
        <w:rPr>
          <w:rFonts w:ascii="Times New Roman" w:hAnsi="Times New Roman"/>
          <w:sz w:val="24"/>
        </w:rPr>
        <w:t>NF EN 15169 Caractérisation des déchets - Détermination de la perte au feu des déchets, des boues et des sédiments</w:t>
      </w:r>
      <w:r w:rsidR="002A5356">
        <w:rPr>
          <w:rFonts w:ascii="Times New Roman" w:hAnsi="Times New Roman"/>
          <w:sz w:val="24"/>
        </w:rPr>
        <w:t> ;</w:t>
      </w:r>
    </w:p>
    <w:p w14:paraId="795EDC78" w14:textId="41D703FE" w:rsidR="005E2810" w:rsidRDefault="00104C87" w:rsidP="00215867">
      <w:pPr>
        <w:pStyle w:val="Paragraphedeliste"/>
        <w:numPr>
          <w:ilvl w:val="0"/>
          <w:numId w:val="288"/>
        </w:numPr>
        <w:jc w:val="both"/>
        <w:rPr>
          <w:rFonts w:ascii="Times New Roman" w:hAnsi="Times New Roman"/>
          <w:sz w:val="24"/>
        </w:rPr>
      </w:pPr>
      <w:r w:rsidRPr="00215867">
        <w:rPr>
          <w:rFonts w:ascii="Times New Roman" w:hAnsi="Times New Roman"/>
          <w:sz w:val="24"/>
        </w:rPr>
        <w:t>NF</w:t>
      </w:r>
      <w:r>
        <w:rPr>
          <w:rFonts w:ascii="Times New Roman" w:hAnsi="Times New Roman"/>
          <w:sz w:val="24"/>
        </w:rPr>
        <w:t xml:space="preserve"> </w:t>
      </w:r>
      <w:r w:rsidRPr="00215867">
        <w:rPr>
          <w:rFonts w:ascii="Times New Roman" w:hAnsi="Times New Roman"/>
          <w:sz w:val="24"/>
        </w:rPr>
        <w:t>P</w:t>
      </w:r>
      <w:r>
        <w:rPr>
          <w:rFonts w:ascii="Times New Roman" w:hAnsi="Times New Roman"/>
          <w:sz w:val="24"/>
        </w:rPr>
        <w:t xml:space="preserve"> </w:t>
      </w:r>
      <w:r w:rsidRPr="00215867">
        <w:rPr>
          <w:rFonts w:ascii="Times New Roman" w:hAnsi="Times New Roman"/>
          <w:sz w:val="24"/>
        </w:rPr>
        <w:t>94-056</w:t>
      </w:r>
      <w:r>
        <w:rPr>
          <w:rFonts w:ascii="Times New Roman" w:hAnsi="Times New Roman"/>
          <w:sz w:val="24"/>
        </w:rPr>
        <w:t xml:space="preserve"> relative à l’analyse granulométrique</w:t>
      </w:r>
      <w:r w:rsidR="002A5356">
        <w:rPr>
          <w:rFonts w:ascii="Times New Roman" w:hAnsi="Times New Roman"/>
          <w:sz w:val="24"/>
        </w:rPr>
        <w:t> ;</w:t>
      </w:r>
      <w:r>
        <w:rPr>
          <w:rFonts w:ascii="Times New Roman" w:hAnsi="Times New Roman"/>
          <w:sz w:val="24"/>
        </w:rPr>
        <w:t xml:space="preserve"> </w:t>
      </w:r>
    </w:p>
    <w:p w14:paraId="23C26309" w14:textId="03A1715D" w:rsidR="00104C87" w:rsidRDefault="0057656E" w:rsidP="00215867">
      <w:pPr>
        <w:pStyle w:val="Paragraphedeliste"/>
        <w:numPr>
          <w:ilvl w:val="0"/>
          <w:numId w:val="288"/>
        </w:numPr>
        <w:jc w:val="both"/>
        <w:rPr>
          <w:rFonts w:ascii="Times New Roman" w:hAnsi="Times New Roman"/>
          <w:sz w:val="24"/>
        </w:rPr>
      </w:pPr>
      <w:r w:rsidRPr="00215867">
        <w:rPr>
          <w:rFonts w:ascii="Times New Roman" w:hAnsi="Times New Roman"/>
          <w:sz w:val="24"/>
        </w:rPr>
        <w:t>NF P 11-300</w:t>
      </w:r>
      <w:r>
        <w:rPr>
          <w:rFonts w:ascii="Times New Roman" w:hAnsi="Times New Roman"/>
          <w:sz w:val="24"/>
        </w:rPr>
        <w:t> :</w:t>
      </w:r>
      <w:r w:rsidRPr="00215867">
        <w:rPr>
          <w:rFonts w:ascii="Times New Roman" w:hAnsi="Times New Roman"/>
          <w:sz w:val="24"/>
        </w:rPr>
        <w:t xml:space="preserve"> Classification des matériaux utilisables dans la construction des remblais</w:t>
      </w:r>
      <w:r w:rsidR="002A5356">
        <w:rPr>
          <w:rFonts w:ascii="Times New Roman" w:hAnsi="Times New Roman"/>
          <w:sz w:val="24"/>
        </w:rPr>
        <w:t> ;</w:t>
      </w:r>
    </w:p>
    <w:p w14:paraId="0306622C" w14:textId="66ED694F" w:rsidR="002A5356" w:rsidRPr="00461C14" w:rsidRDefault="002A5356" w:rsidP="00215867">
      <w:pPr>
        <w:pStyle w:val="Paragraphedeliste"/>
        <w:numPr>
          <w:ilvl w:val="0"/>
          <w:numId w:val="288"/>
        </w:numPr>
        <w:jc w:val="both"/>
      </w:pPr>
      <w:r w:rsidRPr="00215867">
        <w:t>ISO 5931</w:t>
      </w:r>
      <w:r>
        <w:rPr>
          <w:rFonts w:ascii="Times New Roman" w:hAnsi="Times New Roman"/>
          <w:sz w:val="24"/>
        </w:rPr>
        <w:t xml:space="preserve"> </w:t>
      </w:r>
      <w:r w:rsidRPr="002A5356">
        <w:rPr>
          <w:rFonts w:ascii="Times New Roman" w:hAnsi="Times New Roman"/>
          <w:sz w:val="24"/>
        </w:rPr>
        <w:t>:</w:t>
      </w:r>
      <w:r>
        <w:rPr>
          <w:rFonts w:ascii="Times New Roman" w:hAnsi="Times New Roman"/>
          <w:sz w:val="24"/>
        </w:rPr>
        <w:t xml:space="preserve"> pour le d</w:t>
      </w:r>
      <w:r w:rsidRPr="002A5356">
        <w:rPr>
          <w:rFonts w:ascii="Times New Roman" w:hAnsi="Times New Roman"/>
          <w:sz w:val="24"/>
        </w:rPr>
        <w:t>osage du soufre total </w:t>
      </w:r>
      <w:r w:rsidRPr="00215867">
        <w:rPr>
          <w:rFonts w:ascii="Times New Roman" w:hAnsi="Times New Roman"/>
          <w:sz w:val="24"/>
        </w:rPr>
        <w:t>par la méthode Eschka</w:t>
      </w:r>
      <w:r w:rsidR="000E460C">
        <w:rPr>
          <w:rFonts w:ascii="Times New Roman" w:hAnsi="Times New Roman"/>
          <w:sz w:val="24"/>
        </w:rPr>
        <w:t xml:space="preserve">, </w:t>
      </w:r>
      <w:r w:rsidR="000E460C" w:rsidRPr="00215867">
        <w:t>à condition qu'ils contiennent au moins 0,1 % en masse et de préférence moins de 4 % en masse de soufre</w:t>
      </w:r>
      <w:r>
        <w:rPr>
          <w:rFonts w:ascii="Times New Roman" w:hAnsi="Times New Roman"/>
          <w:sz w:val="24"/>
        </w:rPr>
        <w:t> ;</w:t>
      </w:r>
    </w:p>
    <w:p w14:paraId="569F35CC" w14:textId="0DE06162" w:rsidR="002A5356" w:rsidRDefault="00143EF0" w:rsidP="00215867">
      <w:pPr>
        <w:pStyle w:val="Paragraphedeliste"/>
        <w:numPr>
          <w:ilvl w:val="0"/>
          <w:numId w:val="288"/>
        </w:numPr>
        <w:jc w:val="both"/>
        <w:rPr>
          <w:rFonts w:ascii="Times New Roman" w:hAnsi="Times New Roman"/>
          <w:sz w:val="24"/>
        </w:rPr>
      </w:pPr>
      <w:r w:rsidRPr="00215867">
        <w:rPr>
          <w:rFonts w:ascii="Times New Roman" w:hAnsi="Times New Roman"/>
          <w:sz w:val="24"/>
        </w:rPr>
        <w:t>ISO 11047:</w:t>
      </w:r>
      <w:r w:rsidR="0033189E">
        <w:rPr>
          <w:rFonts w:ascii="Times New Roman" w:hAnsi="Times New Roman"/>
          <w:sz w:val="24"/>
        </w:rPr>
        <w:t xml:space="preserve"> </w:t>
      </w:r>
      <w:r w:rsidRPr="00215867">
        <w:rPr>
          <w:rFonts w:ascii="Times New Roman" w:hAnsi="Times New Roman"/>
          <w:sz w:val="24"/>
        </w:rPr>
        <w:t xml:space="preserve">Qualité du sol </w:t>
      </w:r>
      <w:r>
        <w:rPr>
          <w:rFonts w:ascii="Times New Roman" w:hAnsi="Times New Roman"/>
          <w:sz w:val="24"/>
        </w:rPr>
        <w:t>-</w:t>
      </w:r>
      <w:r w:rsidRPr="00215867">
        <w:rPr>
          <w:rFonts w:ascii="Times New Roman" w:hAnsi="Times New Roman"/>
          <w:sz w:val="24"/>
        </w:rPr>
        <w:t xml:space="preserve"> Dosage du cadmium, du chrome, du cobalt, du cuivre, du plomb, du manganèse, du nickel et du zinc</w:t>
      </w:r>
      <w:r w:rsidR="0033189E">
        <w:rPr>
          <w:rFonts w:ascii="Times New Roman" w:hAnsi="Times New Roman"/>
          <w:sz w:val="24"/>
        </w:rPr>
        <w:t xml:space="preserve"> dans les extraits de sol à l’eau régale – Méthodes par spectrom</w:t>
      </w:r>
      <w:r w:rsidR="0066121B">
        <w:rPr>
          <w:rFonts w:ascii="Times New Roman" w:hAnsi="Times New Roman"/>
          <w:sz w:val="24"/>
        </w:rPr>
        <w:t>étrie d’</w:t>
      </w:r>
      <w:r w:rsidR="000E460C">
        <w:rPr>
          <w:rFonts w:ascii="Times New Roman" w:hAnsi="Times New Roman"/>
          <w:sz w:val="24"/>
        </w:rPr>
        <w:t>a</w:t>
      </w:r>
      <w:r w:rsidR="0066121B">
        <w:rPr>
          <w:rFonts w:ascii="Times New Roman" w:hAnsi="Times New Roman"/>
          <w:sz w:val="24"/>
        </w:rPr>
        <w:t>bsorption atomique a</w:t>
      </w:r>
      <w:r w:rsidR="000E460C">
        <w:rPr>
          <w:rFonts w:ascii="Times New Roman" w:hAnsi="Times New Roman"/>
          <w:sz w:val="24"/>
        </w:rPr>
        <w:t>v</w:t>
      </w:r>
      <w:r w:rsidR="0066121B">
        <w:rPr>
          <w:rFonts w:ascii="Times New Roman" w:hAnsi="Times New Roman"/>
          <w:sz w:val="24"/>
        </w:rPr>
        <w:t>ec flamme et atomisation électrothermique</w:t>
      </w:r>
      <w:r w:rsidRPr="00215867">
        <w:rPr>
          <w:rFonts w:ascii="Times New Roman" w:hAnsi="Times New Roman"/>
          <w:sz w:val="24"/>
        </w:rPr>
        <w:t>.</w:t>
      </w:r>
    </w:p>
    <w:p w14:paraId="367FAB8D" w14:textId="2489098F" w:rsidR="000E460C" w:rsidRPr="007F1CD9" w:rsidRDefault="00221496" w:rsidP="000E460C">
      <w:pPr>
        <w:pStyle w:val="Lgende"/>
        <w:spacing w:before="120" w:after="120"/>
        <w:jc w:val="center"/>
        <w:rPr>
          <w:rStyle w:val="Emphaseintense"/>
          <w:b/>
          <w:iCs/>
          <w:color w:val="auto"/>
          <w:sz w:val="24"/>
          <w:szCs w:val="24"/>
        </w:rPr>
      </w:pPr>
      <w:bookmarkStart w:id="444" w:name="_Toc93050272"/>
      <w:r w:rsidRPr="00215867">
        <w:rPr>
          <w:rStyle w:val="Emphaseintense"/>
          <w:b/>
          <w:color w:val="auto"/>
        </w:rPr>
        <w:t xml:space="preserve">Tableau </w:t>
      </w:r>
      <w:r w:rsidRPr="00221496">
        <w:rPr>
          <w:rStyle w:val="Emphaseintense"/>
          <w:b/>
          <w:color w:val="auto"/>
        </w:rPr>
        <w:fldChar w:fldCharType="begin"/>
      </w:r>
      <w:r w:rsidRPr="00221496">
        <w:rPr>
          <w:rStyle w:val="Emphaseintense"/>
          <w:b/>
          <w:color w:val="auto"/>
        </w:rPr>
        <w:instrText xml:space="preserve"> SEQ Tableau \* ARABIC </w:instrText>
      </w:r>
      <w:r w:rsidRPr="00221496">
        <w:rPr>
          <w:rStyle w:val="Emphaseintense"/>
          <w:b/>
          <w:color w:val="auto"/>
        </w:rPr>
        <w:fldChar w:fldCharType="separate"/>
      </w:r>
      <w:r>
        <w:rPr>
          <w:rStyle w:val="Emphaseintense"/>
          <w:b/>
          <w:noProof/>
          <w:color w:val="auto"/>
        </w:rPr>
        <w:t>10</w:t>
      </w:r>
      <w:r w:rsidRPr="00221496">
        <w:rPr>
          <w:rStyle w:val="Emphaseintense"/>
          <w:b/>
          <w:color w:val="auto"/>
        </w:rPr>
        <w:fldChar w:fldCharType="end"/>
      </w:r>
      <w:r w:rsidRPr="00221496">
        <w:rPr>
          <w:rStyle w:val="Emphaseintense"/>
          <w:b/>
          <w:color w:val="auto"/>
        </w:rPr>
        <w:t> </w:t>
      </w:r>
      <w:r w:rsidR="000E460C" w:rsidRPr="007F1CD9">
        <w:rPr>
          <w:rStyle w:val="Emphaseintense"/>
          <w:b/>
          <w:iCs/>
          <w:color w:val="auto"/>
          <w:sz w:val="24"/>
          <w:szCs w:val="24"/>
        </w:rPr>
        <w:t>. Limites indicatives de la teneur du sol (mg/kg de matière sèche) en éléments extractibles par l’eau régale conformément à l’ISO 11 466</w:t>
      </w:r>
      <w:bookmarkEnd w:id="444"/>
      <w:r w:rsidR="000E460C" w:rsidRPr="007F1CD9">
        <w:rPr>
          <w:rStyle w:val="Emphaseintense"/>
          <w:b/>
          <w:iCs/>
          <w:color w:val="auto"/>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665"/>
        <w:gridCol w:w="3998"/>
      </w:tblGrid>
      <w:tr w:rsidR="000E460C" w:rsidRPr="00420C1B" w14:paraId="57FB84E7" w14:textId="77777777" w:rsidTr="00420C1B">
        <w:trPr>
          <w:jc w:val="center"/>
        </w:trPr>
        <w:tc>
          <w:tcPr>
            <w:tcW w:w="2263" w:type="dxa"/>
            <w:shd w:val="clear" w:color="auto" w:fill="auto"/>
            <w:vAlign w:val="center"/>
          </w:tcPr>
          <w:p w14:paraId="5AE50AC6" w14:textId="77777777" w:rsidR="000E460C" w:rsidRPr="00420C1B" w:rsidRDefault="000E460C" w:rsidP="00420C1B">
            <w:pPr>
              <w:spacing w:after="0" w:line="240" w:lineRule="auto"/>
              <w:jc w:val="center"/>
              <w:rPr>
                <w:rFonts w:ascii="Times New Roman" w:hAnsi="Times New Roman"/>
                <w:b/>
                <w:lang w:val="fr-CD"/>
              </w:rPr>
            </w:pPr>
            <w:r w:rsidRPr="00420C1B">
              <w:rPr>
                <w:rFonts w:ascii="Times New Roman" w:hAnsi="Times New Roman"/>
                <w:b/>
                <w:lang w:val="fr-CD"/>
              </w:rPr>
              <w:t>Polluants</w:t>
            </w:r>
          </w:p>
        </w:tc>
        <w:tc>
          <w:tcPr>
            <w:tcW w:w="2665" w:type="dxa"/>
            <w:shd w:val="clear" w:color="auto" w:fill="auto"/>
            <w:vAlign w:val="center"/>
          </w:tcPr>
          <w:p w14:paraId="1FDB43DE" w14:textId="77777777" w:rsidR="000E460C" w:rsidRPr="00420C1B" w:rsidRDefault="000E460C" w:rsidP="00420C1B">
            <w:pPr>
              <w:spacing w:after="0" w:line="240" w:lineRule="auto"/>
              <w:jc w:val="center"/>
              <w:rPr>
                <w:rFonts w:ascii="Times New Roman" w:hAnsi="Times New Roman"/>
                <w:lang w:val="fr-CD"/>
              </w:rPr>
            </w:pPr>
            <w:r w:rsidRPr="00420C1B">
              <w:rPr>
                <w:rFonts w:ascii="Times New Roman" w:hAnsi="Times New Roman"/>
                <w:b/>
                <w:lang w:val="fr-CD"/>
              </w:rPr>
              <w:t>Méthode A</w:t>
            </w:r>
            <w:r w:rsidRPr="00420C1B">
              <w:rPr>
                <w:rFonts w:ascii="Times New Roman" w:hAnsi="Times New Roman"/>
                <w:lang w:val="fr-CD"/>
              </w:rPr>
              <w:t xml:space="preserve"> </w:t>
            </w:r>
          </w:p>
          <w:p w14:paraId="39C771BE" w14:textId="77777777" w:rsidR="000E460C" w:rsidRPr="00420C1B" w:rsidRDefault="000E460C" w:rsidP="00420C1B">
            <w:pPr>
              <w:spacing w:after="0" w:line="240" w:lineRule="auto"/>
              <w:jc w:val="center"/>
              <w:rPr>
                <w:rFonts w:ascii="Times New Roman" w:hAnsi="Times New Roman"/>
                <w:b/>
                <w:lang w:val="fr-CD"/>
              </w:rPr>
            </w:pPr>
            <w:r w:rsidRPr="00420C1B">
              <w:rPr>
                <w:rFonts w:ascii="Times New Roman" w:hAnsi="Times New Roman"/>
                <w:lang w:val="fr-CD"/>
              </w:rPr>
              <w:t>(SAA avec flamme)</w:t>
            </w:r>
          </w:p>
        </w:tc>
        <w:tc>
          <w:tcPr>
            <w:tcW w:w="3998" w:type="dxa"/>
            <w:shd w:val="clear" w:color="auto" w:fill="auto"/>
            <w:vAlign w:val="center"/>
          </w:tcPr>
          <w:p w14:paraId="3363548D" w14:textId="77777777" w:rsidR="000E460C" w:rsidRPr="00420C1B" w:rsidRDefault="000E460C" w:rsidP="00420C1B">
            <w:pPr>
              <w:spacing w:after="0" w:line="240" w:lineRule="auto"/>
              <w:jc w:val="center"/>
              <w:rPr>
                <w:rFonts w:ascii="Times New Roman" w:hAnsi="Times New Roman"/>
                <w:lang w:val="fr-CD"/>
              </w:rPr>
            </w:pPr>
            <w:r w:rsidRPr="00420C1B">
              <w:rPr>
                <w:rFonts w:ascii="Times New Roman" w:hAnsi="Times New Roman"/>
                <w:b/>
                <w:lang w:val="fr-CD"/>
              </w:rPr>
              <w:t>Méthode B</w:t>
            </w:r>
            <w:r w:rsidRPr="00420C1B">
              <w:rPr>
                <w:rFonts w:ascii="Times New Roman" w:hAnsi="Times New Roman"/>
                <w:lang w:val="fr-CD"/>
              </w:rPr>
              <w:t xml:space="preserve"> </w:t>
            </w:r>
          </w:p>
          <w:p w14:paraId="04AF667D" w14:textId="77777777" w:rsidR="000E460C" w:rsidRPr="00420C1B" w:rsidRDefault="000E460C" w:rsidP="00420C1B">
            <w:pPr>
              <w:spacing w:after="0" w:line="240" w:lineRule="auto"/>
              <w:jc w:val="center"/>
              <w:rPr>
                <w:rFonts w:ascii="Times New Roman" w:hAnsi="Times New Roman"/>
                <w:b/>
                <w:lang w:val="fr-CD"/>
              </w:rPr>
            </w:pPr>
            <w:r w:rsidRPr="00420C1B">
              <w:rPr>
                <w:rFonts w:ascii="Times New Roman" w:hAnsi="Times New Roman"/>
                <w:lang w:val="fr-CD"/>
              </w:rPr>
              <w:t>(SAA avec atomisation électrothermique)</w:t>
            </w:r>
          </w:p>
        </w:tc>
      </w:tr>
      <w:tr w:rsidR="000E460C" w:rsidRPr="00420C1B" w14:paraId="3EFE9D81" w14:textId="77777777" w:rsidTr="00420C1B">
        <w:trPr>
          <w:jc w:val="center"/>
        </w:trPr>
        <w:tc>
          <w:tcPr>
            <w:tcW w:w="2263" w:type="dxa"/>
            <w:shd w:val="clear" w:color="auto" w:fill="auto"/>
          </w:tcPr>
          <w:p w14:paraId="6726744C" w14:textId="77777777" w:rsidR="000E460C" w:rsidRPr="00420C1B" w:rsidRDefault="000E460C" w:rsidP="00420C1B">
            <w:pPr>
              <w:spacing w:after="0" w:line="240" w:lineRule="auto"/>
              <w:rPr>
                <w:rFonts w:ascii="Times New Roman" w:hAnsi="Times New Roman"/>
                <w:lang w:val="en-US"/>
              </w:rPr>
            </w:pPr>
            <w:r w:rsidRPr="00420C1B">
              <w:rPr>
                <w:rFonts w:ascii="Times New Roman" w:hAnsi="Times New Roman"/>
                <w:lang w:val="en-US"/>
              </w:rPr>
              <w:t>Cadmium (Cd)</w:t>
            </w:r>
          </w:p>
        </w:tc>
        <w:tc>
          <w:tcPr>
            <w:tcW w:w="2665" w:type="dxa"/>
            <w:shd w:val="clear" w:color="auto" w:fill="auto"/>
          </w:tcPr>
          <w:p w14:paraId="49487468"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&gt; 2</w:t>
            </w:r>
          </w:p>
        </w:tc>
        <w:tc>
          <w:tcPr>
            <w:tcW w:w="3998" w:type="dxa"/>
            <w:shd w:val="clear" w:color="auto" w:fill="auto"/>
          </w:tcPr>
          <w:p w14:paraId="7BA689BA"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2</w:t>
            </w:r>
          </w:p>
        </w:tc>
      </w:tr>
      <w:tr w:rsidR="000E460C" w:rsidRPr="00420C1B" w14:paraId="11EB83F6" w14:textId="77777777" w:rsidTr="00420C1B">
        <w:trPr>
          <w:jc w:val="center"/>
        </w:trPr>
        <w:tc>
          <w:tcPr>
            <w:tcW w:w="2263" w:type="dxa"/>
            <w:shd w:val="clear" w:color="auto" w:fill="auto"/>
          </w:tcPr>
          <w:p w14:paraId="48ED3E4C"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Chrome (Cr)</w:t>
            </w:r>
          </w:p>
        </w:tc>
        <w:tc>
          <w:tcPr>
            <w:tcW w:w="2665" w:type="dxa"/>
            <w:shd w:val="clear" w:color="auto" w:fill="auto"/>
          </w:tcPr>
          <w:p w14:paraId="507BBAAE"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 xml:space="preserve">&gt; 12 </w:t>
            </w:r>
          </w:p>
        </w:tc>
        <w:tc>
          <w:tcPr>
            <w:tcW w:w="3998" w:type="dxa"/>
            <w:shd w:val="clear" w:color="auto" w:fill="auto"/>
          </w:tcPr>
          <w:p w14:paraId="35B59395"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12</w:t>
            </w:r>
          </w:p>
        </w:tc>
      </w:tr>
      <w:tr w:rsidR="000E460C" w:rsidRPr="00420C1B" w14:paraId="04F9BC69" w14:textId="77777777" w:rsidTr="00420C1B">
        <w:trPr>
          <w:jc w:val="center"/>
        </w:trPr>
        <w:tc>
          <w:tcPr>
            <w:tcW w:w="2263" w:type="dxa"/>
            <w:shd w:val="clear" w:color="auto" w:fill="auto"/>
          </w:tcPr>
          <w:p w14:paraId="13323D20"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 xml:space="preserve">Cobalt </w:t>
            </w:r>
          </w:p>
        </w:tc>
        <w:tc>
          <w:tcPr>
            <w:tcW w:w="2665" w:type="dxa"/>
            <w:shd w:val="clear" w:color="auto" w:fill="auto"/>
          </w:tcPr>
          <w:p w14:paraId="095FB66A"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 xml:space="preserve">&gt; 12 </w:t>
            </w:r>
          </w:p>
        </w:tc>
        <w:tc>
          <w:tcPr>
            <w:tcW w:w="3998" w:type="dxa"/>
            <w:shd w:val="clear" w:color="auto" w:fill="auto"/>
          </w:tcPr>
          <w:p w14:paraId="37E5C66B"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12</w:t>
            </w:r>
          </w:p>
        </w:tc>
      </w:tr>
      <w:tr w:rsidR="000E460C" w:rsidRPr="00420C1B" w14:paraId="30C2B007" w14:textId="77777777" w:rsidTr="00420C1B">
        <w:trPr>
          <w:jc w:val="center"/>
        </w:trPr>
        <w:tc>
          <w:tcPr>
            <w:tcW w:w="2263" w:type="dxa"/>
            <w:shd w:val="clear" w:color="auto" w:fill="auto"/>
          </w:tcPr>
          <w:p w14:paraId="7BBDAAD5"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Cuivre (Cu)</w:t>
            </w:r>
          </w:p>
        </w:tc>
        <w:tc>
          <w:tcPr>
            <w:tcW w:w="2665" w:type="dxa"/>
            <w:shd w:val="clear" w:color="auto" w:fill="auto"/>
          </w:tcPr>
          <w:p w14:paraId="364FB167"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&gt; 5</w:t>
            </w:r>
          </w:p>
        </w:tc>
        <w:tc>
          <w:tcPr>
            <w:tcW w:w="3998" w:type="dxa"/>
            <w:shd w:val="clear" w:color="auto" w:fill="auto"/>
          </w:tcPr>
          <w:p w14:paraId="2A55985B"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5</w:t>
            </w:r>
          </w:p>
        </w:tc>
      </w:tr>
      <w:tr w:rsidR="000E460C" w:rsidRPr="00420C1B" w14:paraId="36FBD97D" w14:textId="77777777" w:rsidTr="00420C1B">
        <w:trPr>
          <w:trHeight w:val="260"/>
          <w:jc w:val="center"/>
        </w:trPr>
        <w:tc>
          <w:tcPr>
            <w:tcW w:w="2263" w:type="dxa"/>
            <w:shd w:val="clear" w:color="auto" w:fill="auto"/>
          </w:tcPr>
          <w:p w14:paraId="37E7D5A2"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Plomb (Pb)</w:t>
            </w:r>
          </w:p>
        </w:tc>
        <w:tc>
          <w:tcPr>
            <w:tcW w:w="2665" w:type="dxa"/>
            <w:shd w:val="clear" w:color="auto" w:fill="auto"/>
          </w:tcPr>
          <w:p w14:paraId="53FB8091"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 xml:space="preserve">&gt; 15 </w:t>
            </w:r>
          </w:p>
        </w:tc>
        <w:tc>
          <w:tcPr>
            <w:tcW w:w="3998" w:type="dxa"/>
            <w:shd w:val="clear" w:color="auto" w:fill="auto"/>
          </w:tcPr>
          <w:p w14:paraId="728016E9"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15</w:t>
            </w:r>
          </w:p>
        </w:tc>
      </w:tr>
      <w:tr w:rsidR="000E460C" w:rsidRPr="00420C1B" w14:paraId="761EA05C" w14:textId="77777777" w:rsidTr="00420C1B">
        <w:trPr>
          <w:jc w:val="center"/>
        </w:trPr>
        <w:tc>
          <w:tcPr>
            <w:tcW w:w="2263" w:type="dxa"/>
            <w:shd w:val="clear" w:color="auto" w:fill="auto"/>
          </w:tcPr>
          <w:p w14:paraId="76D3592A"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Manganèse (Mn)</w:t>
            </w:r>
          </w:p>
        </w:tc>
        <w:tc>
          <w:tcPr>
            <w:tcW w:w="2665" w:type="dxa"/>
            <w:shd w:val="clear" w:color="auto" w:fill="auto"/>
          </w:tcPr>
          <w:p w14:paraId="25108869"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&gt; 2</w:t>
            </w:r>
          </w:p>
        </w:tc>
        <w:tc>
          <w:tcPr>
            <w:tcW w:w="3998" w:type="dxa"/>
            <w:shd w:val="clear" w:color="auto" w:fill="auto"/>
          </w:tcPr>
          <w:p w14:paraId="064DEA35"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2</w:t>
            </w:r>
          </w:p>
        </w:tc>
      </w:tr>
      <w:tr w:rsidR="000E460C" w:rsidRPr="00420C1B" w14:paraId="5C2E91E4" w14:textId="77777777" w:rsidTr="00420C1B">
        <w:trPr>
          <w:jc w:val="center"/>
        </w:trPr>
        <w:tc>
          <w:tcPr>
            <w:tcW w:w="2263" w:type="dxa"/>
            <w:shd w:val="clear" w:color="auto" w:fill="auto"/>
          </w:tcPr>
          <w:p w14:paraId="0FFAD09A"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Nickel (Ni)</w:t>
            </w:r>
          </w:p>
        </w:tc>
        <w:tc>
          <w:tcPr>
            <w:tcW w:w="2665" w:type="dxa"/>
            <w:shd w:val="clear" w:color="auto" w:fill="auto"/>
          </w:tcPr>
          <w:p w14:paraId="24215C12"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&gt; 12</w:t>
            </w:r>
          </w:p>
        </w:tc>
        <w:tc>
          <w:tcPr>
            <w:tcW w:w="3998" w:type="dxa"/>
            <w:shd w:val="clear" w:color="auto" w:fill="auto"/>
          </w:tcPr>
          <w:p w14:paraId="2ED5D3E4"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12</w:t>
            </w:r>
          </w:p>
        </w:tc>
      </w:tr>
      <w:tr w:rsidR="000E460C" w:rsidRPr="00420C1B" w14:paraId="143EE6D6" w14:textId="77777777" w:rsidTr="00420C1B">
        <w:trPr>
          <w:jc w:val="center"/>
        </w:trPr>
        <w:tc>
          <w:tcPr>
            <w:tcW w:w="2263" w:type="dxa"/>
            <w:shd w:val="clear" w:color="auto" w:fill="auto"/>
          </w:tcPr>
          <w:p w14:paraId="019FBD49"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Zinc (Zn)</w:t>
            </w:r>
          </w:p>
        </w:tc>
        <w:tc>
          <w:tcPr>
            <w:tcW w:w="2665" w:type="dxa"/>
            <w:shd w:val="clear" w:color="auto" w:fill="auto"/>
          </w:tcPr>
          <w:p w14:paraId="682D4ABF"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&gt; 2</w:t>
            </w:r>
          </w:p>
        </w:tc>
        <w:tc>
          <w:tcPr>
            <w:tcW w:w="3998" w:type="dxa"/>
            <w:shd w:val="clear" w:color="auto" w:fill="auto"/>
          </w:tcPr>
          <w:p w14:paraId="2C996831" w14:textId="77777777" w:rsidR="000E460C" w:rsidRPr="00420C1B" w:rsidRDefault="000E460C" w:rsidP="00420C1B">
            <w:pPr>
              <w:spacing w:after="0" w:line="240" w:lineRule="auto"/>
              <w:rPr>
                <w:rFonts w:ascii="Times New Roman" w:hAnsi="Times New Roman"/>
                <w:lang w:val="fr-CD"/>
              </w:rPr>
            </w:pPr>
            <w:r w:rsidRPr="00420C1B">
              <w:rPr>
                <w:rFonts w:ascii="Times New Roman" w:hAnsi="Times New Roman"/>
                <w:lang w:val="fr-CD"/>
              </w:rPr>
              <w:t>&lt; 2</w:t>
            </w:r>
          </w:p>
        </w:tc>
      </w:tr>
    </w:tbl>
    <w:p w14:paraId="345428A3" w14:textId="38407ACE" w:rsidR="005D25FB" w:rsidRDefault="00A95229" w:rsidP="00215867">
      <w:pPr>
        <w:spacing w:before="240" w:after="120"/>
        <w:jc w:val="both"/>
        <w:rPr>
          <w:rFonts w:ascii="Times New Roman" w:hAnsi="Times New Roman"/>
          <w:sz w:val="24"/>
        </w:rPr>
      </w:pPr>
      <w:r>
        <w:rPr>
          <w:rFonts w:ascii="Times New Roman" w:hAnsi="Times New Roman"/>
          <w:sz w:val="24"/>
        </w:rPr>
        <w:t xml:space="preserve">Les couloirs des lignes </w:t>
      </w:r>
      <w:r w:rsidR="006A43C0">
        <w:rPr>
          <w:rFonts w:ascii="Times New Roman" w:hAnsi="Times New Roman"/>
          <w:sz w:val="24"/>
        </w:rPr>
        <w:t>existantes</w:t>
      </w:r>
      <w:r>
        <w:rPr>
          <w:rFonts w:ascii="Times New Roman" w:hAnsi="Times New Roman"/>
          <w:sz w:val="24"/>
        </w:rPr>
        <w:t xml:space="preserve"> et les grandes artères de la zone du projet ont servi de stations de prélèvement des échantillons pour l’analyse de la qualité de sol. </w:t>
      </w:r>
    </w:p>
    <w:p w14:paraId="2D9981E5" w14:textId="419631F9" w:rsidR="00CF3508" w:rsidRPr="007F4B1E" w:rsidRDefault="002C66D7" w:rsidP="00215867">
      <w:pPr>
        <w:spacing w:before="120" w:after="0"/>
        <w:jc w:val="both"/>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pPr>
      <w:r w:rsidRPr="00215867">
        <w:rPr>
          <w:rFonts w:ascii="Times New Roman" w:hAnsi="Times New Roman"/>
          <w:noProof/>
          <w:lang w:eastAsia="fr-FR"/>
        </w:rPr>
        <w:drawing>
          <wp:inline distT="0" distB="0" distL="0" distR="0" wp14:anchorId="09FC6272" wp14:editId="49FB1D0C">
            <wp:extent cx="2867025" cy="2867025"/>
            <wp:effectExtent l="0" t="0" r="9525" b="9525"/>
            <wp:docPr id="41" name="Picture 18" descr="C:\Users\Admin\Pictures\2021-07\20210716_20613PM_29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2021-07\20210716_20613PM_29_ByGPSMapCamer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7025" cy="2867025"/>
                    </a:xfrm>
                    <a:prstGeom prst="rect">
                      <a:avLst/>
                    </a:prstGeom>
                    <a:noFill/>
                    <a:ln>
                      <a:noFill/>
                    </a:ln>
                  </pic:spPr>
                </pic:pic>
              </a:graphicData>
            </a:graphic>
          </wp:inline>
        </w:drawing>
      </w:r>
      <w:r w:rsidR="00CF3508" w:rsidRPr="007F4B1E">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215867">
        <w:rPr>
          <w:rFonts w:ascii="Times New Roman" w:hAnsi="Times New Roman"/>
          <w:noProof/>
          <w:lang w:eastAsia="fr-FR"/>
        </w:rPr>
        <w:drawing>
          <wp:inline distT="0" distB="0" distL="0" distR="0" wp14:anchorId="396D4727" wp14:editId="5B425B3D">
            <wp:extent cx="2867025" cy="2876550"/>
            <wp:effectExtent l="0" t="0" r="9525" b="0"/>
            <wp:docPr id="40" name="Picture 19" descr="C:\Users\Admin\Pictures\2021-07\20210716_41317PM_34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Pictures\2021-07\20210716_41317PM_34_ByGPSMapCamer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2876550"/>
                    </a:xfrm>
                    <a:prstGeom prst="rect">
                      <a:avLst/>
                    </a:prstGeom>
                    <a:noFill/>
                    <a:ln>
                      <a:noFill/>
                    </a:ln>
                  </pic:spPr>
                </pic:pic>
              </a:graphicData>
            </a:graphic>
          </wp:inline>
        </w:drawing>
      </w:r>
    </w:p>
    <w:p w14:paraId="751907A7" w14:textId="77777777" w:rsidR="00CF3508" w:rsidRPr="00215867" w:rsidRDefault="00CF3508" w:rsidP="000A6843">
      <w:pPr>
        <w:spacing w:after="120"/>
        <w:jc w:val="both"/>
        <w:rPr>
          <w:rStyle w:val="Emphaseintense"/>
          <w:rFonts w:ascii="Times New Roman" w:hAnsi="Times New Roman"/>
          <w:sz w:val="24"/>
        </w:rPr>
      </w:pPr>
      <w:r w:rsidRPr="00215867">
        <w:rPr>
          <w:rStyle w:val="Emphaseintense"/>
          <w:rFonts w:ascii="Times New Roman" w:hAnsi="Times New Roman"/>
          <w:sz w:val="24"/>
        </w:rPr>
        <w:t xml:space="preserve">Photo </w:t>
      </w:r>
      <w:r w:rsidRPr="000A6843">
        <w:rPr>
          <w:rStyle w:val="Emphaseintense"/>
          <w:rFonts w:ascii="Times New Roman" w:hAnsi="Times New Roman"/>
          <w:sz w:val="24"/>
        </w:rPr>
        <w:t>1</w:t>
      </w:r>
      <w:r w:rsidRPr="00215867">
        <w:rPr>
          <w:rStyle w:val="Emphaseintense"/>
          <w:rFonts w:ascii="Times New Roman" w:hAnsi="Times New Roman"/>
          <w:sz w:val="24"/>
        </w:rPr>
        <w:t xml:space="preserve"> et 2 : Lignes électriques MT dans les avenues (ici à Mitendi et Ngomba-Kikusa)</w:t>
      </w:r>
    </w:p>
    <w:p w14:paraId="569D97B9" w14:textId="58F6B005" w:rsidR="00E31E9E" w:rsidRPr="007F4B1E" w:rsidRDefault="00E31E9E" w:rsidP="00E31E9E">
      <w:pPr>
        <w:jc w:val="both"/>
        <w:rPr>
          <w:rFonts w:ascii="Times New Roman" w:hAnsi="Times New Roman"/>
          <w:sz w:val="24"/>
        </w:rPr>
      </w:pPr>
      <w:r w:rsidRPr="007F4B1E">
        <w:rPr>
          <w:rFonts w:ascii="Times New Roman" w:hAnsi="Times New Roman"/>
          <w:sz w:val="24"/>
        </w:rPr>
        <w:t xml:space="preserve">Un échantillonnage disparate a été opéré sur l’ensemble des sites sélectionnés pour le projet. Un effort a été consenti pour essayer de couvrir le maximum de la superficie dont il est question. Une équipe composée de 2 experts en géochimie du CRGM fut déployée sur terrain dont l’une s’était concentrée </w:t>
      </w:r>
      <w:r>
        <w:rPr>
          <w:rFonts w:ascii="Times New Roman" w:hAnsi="Times New Roman"/>
          <w:sz w:val="24"/>
        </w:rPr>
        <w:t>à</w:t>
      </w:r>
      <w:r w:rsidRPr="007F4B1E">
        <w:rPr>
          <w:rFonts w:ascii="Times New Roman" w:hAnsi="Times New Roman"/>
          <w:sz w:val="24"/>
        </w:rPr>
        <w:t xml:space="preserve"> Mont Ngafula sur 3 axes dont :</w:t>
      </w:r>
    </w:p>
    <w:p w14:paraId="76D287F8" w14:textId="77777777" w:rsidR="00E31E9E" w:rsidRPr="007F4B1E" w:rsidRDefault="00E31E9E" w:rsidP="00E31E9E">
      <w:pPr>
        <w:pStyle w:val="Paragraphedeliste"/>
        <w:numPr>
          <w:ilvl w:val="0"/>
          <w:numId w:val="379"/>
        </w:numPr>
        <w:jc w:val="both"/>
        <w:rPr>
          <w:rFonts w:ascii="Times New Roman" w:hAnsi="Times New Roman"/>
          <w:sz w:val="24"/>
          <w:lang w:val="en-GB"/>
        </w:rPr>
      </w:pPr>
      <w:r w:rsidRPr="007F4B1E">
        <w:rPr>
          <w:rFonts w:ascii="Times New Roman" w:hAnsi="Times New Roman"/>
          <w:sz w:val="24"/>
          <w:lang w:val="en-GB"/>
        </w:rPr>
        <w:t>Triangle Campus-Kimwenza Mission-Kimwenza Gare-Cité Pumbu</w:t>
      </w:r>
    </w:p>
    <w:p w14:paraId="05B7274A" w14:textId="77777777" w:rsidR="00E31E9E" w:rsidRPr="007F4B1E" w:rsidRDefault="00E31E9E" w:rsidP="00E31E9E">
      <w:pPr>
        <w:pStyle w:val="Paragraphedeliste"/>
        <w:numPr>
          <w:ilvl w:val="0"/>
          <w:numId w:val="379"/>
        </w:numPr>
        <w:jc w:val="both"/>
        <w:rPr>
          <w:rFonts w:ascii="Times New Roman" w:hAnsi="Times New Roman"/>
          <w:sz w:val="24"/>
        </w:rPr>
      </w:pPr>
      <w:r w:rsidRPr="007F4B1E">
        <w:rPr>
          <w:rFonts w:ascii="Times New Roman" w:hAnsi="Times New Roman"/>
          <w:sz w:val="24"/>
        </w:rPr>
        <w:t>Mitendi et Matadi Mayo (RN1)</w:t>
      </w:r>
    </w:p>
    <w:p w14:paraId="5E6AEE77" w14:textId="77777777" w:rsidR="00E31E9E" w:rsidRPr="007F4B1E" w:rsidRDefault="00E31E9E" w:rsidP="00E31E9E">
      <w:pPr>
        <w:pStyle w:val="Paragraphedeliste"/>
        <w:numPr>
          <w:ilvl w:val="0"/>
          <w:numId w:val="379"/>
        </w:numPr>
        <w:jc w:val="both"/>
        <w:rPr>
          <w:rFonts w:ascii="Times New Roman" w:hAnsi="Times New Roman"/>
          <w:sz w:val="24"/>
          <w:lang w:val="en-GB"/>
        </w:rPr>
      </w:pPr>
      <w:r w:rsidRPr="007F4B1E">
        <w:rPr>
          <w:rFonts w:ascii="Times New Roman" w:hAnsi="Times New Roman"/>
          <w:sz w:val="24"/>
          <w:lang w:val="en-GB"/>
        </w:rPr>
        <w:t>UPN Telecom-Badiadingi-Ngomba Kikusa-Cité Verte</w:t>
      </w:r>
    </w:p>
    <w:p w14:paraId="474B27FE" w14:textId="77777777" w:rsidR="00E31E9E" w:rsidRPr="007F4B1E" w:rsidRDefault="00E31E9E" w:rsidP="00E31E9E">
      <w:pPr>
        <w:jc w:val="both"/>
        <w:rPr>
          <w:rFonts w:ascii="Times New Roman" w:hAnsi="Times New Roman"/>
          <w:sz w:val="24"/>
        </w:rPr>
      </w:pPr>
      <w:r w:rsidRPr="007F4B1E">
        <w:rPr>
          <w:rFonts w:ascii="Times New Roman" w:hAnsi="Times New Roman"/>
          <w:sz w:val="24"/>
        </w:rPr>
        <w:t>Et l’autre sur 3 autres axes dont:</w:t>
      </w:r>
    </w:p>
    <w:p w14:paraId="294A102B" w14:textId="4326F3B7" w:rsidR="00E31E9E" w:rsidRPr="007F4B1E" w:rsidRDefault="00E31E9E" w:rsidP="00E31E9E">
      <w:pPr>
        <w:pStyle w:val="Paragraphedeliste"/>
        <w:numPr>
          <w:ilvl w:val="0"/>
          <w:numId w:val="380"/>
        </w:numPr>
        <w:jc w:val="both"/>
        <w:rPr>
          <w:rFonts w:ascii="Times New Roman" w:hAnsi="Times New Roman"/>
          <w:sz w:val="24"/>
        </w:rPr>
      </w:pPr>
      <w:r w:rsidRPr="007F4B1E">
        <w:rPr>
          <w:rFonts w:ascii="Times New Roman" w:hAnsi="Times New Roman"/>
          <w:sz w:val="24"/>
        </w:rPr>
        <w:t>Ozone (</w:t>
      </w:r>
      <w:r w:rsidR="00450D2A">
        <w:rPr>
          <w:rFonts w:ascii="Times New Roman" w:hAnsi="Times New Roman"/>
          <w:sz w:val="24"/>
        </w:rPr>
        <w:t>C</w:t>
      </w:r>
      <w:r w:rsidRPr="007F4B1E">
        <w:rPr>
          <w:rFonts w:ascii="Times New Roman" w:hAnsi="Times New Roman"/>
          <w:sz w:val="24"/>
        </w:rPr>
        <w:t>entre Sup</w:t>
      </w:r>
      <w:r w:rsidR="00450D2A">
        <w:rPr>
          <w:rFonts w:ascii="Times New Roman" w:hAnsi="Times New Roman"/>
          <w:sz w:val="24"/>
        </w:rPr>
        <w:t>é</w:t>
      </w:r>
      <w:r w:rsidRPr="007F4B1E">
        <w:rPr>
          <w:rFonts w:ascii="Times New Roman" w:hAnsi="Times New Roman"/>
          <w:sz w:val="24"/>
        </w:rPr>
        <w:t>rieur Militaire)</w:t>
      </w:r>
    </w:p>
    <w:p w14:paraId="195B13BF" w14:textId="77777777" w:rsidR="00E31E9E" w:rsidRPr="007F4B1E" w:rsidRDefault="00E31E9E" w:rsidP="00E31E9E">
      <w:pPr>
        <w:pStyle w:val="Paragraphedeliste"/>
        <w:numPr>
          <w:ilvl w:val="0"/>
          <w:numId w:val="380"/>
        </w:numPr>
        <w:jc w:val="both"/>
        <w:rPr>
          <w:rFonts w:ascii="Times New Roman" w:hAnsi="Times New Roman"/>
          <w:sz w:val="24"/>
        </w:rPr>
      </w:pPr>
      <w:r w:rsidRPr="007F4B1E">
        <w:rPr>
          <w:rFonts w:ascii="Times New Roman" w:hAnsi="Times New Roman"/>
          <w:sz w:val="24"/>
        </w:rPr>
        <w:t>Pompage-Mbudi_Kimbwala</w:t>
      </w:r>
    </w:p>
    <w:p w14:paraId="56113CDC" w14:textId="0ACB8D1B" w:rsidR="00E31E9E" w:rsidRPr="007F4B1E" w:rsidRDefault="00E31E9E" w:rsidP="00E31E9E">
      <w:pPr>
        <w:pStyle w:val="Paragraphedeliste"/>
        <w:numPr>
          <w:ilvl w:val="0"/>
          <w:numId w:val="380"/>
        </w:numPr>
        <w:jc w:val="both"/>
        <w:rPr>
          <w:rFonts w:ascii="Times New Roman" w:hAnsi="Times New Roman"/>
          <w:sz w:val="24"/>
        </w:rPr>
      </w:pPr>
      <w:r w:rsidRPr="007F4B1E">
        <w:rPr>
          <w:rFonts w:ascii="Times New Roman" w:hAnsi="Times New Roman"/>
          <w:sz w:val="24"/>
        </w:rPr>
        <w:t>Kintambo magasin (Mapenza)</w:t>
      </w:r>
      <w:r>
        <w:rPr>
          <w:rFonts w:ascii="Times New Roman" w:hAnsi="Times New Roman"/>
          <w:sz w:val="24"/>
        </w:rPr>
        <w:t>.</w:t>
      </w:r>
    </w:p>
    <w:p w14:paraId="13439202" w14:textId="7C1CD98E" w:rsidR="00F01166" w:rsidRDefault="00143EF0" w:rsidP="00E737B4">
      <w:pPr>
        <w:spacing w:before="120" w:after="120" w:line="240" w:lineRule="auto"/>
        <w:jc w:val="both"/>
        <w:rPr>
          <w:rFonts w:ascii="Times New Roman" w:hAnsi="Times New Roman"/>
          <w:iCs/>
          <w:sz w:val="24"/>
          <w:szCs w:val="24"/>
        </w:rPr>
      </w:pPr>
      <w:r>
        <w:rPr>
          <w:rFonts w:ascii="Times New Roman" w:hAnsi="Times New Roman"/>
          <w:iCs/>
          <w:sz w:val="24"/>
          <w:szCs w:val="24"/>
        </w:rPr>
        <w:t>Les résultats obtenus et leurs interprétations sont présentés dans la sous-section 4.4.1.</w:t>
      </w:r>
    </w:p>
    <w:p w14:paraId="41CA3798" w14:textId="48609AE2" w:rsidR="00055AA2" w:rsidRPr="00E737B4" w:rsidRDefault="00055AA2" w:rsidP="00E737B4">
      <w:pPr>
        <w:spacing w:before="120" w:after="120" w:line="240" w:lineRule="auto"/>
        <w:jc w:val="both"/>
        <w:rPr>
          <w:rFonts w:ascii="Times New Roman" w:hAnsi="Times New Roman"/>
          <w:iCs/>
          <w:sz w:val="24"/>
          <w:szCs w:val="24"/>
        </w:rPr>
      </w:pPr>
    </w:p>
    <w:p w14:paraId="0CEABBDA" w14:textId="3D229D0E" w:rsidR="0015245E" w:rsidRPr="00D61927" w:rsidRDefault="007C6252" w:rsidP="00215867">
      <w:pPr>
        <w:pStyle w:val="Titre31"/>
        <w:numPr>
          <w:ilvl w:val="2"/>
          <w:numId w:val="54"/>
        </w:numPr>
        <w:tabs>
          <w:tab w:val="left" w:pos="993"/>
        </w:tabs>
        <w:spacing w:before="120" w:after="120"/>
        <w:ind w:left="567" w:hanging="425"/>
        <w:rPr>
          <w:rFonts w:eastAsia="Calibri"/>
          <w:u w:val="none"/>
        </w:rPr>
      </w:pPr>
      <w:bookmarkStart w:id="445" w:name="_Toc79132365"/>
      <w:bookmarkStart w:id="446" w:name="_Toc103685636"/>
      <w:r>
        <w:rPr>
          <w:rFonts w:eastAsia="Calibri"/>
          <w:u w:val="none"/>
        </w:rPr>
        <w:t>Présentation et i</w:t>
      </w:r>
      <w:r w:rsidR="0015245E" w:rsidRPr="00D61927">
        <w:rPr>
          <w:rFonts w:eastAsia="Calibri"/>
          <w:u w:val="none"/>
        </w:rPr>
        <w:t>nterprétation des résultats</w:t>
      </w:r>
      <w:bookmarkEnd w:id="445"/>
      <w:r w:rsidR="0015245E" w:rsidRPr="00D61927">
        <w:rPr>
          <w:rFonts w:eastAsia="Calibri"/>
          <w:u w:val="none"/>
        </w:rPr>
        <w:t xml:space="preserve"> d</w:t>
      </w:r>
      <w:r>
        <w:rPr>
          <w:rFonts w:eastAsia="Calibri"/>
          <w:u w:val="none"/>
        </w:rPr>
        <w:t>e la qualité et la structure d</w:t>
      </w:r>
      <w:r w:rsidR="0015245E" w:rsidRPr="00D61927">
        <w:rPr>
          <w:rFonts w:eastAsia="Calibri"/>
          <w:u w:val="none"/>
        </w:rPr>
        <w:t>u Sol</w:t>
      </w:r>
      <w:bookmarkEnd w:id="446"/>
    </w:p>
    <w:p w14:paraId="243562A7" w14:textId="05FB1D0E" w:rsidR="00CF4483" w:rsidRPr="00D61927" w:rsidRDefault="00CF4483" w:rsidP="00E737B4">
      <w:pPr>
        <w:pStyle w:val="Normal0"/>
        <w:spacing w:before="120" w:after="120"/>
        <w:jc w:val="both"/>
        <w:rPr>
          <w:rFonts w:ascii="Times New Roman" w:hAnsi="Times New Roman"/>
          <w:szCs w:val="24"/>
          <w:lang w:val="fr-FR"/>
        </w:rPr>
      </w:pPr>
      <w:r w:rsidRPr="00D61927">
        <w:rPr>
          <w:rFonts w:ascii="Times New Roman" w:hAnsi="Times New Roman"/>
          <w:szCs w:val="24"/>
          <w:lang w:val="fr-FR"/>
        </w:rPr>
        <w:t xml:space="preserve">Les résultats de l’analyse du sol sont consignés dans le tableau </w:t>
      </w:r>
      <w:r w:rsidR="00E732DD">
        <w:rPr>
          <w:rFonts w:ascii="Times New Roman" w:hAnsi="Times New Roman"/>
          <w:szCs w:val="24"/>
          <w:lang w:val="fr-FR"/>
        </w:rPr>
        <w:t>10</w:t>
      </w:r>
      <w:r w:rsidRPr="00D61927">
        <w:rPr>
          <w:rFonts w:ascii="Times New Roman" w:hAnsi="Times New Roman"/>
          <w:szCs w:val="24"/>
          <w:lang w:val="fr-FR"/>
        </w:rPr>
        <w:t>.</w:t>
      </w:r>
    </w:p>
    <w:p w14:paraId="48D791E5" w14:textId="27AD2FE4" w:rsidR="0081725D" w:rsidRPr="00215867" w:rsidRDefault="0081725D" w:rsidP="00215867">
      <w:pPr>
        <w:spacing w:before="120" w:after="120" w:line="240" w:lineRule="auto"/>
        <w:rPr>
          <w:iCs/>
          <w:sz w:val="24"/>
          <w:szCs w:val="24"/>
        </w:rPr>
        <w:sectPr w:rsidR="0081725D" w:rsidRPr="00215867" w:rsidSect="00360D1B">
          <w:pgSz w:w="11906" w:h="16838"/>
          <w:pgMar w:top="1417" w:right="1133" w:bottom="1417" w:left="1418" w:header="709" w:footer="709" w:gutter="0"/>
          <w:cols w:space="708"/>
          <w:docGrid w:linePitch="360"/>
        </w:sectPr>
      </w:pPr>
    </w:p>
    <w:p w14:paraId="2F166CF2" w14:textId="73EFEA77" w:rsidR="00CF4483" w:rsidRPr="00E737B4" w:rsidRDefault="00CF4483" w:rsidP="00215867">
      <w:pPr>
        <w:pStyle w:val="Lgende"/>
        <w:spacing w:after="60"/>
        <w:jc w:val="center"/>
        <w:rPr>
          <w:rStyle w:val="Emphaseintense"/>
          <w:i w:val="0"/>
          <w:iCs/>
          <w:color w:val="auto"/>
          <w:sz w:val="24"/>
          <w:szCs w:val="24"/>
        </w:rPr>
      </w:pPr>
      <w:bookmarkStart w:id="447" w:name="_Toc93050273"/>
      <w:r w:rsidRPr="00E737B4">
        <w:rPr>
          <w:i/>
          <w:iCs w:val="0"/>
          <w:color w:val="auto"/>
          <w:sz w:val="24"/>
          <w:szCs w:val="24"/>
        </w:rPr>
        <w:t xml:space="preserve">Tableau </w:t>
      </w:r>
      <w:r w:rsidRPr="00E737B4">
        <w:rPr>
          <w:i/>
          <w:iCs w:val="0"/>
          <w:color w:val="auto"/>
          <w:sz w:val="24"/>
          <w:szCs w:val="24"/>
        </w:rPr>
        <w:fldChar w:fldCharType="begin"/>
      </w:r>
      <w:r w:rsidRPr="00E737B4">
        <w:rPr>
          <w:i/>
          <w:iCs w:val="0"/>
          <w:color w:val="auto"/>
          <w:sz w:val="24"/>
          <w:szCs w:val="24"/>
        </w:rPr>
        <w:instrText xml:space="preserve"> SEQ Tableau \* ARABIC </w:instrText>
      </w:r>
      <w:r w:rsidRPr="00E737B4">
        <w:rPr>
          <w:i/>
          <w:iCs w:val="0"/>
          <w:color w:val="auto"/>
          <w:sz w:val="24"/>
          <w:szCs w:val="24"/>
        </w:rPr>
        <w:fldChar w:fldCharType="separate"/>
      </w:r>
      <w:r w:rsidR="00975F18">
        <w:rPr>
          <w:i/>
          <w:iCs w:val="0"/>
          <w:noProof/>
          <w:color w:val="auto"/>
          <w:sz w:val="24"/>
          <w:szCs w:val="24"/>
        </w:rPr>
        <w:t>11</w:t>
      </w:r>
      <w:r w:rsidRPr="00E737B4">
        <w:rPr>
          <w:i/>
          <w:iCs w:val="0"/>
          <w:color w:val="auto"/>
          <w:sz w:val="24"/>
          <w:szCs w:val="24"/>
        </w:rPr>
        <w:fldChar w:fldCharType="end"/>
      </w:r>
      <w:r w:rsidRPr="00E737B4">
        <w:rPr>
          <w:i/>
          <w:iCs w:val="0"/>
          <w:color w:val="auto"/>
          <w:sz w:val="24"/>
          <w:szCs w:val="24"/>
        </w:rPr>
        <w:t xml:space="preserve"> : </w:t>
      </w:r>
      <w:r w:rsidRPr="00D91725">
        <w:rPr>
          <w:rStyle w:val="Emphaseintense"/>
          <w:iCs/>
          <w:color w:val="auto"/>
          <w:sz w:val="24"/>
          <w:szCs w:val="24"/>
        </w:rPr>
        <w:t>Résultats des analyses des Sols au labo</w:t>
      </w:r>
      <w:r w:rsidR="00396C8D" w:rsidRPr="00D91725">
        <w:rPr>
          <w:rStyle w:val="Emphaseintense"/>
          <w:iCs/>
          <w:color w:val="auto"/>
          <w:sz w:val="24"/>
          <w:szCs w:val="24"/>
        </w:rPr>
        <w:t>ratoire</w:t>
      </w:r>
      <w:bookmarkEnd w:id="447"/>
    </w:p>
    <w:tbl>
      <w:tblPr>
        <w:tblW w:w="5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67"/>
        <w:gridCol w:w="1667"/>
        <w:gridCol w:w="1667"/>
        <w:gridCol w:w="1667"/>
        <w:gridCol w:w="1667"/>
        <w:gridCol w:w="1668"/>
        <w:gridCol w:w="1668"/>
        <w:gridCol w:w="1328"/>
        <w:gridCol w:w="1386"/>
      </w:tblGrid>
      <w:tr w:rsidR="00AC5F87" w:rsidRPr="00AC5F87" w14:paraId="7707020B" w14:textId="77777777" w:rsidTr="00215867">
        <w:trPr>
          <w:trHeight w:val="557"/>
          <w:tblHeader/>
          <w:jc w:val="center"/>
        </w:trPr>
        <w:tc>
          <w:tcPr>
            <w:tcW w:w="473" w:type="pct"/>
            <w:shd w:val="clear" w:color="auto" w:fill="92D050"/>
            <w:vAlign w:val="center"/>
            <w:hideMark/>
          </w:tcPr>
          <w:p w14:paraId="0A5E564F"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Paramètres</w:t>
            </w:r>
          </w:p>
        </w:tc>
        <w:tc>
          <w:tcPr>
            <w:tcW w:w="525" w:type="pct"/>
            <w:shd w:val="clear" w:color="auto" w:fill="92D050"/>
            <w:vAlign w:val="center"/>
            <w:hideMark/>
          </w:tcPr>
          <w:p w14:paraId="6021D8BC" w14:textId="3FAFF1FD"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lang w:val="en-GB"/>
              </w:rPr>
              <w:t>EASE_KIN_S_001</w:t>
            </w:r>
          </w:p>
        </w:tc>
        <w:tc>
          <w:tcPr>
            <w:tcW w:w="525" w:type="pct"/>
            <w:shd w:val="clear" w:color="auto" w:fill="92D050"/>
            <w:vAlign w:val="center"/>
            <w:hideMark/>
          </w:tcPr>
          <w:p w14:paraId="0D847B71"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EASE_KIN_S_002</w:t>
            </w:r>
          </w:p>
        </w:tc>
        <w:tc>
          <w:tcPr>
            <w:tcW w:w="525" w:type="pct"/>
            <w:shd w:val="clear" w:color="auto" w:fill="92D050"/>
            <w:vAlign w:val="center"/>
            <w:hideMark/>
          </w:tcPr>
          <w:p w14:paraId="2E805B0B"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EASE_KIN_S_003</w:t>
            </w:r>
          </w:p>
        </w:tc>
        <w:tc>
          <w:tcPr>
            <w:tcW w:w="525" w:type="pct"/>
            <w:shd w:val="clear" w:color="auto" w:fill="92D050"/>
            <w:vAlign w:val="center"/>
            <w:hideMark/>
          </w:tcPr>
          <w:p w14:paraId="0D31894B"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EASE_KIN_S_004</w:t>
            </w:r>
          </w:p>
        </w:tc>
        <w:tc>
          <w:tcPr>
            <w:tcW w:w="525" w:type="pct"/>
            <w:shd w:val="clear" w:color="auto" w:fill="92D050"/>
            <w:vAlign w:val="center"/>
            <w:hideMark/>
          </w:tcPr>
          <w:p w14:paraId="406CC2FC"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EASE_KIN_S_005</w:t>
            </w:r>
          </w:p>
        </w:tc>
        <w:tc>
          <w:tcPr>
            <w:tcW w:w="525" w:type="pct"/>
            <w:shd w:val="clear" w:color="auto" w:fill="92D050"/>
            <w:vAlign w:val="center"/>
            <w:hideMark/>
          </w:tcPr>
          <w:p w14:paraId="278114FD"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EASE_KIN_S_006</w:t>
            </w:r>
          </w:p>
        </w:tc>
        <w:tc>
          <w:tcPr>
            <w:tcW w:w="525" w:type="pct"/>
            <w:shd w:val="clear" w:color="auto" w:fill="92D050"/>
            <w:vAlign w:val="center"/>
            <w:hideMark/>
          </w:tcPr>
          <w:p w14:paraId="1E0F06C7" w14:textId="77777777" w:rsidR="00AC5F87" w:rsidRPr="00215867" w:rsidRDefault="00AC5F87" w:rsidP="00420C1B">
            <w:pPr>
              <w:spacing w:after="0" w:line="240" w:lineRule="auto"/>
              <w:jc w:val="center"/>
              <w:rPr>
                <w:rFonts w:ascii="Times New Roman" w:hAnsi="Times New Roman"/>
                <w:b/>
                <w:bCs/>
                <w:sz w:val="18"/>
                <w:szCs w:val="18"/>
              </w:rPr>
            </w:pPr>
            <w:r w:rsidRPr="00215867">
              <w:rPr>
                <w:rFonts w:ascii="Times New Roman" w:hAnsi="Times New Roman"/>
                <w:b/>
                <w:bCs/>
                <w:sz w:val="18"/>
                <w:szCs w:val="18"/>
              </w:rPr>
              <w:t>EASE_KIN_S_007</w:t>
            </w:r>
          </w:p>
        </w:tc>
        <w:tc>
          <w:tcPr>
            <w:tcW w:w="418" w:type="pct"/>
            <w:shd w:val="clear" w:color="auto" w:fill="92D050"/>
            <w:vAlign w:val="center"/>
          </w:tcPr>
          <w:p w14:paraId="75CB7230" w14:textId="573D82AC" w:rsidR="00AC5F87" w:rsidRPr="00AC5F87" w:rsidRDefault="00AC5F87" w:rsidP="00AC5F87">
            <w:pPr>
              <w:spacing w:after="0" w:line="240" w:lineRule="auto"/>
              <w:jc w:val="center"/>
              <w:rPr>
                <w:rFonts w:ascii="Times New Roman" w:hAnsi="Times New Roman"/>
                <w:b/>
                <w:bCs/>
                <w:sz w:val="18"/>
                <w:szCs w:val="18"/>
              </w:rPr>
            </w:pPr>
            <w:r>
              <w:rPr>
                <w:rFonts w:ascii="Times New Roman" w:hAnsi="Times New Roman"/>
                <w:b/>
                <w:bCs/>
                <w:sz w:val="18"/>
                <w:szCs w:val="18"/>
              </w:rPr>
              <w:t>Valeurs seuils</w:t>
            </w:r>
          </w:p>
        </w:tc>
        <w:tc>
          <w:tcPr>
            <w:tcW w:w="436" w:type="pct"/>
            <w:shd w:val="clear" w:color="auto" w:fill="92D050"/>
            <w:vAlign w:val="center"/>
            <w:hideMark/>
          </w:tcPr>
          <w:p w14:paraId="4183C41A" w14:textId="2E14FA1A" w:rsidR="00AC5F87" w:rsidRPr="00215867" w:rsidRDefault="00AC5F87" w:rsidP="00AC5F87">
            <w:pPr>
              <w:spacing w:after="0" w:line="240" w:lineRule="auto"/>
              <w:jc w:val="center"/>
              <w:rPr>
                <w:rFonts w:ascii="Times New Roman" w:hAnsi="Times New Roman"/>
                <w:b/>
                <w:bCs/>
                <w:sz w:val="18"/>
                <w:szCs w:val="18"/>
              </w:rPr>
            </w:pPr>
            <w:r w:rsidRPr="00215867">
              <w:rPr>
                <w:rFonts w:ascii="Times New Roman" w:hAnsi="Times New Roman"/>
                <w:b/>
                <w:bCs/>
                <w:sz w:val="18"/>
                <w:szCs w:val="18"/>
              </w:rPr>
              <w:t>Normes Internationales</w:t>
            </w:r>
          </w:p>
        </w:tc>
      </w:tr>
      <w:tr w:rsidR="00AC5F87" w:rsidRPr="00AC5F87" w14:paraId="2CA3C2CA" w14:textId="77777777" w:rsidTr="00215867">
        <w:trPr>
          <w:trHeight w:val="184"/>
          <w:jc w:val="center"/>
        </w:trPr>
        <w:tc>
          <w:tcPr>
            <w:tcW w:w="473" w:type="pct"/>
            <w:shd w:val="clear" w:color="auto" w:fill="auto"/>
            <w:vAlign w:val="center"/>
            <w:hideMark/>
          </w:tcPr>
          <w:p w14:paraId="62E64FB6" w14:textId="77777777" w:rsidR="00AC5F87" w:rsidRPr="00215867" w:rsidRDefault="00AC5F87" w:rsidP="00215867">
            <w:pPr>
              <w:spacing w:after="0" w:line="20" w:lineRule="atLeast"/>
              <w:rPr>
                <w:rFonts w:ascii="Times New Roman" w:hAnsi="Times New Roman"/>
                <w:b/>
                <w:bCs/>
                <w:sz w:val="18"/>
                <w:szCs w:val="18"/>
              </w:rPr>
            </w:pPr>
            <w:r w:rsidRPr="00215867">
              <w:rPr>
                <w:rFonts w:ascii="Times New Roman" w:hAnsi="Times New Roman"/>
                <w:b/>
                <w:bCs/>
                <w:sz w:val="18"/>
                <w:szCs w:val="18"/>
              </w:rPr>
              <w:t>pH Eau</w:t>
            </w:r>
          </w:p>
        </w:tc>
        <w:tc>
          <w:tcPr>
            <w:tcW w:w="525" w:type="pct"/>
            <w:shd w:val="clear" w:color="auto" w:fill="auto"/>
            <w:vAlign w:val="center"/>
            <w:hideMark/>
          </w:tcPr>
          <w:p w14:paraId="388CF2BA"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5,5</w:t>
            </w:r>
          </w:p>
        </w:tc>
        <w:tc>
          <w:tcPr>
            <w:tcW w:w="525" w:type="pct"/>
            <w:shd w:val="clear" w:color="auto" w:fill="auto"/>
            <w:vAlign w:val="center"/>
            <w:hideMark/>
          </w:tcPr>
          <w:p w14:paraId="12489BD8"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5,5</w:t>
            </w:r>
          </w:p>
        </w:tc>
        <w:tc>
          <w:tcPr>
            <w:tcW w:w="525" w:type="pct"/>
            <w:shd w:val="clear" w:color="auto" w:fill="auto"/>
            <w:vAlign w:val="center"/>
            <w:hideMark/>
          </w:tcPr>
          <w:p w14:paraId="068F71E2"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5,3</w:t>
            </w:r>
          </w:p>
        </w:tc>
        <w:tc>
          <w:tcPr>
            <w:tcW w:w="525" w:type="pct"/>
            <w:shd w:val="clear" w:color="auto" w:fill="auto"/>
            <w:vAlign w:val="center"/>
            <w:hideMark/>
          </w:tcPr>
          <w:p w14:paraId="4810985C"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5,33</w:t>
            </w:r>
          </w:p>
        </w:tc>
        <w:tc>
          <w:tcPr>
            <w:tcW w:w="525" w:type="pct"/>
            <w:shd w:val="clear" w:color="auto" w:fill="auto"/>
            <w:vAlign w:val="center"/>
            <w:hideMark/>
          </w:tcPr>
          <w:p w14:paraId="3FB1D02C"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5,43</w:t>
            </w:r>
          </w:p>
        </w:tc>
        <w:tc>
          <w:tcPr>
            <w:tcW w:w="525" w:type="pct"/>
            <w:shd w:val="clear" w:color="auto" w:fill="auto"/>
            <w:vAlign w:val="center"/>
            <w:hideMark/>
          </w:tcPr>
          <w:p w14:paraId="238BFE27"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5,7</w:t>
            </w:r>
          </w:p>
        </w:tc>
        <w:tc>
          <w:tcPr>
            <w:tcW w:w="525" w:type="pct"/>
            <w:shd w:val="clear" w:color="auto" w:fill="auto"/>
            <w:vAlign w:val="center"/>
            <w:hideMark/>
          </w:tcPr>
          <w:p w14:paraId="4CA1F3A9"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5,12</w:t>
            </w:r>
          </w:p>
        </w:tc>
        <w:tc>
          <w:tcPr>
            <w:tcW w:w="418" w:type="pct"/>
          </w:tcPr>
          <w:p w14:paraId="2B3DDBA4" w14:textId="12160C39" w:rsidR="00AC5F87"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5,5 – 7,5</w:t>
            </w:r>
          </w:p>
        </w:tc>
        <w:tc>
          <w:tcPr>
            <w:tcW w:w="436" w:type="pct"/>
            <w:shd w:val="clear" w:color="auto" w:fill="auto"/>
            <w:vAlign w:val="center"/>
            <w:hideMark/>
          </w:tcPr>
          <w:p w14:paraId="7C0D7DE5" w14:textId="18E884DD"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ISO10390, EN 15933</w:t>
            </w:r>
          </w:p>
        </w:tc>
      </w:tr>
      <w:tr w:rsidR="00AC5F87" w:rsidRPr="00AC5F87" w14:paraId="490E7321" w14:textId="77777777" w:rsidTr="00215867">
        <w:trPr>
          <w:trHeight w:val="175"/>
          <w:jc w:val="center"/>
        </w:trPr>
        <w:tc>
          <w:tcPr>
            <w:tcW w:w="473" w:type="pct"/>
            <w:shd w:val="clear" w:color="auto" w:fill="auto"/>
            <w:vAlign w:val="center"/>
            <w:hideMark/>
          </w:tcPr>
          <w:p w14:paraId="217477F5" w14:textId="77777777" w:rsidR="00AC5F87" w:rsidRPr="00215867" w:rsidRDefault="00AC5F87" w:rsidP="00215867">
            <w:pPr>
              <w:spacing w:after="0" w:line="20" w:lineRule="atLeast"/>
              <w:rPr>
                <w:rFonts w:ascii="Times New Roman" w:hAnsi="Times New Roman"/>
                <w:b/>
                <w:bCs/>
                <w:sz w:val="18"/>
                <w:szCs w:val="18"/>
              </w:rPr>
            </w:pPr>
            <w:r w:rsidRPr="00215867">
              <w:rPr>
                <w:rFonts w:ascii="Times New Roman" w:hAnsi="Times New Roman"/>
                <w:b/>
                <w:bCs/>
                <w:sz w:val="18"/>
                <w:szCs w:val="18"/>
              </w:rPr>
              <w:t>pH KCl</w:t>
            </w:r>
          </w:p>
        </w:tc>
        <w:tc>
          <w:tcPr>
            <w:tcW w:w="525" w:type="pct"/>
            <w:shd w:val="clear" w:color="auto" w:fill="auto"/>
            <w:vAlign w:val="center"/>
            <w:hideMark/>
          </w:tcPr>
          <w:p w14:paraId="0C2AAACE"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4,9</w:t>
            </w:r>
          </w:p>
        </w:tc>
        <w:tc>
          <w:tcPr>
            <w:tcW w:w="525" w:type="pct"/>
            <w:shd w:val="clear" w:color="auto" w:fill="auto"/>
            <w:vAlign w:val="center"/>
            <w:hideMark/>
          </w:tcPr>
          <w:p w14:paraId="5BE7482C"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4,9</w:t>
            </w:r>
          </w:p>
        </w:tc>
        <w:tc>
          <w:tcPr>
            <w:tcW w:w="525" w:type="pct"/>
            <w:shd w:val="clear" w:color="auto" w:fill="auto"/>
            <w:vAlign w:val="center"/>
            <w:hideMark/>
          </w:tcPr>
          <w:p w14:paraId="52C8A7AF"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w:t>
            </w:r>
          </w:p>
        </w:tc>
        <w:tc>
          <w:tcPr>
            <w:tcW w:w="525" w:type="pct"/>
            <w:shd w:val="clear" w:color="auto" w:fill="auto"/>
            <w:vAlign w:val="center"/>
            <w:hideMark/>
          </w:tcPr>
          <w:p w14:paraId="76D5CD65"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4,85</w:t>
            </w:r>
          </w:p>
        </w:tc>
        <w:tc>
          <w:tcPr>
            <w:tcW w:w="525" w:type="pct"/>
            <w:shd w:val="clear" w:color="auto" w:fill="auto"/>
            <w:vAlign w:val="center"/>
            <w:hideMark/>
          </w:tcPr>
          <w:p w14:paraId="0335A052"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4,92</w:t>
            </w:r>
          </w:p>
        </w:tc>
        <w:tc>
          <w:tcPr>
            <w:tcW w:w="525" w:type="pct"/>
            <w:shd w:val="clear" w:color="auto" w:fill="auto"/>
            <w:vAlign w:val="center"/>
            <w:hideMark/>
          </w:tcPr>
          <w:p w14:paraId="3B540A62"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5,1</w:t>
            </w:r>
          </w:p>
        </w:tc>
        <w:tc>
          <w:tcPr>
            <w:tcW w:w="525" w:type="pct"/>
            <w:shd w:val="clear" w:color="auto" w:fill="auto"/>
            <w:vAlign w:val="center"/>
            <w:hideMark/>
          </w:tcPr>
          <w:p w14:paraId="221F2BF8"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4,88</w:t>
            </w:r>
          </w:p>
        </w:tc>
        <w:tc>
          <w:tcPr>
            <w:tcW w:w="418" w:type="pct"/>
          </w:tcPr>
          <w:p w14:paraId="0823920F" w14:textId="0CF465D2" w:rsidR="00AC5F87"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5,5 – 7,5</w:t>
            </w:r>
          </w:p>
        </w:tc>
        <w:tc>
          <w:tcPr>
            <w:tcW w:w="436" w:type="pct"/>
            <w:shd w:val="clear" w:color="auto" w:fill="auto"/>
            <w:vAlign w:val="center"/>
            <w:hideMark/>
          </w:tcPr>
          <w:p w14:paraId="20E695D3" w14:textId="7F1FF5BF"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ISO10390, EN 15933</w:t>
            </w:r>
          </w:p>
        </w:tc>
      </w:tr>
      <w:tr w:rsidR="00AA27E0" w:rsidRPr="00AC5F87" w14:paraId="45D71947" w14:textId="77777777" w:rsidTr="00215867">
        <w:trPr>
          <w:trHeight w:val="230"/>
          <w:jc w:val="center"/>
        </w:trPr>
        <w:tc>
          <w:tcPr>
            <w:tcW w:w="473" w:type="pct"/>
            <w:shd w:val="clear" w:color="auto" w:fill="auto"/>
            <w:vAlign w:val="center"/>
            <w:hideMark/>
          </w:tcPr>
          <w:p w14:paraId="4A638AA9"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CE (ms/cm</w:t>
            </w:r>
            <w:r w:rsidRPr="00215867">
              <w:rPr>
                <w:rFonts w:ascii="Times New Roman" w:hAnsi="Times New Roman"/>
                <w:b/>
                <w:bCs/>
                <w:sz w:val="18"/>
                <w:szCs w:val="18"/>
                <w:vertAlign w:val="superscript"/>
              </w:rPr>
              <w:t>2</w:t>
            </w:r>
            <w:r w:rsidRPr="00215867">
              <w:rPr>
                <w:rFonts w:ascii="Times New Roman" w:hAnsi="Times New Roman"/>
                <w:b/>
                <w:bCs/>
                <w:sz w:val="18"/>
                <w:szCs w:val="18"/>
              </w:rPr>
              <w:t>)</w:t>
            </w:r>
          </w:p>
        </w:tc>
        <w:tc>
          <w:tcPr>
            <w:tcW w:w="525" w:type="pct"/>
            <w:shd w:val="clear" w:color="auto" w:fill="auto"/>
            <w:vAlign w:val="center"/>
            <w:hideMark/>
          </w:tcPr>
          <w:p w14:paraId="67CB4EC8"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0,247</w:t>
            </w:r>
          </w:p>
        </w:tc>
        <w:tc>
          <w:tcPr>
            <w:tcW w:w="525" w:type="pct"/>
            <w:shd w:val="clear" w:color="auto" w:fill="auto"/>
            <w:vAlign w:val="center"/>
            <w:hideMark/>
          </w:tcPr>
          <w:p w14:paraId="7D9A433E"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0,247</w:t>
            </w:r>
          </w:p>
        </w:tc>
        <w:tc>
          <w:tcPr>
            <w:tcW w:w="525" w:type="pct"/>
            <w:shd w:val="clear" w:color="auto" w:fill="auto"/>
            <w:vAlign w:val="center"/>
            <w:hideMark/>
          </w:tcPr>
          <w:p w14:paraId="221293A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0,13</w:t>
            </w:r>
          </w:p>
        </w:tc>
        <w:tc>
          <w:tcPr>
            <w:tcW w:w="525" w:type="pct"/>
            <w:shd w:val="clear" w:color="auto" w:fill="auto"/>
            <w:vAlign w:val="center"/>
            <w:hideMark/>
          </w:tcPr>
          <w:p w14:paraId="3DB6C6A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0,157</w:t>
            </w:r>
          </w:p>
        </w:tc>
        <w:tc>
          <w:tcPr>
            <w:tcW w:w="525" w:type="pct"/>
            <w:shd w:val="clear" w:color="auto" w:fill="auto"/>
            <w:vAlign w:val="center"/>
            <w:hideMark/>
          </w:tcPr>
          <w:p w14:paraId="27EEF657"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0,321</w:t>
            </w:r>
          </w:p>
        </w:tc>
        <w:tc>
          <w:tcPr>
            <w:tcW w:w="525" w:type="pct"/>
            <w:shd w:val="clear" w:color="auto" w:fill="auto"/>
            <w:vAlign w:val="center"/>
            <w:hideMark/>
          </w:tcPr>
          <w:p w14:paraId="156D380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0,13</w:t>
            </w:r>
          </w:p>
        </w:tc>
        <w:tc>
          <w:tcPr>
            <w:tcW w:w="525" w:type="pct"/>
            <w:shd w:val="clear" w:color="auto" w:fill="auto"/>
            <w:vAlign w:val="center"/>
            <w:hideMark/>
          </w:tcPr>
          <w:p w14:paraId="1A0A546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0,25</w:t>
            </w:r>
          </w:p>
        </w:tc>
        <w:tc>
          <w:tcPr>
            <w:tcW w:w="418" w:type="pct"/>
            <w:vAlign w:val="center"/>
          </w:tcPr>
          <w:p w14:paraId="39ACBF84" w14:textId="0FBA6917"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0,2mS/m à 25°C</w:t>
            </w:r>
          </w:p>
        </w:tc>
        <w:tc>
          <w:tcPr>
            <w:tcW w:w="436" w:type="pct"/>
            <w:shd w:val="clear" w:color="auto" w:fill="auto"/>
            <w:vAlign w:val="center"/>
            <w:hideMark/>
          </w:tcPr>
          <w:p w14:paraId="1953FB29" w14:textId="57A6EBB1"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11265 :1994</w:t>
            </w:r>
          </w:p>
        </w:tc>
      </w:tr>
      <w:tr w:rsidR="00AA27E0" w:rsidRPr="00AC5F87" w14:paraId="002C9646" w14:textId="77777777" w:rsidTr="00215867">
        <w:trPr>
          <w:trHeight w:val="433"/>
          <w:jc w:val="center"/>
        </w:trPr>
        <w:tc>
          <w:tcPr>
            <w:tcW w:w="473" w:type="pct"/>
            <w:shd w:val="clear" w:color="auto" w:fill="auto"/>
            <w:vAlign w:val="center"/>
            <w:hideMark/>
          </w:tcPr>
          <w:p w14:paraId="67F19A46"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Humidité (%)</w:t>
            </w:r>
          </w:p>
        </w:tc>
        <w:tc>
          <w:tcPr>
            <w:tcW w:w="525" w:type="pct"/>
            <w:shd w:val="clear" w:color="auto" w:fill="auto"/>
            <w:vAlign w:val="center"/>
            <w:hideMark/>
          </w:tcPr>
          <w:p w14:paraId="3AB85555"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0,4</w:t>
            </w:r>
          </w:p>
        </w:tc>
        <w:tc>
          <w:tcPr>
            <w:tcW w:w="525" w:type="pct"/>
            <w:shd w:val="clear" w:color="auto" w:fill="auto"/>
            <w:vAlign w:val="center"/>
            <w:hideMark/>
          </w:tcPr>
          <w:p w14:paraId="4CAE78E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0,4</w:t>
            </w:r>
          </w:p>
        </w:tc>
        <w:tc>
          <w:tcPr>
            <w:tcW w:w="525" w:type="pct"/>
            <w:shd w:val="clear" w:color="auto" w:fill="auto"/>
            <w:vAlign w:val="center"/>
            <w:hideMark/>
          </w:tcPr>
          <w:p w14:paraId="5C619D7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1,4</w:t>
            </w:r>
          </w:p>
        </w:tc>
        <w:tc>
          <w:tcPr>
            <w:tcW w:w="525" w:type="pct"/>
            <w:shd w:val="clear" w:color="auto" w:fill="auto"/>
            <w:vAlign w:val="center"/>
            <w:hideMark/>
          </w:tcPr>
          <w:p w14:paraId="27E20298"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0,7</w:t>
            </w:r>
          </w:p>
        </w:tc>
        <w:tc>
          <w:tcPr>
            <w:tcW w:w="525" w:type="pct"/>
            <w:shd w:val="clear" w:color="auto" w:fill="auto"/>
            <w:vAlign w:val="center"/>
            <w:hideMark/>
          </w:tcPr>
          <w:p w14:paraId="248A557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0,4</w:t>
            </w:r>
          </w:p>
        </w:tc>
        <w:tc>
          <w:tcPr>
            <w:tcW w:w="525" w:type="pct"/>
            <w:shd w:val="clear" w:color="auto" w:fill="auto"/>
            <w:vAlign w:val="center"/>
            <w:hideMark/>
          </w:tcPr>
          <w:p w14:paraId="69FC89D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1,4</w:t>
            </w:r>
          </w:p>
        </w:tc>
        <w:tc>
          <w:tcPr>
            <w:tcW w:w="525" w:type="pct"/>
            <w:shd w:val="clear" w:color="auto" w:fill="auto"/>
            <w:vAlign w:val="center"/>
            <w:hideMark/>
          </w:tcPr>
          <w:p w14:paraId="184018D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0,5</w:t>
            </w:r>
          </w:p>
        </w:tc>
        <w:tc>
          <w:tcPr>
            <w:tcW w:w="418" w:type="pct"/>
            <w:vAlign w:val="center"/>
          </w:tcPr>
          <w:p w14:paraId="1ED04598" w14:textId="7D5E4CB3"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 xml:space="preserve">60 – 80% </w:t>
            </w:r>
          </w:p>
        </w:tc>
        <w:tc>
          <w:tcPr>
            <w:tcW w:w="436" w:type="pct"/>
            <w:shd w:val="clear" w:color="auto" w:fill="auto"/>
            <w:vAlign w:val="center"/>
            <w:hideMark/>
          </w:tcPr>
          <w:p w14:paraId="6E063BAF" w14:textId="333BF91B"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Méthode Gravimétrique</w:t>
            </w:r>
          </w:p>
        </w:tc>
      </w:tr>
      <w:tr w:rsidR="00AC5F87" w:rsidRPr="00AC5F87" w14:paraId="3BBEAB83" w14:textId="77777777" w:rsidTr="00215867">
        <w:trPr>
          <w:trHeight w:val="285"/>
          <w:jc w:val="center"/>
        </w:trPr>
        <w:tc>
          <w:tcPr>
            <w:tcW w:w="473" w:type="pct"/>
            <w:shd w:val="clear" w:color="auto" w:fill="auto"/>
            <w:vAlign w:val="center"/>
            <w:hideMark/>
          </w:tcPr>
          <w:p w14:paraId="498DABE8" w14:textId="5602C2E7" w:rsidR="00AC5F87" w:rsidRPr="00215867" w:rsidRDefault="00AC5F87" w:rsidP="00215867">
            <w:pPr>
              <w:spacing w:after="0" w:line="20" w:lineRule="atLeast"/>
              <w:rPr>
                <w:rFonts w:ascii="Times New Roman" w:hAnsi="Times New Roman"/>
                <w:b/>
                <w:bCs/>
                <w:sz w:val="18"/>
                <w:szCs w:val="18"/>
              </w:rPr>
            </w:pPr>
            <w:r w:rsidRPr="00215867">
              <w:rPr>
                <w:rFonts w:ascii="Times New Roman" w:hAnsi="Times New Roman"/>
                <w:b/>
                <w:bCs/>
                <w:sz w:val="18"/>
                <w:szCs w:val="18"/>
              </w:rPr>
              <w:t>Densité réelle</w:t>
            </w:r>
            <w:r w:rsidR="00EC05B0">
              <w:rPr>
                <w:rFonts w:ascii="Times New Roman" w:hAnsi="Times New Roman"/>
                <w:b/>
                <w:bCs/>
                <w:sz w:val="18"/>
                <w:szCs w:val="18"/>
              </w:rPr>
              <w:t xml:space="preserve"> </w:t>
            </w:r>
            <w:r w:rsidRPr="00215867">
              <w:rPr>
                <w:rFonts w:ascii="Times New Roman" w:hAnsi="Times New Roman"/>
                <w:b/>
                <w:bCs/>
                <w:sz w:val="18"/>
                <w:szCs w:val="18"/>
              </w:rPr>
              <w:t>(g)</w:t>
            </w:r>
          </w:p>
        </w:tc>
        <w:tc>
          <w:tcPr>
            <w:tcW w:w="525" w:type="pct"/>
            <w:shd w:val="clear" w:color="auto" w:fill="auto"/>
            <w:vAlign w:val="center"/>
            <w:hideMark/>
          </w:tcPr>
          <w:p w14:paraId="5B08D120"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3,07</w:t>
            </w:r>
          </w:p>
        </w:tc>
        <w:tc>
          <w:tcPr>
            <w:tcW w:w="525" w:type="pct"/>
            <w:shd w:val="clear" w:color="auto" w:fill="auto"/>
            <w:vAlign w:val="center"/>
            <w:hideMark/>
          </w:tcPr>
          <w:p w14:paraId="7C4BABC9"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3,07</w:t>
            </w:r>
          </w:p>
        </w:tc>
        <w:tc>
          <w:tcPr>
            <w:tcW w:w="525" w:type="pct"/>
            <w:shd w:val="clear" w:color="auto" w:fill="auto"/>
            <w:vAlign w:val="center"/>
            <w:hideMark/>
          </w:tcPr>
          <w:p w14:paraId="7E0A4530"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3,33</w:t>
            </w:r>
          </w:p>
        </w:tc>
        <w:tc>
          <w:tcPr>
            <w:tcW w:w="525" w:type="pct"/>
            <w:shd w:val="clear" w:color="auto" w:fill="auto"/>
            <w:vAlign w:val="center"/>
            <w:hideMark/>
          </w:tcPr>
          <w:p w14:paraId="6B0D3659"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2,9</w:t>
            </w:r>
          </w:p>
        </w:tc>
        <w:tc>
          <w:tcPr>
            <w:tcW w:w="525" w:type="pct"/>
            <w:shd w:val="clear" w:color="auto" w:fill="auto"/>
            <w:vAlign w:val="center"/>
            <w:hideMark/>
          </w:tcPr>
          <w:p w14:paraId="74EAF488"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3,21</w:t>
            </w:r>
          </w:p>
        </w:tc>
        <w:tc>
          <w:tcPr>
            <w:tcW w:w="525" w:type="pct"/>
            <w:shd w:val="clear" w:color="auto" w:fill="auto"/>
            <w:vAlign w:val="center"/>
            <w:hideMark/>
          </w:tcPr>
          <w:p w14:paraId="74B3FD83"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3,12</w:t>
            </w:r>
          </w:p>
        </w:tc>
        <w:tc>
          <w:tcPr>
            <w:tcW w:w="525" w:type="pct"/>
            <w:shd w:val="clear" w:color="auto" w:fill="auto"/>
            <w:vAlign w:val="center"/>
            <w:hideMark/>
          </w:tcPr>
          <w:p w14:paraId="38119163"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2,77</w:t>
            </w:r>
          </w:p>
        </w:tc>
        <w:tc>
          <w:tcPr>
            <w:tcW w:w="418" w:type="pct"/>
          </w:tcPr>
          <w:p w14:paraId="2EE80BEF" w14:textId="2BA94988" w:rsidR="00AC5F87" w:rsidRPr="00AC5F87" w:rsidRDefault="00292B5F" w:rsidP="00215867">
            <w:pPr>
              <w:spacing w:after="0" w:line="20" w:lineRule="atLeast"/>
              <w:rPr>
                <w:rFonts w:ascii="Times New Roman" w:hAnsi="Times New Roman"/>
                <w:sz w:val="18"/>
                <w:szCs w:val="18"/>
              </w:rPr>
            </w:pPr>
            <w:r>
              <w:rPr>
                <w:rFonts w:ascii="Times New Roman" w:hAnsi="Times New Roman"/>
                <w:sz w:val="18"/>
                <w:szCs w:val="18"/>
              </w:rPr>
              <w:t>1,</w:t>
            </w:r>
            <w:r w:rsidR="00AA4C77">
              <w:rPr>
                <w:rFonts w:ascii="Times New Roman" w:hAnsi="Times New Roman"/>
                <w:sz w:val="18"/>
                <w:szCs w:val="18"/>
              </w:rPr>
              <w:t>40</w:t>
            </w:r>
            <w:r>
              <w:rPr>
                <w:rFonts w:ascii="Times New Roman" w:hAnsi="Times New Roman"/>
                <w:sz w:val="18"/>
                <w:szCs w:val="18"/>
              </w:rPr>
              <w:t xml:space="preserve"> – </w:t>
            </w:r>
            <w:r w:rsidR="00AA4C77">
              <w:rPr>
                <w:rFonts w:ascii="Times New Roman" w:hAnsi="Times New Roman"/>
                <w:sz w:val="18"/>
                <w:szCs w:val="18"/>
              </w:rPr>
              <w:t>2,65 g</w:t>
            </w:r>
          </w:p>
        </w:tc>
        <w:tc>
          <w:tcPr>
            <w:tcW w:w="436" w:type="pct"/>
            <w:shd w:val="clear" w:color="auto" w:fill="auto"/>
            <w:vAlign w:val="center"/>
            <w:hideMark/>
          </w:tcPr>
          <w:p w14:paraId="1503541D" w14:textId="370AA851"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ISO 1014 :1985</w:t>
            </w:r>
          </w:p>
        </w:tc>
      </w:tr>
      <w:tr w:rsidR="00AA27E0" w:rsidRPr="00AC5F87" w14:paraId="18F6BE07" w14:textId="77777777" w:rsidTr="00215867">
        <w:trPr>
          <w:trHeight w:val="418"/>
          <w:jc w:val="center"/>
        </w:trPr>
        <w:tc>
          <w:tcPr>
            <w:tcW w:w="473" w:type="pct"/>
            <w:shd w:val="clear" w:color="auto" w:fill="auto"/>
            <w:vAlign w:val="center"/>
            <w:hideMark/>
          </w:tcPr>
          <w:p w14:paraId="1CC6854D"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Densité apparente (g/m</w:t>
            </w:r>
            <w:r w:rsidRPr="00215867">
              <w:rPr>
                <w:rFonts w:ascii="Times New Roman" w:hAnsi="Times New Roman"/>
                <w:b/>
                <w:bCs/>
                <w:sz w:val="18"/>
                <w:szCs w:val="18"/>
                <w:vertAlign w:val="superscript"/>
              </w:rPr>
              <w:t>3</w:t>
            </w:r>
            <w:r w:rsidRPr="00215867">
              <w:rPr>
                <w:rFonts w:ascii="Times New Roman" w:hAnsi="Times New Roman"/>
                <w:b/>
                <w:bCs/>
                <w:sz w:val="18"/>
                <w:szCs w:val="18"/>
              </w:rPr>
              <w:t>)</w:t>
            </w:r>
          </w:p>
        </w:tc>
        <w:tc>
          <w:tcPr>
            <w:tcW w:w="525" w:type="pct"/>
            <w:shd w:val="clear" w:color="auto" w:fill="auto"/>
            <w:vAlign w:val="center"/>
            <w:hideMark/>
          </w:tcPr>
          <w:p w14:paraId="06F4A41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1,14</w:t>
            </w:r>
          </w:p>
        </w:tc>
        <w:tc>
          <w:tcPr>
            <w:tcW w:w="525" w:type="pct"/>
            <w:shd w:val="clear" w:color="auto" w:fill="auto"/>
            <w:vAlign w:val="center"/>
            <w:hideMark/>
          </w:tcPr>
          <w:p w14:paraId="72485E1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1,13</w:t>
            </w:r>
          </w:p>
        </w:tc>
        <w:tc>
          <w:tcPr>
            <w:tcW w:w="525" w:type="pct"/>
            <w:shd w:val="clear" w:color="auto" w:fill="auto"/>
            <w:vAlign w:val="center"/>
            <w:hideMark/>
          </w:tcPr>
          <w:p w14:paraId="5D4DD69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1,21</w:t>
            </w:r>
          </w:p>
        </w:tc>
        <w:tc>
          <w:tcPr>
            <w:tcW w:w="525" w:type="pct"/>
            <w:shd w:val="clear" w:color="auto" w:fill="auto"/>
            <w:vAlign w:val="center"/>
            <w:hideMark/>
          </w:tcPr>
          <w:p w14:paraId="0E2D6699"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1,15</w:t>
            </w:r>
          </w:p>
        </w:tc>
        <w:tc>
          <w:tcPr>
            <w:tcW w:w="525" w:type="pct"/>
            <w:shd w:val="clear" w:color="auto" w:fill="auto"/>
            <w:vAlign w:val="center"/>
            <w:hideMark/>
          </w:tcPr>
          <w:p w14:paraId="7EC5C0F6"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1,17</w:t>
            </w:r>
          </w:p>
        </w:tc>
        <w:tc>
          <w:tcPr>
            <w:tcW w:w="525" w:type="pct"/>
            <w:shd w:val="clear" w:color="auto" w:fill="auto"/>
            <w:vAlign w:val="center"/>
            <w:hideMark/>
          </w:tcPr>
          <w:p w14:paraId="0388A537"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1,13</w:t>
            </w:r>
          </w:p>
        </w:tc>
        <w:tc>
          <w:tcPr>
            <w:tcW w:w="525" w:type="pct"/>
            <w:shd w:val="clear" w:color="auto" w:fill="auto"/>
            <w:vAlign w:val="center"/>
            <w:hideMark/>
          </w:tcPr>
          <w:p w14:paraId="2C36EE99"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1,12</w:t>
            </w:r>
          </w:p>
        </w:tc>
        <w:tc>
          <w:tcPr>
            <w:tcW w:w="418" w:type="pct"/>
            <w:vAlign w:val="center"/>
          </w:tcPr>
          <w:p w14:paraId="0E1AB389" w14:textId="56F7A256"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2,65 g/cm</w:t>
            </w:r>
            <w:r w:rsidRPr="00FA7828">
              <w:rPr>
                <w:rFonts w:ascii="Times New Roman" w:hAnsi="Times New Roman"/>
                <w:sz w:val="18"/>
                <w:szCs w:val="18"/>
                <w:vertAlign w:val="superscript"/>
              </w:rPr>
              <w:t>3</w:t>
            </w:r>
          </w:p>
        </w:tc>
        <w:tc>
          <w:tcPr>
            <w:tcW w:w="436" w:type="pct"/>
            <w:shd w:val="clear" w:color="auto" w:fill="auto"/>
            <w:vAlign w:val="center"/>
            <w:hideMark/>
          </w:tcPr>
          <w:p w14:paraId="526C1F39" w14:textId="171EA7DE"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1014 :1985</w:t>
            </w:r>
          </w:p>
        </w:tc>
      </w:tr>
      <w:tr w:rsidR="00AA27E0" w:rsidRPr="00AC5F87" w14:paraId="2024E78F" w14:textId="77777777" w:rsidTr="00215867">
        <w:trPr>
          <w:trHeight w:val="329"/>
          <w:jc w:val="center"/>
        </w:trPr>
        <w:tc>
          <w:tcPr>
            <w:tcW w:w="473" w:type="pct"/>
            <w:shd w:val="clear" w:color="auto" w:fill="auto"/>
            <w:vAlign w:val="center"/>
            <w:hideMark/>
          </w:tcPr>
          <w:p w14:paraId="4CE4D0BC"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Porosité (%)</w:t>
            </w:r>
          </w:p>
        </w:tc>
        <w:tc>
          <w:tcPr>
            <w:tcW w:w="525" w:type="pct"/>
            <w:shd w:val="clear" w:color="auto" w:fill="auto"/>
            <w:vAlign w:val="center"/>
            <w:hideMark/>
          </w:tcPr>
          <w:p w14:paraId="01288D00"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63,5</w:t>
            </w:r>
          </w:p>
        </w:tc>
        <w:tc>
          <w:tcPr>
            <w:tcW w:w="525" w:type="pct"/>
            <w:shd w:val="clear" w:color="auto" w:fill="auto"/>
            <w:vAlign w:val="center"/>
            <w:hideMark/>
          </w:tcPr>
          <w:p w14:paraId="0BB5DE2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63,2</w:t>
            </w:r>
          </w:p>
        </w:tc>
        <w:tc>
          <w:tcPr>
            <w:tcW w:w="525" w:type="pct"/>
            <w:shd w:val="clear" w:color="auto" w:fill="auto"/>
            <w:vAlign w:val="center"/>
            <w:hideMark/>
          </w:tcPr>
          <w:p w14:paraId="5B18CEB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66,64</w:t>
            </w:r>
          </w:p>
        </w:tc>
        <w:tc>
          <w:tcPr>
            <w:tcW w:w="525" w:type="pct"/>
            <w:shd w:val="clear" w:color="auto" w:fill="auto"/>
            <w:vAlign w:val="center"/>
            <w:hideMark/>
          </w:tcPr>
          <w:p w14:paraId="61BE550C"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60,35</w:t>
            </w:r>
          </w:p>
        </w:tc>
        <w:tc>
          <w:tcPr>
            <w:tcW w:w="525" w:type="pct"/>
            <w:shd w:val="clear" w:color="auto" w:fill="auto"/>
            <w:vAlign w:val="center"/>
            <w:hideMark/>
          </w:tcPr>
          <w:p w14:paraId="5DD18F5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63,56</w:t>
            </w:r>
          </w:p>
        </w:tc>
        <w:tc>
          <w:tcPr>
            <w:tcW w:w="525" w:type="pct"/>
            <w:shd w:val="clear" w:color="auto" w:fill="auto"/>
            <w:vAlign w:val="center"/>
            <w:hideMark/>
          </w:tcPr>
          <w:p w14:paraId="4B75D31A"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63,79</w:t>
            </w:r>
          </w:p>
        </w:tc>
        <w:tc>
          <w:tcPr>
            <w:tcW w:w="525" w:type="pct"/>
            <w:shd w:val="clear" w:color="auto" w:fill="auto"/>
            <w:vAlign w:val="center"/>
            <w:hideMark/>
          </w:tcPr>
          <w:p w14:paraId="0230710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59,57</w:t>
            </w:r>
          </w:p>
        </w:tc>
        <w:tc>
          <w:tcPr>
            <w:tcW w:w="418" w:type="pct"/>
            <w:vAlign w:val="center"/>
          </w:tcPr>
          <w:p w14:paraId="3E49D70E" w14:textId="751BA4F1"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 xml:space="preserve">40 – 85% </w:t>
            </w:r>
          </w:p>
        </w:tc>
        <w:tc>
          <w:tcPr>
            <w:tcW w:w="436" w:type="pct"/>
            <w:shd w:val="clear" w:color="auto" w:fill="auto"/>
            <w:vAlign w:val="center"/>
            <w:hideMark/>
          </w:tcPr>
          <w:p w14:paraId="176BDDB3" w14:textId="316657FA"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1014 :1985</w:t>
            </w:r>
          </w:p>
        </w:tc>
      </w:tr>
      <w:tr w:rsidR="00AA27E0" w:rsidRPr="00AC5F87" w14:paraId="10478A8B" w14:textId="77777777" w:rsidTr="00215867">
        <w:trPr>
          <w:trHeight w:val="257"/>
          <w:jc w:val="center"/>
        </w:trPr>
        <w:tc>
          <w:tcPr>
            <w:tcW w:w="473" w:type="pct"/>
            <w:shd w:val="clear" w:color="auto" w:fill="auto"/>
            <w:vAlign w:val="center"/>
            <w:hideMark/>
          </w:tcPr>
          <w:p w14:paraId="42D42706"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Matière Organique (%)</w:t>
            </w:r>
          </w:p>
        </w:tc>
        <w:tc>
          <w:tcPr>
            <w:tcW w:w="525" w:type="pct"/>
            <w:shd w:val="clear" w:color="auto" w:fill="auto"/>
            <w:vAlign w:val="center"/>
            <w:hideMark/>
          </w:tcPr>
          <w:p w14:paraId="5FE9F55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5,29</w:t>
            </w:r>
          </w:p>
        </w:tc>
        <w:tc>
          <w:tcPr>
            <w:tcW w:w="525" w:type="pct"/>
            <w:shd w:val="clear" w:color="auto" w:fill="auto"/>
            <w:vAlign w:val="center"/>
            <w:hideMark/>
          </w:tcPr>
          <w:p w14:paraId="2D769EA5"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5,28</w:t>
            </w:r>
          </w:p>
        </w:tc>
        <w:tc>
          <w:tcPr>
            <w:tcW w:w="525" w:type="pct"/>
            <w:shd w:val="clear" w:color="auto" w:fill="auto"/>
            <w:vAlign w:val="center"/>
            <w:hideMark/>
          </w:tcPr>
          <w:p w14:paraId="3AB0D9B6"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2,95</w:t>
            </w:r>
          </w:p>
        </w:tc>
        <w:tc>
          <w:tcPr>
            <w:tcW w:w="525" w:type="pct"/>
            <w:shd w:val="clear" w:color="auto" w:fill="auto"/>
            <w:vAlign w:val="center"/>
            <w:hideMark/>
          </w:tcPr>
          <w:p w14:paraId="2D9CF6AE"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3,1</w:t>
            </w:r>
          </w:p>
        </w:tc>
        <w:tc>
          <w:tcPr>
            <w:tcW w:w="525" w:type="pct"/>
            <w:shd w:val="clear" w:color="auto" w:fill="auto"/>
            <w:vAlign w:val="center"/>
            <w:hideMark/>
          </w:tcPr>
          <w:p w14:paraId="79B049B3"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3,88</w:t>
            </w:r>
          </w:p>
        </w:tc>
        <w:tc>
          <w:tcPr>
            <w:tcW w:w="525" w:type="pct"/>
            <w:shd w:val="clear" w:color="auto" w:fill="auto"/>
            <w:vAlign w:val="center"/>
            <w:hideMark/>
          </w:tcPr>
          <w:p w14:paraId="7B0845B8"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3,76</w:t>
            </w:r>
          </w:p>
        </w:tc>
        <w:tc>
          <w:tcPr>
            <w:tcW w:w="525" w:type="pct"/>
            <w:shd w:val="clear" w:color="auto" w:fill="auto"/>
            <w:vAlign w:val="center"/>
            <w:hideMark/>
          </w:tcPr>
          <w:p w14:paraId="0767A10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2,27</w:t>
            </w:r>
          </w:p>
        </w:tc>
        <w:tc>
          <w:tcPr>
            <w:tcW w:w="418" w:type="pct"/>
            <w:vAlign w:val="center"/>
          </w:tcPr>
          <w:p w14:paraId="7B4D99A1" w14:textId="40939A60"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 xml:space="preserve">1,5 – 3% </w:t>
            </w:r>
          </w:p>
        </w:tc>
        <w:tc>
          <w:tcPr>
            <w:tcW w:w="436" w:type="pct"/>
            <w:shd w:val="clear" w:color="auto" w:fill="auto"/>
            <w:vAlign w:val="center"/>
            <w:hideMark/>
          </w:tcPr>
          <w:p w14:paraId="2D9A3748" w14:textId="31CC07A2"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NF EN 15169(2007)</w:t>
            </w:r>
          </w:p>
        </w:tc>
      </w:tr>
      <w:tr w:rsidR="00AC5F87" w:rsidRPr="00AC5F87" w14:paraId="5F4A7D3D" w14:textId="77777777" w:rsidTr="00215867">
        <w:trPr>
          <w:trHeight w:val="281"/>
          <w:jc w:val="center"/>
        </w:trPr>
        <w:tc>
          <w:tcPr>
            <w:tcW w:w="473" w:type="pct"/>
            <w:vMerge w:val="restart"/>
            <w:shd w:val="clear" w:color="auto" w:fill="auto"/>
            <w:vAlign w:val="center"/>
            <w:hideMark/>
          </w:tcPr>
          <w:p w14:paraId="239AB19E" w14:textId="77777777" w:rsidR="00AC5F87" w:rsidRPr="00215867" w:rsidRDefault="00AC5F87" w:rsidP="00215867">
            <w:pPr>
              <w:spacing w:after="0" w:line="20" w:lineRule="atLeast"/>
              <w:rPr>
                <w:rFonts w:ascii="Times New Roman" w:hAnsi="Times New Roman"/>
                <w:b/>
                <w:bCs/>
                <w:sz w:val="18"/>
                <w:szCs w:val="18"/>
              </w:rPr>
            </w:pPr>
            <w:r w:rsidRPr="00215867">
              <w:rPr>
                <w:rFonts w:ascii="Times New Roman" w:hAnsi="Times New Roman"/>
                <w:b/>
                <w:bCs/>
                <w:sz w:val="18"/>
                <w:szCs w:val="18"/>
              </w:rPr>
              <w:t>Texture (%)</w:t>
            </w:r>
          </w:p>
        </w:tc>
        <w:tc>
          <w:tcPr>
            <w:tcW w:w="525" w:type="pct"/>
            <w:shd w:val="clear" w:color="auto" w:fill="auto"/>
            <w:vAlign w:val="center"/>
            <w:hideMark/>
          </w:tcPr>
          <w:p w14:paraId="009CB9F1" w14:textId="77777777"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 74,33 %</w:t>
            </w:r>
          </w:p>
        </w:tc>
        <w:tc>
          <w:tcPr>
            <w:tcW w:w="525" w:type="pct"/>
            <w:shd w:val="clear" w:color="auto" w:fill="auto"/>
            <w:vAlign w:val="center"/>
            <w:hideMark/>
          </w:tcPr>
          <w:p w14:paraId="1796073A" w14:textId="5403FC2E"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74,33 %</w:t>
            </w:r>
          </w:p>
        </w:tc>
        <w:tc>
          <w:tcPr>
            <w:tcW w:w="525" w:type="pct"/>
            <w:shd w:val="clear" w:color="auto" w:fill="auto"/>
            <w:vAlign w:val="center"/>
            <w:hideMark/>
          </w:tcPr>
          <w:p w14:paraId="71A00A25" w14:textId="243D0560"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71,02 %</w:t>
            </w:r>
          </w:p>
        </w:tc>
        <w:tc>
          <w:tcPr>
            <w:tcW w:w="525" w:type="pct"/>
            <w:shd w:val="clear" w:color="auto" w:fill="auto"/>
            <w:vAlign w:val="center"/>
            <w:hideMark/>
          </w:tcPr>
          <w:p w14:paraId="23B21D20" w14:textId="5F8C4B99"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71,33 %</w:t>
            </w:r>
          </w:p>
        </w:tc>
        <w:tc>
          <w:tcPr>
            <w:tcW w:w="525" w:type="pct"/>
            <w:shd w:val="clear" w:color="auto" w:fill="auto"/>
            <w:vAlign w:val="center"/>
            <w:hideMark/>
          </w:tcPr>
          <w:p w14:paraId="0314113F" w14:textId="62991079"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74,25 %</w:t>
            </w:r>
          </w:p>
        </w:tc>
        <w:tc>
          <w:tcPr>
            <w:tcW w:w="525" w:type="pct"/>
            <w:shd w:val="clear" w:color="auto" w:fill="auto"/>
            <w:vAlign w:val="center"/>
            <w:hideMark/>
          </w:tcPr>
          <w:p w14:paraId="33E64F57" w14:textId="6DCAD7EC"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70,12 %</w:t>
            </w:r>
          </w:p>
        </w:tc>
        <w:tc>
          <w:tcPr>
            <w:tcW w:w="525" w:type="pct"/>
            <w:shd w:val="clear" w:color="auto" w:fill="auto"/>
            <w:vAlign w:val="center"/>
            <w:hideMark/>
          </w:tcPr>
          <w:p w14:paraId="257E91F4" w14:textId="184A9B91"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Sable :</w:t>
            </w:r>
            <w:r>
              <w:rPr>
                <w:rFonts w:ascii="Times New Roman" w:hAnsi="Times New Roman"/>
                <w:sz w:val="18"/>
                <w:szCs w:val="18"/>
              </w:rPr>
              <w:t xml:space="preserve"> </w:t>
            </w:r>
            <w:r w:rsidRPr="00215867">
              <w:rPr>
                <w:rFonts w:ascii="Times New Roman" w:hAnsi="Times New Roman"/>
                <w:sz w:val="18"/>
                <w:szCs w:val="18"/>
              </w:rPr>
              <w:t>71,25 %</w:t>
            </w:r>
          </w:p>
        </w:tc>
        <w:tc>
          <w:tcPr>
            <w:tcW w:w="418" w:type="pct"/>
          </w:tcPr>
          <w:p w14:paraId="3B575846" w14:textId="2E2C33FC" w:rsidR="00AC5F87" w:rsidRPr="00AC5F87" w:rsidRDefault="00AA75B5" w:rsidP="00215867">
            <w:pPr>
              <w:spacing w:after="0" w:line="20" w:lineRule="atLeast"/>
              <w:rPr>
                <w:rFonts w:ascii="Times New Roman" w:hAnsi="Times New Roman"/>
                <w:sz w:val="18"/>
                <w:szCs w:val="18"/>
              </w:rPr>
            </w:pPr>
            <w:r>
              <w:rPr>
                <w:rFonts w:ascii="Times New Roman" w:hAnsi="Times New Roman"/>
                <w:sz w:val="18"/>
                <w:szCs w:val="18"/>
              </w:rPr>
              <w:t>0 – 28</w:t>
            </w:r>
            <w:r w:rsidR="00E144B6">
              <w:rPr>
                <w:rFonts w:ascii="Times New Roman" w:hAnsi="Times New Roman"/>
                <w:sz w:val="18"/>
                <w:szCs w:val="18"/>
              </w:rPr>
              <w:t>%</w:t>
            </w:r>
          </w:p>
        </w:tc>
        <w:tc>
          <w:tcPr>
            <w:tcW w:w="436" w:type="pct"/>
            <w:shd w:val="clear" w:color="auto" w:fill="auto"/>
            <w:vAlign w:val="center"/>
            <w:hideMark/>
          </w:tcPr>
          <w:p w14:paraId="03B203DA" w14:textId="6B0BB623" w:rsidR="00AC5F87" w:rsidRPr="00215867" w:rsidRDefault="00AC5F87" w:rsidP="00215867">
            <w:pPr>
              <w:spacing w:after="0" w:line="20" w:lineRule="atLeast"/>
              <w:rPr>
                <w:rFonts w:ascii="Times New Roman" w:hAnsi="Times New Roman"/>
                <w:sz w:val="18"/>
                <w:szCs w:val="18"/>
              </w:rPr>
            </w:pPr>
            <w:r w:rsidRPr="00215867">
              <w:rPr>
                <w:rFonts w:ascii="Times New Roman" w:hAnsi="Times New Roman"/>
                <w:sz w:val="18"/>
                <w:szCs w:val="18"/>
              </w:rPr>
              <w:t>NFP94-056,1996</w:t>
            </w:r>
          </w:p>
        </w:tc>
      </w:tr>
      <w:tr w:rsidR="00AA75B5" w:rsidRPr="00AC5F87" w14:paraId="6FDA9068" w14:textId="77777777" w:rsidTr="00995C80">
        <w:trPr>
          <w:trHeight w:val="330"/>
          <w:jc w:val="center"/>
        </w:trPr>
        <w:tc>
          <w:tcPr>
            <w:tcW w:w="473" w:type="pct"/>
            <w:vMerge/>
            <w:shd w:val="clear" w:color="auto" w:fill="auto"/>
            <w:vAlign w:val="center"/>
            <w:hideMark/>
          </w:tcPr>
          <w:p w14:paraId="47B36C18" w14:textId="77777777" w:rsidR="00AA75B5" w:rsidRPr="00215867" w:rsidRDefault="00AA75B5" w:rsidP="00215867">
            <w:pPr>
              <w:spacing w:after="0" w:line="20" w:lineRule="atLeast"/>
              <w:rPr>
                <w:rFonts w:ascii="Times New Roman" w:hAnsi="Times New Roman"/>
                <w:b/>
                <w:bCs/>
                <w:sz w:val="18"/>
                <w:szCs w:val="18"/>
              </w:rPr>
            </w:pPr>
          </w:p>
        </w:tc>
        <w:tc>
          <w:tcPr>
            <w:tcW w:w="525" w:type="pct"/>
            <w:shd w:val="clear" w:color="auto" w:fill="auto"/>
            <w:vAlign w:val="center"/>
            <w:hideMark/>
          </w:tcPr>
          <w:p w14:paraId="4946B3E1" w14:textId="77777777"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 4,57 %</w:t>
            </w:r>
          </w:p>
        </w:tc>
        <w:tc>
          <w:tcPr>
            <w:tcW w:w="525" w:type="pct"/>
            <w:shd w:val="clear" w:color="auto" w:fill="auto"/>
            <w:vAlign w:val="center"/>
            <w:hideMark/>
          </w:tcPr>
          <w:p w14:paraId="386F8C71" w14:textId="37EE556A"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4,17 %</w:t>
            </w:r>
          </w:p>
        </w:tc>
        <w:tc>
          <w:tcPr>
            <w:tcW w:w="525" w:type="pct"/>
            <w:shd w:val="clear" w:color="auto" w:fill="auto"/>
            <w:vAlign w:val="center"/>
            <w:hideMark/>
          </w:tcPr>
          <w:p w14:paraId="2A6B8C64" w14:textId="048345C2"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5,31 %</w:t>
            </w:r>
          </w:p>
        </w:tc>
        <w:tc>
          <w:tcPr>
            <w:tcW w:w="525" w:type="pct"/>
            <w:shd w:val="clear" w:color="auto" w:fill="auto"/>
            <w:vAlign w:val="center"/>
            <w:hideMark/>
          </w:tcPr>
          <w:p w14:paraId="7AF59AC9" w14:textId="3B17E352"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4,17 %</w:t>
            </w:r>
          </w:p>
        </w:tc>
        <w:tc>
          <w:tcPr>
            <w:tcW w:w="525" w:type="pct"/>
            <w:shd w:val="clear" w:color="auto" w:fill="auto"/>
            <w:vAlign w:val="center"/>
            <w:hideMark/>
          </w:tcPr>
          <w:p w14:paraId="3B4015A5" w14:textId="2519D96F"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4,12 %</w:t>
            </w:r>
          </w:p>
        </w:tc>
        <w:tc>
          <w:tcPr>
            <w:tcW w:w="525" w:type="pct"/>
            <w:shd w:val="clear" w:color="auto" w:fill="auto"/>
            <w:vAlign w:val="center"/>
            <w:hideMark/>
          </w:tcPr>
          <w:p w14:paraId="248B21E7" w14:textId="19CA77F7"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4,35 %</w:t>
            </w:r>
          </w:p>
        </w:tc>
        <w:tc>
          <w:tcPr>
            <w:tcW w:w="525" w:type="pct"/>
            <w:shd w:val="clear" w:color="auto" w:fill="auto"/>
            <w:vAlign w:val="center"/>
            <w:hideMark/>
          </w:tcPr>
          <w:p w14:paraId="08A04EEC" w14:textId="013EC15A"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Limon :</w:t>
            </w:r>
            <w:r>
              <w:rPr>
                <w:rFonts w:ascii="Times New Roman" w:hAnsi="Times New Roman"/>
                <w:sz w:val="18"/>
                <w:szCs w:val="18"/>
              </w:rPr>
              <w:t xml:space="preserve"> </w:t>
            </w:r>
            <w:r w:rsidRPr="00215867">
              <w:rPr>
                <w:rFonts w:ascii="Times New Roman" w:hAnsi="Times New Roman"/>
                <w:sz w:val="18"/>
                <w:szCs w:val="18"/>
              </w:rPr>
              <w:t>4,87 %</w:t>
            </w:r>
          </w:p>
        </w:tc>
        <w:tc>
          <w:tcPr>
            <w:tcW w:w="418" w:type="pct"/>
          </w:tcPr>
          <w:p w14:paraId="22503B0A" w14:textId="13E321D9" w:rsidR="00AA75B5" w:rsidRPr="00AC5F87" w:rsidRDefault="00AA75B5" w:rsidP="00215867">
            <w:pPr>
              <w:spacing w:after="0" w:line="20" w:lineRule="atLeast"/>
              <w:rPr>
                <w:rFonts w:ascii="Times New Roman" w:hAnsi="Times New Roman"/>
                <w:sz w:val="18"/>
                <w:szCs w:val="18"/>
              </w:rPr>
            </w:pPr>
            <w:r>
              <w:rPr>
                <w:rFonts w:ascii="Times New Roman" w:hAnsi="Times New Roman"/>
                <w:sz w:val="18"/>
                <w:szCs w:val="18"/>
              </w:rPr>
              <w:t>42%</w:t>
            </w:r>
          </w:p>
        </w:tc>
        <w:tc>
          <w:tcPr>
            <w:tcW w:w="436" w:type="pct"/>
            <w:vMerge w:val="restart"/>
            <w:shd w:val="clear" w:color="auto" w:fill="auto"/>
            <w:vAlign w:val="center"/>
            <w:hideMark/>
          </w:tcPr>
          <w:p w14:paraId="09006976" w14:textId="56932FDB"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NFP11-300,1992</w:t>
            </w:r>
          </w:p>
        </w:tc>
      </w:tr>
      <w:tr w:rsidR="00AA75B5" w:rsidRPr="00AC5F87" w14:paraId="580B501E" w14:textId="77777777" w:rsidTr="00995C80">
        <w:trPr>
          <w:trHeight w:val="333"/>
          <w:jc w:val="center"/>
        </w:trPr>
        <w:tc>
          <w:tcPr>
            <w:tcW w:w="473" w:type="pct"/>
            <w:vMerge/>
            <w:shd w:val="clear" w:color="auto" w:fill="auto"/>
            <w:vAlign w:val="center"/>
            <w:hideMark/>
          </w:tcPr>
          <w:p w14:paraId="2EE2DCFE" w14:textId="77777777" w:rsidR="00AA75B5" w:rsidRPr="00215867" w:rsidRDefault="00AA75B5" w:rsidP="00215867">
            <w:pPr>
              <w:spacing w:after="0" w:line="20" w:lineRule="atLeast"/>
              <w:rPr>
                <w:rFonts w:ascii="Times New Roman" w:hAnsi="Times New Roman"/>
                <w:b/>
                <w:bCs/>
                <w:sz w:val="18"/>
                <w:szCs w:val="18"/>
              </w:rPr>
            </w:pPr>
          </w:p>
        </w:tc>
        <w:tc>
          <w:tcPr>
            <w:tcW w:w="525" w:type="pct"/>
            <w:shd w:val="clear" w:color="auto" w:fill="auto"/>
            <w:vAlign w:val="center"/>
            <w:hideMark/>
          </w:tcPr>
          <w:p w14:paraId="5044D5D0" w14:textId="77777777"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 16,22 %</w:t>
            </w:r>
          </w:p>
        </w:tc>
        <w:tc>
          <w:tcPr>
            <w:tcW w:w="525" w:type="pct"/>
            <w:shd w:val="clear" w:color="auto" w:fill="auto"/>
            <w:vAlign w:val="center"/>
            <w:hideMark/>
          </w:tcPr>
          <w:p w14:paraId="7BCB68B9" w14:textId="4D4FA224"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16,22 %</w:t>
            </w:r>
          </w:p>
        </w:tc>
        <w:tc>
          <w:tcPr>
            <w:tcW w:w="525" w:type="pct"/>
            <w:shd w:val="clear" w:color="auto" w:fill="auto"/>
            <w:vAlign w:val="center"/>
            <w:hideMark/>
          </w:tcPr>
          <w:p w14:paraId="457D6B15" w14:textId="030C28BB"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20,72 %</w:t>
            </w:r>
          </w:p>
        </w:tc>
        <w:tc>
          <w:tcPr>
            <w:tcW w:w="525" w:type="pct"/>
            <w:shd w:val="clear" w:color="auto" w:fill="auto"/>
            <w:vAlign w:val="center"/>
            <w:hideMark/>
          </w:tcPr>
          <w:p w14:paraId="7781D16D" w14:textId="1E7881F8"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19,4 %</w:t>
            </w:r>
          </w:p>
        </w:tc>
        <w:tc>
          <w:tcPr>
            <w:tcW w:w="525" w:type="pct"/>
            <w:shd w:val="clear" w:color="auto" w:fill="auto"/>
            <w:vAlign w:val="center"/>
            <w:hideMark/>
          </w:tcPr>
          <w:p w14:paraId="4A4C49C5" w14:textId="6BB74B3E"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17,75 %</w:t>
            </w:r>
          </w:p>
        </w:tc>
        <w:tc>
          <w:tcPr>
            <w:tcW w:w="525" w:type="pct"/>
            <w:shd w:val="clear" w:color="auto" w:fill="auto"/>
            <w:vAlign w:val="center"/>
            <w:hideMark/>
          </w:tcPr>
          <w:p w14:paraId="6BB6D81D" w14:textId="076902B2"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21,77 %</w:t>
            </w:r>
          </w:p>
        </w:tc>
        <w:tc>
          <w:tcPr>
            <w:tcW w:w="525" w:type="pct"/>
            <w:shd w:val="clear" w:color="auto" w:fill="auto"/>
            <w:vAlign w:val="center"/>
            <w:hideMark/>
          </w:tcPr>
          <w:p w14:paraId="608DD0A9" w14:textId="71CE7425" w:rsidR="00AA75B5" w:rsidRPr="00215867" w:rsidRDefault="00AA75B5" w:rsidP="00215867">
            <w:pPr>
              <w:spacing w:after="0" w:line="20" w:lineRule="atLeast"/>
              <w:rPr>
                <w:rFonts w:ascii="Times New Roman" w:hAnsi="Times New Roman"/>
                <w:sz w:val="18"/>
                <w:szCs w:val="18"/>
              </w:rPr>
            </w:pPr>
            <w:r w:rsidRPr="00215867">
              <w:rPr>
                <w:rFonts w:ascii="Times New Roman" w:hAnsi="Times New Roman"/>
                <w:sz w:val="18"/>
                <w:szCs w:val="18"/>
              </w:rPr>
              <w:t>Argile :</w:t>
            </w:r>
            <w:r>
              <w:rPr>
                <w:rFonts w:ascii="Times New Roman" w:hAnsi="Times New Roman"/>
                <w:sz w:val="18"/>
                <w:szCs w:val="18"/>
              </w:rPr>
              <w:t xml:space="preserve"> </w:t>
            </w:r>
            <w:r w:rsidRPr="00215867">
              <w:rPr>
                <w:rFonts w:ascii="Times New Roman" w:hAnsi="Times New Roman"/>
                <w:sz w:val="18"/>
                <w:szCs w:val="18"/>
              </w:rPr>
              <w:t>21,61%</w:t>
            </w:r>
          </w:p>
        </w:tc>
        <w:tc>
          <w:tcPr>
            <w:tcW w:w="418" w:type="pct"/>
          </w:tcPr>
          <w:p w14:paraId="3C41DEE1" w14:textId="007C5E08" w:rsidR="00AA75B5" w:rsidRPr="00AC5F87" w:rsidRDefault="00AA75B5" w:rsidP="00215867">
            <w:pPr>
              <w:spacing w:after="0" w:line="20" w:lineRule="atLeast"/>
              <w:rPr>
                <w:rFonts w:ascii="Times New Roman" w:hAnsi="Times New Roman"/>
                <w:sz w:val="18"/>
                <w:szCs w:val="18"/>
              </w:rPr>
            </w:pPr>
            <w:r>
              <w:rPr>
                <w:rFonts w:ascii="Times New Roman" w:hAnsi="Times New Roman"/>
                <w:sz w:val="18"/>
                <w:szCs w:val="18"/>
              </w:rPr>
              <w:t xml:space="preserve">30% </w:t>
            </w:r>
          </w:p>
        </w:tc>
        <w:tc>
          <w:tcPr>
            <w:tcW w:w="436" w:type="pct"/>
            <w:vMerge/>
            <w:shd w:val="clear" w:color="auto" w:fill="auto"/>
            <w:vAlign w:val="center"/>
            <w:hideMark/>
          </w:tcPr>
          <w:p w14:paraId="3B8AD49D" w14:textId="6D9D1BA0" w:rsidR="00AA75B5" w:rsidRPr="00215867" w:rsidRDefault="00AA75B5" w:rsidP="00215867">
            <w:pPr>
              <w:spacing w:after="0" w:line="20" w:lineRule="atLeast"/>
              <w:rPr>
                <w:rFonts w:ascii="Times New Roman" w:hAnsi="Times New Roman"/>
                <w:sz w:val="18"/>
                <w:szCs w:val="18"/>
              </w:rPr>
            </w:pPr>
          </w:p>
        </w:tc>
      </w:tr>
      <w:tr w:rsidR="00AA27E0" w:rsidRPr="00AC5F87" w14:paraId="6B21D361" w14:textId="77777777" w:rsidTr="00215867">
        <w:trPr>
          <w:trHeight w:val="405"/>
          <w:jc w:val="center"/>
        </w:trPr>
        <w:tc>
          <w:tcPr>
            <w:tcW w:w="473" w:type="pct"/>
            <w:shd w:val="clear" w:color="auto" w:fill="auto"/>
            <w:vAlign w:val="center"/>
            <w:hideMark/>
          </w:tcPr>
          <w:p w14:paraId="450D7ADF"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Calcaire total (%)</w:t>
            </w:r>
          </w:p>
        </w:tc>
        <w:tc>
          <w:tcPr>
            <w:tcW w:w="525" w:type="pct"/>
            <w:shd w:val="clear" w:color="auto" w:fill="auto"/>
            <w:vAlign w:val="center"/>
            <w:hideMark/>
          </w:tcPr>
          <w:p w14:paraId="312F8D09"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1,17</w:t>
            </w:r>
          </w:p>
        </w:tc>
        <w:tc>
          <w:tcPr>
            <w:tcW w:w="525" w:type="pct"/>
            <w:shd w:val="clear" w:color="auto" w:fill="auto"/>
            <w:vAlign w:val="center"/>
            <w:hideMark/>
          </w:tcPr>
          <w:p w14:paraId="08426BD0"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1,16</w:t>
            </w:r>
          </w:p>
        </w:tc>
        <w:tc>
          <w:tcPr>
            <w:tcW w:w="525" w:type="pct"/>
            <w:shd w:val="clear" w:color="auto" w:fill="auto"/>
            <w:vAlign w:val="center"/>
            <w:hideMark/>
          </w:tcPr>
          <w:p w14:paraId="772EC05C"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2,45</w:t>
            </w:r>
          </w:p>
        </w:tc>
        <w:tc>
          <w:tcPr>
            <w:tcW w:w="525" w:type="pct"/>
            <w:shd w:val="clear" w:color="auto" w:fill="auto"/>
            <w:vAlign w:val="center"/>
            <w:hideMark/>
          </w:tcPr>
          <w:p w14:paraId="5796734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1,06</w:t>
            </w:r>
          </w:p>
        </w:tc>
        <w:tc>
          <w:tcPr>
            <w:tcW w:w="525" w:type="pct"/>
            <w:shd w:val="clear" w:color="auto" w:fill="auto"/>
            <w:vAlign w:val="center"/>
            <w:hideMark/>
          </w:tcPr>
          <w:p w14:paraId="41D1F769"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1,77</w:t>
            </w:r>
          </w:p>
        </w:tc>
        <w:tc>
          <w:tcPr>
            <w:tcW w:w="525" w:type="pct"/>
            <w:shd w:val="clear" w:color="auto" w:fill="auto"/>
            <w:vAlign w:val="center"/>
            <w:hideMark/>
          </w:tcPr>
          <w:p w14:paraId="2F0D57F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1,45</w:t>
            </w:r>
          </w:p>
        </w:tc>
        <w:tc>
          <w:tcPr>
            <w:tcW w:w="525" w:type="pct"/>
            <w:shd w:val="clear" w:color="auto" w:fill="auto"/>
            <w:vAlign w:val="center"/>
            <w:hideMark/>
          </w:tcPr>
          <w:p w14:paraId="2DF3F93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2,25</w:t>
            </w:r>
          </w:p>
        </w:tc>
        <w:tc>
          <w:tcPr>
            <w:tcW w:w="418" w:type="pct"/>
          </w:tcPr>
          <w:p w14:paraId="76568443" w14:textId="01F70765"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0,5 - 80%</w:t>
            </w:r>
          </w:p>
        </w:tc>
        <w:tc>
          <w:tcPr>
            <w:tcW w:w="436" w:type="pct"/>
            <w:shd w:val="clear" w:color="auto" w:fill="auto"/>
            <w:vAlign w:val="center"/>
            <w:hideMark/>
          </w:tcPr>
          <w:p w14:paraId="03ABA692" w14:textId="461031E2"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5931 :2000</w:t>
            </w:r>
          </w:p>
        </w:tc>
      </w:tr>
      <w:tr w:rsidR="00AA27E0" w:rsidRPr="00AC5F87" w14:paraId="636843BC" w14:textId="77777777" w:rsidTr="00215867">
        <w:trPr>
          <w:trHeight w:val="370"/>
          <w:jc w:val="center"/>
        </w:trPr>
        <w:tc>
          <w:tcPr>
            <w:tcW w:w="473" w:type="pct"/>
            <w:shd w:val="clear" w:color="auto" w:fill="auto"/>
            <w:vAlign w:val="center"/>
            <w:hideMark/>
          </w:tcPr>
          <w:p w14:paraId="0BB70DC1"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Calcaire Actif (%)</w:t>
            </w:r>
          </w:p>
        </w:tc>
        <w:tc>
          <w:tcPr>
            <w:tcW w:w="525" w:type="pct"/>
            <w:shd w:val="clear" w:color="auto" w:fill="auto"/>
            <w:vAlign w:val="center"/>
            <w:hideMark/>
          </w:tcPr>
          <w:p w14:paraId="08974C9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2F627F39"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70B767EC"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471ACE1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6A61C7EF"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44400BC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525" w:type="pct"/>
            <w:shd w:val="clear" w:color="auto" w:fill="auto"/>
            <w:vAlign w:val="center"/>
            <w:hideMark/>
          </w:tcPr>
          <w:p w14:paraId="68104647"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w:t>
            </w:r>
          </w:p>
        </w:tc>
        <w:tc>
          <w:tcPr>
            <w:tcW w:w="418" w:type="pct"/>
          </w:tcPr>
          <w:p w14:paraId="243E2228" w14:textId="7CE35972"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0 - 25%</w:t>
            </w:r>
          </w:p>
        </w:tc>
        <w:tc>
          <w:tcPr>
            <w:tcW w:w="436" w:type="pct"/>
            <w:shd w:val="clear" w:color="auto" w:fill="auto"/>
            <w:vAlign w:val="center"/>
            <w:hideMark/>
          </w:tcPr>
          <w:p w14:paraId="5364F718" w14:textId="701D0462"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Titrimétrie</w:t>
            </w:r>
          </w:p>
        </w:tc>
      </w:tr>
      <w:tr w:rsidR="00AA27E0" w:rsidRPr="00AC5F87" w14:paraId="1EE3A14F" w14:textId="77777777" w:rsidTr="00215867">
        <w:trPr>
          <w:trHeight w:val="263"/>
          <w:jc w:val="center"/>
        </w:trPr>
        <w:tc>
          <w:tcPr>
            <w:tcW w:w="473" w:type="pct"/>
            <w:shd w:val="clear" w:color="auto" w:fill="auto"/>
            <w:vAlign w:val="center"/>
            <w:hideMark/>
          </w:tcPr>
          <w:p w14:paraId="31FB7257"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Cuivre (ppm)</w:t>
            </w:r>
          </w:p>
        </w:tc>
        <w:tc>
          <w:tcPr>
            <w:tcW w:w="525" w:type="pct"/>
            <w:shd w:val="clear" w:color="auto" w:fill="auto"/>
            <w:vAlign w:val="center"/>
            <w:hideMark/>
          </w:tcPr>
          <w:p w14:paraId="165E54CA"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0,15</w:t>
            </w:r>
          </w:p>
        </w:tc>
        <w:tc>
          <w:tcPr>
            <w:tcW w:w="525" w:type="pct"/>
            <w:shd w:val="clear" w:color="auto" w:fill="auto"/>
            <w:vAlign w:val="center"/>
            <w:hideMark/>
          </w:tcPr>
          <w:p w14:paraId="3BE7936A"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0,15</w:t>
            </w:r>
          </w:p>
        </w:tc>
        <w:tc>
          <w:tcPr>
            <w:tcW w:w="525" w:type="pct"/>
            <w:shd w:val="clear" w:color="auto" w:fill="auto"/>
            <w:vAlign w:val="center"/>
            <w:hideMark/>
          </w:tcPr>
          <w:p w14:paraId="3E0F0EA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0,4</w:t>
            </w:r>
          </w:p>
        </w:tc>
        <w:tc>
          <w:tcPr>
            <w:tcW w:w="525" w:type="pct"/>
            <w:shd w:val="clear" w:color="auto" w:fill="auto"/>
            <w:vAlign w:val="center"/>
            <w:hideMark/>
          </w:tcPr>
          <w:p w14:paraId="62B282B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0,15</w:t>
            </w:r>
          </w:p>
        </w:tc>
        <w:tc>
          <w:tcPr>
            <w:tcW w:w="525" w:type="pct"/>
            <w:shd w:val="clear" w:color="auto" w:fill="auto"/>
            <w:vAlign w:val="center"/>
            <w:hideMark/>
          </w:tcPr>
          <w:p w14:paraId="754CD8E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0,07</w:t>
            </w:r>
          </w:p>
        </w:tc>
        <w:tc>
          <w:tcPr>
            <w:tcW w:w="525" w:type="pct"/>
            <w:shd w:val="clear" w:color="auto" w:fill="auto"/>
            <w:vAlign w:val="center"/>
            <w:hideMark/>
          </w:tcPr>
          <w:p w14:paraId="202AFC6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0,5</w:t>
            </w:r>
          </w:p>
        </w:tc>
        <w:tc>
          <w:tcPr>
            <w:tcW w:w="525" w:type="pct"/>
            <w:shd w:val="clear" w:color="auto" w:fill="auto"/>
            <w:vAlign w:val="center"/>
            <w:hideMark/>
          </w:tcPr>
          <w:p w14:paraId="2C20C78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0,05</w:t>
            </w:r>
          </w:p>
        </w:tc>
        <w:tc>
          <w:tcPr>
            <w:tcW w:w="418" w:type="pct"/>
          </w:tcPr>
          <w:p w14:paraId="6DB585E4" w14:textId="38EB6D9E"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 xml:space="preserve">13 – 24 mg/kg </w:t>
            </w:r>
          </w:p>
        </w:tc>
        <w:tc>
          <w:tcPr>
            <w:tcW w:w="436" w:type="pct"/>
            <w:shd w:val="clear" w:color="auto" w:fill="auto"/>
            <w:vAlign w:val="center"/>
            <w:hideMark/>
          </w:tcPr>
          <w:p w14:paraId="0092E83A" w14:textId="7EB12A6D"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11047</w:t>
            </w:r>
          </w:p>
        </w:tc>
      </w:tr>
      <w:tr w:rsidR="00AA27E0" w:rsidRPr="00AC5F87" w14:paraId="1131BF69" w14:textId="77777777" w:rsidTr="00215867">
        <w:trPr>
          <w:trHeight w:val="281"/>
          <w:jc w:val="center"/>
        </w:trPr>
        <w:tc>
          <w:tcPr>
            <w:tcW w:w="473" w:type="pct"/>
            <w:shd w:val="clear" w:color="auto" w:fill="auto"/>
            <w:vAlign w:val="center"/>
            <w:hideMark/>
          </w:tcPr>
          <w:p w14:paraId="1DB01BEF"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Plomb (ppm)</w:t>
            </w:r>
          </w:p>
        </w:tc>
        <w:tc>
          <w:tcPr>
            <w:tcW w:w="525" w:type="pct"/>
            <w:shd w:val="clear" w:color="auto" w:fill="auto"/>
            <w:vAlign w:val="center"/>
            <w:hideMark/>
          </w:tcPr>
          <w:p w14:paraId="082C62B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0,09</w:t>
            </w:r>
          </w:p>
        </w:tc>
        <w:tc>
          <w:tcPr>
            <w:tcW w:w="525" w:type="pct"/>
            <w:shd w:val="clear" w:color="auto" w:fill="auto"/>
            <w:vAlign w:val="center"/>
            <w:hideMark/>
          </w:tcPr>
          <w:p w14:paraId="29D3381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0,08</w:t>
            </w:r>
          </w:p>
        </w:tc>
        <w:tc>
          <w:tcPr>
            <w:tcW w:w="525" w:type="pct"/>
            <w:shd w:val="clear" w:color="auto" w:fill="auto"/>
            <w:vAlign w:val="center"/>
            <w:hideMark/>
          </w:tcPr>
          <w:p w14:paraId="271ACDD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0,17</w:t>
            </w:r>
          </w:p>
        </w:tc>
        <w:tc>
          <w:tcPr>
            <w:tcW w:w="525" w:type="pct"/>
            <w:shd w:val="clear" w:color="auto" w:fill="auto"/>
            <w:vAlign w:val="center"/>
            <w:hideMark/>
          </w:tcPr>
          <w:p w14:paraId="4A5865C6"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0,08</w:t>
            </w:r>
          </w:p>
        </w:tc>
        <w:tc>
          <w:tcPr>
            <w:tcW w:w="525" w:type="pct"/>
            <w:shd w:val="clear" w:color="auto" w:fill="auto"/>
            <w:vAlign w:val="center"/>
            <w:hideMark/>
          </w:tcPr>
          <w:p w14:paraId="3C452DE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0,01</w:t>
            </w:r>
          </w:p>
        </w:tc>
        <w:tc>
          <w:tcPr>
            <w:tcW w:w="525" w:type="pct"/>
            <w:shd w:val="clear" w:color="auto" w:fill="auto"/>
            <w:vAlign w:val="center"/>
            <w:hideMark/>
          </w:tcPr>
          <w:p w14:paraId="44FE549A"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0,118</w:t>
            </w:r>
          </w:p>
        </w:tc>
        <w:tc>
          <w:tcPr>
            <w:tcW w:w="525" w:type="pct"/>
            <w:shd w:val="clear" w:color="auto" w:fill="auto"/>
            <w:vAlign w:val="center"/>
            <w:hideMark/>
          </w:tcPr>
          <w:p w14:paraId="6C006A70"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0,02</w:t>
            </w:r>
          </w:p>
        </w:tc>
        <w:tc>
          <w:tcPr>
            <w:tcW w:w="418" w:type="pct"/>
          </w:tcPr>
          <w:p w14:paraId="59B13A09" w14:textId="3AD912E7"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 xml:space="preserve">25 mg/kg </w:t>
            </w:r>
          </w:p>
        </w:tc>
        <w:tc>
          <w:tcPr>
            <w:tcW w:w="436" w:type="pct"/>
            <w:shd w:val="clear" w:color="auto" w:fill="auto"/>
            <w:vAlign w:val="center"/>
            <w:hideMark/>
          </w:tcPr>
          <w:p w14:paraId="67004A5D" w14:textId="67DE640D"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11047</w:t>
            </w:r>
          </w:p>
        </w:tc>
      </w:tr>
      <w:tr w:rsidR="00AA27E0" w:rsidRPr="00AC5F87" w14:paraId="43E238F4" w14:textId="77777777" w:rsidTr="00215867">
        <w:trPr>
          <w:trHeight w:val="341"/>
          <w:jc w:val="center"/>
        </w:trPr>
        <w:tc>
          <w:tcPr>
            <w:tcW w:w="473" w:type="pct"/>
            <w:shd w:val="clear" w:color="auto" w:fill="auto"/>
            <w:vAlign w:val="center"/>
            <w:hideMark/>
          </w:tcPr>
          <w:p w14:paraId="3C88C8A8"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Cadmium (ppm)</w:t>
            </w:r>
          </w:p>
        </w:tc>
        <w:tc>
          <w:tcPr>
            <w:tcW w:w="525" w:type="pct"/>
            <w:shd w:val="clear" w:color="auto" w:fill="auto"/>
            <w:vAlign w:val="center"/>
            <w:hideMark/>
          </w:tcPr>
          <w:p w14:paraId="6686A0A2"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0,007</w:t>
            </w:r>
          </w:p>
        </w:tc>
        <w:tc>
          <w:tcPr>
            <w:tcW w:w="525" w:type="pct"/>
            <w:shd w:val="clear" w:color="auto" w:fill="auto"/>
            <w:vAlign w:val="center"/>
            <w:hideMark/>
          </w:tcPr>
          <w:p w14:paraId="55CD4B41"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0,007</w:t>
            </w:r>
          </w:p>
        </w:tc>
        <w:tc>
          <w:tcPr>
            <w:tcW w:w="525" w:type="pct"/>
            <w:shd w:val="clear" w:color="auto" w:fill="auto"/>
            <w:vAlign w:val="center"/>
            <w:hideMark/>
          </w:tcPr>
          <w:p w14:paraId="3FCCE5B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0,004</w:t>
            </w:r>
          </w:p>
        </w:tc>
        <w:tc>
          <w:tcPr>
            <w:tcW w:w="525" w:type="pct"/>
            <w:shd w:val="clear" w:color="auto" w:fill="auto"/>
            <w:vAlign w:val="center"/>
            <w:hideMark/>
          </w:tcPr>
          <w:p w14:paraId="3296576E"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0,007</w:t>
            </w:r>
          </w:p>
        </w:tc>
        <w:tc>
          <w:tcPr>
            <w:tcW w:w="525" w:type="pct"/>
            <w:shd w:val="clear" w:color="auto" w:fill="auto"/>
            <w:vAlign w:val="center"/>
            <w:hideMark/>
          </w:tcPr>
          <w:p w14:paraId="4CA4F3A6"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0,008</w:t>
            </w:r>
          </w:p>
        </w:tc>
        <w:tc>
          <w:tcPr>
            <w:tcW w:w="525" w:type="pct"/>
            <w:shd w:val="clear" w:color="auto" w:fill="auto"/>
            <w:vAlign w:val="center"/>
            <w:hideMark/>
          </w:tcPr>
          <w:p w14:paraId="6F23F53A"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0,004</w:t>
            </w:r>
          </w:p>
        </w:tc>
        <w:tc>
          <w:tcPr>
            <w:tcW w:w="525" w:type="pct"/>
            <w:shd w:val="clear" w:color="auto" w:fill="auto"/>
            <w:vAlign w:val="center"/>
            <w:hideMark/>
          </w:tcPr>
          <w:p w14:paraId="5183AEAD"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0,004</w:t>
            </w:r>
          </w:p>
        </w:tc>
        <w:tc>
          <w:tcPr>
            <w:tcW w:w="418" w:type="pct"/>
            <w:vAlign w:val="center"/>
          </w:tcPr>
          <w:p w14:paraId="17E610C4" w14:textId="34B6ECDA"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0,2 mg/kg</w:t>
            </w:r>
          </w:p>
        </w:tc>
        <w:tc>
          <w:tcPr>
            <w:tcW w:w="436" w:type="pct"/>
            <w:shd w:val="clear" w:color="auto" w:fill="auto"/>
            <w:vAlign w:val="center"/>
            <w:hideMark/>
          </w:tcPr>
          <w:p w14:paraId="43D0FF62" w14:textId="7F0C5A03"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11047</w:t>
            </w:r>
          </w:p>
        </w:tc>
      </w:tr>
      <w:tr w:rsidR="00AA27E0" w:rsidRPr="00AC5F87" w14:paraId="26D96853" w14:textId="77777777" w:rsidTr="00215867">
        <w:trPr>
          <w:trHeight w:val="329"/>
          <w:jc w:val="center"/>
        </w:trPr>
        <w:tc>
          <w:tcPr>
            <w:tcW w:w="473" w:type="pct"/>
            <w:shd w:val="clear" w:color="auto" w:fill="auto"/>
            <w:vAlign w:val="center"/>
            <w:hideMark/>
          </w:tcPr>
          <w:p w14:paraId="58AFC720" w14:textId="77777777" w:rsidR="00AA27E0" w:rsidRPr="00215867" w:rsidRDefault="00AA27E0" w:rsidP="00215867">
            <w:pPr>
              <w:spacing w:after="0" w:line="20" w:lineRule="atLeast"/>
              <w:rPr>
                <w:rFonts w:ascii="Times New Roman" w:hAnsi="Times New Roman"/>
                <w:b/>
                <w:bCs/>
                <w:sz w:val="18"/>
                <w:szCs w:val="18"/>
              </w:rPr>
            </w:pPr>
            <w:r w:rsidRPr="00215867">
              <w:rPr>
                <w:rFonts w:ascii="Times New Roman" w:hAnsi="Times New Roman"/>
                <w:b/>
                <w:bCs/>
                <w:sz w:val="18"/>
                <w:szCs w:val="18"/>
              </w:rPr>
              <w:t>Zinc (ppm)</w:t>
            </w:r>
          </w:p>
        </w:tc>
        <w:tc>
          <w:tcPr>
            <w:tcW w:w="525" w:type="pct"/>
            <w:shd w:val="clear" w:color="auto" w:fill="auto"/>
            <w:vAlign w:val="center"/>
            <w:hideMark/>
          </w:tcPr>
          <w:p w14:paraId="6A76F256"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0,27</w:t>
            </w:r>
          </w:p>
        </w:tc>
        <w:tc>
          <w:tcPr>
            <w:tcW w:w="525" w:type="pct"/>
            <w:shd w:val="clear" w:color="auto" w:fill="auto"/>
            <w:vAlign w:val="center"/>
            <w:hideMark/>
          </w:tcPr>
          <w:p w14:paraId="703BB3AB"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0,25</w:t>
            </w:r>
          </w:p>
        </w:tc>
        <w:tc>
          <w:tcPr>
            <w:tcW w:w="525" w:type="pct"/>
            <w:shd w:val="clear" w:color="auto" w:fill="auto"/>
            <w:vAlign w:val="center"/>
            <w:hideMark/>
          </w:tcPr>
          <w:p w14:paraId="3D688C93"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0,35</w:t>
            </w:r>
          </w:p>
        </w:tc>
        <w:tc>
          <w:tcPr>
            <w:tcW w:w="525" w:type="pct"/>
            <w:shd w:val="clear" w:color="auto" w:fill="auto"/>
            <w:vAlign w:val="center"/>
            <w:hideMark/>
          </w:tcPr>
          <w:p w14:paraId="6EE5BB2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0,25</w:t>
            </w:r>
          </w:p>
        </w:tc>
        <w:tc>
          <w:tcPr>
            <w:tcW w:w="525" w:type="pct"/>
            <w:shd w:val="clear" w:color="auto" w:fill="auto"/>
            <w:vAlign w:val="center"/>
            <w:hideMark/>
          </w:tcPr>
          <w:p w14:paraId="7E4948D0"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0,122</w:t>
            </w:r>
          </w:p>
        </w:tc>
        <w:tc>
          <w:tcPr>
            <w:tcW w:w="525" w:type="pct"/>
            <w:shd w:val="clear" w:color="auto" w:fill="auto"/>
            <w:vAlign w:val="center"/>
            <w:hideMark/>
          </w:tcPr>
          <w:p w14:paraId="5C7B53C3"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0,45</w:t>
            </w:r>
          </w:p>
        </w:tc>
        <w:tc>
          <w:tcPr>
            <w:tcW w:w="525" w:type="pct"/>
            <w:shd w:val="clear" w:color="auto" w:fill="auto"/>
            <w:vAlign w:val="center"/>
            <w:hideMark/>
          </w:tcPr>
          <w:p w14:paraId="024957F4" w14:textId="77777777"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0,126</w:t>
            </w:r>
          </w:p>
        </w:tc>
        <w:tc>
          <w:tcPr>
            <w:tcW w:w="418" w:type="pct"/>
          </w:tcPr>
          <w:p w14:paraId="45AABD97" w14:textId="68A9453A" w:rsidR="00AA27E0" w:rsidRPr="00AC5F87" w:rsidRDefault="00AA27E0" w:rsidP="00215867">
            <w:pPr>
              <w:spacing w:after="0" w:line="20" w:lineRule="atLeast"/>
              <w:rPr>
                <w:rFonts w:ascii="Times New Roman" w:hAnsi="Times New Roman"/>
                <w:sz w:val="18"/>
                <w:szCs w:val="18"/>
              </w:rPr>
            </w:pPr>
            <w:r>
              <w:rPr>
                <w:rFonts w:ascii="Times New Roman" w:hAnsi="Times New Roman"/>
                <w:sz w:val="18"/>
                <w:szCs w:val="18"/>
              </w:rPr>
              <w:t>10 – 300 mg/kg</w:t>
            </w:r>
          </w:p>
        </w:tc>
        <w:tc>
          <w:tcPr>
            <w:tcW w:w="436" w:type="pct"/>
            <w:shd w:val="clear" w:color="auto" w:fill="auto"/>
            <w:vAlign w:val="center"/>
            <w:hideMark/>
          </w:tcPr>
          <w:p w14:paraId="52BFE5A2" w14:textId="701DE36D" w:rsidR="00AA27E0" w:rsidRPr="00215867" w:rsidRDefault="00AA27E0" w:rsidP="00215867">
            <w:pPr>
              <w:spacing w:after="0" w:line="20" w:lineRule="atLeast"/>
              <w:rPr>
                <w:rFonts w:ascii="Times New Roman" w:hAnsi="Times New Roman"/>
                <w:sz w:val="18"/>
                <w:szCs w:val="18"/>
              </w:rPr>
            </w:pPr>
            <w:r w:rsidRPr="00215867">
              <w:rPr>
                <w:rFonts w:ascii="Times New Roman" w:hAnsi="Times New Roman"/>
                <w:sz w:val="18"/>
                <w:szCs w:val="18"/>
              </w:rPr>
              <w:t>ISO 11047</w:t>
            </w:r>
          </w:p>
        </w:tc>
      </w:tr>
    </w:tbl>
    <w:p w14:paraId="4A3CC3BF" w14:textId="77777777" w:rsidR="00AC5F87" w:rsidRDefault="00EF6C10" w:rsidP="00215867">
      <w:pPr>
        <w:spacing w:after="120" w:line="240" w:lineRule="auto"/>
        <w:jc w:val="center"/>
        <w:rPr>
          <w:rStyle w:val="Lienhypertexte"/>
        </w:rPr>
      </w:pPr>
      <w:r w:rsidRPr="00215867">
        <w:rPr>
          <w:rFonts w:ascii="Times New Roman" w:hAnsi="Times New Roman"/>
          <w:b/>
          <w:color w:val="44546A"/>
          <w:sz w:val="24"/>
        </w:rPr>
        <w:t xml:space="preserve">Source : </w:t>
      </w:r>
      <w:hyperlink r:id="rId40" w:anchor="iso:std:iso:11047:ed-1:v1:fr:tab:1" w:history="1">
        <w:r w:rsidR="00AC5F87" w:rsidRPr="00215867">
          <w:rPr>
            <w:rFonts w:ascii="Times New Roman" w:hAnsi="Times New Roman"/>
            <w:sz w:val="24"/>
          </w:rPr>
          <w:t>ISO 11047:1998(fr), Qualité du sol — Dosage du cadmium, du chrome, du cobalt, du cuivre, du plomb, du manganèse, du nickel et du zinc — Méthodes par spectrométrie d'absorption atomique dans la flamme et électrothermique</w:t>
        </w:r>
      </w:hyperlink>
    </w:p>
    <w:p w14:paraId="7D83F4EA" w14:textId="182E5805" w:rsidR="00EF6C10" w:rsidRPr="00215867" w:rsidRDefault="00EF6C10" w:rsidP="00215867">
      <w:pPr>
        <w:spacing w:after="120" w:line="240" w:lineRule="auto"/>
        <w:jc w:val="center"/>
        <w:rPr>
          <w:rFonts w:ascii="Times New Roman" w:hAnsi="Times New Roman"/>
          <w:b/>
          <w:i/>
          <w:iCs/>
          <w:color w:val="44546A"/>
          <w:sz w:val="24"/>
        </w:rPr>
      </w:pPr>
      <w:r w:rsidRPr="00215867">
        <w:rPr>
          <w:rFonts w:ascii="Times New Roman" w:hAnsi="Times New Roman"/>
          <w:b/>
          <w:color w:val="44546A"/>
          <w:sz w:val="24"/>
        </w:rPr>
        <w:t xml:space="preserve">Centre des Recherches Géologiques et Minières (CRGM) </w:t>
      </w:r>
      <w:r w:rsidRPr="00215867">
        <w:rPr>
          <w:rStyle w:val="Emphaseintense"/>
          <w:rFonts w:ascii="Times New Roman" w:hAnsi="Times New Roman"/>
          <w:b/>
          <w:sz w:val="24"/>
        </w:rPr>
        <w:t>Juillet</w:t>
      </w:r>
      <w:r w:rsidRPr="00215867">
        <w:rPr>
          <w:rFonts w:ascii="Times New Roman" w:hAnsi="Times New Roman"/>
          <w:b/>
          <w:i/>
          <w:iCs/>
          <w:color w:val="44546A"/>
          <w:sz w:val="24"/>
        </w:rPr>
        <w:t xml:space="preserve"> 2021</w:t>
      </w:r>
    </w:p>
    <w:p w14:paraId="3DD4F8B7" w14:textId="77777777" w:rsidR="005D25FB" w:rsidRDefault="005D25FB" w:rsidP="009F62C6">
      <w:pPr>
        <w:spacing w:before="120" w:after="120" w:line="240" w:lineRule="auto"/>
        <w:jc w:val="both"/>
        <w:rPr>
          <w:rFonts w:ascii="Times New Roman" w:hAnsi="Times New Roman"/>
          <w:sz w:val="24"/>
        </w:rPr>
        <w:sectPr w:rsidR="005D25FB" w:rsidSect="00975F18">
          <w:pgSz w:w="16838" w:h="11906" w:orient="landscape"/>
          <w:pgMar w:top="1418" w:right="1417" w:bottom="1133" w:left="1417" w:header="709" w:footer="709" w:gutter="0"/>
          <w:cols w:space="708"/>
          <w:docGrid w:linePitch="360"/>
        </w:sectPr>
      </w:pPr>
    </w:p>
    <w:p w14:paraId="2D5A553A" w14:textId="4DA99D2B" w:rsidR="00672C89" w:rsidRDefault="00672C89" w:rsidP="00215867">
      <w:pPr>
        <w:spacing w:before="120" w:after="120" w:line="240" w:lineRule="auto"/>
        <w:jc w:val="both"/>
        <w:rPr>
          <w:rFonts w:ascii="Times New Roman" w:hAnsi="Times New Roman"/>
          <w:sz w:val="24"/>
        </w:rPr>
      </w:pPr>
      <w:r>
        <w:rPr>
          <w:rFonts w:ascii="Times New Roman" w:hAnsi="Times New Roman"/>
          <w:sz w:val="24"/>
        </w:rPr>
        <w:t>La synthèse des principaux résultats d’analyse des échantillons des sols prélevés sur différents tracés du réseau ont permis de déterminer avec précision grâce aux analyses, les caractéristiques des sols d</w:t>
      </w:r>
      <w:r w:rsidR="00A95404">
        <w:rPr>
          <w:rFonts w:ascii="Times New Roman" w:hAnsi="Times New Roman"/>
          <w:sz w:val="24"/>
        </w:rPr>
        <w:t>u site</w:t>
      </w:r>
      <w:r>
        <w:rPr>
          <w:rFonts w:ascii="Times New Roman" w:hAnsi="Times New Roman"/>
          <w:sz w:val="24"/>
        </w:rPr>
        <w:t xml:space="preserve"> du projet </w:t>
      </w:r>
      <w:r w:rsidR="00A95404">
        <w:rPr>
          <w:rFonts w:ascii="Times New Roman" w:hAnsi="Times New Roman"/>
          <w:sz w:val="24"/>
        </w:rPr>
        <w:t>sont présentés dans le tableau ci-dessus.</w:t>
      </w:r>
      <w:r>
        <w:rPr>
          <w:rFonts w:ascii="Times New Roman" w:hAnsi="Times New Roman"/>
          <w:sz w:val="24"/>
        </w:rPr>
        <w:t xml:space="preserve"> </w:t>
      </w:r>
      <w:r w:rsidR="00A95404">
        <w:rPr>
          <w:rFonts w:ascii="Times New Roman" w:hAnsi="Times New Roman"/>
          <w:sz w:val="24"/>
        </w:rPr>
        <w:t>L’interprétation des résultats d’analyse obtenus en laboratoire sont mieux décrits dans les paragraphes ci-dessous.</w:t>
      </w:r>
    </w:p>
    <w:p w14:paraId="4A57C120" w14:textId="25FBB1A9" w:rsidR="0015245E" w:rsidRDefault="0015245E" w:rsidP="00215867">
      <w:pPr>
        <w:spacing w:before="120" w:after="120" w:line="240" w:lineRule="auto"/>
        <w:jc w:val="both"/>
        <w:rPr>
          <w:rFonts w:ascii="Times New Roman" w:hAnsi="Times New Roman"/>
          <w:sz w:val="24"/>
        </w:rPr>
      </w:pPr>
      <w:r w:rsidRPr="0015245E">
        <w:rPr>
          <w:rFonts w:ascii="Times New Roman" w:hAnsi="Times New Roman"/>
          <w:sz w:val="24"/>
        </w:rPr>
        <w:t>Avec l’importance qu’a prise la gestion environnementale du patrimoine renouvelable que constituent les sols, la notion du fond géochimique naturel et anthropique présente un intérêt primordial. Elle est indispensable pour définir des valeurs de référence au-delà desquelles il sera nécessaire de prendre des dispositions concernant la gestion des sols des sites impactés.</w:t>
      </w:r>
    </w:p>
    <w:p w14:paraId="43876941" w14:textId="2FFFE873" w:rsidR="00A95404" w:rsidRDefault="00A95404" w:rsidP="00215867">
      <w:pPr>
        <w:spacing w:before="120" w:after="120" w:line="240" w:lineRule="auto"/>
        <w:jc w:val="both"/>
        <w:rPr>
          <w:rFonts w:ascii="Times New Roman" w:hAnsi="Times New Roman"/>
          <w:sz w:val="24"/>
        </w:rPr>
      </w:pPr>
      <w:r>
        <w:rPr>
          <w:rFonts w:ascii="Times New Roman" w:hAnsi="Times New Roman"/>
          <w:sz w:val="24"/>
        </w:rPr>
        <w:t>Du point de vue pédologique, les résultats d’analyses d’échantillons de sols montrent que le pH des sols du site du projet est acide, d’où sa valorisation pourra nécessiter un amendement afin de répondre à l’usage que l’on pourrait en faire.</w:t>
      </w:r>
    </w:p>
    <w:p w14:paraId="1279574F" w14:textId="41263430" w:rsidR="007E3A06" w:rsidRDefault="00A95404" w:rsidP="00215867">
      <w:pPr>
        <w:spacing w:before="120" w:after="120" w:line="240" w:lineRule="auto"/>
        <w:jc w:val="both"/>
        <w:rPr>
          <w:rFonts w:ascii="Times New Roman" w:hAnsi="Times New Roman"/>
          <w:sz w:val="24"/>
        </w:rPr>
      </w:pPr>
      <w:r>
        <w:rPr>
          <w:rFonts w:ascii="Times New Roman" w:hAnsi="Times New Roman"/>
          <w:sz w:val="24"/>
        </w:rPr>
        <w:t xml:space="preserve">Les valeurs de la conductivité électrique obtenue après analyse des échantillons des sols montrent que </w:t>
      </w:r>
      <w:r w:rsidR="00DF526F">
        <w:rPr>
          <w:rFonts w:ascii="Times New Roman" w:hAnsi="Times New Roman"/>
          <w:sz w:val="24"/>
        </w:rPr>
        <w:t xml:space="preserve">les échantillons des sols prélevés sur les sites EASE KIN S 003, 004 et 006 ont une conductivité électrique comprise entre 0 – </w:t>
      </w:r>
      <w:r w:rsidR="00DF526F" w:rsidRPr="00215867">
        <w:rPr>
          <w:rFonts w:ascii="Times New Roman" w:hAnsi="Times New Roman"/>
          <w:sz w:val="24"/>
        </w:rPr>
        <w:t xml:space="preserve"> 0,2mS/m</w:t>
      </w:r>
      <w:r w:rsidR="00111212">
        <w:rPr>
          <w:rFonts w:ascii="Times New Roman" w:hAnsi="Times New Roman"/>
          <w:sz w:val="24"/>
        </w:rPr>
        <w:t xml:space="preserve">, tandis que les échantillons prélevés sur les sites EASE KIN S 001, 002, 005 et 007 </w:t>
      </w:r>
      <w:r w:rsidR="007E3A06">
        <w:rPr>
          <w:rFonts w:ascii="Times New Roman" w:hAnsi="Times New Roman"/>
          <w:sz w:val="24"/>
        </w:rPr>
        <w:t>présentent</w:t>
      </w:r>
      <w:r w:rsidR="00111212">
        <w:rPr>
          <w:rFonts w:ascii="Times New Roman" w:hAnsi="Times New Roman"/>
          <w:sz w:val="24"/>
        </w:rPr>
        <w:t xml:space="preserve"> une conductivité électrique comprise entre 0 – 2,5</w:t>
      </w:r>
      <w:r w:rsidR="007E3A06" w:rsidRPr="007E3A06">
        <w:rPr>
          <w:rFonts w:ascii="Times New Roman" w:hAnsi="Times New Roman"/>
          <w:sz w:val="24"/>
        </w:rPr>
        <w:t xml:space="preserve"> </w:t>
      </w:r>
      <w:r w:rsidR="007E3A06" w:rsidRPr="00AC2AFB">
        <w:rPr>
          <w:rFonts w:ascii="Times New Roman" w:hAnsi="Times New Roman"/>
          <w:sz w:val="24"/>
        </w:rPr>
        <w:t>mS/m</w:t>
      </w:r>
      <w:r w:rsidR="00DF526F">
        <w:rPr>
          <w:rFonts w:ascii="Times New Roman" w:hAnsi="Times New Roman"/>
          <w:sz w:val="24"/>
        </w:rPr>
        <w:t>. Ceci montre que ces sols ne sont soumis aux problèmes de salinité</w:t>
      </w:r>
      <w:r w:rsidR="00111212">
        <w:rPr>
          <w:rFonts w:ascii="Times New Roman" w:hAnsi="Times New Roman"/>
          <w:sz w:val="24"/>
        </w:rPr>
        <w:t>.</w:t>
      </w:r>
    </w:p>
    <w:p w14:paraId="71ACFCC3" w14:textId="1382EF9A" w:rsidR="007E3A06" w:rsidRPr="00215867" w:rsidRDefault="007E3A06" w:rsidP="00215867">
      <w:pPr>
        <w:spacing w:before="120" w:after="120" w:line="240" w:lineRule="auto"/>
        <w:jc w:val="both"/>
        <w:rPr>
          <w:rFonts w:ascii="Times New Roman" w:hAnsi="Times New Roman"/>
          <w:sz w:val="24"/>
        </w:rPr>
      </w:pPr>
      <w:r w:rsidRPr="00215867">
        <w:rPr>
          <w:rFonts w:ascii="Times New Roman" w:hAnsi="Times New Roman"/>
          <w:sz w:val="24"/>
        </w:rPr>
        <w:t xml:space="preserve">Le site de prélèvements présente également une humidité comprise entre 40 – 70%, ceci est due du fais que la porosité des sols permet un brassage </w:t>
      </w:r>
      <w:r w:rsidR="005E47FB" w:rsidRPr="00215867">
        <w:rPr>
          <w:rFonts w:ascii="Times New Roman" w:hAnsi="Times New Roman"/>
          <w:sz w:val="24"/>
        </w:rPr>
        <w:t xml:space="preserve">facile </w:t>
      </w:r>
      <w:r w:rsidRPr="00215867">
        <w:rPr>
          <w:rFonts w:ascii="Times New Roman" w:hAnsi="Times New Roman"/>
          <w:sz w:val="24"/>
        </w:rPr>
        <w:t xml:space="preserve">de l’air et </w:t>
      </w:r>
      <w:r w:rsidR="005E47FB" w:rsidRPr="00215867">
        <w:rPr>
          <w:rFonts w:ascii="Times New Roman" w:hAnsi="Times New Roman"/>
          <w:sz w:val="24"/>
        </w:rPr>
        <w:t xml:space="preserve">de </w:t>
      </w:r>
      <w:r w:rsidRPr="00215867">
        <w:rPr>
          <w:rFonts w:ascii="Times New Roman" w:hAnsi="Times New Roman"/>
          <w:sz w:val="24"/>
        </w:rPr>
        <w:t>la nappe phréatique.</w:t>
      </w:r>
      <w:r w:rsidR="005E47FB" w:rsidRPr="00215867">
        <w:rPr>
          <w:rFonts w:ascii="Times New Roman" w:hAnsi="Times New Roman"/>
          <w:sz w:val="24"/>
        </w:rPr>
        <w:t xml:space="preserve"> Lors des pluies diluviennes, l’infiltration de l’eau se rapidement à travers les cavités du sol, ce qui fait qu’à certains endroits, la nappe à fleure le sol. </w:t>
      </w:r>
      <w:r w:rsidRPr="00215867">
        <w:rPr>
          <w:rFonts w:ascii="Times New Roman" w:hAnsi="Times New Roman"/>
          <w:sz w:val="24"/>
        </w:rPr>
        <w:t xml:space="preserve"> </w:t>
      </w:r>
    </w:p>
    <w:p w14:paraId="4418DCFD" w14:textId="77777777" w:rsidR="003F7473" w:rsidRDefault="007E3A06" w:rsidP="00215867">
      <w:pPr>
        <w:spacing w:before="120" w:after="120" w:line="240" w:lineRule="auto"/>
        <w:jc w:val="both"/>
        <w:rPr>
          <w:rFonts w:ascii="Times New Roman" w:hAnsi="Times New Roman"/>
          <w:sz w:val="24"/>
        </w:rPr>
      </w:pPr>
      <w:r w:rsidRPr="00215867">
        <w:rPr>
          <w:rFonts w:ascii="Times New Roman" w:hAnsi="Times New Roman"/>
          <w:sz w:val="24"/>
        </w:rPr>
        <w:t>Le sol du site du projet présente une concentration en matière organique et carbone variant entre 2,27 à 5,9%. Une telle teneur en matière organique</w:t>
      </w:r>
      <w:r w:rsidR="003F7473" w:rsidRPr="00215867">
        <w:rPr>
          <w:rFonts w:ascii="Times New Roman" w:hAnsi="Times New Roman"/>
          <w:sz w:val="24"/>
        </w:rPr>
        <w:t xml:space="preserve"> indique que le sol du site du projet est très riche. Cependant, pour le </w:t>
      </w:r>
      <w:r w:rsidRPr="00215867">
        <w:rPr>
          <w:rFonts w:ascii="Times New Roman" w:hAnsi="Times New Roman"/>
          <w:sz w:val="24"/>
        </w:rPr>
        <w:t xml:space="preserve">site EASE KIN S 001, où </w:t>
      </w:r>
      <w:r w:rsidR="003F7473" w:rsidRPr="00215867">
        <w:rPr>
          <w:rFonts w:ascii="Times New Roman" w:hAnsi="Times New Roman"/>
          <w:sz w:val="24"/>
        </w:rPr>
        <w:t>il a été enregistré une</w:t>
      </w:r>
      <w:r w:rsidRPr="00215867">
        <w:rPr>
          <w:rFonts w:ascii="Times New Roman" w:hAnsi="Times New Roman"/>
          <w:sz w:val="24"/>
        </w:rPr>
        <w:t xml:space="preserve"> concentration </w:t>
      </w:r>
      <w:r w:rsidR="003F7473" w:rsidRPr="00215867">
        <w:rPr>
          <w:rFonts w:ascii="Times New Roman" w:hAnsi="Times New Roman"/>
          <w:sz w:val="24"/>
        </w:rPr>
        <w:t>très</w:t>
      </w:r>
      <w:r w:rsidRPr="00215867">
        <w:rPr>
          <w:rFonts w:ascii="Times New Roman" w:hAnsi="Times New Roman"/>
          <w:sz w:val="24"/>
        </w:rPr>
        <w:t xml:space="preserve"> élevée</w:t>
      </w:r>
      <w:r w:rsidR="003F7473" w:rsidRPr="00215867">
        <w:rPr>
          <w:rFonts w:ascii="Times New Roman" w:hAnsi="Times New Roman"/>
          <w:sz w:val="24"/>
        </w:rPr>
        <w:t xml:space="preserve"> en matière organique</w:t>
      </w:r>
      <w:r w:rsidRPr="00215867">
        <w:rPr>
          <w:rFonts w:ascii="Times New Roman" w:hAnsi="Times New Roman"/>
          <w:sz w:val="24"/>
        </w:rPr>
        <w:t xml:space="preserve">, dépassant le seuil requis selon la NF EN 15169 (2007) indique </w:t>
      </w:r>
      <w:r w:rsidR="003F7473" w:rsidRPr="00215867">
        <w:rPr>
          <w:rFonts w:ascii="Times New Roman" w:hAnsi="Times New Roman"/>
          <w:sz w:val="24"/>
        </w:rPr>
        <w:t>la présence d’un ancien site d’enfouissement des déchets organiques ayant subi une dégradation biologique et apporté un apport supplémentaire en matière organique dans le sol.</w:t>
      </w:r>
    </w:p>
    <w:p w14:paraId="56E9A462" w14:textId="3D9B5435" w:rsidR="003F7473" w:rsidRDefault="003F7473" w:rsidP="00215867">
      <w:pPr>
        <w:spacing w:before="120" w:after="120" w:line="240" w:lineRule="auto"/>
        <w:jc w:val="both"/>
        <w:rPr>
          <w:rFonts w:ascii="Times New Roman" w:hAnsi="Times New Roman"/>
          <w:sz w:val="24"/>
        </w:rPr>
      </w:pPr>
      <w:r>
        <w:rPr>
          <w:rFonts w:ascii="Times New Roman" w:hAnsi="Times New Roman"/>
          <w:sz w:val="24"/>
        </w:rPr>
        <w:t xml:space="preserve">Partant des résultats d’analyses des échantillons prélevés sur le site du projet, il sied de noter l’ensemble des tracés du réseau </w:t>
      </w:r>
      <w:r w:rsidR="00E36845">
        <w:rPr>
          <w:rFonts w:ascii="Times New Roman" w:hAnsi="Times New Roman"/>
          <w:sz w:val="24"/>
        </w:rPr>
        <w:t>présente</w:t>
      </w:r>
      <w:r w:rsidR="00215867">
        <w:rPr>
          <w:rFonts w:ascii="Times New Roman" w:hAnsi="Times New Roman"/>
          <w:sz w:val="24"/>
        </w:rPr>
        <w:t>nt</w:t>
      </w:r>
      <w:r>
        <w:rPr>
          <w:rFonts w:ascii="Times New Roman" w:hAnsi="Times New Roman"/>
          <w:sz w:val="24"/>
        </w:rPr>
        <w:t xml:space="preserve"> un faible taux en calcaire total</w:t>
      </w:r>
      <w:r w:rsidR="00E36845">
        <w:rPr>
          <w:rFonts w:ascii="Times New Roman" w:hAnsi="Times New Roman"/>
          <w:sz w:val="24"/>
        </w:rPr>
        <w:t>. Ce qui explique que les horizons de sols du site du projet sont peu calcaires.  Moins le taux de CaCo3 est moins abondant dans le sol, moins également il y a risque de blocage des éléments traces et du phosphore.</w:t>
      </w:r>
      <w:r w:rsidR="00FA09CC">
        <w:rPr>
          <w:rFonts w:ascii="Times New Roman" w:hAnsi="Times New Roman"/>
          <w:sz w:val="24"/>
        </w:rPr>
        <w:t xml:space="preserve"> Quant au calcaire actif, les analyses effectuées ont démontrés que les 6 échantillons des sols prélevés sur le site du projet présentent un très faible taux de calcaire actif, d’où il n’y a aucun risque chloroses ferriques due à la concentration du carbone actif dans le sol.</w:t>
      </w:r>
    </w:p>
    <w:p w14:paraId="17D270DA" w14:textId="04E4E238" w:rsidR="007E3A06" w:rsidRDefault="00E36845" w:rsidP="00215867">
      <w:pPr>
        <w:spacing w:before="120" w:after="120" w:line="240" w:lineRule="auto"/>
        <w:jc w:val="both"/>
        <w:rPr>
          <w:rFonts w:ascii="Times New Roman" w:hAnsi="Times New Roman"/>
          <w:sz w:val="24"/>
        </w:rPr>
      </w:pPr>
      <w:r>
        <w:rPr>
          <w:rFonts w:ascii="Times New Roman" w:hAnsi="Times New Roman"/>
          <w:sz w:val="24"/>
        </w:rPr>
        <w:t>Le site du projet présente également un sol très poreux, ce qui nécessite la mise en place des mesures d’atténuation supplémentaire pour prévenir le risque de pollution des sols et de la nappe par infiltration des éléments polluants dans le sol.</w:t>
      </w:r>
    </w:p>
    <w:p w14:paraId="078544AB" w14:textId="4547FE14" w:rsidR="00A95404" w:rsidRDefault="00E36845" w:rsidP="00215867">
      <w:pPr>
        <w:spacing w:before="120" w:after="120" w:line="240" w:lineRule="auto"/>
        <w:jc w:val="both"/>
        <w:rPr>
          <w:rFonts w:ascii="Times New Roman" w:hAnsi="Times New Roman"/>
          <w:sz w:val="24"/>
        </w:rPr>
      </w:pPr>
      <w:r>
        <w:rPr>
          <w:rFonts w:ascii="Times New Roman" w:hAnsi="Times New Roman"/>
          <w:sz w:val="24"/>
        </w:rPr>
        <w:t>L’analyse de sols effectuée sur base des échantillons prélevés sur le site du projet, renseigne que le site du projet</w:t>
      </w:r>
      <w:r w:rsidR="00FA09CC">
        <w:rPr>
          <w:rFonts w:ascii="Times New Roman" w:hAnsi="Times New Roman"/>
          <w:sz w:val="24"/>
        </w:rPr>
        <w:t>,</w:t>
      </w:r>
      <w:r>
        <w:rPr>
          <w:rFonts w:ascii="Times New Roman" w:hAnsi="Times New Roman"/>
          <w:sz w:val="24"/>
        </w:rPr>
        <w:t xml:space="preserve"> a un sol constitué des </w:t>
      </w:r>
      <w:r w:rsidR="00FA09CC">
        <w:rPr>
          <w:rFonts w:ascii="Times New Roman" w:hAnsi="Times New Roman"/>
          <w:sz w:val="24"/>
        </w:rPr>
        <w:t xml:space="preserve">particules </w:t>
      </w:r>
      <w:r>
        <w:rPr>
          <w:rFonts w:ascii="Times New Roman" w:hAnsi="Times New Roman"/>
          <w:sz w:val="24"/>
        </w:rPr>
        <w:t xml:space="preserve"> </w:t>
      </w:r>
      <w:r w:rsidR="00FA09CC">
        <w:rPr>
          <w:rFonts w:ascii="Times New Roman" w:hAnsi="Times New Roman"/>
          <w:sz w:val="24"/>
        </w:rPr>
        <w:t xml:space="preserve">de grosses dimensions, ce qui laisse entrevoir la facilité </w:t>
      </w:r>
      <w:r w:rsidR="005E47FB">
        <w:rPr>
          <w:rFonts w:ascii="Times New Roman" w:hAnsi="Times New Roman"/>
          <w:sz w:val="24"/>
        </w:rPr>
        <w:t>de la circulation d’</w:t>
      </w:r>
      <w:r w:rsidR="00FA09CC">
        <w:rPr>
          <w:rFonts w:ascii="Times New Roman" w:hAnsi="Times New Roman"/>
          <w:sz w:val="24"/>
        </w:rPr>
        <w:t xml:space="preserve">air </w:t>
      </w:r>
      <w:r w:rsidR="005E47FB">
        <w:rPr>
          <w:rFonts w:ascii="Times New Roman" w:hAnsi="Times New Roman"/>
          <w:sz w:val="24"/>
        </w:rPr>
        <w:t>et de l’eau. Un tel sol présente un risque élevé de ravinement pouvant conduite à l’érosion du sol suite à son caractère grossière et non-compacte.</w:t>
      </w:r>
      <w:r>
        <w:rPr>
          <w:rFonts w:ascii="Times New Roman" w:hAnsi="Times New Roman"/>
          <w:sz w:val="24"/>
        </w:rPr>
        <w:t xml:space="preserve"> </w:t>
      </w:r>
      <w:r w:rsidR="00111212">
        <w:rPr>
          <w:rFonts w:ascii="Times New Roman" w:hAnsi="Times New Roman"/>
          <w:sz w:val="24"/>
        </w:rPr>
        <w:t xml:space="preserve">  </w:t>
      </w:r>
      <w:r w:rsidR="00DF526F">
        <w:rPr>
          <w:rFonts w:ascii="Times New Roman" w:hAnsi="Times New Roman"/>
          <w:sz w:val="24"/>
        </w:rPr>
        <w:t xml:space="preserve">  </w:t>
      </w:r>
      <w:r w:rsidR="00A95404">
        <w:rPr>
          <w:rFonts w:ascii="Times New Roman" w:hAnsi="Times New Roman"/>
          <w:sz w:val="24"/>
        </w:rPr>
        <w:t xml:space="preserve"> </w:t>
      </w:r>
    </w:p>
    <w:p w14:paraId="2398B5E1" w14:textId="679FBB19"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Du point de vue géochimique, nous n’avons pas pu mettre en évidence une quelconque anomalie en métaux lourds analysés au laboratoire. Toutes les teneurs telles que mentionnées dans le tableau au point 1.4 sont normales que ce soit pour  Cu, cd, Pb, Zn, etc.</w:t>
      </w:r>
    </w:p>
    <w:p w14:paraId="348636A1" w14:textId="75D9A66A"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 xml:space="preserve">Le Pb est un élément commun du milieu naturel contenu dans pas moins de 452 espèces minérales comme élément majeur ou constitutif dont 37% représentées par des sulfures, 19 par des phosphates, etc. </w:t>
      </w:r>
      <w:r w:rsidR="00EC05B0">
        <w:rPr>
          <w:rFonts w:ascii="Times New Roman" w:hAnsi="Times New Roman"/>
          <w:sz w:val="24"/>
        </w:rPr>
        <w:t>D</w:t>
      </w:r>
      <w:r w:rsidR="00EC05B0" w:rsidRPr="0015245E">
        <w:rPr>
          <w:rFonts w:ascii="Times New Roman" w:hAnsi="Times New Roman"/>
          <w:sz w:val="24"/>
        </w:rPr>
        <w:t xml:space="preserve">ans </w:t>
      </w:r>
      <w:r w:rsidRPr="0015245E">
        <w:rPr>
          <w:rFonts w:ascii="Times New Roman" w:hAnsi="Times New Roman"/>
          <w:sz w:val="24"/>
        </w:rPr>
        <w:t xml:space="preserve">les sols, le plomb est surtout associé aux minéraux argileux, adsorbé sur les oxydes et oxy-hydroxydes de Mn, Fe et Al. Dans certains cas, il peut être associé aux carbonates et aux phosphates. Dans les sols naturels on estime son niveau de base à 25 mg kg </w:t>
      </w:r>
      <w:r w:rsidRPr="0015245E">
        <w:rPr>
          <w:rFonts w:ascii="Times New Roman" w:hAnsi="Times New Roman"/>
          <w:sz w:val="24"/>
          <w:vertAlign w:val="superscript"/>
        </w:rPr>
        <w:t xml:space="preserve">-1. </w:t>
      </w:r>
      <w:r w:rsidRPr="0015245E">
        <w:rPr>
          <w:rFonts w:ascii="Times New Roman" w:hAnsi="Times New Roman"/>
          <w:sz w:val="24"/>
        </w:rPr>
        <w:t>Au-dessus de cette valeur, une influence anthropique demeure possible.</w:t>
      </w:r>
    </w:p>
    <w:p w14:paraId="1BEA99AE"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 xml:space="preserve">Dans les échantillons reçus, son taux (en ppm) est trop faible pour constituer un danger pour l’être humain. </w:t>
      </w:r>
    </w:p>
    <w:p w14:paraId="12165DDD"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 xml:space="preserve">Le Cu est essentiellement présent dans le milieu naturel sous forme de sulfures (37% des espèces minérales), phosphates et sulfates. On le trouve essentiellement dans le milieu naturel sous deux valences Cu (I) et Cu (II). C’est un élément principalement chalcophile trouvé dans de nombreux gisements sulfurés. Les valeurs moyennes dans les sols varient de 13 à 24 mg /kg. </w:t>
      </w:r>
    </w:p>
    <w:p w14:paraId="7F1B9CDB"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Globalement, il n’y a pas d’anomalies sur les échantillons analysés, les valeurs sont tout à fait normales.</w:t>
      </w:r>
    </w:p>
    <w:p w14:paraId="615D78E4"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Le Cadmium(Cd) tend à se volatiliser à haute température, constituant ainsi une voie d’entrée dans le mécanisme d’introduction anthropique dans le milieu naturel. Le Cadmium n’a pas de rôle essentiel dans les fonctions biologiques, mais il tend à s’accumuler dans les plantes et la biomasse aquatique surtout avec des conséquences toxiques. Aucune anomalie relevée dans les échantillons analysés.</w:t>
      </w:r>
    </w:p>
    <w:p w14:paraId="59F39C11"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Le Zinc (Zn) est un élément chalcophile qui forme des minéraux sulfurés communs comme la Blende (ZnS). On peut le trouver aussi sous forme de carbonates (Smithsonite ZnCO</w:t>
      </w:r>
      <w:r w:rsidRPr="0015245E">
        <w:rPr>
          <w:rFonts w:ascii="Times New Roman" w:hAnsi="Times New Roman"/>
          <w:sz w:val="24"/>
          <w:vertAlign w:val="subscript"/>
        </w:rPr>
        <w:t xml:space="preserve">3 </w:t>
      </w:r>
      <w:r w:rsidRPr="0015245E">
        <w:rPr>
          <w:rFonts w:ascii="Times New Roman" w:hAnsi="Times New Roman"/>
          <w:sz w:val="24"/>
        </w:rPr>
        <w:t>et sous forme d’oxyde (Zincite ZnO). La teneur moyenne des sols en Zinc varie entre 10 et 300 mg/kg avec une moyenne estimée à 64 mg/kg. Les valeurs obtenues à partir des échantillons ne nous permettent pas de dire qu’il y a une anomalie quelconque pouvant impacter sur l’homme.</w:t>
      </w:r>
    </w:p>
    <w:p w14:paraId="71B71ED3"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Outre ces éléments lourds, le béton est un élément indispensable à la transition bas-carbone dans les réseaux électriques. Il est utilisé pour les fondations de pylônes, pour certains pylônes ou pour les postes sources. Nous n’avons pas une estimation exacte mais nous supposons à des millions de tonnes la quantité de béton actuellement contenue dans les réseaux de transport (en stock), faisant ainsi du béton la matière la plus utilisée très loin devant l’acier. Les chiffres ne sont pas disponibles pour le réseau de distribution, mais il est vraisemblable que le béton y soit également très présent.</w:t>
      </w:r>
      <w:r w:rsidRPr="0015245E">
        <w:rPr>
          <w:rFonts w:ascii="Times New Roman" w:hAnsi="Times New Roman"/>
        </w:rPr>
        <w:t xml:space="preserve"> </w:t>
      </w:r>
      <w:r w:rsidRPr="0015245E">
        <w:rPr>
          <w:rFonts w:ascii="Times New Roman" w:hAnsi="Times New Roman"/>
          <w:sz w:val="24"/>
        </w:rPr>
        <w:t>Cette utilisation accrue de béton pour les réseaux électriques reste cependant modeste par rapport aux besoins de béton liés aux éoliennes ou aux centrales photovoltaïques installées au sol.</w:t>
      </w:r>
    </w:p>
    <w:p w14:paraId="19267F03"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Le béton, autre matière présente en masse dans les réseaux, présente des enjeux différents, essentiellement liés à son acceptabilité sociale.</w:t>
      </w:r>
    </w:p>
    <w:p w14:paraId="74E36164"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Le béton est un mélange, en proportions variables, d’un liant hydraulique (traditionnellement le ciment, pour 15 %), de granulats (dont le gravier ou le sable, pour 80 %), d’eau (pour 5%), d’adjuvants et parfois de fibres. L’eau provoque une réaction chimique de prise avec le ciment qui, en durcissant à l’air, lie tous les composants en un ensemble homogène et résistant.</w:t>
      </w:r>
    </w:p>
    <w:p w14:paraId="521C2839" w14:textId="77777777" w:rsidR="0015245E" w:rsidRPr="0015245E" w:rsidRDefault="0015245E" w:rsidP="00E737B4">
      <w:pPr>
        <w:spacing w:before="80" w:after="80" w:line="240" w:lineRule="auto"/>
        <w:jc w:val="both"/>
        <w:rPr>
          <w:rFonts w:ascii="Times New Roman" w:hAnsi="Times New Roman"/>
          <w:sz w:val="24"/>
        </w:rPr>
      </w:pPr>
      <w:r w:rsidRPr="0015245E">
        <w:rPr>
          <w:rFonts w:ascii="Times New Roman" w:hAnsi="Times New Roman"/>
          <w:sz w:val="24"/>
        </w:rPr>
        <w:t>Les granulats sont des petits morceaux de roches (gravillons, sable, etc.), d’une taille inférieure à 80 mm. Ils ont de multiples usages : outre le béton, ils participent à la réalisation des ouvrages de travaux publics, de génie civil et de bâtiment et sont dans ces domaines une matière première indispensable.</w:t>
      </w:r>
    </w:p>
    <w:p w14:paraId="1D3FE5F4" w14:textId="77777777" w:rsidR="0015245E" w:rsidRPr="0015245E" w:rsidRDefault="0015245E" w:rsidP="00E737B4">
      <w:pPr>
        <w:spacing w:before="120" w:after="120" w:line="240" w:lineRule="auto"/>
        <w:jc w:val="both"/>
        <w:rPr>
          <w:rFonts w:ascii="Times New Roman" w:hAnsi="Times New Roman"/>
          <w:sz w:val="24"/>
        </w:rPr>
      </w:pPr>
      <w:r w:rsidRPr="0015245E">
        <w:rPr>
          <w:rFonts w:ascii="Times New Roman" w:hAnsi="Times New Roman"/>
          <w:sz w:val="24"/>
        </w:rPr>
        <w:t>Les granulats peuvent être issus :</w:t>
      </w:r>
    </w:p>
    <w:p w14:paraId="376593EA" w14:textId="77777777" w:rsidR="0015245E" w:rsidRPr="00E737B4" w:rsidRDefault="0015245E" w:rsidP="008C79F0">
      <w:pPr>
        <w:pStyle w:val="Paragraphedeliste"/>
        <w:numPr>
          <w:ilvl w:val="1"/>
          <w:numId w:val="230"/>
        </w:numPr>
        <w:spacing w:after="0" w:line="240" w:lineRule="auto"/>
        <w:ind w:left="709" w:hanging="425"/>
        <w:jc w:val="both"/>
        <w:rPr>
          <w:rFonts w:ascii="Times New Roman" w:hAnsi="Times New Roman"/>
          <w:sz w:val="24"/>
        </w:rPr>
      </w:pPr>
      <w:r w:rsidRPr="00E737B4">
        <w:rPr>
          <w:rFonts w:ascii="Times New Roman" w:hAnsi="Times New Roman"/>
          <w:sz w:val="24"/>
        </w:rPr>
        <w:t>de roche massive (calcaire, roche dure, roche d’origine volcanique);</w:t>
      </w:r>
    </w:p>
    <w:p w14:paraId="4EE83C6B" w14:textId="77777777" w:rsidR="0015245E" w:rsidRPr="00E737B4" w:rsidRDefault="0015245E" w:rsidP="008C79F0">
      <w:pPr>
        <w:pStyle w:val="Paragraphedeliste"/>
        <w:numPr>
          <w:ilvl w:val="1"/>
          <w:numId w:val="230"/>
        </w:numPr>
        <w:spacing w:after="0" w:line="240" w:lineRule="auto"/>
        <w:ind w:left="709" w:hanging="425"/>
        <w:jc w:val="both"/>
        <w:rPr>
          <w:rFonts w:ascii="Times New Roman" w:hAnsi="Times New Roman"/>
          <w:sz w:val="24"/>
        </w:rPr>
      </w:pPr>
      <w:r w:rsidRPr="00E737B4">
        <w:rPr>
          <w:rFonts w:ascii="Times New Roman" w:hAnsi="Times New Roman"/>
          <w:sz w:val="24"/>
        </w:rPr>
        <w:t>de roche meuble (sables, matériaux alluvionnaires);</w:t>
      </w:r>
    </w:p>
    <w:p w14:paraId="3E62A87E" w14:textId="77777777" w:rsidR="0015245E" w:rsidRPr="00E737B4" w:rsidRDefault="0015245E" w:rsidP="008C79F0">
      <w:pPr>
        <w:pStyle w:val="Paragraphedeliste"/>
        <w:numPr>
          <w:ilvl w:val="1"/>
          <w:numId w:val="230"/>
        </w:numPr>
        <w:spacing w:after="0" w:line="240" w:lineRule="auto"/>
        <w:ind w:left="709" w:hanging="425"/>
        <w:jc w:val="both"/>
        <w:rPr>
          <w:rFonts w:ascii="Times New Roman" w:hAnsi="Times New Roman"/>
          <w:sz w:val="24"/>
        </w:rPr>
      </w:pPr>
      <w:r w:rsidRPr="00E737B4">
        <w:rPr>
          <w:rFonts w:ascii="Times New Roman" w:hAnsi="Times New Roman"/>
          <w:sz w:val="24"/>
        </w:rPr>
        <w:t>du recyclage (granulats fabriqués à partir de la déconstruction d’ouvrages en béton, de rebuts et d’excédents d’unités de production…).</w:t>
      </w:r>
    </w:p>
    <w:p w14:paraId="69E6B885" w14:textId="77777777" w:rsidR="0015245E" w:rsidRPr="0015245E" w:rsidRDefault="0015245E" w:rsidP="00E737B4">
      <w:pPr>
        <w:spacing w:before="120" w:after="120" w:line="240" w:lineRule="auto"/>
        <w:jc w:val="both"/>
        <w:rPr>
          <w:rFonts w:ascii="Times New Roman" w:hAnsi="Times New Roman"/>
          <w:sz w:val="24"/>
        </w:rPr>
      </w:pPr>
      <w:r w:rsidRPr="0015245E">
        <w:rPr>
          <w:rFonts w:ascii="Times New Roman" w:hAnsi="Times New Roman"/>
          <w:sz w:val="24"/>
        </w:rPr>
        <w:t>Le clinker, composant principal du ciment, résulte de la cuisson à très haute température d’un mélange composé de calcaire (80 %) et d’argile (20 %). La production de clinker est fortement émettrice de CO</w:t>
      </w:r>
      <w:r w:rsidRPr="00E737B4">
        <w:rPr>
          <w:rFonts w:ascii="Times New Roman" w:hAnsi="Times New Roman"/>
          <w:sz w:val="24"/>
          <w:vertAlign w:val="subscript"/>
        </w:rPr>
        <w:t>2</w:t>
      </w:r>
      <w:r w:rsidRPr="0015245E">
        <w:rPr>
          <w:rFonts w:ascii="Times New Roman" w:hAnsi="Times New Roman"/>
          <w:sz w:val="24"/>
        </w:rPr>
        <w:t>, à cause de la combustion d’énergie fossile pour la cuisson, mais également de l’émission de gaz carbonique lors de la réaction chimique de cuisson actuellement aux environs de 1400 °C.</w:t>
      </w:r>
    </w:p>
    <w:p w14:paraId="5341C2D9" w14:textId="18837962" w:rsidR="0015245E" w:rsidRDefault="0015245E" w:rsidP="00E737B4">
      <w:pPr>
        <w:spacing w:before="120" w:after="120" w:line="240" w:lineRule="auto"/>
        <w:jc w:val="both"/>
        <w:rPr>
          <w:rFonts w:ascii="Times New Roman" w:hAnsi="Times New Roman"/>
          <w:sz w:val="24"/>
        </w:rPr>
      </w:pPr>
      <w:r w:rsidRPr="0015245E">
        <w:rPr>
          <w:rFonts w:ascii="Times New Roman" w:hAnsi="Times New Roman"/>
          <w:sz w:val="24"/>
        </w:rPr>
        <w:t>Le ciment résulte d’un broyage très fin du clinker, au cours duquel du gypse est ajouté. À ce stade, le cimentier peut inclure jusqu’à 40 % de substances alternatives, telles que pouzzolane, cendres volantes ou laitiers de hauts fourneaux, de manière à diluer le ciment sans modifier notablement ses propriétés intrinsèques. L’incorporation de ces matières alternatives contribue à réduire le bilan environnemental du ciment.</w:t>
      </w:r>
    </w:p>
    <w:p w14:paraId="4F6580E1" w14:textId="4DFFDABF" w:rsidR="0011561D" w:rsidRPr="00215867" w:rsidRDefault="00EF6C10" w:rsidP="0011561D">
      <w:pPr>
        <w:pStyle w:val="Lgende"/>
        <w:spacing w:before="120" w:after="120"/>
        <w:jc w:val="center"/>
        <w:rPr>
          <w:rStyle w:val="Emphaseintense"/>
          <w:b/>
          <w:iCs/>
          <w:color w:val="auto"/>
          <w:sz w:val="24"/>
        </w:rPr>
      </w:pPr>
      <w:bookmarkStart w:id="448" w:name="_Toc93050534"/>
      <w:r w:rsidRPr="00215867">
        <w:rPr>
          <w:b/>
          <w:i/>
          <w:iCs w:val="0"/>
          <w:sz w:val="24"/>
        </w:rPr>
        <w:t xml:space="preserve">Figure </w:t>
      </w:r>
      <w:r w:rsidRPr="00F119F9">
        <w:rPr>
          <w:b/>
          <w:i/>
          <w:iCs w:val="0"/>
          <w:sz w:val="24"/>
        </w:rPr>
        <w:fldChar w:fldCharType="begin"/>
      </w:r>
      <w:r w:rsidRPr="00F119F9">
        <w:rPr>
          <w:b/>
          <w:i/>
          <w:iCs w:val="0"/>
          <w:sz w:val="24"/>
        </w:rPr>
        <w:instrText xml:space="preserve"> SEQ Figure \* ARABIC </w:instrText>
      </w:r>
      <w:r w:rsidRPr="00F119F9">
        <w:rPr>
          <w:b/>
          <w:i/>
          <w:iCs w:val="0"/>
          <w:sz w:val="24"/>
        </w:rPr>
        <w:fldChar w:fldCharType="separate"/>
      </w:r>
      <w:r w:rsidR="00A86929">
        <w:rPr>
          <w:b/>
          <w:i/>
          <w:iCs w:val="0"/>
          <w:noProof/>
          <w:sz w:val="24"/>
        </w:rPr>
        <w:t>7</w:t>
      </w:r>
      <w:r w:rsidRPr="00F119F9">
        <w:rPr>
          <w:b/>
          <w:i/>
          <w:iCs w:val="0"/>
          <w:sz w:val="24"/>
        </w:rPr>
        <w:fldChar w:fldCharType="end"/>
      </w:r>
      <w:r w:rsidR="000A6843">
        <w:rPr>
          <w:b/>
          <w:i/>
          <w:iCs w:val="0"/>
          <w:sz w:val="24"/>
        </w:rPr>
        <w:t>.</w:t>
      </w:r>
      <w:r w:rsidRPr="00215867">
        <w:rPr>
          <w:b/>
          <w:i/>
          <w:iCs w:val="0"/>
          <w:sz w:val="24"/>
        </w:rPr>
        <w:t xml:space="preserve"> </w:t>
      </w:r>
      <w:r w:rsidRPr="00215867">
        <w:rPr>
          <w:rStyle w:val="Emphaseintense"/>
          <w:b/>
          <w:iCs/>
          <w:color w:val="auto"/>
          <w:sz w:val="24"/>
        </w:rPr>
        <w:t>Procédé fabrication du béton</w:t>
      </w:r>
      <w:bookmarkEnd w:id="448"/>
    </w:p>
    <w:p w14:paraId="2E546371" w14:textId="77777777" w:rsidR="0011561D" w:rsidRPr="0011561D" w:rsidRDefault="0011561D" w:rsidP="00215867"/>
    <w:p w14:paraId="1391AA44" w14:textId="7D1EE2AA" w:rsidR="0015245E" w:rsidRDefault="002C66D7" w:rsidP="0015245E">
      <w:pPr>
        <w:jc w:val="both"/>
        <w:rPr>
          <w:sz w:val="24"/>
        </w:rPr>
      </w:pPr>
      <w:r>
        <w:rPr>
          <w:noProof/>
          <w:lang w:eastAsia="fr-FR"/>
        </w:rPr>
        <w:drawing>
          <wp:anchor distT="0" distB="0" distL="114300" distR="114300" simplePos="0" relativeHeight="251646464" behindDoc="0" locked="0" layoutInCell="1" allowOverlap="1" wp14:anchorId="52204CDB" wp14:editId="35B1B2A3">
            <wp:simplePos x="0" y="0"/>
            <wp:positionH relativeFrom="column">
              <wp:align>left</wp:align>
            </wp:positionH>
            <wp:positionV relativeFrom="paragraph">
              <wp:align>top</wp:align>
            </wp:positionV>
            <wp:extent cx="4949190" cy="1329690"/>
            <wp:effectExtent l="0" t="0" r="3810" b="3810"/>
            <wp:wrapSquare wrapText="bothSides"/>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l="33624" t="52892" r="30159" b="29774"/>
                    <a:stretch>
                      <a:fillRect/>
                    </a:stretch>
                  </pic:blipFill>
                  <pic:spPr bwMode="auto">
                    <a:xfrm>
                      <a:off x="0" y="0"/>
                      <a:ext cx="4949190" cy="132969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563DAB33" w14:textId="77777777" w:rsidR="0015245E" w:rsidRPr="000802D3" w:rsidRDefault="0015245E" w:rsidP="0015245E">
      <w:pPr>
        <w:rPr>
          <w:sz w:val="24"/>
        </w:rPr>
      </w:pPr>
    </w:p>
    <w:p w14:paraId="16DD9BB9" w14:textId="77777777" w:rsidR="0015245E" w:rsidRPr="000802D3" w:rsidRDefault="0015245E" w:rsidP="0015245E">
      <w:pPr>
        <w:rPr>
          <w:sz w:val="24"/>
        </w:rPr>
      </w:pPr>
    </w:p>
    <w:p w14:paraId="4EABB3AA" w14:textId="77777777" w:rsidR="0015245E" w:rsidRPr="000802D3" w:rsidRDefault="0015245E" w:rsidP="0015245E">
      <w:pPr>
        <w:rPr>
          <w:sz w:val="24"/>
        </w:rPr>
      </w:pPr>
    </w:p>
    <w:p w14:paraId="2C186816" w14:textId="77777777" w:rsidR="0015245E" w:rsidRPr="0015245E" w:rsidRDefault="0015245E" w:rsidP="00215867">
      <w:pPr>
        <w:spacing w:before="240" w:after="120" w:line="22" w:lineRule="atLeast"/>
        <w:jc w:val="both"/>
        <w:rPr>
          <w:rFonts w:ascii="Times New Roman" w:hAnsi="Times New Roman"/>
          <w:sz w:val="24"/>
        </w:rPr>
      </w:pPr>
      <w:r>
        <w:rPr>
          <w:sz w:val="24"/>
        </w:rPr>
        <w:br w:type="textWrapping" w:clear="all"/>
      </w:r>
      <w:r w:rsidRPr="0015245E">
        <w:rPr>
          <w:rFonts w:ascii="Times New Roman" w:hAnsi="Times New Roman"/>
          <w:sz w:val="24"/>
        </w:rPr>
        <w:t>Le taux en calcaire total contenu dans les échantillons nous fournis suppose également un taux marginal sans danger pour la population dans la zone du projet.</w:t>
      </w:r>
    </w:p>
    <w:p w14:paraId="3F5DD9FA" w14:textId="68190B71" w:rsidR="0015245E" w:rsidRPr="0015245E" w:rsidRDefault="007C6252" w:rsidP="00215867">
      <w:pPr>
        <w:pStyle w:val="Titre31"/>
        <w:numPr>
          <w:ilvl w:val="2"/>
          <w:numId w:val="54"/>
        </w:numPr>
        <w:tabs>
          <w:tab w:val="left" w:pos="993"/>
        </w:tabs>
        <w:spacing w:before="120" w:after="120"/>
        <w:ind w:left="567" w:hanging="425"/>
        <w:rPr>
          <w:rFonts w:eastAsia="Calibri" w:cs="Times New Roman"/>
          <w:u w:val="none"/>
        </w:rPr>
      </w:pPr>
      <w:bookmarkStart w:id="449" w:name="_Toc79132372"/>
      <w:bookmarkStart w:id="450" w:name="_Toc103685637"/>
      <w:r>
        <w:rPr>
          <w:rFonts w:eastAsia="Calibri" w:cs="Times New Roman"/>
          <w:u w:val="none"/>
        </w:rPr>
        <w:t>Présentation et i</w:t>
      </w:r>
      <w:r w:rsidR="0015245E" w:rsidRPr="0015245E">
        <w:rPr>
          <w:rFonts w:eastAsia="Calibri" w:cs="Times New Roman"/>
          <w:u w:val="none"/>
        </w:rPr>
        <w:t>nterprétation des résultats</w:t>
      </w:r>
      <w:bookmarkEnd w:id="449"/>
      <w:r w:rsidR="007F23C0">
        <w:rPr>
          <w:rFonts w:eastAsia="Calibri" w:cs="Times New Roman"/>
          <w:u w:val="none"/>
        </w:rPr>
        <w:t xml:space="preserve"> </w:t>
      </w:r>
      <w:r>
        <w:rPr>
          <w:rFonts w:eastAsia="Calibri" w:cs="Times New Roman"/>
          <w:u w:val="none"/>
        </w:rPr>
        <w:t xml:space="preserve">de </w:t>
      </w:r>
      <w:r w:rsidR="007F23C0">
        <w:rPr>
          <w:rFonts w:eastAsia="Calibri" w:cs="Times New Roman"/>
          <w:u w:val="none"/>
        </w:rPr>
        <w:t>la qualité de l’eau</w:t>
      </w:r>
      <w:bookmarkEnd w:id="450"/>
    </w:p>
    <w:p w14:paraId="0E801853" w14:textId="77777777" w:rsidR="0015245E" w:rsidRPr="0015245E" w:rsidRDefault="0015245E" w:rsidP="00E737B4">
      <w:pPr>
        <w:spacing w:before="120" w:after="120" w:line="20" w:lineRule="atLeast"/>
        <w:jc w:val="both"/>
        <w:rPr>
          <w:rFonts w:ascii="Times New Roman" w:hAnsi="Times New Roman"/>
          <w:sz w:val="24"/>
        </w:rPr>
      </w:pPr>
      <w:r w:rsidRPr="0015245E">
        <w:rPr>
          <w:rFonts w:ascii="Times New Roman" w:hAnsi="Times New Roman"/>
          <w:sz w:val="24"/>
        </w:rPr>
        <w:t>Les résultats des analyses sont répertoriés par station et interprétés grâce au Système d’Évaluation de la Qualité de l’Eau de l’OMS et d’observance en RDC. Cet outil prend en compte les réglementations en vigueur à l’échelle nationale.</w:t>
      </w:r>
    </w:p>
    <w:p w14:paraId="6331ED16" w14:textId="77777777" w:rsidR="0015245E" w:rsidRPr="0015245E" w:rsidRDefault="0015245E" w:rsidP="00E737B4">
      <w:pPr>
        <w:spacing w:before="120" w:after="120" w:line="20" w:lineRule="atLeast"/>
        <w:jc w:val="both"/>
        <w:rPr>
          <w:rFonts w:ascii="Times New Roman" w:hAnsi="Times New Roman"/>
          <w:sz w:val="24"/>
        </w:rPr>
      </w:pPr>
      <w:r w:rsidRPr="0015245E">
        <w:rPr>
          <w:rFonts w:ascii="Times New Roman" w:hAnsi="Times New Roman"/>
          <w:sz w:val="24"/>
        </w:rPr>
        <w:t>Aussi, une eau avant d’être consommée sans danger pour la santé doit répondre à certaines normes de potabilité :</w:t>
      </w:r>
    </w:p>
    <w:p w14:paraId="0D614308" w14:textId="77777777" w:rsidR="0015245E" w:rsidRPr="0015245E" w:rsidRDefault="0015245E" w:rsidP="00D5137F">
      <w:pPr>
        <w:pStyle w:val="Paragraphedeliste"/>
        <w:numPr>
          <w:ilvl w:val="0"/>
          <w:numId w:val="231"/>
        </w:numPr>
        <w:spacing w:after="0" w:line="240" w:lineRule="auto"/>
        <w:ind w:left="567"/>
        <w:jc w:val="both"/>
        <w:rPr>
          <w:rFonts w:ascii="Times New Roman" w:hAnsi="Times New Roman"/>
          <w:sz w:val="24"/>
        </w:rPr>
      </w:pPr>
      <w:r w:rsidRPr="0015245E">
        <w:rPr>
          <w:rFonts w:ascii="Times New Roman" w:hAnsi="Times New Roman"/>
          <w:sz w:val="24"/>
        </w:rPr>
        <w:t>La potabilité microbiologique : c’est l’absence, ou la présence à des taux suffisamment faibles, de micro-organismes susceptibles de provoquer des maladies graves et contagieuses.</w:t>
      </w:r>
    </w:p>
    <w:p w14:paraId="67553BCE" w14:textId="77777777" w:rsidR="0015245E" w:rsidRPr="0015245E" w:rsidRDefault="0015245E" w:rsidP="00D5137F">
      <w:pPr>
        <w:pStyle w:val="Paragraphedeliste"/>
        <w:numPr>
          <w:ilvl w:val="0"/>
          <w:numId w:val="231"/>
        </w:numPr>
        <w:spacing w:after="0" w:line="240" w:lineRule="auto"/>
        <w:ind w:left="567"/>
        <w:jc w:val="both"/>
        <w:rPr>
          <w:rFonts w:ascii="Times New Roman" w:hAnsi="Times New Roman"/>
          <w:sz w:val="24"/>
        </w:rPr>
      </w:pPr>
      <w:r w:rsidRPr="0015245E">
        <w:rPr>
          <w:rFonts w:ascii="Times New Roman" w:hAnsi="Times New Roman"/>
          <w:sz w:val="24"/>
        </w:rPr>
        <w:t>La potabilité chimique : c’est l’absence, ou la présence à des taux suffisamment faibles, de substances toxiques susceptibles de provoquer des maladies à plus ou moins long terme.</w:t>
      </w:r>
    </w:p>
    <w:p w14:paraId="4BE44CFD" w14:textId="77777777" w:rsidR="0015245E" w:rsidRDefault="0015245E" w:rsidP="00E737B4">
      <w:pPr>
        <w:spacing w:before="120" w:after="120" w:line="240" w:lineRule="auto"/>
        <w:jc w:val="both"/>
        <w:rPr>
          <w:rFonts w:ascii="Times New Roman" w:hAnsi="Times New Roman"/>
          <w:sz w:val="24"/>
          <w:szCs w:val="24"/>
        </w:rPr>
      </w:pPr>
      <w:r w:rsidRPr="003512EC">
        <w:rPr>
          <w:rFonts w:ascii="Times New Roman" w:hAnsi="Times New Roman"/>
          <w:sz w:val="24"/>
          <w:szCs w:val="24"/>
        </w:rPr>
        <w:t>Pour pouvoir être consommée agréablement l’eau doit être limpide, claire et ne doit présenter ni saveur, ni odeur désagréable. Cependant une eau qui ne satisfait pas pleinement à ces critères ne présente pas forcément de risque pour la santé.</w:t>
      </w:r>
    </w:p>
    <w:p w14:paraId="3CE06247" w14:textId="77777777" w:rsidR="005D25FB" w:rsidRPr="00215867" w:rsidRDefault="005D25FB" w:rsidP="005D25FB">
      <w:pPr>
        <w:pStyle w:val="Paragraphedeliste"/>
        <w:numPr>
          <w:ilvl w:val="0"/>
          <w:numId w:val="378"/>
        </w:numPr>
        <w:spacing w:before="120" w:after="120" w:line="240" w:lineRule="auto"/>
        <w:jc w:val="both"/>
        <w:rPr>
          <w:rFonts w:ascii="Times New Roman" w:hAnsi="Times New Roman"/>
          <w:b/>
          <w:i/>
          <w:iCs/>
          <w:sz w:val="24"/>
          <w:szCs w:val="24"/>
        </w:rPr>
      </w:pPr>
      <w:r w:rsidRPr="00215867">
        <w:rPr>
          <w:rFonts w:ascii="Times New Roman" w:hAnsi="Times New Roman"/>
          <w:b/>
          <w:i/>
          <w:iCs/>
          <w:sz w:val="24"/>
          <w:szCs w:val="24"/>
        </w:rPr>
        <w:t>Méthodologie utilisées pour l’analyse de la qualité de l’eau</w:t>
      </w:r>
    </w:p>
    <w:p w14:paraId="07272503" w14:textId="5AACEB15" w:rsidR="005D25FB" w:rsidRDefault="005D25FB" w:rsidP="005D25FB">
      <w:pPr>
        <w:spacing w:before="120" w:after="120"/>
        <w:jc w:val="both"/>
        <w:rPr>
          <w:rFonts w:ascii="Times New Roman" w:hAnsi="Times New Roman"/>
          <w:sz w:val="24"/>
        </w:rPr>
      </w:pPr>
      <w:r w:rsidRPr="00082C10">
        <w:rPr>
          <w:rFonts w:ascii="Times New Roman" w:hAnsi="Times New Roman"/>
          <w:sz w:val="24"/>
        </w:rPr>
        <w:t xml:space="preserve">L’analyse de </w:t>
      </w:r>
      <w:r>
        <w:rPr>
          <w:rFonts w:ascii="Times New Roman" w:hAnsi="Times New Roman"/>
          <w:sz w:val="24"/>
        </w:rPr>
        <w:t xml:space="preserve">l’eau </w:t>
      </w:r>
      <w:r w:rsidRPr="00082C10">
        <w:rPr>
          <w:rFonts w:ascii="Times New Roman" w:hAnsi="Times New Roman"/>
          <w:sz w:val="24"/>
        </w:rPr>
        <w:t xml:space="preserve">a </w:t>
      </w:r>
      <w:r>
        <w:rPr>
          <w:rFonts w:ascii="Times New Roman" w:hAnsi="Times New Roman"/>
          <w:sz w:val="24"/>
        </w:rPr>
        <w:t xml:space="preserve">consisté à s’assurer de sa qualité et déterminer les différents polluants existantes, </w:t>
      </w:r>
      <w:r w:rsidRPr="00082C10">
        <w:rPr>
          <w:rFonts w:ascii="Times New Roman" w:hAnsi="Times New Roman"/>
          <w:sz w:val="24"/>
        </w:rPr>
        <w:t>vérifier leur concentration afin de s’assurer que les activités du projet ne vont pas exacerber ou dégrader d’avantage la qualité d</w:t>
      </w:r>
      <w:r>
        <w:rPr>
          <w:rFonts w:ascii="Times New Roman" w:hAnsi="Times New Roman"/>
          <w:sz w:val="24"/>
        </w:rPr>
        <w:t>e l’eau dans la zone du projet</w:t>
      </w:r>
      <w:r w:rsidRPr="00082C10">
        <w:rPr>
          <w:rFonts w:ascii="Times New Roman" w:hAnsi="Times New Roman"/>
          <w:sz w:val="24"/>
        </w:rPr>
        <w:t xml:space="preserve">. </w:t>
      </w:r>
      <w:r>
        <w:rPr>
          <w:rFonts w:ascii="Times New Roman" w:hAnsi="Times New Roman"/>
          <w:sz w:val="24"/>
        </w:rPr>
        <w:t xml:space="preserve"> Cette analyse avait également pour objectif d’établir l’état de référence de la qualité de l’eau. A cet effet, l</w:t>
      </w:r>
      <w:r w:rsidR="007E54FE">
        <w:rPr>
          <w:rFonts w:ascii="Times New Roman" w:hAnsi="Times New Roman"/>
          <w:sz w:val="24"/>
        </w:rPr>
        <w:t>es</w:t>
      </w:r>
      <w:r>
        <w:rPr>
          <w:rFonts w:ascii="Times New Roman" w:hAnsi="Times New Roman"/>
          <w:sz w:val="24"/>
        </w:rPr>
        <w:t xml:space="preserve"> norme</w:t>
      </w:r>
      <w:r w:rsidR="007E54FE">
        <w:rPr>
          <w:rFonts w:ascii="Times New Roman" w:hAnsi="Times New Roman"/>
          <w:sz w:val="24"/>
        </w:rPr>
        <w:t>s</w:t>
      </w:r>
      <w:r w:rsidR="00E30960">
        <w:rPr>
          <w:rFonts w:ascii="Times New Roman" w:hAnsi="Times New Roman"/>
          <w:sz w:val="24"/>
        </w:rPr>
        <w:t xml:space="preserve"> de l’OMS sur relative à la qualité de l’eau</w:t>
      </w:r>
      <w:r w:rsidR="007E54FE">
        <w:rPr>
          <w:rFonts w:ascii="Times New Roman" w:hAnsi="Times New Roman"/>
          <w:sz w:val="24"/>
        </w:rPr>
        <w:t xml:space="preserve"> et ISO 13 530 relative à la qualité de l’eau</w:t>
      </w:r>
      <w:r w:rsidR="00E30960">
        <w:rPr>
          <w:rFonts w:ascii="Times New Roman" w:hAnsi="Times New Roman"/>
          <w:sz w:val="24"/>
        </w:rPr>
        <w:t xml:space="preserve"> </w:t>
      </w:r>
      <w:r w:rsidR="007E54FE">
        <w:rPr>
          <w:rFonts w:ascii="Times New Roman" w:hAnsi="Times New Roman"/>
          <w:sz w:val="24"/>
        </w:rPr>
        <w:t>ont</w:t>
      </w:r>
      <w:r w:rsidR="00E30960">
        <w:rPr>
          <w:rFonts w:ascii="Times New Roman" w:hAnsi="Times New Roman"/>
          <w:sz w:val="24"/>
        </w:rPr>
        <w:t xml:space="preserve"> </w:t>
      </w:r>
      <w:r>
        <w:rPr>
          <w:rFonts w:ascii="Times New Roman" w:hAnsi="Times New Roman"/>
          <w:sz w:val="24"/>
        </w:rPr>
        <w:t>servi de référentiel pour cette analyse</w:t>
      </w:r>
      <w:r w:rsidR="00E30960">
        <w:rPr>
          <w:rFonts w:ascii="Times New Roman" w:hAnsi="Times New Roman"/>
          <w:sz w:val="24"/>
        </w:rPr>
        <w:t>.</w:t>
      </w:r>
      <w:r>
        <w:rPr>
          <w:rFonts w:ascii="Times New Roman" w:hAnsi="Times New Roman"/>
          <w:sz w:val="24"/>
        </w:rPr>
        <w:t xml:space="preserve"> </w:t>
      </w:r>
    </w:p>
    <w:p w14:paraId="14FA5DF9" w14:textId="227A0369" w:rsidR="00E30960" w:rsidRDefault="005D25FB" w:rsidP="005D25FB">
      <w:pPr>
        <w:spacing w:before="120" w:after="120"/>
        <w:jc w:val="both"/>
        <w:rPr>
          <w:rFonts w:ascii="Times New Roman" w:hAnsi="Times New Roman"/>
          <w:sz w:val="24"/>
        </w:rPr>
      </w:pPr>
      <w:r>
        <w:rPr>
          <w:rFonts w:ascii="Times New Roman" w:hAnsi="Times New Roman"/>
          <w:sz w:val="24"/>
        </w:rPr>
        <w:t xml:space="preserve">Les </w:t>
      </w:r>
      <w:r w:rsidR="00E30960">
        <w:rPr>
          <w:rFonts w:ascii="Times New Roman" w:hAnsi="Times New Roman"/>
          <w:sz w:val="24"/>
        </w:rPr>
        <w:t xml:space="preserve">analyses ont été effectuées in-situ (sur le site de prélèvement) et ex-situ (laboratoire). Les analyse in-situ ont permis de mesurés directement au niveau de la veine principale des cours d’eau, les paramètres suivants : </w:t>
      </w:r>
    </w:p>
    <w:p w14:paraId="3DE19994" w14:textId="5BB637ED" w:rsidR="00E30960" w:rsidRDefault="00E30960" w:rsidP="00215867">
      <w:pPr>
        <w:pStyle w:val="Paragraphedeliste"/>
        <w:numPr>
          <w:ilvl w:val="0"/>
          <w:numId w:val="231"/>
        </w:numPr>
        <w:spacing w:before="120" w:after="120"/>
        <w:jc w:val="both"/>
        <w:rPr>
          <w:rFonts w:ascii="Times New Roman" w:hAnsi="Times New Roman"/>
          <w:sz w:val="24"/>
        </w:rPr>
      </w:pPr>
      <w:r>
        <w:rPr>
          <w:rFonts w:ascii="Times New Roman" w:hAnsi="Times New Roman"/>
          <w:sz w:val="24"/>
        </w:rPr>
        <w:t>La température de l’eau (°C)</w:t>
      </w:r>
    </w:p>
    <w:p w14:paraId="6FCE62EE" w14:textId="7CA8379B" w:rsidR="00E30960" w:rsidRDefault="00E30960" w:rsidP="00215867">
      <w:pPr>
        <w:pStyle w:val="Paragraphedeliste"/>
        <w:numPr>
          <w:ilvl w:val="0"/>
          <w:numId w:val="231"/>
        </w:numPr>
        <w:spacing w:before="120" w:after="120"/>
        <w:jc w:val="both"/>
        <w:rPr>
          <w:rFonts w:ascii="Times New Roman" w:hAnsi="Times New Roman"/>
          <w:sz w:val="24"/>
        </w:rPr>
      </w:pPr>
      <w:r>
        <w:rPr>
          <w:rFonts w:ascii="Times New Roman" w:hAnsi="Times New Roman"/>
          <w:sz w:val="24"/>
        </w:rPr>
        <w:t>Le potentiel en hydrogène (pH)</w:t>
      </w:r>
    </w:p>
    <w:p w14:paraId="24236361" w14:textId="62302706" w:rsidR="00E30960" w:rsidRDefault="00E30960" w:rsidP="00215867">
      <w:pPr>
        <w:pStyle w:val="Paragraphedeliste"/>
        <w:numPr>
          <w:ilvl w:val="0"/>
          <w:numId w:val="231"/>
        </w:numPr>
        <w:spacing w:before="120" w:after="120"/>
        <w:jc w:val="both"/>
        <w:rPr>
          <w:rFonts w:ascii="Times New Roman" w:hAnsi="Times New Roman"/>
          <w:sz w:val="24"/>
        </w:rPr>
      </w:pPr>
      <w:r>
        <w:rPr>
          <w:rFonts w:ascii="Times New Roman" w:hAnsi="Times New Roman"/>
          <w:sz w:val="24"/>
        </w:rPr>
        <w:t>L’oxygène dissous (en mg O</w:t>
      </w:r>
      <w:r w:rsidRPr="00215867">
        <w:rPr>
          <w:rFonts w:ascii="Times New Roman" w:hAnsi="Times New Roman"/>
          <w:sz w:val="24"/>
          <w:vertAlign w:val="subscript"/>
        </w:rPr>
        <w:t>2</w:t>
      </w:r>
      <w:r>
        <w:rPr>
          <w:rFonts w:ascii="Times New Roman" w:hAnsi="Times New Roman"/>
          <w:sz w:val="24"/>
        </w:rPr>
        <w:t>/l)</w:t>
      </w:r>
    </w:p>
    <w:p w14:paraId="6C55F2BC" w14:textId="54AF50AA" w:rsidR="00E30960" w:rsidRDefault="00E30960" w:rsidP="00215867">
      <w:pPr>
        <w:pStyle w:val="Paragraphedeliste"/>
        <w:numPr>
          <w:ilvl w:val="0"/>
          <w:numId w:val="231"/>
        </w:numPr>
        <w:spacing w:before="120" w:after="120"/>
        <w:jc w:val="both"/>
        <w:rPr>
          <w:rFonts w:ascii="Times New Roman" w:hAnsi="Times New Roman"/>
          <w:sz w:val="24"/>
        </w:rPr>
      </w:pPr>
      <w:r>
        <w:rPr>
          <w:rFonts w:ascii="Times New Roman" w:hAnsi="Times New Roman"/>
          <w:sz w:val="24"/>
        </w:rPr>
        <w:t>Le pourcentage de saturation de l’eau en oxygène (%)</w:t>
      </w:r>
    </w:p>
    <w:p w14:paraId="0AA41B13" w14:textId="6B33FB2D" w:rsidR="00E30960" w:rsidRDefault="00E30960" w:rsidP="00215867">
      <w:pPr>
        <w:pStyle w:val="Paragraphedeliste"/>
        <w:numPr>
          <w:ilvl w:val="0"/>
          <w:numId w:val="231"/>
        </w:numPr>
        <w:spacing w:before="120" w:after="120"/>
        <w:jc w:val="both"/>
        <w:rPr>
          <w:rFonts w:ascii="Times New Roman" w:hAnsi="Times New Roman"/>
          <w:sz w:val="24"/>
        </w:rPr>
      </w:pPr>
      <w:r>
        <w:rPr>
          <w:rFonts w:ascii="Times New Roman" w:hAnsi="Times New Roman"/>
          <w:sz w:val="24"/>
        </w:rPr>
        <w:t>La conductivité (</w:t>
      </w:r>
      <w:r w:rsidRPr="007F4B1E">
        <w:rPr>
          <w:rFonts w:ascii="Times New Roman" w:hAnsi="Times New Roman"/>
          <w:sz w:val="24"/>
        </w:rPr>
        <w:t>(μS/cm)</w:t>
      </w:r>
      <w:r>
        <w:rPr>
          <w:rFonts w:ascii="Times New Roman" w:hAnsi="Times New Roman"/>
          <w:sz w:val="24"/>
        </w:rPr>
        <w:t>.</w:t>
      </w:r>
    </w:p>
    <w:p w14:paraId="4901F580" w14:textId="32EF5614" w:rsidR="00E30960" w:rsidRDefault="00E30960" w:rsidP="00E30960">
      <w:pPr>
        <w:spacing w:before="120" w:after="120"/>
        <w:jc w:val="both"/>
        <w:rPr>
          <w:rFonts w:ascii="Times New Roman" w:hAnsi="Times New Roman"/>
          <w:sz w:val="24"/>
        </w:rPr>
      </w:pPr>
      <w:r>
        <w:rPr>
          <w:rFonts w:ascii="Times New Roman" w:hAnsi="Times New Roman"/>
          <w:sz w:val="24"/>
        </w:rPr>
        <w:t xml:space="preserve">Pour les analyses ex-situ, des bidons en plastiques à usage unique ont été remplis </w:t>
      </w:r>
      <w:r w:rsidR="007E54FE">
        <w:rPr>
          <w:rFonts w:ascii="Times New Roman" w:hAnsi="Times New Roman"/>
          <w:sz w:val="24"/>
        </w:rPr>
        <w:t>complé</w:t>
      </w:r>
      <w:r w:rsidR="008067DB">
        <w:rPr>
          <w:rFonts w:ascii="Times New Roman" w:hAnsi="Times New Roman"/>
          <w:sz w:val="24"/>
        </w:rPr>
        <w:t>te</w:t>
      </w:r>
      <w:r w:rsidR="007E54FE">
        <w:rPr>
          <w:rFonts w:ascii="Times New Roman" w:hAnsi="Times New Roman"/>
          <w:sz w:val="24"/>
        </w:rPr>
        <w:t>ment</w:t>
      </w:r>
      <w:r>
        <w:rPr>
          <w:rFonts w:ascii="Times New Roman" w:hAnsi="Times New Roman"/>
          <w:sz w:val="24"/>
        </w:rPr>
        <w:t xml:space="preserve"> afin d’éviter toute présence d’oxygène et réfrigérés à une température de 4° C et enfin mis à l’abri de la lumière dans une glacière. </w:t>
      </w:r>
      <w:r w:rsidR="002D1DE4">
        <w:rPr>
          <w:rFonts w:ascii="Times New Roman" w:hAnsi="Times New Roman"/>
          <w:sz w:val="24"/>
        </w:rPr>
        <w:t>Les paramètres ci-après ont été vérifiés, à savoir : Mg, Ca, Mn, THT, Cl</w:t>
      </w:r>
      <w:r w:rsidR="002D1DE4" w:rsidRPr="00215867">
        <w:rPr>
          <w:rFonts w:ascii="Times New Roman" w:hAnsi="Times New Roman"/>
          <w:sz w:val="24"/>
          <w:vertAlign w:val="subscript"/>
        </w:rPr>
        <w:t>3</w:t>
      </w:r>
      <w:r w:rsidR="002D1DE4">
        <w:rPr>
          <w:rFonts w:ascii="Times New Roman" w:hAnsi="Times New Roman"/>
          <w:sz w:val="24"/>
        </w:rPr>
        <w:t>, NO</w:t>
      </w:r>
      <w:r w:rsidR="002D1DE4" w:rsidRPr="00215867">
        <w:rPr>
          <w:rFonts w:ascii="Times New Roman" w:hAnsi="Times New Roman"/>
          <w:sz w:val="24"/>
          <w:vertAlign w:val="subscript"/>
        </w:rPr>
        <w:t>2</w:t>
      </w:r>
      <w:r w:rsidR="002D1DE4" w:rsidRPr="00215867">
        <w:rPr>
          <w:rFonts w:ascii="Times New Roman" w:hAnsi="Times New Roman"/>
          <w:sz w:val="24"/>
          <w:vertAlign w:val="superscript"/>
        </w:rPr>
        <w:t>-</w:t>
      </w:r>
      <w:r w:rsidR="002D1DE4">
        <w:rPr>
          <w:rFonts w:ascii="Times New Roman" w:hAnsi="Times New Roman"/>
          <w:sz w:val="24"/>
        </w:rPr>
        <w:t>, NO</w:t>
      </w:r>
      <w:r w:rsidR="002D1DE4" w:rsidRPr="00215867">
        <w:rPr>
          <w:rFonts w:ascii="Times New Roman" w:hAnsi="Times New Roman"/>
          <w:sz w:val="24"/>
          <w:vertAlign w:val="subscript"/>
        </w:rPr>
        <w:t>3</w:t>
      </w:r>
      <w:r w:rsidR="002D1DE4" w:rsidRPr="00215867">
        <w:rPr>
          <w:rFonts w:ascii="Times New Roman" w:hAnsi="Times New Roman"/>
          <w:sz w:val="24"/>
          <w:vertAlign w:val="superscript"/>
        </w:rPr>
        <w:t>-</w:t>
      </w:r>
      <w:r w:rsidR="002D1DE4">
        <w:rPr>
          <w:rFonts w:ascii="Times New Roman" w:hAnsi="Times New Roman"/>
          <w:sz w:val="24"/>
        </w:rPr>
        <w:t>, SO</w:t>
      </w:r>
      <w:r w:rsidR="002D1DE4" w:rsidRPr="00215867">
        <w:rPr>
          <w:rFonts w:ascii="Times New Roman" w:hAnsi="Times New Roman"/>
          <w:sz w:val="24"/>
          <w:vertAlign w:val="subscript"/>
        </w:rPr>
        <w:t>4</w:t>
      </w:r>
      <w:r w:rsidR="002D1DE4" w:rsidRPr="00215867">
        <w:rPr>
          <w:rFonts w:ascii="Times New Roman" w:hAnsi="Times New Roman"/>
          <w:sz w:val="24"/>
          <w:vertAlign w:val="superscript"/>
        </w:rPr>
        <w:t>2-</w:t>
      </w:r>
      <w:r w:rsidR="002D1DE4">
        <w:rPr>
          <w:rFonts w:ascii="Times New Roman" w:hAnsi="Times New Roman"/>
          <w:sz w:val="24"/>
        </w:rPr>
        <w:t>, PO</w:t>
      </w:r>
      <w:r w:rsidR="002D1DE4" w:rsidRPr="00215867">
        <w:rPr>
          <w:rFonts w:ascii="Times New Roman" w:hAnsi="Times New Roman"/>
          <w:sz w:val="24"/>
          <w:vertAlign w:val="subscript"/>
        </w:rPr>
        <w:t>4</w:t>
      </w:r>
      <w:r w:rsidR="002D1DE4" w:rsidRPr="00215867">
        <w:rPr>
          <w:rFonts w:ascii="Times New Roman" w:hAnsi="Times New Roman"/>
          <w:sz w:val="24"/>
          <w:vertAlign w:val="superscript"/>
        </w:rPr>
        <w:t>3-</w:t>
      </w:r>
      <w:r w:rsidR="002D1DE4">
        <w:rPr>
          <w:rFonts w:ascii="Times New Roman" w:hAnsi="Times New Roman"/>
          <w:sz w:val="24"/>
        </w:rPr>
        <w:t>, HCO</w:t>
      </w:r>
      <w:r w:rsidR="002D1DE4" w:rsidRPr="00215867">
        <w:rPr>
          <w:rFonts w:ascii="Times New Roman" w:hAnsi="Times New Roman"/>
          <w:sz w:val="24"/>
          <w:vertAlign w:val="subscript"/>
        </w:rPr>
        <w:t>3</w:t>
      </w:r>
      <w:r w:rsidR="002D1DE4" w:rsidRPr="00215867">
        <w:rPr>
          <w:rFonts w:ascii="Times New Roman" w:hAnsi="Times New Roman"/>
          <w:sz w:val="24"/>
          <w:vertAlign w:val="superscript"/>
        </w:rPr>
        <w:t>-</w:t>
      </w:r>
      <w:r w:rsidR="002D1DE4">
        <w:rPr>
          <w:rFonts w:ascii="Times New Roman" w:hAnsi="Times New Roman"/>
          <w:sz w:val="24"/>
        </w:rPr>
        <w:t>, TAC, TA, Matières organiques, Turbidité, Solides totaux dissous, Conductivité, pH, Pb, Ni, Cu ; Cr, N, Germes totaux, Coliformes fécaux, indice de LANGERLIER et les matières en suspension.</w:t>
      </w:r>
    </w:p>
    <w:p w14:paraId="21BC19F3" w14:textId="63714B5E" w:rsidR="002D1DE4" w:rsidRPr="00215867" w:rsidRDefault="002D1DE4" w:rsidP="00215867">
      <w:pPr>
        <w:pStyle w:val="Paragraphedeliste"/>
        <w:numPr>
          <w:ilvl w:val="0"/>
          <w:numId w:val="378"/>
        </w:numPr>
        <w:spacing w:before="120" w:after="120" w:line="240" w:lineRule="auto"/>
        <w:jc w:val="both"/>
        <w:rPr>
          <w:rFonts w:ascii="Times New Roman" w:hAnsi="Times New Roman"/>
          <w:b/>
          <w:i/>
          <w:sz w:val="24"/>
        </w:rPr>
      </w:pPr>
      <w:r w:rsidRPr="00215867">
        <w:rPr>
          <w:rFonts w:ascii="Times New Roman" w:hAnsi="Times New Roman"/>
          <w:b/>
          <w:i/>
          <w:sz w:val="24"/>
        </w:rPr>
        <w:t xml:space="preserve">Stations de </w:t>
      </w:r>
      <w:r w:rsidR="005C271E" w:rsidRPr="005C271E">
        <w:rPr>
          <w:rFonts w:ascii="Times New Roman" w:hAnsi="Times New Roman"/>
          <w:b/>
          <w:i/>
          <w:sz w:val="24"/>
        </w:rPr>
        <w:t>prélèvement</w:t>
      </w:r>
    </w:p>
    <w:p w14:paraId="032313FA" w14:textId="1304C11F" w:rsidR="002D1DE4" w:rsidRPr="00215867" w:rsidRDefault="002D1DE4" w:rsidP="00215867">
      <w:pPr>
        <w:spacing w:after="0" w:line="240" w:lineRule="auto"/>
        <w:jc w:val="both"/>
        <w:rPr>
          <w:rFonts w:ascii="Times New Roman" w:hAnsi="Times New Roman"/>
          <w:sz w:val="24"/>
        </w:rPr>
      </w:pPr>
      <w:r w:rsidRPr="00215867">
        <w:rPr>
          <w:rFonts w:ascii="Times New Roman" w:hAnsi="Times New Roman"/>
          <w:sz w:val="24"/>
        </w:rPr>
        <w:t>Les prélèvements sont réalisés sur 08 (huit) stations qui couvrent au maximum l’ensemble des tracés repartis dans le district de Lukunga aussi bien dans la commune de Mont-Ngafula vers Mitendi, Kimwenza, Badiadingi que dans la commune de Ngaliema aux quartiers Pompage, Ozone, Mbudi ou encore à Kintambo Magasin pour la commune de Kintambo.</w:t>
      </w:r>
    </w:p>
    <w:p w14:paraId="73C213EA" w14:textId="77777777" w:rsidR="002D1DE4" w:rsidRPr="00215867" w:rsidRDefault="002D1DE4" w:rsidP="00215867">
      <w:pPr>
        <w:spacing w:before="120" w:after="120"/>
        <w:jc w:val="both"/>
        <w:rPr>
          <w:rFonts w:ascii="Times New Roman" w:hAnsi="Times New Roman"/>
          <w:sz w:val="24"/>
        </w:rPr>
      </w:pPr>
      <w:r w:rsidRPr="00215867">
        <w:rPr>
          <w:rFonts w:ascii="Times New Roman" w:hAnsi="Times New Roman"/>
          <w:sz w:val="24"/>
        </w:rPr>
        <w:t>Pratiquement, deux bassins versants ont attiré notre attention quant aux impacts pouvant découler des travaux issus du projet EASE, et il s’agit bien du bassin versant de la Lukaya et du bassin de la Lukunga. Il est notamment apprécié l’influence des différents rejets domestiques et parfois industriels sur les rivières (station d’épuration, mauvais branchements sur le réseau pluvial, rejets directs d’eaux usées en rivière…), ainsi que l’impact de ces derniers entre eux, après leur confluence.</w:t>
      </w:r>
    </w:p>
    <w:p w14:paraId="3A0D9F94" w14:textId="43D57763" w:rsidR="002D1DE4" w:rsidRDefault="005C271E" w:rsidP="00215867">
      <w:pPr>
        <w:spacing w:before="120" w:after="120" w:line="240" w:lineRule="auto"/>
        <w:jc w:val="both"/>
        <w:rPr>
          <w:rFonts w:ascii="Times New Roman" w:hAnsi="Times New Roman"/>
          <w:sz w:val="24"/>
        </w:rPr>
      </w:pPr>
      <w:r>
        <w:rPr>
          <w:rFonts w:ascii="Times New Roman" w:hAnsi="Times New Roman"/>
          <w:sz w:val="24"/>
        </w:rPr>
        <w:t xml:space="preserve">L’eau a été </w:t>
      </w:r>
      <w:r w:rsidR="007E54FE">
        <w:rPr>
          <w:rFonts w:ascii="Times New Roman" w:hAnsi="Times New Roman"/>
          <w:sz w:val="24"/>
        </w:rPr>
        <w:t>prélevée</w:t>
      </w:r>
      <w:r>
        <w:rPr>
          <w:rFonts w:ascii="Times New Roman" w:hAnsi="Times New Roman"/>
          <w:sz w:val="24"/>
        </w:rPr>
        <w:t xml:space="preserve"> dans les rivières, le robinet, puits et forages existants dans la zone du projet.</w:t>
      </w:r>
    </w:p>
    <w:p w14:paraId="23372C77" w14:textId="0508A1AE" w:rsidR="007E54FE" w:rsidRPr="00215867" w:rsidRDefault="007E54FE" w:rsidP="00215867">
      <w:pPr>
        <w:spacing w:before="120" w:after="120" w:line="240" w:lineRule="auto"/>
        <w:jc w:val="both"/>
        <w:rPr>
          <w:rFonts w:ascii="Times New Roman" w:hAnsi="Times New Roman"/>
          <w:sz w:val="24"/>
        </w:rPr>
      </w:pPr>
      <w:r>
        <w:rPr>
          <w:rFonts w:ascii="Times New Roman" w:hAnsi="Times New Roman"/>
          <w:sz w:val="24"/>
        </w:rPr>
        <w:t xml:space="preserve">Les figures </w:t>
      </w:r>
      <w:r w:rsidR="00F119F9">
        <w:rPr>
          <w:rFonts w:ascii="Times New Roman" w:hAnsi="Times New Roman"/>
          <w:sz w:val="24"/>
        </w:rPr>
        <w:t>7</w:t>
      </w:r>
      <w:r>
        <w:rPr>
          <w:rFonts w:ascii="Times New Roman" w:hAnsi="Times New Roman"/>
          <w:sz w:val="24"/>
        </w:rPr>
        <w:t>,</w:t>
      </w:r>
      <w:r w:rsidR="00F119F9">
        <w:rPr>
          <w:rFonts w:ascii="Times New Roman" w:hAnsi="Times New Roman"/>
          <w:sz w:val="24"/>
        </w:rPr>
        <w:t>8</w:t>
      </w:r>
      <w:r>
        <w:rPr>
          <w:rFonts w:ascii="Times New Roman" w:hAnsi="Times New Roman"/>
          <w:sz w:val="24"/>
        </w:rPr>
        <w:t xml:space="preserve"> et </w:t>
      </w:r>
      <w:r w:rsidR="00F119F9">
        <w:rPr>
          <w:rFonts w:ascii="Times New Roman" w:hAnsi="Times New Roman"/>
          <w:sz w:val="24"/>
        </w:rPr>
        <w:t>9</w:t>
      </w:r>
      <w:r>
        <w:rPr>
          <w:rFonts w:ascii="Times New Roman" w:hAnsi="Times New Roman"/>
          <w:sz w:val="24"/>
        </w:rPr>
        <w:t xml:space="preserve"> illustres les points de </w:t>
      </w:r>
      <w:r w:rsidR="00B72E32">
        <w:rPr>
          <w:rFonts w:ascii="Times New Roman" w:hAnsi="Times New Roman"/>
          <w:sz w:val="24"/>
        </w:rPr>
        <w:t>prélèvement</w:t>
      </w:r>
      <w:r>
        <w:rPr>
          <w:rFonts w:ascii="Times New Roman" w:hAnsi="Times New Roman"/>
          <w:sz w:val="24"/>
        </w:rPr>
        <w:t xml:space="preserve"> des échantillons. </w:t>
      </w:r>
    </w:p>
    <w:p w14:paraId="6CE7861B" w14:textId="491724E3" w:rsidR="005D25FB" w:rsidRDefault="00E30960" w:rsidP="005D25FB">
      <w:pPr>
        <w:spacing w:before="120" w:after="120"/>
        <w:jc w:val="both"/>
        <w:rPr>
          <w:rFonts w:ascii="Times New Roman" w:hAnsi="Times New Roman"/>
          <w:sz w:val="24"/>
        </w:rPr>
      </w:pPr>
      <w:r>
        <w:rPr>
          <w:rFonts w:ascii="Times New Roman" w:hAnsi="Times New Roman"/>
          <w:sz w:val="24"/>
        </w:rPr>
        <w:t xml:space="preserve"> </w:t>
      </w:r>
    </w:p>
    <w:p w14:paraId="05C260FB" w14:textId="7883CEA8" w:rsidR="00143EF0" w:rsidRDefault="006F432E" w:rsidP="00143EF0">
      <w:pPr>
        <w:spacing w:before="120" w:after="120" w:line="240" w:lineRule="auto"/>
        <w:jc w:val="both"/>
        <w:rPr>
          <w:rFonts w:ascii="Times New Roman" w:hAnsi="Times New Roman"/>
          <w:iCs/>
          <w:sz w:val="24"/>
          <w:szCs w:val="24"/>
        </w:rPr>
      </w:pPr>
      <w:r>
        <w:rPr>
          <w:rFonts w:ascii="Times New Roman" w:hAnsi="Times New Roman"/>
          <w:iCs/>
          <w:sz w:val="24"/>
          <w:szCs w:val="24"/>
        </w:rPr>
        <w:t xml:space="preserve"> </w:t>
      </w:r>
    </w:p>
    <w:p w14:paraId="0D0F2F77" w14:textId="77777777" w:rsidR="00143EF0" w:rsidRDefault="00143EF0" w:rsidP="00143EF0">
      <w:pPr>
        <w:spacing w:before="120" w:after="120" w:line="240" w:lineRule="auto"/>
        <w:jc w:val="both"/>
        <w:rPr>
          <w:rFonts w:ascii="Times New Roman" w:hAnsi="Times New Roman"/>
          <w:iCs/>
          <w:sz w:val="24"/>
          <w:szCs w:val="24"/>
        </w:rPr>
      </w:pPr>
    </w:p>
    <w:p w14:paraId="1A9C9723" w14:textId="77777777" w:rsidR="00143EF0" w:rsidRDefault="00143EF0" w:rsidP="00143EF0">
      <w:pPr>
        <w:spacing w:before="120" w:after="120" w:line="240" w:lineRule="auto"/>
        <w:jc w:val="both"/>
        <w:rPr>
          <w:rFonts w:ascii="Times New Roman" w:hAnsi="Times New Roman"/>
          <w:iCs/>
          <w:sz w:val="24"/>
          <w:szCs w:val="24"/>
        </w:rPr>
      </w:pPr>
    </w:p>
    <w:p w14:paraId="045EE852" w14:textId="47CB8554" w:rsidR="00143EF0" w:rsidRDefault="002C66D7" w:rsidP="000A6843">
      <w:pPr>
        <w:spacing w:after="0" w:line="240" w:lineRule="auto"/>
        <w:jc w:val="both"/>
        <w:rPr>
          <w:noProof/>
          <w:sz w:val="24"/>
          <w:lang w:eastAsia="fr-FR"/>
        </w:rPr>
      </w:pPr>
      <w:r>
        <w:rPr>
          <w:noProof/>
          <w:lang w:eastAsia="fr-FR"/>
        </w:rPr>
        <mc:AlternateContent>
          <mc:Choice Requires="wps">
            <w:drawing>
              <wp:anchor distT="0" distB="0" distL="114300" distR="114300" simplePos="0" relativeHeight="251654656" behindDoc="0" locked="0" layoutInCell="1" allowOverlap="1" wp14:anchorId="5D74EF71" wp14:editId="72CD448B">
                <wp:simplePos x="0" y="0"/>
                <wp:positionH relativeFrom="column">
                  <wp:posOffset>4037965</wp:posOffset>
                </wp:positionH>
                <wp:positionV relativeFrom="paragraph">
                  <wp:posOffset>60325</wp:posOffset>
                </wp:positionV>
                <wp:extent cx="1859280" cy="2834640"/>
                <wp:effectExtent l="1181100" t="38100" r="0" b="41910"/>
                <wp:wrapNone/>
                <wp:docPr id="11" name="Line Callout 1 (Accent Bar)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9280" cy="2834640"/>
                        </a:xfrm>
                        <a:prstGeom prst="accentCallout1">
                          <a:avLst>
                            <a:gd name="adj1" fmla="val 18750"/>
                            <a:gd name="adj2" fmla="val -8333"/>
                            <a:gd name="adj3" fmla="val 40995"/>
                            <a:gd name="adj4" fmla="val -88333"/>
                          </a:avLst>
                        </a:prstGeom>
                        <a:noFill/>
                        <a:ln w="28575" cap="flat" cmpd="sng" algn="ctr">
                          <a:solidFill>
                            <a:srgbClr val="FF0000"/>
                          </a:solidFill>
                          <a:prstDash val="solid"/>
                          <a:miter lim="800000"/>
                        </a:ln>
                        <a:effectLst/>
                      </wps:spPr>
                      <wps:txbx>
                        <w:txbxContent>
                          <w:p w14:paraId="65A3077C" w14:textId="77777777" w:rsidR="0075784E" w:rsidRDefault="0075784E" w:rsidP="00143E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D74EF7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25" o:spid="_x0000_s1027" type="#_x0000_t44" style="position:absolute;left:0;text-align:left;margin-left:317.95pt;margin-top:4.75pt;width:146.4pt;height:223.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" adj="-19080,8855" filled="f" strokecolor="red" strokeweight="2.25pt">
                <v:textbox>
                  <w:txbxContent>
                    <w:p w14:paraId="65A3077C" w14:textId="77777777" w:rsidR="0075784E" w:rsidRDefault="0075784E" w:rsidP="00143EF0">
                      <w:pPr>
                        <w:jc w:val="center"/>
                      </w:pPr>
                    </w:p>
                  </w:txbxContent>
                </v:textbox>
                <o:callout v:ext="edit" minusy="t"/>
              </v:shape>
            </w:pict>
          </mc:Fallback>
        </mc:AlternateContent>
      </w:r>
      <w:r w:rsidRPr="00EC5A8E">
        <w:rPr>
          <w:noProof/>
          <w:lang w:eastAsia="fr-FR"/>
        </w:rPr>
        <w:drawing>
          <wp:inline distT="0" distB="0" distL="0" distR="0" wp14:anchorId="1EB033CF" wp14:editId="1F3EBFC5">
            <wp:extent cx="3838575" cy="2790825"/>
            <wp:effectExtent l="0" t="0" r="9525" b="9525"/>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l="22884" t="8434" r="420" b="5380"/>
                    <a:stretch>
                      <a:fillRect/>
                    </a:stretch>
                  </pic:blipFill>
                  <pic:spPr bwMode="auto">
                    <a:xfrm>
                      <a:off x="0" y="0"/>
                      <a:ext cx="3838575" cy="2790825"/>
                    </a:xfrm>
                    <a:prstGeom prst="rect">
                      <a:avLst/>
                    </a:prstGeom>
                    <a:noFill/>
                    <a:ln>
                      <a:noFill/>
                    </a:ln>
                  </pic:spPr>
                </pic:pic>
              </a:graphicData>
            </a:graphic>
          </wp:inline>
        </w:drawing>
      </w:r>
      <w:r w:rsidR="00143EF0">
        <w:rPr>
          <w:noProof/>
          <w:sz w:val="24"/>
          <w:lang w:eastAsia="fr-FR"/>
        </w:rPr>
        <w:t xml:space="preserve">     </w:t>
      </w:r>
      <w:r w:rsidRPr="00215867">
        <w:rPr>
          <w:noProof/>
          <w:sz w:val="24"/>
          <w:lang w:eastAsia="fr-FR"/>
        </w:rPr>
        <w:drawing>
          <wp:inline distT="0" distB="0" distL="0" distR="0" wp14:anchorId="433952EB" wp14:editId="6A57A983">
            <wp:extent cx="1657350" cy="2581275"/>
            <wp:effectExtent l="0" t="0" r="0" b="9525"/>
            <wp:docPr id="38" name="Picture 23" descr="C:\Users\Admin\Pictures\2021-07\20210716_10718PM_21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Pictures\2021-07\20210716_10718PM_21_ByGPSMapCamer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2581275"/>
                    </a:xfrm>
                    <a:prstGeom prst="rect">
                      <a:avLst/>
                    </a:prstGeom>
                    <a:noFill/>
                    <a:ln>
                      <a:noFill/>
                    </a:ln>
                  </pic:spPr>
                </pic:pic>
              </a:graphicData>
            </a:graphic>
          </wp:inline>
        </w:drawing>
      </w:r>
    </w:p>
    <w:p w14:paraId="480333A8" w14:textId="23D8C9B1" w:rsidR="00143EF0" w:rsidRPr="00215867" w:rsidRDefault="000A6843" w:rsidP="00143EF0">
      <w:pPr>
        <w:spacing w:after="0" w:line="240" w:lineRule="auto"/>
        <w:jc w:val="both"/>
        <w:rPr>
          <w:rStyle w:val="Emphaseintense"/>
          <w:rFonts w:ascii="Times New Roman" w:hAnsi="Times New Roman"/>
          <w:sz w:val="24"/>
        </w:rPr>
      </w:pPr>
      <w:bookmarkStart w:id="451" w:name="_Toc93050535"/>
      <w:r w:rsidRPr="00215867">
        <w:rPr>
          <w:rStyle w:val="Emphaseintense"/>
          <w:rFonts w:ascii="Times New Roman" w:hAnsi="Times New Roman"/>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sidR="00A86929">
        <w:rPr>
          <w:rStyle w:val="Emphaseintense"/>
          <w:rFonts w:ascii="Times New Roman" w:hAnsi="Times New Roman"/>
          <w:noProof/>
          <w:sz w:val="24"/>
        </w:rPr>
        <w:t>8</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215867">
        <w:rPr>
          <w:rStyle w:val="Emphaseintense"/>
          <w:rFonts w:ascii="Times New Roman" w:hAnsi="Times New Roman"/>
        </w:rPr>
        <w:t xml:space="preserve"> </w:t>
      </w:r>
      <w:r w:rsidR="00143EF0" w:rsidRPr="00215867">
        <w:rPr>
          <w:rStyle w:val="Emphaseintense"/>
          <w:rFonts w:ascii="Times New Roman" w:hAnsi="Times New Roman"/>
          <w:sz w:val="24"/>
        </w:rPr>
        <w:t>Vue satellitaire du Quartier Kimvula/Mitendi</w:t>
      </w:r>
      <w:bookmarkEnd w:id="451"/>
      <w:r w:rsidR="00143EF0" w:rsidRPr="00215867">
        <w:rPr>
          <w:rStyle w:val="Emphaseintense"/>
          <w:rFonts w:ascii="Times New Roman" w:hAnsi="Times New Roman"/>
          <w:sz w:val="24"/>
        </w:rPr>
        <w:t xml:space="preserve"> </w:t>
      </w:r>
    </w:p>
    <w:p w14:paraId="3DE191C4" w14:textId="4EBE4465" w:rsidR="00143EF0" w:rsidRDefault="000A6843" w:rsidP="00F119F9">
      <w:pPr>
        <w:spacing w:before="120" w:after="40" w:line="240" w:lineRule="auto"/>
        <w:jc w:val="both"/>
        <w:rPr>
          <w:rStyle w:val="Emphaseintense"/>
        </w:rPr>
      </w:pPr>
      <w:bookmarkStart w:id="452" w:name="_Toc93050536"/>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sidR="00A86929">
        <w:rPr>
          <w:rStyle w:val="Emphaseintense"/>
          <w:rFonts w:ascii="Times New Roman" w:hAnsi="Times New Roman"/>
          <w:noProof/>
          <w:sz w:val="24"/>
        </w:rPr>
        <w:t>9</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00143EF0" w:rsidRPr="00493BA6">
        <w:rPr>
          <w:rStyle w:val="Emphaseintense"/>
        </w:rPr>
        <w:t xml:space="preserve"> </w:t>
      </w:r>
      <w:r w:rsidR="00143EF0" w:rsidRPr="00215867">
        <w:rPr>
          <w:rStyle w:val="Emphaseintense"/>
          <w:rFonts w:ascii="Times New Roman" w:hAnsi="Times New Roman"/>
          <w:sz w:val="24"/>
        </w:rPr>
        <w:t>Gros plan (à droite) sur la station de prélèvement de la source artésienne de Matsuku</w:t>
      </w:r>
      <w:bookmarkEnd w:id="452"/>
      <w:r w:rsidR="00143EF0" w:rsidRPr="00493BA6">
        <w:rPr>
          <w:rStyle w:val="Emphaseintense"/>
        </w:rPr>
        <w:t xml:space="preserve"> </w:t>
      </w:r>
    </w:p>
    <w:p w14:paraId="11A1EEF6" w14:textId="7C98AECC" w:rsidR="00143EF0" w:rsidRDefault="002C66D7" w:rsidP="00143EF0">
      <w:pPr>
        <w:spacing w:after="0" w:line="240" w:lineRule="auto"/>
        <w:jc w:val="both"/>
        <w:rPr>
          <w:noProof/>
          <w:sz w:val="24"/>
          <w:lang w:eastAsia="fr-FR"/>
        </w:rPr>
      </w:pPr>
      <w:r>
        <w:rPr>
          <w:noProof/>
          <w:lang w:eastAsia="fr-FR"/>
        </w:rPr>
        <mc:AlternateContent>
          <mc:Choice Requires="wps">
            <w:drawing>
              <wp:anchor distT="0" distB="0" distL="114300" distR="114300" simplePos="0" relativeHeight="251648512" behindDoc="0" locked="0" layoutInCell="1" allowOverlap="1" wp14:anchorId="2E6DA91A" wp14:editId="081A8623">
                <wp:simplePos x="0" y="0"/>
                <wp:positionH relativeFrom="column">
                  <wp:posOffset>145415</wp:posOffset>
                </wp:positionH>
                <wp:positionV relativeFrom="paragraph">
                  <wp:posOffset>1143000</wp:posOffset>
                </wp:positionV>
                <wp:extent cx="1412875" cy="2197100"/>
                <wp:effectExtent l="0" t="0" r="15875" b="12700"/>
                <wp:wrapNone/>
                <wp:docPr id="1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2875" cy="2197100"/>
                        </a:xfrm>
                        <a:custGeom>
                          <a:avLst/>
                          <a:gdLst>
                            <a:gd name="connsiteX0" fmla="*/ 1413163 w 1413163"/>
                            <a:gd name="connsiteY0" fmla="*/ 2196935 h 2196935"/>
                            <a:gd name="connsiteX1" fmla="*/ 1187532 w 1413163"/>
                            <a:gd name="connsiteY1" fmla="*/ 1923802 h 2196935"/>
                            <a:gd name="connsiteX2" fmla="*/ 973776 w 1413163"/>
                            <a:gd name="connsiteY2" fmla="*/ 1591293 h 2196935"/>
                            <a:gd name="connsiteX3" fmla="*/ 843148 w 1413163"/>
                            <a:gd name="connsiteY3" fmla="*/ 1235034 h 2196935"/>
                            <a:gd name="connsiteX4" fmla="*/ 819397 w 1413163"/>
                            <a:gd name="connsiteY4" fmla="*/ 973776 h 2196935"/>
                            <a:gd name="connsiteX5" fmla="*/ 676893 w 1413163"/>
                            <a:gd name="connsiteY5" fmla="*/ 665018 h 2196935"/>
                            <a:gd name="connsiteX6" fmla="*/ 475013 w 1413163"/>
                            <a:gd name="connsiteY6" fmla="*/ 427512 h 2196935"/>
                            <a:gd name="connsiteX7" fmla="*/ 261257 w 1413163"/>
                            <a:gd name="connsiteY7" fmla="*/ 178130 h 2196935"/>
                            <a:gd name="connsiteX8" fmla="*/ 0 w 1413163"/>
                            <a:gd name="connsiteY8" fmla="*/ 0 h 2196935"/>
                            <a:gd name="connsiteX9" fmla="*/ 0 w 1413163"/>
                            <a:gd name="connsiteY9" fmla="*/ 0 h 21969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13163" h="2196935">
                              <a:moveTo>
                                <a:pt x="1413163" y="2196935"/>
                              </a:moveTo>
                              <a:cubicBezTo>
                                <a:pt x="1336963" y="2110838"/>
                                <a:pt x="1260763" y="2024742"/>
                                <a:pt x="1187532" y="1923802"/>
                              </a:cubicBezTo>
                              <a:cubicBezTo>
                                <a:pt x="1114301" y="1822862"/>
                                <a:pt x="1031173" y="1706088"/>
                                <a:pt x="973776" y="1591293"/>
                              </a:cubicBezTo>
                              <a:cubicBezTo>
                                <a:pt x="916379" y="1476498"/>
                                <a:pt x="868878" y="1337953"/>
                                <a:pt x="843148" y="1235034"/>
                              </a:cubicBezTo>
                              <a:cubicBezTo>
                                <a:pt x="817418" y="1132115"/>
                                <a:pt x="847106" y="1068779"/>
                                <a:pt x="819397" y="973776"/>
                              </a:cubicBezTo>
                              <a:cubicBezTo>
                                <a:pt x="791688" y="878773"/>
                                <a:pt x="734290" y="756062"/>
                                <a:pt x="676893" y="665018"/>
                              </a:cubicBezTo>
                              <a:cubicBezTo>
                                <a:pt x="619496" y="573974"/>
                                <a:pt x="475013" y="427512"/>
                                <a:pt x="475013" y="427512"/>
                              </a:cubicBezTo>
                              <a:cubicBezTo>
                                <a:pt x="405740" y="346364"/>
                                <a:pt x="340426" y="249382"/>
                                <a:pt x="261257" y="178130"/>
                              </a:cubicBezTo>
                              <a:cubicBezTo>
                                <a:pt x="182088" y="106878"/>
                                <a:pt x="0" y="0"/>
                                <a:pt x="0" y="0"/>
                              </a:cubicBezTo>
                              <a:lnTo>
                                <a:pt x="0" y="0"/>
                              </a:lnTo>
                            </a:path>
                          </a:pathLst>
                        </a:cu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FB2293" id="Freeform 13" o:spid="_x0000_s1026" style="position:absolute;margin-left:11.45pt;margin-top:90pt;width:111.25pt;height:17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413163,2196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" path="m1413163,2196935v-76200,-86097,-152400,-172193,-225631,-273133c1114301,1822862,1031173,1706088,973776,1591293,916379,1476498,868878,1337953,843148,1235034v-25730,-102919,3958,-166255,-23751,-261258c791688,878773,734290,756062,676893,665018,619496,573974,475013,427512,475013,427512,405740,346364,340426,249382,261257,178130,182088,106878,,,,l,e" filled="f" strokecolor="red" strokeweight="3pt">
                <v:stroke joinstyle="miter"/>
                <v:path arrowok="t" o:connecttype="custom" o:connectlocs="1412875,2197100;1187290,1923946;973578,1591413;842976,1235127;819230,973849;676755,665068;474916,427544;261204,178143;0,0;0,0" o:connectangles="0,0,0,0,0,0,0,0,0,0"/>
              </v:shape>
            </w:pict>
          </mc:Fallback>
        </mc:AlternateContent>
      </w:r>
      <w:r w:rsidRPr="00420C1B">
        <w:rPr>
          <w:noProof/>
          <w:sz w:val="24"/>
          <w:lang w:eastAsia="fr-FR"/>
        </w:rPr>
        <w:drawing>
          <wp:inline distT="0" distB="0" distL="0" distR="0" wp14:anchorId="7CE1711E" wp14:editId="5A5C9FC6">
            <wp:extent cx="5676900" cy="3400425"/>
            <wp:effectExtent l="0" t="0" r="0" b="9525"/>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6900" cy="3400425"/>
                    </a:xfrm>
                    <a:prstGeom prst="rect">
                      <a:avLst/>
                    </a:prstGeom>
                    <a:noFill/>
                    <a:ln>
                      <a:noFill/>
                    </a:ln>
                  </pic:spPr>
                </pic:pic>
              </a:graphicData>
            </a:graphic>
          </wp:inline>
        </w:drawing>
      </w:r>
    </w:p>
    <w:p w14:paraId="0C591648" w14:textId="25A6C7EC" w:rsidR="00143EF0" w:rsidRPr="00215867" w:rsidRDefault="000A6843" w:rsidP="000A6843">
      <w:pPr>
        <w:spacing w:before="120" w:after="40" w:line="240" w:lineRule="auto"/>
        <w:jc w:val="both"/>
        <w:rPr>
          <w:rStyle w:val="Emphaseintense"/>
          <w:rFonts w:ascii="Times New Roman" w:hAnsi="Times New Roman"/>
          <w:sz w:val="24"/>
        </w:rPr>
      </w:pPr>
      <w:bookmarkStart w:id="453" w:name="_Toc93050537"/>
      <w:r w:rsidRPr="007F1CD9">
        <w:rPr>
          <w:rStyle w:val="Emphaseintense"/>
          <w:rFonts w:ascii="Times New Roman" w:hAnsi="Times New Roman"/>
          <w:sz w:val="24"/>
        </w:rPr>
        <w:t xml:space="preserve">Figure </w:t>
      </w:r>
      <w:r w:rsidRPr="000A6843">
        <w:rPr>
          <w:rStyle w:val="Emphaseintense"/>
          <w:rFonts w:ascii="Times New Roman" w:hAnsi="Times New Roman"/>
          <w:sz w:val="24"/>
        </w:rPr>
        <w:fldChar w:fldCharType="begin"/>
      </w:r>
      <w:r w:rsidRPr="000A6843">
        <w:rPr>
          <w:rStyle w:val="Emphaseintense"/>
          <w:rFonts w:ascii="Times New Roman" w:hAnsi="Times New Roman"/>
          <w:sz w:val="24"/>
        </w:rPr>
        <w:instrText xml:space="preserve"> SEQ Figure \* ARABIC </w:instrText>
      </w:r>
      <w:r w:rsidRPr="000A6843">
        <w:rPr>
          <w:rStyle w:val="Emphaseintense"/>
          <w:rFonts w:ascii="Times New Roman" w:hAnsi="Times New Roman"/>
          <w:sz w:val="24"/>
        </w:rPr>
        <w:fldChar w:fldCharType="separate"/>
      </w:r>
      <w:r w:rsidR="00A86929">
        <w:rPr>
          <w:rStyle w:val="Emphaseintense"/>
          <w:rFonts w:ascii="Times New Roman" w:hAnsi="Times New Roman"/>
          <w:noProof/>
          <w:sz w:val="24"/>
        </w:rPr>
        <w:t>10</w:t>
      </w:r>
      <w:r w:rsidRPr="000A6843">
        <w:rPr>
          <w:rStyle w:val="Emphaseintense"/>
          <w:rFonts w:ascii="Times New Roman" w:hAnsi="Times New Roman"/>
          <w:sz w:val="24"/>
        </w:rPr>
        <w:fldChar w:fldCharType="end"/>
      </w:r>
      <w:r w:rsidRPr="000A6843">
        <w:rPr>
          <w:rStyle w:val="Emphaseintense"/>
          <w:rFonts w:ascii="Times New Roman" w:hAnsi="Times New Roman"/>
          <w:iCs w:val="0"/>
          <w:sz w:val="24"/>
        </w:rPr>
        <w:t>.</w:t>
      </w:r>
      <w:r w:rsidRPr="00493BA6">
        <w:rPr>
          <w:rStyle w:val="Emphaseintense"/>
        </w:rPr>
        <w:t xml:space="preserve"> </w:t>
      </w:r>
      <w:r w:rsidR="00143EF0" w:rsidRPr="00215867">
        <w:rPr>
          <w:rStyle w:val="Emphaseintense"/>
          <w:rFonts w:ascii="Times New Roman" w:hAnsi="Times New Roman"/>
          <w:sz w:val="24"/>
        </w:rPr>
        <w:t>Vue en 3D de la station de prélèvement Matsuku (en rouge tracé ligne MT EASE)</w:t>
      </w:r>
      <w:bookmarkEnd w:id="453"/>
    </w:p>
    <w:p w14:paraId="106A691E" w14:textId="4A66B8D6" w:rsidR="00842F58" w:rsidRPr="003512EC" w:rsidRDefault="00842F58" w:rsidP="00E737B4">
      <w:pPr>
        <w:spacing w:before="120" w:after="120" w:line="240" w:lineRule="auto"/>
        <w:rPr>
          <w:rFonts w:ascii="Times New Roman" w:hAnsi="Times New Roman"/>
          <w:sz w:val="24"/>
          <w:szCs w:val="24"/>
        </w:rPr>
      </w:pPr>
      <w:r w:rsidRPr="003512EC">
        <w:rPr>
          <w:rFonts w:ascii="Times New Roman" w:hAnsi="Times New Roman"/>
          <w:sz w:val="24"/>
          <w:szCs w:val="24"/>
        </w:rPr>
        <w:t>Les tableau</w:t>
      </w:r>
      <w:r w:rsidR="0011561D">
        <w:rPr>
          <w:rFonts w:ascii="Times New Roman" w:hAnsi="Times New Roman"/>
          <w:sz w:val="24"/>
          <w:szCs w:val="24"/>
        </w:rPr>
        <w:t>x</w:t>
      </w:r>
      <w:r w:rsidRPr="003512EC">
        <w:rPr>
          <w:rFonts w:ascii="Times New Roman" w:hAnsi="Times New Roman"/>
          <w:sz w:val="24"/>
          <w:szCs w:val="24"/>
        </w:rPr>
        <w:t xml:space="preserve"> </w:t>
      </w:r>
      <w:r w:rsidR="00E732DD">
        <w:rPr>
          <w:rFonts w:ascii="Times New Roman" w:hAnsi="Times New Roman"/>
          <w:sz w:val="24"/>
          <w:szCs w:val="24"/>
        </w:rPr>
        <w:t>1</w:t>
      </w:r>
      <w:r w:rsidR="00FC1122">
        <w:rPr>
          <w:rFonts w:ascii="Times New Roman" w:hAnsi="Times New Roman"/>
          <w:sz w:val="24"/>
          <w:szCs w:val="24"/>
        </w:rPr>
        <w:t>2</w:t>
      </w:r>
      <w:r w:rsidR="00E732DD" w:rsidRPr="003512EC">
        <w:rPr>
          <w:rFonts w:ascii="Times New Roman" w:hAnsi="Times New Roman"/>
          <w:sz w:val="24"/>
          <w:szCs w:val="24"/>
        </w:rPr>
        <w:t xml:space="preserve"> </w:t>
      </w:r>
      <w:r w:rsidRPr="003512EC">
        <w:rPr>
          <w:rFonts w:ascii="Times New Roman" w:hAnsi="Times New Roman"/>
          <w:sz w:val="24"/>
          <w:szCs w:val="24"/>
        </w:rPr>
        <w:t xml:space="preserve">et </w:t>
      </w:r>
      <w:r w:rsidR="00E732DD">
        <w:rPr>
          <w:rFonts w:ascii="Times New Roman" w:hAnsi="Times New Roman"/>
          <w:sz w:val="24"/>
          <w:szCs w:val="24"/>
        </w:rPr>
        <w:t>1</w:t>
      </w:r>
      <w:r w:rsidR="00FC1122">
        <w:rPr>
          <w:rFonts w:ascii="Times New Roman" w:hAnsi="Times New Roman"/>
          <w:sz w:val="24"/>
          <w:szCs w:val="24"/>
        </w:rPr>
        <w:t>3</w:t>
      </w:r>
      <w:r w:rsidR="00E732DD" w:rsidRPr="003512EC">
        <w:rPr>
          <w:rFonts w:ascii="Times New Roman" w:hAnsi="Times New Roman"/>
          <w:sz w:val="24"/>
          <w:szCs w:val="24"/>
        </w:rPr>
        <w:t xml:space="preserve"> </w:t>
      </w:r>
      <w:r w:rsidRPr="003512EC">
        <w:rPr>
          <w:rFonts w:ascii="Times New Roman" w:hAnsi="Times New Roman"/>
          <w:sz w:val="24"/>
          <w:szCs w:val="24"/>
        </w:rPr>
        <w:t>donnent respectivement les normes ISO et les résultats de l’analyse de l’eau.</w:t>
      </w:r>
    </w:p>
    <w:p w14:paraId="5D4F6A41" w14:textId="61CDD137" w:rsidR="0015245E" w:rsidRPr="00E737B4" w:rsidRDefault="0015245E" w:rsidP="00E737B4">
      <w:pPr>
        <w:pStyle w:val="Lgende"/>
        <w:spacing w:before="120" w:after="120"/>
        <w:jc w:val="center"/>
        <w:rPr>
          <w:rStyle w:val="Emphaseintense"/>
          <w:sz w:val="24"/>
          <w:szCs w:val="24"/>
        </w:rPr>
      </w:pPr>
      <w:bookmarkStart w:id="454" w:name="_Toc93050274"/>
      <w:r w:rsidRPr="00E737B4">
        <w:rPr>
          <w:sz w:val="24"/>
          <w:szCs w:val="24"/>
        </w:rPr>
        <w:t xml:space="preserve">Tableau </w:t>
      </w:r>
      <w:r w:rsidR="00564B43" w:rsidRPr="00E737B4">
        <w:rPr>
          <w:noProof/>
          <w:sz w:val="24"/>
          <w:szCs w:val="24"/>
        </w:rPr>
        <w:fldChar w:fldCharType="begin"/>
      </w:r>
      <w:r w:rsidR="00564B43" w:rsidRPr="00E737B4">
        <w:rPr>
          <w:noProof/>
          <w:sz w:val="24"/>
          <w:szCs w:val="24"/>
        </w:rPr>
        <w:instrText xml:space="preserve"> SEQ Tableau \* ARABIC </w:instrText>
      </w:r>
      <w:r w:rsidR="00564B43" w:rsidRPr="00E737B4">
        <w:rPr>
          <w:noProof/>
          <w:sz w:val="24"/>
          <w:szCs w:val="24"/>
        </w:rPr>
        <w:fldChar w:fldCharType="separate"/>
      </w:r>
      <w:r w:rsidR="00975F18">
        <w:rPr>
          <w:noProof/>
          <w:sz w:val="24"/>
          <w:szCs w:val="24"/>
        </w:rPr>
        <w:t>12</w:t>
      </w:r>
      <w:r w:rsidR="00564B43" w:rsidRPr="00E737B4">
        <w:rPr>
          <w:noProof/>
          <w:sz w:val="24"/>
          <w:szCs w:val="24"/>
        </w:rPr>
        <w:fldChar w:fldCharType="end"/>
      </w:r>
      <w:r w:rsidRPr="00E737B4">
        <w:rPr>
          <w:sz w:val="24"/>
          <w:szCs w:val="24"/>
        </w:rPr>
        <w:t> : Normes de l’Organisation internationale de Normalisation (ISO) relatives à la qualité de l’eau et fournissant des recommandations concernant l’échantillonnage</w:t>
      </w:r>
      <w:bookmarkEnd w:id="454"/>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8218"/>
      </w:tblGrid>
      <w:tr w:rsidR="0015245E" w:rsidRPr="00420C1B" w14:paraId="683BE392" w14:textId="77777777" w:rsidTr="00420C1B">
        <w:trPr>
          <w:tblHeader/>
          <w:jc w:val="center"/>
        </w:trPr>
        <w:tc>
          <w:tcPr>
            <w:tcW w:w="1416" w:type="dxa"/>
            <w:shd w:val="clear" w:color="auto" w:fill="92D050"/>
          </w:tcPr>
          <w:p w14:paraId="4AAC2EF5" w14:textId="77777777" w:rsidR="0015245E" w:rsidRPr="00420C1B" w:rsidRDefault="0015245E" w:rsidP="00420C1B">
            <w:pPr>
              <w:spacing w:after="0" w:line="240" w:lineRule="auto"/>
              <w:jc w:val="center"/>
              <w:rPr>
                <w:rFonts w:ascii="Times New Roman" w:hAnsi="Times New Roman"/>
                <w:b/>
                <w:sz w:val="20"/>
              </w:rPr>
            </w:pPr>
            <w:r w:rsidRPr="00420C1B">
              <w:rPr>
                <w:rFonts w:ascii="Times New Roman" w:hAnsi="Times New Roman"/>
                <w:b/>
                <w:sz w:val="20"/>
              </w:rPr>
              <w:t>Norme Iso N°</w:t>
            </w:r>
          </w:p>
        </w:tc>
        <w:tc>
          <w:tcPr>
            <w:tcW w:w="8218" w:type="dxa"/>
            <w:shd w:val="clear" w:color="auto" w:fill="92D050"/>
          </w:tcPr>
          <w:p w14:paraId="4A9243B2" w14:textId="77777777" w:rsidR="0015245E" w:rsidRPr="00420C1B" w:rsidRDefault="0015245E" w:rsidP="00420C1B">
            <w:pPr>
              <w:spacing w:after="0" w:line="240" w:lineRule="auto"/>
              <w:jc w:val="center"/>
              <w:rPr>
                <w:rFonts w:ascii="Times New Roman" w:hAnsi="Times New Roman"/>
                <w:b/>
                <w:sz w:val="20"/>
              </w:rPr>
            </w:pPr>
            <w:r w:rsidRPr="00420C1B">
              <w:rPr>
                <w:rFonts w:ascii="Times New Roman" w:hAnsi="Times New Roman"/>
                <w:b/>
                <w:sz w:val="20"/>
              </w:rPr>
              <w:t>Titre (qualité de l’eau)</w:t>
            </w:r>
          </w:p>
        </w:tc>
      </w:tr>
      <w:tr w:rsidR="0015245E" w:rsidRPr="00420C1B" w14:paraId="4CDDB78B" w14:textId="77777777" w:rsidTr="00420C1B">
        <w:trPr>
          <w:jc w:val="center"/>
        </w:trPr>
        <w:tc>
          <w:tcPr>
            <w:tcW w:w="1416" w:type="dxa"/>
            <w:shd w:val="clear" w:color="auto" w:fill="auto"/>
          </w:tcPr>
          <w:p w14:paraId="5C96450F"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5667-1:1980</w:t>
            </w:r>
          </w:p>
        </w:tc>
        <w:tc>
          <w:tcPr>
            <w:tcW w:w="8218" w:type="dxa"/>
            <w:shd w:val="clear" w:color="auto" w:fill="auto"/>
          </w:tcPr>
          <w:p w14:paraId="0BE4354E"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1 : Guide général pour l’établissement des</w:t>
            </w:r>
            <w:r w:rsidR="00D410BF" w:rsidRPr="00420C1B">
              <w:rPr>
                <w:rFonts w:ascii="Times New Roman" w:hAnsi="Times New Roman"/>
                <w:sz w:val="20"/>
              </w:rPr>
              <w:t xml:space="preserve"> Programmes</w:t>
            </w:r>
            <w:r w:rsidRPr="00420C1B">
              <w:rPr>
                <w:rFonts w:ascii="Times New Roman" w:hAnsi="Times New Roman"/>
                <w:sz w:val="20"/>
              </w:rPr>
              <w:t xml:space="preserve"> d’échantillonnage</w:t>
            </w:r>
          </w:p>
        </w:tc>
      </w:tr>
      <w:tr w:rsidR="0015245E" w:rsidRPr="00420C1B" w14:paraId="4F3A466E" w14:textId="77777777" w:rsidTr="00420C1B">
        <w:trPr>
          <w:jc w:val="center"/>
        </w:trPr>
        <w:tc>
          <w:tcPr>
            <w:tcW w:w="1416" w:type="dxa"/>
            <w:shd w:val="clear" w:color="auto" w:fill="auto"/>
          </w:tcPr>
          <w:p w14:paraId="70D730E6"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5667-2:1991</w:t>
            </w:r>
          </w:p>
        </w:tc>
        <w:tc>
          <w:tcPr>
            <w:tcW w:w="8218" w:type="dxa"/>
            <w:shd w:val="clear" w:color="auto" w:fill="auto"/>
          </w:tcPr>
          <w:p w14:paraId="0A7BECDB"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2 : Guide général sur les techniques</w:t>
            </w:r>
            <w:r w:rsidR="00D410BF" w:rsidRPr="00420C1B">
              <w:rPr>
                <w:rFonts w:ascii="Times New Roman" w:hAnsi="Times New Roman"/>
                <w:sz w:val="20"/>
              </w:rPr>
              <w:t xml:space="preserve"> </w:t>
            </w:r>
            <w:r w:rsidRPr="00420C1B">
              <w:rPr>
                <w:rFonts w:ascii="Times New Roman" w:hAnsi="Times New Roman"/>
                <w:sz w:val="20"/>
              </w:rPr>
              <w:t>d’échantillonnage</w:t>
            </w:r>
          </w:p>
        </w:tc>
      </w:tr>
      <w:tr w:rsidR="0015245E" w:rsidRPr="00420C1B" w14:paraId="59011760" w14:textId="77777777" w:rsidTr="00420C1B">
        <w:trPr>
          <w:jc w:val="center"/>
        </w:trPr>
        <w:tc>
          <w:tcPr>
            <w:tcW w:w="1416" w:type="dxa"/>
            <w:shd w:val="clear" w:color="auto" w:fill="auto"/>
          </w:tcPr>
          <w:p w14:paraId="09ACBEA2"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5667-3:1994</w:t>
            </w:r>
          </w:p>
        </w:tc>
        <w:tc>
          <w:tcPr>
            <w:tcW w:w="8218" w:type="dxa"/>
            <w:shd w:val="clear" w:color="auto" w:fill="auto"/>
          </w:tcPr>
          <w:p w14:paraId="431A0A11"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3 : Guide général pour la conservation et la</w:t>
            </w:r>
            <w:r w:rsidR="00D410BF" w:rsidRPr="00420C1B">
              <w:rPr>
                <w:rFonts w:ascii="Times New Roman" w:hAnsi="Times New Roman"/>
                <w:sz w:val="20"/>
              </w:rPr>
              <w:t xml:space="preserve"> </w:t>
            </w:r>
            <w:r w:rsidRPr="00420C1B">
              <w:rPr>
                <w:rFonts w:ascii="Times New Roman" w:hAnsi="Times New Roman"/>
                <w:sz w:val="20"/>
              </w:rPr>
              <w:t>manipulation des échantillons (en révision)</w:t>
            </w:r>
          </w:p>
        </w:tc>
      </w:tr>
      <w:tr w:rsidR="0015245E" w:rsidRPr="00420C1B" w14:paraId="50DDBD3F" w14:textId="77777777" w:rsidTr="00420C1B">
        <w:trPr>
          <w:jc w:val="center"/>
        </w:trPr>
        <w:tc>
          <w:tcPr>
            <w:tcW w:w="1416" w:type="dxa"/>
            <w:shd w:val="clear" w:color="auto" w:fill="auto"/>
          </w:tcPr>
          <w:p w14:paraId="19EA989E"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5667-4:1987</w:t>
            </w:r>
          </w:p>
        </w:tc>
        <w:tc>
          <w:tcPr>
            <w:tcW w:w="8218" w:type="dxa"/>
            <w:shd w:val="clear" w:color="auto" w:fill="auto"/>
          </w:tcPr>
          <w:p w14:paraId="57ED9799"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4 : Guide pour l’échantillonnage des lacs naturels</w:t>
            </w:r>
            <w:r w:rsidR="00842F58" w:rsidRPr="00420C1B">
              <w:rPr>
                <w:rFonts w:ascii="Times New Roman" w:hAnsi="Times New Roman"/>
                <w:sz w:val="20"/>
              </w:rPr>
              <w:t xml:space="preserve"> </w:t>
            </w:r>
            <w:r w:rsidRPr="00420C1B">
              <w:rPr>
                <w:rFonts w:ascii="Times New Roman" w:hAnsi="Times New Roman"/>
                <w:sz w:val="20"/>
              </w:rPr>
              <w:t>et des lacs artificiels</w:t>
            </w:r>
          </w:p>
        </w:tc>
      </w:tr>
      <w:tr w:rsidR="0015245E" w:rsidRPr="00420C1B" w14:paraId="1D21F04D" w14:textId="77777777" w:rsidTr="00420C1B">
        <w:trPr>
          <w:jc w:val="center"/>
        </w:trPr>
        <w:tc>
          <w:tcPr>
            <w:tcW w:w="1416" w:type="dxa"/>
            <w:shd w:val="clear" w:color="auto" w:fill="auto"/>
          </w:tcPr>
          <w:p w14:paraId="65B1EC9B"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5667- 5:1991</w:t>
            </w:r>
          </w:p>
        </w:tc>
        <w:tc>
          <w:tcPr>
            <w:tcW w:w="8218" w:type="dxa"/>
            <w:shd w:val="clear" w:color="auto" w:fill="auto"/>
          </w:tcPr>
          <w:p w14:paraId="75CEE486"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5 : Guide pour l’échantillonnage de l’eau potable</w:t>
            </w:r>
            <w:r w:rsidR="00D410BF" w:rsidRPr="00420C1B">
              <w:rPr>
                <w:rFonts w:ascii="Times New Roman" w:hAnsi="Times New Roman"/>
                <w:sz w:val="20"/>
              </w:rPr>
              <w:t xml:space="preserve"> </w:t>
            </w:r>
            <w:r w:rsidRPr="00420C1B">
              <w:rPr>
                <w:rFonts w:ascii="Times New Roman" w:hAnsi="Times New Roman"/>
                <w:sz w:val="20"/>
              </w:rPr>
              <w:t>et de l’eau utilisée dans l’industrie alimentaire et des boissons</w:t>
            </w:r>
          </w:p>
        </w:tc>
      </w:tr>
      <w:tr w:rsidR="0015245E" w:rsidRPr="00420C1B" w14:paraId="131D2FDF" w14:textId="77777777" w:rsidTr="00420C1B">
        <w:trPr>
          <w:jc w:val="center"/>
        </w:trPr>
        <w:tc>
          <w:tcPr>
            <w:tcW w:w="1416" w:type="dxa"/>
            <w:shd w:val="clear" w:color="auto" w:fill="auto"/>
          </w:tcPr>
          <w:p w14:paraId="3A0C8B1F"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5667-6:1990</w:t>
            </w:r>
          </w:p>
        </w:tc>
        <w:tc>
          <w:tcPr>
            <w:tcW w:w="8218" w:type="dxa"/>
            <w:shd w:val="clear" w:color="auto" w:fill="auto"/>
          </w:tcPr>
          <w:p w14:paraId="0E41F33D"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6 : Guide pour l’échantillonnage des rivières et</w:t>
            </w:r>
            <w:r w:rsidR="00842F58" w:rsidRPr="00420C1B">
              <w:rPr>
                <w:rFonts w:ascii="Times New Roman" w:hAnsi="Times New Roman"/>
                <w:sz w:val="20"/>
              </w:rPr>
              <w:t xml:space="preserve"> </w:t>
            </w:r>
            <w:r w:rsidRPr="00420C1B">
              <w:rPr>
                <w:rFonts w:ascii="Times New Roman" w:hAnsi="Times New Roman"/>
                <w:sz w:val="20"/>
              </w:rPr>
              <w:t>des cours d’eau</w:t>
            </w:r>
          </w:p>
        </w:tc>
      </w:tr>
      <w:tr w:rsidR="0015245E" w:rsidRPr="00420C1B" w14:paraId="50973B6B" w14:textId="77777777" w:rsidTr="00420C1B">
        <w:trPr>
          <w:jc w:val="center"/>
        </w:trPr>
        <w:tc>
          <w:tcPr>
            <w:tcW w:w="1416" w:type="dxa"/>
            <w:shd w:val="clear" w:color="auto" w:fill="auto"/>
          </w:tcPr>
          <w:p w14:paraId="61C24724"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5667-13:1997</w:t>
            </w:r>
          </w:p>
        </w:tc>
        <w:tc>
          <w:tcPr>
            <w:tcW w:w="8218" w:type="dxa"/>
            <w:shd w:val="clear" w:color="auto" w:fill="auto"/>
          </w:tcPr>
          <w:p w14:paraId="753014B4"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13 : Guide pour l’échantillonnage des boues</w:t>
            </w:r>
            <w:r w:rsidR="00D410BF" w:rsidRPr="00420C1B">
              <w:rPr>
                <w:rFonts w:ascii="Times New Roman" w:hAnsi="Times New Roman"/>
                <w:sz w:val="20"/>
              </w:rPr>
              <w:t xml:space="preserve"> </w:t>
            </w:r>
            <w:r w:rsidRPr="00420C1B">
              <w:rPr>
                <w:rFonts w:ascii="Times New Roman" w:hAnsi="Times New Roman"/>
                <w:sz w:val="20"/>
              </w:rPr>
              <w:t>provenant d’installations de traitement de l’eau et des eaux usées</w:t>
            </w:r>
          </w:p>
        </w:tc>
      </w:tr>
      <w:tr w:rsidR="0015245E" w:rsidRPr="00420C1B" w14:paraId="726FED78" w14:textId="77777777" w:rsidTr="00420C1B">
        <w:trPr>
          <w:jc w:val="center"/>
        </w:trPr>
        <w:tc>
          <w:tcPr>
            <w:tcW w:w="1416" w:type="dxa"/>
            <w:shd w:val="clear" w:color="auto" w:fill="auto"/>
          </w:tcPr>
          <w:p w14:paraId="54CF65CA"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5667-14:1998</w:t>
            </w:r>
          </w:p>
        </w:tc>
        <w:tc>
          <w:tcPr>
            <w:tcW w:w="8218" w:type="dxa"/>
            <w:shd w:val="clear" w:color="auto" w:fill="auto"/>
          </w:tcPr>
          <w:p w14:paraId="3380E221"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14 : Lignes directrices pour le contrôle de la</w:t>
            </w:r>
            <w:r w:rsidR="00D410BF" w:rsidRPr="00420C1B">
              <w:rPr>
                <w:rFonts w:ascii="Times New Roman" w:hAnsi="Times New Roman"/>
                <w:sz w:val="20"/>
              </w:rPr>
              <w:t xml:space="preserve"> </w:t>
            </w:r>
            <w:r w:rsidRPr="00420C1B">
              <w:rPr>
                <w:rFonts w:ascii="Times New Roman" w:hAnsi="Times New Roman"/>
                <w:sz w:val="20"/>
              </w:rPr>
              <w:t>qualité dans l’échantillonnage et la manutention des eaux</w:t>
            </w:r>
            <w:r w:rsidR="00D410BF" w:rsidRPr="00420C1B">
              <w:rPr>
                <w:rFonts w:ascii="Times New Roman" w:hAnsi="Times New Roman"/>
                <w:sz w:val="20"/>
              </w:rPr>
              <w:t xml:space="preserve"> </w:t>
            </w:r>
            <w:r w:rsidRPr="00420C1B">
              <w:rPr>
                <w:rFonts w:ascii="Times New Roman" w:hAnsi="Times New Roman"/>
                <w:sz w:val="20"/>
              </w:rPr>
              <w:t>environnementales</w:t>
            </w:r>
          </w:p>
        </w:tc>
      </w:tr>
      <w:tr w:rsidR="0015245E" w:rsidRPr="00420C1B" w14:paraId="3BBD0C6A" w14:textId="77777777" w:rsidTr="00420C1B">
        <w:trPr>
          <w:jc w:val="center"/>
        </w:trPr>
        <w:tc>
          <w:tcPr>
            <w:tcW w:w="1416" w:type="dxa"/>
            <w:shd w:val="clear" w:color="auto" w:fill="auto"/>
          </w:tcPr>
          <w:p w14:paraId="4AF5FA7F"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5667-16:1998</w:t>
            </w:r>
          </w:p>
        </w:tc>
        <w:tc>
          <w:tcPr>
            <w:tcW w:w="8218" w:type="dxa"/>
            <w:shd w:val="clear" w:color="auto" w:fill="auto"/>
          </w:tcPr>
          <w:p w14:paraId="5997B52C"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16 : Lignes directrices pour les essais biologiques</w:t>
            </w:r>
          </w:p>
          <w:p w14:paraId="2C0E4D6D"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des échantillons</w:t>
            </w:r>
          </w:p>
        </w:tc>
      </w:tr>
      <w:tr w:rsidR="0015245E" w:rsidRPr="00420C1B" w14:paraId="0B4959F5" w14:textId="77777777" w:rsidTr="00420C1B">
        <w:trPr>
          <w:jc w:val="center"/>
        </w:trPr>
        <w:tc>
          <w:tcPr>
            <w:tcW w:w="1416" w:type="dxa"/>
            <w:shd w:val="clear" w:color="auto" w:fill="auto"/>
          </w:tcPr>
          <w:p w14:paraId="5E9212BA"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5668-17:2000</w:t>
            </w:r>
          </w:p>
        </w:tc>
        <w:tc>
          <w:tcPr>
            <w:tcW w:w="8218" w:type="dxa"/>
            <w:shd w:val="clear" w:color="auto" w:fill="auto"/>
          </w:tcPr>
          <w:p w14:paraId="24E549B5"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Echantillonnage – Partie 17 : Lignes directrices pour l’échantillonnage des</w:t>
            </w:r>
            <w:r w:rsidR="00842F58" w:rsidRPr="00420C1B">
              <w:rPr>
                <w:rFonts w:ascii="Times New Roman" w:hAnsi="Times New Roman"/>
                <w:sz w:val="20"/>
              </w:rPr>
              <w:t xml:space="preserve"> </w:t>
            </w:r>
            <w:r w:rsidRPr="00420C1B">
              <w:rPr>
                <w:rFonts w:ascii="Times New Roman" w:hAnsi="Times New Roman"/>
                <w:sz w:val="20"/>
              </w:rPr>
              <w:t>sédiments en suspension</w:t>
            </w:r>
          </w:p>
        </w:tc>
      </w:tr>
      <w:tr w:rsidR="0015245E" w:rsidRPr="00420C1B" w14:paraId="2406416B" w14:textId="77777777" w:rsidTr="00420C1B">
        <w:trPr>
          <w:jc w:val="center"/>
        </w:trPr>
        <w:tc>
          <w:tcPr>
            <w:tcW w:w="1416" w:type="dxa"/>
            <w:shd w:val="clear" w:color="auto" w:fill="auto"/>
          </w:tcPr>
          <w:p w14:paraId="180CBE22"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13530:1997</w:t>
            </w:r>
          </w:p>
        </w:tc>
        <w:tc>
          <w:tcPr>
            <w:tcW w:w="8218" w:type="dxa"/>
            <w:shd w:val="clear" w:color="auto" w:fill="auto"/>
          </w:tcPr>
          <w:p w14:paraId="3BE6E5AF" w14:textId="77777777" w:rsidR="0015245E" w:rsidRPr="00420C1B" w:rsidRDefault="0015245E" w:rsidP="00420C1B">
            <w:pPr>
              <w:spacing w:after="0" w:line="240" w:lineRule="auto"/>
              <w:jc w:val="both"/>
              <w:rPr>
                <w:rFonts w:ascii="Times New Roman" w:hAnsi="Times New Roman"/>
                <w:sz w:val="20"/>
              </w:rPr>
            </w:pPr>
            <w:r w:rsidRPr="00420C1B">
              <w:rPr>
                <w:rFonts w:ascii="Times New Roman" w:hAnsi="Times New Roman"/>
                <w:sz w:val="20"/>
              </w:rPr>
              <w:t>Qualité de l’eau : guide de contrôle analytique pour l’analyse de l’eau</w:t>
            </w:r>
          </w:p>
        </w:tc>
      </w:tr>
    </w:tbl>
    <w:p w14:paraId="1F086D5B" w14:textId="77777777" w:rsidR="003512EC" w:rsidRPr="00420C1B" w:rsidRDefault="007F23C0" w:rsidP="003512EC">
      <w:pPr>
        <w:spacing w:before="120" w:after="120" w:line="20" w:lineRule="atLeast"/>
        <w:rPr>
          <w:rFonts w:ascii="Times New Roman" w:hAnsi="Times New Roman"/>
          <w:color w:val="44546A"/>
          <w:sz w:val="24"/>
        </w:rPr>
      </w:pPr>
      <w:r w:rsidRPr="00420C1B">
        <w:rPr>
          <w:rFonts w:ascii="Times New Roman" w:hAnsi="Times New Roman"/>
          <w:color w:val="44546A"/>
          <w:sz w:val="24"/>
        </w:rPr>
        <w:t xml:space="preserve">Source : Centre des Recherches Géologiques et Minières (CRGM) </w:t>
      </w:r>
      <w:r w:rsidRPr="00420C1B">
        <w:rPr>
          <w:i/>
          <w:iCs/>
          <w:color w:val="44546A"/>
          <w:sz w:val="24"/>
        </w:rPr>
        <w:t>Juillet</w:t>
      </w:r>
      <w:r w:rsidRPr="00420C1B">
        <w:rPr>
          <w:rFonts w:ascii="Times New Roman" w:hAnsi="Times New Roman"/>
          <w:color w:val="44546A"/>
          <w:sz w:val="24"/>
        </w:rPr>
        <w:t xml:space="preserve"> 2021</w:t>
      </w:r>
    </w:p>
    <w:p w14:paraId="013B11BA" w14:textId="77777777" w:rsidR="00B72E32" w:rsidRPr="00420C1B" w:rsidRDefault="00B72E32" w:rsidP="003512EC">
      <w:pPr>
        <w:spacing w:before="120" w:after="120" w:line="20" w:lineRule="atLeast"/>
        <w:rPr>
          <w:rFonts w:ascii="Times New Roman" w:hAnsi="Times New Roman"/>
          <w:color w:val="44546A"/>
          <w:sz w:val="24"/>
        </w:rPr>
      </w:pPr>
    </w:p>
    <w:p w14:paraId="69F645E1" w14:textId="77777777" w:rsidR="00B72E32" w:rsidRPr="00420C1B" w:rsidRDefault="00B72E32" w:rsidP="003512EC">
      <w:pPr>
        <w:spacing w:before="120" w:after="120" w:line="20" w:lineRule="atLeast"/>
        <w:rPr>
          <w:rFonts w:ascii="Times New Roman" w:hAnsi="Times New Roman"/>
          <w:color w:val="44546A"/>
          <w:sz w:val="24"/>
        </w:rPr>
      </w:pPr>
    </w:p>
    <w:p w14:paraId="5398F14D" w14:textId="77777777" w:rsidR="00B72E32" w:rsidRDefault="00B72E32" w:rsidP="00E737B4">
      <w:pPr>
        <w:spacing w:before="120" w:after="120" w:line="20" w:lineRule="atLeast"/>
        <w:jc w:val="both"/>
        <w:rPr>
          <w:b/>
          <w:sz w:val="24"/>
        </w:rPr>
        <w:sectPr w:rsidR="00B72E32" w:rsidSect="00E374F7">
          <w:pgSz w:w="11906" w:h="16838"/>
          <w:pgMar w:top="1417" w:right="1133" w:bottom="1417" w:left="1418" w:header="708" w:footer="708" w:gutter="0"/>
          <w:cols w:space="708"/>
          <w:docGrid w:linePitch="360"/>
        </w:sectPr>
      </w:pPr>
    </w:p>
    <w:p w14:paraId="2157FA7A" w14:textId="2FE02544" w:rsidR="0015245E" w:rsidRPr="00215867" w:rsidRDefault="007F23C0" w:rsidP="00215867">
      <w:pPr>
        <w:spacing w:after="120" w:line="20" w:lineRule="atLeast"/>
        <w:jc w:val="both"/>
        <w:rPr>
          <w:rFonts w:ascii="Times New Roman" w:hAnsi="Times New Roman"/>
          <w:b/>
          <w:iCs/>
          <w:sz w:val="24"/>
        </w:rPr>
      </w:pPr>
      <w:bookmarkStart w:id="455" w:name="_Toc93050275"/>
      <w:r w:rsidRPr="00215867">
        <w:rPr>
          <w:rFonts w:ascii="Times New Roman" w:hAnsi="Times New Roman"/>
          <w:b/>
          <w:sz w:val="24"/>
        </w:rPr>
        <w:t xml:space="preserve">Tableau </w:t>
      </w:r>
      <w:r w:rsidR="00564B43" w:rsidRPr="00975F18">
        <w:rPr>
          <w:rFonts w:ascii="Times New Roman" w:hAnsi="Times New Roman"/>
          <w:b/>
          <w:noProof/>
          <w:sz w:val="24"/>
        </w:rPr>
        <w:fldChar w:fldCharType="begin"/>
      </w:r>
      <w:r w:rsidR="00564B43" w:rsidRPr="00975F18">
        <w:rPr>
          <w:rFonts w:ascii="Times New Roman" w:hAnsi="Times New Roman"/>
          <w:b/>
          <w:noProof/>
          <w:sz w:val="24"/>
        </w:rPr>
        <w:instrText xml:space="preserve"> SEQ Tableau \* ARABIC </w:instrText>
      </w:r>
      <w:r w:rsidR="00564B43" w:rsidRPr="00975F18">
        <w:rPr>
          <w:rFonts w:ascii="Times New Roman" w:hAnsi="Times New Roman"/>
          <w:b/>
          <w:noProof/>
          <w:sz w:val="24"/>
        </w:rPr>
        <w:fldChar w:fldCharType="separate"/>
      </w:r>
      <w:r w:rsidR="00975F18">
        <w:rPr>
          <w:rFonts w:ascii="Times New Roman" w:hAnsi="Times New Roman"/>
          <w:b/>
          <w:noProof/>
          <w:sz w:val="24"/>
        </w:rPr>
        <w:t>13</w:t>
      </w:r>
      <w:r w:rsidR="00564B43" w:rsidRPr="00975F18">
        <w:rPr>
          <w:rFonts w:ascii="Times New Roman" w:hAnsi="Times New Roman"/>
          <w:b/>
          <w:noProof/>
          <w:sz w:val="24"/>
        </w:rPr>
        <w:fldChar w:fldCharType="end"/>
      </w:r>
      <w:r w:rsidRPr="00975F18">
        <w:rPr>
          <w:rFonts w:ascii="Times New Roman" w:hAnsi="Times New Roman"/>
          <w:b/>
          <w:sz w:val="24"/>
        </w:rPr>
        <w:t> </w:t>
      </w:r>
      <w:r w:rsidRPr="00215867">
        <w:rPr>
          <w:rFonts w:ascii="Times New Roman" w:hAnsi="Times New Roman"/>
          <w:b/>
          <w:sz w:val="24"/>
        </w:rPr>
        <w:t xml:space="preserve">: </w:t>
      </w:r>
      <w:r w:rsidRPr="00215867">
        <w:rPr>
          <w:rFonts w:ascii="Times New Roman" w:hAnsi="Times New Roman"/>
          <w:b/>
          <w:iCs/>
          <w:sz w:val="24"/>
        </w:rPr>
        <w:t>Résultat de l’analyse de l’eau</w:t>
      </w:r>
      <w:bookmarkEnd w:id="455"/>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2761"/>
        <w:gridCol w:w="712"/>
        <w:gridCol w:w="713"/>
        <w:gridCol w:w="713"/>
        <w:gridCol w:w="713"/>
        <w:gridCol w:w="713"/>
        <w:gridCol w:w="713"/>
        <w:gridCol w:w="713"/>
        <w:gridCol w:w="713"/>
        <w:gridCol w:w="1548"/>
        <w:gridCol w:w="5183"/>
      </w:tblGrid>
      <w:tr w:rsidR="002C66D7" w:rsidRPr="00420C1B" w14:paraId="16D4358F" w14:textId="77777777" w:rsidTr="00420C1B">
        <w:trPr>
          <w:tblHeader/>
          <w:jc w:val="center"/>
        </w:trPr>
        <w:tc>
          <w:tcPr>
            <w:tcW w:w="160" w:type="pct"/>
            <w:tcBorders>
              <w:bottom w:val="single" w:sz="4" w:space="0" w:color="7F7F7F"/>
              <w:right w:val="nil"/>
            </w:tcBorders>
            <w:shd w:val="clear" w:color="auto" w:fill="FFFFFF"/>
          </w:tcPr>
          <w:p w14:paraId="4730D98F"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N°</w:t>
            </w:r>
          </w:p>
        </w:tc>
        <w:tc>
          <w:tcPr>
            <w:tcW w:w="880" w:type="pct"/>
            <w:tcBorders>
              <w:bottom w:val="single" w:sz="4" w:space="0" w:color="7F7F7F"/>
            </w:tcBorders>
            <w:shd w:val="clear" w:color="auto" w:fill="FFFFFF"/>
          </w:tcPr>
          <w:p w14:paraId="3817287A"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Paramètres</w:t>
            </w:r>
          </w:p>
        </w:tc>
        <w:tc>
          <w:tcPr>
            <w:tcW w:w="227" w:type="pct"/>
            <w:tcBorders>
              <w:bottom w:val="single" w:sz="4" w:space="0" w:color="7F7F7F"/>
            </w:tcBorders>
            <w:shd w:val="clear" w:color="auto" w:fill="FFFFFF"/>
          </w:tcPr>
          <w:p w14:paraId="6B78AEE1"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Ech.1</w:t>
            </w:r>
          </w:p>
        </w:tc>
        <w:tc>
          <w:tcPr>
            <w:tcW w:w="227" w:type="pct"/>
            <w:tcBorders>
              <w:bottom w:val="single" w:sz="4" w:space="0" w:color="7F7F7F"/>
            </w:tcBorders>
            <w:shd w:val="clear" w:color="auto" w:fill="FFFFFF"/>
          </w:tcPr>
          <w:p w14:paraId="0FD9D06C"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Ech.2</w:t>
            </w:r>
          </w:p>
        </w:tc>
        <w:tc>
          <w:tcPr>
            <w:tcW w:w="227" w:type="pct"/>
            <w:tcBorders>
              <w:bottom w:val="single" w:sz="4" w:space="0" w:color="7F7F7F"/>
            </w:tcBorders>
            <w:shd w:val="clear" w:color="auto" w:fill="FFFFFF"/>
          </w:tcPr>
          <w:p w14:paraId="321D7B41"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Ech.3</w:t>
            </w:r>
          </w:p>
        </w:tc>
        <w:tc>
          <w:tcPr>
            <w:tcW w:w="227" w:type="pct"/>
            <w:tcBorders>
              <w:bottom w:val="single" w:sz="4" w:space="0" w:color="7F7F7F"/>
            </w:tcBorders>
            <w:shd w:val="clear" w:color="auto" w:fill="FFFFFF"/>
          </w:tcPr>
          <w:p w14:paraId="300E330C"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Ech.4</w:t>
            </w:r>
          </w:p>
        </w:tc>
        <w:tc>
          <w:tcPr>
            <w:tcW w:w="227" w:type="pct"/>
            <w:tcBorders>
              <w:bottom w:val="single" w:sz="4" w:space="0" w:color="7F7F7F"/>
            </w:tcBorders>
            <w:shd w:val="clear" w:color="auto" w:fill="FFFFFF"/>
          </w:tcPr>
          <w:p w14:paraId="2BC9234F"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Ech.5</w:t>
            </w:r>
          </w:p>
        </w:tc>
        <w:tc>
          <w:tcPr>
            <w:tcW w:w="227" w:type="pct"/>
            <w:tcBorders>
              <w:bottom w:val="single" w:sz="4" w:space="0" w:color="7F7F7F"/>
            </w:tcBorders>
            <w:shd w:val="clear" w:color="auto" w:fill="FFFFFF"/>
          </w:tcPr>
          <w:p w14:paraId="5E5C6045"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Ech.6</w:t>
            </w:r>
          </w:p>
        </w:tc>
        <w:tc>
          <w:tcPr>
            <w:tcW w:w="227" w:type="pct"/>
            <w:tcBorders>
              <w:bottom w:val="single" w:sz="4" w:space="0" w:color="7F7F7F"/>
            </w:tcBorders>
            <w:shd w:val="clear" w:color="auto" w:fill="FFFFFF"/>
          </w:tcPr>
          <w:p w14:paraId="18E6175A"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Ech.7</w:t>
            </w:r>
          </w:p>
        </w:tc>
        <w:tc>
          <w:tcPr>
            <w:tcW w:w="227" w:type="pct"/>
            <w:tcBorders>
              <w:bottom w:val="single" w:sz="4" w:space="0" w:color="7F7F7F"/>
            </w:tcBorders>
            <w:shd w:val="clear" w:color="auto" w:fill="FFFFFF"/>
          </w:tcPr>
          <w:p w14:paraId="4E1A9AD5"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Ech.8</w:t>
            </w:r>
          </w:p>
        </w:tc>
        <w:tc>
          <w:tcPr>
            <w:tcW w:w="493" w:type="pct"/>
            <w:tcBorders>
              <w:bottom w:val="single" w:sz="4" w:space="0" w:color="7F7F7F"/>
            </w:tcBorders>
            <w:shd w:val="clear" w:color="auto" w:fill="FFFFFF"/>
          </w:tcPr>
          <w:p w14:paraId="6DB2ADA0"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Normes</w:t>
            </w:r>
          </w:p>
          <w:p w14:paraId="7ABBC191"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(OMS)</w:t>
            </w:r>
          </w:p>
        </w:tc>
        <w:tc>
          <w:tcPr>
            <w:tcW w:w="1652" w:type="pct"/>
            <w:tcBorders>
              <w:bottom w:val="single" w:sz="4" w:space="0" w:color="7F7F7F"/>
            </w:tcBorders>
            <w:shd w:val="clear" w:color="auto" w:fill="FFFFFF"/>
          </w:tcPr>
          <w:p w14:paraId="0FFDCDFE" w14:textId="77777777" w:rsidR="0015245E" w:rsidRPr="00420C1B" w:rsidRDefault="0015245E" w:rsidP="00420C1B">
            <w:pPr>
              <w:spacing w:after="0" w:line="240" w:lineRule="auto"/>
              <w:jc w:val="center"/>
              <w:rPr>
                <w:rFonts w:ascii="Times New Roman" w:eastAsia="Times New Roman" w:hAnsi="Times New Roman"/>
                <w:b/>
                <w:i/>
                <w:iCs/>
                <w:sz w:val="20"/>
                <w:szCs w:val="20"/>
              </w:rPr>
            </w:pPr>
            <w:r w:rsidRPr="00420C1B">
              <w:rPr>
                <w:rFonts w:ascii="Times New Roman" w:eastAsia="Times New Roman" w:hAnsi="Times New Roman"/>
                <w:b/>
                <w:i/>
                <w:iCs/>
                <w:sz w:val="20"/>
                <w:szCs w:val="20"/>
              </w:rPr>
              <w:t>Méthodes</w:t>
            </w:r>
          </w:p>
        </w:tc>
      </w:tr>
      <w:tr w:rsidR="002C66D7" w:rsidRPr="00420C1B" w14:paraId="3791EE8B" w14:textId="77777777" w:rsidTr="00420C1B">
        <w:trPr>
          <w:jc w:val="center"/>
        </w:trPr>
        <w:tc>
          <w:tcPr>
            <w:tcW w:w="160" w:type="pct"/>
            <w:tcBorders>
              <w:right w:val="single" w:sz="4" w:space="0" w:color="7F7F7F"/>
            </w:tcBorders>
            <w:shd w:val="clear" w:color="auto" w:fill="FFFFFF"/>
          </w:tcPr>
          <w:p w14:paraId="66176FD6"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01</w:t>
            </w:r>
          </w:p>
        </w:tc>
        <w:tc>
          <w:tcPr>
            <w:tcW w:w="880" w:type="pct"/>
            <w:shd w:val="clear" w:color="auto" w:fill="F2F2F2"/>
          </w:tcPr>
          <w:p w14:paraId="2C2A4A1F"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pH</w:t>
            </w:r>
          </w:p>
        </w:tc>
        <w:tc>
          <w:tcPr>
            <w:tcW w:w="227" w:type="pct"/>
            <w:shd w:val="clear" w:color="auto" w:fill="F2F2F2"/>
          </w:tcPr>
          <w:p w14:paraId="6D6A57E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5,8</w:t>
            </w:r>
          </w:p>
        </w:tc>
        <w:tc>
          <w:tcPr>
            <w:tcW w:w="227" w:type="pct"/>
            <w:shd w:val="clear" w:color="auto" w:fill="F2F2F2"/>
          </w:tcPr>
          <w:p w14:paraId="23BA640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6,2</w:t>
            </w:r>
          </w:p>
        </w:tc>
        <w:tc>
          <w:tcPr>
            <w:tcW w:w="227" w:type="pct"/>
            <w:shd w:val="clear" w:color="auto" w:fill="F2F2F2"/>
          </w:tcPr>
          <w:p w14:paraId="409C1BD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6,1</w:t>
            </w:r>
          </w:p>
        </w:tc>
        <w:tc>
          <w:tcPr>
            <w:tcW w:w="227" w:type="pct"/>
            <w:shd w:val="clear" w:color="auto" w:fill="F2F2F2"/>
          </w:tcPr>
          <w:p w14:paraId="3FE3C80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6,1</w:t>
            </w:r>
          </w:p>
        </w:tc>
        <w:tc>
          <w:tcPr>
            <w:tcW w:w="227" w:type="pct"/>
            <w:shd w:val="clear" w:color="auto" w:fill="F2F2F2"/>
          </w:tcPr>
          <w:p w14:paraId="207DFA6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6,8</w:t>
            </w:r>
          </w:p>
        </w:tc>
        <w:tc>
          <w:tcPr>
            <w:tcW w:w="227" w:type="pct"/>
            <w:shd w:val="clear" w:color="auto" w:fill="F2F2F2"/>
          </w:tcPr>
          <w:p w14:paraId="1BFD1CC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6,0</w:t>
            </w:r>
          </w:p>
        </w:tc>
        <w:tc>
          <w:tcPr>
            <w:tcW w:w="227" w:type="pct"/>
            <w:shd w:val="clear" w:color="auto" w:fill="F2F2F2"/>
          </w:tcPr>
          <w:p w14:paraId="5846282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5,0</w:t>
            </w:r>
          </w:p>
        </w:tc>
        <w:tc>
          <w:tcPr>
            <w:tcW w:w="227" w:type="pct"/>
            <w:shd w:val="clear" w:color="auto" w:fill="F2F2F2"/>
          </w:tcPr>
          <w:p w14:paraId="167F57E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5,0</w:t>
            </w:r>
          </w:p>
        </w:tc>
        <w:tc>
          <w:tcPr>
            <w:tcW w:w="493" w:type="pct"/>
            <w:shd w:val="clear" w:color="auto" w:fill="F2F2F2"/>
          </w:tcPr>
          <w:p w14:paraId="2E5C1CC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6,5 à 9</w:t>
            </w:r>
          </w:p>
        </w:tc>
        <w:tc>
          <w:tcPr>
            <w:tcW w:w="1652" w:type="pct"/>
            <w:shd w:val="clear" w:color="auto" w:fill="F2F2F2"/>
          </w:tcPr>
          <w:p w14:paraId="1EC99CD2"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ISO 10.523</w:t>
            </w:r>
          </w:p>
        </w:tc>
      </w:tr>
      <w:tr w:rsidR="002C66D7" w:rsidRPr="00420C1B" w14:paraId="65514E7C" w14:textId="77777777" w:rsidTr="00420C1B">
        <w:trPr>
          <w:jc w:val="center"/>
        </w:trPr>
        <w:tc>
          <w:tcPr>
            <w:tcW w:w="160" w:type="pct"/>
            <w:tcBorders>
              <w:right w:val="single" w:sz="4" w:space="0" w:color="7F7F7F"/>
            </w:tcBorders>
            <w:shd w:val="clear" w:color="auto" w:fill="FFFFFF"/>
          </w:tcPr>
          <w:p w14:paraId="7479248F"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02</w:t>
            </w:r>
          </w:p>
        </w:tc>
        <w:tc>
          <w:tcPr>
            <w:tcW w:w="880" w:type="pct"/>
            <w:shd w:val="clear" w:color="auto" w:fill="auto"/>
          </w:tcPr>
          <w:p w14:paraId="667C6886"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Conductivité µs/cm</w:t>
            </w:r>
          </w:p>
        </w:tc>
        <w:tc>
          <w:tcPr>
            <w:tcW w:w="227" w:type="pct"/>
            <w:shd w:val="clear" w:color="auto" w:fill="auto"/>
          </w:tcPr>
          <w:p w14:paraId="4DC2D02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125</w:t>
            </w:r>
          </w:p>
        </w:tc>
        <w:tc>
          <w:tcPr>
            <w:tcW w:w="227" w:type="pct"/>
            <w:shd w:val="clear" w:color="auto" w:fill="auto"/>
          </w:tcPr>
          <w:p w14:paraId="45B7F1C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322</w:t>
            </w:r>
          </w:p>
        </w:tc>
        <w:tc>
          <w:tcPr>
            <w:tcW w:w="227" w:type="pct"/>
            <w:shd w:val="clear" w:color="auto" w:fill="auto"/>
          </w:tcPr>
          <w:p w14:paraId="3CC282E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290</w:t>
            </w:r>
          </w:p>
        </w:tc>
        <w:tc>
          <w:tcPr>
            <w:tcW w:w="227" w:type="pct"/>
            <w:shd w:val="clear" w:color="auto" w:fill="auto"/>
          </w:tcPr>
          <w:p w14:paraId="0D24D98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183</w:t>
            </w:r>
          </w:p>
        </w:tc>
        <w:tc>
          <w:tcPr>
            <w:tcW w:w="227" w:type="pct"/>
            <w:shd w:val="clear" w:color="auto" w:fill="auto"/>
          </w:tcPr>
          <w:p w14:paraId="59BA8C7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331</w:t>
            </w:r>
          </w:p>
        </w:tc>
        <w:tc>
          <w:tcPr>
            <w:tcW w:w="227" w:type="pct"/>
            <w:shd w:val="clear" w:color="auto" w:fill="auto"/>
          </w:tcPr>
          <w:p w14:paraId="64ABFC2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290</w:t>
            </w:r>
          </w:p>
        </w:tc>
        <w:tc>
          <w:tcPr>
            <w:tcW w:w="227" w:type="pct"/>
            <w:shd w:val="clear" w:color="auto" w:fill="auto"/>
          </w:tcPr>
          <w:p w14:paraId="34F4A00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90</w:t>
            </w:r>
          </w:p>
        </w:tc>
        <w:tc>
          <w:tcPr>
            <w:tcW w:w="227" w:type="pct"/>
            <w:shd w:val="clear" w:color="auto" w:fill="auto"/>
          </w:tcPr>
          <w:p w14:paraId="27AD350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22</w:t>
            </w:r>
          </w:p>
        </w:tc>
        <w:tc>
          <w:tcPr>
            <w:tcW w:w="493" w:type="pct"/>
            <w:shd w:val="clear" w:color="auto" w:fill="auto"/>
          </w:tcPr>
          <w:p w14:paraId="3AD7C4E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Max 1250</w:t>
            </w:r>
          </w:p>
        </w:tc>
        <w:tc>
          <w:tcPr>
            <w:tcW w:w="1652" w:type="pct"/>
            <w:shd w:val="clear" w:color="auto" w:fill="auto"/>
          </w:tcPr>
          <w:p w14:paraId="02AA9636"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90-031</w:t>
            </w:r>
          </w:p>
        </w:tc>
      </w:tr>
      <w:tr w:rsidR="002C66D7" w:rsidRPr="00420C1B" w14:paraId="38D2642C" w14:textId="77777777" w:rsidTr="00420C1B">
        <w:trPr>
          <w:jc w:val="center"/>
        </w:trPr>
        <w:tc>
          <w:tcPr>
            <w:tcW w:w="160" w:type="pct"/>
            <w:tcBorders>
              <w:right w:val="single" w:sz="4" w:space="0" w:color="7F7F7F"/>
            </w:tcBorders>
            <w:shd w:val="clear" w:color="auto" w:fill="FFFFFF"/>
          </w:tcPr>
          <w:p w14:paraId="7B3CE614"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03</w:t>
            </w:r>
          </w:p>
        </w:tc>
        <w:tc>
          <w:tcPr>
            <w:tcW w:w="880" w:type="pct"/>
            <w:shd w:val="clear" w:color="auto" w:fill="F2F2F2"/>
          </w:tcPr>
          <w:p w14:paraId="6A5387D9"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Solides totaux dissous mg/L</w:t>
            </w:r>
          </w:p>
        </w:tc>
        <w:tc>
          <w:tcPr>
            <w:tcW w:w="227" w:type="pct"/>
            <w:shd w:val="clear" w:color="auto" w:fill="F2F2F2"/>
          </w:tcPr>
          <w:p w14:paraId="218F6FF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62,5</w:t>
            </w:r>
          </w:p>
        </w:tc>
        <w:tc>
          <w:tcPr>
            <w:tcW w:w="227" w:type="pct"/>
            <w:shd w:val="clear" w:color="auto" w:fill="F2F2F2"/>
          </w:tcPr>
          <w:p w14:paraId="16C7324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161</w:t>
            </w:r>
          </w:p>
        </w:tc>
        <w:tc>
          <w:tcPr>
            <w:tcW w:w="227" w:type="pct"/>
            <w:shd w:val="clear" w:color="auto" w:fill="F2F2F2"/>
          </w:tcPr>
          <w:p w14:paraId="72E13FB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35,5</w:t>
            </w:r>
          </w:p>
        </w:tc>
        <w:tc>
          <w:tcPr>
            <w:tcW w:w="227" w:type="pct"/>
            <w:shd w:val="clear" w:color="auto" w:fill="F2F2F2"/>
          </w:tcPr>
          <w:p w14:paraId="4656FCF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16</w:t>
            </w:r>
          </w:p>
        </w:tc>
        <w:tc>
          <w:tcPr>
            <w:tcW w:w="227" w:type="pct"/>
            <w:shd w:val="clear" w:color="auto" w:fill="F2F2F2"/>
          </w:tcPr>
          <w:p w14:paraId="1234731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1655</w:t>
            </w:r>
          </w:p>
        </w:tc>
        <w:tc>
          <w:tcPr>
            <w:tcW w:w="227" w:type="pct"/>
            <w:shd w:val="clear" w:color="auto" w:fill="F2F2F2"/>
          </w:tcPr>
          <w:p w14:paraId="01310D6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145</w:t>
            </w:r>
          </w:p>
        </w:tc>
        <w:tc>
          <w:tcPr>
            <w:tcW w:w="227" w:type="pct"/>
            <w:shd w:val="clear" w:color="auto" w:fill="F2F2F2"/>
          </w:tcPr>
          <w:p w14:paraId="51DB270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45</w:t>
            </w:r>
          </w:p>
        </w:tc>
        <w:tc>
          <w:tcPr>
            <w:tcW w:w="227" w:type="pct"/>
            <w:shd w:val="clear" w:color="auto" w:fill="F2F2F2"/>
          </w:tcPr>
          <w:p w14:paraId="5F74AA0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w:t>
            </w:r>
          </w:p>
        </w:tc>
        <w:tc>
          <w:tcPr>
            <w:tcW w:w="493" w:type="pct"/>
            <w:shd w:val="clear" w:color="auto" w:fill="F2F2F2"/>
          </w:tcPr>
          <w:p w14:paraId="19ACCC1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Max 1000</w:t>
            </w:r>
          </w:p>
        </w:tc>
        <w:tc>
          <w:tcPr>
            <w:tcW w:w="1652" w:type="pct"/>
            <w:shd w:val="clear" w:color="auto" w:fill="F2F2F2"/>
          </w:tcPr>
          <w:p w14:paraId="151DF1D0"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EPA 2540C(Electrométrie)</w:t>
            </w:r>
          </w:p>
        </w:tc>
      </w:tr>
      <w:tr w:rsidR="002C66D7" w:rsidRPr="00420C1B" w14:paraId="0754CDBC" w14:textId="77777777" w:rsidTr="00420C1B">
        <w:trPr>
          <w:jc w:val="center"/>
        </w:trPr>
        <w:tc>
          <w:tcPr>
            <w:tcW w:w="160" w:type="pct"/>
            <w:tcBorders>
              <w:right w:val="single" w:sz="4" w:space="0" w:color="7F7F7F"/>
            </w:tcBorders>
            <w:shd w:val="clear" w:color="auto" w:fill="FFFFFF"/>
          </w:tcPr>
          <w:p w14:paraId="7A59BAE1"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04</w:t>
            </w:r>
          </w:p>
        </w:tc>
        <w:tc>
          <w:tcPr>
            <w:tcW w:w="880" w:type="pct"/>
            <w:shd w:val="clear" w:color="auto" w:fill="auto"/>
          </w:tcPr>
          <w:p w14:paraId="5F635434"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Turbidité NTU</w:t>
            </w:r>
          </w:p>
        </w:tc>
        <w:tc>
          <w:tcPr>
            <w:tcW w:w="227" w:type="pct"/>
            <w:shd w:val="clear" w:color="auto" w:fill="auto"/>
          </w:tcPr>
          <w:p w14:paraId="00A2428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6,2</w:t>
            </w:r>
          </w:p>
        </w:tc>
        <w:tc>
          <w:tcPr>
            <w:tcW w:w="227" w:type="pct"/>
            <w:shd w:val="clear" w:color="auto" w:fill="auto"/>
          </w:tcPr>
          <w:p w14:paraId="6BDE331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6,6</w:t>
            </w:r>
          </w:p>
        </w:tc>
        <w:tc>
          <w:tcPr>
            <w:tcW w:w="227" w:type="pct"/>
            <w:shd w:val="clear" w:color="auto" w:fill="auto"/>
          </w:tcPr>
          <w:p w14:paraId="465BE11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4,2</w:t>
            </w:r>
          </w:p>
        </w:tc>
        <w:tc>
          <w:tcPr>
            <w:tcW w:w="227" w:type="pct"/>
            <w:shd w:val="clear" w:color="auto" w:fill="auto"/>
          </w:tcPr>
          <w:p w14:paraId="4DD6F09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4,6</w:t>
            </w:r>
          </w:p>
        </w:tc>
        <w:tc>
          <w:tcPr>
            <w:tcW w:w="227" w:type="pct"/>
            <w:shd w:val="clear" w:color="auto" w:fill="auto"/>
          </w:tcPr>
          <w:p w14:paraId="49D9BF4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5,2</w:t>
            </w:r>
          </w:p>
        </w:tc>
        <w:tc>
          <w:tcPr>
            <w:tcW w:w="227" w:type="pct"/>
            <w:shd w:val="clear" w:color="auto" w:fill="auto"/>
          </w:tcPr>
          <w:p w14:paraId="418B02F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w:t>
            </w:r>
          </w:p>
        </w:tc>
        <w:tc>
          <w:tcPr>
            <w:tcW w:w="227" w:type="pct"/>
            <w:shd w:val="clear" w:color="auto" w:fill="auto"/>
          </w:tcPr>
          <w:p w14:paraId="0CFEB71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227" w:type="pct"/>
            <w:shd w:val="clear" w:color="auto" w:fill="auto"/>
          </w:tcPr>
          <w:p w14:paraId="22C1FD7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1,4</w:t>
            </w:r>
          </w:p>
        </w:tc>
        <w:tc>
          <w:tcPr>
            <w:tcW w:w="493" w:type="pct"/>
            <w:shd w:val="clear" w:color="auto" w:fill="auto"/>
          </w:tcPr>
          <w:p w14:paraId="072676F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5</w:t>
            </w:r>
          </w:p>
        </w:tc>
        <w:tc>
          <w:tcPr>
            <w:tcW w:w="1652" w:type="pct"/>
            <w:shd w:val="clear" w:color="auto" w:fill="auto"/>
          </w:tcPr>
          <w:p w14:paraId="69AF5B77"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90-033(Néphélométrie)</w:t>
            </w:r>
          </w:p>
        </w:tc>
      </w:tr>
      <w:tr w:rsidR="002C66D7" w:rsidRPr="00420C1B" w14:paraId="0453FDFB" w14:textId="77777777" w:rsidTr="00420C1B">
        <w:trPr>
          <w:jc w:val="center"/>
        </w:trPr>
        <w:tc>
          <w:tcPr>
            <w:tcW w:w="160" w:type="pct"/>
            <w:tcBorders>
              <w:right w:val="single" w:sz="4" w:space="0" w:color="7F7F7F"/>
            </w:tcBorders>
            <w:shd w:val="clear" w:color="auto" w:fill="FFFFFF"/>
          </w:tcPr>
          <w:p w14:paraId="5B654F2E"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05</w:t>
            </w:r>
          </w:p>
        </w:tc>
        <w:tc>
          <w:tcPr>
            <w:tcW w:w="880" w:type="pct"/>
            <w:shd w:val="clear" w:color="auto" w:fill="F2F2F2"/>
          </w:tcPr>
          <w:p w14:paraId="589B8627"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Matières organiques mgO</w:t>
            </w:r>
            <w:r w:rsidRPr="00420C1B">
              <w:rPr>
                <w:rFonts w:ascii="Times New Roman" w:hAnsi="Times New Roman"/>
                <w:sz w:val="20"/>
                <w:szCs w:val="20"/>
                <w:vertAlign w:val="subscript"/>
              </w:rPr>
              <w:t>2</w:t>
            </w:r>
            <w:r w:rsidRPr="00420C1B">
              <w:rPr>
                <w:rFonts w:ascii="Times New Roman" w:hAnsi="Times New Roman"/>
                <w:sz w:val="20"/>
                <w:szCs w:val="20"/>
              </w:rPr>
              <w:t>/litre</w:t>
            </w:r>
          </w:p>
        </w:tc>
        <w:tc>
          <w:tcPr>
            <w:tcW w:w="227" w:type="pct"/>
            <w:shd w:val="clear" w:color="auto" w:fill="F2F2F2"/>
          </w:tcPr>
          <w:p w14:paraId="61767C5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w:t>
            </w:r>
          </w:p>
        </w:tc>
        <w:tc>
          <w:tcPr>
            <w:tcW w:w="227" w:type="pct"/>
            <w:shd w:val="clear" w:color="auto" w:fill="F2F2F2"/>
          </w:tcPr>
          <w:p w14:paraId="198C8D8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w:t>
            </w:r>
          </w:p>
        </w:tc>
        <w:tc>
          <w:tcPr>
            <w:tcW w:w="227" w:type="pct"/>
            <w:shd w:val="clear" w:color="auto" w:fill="F2F2F2"/>
          </w:tcPr>
          <w:p w14:paraId="401DC31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w:t>
            </w:r>
          </w:p>
        </w:tc>
        <w:tc>
          <w:tcPr>
            <w:tcW w:w="227" w:type="pct"/>
            <w:shd w:val="clear" w:color="auto" w:fill="F2F2F2"/>
          </w:tcPr>
          <w:p w14:paraId="50D3184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w:t>
            </w:r>
          </w:p>
        </w:tc>
        <w:tc>
          <w:tcPr>
            <w:tcW w:w="227" w:type="pct"/>
            <w:shd w:val="clear" w:color="auto" w:fill="F2F2F2"/>
          </w:tcPr>
          <w:p w14:paraId="4D577FC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w:t>
            </w:r>
          </w:p>
        </w:tc>
        <w:tc>
          <w:tcPr>
            <w:tcW w:w="227" w:type="pct"/>
            <w:shd w:val="clear" w:color="auto" w:fill="F2F2F2"/>
          </w:tcPr>
          <w:p w14:paraId="30CF197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w:t>
            </w:r>
          </w:p>
        </w:tc>
        <w:tc>
          <w:tcPr>
            <w:tcW w:w="227" w:type="pct"/>
            <w:shd w:val="clear" w:color="auto" w:fill="F2F2F2"/>
          </w:tcPr>
          <w:p w14:paraId="1411C2D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w:t>
            </w:r>
          </w:p>
        </w:tc>
        <w:tc>
          <w:tcPr>
            <w:tcW w:w="227" w:type="pct"/>
            <w:shd w:val="clear" w:color="auto" w:fill="F2F2F2"/>
          </w:tcPr>
          <w:p w14:paraId="086C008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w:t>
            </w:r>
          </w:p>
        </w:tc>
        <w:tc>
          <w:tcPr>
            <w:tcW w:w="493" w:type="pct"/>
            <w:shd w:val="clear" w:color="auto" w:fill="F2F2F2"/>
          </w:tcPr>
          <w:p w14:paraId="325C254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Max 5</w:t>
            </w:r>
          </w:p>
        </w:tc>
        <w:tc>
          <w:tcPr>
            <w:tcW w:w="1652" w:type="pct"/>
            <w:shd w:val="clear" w:color="auto" w:fill="F2F2F2"/>
          </w:tcPr>
          <w:p w14:paraId="140E515C"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90-050-redox à chaud/oxalate</w:t>
            </w:r>
          </w:p>
        </w:tc>
      </w:tr>
      <w:tr w:rsidR="002C66D7" w:rsidRPr="00420C1B" w14:paraId="0E35007F" w14:textId="77777777" w:rsidTr="00420C1B">
        <w:trPr>
          <w:jc w:val="center"/>
        </w:trPr>
        <w:tc>
          <w:tcPr>
            <w:tcW w:w="160" w:type="pct"/>
            <w:tcBorders>
              <w:right w:val="single" w:sz="4" w:space="0" w:color="7F7F7F"/>
            </w:tcBorders>
            <w:shd w:val="clear" w:color="auto" w:fill="FFFFFF"/>
          </w:tcPr>
          <w:p w14:paraId="25434B92"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06</w:t>
            </w:r>
          </w:p>
        </w:tc>
        <w:tc>
          <w:tcPr>
            <w:tcW w:w="880" w:type="pct"/>
            <w:shd w:val="clear" w:color="auto" w:fill="auto"/>
          </w:tcPr>
          <w:p w14:paraId="21B6DB29"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TA°F</w:t>
            </w:r>
          </w:p>
        </w:tc>
        <w:tc>
          <w:tcPr>
            <w:tcW w:w="227" w:type="pct"/>
            <w:shd w:val="clear" w:color="auto" w:fill="auto"/>
          </w:tcPr>
          <w:p w14:paraId="7F02736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1C13445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2A3271F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6C49C8F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65AFC88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23ADD02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5E17E0A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227" w:type="pct"/>
            <w:shd w:val="clear" w:color="auto" w:fill="auto"/>
          </w:tcPr>
          <w:p w14:paraId="5511669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493" w:type="pct"/>
            <w:shd w:val="clear" w:color="auto" w:fill="auto"/>
          </w:tcPr>
          <w:p w14:paraId="179A84F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w:t>
            </w:r>
          </w:p>
        </w:tc>
        <w:tc>
          <w:tcPr>
            <w:tcW w:w="1652" w:type="pct"/>
            <w:shd w:val="clear" w:color="auto" w:fill="auto"/>
          </w:tcPr>
          <w:p w14:paraId="1DEC52E6"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Titrimétrie [(HCI 0,02N/Phénolphtaléine]</w:t>
            </w:r>
          </w:p>
        </w:tc>
      </w:tr>
      <w:tr w:rsidR="002C66D7" w:rsidRPr="00420C1B" w14:paraId="597FB3DA" w14:textId="77777777" w:rsidTr="00420C1B">
        <w:trPr>
          <w:jc w:val="center"/>
        </w:trPr>
        <w:tc>
          <w:tcPr>
            <w:tcW w:w="160" w:type="pct"/>
            <w:tcBorders>
              <w:right w:val="single" w:sz="4" w:space="0" w:color="7F7F7F"/>
            </w:tcBorders>
            <w:shd w:val="clear" w:color="auto" w:fill="FFFFFF"/>
          </w:tcPr>
          <w:p w14:paraId="2260D1CB"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07</w:t>
            </w:r>
          </w:p>
        </w:tc>
        <w:tc>
          <w:tcPr>
            <w:tcW w:w="880" w:type="pct"/>
            <w:shd w:val="clear" w:color="auto" w:fill="F2F2F2"/>
          </w:tcPr>
          <w:p w14:paraId="775D216C"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TAC°F</w:t>
            </w:r>
          </w:p>
        </w:tc>
        <w:tc>
          <w:tcPr>
            <w:tcW w:w="227" w:type="pct"/>
            <w:shd w:val="clear" w:color="auto" w:fill="F2F2F2"/>
          </w:tcPr>
          <w:p w14:paraId="4AD833C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0,6</w:t>
            </w:r>
          </w:p>
        </w:tc>
        <w:tc>
          <w:tcPr>
            <w:tcW w:w="227" w:type="pct"/>
            <w:shd w:val="clear" w:color="auto" w:fill="F2F2F2"/>
          </w:tcPr>
          <w:p w14:paraId="634749C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1,8</w:t>
            </w:r>
          </w:p>
        </w:tc>
        <w:tc>
          <w:tcPr>
            <w:tcW w:w="227" w:type="pct"/>
            <w:shd w:val="clear" w:color="auto" w:fill="F2F2F2"/>
          </w:tcPr>
          <w:p w14:paraId="40E589F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1,4</w:t>
            </w:r>
          </w:p>
        </w:tc>
        <w:tc>
          <w:tcPr>
            <w:tcW w:w="227" w:type="pct"/>
            <w:shd w:val="clear" w:color="auto" w:fill="F2F2F2"/>
          </w:tcPr>
          <w:p w14:paraId="40EAB78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1,3</w:t>
            </w:r>
          </w:p>
        </w:tc>
        <w:tc>
          <w:tcPr>
            <w:tcW w:w="227" w:type="pct"/>
            <w:shd w:val="clear" w:color="auto" w:fill="F2F2F2"/>
          </w:tcPr>
          <w:p w14:paraId="0790688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5,8</w:t>
            </w:r>
          </w:p>
        </w:tc>
        <w:tc>
          <w:tcPr>
            <w:tcW w:w="227" w:type="pct"/>
            <w:shd w:val="clear" w:color="auto" w:fill="F2F2F2"/>
          </w:tcPr>
          <w:p w14:paraId="4A05CCE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3,9</w:t>
            </w:r>
          </w:p>
        </w:tc>
        <w:tc>
          <w:tcPr>
            <w:tcW w:w="227" w:type="pct"/>
            <w:shd w:val="clear" w:color="auto" w:fill="F2F2F2"/>
          </w:tcPr>
          <w:p w14:paraId="5B92313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F2F2F2"/>
          </w:tcPr>
          <w:p w14:paraId="1277553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493" w:type="pct"/>
            <w:shd w:val="clear" w:color="auto" w:fill="F2F2F2"/>
          </w:tcPr>
          <w:p w14:paraId="070CDBF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2,5à50</w:t>
            </w:r>
          </w:p>
        </w:tc>
        <w:tc>
          <w:tcPr>
            <w:tcW w:w="1652" w:type="pct"/>
            <w:shd w:val="clear" w:color="auto" w:fill="F2F2F2"/>
          </w:tcPr>
          <w:p w14:paraId="135FB3C1"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Titrimétrie [(HCI 0,02N/Indicateur(1) mixte]</w:t>
            </w:r>
          </w:p>
        </w:tc>
      </w:tr>
      <w:tr w:rsidR="002C66D7" w:rsidRPr="00420C1B" w14:paraId="44DCAA74" w14:textId="77777777" w:rsidTr="00420C1B">
        <w:trPr>
          <w:jc w:val="center"/>
        </w:trPr>
        <w:tc>
          <w:tcPr>
            <w:tcW w:w="160" w:type="pct"/>
            <w:tcBorders>
              <w:right w:val="single" w:sz="4" w:space="0" w:color="7F7F7F"/>
            </w:tcBorders>
            <w:shd w:val="clear" w:color="auto" w:fill="FFFFFF"/>
          </w:tcPr>
          <w:p w14:paraId="132389A4"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08</w:t>
            </w:r>
          </w:p>
        </w:tc>
        <w:tc>
          <w:tcPr>
            <w:tcW w:w="880" w:type="pct"/>
            <w:shd w:val="clear" w:color="auto" w:fill="auto"/>
          </w:tcPr>
          <w:p w14:paraId="55640B14"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Bicarbonate (HCO</w:t>
            </w:r>
            <w:r w:rsidRPr="00420C1B">
              <w:rPr>
                <w:rFonts w:ascii="Times New Roman" w:hAnsi="Times New Roman"/>
                <w:sz w:val="20"/>
                <w:szCs w:val="20"/>
                <w:vertAlign w:val="subscript"/>
              </w:rPr>
              <w:t>3</w:t>
            </w:r>
            <w:r w:rsidRPr="00420C1B">
              <w:rPr>
                <w:rFonts w:ascii="Times New Roman" w:hAnsi="Times New Roman"/>
                <w:sz w:val="20"/>
                <w:szCs w:val="20"/>
                <w:vertAlign w:val="superscript"/>
              </w:rPr>
              <w:t xml:space="preserve">- </w:t>
            </w:r>
            <w:r w:rsidRPr="00420C1B">
              <w:rPr>
                <w:rFonts w:ascii="Times New Roman" w:hAnsi="Times New Roman"/>
                <w:sz w:val="20"/>
                <w:szCs w:val="20"/>
              </w:rPr>
              <w:t>mg/L</w:t>
            </w:r>
          </w:p>
        </w:tc>
        <w:tc>
          <w:tcPr>
            <w:tcW w:w="227" w:type="pct"/>
            <w:shd w:val="clear" w:color="auto" w:fill="auto"/>
          </w:tcPr>
          <w:p w14:paraId="7A09E870"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7,3</w:t>
            </w:r>
          </w:p>
        </w:tc>
        <w:tc>
          <w:tcPr>
            <w:tcW w:w="227" w:type="pct"/>
            <w:shd w:val="clear" w:color="auto" w:fill="auto"/>
          </w:tcPr>
          <w:p w14:paraId="6926F949"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21,96</w:t>
            </w:r>
          </w:p>
        </w:tc>
        <w:tc>
          <w:tcPr>
            <w:tcW w:w="227" w:type="pct"/>
            <w:shd w:val="clear" w:color="auto" w:fill="auto"/>
          </w:tcPr>
          <w:p w14:paraId="1736553E"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17,08</w:t>
            </w:r>
          </w:p>
        </w:tc>
        <w:tc>
          <w:tcPr>
            <w:tcW w:w="227" w:type="pct"/>
            <w:shd w:val="clear" w:color="auto" w:fill="auto"/>
          </w:tcPr>
          <w:p w14:paraId="1A70D855"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15,86</w:t>
            </w:r>
          </w:p>
        </w:tc>
        <w:tc>
          <w:tcPr>
            <w:tcW w:w="227" w:type="pct"/>
            <w:shd w:val="clear" w:color="auto" w:fill="auto"/>
          </w:tcPr>
          <w:p w14:paraId="7628002E"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70,76</w:t>
            </w:r>
          </w:p>
        </w:tc>
        <w:tc>
          <w:tcPr>
            <w:tcW w:w="227" w:type="pct"/>
            <w:shd w:val="clear" w:color="auto" w:fill="auto"/>
          </w:tcPr>
          <w:p w14:paraId="779BD39A"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47,58</w:t>
            </w:r>
          </w:p>
        </w:tc>
        <w:tc>
          <w:tcPr>
            <w:tcW w:w="227" w:type="pct"/>
            <w:shd w:val="clear" w:color="auto" w:fill="auto"/>
          </w:tcPr>
          <w:p w14:paraId="3011B48E"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1,2</w:t>
            </w:r>
          </w:p>
        </w:tc>
        <w:tc>
          <w:tcPr>
            <w:tcW w:w="227" w:type="pct"/>
            <w:shd w:val="clear" w:color="auto" w:fill="auto"/>
          </w:tcPr>
          <w:p w14:paraId="32487DEF"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1,2</w:t>
            </w:r>
          </w:p>
        </w:tc>
        <w:tc>
          <w:tcPr>
            <w:tcW w:w="493" w:type="pct"/>
            <w:shd w:val="clear" w:color="auto" w:fill="auto"/>
          </w:tcPr>
          <w:p w14:paraId="22140534" w14:textId="77777777" w:rsidR="0015245E" w:rsidRPr="00420C1B" w:rsidRDefault="0015245E" w:rsidP="00420C1B">
            <w:pPr>
              <w:spacing w:after="0" w:line="240" w:lineRule="auto"/>
              <w:jc w:val="center"/>
              <w:rPr>
                <w:rFonts w:ascii="Times New Roman" w:hAnsi="Times New Roman"/>
                <w:sz w:val="20"/>
                <w:szCs w:val="20"/>
              </w:rPr>
            </w:pPr>
          </w:p>
        </w:tc>
        <w:tc>
          <w:tcPr>
            <w:tcW w:w="1652" w:type="pct"/>
            <w:shd w:val="clear" w:color="auto" w:fill="auto"/>
          </w:tcPr>
          <w:p w14:paraId="75186B63"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(1)</w:t>
            </w:r>
          </w:p>
        </w:tc>
      </w:tr>
      <w:tr w:rsidR="002C66D7" w:rsidRPr="00420C1B" w14:paraId="556B90F0" w14:textId="77777777" w:rsidTr="00420C1B">
        <w:trPr>
          <w:jc w:val="center"/>
        </w:trPr>
        <w:tc>
          <w:tcPr>
            <w:tcW w:w="160" w:type="pct"/>
            <w:tcBorders>
              <w:right w:val="single" w:sz="4" w:space="0" w:color="7F7F7F"/>
            </w:tcBorders>
            <w:shd w:val="clear" w:color="auto" w:fill="FFFFFF"/>
          </w:tcPr>
          <w:p w14:paraId="6083F6C9"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09</w:t>
            </w:r>
          </w:p>
        </w:tc>
        <w:tc>
          <w:tcPr>
            <w:tcW w:w="880" w:type="pct"/>
            <w:shd w:val="clear" w:color="auto" w:fill="F2F2F2"/>
          </w:tcPr>
          <w:p w14:paraId="419F6445" w14:textId="77777777" w:rsidR="0015245E" w:rsidRPr="00420C1B" w:rsidRDefault="0015245E" w:rsidP="00420C1B">
            <w:pPr>
              <w:spacing w:after="0" w:line="240" w:lineRule="auto"/>
              <w:jc w:val="both"/>
              <w:rPr>
                <w:rFonts w:ascii="Times New Roman" w:hAnsi="Times New Roman"/>
                <w:sz w:val="20"/>
                <w:szCs w:val="20"/>
                <w:lang w:val="en-US"/>
              </w:rPr>
            </w:pPr>
            <w:r w:rsidRPr="00420C1B">
              <w:rPr>
                <w:rFonts w:ascii="Times New Roman" w:hAnsi="Times New Roman"/>
                <w:sz w:val="20"/>
                <w:szCs w:val="20"/>
                <w:lang w:val="en-US"/>
              </w:rPr>
              <w:t>Phosphates  (PO</w:t>
            </w:r>
            <w:r w:rsidRPr="00420C1B">
              <w:rPr>
                <w:rFonts w:ascii="Times New Roman" w:hAnsi="Times New Roman"/>
                <w:sz w:val="20"/>
                <w:szCs w:val="20"/>
                <w:vertAlign w:val="subscript"/>
                <w:lang w:val="en-US"/>
              </w:rPr>
              <w:t>4</w:t>
            </w:r>
            <w:r w:rsidRPr="00420C1B">
              <w:rPr>
                <w:rFonts w:ascii="Times New Roman" w:hAnsi="Times New Roman"/>
                <w:sz w:val="20"/>
                <w:szCs w:val="20"/>
                <w:vertAlign w:val="superscript"/>
                <w:lang w:val="en-US"/>
              </w:rPr>
              <w:t>3-</w:t>
            </w:r>
            <w:r w:rsidRPr="00420C1B">
              <w:rPr>
                <w:rFonts w:ascii="Times New Roman" w:hAnsi="Times New Roman"/>
                <w:sz w:val="20"/>
                <w:szCs w:val="20"/>
                <w:lang w:val="en-US"/>
              </w:rPr>
              <w:t xml:space="preserve">) mg/L </w:t>
            </w:r>
          </w:p>
        </w:tc>
        <w:tc>
          <w:tcPr>
            <w:tcW w:w="227" w:type="pct"/>
            <w:shd w:val="clear" w:color="auto" w:fill="F2F2F2"/>
          </w:tcPr>
          <w:p w14:paraId="1AD6907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F2F2F2"/>
          </w:tcPr>
          <w:p w14:paraId="3470360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0,6</w:t>
            </w:r>
          </w:p>
        </w:tc>
        <w:tc>
          <w:tcPr>
            <w:tcW w:w="227" w:type="pct"/>
            <w:shd w:val="clear" w:color="auto" w:fill="F2F2F2"/>
          </w:tcPr>
          <w:p w14:paraId="4FD5E23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F2F2F2"/>
          </w:tcPr>
          <w:p w14:paraId="5B53535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0,5</w:t>
            </w:r>
          </w:p>
        </w:tc>
        <w:tc>
          <w:tcPr>
            <w:tcW w:w="227" w:type="pct"/>
            <w:shd w:val="clear" w:color="auto" w:fill="F2F2F2"/>
          </w:tcPr>
          <w:p w14:paraId="26B1B6E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0,5</w:t>
            </w:r>
          </w:p>
        </w:tc>
        <w:tc>
          <w:tcPr>
            <w:tcW w:w="227" w:type="pct"/>
            <w:shd w:val="clear" w:color="auto" w:fill="F2F2F2"/>
          </w:tcPr>
          <w:p w14:paraId="0AC39F6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0,5</w:t>
            </w:r>
          </w:p>
        </w:tc>
        <w:tc>
          <w:tcPr>
            <w:tcW w:w="227" w:type="pct"/>
            <w:shd w:val="clear" w:color="auto" w:fill="F2F2F2"/>
          </w:tcPr>
          <w:p w14:paraId="0DC61AB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0,2</w:t>
            </w:r>
          </w:p>
        </w:tc>
        <w:tc>
          <w:tcPr>
            <w:tcW w:w="227" w:type="pct"/>
            <w:shd w:val="clear" w:color="auto" w:fill="F2F2F2"/>
          </w:tcPr>
          <w:p w14:paraId="03FAB29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0,3</w:t>
            </w:r>
          </w:p>
        </w:tc>
        <w:tc>
          <w:tcPr>
            <w:tcW w:w="493" w:type="pct"/>
            <w:shd w:val="clear" w:color="auto" w:fill="F2F2F2"/>
          </w:tcPr>
          <w:p w14:paraId="43A2573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0,3</w:t>
            </w:r>
          </w:p>
        </w:tc>
        <w:tc>
          <w:tcPr>
            <w:tcW w:w="1652" w:type="pct"/>
            <w:shd w:val="clear" w:color="auto" w:fill="F2F2F2"/>
          </w:tcPr>
          <w:p w14:paraId="45F7FB2C"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90-023</w:t>
            </w:r>
          </w:p>
        </w:tc>
      </w:tr>
      <w:tr w:rsidR="002C66D7" w:rsidRPr="00420C1B" w14:paraId="4451382C" w14:textId="77777777" w:rsidTr="00420C1B">
        <w:trPr>
          <w:jc w:val="center"/>
        </w:trPr>
        <w:tc>
          <w:tcPr>
            <w:tcW w:w="160" w:type="pct"/>
            <w:tcBorders>
              <w:right w:val="single" w:sz="4" w:space="0" w:color="7F7F7F"/>
            </w:tcBorders>
            <w:shd w:val="clear" w:color="auto" w:fill="FFFFFF"/>
          </w:tcPr>
          <w:p w14:paraId="1AA42BBE"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10</w:t>
            </w:r>
          </w:p>
        </w:tc>
        <w:tc>
          <w:tcPr>
            <w:tcW w:w="880" w:type="pct"/>
            <w:shd w:val="clear" w:color="auto" w:fill="auto"/>
          </w:tcPr>
          <w:p w14:paraId="272EE8B9"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lang w:val="en-US"/>
              </w:rPr>
              <w:t>Sulfate (SO</w:t>
            </w:r>
            <w:r w:rsidRPr="00420C1B">
              <w:rPr>
                <w:rFonts w:ascii="Times New Roman" w:hAnsi="Times New Roman"/>
                <w:sz w:val="20"/>
                <w:szCs w:val="20"/>
                <w:vertAlign w:val="subscript"/>
                <w:lang w:val="en-US"/>
              </w:rPr>
              <w:t>4</w:t>
            </w:r>
            <w:r w:rsidRPr="00420C1B">
              <w:rPr>
                <w:rFonts w:ascii="Times New Roman" w:hAnsi="Times New Roman"/>
                <w:sz w:val="20"/>
                <w:szCs w:val="20"/>
                <w:vertAlign w:val="superscript"/>
                <w:lang w:val="en-US"/>
              </w:rPr>
              <w:t>2-</w:t>
            </w:r>
            <w:r w:rsidRPr="00420C1B">
              <w:rPr>
                <w:rFonts w:ascii="Times New Roman" w:hAnsi="Times New Roman"/>
                <w:sz w:val="20"/>
                <w:szCs w:val="20"/>
                <w:lang w:val="en-US"/>
              </w:rPr>
              <w:t>) mg/L</w:t>
            </w:r>
          </w:p>
        </w:tc>
        <w:tc>
          <w:tcPr>
            <w:tcW w:w="227" w:type="pct"/>
            <w:shd w:val="clear" w:color="auto" w:fill="auto"/>
          </w:tcPr>
          <w:p w14:paraId="4DA2CCB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60</w:t>
            </w:r>
          </w:p>
        </w:tc>
        <w:tc>
          <w:tcPr>
            <w:tcW w:w="227" w:type="pct"/>
            <w:shd w:val="clear" w:color="auto" w:fill="auto"/>
          </w:tcPr>
          <w:p w14:paraId="799525B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52</w:t>
            </w:r>
          </w:p>
        </w:tc>
        <w:tc>
          <w:tcPr>
            <w:tcW w:w="227" w:type="pct"/>
            <w:shd w:val="clear" w:color="auto" w:fill="auto"/>
          </w:tcPr>
          <w:p w14:paraId="69D5642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74</w:t>
            </w:r>
          </w:p>
        </w:tc>
        <w:tc>
          <w:tcPr>
            <w:tcW w:w="227" w:type="pct"/>
            <w:shd w:val="clear" w:color="auto" w:fill="auto"/>
          </w:tcPr>
          <w:p w14:paraId="3A710C4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75,12</w:t>
            </w:r>
          </w:p>
        </w:tc>
        <w:tc>
          <w:tcPr>
            <w:tcW w:w="227" w:type="pct"/>
            <w:shd w:val="clear" w:color="auto" w:fill="auto"/>
          </w:tcPr>
          <w:p w14:paraId="1DF007C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120</w:t>
            </w:r>
          </w:p>
        </w:tc>
        <w:tc>
          <w:tcPr>
            <w:tcW w:w="227" w:type="pct"/>
            <w:shd w:val="clear" w:color="auto" w:fill="auto"/>
          </w:tcPr>
          <w:p w14:paraId="1C6677C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115</w:t>
            </w:r>
          </w:p>
        </w:tc>
        <w:tc>
          <w:tcPr>
            <w:tcW w:w="227" w:type="pct"/>
            <w:shd w:val="clear" w:color="auto" w:fill="auto"/>
          </w:tcPr>
          <w:p w14:paraId="220D6F5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25</w:t>
            </w:r>
          </w:p>
        </w:tc>
        <w:tc>
          <w:tcPr>
            <w:tcW w:w="227" w:type="pct"/>
            <w:shd w:val="clear" w:color="auto" w:fill="auto"/>
          </w:tcPr>
          <w:p w14:paraId="787483D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20</w:t>
            </w:r>
          </w:p>
        </w:tc>
        <w:tc>
          <w:tcPr>
            <w:tcW w:w="493" w:type="pct"/>
            <w:shd w:val="clear" w:color="auto" w:fill="auto"/>
          </w:tcPr>
          <w:p w14:paraId="28F1B96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250</w:t>
            </w:r>
          </w:p>
        </w:tc>
        <w:tc>
          <w:tcPr>
            <w:tcW w:w="1652" w:type="pct"/>
            <w:shd w:val="clear" w:color="auto" w:fill="auto"/>
          </w:tcPr>
          <w:p w14:paraId="5C625B30"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90-040</w:t>
            </w:r>
          </w:p>
        </w:tc>
      </w:tr>
      <w:tr w:rsidR="002C66D7" w:rsidRPr="00420C1B" w14:paraId="390DED18" w14:textId="77777777" w:rsidTr="00420C1B">
        <w:trPr>
          <w:jc w:val="center"/>
        </w:trPr>
        <w:tc>
          <w:tcPr>
            <w:tcW w:w="160" w:type="pct"/>
            <w:tcBorders>
              <w:right w:val="single" w:sz="4" w:space="0" w:color="7F7F7F"/>
            </w:tcBorders>
            <w:shd w:val="clear" w:color="auto" w:fill="FFFFFF"/>
          </w:tcPr>
          <w:p w14:paraId="7AE4D3DC"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11</w:t>
            </w:r>
          </w:p>
        </w:tc>
        <w:tc>
          <w:tcPr>
            <w:tcW w:w="880" w:type="pct"/>
            <w:shd w:val="clear" w:color="auto" w:fill="F2F2F2"/>
          </w:tcPr>
          <w:p w14:paraId="37A0A3FF"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Nitrate (NO</w:t>
            </w:r>
            <w:r w:rsidRPr="00420C1B">
              <w:rPr>
                <w:rFonts w:ascii="Times New Roman" w:hAnsi="Times New Roman"/>
                <w:sz w:val="20"/>
                <w:szCs w:val="20"/>
                <w:vertAlign w:val="subscript"/>
              </w:rPr>
              <w:t>3</w:t>
            </w:r>
            <w:r w:rsidRPr="00420C1B">
              <w:rPr>
                <w:rFonts w:ascii="Times New Roman" w:hAnsi="Times New Roman"/>
                <w:sz w:val="20"/>
                <w:szCs w:val="20"/>
                <w:vertAlign w:val="superscript"/>
              </w:rPr>
              <w:t>-</w:t>
            </w:r>
            <w:r w:rsidRPr="00420C1B">
              <w:rPr>
                <w:rFonts w:ascii="Times New Roman" w:hAnsi="Times New Roman"/>
                <w:sz w:val="20"/>
                <w:szCs w:val="20"/>
              </w:rPr>
              <w:t>) mg/L</w:t>
            </w:r>
          </w:p>
        </w:tc>
        <w:tc>
          <w:tcPr>
            <w:tcW w:w="227" w:type="pct"/>
            <w:shd w:val="clear" w:color="auto" w:fill="F2F2F2"/>
          </w:tcPr>
          <w:p w14:paraId="28C037E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5,5</w:t>
            </w:r>
          </w:p>
        </w:tc>
        <w:tc>
          <w:tcPr>
            <w:tcW w:w="227" w:type="pct"/>
            <w:shd w:val="clear" w:color="auto" w:fill="F2F2F2"/>
          </w:tcPr>
          <w:p w14:paraId="712CFFE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w:t>
            </w:r>
          </w:p>
        </w:tc>
        <w:tc>
          <w:tcPr>
            <w:tcW w:w="227" w:type="pct"/>
            <w:shd w:val="clear" w:color="auto" w:fill="F2F2F2"/>
          </w:tcPr>
          <w:p w14:paraId="6661B46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8,2</w:t>
            </w:r>
          </w:p>
        </w:tc>
        <w:tc>
          <w:tcPr>
            <w:tcW w:w="227" w:type="pct"/>
            <w:shd w:val="clear" w:color="auto" w:fill="F2F2F2"/>
          </w:tcPr>
          <w:p w14:paraId="4D52C6E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11,2</w:t>
            </w:r>
          </w:p>
        </w:tc>
        <w:tc>
          <w:tcPr>
            <w:tcW w:w="227" w:type="pct"/>
            <w:shd w:val="clear" w:color="auto" w:fill="F2F2F2"/>
          </w:tcPr>
          <w:p w14:paraId="7BA4A26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7,2</w:t>
            </w:r>
          </w:p>
        </w:tc>
        <w:tc>
          <w:tcPr>
            <w:tcW w:w="227" w:type="pct"/>
            <w:shd w:val="clear" w:color="auto" w:fill="F2F2F2"/>
          </w:tcPr>
          <w:p w14:paraId="75F7C64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227" w:type="pct"/>
            <w:shd w:val="clear" w:color="auto" w:fill="F2F2F2"/>
          </w:tcPr>
          <w:p w14:paraId="3D7F535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5,5</w:t>
            </w:r>
          </w:p>
        </w:tc>
        <w:tc>
          <w:tcPr>
            <w:tcW w:w="227" w:type="pct"/>
            <w:shd w:val="clear" w:color="auto" w:fill="F2F2F2"/>
          </w:tcPr>
          <w:p w14:paraId="58ABE7B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w:t>
            </w:r>
          </w:p>
        </w:tc>
        <w:tc>
          <w:tcPr>
            <w:tcW w:w="493" w:type="pct"/>
            <w:shd w:val="clear" w:color="auto" w:fill="F2F2F2"/>
          </w:tcPr>
          <w:p w14:paraId="55E57ED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10</w:t>
            </w:r>
          </w:p>
        </w:tc>
        <w:tc>
          <w:tcPr>
            <w:tcW w:w="1652" w:type="pct"/>
            <w:shd w:val="clear" w:color="auto" w:fill="F2F2F2"/>
          </w:tcPr>
          <w:p w14:paraId="6041029B"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NFT 90 - 012</w:t>
            </w:r>
          </w:p>
        </w:tc>
      </w:tr>
      <w:tr w:rsidR="002C66D7" w:rsidRPr="00420C1B" w14:paraId="586353B2" w14:textId="77777777" w:rsidTr="00420C1B">
        <w:trPr>
          <w:jc w:val="center"/>
        </w:trPr>
        <w:tc>
          <w:tcPr>
            <w:tcW w:w="160" w:type="pct"/>
            <w:tcBorders>
              <w:right w:val="single" w:sz="4" w:space="0" w:color="7F7F7F"/>
            </w:tcBorders>
            <w:shd w:val="clear" w:color="auto" w:fill="FFFFFF"/>
          </w:tcPr>
          <w:p w14:paraId="664D8410" w14:textId="77777777" w:rsidR="0015245E" w:rsidRPr="00420C1B" w:rsidRDefault="0015245E" w:rsidP="00420C1B">
            <w:pPr>
              <w:spacing w:after="0" w:line="240" w:lineRule="auto"/>
              <w:jc w:val="both"/>
              <w:rPr>
                <w:rFonts w:ascii="Times New Roman" w:eastAsia="Times New Roman" w:hAnsi="Times New Roman"/>
                <w:i/>
                <w:iCs/>
                <w:sz w:val="20"/>
                <w:szCs w:val="20"/>
                <w:lang w:val="en-US"/>
              </w:rPr>
            </w:pPr>
            <w:r w:rsidRPr="00420C1B">
              <w:rPr>
                <w:rFonts w:ascii="Times New Roman" w:eastAsia="Times New Roman" w:hAnsi="Times New Roman"/>
                <w:i/>
                <w:iCs/>
                <w:sz w:val="20"/>
                <w:szCs w:val="20"/>
                <w:lang w:val="en-US"/>
              </w:rPr>
              <w:t>12</w:t>
            </w:r>
          </w:p>
        </w:tc>
        <w:tc>
          <w:tcPr>
            <w:tcW w:w="880" w:type="pct"/>
            <w:shd w:val="clear" w:color="auto" w:fill="auto"/>
          </w:tcPr>
          <w:p w14:paraId="46D04B8E" w14:textId="77777777" w:rsidR="0015245E" w:rsidRPr="00420C1B" w:rsidRDefault="0015245E" w:rsidP="00420C1B">
            <w:pPr>
              <w:spacing w:after="0" w:line="240" w:lineRule="auto"/>
              <w:jc w:val="both"/>
              <w:rPr>
                <w:rFonts w:ascii="Times New Roman" w:hAnsi="Times New Roman"/>
                <w:sz w:val="20"/>
                <w:szCs w:val="20"/>
                <w:lang w:val="en-US"/>
              </w:rPr>
            </w:pPr>
            <w:r w:rsidRPr="00420C1B">
              <w:rPr>
                <w:rFonts w:ascii="Times New Roman" w:hAnsi="Times New Roman"/>
                <w:sz w:val="20"/>
                <w:szCs w:val="20"/>
              </w:rPr>
              <w:t>Nitrite (NO</w:t>
            </w:r>
            <w:r w:rsidRPr="00420C1B">
              <w:rPr>
                <w:rFonts w:ascii="Times New Roman" w:hAnsi="Times New Roman"/>
                <w:sz w:val="20"/>
                <w:szCs w:val="20"/>
                <w:vertAlign w:val="subscript"/>
              </w:rPr>
              <w:t>2</w:t>
            </w:r>
            <w:r w:rsidRPr="00420C1B">
              <w:rPr>
                <w:rFonts w:ascii="Times New Roman" w:hAnsi="Times New Roman"/>
                <w:sz w:val="20"/>
                <w:szCs w:val="20"/>
                <w:vertAlign w:val="superscript"/>
              </w:rPr>
              <w:t>-</w:t>
            </w:r>
            <w:r w:rsidRPr="00420C1B">
              <w:rPr>
                <w:rFonts w:ascii="Times New Roman" w:hAnsi="Times New Roman"/>
                <w:sz w:val="20"/>
                <w:szCs w:val="20"/>
              </w:rPr>
              <w:t>) mg/L</w:t>
            </w:r>
          </w:p>
        </w:tc>
        <w:tc>
          <w:tcPr>
            <w:tcW w:w="227" w:type="pct"/>
            <w:shd w:val="clear" w:color="auto" w:fill="auto"/>
          </w:tcPr>
          <w:p w14:paraId="3FEF5616"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0,07</w:t>
            </w:r>
          </w:p>
        </w:tc>
        <w:tc>
          <w:tcPr>
            <w:tcW w:w="227" w:type="pct"/>
            <w:shd w:val="clear" w:color="auto" w:fill="auto"/>
          </w:tcPr>
          <w:p w14:paraId="5BC6591D"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0,1</w:t>
            </w:r>
          </w:p>
        </w:tc>
        <w:tc>
          <w:tcPr>
            <w:tcW w:w="227" w:type="pct"/>
            <w:shd w:val="clear" w:color="auto" w:fill="auto"/>
          </w:tcPr>
          <w:p w14:paraId="6355A68B"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0,1</w:t>
            </w:r>
          </w:p>
        </w:tc>
        <w:tc>
          <w:tcPr>
            <w:tcW w:w="227" w:type="pct"/>
            <w:shd w:val="clear" w:color="auto" w:fill="auto"/>
          </w:tcPr>
          <w:p w14:paraId="67E309BF"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0,4</w:t>
            </w:r>
          </w:p>
        </w:tc>
        <w:tc>
          <w:tcPr>
            <w:tcW w:w="227" w:type="pct"/>
            <w:shd w:val="clear" w:color="auto" w:fill="auto"/>
          </w:tcPr>
          <w:p w14:paraId="0BF9C9C5"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0,5</w:t>
            </w:r>
          </w:p>
        </w:tc>
        <w:tc>
          <w:tcPr>
            <w:tcW w:w="227" w:type="pct"/>
            <w:shd w:val="clear" w:color="auto" w:fill="auto"/>
          </w:tcPr>
          <w:p w14:paraId="08BE34D4"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0,2</w:t>
            </w:r>
          </w:p>
        </w:tc>
        <w:tc>
          <w:tcPr>
            <w:tcW w:w="227" w:type="pct"/>
            <w:shd w:val="clear" w:color="auto" w:fill="auto"/>
          </w:tcPr>
          <w:p w14:paraId="03FD6D94"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0,5</w:t>
            </w:r>
          </w:p>
        </w:tc>
        <w:tc>
          <w:tcPr>
            <w:tcW w:w="227" w:type="pct"/>
            <w:shd w:val="clear" w:color="auto" w:fill="auto"/>
          </w:tcPr>
          <w:p w14:paraId="2C6181F6"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0,4</w:t>
            </w:r>
          </w:p>
        </w:tc>
        <w:tc>
          <w:tcPr>
            <w:tcW w:w="493" w:type="pct"/>
            <w:shd w:val="clear" w:color="auto" w:fill="auto"/>
          </w:tcPr>
          <w:p w14:paraId="33C380E0"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&lt; 0,1</w:t>
            </w:r>
          </w:p>
        </w:tc>
        <w:tc>
          <w:tcPr>
            <w:tcW w:w="1652" w:type="pct"/>
            <w:shd w:val="clear" w:color="auto" w:fill="auto"/>
          </w:tcPr>
          <w:p w14:paraId="6E33E84A" w14:textId="77777777" w:rsidR="0015245E" w:rsidRPr="00420C1B" w:rsidRDefault="0015245E" w:rsidP="00420C1B">
            <w:pPr>
              <w:spacing w:after="0" w:line="240" w:lineRule="auto"/>
              <w:rPr>
                <w:rFonts w:ascii="Times New Roman" w:hAnsi="Times New Roman"/>
                <w:sz w:val="20"/>
                <w:szCs w:val="20"/>
                <w:lang w:val="en-US"/>
              </w:rPr>
            </w:pPr>
            <w:r w:rsidRPr="00420C1B">
              <w:rPr>
                <w:rFonts w:ascii="Times New Roman" w:hAnsi="Times New Roman"/>
                <w:sz w:val="20"/>
                <w:szCs w:val="20"/>
              </w:rPr>
              <w:t>NFT 90-013 (acide sulfamilique)</w:t>
            </w:r>
          </w:p>
        </w:tc>
      </w:tr>
      <w:tr w:rsidR="002C66D7" w:rsidRPr="00420C1B" w14:paraId="31201BA7" w14:textId="77777777" w:rsidTr="00420C1B">
        <w:trPr>
          <w:jc w:val="center"/>
        </w:trPr>
        <w:tc>
          <w:tcPr>
            <w:tcW w:w="160" w:type="pct"/>
            <w:tcBorders>
              <w:right w:val="single" w:sz="4" w:space="0" w:color="7F7F7F"/>
            </w:tcBorders>
            <w:shd w:val="clear" w:color="auto" w:fill="FFFFFF"/>
          </w:tcPr>
          <w:p w14:paraId="758EB465" w14:textId="77777777" w:rsidR="0015245E" w:rsidRPr="00420C1B" w:rsidRDefault="0015245E" w:rsidP="00420C1B">
            <w:pPr>
              <w:spacing w:after="0" w:line="240" w:lineRule="auto"/>
              <w:jc w:val="both"/>
              <w:rPr>
                <w:rFonts w:ascii="Times New Roman" w:eastAsia="Times New Roman" w:hAnsi="Times New Roman"/>
                <w:i/>
                <w:iCs/>
                <w:sz w:val="20"/>
                <w:szCs w:val="20"/>
                <w:lang w:val="en-US"/>
              </w:rPr>
            </w:pPr>
            <w:r w:rsidRPr="00420C1B">
              <w:rPr>
                <w:rFonts w:ascii="Times New Roman" w:eastAsia="Times New Roman" w:hAnsi="Times New Roman"/>
                <w:i/>
                <w:iCs/>
                <w:sz w:val="20"/>
                <w:szCs w:val="20"/>
                <w:lang w:val="en-US"/>
              </w:rPr>
              <w:t>13</w:t>
            </w:r>
          </w:p>
        </w:tc>
        <w:tc>
          <w:tcPr>
            <w:tcW w:w="880" w:type="pct"/>
            <w:shd w:val="clear" w:color="auto" w:fill="F2F2F2"/>
          </w:tcPr>
          <w:p w14:paraId="7EAB73A2"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Chlorure mg/L</w:t>
            </w:r>
          </w:p>
        </w:tc>
        <w:tc>
          <w:tcPr>
            <w:tcW w:w="227" w:type="pct"/>
            <w:shd w:val="clear" w:color="auto" w:fill="F2F2F2"/>
          </w:tcPr>
          <w:p w14:paraId="1280124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42,5</w:t>
            </w:r>
          </w:p>
        </w:tc>
        <w:tc>
          <w:tcPr>
            <w:tcW w:w="227" w:type="pct"/>
            <w:shd w:val="clear" w:color="auto" w:fill="F2F2F2"/>
          </w:tcPr>
          <w:p w14:paraId="5648F99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41,02</w:t>
            </w:r>
          </w:p>
        </w:tc>
        <w:tc>
          <w:tcPr>
            <w:tcW w:w="227" w:type="pct"/>
            <w:shd w:val="clear" w:color="auto" w:fill="F2F2F2"/>
          </w:tcPr>
          <w:p w14:paraId="489BF59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35,5</w:t>
            </w:r>
          </w:p>
        </w:tc>
        <w:tc>
          <w:tcPr>
            <w:tcW w:w="227" w:type="pct"/>
            <w:shd w:val="clear" w:color="auto" w:fill="F2F2F2"/>
          </w:tcPr>
          <w:p w14:paraId="222A671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46,15</w:t>
            </w:r>
          </w:p>
        </w:tc>
        <w:tc>
          <w:tcPr>
            <w:tcW w:w="227" w:type="pct"/>
            <w:shd w:val="clear" w:color="auto" w:fill="F2F2F2"/>
          </w:tcPr>
          <w:p w14:paraId="4FC2D6F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71</w:t>
            </w:r>
          </w:p>
        </w:tc>
        <w:tc>
          <w:tcPr>
            <w:tcW w:w="227" w:type="pct"/>
            <w:shd w:val="clear" w:color="auto" w:fill="F2F2F2"/>
          </w:tcPr>
          <w:p w14:paraId="00BEBA1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63,9</w:t>
            </w:r>
          </w:p>
        </w:tc>
        <w:tc>
          <w:tcPr>
            <w:tcW w:w="227" w:type="pct"/>
            <w:shd w:val="clear" w:color="auto" w:fill="F2F2F2"/>
          </w:tcPr>
          <w:p w14:paraId="2FF6132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28,4</w:t>
            </w:r>
          </w:p>
        </w:tc>
        <w:tc>
          <w:tcPr>
            <w:tcW w:w="227" w:type="pct"/>
            <w:shd w:val="clear" w:color="auto" w:fill="F2F2F2"/>
          </w:tcPr>
          <w:p w14:paraId="0E4A3A6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35,5</w:t>
            </w:r>
          </w:p>
        </w:tc>
        <w:tc>
          <w:tcPr>
            <w:tcW w:w="493" w:type="pct"/>
            <w:shd w:val="clear" w:color="auto" w:fill="F2F2F2"/>
          </w:tcPr>
          <w:p w14:paraId="50AF685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Max 200</w:t>
            </w:r>
          </w:p>
        </w:tc>
        <w:tc>
          <w:tcPr>
            <w:tcW w:w="1652" w:type="pct"/>
            <w:shd w:val="clear" w:color="auto" w:fill="F2F2F2"/>
          </w:tcPr>
          <w:p w14:paraId="74425E14"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90-014</w:t>
            </w:r>
          </w:p>
        </w:tc>
      </w:tr>
      <w:tr w:rsidR="002C66D7" w:rsidRPr="00420C1B" w14:paraId="0D353B83" w14:textId="77777777" w:rsidTr="00420C1B">
        <w:trPr>
          <w:jc w:val="center"/>
        </w:trPr>
        <w:tc>
          <w:tcPr>
            <w:tcW w:w="160" w:type="pct"/>
            <w:tcBorders>
              <w:right w:val="single" w:sz="4" w:space="0" w:color="7F7F7F"/>
            </w:tcBorders>
            <w:shd w:val="clear" w:color="auto" w:fill="FFFFFF"/>
          </w:tcPr>
          <w:p w14:paraId="37D1AF35"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14</w:t>
            </w:r>
          </w:p>
        </w:tc>
        <w:tc>
          <w:tcPr>
            <w:tcW w:w="880" w:type="pct"/>
            <w:shd w:val="clear" w:color="auto" w:fill="auto"/>
          </w:tcPr>
          <w:p w14:paraId="023B606B"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Ammonium (NH</w:t>
            </w:r>
            <w:r w:rsidRPr="00420C1B">
              <w:rPr>
                <w:rFonts w:ascii="Times New Roman" w:hAnsi="Times New Roman"/>
                <w:sz w:val="20"/>
                <w:szCs w:val="20"/>
                <w:vertAlign w:val="subscript"/>
              </w:rPr>
              <w:t>4</w:t>
            </w:r>
            <w:r w:rsidRPr="00420C1B">
              <w:rPr>
                <w:rFonts w:ascii="Times New Roman" w:hAnsi="Times New Roman"/>
                <w:sz w:val="20"/>
                <w:szCs w:val="20"/>
                <w:vertAlign w:val="superscript"/>
              </w:rPr>
              <w:t>+</w:t>
            </w:r>
            <w:r w:rsidRPr="00420C1B">
              <w:rPr>
                <w:rFonts w:ascii="Times New Roman" w:hAnsi="Times New Roman"/>
                <w:sz w:val="20"/>
                <w:szCs w:val="20"/>
              </w:rPr>
              <w:t>) mg/L</w:t>
            </w:r>
          </w:p>
        </w:tc>
        <w:tc>
          <w:tcPr>
            <w:tcW w:w="227" w:type="pct"/>
            <w:shd w:val="clear" w:color="auto" w:fill="auto"/>
          </w:tcPr>
          <w:p w14:paraId="3AEEAC6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w:t>
            </w:r>
          </w:p>
        </w:tc>
        <w:tc>
          <w:tcPr>
            <w:tcW w:w="227" w:type="pct"/>
            <w:shd w:val="clear" w:color="auto" w:fill="auto"/>
          </w:tcPr>
          <w:p w14:paraId="7157F85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227" w:type="pct"/>
            <w:shd w:val="clear" w:color="auto" w:fill="auto"/>
          </w:tcPr>
          <w:p w14:paraId="56DE9F5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w:t>
            </w:r>
          </w:p>
        </w:tc>
        <w:tc>
          <w:tcPr>
            <w:tcW w:w="227" w:type="pct"/>
            <w:shd w:val="clear" w:color="auto" w:fill="auto"/>
          </w:tcPr>
          <w:p w14:paraId="3594552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227" w:type="pct"/>
            <w:shd w:val="clear" w:color="auto" w:fill="auto"/>
          </w:tcPr>
          <w:p w14:paraId="1694878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0,8</w:t>
            </w:r>
          </w:p>
        </w:tc>
        <w:tc>
          <w:tcPr>
            <w:tcW w:w="227" w:type="pct"/>
            <w:shd w:val="clear" w:color="auto" w:fill="auto"/>
          </w:tcPr>
          <w:p w14:paraId="5B1EFF6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w:t>
            </w:r>
          </w:p>
        </w:tc>
        <w:tc>
          <w:tcPr>
            <w:tcW w:w="227" w:type="pct"/>
            <w:shd w:val="clear" w:color="auto" w:fill="auto"/>
          </w:tcPr>
          <w:p w14:paraId="4F3924A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0,5</w:t>
            </w:r>
          </w:p>
        </w:tc>
        <w:tc>
          <w:tcPr>
            <w:tcW w:w="227" w:type="pct"/>
            <w:shd w:val="clear" w:color="auto" w:fill="auto"/>
          </w:tcPr>
          <w:p w14:paraId="5E40F04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0,6</w:t>
            </w:r>
          </w:p>
        </w:tc>
        <w:tc>
          <w:tcPr>
            <w:tcW w:w="493" w:type="pct"/>
            <w:shd w:val="clear" w:color="auto" w:fill="auto"/>
          </w:tcPr>
          <w:p w14:paraId="7C4E3E5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0 - 1,5</w:t>
            </w:r>
          </w:p>
        </w:tc>
        <w:tc>
          <w:tcPr>
            <w:tcW w:w="1652" w:type="pct"/>
            <w:shd w:val="clear" w:color="auto" w:fill="auto"/>
          </w:tcPr>
          <w:p w14:paraId="60BB5192"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Colorimétrie</w:t>
            </w:r>
          </w:p>
        </w:tc>
      </w:tr>
      <w:tr w:rsidR="002C66D7" w:rsidRPr="00420C1B" w14:paraId="459362A5" w14:textId="77777777" w:rsidTr="00420C1B">
        <w:trPr>
          <w:jc w:val="center"/>
        </w:trPr>
        <w:tc>
          <w:tcPr>
            <w:tcW w:w="160" w:type="pct"/>
            <w:tcBorders>
              <w:right w:val="single" w:sz="4" w:space="0" w:color="7F7F7F"/>
            </w:tcBorders>
            <w:shd w:val="clear" w:color="auto" w:fill="FFFFFF"/>
          </w:tcPr>
          <w:p w14:paraId="4E38D287"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15</w:t>
            </w:r>
          </w:p>
        </w:tc>
        <w:tc>
          <w:tcPr>
            <w:tcW w:w="880" w:type="pct"/>
            <w:shd w:val="clear" w:color="auto" w:fill="F2F2F2"/>
          </w:tcPr>
          <w:p w14:paraId="74F158E3" w14:textId="77777777" w:rsidR="0015245E" w:rsidRPr="00420C1B" w:rsidRDefault="0015245E" w:rsidP="00420C1B">
            <w:pPr>
              <w:spacing w:after="0" w:line="240" w:lineRule="auto"/>
              <w:jc w:val="both"/>
              <w:rPr>
                <w:rFonts w:ascii="Times New Roman" w:hAnsi="Times New Roman"/>
                <w:sz w:val="20"/>
                <w:szCs w:val="20"/>
                <w:lang w:val="en-US"/>
              </w:rPr>
            </w:pPr>
            <w:r w:rsidRPr="00420C1B">
              <w:rPr>
                <w:rFonts w:ascii="Times New Roman" w:hAnsi="Times New Roman"/>
                <w:sz w:val="20"/>
                <w:szCs w:val="20"/>
                <w:lang w:val="en-US"/>
              </w:rPr>
              <w:t xml:space="preserve">Sodium (Na) </w:t>
            </w:r>
            <w:r w:rsidRPr="00420C1B">
              <w:rPr>
                <w:rFonts w:ascii="Times New Roman" w:hAnsi="Times New Roman"/>
                <w:sz w:val="20"/>
                <w:szCs w:val="20"/>
              </w:rPr>
              <w:t>mg/L</w:t>
            </w:r>
          </w:p>
        </w:tc>
        <w:tc>
          <w:tcPr>
            <w:tcW w:w="227" w:type="pct"/>
            <w:shd w:val="clear" w:color="auto" w:fill="F2F2F2"/>
          </w:tcPr>
          <w:p w14:paraId="69EBE01E"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17</w:t>
            </w:r>
          </w:p>
        </w:tc>
        <w:tc>
          <w:tcPr>
            <w:tcW w:w="227" w:type="pct"/>
            <w:shd w:val="clear" w:color="auto" w:fill="F2F2F2"/>
          </w:tcPr>
          <w:p w14:paraId="1901CF38"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15</w:t>
            </w:r>
          </w:p>
        </w:tc>
        <w:tc>
          <w:tcPr>
            <w:tcW w:w="227" w:type="pct"/>
            <w:shd w:val="clear" w:color="auto" w:fill="F2F2F2"/>
          </w:tcPr>
          <w:p w14:paraId="75775588"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25</w:t>
            </w:r>
          </w:p>
        </w:tc>
        <w:tc>
          <w:tcPr>
            <w:tcW w:w="227" w:type="pct"/>
            <w:shd w:val="clear" w:color="auto" w:fill="F2F2F2"/>
          </w:tcPr>
          <w:p w14:paraId="7E193977"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27,5</w:t>
            </w:r>
          </w:p>
        </w:tc>
        <w:tc>
          <w:tcPr>
            <w:tcW w:w="227" w:type="pct"/>
            <w:shd w:val="clear" w:color="auto" w:fill="F2F2F2"/>
          </w:tcPr>
          <w:p w14:paraId="28BE7C33"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33</w:t>
            </w:r>
          </w:p>
        </w:tc>
        <w:tc>
          <w:tcPr>
            <w:tcW w:w="227" w:type="pct"/>
            <w:shd w:val="clear" w:color="auto" w:fill="F2F2F2"/>
          </w:tcPr>
          <w:p w14:paraId="2EAF6EA5"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37,2</w:t>
            </w:r>
          </w:p>
        </w:tc>
        <w:tc>
          <w:tcPr>
            <w:tcW w:w="227" w:type="pct"/>
            <w:shd w:val="clear" w:color="auto" w:fill="F2F2F2"/>
          </w:tcPr>
          <w:p w14:paraId="1B3479AC"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11</w:t>
            </w:r>
          </w:p>
        </w:tc>
        <w:tc>
          <w:tcPr>
            <w:tcW w:w="227" w:type="pct"/>
            <w:shd w:val="clear" w:color="auto" w:fill="F2F2F2"/>
          </w:tcPr>
          <w:p w14:paraId="472C8B22"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10</w:t>
            </w:r>
          </w:p>
        </w:tc>
        <w:tc>
          <w:tcPr>
            <w:tcW w:w="493" w:type="pct"/>
            <w:shd w:val="clear" w:color="auto" w:fill="F2F2F2"/>
          </w:tcPr>
          <w:p w14:paraId="12E2746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100</w:t>
            </w:r>
          </w:p>
        </w:tc>
        <w:tc>
          <w:tcPr>
            <w:tcW w:w="1652" w:type="pct"/>
            <w:shd w:val="clear" w:color="auto" w:fill="F2F2F2"/>
          </w:tcPr>
          <w:p w14:paraId="1498D0EA"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NFT 90 – 020 (avec standard)</w:t>
            </w:r>
          </w:p>
        </w:tc>
      </w:tr>
      <w:tr w:rsidR="002C66D7" w:rsidRPr="00420C1B" w14:paraId="27DD6FA2" w14:textId="77777777" w:rsidTr="00420C1B">
        <w:trPr>
          <w:jc w:val="center"/>
        </w:trPr>
        <w:tc>
          <w:tcPr>
            <w:tcW w:w="160" w:type="pct"/>
            <w:tcBorders>
              <w:right w:val="single" w:sz="4" w:space="0" w:color="7F7F7F"/>
            </w:tcBorders>
            <w:shd w:val="clear" w:color="auto" w:fill="FFFFFF"/>
          </w:tcPr>
          <w:p w14:paraId="423C3247"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16</w:t>
            </w:r>
          </w:p>
        </w:tc>
        <w:tc>
          <w:tcPr>
            <w:tcW w:w="880" w:type="pct"/>
            <w:shd w:val="clear" w:color="auto" w:fill="auto"/>
          </w:tcPr>
          <w:p w14:paraId="1A619B92"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Potassium (K) mg/L</w:t>
            </w:r>
          </w:p>
        </w:tc>
        <w:tc>
          <w:tcPr>
            <w:tcW w:w="227" w:type="pct"/>
            <w:shd w:val="clear" w:color="auto" w:fill="auto"/>
          </w:tcPr>
          <w:p w14:paraId="2D99F85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w:t>
            </w:r>
          </w:p>
        </w:tc>
        <w:tc>
          <w:tcPr>
            <w:tcW w:w="227" w:type="pct"/>
            <w:shd w:val="clear" w:color="auto" w:fill="auto"/>
          </w:tcPr>
          <w:p w14:paraId="06D92CA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5,2</w:t>
            </w:r>
          </w:p>
        </w:tc>
        <w:tc>
          <w:tcPr>
            <w:tcW w:w="227" w:type="pct"/>
            <w:shd w:val="clear" w:color="auto" w:fill="auto"/>
          </w:tcPr>
          <w:p w14:paraId="5493A11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9,2</w:t>
            </w:r>
          </w:p>
        </w:tc>
        <w:tc>
          <w:tcPr>
            <w:tcW w:w="227" w:type="pct"/>
            <w:shd w:val="clear" w:color="auto" w:fill="auto"/>
          </w:tcPr>
          <w:p w14:paraId="3E98E58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10,5</w:t>
            </w:r>
          </w:p>
        </w:tc>
        <w:tc>
          <w:tcPr>
            <w:tcW w:w="227" w:type="pct"/>
            <w:shd w:val="clear" w:color="auto" w:fill="auto"/>
          </w:tcPr>
          <w:p w14:paraId="0AAB0A0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227" w:type="pct"/>
            <w:shd w:val="clear" w:color="auto" w:fill="auto"/>
          </w:tcPr>
          <w:p w14:paraId="5EAD2E3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12,5</w:t>
            </w:r>
          </w:p>
        </w:tc>
        <w:tc>
          <w:tcPr>
            <w:tcW w:w="227" w:type="pct"/>
            <w:shd w:val="clear" w:color="auto" w:fill="auto"/>
          </w:tcPr>
          <w:p w14:paraId="34D22B1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4,6</w:t>
            </w:r>
          </w:p>
        </w:tc>
        <w:tc>
          <w:tcPr>
            <w:tcW w:w="227" w:type="pct"/>
            <w:shd w:val="clear" w:color="auto" w:fill="auto"/>
          </w:tcPr>
          <w:p w14:paraId="7DCB5BD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5,2</w:t>
            </w:r>
          </w:p>
        </w:tc>
        <w:tc>
          <w:tcPr>
            <w:tcW w:w="493" w:type="pct"/>
            <w:shd w:val="clear" w:color="auto" w:fill="auto"/>
          </w:tcPr>
          <w:p w14:paraId="7D8FC63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12</w:t>
            </w:r>
          </w:p>
        </w:tc>
        <w:tc>
          <w:tcPr>
            <w:tcW w:w="1652" w:type="pct"/>
            <w:shd w:val="clear" w:color="auto" w:fill="auto"/>
          </w:tcPr>
          <w:p w14:paraId="0FB4D85F"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NFT 90 - 020(avec standard)</w:t>
            </w:r>
          </w:p>
        </w:tc>
      </w:tr>
      <w:tr w:rsidR="002C66D7" w:rsidRPr="00420C1B" w14:paraId="463BAB1D" w14:textId="77777777" w:rsidTr="00420C1B">
        <w:trPr>
          <w:jc w:val="center"/>
        </w:trPr>
        <w:tc>
          <w:tcPr>
            <w:tcW w:w="160" w:type="pct"/>
            <w:tcBorders>
              <w:right w:val="single" w:sz="4" w:space="0" w:color="7F7F7F"/>
            </w:tcBorders>
            <w:shd w:val="clear" w:color="auto" w:fill="FFFFFF"/>
          </w:tcPr>
          <w:p w14:paraId="75105963"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17</w:t>
            </w:r>
          </w:p>
        </w:tc>
        <w:tc>
          <w:tcPr>
            <w:tcW w:w="880" w:type="pct"/>
            <w:shd w:val="clear" w:color="auto" w:fill="F2F2F2"/>
          </w:tcPr>
          <w:p w14:paraId="0F422C5F"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Calcium (Ca) mg/L</w:t>
            </w:r>
          </w:p>
        </w:tc>
        <w:tc>
          <w:tcPr>
            <w:tcW w:w="227" w:type="pct"/>
            <w:shd w:val="clear" w:color="auto" w:fill="F2F2F2"/>
          </w:tcPr>
          <w:p w14:paraId="78ACE04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22</w:t>
            </w:r>
          </w:p>
        </w:tc>
        <w:tc>
          <w:tcPr>
            <w:tcW w:w="227" w:type="pct"/>
            <w:shd w:val="clear" w:color="auto" w:fill="F2F2F2"/>
          </w:tcPr>
          <w:p w14:paraId="1B25AEC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24</w:t>
            </w:r>
          </w:p>
        </w:tc>
        <w:tc>
          <w:tcPr>
            <w:tcW w:w="227" w:type="pct"/>
            <w:shd w:val="clear" w:color="auto" w:fill="F2F2F2"/>
          </w:tcPr>
          <w:p w14:paraId="0FAE18B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23</w:t>
            </w:r>
          </w:p>
        </w:tc>
        <w:tc>
          <w:tcPr>
            <w:tcW w:w="227" w:type="pct"/>
            <w:shd w:val="clear" w:color="auto" w:fill="F2F2F2"/>
          </w:tcPr>
          <w:p w14:paraId="24F75FA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25</w:t>
            </w:r>
          </w:p>
        </w:tc>
        <w:tc>
          <w:tcPr>
            <w:tcW w:w="227" w:type="pct"/>
            <w:shd w:val="clear" w:color="auto" w:fill="F2F2F2"/>
          </w:tcPr>
          <w:p w14:paraId="411D597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30,2</w:t>
            </w:r>
          </w:p>
        </w:tc>
        <w:tc>
          <w:tcPr>
            <w:tcW w:w="227" w:type="pct"/>
            <w:shd w:val="clear" w:color="auto" w:fill="F2F2F2"/>
          </w:tcPr>
          <w:p w14:paraId="1DFE153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35</w:t>
            </w:r>
          </w:p>
        </w:tc>
        <w:tc>
          <w:tcPr>
            <w:tcW w:w="227" w:type="pct"/>
            <w:shd w:val="clear" w:color="auto" w:fill="F2F2F2"/>
          </w:tcPr>
          <w:p w14:paraId="37813A9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227" w:type="pct"/>
            <w:shd w:val="clear" w:color="auto" w:fill="F2F2F2"/>
          </w:tcPr>
          <w:p w14:paraId="73B1C1F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493" w:type="pct"/>
            <w:shd w:val="clear" w:color="auto" w:fill="F2F2F2"/>
          </w:tcPr>
          <w:p w14:paraId="056B1E6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&lt;100</w:t>
            </w:r>
          </w:p>
        </w:tc>
        <w:tc>
          <w:tcPr>
            <w:tcW w:w="1652" w:type="pct"/>
            <w:shd w:val="clear" w:color="auto" w:fill="F2F2F2"/>
          </w:tcPr>
          <w:p w14:paraId="797986F7"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EN ISO 7980</w:t>
            </w:r>
          </w:p>
        </w:tc>
      </w:tr>
      <w:tr w:rsidR="002C66D7" w:rsidRPr="00420C1B" w14:paraId="47230802" w14:textId="77777777" w:rsidTr="00420C1B">
        <w:trPr>
          <w:jc w:val="center"/>
        </w:trPr>
        <w:tc>
          <w:tcPr>
            <w:tcW w:w="160" w:type="pct"/>
            <w:tcBorders>
              <w:right w:val="single" w:sz="4" w:space="0" w:color="7F7F7F"/>
            </w:tcBorders>
            <w:shd w:val="clear" w:color="auto" w:fill="FFFFFF"/>
          </w:tcPr>
          <w:p w14:paraId="7A205B43"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18</w:t>
            </w:r>
          </w:p>
        </w:tc>
        <w:tc>
          <w:tcPr>
            <w:tcW w:w="880" w:type="pct"/>
            <w:shd w:val="clear" w:color="auto" w:fill="auto"/>
          </w:tcPr>
          <w:p w14:paraId="465A107A"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Magnésium (Mg) mg/L</w:t>
            </w:r>
          </w:p>
        </w:tc>
        <w:tc>
          <w:tcPr>
            <w:tcW w:w="227" w:type="pct"/>
            <w:shd w:val="clear" w:color="auto" w:fill="auto"/>
          </w:tcPr>
          <w:p w14:paraId="0836EAF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7,6</w:t>
            </w:r>
          </w:p>
        </w:tc>
        <w:tc>
          <w:tcPr>
            <w:tcW w:w="227" w:type="pct"/>
            <w:shd w:val="clear" w:color="auto" w:fill="auto"/>
          </w:tcPr>
          <w:p w14:paraId="3DE0ECF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7,2</w:t>
            </w:r>
          </w:p>
        </w:tc>
        <w:tc>
          <w:tcPr>
            <w:tcW w:w="227" w:type="pct"/>
            <w:shd w:val="clear" w:color="auto" w:fill="auto"/>
          </w:tcPr>
          <w:p w14:paraId="78F03E8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8,1</w:t>
            </w:r>
          </w:p>
        </w:tc>
        <w:tc>
          <w:tcPr>
            <w:tcW w:w="227" w:type="pct"/>
            <w:shd w:val="clear" w:color="auto" w:fill="auto"/>
          </w:tcPr>
          <w:p w14:paraId="339CEAF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8,4</w:t>
            </w:r>
          </w:p>
        </w:tc>
        <w:tc>
          <w:tcPr>
            <w:tcW w:w="227" w:type="pct"/>
            <w:shd w:val="clear" w:color="auto" w:fill="auto"/>
          </w:tcPr>
          <w:p w14:paraId="25EDBDC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8,5</w:t>
            </w:r>
          </w:p>
        </w:tc>
        <w:tc>
          <w:tcPr>
            <w:tcW w:w="227" w:type="pct"/>
            <w:shd w:val="clear" w:color="auto" w:fill="auto"/>
          </w:tcPr>
          <w:p w14:paraId="2C9529F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10,2</w:t>
            </w:r>
          </w:p>
        </w:tc>
        <w:tc>
          <w:tcPr>
            <w:tcW w:w="227" w:type="pct"/>
            <w:shd w:val="clear" w:color="auto" w:fill="auto"/>
          </w:tcPr>
          <w:p w14:paraId="7176EF6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3,1</w:t>
            </w:r>
          </w:p>
        </w:tc>
        <w:tc>
          <w:tcPr>
            <w:tcW w:w="227" w:type="pct"/>
            <w:shd w:val="clear" w:color="auto" w:fill="auto"/>
          </w:tcPr>
          <w:p w14:paraId="7ACBD92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3,1</w:t>
            </w:r>
          </w:p>
        </w:tc>
        <w:tc>
          <w:tcPr>
            <w:tcW w:w="493" w:type="pct"/>
            <w:shd w:val="clear" w:color="auto" w:fill="auto"/>
          </w:tcPr>
          <w:p w14:paraId="79567B9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50</w:t>
            </w:r>
          </w:p>
        </w:tc>
        <w:tc>
          <w:tcPr>
            <w:tcW w:w="1652" w:type="pct"/>
            <w:shd w:val="clear" w:color="auto" w:fill="auto"/>
          </w:tcPr>
          <w:p w14:paraId="05D13D22"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Compléxométrie  Méthode Merck avec standard</w:t>
            </w:r>
          </w:p>
        </w:tc>
      </w:tr>
      <w:tr w:rsidR="002C66D7" w:rsidRPr="00420C1B" w14:paraId="02ABB013" w14:textId="77777777" w:rsidTr="00420C1B">
        <w:trPr>
          <w:jc w:val="center"/>
        </w:trPr>
        <w:tc>
          <w:tcPr>
            <w:tcW w:w="160" w:type="pct"/>
            <w:tcBorders>
              <w:right w:val="single" w:sz="4" w:space="0" w:color="7F7F7F"/>
            </w:tcBorders>
            <w:shd w:val="clear" w:color="auto" w:fill="FFFFFF"/>
          </w:tcPr>
          <w:p w14:paraId="25F71995"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19</w:t>
            </w:r>
          </w:p>
        </w:tc>
        <w:tc>
          <w:tcPr>
            <w:tcW w:w="880" w:type="pct"/>
            <w:shd w:val="clear" w:color="auto" w:fill="F2F2F2"/>
          </w:tcPr>
          <w:p w14:paraId="139D2F57"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THT °F</w:t>
            </w:r>
          </w:p>
        </w:tc>
        <w:tc>
          <w:tcPr>
            <w:tcW w:w="227" w:type="pct"/>
            <w:shd w:val="clear" w:color="auto" w:fill="F2F2F2"/>
          </w:tcPr>
          <w:p w14:paraId="102DD7A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8,6</w:t>
            </w:r>
          </w:p>
        </w:tc>
        <w:tc>
          <w:tcPr>
            <w:tcW w:w="227" w:type="pct"/>
            <w:shd w:val="clear" w:color="auto" w:fill="F2F2F2"/>
          </w:tcPr>
          <w:p w14:paraId="49B6DA3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8,9</w:t>
            </w:r>
          </w:p>
        </w:tc>
        <w:tc>
          <w:tcPr>
            <w:tcW w:w="227" w:type="pct"/>
            <w:shd w:val="clear" w:color="auto" w:fill="F2F2F2"/>
          </w:tcPr>
          <w:p w14:paraId="06DF355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9,1</w:t>
            </w:r>
          </w:p>
        </w:tc>
        <w:tc>
          <w:tcPr>
            <w:tcW w:w="227" w:type="pct"/>
            <w:shd w:val="clear" w:color="auto" w:fill="F2F2F2"/>
          </w:tcPr>
          <w:p w14:paraId="3C0D587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9,7</w:t>
            </w:r>
          </w:p>
        </w:tc>
        <w:tc>
          <w:tcPr>
            <w:tcW w:w="227" w:type="pct"/>
            <w:shd w:val="clear" w:color="auto" w:fill="F2F2F2"/>
          </w:tcPr>
          <w:p w14:paraId="67089B1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w:t>
            </w:r>
          </w:p>
        </w:tc>
        <w:tc>
          <w:tcPr>
            <w:tcW w:w="227" w:type="pct"/>
            <w:shd w:val="clear" w:color="auto" w:fill="F2F2F2"/>
          </w:tcPr>
          <w:p w14:paraId="503369F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12,9</w:t>
            </w:r>
          </w:p>
        </w:tc>
        <w:tc>
          <w:tcPr>
            <w:tcW w:w="227" w:type="pct"/>
            <w:shd w:val="clear" w:color="auto" w:fill="F2F2F2"/>
          </w:tcPr>
          <w:p w14:paraId="5F7639E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3,7</w:t>
            </w:r>
          </w:p>
        </w:tc>
        <w:tc>
          <w:tcPr>
            <w:tcW w:w="227" w:type="pct"/>
            <w:shd w:val="clear" w:color="auto" w:fill="F2F2F2"/>
          </w:tcPr>
          <w:p w14:paraId="5597F35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3,7</w:t>
            </w:r>
          </w:p>
        </w:tc>
        <w:tc>
          <w:tcPr>
            <w:tcW w:w="493" w:type="pct"/>
            <w:shd w:val="clear" w:color="auto" w:fill="F2F2F2"/>
          </w:tcPr>
          <w:p w14:paraId="4160033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10 - 35</w:t>
            </w:r>
          </w:p>
        </w:tc>
        <w:tc>
          <w:tcPr>
            <w:tcW w:w="1652" w:type="pct"/>
            <w:shd w:val="clear" w:color="auto" w:fill="F2F2F2"/>
          </w:tcPr>
          <w:p w14:paraId="1B6812F3" w14:textId="77777777" w:rsidR="0015245E" w:rsidRPr="00420C1B" w:rsidRDefault="0015245E" w:rsidP="00420C1B">
            <w:pPr>
              <w:spacing w:after="0" w:line="240" w:lineRule="auto"/>
              <w:rPr>
                <w:rFonts w:ascii="Times New Roman" w:hAnsi="Times New Roman"/>
                <w:sz w:val="20"/>
                <w:szCs w:val="20"/>
              </w:rPr>
            </w:pPr>
          </w:p>
        </w:tc>
      </w:tr>
      <w:tr w:rsidR="002C66D7" w:rsidRPr="00420C1B" w14:paraId="4F84B327" w14:textId="77777777" w:rsidTr="00420C1B">
        <w:trPr>
          <w:jc w:val="center"/>
        </w:trPr>
        <w:tc>
          <w:tcPr>
            <w:tcW w:w="160" w:type="pct"/>
            <w:tcBorders>
              <w:right w:val="single" w:sz="4" w:space="0" w:color="7F7F7F"/>
            </w:tcBorders>
            <w:shd w:val="clear" w:color="auto" w:fill="FFFFFF"/>
          </w:tcPr>
          <w:p w14:paraId="0F8E7A6F"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20</w:t>
            </w:r>
          </w:p>
        </w:tc>
        <w:tc>
          <w:tcPr>
            <w:tcW w:w="880" w:type="pct"/>
            <w:shd w:val="clear" w:color="auto" w:fill="auto"/>
          </w:tcPr>
          <w:p w14:paraId="67FBAA46"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Fer total</w:t>
            </w:r>
          </w:p>
        </w:tc>
        <w:tc>
          <w:tcPr>
            <w:tcW w:w="227" w:type="pct"/>
            <w:shd w:val="clear" w:color="auto" w:fill="auto"/>
          </w:tcPr>
          <w:p w14:paraId="3CC027E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auto"/>
          </w:tcPr>
          <w:p w14:paraId="32C6C48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auto"/>
          </w:tcPr>
          <w:p w14:paraId="0E6DFDB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auto"/>
          </w:tcPr>
          <w:p w14:paraId="2CABB97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auto"/>
          </w:tcPr>
          <w:p w14:paraId="52F7BFF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0,3</w:t>
            </w:r>
          </w:p>
        </w:tc>
        <w:tc>
          <w:tcPr>
            <w:tcW w:w="227" w:type="pct"/>
            <w:shd w:val="clear" w:color="auto" w:fill="auto"/>
          </w:tcPr>
          <w:p w14:paraId="058CFCA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auto"/>
          </w:tcPr>
          <w:p w14:paraId="0CC4EE1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auto"/>
          </w:tcPr>
          <w:p w14:paraId="79EF431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0,2</w:t>
            </w:r>
          </w:p>
        </w:tc>
        <w:tc>
          <w:tcPr>
            <w:tcW w:w="493" w:type="pct"/>
            <w:shd w:val="clear" w:color="auto" w:fill="auto"/>
          </w:tcPr>
          <w:p w14:paraId="6AECEB6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Max 0,3</w:t>
            </w:r>
          </w:p>
        </w:tc>
        <w:tc>
          <w:tcPr>
            <w:tcW w:w="1652" w:type="pct"/>
            <w:shd w:val="clear" w:color="auto" w:fill="auto"/>
          </w:tcPr>
          <w:p w14:paraId="1E0F6439"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Iso 6332 (Orthophénanthroline)</w:t>
            </w:r>
          </w:p>
        </w:tc>
      </w:tr>
      <w:tr w:rsidR="002C66D7" w:rsidRPr="00420C1B" w14:paraId="5C43A5B7" w14:textId="77777777" w:rsidTr="00420C1B">
        <w:trPr>
          <w:jc w:val="center"/>
        </w:trPr>
        <w:tc>
          <w:tcPr>
            <w:tcW w:w="160" w:type="pct"/>
            <w:tcBorders>
              <w:right w:val="single" w:sz="4" w:space="0" w:color="7F7F7F"/>
            </w:tcBorders>
            <w:shd w:val="clear" w:color="auto" w:fill="FFFFFF"/>
          </w:tcPr>
          <w:p w14:paraId="30D9ADD8"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21</w:t>
            </w:r>
          </w:p>
        </w:tc>
        <w:tc>
          <w:tcPr>
            <w:tcW w:w="880" w:type="pct"/>
            <w:shd w:val="clear" w:color="auto" w:fill="F2F2F2"/>
          </w:tcPr>
          <w:p w14:paraId="29EF06AB"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Manganèse (Mn) µg/L</w:t>
            </w:r>
          </w:p>
        </w:tc>
        <w:tc>
          <w:tcPr>
            <w:tcW w:w="227" w:type="pct"/>
            <w:shd w:val="clear" w:color="auto" w:fill="F2F2F2"/>
          </w:tcPr>
          <w:p w14:paraId="51DFA7B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0,06</w:t>
            </w:r>
          </w:p>
        </w:tc>
        <w:tc>
          <w:tcPr>
            <w:tcW w:w="227" w:type="pct"/>
            <w:shd w:val="clear" w:color="auto" w:fill="F2F2F2"/>
          </w:tcPr>
          <w:p w14:paraId="0C32BA6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F2F2F2"/>
          </w:tcPr>
          <w:p w14:paraId="1126CD5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227" w:type="pct"/>
            <w:shd w:val="clear" w:color="auto" w:fill="F2F2F2"/>
          </w:tcPr>
          <w:p w14:paraId="18A0C2C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F2F2F2"/>
          </w:tcPr>
          <w:p w14:paraId="6A5DE26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227" w:type="pct"/>
            <w:shd w:val="clear" w:color="auto" w:fill="F2F2F2"/>
          </w:tcPr>
          <w:p w14:paraId="2EC4530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0,08</w:t>
            </w:r>
          </w:p>
        </w:tc>
        <w:tc>
          <w:tcPr>
            <w:tcW w:w="227" w:type="pct"/>
            <w:shd w:val="clear" w:color="auto" w:fill="F2F2F2"/>
          </w:tcPr>
          <w:p w14:paraId="3CB20EC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227" w:type="pct"/>
            <w:shd w:val="clear" w:color="auto" w:fill="F2F2F2"/>
          </w:tcPr>
          <w:p w14:paraId="15EED7D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493" w:type="pct"/>
            <w:shd w:val="clear" w:color="auto" w:fill="F2F2F2"/>
          </w:tcPr>
          <w:p w14:paraId="06DA44B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lang w:val="en-US"/>
              </w:rPr>
              <w:t>&lt; 0,05</w:t>
            </w:r>
          </w:p>
        </w:tc>
        <w:tc>
          <w:tcPr>
            <w:tcW w:w="1652" w:type="pct"/>
            <w:shd w:val="clear" w:color="auto" w:fill="F2F2F2"/>
          </w:tcPr>
          <w:p w14:paraId="7E8C025D"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Colorimétrie (Redox/Periodates de k)</w:t>
            </w:r>
          </w:p>
        </w:tc>
      </w:tr>
      <w:tr w:rsidR="002C66D7" w:rsidRPr="00420C1B" w14:paraId="6EEBD878" w14:textId="77777777" w:rsidTr="00420C1B">
        <w:trPr>
          <w:jc w:val="center"/>
        </w:trPr>
        <w:tc>
          <w:tcPr>
            <w:tcW w:w="160" w:type="pct"/>
            <w:tcBorders>
              <w:right w:val="single" w:sz="4" w:space="0" w:color="7F7F7F"/>
            </w:tcBorders>
            <w:shd w:val="clear" w:color="auto" w:fill="FFFFFF"/>
          </w:tcPr>
          <w:p w14:paraId="2A39481B"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22</w:t>
            </w:r>
          </w:p>
        </w:tc>
        <w:tc>
          <w:tcPr>
            <w:tcW w:w="880" w:type="pct"/>
            <w:shd w:val="clear" w:color="auto" w:fill="auto"/>
          </w:tcPr>
          <w:p w14:paraId="728FF97D" w14:textId="77777777" w:rsidR="0015245E" w:rsidRPr="00420C1B" w:rsidRDefault="0015245E" w:rsidP="00420C1B">
            <w:pPr>
              <w:spacing w:after="0" w:line="240" w:lineRule="auto"/>
              <w:jc w:val="both"/>
              <w:rPr>
                <w:rFonts w:ascii="Times New Roman" w:hAnsi="Times New Roman"/>
                <w:sz w:val="20"/>
                <w:szCs w:val="20"/>
                <w:lang w:val="en-US"/>
              </w:rPr>
            </w:pPr>
            <w:r w:rsidRPr="00420C1B">
              <w:rPr>
                <w:rFonts w:ascii="Times New Roman" w:hAnsi="Times New Roman"/>
                <w:sz w:val="20"/>
                <w:szCs w:val="20"/>
              </w:rPr>
              <w:t>Mercure (Hg) µg/L</w:t>
            </w:r>
          </w:p>
        </w:tc>
        <w:tc>
          <w:tcPr>
            <w:tcW w:w="227" w:type="pct"/>
            <w:shd w:val="clear" w:color="auto" w:fill="auto"/>
          </w:tcPr>
          <w:p w14:paraId="18632DC5"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2FDF8DB3"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2E4BC92C"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2C7158DB"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0,004</w:t>
            </w:r>
          </w:p>
        </w:tc>
        <w:tc>
          <w:tcPr>
            <w:tcW w:w="227" w:type="pct"/>
            <w:shd w:val="clear" w:color="auto" w:fill="auto"/>
          </w:tcPr>
          <w:p w14:paraId="136A820F"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780C2B46"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05E5149E"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227" w:type="pct"/>
            <w:shd w:val="clear" w:color="auto" w:fill="auto"/>
          </w:tcPr>
          <w:p w14:paraId="4054B25D"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lang w:val="en-US"/>
              </w:rPr>
              <w:t>0,001</w:t>
            </w:r>
          </w:p>
        </w:tc>
        <w:tc>
          <w:tcPr>
            <w:tcW w:w="493" w:type="pct"/>
            <w:shd w:val="clear" w:color="auto" w:fill="auto"/>
          </w:tcPr>
          <w:p w14:paraId="0C4B5FC6"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rPr>
              <w:t>&lt; 0,001</w:t>
            </w:r>
          </w:p>
        </w:tc>
        <w:tc>
          <w:tcPr>
            <w:tcW w:w="1652" w:type="pct"/>
            <w:shd w:val="clear" w:color="auto" w:fill="auto"/>
          </w:tcPr>
          <w:p w14:paraId="42A5D511" w14:textId="77777777" w:rsidR="0015245E" w:rsidRPr="00420C1B" w:rsidRDefault="0015245E" w:rsidP="00420C1B">
            <w:pPr>
              <w:spacing w:after="0" w:line="240" w:lineRule="auto"/>
              <w:rPr>
                <w:rFonts w:ascii="Times New Roman" w:hAnsi="Times New Roman"/>
                <w:sz w:val="20"/>
                <w:szCs w:val="20"/>
                <w:lang w:val="en-US"/>
              </w:rPr>
            </w:pPr>
          </w:p>
        </w:tc>
      </w:tr>
      <w:tr w:rsidR="002C66D7" w:rsidRPr="00420C1B" w14:paraId="1622ABF3" w14:textId="77777777" w:rsidTr="00420C1B">
        <w:trPr>
          <w:jc w:val="center"/>
        </w:trPr>
        <w:tc>
          <w:tcPr>
            <w:tcW w:w="160" w:type="pct"/>
            <w:tcBorders>
              <w:right w:val="single" w:sz="4" w:space="0" w:color="7F7F7F"/>
            </w:tcBorders>
            <w:shd w:val="clear" w:color="auto" w:fill="FFFFFF"/>
          </w:tcPr>
          <w:p w14:paraId="68DC77FD"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23</w:t>
            </w:r>
          </w:p>
        </w:tc>
        <w:tc>
          <w:tcPr>
            <w:tcW w:w="880" w:type="pct"/>
            <w:shd w:val="clear" w:color="auto" w:fill="F2F2F2"/>
          </w:tcPr>
          <w:p w14:paraId="6CF4239D"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Plomb(Pb) µg/L</w:t>
            </w:r>
          </w:p>
        </w:tc>
        <w:tc>
          <w:tcPr>
            <w:tcW w:w="227" w:type="pct"/>
            <w:shd w:val="clear" w:color="auto" w:fill="F2F2F2"/>
          </w:tcPr>
          <w:p w14:paraId="6D071DC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5,5</w:t>
            </w:r>
          </w:p>
        </w:tc>
        <w:tc>
          <w:tcPr>
            <w:tcW w:w="227" w:type="pct"/>
            <w:shd w:val="clear" w:color="auto" w:fill="F2F2F2"/>
          </w:tcPr>
          <w:p w14:paraId="450ED3F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8,06</w:t>
            </w:r>
          </w:p>
        </w:tc>
        <w:tc>
          <w:tcPr>
            <w:tcW w:w="227" w:type="pct"/>
            <w:shd w:val="clear" w:color="auto" w:fill="F2F2F2"/>
          </w:tcPr>
          <w:p w14:paraId="64E718E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11,20</w:t>
            </w:r>
          </w:p>
        </w:tc>
        <w:tc>
          <w:tcPr>
            <w:tcW w:w="227" w:type="pct"/>
            <w:shd w:val="clear" w:color="auto" w:fill="F2F2F2"/>
          </w:tcPr>
          <w:p w14:paraId="10B426A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17,01</w:t>
            </w:r>
          </w:p>
        </w:tc>
        <w:tc>
          <w:tcPr>
            <w:tcW w:w="227" w:type="pct"/>
            <w:shd w:val="clear" w:color="auto" w:fill="F2F2F2"/>
          </w:tcPr>
          <w:p w14:paraId="6A3B6D0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12,00</w:t>
            </w:r>
          </w:p>
        </w:tc>
        <w:tc>
          <w:tcPr>
            <w:tcW w:w="227" w:type="pct"/>
            <w:shd w:val="clear" w:color="auto" w:fill="F2F2F2"/>
          </w:tcPr>
          <w:p w14:paraId="04D233E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18,05</w:t>
            </w:r>
          </w:p>
        </w:tc>
        <w:tc>
          <w:tcPr>
            <w:tcW w:w="227" w:type="pct"/>
            <w:shd w:val="clear" w:color="auto" w:fill="F2F2F2"/>
          </w:tcPr>
          <w:p w14:paraId="0F1F068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7,08</w:t>
            </w:r>
          </w:p>
        </w:tc>
        <w:tc>
          <w:tcPr>
            <w:tcW w:w="227" w:type="pct"/>
            <w:shd w:val="clear" w:color="auto" w:fill="F2F2F2"/>
          </w:tcPr>
          <w:p w14:paraId="344962E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7,05</w:t>
            </w:r>
          </w:p>
        </w:tc>
        <w:tc>
          <w:tcPr>
            <w:tcW w:w="493" w:type="pct"/>
            <w:shd w:val="clear" w:color="auto" w:fill="F2F2F2"/>
          </w:tcPr>
          <w:p w14:paraId="7E64CC5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lang w:val="en-US"/>
              </w:rPr>
              <w:t>10</w:t>
            </w:r>
          </w:p>
        </w:tc>
        <w:tc>
          <w:tcPr>
            <w:tcW w:w="1652" w:type="pct"/>
            <w:shd w:val="clear" w:color="auto" w:fill="F2F2F2"/>
          </w:tcPr>
          <w:p w14:paraId="7BFF8F20"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Titrimétrie (Méthode Merck avec standard)</w:t>
            </w:r>
          </w:p>
        </w:tc>
      </w:tr>
      <w:tr w:rsidR="002C66D7" w:rsidRPr="00420C1B" w14:paraId="2F46696C" w14:textId="77777777" w:rsidTr="00420C1B">
        <w:trPr>
          <w:jc w:val="center"/>
        </w:trPr>
        <w:tc>
          <w:tcPr>
            <w:tcW w:w="160" w:type="pct"/>
            <w:tcBorders>
              <w:right w:val="single" w:sz="4" w:space="0" w:color="7F7F7F"/>
            </w:tcBorders>
            <w:shd w:val="clear" w:color="auto" w:fill="FFFFFF"/>
          </w:tcPr>
          <w:p w14:paraId="4B2B3D5A" w14:textId="77777777" w:rsidR="0015245E" w:rsidRPr="00420C1B" w:rsidRDefault="0015245E" w:rsidP="00420C1B">
            <w:pPr>
              <w:spacing w:after="0" w:line="240" w:lineRule="auto"/>
              <w:jc w:val="both"/>
              <w:rPr>
                <w:rFonts w:ascii="Times New Roman" w:eastAsia="Times New Roman" w:hAnsi="Times New Roman"/>
                <w:i/>
                <w:iCs/>
                <w:sz w:val="20"/>
                <w:szCs w:val="20"/>
              </w:rPr>
            </w:pPr>
            <w:r w:rsidRPr="00420C1B">
              <w:rPr>
                <w:rFonts w:ascii="Times New Roman" w:eastAsia="Times New Roman" w:hAnsi="Times New Roman"/>
                <w:i/>
                <w:iCs/>
                <w:sz w:val="20"/>
                <w:szCs w:val="20"/>
              </w:rPr>
              <w:t>24</w:t>
            </w:r>
          </w:p>
        </w:tc>
        <w:tc>
          <w:tcPr>
            <w:tcW w:w="880" w:type="pct"/>
            <w:shd w:val="clear" w:color="auto" w:fill="auto"/>
          </w:tcPr>
          <w:p w14:paraId="54DD88C0"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Nickel (Ni) µg/L</w:t>
            </w:r>
          </w:p>
        </w:tc>
        <w:tc>
          <w:tcPr>
            <w:tcW w:w="227" w:type="pct"/>
            <w:shd w:val="clear" w:color="auto" w:fill="auto"/>
          </w:tcPr>
          <w:p w14:paraId="51D40C8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227" w:type="pct"/>
            <w:shd w:val="clear" w:color="auto" w:fill="auto"/>
          </w:tcPr>
          <w:p w14:paraId="4EF1B4F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0,04</w:t>
            </w:r>
          </w:p>
        </w:tc>
        <w:tc>
          <w:tcPr>
            <w:tcW w:w="227" w:type="pct"/>
            <w:shd w:val="clear" w:color="auto" w:fill="auto"/>
          </w:tcPr>
          <w:p w14:paraId="29B94A3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0,07</w:t>
            </w:r>
          </w:p>
        </w:tc>
        <w:tc>
          <w:tcPr>
            <w:tcW w:w="227" w:type="pct"/>
            <w:shd w:val="clear" w:color="auto" w:fill="auto"/>
          </w:tcPr>
          <w:p w14:paraId="446106E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auto"/>
          </w:tcPr>
          <w:p w14:paraId="5953C85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0,05</w:t>
            </w:r>
          </w:p>
        </w:tc>
        <w:tc>
          <w:tcPr>
            <w:tcW w:w="227" w:type="pct"/>
            <w:shd w:val="clear" w:color="auto" w:fill="auto"/>
          </w:tcPr>
          <w:p w14:paraId="7E391F9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0,06</w:t>
            </w:r>
          </w:p>
        </w:tc>
        <w:tc>
          <w:tcPr>
            <w:tcW w:w="227" w:type="pct"/>
            <w:shd w:val="clear" w:color="auto" w:fill="auto"/>
          </w:tcPr>
          <w:p w14:paraId="707F002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227" w:type="pct"/>
            <w:shd w:val="clear" w:color="auto" w:fill="auto"/>
          </w:tcPr>
          <w:p w14:paraId="5336FAC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493" w:type="pct"/>
            <w:shd w:val="clear" w:color="auto" w:fill="auto"/>
          </w:tcPr>
          <w:p w14:paraId="7F4010FD" w14:textId="77777777" w:rsidR="0015245E" w:rsidRPr="00420C1B" w:rsidRDefault="0015245E" w:rsidP="00420C1B">
            <w:pPr>
              <w:spacing w:after="0" w:line="240" w:lineRule="auto"/>
              <w:jc w:val="center"/>
              <w:rPr>
                <w:rFonts w:ascii="Times New Roman" w:hAnsi="Times New Roman"/>
                <w:sz w:val="20"/>
                <w:szCs w:val="20"/>
                <w:lang w:val="en-US"/>
              </w:rPr>
            </w:pPr>
            <w:r w:rsidRPr="00420C1B">
              <w:rPr>
                <w:rFonts w:ascii="Times New Roman" w:hAnsi="Times New Roman"/>
                <w:sz w:val="20"/>
                <w:szCs w:val="20"/>
              </w:rPr>
              <w:t>&lt; 0,05</w:t>
            </w:r>
          </w:p>
        </w:tc>
        <w:tc>
          <w:tcPr>
            <w:tcW w:w="1652" w:type="pct"/>
            <w:shd w:val="clear" w:color="auto" w:fill="auto"/>
          </w:tcPr>
          <w:p w14:paraId="57D8B28B"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Compléxométrie Méthode Merck avec standard</w:t>
            </w:r>
          </w:p>
        </w:tc>
      </w:tr>
      <w:tr w:rsidR="002C66D7" w:rsidRPr="00420C1B" w14:paraId="0295F4D5" w14:textId="77777777" w:rsidTr="00420C1B">
        <w:trPr>
          <w:jc w:val="center"/>
        </w:trPr>
        <w:tc>
          <w:tcPr>
            <w:tcW w:w="160" w:type="pct"/>
            <w:tcBorders>
              <w:right w:val="single" w:sz="4" w:space="0" w:color="7F7F7F"/>
            </w:tcBorders>
            <w:shd w:val="clear" w:color="auto" w:fill="FFFFFF"/>
          </w:tcPr>
          <w:p w14:paraId="3B470F6E"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25</w:t>
            </w:r>
          </w:p>
        </w:tc>
        <w:tc>
          <w:tcPr>
            <w:tcW w:w="880" w:type="pct"/>
            <w:shd w:val="clear" w:color="auto" w:fill="F2F2F2"/>
          </w:tcPr>
          <w:p w14:paraId="3027B578"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Cuivre (Cu)  µg/L</w:t>
            </w:r>
          </w:p>
        </w:tc>
        <w:tc>
          <w:tcPr>
            <w:tcW w:w="227" w:type="pct"/>
            <w:shd w:val="clear" w:color="auto" w:fill="F2F2F2"/>
          </w:tcPr>
          <w:p w14:paraId="7E69938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0,06</w:t>
            </w:r>
          </w:p>
        </w:tc>
        <w:tc>
          <w:tcPr>
            <w:tcW w:w="227" w:type="pct"/>
            <w:shd w:val="clear" w:color="auto" w:fill="F2F2F2"/>
          </w:tcPr>
          <w:p w14:paraId="334CD70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0,05</w:t>
            </w:r>
          </w:p>
        </w:tc>
        <w:tc>
          <w:tcPr>
            <w:tcW w:w="227" w:type="pct"/>
            <w:shd w:val="clear" w:color="auto" w:fill="F2F2F2"/>
          </w:tcPr>
          <w:p w14:paraId="25E27B5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0,1</w:t>
            </w:r>
          </w:p>
        </w:tc>
        <w:tc>
          <w:tcPr>
            <w:tcW w:w="227" w:type="pct"/>
            <w:shd w:val="clear" w:color="auto" w:fill="F2F2F2"/>
          </w:tcPr>
          <w:p w14:paraId="7CA38BB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0,07</w:t>
            </w:r>
          </w:p>
        </w:tc>
        <w:tc>
          <w:tcPr>
            <w:tcW w:w="227" w:type="pct"/>
            <w:shd w:val="clear" w:color="auto" w:fill="F2F2F2"/>
          </w:tcPr>
          <w:p w14:paraId="293462D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0,05</w:t>
            </w:r>
          </w:p>
        </w:tc>
        <w:tc>
          <w:tcPr>
            <w:tcW w:w="227" w:type="pct"/>
            <w:shd w:val="clear" w:color="auto" w:fill="F2F2F2"/>
          </w:tcPr>
          <w:p w14:paraId="59BFDCB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0,05</w:t>
            </w:r>
          </w:p>
        </w:tc>
        <w:tc>
          <w:tcPr>
            <w:tcW w:w="227" w:type="pct"/>
            <w:shd w:val="clear" w:color="auto" w:fill="F2F2F2"/>
          </w:tcPr>
          <w:p w14:paraId="30825A4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227" w:type="pct"/>
            <w:shd w:val="clear" w:color="auto" w:fill="F2F2F2"/>
          </w:tcPr>
          <w:p w14:paraId="13CF1A4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0,04</w:t>
            </w:r>
          </w:p>
        </w:tc>
        <w:tc>
          <w:tcPr>
            <w:tcW w:w="493" w:type="pct"/>
            <w:shd w:val="clear" w:color="auto" w:fill="F2F2F2"/>
          </w:tcPr>
          <w:p w14:paraId="0B31167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0,05</w:t>
            </w:r>
          </w:p>
        </w:tc>
        <w:tc>
          <w:tcPr>
            <w:tcW w:w="1652" w:type="pct"/>
            <w:shd w:val="clear" w:color="auto" w:fill="F2F2F2"/>
          </w:tcPr>
          <w:p w14:paraId="75380EA0"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Colorimétrie (Diéthyldithio Carbamate)</w:t>
            </w:r>
          </w:p>
        </w:tc>
      </w:tr>
      <w:tr w:rsidR="002C66D7" w:rsidRPr="00420C1B" w14:paraId="12B363AD" w14:textId="77777777" w:rsidTr="00420C1B">
        <w:trPr>
          <w:jc w:val="center"/>
        </w:trPr>
        <w:tc>
          <w:tcPr>
            <w:tcW w:w="160" w:type="pct"/>
            <w:tcBorders>
              <w:right w:val="single" w:sz="4" w:space="0" w:color="7F7F7F"/>
            </w:tcBorders>
            <w:shd w:val="clear" w:color="auto" w:fill="FFFFFF"/>
          </w:tcPr>
          <w:p w14:paraId="4DDE47A6"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26</w:t>
            </w:r>
          </w:p>
        </w:tc>
        <w:tc>
          <w:tcPr>
            <w:tcW w:w="880" w:type="pct"/>
            <w:shd w:val="clear" w:color="auto" w:fill="auto"/>
          </w:tcPr>
          <w:p w14:paraId="636F94F4"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Chrome (Cr) µg/L</w:t>
            </w:r>
          </w:p>
        </w:tc>
        <w:tc>
          <w:tcPr>
            <w:tcW w:w="227" w:type="pct"/>
            <w:shd w:val="clear" w:color="auto" w:fill="auto"/>
          </w:tcPr>
          <w:p w14:paraId="4AB249D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227" w:type="pct"/>
            <w:shd w:val="clear" w:color="auto" w:fill="auto"/>
          </w:tcPr>
          <w:p w14:paraId="34C7272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0,04</w:t>
            </w:r>
          </w:p>
        </w:tc>
        <w:tc>
          <w:tcPr>
            <w:tcW w:w="227" w:type="pct"/>
            <w:shd w:val="clear" w:color="auto" w:fill="auto"/>
          </w:tcPr>
          <w:p w14:paraId="5735D48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0,05</w:t>
            </w:r>
          </w:p>
        </w:tc>
        <w:tc>
          <w:tcPr>
            <w:tcW w:w="227" w:type="pct"/>
            <w:shd w:val="clear" w:color="auto" w:fill="auto"/>
          </w:tcPr>
          <w:p w14:paraId="4727960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0,08</w:t>
            </w:r>
          </w:p>
        </w:tc>
        <w:tc>
          <w:tcPr>
            <w:tcW w:w="227" w:type="pct"/>
            <w:shd w:val="clear" w:color="auto" w:fill="auto"/>
          </w:tcPr>
          <w:p w14:paraId="54B2CFC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0,02</w:t>
            </w:r>
          </w:p>
        </w:tc>
        <w:tc>
          <w:tcPr>
            <w:tcW w:w="227" w:type="pct"/>
            <w:shd w:val="clear" w:color="auto" w:fill="auto"/>
          </w:tcPr>
          <w:p w14:paraId="6ADAB5B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0,06</w:t>
            </w:r>
          </w:p>
        </w:tc>
        <w:tc>
          <w:tcPr>
            <w:tcW w:w="227" w:type="pct"/>
            <w:shd w:val="clear" w:color="auto" w:fill="auto"/>
          </w:tcPr>
          <w:p w14:paraId="637A7AA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227" w:type="pct"/>
            <w:shd w:val="clear" w:color="auto" w:fill="auto"/>
          </w:tcPr>
          <w:p w14:paraId="6CBF7F93"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493" w:type="pct"/>
            <w:shd w:val="clear" w:color="auto" w:fill="auto"/>
          </w:tcPr>
          <w:p w14:paraId="098E2BB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0,05</w:t>
            </w:r>
          </w:p>
        </w:tc>
        <w:tc>
          <w:tcPr>
            <w:tcW w:w="1652" w:type="pct"/>
            <w:shd w:val="clear" w:color="auto" w:fill="auto"/>
          </w:tcPr>
          <w:p w14:paraId="2E306C31"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Méthode de SONE et (Méthode avec le Diphenylcarbazide)</w:t>
            </w:r>
          </w:p>
        </w:tc>
      </w:tr>
      <w:tr w:rsidR="002C66D7" w:rsidRPr="00420C1B" w14:paraId="5ABE58D4" w14:textId="77777777" w:rsidTr="00420C1B">
        <w:trPr>
          <w:jc w:val="center"/>
        </w:trPr>
        <w:tc>
          <w:tcPr>
            <w:tcW w:w="160" w:type="pct"/>
            <w:tcBorders>
              <w:right w:val="single" w:sz="4" w:space="0" w:color="7F7F7F"/>
            </w:tcBorders>
            <w:shd w:val="clear" w:color="auto" w:fill="FFFFFF"/>
          </w:tcPr>
          <w:p w14:paraId="0703AF74"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27</w:t>
            </w:r>
          </w:p>
        </w:tc>
        <w:tc>
          <w:tcPr>
            <w:tcW w:w="880" w:type="pct"/>
            <w:shd w:val="clear" w:color="auto" w:fill="F2F2F2"/>
          </w:tcPr>
          <w:p w14:paraId="336EB32F"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Azote (N) mg/Kg</w:t>
            </w:r>
          </w:p>
        </w:tc>
        <w:tc>
          <w:tcPr>
            <w:tcW w:w="227" w:type="pct"/>
            <w:shd w:val="clear" w:color="auto" w:fill="F2F2F2"/>
          </w:tcPr>
          <w:p w14:paraId="38DCD4D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0,6</w:t>
            </w:r>
          </w:p>
        </w:tc>
        <w:tc>
          <w:tcPr>
            <w:tcW w:w="227" w:type="pct"/>
            <w:shd w:val="clear" w:color="auto" w:fill="F2F2F2"/>
          </w:tcPr>
          <w:p w14:paraId="0ADDE98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0,4</w:t>
            </w:r>
          </w:p>
        </w:tc>
        <w:tc>
          <w:tcPr>
            <w:tcW w:w="227" w:type="pct"/>
            <w:shd w:val="clear" w:color="auto" w:fill="F2F2F2"/>
          </w:tcPr>
          <w:p w14:paraId="7E54234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0,9</w:t>
            </w:r>
          </w:p>
        </w:tc>
        <w:tc>
          <w:tcPr>
            <w:tcW w:w="227" w:type="pct"/>
            <w:shd w:val="clear" w:color="auto" w:fill="F2F2F2"/>
          </w:tcPr>
          <w:p w14:paraId="7CDA28B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0,8</w:t>
            </w:r>
          </w:p>
        </w:tc>
        <w:tc>
          <w:tcPr>
            <w:tcW w:w="227" w:type="pct"/>
            <w:shd w:val="clear" w:color="auto" w:fill="F2F2F2"/>
          </w:tcPr>
          <w:p w14:paraId="5858F11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0,6</w:t>
            </w:r>
          </w:p>
        </w:tc>
        <w:tc>
          <w:tcPr>
            <w:tcW w:w="227" w:type="pct"/>
            <w:shd w:val="clear" w:color="auto" w:fill="F2F2F2"/>
          </w:tcPr>
          <w:p w14:paraId="6725B587"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0,5</w:t>
            </w:r>
          </w:p>
        </w:tc>
        <w:tc>
          <w:tcPr>
            <w:tcW w:w="227" w:type="pct"/>
            <w:shd w:val="clear" w:color="auto" w:fill="F2F2F2"/>
          </w:tcPr>
          <w:p w14:paraId="2CB1E26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0,3</w:t>
            </w:r>
          </w:p>
        </w:tc>
        <w:tc>
          <w:tcPr>
            <w:tcW w:w="227" w:type="pct"/>
            <w:shd w:val="clear" w:color="auto" w:fill="F2F2F2"/>
          </w:tcPr>
          <w:p w14:paraId="3F471B2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0,2</w:t>
            </w:r>
          </w:p>
        </w:tc>
        <w:tc>
          <w:tcPr>
            <w:tcW w:w="493" w:type="pct"/>
            <w:shd w:val="clear" w:color="auto" w:fill="F2F2F2"/>
          </w:tcPr>
          <w:p w14:paraId="25EA691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1</w:t>
            </w:r>
          </w:p>
        </w:tc>
        <w:tc>
          <w:tcPr>
            <w:tcW w:w="1652" w:type="pct"/>
            <w:shd w:val="clear" w:color="auto" w:fill="F2F2F2"/>
          </w:tcPr>
          <w:p w14:paraId="2CCD4AE1"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Distillation (Kjedhal)</w:t>
            </w:r>
          </w:p>
        </w:tc>
      </w:tr>
      <w:tr w:rsidR="002C66D7" w:rsidRPr="00420C1B" w14:paraId="48FA8253" w14:textId="77777777" w:rsidTr="00420C1B">
        <w:trPr>
          <w:jc w:val="center"/>
        </w:trPr>
        <w:tc>
          <w:tcPr>
            <w:tcW w:w="160" w:type="pct"/>
            <w:tcBorders>
              <w:right w:val="single" w:sz="4" w:space="0" w:color="7F7F7F"/>
            </w:tcBorders>
            <w:shd w:val="clear" w:color="auto" w:fill="FFFFFF"/>
          </w:tcPr>
          <w:p w14:paraId="5362949B"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28</w:t>
            </w:r>
          </w:p>
        </w:tc>
        <w:tc>
          <w:tcPr>
            <w:tcW w:w="880" w:type="pct"/>
            <w:shd w:val="clear" w:color="auto" w:fill="auto"/>
          </w:tcPr>
          <w:p w14:paraId="07EBE51D"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pH d'équilibre</w:t>
            </w:r>
          </w:p>
        </w:tc>
        <w:tc>
          <w:tcPr>
            <w:tcW w:w="227" w:type="pct"/>
            <w:shd w:val="clear" w:color="auto" w:fill="auto"/>
          </w:tcPr>
          <w:p w14:paraId="7FC1451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10,44</w:t>
            </w:r>
          </w:p>
        </w:tc>
        <w:tc>
          <w:tcPr>
            <w:tcW w:w="227" w:type="pct"/>
            <w:shd w:val="clear" w:color="auto" w:fill="auto"/>
          </w:tcPr>
          <w:p w14:paraId="3484DFC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9,49</w:t>
            </w:r>
          </w:p>
        </w:tc>
        <w:tc>
          <w:tcPr>
            <w:tcW w:w="227" w:type="pct"/>
            <w:shd w:val="clear" w:color="auto" w:fill="auto"/>
          </w:tcPr>
          <w:p w14:paraId="688A579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9,85</w:t>
            </w:r>
          </w:p>
        </w:tc>
        <w:tc>
          <w:tcPr>
            <w:tcW w:w="227" w:type="pct"/>
            <w:shd w:val="clear" w:color="auto" w:fill="auto"/>
          </w:tcPr>
          <w:p w14:paraId="1E4E5A4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10,04</w:t>
            </w:r>
          </w:p>
        </w:tc>
        <w:tc>
          <w:tcPr>
            <w:tcW w:w="227" w:type="pct"/>
            <w:shd w:val="clear" w:color="auto" w:fill="auto"/>
          </w:tcPr>
          <w:p w14:paraId="3EEB02C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8,48</w:t>
            </w:r>
          </w:p>
        </w:tc>
        <w:tc>
          <w:tcPr>
            <w:tcW w:w="227" w:type="pct"/>
            <w:shd w:val="clear" w:color="auto" w:fill="auto"/>
          </w:tcPr>
          <w:p w14:paraId="58D67F1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8,44</w:t>
            </w:r>
          </w:p>
        </w:tc>
        <w:tc>
          <w:tcPr>
            <w:tcW w:w="227" w:type="pct"/>
            <w:shd w:val="clear" w:color="auto" w:fill="auto"/>
          </w:tcPr>
          <w:p w14:paraId="37D62CF5"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227" w:type="pct"/>
            <w:shd w:val="clear" w:color="auto" w:fill="auto"/>
          </w:tcPr>
          <w:p w14:paraId="2E879529"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12</w:t>
            </w:r>
          </w:p>
        </w:tc>
        <w:tc>
          <w:tcPr>
            <w:tcW w:w="493" w:type="pct"/>
            <w:shd w:val="clear" w:color="auto" w:fill="auto"/>
          </w:tcPr>
          <w:p w14:paraId="22721DC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w:t>
            </w:r>
          </w:p>
        </w:tc>
        <w:tc>
          <w:tcPr>
            <w:tcW w:w="1652" w:type="pct"/>
            <w:shd w:val="clear" w:color="auto" w:fill="auto"/>
          </w:tcPr>
          <w:p w14:paraId="0EED8456"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Méthode de RATH</w:t>
            </w:r>
          </w:p>
        </w:tc>
      </w:tr>
      <w:tr w:rsidR="002C66D7" w:rsidRPr="00420C1B" w14:paraId="2F9B4699" w14:textId="77777777" w:rsidTr="00420C1B">
        <w:trPr>
          <w:jc w:val="center"/>
        </w:trPr>
        <w:tc>
          <w:tcPr>
            <w:tcW w:w="160" w:type="pct"/>
            <w:tcBorders>
              <w:right w:val="single" w:sz="4" w:space="0" w:color="7F7F7F"/>
            </w:tcBorders>
            <w:shd w:val="clear" w:color="auto" w:fill="FFFFFF"/>
          </w:tcPr>
          <w:p w14:paraId="4D669500"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29</w:t>
            </w:r>
          </w:p>
        </w:tc>
        <w:tc>
          <w:tcPr>
            <w:tcW w:w="880" w:type="pct"/>
            <w:shd w:val="clear" w:color="auto" w:fill="F2F2F2"/>
          </w:tcPr>
          <w:p w14:paraId="736EFB96" w14:textId="77777777" w:rsidR="0015245E" w:rsidRPr="00420C1B" w:rsidRDefault="0015245E" w:rsidP="00420C1B">
            <w:pPr>
              <w:spacing w:after="0" w:line="240" w:lineRule="auto"/>
              <w:jc w:val="both"/>
              <w:rPr>
                <w:rFonts w:ascii="Times New Roman" w:hAnsi="Times New Roman"/>
                <w:sz w:val="20"/>
                <w:szCs w:val="20"/>
              </w:rPr>
            </w:pPr>
            <w:r w:rsidRPr="00420C1B">
              <w:rPr>
                <w:rFonts w:ascii="Times New Roman" w:hAnsi="Times New Roman"/>
                <w:sz w:val="20"/>
                <w:szCs w:val="20"/>
              </w:rPr>
              <w:t>Indice de LANGERLIER</w:t>
            </w:r>
          </w:p>
        </w:tc>
        <w:tc>
          <w:tcPr>
            <w:tcW w:w="227" w:type="pct"/>
            <w:shd w:val="clear" w:color="auto" w:fill="F2F2F2"/>
          </w:tcPr>
          <w:p w14:paraId="03B69A7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-5,4</w:t>
            </w:r>
          </w:p>
        </w:tc>
        <w:tc>
          <w:tcPr>
            <w:tcW w:w="227" w:type="pct"/>
            <w:shd w:val="clear" w:color="auto" w:fill="F2F2F2"/>
          </w:tcPr>
          <w:p w14:paraId="0F515D9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-3,29</w:t>
            </w:r>
          </w:p>
        </w:tc>
        <w:tc>
          <w:tcPr>
            <w:tcW w:w="227" w:type="pct"/>
            <w:shd w:val="clear" w:color="auto" w:fill="F2F2F2"/>
          </w:tcPr>
          <w:p w14:paraId="3F803BD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-3,85</w:t>
            </w:r>
          </w:p>
        </w:tc>
        <w:tc>
          <w:tcPr>
            <w:tcW w:w="227" w:type="pct"/>
            <w:shd w:val="clear" w:color="auto" w:fill="F2F2F2"/>
          </w:tcPr>
          <w:p w14:paraId="358402E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-4,34</w:t>
            </w:r>
          </w:p>
        </w:tc>
        <w:tc>
          <w:tcPr>
            <w:tcW w:w="227" w:type="pct"/>
            <w:shd w:val="clear" w:color="auto" w:fill="F2F2F2"/>
          </w:tcPr>
          <w:p w14:paraId="2470AF1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-1,68</w:t>
            </w:r>
          </w:p>
        </w:tc>
        <w:tc>
          <w:tcPr>
            <w:tcW w:w="227" w:type="pct"/>
            <w:shd w:val="clear" w:color="auto" w:fill="F2F2F2"/>
          </w:tcPr>
          <w:p w14:paraId="11FAB8C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-2,44</w:t>
            </w:r>
          </w:p>
        </w:tc>
        <w:tc>
          <w:tcPr>
            <w:tcW w:w="227" w:type="pct"/>
            <w:shd w:val="clear" w:color="auto" w:fill="F2F2F2"/>
          </w:tcPr>
          <w:p w14:paraId="5A8FDB4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w:t>
            </w:r>
          </w:p>
        </w:tc>
        <w:tc>
          <w:tcPr>
            <w:tcW w:w="227" w:type="pct"/>
            <w:shd w:val="clear" w:color="auto" w:fill="F2F2F2"/>
          </w:tcPr>
          <w:p w14:paraId="5BDBE79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w:t>
            </w:r>
          </w:p>
        </w:tc>
        <w:tc>
          <w:tcPr>
            <w:tcW w:w="493" w:type="pct"/>
            <w:shd w:val="clear" w:color="auto" w:fill="F2F2F2"/>
          </w:tcPr>
          <w:p w14:paraId="1E51746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w:t>
            </w:r>
          </w:p>
        </w:tc>
        <w:tc>
          <w:tcPr>
            <w:tcW w:w="1652" w:type="pct"/>
            <w:shd w:val="clear" w:color="auto" w:fill="F2F2F2"/>
          </w:tcPr>
          <w:p w14:paraId="35EBBC15" w14:textId="77777777" w:rsidR="0015245E" w:rsidRPr="00420C1B" w:rsidRDefault="0015245E" w:rsidP="00420C1B">
            <w:pPr>
              <w:spacing w:after="0" w:line="240" w:lineRule="auto"/>
              <w:rPr>
                <w:rFonts w:ascii="Times New Roman" w:hAnsi="Times New Roman"/>
                <w:sz w:val="20"/>
                <w:szCs w:val="20"/>
              </w:rPr>
            </w:pPr>
          </w:p>
        </w:tc>
      </w:tr>
      <w:tr w:rsidR="002C66D7" w:rsidRPr="00420C1B" w14:paraId="22E6B8CB" w14:textId="77777777" w:rsidTr="00420C1B">
        <w:trPr>
          <w:jc w:val="center"/>
        </w:trPr>
        <w:tc>
          <w:tcPr>
            <w:tcW w:w="160" w:type="pct"/>
            <w:tcBorders>
              <w:right w:val="single" w:sz="4" w:space="0" w:color="7F7F7F"/>
            </w:tcBorders>
            <w:shd w:val="clear" w:color="auto" w:fill="FFFFFF"/>
          </w:tcPr>
          <w:p w14:paraId="72F034AB"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30</w:t>
            </w:r>
          </w:p>
        </w:tc>
        <w:tc>
          <w:tcPr>
            <w:tcW w:w="880" w:type="pct"/>
            <w:shd w:val="clear" w:color="auto" w:fill="auto"/>
          </w:tcPr>
          <w:p w14:paraId="04218334"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Matières en suspension</w:t>
            </w:r>
            <w:r w:rsidR="00E374F7" w:rsidRPr="00420C1B">
              <w:rPr>
                <w:rFonts w:ascii="Times New Roman" w:hAnsi="Times New Roman"/>
                <w:sz w:val="20"/>
                <w:szCs w:val="20"/>
              </w:rPr>
              <w:t xml:space="preserve"> (</w:t>
            </w:r>
            <w:r w:rsidRPr="00420C1B">
              <w:rPr>
                <w:rFonts w:ascii="Times New Roman" w:hAnsi="Times New Roman"/>
                <w:sz w:val="20"/>
                <w:szCs w:val="20"/>
              </w:rPr>
              <w:t>mg/L</w:t>
            </w:r>
            <w:r w:rsidR="00E374F7" w:rsidRPr="00420C1B">
              <w:rPr>
                <w:rFonts w:ascii="Times New Roman" w:hAnsi="Times New Roman"/>
                <w:sz w:val="20"/>
                <w:szCs w:val="20"/>
              </w:rPr>
              <w:t>)</w:t>
            </w:r>
          </w:p>
        </w:tc>
        <w:tc>
          <w:tcPr>
            <w:tcW w:w="227" w:type="pct"/>
            <w:shd w:val="clear" w:color="auto" w:fill="auto"/>
          </w:tcPr>
          <w:p w14:paraId="14B317C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7,58</w:t>
            </w:r>
          </w:p>
        </w:tc>
        <w:tc>
          <w:tcPr>
            <w:tcW w:w="227" w:type="pct"/>
            <w:shd w:val="clear" w:color="auto" w:fill="auto"/>
          </w:tcPr>
          <w:p w14:paraId="35A384A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11,02</w:t>
            </w:r>
          </w:p>
        </w:tc>
        <w:tc>
          <w:tcPr>
            <w:tcW w:w="227" w:type="pct"/>
            <w:shd w:val="clear" w:color="auto" w:fill="auto"/>
          </w:tcPr>
          <w:p w14:paraId="5D25F62E"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7,58</w:t>
            </w:r>
          </w:p>
        </w:tc>
        <w:tc>
          <w:tcPr>
            <w:tcW w:w="227" w:type="pct"/>
            <w:shd w:val="clear" w:color="auto" w:fill="auto"/>
          </w:tcPr>
          <w:p w14:paraId="14621CE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11,02</w:t>
            </w:r>
          </w:p>
        </w:tc>
        <w:tc>
          <w:tcPr>
            <w:tcW w:w="227" w:type="pct"/>
            <w:shd w:val="clear" w:color="auto" w:fill="auto"/>
          </w:tcPr>
          <w:p w14:paraId="12FC7E4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17,5</w:t>
            </w:r>
          </w:p>
        </w:tc>
        <w:tc>
          <w:tcPr>
            <w:tcW w:w="227" w:type="pct"/>
            <w:shd w:val="clear" w:color="auto" w:fill="auto"/>
          </w:tcPr>
          <w:p w14:paraId="7B842208"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21,20</w:t>
            </w:r>
          </w:p>
        </w:tc>
        <w:tc>
          <w:tcPr>
            <w:tcW w:w="227" w:type="pct"/>
            <w:shd w:val="clear" w:color="auto" w:fill="auto"/>
          </w:tcPr>
          <w:p w14:paraId="171A835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0,2</w:t>
            </w:r>
          </w:p>
        </w:tc>
        <w:tc>
          <w:tcPr>
            <w:tcW w:w="227" w:type="pct"/>
            <w:shd w:val="clear" w:color="auto" w:fill="auto"/>
          </w:tcPr>
          <w:p w14:paraId="6F2E8DB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0,01</w:t>
            </w:r>
          </w:p>
        </w:tc>
        <w:tc>
          <w:tcPr>
            <w:tcW w:w="493" w:type="pct"/>
            <w:shd w:val="clear" w:color="auto" w:fill="auto"/>
          </w:tcPr>
          <w:p w14:paraId="68001DF1"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w:t>
            </w:r>
          </w:p>
        </w:tc>
        <w:tc>
          <w:tcPr>
            <w:tcW w:w="1652" w:type="pct"/>
            <w:shd w:val="clear" w:color="auto" w:fill="auto"/>
          </w:tcPr>
          <w:p w14:paraId="67898CAD"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Dérivé de NFT90-105-1 et NBN EN 872</w:t>
            </w:r>
          </w:p>
        </w:tc>
      </w:tr>
      <w:tr w:rsidR="002C66D7" w:rsidRPr="00420C1B" w14:paraId="29A670D1" w14:textId="77777777" w:rsidTr="00420C1B">
        <w:trPr>
          <w:trHeight w:val="225"/>
          <w:jc w:val="center"/>
        </w:trPr>
        <w:tc>
          <w:tcPr>
            <w:tcW w:w="160" w:type="pct"/>
            <w:tcBorders>
              <w:right w:val="single" w:sz="4" w:space="0" w:color="7F7F7F"/>
            </w:tcBorders>
            <w:shd w:val="clear" w:color="auto" w:fill="FFFFFF"/>
          </w:tcPr>
          <w:p w14:paraId="084C0576"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31</w:t>
            </w:r>
          </w:p>
        </w:tc>
        <w:tc>
          <w:tcPr>
            <w:tcW w:w="880" w:type="pct"/>
            <w:shd w:val="clear" w:color="auto" w:fill="F2F2F2"/>
          </w:tcPr>
          <w:p w14:paraId="677A3ECE"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Germes  Totaux UFC /100ml</w:t>
            </w:r>
          </w:p>
        </w:tc>
        <w:tc>
          <w:tcPr>
            <w:tcW w:w="227" w:type="pct"/>
            <w:shd w:val="clear" w:color="auto" w:fill="F2F2F2"/>
          </w:tcPr>
          <w:p w14:paraId="57C854D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45</w:t>
            </w:r>
          </w:p>
        </w:tc>
        <w:tc>
          <w:tcPr>
            <w:tcW w:w="227" w:type="pct"/>
            <w:shd w:val="clear" w:color="auto" w:fill="F2F2F2"/>
          </w:tcPr>
          <w:p w14:paraId="3B6C1E3D"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78</w:t>
            </w:r>
          </w:p>
        </w:tc>
        <w:tc>
          <w:tcPr>
            <w:tcW w:w="227" w:type="pct"/>
            <w:shd w:val="clear" w:color="auto" w:fill="F2F2F2"/>
          </w:tcPr>
          <w:p w14:paraId="3DD0EB5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81</w:t>
            </w:r>
          </w:p>
        </w:tc>
        <w:tc>
          <w:tcPr>
            <w:tcW w:w="227" w:type="pct"/>
            <w:shd w:val="clear" w:color="auto" w:fill="F2F2F2"/>
          </w:tcPr>
          <w:p w14:paraId="12E1590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95</w:t>
            </w:r>
          </w:p>
        </w:tc>
        <w:tc>
          <w:tcPr>
            <w:tcW w:w="227" w:type="pct"/>
            <w:shd w:val="clear" w:color="auto" w:fill="F2F2F2"/>
          </w:tcPr>
          <w:p w14:paraId="6A201A2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32</w:t>
            </w:r>
          </w:p>
        </w:tc>
        <w:tc>
          <w:tcPr>
            <w:tcW w:w="227" w:type="pct"/>
            <w:shd w:val="clear" w:color="auto" w:fill="F2F2F2"/>
          </w:tcPr>
          <w:p w14:paraId="6C986378"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77</w:t>
            </w:r>
          </w:p>
        </w:tc>
        <w:tc>
          <w:tcPr>
            <w:tcW w:w="227" w:type="pct"/>
            <w:shd w:val="clear" w:color="auto" w:fill="F2F2F2"/>
          </w:tcPr>
          <w:p w14:paraId="2D2CE4DC"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45</w:t>
            </w:r>
          </w:p>
        </w:tc>
        <w:tc>
          <w:tcPr>
            <w:tcW w:w="227" w:type="pct"/>
            <w:shd w:val="clear" w:color="auto" w:fill="F2F2F2"/>
          </w:tcPr>
          <w:p w14:paraId="2E54A5E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41</w:t>
            </w:r>
          </w:p>
        </w:tc>
        <w:tc>
          <w:tcPr>
            <w:tcW w:w="493" w:type="pct"/>
            <w:shd w:val="clear" w:color="auto" w:fill="F2F2F2"/>
          </w:tcPr>
          <w:p w14:paraId="006DBB4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&lt; 100</w:t>
            </w:r>
          </w:p>
        </w:tc>
        <w:tc>
          <w:tcPr>
            <w:tcW w:w="1652" w:type="pct"/>
            <w:shd w:val="clear" w:color="auto" w:fill="F2F2F2"/>
          </w:tcPr>
          <w:p w14:paraId="0CB57DC4"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90 - 414</w:t>
            </w:r>
          </w:p>
        </w:tc>
      </w:tr>
      <w:tr w:rsidR="002C66D7" w:rsidRPr="00420C1B" w14:paraId="4B4D4C27" w14:textId="77777777" w:rsidTr="00420C1B">
        <w:trPr>
          <w:jc w:val="center"/>
        </w:trPr>
        <w:tc>
          <w:tcPr>
            <w:tcW w:w="160" w:type="pct"/>
            <w:tcBorders>
              <w:right w:val="single" w:sz="4" w:space="0" w:color="7F7F7F"/>
            </w:tcBorders>
            <w:shd w:val="clear" w:color="auto" w:fill="FFFFFF"/>
          </w:tcPr>
          <w:p w14:paraId="7142D222" w14:textId="77777777" w:rsidR="0015245E" w:rsidRPr="00420C1B" w:rsidRDefault="0015245E" w:rsidP="00420C1B">
            <w:pPr>
              <w:spacing w:after="0" w:line="240" w:lineRule="auto"/>
              <w:rPr>
                <w:rFonts w:ascii="Times New Roman" w:eastAsia="Times New Roman" w:hAnsi="Times New Roman"/>
                <w:i/>
                <w:iCs/>
                <w:sz w:val="20"/>
                <w:szCs w:val="20"/>
              </w:rPr>
            </w:pPr>
            <w:r w:rsidRPr="00420C1B">
              <w:rPr>
                <w:rFonts w:ascii="Times New Roman" w:eastAsia="Times New Roman" w:hAnsi="Times New Roman"/>
                <w:i/>
                <w:iCs/>
                <w:sz w:val="20"/>
                <w:szCs w:val="20"/>
              </w:rPr>
              <w:t>32</w:t>
            </w:r>
          </w:p>
        </w:tc>
        <w:tc>
          <w:tcPr>
            <w:tcW w:w="880" w:type="pct"/>
            <w:shd w:val="clear" w:color="auto" w:fill="auto"/>
          </w:tcPr>
          <w:p w14:paraId="2B84607F"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Coliformes Féaux UFC/100ml</w:t>
            </w:r>
          </w:p>
        </w:tc>
        <w:tc>
          <w:tcPr>
            <w:tcW w:w="227" w:type="pct"/>
            <w:shd w:val="clear" w:color="auto" w:fill="auto"/>
          </w:tcPr>
          <w:p w14:paraId="1076A6DB"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w:t>
            </w:r>
          </w:p>
        </w:tc>
        <w:tc>
          <w:tcPr>
            <w:tcW w:w="227" w:type="pct"/>
            <w:shd w:val="clear" w:color="auto" w:fill="auto"/>
          </w:tcPr>
          <w:p w14:paraId="32EBD44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8</w:t>
            </w:r>
          </w:p>
        </w:tc>
        <w:tc>
          <w:tcPr>
            <w:tcW w:w="227" w:type="pct"/>
            <w:shd w:val="clear" w:color="auto" w:fill="auto"/>
          </w:tcPr>
          <w:p w14:paraId="1C3CAFB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13</w:t>
            </w:r>
          </w:p>
        </w:tc>
        <w:tc>
          <w:tcPr>
            <w:tcW w:w="227" w:type="pct"/>
            <w:shd w:val="clear" w:color="auto" w:fill="auto"/>
          </w:tcPr>
          <w:p w14:paraId="5F2EEC14"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15</w:t>
            </w:r>
          </w:p>
        </w:tc>
        <w:tc>
          <w:tcPr>
            <w:tcW w:w="227" w:type="pct"/>
            <w:shd w:val="clear" w:color="auto" w:fill="auto"/>
          </w:tcPr>
          <w:p w14:paraId="2623B63A"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4</w:t>
            </w:r>
          </w:p>
        </w:tc>
        <w:tc>
          <w:tcPr>
            <w:tcW w:w="227" w:type="pct"/>
            <w:shd w:val="clear" w:color="auto" w:fill="auto"/>
          </w:tcPr>
          <w:p w14:paraId="43128552"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6</w:t>
            </w:r>
          </w:p>
        </w:tc>
        <w:tc>
          <w:tcPr>
            <w:tcW w:w="227" w:type="pct"/>
            <w:shd w:val="clear" w:color="auto" w:fill="auto"/>
          </w:tcPr>
          <w:p w14:paraId="389161BF"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w:t>
            </w:r>
          </w:p>
        </w:tc>
        <w:tc>
          <w:tcPr>
            <w:tcW w:w="227" w:type="pct"/>
            <w:shd w:val="clear" w:color="auto" w:fill="auto"/>
          </w:tcPr>
          <w:p w14:paraId="3C5FB6C0"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w:t>
            </w:r>
          </w:p>
        </w:tc>
        <w:tc>
          <w:tcPr>
            <w:tcW w:w="493" w:type="pct"/>
            <w:shd w:val="clear" w:color="auto" w:fill="auto"/>
          </w:tcPr>
          <w:p w14:paraId="3EF2BFD6" w14:textId="77777777" w:rsidR="0015245E" w:rsidRPr="00420C1B" w:rsidRDefault="0015245E" w:rsidP="00420C1B">
            <w:pPr>
              <w:spacing w:after="0" w:line="240" w:lineRule="auto"/>
              <w:jc w:val="center"/>
              <w:rPr>
                <w:rFonts w:ascii="Times New Roman" w:hAnsi="Times New Roman"/>
                <w:sz w:val="20"/>
                <w:szCs w:val="20"/>
              </w:rPr>
            </w:pPr>
            <w:r w:rsidRPr="00420C1B">
              <w:rPr>
                <w:rFonts w:ascii="Times New Roman" w:hAnsi="Times New Roman"/>
                <w:sz w:val="20"/>
                <w:szCs w:val="20"/>
              </w:rPr>
              <w:t>100</w:t>
            </w:r>
          </w:p>
        </w:tc>
        <w:tc>
          <w:tcPr>
            <w:tcW w:w="1652" w:type="pct"/>
            <w:shd w:val="clear" w:color="auto" w:fill="auto"/>
          </w:tcPr>
          <w:p w14:paraId="01B657A7" w14:textId="77777777" w:rsidR="0015245E" w:rsidRPr="00420C1B" w:rsidRDefault="0015245E" w:rsidP="00420C1B">
            <w:pPr>
              <w:spacing w:after="0" w:line="240" w:lineRule="auto"/>
              <w:rPr>
                <w:rFonts w:ascii="Times New Roman" w:hAnsi="Times New Roman"/>
                <w:sz w:val="20"/>
                <w:szCs w:val="20"/>
              </w:rPr>
            </w:pPr>
            <w:r w:rsidRPr="00420C1B">
              <w:rPr>
                <w:rFonts w:ascii="Times New Roman" w:hAnsi="Times New Roman"/>
                <w:sz w:val="20"/>
                <w:szCs w:val="20"/>
              </w:rPr>
              <w:t>NFT 90 - 041</w:t>
            </w:r>
          </w:p>
        </w:tc>
      </w:tr>
    </w:tbl>
    <w:p w14:paraId="4A3C2973" w14:textId="450265F6" w:rsidR="004D24BE" w:rsidRDefault="007F23C0" w:rsidP="00215867">
      <w:pPr>
        <w:spacing w:after="0" w:line="240" w:lineRule="auto"/>
        <w:jc w:val="both"/>
        <w:rPr>
          <w:i/>
          <w:iCs/>
          <w:color w:val="44546A"/>
          <w:sz w:val="24"/>
        </w:rPr>
        <w:sectPr w:rsidR="004D24BE" w:rsidSect="003512EC">
          <w:pgSz w:w="16838" w:h="11906" w:orient="landscape"/>
          <w:pgMar w:top="1133" w:right="1417" w:bottom="1418" w:left="1417" w:header="708" w:footer="708" w:gutter="0"/>
          <w:cols w:space="708"/>
          <w:docGrid w:linePitch="360"/>
        </w:sectPr>
      </w:pPr>
      <w:r w:rsidRPr="00420C1B">
        <w:rPr>
          <w:rFonts w:ascii="Times New Roman" w:hAnsi="Times New Roman"/>
          <w:color w:val="44546A"/>
          <w:sz w:val="24"/>
        </w:rPr>
        <w:t xml:space="preserve">Source : Centre des Recherches Géologiques et Minières (CRGM) </w:t>
      </w:r>
      <w:r w:rsidRPr="00E737B4">
        <w:rPr>
          <w:rStyle w:val="Emphaseintense"/>
          <w:rFonts w:ascii="Times New Roman" w:hAnsi="Times New Roman"/>
          <w:sz w:val="24"/>
        </w:rPr>
        <w:t>Juillet</w:t>
      </w:r>
      <w:r w:rsidRPr="00420C1B">
        <w:rPr>
          <w:i/>
          <w:iCs/>
          <w:color w:val="44546A"/>
          <w:sz w:val="24"/>
        </w:rPr>
        <w:t xml:space="preserve"> 2021</w:t>
      </w:r>
      <w:r w:rsidR="0099529B">
        <w:rPr>
          <w:i/>
          <w:iCs/>
          <w:color w:val="44546A"/>
          <w:sz w:val="24"/>
        </w:rPr>
        <w:br w:type="page"/>
      </w:r>
    </w:p>
    <w:p w14:paraId="009D7068" w14:textId="1DA0498F" w:rsidR="007E54FE" w:rsidRPr="00215867" w:rsidRDefault="007E54FE" w:rsidP="0099529B">
      <w:pPr>
        <w:spacing w:after="0" w:line="240" w:lineRule="auto"/>
        <w:jc w:val="both"/>
        <w:rPr>
          <w:rFonts w:ascii="Times New Roman" w:hAnsi="Times New Roman"/>
          <w:b/>
          <w:sz w:val="24"/>
        </w:rPr>
      </w:pPr>
      <w:r w:rsidRPr="00215867">
        <w:rPr>
          <w:rFonts w:ascii="Times New Roman" w:hAnsi="Times New Roman"/>
          <w:b/>
          <w:sz w:val="24"/>
        </w:rPr>
        <w:t>Interprétation des résultats</w:t>
      </w:r>
    </w:p>
    <w:p w14:paraId="4063EAE5" w14:textId="77777777" w:rsidR="004D24BE" w:rsidRDefault="004D24BE" w:rsidP="00496B7A">
      <w:pPr>
        <w:spacing w:after="0" w:line="240" w:lineRule="auto"/>
        <w:jc w:val="both"/>
        <w:rPr>
          <w:rFonts w:ascii="Times New Roman" w:hAnsi="Times New Roman"/>
          <w:sz w:val="24"/>
        </w:rPr>
      </w:pPr>
    </w:p>
    <w:p w14:paraId="543735DF" w14:textId="2BA11C96" w:rsidR="004D24BE" w:rsidRDefault="004D24BE" w:rsidP="004D24BE">
      <w:pPr>
        <w:jc w:val="both"/>
        <w:rPr>
          <w:rFonts w:ascii="Arial Narrow" w:hAnsi="Arial Narrow"/>
          <w:sz w:val="24"/>
        </w:rPr>
      </w:pPr>
      <w:r w:rsidRPr="00057220">
        <w:rPr>
          <w:rFonts w:ascii="Arial Narrow" w:hAnsi="Arial Narrow"/>
          <w:sz w:val="24"/>
        </w:rPr>
        <w:t xml:space="preserve">La synthèse des principaux résultats des mesures des paramètres physico-chimiques </w:t>
      </w:r>
      <w:r>
        <w:rPr>
          <w:rFonts w:ascii="Arial Narrow" w:hAnsi="Arial Narrow"/>
          <w:sz w:val="24"/>
        </w:rPr>
        <w:t xml:space="preserve">et bactériologique </w:t>
      </w:r>
      <w:r w:rsidRPr="00057220">
        <w:rPr>
          <w:rFonts w:ascii="Arial Narrow" w:hAnsi="Arial Narrow"/>
          <w:sz w:val="24"/>
        </w:rPr>
        <w:t xml:space="preserve">de l’eau prélevée dans les </w:t>
      </w:r>
      <w:r>
        <w:rPr>
          <w:rFonts w:ascii="Arial Narrow" w:hAnsi="Arial Narrow"/>
          <w:sz w:val="24"/>
        </w:rPr>
        <w:t xml:space="preserve">cours d’eau de </w:t>
      </w:r>
      <w:r w:rsidRPr="00057220">
        <w:rPr>
          <w:rFonts w:ascii="Arial Narrow" w:hAnsi="Arial Narrow"/>
          <w:sz w:val="24"/>
        </w:rPr>
        <w:t xml:space="preserve">différents sites des travaux de Kinshasa ont permis de déterminer le niveau de concentration des éléments traces </w:t>
      </w:r>
      <w:r>
        <w:rPr>
          <w:rFonts w:ascii="Arial Narrow" w:hAnsi="Arial Narrow"/>
          <w:sz w:val="24"/>
        </w:rPr>
        <w:t>et la qualité de ces eaux de surface.</w:t>
      </w:r>
      <w:r w:rsidRPr="00057220">
        <w:rPr>
          <w:rFonts w:ascii="Arial Narrow" w:hAnsi="Arial Narrow"/>
          <w:sz w:val="24"/>
        </w:rPr>
        <w:t xml:space="preserve"> </w:t>
      </w:r>
    </w:p>
    <w:p w14:paraId="651A8E51" w14:textId="217A94DE" w:rsidR="004D24BE" w:rsidRDefault="004D24BE" w:rsidP="004D24BE">
      <w:pPr>
        <w:jc w:val="both"/>
        <w:rPr>
          <w:rFonts w:ascii="Arial Narrow" w:hAnsi="Arial Narrow"/>
          <w:sz w:val="24"/>
        </w:rPr>
      </w:pPr>
      <w:r>
        <w:rPr>
          <w:rFonts w:ascii="Arial Narrow" w:hAnsi="Arial Narrow"/>
          <w:sz w:val="24"/>
        </w:rPr>
        <w:t>Le tableau 12</w:t>
      </w:r>
      <w:r w:rsidR="0006071C">
        <w:rPr>
          <w:rFonts w:ascii="Arial Narrow" w:hAnsi="Arial Narrow"/>
          <w:sz w:val="24"/>
        </w:rPr>
        <w:t>,</w:t>
      </w:r>
      <w:r>
        <w:rPr>
          <w:rFonts w:ascii="Arial Narrow" w:hAnsi="Arial Narrow"/>
          <w:sz w:val="24"/>
        </w:rPr>
        <w:t xml:space="preserve"> renseigne que les huit</w:t>
      </w:r>
      <w:r w:rsidR="0006071C">
        <w:rPr>
          <w:rFonts w:ascii="Arial Narrow" w:hAnsi="Arial Narrow"/>
          <w:sz w:val="24"/>
        </w:rPr>
        <w:t xml:space="preserve"> (8)</w:t>
      </w:r>
      <w:r>
        <w:rPr>
          <w:rFonts w:ascii="Arial Narrow" w:hAnsi="Arial Narrow"/>
          <w:sz w:val="24"/>
        </w:rPr>
        <w:t xml:space="preserve"> échantillons provenant des cours d’eau du site du projet présente </w:t>
      </w:r>
      <w:r w:rsidR="00264924">
        <w:rPr>
          <w:rFonts w:ascii="Arial Narrow" w:hAnsi="Arial Narrow"/>
          <w:sz w:val="24"/>
        </w:rPr>
        <w:t xml:space="preserve">du point de vue physico-chimique, </w:t>
      </w:r>
      <w:r>
        <w:rPr>
          <w:rFonts w:ascii="Arial Narrow" w:hAnsi="Arial Narrow"/>
          <w:sz w:val="24"/>
        </w:rPr>
        <w:t>un pH acide et une conductivité très faible</w:t>
      </w:r>
      <w:r w:rsidR="0006071C">
        <w:rPr>
          <w:rFonts w:ascii="Arial Narrow" w:hAnsi="Arial Narrow"/>
          <w:sz w:val="24"/>
        </w:rPr>
        <w:t xml:space="preserve"> due à la dégradation de la matière organique provenant des déchets solides et des eaux usées domestiques déversées directement dans les cours d’eau sans prétraitement préalable. </w:t>
      </w:r>
      <w:r w:rsidR="006E73B7">
        <w:rPr>
          <w:rFonts w:ascii="Arial Narrow" w:hAnsi="Arial Narrow"/>
          <w:sz w:val="24"/>
        </w:rPr>
        <w:t>La matière organique contenu dans les eaux usées domestiques, une fois dans l’eau de surface, ces matières se décompose et libère du CO2 qui mélangé à l’eau se transforme en acide carbonique pouvant diminuer le pH. La modification du pH peut aussi être causée par le déversement de produits chimiques ou les pluies acides. La variation du pH nuit aux organismes aquatiques qui se sont habitués à un pH spécifique. Cela affecte particulièrement les macro-invertébrés, les œufs de poissons et les alevins.</w:t>
      </w:r>
    </w:p>
    <w:p w14:paraId="0B84A6C2" w14:textId="67607B67" w:rsidR="0006071C" w:rsidRDefault="0006071C" w:rsidP="004D24BE">
      <w:pPr>
        <w:jc w:val="both"/>
        <w:rPr>
          <w:rFonts w:ascii="Arial Narrow" w:hAnsi="Arial Narrow"/>
          <w:sz w:val="24"/>
        </w:rPr>
      </w:pPr>
      <w:r>
        <w:rPr>
          <w:rFonts w:ascii="Arial Narrow" w:hAnsi="Arial Narrow"/>
          <w:sz w:val="24"/>
        </w:rPr>
        <w:t>L’ensemble des échantillons ont une faible concentration des matières solides dissous, à l’exception de l’échantillon n°5. Un taux élevé des matières dissous dans l’eau modifie les conditions d’habitat pour la faune et la flore aquatique en empêchant, notamment la pénétration de la lumière et rend la couleur de l’eau très foncée. Ce qui rend difficile la vie aquatique et ne permet pas aux plantes de réaliser la photosynthèse.</w:t>
      </w:r>
    </w:p>
    <w:p w14:paraId="6B8DC4C0" w14:textId="434432EB" w:rsidR="0006071C" w:rsidRDefault="004B75BA" w:rsidP="004D24BE">
      <w:pPr>
        <w:jc w:val="both"/>
        <w:rPr>
          <w:rFonts w:ascii="Arial Narrow" w:hAnsi="Arial Narrow"/>
          <w:sz w:val="24"/>
        </w:rPr>
      </w:pPr>
      <w:r w:rsidRPr="00264924">
        <w:rPr>
          <w:rFonts w:ascii="Arial Narrow" w:hAnsi="Arial Narrow"/>
          <w:sz w:val="24"/>
        </w:rPr>
        <w:t xml:space="preserve">L’analyse du tableau 13, montre également que les deux premiers échantillons d’eau présente une turbidité élevée. </w:t>
      </w:r>
      <w:r w:rsidR="006E73B7">
        <w:rPr>
          <w:rFonts w:ascii="Arial Narrow" w:hAnsi="Arial Narrow"/>
          <w:sz w:val="24"/>
        </w:rPr>
        <w:t>La turbidité de l’eau, elle, est mesurée en fonction de la quantité de lumière dispersée par les solides en suspension dans l’eau. Plus, il y a des solides en suspension, plus la lumière sera dispersée et plus haut sera le niveau de turbidité</w:t>
      </w:r>
      <w:r w:rsidR="00264924">
        <w:rPr>
          <w:rFonts w:ascii="Arial Narrow" w:hAnsi="Arial Narrow"/>
          <w:sz w:val="24"/>
        </w:rPr>
        <w:t>. La turbidité de l’eau augmente avec les fortes pluies, l’érosion ou un débit élevé dans le cours d’eau. La zone du projet est confrontée au phénomène urbain de l’é</w:t>
      </w:r>
      <w:r w:rsidR="00C458BE">
        <w:rPr>
          <w:rFonts w:ascii="Arial Narrow" w:hAnsi="Arial Narrow"/>
          <w:sz w:val="24"/>
        </w:rPr>
        <w:t>r</w:t>
      </w:r>
      <w:r w:rsidR="00264924">
        <w:rPr>
          <w:rFonts w:ascii="Arial Narrow" w:hAnsi="Arial Narrow"/>
          <w:sz w:val="24"/>
        </w:rPr>
        <w:t xml:space="preserve">osion des sols. D’où la forte turbidité dans les cours d’eau de la zone du projet est due à ce phénomène et également à la décharge des déchets solides dans les cours d’eau par la population. </w:t>
      </w:r>
      <w:r>
        <w:rPr>
          <w:rFonts w:ascii="Arial Narrow" w:hAnsi="Arial Narrow"/>
          <w:sz w:val="24"/>
        </w:rPr>
        <w:t xml:space="preserve"> </w:t>
      </w:r>
    </w:p>
    <w:p w14:paraId="6048A899" w14:textId="2A6233B8" w:rsidR="0097741C" w:rsidRPr="00215867" w:rsidRDefault="00264924" w:rsidP="00215867">
      <w:pPr>
        <w:jc w:val="both"/>
        <w:rPr>
          <w:rFonts w:ascii="Arial Narrow" w:hAnsi="Arial Narrow"/>
          <w:sz w:val="24"/>
        </w:rPr>
      </w:pPr>
      <w:r>
        <w:rPr>
          <w:rFonts w:ascii="Arial Narrow" w:hAnsi="Arial Narrow"/>
          <w:sz w:val="24"/>
        </w:rPr>
        <w:t xml:space="preserve">Les analyses en laboratoire ont démontré la présence des métaux lourds à des niveaux dépassant le seuil fixés par l’organisation mondiale de la santé (OMS). Ces métaux lourds sont décrits dans le tableau 13 qui fixe le seuil requis. </w:t>
      </w:r>
      <w:r w:rsidR="00EB5964">
        <w:rPr>
          <w:rFonts w:ascii="Arial Narrow" w:hAnsi="Arial Narrow"/>
          <w:sz w:val="24"/>
        </w:rPr>
        <w:t>Dans les échantillons 1,2,3,4,3,5 et 6, il a été relevé des concentrations élevées en phosphates (PO</w:t>
      </w:r>
      <w:r w:rsidR="00EB5964" w:rsidRPr="00215867">
        <w:rPr>
          <w:rFonts w:ascii="Arial Narrow" w:hAnsi="Arial Narrow"/>
          <w:sz w:val="24"/>
          <w:vertAlign w:val="subscript"/>
        </w:rPr>
        <w:t>4</w:t>
      </w:r>
      <w:r w:rsidR="00EB5964" w:rsidRPr="00215867">
        <w:rPr>
          <w:rFonts w:ascii="Arial Narrow" w:hAnsi="Arial Narrow"/>
          <w:sz w:val="24"/>
          <w:vertAlign w:val="superscript"/>
        </w:rPr>
        <w:t>3-</w:t>
      </w:r>
      <w:r w:rsidR="00EB5964">
        <w:rPr>
          <w:rFonts w:ascii="Arial Narrow" w:hAnsi="Arial Narrow"/>
          <w:sz w:val="24"/>
        </w:rPr>
        <w:t>) par rapport au seuil fixé par l’OMS</w:t>
      </w:r>
      <w:r w:rsidR="00C5293A">
        <w:rPr>
          <w:rFonts w:ascii="Arial Narrow" w:hAnsi="Arial Narrow"/>
          <w:sz w:val="24"/>
        </w:rPr>
        <w:t>. D</w:t>
      </w:r>
      <w:r w:rsidR="0097741C" w:rsidRPr="00215867">
        <w:rPr>
          <w:rFonts w:ascii="Arial Narrow" w:hAnsi="Arial Narrow"/>
          <w:sz w:val="24"/>
        </w:rPr>
        <w:t xml:space="preserve">es concentrations </w:t>
      </w:r>
      <w:r w:rsidR="00C5293A">
        <w:rPr>
          <w:rFonts w:ascii="Arial Narrow" w:hAnsi="Arial Narrow"/>
          <w:sz w:val="24"/>
        </w:rPr>
        <w:t xml:space="preserve">élevées </w:t>
      </w:r>
      <w:r w:rsidR="0097741C" w:rsidRPr="00215867">
        <w:rPr>
          <w:rFonts w:ascii="Arial Narrow" w:hAnsi="Arial Narrow"/>
          <w:sz w:val="24"/>
        </w:rPr>
        <w:t>de phosphore dans les eaux de surface augmente la croissance des organismes dépendant du phosphate, comme par exemple les algues et les lentilles d'eau. Ces organismes utilisent de grandes quantités d'</w:t>
      </w:r>
      <w:hyperlink r:id="rId45" w:history="1">
        <w:r w:rsidR="0097741C" w:rsidRPr="00215867">
          <w:rPr>
            <w:rFonts w:ascii="Arial Narrow" w:hAnsi="Arial Narrow"/>
            <w:sz w:val="24"/>
          </w:rPr>
          <w:t>oxygène</w:t>
        </w:r>
      </w:hyperlink>
      <w:r w:rsidR="0097741C" w:rsidRPr="00215867">
        <w:rPr>
          <w:rFonts w:ascii="Arial Narrow" w:hAnsi="Arial Narrow"/>
          <w:sz w:val="24"/>
        </w:rPr>
        <w:t xml:space="preserve"> et empêchent la lumière de pénétrer dans l'eau. L'eau devient donc plutôt invivable pour les autres organismes. Ce phénomène est appelé eutrophication</w:t>
      </w:r>
      <w:r w:rsidR="00C5293A">
        <w:rPr>
          <w:rStyle w:val="Appelnotedebasdep"/>
          <w:rFonts w:ascii="Arial Narrow" w:hAnsi="Arial Narrow"/>
          <w:sz w:val="24"/>
        </w:rPr>
        <w:footnoteReference w:id="8"/>
      </w:r>
      <w:r w:rsidR="00C5293A">
        <w:rPr>
          <w:rFonts w:ascii="Arial Narrow" w:hAnsi="Arial Narrow"/>
          <w:sz w:val="24"/>
        </w:rPr>
        <w:t>.</w:t>
      </w:r>
    </w:p>
    <w:p w14:paraId="7949F48C" w14:textId="5B3F0293" w:rsidR="00EB5964" w:rsidRPr="00EB5964" w:rsidRDefault="00EB5964" w:rsidP="004D24BE">
      <w:pPr>
        <w:jc w:val="both"/>
        <w:rPr>
          <w:rFonts w:ascii="Arial Narrow" w:hAnsi="Arial Narrow"/>
          <w:sz w:val="24"/>
        </w:rPr>
      </w:pPr>
      <w:r>
        <w:rPr>
          <w:rFonts w:ascii="Arial Narrow" w:hAnsi="Arial Narrow"/>
          <w:sz w:val="24"/>
        </w:rPr>
        <w:t>Des fortes concentration</w:t>
      </w:r>
      <w:r w:rsidR="00B01E88">
        <w:rPr>
          <w:rFonts w:ascii="Arial Narrow" w:hAnsi="Arial Narrow"/>
          <w:sz w:val="24"/>
        </w:rPr>
        <w:t>s</w:t>
      </w:r>
      <w:r>
        <w:rPr>
          <w:rFonts w:ascii="Arial Narrow" w:hAnsi="Arial Narrow"/>
          <w:sz w:val="24"/>
        </w:rPr>
        <w:t xml:space="preserve"> en nitrate (NO</w:t>
      </w:r>
      <w:r>
        <w:rPr>
          <w:rFonts w:ascii="Arial Narrow" w:hAnsi="Arial Narrow"/>
          <w:sz w:val="24"/>
          <w:vertAlign w:val="subscript"/>
        </w:rPr>
        <w:t>3</w:t>
      </w:r>
      <w:r>
        <w:rPr>
          <w:rFonts w:ascii="Arial Narrow" w:hAnsi="Arial Narrow"/>
          <w:sz w:val="24"/>
          <w:vertAlign w:val="superscript"/>
        </w:rPr>
        <w:t>-</w:t>
      </w:r>
      <w:r>
        <w:rPr>
          <w:rFonts w:ascii="Arial Narrow" w:hAnsi="Arial Narrow"/>
          <w:sz w:val="24"/>
        </w:rPr>
        <w:t>)</w:t>
      </w:r>
      <w:r w:rsidR="007D45E6">
        <w:rPr>
          <w:rFonts w:ascii="Arial Narrow" w:hAnsi="Arial Narrow"/>
          <w:sz w:val="24"/>
        </w:rPr>
        <w:t xml:space="preserve"> dans les échantillons 4 et 6  </w:t>
      </w:r>
      <w:r w:rsidR="00EB6C86">
        <w:rPr>
          <w:rFonts w:ascii="Arial Narrow" w:hAnsi="Arial Narrow"/>
          <w:sz w:val="24"/>
        </w:rPr>
        <w:t>et de nitrites (NO</w:t>
      </w:r>
      <w:r w:rsidR="00EB6C86" w:rsidRPr="00AC2AFB">
        <w:rPr>
          <w:rFonts w:ascii="Arial Narrow" w:hAnsi="Arial Narrow"/>
          <w:sz w:val="24"/>
          <w:vertAlign w:val="subscript"/>
        </w:rPr>
        <w:t>2</w:t>
      </w:r>
      <w:r w:rsidR="00EB6C86">
        <w:rPr>
          <w:rFonts w:ascii="Arial Narrow" w:hAnsi="Arial Narrow"/>
          <w:sz w:val="24"/>
          <w:vertAlign w:val="superscript"/>
        </w:rPr>
        <w:t>-</w:t>
      </w:r>
      <w:r w:rsidR="00EB6C86">
        <w:rPr>
          <w:rFonts w:ascii="Arial Narrow" w:hAnsi="Arial Narrow"/>
          <w:sz w:val="24"/>
        </w:rPr>
        <w:t xml:space="preserve">) dans les échantillons 4, 5 et 7, </w:t>
      </w:r>
      <w:r w:rsidR="007D45E6">
        <w:rPr>
          <w:rFonts w:ascii="Arial Narrow" w:hAnsi="Arial Narrow"/>
          <w:sz w:val="24"/>
        </w:rPr>
        <w:t>sont dues</w:t>
      </w:r>
      <w:r w:rsidR="00F95A21">
        <w:rPr>
          <w:rFonts w:ascii="Arial Narrow" w:hAnsi="Arial Narrow"/>
          <w:sz w:val="24"/>
        </w:rPr>
        <w:t xml:space="preserve"> à la contamination des cours du site du projet par les eaux usées domestiques et les eaux vannes déversement en amont directement dans les cours d’eau. En plus, des eaux usées, il y a lieu de noter également </w:t>
      </w:r>
      <w:r w:rsidR="00EB6C86">
        <w:rPr>
          <w:rFonts w:ascii="Arial Narrow" w:hAnsi="Arial Narrow"/>
          <w:sz w:val="24"/>
        </w:rPr>
        <w:t>la décharge non contrôle des déchets solides sur les lits des cours d’eau</w:t>
      </w:r>
      <w:r w:rsidR="008D45C7">
        <w:rPr>
          <w:rFonts w:ascii="Arial Narrow" w:hAnsi="Arial Narrow"/>
          <w:sz w:val="24"/>
        </w:rPr>
        <w:t xml:space="preserve"> et les eaux de ruissellement lessivant </w:t>
      </w:r>
      <w:r w:rsidR="00B52573">
        <w:rPr>
          <w:rFonts w:ascii="Arial Narrow" w:hAnsi="Arial Narrow"/>
          <w:sz w:val="24"/>
        </w:rPr>
        <w:t>à leur passage les champs et les activités maraichères</w:t>
      </w:r>
      <w:r w:rsidR="00EB6C86">
        <w:rPr>
          <w:rFonts w:ascii="Arial Narrow" w:hAnsi="Arial Narrow"/>
          <w:sz w:val="24"/>
        </w:rPr>
        <w:t>.</w:t>
      </w:r>
      <w:r w:rsidR="007D45E6">
        <w:rPr>
          <w:rFonts w:ascii="Arial Narrow" w:hAnsi="Arial Narrow"/>
          <w:sz w:val="24"/>
        </w:rPr>
        <w:t xml:space="preserve"> </w:t>
      </w:r>
      <w:r w:rsidR="00EB6C86">
        <w:rPr>
          <w:rFonts w:ascii="Arial Narrow" w:hAnsi="Arial Narrow"/>
          <w:sz w:val="24"/>
        </w:rPr>
        <w:t>Une forte concentration de nitrate et nitrite dans l’eau, associé au phosphate sont à la base du phénomène d</w:t>
      </w:r>
      <w:r w:rsidR="00A64FDF">
        <w:rPr>
          <w:rFonts w:ascii="Arial Narrow" w:hAnsi="Arial Narrow"/>
          <w:sz w:val="24"/>
        </w:rPr>
        <w:t xml:space="preserve">’eutrophisation des cours d’eau. </w:t>
      </w:r>
      <w:r w:rsidR="00DB38D9">
        <w:rPr>
          <w:rFonts w:ascii="Arial Narrow" w:hAnsi="Arial Narrow"/>
          <w:sz w:val="24"/>
        </w:rPr>
        <w:t>Les études réalisées</w:t>
      </w:r>
      <w:r w:rsidR="00BA5CBB">
        <w:rPr>
          <w:rFonts w:ascii="Arial Narrow" w:hAnsi="Arial Narrow"/>
          <w:sz w:val="24"/>
        </w:rPr>
        <w:t xml:space="preserve"> sur les animaux</w:t>
      </w:r>
      <w:r w:rsidR="00BA5CBB">
        <w:rPr>
          <w:rStyle w:val="Appelnotedebasdep"/>
          <w:rFonts w:ascii="Arial Narrow" w:hAnsi="Arial Narrow"/>
          <w:sz w:val="24"/>
        </w:rPr>
        <w:footnoteReference w:id="9"/>
      </w:r>
      <w:r w:rsidR="00DB38D9">
        <w:rPr>
          <w:rFonts w:ascii="Arial Narrow" w:hAnsi="Arial Narrow"/>
          <w:sz w:val="24"/>
        </w:rPr>
        <w:t xml:space="preserve">, ont démontrés un effet toxique du nitrite sur la reproduction et le développement des animaux à la suite d’une exposition à de très fortes doses de nitrites, qui ont également induit une </w:t>
      </w:r>
      <w:r w:rsidR="00D31235">
        <w:rPr>
          <w:rFonts w:ascii="Arial Narrow" w:hAnsi="Arial Narrow"/>
          <w:sz w:val="24"/>
        </w:rPr>
        <w:t>méthémoglobinémie</w:t>
      </w:r>
      <w:r w:rsidR="00DB38D9">
        <w:rPr>
          <w:rFonts w:ascii="Arial Narrow" w:hAnsi="Arial Narrow"/>
          <w:sz w:val="24"/>
        </w:rPr>
        <w:t xml:space="preserve"> chez la mère. Aucun effet tératogène n’a cependant été observé </w:t>
      </w:r>
      <w:r w:rsidR="00D31235">
        <w:rPr>
          <w:rFonts w:ascii="Arial Narrow" w:hAnsi="Arial Narrow"/>
          <w:sz w:val="24"/>
        </w:rPr>
        <w:t>chez le rat, la souris, le hamster et le lapin</w:t>
      </w:r>
      <w:r w:rsidR="00BA5CBB">
        <w:rPr>
          <w:rFonts w:ascii="Arial Narrow" w:hAnsi="Arial Narrow"/>
          <w:sz w:val="24"/>
        </w:rPr>
        <w:t>.</w:t>
      </w:r>
      <w:r w:rsidR="00D31235">
        <w:rPr>
          <w:rFonts w:ascii="Arial Narrow" w:hAnsi="Arial Narrow"/>
          <w:sz w:val="24"/>
        </w:rPr>
        <w:t xml:space="preserve"> Les études épidémiologique réalisées sur ce sujet sont plutôt rares mais suggèrent la possibilité d’une association entre l’exposition de la mère aux nitrates par l’eau de consommation et des effets sur le développement de l’embryon et/ou du fœtus. Toutefois, aucune conclusion claire sur la relation de cause à effet n’a pu être établie</w:t>
      </w:r>
      <w:r w:rsidR="00B52573">
        <w:rPr>
          <w:rFonts w:ascii="Arial Narrow" w:hAnsi="Arial Narrow"/>
          <w:sz w:val="24"/>
        </w:rPr>
        <w:t>.</w:t>
      </w:r>
    </w:p>
    <w:p w14:paraId="7550A5DC" w14:textId="5398DF9C" w:rsidR="00264924" w:rsidRDefault="00995C80" w:rsidP="004D24BE">
      <w:pPr>
        <w:jc w:val="both"/>
        <w:rPr>
          <w:rFonts w:ascii="Arial Narrow" w:hAnsi="Arial Narrow"/>
          <w:sz w:val="24"/>
        </w:rPr>
      </w:pPr>
      <w:r>
        <w:rPr>
          <w:rFonts w:ascii="Arial Narrow" w:hAnsi="Arial Narrow"/>
          <w:sz w:val="24"/>
        </w:rPr>
        <w:t xml:space="preserve">La forte concentration du cuivre </w:t>
      </w:r>
      <w:r w:rsidR="00100514">
        <w:rPr>
          <w:rFonts w:ascii="Arial Narrow" w:hAnsi="Arial Narrow"/>
          <w:sz w:val="24"/>
        </w:rPr>
        <w:t xml:space="preserve">a été observée </w:t>
      </w:r>
      <w:r>
        <w:rPr>
          <w:rFonts w:ascii="Arial Narrow" w:hAnsi="Arial Narrow"/>
          <w:sz w:val="24"/>
        </w:rPr>
        <w:t xml:space="preserve">dans </w:t>
      </w:r>
      <w:r w:rsidR="00100514">
        <w:rPr>
          <w:rFonts w:ascii="Arial Narrow" w:hAnsi="Arial Narrow"/>
          <w:sz w:val="24"/>
        </w:rPr>
        <w:t>les échantillons</w:t>
      </w:r>
      <w:r>
        <w:rPr>
          <w:rFonts w:ascii="Arial Narrow" w:hAnsi="Arial Narrow"/>
          <w:sz w:val="24"/>
        </w:rPr>
        <w:t xml:space="preserve"> 1 et 4</w:t>
      </w:r>
      <w:r w:rsidR="00100514">
        <w:rPr>
          <w:rFonts w:ascii="Arial Narrow" w:hAnsi="Arial Narrow"/>
          <w:sz w:val="24"/>
        </w:rPr>
        <w:t xml:space="preserve">. Cette concentration élevée du cuivre </w:t>
      </w:r>
      <w:r>
        <w:rPr>
          <w:rFonts w:ascii="Arial Narrow" w:hAnsi="Arial Narrow"/>
          <w:sz w:val="24"/>
        </w:rPr>
        <w:t xml:space="preserve">s’explique </w:t>
      </w:r>
      <w:r w:rsidR="00100514">
        <w:rPr>
          <w:rFonts w:ascii="Arial Narrow" w:hAnsi="Arial Narrow"/>
          <w:sz w:val="24"/>
        </w:rPr>
        <w:t>par le</w:t>
      </w:r>
      <w:r>
        <w:rPr>
          <w:rFonts w:ascii="Arial Narrow" w:hAnsi="Arial Narrow"/>
          <w:sz w:val="24"/>
        </w:rPr>
        <w:t xml:space="preserve"> fais que la zone du projet fait face aux érosions de sol et à la problématique de gestion des eaux usées domestiques. Un tel apport en cuivre fait suite aux activités agricoles (maraichage) en amont du site du projet. </w:t>
      </w:r>
      <w:r w:rsidR="00100514">
        <w:rPr>
          <w:rFonts w:ascii="Arial Narrow" w:hAnsi="Arial Narrow"/>
          <w:sz w:val="24"/>
        </w:rPr>
        <w:t xml:space="preserve">L’exposition à des concentrations élevées de cuivre dans l’eau peut </w:t>
      </w:r>
      <w:r w:rsidR="0005340D">
        <w:rPr>
          <w:rFonts w:ascii="Arial Narrow" w:hAnsi="Arial Narrow"/>
          <w:sz w:val="24"/>
        </w:rPr>
        <w:t>amener</w:t>
      </w:r>
      <w:r w:rsidR="00100514">
        <w:rPr>
          <w:rFonts w:ascii="Arial Narrow" w:hAnsi="Arial Narrow"/>
          <w:sz w:val="24"/>
        </w:rPr>
        <w:t xml:space="preserve"> à divers effets </w:t>
      </w:r>
      <w:r w:rsidR="0005340D">
        <w:rPr>
          <w:rFonts w:ascii="Arial Narrow" w:hAnsi="Arial Narrow"/>
          <w:sz w:val="24"/>
        </w:rPr>
        <w:t>néfastes</w:t>
      </w:r>
      <w:r w:rsidR="00100514">
        <w:rPr>
          <w:rFonts w:ascii="Arial Narrow" w:hAnsi="Arial Narrow"/>
          <w:sz w:val="24"/>
        </w:rPr>
        <w:t xml:space="preserve"> sur la santé d’ordre irritatif ou systémique. L’intoxication au cuivre affecte principalement le </w:t>
      </w:r>
      <w:r w:rsidR="0005340D">
        <w:rPr>
          <w:rFonts w:ascii="Arial Narrow" w:hAnsi="Arial Narrow"/>
          <w:sz w:val="24"/>
        </w:rPr>
        <w:t>système</w:t>
      </w:r>
      <w:r w:rsidR="00100514">
        <w:rPr>
          <w:rFonts w:ascii="Arial Narrow" w:hAnsi="Arial Narrow"/>
          <w:sz w:val="24"/>
        </w:rPr>
        <w:t xml:space="preserve"> gastro-intestinal. Les effets aigus </w:t>
      </w:r>
      <w:r w:rsidR="0005340D">
        <w:rPr>
          <w:rFonts w:ascii="Arial Narrow" w:hAnsi="Arial Narrow"/>
          <w:sz w:val="24"/>
        </w:rPr>
        <w:t>fréquemment</w:t>
      </w:r>
      <w:r w:rsidR="00100514">
        <w:rPr>
          <w:rFonts w:ascii="Arial Narrow" w:hAnsi="Arial Narrow"/>
          <w:sz w:val="24"/>
        </w:rPr>
        <w:t xml:space="preserve"> rencontrés, notamment les nausées, le maux de tête, les étourdissements, les vomissements, et dans une moindre mesure, les douleurs abdominales et la diarrhée surviennent peu de temps (moins de 15 minutes) après </w:t>
      </w:r>
      <w:r w:rsidR="0005340D">
        <w:rPr>
          <w:rFonts w:ascii="Arial Narrow" w:hAnsi="Arial Narrow"/>
          <w:sz w:val="24"/>
        </w:rPr>
        <w:t>ingestion</w:t>
      </w:r>
      <w:r w:rsidR="00100514">
        <w:rPr>
          <w:rFonts w:ascii="Arial Narrow" w:hAnsi="Arial Narrow"/>
          <w:sz w:val="24"/>
        </w:rPr>
        <w:t xml:space="preserve"> d’eau contenant des teneurs </w:t>
      </w:r>
      <w:r w:rsidR="0005340D">
        <w:rPr>
          <w:rFonts w:ascii="Arial Narrow" w:hAnsi="Arial Narrow"/>
          <w:sz w:val="24"/>
        </w:rPr>
        <w:t xml:space="preserve">élevées en cuivre. </w:t>
      </w:r>
      <w:r w:rsidR="00100514">
        <w:rPr>
          <w:rFonts w:ascii="Arial Narrow" w:hAnsi="Arial Narrow"/>
          <w:sz w:val="24"/>
        </w:rPr>
        <w:t xml:space="preserve"> </w:t>
      </w:r>
    </w:p>
    <w:p w14:paraId="2AC738B8" w14:textId="17573884" w:rsidR="0005340D" w:rsidRDefault="00E00E04" w:rsidP="004D24BE">
      <w:pPr>
        <w:jc w:val="both"/>
        <w:rPr>
          <w:rFonts w:ascii="Arial Narrow" w:hAnsi="Arial Narrow"/>
          <w:sz w:val="24"/>
        </w:rPr>
      </w:pPr>
      <w:r>
        <w:rPr>
          <w:rFonts w:ascii="Arial Narrow" w:hAnsi="Arial Narrow"/>
          <w:sz w:val="24"/>
        </w:rPr>
        <w:t xml:space="preserve">De l’analyse du tableau 13, il se dégage que les échantillons 3, 4, 5 et 6 </w:t>
      </w:r>
      <w:r w:rsidR="009F6E4A">
        <w:rPr>
          <w:rFonts w:ascii="Arial Narrow" w:hAnsi="Arial Narrow"/>
          <w:sz w:val="24"/>
        </w:rPr>
        <w:t>présente</w:t>
      </w:r>
      <w:r>
        <w:rPr>
          <w:rFonts w:ascii="Arial Narrow" w:hAnsi="Arial Narrow"/>
          <w:sz w:val="24"/>
        </w:rPr>
        <w:t xml:space="preserve"> des concentrations </w:t>
      </w:r>
      <w:r w:rsidR="00343D2D">
        <w:rPr>
          <w:rFonts w:ascii="Arial Narrow" w:hAnsi="Arial Narrow"/>
          <w:sz w:val="24"/>
        </w:rPr>
        <w:t xml:space="preserve">en Plomb </w:t>
      </w:r>
      <w:r>
        <w:rPr>
          <w:rFonts w:ascii="Arial Narrow" w:hAnsi="Arial Narrow"/>
          <w:sz w:val="24"/>
        </w:rPr>
        <w:t>dépensant le seuil prescrit par l’OMS. Des telles concentrations sont dues aux poussières provenant des véhicules à combustion (essence), du lessivage des surfaces pollués par des hydrocarbures, des pots de peintures et boîtes à conserve soudées au plomb déversé dans les cours d’eau. Une intoxication au plomb se manifeste par l’</w:t>
      </w:r>
      <w:r w:rsidR="009F6E4A">
        <w:rPr>
          <w:rFonts w:ascii="Arial Narrow" w:hAnsi="Arial Narrow"/>
          <w:sz w:val="24"/>
        </w:rPr>
        <w:t xml:space="preserve">anorexie, les vomissements, l’irritabilité et les troubles de comportement chez l’enfant, alors que chez l’adulte, elle se manifeste cliniquement par un goût métallique, des douleurs abdominales (coliques) et la constipation. Des études réalisées par National Research Council, en 1993 ont mis en évidence une augmentation des cas d’infertilité, d’avortement et de mort-né chez les femmes ayant eu une exposition importante au plomb pendant leur grossesse. La contamination au plomb peut se faire également par ingestion des poissons contaminés par cette substance. A ce moment-là, il y aura une contamination à partir de la chaîne trophique. </w:t>
      </w:r>
    </w:p>
    <w:p w14:paraId="67A1B537" w14:textId="5976B8B9" w:rsidR="009F6E4A" w:rsidRDefault="00E43C21" w:rsidP="004D24BE">
      <w:pPr>
        <w:jc w:val="both"/>
        <w:rPr>
          <w:rFonts w:ascii="Arial Narrow" w:hAnsi="Arial Narrow"/>
          <w:sz w:val="24"/>
        </w:rPr>
      </w:pPr>
      <w:r>
        <w:rPr>
          <w:rFonts w:ascii="Arial Narrow" w:hAnsi="Arial Narrow"/>
          <w:sz w:val="24"/>
        </w:rPr>
        <w:t xml:space="preserve">Des fortes concentrations de chrome ont été observées, dans les échantillons 4 et 6 prélevés sur le site du projet. Une telle concentration est due à la concentration dans l’eau de surface des particules des matériaux inertes lessivés par les eaux de pluies et des érosions hydriques en amont et dans les périphéries du site du projet. </w:t>
      </w:r>
      <w:r w:rsidR="00EF4733">
        <w:rPr>
          <w:rFonts w:ascii="Arial Narrow" w:hAnsi="Arial Narrow"/>
          <w:sz w:val="24"/>
        </w:rPr>
        <w:t xml:space="preserve">De manière général, le chrome est cancérigène et une exposition à cette substance peut entraîner des éruptions cutanées, les ulcères d’estomac, problèmes respiratoires, l’affaiblissement du système immunitaire, le dommage du foie et des reins, l’altération du matériel génétique et des cancers de poumons.  </w:t>
      </w:r>
    </w:p>
    <w:p w14:paraId="3A997B28" w14:textId="659F4AA0" w:rsidR="00EF4733" w:rsidRDefault="00EF4733" w:rsidP="004D24BE">
      <w:pPr>
        <w:jc w:val="both"/>
        <w:rPr>
          <w:rFonts w:ascii="Arial Narrow" w:hAnsi="Arial Narrow"/>
          <w:sz w:val="24"/>
        </w:rPr>
      </w:pPr>
      <w:r>
        <w:rPr>
          <w:rFonts w:ascii="Arial Narrow" w:hAnsi="Arial Narrow"/>
          <w:sz w:val="24"/>
        </w:rPr>
        <w:t xml:space="preserve">Des concentrations élevées en nickel ont été observées dans les échantillons 3 et 6 des cours d’eau de la zone du projet. Cette concentration élevée en nickel est due au </w:t>
      </w:r>
      <w:r w:rsidR="00E910D4">
        <w:rPr>
          <w:rFonts w:ascii="Arial Narrow" w:hAnsi="Arial Narrow"/>
          <w:sz w:val="24"/>
        </w:rPr>
        <w:t>déversement</w:t>
      </w:r>
      <w:r>
        <w:rPr>
          <w:rFonts w:ascii="Arial Narrow" w:hAnsi="Arial Narrow"/>
          <w:sz w:val="24"/>
        </w:rPr>
        <w:t xml:space="preserve"> dans les cours des eaux usées domestiques contenant </w:t>
      </w:r>
      <w:r w:rsidR="005D6EA1">
        <w:rPr>
          <w:rFonts w:ascii="Arial Narrow" w:hAnsi="Arial Narrow"/>
          <w:sz w:val="24"/>
        </w:rPr>
        <w:t xml:space="preserve">des détergents et dans les cigarettes, et lessivage des sites pollués par les eaux pluviales de ruissellement. Des fortes concentrations du nickel sur les sols peuvent endommager les plantes et, de hautes </w:t>
      </w:r>
      <w:r w:rsidR="00E910D4">
        <w:rPr>
          <w:rFonts w:ascii="Arial Narrow" w:hAnsi="Arial Narrow"/>
          <w:sz w:val="24"/>
        </w:rPr>
        <w:t>concentrations</w:t>
      </w:r>
      <w:r w:rsidR="005D6EA1">
        <w:rPr>
          <w:rFonts w:ascii="Arial Narrow" w:hAnsi="Arial Narrow"/>
          <w:sz w:val="24"/>
        </w:rPr>
        <w:t xml:space="preserve"> en nickel dans les eaux de surface </w:t>
      </w:r>
      <w:r w:rsidR="00E910D4">
        <w:rPr>
          <w:rFonts w:ascii="Arial Narrow" w:hAnsi="Arial Narrow"/>
          <w:sz w:val="24"/>
        </w:rPr>
        <w:t>peuvent</w:t>
      </w:r>
      <w:r w:rsidR="005D6EA1">
        <w:rPr>
          <w:rFonts w:ascii="Arial Narrow" w:hAnsi="Arial Narrow"/>
          <w:sz w:val="24"/>
        </w:rPr>
        <w:t xml:space="preserve"> diminuer le taux de croissance des algues. Les micro-organismes peuvent aussi souffrir d’une diminution de croissance due à la présence de nickel mais, en général, après un certain temps, il développe une résistance au nickel. </w:t>
      </w:r>
      <w:r w:rsidR="00E910D4">
        <w:rPr>
          <w:rFonts w:ascii="Arial Narrow" w:hAnsi="Arial Narrow"/>
          <w:sz w:val="24"/>
        </w:rPr>
        <w:t>Une absorption de quantités trop importantes de Nickel peut avoir les effets sur le risque de développement de cancer des poumons, de larynx et de la prostate, des nausées, vomissements et vertige après exposition. Le nickel peut causer des embolies pulmonaires, des échecs de naissance et respiratoire, asthme et bronchite chronique, des réactions allergiques telles que des éruptions cutanées et des probl</w:t>
      </w:r>
      <w:r w:rsidR="00A84B3F">
        <w:rPr>
          <w:rFonts w:ascii="Arial Narrow" w:hAnsi="Arial Narrow"/>
          <w:sz w:val="24"/>
        </w:rPr>
        <w:t>è</w:t>
      </w:r>
      <w:r w:rsidR="00E910D4">
        <w:rPr>
          <w:rFonts w:ascii="Arial Narrow" w:hAnsi="Arial Narrow"/>
          <w:sz w:val="24"/>
        </w:rPr>
        <w:t>mes cardiaques</w:t>
      </w:r>
      <w:r w:rsidR="00E910D4">
        <w:rPr>
          <w:rStyle w:val="Appelnotedebasdep"/>
          <w:rFonts w:ascii="Arial Narrow" w:hAnsi="Arial Narrow"/>
          <w:sz w:val="24"/>
        </w:rPr>
        <w:footnoteReference w:id="10"/>
      </w:r>
      <w:r w:rsidR="00E910D4">
        <w:rPr>
          <w:rFonts w:ascii="Arial Narrow" w:hAnsi="Arial Narrow"/>
          <w:sz w:val="24"/>
        </w:rPr>
        <w:t xml:space="preserve">. </w:t>
      </w:r>
    </w:p>
    <w:p w14:paraId="7F42CF67" w14:textId="03D8B596" w:rsidR="00E910D4" w:rsidRDefault="00E910D4" w:rsidP="004D24BE">
      <w:pPr>
        <w:jc w:val="both"/>
        <w:rPr>
          <w:rFonts w:ascii="Arial Narrow" w:hAnsi="Arial Narrow"/>
          <w:sz w:val="24"/>
        </w:rPr>
      </w:pPr>
      <w:r>
        <w:rPr>
          <w:rFonts w:ascii="Arial Narrow" w:hAnsi="Arial Narrow"/>
          <w:sz w:val="24"/>
        </w:rPr>
        <w:t xml:space="preserve">Des concentrations hors-seuil de fer ont été </w:t>
      </w:r>
      <w:r w:rsidR="00A84B3F">
        <w:rPr>
          <w:rFonts w:ascii="Arial Narrow" w:hAnsi="Arial Narrow"/>
          <w:sz w:val="24"/>
        </w:rPr>
        <w:t>observées</w:t>
      </w:r>
      <w:r>
        <w:rPr>
          <w:rFonts w:ascii="Arial Narrow" w:hAnsi="Arial Narrow"/>
          <w:sz w:val="24"/>
        </w:rPr>
        <w:t xml:space="preserve"> dans les échantillons 2,</w:t>
      </w:r>
      <w:r w:rsidR="00A84B3F">
        <w:rPr>
          <w:rFonts w:ascii="Arial Narrow" w:hAnsi="Arial Narrow"/>
          <w:sz w:val="24"/>
        </w:rPr>
        <w:t xml:space="preserve"> </w:t>
      </w:r>
      <w:r>
        <w:rPr>
          <w:rFonts w:ascii="Arial Narrow" w:hAnsi="Arial Narrow"/>
          <w:sz w:val="24"/>
        </w:rPr>
        <w:t>3,</w:t>
      </w:r>
      <w:r w:rsidR="00A84B3F">
        <w:rPr>
          <w:rFonts w:ascii="Arial Narrow" w:hAnsi="Arial Narrow"/>
          <w:sz w:val="24"/>
        </w:rPr>
        <w:t xml:space="preserve"> </w:t>
      </w:r>
      <w:r>
        <w:rPr>
          <w:rFonts w:ascii="Arial Narrow" w:hAnsi="Arial Narrow"/>
          <w:sz w:val="24"/>
        </w:rPr>
        <w:t xml:space="preserve">4 et 6 prélevés au site du projet. Cette concentration élevée du fer est due au déversement des eaux usées domestiques dans les cours d’eau et au lessivage des </w:t>
      </w:r>
      <w:r w:rsidR="00A84B3F">
        <w:rPr>
          <w:rFonts w:ascii="Arial Narrow" w:hAnsi="Arial Narrow"/>
          <w:sz w:val="24"/>
        </w:rPr>
        <w:t xml:space="preserve">pesticides. L’inhalation de </w:t>
      </w:r>
      <w:r w:rsidR="007825A6">
        <w:rPr>
          <w:rFonts w:ascii="Arial Narrow" w:hAnsi="Arial Narrow"/>
          <w:sz w:val="24"/>
        </w:rPr>
        <w:t>concentration excessive</w:t>
      </w:r>
      <w:r w:rsidR="00A84B3F">
        <w:rPr>
          <w:rFonts w:ascii="Arial Narrow" w:hAnsi="Arial Narrow"/>
          <w:sz w:val="24"/>
        </w:rPr>
        <w:t xml:space="preserve"> d’oxydes de fer peut augmenter le risque de développement de cancer de poumon, particulièrement pour les ouvriers exposé</w:t>
      </w:r>
      <w:r w:rsidR="007825A6">
        <w:rPr>
          <w:rFonts w:ascii="Arial Narrow" w:hAnsi="Arial Narrow"/>
          <w:sz w:val="24"/>
        </w:rPr>
        <w:t xml:space="preserve">s, la conjonctivite, des problèmes de rétines s’il est en contact et reste dans les tissus. </w:t>
      </w:r>
    </w:p>
    <w:p w14:paraId="0EA44102" w14:textId="2E7B0B80" w:rsidR="00EF4733" w:rsidRDefault="007825A6" w:rsidP="004D24BE">
      <w:pPr>
        <w:jc w:val="both"/>
        <w:rPr>
          <w:rFonts w:ascii="Arial Narrow" w:hAnsi="Arial Narrow"/>
          <w:sz w:val="24"/>
        </w:rPr>
      </w:pPr>
      <w:r>
        <w:rPr>
          <w:rFonts w:ascii="Arial Narrow" w:hAnsi="Arial Narrow"/>
          <w:sz w:val="24"/>
        </w:rPr>
        <w:t xml:space="preserve">Une concentration élevée du manganèse (Mn) a été observée dans les </w:t>
      </w:r>
      <w:r w:rsidR="006F2B8D">
        <w:rPr>
          <w:rFonts w:ascii="Arial Narrow" w:hAnsi="Arial Narrow"/>
          <w:sz w:val="24"/>
        </w:rPr>
        <w:t xml:space="preserve">échantillons </w:t>
      </w:r>
      <w:r>
        <w:rPr>
          <w:rFonts w:ascii="Arial Narrow" w:hAnsi="Arial Narrow"/>
          <w:sz w:val="24"/>
        </w:rPr>
        <w:t xml:space="preserve">1, 2, 4 et </w:t>
      </w:r>
      <w:r w:rsidR="00441B1D">
        <w:rPr>
          <w:rFonts w:ascii="Arial Narrow" w:hAnsi="Arial Narrow"/>
          <w:sz w:val="24"/>
        </w:rPr>
        <w:t>6</w:t>
      </w:r>
      <w:r w:rsidR="00E51537">
        <w:rPr>
          <w:rFonts w:ascii="Arial Narrow" w:hAnsi="Arial Narrow"/>
          <w:sz w:val="24"/>
        </w:rPr>
        <w:t xml:space="preserve"> prélev</w:t>
      </w:r>
      <w:r w:rsidR="009C410D">
        <w:rPr>
          <w:rFonts w:ascii="Arial Narrow" w:hAnsi="Arial Narrow"/>
          <w:sz w:val="24"/>
        </w:rPr>
        <w:t>és sur le site</w:t>
      </w:r>
      <w:r w:rsidR="00E51537">
        <w:rPr>
          <w:rFonts w:ascii="Arial Narrow" w:hAnsi="Arial Narrow"/>
          <w:sz w:val="24"/>
        </w:rPr>
        <w:t xml:space="preserve"> du p</w:t>
      </w:r>
      <w:r w:rsidR="009C410D">
        <w:rPr>
          <w:rFonts w:ascii="Arial Narrow" w:hAnsi="Arial Narrow"/>
          <w:sz w:val="24"/>
        </w:rPr>
        <w:t>r</w:t>
      </w:r>
      <w:r w:rsidR="00E51537">
        <w:rPr>
          <w:rFonts w:ascii="Arial Narrow" w:hAnsi="Arial Narrow"/>
          <w:sz w:val="24"/>
        </w:rPr>
        <w:t>oj</w:t>
      </w:r>
      <w:r w:rsidR="009C410D">
        <w:rPr>
          <w:rFonts w:ascii="Arial Narrow" w:hAnsi="Arial Narrow"/>
          <w:sz w:val="24"/>
        </w:rPr>
        <w:t>e</w:t>
      </w:r>
      <w:r w:rsidR="00E51537">
        <w:rPr>
          <w:rFonts w:ascii="Arial Narrow" w:hAnsi="Arial Narrow"/>
          <w:sz w:val="24"/>
        </w:rPr>
        <w:t>t</w:t>
      </w:r>
      <w:r w:rsidR="009C410D">
        <w:rPr>
          <w:rFonts w:ascii="Arial Narrow" w:hAnsi="Arial Narrow"/>
          <w:sz w:val="24"/>
        </w:rPr>
        <w:t>. Cette concentration élevée de Mn dans les cours d’eau de la zone du projet est due au phénomène d’érosion de sols et aux solides en suspension dans les eaux de surface. Cet apport de manganèse dans les eaux de surface est dû également à l’utilisation des énergies fossiles dans le transport et à l’utilisation des insecticides et pesticides en amont du site du projet. En plus, des facteurs suscités, le déversement des déchets solides dans l’eau augmente ainsi la concentration du manganèse.</w:t>
      </w:r>
    </w:p>
    <w:p w14:paraId="0456FBFA" w14:textId="09C58226" w:rsidR="006F2B8D" w:rsidRDefault="00B44A33" w:rsidP="004D24BE">
      <w:pPr>
        <w:jc w:val="both"/>
        <w:rPr>
          <w:rFonts w:ascii="Arial Narrow" w:hAnsi="Arial Narrow"/>
          <w:sz w:val="24"/>
        </w:rPr>
      </w:pPr>
      <w:r>
        <w:rPr>
          <w:rFonts w:ascii="Arial Narrow" w:hAnsi="Arial Narrow"/>
          <w:sz w:val="24"/>
        </w:rPr>
        <w:t xml:space="preserve">Enfin, </w:t>
      </w:r>
      <w:r w:rsidR="004228F2">
        <w:rPr>
          <w:rFonts w:ascii="Arial Narrow" w:hAnsi="Arial Narrow"/>
          <w:sz w:val="24"/>
        </w:rPr>
        <w:t xml:space="preserve">une concentration élevée du mercure a été observée </w:t>
      </w:r>
      <w:r w:rsidR="002A37EE">
        <w:rPr>
          <w:rFonts w:ascii="Arial Narrow" w:hAnsi="Arial Narrow"/>
          <w:sz w:val="24"/>
        </w:rPr>
        <w:t xml:space="preserve">après analyse de l’échantillon 4 prélevé sur le site du projet. </w:t>
      </w:r>
      <w:r w:rsidR="00DA6AFB">
        <w:rPr>
          <w:rFonts w:ascii="Arial Narrow" w:hAnsi="Arial Narrow"/>
          <w:sz w:val="24"/>
        </w:rPr>
        <w:t>Cette concentration élevée en mercure trouve son origine dans le ruissellement des eaux chargé des déchets solide et liquide, dans le lessivage des fertilisations agricoles</w:t>
      </w:r>
      <w:r w:rsidR="00865F15">
        <w:rPr>
          <w:rFonts w:ascii="Arial Narrow" w:hAnsi="Arial Narrow"/>
          <w:sz w:val="24"/>
        </w:rPr>
        <w:t xml:space="preserve">, les eaux </w:t>
      </w:r>
      <w:r w:rsidR="000129FB">
        <w:rPr>
          <w:rFonts w:ascii="Arial Narrow" w:hAnsi="Arial Narrow"/>
          <w:sz w:val="24"/>
        </w:rPr>
        <w:t>de surface acides et la combustion à l’air libre des déchets, pneus usagés, des hydrocarbures et du transport urbain</w:t>
      </w:r>
      <w:r w:rsidR="00630984">
        <w:rPr>
          <w:rFonts w:ascii="Arial Narrow" w:hAnsi="Arial Narrow"/>
          <w:sz w:val="24"/>
        </w:rPr>
        <w:t>. La contamination humaine au mercure peut se faire par chaine alimentaire suite à l’ingestion par les poissons</w:t>
      </w:r>
      <w:r w:rsidR="00F5351A">
        <w:rPr>
          <w:rFonts w:ascii="Arial Narrow" w:hAnsi="Arial Narrow"/>
          <w:sz w:val="24"/>
        </w:rPr>
        <w:t xml:space="preserve"> </w:t>
      </w:r>
      <w:r w:rsidR="00D622A6">
        <w:rPr>
          <w:rFonts w:ascii="Arial Narrow" w:hAnsi="Arial Narrow"/>
          <w:sz w:val="24"/>
        </w:rPr>
        <w:t xml:space="preserve">des micro-organismes </w:t>
      </w:r>
      <w:r w:rsidR="000C6AEA">
        <w:rPr>
          <w:rFonts w:ascii="Arial Narrow" w:hAnsi="Arial Narrow"/>
          <w:sz w:val="24"/>
        </w:rPr>
        <w:t xml:space="preserve">ayant </w:t>
      </w:r>
      <w:r w:rsidR="00B72C2F">
        <w:rPr>
          <w:rFonts w:ascii="Arial Narrow" w:hAnsi="Arial Narrow"/>
          <w:sz w:val="24"/>
        </w:rPr>
        <w:t xml:space="preserve">été </w:t>
      </w:r>
      <w:r w:rsidR="000C6AEA">
        <w:rPr>
          <w:rFonts w:ascii="Arial Narrow" w:hAnsi="Arial Narrow"/>
          <w:sz w:val="24"/>
        </w:rPr>
        <w:t>transformé en méthyl de mercure</w:t>
      </w:r>
      <w:r w:rsidR="00B72C2F">
        <w:rPr>
          <w:rFonts w:ascii="Arial Narrow" w:hAnsi="Arial Narrow"/>
          <w:sz w:val="24"/>
        </w:rPr>
        <w:t xml:space="preserve"> dans l’eau et le sol.</w:t>
      </w:r>
      <w:r w:rsidR="00F259AB">
        <w:rPr>
          <w:rFonts w:ascii="Arial Narrow" w:hAnsi="Arial Narrow"/>
          <w:sz w:val="24"/>
        </w:rPr>
        <w:t xml:space="preserve"> </w:t>
      </w:r>
      <w:r w:rsidR="00630984">
        <w:rPr>
          <w:rFonts w:ascii="Arial Narrow" w:hAnsi="Arial Narrow"/>
          <w:sz w:val="24"/>
        </w:rPr>
        <w:t xml:space="preserve"> </w:t>
      </w:r>
      <w:r w:rsidR="000129FB">
        <w:rPr>
          <w:rFonts w:ascii="Arial Narrow" w:hAnsi="Arial Narrow"/>
          <w:sz w:val="24"/>
        </w:rPr>
        <w:t xml:space="preserve"> </w:t>
      </w:r>
    </w:p>
    <w:p w14:paraId="09E4BD10" w14:textId="6950DC55" w:rsidR="007F23C0" w:rsidRPr="007F23C0" w:rsidRDefault="0023301F" w:rsidP="00215867">
      <w:pPr>
        <w:spacing w:after="120" w:line="240" w:lineRule="auto"/>
        <w:jc w:val="both"/>
        <w:rPr>
          <w:rFonts w:ascii="Times New Roman" w:hAnsi="Times New Roman"/>
          <w:sz w:val="24"/>
        </w:rPr>
      </w:pPr>
      <w:r>
        <w:rPr>
          <w:rFonts w:ascii="Times New Roman" w:hAnsi="Times New Roman"/>
          <w:sz w:val="24"/>
        </w:rPr>
        <w:t xml:space="preserve">Eu égard aux </w:t>
      </w:r>
      <w:r w:rsidR="007F23C0" w:rsidRPr="007F23C0">
        <w:rPr>
          <w:rFonts w:ascii="Times New Roman" w:hAnsi="Times New Roman"/>
          <w:sz w:val="24"/>
        </w:rPr>
        <w:t xml:space="preserve">résultats nous fournis par le laboratoire après analyses des paramètres physico-chimiques et bactériologiques, nous pouvons aisément conclure que ces eaux sont impropres à la consommation. Mais toutefois, les analyses ne donnent que des informations ponctuelles. Elles indiquent seulement la qualité de l’eau au moment du prélèvement. </w:t>
      </w:r>
    </w:p>
    <w:p w14:paraId="2735C5BD" w14:textId="77777777" w:rsidR="007F23C0" w:rsidRPr="007F23C0" w:rsidRDefault="007F23C0" w:rsidP="00E737B4">
      <w:pPr>
        <w:spacing w:before="120" w:after="120" w:line="240" w:lineRule="auto"/>
        <w:jc w:val="both"/>
        <w:rPr>
          <w:rFonts w:ascii="Times New Roman" w:hAnsi="Times New Roman"/>
          <w:sz w:val="24"/>
          <w:lang w:val="fr-BE"/>
        </w:rPr>
      </w:pPr>
      <w:r w:rsidRPr="007F23C0">
        <w:rPr>
          <w:rFonts w:ascii="Times New Roman" w:hAnsi="Times New Roman"/>
          <w:sz w:val="24"/>
          <w:lang w:val="fr-BE"/>
        </w:rPr>
        <w:t>Il en résulte après analyse que:</w:t>
      </w:r>
    </w:p>
    <w:p w14:paraId="54EF9C9B" w14:textId="5E21AAF4"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Du point de vue acidité, ces échantillons d’eaux ont de pH acide et des indices de LANGELIER négatifs caractérisant des eaux agressives ;</w:t>
      </w:r>
    </w:p>
    <w:p w14:paraId="0757C1F3" w14:textId="77777777"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Les cations et anions majeurs à savoir ; le calcium, magnésium, potassium, sodium, chlorures, sulfates sont dans les normes tel qu’établies par l’Organisation Mondiale de la Santé conduisant à une minéralisation faible car les valeurs de conductivité sont quasi inférieurs à 100 µS/cm pour les échantillons 7,8 par contre d’autres échantillons présentent de minéralisations moyennes ;</w:t>
      </w:r>
    </w:p>
    <w:p w14:paraId="4CB8405F" w14:textId="77777777"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La dureté de ces eaux est comprise entre 7°F à 15°F caractérisant les eaux dures hormis les échantillons 7 et 8 qui sont des eaux douces ;</w:t>
      </w:r>
    </w:p>
    <w:p w14:paraId="538A6616" w14:textId="2B1233E8"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Les teneurs élevées en phosphates de ces eaux démontrent l’existence d’une pollution anthropique</w:t>
      </w:r>
      <w:r w:rsidR="00D46AEE">
        <w:rPr>
          <w:rFonts w:ascii="Times New Roman" w:hAnsi="Times New Roman"/>
          <w:sz w:val="24"/>
        </w:rPr>
        <w:t xml:space="preserve">, due aux </w:t>
      </w:r>
      <w:r w:rsidR="008335D0">
        <w:rPr>
          <w:rFonts w:ascii="Times New Roman" w:hAnsi="Times New Roman"/>
          <w:sz w:val="24"/>
        </w:rPr>
        <w:t>rejets d’eau usée contenant les détergents et de l’apport en sédiment dans l’eau provenant de l’érosion des sols</w:t>
      </w:r>
      <w:r w:rsidRPr="007F23C0">
        <w:rPr>
          <w:rFonts w:ascii="Times New Roman" w:hAnsi="Times New Roman"/>
          <w:sz w:val="24"/>
        </w:rPr>
        <w:t xml:space="preserve"> ; </w:t>
      </w:r>
    </w:p>
    <w:p w14:paraId="7F7B3135" w14:textId="4F6BBF58"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Les métaux lourds sont présents ; conduisant à la pollution métallique dans ces eaux</w:t>
      </w:r>
      <w:r w:rsidR="009125C5">
        <w:rPr>
          <w:rFonts w:ascii="Times New Roman" w:hAnsi="Times New Roman"/>
          <w:sz w:val="24"/>
        </w:rPr>
        <w:t xml:space="preserve">. Ces métaux lourds proviennent des </w:t>
      </w:r>
      <w:r w:rsidR="001B7C43">
        <w:rPr>
          <w:rFonts w:ascii="Times New Roman" w:hAnsi="Times New Roman"/>
          <w:sz w:val="24"/>
        </w:rPr>
        <w:t xml:space="preserve">lessivages par les eaux pluviales des surfaces polluées par les dépôts de </w:t>
      </w:r>
      <w:r w:rsidR="009125C5">
        <w:rPr>
          <w:rFonts w:ascii="Times New Roman" w:hAnsi="Times New Roman"/>
          <w:sz w:val="24"/>
        </w:rPr>
        <w:t>carburants</w:t>
      </w:r>
      <w:r w:rsidR="00752DF2">
        <w:rPr>
          <w:rFonts w:ascii="Times New Roman" w:hAnsi="Times New Roman"/>
          <w:sz w:val="24"/>
        </w:rPr>
        <w:t xml:space="preserve"> </w:t>
      </w:r>
      <w:r w:rsidR="001B7C43">
        <w:rPr>
          <w:rFonts w:ascii="Times New Roman" w:hAnsi="Times New Roman"/>
          <w:sz w:val="24"/>
        </w:rPr>
        <w:t xml:space="preserve">et des particules de </w:t>
      </w:r>
      <w:r w:rsidR="00752DF2">
        <w:rPr>
          <w:rFonts w:ascii="Times New Roman" w:hAnsi="Times New Roman"/>
          <w:sz w:val="24"/>
        </w:rPr>
        <w:t xml:space="preserve">combustion  d’essence au Plomb, des </w:t>
      </w:r>
      <w:r w:rsidR="001B7C43">
        <w:rPr>
          <w:rFonts w:ascii="Times New Roman" w:hAnsi="Times New Roman"/>
          <w:sz w:val="24"/>
        </w:rPr>
        <w:t xml:space="preserve">surfaces </w:t>
      </w:r>
      <w:r w:rsidR="00752DF2">
        <w:rPr>
          <w:rFonts w:ascii="Times New Roman" w:hAnsi="Times New Roman"/>
          <w:sz w:val="24"/>
        </w:rPr>
        <w:t>activités agricoles</w:t>
      </w:r>
      <w:r w:rsidR="001B7C43">
        <w:rPr>
          <w:rFonts w:ascii="Times New Roman" w:hAnsi="Times New Roman"/>
          <w:sz w:val="24"/>
        </w:rPr>
        <w:t>, des lixiviats de déchets divers entreposées sur le sol et des rejets de petites industries de transformation</w:t>
      </w:r>
      <w:r w:rsidRPr="007F23C0">
        <w:rPr>
          <w:rFonts w:ascii="Times New Roman" w:hAnsi="Times New Roman"/>
          <w:sz w:val="24"/>
        </w:rPr>
        <w:t xml:space="preserve"> ; </w:t>
      </w:r>
    </w:p>
    <w:p w14:paraId="341BA894" w14:textId="77777777" w:rsidR="007F23C0" w:rsidRPr="007F23C0" w:rsidRDefault="007F23C0" w:rsidP="008C79F0">
      <w:pPr>
        <w:numPr>
          <w:ilvl w:val="0"/>
          <w:numId w:val="209"/>
        </w:numPr>
        <w:spacing w:after="0" w:line="240" w:lineRule="auto"/>
        <w:jc w:val="both"/>
        <w:rPr>
          <w:rFonts w:ascii="Times New Roman" w:hAnsi="Times New Roman"/>
          <w:sz w:val="24"/>
        </w:rPr>
      </w:pPr>
      <w:r w:rsidRPr="007F23C0">
        <w:rPr>
          <w:rFonts w:ascii="Times New Roman" w:hAnsi="Times New Roman"/>
          <w:sz w:val="24"/>
        </w:rPr>
        <w:t>La microbiologie des eaux naturelles est exprimée par la numération des germes totaux reflétée par le nombre d’unités faisant colonies ; pour nos échantillons des eaux ; elle est manifeste bien qu’elles soient généralement inférieures aux 100 unités faisant colonies.</w:t>
      </w:r>
    </w:p>
    <w:p w14:paraId="241F0604" w14:textId="72EA74A0" w:rsidR="007F23C0" w:rsidRPr="007F23C0" w:rsidRDefault="007F23C0" w:rsidP="00215867">
      <w:pPr>
        <w:spacing w:before="120" w:after="120" w:line="240" w:lineRule="auto"/>
        <w:ind w:left="709"/>
        <w:jc w:val="both"/>
        <w:rPr>
          <w:rFonts w:ascii="Times New Roman" w:hAnsi="Times New Roman"/>
          <w:sz w:val="24"/>
        </w:rPr>
      </w:pPr>
      <w:r w:rsidRPr="007F23C0">
        <w:rPr>
          <w:rFonts w:ascii="Times New Roman" w:hAnsi="Times New Roman"/>
          <w:sz w:val="24"/>
        </w:rPr>
        <w:t>Cette présence des germes globaux est inhérente à l’environnement qui cependant doit être annihilée par désinfection au chlore pour tout usage.</w:t>
      </w:r>
      <w:r w:rsidR="00280331">
        <w:rPr>
          <w:rFonts w:ascii="Times New Roman" w:hAnsi="Times New Roman"/>
          <w:sz w:val="24"/>
        </w:rPr>
        <w:t xml:space="preserve"> La gestion des déchets ménagers et eaux vannes posant une problématique réelle dans la zone du projet, la population vivant le long des cours d’eau, se contente de connecter le trop plein de leur fosse septique aux rivières le plus proche. Pour les ménages ne disposant pas des fosses septiques, les cours d’eau sont utilisés pour l’évaluation des eaux vannes. </w:t>
      </w:r>
    </w:p>
    <w:p w14:paraId="55368F88" w14:textId="77777777" w:rsidR="0015245E" w:rsidRPr="00021921" w:rsidRDefault="00021921" w:rsidP="00EA6A0F">
      <w:pPr>
        <w:pStyle w:val="Titre31"/>
        <w:numPr>
          <w:ilvl w:val="2"/>
          <w:numId w:val="54"/>
        </w:numPr>
        <w:spacing w:before="120" w:after="120"/>
        <w:ind w:left="709" w:hanging="709"/>
        <w:rPr>
          <w:rFonts w:eastAsia="Calibri" w:cs="Times New Roman"/>
          <w:u w:val="none"/>
        </w:rPr>
      </w:pPr>
      <w:bookmarkStart w:id="456" w:name="_Toc103685638"/>
      <w:r>
        <w:rPr>
          <w:rFonts w:eastAsia="Calibri" w:cs="Times New Roman"/>
          <w:u w:val="none"/>
        </w:rPr>
        <w:t xml:space="preserve">Interprétation </w:t>
      </w:r>
      <w:r w:rsidR="00321506">
        <w:rPr>
          <w:rFonts w:eastAsia="Calibri" w:cs="Times New Roman"/>
          <w:u w:val="none"/>
        </w:rPr>
        <w:t>des r</w:t>
      </w:r>
      <w:r w:rsidR="00321506" w:rsidRPr="00021921">
        <w:rPr>
          <w:rFonts w:eastAsia="Calibri" w:cs="Times New Roman"/>
          <w:u w:val="none"/>
        </w:rPr>
        <w:t>ésultats</w:t>
      </w:r>
      <w:r w:rsidR="007F23C0" w:rsidRPr="00021921">
        <w:rPr>
          <w:rFonts w:eastAsia="Calibri" w:cs="Times New Roman"/>
          <w:u w:val="none"/>
        </w:rPr>
        <w:t xml:space="preserve"> sur la qualité de l’air</w:t>
      </w:r>
      <w:bookmarkEnd w:id="456"/>
    </w:p>
    <w:p w14:paraId="27529C49" w14:textId="3EC5FF48" w:rsidR="000D0F2D" w:rsidRPr="00215867" w:rsidRDefault="000D0F2D" w:rsidP="007F23C0">
      <w:pPr>
        <w:rPr>
          <w:rFonts w:ascii="Times New Roman" w:hAnsi="Times New Roman"/>
          <w:b/>
          <w:i/>
          <w:sz w:val="24"/>
        </w:rPr>
      </w:pPr>
      <w:r w:rsidRPr="00215867">
        <w:rPr>
          <w:rFonts w:ascii="Times New Roman" w:hAnsi="Times New Roman"/>
          <w:b/>
          <w:i/>
          <w:sz w:val="24"/>
        </w:rPr>
        <w:t>Méth</w:t>
      </w:r>
      <w:r w:rsidR="00EA6A0F" w:rsidRPr="00215867">
        <w:rPr>
          <w:rFonts w:ascii="Times New Roman" w:hAnsi="Times New Roman"/>
          <w:b/>
          <w:i/>
          <w:sz w:val="24"/>
        </w:rPr>
        <w:t>o</w:t>
      </w:r>
      <w:r w:rsidRPr="00215867">
        <w:rPr>
          <w:rFonts w:ascii="Times New Roman" w:hAnsi="Times New Roman"/>
          <w:b/>
          <w:i/>
          <w:sz w:val="24"/>
        </w:rPr>
        <w:t xml:space="preserve">dologie </w:t>
      </w:r>
    </w:p>
    <w:p w14:paraId="26F9F1C4" w14:textId="62774D62" w:rsidR="000D0F2D" w:rsidRDefault="000D0F2D" w:rsidP="00215867">
      <w:pPr>
        <w:jc w:val="both"/>
        <w:rPr>
          <w:rFonts w:ascii="Times New Roman" w:hAnsi="Times New Roman"/>
          <w:sz w:val="24"/>
        </w:rPr>
      </w:pPr>
      <w:r>
        <w:rPr>
          <w:rFonts w:ascii="Times New Roman" w:hAnsi="Times New Roman"/>
          <w:sz w:val="24"/>
        </w:rPr>
        <w:t xml:space="preserve">La </w:t>
      </w:r>
      <w:r w:rsidR="00C00E4F">
        <w:rPr>
          <w:rFonts w:ascii="Times New Roman" w:hAnsi="Times New Roman"/>
          <w:sz w:val="24"/>
        </w:rPr>
        <w:t>prise des mesures</w:t>
      </w:r>
      <w:r>
        <w:rPr>
          <w:rFonts w:ascii="Times New Roman" w:hAnsi="Times New Roman"/>
          <w:sz w:val="24"/>
        </w:rPr>
        <w:t xml:space="preserve"> de la qualité de l’air a été effectuée à l’aide de l’application Androide </w:t>
      </w:r>
      <w:r w:rsidR="00C00E4F">
        <w:rPr>
          <w:rFonts w:ascii="Times New Roman" w:hAnsi="Times New Roman"/>
          <w:sz w:val="24"/>
        </w:rPr>
        <w:t xml:space="preserve">AirMeter, disponible sur PlayStore et s’est servi comme référentiel, les </w:t>
      </w:r>
      <w:r w:rsidR="00691E11">
        <w:rPr>
          <w:rFonts w:ascii="Times New Roman" w:hAnsi="Times New Roman"/>
          <w:sz w:val="24"/>
        </w:rPr>
        <w:t xml:space="preserve">directives </w:t>
      </w:r>
      <w:r w:rsidR="00177283">
        <w:rPr>
          <w:rFonts w:ascii="Times New Roman" w:hAnsi="Times New Roman"/>
          <w:sz w:val="24"/>
        </w:rPr>
        <w:t xml:space="preserve">de l’OMS </w:t>
      </w:r>
      <w:r w:rsidR="00EA6A0F">
        <w:rPr>
          <w:rFonts w:ascii="Times New Roman" w:hAnsi="Times New Roman"/>
          <w:sz w:val="24"/>
        </w:rPr>
        <w:t>concernant</w:t>
      </w:r>
      <w:r w:rsidR="00177283">
        <w:rPr>
          <w:rFonts w:ascii="Times New Roman" w:hAnsi="Times New Roman"/>
          <w:sz w:val="24"/>
        </w:rPr>
        <w:t xml:space="preserve"> la </w:t>
      </w:r>
      <w:r w:rsidR="008B7DCB">
        <w:rPr>
          <w:rFonts w:ascii="Times New Roman" w:hAnsi="Times New Roman"/>
          <w:sz w:val="24"/>
        </w:rPr>
        <w:t>qualité de l’air.</w:t>
      </w:r>
      <w:r w:rsidR="00DC33AC">
        <w:rPr>
          <w:rFonts w:ascii="Times New Roman" w:hAnsi="Times New Roman"/>
          <w:sz w:val="24"/>
        </w:rPr>
        <w:t xml:space="preserve"> Cependant, la mesure de la quantité des bruits ont été effectuée in-situ à l’aide de sonomètre </w:t>
      </w:r>
      <w:r w:rsidR="00EF0286" w:rsidRPr="007F4B1E">
        <w:rPr>
          <w:rFonts w:ascii="Times New Roman" w:hAnsi="Times New Roman"/>
          <w:sz w:val="24"/>
        </w:rPr>
        <w:t xml:space="preserve">de classe 2 et conforme aux prescriptions de la publication de la Norme Internationale 651 (1979) intitulée </w:t>
      </w:r>
      <w:r w:rsidR="00EF0286" w:rsidRPr="007F4B1E">
        <w:rPr>
          <w:rFonts w:ascii="Times New Roman" w:hAnsi="Times New Roman"/>
          <w:i/>
          <w:sz w:val="24"/>
        </w:rPr>
        <w:t>« Sonomètres » de la Commission électrotechnique internationale</w:t>
      </w:r>
      <w:r w:rsidR="00EF0286" w:rsidRPr="007F4B1E">
        <w:rPr>
          <w:rFonts w:ascii="Times New Roman" w:hAnsi="Times New Roman"/>
          <w:sz w:val="24"/>
        </w:rPr>
        <w:t>.</w:t>
      </w:r>
    </w:p>
    <w:p w14:paraId="292D4A92" w14:textId="2BD08897" w:rsidR="00021921" w:rsidRDefault="00021921" w:rsidP="007F23C0">
      <w:pPr>
        <w:rPr>
          <w:rFonts w:ascii="Times New Roman" w:hAnsi="Times New Roman"/>
          <w:sz w:val="24"/>
        </w:rPr>
      </w:pPr>
      <w:r w:rsidRPr="00842F58">
        <w:rPr>
          <w:rFonts w:ascii="Times New Roman" w:hAnsi="Times New Roman"/>
          <w:sz w:val="24"/>
        </w:rPr>
        <w:t>Les résultats des différentes</w:t>
      </w:r>
      <w:r w:rsidR="007F23C0" w:rsidRPr="00842F58">
        <w:rPr>
          <w:rFonts w:ascii="Times New Roman" w:hAnsi="Times New Roman"/>
          <w:sz w:val="24"/>
        </w:rPr>
        <w:t xml:space="preserve"> stations </w:t>
      </w:r>
      <w:r w:rsidRPr="00842F58">
        <w:rPr>
          <w:rFonts w:ascii="Times New Roman" w:hAnsi="Times New Roman"/>
          <w:sz w:val="24"/>
        </w:rPr>
        <w:t xml:space="preserve">qui </w:t>
      </w:r>
      <w:r w:rsidR="007F23C0" w:rsidRPr="00842F58">
        <w:rPr>
          <w:rFonts w:ascii="Times New Roman" w:hAnsi="Times New Roman"/>
          <w:sz w:val="24"/>
        </w:rPr>
        <w:t>ont servi pour la prise des mesures sur la qualité de l’air dans les contrées visitées</w:t>
      </w:r>
      <w:r w:rsidRPr="00842F58">
        <w:rPr>
          <w:rFonts w:ascii="Times New Roman" w:hAnsi="Times New Roman"/>
          <w:sz w:val="24"/>
        </w:rPr>
        <w:t xml:space="preserve"> sont consignés dans le tableau </w:t>
      </w:r>
      <w:r w:rsidR="00E732DD">
        <w:rPr>
          <w:rFonts w:ascii="Times New Roman" w:hAnsi="Times New Roman"/>
          <w:sz w:val="24"/>
        </w:rPr>
        <w:t>13</w:t>
      </w:r>
      <w:r w:rsidRPr="00842F58">
        <w:rPr>
          <w:rFonts w:ascii="Times New Roman" w:hAnsi="Times New Roman"/>
          <w:sz w:val="24"/>
        </w:rPr>
        <w:t>.</w:t>
      </w:r>
      <w:r w:rsidR="007F23C0" w:rsidRPr="00842F58">
        <w:rPr>
          <w:rFonts w:ascii="Times New Roman" w:hAnsi="Times New Roman"/>
          <w:sz w:val="24"/>
        </w:rPr>
        <w:t xml:space="preserve"> </w:t>
      </w:r>
    </w:p>
    <w:p w14:paraId="499287AC" w14:textId="4CA83911" w:rsidR="00021921" w:rsidRPr="00975F18" w:rsidRDefault="00021921" w:rsidP="00975F18">
      <w:pPr>
        <w:pStyle w:val="Lgende"/>
        <w:spacing w:after="120"/>
        <w:jc w:val="center"/>
        <w:rPr>
          <w:b/>
          <w:sz w:val="24"/>
        </w:rPr>
      </w:pPr>
      <w:bookmarkStart w:id="457" w:name="_Toc93050276"/>
      <w:r w:rsidRPr="00975F18">
        <w:rPr>
          <w:b/>
          <w:sz w:val="24"/>
        </w:rPr>
        <w:t xml:space="preserve">Tableau </w:t>
      </w:r>
      <w:r w:rsidR="00564B43" w:rsidRPr="00975F18">
        <w:rPr>
          <w:b/>
          <w:noProof/>
          <w:sz w:val="24"/>
        </w:rPr>
        <w:fldChar w:fldCharType="begin"/>
      </w:r>
      <w:r w:rsidR="00564B43" w:rsidRPr="00975F18">
        <w:rPr>
          <w:b/>
          <w:noProof/>
          <w:sz w:val="24"/>
        </w:rPr>
        <w:instrText xml:space="preserve"> SEQ Tableau \* ARABIC </w:instrText>
      </w:r>
      <w:r w:rsidR="00564B43" w:rsidRPr="00975F18">
        <w:rPr>
          <w:b/>
          <w:noProof/>
          <w:sz w:val="24"/>
        </w:rPr>
        <w:fldChar w:fldCharType="separate"/>
      </w:r>
      <w:r w:rsidR="00975F18">
        <w:rPr>
          <w:b/>
          <w:noProof/>
          <w:sz w:val="24"/>
        </w:rPr>
        <w:t>14</w:t>
      </w:r>
      <w:r w:rsidR="00564B43" w:rsidRPr="00975F18">
        <w:rPr>
          <w:b/>
          <w:noProof/>
          <w:sz w:val="24"/>
        </w:rPr>
        <w:fldChar w:fldCharType="end"/>
      </w:r>
      <w:r w:rsidRPr="00975F18">
        <w:rPr>
          <w:b/>
          <w:sz w:val="24"/>
        </w:rPr>
        <w:t> : Sites de prélèvement de l’Air et Valeurs mesurées</w:t>
      </w:r>
      <w:bookmarkEnd w:id="457"/>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1421"/>
        <w:gridCol w:w="756"/>
        <w:gridCol w:w="846"/>
        <w:gridCol w:w="846"/>
        <w:gridCol w:w="711"/>
        <w:gridCol w:w="531"/>
        <w:gridCol w:w="546"/>
        <w:gridCol w:w="711"/>
        <w:gridCol w:w="531"/>
        <w:gridCol w:w="546"/>
        <w:gridCol w:w="621"/>
        <w:gridCol w:w="646"/>
        <w:gridCol w:w="1252"/>
      </w:tblGrid>
      <w:tr w:rsidR="002C66D7" w:rsidRPr="00420C1B" w14:paraId="306AA709" w14:textId="77777777" w:rsidTr="00420C1B">
        <w:trPr>
          <w:tblHeader/>
          <w:jc w:val="center"/>
        </w:trPr>
        <w:tc>
          <w:tcPr>
            <w:tcW w:w="0" w:type="auto"/>
            <w:vMerge w:val="restart"/>
            <w:shd w:val="clear" w:color="auto" w:fill="auto"/>
            <w:vAlign w:val="center"/>
          </w:tcPr>
          <w:p w14:paraId="156BBA03"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N˚</w:t>
            </w:r>
          </w:p>
        </w:tc>
        <w:tc>
          <w:tcPr>
            <w:tcW w:w="1421" w:type="dxa"/>
            <w:vMerge w:val="restart"/>
            <w:shd w:val="clear" w:color="auto" w:fill="auto"/>
            <w:vAlign w:val="center"/>
          </w:tcPr>
          <w:p w14:paraId="60CBC77A"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Site</w:t>
            </w:r>
          </w:p>
        </w:tc>
        <w:tc>
          <w:tcPr>
            <w:tcW w:w="756" w:type="dxa"/>
            <w:vMerge w:val="restart"/>
            <w:shd w:val="clear" w:color="auto" w:fill="auto"/>
            <w:vAlign w:val="center"/>
          </w:tcPr>
          <w:p w14:paraId="04B06A9E"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XLong</w:t>
            </w:r>
          </w:p>
        </w:tc>
        <w:tc>
          <w:tcPr>
            <w:tcW w:w="846" w:type="dxa"/>
            <w:vMerge w:val="restart"/>
            <w:shd w:val="clear" w:color="auto" w:fill="auto"/>
            <w:vAlign w:val="center"/>
          </w:tcPr>
          <w:p w14:paraId="7EF6D3F6" w14:textId="161A3AA8"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YLat</w:t>
            </w:r>
          </w:p>
        </w:tc>
        <w:tc>
          <w:tcPr>
            <w:tcW w:w="846" w:type="dxa"/>
            <w:vMerge w:val="restart"/>
            <w:shd w:val="clear" w:color="auto" w:fill="auto"/>
            <w:vAlign w:val="center"/>
          </w:tcPr>
          <w:p w14:paraId="5E2E76C8"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ZAlt(m)</w:t>
            </w:r>
          </w:p>
        </w:tc>
        <w:tc>
          <w:tcPr>
            <w:tcW w:w="4843" w:type="dxa"/>
            <w:gridSpan w:val="8"/>
            <w:shd w:val="clear" w:color="auto" w:fill="auto"/>
            <w:vAlign w:val="center"/>
          </w:tcPr>
          <w:p w14:paraId="378FBE95"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Qualité de l’Air</w:t>
            </w:r>
          </w:p>
        </w:tc>
        <w:tc>
          <w:tcPr>
            <w:tcW w:w="1252" w:type="dxa"/>
            <w:vMerge w:val="restart"/>
            <w:shd w:val="clear" w:color="auto" w:fill="auto"/>
            <w:vAlign w:val="center"/>
          </w:tcPr>
          <w:p w14:paraId="208F317F" w14:textId="77777777" w:rsidR="007F23C0" w:rsidRPr="00420C1B" w:rsidRDefault="007F23C0" w:rsidP="00420C1B">
            <w:pPr>
              <w:spacing w:after="0" w:line="240" w:lineRule="auto"/>
              <w:jc w:val="center"/>
              <w:rPr>
                <w:rFonts w:ascii="Times New Roman" w:hAnsi="Times New Roman"/>
                <w:b/>
                <w:sz w:val="18"/>
                <w:szCs w:val="18"/>
              </w:rPr>
            </w:pPr>
            <w:r w:rsidRPr="00420C1B">
              <w:rPr>
                <w:rFonts w:ascii="Times New Roman" w:hAnsi="Times New Roman"/>
                <w:b/>
                <w:sz w:val="18"/>
                <w:szCs w:val="18"/>
              </w:rPr>
              <w:t>Evaluation</w:t>
            </w:r>
          </w:p>
        </w:tc>
      </w:tr>
      <w:tr w:rsidR="002C66D7" w:rsidRPr="00420C1B" w14:paraId="729398E8" w14:textId="77777777" w:rsidTr="00420C1B">
        <w:trPr>
          <w:tblHeader/>
          <w:jc w:val="center"/>
        </w:trPr>
        <w:tc>
          <w:tcPr>
            <w:tcW w:w="0" w:type="auto"/>
            <w:vMerge/>
            <w:shd w:val="clear" w:color="auto" w:fill="auto"/>
          </w:tcPr>
          <w:p w14:paraId="0696CC34" w14:textId="77777777" w:rsidR="007F23C0" w:rsidRPr="00420C1B" w:rsidRDefault="007F23C0" w:rsidP="00420C1B">
            <w:pPr>
              <w:spacing w:after="0" w:line="240" w:lineRule="auto"/>
              <w:jc w:val="both"/>
              <w:rPr>
                <w:rFonts w:ascii="Times New Roman" w:hAnsi="Times New Roman"/>
                <w:b/>
                <w:sz w:val="18"/>
                <w:szCs w:val="18"/>
              </w:rPr>
            </w:pPr>
          </w:p>
        </w:tc>
        <w:tc>
          <w:tcPr>
            <w:tcW w:w="1421" w:type="dxa"/>
            <w:vMerge/>
            <w:shd w:val="clear" w:color="auto" w:fill="auto"/>
          </w:tcPr>
          <w:p w14:paraId="6224A8C0" w14:textId="77777777" w:rsidR="007F23C0" w:rsidRPr="00420C1B" w:rsidRDefault="007F23C0" w:rsidP="00420C1B">
            <w:pPr>
              <w:spacing w:after="0" w:line="240" w:lineRule="auto"/>
              <w:jc w:val="both"/>
              <w:rPr>
                <w:rFonts w:ascii="Times New Roman" w:hAnsi="Times New Roman"/>
                <w:b/>
                <w:sz w:val="18"/>
                <w:szCs w:val="18"/>
              </w:rPr>
            </w:pPr>
          </w:p>
        </w:tc>
        <w:tc>
          <w:tcPr>
            <w:tcW w:w="756" w:type="dxa"/>
            <w:vMerge/>
            <w:shd w:val="clear" w:color="auto" w:fill="auto"/>
          </w:tcPr>
          <w:p w14:paraId="336AC0FE" w14:textId="77777777" w:rsidR="007F23C0" w:rsidRPr="00420C1B" w:rsidRDefault="007F23C0" w:rsidP="00420C1B">
            <w:pPr>
              <w:spacing w:after="0" w:line="240" w:lineRule="auto"/>
              <w:jc w:val="both"/>
              <w:rPr>
                <w:rFonts w:ascii="Times New Roman" w:hAnsi="Times New Roman"/>
                <w:b/>
                <w:sz w:val="18"/>
                <w:szCs w:val="18"/>
              </w:rPr>
            </w:pPr>
          </w:p>
        </w:tc>
        <w:tc>
          <w:tcPr>
            <w:tcW w:w="846" w:type="dxa"/>
            <w:vMerge/>
            <w:shd w:val="clear" w:color="auto" w:fill="auto"/>
          </w:tcPr>
          <w:p w14:paraId="217A91B0" w14:textId="77777777" w:rsidR="007F23C0" w:rsidRPr="00420C1B" w:rsidRDefault="007F23C0" w:rsidP="00420C1B">
            <w:pPr>
              <w:spacing w:after="0" w:line="240" w:lineRule="auto"/>
              <w:jc w:val="both"/>
              <w:rPr>
                <w:rFonts w:ascii="Times New Roman" w:hAnsi="Times New Roman"/>
                <w:b/>
                <w:sz w:val="18"/>
                <w:szCs w:val="18"/>
              </w:rPr>
            </w:pPr>
          </w:p>
        </w:tc>
        <w:tc>
          <w:tcPr>
            <w:tcW w:w="846" w:type="dxa"/>
            <w:vMerge/>
            <w:shd w:val="clear" w:color="auto" w:fill="auto"/>
          </w:tcPr>
          <w:p w14:paraId="7633D65D" w14:textId="77777777" w:rsidR="007F23C0" w:rsidRPr="00420C1B" w:rsidRDefault="007F23C0" w:rsidP="00420C1B">
            <w:pPr>
              <w:spacing w:after="0" w:line="240" w:lineRule="auto"/>
              <w:jc w:val="both"/>
              <w:rPr>
                <w:rFonts w:ascii="Times New Roman" w:hAnsi="Times New Roman"/>
                <w:b/>
                <w:sz w:val="18"/>
                <w:szCs w:val="18"/>
              </w:rPr>
            </w:pPr>
          </w:p>
        </w:tc>
        <w:tc>
          <w:tcPr>
            <w:tcW w:w="711" w:type="dxa"/>
            <w:shd w:val="clear" w:color="auto" w:fill="auto"/>
          </w:tcPr>
          <w:p w14:paraId="3DB3AE4A"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CO</w:t>
            </w:r>
          </w:p>
        </w:tc>
        <w:tc>
          <w:tcPr>
            <w:tcW w:w="0" w:type="auto"/>
            <w:shd w:val="clear" w:color="auto" w:fill="auto"/>
          </w:tcPr>
          <w:p w14:paraId="31321424"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NO</w:t>
            </w:r>
          </w:p>
        </w:tc>
        <w:tc>
          <w:tcPr>
            <w:tcW w:w="0" w:type="auto"/>
            <w:shd w:val="clear" w:color="auto" w:fill="auto"/>
          </w:tcPr>
          <w:p w14:paraId="693B78F3"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NO</w:t>
            </w:r>
            <w:r w:rsidRPr="00420C1B">
              <w:rPr>
                <w:rFonts w:ascii="Times New Roman" w:hAnsi="Times New Roman"/>
                <w:b/>
                <w:sz w:val="18"/>
                <w:szCs w:val="18"/>
                <w:vertAlign w:val="subscript"/>
              </w:rPr>
              <w:t>2</w:t>
            </w:r>
          </w:p>
        </w:tc>
        <w:tc>
          <w:tcPr>
            <w:tcW w:w="0" w:type="auto"/>
            <w:shd w:val="clear" w:color="auto" w:fill="auto"/>
          </w:tcPr>
          <w:p w14:paraId="299BF43F"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O</w:t>
            </w:r>
            <w:r w:rsidRPr="00420C1B">
              <w:rPr>
                <w:rFonts w:ascii="Times New Roman" w:hAnsi="Times New Roman"/>
                <w:b/>
                <w:sz w:val="18"/>
                <w:szCs w:val="18"/>
                <w:vertAlign w:val="subscript"/>
              </w:rPr>
              <w:t>3</w:t>
            </w:r>
          </w:p>
        </w:tc>
        <w:tc>
          <w:tcPr>
            <w:tcW w:w="0" w:type="auto"/>
            <w:shd w:val="clear" w:color="auto" w:fill="auto"/>
          </w:tcPr>
          <w:p w14:paraId="5EF5D2ED"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SO</w:t>
            </w:r>
            <w:r w:rsidRPr="00420C1B">
              <w:rPr>
                <w:rFonts w:ascii="Times New Roman" w:hAnsi="Times New Roman"/>
                <w:b/>
                <w:sz w:val="18"/>
                <w:szCs w:val="18"/>
                <w:vertAlign w:val="subscript"/>
              </w:rPr>
              <w:t>2</w:t>
            </w:r>
          </w:p>
        </w:tc>
        <w:tc>
          <w:tcPr>
            <w:tcW w:w="0" w:type="auto"/>
            <w:shd w:val="clear" w:color="auto" w:fill="auto"/>
          </w:tcPr>
          <w:p w14:paraId="17A9B73A"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NH</w:t>
            </w:r>
            <w:r w:rsidRPr="00420C1B">
              <w:rPr>
                <w:rFonts w:ascii="Times New Roman" w:hAnsi="Times New Roman"/>
                <w:b/>
                <w:sz w:val="18"/>
                <w:szCs w:val="18"/>
                <w:vertAlign w:val="subscript"/>
              </w:rPr>
              <w:t>3</w:t>
            </w:r>
          </w:p>
        </w:tc>
        <w:tc>
          <w:tcPr>
            <w:tcW w:w="0" w:type="auto"/>
            <w:shd w:val="clear" w:color="auto" w:fill="auto"/>
          </w:tcPr>
          <w:p w14:paraId="64E6D97A"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PM</w:t>
            </w:r>
            <w:r w:rsidRPr="00420C1B">
              <w:rPr>
                <w:rFonts w:ascii="Times New Roman" w:hAnsi="Times New Roman"/>
                <w:b/>
                <w:sz w:val="18"/>
                <w:szCs w:val="18"/>
                <w:vertAlign w:val="subscript"/>
              </w:rPr>
              <w:t>10</w:t>
            </w:r>
          </w:p>
        </w:tc>
        <w:tc>
          <w:tcPr>
            <w:tcW w:w="0" w:type="auto"/>
            <w:shd w:val="clear" w:color="auto" w:fill="auto"/>
          </w:tcPr>
          <w:p w14:paraId="0731FA03" w14:textId="77777777" w:rsidR="007F23C0" w:rsidRPr="00420C1B" w:rsidRDefault="007F23C0" w:rsidP="00420C1B">
            <w:pPr>
              <w:spacing w:after="0" w:line="240" w:lineRule="auto"/>
              <w:jc w:val="both"/>
              <w:rPr>
                <w:rFonts w:ascii="Times New Roman" w:hAnsi="Times New Roman"/>
                <w:b/>
                <w:sz w:val="18"/>
                <w:szCs w:val="18"/>
              </w:rPr>
            </w:pPr>
            <w:r w:rsidRPr="00420C1B">
              <w:rPr>
                <w:rFonts w:ascii="Times New Roman" w:hAnsi="Times New Roman"/>
                <w:b/>
                <w:sz w:val="18"/>
                <w:szCs w:val="18"/>
              </w:rPr>
              <w:t>PM</w:t>
            </w:r>
            <w:r w:rsidRPr="00420C1B">
              <w:rPr>
                <w:rFonts w:ascii="Times New Roman" w:hAnsi="Times New Roman"/>
                <w:b/>
                <w:sz w:val="18"/>
                <w:szCs w:val="18"/>
                <w:vertAlign w:val="subscript"/>
              </w:rPr>
              <w:t>2.5</w:t>
            </w:r>
          </w:p>
        </w:tc>
        <w:tc>
          <w:tcPr>
            <w:tcW w:w="1252" w:type="dxa"/>
            <w:vMerge/>
            <w:shd w:val="clear" w:color="auto" w:fill="auto"/>
          </w:tcPr>
          <w:p w14:paraId="2350ECA7" w14:textId="77777777" w:rsidR="007F23C0" w:rsidRPr="00420C1B" w:rsidRDefault="007F23C0" w:rsidP="00420C1B">
            <w:pPr>
              <w:spacing w:after="0" w:line="240" w:lineRule="auto"/>
              <w:jc w:val="both"/>
              <w:rPr>
                <w:rFonts w:ascii="Times New Roman" w:hAnsi="Times New Roman"/>
                <w:sz w:val="18"/>
                <w:szCs w:val="18"/>
              </w:rPr>
            </w:pPr>
          </w:p>
        </w:tc>
      </w:tr>
      <w:tr w:rsidR="002C66D7" w:rsidRPr="00420C1B" w14:paraId="62A16AB8" w14:textId="77777777" w:rsidTr="00420C1B">
        <w:trPr>
          <w:trHeight w:val="287"/>
          <w:jc w:val="center"/>
        </w:trPr>
        <w:tc>
          <w:tcPr>
            <w:tcW w:w="0" w:type="auto"/>
            <w:shd w:val="clear" w:color="auto" w:fill="auto"/>
            <w:vAlign w:val="center"/>
          </w:tcPr>
          <w:p w14:paraId="235DFF1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w:t>
            </w:r>
          </w:p>
        </w:tc>
        <w:tc>
          <w:tcPr>
            <w:tcW w:w="1421" w:type="dxa"/>
            <w:shd w:val="clear" w:color="auto" w:fill="auto"/>
            <w:vAlign w:val="center"/>
          </w:tcPr>
          <w:p w14:paraId="68108E57" w14:textId="1AA612F6"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Mitendi</w:t>
            </w:r>
          </w:p>
        </w:tc>
        <w:tc>
          <w:tcPr>
            <w:tcW w:w="756" w:type="dxa"/>
            <w:shd w:val="clear" w:color="auto" w:fill="auto"/>
            <w:vAlign w:val="center"/>
          </w:tcPr>
          <w:p w14:paraId="5E31902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523205</w:t>
            </w:r>
          </w:p>
        </w:tc>
        <w:tc>
          <w:tcPr>
            <w:tcW w:w="846" w:type="dxa"/>
            <w:shd w:val="clear" w:color="auto" w:fill="auto"/>
            <w:vAlign w:val="center"/>
          </w:tcPr>
          <w:p w14:paraId="2E73D4E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9502006</w:t>
            </w:r>
          </w:p>
        </w:tc>
        <w:tc>
          <w:tcPr>
            <w:tcW w:w="846" w:type="dxa"/>
            <w:shd w:val="clear" w:color="auto" w:fill="auto"/>
            <w:vAlign w:val="center"/>
          </w:tcPr>
          <w:p w14:paraId="2CBB664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529</w:t>
            </w:r>
          </w:p>
        </w:tc>
        <w:tc>
          <w:tcPr>
            <w:tcW w:w="711" w:type="dxa"/>
            <w:shd w:val="clear" w:color="auto" w:fill="92D050"/>
            <w:vAlign w:val="center"/>
          </w:tcPr>
          <w:p w14:paraId="2C4E984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49.4</w:t>
            </w:r>
          </w:p>
        </w:tc>
        <w:tc>
          <w:tcPr>
            <w:tcW w:w="0" w:type="auto"/>
            <w:shd w:val="clear" w:color="auto" w:fill="92D050"/>
            <w:vAlign w:val="center"/>
          </w:tcPr>
          <w:p w14:paraId="5E343B9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0.24</w:t>
            </w:r>
          </w:p>
        </w:tc>
        <w:tc>
          <w:tcPr>
            <w:tcW w:w="0" w:type="auto"/>
            <w:shd w:val="clear" w:color="auto" w:fill="92D050"/>
            <w:vAlign w:val="center"/>
          </w:tcPr>
          <w:p w14:paraId="14DE4C3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16.3</w:t>
            </w:r>
          </w:p>
        </w:tc>
        <w:tc>
          <w:tcPr>
            <w:tcW w:w="0" w:type="auto"/>
            <w:shd w:val="clear" w:color="auto" w:fill="92D050"/>
            <w:vAlign w:val="center"/>
          </w:tcPr>
          <w:p w14:paraId="2F1DF32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87.98</w:t>
            </w:r>
          </w:p>
        </w:tc>
        <w:tc>
          <w:tcPr>
            <w:tcW w:w="0" w:type="auto"/>
            <w:shd w:val="clear" w:color="auto" w:fill="92D050"/>
            <w:vAlign w:val="center"/>
          </w:tcPr>
          <w:p w14:paraId="2B06FD7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1.71</w:t>
            </w:r>
          </w:p>
        </w:tc>
        <w:tc>
          <w:tcPr>
            <w:tcW w:w="0" w:type="auto"/>
            <w:shd w:val="clear" w:color="auto" w:fill="92D050"/>
            <w:vAlign w:val="center"/>
          </w:tcPr>
          <w:p w14:paraId="463651D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3.99</w:t>
            </w:r>
          </w:p>
        </w:tc>
        <w:tc>
          <w:tcPr>
            <w:tcW w:w="0" w:type="auto"/>
            <w:shd w:val="clear" w:color="auto" w:fill="92D050"/>
            <w:vAlign w:val="center"/>
          </w:tcPr>
          <w:p w14:paraId="2CEF556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32.44</w:t>
            </w:r>
          </w:p>
        </w:tc>
        <w:tc>
          <w:tcPr>
            <w:tcW w:w="0" w:type="auto"/>
            <w:shd w:val="clear" w:color="auto" w:fill="92D050"/>
            <w:vAlign w:val="center"/>
          </w:tcPr>
          <w:p w14:paraId="74ABA97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18.68</w:t>
            </w:r>
          </w:p>
        </w:tc>
        <w:tc>
          <w:tcPr>
            <w:tcW w:w="1252" w:type="dxa"/>
            <w:shd w:val="clear" w:color="auto" w:fill="FFFF00"/>
            <w:vAlign w:val="center"/>
          </w:tcPr>
          <w:p w14:paraId="7890B5F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 (</w:t>
            </w:r>
            <w:r w:rsidR="00E374F7" w:rsidRPr="00420C1B">
              <w:rPr>
                <w:rFonts w:ascii="Times New Roman" w:hAnsi="Times New Roman"/>
                <w:sz w:val="18"/>
                <w:szCs w:val="18"/>
              </w:rPr>
              <w:t>equitable</w:t>
            </w:r>
            <w:r w:rsidRPr="00420C1B">
              <w:rPr>
                <w:rFonts w:ascii="Times New Roman" w:hAnsi="Times New Roman"/>
                <w:sz w:val="18"/>
                <w:szCs w:val="18"/>
              </w:rPr>
              <w:t>)</w:t>
            </w:r>
          </w:p>
        </w:tc>
      </w:tr>
      <w:tr w:rsidR="002C66D7" w:rsidRPr="00420C1B" w14:paraId="2C951468" w14:textId="77777777" w:rsidTr="00420C1B">
        <w:trPr>
          <w:jc w:val="center"/>
        </w:trPr>
        <w:tc>
          <w:tcPr>
            <w:tcW w:w="0" w:type="auto"/>
            <w:shd w:val="clear" w:color="auto" w:fill="auto"/>
            <w:vAlign w:val="center"/>
          </w:tcPr>
          <w:p w14:paraId="6587F24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w:t>
            </w:r>
          </w:p>
        </w:tc>
        <w:tc>
          <w:tcPr>
            <w:tcW w:w="1421" w:type="dxa"/>
            <w:shd w:val="clear" w:color="auto" w:fill="auto"/>
            <w:vAlign w:val="center"/>
          </w:tcPr>
          <w:p w14:paraId="2B667B0A" w14:textId="5E167F4F"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Ngomba Kikusa</w:t>
            </w:r>
          </w:p>
        </w:tc>
        <w:tc>
          <w:tcPr>
            <w:tcW w:w="756" w:type="dxa"/>
            <w:shd w:val="clear" w:color="auto" w:fill="auto"/>
            <w:vAlign w:val="center"/>
          </w:tcPr>
          <w:p w14:paraId="158B020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527591</w:t>
            </w:r>
          </w:p>
        </w:tc>
        <w:tc>
          <w:tcPr>
            <w:tcW w:w="846" w:type="dxa"/>
            <w:shd w:val="clear" w:color="auto" w:fill="auto"/>
            <w:vAlign w:val="center"/>
          </w:tcPr>
          <w:p w14:paraId="10D9A6C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9510984</w:t>
            </w:r>
          </w:p>
        </w:tc>
        <w:tc>
          <w:tcPr>
            <w:tcW w:w="846" w:type="dxa"/>
            <w:shd w:val="clear" w:color="auto" w:fill="auto"/>
            <w:vAlign w:val="center"/>
          </w:tcPr>
          <w:p w14:paraId="08DEF64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418</w:t>
            </w:r>
          </w:p>
        </w:tc>
        <w:tc>
          <w:tcPr>
            <w:tcW w:w="711" w:type="dxa"/>
            <w:shd w:val="clear" w:color="auto" w:fill="92D050"/>
            <w:vAlign w:val="center"/>
          </w:tcPr>
          <w:p w14:paraId="6C9AFC8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560.76</w:t>
            </w:r>
          </w:p>
        </w:tc>
        <w:tc>
          <w:tcPr>
            <w:tcW w:w="0" w:type="auto"/>
            <w:shd w:val="clear" w:color="auto" w:fill="92D050"/>
            <w:vAlign w:val="center"/>
          </w:tcPr>
          <w:p w14:paraId="10D68EC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0.15</w:t>
            </w:r>
          </w:p>
        </w:tc>
        <w:tc>
          <w:tcPr>
            <w:tcW w:w="0" w:type="auto"/>
            <w:shd w:val="clear" w:color="auto" w:fill="92D050"/>
            <w:vAlign w:val="center"/>
          </w:tcPr>
          <w:p w14:paraId="122F2F2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3.38</w:t>
            </w:r>
          </w:p>
        </w:tc>
        <w:tc>
          <w:tcPr>
            <w:tcW w:w="0" w:type="auto"/>
            <w:shd w:val="clear" w:color="auto" w:fill="92D050"/>
            <w:vAlign w:val="center"/>
          </w:tcPr>
          <w:p w14:paraId="37307EA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92.98</w:t>
            </w:r>
          </w:p>
        </w:tc>
        <w:tc>
          <w:tcPr>
            <w:tcW w:w="0" w:type="auto"/>
            <w:shd w:val="clear" w:color="auto" w:fill="92D050"/>
            <w:vAlign w:val="center"/>
          </w:tcPr>
          <w:p w14:paraId="5A7788D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2.38</w:t>
            </w:r>
          </w:p>
        </w:tc>
        <w:tc>
          <w:tcPr>
            <w:tcW w:w="0" w:type="auto"/>
            <w:shd w:val="clear" w:color="auto" w:fill="92D050"/>
            <w:vAlign w:val="center"/>
          </w:tcPr>
          <w:p w14:paraId="36C94E1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5.26</w:t>
            </w:r>
          </w:p>
        </w:tc>
        <w:tc>
          <w:tcPr>
            <w:tcW w:w="0" w:type="auto"/>
            <w:shd w:val="clear" w:color="auto" w:fill="92D050"/>
            <w:vAlign w:val="center"/>
          </w:tcPr>
          <w:p w14:paraId="63C6763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42.29</w:t>
            </w:r>
          </w:p>
        </w:tc>
        <w:tc>
          <w:tcPr>
            <w:tcW w:w="0" w:type="auto"/>
            <w:shd w:val="clear" w:color="auto" w:fill="FF0000"/>
            <w:vAlign w:val="center"/>
          </w:tcPr>
          <w:p w14:paraId="4FB2FBD8" w14:textId="77777777" w:rsidR="007F23C0" w:rsidRPr="00420C1B" w:rsidRDefault="007F23C0" w:rsidP="00420C1B">
            <w:pPr>
              <w:spacing w:after="0" w:line="240" w:lineRule="auto"/>
              <w:rPr>
                <w:rFonts w:ascii="Times New Roman" w:hAnsi="Times New Roman"/>
                <w:sz w:val="18"/>
                <w:szCs w:val="18"/>
                <w:highlight w:val="red"/>
              </w:rPr>
            </w:pPr>
            <w:r w:rsidRPr="00420C1B">
              <w:rPr>
                <w:rFonts w:ascii="Times New Roman" w:hAnsi="Times New Roman"/>
                <w:sz w:val="18"/>
                <w:szCs w:val="18"/>
                <w:highlight w:val="red"/>
              </w:rPr>
              <w:t>25.2</w:t>
            </w:r>
          </w:p>
        </w:tc>
        <w:tc>
          <w:tcPr>
            <w:tcW w:w="1252" w:type="dxa"/>
            <w:shd w:val="clear" w:color="auto" w:fill="FF0000"/>
            <w:vAlign w:val="center"/>
          </w:tcPr>
          <w:p w14:paraId="207466B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 (PAUVRE)</w:t>
            </w:r>
          </w:p>
        </w:tc>
      </w:tr>
      <w:tr w:rsidR="002C66D7" w:rsidRPr="00420C1B" w14:paraId="7B9F3499" w14:textId="77777777" w:rsidTr="00420C1B">
        <w:trPr>
          <w:trHeight w:val="412"/>
          <w:jc w:val="center"/>
        </w:trPr>
        <w:tc>
          <w:tcPr>
            <w:tcW w:w="0" w:type="auto"/>
            <w:shd w:val="clear" w:color="auto" w:fill="auto"/>
            <w:vAlign w:val="center"/>
          </w:tcPr>
          <w:p w14:paraId="6E3CADC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w:t>
            </w:r>
          </w:p>
        </w:tc>
        <w:tc>
          <w:tcPr>
            <w:tcW w:w="1421" w:type="dxa"/>
            <w:shd w:val="clear" w:color="auto" w:fill="auto"/>
            <w:vAlign w:val="center"/>
          </w:tcPr>
          <w:p w14:paraId="28E37686" w14:textId="744D9230"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Millenium</w:t>
            </w:r>
          </w:p>
        </w:tc>
        <w:tc>
          <w:tcPr>
            <w:tcW w:w="756" w:type="dxa"/>
            <w:shd w:val="clear" w:color="auto" w:fill="auto"/>
            <w:vAlign w:val="center"/>
          </w:tcPr>
          <w:p w14:paraId="3946B43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521767</w:t>
            </w:r>
          </w:p>
        </w:tc>
        <w:tc>
          <w:tcPr>
            <w:tcW w:w="846" w:type="dxa"/>
            <w:shd w:val="clear" w:color="auto" w:fill="auto"/>
            <w:vAlign w:val="center"/>
          </w:tcPr>
          <w:p w14:paraId="687D85E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9504494</w:t>
            </w:r>
          </w:p>
        </w:tc>
        <w:tc>
          <w:tcPr>
            <w:tcW w:w="846" w:type="dxa"/>
            <w:shd w:val="clear" w:color="auto" w:fill="auto"/>
            <w:vAlign w:val="center"/>
          </w:tcPr>
          <w:p w14:paraId="32864DB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504</w:t>
            </w:r>
          </w:p>
        </w:tc>
        <w:tc>
          <w:tcPr>
            <w:tcW w:w="711" w:type="dxa"/>
            <w:shd w:val="clear" w:color="auto" w:fill="92D050"/>
            <w:vAlign w:val="center"/>
          </w:tcPr>
          <w:p w14:paraId="6560A08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417.23</w:t>
            </w:r>
          </w:p>
        </w:tc>
        <w:tc>
          <w:tcPr>
            <w:tcW w:w="0" w:type="auto"/>
            <w:shd w:val="clear" w:color="auto" w:fill="92D050"/>
            <w:vAlign w:val="center"/>
          </w:tcPr>
          <w:p w14:paraId="46FA36B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0.05</w:t>
            </w:r>
          </w:p>
        </w:tc>
        <w:tc>
          <w:tcPr>
            <w:tcW w:w="0" w:type="auto"/>
            <w:shd w:val="clear" w:color="auto" w:fill="92D050"/>
            <w:vAlign w:val="center"/>
          </w:tcPr>
          <w:p w14:paraId="08124A7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0.38</w:t>
            </w:r>
          </w:p>
        </w:tc>
        <w:tc>
          <w:tcPr>
            <w:tcW w:w="0" w:type="auto"/>
            <w:shd w:val="clear" w:color="auto" w:fill="92D050"/>
            <w:vAlign w:val="center"/>
          </w:tcPr>
          <w:p w14:paraId="40BEDF3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77.25</w:t>
            </w:r>
          </w:p>
        </w:tc>
        <w:tc>
          <w:tcPr>
            <w:tcW w:w="0" w:type="auto"/>
            <w:shd w:val="clear" w:color="auto" w:fill="92D050"/>
            <w:vAlign w:val="center"/>
          </w:tcPr>
          <w:p w14:paraId="7585243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0.12</w:t>
            </w:r>
          </w:p>
        </w:tc>
        <w:tc>
          <w:tcPr>
            <w:tcW w:w="0" w:type="auto"/>
            <w:shd w:val="clear" w:color="auto" w:fill="92D050"/>
            <w:vAlign w:val="center"/>
          </w:tcPr>
          <w:p w14:paraId="0FCBC59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0.86</w:t>
            </w:r>
          </w:p>
        </w:tc>
        <w:tc>
          <w:tcPr>
            <w:tcW w:w="0" w:type="auto"/>
            <w:shd w:val="clear" w:color="auto" w:fill="92D050"/>
            <w:vAlign w:val="center"/>
          </w:tcPr>
          <w:p w14:paraId="17675FA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23.42</w:t>
            </w:r>
          </w:p>
        </w:tc>
        <w:tc>
          <w:tcPr>
            <w:tcW w:w="0" w:type="auto"/>
            <w:shd w:val="clear" w:color="auto" w:fill="92D050"/>
            <w:vAlign w:val="center"/>
          </w:tcPr>
          <w:p w14:paraId="73CDA64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14.5</w:t>
            </w:r>
          </w:p>
        </w:tc>
        <w:tc>
          <w:tcPr>
            <w:tcW w:w="1252" w:type="dxa"/>
            <w:shd w:val="clear" w:color="auto" w:fill="FFFF00"/>
            <w:vAlign w:val="center"/>
          </w:tcPr>
          <w:p w14:paraId="337070A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 (</w:t>
            </w:r>
            <w:r w:rsidR="00E374F7" w:rsidRPr="00420C1B">
              <w:rPr>
                <w:rFonts w:ascii="Times New Roman" w:hAnsi="Times New Roman"/>
                <w:sz w:val="18"/>
                <w:szCs w:val="18"/>
              </w:rPr>
              <w:t>equitable</w:t>
            </w:r>
            <w:r w:rsidRPr="00420C1B">
              <w:rPr>
                <w:rFonts w:ascii="Times New Roman" w:hAnsi="Times New Roman"/>
                <w:sz w:val="18"/>
                <w:szCs w:val="18"/>
              </w:rPr>
              <w:t>)</w:t>
            </w:r>
          </w:p>
        </w:tc>
      </w:tr>
      <w:tr w:rsidR="002C66D7" w:rsidRPr="00420C1B" w14:paraId="656AE699" w14:textId="77777777" w:rsidTr="00420C1B">
        <w:trPr>
          <w:jc w:val="center"/>
        </w:trPr>
        <w:tc>
          <w:tcPr>
            <w:tcW w:w="0" w:type="auto"/>
            <w:shd w:val="clear" w:color="auto" w:fill="auto"/>
            <w:vAlign w:val="center"/>
          </w:tcPr>
          <w:p w14:paraId="25B1C1A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w:t>
            </w:r>
          </w:p>
        </w:tc>
        <w:tc>
          <w:tcPr>
            <w:tcW w:w="1421" w:type="dxa"/>
            <w:shd w:val="clear" w:color="auto" w:fill="auto"/>
            <w:vAlign w:val="center"/>
          </w:tcPr>
          <w:p w14:paraId="2F5FD97F" w14:textId="033C6DBB"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Mitendi Marche</w:t>
            </w:r>
          </w:p>
        </w:tc>
        <w:tc>
          <w:tcPr>
            <w:tcW w:w="756" w:type="dxa"/>
            <w:shd w:val="clear" w:color="auto" w:fill="auto"/>
            <w:vAlign w:val="center"/>
          </w:tcPr>
          <w:p w14:paraId="0B27BA3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522748</w:t>
            </w:r>
          </w:p>
        </w:tc>
        <w:tc>
          <w:tcPr>
            <w:tcW w:w="846" w:type="dxa"/>
            <w:shd w:val="clear" w:color="auto" w:fill="auto"/>
            <w:vAlign w:val="center"/>
          </w:tcPr>
          <w:p w14:paraId="0E1F00E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9502514</w:t>
            </w:r>
          </w:p>
        </w:tc>
        <w:tc>
          <w:tcPr>
            <w:tcW w:w="846" w:type="dxa"/>
            <w:shd w:val="clear" w:color="auto" w:fill="auto"/>
            <w:vAlign w:val="center"/>
          </w:tcPr>
          <w:p w14:paraId="5673927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531</w:t>
            </w:r>
          </w:p>
        </w:tc>
        <w:tc>
          <w:tcPr>
            <w:tcW w:w="711" w:type="dxa"/>
            <w:shd w:val="clear" w:color="auto" w:fill="92D050"/>
            <w:vAlign w:val="center"/>
          </w:tcPr>
          <w:p w14:paraId="2AC6973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527.38</w:t>
            </w:r>
          </w:p>
        </w:tc>
        <w:tc>
          <w:tcPr>
            <w:tcW w:w="0" w:type="auto"/>
            <w:shd w:val="clear" w:color="auto" w:fill="92D050"/>
            <w:vAlign w:val="center"/>
          </w:tcPr>
          <w:p w14:paraId="1FA373A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0.23</w:t>
            </w:r>
          </w:p>
        </w:tc>
        <w:tc>
          <w:tcPr>
            <w:tcW w:w="0" w:type="auto"/>
            <w:shd w:val="clear" w:color="auto" w:fill="92D050"/>
            <w:vAlign w:val="center"/>
          </w:tcPr>
          <w:p w14:paraId="5C992F6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1.97</w:t>
            </w:r>
          </w:p>
        </w:tc>
        <w:tc>
          <w:tcPr>
            <w:tcW w:w="0" w:type="auto"/>
            <w:shd w:val="clear" w:color="auto" w:fill="92D050"/>
            <w:vAlign w:val="center"/>
          </w:tcPr>
          <w:p w14:paraId="7BBD4D4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98.71</w:t>
            </w:r>
          </w:p>
        </w:tc>
        <w:tc>
          <w:tcPr>
            <w:tcW w:w="0" w:type="auto"/>
            <w:shd w:val="clear" w:color="auto" w:fill="92D050"/>
            <w:vAlign w:val="center"/>
          </w:tcPr>
          <w:p w14:paraId="284B619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2.15</w:t>
            </w:r>
          </w:p>
        </w:tc>
        <w:tc>
          <w:tcPr>
            <w:tcW w:w="0" w:type="auto"/>
            <w:shd w:val="clear" w:color="auto" w:fill="92D050"/>
            <w:vAlign w:val="center"/>
          </w:tcPr>
          <w:p w14:paraId="6EEC610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4.75</w:t>
            </w:r>
          </w:p>
        </w:tc>
        <w:tc>
          <w:tcPr>
            <w:tcW w:w="0" w:type="auto"/>
            <w:shd w:val="clear" w:color="auto" w:fill="92D050"/>
            <w:vAlign w:val="center"/>
          </w:tcPr>
          <w:p w14:paraId="7D53550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37.59</w:t>
            </w:r>
          </w:p>
        </w:tc>
        <w:tc>
          <w:tcPr>
            <w:tcW w:w="0" w:type="auto"/>
            <w:shd w:val="clear" w:color="auto" w:fill="92D050"/>
            <w:vAlign w:val="center"/>
          </w:tcPr>
          <w:p w14:paraId="00F302A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22.28</w:t>
            </w:r>
          </w:p>
        </w:tc>
        <w:tc>
          <w:tcPr>
            <w:tcW w:w="1252" w:type="dxa"/>
            <w:shd w:val="clear" w:color="auto" w:fill="FFC000"/>
            <w:vAlign w:val="center"/>
          </w:tcPr>
          <w:p w14:paraId="05BAAC2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 (</w:t>
            </w:r>
            <w:r w:rsidR="00E374F7" w:rsidRPr="00420C1B">
              <w:rPr>
                <w:rFonts w:ascii="Times New Roman" w:hAnsi="Times New Roman"/>
                <w:sz w:val="18"/>
                <w:szCs w:val="18"/>
              </w:rPr>
              <w:t>modere</w:t>
            </w:r>
            <w:r w:rsidRPr="00420C1B">
              <w:rPr>
                <w:rFonts w:ascii="Times New Roman" w:hAnsi="Times New Roman"/>
                <w:sz w:val="18"/>
                <w:szCs w:val="18"/>
              </w:rPr>
              <w:t>)</w:t>
            </w:r>
          </w:p>
        </w:tc>
      </w:tr>
      <w:tr w:rsidR="002C66D7" w:rsidRPr="00420C1B" w14:paraId="26A90E8C" w14:textId="77777777" w:rsidTr="00420C1B">
        <w:trPr>
          <w:jc w:val="center"/>
        </w:trPr>
        <w:tc>
          <w:tcPr>
            <w:tcW w:w="0" w:type="auto"/>
            <w:shd w:val="clear" w:color="auto" w:fill="auto"/>
            <w:vAlign w:val="center"/>
          </w:tcPr>
          <w:p w14:paraId="511D7B2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w:t>
            </w:r>
          </w:p>
        </w:tc>
        <w:tc>
          <w:tcPr>
            <w:tcW w:w="1421" w:type="dxa"/>
            <w:shd w:val="clear" w:color="auto" w:fill="auto"/>
            <w:vAlign w:val="center"/>
          </w:tcPr>
          <w:p w14:paraId="730A02D2"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SNEL C</w:t>
            </w:r>
            <w:r w:rsidR="00E374F7" w:rsidRPr="00420C1B">
              <w:rPr>
                <w:rFonts w:ascii="Times New Roman" w:hAnsi="Times New Roman"/>
                <w:sz w:val="18"/>
                <w:szCs w:val="18"/>
              </w:rPr>
              <w:t>ite verte</w:t>
            </w:r>
            <w:r w:rsidRPr="00420C1B">
              <w:rPr>
                <w:rFonts w:ascii="Times New Roman" w:hAnsi="Times New Roman"/>
                <w:sz w:val="18"/>
                <w:szCs w:val="18"/>
              </w:rPr>
              <w:t xml:space="preserve">; </w:t>
            </w:r>
            <w:r w:rsidR="00E374F7" w:rsidRPr="00420C1B">
              <w:rPr>
                <w:rFonts w:ascii="Times New Roman" w:hAnsi="Times New Roman"/>
                <w:sz w:val="18"/>
                <w:szCs w:val="18"/>
              </w:rPr>
              <w:t>Base</w:t>
            </w:r>
            <w:r w:rsidRPr="00420C1B">
              <w:rPr>
                <w:rFonts w:ascii="Times New Roman" w:hAnsi="Times New Roman"/>
                <w:sz w:val="18"/>
                <w:szCs w:val="18"/>
              </w:rPr>
              <w:t>-</w:t>
            </w:r>
            <w:r w:rsidR="00E374F7" w:rsidRPr="00420C1B">
              <w:rPr>
                <w:rFonts w:ascii="Times New Roman" w:hAnsi="Times New Roman"/>
                <w:sz w:val="18"/>
                <w:szCs w:val="18"/>
              </w:rPr>
              <w:t xml:space="preserve">vie </w:t>
            </w:r>
            <w:r w:rsidRPr="00420C1B">
              <w:rPr>
                <w:rFonts w:ascii="Times New Roman" w:hAnsi="Times New Roman"/>
                <w:sz w:val="18"/>
                <w:szCs w:val="18"/>
              </w:rPr>
              <w:t>EASE</w:t>
            </w:r>
          </w:p>
        </w:tc>
        <w:tc>
          <w:tcPr>
            <w:tcW w:w="756" w:type="dxa"/>
            <w:shd w:val="clear" w:color="auto" w:fill="auto"/>
            <w:vAlign w:val="center"/>
          </w:tcPr>
          <w:p w14:paraId="621B1DF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528843</w:t>
            </w:r>
          </w:p>
        </w:tc>
        <w:tc>
          <w:tcPr>
            <w:tcW w:w="846" w:type="dxa"/>
            <w:shd w:val="clear" w:color="auto" w:fill="auto"/>
            <w:vAlign w:val="center"/>
          </w:tcPr>
          <w:p w14:paraId="455940F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9510050</w:t>
            </w:r>
          </w:p>
        </w:tc>
        <w:tc>
          <w:tcPr>
            <w:tcW w:w="846" w:type="dxa"/>
            <w:shd w:val="clear" w:color="auto" w:fill="auto"/>
            <w:vAlign w:val="center"/>
          </w:tcPr>
          <w:p w14:paraId="0C1DC1A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427</w:t>
            </w:r>
          </w:p>
        </w:tc>
        <w:tc>
          <w:tcPr>
            <w:tcW w:w="711" w:type="dxa"/>
            <w:shd w:val="clear" w:color="auto" w:fill="92D050"/>
            <w:vAlign w:val="center"/>
          </w:tcPr>
          <w:p w14:paraId="6C9A3A6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547.41</w:t>
            </w:r>
          </w:p>
        </w:tc>
        <w:tc>
          <w:tcPr>
            <w:tcW w:w="0" w:type="auto"/>
            <w:shd w:val="clear" w:color="auto" w:fill="92D050"/>
            <w:vAlign w:val="center"/>
          </w:tcPr>
          <w:p w14:paraId="73BF06A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0.21</w:t>
            </w:r>
          </w:p>
        </w:tc>
        <w:tc>
          <w:tcPr>
            <w:tcW w:w="0" w:type="auto"/>
            <w:shd w:val="clear" w:color="auto" w:fill="92D050"/>
            <w:vAlign w:val="center"/>
          </w:tcPr>
          <w:p w14:paraId="026F76D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2.55</w:t>
            </w:r>
          </w:p>
        </w:tc>
        <w:tc>
          <w:tcPr>
            <w:tcW w:w="0" w:type="auto"/>
            <w:shd w:val="clear" w:color="auto" w:fill="92D050"/>
            <w:vAlign w:val="center"/>
          </w:tcPr>
          <w:p w14:paraId="092DAEF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98.71</w:t>
            </w:r>
          </w:p>
        </w:tc>
        <w:tc>
          <w:tcPr>
            <w:tcW w:w="0" w:type="auto"/>
            <w:shd w:val="clear" w:color="auto" w:fill="92D050"/>
            <w:vAlign w:val="center"/>
          </w:tcPr>
          <w:p w14:paraId="389D929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2.27</w:t>
            </w:r>
          </w:p>
        </w:tc>
        <w:tc>
          <w:tcPr>
            <w:tcW w:w="0" w:type="auto"/>
            <w:shd w:val="clear" w:color="auto" w:fill="92D050"/>
            <w:vAlign w:val="center"/>
          </w:tcPr>
          <w:p w14:paraId="100EAF4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4.94</w:t>
            </w:r>
          </w:p>
        </w:tc>
        <w:tc>
          <w:tcPr>
            <w:tcW w:w="0" w:type="auto"/>
            <w:shd w:val="clear" w:color="auto" w:fill="92D050"/>
            <w:vAlign w:val="center"/>
          </w:tcPr>
          <w:p w14:paraId="1E66F2F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40.61</w:t>
            </w:r>
          </w:p>
        </w:tc>
        <w:tc>
          <w:tcPr>
            <w:tcW w:w="0" w:type="auto"/>
            <w:shd w:val="clear" w:color="auto" w:fill="92D050"/>
            <w:vAlign w:val="center"/>
          </w:tcPr>
          <w:p w14:paraId="6E839BB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24.43</w:t>
            </w:r>
          </w:p>
        </w:tc>
        <w:tc>
          <w:tcPr>
            <w:tcW w:w="1252" w:type="dxa"/>
            <w:shd w:val="clear" w:color="auto" w:fill="FFC000"/>
            <w:vAlign w:val="center"/>
          </w:tcPr>
          <w:p w14:paraId="49FA695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 (</w:t>
            </w:r>
            <w:r w:rsidR="00E374F7" w:rsidRPr="00420C1B">
              <w:rPr>
                <w:rFonts w:ascii="Times New Roman" w:hAnsi="Times New Roman"/>
                <w:sz w:val="18"/>
                <w:szCs w:val="18"/>
              </w:rPr>
              <w:t>modere</w:t>
            </w:r>
            <w:r w:rsidRPr="00420C1B">
              <w:rPr>
                <w:rFonts w:ascii="Times New Roman" w:hAnsi="Times New Roman"/>
                <w:sz w:val="18"/>
                <w:szCs w:val="18"/>
              </w:rPr>
              <w:t>)</w:t>
            </w:r>
          </w:p>
        </w:tc>
      </w:tr>
      <w:tr w:rsidR="002C66D7" w:rsidRPr="00420C1B" w14:paraId="17C88F09" w14:textId="77777777" w:rsidTr="00420C1B">
        <w:trPr>
          <w:jc w:val="center"/>
        </w:trPr>
        <w:tc>
          <w:tcPr>
            <w:tcW w:w="0" w:type="auto"/>
            <w:shd w:val="clear" w:color="auto" w:fill="auto"/>
            <w:vAlign w:val="center"/>
          </w:tcPr>
          <w:p w14:paraId="3E9FCAB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6</w:t>
            </w:r>
          </w:p>
        </w:tc>
        <w:tc>
          <w:tcPr>
            <w:tcW w:w="1421" w:type="dxa"/>
            <w:shd w:val="clear" w:color="auto" w:fill="auto"/>
            <w:vAlign w:val="center"/>
          </w:tcPr>
          <w:p w14:paraId="13303DED" w14:textId="7AD3C568"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Triangle Campus</w:t>
            </w:r>
          </w:p>
        </w:tc>
        <w:tc>
          <w:tcPr>
            <w:tcW w:w="756" w:type="dxa"/>
            <w:shd w:val="clear" w:color="auto" w:fill="auto"/>
            <w:vAlign w:val="center"/>
          </w:tcPr>
          <w:p w14:paraId="3CC45B1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533981</w:t>
            </w:r>
          </w:p>
        </w:tc>
        <w:tc>
          <w:tcPr>
            <w:tcW w:w="846" w:type="dxa"/>
            <w:shd w:val="clear" w:color="auto" w:fill="auto"/>
            <w:vAlign w:val="center"/>
          </w:tcPr>
          <w:p w14:paraId="53E7E28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9513801</w:t>
            </w:r>
          </w:p>
        </w:tc>
        <w:tc>
          <w:tcPr>
            <w:tcW w:w="846" w:type="dxa"/>
            <w:shd w:val="clear" w:color="auto" w:fill="auto"/>
            <w:vAlign w:val="center"/>
          </w:tcPr>
          <w:p w14:paraId="01E9B54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311m</w:t>
            </w:r>
          </w:p>
        </w:tc>
        <w:tc>
          <w:tcPr>
            <w:tcW w:w="711" w:type="dxa"/>
            <w:shd w:val="clear" w:color="auto" w:fill="92D050"/>
            <w:vAlign w:val="center"/>
          </w:tcPr>
          <w:p w14:paraId="7DDC17A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393.87</w:t>
            </w:r>
          </w:p>
        </w:tc>
        <w:tc>
          <w:tcPr>
            <w:tcW w:w="0" w:type="auto"/>
            <w:shd w:val="clear" w:color="auto" w:fill="92D050"/>
            <w:vAlign w:val="center"/>
          </w:tcPr>
          <w:p w14:paraId="7F84E1C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0.15</w:t>
            </w:r>
          </w:p>
        </w:tc>
        <w:tc>
          <w:tcPr>
            <w:tcW w:w="0" w:type="auto"/>
            <w:shd w:val="clear" w:color="auto" w:fill="92D050"/>
            <w:vAlign w:val="center"/>
          </w:tcPr>
          <w:p w14:paraId="27D6540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1.76</w:t>
            </w:r>
          </w:p>
        </w:tc>
        <w:tc>
          <w:tcPr>
            <w:tcW w:w="0" w:type="auto"/>
            <w:shd w:val="clear" w:color="auto" w:fill="92D050"/>
            <w:vAlign w:val="center"/>
          </w:tcPr>
          <w:p w14:paraId="6461739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45.78</w:t>
            </w:r>
          </w:p>
        </w:tc>
        <w:tc>
          <w:tcPr>
            <w:tcW w:w="0" w:type="auto"/>
            <w:shd w:val="clear" w:color="auto" w:fill="92D050"/>
            <w:vAlign w:val="center"/>
          </w:tcPr>
          <w:p w14:paraId="099B6D4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0.53</w:t>
            </w:r>
          </w:p>
        </w:tc>
        <w:tc>
          <w:tcPr>
            <w:tcW w:w="0" w:type="auto"/>
            <w:shd w:val="clear" w:color="auto" w:fill="92D050"/>
            <w:vAlign w:val="center"/>
          </w:tcPr>
          <w:p w14:paraId="2ABBE9F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1.68</w:t>
            </w:r>
          </w:p>
        </w:tc>
        <w:tc>
          <w:tcPr>
            <w:tcW w:w="0" w:type="auto"/>
            <w:shd w:val="clear" w:color="auto" w:fill="92D050"/>
            <w:vAlign w:val="center"/>
          </w:tcPr>
          <w:p w14:paraId="060BE39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30.35</w:t>
            </w:r>
          </w:p>
        </w:tc>
        <w:tc>
          <w:tcPr>
            <w:tcW w:w="0" w:type="auto"/>
            <w:shd w:val="clear" w:color="auto" w:fill="92D050"/>
            <w:vAlign w:val="center"/>
          </w:tcPr>
          <w:p w14:paraId="1127653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12.35</w:t>
            </w:r>
          </w:p>
        </w:tc>
        <w:tc>
          <w:tcPr>
            <w:tcW w:w="1252" w:type="dxa"/>
            <w:shd w:val="clear" w:color="auto" w:fill="FFFF00"/>
            <w:vAlign w:val="center"/>
          </w:tcPr>
          <w:p w14:paraId="2F6383E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 (</w:t>
            </w:r>
            <w:r w:rsidR="00E374F7" w:rsidRPr="00420C1B">
              <w:rPr>
                <w:rFonts w:ascii="Times New Roman" w:hAnsi="Times New Roman"/>
                <w:sz w:val="18"/>
                <w:szCs w:val="18"/>
              </w:rPr>
              <w:t>equitable</w:t>
            </w:r>
            <w:r w:rsidRPr="00420C1B">
              <w:rPr>
                <w:rFonts w:ascii="Times New Roman" w:hAnsi="Times New Roman"/>
                <w:sz w:val="18"/>
                <w:szCs w:val="18"/>
              </w:rPr>
              <w:t>)</w:t>
            </w:r>
          </w:p>
        </w:tc>
      </w:tr>
      <w:tr w:rsidR="002C66D7" w:rsidRPr="00420C1B" w14:paraId="28828D25" w14:textId="77777777" w:rsidTr="00420C1B">
        <w:trPr>
          <w:jc w:val="center"/>
        </w:trPr>
        <w:tc>
          <w:tcPr>
            <w:tcW w:w="0" w:type="auto"/>
            <w:shd w:val="clear" w:color="auto" w:fill="auto"/>
            <w:vAlign w:val="center"/>
          </w:tcPr>
          <w:p w14:paraId="04241CB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7</w:t>
            </w:r>
          </w:p>
        </w:tc>
        <w:tc>
          <w:tcPr>
            <w:tcW w:w="1421" w:type="dxa"/>
            <w:shd w:val="clear" w:color="auto" w:fill="auto"/>
            <w:vAlign w:val="center"/>
          </w:tcPr>
          <w:p w14:paraId="786F8202" w14:textId="2DF029CD" w:rsidR="007F23C0" w:rsidRPr="00420C1B" w:rsidRDefault="005623B7" w:rsidP="00420C1B">
            <w:pPr>
              <w:spacing w:after="0" w:line="240" w:lineRule="auto"/>
              <w:rPr>
                <w:rFonts w:ascii="Times New Roman" w:hAnsi="Times New Roman"/>
                <w:sz w:val="18"/>
                <w:szCs w:val="18"/>
              </w:rPr>
            </w:pPr>
            <w:r w:rsidRPr="00420C1B">
              <w:rPr>
                <w:rFonts w:ascii="Times New Roman" w:hAnsi="Times New Roman"/>
                <w:sz w:val="18"/>
                <w:szCs w:val="18"/>
              </w:rPr>
              <w:t>Suka ya mur</w:t>
            </w:r>
          </w:p>
        </w:tc>
        <w:tc>
          <w:tcPr>
            <w:tcW w:w="756" w:type="dxa"/>
            <w:shd w:val="clear" w:color="auto" w:fill="auto"/>
            <w:vAlign w:val="center"/>
          </w:tcPr>
          <w:p w14:paraId="68DB708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523934</w:t>
            </w:r>
          </w:p>
        </w:tc>
        <w:tc>
          <w:tcPr>
            <w:tcW w:w="846" w:type="dxa"/>
            <w:shd w:val="clear" w:color="auto" w:fill="auto"/>
            <w:vAlign w:val="center"/>
          </w:tcPr>
          <w:p w14:paraId="4578B0C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9516587</w:t>
            </w:r>
          </w:p>
        </w:tc>
        <w:tc>
          <w:tcPr>
            <w:tcW w:w="846" w:type="dxa"/>
            <w:shd w:val="clear" w:color="auto" w:fill="auto"/>
            <w:vAlign w:val="center"/>
          </w:tcPr>
          <w:p w14:paraId="4223866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309</w:t>
            </w:r>
          </w:p>
        </w:tc>
        <w:tc>
          <w:tcPr>
            <w:tcW w:w="711" w:type="dxa"/>
            <w:shd w:val="clear" w:color="auto" w:fill="92D050"/>
            <w:vAlign w:val="center"/>
          </w:tcPr>
          <w:p w14:paraId="67E9219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500.68</w:t>
            </w:r>
          </w:p>
        </w:tc>
        <w:tc>
          <w:tcPr>
            <w:tcW w:w="0" w:type="auto"/>
            <w:shd w:val="clear" w:color="auto" w:fill="92D050"/>
            <w:vAlign w:val="center"/>
          </w:tcPr>
          <w:p w14:paraId="75BBADA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w:t>
            </w:r>
          </w:p>
        </w:tc>
        <w:tc>
          <w:tcPr>
            <w:tcW w:w="0" w:type="auto"/>
            <w:shd w:val="clear" w:color="auto" w:fill="92D050"/>
            <w:vAlign w:val="center"/>
          </w:tcPr>
          <w:p w14:paraId="3C02825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5.91</w:t>
            </w:r>
          </w:p>
        </w:tc>
        <w:tc>
          <w:tcPr>
            <w:tcW w:w="0" w:type="auto"/>
            <w:shd w:val="clear" w:color="auto" w:fill="92D050"/>
            <w:vAlign w:val="center"/>
          </w:tcPr>
          <w:p w14:paraId="474E276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51.5</w:t>
            </w:r>
          </w:p>
        </w:tc>
        <w:tc>
          <w:tcPr>
            <w:tcW w:w="0" w:type="auto"/>
            <w:shd w:val="clear" w:color="auto" w:fill="92D050"/>
            <w:vAlign w:val="center"/>
          </w:tcPr>
          <w:p w14:paraId="1C4998C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0.89</w:t>
            </w:r>
          </w:p>
        </w:tc>
        <w:tc>
          <w:tcPr>
            <w:tcW w:w="0" w:type="auto"/>
            <w:shd w:val="clear" w:color="auto" w:fill="92D050"/>
            <w:vAlign w:val="center"/>
          </w:tcPr>
          <w:p w14:paraId="4E77747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2.66</w:t>
            </w:r>
          </w:p>
        </w:tc>
        <w:tc>
          <w:tcPr>
            <w:tcW w:w="0" w:type="auto"/>
            <w:shd w:val="clear" w:color="auto" w:fill="92D050"/>
            <w:vAlign w:val="center"/>
          </w:tcPr>
          <w:p w14:paraId="57BB04F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66.76</w:t>
            </w:r>
          </w:p>
        </w:tc>
        <w:tc>
          <w:tcPr>
            <w:tcW w:w="0" w:type="auto"/>
            <w:shd w:val="clear" w:color="auto" w:fill="FF0000"/>
            <w:vAlign w:val="center"/>
          </w:tcPr>
          <w:p w14:paraId="3CB96EF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21.88</w:t>
            </w:r>
          </w:p>
        </w:tc>
        <w:tc>
          <w:tcPr>
            <w:tcW w:w="1252" w:type="dxa"/>
            <w:shd w:val="clear" w:color="auto" w:fill="FF0000"/>
            <w:vAlign w:val="center"/>
          </w:tcPr>
          <w:p w14:paraId="30E3A6C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 (</w:t>
            </w:r>
            <w:r w:rsidR="00E374F7" w:rsidRPr="00420C1B">
              <w:rPr>
                <w:rFonts w:ascii="Times New Roman" w:hAnsi="Times New Roman"/>
                <w:sz w:val="18"/>
                <w:szCs w:val="18"/>
              </w:rPr>
              <w:t>pauvre</w:t>
            </w:r>
            <w:r w:rsidRPr="00420C1B">
              <w:rPr>
                <w:rFonts w:ascii="Times New Roman" w:hAnsi="Times New Roman"/>
                <w:sz w:val="18"/>
                <w:szCs w:val="18"/>
              </w:rPr>
              <w:t>)</w:t>
            </w:r>
          </w:p>
        </w:tc>
      </w:tr>
      <w:tr w:rsidR="002C66D7" w:rsidRPr="00420C1B" w14:paraId="18344C3E" w14:textId="77777777" w:rsidTr="00420C1B">
        <w:trPr>
          <w:jc w:val="center"/>
        </w:trPr>
        <w:tc>
          <w:tcPr>
            <w:tcW w:w="0" w:type="auto"/>
            <w:shd w:val="clear" w:color="auto" w:fill="auto"/>
            <w:vAlign w:val="center"/>
          </w:tcPr>
          <w:p w14:paraId="336D7E4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8</w:t>
            </w:r>
          </w:p>
        </w:tc>
        <w:tc>
          <w:tcPr>
            <w:tcW w:w="1421" w:type="dxa"/>
            <w:shd w:val="clear" w:color="auto" w:fill="auto"/>
            <w:vAlign w:val="center"/>
          </w:tcPr>
          <w:p w14:paraId="0A92990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MBUDI</w:t>
            </w:r>
          </w:p>
        </w:tc>
        <w:tc>
          <w:tcPr>
            <w:tcW w:w="756" w:type="dxa"/>
            <w:shd w:val="clear" w:color="auto" w:fill="auto"/>
            <w:vAlign w:val="center"/>
          </w:tcPr>
          <w:p w14:paraId="35065C1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521759</w:t>
            </w:r>
          </w:p>
        </w:tc>
        <w:tc>
          <w:tcPr>
            <w:tcW w:w="846" w:type="dxa"/>
            <w:shd w:val="clear" w:color="auto" w:fill="auto"/>
            <w:vAlign w:val="center"/>
          </w:tcPr>
          <w:p w14:paraId="5007CC6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9518222</w:t>
            </w:r>
          </w:p>
        </w:tc>
        <w:tc>
          <w:tcPr>
            <w:tcW w:w="846" w:type="dxa"/>
            <w:shd w:val="clear" w:color="auto" w:fill="auto"/>
            <w:vAlign w:val="center"/>
          </w:tcPr>
          <w:p w14:paraId="563A44E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294</w:t>
            </w:r>
          </w:p>
        </w:tc>
        <w:tc>
          <w:tcPr>
            <w:tcW w:w="711" w:type="dxa"/>
            <w:shd w:val="clear" w:color="auto" w:fill="92D050"/>
            <w:vAlign w:val="center"/>
          </w:tcPr>
          <w:p w14:paraId="1472C49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433.92</w:t>
            </w:r>
          </w:p>
        </w:tc>
        <w:tc>
          <w:tcPr>
            <w:tcW w:w="0" w:type="auto"/>
            <w:shd w:val="clear" w:color="auto" w:fill="92D050"/>
            <w:vAlign w:val="center"/>
          </w:tcPr>
          <w:p w14:paraId="11ED7B5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0.01</w:t>
            </w:r>
          </w:p>
        </w:tc>
        <w:tc>
          <w:tcPr>
            <w:tcW w:w="0" w:type="auto"/>
            <w:shd w:val="clear" w:color="auto" w:fill="92D050"/>
            <w:vAlign w:val="center"/>
          </w:tcPr>
          <w:p w14:paraId="5EA0F32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0.47</w:t>
            </w:r>
          </w:p>
        </w:tc>
        <w:tc>
          <w:tcPr>
            <w:tcW w:w="0" w:type="auto"/>
            <w:shd w:val="clear" w:color="auto" w:fill="92D050"/>
            <w:vAlign w:val="center"/>
          </w:tcPr>
          <w:p w14:paraId="5F9CC40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67.23</w:t>
            </w:r>
          </w:p>
        </w:tc>
        <w:tc>
          <w:tcPr>
            <w:tcW w:w="0" w:type="auto"/>
            <w:shd w:val="clear" w:color="auto" w:fill="92D050"/>
            <w:vAlign w:val="center"/>
          </w:tcPr>
          <w:p w14:paraId="1C194ED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0.16</w:t>
            </w:r>
          </w:p>
        </w:tc>
        <w:tc>
          <w:tcPr>
            <w:tcW w:w="0" w:type="auto"/>
            <w:shd w:val="clear" w:color="auto" w:fill="92D050"/>
            <w:vAlign w:val="center"/>
          </w:tcPr>
          <w:p w14:paraId="11F218C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0.86</w:t>
            </w:r>
          </w:p>
        </w:tc>
        <w:tc>
          <w:tcPr>
            <w:tcW w:w="0" w:type="auto"/>
            <w:shd w:val="clear" w:color="auto" w:fill="92D050"/>
            <w:vAlign w:val="center"/>
          </w:tcPr>
          <w:p w14:paraId="0FAC294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32.92</w:t>
            </w:r>
          </w:p>
        </w:tc>
        <w:tc>
          <w:tcPr>
            <w:tcW w:w="0" w:type="auto"/>
            <w:shd w:val="clear" w:color="auto" w:fill="92D050"/>
            <w:vAlign w:val="center"/>
          </w:tcPr>
          <w:p w14:paraId="5AB89D7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18.74</w:t>
            </w:r>
          </w:p>
        </w:tc>
        <w:tc>
          <w:tcPr>
            <w:tcW w:w="1252" w:type="dxa"/>
            <w:shd w:val="clear" w:color="auto" w:fill="FFFF00"/>
            <w:vAlign w:val="center"/>
          </w:tcPr>
          <w:p w14:paraId="777D2D0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 (</w:t>
            </w:r>
            <w:r w:rsidR="00E374F7" w:rsidRPr="00420C1B">
              <w:rPr>
                <w:rFonts w:ascii="Times New Roman" w:hAnsi="Times New Roman"/>
                <w:sz w:val="18"/>
                <w:szCs w:val="18"/>
              </w:rPr>
              <w:t>equitable</w:t>
            </w:r>
            <w:r w:rsidRPr="00420C1B">
              <w:rPr>
                <w:rFonts w:ascii="Times New Roman" w:hAnsi="Times New Roman"/>
                <w:sz w:val="18"/>
                <w:szCs w:val="18"/>
              </w:rPr>
              <w:t>)</w:t>
            </w:r>
          </w:p>
        </w:tc>
      </w:tr>
      <w:tr w:rsidR="002C66D7" w:rsidRPr="00420C1B" w14:paraId="5986CBCB" w14:textId="77777777" w:rsidTr="00420C1B">
        <w:trPr>
          <w:jc w:val="center"/>
        </w:trPr>
        <w:tc>
          <w:tcPr>
            <w:tcW w:w="0" w:type="auto"/>
            <w:shd w:val="clear" w:color="auto" w:fill="auto"/>
            <w:vAlign w:val="center"/>
          </w:tcPr>
          <w:p w14:paraId="295DA81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w:t>
            </w:r>
          </w:p>
        </w:tc>
        <w:tc>
          <w:tcPr>
            <w:tcW w:w="1421" w:type="dxa"/>
            <w:shd w:val="clear" w:color="auto" w:fill="auto"/>
            <w:vAlign w:val="center"/>
          </w:tcPr>
          <w:p w14:paraId="09062B5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POMPAGE</w:t>
            </w:r>
          </w:p>
        </w:tc>
        <w:tc>
          <w:tcPr>
            <w:tcW w:w="756" w:type="dxa"/>
            <w:shd w:val="clear" w:color="auto" w:fill="auto"/>
            <w:vAlign w:val="center"/>
          </w:tcPr>
          <w:p w14:paraId="4CBA3A5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523059</w:t>
            </w:r>
          </w:p>
        </w:tc>
        <w:tc>
          <w:tcPr>
            <w:tcW w:w="846" w:type="dxa"/>
            <w:shd w:val="clear" w:color="auto" w:fill="auto"/>
            <w:vAlign w:val="center"/>
          </w:tcPr>
          <w:p w14:paraId="1F5C23B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9519055</w:t>
            </w:r>
          </w:p>
        </w:tc>
        <w:tc>
          <w:tcPr>
            <w:tcW w:w="846" w:type="dxa"/>
            <w:shd w:val="clear" w:color="auto" w:fill="auto"/>
            <w:vAlign w:val="center"/>
          </w:tcPr>
          <w:p w14:paraId="2CD33212"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442</w:t>
            </w:r>
          </w:p>
        </w:tc>
        <w:tc>
          <w:tcPr>
            <w:tcW w:w="711" w:type="dxa"/>
            <w:shd w:val="clear" w:color="auto" w:fill="92D050"/>
            <w:vAlign w:val="center"/>
          </w:tcPr>
          <w:p w14:paraId="3D34A96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580.79</w:t>
            </w:r>
          </w:p>
        </w:tc>
        <w:tc>
          <w:tcPr>
            <w:tcW w:w="0" w:type="auto"/>
            <w:shd w:val="clear" w:color="auto" w:fill="92D050"/>
            <w:vAlign w:val="center"/>
          </w:tcPr>
          <w:p w14:paraId="28542F4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0.16</w:t>
            </w:r>
          </w:p>
        </w:tc>
        <w:tc>
          <w:tcPr>
            <w:tcW w:w="0" w:type="auto"/>
            <w:shd w:val="clear" w:color="auto" w:fill="92D050"/>
            <w:vAlign w:val="center"/>
          </w:tcPr>
          <w:p w14:paraId="40A6CCF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5.83</w:t>
            </w:r>
          </w:p>
        </w:tc>
        <w:tc>
          <w:tcPr>
            <w:tcW w:w="0" w:type="auto"/>
            <w:shd w:val="clear" w:color="auto" w:fill="92D050"/>
            <w:vAlign w:val="center"/>
          </w:tcPr>
          <w:p w14:paraId="5A11606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85.12</w:t>
            </w:r>
          </w:p>
        </w:tc>
        <w:tc>
          <w:tcPr>
            <w:tcW w:w="0" w:type="auto"/>
            <w:shd w:val="clear" w:color="auto" w:fill="92D050"/>
            <w:vAlign w:val="center"/>
          </w:tcPr>
          <w:p w14:paraId="67ACB00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0.95</w:t>
            </w:r>
          </w:p>
        </w:tc>
        <w:tc>
          <w:tcPr>
            <w:tcW w:w="0" w:type="auto"/>
            <w:shd w:val="clear" w:color="auto" w:fill="92D050"/>
            <w:vAlign w:val="center"/>
          </w:tcPr>
          <w:p w14:paraId="66EAD1F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3.1</w:t>
            </w:r>
          </w:p>
        </w:tc>
        <w:tc>
          <w:tcPr>
            <w:tcW w:w="0" w:type="auto"/>
            <w:shd w:val="clear" w:color="auto" w:fill="92D050"/>
            <w:vAlign w:val="center"/>
          </w:tcPr>
          <w:p w14:paraId="5986CCF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48.84</w:t>
            </w:r>
          </w:p>
        </w:tc>
        <w:tc>
          <w:tcPr>
            <w:tcW w:w="0" w:type="auto"/>
            <w:shd w:val="clear" w:color="auto" w:fill="92D050"/>
            <w:vAlign w:val="center"/>
          </w:tcPr>
          <w:p w14:paraId="237336A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24.35</w:t>
            </w:r>
          </w:p>
        </w:tc>
        <w:tc>
          <w:tcPr>
            <w:tcW w:w="1252" w:type="dxa"/>
            <w:shd w:val="clear" w:color="auto" w:fill="FFC000"/>
            <w:vAlign w:val="center"/>
          </w:tcPr>
          <w:p w14:paraId="1605046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 (</w:t>
            </w:r>
            <w:r w:rsidR="00E374F7" w:rsidRPr="00420C1B">
              <w:rPr>
                <w:rFonts w:ascii="Times New Roman" w:hAnsi="Times New Roman"/>
                <w:sz w:val="18"/>
                <w:szCs w:val="18"/>
              </w:rPr>
              <w:t>modere</w:t>
            </w:r>
            <w:r w:rsidRPr="00420C1B">
              <w:rPr>
                <w:rFonts w:ascii="Times New Roman" w:hAnsi="Times New Roman"/>
                <w:sz w:val="18"/>
                <w:szCs w:val="18"/>
              </w:rPr>
              <w:t>)</w:t>
            </w:r>
          </w:p>
        </w:tc>
      </w:tr>
      <w:tr w:rsidR="002C66D7" w:rsidRPr="00420C1B" w14:paraId="069F0BC1" w14:textId="77777777" w:rsidTr="00420C1B">
        <w:trPr>
          <w:jc w:val="center"/>
        </w:trPr>
        <w:tc>
          <w:tcPr>
            <w:tcW w:w="0" w:type="auto"/>
            <w:shd w:val="clear" w:color="auto" w:fill="auto"/>
            <w:vAlign w:val="center"/>
          </w:tcPr>
          <w:p w14:paraId="2345059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10</w:t>
            </w:r>
          </w:p>
        </w:tc>
        <w:tc>
          <w:tcPr>
            <w:tcW w:w="1421" w:type="dxa"/>
            <w:shd w:val="clear" w:color="auto" w:fill="auto"/>
            <w:vAlign w:val="center"/>
          </w:tcPr>
          <w:p w14:paraId="29F31E7C"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CENTRE SUP. MILIT</w:t>
            </w:r>
          </w:p>
        </w:tc>
        <w:tc>
          <w:tcPr>
            <w:tcW w:w="756" w:type="dxa"/>
            <w:shd w:val="clear" w:color="auto" w:fill="auto"/>
            <w:vAlign w:val="center"/>
          </w:tcPr>
          <w:p w14:paraId="6EE5453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526124</w:t>
            </w:r>
          </w:p>
        </w:tc>
        <w:tc>
          <w:tcPr>
            <w:tcW w:w="846" w:type="dxa"/>
            <w:shd w:val="clear" w:color="auto" w:fill="auto"/>
            <w:vAlign w:val="center"/>
          </w:tcPr>
          <w:p w14:paraId="6C9D952A"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9518827</w:t>
            </w:r>
          </w:p>
        </w:tc>
        <w:tc>
          <w:tcPr>
            <w:tcW w:w="846" w:type="dxa"/>
            <w:shd w:val="clear" w:color="auto" w:fill="auto"/>
            <w:vAlign w:val="center"/>
          </w:tcPr>
          <w:p w14:paraId="7470570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349</w:t>
            </w:r>
          </w:p>
        </w:tc>
        <w:tc>
          <w:tcPr>
            <w:tcW w:w="711" w:type="dxa"/>
            <w:shd w:val="clear" w:color="auto" w:fill="92D050"/>
            <w:vAlign w:val="center"/>
          </w:tcPr>
          <w:p w14:paraId="14C7A19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534.06</w:t>
            </w:r>
          </w:p>
        </w:tc>
        <w:tc>
          <w:tcPr>
            <w:tcW w:w="0" w:type="auto"/>
            <w:shd w:val="clear" w:color="auto" w:fill="92D050"/>
            <w:vAlign w:val="center"/>
          </w:tcPr>
          <w:p w14:paraId="498F66B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0.12</w:t>
            </w:r>
          </w:p>
        </w:tc>
        <w:tc>
          <w:tcPr>
            <w:tcW w:w="0" w:type="auto"/>
            <w:shd w:val="clear" w:color="auto" w:fill="92D050"/>
            <w:vAlign w:val="center"/>
          </w:tcPr>
          <w:p w14:paraId="1D6539AD"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1.76</w:t>
            </w:r>
          </w:p>
        </w:tc>
        <w:tc>
          <w:tcPr>
            <w:tcW w:w="0" w:type="auto"/>
            <w:shd w:val="clear" w:color="auto" w:fill="FF0000"/>
            <w:vAlign w:val="center"/>
          </w:tcPr>
          <w:p w14:paraId="4F62739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101.57</w:t>
            </w:r>
          </w:p>
        </w:tc>
        <w:tc>
          <w:tcPr>
            <w:tcW w:w="0" w:type="auto"/>
            <w:shd w:val="clear" w:color="auto" w:fill="92D050"/>
            <w:vAlign w:val="center"/>
          </w:tcPr>
          <w:p w14:paraId="0EF96E9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0.94</w:t>
            </w:r>
          </w:p>
        </w:tc>
        <w:tc>
          <w:tcPr>
            <w:tcW w:w="0" w:type="auto"/>
            <w:shd w:val="clear" w:color="auto" w:fill="92D050"/>
            <w:vAlign w:val="center"/>
          </w:tcPr>
          <w:p w14:paraId="1213EDDF"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3.1</w:t>
            </w:r>
          </w:p>
        </w:tc>
        <w:tc>
          <w:tcPr>
            <w:tcW w:w="0" w:type="auto"/>
            <w:shd w:val="clear" w:color="auto" w:fill="92D050"/>
            <w:vAlign w:val="center"/>
          </w:tcPr>
          <w:p w14:paraId="21995024"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41.23</w:t>
            </w:r>
          </w:p>
        </w:tc>
        <w:tc>
          <w:tcPr>
            <w:tcW w:w="0" w:type="auto"/>
            <w:shd w:val="clear" w:color="auto" w:fill="92D050"/>
            <w:vAlign w:val="center"/>
          </w:tcPr>
          <w:p w14:paraId="11A43D8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22.94</w:t>
            </w:r>
          </w:p>
        </w:tc>
        <w:tc>
          <w:tcPr>
            <w:tcW w:w="1252" w:type="dxa"/>
            <w:shd w:val="clear" w:color="auto" w:fill="FFC000"/>
            <w:vAlign w:val="center"/>
          </w:tcPr>
          <w:p w14:paraId="64D97D0B"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 (</w:t>
            </w:r>
            <w:r w:rsidR="00E374F7" w:rsidRPr="00420C1B">
              <w:rPr>
                <w:rFonts w:ascii="Times New Roman" w:hAnsi="Times New Roman"/>
                <w:sz w:val="18"/>
                <w:szCs w:val="18"/>
              </w:rPr>
              <w:t>modere</w:t>
            </w:r>
            <w:r w:rsidRPr="00420C1B">
              <w:rPr>
                <w:rFonts w:ascii="Times New Roman" w:hAnsi="Times New Roman"/>
                <w:sz w:val="18"/>
                <w:szCs w:val="18"/>
              </w:rPr>
              <w:t>)</w:t>
            </w:r>
          </w:p>
        </w:tc>
      </w:tr>
      <w:tr w:rsidR="002C66D7" w:rsidRPr="00420C1B" w14:paraId="79BE7A41" w14:textId="77777777" w:rsidTr="00420C1B">
        <w:trPr>
          <w:trHeight w:val="292"/>
          <w:jc w:val="center"/>
        </w:trPr>
        <w:tc>
          <w:tcPr>
            <w:tcW w:w="0" w:type="auto"/>
            <w:shd w:val="clear" w:color="auto" w:fill="auto"/>
            <w:vAlign w:val="center"/>
          </w:tcPr>
          <w:p w14:paraId="1E92AF2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11</w:t>
            </w:r>
          </w:p>
        </w:tc>
        <w:tc>
          <w:tcPr>
            <w:tcW w:w="1421" w:type="dxa"/>
            <w:shd w:val="clear" w:color="auto" w:fill="auto"/>
            <w:vAlign w:val="center"/>
          </w:tcPr>
          <w:p w14:paraId="7C561BF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DGC SALAZO</w:t>
            </w:r>
          </w:p>
        </w:tc>
        <w:tc>
          <w:tcPr>
            <w:tcW w:w="756" w:type="dxa"/>
            <w:shd w:val="clear" w:color="auto" w:fill="auto"/>
            <w:vAlign w:val="center"/>
          </w:tcPr>
          <w:p w14:paraId="0E7AF646"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528428</w:t>
            </w:r>
          </w:p>
        </w:tc>
        <w:tc>
          <w:tcPr>
            <w:tcW w:w="846" w:type="dxa"/>
            <w:shd w:val="clear" w:color="auto" w:fill="auto"/>
            <w:vAlign w:val="center"/>
          </w:tcPr>
          <w:p w14:paraId="1E468983"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9520912</w:t>
            </w:r>
          </w:p>
        </w:tc>
        <w:tc>
          <w:tcPr>
            <w:tcW w:w="846" w:type="dxa"/>
            <w:shd w:val="clear" w:color="auto" w:fill="auto"/>
            <w:vAlign w:val="center"/>
          </w:tcPr>
          <w:p w14:paraId="1316354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280</w:t>
            </w:r>
          </w:p>
        </w:tc>
        <w:tc>
          <w:tcPr>
            <w:tcW w:w="711" w:type="dxa"/>
            <w:shd w:val="clear" w:color="auto" w:fill="92D050"/>
            <w:vAlign w:val="center"/>
          </w:tcPr>
          <w:p w14:paraId="560640E7"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507.36</w:t>
            </w:r>
          </w:p>
        </w:tc>
        <w:tc>
          <w:tcPr>
            <w:tcW w:w="0" w:type="auto"/>
            <w:shd w:val="clear" w:color="auto" w:fill="92D050"/>
            <w:vAlign w:val="center"/>
          </w:tcPr>
          <w:p w14:paraId="48F4B78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0.18</w:t>
            </w:r>
          </w:p>
        </w:tc>
        <w:tc>
          <w:tcPr>
            <w:tcW w:w="0" w:type="auto"/>
            <w:shd w:val="clear" w:color="auto" w:fill="92D050"/>
            <w:vAlign w:val="center"/>
          </w:tcPr>
          <w:p w14:paraId="6F31BF89"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1.46</w:t>
            </w:r>
          </w:p>
        </w:tc>
        <w:tc>
          <w:tcPr>
            <w:tcW w:w="0" w:type="auto"/>
            <w:shd w:val="clear" w:color="auto" w:fill="92D050"/>
            <w:vAlign w:val="center"/>
          </w:tcPr>
          <w:p w14:paraId="628DD085"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94.41</w:t>
            </w:r>
          </w:p>
        </w:tc>
        <w:tc>
          <w:tcPr>
            <w:tcW w:w="0" w:type="auto"/>
            <w:shd w:val="clear" w:color="auto" w:fill="92D050"/>
            <w:vAlign w:val="center"/>
          </w:tcPr>
          <w:p w14:paraId="758571EE"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1.15</w:t>
            </w:r>
          </w:p>
        </w:tc>
        <w:tc>
          <w:tcPr>
            <w:tcW w:w="0" w:type="auto"/>
            <w:shd w:val="clear" w:color="auto" w:fill="92D050"/>
            <w:vAlign w:val="center"/>
          </w:tcPr>
          <w:p w14:paraId="1B709BB8"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3.42</w:t>
            </w:r>
          </w:p>
        </w:tc>
        <w:tc>
          <w:tcPr>
            <w:tcW w:w="0" w:type="auto"/>
            <w:shd w:val="clear" w:color="auto" w:fill="92D050"/>
            <w:vAlign w:val="center"/>
          </w:tcPr>
          <w:p w14:paraId="4A1296D1"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36.37</w:t>
            </w:r>
          </w:p>
        </w:tc>
        <w:tc>
          <w:tcPr>
            <w:tcW w:w="0" w:type="auto"/>
            <w:shd w:val="clear" w:color="auto" w:fill="92D050"/>
            <w:vAlign w:val="center"/>
          </w:tcPr>
          <w:p w14:paraId="4630B9E0"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18.19</w:t>
            </w:r>
          </w:p>
        </w:tc>
        <w:tc>
          <w:tcPr>
            <w:tcW w:w="1252" w:type="dxa"/>
            <w:shd w:val="clear" w:color="auto" w:fill="FFC000"/>
            <w:vAlign w:val="center"/>
          </w:tcPr>
          <w:p w14:paraId="56579A12" w14:textId="77777777" w:rsidR="007F23C0" w:rsidRPr="00420C1B" w:rsidRDefault="007F23C0" w:rsidP="00420C1B">
            <w:pPr>
              <w:spacing w:after="0" w:line="240" w:lineRule="auto"/>
              <w:rPr>
                <w:rFonts w:ascii="Times New Roman" w:hAnsi="Times New Roman"/>
                <w:sz w:val="18"/>
                <w:szCs w:val="18"/>
              </w:rPr>
            </w:pPr>
            <w:r w:rsidRPr="00420C1B">
              <w:rPr>
                <w:rFonts w:ascii="Times New Roman" w:hAnsi="Times New Roman"/>
                <w:sz w:val="18"/>
                <w:szCs w:val="18"/>
              </w:rPr>
              <w:t>3 (</w:t>
            </w:r>
            <w:r w:rsidR="00E374F7" w:rsidRPr="00420C1B">
              <w:rPr>
                <w:rFonts w:ascii="Times New Roman" w:hAnsi="Times New Roman"/>
                <w:sz w:val="18"/>
                <w:szCs w:val="18"/>
              </w:rPr>
              <w:t>modere</w:t>
            </w:r>
            <w:r w:rsidRPr="00420C1B">
              <w:rPr>
                <w:rFonts w:ascii="Times New Roman" w:hAnsi="Times New Roman"/>
                <w:sz w:val="18"/>
                <w:szCs w:val="18"/>
              </w:rPr>
              <w:t>)</w:t>
            </w:r>
          </w:p>
        </w:tc>
      </w:tr>
    </w:tbl>
    <w:p w14:paraId="1B650807" w14:textId="6038D0DE" w:rsidR="00021921" w:rsidRPr="00420C1B" w:rsidRDefault="007F23C0" w:rsidP="00215867">
      <w:pPr>
        <w:spacing w:after="120" w:line="240" w:lineRule="auto"/>
        <w:jc w:val="center"/>
        <w:rPr>
          <w:i/>
          <w:iCs/>
          <w:color w:val="44546A"/>
        </w:rPr>
      </w:pPr>
      <w:r>
        <w:rPr>
          <w:rStyle w:val="Emphaseintense"/>
        </w:rPr>
        <w:tab/>
      </w:r>
      <w:r w:rsidR="00021921" w:rsidRPr="00420C1B">
        <w:rPr>
          <w:rFonts w:ascii="Times New Roman" w:hAnsi="Times New Roman"/>
          <w:color w:val="44546A"/>
          <w:sz w:val="24"/>
        </w:rPr>
        <w:t>Source : Centre des Recherches Géologiques et Minières (CRGM)</w:t>
      </w:r>
      <w:r w:rsidR="005623B7" w:rsidRPr="00420C1B">
        <w:rPr>
          <w:rFonts w:ascii="Times New Roman" w:hAnsi="Times New Roman"/>
          <w:color w:val="44546A"/>
          <w:sz w:val="24"/>
        </w:rPr>
        <w:t>,</w:t>
      </w:r>
      <w:r w:rsidR="00021921" w:rsidRPr="00420C1B">
        <w:rPr>
          <w:rFonts w:ascii="Times New Roman" w:hAnsi="Times New Roman"/>
          <w:color w:val="44546A"/>
          <w:sz w:val="24"/>
        </w:rPr>
        <w:t xml:space="preserve"> </w:t>
      </w:r>
      <w:r w:rsidR="00021921" w:rsidRPr="00E737B4">
        <w:rPr>
          <w:rStyle w:val="Emphaseintense"/>
          <w:rFonts w:ascii="Times New Roman" w:hAnsi="Times New Roman"/>
          <w:sz w:val="24"/>
        </w:rPr>
        <w:t>Juillet</w:t>
      </w:r>
      <w:r w:rsidR="00021921" w:rsidRPr="00420C1B">
        <w:rPr>
          <w:i/>
          <w:iCs/>
          <w:color w:val="44546A"/>
          <w:sz w:val="24"/>
        </w:rPr>
        <w:t xml:space="preserve"> 2021</w:t>
      </w:r>
    </w:p>
    <w:p w14:paraId="0DF1A420" w14:textId="77777777" w:rsidR="007F23C0" w:rsidRPr="00842F58" w:rsidRDefault="007F23C0" w:rsidP="00842F58">
      <w:pPr>
        <w:spacing w:after="0" w:line="240" w:lineRule="auto"/>
        <w:jc w:val="both"/>
        <w:rPr>
          <w:rFonts w:ascii="Times New Roman" w:hAnsi="Times New Roman"/>
          <w:sz w:val="24"/>
        </w:rPr>
      </w:pPr>
      <w:r w:rsidRPr="00842F58">
        <w:rPr>
          <w:rFonts w:ascii="Times New Roman" w:hAnsi="Times New Roman"/>
          <w:sz w:val="24"/>
        </w:rPr>
        <w:t>Le prélèvement des mesures sur la pollution de l’air nous auront permis d’avoir une idée plus claire et précise sur la qualité de l’air dans l’espace concernant le projet EASE qui varie entre les niveaux 2-3 c’est-à-dire équitable à modéré en général. Deux sites ont donné une valeur pauvre suite au taux élevé en particules fines (PM</w:t>
      </w:r>
      <w:r w:rsidRPr="00842F58">
        <w:rPr>
          <w:rFonts w:ascii="Times New Roman" w:hAnsi="Times New Roman"/>
          <w:sz w:val="24"/>
          <w:vertAlign w:val="subscript"/>
        </w:rPr>
        <w:t>2,5</w:t>
      </w:r>
      <w:r w:rsidRPr="00842F58">
        <w:rPr>
          <w:rFonts w:ascii="Times New Roman" w:hAnsi="Times New Roman"/>
          <w:sz w:val="24"/>
        </w:rPr>
        <w:t xml:space="preserve">) supérieur au seuil de tolérance. </w:t>
      </w:r>
    </w:p>
    <w:p w14:paraId="0A322038" w14:textId="6CA226A0" w:rsidR="00021921" w:rsidRPr="00E374F7" w:rsidRDefault="00177283" w:rsidP="00AE31F1">
      <w:pPr>
        <w:pStyle w:val="Titre31"/>
        <w:numPr>
          <w:ilvl w:val="2"/>
          <w:numId w:val="54"/>
        </w:numPr>
        <w:spacing w:before="120" w:after="120"/>
        <w:rPr>
          <w:rFonts w:eastAsia="Calibri" w:cs="Times New Roman"/>
          <w:u w:val="none"/>
        </w:rPr>
      </w:pPr>
      <w:bookmarkStart w:id="458" w:name="_Toc79132384"/>
      <w:bookmarkStart w:id="459" w:name="_Toc103685639"/>
      <w:r>
        <w:rPr>
          <w:rFonts w:eastAsia="Calibri" w:cs="Times New Roman"/>
          <w:u w:val="none"/>
        </w:rPr>
        <w:t>Présentation et i</w:t>
      </w:r>
      <w:r w:rsidR="00321506" w:rsidRPr="00E374F7">
        <w:rPr>
          <w:rFonts w:eastAsia="Calibri" w:cs="Times New Roman"/>
          <w:u w:val="none"/>
        </w:rPr>
        <w:t>nterprétation des résultats sur le bruit</w:t>
      </w:r>
      <w:bookmarkEnd w:id="458"/>
      <w:bookmarkEnd w:id="459"/>
    </w:p>
    <w:p w14:paraId="400AA77C" w14:textId="23B0C615" w:rsidR="00021921" w:rsidRDefault="00321506" w:rsidP="00E737B4">
      <w:pPr>
        <w:spacing w:before="120" w:after="120"/>
        <w:jc w:val="both"/>
        <w:rPr>
          <w:rFonts w:ascii="Times New Roman" w:hAnsi="Times New Roman"/>
          <w:sz w:val="24"/>
          <w:szCs w:val="24"/>
        </w:rPr>
      </w:pPr>
      <w:r w:rsidRPr="00E737B4">
        <w:rPr>
          <w:rFonts w:ascii="Times New Roman" w:hAnsi="Times New Roman"/>
          <w:sz w:val="24"/>
          <w:szCs w:val="24"/>
        </w:rPr>
        <w:t>Les résultats des d</w:t>
      </w:r>
      <w:r w:rsidR="00021921" w:rsidRPr="00E737B4">
        <w:rPr>
          <w:rFonts w:ascii="Times New Roman" w:hAnsi="Times New Roman"/>
          <w:sz w:val="24"/>
          <w:szCs w:val="24"/>
        </w:rPr>
        <w:t xml:space="preserve">ifférentes stations de prélèvement figurant </w:t>
      </w:r>
      <w:r w:rsidRPr="00E737B4">
        <w:rPr>
          <w:rFonts w:ascii="Times New Roman" w:hAnsi="Times New Roman"/>
          <w:sz w:val="24"/>
          <w:szCs w:val="24"/>
        </w:rPr>
        <w:t xml:space="preserve">les lignes sont </w:t>
      </w:r>
      <w:r w:rsidR="005623B7" w:rsidRPr="00E374F7">
        <w:rPr>
          <w:rFonts w:ascii="Times New Roman" w:hAnsi="Times New Roman"/>
          <w:sz w:val="24"/>
          <w:szCs w:val="24"/>
        </w:rPr>
        <w:t>donnés</w:t>
      </w:r>
      <w:r w:rsidRPr="00E737B4">
        <w:rPr>
          <w:rFonts w:ascii="Times New Roman" w:hAnsi="Times New Roman"/>
          <w:sz w:val="24"/>
          <w:szCs w:val="24"/>
        </w:rPr>
        <w:t xml:space="preserve"> par le tableau </w:t>
      </w:r>
      <w:r w:rsidR="00E732DD">
        <w:rPr>
          <w:rFonts w:ascii="Times New Roman" w:hAnsi="Times New Roman"/>
          <w:sz w:val="24"/>
          <w:szCs w:val="24"/>
        </w:rPr>
        <w:t>14</w:t>
      </w:r>
      <w:r w:rsidRPr="00E737B4">
        <w:rPr>
          <w:rFonts w:ascii="Times New Roman" w:hAnsi="Times New Roman"/>
          <w:sz w:val="24"/>
          <w:szCs w:val="24"/>
        </w:rPr>
        <w:t xml:space="preserve">. </w:t>
      </w:r>
    </w:p>
    <w:p w14:paraId="4F07C8AF" w14:textId="77777777" w:rsidR="0023301F" w:rsidRPr="00E737B4" w:rsidRDefault="0023301F" w:rsidP="00E737B4">
      <w:pPr>
        <w:spacing w:before="120" w:after="120"/>
        <w:jc w:val="both"/>
        <w:rPr>
          <w:rFonts w:ascii="Times New Roman" w:hAnsi="Times New Roman"/>
          <w:sz w:val="24"/>
          <w:szCs w:val="24"/>
        </w:rPr>
      </w:pPr>
    </w:p>
    <w:p w14:paraId="73C82127" w14:textId="4FABD424" w:rsidR="00021921" w:rsidRPr="00E374F7" w:rsidRDefault="00321506" w:rsidP="00E737B4">
      <w:pPr>
        <w:pStyle w:val="Lgende"/>
        <w:spacing w:before="120" w:after="120"/>
        <w:jc w:val="center"/>
        <w:rPr>
          <w:color w:val="auto"/>
          <w:sz w:val="24"/>
          <w:szCs w:val="24"/>
        </w:rPr>
      </w:pPr>
      <w:bookmarkStart w:id="460" w:name="_Toc93050277"/>
      <w:r w:rsidRPr="00E737B4">
        <w:rPr>
          <w:color w:val="auto"/>
          <w:sz w:val="24"/>
          <w:szCs w:val="24"/>
        </w:rPr>
        <w:t xml:space="preserve">Tableau </w:t>
      </w:r>
      <w:r w:rsidRPr="00E737B4">
        <w:rPr>
          <w:color w:val="auto"/>
          <w:sz w:val="24"/>
          <w:szCs w:val="24"/>
        </w:rPr>
        <w:fldChar w:fldCharType="begin"/>
      </w:r>
      <w:r w:rsidRPr="00E737B4">
        <w:rPr>
          <w:color w:val="auto"/>
          <w:sz w:val="24"/>
          <w:szCs w:val="24"/>
        </w:rPr>
        <w:instrText xml:space="preserve"> SEQ Tableau \* ARABIC </w:instrText>
      </w:r>
      <w:r w:rsidRPr="00E737B4">
        <w:rPr>
          <w:color w:val="auto"/>
          <w:sz w:val="24"/>
          <w:szCs w:val="24"/>
        </w:rPr>
        <w:fldChar w:fldCharType="separate"/>
      </w:r>
      <w:r w:rsidR="00A86929">
        <w:rPr>
          <w:noProof/>
          <w:color w:val="auto"/>
          <w:sz w:val="24"/>
          <w:szCs w:val="24"/>
        </w:rPr>
        <w:t>15</w:t>
      </w:r>
      <w:r w:rsidRPr="00E737B4">
        <w:rPr>
          <w:color w:val="auto"/>
          <w:sz w:val="24"/>
          <w:szCs w:val="24"/>
        </w:rPr>
        <w:fldChar w:fldCharType="end"/>
      </w:r>
      <w:r w:rsidRPr="00E737B4">
        <w:rPr>
          <w:color w:val="auto"/>
          <w:sz w:val="24"/>
          <w:szCs w:val="24"/>
        </w:rPr>
        <w:t xml:space="preserve"> : </w:t>
      </w:r>
      <w:r w:rsidR="00021921" w:rsidRPr="00E737B4">
        <w:rPr>
          <w:rStyle w:val="Emphaseintense"/>
          <w:color w:val="auto"/>
          <w:sz w:val="24"/>
          <w:szCs w:val="24"/>
        </w:rPr>
        <w:t>Stations et Mesures de bruit prélevées</w:t>
      </w:r>
      <w:bookmarkEnd w:id="4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
        <w:gridCol w:w="2059"/>
        <w:gridCol w:w="876"/>
        <w:gridCol w:w="986"/>
        <w:gridCol w:w="986"/>
        <w:gridCol w:w="974"/>
        <w:gridCol w:w="840"/>
        <w:gridCol w:w="1011"/>
        <w:gridCol w:w="1390"/>
      </w:tblGrid>
      <w:tr w:rsidR="002C66D7" w:rsidRPr="00420C1B" w14:paraId="022F7DDC" w14:textId="77777777" w:rsidTr="00420C1B">
        <w:trPr>
          <w:tblHeader/>
          <w:jc w:val="center"/>
        </w:trPr>
        <w:tc>
          <w:tcPr>
            <w:tcW w:w="409" w:type="dxa"/>
            <w:vMerge w:val="restart"/>
            <w:shd w:val="clear" w:color="auto" w:fill="92D050"/>
          </w:tcPr>
          <w:p w14:paraId="5FACBE97"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N˚</w:t>
            </w:r>
          </w:p>
        </w:tc>
        <w:tc>
          <w:tcPr>
            <w:tcW w:w="2410" w:type="dxa"/>
            <w:vMerge w:val="restart"/>
            <w:shd w:val="clear" w:color="auto" w:fill="92D050"/>
          </w:tcPr>
          <w:p w14:paraId="01189694"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Site</w:t>
            </w:r>
          </w:p>
        </w:tc>
        <w:tc>
          <w:tcPr>
            <w:tcW w:w="0" w:type="auto"/>
            <w:vMerge w:val="restart"/>
            <w:shd w:val="clear" w:color="auto" w:fill="92D050"/>
          </w:tcPr>
          <w:p w14:paraId="27555893"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XLong</w:t>
            </w:r>
          </w:p>
        </w:tc>
        <w:tc>
          <w:tcPr>
            <w:tcW w:w="0" w:type="auto"/>
            <w:vMerge w:val="restart"/>
            <w:shd w:val="clear" w:color="auto" w:fill="92D050"/>
          </w:tcPr>
          <w:p w14:paraId="1033CAB6"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YLat</w:t>
            </w:r>
          </w:p>
        </w:tc>
        <w:tc>
          <w:tcPr>
            <w:tcW w:w="0" w:type="auto"/>
            <w:vMerge w:val="restart"/>
            <w:shd w:val="clear" w:color="auto" w:fill="92D050"/>
          </w:tcPr>
          <w:p w14:paraId="2DF455CA"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ZAlt(m)</w:t>
            </w:r>
          </w:p>
        </w:tc>
        <w:tc>
          <w:tcPr>
            <w:tcW w:w="0" w:type="auto"/>
            <w:gridSpan w:val="3"/>
            <w:shd w:val="clear" w:color="auto" w:fill="92D050"/>
          </w:tcPr>
          <w:p w14:paraId="118BE1EB"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Mesure du Bruit</w:t>
            </w:r>
          </w:p>
        </w:tc>
        <w:tc>
          <w:tcPr>
            <w:tcW w:w="0" w:type="auto"/>
            <w:vMerge w:val="restart"/>
            <w:shd w:val="clear" w:color="auto" w:fill="92D050"/>
          </w:tcPr>
          <w:p w14:paraId="3E66A0B1" w14:textId="77777777" w:rsidR="00021921" w:rsidRPr="00420C1B" w:rsidRDefault="00021921" w:rsidP="00420C1B">
            <w:pPr>
              <w:spacing w:after="0" w:line="240" w:lineRule="auto"/>
              <w:jc w:val="center"/>
              <w:rPr>
                <w:rFonts w:ascii="Times New Roman" w:hAnsi="Times New Roman"/>
                <w:b/>
                <w:lang w:eastAsia="fr-FR"/>
              </w:rPr>
            </w:pPr>
            <w:r w:rsidRPr="00420C1B">
              <w:rPr>
                <w:rFonts w:ascii="Times New Roman" w:hAnsi="Times New Roman"/>
                <w:b/>
                <w:lang w:eastAsia="fr-FR"/>
              </w:rPr>
              <w:t>Evaluation</w:t>
            </w:r>
          </w:p>
        </w:tc>
      </w:tr>
      <w:tr w:rsidR="002C66D7" w:rsidRPr="00420C1B" w14:paraId="5ADE07EA" w14:textId="77777777" w:rsidTr="00420C1B">
        <w:trPr>
          <w:tblHeader/>
          <w:jc w:val="center"/>
        </w:trPr>
        <w:tc>
          <w:tcPr>
            <w:tcW w:w="409" w:type="dxa"/>
            <w:vMerge/>
            <w:shd w:val="clear" w:color="auto" w:fill="auto"/>
          </w:tcPr>
          <w:p w14:paraId="72FC0ABB" w14:textId="77777777" w:rsidR="00021921" w:rsidRPr="00420C1B" w:rsidRDefault="00021921" w:rsidP="00420C1B">
            <w:pPr>
              <w:spacing w:after="0" w:line="240" w:lineRule="auto"/>
              <w:jc w:val="both"/>
              <w:rPr>
                <w:rFonts w:ascii="Times New Roman" w:hAnsi="Times New Roman"/>
                <w:lang w:eastAsia="fr-FR"/>
              </w:rPr>
            </w:pPr>
          </w:p>
        </w:tc>
        <w:tc>
          <w:tcPr>
            <w:tcW w:w="2410" w:type="dxa"/>
            <w:vMerge/>
            <w:shd w:val="clear" w:color="auto" w:fill="auto"/>
          </w:tcPr>
          <w:p w14:paraId="4A348F69" w14:textId="77777777" w:rsidR="00021921" w:rsidRPr="00420C1B" w:rsidRDefault="00021921" w:rsidP="00420C1B">
            <w:pPr>
              <w:spacing w:after="0" w:line="240" w:lineRule="auto"/>
              <w:jc w:val="both"/>
              <w:rPr>
                <w:rFonts w:ascii="Times New Roman" w:hAnsi="Times New Roman"/>
                <w:lang w:eastAsia="fr-FR"/>
              </w:rPr>
            </w:pPr>
          </w:p>
        </w:tc>
        <w:tc>
          <w:tcPr>
            <w:tcW w:w="0" w:type="auto"/>
            <w:vMerge/>
            <w:shd w:val="clear" w:color="auto" w:fill="auto"/>
          </w:tcPr>
          <w:p w14:paraId="5D6E9A11" w14:textId="77777777" w:rsidR="00021921" w:rsidRPr="00420C1B" w:rsidRDefault="00021921" w:rsidP="00420C1B">
            <w:pPr>
              <w:spacing w:after="0" w:line="240" w:lineRule="auto"/>
              <w:jc w:val="both"/>
              <w:rPr>
                <w:rFonts w:ascii="Times New Roman" w:hAnsi="Times New Roman"/>
                <w:lang w:eastAsia="fr-FR"/>
              </w:rPr>
            </w:pPr>
          </w:p>
        </w:tc>
        <w:tc>
          <w:tcPr>
            <w:tcW w:w="0" w:type="auto"/>
            <w:vMerge/>
            <w:shd w:val="clear" w:color="auto" w:fill="auto"/>
          </w:tcPr>
          <w:p w14:paraId="77195FBB" w14:textId="77777777" w:rsidR="00021921" w:rsidRPr="00420C1B" w:rsidRDefault="00021921" w:rsidP="00420C1B">
            <w:pPr>
              <w:spacing w:after="0" w:line="240" w:lineRule="auto"/>
              <w:jc w:val="both"/>
              <w:rPr>
                <w:rFonts w:ascii="Times New Roman" w:hAnsi="Times New Roman"/>
                <w:lang w:eastAsia="fr-FR"/>
              </w:rPr>
            </w:pPr>
          </w:p>
        </w:tc>
        <w:tc>
          <w:tcPr>
            <w:tcW w:w="0" w:type="auto"/>
            <w:vMerge/>
            <w:shd w:val="clear" w:color="auto" w:fill="auto"/>
          </w:tcPr>
          <w:p w14:paraId="237A75CE" w14:textId="77777777" w:rsidR="00021921" w:rsidRPr="00420C1B" w:rsidRDefault="00021921" w:rsidP="00420C1B">
            <w:pPr>
              <w:spacing w:after="0" w:line="240" w:lineRule="auto"/>
              <w:jc w:val="both"/>
              <w:rPr>
                <w:rFonts w:ascii="Times New Roman" w:hAnsi="Times New Roman"/>
                <w:lang w:eastAsia="fr-FR"/>
              </w:rPr>
            </w:pPr>
          </w:p>
        </w:tc>
        <w:tc>
          <w:tcPr>
            <w:tcW w:w="0" w:type="auto"/>
            <w:shd w:val="clear" w:color="auto" w:fill="92D050"/>
          </w:tcPr>
          <w:p w14:paraId="2C0636D4" w14:textId="77777777" w:rsidR="00021921" w:rsidRPr="00420C1B" w:rsidRDefault="00021921" w:rsidP="00420C1B">
            <w:pPr>
              <w:spacing w:after="0" w:line="240" w:lineRule="auto"/>
              <w:jc w:val="both"/>
              <w:rPr>
                <w:rFonts w:ascii="Times New Roman" w:hAnsi="Times New Roman"/>
                <w:lang w:eastAsia="fr-FR"/>
              </w:rPr>
            </w:pPr>
            <w:r w:rsidRPr="00420C1B">
              <w:rPr>
                <w:rFonts w:ascii="Times New Roman" w:hAnsi="Times New Roman"/>
                <w:lang w:eastAsia="fr-FR"/>
              </w:rPr>
              <w:t>Minimal</w:t>
            </w:r>
          </w:p>
        </w:tc>
        <w:tc>
          <w:tcPr>
            <w:tcW w:w="0" w:type="auto"/>
            <w:shd w:val="clear" w:color="auto" w:fill="92D050"/>
          </w:tcPr>
          <w:p w14:paraId="05723870" w14:textId="77777777" w:rsidR="00021921" w:rsidRPr="00420C1B" w:rsidRDefault="00021921" w:rsidP="00420C1B">
            <w:pPr>
              <w:spacing w:after="0" w:line="240" w:lineRule="auto"/>
              <w:jc w:val="both"/>
              <w:rPr>
                <w:rFonts w:ascii="Times New Roman" w:hAnsi="Times New Roman"/>
                <w:lang w:eastAsia="fr-FR"/>
              </w:rPr>
            </w:pPr>
            <w:r w:rsidRPr="00420C1B">
              <w:rPr>
                <w:rFonts w:ascii="Times New Roman" w:hAnsi="Times New Roman"/>
                <w:lang w:eastAsia="fr-FR"/>
              </w:rPr>
              <w:t>Moyen</w:t>
            </w:r>
          </w:p>
        </w:tc>
        <w:tc>
          <w:tcPr>
            <w:tcW w:w="0" w:type="auto"/>
            <w:shd w:val="clear" w:color="auto" w:fill="92D050"/>
          </w:tcPr>
          <w:p w14:paraId="09EBD6DD" w14:textId="77777777" w:rsidR="00021921" w:rsidRPr="00420C1B" w:rsidRDefault="00021921" w:rsidP="00420C1B">
            <w:pPr>
              <w:spacing w:after="0" w:line="240" w:lineRule="auto"/>
              <w:jc w:val="both"/>
              <w:rPr>
                <w:rFonts w:ascii="Times New Roman" w:hAnsi="Times New Roman"/>
                <w:lang w:eastAsia="fr-FR"/>
              </w:rPr>
            </w:pPr>
            <w:r w:rsidRPr="00420C1B">
              <w:rPr>
                <w:rFonts w:ascii="Times New Roman" w:hAnsi="Times New Roman"/>
                <w:lang w:eastAsia="fr-FR"/>
              </w:rPr>
              <w:t>Maximal</w:t>
            </w:r>
          </w:p>
        </w:tc>
        <w:tc>
          <w:tcPr>
            <w:tcW w:w="0" w:type="auto"/>
            <w:vMerge/>
            <w:shd w:val="clear" w:color="auto" w:fill="auto"/>
          </w:tcPr>
          <w:p w14:paraId="379E9C46" w14:textId="77777777" w:rsidR="00021921" w:rsidRPr="00420C1B" w:rsidRDefault="00021921" w:rsidP="00420C1B">
            <w:pPr>
              <w:spacing w:after="0" w:line="240" w:lineRule="auto"/>
              <w:jc w:val="both"/>
              <w:rPr>
                <w:rFonts w:ascii="Times New Roman" w:hAnsi="Times New Roman"/>
                <w:lang w:eastAsia="fr-FR"/>
              </w:rPr>
            </w:pPr>
          </w:p>
        </w:tc>
      </w:tr>
      <w:tr w:rsidR="002C66D7" w:rsidRPr="00420C1B" w14:paraId="7DC1834C" w14:textId="77777777" w:rsidTr="00420C1B">
        <w:trPr>
          <w:jc w:val="center"/>
        </w:trPr>
        <w:tc>
          <w:tcPr>
            <w:tcW w:w="409" w:type="dxa"/>
            <w:shd w:val="clear" w:color="auto" w:fill="auto"/>
            <w:vAlign w:val="center"/>
          </w:tcPr>
          <w:p w14:paraId="12E277B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1</w:t>
            </w:r>
          </w:p>
        </w:tc>
        <w:tc>
          <w:tcPr>
            <w:tcW w:w="2410" w:type="dxa"/>
            <w:shd w:val="clear" w:color="auto" w:fill="auto"/>
            <w:vAlign w:val="center"/>
          </w:tcPr>
          <w:p w14:paraId="1517B44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MITENDI</w:t>
            </w:r>
          </w:p>
        </w:tc>
        <w:tc>
          <w:tcPr>
            <w:tcW w:w="0" w:type="auto"/>
            <w:shd w:val="clear" w:color="auto" w:fill="auto"/>
            <w:vAlign w:val="center"/>
          </w:tcPr>
          <w:p w14:paraId="496BA085"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523205</w:t>
            </w:r>
          </w:p>
        </w:tc>
        <w:tc>
          <w:tcPr>
            <w:tcW w:w="0" w:type="auto"/>
            <w:shd w:val="clear" w:color="auto" w:fill="auto"/>
            <w:vAlign w:val="center"/>
          </w:tcPr>
          <w:p w14:paraId="40F9E5E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9502006</w:t>
            </w:r>
          </w:p>
        </w:tc>
        <w:tc>
          <w:tcPr>
            <w:tcW w:w="0" w:type="auto"/>
            <w:shd w:val="clear" w:color="auto" w:fill="auto"/>
            <w:vAlign w:val="center"/>
          </w:tcPr>
          <w:p w14:paraId="4DF5DC15"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529</w:t>
            </w:r>
          </w:p>
        </w:tc>
        <w:tc>
          <w:tcPr>
            <w:tcW w:w="0" w:type="auto"/>
            <w:shd w:val="clear" w:color="auto" w:fill="auto"/>
            <w:vAlign w:val="center"/>
          </w:tcPr>
          <w:p w14:paraId="6C08F38F"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59</w:t>
            </w:r>
          </w:p>
        </w:tc>
        <w:tc>
          <w:tcPr>
            <w:tcW w:w="0" w:type="auto"/>
            <w:shd w:val="clear" w:color="auto" w:fill="auto"/>
            <w:vAlign w:val="center"/>
          </w:tcPr>
          <w:p w14:paraId="2E749E4D"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72</w:t>
            </w:r>
          </w:p>
        </w:tc>
        <w:tc>
          <w:tcPr>
            <w:tcW w:w="0" w:type="auto"/>
            <w:shd w:val="clear" w:color="auto" w:fill="auto"/>
            <w:vAlign w:val="center"/>
          </w:tcPr>
          <w:p w14:paraId="4AE9B26F"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79</w:t>
            </w:r>
          </w:p>
        </w:tc>
        <w:tc>
          <w:tcPr>
            <w:tcW w:w="0" w:type="auto"/>
            <w:shd w:val="clear" w:color="auto" w:fill="auto"/>
            <w:vAlign w:val="center"/>
          </w:tcPr>
          <w:p w14:paraId="026F2A9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7F93A0A6" w14:textId="77777777" w:rsidTr="00420C1B">
        <w:trPr>
          <w:jc w:val="center"/>
        </w:trPr>
        <w:tc>
          <w:tcPr>
            <w:tcW w:w="409" w:type="dxa"/>
            <w:shd w:val="clear" w:color="auto" w:fill="auto"/>
            <w:vAlign w:val="center"/>
          </w:tcPr>
          <w:p w14:paraId="03D6ED6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2</w:t>
            </w:r>
          </w:p>
        </w:tc>
        <w:tc>
          <w:tcPr>
            <w:tcW w:w="2410" w:type="dxa"/>
            <w:shd w:val="clear" w:color="auto" w:fill="auto"/>
            <w:vAlign w:val="center"/>
          </w:tcPr>
          <w:p w14:paraId="675E5D7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NGOMBA KIKUSA</w:t>
            </w:r>
          </w:p>
        </w:tc>
        <w:tc>
          <w:tcPr>
            <w:tcW w:w="0" w:type="auto"/>
            <w:shd w:val="clear" w:color="auto" w:fill="auto"/>
            <w:vAlign w:val="center"/>
          </w:tcPr>
          <w:p w14:paraId="2A3457ED"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527591</w:t>
            </w:r>
          </w:p>
        </w:tc>
        <w:tc>
          <w:tcPr>
            <w:tcW w:w="0" w:type="auto"/>
            <w:shd w:val="clear" w:color="auto" w:fill="auto"/>
            <w:vAlign w:val="center"/>
          </w:tcPr>
          <w:p w14:paraId="351DF3B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9510984</w:t>
            </w:r>
          </w:p>
        </w:tc>
        <w:tc>
          <w:tcPr>
            <w:tcW w:w="0" w:type="auto"/>
            <w:shd w:val="clear" w:color="auto" w:fill="auto"/>
            <w:vAlign w:val="center"/>
          </w:tcPr>
          <w:p w14:paraId="591AA9E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418</w:t>
            </w:r>
          </w:p>
        </w:tc>
        <w:tc>
          <w:tcPr>
            <w:tcW w:w="0" w:type="auto"/>
            <w:shd w:val="clear" w:color="auto" w:fill="auto"/>
            <w:vAlign w:val="center"/>
          </w:tcPr>
          <w:p w14:paraId="6EF53CF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46</w:t>
            </w:r>
          </w:p>
        </w:tc>
        <w:tc>
          <w:tcPr>
            <w:tcW w:w="0" w:type="auto"/>
            <w:shd w:val="clear" w:color="auto" w:fill="auto"/>
            <w:vAlign w:val="center"/>
          </w:tcPr>
          <w:p w14:paraId="5130AA1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63</w:t>
            </w:r>
          </w:p>
        </w:tc>
        <w:tc>
          <w:tcPr>
            <w:tcW w:w="0" w:type="auto"/>
            <w:shd w:val="clear" w:color="auto" w:fill="auto"/>
            <w:vAlign w:val="center"/>
          </w:tcPr>
          <w:p w14:paraId="52FA36F4"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78</w:t>
            </w:r>
          </w:p>
        </w:tc>
        <w:tc>
          <w:tcPr>
            <w:tcW w:w="0" w:type="auto"/>
            <w:shd w:val="clear" w:color="auto" w:fill="auto"/>
            <w:vAlign w:val="center"/>
          </w:tcPr>
          <w:p w14:paraId="641B1F7B"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Conversation</w:t>
            </w:r>
          </w:p>
        </w:tc>
      </w:tr>
      <w:tr w:rsidR="002C66D7" w:rsidRPr="00420C1B" w14:paraId="0732A94C" w14:textId="77777777" w:rsidTr="00420C1B">
        <w:trPr>
          <w:jc w:val="center"/>
        </w:trPr>
        <w:tc>
          <w:tcPr>
            <w:tcW w:w="409" w:type="dxa"/>
            <w:shd w:val="clear" w:color="auto" w:fill="auto"/>
            <w:vAlign w:val="center"/>
          </w:tcPr>
          <w:p w14:paraId="5D8700E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3</w:t>
            </w:r>
          </w:p>
        </w:tc>
        <w:tc>
          <w:tcPr>
            <w:tcW w:w="2410" w:type="dxa"/>
            <w:shd w:val="clear" w:color="auto" w:fill="auto"/>
            <w:vAlign w:val="center"/>
          </w:tcPr>
          <w:p w14:paraId="1F39AC4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MILLENIUM</w:t>
            </w:r>
          </w:p>
        </w:tc>
        <w:tc>
          <w:tcPr>
            <w:tcW w:w="0" w:type="auto"/>
            <w:shd w:val="clear" w:color="auto" w:fill="auto"/>
            <w:vAlign w:val="center"/>
          </w:tcPr>
          <w:p w14:paraId="0291FE6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521767</w:t>
            </w:r>
          </w:p>
        </w:tc>
        <w:tc>
          <w:tcPr>
            <w:tcW w:w="0" w:type="auto"/>
            <w:shd w:val="clear" w:color="auto" w:fill="auto"/>
            <w:vAlign w:val="center"/>
          </w:tcPr>
          <w:p w14:paraId="35D95F2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9504494</w:t>
            </w:r>
          </w:p>
        </w:tc>
        <w:tc>
          <w:tcPr>
            <w:tcW w:w="0" w:type="auto"/>
            <w:shd w:val="clear" w:color="auto" w:fill="auto"/>
            <w:vAlign w:val="center"/>
          </w:tcPr>
          <w:p w14:paraId="6F243BAD"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504</w:t>
            </w:r>
          </w:p>
        </w:tc>
        <w:tc>
          <w:tcPr>
            <w:tcW w:w="0" w:type="auto"/>
            <w:shd w:val="clear" w:color="auto" w:fill="auto"/>
            <w:vAlign w:val="center"/>
          </w:tcPr>
          <w:p w14:paraId="5C124AE4"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47</w:t>
            </w:r>
          </w:p>
        </w:tc>
        <w:tc>
          <w:tcPr>
            <w:tcW w:w="0" w:type="auto"/>
            <w:shd w:val="clear" w:color="auto" w:fill="auto"/>
            <w:vAlign w:val="center"/>
          </w:tcPr>
          <w:p w14:paraId="44CFEE2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57</w:t>
            </w:r>
          </w:p>
        </w:tc>
        <w:tc>
          <w:tcPr>
            <w:tcW w:w="0" w:type="auto"/>
            <w:shd w:val="clear" w:color="auto" w:fill="auto"/>
            <w:vAlign w:val="center"/>
          </w:tcPr>
          <w:p w14:paraId="77F072DB"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81</w:t>
            </w:r>
          </w:p>
        </w:tc>
        <w:tc>
          <w:tcPr>
            <w:tcW w:w="0" w:type="auto"/>
            <w:shd w:val="clear" w:color="auto" w:fill="auto"/>
            <w:vAlign w:val="center"/>
          </w:tcPr>
          <w:p w14:paraId="5E73453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Quiet Library</w:t>
            </w:r>
          </w:p>
        </w:tc>
      </w:tr>
      <w:tr w:rsidR="002C66D7" w:rsidRPr="00420C1B" w14:paraId="0E8EE4CD" w14:textId="77777777" w:rsidTr="00420C1B">
        <w:trPr>
          <w:jc w:val="center"/>
        </w:trPr>
        <w:tc>
          <w:tcPr>
            <w:tcW w:w="409" w:type="dxa"/>
            <w:shd w:val="clear" w:color="auto" w:fill="auto"/>
            <w:vAlign w:val="center"/>
          </w:tcPr>
          <w:p w14:paraId="3D956E1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w:t>
            </w:r>
          </w:p>
        </w:tc>
        <w:tc>
          <w:tcPr>
            <w:tcW w:w="2410" w:type="dxa"/>
            <w:shd w:val="clear" w:color="auto" w:fill="auto"/>
            <w:vAlign w:val="center"/>
          </w:tcPr>
          <w:p w14:paraId="28ACA1DA"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MITENDI MARCHE</w:t>
            </w:r>
          </w:p>
        </w:tc>
        <w:tc>
          <w:tcPr>
            <w:tcW w:w="0" w:type="auto"/>
            <w:shd w:val="clear" w:color="auto" w:fill="auto"/>
            <w:vAlign w:val="center"/>
          </w:tcPr>
          <w:p w14:paraId="01C9DE9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522748</w:t>
            </w:r>
          </w:p>
        </w:tc>
        <w:tc>
          <w:tcPr>
            <w:tcW w:w="0" w:type="auto"/>
            <w:shd w:val="clear" w:color="auto" w:fill="auto"/>
            <w:vAlign w:val="center"/>
          </w:tcPr>
          <w:p w14:paraId="386D421D"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9502514</w:t>
            </w:r>
          </w:p>
        </w:tc>
        <w:tc>
          <w:tcPr>
            <w:tcW w:w="0" w:type="auto"/>
            <w:shd w:val="clear" w:color="auto" w:fill="auto"/>
            <w:vAlign w:val="center"/>
          </w:tcPr>
          <w:p w14:paraId="528E24A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531</w:t>
            </w:r>
          </w:p>
        </w:tc>
        <w:tc>
          <w:tcPr>
            <w:tcW w:w="0" w:type="auto"/>
            <w:shd w:val="clear" w:color="auto" w:fill="auto"/>
            <w:vAlign w:val="center"/>
          </w:tcPr>
          <w:p w14:paraId="322134DF"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44</w:t>
            </w:r>
          </w:p>
        </w:tc>
        <w:tc>
          <w:tcPr>
            <w:tcW w:w="0" w:type="auto"/>
            <w:shd w:val="clear" w:color="auto" w:fill="auto"/>
            <w:vAlign w:val="center"/>
          </w:tcPr>
          <w:p w14:paraId="3EF621CF"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71</w:t>
            </w:r>
          </w:p>
        </w:tc>
        <w:tc>
          <w:tcPr>
            <w:tcW w:w="0" w:type="auto"/>
            <w:shd w:val="clear" w:color="auto" w:fill="auto"/>
            <w:vAlign w:val="center"/>
          </w:tcPr>
          <w:p w14:paraId="037BD10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78</w:t>
            </w:r>
          </w:p>
        </w:tc>
        <w:tc>
          <w:tcPr>
            <w:tcW w:w="0" w:type="auto"/>
            <w:shd w:val="clear" w:color="auto" w:fill="auto"/>
            <w:vAlign w:val="center"/>
          </w:tcPr>
          <w:p w14:paraId="400EB05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2A449E30" w14:textId="77777777" w:rsidTr="00420C1B">
        <w:trPr>
          <w:jc w:val="center"/>
        </w:trPr>
        <w:tc>
          <w:tcPr>
            <w:tcW w:w="409" w:type="dxa"/>
            <w:shd w:val="clear" w:color="auto" w:fill="auto"/>
            <w:vAlign w:val="center"/>
          </w:tcPr>
          <w:p w14:paraId="1AEC49F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w:t>
            </w:r>
          </w:p>
        </w:tc>
        <w:tc>
          <w:tcPr>
            <w:tcW w:w="2410" w:type="dxa"/>
            <w:shd w:val="clear" w:color="auto" w:fill="auto"/>
            <w:vAlign w:val="center"/>
          </w:tcPr>
          <w:p w14:paraId="75DF4D9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SNEL CITE VERTE; BASE-VIE EASE</w:t>
            </w:r>
          </w:p>
        </w:tc>
        <w:tc>
          <w:tcPr>
            <w:tcW w:w="0" w:type="auto"/>
            <w:shd w:val="clear" w:color="auto" w:fill="auto"/>
            <w:vAlign w:val="center"/>
          </w:tcPr>
          <w:p w14:paraId="12B19705"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528843</w:t>
            </w:r>
          </w:p>
        </w:tc>
        <w:tc>
          <w:tcPr>
            <w:tcW w:w="0" w:type="auto"/>
            <w:shd w:val="clear" w:color="auto" w:fill="auto"/>
            <w:vAlign w:val="center"/>
          </w:tcPr>
          <w:p w14:paraId="41FB4E9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9510050</w:t>
            </w:r>
          </w:p>
        </w:tc>
        <w:tc>
          <w:tcPr>
            <w:tcW w:w="0" w:type="auto"/>
            <w:shd w:val="clear" w:color="auto" w:fill="auto"/>
            <w:vAlign w:val="center"/>
          </w:tcPr>
          <w:p w14:paraId="6102E46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427</w:t>
            </w:r>
          </w:p>
        </w:tc>
        <w:tc>
          <w:tcPr>
            <w:tcW w:w="0" w:type="auto"/>
            <w:shd w:val="clear" w:color="auto" w:fill="auto"/>
            <w:vAlign w:val="center"/>
          </w:tcPr>
          <w:p w14:paraId="47010C5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40</w:t>
            </w:r>
          </w:p>
        </w:tc>
        <w:tc>
          <w:tcPr>
            <w:tcW w:w="0" w:type="auto"/>
            <w:shd w:val="clear" w:color="auto" w:fill="auto"/>
            <w:vAlign w:val="center"/>
          </w:tcPr>
          <w:p w14:paraId="0E429BE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71</w:t>
            </w:r>
          </w:p>
        </w:tc>
        <w:tc>
          <w:tcPr>
            <w:tcW w:w="0" w:type="auto"/>
            <w:shd w:val="clear" w:color="auto" w:fill="auto"/>
            <w:vAlign w:val="center"/>
          </w:tcPr>
          <w:p w14:paraId="2C62C46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84</w:t>
            </w:r>
          </w:p>
        </w:tc>
        <w:tc>
          <w:tcPr>
            <w:tcW w:w="0" w:type="auto"/>
            <w:shd w:val="clear" w:color="auto" w:fill="auto"/>
            <w:vAlign w:val="center"/>
          </w:tcPr>
          <w:p w14:paraId="64159010"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5EDBDB52" w14:textId="77777777" w:rsidTr="00420C1B">
        <w:trPr>
          <w:jc w:val="center"/>
        </w:trPr>
        <w:tc>
          <w:tcPr>
            <w:tcW w:w="409" w:type="dxa"/>
            <w:shd w:val="clear" w:color="auto" w:fill="auto"/>
            <w:vAlign w:val="center"/>
          </w:tcPr>
          <w:p w14:paraId="2575724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6</w:t>
            </w:r>
          </w:p>
        </w:tc>
        <w:tc>
          <w:tcPr>
            <w:tcW w:w="2410" w:type="dxa"/>
            <w:shd w:val="clear" w:color="auto" w:fill="auto"/>
            <w:vAlign w:val="center"/>
          </w:tcPr>
          <w:p w14:paraId="25ACE0C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TRIANGLE CAMPUS</w:t>
            </w:r>
          </w:p>
        </w:tc>
        <w:tc>
          <w:tcPr>
            <w:tcW w:w="0" w:type="auto"/>
            <w:shd w:val="clear" w:color="auto" w:fill="auto"/>
            <w:vAlign w:val="center"/>
          </w:tcPr>
          <w:p w14:paraId="74384932"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533981</w:t>
            </w:r>
          </w:p>
        </w:tc>
        <w:tc>
          <w:tcPr>
            <w:tcW w:w="0" w:type="auto"/>
            <w:shd w:val="clear" w:color="auto" w:fill="auto"/>
            <w:vAlign w:val="center"/>
          </w:tcPr>
          <w:p w14:paraId="2E5CFCA0"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9513801 </w:t>
            </w:r>
          </w:p>
        </w:tc>
        <w:tc>
          <w:tcPr>
            <w:tcW w:w="0" w:type="auto"/>
            <w:shd w:val="clear" w:color="auto" w:fill="auto"/>
            <w:vAlign w:val="center"/>
          </w:tcPr>
          <w:p w14:paraId="40544A89"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311</w:t>
            </w:r>
          </w:p>
        </w:tc>
        <w:tc>
          <w:tcPr>
            <w:tcW w:w="0" w:type="auto"/>
            <w:shd w:val="clear" w:color="auto" w:fill="auto"/>
            <w:vAlign w:val="center"/>
          </w:tcPr>
          <w:p w14:paraId="7CBC3D6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46</w:t>
            </w:r>
          </w:p>
        </w:tc>
        <w:tc>
          <w:tcPr>
            <w:tcW w:w="0" w:type="auto"/>
            <w:shd w:val="clear" w:color="auto" w:fill="auto"/>
            <w:vAlign w:val="center"/>
          </w:tcPr>
          <w:p w14:paraId="5C8BF414"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75</w:t>
            </w:r>
          </w:p>
        </w:tc>
        <w:tc>
          <w:tcPr>
            <w:tcW w:w="0" w:type="auto"/>
            <w:shd w:val="clear" w:color="auto" w:fill="auto"/>
            <w:vAlign w:val="center"/>
          </w:tcPr>
          <w:p w14:paraId="001F798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81</w:t>
            </w:r>
          </w:p>
        </w:tc>
        <w:tc>
          <w:tcPr>
            <w:tcW w:w="0" w:type="auto"/>
            <w:shd w:val="clear" w:color="auto" w:fill="auto"/>
            <w:vAlign w:val="center"/>
          </w:tcPr>
          <w:p w14:paraId="52854CB0"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Street</w:t>
            </w:r>
          </w:p>
        </w:tc>
      </w:tr>
      <w:tr w:rsidR="002C66D7" w:rsidRPr="00420C1B" w14:paraId="5992F431" w14:textId="77777777" w:rsidTr="00420C1B">
        <w:trPr>
          <w:jc w:val="center"/>
        </w:trPr>
        <w:tc>
          <w:tcPr>
            <w:tcW w:w="409" w:type="dxa"/>
            <w:shd w:val="clear" w:color="auto" w:fill="auto"/>
            <w:vAlign w:val="center"/>
          </w:tcPr>
          <w:p w14:paraId="3379C9C8"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w:t>
            </w:r>
          </w:p>
        </w:tc>
        <w:tc>
          <w:tcPr>
            <w:tcW w:w="2410" w:type="dxa"/>
            <w:shd w:val="clear" w:color="auto" w:fill="auto"/>
            <w:vAlign w:val="center"/>
          </w:tcPr>
          <w:p w14:paraId="623ED432"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SUKA YA MUR</w:t>
            </w:r>
          </w:p>
        </w:tc>
        <w:tc>
          <w:tcPr>
            <w:tcW w:w="0" w:type="auto"/>
            <w:shd w:val="clear" w:color="auto" w:fill="auto"/>
            <w:vAlign w:val="center"/>
          </w:tcPr>
          <w:p w14:paraId="1F5F7A80"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523934 </w:t>
            </w:r>
          </w:p>
        </w:tc>
        <w:tc>
          <w:tcPr>
            <w:tcW w:w="0" w:type="auto"/>
            <w:shd w:val="clear" w:color="auto" w:fill="auto"/>
            <w:vAlign w:val="center"/>
          </w:tcPr>
          <w:p w14:paraId="2CEB4F67"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9516587 </w:t>
            </w:r>
          </w:p>
        </w:tc>
        <w:tc>
          <w:tcPr>
            <w:tcW w:w="0" w:type="auto"/>
            <w:shd w:val="clear" w:color="auto" w:fill="auto"/>
            <w:vAlign w:val="center"/>
          </w:tcPr>
          <w:p w14:paraId="5A51E028"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309 </w:t>
            </w:r>
          </w:p>
        </w:tc>
        <w:tc>
          <w:tcPr>
            <w:tcW w:w="0" w:type="auto"/>
            <w:shd w:val="clear" w:color="auto" w:fill="auto"/>
            <w:vAlign w:val="center"/>
          </w:tcPr>
          <w:p w14:paraId="1211522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44</w:t>
            </w:r>
          </w:p>
        </w:tc>
        <w:tc>
          <w:tcPr>
            <w:tcW w:w="0" w:type="auto"/>
            <w:shd w:val="clear" w:color="auto" w:fill="auto"/>
            <w:vAlign w:val="center"/>
          </w:tcPr>
          <w:p w14:paraId="3D8939B2"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76</w:t>
            </w:r>
          </w:p>
        </w:tc>
        <w:tc>
          <w:tcPr>
            <w:tcW w:w="0" w:type="auto"/>
            <w:shd w:val="clear" w:color="auto" w:fill="auto"/>
            <w:vAlign w:val="center"/>
          </w:tcPr>
          <w:p w14:paraId="54773CDA"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85</w:t>
            </w:r>
          </w:p>
        </w:tc>
        <w:tc>
          <w:tcPr>
            <w:tcW w:w="0" w:type="auto"/>
            <w:shd w:val="clear" w:color="auto" w:fill="auto"/>
            <w:vAlign w:val="center"/>
          </w:tcPr>
          <w:p w14:paraId="7D665334"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6DD4AB10" w14:textId="77777777" w:rsidTr="00420C1B">
        <w:trPr>
          <w:jc w:val="center"/>
        </w:trPr>
        <w:tc>
          <w:tcPr>
            <w:tcW w:w="409" w:type="dxa"/>
            <w:shd w:val="clear" w:color="auto" w:fill="auto"/>
            <w:vAlign w:val="center"/>
          </w:tcPr>
          <w:p w14:paraId="75AED0D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w:t>
            </w:r>
          </w:p>
        </w:tc>
        <w:tc>
          <w:tcPr>
            <w:tcW w:w="2410" w:type="dxa"/>
            <w:shd w:val="clear" w:color="auto" w:fill="auto"/>
            <w:vAlign w:val="center"/>
          </w:tcPr>
          <w:p w14:paraId="4E8ECE8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MBUDI</w:t>
            </w:r>
          </w:p>
        </w:tc>
        <w:tc>
          <w:tcPr>
            <w:tcW w:w="0" w:type="auto"/>
            <w:shd w:val="clear" w:color="auto" w:fill="auto"/>
            <w:vAlign w:val="center"/>
          </w:tcPr>
          <w:p w14:paraId="5795E5C9"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521759 </w:t>
            </w:r>
          </w:p>
        </w:tc>
        <w:tc>
          <w:tcPr>
            <w:tcW w:w="0" w:type="auto"/>
            <w:shd w:val="clear" w:color="auto" w:fill="auto"/>
            <w:vAlign w:val="center"/>
          </w:tcPr>
          <w:p w14:paraId="2C9D3A92"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9518222 </w:t>
            </w:r>
          </w:p>
        </w:tc>
        <w:tc>
          <w:tcPr>
            <w:tcW w:w="0" w:type="auto"/>
            <w:shd w:val="clear" w:color="auto" w:fill="auto"/>
            <w:vAlign w:val="center"/>
          </w:tcPr>
          <w:p w14:paraId="26DCB1C2"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294 </w:t>
            </w:r>
          </w:p>
        </w:tc>
        <w:tc>
          <w:tcPr>
            <w:tcW w:w="0" w:type="auto"/>
            <w:shd w:val="clear" w:color="auto" w:fill="auto"/>
            <w:vAlign w:val="center"/>
          </w:tcPr>
          <w:p w14:paraId="7B9C143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46</w:t>
            </w:r>
          </w:p>
        </w:tc>
        <w:tc>
          <w:tcPr>
            <w:tcW w:w="0" w:type="auto"/>
            <w:shd w:val="clear" w:color="auto" w:fill="auto"/>
            <w:vAlign w:val="center"/>
          </w:tcPr>
          <w:p w14:paraId="2DC0CA1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80</w:t>
            </w:r>
          </w:p>
        </w:tc>
        <w:tc>
          <w:tcPr>
            <w:tcW w:w="0" w:type="auto"/>
            <w:shd w:val="clear" w:color="auto" w:fill="auto"/>
            <w:vAlign w:val="center"/>
          </w:tcPr>
          <w:p w14:paraId="58169AAB"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86</w:t>
            </w:r>
          </w:p>
        </w:tc>
        <w:tc>
          <w:tcPr>
            <w:tcW w:w="0" w:type="auto"/>
            <w:shd w:val="clear" w:color="auto" w:fill="auto"/>
            <w:vAlign w:val="center"/>
          </w:tcPr>
          <w:p w14:paraId="76386DA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Street</w:t>
            </w:r>
          </w:p>
        </w:tc>
      </w:tr>
      <w:tr w:rsidR="002C66D7" w:rsidRPr="00420C1B" w14:paraId="68131079" w14:textId="77777777" w:rsidTr="00420C1B">
        <w:trPr>
          <w:jc w:val="center"/>
        </w:trPr>
        <w:tc>
          <w:tcPr>
            <w:tcW w:w="409" w:type="dxa"/>
            <w:shd w:val="clear" w:color="auto" w:fill="auto"/>
            <w:vAlign w:val="center"/>
          </w:tcPr>
          <w:p w14:paraId="12B3729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9</w:t>
            </w:r>
          </w:p>
        </w:tc>
        <w:tc>
          <w:tcPr>
            <w:tcW w:w="2410" w:type="dxa"/>
            <w:shd w:val="clear" w:color="auto" w:fill="auto"/>
            <w:vAlign w:val="center"/>
          </w:tcPr>
          <w:p w14:paraId="093F9C05"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POMPAGE</w:t>
            </w:r>
          </w:p>
        </w:tc>
        <w:tc>
          <w:tcPr>
            <w:tcW w:w="0" w:type="auto"/>
            <w:shd w:val="clear" w:color="auto" w:fill="auto"/>
            <w:vAlign w:val="center"/>
          </w:tcPr>
          <w:p w14:paraId="68510FC8"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523059 </w:t>
            </w:r>
          </w:p>
        </w:tc>
        <w:tc>
          <w:tcPr>
            <w:tcW w:w="0" w:type="auto"/>
            <w:shd w:val="clear" w:color="auto" w:fill="auto"/>
            <w:vAlign w:val="center"/>
          </w:tcPr>
          <w:p w14:paraId="08D74CB1"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9519055 </w:t>
            </w:r>
          </w:p>
        </w:tc>
        <w:tc>
          <w:tcPr>
            <w:tcW w:w="0" w:type="auto"/>
            <w:shd w:val="clear" w:color="auto" w:fill="auto"/>
            <w:vAlign w:val="center"/>
          </w:tcPr>
          <w:p w14:paraId="46A5DE65"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442 </w:t>
            </w:r>
          </w:p>
        </w:tc>
        <w:tc>
          <w:tcPr>
            <w:tcW w:w="0" w:type="auto"/>
            <w:shd w:val="clear" w:color="auto" w:fill="auto"/>
            <w:vAlign w:val="center"/>
          </w:tcPr>
          <w:p w14:paraId="64519617"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39</w:t>
            </w:r>
          </w:p>
        </w:tc>
        <w:tc>
          <w:tcPr>
            <w:tcW w:w="0" w:type="auto"/>
            <w:shd w:val="clear" w:color="auto" w:fill="auto"/>
            <w:vAlign w:val="center"/>
          </w:tcPr>
          <w:p w14:paraId="28F7E28C"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73</w:t>
            </w:r>
          </w:p>
        </w:tc>
        <w:tc>
          <w:tcPr>
            <w:tcW w:w="0" w:type="auto"/>
            <w:shd w:val="clear" w:color="auto" w:fill="auto"/>
            <w:vAlign w:val="center"/>
          </w:tcPr>
          <w:p w14:paraId="48BAE7C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81</w:t>
            </w:r>
          </w:p>
        </w:tc>
        <w:tc>
          <w:tcPr>
            <w:tcW w:w="0" w:type="auto"/>
            <w:shd w:val="clear" w:color="auto" w:fill="auto"/>
            <w:vAlign w:val="center"/>
          </w:tcPr>
          <w:p w14:paraId="455BA69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7AB28598" w14:textId="77777777" w:rsidTr="00420C1B">
        <w:trPr>
          <w:jc w:val="center"/>
        </w:trPr>
        <w:tc>
          <w:tcPr>
            <w:tcW w:w="409" w:type="dxa"/>
            <w:shd w:val="clear" w:color="auto" w:fill="auto"/>
            <w:vAlign w:val="center"/>
          </w:tcPr>
          <w:p w14:paraId="3E6BEA7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10</w:t>
            </w:r>
          </w:p>
        </w:tc>
        <w:tc>
          <w:tcPr>
            <w:tcW w:w="2410" w:type="dxa"/>
            <w:shd w:val="clear" w:color="auto" w:fill="auto"/>
            <w:vAlign w:val="center"/>
          </w:tcPr>
          <w:p w14:paraId="4D0DCDE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CENTRE SUP. MILIT</w:t>
            </w:r>
          </w:p>
        </w:tc>
        <w:tc>
          <w:tcPr>
            <w:tcW w:w="0" w:type="auto"/>
            <w:shd w:val="clear" w:color="auto" w:fill="auto"/>
            <w:vAlign w:val="center"/>
          </w:tcPr>
          <w:p w14:paraId="25A05954"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526124 </w:t>
            </w:r>
          </w:p>
        </w:tc>
        <w:tc>
          <w:tcPr>
            <w:tcW w:w="0" w:type="auto"/>
            <w:shd w:val="clear" w:color="auto" w:fill="auto"/>
            <w:vAlign w:val="center"/>
          </w:tcPr>
          <w:p w14:paraId="138FB985"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9518827 </w:t>
            </w:r>
          </w:p>
        </w:tc>
        <w:tc>
          <w:tcPr>
            <w:tcW w:w="0" w:type="auto"/>
            <w:shd w:val="clear" w:color="auto" w:fill="auto"/>
            <w:vAlign w:val="center"/>
          </w:tcPr>
          <w:p w14:paraId="0BCCDA2B"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349 </w:t>
            </w:r>
          </w:p>
        </w:tc>
        <w:tc>
          <w:tcPr>
            <w:tcW w:w="0" w:type="auto"/>
            <w:shd w:val="clear" w:color="auto" w:fill="auto"/>
            <w:vAlign w:val="center"/>
          </w:tcPr>
          <w:p w14:paraId="4CDA5599"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42</w:t>
            </w:r>
          </w:p>
        </w:tc>
        <w:tc>
          <w:tcPr>
            <w:tcW w:w="0" w:type="auto"/>
            <w:shd w:val="clear" w:color="auto" w:fill="auto"/>
            <w:vAlign w:val="center"/>
          </w:tcPr>
          <w:p w14:paraId="6F12AE5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72</w:t>
            </w:r>
          </w:p>
        </w:tc>
        <w:tc>
          <w:tcPr>
            <w:tcW w:w="0" w:type="auto"/>
            <w:shd w:val="clear" w:color="auto" w:fill="auto"/>
            <w:vAlign w:val="center"/>
          </w:tcPr>
          <w:p w14:paraId="3AB71EB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79</w:t>
            </w:r>
          </w:p>
        </w:tc>
        <w:tc>
          <w:tcPr>
            <w:tcW w:w="0" w:type="auto"/>
            <w:shd w:val="clear" w:color="auto" w:fill="auto"/>
            <w:vAlign w:val="center"/>
          </w:tcPr>
          <w:p w14:paraId="1E21331C"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r w:rsidR="002C66D7" w:rsidRPr="00420C1B" w14:paraId="2C37ED8C" w14:textId="77777777" w:rsidTr="00420C1B">
        <w:trPr>
          <w:jc w:val="center"/>
        </w:trPr>
        <w:tc>
          <w:tcPr>
            <w:tcW w:w="409" w:type="dxa"/>
            <w:shd w:val="clear" w:color="auto" w:fill="auto"/>
            <w:vAlign w:val="center"/>
          </w:tcPr>
          <w:p w14:paraId="2DBC22EA"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11</w:t>
            </w:r>
          </w:p>
        </w:tc>
        <w:tc>
          <w:tcPr>
            <w:tcW w:w="2410" w:type="dxa"/>
            <w:shd w:val="clear" w:color="auto" w:fill="auto"/>
            <w:vAlign w:val="center"/>
          </w:tcPr>
          <w:p w14:paraId="259426E1"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DGC SALAZO</w:t>
            </w:r>
          </w:p>
        </w:tc>
        <w:tc>
          <w:tcPr>
            <w:tcW w:w="0" w:type="auto"/>
            <w:shd w:val="clear" w:color="auto" w:fill="auto"/>
            <w:vAlign w:val="center"/>
          </w:tcPr>
          <w:p w14:paraId="3FA43E3C"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528428 </w:t>
            </w:r>
          </w:p>
        </w:tc>
        <w:tc>
          <w:tcPr>
            <w:tcW w:w="0" w:type="auto"/>
            <w:shd w:val="clear" w:color="auto" w:fill="auto"/>
            <w:vAlign w:val="center"/>
          </w:tcPr>
          <w:p w14:paraId="1AF45BFD"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9520912 </w:t>
            </w:r>
          </w:p>
        </w:tc>
        <w:tc>
          <w:tcPr>
            <w:tcW w:w="0" w:type="auto"/>
            <w:shd w:val="clear" w:color="auto" w:fill="auto"/>
            <w:vAlign w:val="center"/>
          </w:tcPr>
          <w:p w14:paraId="2B79CABC" w14:textId="77777777" w:rsidR="00021921" w:rsidRPr="00420C1B" w:rsidRDefault="00021921" w:rsidP="00420C1B">
            <w:pPr>
              <w:autoSpaceDE w:val="0"/>
              <w:autoSpaceDN w:val="0"/>
              <w:adjustRightInd w:val="0"/>
              <w:spacing w:after="0" w:line="240" w:lineRule="auto"/>
              <w:rPr>
                <w:rFonts w:ascii="Times New Roman" w:hAnsi="Times New Roman"/>
                <w:color w:val="000000"/>
                <w:lang w:eastAsia="fr-FR"/>
              </w:rPr>
            </w:pPr>
            <w:r w:rsidRPr="00420C1B">
              <w:rPr>
                <w:rFonts w:ascii="Times New Roman" w:hAnsi="Times New Roman"/>
                <w:color w:val="000000"/>
                <w:lang w:eastAsia="fr-FR"/>
              </w:rPr>
              <w:t xml:space="preserve">280 </w:t>
            </w:r>
          </w:p>
        </w:tc>
        <w:tc>
          <w:tcPr>
            <w:tcW w:w="0" w:type="auto"/>
            <w:shd w:val="clear" w:color="auto" w:fill="auto"/>
            <w:vAlign w:val="center"/>
          </w:tcPr>
          <w:p w14:paraId="7A634F42"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45</w:t>
            </w:r>
          </w:p>
        </w:tc>
        <w:tc>
          <w:tcPr>
            <w:tcW w:w="0" w:type="auto"/>
            <w:shd w:val="clear" w:color="auto" w:fill="auto"/>
            <w:vAlign w:val="center"/>
          </w:tcPr>
          <w:p w14:paraId="4EE48353"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75</w:t>
            </w:r>
          </w:p>
        </w:tc>
        <w:tc>
          <w:tcPr>
            <w:tcW w:w="0" w:type="auto"/>
            <w:shd w:val="clear" w:color="auto" w:fill="auto"/>
            <w:vAlign w:val="center"/>
          </w:tcPr>
          <w:p w14:paraId="2F8ED3CE"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82</w:t>
            </w:r>
          </w:p>
        </w:tc>
        <w:tc>
          <w:tcPr>
            <w:tcW w:w="0" w:type="auto"/>
            <w:shd w:val="clear" w:color="auto" w:fill="auto"/>
            <w:vAlign w:val="center"/>
          </w:tcPr>
          <w:p w14:paraId="156058B6" w14:textId="77777777" w:rsidR="00021921" w:rsidRPr="00420C1B" w:rsidRDefault="00021921" w:rsidP="00420C1B">
            <w:pPr>
              <w:spacing w:after="0" w:line="240" w:lineRule="auto"/>
              <w:rPr>
                <w:rFonts w:ascii="Times New Roman" w:hAnsi="Times New Roman"/>
                <w:lang w:eastAsia="fr-FR"/>
              </w:rPr>
            </w:pPr>
            <w:r w:rsidRPr="00420C1B">
              <w:rPr>
                <w:rFonts w:ascii="Times New Roman" w:hAnsi="Times New Roman"/>
                <w:lang w:eastAsia="fr-FR"/>
              </w:rPr>
              <w:t>Busy Traffic</w:t>
            </w:r>
          </w:p>
        </w:tc>
      </w:tr>
    </w:tbl>
    <w:p w14:paraId="78A0ECDF" w14:textId="77777777" w:rsidR="00321506" w:rsidRPr="00420C1B" w:rsidRDefault="00321506" w:rsidP="00215867">
      <w:pPr>
        <w:spacing w:after="120" w:line="240" w:lineRule="auto"/>
        <w:jc w:val="center"/>
        <w:rPr>
          <w:i/>
          <w:iCs/>
          <w:color w:val="44546A"/>
          <w:sz w:val="24"/>
        </w:rPr>
      </w:pPr>
      <w:r w:rsidRPr="00420C1B">
        <w:rPr>
          <w:rFonts w:ascii="Times New Roman" w:hAnsi="Times New Roman"/>
          <w:color w:val="44546A"/>
          <w:sz w:val="24"/>
        </w:rPr>
        <w:t xml:space="preserve">Source : Centre des Recherches Géologiques et Minières (CRGM) </w:t>
      </w:r>
      <w:r w:rsidRPr="00E737B4">
        <w:rPr>
          <w:rStyle w:val="Emphaseintense"/>
          <w:rFonts w:ascii="Times New Roman" w:hAnsi="Times New Roman"/>
          <w:sz w:val="24"/>
        </w:rPr>
        <w:t>Juillet</w:t>
      </w:r>
      <w:r w:rsidRPr="00420C1B">
        <w:rPr>
          <w:i/>
          <w:iCs/>
          <w:color w:val="44546A"/>
          <w:sz w:val="24"/>
        </w:rPr>
        <w:t xml:space="preserve"> 2021</w:t>
      </w:r>
    </w:p>
    <w:p w14:paraId="1F6C81E4" w14:textId="77777777" w:rsidR="00A86929" w:rsidRPr="00420C1B" w:rsidRDefault="00A86929" w:rsidP="00215867">
      <w:pPr>
        <w:spacing w:after="120" w:line="240" w:lineRule="auto"/>
        <w:jc w:val="center"/>
        <w:rPr>
          <w:i/>
          <w:iCs/>
          <w:color w:val="44546A"/>
          <w:sz w:val="24"/>
        </w:rPr>
      </w:pPr>
    </w:p>
    <w:p w14:paraId="41A0A2AB" w14:textId="7F794FB4" w:rsidR="00DC33AC" w:rsidRPr="00215867" w:rsidRDefault="00DC33AC" w:rsidP="00E737B4">
      <w:pPr>
        <w:spacing w:before="120" w:after="120" w:line="240" w:lineRule="auto"/>
        <w:jc w:val="both"/>
        <w:rPr>
          <w:rFonts w:ascii="Times New Roman" w:hAnsi="Times New Roman"/>
          <w:b/>
          <w:i/>
          <w:sz w:val="24"/>
        </w:rPr>
      </w:pPr>
      <w:r w:rsidRPr="00215867">
        <w:rPr>
          <w:rFonts w:ascii="Times New Roman" w:hAnsi="Times New Roman"/>
          <w:b/>
          <w:i/>
          <w:sz w:val="24"/>
        </w:rPr>
        <w:t xml:space="preserve">Présentation </w:t>
      </w:r>
      <w:r w:rsidR="0058227D" w:rsidRPr="00215867">
        <w:rPr>
          <w:rFonts w:ascii="Times New Roman" w:hAnsi="Times New Roman"/>
          <w:b/>
          <w:i/>
          <w:sz w:val="24"/>
        </w:rPr>
        <w:t>des résultats</w:t>
      </w:r>
    </w:p>
    <w:p w14:paraId="50AC1F1F" w14:textId="77777777" w:rsidR="00021921" w:rsidRPr="00321506" w:rsidRDefault="00021921" w:rsidP="00E737B4">
      <w:pPr>
        <w:spacing w:before="120" w:after="120" w:line="240" w:lineRule="auto"/>
        <w:jc w:val="both"/>
        <w:rPr>
          <w:rFonts w:ascii="Times New Roman" w:hAnsi="Times New Roman"/>
          <w:sz w:val="24"/>
        </w:rPr>
      </w:pPr>
      <w:r w:rsidRPr="00321506">
        <w:rPr>
          <w:rFonts w:ascii="Times New Roman" w:hAnsi="Times New Roman"/>
          <w:sz w:val="24"/>
        </w:rPr>
        <w:t>Avec comme niveaux de référence : 1) 120 dB : Thunder (Tonnerre)</w:t>
      </w:r>
      <w:r w:rsidR="00321506" w:rsidRPr="00321506">
        <w:rPr>
          <w:rFonts w:ascii="Times New Roman" w:hAnsi="Times New Roman"/>
          <w:sz w:val="24"/>
        </w:rPr>
        <w:t xml:space="preserve">, </w:t>
      </w:r>
      <w:r w:rsidRPr="00321506">
        <w:rPr>
          <w:rFonts w:ascii="Times New Roman" w:hAnsi="Times New Roman"/>
          <w:sz w:val="24"/>
        </w:rPr>
        <w:t>2) 110 dB: Rock Music (Musique Rock)</w:t>
      </w:r>
      <w:r w:rsidR="00321506" w:rsidRPr="00321506">
        <w:rPr>
          <w:rFonts w:ascii="Times New Roman" w:hAnsi="Times New Roman"/>
          <w:sz w:val="24"/>
        </w:rPr>
        <w:t xml:space="preserve">, </w:t>
      </w:r>
      <w:r w:rsidRPr="00321506">
        <w:rPr>
          <w:rFonts w:ascii="Times New Roman" w:hAnsi="Times New Roman"/>
          <w:sz w:val="24"/>
        </w:rPr>
        <w:t>3) 100 dB: Subway Train (Metro)</w:t>
      </w:r>
      <w:r w:rsidR="00321506" w:rsidRPr="00321506">
        <w:rPr>
          <w:rFonts w:ascii="Times New Roman" w:hAnsi="Times New Roman"/>
          <w:sz w:val="24"/>
        </w:rPr>
        <w:t xml:space="preserve">, </w:t>
      </w:r>
      <w:r w:rsidRPr="00321506">
        <w:rPr>
          <w:rFonts w:ascii="Times New Roman" w:hAnsi="Times New Roman"/>
          <w:sz w:val="24"/>
        </w:rPr>
        <w:t>4) 90db: Factory (Usine)</w:t>
      </w:r>
      <w:r w:rsidR="00321506" w:rsidRPr="00321506">
        <w:rPr>
          <w:rFonts w:ascii="Times New Roman" w:hAnsi="Times New Roman"/>
          <w:sz w:val="24"/>
        </w:rPr>
        <w:t xml:space="preserve">, </w:t>
      </w:r>
      <w:r w:rsidRPr="00321506">
        <w:rPr>
          <w:rFonts w:ascii="Times New Roman" w:hAnsi="Times New Roman"/>
          <w:sz w:val="24"/>
        </w:rPr>
        <w:t>5) 80dB: Busy Street (Rue animée)</w:t>
      </w:r>
      <w:r w:rsidR="00321506" w:rsidRPr="00321506">
        <w:rPr>
          <w:rFonts w:ascii="Times New Roman" w:hAnsi="Times New Roman"/>
          <w:sz w:val="24"/>
        </w:rPr>
        <w:t xml:space="preserve">, </w:t>
      </w:r>
      <w:r w:rsidRPr="00321506">
        <w:rPr>
          <w:rFonts w:ascii="Times New Roman" w:hAnsi="Times New Roman"/>
          <w:sz w:val="24"/>
        </w:rPr>
        <w:t>6) 70db: Busy Traffic (Beaucoup de trafic)</w:t>
      </w:r>
      <w:r w:rsidR="00321506" w:rsidRPr="00321506">
        <w:rPr>
          <w:rFonts w:ascii="Times New Roman" w:hAnsi="Times New Roman"/>
          <w:sz w:val="24"/>
        </w:rPr>
        <w:t xml:space="preserve">, </w:t>
      </w:r>
      <w:r w:rsidRPr="00321506">
        <w:rPr>
          <w:rFonts w:ascii="Times New Roman" w:hAnsi="Times New Roman"/>
          <w:sz w:val="24"/>
        </w:rPr>
        <w:t>7) 60dB: Conversation (Conversation)</w:t>
      </w:r>
      <w:r w:rsidR="00321506" w:rsidRPr="00321506">
        <w:rPr>
          <w:rFonts w:ascii="Times New Roman" w:hAnsi="Times New Roman"/>
          <w:sz w:val="24"/>
        </w:rPr>
        <w:t xml:space="preserve">, </w:t>
      </w:r>
      <w:r w:rsidRPr="00321506">
        <w:rPr>
          <w:rFonts w:ascii="Times New Roman" w:hAnsi="Times New Roman"/>
          <w:sz w:val="24"/>
        </w:rPr>
        <w:t>8) 50dB: Quiet Library (Bibliothèque tranquille)</w:t>
      </w:r>
      <w:r w:rsidR="00321506" w:rsidRPr="00321506">
        <w:rPr>
          <w:rFonts w:ascii="Times New Roman" w:hAnsi="Times New Roman"/>
          <w:sz w:val="24"/>
        </w:rPr>
        <w:t xml:space="preserve">, </w:t>
      </w:r>
      <w:r w:rsidRPr="00321506">
        <w:rPr>
          <w:rFonts w:ascii="Times New Roman" w:hAnsi="Times New Roman"/>
          <w:sz w:val="24"/>
        </w:rPr>
        <w:t>9) 40dB: Quiet Park (Parc calme)</w:t>
      </w:r>
      <w:r w:rsidR="00321506" w:rsidRPr="00321506">
        <w:rPr>
          <w:rFonts w:ascii="Times New Roman" w:hAnsi="Times New Roman"/>
          <w:sz w:val="24"/>
        </w:rPr>
        <w:t xml:space="preserve">, </w:t>
      </w:r>
      <w:r w:rsidRPr="00321506">
        <w:rPr>
          <w:rFonts w:ascii="Times New Roman" w:hAnsi="Times New Roman"/>
          <w:sz w:val="24"/>
        </w:rPr>
        <w:t>10) 30dB: Quiet Whisper (Murmure silencieux)</w:t>
      </w:r>
      <w:r w:rsidR="00321506" w:rsidRPr="00321506">
        <w:rPr>
          <w:rFonts w:ascii="Times New Roman" w:hAnsi="Times New Roman"/>
          <w:sz w:val="24"/>
        </w:rPr>
        <w:t xml:space="preserve"> et </w:t>
      </w:r>
      <w:r w:rsidRPr="00321506">
        <w:rPr>
          <w:rFonts w:ascii="Times New Roman" w:hAnsi="Times New Roman"/>
          <w:sz w:val="24"/>
        </w:rPr>
        <w:t>11) 20dB: Leaves Fall (Chute de feuilles)</w:t>
      </w:r>
      <w:r w:rsidR="00321506" w:rsidRPr="00321506">
        <w:rPr>
          <w:rFonts w:ascii="Times New Roman" w:hAnsi="Times New Roman"/>
          <w:sz w:val="24"/>
        </w:rPr>
        <w:t>.</w:t>
      </w:r>
    </w:p>
    <w:p w14:paraId="7632C8B1" w14:textId="77777777" w:rsidR="00021921" w:rsidRPr="00321506" w:rsidRDefault="00021921" w:rsidP="00E737B4">
      <w:pPr>
        <w:spacing w:before="120" w:after="120" w:line="240" w:lineRule="auto"/>
        <w:jc w:val="both"/>
        <w:rPr>
          <w:rFonts w:ascii="Times New Roman" w:hAnsi="Times New Roman"/>
          <w:sz w:val="24"/>
        </w:rPr>
      </w:pPr>
      <w:r w:rsidRPr="00321506">
        <w:rPr>
          <w:rFonts w:ascii="Times New Roman" w:hAnsi="Times New Roman"/>
          <w:sz w:val="24"/>
        </w:rPr>
        <w:t xml:space="preserve">Nous pouvons aisément conclure en tirant la moyenne des mesures de bruit prélevées qui se situe autour de 71dB que le secteur d’implantation de la ligne MT dans le cadre du projet EASE est dans une zone de beaucoup de trafic. </w:t>
      </w:r>
    </w:p>
    <w:p w14:paraId="154A25BD" w14:textId="77777777" w:rsidR="00021921" w:rsidRPr="00321506" w:rsidRDefault="00021921" w:rsidP="00E737B4">
      <w:pPr>
        <w:spacing w:before="120" w:after="120" w:line="240" w:lineRule="auto"/>
        <w:jc w:val="both"/>
        <w:rPr>
          <w:rFonts w:ascii="Times New Roman" w:hAnsi="Times New Roman"/>
          <w:sz w:val="24"/>
        </w:rPr>
      </w:pPr>
      <w:r w:rsidRPr="00321506">
        <w:rPr>
          <w:rFonts w:ascii="Times New Roman" w:hAnsi="Times New Roman"/>
          <w:sz w:val="24"/>
        </w:rPr>
        <w:t xml:space="preserve">Cela est d’autant plus vérifiable vu la proximité de la N1 sur certains tronçons parcourus et la nature de l’agglomération qui se situe en plein Kinshasa dans des quartiers bondés de monde et fort fréquentés par des motos et véhicules de tous calibres. </w:t>
      </w:r>
    </w:p>
    <w:p w14:paraId="58968BD1" w14:textId="5D226FEE" w:rsidR="00021921" w:rsidRDefault="00021921" w:rsidP="00E737B4">
      <w:pPr>
        <w:spacing w:before="120" w:after="120" w:line="240" w:lineRule="auto"/>
        <w:jc w:val="both"/>
        <w:rPr>
          <w:rFonts w:ascii="Times New Roman" w:hAnsi="Times New Roman"/>
          <w:sz w:val="24"/>
        </w:rPr>
      </w:pPr>
      <w:r w:rsidRPr="00321506">
        <w:rPr>
          <w:rFonts w:ascii="Times New Roman" w:hAnsi="Times New Roman"/>
          <w:sz w:val="24"/>
        </w:rPr>
        <w:t>Au niveau de la base-vie à la Cité-Verte, les rotations des engins lourds peuvent influer sur le niveau sonore maximum des activités en période des travaux mais n’atteindront jamais le plafond de 120dB équivalent à des tonnerres ou à des explosions dans le cadre de minage (usage des explosifs) en carrières.</w:t>
      </w:r>
    </w:p>
    <w:p w14:paraId="6FF4182D" w14:textId="77777777" w:rsidR="00ED17F3" w:rsidRPr="00D75D2E" w:rsidRDefault="00CB0AB7" w:rsidP="00AE31F1">
      <w:pPr>
        <w:pStyle w:val="Paragraphedeliste"/>
        <w:keepNext/>
        <w:keepLines/>
        <w:numPr>
          <w:ilvl w:val="1"/>
          <w:numId w:val="54"/>
        </w:numPr>
        <w:tabs>
          <w:tab w:val="left" w:pos="851"/>
        </w:tabs>
        <w:spacing w:after="0" w:line="240" w:lineRule="auto"/>
        <w:outlineLvl w:val="1"/>
        <w:rPr>
          <w:rFonts w:ascii="Times New Roman" w:eastAsia="Times New Roman" w:hAnsi="Times New Roman"/>
          <w:b/>
          <w:sz w:val="24"/>
          <w:szCs w:val="24"/>
        </w:rPr>
      </w:pPr>
      <w:bookmarkStart w:id="461" w:name="_Toc473234582"/>
      <w:bookmarkStart w:id="462" w:name="_Toc476157494"/>
      <w:bookmarkStart w:id="463" w:name="_Toc476159214"/>
      <w:bookmarkStart w:id="464" w:name="_Toc16663478"/>
      <w:bookmarkStart w:id="465" w:name="_Toc16663652"/>
      <w:bookmarkStart w:id="466" w:name="_Toc16664897"/>
      <w:bookmarkStart w:id="467" w:name="_Toc103685640"/>
      <w:bookmarkEnd w:id="426"/>
      <w:bookmarkEnd w:id="437"/>
      <w:r w:rsidRPr="00D75D2E">
        <w:rPr>
          <w:rFonts w:ascii="Times New Roman" w:eastAsia="Times New Roman" w:hAnsi="Times New Roman"/>
          <w:b/>
          <w:sz w:val="24"/>
          <w:szCs w:val="24"/>
        </w:rPr>
        <w:t>Analyse des e</w:t>
      </w:r>
      <w:r w:rsidR="00ED17F3" w:rsidRPr="00D75D2E">
        <w:rPr>
          <w:rFonts w:ascii="Times New Roman" w:eastAsia="Times New Roman" w:hAnsi="Times New Roman"/>
          <w:b/>
          <w:sz w:val="24"/>
          <w:szCs w:val="24"/>
        </w:rPr>
        <w:t>njeux environnementaux et soci</w:t>
      </w:r>
      <w:r w:rsidRPr="00D75D2E">
        <w:rPr>
          <w:rFonts w:ascii="Times New Roman" w:eastAsia="Times New Roman" w:hAnsi="Times New Roman"/>
          <w:b/>
          <w:sz w:val="24"/>
          <w:szCs w:val="24"/>
        </w:rPr>
        <w:t>aux</w:t>
      </w:r>
      <w:bookmarkEnd w:id="461"/>
      <w:bookmarkEnd w:id="462"/>
      <w:bookmarkEnd w:id="463"/>
      <w:bookmarkEnd w:id="464"/>
      <w:bookmarkEnd w:id="465"/>
      <w:bookmarkEnd w:id="466"/>
      <w:bookmarkEnd w:id="467"/>
    </w:p>
    <w:p w14:paraId="02505F40" w14:textId="77777777" w:rsidR="00CB0AB7" w:rsidRPr="00051E1D" w:rsidRDefault="00ED17F3" w:rsidP="00E737B4">
      <w:pPr>
        <w:spacing w:before="120" w:after="120" w:line="20" w:lineRule="atLeast"/>
        <w:jc w:val="both"/>
        <w:rPr>
          <w:rFonts w:ascii="Times New Roman" w:eastAsia="TimesNewRomanPSMT" w:hAnsi="Times New Roman"/>
          <w:sz w:val="24"/>
          <w:szCs w:val="24"/>
        </w:rPr>
      </w:pPr>
      <w:r w:rsidRPr="00D75D2E">
        <w:rPr>
          <w:rFonts w:ascii="Times New Roman" w:eastAsia="TimesNewRomanPSMT" w:hAnsi="Times New Roman"/>
          <w:sz w:val="24"/>
          <w:szCs w:val="24"/>
        </w:rPr>
        <w:t xml:space="preserve">La </w:t>
      </w:r>
      <w:r w:rsidRPr="00E374F7">
        <w:rPr>
          <w:rFonts w:ascii="Times New Roman" w:eastAsia="TimesNewRomanPSMT" w:hAnsi="Times New Roman"/>
          <w:sz w:val="24"/>
          <w:szCs w:val="24"/>
        </w:rPr>
        <w:t>caractérisation et l’analyse du contexte biophysique et socio-économique de la zone d’implantation du projet a permis de déterminer les enjeux au plan socio-environnemental. Ainsi, lors de la mise</w:t>
      </w:r>
      <w:r w:rsidRPr="00051E1D">
        <w:rPr>
          <w:rFonts w:ascii="Times New Roman" w:eastAsia="TimesNewRomanPSMT" w:hAnsi="Times New Roman"/>
          <w:sz w:val="24"/>
          <w:szCs w:val="24"/>
        </w:rPr>
        <w:t xml:space="preserve"> en œuvre du projet, l’ensemble des acteurs devrait accorder une attention particulière aux enjeux environnementaux et sociaux. </w:t>
      </w:r>
    </w:p>
    <w:p w14:paraId="4B301696" w14:textId="77777777" w:rsidR="00CB0AB7" w:rsidRPr="00DF6086" w:rsidRDefault="00CB0AB7" w:rsidP="00E737B4">
      <w:pPr>
        <w:autoSpaceDE w:val="0"/>
        <w:autoSpaceDN w:val="0"/>
        <w:adjustRightInd w:val="0"/>
        <w:spacing w:before="120" w:after="120" w:line="20" w:lineRule="atLeast"/>
        <w:rPr>
          <w:rFonts w:ascii="Times New Roman" w:hAnsi="Times New Roman"/>
          <w:sz w:val="24"/>
          <w:szCs w:val="24"/>
        </w:rPr>
      </w:pPr>
      <w:r w:rsidRPr="00DF6086">
        <w:rPr>
          <w:rFonts w:ascii="Times New Roman" w:hAnsi="Times New Roman"/>
          <w:sz w:val="24"/>
          <w:szCs w:val="24"/>
        </w:rPr>
        <w:t>L’analyse du contexte environnemental et socio-économique dans la zone d’intervention du projet a permis de déterminer les enjeux suivants :</w:t>
      </w:r>
    </w:p>
    <w:p w14:paraId="64ADFD47" w14:textId="77777777" w:rsidR="00DF6086" w:rsidRPr="00DF6086" w:rsidRDefault="00DF6086" w:rsidP="00DF6086">
      <w:pPr>
        <w:numPr>
          <w:ilvl w:val="0"/>
          <w:numId w:val="137"/>
        </w:numPr>
        <w:spacing w:before="80" w:after="80" w:line="240" w:lineRule="auto"/>
        <w:ind w:left="567" w:hanging="357"/>
        <w:jc w:val="both"/>
        <w:rPr>
          <w:rFonts w:ascii="Times New Roman" w:hAnsi="Times New Roman"/>
          <w:sz w:val="24"/>
          <w:szCs w:val="24"/>
        </w:rPr>
      </w:pPr>
      <w:r w:rsidRPr="00DF6086">
        <w:rPr>
          <w:rFonts w:ascii="Times New Roman" w:hAnsi="Times New Roman"/>
          <w:sz w:val="24"/>
          <w:szCs w:val="24"/>
        </w:rPr>
        <w:t xml:space="preserve">le premier enjeu est lié à l’érosion du sol et aux inondations dans certains quartiers concernés par le sous-projet (Réhabilitation et extension des segments du réseau de distribution) qui va nécessiter des excavations et terrassements susceptibles d’entrainer  des modifications de la structure du sol. Ces excavations pendant la période de pluie peuvent conduire à des érosions. Aussi, la présence de nombreuses têtes d’érosion dans la zone du projet, menace souvent les infrastructures en place notamment des maisons d’habitation, les voies d’accès, les lignes et surtout les installations électriques existantes. L’installation des ouvrages doivent prendre en compte les mesures et les actions de leur protection contre les inondations et d’adaptation aux changements climatiques, qui consistent à réduire les émissions de gaz à effet de serre et renforcer la résilience aux effets du changement climatique. </w:t>
      </w:r>
    </w:p>
    <w:p w14:paraId="01DA89ED" w14:textId="77777777" w:rsidR="00DF6086" w:rsidRPr="00DF6086" w:rsidRDefault="00DF6086" w:rsidP="00DF6086">
      <w:pPr>
        <w:numPr>
          <w:ilvl w:val="0"/>
          <w:numId w:val="137"/>
        </w:numPr>
        <w:spacing w:before="80" w:after="80" w:line="240" w:lineRule="auto"/>
        <w:ind w:left="567" w:hanging="357"/>
        <w:jc w:val="both"/>
        <w:rPr>
          <w:rFonts w:ascii="Times New Roman" w:hAnsi="Times New Roman"/>
          <w:sz w:val="24"/>
          <w:szCs w:val="24"/>
        </w:rPr>
      </w:pPr>
      <w:r w:rsidRPr="00DF6086">
        <w:rPr>
          <w:rFonts w:ascii="Times New Roman" w:hAnsi="Times New Roman"/>
          <w:sz w:val="24"/>
          <w:szCs w:val="24"/>
        </w:rPr>
        <w:t xml:space="preserve">le deuxième enjeu est la problématique du foncier. La réalisation de nouveaux investissements pourrait nécessiter l’acquisition de terrains et conduire à des expropriations pour cause d’utilité publique. Cette éventuelle expropriation devrait se faire en impliquant les autorités administratives des ministères concernés, les responsables coutumiers et en tenant compte des textes en vigueur afin d’éviter des conflits. </w:t>
      </w:r>
    </w:p>
    <w:p w14:paraId="37EA099D" w14:textId="77777777" w:rsidR="00DF6086" w:rsidRPr="00DF6086" w:rsidRDefault="00DF6086" w:rsidP="00DF6086">
      <w:pPr>
        <w:numPr>
          <w:ilvl w:val="0"/>
          <w:numId w:val="137"/>
        </w:numPr>
        <w:spacing w:before="80" w:after="80" w:line="240" w:lineRule="auto"/>
        <w:ind w:left="567" w:hanging="357"/>
        <w:jc w:val="both"/>
        <w:rPr>
          <w:rFonts w:ascii="Times New Roman" w:hAnsi="Times New Roman"/>
          <w:sz w:val="24"/>
          <w:szCs w:val="24"/>
        </w:rPr>
      </w:pPr>
      <w:r w:rsidRPr="00DF6086">
        <w:rPr>
          <w:rFonts w:ascii="Times New Roman" w:hAnsi="Times New Roman"/>
          <w:sz w:val="24"/>
          <w:szCs w:val="24"/>
        </w:rPr>
        <w:t>le troisième enjeu est lié aux disparités entre les sexes et aux risques d’EAS/HS dans la zone du projet. Le projet doit donc contribuer à réduire cette disparité et mettre en place un plan d’action genre et les mesures idoines pour réduire ces disparités lors du recrutement du personnel du projet et dans la mise en œuvre des activités proprement dit du projet, notamment lors du raccordement des ménages bénéficiaires, les femmes chefs de ménages devront bénéficier autant que les hommes de l’électricité et ainsi que tout autres retombés du projet  ;</w:t>
      </w:r>
    </w:p>
    <w:p w14:paraId="287F8E93" w14:textId="77777777" w:rsidR="00DF6086" w:rsidRPr="00DF6086" w:rsidRDefault="00DF6086" w:rsidP="00DF6086">
      <w:pPr>
        <w:numPr>
          <w:ilvl w:val="0"/>
          <w:numId w:val="137"/>
        </w:numPr>
        <w:spacing w:before="80" w:after="80" w:line="240" w:lineRule="auto"/>
        <w:ind w:left="567" w:hanging="357"/>
        <w:jc w:val="both"/>
        <w:rPr>
          <w:rFonts w:ascii="Times New Roman" w:hAnsi="Times New Roman"/>
          <w:sz w:val="24"/>
          <w:szCs w:val="24"/>
        </w:rPr>
      </w:pPr>
      <w:r w:rsidRPr="00DF6086">
        <w:rPr>
          <w:rFonts w:ascii="Times New Roman" w:hAnsi="Times New Roman"/>
          <w:sz w:val="24"/>
          <w:szCs w:val="24"/>
        </w:rPr>
        <w:t>le quatrième enjeu est dû à la pandémie de la COVID 19 qui est présente dans la zone du projet. Le projet est donc appelé à mener des actions d’Information, d’Education et de Communication (IEC) afin que les mesures barrières adoptées par le gouvernement et l’OMS soient respectées par l’ensemble des parties prenantes au projet ;</w:t>
      </w:r>
    </w:p>
    <w:p w14:paraId="408D7345" w14:textId="77777777" w:rsidR="00DF6086" w:rsidRPr="00AE31F1" w:rsidRDefault="00DF6086" w:rsidP="00DF6086">
      <w:pPr>
        <w:numPr>
          <w:ilvl w:val="0"/>
          <w:numId w:val="137"/>
        </w:numPr>
        <w:spacing w:before="80" w:after="80" w:line="240" w:lineRule="auto"/>
        <w:ind w:left="567" w:hanging="357"/>
        <w:jc w:val="both"/>
        <w:rPr>
          <w:rFonts w:ascii="Times New Roman" w:eastAsia="Times New Roman" w:hAnsi="Times New Roman"/>
          <w:color w:val="000000"/>
          <w:sz w:val="24"/>
          <w:szCs w:val="24"/>
          <w:lang w:val="fr-CD"/>
        </w:rPr>
      </w:pPr>
      <w:r w:rsidRPr="00DF6086">
        <w:rPr>
          <w:rFonts w:ascii="Times New Roman" w:hAnsi="Times New Roman"/>
          <w:sz w:val="24"/>
          <w:szCs w:val="24"/>
        </w:rPr>
        <w:t>le cinquième enjeu est lié à la pollution des cours d’eau. L’absence d’un système adéquate de gestion des déchets amène les communautés à utiliser les cours d’eau et autres espaces comme des dépotoirs des déchets. On retrouve dans la plupart des grandes villes telles que Kinshasa, les dépôts des déchets plastiques flottant sur le lit des rivières (Funa, Binza, etc.). Le projet devra mettre en place un plan de gestion des déchets, de manière que les activités du projet ne puissent pas dégrader davantage les milieux naturels par des tas de déchets. le sixième enjeu est celui lié à l’utilisation de la main d’œuvre : le projet devra veiller à ce que les entrepreneurs favorisent le recours à la main d’œuvre locale pendant le recrutement du personnel et que le quota de 30% minimum des femmes au sein des entreprises prestataires soit respecté comme prescrit par la loi n° 15/013 du 1</w:t>
      </w:r>
      <w:r w:rsidRPr="00DF6086">
        <w:rPr>
          <w:rFonts w:ascii="Times New Roman" w:hAnsi="Times New Roman"/>
          <w:sz w:val="24"/>
          <w:szCs w:val="24"/>
          <w:vertAlign w:val="superscript"/>
        </w:rPr>
        <w:t>er</w:t>
      </w:r>
      <w:r w:rsidRPr="00DF6086">
        <w:rPr>
          <w:rFonts w:ascii="Times New Roman" w:hAnsi="Times New Roman"/>
          <w:sz w:val="24"/>
          <w:szCs w:val="24"/>
        </w:rPr>
        <w:t xml:space="preserve"> août 2015 portant modalités d’application des droits de la femme et de la parité. </w:t>
      </w:r>
    </w:p>
    <w:p w14:paraId="0D8BFE0E" w14:textId="77777777" w:rsidR="00DF6086" w:rsidRPr="00DF6086" w:rsidRDefault="00DF6086" w:rsidP="00DF6086">
      <w:pPr>
        <w:spacing w:before="120" w:after="120" w:line="240" w:lineRule="auto"/>
        <w:ind w:left="567"/>
        <w:jc w:val="both"/>
        <w:rPr>
          <w:rFonts w:ascii="Times New Roman" w:hAnsi="Times New Roman"/>
          <w:sz w:val="24"/>
          <w:szCs w:val="24"/>
        </w:rPr>
      </w:pPr>
      <w:r w:rsidRPr="00DF6086">
        <w:rPr>
          <w:rFonts w:ascii="Times New Roman" w:hAnsi="Times New Roman"/>
          <w:sz w:val="24"/>
          <w:szCs w:val="24"/>
        </w:rPr>
        <w:t>Ainsi le recrutement des ouvriers qualifiés ou non devrait se faire en privilégiant le recrutement local dans chacune des communes concernées par le projet afin d’éviter l’afflux de la main d’œuvre, pouvant conduire à des conflits sociaux;</w:t>
      </w:r>
    </w:p>
    <w:p w14:paraId="4E9E0659" w14:textId="77777777" w:rsidR="00DF6086" w:rsidRPr="00DF6086" w:rsidRDefault="00DF6086" w:rsidP="00DF6086">
      <w:pPr>
        <w:numPr>
          <w:ilvl w:val="0"/>
          <w:numId w:val="137"/>
        </w:numPr>
        <w:spacing w:before="120" w:after="120" w:line="240" w:lineRule="auto"/>
        <w:ind w:left="567" w:hanging="357"/>
        <w:jc w:val="both"/>
        <w:rPr>
          <w:rFonts w:ascii="Times New Roman" w:hAnsi="Times New Roman"/>
          <w:sz w:val="24"/>
          <w:szCs w:val="24"/>
        </w:rPr>
      </w:pPr>
      <w:r w:rsidRPr="00DF6086">
        <w:rPr>
          <w:rFonts w:ascii="Times New Roman" w:hAnsi="Times New Roman"/>
          <w:sz w:val="24"/>
          <w:szCs w:val="24"/>
        </w:rPr>
        <w:t>le septième enjeu est la réduction de la végétation et des cultures. En effet,</w:t>
      </w:r>
      <w:r w:rsidRPr="00AE31F1">
        <w:rPr>
          <w:rFonts w:ascii="Times New Roman" w:hAnsi="Times New Roman"/>
          <w:sz w:val="24"/>
          <w:szCs w:val="24"/>
        </w:rPr>
        <w:t xml:space="preserve"> </w:t>
      </w:r>
      <w:r w:rsidRPr="00DF6086">
        <w:rPr>
          <w:rFonts w:ascii="Times New Roman" w:hAnsi="Times New Roman"/>
          <w:sz w:val="24"/>
          <w:szCs w:val="24"/>
        </w:rPr>
        <w:t>de façon générale, le couvert végétal de la zone du projet est déjà fortement dégradé par les activités anthropiques. Les travaux d’électrification entraineront l’abattage et l’élagage d’environ 869 arbres dont 815 arbres privés et 354 arbres du domaine public. Ces arbres sont tous situés dans l’emprise des lignes et des cabines en phase des travaux et l’élagage en phase d’exploitation.</w:t>
      </w:r>
    </w:p>
    <w:p w14:paraId="1F666511" w14:textId="77777777" w:rsidR="00DF6086" w:rsidRPr="00DF6086" w:rsidRDefault="00DF6086" w:rsidP="00DF6086">
      <w:pPr>
        <w:numPr>
          <w:ilvl w:val="0"/>
          <w:numId w:val="137"/>
        </w:numPr>
        <w:spacing w:before="120" w:after="120" w:line="240" w:lineRule="auto"/>
        <w:ind w:left="567" w:hanging="357"/>
        <w:jc w:val="both"/>
        <w:rPr>
          <w:rFonts w:ascii="Times New Roman" w:eastAsia="Times New Roman" w:hAnsi="Times New Roman"/>
          <w:b/>
          <w:i/>
          <w:sz w:val="24"/>
          <w:szCs w:val="24"/>
          <w:lang w:eastAsia="x-none"/>
        </w:rPr>
      </w:pPr>
      <w:r w:rsidRPr="00DF6086">
        <w:rPr>
          <w:rFonts w:ascii="Times New Roman" w:hAnsi="Times New Roman"/>
          <w:sz w:val="24"/>
          <w:szCs w:val="24"/>
        </w:rPr>
        <w:t xml:space="preserve">le huitième enjeu est celui lié aux risques d’accidents (incendie, électrocution, électrisation, brûlure, chute, blessures.). En effet, la vétusté du réseau électrique, les branchements frauduleux ou illicites, les installations anarchiques, l’exposition au sol de fils électriques dénudés, le mouvement d’engins, le transport de matériels et matériaux, la situation marécageuse dans certains quartiers concernés provoquent des incendies, des brulures, des électrocutions, de diverses nuisances sonores et olfactives, etc. Le projet devra veiller à ce que la mise en œuvre de ce sous-projet puisse réduire les risques liés au courant électrique et ceux liés aux activités du chantier. </w:t>
      </w:r>
    </w:p>
    <w:p w14:paraId="364003C2" w14:textId="77777777" w:rsidR="00DF6086" w:rsidRPr="00DF6086" w:rsidRDefault="00DF6086" w:rsidP="00DF6086">
      <w:pPr>
        <w:numPr>
          <w:ilvl w:val="0"/>
          <w:numId w:val="137"/>
        </w:numPr>
        <w:spacing w:before="120" w:after="120" w:line="240" w:lineRule="auto"/>
        <w:ind w:left="567" w:hanging="357"/>
        <w:jc w:val="both"/>
        <w:rPr>
          <w:rFonts w:ascii="Times New Roman" w:eastAsia="Times New Roman" w:hAnsi="Times New Roman"/>
          <w:b/>
          <w:i/>
          <w:sz w:val="24"/>
          <w:szCs w:val="24"/>
          <w:lang w:eastAsia="x-none"/>
        </w:rPr>
      </w:pPr>
      <w:r w:rsidRPr="00DF6086">
        <w:rPr>
          <w:rFonts w:ascii="Times New Roman" w:hAnsi="Times New Roman"/>
          <w:sz w:val="24"/>
          <w:szCs w:val="24"/>
        </w:rPr>
        <w:t xml:space="preserve">Le neuvième enjeu est lié aux risques d’accidents de circulation et de la sécurité routière. </w:t>
      </w:r>
      <w:r w:rsidRPr="00DF6086">
        <w:rPr>
          <w:rFonts w:ascii="Times New Roman" w:eastAsia="Times New Roman" w:hAnsi="Times New Roman"/>
          <w:sz w:val="24"/>
          <w:szCs w:val="24"/>
          <w:lang w:eastAsia="x-none"/>
        </w:rPr>
        <w:t xml:space="preserve">Le projet devra prévoir dans les clauses du contrat des entreprises la présentation avant le début des travaux d’un plan de circulation des véhicules et engins, et du personnel, incluant les principaux itinéraires devant être utilisé dans le cadre de la mise en œuvre des activités du sous-projet, la formation du personnel et la diffusion des règles et des procédures relatives à la gestion routière. </w:t>
      </w:r>
    </w:p>
    <w:p w14:paraId="50DD075C" w14:textId="1110D752" w:rsidR="00DF6086" w:rsidRDefault="00DF6086" w:rsidP="00DF6086">
      <w:pPr>
        <w:numPr>
          <w:ilvl w:val="0"/>
          <w:numId w:val="137"/>
        </w:numPr>
        <w:spacing w:before="80" w:after="80" w:line="240" w:lineRule="auto"/>
        <w:ind w:left="567" w:hanging="357"/>
        <w:jc w:val="both"/>
        <w:rPr>
          <w:rFonts w:ascii="Times New Roman" w:hAnsi="Times New Roman"/>
          <w:sz w:val="24"/>
          <w:szCs w:val="24"/>
        </w:rPr>
      </w:pPr>
      <w:r w:rsidRPr="00DF6086">
        <w:rPr>
          <w:rFonts w:ascii="Times New Roman" w:eastAsia="Times New Roman" w:hAnsi="Times New Roman"/>
          <w:sz w:val="24"/>
          <w:szCs w:val="24"/>
          <w:lang w:eastAsia="x-none"/>
        </w:rPr>
        <w:t>Le dixième enjeu est celui lié à la gestion des déchets dangereux dans la zone du sous-projet. Le projet devra élaborer (i) un plan de gestion des déchets électroniques et électriques pour définir les conditions de stockage et de traitement des déchets émanant des activités du chantier ; et (ii) un plan de gestion des déchets dangereux permettant également de traiter les déchets tels que les fol sols pollués par les huiles diélectriques dont la filière de recyclage n’existe pas localement et les autres catégories des déchets dangereux (déchets biomédicaux, déchets toxiques, etc.).</w:t>
      </w:r>
      <w:r w:rsidRPr="00DF6086">
        <w:rPr>
          <w:rFonts w:ascii="Times New Roman" w:hAnsi="Times New Roman"/>
          <w:sz w:val="24"/>
          <w:szCs w:val="24"/>
        </w:rPr>
        <w:t xml:space="preserve"> </w:t>
      </w:r>
    </w:p>
    <w:p w14:paraId="4E2129A6" w14:textId="54CB3DE1" w:rsidR="0028058F" w:rsidRPr="00215867" w:rsidRDefault="0028058F" w:rsidP="00DF6086">
      <w:pPr>
        <w:numPr>
          <w:ilvl w:val="0"/>
          <w:numId w:val="137"/>
        </w:numPr>
        <w:spacing w:before="80" w:after="80" w:line="240" w:lineRule="auto"/>
        <w:ind w:left="567" w:hanging="357"/>
        <w:jc w:val="both"/>
        <w:rPr>
          <w:rFonts w:ascii="Times New Roman" w:eastAsia="Times New Roman" w:hAnsi="Times New Roman"/>
          <w:sz w:val="24"/>
          <w:szCs w:val="24"/>
          <w:lang w:eastAsia="x-none"/>
        </w:rPr>
      </w:pPr>
      <w:r w:rsidRPr="00215867">
        <w:rPr>
          <w:rFonts w:ascii="Times New Roman" w:eastAsia="Times New Roman" w:hAnsi="Times New Roman"/>
          <w:sz w:val="24"/>
          <w:szCs w:val="24"/>
          <w:lang w:eastAsia="x-none"/>
        </w:rPr>
        <w:t>Le dixième enjeu est celui de l’acquisition de terres, restrictions à l’utilisation de terres et réinstallation involontaire</w:t>
      </w:r>
      <w:r>
        <w:rPr>
          <w:rFonts w:ascii="Times New Roman" w:eastAsia="Times New Roman" w:hAnsi="Times New Roman"/>
          <w:sz w:val="24"/>
          <w:szCs w:val="24"/>
          <w:lang w:eastAsia="x-none"/>
        </w:rPr>
        <w:t xml:space="preserve">. Pendant la mise en œuvre du </w:t>
      </w:r>
      <w:r w:rsidR="00CC6A5F">
        <w:rPr>
          <w:rFonts w:ascii="Times New Roman" w:eastAsia="Times New Roman" w:hAnsi="Times New Roman"/>
          <w:sz w:val="24"/>
          <w:szCs w:val="24"/>
          <w:lang w:eastAsia="x-none"/>
        </w:rPr>
        <w:t>Projet (</w:t>
      </w:r>
      <w:r>
        <w:rPr>
          <w:rFonts w:ascii="Times New Roman" w:eastAsia="Times New Roman" w:hAnsi="Times New Roman"/>
          <w:sz w:val="24"/>
          <w:szCs w:val="24"/>
          <w:lang w:eastAsia="x-none"/>
        </w:rPr>
        <w:t xml:space="preserve">phase de construction), il pourra </w:t>
      </w:r>
      <w:r w:rsidRPr="00215867">
        <w:rPr>
          <w:rFonts w:ascii="Times New Roman" w:eastAsia="Times New Roman" w:hAnsi="Times New Roman"/>
          <w:sz w:val="24"/>
          <w:szCs w:val="24"/>
          <w:lang w:eastAsia="x-none"/>
        </w:rPr>
        <w:t>entraîner le</w:t>
      </w:r>
      <w:r w:rsidRPr="0028058F">
        <w:rPr>
          <w:rFonts w:ascii="Times New Roman" w:eastAsia="Times New Roman" w:hAnsi="Times New Roman"/>
          <w:sz w:val="24"/>
          <w:szCs w:val="24"/>
          <w:lang w:eastAsia="x-none"/>
        </w:rPr>
        <w:t xml:space="preserve"> déplacement physique (déménage</w:t>
      </w:r>
      <w:r w:rsidRPr="00215867">
        <w:rPr>
          <w:rFonts w:ascii="Times New Roman" w:eastAsia="Times New Roman" w:hAnsi="Times New Roman"/>
          <w:sz w:val="24"/>
          <w:szCs w:val="24"/>
          <w:lang w:eastAsia="x-none"/>
        </w:rPr>
        <w:t>ment, perte de terrain résidentiel ou de logement), le déplacement économique (pe</w:t>
      </w:r>
      <w:r w:rsidRPr="0028058F">
        <w:rPr>
          <w:rFonts w:ascii="Times New Roman" w:eastAsia="Times New Roman" w:hAnsi="Times New Roman"/>
          <w:sz w:val="24"/>
          <w:szCs w:val="24"/>
          <w:lang w:eastAsia="x-none"/>
        </w:rPr>
        <w:t>rte de terres, d’actifs ou d’ac</w:t>
      </w:r>
      <w:r w:rsidRPr="00215867">
        <w:rPr>
          <w:rFonts w:ascii="Times New Roman" w:eastAsia="Times New Roman" w:hAnsi="Times New Roman"/>
          <w:sz w:val="24"/>
          <w:szCs w:val="24"/>
          <w:lang w:eastAsia="x-none"/>
        </w:rPr>
        <w:t xml:space="preserve">cès à ces actifs, qui donne notamment lieu à une perte de source de revenus ou </w:t>
      </w:r>
      <w:r w:rsidRPr="0028058F">
        <w:rPr>
          <w:rFonts w:ascii="Times New Roman" w:eastAsia="Times New Roman" w:hAnsi="Times New Roman"/>
          <w:sz w:val="24"/>
          <w:szCs w:val="24"/>
          <w:lang w:eastAsia="x-none"/>
        </w:rPr>
        <w:t>d’autres moyens de subsistance)</w:t>
      </w:r>
      <w:r w:rsidRPr="00215867">
        <w:rPr>
          <w:rFonts w:ascii="Times New Roman" w:eastAsia="Times New Roman" w:hAnsi="Times New Roman"/>
          <w:sz w:val="24"/>
          <w:szCs w:val="24"/>
          <w:lang w:eastAsia="x-none"/>
        </w:rPr>
        <w:t xml:space="preserve">, </w:t>
      </w:r>
      <w:r w:rsidRPr="0028058F">
        <w:rPr>
          <w:rFonts w:ascii="Times New Roman" w:eastAsia="Times New Roman" w:hAnsi="Times New Roman"/>
          <w:sz w:val="24"/>
          <w:szCs w:val="24"/>
          <w:lang w:eastAsia="x-none"/>
        </w:rPr>
        <w:t>ou les deux. La</w:t>
      </w:r>
      <w:r w:rsidR="00CC6A5F" w:rsidRPr="0028058F">
        <w:rPr>
          <w:rFonts w:ascii="Times New Roman" w:eastAsia="Times New Roman" w:hAnsi="Times New Roman"/>
          <w:sz w:val="24"/>
          <w:szCs w:val="24"/>
          <w:lang w:eastAsia="x-none"/>
        </w:rPr>
        <w:t xml:space="preserve"> </w:t>
      </w:r>
      <w:r w:rsidR="00CC6A5F" w:rsidRPr="00CC6A5F">
        <w:rPr>
          <w:rFonts w:ascii="Times New Roman" w:eastAsia="Times New Roman" w:hAnsi="Times New Roman"/>
          <w:sz w:val="24"/>
          <w:szCs w:val="24"/>
          <w:lang w:eastAsia="x-none"/>
        </w:rPr>
        <w:t>« réinstallation</w:t>
      </w:r>
      <w:r w:rsidRPr="00215867">
        <w:rPr>
          <w:rFonts w:ascii="Times New Roman" w:eastAsia="Times New Roman" w:hAnsi="Times New Roman"/>
          <w:sz w:val="24"/>
          <w:szCs w:val="24"/>
          <w:lang w:eastAsia="x-none"/>
        </w:rPr>
        <w:t xml:space="preserve"> </w:t>
      </w:r>
      <w:r w:rsidR="00CC6A5F" w:rsidRPr="00CC6A5F">
        <w:rPr>
          <w:rFonts w:ascii="Times New Roman" w:eastAsia="Times New Roman" w:hAnsi="Times New Roman"/>
          <w:sz w:val="24"/>
          <w:szCs w:val="24"/>
          <w:lang w:eastAsia="x-none"/>
        </w:rPr>
        <w:t>involontaire »</w:t>
      </w:r>
      <w:r w:rsidRPr="00215867">
        <w:rPr>
          <w:rFonts w:ascii="Times New Roman" w:eastAsia="Times New Roman" w:hAnsi="Times New Roman"/>
          <w:sz w:val="24"/>
          <w:szCs w:val="24"/>
          <w:lang w:eastAsia="x-none"/>
        </w:rPr>
        <w:t xml:space="preserve"> se rapporte à ces effets. </w:t>
      </w:r>
      <w:r>
        <w:rPr>
          <w:rFonts w:ascii="Times New Roman" w:eastAsia="Times New Roman" w:hAnsi="Times New Roman"/>
          <w:sz w:val="24"/>
          <w:szCs w:val="24"/>
          <w:lang w:eastAsia="x-none"/>
        </w:rPr>
        <w:t xml:space="preserve">Un Plan d’action de Réinstallation (PAR) </w:t>
      </w:r>
      <w:r w:rsidR="008C1316">
        <w:rPr>
          <w:rFonts w:ascii="Times New Roman" w:eastAsia="Times New Roman" w:hAnsi="Times New Roman"/>
          <w:sz w:val="24"/>
          <w:szCs w:val="24"/>
          <w:lang w:eastAsia="fr-FR"/>
        </w:rPr>
        <w:t xml:space="preserve">incluant le plan de restauration </w:t>
      </w:r>
      <w:r w:rsidR="008C1316" w:rsidRPr="003448B0">
        <w:rPr>
          <w:rFonts w:ascii="Times New Roman" w:eastAsia="Times New Roman" w:hAnsi="Times New Roman"/>
          <w:sz w:val="24"/>
          <w:szCs w:val="24"/>
          <w:lang w:eastAsia="fr-FR"/>
        </w:rPr>
        <w:t>des moyens de subsistance afin de compenser la perte des activités génératrices de revenus (AGR</w:t>
      </w:r>
      <w:r w:rsidR="008C1316" w:rsidRPr="00D75D2E">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x-none"/>
        </w:rPr>
        <w:t>sera élaboré</w:t>
      </w:r>
      <w:r w:rsidR="00CC6A5F">
        <w:rPr>
          <w:rFonts w:ascii="Times New Roman" w:eastAsia="Times New Roman" w:hAnsi="Times New Roman"/>
          <w:sz w:val="24"/>
          <w:szCs w:val="24"/>
          <w:lang w:eastAsia="x-none"/>
        </w:rPr>
        <w:t xml:space="preserve"> et chaque </w:t>
      </w:r>
      <w:r w:rsidR="003F5E91">
        <w:rPr>
          <w:rFonts w:ascii="Times New Roman" w:eastAsia="Times New Roman" w:hAnsi="Times New Roman"/>
          <w:sz w:val="24"/>
          <w:szCs w:val="24"/>
          <w:lang w:eastAsia="x-none"/>
        </w:rPr>
        <w:t>personne affectée</w:t>
      </w:r>
      <w:r w:rsidR="00CC6A5F">
        <w:rPr>
          <w:rFonts w:ascii="Times New Roman" w:eastAsia="Times New Roman" w:hAnsi="Times New Roman"/>
          <w:sz w:val="24"/>
          <w:szCs w:val="24"/>
          <w:lang w:eastAsia="x-none"/>
        </w:rPr>
        <w:t xml:space="preserve"> par le projet sera indemnisée avant le début des travaux.</w:t>
      </w:r>
    </w:p>
    <w:p w14:paraId="64F08B9C" w14:textId="1E3153DD" w:rsidR="00ED17F3" w:rsidRPr="00D75D2E" w:rsidRDefault="00ED17F3" w:rsidP="00E737B4">
      <w:pPr>
        <w:spacing w:before="120" w:after="120" w:line="240" w:lineRule="auto"/>
        <w:jc w:val="both"/>
        <w:rPr>
          <w:rFonts w:ascii="Times New Roman" w:eastAsia="TimesNewRomanPSMT" w:hAnsi="Times New Roman"/>
          <w:sz w:val="24"/>
          <w:szCs w:val="24"/>
        </w:rPr>
      </w:pPr>
      <w:r w:rsidRPr="00D75D2E">
        <w:rPr>
          <w:rFonts w:ascii="Times New Roman" w:eastAsia="TimesNewRomanPSMT" w:hAnsi="Times New Roman"/>
          <w:sz w:val="24"/>
          <w:szCs w:val="24"/>
        </w:rPr>
        <w:t xml:space="preserve">La détermination et l’analyse de différents enjeux associés ont permis d’évaluer la sensibilité du milieu récepteur comme l’indique le tableau </w:t>
      </w:r>
      <w:r w:rsidR="00842F58">
        <w:rPr>
          <w:rFonts w:ascii="Times New Roman" w:eastAsia="TimesNewRomanPSMT" w:hAnsi="Times New Roman"/>
          <w:sz w:val="24"/>
          <w:szCs w:val="24"/>
        </w:rPr>
        <w:t>1</w:t>
      </w:r>
      <w:r w:rsidR="00E732DD">
        <w:rPr>
          <w:rFonts w:ascii="Times New Roman" w:eastAsia="TimesNewRomanPSMT" w:hAnsi="Times New Roman"/>
          <w:sz w:val="24"/>
          <w:szCs w:val="24"/>
        </w:rPr>
        <w:t>6</w:t>
      </w:r>
      <w:r w:rsidRPr="00D75D2E">
        <w:rPr>
          <w:rFonts w:ascii="Times New Roman" w:eastAsia="TimesNewRomanPSMT" w:hAnsi="Times New Roman"/>
          <w:sz w:val="24"/>
          <w:szCs w:val="24"/>
        </w:rPr>
        <w:t>.</w:t>
      </w:r>
    </w:p>
    <w:p w14:paraId="7B28D3E2" w14:textId="77777777" w:rsidR="00ED17F3" w:rsidRPr="00D75D2E" w:rsidRDefault="00ED17F3" w:rsidP="00ED17F3">
      <w:pPr>
        <w:pStyle w:val="Titre3"/>
        <w:suppressAutoHyphens/>
        <w:spacing w:before="0" w:line="240" w:lineRule="auto"/>
        <w:ind w:left="1440"/>
        <w:contextualSpacing/>
        <w:jc w:val="both"/>
        <w:sectPr w:rsidR="00ED17F3" w:rsidRPr="00D75D2E" w:rsidSect="00E374F7">
          <w:pgSz w:w="11906" w:h="16838"/>
          <w:pgMar w:top="1417" w:right="1133" w:bottom="1417" w:left="1418" w:header="708" w:footer="708" w:gutter="0"/>
          <w:cols w:space="708"/>
          <w:docGrid w:linePitch="360"/>
        </w:sectPr>
      </w:pPr>
      <w:bookmarkStart w:id="468" w:name="_Toc425004111"/>
      <w:bookmarkStart w:id="469" w:name="_Toc388027966"/>
      <w:bookmarkStart w:id="470" w:name="_Toc476569488"/>
    </w:p>
    <w:p w14:paraId="68557ABD" w14:textId="656B0D70" w:rsidR="00ED17F3" w:rsidRPr="00D75D2E" w:rsidRDefault="00ED17F3" w:rsidP="00A86929">
      <w:pPr>
        <w:pStyle w:val="Default"/>
        <w:keepNext/>
        <w:spacing w:after="120"/>
        <w:jc w:val="both"/>
        <w:rPr>
          <w:color w:val="auto"/>
          <w:szCs w:val="22"/>
        </w:rPr>
      </w:pPr>
      <w:bookmarkStart w:id="471" w:name="_Toc425004226"/>
      <w:bookmarkStart w:id="472" w:name="_Toc418783852"/>
      <w:bookmarkStart w:id="473" w:name="_Toc390527257"/>
      <w:bookmarkStart w:id="474" w:name="_Toc476823984"/>
      <w:bookmarkStart w:id="475" w:name="_Toc519048921"/>
      <w:bookmarkStart w:id="476" w:name="_Toc93050278"/>
      <w:bookmarkEnd w:id="468"/>
      <w:bookmarkEnd w:id="469"/>
      <w:bookmarkEnd w:id="470"/>
      <w:r w:rsidRPr="00D75D2E">
        <w:rPr>
          <w:color w:val="auto"/>
        </w:rPr>
        <w:t xml:space="preserve">Tableau </w:t>
      </w:r>
      <w:r w:rsidRPr="00D75D2E">
        <w:rPr>
          <w:color w:val="auto"/>
        </w:rPr>
        <w:fldChar w:fldCharType="begin"/>
      </w:r>
      <w:r w:rsidRPr="00D75D2E">
        <w:rPr>
          <w:color w:val="auto"/>
        </w:rPr>
        <w:instrText xml:space="preserve"> SEQ Tableau \* ARABIC </w:instrText>
      </w:r>
      <w:r w:rsidRPr="00D75D2E">
        <w:rPr>
          <w:color w:val="auto"/>
        </w:rPr>
        <w:fldChar w:fldCharType="separate"/>
      </w:r>
      <w:r w:rsidR="00A86929">
        <w:rPr>
          <w:noProof/>
          <w:color w:val="auto"/>
        </w:rPr>
        <w:t>16</w:t>
      </w:r>
      <w:r w:rsidRPr="00D75D2E">
        <w:rPr>
          <w:noProof/>
          <w:color w:val="auto"/>
        </w:rPr>
        <w:fldChar w:fldCharType="end"/>
      </w:r>
      <w:r w:rsidRPr="00D75D2E">
        <w:rPr>
          <w:color w:val="auto"/>
        </w:rPr>
        <w:t> </w:t>
      </w:r>
      <w:bookmarkEnd w:id="471"/>
      <w:bookmarkEnd w:id="472"/>
      <w:bookmarkEnd w:id="473"/>
      <w:r w:rsidRPr="00D75D2E">
        <w:rPr>
          <w:color w:val="auto"/>
        </w:rPr>
        <w:t xml:space="preserve">: </w:t>
      </w:r>
      <w:r w:rsidR="00B446D4" w:rsidRPr="00D75D2E">
        <w:rPr>
          <w:color w:val="auto"/>
        </w:rPr>
        <w:t xml:space="preserve">Illustration de quelques </w:t>
      </w:r>
      <w:r w:rsidRPr="00D75D2E">
        <w:rPr>
          <w:color w:val="auto"/>
        </w:rPr>
        <w:t>e</w:t>
      </w:r>
      <w:r w:rsidRPr="00D75D2E">
        <w:rPr>
          <w:color w:val="auto"/>
          <w:szCs w:val="22"/>
        </w:rPr>
        <w:t xml:space="preserve">njeux </w:t>
      </w:r>
      <w:r w:rsidR="00A74378" w:rsidRPr="00D75D2E">
        <w:rPr>
          <w:color w:val="auto"/>
          <w:szCs w:val="22"/>
        </w:rPr>
        <w:t xml:space="preserve">environnementaux et sociaux </w:t>
      </w:r>
      <w:r w:rsidRPr="00D75D2E">
        <w:rPr>
          <w:color w:val="auto"/>
          <w:szCs w:val="22"/>
        </w:rPr>
        <w:t>identifiés</w:t>
      </w:r>
      <w:bookmarkEnd w:id="474"/>
      <w:bookmarkEnd w:id="475"/>
      <w:bookmarkEnd w:id="476"/>
    </w:p>
    <w:tbl>
      <w:tblPr>
        <w:tblW w:w="15738"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836"/>
        <w:gridCol w:w="6378"/>
        <w:gridCol w:w="1276"/>
        <w:gridCol w:w="5248"/>
      </w:tblGrid>
      <w:tr w:rsidR="00D75D2E" w:rsidRPr="00420C1B" w14:paraId="58607B25" w14:textId="77777777" w:rsidTr="00215867">
        <w:trPr>
          <w:trHeight w:val="66"/>
          <w:tblHeader/>
        </w:trPr>
        <w:tc>
          <w:tcPr>
            <w:tcW w:w="283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32528565" w14:textId="77777777" w:rsidR="00ED17F3" w:rsidRPr="00420C1B" w:rsidRDefault="00ED17F3" w:rsidP="00A864C4">
            <w:pPr>
              <w:spacing w:after="0" w:line="240" w:lineRule="auto"/>
              <w:jc w:val="center"/>
              <w:rPr>
                <w:rFonts w:ascii="Times New Roman" w:hAnsi="Times New Roman"/>
                <w:b/>
              </w:rPr>
            </w:pPr>
            <w:r w:rsidRPr="00420C1B">
              <w:rPr>
                <w:rFonts w:ascii="Times New Roman" w:hAnsi="Times New Roman"/>
                <w:b/>
              </w:rPr>
              <w:t>Enjeux</w:t>
            </w:r>
          </w:p>
        </w:tc>
        <w:tc>
          <w:tcPr>
            <w:tcW w:w="6378"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22D43A47" w14:textId="77777777" w:rsidR="00ED17F3" w:rsidRPr="00420C1B" w:rsidRDefault="00ED17F3" w:rsidP="00A864C4">
            <w:pPr>
              <w:spacing w:after="0" w:line="240" w:lineRule="auto"/>
              <w:jc w:val="center"/>
              <w:rPr>
                <w:rFonts w:ascii="Times New Roman" w:hAnsi="Times New Roman"/>
                <w:b/>
              </w:rPr>
            </w:pPr>
            <w:r w:rsidRPr="00420C1B">
              <w:rPr>
                <w:rFonts w:ascii="Times New Roman" w:hAnsi="Times New Roman"/>
                <w:b/>
              </w:rPr>
              <w:t>Description</w:t>
            </w:r>
          </w:p>
        </w:tc>
        <w:tc>
          <w:tcPr>
            <w:tcW w:w="1276"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42CC6D51" w14:textId="77777777" w:rsidR="00ED17F3" w:rsidRPr="00420C1B" w:rsidRDefault="00ED17F3" w:rsidP="00A864C4">
            <w:pPr>
              <w:spacing w:after="0" w:line="240" w:lineRule="auto"/>
              <w:jc w:val="center"/>
              <w:rPr>
                <w:rFonts w:ascii="Times New Roman" w:hAnsi="Times New Roman"/>
                <w:b/>
              </w:rPr>
            </w:pPr>
            <w:r w:rsidRPr="00420C1B">
              <w:rPr>
                <w:rFonts w:ascii="Times New Roman" w:hAnsi="Times New Roman"/>
                <w:b/>
              </w:rPr>
              <w:t>Niveau de sensibilité</w:t>
            </w:r>
          </w:p>
        </w:tc>
        <w:tc>
          <w:tcPr>
            <w:tcW w:w="5248" w:type="dxa"/>
            <w:tcBorders>
              <w:top w:val="single" w:sz="4" w:space="0" w:color="00000A"/>
              <w:left w:val="single" w:sz="4" w:space="0" w:color="00000A"/>
              <w:bottom w:val="single" w:sz="4" w:space="0" w:color="00000A"/>
              <w:right w:val="single" w:sz="4" w:space="0" w:color="00000A"/>
            </w:tcBorders>
            <w:shd w:val="clear" w:color="auto" w:fill="92D050"/>
            <w:vAlign w:val="center"/>
          </w:tcPr>
          <w:p w14:paraId="378A86C1" w14:textId="77777777" w:rsidR="00ED17F3" w:rsidRPr="00420C1B" w:rsidRDefault="00ED17F3" w:rsidP="00A864C4">
            <w:pPr>
              <w:spacing w:after="0" w:line="240" w:lineRule="auto"/>
              <w:jc w:val="center"/>
              <w:rPr>
                <w:rFonts w:ascii="Times New Roman" w:hAnsi="Times New Roman"/>
                <w:b/>
              </w:rPr>
            </w:pPr>
            <w:r w:rsidRPr="00420C1B">
              <w:rPr>
                <w:rFonts w:ascii="Times New Roman" w:hAnsi="Times New Roman"/>
                <w:b/>
              </w:rPr>
              <w:t>Photos illustratives</w:t>
            </w:r>
          </w:p>
        </w:tc>
      </w:tr>
      <w:tr w:rsidR="00D75D2E" w:rsidRPr="00420C1B" w14:paraId="109E70F5" w14:textId="77777777" w:rsidTr="00027C94">
        <w:trPr>
          <w:trHeight w:val="66"/>
        </w:trPr>
        <w:tc>
          <w:tcPr>
            <w:tcW w:w="15738"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8611CE7" w14:textId="77777777" w:rsidR="00ED17F3" w:rsidRPr="00420C1B" w:rsidRDefault="00ED17F3" w:rsidP="007108ED">
            <w:pPr>
              <w:spacing w:after="0" w:line="240" w:lineRule="auto"/>
              <w:rPr>
                <w:rFonts w:ascii="Times New Roman" w:hAnsi="Times New Roman"/>
                <w:b/>
              </w:rPr>
            </w:pPr>
            <w:r w:rsidRPr="00420C1B">
              <w:rPr>
                <w:rFonts w:ascii="Times New Roman" w:hAnsi="Times New Roman"/>
                <w:b/>
              </w:rPr>
              <w:t>Enjeux environnementaux</w:t>
            </w:r>
          </w:p>
        </w:tc>
      </w:tr>
      <w:tr w:rsidR="00D75D2E" w:rsidRPr="00420C1B" w14:paraId="2E94F2AE" w14:textId="77777777" w:rsidTr="00AE61CE">
        <w:trPr>
          <w:trHeight w:val="2953"/>
        </w:trPr>
        <w:tc>
          <w:tcPr>
            <w:tcW w:w="2836" w:type="dxa"/>
            <w:tcBorders>
              <w:top w:val="single" w:sz="4" w:space="0" w:color="00000A"/>
              <w:left w:val="single" w:sz="4" w:space="0" w:color="00000A"/>
              <w:right w:val="single" w:sz="4" w:space="0" w:color="00000A"/>
            </w:tcBorders>
            <w:shd w:val="clear" w:color="auto" w:fill="FFFFFF"/>
            <w:tcMar>
              <w:left w:w="108" w:type="dxa"/>
            </w:tcMar>
            <w:vAlign w:val="center"/>
          </w:tcPr>
          <w:p w14:paraId="296032D5" w14:textId="77777777" w:rsidR="00ED17F3" w:rsidRPr="00420C1B" w:rsidRDefault="00ED17F3" w:rsidP="007108ED">
            <w:pPr>
              <w:spacing w:after="0" w:line="240" w:lineRule="auto"/>
              <w:jc w:val="both"/>
              <w:rPr>
                <w:rFonts w:ascii="Times New Roman" w:hAnsi="Times New Roman"/>
              </w:rPr>
            </w:pPr>
            <w:bookmarkStart w:id="477" w:name="_Hlk518740730"/>
          </w:p>
          <w:p w14:paraId="6A8AE852" w14:textId="77777777" w:rsidR="00ED17F3" w:rsidRPr="00420C1B" w:rsidRDefault="002723D3" w:rsidP="007108ED">
            <w:pPr>
              <w:spacing w:after="0" w:line="240" w:lineRule="auto"/>
              <w:jc w:val="both"/>
              <w:rPr>
                <w:rFonts w:ascii="Times New Roman" w:hAnsi="Times New Roman"/>
              </w:rPr>
            </w:pPr>
            <w:r w:rsidRPr="00420C1B">
              <w:rPr>
                <w:rFonts w:ascii="Times New Roman" w:hAnsi="Times New Roman"/>
              </w:rPr>
              <w:t>L’érosion avec ses</w:t>
            </w:r>
            <w:r w:rsidR="00ED17F3" w:rsidRPr="00420C1B">
              <w:rPr>
                <w:rFonts w:ascii="Times New Roman" w:hAnsi="Times New Roman"/>
              </w:rPr>
              <w:t xml:space="preserve"> corol</w:t>
            </w:r>
            <w:r w:rsidRPr="00420C1B">
              <w:rPr>
                <w:rFonts w:ascii="Times New Roman" w:hAnsi="Times New Roman"/>
              </w:rPr>
              <w:t>l</w:t>
            </w:r>
            <w:r w:rsidR="00ED17F3" w:rsidRPr="00420C1B">
              <w:rPr>
                <w:rFonts w:ascii="Times New Roman" w:hAnsi="Times New Roman"/>
              </w:rPr>
              <w:t>aire</w:t>
            </w:r>
            <w:r w:rsidRPr="00420C1B">
              <w:rPr>
                <w:rFonts w:ascii="Times New Roman" w:hAnsi="Times New Roman"/>
              </w:rPr>
              <w:t>s d’</w:t>
            </w:r>
            <w:r w:rsidR="00ED17F3" w:rsidRPr="00420C1B">
              <w:rPr>
                <w:rFonts w:ascii="Times New Roman" w:hAnsi="Times New Roman"/>
              </w:rPr>
              <w:t xml:space="preserve">éboulements </w:t>
            </w:r>
            <w:bookmarkEnd w:id="477"/>
            <w:r w:rsidRPr="00420C1B">
              <w:rPr>
                <w:rFonts w:ascii="Times New Roman" w:hAnsi="Times New Roman"/>
              </w:rPr>
              <w:t>et</w:t>
            </w:r>
            <w:r w:rsidR="00ED17F3" w:rsidRPr="00420C1B">
              <w:rPr>
                <w:rFonts w:ascii="Times New Roman" w:hAnsi="Times New Roman"/>
              </w:rPr>
              <w:t xml:space="preserve"> dégradation du sol</w:t>
            </w:r>
          </w:p>
        </w:tc>
        <w:tc>
          <w:tcPr>
            <w:tcW w:w="6378" w:type="dxa"/>
            <w:tcBorders>
              <w:top w:val="single" w:sz="4" w:space="0" w:color="00000A"/>
              <w:left w:val="single" w:sz="4" w:space="0" w:color="00000A"/>
              <w:right w:val="single" w:sz="4" w:space="0" w:color="00000A"/>
            </w:tcBorders>
            <w:shd w:val="clear" w:color="auto" w:fill="FFFFFF"/>
            <w:tcMar>
              <w:left w:w="108" w:type="dxa"/>
            </w:tcMar>
            <w:vAlign w:val="center"/>
          </w:tcPr>
          <w:p w14:paraId="6DFF94E9" w14:textId="77777777" w:rsidR="00ED17F3" w:rsidRPr="00420C1B" w:rsidRDefault="00DA45DA" w:rsidP="007108ED">
            <w:pPr>
              <w:spacing w:after="0" w:line="240" w:lineRule="auto"/>
              <w:jc w:val="both"/>
              <w:rPr>
                <w:rFonts w:ascii="Times New Roman" w:hAnsi="Times New Roman"/>
              </w:rPr>
            </w:pPr>
            <w:r w:rsidRPr="00420C1B">
              <w:rPr>
                <w:rFonts w:ascii="Times New Roman" w:hAnsi="Times New Roman"/>
              </w:rPr>
              <w:t xml:space="preserve">Les visites de terrain ont permis de constater que les communes concernées par le </w:t>
            </w:r>
            <w:r w:rsidR="00FA337E" w:rsidRPr="00420C1B">
              <w:rPr>
                <w:rFonts w:ascii="Times New Roman" w:hAnsi="Times New Roman"/>
              </w:rPr>
              <w:t xml:space="preserve">sous </w:t>
            </w:r>
            <w:r w:rsidRPr="00420C1B">
              <w:rPr>
                <w:rFonts w:ascii="Times New Roman" w:hAnsi="Times New Roman"/>
              </w:rPr>
              <w:t xml:space="preserve">projet présentent des sols sablonneux fortement exposés aux risques d’érosion et d’inondation. Cette situation menace souvent les infrastructures en place notamment des maisons d’habitations, des voies d’accès, les ligneux et surtout les installations électriques </w:t>
            </w:r>
            <w:r w:rsidR="00A64AD3" w:rsidRPr="00420C1B">
              <w:rPr>
                <w:rFonts w:ascii="Times New Roman" w:hAnsi="Times New Roman"/>
              </w:rPr>
              <w:t>existantes. Cependant</w:t>
            </w:r>
            <w:r w:rsidRPr="00420C1B">
              <w:rPr>
                <w:rFonts w:ascii="Times New Roman" w:hAnsi="Times New Roman"/>
              </w:rPr>
              <w:t xml:space="preserve"> on note la pratique de la promotion de certaines techniques de stabilisation par les populations riveraines. Il s’agit notamment de la stabilisation des sols par des sacs de sables, de la plantation d’espèces végétales adaptées</w:t>
            </w:r>
            <w:r w:rsidR="00445E09" w:rsidRPr="00420C1B">
              <w:rPr>
                <w:rFonts w:ascii="Times New Roman" w:hAnsi="Times New Roman"/>
              </w:rPr>
              <w:t xml:space="preserve"> comme le bambou.</w:t>
            </w:r>
          </w:p>
        </w:tc>
        <w:tc>
          <w:tcPr>
            <w:tcW w:w="1276" w:type="dxa"/>
            <w:tcBorders>
              <w:top w:val="single" w:sz="4" w:space="0" w:color="00000A"/>
              <w:left w:val="single" w:sz="4" w:space="0" w:color="00000A"/>
              <w:right w:val="single" w:sz="4" w:space="0" w:color="00000A"/>
            </w:tcBorders>
            <w:shd w:val="clear" w:color="auto" w:fill="FFFFFF"/>
            <w:tcMar>
              <w:left w:w="108" w:type="dxa"/>
            </w:tcMar>
            <w:vAlign w:val="center"/>
          </w:tcPr>
          <w:p w14:paraId="0100A9E8" w14:textId="77777777" w:rsidR="00ED17F3" w:rsidRPr="00420C1B" w:rsidRDefault="00ED17F3" w:rsidP="007108ED">
            <w:pPr>
              <w:spacing w:after="0" w:line="240" w:lineRule="auto"/>
              <w:jc w:val="center"/>
              <w:rPr>
                <w:rFonts w:ascii="Times New Roman" w:hAnsi="Times New Roman"/>
                <w:b/>
              </w:rPr>
            </w:pPr>
            <w:r w:rsidRPr="00420C1B">
              <w:rPr>
                <w:rFonts w:ascii="Times New Roman" w:hAnsi="Times New Roman"/>
                <w:b/>
              </w:rPr>
              <w:t>Fort</w:t>
            </w:r>
          </w:p>
        </w:tc>
        <w:tc>
          <w:tcPr>
            <w:tcW w:w="5248" w:type="dxa"/>
            <w:tcBorders>
              <w:top w:val="single" w:sz="4" w:space="0" w:color="00000A"/>
              <w:left w:val="single" w:sz="4" w:space="0" w:color="00000A"/>
              <w:bottom w:val="single" w:sz="4" w:space="0" w:color="00000A"/>
              <w:right w:val="single" w:sz="4" w:space="0" w:color="00000A"/>
            </w:tcBorders>
            <w:shd w:val="clear" w:color="auto" w:fill="FFFFFF"/>
          </w:tcPr>
          <w:tbl>
            <w:tblPr>
              <w:tblW w:w="5147" w:type="dxa"/>
              <w:tblLayout w:type="fixed"/>
              <w:tblLook w:val="04A0" w:firstRow="1" w:lastRow="0" w:firstColumn="1" w:lastColumn="0" w:noHBand="0" w:noVBand="1"/>
            </w:tblPr>
            <w:tblGrid>
              <w:gridCol w:w="2573"/>
              <w:gridCol w:w="2574"/>
            </w:tblGrid>
            <w:tr w:rsidR="00D75D2E" w:rsidRPr="00420C1B" w14:paraId="3760B599" w14:textId="77777777" w:rsidTr="00420C1B">
              <w:trPr>
                <w:trHeight w:val="2665"/>
              </w:trPr>
              <w:tc>
                <w:tcPr>
                  <w:tcW w:w="2573" w:type="dxa"/>
                  <w:shd w:val="clear" w:color="auto" w:fill="auto"/>
                </w:tcPr>
                <w:p w14:paraId="1182D51E" w14:textId="38F62648" w:rsidR="00A74378" w:rsidRPr="00420C1B" w:rsidRDefault="002C66D7" w:rsidP="00420C1B">
                  <w:pPr>
                    <w:keepNext/>
                    <w:spacing w:after="0" w:line="240" w:lineRule="auto"/>
                  </w:pPr>
                  <w:r w:rsidRPr="00EC5A8E">
                    <w:rPr>
                      <w:noProof/>
                      <w:lang w:eastAsia="fr-FR"/>
                    </w:rPr>
                    <w:drawing>
                      <wp:inline distT="0" distB="0" distL="0" distR="0" wp14:anchorId="2C91B00D" wp14:editId="215AF1AC">
                        <wp:extent cx="1581150" cy="1828800"/>
                        <wp:effectExtent l="0" t="0" r="0" b="0"/>
                        <wp:docPr id="36"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1150" cy="1828800"/>
                                </a:xfrm>
                                <a:prstGeom prst="rect">
                                  <a:avLst/>
                                </a:prstGeom>
                                <a:noFill/>
                                <a:ln>
                                  <a:noFill/>
                                </a:ln>
                              </pic:spPr>
                            </pic:pic>
                          </a:graphicData>
                        </a:graphic>
                      </wp:inline>
                    </w:drawing>
                  </w:r>
                </w:p>
                <w:p w14:paraId="63369D57" w14:textId="347F8EE3" w:rsidR="00F100EE" w:rsidRPr="00420C1B" w:rsidRDefault="00A74378" w:rsidP="00420C1B">
                  <w:pPr>
                    <w:pStyle w:val="Lgende"/>
                    <w:spacing w:after="0"/>
                    <w:rPr>
                      <w:color w:val="auto"/>
                      <w:sz w:val="16"/>
                      <w:szCs w:val="16"/>
                    </w:rPr>
                  </w:pPr>
                  <w:bookmarkStart w:id="478" w:name="_Toc93050576"/>
                  <w:r w:rsidRPr="00420C1B">
                    <w:rPr>
                      <w:color w:val="auto"/>
                      <w:sz w:val="16"/>
                      <w:szCs w:val="16"/>
                    </w:rPr>
                    <w:t xml:space="preserve">Photo </w:t>
                  </w:r>
                  <w:r w:rsidR="00F2116E" w:rsidRPr="00420C1B">
                    <w:rPr>
                      <w:noProof/>
                      <w:color w:val="auto"/>
                      <w:sz w:val="16"/>
                      <w:szCs w:val="16"/>
                    </w:rPr>
                    <w:fldChar w:fldCharType="begin"/>
                  </w:r>
                  <w:r w:rsidR="00F2116E" w:rsidRPr="00420C1B">
                    <w:rPr>
                      <w:noProof/>
                      <w:color w:val="auto"/>
                      <w:sz w:val="16"/>
                      <w:szCs w:val="16"/>
                    </w:rPr>
                    <w:instrText xml:space="preserve"> SEQ Photo \* ARABIC </w:instrText>
                  </w:r>
                  <w:r w:rsidR="00F2116E" w:rsidRPr="00420C1B">
                    <w:rPr>
                      <w:noProof/>
                      <w:color w:val="auto"/>
                      <w:sz w:val="16"/>
                      <w:szCs w:val="16"/>
                    </w:rPr>
                    <w:fldChar w:fldCharType="separate"/>
                  </w:r>
                  <w:r w:rsidR="000F2319" w:rsidRPr="00420C1B">
                    <w:rPr>
                      <w:noProof/>
                      <w:color w:val="auto"/>
                      <w:sz w:val="16"/>
                      <w:szCs w:val="16"/>
                    </w:rPr>
                    <w:t>1</w:t>
                  </w:r>
                  <w:r w:rsidR="00F2116E" w:rsidRPr="00420C1B">
                    <w:rPr>
                      <w:noProof/>
                      <w:color w:val="auto"/>
                      <w:sz w:val="16"/>
                      <w:szCs w:val="16"/>
                    </w:rPr>
                    <w:fldChar w:fldCharType="end"/>
                  </w:r>
                  <w:r w:rsidRPr="00420C1B">
                    <w:rPr>
                      <w:color w:val="auto"/>
                      <w:sz w:val="16"/>
                      <w:szCs w:val="16"/>
                    </w:rPr>
                    <w:t xml:space="preserve">: Zone d'éboulement dans la commune de </w:t>
                  </w:r>
                  <w:r w:rsidR="00FA337E" w:rsidRPr="00420C1B">
                    <w:rPr>
                      <w:color w:val="auto"/>
                      <w:sz w:val="16"/>
                      <w:szCs w:val="16"/>
                    </w:rPr>
                    <w:t>Mont - Ngafula</w:t>
                  </w:r>
                  <w:bookmarkEnd w:id="478"/>
                </w:p>
              </w:tc>
              <w:tc>
                <w:tcPr>
                  <w:tcW w:w="2574" w:type="dxa"/>
                  <w:shd w:val="clear" w:color="auto" w:fill="auto"/>
                </w:tcPr>
                <w:p w14:paraId="413EF5D9" w14:textId="3F6F1197" w:rsidR="00A74378" w:rsidRPr="00420C1B" w:rsidRDefault="002C66D7" w:rsidP="00420C1B">
                  <w:pPr>
                    <w:keepNext/>
                    <w:spacing w:after="0" w:line="240" w:lineRule="auto"/>
                  </w:pPr>
                  <w:r w:rsidRPr="00EC5A8E">
                    <w:rPr>
                      <w:noProof/>
                      <w:lang w:eastAsia="fr-FR"/>
                    </w:rPr>
                    <w:drawing>
                      <wp:inline distT="0" distB="0" distL="0" distR="0" wp14:anchorId="6366198A" wp14:editId="6B3DDDB3">
                        <wp:extent cx="1495425" cy="1800225"/>
                        <wp:effectExtent l="0" t="0" r="9525" b="9525"/>
                        <wp:docPr id="35"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95425" cy="1800225"/>
                                </a:xfrm>
                                <a:prstGeom prst="rect">
                                  <a:avLst/>
                                </a:prstGeom>
                                <a:noFill/>
                                <a:ln>
                                  <a:noFill/>
                                </a:ln>
                              </pic:spPr>
                            </pic:pic>
                          </a:graphicData>
                        </a:graphic>
                      </wp:inline>
                    </w:drawing>
                  </w:r>
                </w:p>
                <w:p w14:paraId="276A62E5" w14:textId="663F9B75" w:rsidR="00F100EE" w:rsidRPr="00420C1B" w:rsidRDefault="00A74378" w:rsidP="00420C1B">
                  <w:pPr>
                    <w:pStyle w:val="Lgende"/>
                    <w:spacing w:after="0"/>
                    <w:rPr>
                      <w:color w:val="auto"/>
                    </w:rPr>
                  </w:pPr>
                  <w:bookmarkStart w:id="479" w:name="_Toc93050577"/>
                  <w:r w:rsidRPr="00420C1B">
                    <w:rPr>
                      <w:color w:val="auto"/>
                      <w:sz w:val="16"/>
                      <w:szCs w:val="16"/>
                    </w:rPr>
                    <w:t xml:space="preserve">Photo </w:t>
                  </w:r>
                  <w:r w:rsidR="00F2116E" w:rsidRPr="00420C1B">
                    <w:rPr>
                      <w:color w:val="auto"/>
                      <w:sz w:val="16"/>
                      <w:szCs w:val="16"/>
                    </w:rPr>
                    <w:fldChar w:fldCharType="begin"/>
                  </w:r>
                  <w:r w:rsidR="00F2116E" w:rsidRPr="00420C1B">
                    <w:rPr>
                      <w:color w:val="auto"/>
                      <w:sz w:val="16"/>
                      <w:szCs w:val="16"/>
                    </w:rPr>
                    <w:instrText xml:space="preserve"> SEQ Photo \* ARABIC </w:instrText>
                  </w:r>
                  <w:r w:rsidR="00F2116E" w:rsidRPr="00420C1B">
                    <w:rPr>
                      <w:color w:val="auto"/>
                      <w:sz w:val="16"/>
                      <w:szCs w:val="16"/>
                    </w:rPr>
                    <w:fldChar w:fldCharType="separate"/>
                  </w:r>
                  <w:r w:rsidR="000F2319" w:rsidRPr="00420C1B">
                    <w:rPr>
                      <w:noProof/>
                      <w:color w:val="auto"/>
                      <w:sz w:val="16"/>
                      <w:szCs w:val="16"/>
                    </w:rPr>
                    <w:t>2</w:t>
                  </w:r>
                  <w:r w:rsidR="00F2116E" w:rsidRPr="00420C1B">
                    <w:rPr>
                      <w:color w:val="auto"/>
                      <w:sz w:val="16"/>
                      <w:szCs w:val="16"/>
                    </w:rPr>
                    <w:fldChar w:fldCharType="end"/>
                  </w:r>
                  <w:r w:rsidRPr="00420C1B">
                    <w:rPr>
                      <w:color w:val="auto"/>
                      <w:sz w:val="16"/>
                      <w:szCs w:val="16"/>
                    </w:rPr>
                    <w:t xml:space="preserve">: </w:t>
                  </w:r>
                  <w:r w:rsidR="00FA337E" w:rsidRPr="00420C1B">
                    <w:rPr>
                      <w:color w:val="auto"/>
                      <w:sz w:val="16"/>
                      <w:szCs w:val="16"/>
                    </w:rPr>
                    <w:t>E</w:t>
                  </w:r>
                  <w:r w:rsidRPr="00420C1B">
                    <w:rPr>
                      <w:color w:val="auto"/>
                      <w:sz w:val="16"/>
                      <w:szCs w:val="16"/>
                    </w:rPr>
                    <w:t xml:space="preserve">tat de l'érosion dans </w:t>
                  </w:r>
                  <w:r w:rsidR="002723D3" w:rsidRPr="00420C1B">
                    <w:rPr>
                      <w:color w:val="auto"/>
                      <w:sz w:val="16"/>
                      <w:szCs w:val="16"/>
                    </w:rPr>
                    <w:t>la commune</w:t>
                  </w:r>
                  <w:r w:rsidRPr="00420C1B">
                    <w:rPr>
                      <w:color w:val="auto"/>
                      <w:sz w:val="16"/>
                      <w:szCs w:val="16"/>
                    </w:rPr>
                    <w:t xml:space="preserve"> de Mon</w:t>
                  </w:r>
                  <w:r w:rsidR="002723D3" w:rsidRPr="00420C1B">
                    <w:rPr>
                      <w:color w:val="auto"/>
                      <w:sz w:val="16"/>
                      <w:szCs w:val="16"/>
                    </w:rPr>
                    <w:t>t-Nga</w:t>
                  </w:r>
                  <w:r w:rsidRPr="00420C1B">
                    <w:rPr>
                      <w:color w:val="auto"/>
                      <w:sz w:val="16"/>
                      <w:szCs w:val="16"/>
                    </w:rPr>
                    <w:t>fula</w:t>
                  </w:r>
                  <w:bookmarkEnd w:id="479"/>
                </w:p>
              </w:tc>
            </w:tr>
          </w:tbl>
          <w:p w14:paraId="14237039" w14:textId="77777777" w:rsidR="00ED17F3" w:rsidRPr="00420C1B" w:rsidRDefault="00ED17F3" w:rsidP="007108ED">
            <w:pPr>
              <w:spacing w:after="0" w:line="240" w:lineRule="auto"/>
              <w:rPr>
                <w:rFonts w:ascii="Times New Roman" w:hAnsi="Times New Roman"/>
              </w:rPr>
            </w:pPr>
          </w:p>
        </w:tc>
      </w:tr>
      <w:tr w:rsidR="00D75D2E" w:rsidRPr="00420C1B" w14:paraId="452C841A" w14:textId="77777777" w:rsidTr="00215867">
        <w:trPr>
          <w:trHeight w:val="3584"/>
        </w:trPr>
        <w:tc>
          <w:tcPr>
            <w:tcW w:w="2836" w:type="dxa"/>
            <w:tcBorders>
              <w:top w:val="single" w:sz="4" w:space="0" w:color="00000A"/>
              <w:left w:val="single" w:sz="4" w:space="0" w:color="00000A"/>
              <w:right w:val="single" w:sz="4" w:space="0" w:color="00000A"/>
            </w:tcBorders>
            <w:shd w:val="clear" w:color="auto" w:fill="FFFFFF"/>
            <w:tcMar>
              <w:left w:w="108" w:type="dxa"/>
            </w:tcMar>
            <w:vAlign w:val="center"/>
          </w:tcPr>
          <w:p w14:paraId="232ECAFD" w14:textId="77777777" w:rsidR="00ED17F3" w:rsidRPr="00420C1B" w:rsidRDefault="00ED17F3" w:rsidP="007108ED">
            <w:pPr>
              <w:spacing w:after="0" w:line="240" w:lineRule="auto"/>
              <w:jc w:val="both"/>
              <w:rPr>
                <w:rFonts w:ascii="Times New Roman" w:hAnsi="Times New Roman"/>
              </w:rPr>
            </w:pPr>
            <w:r w:rsidRPr="00D75D2E">
              <w:rPr>
                <w:rFonts w:ascii="Times New Roman" w:hAnsi="Times New Roman"/>
                <w:sz w:val="24"/>
                <w:szCs w:val="24"/>
              </w:rPr>
              <w:t xml:space="preserve">Pollution liée à la gestion des déchets   </w:t>
            </w:r>
          </w:p>
        </w:tc>
        <w:tc>
          <w:tcPr>
            <w:tcW w:w="6378" w:type="dxa"/>
            <w:tcBorders>
              <w:top w:val="single" w:sz="4" w:space="0" w:color="00000A"/>
              <w:left w:val="single" w:sz="4" w:space="0" w:color="00000A"/>
              <w:right w:val="single" w:sz="4" w:space="0" w:color="00000A"/>
            </w:tcBorders>
            <w:shd w:val="clear" w:color="auto" w:fill="FFFFFF"/>
            <w:tcMar>
              <w:left w:w="108" w:type="dxa"/>
            </w:tcMar>
            <w:vAlign w:val="center"/>
          </w:tcPr>
          <w:p w14:paraId="552E1437" w14:textId="77777777" w:rsidR="00ED17F3" w:rsidRPr="00420C1B" w:rsidRDefault="00ED17F3" w:rsidP="003042AF">
            <w:pPr>
              <w:spacing w:after="0" w:line="240" w:lineRule="auto"/>
              <w:jc w:val="both"/>
              <w:rPr>
                <w:rFonts w:ascii="Times New Roman" w:hAnsi="Times New Roman"/>
              </w:rPr>
            </w:pPr>
            <w:r w:rsidRPr="00420C1B">
              <w:rPr>
                <w:rFonts w:ascii="Times New Roman" w:hAnsi="Times New Roman"/>
              </w:rPr>
              <w:t>Il existe dans la zone d</w:t>
            </w:r>
            <w:r w:rsidR="00FA337E" w:rsidRPr="00420C1B">
              <w:rPr>
                <w:rFonts w:ascii="Times New Roman" w:hAnsi="Times New Roman"/>
              </w:rPr>
              <w:t>u sous</w:t>
            </w:r>
            <w:r w:rsidRPr="00420C1B">
              <w:rPr>
                <w:rFonts w:ascii="Times New Roman" w:hAnsi="Times New Roman"/>
              </w:rPr>
              <w:t xml:space="preserve"> projet, une prolifération de dépotoirs sauvages </w:t>
            </w:r>
            <w:r w:rsidR="00A64AD3" w:rsidRPr="00420C1B">
              <w:rPr>
                <w:rFonts w:ascii="Times New Roman" w:hAnsi="Times New Roman"/>
              </w:rPr>
              <w:t xml:space="preserve">d’ordure </w:t>
            </w:r>
            <w:r w:rsidRPr="00420C1B">
              <w:rPr>
                <w:rFonts w:ascii="Times New Roman" w:hAnsi="Times New Roman"/>
              </w:rPr>
              <w:t xml:space="preserve">dans les rues due à l’insuffisance du dispositif de gestion des déchets ménagers et à l’insuffisance de décharges publiques </w:t>
            </w:r>
            <w:r w:rsidR="00A64AD3" w:rsidRPr="00420C1B">
              <w:rPr>
                <w:rFonts w:ascii="Times New Roman" w:hAnsi="Times New Roman"/>
              </w:rPr>
              <w:t xml:space="preserve">dans les communes abritant le </w:t>
            </w:r>
            <w:r w:rsidR="00445E09" w:rsidRPr="00420C1B">
              <w:rPr>
                <w:rFonts w:ascii="Times New Roman" w:hAnsi="Times New Roman"/>
              </w:rPr>
              <w:t xml:space="preserve">sous </w:t>
            </w:r>
            <w:r w:rsidR="00A64AD3" w:rsidRPr="00420C1B">
              <w:rPr>
                <w:rFonts w:ascii="Times New Roman" w:hAnsi="Times New Roman"/>
              </w:rPr>
              <w:t>projet</w:t>
            </w:r>
            <w:r w:rsidRPr="00420C1B">
              <w:rPr>
                <w:rFonts w:ascii="Times New Roman" w:hAnsi="Times New Roman"/>
              </w:rPr>
              <w:t xml:space="preserve">. Les travaux d’électrification </w:t>
            </w:r>
            <w:r w:rsidR="0006661F" w:rsidRPr="00420C1B">
              <w:rPr>
                <w:rFonts w:ascii="Times New Roman" w:hAnsi="Times New Roman"/>
              </w:rPr>
              <w:t xml:space="preserve">en vue </w:t>
            </w:r>
            <w:r w:rsidRPr="00420C1B">
              <w:rPr>
                <w:rFonts w:ascii="Times New Roman" w:hAnsi="Times New Roman"/>
              </w:rPr>
              <w:t xml:space="preserve">produiront </w:t>
            </w:r>
            <w:r w:rsidR="007833A2" w:rsidRPr="00420C1B">
              <w:rPr>
                <w:rFonts w:ascii="Times New Roman" w:hAnsi="Times New Roman"/>
              </w:rPr>
              <w:t>certainement</w:t>
            </w:r>
            <w:r w:rsidR="0006661F" w:rsidRPr="00420C1B">
              <w:rPr>
                <w:rFonts w:ascii="Times New Roman" w:hAnsi="Times New Roman"/>
              </w:rPr>
              <w:t xml:space="preserve"> des déchets dont la gestion constitue déjà une problématique pour ces communes concernées. En effet, le démantèlement des anciennes installations (poteaux et câbles électrique</w:t>
            </w:r>
            <w:r w:rsidR="007833A2" w:rsidRPr="00420C1B">
              <w:rPr>
                <w:rFonts w:ascii="Times New Roman" w:hAnsi="Times New Roman"/>
              </w:rPr>
              <w:t>s</w:t>
            </w:r>
            <w:r w:rsidR="0006661F" w:rsidRPr="00420C1B">
              <w:rPr>
                <w:rFonts w:ascii="Times New Roman" w:hAnsi="Times New Roman"/>
              </w:rPr>
              <w:t xml:space="preserve"> dégradés) produira davantage des déchets dont la gestion constitue déjà une problématique pour la ville province de Kinshasa.</w:t>
            </w:r>
            <w:r w:rsidR="003042AF" w:rsidRPr="00420C1B">
              <w:rPr>
                <w:rFonts w:ascii="Times New Roman" w:hAnsi="Times New Roman"/>
              </w:rPr>
              <w:t xml:space="preserve"> </w:t>
            </w:r>
            <w:r w:rsidRPr="00420C1B">
              <w:rPr>
                <w:rFonts w:ascii="Times New Roman" w:hAnsi="Times New Roman"/>
              </w:rPr>
              <w:t>Des mesures de gestion de ces déchets doivent être nécessairement envisagées.</w:t>
            </w:r>
            <w:r w:rsidR="003042AF" w:rsidRPr="00420C1B">
              <w:rPr>
                <w:rFonts w:ascii="Times New Roman" w:hAnsi="Times New Roman"/>
              </w:rPr>
              <w:t xml:space="preserve"> </w:t>
            </w:r>
          </w:p>
        </w:tc>
        <w:tc>
          <w:tcPr>
            <w:tcW w:w="1276" w:type="dxa"/>
            <w:tcBorders>
              <w:top w:val="single" w:sz="4" w:space="0" w:color="00000A"/>
              <w:left w:val="single" w:sz="4" w:space="0" w:color="00000A"/>
              <w:right w:val="single" w:sz="4" w:space="0" w:color="00000A"/>
            </w:tcBorders>
            <w:shd w:val="clear" w:color="auto" w:fill="FFFFFF"/>
            <w:tcMar>
              <w:left w:w="108" w:type="dxa"/>
            </w:tcMar>
            <w:vAlign w:val="center"/>
          </w:tcPr>
          <w:p w14:paraId="63CA66AF" w14:textId="77777777" w:rsidR="00ED17F3" w:rsidRPr="00420C1B" w:rsidRDefault="00ED17F3" w:rsidP="007108ED">
            <w:pPr>
              <w:spacing w:after="0" w:line="240" w:lineRule="auto"/>
              <w:jc w:val="center"/>
              <w:rPr>
                <w:rFonts w:ascii="Times New Roman" w:hAnsi="Times New Roman"/>
                <w:b/>
              </w:rPr>
            </w:pPr>
            <w:r w:rsidRPr="00420C1B">
              <w:rPr>
                <w:rFonts w:ascii="Times New Roman" w:hAnsi="Times New Roman"/>
                <w:b/>
              </w:rPr>
              <w:t>Fort</w:t>
            </w:r>
          </w:p>
        </w:tc>
        <w:tc>
          <w:tcPr>
            <w:tcW w:w="5248" w:type="dxa"/>
            <w:tcBorders>
              <w:top w:val="single" w:sz="4" w:space="0" w:color="00000A"/>
              <w:left w:val="single" w:sz="4" w:space="0" w:color="00000A"/>
              <w:bottom w:val="single" w:sz="4" w:space="0" w:color="00000A"/>
              <w:right w:val="single" w:sz="4" w:space="0" w:color="00000A"/>
            </w:tcBorders>
            <w:shd w:val="clear" w:color="auto" w:fill="FFFFFF"/>
          </w:tcPr>
          <w:p w14:paraId="66D22635" w14:textId="71B813FB" w:rsidR="00A74378" w:rsidRPr="00420C1B" w:rsidRDefault="002C66D7" w:rsidP="007833A2">
            <w:pPr>
              <w:keepNext/>
              <w:spacing w:after="0" w:line="240" w:lineRule="auto"/>
            </w:pPr>
            <w:r w:rsidRPr="00420C1B">
              <w:rPr>
                <w:rFonts w:ascii="Times New Roman" w:hAnsi="Times New Roman"/>
                <w:noProof/>
                <w:lang w:eastAsia="fr-FR"/>
              </w:rPr>
              <w:drawing>
                <wp:inline distT="0" distB="0" distL="0" distR="0" wp14:anchorId="10EEDF06" wp14:editId="41D3B448">
                  <wp:extent cx="3190875" cy="2152650"/>
                  <wp:effectExtent l="0" t="0" r="9525" b="0"/>
                  <wp:docPr id="34"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2152650"/>
                          </a:xfrm>
                          <a:prstGeom prst="rect">
                            <a:avLst/>
                          </a:prstGeom>
                          <a:noFill/>
                          <a:ln>
                            <a:noFill/>
                          </a:ln>
                        </pic:spPr>
                      </pic:pic>
                    </a:graphicData>
                  </a:graphic>
                </wp:inline>
              </w:drawing>
            </w:r>
          </w:p>
          <w:p w14:paraId="2710A8E8" w14:textId="73D8E48E" w:rsidR="00ED17F3" w:rsidRPr="00420C1B" w:rsidRDefault="00A74378" w:rsidP="00215867">
            <w:pPr>
              <w:pStyle w:val="Lgende"/>
              <w:spacing w:after="0"/>
              <w:rPr>
                <w:noProof/>
                <w:color w:val="auto"/>
                <w:sz w:val="20"/>
                <w:szCs w:val="20"/>
                <w:lang w:eastAsia="fr-FR"/>
              </w:rPr>
            </w:pPr>
            <w:bookmarkStart w:id="480" w:name="_Toc93050578"/>
            <w:r w:rsidRPr="00215867">
              <w:rPr>
                <w:color w:val="auto"/>
                <w:sz w:val="16"/>
                <w:szCs w:val="16"/>
              </w:rPr>
              <w:t xml:space="preserve">Photo </w:t>
            </w:r>
            <w:r w:rsidR="009842AC" w:rsidRPr="00215867">
              <w:rPr>
                <w:color w:val="auto"/>
                <w:sz w:val="16"/>
                <w:szCs w:val="16"/>
              </w:rPr>
              <w:fldChar w:fldCharType="begin"/>
            </w:r>
            <w:r w:rsidR="009842AC" w:rsidRPr="00215867">
              <w:rPr>
                <w:color w:val="auto"/>
                <w:sz w:val="16"/>
                <w:szCs w:val="16"/>
              </w:rPr>
              <w:instrText xml:space="preserve"> SEQ Photo \* ARABIC </w:instrText>
            </w:r>
            <w:r w:rsidR="009842AC" w:rsidRPr="00215867">
              <w:rPr>
                <w:color w:val="auto"/>
                <w:sz w:val="16"/>
                <w:szCs w:val="16"/>
              </w:rPr>
              <w:fldChar w:fldCharType="separate"/>
            </w:r>
            <w:r w:rsidR="000F2319" w:rsidRPr="00215867">
              <w:rPr>
                <w:color w:val="auto"/>
                <w:sz w:val="16"/>
                <w:szCs w:val="16"/>
              </w:rPr>
              <w:t>3</w:t>
            </w:r>
            <w:r w:rsidR="009842AC" w:rsidRPr="00215867">
              <w:rPr>
                <w:color w:val="auto"/>
                <w:sz w:val="16"/>
                <w:szCs w:val="16"/>
              </w:rPr>
              <w:fldChar w:fldCharType="end"/>
            </w:r>
            <w:r w:rsidR="007833A2" w:rsidRPr="00215867">
              <w:rPr>
                <w:color w:val="auto"/>
                <w:sz w:val="16"/>
                <w:szCs w:val="16"/>
              </w:rPr>
              <w:t>: dépotoir</w:t>
            </w:r>
            <w:r w:rsidRPr="00215867">
              <w:rPr>
                <w:color w:val="auto"/>
                <w:sz w:val="16"/>
                <w:szCs w:val="16"/>
              </w:rPr>
              <w:t xml:space="preserve"> d'ordure sauvage dans la nature commune de Ngaliema</w:t>
            </w:r>
            <w:bookmarkEnd w:id="480"/>
          </w:p>
        </w:tc>
      </w:tr>
      <w:tr w:rsidR="00D75D2E" w:rsidRPr="00420C1B" w14:paraId="3690B3DC" w14:textId="77777777" w:rsidTr="00AE61CE">
        <w:trPr>
          <w:trHeight w:val="2885"/>
        </w:trPr>
        <w:tc>
          <w:tcPr>
            <w:tcW w:w="2836" w:type="dxa"/>
            <w:tcBorders>
              <w:top w:val="single" w:sz="4" w:space="0" w:color="00000A"/>
              <w:left w:val="single" w:sz="4" w:space="0" w:color="00000A"/>
              <w:right w:val="single" w:sz="4" w:space="0" w:color="00000A"/>
            </w:tcBorders>
            <w:shd w:val="clear" w:color="auto" w:fill="FFFFFF"/>
            <w:tcMar>
              <w:left w:w="108" w:type="dxa"/>
            </w:tcMar>
            <w:vAlign w:val="center"/>
          </w:tcPr>
          <w:p w14:paraId="57D4BFA5" w14:textId="77777777" w:rsidR="00ED17F3" w:rsidRPr="00D75D2E" w:rsidRDefault="00ED17F3" w:rsidP="007108ED">
            <w:pPr>
              <w:spacing w:after="0" w:line="240" w:lineRule="auto"/>
              <w:jc w:val="both"/>
              <w:rPr>
                <w:rFonts w:ascii="Times New Roman" w:hAnsi="Times New Roman"/>
                <w:sz w:val="24"/>
                <w:szCs w:val="24"/>
              </w:rPr>
            </w:pPr>
            <w:r w:rsidRPr="00D75D2E">
              <w:rPr>
                <w:rFonts w:ascii="Times New Roman" w:hAnsi="Times New Roman"/>
                <w:sz w:val="24"/>
                <w:szCs w:val="24"/>
              </w:rPr>
              <w:t>Réduction de la végétation et des cultures</w:t>
            </w:r>
          </w:p>
        </w:tc>
        <w:tc>
          <w:tcPr>
            <w:tcW w:w="6378" w:type="dxa"/>
            <w:tcBorders>
              <w:top w:val="single" w:sz="4" w:space="0" w:color="00000A"/>
              <w:left w:val="single" w:sz="4" w:space="0" w:color="00000A"/>
              <w:right w:val="single" w:sz="4" w:space="0" w:color="00000A"/>
            </w:tcBorders>
            <w:shd w:val="clear" w:color="auto" w:fill="FFFFFF"/>
            <w:tcMar>
              <w:left w:w="108" w:type="dxa"/>
            </w:tcMar>
            <w:vAlign w:val="center"/>
          </w:tcPr>
          <w:p w14:paraId="17C913DB" w14:textId="77777777" w:rsidR="00ED17F3" w:rsidRPr="00420C1B" w:rsidRDefault="00ED17F3" w:rsidP="004B75D6">
            <w:pPr>
              <w:spacing w:after="0" w:line="240" w:lineRule="auto"/>
              <w:jc w:val="both"/>
              <w:rPr>
                <w:rFonts w:ascii="Times New Roman" w:hAnsi="Times New Roman"/>
              </w:rPr>
            </w:pPr>
            <w:r w:rsidRPr="00420C1B">
              <w:rPr>
                <w:rFonts w:ascii="Times New Roman" w:hAnsi="Times New Roman"/>
              </w:rPr>
              <w:t xml:space="preserve">De façon générale, le couvert végétal de la zone de projet </w:t>
            </w:r>
            <w:r w:rsidR="00F70E93" w:rsidRPr="00420C1B">
              <w:rPr>
                <w:rFonts w:ascii="Times New Roman" w:hAnsi="Times New Roman"/>
              </w:rPr>
              <w:t>est déjà fortement dégradé par d</w:t>
            </w:r>
            <w:r w:rsidRPr="00420C1B">
              <w:rPr>
                <w:rFonts w:ascii="Times New Roman" w:hAnsi="Times New Roman"/>
              </w:rPr>
              <w:t xml:space="preserve">es activités anthropiques. </w:t>
            </w:r>
            <w:r w:rsidR="00B018EE" w:rsidRPr="00420C1B">
              <w:rPr>
                <w:rFonts w:ascii="Times New Roman" w:hAnsi="Times New Roman"/>
              </w:rPr>
              <w:t xml:space="preserve">La visite de terrain montre l’existence des arbres dans l’emprise du tracé des lignes. </w:t>
            </w:r>
            <w:r w:rsidR="004B75D6" w:rsidRPr="00420C1B">
              <w:rPr>
                <w:rFonts w:ascii="Times New Roman" w:hAnsi="Times New Roman"/>
              </w:rPr>
              <w:t>Ainsi, l</w:t>
            </w:r>
            <w:r w:rsidRPr="00420C1B">
              <w:rPr>
                <w:rFonts w:ascii="Times New Roman" w:hAnsi="Times New Roman"/>
              </w:rPr>
              <w:t>es travaux d’é</w:t>
            </w:r>
            <w:r w:rsidR="00F70E93" w:rsidRPr="00420C1B">
              <w:rPr>
                <w:rFonts w:ascii="Times New Roman" w:hAnsi="Times New Roman"/>
              </w:rPr>
              <w:t xml:space="preserve">lectrification entraineront </w:t>
            </w:r>
            <w:r w:rsidR="00445E09" w:rsidRPr="00420C1B">
              <w:rPr>
                <w:rFonts w:ascii="Times New Roman" w:hAnsi="Times New Roman"/>
              </w:rPr>
              <w:t>l</w:t>
            </w:r>
            <w:r w:rsidR="00F70E93" w:rsidRPr="00420C1B">
              <w:rPr>
                <w:rFonts w:ascii="Times New Roman" w:hAnsi="Times New Roman"/>
              </w:rPr>
              <w:t>’abattage</w:t>
            </w:r>
            <w:r w:rsidR="00445E09" w:rsidRPr="00420C1B">
              <w:rPr>
                <w:rFonts w:ascii="Times New Roman" w:hAnsi="Times New Roman"/>
              </w:rPr>
              <w:t xml:space="preserve"> et l’élagage</w:t>
            </w:r>
            <w:r w:rsidRPr="00420C1B">
              <w:rPr>
                <w:rFonts w:ascii="Times New Roman" w:hAnsi="Times New Roman"/>
              </w:rPr>
              <w:t xml:space="preserve"> </w:t>
            </w:r>
            <w:r w:rsidR="00445E09" w:rsidRPr="00420C1B">
              <w:rPr>
                <w:rFonts w:ascii="Times New Roman" w:hAnsi="Times New Roman"/>
              </w:rPr>
              <w:t xml:space="preserve">d’environ 1169 arbres fruitiers et non fruitiers aussi bien du domaine public (354 arbres) que du domaine privés (815 arbres) </w:t>
            </w:r>
            <w:r w:rsidRPr="00420C1B">
              <w:rPr>
                <w:rFonts w:ascii="Times New Roman" w:hAnsi="Times New Roman"/>
              </w:rPr>
              <w:t xml:space="preserve">situés dans l’emprise </w:t>
            </w:r>
            <w:r w:rsidR="00AE766E" w:rsidRPr="00420C1B">
              <w:rPr>
                <w:rFonts w:ascii="Times New Roman" w:hAnsi="Times New Roman"/>
              </w:rPr>
              <w:t>des lignes et des cabines</w:t>
            </w:r>
            <w:r w:rsidRPr="00420C1B">
              <w:rPr>
                <w:rFonts w:ascii="Times New Roman" w:hAnsi="Times New Roman"/>
              </w:rPr>
              <w:t xml:space="preserve"> en phase des travaux</w:t>
            </w:r>
            <w:r w:rsidR="00AE766E" w:rsidRPr="00420C1B">
              <w:rPr>
                <w:rFonts w:ascii="Times New Roman" w:hAnsi="Times New Roman"/>
              </w:rPr>
              <w:t xml:space="preserve">. </w:t>
            </w:r>
            <w:r w:rsidRPr="00420C1B">
              <w:rPr>
                <w:rFonts w:ascii="Times New Roman" w:hAnsi="Times New Roman"/>
              </w:rPr>
              <w:t>Pour minimiser cet impact, le projet doit privilégier l’élagage des arbres et procéder à l’abattage des arbres comme dernier recours.</w:t>
            </w:r>
          </w:p>
          <w:p w14:paraId="180B7627" w14:textId="77777777" w:rsidR="00445E09" w:rsidRPr="00420C1B" w:rsidRDefault="00445E09" w:rsidP="004B75D6">
            <w:pPr>
              <w:spacing w:after="0" w:line="240" w:lineRule="auto"/>
              <w:jc w:val="both"/>
              <w:rPr>
                <w:rFonts w:ascii="Times New Roman" w:hAnsi="Times New Roman"/>
              </w:rPr>
            </w:pPr>
            <w:r w:rsidRPr="00420C1B">
              <w:rPr>
                <w:rFonts w:ascii="Times New Roman" w:hAnsi="Times New Roman"/>
              </w:rPr>
              <w:t>Aussi, étant donné qu’il sera procédé à une indemnisation pour les arbres privés impactés, le reboisement compensatoire des arbres du domaine public pourra être entrepris afin d’atténuer l’impact des travaux sur ces arbres.</w:t>
            </w:r>
          </w:p>
        </w:tc>
        <w:tc>
          <w:tcPr>
            <w:tcW w:w="1276" w:type="dxa"/>
            <w:tcBorders>
              <w:top w:val="single" w:sz="4" w:space="0" w:color="00000A"/>
              <w:left w:val="single" w:sz="4" w:space="0" w:color="00000A"/>
              <w:right w:val="single" w:sz="4" w:space="0" w:color="00000A"/>
            </w:tcBorders>
            <w:shd w:val="clear" w:color="auto" w:fill="FFFFFF"/>
            <w:tcMar>
              <w:left w:w="108" w:type="dxa"/>
            </w:tcMar>
            <w:vAlign w:val="center"/>
          </w:tcPr>
          <w:p w14:paraId="0AC0757C" w14:textId="77777777" w:rsidR="00ED17F3" w:rsidRPr="00420C1B" w:rsidRDefault="00ED17F3" w:rsidP="007108ED">
            <w:pPr>
              <w:spacing w:after="0" w:line="240" w:lineRule="auto"/>
              <w:jc w:val="center"/>
              <w:rPr>
                <w:rFonts w:ascii="Times New Roman" w:hAnsi="Times New Roman"/>
                <w:b/>
              </w:rPr>
            </w:pPr>
            <w:r w:rsidRPr="00420C1B">
              <w:rPr>
                <w:rFonts w:ascii="Times New Roman" w:hAnsi="Times New Roman"/>
                <w:b/>
              </w:rPr>
              <w:t xml:space="preserve">Moyen </w:t>
            </w:r>
          </w:p>
        </w:tc>
        <w:tc>
          <w:tcPr>
            <w:tcW w:w="5248" w:type="dxa"/>
            <w:tcBorders>
              <w:top w:val="single" w:sz="4" w:space="0" w:color="00000A"/>
              <w:left w:val="single" w:sz="4" w:space="0" w:color="00000A"/>
              <w:bottom w:val="single" w:sz="4" w:space="0" w:color="00000A"/>
              <w:right w:val="single" w:sz="4" w:space="0" w:color="00000A"/>
            </w:tcBorders>
            <w:shd w:val="clear" w:color="auto" w:fill="FFFFFF"/>
          </w:tcPr>
          <w:p w14:paraId="1467DC2F" w14:textId="49094B32" w:rsidR="00A74378" w:rsidRPr="00420C1B" w:rsidRDefault="002C66D7" w:rsidP="00A74378">
            <w:pPr>
              <w:keepNext/>
              <w:spacing w:after="0" w:line="240" w:lineRule="auto"/>
              <w:jc w:val="both"/>
            </w:pPr>
            <w:r w:rsidRPr="00EC5A8E">
              <w:rPr>
                <w:noProof/>
                <w:lang w:eastAsia="fr-FR"/>
              </w:rPr>
              <w:drawing>
                <wp:inline distT="0" distB="0" distL="0" distR="0" wp14:anchorId="14173EE7" wp14:editId="0D81D65C">
                  <wp:extent cx="1971675" cy="2362200"/>
                  <wp:effectExtent l="0" t="0" r="9525" b="0"/>
                  <wp:docPr id="3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1675" cy="2362200"/>
                          </a:xfrm>
                          <a:prstGeom prst="rect">
                            <a:avLst/>
                          </a:prstGeom>
                          <a:noFill/>
                          <a:ln>
                            <a:noFill/>
                          </a:ln>
                        </pic:spPr>
                      </pic:pic>
                    </a:graphicData>
                  </a:graphic>
                </wp:inline>
              </w:drawing>
            </w:r>
          </w:p>
          <w:p w14:paraId="6F76AB26" w14:textId="0D53BFD8" w:rsidR="00ED17F3" w:rsidRPr="00420C1B" w:rsidRDefault="00A74378" w:rsidP="00215867">
            <w:pPr>
              <w:pStyle w:val="Lgende"/>
              <w:spacing w:after="0"/>
              <w:rPr>
                <w:noProof/>
                <w:color w:val="auto"/>
                <w:lang w:eastAsia="fr-FR"/>
              </w:rPr>
            </w:pPr>
            <w:bookmarkStart w:id="481" w:name="_Toc93050579"/>
            <w:r w:rsidRPr="00215867">
              <w:rPr>
                <w:color w:val="auto"/>
                <w:sz w:val="16"/>
                <w:szCs w:val="16"/>
              </w:rPr>
              <w:t xml:space="preserve">Photo </w:t>
            </w:r>
            <w:r w:rsidR="00F2116E" w:rsidRPr="00215867">
              <w:rPr>
                <w:color w:val="auto"/>
                <w:sz w:val="16"/>
                <w:szCs w:val="16"/>
              </w:rPr>
              <w:fldChar w:fldCharType="begin"/>
            </w:r>
            <w:r w:rsidR="00F2116E" w:rsidRPr="00215867">
              <w:rPr>
                <w:color w:val="auto"/>
                <w:sz w:val="16"/>
                <w:szCs w:val="16"/>
              </w:rPr>
              <w:instrText xml:space="preserve"> SEQ Photo \* ARABIC </w:instrText>
            </w:r>
            <w:r w:rsidR="00F2116E" w:rsidRPr="00215867">
              <w:rPr>
                <w:color w:val="auto"/>
                <w:sz w:val="16"/>
                <w:szCs w:val="16"/>
              </w:rPr>
              <w:fldChar w:fldCharType="separate"/>
            </w:r>
            <w:r w:rsidR="000F2319" w:rsidRPr="00215867">
              <w:rPr>
                <w:color w:val="auto"/>
                <w:sz w:val="16"/>
                <w:szCs w:val="16"/>
              </w:rPr>
              <w:t>4</w:t>
            </w:r>
            <w:r w:rsidR="00F2116E" w:rsidRPr="00215867">
              <w:rPr>
                <w:color w:val="auto"/>
                <w:sz w:val="16"/>
                <w:szCs w:val="16"/>
              </w:rPr>
              <w:fldChar w:fldCharType="end"/>
            </w:r>
            <w:r w:rsidRPr="00215867">
              <w:rPr>
                <w:color w:val="auto"/>
                <w:sz w:val="16"/>
                <w:szCs w:val="16"/>
              </w:rPr>
              <w:t xml:space="preserve">: </w:t>
            </w:r>
            <w:r w:rsidR="009437A7" w:rsidRPr="00215867">
              <w:rPr>
                <w:color w:val="auto"/>
                <w:sz w:val="16"/>
                <w:szCs w:val="16"/>
              </w:rPr>
              <w:t xml:space="preserve">Gros arbres situé dans l’emprise </w:t>
            </w:r>
            <w:r w:rsidRPr="00215867">
              <w:rPr>
                <w:color w:val="auto"/>
                <w:sz w:val="16"/>
                <w:szCs w:val="16"/>
              </w:rPr>
              <w:t>de la ligne</w:t>
            </w:r>
            <w:r w:rsidR="009437A7" w:rsidRPr="00215867">
              <w:rPr>
                <w:color w:val="auto"/>
                <w:sz w:val="16"/>
                <w:szCs w:val="16"/>
              </w:rPr>
              <w:t xml:space="preserve"> électrique</w:t>
            </w:r>
            <w:bookmarkEnd w:id="481"/>
          </w:p>
        </w:tc>
      </w:tr>
      <w:tr w:rsidR="00D75D2E" w:rsidRPr="00420C1B" w14:paraId="015BF9B9" w14:textId="77777777" w:rsidTr="00420C1B">
        <w:trPr>
          <w:trHeight w:val="259"/>
        </w:trPr>
        <w:tc>
          <w:tcPr>
            <w:tcW w:w="15738" w:type="dxa"/>
            <w:gridSpan w:val="4"/>
            <w:tcBorders>
              <w:top w:val="single" w:sz="4" w:space="0" w:color="00000A"/>
              <w:left w:val="single" w:sz="4" w:space="0" w:color="00000A"/>
              <w:right w:val="single" w:sz="4" w:space="0" w:color="00000A"/>
            </w:tcBorders>
            <w:shd w:val="clear" w:color="auto" w:fill="FFF2CC"/>
            <w:tcMar>
              <w:left w:w="108" w:type="dxa"/>
            </w:tcMar>
            <w:vAlign w:val="center"/>
          </w:tcPr>
          <w:p w14:paraId="6850DDDB" w14:textId="77777777" w:rsidR="00ED17F3" w:rsidRPr="00420C1B" w:rsidRDefault="00ED17F3" w:rsidP="007108ED">
            <w:pPr>
              <w:spacing w:after="0" w:line="240" w:lineRule="auto"/>
              <w:jc w:val="both"/>
              <w:rPr>
                <w:rFonts w:ascii="Times New Roman" w:hAnsi="Times New Roman"/>
                <w:noProof/>
                <w:lang w:eastAsia="fr-FR"/>
              </w:rPr>
            </w:pPr>
            <w:r w:rsidRPr="00420C1B">
              <w:rPr>
                <w:rFonts w:ascii="Times New Roman" w:hAnsi="Times New Roman"/>
                <w:b/>
              </w:rPr>
              <w:t>Enjeux sociaux</w:t>
            </w:r>
          </w:p>
        </w:tc>
      </w:tr>
      <w:tr w:rsidR="00D75D2E" w:rsidRPr="00420C1B" w14:paraId="341E400E" w14:textId="77777777" w:rsidTr="00215867">
        <w:trPr>
          <w:trHeight w:val="2481"/>
        </w:trPr>
        <w:tc>
          <w:tcPr>
            <w:tcW w:w="283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5F9E230B" w14:textId="77777777" w:rsidR="00ED17F3" w:rsidRPr="00420C1B" w:rsidRDefault="00307C66" w:rsidP="00847BF9">
            <w:pPr>
              <w:spacing w:after="0" w:line="240" w:lineRule="auto"/>
              <w:jc w:val="both"/>
              <w:rPr>
                <w:rFonts w:ascii="Times New Roman" w:hAnsi="Times New Roman"/>
              </w:rPr>
            </w:pPr>
            <w:r w:rsidRPr="00420C1B">
              <w:rPr>
                <w:rFonts w:ascii="Times New Roman" w:hAnsi="Times New Roman"/>
              </w:rPr>
              <w:t xml:space="preserve">Vétusté du réseau électrique </w:t>
            </w:r>
          </w:p>
          <w:p w14:paraId="50B352EF" w14:textId="77777777" w:rsidR="00ED17F3" w:rsidRPr="00420C1B" w:rsidRDefault="00ED17F3" w:rsidP="007108ED">
            <w:pPr>
              <w:spacing w:after="0" w:line="240" w:lineRule="auto"/>
              <w:rPr>
                <w:rFonts w:ascii="Times New Roman" w:hAnsi="Times New Roman"/>
              </w:rPr>
            </w:pPr>
          </w:p>
        </w:tc>
        <w:tc>
          <w:tcPr>
            <w:tcW w:w="6378"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0A8170EC" w14:textId="77777777" w:rsidR="00ED17F3" w:rsidRPr="00420C1B" w:rsidRDefault="00ED17F3" w:rsidP="00847BF9">
            <w:pPr>
              <w:spacing w:after="0" w:line="240" w:lineRule="auto"/>
              <w:jc w:val="both"/>
              <w:rPr>
                <w:rFonts w:ascii="Times New Roman" w:hAnsi="Times New Roman"/>
              </w:rPr>
            </w:pPr>
            <w:r w:rsidRPr="00420C1B">
              <w:rPr>
                <w:rFonts w:ascii="Times New Roman" w:hAnsi="Times New Roman"/>
              </w:rPr>
              <w:t>La vétusté du réseau électrique,</w:t>
            </w:r>
            <w:r w:rsidR="00801958" w:rsidRPr="00420C1B">
              <w:rPr>
                <w:rFonts w:ascii="Times New Roman" w:hAnsi="Times New Roman"/>
              </w:rPr>
              <w:t xml:space="preserve">  sur lequel se font des</w:t>
            </w:r>
            <w:r w:rsidRPr="00420C1B">
              <w:rPr>
                <w:rFonts w:ascii="Times New Roman" w:hAnsi="Times New Roman"/>
              </w:rPr>
              <w:t xml:space="preserve"> branchements frauduleux, </w:t>
            </w:r>
            <w:r w:rsidR="00801958" w:rsidRPr="00420C1B">
              <w:rPr>
                <w:rFonts w:ascii="Times New Roman" w:hAnsi="Times New Roman"/>
              </w:rPr>
              <w:t>d</w:t>
            </w:r>
            <w:r w:rsidRPr="00420C1B">
              <w:rPr>
                <w:rFonts w:ascii="Times New Roman" w:hAnsi="Times New Roman"/>
              </w:rPr>
              <w:t>es installations anarchiques</w:t>
            </w:r>
            <w:r w:rsidR="00801958" w:rsidRPr="00420C1B">
              <w:rPr>
                <w:rFonts w:ascii="Times New Roman" w:hAnsi="Times New Roman"/>
              </w:rPr>
              <w:t xml:space="preserve"> avec une exposition au </w:t>
            </w:r>
            <w:r w:rsidRPr="00420C1B">
              <w:rPr>
                <w:rFonts w:ascii="Times New Roman" w:hAnsi="Times New Roman"/>
              </w:rPr>
              <w:t xml:space="preserve">sol de fils électriques dénudés </w:t>
            </w:r>
            <w:r w:rsidR="00801958" w:rsidRPr="00420C1B">
              <w:rPr>
                <w:rFonts w:ascii="Times New Roman" w:hAnsi="Times New Roman"/>
              </w:rPr>
              <w:t xml:space="preserve">parfois dans des zones </w:t>
            </w:r>
            <w:r w:rsidRPr="00420C1B">
              <w:rPr>
                <w:rFonts w:ascii="Times New Roman" w:hAnsi="Times New Roman"/>
              </w:rPr>
              <w:t>marécageuse</w:t>
            </w:r>
            <w:r w:rsidR="00CD4E57" w:rsidRPr="00420C1B">
              <w:rPr>
                <w:rFonts w:ascii="Times New Roman" w:hAnsi="Times New Roman"/>
              </w:rPr>
              <w:t>s</w:t>
            </w:r>
            <w:r w:rsidRPr="00420C1B">
              <w:rPr>
                <w:rFonts w:ascii="Times New Roman" w:hAnsi="Times New Roman"/>
              </w:rPr>
              <w:t xml:space="preserve"> </w:t>
            </w:r>
            <w:r w:rsidR="005E52EC" w:rsidRPr="00420C1B">
              <w:rPr>
                <w:rFonts w:ascii="Times New Roman" w:hAnsi="Times New Roman"/>
              </w:rPr>
              <w:t>dans certains</w:t>
            </w:r>
            <w:r w:rsidRPr="00420C1B">
              <w:rPr>
                <w:rFonts w:ascii="Times New Roman" w:hAnsi="Times New Roman"/>
              </w:rPr>
              <w:t xml:space="preserve"> quartiers concernés provoque</w:t>
            </w:r>
            <w:r w:rsidR="00B65A00" w:rsidRPr="00420C1B">
              <w:rPr>
                <w:rFonts w:ascii="Times New Roman" w:hAnsi="Times New Roman"/>
              </w:rPr>
              <w:t>raie</w:t>
            </w:r>
            <w:r w:rsidRPr="00420C1B">
              <w:rPr>
                <w:rFonts w:ascii="Times New Roman" w:hAnsi="Times New Roman"/>
              </w:rPr>
              <w:t>nt des incendies, des brulures, des électrocutions, etc. Pour minimiser les</w:t>
            </w:r>
            <w:r w:rsidR="00B65A00" w:rsidRPr="00420C1B">
              <w:rPr>
                <w:rFonts w:ascii="Times New Roman" w:hAnsi="Times New Roman"/>
              </w:rPr>
              <w:t xml:space="preserve"> risques liés à ces</w:t>
            </w:r>
            <w:r w:rsidRPr="00420C1B">
              <w:rPr>
                <w:rFonts w:ascii="Times New Roman" w:hAnsi="Times New Roman"/>
              </w:rPr>
              <w:t xml:space="preserve"> accidents, un plan</w:t>
            </w:r>
            <w:r w:rsidR="00B65A00" w:rsidRPr="00420C1B">
              <w:rPr>
                <w:rFonts w:ascii="Times New Roman" w:hAnsi="Times New Roman"/>
              </w:rPr>
              <w:t xml:space="preserve"> de surveillance et de contrô</w:t>
            </w:r>
            <w:r w:rsidRPr="00420C1B">
              <w:rPr>
                <w:rFonts w:ascii="Times New Roman" w:hAnsi="Times New Roman"/>
              </w:rPr>
              <w:t>l</w:t>
            </w:r>
            <w:r w:rsidR="00B65A00" w:rsidRPr="00420C1B">
              <w:rPr>
                <w:rFonts w:ascii="Times New Roman" w:hAnsi="Times New Roman"/>
              </w:rPr>
              <w:t>e</w:t>
            </w:r>
            <w:r w:rsidRPr="00420C1B">
              <w:rPr>
                <w:rFonts w:ascii="Times New Roman" w:hAnsi="Times New Roman"/>
              </w:rPr>
              <w:t xml:space="preserve"> des installations impliquant les acteurs locaux doit être mis en œuvre aussi bien en phase des trav</w:t>
            </w:r>
            <w:r w:rsidR="00847BF9" w:rsidRPr="00420C1B">
              <w:rPr>
                <w:rFonts w:ascii="Times New Roman" w:hAnsi="Times New Roman"/>
              </w:rPr>
              <w:t>aux qu’en phase d’exploitation.</w:t>
            </w:r>
          </w:p>
        </w:tc>
        <w:tc>
          <w:tcPr>
            <w:tcW w:w="1276"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vAlign w:val="center"/>
          </w:tcPr>
          <w:p w14:paraId="22D5B5E6" w14:textId="77777777" w:rsidR="00ED17F3" w:rsidRPr="00420C1B" w:rsidRDefault="00ED17F3" w:rsidP="007108ED">
            <w:pPr>
              <w:spacing w:after="0" w:line="240" w:lineRule="auto"/>
              <w:jc w:val="center"/>
              <w:rPr>
                <w:rFonts w:ascii="Times New Roman" w:hAnsi="Times New Roman"/>
                <w:b/>
              </w:rPr>
            </w:pPr>
            <w:r w:rsidRPr="00420C1B">
              <w:rPr>
                <w:rFonts w:ascii="Times New Roman" w:hAnsi="Times New Roman"/>
                <w:b/>
              </w:rPr>
              <w:t>Fort</w:t>
            </w:r>
          </w:p>
        </w:tc>
        <w:tc>
          <w:tcPr>
            <w:tcW w:w="5248" w:type="dxa"/>
            <w:tcBorders>
              <w:top w:val="single" w:sz="4" w:space="0" w:color="00000A"/>
              <w:left w:val="single" w:sz="4" w:space="0" w:color="00000A"/>
              <w:bottom w:val="single" w:sz="4" w:space="0" w:color="00000A"/>
              <w:right w:val="single" w:sz="4" w:space="0" w:color="00000A"/>
            </w:tcBorders>
            <w:shd w:val="clear" w:color="auto" w:fill="FFFFFF"/>
          </w:tcPr>
          <w:tbl>
            <w:tblPr>
              <w:tblW w:w="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0"/>
              <w:gridCol w:w="2560"/>
            </w:tblGrid>
            <w:tr w:rsidR="00D75D2E" w:rsidRPr="00420C1B" w14:paraId="4812D8E8" w14:textId="77777777" w:rsidTr="00420C1B">
              <w:trPr>
                <w:trHeight w:val="2206"/>
              </w:trPr>
              <w:tc>
                <w:tcPr>
                  <w:tcW w:w="2560" w:type="dxa"/>
                  <w:shd w:val="clear" w:color="auto" w:fill="auto"/>
                </w:tcPr>
                <w:p w14:paraId="7BAFF9D0" w14:textId="15993C25" w:rsidR="00A74378" w:rsidRPr="00420C1B" w:rsidRDefault="002C66D7" w:rsidP="00420C1B">
                  <w:pPr>
                    <w:keepNext/>
                    <w:spacing w:after="0" w:line="240" w:lineRule="auto"/>
                  </w:pPr>
                  <w:r w:rsidRPr="00420C1B">
                    <w:rPr>
                      <w:rFonts w:ascii="Times New Roman" w:hAnsi="Times New Roman"/>
                      <w:noProof/>
                      <w:lang w:eastAsia="fr-FR"/>
                    </w:rPr>
                    <w:drawing>
                      <wp:inline distT="0" distB="0" distL="0" distR="0" wp14:anchorId="46FD6E85" wp14:editId="0C939A75">
                        <wp:extent cx="1676400" cy="1314450"/>
                        <wp:effectExtent l="0" t="0" r="0" b="0"/>
                        <wp:docPr id="3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0">
                                  <a:extLst>
                                    <a:ext uri="{28A0092B-C50C-407E-A947-70E740481C1C}">
                                      <a14:useLocalDpi xmlns:a14="http://schemas.microsoft.com/office/drawing/2010/main" val="0"/>
                                    </a:ext>
                                  </a:extLst>
                                </a:blip>
                                <a:srcRect r="-12086"/>
                                <a:stretch>
                                  <a:fillRect/>
                                </a:stretch>
                              </pic:blipFill>
                              <pic:spPr bwMode="auto">
                                <a:xfrm flipV="1">
                                  <a:off x="0" y="0"/>
                                  <a:ext cx="1676400" cy="1314450"/>
                                </a:xfrm>
                                <a:prstGeom prst="rect">
                                  <a:avLst/>
                                </a:prstGeom>
                                <a:noFill/>
                                <a:ln>
                                  <a:noFill/>
                                </a:ln>
                              </pic:spPr>
                            </pic:pic>
                          </a:graphicData>
                        </a:graphic>
                      </wp:inline>
                    </w:drawing>
                  </w:r>
                </w:p>
                <w:p w14:paraId="290FA8C9" w14:textId="5C815050" w:rsidR="00ED17F3" w:rsidRPr="00420C1B" w:rsidRDefault="00A74378" w:rsidP="00420C1B">
                  <w:pPr>
                    <w:pStyle w:val="Lgende"/>
                    <w:spacing w:after="0"/>
                    <w:jc w:val="center"/>
                    <w:rPr>
                      <w:color w:val="auto"/>
                    </w:rPr>
                  </w:pPr>
                  <w:bookmarkStart w:id="482" w:name="_Toc93050580"/>
                  <w:r w:rsidRPr="00420C1B">
                    <w:rPr>
                      <w:color w:val="auto"/>
                      <w:sz w:val="16"/>
                      <w:szCs w:val="16"/>
                    </w:rPr>
                    <w:t xml:space="preserve">Photo </w:t>
                  </w:r>
                  <w:r w:rsidR="00F2116E" w:rsidRPr="007E5A67">
                    <w:rPr>
                      <w:color w:val="auto"/>
                      <w:sz w:val="16"/>
                      <w:szCs w:val="16"/>
                    </w:rPr>
                    <w:fldChar w:fldCharType="begin"/>
                  </w:r>
                  <w:r w:rsidR="00F2116E" w:rsidRPr="00420C1B">
                    <w:rPr>
                      <w:color w:val="auto"/>
                      <w:sz w:val="16"/>
                      <w:szCs w:val="16"/>
                    </w:rPr>
                    <w:instrText xml:space="preserve"> SEQ Photo \* ARABIC </w:instrText>
                  </w:r>
                  <w:r w:rsidR="00F2116E" w:rsidRPr="007E5A67">
                    <w:rPr>
                      <w:color w:val="auto"/>
                      <w:sz w:val="16"/>
                      <w:szCs w:val="16"/>
                    </w:rPr>
                    <w:fldChar w:fldCharType="separate"/>
                  </w:r>
                  <w:r w:rsidR="000F2319" w:rsidRPr="00420C1B">
                    <w:rPr>
                      <w:color w:val="auto"/>
                      <w:sz w:val="16"/>
                      <w:szCs w:val="16"/>
                    </w:rPr>
                    <w:t>5</w:t>
                  </w:r>
                  <w:r w:rsidR="00F2116E" w:rsidRPr="007E5A67">
                    <w:rPr>
                      <w:color w:val="auto"/>
                      <w:sz w:val="16"/>
                      <w:szCs w:val="16"/>
                    </w:rPr>
                    <w:fldChar w:fldCharType="end"/>
                  </w:r>
                  <w:r w:rsidRPr="00420C1B">
                    <w:rPr>
                      <w:color w:val="auto"/>
                      <w:sz w:val="16"/>
                      <w:szCs w:val="16"/>
                    </w:rPr>
                    <w:t>: Etat de la vétusté des anciennes installations</w:t>
                  </w:r>
                  <w:bookmarkEnd w:id="482"/>
                </w:p>
              </w:tc>
              <w:tc>
                <w:tcPr>
                  <w:tcW w:w="2560" w:type="dxa"/>
                  <w:shd w:val="clear" w:color="auto" w:fill="auto"/>
                </w:tcPr>
                <w:p w14:paraId="58CAE330" w14:textId="6715FD3F" w:rsidR="00A74378" w:rsidRPr="00420C1B" w:rsidRDefault="002C66D7" w:rsidP="00420C1B">
                  <w:pPr>
                    <w:keepNext/>
                    <w:spacing w:after="0" w:line="240" w:lineRule="auto"/>
                    <w:jc w:val="center"/>
                  </w:pPr>
                  <w:r w:rsidRPr="00EC5A8E">
                    <w:rPr>
                      <w:noProof/>
                      <w:lang w:eastAsia="fr-FR"/>
                    </w:rPr>
                    <w:drawing>
                      <wp:inline distT="0" distB="0" distL="0" distR="0" wp14:anchorId="7CC67C36" wp14:editId="433BC589">
                        <wp:extent cx="1514475" cy="1314450"/>
                        <wp:effectExtent l="0" t="0" r="9525" b="0"/>
                        <wp:docPr id="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14:paraId="7A7A7CCE" w14:textId="60783B7D" w:rsidR="00ED17F3" w:rsidRPr="00420C1B" w:rsidRDefault="00A74378" w:rsidP="00420C1B">
                  <w:pPr>
                    <w:pStyle w:val="Lgende"/>
                    <w:jc w:val="center"/>
                    <w:rPr>
                      <w:color w:val="auto"/>
                      <w:sz w:val="16"/>
                      <w:szCs w:val="16"/>
                    </w:rPr>
                  </w:pPr>
                  <w:bookmarkStart w:id="483" w:name="_Toc93050581"/>
                  <w:r w:rsidRPr="00420C1B">
                    <w:rPr>
                      <w:color w:val="auto"/>
                      <w:sz w:val="16"/>
                      <w:szCs w:val="16"/>
                    </w:rPr>
                    <w:t xml:space="preserve">Photo </w:t>
                  </w:r>
                  <w:r w:rsidR="00F2116E" w:rsidRPr="00420C1B">
                    <w:rPr>
                      <w:noProof/>
                      <w:color w:val="auto"/>
                      <w:sz w:val="16"/>
                      <w:szCs w:val="16"/>
                    </w:rPr>
                    <w:fldChar w:fldCharType="begin"/>
                  </w:r>
                  <w:r w:rsidR="00F2116E" w:rsidRPr="00420C1B">
                    <w:rPr>
                      <w:noProof/>
                      <w:color w:val="auto"/>
                      <w:sz w:val="16"/>
                      <w:szCs w:val="16"/>
                    </w:rPr>
                    <w:instrText xml:space="preserve"> SEQ Photo \* ARABIC </w:instrText>
                  </w:r>
                  <w:r w:rsidR="00F2116E" w:rsidRPr="00420C1B">
                    <w:rPr>
                      <w:noProof/>
                      <w:color w:val="auto"/>
                      <w:sz w:val="16"/>
                      <w:szCs w:val="16"/>
                    </w:rPr>
                    <w:fldChar w:fldCharType="separate"/>
                  </w:r>
                  <w:r w:rsidR="000F2319" w:rsidRPr="00420C1B">
                    <w:rPr>
                      <w:noProof/>
                      <w:color w:val="auto"/>
                      <w:sz w:val="16"/>
                      <w:szCs w:val="16"/>
                    </w:rPr>
                    <w:t>6</w:t>
                  </w:r>
                  <w:r w:rsidR="00F2116E" w:rsidRPr="00420C1B">
                    <w:rPr>
                      <w:noProof/>
                      <w:color w:val="auto"/>
                      <w:sz w:val="16"/>
                      <w:szCs w:val="16"/>
                    </w:rPr>
                    <w:fldChar w:fldCharType="end"/>
                  </w:r>
                  <w:r w:rsidRPr="00420C1B">
                    <w:rPr>
                      <w:color w:val="auto"/>
                      <w:sz w:val="16"/>
                      <w:szCs w:val="16"/>
                    </w:rPr>
                    <w:t xml:space="preserve">: Entretien des lignes </w:t>
                  </w:r>
                  <w:r w:rsidR="006E0E5B" w:rsidRPr="00420C1B">
                    <w:rPr>
                      <w:color w:val="auto"/>
                      <w:sz w:val="16"/>
                      <w:szCs w:val="16"/>
                    </w:rPr>
                    <w:t xml:space="preserve">sans </w:t>
                  </w:r>
                  <w:r w:rsidRPr="00420C1B">
                    <w:rPr>
                      <w:color w:val="auto"/>
                      <w:sz w:val="16"/>
                      <w:szCs w:val="16"/>
                    </w:rPr>
                    <w:t>un minimum d'EPI</w:t>
                  </w:r>
                  <w:r w:rsidR="007F0433" w:rsidRPr="00420C1B">
                    <w:rPr>
                      <w:color w:val="auto"/>
                      <w:sz w:val="16"/>
                      <w:szCs w:val="16"/>
                    </w:rPr>
                    <w:t xml:space="preserve"> par une femme</w:t>
                  </w:r>
                  <w:bookmarkEnd w:id="483"/>
                </w:p>
              </w:tc>
            </w:tr>
          </w:tbl>
          <w:p w14:paraId="16180FAE" w14:textId="77777777" w:rsidR="00ED17F3" w:rsidRPr="00420C1B" w:rsidRDefault="00ED17F3" w:rsidP="007108ED">
            <w:pPr>
              <w:spacing w:after="0" w:line="240" w:lineRule="auto"/>
              <w:rPr>
                <w:rFonts w:ascii="Times New Roman" w:hAnsi="Times New Roman"/>
              </w:rPr>
            </w:pPr>
          </w:p>
        </w:tc>
      </w:tr>
    </w:tbl>
    <w:p w14:paraId="69ABE405" w14:textId="77777777" w:rsidR="00FB3D81" w:rsidRPr="00215867" w:rsidRDefault="00FB3D81" w:rsidP="00215867">
      <w:pPr>
        <w:spacing w:after="0" w:line="240" w:lineRule="auto"/>
        <w:jc w:val="center"/>
        <w:rPr>
          <w:rFonts w:ascii="Times New Roman" w:hAnsi="Times New Roman"/>
          <w:b/>
          <w:bCs/>
          <w:i/>
        </w:rPr>
      </w:pPr>
      <w:r w:rsidRPr="00215867">
        <w:rPr>
          <w:rFonts w:ascii="Times New Roman" w:hAnsi="Times New Roman"/>
          <w:b/>
          <w:bCs/>
          <w:i/>
          <w:u w:val="single"/>
        </w:rPr>
        <w:t>Source </w:t>
      </w:r>
      <w:r w:rsidRPr="00215867">
        <w:rPr>
          <w:rFonts w:ascii="Times New Roman" w:hAnsi="Times New Roman"/>
          <w:b/>
          <w:bCs/>
          <w:i/>
        </w:rPr>
        <w:t xml:space="preserve">: Mission d’élaboration de l’EIES DKC </w:t>
      </w:r>
      <w:r w:rsidR="00124BDB" w:rsidRPr="00215867">
        <w:rPr>
          <w:rFonts w:ascii="Times New Roman" w:hAnsi="Times New Roman"/>
          <w:b/>
          <w:bCs/>
          <w:i/>
        </w:rPr>
        <w:t xml:space="preserve">&amp; </w:t>
      </w:r>
      <w:r w:rsidRPr="00215867">
        <w:rPr>
          <w:rFonts w:ascii="Times New Roman" w:hAnsi="Times New Roman"/>
          <w:b/>
          <w:bCs/>
          <w:i/>
        </w:rPr>
        <w:t>DKO</w:t>
      </w:r>
      <w:r w:rsidR="00124BDB" w:rsidRPr="00215867">
        <w:rPr>
          <w:rFonts w:ascii="Times New Roman" w:hAnsi="Times New Roman"/>
          <w:b/>
          <w:bCs/>
          <w:i/>
        </w:rPr>
        <w:t xml:space="preserve">, </w:t>
      </w:r>
      <w:r w:rsidRPr="00215867">
        <w:rPr>
          <w:rFonts w:ascii="Times New Roman" w:hAnsi="Times New Roman"/>
          <w:b/>
          <w:bCs/>
          <w:i/>
        </w:rPr>
        <w:t xml:space="preserve"> juillet 2021</w:t>
      </w:r>
    </w:p>
    <w:p w14:paraId="0257918D" w14:textId="77777777" w:rsidR="00AE61CE" w:rsidRPr="00024B30" w:rsidRDefault="00AE61CE" w:rsidP="00AE61CE">
      <w:pPr>
        <w:spacing w:after="0" w:line="240" w:lineRule="auto"/>
        <w:rPr>
          <w:rFonts w:ascii="Times New Roman" w:hAnsi="Times New Roman"/>
          <w:bCs/>
          <w:i/>
        </w:rPr>
      </w:pPr>
    </w:p>
    <w:p w14:paraId="747779C1" w14:textId="77777777" w:rsidR="00ED17F3" w:rsidRPr="00D75D2E" w:rsidRDefault="00ED17F3" w:rsidP="00ED17F3">
      <w:pPr>
        <w:spacing w:after="0" w:line="240" w:lineRule="auto"/>
        <w:jc w:val="both"/>
        <w:rPr>
          <w:rFonts w:ascii="Times New Roman" w:hAnsi="Times New Roman"/>
          <w:sz w:val="24"/>
          <w:szCs w:val="24"/>
        </w:rPr>
        <w:sectPr w:rsidR="00ED17F3" w:rsidRPr="00D75D2E" w:rsidSect="0082504D">
          <w:pgSz w:w="16838" w:h="11906" w:orient="landscape"/>
          <w:pgMar w:top="1276" w:right="1418" w:bottom="1418" w:left="1418" w:header="709" w:footer="709" w:gutter="0"/>
          <w:cols w:space="708"/>
          <w:docGrid w:linePitch="360"/>
        </w:sectPr>
      </w:pPr>
    </w:p>
    <w:p w14:paraId="2686CF69" w14:textId="4C951F29" w:rsidR="003B4201" w:rsidRPr="00D75D2E" w:rsidRDefault="003B4201" w:rsidP="00215867">
      <w:pPr>
        <w:pStyle w:val="Titre1"/>
        <w:numPr>
          <w:ilvl w:val="0"/>
          <w:numId w:val="54"/>
        </w:numPr>
        <w:spacing w:before="0" w:after="120"/>
        <w:ind w:left="357" w:hanging="357"/>
      </w:pPr>
      <w:bookmarkStart w:id="484" w:name="_Toc519050454"/>
      <w:bookmarkStart w:id="485" w:name="_Toc80421680"/>
      <w:bookmarkStart w:id="486" w:name="_Toc103685641"/>
      <w:r w:rsidRPr="00D75D2E">
        <w:t>ANALYSE DES ALTERNATIVES ET VARIANTES DU PROJET</w:t>
      </w:r>
      <w:bookmarkEnd w:id="484"/>
      <w:bookmarkEnd w:id="485"/>
      <w:bookmarkEnd w:id="486"/>
    </w:p>
    <w:p w14:paraId="1CCFC816" w14:textId="5181B6DF" w:rsidR="003B4201" w:rsidRPr="00D75D2E" w:rsidRDefault="003B4201"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Deux options se présentent dans le cadre </w:t>
      </w:r>
      <w:r w:rsidRPr="00215867">
        <w:rPr>
          <w:rFonts w:ascii="Times New Roman" w:hAnsi="Times New Roman"/>
          <w:sz w:val="24"/>
          <w:szCs w:val="24"/>
        </w:rPr>
        <w:t>du Projet</w:t>
      </w:r>
      <w:r w:rsidR="00215867">
        <w:rPr>
          <w:rFonts w:ascii="Times New Roman" w:hAnsi="Times New Roman"/>
          <w:sz w:val="24"/>
          <w:szCs w:val="24"/>
        </w:rPr>
        <w:t xml:space="preserve"> d’Accès,</w:t>
      </w:r>
      <w:r w:rsidRPr="00D75D2E">
        <w:rPr>
          <w:rFonts w:ascii="Times New Roman" w:hAnsi="Times New Roman"/>
          <w:sz w:val="24"/>
          <w:szCs w:val="24"/>
        </w:rPr>
        <w:t xml:space="preserve"> de Gouvernance et d</w:t>
      </w:r>
      <w:r w:rsidR="00215867">
        <w:rPr>
          <w:rFonts w:ascii="Times New Roman" w:hAnsi="Times New Roman"/>
          <w:sz w:val="24"/>
          <w:szCs w:val="24"/>
        </w:rPr>
        <w:t xml:space="preserve">e Réforme des secteurs de </w:t>
      </w:r>
      <w:r w:rsidRPr="00D75D2E">
        <w:rPr>
          <w:rFonts w:ascii="Times New Roman" w:hAnsi="Times New Roman"/>
          <w:sz w:val="24"/>
          <w:szCs w:val="24"/>
        </w:rPr>
        <w:t>l’Électricité</w:t>
      </w:r>
      <w:r w:rsidR="00215867">
        <w:rPr>
          <w:rFonts w:ascii="Times New Roman" w:hAnsi="Times New Roman"/>
          <w:sz w:val="24"/>
          <w:szCs w:val="24"/>
        </w:rPr>
        <w:t xml:space="preserve"> et de l’Eau, </w:t>
      </w:r>
      <w:r w:rsidRPr="00D75D2E">
        <w:rPr>
          <w:rFonts w:ascii="Times New Roman" w:hAnsi="Times New Roman"/>
          <w:sz w:val="24"/>
          <w:szCs w:val="24"/>
        </w:rPr>
        <w:t>et particulièrement pour les travaux d’électrification des poches noires, d’assainissement, de réhabilitation et de mise en conformité des réseaux SNEL des Directions de Kinshasa Centre et Ouest (DKC/DKO</w:t>
      </w:r>
      <w:r w:rsidRPr="00D75D2E">
        <w:t xml:space="preserve"> : </w:t>
      </w:r>
      <w:r w:rsidRPr="00D75D2E">
        <w:rPr>
          <w:rFonts w:ascii="Times New Roman" w:hAnsi="Times New Roman"/>
          <w:sz w:val="24"/>
          <w:szCs w:val="24"/>
        </w:rPr>
        <w:t xml:space="preserve">(i) la première est l’option </w:t>
      </w:r>
      <w:r w:rsidRPr="00D75D2E">
        <w:rPr>
          <w:rFonts w:ascii="Times New Roman" w:hAnsi="Times New Roman"/>
          <w:b/>
          <w:sz w:val="24"/>
          <w:szCs w:val="24"/>
        </w:rPr>
        <w:t>sans projet</w:t>
      </w:r>
      <w:r w:rsidRPr="00D75D2E">
        <w:rPr>
          <w:rFonts w:ascii="Times New Roman" w:hAnsi="Times New Roman"/>
          <w:sz w:val="24"/>
          <w:szCs w:val="24"/>
        </w:rPr>
        <w:t xml:space="preserve"> et (ii) la seconde </w:t>
      </w:r>
      <w:r w:rsidRPr="00D75D2E">
        <w:rPr>
          <w:rFonts w:ascii="Times New Roman" w:hAnsi="Times New Roman"/>
          <w:b/>
          <w:sz w:val="24"/>
          <w:szCs w:val="24"/>
        </w:rPr>
        <w:t>avec le projet</w:t>
      </w:r>
      <w:r w:rsidRPr="00D75D2E">
        <w:rPr>
          <w:rFonts w:ascii="Times New Roman" w:hAnsi="Times New Roman"/>
          <w:sz w:val="24"/>
          <w:szCs w:val="24"/>
        </w:rPr>
        <w:t>.</w:t>
      </w:r>
    </w:p>
    <w:p w14:paraId="6A3BBEC5" w14:textId="4D7ADBDC" w:rsidR="003B4201" w:rsidRPr="00D75D2E" w:rsidRDefault="003B4201" w:rsidP="00AE31F1">
      <w:pPr>
        <w:pStyle w:val="Paragraphedeliste"/>
        <w:keepNext/>
        <w:keepLines/>
        <w:numPr>
          <w:ilvl w:val="1"/>
          <w:numId w:val="54"/>
        </w:numPr>
        <w:tabs>
          <w:tab w:val="left" w:pos="851"/>
        </w:tabs>
        <w:spacing w:before="120" w:after="120" w:line="240" w:lineRule="auto"/>
        <w:ind w:left="788" w:hanging="431"/>
        <w:contextualSpacing w:val="0"/>
        <w:outlineLvl w:val="1"/>
        <w:rPr>
          <w:rFonts w:ascii="Times New Roman" w:eastAsia="Times New Roman" w:hAnsi="Times New Roman"/>
          <w:b/>
          <w:sz w:val="24"/>
          <w:szCs w:val="24"/>
        </w:rPr>
      </w:pPr>
      <w:bookmarkStart w:id="487" w:name="_Toc103685642"/>
      <w:r w:rsidRPr="00D75D2E">
        <w:rPr>
          <w:rFonts w:ascii="Times New Roman" w:eastAsia="Times New Roman" w:hAnsi="Times New Roman"/>
          <w:b/>
          <w:sz w:val="24"/>
          <w:szCs w:val="24"/>
        </w:rPr>
        <w:t>Analyse de la variante « sans projet »</w:t>
      </w:r>
      <w:bookmarkEnd w:id="487"/>
    </w:p>
    <w:p w14:paraId="1112700C" w14:textId="77777777" w:rsidR="003B4201" w:rsidRPr="00D75D2E" w:rsidRDefault="003B4201"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L’option « sans </w:t>
      </w:r>
      <w:r w:rsidRPr="00215867">
        <w:rPr>
          <w:rFonts w:ascii="Times New Roman" w:hAnsi="Times New Roman"/>
          <w:sz w:val="24"/>
          <w:szCs w:val="24"/>
        </w:rPr>
        <w:t>projet</w:t>
      </w:r>
      <w:r w:rsidRPr="00D75D2E">
        <w:rPr>
          <w:rFonts w:ascii="Times New Roman" w:hAnsi="Times New Roman"/>
          <w:sz w:val="24"/>
          <w:szCs w:val="24"/>
        </w:rPr>
        <w:t xml:space="preserve"> » consiste à ne rien faire c’est-à-dire ne pas mettre en œuvre le </w:t>
      </w:r>
      <w:r w:rsidRPr="00215867">
        <w:rPr>
          <w:rFonts w:ascii="Times New Roman" w:hAnsi="Times New Roman"/>
          <w:sz w:val="24"/>
          <w:szCs w:val="24"/>
        </w:rPr>
        <w:t>projet</w:t>
      </w:r>
      <w:r w:rsidRPr="00D75D2E">
        <w:rPr>
          <w:rFonts w:ascii="Times New Roman" w:hAnsi="Times New Roman"/>
          <w:sz w:val="24"/>
          <w:szCs w:val="24"/>
        </w:rPr>
        <w:t>. Si cette option est retenue, la situation ci-après sera observée :</w:t>
      </w:r>
    </w:p>
    <w:p w14:paraId="0B614618"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shd w:val="clear" w:color="auto" w:fill="FFFFFF"/>
        </w:rPr>
        <w:t>la persistance de la vétusté des installations électriques (mauvais état des câbles électriques) ;</w:t>
      </w:r>
    </w:p>
    <w:p w14:paraId="2DCAB001" w14:textId="77777777" w:rsidR="003B4201" w:rsidRPr="00D75D2E" w:rsidRDefault="003B4201" w:rsidP="008C79F0">
      <w:pPr>
        <w:numPr>
          <w:ilvl w:val="0"/>
          <w:numId w:val="43"/>
        </w:numPr>
        <w:autoSpaceDE w:val="0"/>
        <w:autoSpaceDN w:val="0"/>
        <w:adjustRightInd w:val="0"/>
        <w:spacing w:after="0" w:line="240" w:lineRule="auto"/>
        <w:jc w:val="both"/>
        <w:rPr>
          <w:rFonts w:ascii="Times New Roman" w:hAnsi="Times New Roman"/>
          <w:sz w:val="24"/>
          <w:szCs w:val="24"/>
          <w:lang w:eastAsia="fr-FR"/>
        </w:rPr>
      </w:pPr>
      <w:r w:rsidRPr="00D75D2E">
        <w:rPr>
          <w:rFonts w:ascii="Times New Roman" w:hAnsi="Times New Roman"/>
          <w:sz w:val="24"/>
          <w:szCs w:val="24"/>
          <w:shd w:val="clear" w:color="auto" w:fill="FFFFFF"/>
          <w:lang w:eastAsia="fr-FR"/>
        </w:rPr>
        <w:t>la mauvaise qualité du courant (faible intensité, instabilité de la tension) avec endommagement des matériels ;</w:t>
      </w:r>
    </w:p>
    <w:p w14:paraId="53CEF36C"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persistance de la défaillance du service d’électricité (délestages intempestifs);</w:t>
      </w:r>
    </w:p>
    <w:p w14:paraId="455D6700"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persistance </w:t>
      </w:r>
      <w:r w:rsidRPr="00D75D2E">
        <w:rPr>
          <w:rFonts w:ascii="Times New Roman" w:hAnsi="Times New Roman"/>
          <w:sz w:val="24"/>
          <w:szCs w:val="24"/>
          <w:shd w:val="clear" w:color="auto" w:fill="FFFFFF"/>
        </w:rPr>
        <w:t xml:space="preserve">des branchements frauduleux avec </w:t>
      </w:r>
      <w:r w:rsidRPr="00D75D2E">
        <w:rPr>
          <w:rFonts w:ascii="Times New Roman" w:hAnsi="Times New Roman"/>
          <w:sz w:val="24"/>
          <w:szCs w:val="24"/>
        </w:rPr>
        <w:t>risques d’incendies et d’électrocution;</w:t>
      </w:r>
    </w:p>
    <w:p w14:paraId="2B455301"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shd w:val="clear" w:color="auto" w:fill="FFFFFF"/>
        </w:rPr>
        <w:t>le déficit voire absence d’électricité dans les poches noires de KDC et DKO ;</w:t>
      </w:r>
    </w:p>
    <w:p w14:paraId="1D8E0556"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persistance de l’insécurité;</w:t>
      </w:r>
    </w:p>
    <w:p w14:paraId="6C6F8204"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déforestation due à l’utilisation du bois et du charbon de bois, comme principale source d’énergie ;</w:t>
      </w:r>
    </w:p>
    <w:p w14:paraId="0CDBC220"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l’accentuation de la pollution de l’air suite à l’utilisation des groupes électrogènes ;</w:t>
      </w:r>
    </w:p>
    <w:p w14:paraId="65B3040A"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 manque de développement des activités socio-économiques et culturelles. </w:t>
      </w:r>
    </w:p>
    <w:p w14:paraId="1FAED93D" w14:textId="77777777" w:rsidR="003B4201" w:rsidRPr="00D75D2E" w:rsidRDefault="003B4201" w:rsidP="00E737B4">
      <w:pPr>
        <w:spacing w:before="120" w:after="120" w:line="240" w:lineRule="auto"/>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Aussi avec cette variante, il </w:t>
      </w:r>
      <w:r w:rsidRPr="00E737B4">
        <w:rPr>
          <w:rFonts w:ascii="Times New Roman" w:hAnsi="Times New Roman"/>
          <w:sz w:val="24"/>
          <w:szCs w:val="24"/>
        </w:rPr>
        <w:t>n’aura</w:t>
      </w:r>
      <w:r w:rsidRPr="00D75D2E">
        <w:rPr>
          <w:rFonts w:ascii="Times New Roman" w:eastAsia="Times New Roman" w:hAnsi="Times New Roman"/>
          <w:sz w:val="24"/>
          <w:lang w:eastAsia="fr-FR"/>
        </w:rPr>
        <w:t xml:space="preserve"> pas de </w:t>
      </w:r>
      <w:r w:rsidRPr="00D75D2E">
        <w:rPr>
          <w:rFonts w:ascii="Times New Roman" w:eastAsia="SimSun" w:hAnsi="Times New Roman"/>
          <w:sz w:val="24"/>
          <w:szCs w:val="24"/>
        </w:rPr>
        <w:t xml:space="preserve">perte </w:t>
      </w:r>
    </w:p>
    <w:p w14:paraId="11D0B854" w14:textId="17281FEB" w:rsidR="003B4201" w:rsidRPr="00D75D2E" w:rsidRDefault="003B4201" w:rsidP="00AE31F1">
      <w:pPr>
        <w:pStyle w:val="Paragraphedeliste"/>
        <w:keepNext/>
        <w:keepLines/>
        <w:numPr>
          <w:ilvl w:val="1"/>
          <w:numId w:val="54"/>
        </w:numPr>
        <w:tabs>
          <w:tab w:val="left" w:pos="851"/>
        </w:tabs>
        <w:spacing w:after="0" w:line="240" w:lineRule="auto"/>
        <w:outlineLvl w:val="1"/>
        <w:rPr>
          <w:rFonts w:ascii="Times New Roman" w:eastAsia="Times New Roman" w:hAnsi="Times New Roman"/>
          <w:b/>
          <w:sz w:val="24"/>
          <w:szCs w:val="24"/>
        </w:rPr>
      </w:pPr>
      <w:bookmarkStart w:id="488" w:name="_Toc103685643"/>
      <w:r w:rsidRPr="00D75D2E">
        <w:rPr>
          <w:rFonts w:ascii="Times New Roman" w:eastAsia="Times New Roman" w:hAnsi="Times New Roman"/>
          <w:b/>
          <w:sz w:val="24"/>
          <w:szCs w:val="24"/>
        </w:rPr>
        <w:t>Analyse de la variante « avec projet »</w:t>
      </w:r>
      <w:bookmarkEnd w:id="488"/>
    </w:p>
    <w:p w14:paraId="0F3C26B7" w14:textId="77777777" w:rsidR="003B4201" w:rsidRPr="00D75D2E" w:rsidRDefault="003B4201" w:rsidP="00E737B4">
      <w:pPr>
        <w:spacing w:before="120" w:after="120" w:line="240" w:lineRule="auto"/>
        <w:jc w:val="both"/>
        <w:rPr>
          <w:rFonts w:ascii="Times New Roman" w:hAnsi="Times New Roman"/>
          <w:sz w:val="24"/>
          <w:szCs w:val="24"/>
        </w:rPr>
      </w:pPr>
      <w:r w:rsidRPr="00D75D2E">
        <w:rPr>
          <w:rFonts w:ascii="Times New Roman" w:eastAsia="Times New Roman" w:hAnsi="Times New Roman"/>
          <w:sz w:val="24"/>
          <w:lang w:eastAsia="fr-FR"/>
        </w:rPr>
        <w:t>Cette option permet</w:t>
      </w:r>
      <w:r w:rsidRPr="00D75D2E">
        <w:rPr>
          <w:rFonts w:ascii="Times New Roman" w:hAnsi="Times New Roman"/>
          <w:sz w:val="24"/>
          <w:szCs w:val="24"/>
        </w:rPr>
        <w:t xml:space="preserve"> constitue celle qui présente des avantages au niveau social et environnemental suivant :</w:t>
      </w:r>
    </w:p>
    <w:p w14:paraId="11A5F6CD"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l’amélioration de l’accès et de l’assainissement du réseau électrique avec la réduction des risques d’incendie et d’électrocution dans les communes concernées par le projet ; </w:t>
      </w:r>
    </w:p>
    <w:p w14:paraId="26F9D26B"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 création d'emplois ; </w:t>
      </w:r>
    </w:p>
    <w:p w14:paraId="590A1256"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l’amélioration de la gestion des déchets ;</w:t>
      </w:r>
    </w:p>
    <w:p w14:paraId="726E414F"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 développement des activités socioéconomiques et culturelles, </w:t>
      </w:r>
    </w:p>
    <w:p w14:paraId="0ACC6C43"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l’amélioration de cadre et conditions de vie des populations riveraines; </w:t>
      </w:r>
    </w:p>
    <w:p w14:paraId="5F6203DB"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le renforcement de l’aspect sécuritaire ;</w:t>
      </w:r>
    </w:p>
    <w:p w14:paraId="4E3AC744"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préservation du couvert végétal;</w:t>
      </w:r>
    </w:p>
    <w:p w14:paraId="3FFB6C52"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réduction des émissions des gaz à effet de serre ;</w:t>
      </w:r>
    </w:p>
    <w:p w14:paraId="2B775FDB" w14:textId="77777777" w:rsidR="003B4201" w:rsidRPr="00D75D2E" w:rsidRDefault="003B4201" w:rsidP="008C79F0">
      <w:pPr>
        <w:numPr>
          <w:ilvl w:val="0"/>
          <w:numId w:val="43"/>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l’augmentation des chiffres d’affaire de la SNEL et des recettes fiscales de l’Etat.</w:t>
      </w:r>
    </w:p>
    <w:p w14:paraId="1DA514C6" w14:textId="12C7A43E" w:rsidR="003B4201" w:rsidRPr="00D75D2E" w:rsidRDefault="003B4201"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L’analyse des deux options est faite au chapitre </w:t>
      </w:r>
      <w:r w:rsidR="00857372" w:rsidRPr="00D75D2E">
        <w:rPr>
          <w:rFonts w:ascii="Times New Roman" w:hAnsi="Times New Roman"/>
          <w:sz w:val="24"/>
          <w:szCs w:val="24"/>
        </w:rPr>
        <w:t>6.3</w:t>
      </w:r>
      <w:r w:rsidR="00D77642">
        <w:rPr>
          <w:rFonts w:ascii="Times New Roman" w:hAnsi="Times New Roman"/>
          <w:sz w:val="24"/>
          <w:szCs w:val="24"/>
        </w:rPr>
        <w:t>,</w:t>
      </w:r>
      <w:r w:rsidR="005A6490">
        <w:rPr>
          <w:rFonts w:ascii="Times New Roman" w:hAnsi="Times New Roman"/>
          <w:sz w:val="24"/>
          <w:szCs w:val="24"/>
        </w:rPr>
        <w:t xml:space="preserve"> </w:t>
      </w:r>
      <w:r w:rsidRPr="00D75D2E">
        <w:rPr>
          <w:rFonts w:ascii="Times New Roman" w:hAnsi="Times New Roman"/>
          <w:sz w:val="24"/>
          <w:szCs w:val="24"/>
        </w:rPr>
        <w:t>relatif à</w:t>
      </w:r>
      <w:r w:rsidRPr="00D75D2E">
        <w:t xml:space="preserve"> </w:t>
      </w:r>
      <w:r w:rsidRPr="00D75D2E">
        <w:rPr>
          <w:rFonts w:ascii="Times New Roman" w:hAnsi="Times New Roman"/>
          <w:sz w:val="24"/>
          <w:szCs w:val="24"/>
        </w:rPr>
        <w:t xml:space="preserve">l’analyse des impacts environnementaux et sociaux.  </w:t>
      </w:r>
    </w:p>
    <w:p w14:paraId="611ABCF4" w14:textId="77777777" w:rsidR="003B4201" w:rsidRPr="00D75D2E" w:rsidRDefault="003B4201" w:rsidP="00AE31F1">
      <w:pPr>
        <w:pStyle w:val="Paragraphedeliste"/>
        <w:keepNext/>
        <w:keepLines/>
        <w:numPr>
          <w:ilvl w:val="1"/>
          <w:numId w:val="54"/>
        </w:numPr>
        <w:tabs>
          <w:tab w:val="left" w:pos="851"/>
        </w:tabs>
        <w:spacing w:after="0" w:line="240" w:lineRule="auto"/>
        <w:outlineLvl w:val="1"/>
        <w:rPr>
          <w:rFonts w:ascii="Times New Roman" w:eastAsia="Times New Roman" w:hAnsi="Times New Roman"/>
          <w:b/>
          <w:sz w:val="24"/>
          <w:szCs w:val="24"/>
        </w:rPr>
      </w:pPr>
      <w:bookmarkStart w:id="489" w:name="_Toc103685644"/>
      <w:r w:rsidRPr="00D75D2E">
        <w:rPr>
          <w:rFonts w:ascii="Times New Roman" w:eastAsia="Times New Roman" w:hAnsi="Times New Roman"/>
          <w:b/>
          <w:sz w:val="24"/>
          <w:szCs w:val="24"/>
        </w:rPr>
        <w:t>Analyse des alternatives</w:t>
      </w:r>
      <w:bookmarkEnd w:id="489"/>
      <w:r w:rsidRPr="00D75D2E">
        <w:rPr>
          <w:rFonts w:ascii="Times New Roman" w:eastAsia="Times New Roman" w:hAnsi="Times New Roman"/>
          <w:b/>
          <w:sz w:val="24"/>
          <w:szCs w:val="24"/>
        </w:rPr>
        <w:t xml:space="preserve"> </w:t>
      </w:r>
    </w:p>
    <w:p w14:paraId="6BC5B854" w14:textId="11137C1B" w:rsidR="00F768F9" w:rsidRPr="00AE31F1" w:rsidRDefault="00F768F9" w:rsidP="00AE31F1">
      <w:pPr>
        <w:pStyle w:val="Titre31"/>
        <w:numPr>
          <w:ilvl w:val="2"/>
          <w:numId w:val="54"/>
        </w:numPr>
        <w:spacing w:before="120" w:after="120"/>
        <w:rPr>
          <w:rFonts w:eastAsia="Calibri" w:cs="Times New Roman"/>
          <w:bCs w:val="0"/>
        </w:rPr>
      </w:pPr>
      <w:bookmarkStart w:id="490" w:name="_Toc103685645"/>
      <w:r w:rsidRPr="00AE31F1">
        <w:rPr>
          <w:rFonts w:eastAsia="Calibri" w:cs="Times New Roman"/>
          <w:u w:val="none"/>
        </w:rPr>
        <w:t>Option sans projet ou scénario de non développement du projet</w:t>
      </w:r>
      <w:bookmarkEnd w:id="490"/>
    </w:p>
    <w:p w14:paraId="1B3D5CD0" w14:textId="77777777" w:rsidR="00F768F9" w:rsidRDefault="00F768F9" w:rsidP="00F768F9">
      <w:pPr>
        <w:spacing w:before="120" w:after="12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Dans le cas peu probable de l’abandon par UCM de réaliser ce projet, les poches noires des communes de Mont-Ngafula, Selembao, Kalamu, Bumbu, Makala, Ngaliema, Kalamu, Burumbu continueraient à vivre dans l’obscurité avec les conséquences qui s’en suit sur la sécurité des personnes et de leur bien. L’abandon de ce projet constituerait un facteur favorisant la pression sur les ressources ligneuses (bois énergie, braise, bois de chauffe) pour les besoins domestiques. L’option zéro, c’est-à-dire ne pas faire le projet est à exclure parce qu’elle représente plusieurs inconvénients suivants : </w:t>
      </w:r>
    </w:p>
    <w:p w14:paraId="1C1E596D" w14:textId="77777777" w:rsidR="00F768F9"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Pr>
          <w:rFonts w:ascii="Times New Roman" w:eastAsia="Times New Roman" w:hAnsi="Times New Roman"/>
          <w:sz w:val="24"/>
          <w:szCs w:val="24"/>
        </w:rPr>
        <w:t>les réseaux SNEL des directions de Kinshasa Centre et Ouest seront continuellement vandalisés du fait que les ménages non desservi chercheront à avoir des connexions illicites et frauduleuses, et ceci va détériorer d’avantage les réseaux, avec risque d’avaries des cabines existantes, de surtension, surintensité et surcharge sur les réseaux.</w:t>
      </w:r>
    </w:p>
    <w:p w14:paraId="53597779" w14:textId="77777777" w:rsidR="00F768F9" w:rsidRPr="00BA1BB2"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Pr>
          <w:rFonts w:ascii="Times New Roman" w:eastAsia="Times New Roman" w:hAnsi="Times New Roman"/>
          <w:sz w:val="24"/>
          <w:szCs w:val="24"/>
        </w:rPr>
        <w:t>la population qui réclame avec force l’avènement de ce projet qu’elle estime être l’un des projets moteurs du développement pourrait être plongée dans une extrême pauvreté ;</w:t>
      </w:r>
    </w:p>
    <w:p w14:paraId="2A4944BC" w14:textId="77777777" w:rsidR="00F768F9" w:rsidRDefault="00F768F9" w:rsidP="00F768F9">
      <w:pPr>
        <w:numPr>
          <w:ilvl w:val="0"/>
          <w:numId w:val="289"/>
        </w:numPr>
        <w:spacing w:after="0" w:line="276" w:lineRule="auto"/>
        <w:ind w:left="425" w:hanging="425"/>
        <w:jc w:val="both"/>
        <w:rPr>
          <w:sz w:val="24"/>
          <w:szCs w:val="24"/>
        </w:rPr>
      </w:pPr>
      <w:r>
        <w:rPr>
          <w:rFonts w:ascii="Times New Roman" w:eastAsia="Times New Roman" w:hAnsi="Times New Roman"/>
          <w:sz w:val="24"/>
          <w:szCs w:val="24"/>
        </w:rPr>
        <w:t xml:space="preserve">la non-exécution de ce projet laissera les quartiers abritant les poches noires dans un stade permanant de sous-développement. </w:t>
      </w:r>
    </w:p>
    <w:p w14:paraId="57DEA9BA" w14:textId="77777777" w:rsidR="00F768F9" w:rsidRDefault="00F768F9" w:rsidP="00F768F9">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La non-réalisation de ce projet aura comme retombé négatif suivant :</w:t>
      </w:r>
    </w:p>
    <w:p w14:paraId="14221EB6" w14:textId="77777777" w:rsidR="00F768F9" w:rsidRPr="00BA1BB2"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Pr>
          <w:rFonts w:ascii="Times New Roman" w:eastAsia="Times New Roman" w:hAnsi="Times New Roman"/>
          <w:sz w:val="24"/>
          <w:szCs w:val="24"/>
        </w:rPr>
        <w:t>la persistance de la pauvreté énergétique suite à l’absence d’une énergie adéquate, abordable, efficace et durable pour répondre au développement humain et économique. Elle pourrait avoir un effet spécifique sur les femmes et les files de la zone dans la mesure où elles seront encore exposées à la recherche des ressources ligneuses (bois de chauffe et de cuisson) ;</w:t>
      </w:r>
    </w:p>
    <w:p w14:paraId="7C00F34C" w14:textId="77777777" w:rsidR="00F768F9" w:rsidRPr="00BA1BB2"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Pr>
          <w:rFonts w:ascii="Times New Roman" w:eastAsia="Times New Roman" w:hAnsi="Times New Roman"/>
          <w:sz w:val="24"/>
          <w:szCs w:val="24"/>
        </w:rPr>
        <w:t>le nombre d’emploi devant être créer à la mise en œuvre du projet seront perdus ;</w:t>
      </w:r>
    </w:p>
    <w:p w14:paraId="4B8299E1" w14:textId="77777777" w:rsidR="00F768F9" w:rsidRPr="00D219F6"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sidRPr="00D219F6">
        <w:rPr>
          <w:rFonts w:ascii="Times New Roman" w:eastAsia="Times New Roman" w:hAnsi="Times New Roman"/>
          <w:sz w:val="24"/>
          <w:szCs w:val="24"/>
        </w:rPr>
        <w:t xml:space="preserve">la non satisfaction de la demande énergétique </w:t>
      </w:r>
      <w:r>
        <w:rPr>
          <w:rFonts w:ascii="Times New Roman" w:eastAsia="Times New Roman" w:hAnsi="Times New Roman"/>
          <w:sz w:val="24"/>
          <w:szCs w:val="24"/>
        </w:rPr>
        <w:t xml:space="preserve">dans la ville de Kinshasa </w:t>
      </w:r>
      <w:r w:rsidRPr="00D219F6">
        <w:rPr>
          <w:rFonts w:ascii="Times New Roman" w:eastAsia="Times New Roman" w:hAnsi="Times New Roman"/>
          <w:sz w:val="24"/>
          <w:szCs w:val="24"/>
        </w:rPr>
        <w:t>à un coût acceptable en raison de l’absence d’accès à des sources d’énergie électrique bon marché ;</w:t>
      </w:r>
    </w:p>
    <w:p w14:paraId="6C561C89" w14:textId="77777777" w:rsidR="00F768F9" w:rsidRDefault="00F768F9" w:rsidP="00F768F9">
      <w:pPr>
        <w:numPr>
          <w:ilvl w:val="0"/>
          <w:numId w:val="289"/>
        </w:numPr>
        <w:spacing w:after="0" w:line="276" w:lineRule="auto"/>
        <w:ind w:left="425" w:hanging="425"/>
        <w:jc w:val="both"/>
        <w:rPr>
          <w:sz w:val="24"/>
          <w:szCs w:val="24"/>
        </w:rPr>
      </w:pPr>
      <w:r>
        <w:rPr>
          <w:rFonts w:ascii="Times New Roman" w:eastAsia="Times New Roman" w:hAnsi="Times New Roman"/>
          <w:sz w:val="24"/>
          <w:szCs w:val="24"/>
        </w:rPr>
        <w:t>Manque des besoins de base de services énergétiques qui pourrait avoir des effets sur la sécurité, et plus spécifiquement sur la sécurité des femmes et des filles, souvent victimes d’agression par les bandits communément appelés Kuluna.</w:t>
      </w:r>
    </w:p>
    <w:p w14:paraId="3E919EC4" w14:textId="77777777" w:rsidR="00F768F9" w:rsidRDefault="00F768F9" w:rsidP="00F768F9">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L’option de l’abandon de ce projet aurait l’avantage suivant :</w:t>
      </w:r>
    </w:p>
    <w:p w14:paraId="7384ADBA" w14:textId="77777777" w:rsidR="00F768F9"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sidRPr="009A3606">
        <w:rPr>
          <w:rFonts w:ascii="Times New Roman" w:eastAsia="Times New Roman" w:hAnsi="Times New Roman"/>
          <w:sz w:val="24"/>
          <w:szCs w:val="24"/>
        </w:rPr>
        <w:t xml:space="preserve">pas d’augmentation des impacts environnementaux de la perturbation de l’habitat </w:t>
      </w:r>
    </w:p>
    <w:p w14:paraId="4409A152" w14:textId="77777777" w:rsidR="00F768F9" w:rsidRPr="009A3606" w:rsidRDefault="00F768F9" w:rsidP="00F768F9">
      <w:pPr>
        <w:numPr>
          <w:ilvl w:val="0"/>
          <w:numId w:val="289"/>
        </w:numPr>
        <w:spacing w:after="0" w:line="276" w:lineRule="auto"/>
        <w:ind w:left="425" w:hanging="425"/>
        <w:jc w:val="both"/>
        <w:rPr>
          <w:rFonts w:ascii="Times New Roman" w:eastAsia="Times New Roman" w:hAnsi="Times New Roman"/>
          <w:sz w:val="24"/>
          <w:szCs w:val="24"/>
        </w:rPr>
      </w:pPr>
      <w:r w:rsidRPr="009A3606">
        <w:rPr>
          <w:rFonts w:ascii="Times New Roman" w:eastAsia="Times New Roman" w:hAnsi="Times New Roman"/>
          <w:sz w:val="24"/>
          <w:szCs w:val="24"/>
        </w:rPr>
        <w:t xml:space="preserve">pas d’affectation des biens de la population se trouvant dans </w:t>
      </w:r>
      <w:r>
        <w:rPr>
          <w:rFonts w:ascii="Times New Roman" w:eastAsia="Times New Roman" w:hAnsi="Times New Roman"/>
          <w:sz w:val="24"/>
          <w:szCs w:val="24"/>
        </w:rPr>
        <w:t>l’</w:t>
      </w:r>
      <w:r w:rsidRPr="009A3606">
        <w:rPr>
          <w:rFonts w:ascii="Times New Roman" w:eastAsia="Times New Roman" w:hAnsi="Times New Roman"/>
          <w:sz w:val="24"/>
          <w:szCs w:val="24"/>
        </w:rPr>
        <w:t>emprise de la ligne</w:t>
      </w:r>
    </w:p>
    <w:p w14:paraId="407E9E3B" w14:textId="77777777" w:rsidR="00F768F9" w:rsidRDefault="00F768F9" w:rsidP="00F768F9">
      <w:pPr>
        <w:numPr>
          <w:ilvl w:val="0"/>
          <w:numId w:val="289"/>
        </w:numPr>
        <w:spacing w:after="0" w:line="276" w:lineRule="auto"/>
        <w:ind w:left="425" w:hanging="425"/>
        <w:jc w:val="both"/>
        <w:rPr>
          <w:sz w:val="24"/>
          <w:szCs w:val="24"/>
        </w:rPr>
      </w:pPr>
      <w:r>
        <w:rPr>
          <w:rFonts w:ascii="Times New Roman" w:eastAsia="Times New Roman" w:hAnsi="Times New Roman"/>
          <w:sz w:val="24"/>
          <w:szCs w:val="24"/>
        </w:rPr>
        <w:t>pas de risque de contamination et pollution associés aux activités de construction.</w:t>
      </w:r>
    </w:p>
    <w:p w14:paraId="5489164C" w14:textId="77777777" w:rsidR="00F768F9" w:rsidRPr="00AE31F1" w:rsidRDefault="00F768F9" w:rsidP="00AE31F1">
      <w:pPr>
        <w:pStyle w:val="Titre31"/>
        <w:numPr>
          <w:ilvl w:val="2"/>
          <w:numId w:val="54"/>
        </w:numPr>
        <w:spacing w:before="120" w:after="120"/>
        <w:rPr>
          <w:rFonts w:eastAsia="Calibri" w:cs="Times New Roman"/>
          <w:b w:val="0"/>
        </w:rPr>
      </w:pPr>
      <w:bookmarkStart w:id="491" w:name="_Toc103685646"/>
      <w:r w:rsidRPr="00AE31F1">
        <w:rPr>
          <w:rFonts w:eastAsia="Calibri" w:cs="Times New Roman"/>
          <w:u w:val="none"/>
        </w:rPr>
        <w:t>Analyse de la variante « avec projet »</w:t>
      </w:r>
      <w:bookmarkEnd w:id="491"/>
    </w:p>
    <w:p w14:paraId="2A294BC9"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L’option avec le projet constitue celle qui présente des avantages au niveau social et environnemental suivant :</w:t>
      </w:r>
    </w:p>
    <w:p w14:paraId="0D4D2042" w14:textId="77777777" w:rsidR="00F768F9" w:rsidRPr="00EB4495" w:rsidRDefault="00F768F9" w:rsidP="00F768F9">
      <w:pPr>
        <w:pStyle w:val="Paragraphedeliste"/>
        <w:numPr>
          <w:ilvl w:val="0"/>
          <w:numId w:val="292"/>
        </w:numPr>
        <w:shd w:val="clear" w:color="auto" w:fill="FFFFFF"/>
        <w:spacing w:before="120" w:after="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l’assainissement du réseau et réduction des risques d’incendie et d’électrocution ;</w:t>
      </w:r>
    </w:p>
    <w:p w14:paraId="62DB4D54"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 xml:space="preserve">la création d'emplois ; </w:t>
      </w:r>
    </w:p>
    <w:p w14:paraId="1232890D"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l’amélioration de la gestion des déchets ;</w:t>
      </w:r>
    </w:p>
    <w:p w14:paraId="37C08307"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 xml:space="preserve">le développement des activités commerciales et génératrices de revenus, </w:t>
      </w:r>
    </w:p>
    <w:p w14:paraId="6F6F6C12"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 xml:space="preserve">l’amélioration de cadre et conditions de vie des populations ; </w:t>
      </w:r>
    </w:p>
    <w:p w14:paraId="2091E826"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le renforcement de l’aspect sécuritaire ;</w:t>
      </w:r>
    </w:p>
    <w:p w14:paraId="1883CC27" w14:textId="77777777" w:rsidR="00F768F9" w:rsidRPr="00EB4495" w:rsidRDefault="00F768F9" w:rsidP="00F768F9">
      <w:pPr>
        <w:pStyle w:val="Paragraphedeliste"/>
        <w:numPr>
          <w:ilvl w:val="0"/>
          <w:numId w:val="292"/>
        </w:numPr>
        <w:shd w:val="clear" w:color="auto" w:fill="FFFFFF"/>
        <w:spacing w:after="0" w:line="276" w:lineRule="auto"/>
        <w:ind w:left="426" w:hanging="426"/>
        <w:contextualSpacing w:val="0"/>
        <w:rPr>
          <w:rFonts w:ascii="Times New Roman" w:eastAsia="Times New Roman" w:hAnsi="Times New Roman"/>
          <w:sz w:val="24"/>
          <w:szCs w:val="24"/>
        </w:rPr>
      </w:pPr>
      <w:r w:rsidRPr="00EB4495">
        <w:rPr>
          <w:rFonts w:ascii="Times New Roman" w:eastAsia="Times New Roman" w:hAnsi="Times New Roman"/>
          <w:sz w:val="24"/>
          <w:szCs w:val="24"/>
        </w:rPr>
        <w:t>la réduction des risques d’incendie et d’électrocution ;</w:t>
      </w:r>
    </w:p>
    <w:p w14:paraId="133BBF8D" w14:textId="77777777" w:rsidR="00F768F9" w:rsidRPr="00EB4495" w:rsidRDefault="00F768F9" w:rsidP="00F768F9">
      <w:pPr>
        <w:pStyle w:val="Paragraphedeliste"/>
        <w:numPr>
          <w:ilvl w:val="0"/>
          <w:numId w:val="292"/>
        </w:numPr>
        <w:shd w:val="clear" w:color="auto" w:fill="FFFFFF"/>
        <w:spacing w:after="120" w:line="240"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l’augmentation des recettes de la SNEL et l’Etat.</w:t>
      </w:r>
    </w:p>
    <w:p w14:paraId="76302D5B" w14:textId="77777777" w:rsidR="00F768F9" w:rsidRPr="00CF3F85" w:rsidRDefault="00F768F9" w:rsidP="00215867">
      <w:pPr>
        <w:pStyle w:val="Titre4"/>
        <w:numPr>
          <w:ilvl w:val="0"/>
          <w:numId w:val="290"/>
        </w:numPr>
        <w:spacing w:before="0" w:after="120"/>
        <w:ind w:left="714" w:hanging="357"/>
        <w:rPr>
          <w:b/>
          <w:iCs w:val="0"/>
          <w:color w:val="auto"/>
          <w:szCs w:val="24"/>
        </w:rPr>
      </w:pPr>
      <w:bookmarkStart w:id="492" w:name="_Toc103685647"/>
      <w:bookmarkStart w:id="493" w:name="_Hlk35267173"/>
      <w:r w:rsidRPr="00CF3F85">
        <w:rPr>
          <w:b/>
          <w:iCs w:val="0"/>
          <w:color w:val="auto"/>
          <w:szCs w:val="24"/>
        </w:rPr>
        <w:t>Variante 1 : Réseau MT/BT MALT</w:t>
      </w:r>
      <w:bookmarkEnd w:id="492"/>
    </w:p>
    <w:p w14:paraId="3148F18C"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Cette option consiste à monter et suspendre les transformateurs au poteau électrique moyen tension. La conversion de l’énergie MT-BT se fait directement et la continuité de la ligne ne plus en MT, mais en BT.</w:t>
      </w:r>
    </w:p>
    <w:p w14:paraId="56675A81"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 xml:space="preserve">La distribution de l’énergie électrique vers le consommateur se fait directement en aérien et il n’y pas des cabines occasionnant des servitudes. </w:t>
      </w:r>
    </w:p>
    <w:p w14:paraId="5607EE1D"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Sur le plan technique, cette option est facilement réalisable, ne demande pas des travaux spécifiques et ne nécessite pas non plus des équipements spéciaux. Cependant, elle présente l’inconvénient en cas de coupure des câbles ou d’un pylône qui cède ou tombe, les dégâts seront énormes. Aussi, elle ne permet pas le branchement de plusieurs lignes. Le nombre de connexions est très limité et ne permet pas de suspendre sur le poteau ou pylône des gros transformateurs pouvant alimenter plusieurs ménages.</w:t>
      </w:r>
    </w:p>
    <w:p w14:paraId="0946B3EB"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 xml:space="preserve">Sur le plan économique, cette variante présente de nombreux acquis, car elle est moins onéreuse et sa réalisation est facile. Elle présente également l’inconvénient, en cas de coupure de câble ou de la chute d’un poteau, un manque à gagner pour l’entreprise, les industries et tous les ménages qui sont desservi par le réseau.  </w:t>
      </w:r>
    </w:p>
    <w:p w14:paraId="7870E8A1" w14:textId="0FF49BBE"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 xml:space="preserve">Sur le plan environnemental, les impacts pouvant </w:t>
      </w:r>
      <w:r w:rsidR="00D77642" w:rsidRPr="00EB4495">
        <w:rPr>
          <w:rFonts w:ascii="Times New Roman" w:eastAsia="Times New Roman" w:hAnsi="Times New Roman"/>
          <w:sz w:val="24"/>
          <w:szCs w:val="24"/>
        </w:rPr>
        <w:t>résulter</w:t>
      </w:r>
      <w:r w:rsidRPr="00EB4495">
        <w:rPr>
          <w:rFonts w:ascii="Times New Roman" w:eastAsia="Times New Roman" w:hAnsi="Times New Roman"/>
          <w:sz w:val="24"/>
          <w:szCs w:val="24"/>
        </w:rPr>
        <w:t xml:space="preserve"> des travaux de construction de la cabine seront supprimés. L’excavation et la fouille pour réaliser les fondations de la cabine n’auront pas également lieu. Le gain environnemental que l’on pourrait tirer de cette variante, hormis les activités précitées, serait l’évitement de la pollution des sols et des eaux par les travaux de construction. </w:t>
      </w:r>
    </w:p>
    <w:p w14:paraId="1E99536A" w14:textId="77777777" w:rsidR="00F768F9" w:rsidRPr="00A12FC4" w:rsidRDefault="00F768F9" w:rsidP="00F768F9">
      <w:pPr>
        <w:pStyle w:val="Titre4"/>
        <w:numPr>
          <w:ilvl w:val="0"/>
          <w:numId w:val="290"/>
        </w:numPr>
        <w:rPr>
          <w:b/>
          <w:iCs w:val="0"/>
          <w:color w:val="auto"/>
          <w:szCs w:val="24"/>
        </w:rPr>
      </w:pPr>
      <w:bookmarkStart w:id="494" w:name="_Toc103685648"/>
      <w:r w:rsidRPr="00A12FC4">
        <w:rPr>
          <w:b/>
          <w:iCs w:val="0"/>
          <w:color w:val="auto"/>
          <w:szCs w:val="24"/>
        </w:rPr>
        <w:t xml:space="preserve">Variante 2 : Réseau MT/BT </w:t>
      </w:r>
      <w:r>
        <w:rPr>
          <w:b/>
          <w:iCs w:val="0"/>
          <w:color w:val="auto"/>
          <w:szCs w:val="24"/>
        </w:rPr>
        <w:t>conventionnel</w:t>
      </w:r>
      <w:bookmarkEnd w:id="494"/>
    </w:p>
    <w:p w14:paraId="7B21C4C6"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Comparativement à la variante 1, celle-ci nécessite des travaux spécifique notamment un abri pour logé les équipements et mettre à l’abri des intempéries. Du coup les problèmes fonciers dont l’espace devant occuper la cabine s’impose.</w:t>
      </w:r>
    </w:p>
    <w:p w14:paraId="5986D3C5"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 xml:space="preserve">Cependant, cette option présente l’avantage par rapport à la précédente sur le fait qu’il est possible  d’installer des gros transformateurs et de grande capacité permettant de réaliser en même temps plusieurs branchements sur le réseau.  </w:t>
      </w:r>
    </w:p>
    <w:p w14:paraId="2476FF84"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 xml:space="preserve">Du point de vue économique, cette variante présente un coût d’installation plus élevé que la première, car elle implique des travaux d’architecture, en plus de ceux de génie civil et de génie électrique. </w:t>
      </w:r>
    </w:p>
    <w:p w14:paraId="0435215B"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Sur le plan environnemental, le bilan des impacts pour cette variante sont plus élevés que la première. Car, elle nécessite des fouilles et excavations des terres pour réaliser les fondations de la cabine, ce qui induit des impacts négatifs durant la phase de construction.</w:t>
      </w:r>
    </w:p>
    <w:p w14:paraId="054D4E98"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Après analyse de ces deux variantes, l’option retenue est celle de la 2ème variante, car elle permet de réaliser plusieurs branchements, malgré le coût de réalisation plus élevé que la première. Les impacts découlant des travaux de construction des cabines seront atténuer ou supprimer grâce aux mesures préconisées dans la présente étude.</w:t>
      </w:r>
    </w:p>
    <w:p w14:paraId="01CCC8FB" w14:textId="77777777" w:rsidR="00F768F9" w:rsidRPr="00EB4495" w:rsidRDefault="00F768F9" w:rsidP="00F768F9">
      <w:pPr>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Cette option permet constitue celle qui présente des avantages au niveau social et environnemental suivant :</w:t>
      </w:r>
    </w:p>
    <w:p w14:paraId="2846FBA9"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 xml:space="preserve">l’amélioration de l’accès et de l’assainissement du réseau électrique avec la réduction des risques d’incendie et d’électrocution dans les communes concernées par le projet ; </w:t>
      </w:r>
    </w:p>
    <w:p w14:paraId="463137E5"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 xml:space="preserve">la création d'emplois ; </w:t>
      </w:r>
    </w:p>
    <w:p w14:paraId="693A3131"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l’amélioration de la gestion des déchets ;</w:t>
      </w:r>
    </w:p>
    <w:p w14:paraId="787E1F4E"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 xml:space="preserve">le développement des activités socioéconomiques et culturelles, </w:t>
      </w:r>
    </w:p>
    <w:p w14:paraId="1983F2DE"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 xml:space="preserve">l’amélioration de cadre et conditions de vie des populations riveraines; </w:t>
      </w:r>
    </w:p>
    <w:p w14:paraId="7608E81E"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le renforcement de l’aspect sécuritaire ;</w:t>
      </w:r>
    </w:p>
    <w:p w14:paraId="4EBDACF3"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la préservation du couvert végétal;</w:t>
      </w:r>
    </w:p>
    <w:p w14:paraId="5DA0CF66"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la réduction des émissions des gaz à effet de serre ;</w:t>
      </w:r>
    </w:p>
    <w:p w14:paraId="7D41762F" w14:textId="77777777" w:rsidR="00F768F9" w:rsidRPr="00EB4495" w:rsidRDefault="00F768F9" w:rsidP="00F768F9">
      <w:pPr>
        <w:pStyle w:val="Paragraphedeliste"/>
        <w:numPr>
          <w:ilvl w:val="0"/>
          <w:numId w:val="292"/>
        </w:numPr>
        <w:shd w:val="clear" w:color="auto" w:fill="FFFFFF"/>
        <w:spacing w:after="120" w:line="276" w:lineRule="auto"/>
        <w:ind w:left="426" w:hanging="426"/>
        <w:rPr>
          <w:rFonts w:ascii="Times New Roman" w:eastAsia="Times New Roman" w:hAnsi="Times New Roman"/>
          <w:sz w:val="24"/>
          <w:szCs w:val="24"/>
        </w:rPr>
      </w:pPr>
      <w:r w:rsidRPr="00EB4495">
        <w:rPr>
          <w:rFonts w:ascii="Times New Roman" w:eastAsia="Times New Roman" w:hAnsi="Times New Roman"/>
          <w:sz w:val="24"/>
          <w:szCs w:val="24"/>
        </w:rPr>
        <w:t>l’augmentation des chiffres d’affaire de la SNEL et des recettes fiscales de l’Etat.</w:t>
      </w:r>
    </w:p>
    <w:p w14:paraId="535FEC1F" w14:textId="77777777" w:rsidR="00F768F9" w:rsidRPr="00116300" w:rsidRDefault="00F768F9" w:rsidP="00F768F9">
      <w:pPr>
        <w:pStyle w:val="Titre4"/>
        <w:numPr>
          <w:ilvl w:val="0"/>
          <w:numId w:val="290"/>
        </w:numPr>
        <w:spacing w:before="120" w:after="120"/>
        <w:ind w:left="714" w:hanging="357"/>
        <w:rPr>
          <w:b/>
          <w:i w:val="0"/>
          <w:iCs w:val="0"/>
          <w:color w:val="auto"/>
          <w:szCs w:val="24"/>
        </w:rPr>
      </w:pPr>
      <w:bookmarkStart w:id="495" w:name="_Toc103685649"/>
      <w:r w:rsidRPr="00116300">
        <w:rPr>
          <w:b/>
          <w:i w:val="0"/>
          <w:iCs w:val="0"/>
          <w:color w:val="auto"/>
          <w:szCs w:val="24"/>
        </w:rPr>
        <w:t>Conclusion</w:t>
      </w:r>
      <w:bookmarkEnd w:id="495"/>
      <w:r w:rsidRPr="00116300">
        <w:rPr>
          <w:b/>
          <w:i w:val="0"/>
          <w:iCs w:val="0"/>
          <w:color w:val="auto"/>
          <w:szCs w:val="24"/>
        </w:rPr>
        <w:t xml:space="preserve"> </w:t>
      </w:r>
    </w:p>
    <w:p w14:paraId="21F255A1" w14:textId="77777777" w:rsidR="00F768F9" w:rsidRPr="00EB4495" w:rsidRDefault="00F768F9" w:rsidP="00F768F9">
      <w:pPr>
        <w:shd w:val="clear" w:color="auto" w:fill="FFFFFF"/>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Partant de l'analyse des 2 variantes, la variante retenu pour le DKC est celui du déploiement de l'emplacement du réseau de distribution (MT/BT) en conventionnelle par l'installation des cabines compactes dans les avenues et concessions privées (à acquérir). Cependant, pour la DKO, c'est la variante MALT qui est retenue pour le développement du réseau (MT/BT) de DKO, vue les avantages qu'elles présentent et également au regard des contraintes environnementales (étroitesses de certaines avenues). </w:t>
      </w:r>
    </w:p>
    <w:p w14:paraId="68CBB855" w14:textId="77777777" w:rsidR="00F768F9" w:rsidRPr="00EB4495" w:rsidRDefault="00F768F9" w:rsidP="00F768F9">
      <w:pPr>
        <w:shd w:val="clear" w:color="auto" w:fill="FFFFFF"/>
        <w:spacing w:before="120" w:after="120" w:line="276" w:lineRule="auto"/>
        <w:jc w:val="both"/>
        <w:rPr>
          <w:rFonts w:ascii="Times New Roman" w:eastAsia="Times New Roman" w:hAnsi="Times New Roman"/>
          <w:sz w:val="24"/>
          <w:szCs w:val="24"/>
        </w:rPr>
      </w:pPr>
      <w:r w:rsidRPr="00EB4495">
        <w:rPr>
          <w:rFonts w:ascii="Times New Roman" w:eastAsia="Times New Roman" w:hAnsi="Times New Roman"/>
          <w:sz w:val="24"/>
          <w:szCs w:val="24"/>
        </w:rPr>
        <w:t>Les mesures ci-après seront prises pour palier à certains risques liés au MALT, notamment:</w:t>
      </w:r>
    </w:p>
    <w:p w14:paraId="6A6B9395" w14:textId="77777777" w:rsidR="00F768F9" w:rsidRPr="00EB4495" w:rsidRDefault="00F768F9" w:rsidP="00F768F9">
      <w:pPr>
        <w:pStyle w:val="Paragraphedeliste"/>
        <w:numPr>
          <w:ilvl w:val="0"/>
          <w:numId w:val="291"/>
        </w:numPr>
        <w:shd w:val="clear" w:color="auto" w:fill="FFFFFF"/>
        <w:spacing w:before="120" w:after="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l'utilisation des petits transformateurs monophasés pour éviter la chute de pylône suite au poids des équipements électriques</w:t>
      </w:r>
    </w:p>
    <w:p w14:paraId="3C099AE3" w14:textId="77777777" w:rsidR="00F768F9" w:rsidRPr="00EB4495" w:rsidRDefault="00F768F9" w:rsidP="00F768F9">
      <w:pPr>
        <w:pStyle w:val="Paragraphedeliste"/>
        <w:numPr>
          <w:ilvl w:val="0"/>
          <w:numId w:val="291"/>
        </w:numPr>
        <w:shd w:val="clear" w:color="auto" w:fill="FFFFFF"/>
        <w:spacing w:after="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l'isolation rigide à la chaîne de suspension chaque fois que c'est possible (utiliser l'Alu-acier s'il y a moyen d'avoir de longues portées, surtout en SWE</w:t>
      </w:r>
    </w:p>
    <w:p w14:paraId="5787D58C" w14:textId="77777777" w:rsidR="00F768F9" w:rsidRPr="00EB4495" w:rsidRDefault="00F768F9" w:rsidP="00F768F9">
      <w:pPr>
        <w:pStyle w:val="Paragraphedeliste"/>
        <w:numPr>
          <w:ilvl w:val="0"/>
          <w:numId w:val="291"/>
        </w:numPr>
        <w:shd w:val="clear" w:color="auto" w:fill="FFFFFF"/>
        <w:spacing w:after="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l'utilisation du SWER en bout de réseau (avantage: ne nécessite pas un transformateur d’isolement)  </w:t>
      </w:r>
    </w:p>
    <w:p w14:paraId="111848F5" w14:textId="77777777" w:rsidR="00F768F9" w:rsidRPr="00EB4495" w:rsidRDefault="00F768F9" w:rsidP="00F768F9">
      <w:pPr>
        <w:pStyle w:val="Paragraphedeliste"/>
        <w:numPr>
          <w:ilvl w:val="0"/>
          <w:numId w:val="291"/>
        </w:numPr>
        <w:shd w:val="clear" w:color="auto" w:fill="FFFFFF"/>
        <w:spacing w:after="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l'utilisation de la tension élevée 33/19 kV ou 30/17,3 kV permet de minimiser les pertes et pour plus de sécurité et de rentabilité des extensions SWER</w:t>
      </w:r>
    </w:p>
    <w:p w14:paraId="6BB3A476" w14:textId="36078ADC" w:rsidR="00F768F9" w:rsidRPr="00EB4495" w:rsidRDefault="00F768F9" w:rsidP="00F768F9">
      <w:pPr>
        <w:pStyle w:val="Paragraphedeliste"/>
        <w:numPr>
          <w:ilvl w:val="0"/>
          <w:numId w:val="291"/>
        </w:numPr>
        <w:shd w:val="clear" w:color="auto" w:fill="FFFFFF"/>
        <w:spacing w:after="120" w:line="276" w:lineRule="auto"/>
        <w:ind w:left="425" w:hanging="425"/>
        <w:contextualSpacing w:val="0"/>
        <w:rPr>
          <w:rFonts w:ascii="Times New Roman" w:eastAsia="Times New Roman" w:hAnsi="Times New Roman"/>
          <w:sz w:val="24"/>
          <w:szCs w:val="24"/>
        </w:rPr>
      </w:pPr>
      <w:r w:rsidRPr="00EB4495">
        <w:rPr>
          <w:rFonts w:ascii="Times New Roman" w:eastAsia="Times New Roman" w:hAnsi="Times New Roman"/>
          <w:sz w:val="24"/>
          <w:szCs w:val="24"/>
        </w:rPr>
        <w:t>le positionnement du neutre plus haut que la phase (si possible) pour décourager le vol de conducteur de neutre), etc.</w:t>
      </w:r>
    </w:p>
    <w:bookmarkEnd w:id="493"/>
    <w:p w14:paraId="65B92B51" w14:textId="77777777" w:rsidR="00F768F9" w:rsidRPr="00CE2A3E" w:rsidRDefault="00F768F9" w:rsidP="00F768F9">
      <w:pPr>
        <w:shd w:val="clear" w:color="auto" w:fill="FFFFFF"/>
        <w:spacing w:before="120" w:after="120" w:line="276" w:lineRule="auto"/>
        <w:jc w:val="both"/>
        <w:rPr>
          <w:rFonts w:ascii="Times New Roman" w:eastAsia="Times New Roman" w:hAnsi="Times New Roman"/>
          <w:sz w:val="24"/>
          <w:szCs w:val="24"/>
          <w:u w:val="single"/>
        </w:rPr>
      </w:pPr>
      <w:r w:rsidRPr="00CE2A3E">
        <w:rPr>
          <w:rFonts w:ascii="Times New Roman" w:eastAsia="Times New Roman" w:hAnsi="Times New Roman"/>
          <w:sz w:val="24"/>
          <w:szCs w:val="24"/>
          <w:u w:val="single"/>
        </w:rPr>
        <w:t>Synthèse de l’analyse des deux variantes</w:t>
      </w:r>
    </w:p>
    <w:p w14:paraId="0BBFA45C" w14:textId="77777777" w:rsidR="00F768F9" w:rsidRPr="00EB4495" w:rsidRDefault="00F768F9" w:rsidP="00F768F9">
      <w:pPr>
        <w:shd w:val="clear" w:color="auto" w:fill="FFFFFF"/>
        <w:spacing w:before="120" w:after="120" w:line="276" w:lineRule="auto"/>
        <w:jc w:val="both"/>
        <w:rPr>
          <w:rFonts w:ascii="Times New Roman" w:eastAsia="Times New Roman" w:hAnsi="Times New Roman"/>
          <w:sz w:val="24"/>
          <w:szCs w:val="24"/>
        </w:rPr>
      </w:pPr>
      <w:r>
        <w:rPr>
          <w:rFonts w:ascii="Times New Roman" w:eastAsia="Times New Roman" w:hAnsi="Times New Roman"/>
          <w:sz w:val="24"/>
          <w:szCs w:val="24"/>
        </w:rPr>
        <w:t xml:space="preserve">Dans le cadre de la mise en œuvre du sous-projet, les deux variantes seront exploitées. Le réseau MALT sera principalement implanté dans la commune de Mont-Ngafula et le réseau conventionnel dans les 9 autres communes concernées. </w:t>
      </w:r>
    </w:p>
    <w:p w14:paraId="52112068" w14:textId="77777777" w:rsidR="00F768F9" w:rsidRDefault="00F768F9" w:rsidP="00F768F9">
      <w:pPr>
        <w:spacing w:before="120" w:after="120" w:line="240" w:lineRule="auto"/>
        <w:jc w:val="both"/>
        <w:rPr>
          <w:rFonts w:ascii="Times New Roman" w:eastAsia="Times New Roman" w:hAnsi="Times New Roman"/>
          <w:sz w:val="24"/>
          <w:szCs w:val="24"/>
        </w:rPr>
      </w:pPr>
      <w:r>
        <w:br w:type="page"/>
      </w:r>
      <w:r>
        <w:rPr>
          <w:rFonts w:ascii="Times New Roman" w:eastAsia="Times New Roman" w:hAnsi="Times New Roman"/>
          <w:sz w:val="24"/>
          <w:szCs w:val="24"/>
        </w:rPr>
        <w:t>Sur le plan environnemental :</w:t>
      </w:r>
    </w:p>
    <w:p w14:paraId="76151E74" w14:textId="77777777" w:rsidR="00F768F9" w:rsidRDefault="00F768F9" w:rsidP="00F768F9">
      <w:pPr>
        <w:numPr>
          <w:ilvl w:val="0"/>
          <w:numId w:val="289"/>
        </w:numPr>
        <w:spacing w:after="0" w:line="276" w:lineRule="auto"/>
        <w:ind w:left="425" w:hanging="425"/>
        <w:jc w:val="both"/>
        <w:rPr>
          <w:sz w:val="24"/>
          <w:szCs w:val="24"/>
        </w:rPr>
      </w:pPr>
      <w:r>
        <w:rPr>
          <w:rFonts w:ascii="Times New Roman" w:eastAsia="Times New Roman" w:hAnsi="Times New Roman"/>
          <w:sz w:val="24"/>
          <w:szCs w:val="24"/>
        </w:rPr>
        <w:t>Nécessiter de dégagement de l’emprise, avec comme corollaire la réinstallation physique ou économique des populations</w:t>
      </w:r>
    </w:p>
    <w:p w14:paraId="233E3ED4" w14:textId="77777777" w:rsidR="00F768F9" w:rsidRDefault="00F768F9" w:rsidP="00F768F9">
      <w:pPr>
        <w:spacing w:before="120" w:after="120" w:line="240" w:lineRule="auto"/>
        <w:jc w:val="both"/>
        <w:rPr>
          <w:rFonts w:ascii="Times New Roman" w:eastAsia="Times New Roman" w:hAnsi="Times New Roman"/>
          <w:sz w:val="24"/>
          <w:szCs w:val="24"/>
        </w:rPr>
      </w:pPr>
      <w:r>
        <w:rPr>
          <w:rFonts w:ascii="Times New Roman" w:eastAsia="Times New Roman" w:hAnsi="Times New Roman"/>
          <w:sz w:val="24"/>
          <w:szCs w:val="24"/>
        </w:rPr>
        <w:t>Eu égard à ce qui précède, cette option constitue la variante optimale, elle est techniquement, économiquement réalisable, et environnementalement viable. D’où, c’est cette variante qui est proposé pour la réalisation du projet. Les impacts que présente cette variante sur le plan économique et technique pourraient être prévenus par des entretiens courants et inspections régulières de la ligne.</w:t>
      </w:r>
    </w:p>
    <w:p w14:paraId="25FD1A11" w14:textId="77777777" w:rsidR="00F768F9" w:rsidRDefault="00F768F9" w:rsidP="00F768F9"/>
    <w:p w14:paraId="616E03B7" w14:textId="77777777" w:rsidR="00F22655" w:rsidRPr="00420C1B" w:rsidRDefault="00F22655">
      <w:pPr>
        <w:rPr>
          <w:rFonts w:ascii="Times New Roman" w:eastAsia="Times New Roman" w:hAnsi="Times New Roman"/>
          <w:b/>
          <w:sz w:val="24"/>
          <w:szCs w:val="32"/>
        </w:rPr>
      </w:pPr>
      <w:r w:rsidRPr="00D75D2E">
        <w:br w:type="page"/>
      </w:r>
    </w:p>
    <w:p w14:paraId="549161E4" w14:textId="77777777" w:rsidR="001F0DC2" w:rsidRPr="00D75D2E" w:rsidRDefault="001F0DC2" w:rsidP="00AE31F1">
      <w:pPr>
        <w:pStyle w:val="Titre1"/>
        <w:numPr>
          <w:ilvl w:val="0"/>
          <w:numId w:val="54"/>
        </w:numPr>
        <w:spacing w:after="120"/>
        <w:ind w:left="357" w:hanging="357"/>
      </w:pPr>
      <w:bookmarkStart w:id="496" w:name="_Toc103685650"/>
      <w:r w:rsidRPr="00D75D2E">
        <w:t>RISQUES ET EFFETS ENVIRONNEMENTAUX ET SOCIAUX</w:t>
      </w:r>
      <w:bookmarkStart w:id="497" w:name="_Toc452538239"/>
      <w:bookmarkEnd w:id="496"/>
    </w:p>
    <w:p w14:paraId="68653C92" w14:textId="77777777" w:rsidR="00ED17F3" w:rsidRPr="00D75D2E" w:rsidRDefault="00EB19DB" w:rsidP="00AE31F1">
      <w:pPr>
        <w:pStyle w:val="Titre1"/>
        <w:numPr>
          <w:ilvl w:val="1"/>
          <w:numId w:val="54"/>
        </w:numPr>
        <w:spacing w:before="120" w:after="120"/>
      </w:pPr>
      <w:bookmarkStart w:id="498" w:name="_Toc16663498"/>
      <w:bookmarkStart w:id="499" w:name="_Toc16663672"/>
      <w:bookmarkStart w:id="500" w:name="_Toc16664917"/>
      <w:bookmarkStart w:id="501" w:name="_Toc103685651"/>
      <w:bookmarkEnd w:id="497"/>
      <w:r w:rsidRPr="00D75D2E">
        <w:t>Méthodes et techniques utilisées dans l’évaluation et analyse des impacts</w:t>
      </w:r>
      <w:bookmarkEnd w:id="498"/>
      <w:bookmarkEnd w:id="499"/>
      <w:bookmarkEnd w:id="500"/>
      <w:bookmarkEnd w:id="501"/>
      <w:r w:rsidRPr="00D75D2E">
        <w:t xml:space="preserve"> </w:t>
      </w:r>
    </w:p>
    <w:p w14:paraId="0ED19797" w14:textId="57E0662F" w:rsidR="00ED17F3" w:rsidRPr="00D75D2E" w:rsidRDefault="00ED17F3"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Les impacts générés par le</w:t>
      </w:r>
      <w:r w:rsidR="00C22310">
        <w:rPr>
          <w:rFonts w:ascii="Times New Roman" w:hAnsi="Times New Roman"/>
          <w:sz w:val="24"/>
          <w:szCs w:val="24"/>
        </w:rPr>
        <w:t xml:space="preserve"> sous-</w:t>
      </w:r>
      <w:r w:rsidRPr="00215867">
        <w:rPr>
          <w:rFonts w:ascii="Times New Roman" w:hAnsi="Times New Roman"/>
          <w:sz w:val="24"/>
          <w:szCs w:val="24"/>
        </w:rPr>
        <w:t>projet</w:t>
      </w:r>
      <w:r w:rsidRPr="00D75D2E">
        <w:rPr>
          <w:rFonts w:ascii="Times New Roman" w:hAnsi="Times New Roman"/>
          <w:sz w:val="24"/>
          <w:szCs w:val="24"/>
        </w:rPr>
        <w:t xml:space="preserve"> sur la matrice socio-environnementale sont pris en compte à travers deux grandes étapes : d’abord l'identification et l'analyse des impacts socio-environnementaux puis l'évaluation de l'importance des impacts identifiés.</w:t>
      </w:r>
    </w:p>
    <w:p w14:paraId="19B13A93" w14:textId="10FADD53" w:rsidR="00ED17F3" w:rsidRPr="00D75D2E" w:rsidRDefault="00ED17F3" w:rsidP="00AE31F1">
      <w:pPr>
        <w:pStyle w:val="Paragraphedeliste"/>
        <w:keepNext/>
        <w:keepLines/>
        <w:numPr>
          <w:ilvl w:val="2"/>
          <w:numId w:val="54"/>
        </w:numPr>
        <w:tabs>
          <w:tab w:val="left" w:pos="851"/>
        </w:tabs>
        <w:spacing w:before="120" w:after="120" w:line="240" w:lineRule="auto"/>
        <w:contextualSpacing w:val="0"/>
        <w:outlineLvl w:val="1"/>
        <w:rPr>
          <w:rFonts w:ascii="Times New Roman" w:eastAsia="Times New Roman" w:hAnsi="Times New Roman"/>
          <w:b/>
          <w:sz w:val="24"/>
          <w:szCs w:val="24"/>
        </w:rPr>
      </w:pPr>
      <w:bookmarkStart w:id="502" w:name="_Toc452538240"/>
      <w:bookmarkStart w:id="503" w:name="_Toc16663499"/>
      <w:bookmarkStart w:id="504" w:name="_Toc16663673"/>
      <w:bookmarkStart w:id="505" w:name="_Toc16664918"/>
      <w:bookmarkStart w:id="506" w:name="_Toc103685652"/>
      <w:r w:rsidRPr="00D75D2E">
        <w:rPr>
          <w:rFonts w:ascii="Times New Roman" w:eastAsia="Times New Roman" w:hAnsi="Times New Roman"/>
          <w:b/>
          <w:sz w:val="24"/>
          <w:szCs w:val="24"/>
        </w:rPr>
        <w:t>Identification des impacts</w:t>
      </w:r>
      <w:bookmarkEnd w:id="502"/>
      <w:bookmarkEnd w:id="503"/>
      <w:bookmarkEnd w:id="504"/>
      <w:bookmarkEnd w:id="505"/>
      <w:bookmarkEnd w:id="506"/>
    </w:p>
    <w:p w14:paraId="3F20CE27" w14:textId="77777777" w:rsidR="00ED17F3" w:rsidRPr="00D75D2E" w:rsidRDefault="00ED17F3"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Elle se fait par confrontation des composantes du milieu récepteur aux activités de chaque phase du projet. La méthode la plus fréquemment utilisée est la matrice notamment celle de Luna Léopold (1971). C’est une matrice d’interrelation, mettant en relation les activités du projet source d’impacts, avec les composantes de l’environnement du projet. Chaque interrelation identifiée représente un impact probable d’une activité du projet sur une composante de l’environnement. Ainsi, il s’agira de :</w:t>
      </w:r>
    </w:p>
    <w:p w14:paraId="68918336" w14:textId="77777777" w:rsidR="00ED17F3" w:rsidRPr="00D75D2E" w:rsidRDefault="00ED17F3" w:rsidP="00FD1CA1">
      <w:pPr>
        <w:numPr>
          <w:ilvl w:val="0"/>
          <w:numId w:val="2"/>
        </w:numPr>
        <w:spacing w:after="0" w:line="240" w:lineRule="auto"/>
        <w:jc w:val="both"/>
        <w:rPr>
          <w:rFonts w:ascii="Times New Roman" w:hAnsi="Times New Roman"/>
          <w:iCs/>
          <w:sz w:val="24"/>
          <w:szCs w:val="24"/>
        </w:rPr>
      </w:pPr>
      <w:r w:rsidRPr="00D75D2E">
        <w:rPr>
          <w:rFonts w:ascii="Times New Roman" w:hAnsi="Times New Roman"/>
          <w:iCs/>
          <w:sz w:val="24"/>
          <w:szCs w:val="24"/>
        </w:rPr>
        <w:t>dégager les composantes du projet proposé et les moyens de sa réalisation tels que spécifiés dans les termes de référence,</w:t>
      </w:r>
    </w:p>
    <w:p w14:paraId="31638EAD" w14:textId="77777777" w:rsidR="00ED17F3" w:rsidRPr="00D75D2E" w:rsidRDefault="00ED17F3" w:rsidP="00FD1CA1">
      <w:pPr>
        <w:numPr>
          <w:ilvl w:val="0"/>
          <w:numId w:val="2"/>
        </w:numPr>
        <w:spacing w:after="0" w:line="240" w:lineRule="auto"/>
        <w:jc w:val="both"/>
        <w:rPr>
          <w:rFonts w:ascii="Times New Roman" w:hAnsi="Times New Roman"/>
          <w:iCs/>
          <w:sz w:val="24"/>
          <w:szCs w:val="24"/>
        </w:rPr>
      </w:pPr>
      <w:r w:rsidRPr="00D75D2E">
        <w:rPr>
          <w:rFonts w:ascii="Times New Roman" w:hAnsi="Times New Roman"/>
          <w:iCs/>
          <w:sz w:val="24"/>
          <w:szCs w:val="24"/>
        </w:rPr>
        <w:t>prendre connaissance de l’état initial de l’environnement d’insertion du projet par la revue bibliographique et la prospection de terrain.</w:t>
      </w:r>
    </w:p>
    <w:p w14:paraId="53655771" w14:textId="77777777" w:rsidR="00ED17F3" w:rsidRPr="00D75D2E" w:rsidRDefault="00ED17F3" w:rsidP="00E737B4">
      <w:pPr>
        <w:spacing w:before="120" w:after="120" w:line="240" w:lineRule="auto"/>
        <w:jc w:val="both"/>
        <w:rPr>
          <w:rFonts w:ascii="Times New Roman" w:hAnsi="Times New Roman"/>
          <w:sz w:val="20"/>
          <w:szCs w:val="20"/>
        </w:rPr>
      </w:pPr>
      <w:r w:rsidRPr="00D75D2E">
        <w:rPr>
          <w:rFonts w:ascii="Times New Roman" w:hAnsi="Times New Roman"/>
          <w:sz w:val="24"/>
          <w:szCs w:val="24"/>
        </w:rPr>
        <w:t xml:space="preserve">La synthèse de la matrice d’impacts se fera sous forme de tableau. </w:t>
      </w:r>
    </w:p>
    <w:p w14:paraId="71D866A9" w14:textId="2B98D502" w:rsidR="00ED17F3" w:rsidRPr="00D75D2E" w:rsidRDefault="00ED17F3" w:rsidP="00AE31F1">
      <w:pPr>
        <w:pStyle w:val="Paragraphedeliste"/>
        <w:keepNext/>
        <w:keepLines/>
        <w:numPr>
          <w:ilvl w:val="2"/>
          <w:numId w:val="54"/>
        </w:numPr>
        <w:tabs>
          <w:tab w:val="left" w:pos="851"/>
        </w:tabs>
        <w:spacing w:before="120" w:after="120" w:line="240" w:lineRule="auto"/>
        <w:contextualSpacing w:val="0"/>
        <w:outlineLvl w:val="1"/>
        <w:rPr>
          <w:rFonts w:ascii="Times New Roman" w:eastAsia="Times New Roman" w:hAnsi="Times New Roman"/>
          <w:b/>
          <w:sz w:val="24"/>
          <w:szCs w:val="24"/>
        </w:rPr>
      </w:pPr>
      <w:bookmarkStart w:id="507" w:name="_Toc452538241"/>
      <w:bookmarkStart w:id="508" w:name="_Toc16663500"/>
      <w:bookmarkStart w:id="509" w:name="_Toc16663674"/>
      <w:bookmarkStart w:id="510" w:name="_Toc16664919"/>
      <w:bookmarkStart w:id="511" w:name="_Toc103685653"/>
      <w:r w:rsidRPr="00D75D2E">
        <w:rPr>
          <w:rFonts w:ascii="Times New Roman" w:eastAsia="Times New Roman" w:hAnsi="Times New Roman"/>
          <w:b/>
          <w:sz w:val="24"/>
          <w:szCs w:val="24"/>
        </w:rPr>
        <w:t>Evaluation des impacts</w:t>
      </w:r>
      <w:bookmarkEnd w:id="507"/>
      <w:bookmarkEnd w:id="508"/>
      <w:bookmarkEnd w:id="509"/>
      <w:bookmarkEnd w:id="510"/>
      <w:bookmarkEnd w:id="511"/>
    </w:p>
    <w:p w14:paraId="15E74EB8" w14:textId="77777777" w:rsidR="00655A9B" w:rsidRPr="00D75D2E" w:rsidRDefault="00655A9B"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Elle vise à déterminer le degré d’importance des impacts dans la perturbation de l’environnement. La méthode utilisée consiste à déterminer, par la combinaison des critères d’intensité, de portée et de durée, l’importance de l’impact sur le milieu social et biophysique. L'évaluation de la signification des impacts comporte plusieurs étapes, à savoir :</w:t>
      </w:r>
    </w:p>
    <w:p w14:paraId="65C39CEB" w14:textId="77777777" w:rsidR="00655A9B" w:rsidRPr="00D75D2E" w:rsidRDefault="00655A9B" w:rsidP="008C79F0">
      <w:pPr>
        <w:numPr>
          <w:ilvl w:val="0"/>
          <w:numId w:val="73"/>
        </w:numPr>
        <w:spacing w:after="0" w:line="240" w:lineRule="auto"/>
        <w:ind w:left="426" w:hanging="426"/>
        <w:contextualSpacing/>
        <w:jc w:val="both"/>
        <w:rPr>
          <w:rFonts w:ascii="Times New Roman" w:hAnsi="Times New Roman"/>
          <w:sz w:val="24"/>
          <w:szCs w:val="24"/>
        </w:rPr>
      </w:pPr>
      <w:r w:rsidRPr="00D75D2E">
        <w:rPr>
          <w:rFonts w:ascii="Times New Roman" w:hAnsi="Times New Roman"/>
          <w:sz w:val="24"/>
          <w:szCs w:val="24"/>
        </w:rPr>
        <w:t>Étape 1 : établir la liste des activités-sources d'impact et déterminer les composantes environnementales susceptibles d'être affectées par celles-ci.</w:t>
      </w:r>
    </w:p>
    <w:p w14:paraId="1C67C66E" w14:textId="77777777" w:rsidR="00655A9B" w:rsidRPr="00D75D2E" w:rsidRDefault="00655A9B" w:rsidP="008C79F0">
      <w:pPr>
        <w:numPr>
          <w:ilvl w:val="0"/>
          <w:numId w:val="73"/>
        </w:numPr>
        <w:spacing w:after="0" w:line="240" w:lineRule="auto"/>
        <w:ind w:left="426" w:hanging="426"/>
        <w:contextualSpacing/>
        <w:jc w:val="both"/>
        <w:rPr>
          <w:rFonts w:ascii="Times New Roman" w:hAnsi="Times New Roman"/>
          <w:sz w:val="24"/>
          <w:szCs w:val="24"/>
        </w:rPr>
      </w:pPr>
      <w:r w:rsidRPr="00D75D2E">
        <w:rPr>
          <w:rFonts w:ascii="Times New Roman" w:hAnsi="Times New Roman"/>
          <w:sz w:val="24"/>
          <w:szCs w:val="24"/>
        </w:rPr>
        <w:t>Étape 2 : évaluer l'intensité de la perturbation imposée à chaque composante et déterminer la durée et l'étendue des effets générés par chaque activité.</w:t>
      </w:r>
    </w:p>
    <w:p w14:paraId="54342262" w14:textId="77777777" w:rsidR="00655A9B" w:rsidRPr="00D75D2E" w:rsidRDefault="00655A9B" w:rsidP="00E737B4">
      <w:pPr>
        <w:numPr>
          <w:ilvl w:val="0"/>
          <w:numId w:val="6"/>
        </w:numPr>
        <w:spacing w:before="120" w:after="120" w:line="240" w:lineRule="auto"/>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La durée de l’impact </w:t>
      </w:r>
    </w:p>
    <w:p w14:paraId="6F17DAD2" w14:textId="77777777" w:rsidR="00655A9B" w:rsidRPr="00D75D2E" w:rsidRDefault="00655A9B"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Elle se réfère à la période pendant laquelle se font sentir les effets d'une intervention sur le milieu. On distingue ainsi les variantes suivantes :</w:t>
      </w:r>
    </w:p>
    <w:p w14:paraId="0132A699" w14:textId="77777777" w:rsidR="00655A9B" w:rsidRPr="00D75D2E" w:rsidRDefault="00655A9B" w:rsidP="00FD1CA1">
      <w:pPr>
        <w:numPr>
          <w:ilvl w:val="0"/>
          <w:numId w:val="7"/>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longue : la durée est longue lorsque la perturbation va au-delà de 5 ans et se prolonge même après la fin du projet;</w:t>
      </w:r>
    </w:p>
    <w:p w14:paraId="0F2DFC40" w14:textId="77777777" w:rsidR="00655A9B" w:rsidRPr="00D75D2E" w:rsidRDefault="00655A9B" w:rsidP="00FD1CA1">
      <w:pPr>
        <w:numPr>
          <w:ilvl w:val="0"/>
          <w:numId w:val="7"/>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 xml:space="preserve">moyenne : </w:t>
      </w:r>
      <w:r w:rsidRPr="00D75D2E">
        <w:rPr>
          <w:rFonts w:ascii="Times New Roman" w:hAnsi="Times New Roman"/>
          <w:iCs/>
          <w:sz w:val="24"/>
          <w:szCs w:val="24"/>
          <w:lang w:eastAsia="x-none"/>
        </w:rPr>
        <w:t>l</w:t>
      </w:r>
      <w:r w:rsidRPr="00D75D2E">
        <w:rPr>
          <w:rFonts w:ascii="Times New Roman" w:hAnsi="Times New Roman"/>
          <w:iCs/>
          <w:sz w:val="24"/>
          <w:szCs w:val="24"/>
          <w:lang w:val="x-none" w:eastAsia="x-none"/>
        </w:rPr>
        <w:t>a durée est moyenne lorsque la perturbation se prolonge après la fin de l’activité et peut</w:t>
      </w:r>
      <w:r w:rsidRPr="00D75D2E">
        <w:rPr>
          <w:rFonts w:ascii="Times New Roman" w:hAnsi="Times New Roman"/>
          <w:iCs/>
          <w:sz w:val="24"/>
          <w:szCs w:val="24"/>
          <w:lang w:eastAsia="x-none"/>
        </w:rPr>
        <w:t xml:space="preserve"> </w:t>
      </w:r>
      <w:r w:rsidRPr="00D75D2E">
        <w:rPr>
          <w:rFonts w:ascii="Times New Roman" w:hAnsi="Times New Roman"/>
          <w:iCs/>
          <w:sz w:val="24"/>
          <w:szCs w:val="24"/>
          <w:lang w:val="x-none" w:eastAsia="x-none"/>
        </w:rPr>
        <w:t>atteindre environ 5 ans;</w:t>
      </w:r>
    </w:p>
    <w:p w14:paraId="7232CD5C" w14:textId="77777777" w:rsidR="00655A9B" w:rsidRPr="00D75D2E" w:rsidRDefault="00655A9B" w:rsidP="00FD1CA1">
      <w:pPr>
        <w:numPr>
          <w:ilvl w:val="0"/>
          <w:numId w:val="7"/>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courte</w:t>
      </w:r>
      <w:r w:rsidRPr="00D75D2E">
        <w:rPr>
          <w:rFonts w:ascii="Times New Roman" w:hAnsi="Times New Roman"/>
          <w:iCs/>
          <w:sz w:val="24"/>
          <w:szCs w:val="24"/>
          <w:lang w:eastAsia="x-none"/>
        </w:rPr>
        <w:t xml:space="preserve"> ou temporaire </w:t>
      </w:r>
      <w:r w:rsidRPr="00D75D2E">
        <w:rPr>
          <w:rFonts w:ascii="Times New Roman" w:hAnsi="Times New Roman"/>
          <w:iCs/>
          <w:sz w:val="24"/>
          <w:szCs w:val="24"/>
          <w:lang w:val="x-none" w:eastAsia="x-none"/>
        </w:rPr>
        <w:t> : l’impact est limité à la durée de construction du projet ou moins.</w:t>
      </w:r>
      <w:r w:rsidRPr="00D75D2E">
        <w:rPr>
          <w:rFonts w:ascii="Times New Roman" w:hAnsi="Times New Roman"/>
          <w:iCs/>
          <w:sz w:val="24"/>
          <w:szCs w:val="24"/>
          <w:lang w:eastAsia="x-none"/>
        </w:rPr>
        <w:t xml:space="preserve"> Cela signifie que </w:t>
      </w:r>
      <w:r w:rsidRPr="00D75D2E">
        <w:rPr>
          <w:rFonts w:ascii="Times New Roman" w:hAnsi="Times New Roman"/>
          <w:iCs/>
          <w:sz w:val="24"/>
          <w:szCs w:val="24"/>
          <w:lang w:val="x-none" w:eastAsia="x-none"/>
        </w:rPr>
        <w:t>la perturbation est bien circonscrite dans le temps et s’arrête avec la fin de l’activité source d’impact</w:t>
      </w:r>
      <w:r w:rsidRPr="00D75D2E">
        <w:rPr>
          <w:rFonts w:ascii="Times New Roman" w:hAnsi="Times New Roman"/>
          <w:iCs/>
          <w:sz w:val="24"/>
          <w:szCs w:val="24"/>
          <w:lang w:eastAsia="x-none"/>
        </w:rPr>
        <w:t>.</w:t>
      </w:r>
    </w:p>
    <w:p w14:paraId="21FD2AE9" w14:textId="77777777" w:rsidR="00655A9B" w:rsidRPr="00D75D2E" w:rsidRDefault="00655A9B" w:rsidP="00E737B4">
      <w:pPr>
        <w:numPr>
          <w:ilvl w:val="0"/>
          <w:numId w:val="6"/>
        </w:numPr>
        <w:spacing w:before="120" w:after="120" w:line="240" w:lineRule="auto"/>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L’intensité de l’impact</w:t>
      </w:r>
    </w:p>
    <w:p w14:paraId="0863FED8" w14:textId="77777777" w:rsidR="00655A9B" w:rsidRPr="00D75D2E" w:rsidRDefault="00655A9B"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Elle traduit l'ampleur des modifications observées sur la composante affectée. </w:t>
      </w:r>
    </w:p>
    <w:p w14:paraId="7F3461E8" w14:textId="77777777" w:rsidR="00655A9B" w:rsidRPr="00D75D2E" w:rsidRDefault="00655A9B" w:rsidP="00FD1CA1">
      <w:pPr>
        <w:numPr>
          <w:ilvl w:val="0"/>
          <w:numId w:val="8"/>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forte : l’activité affecte lourdement l’intégrité de la composante ou son utilisation et compromet sa pérennité</w:t>
      </w:r>
      <w:r w:rsidRPr="00D75D2E">
        <w:rPr>
          <w:rFonts w:ascii="Times New Roman" w:hAnsi="Times New Roman"/>
          <w:iCs/>
          <w:sz w:val="24"/>
          <w:szCs w:val="24"/>
          <w:lang w:eastAsia="x-none"/>
        </w:rPr>
        <w:t xml:space="preserve">. Cela signifie que l’activité </w:t>
      </w:r>
      <w:r w:rsidRPr="00D75D2E">
        <w:rPr>
          <w:rFonts w:ascii="Times New Roman" w:hAnsi="Times New Roman"/>
          <w:iCs/>
          <w:sz w:val="24"/>
          <w:szCs w:val="24"/>
          <w:lang w:val="x-none" w:eastAsia="x-none"/>
        </w:rPr>
        <w:t>altère ou améliore de façon significative un ou plusieurs éléments environnementaux, remettant en cause leur intégrité ou diminuant considérablement leur utilisation, leur caractéristique ou leur qualité. ;</w:t>
      </w:r>
    </w:p>
    <w:p w14:paraId="179CFF63" w14:textId="77777777" w:rsidR="00655A9B" w:rsidRPr="00051E1D" w:rsidRDefault="00655A9B" w:rsidP="00FD1CA1">
      <w:pPr>
        <w:numPr>
          <w:ilvl w:val="0"/>
          <w:numId w:val="8"/>
        </w:numPr>
        <w:spacing w:after="0" w:line="240" w:lineRule="auto"/>
        <w:jc w:val="both"/>
        <w:rPr>
          <w:rFonts w:ascii="Times New Roman" w:hAnsi="Times New Roman"/>
          <w:iCs/>
          <w:sz w:val="24"/>
          <w:szCs w:val="24"/>
          <w:lang w:val="x-none" w:eastAsia="x-none"/>
        </w:rPr>
      </w:pPr>
      <w:r w:rsidRPr="00051E1D">
        <w:rPr>
          <w:rFonts w:ascii="Times New Roman" w:hAnsi="Times New Roman"/>
          <w:iCs/>
          <w:sz w:val="24"/>
          <w:szCs w:val="24"/>
          <w:lang w:val="x-none" w:eastAsia="x-none"/>
        </w:rPr>
        <w:t>moyenne : l’activité affecte sensiblement l’intégrité de la composante ou son utilisation, mais sans compromettre sa pérennité ;</w:t>
      </w:r>
    </w:p>
    <w:p w14:paraId="7CFE4769" w14:textId="77777777" w:rsidR="00655A9B" w:rsidRPr="00051E1D" w:rsidRDefault="00655A9B" w:rsidP="00FD1CA1">
      <w:pPr>
        <w:numPr>
          <w:ilvl w:val="0"/>
          <w:numId w:val="8"/>
        </w:numPr>
        <w:spacing w:after="0" w:line="240" w:lineRule="auto"/>
        <w:jc w:val="both"/>
        <w:rPr>
          <w:rFonts w:ascii="Times New Roman" w:hAnsi="Times New Roman"/>
          <w:iCs/>
          <w:sz w:val="24"/>
          <w:szCs w:val="24"/>
          <w:lang w:val="x-none" w:eastAsia="x-none"/>
        </w:rPr>
      </w:pPr>
      <w:r w:rsidRPr="00FD2747">
        <w:rPr>
          <w:rFonts w:ascii="Times New Roman" w:hAnsi="Times New Roman"/>
          <w:iCs/>
          <w:sz w:val="24"/>
          <w:szCs w:val="24"/>
          <w:lang w:val="x-none" w:eastAsia="x-none"/>
        </w:rPr>
        <w:t xml:space="preserve">faible : l’activité affecte peu l’intégrité de la composante </w:t>
      </w:r>
      <w:r w:rsidRPr="00787EE3">
        <w:rPr>
          <w:rFonts w:ascii="Times New Roman" w:hAnsi="Times New Roman"/>
          <w:iCs/>
          <w:sz w:val="24"/>
          <w:szCs w:val="24"/>
          <w:lang w:val="x-none" w:eastAsia="x-none"/>
        </w:rPr>
        <w:t>ou son utilisation</w:t>
      </w:r>
      <w:r w:rsidRPr="00787EE3">
        <w:rPr>
          <w:rFonts w:ascii="Times New Roman" w:hAnsi="Times New Roman"/>
          <w:iCs/>
          <w:sz w:val="24"/>
          <w:szCs w:val="24"/>
          <w:lang w:eastAsia="x-none"/>
        </w:rPr>
        <w:t xml:space="preserve"> c’est à dire que l’activité </w:t>
      </w:r>
      <w:r w:rsidRPr="00E737B4">
        <w:rPr>
          <w:rFonts w:ascii="Times New Roman" w:hAnsi="Times New Roman"/>
          <w:iCs/>
          <w:sz w:val="24"/>
          <w:szCs w:val="24"/>
          <w:lang w:val="x-none" w:eastAsia="x-none"/>
        </w:rPr>
        <w:t>altère ou améliore de façon peu perceptible un ou deux éléments environnementaux, sans modifier significativement leur utilisation, leur caractéristique ou leur qualité</w:t>
      </w:r>
      <w:r w:rsidRPr="00051E1D">
        <w:rPr>
          <w:rFonts w:ascii="Times New Roman" w:hAnsi="Times New Roman"/>
          <w:iCs/>
          <w:sz w:val="24"/>
          <w:szCs w:val="24"/>
          <w:lang w:val="x-none" w:eastAsia="x-none"/>
        </w:rPr>
        <w:t>.</w:t>
      </w:r>
    </w:p>
    <w:p w14:paraId="42068E2A" w14:textId="77777777" w:rsidR="00655A9B" w:rsidRPr="00D75D2E" w:rsidRDefault="00655A9B" w:rsidP="00E737B4">
      <w:pPr>
        <w:numPr>
          <w:ilvl w:val="0"/>
          <w:numId w:val="6"/>
        </w:numPr>
        <w:spacing w:before="120" w:after="120" w:line="240" w:lineRule="auto"/>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L’étendue de l’impact</w:t>
      </w:r>
    </w:p>
    <w:p w14:paraId="1088C763" w14:textId="77777777" w:rsidR="00655A9B" w:rsidRPr="00D75D2E" w:rsidRDefault="00655A9B"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Elle traduit la portée de l’impact.</w:t>
      </w:r>
    </w:p>
    <w:p w14:paraId="6A55EA8B" w14:textId="77777777" w:rsidR="00655A9B" w:rsidRPr="00D75D2E" w:rsidRDefault="00655A9B" w:rsidP="00FD1CA1">
      <w:pPr>
        <w:numPr>
          <w:ilvl w:val="0"/>
          <w:numId w:val="9"/>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 xml:space="preserve">régionale : l’impact s’étend sur </w:t>
      </w:r>
      <w:r w:rsidRPr="00D75D2E">
        <w:rPr>
          <w:rFonts w:ascii="Times New Roman" w:hAnsi="Times New Roman"/>
          <w:iCs/>
          <w:sz w:val="24"/>
          <w:szCs w:val="24"/>
          <w:lang w:eastAsia="x-none"/>
        </w:rPr>
        <w:t xml:space="preserve">la ville province de Kinshasa </w:t>
      </w:r>
      <w:r w:rsidRPr="00D75D2E">
        <w:rPr>
          <w:rFonts w:ascii="Times New Roman" w:hAnsi="Times New Roman"/>
          <w:iCs/>
          <w:sz w:val="24"/>
          <w:szCs w:val="24"/>
          <w:lang w:val="x-none" w:eastAsia="x-none"/>
        </w:rPr>
        <w:t xml:space="preserve"> ou sur une large portion de</w:t>
      </w:r>
      <w:r w:rsidRPr="00D75D2E">
        <w:rPr>
          <w:rFonts w:ascii="Times New Roman" w:hAnsi="Times New Roman"/>
          <w:iCs/>
          <w:sz w:val="24"/>
          <w:szCs w:val="24"/>
          <w:lang w:eastAsia="x-none"/>
        </w:rPr>
        <w:t xml:space="preserve"> cette ville</w:t>
      </w:r>
      <w:r w:rsidRPr="00D75D2E">
        <w:rPr>
          <w:rFonts w:ascii="Times New Roman" w:hAnsi="Times New Roman"/>
          <w:iCs/>
          <w:sz w:val="24"/>
          <w:szCs w:val="24"/>
          <w:lang w:val="x-none" w:eastAsia="x-none"/>
        </w:rPr>
        <w:t> ;</w:t>
      </w:r>
    </w:p>
    <w:p w14:paraId="7D13BE91" w14:textId="77777777" w:rsidR="00655A9B" w:rsidRPr="00D75D2E" w:rsidRDefault="00655A9B" w:rsidP="00FD1CA1">
      <w:pPr>
        <w:numPr>
          <w:ilvl w:val="0"/>
          <w:numId w:val="9"/>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 xml:space="preserve">locale : l’impact s’étend sur une superficie de la dimension </w:t>
      </w:r>
      <w:r w:rsidRPr="00D75D2E">
        <w:rPr>
          <w:rFonts w:ascii="Times New Roman" w:hAnsi="Times New Roman"/>
          <w:iCs/>
          <w:sz w:val="24"/>
          <w:szCs w:val="24"/>
          <w:lang w:eastAsia="x-none"/>
        </w:rPr>
        <w:t>des quartiers ou communes</w:t>
      </w:r>
      <w:r w:rsidRPr="00D75D2E">
        <w:rPr>
          <w:rFonts w:ascii="Times New Roman" w:hAnsi="Times New Roman"/>
          <w:iCs/>
          <w:sz w:val="24"/>
          <w:szCs w:val="24"/>
          <w:lang w:val="x-none" w:eastAsia="x-none"/>
        </w:rPr>
        <w:t xml:space="preserve">, ou affecte la population </w:t>
      </w:r>
      <w:r w:rsidRPr="00D75D2E">
        <w:rPr>
          <w:rFonts w:ascii="Times New Roman" w:hAnsi="Times New Roman"/>
          <w:iCs/>
          <w:sz w:val="24"/>
          <w:szCs w:val="24"/>
          <w:lang w:eastAsia="x-none"/>
        </w:rPr>
        <w:t>des quartiers traversés ou des communes</w:t>
      </w:r>
      <w:r w:rsidRPr="00D75D2E">
        <w:rPr>
          <w:rFonts w:ascii="Times New Roman" w:hAnsi="Times New Roman"/>
          <w:iCs/>
          <w:sz w:val="24"/>
          <w:szCs w:val="24"/>
          <w:lang w:val="x-none" w:eastAsia="x-none"/>
        </w:rPr>
        <w:t> ;</w:t>
      </w:r>
    </w:p>
    <w:p w14:paraId="7982CC57" w14:textId="77777777" w:rsidR="00655A9B" w:rsidRPr="00D75D2E" w:rsidRDefault="00655A9B" w:rsidP="00FD1CA1">
      <w:pPr>
        <w:numPr>
          <w:ilvl w:val="0"/>
          <w:numId w:val="9"/>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ponctuelle : l’impact s’étend sur une petite superficie inférieure à la dimension d’un secteur, ou n’affecte que quelques personnes ou un petit groupe de personnes.</w:t>
      </w:r>
    </w:p>
    <w:p w14:paraId="29E615A0" w14:textId="77777777" w:rsidR="00655A9B" w:rsidRPr="00D75D2E" w:rsidRDefault="00655A9B" w:rsidP="00E737B4">
      <w:pPr>
        <w:spacing w:before="120" w:after="120" w:line="20" w:lineRule="atLeast"/>
        <w:jc w:val="both"/>
        <w:rPr>
          <w:rFonts w:ascii="Times New Roman" w:hAnsi="Times New Roman"/>
          <w:b/>
          <w:i/>
          <w:sz w:val="24"/>
          <w:szCs w:val="24"/>
        </w:rPr>
      </w:pPr>
      <w:r w:rsidRPr="00D75D2E">
        <w:rPr>
          <w:rFonts w:ascii="Times New Roman" w:hAnsi="Times New Roman"/>
          <w:b/>
          <w:i/>
          <w:sz w:val="24"/>
          <w:szCs w:val="24"/>
        </w:rPr>
        <w:t>On peut aussi intégrer dans l’analyse les éléments suivants :</w:t>
      </w:r>
    </w:p>
    <w:p w14:paraId="7AD863E1" w14:textId="77777777" w:rsidR="00655A9B" w:rsidRPr="00D75D2E" w:rsidRDefault="00655A9B" w:rsidP="00E737B4">
      <w:pPr>
        <w:numPr>
          <w:ilvl w:val="0"/>
          <w:numId w:val="6"/>
        </w:numPr>
        <w:spacing w:before="120" w:after="120" w:line="20" w:lineRule="atLeast"/>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L’interaction </w:t>
      </w:r>
    </w:p>
    <w:p w14:paraId="5A7C96E3" w14:textId="77777777" w:rsidR="00655A9B" w:rsidRPr="00D75D2E" w:rsidRDefault="00655A9B" w:rsidP="00E737B4">
      <w:pPr>
        <w:spacing w:before="120" w:after="120" w:line="20" w:lineRule="atLeast"/>
        <w:ind w:left="10"/>
        <w:jc w:val="both"/>
        <w:rPr>
          <w:rFonts w:ascii="Times New Roman" w:hAnsi="Times New Roman"/>
          <w:sz w:val="28"/>
        </w:rPr>
      </w:pPr>
      <w:r w:rsidRPr="00D75D2E">
        <w:rPr>
          <w:rFonts w:ascii="Times New Roman" w:hAnsi="Times New Roman"/>
          <w:sz w:val="24"/>
        </w:rPr>
        <w:t xml:space="preserve">Elle donne la relation entre le projet et l’impact. Elle peut être directe ou indirecte. Un impact est direct lorsqu’il est directement causé par le projet UCM. Dans le cas contraire, il est dit indirect. </w:t>
      </w:r>
    </w:p>
    <w:p w14:paraId="78B56EE2" w14:textId="77777777" w:rsidR="00655A9B" w:rsidRPr="00D75D2E" w:rsidRDefault="00655A9B" w:rsidP="00E737B4">
      <w:pPr>
        <w:numPr>
          <w:ilvl w:val="0"/>
          <w:numId w:val="6"/>
        </w:numPr>
        <w:spacing w:before="120" w:after="120" w:line="20" w:lineRule="atLeast"/>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L’occurrence ou probabilité d’apparition </w:t>
      </w:r>
    </w:p>
    <w:p w14:paraId="636BCDEF" w14:textId="77777777" w:rsidR="00655A9B" w:rsidRPr="00D75D2E" w:rsidRDefault="00655A9B" w:rsidP="00E737B4">
      <w:pPr>
        <w:spacing w:before="120" w:after="120" w:line="20" w:lineRule="atLeast"/>
        <w:ind w:right="195"/>
        <w:jc w:val="both"/>
        <w:rPr>
          <w:rFonts w:ascii="Times New Roman" w:hAnsi="Times New Roman"/>
          <w:sz w:val="24"/>
          <w:szCs w:val="24"/>
        </w:rPr>
      </w:pPr>
      <w:r w:rsidRPr="00D75D2E">
        <w:rPr>
          <w:rFonts w:ascii="Times New Roman" w:hAnsi="Times New Roman"/>
          <w:sz w:val="24"/>
          <w:szCs w:val="24"/>
        </w:rPr>
        <w:t xml:space="preserve">Elle exprime les chances que peut avoir un impact de se réaliser. L’impact peut ainsi être de réalisation certaine ou de réalisation probable. C’est ainsi que trois (3) classes d’occurrence ont été considérées : certaine, probable et peu probable. </w:t>
      </w:r>
    </w:p>
    <w:p w14:paraId="39C83127" w14:textId="77777777" w:rsidR="00655A9B" w:rsidRPr="00D75D2E" w:rsidRDefault="00655A9B" w:rsidP="00E737B4">
      <w:pPr>
        <w:numPr>
          <w:ilvl w:val="0"/>
          <w:numId w:val="6"/>
        </w:numPr>
        <w:spacing w:before="120" w:after="120" w:line="20" w:lineRule="atLeast"/>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La valeur  </w:t>
      </w:r>
    </w:p>
    <w:p w14:paraId="50126B26" w14:textId="77777777" w:rsidR="00655A9B" w:rsidRPr="00D75D2E" w:rsidRDefault="00655A9B" w:rsidP="00E737B4">
      <w:pPr>
        <w:spacing w:before="120" w:after="120" w:line="20" w:lineRule="atLeast"/>
        <w:ind w:right="195"/>
        <w:jc w:val="both"/>
        <w:rPr>
          <w:rFonts w:ascii="Times New Roman" w:hAnsi="Times New Roman"/>
          <w:sz w:val="24"/>
          <w:szCs w:val="24"/>
        </w:rPr>
      </w:pPr>
      <w:r w:rsidRPr="00D75D2E">
        <w:rPr>
          <w:rFonts w:ascii="Times New Roman" w:hAnsi="Times New Roman"/>
          <w:sz w:val="24"/>
          <w:szCs w:val="24"/>
        </w:rPr>
        <w:t xml:space="preserve">C’est l’importance qu’on donne à la composante affectée. Elle peut être juridique, scientifique, économique, socioculturelle ou liée à la disponibilité de la composante étudiée. Trois classes de valeur sont distinguées : Hautement valorisé (HV) : lorsqu’on peut attribuer à l’élément considéré plus de deux critères de valorisation ; Valorisé (V) : lorsqu’on peut attribuer à l’élément considéré au moins un et au plus deux critères de valorisation ; Non valorisé (NV) : lorsque l’élément considéré n’a aucun critère de valorisation. </w:t>
      </w:r>
    </w:p>
    <w:p w14:paraId="6DA583AB" w14:textId="77777777" w:rsidR="00655A9B" w:rsidRPr="00D75D2E" w:rsidRDefault="00655A9B" w:rsidP="00E737B4">
      <w:pPr>
        <w:numPr>
          <w:ilvl w:val="0"/>
          <w:numId w:val="6"/>
        </w:numPr>
        <w:spacing w:before="120" w:after="120" w:line="20" w:lineRule="atLeast"/>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La réversibilité </w:t>
      </w:r>
    </w:p>
    <w:p w14:paraId="01B9226C" w14:textId="77777777" w:rsidR="00655A9B" w:rsidRPr="00D75D2E" w:rsidRDefault="00655A9B" w:rsidP="00E737B4">
      <w:pPr>
        <w:spacing w:before="120" w:after="120" w:line="20" w:lineRule="atLeast"/>
        <w:ind w:right="195"/>
        <w:jc w:val="both"/>
        <w:rPr>
          <w:rFonts w:ascii="Times New Roman" w:hAnsi="Times New Roman"/>
          <w:sz w:val="24"/>
          <w:szCs w:val="24"/>
        </w:rPr>
      </w:pPr>
      <w:r w:rsidRPr="00D75D2E">
        <w:rPr>
          <w:rFonts w:ascii="Times New Roman" w:hAnsi="Times New Roman"/>
          <w:sz w:val="24"/>
          <w:szCs w:val="24"/>
        </w:rPr>
        <w:t xml:space="preserve">C’est la possibilité donnée à un élément de l’environnement affecté de revenir ou non à son état initial, même dans le temps. Deux classes ont été retenues : </w:t>
      </w:r>
    </w:p>
    <w:p w14:paraId="366A40E8" w14:textId="77777777" w:rsidR="00655A9B" w:rsidRPr="00D75D2E" w:rsidRDefault="00655A9B" w:rsidP="008C79F0">
      <w:pPr>
        <w:numPr>
          <w:ilvl w:val="1"/>
          <w:numId w:val="75"/>
        </w:numPr>
        <w:spacing w:after="0" w:line="240" w:lineRule="auto"/>
        <w:ind w:left="993" w:right="2" w:hanging="142"/>
        <w:jc w:val="both"/>
        <w:rPr>
          <w:rFonts w:ascii="Times New Roman" w:hAnsi="Times New Roman"/>
          <w:sz w:val="24"/>
          <w:szCs w:val="24"/>
        </w:rPr>
      </w:pPr>
      <w:r w:rsidRPr="00D75D2E">
        <w:rPr>
          <w:rFonts w:ascii="Times New Roman" w:hAnsi="Times New Roman"/>
          <w:sz w:val="24"/>
          <w:szCs w:val="24"/>
        </w:rPr>
        <w:t xml:space="preserve">réversible : pour indiquer que l’élément de l’environnement affecté est susceptible de revenir à son état initial ; </w:t>
      </w:r>
    </w:p>
    <w:p w14:paraId="2548DC8D" w14:textId="77777777" w:rsidR="00655A9B" w:rsidRPr="00D75D2E" w:rsidRDefault="00655A9B" w:rsidP="008C79F0">
      <w:pPr>
        <w:numPr>
          <w:ilvl w:val="1"/>
          <w:numId w:val="75"/>
        </w:numPr>
        <w:spacing w:line="240" w:lineRule="auto"/>
        <w:ind w:left="993" w:right="2" w:hanging="142"/>
        <w:jc w:val="both"/>
        <w:rPr>
          <w:rFonts w:ascii="Times New Roman" w:hAnsi="Times New Roman"/>
          <w:sz w:val="24"/>
          <w:szCs w:val="24"/>
        </w:rPr>
      </w:pPr>
      <w:r w:rsidRPr="00D75D2E">
        <w:rPr>
          <w:rFonts w:ascii="Times New Roman" w:hAnsi="Times New Roman"/>
          <w:sz w:val="24"/>
          <w:szCs w:val="24"/>
        </w:rPr>
        <w:t xml:space="preserve">irréversible : pour indiquer que l’élément de l’environnement affecté ne peut plus revenir à son état initial. </w:t>
      </w:r>
    </w:p>
    <w:p w14:paraId="7741D6A6" w14:textId="77777777" w:rsidR="00655A9B" w:rsidRPr="00D75D2E" w:rsidRDefault="00655A9B" w:rsidP="00E737B4">
      <w:pPr>
        <w:numPr>
          <w:ilvl w:val="0"/>
          <w:numId w:val="6"/>
        </w:numPr>
        <w:spacing w:before="120" w:after="120" w:line="20" w:lineRule="atLeast"/>
        <w:jc w:val="both"/>
        <w:rPr>
          <w:rFonts w:ascii="Times New Roman" w:hAnsi="Times New Roman"/>
          <w:b/>
          <w:iCs/>
          <w:sz w:val="24"/>
          <w:szCs w:val="24"/>
          <w:lang w:val="x-none" w:eastAsia="x-none"/>
        </w:rPr>
      </w:pPr>
      <w:r w:rsidRPr="00D75D2E">
        <w:rPr>
          <w:rFonts w:ascii="Times New Roman" w:hAnsi="Times New Roman"/>
          <w:b/>
          <w:iCs/>
          <w:sz w:val="24"/>
          <w:szCs w:val="24"/>
          <w:lang w:val="x-none" w:eastAsia="x-none"/>
        </w:rPr>
        <w:t xml:space="preserve">La « cumulativité » </w:t>
      </w:r>
    </w:p>
    <w:p w14:paraId="33D49ECF" w14:textId="77777777" w:rsidR="00655A9B" w:rsidRPr="00D75D2E" w:rsidRDefault="00655A9B" w:rsidP="00E737B4">
      <w:pPr>
        <w:spacing w:before="120" w:after="120" w:line="20" w:lineRule="atLeast"/>
        <w:ind w:right="195"/>
        <w:jc w:val="both"/>
        <w:rPr>
          <w:rFonts w:ascii="Times New Roman" w:hAnsi="Times New Roman"/>
          <w:sz w:val="24"/>
          <w:szCs w:val="24"/>
        </w:rPr>
      </w:pPr>
      <w:r w:rsidRPr="00D75D2E">
        <w:rPr>
          <w:rFonts w:ascii="Times New Roman" w:hAnsi="Times New Roman"/>
          <w:sz w:val="24"/>
          <w:szCs w:val="24"/>
        </w:rPr>
        <w:t xml:space="preserve">L’affectation d’un élément par le projet peut être influencée par un autre projet en cours de réalisation dans la zone d’étude ; ou lorsque le projet peut amplifier un impact existant. Ainsi, un impact est dit cumulatif ou non. </w:t>
      </w:r>
    </w:p>
    <w:p w14:paraId="7EDD3274" w14:textId="77777777" w:rsidR="00655A9B" w:rsidRPr="00D75D2E" w:rsidRDefault="00655A9B" w:rsidP="00E737B4">
      <w:pPr>
        <w:spacing w:before="120" w:after="120" w:line="20" w:lineRule="atLeast"/>
        <w:ind w:left="10"/>
        <w:jc w:val="both"/>
        <w:rPr>
          <w:rFonts w:ascii="Times New Roman" w:hAnsi="Times New Roman"/>
          <w:sz w:val="28"/>
        </w:rPr>
      </w:pPr>
      <w:r w:rsidRPr="00D75D2E">
        <w:rPr>
          <w:rFonts w:ascii="Times New Roman" w:hAnsi="Times New Roman"/>
          <w:sz w:val="24"/>
        </w:rPr>
        <w:t xml:space="preserve">Pour l’évaluation de l’importance relative de l’impact, les critères de réversibilité, de probabilité d’occurrence, la valeur légale, économique ou sociale (celle accordée par les populations) et le caractère cumulatif ont été associés. La mesure environnementale et sociale est envisagée en fonction de l’importance relative. </w:t>
      </w:r>
    </w:p>
    <w:p w14:paraId="06E58262" w14:textId="77777777" w:rsidR="00655A9B" w:rsidRPr="00D75D2E" w:rsidRDefault="00655A9B" w:rsidP="008C79F0">
      <w:pPr>
        <w:numPr>
          <w:ilvl w:val="0"/>
          <w:numId w:val="73"/>
        </w:numPr>
        <w:spacing w:before="120" w:after="120" w:line="20" w:lineRule="atLeast"/>
        <w:ind w:left="426" w:hanging="426"/>
        <w:jc w:val="both"/>
        <w:rPr>
          <w:rFonts w:ascii="Times New Roman" w:hAnsi="Times New Roman"/>
          <w:sz w:val="24"/>
          <w:szCs w:val="24"/>
        </w:rPr>
      </w:pPr>
      <w:r w:rsidRPr="00D75D2E">
        <w:rPr>
          <w:rFonts w:ascii="Times New Roman" w:hAnsi="Times New Roman"/>
          <w:sz w:val="24"/>
          <w:szCs w:val="24"/>
        </w:rPr>
        <w:t>Étape 3 : après la caractérisation de l’impact suivant les critères d’intensité, de durée et de l’étendue, on utilise la matrice de Fecteau afin de déterminer l’importance absolue des impacts.</w:t>
      </w:r>
    </w:p>
    <w:p w14:paraId="2DC78EFE" w14:textId="77777777" w:rsidR="00655A9B" w:rsidRPr="00D75D2E" w:rsidRDefault="00655A9B"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Cette matrice respecte les principes suivants :</w:t>
      </w:r>
    </w:p>
    <w:p w14:paraId="5BC57240" w14:textId="77777777" w:rsidR="00655A9B" w:rsidRPr="00D75D2E" w:rsidRDefault="00655A9B" w:rsidP="00FD1CA1">
      <w:pPr>
        <w:numPr>
          <w:ilvl w:val="0"/>
          <w:numId w:val="10"/>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tous les critères utilisés ont le même poids ;</w:t>
      </w:r>
    </w:p>
    <w:p w14:paraId="40BCE222" w14:textId="77777777" w:rsidR="00655A9B" w:rsidRPr="00D75D2E" w:rsidRDefault="00655A9B" w:rsidP="00FD1CA1">
      <w:pPr>
        <w:numPr>
          <w:ilvl w:val="0"/>
          <w:numId w:val="10"/>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si deux critères ont le même niveau de gravité, on accorde la cote d’importance correspondant à ce niveau, indépendamment du niveau de gravité du troisième critère ;</w:t>
      </w:r>
    </w:p>
    <w:p w14:paraId="293C06DF" w14:textId="77777777" w:rsidR="00655A9B" w:rsidRPr="00D75D2E" w:rsidRDefault="00655A9B" w:rsidP="00FD1CA1">
      <w:pPr>
        <w:numPr>
          <w:ilvl w:val="0"/>
          <w:numId w:val="10"/>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val="x-none" w:eastAsia="x-none"/>
        </w:rPr>
        <w:t xml:space="preserve">si les valeurs des trois critères sont différentes, on accorde la cote d’importance moyenne. </w:t>
      </w:r>
    </w:p>
    <w:p w14:paraId="7EE06EA7" w14:textId="77777777" w:rsidR="00655A9B" w:rsidRPr="00D75D2E" w:rsidRDefault="00655A9B"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La matrice résultante de ces règles comporte autant de cotes d’importance majeure que mineure. Cet agencement des critères, discutable, offre l’avantage d’être transparent et d’éviter les distorsions en faveur des impacts mineurs ou majeurs. Ainsi on distingue l’importance :</w:t>
      </w:r>
    </w:p>
    <w:p w14:paraId="0301EE1D" w14:textId="77777777" w:rsidR="00655A9B" w:rsidRPr="00D75D2E" w:rsidRDefault="00655A9B" w:rsidP="00FD1CA1">
      <w:pPr>
        <w:numPr>
          <w:ilvl w:val="0"/>
          <w:numId w:val="11"/>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eastAsia="x-none"/>
        </w:rPr>
        <w:t>m</w:t>
      </w:r>
      <w:r w:rsidRPr="00D75D2E">
        <w:rPr>
          <w:rFonts w:ascii="Times New Roman" w:hAnsi="Times New Roman"/>
          <w:iCs/>
          <w:sz w:val="24"/>
          <w:szCs w:val="24"/>
          <w:lang w:val="x-none" w:eastAsia="x-none"/>
        </w:rPr>
        <w:t>ineure : dommages observés sans toutefois affecter les milieux récepteurs ;</w:t>
      </w:r>
    </w:p>
    <w:p w14:paraId="7C18824F" w14:textId="77777777" w:rsidR="00655A9B" w:rsidRPr="00D75D2E" w:rsidRDefault="00655A9B" w:rsidP="00FD1CA1">
      <w:pPr>
        <w:numPr>
          <w:ilvl w:val="0"/>
          <w:numId w:val="11"/>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eastAsia="x-none"/>
        </w:rPr>
        <w:t>m</w:t>
      </w:r>
      <w:r w:rsidRPr="00D75D2E">
        <w:rPr>
          <w:rFonts w:ascii="Times New Roman" w:hAnsi="Times New Roman"/>
          <w:iCs/>
          <w:sz w:val="24"/>
          <w:szCs w:val="24"/>
          <w:lang w:val="x-none" w:eastAsia="x-none"/>
        </w:rPr>
        <w:t>oyenne : dégradation partielle des milieux récepteurs ;</w:t>
      </w:r>
    </w:p>
    <w:p w14:paraId="534BFE3F" w14:textId="77777777" w:rsidR="00655A9B" w:rsidRPr="00D75D2E" w:rsidRDefault="00655A9B" w:rsidP="00FD1CA1">
      <w:pPr>
        <w:numPr>
          <w:ilvl w:val="0"/>
          <w:numId w:val="11"/>
        </w:numPr>
        <w:spacing w:after="0" w:line="240" w:lineRule="auto"/>
        <w:jc w:val="both"/>
        <w:rPr>
          <w:rFonts w:ascii="Times New Roman" w:hAnsi="Times New Roman"/>
          <w:iCs/>
          <w:sz w:val="24"/>
          <w:szCs w:val="24"/>
          <w:lang w:val="x-none" w:eastAsia="x-none"/>
        </w:rPr>
      </w:pPr>
      <w:r w:rsidRPr="00D75D2E">
        <w:rPr>
          <w:rFonts w:ascii="Times New Roman" w:hAnsi="Times New Roman"/>
          <w:iCs/>
          <w:sz w:val="24"/>
          <w:szCs w:val="24"/>
          <w:lang w:eastAsia="x-none"/>
        </w:rPr>
        <w:t>m</w:t>
      </w:r>
      <w:r w:rsidRPr="00D75D2E">
        <w:rPr>
          <w:rFonts w:ascii="Times New Roman" w:hAnsi="Times New Roman"/>
          <w:iCs/>
          <w:sz w:val="24"/>
          <w:szCs w:val="24"/>
          <w:lang w:val="x-none" w:eastAsia="x-none"/>
        </w:rPr>
        <w:t>ajeure : effets négatifs irréparables sur l’environnement (dégradation des milieux récepteurs) ou impact très positif sur l’environnement socioéconomique</w:t>
      </w:r>
      <w:r w:rsidRPr="00D75D2E">
        <w:rPr>
          <w:rFonts w:ascii="Times New Roman" w:hAnsi="Times New Roman"/>
          <w:iCs/>
          <w:sz w:val="24"/>
          <w:szCs w:val="24"/>
          <w:lang w:eastAsia="x-none"/>
        </w:rPr>
        <w:t>.</w:t>
      </w:r>
    </w:p>
    <w:p w14:paraId="256596DF" w14:textId="3E91B95B" w:rsidR="00655A9B" w:rsidRPr="00D75D2E" w:rsidRDefault="00655A9B" w:rsidP="008C79F0">
      <w:pPr>
        <w:numPr>
          <w:ilvl w:val="0"/>
          <w:numId w:val="73"/>
        </w:numPr>
        <w:spacing w:after="0" w:line="240" w:lineRule="auto"/>
        <w:ind w:left="426" w:hanging="426"/>
        <w:contextualSpacing/>
        <w:jc w:val="both"/>
        <w:rPr>
          <w:rFonts w:ascii="Times New Roman" w:hAnsi="Times New Roman"/>
          <w:sz w:val="24"/>
          <w:szCs w:val="24"/>
        </w:rPr>
      </w:pPr>
      <w:r w:rsidRPr="00D75D2E">
        <w:rPr>
          <w:rFonts w:ascii="Times New Roman" w:hAnsi="Times New Roman"/>
          <w:sz w:val="24"/>
          <w:szCs w:val="24"/>
        </w:rPr>
        <w:t xml:space="preserve">Étape 4 : Consigner les résultats de l’analyse dans la grille-synthèse d'évaluation des impacts et déterminer les composantes affectées ou non par le projet de même que l'ampleur des impacts cumulatifs ainsi que ceux où une incertitude persiste quant à leur nature et à leur signification. Le tableau </w:t>
      </w:r>
      <w:r w:rsidR="00E732DD">
        <w:rPr>
          <w:rFonts w:ascii="Times New Roman" w:hAnsi="Times New Roman"/>
          <w:sz w:val="24"/>
          <w:szCs w:val="24"/>
        </w:rPr>
        <w:t>17</w:t>
      </w:r>
      <w:r w:rsidR="00E732DD" w:rsidRPr="00D75D2E">
        <w:rPr>
          <w:rFonts w:ascii="Times New Roman" w:hAnsi="Times New Roman"/>
          <w:sz w:val="24"/>
          <w:szCs w:val="24"/>
        </w:rPr>
        <w:t xml:space="preserve"> </w:t>
      </w:r>
      <w:r w:rsidRPr="00D75D2E">
        <w:rPr>
          <w:rFonts w:ascii="Times New Roman" w:hAnsi="Times New Roman"/>
          <w:sz w:val="24"/>
          <w:szCs w:val="24"/>
        </w:rPr>
        <w:t>présente la fiche d’impact</w:t>
      </w:r>
    </w:p>
    <w:p w14:paraId="4559B6A3" w14:textId="7780B351" w:rsidR="00EF4D46" w:rsidRPr="00D75D2E" w:rsidRDefault="00655A9B" w:rsidP="00E737B4">
      <w:pPr>
        <w:autoSpaceDE w:val="0"/>
        <w:autoSpaceDN w:val="0"/>
        <w:adjustRightInd w:val="0"/>
        <w:spacing w:before="120" w:after="120" w:line="240" w:lineRule="auto"/>
        <w:jc w:val="center"/>
        <w:rPr>
          <w:rFonts w:ascii="Times New Roman" w:hAnsi="Times New Roman"/>
          <w:sz w:val="24"/>
          <w:szCs w:val="24"/>
          <w:lang w:eastAsia="fr-FR"/>
        </w:rPr>
      </w:pPr>
      <w:bookmarkStart w:id="512" w:name="_Toc476823986"/>
      <w:bookmarkStart w:id="513" w:name="_Toc8304638"/>
      <w:bookmarkStart w:id="514" w:name="_Toc29154150"/>
      <w:bookmarkStart w:id="515" w:name="_Toc93050279"/>
      <w:r w:rsidRPr="00D75D2E">
        <w:rPr>
          <w:rFonts w:ascii="Times New Roman" w:hAnsi="Times New Roman"/>
          <w:sz w:val="24"/>
          <w:szCs w:val="24"/>
          <w:lang w:eastAsia="fr-FR"/>
        </w:rPr>
        <w:t xml:space="preserve">Tableau </w:t>
      </w:r>
      <w:r w:rsidRPr="00D75D2E">
        <w:rPr>
          <w:rFonts w:ascii="Times New Roman" w:hAnsi="Times New Roman"/>
          <w:noProof/>
          <w:sz w:val="24"/>
          <w:szCs w:val="24"/>
          <w:lang w:eastAsia="fr-FR"/>
        </w:rPr>
        <w:fldChar w:fldCharType="begin"/>
      </w:r>
      <w:r w:rsidRPr="00D75D2E">
        <w:rPr>
          <w:rFonts w:ascii="Times New Roman" w:hAnsi="Times New Roman"/>
          <w:noProof/>
          <w:sz w:val="24"/>
          <w:szCs w:val="24"/>
          <w:lang w:eastAsia="fr-FR"/>
        </w:rPr>
        <w:instrText xml:space="preserve"> SEQ Tableau \* ARABIC </w:instrText>
      </w:r>
      <w:r w:rsidRPr="00D75D2E">
        <w:rPr>
          <w:rFonts w:ascii="Times New Roman" w:hAnsi="Times New Roman"/>
          <w:noProof/>
          <w:sz w:val="24"/>
          <w:szCs w:val="24"/>
          <w:lang w:eastAsia="fr-FR"/>
        </w:rPr>
        <w:fldChar w:fldCharType="separate"/>
      </w:r>
      <w:r w:rsidR="00A86929">
        <w:rPr>
          <w:rFonts w:ascii="Times New Roman" w:hAnsi="Times New Roman"/>
          <w:noProof/>
          <w:sz w:val="24"/>
          <w:szCs w:val="24"/>
          <w:lang w:eastAsia="fr-FR"/>
        </w:rPr>
        <w:t>17</w:t>
      </w:r>
      <w:r w:rsidRPr="00D75D2E">
        <w:rPr>
          <w:rFonts w:ascii="Times New Roman" w:hAnsi="Times New Roman"/>
          <w:noProof/>
          <w:sz w:val="24"/>
          <w:szCs w:val="24"/>
          <w:lang w:eastAsia="fr-FR"/>
        </w:rPr>
        <w:fldChar w:fldCharType="end"/>
      </w:r>
      <w:r w:rsidRPr="00D75D2E">
        <w:rPr>
          <w:rFonts w:ascii="Times New Roman" w:hAnsi="Times New Roman"/>
          <w:sz w:val="24"/>
          <w:szCs w:val="24"/>
          <w:lang w:eastAsia="fr-FR"/>
        </w:rPr>
        <w:t> : Fiche d’impact</w:t>
      </w:r>
      <w:bookmarkEnd w:id="512"/>
      <w:bookmarkEnd w:id="513"/>
      <w:bookmarkEnd w:id="514"/>
      <w:bookmarkEnd w:id="515"/>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151"/>
        <w:gridCol w:w="1288"/>
        <w:gridCol w:w="1006"/>
        <w:gridCol w:w="992"/>
        <w:gridCol w:w="1701"/>
        <w:gridCol w:w="1017"/>
        <w:gridCol w:w="12"/>
      </w:tblGrid>
      <w:tr w:rsidR="002C66D7" w:rsidRPr="00420C1B" w14:paraId="633A403F" w14:textId="77777777" w:rsidTr="00420C1B">
        <w:trPr>
          <w:gridAfter w:val="1"/>
          <w:wAfter w:w="12" w:type="dxa"/>
          <w:jc w:val="center"/>
        </w:trPr>
        <w:tc>
          <w:tcPr>
            <w:tcW w:w="2121" w:type="dxa"/>
            <w:shd w:val="clear" w:color="auto" w:fill="92D050"/>
          </w:tcPr>
          <w:p w14:paraId="1DC06BF3" w14:textId="77777777" w:rsidR="00EF4D46" w:rsidRPr="00420C1B" w:rsidRDefault="00EF4D46" w:rsidP="00420C1B">
            <w:pPr>
              <w:spacing w:after="0" w:line="240" w:lineRule="auto"/>
              <w:jc w:val="both"/>
              <w:rPr>
                <w:rFonts w:ascii="Times New Roman" w:hAnsi="Times New Roman"/>
                <w:b/>
                <w:sz w:val="20"/>
                <w:szCs w:val="20"/>
              </w:rPr>
            </w:pPr>
            <w:r w:rsidRPr="00420C1B">
              <w:rPr>
                <w:rFonts w:ascii="Times New Roman" w:hAnsi="Times New Roman"/>
                <w:b/>
                <w:sz w:val="20"/>
                <w:szCs w:val="20"/>
              </w:rPr>
              <w:t>COMPOSANTE</w:t>
            </w:r>
          </w:p>
        </w:tc>
        <w:tc>
          <w:tcPr>
            <w:tcW w:w="2439" w:type="dxa"/>
            <w:gridSpan w:val="2"/>
            <w:shd w:val="clear" w:color="auto" w:fill="92D050"/>
          </w:tcPr>
          <w:p w14:paraId="79FA0FDB" w14:textId="77777777" w:rsidR="00EF4D46" w:rsidRPr="00420C1B" w:rsidRDefault="00EF4D46" w:rsidP="00420C1B">
            <w:pPr>
              <w:spacing w:after="0" w:line="240" w:lineRule="auto"/>
              <w:jc w:val="both"/>
              <w:rPr>
                <w:rFonts w:ascii="Times New Roman" w:hAnsi="Times New Roman"/>
                <w:b/>
                <w:sz w:val="20"/>
                <w:szCs w:val="20"/>
              </w:rPr>
            </w:pPr>
          </w:p>
        </w:tc>
        <w:tc>
          <w:tcPr>
            <w:tcW w:w="1006" w:type="dxa"/>
            <w:shd w:val="clear" w:color="auto" w:fill="92D050"/>
          </w:tcPr>
          <w:p w14:paraId="093F48D0" w14:textId="77777777" w:rsidR="00EF4D46" w:rsidRPr="00420C1B" w:rsidRDefault="00EF4D46" w:rsidP="00420C1B">
            <w:pPr>
              <w:spacing w:after="0" w:line="240" w:lineRule="auto"/>
              <w:jc w:val="both"/>
              <w:rPr>
                <w:rFonts w:ascii="Times New Roman" w:hAnsi="Times New Roman"/>
                <w:b/>
                <w:sz w:val="20"/>
                <w:szCs w:val="20"/>
              </w:rPr>
            </w:pPr>
            <w:r w:rsidRPr="00420C1B">
              <w:rPr>
                <w:rFonts w:ascii="Times New Roman" w:hAnsi="Times New Roman"/>
                <w:b/>
                <w:sz w:val="20"/>
                <w:szCs w:val="20"/>
              </w:rPr>
              <w:t>PHASE</w:t>
            </w:r>
          </w:p>
        </w:tc>
        <w:tc>
          <w:tcPr>
            <w:tcW w:w="2693" w:type="dxa"/>
            <w:gridSpan w:val="2"/>
            <w:shd w:val="clear" w:color="auto" w:fill="92D050"/>
          </w:tcPr>
          <w:p w14:paraId="5BD8F79A" w14:textId="77777777" w:rsidR="00EF4D46" w:rsidRPr="00420C1B" w:rsidRDefault="00EF4D46" w:rsidP="00420C1B">
            <w:pPr>
              <w:spacing w:after="0" w:line="240" w:lineRule="auto"/>
              <w:jc w:val="both"/>
              <w:rPr>
                <w:rFonts w:ascii="Times New Roman" w:hAnsi="Times New Roman"/>
                <w:sz w:val="20"/>
                <w:szCs w:val="20"/>
              </w:rPr>
            </w:pPr>
          </w:p>
        </w:tc>
        <w:tc>
          <w:tcPr>
            <w:tcW w:w="1017" w:type="dxa"/>
            <w:shd w:val="clear" w:color="auto" w:fill="92D050"/>
          </w:tcPr>
          <w:p w14:paraId="2D9FB6F2" w14:textId="77777777" w:rsidR="00EF4D46" w:rsidRPr="00420C1B" w:rsidRDefault="00EF4D46" w:rsidP="00420C1B">
            <w:pPr>
              <w:spacing w:after="0" w:line="240" w:lineRule="auto"/>
              <w:jc w:val="both"/>
              <w:rPr>
                <w:rFonts w:ascii="Times New Roman" w:hAnsi="Times New Roman"/>
                <w:sz w:val="20"/>
                <w:szCs w:val="20"/>
              </w:rPr>
            </w:pPr>
          </w:p>
        </w:tc>
      </w:tr>
      <w:tr w:rsidR="002C66D7" w:rsidRPr="00420C1B" w14:paraId="144CB112" w14:textId="77777777" w:rsidTr="00420C1B">
        <w:trPr>
          <w:gridAfter w:val="1"/>
          <w:wAfter w:w="12" w:type="dxa"/>
          <w:jc w:val="center"/>
        </w:trPr>
        <w:tc>
          <w:tcPr>
            <w:tcW w:w="2121" w:type="dxa"/>
            <w:shd w:val="clear" w:color="auto" w:fill="auto"/>
          </w:tcPr>
          <w:p w14:paraId="4CBFA506" w14:textId="77777777" w:rsidR="00EF4D46" w:rsidRPr="00420C1B" w:rsidRDefault="00EF4D46" w:rsidP="00420C1B">
            <w:pPr>
              <w:spacing w:after="0" w:line="240" w:lineRule="auto"/>
              <w:jc w:val="both"/>
              <w:rPr>
                <w:rFonts w:ascii="Times New Roman" w:hAnsi="Times New Roman"/>
                <w:b/>
                <w:sz w:val="20"/>
                <w:szCs w:val="20"/>
              </w:rPr>
            </w:pPr>
            <w:r w:rsidRPr="00420C1B">
              <w:rPr>
                <w:rFonts w:ascii="Times New Roman" w:hAnsi="Times New Roman"/>
                <w:b/>
                <w:sz w:val="20"/>
                <w:szCs w:val="20"/>
              </w:rPr>
              <w:t>Code 01</w:t>
            </w:r>
          </w:p>
        </w:tc>
        <w:tc>
          <w:tcPr>
            <w:tcW w:w="3445" w:type="dxa"/>
            <w:gridSpan w:val="3"/>
            <w:shd w:val="clear" w:color="auto" w:fill="auto"/>
          </w:tcPr>
          <w:p w14:paraId="6F2AC5D9"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b/>
                <w:sz w:val="20"/>
                <w:szCs w:val="20"/>
              </w:rPr>
              <w:t>Intitulé de l’impact</w:t>
            </w:r>
            <w:r w:rsidRPr="00420C1B">
              <w:rPr>
                <w:rFonts w:ascii="Times New Roman" w:hAnsi="Times New Roman"/>
                <w:sz w:val="20"/>
                <w:szCs w:val="20"/>
              </w:rPr>
              <w:t xml:space="preserve"> : </w:t>
            </w:r>
          </w:p>
        </w:tc>
        <w:tc>
          <w:tcPr>
            <w:tcW w:w="2693" w:type="dxa"/>
            <w:gridSpan w:val="2"/>
            <w:shd w:val="clear" w:color="auto" w:fill="auto"/>
          </w:tcPr>
          <w:p w14:paraId="56F4FA89" w14:textId="77777777" w:rsidR="00EF4D46" w:rsidRPr="00420C1B" w:rsidRDefault="00EF4D46" w:rsidP="00420C1B">
            <w:pPr>
              <w:spacing w:after="0" w:line="240" w:lineRule="auto"/>
              <w:jc w:val="both"/>
              <w:rPr>
                <w:rFonts w:ascii="Times New Roman" w:eastAsia="Times New Roman" w:hAnsi="Times New Roman"/>
                <w:b/>
                <w:sz w:val="20"/>
                <w:szCs w:val="20"/>
                <w:lang w:eastAsia="fr-FR"/>
              </w:rPr>
            </w:pPr>
            <w:r w:rsidRPr="00420C1B">
              <w:rPr>
                <w:rFonts w:ascii="Times New Roman" w:hAnsi="Times New Roman"/>
                <w:b/>
                <w:sz w:val="20"/>
                <w:szCs w:val="20"/>
              </w:rPr>
              <w:t>Responsable de l’exécution de la mesure :</w:t>
            </w:r>
          </w:p>
        </w:tc>
        <w:tc>
          <w:tcPr>
            <w:tcW w:w="1017" w:type="dxa"/>
            <w:shd w:val="clear" w:color="auto" w:fill="auto"/>
          </w:tcPr>
          <w:p w14:paraId="0F3C3868"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p>
        </w:tc>
      </w:tr>
      <w:tr w:rsidR="002C66D7" w:rsidRPr="00420C1B" w14:paraId="3AEB2C8A" w14:textId="77777777" w:rsidTr="00420C1B">
        <w:trPr>
          <w:gridAfter w:val="1"/>
          <w:wAfter w:w="12" w:type="dxa"/>
          <w:jc w:val="center"/>
        </w:trPr>
        <w:tc>
          <w:tcPr>
            <w:tcW w:w="2121" w:type="dxa"/>
            <w:vMerge w:val="restart"/>
            <w:shd w:val="clear" w:color="auto" w:fill="auto"/>
          </w:tcPr>
          <w:p w14:paraId="5D31B75C"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Coordonnées GPS  de référence de l’impact</w:t>
            </w:r>
          </w:p>
        </w:tc>
        <w:tc>
          <w:tcPr>
            <w:tcW w:w="1151" w:type="dxa"/>
            <w:vMerge w:val="restart"/>
            <w:shd w:val="clear" w:color="auto" w:fill="auto"/>
          </w:tcPr>
          <w:p w14:paraId="57542A9F"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xml:space="preserve">Code au niveau de la carte : </w:t>
            </w:r>
          </w:p>
        </w:tc>
        <w:tc>
          <w:tcPr>
            <w:tcW w:w="1288" w:type="dxa"/>
            <w:shd w:val="clear" w:color="auto" w:fill="auto"/>
          </w:tcPr>
          <w:p w14:paraId="52F40CAC"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Localisation</w:t>
            </w:r>
          </w:p>
        </w:tc>
        <w:tc>
          <w:tcPr>
            <w:tcW w:w="1006" w:type="dxa"/>
            <w:shd w:val="clear" w:color="auto" w:fill="auto"/>
          </w:tcPr>
          <w:p w14:paraId="77970670"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X</w:t>
            </w:r>
          </w:p>
        </w:tc>
        <w:tc>
          <w:tcPr>
            <w:tcW w:w="992" w:type="dxa"/>
            <w:shd w:val="clear" w:color="auto" w:fill="auto"/>
          </w:tcPr>
          <w:p w14:paraId="77DEDC5D"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Y</w:t>
            </w:r>
          </w:p>
        </w:tc>
        <w:tc>
          <w:tcPr>
            <w:tcW w:w="2718" w:type="dxa"/>
            <w:gridSpan w:val="2"/>
            <w:vMerge w:val="restart"/>
            <w:shd w:val="clear" w:color="auto" w:fill="auto"/>
          </w:tcPr>
          <w:p w14:paraId="3BB8C85B" w14:textId="77777777" w:rsidR="00EF4D46" w:rsidRPr="00420C1B" w:rsidRDefault="00EF4D46" w:rsidP="00420C1B">
            <w:pPr>
              <w:spacing w:after="0" w:line="240" w:lineRule="auto"/>
              <w:jc w:val="both"/>
              <w:rPr>
                <w:rFonts w:ascii="Times New Roman" w:hAnsi="Times New Roman"/>
                <w:sz w:val="20"/>
                <w:szCs w:val="20"/>
              </w:rPr>
            </w:pPr>
          </w:p>
        </w:tc>
      </w:tr>
      <w:tr w:rsidR="002C66D7" w:rsidRPr="00420C1B" w14:paraId="777CEBCC" w14:textId="77777777" w:rsidTr="00420C1B">
        <w:trPr>
          <w:gridAfter w:val="1"/>
          <w:wAfter w:w="12" w:type="dxa"/>
          <w:jc w:val="center"/>
        </w:trPr>
        <w:tc>
          <w:tcPr>
            <w:tcW w:w="2121" w:type="dxa"/>
            <w:vMerge/>
            <w:shd w:val="clear" w:color="auto" w:fill="auto"/>
          </w:tcPr>
          <w:p w14:paraId="6B189008" w14:textId="77777777" w:rsidR="00EF4D46" w:rsidRPr="00420C1B" w:rsidRDefault="00EF4D46" w:rsidP="00420C1B">
            <w:pPr>
              <w:spacing w:after="0" w:line="240" w:lineRule="auto"/>
              <w:jc w:val="both"/>
              <w:rPr>
                <w:rFonts w:ascii="Times New Roman" w:hAnsi="Times New Roman"/>
                <w:sz w:val="20"/>
                <w:szCs w:val="20"/>
              </w:rPr>
            </w:pPr>
          </w:p>
        </w:tc>
        <w:tc>
          <w:tcPr>
            <w:tcW w:w="1151" w:type="dxa"/>
            <w:vMerge/>
            <w:shd w:val="clear" w:color="auto" w:fill="auto"/>
          </w:tcPr>
          <w:p w14:paraId="285A844F" w14:textId="77777777" w:rsidR="00EF4D46" w:rsidRPr="00420C1B" w:rsidRDefault="00EF4D46" w:rsidP="00420C1B">
            <w:pPr>
              <w:spacing w:after="0" w:line="240" w:lineRule="auto"/>
              <w:jc w:val="both"/>
              <w:rPr>
                <w:rFonts w:ascii="Times New Roman" w:hAnsi="Times New Roman"/>
                <w:sz w:val="20"/>
                <w:szCs w:val="20"/>
              </w:rPr>
            </w:pPr>
          </w:p>
        </w:tc>
        <w:tc>
          <w:tcPr>
            <w:tcW w:w="1288" w:type="dxa"/>
            <w:shd w:val="clear" w:color="auto" w:fill="auto"/>
            <w:vAlign w:val="center"/>
          </w:tcPr>
          <w:p w14:paraId="339298DA" w14:textId="77777777" w:rsidR="00EF4D46" w:rsidRPr="00420C1B" w:rsidRDefault="00EF4D46" w:rsidP="00420C1B">
            <w:pPr>
              <w:spacing w:after="0" w:line="240" w:lineRule="auto"/>
              <w:jc w:val="both"/>
              <w:rPr>
                <w:rFonts w:ascii="Times New Roman" w:hAnsi="Times New Roman"/>
                <w:sz w:val="20"/>
                <w:szCs w:val="20"/>
              </w:rPr>
            </w:pPr>
          </w:p>
        </w:tc>
        <w:tc>
          <w:tcPr>
            <w:tcW w:w="1006" w:type="dxa"/>
            <w:shd w:val="clear" w:color="auto" w:fill="auto"/>
            <w:vAlign w:val="bottom"/>
          </w:tcPr>
          <w:p w14:paraId="19FEA7FB" w14:textId="77777777" w:rsidR="00EF4D46" w:rsidRPr="00420C1B" w:rsidRDefault="00EF4D46" w:rsidP="00420C1B">
            <w:pPr>
              <w:spacing w:after="0" w:line="240" w:lineRule="auto"/>
              <w:jc w:val="both"/>
              <w:rPr>
                <w:rFonts w:ascii="Times New Roman" w:hAnsi="Times New Roman"/>
                <w:sz w:val="20"/>
                <w:szCs w:val="20"/>
              </w:rPr>
            </w:pPr>
          </w:p>
        </w:tc>
        <w:tc>
          <w:tcPr>
            <w:tcW w:w="992" w:type="dxa"/>
            <w:shd w:val="clear" w:color="auto" w:fill="auto"/>
            <w:vAlign w:val="bottom"/>
          </w:tcPr>
          <w:p w14:paraId="597F1848" w14:textId="77777777" w:rsidR="00EF4D46" w:rsidRPr="00420C1B" w:rsidRDefault="00EF4D46" w:rsidP="00420C1B">
            <w:pPr>
              <w:spacing w:after="0" w:line="240" w:lineRule="auto"/>
              <w:jc w:val="both"/>
              <w:rPr>
                <w:rFonts w:ascii="Times New Roman" w:hAnsi="Times New Roman"/>
                <w:sz w:val="20"/>
                <w:szCs w:val="20"/>
              </w:rPr>
            </w:pPr>
          </w:p>
        </w:tc>
        <w:tc>
          <w:tcPr>
            <w:tcW w:w="2718" w:type="dxa"/>
            <w:gridSpan w:val="2"/>
            <w:vMerge/>
            <w:shd w:val="clear" w:color="auto" w:fill="auto"/>
          </w:tcPr>
          <w:p w14:paraId="7BD362A9" w14:textId="77777777" w:rsidR="00EF4D46" w:rsidRPr="00420C1B" w:rsidRDefault="00EF4D46" w:rsidP="00420C1B">
            <w:pPr>
              <w:spacing w:after="0" w:line="240" w:lineRule="auto"/>
              <w:jc w:val="both"/>
              <w:rPr>
                <w:rFonts w:ascii="Times New Roman" w:hAnsi="Times New Roman"/>
                <w:sz w:val="20"/>
                <w:szCs w:val="20"/>
              </w:rPr>
            </w:pPr>
          </w:p>
        </w:tc>
      </w:tr>
      <w:tr w:rsidR="002C66D7" w:rsidRPr="00420C1B" w14:paraId="3C04AEDD" w14:textId="77777777" w:rsidTr="00420C1B">
        <w:trPr>
          <w:gridAfter w:val="1"/>
          <w:wAfter w:w="12" w:type="dxa"/>
          <w:jc w:val="center"/>
        </w:trPr>
        <w:tc>
          <w:tcPr>
            <w:tcW w:w="2121" w:type="dxa"/>
            <w:vMerge/>
            <w:shd w:val="clear" w:color="auto" w:fill="auto"/>
          </w:tcPr>
          <w:p w14:paraId="0E6EDB70" w14:textId="77777777" w:rsidR="00EF4D46" w:rsidRPr="00420C1B" w:rsidRDefault="00EF4D46" w:rsidP="00420C1B">
            <w:pPr>
              <w:spacing w:after="0" w:line="240" w:lineRule="auto"/>
              <w:jc w:val="both"/>
              <w:rPr>
                <w:rFonts w:ascii="Times New Roman" w:hAnsi="Times New Roman"/>
                <w:sz w:val="20"/>
                <w:szCs w:val="20"/>
              </w:rPr>
            </w:pPr>
          </w:p>
        </w:tc>
        <w:tc>
          <w:tcPr>
            <w:tcW w:w="1151" w:type="dxa"/>
            <w:vMerge/>
            <w:shd w:val="clear" w:color="auto" w:fill="auto"/>
          </w:tcPr>
          <w:p w14:paraId="4DE50192" w14:textId="77777777" w:rsidR="00EF4D46" w:rsidRPr="00420C1B" w:rsidRDefault="00EF4D46" w:rsidP="00420C1B">
            <w:pPr>
              <w:pStyle w:val="Default"/>
              <w:jc w:val="both"/>
              <w:rPr>
                <w:rFonts w:eastAsia="Times New Roman"/>
                <w:b/>
                <w:bCs/>
                <w:color w:val="auto"/>
                <w:sz w:val="20"/>
                <w:szCs w:val="20"/>
              </w:rPr>
            </w:pPr>
          </w:p>
        </w:tc>
        <w:tc>
          <w:tcPr>
            <w:tcW w:w="1288" w:type="dxa"/>
            <w:shd w:val="clear" w:color="auto" w:fill="auto"/>
            <w:vAlign w:val="center"/>
          </w:tcPr>
          <w:p w14:paraId="657A2C7B" w14:textId="77777777" w:rsidR="00EF4D46" w:rsidRPr="00420C1B" w:rsidRDefault="00EF4D46" w:rsidP="00420C1B">
            <w:pPr>
              <w:spacing w:after="0" w:line="240" w:lineRule="auto"/>
              <w:jc w:val="both"/>
              <w:rPr>
                <w:rFonts w:ascii="Times New Roman" w:hAnsi="Times New Roman"/>
                <w:sz w:val="20"/>
                <w:szCs w:val="20"/>
              </w:rPr>
            </w:pPr>
          </w:p>
        </w:tc>
        <w:tc>
          <w:tcPr>
            <w:tcW w:w="1006" w:type="dxa"/>
            <w:shd w:val="clear" w:color="auto" w:fill="auto"/>
            <w:vAlign w:val="bottom"/>
          </w:tcPr>
          <w:p w14:paraId="1B0960D9" w14:textId="77777777" w:rsidR="00EF4D46" w:rsidRPr="00420C1B" w:rsidRDefault="00EF4D46" w:rsidP="00420C1B">
            <w:pPr>
              <w:spacing w:after="0" w:line="240" w:lineRule="auto"/>
              <w:jc w:val="both"/>
              <w:rPr>
                <w:rFonts w:ascii="Times New Roman" w:hAnsi="Times New Roman"/>
                <w:sz w:val="20"/>
                <w:szCs w:val="20"/>
              </w:rPr>
            </w:pPr>
          </w:p>
        </w:tc>
        <w:tc>
          <w:tcPr>
            <w:tcW w:w="992" w:type="dxa"/>
            <w:shd w:val="clear" w:color="auto" w:fill="auto"/>
            <w:vAlign w:val="bottom"/>
          </w:tcPr>
          <w:p w14:paraId="51D52977" w14:textId="77777777" w:rsidR="00EF4D46" w:rsidRPr="00420C1B" w:rsidRDefault="00EF4D46" w:rsidP="00420C1B">
            <w:pPr>
              <w:spacing w:after="0" w:line="240" w:lineRule="auto"/>
              <w:jc w:val="both"/>
              <w:rPr>
                <w:rFonts w:ascii="Times New Roman" w:hAnsi="Times New Roman"/>
                <w:sz w:val="20"/>
                <w:szCs w:val="20"/>
              </w:rPr>
            </w:pPr>
          </w:p>
        </w:tc>
        <w:tc>
          <w:tcPr>
            <w:tcW w:w="2718" w:type="dxa"/>
            <w:gridSpan w:val="2"/>
            <w:vMerge/>
            <w:shd w:val="clear" w:color="auto" w:fill="auto"/>
          </w:tcPr>
          <w:p w14:paraId="79A4A2C1" w14:textId="77777777" w:rsidR="00EF4D46" w:rsidRPr="00420C1B" w:rsidRDefault="00EF4D46" w:rsidP="00420C1B">
            <w:pPr>
              <w:spacing w:after="0" w:line="240" w:lineRule="auto"/>
              <w:jc w:val="both"/>
              <w:rPr>
                <w:rFonts w:ascii="Times New Roman" w:hAnsi="Times New Roman"/>
                <w:sz w:val="20"/>
                <w:szCs w:val="20"/>
              </w:rPr>
            </w:pPr>
          </w:p>
        </w:tc>
      </w:tr>
      <w:tr w:rsidR="002C66D7" w:rsidRPr="00420C1B" w14:paraId="4585B0CA" w14:textId="77777777" w:rsidTr="00420C1B">
        <w:trPr>
          <w:gridAfter w:val="1"/>
          <w:wAfter w:w="12" w:type="dxa"/>
          <w:jc w:val="center"/>
        </w:trPr>
        <w:tc>
          <w:tcPr>
            <w:tcW w:w="2121" w:type="dxa"/>
            <w:vMerge w:val="restart"/>
            <w:shd w:val="clear" w:color="auto" w:fill="auto"/>
          </w:tcPr>
          <w:p w14:paraId="1AB52BBB"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Analyse de l’impact</w:t>
            </w:r>
          </w:p>
        </w:tc>
        <w:tc>
          <w:tcPr>
            <w:tcW w:w="1151" w:type="dxa"/>
            <w:vMerge w:val="restart"/>
            <w:shd w:val="clear" w:color="auto" w:fill="auto"/>
          </w:tcPr>
          <w:p w14:paraId="335B5770" w14:textId="77777777" w:rsidR="00EF4D46" w:rsidRPr="00420C1B" w:rsidRDefault="00EF4D46" w:rsidP="00420C1B">
            <w:pPr>
              <w:pStyle w:val="Default"/>
              <w:jc w:val="both"/>
              <w:rPr>
                <w:rFonts w:eastAsia="Times New Roman"/>
                <w:b/>
                <w:bCs/>
                <w:color w:val="auto"/>
                <w:sz w:val="20"/>
                <w:szCs w:val="20"/>
              </w:rPr>
            </w:pPr>
            <w:r w:rsidRPr="00420C1B">
              <w:rPr>
                <w:rFonts w:eastAsia="Times New Roman"/>
                <w:b/>
                <w:bCs/>
                <w:color w:val="auto"/>
                <w:sz w:val="20"/>
                <w:szCs w:val="20"/>
              </w:rPr>
              <w:t>Nature</w:t>
            </w:r>
          </w:p>
        </w:tc>
        <w:tc>
          <w:tcPr>
            <w:tcW w:w="1288" w:type="dxa"/>
            <w:shd w:val="clear" w:color="auto" w:fill="auto"/>
          </w:tcPr>
          <w:p w14:paraId="5236277F" w14:textId="77777777" w:rsidR="00EF4D46" w:rsidRPr="00420C1B" w:rsidRDefault="00EF4D46" w:rsidP="00420C1B">
            <w:pPr>
              <w:pStyle w:val="Default"/>
              <w:jc w:val="both"/>
              <w:rPr>
                <w:rFonts w:eastAsia="Times New Roman"/>
                <w:b/>
                <w:bCs/>
                <w:color w:val="auto"/>
                <w:sz w:val="20"/>
                <w:szCs w:val="20"/>
              </w:rPr>
            </w:pPr>
            <w:r w:rsidRPr="00420C1B">
              <w:rPr>
                <w:rFonts w:eastAsia="Times New Roman"/>
                <w:b/>
                <w:bCs/>
                <w:color w:val="auto"/>
                <w:sz w:val="20"/>
                <w:szCs w:val="20"/>
              </w:rPr>
              <w:t>Intensité</w:t>
            </w:r>
          </w:p>
        </w:tc>
        <w:tc>
          <w:tcPr>
            <w:tcW w:w="1006" w:type="dxa"/>
            <w:shd w:val="clear" w:color="auto" w:fill="auto"/>
          </w:tcPr>
          <w:p w14:paraId="02961BBE" w14:textId="77777777" w:rsidR="00EF4D46" w:rsidRPr="00420C1B" w:rsidRDefault="00EF4D46" w:rsidP="00420C1B">
            <w:pPr>
              <w:pStyle w:val="Default"/>
              <w:jc w:val="both"/>
              <w:rPr>
                <w:rFonts w:eastAsia="Times New Roman"/>
                <w:b/>
                <w:bCs/>
                <w:color w:val="auto"/>
                <w:sz w:val="20"/>
                <w:szCs w:val="20"/>
              </w:rPr>
            </w:pPr>
            <w:r w:rsidRPr="00420C1B">
              <w:rPr>
                <w:rFonts w:eastAsia="Times New Roman"/>
                <w:b/>
                <w:bCs/>
                <w:color w:val="auto"/>
                <w:sz w:val="20"/>
                <w:szCs w:val="20"/>
              </w:rPr>
              <w:t>Etendue</w:t>
            </w:r>
          </w:p>
        </w:tc>
        <w:tc>
          <w:tcPr>
            <w:tcW w:w="992" w:type="dxa"/>
            <w:shd w:val="clear" w:color="auto" w:fill="auto"/>
          </w:tcPr>
          <w:p w14:paraId="53B2EB04" w14:textId="77777777" w:rsidR="00EF4D46" w:rsidRPr="00420C1B" w:rsidRDefault="00EF4D46" w:rsidP="00420C1B">
            <w:pPr>
              <w:pStyle w:val="Default"/>
              <w:jc w:val="both"/>
              <w:rPr>
                <w:rFonts w:eastAsia="Times New Roman"/>
                <w:b/>
                <w:bCs/>
                <w:color w:val="auto"/>
                <w:sz w:val="20"/>
                <w:szCs w:val="20"/>
              </w:rPr>
            </w:pPr>
            <w:r w:rsidRPr="00420C1B">
              <w:rPr>
                <w:rFonts w:eastAsia="Times New Roman"/>
                <w:b/>
                <w:bCs/>
                <w:color w:val="auto"/>
                <w:sz w:val="20"/>
                <w:szCs w:val="20"/>
              </w:rPr>
              <w:t>Durée</w:t>
            </w:r>
          </w:p>
        </w:tc>
        <w:tc>
          <w:tcPr>
            <w:tcW w:w="1701" w:type="dxa"/>
            <w:shd w:val="clear" w:color="auto" w:fill="auto"/>
          </w:tcPr>
          <w:p w14:paraId="11EECBA1" w14:textId="77777777" w:rsidR="00EF4D46" w:rsidRPr="00420C1B" w:rsidRDefault="00EF4D46" w:rsidP="00420C1B">
            <w:pPr>
              <w:pStyle w:val="Default"/>
              <w:jc w:val="both"/>
              <w:rPr>
                <w:rFonts w:eastAsia="Times New Roman"/>
                <w:b/>
                <w:bCs/>
                <w:color w:val="auto"/>
                <w:sz w:val="20"/>
                <w:szCs w:val="20"/>
              </w:rPr>
            </w:pPr>
            <w:r w:rsidRPr="00420C1B">
              <w:rPr>
                <w:rFonts w:eastAsia="Times New Roman"/>
                <w:b/>
                <w:bCs/>
                <w:color w:val="auto"/>
                <w:sz w:val="20"/>
                <w:szCs w:val="20"/>
              </w:rPr>
              <w:t>Importance</w:t>
            </w:r>
          </w:p>
        </w:tc>
        <w:tc>
          <w:tcPr>
            <w:tcW w:w="1017" w:type="dxa"/>
            <w:shd w:val="clear" w:color="auto" w:fill="auto"/>
          </w:tcPr>
          <w:p w14:paraId="11069B6F" w14:textId="77777777" w:rsidR="00EF4D46" w:rsidRPr="00420C1B" w:rsidRDefault="00EF4D46" w:rsidP="00420C1B">
            <w:pPr>
              <w:spacing w:after="0" w:line="240" w:lineRule="auto"/>
              <w:jc w:val="both"/>
              <w:rPr>
                <w:rFonts w:ascii="Times New Roman" w:hAnsi="Times New Roman"/>
                <w:sz w:val="20"/>
                <w:szCs w:val="20"/>
              </w:rPr>
            </w:pPr>
          </w:p>
        </w:tc>
      </w:tr>
      <w:tr w:rsidR="002C66D7" w:rsidRPr="00420C1B" w14:paraId="42790101" w14:textId="77777777" w:rsidTr="00420C1B">
        <w:trPr>
          <w:gridAfter w:val="1"/>
          <w:wAfter w:w="12" w:type="dxa"/>
          <w:jc w:val="center"/>
        </w:trPr>
        <w:tc>
          <w:tcPr>
            <w:tcW w:w="2121" w:type="dxa"/>
            <w:vMerge/>
            <w:shd w:val="clear" w:color="auto" w:fill="auto"/>
          </w:tcPr>
          <w:p w14:paraId="34DC0974" w14:textId="77777777" w:rsidR="00EF4D46" w:rsidRPr="00420C1B" w:rsidRDefault="00EF4D46" w:rsidP="00420C1B">
            <w:pPr>
              <w:spacing w:after="0" w:line="240" w:lineRule="auto"/>
              <w:jc w:val="both"/>
              <w:rPr>
                <w:rFonts w:ascii="Times New Roman" w:hAnsi="Times New Roman"/>
                <w:sz w:val="20"/>
                <w:szCs w:val="20"/>
              </w:rPr>
            </w:pPr>
          </w:p>
        </w:tc>
        <w:tc>
          <w:tcPr>
            <w:tcW w:w="1151" w:type="dxa"/>
            <w:vMerge/>
            <w:shd w:val="clear" w:color="auto" w:fill="auto"/>
          </w:tcPr>
          <w:p w14:paraId="78637955" w14:textId="77777777" w:rsidR="00EF4D46" w:rsidRPr="00420C1B" w:rsidRDefault="00EF4D46" w:rsidP="00420C1B">
            <w:pPr>
              <w:spacing w:after="0" w:line="240" w:lineRule="auto"/>
              <w:jc w:val="both"/>
              <w:rPr>
                <w:rFonts w:ascii="Times New Roman" w:hAnsi="Times New Roman"/>
                <w:sz w:val="20"/>
                <w:szCs w:val="20"/>
              </w:rPr>
            </w:pPr>
          </w:p>
        </w:tc>
        <w:tc>
          <w:tcPr>
            <w:tcW w:w="1288" w:type="dxa"/>
            <w:shd w:val="clear" w:color="auto" w:fill="auto"/>
            <w:vAlign w:val="center"/>
          </w:tcPr>
          <w:p w14:paraId="1B32BC0D" w14:textId="77777777" w:rsidR="00EF4D46" w:rsidRPr="00420C1B" w:rsidRDefault="00EF4D46" w:rsidP="00420C1B">
            <w:pPr>
              <w:spacing w:after="0" w:line="240" w:lineRule="auto"/>
              <w:jc w:val="both"/>
              <w:rPr>
                <w:rFonts w:ascii="Times New Roman" w:hAnsi="Times New Roman"/>
                <w:sz w:val="20"/>
                <w:szCs w:val="20"/>
              </w:rPr>
            </w:pPr>
          </w:p>
        </w:tc>
        <w:tc>
          <w:tcPr>
            <w:tcW w:w="1006" w:type="dxa"/>
            <w:shd w:val="clear" w:color="auto" w:fill="auto"/>
            <w:vAlign w:val="center"/>
          </w:tcPr>
          <w:p w14:paraId="0464F01B" w14:textId="77777777" w:rsidR="00EF4D46" w:rsidRPr="00420C1B" w:rsidRDefault="00EF4D46" w:rsidP="00420C1B">
            <w:pPr>
              <w:spacing w:after="0" w:line="240" w:lineRule="auto"/>
              <w:jc w:val="both"/>
              <w:rPr>
                <w:rFonts w:ascii="Times New Roman" w:hAnsi="Times New Roman"/>
                <w:sz w:val="20"/>
                <w:szCs w:val="20"/>
              </w:rPr>
            </w:pPr>
          </w:p>
        </w:tc>
        <w:tc>
          <w:tcPr>
            <w:tcW w:w="992" w:type="dxa"/>
            <w:shd w:val="clear" w:color="auto" w:fill="auto"/>
            <w:vAlign w:val="center"/>
          </w:tcPr>
          <w:p w14:paraId="2F5BE3D2" w14:textId="77777777" w:rsidR="00EF4D46" w:rsidRPr="00420C1B" w:rsidRDefault="00EF4D46" w:rsidP="00420C1B">
            <w:pPr>
              <w:spacing w:after="0" w:line="240" w:lineRule="auto"/>
              <w:jc w:val="both"/>
              <w:rPr>
                <w:rFonts w:ascii="Times New Roman" w:eastAsia="MS Mincho" w:hAnsi="Times New Roman"/>
                <w:sz w:val="20"/>
                <w:szCs w:val="20"/>
              </w:rPr>
            </w:pPr>
          </w:p>
        </w:tc>
        <w:tc>
          <w:tcPr>
            <w:tcW w:w="1701" w:type="dxa"/>
            <w:shd w:val="clear" w:color="auto" w:fill="auto"/>
            <w:vAlign w:val="center"/>
          </w:tcPr>
          <w:p w14:paraId="733FC8FA" w14:textId="77777777" w:rsidR="00EF4D46" w:rsidRPr="00420C1B" w:rsidRDefault="00EF4D46" w:rsidP="00420C1B">
            <w:pPr>
              <w:spacing w:after="0" w:line="240" w:lineRule="auto"/>
              <w:jc w:val="both"/>
              <w:rPr>
                <w:rFonts w:ascii="Times New Roman" w:hAnsi="Times New Roman"/>
                <w:sz w:val="20"/>
                <w:szCs w:val="20"/>
              </w:rPr>
            </w:pPr>
          </w:p>
        </w:tc>
        <w:tc>
          <w:tcPr>
            <w:tcW w:w="1017" w:type="dxa"/>
            <w:shd w:val="clear" w:color="auto" w:fill="auto"/>
          </w:tcPr>
          <w:p w14:paraId="710E08EB" w14:textId="77777777" w:rsidR="00EF4D46" w:rsidRPr="00420C1B" w:rsidRDefault="00EF4D46" w:rsidP="00420C1B">
            <w:pPr>
              <w:spacing w:after="0" w:line="240" w:lineRule="auto"/>
              <w:jc w:val="both"/>
              <w:rPr>
                <w:rFonts w:ascii="Times New Roman" w:hAnsi="Times New Roman"/>
                <w:sz w:val="20"/>
                <w:szCs w:val="20"/>
              </w:rPr>
            </w:pPr>
          </w:p>
        </w:tc>
      </w:tr>
      <w:tr w:rsidR="00D75D2E" w:rsidRPr="00420C1B" w14:paraId="17C04C5D" w14:textId="77777777" w:rsidTr="00420C1B">
        <w:trPr>
          <w:gridAfter w:val="1"/>
          <w:wAfter w:w="12" w:type="dxa"/>
          <w:jc w:val="center"/>
        </w:trPr>
        <w:tc>
          <w:tcPr>
            <w:tcW w:w="2121" w:type="dxa"/>
            <w:vMerge/>
            <w:shd w:val="clear" w:color="auto" w:fill="auto"/>
          </w:tcPr>
          <w:p w14:paraId="372850EA" w14:textId="77777777" w:rsidR="00EF4D46" w:rsidRPr="00420C1B" w:rsidRDefault="00EF4D46" w:rsidP="00420C1B">
            <w:pPr>
              <w:spacing w:after="0" w:line="240" w:lineRule="auto"/>
              <w:jc w:val="both"/>
              <w:rPr>
                <w:rFonts w:ascii="Times New Roman" w:hAnsi="Times New Roman"/>
                <w:sz w:val="20"/>
                <w:szCs w:val="20"/>
              </w:rPr>
            </w:pPr>
          </w:p>
        </w:tc>
        <w:tc>
          <w:tcPr>
            <w:tcW w:w="1151" w:type="dxa"/>
            <w:shd w:val="clear" w:color="auto" w:fill="auto"/>
          </w:tcPr>
          <w:p w14:paraId="20B4FAC6"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Analyse</w:t>
            </w:r>
          </w:p>
        </w:tc>
        <w:tc>
          <w:tcPr>
            <w:tcW w:w="6004" w:type="dxa"/>
            <w:gridSpan w:val="5"/>
            <w:shd w:val="clear" w:color="auto" w:fill="auto"/>
          </w:tcPr>
          <w:p w14:paraId="5A0548A2" w14:textId="77777777" w:rsidR="00EF4D46" w:rsidRPr="00420C1B" w:rsidRDefault="00EF4D46" w:rsidP="00420C1B">
            <w:pPr>
              <w:spacing w:after="0" w:line="240" w:lineRule="auto"/>
              <w:jc w:val="both"/>
              <w:rPr>
                <w:rFonts w:ascii="Times New Roman" w:hAnsi="Times New Roman"/>
                <w:sz w:val="20"/>
                <w:szCs w:val="20"/>
              </w:rPr>
            </w:pPr>
          </w:p>
        </w:tc>
      </w:tr>
      <w:tr w:rsidR="00D75D2E" w:rsidRPr="00420C1B" w14:paraId="5D3748FE" w14:textId="77777777" w:rsidTr="00420C1B">
        <w:trPr>
          <w:jc w:val="center"/>
        </w:trPr>
        <w:tc>
          <w:tcPr>
            <w:tcW w:w="4560" w:type="dxa"/>
            <w:gridSpan w:val="3"/>
            <w:shd w:val="clear" w:color="auto" w:fill="auto"/>
          </w:tcPr>
          <w:p w14:paraId="473E59A3" w14:textId="77777777" w:rsidR="00EF4D46" w:rsidRPr="00420C1B" w:rsidRDefault="00EF4D46" w:rsidP="00420C1B">
            <w:pPr>
              <w:spacing w:after="0" w:line="240" w:lineRule="auto"/>
              <w:jc w:val="both"/>
              <w:rPr>
                <w:rFonts w:ascii="Times New Roman" w:eastAsia="Times New Roman" w:hAnsi="Times New Roman"/>
                <w:b/>
                <w:sz w:val="20"/>
                <w:szCs w:val="20"/>
                <w:lang w:eastAsia="fr-FR"/>
              </w:rPr>
            </w:pPr>
            <w:r w:rsidRPr="00420C1B">
              <w:rPr>
                <w:rFonts w:ascii="Times New Roman" w:hAnsi="Times New Roman"/>
                <w:b/>
                <w:sz w:val="20"/>
                <w:szCs w:val="20"/>
              </w:rPr>
              <w:t xml:space="preserve">Titre de la mesure d’atténuation : </w:t>
            </w:r>
          </w:p>
        </w:tc>
        <w:tc>
          <w:tcPr>
            <w:tcW w:w="4728" w:type="dxa"/>
            <w:gridSpan w:val="5"/>
            <w:shd w:val="clear" w:color="auto" w:fill="auto"/>
          </w:tcPr>
          <w:p w14:paraId="3E01917D" w14:textId="77777777" w:rsidR="00EF4D46" w:rsidRPr="00420C1B" w:rsidRDefault="00EF4D46" w:rsidP="00420C1B">
            <w:pPr>
              <w:spacing w:after="0" w:line="240" w:lineRule="auto"/>
              <w:jc w:val="both"/>
              <w:rPr>
                <w:rFonts w:ascii="Times New Roman" w:hAnsi="Times New Roman"/>
                <w:sz w:val="20"/>
                <w:szCs w:val="20"/>
              </w:rPr>
            </w:pPr>
          </w:p>
        </w:tc>
      </w:tr>
      <w:tr w:rsidR="00E15411" w:rsidRPr="00420C1B" w14:paraId="32A4DC29" w14:textId="77777777" w:rsidTr="00420C1B">
        <w:trPr>
          <w:jc w:val="center"/>
        </w:trPr>
        <w:tc>
          <w:tcPr>
            <w:tcW w:w="4560" w:type="dxa"/>
            <w:gridSpan w:val="3"/>
            <w:shd w:val="clear" w:color="auto" w:fill="auto"/>
          </w:tcPr>
          <w:p w14:paraId="2CF81749"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b/>
                <w:sz w:val="20"/>
                <w:szCs w:val="20"/>
              </w:rPr>
              <w:t>Objectif de la mesure d’atténuation</w:t>
            </w:r>
            <w:r w:rsidRPr="00420C1B">
              <w:rPr>
                <w:rFonts w:ascii="Times New Roman" w:hAnsi="Times New Roman"/>
                <w:sz w:val="20"/>
                <w:szCs w:val="20"/>
              </w:rPr>
              <w:t xml:space="preserve"> : </w:t>
            </w:r>
          </w:p>
        </w:tc>
        <w:tc>
          <w:tcPr>
            <w:tcW w:w="4728" w:type="dxa"/>
            <w:gridSpan w:val="5"/>
            <w:shd w:val="clear" w:color="auto" w:fill="auto"/>
          </w:tcPr>
          <w:p w14:paraId="44A20B49" w14:textId="77777777" w:rsidR="00EF4D46" w:rsidRPr="00420C1B" w:rsidRDefault="00EF4D46" w:rsidP="00420C1B">
            <w:pPr>
              <w:spacing w:after="0" w:line="240" w:lineRule="auto"/>
              <w:jc w:val="both"/>
              <w:rPr>
                <w:rFonts w:ascii="Times New Roman" w:eastAsia="Times New Roman" w:hAnsi="Times New Roman"/>
                <w:sz w:val="20"/>
                <w:szCs w:val="20"/>
                <w:lang w:eastAsia="fr-FR"/>
              </w:rPr>
            </w:pPr>
            <w:r w:rsidRPr="00420C1B">
              <w:rPr>
                <w:rFonts w:ascii="Times New Roman" w:hAnsi="Times New Roman"/>
                <w:b/>
                <w:sz w:val="20"/>
                <w:szCs w:val="20"/>
                <w:u w:val="single"/>
              </w:rPr>
              <w:t>Description</w:t>
            </w:r>
            <w:r w:rsidRPr="00420C1B">
              <w:rPr>
                <w:rFonts w:ascii="Times New Roman" w:hAnsi="Times New Roman"/>
                <w:sz w:val="20"/>
                <w:szCs w:val="20"/>
              </w:rPr>
              <w:t xml:space="preserve"> : </w:t>
            </w:r>
          </w:p>
          <w:p w14:paraId="1797B91A" w14:textId="77777777" w:rsidR="00EF4D46" w:rsidRPr="00420C1B" w:rsidRDefault="00EF4D46" w:rsidP="00420C1B">
            <w:pPr>
              <w:spacing w:after="0" w:line="240" w:lineRule="auto"/>
              <w:jc w:val="both"/>
              <w:rPr>
                <w:rFonts w:ascii="Times New Roman" w:hAnsi="Times New Roman"/>
                <w:sz w:val="20"/>
                <w:szCs w:val="20"/>
              </w:rPr>
            </w:pPr>
          </w:p>
        </w:tc>
      </w:tr>
    </w:tbl>
    <w:p w14:paraId="799ECFD5" w14:textId="77777777" w:rsidR="00655A9B" w:rsidRPr="00E737B4" w:rsidRDefault="00FB3D81" w:rsidP="00E737B4">
      <w:pPr>
        <w:spacing w:after="0" w:line="240" w:lineRule="auto"/>
        <w:rPr>
          <w:rFonts w:ascii="Times New Roman" w:hAnsi="Times New Roman"/>
          <w:sz w:val="28"/>
          <w:szCs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5C980E65" w14:textId="495CEFEA" w:rsidR="00655A9B" w:rsidRPr="00E737B4" w:rsidRDefault="00655A9B" w:rsidP="00E737B4">
      <w:pPr>
        <w:spacing w:before="120" w:after="120" w:line="240" w:lineRule="auto"/>
        <w:jc w:val="center"/>
        <w:rPr>
          <w:rFonts w:ascii="Times New Roman" w:hAnsi="Times New Roman"/>
          <w:iCs/>
          <w:sz w:val="24"/>
          <w:szCs w:val="24"/>
          <w:lang w:val="x-none" w:eastAsia="x-none"/>
        </w:rPr>
      </w:pPr>
      <w:bookmarkStart w:id="516" w:name="_Toc8304639"/>
      <w:bookmarkStart w:id="517" w:name="_Toc29154151"/>
      <w:bookmarkStart w:id="518" w:name="_Toc93050280"/>
      <w:r w:rsidRPr="00E737B4">
        <w:rPr>
          <w:rFonts w:ascii="Times New Roman" w:hAnsi="Times New Roman"/>
          <w:iCs/>
          <w:sz w:val="24"/>
          <w:szCs w:val="18"/>
          <w:lang w:val="x-none" w:eastAsia="x-none"/>
        </w:rPr>
        <w:t xml:space="preserve">Tableau </w:t>
      </w:r>
      <w:r w:rsidRPr="00E737B4">
        <w:rPr>
          <w:rFonts w:ascii="Times New Roman" w:hAnsi="Times New Roman"/>
          <w:iCs/>
          <w:sz w:val="24"/>
          <w:szCs w:val="18"/>
          <w:lang w:val="x-none" w:eastAsia="x-none"/>
        </w:rPr>
        <w:fldChar w:fldCharType="begin"/>
      </w:r>
      <w:r w:rsidRPr="00E737B4">
        <w:rPr>
          <w:rFonts w:ascii="Times New Roman" w:hAnsi="Times New Roman"/>
          <w:iCs/>
          <w:sz w:val="24"/>
          <w:szCs w:val="18"/>
          <w:lang w:val="x-none" w:eastAsia="x-none"/>
        </w:rPr>
        <w:instrText xml:space="preserve"> SEQ Tableau \* ARABIC </w:instrText>
      </w:r>
      <w:r w:rsidRPr="00E737B4">
        <w:rPr>
          <w:rFonts w:ascii="Times New Roman" w:hAnsi="Times New Roman"/>
          <w:iCs/>
          <w:sz w:val="24"/>
          <w:szCs w:val="18"/>
          <w:lang w:val="x-none" w:eastAsia="x-none"/>
        </w:rPr>
        <w:fldChar w:fldCharType="separate"/>
      </w:r>
      <w:r w:rsidR="00A86929">
        <w:rPr>
          <w:rFonts w:ascii="Times New Roman" w:hAnsi="Times New Roman"/>
          <w:iCs/>
          <w:noProof/>
          <w:sz w:val="24"/>
          <w:szCs w:val="18"/>
          <w:lang w:val="x-none" w:eastAsia="x-none"/>
        </w:rPr>
        <w:t>18</w:t>
      </w:r>
      <w:r w:rsidRPr="00E737B4">
        <w:rPr>
          <w:rFonts w:ascii="Times New Roman" w:hAnsi="Times New Roman"/>
          <w:iCs/>
          <w:sz w:val="24"/>
          <w:szCs w:val="18"/>
          <w:lang w:val="x-none" w:eastAsia="x-none"/>
        </w:rPr>
        <w:fldChar w:fldCharType="end"/>
      </w:r>
      <w:r w:rsidRPr="00E737B4">
        <w:rPr>
          <w:rFonts w:ascii="Times New Roman" w:hAnsi="Times New Roman"/>
          <w:iCs/>
          <w:sz w:val="24"/>
          <w:szCs w:val="18"/>
          <w:lang w:val="x-none" w:eastAsia="x-none"/>
        </w:rPr>
        <w:t> </w:t>
      </w:r>
      <w:r w:rsidRPr="00E737B4">
        <w:rPr>
          <w:rFonts w:ascii="Times New Roman" w:hAnsi="Times New Roman"/>
          <w:iCs/>
          <w:sz w:val="24"/>
          <w:szCs w:val="18"/>
          <w:lang w:eastAsia="x-none"/>
        </w:rPr>
        <w:t xml:space="preserve">: </w:t>
      </w:r>
      <w:r w:rsidRPr="00E737B4">
        <w:rPr>
          <w:rFonts w:ascii="Times New Roman" w:hAnsi="Times New Roman"/>
          <w:iCs/>
          <w:sz w:val="24"/>
          <w:szCs w:val="24"/>
          <w:lang w:val="x-none" w:eastAsia="x-none"/>
        </w:rPr>
        <w:t>Critères d’évaluation de l’importance d’un impact</w:t>
      </w:r>
      <w:bookmarkEnd w:id="516"/>
      <w:bookmarkEnd w:id="517"/>
      <w:bookmarkEnd w:id="518"/>
    </w:p>
    <w:tbl>
      <w:tblPr>
        <w:tblW w:w="5000" w:type="pct"/>
        <w:tblCellMar>
          <w:top w:w="47" w:type="dxa"/>
          <w:left w:w="106" w:type="dxa"/>
          <w:right w:w="115" w:type="dxa"/>
        </w:tblCellMar>
        <w:tblLook w:val="04A0" w:firstRow="1" w:lastRow="0" w:firstColumn="1" w:lastColumn="0" w:noHBand="0" w:noVBand="1"/>
      </w:tblPr>
      <w:tblGrid>
        <w:gridCol w:w="1889"/>
        <w:gridCol w:w="7547"/>
      </w:tblGrid>
      <w:tr w:rsidR="00D75D2E" w:rsidRPr="00420C1B" w14:paraId="53BBFA9A" w14:textId="77777777" w:rsidTr="00842F58">
        <w:trPr>
          <w:trHeight w:val="259"/>
        </w:trPr>
        <w:tc>
          <w:tcPr>
            <w:tcW w:w="1001" w:type="pct"/>
            <w:tcBorders>
              <w:top w:val="single" w:sz="4" w:space="0" w:color="000000"/>
              <w:left w:val="single" w:sz="4" w:space="0" w:color="000000"/>
              <w:bottom w:val="single" w:sz="4" w:space="0" w:color="000000"/>
              <w:right w:val="single" w:sz="4" w:space="0" w:color="000000"/>
            </w:tcBorders>
            <w:shd w:val="clear" w:color="auto" w:fill="92D050"/>
          </w:tcPr>
          <w:p w14:paraId="506D27CF" w14:textId="77777777" w:rsidR="00655A9B" w:rsidRPr="00E737B4" w:rsidRDefault="00655A9B" w:rsidP="00655A9B">
            <w:pPr>
              <w:spacing w:after="0" w:line="240" w:lineRule="auto"/>
              <w:ind w:left="4"/>
              <w:jc w:val="center"/>
              <w:rPr>
                <w:rFonts w:ascii="Times New Roman" w:eastAsia="Times New Roman" w:hAnsi="Times New Roman"/>
                <w:sz w:val="20"/>
                <w:szCs w:val="24"/>
              </w:rPr>
            </w:pPr>
            <w:r w:rsidRPr="00E737B4">
              <w:rPr>
                <w:rFonts w:ascii="Times New Roman" w:eastAsia="Times New Roman" w:hAnsi="Times New Roman"/>
                <w:b/>
                <w:sz w:val="20"/>
                <w:szCs w:val="24"/>
              </w:rPr>
              <w:t xml:space="preserve">Catégorie </w:t>
            </w:r>
          </w:p>
        </w:tc>
        <w:tc>
          <w:tcPr>
            <w:tcW w:w="3999" w:type="pct"/>
            <w:tcBorders>
              <w:top w:val="single" w:sz="4" w:space="0" w:color="000000"/>
              <w:left w:val="single" w:sz="4" w:space="0" w:color="000000"/>
              <w:bottom w:val="single" w:sz="4" w:space="0" w:color="000000"/>
              <w:right w:val="single" w:sz="4" w:space="0" w:color="000000"/>
            </w:tcBorders>
            <w:shd w:val="clear" w:color="auto" w:fill="92D050"/>
          </w:tcPr>
          <w:p w14:paraId="069D185A" w14:textId="77777777" w:rsidR="00655A9B" w:rsidRPr="00E737B4" w:rsidRDefault="00655A9B" w:rsidP="00655A9B">
            <w:pPr>
              <w:spacing w:after="0" w:line="240" w:lineRule="auto"/>
              <w:ind w:left="15"/>
              <w:jc w:val="center"/>
              <w:rPr>
                <w:rFonts w:ascii="Times New Roman" w:eastAsia="Times New Roman" w:hAnsi="Times New Roman"/>
                <w:sz w:val="20"/>
                <w:szCs w:val="24"/>
              </w:rPr>
            </w:pPr>
            <w:r w:rsidRPr="00E737B4">
              <w:rPr>
                <w:rFonts w:ascii="Times New Roman" w:eastAsia="Times New Roman" w:hAnsi="Times New Roman"/>
                <w:b/>
                <w:sz w:val="20"/>
                <w:szCs w:val="24"/>
              </w:rPr>
              <w:t xml:space="preserve">Signification </w:t>
            </w:r>
          </w:p>
        </w:tc>
      </w:tr>
      <w:tr w:rsidR="00D75D2E" w:rsidRPr="00420C1B" w14:paraId="5DD4366A" w14:textId="77777777" w:rsidTr="00C86B57">
        <w:trPr>
          <w:trHeight w:val="515"/>
        </w:trPr>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89D1D7" w14:textId="77777777" w:rsidR="00655A9B" w:rsidRPr="00E737B4" w:rsidRDefault="00655A9B" w:rsidP="00655A9B">
            <w:pPr>
              <w:spacing w:after="0" w:line="240" w:lineRule="auto"/>
              <w:rPr>
                <w:rFonts w:ascii="Times New Roman" w:eastAsia="Times New Roman" w:hAnsi="Times New Roman"/>
                <w:sz w:val="20"/>
                <w:szCs w:val="24"/>
              </w:rPr>
            </w:pPr>
            <w:r w:rsidRPr="00E737B4">
              <w:rPr>
                <w:rFonts w:ascii="Times New Roman" w:eastAsia="Times New Roman" w:hAnsi="Times New Roman"/>
                <w:sz w:val="20"/>
                <w:szCs w:val="24"/>
              </w:rPr>
              <w:t xml:space="preserve">Majeur </w:t>
            </w:r>
          </w:p>
        </w:tc>
        <w:tc>
          <w:tcPr>
            <w:tcW w:w="3999" w:type="pct"/>
            <w:tcBorders>
              <w:top w:val="single" w:sz="4" w:space="0" w:color="000000"/>
              <w:left w:val="single" w:sz="4" w:space="0" w:color="000000"/>
              <w:bottom w:val="single" w:sz="4" w:space="0" w:color="000000"/>
              <w:right w:val="single" w:sz="4" w:space="0" w:color="000000"/>
            </w:tcBorders>
            <w:shd w:val="clear" w:color="auto" w:fill="auto"/>
          </w:tcPr>
          <w:p w14:paraId="5B441486" w14:textId="77777777" w:rsidR="00655A9B" w:rsidRPr="00E737B4" w:rsidRDefault="00655A9B" w:rsidP="00655A9B">
            <w:pPr>
              <w:spacing w:after="0" w:line="240" w:lineRule="auto"/>
              <w:ind w:left="4"/>
              <w:jc w:val="both"/>
              <w:rPr>
                <w:rFonts w:ascii="Times New Roman" w:eastAsia="Times New Roman" w:hAnsi="Times New Roman"/>
                <w:sz w:val="20"/>
                <w:szCs w:val="24"/>
              </w:rPr>
            </w:pPr>
            <w:r w:rsidRPr="00E737B4">
              <w:rPr>
                <w:rFonts w:ascii="Times New Roman" w:eastAsia="Times New Roman" w:hAnsi="Times New Roman"/>
                <w:sz w:val="20"/>
                <w:szCs w:val="24"/>
              </w:rPr>
              <w:t xml:space="preserve">L’impact potentiel est inacceptable. Des mesures d’atténuation ou de compensation doivent obligatoirement être mises en œuvre. </w:t>
            </w:r>
          </w:p>
        </w:tc>
      </w:tr>
      <w:tr w:rsidR="00D75D2E" w:rsidRPr="00420C1B" w14:paraId="7DE96ABD" w14:textId="77777777" w:rsidTr="00C86B57">
        <w:trPr>
          <w:trHeight w:val="516"/>
        </w:trPr>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386344" w14:textId="77777777" w:rsidR="00655A9B" w:rsidRPr="00E737B4" w:rsidRDefault="00655A9B" w:rsidP="00655A9B">
            <w:pPr>
              <w:spacing w:after="0" w:line="240" w:lineRule="auto"/>
              <w:rPr>
                <w:rFonts w:ascii="Times New Roman" w:eastAsia="Times New Roman" w:hAnsi="Times New Roman"/>
                <w:sz w:val="20"/>
                <w:szCs w:val="24"/>
              </w:rPr>
            </w:pPr>
            <w:r w:rsidRPr="00E737B4">
              <w:rPr>
                <w:rFonts w:ascii="Times New Roman" w:eastAsia="Times New Roman" w:hAnsi="Times New Roman"/>
                <w:sz w:val="20"/>
                <w:szCs w:val="24"/>
              </w:rPr>
              <w:t xml:space="preserve">Moyen/modéré </w:t>
            </w:r>
          </w:p>
        </w:tc>
        <w:tc>
          <w:tcPr>
            <w:tcW w:w="3999" w:type="pct"/>
            <w:tcBorders>
              <w:top w:val="single" w:sz="4" w:space="0" w:color="000000"/>
              <w:left w:val="single" w:sz="4" w:space="0" w:color="000000"/>
              <w:bottom w:val="single" w:sz="4" w:space="0" w:color="000000"/>
              <w:right w:val="single" w:sz="4" w:space="0" w:color="000000"/>
            </w:tcBorders>
            <w:shd w:val="clear" w:color="auto" w:fill="auto"/>
          </w:tcPr>
          <w:p w14:paraId="5B44EA9D" w14:textId="77777777" w:rsidR="00655A9B" w:rsidRPr="00E737B4" w:rsidRDefault="00655A9B" w:rsidP="00655A9B">
            <w:pPr>
              <w:spacing w:after="0" w:line="240" w:lineRule="auto"/>
              <w:ind w:left="4"/>
              <w:jc w:val="both"/>
              <w:rPr>
                <w:rFonts w:ascii="Times New Roman" w:eastAsia="Times New Roman" w:hAnsi="Times New Roman"/>
                <w:sz w:val="20"/>
                <w:szCs w:val="24"/>
              </w:rPr>
            </w:pPr>
            <w:r w:rsidRPr="00E737B4">
              <w:rPr>
                <w:rFonts w:ascii="Times New Roman" w:eastAsia="Times New Roman" w:hAnsi="Times New Roman"/>
                <w:sz w:val="20"/>
                <w:szCs w:val="24"/>
              </w:rPr>
              <w:t xml:space="preserve">L’impact est perceptible et indésirable. Il est fortement recommandé de mettre en œuvre des mesures d’atténuation ou de compensation. </w:t>
            </w:r>
          </w:p>
        </w:tc>
      </w:tr>
      <w:tr w:rsidR="00D75D2E" w:rsidRPr="00420C1B" w14:paraId="79EAEF35" w14:textId="77777777" w:rsidTr="00C86B57">
        <w:trPr>
          <w:trHeight w:val="516"/>
        </w:trPr>
        <w:tc>
          <w:tcPr>
            <w:tcW w:w="10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0CF77" w14:textId="77777777" w:rsidR="00655A9B" w:rsidRPr="00E737B4" w:rsidRDefault="00655A9B" w:rsidP="00655A9B">
            <w:pPr>
              <w:spacing w:after="0" w:line="240" w:lineRule="auto"/>
              <w:rPr>
                <w:rFonts w:ascii="Times New Roman" w:eastAsia="Times New Roman" w:hAnsi="Times New Roman"/>
                <w:sz w:val="20"/>
                <w:szCs w:val="24"/>
              </w:rPr>
            </w:pPr>
            <w:r w:rsidRPr="00E737B4">
              <w:rPr>
                <w:rFonts w:ascii="Times New Roman" w:eastAsia="Times New Roman" w:hAnsi="Times New Roman"/>
                <w:sz w:val="20"/>
                <w:szCs w:val="24"/>
              </w:rPr>
              <w:t xml:space="preserve">Mineur </w:t>
            </w:r>
          </w:p>
        </w:tc>
        <w:tc>
          <w:tcPr>
            <w:tcW w:w="3999" w:type="pct"/>
            <w:tcBorders>
              <w:top w:val="single" w:sz="4" w:space="0" w:color="000000"/>
              <w:left w:val="single" w:sz="4" w:space="0" w:color="000000"/>
              <w:bottom w:val="single" w:sz="4" w:space="0" w:color="000000"/>
              <w:right w:val="single" w:sz="4" w:space="0" w:color="000000"/>
            </w:tcBorders>
            <w:shd w:val="clear" w:color="auto" w:fill="auto"/>
          </w:tcPr>
          <w:p w14:paraId="6013FD57" w14:textId="77777777" w:rsidR="00655A9B" w:rsidRPr="00E737B4" w:rsidRDefault="00655A9B" w:rsidP="00655A9B">
            <w:pPr>
              <w:spacing w:after="0" w:line="240" w:lineRule="auto"/>
              <w:ind w:left="4"/>
              <w:jc w:val="both"/>
              <w:rPr>
                <w:rFonts w:ascii="Times New Roman" w:eastAsia="Times New Roman" w:hAnsi="Times New Roman"/>
                <w:sz w:val="20"/>
                <w:szCs w:val="24"/>
              </w:rPr>
            </w:pPr>
            <w:r w:rsidRPr="00E737B4">
              <w:rPr>
                <w:rFonts w:ascii="Times New Roman" w:eastAsia="Times New Roman" w:hAnsi="Times New Roman"/>
                <w:sz w:val="20"/>
                <w:szCs w:val="24"/>
              </w:rPr>
              <w:t xml:space="preserve">L’impact n’est pas très important, mais devrait tout de même être amoindri par des mesures d’atténuation ou de compensation adéquates. </w:t>
            </w:r>
          </w:p>
        </w:tc>
      </w:tr>
    </w:tbl>
    <w:p w14:paraId="44E7C714" w14:textId="77777777" w:rsidR="00FB3D81" w:rsidRPr="00024B30" w:rsidRDefault="00655A9B" w:rsidP="00FB3D81">
      <w:pPr>
        <w:spacing w:after="0" w:line="240" w:lineRule="auto"/>
        <w:rPr>
          <w:rFonts w:ascii="Times New Roman" w:hAnsi="Times New Roman"/>
          <w:bCs/>
          <w:i/>
        </w:rPr>
      </w:pPr>
      <w:r w:rsidRPr="00D75D2E">
        <w:rPr>
          <w:rFonts w:ascii="Times New Roman" w:hAnsi="Times New Roman"/>
          <w:sz w:val="24"/>
          <w:szCs w:val="24"/>
        </w:rPr>
        <w:t xml:space="preserve"> </w:t>
      </w:r>
      <w:r w:rsidR="00FB3D81" w:rsidRPr="00E737B4">
        <w:rPr>
          <w:rFonts w:ascii="Times New Roman" w:hAnsi="Times New Roman"/>
          <w:bCs/>
          <w:i/>
          <w:sz w:val="24"/>
          <w:u w:val="single"/>
        </w:rPr>
        <w:t>Source </w:t>
      </w:r>
      <w:r w:rsidR="00FB3D81"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00FB3D81" w:rsidRPr="00E737B4">
        <w:rPr>
          <w:rFonts w:ascii="Times New Roman" w:hAnsi="Times New Roman"/>
          <w:bCs/>
          <w:i/>
          <w:sz w:val="24"/>
        </w:rPr>
        <w:t>DKO</w:t>
      </w:r>
      <w:r w:rsidR="00124BDB">
        <w:rPr>
          <w:rFonts w:ascii="Times New Roman" w:hAnsi="Times New Roman"/>
          <w:bCs/>
          <w:i/>
          <w:sz w:val="24"/>
        </w:rPr>
        <w:t xml:space="preserve">, </w:t>
      </w:r>
      <w:r w:rsidR="00FB3D81" w:rsidRPr="00E737B4">
        <w:rPr>
          <w:rFonts w:ascii="Times New Roman" w:hAnsi="Times New Roman"/>
          <w:bCs/>
          <w:i/>
          <w:sz w:val="24"/>
        </w:rPr>
        <w:t xml:space="preserve">juillet </w:t>
      </w:r>
      <w:r w:rsidR="00FB3D81" w:rsidRPr="00024B30">
        <w:rPr>
          <w:rFonts w:ascii="Times New Roman" w:hAnsi="Times New Roman"/>
          <w:bCs/>
          <w:i/>
        </w:rPr>
        <w:t>2021</w:t>
      </w:r>
    </w:p>
    <w:p w14:paraId="0ACD29CE" w14:textId="77777777" w:rsidR="00655A9B" w:rsidRPr="00D75D2E" w:rsidRDefault="00655A9B" w:rsidP="00655A9B">
      <w:pPr>
        <w:spacing w:after="0" w:line="240" w:lineRule="auto"/>
        <w:ind w:right="200"/>
        <w:jc w:val="both"/>
        <w:rPr>
          <w:rFonts w:ascii="Times New Roman" w:hAnsi="Times New Roman"/>
          <w:sz w:val="24"/>
          <w:szCs w:val="24"/>
        </w:rPr>
      </w:pPr>
      <w:r w:rsidRPr="00D75D2E">
        <w:rPr>
          <w:rFonts w:ascii="Times New Roman" w:hAnsi="Times New Roman"/>
          <w:sz w:val="24"/>
          <w:szCs w:val="24"/>
        </w:rPr>
        <w:t xml:space="preserve">Les autres paramètres que sont : la réversibilité, l’occurrence, la valeur de la composante touchée et le caractère cumulatif de l’impact, sont intégrés pour déterminer l’importance relative. La situation est préoccupante lorsque l’impact est irréversible, certain, cumulatif et l’élément affecté hautement valorisé. Ainsi, lorsqu’au moins trois de ces paramètres sont vérifiés, on majore la valeur de l’importance absolue d’une classe pour obtenir celle de l’importance relative. </w:t>
      </w:r>
    </w:p>
    <w:p w14:paraId="7BC967A6" w14:textId="77777777" w:rsidR="00655A9B" w:rsidRPr="00D75D2E" w:rsidRDefault="00655A9B" w:rsidP="00E737B4">
      <w:pPr>
        <w:spacing w:before="120" w:after="120" w:line="240" w:lineRule="auto"/>
        <w:ind w:right="204"/>
        <w:jc w:val="both"/>
        <w:rPr>
          <w:rFonts w:ascii="Times New Roman" w:hAnsi="Times New Roman"/>
          <w:sz w:val="24"/>
          <w:szCs w:val="24"/>
        </w:rPr>
      </w:pPr>
      <w:r w:rsidRPr="00D75D2E">
        <w:rPr>
          <w:rFonts w:ascii="Times New Roman" w:hAnsi="Times New Roman"/>
          <w:sz w:val="24"/>
          <w:szCs w:val="24"/>
        </w:rPr>
        <w:t xml:space="preserve">La mesure environnementale est proposée en fonction de l’importance relative. Après application de cette mesure, il subsiste un impact résiduel dont la valeur s’obtient en fonction de la manière dont l’élément affecté est apprécié ou considéré par les lois et règlements, les institutions ou la société.  </w:t>
      </w:r>
    </w:p>
    <w:p w14:paraId="789A44C3" w14:textId="77777777" w:rsidR="00655A9B" w:rsidRPr="00D75D2E" w:rsidRDefault="00655A9B" w:rsidP="00E737B4">
      <w:pPr>
        <w:spacing w:before="120" w:after="120" w:line="240" w:lineRule="auto"/>
        <w:ind w:right="206"/>
        <w:jc w:val="both"/>
        <w:rPr>
          <w:rFonts w:ascii="Times New Roman" w:hAnsi="Times New Roman"/>
          <w:sz w:val="24"/>
          <w:szCs w:val="24"/>
        </w:rPr>
      </w:pPr>
      <w:r w:rsidRPr="00D75D2E">
        <w:rPr>
          <w:rFonts w:ascii="Times New Roman" w:hAnsi="Times New Roman"/>
          <w:sz w:val="24"/>
          <w:szCs w:val="24"/>
        </w:rPr>
        <w:t xml:space="preserve">L’impact résiduel est envisagé en considérant l’efficacité de la mesure environnementale proposée. L’ensemble des impacts résiduels a permis de faire l’évaluation globale du projet sur l’environnement. Globalement, l’évaluation finale des effets du projet sur l’environnement sera obtenue sur la base des impacts résiduels. </w:t>
      </w:r>
    </w:p>
    <w:p w14:paraId="514CD79D" w14:textId="4DB7D4FF" w:rsidR="00AB201E" w:rsidRPr="00D75D2E" w:rsidRDefault="00AB201E" w:rsidP="00AE31F1">
      <w:pPr>
        <w:pStyle w:val="Paragraphedeliste"/>
        <w:keepNext/>
        <w:keepLines/>
        <w:numPr>
          <w:ilvl w:val="2"/>
          <w:numId w:val="54"/>
        </w:numPr>
        <w:tabs>
          <w:tab w:val="left" w:pos="851"/>
        </w:tabs>
        <w:spacing w:before="120" w:after="120" w:line="240" w:lineRule="auto"/>
        <w:contextualSpacing w:val="0"/>
        <w:outlineLvl w:val="1"/>
        <w:rPr>
          <w:rFonts w:ascii="Times New Roman" w:eastAsia="Times New Roman" w:hAnsi="Times New Roman"/>
          <w:b/>
          <w:sz w:val="24"/>
          <w:szCs w:val="24"/>
        </w:rPr>
      </w:pPr>
      <w:bookmarkStart w:id="519" w:name="_Toc78602007"/>
      <w:bookmarkStart w:id="520" w:name="_Toc103685654"/>
      <w:r w:rsidRPr="00D75D2E">
        <w:rPr>
          <w:rFonts w:ascii="Times New Roman" w:eastAsia="Times New Roman" w:hAnsi="Times New Roman"/>
          <w:b/>
          <w:sz w:val="24"/>
          <w:szCs w:val="24"/>
        </w:rPr>
        <w:t>Utilisation de la grille de Fecteau</w:t>
      </w:r>
      <w:bookmarkEnd w:id="519"/>
      <w:bookmarkEnd w:id="520"/>
    </w:p>
    <w:p w14:paraId="0BF875BC" w14:textId="77777777" w:rsidR="00AB201E" w:rsidRPr="00D75D2E" w:rsidRDefault="00AB201E"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Dans la fabrication de cette grille, Fecteau a respecté les principes suivants :</w:t>
      </w:r>
    </w:p>
    <w:p w14:paraId="55C95CA7" w14:textId="77777777" w:rsidR="00AB201E" w:rsidRPr="00D75D2E" w:rsidRDefault="00AB201E" w:rsidP="008C79F0">
      <w:pPr>
        <w:numPr>
          <w:ilvl w:val="0"/>
          <w:numId w:val="166"/>
        </w:numPr>
        <w:suppressAutoHyphens/>
        <w:spacing w:after="0" w:line="240" w:lineRule="auto"/>
        <w:ind w:left="851" w:hanging="425"/>
        <w:jc w:val="both"/>
        <w:rPr>
          <w:rFonts w:ascii="Times New Roman" w:hAnsi="Times New Roman"/>
          <w:sz w:val="24"/>
          <w:szCs w:val="24"/>
        </w:rPr>
      </w:pPr>
      <w:r w:rsidRPr="00D75D2E">
        <w:rPr>
          <w:rFonts w:ascii="Times New Roman" w:hAnsi="Times New Roman"/>
          <w:sz w:val="24"/>
          <w:szCs w:val="24"/>
        </w:rPr>
        <w:t>Chaque critère utilisé pour déterminer l’importance a le même poids ;</w:t>
      </w:r>
    </w:p>
    <w:p w14:paraId="28F444B7" w14:textId="77777777" w:rsidR="00AB201E" w:rsidRPr="00D75D2E" w:rsidRDefault="00AB201E" w:rsidP="008C79F0">
      <w:pPr>
        <w:numPr>
          <w:ilvl w:val="0"/>
          <w:numId w:val="166"/>
        </w:numPr>
        <w:suppressAutoHyphens/>
        <w:spacing w:after="0" w:line="240" w:lineRule="auto"/>
        <w:ind w:left="851" w:hanging="425"/>
        <w:jc w:val="both"/>
        <w:rPr>
          <w:rFonts w:ascii="Times New Roman" w:hAnsi="Times New Roman"/>
          <w:sz w:val="24"/>
          <w:szCs w:val="24"/>
        </w:rPr>
      </w:pPr>
      <w:r w:rsidRPr="00D75D2E">
        <w:rPr>
          <w:rFonts w:ascii="Times New Roman" w:hAnsi="Times New Roman"/>
          <w:sz w:val="24"/>
          <w:szCs w:val="24"/>
        </w:rPr>
        <w:t>Si les valeurs de deux critères ont le même niveau de gravité, on accorde la cote d’importance correspondant à ce niveau, indépendamment du niveau de gravité du troisième critère ;</w:t>
      </w:r>
    </w:p>
    <w:p w14:paraId="3DFCF659" w14:textId="77777777" w:rsidR="00AB201E" w:rsidRPr="00D75D2E" w:rsidRDefault="00AB201E" w:rsidP="008C79F0">
      <w:pPr>
        <w:numPr>
          <w:ilvl w:val="0"/>
          <w:numId w:val="166"/>
        </w:numPr>
        <w:suppressAutoHyphens/>
        <w:spacing w:after="0" w:line="240" w:lineRule="auto"/>
        <w:ind w:left="851" w:hanging="425"/>
        <w:jc w:val="both"/>
        <w:rPr>
          <w:rFonts w:ascii="Times New Roman" w:hAnsi="Times New Roman"/>
          <w:sz w:val="24"/>
          <w:szCs w:val="24"/>
        </w:rPr>
      </w:pPr>
      <w:r w:rsidRPr="00D75D2E">
        <w:rPr>
          <w:rFonts w:ascii="Times New Roman" w:hAnsi="Times New Roman"/>
          <w:sz w:val="24"/>
          <w:szCs w:val="24"/>
        </w:rPr>
        <w:t xml:space="preserve">Si les valeurs des trois critères sont différentes, on accorde la cote d’importance moyenne. </w:t>
      </w:r>
    </w:p>
    <w:p w14:paraId="2C839451" w14:textId="5291FCF4" w:rsidR="00AB201E" w:rsidRPr="00D75D2E" w:rsidRDefault="00AB201E"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La grille résultant de ces règles comporte autant de cotes d’importance majeure que mineure. Cet agencement des critères, discutable, offre l’avantage d’être transparent et d’éviter les distorsions en faveur des impacts mineurs ou majeurs.</w:t>
      </w:r>
      <w:r w:rsidR="00842F58">
        <w:rPr>
          <w:rFonts w:ascii="Times New Roman" w:hAnsi="Times New Roman"/>
          <w:sz w:val="24"/>
          <w:szCs w:val="24"/>
        </w:rPr>
        <w:t xml:space="preserve"> Cette grille est présentée par le tableau </w:t>
      </w:r>
      <w:r w:rsidR="00E732DD">
        <w:rPr>
          <w:rFonts w:ascii="Times New Roman" w:hAnsi="Times New Roman"/>
          <w:sz w:val="24"/>
          <w:szCs w:val="24"/>
        </w:rPr>
        <w:t>18</w:t>
      </w:r>
      <w:r w:rsidR="00842F58">
        <w:rPr>
          <w:rFonts w:ascii="Times New Roman" w:hAnsi="Times New Roman"/>
          <w:sz w:val="24"/>
          <w:szCs w:val="24"/>
        </w:rPr>
        <w:t>.</w:t>
      </w:r>
    </w:p>
    <w:p w14:paraId="4EDDB50D" w14:textId="45A1F2E2" w:rsidR="00AB201E" w:rsidRPr="00E737B4" w:rsidRDefault="00AB201E" w:rsidP="00E737B4">
      <w:pPr>
        <w:pStyle w:val="Lgende"/>
        <w:jc w:val="center"/>
        <w:rPr>
          <w:b/>
          <w:i/>
          <w:color w:val="auto"/>
          <w:sz w:val="24"/>
          <w:szCs w:val="22"/>
        </w:rPr>
      </w:pPr>
      <w:bookmarkStart w:id="521" w:name="_Toc78602872"/>
      <w:bookmarkStart w:id="522" w:name="_Toc93050281"/>
      <w:r w:rsidRPr="00E737B4">
        <w:rPr>
          <w:color w:val="auto"/>
          <w:sz w:val="24"/>
          <w:szCs w:val="22"/>
        </w:rPr>
        <w:t xml:space="preserve">Tableau </w:t>
      </w:r>
      <w:r w:rsidRPr="00E737B4">
        <w:rPr>
          <w:b/>
          <w:i/>
          <w:color w:val="auto"/>
          <w:sz w:val="24"/>
          <w:szCs w:val="22"/>
        </w:rPr>
        <w:fldChar w:fldCharType="begin"/>
      </w:r>
      <w:r w:rsidRPr="00E737B4">
        <w:rPr>
          <w:color w:val="auto"/>
          <w:sz w:val="24"/>
          <w:szCs w:val="22"/>
        </w:rPr>
        <w:instrText xml:space="preserve"> SEQ Tableau \* ARABIC </w:instrText>
      </w:r>
      <w:r w:rsidRPr="00E737B4">
        <w:rPr>
          <w:b/>
          <w:i/>
          <w:color w:val="auto"/>
          <w:sz w:val="24"/>
          <w:szCs w:val="22"/>
        </w:rPr>
        <w:fldChar w:fldCharType="separate"/>
      </w:r>
      <w:r w:rsidR="00A86929">
        <w:rPr>
          <w:noProof/>
          <w:color w:val="auto"/>
          <w:sz w:val="24"/>
          <w:szCs w:val="22"/>
        </w:rPr>
        <w:t>19</w:t>
      </w:r>
      <w:r w:rsidRPr="00E737B4">
        <w:rPr>
          <w:b/>
          <w:i/>
          <w:color w:val="auto"/>
          <w:sz w:val="24"/>
          <w:szCs w:val="22"/>
        </w:rPr>
        <w:fldChar w:fldCharType="end"/>
      </w:r>
      <w:r w:rsidRPr="00E737B4">
        <w:rPr>
          <w:color w:val="auto"/>
          <w:sz w:val="24"/>
          <w:szCs w:val="22"/>
        </w:rPr>
        <w:t> : Grille de Fecteau</w:t>
      </w:r>
      <w:bookmarkEnd w:id="521"/>
      <w:bookmarkEnd w:id="522"/>
    </w:p>
    <w:tbl>
      <w:tblPr>
        <w:tblW w:w="8930" w:type="dxa"/>
        <w:tblInd w:w="25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1637"/>
        <w:gridCol w:w="2190"/>
        <w:gridCol w:w="2552"/>
        <w:gridCol w:w="2551"/>
      </w:tblGrid>
      <w:tr w:rsidR="00D75D2E" w:rsidRPr="00420C1B" w14:paraId="41B13736" w14:textId="77777777" w:rsidTr="00E737B4">
        <w:trPr>
          <w:tblHeader/>
        </w:trPr>
        <w:tc>
          <w:tcPr>
            <w:tcW w:w="1637" w:type="dxa"/>
            <w:shd w:val="clear" w:color="auto" w:fill="92D050"/>
          </w:tcPr>
          <w:p w14:paraId="2A77947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Intensité</w:t>
            </w:r>
          </w:p>
        </w:tc>
        <w:tc>
          <w:tcPr>
            <w:tcW w:w="2190" w:type="dxa"/>
            <w:shd w:val="clear" w:color="auto" w:fill="92D050"/>
          </w:tcPr>
          <w:p w14:paraId="4887131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Etendue</w:t>
            </w:r>
          </w:p>
        </w:tc>
        <w:tc>
          <w:tcPr>
            <w:tcW w:w="2552" w:type="dxa"/>
            <w:shd w:val="clear" w:color="auto" w:fill="92D050"/>
          </w:tcPr>
          <w:p w14:paraId="00F410E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Durée</w:t>
            </w:r>
          </w:p>
        </w:tc>
        <w:tc>
          <w:tcPr>
            <w:tcW w:w="2551" w:type="dxa"/>
            <w:shd w:val="clear" w:color="auto" w:fill="92D050"/>
          </w:tcPr>
          <w:p w14:paraId="2E38521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Importance</w:t>
            </w:r>
          </w:p>
        </w:tc>
      </w:tr>
      <w:tr w:rsidR="00D75D2E" w:rsidRPr="00420C1B" w14:paraId="52874AA3" w14:textId="77777777" w:rsidTr="00E737B4">
        <w:trPr>
          <w:trHeight w:val="60"/>
        </w:trPr>
        <w:tc>
          <w:tcPr>
            <w:tcW w:w="1637" w:type="dxa"/>
            <w:vMerge w:val="restart"/>
            <w:shd w:val="clear" w:color="auto" w:fill="auto"/>
          </w:tcPr>
          <w:p w14:paraId="469FDA3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Forte</w:t>
            </w:r>
          </w:p>
        </w:tc>
        <w:tc>
          <w:tcPr>
            <w:tcW w:w="2190" w:type="dxa"/>
            <w:vMerge w:val="restart"/>
            <w:shd w:val="clear" w:color="auto" w:fill="auto"/>
          </w:tcPr>
          <w:p w14:paraId="7D8325A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 xml:space="preserve">Régionale </w:t>
            </w:r>
          </w:p>
        </w:tc>
        <w:tc>
          <w:tcPr>
            <w:tcW w:w="2552" w:type="dxa"/>
            <w:shd w:val="clear" w:color="auto" w:fill="auto"/>
          </w:tcPr>
          <w:p w14:paraId="2B476D6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6E3DC3A4"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4CF84009" w14:textId="77777777" w:rsidTr="00E737B4">
        <w:trPr>
          <w:trHeight w:val="150"/>
        </w:trPr>
        <w:tc>
          <w:tcPr>
            <w:tcW w:w="1637" w:type="dxa"/>
            <w:vMerge/>
            <w:shd w:val="clear" w:color="auto" w:fill="auto"/>
          </w:tcPr>
          <w:p w14:paraId="2B4723F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633B588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76C0FE4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64E8AB1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35F57730" w14:textId="77777777" w:rsidTr="00E737B4">
        <w:trPr>
          <w:trHeight w:val="106"/>
        </w:trPr>
        <w:tc>
          <w:tcPr>
            <w:tcW w:w="1637" w:type="dxa"/>
            <w:vMerge/>
            <w:shd w:val="clear" w:color="auto" w:fill="auto"/>
          </w:tcPr>
          <w:p w14:paraId="6ABD795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01E4601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3147EEC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2FA05BFB"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3F11B116" w14:textId="77777777" w:rsidTr="00E737B4">
        <w:trPr>
          <w:trHeight w:val="125"/>
        </w:trPr>
        <w:tc>
          <w:tcPr>
            <w:tcW w:w="1637" w:type="dxa"/>
            <w:vMerge/>
            <w:shd w:val="clear" w:color="auto" w:fill="auto"/>
          </w:tcPr>
          <w:p w14:paraId="24EA3F7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49914F3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 xml:space="preserve">Locale </w:t>
            </w:r>
          </w:p>
        </w:tc>
        <w:tc>
          <w:tcPr>
            <w:tcW w:w="2552" w:type="dxa"/>
            <w:shd w:val="clear" w:color="auto" w:fill="auto"/>
          </w:tcPr>
          <w:p w14:paraId="6699819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2A0C908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186AFDF5" w14:textId="77777777" w:rsidTr="00E737B4">
        <w:trPr>
          <w:trHeight w:val="175"/>
        </w:trPr>
        <w:tc>
          <w:tcPr>
            <w:tcW w:w="1637" w:type="dxa"/>
            <w:vMerge/>
            <w:shd w:val="clear" w:color="auto" w:fill="auto"/>
          </w:tcPr>
          <w:p w14:paraId="24C3604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7650471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00C5623B"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2F562F8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2A177721" w14:textId="77777777" w:rsidTr="00E737B4">
        <w:trPr>
          <w:trHeight w:val="88"/>
        </w:trPr>
        <w:tc>
          <w:tcPr>
            <w:tcW w:w="1637" w:type="dxa"/>
            <w:vMerge/>
            <w:shd w:val="clear" w:color="auto" w:fill="auto"/>
          </w:tcPr>
          <w:p w14:paraId="5B9D54CA"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3DCAB518"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2492248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158F009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3708C398" w14:textId="77777777" w:rsidTr="00E737B4">
        <w:trPr>
          <w:trHeight w:val="138"/>
        </w:trPr>
        <w:tc>
          <w:tcPr>
            <w:tcW w:w="1637" w:type="dxa"/>
            <w:vMerge/>
            <w:shd w:val="clear" w:color="auto" w:fill="auto"/>
          </w:tcPr>
          <w:p w14:paraId="6141FCA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3B85D64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Ponctuelle</w:t>
            </w:r>
          </w:p>
        </w:tc>
        <w:tc>
          <w:tcPr>
            <w:tcW w:w="2552" w:type="dxa"/>
            <w:shd w:val="clear" w:color="auto" w:fill="auto"/>
          </w:tcPr>
          <w:p w14:paraId="187A2C3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21FE622B"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70C0E988" w14:textId="77777777" w:rsidTr="00E737B4">
        <w:trPr>
          <w:trHeight w:val="137"/>
        </w:trPr>
        <w:tc>
          <w:tcPr>
            <w:tcW w:w="1637" w:type="dxa"/>
            <w:vMerge/>
            <w:shd w:val="clear" w:color="auto" w:fill="auto"/>
          </w:tcPr>
          <w:p w14:paraId="66446BF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69EFDDF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32224B4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68ADDB3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45CB93A9" w14:textId="77777777" w:rsidTr="00E737B4">
        <w:trPr>
          <w:trHeight w:val="119"/>
        </w:trPr>
        <w:tc>
          <w:tcPr>
            <w:tcW w:w="1637" w:type="dxa"/>
            <w:vMerge/>
            <w:shd w:val="clear" w:color="auto" w:fill="auto"/>
          </w:tcPr>
          <w:p w14:paraId="33CC0AF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35CD18EB"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1841C6E4"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2E77D24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4E876838" w14:textId="77777777" w:rsidTr="00E737B4">
        <w:trPr>
          <w:trHeight w:val="137"/>
        </w:trPr>
        <w:tc>
          <w:tcPr>
            <w:tcW w:w="1637" w:type="dxa"/>
            <w:vMerge w:val="restart"/>
            <w:shd w:val="clear" w:color="auto" w:fill="auto"/>
          </w:tcPr>
          <w:p w14:paraId="2DECA35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Moyenne</w:t>
            </w:r>
          </w:p>
        </w:tc>
        <w:tc>
          <w:tcPr>
            <w:tcW w:w="2190" w:type="dxa"/>
            <w:vMerge w:val="restart"/>
            <w:shd w:val="clear" w:color="auto" w:fill="auto"/>
          </w:tcPr>
          <w:p w14:paraId="6A443958"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Régionale</w:t>
            </w:r>
          </w:p>
        </w:tc>
        <w:tc>
          <w:tcPr>
            <w:tcW w:w="2552" w:type="dxa"/>
            <w:shd w:val="clear" w:color="auto" w:fill="auto"/>
          </w:tcPr>
          <w:p w14:paraId="5658C9E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274649B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45A9AE01" w14:textId="77777777" w:rsidTr="00E737B4">
        <w:trPr>
          <w:trHeight w:val="119"/>
        </w:trPr>
        <w:tc>
          <w:tcPr>
            <w:tcW w:w="1637" w:type="dxa"/>
            <w:vMerge/>
            <w:shd w:val="clear" w:color="auto" w:fill="auto"/>
          </w:tcPr>
          <w:p w14:paraId="3BB60BA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51E9E14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14754CC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730FF15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019D9056" w14:textId="77777777" w:rsidTr="00E737B4">
        <w:trPr>
          <w:trHeight w:val="163"/>
        </w:trPr>
        <w:tc>
          <w:tcPr>
            <w:tcW w:w="1637" w:type="dxa"/>
            <w:vMerge/>
            <w:shd w:val="clear" w:color="auto" w:fill="auto"/>
          </w:tcPr>
          <w:p w14:paraId="198546B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28F59E1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71BF7FA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5A90D73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3BAF7317" w14:textId="77777777" w:rsidTr="00E737B4">
        <w:trPr>
          <w:trHeight w:val="87"/>
        </w:trPr>
        <w:tc>
          <w:tcPr>
            <w:tcW w:w="1637" w:type="dxa"/>
            <w:vMerge/>
            <w:shd w:val="clear" w:color="auto" w:fill="auto"/>
          </w:tcPr>
          <w:p w14:paraId="14B6D29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44B8B54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Locale</w:t>
            </w:r>
          </w:p>
        </w:tc>
        <w:tc>
          <w:tcPr>
            <w:tcW w:w="2552" w:type="dxa"/>
            <w:shd w:val="clear" w:color="auto" w:fill="auto"/>
          </w:tcPr>
          <w:p w14:paraId="7D105241"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763072C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3E258D70" w14:textId="77777777" w:rsidTr="00E737B4">
        <w:trPr>
          <w:trHeight w:val="175"/>
        </w:trPr>
        <w:tc>
          <w:tcPr>
            <w:tcW w:w="1637" w:type="dxa"/>
            <w:vMerge/>
            <w:shd w:val="clear" w:color="auto" w:fill="auto"/>
          </w:tcPr>
          <w:p w14:paraId="54DF018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0A49D55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4D8AEAE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6563BBB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5E75E3E4" w14:textId="77777777" w:rsidTr="00E737B4">
        <w:trPr>
          <w:trHeight w:val="81"/>
        </w:trPr>
        <w:tc>
          <w:tcPr>
            <w:tcW w:w="1637" w:type="dxa"/>
            <w:vMerge/>
            <w:shd w:val="clear" w:color="auto" w:fill="auto"/>
          </w:tcPr>
          <w:p w14:paraId="41AFC46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0F0D63A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0FB5C4A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4B462E9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0613DEB2" w14:textId="77777777" w:rsidTr="00E737B4">
        <w:trPr>
          <w:trHeight w:val="138"/>
        </w:trPr>
        <w:tc>
          <w:tcPr>
            <w:tcW w:w="1637" w:type="dxa"/>
            <w:vMerge/>
            <w:shd w:val="clear" w:color="auto" w:fill="auto"/>
          </w:tcPr>
          <w:p w14:paraId="6BB492E4"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097438B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Ponctuelle</w:t>
            </w:r>
          </w:p>
        </w:tc>
        <w:tc>
          <w:tcPr>
            <w:tcW w:w="2552" w:type="dxa"/>
            <w:shd w:val="clear" w:color="auto" w:fill="auto"/>
          </w:tcPr>
          <w:p w14:paraId="4AB01F3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61AB5CC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7E6EDA9F" w14:textId="77777777" w:rsidTr="00E737B4">
        <w:trPr>
          <w:trHeight w:val="187"/>
        </w:trPr>
        <w:tc>
          <w:tcPr>
            <w:tcW w:w="1637" w:type="dxa"/>
            <w:vMerge/>
            <w:shd w:val="clear" w:color="auto" w:fill="auto"/>
          </w:tcPr>
          <w:p w14:paraId="43530B4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63E5BBD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7F637D9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26D6184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1CC47DDB" w14:textId="77777777" w:rsidTr="00E737B4">
        <w:trPr>
          <w:trHeight w:val="75"/>
        </w:trPr>
        <w:tc>
          <w:tcPr>
            <w:tcW w:w="1637" w:type="dxa"/>
            <w:vMerge/>
            <w:shd w:val="clear" w:color="auto" w:fill="auto"/>
          </w:tcPr>
          <w:p w14:paraId="7DC5FCB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2F7E165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132AB65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68A1A85A"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Faible</w:t>
            </w:r>
          </w:p>
        </w:tc>
      </w:tr>
      <w:tr w:rsidR="00D75D2E" w:rsidRPr="00420C1B" w14:paraId="75AB54BA" w14:textId="77777777" w:rsidTr="00E737B4">
        <w:trPr>
          <w:trHeight w:val="163"/>
        </w:trPr>
        <w:tc>
          <w:tcPr>
            <w:tcW w:w="1637" w:type="dxa"/>
            <w:vMerge w:val="restart"/>
            <w:shd w:val="clear" w:color="auto" w:fill="auto"/>
          </w:tcPr>
          <w:p w14:paraId="391D096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r w:rsidRPr="00D75D2E">
              <w:rPr>
                <w:rFonts w:ascii="Times New Roman" w:eastAsia="Times New Roman" w:hAnsi="Times New Roman"/>
                <w:b/>
                <w:bCs/>
                <w:sz w:val="20"/>
                <w:szCs w:val="20"/>
                <w:lang w:eastAsia="fr-FR"/>
              </w:rPr>
              <w:t>Faible</w:t>
            </w:r>
          </w:p>
        </w:tc>
        <w:tc>
          <w:tcPr>
            <w:tcW w:w="2190" w:type="dxa"/>
            <w:vMerge w:val="restart"/>
            <w:shd w:val="clear" w:color="auto" w:fill="auto"/>
          </w:tcPr>
          <w:p w14:paraId="29FDD1B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Régionale</w:t>
            </w:r>
          </w:p>
        </w:tc>
        <w:tc>
          <w:tcPr>
            <w:tcW w:w="2552" w:type="dxa"/>
            <w:shd w:val="clear" w:color="auto" w:fill="auto"/>
          </w:tcPr>
          <w:p w14:paraId="0964110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5EEE43C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Forte</w:t>
            </w:r>
          </w:p>
        </w:tc>
      </w:tr>
      <w:tr w:rsidR="00D75D2E" w:rsidRPr="00420C1B" w14:paraId="2465C0E0" w14:textId="77777777" w:rsidTr="00E737B4">
        <w:trPr>
          <w:trHeight w:val="125"/>
        </w:trPr>
        <w:tc>
          <w:tcPr>
            <w:tcW w:w="1637" w:type="dxa"/>
            <w:vMerge/>
            <w:shd w:val="clear" w:color="auto" w:fill="auto"/>
          </w:tcPr>
          <w:p w14:paraId="48DE543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14508F94"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71A0E7F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44EF1E2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2E680C11" w14:textId="77777777" w:rsidTr="00E737B4">
        <w:trPr>
          <w:trHeight w:val="131"/>
        </w:trPr>
        <w:tc>
          <w:tcPr>
            <w:tcW w:w="1637" w:type="dxa"/>
            <w:vMerge/>
            <w:shd w:val="clear" w:color="auto" w:fill="auto"/>
          </w:tcPr>
          <w:p w14:paraId="6EA5160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4E4A334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0F9D0714"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1625422A"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712478A7" w14:textId="77777777" w:rsidTr="00E737B4">
        <w:trPr>
          <w:trHeight w:val="138"/>
        </w:trPr>
        <w:tc>
          <w:tcPr>
            <w:tcW w:w="1637" w:type="dxa"/>
            <w:vMerge/>
            <w:shd w:val="clear" w:color="auto" w:fill="auto"/>
          </w:tcPr>
          <w:p w14:paraId="68A3B49A"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6B545C4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Locale</w:t>
            </w:r>
          </w:p>
        </w:tc>
        <w:tc>
          <w:tcPr>
            <w:tcW w:w="2552" w:type="dxa"/>
            <w:shd w:val="clear" w:color="auto" w:fill="auto"/>
          </w:tcPr>
          <w:p w14:paraId="1E64CB9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1BE3118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2538480B" w14:textId="77777777" w:rsidTr="00E737B4">
        <w:trPr>
          <w:trHeight w:val="150"/>
        </w:trPr>
        <w:tc>
          <w:tcPr>
            <w:tcW w:w="1637" w:type="dxa"/>
            <w:vMerge/>
            <w:shd w:val="clear" w:color="auto" w:fill="auto"/>
          </w:tcPr>
          <w:p w14:paraId="1F358E3D"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649E7F78"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2F8CF91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4E3D6AD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6337E3F8" w14:textId="77777777" w:rsidTr="00E737B4">
        <w:trPr>
          <w:trHeight w:val="106"/>
        </w:trPr>
        <w:tc>
          <w:tcPr>
            <w:tcW w:w="1637" w:type="dxa"/>
            <w:vMerge/>
            <w:shd w:val="clear" w:color="auto" w:fill="auto"/>
          </w:tcPr>
          <w:p w14:paraId="7B309F9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13675CA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7F59D1EC"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33D73C7A"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Faible</w:t>
            </w:r>
          </w:p>
        </w:tc>
      </w:tr>
      <w:tr w:rsidR="00D75D2E" w:rsidRPr="00420C1B" w14:paraId="0BDD4B87" w14:textId="77777777" w:rsidTr="00E737B4">
        <w:trPr>
          <w:trHeight w:val="162"/>
        </w:trPr>
        <w:tc>
          <w:tcPr>
            <w:tcW w:w="1637" w:type="dxa"/>
            <w:vMerge/>
            <w:shd w:val="clear" w:color="auto" w:fill="auto"/>
          </w:tcPr>
          <w:p w14:paraId="72317E27"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val="restart"/>
            <w:shd w:val="clear" w:color="auto" w:fill="auto"/>
          </w:tcPr>
          <w:p w14:paraId="6FC18EE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Ponctuelle</w:t>
            </w:r>
          </w:p>
        </w:tc>
        <w:tc>
          <w:tcPr>
            <w:tcW w:w="2552" w:type="dxa"/>
            <w:shd w:val="clear" w:color="auto" w:fill="auto"/>
          </w:tcPr>
          <w:p w14:paraId="6F954EE6"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Permanente</w:t>
            </w:r>
          </w:p>
        </w:tc>
        <w:tc>
          <w:tcPr>
            <w:tcW w:w="2551" w:type="dxa"/>
            <w:shd w:val="clear" w:color="auto" w:fill="auto"/>
          </w:tcPr>
          <w:p w14:paraId="4E00B2E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Moyenne</w:t>
            </w:r>
          </w:p>
        </w:tc>
      </w:tr>
      <w:tr w:rsidR="00D75D2E" w:rsidRPr="00420C1B" w14:paraId="18460B8C" w14:textId="77777777" w:rsidTr="00E737B4">
        <w:trPr>
          <w:trHeight w:val="106"/>
        </w:trPr>
        <w:tc>
          <w:tcPr>
            <w:tcW w:w="1637" w:type="dxa"/>
            <w:vMerge/>
            <w:shd w:val="clear" w:color="auto" w:fill="auto"/>
          </w:tcPr>
          <w:p w14:paraId="43A71F35"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7D6511B0"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29647A2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Temporaire</w:t>
            </w:r>
          </w:p>
        </w:tc>
        <w:tc>
          <w:tcPr>
            <w:tcW w:w="2551" w:type="dxa"/>
            <w:shd w:val="clear" w:color="auto" w:fill="auto"/>
          </w:tcPr>
          <w:p w14:paraId="0EB0309F"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Faible</w:t>
            </w:r>
          </w:p>
        </w:tc>
      </w:tr>
      <w:tr w:rsidR="00E15411" w:rsidRPr="00420C1B" w14:paraId="646C57FE" w14:textId="77777777" w:rsidTr="00E737B4">
        <w:trPr>
          <w:trHeight w:val="150"/>
        </w:trPr>
        <w:tc>
          <w:tcPr>
            <w:tcW w:w="1637" w:type="dxa"/>
            <w:vMerge/>
            <w:shd w:val="clear" w:color="auto" w:fill="auto"/>
          </w:tcPr>
          <w:p w14:paraId="5235ADC9"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b/>
                <w:bCs/>
                <w:sz w:val="20"/>
                <w:szCs w:val="20"/>
                <w:lang w:eastAsia="fr-FR"/>
              </w:rPr>
            </w:pPr>
          </w:p>
        </w:tc>
        <w:tc>
          <w:tcPr>
            <w:tcW w:w="2190" w:type="dxa"/>
            <w:vMerge/>
            <w:shd w:val="clear" w:color="auto" w:fill="auto"/>
          </w:tcPr>
          <w:p w14:paraId="7058CD23"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p>
        </w:tc>
        <w:tc>
          <w:tcPr>
            <w:tcW w:w="2552" w:type="dxa"/>
            <w:shd w:val="clear" w:color="auto" w:fill="auto"/>
          </w:tcPr>
          <w:p w14:paraId="19C29EBE"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Momentanée</w:t>
            </w:r>
          </w:p>
        </w:tc>
        <w:tc>
          <w:tcPr>
            <w:tcW w:w="2551" w:type="dxa"/>
            <w:shd w:val="clear" w:color="auto" w:fill="auto"/>
          </w:tcPr>
          <w:p w14:paraId="5A50AF92" w14:textId="77777777" w:rsidR="00AB201E" w:rsidRPr="00D75D2E" w:rsidRDefault="00AB201E" w:rsidP="0062151B">
            <w:pPr>
              <w:tabs>
                <w:tab w:val="left" w:pos="720"/>
                <w:tab w:val="right" w:leader="dot" w:pos="8640"/>
              </w:tabs>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Faible</w:t>
            </w:r>
          </w:p>
        </w:tc>
      </w:tr>
    </w:tbl>
    <w:p w14:paraId="2B7890F4" w14:textId="7D5E9E03" w:rsidR="00FB3D81" w:rsidRPr="00E737B4" w:rsidRDefault="00FB3D81" w:rsidP="00FB3D81">
      <w:pPr>
        <w:spacing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00BE32A9" w:rsidRPr="00E737B4">
        <w:rPr>
          <w:rFonts w:ascii="Times New Roman" w:hAnsi="Times New Roman"/>
          <w:bCs/>
          <w:i/>
          <w:sz w:val="24"/>
        </w:rPr>
        <w:t>DKO</w:t>
      </w:r>
      <w:r w:rsidR="00BE32A9">
        <w:rPr>
          <w:rFonts w:ascii="Times New Roman" w:hAnsi="Times New Roman"/>
          <w:bCs/>
          <w:i/>
          <w:sz w:val="24"/>
        </w:rPr>
        <w:t xml:space="preserve">, </w:t>
      </w:r>
      <w:r w:rsidR="00BE32A9" w:rsidRPr="00E737B4">
        <w:rPr>
          <w:rFonts w:ascii="Times New Roman" w:hAnsi="Times New Roman"/>
          <w:bCs/>
          <w:i/>
          <w:sz w:val="24"/>
        </w:rPr>
        <w:t>juillet</w:t>
      </w:r>
      <w:r w:rsidRPr="00E737B4">
        <w:rPr>
          <w:rFonts w:ascii="Times New Roman" w:hAnsi="Times New Roman"/>
          <w:bCs/>
          <w:i/>
          <w:sz w:val="24"/>
        </w:rPr>
        <w:t xml:space="preserve"> 2021</w:t>
      </w:r>
    </w:p>
    <w:p w14:paraId="4B5DA6C6" w14:textId="77777777" w:rsidR="00FB3D81" w:rsidRPr="00024B30" w:rsidRDefault="00FB3D81" w:rsidP="00AE61CE">
      <w:pPr>
        <w:spacing w:after="0" w:line="240" w:lineRule="auto"/>
        <w:rPr>
          <w:rFonts w:ascii="Times New Roman" w:hAnsi="Times New Roman"/>
          <w:bCs/>
          <w:i/>
        </w:rPr>
      </w:pPr>
    </w:p>
    <w:p w14:paraId="62D3D45E" w14:textId="69D6AE85" w:rsidR="00ED17F3" w:rsidRPr="00D75D2E" w:rsidRDefault="00ED17F3" w:rsidP="00AE31F1">
      <w:pPr>
        <w:pStyle w:val="Titre1"/>
        <w:numPr>
          <w:ilvl w:val="1"/>
          <w:numId w:val="54"/>
        </w:numPr>
        <w:spacing w:before="120" w:after="120" w:line="20" w:lineRule="atLeast"/>
      </w:pPr>
      <w:bookmarkStart w:id="523" w:name="_Toc16663501"/>
      <w:bookmarkStart w:id="524" w:name="_Toc16663675"/>
      <w:bookmarkStart w:id="525" w:name="_Toc16664920"/>
      <w:bookmarkStart w:id="526" w:name="_Toc103685655"/>
      <w:r w:rsidRPr="00D75D2E">
        <w:t>Identification des sources et récepteurs d’impacts</w:t>
      </w:r>
      <w:bookmarkEnd w:id="523"/>
      <w:bookmarkEnd w:id="524"/>
      <w:bookmarkEnd w:id="525"/>
      <w:bookmarkEnd w:id="526"/>
    </w:p>
    <w:p w14:paraId="7386FD33" w14:textId="73BB86CA" w:rsidR="00ED17F3" w:rsidRPr="00D75D2E" w:rsidRDefault="00ED17F3" w:rsidP="00AE31F1">
      <w:pPr>
        <w:pStyle w:val="Paragraphedeliste"/>
        <w:keepNext/>
        <w:keepLines/>
        <w:numPr>
          <w:ilvl w:val="2"/>
          <w:numId w:val="54"/>
        </w:numPr>
        <w:tabs>
          <w:tab w:val="left" w:pos="851"/>
        </w:tabs>
        <w:spacing w:before="120" w:after="120" w:line="20" w:lineRule="atLeast"/>
        <w:contextualSpacing w:val="0"/>
        <w:outlineLvl w:val="1"/>
        <w:rPr>
          <w:rFonts w:ascii="Times New Roman" w:eastAsia="Times New Roman" w:hAnsi="Times New Roman"/>
          <w:b/>
          <w:sz w:val="24"/>
          <w:szCs w:val="24"/>
        </w:rPr>
      </w:pPr>
      <w:bookmarkStart w:id="527" w:name="_Toc16663502"/>
      <w:bookmarkStart w:id="528" w:name="_Toc16663676"/>
      <w:bookmarkStart w:id="529" w:name="_Toc16664921"/>
      <w:bookmarkStart w:id="530" w:name="_Toc103685656"/>
      <w:r w:rsidRPr="00D75D2E">
        <w:rPr>
          <w:rFonts w:ascii="Times New Roman" w:eastAsia="Times New Roman" w:hAnsi="Times New Roman"/>
          <w:b/>
          <w:sz w:val="24"/>
          <w:szCs w:val="24"/>
        </w:rPr>
        <w:t>Sources d’impacts</w:t>
      </w:r>
      <w:bookmarkEnd w:id="527"/>
      <w:bookmarkEnd w:id="528"/>
      <w:bookmarkEnd w:id="529"/>
      <w:bookmarkEnd w:id="530"/>
    </w:p>
    <w:p w14:paraId="1CAC92AD" w14:textId="029CDDE0" w:rsidR="00ED17F3" w:rsidRPr="00D75D2E" w:rsidRDefault="00ED17F3" w:rsidP="008C79F0">
      <w:pPr>
        <w:keepNext/>
        <w:numPr>
          <w:ilvl w:val="1"/>
          <w:numId w:val="28"/>
        </w:numPr>
        <w:tabs>
          <w:tab w:val="left" w:pos="720"/>
        </w:tabs>
        <w:spacing w:before="120" w:after="120" w:line="20" w:lineRule="atLeast"/>
        <w:jc w:val="both"/>
        <w:outlineLvl w:val="3"/>
        <w:rPr>
          <w:rFonts w:ascii="Times New Roman" w:eastAsia="Times New Roman" w:hAnsi="Times New Roman"/>
          <w:i/>
          <w:iCs/>
          <w:sz w:val="24"/>
          <w:szCs w:val="24"/>
          <w:u w:val="single"/>
        </w:rPr>
      </w:pPr>
      <w:bookmarkStart w:id="531" w:name="_Toc103685657"/>
      <w:r w:rsidRPr="00D75D2E">
        <w:rPr>
          <w:rFonts w:ascii="Times New Roman" w:eastAsia="Times New Roman" w:hAnsi="Times New Roman"/>
          <w:i/>
          <w:iCs/>
          <w:sz w:val="24"/>
          <w:szCs w:val="24"/>
          <w:u w:val="single"/>
        </w:rPr>
        <w:t>Phase préparatoire</w:t>
      </w:r>
      <w:bookmarkEnd w:id="531"/>
    </w:p>
    <w:p w14:paraId="2383C826" w14:textId="77777777" w:rsidR="00ED17F3" w:rsidRPr="00D75D2E" w:rsidRDefault="00ED17F3" w:rsidP="008C79F0">
      <w:pPr>
        <w:numPr>
          <w:ilvl w:val="0"/>
          <w:numId w:val="17"/>
        </w:numPr>
        <w:spacing w:after="0" w:line="240" w:lineRule="auto"/>
        <w:rPr>
          <w:rFonts w:ascii="Times New Roman" w:hAnsi="Times New Roman"/>
          <w:iCs/>
          <w:sz w:val="24"/>
          <w:szCs w:val="24"/>
        </w:rPr>
      </w:pPr>
      <w:r w:rsidRPr="00D75D2E">
        <w:rPr>
          <w:rFonts w:ascii="Times New Roman" w:hAnsi="Times New Roman"/>
          <w:iCs/>
          <w:sz w:val="24"/>
          <w:szCs w:val="24"/>
        </w:rPr>
        <w:t>Indemnisation des biens touchés (perte d’arbres, de bâtisses et/ou de terre, etc.) ;</w:t>
      </w:r>
    </w:p>
    <w:p w14:paraId="11A2105B" w14:textId="77777777" w:rsidR="00ED17F3" w:rsidRPr="00D75D2E" w:rsidRDefault="00ED17F3" w:rsidP="008C79F0">
      <w:pPr>
        <w:numPr>
          <w:ilvl w:val="0"/>
          <w:numId w:val="17"/>
        </w:numPr>
        <w:spacing w:after="0" w:line="240" w:lineRule="auto"/>
        <w:rPr>
          <w:rFonts w:ascii="Times New Roman" w:hAnsi="Times New Roman"/>
          <w:iCs/>
          <w:sz w:val="24"/>
          <w:szCs w:val="24"/>
        </w:rPr>
      </w:pPr>
      <w:r w:rsidRPr="00D75D2E">
        <w:rPr>
          <w:rFonts w:ascii="Times New Roman" w:hAnsi="Times New Roman"/>
          <w:iCs/>
          <w:sz w:val="24"/>
          <w:szCs w:val="24"/>
        </w:rPr>
        <w:t>Libération des emprises ;</w:t>
      </w:r>
    </w:p>
    <w:p w14:paraId="115A2F87" w14:textId="77777777" w:rsidR="00ED17F3" w:rsidRPr="00D75D2E" w:rsidRDefault="00ED17F3" w:rsidP="008C79F0">
      <w:pPr>
        <w:numPr>
          <w:ilvl w:val="0"/>
          <w:numId w:val="17"/>
        </w:numPr>
        <w:spacing w:after="0" w:line="240" w:lineRule="auto"/>
        <w:rPr>
          <w:rFonts w:ascii="Times New Roman" w:hAnsi="Times New Roman"/>
          <w:iCs/>
          <w:sz w:val="24"/>
          <w:szCs w:val="24"/>
        </w:rPr>
      </w:pPr>
      <w:r w:rsidRPr="00D75D2E">
        <w:rPr>
          <w:rFonts w:ascii="Times New Roman" w:hAnsi="Times New Roman"/>
          <w:iCs/>
          <w:sz w:val="24"/>
          <w:szCs w:val="24"/>
        </w:rPr>
        <w:t xml:space="preserve">Installation de chantier et de base-vie ;  </w:t>
      </w:r>
    </w:p>
    <w:p w14:paraId="4BDE17EC" w14:textId="77777777" w:rsidR="00ED17F3" w:rsidRPr="00D75D2E" w:rsidRDefault="00ED17F3" w:rsidP="008C79F0">
      <w:pPr>
        <w:numPr>
          <w:ilvl w:val="0"/>
          <w:numId w:val="17"/>
        </w:numPr>
        <w:spacing w:after="0" w:line="240" w:lineRule="auto"/>
        <w:rPr>
          <w:rFonts w:ascii="Times New Roman" w:hAnsi="Times New Roman"/>
          <w:iCs/>
          <w:sz w:val="24"/>
          <w:szCs w:val="24"/>
        </w:rPr>
      </w:pPr>
      <w:r w:rsidRPr="00D75D2E">
        <w:rPr>
          <w:rFonts w:ascii="Times New Roman" w:hAnsi="Times New Roman"/>
          <w:iCs/>
          <w:sz w:val="24"/>
          <w:szCs w:val="24"/>
        </w:rPr>
        <w:t>Abattage ou l’élagage des arbres dans les emprises.</w:t>
      </w:r>
    </w:p>
    <w:p w14:paraId="22489652" w14:textId="77777777" w:rsidR="00ED17F3" w:rsidRPr="00D75D2E" w:rsidRDefault="00ED17F3" w:rsidP="008C79F0">
      <w:pPr>
        <w:keepNext/>
        <w:numPr>
          <w:ilvl w:val="1"/>
          <w:numId w:val="28"/>
        </w:numPr>
        <w:tabs>
          <w:tab w:val="left" w:pos="720"/>
        </w:tabs>
        <w:spacing w:before="120" w:after="120" w:line="240" w:lineRule="auto"/>
        <w:ind w:left="1349" w:hanging="357"/>
        <w:jc w:val="both"/>
        <w:outlineLvl w:val="3"/>
        <w:rPr>
          <w:rFonts w:ascii="Times New Roman" w:eastAsia="Times New Roman" w:hAnsi="Times New Roman"/>
          <w:i/>
          <w:iCs/>
          <w:sz w:val="24"/>
          <w:szCs w:val="24"/>
          <w:u w:val="single"/>
        </w:rPr>
      </w:pPr>
      <w:bookmarkStart w:id="532" w:name="_Toc103685658"/>
      <w:r w:rsidRPr="00D75D2E">
        <w:rPr>
          <w:rFonts w:ascii="Times New Roman" w:eastAsia="Times New Roman" w:hAnsi="Times New Roman"/>
          <w:i/>
          <w:iCs/>
          <w:sz w:val="24"/>
          <w:szCs w:val="24"/>
          <w:u w:val="single"/>
        </w:rPr>
        <w:t>Phase de construction</w:t>
      </w:r>
      <w:bookmarkEnd w:id="532"/>
      <w:r w:rsidRPr="00D75D2E">
        <w:rPr>
          <w:rFonts w:ascii="Times New Roman" w:eastAsia="Times New Roman" w:hAnsi="Times New Roman"/>
          <w:i/>
          <w:iCs/>
          <w:sz w:val="24"/>
          <w:szCs w:val="24"/>
          <w:u w:val="single"/>
        </w:rPr>
        <w:t xml:space="preserve"> </w:t>
      </w:r>
    </w:p>
    <w:p w14:paraId="55BB9C9B"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 xml:space="preserve">Terrassement </w:t>
      </w:r>
      <w:r w:rsidR="004F25FE" w:rsidRPr="00D75D2E">
        <w:rPr>
          <w:rFonts w:ascii="Times New Roman" w:hAnsi="Times New Roman"/>
          <w:iCs/>
          <w:sz w:val="24"/>
          <w:szCs w:val="24"/>
        </w:rPr>
        <w:t xml:space="preserve">généraux </w:t>
      </w:r>
      <w:r w:rsidRPr="00D75D2E">
        <w:rPr>
          <w:rFonts w:ascii="Times New Roman" w:hAnsi="Times New Roman"/>
          <w:iCs/>
          <w:sz w:val="24"/>
          <w:szCs w:val="24"/>
        </w:rPr>
        <w:t>(fouilles, excavations, rembl</w:t>
      </w:r>
      <w:r w:rsidR="004F25FE" w:rsidRPr="00D75D2E">
        <w:rPr>
          <w:rFonts w:ascii="Times New Roman" w:hAnsi="Times New Roman"/>
          <w:iCs/>
          <w:sz w:val="24"/>
          <w:szCs w:val="24"/>
        </w:rPr>
        <w:t xml:space="preserve">ayage, nivellements, </w:t>
      </w:r>
      <w:r w:rsidRPr="00D75D2E">
        <w:rPr>
          <w:rFonts w:ascii="Times New Roman" w:hAnsi="Times New Roman"/>
          <w:iCs/>
          <w:sz w:val="24"/>
          <w:szCs w:val="24"/>
        </w:rPr>
        <w:t>etc.) ;</w:t>
      </w:r>
    </w:p>
    <w:p w14:paraId="1973D7D4"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Fourniture et stockage des matériaux ;</w:t>
      </w:r>
    </w:p>
    <w:p w14:paraId="0C2B9A9D"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Emploi de la main d’œuvre ;</w:t>
      </w:r>
    </w:p>
    <w:p w14:paraId="7FD72E28"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Tirage des lignes BT/MT ;</w:t>
      </w:r>
    </w:p>
    <w:p w14:paraId="7D12AC6A"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Transport et circulation de la main d'œuvre, de la machinerie (Camion, Poulie de déroulage, grimpette, etc.) et des matériaux ;</w:t>
      </w:r>
    </w:p>
    <w:p w14:paraId="506D5053"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Installation des cabines ;</w:t>
      </w:r>
    </w:p>
    <w:p w14:paraId="0CAF56B3"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Plantation d’arbres de compensation ;</w:t>
      </w:r>
    </w:p>
    <w:p w14:paraId="3D9DBCA3"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Repli du chantier.</w:t>
      </w:r>
    </w:p>
    <w:p w14:paraId="675A881D" w14:textId="1E402071" w:rsidR="00ED17F3" w:rsidRPr="00D75D2E" w:rsidRDefault="00ED17F3" w:rsidP="008C79F0">
      <w:pPr>
        <w:keepNext/>
        <w:numPr>
          <w:ilvl w:val="1"/>
          <w:numId w:val="28"/>
        </w:numPr>
        <w:tabs>
          <w:tab w:val="left" w:pos="720"/>
        </w:tabs>
        <w:spacing w:before="120" w:after="120" w:line="240" w:lineRule="auto"/>
        <w:ind w:left="1349" w:hanging="357"/>
        <w:jc w:val="both"/>
        <w:outlineLvl w:val="3"/>
        <w:rPr>
          <w:rFonts w:ascii="Times New Roman" w:eastAsia="Times New Roman" w:hAnsi="Times New Roman"/>
          <w:i/>
          <w:iCs/>
          <w:sz w:val="24"/>
          <w:szCs w:val="24"/>
          <w:u w:val="single"/>
        </w:rPr>
      </w:pPr>
      <w:bookmarkStart w:id="533" w:name="_Toc103685659"/>
      <w:r w:rsidRPr="00D75D2E">
        <w:rPr>
          <w:rFonts w:ascii="Times New Roman" w:eastAsia="Times New Roman" w:hAnsi="Times New Roman"/>
          <w:i/>
          <w:iCs/>
          <w:sz w:val="24"/>
          <w:szCs w:val="24"/>
          <w:u w:val="single"/>
        </w:rPr>
        <w:t>Phase d’exploitation</w:t>
      </w:r>
      <w:bookmarkEnd w:id="533"/>
    </w:p>
    <w:p w14:paraId="1724A4A4"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Raccordement au réseau aux abonnés et installation des compteurs prépayés ;</w:t>
      </w:r>
    </w:p>
    <w:p w14:paraId="73CCF4D4"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Suivi et entretien des installations existantes.</w:t>
      </w:r>
    </w:p>
    <w:p w14:paraId="18D94D46" w14:textId="77777777" w:rsidR="00ED17F3" w:rsidRPr="00D75D2E" w:rsidRDefault="00ED17F3" w:rsidP="00FD1CA1">
      <w:pPr>
        <w:numPr>
          <w:ilvl w:val="0"/>
          <w:numId w:val="3"/>
        </w:numPr>
        <w:spacing w:after="0" w:line="240" w:lineRule="auto"/>
        <w:jc w:val="both"/>
        <w:rPr>
          <w:rFonts w:ascii="Times New Roman" w:hAnsi="Times New Roman"/>
          <w:iCs/>
          <w:sz w:val="24"/>
          <w:szCs w:val="24"/>
        </w:rPr>
      </w:pPr>
      <w:r w:rsidRPr="00D75D2E">
        <w:rPr>
          <w:rFonts w:ascii="Times New Roman" w:hAnsi="Times New Roman"/>
          <w:iCs/>
          <w:sz w:val="24"/>
          <w:szCs w:val="24"/>
        </w:rPr>
        <w:t>Montage des lanternes et réhabilitation du réseau d’éclairage public.</w:t>
      </w:r>
    </w:p>
    <w:p w14:paraId="63762B67" w14:textId="77777777" w:rsidR="00842C98" w:rsidRPr="00D75D2E" w:rsidRDefault="00842C98" w:rsidP="00842C98">
      <w:pPr>
        <w:spacing w:after="0" w:line="240" w:lineRule="auto"/>
        <w:ind w:left="720"/>
        <w:jc w:val="both"/>
        <w:rPr>
          <w:rFonts w:ascii="Times New Roman" w:hAnsi="Times New Roman"/>
          <w:iCs/>
          <w:sz w:val="24"/>
          <w:szCs w:val="24"/>
        </w:rPr>
      </w:pPr>
    </w:p>
    <w:p w14:paraId="476BF85E" w14:textId="3AED1FCD" w:rsidR="00ED17F3" w:rsidRPr="00D75D2E" w:rsidRDefault="00ED17F3" w:rsidP="00AE31F1">
      <w:pPr>
        <w:pStyle w:val="Paragraphedeliste"/>
        <w:keepNext/>
        <w:keepLines/>
        <w:numPr>
          <w:ilvl w:val="2"/>
          <w:numId w:val="54"/>
        </w:numPr>
        <w:tabs>
          <w:tab w:val="left" w:pos="851"/>
        </w:tabs>
        <w:spacing w:before="120" w:after="120" w:line="240" w:lineRule="auto"/>
        <w:contextualSpacing w:val="0"/>
        <w:outlineLvl w:val="1"/>
        <w:rPr>
          <w:rFonts w:ascii="Times New Roman" w:eastAsia="Times New Roman" w:hAnsi="Times New Roman"/>
          <w:b/>
          <w:sz w:val="24"/>
          <w:szCs w:val="24"/>
        </w:rPr>
      </w:pPr>
      <w:bookmarkStart w:id="534" w:name="_Toc16663503"/>
      <w:bookmarkStart w:id="535" w:name="_Toc16663677"/>
      <w:bookmarkStart w:id="536" w:name="_Toc16664922"/>
      <w:bookmarkStart w:id="537" w:name="_Toc103685660"/>
      <w:r w:rsidRPr="00D75D2E">
        <w:rPr>
          <w:rFonts w:ascii="Times New Roman" w:eastAsia="Times New Roman" w:hAnsi="Times New Roman"/>
          <w:b/>
          <w:sz w:val="24"/>
          <w:szCs w:val="24"/>
        </w:rPr>
        <w:t>Récepteurs d’impact</w:t>
      </w:r>
      <w:bookmarkEnd w:id="534"/>
      <w:bookmarkEnd w:id="535"/>
      <w:bookmarkEnd w:id="536"/>
      <w:bookmarkEnd w:id="537"/>
    </w:p>
    <w:p w14:paraId="142401D9" w14:textId="77777777" w:rsidR="00ED17F3" w:rsidRPr="00D75D2E" w:rsidRDefault="00ED17F3" w:rsidP="008C79F0">
      <w:pPr>
        <w:keepNext/>
        <w:numPr>
          <w:ilvl w:val="0"/>
          <w:numId w:val="29"/>
        </w:numPr>
        <w:tabs>
          <w:tab w:val="left" w:pos="720"/>
        </w:tabs>
        <w:spacing w:before="120" w:after="120" w:line="240" w:lineRule="auto"/>
        <w:jc w:val="both"/>
        <w:outlineLvl w:val="3"/>
        <w:rPr>
          <w:rFonts w:ascii="Times New Roman" w:eastAsia="Times New Roman" w:hAnsi="Times New Roman"/>
          <w:i/>
          <w:iCs/>
          <w:sz w:val="24"/>
          <w:szCs w:val="24"/>
          <w:u w:val="single"/>
        </w:rPr>
      </w:pPr>
      <w:bookmarkStart w:id="538" w:name="_Toc103685661"/>
      <w:r w:rsidRPr="00D75D2E">
        <w:rPr>
          <w:rFonts w:ascii="Times New Roman" w:eastAsia="Times New Roman" w:hAnsi="Times New Roman"/>
          <w:i/>
          <w:iCs/>
          <w:sz w:val="24"/>
          <w:szCs w:val="24"/>
          <w:u w:val="single"/>
        </w:rPr>
        <w:t>Milieu biophysique</w:t>
      </w:r>
      <w:bookmarkEnd w:id="538"/>
      <w:r w:rsidRPr="00D75D2E">
        <w:rPr>
          <w:rFonts w:ascii="Times New Roman" w:eastAsia="Times New Roman" w:hAnsi="Times New Roman"/>
          <w:i/>
          <w:iCs/>
          <w:sz w:val="24"/>
          <w:szCs w:val="24"/>
          <w:u w:val="single"/>
        </w:rPr>
        <w:t xml:space="preserve"> </w:t>
      </w:r>
    </w:p>
    <w:p w14:paraId="44679130" w14:textId="77777777" w:rsidR="00ED17F3" w:rsidRPr="00D75D2E" w:rsidRDefault="00ED17F3" w:rsidP="00FD1CA1">
      <w:pPr>
        <w:numPr>
          <w:ilvl w:val="0"/>
          <w:numId w:val="4"/>
        </w:numPr>
        <w:spacing w:after="0" w:line="240" w:lineRule="auto"/>
        <w:ind w:left="714" w:hanging="357"/>
        <w:jc w:val="both"/>
        <w:rPr>
          <w:rFonts w:ascii="Times New Roman" w:hAnsi="Times New Roman"/>
          <w:iCs/>
          <w:sz w:val="24"/>
          <w:szCs w:val="24"/>
        </w:rPr>
      </w:pPr>
      <w:r w:rsidRPr="00D75D2E">
        <w:rPr>
          <w:rFonts w:ascii="Times New Roman" w:hAnsi="Times New Roman"/>
          <w:iCs/>
          <w:sz w:val="24"/>
          <w:szCs w:val="24"/>
        </w:rPr>
        <w:t>l’air ;</w:t>
      </w:r>
    </w:p>
    <w:p w14:paraId="5439B07C" w14:textId="77777777" w:rsidR="00ED17F3" w:rsidRPr="00D75D2E" w:rsidRDefault="00ED17F3" w:rsidP="00FD1CA1">
      <w:pPr>
        <w:numPr>
          <w:ilvl w:val="0"/>
          <w:numId w:val="4"/>
        </w:numPr>
        <w:spacing w:after="0" w:line="240" w:lineRule="auto"/>
        <w:jc w:val="both"/>
        <w:rPr>
          <w:rFonts w:ascii="Times New Roman" w:hAnsi="Times New Roman"/>
          <w:iCs/>
          <w:sz w:val="24"/>
          <w:szCs w:val="24"/>
        </w:rPr>
      </w:pPr>
      <w:r w:rsidRPr="00D75D2E">
        <w:rPr>
          <w:rFonts w:ascii="Times New Roman" w:hAnsi="Times New Roman"/>
          <w:iCs/>
          <w:sz w:val="24"/>
          <w:szCs w:val="24"/>
        </w:rPr>
        <w:t>l’ambiance sonore ;</w:t>
      </w:r>
    </w:p>
    <w:p w14:paraId="44345AEA" w14:textId="77777777" w:rsidR="00ED17F3" w:rsidRPr="00D75D2E" w:rsidRDefault="00ED17F3" w:rsidP="00FD1CA1">
      <w:pPr>
        <w:numPr>
          <w:ilvl w:val="0"/>
          <w:numId w:val="4"/>
        </w:numPr>
        <w:spacing w:after="0" w:line="240" w:lineRule="auto"/>
        <w:jc w:val="both"/>
        <w:rPr>
          <w:rFonts w:ascii="Times New Roman" w:hAnsi="Times New Roman"/>
          <w:iCs/>
          <w:sz w:val="24"/>
          <w:szCs w:val="24"/>
        </w:rPr>
      </w:pPr>
      <w:r w:rsidRPr="00D75D2E">
        <w:rPr>
          <w:rFonts w:ascii="Times New Roman" w:hAnsi="Times New Roman"/>
          <w:iCs/>
          <w:sz w:val="24"/>
          <w:szCs w:val="24"/>
        </w:rPr>
        <w:t>les ressources en eau (eaux de surface ou eaux souterraines) ;</w:t>
      </w:r>
    </w:p>
    <w:p w14:paraId="2790A2FE" w14:textId="77777777" w:rsidR="00ED17F3" w:rsidRPr="00D75D2E" w:rsidRDefault="00ED17F3" w:rsidP="00FD1CA1">
      <w:pPr>
        <w:numPr>
          <w:ilvl w:val="0"/>
          <w:numId w:val="4"/>
        </w:numPr>
        <w:spacing w:after="0" w:line="240" w:lineRule="auto"/>
        <w:jc w:val="both"/>
        <w:rPr>
          <w:rFonts w:ascii="Times New Roman" w:hAnsi="Times New Roman"/>
          <w:iCs/>
          <w:sz w:val="24"/>
          <w:szCs w:val="24"/>
        </w:rPr>
      </w:pPr>
      <w:r w:rsidRPr="00D75D2E">
        <w:rPr>
          <w:rFonts w:ascii="Times New Roman" w:hAnsi="Times New Roman"/>
          <w:iCs/>
          <w:sz w:val="24"/>
          <w:szCs w:val="24"/>
        </w:rPr>
        <w:t>les sols ;</w:t>
      </w:r>
    </w:p>
    <w:p w14:paraId="72C9B7E5" w14:textId="77777777" w:rsidR="00ED17F3" w:rsidRPr="00D75D2E" w:rsidRDefault="00ED17F3" w:rsidP="00FD1CA1">
      <w:pPr>
        <w:numPr>
          <w:ilvl w:val="0"/>
          <w:numId w:val="4"/>
        </w:numPr>
        <w:spacing w:after="0" w:line="240" w:lineRule="auto"/>
        <w:jc w:val="both"/>
        <w:rPr>
          <w:rFonts w:ascii="Times New Roman" w:hAnsi="Times New Roman"/>
          <w:iCs/>
          <w:sz w:val="24"/>
          <w:szCs w:val="24"/>
        </w:rPr>
      </w:pPr>
      <w:r w:rsidRPr="00D75D2E">
        <w:rPr>
          <w:rFonts w:ascii="Times New Roman" w:hAnsi="Times New Roman"/>
          <w:iCs/>
          <w:sz w:val="24"/>
          <w:szCs w:val="24"/>
        </w:rPr>
        <w:t>la végétation ;</w:t>
      </w:r>
    </w:p>
    <w:p w14:paraId="3FA0D34A" w14:textId="77777777" w:rsidR="00ED17F3" w:rsidRPr="00D75D2E" w:rsidRDefault="00ED17F3" w:rsidP="00FD1CA1">
      <w:pPr>
        <w:numPr>
          <w:ilvl w:val="0"/>
          <w:numId w:val="4"/>
        </w:numPr>
        <w:spacing w:after="0" w:line="240" w:lineRule="auto"/>
        <w:jc w:val="both"/>
        <w:rPr>
          <w:rFonts w:ascii="Times New Roman" w:hAnsi="Times New Roman"/>
          <w:iCs/>
          <w:sz w:val="24"/>
          <w:szCs w:val="24"/>
        </w:rPr>
      </w:pPr>
      <w:r w:rsidRPr="00D75D2E">
        <w:rPr>
          <w:rFonts w:ascii="Times New Roman" w:hAnsi="Times New Roman"/>
          <w:iCs/>
          <w:sz w:val="24"/>
          <w:szCs w:val="24"/>
        </w:rPr>
        <w:t>la faune.</w:t>
      </w:r>
    </w:p>
    <w:p w14:paraId="17D6848B" w14:textId="0AF220D8" w:rsidR="00ED17F3" w:rsidRPr="00D75D2E" w:rsidRDefault="00ED17F3" w:rsidP="008C79F0">
      <w:pPr>
        <w:keepNext/>
        <w:numPr>
          <w:ilvl w:val="0"/>
          <w:numId w:val="29"/>
        </w:numPr>
        <w:tabs>
          <w:tab w:val="left" w:pos="720"/>
        </w:tabs>
        <w:spacing w:before="120" w:after="120" w:line="240" w:lineRule="auto"/>
        <w:jc w:val="both"/>
        <w:outlineLvl w:val="3"/>
        <w:rPr>
          <w:rFonts w:ascii="Times New Roman" w:eastAsia="Times New Roman" w:hAnsi="Times New Roman"/>
          <w:i/>
          <w:iCs/>
          <w:sz w:val="24"/>
          <w:szCs w:val="24"/>
          <w:u w:val="single"/>
        </w:rPr>
      </w:pPr>
      <w:bookmarkStart w:id="539" w:name="_Toc103685662"/>
      <w:r w:rsidRPr="00D75D2E">
        <w:rPr>
          <w:rFonts w:ascii="Times New Roman" w:eastAsia="Times New Roman" w:hAnsi="Times New Roman"/>
          <w:i/>
          <w:iCs/>
          <w:sz w:val="24"/>
          <w:szCs w:val="24"/>
          <w:u w:val="single"/>
        </w:rPr>
        <w:t>Milieu socioéconomique</w:t>
      </w:r>
      <w:bookmarkEnd w:id="539"/>
    </w:p>
    <w:p w14:paraId="1BA786FD" w14:textId="77777777" w:rsidR="00ED17F3" w:rsidRPr="00D75D2E" w:rsidRDefault="00ED17F3" w:rsidP="00FD1CA1">
      <w:pPr>
        <w:numPr>
          <w:ilvl w:val="0"/>
          <w:numId w:val="5"/>
        </w:numPr>
        <w:spacing w:after="0" w:line="240" w:lineRule="auto"/>
        <w:jc w:val="both"/>
        <w:rPr>
          <w:rFonts w:ascii="Times New Roman" w:hAnsi="Times New Roman"/>
          <w:iCs/>
          <w:sz w:val="24"/>
          <w:szCs w:val="24"/>
        </w:rPr>
      </w:pPr>
      <w:r w:rsidRPr="00D75D2E">
        <w:rPr>
          <w:rFonts w:ascii="Times New Roman" w:hAnsi="Times New Roman"/>
          <w:iCs/>
          <w:sz w:val="24"/>
          <w:szCs w:val="24"/>
        </w:rPr>
        <w:t>la santé publique et la sécurité ;</w:t>
      </w:r>
    </w:p>
    <w:p w14:paraId="04F25E1F" w14:textId="77777777" w:rsidR="00ED17F3" w:rsidRPr="00D75D2E" w:rsidRDefault="00ED17F3" w:rsidP="00FD1CA1">
      <w:pPr>
        <w:numPr>
          <w:ilvl w:val="0"/>
          <w:numId w:val="5"/>
        </w:numPr>
        <w:spacing w:after="0" w:line="240" w:lineRule="auto"/>
        <w:jc w:val="both"/>
        <w:rPr>
          <w:rFonts w:ascii="Times New Roman" w:hAnsi="Times New Roman"/>
          <w:iCs/>
          <w:sz w:val="24"/>
          <w:szCs w:val="24"/>
        </w:rPr>
      </w:pPr>
      <w:r w:rsidRPr="00D75D2E">
        <w:rPr>
          <w:rFonts w:ascii="Times New Roman" w:hAnsi="Times New Roman"/>
          <w:iCs/>
          <w:sz w:val="24"/>
          <w:szCs w:val="24"/>
        </w:rPr>
        <w:t>l’emploi ;</w:t>
      </w:r>
    </w:p>
    <w:p w14:paraId="6111864E" w14:textId="77777777" w:rsidR="00ED17F3" w:rsidRPr="00D75D2E" w:rsidRDefault="00ED17F3" w:rsidP="00FD1CA1">
      <w:pPr>
        <w:numPr>
          <w:ilvl w:val="0"/>
          <w:numId w:val="5"/>
        </w:numPr>
        <w:spacing w:after="0" w:line="240" w:lineRule="auto"/>
        <w:jc w:val="both"/>
        <w:rPr>
          <w:rFonts w:ascii="Times New Roman" w:hAnsi="Times New Roman"/>
          <w:iCs/>
          <w:sz w:val="24"/>
          <w:szCs w:val="24"/>
        </w:rPr>
      </w:pPr>
      <w:r w:rsidRPr="00D75D2E">
        <w:rPr>
          <w:rFonts w:ascii="Times New Roman" w:hAnsi="Times New Roman"/>
          <w:iCs/>
          <w:sz w:val="24"/>
          <w:szCs w:val="24"/>
        </w:rPr>
        <w:t>les activités économiques, artisanales et culturelles ;</w:t>
      </w:r>
    </w:p>
    <w:p w14:paraId="785A3D44" w14:textId="77777777" w:rsidR="00ED17F3" w:rsidRPr="00D75D2E" w:rsidRDefault="00ED17F3" w:rsidP="00FD1CA1">
      <w:pPr>
        <w:numPr>
          <w:ilvl w:val="0"/>
          <w:numId w:val="5"/>
        </w:numPr>
        <w:spacing w:after="0" w:line="240" w:lineRule="auto"/>
        <w:rPr>
          <w:rFonts w:ascii="Times New Roman" w:hAnsi="Times New Roman"/>
          <w:iCs/>
          <w:sz w:val="24"/>
          <w:szCs w:val="24"/>
        </w:rPr>
      </w:pPr>
      <w:r w:rsidRPr="00D75D2E">
        <w:rPr>
          <w:rFonts w:ascii="Times New Roman" w:hAnsi="Times New Roman"/>
          <w:iCs/>
          <w:sz w:val="24"/>
          <w:szCs w:val="24"/>
        </w:rPr>
        <w:t>les conditions de vie, la qualité de vie et le bien-être des populations ;</w:t>
      </w:r>
    </w:p>
    <w:p w14:paraId="38ED5F3A" w14:textId="77777777" w:rsidR="00ED17F3" w:rsidRPr="00D75D2E" w:rsidRDefault="00ED17F3" w:rsidP="00FD1CA1">
      <w:pPr>
        <w:numPr>
          <w:ilvl w:val="0"/>
          <w:numId w:val="5"/>
        </w:numPr>
        <w:spacing w:after="0" w:line="240" w:lineRule="auto"/>
        <w:rPr>
          <w:rFonts w:ascii="Times New Roman" w:hAnsi="Times New Roman"/>
          <w:iCs/>
          <w:sz w:val="24"/>
          <w:szCs w:val="24"/>
        </w:rPr>
      </w:pPr>
      <w:r w:rsidRPr="00D75D2E">
        <w:rPr>
          <w:rFonts w:ascii="Times New Roman" w:hAnsi="Times New Roman"/>
          <w:iCs/>
          <w:sz w:val="24"/>
          <w:szCs w:val="24"/>
        </w:rPr>
        <w:t>l’organisation sociale ;</w:t>
      </w:r>
    </w:p>
    <w:p w14:paraId="056B01ED" w14:textId="77777777" w:rsidR="00ED17F3" w:rsidRPr="00D75D2E" w:rsidRDefault="00ED17F3" w:rsidP="00FD1CA1">
      <w:pPr>
        <w:numPr>
          <w:ilvl w:val="0"/>
          <w:numId w:val="5"/>
        </w:numPr>
        <w:spacing w:after="0" w:line="240" w:lineRule="auto"/>
        <w:rPr>
          <w:rFonts w:ascii="Times New Roman" w:hAnsi="Times New Roman"/>
          <w:iCs/>
          <w:sz w:val="24"/>
          <w:szCs w:val="24"/>
        </w:rPr>
      </w:pPr>
      <w:r w:rsidRPr="00D75D2E">
        <w:rPr>
          <w:rFonts w:ascii="Times New Roman" w:hAnsi="Times New Roman"/>
          <w:iCs/>
          <w:sz w:val="24"/>
          <w:szCs w:val="24"/>
        </w:rPr>
        <w:t>Personnes vulnérables (f</w:t>
      </w:r>
      <w:r w:rsidR="005F26AF" w:rsidRPr="00D75D2E">
        <w:rPr>
          <w:rFonts w:ascii="Times New Roman" w:hAnsi="Times New Roman"/>
          <w:iCs/>
          <w:sz w:val="24"/>
          <w:szCs w:val="24"/>
        </w:rPr>
        <w:t>ille-mère</w:t>
      </w:r>
      <w:r w:rsidRPr="00D75D2E">
        <w:rPr>
          <w:rFonts w:ascii="Times New Roman" w:hAnsi="Times New Roman"/>
          <w:iCs/>
          <w:sz w:val="24"/>
          <w:szCs w:val="24"/>
        </w:rPr>
        <w:t xml:space="preserve"> et veuves) pouvant faire objet d’un abus sexuel.</w:t>
      </w:r>
    </w:p>
    <w:p w14:paraId="75358A01" w14:textId="42AFE684" w:rsidR="00ED17F3" w:rsidRDefault="00ED17F3" w:rsidP="00E737B4">
      <w:pPr>
        <w:spacing w:before="120" w:after="120" w:line="240" w:lineRule="auto"/>
        <w:jc w:val="both"/>
        <w:rPr>
          <w:rFonts w:ascii="Times New Roman" w:hAnsi="Times New Roman"/>
          <w:sz w:val="24"/>
          <w:szCs w:val="24"/>
          <w:lang w:eastAsia="fr-FR"/>
        </w:rPr>
      </w:pPr>
      <w:r w:rsidRPr="00D75D2E">
        <w:rPr>
          <w:rFonts w:ascii="Times New Roman" w:hAnsi="Times New Roman"/>
          <w:sz w:val="24"/>
          <w:szCs w:val="24"/>
          <w:lang w:eastAsia="fr-FR"/>
        </w:rPr>
        <w:t xml:space="preserve">Le tableau </w:t>
      </w:r>
      <w:r w:rsidR="00E732DD">
        <w:rPr>
          <w:rFonts w:ascii="Times New Roman" w:hAnsi="Times New Roman"/>
          <w:sz w:val="24"/>
          <w:szCs w:val="24"/>
          <w:lang w:eastAsia="fr-FR"/>
        </w:rPr>
        <w:t>20</w:t>
      </w:r>
      <w:r w:rsidR="00E732DD" w:rsidRPr="00D75D2E">
        <w:rPr>
          <w:rFonts w:ascii="Times New Roman" w:hAnsi="Times New Roman"/>
          <w:sz w:val="24"/>
          <w:szCs w:val="24"/>
          <w:lang w:eastAsia="fr-FR"/>
        </w:rPr>
        <w:t xml:space="preserve"> </w:t>
      </w:r>
      <w:r w:rsidRPr="00D75D2E">
        <w:rPr>
          <w:rFonts w:ascii="Times New Roman" w:hAnsi="Times New Roman"/>
          <w:sz w:val="24"/>
          <w:szCs w:val="24"/>
          <w:lang w:eastAsia="fr-FR"/>
        </w:rPr>
        <w:t>présente la Matrice d’interactions des potentielles sources d’impacts et des</w:t>
      </w:r>
      <w:r w:rsidR="00767B63">
        <w:rPr>
          <w:rFonts w:ascii="Times New Roman" w:hAnsi="Times New Roman"/>
          <w:sz w:val="24"/>
          <w:szCs w:val="24"/>
          <w:lang w:eastAsia="fr-FR"/>
        </w:rPr>
        <w:t xml:space="preserve"> </w:t>
      </w:r>
      <w:r w:rsidRPr="00D75D2E">
        <w:rPr>
          <w:rFonts w:ascii="Times New Roman" w:hAnsi="Times New Roman"/>
          <w:sz w:val="24"/>
          <w:szCs w:val="24"/>
          <w:lang w:eastAsia="fr-FR"/>
        </w:rPr>
        <w:t>récepteurs d’impacts du Projet.</w:t>
      </w:r>
    </w:p>
    <w:p w14:paraId="21FC4F50" w14:textId="77777777" w:rsidR="00767B63" w:rsidRPr="00D75D2E" w:rsidRDefault="00767B63" w:rsidP="00E737B4">
      <w:pPr>
        <w:spacing w:before="120" w:after="120" w:line="240" w:lineRule="auto"/>
        <w:jc w:val="both"/>
        <w:rPr>
          <w:rFonts w:ascii="Times New Roman" w:hAnsi="Times New Roman"/>
          <w:sz w:val="24"/>
          <w:szCs w:val="24"/>
          <w:lang w:eastAsia="fr-FR"/>
        </w:rPr>
        <w:sectPr w:rsidR="00767B63" w:rsidRPr="00D75D2E" w:rsidSect="0082504D">
          <w:headerReference w:type="default" r:id="rId52"/>
          <w:headerReference w:type="first" r:id="rId53"/>
          <w:pgSz w:w="11906" w:h="16838"/>
          <w:pgMar w:top="1417" w:right="1274" w:bottom="1417" w:left="1417" w:header="708" w:footer="708" w:gutter="0"/>
          <w:cols w:space="708"/>
          <w:docGrid w:linePitch="360"/>
        </w:sectPr>
      </w:pPr>
    </w:p>
    <w:p w14:paraId="677B68C8" w14:textId="712B1AF6" w:rsidR="00ED17F3" w:rsidRPr="00215867" w:rsidRDefault="00ED17F3" w:rsidP="00215867">
      <w:pPr>
        <w:keepNext/>
        <w:autoSpaceDE w:val="0"/>
        <w:autoSpaceDN w:val="0"/>
        <w:adjustRightInd w:val="0"/>
        <w:spacing w:after="120" w:line="240" w:lineRule="auto"/>
        <w:rPr>
          <w:rFonts w:ascii="Times New Roman" w:hAnsi="Times New Roman"/>
          <w:sz w:val="24"/>
          <w:lang w:eastAsia="fr-FR"/>
        </w:rPr>
      </w:pPr>
      <w:bookmarkStart w:id="540" w:name="_Toc519048925"/>
      <w:bookmarkStart w:id="541" w:name="_Toc93050282"/>
      <w:r w:rsidRPr="00215867">
        <w:rPr>
          <w:rFonts w:ascii="Times New Roman" w:hAnsi="Times New Roman"/>
          <w:sz w:val="24"/>
          <w:lang w:eastAsia="fr-FR"/>
        </w:rPr>
        <w:t xml:space="preserve">Tableau </w:t>
      </w:r>
      <w:r w:rsidRPr="00215867">
        <w:rPr>
          <w:rFonts w:ascii="Times New Roman" w:hAnsi="Times New Roman"/>
          <w:sz w:val="24"/>
          <w:lang w:eastAsia="fr-FR"/>
        </w:rPr>
        <w:fldChar w:fldCharType="begin"/>
      </w:r>
      <w:r w:rsidRPr="00215867">
        <w:rPr>
          <w:rFonts w:ascii="Times New Roman" w:hAnsi="Times New Roman"/>
          <w:sz w:val="24"/>
          <w:lang w:eastAsia="fr-FR"/>
        </w:rPr>
        <w:instrText xml:space="preserve"> SEQ Tableau \* ARABIC </w:instrText>
      </w:r>
      <w:r w:rsidRPr="00215867">
        <w:rPr>
          <w:rFonts w:ascii="Times New Roman" w:hAnsi="Times New Roman"/>
          <w:sz w:val="24"/>
          <w:lang w:eastAsia="fr-FR"/>
        </w:rPr>
        <w:fldChar w:fldCharType="separate"/>
      </w:r>
      <w:r w:rsidR="00A86929" w:rsidRPr="00215867">
        <w:rPr>
          <w:rFonts w:ascii="Times New Roman" w:hAnsi="Times New Roman"/>
          <w:noProof/>
          <w:sz w:val="24"/>
          <w:lang w:eastAsia="fr-FR"/>
        </w:rPr>
        <w:t>20</w:t>
      </w:r>
      <w:r w:rsidRPr="00215867">
        <w:rPr>
          <w:rFonts w:ascii="Times New Roman" w:hAnsi="Times New Roman"/>
          <w:noProof/>
          <w:sz w:val="24"/>
          <w:lang w:eastAsia="fr-FR"/>
        </w:rPr>
        <w:fldChar w:fldCharType="end"/>
      </w:r>
      <w:r w:rsidRPr="00215867">
        <w:rPr>
          <w:rFonts w:ascii="Times New Roman" w:hAnsi="Times New Roman"/>
          <w:sz w:val="24"/>
          <w:lang w:eastAsia="fr-FR"/>
        </w:rPr>
        <w:t> : Matrice d’interactions des potentielles sources d’impacts et des récepteurs d’impacts du Projet d’électrification</w:t>
      </w:r>
      <w:bookmarkEnd w:id="540"/>
      <w:bookmarkEnd w:id="541"/>
      <w:r w:rsidRPr="00215867">
        <w:rPr>
          <w:rFonts w:ascii="Times New Roman" w:hAnsi="Times New Roman"/>
          <w:sz w:val="24"/>
          <w:lang w:eastAsia="fr-FR"/>
        </w:rPr>
        <w:t xml:space="preserve">  </w:t>
      </w:r>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2"/>
        <w:gridCol w:w="6217"/>
        <w:gridCol w:w="540"/>
        <w:gridCol w:w="584"/>
        <w:gridCol w:w="584"/>
        <w:gridCol w:w="437"/>
        <w:gridCol w:w="562"/>
        <w:gridCol w:w="441"/>
        <w:gridCol w:w="709"/>
        <w:gridCol w:w="437"/>
        <w:gridCol w:w="584"/>
        <w:gridCol w:w="438"/>
        <w:gridCol w:w="437"/>
        <w:gridCol w:w="687"/>
        <w:gridCol w:w="678"/>
        <w:gridCol w:w="682"/>
        <w:gridCol w:w="674"/>
      </w:tblGrid>
      <w:tr w:rsidR="00D75D2E" w:rsidRPr="00420C1B" w14:paraId="4572BF37" w14:textId="77777777" w:rsidTr="00842F58">
        <w:trPr>
          <w:cantSplit/>
          <w:trHeight w:val="330"/>
          <w:tblHeader/>
          <w:jc w:val="center"/>
        </w:trPr>
        <w:tc>
          <w:tcPr>
            <w:tcW w:w="862" w:type="dxa"/>
            <w:vMerge w:val="restart"/>
            <w:tcBorders>
              <w:top w:val="single" w:sz="4" w:space="0" w:color="auto"/>
              <w:left w:val="single" w:sz="4" w:space="0" w:color="auto"/>
              <w:right w:val="single" w:sz="4" w:space="0" w:color="auto"/>
            </w:tcBorders>
            <w:textDirection w:val="btLr"/>
          </w:tcPr>
          <w:p w14:paraId="046FADC1" w14:textId="77777777" w:rsidR="00ED17F3" w:rsidRPr="00E737B4" w:rsidRDefault="00ED17F3" w:rsidP="007108ED">
            <w:pPr>
              <w:spacing w:after="0" w:line="240" w:lineRule="auto"/>
              <w:ind w:left="113" w:right="113"/>
              <w:jc w:val="both"/>
              <w:rPr>
                <w:rFonts w:ascii="Times New Roman" w:eastAsia="Times New Roman" w:hAnsi="Times New Roman"/>
                <w:b/>
                <w:bCs/>
                <w:sz w:val="20"/>
                <w:lang w:eastAsia="fr-FR"/>
              </w:rPr>
            </w:pPr>
            <w:r w:rsidRPr="00E737B4">
              <w:rPr>
                <w:rFonts w:ascii="Times New Roman" w:eastAsia="Times New Roman" w:hAnsi="Times New Roman"/>
                <w:b/>
                <w:bCs/>
                <w:sz w:val="20"/>
                <w:lang w:eastAsia="fr-FR"/>
              </w:rPr>
              <w:t>PHASES</w:t>
            </w:r>
          </w:p>
        </w:tc>
        <w:tc>
          <w:tcPr>
            <w:tcW w:w="6217" w:type="dxa"/>
            <w:tcBorders>
              <w:top w:val="single" w:sz="4" w:space="0" w:color="auto"/>
              <w:left w:val="single" w:sz="4" w:space="0" w:color="auto"/>
              <w:bottom w:val="single" w:sz="4" w:space="0" w:color="auto"/>
              <w:right w:val="single" w:sz="4" w:space="0" w:color="auto"/>
            </w:tcBorders>
            <w:shd w:val="clear" w:color="auto" w:fill="92D050"/>
          </w:tcPr>
          <w:p w14:paraId="4B698A92" w14:textId="77777777" w:rsidR="00ED17F3" w:rsidRPr="00E737B4" w:rsidRDefault="00ED17F3" w:rsidP="007108ED">
            <w:pPr>
              <w:spacing w:after="0" w:line="240" w:lineRule="auto"/>
              <w:jc w:val="both"/>
              <w:rPr>
                <w:rFonts w:ascii="Times New Roman" w:eastAsia="Times New Roman" w:hAnsi="Times New Roman"/>
                <w:b/>
                <w:sz w:val="20"/>
                <w:lang w:eastAsia="fr-FR"/>
              </w:rPr>
            </w:pPr>
            <w:r w:rsidRPr="00E737B4">
              <w:rPr>
                <w:rFonts w:ascii="Times New Roman" w:eastAsia="Times New Roman" w:hAnsi="Times New Roman"/>
                <w:b/>
                <w:sz w:val="20"/>
                <w:lang w:eastAsia="fr-FR"/>
              </w:rPr>
              <w:t>Désignations</w:t>
            </w:r>
          </w:p>
        </w:tc>
        <w:tc>
          <w:tcPr>
            <w:tcW w:w="3148" w:type="dxa"/>
            <w:gridSpan w:val="6"/>
            <w:tcBorders>
              <w:top w:val="single" w:sz="4" w:space="0" w:color="auto"/>
              <w:left w:val="single" w:sz="4" w:space="0" w:color="auto"/>
              <w:bottom w:val="single" w:sz="4" w:space="0" w:color="auto"/>
              <w:right w:val="single" w:sz="4" w:space="0" w:color="auto"/>
            </w:tcBorders>
            <w:shd w:val="clear" w:color="auto" w:fill="92D050"/>
          </w:tcPr>
          <w:p w14:paraId="2AF5EB7E"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Milieux biophysique</w:t>
            </w:r>
          </w:p>
        </w:tc>
        <w:tc>
          <w:tcPr>
            <w:tcW w:w="5326" w:type="dxa"/>
            <w:gridSpan w:val="9"/>
            <w:tcBorders>
              <w:top w:val="single" w:sz="4" w:space="0" w:color="auto"/>
              <w:left w:val="single" w:sz="4" w:space="0" w:color="auto"/>
              <w:bottom w:val="single" w:sz="4" w:space="0" w:color="auto"/>
              <w:right w:val="single" w:sz="4" w:space="0" w:color="auto"/>
            </w:tcBorders>
            <w:shd w:val="clear" w:color="auto" w:fill="92D050"/>
          </w:tcPr>
          <w:p w14:paraId="3757FC31"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Milieu socio-économique</w:t>
            </w:r>
          </w:p>
        </w:tc>
      </w:tr>
      <w:tr w:rsidR="00D75D2E" w:rsidRPr="00420C1B" w14:paraId="51715593" w14:textId="77777777" w:rsidTr="007108ED">
        <w:trPr>
          <w:cantSplit/>
          <w:trHeight w:val="1653"/>
          <w:tblHeader/>
          <w:jc w:val="center"/>
        </w:trPr>
        <w:tc>
          <w:tcPr>
            <w:tcW w:w="862" w:type="dxa"/>
            <w:vMerge/>
            <w:tcBorders>
              <w:left w:val="single" w:sz="4" w:space="0" w:color="auto"/>
              <w:right w:val="single" w:sz="4" w:space="0" w:color="auto"/>
            </w:tcBorders>
            <w:textDirection w:val="btLr"/>
          </w:tcPr>
          <w:p w14:paraId="5E1E6B88" w14:textId="77777777" w:rsidR="00ED17F3" w:rsidRPr="00E737B4" w:rsidRDefault="00ED17F3" w:rsidP="007108ED">
            <w:pPr>
              <w:spacing w:after="0" w:line="240" w:lineRule="auto"/>
              <w:ind w:left="113" w:right="113"/>
              <w:jc w:val="both"/>
              <w:rPr>
                <w:rFonts w:ascii="Times New Roman" w:eastAsia="Times New Roman" w:hAnsi="Times New Roman"/>
                <w:bCs/>
                <w:sz w:val="20"/>
                <w:lang w:eastAsia="fr-FR"/>
              </w:rPr>
            </w:pPr>
          </w:p>
        </w:tc>
        <w:tc>
          <w:tcPr>
            <w:tcW w:w="6217" w:type="dxa"/>
            <w:tcBorders>
              <w:top w:val="single" w:sz="4" w:space="0" w:color="auto"/>
              <w:left w:val="single" w:sz="4" w:space="0" w:color="auto"/>
              <w:right w:val="single" w:sz="4" w:space="0" w:color="auto"/>
              <w:tl2br w:val="single" w:sz="4" w:space="0" w:color="auto"/>
            </w:tcBorders>
          </w:tcPr>
          <w:p w14:paraId="50103658"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Récepteurs d’impacts</w:t>
            </w:r>
          </w:p>
          <w:p w14:paraId="1901A410" w14:textId="77777777" w:rsidR="00ED17F3" w:rsidRPr="00E737B4" w:rsidRDefault="00ED17F3" w:rsidP="007108ED">
            <w:pPr>
              <w:spacing w:after="0" w:line="240" w:lineRule="auto"/>
              <w:jc w:val="center"/>
              <w:rPr>
                <w:rFonts w:ascii="Times New Roman" w:eastAsia="Times New Roman" w:hAnsi="Times New Roman"/>
                <w:b/>
                <w:sz w:val="20"/>
                <w:lang w:eastAsia="fr-FR"/>
              </w:rPr>
            </w:pPr>
          </w:p>
          <w:p w14:paraId="6EFFC856" w14:textId="77777777" w:rsidR="00ED17F3" w:rsidRPr="00E737B4" w:rsidRDefault="00ED17F3" w:rsidP="007108ED">
            <w:pPr>
              <w:spacing w:after="0" w:line="240" w:lineRule="auto"/>
              <w:jc w:val="center"/>
              <w:rPr>
                <w:rFonts w:ascii="Times New Roman" w:eastAsia="Times New Roman" w:hAnsi="Times New Roman"/>
                <w:b/>
                <w:sz w:val="20"/>
                <w:lang w:eastAsia="fr-FR"/>
              </w:rPr>
            </w:pPr>
          </w:p>
          <w:p w14:paraId="65B572DE" w14:textId="77777777" w:rsidR="00ED17F3" w:rsidRPr="00E737B4" w:rsidRDefault="00ED17F3" w:rsidP="007108ED">
            <w:pPr>
              <w:spacing w:after="0" w:line="240" w:lineRule="auto"/>
              <w:jc w:val="center"/>
              <w:rPr>
                <w:rFonts w:ascii="Times New Roman" w:eastAsia="Times New Roman" w:hAnsi="Times New Roman"/>
                <w:b/>
                <w:sz w:val="20"/>
                <w:lang w:eastAsia="fr-FR"/>
              </w:rPr>
            </w:pPr>
          </w:p>
          <w:p w14:paraId="7D049094" w14:textId="77777777" w:rsidR="00ED17F3" w:rsidRPr="00E737B4" w:rsidRDefault="00ED17F3" w:rsidP="007108ED">
            <w:pPr>
              <w:spacing w:after="0" w:line="240" w:lineRule="auto"/>
              <w:jc w:val="center"/>
              <w:rPr>
                <w:rFonts w:ascii="Times New Roman" w:eastAsia="Times New Roman" w:hAnsi="Times New Roman"/>
                <w:b/>
                <w:sz w:val="20"/>
                <w:lang w:eastAsia="fr-FR"/>
              </w:rPr>
            </w:pPr>
          </w:p>
          <w:p w14:paraId="332B671E" w14:textId="77777777" w:rsidR="00ED17F3" w:rsidRPr="00E737B4" w:rsidRDefault="00ED17F3" w:rsidP="007108ED">
            <w:pPr>
              <w:spacing w:after="0" w:line="240" w:lineRule="auto"/>
              <w:jc w:val="center"/>
              <w:rPr>
                <w:rFonts w:ascii="Times New Roman" w:eastAsia="Times New Roman" w:hAnsi="Times New Roman"/>
                <w:b/>
                <w:sz w:val="20"/>
                <w:lang w:eastAsia="fr-FR"/>
              </w:rPr>
            </w:pPr>
          </w:p>
          <w:p w14:paraId="231FAC5D"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Sources d’impact</w:t>
            </w:r>
          </w:p>
        </w:tc>
        <w:tc>
          <w:tcPr>
            <w:tcW w:w="540" w:type="dxa"/>
            <w:tcBorders>
              <w:top w:val="single" w:sz="4" w:space="0" w:color="auto"/>
              <w:left w:val="single" w:sz="4" w:space="0" w:color="auto"/>
              <w:right w:val="single" w:sz="4" w:space="0" w:color="auto"/>
            </w:tcBorders>
            <w:textDirection w:val="btLr"/>
            <w:vAlign w:val="center"/>
          </w:tcPr>
          <w:p w14:paraId="112423AF"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Qualité de l’air</w:t>
            </w:r>
          </w:p>
        </w:tc>
        <w:tc>
          <w:tcPr>
            <w:tcW w:w="584" w:type="dxa"/>
            <w:tcBorders>
              <w:top w:val="single" w:sz="4" w:space="0" w:color="auto"/>
              <w:left w:val="single" w:sz="4" w:space="0" w:color="auto"/>
              <w:right w:val="single" w:sz="4" w:space="0" w:color="auto"/>
            </w:tcBorders>
            <w:textDirection w:val="btLr"/>
            <w:vAlign w:val="center"/>
          </w:tcPr>
          <w:p w14:paraId="3279B762"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Ambiance sonore</w:t>
            </w:r>
          </w:p>
        </w:tc>
        <w:tc>
          <w:tcPr>
            <w:tcW w:w="584" w:type="dxa"/>
            <w:tcBorders>
              <w:top w:val="single" w:sz="4" w:space="0" w:color="auto"/>
              <w:left w:val="single" w:sz="4" w:space="0" w:color="auto"/>
              <w:right w:val="single" w:sz="4" w:space="0" w:color="auto"/>
            </w:tcBorders>
            <w:textDirection w:val="btLr"/>
            <w:vAlign w:val="center"/>
          </w:tcPr>
          <w:p w14:paraId="027CF708"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Eaux de surface et souterraine</w:t>
            </w:r>
          </w:p>
        </w:tc>
        <w:tc>
          <w:tcPr>
            <w:tcW w:w="437" w:type="dxa"/>
            <w:tcBorders>
              <w:top w:val="single" w:sz="4" w:space="0" w:color="auto"/>
              <w:left w:val="single" w:sz="4" w:space="0" w:color="auto"/>
              <w:right w:val="single" w:sz="4" w:space="0" w:color="auto"/>
            </w:tcBorders>
            <w:textDirection w:val="btLr"/>
            <w:vAlign w:val="center"/>
          </w:tcPr>
          <w:p w14:paraId="0F1DABE0"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Sol</w:t>
            </w:r>
          </w:p>
        </w:tc>
        <w:tc>
          <w:tcPr>
            <w:tcW w:w="562" w:type="dxa"/>
            <w:tcBorders>
              <w:top w:val="single" w:sz="4" w:space="0" w:color="auto"/>
              <w:left w:val="single" w:sz="4" w:space="0" w:color="auto"/>
              <w:right w:val="single" w:sz="4" w:space="0" w:color="auto"/>
            </w:tcBorders>
            <w:textDirection w:val="btLr"/>
            <w:vAlign w:val="center"/>
          </w:tcPr>
          <w:p w14:paraId="00576C2D"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Végétation</w:t>
            </w:r>
          </w:p>
        </w:tc>
        <w:tc>
          <w:tcPr>
            <w:tcW w:w="441" w:type="dxa"/>
            <w:tcBorders>
              <w:top w:val="single" w:sz="4" w:space="0" w:color="auto"/>
              <w:left w:val="single" w:sz="4" w:space="0" w:color="auto"/>
              <w:right w:val="single" w:sz="4" w:space="0" w:color="auto"/>
            </w:tcBorders>
            <w:textDirection w:val="btLr"/>
            <w:vAlign w:val="center"/>
          </w:tcPr>
          <w:p w14:paraId="34DD9C84"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Faune et habitat</w:t>
            </w:r>
          </w:p>
        </w:tc>
        <w:tc>
          <w:tcPr>
            <w:tcW w:w="709" w:type="dxa"/>
            <w:tcBorders>
              <w:top w:val="single" w:sz="4" w:space="0" w:color="auto"/>
              <w:left w:val="single" w:sz="4" w:space="0" w:color="auto"/>
              <w:right w:val="single" w:sz="4" w:space="0" w:color="auto"/>
            </w:tcBorders>
            <w:textDirection w:val="btLr"/>
            <w:vAlign w:val="center"/>
          </w:tcPr>
          <w:p w14:paraId="34CA4733" w14:textId="77777777" w:rsidR="00ED17F3" w:rsidRPr="00E737B4" w:rsidRDefault="00ED17F3" w:rsidP="007108ED">
            <w:pPr>
              <w:spacing w:after="0" w:line="240" w:lineRule="auto"/>
              <w:ind w:left="113" w:right="113"/>
              <w:rPr>
                <w:rFonts w:ascii="Times New Roman" w:eastAsia="Times New Roman" w:hAnsi="Times New Roman"/>
                <w:sz w:val="20"/>
                <w:lang w:eastAsia="fr-FR"/>
              </w:rPr>
            </w:pPr>
            <w:r w:rsidRPr="00E737B4">
              <w:rPr>
                <w:rFonts w:ascii="Times New Roman" w:eastAsia="Times New Roman" w:hAnsi="Times New Roman"/>
                <w:sz w:val="20"/>
                <w:lang w:eastAsia="fr-FR"/>
              </w:rPr>
              <w:t>Santé publique et sécuritaire</w:t>
            </w:r>
          </w:p>
        </w:tc>
        <w:tc>
          <w:tcPr>
            <w:tcW w:w="437" w:type="dxa"/>
            <w:tcBorders>
              <w:top w:val="single" w:sz="4" w:space="0" w:color="auto"/>
              <w:left w:val="single" w:sz="4" w:space="0" w:color="auto"/>
              <w:right w:val="single" w:sz="4" w:space="0" w:color="auto"/>
            </w:tcBorders>
            <w:textDirection w:val="btLr"/>
            <w:vAlign w:val="center"/>
          </w:tcPr>
          <w:p w14:paraId="4F1A502F" w14:textId="77777777" w:rsidR="00ED17F3" w:rsidRPr="00E737B4" w:rsidRDefault="00ED17F3" w:rsidP="007108ED">
            <w:pPr>
              <w:autoSpaceDE w:val="0"/>
              <w:autoSpaceDN w:val="0"/>
              <w:adjustRightInd w:val="0"/>
              <w:spacing w:after="0" w:line="240" w:lineRule="auto"/>
              <w:ind w:left="113"/>
              <w:rPr>
                <w:rFonts w:ascii="Times New Roman" w:hAnsi="Times New Roman"/>
                <w:bCs/>
                <w:sz w:val="20"/>
              </w:rPr>
            </w:pPr>
            <w:r w:rsidRPr="00E737B4">
              <w:rPr>
                <w:rFonts w:ascii="Times New Roman" w:hAnsi="Times New Roman"/>
                <w:bCs/>
                <w:sz w:val="20"/>
              </w:rPr>
              <w:t>Emploi</w:t>
            </w:r>
          </w:p>
        </w:tc>
        <w:tc>
          <w:tcPr>
            <w:tcW w:w="584" w:type="dxa"/>
            <w:tcBorders>
              <w:top w:val="single" w:sz="4" w:space="0" w:color="auto"/>
              <w:left w:val="single" w:sz="4" w:space="0" w:color="auto"/>
              <w:right w:val="single" w:sz="4" w:space="0" w:color="auto"/>
            </w:tcBorders>
            <w:textDirection w:val="btLr"/>
            <w:vAlign w:val="center"/>
          </w:tcPr>
          <w:p w14:paraId="3F83010D" w14:textId="77777777" w:rsidR="00ED17F3" w:rsidRPr="00E737B4" w:rsidRDefault="00ED17F3" w:rsidP="007108ED">
            <w:pPr>
              <w:autoSpaceDE w:val="0"/>
              <w:autoSpaceDN w:val="0"/>
              <w:adjustRightInd w:val="0"/>
              <w:spacing w:after="0" w:line="240" w:lineRule="auto"/>
              <w:rPr>
                <w:rFonts w:ascii="Times New Roman" w:hAnsi="Times New Roman"/>
                <w:sz w:val="20"/>
              </w:rPr>
            </w:pPr>
            <w:r w:rsidRPr="00E737B4">
              <w:rPr>
                <w:rFonts w:ascii="Times New Roman" w:hAnsi="Times New Roman"/>
                <w:sz w:val="20"/>
              </w:rPr>
              <w:t xml:space="preserve">Activités économiques artisanales </w:t>
            </w:r>
          </w:p>
          <w:p w14:paraId="1FCC31BB" w14:textId="77777777" w:rsidR="00ED17F3" w:rsidRPr="00E737B4" w:rsidRDefault="00ED17F3" w:rsidP="007108ED">
            <w:pPr>
              <w:autoSpaceDE w:val="0"/>
              <w:autoSpaceDN w:val="0"/>
              <w:adjustRightInd w:val="0"/>
              <w:spacing w:after="0" w:line="240" w:lineRule="auto"/>
              <w:rPr>
                <w:rFonts w:ascii="Times New Roman" w:hAnsi="Times New Roman"/>
                <w:bCs/>
                <w:sz w:val="20"/>
              </w:rPr>
            </w:pPr>
            <w:r w:rsidRPr="00E737B4">
              <w:rPr>
                <w:rFonts w:ascii="Times New Roman" w:hAnsi="Times New Roman"/>
                <w:sz w:val="20"/>
              </w:rPr>
              <w:t>et culturelles</w:t>
            </w:r>
          </w:p>
        </w:tc>
        <w:tc>
          <w:tcPr>
            <w:tcW w:w="438" w:type="dxa"/>
            <w:tcBorders>
              <w:top w:val="single" w:sz="4" w:space="0" w:color="auto"/>
              <w:left w:val="single" w:sz="4" w:space="0" w:color="auto"/>
              <w:right w:val="single" w:sz="4" w:space="0" w:color="auto"/>
            </w:tcBorders>
            <w:textDirection w:val="btLr"/>
            <w:vAlign w:val="center"/>
          </w:tcPr>
          <w:p w14:paraId="779C9CE2" w14:textId="77777777" w:rsidR="00ED17F3" w:rsidRPr="00E737B4" w:rsidRDefault="00ED17F3" w:rsidP="007108ED">
            <w:pPr>
              <w:autoSpaceDE w:val="0"/>
              <w:autoSpaceDN w:val="0"/>
              <w:adjustRightInd w:val="0"/>
              <w:spacing w:after="0" w:line="240" w:lineRule="auto"/>
              <w:rPr>
                <w:rFonts w:ascii="Times New Roman" w:hAnsi="Times New Roman"/>
                <w:bCs/>
                <w:sz w:val="20"/>
              </w:rPr>
            </w:pPr>
            <w:r w:rsidRPr="00E737B4">
              <w:rPr>
                <w:rFonts w:ascii="Times New Roman" w:hAnsi="Times New Roman"/>
                <w:sz w:val="20"/>
              </w:rPr>
              <w:t xml:space="preserve">Site Culturel et </w:t>
            </w:r>
            <w:r w:rsidRPr="00E737B4">
              <w:rPr>
                <w:rFonts w:ascii="Times New Roman" w:hAnsi="Times New Roman"/>
                <w:bCs/>
                <w:sz w:val="20"/>
              </w:rPr>
              <w:t>sacré</w:t>
            </w:r>
          </w:p>
        </w:tc>
        <w:tc>
          <w:tcPr>
            <w:tcW w:w="437" w:type="dxa"/>
            <w:tcBorders>
              <w:top w:val="single" w:sz="4" w:space="0" w:color="auto"/>
              <w:left w:val="single" w:sz="4" w:space="0" w:color="auto"/>
              <w:right w:val="single" w:sz="4" w:space="0" w:color="auto"/>
            </w:tcBorders>
            <w:textDirection w:val="btLr"/>
            <w:vAlign w:val="center"/>
          </w:tcPr>
          <w:p w14:paraId="4E3B9505" w14:textId="77777777" w:rsidR="00ED17F3" w:rsidRPr="00E737B4" w:rsidRDefault="00ED17F3" w:rsidP="007108ED">
            <w:pPr>
              <w:autoSpaceDE w:val="0"/>
              <w:autoSpaceDN w:val="0"/>
              <w:adjustRightInd w:val="0"/>
              <w:spacing w:after="0" w:line="240" w:lineRule="auto"/>
              <w:rPr>
                <w:rFonts w:ascii="Times New Roman" w:hAnsi="Times New Roman"/>
                <w:bCs/>
                <w:sz w:val="20"/>
              </w:rPr>
            </w:pPr>
            <w:r w:rsidRPr="00E737B4">
              <w:rPr>
                <w:rFonts w:ascii="Times New Roman" w:hAnsi="Times New Roman"/>
                <w:sz w:val="20"/>
              </w:rPr>
              <w:t>Foncier urbain</w:t>
            </w:r>
          </w:p>
        </w:tc>
        <w:tc>
          <w:tcPr>
            <w:tcW w:w="687" w:type="dxa"/>
            <w:tcBorders>
              <w:top w:val="single" w:sz="4" w:space="0" w:color="auto"/>
              <w:left w:val="single" w:sz="4" w:space="0" w:color="auto"/>
              <w:right w:val="single" w:sz="4" w:space="0" w:color="auto"/>
            </w:tcBorders>
            <w:textDirection w:val="btLr"/>
            <w:vAlign w:val="center"/>
          </w:tcPr>
          <w:p w14:paraId="5ED0B1AA" w14:textId="77777777" w:rsidR="00ED17F3" w:rsidRPr="00E737B4" w:rsidRDefault="00ED17F3" w:rsidP="007108ED">
            <w:pPr>
              <w:autoSpaceDE w:val="0"/>
              <w:autoSpaceDN w:val="0"/>
              <w:adjustRightInd w:val="0"/>
              <w:spacing w:after="0" w:line="240" w:lineRule="auto"/>
              <w:rPr>
                <w:rFonts w:ascii="Times New Roman" w:hAnsi="Times New Roman"/>
                <w:sz w:val="20"/>
              </w:rPr>
            </w:pPr>
            <w:r w:rsidRPr="00E737B4">
              <w:rPr>
                <w:rFonts w:ascii="Times New Roman" w:hAnsi="Times New Roman"/>
                <w:sz w:val="20"/>
              </w:rPr>
              <w:t>Habitations et autres biens</w:t>
            </w:r>
          </w:p>
        </w:tc>
        <w:tc>
          <w:tcPr>
            <w:tcW w:w="678" w:type="dxa"/>
            <w:tcBorders>
              <w:top w:val="single" w:sz="4" w:space="0" w:color="auto"/>
              <w:left w:val="single" w:sz="4" w:space="0" w:color="auto"/>
              <w:right w:val="single" w:sz="4" w:space="0" w:color="auto"/>
            </w:tcBorders>
            <w:textDirection w:val="btLr"/>
            <w:vAlign w:val="center"/>
          </w:tcPr>
          <w:p w14:paraId="073CA03A" w14:textId="77777777" w:rsidR="00ED17F3" w:rsidRPr="00E737B4" w:rsidRDefault="00ED17F3" w:rsidP="007108ED">
            <w:pPr>
              <w:autoSpaceDE w:val="0"/>
              <w:autoSpaceDN w:val="0"/>
              <w:adjustRightInd w:val="0"/>
              <w:spacing w:after="0" w:line="240" w:lineRule="auto"/>
              <w:rPr>
                <w:rFonts w:ascii="Times New Roman" w:hAnsi="Times New Roman"/>
                <w:sz w:val="20"/>
              </w:rPr>
            </w:pPr>
            <w:r w:rsidRPr="00E737B4">
              <w:rPr>
                <w:rFonts w:ascii="Times New Roman" w:hAnsi="Times New Roman"/>
                <w:sz w:val="20"/>
              </w:rPr>
              <w:t>Conditions de vie et bien-être des populations</w:t>
            </w:r>
          </w:p>
        </w:tc>
        <w:tc>
          <w:tcPr>
            <w:tcW w:w="682" w:type="dxa"/>
            <w:tcBorders>
              <w:top w:val="single" w:sz="4" w:space="0" w:color="auto"/>
              <w:left w:val="single" w:sz="4" w:space="0" w:color="auto"/>
              <w:right w:val="single" w:sz="4" w:space="0" w:color="auto"/>
            </w:tcBorders>
            <w:textDirection w:val="btLr"/>
            <w:vAlign w:val="center"/>
          </w:tcPr>
          <w:p w14:paraId="3BDB7FE7" w14:textId="77777777" w:rsidR="00ED17F3" w:rsidRPr="00E737B4" w:rsidRDefault="00ED17F3" w:rsidP="007108ED">
            <w:pPr>
              <w:autoSpaceDE w:val="0"/>
              <w:autoSpaceDN w:val="0"/>
              <w:adjustRightInd w:val="0"/>
              <w:spacing w:after="0" w:line="240" w:lineRule="auto"/>
              <w:rPr>
                <w:rFonts w:ascii="Times New Roman" w:hAnsi="Times New Roman"/>
                <w:sz w:val="20"/>
              </w:rPr>
            </w:pPr>
            <w:r w:rsidRPr="00E737B4">
              <w:rPr>
                <w:rFonts w:ascii="Times New Roman" w:hAnsi="Times New Roman"/>
                <w:sz w:val="20"/>
              </w:rPr>
              <w:t>Organisation sociale</w:t>
            </w:r>
          </w:p>
        </w:tc>
        <w:tc>
          <w:tcPr>
            <w:tcW w:w="669" w:type="dxa"/>
            <w:tcBorders>
              <w:top w:val="single" w:sz="4" w:space="0" w:color="auto"/>
              <w:left w:val="single" w:sz="4" w:space="0" w:color="auto"/>
              <w:right w:val="single" w:sz="4" w:space="0" w:color="auto"/>
            </w:tcBorders>
            <w:textDirection w:val="btLr"/>
          </w:tcPr>
          <w:p w14:paraId="6EC6888C" w14:textId="77777777" w:rsidR="00ED17F3" w:rsidRPr="00E737B4" w:rsidRDefault="00ED17F3" w:rsidP="007108ED">
            <w:pPr>
              <w:autoSpaceDE w:val="0"/>
              <w:autoSpaceDN w:val="0"/>
              <w:adjustRightInd w:val="0"/>
              <w:spacing w:after="0" w:line="240" w:lineRule="auto"/>
              <w:rPr>
                <w:rFonts w:ascii="Times New Roman" w:hAnsi="Times New Roman"/>
                <w:sz w:val="20"/>
              </w:rPr>
            </w:pPr>
            <w:r w:rsidRPr="00E737B4">
              <w:rPr>
                <w:rFonts w:ascii="Times New Roman" w:hAnsi="Times New Roman"/>
                <w:sz w:val="20"/>
              </w:rPr>
              <w:t>Personnes vulnérables</w:t>
            </w:r>
          </w:p>
        </w:tc>
      </w:tr>
      <w:tr w:rsidR="00D75D2E" w:rsidRPr="00420C1B" w14:paraId="3B2095CA" w14:textId="77777777" w:rsidTr="007108ED">
        <w:trPr>
          <w:cantSplit/>
          <w:trHeight w:val="283"/>
          <w:jc w:val="center"/>
        </w:trPr>
        <w:tc>
          <w:tcPr>
            <w:tcW w:w="862" w:type="dxa"/>
            <w:vMerge w:val="restart"/>
            <w:tcBorders>
              <w:top w:val="single" w:sz="4" w:space="0" w:color="auto"/>
              <w:left w:val="single" w:sz="4" w:space="0" w:color="auto"/>
              <w:right w:val="single" w:sz="4" w:space="0" w:color="auto"/>
            </w:tcBorders>
            <w:textDirection w:val="btLr"/>
            <w:vAlign w:val="center"/>
          </w:tcPr>
          <w:p w14:paraId="03ECC5D8" w14:textId="77777777" w:rsidR="00ED17F3" w:rsidRPr="00767B63" w:rsidRDefault="00ED17F3" w:rsidP="007108ED">
            <w:pPr>
              <w:spacing w:after="0" w:line="240" w:lineRule="auto"/>
              <w:ind w:left="113" w:right="113"/>
              <w:jc w:val="center"/>
              <w:rPr>
                <w:rFonts w:ascii="Times New Roman" w:eastAsia="Times New Roman" w:hAnsi="Times New Roman"/>
                <w:b/>
                <w:bCs/>
                <w:sz w:val="20"/>
                <w:szCs w:val="20"/>
                <w:lang w:eastAsia="fr-FR"/>
              </w:rPr>
            </w:pPr>
            <w:r w:rsidRPr="00767B63">
              <w:rPr>
                <w:rFonts w:ascii="Times New Roman" w:eastAsia="Times New Roman" w:hAnsi="Times New Roman"/>
                <w:b/>
                <w:bCs/>
                <w:sz w:val="20"/>
                <w:szCs w:val="20"/>
                <w:lang w:eastAsia="fr-FR"/>
              </w:rPr>
              <w:t>PREPA-RATOIRE</w:t>
            </w:r>
          </w:p>
        </w:tc>
        <w:tc>
          <w:tcPr>
            <w:tcW w:w="6217" w:type="dxa"/>
            <w:tcBorders>
              <w:top w:val="single" w:sz="4" w:space="0" w:color="auto"/>
              <w:left w:val="single" w:sz="4" w:space="0" w:color="auto"/>
              <w:bottom w:val="single" w:sz="4" w:space="0" w:color="auto"/>
              <w:right w:val="single" w:sz="4" w:space="0" w:color="auto"/>
            </w:tcBorders>
            <w:vAlign w:val="center"/>
          </w:tcPr>
          <w:p w14:paraId="2D6E8FFD"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Indemnisation des biens touchés</w:t>
            </w:r>
          </w:p>
        </w:tc>
        <w:tc>
          <w:tcPr>
            <w:tcW w:w="540" w:type="dxa"/>
            <w:tcBorders>
              <w:top w:val="single" w:sz="4" w:space="0" w:color="auto"/>
              <w:left w:val="single" w:sz="4" w:space="0" w:color="auto"/>
              <w:bottom w:val="single" w:sz="4" w:space="0" w:color="auto"/>
              <w:right w:val="single" w:sz="4" w:space="0" w:color="auto"/>
            </w:tcBorders>
            <w:vAlign w:val="center"/>
          </w:tcPr>
          <w:p w14:paraId="0596B04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00F6808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0BAE370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3581DBE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51DE733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5DF6E6F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640841DD"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2BD39FD7"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70A7CBCD"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8" w:type="dxa"/>
            <w:tcBorders>
              <w:top w:val="single" w:sz="4" w:space="0" w:color="auto"/>
              <w:left w:val="single" w:sz="4" w:space="0" w:color="auto"/>
              <w:bottom w:val="single" w:sz="4" w:space="0" w:color="auto"/>
              <w:right w:val="single" w:sz="4" w:space="0" w:color="auto"/>
            </w:tcBorders>
            <w:vAlign w:val="center"/>
          </w:tcPr>
          <w:p w14:paraId="7042695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3ED0F23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687" w:type="dxa"/>
            <w:tcBorders>
              <w:top w:val="single" w:sz="4" w:space="0" w:color="auto"/>
              <w:left w:val="single" w:sz="4" w:space="0" w:color="auto"/>
              <w:bottom w:val="single" w:sz="4" w:space="0" w:color="auto"/>
              <w:right w:val="single" w:sz="4" w:space="0" w:color="auto"/>
            </w:tcBorders>
            <w:vAlign w:val="center"/>
          </w:tcPr>
          <w:p w14:paraId="70E93BA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678" w:type="dxa"/>
            <w:tcBorders>
              <w:top w:val="single" w:sz="4" w:space="0" w:color="auto"/>
              <w:left w:val="single" w:sz="4" w:space="0" w:color="auto"/>
              <w:bottom w:val="single" w:sz="4" w:space="0" w:color="auto"/>
              <w:right w:val="single" w:sz="4" w:space="0" w:color="auto"/>
            </w:tcBorders>
            <w:vAlign w:val="center"/>
          </w:tcPr>
          <w:p w14:paraId="3EA2C31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2" w:type="dxa"/>
            <w:tcBorders>
              <w:top w:val="single" w:sz="4" w:space="0" w:color="auto"/>
              <w:left w:val="single" w:sz="4" w:space="0" w:color="auto"/>
              <w:bottom w:val="single" w:sz="4" w:space="0" w:color="auto"/>
              <w:right w:val="single" w:sz="4" w:space="0" w:color="auto"/>
            </w:tcBorders>
            <w:vAlign w:val="center"/>
          </w:tcPr>
          <w:p w14:paraId="05245881"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669" w:type="dxa"/>
            <w:tcBorders>
              <w:top w:val="single" w:sz="4" w:space="0" w:color="auto"/>
              <w:left w:val="single" w:sz="4" w:space="0" w:color="auto"/>
              <w:bottom w:val="single" w:sz="4" w:space="0" w:color="auto"/>
              <w:right w:val="single" w:sz="4" w:space="0" w:color="auto"/>
            </w:tcBorders>
            <w:vAlign w:val="center"/>
          </w:tcPr>
          <w:p w14:paraId="5E63F0FA"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r>
      <w:tr w:rsidR="00D75D2E" w:rsidRPr="00420C1B" w14:paraId="073CD7A7" w14:textId="77777777" w:rsidTr="007108ED">
        <w:trPr>
          <w:cantSplit/>
          <w:trHeight w:val="283"/>
          <w:jc w:val="center"/>
        </w:trPr>
        <w:tc>
          <w:tcPr>
            <w:tcW w:w="862" w:type="dxa"/>
            <w:vMerge/>
            <w:tcBorders>
              <w:top w:val="single" w:sz="4" w:space="0" w:color="auto"/>
              <w:left w:val="single" w:sz="4" w:space="0" w:color="auto"/>
              <w:right w:val="single" w:sz="4" w:space="0" w:color="auto"/>
            </w:tcBorders>
            <w:textDirection w:val="btLr"/>
            <w:vAlign w:val="center"/>
          </w:tcPr>
          <w:p w14:paraId="6C1F4098" w14:textId="77777777" w:rsidR="00ED17F3" w:rsidRPr="00767B63" w:rsidRDefault="00ED17F3" w:rsidP="007108ED">
            <w:pPr>
              <w:spacing w:after="0" w:line="240" w:lineRule="auto"/>
              <w:ind w:left="113" w:right="113"/>
              <w:jc w:val="center"/>
              <w:rPr>
                <w:rFonts w:ascii="Times New Roman" w:eastAsia="Times New Roman" w:hAnsi="Times New Roman"/>
                <w:b/>
                <w:bCs/>
                <w:sz w:val="20"/>
                <w:szCs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05FDFBBC"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Libération des emprises</w:t>
            </w:r>
          </w:p>
        </w:tc>
        <w:tc>
          <w:tcPr>
            <w:tcW w:w="540" w:type="dxa"/>
            <w:tcBorders>
              <w:top w:val="single" w:sz="4" w:space="0" w:color="auto"/>
              <w:left w:val="single" w:sz="4" w:space="0" w:color="auto"/>
              <w:bottom w:val="single" w:sz="4" w:space="0" w:color="auto"/>
              <w:right w:val="single" w:sz="4" w:space="0" w:color="auto"/>
            </w:tcBorders>
            <w:vAlign w:val="center"/>
          </w:tcPr>
          <w:p w14:paraId="7BAF202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0871759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03B94B1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7683A43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334109B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611F4D1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08DD0C0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323238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1616308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8" w:type="dxa"/>
            <w:tcBorders>
              <w:top w:val="single" w:sz="4" w:space="0" w:color="auto"/>
              <w:left w:val="single" w:sz="4" w:space="0" w:color="auto"/>
              <w:bottom w:val="single" w:sz="4" w:space="0" w:color="auto"/>
              <w:right w:val="single" w:sz="4" w:space="0" w:color="auto"/>
            </w:tcBorders>
            <w:vAlign w:val="center"/>
          </w:tcPr>
          <w:p w14:paraId="6C519AD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11AF03F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7" w:type="dxa"/>
            <w:tcBorders>
              <w:top w:val="single" w:sz="4" w:space="0" w:color="auto"/>
              <w:left w:val="single" w:sz="4" w:space="0" w:color="auto"/>
              <w:bottom w:val="single" w:sz="4" w:space="0" w:color="auto"/>
              <w:right w:val="single" w:sz="4" w:space="0" w:color="auto"/>
            </w:tcBorders>
            <w:vAlign w:val="center"/>
          </w:tcPr>
          <w:p w14:paraId="023852A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78" w:type="dxa"/>
            <w:tcBorders>
              <w:top w:val="single" w:sz="4" w:space="0" w:color="auto"/>
              <w:left w:val="single" w:sz="4" w:space="0" w:color="auto"/>
              <w:bottom w:val="single" w:sz="4" w:space="0" w:color="auto"/>
              <w:right w:val="single" w:sz="4" w:space="0" w:color="auto"/>
            </w:tcBorders>
            <w:vAlign w:val="center"/>
          </w:tcPr>
          <w:p w14:paraId="45C8B44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2" w:type="dxa"/>
            <w:tcBorders>
              <w:top w:val="single" w:sz="4" w:space="0" w:color="auto"/>
              <w:left w:val="single" w:sz="4" w:space="0" w:color="auto"/>
              <w:bottom w:val="single" w:sz="4" w:space="0" w:color="auto"/>
              <w:right w:val="single" w:sz="4" w:space="0" w:color="auto"/>
            </w:tcBorders>
            <w:vAlign w:val="center"/>
          </w:tcPr>
          <w:p w14:paraId="3FB8E42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3316A82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r>
      <w:tr w:rsidR="00D75D2E" w:rsidRPr="00420C1B" w14:paraId="23B86440" w14:textId="77777777" w:rsidTr="007108ED">
        <w:trPr>
          <w:cantSplit/>
          <w:trHeight w:val="283"/>
          <w:jc w:val="center"/>
        </w:trPr>
        <w:tc>
          <w:tcPr>
            <w:tcW w:w="862" w:type="dxa"/>
            <w:vMerge/>
            <w:tcBorders>
              <w:left w:val="single" w:sz="4" w:space="0" w:color="auto"/>
              <w:right w:val="single" w:sz="4" w:space="0" w:color="auto"/>
            </w:tcBorders>
            <w:textDirection w:val="btLr"/>
            <w:vAlign w:val="center"/>
          </w:tcPr>
          <w:p w14:paraId="4429D718"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142D7AC1"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Installation de chantier et de base-vie</w:t>
            </w:r>
          </w:p>
        </w:tc>
        <w:tc>
          <w:tcPr>
            <w:tcW w:w="540" w:type="dxa"/>
            <w:tcBorders>
              <w:top w:val="single" w:sz="4" w:space="0" w:color="auto"/>
              <w:left w:val="single" w:sz="4" w:space="0" w:color="auto"/>
              <w:bottom w:val="single" w:sz="4" w:space="0" w:color="auto"/>
              <w:right w:val="single" w:sz="4" w:space="0" w:color="auto"/>
            </w:tcBorders>
            <w:vAlign w:val="center"/>
          </w:tcPr>
          <w:p w14:paraId="2FCAF91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18C2729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76B3147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4F263FD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096B6CE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793CA47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267D5F7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32C3242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034FC00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25873CD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5035CB9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3AD0354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60989AF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2" w:type="dxa"/>
            <w:tcBorders>
              <w:top w:val="single" w:sz="4" w:space="0" w:color="auto"/>
              <w:left w:val="single" w:sz="4" w:space="0" w:color="auto"/>
              <w:bottom w:val="single" w:sz="4" w:space="0" w:color="auto"/>
              <w:right w:val="single" w:sz="4" w:space="0" w:color="auto"/>
            </w:tcBorders>
            <w:vAlign w:val="center"/>
          </w:tcPr>
          <w:p w14:paraId="597DDC1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4C70F01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r>
      <w:tr w:rsidR="00D75D2E" w:rsidRPr="00420C1B" w14:paraId="0DEA453E" w14:textId="77777777" w:rsidTr="007108ED">
        <w:trPr>
          <w:cantSplit/>
          <w:trHeight w:val="283"/>
          <w:jc w:val="center"/>
        </w:trPr>
        <w:tc>
          <w:tcPr>
            <w:tcW w:w="862" w:type="dxa"/>
            <w:vMerge/>
            <w:tcBorders>
              <w:left w:val="single" w:sz="4" w:space="0" w:color="auto"/>
              <w:right w:val="single" w:sz="4" w:space="0" w:color="auto"/>
            </w:tcBorders>
            <w:textDirection w:val="btLr"/>
            <w:vAlign w:val="center"/>
          </w:tcPr>
          <w:p w14:paraId="73EAAB50"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0CBB0185"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 xml:space="preserve">Abattages ou l’élagage des arbres dans l’emprise des lignes  </w:t>
            </w:r>
          </w:p>
        </w:tc>
        <w:tc>
          <w:tcPr>
            <w:tcW w:w="540" w:type="dxa"/>
            <w:tcBorders>
              <w:top w:val="single" w:sz="4" w:space="0" w:color="auto"/>
              <w:left w:val="single" w:sz="4" w:space="0" w:color="auto"/>
              <w:bottom w:val="single" w:sz="4" w:space="0" w:color="auto"/>
              <w:right w:val="single" w:sz="4" w:space="0" w:color="auto"/>
            </w:tcBorders>
            <w:vAlign w:val="center"/>
          </w:tcPr>
          <w:p w14:paraId="7D35FCB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1B2C070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0316E47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047C7A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7CC244E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43D950F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0303FCD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4B08315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1459403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8" w:type="dxa"/>
            <w:tcBorders>
              <w:top w:val="single" w:sz="4" w:space="0" w:color="auto"/>
              <w:left w:val="single" w:sz="4" w:space="0" w:color="auto"/>
              <w:bottom w:val="single" w:sz="4" w:space="0" w:color="auto"/>
              <w:right w:val="single" w:sz="4" w:space="0" w:color="auto"/>
            </w:tcBorders>
            <w:vAlign w:val="center"/>
          </w:tcPr>
          <w:p w14:paraId="3F00EFD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21FD187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05A06A8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7623294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2" w:type="dxa"/>
            <w:tcBorders>
              <w:top w:val="single" w:sz="4" w:space="0" w:color="auto"/>
              <w:left w:val="single" w:sz="4" w:space="0" w:color="auto"/>
              <w:bottom w:val="single" w:sz="4" w:space="0" w:color="auto"/>
              <w:right w:val="single" w:sz="4" w:space="0" w:color="auto"/>
            </w:tcBorders>
            <w:vAlign w:val="center"/>
          </w:tcPr>
          <w:p w14:paraId="3DF2CAF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2661B85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31ACBB2B" w14:textId="77777777" w:rsidTr="007108ED">
        <w:trPr>
          <w:cantSplit/>
          <w:trHeight w:val="184"/>
          <w:jc w:val="center"/>
        </w:trPr>
        <w:tc>
          <w:tcPr>
            <w:tcW w:w="862" w:type="dxa"/>
            <w:vMerge w:val="restart"/>
            <w:tcBorders>
              <w:left w:val="single" w:sz="4" w:space="0" w:color="auto"/>
              <w:right w:val="single" w:sz="4" w:space="0" w:color="auto"/>
            </w:tcBorders>
            <w:textDirection w:val="btLr"/>
            <w:vAlign w:val="center"/>
          </w:tcPr>
          <w:p w14:paraId="6F6F0841"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r w:rsidRPr="00E737B4">
              <w:rPr>
                <w:rFonts w:ascii="Times New Roman" w:eastAsia="Times New Roman" w:hAnsi="Times New Roman"/>
                <w:b/>
                <w:bCs/>
                <w:sz w:val="20"/>
                <w:lang w:eastAsia="fr-FR"/>
              </w:rPr>
              <w:t>TRAVAUX</w:t>
            </w:r>
          </w:p>
        </w:tc>
        <w:tc>
          <w:tcPr>
            <w:tcW w:w="6217" w:type="dxa"/>
            <w:tcBorders>
              <w:top w:val="single" w:sz="4" w:space="0" w:color="auto"/>
              <w:left w:val="single" w:sz="4" w:space="0" w:color="auto"/>
              <w:bottom w:val="single" w:sz="4" w:space="0" w:color="auto"/>
              <w:right w:val="single" w:sz="4" w:space="0" w:color="auto"/>
            </w:tcBorders>
            <w:vAlign w:val="center"/>
          </w:tcPr>
          <w:p w14:paraId="119C9050"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Terrassement et coulage de béton  (fouilles, excavations, remblayage, bétonnage, etc.)</w:t>
            </w:r>
          </w:p>
        </w:tc>
        <w:tc>
          <w:tcPr>
            <w:tcW w:w="540" w:type="dxa"/>
            <w:tcBorders>
              <w:top w:val="single" w:sz="4" w:space="0" w:color="auto"/>
              <w:left w:val="single" w:sz="4" w:space="0" w:color="auto"/>
              <w:bottom w:val="single" w:sz="4" w:space="0" w:color="auto"/>
              <w:right w:val="single" w:sz="4" w:space="0" w:color="auto"/>
            </w:tcBorders>
            <w:vAlign w:val="center"/>
          </w:tcPr>
          <w:p w14:paraId="3E5919B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7B3C545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547CD67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543D528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4F92D13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4E71073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612EB9D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589B9C4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64C66A3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8" w:type="dxa"/>
            <w:tcBorders>
              <w:top w:val="single" w:sz="4" w:space="0" w:color="auto"/>
              <w:left w:val="single" w:sz="4" w:space="0" w:color="auto"/>
              <w:bottom w:val="single" w:sz="4" w:space="0" w:color="auto"/>
              <w:right w:val="single" w:sz="4" w:space="0" w:color="auto"/>
            </w:tcBorders>
            <w:vAlign w:val="center"/>
          </w:tcPr>
          <w:p w14:paraId="2AE4A7F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210C006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647925B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16A7FE2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2" w:type="dxa"/>
            <w:tcBorders>
              <w:top w:val="single" w:sz="4" w:space="0" w:color="auto"/>
              <w:left w:val="single" w:sz="4" w:space="0" w:color="auto"/>
              <w:bottom w:val="single" w:sz="4" w:space="0" w:color="auto"/>
              <w:right w:val="single" w:sz="4" w:space="0" w:color="auto"/>
            </w:tcBorders>
            <w:vAlign w:val="center"/>
          </w:tcPr>
          <w:p w14:paraId="45CEB60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2629EE6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32E0FEDF" w14:textId="77777777" w:rsidTr="007108ED">
        <w:trPr>
          <w:cantSplit/>
          <w:trHeight w:val="337"/>
          <w:jc w:val="center"/>
        </w:trPr>
        <w:tc>
          <w:tcPr>
            <w:tcW w:w="862" w:type="dxa"/>
            <w:vMerge/>
            <w:tcBorders>
              <w:left w:val="single" w:sz="4" w:space="0" w:color="auto"/>
              <w:right w:val="single" w:sz="4" w:space="0" w:color="auto"/>
            </w:tcBorders>
            <w:textDirection w:val="btLr"/>
            <w:vAlign w:val="center"/>
          </w:tcPr>
          <w:p w14:paraId="4A9525DB"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56DA161A"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Fourniture et stockage des matériaux</w:t>
            </w:r>
          </w:p>
        </w:tc>
        <w:tc>
          <w:tcPr>
            <w:tcW w:w="540" w:type="dxa"/>
            <w:tcBorders>
              <w:top w:val="single" w:sz="4" w:space="0" w:color="auto"/>
              <w:left w:val="single" w:sz="4" w:space="0" w:color="auto"/>
              <w:bottom w:val="single" w:sz="4" w:space="0" w:color="auto"/>
              <w:right w:val="single" w:sz="4" w:space="0" w:color="auto"/>
            </w:tcBorders>
            <w:vAlign w:val="center"/>
          </w:tcPr>
          <w:p w14:paraId="078ED19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0D0B682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09A7289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6CCBDCF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63E9334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0461A16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3078FDF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CB41D5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14D64AF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7C063CE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165AF74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7" w:type="dxa"/>
            <w:tcBorders>
              <w:top w:val="single" w:sz="4" w:space="0" w:color="auto"/>
              <w:left w:val="single" w:sz="4" w:space="0" w:color="auto"/>
              <w:bottom w:val="single" w:sz="4" w:space="0" w:color="auto"/>
              <w:right w:val="single" w:sz="4" w:space="0" w:color="auto"/>
            </w:tcBorders>
            <w:vAlign w:val="center"/>
          </w:tcPr>
          <w:p w14:paraId="3ACC5F5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4D72679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2" w:type="dxa"/>
            <w:tcBorders>
              <w:top w:val="single" w:sz="4" w:space="0" w:color="auto"/>
              <w:left w:val="single" w:sz="4" w:space="0" w:color="auto"/>
              <w:bottom w:val="single" w:sz="4" w:space="0" w:color="auto"/>
              <w:right w:val="single" w:sz="4" w:space="0" w:color="auto"/>
            </w:tcBorders>
            <w:vAlign w:val="center"/>
          </w:tcPr>
          <w:p w14:paraId="38FC132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39775AB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1982894D" w14:textId="77777777" w:rsidTr="007108ED">
        <w:trPr>
          <w:cantSplit/>
          <w:trHeight w:val="272"/>
          <w:jc w:val="center"/>
        </w:trPr>
        <w:tc>
          <w:tcPr>
            <w:tcW w:w="862" w:type="dxa"/>
            <w:vMerge/>
            <w:tcBorders>
              <w:left w:val="single" w:sz="4" w:space="0" w:color="auto"/>
              <w:right w:val="single" w:sz="4" w:space="0" w:color="auto"/>
            </w:tcBorders>
            <w:textDirection w:val="btLr"/>
            <w:vAlign w:val="center"/>
          </w:tcPr>
          <w:p w14:paraId="7C9E6E4D"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64FA7023"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Tirage des lignes BT/MT</w:t>
            </w:r>
          </w:p>
        </w:tc>
        <w:tc>
          <w:tcPr>
            <w:tcW w:w="540" w:type="dxa"/>
            <w:tcBorders>
              <w:top w:val="single" w:sz="4" w:space="0" w:color="auto"/>
              <w:left w:val="single" w:sz="4" w:space="0" w:color="auto"/>
              <w:bottom w:val="single" w:sz="4" w:space="0" w:color="auto"/>
              <w:right w:val="single" w:sz="4" w:space="0" w:color="auto"/>
            </w:tcBorders>
            <w:vAlign w:val="center"/>
          </w:tcPr>
          <w:p w14:paraId="76ACEBC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62DDC47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70C742F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76155A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5C20943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68E27E3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54119A7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42608D5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0D1A497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8" w:type="dxa"/>
            <w:tcBorders>
              <w:top w:val="single" w:sz="4" w:space="0" w:color="auto"/>
              <w:left w:val="single" w:sz="4" w:space="0" w:color="auto"/>
              <w:bottom w:val="single" w:sz="4" w:space="0" w:color="auto"/>
              <w:right w:val="single" w:sz="4" w:space="0" w:color="auto"/>
            </w:tcBorders>
            <w:vAlign w:val="center"/>
          </w:tcPr>
          <w:p w14:paraId="44807F4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109F404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48719ED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49E756A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2" w:type="dxa"/>
            <w:tcBorders>
              <w:top w:val="single" w:sz="4" w:space="0" w:color="auto"/>
              <w:left w:val="single" w:sz="4" w:space="0" w:color="auto"/>
              <w:bottom w:val="single" w:sz="4" w:space="0" w:color="auto"/>
              <w:right w:val="single" w:sz="4" w:space="0" w:color="auto"/>
            </w:tcBorders>
            <w:vAlign w:val="center"/>
          </w:tcPr>
          <w:p w14:paraId="4AF50A0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358DBC6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6176214F" w14:textId="77777777" w:rsidTr="007108ED">
        <w:trPr>
          <w:cantSplit/>
          <w:trHeight w:val="230"/>
          <w:jc w:val="center"/>
        </w:trPr>
        <w:tc>
          <w:tcPr>
            <w:tcW w:w="862" w:type="dxa"/>
            <w:vMerge/>
            <w:tcBorders>
              <w:left w:val="single" w:sz="4" w:space="0" w:color="auto"/>
              <w:right w:val="single" w:sz="4" w:space="0" w:color="auto"/>
            </w:tcBorders>
            <w:textDirection w:val="btLr"/>
            <w:vAlign w:val="center"/>
          </w:tcPr>
          <w:p w14:paraId="3FDA116F"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2BDBAD96"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Installation des cabines</w:t>
            </w:r>
          </w:p>
        </w:tc>
        <w:tc>
          <w:tcPr>
            <w:tcW w:w="540" w:type="dxa"/>
            <w:tcBorders>
              <w:top w:val="single" w:sz="4" w:space="0" w:color="auto"/>
              <w:left w:val="single" w:sz="4" w:space="0" w:color="auto"/>
              <w:bottom w:val="single" w:sz="4" w:space="0" w:color="auto"/>
              <w:right w:val="single" w:sz="4" w:space="0" w:color="auto"/>
            </w:tcBorders>
            <w:vAlign w:val="center"/>
          </w:tcPr>
          <w:p w14:paraId="259F1A4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63C0C86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75D4D56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010AF2C3"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562" w:type="dxa"/>
            <w:tcBorders>
              <w:top w:val="single" w:sz="4" w:space="0" w:color="auto"/>
              <w:left w:val="single" w:sz="4" w:space="0" w:color="auto"/>
              <w:bottom w:val="single" w:sz="4" w:space="0" w:color="auto"/>
              <w:right w:val="single" w:sz="4" w:space="0" w:color="auto"/>
            </w:tcBorders>
            <w:vAlign w:val="center"/>
          </w:tcPr>
          <w:p w14:paraId="1C0FD485"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441" w:type="dxa"/>
            <w:tcBorders>
              <w:top w:val="single" w:sz="4" w:space="0" w:color="auto"/>
              <w:left w:val="single" w:sz="4" w:space="0" w:color="auto"/>
              <w:bottom w:val="single" w:sz="4" w:space="0" w:color="auto"/>
              <w:right w:val="single" w:sz="4" w:space="0" w:color="auto"/>
            </w:tcBorders>
            <w:vAlign w:val="center"/>
          </w:tcPr>
          <w:p w14:paraId="2658B63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709" w:type="dxa"/>
            <w:tcBorders>
              <w:top w:val="single" w:sz="4" w:space="0" w:color="auto"/>
              <w:left w:val="single" w:sz="4" w:space="0" w:color="auto"/>
              <w:bottom w:val="single" w:sz="4" w:space="0" w:color="auto"/>
              <w:right w:val="single" w:sz="4" w:space="0" w:color="auto"/>
            </w:tcBorders>
            <w:vAlign w:val="center"/>
          </w:tcPr>
          <w:p w14:paraId="3452BD9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65406A76"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584" w:type="dxa"/>
            <w:tcBorders>
              <w:top w:val="single" w:sz="4" w:space="0" w:color="auto"/>
              <w:left w:val="single" w:sz="4" w:space="0" w:color="auto"/>
              <w:bottom w:val="single" w:sz="4" w:space="0" w:color="auto"/>
              <w:right w:val="single" w:sz="4" w:space="0" w:color="auto"/>
            </w:tcBorders>
            <w:vAlign w:val="center"/>
          </w:tcPr>
          <w:p w14:paraId="73412B2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438" w:type="dxa"/>
            <w:tcBorders>
              <w:top w:val="single" w:sz="4" w:space="0" w:color="auto"/>
              <w:left w:val="single" w:sz="4" w:space="0" w:color="auto"/>
              <w:bottom w:val="single" w:sz="4" w:space="0" w:color="auto"/>
              <w:right w:val="single" w:sz="4" w:space="0" w:color="auto"/>
            </w:tcBorders>
            <w:vAlign w:val="center"/>
          </w:tcPr>
          <w:p w14:paraId="2622AB67"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1B1655AD"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7" w:type="dxa"/>
            <w:tcBorders>
              <w:top w:val="single" w:sz="4" w:space="0" w:color="auto"/>
              <w:left w:val="single" w:sz="4" w:space="0" w:color="auto"/>
              <w:bottom w:val="single" w:sz="4" w:space="0" w:color="auto"/>
              <w:right w:val="single" w:sz="4" w:space="0" w:color="auto"/>
            </w:tcBorders>
            <w:vAlign w:val="center"/>
          </w:tcPr>
          <w:p w14:paraId="42E19DB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78" w:type="dxa"/>
            <w:tcBorders>
              <w:top w:val="single" w:sz="4" w:space="0" w:color="auto"/>
              <w:left w:val="single" w:sz="4" w:space="0" w:color="auto"/>
              <w:bottom w:val="single" w:sz="4" w:space="0" w:color="auto"/>
              <w:right w:val="single" w:sz="4" w:space="0" w:color="auto"/>
            </w:tcBorders>
            <w:vAlign w:val="center"/>
          </w:tcPr>
          <w:p w14:paraId="646C8DC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2" w:type="dxa"/>
            <w:tcBorders>
              <w:top w:val="single" w:sz="4" w:space="0" w:color="auto"/>
              <w:left w:val="single" w:sz="4" w:space="0" w:color="auto"/>
              <w:bottom w:val="single" w:sz="4" w:space="0" w:color="auto"/>
              <w:right w:val="single" w:sz="4" w:space="0" w:color="auto"/>
            </w:tcBorders>
            <w:vAlign w:val="center"/>
          </w:tcPr>
          <w:p w14:paraId="3389229B"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69" w:type="dxa"/>
            <w:tcBorders>
              <w:top w:val="single" w:sz="4" w:space="0" w:color="auto"/>
              <w:left w:val="single" w:sz="4" w:space="0" w:color="auto"/>
              <w:bottom w:val="single" w:sz="4" w:space="0" w:color="auto"/>
              <w:right w:val="single" w:sz="4" w:space="0" w:color="auto"/>
            </w:tcBorders>
            <w:vAlign w:val="center"/>
          </w:tcPr>
          <w:p w14:paraId="2F015712"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r>
      <w:tr w:rsidR="00D75D2E" w:rsidRPr="00420C1B" w14:paraId="1E2FC374" w14:textId="77777777" w:rsidTr="007108ED">
        <w:trPr>
          <w:cantSplit/>
          <w:trHeight w:val="283"/>
          <w:jc w:val="center"/>
        </w:trPr>
        <w:tc>
          <w:tcPr>
            <w:tcW w:w="862" w:type="dxa"/>
            <w:vMerge/>
            <w:tcBorders>
              <w:left w:val="single" w:sz="4" w:space="0" w:color="auto"/>
              <w:right w:val="single" w:sz="4" w:space="0" w:color="auto"/>
            </w:tcBorders>
            <w:textDirection w:val="btLr"/>
            <w:vAlign w:val="center"/>
          </w:tcPr>
          <w:p w14:paraId="0BE8B064" w14:textId="77777777" w:rsidR="00ED17F3" w:rsidRPr="00E737B4" w:rsidRDefault="00ED17F3" w:rsidP="007108ED">
            <w:pPr>
              <w:spacing w:after="0" w:line="240" w:lineRule="auto"/>
              <w:ind w:left="113" w:right="113"/>
              <w:jc w:val="center"/>
              <w:rPr>
                <w:rFonts w:ascii="Times New Roman" w:hAnsi="Times New Roman"/>
                <w:b/>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78C393E3"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Recrutement de la main d’œuvre</w:t>
            </w:r>
          </w:p>
        </w:tc>
        <w:tc>
          <w:tcPr>
            <w:tcW w:w="540" w:type="dxa"/>
            <w:tcBorders>
              <w:top w:val="single" w:sz="4" w:space="0" w:color="auto"/>
              <w:left w:val="single" w:sz="4" w:space="0" w:color="auto"/>
              <w:bottom w:val="single" w:sz="4" w:space="0" w:color="auto"/>
              <w:right w:val="single" w:sz="4" w:space="0" w:color="auto"/>
            </w:tcBorders>
            <w:vAlign w:val="center"/>
          </w:tcPr>
          <w:p w14:paraId="020D681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575E571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593F5A4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6E76651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4F11691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69F97EA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237DC58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B10CB7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3E59E61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19DC44F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324D837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62B8D1E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675A7AA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82" w:type="dxa"/>
            <w:tcBorders>
              <w:top w:val="single" w:sz="4" w:space="0" w:color="auto"/>
              <w:left w:val="single" w:sz="4" w:space="0" w:color="auto"/>
              <w:bottom w:val="single" w:sz="4" w:space="0" w:color="auto"/>
              <w:right w:val="single" w:sz="4" w:space="0" w:color="auto"/>
            </w:tcBorders>
            <w:vAlign w:val="center"/>
          </w:tcPr>
          <w:p w14:paraId="1520B87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23520FA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r>
      <w:tr w:rsidR="00D75D2E" w:rsidRPr="00420C1B" w14:paraId="6DF3FA30" w14:textId="77777777" w:rsidTr="007108ED">
        <w:trPr>
          <w:cantSplit/>
          <w:trHeight w:val="283"/>
          <w:jc w:val="center"/>
        </w:trPr>
        <w:tc>
          <w:tcPr>
            <w:tcW w:w="862" w:type="dxa"/>
            <w:vMerge/>
            <w:tcBorders>
              <w:left w:val="single" w:sz="4" w:space="0" w:color="auto"/>
              <w:right w:val="single" w:sz="4" w:space="0" w:color="auto"/>
            </w:tcBorders>
            <w:vAlign w:val="center"/>
          </w:tcPr>
          <w:p w14:paraId="2969F2B0" w14:textId="77777777" w:rsidR="00ED17F3" w:rsidRPr="00E737B4" w:rsidRDefault="00ED17F3" w:rsidP="007108ED">
            <w:pPr>
              <w:spacing w:after="0" w:line="240" w:lineRule="auto"/>
              <w:jc w:val="center"/>
              <w:rPr>
                <w:rFonts w:ascii="Times New Roman" w:hAnsi="Times New Roman"/>
                <w:b/>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60901098"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Transport et circulation de main d’œuvre, machinerie et matériaux</w:t>
            </w:r>
          </w:p>
        </w:tc>
        <w:tc>
          <w:tcPr>
            <w:tcW w:w="540" w:type="dxa"/>
            <w:tcBorders>
              <w:top w:val="single" w:sz="4" w:space="0" w:color="auto"/>
              <w:left w:val="single" w:sz="4" w:space="0" w:color="auto"/>
              <w:bottom w:val="single" w:sz="4" w:space="0" w:color="auto"/>
              <w:right w:val="single" w:sz="4" w:space="0" w:color="auto"/>
            </w:tcBorders>
            <w:vAlign w:val="center"/>
          </w:tcPr>
          <w:p w14:paraId="11D97C1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5F79AB1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59A6329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57EF36B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0F12503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4C9B0F2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73A0996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732A605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3BBE7B3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1589BAD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5FD14CA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7B76833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0C960D4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2" w:type="dxa"/>
            <w:tcBorders>
              <w:top w:val="single" w:sz="4" w:space="0" w:color="auto"/>
              <w:left w:val="single" w:sz="4" w:space="0" w:color="auto"/>
              <w:bottom w:val="single" w:sz="4" w:space="0" w:color="auto"/>
              <w:right w:val="single" w:sz="4" w:space="0" w:color="auto"/>
            </w:tcBorders>
            <w:vAlign w:val="center"/>
          </w:tcPr>
          <w:p w14:paraId="7387831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30BD6C6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1A29C52D" w14:textId="77777777" w:rsidTr="007108ED">
        <w:trPr>
          <w:cantSplit/>
          <w:trHeight w:val="283"/>
          <w:jc w:val="center"/>
        </w:trPr>
        <w:tc>
          <w:tcPr>
            <w:tcW w:w="862" w:type="dxa"/>
            <w:vMerge/>
            <w:tcBorders>
              <w:left w:val="single" w:sz="4" w:space="0" w:color="auto"/>
              <w:right w:val="single" w:sz="4" w:space="0" w:color="auto"/>
            </w:tcBorders>
            <w:vAlign w:val="center"/>
          </w:tcPr>
          <w:p w14:paraId="43D1F6AD" w14:textId="77777777" w:rsidR="00ED17F3" w:rsidRPr="00E737B4" w:rsidRDefault="00ED17F3" w:rsidP="007108ED">
            <w:pPr>
              <w:spacing w:after="0" w:line="240" w:lineRule="auto"/>
              <w:jc w:val="center"/>
              <w:rPr>
                <w:rFonts w:ascii="Times New Roman" w:hAnsi="Times New Roman"/>
                <w:b/>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68F132C5"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Plantation d’arbres de compensation</w:t>
            </w:r>
          </w:p>
        </w:tc>
        <w:tc>
          <w:tcPr>
            <w:tcW w:w="540" w:type="dxa"/>
            <w:tcBorders>
              <w:top w:val="single" w:sz="4" w:space="0" w:color="auto"/>
              <w:left w:val="single" w:sz="4" w:space="0" w:color="auto"/>
              <w:bottom w:val="single" w:sz="4" w:space="0" w:color="auto"/>
              <w:right w:val="single" w:sz="4" w:space="0" w:color="auto"/>
            </w:tcBorders>
            <w:vAlign w:val="center"/>
          </w:tcPr>
          <w:p w14:paraId="0835AD4D"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0E460E82"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30A7592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1F143BC2"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562" w:type="dxa"/>
            <w:tcBorders>
              <w:top w:val="single" w:sz="4" w:space="0" w:color="auto"/>
              <w:left w:val="single" w:sz="4" w:space="0" w:color="auto"/>
              <w:bottom w:val="single" w:sz="4" w:space="0" w:color="auto"/>
              <w:right w:val="single" w:sz="4" w:space="0" w:color="auto"/>
            </w:tcBorders>
            <w:vAlign w:val="center"/>
          </w:tcPr>
          <w:p w14:paraId="66454E5A"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441" w:type="dxa"/>
            <w:tcBorders>
              <w:top w:val="single" w:sz="4" w:space="0" w:color="auto"/>
              <w:left w:val="single" w:sz="4" w:space="0" w:color="auto"/>
              <w:bottom w:val="single" w:sz="4" w:space="0" w:color="auto"/>
              <w:right w:val="single" w:sz="4" w:space="0" w:color="auto"/>
            </w:tcBorders>
            <w:vAlign w:val="center"/>
          </w:tcPr>
          <w:p w14:paraId="0BDBBA7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709" w:type="dxa"/>
            <w:tcBorders>
              <w:top w:val="single" w:sz="4" w:space="0" w:color="auto"/>
              <w:left w:val="single" w:sz="4" w:space="0" w:color="auto"/>
              <w:bottom w:val="single" w:sz="4" w:space="0" w:color="auto"/>
              <w:right w:val="single" w:sz="4" w:space="0" w:color="auto"/>
            </w:tcBorders>
            <w:vAlign w:val="center"/>
          </w:tcPr>
          <w:p w14:paraId="078D7D6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437" w:type="dxa"/>
            <w:tcBorders>
              <w:top w:val="single" w:sz="4" w:space="0" w:color="auto"/>
              <w:left w:val="single" w:sz="4" w:space="0" w:color="auto"/>
              <w:bottom w:val="single" w:sz="4" w:space="0" w:color="auto"/>
              <w:right w:val="single" w:sz="4" w:space="0" w:color="auto"/>
            </w:tcBorders>
            <w:vAlign w:val="center"/>
          </w:tcPr>
          <w:p w14:paraId="5A10191A"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584" w:type="dxa"/>
            <w:tcBorders>
              <w:top w:val="single" w:sz="4" w:space="0" w:color="auto"/>
              <w:left w:val="single" w:sz="4" w:space="0" w:color="auto"/>
              <w:bottom w:val="single" w:sz="4" w:space="0" w:color="auto"/>
              <w:right w:val="single" w:sz="4" w:space="0" w:color="auto"/>
            </w:tcBorders>
            <w:vAlign w:val="center"/>
          </w:tcPr>
          <w:p w14:paraId="369FE7F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438" w:type="dxa"/>
            <w:tcBorders>
              <w:top w:val="single" w:sz="4" w:space="0" w:color="auto"/>
              <w:left w:val="single" w:sz="4" w:space="0" w:color="auto"/>
              <w:bottom w:val="single" w:sz="4" w:space="0" w:color="auto"/>
              <w:right w:val="single" w:sz="4" w:space="0" w:color="auto"/>
            </w:tcBorders>
            <w:vAlign w:val="center"/>
          </w:tcPr>
          <w:p w14:paraId="2F93C42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52D9E86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7" w:type="dxa"/>
            <w:tcBorders>
              <w:top w:val="single" w:sz="4" w:space="0" w:color="auto"/>
              <w:left w:val="single" w:sz="4" w:space="0" w:color="auto"/>
              <w:bottom w:val="single" w:sz="4" w:space="0" w:color="auto"/>
              <w:right w:val="single" w:sz="4" w:space="0" w:color="auto"/>
            </w:tcBorders>
            <w:vAlign w:val="center"/>
          </w:tcPr>
          <w:p w14:paraId="0CB6CE5B"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78" w:type="dxa"/>
            <w:tcBorders>
              <w:top w:val="single" w:sz="4" w:space="0" w:color="auto"/>
              <w:left w:val="single" w:sz="4" w:space="0" w:color="auto"/>
              <w:bottom w:val="single" w:sz="4" w:space="0" w:color="auto"/>
              <w:right w:val="single" w:sz="4" w:space="0" w:color="auto"/>
            </w:tcBorders>
            <w:vAlign w:val="center"/>
          </w:tcPr>
          <w:p w14:paraId="5C173F57"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682" w:type="dxa"/>
            <w:tcBorders>
              <w:top w:val="single" w:sz="4" w:space="0" w:color="auto"/>
              <w:left w:val="single" w:sz="4" w:space="0" w:color="auto"/>
              <w:bottom w:val="single" w:sz="4" w:space="0" w:color="auto"/>
              <w:right w:val="single" w:sz="4" w:space="0" w:color="auto"/>
            </w:tcBorders>
            <w:vAlign w:val="center"/>
          </w:tcPr>
          <w:p w14:paraId="02E5D4F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669" w:type="dxa"/>
            <w:tcBorders>
              <w:top w:val="single" w:sz="4" w:space="0" w:color="auto"/>
              <w:left w:val="single" w:sz="4" w:space="0" w:color="auto"/>
              <w:bottom w:val="single" w:sz="4" w:space="0" w:color="auto"/>
              <w:right w:val="single" w:sz="4" w:space="0" w:color="auto"/>
            </w:tcBorders>
            <w:vAlign w:val="center"/>
          </w:tcPr>
          <w:p w14:paraId="46287BF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r>
      <w:tr w:rsidR="00D75D2E" w:rsidRPr="00420C1B" w14:paraId="72FE3882" w14:textId="77777777" w:rsidTr="007108ED">
        <w:trPr>
          <w:cantSplit/>
          <w:trHeight w:val="283"/>
          <w:jc w:val="center"/>
        </w:trPr>
        <w:tc>
          <w:tcPr>
            <w:tcW w:w="862" w:type="dxa"/>
            <w:vMerge/>
            <w:tcBorders>
              <w:left w:val="single" w:sz="4" w:space="0" w:color="auto"/>
              <w:right w:val="single" w:sz="4" w:space="0" w:color="auto"/>
            </w:tcBorders>
            <w:vAlign w:val="center"/>
          </w:tcPr>
          <w:p w14:paraId="4F7E0A2A" w14:textId="77777777" w:rsidR="00ED17F3" w:rsidRPr="00E737B4" w:rsidRDefault="00ED17F3" w:rsidP="007108ED">
            <w:pPr>
              <w:spacing w:after="0" w:line="240" w:lineRule="auto"/>
              <w:jc w:val="center"/>
              <w:rPr>
                <w:rFonts w:ascii="Times New Roman" w:hAnsi="Times New Roman"/>
                <w:b/>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3158DDA7"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Repli du chantier</w:t>
            </w:r>
          </w:p>
        </w:tc>
        <w:tc>
          <w:tcPr>
            <w:tcW w:w="540" w:type="dxa"/>
            <w:tcBorders>
              <w:top w:val="single" w:sz="4" w:space="0" w:color="auto"/>
              <w:left w:val="single" w:sz="4" w:space="0" w:color="auto"/>
              <w:bottom w:val="single" w:sz="4" w:space="0" w:color="auto"/>
              <w:right w:val="single" w:sz="4" w:space="0" w:color="auto"/>
            </w:tcBorders>
            <w:vAlign w:val="center"/>
          </w:tcPr>
          <w:p w14:paraId="393C14D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50F7D597"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4EC9F41F"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34A7232D"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562" w:type="dxa"/>
            <w:tcBorders>
              <w:top w:val="single" w:sz="4" w:space="0" w:color="auto"/>
              <w:left w:val="single" w:sz="4" w:space="0" w:color="auto"/>
              <w:bottom w:val="single" w:sz="4" w:space="0" w:color="auto"/>
              <w:right w:val="single" w:sz="4" w:space="0" w:color="auto"/>
            </w:tcBorders>
            <w:vAlign w:val="center"/>
          </w:tcPr>
          <w:p w14:paraId="0AFD4DF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P</w:t>
            </w:r>
          </w:p>
        </w:tc>
        <w:tc>
          <w:tcPr>
            <w:tcW w:w="441" w:type="dxa"/>
            <w:tcBorders>
              <w:top w:val="single" w:sz="4" w:space="0" w:color="auto"/>
              <w:left w:val="single" w:sz="4" w:space="0" w:color="auto"/>
              <w:bottom w:val="single" w:sz="4" w:space="0" w:color="auto"/>
              <w:right w:val="single" w:sz="4" w:space="0" w:color="auto"/>
            </w:tcBorders>
            <w:vAlign w:val="center"/>
          </w:tcPr>
          <w:p w14:paraId="32A5B82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709" w:type="dxa"/>
            <w:tcBorders>
              <w:top w:val="single" w:sz="4" w:space="0" w:color="auto"/>
              <w:left w:val="single" w:sz="4" w:space="0" w:color="auto"/>
              <w:bottom w:val="single" w:sz="4" w:space="0" w:color="auto"/>
              <w:right w:val="single" w:sz="4" w:space="0" w:color="auto"/>
            </w:tcBorders>
            <w:vAlign w:val="center"/>
          </w:tcPr>
          <w:p w14:paraId="1A978B50"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42C8444B"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584" w:type="dxa"/>
            <w:tcBorders>
              <w:top w:val="single" w:sz="4" w:space="0" w:color="auto"/>
              <w:left w:val="single" w:sz="4" w:space="0" w:color="auto"/>
              <w:bottom w:val="single" w:sz="4" w:space="0" w:color="auto"/>
              <w:right w:val="single" w:sz="4" w:space="0" w:color="auto"/>
            </w:tcBorders>
            <w:vAlign w:val="center"/>
          </w:tcPr>
          <w:p w14:paraId="17F0CEF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438" w:type="dxa"/>
            <w:tcBorders>
              <w:top w:val="single" w:sz="4" w:space="0" w:color="auto"/>
              <w:left w:val="single" w:sz="4" w:space="0" w:color="auto"/>
              <w:bottom w:val="single" w:sz="4" w:space="0" w:color="auto"/>
              <w:right w:val="single" w:sz="4" w:space="0" w:color="auto"/>
            </w:tcBorders>
            <w:vAlign w:val="center"/>
          </w:tcPr>
          <w:p w14:paraId="0C4155F1"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418AC176"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7" w:type="dxa"/>
            <w:tcBorders>
              <w:top w:val="single" w:sz="4" w:space="0" w:color="auto"/>
              <w:left w:val="single" w:sz="4" w:space="0" w:color="auto"/>
              <w:bottom w:val="single" w:sz="4" w:space="0" w:color="auto"/>
              <w:right w:val="single" w:sz="4" w:space="0" w:color="auto"/>
            </w:tcBorders>
            <w:vAlign w:val="center"/>
          </w:tcPr>
          <w:p w14:paraId="032CAD9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78" w:type="dxa"/>
            <w:tcBorders>
              <w:top w:val="single" w:sz="4" w:space="0" w:color="auto"/>
              <w:left w:val="single" w:sz="4" w:space="0" w:color="auto"/>
              <w:bottom w:val="single" w:sz="4" w:space="0" w:color="auto"/>
              <w:right w:val="single" w:sz="4" w:space="0" w:color="auto"/>
            </w:tcBorders>
            <w:vAlign w:val="center"/>
          </w:tcPr>
          <w:p w14:paraId="640BB4D8"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2" w:type="dxa"/>
            <w:tcBorders>
              <w:top w:val="single" w:sz="4" w:space="0" w:color="auto"/>
              <w:left w:val="single" w:sz="4" w:space="0" w:color="auto"/>
              <w:bottom w:val="single" w:sz="4" w:space="0" w:color="auto"/>
              <w:right w:val="single" w:sz="4" w:space="0" w:color="auto"/>
            </w:tcBorders>
            <w:vAlign w:val="center"/>
          </w:tcPr>
          <w:p w14:paraId="3025B783"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69" w:type="dxa"/>
            <w:tcBorders>
              <w:top w:val="single" w:sz="4" w:space="0" w:color="auto"/>
              <w:left w:val="single" w:sz="4" w:space="0" w:color="auto"/>
              <w:bottom w:val="single" w:sz="4" w:space="0" w:color="auto"/>
              <w:right w:val="single" w:sz="4" w:space="0" w:color="auto"/>
            </w:tcBorders>
            <w:vAlign w:val="center"/>
          </w:tcPr>
          <w:p w14:paraId="31FDDC6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r>
      <w:tr w:rsidR="00D75D2E" w:rsidRPr="00420C1B" w14:paraId="54914F4D" w14:textId="77777777" w:rsidTr="007108ED">
        <w:trPr>
          <w:cantSplit/>
          <w:trHeight w:val="196"/>
          <w:jc w:val="center"/>
        </w:trPr>
        <w:tc>
          <w:tcPr>
            <w:tcW w:w="862" w:type="dxa"/>
            <w:vMerge w:val="restart"/>
            <w:tcBorders>
              <w:top w:val="single" w:sz="4" w:space="0" w:color="auto"/>
              <w:left w:val="single" w:sz="4" w:space="0" w:color="auto"/>
              <w:right w:val="single" w:sz="4" w:space="0" w:color="auto"/>
            </w:tcBorders>
            <w:textDirection w:val="btLr"/>
          </w:tcPr>
          <w:p w14:paraId="1DCAB72F"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r w:rsidRPr="00E737B4">
              <w:rPr>
                <w:rFonts w:ascii="Times New Roman" w:eastAsia="Times New Roman" w:hAnsi="Times New Roman"/>
                <w:b/>
                <w:bCs/>
                <w:sz w:val="20"/>
                <w:lang w:eastAsia="fr-FR"/>
              </w:rPr>
              <w:t>EXPLOITA-TION</w:t>
            </w:r>
          </w:p>
        </w:tc>
        <w:tc>
          <w:tcPr>
            <w:tcW w:w="6217" w:type="dxa"/>
            <w:tcBorders>
              <w:top w:val="single" w:sz="4" w:space="0" w:color="auto"/>
              <w:left w:val="single" w:sz="4" w:space="0" w:color="auto"/>
              <w:bottom w:val="single" w:sz="4" w:space="0" w:color="auto"/>
              <w:right w:val="single" w:sz="4" w:space="0" w:color="auto"/>
            </w:tcBorders>
            <w:vAlign w:val="center"/>
          </w:tcPr>
          <w:p w14:paraId="04E2458B"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Circulation des véhicules de maintenance et de suivi</w:t>
            </w:r>
          </w:p>
        </w:tc>
        <w:tc>
          <w:tcPr>
            <w:tcW w:w="540" w:type="dxa"/>
            <w:tcBorders>
              <w:top w:val="single" w:sz="4" w:space="0" w:color="auto"/>
              <w:left w:val="single" w:sz="4" w:space="0" w:color="auto"/>
              <w:bottom w:val="single" w:sz="4" w:space="0" w:color="auto"/>
              <w:right w:val="single" w:sz="4" w:space="0" w:color="auto"/>
            </w:tcBorders>
            <w:vAlign w:val="center"/>
          </w:tcPr>
          <w:p w14:paraId="7792933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4D26041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4677A3D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76D680B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1E15037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2732A00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5C3133E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66A13A8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525002F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628DE1F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7821C73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42E3B18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341ED60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682" w:type="dxa"/>
            <w:tcBorders>
              <w:top w:val="single" w:sz="4" w:space="0" w:color="auto"/>
              <w:left w:val="single" w:sz="4" w:space="0" w:color="auto"/>
              <w:bottom w:val="single" w:sz="4" w:space="0" w:color="auto"/>
              <w:right w:val="single" w:sz="4" w:space="0" w:color="auto"/>
            </w:tcBorders>
            <w:vAlign w:val="center"/>
          </w:tcPr>
          <w:p w14:paraId="1E05645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4FE663D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6114D368" w14:textId="77777777" w:rsidTr="007108ED">
        <w:trPr>
          <w:cantSplit/>
          <w:trHeight w:val="196"/>
          <w:jc w:val="center"/>
        </w:trPr>
        <w:tc>
          <w:tcPr>
            <w:tcW w:w="862" w:type="dxa"/>
            <w:vMerge/>
            <w:tcBorders>
              <w:top w:val="single" w:sz="4" w:space="0" w:color="auto"/>
              <w:left w:val="single" w:sz="4" w:space="0" w:color="auto"/>
              <w:right w:val="single" w:sz="4" w:space="0" w:color="auto"/>
            </w:tcBorders>
            <w:textDirection w:val="btLr"/>
          </w:tcPr>
          <w:p w14:paraId="659C2426"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3223A437"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Réhabilitation du réseau d’éclairage et de montage des lanternes</w:t>
            </w:r>
          </w:p>
        </w:tc>
        <w:tc>
          <w:tcPr>
            <w:tcW w:w="540" w:type="dxa"/>
            <w:tcBorders>
              <w:top w:val="single" w:sz="4" w:space="0" w:color="auto"/>
              <w:left w:val="single" w:sz="4" w:space="0" w:color="auto"/>
              <w:bottom w:val="single" w:sz="4" w:space="0" w:color="auto"/>
              <w:right w:val="single" w:sz="4" w:space="0" w:color="auto"/>
            </w:tcBorders>
            <w:vAlign w:val="center"/>
          </w:tcPr>
          <w:p w14:paraId="1C5FA6B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1C8BF1C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3FC65E3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381858E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1917DE0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43AE78C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175C654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4EA524D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3083F93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51FD99E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0905758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317B852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78" w:type="dxa"/>
            <w:tcBorders>
              <w:top w:val="single" w:sz="4" w:space="0" w:color="auto"/>
              <w:left w:val="single" w:sz="4" w:space="0" w:color="auto"/>
              <w:bottom w:val="single" w:sz="4" w:space="0" w:color="auto"/>
              <w:right w:val="single" w:sz="4" w:space="0" w:color="auto"/>
            </w:tcBorders>
            <w:vAlign w:val="center"/>
          </w:tcPr>
          <w:p w14:paraId="6AAF13D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82" w:type="dxa"/>
            <w:tcBorders>
              <w:top w:val="single" w:sz="4" w:space="0" w:color="auto"/>
              <w:left w:val="single" w:sz="4" w:space="0" w:color="auto"/>
              <w:bottom w:val="single" w:sz="4" w:space="0" w:color="auto"/>
              <w:right w:val="single" w:sz="4" w:space="0" w:color="auto"/>
            </w:tcBorders>
            <w:vAlign w:val="center"/>
          </w:tcPr>
          <w:p w14:paraId="5998D23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56C5107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r>
      <w:tr w:rsidR="00D75D2E" w:rsidRPr="00420C1B" w14:paraId="1914C874" w14:textId="77777777" w:rsidTr="007108ED">
        <w:trPr>
          <w:cantSplit/>
          <w:trHeight w:val="196"/>
          <w:jc w:val="center"/>
        </w:trPr>
        <w:tc>
          <w:tcPr>
            <w:tcW w:w="862" w:type="dxa"/>
            <w:vMerge/>
            <w:tcBorders>
              <w:top w:val="single" w:sz="4" w:space="0" w:color="auto"/>
              <w:left w:val="single" w:sz="4" w:space="0" w:color="auto"/>
              <w:right w:val="single" w:sz="4" w:space="0" w:color="auto"/>
            </w:tcBorders>
            <w:textDirection w:val="btLr"/>
          </w:tcPr>
          <w:p w14:paraId="76FF2F7E"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36CDF880"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Exploitation des installations (raccordement au réseau des abonnés)</w:t>
            </w:r>
          </w:p>
        </w:tc>
        <w:tc>
          <w:tcPr>
            <w:tcW w:w="540" w:type="dxa"/>
            <w:tcBorders>
              <w:top w:val="single" w:sz="4" w:space="0" w:color="auto"/>
              <w:left w:val="single" w:sz="4" w:space="0" w:color="auto"/>
              <w:bottom w:val="single" w:sz="4" w:space="0" w:color="auto"/>
              <w:right w:val="single" w:sz="4" w:space="0" w:color="auto"/>
            </w:tcBorders>
            <w:vAlign w:val="center"/>
          </w:tcPr>
          <w:p w14:paraId="16C3069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52DFA7C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6933E1C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066A0F8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2DE34FC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0478E1B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2C78AB9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2C5C4FF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6C75B8A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7B3B039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2206898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6FD7FF9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78" w:type="dxa"/>
            <w:tcBorders>
              <w:top w:val="single" w:sz="4" w:space="0" w:color="auto"/>
              <w:left w:val="single" w:sz="4" w:space="0" w:color="auto"/>
              <w:bottom w:val="single" w:sz="4" w:space="0" w:color="auto"/>
              <w:right w:val="single" w:sz="4" w:space="0" w:color="auto"/>
            </w:tcBorders>
            <w:vAlign w:val="center"/>
          </w:tcPr>
          <w:p w14:paraId="4C7589D1"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82" w:type="dxa"/>
            <w:tcBorders>
              <w:top w:val="single" w:sz="4" w:space="0" w:color="auto"/>
              <w:left w:val="single" w:sz="4" w:space="0" w:color="auto"/>
              <w:bottom w:val="single" w:sz="4" w:space="0" w:color="auto"/>
              <w:right w:val="single" w:sz="4" w:space="0" w:color="auto"/>
            </w:tcBorders>
            <w:vAlign w:val="center"/>
          </w:tcPr>
          <w:p w14:paraId="5434ECD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69" w:type="dxa"/>
            <w:tcBorders>
              <w:top w:val="single" w:sz="4" w:space="0" w:color="auto"/>
              <w:left w:val="single" w:sz="4" w:space="0" w:color="auto"/>
              <w:bottom w:val="single" w:sz="4" w:space="0" w:color="auto"/>
              <w:right w:val="single" w:sz="4" w:space="0" w:color="auto"/>
            </w:tcBorders>
            <w:vAlign w:val="center"/>
          </w:tcPr>
          <w:p w14:paraId="0D6FE79A"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r>
      <w:tr w:rsidR="00D75D2E" w:rsidRPr="00420C1B" w14:paraId="6CF3AC0A" w14:textId="77777777" w:rsidTr="007108ED">
        <w:trPr>
          <w:cantSplit/>
          <w:trHeight w:val="196"/>
          <w:jc w:val="center"/>
        </w:trPr>
        <w:tc>
          <w:tcPr>
            <w:tcW w:w="862" w:type="dxa"/>
            <w:vMerge/>
            <w:tcBorders>
              <w:top w:val="single" w:sz="4" w:space="0" w:color="auto"/>
              <w:left w:val="single" w:sz="4" w:space="0" w:color="auto"/>
              <w:right w:val="single" w:sz="4" w:space="0" w:color="auto"/>
            </w:tcBorders>
            <w:textDirection w:val="btLr"/>
          </w:tcPr>
          <w:p w14:paraId="4D5AC4E2" w14:textId="77777777" w:rsidR="00ED17F3" w:rsidRPr="00E737B4" w:rsidRDefault="00ED17F3" w:rsidP="007108ED">
            <w:pPr>
              <w:spacing w:after="0" w:line="240" w:lineRule="auto"/>
              <w:ind w:left="113" w:right="113"/>
              <w:jc w:val="center"/>
              <w:rPr>
                <w:rFonts w:ascii="Times New Roman" w:eastAsia="Times New Roman" w:hAnsi="Times New Roman"/>
                <w:b/>
                <w:bCs/>
                <w:sz w:val="20"/>
                <w:lang w:eastAsia="fr-FR"/>
              </w:rPr>
            </w:pPr>
          </w:p>
        </w:tc>
        <w:tc>
          <w:tcPr>
            <w:tcW w:w="6217" w:type="dxa"/>
            <w:tcBorders>
              <w:top w:val="single" w:sz="4" w:space="0" w:color="auto"/>
              <w:left w:val="single" w:sz="4" w:space="0" w:color="auto"/>
              <w:bottom w:val="single" w:sz="4" w:space="0" w:color="auto"/>
              <w:right w:val="single" w:sz="4" w:space="0" w:color="auto"/>
            </w:tcBorders>
            <w:vAlign w:val="center"/>
          </w:tcPr>
          <w:p w14:paraId="2E3FFB87"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Installation des compteurs prépayés</w:t>
            </w:r>
          </w:p>
        </w:tc>
        <w:tc>
          <w:tcPr>
            <w:tcW w:w="540" w:type="dxa"/>
            <w:tcBorders>
              <w:top w:val="single" w:sz="4" w:space="0" w:color="auto"/>
              <w:left w:val="single" w:sz="4" w:space="0" w:color="auto"/>
              <w:bottom w:val="single" w:sz="4" w:space="0" w:color="auto"/>
              <w:right w:val="single" w:sz="4" w:space="0" w:color="auto"/>
            </w:tcBorders>
            <w:vAlign w:val="center"/>
          </w:tcPr>
          <w:p w14:paraId="67A1335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2E3AC35B"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1F65497C"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0BC0E23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62" w:type="dxa"/>
            <w:tcBorders>
              <w:top w:val="single" w:sz="4" w:space="0" w:color="auto"/>
              <w:left w:val="single" w:sz="4" w:space="0" w:color="auto"/>
              <w:bottom w:val="single" w:sz="4" w:space="0" w:color="auto"/>
              <w:right w:val="single" w:sz="4" w:space="0" w:color="auto"/>
            </w:tcBorders>
            <w:vAlign w:val="center"/>
          </w:tcPr>
          <w:p w14:paraId="01B2BBA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40D602E8"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709" w:type="dxa"/>
            <w:tcBorders>
              <w:top w:val="single" w:sz="4" w:space="0" w:color="auto"/>
              <w:left w:val="single" w:sz="4" w:space="0" w:color="auto"/>
              <w:bottom w:val="single" w:sz="4" w:space="0" w:color="auto"/>
              <w:right w:val="single" w:sz="4" w:space="0" w:color="auto"/>
            </w:tcBorders>
            <w:vAlign w:val="center"/>
          </w:tcPr>
          <w:p w14:paraId="6D3A672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7" w:type="dxa"/>
            <w:tcBorders>
              <w:top w:val="single" w:sz="4" w:space="0" w:color="auto"/>
              <w:left w:val="single" w:sz="4" w:space="0" w:color="auto"/>
              <w:bottom w:val="single" w:sz="4" w:space="0" w:color="auto"/>
              <w:right w:val="single" w:sz="4" w:space="0" w:color="auto"/>
            </w:tcBorders>
            <w:vAlign w:val="center"/>
          </w:tcPr>
          <w:p w14:paraId="74954BF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584" w:type="dxa"/>
            <w:tcBorders>
              <w:top w:val="single" w:sz="4" w:space="0" w:color="auto"/>
              <w:left w:val="single" w:sz="4" w:space="0" w:color="auto"/>
              <w:bottom w:val="single" w:sz="4" w:space="0" w:color="auto"/>
              <w:right w:val="single" w:sz="4" w:space="0" w:color="auto"/>
            </w:tcBorders>
            <w:vAlign w:val="center"/>
          </w:tcPr>
          <w:p w14:paraId="1E8F3CB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7817E13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4727B413"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593426A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78" w:type="dxa"/>
            <w:tcBorders>
              <w:top w:val="single" w:sz="4" w:space="0" w:color="auto"/>
              <w:left w:val="single" w:sz="4" w:space="0" w:color="auto"/>
              <w:bottom w:val="single" w:sz="4" w:space="0" w:color="auto"/>
              <w:right w:val="single" w:sz="4" w:space="0" w:color="auto"/>
            </w:tcBorders>
            <w:vAlign w:val="center"/>
          </w:tcPr>
          <w:p w14:paraId="40BAAD47"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82" w:type="dxa"/>
            <w:tcBorders>
              <w:top w:val="single" w:sz="4" w:space="0" w:color="auto"/>
              <w:left w:val="single" w:sz="4" w:space="0" w:color="auto"/>
              <w:bottom w:val="single" w:sz="4" w:space="0" w:color="auto"/>
              <w:right w:val="single" w:sz="4" w:space="0" w:color="auto"/>
            </w:tcBorders>
            <w:vAlign w:val="center"/>
          </w:tcPr>
          <w:p w14:paraId="54965EE0"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c>
          <w:tcPr>
            <w:tcW w:w="669" w:type="dxa"/>
            <w:tcBorders>
              <w:top w:val="single" w:sz="4" w:space="0" w:color="auto"/>
              <w:left w:val="single" w:sz="4" w:space="0" w:color="auto"/>
              <w:bottom w:val="single" w:sz="4" w:space="0" w:color="auto"/>
              <w:right w:val="single" w:sz="4" w:space="0" w:color="auto"/>
            </w:tcBorders>
            <w:vAlign w:val="center"/>
          </w:tcPr>
          <w:p w14:paraId="27C2884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P</w:t>
            </w:r>
          </w:p>
        </w:tc>
      </w:tr>
      <w:tr w:rsidR="00D75D2E" w:rsidRPr="00420C1B" w14:paraId="39DE3F98" w14:textId="77777777" w:rsidTr="007108ED">
        <w:trPr>
          <w:cantSplit/>
          <w:trHeight w:val="283"/>
          <w:jc w:val="center"/>
        </w:trPr>
        <w:tc>
          <w:tcPr>
            <w:tcW w:w="862" w:type="dxa"/>
            <w:vMerge/>
            <w:tcBorders>
              <w:left w:val="single" w:sz="4" w:space="0" w:color="auto"/>
              <w:right w:val="single" w:sz="4" w:space="0" w:color="auto"/>
            </w:tcBorders>
            <w:vAlign w:val="center"/>
          </w:tcPr>
          <w:p w14:paraId="5B1BF311" w14:textId="77777777" w:rsidR="00ED17F3" w:rsidRPr="00E737B4" w:rsidRDefault="00ED17F3" w:rsidP="007108ED">
            <w:pPr>
              <w:spacing w:after="0" w:line="240" w:lineRule="auto"/>
              <w:jc w:val="both"/>
              <w:rPr>
                <w:rFonts w:ascii="Times New Roman" w:hAnsi="Times New Roman"/>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5A48C1B2" w14:textId="77777777" w:rsidR="00ED17F3" w:rsidRPr="00E737B4" w:rsidRDefault="00ED17F3" w:rsidP="007108ED">
            <w:p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Circulations des usagers </w:t>
            </w:r>
          </w:p>
        </w:tc>
        <w:tc>
          <w:tcPr>
            <w:tcW w:w="540" w:type="dxa"/>
            <w:tcBorders>
              <w:top w:val="single" w:sz="4" w:space="0" w:color="auto"/>
              <w:left w:val="single" w:sz="4" w:space="0" w:color="auto"/>
              <w:bottom w:val="single" w:sz="4" w:space="0" w:color="auto"/>
              <w:right w:val="single" w:sz="4" w:space="0" w:color="auto"/>
            </w:tcBorders>
            <w:vAlign w:val="center"/>
          </w:tcPr>
          <w:p w14:paraId="343BA06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6E8682D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395634A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3B2E5CC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7CAB33E2"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41" w:type="dxa"/>
            <w:tcBorders>
              <w:top w:val="single" w:sz="4" w:space="0" w:color="auto"/>
              <w:left w:val="single" w:sz="4" w:space="0" w:color="auto"/>
              <w:bottom w:val="single" w:sz="4" w:space="0" w:color="auto"/>
              <w:right w:val="single" w:sz="4" w:space="0" w:color="auto"/>
            </w:tcBorders>
            <w:vAlign w:val="center"/>
          </w:tcPr>
          <w:p w14:paraId="4EF25844"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42310996"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6E499402"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17C00CB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P</w:t>
            </w:r>
          </w:p>
        </w:tc>
        <w:tc>
          <w:tcPr>
            <w:tcW w:w="438" w:type="dxa"/>
            <w:tcBorders>
              <w:top w:val="single" w:sz="4" w:space="0" w:color="auto"/>
              <w:left w:val="single" w:sz="4" w:space="0" w:color="auto"/>
              <w:bottom w:val="single" w:sz="4" w:space="0" w:color="auto"/>
              <w:right w:val="single" w:sz="4" w:space="0" w:color="auto"/>
            </w:tcBorders>
            <w:vAlign w:val="center"/>
          </w:tcPr>
          <w:p w14:paraId="3DB55373"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437" w:type="dxa"/>
            <w:tcBorders>
              <w:top w:val="single" w:sz="4" w:space="0" w:color="auto"/>
              <w:left w:val="single" w:sz="4" w:space="0" w:color="auto"/>
              <w:bottom w:val="single" w:sz="4" w:space="0" w:color="auto"/>
              <w:right w:val="single" w:sz="4" w:space="0" w:color="auto"/>
            </w:tcBorders>
            <w:vAlign w:val="center"/>
          </w:tcPr>
          <w:p w14:paraId="704F43BB"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687" w:type="dxa"/>
            <w:tcBorders>
              <w:top w:val="single" w:sz="4" w:space="0" w:color="auto"/>
              <w:left w:val="single" w:sz="4" w:space="0" w:color="auto"/>
              <w:bottom w:val="single" w:sz="4" w:space="0" w:color="auto"/>
              <w:right w:val="single" w:sz="4" w:space="0" w:color="auto"/>
            </w:tcBorders>
            <w:vAlign w:val="center"/>
          </w:tcPr>
          <w:p w14:paraId="2BE65EC9"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678" w:type="dxa"/>
            <w:tcBorders>
              <w:top w:val="single" w:sz="4" w:space="0" w:color="auto"/>
              <w:left w:val="single" w:sz="4" w:space="0" w:color="auto"/>
              <w:bottom w:val="single" w:sz="4" w:space="0" w:color="auto"/>
              <w:right w:val="single" w:sz="4" w:space="0" w:color="auto"/>
            </w:tcBorders>
            <w:vAlign w:val="center"/>
          </w:tcPr>
          <w:p w14:paraId="3FCF169E"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N</w:t>
            </w:r>
          </w:p>
        </w:tc>
        <w:tc>
          <w:tcPr>
            <w:tcW w:w="682" w:type="dxa"/>
            <w:tcBorders>
              <w:top w:val="single" w:sz="4" w:space="0" w:color="auto"/>
              <w:left w:val="single" w:sz="4" w:space="0" w:color="auto"/>
              <w:bottom w:val="single" w:sz="4" w:space="0" w:color="auto"/>
              <w:right w:val="single" w:sz="4" w:space="0" w:color="auto"/>
            </w:tcBorders>
            <w:vAlign w:val="center"/>
          </w:tcPr>
          <w:p w14:paraId="06A37DD3"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c>
          <w:tcPr>
            <w:tcW w:w="669" w:type="dxa"/>
            <w:tcBorders>
              <w:top w:val="single" w:sz="4" w:space="0" w:color="auto"/>
              <w:left w:val="single" w:sz="4" w:space="0" w:color="auto"/>
              <w:bottom w:val="single" w:sz="4" w:space="0" w:color="auto"/>
              <w:right w:val="single" w:sz="4" w:space="0" w:color="auto"/>
            </w:tcBorders>
            <w:vAlign w:val="center"/>
          </w:tcPr>
          <w:p w14:paraId="491EB3A3"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eastAsia="Times New Roman" w:hAnsi="Times New Roman"/>
                <w:sz w:val="20"/>
                <w:lang w:eastAsia="fr-FR"/>
              </w:rPr>
              <w:t>O</w:t>
            </w:r>
          </w:p>
        </w:tc>
      </w:tr>
      <w:tr w:rsidR="00D75D2E" w:rsidRPr="00420C1B" w14:paraId="743C6E53" w14:textId="77777777" w:rsidTr="007108ED">
        <w:trPr>
          <w:cantSplit/>
          <w:trHeight w:val="285"/>
          <w:jc w:val="center"/>
        </w:trPr>
        <w:tc>
          <w:tcPr>
            <w:tcW w:w="862" w:type="dxa"/>
            <w:vMerge/>
            <w:tcBorders>
              <w:left w:val="single" w:sz="4" w:space="0" w:color="auto"/>
              <w:right w:val="single" w:sz="4" w:space="0" w:color="auto"/>
            </w:tcBorders>
            <w:vAlign w:val="center"/>
          </w:tcPr>
          <w:p w14:paraId="1E3A79B8" w14:textId="77777777" w:rsidR="00ED17F3" w:rsidRPr="00E737B4" w:rsidRDefault="00ED17F3" w:rsidP="007108ED">
            <w:pPr>
              <w:spacing w:after="0" w:line="240" w:lineRule="auto"/>
              <w:jc w:val="both"/>
              <w:rPr>
                <w:rFonts w:ascii="Times New Roman" w:hAnsi="Times New Roman"/>
                <w:bCs/>
                <w:sz w:val="20"/>
              </w:rPr>
            </w:pPr>
          </w:p>
        </w:tc>
        <w:tc>
          <w:tcPr>
            <w:tcW w:w="6217" w:type="dxa"/>
            <w:tcBorders>
              <w:top w:val="single" w:sz="4" w:space="0" w:color="auto"/>
              <w:left w:val="single" w:sz="4" w:space="0" w:color="auto"/>
              <w:bottom w:val="single" w:sz="4" w:space="0" w:color="auto"/>
              <w:right w:val="single" w:sz="4" w:space="0" w:color="auto"/>
            </w:tcBorders>
            <w:vAlign w:val="center"/>
          </w:tcPr>
          <w:p w14:paraId="445C56F8" w14:textId="77777777" w:rsidR="00ED17F3" w:rsidRPr="00E737B4" w:rsidRDefault="00ED17F3" w:rsidP="007108ED">
            <w:pPr>
              <w:rPr>
                <w:rFonts w:ascii="Times New Roman" w:eastAsia="Times New Roman" w:hAnsi="Times New Roman"/>
                <w:sz w:val="20"/>
                <w:lang w:eastAsia="fr-FR"/>
              </w:rPr>
            </w:pPr>
            <w:r w:rsidRPr="00E737B4">
              <w:rPr>
                <w:rFonts w:ascii="Times New Roman" w:eastAsia="Times New Roman" w:hAnsi="Times New Roman"/>
                <w:sz w:val="20"/>
                <w:lang w:eastAsia="fr-FR"/>
              </w:rPr>
              <w:t>Suivi et entretien des installations existantes</w:t>
            </w:r>
          </w:p>
        </w:tc>
        <w:tc>
          <w:tcPr>
            <w:tcW w:w="540" w:type="dxa"/>
            <w:tcBorders>
              <w:top w:val="single" w:sz="4" w:space="0" w:color="auto"/>
              <w:left w:val="single" w:sz="4" w:space="0" w:color="auto"/>
              <w:bottom w:val="single" w:sz="4" w:space="0" w:color="auto"/>
              <w:right w:val="single" w:sz="4" w:space="0" w:color="auto"/>
            </w:tcBorders>
            <w:vAlign w:val="center"/>
          </w:tcPr>
          <w:p w14:paraId="25813AB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84" w:type="dxa"/>
            <w:tcBorders>
              <w:top w:val="single" w:sz="4" w:space="0" w:color="auto"/>
              <w:left w:val="single" w:sz="4" w:space="0" w:color="auto"/>
              <w:bottom w:val="single" w:sz="4" w:space="0" w:color="auto"/>
              <w:right w:val="single" w:sz="4" w:space="0" w:color="auto"/>
            </w:tcBorders>
            <w:vAlign w:val="center"/>
          </w:tcPr>
          <w:p w14:paraId="69B74BE9"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584" w:type="dxa"/>
            <w:tcBorders>
              <w:top w:val="single" w:sz="4" w:space="0" w:color="auto"/>
              <w:left w:val="single" w:sz="4" w:space="0" w:color="auto"/>
              <w:bottom w:val="single" w:sz="4" w:space="0" w:color="auto"/>
              <w:right w:val="single" w:sz="4" w:space="0" w:color="auto"/>
            </w:tcBorders>
            <w:vAlign w:val="center"/>
          </w:tcPr>
          <w:p w14:paraId="37E80F06"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437" w:type="dxa"/>
            <w:tcBorders>
              <w:top w:val="single" w:sz="4" w:space="0" w:color="auto"/>
              <w:left w:val="single" w:sz="4" w:space="0" w:color="auto"/>
              <w:bottom w:val="single" w:sz="4" w:space="0" w:color="auto"/>
              <w:right w:val="single" w:sz="4" w:space="0" w:color="auto"/>
            </w:tcBorders>
            <w:vAlign w:val="center"/>
          </w:tcPr>
          <w:p w14:paraId="5C9529CD"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562" w:type="dxa"/>
            <w:tcBorders>
              <w:top w:val="single" w:sz="4" w:space="0" w:color="auto"/>
              <w:left w:val="single" w:sz="4" w:space="0" w:color="auto"/>
              <w:bottom w:val="single" w:sz="4" w:space="0" w:color="auto"/>
              <w:right w:val="single" w:sz="4" w:space="0" w:color="auto"/>
            </w:tcBorders>
            <w:vAlign w:val="center"/>
          </w:tcPr>
          <w:p w14:paraId="61718865"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O</w:t>
            </w:r>
          </w:p>
        </w:tc>
        <w:tc>
          <w:tcPr>
            <w:tcW w:w="441" w:type="dxa"/>
            <w:tcBorders>
              <w:top w:val="single" w:sz="4" w:space="0" w:color="auto"/>
              <w:left w:val="single" w:sz="4" w:space="0" w:color="auto"/>
              <w:bottom w:val="single" w:sz="4" w:space="0" w:color="auto"/>
              <w:right w:val="single" w:sz="4" w:space="0" w:color="auto"/>
            </w:tcBorders>
            <w:vAlign w:val="center"/>
          </w:tcPr>
          <w:p w14:paraId="5B8A6C3F"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sz w:val="20"/>
                <w:lang w:eastAsia="fr-FR"/>
              </w:rPr>
              <w:t>N</w:t>
            </w:r>
          </w:p>
        </w:tc>
        <w:tc>
          <w:tcPr>
            <w:tcW w:w="709" w:type="dxa"/>
            <w:tcBorders>
              <w:top w:val="single" w:sz="4" w:space="0" w:color="auto"/>
              <w:left w:val="single" w:sz="4" w:space="0" w:color="auto"/>
              <w:bottom w:val="single" w:sz="4" w:space="0" w:color="auto"/>
              <w:right w:val="single" w:sz="4" w:space="0" w:color="auto"/>
            </w:tcBorders>
            <w:vAlign w:val="center"/>
          </w:tcPr>
          <w:p w14:paraId="686799C1"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69827E6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584" w:type="dxa"/>
            <w:tcBorders>
              <w:top w:val="single" w:sz="4" w:space="0" w:color="auto"/>
              <w:left w:val="single" w:sz="4" w:space="0" w:color="auto"/>
              <w:bottom w:val="single" w:sz="4" w:space="0" w:color="auto"/>
              <w:right w:val="single" w:sz="4" w:space="0" w:color="auto"/>
            </w:tcBorders>
            <w:vAlign w:val="center"/>
          </w:tcPr>
          <w:p w14:paraId="4E37B72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8" w:type="dxa"/>
            <w:tcBorders>
              <w:top w:val="single" w:sz="4" w:space="0" w:color="auto"/>
              <w:left w:val="single" w:sz="4" w:space="0" w:color="auto"/>
              <w:bottom w:val="single" w:sz="4" w:space="0" w:color="auto"/>
              <w:right w:val="single" w:sz="4" w:space="0" w:color="auto"/>
            </w:tcBorders>
            <w:vAlign w:val="center"/>
          </w:tcPr>
          <w:p w14:paraId="4A79C0B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437" w:type="dxa"/>
            <w:tcBorders>
              <w:top w:val="single" w:sz="4" w:space="0" w:color="auto"/>
              <w:left w:val="single" w:sz="4" w:space="0" w:color="auto"/>
              <w:bottom w:val="single" w:sz="4" w:space="0" w:color="auto"/>
              <w:right w:val="single" w:sz="4" w:space="0" w:color="auto"/>
            </w:tcBorders>
            <w:vAlign w:val="center"/>
          </w:tcPr>
          <w:p w14:paraId="3BE3D246"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87" w:type="dxa"/>
            <w:tcBorders>
              <w:top w:val="single" w:sz="4" w:space="0" w:color="auto"/>
              <w:left w:val="single" w:sz="4" w:space="0" w:color="auto"/>
              <w:bottom w:val="single" w:sz="4" w:space="0" w:color="auto"/>
              <w:right w:val="single" w:sz="4" w:space="0" w:color="auto"/>
            </w:tcBorders>
            <w:vAlign w:val="center"/>
          </w:tcPr>
          <w:p w14:paraId="2E06A970"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78" w:type="dxa"/>
            <w:tcBorders>
              <w:top w:val="single" w:sz="4" w:space="0" w:color="auto"/>
              <w:left w:val="single" w:sz="4" w:space="0" w:color="auto"/>
              <w:bottom w:val="single" w:sz="4" w:space="0" w:color="auto"/>
              <w:right w:val="single" w:sz="4" w:space="0" w:color="auto"/>
            </w:tcBorders>
            <w:vAlign w:val="center"/>
          </w:tcPr>
          <w:p w14:paraId="509EF7A4"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N</w:t>
            </w:r>
          </w:p>
        </w:tc>
        <w:tc>
          <w:tcPr>
            <w:tcW w:w="682" w:type="dxa"/>
            <w:tcBorders>
              <w:top w:val="single" w:sz="4" w:space="0" w:color="auto"/>
              <w:left w:val="single" w:sz="4" w:space="0" w:color="auto"/>
              <w:bottom w:val="single" w:sz="4" w:space="0" w:color="auto"/>
              <w:right w:val="single" w:sz="4" w:space="0" w:color="auto"/>
            </w:tcBorders>
            <w:vAlign w:val="center"/>
          </w:tcPr>
          <w:p w14:paraId="7D8F3321"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c>
          <w:tcPr>
            <w:tcW w:w="669" w:type="dxa"/>
            <w:tcBorders>
              <w:top w:val="single" w:sz="4" w:space="0" w:color="auto"/>
              <w:left w:val="single" w:sz="4" w:space="0" w:color="auto"/>
              <w:bottom w:val="single" w:sz="4" w:space="0" w:color="auto"/>
              <w:right w:val="single" w:sz="4" w:space="0" w:color="auto"/>
            </w:tcBorders>
            <w:vAlign w:val="center"/>
          </w:tcPr>
          <w:p w14:paraId="79A9700C" w14:textId="77777777" w:rsidR="00ED17F3" w:rsidRPr="00E737B4" w:rsidRDefault="00ED17F3" w:rsidP="007108ED">
            <w:pPr>
              <w:spacing w:after="0" w:line="240" w:lineRule="auto"/>
              <w:jc w:val="center"/>
              <w:rPr>
                <w:rFonts w:ascii="Times New Roman" w:hAnsi="Times New Roman"/>
                <w:sz w:val="20"/>
              </w:rPr>
            </w:pPr>
            <w:r w:rsidRPr="00E737B4">
              <w:rPr>
                <w:rFonts w:ascii="Times New Roman" w:hAnsi="Times New Roman"/>
                <w:sz w:val="20"/>
              </w:rPr>
              <w:t>O</w:t>
            </w:r>
          </w:p>
        </w:tc>
      </w:tr>
    </w:tbl>
    <w:p w14:paraId="4D614AA1" w14:textId="77777777" w:rsidR="00ED17F3" w:rsidRPr="00124BDB" w:rsidRDefault="00ED17F3" w:rsidP="00E737B4">
      <w:pPr>
        <w:spacing w:after="0" w:line="240" w:lineRule="auto"/>
        <w:jc w:val="center"/>
        <w:rPr>
          <w:rFonts w:ascii="Times New Roman" w:hAnsi="Times New Roman"/>
          <w:i/>
          <w:sz w:val="24"/>
          <w:szCs w:val="24"/>
        </w:rPr>
      </w:pPr>
      <w:r w:rsidRPr="00124BDB">
        <w:rPr>
          <w:rFonts w:ascii="Times New Roman" w:hAnsi="Times New Roman"/>
          <w:i/>
          <w:sz w:val="24"/>
          <w:szCs w:val="24"/>
        </w:rPr>
        <w:t xml:space="preserve">Légende- O : Négligeable, P : positif, N : négatif. </w:t>
      </w:r>
      <w:r w:rsidRPr="00E737B4">
        <w:rPr>
          <w:rFonts w:ascii="Times New Roman" w:hAnsi="Times New Roman"/>
          <w:sz w:val="24"/>
          <w:szCs w:val="24"/>
        </w:rPr>
        <w:t>Groupes vulnérables : les mineurs, les filles vulnérables aux abus sexuels, et les squatters de terre</w:t>
      </w:r>
    </w:p>
    <w:p w14:paraId="2878F2A8" w14:textId="77777777" w:rsidR="00FB3D81" w:rsidRPr="00024B30" w:rsidRDefault="00FB3D81" w:rsidP="00E737B4">
      <w:pPr>
        <w:spacing w:after="0" w:line="240" w:lineRule="auto"/>
        <w:jc w:val="center"/>
        <w:rPr>
          <w:rFonts w:ascii="Times New Roman" w:hAnsi="Times New Roman"/>
          <w:bCs/>
          <w:i/>
        </w:rPr>
      </w:pPr>
      <w:r w:rsidRPr="00E737B4">
        <w:rPr>
          <w:rFonts w:ascii="Times New Roman" w:hAnsi="Times New Roman"/>
          <w:bCs/>
          <w:i/>
          <w:sz w:val="24"/>
          <w:szCs w:val="24"/>
          <w:u w:val="single"/>
        </w:rPr>
        <w:t>Source </w:t>
      </w:r>
      <w:r w:rsidRPr="00E737B4">
        <w:rPr>
          <w:rFonts w:ascii="Times New Roman" w:hAnsi="Times New Roman"/>
          <w:bCs/>
          <w:i/>
          <w:sz w:val="24"/>
          <w:szCs w:val="24"/>
        </w:rPr>
        <w:t xml:space="preserve">: Mission d’élaboration de l’EIES DKC </w:t>
      </w:r>
      <w:r w:rsidR="00124BDB">
        <w:rPr>
          <w:rFonts w:ascii="Times New Roman" w:hAnsi="Times New Roman"/>
          <w:bCs/>
          <w:i/>
          <w:sz w:val="24"/>
          <w:szCs w:val="24"/>
        </w:rPr>
        <w:t xml:space="preserve">&amp; </w:t>
      </w:r>
      <w:r w:rsidRPr="00E737B4">
        <w:rPr>
          <w:rFonts w:ascii="Times New Roman" w:hAnsi="Times New Roman"/>
          <w:bCs/>
          <w:i/>
          <w:sz w:val="24"/>
          <w:szCs w:val="24"/>
        </w:rPr>
        <w:t>DKO</w:t>
      </w:r>
      <w:r w:rsidR="00124BDB">
        <w:rPr>
          <w:rFonts w:ascii="Times New Roman" w:hAnsi="Times New Roman"/>
          <w:bCs/>
          <w:i/>
          <w:sz w:val="24"/>
          <w:szCs w:val="24"/>
        </w:rPr>
        <w:t xml:space="preserve">, </w:t>
      </w:r>
      <w:r w:rsidRPr="00E737B4">
        <w:rPr>
          <w:rFonts w:ascii="Times New Roman" w:hAnsi="Times New Roman"/>
          <w:bCs/>
          <w:i/>
          <w:sz w:val="24"/>
          <w:szCs w:val="24"/>
        </w:rPr>
        <w:t xml:space="preserve"> juillet 2021</w:t>
      </w:r>
    </w:p>
    <w:p w14:paraId="4301EDA6" w14:textId="77777777" w:rsidR="00AE61CE" w:rsidRPr="00024B30" w:rsidRDefault="00AE61CE" w:rsidP="00AE61CE">
      <w:pPr>
        <w:spacing w:after="0" w:line="240" w:lineRule="auto"/>
        <w:rPr>
          <w:rFonts w:ascii="Times New Roman" w:hAnsi="Times New Roman"/>
          <w:bCs/>
          <w:i/>
        </w:rPr>
      </w:pPr>
    </w:p>
    <w:p w14:paraId="3C06D23F" w14:textId="77777777" w:rsidR="00AE61CE" w:rsidRPr="00D75D2E" w:rsidRDefault="00AE61CE" w:rsidP="00ED17F3">
      <w:pPr>
        <w:spacing w:after="0" w:line="240" w:lineRule="auto"/>
        <w:rPr>
          <w:rFonts w:ascii="Times New Roman" w:hAnsi="Times New Roman"/>
          <w:i/>
          <w:sz w:val="24"/>
          <w:szCs w:val="24"/>
        </w:rPr>
        <w:sectPr w:rsidR="00AE61CE" w:rsidRPr="00D75D2E" w:rsidSect="0082504D">
          <w:pgSz w:w="16838" w:h="11906" w:orient="landscape"/>
          <w:pgMar w:top="1276" w:right="1418" w:bottom="1418" w:left="1418" w:header="708" w:footer="708" w:gutter="0"/>
          <w:cols w:space="708"/>
          <w:docGrid w:linePitch="360"/>
        </w:sectPr>
      </w:pPr>
    </w:p>
    <w:p w14:paraId="6CBC85AA" w14:textId="77777777" w:rsidR="00ED17F3" w:rsidRPr="00D75D2E" w:rsidRDefault="00842C98">
      <w:pPr>
        <w:pStyle w:val="Titre1"/>
        <w:numPr>
          <w:ilvl w:val="1"/>
          <w:numId w:val="54"/>
        </w:numPr>
        <w:spacing w:before="0" w:after="120"/>
        <w:ind w:left="788" w:hanging="431"/>
      </w:pPr>
      <w:bookmarkStart w:id="542" w:name="_Toc452538246"/>
      <w:bookmarkStart w:id="543" w:name="_Toc16663504"/>
      <w:bookmarkStart w:id="544" w:name="_Toc16663678"/>
      <w:bookmarkStart w:id="545" w:name="_Toc16664923"/>
      <w:bookmarkStart w:id="546" w:name="_Toc103685663"/>
      <w:r w:rsidRPr="00D75D2E">
        <w:t>Analyse des impacts environnementaux et sociaux</w:t>
      </w:r>
      <w:bookmarkEnd w:id="542"/>
      <w:bookmarkEnd w:id="543"/>
      <w:bookmarkEnd w:id="544"/>
      <w:bookmarkEnd w:id="545"/>
      <w:bookmarkEnd w:id="546"/>
      <w:r w:rsidRPr="00D75D2E">
        <w:t xml:space="preserve"> </w:t>
      </w:r>
    </w:p>
    <w:p w14:paraId="1760AF3D" w14:textId="144CEC3A" w:rsidR="00ED17F3" w:rsidRPr="00D75D2E" w:rsidRDefault="00ED17F3" w:rsidP="00AE31F1">
      <w:pPr>
        <w:pStyle w:val="Titre31"/>
        <w:numPr>
          <w:ilvl w:val="2"/>
          <w:numId w:val="54"/>
        </w:numPr>
        <w:spacing w:before="120" w:after="120" w:line="20" w:lineRule="atLeast"/>
        <w:rPr>
          <w:rFonts w:eastAsia="Calibri"/>
          <w:u w:val="none"/>
        </w:rPr>
      </w:pPr>
      <w:bookmarkStart w:id="547" w:name="_Toc452538247"/>
      <w:bookmarkStart w:id="548" w:name="_Toc16663505"/>
      <w:bookmarkStart w:id="549" w:name="_Toc16663679"/>
      <w:bookmarkStart w:id="550" w:name="_Toc16664924"/>
      <w:bookmarkStart w:id="551" w:name="_Toc103685664"/>
      <w:r w:rsidRPr="00D75D2E">
        <w:rPr>
          <w:rFonts w:eastAsia="Calibri"/>
          <w:u w:val="none"/>
        </w:rPr>
        <w:t>Variante sans projet</w:t>
      </w:r>
      <w:bookmarkEnd w:id="547"/>
      <w:bookmarkEnd w:id="548"/>
      <w:bookmarkEnd w:id="549"/>
      <w:bookmarkEnd w:id="550"/>
      <w:bookmarkEnd w:id="551"/>
    </w:p>
    <w:p w14:paraId="732F80F6" w14:textId="0281DDF9" w:rsidR="00ED17F3" w:rsidRPr="00D75D2E" w:rsidRDefault="00ED17F3" w:rsidP="00AE31F1">
      <w:pPr>
        <w:pStyle w:val="Titre4"/>
        <w:numPr>
          <w:ilvl w:val="3"/>
          <w:numId w:val="54"/>
        </w:numPr>
        <w:spacing w:before="120" w:after="120" w:line="20" w:lineRule="atLeast"/>
        <w:rPr>
          <w:color w:val="auto"/>
          <w:szCs w:val="24"/>
        </w:rPr>
      </w:pPr>
      <w:bookmarkStart w:id="552" w:name="_Toc452538248"/>
      <w:bookmarkStart w:id="553" w:name="_Toc16663506"/>
      <w:bookmarkStart w:id="554" w:name="_Toc16663680"/>
      <w:bookmarkStart w:id="555" w:name="_Toc16664925"/>
      <w:bookmarkStart w:id="556" w:name="_Toc103685665"/>
      <w:r w:rsidRPr="00D75D2E">
        <w:rPr>
          <w:color w:val="auto"/>
          <w:szCs w:val="24"/>
        </w:rPr>
        <w:t>Impacts positifs de la variante sans projet</w:t>
      </w:r>
      <w:bookmarkEnd w:id="552"/>
      <w:bookmarkEnd w:id="553"/>
      <w:bookmarkEnd w:id="554"/>
      <w:bookmarkEnd w:id="555"/>
      <w:bookmarkEnd w:id="556"/>
    </w:p>
    <w:p w14:paraId="00735A5A" w14:textId="6F401158" w:rsidR="00ED17F3" w:rsidRPr="00D75D2E" w:rsidRDefault="00ED17F3" w:rsidP="008C79F0">
      <w:pPr>
        <w:pStyle w:val="Titre4"/>
        <w:keepLines w:val="0"/>
        <w:numPr>
          <w:ilvl w:val="0"/>
          <w:numId w:val="24"/>
        </w:numPr>
        <w:tabs>
          <w:tab w:val="left" w:pos="720"/>
        </w:tabs>
        <w:spacing w:before="120" w:after="120" w:line="20" w:lineRule="atLeast"/>
        <w:jc w:val="both"/>
        <w:rPr>
          <w:color w:val="auto"/>
          <w:szCs w:val="24"/>
          <w:u w:val="single"/>
        </w:rPr>
      </w:pPr>
      <w:bookmarkStart w:id="557" w:name="_Toc103685666"/>
      <w:r w:rsidRPr="00D75D2E">
        <w:rPr>
          <w:color w:val="auto"/>
          <w:szCs w:val="24"/>
          <w:u w:val="single"/>
        </w:rPr>
        <w:t>Plan environnemental</w:t>
      </w:r>
      <w:bookmarkEnd w:id="557"/>
    </w:p>
    <w:p w14:paraId="645DE145" w14:textId="77777777" w:rsidR="00ED17F3" w:rsidRPr="00D75D2E" w:rsidRDefault="00ED17F3" w:rsidP="00E737B4">
      <w:pPr>
        <w:spacing w:before="120" w:after="120" w:line="20" w:lineRule="atLeast"/>
        <w:ind w:left="1"/>
        <w:jc w:val="both"/>
        <w:rPr>
          <w:rFonts w:ascii="Times New Roman" w:hAnsi="Times New Roman"/>
          <w:sz w:val="24"/>
          <w:szCs w:val="24"/>
        </w:rPr>
      </w:pPr>
      <w:r w:rsidRPr="00D75D2E">
        <w:rPr>
          <w:rFonts w:ascii="Times New Roman" w:hAnsi="Times New Roman"/>
          <w:sz w:val="24"/>
          <w:szCs w:val="24"/>
        </w:rPr>
        <w:t xml:space="preserve">Sous la variante sans projet, </w:t>
      </w:r>
      <w:r w:rsidR="00B27DF8" w:rsidRPr="00D75D2E">
        <w:rPr>
          <w:rFonts w:ascii="Times New Roman" w:hAnsi="Times New Roman"/>
          <w:sz w:val="24"/>
          <w:szCs w:val="24"/>
        </w:rPr>
        <w:t>l</w:t>
      </w:r>
      <w:r w:rsidRPr="00D75D2E">
        <w:rPr>
          <w:rFonts w:ascii="Times New Roman" w:hAnsi="Times New Roman"/>
          <w:sz w:val="24"/>
          <w:szCs w:val="24"/>
        </w:rPr>
        <w:t xml:space="preserve">es emprises destinées à la construction des cabines électriques ainsi que le raccordement des lignes électriques resteront intactes comme à l’état actuel. Aucun cas d’abattage ni élagage des arbres ne sera observé, donc il n’y a ni </w:t>
      </w:r>
      <w:r w:rsidR="002F7B23" w:rsidRPr="00D75D2E">
        <w:rPr>
          <w:rFonts w:ascii="Times New Roman" w:hAnsi="Times New Roman"/>
          <w:sz w:val="24"/>
          <w:szCs w:val="24"/>
        </w:rPr>
        <w:t>la perte</w:t>
      </w:r>
      <w:r w:rsidRPr="00D75D2E">
        <w:rPr>
          <w:rFonts w:ascii="Times New Roman" w:hAnsi="Times New Roman"/>
          <w:sz w:val="24"/>
          <w:szCs w:val="24"/>
        </w:rPr>
        <w:t xml:space="preserve"> de couvert végétal, ni perturbation des habitats fauniques et floristiques, alors la biodiversité y sera préservée. Dans ce cas de figure, il n’y aura pas d’installation de base vie ni de mouvement d’engins de chantier et du transport de matériaux souvent sources de pollutions des sols, des eaux de surface et souterraine, de l’air, de nuisances sonores, de vibrations, des risques de déversement d’huiles usées et autres lubrifiants.  </w:t>
      </w:r>
    </w:p>
    <w:p w14:paraId="00980537" w14:textId="75A37CF9" w:rsidR="00ED17F3" w:rsidRPr="00D75D2E" w:rsidRDefault="00ED17F3" w:rsidP="008C79F0">
      <w:pPr>
        <w:pStyle w:val="Titre4"/>
        <w:keepLines w:val="0"/>
        <w:numPr>
          <w:ilvl w:val="0"/>
          <w:numId w:val="24"/>
        </w:numPr>
        <w:tabs>
          <w:tab w:val="left" w:pos="720"/>
        </w:tabs>
        <w:spacing w:before="120" w:after="120" w:line="20" w:lineRule="atLeast"/>
        <w:jc w:val="both"/>
        <w:rPr>
          <w:color w:val="auto"/>
          <w:szCs w:val="24"/>
          <w:u w:val="single"/>
        </w:rPr>
      </w:pPr>
      <w:bookmarkStart w:id="558" w:name="_Toc103685667"/>
      <w:r w:rsidRPr="00D75D2E">
        <w:rPr>
          <w:color w:val="auto"/>
          <w:szCs w:val="24"/>
          <w:u w:val="single"/>
        </w:rPr>
        <w:t>Plan social</w:t>
      </w:r>
      <w:bookmarkEnd w:id="558"/>
    </w:p>
    <w:p w14:paraId="630CB232" w14:textId="77777777" w:rsidR="00ED17F3" w:rsidRPr="00D75D2E" w:rsidRDefault="00ED17F3"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L’absence du projet permettra d’éviter la perturbation des biens et activités socioéconomiques (les pertes de bâtisses, la perturbation des activités commerciales et la perte de sources de revenus, cultures, arbres du domaine public et privé). </w:t>
      </w:r>
    </w:p>
    <w:p w14:paraId="791D103D" w14:textId="64F259D2" w:rsidR="00ED17F3" w:rsidRPr="00D75D2E" w:rsidRDefault="00ED17F3" w:rsidP="00AE31F1">
      <w:pPr>
        <w:pStyle w:val="Titre4"/>
        <w:numPr>
          <w:ilvl w:val="3"/>
          <w:numId w:val="54"/>
        </w:numPr>
        <w:spacing w:before="120" w:after="120" w:line="20" w:lineRule="atLeast"/>
        <w:rPr>
          <w:color w:val="auto"/>
          <w:szCs w:val="24"/>
        </w:rPr>
      </w:pPr>
      <w:bookmarkStart w:id="559" w:name="_Toc452538249"/>
      <w:bookmarkStart w:id="560" w:name="_Toc16663507"/>
      <w:bookmarkStart w:id="561" w:name="_Toc16663681"/>
      <w:bookmarkStart w:id="562" w:name="_Toc16664926"/>
      <w:bookmarkStart w:id="563" w:name="_Toc103685668"/>
      <w:r w:rsidRPr="00D75D2E">
        <w:rPr>
          <w:color w:val="auto"/>
          <w:szCs w:val="24"/>
        </w:rPr>
        <w:t>Impacts négatifs de la variante sans projet</w:t>
      </w:r>
      <w:bookmarkEnd w:id="559"/>
      <w:bookmarkEnd w:id="560"/>
      <w:bookmarkEnd w:id="561"/>
      <w:bookmarkEnd w:id="562"/>
      <w:bookmarkEnd w:id="563"/>
    </w:p>
    <w:p w14:paraId="6B04E4ED" w14:textId="2AA30A3B" w:rsidR="00ED17F3" w:rsidRPr="00D75D2E" w:rsidRDefault="00ED17F3" w:rsidP="008C79F0">
      <w:pPr>
        <w:pStyle w:val="Titre4"/>
        <w:keepLines w:val="0"/>
        <w:numPr>
          <w:ilvl w:val="0"/>
          <w:numId w:val="25"/>
        </w:numPr>
        <w:tabs>
          <w:tab w:val="left" w:pos="720"/>
        </w:tabs>
        <w:spacing w:before="120" w:after="120" w:line="20" w:lineRule="atLeast"/>
        <w:jc w:val="both"/>
        <w:rPr>
          <w:color w:val="auto"/>
          <w:szCs w:val="24"/>
          <w:u w:val="single"/>
        </w:rPr>
      </w:pPr>
      <w:bookmarkStart w:id="564" w:name="_Toc103685669"/>
      <w:r w:rsidRPr="00D75D2E">
        <w:rPr>
          <w:iCs w:val="0"/>
          <w:color w:val="auto"/>
          <w:szCs w:val="24"/>
          <w:u w:val="single"/>
        </w:rPr>
        <w:t>Plan environnemental</w:t>
      </w:r>
      <w:bookmarkEnd w:id="564"/>
    </w:p>
    <w:p w14:paraId="35CF402D" w14:textId="77777777" w:rsidR="00ED17F3" w:rsidRPr="00D75D2E" w:rsidRDefault="00ED17F3" w:rsidP="00E737B4">
      <w:pPr>
        <w:spacing w:before="120" w:after="120" w:line="20" w:lineRule="atLeast"/>
        <w:ind w:left="1"/>
        <w:jc w:val="both"/>
        <w:rPr>
          <w:rFonts w:ascii="Times New Roman" w:hAnsi="Times New Roman"/>
          <w:sz w:val="24"/>
          <w:szCs w:val="24"/>
        </w:rPr>
      </w:pPr>
      <w:r w:rsidRPr="00D75D2E">
        <w:rPr>
          <w:rFonts w:ascii="Times New Roman" w:hAnsi="Times New Roman"/>
          <w:sz w:val="24"/>
          <w:szCs w:val="24"/>
        </w:rPr>
        <w:t xml:space="preserve">Sous ce scénario, l’absence d’électricité dans la zone du projet peut accentuer l’utilisation des groupes électrogènes avec son corollaire d’émissions des gaz à effet de serre. Ces émissions à leur tour peuvent contribuer au réchauffement climatique et engendrer des effets néfastes sur l’environnement. Les difficultés d’accès à l’électricité dans la zone du projet pourraient également entrainer le recours à d’autres sources d’énergie telles que le bois de chauffe, le charbon de bois, source de déboisement.  </w:t>
      </w:r>
    </w:p>
    <w:p w14:paraId="6ADDBD5C" w14:textId="2C3254D6" w:rsidR="00ED17F3" w:rsidRPr="00D75D2E" w:rsidRDefault="00ED17F3" w:rsidP="008C79F0">
      <w:pPr>
        <w:pStyle w:val="Titre4"/>
        <w:keepLines w:val="0"/>
        <w:numPr>
          <w:ilvl w:val="0"/>
          <w:numId w:val="25"/>
        </w:numPr>
        <w:tabs>
          <w:tab w:val="left" w:pos="720"/>
        </w:tabs>
        <w:spacing w:before="120" w:after="120" w:line="20" w:lineRule="atLeast"/>
        <w:jc w:val="both"/>
        <w:rPr>
          <w:iCs w:val="0"/>
          <w:color w:val="auto"/>
          <w:szCs w:val="24"/>
          <w:u w:val="single"/>
        </w:rPr>
      </w:pPr>
      <w:bookmarkStart w:id="565" w:name="_Toc103685670"/>
      <w:r w:rsidRPr="00D75D2E">
        <w:rPr>
          <w:iCs w:val="0"/>
          <w:color w:val="auto"/>
          <w:szCs w:val="24"/>
          <w:u w:val="single"/>
        </w:rPr>
        <w:t>Plan social</w:t>
      </w:r>
      <w:bookmarkEnd w:id="565"/>
    </w:p>
    <w:p w14:paraId="57B66968" w14:textId="77777777" w:rsidR="00ED17F3" w:rsidRPr="00D75D2E" w:rsidRDefault="00EF4D4D" w:rsidP="00E737B4">
      <w:pPr>
        <w:spacing w:before="120" w:after="120" w:line="20" w:lineRule="atLeast"/>
        <w:ind w:left="1"/>
        <w:jc w:val="both"/>
        <w:rPr>
          <w:rFonts w:ascii="Times New Roman" w:hAnsi="Times New Roman"/>
          <w:sz w:val="24"/>
          <w:szCs w:val="24"/>
        </w:rPr>
      </w:pPr>
      <w:r w:rsidRPr="00D75D2E">
        <w:rPr>
          <w:rFonts w:ascii="Times New Roman" w:hAnsi="Times New Roman"/>
          <w:sz w:val="24"/>
          <w:szCs w:val="24"/>
        </w:rPr>
        <w:t xml:space="preserve">Les visites </w:t>
      </w:r>
      <w:r w:rsidR="00ED17F3" w:rsidRPr="00D75D2E">
        <w:rPr>
          <w:rFonts w:ascii="Times New Roman" w:hAnsi="Times New Roman"/>
          <w:sz w:val="24"/>
          <w:szCs w:val="24"/>
        </w:rPr>
        <w:t>terrain ont montré l’existence des installations frauduleuses tant pour les lignes aériennes que souterraines existantes, source potentielle d’incendie et d’électrocution. Ainsi, en l’absence du projet, ces activités persisteront. A cela s’ajouterait les risques sécuritaires à la tombée de la nuit</w:t>
      </w:r>
      <w:r w:rsidR="00B27DF8" w:rsidRPr="00D75D2E">
        <w:rPr>
          <w:rFonts w:ascii="Times New Roman" w:hAnsi="Times New Roman"/>
          <w:sz w:val="24"/>
          <w:szCs w:val="24"/>
        </w:rPr>
        <w:t xml:space="preserve"> dans ces poches noires de Kinshasa</w:t>
      </w:r>
      <w:r w:rsidR="00ED17F3" w:rsidRPr="00D75D2E">
        <w:rPr>
          <w:rFonts w:ascii="Times New Roman" w:hAnsi="Times New Roman"/>
          <w:sz w:val="24"/>
          <w:szCs w:val="24"/>
        </w:rPr>
        <w:t>.</w:t>
      </w:r>
      <w:r w:rsidR="00ED17F3" w:rsidRPr="00D75D2E">
        <w:t xml:space="preserve"> </w:t>
      </w:r>
      <w:r w:rsidR="00ED17F3" w:rsidRPr="00D75D2E">
        <w:rPr>
          <w:rFonts w:ascii="Times New Roman" w:hAnsi="Times New Roman"/>
          <w:sz w:val="24"/>
          <w:szCs w:val="24"/>
        </w:rPr>
        <w:t>Sans le projet, le développement socioéconomique et les conditions d</w:t>
      </w:r>
      <w:r w:rsidRPr="00D75D2E">
        <w:rPr>
          <w:rFonts w:ascii="Times New Roman" w:hAnsi="Times New Roman"/>
          <w:sz w:val="24"/>
          <w:szCs w:val="24"/>
        </w:rPr>
        <w:t>e vie des populations résidant</w:t>
      </w:r>
      <w:r w:rsidR="00ED17F3" w:rsidRPr="00D75D2E">
        <w:rPr>
          <w:rFonts w:ascii="Times New Roman" w:hAnsi="Times New Roman"/>
          <w:sz w:val="24"/>
          <w:szCs w:val="24"/>
        </w:rPr>
        <w:t xml:space="preserve"> dans ces « poches noires de</w:t>
      </w:r>
      <w:r w:rsidR="002E20CB" w:rsidRPr="00D75D2E">
        <w:rPr>
          <w:rFonts w:ascii="Times New Roman" w:hAnsi="Times New Roman"/>
          <w:sz w:val="24"/>
          <w:szCs w:val="24"/>
        </w:rPr>
        <w:t>s</w:t>
      </w:r>
      <w:r w:rsidR="00ED17F3" w:rsidRPr="00D75D2E">
        <w:rPr>
          <w:rFonts w:ascii="Times New Roman" w:hAnsi="Times New Roman"/>
          <w:sz w:val="24"/>
          <w:szCs w:val="24"/>
        </w:rPr>
        <w:t xml:space="preserve"> commune</w:t>
      </w:r>
      <w:r w:rsidR="002E20CB" w:rsidRPr="00D75D2E">
        <w:rPr>
          <w:rFonts w:ascii="Times New Roman" w:hAnsi="Times New Roman"/>
          <w:sz w:val="24"/>
          <w:szCs w:val="24"/>
        </w:rPr>
        <w:t>s concernées par le projet</w:t>
      </w:r>
      <w:r w:rsidR="00ED17F3" w:rsidRPr="00D75D2E">
        <w:rPr>
          <w:rFonts w:ascii="Times New Roman" w:hAnsi="Times New Roman"/>
          <w:sz w:val="24"/>
          <w:szCs w:val="24"/>
        </w:rPr>
        <w:t xml:space="preserve"> » se trouveront sérieusement entravées. On constate également des mouvements pendulaires des populations (surtout jeunes et des femmes) vers des zones électrifiées afin de développer et diversifier leurs activités économiques et culturelles. Cette dernière situation semble s’accentuer et présente souvent un manque à gagner pour les communes défavorisées.  </w:t>
      </w:r>
    </w:p>
    <w:p w14:paraId="0BF6A5B5" w14:textId="77777777" w:rsidR="00ED17F3" w:rsidRPr="00D75D2E" w:rsidRDefault="00ED17F3" w:rsidP="00AE31F1">
      <w:pPr>
        <w:pStyle w:val="Titre31"/>
        <w:numPr>
          <w:ilvl w:val="2"/>
          <w:numId w:val="54"/>
        </w:numPr>
        <w:spacing w:before="120" w:after="120" w:line="20" w:lineRule="atLeast"/>
        <w:rPr>
          <w:rFonts w:eastAsia="Calibri"/>
          <w:u w:val="none"/>
        </w:rPr>
      </w:pPr>
      <w:bookmarkStart w:id="566" w:name="_Toc452538250"/>
      <w:bookmarkStart w:id="567" w:name="_Toc16663508"/>
      <w:bookmarkStart w:id="568" w:name="_Toc16663682"/>
      <w:bookmarkStart w:id="569" w:name="_Toc16664927"/>
      <w:bookmarkStart w:id="570" w:name="_Toc103685671"/>
      <w:r w:rsidRPr="00D75D2E">
        <w:rPr>
          <w:rFonts w:eastAsia="Calibri"/>
          <w:u w:val="none"/>
        </w:rPr>
        <w:t>Variante avec projet</w:t>
      </w:r>
      <w:bookmarkEnd w:id="566"/>
      <w:bookmarkEnd w:id="567"/>
      <w:bookmarkEnd w:id="568"/>
      <w:bookmarkEnd w:id="569"/>
      <w:bookmarkEnd w:id="570"/>
      <w:r w:rsidRPr="00D75D2E">
        <w:rPr>
          <w:rFonts w:eastAsia="Calibri"/>
          <w:u w:val="none"/>
        </w:rPr>
        <w:t xml:space="preserve"> </w:t>
      </w:r>
    </w:p>
    <w:p w14:paraId="103FCBF3" w14:textId="01D6BDCC" w:rsidR="00ED17F3" w:rsidRPr="003026D8" w:rsidRDefault="00ED17F3" w:rsidP="00AE31F1">
      <w:pPr>
        <w:pStyle w:val="Titre4"/>
        <w:numPr>
          <w:ilvl w:val="3"/>
          <w:numId w:val="54"/>
        </w:numPr>
        <w:spacing w:before="120" w:after="120" w:line="20" w:lineRule="atLeast"/>
        <w:rPr>
          <w:color w:val="auto"/>
          <w:szCs w:val="24"/>
        </w:rPr>
      </w:pPr>
      <w:bookmarkStart w:id="571" w:name="_Toc452538251"/>
      <w:bookmarkStart w:id="572" w:name="_Toc16663509"/>
      <w:bookmarkStart w:id="573" w:name="_Toc16663683"/>
      <w:bookmarkStart w:id="574" w:name="_Toc16664928"/>
      <w:bookmarkStart w:id="575" w:name="_Toc103685672"/>
      <w:r w:rsidRPr="003026D8">
        <w:rPr>
          <w:color w:val="auto"/>
          <w:szCs w:val="24"/>
        </w:rPr>
        <w:t>Impacts positifs de la variante avec projet</w:t>
      </w:r>
      <w:bookmarkEnd w:id="571"/>
      <w:bookmarkEnd w:id="572"/>
      <w:bookmarkEnd w:id="573"/>
      <w:bookmarkEnd w:id="574"/>
      <w:bookmarkEnd w:id="575"/>
    </w:p>
    <w:p w14:paraId="7A7FEFC8" w14:textId="77777777" w:rsidR="00ED17F3" w:rsidRPr="00D75D2E" w:rsidRDefault="00ED17F3"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Le projet présente des avantages socioéconomiques et environnementaux avec des répercussions à l’échelle communale et provinciale mais surtout la résolution de manière durable au manque d’électricité dans les différentes communes concernées et leurs poches noires. Ce projet constitue donc une opportunité réelle qui va insuffler une nouvelle dynamique dans la vie de la communauté et améliorer durablement leurs conditions de vie. Une synthèse des impacts positifs du projet est résumée dans les tableaux </w:t>
      </w:r>
      <w:r w:rsidR="00842F58">
        <w:rPr>
          <w:rFonts w:ascii="Times New Roman" w:hAnsi="Times New Roman"/>
          <w:sz w:val="24"/>
          <w:szCs w:val="24"/>
        </w:rPr>
        <w:t>19</w:t>
      </w:r>
      <w:r w:rsidRPr="00D75D2E">
        <w:rPr>
          <w:rFonts w:ascii="Times New Roman" w:hAnsi="Times New Roman"/>
          <w:sz w:val="24"/>
          <w:szCs w:val="24"/>
        </w:rPr>
        <w:t xml:space="preserve">. </w:t>
      </w:r>
      <w:r w:rsidRPr="00D75D2E">
        <w:rPr>
          <w:rFonts w:ascii="Times New Roman" w:hAnsi="Times New Roman"/>
          <w:sz w:val="24"/>
          <w:szCs w:val="24"/>
        </w:rPr>
        <w:br w:type="page"/>
      </w:r>
    </w:p>
    <w:p w14:paraId="191EC8F0" w14:textId="77777777" w:rsidR="00ED17F3" w:rsidRPr="00D75D2E" w:rsidRDefault="00ED17F3" w:rsidP="00FD1CA1">
      <w:pPr>
        <w:pStyle w:val="Titre4"/>
        <w:numPr>
          <w:ilvl w:val="0"/>
          <w:numId w:val="12"/>
        </w:numPr>
        <w:spacing w:before="0" w:line="240" w:lineRule="auto"/>
        <w:rPr>
          <w:b/>
          <w:color w:val="auto"/>
        </w:rPr>
        <w:sectPr w:rsidR="00ED17F3" w:rsidRPr="00D75D2E" w:rsidSect="002C5EB6">
          <w:pgSz w:w="11906" w:h="16838"/>
          <w:pgMar w:top="1418" w:right="991" w:bottom="1418" w:left="1418" w:header="709" w:footer="709" w:gutter="0"/>
          <w:cols w:space="708"/>
          <w:docGrid w:linePitch="360"/>
        </w:sectPr>
      </w:pPr>
    </w:p>
    <w:p w14:paraId="4D0F6DA3" w14:textId="257F0AC1" w:rsidR="00ED17F3" w:rsidRPr="00D75D2E" w:rsidRDefault="00ED17F3" w:rsidP="008C79F0">
      <w:pPr>
        <w:pStyle w:val="Titre4"/>
        <w:keepLines w:val="0"/>
        <w:numPr>
          <w:ilvl w:val="0"/>
          <w:numId w:val="26"/>
        </w:numPr>
        <w:tabs>
          <w:tab w:val="left" w:pos="720"/>
        </w:tabs>
        <w:spacing w:before="120" w:after="120" w:line="20" w:lineRule="atLeast"/>
        <w:jc w:val="both"/>
        <w:rPr>
          <w:iCs w:val="0"/>
          <w:color w:val="auto"/>
          <w:szCs w:val="24"/>
          <w:u w:val="single"/>
        </w:rPr>
      </w:pPr>
      <w:bookmarkStart w:id="576" w:name="_Toc103685673"/>
      <w:r w:rsidRPr="00D75D2E">
        <w:rPr>
          <w:iCs w:val="0"/>
          <w:color w:val="auto"/>
          <w:szCs w:val="24"/>
          <w:u w:val="single"/>
        </w:rPr>
        <w:t>Impacts environnementaux positifs de la variante avec le projet</w:t>
      </w:r>
      <w:bookmarkEnd w:id="576"/>
    </w:p>
    <w:p w14:paraId="63EDE6DF" w14:textId="686DFA3A" w:rsidR="00ED17F3" w:rsidRPr="00D75D2E" w:rsidRDefault="00ED17F3" w:rsidP="00E737B4">
      <w:pPr>
        <w:spacing w:before="120" w:after="120" w:line="20" w:lineRule="atLeast"/>
        <w:rPr>
          <w:rFonts w:ascii="Times New Roman" w:hAnsi="Times New Roman"/>
          <w:sz w:val="24"/>
          <w:szCs w:val="24"/>
        </w:rPr>
      </w:pPr>
      <w:r w:rsidRPr="00D75D2E">
        <w:rPr>
          <w:rFonts w:ascii="Times New Roman" w:hAnsi="Times New Roman"/>
          <w:sz w:val="24"/>
          <w:szCs w:val="24"/>
        </w:rPr>
        <w:t xml:space="preserve">Le tableau </w:t>
      </w:r>
      <w:r w:rsidR="00E732DD">
        <w:rPr>
          <w:rFonts w:ascii="Times New Roman" w:hAnsi="Times New Roman"/>
          <w:sz w:val="24"/>
          <w:szCs w:val="24"/>
        </w:rPr>
        <w:t xml:space="preserve">21 </w:t>
      </w:r>
      <w:r w:rsidR="00E732DD" w:rsidRPr="00D75D2E">
        <w:rPr>
          <w:rFonts w:ascii="Times New Roman" w:hAnsi="Times New Roman"/>
          <w:sz w:val="24"/>
          <w:szCs w:val="24"/>
        </w:rPr>
        <w:t xml:space="preserve"> </w:t>
      </w:r>
      <w:r w:rsidRPr="00D75D2E">
        <w:rPr>
          <w:rFonts w:ascii="Times New Roman" w:hAnsi="Times New Roman"/>
          <w:sz w:val="24"/>
          <w:szCs w:val="24"/>
        </w:rPr>
        <w:t>fait une analyse des impacts positifs de la mise en œuvre du projet.</w:t>
      </w:r>
    </w:p>
    <w:p w14:paraId="38BEDEFD" w14:textId="5E256500" w:rsidR="00ED17F3" w:rsidRPr="00D75D2E" w:rsidRDefault="00ED17F3" w:rsidP="00E737B4">
      <w:pPr>
        <w:pStyle w:val="Default"/>
        <w:keepNext/>
        <w:spacing w:before="120" w:after="120" w:line="20" w:lineRule="atLeast"/>
        <w:rPr>
          <w:color w:val="auto"/>
        </w:rPr>
      </w:pPr>
      <w:bookmarkStart w:id="577" w:name="_Toc452467380"/>
      <w:bookmarkStart w:id="578" w:name="_Toc466809072"/>
      <w:bookmarkStart w:id="579" w:name="_Toc519048926"/>
      <w:bookmarkStart w:id="580" w:name="_Toc93050283"/>
      <w:r w:rsidRPr="00D75D2E">
        <w:rPr>
          <w:color w:val="auto"/>
        </w:rPr>
        <w:t xml:space="preserve">Tableau </w:t>
      </w:r>
      <w:r w:rsidRPr="00D75D2E">
        <w:rPr>
          <w:color w:val="auto"/>
        </w:rPr>
        <w:fldChar w:fldCharType="begin"/>
      </w:r>
      <w:r w:rsidRPr="00D75D2E">
        <w:rPr>
          <w:color w:val="auto"/>
        </w:rPr>
        <w:instrText xml:space="preserve"> SEQ Tableau \* ARABIC </w:instrText>
      </w:r>
      <w:r w:rsidRPr="00D75D2E">
        <w:rPr>
          <w:color w:val="auto"/>
        </w:rPr>
        <w:fldChar w:fldCharType="separate"/>
      </w:r>
      <w:r w:rsidR="00A86929">
        <w:rPr>
          <w:noProof/>
          <w:color w:val="auto"/>
        </w:rPr>
        <w:t>21</w:t>
      </w:r>
      <w:r w:rsidRPr="00D75D2E">
        <w:rPr>
          <w:noProof/>
          <w:color w:val="auto"/>
        </w:rPr>
        <w:fldChar w:fldCharType="end"/>
      </w:r>
      <w:r w:rsidRPr="00D75D2E">
        <w:rPr>
          <w:color w:val="auto"/>
        </w:rPr>
        <w:t> : Synthèse des impacts environnementaux positifs de la variante avec le projet</w:t>
      </w:r>
      <w:bookmarkEnd w:id="577"/>
      <w:bookmarkEnd w:id="578"/>
      <w:bookmarkEnd w:id="579"/>
      <w:bookmarkEnd w:id="580"/>
    </w:p>
    <w:tbl>
      <w:tblPr>
        <w:tblW w:w="160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2268"/>
        <w:gridCol w:w="1701"/>
        <w:gridCol w:w="4911"/>
        <w:gridCol w:w="393"/>
        <w:gridCol w:w="424"/>
        <w:gridCol w:w="567"/>
        <w:gridCol w:w="425"/>
        <w:gridCol w:w="519"/>
        <w:gridCol w:w="425"/>
        <w:gridCol w:w="428"/>
        <w:gridCol w:w="644"/>
        <w:gridCol w:w="425"/>
        <w:gridCol w:w="567"/>
        <w:gridCol w:w="754"/>
        <w:gridCol w:w="567"/>
      </w:tblGrid>
      <w:tr w:rsidR="00D75D2E" w:rsidRPr="00420C1B" w14:paraId="1E721E24" w14:textId="77777777" w:rsidTr="00E737B4">
        <w:trPr>
          <w:trHeight w:val="395"/>
          <w:tblHeader/>
          <w:jc w:val="center"/>
        </w:trPr>
        <w:tc>
          <w:tcPr>
            <w:tcW w:w="1016" w:type="dxa"/>
            <w:vMerge w:val="restart"/>
            <w:shd w:val="clear" w:color="auto" w:fill="92D050"/>
            <w:vAlign w:val="center"/>
          </w:tcPr>
          <w:p w14:paraId="0D7D71EB" w14:textId="77777777" w:rsidR="00ED17F3" w:rsidRPr="00420C1B" w:rsidRDefault="00ED17F3" w:rsidP="007108ED">
            <w:pPr>
              <w:jc w:val="both"/>
              <w:rPr>
                <w:rFonts w:ascii="Times New Roman" w:hAnsi="Times New Roman"/>
                <w:b/>
                <w:sz w:val="20"/>
                <w:szCs w:val="20"/>
              </w:rPr>
            </w:pPr>
            <w:r w:rsidRPr="00420C1B">
              <w:rPr>
                <w:rFonts w:ascii="Times New Roman" w:hAnsi="Times New Roman"/>
                <w:b/>
                <w:sz w:val="20"/>
                <w:szCs w:val="20"/>
              </w:rPr>
              <w:t>Phase du projet</w:t>
            </w:r>
          </w:p>
        </w:tc>
        <w:tc>
          <w:tcPr>
            <w:tcW w:w="2268" w:type="dxa"/>
            <w:vMerge w:val="restart"/>
            <w:shd w:val="clear" w:color="auto" w:fill="92D050"/>
            <w:vAlign w:val="center"/>
          </w:tcPr>
          <w:p w14:paraId="20880E54"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Activités/ Sources d’impact</w:t>
            </w:r>
          </w:p>
        </w:tc>
        <w:tc>
          <w:tcPr>
            <w:tcW w:w="1701" w:type="dxa"/>
            <w:vMerge w:val="restart"/>
            <w:shd w:val="clear" w:color="auto" w:fill="92D050"/>
            <w:vAlign w:val="center"/>
          </w:tcPr>
          <w:p w14:paraId="1E9A6AB5"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Composante du milieu affectée</w:t>
            </w:r>
          </w:p>
        </w:tc>
        <w:tc>
          <w:tcPr>
            <w:tcW w:w="4911" w:type="dxa"/>
            <w:vMerge w:val="restart"/>
            <w:shd w:val="clear" w:color="auto" w:fill="92D050"/>
            <w:vAlign w:val="center"/>
          </w:tcPr>
          <w:p w14:paraId="24FC7274"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Description de l’impact</w:t>
            </w:r>
          </w:p>
        </w:tc>
        <w:tc>
          <w:tcPr>
            <w:tcW w:w="1384" w:type="dxa"/>
            <w:gridSpan w:val="3"/>
            <w:shd w:val="clear" w:color="auto" w:fill="92D050"/>
            <w:vAlign w:val="center"/>
          </w:tcPr>
          <w:p w14:paraId="03BF97AC"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Intensité</w:t>
            </w:r>
          </w:p>
        </w:tc>
        <w:tc>
          <w:tcPr>
            <w:tcW w:w="1369" w:type="dxa"/>
            <w:gridSpan w:val="3"/>
            <w:shd w:val="clear" w:color="auto" w:fill="92D050"/>
            <w:vAlign w:val="center"/>
          </w:tcPr>
          <w:p w14:paraId="682A588E"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Etendue</w:t>
            </w:r>
          </w:p>
        </w:tc>
        <w:tc>
          <w:tcPr>
            <w:tcW w:w="1497" w:type="dxa"/>
            <w:gridSpan w:val="3"/>
            <w:shd w:val="clear" w:color="auto" w:fill="92D050"/>
            <w:vAlign w:val="center"/>
          </w:tcPr>
          <w:p w14:paraId="3B942CD5"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Durée</w:t>
            </w:r>
          </w:p>
        </w:tc>
        <w:tc>
          <w:tcPr>
            <w:tcW w:w="1888" w:type="dxa"/>
            <w:gridSpan w:val="3"/>
            <w:shd w:val="clear" w:color="auto" w:fill="92D050"/>
            <w:vAlign w:val="center"/>
          </w:tcPr>
          <w:p w14:paraId="3E88BAC6"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Importance</w:t>
            </w:r>
          </w:p>
        </w:tc>
      </w:tr>
      <w:tr w:rsidR="0068452B" w:rsidRPr="00420C1B" w14:paraId="20323554" w14:textId="77777777" w:rsidTr="00767B63">
        <w:trPr>
          <w:trHeight w:val="524"/>
          <w:tblHeader/>
          <w:jc w:val="center"/>
        </w:trPr>
        <w:tc>
          <w:tcPr>
            <w:tcW w:w="1016" w:type="dxa"/>
            <w:vMerge/>
            <w:shd w:val="clear" w:color="auto" w:fill="92D050"/>
            <w:vAlign w:val="center"/>
          </w:tcPr>
          <w:p w14:paraId="1AFB0740" w14:textId="77777777" w:rsidR="00ED17F3" w:rsidRPr="00420C1B" w:rsidRDefault="00ED17F3" w:rsidP="007108ED">
            <w:pPr>
              <w:jc w:val="both"/>
              <w:rPr>
                <w:rFonts w:ascii="Times New Roman" w:hAnsi="Times New Roman"/>
                <w:b/>
                <w:sz w:val="20"/>
                <w:szCs w:val="20"/>
              </w:rPr>
            </w:pPr>
          </w:p>
        </w:tc>
        <w:tc>
          <w:tcPr>
            <w:tcW w:w="2268" w:type="dxa"/>
            <w:vMerge/>
            <w:shd w:val="clear" w:color="auto" w:fill="92D050"/>
            <w:vAlign w:val="center"/>
          </w:tcPr>
          <w:p w14:paraId="2B51D042" w14:textId="77777777" w:rsidR="00ED17F3" w:rsidRPr="00420C1B" w:rsidRDefault="00ED17F3" w:rsidP="007108ED">
            <w:pPr>
              <w:rPr>
                <w:rFonts w:ascii="Times New Roman" w:hAnsi="Times New Roman"/>
                <w:sz w:val="20"/>
                <w:szCs w:val="20"/>
              </w:rPr>
            </w:pPr>
          </w:p>
        </w:tc>
        <w:tc>
          <w:tcPr>
            <w:tcW w:w="1701" w:type="dxa"/>
            <w:vMerge/>
            <w:shd w:val="clear" w:color="auto" w:fill="92D050"/>
            <w:vAlign w:val="center"/>
          </w:tcPr>
          <w:p w14:paraId="7CAF3BAE" w14:textId="77777777" w:rsidR="00ED17F3" w:rsidRPr="00420C1B" w:rsidRDefault="00ED17F3" w:rsidP="007108ED">
            <w:pPr>
              <w:rPr>
                <w:rFonts w:ascii="Times New Roman" w:hAnsi="Times New Roman"/>
                <w:sz w:val="20"/>
                <w:szCs w:val="20"/>
              </w:rPr>
            </w:pPr>
          </w:p>
        </w:tc>
        <w:tc>
          <w:tcPr>
            <w:tcW w:w="4911" w:type="dxa"/>
            <w:vMerge/>
            <w:shd w:val="clear" w:color="auto" w:fill="92D050"/>
            <w:vAlign w:val="center"/>
          </w:tcPr>
          <w:p w14:paraId="69917BE4" w14:textId="77777777" w:rsidR="00ED17F3" w:rsidRPr="00420C1B" w:rsidRDefault="00ED17F3" w:rsidP="007108ED">
            <w:pPr>
              <w:rPr>
                <w:rFonts w:ascii="Times New Roman" w:hAnsi="Times New Roman"/>
                <w:sz w:val="20"/>
                <w:szCs w:val="20"/>
              </w:rPr>
            </w:pPr>
          </w:p>
        </w:tc>
        <w:tc>
          <w:tcPr>
            <w:tcW w:w="393" w:type="dxa"/>
            <w:shd w:val="clear" w:color="auto" w:fill="92D050"/>
            <w:vAlign w:val="center"/>
          </w:tcPr>
          <w:p w14:paraId="0D4AD96F"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F</w:t>
            </w:r>
          </w:p>
        </w:tc>
        <w:tc>
          <w:tcPr>
            <w:tcW w:w="424" w:type="dxa"/>
            <w:shd w:val="clear" w:color="auto" w:fill="92D050"/>
            <w:vAlign w:val="center"/>
          </w:tcPr>
          <w:p w14:paraId="0B84379E"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M</w:t>
            </w:r>
          </w:p>
        </w:tc>
        <w:tc>
          <w:tcPr>
            <w:tcW w:w="567" w:type="dxa"/>
            <w:shd w:val="clear" w:color="auto" w:fill="92D050"/>
            <w:vAlign w:val="center"/>
          </w:tcPr>
          <w:p w14:paraId="6A565607"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Fo</w:t>
            </w:r>
          </w:p>
        </w:tc>
        <w:tc>
          <w:tcPr>
            <w:tcW w:w="425" w:type="dxa"/>
            <w:shd w:val="clear" w:color="auto" w:fill="92D050"/>
            <w:vAlign w:val="center"/>
          </w:tcPr>
          <w:p w14:paraId="0D2F3C23"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P</w:t>
            </w:r>
          </w:p>
        </w:tc>
        <w:tc>
          <w:tcPr>
            <w:tcW w:w="519" w:type="dxa"/>
            <w:shd w:val="clear" w:color="auto" w:fill="92D050"/>
            <w:vAlign w:val="center"/>
          </w:tcPr>
          <w:p w14:paraId="6822CC46"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Lo</w:t>
            </w:r>
          </w:p>
        </w:tc>
        <w:tc>
          <w:tcPr>
            <w:tcW w:w="425" w:type="dxa"/>
            <w:shd w:val="clear" w:color="auto" w:fill="92D050"/>
            <w:vAlign w:val="center"/>
          </w:tcPr>
          <w:p w14:paraId="1A039729"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R</w:t>
            </w:r>
          </w:p>
        </w:tc>
        <w:tc>
          <w:tcPr>
            <w:tcW w:w="428" w:type="dxa"/>
            <w:shd w:val="clear" w:color="auto" w:fill="92D050"/>
            <w:vAlign w:val="center"/>
          </w:tcPr>
          <w:p w14:paraId="16CAD1CB"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C</w:t>
            </w:r>
          </w:p>
        </w:tc>
        <w:tc>
          <w:tcPr>
            <w:tcW w:w="644" w:type="dxa"/>
            <w:shd w:val="clear" w:color="auto" w:fill="92D050"/>
            <w:vAlign w:val="center"/>
          </w:tcPr>
          <w:p w14:paraId="7DDF20AC"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Mo</w:t>
            </w:r>
          </w:p>
        </w:tc>
        <w:tc>
          <w:tcPr>
            <w:tcW w:w="425" w:type="dxa"/>
            <w:shd w:val="clear" w:color="auto" w:fill="92D050"/>
            <w:vAlign w:val="center"/>
          </w:tcPr>
          <w:p w14:paraId="73F57512"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L</w:t>
            </w:r>
          </w:p>
        </w:tc>
        <w:tc>
          <w:tcPr>
            <w:tcW w:w="567" w:type="dxa"/>
            <w:shd w:val="clear" w:color="auto" w:fill="92D050"/>
            <w:vAlign w:val="center"/>
          </w:tcPr>
          <w:p w14:paraId="2A9926DB"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Mi</w:t>
            </w:r>
          </w:p>
        </w:tc>
        <w:tc>
          <w:tcPr>
            <w:tcW w:w="754" w:type="dxa"/>
            <w:shd w:val="clear" w:color="auto" w:fill="92D050"/>
            <w:vAlign w:val="center"/>
          </w:tcPr>
          <w:p w14:paraId="50746803"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Moy</w:t>
            </w:r>
          </w:p>
        </w:tc>
        <w:tc>
          <w:tcPr>
            <w:tcW w:w="567" w:type="dxa"/>
            <w:shd w:val="clear" w:color="auto" w:fill="92D050"/>
            <w:vAlign w:val="center"/>
          </w:tcPr>
          <w:p w14:paraId="1CC72DBC" w14:textId="77777777" w:rsidR="00ED17F3" w:rsidRPr="00420C1B" w:rsidRDefault="00ED17F3" w:rsidP="007108ED">
            <w:pPr>
              <w:jc w:val="center"/>
              <w:rPr>
                <w:rFonts w:ascii="Times New Roman" w:hAnsi="Times New Roman"/>
                <w:b/>
                <w:sz w:val="20"/>
                <w:szCs w:val="20"/>
              </w:rPr>
            </w:pPr>
            <w:r w:rsidRPr="00420C1B">
              <w:rPr>
                <w:rFonts w:ascii="Times New Roman" w:hAnsi="Times New Roman"/>
                <w:b/>
                <w:sz w:val="20"/>
                <w:szCs w:val="20"/>
              </w:rPr>
              <w:t>Ma</w:t>
            </w:r>
          </w:p>
        </w:tc>
      </w:tr>
      <w:tr w:rsidR="002C66D7" w:rsidRPr="00420C1B" w14:paraId="140904EC" w14:textId="77777777" w:rsidTr="00420C1B">
        <w:trPr>
          <w:cantSplit/>
          <w:trHeight w:val="1134"/>
          <w:jc w:val="center"/>
        </w:trPr>
        <w:tc>
          <w:tcPr>
            <w:tcW w:w="1016" w:type="dxa"/>
            <w:vMerge w:val="restart"/>
            <w:textDirection w:val="btLr"/>
            <w:vAlign w:val="center"/>
          </w:tcPr>
          <w:p w14:paraId="41349B8D" w14:textId="77777777" w:rsidR="00ED17F3" w:rsidRPr="00420C1B" w:rsidRDefault="00ED17F3" w:rsidP="00767B63">
            <w:pPr>
              <w:ind w:left="113" w:right="113"/>
              <w:jc w:val="center"/>
              <w:rPr>
                <w:rFonts w:ascii="Times New Roman" w:hAnsi="Times New Roman"/>
                <w:b/>
                <w:sz w:val="20"/>
                <w:szCs w:val="20"/>
              </w:rPr>
            </w:pPr>
            <w:r w:rsidRPr="00420C1B">
              <w:rPr>
                <w:rFonts w:ascii="Times New Roman" w:hAnsi="Times New Roman"/>
                <w:b/>
                <w:sz w:val="20"/>
                <w:szCs w:val="20"/>
              </w:rPr>
              <w:t xml:space="preserve">CONSTRUCTION </w:t>
            </w:r>
          </w:p>
        </w:tc>
        <w:tc>
          <w:tcPr>
            <w:tcW w:w="2268" w:type="dxa"/>
            <w:vMerge w:val="restart"/>
            <w:vAlign w:val="center"/>
          </w:tcPr>
          <w:p w14:paraId="1A40475E" w14:textId="77777777" w:rsidR="00ED17F3" w:rsidRPr="00420C1B" w:rsidRDefault="00ED17F3" w:rsidP="00E737B4">
            <w:pPr>
              <w:ind w:left="34"/>
              <w:rPr>
                <w:rFonts w:ascii="Times New Roman" w:hAnsi="Times New Roman"/>
                <w:sz w:val="20"/>
                <w:szCs w:val="20"/>
              </w:rPr>
            </w:pPr>
            <w:r w:rsidRPr="00420C1B">
              <w:rPr>
                <w:rFonts w:ascii="Times New Roman" w:hAnsi="Times New Roman"/>
                <w:sz w:val="20"/>
                <w:szCs w:val="20"/>
              </w:rPr>
              <w:t xml:space="preserve">Plantation d’arbres </w:t>
            </w:r>
          </w:p>
          <w:p w14:paraId="2EFE9E24" w14:textId="77777777" w:rsidR="00ED17F3" w:rsidRPr="00420C1B" w:rsidRDefault="00ED17F3" w:rsidP="007108ED">
            <w:pPr>
              <w:rPr>
                <w:rFonts w:ascii="Times New Roman" w:hAnsi="Times New Roman"/>
                <w:sz w:val="20"/>
                <w:szCs w:val="20"/>
              </w:rPr>
            </w:pPr>
          </w:p>
          <w:p w14:paraId="79059F5F" w14:textId="77777777" w:rsidR="00ED17F3" w:rsidRPr="00420C1B" w:rsidRDefault="00ED17F3" w:rsidP="007108ED">
            <w:pPr>
              <w:rPr>
                <w:rFonts w:ascii="Times New Roman" w:hAnsi="Times New Roman"/>
                <w:sz w:val="20"/>
                <w:szCs w:val="20"/>
              </w:rPr>
            </w:pPr>
          </w:p>
        </w:tc>
        <w:tc>
          <w:tcPr>
            <w:tcW w:w="1701" w:type="dxa"/>
            <w:vMerge w:val="restart"/>
            <w:vAlign w:val="center"/>
          </w:tcPr>
          <w:p w14:paraId="67BFE69C" w14:textId="77777777" w:rsidR="00ED17F3" w:rsidRPr="00420C1B" w:rsidRDefault="00ED17F3" w:rsidP="007108ED">
            <w:pPr>
              <w:rPr>
                <w:rFonts w:ascii="Times New Roman" w:hAnsi="Times New Roman"/>
                <w:sz w:val="20"/>
                <w:szCs w:val="20"/>
              </w:rPr>
            </w:pPr>
            <w:r w:rsidRPr="00420C1B">
              <w:rPr>
                <w:rFonts w:ascii="Times New Roman" w:hAnsi="Times New Roman"/>
                <w:sz w:val="20"/>
                <w:szCs w:val="20"/>
              </w:rPr>
              <w:t>Végétation</w:t>
            </w:r>
          </w:p>
          <w:p w14:paraId="47FEEC7A" w14:textId="77777777" w:rsidR="00ED17F3" w:rsidRPr="00420C1B" w:rsidRDefault="00ED17F3" w:rsidP="007108ED">
            <w:pPr>
              <w:rPr>
                <w:rFonts w:ascii="Times New Roman" w:hAnsi="Times New Roman"/>
                <w:sz w:val="20"/>
                <w:szCs w:val="20"/>
              </w:rPr>
            </w:pPr>
            <w:r w:rsidRPr="00420C1B">
              <w:rPr>
                <w:rFonts w:ascii="Times New Roman" w:hAnsi="Times New Roman"/>
                <w:sz w:val="20"/>
                <w:szCs w:val="20"/>
              </w:rPr>
              <w:t>Sols</w:t>
            </w:r>
          </w:p>
          <w:p w14:paraId="19C2DD30" w14:textId="77777777" w:rsidR="00ED17F3" w:rsidRPr="00420C1B" w:rsidRDefault="00ED17F3" w:rsidP="007108ED">
            <w:pPr>
              <w:rPr>
                <w:rFonts w:ascii="Times New Roman" w:hAnsi="Times New Roman"/>
                <w:sz w:val="20"/>
                <w:szCs w:val="20"/>
              </w:rPr>
            </w:pPr>
            <w:r w:rsidRPr="00420C1B">
              <w:rPr>
                <w:rFonts w:ascii="Times New Roman" w:hAnsi="Times New Roman"/>
                <w:sz w:val="20"/>
                <w:szCs w:val="20"/>
              </w:rPr>
              <w:t>Faune</w:t>
            </w:r>
          </w:p>
        </w:tc>
        <w:tc>
          <w:tcPr>
            <w:tcW w:w="4911" w:type="dxa"/>
            <w:vMerge w:val="restart"/>
            <w:vAlign w:val="center"/>
          </w:tcPr>
          <w:p w14:paraId="63AC3E3F" w14:textId="77777777" w:rsidR="00ED17F3" w:rsidRPr="00420C1B" w:rsidRDefault="00ED17F3" w:rsidP="008C79F0">
            <w:pPr>
              <w:pStyle w:val="Lgende"/>
              <w:numPr>
                <w:ilvl w:val="0"/>
                <w:numId w:val="51"/>
              </w:numPr>
              <w:spacing w:after="0"/>
              <w:ind w:left="77" w:hanging="142"/>
              <w:jc w:val="both"/>
              <w:rPr>
                <w:color w:val="auto"/>
                <w:sz w:val="20"/>
                <w:szCs w:val="20"/>
              </w:rPr>
            </w:pPr>
            <w:r w:rsidRPr="00420C1B">
              <w:rPr>
                <w:color w:val="auto"/>
                <w:sz w:val="20"/>
                <w:szCs w:val="20"/>
              </w:rPr>
              <w:t xml:space="preserve">Lutte contre l’érosion à </w:t>
            </w:r>
            <w:r w:rsidR="00FA0EB7" w:rsidRPr="00420C1B">
              <w:rPr>
                <w:color w:val="auto"/>
                <w:sz w:val="20"/>
                <w:szCs w:val="20"/>
              </w:rPr>
              <w:t>travers la</w:t>
            </w:r>
            <w:r w:rsidRPr="00420C1B">
              <w:rPr>
                <w:color w:val="auto"/>
                <w:sz w:val="20"/>
                <w:szCs w:val="20"/>
              </w:rPr>
              <w:t xml:space="preserve"> plantation d’espèces stabilisantes et adaptées comme le</w:t>
            </w:r>
            <w:r w:rsidR="00EF4D4D" w:rsidRPr="00420C1B">
              <w:rPr>
                <w:color w:val="auto"/>
                <w:sz w:val="20"/>
                <w:szCs w:val="20"/>
              </w:rPr>
              <w:t xml:space="preserve"> vétiver, le</w:t>
            </w:r>
            <w:r w:rsidRPr="00420C1B">
              <w:rPr>
                <w:color w:val="auto"/>
                <w:sz w:val="20"/>
                <w:szCs w:val="20"/>
              </w:rPr>
              <w:t xml:space="preserve"> </w:t>
            </w:r>
            <w:r w:rsidR="00FA0EB7" w:rsidRPr="00420C1B">
              <w:rPr>
                <w:color w:val="auto"/>
                <w:sz w:val="20"/>
                <w:szCs w:val="20"/>
              </w:rPr>
              <w:t>bambou, </w:t>
            </w:r>
            <w:r w:rsidRPr="00420C1B">
              <w:rPr>
                <w:color w:val="auto"/>
                <w:sz w:val="20"/>
                <w:szCs w:val="20"/>
              </w:rPr>
              <w:t>etc. ;</w:t>
            </w:r>
          </w:p>
          <w:p w14:paraId="61DCDF7C" w14:textId="77777777" w:rsidR="00ED17F3" w:rsidRPr="00420C1B" w:rsidRDefault="00ED17F3" w:rsidP="008C79F0">
            <w:pPr>
              <w:pStyle w:val="Lgende"/>
              <w:numPr>
                <w:ilvl w:val="0"/>
                <w:numId w:val="51"/>
              </w:numPr>
              <w:spacing w:after="0"/>
              <w:ind w:left="77" w:hanging="142"/>
              <w:jc w:val="both"/>
              <w:rPr>
                <w:color w:val="auto"/>
                <w:sz w:val="20"/>
                <w:szCs w:val="20"/>
              </w:rPr>
            </w:pPr>
            <w:r w:rsidRPr="00420C1B">
              <w:rPr>
                <w:color w:val="auto"/>
                <w:sz w:val="20"/>
                <w:szCs w:val="20"/>
              </w:rPr>
              <w:t>Protection des berges contre l’érosion hydrique ;</w:t>
            </w:r>
          </w:p>
          <w:p w14:paraId="717687C3" w14:textId="77777777" w:rsidR="00ED17F3" w:rsidRPr="00420C1B" w:rsidRDefault="00ED17F3" w:rsidP="008C79F0">
            <w:pPr>
              <w:pStyle w:val="Lgende"/>
              <w:numPr>
                <w:ilvl w:val="0"/>
                <w:numId w:val="51"/>
              </w:numPr>
              <w:spacing w:after="0"/>
              <w:ind w:left="77" w:hanging="142"/>
              <w:jc w:val="both"/>
              <w:rPr>
                <w:color w:val="auto"/>
                <w:sz w:val="20"/>
                <w:szCs w:val="20"/>
              </w:rPr>
            </w:pPr>
            <w:r w:rsidRPr="00420C1B">
              <w:rPr>
                <w:color w:val="auto"/>
                <w:sz w:val="20"/>
                <w:szCs w:val="20"/>
              </w:rPr>
              <w:t>Atténuation du changement climatique par la séquestration du carbone par la reforestation.</w:t>
            </w:r>
          </w:p>
        </w:tc>
        <w:tc>
          <w:tcPr>
            <w:tcW w:w="393" w:type="dxa"/>
          </w:tcPr>
          <w:p w14:paraId="6B433D5F" w14:textId="77777777" w:rsidR="00ED17F3" w:rsidRPr="00420C1B" w:rsidRDefault="00ED17F3" w:rsidP="007108ED">
            <w:pPr>
              <w:jc w:val="both"/>
              <w:rPr>
                <w:rFonts w:ascii="Times New Roman" w:hAnsi="Times New Roman"/>
                <w:sz w:val="20"/>
                <w:szCs w:val="20"/>
              </w:rPr>
            </w:pPr>
          </w:p>
        </w:tc>
        <w:tc>
          <w:tcPr>
            <w:tcW w:w="424" w:type="dxa"/>
            <w:shd w:val="clear" w:color="auto" w:fill="D9D9D9"/>
          </w:tcPr>
          <w:p w14:paraId="0D965755" w14:textId="77777777" w:rsidR="00ED17F3" w:rsidRPr="00420C1B" w:rsidRDefault="00ED17F3" w:rsidP="007108ED">
            <w:pPr>
              <w:jc w:val="both"/>
              <w:rPr>
                <w:rFonts w:ascii="Times New Roman" w:hAnsi="Times New Roman"/>
                <w:sz w:val="20"/>
                <w:szCs w:val="20"/>
              </w:rPr>
            </w:pPr>
          </w:p>
        </w:tc>
        <w:tc>
          <w:tcPr>
            <w:tcW w:w="567" w:type="dxa"/>
            <w:shd w:val="clear" w:color="auto" w:fill="FFFFFF"/>
          </w:tcPr>
          <w:p w14:paraId="5BA1080E"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4BBEF96C" w14:textId="77777777" w:rsidR="00ED17F3" w:rsidRPr="00420C1B" w:rsidRDefault="00ED17F3" w:rsidP="007108ED">
            <w:pPr>
              <w:jc w:val="both"/>
              <w:rPr>
                <w:rFonts w:ascii="Times New Roman" w:hAnsi="Times New Roman"/>
                <w:sz w:val="20"/>
                <w:szCs w:val="20"/>
              </w:rPr>
            </w:pPr>
          </w:p>
        </w:tc>
        <w:tc>
          <w:tcPr>
            <w:tcW w:w="519" w:type="dxa"/>
            <w:shd w:val="clear" w:color="auto" w:fill="FFFFFF"/>
          </w:tcPr>
          <w:p w14:paraId="78737321" w14:textId="77777777" w:rsidR="00ED17F3" w:rsidRPr="00420C1B" w:rsidRDefault="00ED17F3" w:rsidP="007108ED">
            <w:pPr>
              <w:jc w:val="both"/>
              <w:rPr>
                <w:rFonts w:ascii="Times New Roman" w:hAnsi="Times New Roman"/>
                <w:sz w:val="20"/>
                <w:szCs w:val="20"/>
              </w:rPr>
            </w:pPr>
          </w:p>
        </w:tc>
        <w:tc>
          <w:tcPr>
            <w:tcW w:w="425" w:type="dxa"/>
          </w:tcPr>
          <w:p w14:paraId="0014C376" w14:textId="77777777" w:rsidR="00ED17F3" w:rsidRPr="00420C1B" w:rsidRDefault="00ED17F3" w:rsidP="007108ED">
            <w:pPr>
              <w:jc w:val="both"/>
              <w:rPr>
                <w:rFonts w:ascii="Times New Roman" w:hAnsi="Times New Roman"/>
                <w:sz w:val="20"/>
                <w:szCs w:val="20"/>
              </w:rPr>
            </w:pPr>
          </w:p>
        </w:tc>
        <w:tc>
          <w:tcPr>
            <w:tcW w:w="428" w:type="dxa"/>
            <w:shd w:val="clear" w:color="auto" w:fill="FFFFFF"/>
          </w:tcPr>
          <w:p w14:paraId="379B2CC1" w14:textId="77777777" w:rsidR="00ED17F3" w:rsidRPr="00420C1B" w:rsidRDefault="00ED17F3" w:rsidP="007108ED">
            <w:pPr>
              <w:jc w:val="both"/>
              <w:rPr>
                <w:rFonts w:ascii="Times New Roman" w:hAnsi="Times New Roman"/>
                <w:sz w:val="20"/>
                <w:szCs w:val="20"/>
              </w:rPr>
            </w:pPr>
          </w:p>
        </w:tc>
        <w:tc>
          <w:tcPr>
            <w:tcW w:w="644" w:type="dxa"/>
          </w:tcPr>
          <w:p w14:paraId="5710CC5E"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3A7D1AF9" w14:textId="77777777" w:rsidR="00ED17F3" w:rsidRPr="00420C1B" w:rsidRDefault="00ED17F3" w:rsidP="007108ED">
            <w:pPr>
              <w:jc w:val="both"/>
              <w:rPr>
                <w:rFonts w:ascii="Times New Roman" w:hAnsi="Times New Roman"/>
                <w:sz w:val="20"/>
                <w:szCs w:val="20"/>
              </w:rPr>
            </w:pPr>
          </w:p>
        </w:tc>
        <w:tc>
          <w:tcPr>
            <w:tcW w:w="567" w:type="dxa"/>
          </w:tcPr>
          <w:p w14:paraId="6C80A0B7" w14:textId="77777777" w:rsidR="00ED17F3" w:rsidRPr="00420C1B" w:rsidRDefault="00ED17F3" w:rsidP="007108ED">
            <w:pPr>
              <w:jc w:val="both"/>
              <w:rPr>
                <w:rFonts w:ascii="Times New Roman" w:hAnsi="Times New Roman"/>
                <w:sz w:val="20"/>
                <w:szCs w:val="20"/>
              </w:rPr>
            </w:pPr>
          </w:p>
        </w:tc>
        <w:tc>
          <w:tcPr>
            <w:tcW w:w="754" w:type="dxa"/>
            <w:shd w:val="clear" w:color="auto" w:fill="D9D9D9"/>
          </w:tcPr>
          <w:p w14:paraId="1DA279A7" w14:textId="77777777" w:rsidR="00ED17F3" w:rsidRPr="00420C1B" w:rsidRDefault="00ED17F3" w:rsidP="007108ED">
            <w:pPr>
              <w:jc w:val="both"/>
              <w:rPr>
                <w:rFonts w:ascii="Times New Roman" w:hAnsi="Times New Roman"/>
                <w:sz w:val="20"/>
                <w:szCs w:val="20"/>
              </w:rPr>
            </w:pPr>
          </w:p>
        </w:tc>
        <w:tc>
          <w:tcPr>
            <w:tcW w:w="567" w:type="dxa"/>
          </w:tcPr>
          <w:p w14:paraId="7D21C82B" w14:textId="77777777" w:rsidR="00ED17F3" w:rsidRPr="00420C1B" w:rsidRDefault="00ED17F3" w:rsidP="007108ED">
            <w:pPr>
              <w:jc w:val="both"/>
              <w:rPr>
                <w:rFonts w:ascii="Times New Roman" w:hAnsi="Times New Roman"/>
                <w:sz w:val="20"/>
                <w:szCs w:val="20"/>
              </w:rPr>
            </w:pPr>
          </w:p>
        </w:tc>
      </w:tr>
      <w:tr w:rsidR="002C66D7" w:rsidRPr="00420C1B" w14:paraId="65E56D95" w14:textId="77777777" w:rsidTr="00420C1B">
        <w:trPr>
          <w:trHeight w:val="794"/>
          <w:jc w:val="center"/>
        </w:trPr>
        <w:tc>
          <w:tcPr>
            <w:tcW w:w="1016" w:type="dxa"/>
            <w:vMerge/>
            <w:vAlign w:val="center"/>
          </w:tcPr>
          <w:p w14:paraId="390E8968" w14:textId="77777777" w:rsidR="00ED17F3" w:rsidRPr="00420C1B" w:rsidRDefault="00ED17F3" w:rsidP="007108ED">
            <w:pPr>
              <w:jc w:val="center"/>
              <w:rPr>
                <w:rFonts w:ascii="Times New Roman" w:hAnsi="Times New Roman"/>
                <w:b/>
                <w:sz w:val="20"/>
                <w:szCs w:val="20"/>
              </w:rPr>
            </w:pPr>
          </w:p>
        </w:tc>
        <w:tc>
          <w:tcPr>
            <w:tcW w:w="2268" w:type="dxa"/>
            <w:vMerge/>
            <w:vAlign w:val="center"/>
          </w:tcPr>
          <w:p w14:paraId="7DBA330B" w14:textId="77777777" w:rsidR="00ED17F3" w:rsidRPr="00420C1B" w:rsidRDefault="00ED17F3" w:rsidP="007108ED">
            <w:pPr>
              <w:rPr>
                <w:rFonts w:ascii="Times New Roman" w:hAnsi="Times New Roman"/>
                <w:sz w:val="20"/>
                <w:szCs w:val="20"/>
              </w:rPr>
            </w:pPr>
          </w:p>
        </w:tc>
        <w:tc>
          <w:tcPr>
            <w:tcW w:w="1701" w:type="dxa"/>
            <w:vMerge/>
            <w:vAlign w:val="center"/>
          </w:tcPr>
          <w:p w14:paraId="6B452C26" w14:textId="77777777" w:rsidR="00ED17F3" w:rsidRPr="00420C1B" w:rsidRDefault="00ED17F3" w:rsidP="007108ED">
            <w:pPr>
              <w:rPr>
                <w:rFonts w:ascii="Times New Roman" w:hAnsi="Times New Roman"/>
                <w:sz w:val="20"/>
                <w:szCs w:val="20"/>
              </w:rPr>
            </w:pPr>
          </w:p>
        </w:tc>
        <w:tc>
          <w:tcPr>
            <w:tcW w:w="4911" w:type="dxa"/>
            <w:vMerge/>
            <w:vAlign w:val="center"/>
          </w:tcPr>
          <w:p w14:paraId="57BB9115" w14:textId="77777777" w:rsidR="00ED17F3" w:rsidRPr="00420C1B" w:rsidRDefault="00ED17F3" w:rsidP="007108ED">
            <w:pPr>
              <w:jc w:val="both"/>
              <w:rPr>
                <w:rFonts w:ascii="Times New Roman" w:hAnsi="Times New Roman"/>
                <w:sz w:val="20"/>
                <w:szCs w:val="20"/>
              </w:rPr>
            </w:pPr>
          </w:p>
        </w:tc>
        <w:tc>
          <w:tcPr>
            <w:tcW w:w="393" w:type="dxa"/>
          </w:tcPr>
          <w:p w14:paraId="51B9C664" w14:textId="77777777" w:rsidR="00ED17F3" w:rsidRPr="00420C1B" w:rsidRDefault="00ED17F3" w:rsidP="007108ED">
            <w:pPr>
              <w:jc w:val="both"/>
              <w:rPr>
                <w:rFonts w:ascii="Times New Roman" w:hAnsi="Times New Roman"/>
                <w:sz w:val="20"/>
                <w:szCs w:val="20"/>
              </w:rPr>
            </w:pPr>
          </w:p>
        </w:tc>
        <w:tc>
          <w:tcPr>
            <w:tcW w:w="424" w:type="dxa"/>
            <w:shd w:val="clear" w:color="auto" w:fill="D9D9D9"/>
          </w:tcPr>
          <w:p w14:paraId="5EFCDC84" w14:textId="77777777" w:rsidR="00ED17F3" w:rsidRPr="00420C1B" w:rsidRDefault="00ED17F3" w:rsidP="007108ED">
            <w:pPr>
              <w:jc w:val="both"/>
              <w:rPr>
                <w:rFonts w:ascii="Times New Roman" w:hAnsi="Times New Roman"/>
                <w:sz w:val="20"/>
                <w:szCs w:val="20"/>
              </w:rPr>
            </w:pPr>
          </w:p>
        </w:tc>
        <w:tc>
          <w:tcPr>
            <w:tcW w:w="567" w:type="dxa"/>
          </w:tcPr>
          <w:p w14:paraId="25A4AD44"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3997C01A" w14:textId="77777777" w:rsidR="00ED17F3" w:rsidRPr="00420C1B" w:rsidRDefault="00ED17F3" w:rsidP="007108ED">
            <w:pPr>
              <w:jc w:val="both"/>
              <w:rPr>
                <w:rFonts w:ascii="Times New Roman" w:hAnsi="Times New Roman"/>
                <w:sz w:val="20"/>
                <w:szCs w:val="20"/>
              </w:rPr>
            </w:pPr>
          </w:p>
        </w:tc>
        <w:tc>
          <w:tcPr>
            <w:tcW w:w="519" w:type="dxa"/>
            <w:shd w:val="clear" w:color="auto" w:fill="FFFFFF"/>
          </w:tcPr>
          <w:p w14:paraId="0DB17A58" w14:textId="77777777" w:rsidR="00ED17F3" w:rsidRPr="00420C1B" w:rsidRDefault="00ED17F3" w:rsidP="007108ED">
            <w:pPr>
              <w:jc w:val="both"/>
              <w:rPr>
                <w:rFonts w:ascii="Times New Roman" w:hAnsi="Times New Roman"/>
                <w:sz w:val="20"/>
                <w:szCs w:val="20"/>
              </w:rPr>
            </w:pPr>
          </w:p>
        </w:tc>
        <w:tc>
          <w:tcPr>
            <w:tcW w:w="425" w:type="dxa"/>
          </w:tcPr>
          <w:p w14:paraId="6CAF2DB9" w14:textId="77777777" w:rsidR="00ED17F3" w:rsidRPr="00420C1B" w:rsidRDefault="00ED17F3" w:rsidP="007108ED">
            <w:pPr>
              <w:jc w:val="both"/>
              <w:rPr>
                <w:rFonts w:ascii="Times New Roman" w:hAnsi="Times New Roman"/>
                <w:sz w:val="20"/>
                <w:szCs w:val="20"/>
              </w:rPr>
            </w:pPr>
          </w:p>
        </w:tc>
        <w:tc>
          <w:tcPr>
            <w:tcW w:w="428" w:type="dxa"/>
            <w:shd w:val="clear" w:color="auto" w:fill="FFFFFF"/>
          </w:tcPr>
          <w:p w14:paraId="177A1569" w14:textId="77777777" w:rsidR="00ED17F3" w:rsidRPr="00420C1B" w:rsidRDefault="00ED17F3" w:rsidP="007108ED">
            <w:pPr>
              <w:jc w:val="both"/>
              <w:rPr>
                <w:rFonts w:ascii="Times New Roman" w:hAnsi="Times New Roman"/>
                <w:sz w:val="20"/>
                <w:szCs w:val="20"/>
              </w:rPr>
            </w:pPr>
          </w:p>
        </w:tc>
        <w:tc>
          <w:tcPr>
            <w:tcW w:w="644" w:type="dxa"/>
          </w:tcPr>
          <w:p w14:paraId="419412B8"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689EF1CF" w14:textId="77777777" w:rsidR="00ED17F3" w:rsidRPr="00420C1B" w:rsidRDefault="00ED17F3" w:rsidP="007108ED">
            <w:pPr>
              <w:jc w:val="both"/>
              <w:rPr>
                <w:rFonts w:ascii="Times New Roman" w:hAnsi="Times New Roman"/>
                <w:sz w:val="20"/>
                <w:szCs w:val="20"/>
              </w:rPr>
            </w:pPr>
          </w:p>
        </w:tc>
        <w:tc>
          <w:tcPr>
            <w:tcW w:w="567" w:type="dxa"/>
          </w:tcPr>
          <w:p w14:paraId="34AF91A7" w14:textId="77777777" w:rsidR="00ED17F3" w:rsidRPr="00420C1B" w:rsidRDefault="00ED17F3" w:rsidP="007108ED">
            <w:pPr>
              <w:jc w:val="both"/>
              <w:rPr>
                <w:rFonts w:ascii="Times New Roman" w:hAnsi="Times New Roman"/>
                <w:sz w:val="20"/>
                <w:szCs w:val="20"/>
              </w:rPr>
            </w:pPr>
          </w:p>
        </w:tc>
        <w:tc>
          <w:tcPr>
            <w:tcW w:w="754" w:type="dxa"/>
            <w:shd w:val="clear" w:color="auto" w:fill="D9D9D9"/>
          </w:tcPr>
          <w:p w14:paraId="4E738C62" w14:textId="77777777" w:rsidR="00ED17F3" w:rsidRPr="00420C1B" w:rsidRDefault="00ED17F3" w:rsidP="007108ED">
            <w:pPr>
              <w:jc w:val="both"/>
              <w:rPr>
                <w:rFonts w:ascii="Times New Roman" w:hAnsi="Times New Roman"/>
                <w:sz w:val="20"/>
                <w:szCs w:val="20"/>
              </w:rPr>
            </w:pPr>
          </w:p>
        </w:tc>
        <w:tc>
          <w:tcPr>
            <w:tcW w:w="567" w:type="dxa"/>
          </w:tcPr>
          <w:p w14:paraId="41DD67D7" w14:textId="77777777" w:rsidR="00ED17F3" w:rsidRPr="00420C1B" w:rsidRDefault="00ED17F3" w:rsidP="007108ED">
            <w:pPr>
              <w:jc w:val="both"/>
              <w:rPr>
                <w:rFonts w:ascii="Times New Roman" w:hAnsi="Times New Roman"/>
                <w:sz w:val="20"/>
                <w:szCs w:val="20"/>
              </w:rPr>
            </w:pPr>
          </w:p>
        </w:tc>
      </w:tr>
      <w:tr w:rsidR="002C66D7" w:rsidRPr="00420C1B" w14:paraId="5BC2226F" w14:textId="77777777" w:rsidTr="00420C1B">
        <w:trPr>
          <w:trHeight w:val="1190"/>
          <w:jc w:val="center"/>
        </w:trPr>
        <w:tc>
          <w:tcPr>
            <w:tcW w:w="1016" w:type="dxa"/>
            <w:vMerge w:val="restart"/>
            <w:textDirection w:val="btLr"/>
            <w:vAlign w:val="center"/>
          </w:tcPr>
          <w:p w14:paraId="2DA9DC19" w14:textId="77777777" w:rsidR="00ED17F3" w:rsidRPr="00420C1B" w:rsidRDefault="00ED17F3" w:rsidP="007108ED">
            <w:pPr>
              <w:ind w:left="113" w:right="113"/>
              <w:jc w:val="center"/>
              <w:rPr>
                <w:rFonts w:ascii="Times New Roman" w:hAnsi="Times New Roman"/>
                <w:b/>
                <w:sz w:val="20"/>
                <w:szCs w:val="20"/>
              </w:rPr>
            </w:pPr>
            <w:r w:rsidRPr="00420C1B">
              <w:rPr>
                <w:rFonts w:ascii="Times New Roman" w:hAnsi="Times New Roman"/>
                <w:b/>
                <w:sz w:val="20"/>
                <w:szCs w:val="20"/>
              </w:rPr>
              <w:t>EXPLOITATION</w:t>
            </w:r>
          </w:p>
        </w:tc>
        <w:tc>
          <w:tcPr>
            <w:tcW w:w="2268" w:type="dxa"/>
            <w:vAlign w:val="center"/>
          </w:tcPr>
          <w:p w14:paraId="686D854B" w14:textId="77777777" w:rsidR="00ED17F3" w:rsidRPr="00420C1B" w:rsidRDefault="00ED17F3" w:rsidP="00E737B4">
            <w:pPr>
              <w:ind w:left="34"/>
              <w:rPr>
                <w:rFonts w:ascii="Times New Roman" w:hAnsi="Times New Roman"/>
                <w:sz w:val="20"/>
                <w:szCs w:val="20"/>
              </w:rPr>
            </w:pPr>
            <w:r w:rsidRPr="00420C1B">
              <w:rPr>
                <w:rFonts w:ascii="Times New Roman" w:hAnsi="Times New Roman"/>
                <w:sz w:val="20"/>
                <w:szCs w:val="20"/>
              </w:rPr>
              <w:t>Mise en service des lignes et cabines</w:t>
            </w:r>
          </w:p>
        </w:tc>
        <w:tc>
          <w:tcPr>
            <w:tcW w:w="1701" w:type="dxa"/>
            <w:vMerge w:val="restart"/>
            <w:vAlign w:val="center"/>
          </w:tcPr>
          <w:p w14:paraId="4C9F82C2" w14:textId="77777777" w:rsidR="00ED17F3" w:rsidRPr="00420C1B" w:rsidRDefault="00ED17F3" w:rsidP="007108ED">
            <w:pPr>
              <w:spacing w:after="0" w:line="240" w:lineRule="auto"/>
              <w:rPr>
                <w:rFonts w:ascii="Times New Roman" w:hAnsi="Times New Roman"/>
                <w:sz w:val="20"/>
                <w:szCs w:val="20"/>
              </w:rPr>
            </w:pPr>
            <w:r w:rsidRPr="00420C1B">
              <w:rPr>
                <w:rFonts w:ascii="Times New Roman" w:hAnsi="Times New Roman"/>
                <w:sz w:val="20"/>
                <w:szCs w:val="20"/>
              </w:rPr>
              <w:t>Végétation</w:t>
            </w:r>
          </w:p>
          <w:p w14:paraId="1E6837A0" w14:textId="77777777" w:rsidR="00ED17F3" w:rsidRPr="00420C1B" w:rsidRDefault="00ED17F3" w:rsidP="007108ED">
            <w:pPr>
              <w:spacing w:after="0" w:line="240" w:lineRule="auto"/>
              <w:rPr>
                <w:rFonts w:ascii="Times New Roman" w:hAnsi="Times New Roman"/>
                <w:sz w:val="20"/>
                <w:szCs w:val="20"/>
              </w:rPr>
            </w:pPr>
            <w:r w:rsidRPr="00420C1B">
              <w:rPr>
                <w:rFonts w:ascii="Times New Roman" w:hAnsi="Times New Roman"/>
                <w:sz w:val="20"/>
                <w:szCs w:val="20"/>
              </w:rPr>
              <w:t>Sols</w:t>
            </w:r>
          </w:p>
          <w:p w14:paraId="1F2AC53A" w14:textId="77777777" w:rsidR="00ED17F3" w:rsidRPr="00420C1B" w:rsidRDefault="00ED17F3" w:rsidP="007108ED">
            <w:pPr>
              <w:spacing w:after="0" w:line="240" w:lineRule="auto"/>
              <w:rPr>
                <w:rFonts w:ascii="Times New Roman" w:hAnsi="Times New Roman"/>
                <w:sz w:val="20"/>
                <w:szCs w:val="20"/>
              </w:rPr>
            </w:pPr>
            <w:r w:rsidRPr="00420C1B">
              <w:rPr>
                <w:rFonts w:ascii="Times New Roman" w:hAnsi="Times New Roman"/>
                <w:sz w:val="20"/>
                <w:szCs w:val="20"/>
              </w:rPr>
              <w:t>Eau</w:t>
            </w:r>
          </w:p>
          <w:p w14:paraId="46DCFC37" w14:textId="77777777" w:rsidR="00ED17F3" w:rsidRPr="00420C1B" w:rsidRDefault="00ED17F3" w:rsidP="007108ED">
            <w:pPr>
              <w:spacing w:after="0" w:line="240" w:lineRule="auto"/>
              <w:rPr>
                <w:rFonts w:ascii="Times New Roman" w:hAnsi="Times New Roman"/>
                <w:sz w:val="20"/>
                <w:szCs w:val="20"/>
              </w:rPr>
            </w:pPr>
            <w:r w:rsidRPr="00420C1B">
              <w:rPr>
                <w:rFonts w:ascii="Times New Roman" w:hAnsi="Times New Roman"/>
                <w:sz w:val="20"/>
                <w:szCs w:val="20"/>
              </w:rPr>
              <w:t>Faune</w:t>
            </w:r>
          </w:p>
        </w:tc>
        <w:tc>
          <w:tcPr>
            <w:tcW w:w="4911" w:type="dxa"/>
            <w:vAlign w:val="center"/>
          </w:tcPr>
          <w:p w14:paraId="26C4A206" w14:textId="77777777" w:rsidR="00ED17F3" w:rsidRPr="00420C1B" w:rsidRDefault="00ED17F3" w:rsidP="00FD1CA1">
            <w:pPr>
              <w:pStyle w:val="Lgende"/>
              <w:numPr>
                <w:ilvl w:val="0"/>
                <w:numId w:val="13"/>
              </w:numPr>
              <w:spacing w:after="0"/>
              <w:ind w:left="83" w:hanging="142"/>
              <w:jc w:val="both"/>
              <w:rPr>
                <w:color w:val="auto"/>
                <w:sz w:val="20"/>
                <w:szCs w:val="20"/>
              </w:rPr>
            </w:pPr>
            <w:r w:rsidRPr="00420C1B">
              <w:rPr>
                <w:color w:val="auto"/>
                <w:sz w:val="20"/>
                <w:szCs w:val="20"/>
              </w:rPr>
              <w:t xml:space="preserve">Lutte contre la pollution : l’accès à l’électrification dans un cadre contrôlé diminuera les émissions de </w:t>
            </w:r>
            <w:r w:rsidR="00EF4D4D" w:rsidRPr="00420C1B">
              <w:rPr>
                <w:color w:val="auto"/>
                <w:sz w:val="20"/>
                <w:szCs w:val="20"/>
              </w:rPr>
              <w:t>gaz à effet de serre (</w:t>
            </w:r>
            <w:r w:rsidRPr="00420C1B">
              <w:rPr>
                <w:color w:val="auto"/>
                <w:sz w:val="20"/>
                <w:szCs w:val="20"/>
              </w:rPr>
              <w:t>GES</w:t>
            </w:r>
            <w:r w:rsidR="00EF4D4D" w:rsidRPr="00420C1B">
              <w:rPr>
                <w:color w:val="auto"/>
                <w:sz w:val="20"/>
                <w:szCs w:val="20"/>
              </w:rPr>
              <w:t>)</w:t>
            </w:r>
            <w:r w:rsidRPr="00420C1B">
              <w:rPr>
                <w:color w:val="auto"/>
                <w:sz w:val="20"/>
                <w:szCs w:val="20"/>
              </w:rPr>
              <w:t xml:space="preserve"> et protège la végétation en se substituant au charbon de bois et bois de chauffe.</w:t>
            </w:r>
          </w:p>
          <w:p w14:paraId="60888410" w14:textId="77777777" w:rsidR="00ED17F3" w:rsidRPr="00420C1B" w:rsidRDefault="00ED17F3" w:rsidP="00FD1CA1">
            <w:pPr>
              <w:pStyle w:val="Lgende"/>
              <w:numPr>
                <w:ilvl w:val="0"/>
                <w:numId w:val="13"/>
              </w:numPr>
              <w:spacing w:after="0"/>
              <w:ind w:left="83" w:hanging="142"/>
              <w:jc w:val="both"/>
              <w:rPr>
                <w:color w:val="auto"/>
                <w:sz w:val="20"/>
                <w:szCs w:val="20"/>
              </w:rPr>
            </w:pPr>
            <w:r w:rsidRPr="00420C1B">
              <w:rPr>
                <w:color w:val="auto"/>
                <w:sz w:val="20"/>
                <w:szCs w:val="20"/>
              </w:rPr>
              <w:t xml:space="preserve">La stabilisation et la restauration des sols après les travaux contribueront à la réduction des risques d’érosion. </w:t>
            </w:r>
          </w:p>
        </w:tc>
        <w:tc>
          <w:tcPr>
            <w:tcW w:w="393" w:type="dxa"/>
          </w:tcPr>
          <w:p w14:paraId="703F4961" w14:textId="77777777" w:rsidR="00ED17F3" w:rsidRPr="00420C1B" w:rsidRDefault="00ED17F3" w:rsidP="007108ED">
            <w:pPr>
              <w:jc w:val="both"/>
              <w:rPr>
                <w:rFonts w:ascii="Times New Roman" w:hAnsi="Times New Roman"/>
                <w:sz w:val="20"/>
                <w:szCs w:val="20"/>
              </w:rPr>
            </w:pPr>
          </w:p>
        </w:tc>
        <w:tc>
          <w:tcPr>
            <w:tcW w:w="424" w:type="dxa"/>
          </w:tcPr>
          <w:p w14:paraId="46EEF9D6" w14:textId="77777777" w:rsidR="00ED17F3" w:rsidRPr="00420C1B" w:rsidRDefault="00ED17F3" w:rsidP="007108ED">
            <w:pPr>
              <w:jc w:val="both"/>
              <w:rPr>
                <w:rFonts w:ascii="Times New Roman" w:hAnsi="Times New Roman"/>
                <w:sz w:val="20"/>
                <w:szCs w:val="20"/>
              </w:rPr>
            </w:pPr>
          </w:p>
        </w:tc>
        <w:tc>
          <w:tcPr>
            <w:tcW w:w="567" w:type="dxa"/>
            <w:shd w:val="clear" w:color="auto" w:fill="D9D9D9"/>
          </w:tcPr>
          <w:p w14:paraId="58F35A49" w14:textId="77777777" w:rsidR="00ED17F3" w:rsidRPr="00420C1B" w:rsidRDefault="00ED17F3" w:rsidP="007108ED">
            <w:pPr>
              <w:jc w:val="both"/>
              <w:rPr>
                <w:rFonts w:ascii="Times New Roman" w:hAnsi="Times New Roman"/>
                <w:sz w:val="20"/>
                <w:szCs w:val="20"/>
              </w:rPr>
            </w:pPr>
          </w:p>
        </w:tc>
        <w:tc>
          <w:tcPr>
            <w:tcW w:w="425" w:type="dxa"/>
          </w:tcPr>
          <w:p w14:paraId="0ADB90AB" w14:textId="77777777" w:rsidR="00ED17F3" w:rsidRPr="00420C1B" w:rsidRDefault="00ED17F3" w:rsidP="007108ED">
            <w:pPr>
              <w:jc w:val="both"/>
              <w:rPr>
                <w:rFonts w:ascii="Times New Roman" w:hAnsi="Times New Roman"/>
                <w:sz w:val="20"/>
                <w:szCs w:val="20"/>
              </w:rPr>
            </w:pPr>
          </w:p>
        </w:tc>
        <w:tc>
          <w:tcPr>
            <w:tcW w:w="519" w:type="dxa"/>
            <w:shd w:val="clear" w:color="auto" w:fill="D9D9D9"/>
          </w:tcPr>
          <w:p w14:paraId="2449A40C" w14:textId="77777777" w:rsidR="00ED17F3" w:rsidRPr="00420C1B" w:rsidRDefault="00ED17F3" w:rsidP="007108ED">
            <w:pPr>
              <w:jc w:val="both"/>
              <w:rPr>
                <w:rFonts w:ascii="Times New Roman" w:hAnsi="Times New Roman"/>
                <w:sz w:val="20"/>
                <w:szCs w:val="20"/>
              </w:rPr>
            </w:pPr>
          </w:p>
        </w:tc>
        <w:tc>
          <w:tcPr>
            <w:tcW w:w="425" w:type="dxa"/>
          </w:tcPr>
          <w:p w14:paraId="3827357B" w14:textId="77777777" w:rsidR="00ED17F3" w:rsidRPr="00420C1B" w:rsidRDefault="00ED17F3" w:rsidP="007108ED">
            <w:pPr>
              <w:jc w:val="both"/>
              <w:rPr>
                <w:rFonts w:ascii="Times New Roman" w:hAnsi="Times New Roman"/>
                <w:sz w:val="20"/>
                <w:szCs w:val="20"/>
              </w:rPr>
            </w:pPr>
          </w:p>
        </w:tc>
        <w:tc>
          <w:tcPr>
            <w:tcW w:w="428" w:type="dxa"/>
          </w:tcPr>
          <w:p w14:paraId="533B7059" w14:textId="77777777" w:rsidR="00ED17F3" w:rsidRPr="00420C1B" w:rsidRDefault="00ED17F3" w:rsidP="007108ED">
            <w:pPr>
              <w:jc w:val="both"/>
              <w:rPr>
                <w:rFonts w:ascii="Times New Roman" w:hAnsi="Times New Roman"/>
                <w:sz w:val="20"/>
                <w:szCs w:val="20"/>
              </w:rPr>
            </w:pPr>
          </w:p>
        </w:tc>
        <w:tc>
          <w:tcPr>
            <w:tcW w:w="644" w:type="dxa"/>
          </w:tcPr>
          <w:p w14:paraId="2A51D6CF"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20AA79D3" w14:textId="77777777" w:rsidR="00ED17F3" w:rsidRPr="00420C1B" w:rsidRDefault="00ED17F3" w:rsidP="007108ED">
            <w:pPr>
              <w:jc w:val="both"/>
              <w:rPr>
                <w:rFonts w:ascii="Times New Roman" w:hAnsi="Times New Roman"/>
                <w:sz w:val="20"/>
                <w:szCs w:val="20"/>
              </w:rPr>
            </w:pPr>
          </w:p>
        </w:tc>
        <w:tc>
          <w:tcPr>
            <w:tcW w:w="567" w:type="dxa"/>
          </w:tcPr>
          <w:p w14:paraId="47105716" w14:textId="77777777" w:rsidR="00ED17F3" w:rsidRPr="00420C1B" w:rsidRDefault="00ED17F3" w:rsidP="007108ED">
            <w:pPr>
              <w:jc w:val="both"/>
              <w:rPr>
                <w:rFonts w:ascii="Times New Roman" w:hAnsi="Times New Roman"/>
                <w:sz w:val="20"/>
                <w:szCs w:val="20"/>
              </w:rPr>
            </w:pPr>
          </w:p>
        </w:tc>
        <w:tc>
          <w:tcPr>
            <w:tcW w:w="754" w:type="dxa"/>
          </w:tcPr>
          <w:p w14:paraId="58E9D31D" w14:textId="77777777" w:rsidR="00ED17F3" w:rsidRPr="00420C1B" w:rsidRDefault="00ED17F3" w:rsidP="007108ED">
            <w:pPr>
              <w:jc w:val="both"/>
              <w:rPr>
                <w:rFonts w:ascii="Times New Roman" w:hAnsi="Times New Roman"/>
                <w:sz w:val="20"/>
                <w:szCs w:val="20"/>
              </w:rPr>
            </w:pPr>
          </w:p>
        </w:tc>
        <w:tc>
          <w:tcPr>
            <w:tcW w:w="567" w:type="dxa"/>
            <w:shd w:val="clear" w:color="auto" w:fill="D9D9D9"/>
          </w:tcPr>
          <w:p w14:paraId="1D54DD7F" w14:textId="77777777" w:rsidR="00ED17F3" w:rsidRPr="00420C1B" w:rsidRDefault="00ED17F3" w:rsidP="007108ED">
            <w:pPr>
              <w:jc w:val="both"/>
              <w:rPr>
                <w:rFonts w:ascii="Times New Roman" w:hAnsi="Times New Roman"/>
                <w:sz w:val="20"/>
                <w:szCs w:val="20"/>
              </w:rPr>
            </w:pPr>
          </w:p>
        </w:tc>
      </w:tr>
      <w:tr w:rsidR="002C66D7" w:rsidRPr="00420C1B" w14:paraId="34438C43" w14:textId="77777777" w:rsidTr="00420C1B">
        <w:trPr>
          <w:trHeight w:val="758"/>
          <w:jc w:val="center"/>
        </w:trPr>
        <w:tc>
          <w:tcPr>
            <w:tcW w:w="1016" w:type="dxa"/>
            <w:vMerge/>
            <w:textDirection w:val="btLr"/>
            <w:vAlign w:val="center"/>
          </w:tcPr>
          <w:p w14:paraId="41AFD93C" w14:textId="77777777" w:rsidR="00ED17F3" w:rsidRPr="00420C1B" w:rsidRDefault="00ED17F3" w:rsidP="007108ED">
            <w:pPr>
              <w:ind w:left="113" w:right="113"/>
              <w:jc w:val="center"/>
              <w:rPr>
                <w:rFonts w:ascii="Times New Roman" w:hAnsi="Times New Roman"/>
                <w:b/>
                <w:sz w:val="20"/>
                <w:szCs w:val="20"/>
              </w:rPr>
            </w:pPr>
          </w:p>
        </w:tc>
        <w:tc>
          <w:tcPr>
            <w:tcW w:w="2268" w:type="dxa"/>
            <w:vAlign w:val="center"/>
          </w:tcPr>
          <w:p w14:paraId="122DB5A1" w14:textId="77777777" w:rsidR="00ED17F3" w:rsidRPr="00420C1B" w:rsidRDefault="00ED17F3" w:rsidP="00E737B4">
            <w:pPr>
              <w:ind w:left="34"/>
              <w:rPr>
                <w:rFonts w:ascii="Times New Roman" w:hAnsi="Times New Roman"/>
                <w:sz w:val="20"/>
                <w:szCs w:val="20"/>
              </w:rPr>
            </w:pPr>
            <w:r w:rsidRPr="00420C1B">
              <w:rPr>
                <w:rFonts w:ascii="Times New Roman" w:hAnsi="Times New Roman"/>
                <w:sz w:val="20"/>
                <w:szCs w:val="20"/>
              </w:rPr>
              <w:t>Gestion de déchets</w:t>
            </w:r>
          </w:p>
        </w:tc>
        <w:tc>
          <w:tcPr>
            <w:tcW w:w="1701" w:type="dxa"/>
            <w:vMerge/>
            <w:vAlign w:val="center"/>
          </w:tcPr>
          <w:p w14:paraId="7E9DAB5D" w14:textId="77777777" w:rsidR="00ED17F3" w:rsidRPr="00420C1B" w:rsidRDefault="00ED17F3" w:rsidP="007108ED">
            <w:pPr>
              <w:rPr>
                <w:rFonts w:ascii="Times New Roman" w:hAnsi="Times New Roman"/>
                <w:sz w:val="20"/>
                <w:szCs w:val="20"/>
              </w:rPr>
            </w:pPr>
          </w:p>
        </w:tc>
        <w:tc>
          <w:tcPr>
            <w:tcW w:w="4911" w:type="dxa"/>
            <w:vAlign w:val="center"/>
          </w:tcPr>
          <w:p w14:paraId="01C412BD" w14:textId="77777777" w:rsidR="00ED17F3" w:rsidRPr="00420C1B" w:rsidRDefault="00ED17F3" w:rsidP="00FD1CA1">
            <w:pPr>
              <w:pStyle w:val="Lgende"/>
              <w:numPr>
                <w:ilvl w:val="0"/>
                <w:numId w:val="13"/>
              </w:numPr>
              <w:spacing w:after="0"/>
              <w:ind w:left="225" w:hanging="225"/>
              <w:jc w:val="both"/>
              <w:rPr>
                <w:color w:val="auto"/>
                <w:sz w:val="20"/>
                <w:szCs w:val="20"/>
              </w:rPr>
            </w:pPr>
            <w:r w:rsidRPr="00420C1B">
              <w:rPr>
                <w:color w:val="auto"/>
                <w:sz w:val="20"/>
                <w:szCs w:val="20"/>
              </w:rPr>
              <w:t>Réduction de la pollution : la mise en place des bacs à ordures permettra de récupérer les déchets et réduire de façon sensible les pollutions sur le milieu.</w:t>
            </w:r>
          </w:p>
        </w:tc>
        <w:tc>
          <w:tcPr>
            <w:tcW w:w="393" w:type="dxa"/>
          </w:tcPr>
          <w:p w14:paraId="5A0F8B30" w14:textId="77777777" w:rsidR="00ED17F3" w:rsidRPr="00420C1B" w:rsidRDefault="00ED17F3" w:rsidP="007108ED">
            <w:pPr>
              <w:jc w:val="both"/>
              <w:rPr>
                <w:rFonts w:ascii="Times New Roman" w:hAnsi="Times New Roman"/>
                <w:sz w:val="20"/>
                <w:szCs w:val="20"/>
              </w:rPr>
            </w:pPr>
          </w:p>
        </w:tc>
        <w:tc>
          <w:tcPr>
            <w:tcW w:w="424" w:type="dxa"/>
          </w:tcPr>
          <w:p w14:paraId="215BA8ED" w14:textId="77777777" w:rsidR="00ED17F3" w:rsidRPr="00420C1B" w:rsidRDefault="00ED17F3" w:rsidP="007108ED">
            <w:pPr>
              <w:jc w:val="both"/>
              <w:rPr>
                <w:rFonts w:ascii="Times New Roman" w:hAnsi="Times New Roman"/>
                <w:sz w:val="20"/>
                <w:szCs w:val="20"/>
              </w:rPr>
            </w:pPr>
          </w:p>
        </w:tc>
        <w:tc>
          <w:tcPr>
            <w:tcW w:w="567" w:type="dxa"/>
            <w:shd w:val="clear" w:color="auto" w:fill="D9D9D9"/>
          </w:tcPr>
          <w:p w14:paraId="546C5993"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5BB52F32" w14:textId="77777777" w:rsidR="00ED17F3" w:rsidRPr="00420C1B" w:rsidRDefault="00ED17F3" w:rsidP="007108ED">
            <w:pPr>
              <w:jc w:val="both"/>
              <w:rPr>
                <w:rFonts w:ascii="Times New Roman" w:hAnsi="Times New Roman"/>
                <w:sz w:val="20"/>
                <w:szCs w:val="20"/>
              </w:rPr>
            </w:pPr>
          </w:p>
        </w:tc>
        <w:tc>
          <w:tcPr>
            <w:tcW w:w="519" w:type="dxa"/>
            <w:shd w:val="clear" w:color="auto" w:fill="FFFFFF"/>
          </w:tcPr>
          <w:p w14:paraId="50E0865A" w14:textId="77777777" w:rsidR="00ED17F3" w:rsidRPr="00420C1B" w:rsidRDefault="00ED17F3" w:rsidP="007108ED">
            <w:pPr>
              <w:jc w:val="both"/>
              <w:rPr>
                <w:rFonts w:ascii="Times New Roman" w:hAnsi="Times New Roman"/>
                <w:sz w:val="20"/>
                <w:szCs w:val="20"/>
              </w:rPr>
            </w:pPr>
          </w:p>
        </w:tc>
        <w:tc>
          <w:tcPr>
            <w:tcW w:w="425" w:type="dxa"/>
          </w:tcPr>
          <w:p w14:paraId="508F07D5" w14:textId="77777777" w:rsidR="00ED17F3" w:rsidRPr="00420C1B" w:rsidRDefault="00ED17F3" w:rsidP="007108ED">
            <w:pPr>
              <w:jc w:val="both"/>
              <w:rPr>
                <w:rFonts w:ascii="Times New Roman" w:hAnsi="Times New Roman"/>
                <w:sz w:val="20"/>
                <w:szCs w:val="20"/>
              </w:rPr>
            </w:pPr>
          </w:p>
        </w:tc>
        <w:tc>
          <w:tcPr>
            <w:tcW w:w="428" w:type="dxa"/>
          </w:tcPr>
          <w:p w14:paraId="1A2C47C1" w14:textId="77777777" w:rsidR="00ED17F3" w:rsidRPr="00420C1B" w:rsidRDefault="00ED17F3" w:rsidP="007108ED">
            <w:pPr>
              <w:jc w:val="both"/>
              <w:rPr>
                <w:rFonts w:ascii="Times New Roman" w:hAnsi="Times New Roman"/>
                <w:sz w:val="20"/>
                <w:szCs w:val="20"/>
              </w:rPr>
            </w:pPr>
          </w:p>
        </w:tc>
        <w:tc>
          <w:tcPr>
            <w:tcW w:w="644" w:type="dxa"/>
          </w:tcPr>
          <w:p w14:paraId="2FC974A1" w14:textId="77777777" w:rsidR="00ED17F3" w:rsidRPr="00420C1B" w:rsidRDefault="00ED17F3" w:rsidP="007108ED">
            <w:pPr>
              <w:jc w:val="both"/>
              <w:rPr>
                <w:rFonts w:ascii="Times New Roman" w:hAnsi="Times New Roman"/>
                <w:sz w:val="20"/>
                <w:szCs w:val="20"/>
              </w:rPr>
            </w:pPr>
          </w:p>
        </w:tc>
        <w:tc>
          <w:tcPr>
            <w:tcW w:w="425" w:type="dxa"/>
            <w:shd w:val="clear" w:color="auto" w:fill="D9D9D9"/>
          </w:tcPr>
          <w:p w14:paraId="5E8C2332" w14:textId="77777777" w:rsidR="00ED17F3" w:rsidRPr="00420C1B" w:rsidRDefault="00ED17F3" w:rsidP="007108ED">
            <w:pPr>
              <w:jc w:val="both"/>
              <w:rPr>
                <w:rFonts w:ascii="Times New Roman" w:hAnsi="Times New Roman"/>
                <w:sz w:val="20"/>
                <w:szCs w:val="20"/>
              </w:rPr>
            </w:pPr>
          </w:p>
        </w:tc>
        <w:tc>
          <w:tcPr>
            <w:tcW w:w="567" w:type="dxa"/>
          </w:tcPr>
          <w:p w14:paraId="412F25C8" w14:textId="77777777" w:rsidR="00ED17F3" w:rsidRPr="00420C1B" w:rsidRDefault="00ED17F3" w:rsidP="007108ED">
            <w:pPr>
              <w:jc w:val="both"/>
              <w:rPr>
                <w:rFonts w:ascii="Times New Roman" w:hAnsi="Times New Roman"/>
                <w:sz w:val="20"/>
                <w:szCs w:val="20"/>
              </w:rPr>
            </w:pPr>
          </w:p>
        </w:tc>
        <w:tc>
          <w:tcPr>
            <w:tcW w:w="754" w:type="dxa"/>
          </w:tcPr>
          <w:p w14:paraId="48C943B8" w14:textId="77777777" w:rsidR="00ED17F3" w:rsidRPr="00420C1B" w:rsidRDefault="00ED17F3" w:rsidP="007108ED">
            <w:pPr>
              <w:jc w:val="both"/>
              <w:rPr>
                <w:rFonts w:ascii="Times New Roman" w:hAnsi="Times New Roman"/>
                <w:sz w:val="20"/>
                <w:szCs w:val="20"/>
              </w:rPr>
            </w:pPr>
          </w:p>
        </w:tc>
        <w:tc>
          <w:tcPr>
            <w:tcW w:w="567" w:type="dxa"/>
            <w:shd w:val="clear" w:color="auto" w:fill="D9D9D9"/>
          </w:tcPr>
          <w:p w14:paraId="6C37D06B" w14:textId="77777777" w:rsidR="00ED17F3" w:rsidRPr="00420C1B" w:rsidRDefault="00ED17F3" w:rsidP="007108ED">
            <w:pPr>
              <w:jc w:val="both"/>
              <w:rPr>
                <w:rFonts w:ascii="Times New Roman" w:hAnsi="Times New Roman"/>
                <w:sz w:val="20"/>
                <w:szCs w:val="20"/>
              </w:rPr>
            </w:pPr>
          </w:p>
        </w:tc>
      </w:tr>
    </w:tbl>
    <w:p w14:paraId="1E68B5B1" w14:textId="77777777" w:rsidR="00FB3D81" w:rsidRPr="00E737B4" w:rsidRDefault="00FB3D81" w:rsidP="00E737B4">
      <w:pPr>
        <w:spacing w:before="120" w:after="12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w:t>
      </w:r>
      <w:r w:rsidRPr="00E737B4">
        <w:rPr>
          <w:rFonts w:ascii="Times New Roman" w:hAnsi="Times New Roman"/>
          <w:bCs/>
          <w:i/>
          <w:sz w:val="24"/>
        </w:rPr>
        <w:t xml:space="preserve"> juillet 2021</w:t>
      </w:r>
    </w:p>
    <w:p w14:paraId="320F087D" w14:textId="77777777" w:rsidR="00ED17F3" w:rsidRPr="00E737B4" w:rsidRDefault="00ED17F3" w:rsidP="00ED17F3">
      <w:pPr>
        <w:spacing w:after="0" w:line="240" w:lineRule="auto"/>
        <w:jc w:val="both"/>
        <w:rPr>
          <w:rFonts w:ascii="Times New Roman" w:hAnsi="Times New Roman"/>
          <w:i/>
          <w:sz w:val="24"/>
        </w:rPr>
      </w:pPr>
      <w:r w:rsidRPr="00E737B4">
        <w:rPr>
          <w:rFonts w:ascii="Times New Roman" w:hAnsi="Times New Roman"/>
          <w:b/>
          <w:i/>
          <w:sz w:val="24"/>
        </w:rPr>
        <w:t>Légende</w:t>
      </w:r>
      <w:r w:rsidRPr="00E737B4">
        <w:rPr>
          <w:rFonts w:ascii="Times New Roman" w:hAnsi="Times New Roman"/>
          <w:i/>
          <w:sz w:val="24"/>
        </w:rPr>
        <w:t xml:space="preserve"> –</w:t>
      </w:r>
      <w:r w:rsidRPr="00E737B4">
        <w:rPr>
          <w:rFonts w:ascii="Times New Roman" w:hAnsi="Times New Roman"/>
          <w:i/>
          <w:sz w:val="24"/>
          <w:u w:val="single"/>
        </w:rPr>
        <w:t>Intensité</w:t>
      </w:r>
      <w:r w:rsidRPr="00E737B4">
        <w:rPr>
          <w:rFonts w:ascii="Times New Roman" w:hAnsi="Times New Roman"/>
          <w:i/>
          <w:sz w:val="24"/>
        </w:rPr>
        <w:t xml:space="preserve"> = F : faible, M : moyenne, Fo : forte, </w:t>
      </w:r>
      <w:r w:rsidRPr="00E737B4">
        <w:rPr>
          <w:rFonts w:ascii="Times New Roman" w:hAnsi="Times New Roman"/>
          <w:i/>
          <w:sz w:val="24"/>
          <w:u w:val="single"/>
        </w:rPr>
        <w:t>Etendue</w:t>
      </w:r>
      <w:r w:rsidRPr="00E737B4">
        <w:rPr>
          <w:rFonts w:ascii="Times New Roman" w:hAnsi="Times New Roman"/>
          <w:i/>
          <w:sz w:val="24"/>
        </w:rPr>
        <w:t xml:space="preserve"> = P : ponctuelle, Lo : locale, R : régionale, </w:t>
      </w:r>
      <w:r w:rsidRPr="00E737B4">
        <w:rPr>
          <w:rFonts w:ascii="Times New Roman" w:hAnsi="Times New Roman"/>
          <w:i/>
          <w:sz w:val="24"/>
          <w:u w:val="single"/>
        </w:rPr>
        <w:t>Durée</w:t>
      </w:r>
      <w:r w:rsidRPr="00E737B4">
        <w:rPr>
          <w:rFonts w:ascii="Times New Roman" w:hAnsi="Times New Roman"/>
          <w:i/>
          <w:sz w:val="24"/>
        </w:rPr>
        <w:t xml:space="preserve"> = C : courte, Moyenne : Mo ; L : longue, Importance</w:t>
      </w:r>
      <w:r w:rsidRPr="00E737B4">
        <w:rPr>
          <w:rFonts w:ascii="Times New Roman" w:hAnsi="Times New Roman"/>
          <w:i/>
          <w:sz w:val="24"/>
          <w:u w:val="single"/>
        </w:rPr>
        <w:t> </w:t>
      </w:r>
      <w:r w:rsidRPr="00E737B4">
        <w:rPr>
          <w:rFonts w:ascii="Times New Roman" w:hAnsi="Times New Roman"/>
          <w:i/>
          <w:sz w:val="24"/>
        </w:rPr>
        <w:t>: Mi : mineur, Moy : moyen, Ma : majeur.</w:t>
      </w:r>
    </w:p>
    <w:p w14:paraId="05C57E4D" w14:textId="77777777" w:rsidR="00AE61CE" w:rsidRPr="00D75D2E" w:rsidRDefault="00AE61CE" w:rsidP="00ED17F3">
      <w:pPr>
        <w:spacing w:after="0" w:line="240" w:lineRule="auto"/>
        <w:jc w:val="both"/>
        <w:rPr>
          <w:rFonts w:ascii="Times New Roman" w:hAnsi="Times New Roman"/>
          <w:i/>
        </w:rPr>
      </w:pPr>
    </w:p>
    <w:p w14:paraId="048B101D" w14:textId="77777777" w:rsidR="00ED17F3" w:rsidRPr="00D75D2E" w:rsidRDefault="00ED17F3" w:rsidP="00ED17F3">
      <w:r w:rsidRPr="00D75D2E">
        <w:br w:type="page"/>
      </w:r>
    </w:p>
    <w:p w14:paraId="65F5EE97" w14:textId="7A65FD21" w:rsidR="00ED17F3" w:rsidRPr="00D75D2E" w:rsidRDefault="00ED17F3" w:rsidP="008C79F0">
      <w:pPr>
        <w:pStyle w:val="Titre4"/>
        <w:keepLines w:val="0"/>
        <w:numPr>
          <w:ilvl w:val="0"/>
          <w:numId w:val="26"/>
        </w:numPr>
        <w:tabs>
          <w:tab w:val="left" w:pos="720"/>
        </w:tabs>
        <w:spacing w:before="0" w:after="120" w:line="240" w:lineRule="auto"/>
        <w:ind w:left="714" w:hanging="357"/>
        <w:jc w:val="both"/>
        <w:rPr>
          <w:iCs w:val="0"/>
          <w:color w:val="auto"/>
          <w:szCs w:val="24"/>
          <w:u w:val="single"/>
        </w:rPr>
      </w:pPr>
      <w:bookmarkStart w:id="581" w:name="_Toc103685674"/>
      <w:r w:rsidRPr="00D75D2E">
        <w:rPr>
          <w:iCs w:val="0"/>
          <w:color w:val="auto"/>
          <w:szCs w:val="24"/>
          <w:u w:val="single"/>
        </w:rPr>
        <w:t>Impacts sociaux positifs de la variante avec le projet</w:t>
      </w:r>
      <w:bookmarkEnd w:id="581"/>
    </w:p>
    <w:p w14:paraId="26CF10B1" w14:textId="37FE934A" w:rsidR="00ED17F3" w:rsidRPr="00D75D2E" w:rsidRDefault="00ED17F3" w:rsidP="00E737B4">
      <w:pPr>
        <w:spacing w:before="120" w:after="120" w:line="240" w:lineRule="auto"/>
        <w:rPr>
          <w:rFonts w:ascii="Times New Roman" w:hAnsi="Times New Roman"/>
          <w:sz w:val="24"/>
          <w:szCs w:val="24"/>
        </w:rPr>
      </w:pPr>
      <w:r w:rsidRPr="00D75D2E">
        <w:rPr>
          <w:rFonts w:ascii="Times New Roman" w:hAnsi="Times New Roman"/>
          <w:sz w:val="24"/>
          <w:szCs w:val="24"/>
        </w:rPr>
        <w:t xml:space="preserve">Le tableau </w:t>
      </w:r>
      <w:r w:rsidR="00E732DD">
        <w:rPr>
          <w:rFonts w:ascii="Times New Roman" w:hAnsi="Times New Roman"/>
          <w:sz w:val="24"/>
          <w:szCs w:val="24"/>
        </w:rPr>
        <w:t>22</w:t>
      </w:r>
      <w:r w:rsidRPr="00D75D2E">
        <w:rPr>
          <w:rFonts w:ascii="Times New Roman" w:hAnsi="Times New Roman"/>
          <w:sz w:val="24"/>
          <w:szCs w:val="24"/>
        </w:rPr>
        <w:t>donne la synthèse des impacts sociaux positifs de la variante avec le projet.</w:t>
      </w:r>
    </w:p>
    <w:p w14:paraId="70C0171C" w14:textId="3C655074" w:rsidR="00ED17F3" w:rsidRPr="00D75D2E" w:rsidRDefault="00ED17F3" w:rsidP="00E737B4">
      <w:pPr>
        <w:pStyle w:val="Default"/>
        <w:keepNext/>
        <w:spacing w:before="120" w:after="120"/>
        <w:rPr>
          <w:color w:val="auto"/>
        </w:rPr>
      </w:pPr>
      <w:bookmarkStart w:id="582" w:name="_Toc452467379"/>
      <w:bookmarkStart w:id="583" w:name="_Toc466809071"/>
      <w:bookmarkStart w:id="584" w:name="_Toc519048927"/>
      <w:bookmarkStart w:id="585" w:name="_Toc93050284"/>
      <w:r w:rsidRPr="00D75D2E">
        <w:rPr>
          <w:color w:val="auto"/>
        </w:rPr>
        <w:t xml:space="preserve">Tableau </w:t>
      </w:r>
      <w:r w:rsidRPr="00D75D2E">
        <w:rPr>
          <w:color w:val="auto"/>
        </w:rPr>
        <w:fldChar w:fldCharType="begin"/>
      </w:r>
      <w:r w:rsidRPr="00D75D2E">
        <w:rPr>
          <w:color w:val="auto"/>
        </w:rPr>
        <w:instrText xml:space="preserve"> SEQ Tableau \* ARABIC </w:instrText>
      </w:r>
      <w:r w:rsidRPr="00D75D2E">
        <w:rPr>
          <w:color w:val="auto"/>
        </w:rPr>
        <w:fldChar w:fldCharType="separate"/>
      </w:r>
      <w:r w:rsidR="00A86929">
        <w:rPr>
          <w:noProof/>
          <w:color w:val="auto"/>
        </w:rPr>
        <w:t>22</w:t>
      </w:r>
      <w:r w:rsidRPr="00D75D2E">
        <w:rPr>
          <w:noProof/>
          <w:color w:val="auto"/>
        </w:rPr>
        <w:fldChar w:fldCharType="end"/>
      </w:r>
      <w:r w:rsidRPr="00D75D2E">
        <w:rPr>
          <w:color w:val="auto"/>
        </w:rPr>
        <w:t> : Synthèse impacts sociaux positifs de la variante avec le projet</w:t>
      </w:r>
      <w:bookmarkEnd w:id="582"/>
      <w:bookmarkEnd w:id="583"/>
      <w:bookmarkEnd w:id="584"/>
      <w:bookmarkEnd w:id="585"/>
    </w:p>
    <w:tbl>
      <w:tblPr>
        <w:tblW w:w="15701"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2691"/>
        <w:gridCol w:w="1559"/>
        <w:gridCol w:w="4705"/>
        <w:gridCol w:w="427"/>
        <w:gridCol w:w="426"/>
        <w:gridCol w:w="569"/>
        <w:gridCol w:w="426"/>
        <w:gridCol w:w="521"/>
        <w:gridCol w:w="124"/>
        <w:gridCol w:w="112"/>
        <w:gridCol w:w="427"/>
        <w:gridCol w:w="646"/>
        <w:gridCol w:w="173"/>
        <w:gridCol w:w="112"/>
        <w:gridCol w:w="569"/>
        <w:gridCol w:w="756"/>
        <w:gridCol w:w="610"/>
      </w:tblGrid>
      <w:tr w:rsidR="00D75D2E" w:rsidRPr="00420C1B" w14:paraId="511EF547" w14:textId="77777777" w:rsidTr="00E737B4">
        <w:trPr>
          <w:trHeight w:val="405"/>
          <w:tblHeader/>
        </w:trPr>
        <w:tc>
          <w:tcPr>
            <w:tcW w:w="848"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144391F3" w14:textId="77777777" w:rsidR="00ED17F3" w:rsidRPr="00D75D2E" w:rsidRDefault="00ED17F3" w:rsidP="007108ED">
            <w:pPr>
              <w:spacing w:after="120" w:line="256" w:lineRule="auto"/>
              <w:ind w:left="-35" w:firstLine="35"/>
              <w:jc w:val="both"/>
              <w:rPr>
                <w:rFonts w:ascii="Times New Roman" w:hAnsi="Times New Roman"/>
                <w:b/>
              </w:rPr>
            </w:pPr>
            <w:r w:rsidRPr="00D75D2E">
              <w:rPr>
                <w:rFonts w:ascii="Times New Roman" w:hAnsi="Times New Roman"/>
                <w:b/>
              </w:rPr>
              <w:t>Phase du projet</w:t>
            </w:r>
          </w:p>
        </w:tc>
        <w:tc>
          <w:tcPr>
            <w:tcW w:w="2691"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7F42C5A8" w14:textId="77777777" w:rsidR="00ED17F3" w:rsidRPr="00D75D2E" w:rsidRDefault="00ED17F3" w:rsidP="00215867">
            <w:pPr>
              <w:spacing w:after="120" w:line="256" w:lineRule="auto"/>
              <w:rPr>
                <w:rFonts w:ascii="Times New Roman" w:hAnsi="Times New Roman"/>
                <w:b/>
              </w:rPr>
            </w:pPr>
            <w:r w:rsidRPr="00D75D2E">
              <w:rPr>
                <w:rFonts w:ascii="Times New Roman" w:hAnsi="Times New Roman"/>
                <w:b/>
              </w:rPr>
              <w:t>Activités/ sources d’impact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3FA5A894"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Composante du milieu affectée</w:t>
            </w:r>
          </w:p>
        </w:tc>
        <w:tc>
          <w:tcPr>
            <w:tcW w:w="4705"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14:paraId="51411AFE"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Description de l’impact</w:t>
            </w:r>
          </w:p>
        </w:tc>
        <w:tc>
          <w:tcPr>
            <w:tcW w:w="1422"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49B56B53"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Intensité</w:t>
            </w:r>
          </w:p>
        </w:tc>
        <w:tc>
          <w:tcPr>
            <w:tcW w:w="1071"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4FE31BF4"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Etendue</w:t>
            </w:r>
          </w:p>
        </w:tc>
        <w:tc>
          <w:tcPr>
            <w:tcW w:w="1358"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14:paraId="56B44072"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Durée</w:t>
            </w:r>
          </w:p>
        </w:tc>
        <w:tc>
          <w:tcPr>
            <w:tcW w:w="2047"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14:paraId="5C194954"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Importance</w:t>
            </w:r>
          </w:p>
        </w:tc>
      </w:tr>
      <w:tr w:rsidR="00D75D2E" w:rsidRPr="00420C1B" w14:paraId="6286A15C" w14:textId="77777777" w:rsidTr="00E737B4">
        <w:trPr>
          <w:trHeight w:val="405"/>
          <w:tblHeader/>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2BB495DC" w14:textId="77777777" w:rsidR="00ED17F3" w:rsidRPr="00D75D2E" w:rsidRDefault="00ED17F3" w:rsidP="007108ED">
            <w:pPr>
              <w:spacing w:after="0" w:line="256" w:lineRule="auto"/>
              <w:rPr>
                <w:rFonts w:ascii="Times New Roman" w:hAnsi="Times New Roman"/>
                <w:b/>
              </w:rPr>
            </w:pP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49E5F66F" w14:textId="77777777" w:rsidR="00ED17F3" w:rsidRPr="00D75D2E" w:rsidRDefault="00ED17F3" w:rsidP="007108ED">
            <w:pPr>
              <w:spacing w:after="0" w:line="256" w:lineRule="auto"/>
              <w:rPr>
                <w:rFonts w:ascii="Times New Roman" w:hAnsi="Times New Roman"/>
                <w:b/>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62BCE2D" w14:textId="77777777" w:rsidR="00ED17F3" w:rsidRPr="00D75D2E" w:rsidRDefault="00ED17F3" w:rsidP="007108ED">
            <w:pPr>
              <w:spacing w:after="0" w:line="256" w:lineRule="auto"/>
              <w:rPr>
                <w:rFonts w:ascii="Times New Roman" w:hAnsi="Times New Roman"/>
                <w:b/>
              </w:rPr>
            </w:pPr>
          </w:p>
        </w:tc>
        <w:tc>
          <w:tcPr>
            <w:tcW w:w="4705" w:type="dxa"/>
            <w:vMerge/>
            <w:tcBorders>
              <w:top w:val="single" w:sz="4" w:space="0" w:color="auto"/>
              <w:left w:val="single" w:sz="4" w:space="0" w:color="auto"/>
              <w:bottom w:val="single" w:sz="4" w:space="0" w:color="auto"/>
              <w:right w:val="single" w:sz="4" w:space="0" w:color="auto"/>
            </w:tcBorders>
            <w:vAlign w:val="center"/>
            <w:hideMark/>
          </w:tcPr>
          <w:p w14:paraId="299163A0" w14:textId="77777777" w:rsidR="00ED17F3" w:rsidRPr="00D75D2E" w:rsidRDefault="00ED17F3" w:rsidP="007108ED">
            <w:pPr>
              <w:spacing w:after="0" w:line="256" w:lineRule="auto"/>
              <w:rPr>
                <w:rFonts w:ascii="Times New Roman" w:hAnsi="Times New Roman"/>
                <w:b/>
              </w:rPr>
            </w:pPr>
          </w:p>
        </w:tc>
        <w:tc>
          <w:tcPr>
            <w:tcW w:w="4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9A7AB58"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F</w:t>
            </w: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0652DFA"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M</w:t>
            </w:r>
          </w:p>
        </w:tc>
        <w:tc>
          <w:tcPr>
            <w:tcW w:w="56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4A1B5F4"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Fo</w:t>
            </w: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ACDF4DB"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P</w:t>
            </w:r>
          </w:p>
        </w:tc>
        <w:tc>
          <w:tcPr>
            <w:tcW w:w="521"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A375DA2"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Lo</w:t>
            </w:r>
          </w:p>
        </w:tc>
        <w:tc>
          <w:tcPr>
            <w:tcW w:w="23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190FF528"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R</w:t>
            </w:r>
          </w:p>
        </w:tc>
        <w:tc>
          <w:tcPr>
            <w:tcW w:w="4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43CC930"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C</w:t>
            </w:r>
          </w:p>
        </w:tc>
        <w:tc>
          <w:tcPr>
            <w:tcW w:w="64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FEFF1D"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Mo</w:t>
            </w:r>
          </w:p>
        </w:tc>
        <w:tc>
          <w:tcPr>
            <w:tcW w:w="28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238E0315"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L</w:t>
            </w:r>
          </w:p>
        </w:tc>
        <w:tc>
          <w:tcPr>
            <w:tcW w:w="569"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A1906BC"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Mi</w:t>
            </w:r>
          </w:p>
        </w:tc>
        <w:tc>
          <w:tcPr>
            <w:tcW w:w="756"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24266C"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Moy</w:t>
            </w:r>
          </w:p>
        </w:tc>
        <w:tc>
          <w:tcPr>
            <w:tcW w:w="61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EE2EC0D" w14:textId="77777777" w:rsidR="00ED17F3" w:rsidRPr="00D75D2E" w:rsidRDefault="00ED17F3" w:rsidP="007108ED">
            <w:pPr>
              <w:spacing w:after="120" w:line="256" w:lineRule="auto"/>
              <w:jc w:val="center"/>
              <w:rPr>
                <w:rFonts w:ascii="Times New Roman" w:hAnsi="Times New Roman"/>
                <w:b/>
              </w:rPr>
            </w:pPr>
            <w:r w:rsidRPr="00D75D2E">
              <w:rPr>
                <w:rFonts w:ascii="Times New Roman" w:hAnsi="Times New Roman"/>
                <w:b/>
              </w:rPr>
              <w:t>Ma</w:t>
            </w:r>
          </w:p>
        </w:tc>
      </w:tr>
      <w:tr w:rsidR="002C66D7" w:rsidRPr="00420C1B" w14:paraId="08765F6C" w14:textId="77777777" w:rsidTr="00420C1B">
        <w:trPr>
          <w:cantSplit/>
          <w:trHeight w:val="1127"/>
        </w:trPr>
        <w:tc>
          <w:tcPr>
            <w:tcW w:w="8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1E94353" w14:textId="77777777" w:rsidR="00ED17F3" w:rsidRPr="00D75D2E" w:rsidRDefault="00ED17F3" w:rsidP="00215867">
            <w:pPr>
              <w:spacing w:after="0" w:line="257" w:lineRule="auto"/>
              <w:ind w:left="113" w:right="113"/>
              <w:jc w:val="center"/>
              <w:rPr>
                <w:rFonts w:ascii="Times New Roman" w:hAnsi="Times New Roman"/>
                <w:b/>
              </w:rPr>
            </w:pPr>
            <w:r w:rsidRPr="00D75D2E">
              <w:rPr>
                <w:rFonts w:ascii="Times New Roman" w:hAnsi="Times New Roman"/>
                <w:b/>
              </w:rPr>
              <w:t>PREPARATOIRE</w:t>
            </w:r>
          </w:p>
        </w:tc>
        <w:tc>
          <w:tcPr>
            <w:tcW w:w="2691" w:type="dxa"/>
            <w:tcBorders>
              <w:top w:val="single" w:sz="4" w:space="0" w:color="auto"/>
              <w:left w:val="single" w:sz="4" w:space="0" w:color="auto"/>
              <w:bottom w:val="single" w:sz="4" w:space="0" w:color="auto"/>
              <w:right w:val="single" w:sz="4" w:space="0" w:color="auto"/>
            </w:tcBorders>
            <w:vAlign w:val="center"/>
            <w:hideMark/>
          </w:tcPr>
          <w:p w14:paraId="4CC8BF7D" w14:textId="77777777" w:rsidR="00ED17F3" w:rsidRPr="00D75D2E" w:rsidRDefault="00ED17F3" w:rsidP="00215867">
            <w:pPr>
              <w:spacing w:after="0" w:line="257" w:lineRule="auto"/>
              <w:jc w:val="both"/>
              <w:rPr>
                <w:rFonts w:ascii="Times New Roman" w:eastAsia="Times New Roman" w:hAnsi="Times New Roman"/>
                <w:bCs/>
                <w:lang w:eastAsia="fr-FR"/>
              </w:rPr>
            </w:pPr>
            <w:r w:rsidRPr="00D75D2E">
              <w:rPr>
                <w:rFonts w:ascii="Times New Roman" w:hAnsi="Times New Roman"/>
                <w:iCs/>
              </w:rPr>
              <w:t>Indemnisation des biens touchés</w:t>
            </w:r>
          </w:p>
          <w:p w14:paraId="4C66ED4F" w14:textId="77777777" w:rsidR="00ED17F3" w:rsidRPr="00D75D2E" w:rsidRDefault="00ED17F3" w:rsidP="00215867">
            <w:pPr>
              <w:spacing w:after="0" w:line="257" w:lineRule="auto"/>
              <w:jc w:val="both"/>
              <w:rPr>
                <w:rFonts w:ascii="Times New Roman" w:eastAsia="Times New Roman" w:hAnsi="Times New Roman"/>
                <w:bCs/>
                <w:lang w:eastAsia="fr-FR"/>
              </w:rPr>
            </w:pPr>
            <w:r w:rsidRPr="00D75D2E">
              <w:rPr>
                <w:rFonts w:ascii="Times New Roman" w:eastAsia="Times New Roman" w:hAnsi="Times New Roman"/>
                <w:bCs/>
                <w:lang w:eastAsia="fr-FR"/>
              </w:rPr>
              <w:t>Libération des emprises</w:t>
            </w:r>
          </w:p>
          <w:p w14:paraId="23AAD3CE" w14:textId="77777777" w:rsidR="00ED17F3" w:rsidRPr="00D75D2E" w:rsidRDefault="00ED17F3" w:rsidP="00215867">
            <w:pPr>
              <w:spacing w:after="0" w:line="257" w:lineRule="auto"/>
              <w:jc w:val="both"/>
              <w:rPr>
                <w:rFonts w:ascii="Times New Roman" w:eastAsia="Times New Roman" w:hAnsi="Times New Roman"/>
                <w:lang w:eastAsia="fr-FR"/>
              </w:rPr>
            </w:pPr>
            <w:r w:rsidRPr="00D75D2E">
              <w:rPr>
                <w:rFonts w:ascii="Times New Roman" w:eastAsia="Times New Roman" w:hAnsi="Times New Roman"/>
                <w:bCs/>
                <w:lang w:eastAsia="fr-FR"/>
              </w:rPr>
              <w:t>Abattages et/ou d’élagages des arbres dans l’emprise des lignes et cabines</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6B8C5316" w14:textId="77777777" w:rsidR="00ED17F3" w:rsidRPr="00D75D2E" w:rsidRDefault="00ED17F3" w:rsidP="00215867">
            <w:pPr>
              <w:spacing w:after="0" w:line="257" w:lineRule="auto"/>
              <w:jc w:val="center"/>
              <w:rPr>
                <w:rFonts w:ascii="Times New Roman" w:hAnsi="Times New Roman"/>
              </w:rPr>
            </w:pPr>
            <w:r w:rsidRPr="00D75D2E">
              <w:rPr>
                <w:rFonts w:ascii="Times New Roman" w:hAnsi="Times New Roman"/>
              </w:rPr>
              <w:t>Humain</w:t>
            </w:r>
          </w:p>
        </w:tc>
        <w:tc>
          <w:tcPr>
            <w:tcW w:w="4705" w:type="dxa"/>
            <w:tcBorders>
              <w:top w:val="single" w:sz="4" w:space="0" w:color="auto"/>
              <w:left w:val="single" w:sz="4" w:space="0" w:color="auto"/>
              <w:bottom w:val="single" w:sz="4" w:space="0" w:color="auto"/>
              <w:right w:val="single" w:sz="4" w:space="0" w:color="auto"/>
            </w:tcBorders>
            <w:vAlign w:val="center"/>
            <w:hideMark/>
          </w:tcPr>
          <w:p w14:paraId="015C5740" w14:textId="76EFFDC1" w:rsidR="00ED17F3" w:rsidRPr="00420C1B" w:rsidRDefault="00ED17F3" w:rsidP="00215867">
            <w:pPr>
              <w:numPr>
                <w:ilvl w:val="0"/>
                <w:numId w:val="45"/>
              </w:numPr>
              <w:spacing w:after="0" w:line="257" w:lineRule="auto"/>
              <w:jc w:val="both"/>
              <w:rPr>
                <w:rFonts w:ascii="Times New Roman" w:hAnsi="Times New Roman"/>
                <w:iCs/>
              </w:rPr>
            </w:pPr>
            <w:r w:rsidRPr="00420C1B">
              <w:rPr>
                <w:rFonts w:ascii="Times New Roman" w:hAnsi="Times New Roman"/>
                <w:iCs/>
              </w:rPr>
              <w:t>Bonne acceptation du projet</w:t>
            </w:r>
            <w:r w:rsidR="001B17A4" w:rsidRPr="00420C1B">
              <w:rPr>
                <w:rFonts w:ascii="Times New Roman" w:hAnsi="Times New Roman"/>
                <w:iCs/>
              </w:rPr>
              <w:t> : les échanges avec les populations ont permis de constater que les populations adhèrent fortement au projet aux vus des bénéfices qu’offre le projet ; éclairage, fonctionnement du matériel électro ménagers, possibilités de branchements,  etc</w:t>
            </w:r>
            <w:r w:rsidR="00C36F13" w:rsidRPr="00420C1B">
              <w:rPr>
                <w:rFonts w:ascii="Times New Roman" w:hAnsi="Times New Roman"/>
                <w:iCs/>
              </w:rPr>
              <w:t>.</w:t>
            </w:r>
            <w:r w:rsidR="001B17A4" w:rsidRPr="00420C1B">
              <w:rPr>
                <w:rFonts w:ascii="Times New Roman" w:hAnsi="Times New Roman"/>
                <w:iCs/>
              </w:rPr>
              <w:t xml:space="preserve">  </w:t>
            </w:r>
          </w:p>
          <w:p w14:paraId="4E8BE739" w14:textId="51840B60" w:rsidR="00ED17F3" w:rsidRPr="00420C1B" w:rsidRDefault="00ED17F3" w:rsidP="00215867">
            <w:pPr>
              <w:numPr>
                <w:ilvl w:val="0"/>
                <w:numId w:val="45"/>
              </w:numPr>
              <w:spacing w:after="0" w:line="257" w:lineRule="auto"/>
              <w:jc w:val="both"/>
              <w:rPr>
                <w:rFonts w:ascii="Times New Roman" w:hAnsi="Times New Roman"/>
                <w:iCs/>
              </w:rPr>
            </w:pPr>
            <w:r w:rsidRPr="00420C1B">
              <w:rPr>
                <w:rFonts w:ascii="Times New Roman" w:hAnsi="Times New Roman"/>
                <w:iCs/>
              </w:rPr>
              <w:t xml:space="preserve"> Renforcement de la cohésion sociale</w:t>
            </w:r>
            <w:r w:rsidR="001B17A4" w:rsidRPr="00420C1B">
              <w:rPr>
                <w:rFonts w:ascii="Times New Roman" w:hAnsi="Times New Roman"/>
                <w:iCs/>
              </w:rPr>
              <w:t xml:space="preserve"> : </w:t>
            </w:r>
            <w:r w:rsidRPr="00420C1B">
              <w:rPr>
                <w:rFonts w:ascii="Times New Roman" w:hAnsi="Times New Roman"/>
                <w:iCs/>
              </w:rPr>
              <w:t>,</w:t>
            </w:r>
          </w:p>
          <w:p w14:paraId="68325FA8" w14:textId="415D7DB2" w:rsidR="00ED17F3" w:rsidRPr="00420C1B" w:rsidRDefault="00ED17F3" w:rsidP="00215867">
            <w:pPr>
              <w:numPr>
                <w:ilvl w:val="0"/>
                <w:numId w:val="45"/>
              </w:numPr>
              <w:spacing w:after="0" w:line="257" w:lineRule="auto"/>
              <w:jc w:val="both"/>
              <w:rPr>
                <w:rFonts w:ascii="Times New Roman" w:hAnsi="Times New Roman"/>
                <w:iCs/>
              </w:rPr>
            </w:pPr>
            <w:r w:rsidRPr="00420C1B">
              <w:rPr>
                <w:rFonts w:ascii="Times New Roman" w:hAnsi="Times New Roman"/>
                <w:iCs/>
              </w:rPr>
              <w:t>Opportunités d’emplois</w:t>
            </w:r>
            <w:r w:rsidR="001B17A4" w:rsidRPr="00420C1B">
              <w:rPr>
                <w:rFonts w:ascii="Times New Roman" w:hAnsi="Times New Roman"/>
                <w:iCs/>
              </w:rPr>
              <w:t xml:space="preserve"> : La réalisation de cette activité permettra de recruter </w:t>
            </w:r>
            <w:r w:rsidR="008B6A04" w:rsidRPr="00420C1B">
              <w:rPr>
                <w:rFonts w:ascii="Times New Roman" w:hAnsi="Times New Roman"/>
                <w:iCs/>
              </w:rPr>
              <w:t>des manœuvre</w:t>
            </w:r>
            <w:r w:rsidR="006518A4" w:rsidRPr="00420C1B">
              <w:rPr>
                <w:rFonts w:ascii="Times New Roman" w:hAnsi="Times New Roman"/>
                <w:iCs/>
              </w:rPr>
              <w:t>s</w:t>
            </w:r>
            <w:r w:rsidR="008B6A04" w:rsidRPr="00420C1B">
              <w:rPr>
                <w:rFonts w:ascii="Times New Roman" w:hAnsi="Times New Roman"/>
                <w:iCs/>
              </w:rPr>
              <w:t xml:space="preserve"> pour sa réalisation. </w:t>
            </w:r>
          </w:p>
          <w:p w14:paraId="6F8C8F30" w14:textId="7B64E25C" w:rsidR="00ED17F3" w:rsidRPr="00420C1B" w:rsidRDefault="00ED17F3" w:rsidP="00215867">
            <w:pPr>
              <w:numPr>
                <w:ilvl w:val="0"/>
                <w:numId w:val="45"/>
              </w:numPr>
              <w:spacing w:after="0" w:line="257" w:lineRule="auto"/>
              <w:jc w:val="both"/>
              <w:rPr>
                <w:rFonts w:ascii="Times New Roman" w:hAnsi="Times New Roman"/>
                <w:iCs/>
              </w:rPr>
            </w:pPr>
            <w:r w:rsidRPr="00420C1B">
              <w:rPr>
                <w:rFonts w:ascii="Times New Roman" w:hAnsi="Times New Roman"/>
                <w:iCs/>
              </w:rPr>
              <w:t>Disponibilité du bois de chauffe et de service pour les ménages</w:t>
            </w:r>
            <w:r w:rsidR="008B6A04" w:rsidRPr="00420C1B">
              <w:rPr>
                <w:rFonts w:ascii="Times New Roman" w:hAnsi="Times New Roman"/>
                <w:iCs/>
              </w:rPr>
              <w:t> : l’élagage ou l’abatage des arbres va mettre à la disposition des ménages du bois qu’il</w:t>
            </w:r>
            <w:r w:rsidR="006518A4" w:rsidRPr="00420C1B">
              <w:rPr>
                <w:rFonts w:ascii="Times New Roman" w:hAnsi="Times New Roman"/>
                <w:iCs/>
              </w:rPr>
              <w:t>s</w:t>
            </w:r>
            <w:r w:rsidR="008B6A04" w:rsidRPr="00420C1B">
              <w:rPr>
                <w:rFonts w:ascii="Times New Roman" w:hAnsi="Times New Roman"/>
                <w:iCs/>
              </w:rPr>
              <w:t xml:space="preserve"> pourront utiliser</w:t>
            </w:r>
          </w:p>
        </w:tc>
        <w:tc>
          <w:tcPr>
            <w:tcW w:w="427" w:type="dxa"/>
            <w:tcBorders>
              <w:top w:val="single" w:sz="4" w:space="0" w:color="auto"/>
              <w:left w:val="single" w:sz="4" w:space="0" w:color="auto"/>
              <w:bottom w:val="single" w:sz="4" w:space="0" w:color="auto"/>
              <w:right w:val="single" w:sz="4" w:space="0" w:color="auto"/>
            </w:tcBorders>
          </w:tcPr>
          <w:p w14:paraId="7E5E187F"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7ADECE46"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509C434C"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15CE9BCB" w14:textId="77777777" w:rsidR="00ED17F3" w:rsidRPr="00D75D2E" w:rsidRDefault="00ED17F3" w:rsidP="00215867">
            <w:pPr>
              <w:spacing w:after="0" w:line="257"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323B84C7" w14:textId="77777777" w:rsidR="00ED17F3" w:rsidRPr="00D75D2E" w:rsidRDefault="00ED17F3" w:rsidP="00215867">
            <w:pPr>
              <w:spacing w:after="0" w:line="257"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14:paraId="30618B74" w14:textId="77777777" w:rsidR="00ED17F3" w:rsidRPr="00D75D2E" w:rsidRDefault="00ED17F3" w:rsidP="00215867">
            <w:pPr>
              <w:spacing w:after="0" w:line="257"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shd w:val="clear" w:color="auto" w:fill="D9D9D9"/>
          </w:tcPr>
          <w:p w14:paraId="292FADB8" w14:textId="77777777" w:rsidR="00ED17F3" w:rsidRPr="00D75D2E" w:rsidRDefault="00ED17F3" w:rsidP="00215867">
            <w:pPr>
              <w:spacing w:after="0" w:line="257"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252837C0" w14:textId="77777777" w:rsidR="00ED17F3" w:rsidRPr="00D75D2E" w:rsidRDefault="00ED17F3" w:rsidP="00215867">
            <w:pPr>
              <w:spacing w:after="0" w:line="257"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FFFFFF"/>
          </w:tcPr>
          <w:p w14:paraId="12EF744E"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074D869E" w14:textId="77777777" w:rsidR="00ED17F3" w:rsidRPr="00D75D2E" w:rsidRDefault="00ED17F3" w:rsidP="00215867">
            <w:pPr>
              <w:spacing w:after="0" w:line="257"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FFFFFF"/>
          </w:tcPr>
          <w:p w14:paraId="44320A4E" w14:textId="77777777" w:rsidR="00ED17F3" w:rsidRPr="00D75D2E" w:rsidRDefault="00ED17F3" w:rsidP="00215867">
            <w:pPr>
              <w:spacing w:after="0" w:line="257"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14:paraId="4EC220EF" w14:textId="77777777" w:rsidR="00ED17F3" w:rsidRPr="00D75D2E" w:rsidRDefault="00ED17F3" w:rsidP="00215867">
            <w:pPr>
              <w:spacing w:after="0" w:line="257" w:lineRule="auto"/>
              <w:jc w:val="both"/>
              <w:rPr>
                <w:rFonts w:ascii="Times New Roman" w:hAnsi="Times New Roman"/>
              </w:rPr>
            </w:pPr>
          </w:p>
        </w:tc>
      </w:tr>
      <w:tr w:rsidR="002C66D7" w:rsidRPr="00420C1B" w14:paraId="1D95F7AE" w14:textId="77777777" w:rsidTr="00420C1B">
        <w:trPr>
          <w:cantSplit/>
          <w:trHeight w:val="681"/>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4037699B" w14:textId="77777777" w:rsidR="00ED17F3" w:rsidRPr="00D75D2E" w:rsidRDefault="00ED17F3" w:rsidP="007108ED">
            <w:pPr>
              <w:spacing w:after="0" w:line="256" w:lineRule="auto"/>
              <w:rPr>
                <w:rFonts w:ascii="Times New Roman" w:hAnsi="Times New Roman"/>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28DB4211" w14:textId="77777777" w:rsidR="00ED17F3" w:rsidRPr="00D75D2E" w:rsidRDefault="00ED17F3" w:rsidP="00215867">
            <w:pPr>
              <w:spacing w:after="0" w:line="256" w:lineRule="auto"/>
              <w:jc w:val="both"/>
              <w:rPr>
                <w:rFonts w:ascii="Times New Roman" w:eastAsia="Times New Roman" w:hAnsi="Times New Roman"/>
                <w:lang w:eastAsia="fr-FR"/>
              </w:rPr>
            </w:pPr>
            <w:r w:rsidRPr="00D75D2E">
              <w:rPr>
                <w:rFonts w:ascii="Times New Roman" w:eastAsia="Times New Roman" w:hAnsi="Times New Roman"/>
                <w:lang w:eastAsia="fr-FR"/>
              </w:rPr>
              <w:t>Installation de chantier et de base-vie</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E824915" w14:textId="77777777" w:rsidR="00ED17F3" w:rsidRPr="00D75D2E" w:rsidRDefault="00ED17F3">
            <w:pPr>
              <w:spacing w:after="0" w:line="256" w:lineRule="auto"/>
              <w:rPr>
                <w:rFonts w:ascii="Times New Roman" w:hAnsi="Times New Roman"/>
              </w:rPr>
            </w:pPr>
          </w:p>
        </w:tc>
        <w:tc>
          <w:tcPr>
            <w:tcW w:w="4705" w:type="dxa"/>
            <w:tcBorders>
              <w:top w:val="single" w:sz="4" w:space="0" w:color="auto"/>
              <w:left w:val="single" w:sz="4" w:space="0" w:color="auto"/>
              <w:bottom w:val="single" w:sz="4" w:space="0" w:color="auto"/>
              <w:right w:val="single" w:sz="4" w:space="0" w:color="auto"/>
            </w:tcBorders>
            <w:vAlign w:val="center"/>
            <w:hideMark/>
          </w:tcPr>
          <w:p w14:paraId="673AB2B2" w14:textId="6038B6FB" w:rsidR="00ED17F3" w:rsidRPr="00D75D2E" w:rsidRDefault="00ED17F3" w:rsidP="00215867">
            <w:pPr>
              <w:numPr>
                <w:ilvl w:val="0"/>
                <w:numId w:val="45"/>
              </w:numPr>
              <w:spacing w:after="0" w:line="256" w:lineRule="auto"/>
              <w:jc w:val="both"/>
              <w:rPr>
                <w:rFonts w:ascii="Times New Roman" w:hAnsi="Times New Roman"/>
                <w:iCs/>
              </w:rPr>
            </w:pPr>
            <w:r w:rsidRPr="00420C1B">
              <w:rPr>
                <w:rFonts w:ascii="Times New Roman" w:hAnsi="Times New Roman"/>
                <w:iCs/>
              </w:rPr>
              <w:t>Création d’emplois</w:t>
            </w:r>
            <w:r w:rsidR="008B6A04" w:rsidRPr="00420C1B">
              <w:rPr>
                <w:rFonts w:ascii="Times New Roman" w:hAnsi="Times New Roman"/>
                <w:iCs/>
              </w:rPr>
              <w:t xml:space="preserve"> : La mise en œuvre de cette activité permettra de recruter une centaine d’ouvriers pour la mise en place de la base vie et la mise en œuvre du projet. A cela le projet prévoit aussi le recrutement d’une trentaine d’ouvrier </w:t>
            </w:r>
            <w:r w:rsidR="006A64C9" w:rsidRPr="00420C1B">
              <w:rPr>
                <w:rFonts w:ascii="Times New Roman" w:hAnsi="Times New Roman"/>
                <w:iCs/>
              </w:rPr>
              <w:t>qualifiés</w:t>
            </w:r>
            <w:r w:rsidRPr="00420C1B">
              <w:rPr>
                <w:rFonts w:ascii="Times New Roman" w:hAnsi="Times New Roman"/>
                <w:iCs/>
              </w:rPr>
              <w:t> ;</w:t>
            </w:r>
          </w:p>
          <w:p w14:paraId="51E65179" w14:textId="77777777" w:rsidR="00ED17F3" w:rsidRPr="00420C1B" w:rsidRDefault="00ED17F3" w:rsidP="00215867">
            <w:pPr>
              <w:numPr>
                <w:ilvl w:val="0"/>
                <w:numId w:val="45"/>
              </w:numPr>
              <w:spacing w:after="0" w:line="256" w:lineRule="auto"/>
              <w:jc w:val="both"/>
              <w:rPr>
                <w:rFonts w:ascii="Times New Roman" w:hAnsi="Times New Roman"/>
                <w:iCs/>
              </w:rPr>
            </w:pPr>
            <w:r w:rsidRPr="00420C1B">
              <w:rPr>
                <w:rFonts w:ascii="Times New Roman" w:hAnsi="Times New Roman"/>
                <w:iCs/>
              </w:rPr>
              <w:t>Opportunités pour les activités génératrices de revenus (gardiennage, restauration, petit</w:t>
            </w:r>
            <w:r w:rsidR="00EF4D4D" w:rsidRPr="00420C1B">
              <w:rPr>
                <w:rFonts w:ascii="Times New Roman" w:hAnsi="Times New Roman"/>
                <w:iCs/>
              </w:rPr>
              <w:t>s</w:t>
            </w:r>
            <w:r w:rsidRPr="00420C1B">
              <w:rPr>
                <w:rFonts w:ascii="Times New Roman" w:hAnsi="Times New Roman"/>
                <w:iCs/>
              </w:rPr>
              <w:t xml:space="preserve"> commerce</w:t>
            </w:r>
            <w:r w:rsidR="00EF4D4D" w:rsidRPr="00420C1B">
              <w:rPr>
                <w:rFonts w:ascii="Times New Roman" w:hAnsi="Times New Roman"/>
                <w:iCs/>
              </w:rPr>
              <w:t>s</w:t>
            </w:r>
            <w:r w:rsidRPr="00420C1B">
              <w:rPr>
                <w:rFonts w:ascii="Times New Roman" w:hAnsi="Times New Roman"/>
                <w:iCs/>
              </w:rPr>
              <w:t>)</w:t>
            </w:r>
          </w:p>
        </w:tc>
        <w:tc>
          <w:tcPr>
            <w:tcW w:w="427" w:type="dxa"/>
            <w:tcBorders>
              <w:top w:val="single" w:sz="4" w:space="0" w:color="auto"/>
              <w:left w:val="single" w:sz="4" w:space="0" w:color="auto"/>
              <w:bottom w:val="single" w:sz="4" w:space="0" w:color="auto"/>
              <w:right w:val="single" w:sz="4" w:space="0" w:color="auto"/>
            </w:tcBorders>
          </w:tcPr>
          <w:p w14:paraId="0BD05DA3"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53A4DF0D"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70DCF55"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67D7F95F"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63869756"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14:paraId="3D68B8AD"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shd w:val="clear" w:color="auto" w:fill="D9D9D9"/>
          </w:tcPr>
          <w:p w14:paraId="7581970B"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shd w:val="clear" w:color="auto" w:fill="FFFFFF"/>
          </w:tcPr>
          <w:p w14:paraId="078C64CE"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FFFFFF"/>
          </w:tcPr>
          <w:p w14:paraId="3003E437"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2056E05C"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FFFFFF"/>
          </w:tcPr>
          <w:p w14:paraId="3FE9DCC0"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14:paraId="09C6757D" w14:textId="77777777" w:rsidR="00ED17F3" w:rsidRPr="00D75D2E" w:rsidRDefault="00ED17F3" w:rsidP="00215867">
            <w:pPr>
              <w:spacing w:after="0" w:line="256" w:lineRule="auto"/>
              <w:jc w:val="both"/>
              <w:rPr>
                <w:rFonts w:ascii="Times New Roman" w:hAnsi="Times New Roman"/>
              </w:rPr>
            </w:pPr>
          </w:p>
        </w:tc>
      </w:tr>
      <w:tr w:rsidR="002C66D7" w:rsidRPr="00420C1B" w14:paraId="343AA6AD" w14:textId="77777777" w:rsidTr="00420C1B">
        <w:trPr>
          <w:cantSplit/>
          <w:trHeight w:val="1128"/>
        </w:trPr>
        <w:tc>
          <w:tcPr>
            <w:tcW w:w="8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D4B9BB0" w14:textId="77777777" w:rsidR="00ED17F3" w:rsidRPr="00D75D2E" w:rsidRDefault="00ED17F3" w:rsidP="007108ED">
            <w:pPr>
              <w:spacing w:after="120" w:line="256" w:lineRule="auto"/>
              <w:ind w:left="113" w:right="113"/>
              <w:jc w:val="center"/>
              <w:rPr>
                <w:rFonts w:ascii="Times New Roman" w:hAnsi="Times New Roman"/>
                <w:b/>
              </w:rPr>
            </w:pPr>
            <w:r w:rsidRPr="00D75D2E">
              <w:rPr>
                <w:rFonts w:ascii="Times New Roman" w:hAnsi="Times New Roman"/>
                <w:b/>
              </w:rPr>
              <w:t xml:space="preserve">CONSTRUCTION </w:t>
            </w:r>
          </w:p>
        </w:tc>
        <w:tc>
          <w:tcPr>
            <w:tcW w:w="2691" w:type="dxa"/>
            <w:tcBorders>
              <w:top w:val="single" w:sz="4" w:space="0" w:color="auto"/>
              <w:left w:val="single" w:sz="4" w:space="0" w:color="auto"/>
              <w:bottom w:val="single" w:sz="4" w:space="0" w:color="auto"/>
              <w:right w:val="single" w:sz="4" w:space="0" w:color="auto"/>
            </w:tcBorders>
            <w:vAlign w:val="center"/>
            <w:hideMark/>
          </w:tcPr>
          <w:p w14:paraId="78A081BB" w14:textId="77777777" w:rsidR="00ED17F3" w:rsidRPr="00D75D2E" w:rsidRDefault="00ED17F3" w:rsidP="00215867">
            <w:pPr>
              <w:spacing w:after="0" w:line="256" w:lineRule="auto"/>
              <w:rPr>
                <w:rFonts w:ascii="Times New Roman" w:hAnsi="Times New Roman"/>
              </w:rPr>
            </w:pPr>
            <w:r w:rsidRPr="00D75D2E">
              <w:rPr>
                <w:rFonts w:ascii="Times New Roman" w:hAnsi="Times New Roman"/>
              </w:rPr>
              <w:t xml:space="preserve">Achat de petits matériels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9DD81F" w14:textId="77777777" w:rsidR="00ED17F3" w:rsidRPr="00D75D2E" w:rsidRDefault="00ED17F3" w:rsidP="00215867">
            <w:pPr>
              <w:spacing w:after="0" w:line="256" w:lineRule="auto"/>
              <w:rPr>
                <w:rFonts w:ascii="Times New Roman" w:hAnsi="Times New Roman"/>
              </w:rPr>
            </w:pPr>
            <w:r w:rsidRPr="00D75D2E">
              <w:rPr>
                <w:rFonts w:ascii="Times New Roman" w:hAnsi="Times New Roman"/>
              </w:rPr>
              <w:t>Activités économiques</w:t>
            </w:r>
          </w:p>
        </w:tc>
        <w:tc>
          <w:tcPr>
            <w:tcW w:w="4705" w:type="dxa"/>
            <w:tcBorders>
              <w:top w:val="single" w:sz="4" w:space="0" w:color="auto"/>
              <w:left w:val="single" w:sz="4" w:space="0" w:color="auto"/>
              <w:bottom w:val="single" w:sz="4" w:space="0" w:color="auto"/>
              <w:right w:val="single" w:sz="4" w:space="0" w:color="auto"/>
            </w:tcBorders>
            <w:vAlign w:val="center"/>
            <w:hideMark/>
          </w:tcPr>
          <w:p w14:paraId="0278FA67" w14:textId="77777777" w:rsidR="00ED17F3" w:rsidRPr="00420C1B" w:rsidRDefault="00ED17F3" w:rsidP="00215867">
            <w:pPr>
              <w:numPr>
                <w:ilvl w:val="0"/>
                <w:numId w:val="45"/>
              </w:numPr>
              <w:spacing w:after="0" w:line="256" w:lineRule="auto"/>
              <w:jc w:val="both"/>
              <w:rPr>
                <w:rFonts w:ascii="Times New Roman" w:hAnsi="Times New Roman"/>
                <w:iCs/>
              </w:rPr>
            </w:pPr>
            <w:r w:rsidRPr="00420C1B">
              <w:rPr>
                <w:rFonts w:ascii="Times New Roman" w:hAnsi="Times New Roman"/>
                <w:iCs/>
              </w:rPr>
              <w:t>Opportunités d’affaires : écoulement des marchandises des opérateurs économiques privés locaux.</w:t>
            </w:r>
          </w:p>
        </w:tc>
        <w:tc>
          <w:tcPr>
            <w:tcW w:w="427" w:type="dxa"/>
            <w:tcBorders>
              <w:top w:val="single" w:sz="4" w:space="0" w:color="auto"/>
              <w:left w:val="single" w:sz="4" w:space="0" w:color="auto"/>
              <w:bottom w:val="single" w:sz="4" w:space="0" w:color="auto"/>
              <w:right w:val="single" w:sz="4" w:space="0" w:color="auto"/>
            </w:tcBorders>
          </w:tcPr>
          <w:p w14:paraId="762AEC6D"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67BCF57A"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57223F08"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57D8FD75"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3A804C65"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66FF7ED4"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shd w:val="clear" w:color="auto" w:fill="D9D9D9"/>
          </w:tcPr>
          <w:p w14:paraId="72B1776F"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1D3FD729"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tcPr>
          <w:p w14:paraId="352E00DC"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40E3BDE8"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cPr>
          <w:p w14:paraId="7BF939C8"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14:paraId="232A98F5" w14:textId="77777777" w:rsidR="00ED17F3" w:rsidRPr="00D75D2E" w:rsidRDefault="00ED17F3" w:rsidP="00215867">
            <w:pPr>
              <w:spacing w:after="0" w:line="256" w:lineRule="auto"/>
              <w:jc w:val="both"/>
              <w:rPr>
                <w:rFonts w:ascii="Times New Roman" w:hAnsi="Times New Roman"/>
              </w:rPr>
            </w:pPr>
          </w:p>
        </w:tc>
      </w:tr>
      <w:tr w:rsidR="002C66D7" w:rsidRPr="00420C1B" w14:paraId="632E95C9" w14:textId="77777777" w:rsidTr="00420C1B">
        <w:trPr>
          <w:trHeight w:val="421"/>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4919131D" w14:textId="77777777" w:rsidR="00ED17F3" w:rsidRPr="00D75D2E" w:rsidRDefault="00ED17F3" w:rsidP="007108ED">
            <w:pPr>
              <w:spacing w:after="0" w:line="256" w:lineRule="auto"/>
              <w:rPr>
                <w:rFonts w:ascii="Times New Roman" w:hAnsi="Times New Roman"/>
                <w:b/>
              </w:rPr>
            </w:pPr>
          </w:p>
        </w:tc>
        <w:tc>
          <w:tcPr>
            <w:tcW w:w="2691" w:type="dxa"/>
            <w:vMerge w:val="restart"/>
            <w:tcBorders>
              <w:top w:val="single" w:sz="4" w:space="0" w:color="auto"/>
              <w:left w:val="single" w:sz="4" w:space="0" w:color="auto"/>
              <w:bottom w:val="single" w:sz="4" w:space="0" w:color="auto"/>
              <w:right w:val="single" w:sz="4" w:space="0" w:color="auto"/>
            </w:tcBorders>
            <w:vAlign w:val="center"/>
            <w:hideMark/>
          </w:tcPr>
          <w:p w14:paraId="61FF1853" w14:textId="77777777" w:rsidR="00ED17F3" w:rsidRPr="00D75D2E" w:rsidRDefault="00ED17F3" w:rsidP="00215867">
            <w:pPr>
              <w:spacing w:after="0" w:line="256" w:lineRule="auto"/>
              <w:rPr>
                <w:rFonts w:ascii="Times New Roman" w:hAnsi="Times New Roman"/>
              </w:rPr>
            </w:pPr>
            <w:r w:rsidRPr="00420C1B">
              <w:rPr>
                <w:rFonts w:ascii="Times New Roman" w:hAnsi="Times New Roman"/>
              </w:rPr>
              <w:t>Emploi de main d’œuvre pendant les travaux</w:t>
            </w:r>
            <w:r w:rsidRPr="00D75D2E">
              <w:rPr>
                <w:rFonts w:ascii="Times New Roman" w:hAnsi="Times New Roman"/>
              </w:rPr>
              <w:t xml:space="preserve"> </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12550B5C" w14:textId="77777777" w:rsidR="00ED17F3" w:rsidRPr="00D75D2E" w:rsidRDefault="00ED17F3" w:rsidP="00DC3952">
            <w:pPr>
              <w:spacing w:after="0" w:line="256" w:lineRule="auto"/>
              <w:rPr>
                <w:rFonts w:ascii="Times New Roman" w:hAnsi="Times New Roman"/>
              </w:rPr>
            </w:pPr>
            <w:r w:rsidRPr="00D75D2E">
              <w:rPr>
                <w:rFonts w:ascii="Times New Roman" w:hAnsi="Times New Roman"/>
              </w:rPr>
              <w:t>Humain</w:t>
            </w:r>
          </w:p>
        </w:tc>
        <w:tc>
          <w:tcPr>
            <w:tcW w:w="4705" w:type="dxa"/>
            <w:vMerge w:val="restart"/>
            <w:tcBorders>
              <w:top w:val="single" w:sz="4" w:space="0" w:color="auto"/>
              <w:left w:val="single" w:sz="4" w:space="0" w:color="auto"/>
              <w:bottom w:val="single" w:sz="4" w:space="0" w:color="auto"/>
              <w:right w:val="single" w:sz="4" w:space="0" w:color="auto"/>
            </w:tcBorders>
            <w:vAlign w:val="center"/>
            <w:hideMark/>
          </w:tcPr>
          <w:p w14:paraId="63A18EC7" w14:textId="40CA28C9" w:rsidR="00ED17F3" w:rsidRPr="00420C1B" w:rsidRDefault="00ED17F3" w:rsidP="00215867">
            <w:pPr>
              <w:numPr>
                <w:ilvl w:val="0"/>
                <w:numId w:val="46"/>
              </w:numPr>
              <w:spacing w:after="0" w:line="256" w:lineRule="auto"/>
              <w:jc w:val="both"/>
              <w:rPr>
                <w:rFonts w:ascii="Times New Roman" w:hAnsi="Times New Roman"/>
                <w:iCs/>
              </w:rPr>
            </w:pPr>
            <w:r w:rsidRPr="00420C1B">
              <w:rPr>
                <w:rFonts w:ascii="Times New Roman" w:hAnsi="Times New Roman"/>
                <w:iCs/>
              </w:rPr>
              <w:t>Opportunités d’emplois</w:t>
            </w:r>
            <w:r w:rsidR="008B6A04" w:rsidRPr="00420C1B">
              <w:rPr>
                <w:rFonts w:ascii="Times New Roman" w:hAnsi="Times New Roman"/>
                <w:iCs/>
              </w:rPr>
              <w:t> : recrutement des femmes et des hommes pour la mise en œuvre du projet.</w:t>
            </w:r>
          </w:p>
        </w:tc>
        <w:tc>
          <w:tcPr>
            <w:tcW w:w="427" w:type="dxa"/>
            <w:tcBorders>
              <w:top w:val="single" w:sz="4" w:space="0" w:color="auto"/>
              <w:left w:val="single" w:sz="4" w:space="0" w:color="auto"/>
              <w:bottom w:val="single" w:sz="4" w:space="0" w:color="auto"/>
              <w:right w:val="single" w:sz="4" w:space="0" w:color="auto"/>
            </w:tcBorders>
          </w:tcPr>
          <w:p w14:paraId="47EF57A3"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4401DEE8"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16D14A31"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76180075"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11D66D5C"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6A2E28C7"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shd w:val="clear" w:color="auto" w:fill="D9D9D9"/>
          </w:tcPr>
          <w:p w14:paraId="07DF49A4"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1C18C8E9"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tcPr>
          <w:p w14:paraId="7DE04C30"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20D7BA76"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cPr>
          <w:p w14:paraId="0F18FF70"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tcPr>
          <w:p w14:paraId="4D0C1280" w14:textId="77777777" w:rsidR="00ED17F3" w:rsidRPr="00D75D2E" w:rsidRDefault="00ED17F3" w:rsidP="00215867">
            <w:pPr>
              <w:spacing w:after="0" w:line="256" w:lineRule="auto"/>
              <w:jc w:val="both"/>
              <w:rPr>
                <w:rFonts w:ascii="Times New Roman" w:hAnsi="Times New Roman"/>
              </w:rPr>
            </w:pPr>
          </w:p>
        </w:tc>
      </w:tr>
      <w:tr w:rsidR="002C66D7" w:rsidRPr="00420C1B" w14:paraId="364E9851" w14:textId="77777777" w:rsidTr="00420C1B">
        <w:trPr>
          <w:trHeight w:val="509"/>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0D351F55" w14:textId="77777777" w:rsidR="00ED17F3" w:rsidRPr="00D75D2E" w:rsidRDefault="00ED17F3" w:rsidP="007108ED">
            <w:pPr>
              <w:spacing w:after="0" w:line="256" w:lineRule="auto"/>
              <w:rPr>
                <w:rFonts w:ascii="Times New Roman" w:hAnsi="Times New Roman"/>
                <w:b/>
              </w:rPr>
            </w:pPr>
          </w:p>
        </w:tc>
        <w:tc>
          <w:tcPr>
            <w:tcW w:w="2691" w:type="dxa"/>
            <w:vMerge/>
            <w:tcBorders>
              <w:top w:val="single" w:sz="4" w:space="0" w:color="auto"/>
              <w:left w:val="single" w:sz="4" w:space="0" w:color="auto"/>
              <w:bottom w:val="single" w:sz="4" w:space="0" w:color="auto"/>
              <w:right w:val="single" w:sz="4" w:space="0" w:color="auto"/>
            </w:tcBorders>
            <w:vAlign w:val="center"/>
            <w:hideMark/>
          </w:tcPr>
          <w:p w14:paraId="49FFB527" w14:textId="77777777" w:rsidR="00ED17F3" w:rsidRPr="00D75D2E" w:rsidRDefault="00ED17F3">
            <w:pPr>
              <w:spacing w:after="0" w:line="256" w:lineRule="auto"/>
              <w:rPr>
                <w:rFonts w:ascii="Times New Roman" w:hAnsi="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1D578A0" w14:textId="77777777" w:rsidR="00ED17F3" w:rsidRPr="00D75D2E" w:rsidRDefault="00ED17F3">
            <w:pPr>
              <w:spacing w:after="0" w:line="256" w:lineRule="auto"/>
              <w:rPr>
                <w:rFonts w:ascii="Times New Roman" w:hAnsi="Times New Roman"/>
              </w:rPr>
            </w:pPr>
          </w:p>
        </w:tc>
        <w:tc>
          <w:tcPr>
            <w:tcW w:w="4705" w:type="dxa"/>
            <w:vMerge/>
            <w:tcBorders>
              <w:top w:val="single" w:sz="4" w:space="0" w:color="auto"/>
              <w:left w:val="single" w:sz="4" w:space="0" w:color="auto"/>
              <w:bottom w:val="single" w:sz="4" w:space="0" w:color="auto"/>
              <w:right w:val="single" w:sz="4" w:space="0" w:color="auto"/>
            </w:tcBorders>
            <w:vAlign w:val="center"/>
            <w:hideMark/>
          </w:tcPr>
          <w:p w14:paraId="25817BB3" w14:textId="77777777" w:rsidR="00ED17F3" w:rsidRPr="00D75D2E" w:rsidRDefault="00ED17F3">
            <w:pPr>
              <w:spacing w:after="0" w:line="256" w:lineRule="auto"/>
              <w:rPr>
                <w:rFonts w:ascii="Times New Roman" w:hAnsi="Times New Roman"/>
                <w:iCs/>
              </w:rPr>
            </w:pPr>
          </w:p>
        </w:tc>
        <w:tc>
          <w:tcPr>
            <w:tcW w:w="427" w:type="dxa"/>
            <w:tcBorders>
              <w:top w:val="single" w:sz="4" w:space="0" w:color="auto"/>
              <w:left w:val="single" w:sz="4" w:space="0" w:color="auto"/>
              <w:bottom w:val="single" w:sz="4" w:space="0" w:color="auto"/>
              <w:right w:val="single" w:sz="4" w:space="0" w:color="auto"/>
            </w:tcBorders>
          </w:tcPr>
          <w:p w14:paraId="73735951"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14:paraId="2B3669B8"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618283E5"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670AD00A"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24DC0665"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27EE26B6"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shd w:val="clear" w:color="auto" w:fill="FFFFFF"/>
          </w:tcPr>
          <w:p w14:paraId="764FDBAC"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70AB413B"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D9D9D9"/>
          </w:tcPr>
          <w:p w14:paraId="74F25610"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0FDC97BB"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FFFFFF"/>
          </w:tcPr>
          <w:p w14:paraId="1CB59469"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shd w:val="clear" w:color="auto" w:fill="D9D9D9"/>
          </w:tcPr>
          <w:p w14:paraId="7D0B51D0" w14:textId="77777777" w:rsidR="00ED17F3" w:rsidRPr="00D75D2E" w:rsidRDefault="00ED17F3" w:rsidP="00215867">
            <w:pPr>
              <w:spacing w:after="0" w:line="256" w:lineRule="auto"/>
              <w:jc w:val="both"/>
              <w:rPr>
                <w:rFonts w:ascii="Times New Roman" w:hAnsi="Times New Roman"/>
              </w:rPr>
            </w:pPr>
          </w:p>
        </w:tc>
      </w:tr>
      <w:tr w:rsidR="002C66D7" w:rsidRPr="00420C1B" w14:paraId="4C64A737" w14:textId="77777777" w:rsidTr="00420C1B">
        <w:trPr>
          <w:trHeight w:val="359"/>
        </w:trPr>
        <w:tc>
          <w:tcPr>
            <w:tcW w:w="8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03629BB" w14:textId="77777777" w:rsidR="00ED17F3" w:rsidRPr="00D75D2E" w:rsidRDefault="00ED17F3" w:rsidP="007108ED">
            <w:pPr>
              <w:spacing w:after="120" w:line="256" w:lineRule="auto"/>
              <w:ind w:left="113" w:right="113"/>
              <w:jc w:val="center"/>
              <w:rPr>
                <w:rFonts w:ascii="Times New Roman" w:hAnsi="Times New Roman"/>
                <w:b/>
              </w:rPr>
            </w:pPr>
            <w:r w:rsidRPr="00D75D2E">
              <w:rPr>
                <w:rFonts w:ascii="Times New Roman" w:hAnsi="Times New Roman"/>
                <w:b/>
              </w:rPr>
              <w:t>EXPLOITATION</w:t>
            </w:r>
          </w:p>
          <w:p w14:paraId="38EB974B" w14:textId="77777777" w:rsidR="00ED17F3" w:rsidRPr="00D75D2E" w:rsidRDefault="00ED17F3" w:rsidP="007108ED">
            <w:pPr>
              <w:spacing w:after="120" w:line="256" w:lineRule="auto"/>
              <w:ind w:left="113" w:right="113"/>
              <w:jc w:val="center"/>
              <w:rPr>
                <w:rFonts w:ascii="Times New Roman" w:hAnsi="Times New Roman"/>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4117E01B" w14:textId="77777777" w:rsidR="00ED17F3" w:rsidRPr="00D75D2E" w:rsidRDefault="00ED17F3" w:rsidP="00215867">
            <w:pPr>
              <w:spacing w:after="0" w:line="256" w:lineRule="auto"/>
              <w:jc w:val="both"/>
              <w:rPr>
                <w:rFonts w:ascii="Times New Roman" w:hAnsi="Times New Roman"/>
              </w:rPr>
            </w:pPr>
            <w:r w:rsidRPr="00D75D2E">
              <w:rPr>
                <w:rFonts w:ascii="Times New Roman" w:hAnsi="Times New Roman"/>
              </w:rPr>
              <w:t xml:space="preserve">Assainissement du réseau électrique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FD3517" w14:textId="77777777" w:rsidR="00ED17F3" w:rsidRPr="00D75D2E" w:rsidRDefault="00ED17F3" w:rsidP="00215867">
            <w:pPr>
              <w:spacing w:after="0" w:line="256" w:lineRule="auto"/>
              <w:rPr>
                <w:rFonts w:ascii="Times New Roman" w:hAnsi="Times New Roman"/>
              </w:rPr>
            </w:pPr>
            <w:r w:rsidRPr="00D75D2E">
              <w:rPr>
                <w:rFonts w:ascii="Times New Roman" w:hAnsi="Times New Roman"/>
              </w:rPr>
              <w:t>Santé sécurité</w:t>
            </w:r>
          </w:p>
          <w:p w14:paraId="4BEA7F8F" w14:textId="77777777" w:rsidR="00ED17F3" w:rsidRPr="00D75D2E" w:rsidRDefault="00ED17F3" w:rsidP="00215867">
            <w:pPr>
              <w:spacing w:after="0" w:line="256" w:lineRule="auto"/>
              <w:rPr>
                <w:rFonts w:ascii="Times New Roman" w:hAnsi="Times New Roman"/>
              </w:rPr>
            </w:pPr>
          </w:p>
        </w:tc>
        <w:tc>
          <w:tcPr>
            <w:tcW w:w="4705" w:type="dxa"/>
            <w:tcBorders>
              <w:top w:val="single" w:sz="4" w:space="0" w:color="auto"/>
              <w:left w:val="single" w:sz="4" w:space="0" w:color="auto"/>
              <w:bottom w:val="single" w:sz="4" w:space="0" w:color="auto"/>
              <w:right w:val="single" w:sz="4" w:space="0" w:color="auto"/>
            </w:tcBorders>
            <w:vAlign w:val="center"/>
            <w:hideMark/>
          </w:tcPr>
          <w:p w14:paraId="7E2C605F" w14:textId="2CF5DCC8" w:rsidR="00ED17F3" w:rsidRPr="00420C1B" w:rsidRDefault="00ED17F3" w:rsidP="00215867">
            <w:pPr>
              <w:numPr>
                <w:ilvl w:val="0"/>
                <w:numId w:val="47"/>
              </w:numPr>
              <w:spacing w:after="0" w:line="256" w:lineRule="auto"/>
              <w:jc w:val="both"/>
              <w:rPr>
                <w:rFonts w:ascii="Times New Roman" w:hAnsi="Times New Roman"/>
                <w:iCs/>
              </w:rPr>
            </w:pPr>
            <w:r w:rsidRPr="00420C1B">
              <w:rPr>
                <w:rFonts w:ascii="Times New Roman" w:hAnsi="Times New Roman"/>
                <w:iCs/>
              </w:rPr>
              <w:t>Renforcement des capacités différents acteurs</w:t>
            </w:r>
            <w:r w:rsidR="008B6A04" w:rsidRPr="00420C1B">
              <w:rPr>
                <w:rFonts w:ascii="Times New Roman" w:hAnsi="Times New Roman"/>
                <w:iCs/>
              </w:rPr>
              <w:t xml:space="preserve"> ; </w:t>
            </w:r>
            <w:r w:rsidR="006A64C9" w:rsidRPr="00420C1B">
              <w:rPr>
                <w:rFonts w:ascii="Times New Roman" w:hAnsi="Times New Roman"/>
                <w:iCs/>
              </w:rPr>
              <w:t xml:space="preserve">Des thématiques sur la santé et la sécurité seront dispensées au cours de la mise en œuvre du Projet </w:t>
            </w:r>
            <w:r w:rsidRPr="00420C1B">
              <w:rPr>
                <w:rFonts w:ascii="Times New Roman" w:hAnsi="Times New Roman"/>
                <w:iCs/>
              </w:rPr>
              <w:t>pour une meilleure gestion des infrastructures</w:t>
            </w:r>
            <w:r w:rsidR="008B6A04" w:rsidRPr="00420C1B">
              <w:rPr>
                <w:rFonts w:ascii="Times New Roman" w:hAnsi="Times New Roman"/>
                <w:iCs/>
              </w:rPr>
              <w:t xml:space="preserve"> ; </w:t>
            </w:r>
          </w:p>
        </w:tc>
        <w:tc>
          <w:tcPr>
            <w:tcW w:w="427" w:type="dxa"/>
            <w:tcBorders>
              <w:top w:val="single" w:sz="4" w:space="0" w:color="auto"/>
              <w:left w:val="single" w:sz="4" w:space="0" w:color="auto"/>
              <w:bottom w:val="single" w:sz="4" w:space="0" w:color="auto"/>
              <w:right w:val="single" w:sz="4" w:space="0" w:color="auto"/>
            </w:tcBorders>
          </w:tcPr>
          <w:p w14:paraId="077A0B09"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700608BF"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328A753C"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04C03D5E"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5DFEE5F6"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16C8EBA8"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14:paraId="350544FA"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26340676"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D9D9D9"/>
          </w:tcPr>
          <w:p w14:paraId="34E895F7"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59CDE7F1"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14:paraId="4B47DFC4"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shd w:val="clear" w:color="auto" w:fill="D9D9D9"/>
          </w:tcPr>
          <w:p w14:paraId="1F604C87" w14:textId="77777777" w:rsidR="00ED17F3" w:rsidRPr="00D75D2E" w:rsidRDefault="00ED17F3" w:rsidP="00215867">
            <w:pPr>
              <w:spacing w:after="0" w:line="256" w:lineRule="auto"/>
              <w:jc w:val="both"/>
              <w:rPr>
                <w:rFonts w:ascii="Times New Roman" w:hAnsi="Times New Roman"/>
              </w:rPr>
            </w:pPr>
          </w:p>
        </w:tc>
      </w:tr>
      <w:tr w:rsidR="002C66D7" w:rsidRPr="00420C1B" w14:paraId="4ECBEE29" w14:textId="77777777" w:rsidTr="00420C1B">
        <w:trPr>
          <w:trHeight w:val="822"/>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4C6FD075" w14:textId="77777777" w:rsidR="00ED17F3" w:rsidRPr="00D75D2E" w:rsidRDefault="00ED17F3" w:rsidP="007108ED">
            <w:pPr>
              <w:spacing w:after="0" w:line="256" w:lineRule="auto"/>
              <w:rPr>
                <w:rFonts w:ascii="Times New Roman" w:hAnsi="Times New Roman"/>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789CEC6C" w14:textId="77777777" w:rsidR="00ED17F3" w:rsidRPr="00D75D2E" w:rsidRDefault="00ED17F3" w:rsidP="00215867">
            <w:pPr>
              <w:spacing w:after="0" w:line="256" w:lineRule="auto"/>
              <w:jc w:val="both"/>
              <w:rPr>
                <w:rFonts w:ascii="Times New Roman" w:hAnsi="Times New Roman"/>
              </w:rPr>
            </w:pPr>
            <w:r w:rsidRPr="00D75D2E">
              <w:rPr>
                <w:rFonts w:ascii="Times New Roman" w:hAnsi="Times New Roman"/>
              </w:rPr>
              <w:t>Eclairage public</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26D5DC" w14:textId="77777777" w:rsidR="00ED17F3" w:rsidRPr="00D75D2E" w:rsidRDefault="00ED17F3" w:rsidP="00215867">
            <w:pPr>
              <w:spacing w:after="0" w:line="256" w:lineRule="auto"/>
              <w:rPr>
                <w:rFonts w:ascii="Times New Roman" w:hAnsi="Times New Roman"/>
              </w:rPr>
            </w:pPr>
            <w:r w:rsidRPr="00D75D2E">
              <w:rPr>
                <w:rFonts w:ascii="Times New Roman" w:hAnsi="Times New Roman"/>
              </w:rPr>
              <w:t>Sécurité et Activités économiques</w:t>
            </w:r>
          </w:p>
        </w:tc>
        <w:tc>
          <w:tcPr>
            <w:tcW w:w="4705" w:type="dxa"/>
            <w:tcBorders>
              <w:top w:val="single" w:sz="4" w:space="0" w:color="auto"/>
              <w:left w:val="single" w:sz="4" w:space="0" w:color="auto"/>
              <w:bottom w:val="single" w:sz="4" w:space="0" w:color="auto"/>
              <w:right w:val="single" w:sz="4" w:space="0" w:color="auto"/>
            </w:tcBorders>
            <w:vAlign w:val="center"/>
          </w:tcPr>
          <w:p w14:paraId="67E71EAE" w14:textId="3AABDF65" w:rsidR="00ED17F3" w:rsidRPr="00420C1B" w:rsidRDefault="00ED17F3" w:rsidP="00215867">
            <w:pPr>
              <w:numPr>
                <w:ilvl w:val="0"/>
                <w:numId w:val="47"/>
              </w:numPr>
              <w:spacing w:after="0" w:line="256" w:lineRule="auto"/>
              <w:jc w:val="both"/>
              <w:rPr>
                <w:rFonts w:ascii="Times New Roman" w:hAnsi="Times New Roman"/>
                <w:iCs/>
              </w:rPr>
            </w:pPr>
            <w:r w:rsidRPr="00420C1B">
              <w:rPr>
                <w:rFonts w:ascii="Times New Roman" w:hAnsi="Times New Roman"/>
                <w:iCs/>
              </w:rPr>
              <w:t>Renforcement de la sécurité des personnes et des biens</w:t>
            </w:r>
            <w:r w:rsidR="006A64C9" w:rsidRPr="00420C1B">
              <w:rPr>
                <w:rFonts w:ascii="Times New Roman" w:hAnsi="Times New Roman"/>
                <w:iCs/>
              </w:rPr>
              <w:t> : l’éclairage public permettra de diminuer ou de dissuader les voleurs et réduire le grand banditisme.</w:t>
            </w:r>
          </w:p>
          <w:p w14:paraId="2890D72C" w14:textId="2378F96C" w:rsidR="00ED17F3" w:rsidRPr="00420C1B" w:rsidRDefault="00ED17F3" w:rsidP="00215867">
            <w:pPr>
              <w:numPr>
                <w:ilvl w:val="0"/>
                <w:numId w:val="47"/>
              </w:numPr>
              <w:spacing w:after="0" w:line="257" w:lineRule="auto"/>
              <w:ind w:left="357" w:hanging="357"/>
              <w:jc w:val="both"/>
              <w:rPr>
                <w:rFonts w:ascii="Times New Roman" w:hAnsi="Times New Roman"/>
                <w:iCs/>
              </w:rPr>
            </w:pPr>
            <w:r w:rsidRPr="00420C1B">
              <w:rPr>
                <w:rFonts w:ascii="Times New Roman" w:hAnsi="Times New Roman"/>
                <w:iCs/>
              </w:rPr>
              <w:t>Amélioration des revenus des commerçants</w:t>
            </w:r>
            <w:r w:rsidR="006A64C9" w:rsidRPr="00420C1B">
              <w:rPr>
                <w:rFonts w:ascii="Times New Roman" w:hAnsi="Times New Roman"/>
                <w:iCs/>
              </w:rPr>
              <w:t> : la mise en œuvre du projet permettra de mettre à la disposition des population</w:t>
            </w:r>
            <w:r w:rsidR="00080AD4" w:rsidRPr="00420C1B">
              <w:rPr>
                <w:rFonts w:ascii="Times New Roman" w:hAnsi="Times New Roman"/>
                <w:iCs/>
              </w:rPr>
              <w:t>s</w:t>
            </w:r>
            <w:r w:rsidR="006A64C9" w:rsidRPr="00420C1B">
              <w:rPr>
                <w:rFonts w:ascii="Times New Roman" w:hAnsi="Times New Roman"/>
                <w:iCs/>
              </w:rPr>
              <w:t xml:space="preserve"> du courant en continue ce qui permettra aux </w:t>
            </w:r>
            <w:r w:rsidR="00080AD4" w:rsidRPr="00420C1B">
              <w:rPr>
                <w:rFonts w:ascii="Times New Roman" w:hAnsi="Times New Roman"/>
                <w:iCs/>
              </w:rPr>
              <w:t>commerçant</w:t>
            </w:r>
            <w:r w:rsidR="006A64C9" w:rsidRPr="00420C1B">
              <w:rPr>
                <w:rFonts w:ascii="Times New Roman" w:hAnsi="Times New Roman"/>
                <w:iCs/>
              </w:rPr>
              <w:t xml:space="preserve"> d’exercer </w:t>
            </w:r>
            <w:r w:rsidR="00080AD4" w:rsidRPr="00420C1B">
              <w:rPr>
                <w:rFonts w:ascii="Times New Roman" w:hAnsi="Times New Roman"/>
                <w:iCs/>
              </w:rPr>
              <w:t>leurs activités</w:t>
            </w:r>
            <w:r w:rsidR="006A64C9" w:rsidRPr="00420C1B">
              <w:rPr>
                <w:rFonts w:ascii="Times New Roman" w:hAnsi="Times New Roman"/>
                <w:iCs/>
              </w:rPr>
              <w:t xml:space="preserve"> </w:t>
            </w:r>
            <w:r w:rsidR="00080AD4" w:rsidRPr="00420C1B">
              <w:rPr>
                <w:rFonts w:ascii="Times New Roman" w:hAnsi="Times New Roman"/>
                <w:iCs/>
              </w:rPr>
              <w:t>tout au long dans la journée et même tard dans la nuit. Cela aura pour conséquence l’augmentation des chiffres d’affaires des commerçants et donc de leur revenu.</w:t>
            </w:r>
          </w:p>
        </w:tc>
        <w:tc>
          <w:tcPr>
            <w:tcW w:w="427" w:type="dxa"/>
            <w:tcBorders>
              <w:top w:val="single" w:sz="4" w:space="0" w:color="auto"/>
              <w:left w:val="single" w:sz="4" w:space="0" w:color="auto"/>
              <w:bottom w:val="single" w:sz="4" w:space="0" w:color="auto"/>
              <w:right w:val="single" w:sz="4" w:space="0" w:color="auto"/>
            </w:tcBorders>
          </w:tcPr>
          <w:p w14:paraId="579B8448"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042E9B12"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0AFFBE02" w14:textId="77777777" w:rsidR="00ED17F3" w:rsidRPr="00D75D2E" w:rsidRDefault="00ED17F3" w:rsidP="00215867">
            <w:pPr>
              <w:spacing w:after="0" w:line="256"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10291C9C" w14:textId="77777777" w:rsidR="00ED17F3" w:rsidRPr="00D75D2E" w:rsidRDefault="00ED17F3" w:rsidP="00215867">
            <w:pPr>
              <w:spacing w:after="0" w:line="256"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143B43E6" w14:textId="77777777" w:rsidR="00ED17F3" w:rsidRPr="00D75D2E" w:rsidRDefault="00ED17F3" w:rsidP="00215867">
            <w:pPr>
              <w:spacing w:after="0" w:line="256"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40A87D03" w14:textId="77777777" w:rsidR="00ED17F3" w:rsidRPr="00D75D2E" w:rsidRDefault="00ED17F3" w:rsidP="00215867">
            <w:pPr>
              <w:spacing w:after="0" w:line="256"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14:paraId="1AD0A73F" w14:textId="77777777" w:rsidR="00ED17F3" w:rsidRPr="00D75D2E" w:rsidRDefault="00ED17F3" w:rsidP="00215867">
            <w:pPr>
              <w:spacing w:after="0" w:line="256"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51ACD67B" w14:textId="77777777" w:rsidR="00ED17F3" w:rsidRPr="00D75D2E" w:rsidRDefault="00ED17F3" w:rsidP="00215867">
            <w:pPr>
              <w:spacing w:after="0" w:line="256"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D9D9D9"/>
          </w:tcPr>
          <w:p w14:paraId="6EAD082B" w14:textId="77777777" w:rsidR="00ED17F3" w:rsidRPr="00D75D2E" w:rsidRDefault="00ED17F3" w:rsidP="00215867">
            <w:pPr>
              <w:spacing w:after="0" w:line="256"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7F1F5181" w14:textId="77777777" w:rsidR="00ED17F3" w:rsidRPr="00D75D2E" w:rsidRDefault="00ED17F3" w:rsidP="00215867">
            <w:pPr>
              <w:spacing w:after="0" w:line="256"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cPr>
          <w:p w14:paraId="6F86B3AD" w14:textId="77777777" w:rsidR="00ED17F3" w:rsidRPr="00D75D2E" w:rsidRDefault="00ED17F3" w:rsidP="00215867">
            <w:pPr>
              <w:spacing w:after="0" w:line="256"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1DA7F0C1" w14:textId="77777777" w:rsidR="00ED17F3" w:rsidRPr="00D75D2E" w:rsidRDefault="00ED17F3" w:rsidP="00215867">
            <w:pPr>
              <w:spacing w:after="0" w:line="256" w:lineRule="auto"/>
              <w:jc w:val="both"/>
              <w:rPr>
                <w:rFonts w:ascii="Times New Roman" w:hAnsi="Times New Roman"/>
              </w:rPr>
            </w:pPr>
          </w:p>
        </w:tc>
      </w:tr>
      <w:tr w:rsidR="002C66D7" w:rsidRPr="00420C1B" w14:paraId="5330F49A" w14:textId="77777777" w:rsidTr="00420C1B">
        <w:trPr>
          <w:trHeight w:val="1041"/>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007C70C4" w14:textId="77777777" w:rsidR="00ED17F3" w:rsidRPr="00D75D2E" w:rsidRDefault="00ED17F3" w:rsidP="007108ED">
            <w:pPr>
              <w:spacing w:after="0" w:line="256" w:lineRule="auto"/>
              <w:rPr>
                <w:rFonts w:ascii="Times New Roman" w:hAnsi="Times New Roman"/>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40FEC8D3" w14:textId="77777777" w:rsidR="00ED17F3" w:rsidRPr="00D75D2E" w:rsidRDefault="00ED17F3" w:rsidP="00215867">
            <w:pPr>
              <w:spacing w:after="0" w:line="257" w:lineRule="auto"/>
              <w:jc w:val="both"/>
              <w:rPr>
                <w:rFonts w:ascii="Times New Roman" w:hAnsi="Times New Roman"/>
              </w:rPr>
            </w:pPr>
            <w:r w:rsidRPr="00D75D2E">
              <w:rPr>
                <w:rFonts w:ascii="Times New Roman" w:hAnsi="Times New Roman"/>
              </w:rPr>
              <w:t xml:space="preserve">Installation des compteurs prépayés chez les nouveaux abonnés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6B1448" w14:textId="77777777" w:rsidR="00ED17F3" w:rsidRPr="00D75D2E" w:rsidRDefault="00ED17F3" w:rsidP="00215867">
            <w:pPr>
              <w:spacing w:after="0" w:line="257" w:lineRule="auto"/>
              <w:rPr>
                <w:rFonts w:ascii="Times New Roman" w:hAnsi="Times New Roman"/>
              </w:rPr>
            </w:pPr>
            <w:r w:rsidRPr="00D75D2E">
              <w:rPr>
                <w:rFonts w:ascii="Times New Roman" w:hAnsi="Times New Roman"/>
              </w:rPr>
              <w:t>Qualité de vie, gestion des investissements électriques</w:t>
            </w:r>
          </w:p>
        </w:tc>
        <w:tc>
          <w:tcPr>
            <w:tcW w:w="4705" w:type="dxa"/>
            <w:tcBorders>
              <w:top w:val="single" w:sz="4" w:space="0" w:color="auto"/>
              <w:left w:val="single" w:sz="4" w:space="0" w:color="auto"/>
              <w:bottom w:val="single" w:sz="4" w:space="0" w:color="auto"/>
              <w:right w:val="single" w:sz="4" w:space="0" w:color="auto"/>
            </w:tcBorders>
            <w:vAlign w:val="center"/>
            <w:hideMark/>
          </w:tcPr>
          <w:p w14:paraId="215510A2" w14:textId="7AFB0087" w:rsidR="00080AD4" w:rsidRPr="00420C1B" w:rsidRDefault="00EA6AF2" w:rsidP="00215867">
            <w:pPr>
              <w:spacing w:after="0" w:line="257" w:lineRule="auto"/>
              <w:jc w:val="both"/>
              <w:rPr>
                <w:rFonts w:ascii="Times New Roman" w:hAnsi="Times New Roman"/>
                <w:iCs/>
              </w:rPr>
            </w:pPr>
            <w:r w:rsidRPr="00420C1B">
              <w:rPr>
                <w:rFonts w:ascii="Times New Roman" w:hAnsi="Times New Roman"/>
                <w:iCs/>
              </w:rPr>
              <w:t>L’</w:t>
            </w:r>
            <w:r w:rsidRPr="00D75D2E">
              <w:rPr>
                <w:rFonts w:ascii="Times New Roman" w:hAnsi="Times New Roman"/>
              </w:rPr>
              <w:t>Installation</w:t>
            </w:r>
            <w:r w:rsidR="00080AD4" w:rsidRPr="00D75D2E">
              <w:rPr>
                <w:rFonts w:ascii="Times New Roman" w:hAnsi="Times New Roman"/>
              </w:rPr>
              <w:t xml:space="preserve"> des compteurs prépayés chez les nouveaux abonnés  </w:t>
            </w:r>
            <w:r w:rsidR="00080AD4">
              <w:rPr>
                <w:rFonts w:ascii="Times New Roman" w:hAnsi="Times New Roman"/>
              </w:rPr>
              <w:t xml:space="preserve"> permettra :</w:t>
            </w:r>
          </w:p>
          <w:p w14:paraId="6BF5D3FD" w14:textId="2C99BF85"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Meilleur suivi des bénéficiaires par la SNEL</w:t>
            </w:r>
          </w:p>
          <w:p w14:paraId="50D275D6" w14:textId="77777777"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 xml:space="preserve">Amélioration des conditions de vie des bénéficiaires </w:t>
            </w:r>
          </w:p>
          <w:p w14:paraId="34FF865C" w14:textId="77777777"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Facilitation de la conduite des activités socio-économiques des populations bénéficiaires</w:t>
            </w:r>
          </w:p>
        </w:tc>
        <w:tc>
          <w:tcPr>
            <w:tcW w:w="427" w:type="dxa"/>
            <w:tcBorders>
              <w:top w:val="single" w:sz="4" w:space="0" w:color="auto"/>
              <w:left w:val="single" w:sz="4" w:space="0" w:color="auto"/>
              <w:bottom w:val="single" w:sz="4" w:space="0" w:color="auto"/>
              <w:right w:val="single" w:sz="4" w:space="0" w:color="auto"/>
            </w:tcBorders>
          </w:tcPr>
          <w:p w14:paraId="49D23550"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20541941"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D9D9D9"/>
          </w:tcPr>
          <w:p w14:paraId="55598843"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66CD4E46" w14:textId="77777777" w:rsidR="00ED17F3" w:rsidRPr="00D75D2E" w:rsidRDefault="00ED17F3" w:rsidP="00215867">
            <w:pPr>
              <w:spacing w:after="0" w:line="257"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tcPr>
          <w:p w14:paraId="6D40CEC2" w14:textId="77777777" w:rsidR="00ED17F3" w:rsidRPr="00D75D2E" w:rsidRDefault="00ED17F3" w:rsidP="00215867">
            <w:pPr>
              <w:spacing w:after="0" w:line="257"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6A48E7ED" w14:textId="77777777" w:rsidR="00ED17F3" w:rsidRPr="00D75D2E" w:rsidRDefault="00ED17F3" w:rsidP="00215867">
            <w:pPr>
              <w:spacing w:after="0" w:line="257"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14:paraId="09F66E41" w14:textId="77777777" w:rsidR="00ED17F3" w:rsidRPr="00D75D2E" w:rsidRDefault="00ED17F3" w:rsidP="00215867">
            <w:pPr>
              <w:spacing w:after="0" w:line="257"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4DF07074" w14:textId="77777777" w:rsidR="00ED17F3" w:rsidRPr="00D75D2E" w:rsidRDefault="00ED17F3" w:rsidP="00215867">
            <w:pPr>
              <w:spacing w:after="0" w:line="257"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D9D9D9"/>
          </w:tcPr>
          <w:p w14:paraId="1C16FEDD"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393C2D44" w14:textId="77777777" w:rsidR="00ED17F3" w:rsidRPr="00D75D2E" w:rsidRDefault="00ED17F3" w:rsidP="00215867">
            <w:pPr>
              <w:spacing w:after="0" w:line="257"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tcPr>
          <w:p w14:paraId="54A16065" w14:textId="77777777" w:rsidR="00ED17F3" w:rsidRPr="00D75D2E" w:rsidRDefault="00ED17F3" w:rsidP="00215867">
            <w:pPr>
              <w:spacing w:after="0" w:line="257"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shd w:val="clear" w:color="auto" w:fill="D9D9D9"/>
          </w:tcPr>
          <w:p w14:paraId="4DFBE299" w14:textId="77777777" w:rsidR="00ED17F3" w:rsidRPr="00D75D2E" w:rsidRDefault="00ED17F3" w:rsidP="00215867">
            <w:pPr>
              <w:spacing w:after="0" w:line="257" w:lineRule="auto"/>
              <w:jc w:val="both"/>
              <w:rPr>
                <w:rFonts w:ascii="Times New Roman" w:hAnsi="Times New Roman"/>
              </w:rPr>
            </w:pPr>
          </w:p>
        </w:tc>
      </w:tr>
      <w:tr w:rsidR="002C66D7" w:rsidRPr="00420C1B" w14:paraId="44FC94BE" w14:textId="77777777" w:rsidTr="00420C1B">
        <w:trPr>
          <w:trHeight w:val="945"/>
        </w:trPr>
        <w:tc>
          <w:tcPr>
            <w:tcW w:w="848" w:type="dxa"/>
            <w:vMerge/>
            <w:tcBorders>
              <w:top w:val="single" w:sz="4" w:space="0" w:color="auto"/>
              <w:left w:val="single" w:sz="4" w:space="0" w:color="auto"/>
              <w:bottom w:val="single" w:sz="4" w:space="0" w:color="auto"/>
              <w:right w:val="single" w:sz="4" w:space="0" w:color="auto"/>
            </w:tcBorders>
            <w:vAlign w:val="center"/>
            <w:hideMark/>
          </w:tcPr>
          <w:p w14:paraId="18249CCD" w14:textId="77777777" w:rsidR="00ED17F3" w:rsidRPr="00D75D2E" w:rsidRDefault="00ED17F3" w:rsidP="007108ED">
            <w:pPr>
              <w:spacing w:after="0" w:line="256" w:lineRule="auto"/>
              <w:rPr>
                <w:rFonts w:ascii="Times New Roman" w:hAnsi="Times New Roman"/>
                <w:b/>
              </w:rPr>
            </w:pPr>
          </w:p>
        </w:tc>
        <w:tc>
          <w:tcPr>
            <w:tcW w:w="2691" w:type="dxa"/>
            <w:tcBorders>
              <w:top w:val="single" w:sz="4" w:space="0" w:color="auto"/>
              <w:left w:val="single" w:sz="4" w:space="0" w:color="auto"/>
              <w:bottom w:val="single" w:sz="4" w:space="0" w:color="auto"/>
              <w:right w:val="single" w:sz="4" w:space="0" w:color="auto"/>
            </w:tcBorders>
            <w:vAlign w:val="center"/>
            <w:hideMark/>
          </w:tcPr>
          <w:p w14:paraId="4FA02AAE" w14:textId="77777777" w:rsidR="00ED17F3" w:rsidRPr="00D75D2E" w:rsidRDefault="00ED17F3" w:rsidP="00215867">
            <w:pPr>
              <w:spacing w:after="0" w:line="257" w:lineRule="auto"/>
              <w:jc w:val="both"/>
              <w:rPr>
                <w:rFonts w:ascii="Times New Roman" w:hAnsi="Times New Roman"/>
              </w:rPr>
            </w:pPr>
            <w:r w:rsidRPr="00D75D2E">
              <w:rPr>
                <w:rFonts w:ascii="Times New Roman" w:hAnsi="Times New Roman"/>
              </w:rPr>
              <w:t>Entretien des équipements du courant et installations électriques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92369E" w14:textId="77777777" w:rsidR="00ED17F3" w:rsidRPr="00D75D2E" w:rsidRDefault="00ED17F3" w:rsidP="00215867">
            <w:pPr>
              <w:spacing w:after="0" w:line="257" w:lineRule="auto"/>
              <w:rPr>
                <w:rFonts w:ascii="Times New Roman" w:hAnsi="Times New Roman"/>
              </w:rPr>
            </w:pPr>
            <w:r w:rsidRPr="00D75D2E">
              <w:rPr>
                <w:rFonts w:ascii="Times New Roman" w:hAnsi="Times New Roman"/>
              </w:rPr>
              <w:t>Humain</w:t>
            </w:r>
          </w:p>
        </w:tc>
        <w:tc>
          <w:tcPr>
            <w:tcW w:w="4705" w:type="dxa"/>
            <w:tcBorders>
              <w:top w:val="single" w:sz="4" w:space="0" w:color="auto"/>
              <w:left w:val="single" w:sz="4" w:space="0" w:color="auto"/>
              <w:bottom w:val="single" w:sz="4" w:space="0" w:color="auto"/>
              <w:right w:val="single" w:sz="4" w:space="0" w:color="auto"/>
            </w:tcBorders>
            <w:vAlign w:val="center"/>
            <w:hideMark/>
          </w:tcPr>
          <w:p w14:paraId="7F8E0449" w14:textId="307DBBC5" w:rsidR="00080AD4" w:rsidRPr="00420C1B" w:rsidRDefault="00EA6AF2" w:rsidP="00215867">
            <w:pPr>
              <w:spacing w:after="0" w:line="257" w:lineRule="auto"/>
              <w:jc w:val="both"/>
              <w:rPr>
                <w:rFonts w:ascii="Times New Roman" w:hAnsi="Times New Roman"/>
                <w:iCs/>
              </w:rPr>
            </w:pPr>
            <w:r>
              <w:rPr>
                <w:rFonts w:ascii="Times New Roman" w:hAnsi="Times New Roman"/>
              </w:rPr>
              <w:t>L’e</w:t>
            </w:r>
            <w:r w:rsidR="00080AD4" w:rsidRPr="00D75D2E">
              <w:rPr>
                <w:rFonts w:ascii="Times New Roman" w:hAnsi="Times New Roman"/>
              </w:rPr>
              <w:t>ntretien des équipements du courant et installations électriques</w:t>
            </w:r>
          </w:p>
          <w:p w14:paraId="5A462A55" w14:textId="6DAC217F"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Développement de l’économie informelle locale (artisanat, vente de matériel d’entretien,)</w:t>
            </w:r>
          </w:p>
          <w:p w14:paraId="50D2DE0A" w14:textId="77777777"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Sécurisation des installations de la SNEL</w:t>
            </w:r>
          </w:p>
          <w:p w14:paraId="449CF355" w14:textId="77777777" w:rsidR="00ED17F3" w:rsidRPr="00420C1B" w:rsidRDefault="00ED17F3" w:rsidP="00215867">
            <w:pPr>
              <w:numPr>
                <w:ilvl w:val="0"/>
                <w:numId w:val="47"/>
              </w:numPr>
              <w:spacing w:after="0" w:line="257" w:lineRule="auto"/>
              <w:jc w:val="both"/>
              <w:rPr>
                <w:rFonts w:ascii="Times New Roman" w:hAnsi="Times New Roman"/>
                <w:iCs/>
              </w:rPr>
            </w:pPr>
            <w:r w:rsidRPr="00420C1B">
              <w:rPr>
                <w:rFonts w:ascii="Times New Roman" w:hAnsi="Times New Roman"/>
                <w:iCs/>
              </w:rPr>
              <w:t>Libération des emprises et réduction de l’occupation anarchique des espaces.</w:t>
            </w:r>
          </w:p>
        </w:tc>
        <w:tc>
          <w:tcPr>
            <w:tcW w:w="427" w:type="dxa"/>
            <w:tcBorders>
              <w:top w:val="single" w:sz="4" w:space="0" w:color="auto"/>
              <w:left w:val="single" w:sz="4" w:space="0" w:color="auto"/>
              <w:bottom w:val="single" w:sz="4" w:space="0" w:color="auto"/>
              <w:right w:val="single" w:sz="4" w:space="0" w:color="auto"/>
            </w:tcBorders>
          </w:tcPr>
          <w:p w14:paraId="542FEB94"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shd w:val="clear" w:color="auto" w:fill="D9D9D9"/>
          </w:tcPr>
          <w:p w14:paraId="4D6D7597"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14:paraId="7B45001D" w14:textId="77777777" w:rsidR="00ED17F3" w:rsidRPr="00D75D2E" w:rsidRDefault="00ED17F3" w:rsidP="00215867">
            <w:pPr>
              <w:spacing w:after="0" w:line="257" w:lineRule="auto"/>
              <w:jc w:val="both"/>
              <w:rPr>
                <w:rFonts w:ascii="Times New Roman" w:hAnsi="Times New Roman"/>
              </w:rPr>
            </w:pPr>
          </w:p>
        </w:tc>
        <w:tc>
          <w:tcPr>
            <w:tcW w:w="426" w:type="dxa"/>
            <w:tcBorders>
              <w:top w:val="single" w:sz="4" w:space="0" w:color="auto"/>
              <w:left w:val="single" w:sz="4" w:space="0" w:color="auto"/>
              <w:bottom w:val="single" w:sz="4" w:space="0" w:color="auto"/>
              <w:right w:val="single" w:sz="4" w:space="0" w:color="auto"/>
            </w:tcBorders>
          </w:tcPr>
          <w:p w14:paraId="212245B5" w14:textId="77777777" w:rsidR="00ED17F3" w:rsidRPr="00D75D2E" w:rsidRDefault="00ED17F3" w:rsidP="00215867">
            <w:pPr>
              <w:spacing w:after="0" w:line="257" w:lineRule="auto"/>
              <w:jc w:val="both"/>
              <w:rPr>
                <w:rFonts w:ascii="Times New Roman" w:hAnsi="Times New Roman"/>
              </w:rPr>
            </w:pPr>
          </w:p>
        </w:tc>
        <w:tc>
          <w:tcPr>
            <w:tcW w:w="521" w:type="dxa"/>
            <w:tcBorders>
              <w:top w:val="single" w:sz="4" w:space="0" w:color="auto"/>
              <w:left w:val="single" w:sz="4" w:space="0" w:color="auto"/>
              <w:bottom w:val="single" w:sz="4" w:space="0" w:color="auto"/>
              <w:right w:val="single" w:sz="4" w:space="0" w:color="auto"/>
            </w:tcBorders>
            <w:shd w:val="clear" w:color="auto" w:fill="D9D9D9"/>
          </w:tcPr>
          <w:p w14:paraId="3AD8FD42" w14:textId="77777777" w:rsidR="00ED17F3" w:rsidRPr="00D75D2E" w:rsidRDefault="00ED17F3" w:rsidP="00215867">
            <w:pPr>
              <w:spacing w:after="0" w:line="257" w:lineRule="auto"/>
              <w:jc w:val="both"/>
              <w:rPr>
                <w:rFonts w:ascii="Times New Roman" w:hAnsi="Times New Roman"/>
              </w:rPr>
            </w:pPr>
          </w:p>
        </w:tc>
        <w:tc>
          <w:tcPr>
            <w:tcW w:w="236" w:type="dxa"/>
            <w:gridSpan w:val="2"/>
            <w:tcBorders>
              <w:top w:val="single" w:sz="4" w:space="0" w:color="auto"/>
              <w:left w:val="single" w:sz="4" w:space="0" w:color="auto"/>
              <w:bottom w:val="single" w:sz="4" w:space="0" w:color="auto"/>
              <w:right w:val="single" w:sz="4" w:space="0" w:color="auto"/>
            </w:tcBorders>
          </w:tcPr>
          <w:p w14:paraId="317891E9" w14:textId="77777777" w:rsidR="00ED17F3" w:rsidRPr="00D75D2E" w:rsidRDefault="00ED17F3" w:rsidP="00215867">
            <w:pPr>
              <w:spacing w:after="0" w:line="257" w:lineRule="auto"/>
              <w:jc w:val="both"/>
              <w:rPr>
                <w:rFonts w:ascii="Times New Roman" w:hAnsi="Times New Roman"/>
              </w:rPr>
            </w:pPr>
          </w:p>
        </w:tc>
        <w:tc>
          <w:tcPr>
            <w:tcW w:w="427" w:type="dxa"/>
            <w:tcBorders>
              <w:top w:val="single" w:sz="4" w:space="0" w:color="auto"/>
              <w:left w:val="single" w:sz="4" w:space="0" w:color="auto"/>
              <w:bottom w:val="single" w:sz="4" w:space="0" w:color="auto"/>
              <w:right w:val="single" w:sz="4" w:space="0" w:color="auto"/>
            </w:tcBorders>
          </w:tcPr>
          <w:p w14:paraId="798275AD" w14:textId="77777777" w:rsidR="00ED17F3" w:rsidRPr="00D75D2E" w:rsidRDefault="00ED17F3" w:rsidP="00215867">
            <w:pPr>
              <w:spacing w:after="0" w:line="257" w:lineRule="auto"/>
              <w:jc w:val="both"/>
              <w:rPr>
                <w:rFonts w:ascii="Times New Roman" w:hAnsi="Times New Roman"/>
              </w:rPr>
            </w:pPr>
          </w:p>
        </w:tc>
        <w:tc>
          <w:tcPr>
            <w:tcW w:w="646" w:type="dxa"/>
            <w:tcBorders>
              <w:top w:val="single" w:sz="4" w:space="0" w:color="auto"/>
              <w:left w:val="single" w:sz="4" w:space="0" w:color="auto"/>
              <w:bottom w:val="single" w:sz="4" w:space="0" w:color="auto"/>
              <w:right w:val="single" w:sz="4" w:space="0" w:color="auto"/>
            </w:tcBorders>
          </w:tcPr>
          <w:p w14:paraId="1CE96C7B" w14:textId="77777777" w:rsidR="00ED17F3" w:rsidRPr="00D75D2E" w:rsidRDefault="00ED17F3" w:rsidP="00215867">
            <w:pPr>
              <w:spacing w:after="0" w:line="257" w:lineRule="auto"/>
              <w:jc w:val="both"/>
              <w:rPr>
                <w:rFonts w:ascii="Times New Roman" w:hAnsi="Times New Roman"/>
              </w:rPr>
            </w:pPr>
          </w:p>
        </w:tc>
        <w:tc>
          <w:tcPr>
            <w:tcW w:w="285" w:type="dxa"/>
            <w:gridSpan w:val="2"/>
            <w:tcBorders>
              <w:top w:val="single" w:sz="4" w:space="0" w:color="auto"/>
              <w:left w:val="single" w:sz="4" w:space="0" w:color="auto"/>
              <w:bottom w:val="single" w:sz="4" w:space="0" w:color="auto"/>
              <w:right w:val="single" w:sz="4" w:space="0" w:color="auto"/>
            </w:tcBorders>
            <w:shd w:val="clear" w:color="auto" w:fill="D9D9D9"/>
          </w:tcPr>
          <w:p w14:paraId="41F35D43" w14:textId="77777777" w:rsidR="00ED17F3" w:rsidRPr="00D75D2E" w:rsidRDefault="00ED17F3" w:rsidP="00215867">
            <w:pPr>
              <w:spacing w:after="0" w:line="257" w:lineRule="auto"/>
              <w:jc w:val="both"/>
              <w:rPr>
                <w:rFonts w:ascii="Times New Roman" w:hAnsi="Times New Roman"/>
              </w:rPr>
            </w:pPr>
          </w:p>
        </w:tc>
        <w:tc>
          <w:tcPr>
            <w:tcW w:w="569" w:type="dxa"/>
            <w:tcBorders>
              <w:top w:val="single" w:sz="4" w:space="0" w:color="auto"/>
              <w:left w:val="single" w:sz="4" w:space="0" w:color="auto"/>
              <w:bottom w:val="single" w:sz="4" w:space="0" w:color="auto"/>
              <w:right w:val="single" w:sz="4" w:space="0" w:color="auto"/>
            </w:tcBorders>
          </w:tcPr>
          <w:p w14:paraId="304D9E1F" w14:textId="77777777" w:rsidR="00ED17F3" w:rsidRPr="00D75D2E" w:rsidRDefault="00ED17F3" w:rsidP="00215867">
            <w:pPr>
              <w:spacing w:after="0" w:line="257" w:lineRule="auto"/>
              <w:jc w:val="both"/>
              <w:rPr>
                <w:rFonts w:ascii="Times New Roman" w:hAnsi="Times New Roman"/>
              </w:rPr>
            </w:pPr>
          </w:p>
        </w:tc>
        <w:tc>
          <w:tcPr>
            <w:tcW w:w="756" w:type="dxa"/>
            <w:tcBorders>
              <w:top w:val="single" w:sz="4" w:space="0" w:color="auto"/>
              <w:left w:val="single" w:sz="4" w:space="0" w:color="auto"/>
              <w:bottom w:val="single" w:sz="4" w:space="0" w:color="auto"/>
              <w:right w:val="single" w:sz="4" w:space="0" w:color="auto"/>
            </w:tcBorders>
            <w:shd w:val="clear" w:color="auto" w:fill="D9D9D9"/>
          </w:tcPr>
          <w:p w14:paraId="2CB7C961" w14:textId="77777777" w:rsidR="00ED17F3" w:rsidRPr="00D75D2E" w:rsidRDefault="00ED17F3" w:rsidP="00215867">
            <w:pPr>
              <w:spacing w:after="0" w:line="257" w:lineRule="auto"/>
              <w:jc w:val="both"/>
              <w:rPr>
                <w:rFonts w:ascii="Times New Roman" w:hAnsi="Times New Roman"/>
              </w:rPr>
            </w:pPr>
          </w:p>
        </w:tc>
        <w:tc>
          <w:tcPr>
            <w:tcW w:w="610" w:type="dxa"/>
            <w:tcBorders>
              <w:top w:val="single" w:sz="4" w:space="0" w:color="auto"/>
              <w:left w:val="single" w:sz="4" w:space="0" w:color="auto"/>
              <w:bottom w:val="single" w:sz="4" w:space="0" w:color="auto"/>
              <w:right w:val="single" w:sz="4" w:space="0" w:color="auto"/>
            </w:tcBorders>
            <w:shd w:val="clear" w:color="auto" w:fill="FFFFFF"/>
          </w:tcPr>
          <w:p w14:paraId="21B557F8" w14:textId="77777777" w:rsidR="00ED17F3" w:rsidRPr="00D75D2E" w:rsidRDefault="00ED17F3" w:rsidP="00215867">
            <w:pPr>
              <w:spacing w:after="0" w:line="257" w:lineRule="auto"/>
              <w:jc w:val="both"/>
              <w:rPr>
                <w:rFonts w:ascii="Times New Roman" w:hAnsi="Times New Roman"/>
              </w:rPr>
            </w:pPr>
          </w:p>
        </w:tc>
      </w:tr>
    </w:tbl>
    <w:p w14:paraId="28E31A16" w14:textId="77777777" w:rsidR="00FB3D81" w:rsidRPr="00E737B4" w:rsidRDefault="00FB3D81" w:rsidP="00215867">
      <w:pPr>
        <w:spacing w:before="40" w:after="6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767B63">
        <w:rPr>
          <w:rFonts w:ascii="Times New Roman" w:hAnsi="Times New Roman"/>
          <w:bCs/>
          <w:i/>
          <w:sz w:val="24"/>
        </w:rPr>
        <w:t xml:space="preserve">&amp; </w:t>
      </w:r>
      <w:r w:rsidRPr="00E737B4">
        <w:rPr>
          <w:rFonts w:ascii="Times New Roman" w:hAnsi="Times New Roman"/>
          <w:bCs/>
          <w:i/>
          <w:sz w:val="24"/>
        </w:rPr>
        <w:t>DKO</w:t>
      </w:r>
      <w:r w:rsidR="00767B63">
        <w:rPr>
          <w:rFonts w:ascii="Times New Roman" w:hAnsi="Times New Roman"/>
          <w:bCs/>
          <w:i/>
          <w:sz w:val="24"/>
        </w:rPr>
        <w:t xml:space="preserve">, </w:t>
      </w:r>
      <w:r w:rsidRPr="00E737B4">
        <w:rPr>
          <w:rFonts w:ascii="Times New Roman" w:hAnsi="Times New Roman"/>
          <w:bCs/>
          <w:i/>
          <w:sz w:val="24"/>
        </w:rPr>
        <w:t xml:space="preserve"> juillet 2021</w:t>
      </w:r>
    </w:p>
    <w:p w14:paraId="7DB972B0" w14:textId="4EC93F4A" w:rsidR="00ED17F3" w:rsidRPr="00D75D2E" w:rsidRDefault="00ED17F3" w:rsidP="00ED17F3">
      <w:pPr>
        <w:spacing w:after="0" w:line="240" w:lineRule="auto"/>
        <w:jc w:val="both"/>
        <w:rPr>
          <w:rFonts w:ascii="Times New Roman" w:hAnsi="Times New Roman"/>
          <w:sz w:val="24"/>
          <w:szCs w:val="24"/>
        </w:rPr>
      </w:pPr>
      <w:r w:rsidRPr="00E737B4">
        <w:rPr>
          <w:rFonts w:ascii="Times New Roman" w:hAnsi="Times New Roman"/>
          <w:b/>
          <w:i/>
          <w:sz w:val="24"/>
        </w:rPr>
        <w:t>Légende</w:t>
      </w:r>
      <w:r w:rsidRPr="00E737B4">
        <w:rPr>
          <w:rFonts w:ascii="Times New Roman" w:hAnsi="Times New Roman"/>
          <w:i/>
          <w:sz w:val="24"/>
        </w:rPr>
        <w:t xml:space="preserve"> –</w:t>
      </w:r>
      <w:r w:rsidRPr="00E737B4">
        <w:rPr>
          <w:rFonts w:ascii="Times New Roman" w:hAnsi="Times New Roman"/>
          <w:i/>
          <w:sz w:val="24"/>
          <w:u w:val="single"/>
        </w:rPr>
        <w:t>Intensité</w:t>
      </w:r>
      <w:r w:rsidRPr="00E737B4">
        <w:rPr>
          <w:rFonts w:ascii="Times New Roman" w:hAnsi="Times New Roman"/>
          <w:i/>
          <w:sz w:val="24"/>
        </w:rPr>
        <w:t xml:space="preserve"> = F : faible, M : moyenne, Fo : forte, </w:t>
      </w:r>
      <w:r w:rsidRPr="00E737B4">
        <w:rPr>
          <w:rFonts w:ascii="Times New Roman" w:hAnsi="Times New Roman"/>
          <w:i/>
          <w:sz w:val="24"/>
          <w:u w:val="single"/>
        </w:rPr>
        <w:t>Etendue</w:t>
      </w:r>
      <w:r w:rsidRPr="00E737B4">
        <w:rPr>
          <w:rFonts w:ascii="Times New Roman" w:hAnsi="Times New Roman"/>
          <w:i/>
          <w:sz w:val="24"/>
        </w:rPr>
        <w:t xml:space="preserve"> = P : ponctuelle, Lo : locale, R : régionale, </w:t>
      </w:r>
      <w:r w:rsidRPr="00E737B4">
        <w:rPr>
          <w:rFonts w:ascii="Times New Roman" w:hAnsi="Times New Roman"/>
          <w:i/>
          <w:sz w:val="24"/>
          <w:u w:val="single"/>
        </w:rPr>
        <w:t>Durée</w:t>
      </w:r>
      <w:r w:rsidRPr="00E737B4">
        <w:rPr>
          <w:rFonts w:ascii="Times New Roman" w:hAnsi="Times New Roman"/>
          <w:i/>
          <w:sz w:val="24"/>
        </w:rPr>
        <w:t xml:space="preserve"> = C : courte, Moyenne : Mo ; L : longue </w:t>
      </w:r>
      <w:r w:rsidRPr="00E737B4">
        <w:rPr>
          <w:rFonts w:ascii="Times New Roman" w:hAnsi="Times New Roman"/>
          <w:i/>
          <w:sz w:val="24"/>
          <w:u w:val="single"/>
        </w:rPr>
        <w:t>Importance </w:t>
      </w:r>
      <w:r w:rsidRPr="00E737B4">
        <w:rPr>
          <w:rFonts w:ascii="Times New Roman" w:hAnsi="Times New Roman"/>
          <w:i/>
          <w:sz w:val="24"/>
        </w:rPr>
        <w:t>: Mi : mineur, Moy : moyen, Ma : majeur.</w:t>
      </w:r>
    </w:p>
    <w:p w14:paraId="4E71CEA3" w14:textId="77777777" w:rsidR="00ED17F3" w:rsidRPr="00D75D2E" w:rsidRDefault="00ED17F3" w:rsidP="008C79F0">
      <w:pPr>
        <w:pStyle w:val="Titre3"/>
        <w:numPr>
          <w:ilvl w:val="2"/>
          <w:numId w:val="21"/>
        </w:numPr>
        <w:spacing w:before="0" w:line="240" w:lineRule="auto"/>
        <w:rPr>
          <w:rFonts w:eastAsia="SimSun"/>
          <w:b/>
        </w:rPr>
        <w:sectPr w:rsidR="00ED17F3" w:rsidRPr="00D75D2E" w:rsidSect="0082504D">
          <w:pgSz w:w="16838" w:h="11906" w:orient="landscape"/>
          <w:pgMar w:top="1134" w:right="1418" w:bottom="992" w:left="1418" w:header="709" w:footer="709" w:gutter="0"/>
          <w:cols w:space="708"/>
          <w:docGrid w:linePitch="360"/>
        </w:sectPr>
      </w:pPr>
      <w:bookmarkStart w:id="586" w:name="_Toc452538252"/>
    </w:p>
    <w:p w14:paraId="7F111110" w14:textId="0DA488ED" w:rsidR="00ED17F3" w:rsidRPr="00D75D2E" w:rsidRDefault="00ED17F3" w:rsidP="00215867">
      <w:pPr>
        <w:pStyle w:val="Titre4"/>
        <w:numPr>
          <w:ilvl w:val="3"/>
          <w:numId w:val="54"/>
        </w:numPr>
        <w:spacing w:before="0" w:line="240" w:lineRule="auto"/>
        <w:ind w:left="1723" w:hanging="646"/>
        <w:rPr>
          <w:color w:val="auto"/>
          <w:szCs w:val="24"/>
        </w:rPr>
      </w:pPr>
      <w:bookmarkStart w:id="587" w:name="_Toc16663510"/>
      <w:bookmarkStart w:id="588" w:name="_Toc16663684"/>
      <w:bookmarkStart w:id="589" w:name="_Toc16664929"/>
      <w:bookmarkStart w:id="590" w:name="_Toc103685675"/>
      <w:bookmarkEnd w:id="586"/>
      <w:r w:rsidRPr="00D75D2E">
        <w:rPr>
          <w:color w:val="auto"/>
          <w:szCs w:val="24"/>
        </w:rPr>
        <w:t>Impacts négatifs de la variante avec projet</w:t>
      </w:r>
      <w:bookmarkEnd w:id="587"/>
      <w:bookmarkEnd w:id="588"/>
      <w:bookmarkEnd w:id="589"/>
      <w:bookmarkEnd w:id="590"/>
    </w:p>
    <w:p w14:paraId="4CC88873" w14:textId="77777777" w:rsidR="00ED17F3" w:rsidRPr="00787EE3" w:rsidRDefault="00ED17F3" w:rsidP="00E737B4">
      <w:pPr>
        <w:spacing w:before="120" w:after="120" w:line="240" w:lineRule="auto"/>
        <w:jc w:val="both"/>
        <w:rPr>
          <w:rFonts w:ascii="Times New Roman" w:hAnsi="Times New Roman"/>
          <w:sz w:val="24"/>
          <w:szCs w:val="24"/>
        </w:rPr>
      </w:pPr>
      <w:r w:rsidRPr="00767B63">
        <w:rPr>
          <w:rFonts w:ascii="Times New Roman" w:hAnsi="Times New Roman"/>
          <w:sz w:val="24"/>
          <w:szCs w:val="24"/>
        </w:rPr>
        <w:t>Le projet va produire des impacts négatifs sur le milieu environnemental et social de la zone d’intervention. Ces impacts sont en lien avec l’abattage et/ou élagage des arbres sur l’emprise des lignes et des cabines, la pollution atmosphérique, sonore et des eaux, au transport et à la circulation de la machinerie, aux</w:t>
      </w:r>
      <w:r w:rsidRPr="00FD2747">
        <w:rPr>
          <w:rFonts w:ascii="Times New Roman" w:hAnsi="Times New Roman"/>
          <w:sz w:val="24"/>
          <w:szCs w:val="24"/>
        </w:rPr>
        <w:t xml:space="preserve"> risques s</w:t>
      </w:r>
      <w:r w:rsidRPr="00787EE3">
        <w:rPr>
          <w:rFonts w:ascii="Times New Roman" w:hAnsi="Times New Roman"/>
          <w:sz w:val="24"/>
          <w:szCs w:val="24"/>
        </w:rPr>
        <w:t xml:space="preserve">anitaires et sécuritaires. Ces impacts négatifs environnementaux et sociaux ainsi que leurs caractéristiques sont consignées respectivement dans les fiches de déclarations d’impact et les tableaux ci-après. </w:t>
      </w:r>
    </w:p>
    <w:p w14:paraId="44278483" w14:textId="40AEFC73" w:rsidR="00ED17F3" w:rsidRPr="00EB6100" w:rsidRDefault="00ED17F3" w:rsidP="00AE31F1">
      <w:pPr>
        <w:pStyle w:val="Titre4"/>
        <w:numPr>
          <w:ilvl w:val="3"/>
          <w:numId w:val="54"/>
        </w:numPr>
        <w:spacing w:before="120" w:after="120" w:line="240" w:lineRule="auto"/>
        <w:rPr>
          <w:color w:val="auto"/>
          <w:szCs w:val="24"/>
        </w:rPr>
      </w:pPr>
      <w:bookmarkStart w:id="591" w:name="_Toc103685676"/>
      <w:r w:rsidRPr="00EB6100">
        <w:rPr>
          <w:color w:val="auto"/>
          <w:szCs w:val="24"/>
        </w:rPr>
        <w:t>Impacts environnementaux négatifs de la variante avec le projet</w:t>
      </w:r>
      <w:bookmarkEnd w:id="591"/>
    </w:p>
    <w:p w14:paraId="3B135C2C" w14:textId="100B7B64" w:rsidR="00ED17F3" w:rsidRPr="00E737B4" w:rsidRDefault="00ED17F3" w:rsidP="008C79F0">
      <w:pPr>
        <w:keepNext/>
        <w:keepLines/>
        <w:numPr>
          <w:ilvl w:val="0"/>
          <w:numId w:val="39"/>
        </w:numPr>
        <w:spacing w:before="120" w:after="120" w:line="240" w:lineRule="auto"/>
        <w:outlineLvl w:val="3"/>
        <w:rPr>
          <w:rFonts w:ascii="Times New Roman" w:eastAsia="Times New Roman" w:hAnsi="Times New Roman"/>
          <w:i/>
          <w:iCs/>
          <w:sz w:val="24"/>
          <w:szCs w:val="24"/>
          <w:u w:val="single"/>
        </w:rPr>
      </w:pPr>
      <w:bookmarkStart w:id="592" w:name="_Toc103685677"/>
      <w:r w:rsidRPr="00E737B4">
        <w:rPr>
          <w:rFonts w:ascii="Times New Roman" w:eastAsia="Times New Roman" w:hAnsi="Times New Roman"/>
          <w:i/>
          <w:iCs/>
          <w:sz w:val="24"/>
          <w:szCs w:val="24"/>
          <w:u w:val="single"/>
        </w:rPr>
        <w:t>Phase préparatoire</w:t>
      </w:r>
      <w:bookmarkEnd w:id="592"/>
    </w:p>
    <w:p w14:paraId="44E9AEF5" w14:textId="77777777" w:rsidR="00C27910" w:rsidRPr="00C27910" w:rsidRDefault="00C27910" w:rsidP="00215867">
      <w:pPr>
        <w:spacing w:before="120" w:after="120" w:line="240" w:lineRule="auto"/>
        <w:jc w:val="both"/>
        <w:rPr>
          <w:rFonts w:ascii="Times New Roman" w:eastAsia="Times New Roman" w:hAnsi="Times New Roman"/>
          <w:iCs/>
          <w:sz w:val="24"/>
          <w:szCs w:val="24"/>
          <w:u w:val="single"/>
        </w:rPr>
      </w:pPr>
      <w:r w:rsidRPr="00C27910">
        <w:rPr>
          <w:rFonts w:ascii="Times New Roman" w:eastAsia="Times New Roman" w:hAnsi="Times New Roman"/>
          <w:iCs/>
          <w:sz w:val="24"/>
          <w:szCs w:val="24"/>
          <w:u w:val="single"/>
        </w:rPr>
        <w:t xml:space="preserve">Cette phase comprend l’installation des chantiers, la construction des bases vies et base technique de chantier, la mobilisation du personnel et de la logistique nécessaire pour les chantiers ainsi que l’aménagement des différents aires de stockages et d’entreposage des matériaux et matériels. </w:t>
      </w:r>
    </w:p>
    <w:p w14:paraId="70C3E1DE" w14:textId="7CE155AC" w:rsidR="00ED17F3" w:rsidRPr="00E737B4" w:rsidRDefault="00ED17F3" w:rsidP="00E737B4">
      <w:pPr>
        <w:spacing w:before="120" w:after="120" w:line="240" w:lineRule="auto"/>
        <w:rPr>
          <w:rFonts w:ascii="Times New Roman" w:hAnsi="Times New Roman"/>
          <w:sz w:val="24"/>
          <w:szCs w:val="24"/>
        </w:rPr>
      </w:pPr>
      <w:r w:rsidRPr="00E737B4">
        <w:rPr>
          <w:rFonts w:ascii="Times New Roman" w:hAnsi="Times New Roman"/>
          <w:sz w:val="24"/>
          <w:szCs w:val="24"/>
        </w:rPr>
        <w:t xml:space="preserve">Le tableau </w:t>
      </w:r>
      <w:r w:rsidR="00E732DD">
        <w:rPr>
          <w:rFonts w:ascii="Times New Roman" w:hAnsi="Times New Roman"/>
          <w:sz w:val="24"/>
          <w:szCs w:val="24"/>
        </w:rPr>
        <w:t>23</w:t>
      </w:r>
      <w:r w:rsidR="00E732DD" w:rsidRPr="00E737B4">
        <w:rPr>
          <w:rFonts w:ascii="Times New Roman" w:hAnsi="Times New Roman"/>
          <w:sz w:val="24"/>
          <w:szCs w:val="24"/>
        </w:rPr>
        <w:t xml:space="preserve"> </w:t>
      </w:r>
      <w:r w:rsidRPr="00E737B4">
        <w:rPr>
          <w:rFonts w:ascii="Times New Roman" w:hAnsi="Times New Roman"/>
          <w:sz w:val="24"/>
          <w:szCs w:val="24"/>
        </w:rPr>
        <w:t>présente les fiches de déclaration d’impact</w:t>
      </w:r>
    </w:p>
    <w:p w14:paraId="25BCF258" w14:textId="6E0E8DEB" w:rsidR="00ED17F3" w:rsidRPr="00E737B4" w:rsidRDefault="00ED17F3" w:rsidP="00E737B4">
      <w:pPr>
        <w:keepNext/>
        <w:spacing w:before="120" w:after="120" w:line="240" w:lineRule="auto"/>
        <w:jc w:val="center"/>
        <w:rPr>
          <w:rFonts w:ascii="Times New Roman" w:hAnsi="Times New Roman"/>
          <w:iCs/>
          <w:sz w:val="24"/>
          <w:szCs w:val="24"/>
        </w:rPr>
      </w:pPr>
      <w:bookmarkStart w:id="593" w:name="_Toc519048928"/>
      <w:bookmarkStart w:id="594" w:name="_Toc93050285"/>
      <w:bookmarkStart w:id="595" w:name="_Hlk519046814"/>
      <w:r w:rsidRPr="00E737B4">
        <w:rPr>
          <w:rFonts w:ascii="Times New Roman" w:hAnsi="Times New Roman"/>
          <w:iCs/>
          <w:sz w:val="24"/>
          <w:szCs w:val="24"/>
        </w:rPr>
        <w:t xml:space="preserve">Tableau </w:t>
      </w:r>
      <w:r w:rsidRPr="00E737B4">
        <w:rPr>
          <w:rFonts w:ascii="Times New Roman" w:hAnsi="Times New Roman"/>
          <w:iCs/>
          <w:sz w:val="24"/>
          <w:szCs w:val="24"/>
        </w:rPr>
        <w:fldChar w:fldCharType="begin"/>
      </w:r>
      <w:r w:rsidRPr="00E737B4">
        <w:rPr>
          <w:rFonts w:ascii="Times New Roman" w:hAnsi="Times New Roman"/>
          <w:iCs/>
          <w:sz w:val="24"/>
          <w:szCs w:val="24"/>
        </w:rPr>
        <w:instrText xml:space="preserve"> SEQ Tableau \* ARABIC </w:instrText>
      </w:r>
      <w:r w:rsidRPr="00E737B4">
        <w:rPr>
          <w:rFonts w:ascii="Times New Roman" w:hAnsi="Times New Roman"/>
          <w:iCs/>
          <w:sz w:val="24"/>
          <w:szCs w:val="24"/>
        </w:rPr>
        <w:fldChar w:fldCharType="separate"/>
      </w:r>
      <w:r w:rsidR="00E732DD">
        <w:rPr>
          <w:rFonts w:ascii="Times New Roman" w:hAnsi="Times New Roman"/>
          <w:iCs/>
          <w:noProof/>
          <w:sz w:val="24"/>
          <w:szCs w:val="24"/>
        </w:rPr>
        <w:t>23</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w:t>
      </w:r>
      <w:r w:rsidRPr="00E737B4">
        <w:rPr>
          <w:rFonts w:ascii="Times New Roman" w:hAnsi="Times New Roman"/>
          <w:b/>
          <w:iCs/>
          <w:sz w:val="24"/>
          <w:szCs w:val="24"/>
        </w:rPr>
        <w:t>Code 01</w:t>
      </w:r>
      <w:bookmarkEnd w:id="593"/>
      <w:bookmarkEnd w:id="594"/>
    </w:p>
    <w:tbl>
      <w:tblPr>
        <w:tblW w:w="5002" w:type="pct"/>
        <w:jc w:val="center"/>
        <w:tblLayout w:type="fixed"/>
        <w:tblLook w:val="04A0" w:firstRow="1" w:lastRow="0" w:firstColumn="1" w:lastColumn="0" w:noHBand="0" w:noVBand="1"/>
      </w:tblPr>
      <w:tblGrid>
        <w:gridCol w:w="1670"/>
        <w:gridCol w:w="1017"/>
        <w:gridCol w:w="205"/>
        <w:gridCol w:w="835"/>
        <w:gridCol w:w="526"/>
        <w:gridCol w:w="456"/>
        <w:gridCol w:w="18"/>
        <w:gridCol w:w="391"/>
        <w:gridCol w:w="1021"/>
        <w:gridCol w:w="6"/>
        <w:gridCol w:w="777"/>
        <w:gridCol w:w="702"/>
        <w:gridCol w:w="425"/>
        <w:gridCol w:w="1917"/>
      </w:tblGrid>
      <w:tr w:rsidR="008C34F9" w:rsidRPr="00420C1B" w14:paraId="038A6075" w14:textId="77777777" w:rsidTr="00215867">
        <w:trPr>
          <w:trHeight w:val="250"/>
          <w:tblHeader/>
          <w:jc w:val="center"/>
        </w:trPr>
        <w:tc>
          <w:tcPr>
            <w:tcW w:w="838"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5CA9D4A3" w14:textId="77777777" w:rsidR="00ED17F3" w:rsidRPr="00D75D2E" w:rsidRDefault="00ED17F3" w:rsidP="001A47FA">
            <w:pPr>
              <w:spacing w:after="0" w:line="240" w:lineRule="auto"/>
              <w:jc w:val="center"/>
              <w:rPr>
                <w:rFonts w:ascii="Times New Roman" w:hAnsi="Times New Roman"/>
                <w:b/>
                <w:sz w:val="20"/>
                <w:szCs w:val="20"/>
              </w:rPr>
            </w:pPr>
            <w:bookmarkStart w:id="596" w:name="_Hlk518929480"/>
            <w:bookmarkEnd w:id="595"/>
            <w:r w:rsidRPr="00D75D2E">
              <w:rPr>
                <w:rFonts w:ascii="Times New Roman" w:hAnsi="Times New Roman"/>
                <w:b/>
                <w:sz w:val="20"/>
                <w:szCs w:val="20"/>
              </w:rPr>
              <w:t>COMPOSANTE</w:t>
            </w:r>
          </w:p>
        </w:tc>
        <w:tc>
          <w:tcPr>
            <w:tcW w:w="1534"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7A4F53AB" w14:textId="77777777" w:rsidR="00ED17F3" w:rsidRPr="00D75D2E" w:rsidRDefault="00ED17F3" w:rsidP="001A47FA">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711" w:type="pct"/>
            <w:gridSpan w:val="3"/>
            <w:tcBorders>
              <w:top w:val="single" w:sz="4" w:space="0" w:color="auto"/>
              <w:left w:val="single" w:sz="4" w:space="0" w:color="auto"/>
              <w:bottom w:val="single" w:sz="4" w:space="0" w:color="auto"/>
              <w:right w:val="single" w:sz="4" w:space="0" w:color="auto"/>
            </w:tcBorders>
            <w:shd w:val="clear" w:color="auto" w:fill="92D050"/>
            <w:hideMark/>
          </w:tcPr>
          <w:p w14:paraId="5049BAE2" w14:textId="77777777" w:rsidR="00ED17F3" w:rsidRPr="00D75D2E" w:rsidRDefault="00ED17F3" w:rsidP="001A47FA">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742"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793625E" w14:textId="77777777" w:rsidR="00ED17F3" w:rsidRPr="00D75D2E" w:rsidRDefault="00ED17F3" w:rsidP="001A47FA">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1175"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2C318A10" w14:textId="77777777" w:rsidR="00ED17F3" w:rsidRPr="00D75D2E" w:rsidRDefault="00ED17F3" w:rsidP="001A47FA">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D75D2E" w:rsidRPr="00420C1B" w14:paraId="77EDA301" w14:textId="77777777" w:rsidTr="00215867">
        <w:trPr>
          <w:trHeight w:val="50"/>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6EA31768" w14:textId="77777777" w:rsidR="00ED17F3" w:rsidRPr="00D75D2E" w:rsidRDefault="00ED17F3" w:rsidP="001A47FA">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2987" w:type="pct"/>
            <w:gridSpan w:val="11"/>
            <w:tcBorders>
              <w:top w:val="single" w:sz="4" w:space="0" w:color="auto"/>
              <w:left w:val="single" w:sz="4" w:space="0" w:color="auto"/>
              <w:bottom w:val="single" w:sz="4" w:space="0" w:color="auto"/>
              <w:right w:val="single" w:sz="4" w:space="0" w:color="auto"/>
            </w:tcBorders>
            <w:hideMark/>
          </w:tcPr>
          <w:p w14:paraId="01C5E5C0" w14:textId="77777777" w:rsidR="00ED17F3" w:rsidRPr="00D75D2E" w:rsidRDefault="00ED17F3" w:rsidP="00767B63">
            <w:pPr>
              <w:spacing w:after="0" w:line="240" w:lineRule="auto"/>
              <w:rPr>
                <w:rFonts w:ascii="Times New Roman" w:hAnsi="Times New Roman"/>
                <w:sz w:val="20"/>
                <w:szCs w:val="20"/>
              </w:rPr>
            </w:pPr>
            <w:r w:rsidRPr="00D75D2E">
              <w:rPr>
                <w:rFonts w:ascii="Times New Roman" w:hAnsi="Times New Roman"/>
                <w:b/>
                <w:sz w:val="20"/>
                <w:szCs w:val="20"/>
              </w:rPr>
              <w:t xml:space="preserve">Source d’impact : </w:t>
            </w:r>
            <w:r w:rsidR="005E0D23" w:rsidRPr="00D75D2E">
              <w:rPr>
                <w:rFonts w:ascii="Times New Roman" w:hAnsi="Times New Roman"/>
                <w:sz w:val="20"/>
                <w:szCs w:val="20"/>
              </w:rPr>
              <w:t>Libération des emprises du projet</w:t>
            </w:r>
          </w:p>
        </w:tc>
        <w:tc>
          <w:tcPr>
            <w:tcW w:w="1175" w:type="pct"/>
            <w:gridSpan w:val="2"/>
            <w:tcBorders>
              <w:top w:val="single" w:sz="4" w:space="0" w:color="auto"/>
              <w:left w:val="single" w:sz="4" w:space="0" w:color="auto"/>
              <w:bottom w:val="single" w:sz="4" w:space="0" w:color="auto"/>
              <w:right w:val="single" w:sz="4" w:space="0" w:color="auto"/>
            </w:tcBorders>
          </w:tcPr>
          <w:p w14:paraId="200B98B2" w14:textId="77777777" w:rsidR="00ED17F3" w:rsidRPr="00D75D2E" w:rsidRDefault="00ED17F3" w:rsidP="001A47FA">
            <w:pPr>
              <w:spacing w:after="0" w:line="240" w:lineRule="auto"/>
              <w:rPr>
                <w:rFonts w:ascii="Times New Roman" w:hAnsi="Times New Roman"/>
                <w:sz w:val="20"/>
                <w:szCs w:val="20"/>
              </w:rPr>
            </w:pPr>
          </w:p>
        </w:tc>
      </w:tr>
      <w:tr w:rsidR="00D75D2E" w:rsidRPr="00420C1B" w14:paraId="7F097DF3" w14:textId="77777777" w:rsidTr="00215867">
        <w:trPr>
          <w:trHeight w:val="228"/>
          <w:jc w:val="center"/>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729352FF" w14:textId="77777777" w:rsidR="00C86B57" w:rsidRPr="00D75D2E" w:rsidRDefault="00C86B57" w:rsidP="001A47FA">
            <w:pPr>
              <w:spacing w:after="0" w:line="240" w:lineRule="auto"/>
              <w:rPr>
                <w:rFonts w:ascii="Times New Roman" w:hAnsi="Times New Roman"/>
                <w:b/>
                <w:sz w:val="20"/>
                <w:szCs w:val="20"/>
              </w:rPr>
            </w:pPr>
          </w:p>
        </w:tc>
        <w:tc>
          <w:tcPr>
            <w:tcW w:w="4162" w:type="pct"/>
            <w:gridSpan w:val="13"/>
            <w:tcBorders>
              <w:top w:val="single" w:sz="4" w:space="0" w:color="auto"/>
              <w:left w:val="single" w:sz="4" w:space="0" w:color="auto"/>
              <w:bottom w:val="single" w:sz="4" w:space="0" w:color="auto"/>
              <w:right w:val="single" w:sz="4" w:space="0" w:color="auto"/>
            </w:tcBorders>
            <w:hideMark/>
          </w:tcPr>
          <w:p w14:paraId="18E407BC" w14:textId="77777777" w:rsidR="00C86B57" w:rsidRPr="00D75D2E" w:rsidRDefault="00C86B57" w:rsidP="001A47FA">
            <w:pPr>
              <w:spacing w:after="0" w:line="240" w:lineRule="auto"/>
              <w:rPr>
                <w:rFonts w:ascii="Times New Roman" w:hAnsi="Times New Roman"/>
                <w:sz w:val="20"/>
                <w:szCs w:val="20"/>
              </w:rPr>
            </w:pPr>
            <w:r w:rsidRPr="00D75D2E">
              <w:rPr>
                <w:rFonts w:ascii="Times New Roman" w:hAnsi="Times New Roman"/>
                <w:b/>
                <w:sz w:val="20"/>
                <w:szCs w:val="20"/>
              </w:rPr>
              <w:t>Intitulé de l’impact</w:t>
            </w:r>
            <w:r w:rsidRPr="00D75D2E">
              <w:rPr>
                <w:rFonts w:ascii="Times New Roman" w:hAnsi="Times New Roman"/>
                <w:sz w:val="20"/>
                <w:szCs w:val="20"/>
              </w:rPr>
              <w:t xml:space="preserve"> : Abattage de </w:t>
            </w:r>
            <w:r w:rsidR="00DD5846" w:rsidRPr="00D75D2E">
              <w:rPr>
                <w:rFonts w:ascii="Times New Roman" w:hAnsi="Times New Roman"/>
                <w:sz w:val="20"/>
                <w:szCs w:val="20"/>
              </w:rPr>
              <w:t xml:space="preserve">1129 </w:t>
            </w:r>
            <w:r w:rsidRPr="00D75D2E">
              <w:rPr>
                <w:rFonts w:ascii="Times New Roman" w:hAnsi="Times New Roman"/>
                <w:sz w:val="20"/>
                <w:szCs w:val="20"/>
              </w:rPr>
              <w:t xml:space="preserve">dont </w:t>
            </w:r>
            <w:r w:rsidR="00DD5846" w:rsidRPr="00D75D2E">
              <w:rPr>
                <w:rFonts w:ascii="Times New Roman" w:hAnsi="Times New Roman"/>
                <w:sz w:val="20"/>
                <w:szCs w:val="20"/>
              </w:rPr>
              <w:t>314</w:t>
            </w:r>
            <w:r w:rsidRPr="00D75D2E">
              <w:rPr>
                <w:rFonts w:ascii="Times New Roman" w:hAnsi="Times New Roman"/>
                <w:sz w:val="20"/>
                <w:szCs w:val="20"/>
              </w:rPr>
              <w:t xml:space="preserve"> du domaine public et </w:t>
            </w:r>
            <w:r w:rsidR="00DD5846" w:rsidRPr="00D75D2E">
              <w:rPr>
                <w:rFonts w:ascii="Times New Roman" w:hAnsi="Times New Roman"/>
                <w:sz w:val="20"/>
                <w:szCs w:val="20"/>
              </w:rPr>
              <w:t>815</w:t>
            </w:r>
            <w:r w:rsidRPr="00D75D2E">
              <w:rPr>
                <w:rFonts w:ascii="Times New Roman" w:hAnsi="Times New Roman"/>
                <w:sz w:val="20"/>
                <w:szCs w:val="20"/>
              </w:rPr>
              <w:t xml:space="preserve"> du domaine privé </w:t>
            </w:r>
          </w:p>
        </w:tc>
      </w:tr>
      <w:tr w:rsidR="00D75D2E" w:rsidRPr="00420C1B" w14:paraId="1D5F2BDD" w14:textId="77777777" w:rsidTr="00215867">
        <w:trPr>
          <w:trHeight w:val="250"/>
          <w:jc w:val="center"/>
        </w:trPr>
        <w:tc>
          <w:tcPr>
            <w:tcW w:w="838" w:type="pct"/>
            <w:vMerge w:val="restart"/>
            <w:tcBorders>
              <w:top w:val="single" w:sz="4" w:space="0" w:color="auto"/>
              <w:left w:val="single" w:sz="4" w:space="0" w:color="auto"/>
              <w:bottom w:val="single" w:sz="4" w:space="0" w:color="auto"/>
              <w:right w:val="single" w:sz="4" w:space="0" w:color="auto"/>
            </w:tcBorders>
            <w:hideMark/>
          </w:tcPr>
          <w:p w14:paraId="2A31DE7F" w14:textId="77777777" w:rsidR="0040711D" w:rsidRPr="00D75D2E" w:rsidRDefault="0040711D" w:rsidP="001A47FA">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525" w:type="pct"/>
            <w:gridSpan w:val="5"/>
            <w:vMerge w:val="restart"/>
            <w:tcBorders>
              <w:top w:val="single" w:sz="4" w:space="0" w:color="auto"/>
              <w:left w:val="single" w:sz="4" w:space="0" w:color="auto"/>
              <w:right w:val="single" w:sz="4" w:space="0" w:color="auto"/>
            </w:tcBorders>
            <w:shd w:val="clear" w:color="auto" w:fill="auto"/>
          </w:tcPr>
          <w:p w14:paraId="5631747E" w14:textId="77777777" w:rsidR="0040711D" w:rsidRPr="00D75D2E" w:rsidRDefault="0040711D" w:rsidP="001A47FA">
            <w:pPr>
              <w:spacing w:after="0" w:line="240" w:lineRule="auto"/>
              <w:rPr>
                <w:rFonts w:ascii="Times New Roman" w:hAnsi="Times New Roman"/>
                <w:sz w:val="20"/>
                <w:szCs w:val="20"/>
              </w:rPr>
            </w:pPr>
            <w:r w:rsidRPr="00D75D2E">
              <w:rPr>
                <w:rFonts w:ascii="Times New Roman" w:hAnsi="Times New Roman"/>
                <w:sz w:val="20"/>
                <w:szCs w:val="20"/>
              </w:rPr>
              <w:t xml:space="preserve">Zone d’évolution des travaux (communes concernés par les travaux) </w:t>
            </w: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hideMark/>
          </w:tcPr>
          <w:p w14:paraId="424EF51E" w14:textId="77777777" w:rsidR="0040711D" w:rsidRPr="00D75D2E" w:rsidRDefault="0040711D" w:rsidP="001A47FA">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7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6A1E5697" w14:textId="77777777" w:rsidR="0040711D" w:rsidRPr="00D75D2E" w:rsidRDefault="0040711D" w:rsidP="001A47FA">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175" w:type="pct"/>
            <w:gridSpan w:val="2"/>
            <w:vMerge w:val="restart"/>
            <w:tcBorders>
              <w:top w:val="single" w:sz="4" w:space="0" w:color="auto"/>
              <w:left w:val="single" w:sz="4" w:space="0" w:color="auto"/>
              <w:bottom w:val="single" w:sz="4" w:space="0" w:color="auto"/>
              <w:right w:val="single" w:sz="4" w:space="0" w:color="auto"/>
            </w:tcBorders>
            <w:hideMark/>
          </w:tcPr>
          <w:p w14:paraId="28ECBEC4" w14:textId="77777777" w:rsidR="0040711D" w:rsidRPr="00D75D2E" w:rsidRDefault="0040711D" w:rsidP="001A47FA">
            <w:pPr>
              <w:spacing w:after="0" w:line="240" w:lineRule="auto"/>
              <w:jc w:val="center"/>
              <w:rPr>
                <w:rFonts w:ascii="Times New Roman" w:hAnsi="Times New Roman"/>
                <w:sz w:val="20"/>
                <w:szCs w:val="20"/>
              </w:rPr>
            </w:pPr>
          </w:p>
        </w:tc>
      </w:tr>
      <w:tr w:rsidR="00D75D2E" w:rsidRPr="00420C1B" w14:paraId="5D50066A" w14:textId="77777777" w:rsidTr="00215867">
        <w:trPr>
          <w:trHeight w:val="245"/>
          <w:jc w:val="center"/>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67227BC6" w14:textId="77777777" w:rsidR="0040711D" w:rsidRPr="00D75D2E" w:rsidRDefault="0040711D" w:rsidP="001A47FA">
            <w:pPr>
              <w:spacing w:after="0" w:line="240" w:lineRule="auto"/>
              <w:rPr>
                <w:rFonts w:ascii="Times New Roman" w:eastAsia="Times New Roman" w:hAnsi="Times New Roman"/>
                <w:sz w:val="20"/>
                <w:szCs w:val="20"/>
                <w:lang w:eastAsia="fr-FR"/>
              </w:rPr>
            </w:pPr>
          </w:p>
        </w:tc>
        <w:tc>
          <w:tcPr>
            <w:tcW w:w="1525" w:type="pct"/>
            <w:gridSpan w:val="5"/>
            <w:vMerge/>
            <w:tcBorders>
              <w:left w:val="single" w:sz="4" w:space="0" w:color="auto"/>
              <w:right w:val="single" w:sz="4" w:space="0" w:color="auto"/>
            </w:tcBorders>
            <w:shd w:val="clear" w:color="auto" w:fill="auto"/>
            <w:vAlign w:val="center"/>
          </w:tcPr>
          <w:p w14:paraId="30F34781" w14:textId="77777777" w:rsidR="0040711D" w:rsidRPr="00D75D2E" w:rsidRDefault="0040711D" w:rsidP="001A47FA">
            <w:pPr>
              <w:spacing w:after="0" w:line="240" w:lineRule="auto"/>
              <w:rPr>
                <w:rFonts w:ascii="Times New Roman" w:eastAsia="Times New Roman" w:hAnsi="Times New Roman"/>
                <w:sz w:val="20"/>
                <w:szCs w:val="20"/>
                <w:lang w:eastAsia="fr-FR"/>
              </w:rPr>
            </w:pPr>
          </w:p>
        </w:tc>
        <w:tc>
          <w:tcPr>
            <w:tcW w:w="720" w:type="pct"/>
            <w:gridSpan w:val="4"/>
            <w:tcBorders>
              <w:top w:val="single" w:sz="4" w:space="0" w:color="auto"/>
              <w:left w:val="single" w:sz="4" w:space="0" w:color="auto"/>
              <w:bottom w:val="single" w:sz="4" w:space="0" w:color="auto"/>
              <w:right w:val="single" w:sz="4" w:space="0" w:color="auto"/>
            </w:tcBorders>
            <w:shd w:val="clear" w:color="auto" w:fill="auto"/>
          </w:tcPr>
          <w:p w14:paraId="000ADAE9" w14:textId="77777777" w:rsidR="0040711D" w:rsidRPr="00D75D2E" w:rsidRDefault="0040711D" w:rsidP="001A47FA">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742" w:type="pct"/>
            <w:gridSpan w:val="2"/>
            <w:tcBorders>
              <w:top w:val="single" w:sz="4" w:space="0" w:color="auto"/>
              <w:left w:val="nil"/>
              <w:bottom w:val="single" w:sz="4" w:space="0" w:color="auto"/>
              <w:right w:val="single" w:sz="4" w:space="0" w:color="auto"/>
            </w:tcBorders>
            <w:shd w:val="clear" w:color="auto" w:fill="auto"/>
          </w:tcPr>
          <w:p w14:paraId="3B7CD537" w14:textId="77777777" w:rsidR="0040711D" w:rsidRPr="00D75D2E" w:rsidRDefault="0040711D" w:rsidP="001A47FA">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3F0C7E24" w14:textId="77777777" w:rsidR="0040711D" w:rsidRPr="00D75D2E" w:rsidRDefault="0040711D" w:rsidP="001A47FA">
            <w:pPr>
              <w:spacing w:after="0" w:line="240" w:lineRule="auto"/>
              <w:rPr>
                <w:rFonts w:ascii="Times New Roman" w:hAnsi="Times New Roman"/>
                <w:sz w:val="20"/>
                <w:szCs w:val="20"/>
              </w:rPr>
            </w:pPr>
          </w:p>
        </w:tc>
      </w:tr>
      <w:tr w:rsidR="00D75D2E" w:rsidRPr="00420C1B" w14:paraId="3C5884AC" w14:textId="77777777" w:rsidTr="00215867">
        <w:trPr>
          <w:trHeight w:val="246"/>
          <w:jc w:val="center"/>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6212FA74" w14:textId="77777777" w:rsidR="0040711D" w:rsidRPr="00D75D2E" w:rsidRDefault="0040711D" w:rsidP="001A47FA">
            <w:pPr>
              <w:spacing w:after="0" w:line="240" w:lineRule="auto"/>
              <w:rPr>
                <w:rFonts w:ascii="Times New Roman" w:eastAsia="Times New Roman" w:hAnsi="Times New Roman"/>
                <w:sz w:val="20"/>
                <w:szCs w:val="20"/>
                <w:lang w:eastAsia="fr-FR"/>
              </w:rPr>
            </w:pPr>
          </w:p>
        </w:tc>
        <w:tc>
          <w:tcPr>
            <w:tcW w:w="1525" w:type="pct"/>
            <w:gridSpan w:val="5"/>
            <w:vMerge/>
            <w:tcBorders>
              <w:left w:val="single" w:sz="4" w:space="0" w:color="auto"/>
              <w:bottom w:val="single" w:sz="4" w:space="0" w:color="auto"/>
              <w:right w:val="single" w:sz="4" w:space="0" w:color="auto"/>
            </w:tcBorders>
            <w:shd w:val="clear" w:color="auto" w:fill="auto"/>
            <w:vAlign w:val="center"/>
          </w:tcPr>
          <w:p w14:paraId="0D1F2E34" w14:textId="77777777" w:rsidR="0040711D" w:rsidRPr="00D75D2E" w:rsidRDefault="0040711D" w:rsidP="001A47FA">
            <w:pPr>
              <w:spacing w:after="0" w:line="240" w:lineRule="auto"/>
              <w:jc w:val="both"/>
              <w:rPr>
                <w:rFonts w:ascii="Times New Roman" w:eastAsia="Times New Roman" w:hAnsi="Times New Roman"/>
                <w:sz w:val="20"/>
                <w:szCs w:val="20"/>
                <w:lang w:eastAsia="fr-FR"/>
              </w:rPr>
            </w:pPr>
          </w:p>
        </w:tc>
        <w:tc>
          <w:tcPr>
            <w:tcW w:w="720" w:type="pct"/>
            <w:gridSpan w:val="4"/>
            <w:tcBorders>
              <w:top w:val="single" w:sz="4" w:space="0" w:color="auto"/>
              <w:left w:val="single" w:sz="4" w:space="0" w:color="auto"/>
              <w:bottom w:val="nil"/>
              <w:right w:val="single" w:sz="4" w:space="0" w:color="auto"/>
            </w:tcBorders>
            <w:shd w:val="clear" w:color="auto" w:fill="auto"/>
          </w:tcPr>
          <w:p w14:paraId="003C3040" w14:textId="77777777" w:rsidR="0040711D" w:rsidRPr="00D75D2E" w:rsidRDefault="0040711D" w:rsidP="001A47FA">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742" w:type="pct"/>
            <w:gridSpan w:val="2"/>
            <w:tcBorders>
              <w:top w:val="single" w:sz="4" w:space="0" w:color="auto"/>
              <w:left w:val="single" w:sz="4" w:space="0" w:color="auto"/>
              <w:bottom w:val="nil"/>
              <w:right w:val="single" w:sz="4" w:space="0" w:color="auto"/>
            </w:tcBorders>
            <w:shd w:val="clear" w:color="auto" w:fill="auto"/>
          </w:tcPr>
          <w:p w14:paraId="2013B2EF" w14:textId="77777777" w:rsidR="0040711D" w:rsidRPr="00D75D2E" w:rsidRDefault="0040711D" w:rsidP="001A47FA">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175" w:type="pct"/>
            <w:gridSpan w:val="2"/>
            <w:vMerge/>
            <w:tcBorders>
              <w:top w:val="single" w:sz="4" w:space="0" w:color="auto"/>
              <w:left w:val="single" w:sz="4" w:space="0" w:color="auto"/>
              <w:bottom w:val="single" w:sz="4" w:space="0" w:color="auto"/>
              <w:right w:val="single" w:sz="4" w:space="0" w:color="auto"/>
            </w:tcBorders>
            <w:vAlign w:val="center"/>
            <w:hideMark/>
          </w:tcPr>
          <w:p w14:paraId="2EC450B2" w14:textId="77777777" w:rsidR="0040711D" w:rsidRPr="00D75D2E" w:rsidRDefault="0040711D" w:rsidP="001A47FA">
            <w:pPr>
              <w:spacing w:after="0" w:line="240" w:lineRule="auto"/>
              <w:rPr>
                <w:rFonts w:ascii="Times New Roman" w:hAnsi="Times New Roman"/>
                <w:sz w:val="20"/>
                <w:szCs w:val="20"/>
              </w:rPr>
            </w:pPr>
          </w:p>
        </w:tc>
      </w:tr>
      <w:tr w:rsidR="008C34F9" w:rsidRPr="00420C1B" w14:paraId="79AF5083" w14:textId="77777777" w:rsidTr="00215867">
        <w:trPr>
          <w:trHeight w:val="242"/>
          <w:jc w:val="center"/>
        </w:trPr>
        <w:tc>
          <w:tcPr>
            <w:tcW w:w="838" w:type="pct"/>
            <w:vMerge w:val="restart"/>
            <w:tcBorders>
              <w:top w:val="single" w:sz="4" w:space="0" w:color="auto"/>
              <w:left w:val="single" w:sz="4" w:space="0" w:color="auto"/>
              <w:bottom w:val="single" w:sz="4" w:space="0" w:color="auto"/>
              <w:right w:val="single" w:sz="4" w:space="0" w:color="auto"/>
            </w:tcBorders>
          </w:tcPr>
          <w:p w14:paraId="2AE68351" w14:textId="77777777" w:rsidR="00ED17F3" w:rsidRPr="00D75D2E" w:rsidRDefault="00ED17F3" w:rsidP="001A47FA">
            <w:pPr>
              <w:spacing w:after="0" w:line="240" w:lineRule="auto"/>
              <w:rPr>
                <w:rFonts w:ascii="Times New Roman" w:hAnsi="Times New Roman"/>
                <w:b/>
                <w:sz w:val="20"/>
                <w:szCs w:val="20"/>
              </w:rPr>
            </w:pPr>
          </w:p>
          <w:p w14:paraId="6848832E" w14:textId="77777777" w:rsidR="00ED17F3" w:rsidRPr="00D75D2E" w:rsidRDefault="00ED17F3" w:rsidP="001A47FA">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613" w:type="pct"/>
            <w:gridSpan w:val="2"/>
            <w:vMerge w:val="restart"/>
            <w:tcBorders>
              <w:top w:val="single" w:sz="4" w:space="0" w:color="auto"/>
              <w:left w:val="single" w:sz="4" w:space="0" w:color="auto"/>
              <w:bottom w:val="single" w:sz="4" w:space="0" w:color="auto"/>
              <w:right w:val="single" w:sz="4" w:space="0" w:color="auto"/>
            </w:tcBorders>
            <w:hideMark/>
          </w:tcPr>
          <w:p w14:paraId="40DD63DD" w14:textId="77777777" w:rsidR="00ED17F3" w:rsidRPr="00D75D2E" w:rsidRDefault="00ED17F3" w:rsidP="001A47FA">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084CDB32" w14:textId="77777777" w:rsidR="00ED17F3" w:rsidRPr="00D75D2E" w:rsidRDefault="00ED17F3" w:rsidP="001A47FA">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683" w:type="pct"/>
            <w:gridSpan w:val="2"/>
            <w:tcBorders>
              <w:top w:val="single" w:sz="4" w:space="0" w:color="auto"/>
              <w:left w:val="single" w:sz="4" w:space="0" w:color="auto"/>
              <w:bottom w:val="single" w:sz="4" w:space="0" w:color="auto"/>
              <w:right w:val="single" w:sz="4" w:space="0" w:color="auto"/>
            </w:tcBorders>
            <w:hideMark/>
          </w:tcPr>
          <w:p w14:paraId="0781D2B4" w14:textId="77777777" w:rsidR="00ED17F3" w:rsidRPr="00D75D2E" w:rsidRDefault="00ED17F3" w:rsidP="001A47FA">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949" w:type="pct"/>
            <w:gridSpan w:val="5"/>
            <w:tcBorders>
              <w:top w:val="single" w:sz="4" w:space="0" w:color="auto"/>
              <w:left w:val="single" w:sz="4" w:space="0" w:color="auto"/>
              <w:bottom w:val="single" w:sz="4" w:space="0" w:color="auto"/>
              <w:right w:val="single" w:sz="4" w:space="0" w:color="auto"/>
            </w:tcBorders>
            <w:hideMark/>
          </w:tcPr>
          <w:p w14:paraId="1A7CE616" w14:textId="77777777" w:rsidR="00ED17F3" w:rsidRPr="00D75D2E" w:rsidRDefault="00ED17F3" w:rsidP="001A47FA">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742" w:type="pct"/>
            <w:gridSpan w:val="2"/>
            <w:tcBorders>
              <w:top w:val="single" w:sz="4" w:space="0" w:color="auto"/>
              <w:left w:val="single" w:sz="4" w:space="0" w:color="auto"/>
              <w:bottom w:val="single" w:sz="4" w:space="0" w:color="auto"/>
              <w:right w:val="single" w:sz="4" w:space="0" w:color="auto"/>
            </w:tcBorders>
            <w:hideMark/>
          </w:tcPr>
          <w:p w14:paraId="4493914A" w14:textId="77777777" w:rsidR="00ED17F3" w:rsidRPr="00D75D2E" w:rsidRDefault="00ED17F3" w:rsidP="001A47FA">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175" w:type="pct"/>
            <w:gridSpan w:val="2"/>
            <w:tcBorders>
              <w:top w:val="single" w:sz="4" w:space="0" w:color="auto"/>
              <w:left w:val="single" w:sz="4" w:space="0" w:color="auto"/>
              <w:bottom w:val="single" w:sz="4" w:space="0" w:color="auto"/>
              <w:right w:val="single" w:sz="4" w:space="0" w:color="auto"/>
            </w:tcBorders>
            <w:hideMark/>
          </w:tcPr>
          <w:p w14:paraId="6C399FAB" w14:textId="77777777" w:rsidR="00ED17F3" w:rsidRPr="00D75D2E" w:rsidRDefault="00ED17F3" w:rsidP="001A47FA">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8C34F9" w:rsidRPr="00420C1B" w14:paraId="201A47E8" w14:textId="77777777" w:rsidTr="00215867">
        <w:trPr>
          <w:trHeight w:val="258"/>
          <w:jc w:val="center"/>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55B0B949" w14:textId="77777777" w:rsidR="00ED17F3" w:rsidRPr="00D75D2E" w:rsidRDefault="00ED17F3" w:rsidP="001A47FA">
            <w:pPr>
              <w:spacing w:after="0" w:line="240" w:lineRule="auto"/>
              <w:rPr>
                <w:rFonts w:ascii="Times New Roman" w:hAnsi="Times New Roman"/>
                <w:b/>
                <w:sz w:val="20"/>
                <w:szCs w:val="20"/>
              </w:rPr>
            </w:pPr>
          </w:p>
        </w:tc>
        <w:tc>
          <w:tcPr>
            <w:tcW w:w="613" w:type="pct"/>
            <w:gridSpan w:val="2"/>
            <w:vMerge/>
            <w:tcBorders>
              <w:top w:val="single" w:sz="4" w:space="0" w:color="auto"/>
              <w:left w:val="single" w:sz="4" w:space="0" w:color="auto"/>
              <w:bottom w:val="single" w:sz="4" w:space="0" w:color="auto"/>
              <w:right w:val="single" w:sz="4" w:space="0" w:color="auto"/>
            </w:tcBorders>
            <w:vAlign w:val="center"/>
            <w:hideMark/>
          </w:tcPr>
          <w:p w14:paraId="77C0FD8F" w14:textId="77777777" w:rsidR="00ED17F3" w:rsidRPr="00D75D2E" w:rsidRDefault="00ED17F3" w:rsidP="001A47FA">
            <w:pPr>
              <w:spacing w:after="0" w:line="240" w:lineRule="auto"/>
              <w:rPr>
                <w:rFonts w:ascii="Times New Roman" w:eastAsia="Times New Roman" w:hAnsi="Times New Roman"/>
                <w:bCs/>
                <w:sz w:val="20"/>
                <w:szCs w:val="20"/>
              </w:rPr>
            </w:pP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41CC4133" w14:textId="77777777" w:rsidR="00ED17F3" w:rsidRPr="00D75D2E" w:rsidRDefault="00A2677A" w:rsidP="001A47FA">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Forte</w:t>
            </w:r>
          </w:p>
        </w:tc>
        <w:tc>
          <w:tcPr>
            <w:tcW w:w="949" w:type="pct"/>
            <w:gridSpan w:val="5"/>
            <w:tcBorders>
              <w:top w:val="single" w:sz="4" w:space="0" w:color="auto"/>
              <w:left w:val="single" w:sz="4" w:space="0" w:color="auto"/>
              <w:bottom w:val="single" w:sz="4" w:space="0" w:color="auto"/>
              <w:right w:val="single" w:sz="4" w:space="0" w:color="auto"/>
            </w:tcBorders>
            <w:vAlign w:val="center"/>
            <w:hideMark/>
          </w:tcPr>
          <w:p w14:paraId="53EE0AE2" w14:textId="77777777" w:rsidR="00ED17F3" w:rsidRPr="00D75D2E" w:rsidRDefault="00ED17F3" w:rsidP="001A47FA">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742" w:type="pct"/>
            <w:gridSpan w:val="2"/>
            <w:tcBorders>
              <w:top w:val="single" w:sz="4" w:space="0" w:color="auto"/>
              <w:left w:val="single" w:sz="4" w:space="0" w:color="auto"/>
              <w:bottom w:val="single" w:sz="4" w:space="0" w:color="auto"/>
              <w:right w:val="single" w:sz="4" w:space="0" w:color="auto"/>
            </w:tcBorders>
            <w:vAlign w:val="center"/>
            <w:hideMark/>
          </w:tcPr>
          <w:p w14:paraId="6E245345" w14:textId="77777777" w:rsidR="00ED17F3" w:rsidRPr="00D75D2E" w:rsidRDefault="00A2677A" w:rsidP="001A47FA">
            <w:pPr>
              <w:spacing w:after="0" w:line="240" w:lineRule="auto"/>
              <w:jc w:val="center"/>
              <w:rPr>
                <w:rFonts w:ascii="Times New Roman" w:eastAsia="Times New Roman" w:hAnsi="Times New Roman"/>
                <w:sz w:val="20"/>
                <w:szCs w:val="20"/>
                <w:lang w:eastAsia="fr-FR"/>
              </w:rPr>
            </w:pPr>
            <w:r w:rsidRPr="00D75D2E">
              <w:rPr>
                <w:rFonts w:ascii="Times New Roman" w:eastAsia="Times New Roman" w:hAnsi="Times New Roman"/>
                <w:bCs/>
                <w:sz w:val="20"/>
                <w:szCs w:val="20"/>
              </w:rPr>
              <w:t xml:space="preserve">Longue </w:t>
            </w:r>
          </w:p>
        </w:tc>
        <w:tc>
          <w:tcPr>
            <w:tcW w:w="1175" w:type="pct"/>
            <w:gridSpan w:val="2"/>
            <w:tcBorders>
              <w:top w:val="single" w:sz="4" w:space="0" w:color="auto"/>
              <w:left w:val="single" w:sz="4" w:space="0" w:color="auto"/>
              <w:bottom w:val="single" w:sz="4" w:space="0" w:color="auto"/>
              <w:right w:val="single" w:sz="4" w:space="0" w:color="auto"/>
            </w:tcBorders>
            <w:vAlign w:val="center"/>
            <w:hideMark/>
          </w:tcPr>
          <w:p w14:paraId="029B6FBD" w14:textId="77777777" w:rsidR="00ED17F3" w:rsidRPr="00D75D2E" w:rsidRDefault="00ED17F3" w:rsidP="001A47FA">
            <w:pPr>
              <w:spacing w:after="0" w:line="240" w:lineRule="auto"/>
              <w:rPr>
                <w:rFonts w:ascii="Times New Roman" w:hAnsi="Times New Roman"/>
                <w:sz w:val="20"/>
                <w:szCs w:val="20"/>
              </w:rPr>
            </w:pPr>
            <w:r w:rsidRPr="00D75D2E">
              <w:rPr>
                <w:rFonts w:ascii="Times New Roman" w:hAnsi="Times New Roman"/>
                <w:sz w:val="20"/>
                <w:szCs w:val="20"/>
              </w:rPr>
              <w:t>M</w:t>
            </w:r>
            <w:r w:rsidR="00A2677A" w:rsidRPr="00D75D2E">
              <w:rPr>
                <w:rFonts w:ascii="Times New Roman" w:hAnsi="Times New Roman"/>
                <w:sz w:val="20"/>
                <w:szCs w:val="20"/>
              </w:rPr>
              <w:t xml:space="preserve">ajeure </w:t>
            </w:r>
          </w:p>
        </w:tc>
      </w:tr>
      <w:tr w:rsidR="008C34F9" w:rsidRPr="00420C1B" w14:paraId="2CA82A3E" w14:textId="77777777" w:rsidTr="00215867">
        <w:trPr>
          <w:trHeight w:val="258"/>
          <w:jc w:val="center"/>
        </w:trPr>
        <w:tc>
          <w:tcPr>
            <w:tcW w:w="838" w:type="pct"/>
            <w:vMerge/>
            <w:tcBorders>
              <w:top w:val="single" w:sz="4" w:space="0" w:color="auto"/>
              <w:left w:val="single" w:sz="4" w:space="0" w:color="auto"/>
              <w:bottom w:val="single" w:sz="4" w:space="0" w:color="auto"/>
              <w:right w:val="single" w:sz="4" w:space="0" w:color="auto"/>
            </w:tcBorders>
            <w:vAlign w:val="center"/>
          </w:tcPr>
          <w:p w14:paraId="2B454323" w14:textId="77777777" w:rsidR="00A2677A" w:rsidRPr="00D75D2E" w:rsidRDefault="00A2677A" w:rsidP="001A47FA">
            <w:pPr>
              <w:spacing w:after="0" w:line="240" w:lineRule="auto"/>
              <w:rPr>
                <w:rFonts w:ascii="Times New Roman" w:hAnsi="Times New Roman"/>
                <w:b/>
                <w:sz w:val="20"/>
                <w:szCs w:val="20"/>
              </w:rPr>
            </w:pPr>
          </w:p>
        </w:tc>
        <w:tc>
          <w:tcPr>
            <w:tcW w:w="613" w:type="pct"/>
            <w:gridSpan w:val="2"/>
            <w:tcBorders>
              <w:top w:val="single" w:sz="4" w:space="0" w:color="auto"/>
              <w:left w:val="single" w:sz="4" w:space="0" w:color="auto"/>
              <w:bottom w:val="single" w:sz="4" w:space="0" w:color="auto"/>
              <w:right w:val="single" w:sz="4" w:space="0" w:color="auto"/>
            </w:tcBorders>
            <w:vAlign w:val="center"/>
          </w:tcPr>
          <w:p w14:paraId="1B2D5482" w14:textId="77777777" w:rsidR="00A2677A" w:rsidRPr="00D75D2E" w:rsidRDefault="00A2677A" w:rsidP="001A47FA">
            <w:pPr>
              <w:spacing w:after="0" w:line="240" w:lineRule="auto"/>
              <w:rPr>
                <w:rFonts w:ascii="Times New Roman" w:eastAsia="Times New Roman" w:hAnsi="Times New Roman"/>
                <w:bCs/>
                <w:sz w:val="20"/>
                <w:szCs w:val="20"/>
              </w:rPr>
            </w:pPr>
          </w:p>
        </w:tc>
        <w:tc>
          <w:tcPr>
            <w:tcW w:w="683" w:type="pct"/>
            <w:gridSpan w:val="2"/>
            <w:tcBorders>
              <w:top w:val="single" w:sz="4" w:space="0" w:color="auto"/>
              <w:left w:val="single" w:sz="4" w:space="0" w:color="auto"/>
              <w:bottom w:val="single" w:sz="4" w:space="0" w:color="auto"/>
              <w:right w:val="single" w:sz="4" w:space="0" w:color="auto"/>
            </w:tcBorders>
            <w:vAlign w:val="center"/>
          </w:tcPr>
          <w:p w14:paraId="350FBAF2" w14:textId="77777777" w:rsidR="00A2677A" w:rsidRPr="00D75D2E" w:rsidRDefault="00A2677A" w:rsidP="001A47FA">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949" w:type="pct"/>
            <w:gridSpan w:val="5"/>
            <w:tcBorders>
              <w:top w:val="single" w:sz="4" w:space="0" w:color="auto"/>
              <w:left w:val="single" w:sz="4" w:space="0" w:color="auto"/>
              <w:bottom w:val="single" w:sz="4" w:space="0" w:color="auto"/>
              <w:right w:val="single" w:sz="4" w:space="0" w:color="auto"/>
            </w:tcBorders>
          </w:tcPr>
          <w:p w14:paraId="3783A6D6" w14:textId="77777777" w:rsidR="00A2677A" w:rsidRPr="00D75D2E" w:rsidRDefault="00A2677A" w:rsidP="001A47FA">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Occurrence </w:t>
            </w:r>
          </w:p>
        </w:tc>
        <w:tc>
          <w:tcPr>
            <w:tcW w:w="742" w:type="pct"/>
            <w:gridSpan w:val="2"/>
            <w:tcBorders>
              <w:top w:val="single" w:sz="4" w:space="0" w:color="auto"/>
              <w:left w:val="single" w:sz="4" w:space="0" w:color="auto"/>
              <w:bottom w:val="single" w:sz="4" w:space="0" w:color="auto"/>
              <w:right w:val="single" w:sz="4" w:space="0" w:color="auto"/>
            </w:tcBorders>
          </w:tcPr>
          <w:p w14:paraId="50A4402D" w14:textId="77777777" w:rsidR="00A2677A" w:rsidRPr="00D75D2E" w:rsidRDefault="00A2677A" w:rsidP="001A47FA">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Réversibilité </w:t>
            </w:r>
          </w:p>
        </w:tc>
        <w:tc>
          <w:tcPr>
            <w:tcW w:w="1175" w:type="pct"/>
            <w:gridSpan w:val="2"/>
            <w:tcBorders>
              <w:top w:val="single" w:sz="4" w:space="0" w:color="auto"/>
              <w:left w:val="single" w:sz="4" w:space="0" w:color="auto"/>
              <w:bottom w:val="single" w:sz="4" w:space="0" w:color="auto"/>
              <w:right w:val="single" w:sz="4" w:space="0" w:color="auto"/>
            </w:tcBorders>
          </w:tcPr>
          <w:p w14:paraId="483ECF6B" w14:textId="77777777" w:rsidR="00A2677A" w:rsidRPr="00D75D2E" w:rsidRDefault="00A2677A" w:rsidP="001A47FA">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Cumulativité </w:t>
            </w:r>
          </w:p>
        </w:tc>
      </w:tr>
      <w:tr w:rsidR="008C34F9" w:rsidRPr="00420C1B" w14:paraId="287D7E07" w14:textId="77777777" w:rsidTr="00215867">
        <w:trPr>
          <w:trHeight w:val="258"/>
          <w:jc w:val="center"/>
        </w:trPr>
        <w:tc>
          <w:tcPr>
            <w:tcW w:w="838" w:type="pct"/>
            <w:vMerge/>
            <w:tcBorders>
              <w:top w:val="single" w:sz="4" w:space="0" w:color="auto"/>
              <w:left w:val="single" w:sz="4" w:space="0" w:color="auto"/>
              <w:bottom w:val="single" w:sz="4" w:space="0" w:color="auto"/>
              <w:right w:val="single" w:sz="4" w:space="0" w:color="auto"/>
            </w:tcBorders>
            <w:vAlign w:val="center"/>
          </w:tcPr>
          <w:p w14:paraId="4A69555A" w14:textId="77777777" w:rsidR="00A2677A" w:rsidRPr="00D75D2E" w:rsidRDefault="00A2677A" w:rsidP="001A47FA">
            <w:pPr>
              <w:spacing w:after="0" w:line="240" w:lineRule="auto"/>
              <w:rPr>
                <w:rFonts w:ascii="Times New Roman" w:hAnsi="Times New Roman"/>
                <w:b/>
                <w:sz w:val="20"/>
                <w:szCs w:val="20"/>
              </w:rPr>
            </w:pPr>
          </w:p>
        </w:tc>
        <w:tc>
          <w:tcPr>
            <w:tcW w:w="613" w:type="pct"/>
            <w:gridSpan w:val="2"/>
            <w:tcBorders>
              <w:top w:val="single" w:sz="4" w:space="0" w:color="auto"/>
              <w:left w:val="single" w:sz="4" w:space="0" w:color="auto"/>
              <w:bottom w:val="single" w:sz="4" w:space="0" w:color="auto"/>
              <w:right w:val="single" w:sz="4" w:space="0" w:color="auto"/>
            </w:tcBorders>
            <w:vAlign w:val="center"/>
          </w:tcPr>
          <w:p w14:paraId="45FC4CD0" w14:textId="77777777" w:rsidR="00A2677A" w:rsidRPr="00D75D2E" w:rsidRDefault="00A2677A" w:rsidP="001A47FA">
            <w:pPr>
              <w:spacing w:after="0" w:line="240" w:lineRule="auto"/>
              <w:rPr>
                <w:rFonts w:ascii="Times New Roman" w:eastAsia="Times New Roman" w:hAnsi="Times New Roman"/>
                <w:bCs/>
                <w:sz w:val="20"/>
                <w:szCs w:val="20"/>
              </w:rPr>
            </w:pPr>
          </w:p>
        </w:tc>
        <w:tc>
          <w:tcPr>
            <w:tcW w:w="683" w:type="pct"/>
            <w:gridSpan w:val="2"/>
            <w:tcBorders>
              <w:top w:val="single" w:sz="4" w:space="0" w:color="auto"/>
              <w:left w:val="single" w:sz="4" w:space="0" w:color="auto"/>
              <w:bottom w:val="single" w:sz="4" w:space="0" w:color="auto"/>
              <w:right w:val="single" w:sz="4" w:space="0" w:color="auto"/>
            </w:tcBorders>
            <w:vAlign w:val="center"/>
          </w:tcPr>
          <w:p w14:paraId="7B1BAFB6" w14:textId="77777777" w:rsidR="00A2677A" w:rsidRPr="00D75D2E" w:rsidRDefault="00A2677A" w:rsidP="001A47FA">
            <w:pPr>
              <w:spacing w:after="0" w:line="240" w:lineRule="auto"/>
              <w:jc w:val="both"/>
              <w:rPr>
                <w:rFonts w:ascii="Times New Roman" w:eastAsia="Times New Roman" w:hAnsi="Times New Roman"/>
                <w:bCs/>
                <w:sz w:val="20"/>
                <w:szCs w:val="20"/>
              </w:rPr>
            </w:pPr>
            <w:r w:rsidRPr="00D75D2E">
              <w:rPr>
                <w:rFonts w:ascii="Times New Roman" w:eastAsia="Times New Roman" w:hAnsi="Times New Roman"/>
                <w:bCs/>
                <w:sz w:val="20"/>
                <w:szCs w:val="20"/>
              </w:rPr>
              <w:t>Directe</w:t>
            </w:r>
          </w:p>
        </w:tc>
        <w:tc>
          <w:tcPr>
            <w:tcW w:w="949" w:type="pct"/>
            <w:gridSpan w:val="5"/>
            <w:tcBorders>
              <w:top w:val="single" w:sz="4" w:space="0" w:color="auto"/>
              <w:left w:val="single" w:sz="4" w:space="0" w:color="auto"/>
              <w:bottom w:val="single" w:sz="4" w:space="0" w:color="auto"/>
              <w:right w:val="single" w:sz="4" w:space="0" w:color="auto"/>
            </w:tcBorders>
            <w:vAlign w:val="center"/>
          </w:tcPr>
          <w:p w14:paraId="7030C563" w14:textId="77777777" w:rsidR="00A2677A" w:rsidRPr="00D75D2E" w:rsidRDefault="00A2677A" w:rsidP="001A47FA">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742" w:type="pct"/>
            <w:gridSpan w:val="2"/>
            <w:tcBorders>
              <w:top w:val="single" w:sz="4" w:space="0" w:color="auto"/>
              <w:left w:val="single" w:sz="4" w:space="0" w:color="auto"/>
              <w:bottom w:val="single" w:sz="4" w:space="0" w:color="auto"/>
              <w:right w:val="single" w:sz="4" w:space="0" w:color="auto"/>
            </w:tcBorders>
            <w:vAlign w:val="center"/>
          </w:tcPr>
          <w:p w14:paraId="1A1152F0" w14:textId="77777777" w:rsidR="00A2677A" w:rsidRPr="00D75D2E" w:rsidRDefault="00A2677A" w:rsidP="001A47FA">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1175" w:type="pct"/>
            <w:gridSpan w:val="2"/>
            <w:tcBorders>
              <w:top w:val="single" w:sz="4" w:space="0" w:color="auto"/>
              <w:left w:val="single" w:sz="4" w:space="0" w:color="auto"/>
              <w:bottom w:val="single" w:sz="4" w:space="0" w:color="auto"/>
              <w:right w:val="single" w:sz="4" w:space="0" w:color="auto"/>
            </w:tcBorders>
            <w:vAlign w:val="center"/>
          </w:tcPr>
          <w:p w14:paraId="25A7914A" w14:textId="77777777" w:rsidR="00A2677A" w:rsidRPr="00D75D2E" w:rsidRDefault="00A2677A" w:rsidP="001A47FA">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8C34F9" w:rsidRPr="00420C1B" w14:paraId="6557E2F1" w14:textId="77777777" w:rsidTr="00215867">
        <w:trPr>
          <w:trHeight w:val="258"/>
          <w:jc w:val="center"/>
        </w:trPr>
        <w:tc>
          <w:tcPr>
            <w:tcW w:w="838" w:type="pct"/>
            <w:vMerge/>
            <w:tcBorders>
              <w:top w:val="single" w:sz="4" w:space="0" w:color="auto"/>
              <w:left w:val="single" w:sz="4" w:space="0" w:color="auto"/>
              <w:bottom w:val="single" w:sz="4" w:space="0" w:color="auto"/>
              <w:right w:val="single" w:sz="4" w:space="0" w:color="auto"/>
            </w:tcBorders>
            <w:vAlign w:val="center"/>
          </w:tcPr>
          <w:p w14:paraId="7158AA95" w14:textId="77777777" w:rsidR="00A2677A" w:rsidRPr="00D75D2E" w:rsidRDefault="00A2677A" w:rsidP="001A47FA">
            <w:pPr>
              <w:spacing w:after="0" w:line="240" w:lineRule="auto"/>
              <w:rPr>
                <w:rFonts w:ascii="Times New Roman" w:hAnsi="Times New Roman"/>
                <w:b/>
                <w:sz w:val="20"/>
                <w:szCs w:val="20"/>
              </w:rPr>
            </w:pPr>
          </w:p>
        </w:tc>
        <w:tc>
          <w:tcPr>
            <w:tcW w:w="613" w:type="pct"/>
            <w:gridSpan w:val="2"/>
            <w:tcBorders>
              <w:top w:val="single" w:sz="4" w:space="0" w:color="auto"/>
              <w:left w:val="single" w:sz="4" w:space="0" w:color="auto"/>
              <w:bottom w:val="single" w:sz="4" w:space="0" w:color="auto"/>
              <w:right w:val="single" w:sz="4" w:space="0" w:color="auto"/>
            </w:tcBorders>
            <w:vAlign w:val="center"/>
          </w:tcPr>
          <w:p w14:paraId="71950060" w14:textId="77777777" w:rsidR="00A2677A" w:rsidRPr="00D75D2E" w:rsidRDefault="00A2677A" w:rsidP="001A47FA">
            <w:pPr>
              <w:spacing w:after="0" w:line="240" w:lineRule="auto"/>
              <w:rPr>
                <w:rFonts w:ascii="Times New Roman" w:eastAsia="Times New Roman" w:hAnsi="Times New Roman"/>
                <w:bCs/>
                <w:sz w:val="20"/>
                <w:szCs w:val="20"/>
              </w:rPr>
            </w:pPr>
          </w:p>
        </w:tc>
        <w:tc>
          <w:tcPr>
            <w:tcW w:w="683" w:type="pct"/>
            <w:gridSpan w:val="2"/>
            <w:tcBorders>
              <w:top w:val="single" w:sz="4" w:space="0" w:color="auto"/>
              <w:left w:val="single" w:sz="4" w:space="0" w:color="auto"/>
              <w:bottom w:val="single" w:sz="4" w:space="0" w:color="auto"/>
              <w:right w:val="single" w:sz="4" w:space="0" w:color="auto"/>
            </w:tcBorders>
          </w:tcPr>
          <w:p w14:paraId="7C3C5297" w14:textId="77777777" w:rsidR="00A2677A" w:rsidRPr="00D75D2E" w:rsidRDefault="00A2677A" w:rsidP="001A47FA">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949" w:type="pct"/>
            <w:gridSpan w:val="5"/>
            <w:tcBorders>
              <w:top w:val="single" w:sz="4" w:space="0" w:color="auto"/>
              <w:left w:val="single" w:sz="4" w:space="0" w:color="auto"/>
              <w:bottom w:val="single" w:sz="4" w:space="0" w:color="auto"/>
              <w:right w:val="single" w:sz="4" w:space="0" w:color="auto"/>
            </w:tcBorders>
            <w:vAlign w:val="center"/>
          </w:tcPr>
          <w:p w14:paraId="31396477" w14:textId="77777777" w:rsidR="00A2677A" w:rsidRPr="00D75D2E" w:rsidRDefault="00A2677A" w:rsidP="001A47FA">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742" w:type="pct"/>
            <w:gridSpan w:val="2"/>
            <w:tcBorders>
              <w:top w:val="single" w:sz="4" w:space="0" w:color="auto"/>
              <w:left w:val="single" w:sz="4" w:space="0" w:color="auto"/>
              <w:bottom w:val="single" w:sz="4" w:space="0" w:color="auto"/>
              <w:right w:val="single" w:sz="4" w:space="0" w:color="auto"/>
            </w:tcBorders>
            <w:vAlign w:val="center"/>
          </w:tcPr>
          <w:p w14:paraId="01CFFB95" w14:textId="77777777" w:rsidR="00A2677A" w:rsidRPr="00D75D2E" w:rsidRDefault="00A2677A" w:rsidP="001A47FA">
            <w:pPr>
              <w:spacing w:after="0" w:line="240" w:lineRule="auto"/>
              <w:jc w:val="center"/>
              <w:rPr>
                <w:rFonts w:ascii="Times New Roman" w:hAnsi="Times New Roman"/>
                <w:sz w:val="20"/>
                <w:szCs w:val="20"/>
              </w:rPr>
            </w:pPr>
          </w:p>
        </w:tc>
        <w:tc>
          <w:tcPr>
            <w:tcW w:w="1175" w:type="pct"/>
            <w:gridSpan w:val="2"/>
            <w:tcBorders>
              <w:top w:val="single" w:sz="4" w:space="0" w:color="auto"/>
              <w:left w:val="single" w:sz="4" w:space="0" w:color="auto"/>
              <w:bottom w:val="single" w:sz="4" w:space="0" w:color="auto"/>
              <w:right w:val="single" w:sz="4" w:space="0" w:color="auto"/>
            </w:tcBorders>
            <w:vAlign w:val="center"/>
          </w:tcPr>
          <w:p w14:paraId="22F32825" w14:textId="77777777" w:rsidR="00A2677A" w:rsidRPr="00D75D2E" w:rsidRDefault="00A2677A" w:rsidP="001A47FA">
            <w:pPr>
              <w:spacing w:after="0" w:line="240" w:lineRule="auto"/>
              <w:jc w:val="both"/>
              <w:rPr>
                <w:rFonts w:ascii="Times New Roman" w:hAnsi="Times New Roman"/>
                <w:sz w:val="20"/>
                <w:szCs w:val="20"/>
              </w:rPr>
            </w:pPr>
          </w:p>
        </w:tc>
      </w:tr>
      <w:tr w:rsidR="00D75D2E" w:rsidRPr="00420C1B" w14:paraId="28ACBB63" w14:textId="77777777" w:rsidTr="00215867">
        <w:trPr>
          <w:trHeight w:val="258"/>
          <w:jc w:val="center"/>
        </w:trPr>
        <w:tc>
          <w:tcPr>
            <w:tcW w:w="838" w:type="pct"/>
            <w:vMerge/>
            <w:tcBorders>
              <w:top w:val="single" w:sz="4" w:space="0" w:color="auto"/>
              <w:left w:val="single" w:sz="4" w:space="0" w:color="auto"/>
              <w:bottom w:val="single" w:sz="4" w:space="0" w:color="auto"/>
              <w:right w:val="single" w:sz="4" w:space="0" w:color="auto"/>
            </w:tcBorders>
            <w:vAlign w:val="center"/>
          </w:tcPr>
          <w:p w14:paraId="77AA1DAD" w14:textId="77777777" w:rsidR="00A2677A" w:rsidRPr="00D75D2E" w:rsidRDefault="00A2677A" w:rsidP="001A47FA">
            <w:pPr>
              <w:spacing w:after="0" w:line="240" w:lineRule="auto"/>
              <w:rPr>
                <w:rFonts w:ascii="Times New Roman" w:hAnsi="Times New Roman"/>
                <w:b/>
                <w:sz w:val="20"/>
                <w:szCs w:val="20"/>
              </w:rPr>
            </w:pPr>
          </w:p>
        </w:tc>
        <w:tc>
          <w:tcPr>
            <w:tcW w:w="613" w:type="pct"/>
            <w:gridSpan w:val="2"/>
            <w:tcBorders>
              <w:top w:val="single" w:sz="4" w:space="0" w:color="auto"/>
              <w:left w:val="single" w:sz="4" w:space="0" w:color="auto"/>
              <w:bottom w:val="single" w:sz="4" w:space="0" w:color="auto"/>
              <w:right w:val="single" w:sz="4" w:space="0" w:color="auto"/>
            </w:tcBorders>
            <w:vAlign w:val="center"/>
          </w:tcPr>
          <w:p w14:paraId="544165CA" w14:textId="77777777" w:rsidR="00A2677A" w:rsidRPr="00D75D2E" w:rsidRDefault="00A2677A" w:rsidP="001A47FA">
            <w:pPr>
              <w:spacing w:after="0" w:line="240" w:lineRule="auto"/>
              <w:rPr>
                <w:rFonts w:ascii="Times New Roman" w:eastAsia="Times New Roman" w:hAnsi="Times New Roman"/>
                <w:bCs/>
                <w:sz w:val="20"/>
                <w:szCs w:val="20"/>
              </w:rPr>
            </w:pPr>
          </w:p>
        </w:tc>
        <w:tc>
          <w:tcPr>
            <w:tcW w:w="683" w:type="pct"/>
            <w:gridSpan w:val="2"/>
            <w:tcBorders>
              <w:top w:val="single" w:sz="4" w:space="0" w:color="auto"/>
              <w:left w:val="single" w:sz="4" w:space="0" w:color="auto"/>
              <w:bottom w:val="single" w:sz="4" w:space="0" w:color="auto"/>
              <w:right w:val="single" w:sz="4" w:space="0" w:color="auto"/>
            </w:tcBorders>
            <w:vAlign w:val="center"/>
          </w:tcPr>
          <w:p w14:paraId="6BEADE9B" w14:textId="77777777" w:rsidR="00A2677A" w:rsidRPr="00D75D2E" w:rsidRDefault="00A2677A" w:rsidP="001A47FA">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691" w:type="pct"/>
            <w:gridSpan w:val="7"/>
            <w:tcBorders>
              <w:top w:val="single" w:sz="4" w:space="0" w:color="auto"/>
              <w:left w:val="single" w:sz="4" w:space="0" w:color="auto"/>
              <w:bottom w:val="single" w:sz="4" w:space="0" w:color="auto"/>
              <w:right w:val="single" w:sz="4" w:space="0" w:color="auto"/>
            </w:tcBorders>
            <w:vAlign w:val="center"/>
          </w:tcPr>
          <w:p w14:paraId="2C6AD38D" w14:textId="77777777" w:rsidR="00A2677A" w:rsidRPr="00D75D2E" w:rsidRDefault="00A2677A" w:rsidP="001A47FA">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Economique, Socio culturel </w:t>
            </w:r>
          </w:p>
        </w:tc>
        <w:tc>
          <w:tcPr>
            <w:tcW w:w="1175" w:type="pct"/>
            <w:gridSpan w:val="2"/>
          </w:tcPr>
          <w:p w14:paraId="194289CA" w14:textId="77777777" w:rsidR="00A2677A" w:rsidRPr="00D75D2E" w:rsidRDefault="00A2677A" w:rsidP="001A47FA">
            <w:pPr>
              <w:spacing w:after="0" w:line="240" w:lineRule="auto"/>
              <w:rPr>
                <w:rFonts w:ascii="Times New Roman" w:hAnsi="Times New Roman"/>
                <w:sz w:val="20"/>
                <w:szCs w:val="20"/>
              </w:rPr>
            </w:pPr>
          </w:p>
        </w:tc>
      </w:tr>
      <w:tr w:rsidR="00D75D2E" w:rsidRPr="00420C1B" w14:paraId="14994D61" w14:textId="77777777" w:rsidTr="00215867">
        <w:trPr>
          <w:trHeight w:val="994"/>
          <w:jc w:val="center"/>
        </w:trPr>
        <w:tc>
          <w:tcPr>
            <w:tcW w:w="838" w:type="pct"/>
            <w:vMerge/>
            <w:tcBorders>
              <w:top w:val="single" w:sz="4" w:space="0" w:color="auto"/>
              <w:left w:val="single" w:sz="4" w:space="0" w:color="auto"/>
              <w:bottom w:val="single" w:sz="4" w:space="0" w:color="auto"/>
              <w:right w:val="single" w:sz="4" w:space="0" w:color="auto"/>
            </w:tcBorders>
            <w:vAlign w:val="center"/>
            <w:hideMark/>
          </w:tcPr>
          <w:p w14:paraId="059D96DE" w14:textId="77777777" w:rsidR="00ED17F3" w:rsidRPr="00D75D2E" w:rsidRDefault="00ED17F3" w:rsidP="001A47FA">
            <w:pPr>
              <w:spacing w:after="0" w:line="240" w:lineRule="auto"/>
              <w:rPr>
                <w:rFonts w:ascii="Times New Roman" w:hAnsi="Times New Roman"/>
                <w:b/>
                <w:sz w:val="20"/>
                <w:szCs w:val="20"/>
              </w:rPr>
            </w:pPr>
          </w:p>
        </w:tc>
        <w:tc>
          <w:tcPr>
            <w:tcW w:w="613" w:type="pct"/>
            <w:gridSpan w:val="2"/>
            <w:tcBorders>
              <w:top w:val="single" w:sz="4" w:space="0" w:color="auto"/>
              <w:left w:val="single" w:sz="4" w:space="0" w:color="auto"/>
              <w:bottom w:val="single" w:sz="4" w:space="0" w:color="auto"/>
              <w:right w:val="single" w:sz="4" w:space="0" w:color="auto"/>
            </w:tcBorders>
            <w:hideMark/>
          </w:tcPr>
          <w:p w14:paraId="09B16438" w14:textId="77777777" w:rsidR="00ED17F3" w:rsidRPr="00D75D2E" w:rsidRDefault="00ED17F3" w:rsidP="001A47FA">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549" w:type="pct"/>
            <w:gridSpan w:val="11"/>
            <w:tcBorders>
              <w:top w:val="single" w:sz="4" w:space="0" w:color="auto"/>
              <w:left w:val="single" w:sz="4" w:space="0" w:color="auto"/>
              <w:bottom w:val="single" w:sz="4" w:space="0" w:color="auto"/>
              <w:right w:val="single" w:sz="4" w:space="0" w:color="auto"/>
            </w:tcBorders>
            <w:hideMark/>
          </w:tcPr>
          <w:p w14:paraId="755E7A34" w14:textId="77777777" w:rsidR="00541E93" w:rsidRPr="00D75D2E" w:rsidRDefault="00ED17F3" w:rsidP="001A47FA">
            <w:pPr>
              <w:spacing w:after="0" w:line="240" w:lineRule="auto"/>
              <w:jc w:val="both"/>
              <w:rPr>
                <w:rFonts w:ascii="Times New Roman" w:eastAsia="Times New Roman" w:hAnsi="Times New Roman"/>
                <w:bCs/>
                <w:sz w:val="20"/>
                <w:szCs w:val="20"/>
              </w:rPr>
            </w:pPr>
            <w:r w:rsidRPr="00D75D2E">
              <w:rPr>
                <w:rFonts w:ascii="Times New Roman" w:eastAsia="Times New Roman" w:hAnsi="Times New Roman"/>
                <w:bCs/>
                <w:sz w:val="20"/>
                <w:szCs w:val="20"/>
              </w:rPr>
              <w:t>La mise en œuvre du projet entrainera</w:t>
            </w:r>
            <w:r w:rsidRPr="00D75D2E">
              <w:rPr>
                <w:rFonts w:ascii="Times New Roman" w:hAnsi="Times New Roman"/>
                <w:sz w:val="20"/>
                <w:szCs w:val="20"/>
              </w:rPr>
              <w:t xml:space="preserve"> l’a</w:t>
            </w:r>
            <w:r w:rsidRPr="00D75D2E">
              <w:rPr>
                <w:rFonts w:ascii="Times New Roman" w:eastAsia="Times New Roman" w:hAnsi="Times New Roman"/>
                <w:bCs/>
                <w:sz w:val="20"/>
                <w:szCs w:val="20"/>
              </w:rPr>
              <w:t>battage d’arbres fruitiers et forestiers situés dans l’emprise des lignes et des sites d’implantation des cabines</w:t>
            </w:r>
            <w:r w:rsidR="00B8289C" w:rsidRPr="00D75D2E">
              <w:rPr>
                <w:rFonts w:ascii="Times New Roman" w:eastAsia="Times New Roman" w:hAnsi="Times New Roman"/>
                <w:bCs/>
                <w:sz w:val="20"/>
                <w:szCs w:val="20"/>
              </w:rPr>
              <w:t xml:space="preserve">. </w:t>
            </w:r>
            <w:r w:rsidR="009F6978" w:rsidRPr="00D75D2E">
              <w:rPr>
                <w:rFonts w:ascii="Times New Roman" w:eastAsia="Times New Roman" w:hAnsi="Times New Roman"/>
                <w:bCs/>
                <w:sz w:val="20"/>
                <w:szCs w:val="20"/>
              </w:rPr>
              <w:t>En tout</w:t>
            </w:r>
            <w:r w:rsidR="00FB29DC">
              <w:rPr>
                <w:rFonts w:ascii="Times New Roman" w:eastAsia="Times New Roman" w:hAnsi="Times New Roman"/>
                <w:bCs/>
                <w:sz w:val="20"/>
                <w:szCs w:val="20"/>
              </w:rPr>
              <w:t>,</w:t>
            </w:r>
            <w:r w:rsidR="009F6978" w:rsidRPr="00D75D2E">
              <w:rPr>
                <w:rFonts w:ascii="Times New Roman" w:eastAsia="Times New Roman" w:hAnsi="Times New Roman"/>
                <w:bCs/>
                <w:sz w:val="20"/>
                <w:szCs w:val="20"/>
              </w:rPr>
              <w:t xml:space="preserve"> </w:t>
            </w:r>
            <w:r w:rsidR="00DD5846" w:rsidRPr="00D75D2E">
              <w:rPr>
                <w:rFonts w:ascii="Times New Roman" w:eastAsia="Times New Roman" w:hAnsi="Times New Roman"/>
                <w:bCs/>
                <w:sz w:val="20"/>
                <w:szCs w:val="20"/>
              </w:rPr>
              <w:t>1129</w:t>
            </w:r>
            <w:r w:rsidR="009F6978" w:rsidRPr="00D75D2E">
              <w:rPr>
                <w:rFonts w:ascii="Times New Roman" w:eastAsia="Times New Roman" w:hAnsi="Times New Roman"/>
                <w:bCs/>
                <w:sz w:val="20"/>
                <w:szCs w:val="20"/>
              </w:rPr>
              <w:t xml:space="preserve"> pieds d’arbres seront abattus dont </w:t>
            </w:r>
            <w:r w:rsidR="00DD5846" w:rsidRPr="00D75D2E">
              <w:rPr>
                <w:rFonts w:ascii="Times New Roman" w:hAnsi="Times New Roman"/>
                <w:sz w:val="20"/>
                <w:szCs w:val="20"/>
              </w:rPr>
              <w:t>314 du domaine public et 815 du domaine privé</w:t>
            </w:r>
            <w:r w:rsidR="009F6978" w:rsidRPr="00D75D2E">
              <w:rPr>
                <w:rFonts w:ascii="Times New Roman" w:eastAsia="Times New Roman" w:hAnsi="Times New Roman"/>
                <w:bCs/>
                <w:sz w:val="20"/>
                <w:szCs w:val="20"/>
              </w:rPr>
              <w:t xml:space="preserve">). </w:t>
            </w:r>
          </w:p>
          <w:p w14:paraId="44831021" w14:textId="77777777" w:rsidR="00541E93" w:rsidRPr="00420C1B" w:rsidRDefault="00541E93" w:rsidP="00541E93">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Pour les arbres privés </w:t>
            </w:r>
            <w:r w:rsidRPr="00420C1B">
              <w:rPr>
                <w:rFonts w:ascii="Times New Roman" w:hAnsi="Times New Roman"/>
                <w:sz w:val="20"/>
                <w:szCs w:val="20"/>
              </w:rPr>
              <w:t>impactés, la majeure partie est constituée de manguier (367 pieds), d’avocatier (130 pieds), de palmier (73 pieds), de safoutier (47 pieds), d’eucalyptus (46 pieds), de pommiers (21 pieds), d’acacia (21 pieds).</w:t>
            </w:r>
          </w:p>
          <w:p w14:paraId="730EA9E9" w14:textId="77777777" w:rsidR="00ED17F3" w:rsidRPr="00D75D2E" w:rsidRDefault="00A2677A" w:rsidP="001A47FA">
            <w:pPr>
              <w:spacing w:after="0" w:line="240" w:lineRule="auto"/>
              <w:jc w:val="both"/>
              <w:rPr>
                <w:rFonts w:ascii="Times New Roman" w:eastAsia="Times New Roman" w:hAnsi="Times New Roman"/>
                <w:bCs/>
                <w:sz w:val="20"/>
                <w:szCs w:val="20"/>
              </w:rPr>
            </w:pPr>
            <w:r w:rsidRPr="00D75D2E">
              <w:rPr>
                <w:rFonts w:ascii="Times New Roman" w:hAnsi="Times New Roman"/>
                <w:sz w:val="20"/>
                <w:szCs w:val="20"/>
              </w:rPr>
              <w:t>Elle pourrait également entrainer une réduction du couvert végétal lors de l’extension des zones d’emprunt. Cet impact est d’intensité forte, d’une étendue ponctuelle et de durée permanente, et donc d’importance majeure.</w:t>
            </w:r>
            <w:r w:rsidRPr="00D75D2E">
              <w:rPr>
                <w:rFonts w:ascii="Times New Roman" w:eastAsia="Times New Roman" w:hAnsi="Times New Roman"/>
                <w:bCs/>
                <w:sz w:val="20"/>
                <w:szCs w:val="20"/>
              </w:rPr>
              <w:t xml:space="preserve"> </w:t>
            </w:r>
            <w:r w:rsidR="00ED17F3" w:rsidRPr="00D75D2E">
              <w:rPr>
                <w:rFonts w:ascii="Times New Roman" w:eastAsia="Times New Roman" w:hAnsi="Times New Roman"/>
                <w:bCs/>
                <w:sz w:val="20"/>
                <w:szCs w:val="20"/>
              </w:rPr>
              <w:t xml:space="preserve"> </w:t>
            </w:r>
          </w:p>
        </w:tc>
      </w:tr>
      <w:tr w:rsidR="00D75D2E" w:rsidRPr="00420C1B" w14:paraId="6F1ECFED" w14:textId="77777777" w:rsidTr="00215867">
        <w:trPr>
          <w:trHeight w:val="492"/>
          <w:jc w:val="center"/>
        </w:trPr>
        <w:tc>
          <w:tcPr>
            <w:tcW w:w="1870" w:type="pct"/>
            <w:gridSpan w:val="4"/>
            <w:tcBorders>
              <w:top w:val="single" w:sz="4" w:space="0" w:color="auto"/>
              <w:left w:val="single" w:sz="4" w:space="0" w:color="auto"/>
              <w:bottom w:val="single" w:sz="4" w:space="0" w:color="auto"/>
              <w:right w:val="single" w:sz="4" w:space="0" w:color="auto"/>
            </w:tcBorders>
            <w:hideMark/>
          </w:tcPr>
          <w:p w14:paraId="583A2DEC" w14:textId="77777777" w:rsidR="00ED17F3" w:rsidRPr="00D75D2E" w:rsidRDefault="00ED17F3" w:rsidP="001A47FA">
            <w:pPr>
              <w:spacing w:after="0" w:line="240" w:lineRule="auto"/>
              <w:jc w:val="both"/>
              <w:rPr>
                <w:rFonts w:ascii="Times New Roman" w:eastAsia="Times New Roman" w:hAnsi="Times New Roman"/>
                <w:sz w:val="20"/>
                <w:szCs w:val="20"/>
                <w:lang w:eastAsia="fr-FR"/>
              </w:rPr>
            </w:pPr>
            <w:r w:rsidRPr="00D75D2E">
              <w:rPr>
                <w:rFonts w:ascii="Times New Roman" w:hAnsi="Times New Roman"/>
                <w:b/>
                <w:sz w:val="20"/>
                <w:szCs w:val="20"/>
              </w:rPr>
              <w:t>Titre de la mesure d’atténuation</w:t>
            </w:r>
            <w:r w:rsidRPr="00D75D2E">
              <w:rPr>
                <w:rFonts w:ascii="Times New Roman" w:hAnsi="Times New Roman"/>
                <w:sz w:val="20"/>
                <w:szCs w:val="20"/>
              </w:rPr>
              <w:t xml:space="preserve"> : </w:t>
            </w:r>
          </w:p>
        </w:tc>
        <w:tc>
          <w:tcPr>
            <w:tcW w:w="3130" w:type="pct"/>
            <w:gridSpan w:val="10"/>
            <w:tcBorders>
              <w:top w:val="single" w:sz="4" w:space="0" w:color="auto"/>
              <w:left w:val="single" w:sz="4" w:space="0" w:color="auto"/>
              <w:bottom w:val="single" w:sz="4" w:space="0" w:color="auto"/>
              <w:right w:val="single" w:sz="4" w:space="0" w:color="auto"/>
            </w:tcBorders>
            <w:hideMark/>
          </w:tcPr>
          <w:p w14:paraId="4B008C9A" w14:textId="77777777" w:rsidR="00ED17F3" w:rsidRPr="00D75D2E" w:rsidRDefault="00ED17F3" w:rsidP="001A47FA">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 xml:space="preserve">Mise en œuvre d’un plan de reboisement en étroite collaboration avec les services en charge de l’environnement. </w:t>
            </w:r>
          </w:p>
        </w:tc>
      </w:tr>
      <w:tr w:rsidR="00D75D2E" w:rsidRPr="00420C1B" w14:paraId="77DA9989" w14:textId="77777777" w:rsidTr="00215867">
        <w:trPr>
          <w:trHeight w:val="1018"/>
          <w:jc w:val="center"/>
        </w:trPr>
        <w:tc>
          <w:tcPr>
            <w:tcW w:w="1870" w:type="pct"/>
            <w:gridSpan w:val="4"/>
            <w:tcBorders>
              <w:top w:val="single" w:sz="4" w:space="0" w:color="auto"/>
              <w:left w:val="single" w:sz="4" w:space="0" w:color="auto"/>
              <w:bottom w:val="single" w:sz="4" w:space="0" w:color="auto"/>
              <w:right w:val="single" w:sz="4" w:space="0" w:color="auto"/>
            </w:tcBorders>
            <w:hideMark/>
          </w:tcPr>
          <w:p w14:paraId="0C1BAB17" w14:textId="77777777" w:rsidR="00ED17F3" w:rsidRPr="00D75D2E" w:rsidRDefault="00ED17F3" w:rsidP="001A47FA">
            <w:pPr>
              <w:spacing w:after="0" w:line="240" w:lineRule="auto"/>
              <w:rPr>
                <w:rFonts w:ascii="Times New Roman" w:hAnsi="Times New Roman"/>
                <w:sz w:val="20"/>
                <w:szCs w:val="20"/>
              </w:rPr>
            </w:pPr>
            <w:r w:rsidRPr="00D75D2E">
              <w:rPr>
                <w:rFonts w:ascii="Times New Roman" w:hAnsi="Times New Roman"/>
                <w:b/>
                <w:sz w:val="20"/>
                <w:szCs w:val="20"/>
              </w:rPr>
              <w:t>Objectif de la mesure d’atténuation</w:t>
            </w:r>
            <w:r w:rsidRPr="00D75D2E">
              <w:rPr>
                <w:rFonts w:ascii="Times New Roman" w:hAnsi="Times New Roman"/>
                <w:sz w:val="20"/>
                <w:szCs w:val="20"/>
              </w:rPr>
              <w:t xml:space="preserve"> : </w:t>
            </w:r>
          </w:p>
          <w:p w14:paraId="1C7F4BBA" w14:textId="77777777" w:rsidR="00ED17F3" w:rsidRPr="00D75D2E" w:rsidRDefault="00ED17F3" w:rsidP="001A47FA">
            <w:pPr>
              <w:spacing w:after="0" w:line="240" w:lineRule="auto"/>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Indemniser et compenser</w:t>
            </w:r>
            <w:r w:rsidRPr="00D75D2E">
              <w:rPr>
                <w:rFonts w:ascii="Times New Roman" w:hAnsi="Times New Roman"/>
                <w:sz w:val="20"/>
                <w:szCs w:val="20"/>
              </w:rPr>
              <w:t xml:space="preserve"> la perte de végétation due aux travaux  </w:t>
            </w:r>
          </w:p>
        </w:tc>
        <w:tc>
          <w:tcPr>
            <w:tcW w:w="3130" w:type="pct"/>
            <w:gridSpan w:val="10"/>
            <w:tcBorders>
              <w:top w:val="single" w:sz="4" w:space="0" w:color="auto"/>
              <w:left w:val="single" w:sz="4" w:space="0" w:color="auto"/>
              <w:bottom w:val="single" w:sz="4" w:space="0" w:color="auto"/>
              <w:right w:val="single" w:sz="4" w:space="0" w:color="auto"/>
            </w:tcBorders>
            <w:hideMark/>
          </w:tcPr>
          <w:p w14:paraId="5A88E527" w14:textId="77777777" w:rsidR="00ED17F3" w:rsidRPr="00D75D2E" w:rsidRDefault="00ED17F3" w:rsidP="001A47FA">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50CBE70D" w14:textId="77777777" w:rsidR="00ED17F3" w:rsidRPr="00D75D2E" w:rsidRDefault="00ED17F3" w:rsidP="008C79F0">
            <w:pPr>
              <w:numPr>
                <w:ilvl w:val="0"/>
                <w:numId w:val="32"/>
              </w:numPr>
              <w:autoSpaceDE w:val="0"/>
              <w:autoSpaceDN w:val="0"/>
              <w:adjustRightInd w:val="0"/>
              <w:spacing w:after="0" w:line="240" w:lineRule="auto"/>
              <w:contextualSpacing/>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Comptabiliser les différentes coupes pour les indemnisations ;</w:t>
            </w:r>
          </w:p>
          <w:p w14:paraId="396BCE6A" w14:textId="77777777" w:rsidR="00ED17F3" w:rsidRPr="00D75D2E" w:rsidRDefault="00ED17F3" w:rsidP="008C79F0">
            <w:pPr>
              <w:numPr>
                <w:ilvl w:val="0"/>
                <w:numId w:val="32"/>
              </w:numPr>
              <w:autoSpaceDE w:val="0"/>
              <w:autoSpaceDN w:val="0"/>
              <w:adjustRightInd w:val="0"/>
              <w:spacing w:after="0" w:line="240" w:lineRule="auto"/>
              <w:contextualSpacing/>
              <w:rPr>
                <w:rFonts w:ascii="Times New Roman" w:eastAsia="Times New Roman" w:hAnsi="Times New Roman"/>
                <w:sz w:val="20"/>
                <w:szCs w:val="20"/>
                <w:lang w:eastAsia="fr-FR"/>
              </w:rPr>
            </w:pPr>
            <w:r w:rsidRPr="00D75D2E">
              <w:rPr>
                <w:rFonts w:ascii="Times New Roman" w:eastAsia="Times New Roman" w:hAnsi="Times New Roman"/>
                <w:sz w:val="20"/>
                <w:szCs w:val="20"/>
                <w:lang w:eastAsia="fr-FR"/>
              </w:rPr>
              <w:t>Réaliser un reboisement compensatoire (dans les zones d’érosion, aux abords des berges et le long des avenues, etc.)</w:t>
            </w:r>
          </w:p>
        </w:tc>
      </w:tr>
      <w:tr w:rsidR="00D75D2E" w:rsidRPr="00420C1B" w14:paraId="13252F91" w14:textId="77777777" w:rsidTr="00215867">
        <w:trPr>
          <w:trHeight w:val="250"/>
          <w:jc w:val="center"/>
        </w:trPr>
        <w:tc>
          <w:tcPr>
            <w:tcW w:w="1870" w:type="pct"/>
            <w:gridSpan w:val="4"/>
            <w:tcBorders>
              <w:top w:val="single" w:sz="4" w:space="0" w:color="auto"/>
              <w:left w:val="single" w:sz="4" w:space="0" w:color="auto"/>
              <w:bottom w:val="single" w:sz="4" w:space="0" w:color="auto"/>
              <w:right w:val="single" w:sz="4" w:space="0" w:color="auto"/>
            </w:tcBorders>
            <w:hideMark/>
          </w:tcPr>
          <w:p w14:paraId="18412597" w14:textId="77777777" w:rsidR="00ED17F3" w:rsidRPr="00D75D2E" w:rsidRDefault="00ED17F3" w:rsidP="001A47FA">
            <w:pPr>
              <w:spacing w:after="0" w:line="240" w:lineRule="auto"/>
              <w:jc w:val="right"/>
              <w:rPr>
                <w:rFonts w:ascii="Times New Roman" w:hAnsi="Times New Roman"/>
                <w:b/>
                <w:sz w:val="20"/>
                <w:szCs w:val="20"/>
              </w:rPr>
            </w:pPr>
            <w:r w:rsidRPr="00D75D2E">
              <w:rPr>
                <w:rFonts w:ascii="Times New Roman" w:hAnsi="Times New Roman"/>
                <w:b/>
                <w:sz w:val="20"/>
                <w:szCs w:val="20"/>
              </w:rPr>
              <w:t>Impact résiduel</w:t>
            </w:r>
          </w:p>
        </w:tc>
        <w:tc>
          <w:tcPr>
            <w:tcW w:w="1210" w:type="pct"/>
            <w:gridSpan w:val="5"/>
            <w:tcBorders>
              <w:top w:val="single" w:sz="4" w:space="0" w:color="auto"/>
              <w:left w:val="single" w:sz="4" w:space="0" w:color="auto"/>
              <w:bottom w:val="single" w:sz="4" w:space="0" w:color="auto"/>
              <w:right w:val="single" w:sz="4" w:space="0" w:color="auto"/>
            </w:tcBorders>
            <w:hideMark/>
          </w:tcPr>
          <w:p w14:paraId="164BDF69" w14:textId="77777777" w:rsidR="00ED17F3" w:rsidRPr="00D75D2E" w:rsidRDefault="00ED17F3" w:rsidP="001A47FA">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c>
          <w:tcPr>
            <w:tcW w:w="1920" w:type="pct"/>
            <w:gridSpan w:val="5"/>
            <w:tcBorders>
              <w:top w:val="single" w:sz="4" w:space="0" w:color="auto"/>
              <w:left w:val="single" w:sz="4" w:space="0" w:color="auto"/>
              <w:bottom w:val="single" w:sz="4" w:space="0" w:color="auto"/>
              <w:right w:val="single" w:sz="4" w:space="0" w:color="auto"/>
            </w:tcBorders>
          </w:tcPr>
          <w:p w14:paraId="77C6728B" w14:textId="77777777" w:rsidR="00ED17F3" w:rsidRPr="00D75D2E" w:rsidRDefault="00ED17F3" w:rsidP="001A47FA">
            <w:pPr>
              <w:autoSpaceDE w:val="0"/>
              <w:autoSpaceDN w:val="0"/>
              <w:adjustRightInd w:val="0"/>
              <w:spacing w:after="0" w:line="240" w:lineRule="auto"/>
              <w:rPr>
                <w:rFonts w:ascii="Times New Roman" w:hAnsi="Times New Roman"/>
                <w:sz w:val="20"/>
                <w:szCs w:val="20"/>
                <w:u w:val="single"/>
              </w:rPr>
            </w:pPr>
          </w:p>
        </w:tc>
      </w:tr>
      <w:tr w:rsidR="00D75D2E" w:rsidRPr="00420C1B" w14:paraId="46D3EE0C" w14:textId="77777777" w:rsidTr="00215867">
        <w:trPr>
          <w:trHeight w:val="545"/>
          <w:jc w:val="center"/>
        </w:trPr>
        <w:tc>
          <w:tcPr>
            <w:tcW w:w="1870" w:type="pct"/>
            <w:gridSpan w:val="4"/>
            <w:tcBorders>
              <w:top w:val="single" w:sz="4" w:space="0" w:color="auto"/>
              <w:left w:val="single" w:sz="4" w:space="0" w:color="auto"/>
              <w:bottom w:val="single" w:sz="4" w:space="0" w:color="auto"/>
              <w:right w:val="single" w:sz="4" w:space="0" w:color="auto"/>
            </w:tcBorders>
            <w:hideMark/>
          </w:tcPr>
          <w:p w14:paraId="149E84E7" w14:textId="77777777" w:rsidR="00C86B57" w:rsidRPr="00D75D2E" w:rsidRDefault="00C86B57" w:rsidP="001A47FA">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205D4060" w14:textId="77777777" w:rsidR="00C86B57" w:rsidRPr="00D75D2E"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347B6E07" w14:textId="77777777" w:rsidR="00C86B57" w:rsidRPr="00D75D2E"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Agence Congolaise de l’Environnement (ACE) ;</w:t>
            </w:r>
          </w:p>
          <w:p w14:paraId="7E38E37F" w14:textId="77777777" w:rsidR="00C86B57" w:rsidRPr="00D75D2E"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Bureau Urbain de l’Environnement (BUE) </w:t>
            </w:r>
          </w:p>
        </w:tc>
        <w:tc>
          <w:tcPr>
            <w:tcW w:w="2168" w:type="pct"/>
            <w:gridSpan w:val="9"/>
            <w:tcBorders>
              <w:top w:val="single" w:sz="4" w:space="0" w:color="auto"/>
              <w:left w:val="single" w:sz="4" w:space="0" w:color="auto"/>
              <w:bottom w:val="single" w:sz="4" w:space="0" w:color="auto"/>
              <w:right w:val="single" w:sz="4" w:space="0" w:color="auto"/>
            </w:tcBorders>
            <w:hideMark/>
          </w:tcPr>
          <w:p w14:paraId="677C80FC" w14:textId="77777777" w:rsidR="00C86B57" w:rsidRPr="00D75D2E" w:rsidRDefault="00C86B57" w:rsidP="001A47FA">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2E6D3B82" w14:textId="77777777" w:rsidR="00C86B57" w:rsidRPr="00D75D2E"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Cellule Provinciale de l’Environnement (CPE) ;</w:t>
            </w:r>
          </w:p>
          <w:p w14:paraId="2F90BCA6" w14:textId="77777777" w:rsidR="00C86B57" w:rsidRPr="00D75D2E"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Sous Cellule environnementale et sociale de l’UCM (SCES/UCM)</w:t>
            </w:r>
          </w:p>
          <w:p w14:paraId="5EA1FEA6" w14:textId="77777777" w:rsidR="00C86B57" w:rsidRPr="00D75D2E" w:rsidRDefault="00C86B57"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D75D2E">
              <w:rPr>
                <w:rFonts w:ascii="Times New Roman" w:hAnsi="Times New Roman"/>
                <w:sz w:val="20"/>
                <w:szCs w:val="20"/>
              </w:rPr>
              <w:t xml:space="preserve">Service environnement des communes concernées </w:t>
            </w:r>
          </w:p>
        </w:tc>
        <w:tc>
          <w:tcPr>
            <w:tcW w:w="962" w:type="pct"/>
            <w:tcBorders>
              <w:top w:val="single" w:sz="4" w:space="0" w:color="auto"/>
              <w:left w:val="single" w:sz="4" w:space="0" w:color="auto"/>
              <w:bottom w:val="single" w:sz="4" w:space="0" w:color="auto"/>
              <w:right w:val="single" w:sz="4" w:space="0" w:color="auto"/>
            </w:tcBorders>
            <w:hideMark/>
          </w:tcPr>
          <w:p w14:paraId="07B3180D" w14:textId="77777777" w:rsidR="00C86B57" w:rsidRPr="00D75D2E" w:rsidRDefault="00C86B57" w:rsidP="001A47FA">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7CAE53DB" w14:textId="77777777" w:rsidR="00C86B57" w:rsidRPr="00D75D2E" w:rsidRDefault="00C86B57"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D75D2E">
              <w:rPr>
                <w:rFonts w:ascii="Times New Roman" w:hAnsi="Times New Roman"/>
                <w:sz w:val="20"/>
                <w:szCs w:val="20"/>
              </w:rPr>
              <w:t>Au moins 80 % de réussite des arbres plantés</w:t>
            </w:r>
          </w:p>
        </w:tc>
      </w:tr>
      <w:tr w:rsidR="00D75D2E" w:rsidRPr="00420C1B" w14:paraId="452C5BE8" w14:textId="77777777" w:rsidTr="00215867">
        <w:trPr>
          <w:trHeight w:val="164"/>
          <w:jc w:val="center"/>
        </w:trPr>
        <w:tc>
          <w:tcPr>
            <w:tcW w:w="838" w:type="pct"/>
            <w:tcBorders>
              <w:top w:val="single" w:sz="4" w:space="0" w:color="auto"/>
              <w:left w:val="single" w:sz="4" w:space="0" w:color="auto"/>
              <w:bottom w:val="single" w:sz="4" w:space="0" w:color="auto"/>
              <w:right w:val="single" w:sz="4" w:space="0" w:color="auto"/>
            </w:tcBorders>
            <w:hideMark/>
          </w:tcPr>
          <w:p w14:paraId="4B601501" w14:textId="77777777" w:rsidR="00ED17F3" w:rsidRPr="00D75D2E" w:rsidRDefault="00ED17F3" w:rsidP="001A47FA">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510" w:type="pct"/>
            <w:tcBorders>
              <w:top w:val="single" w:sz="4" w:space="0" w:color="auto"/>
              <w:left w:val="single" w:sz="4" w:space="0" w:color="auto"/>
              <w:bottom w:val="single" w:sz="4" w:space="0" w:color="auto"/>
              <w:right w:val="single" w:sz="4" w:space="0" w:color="auto"/>
            </w:tcBorders>
            <w:hideMark/>
          </w:tcPr>
          <w:p w14:paraId="4012AE9D" w14:textId="77777777" w:rsidR="00ED17F3" w:rsidRPr="00D75D2E" w:rsidRDefault="00ED17F3" w:rsidP="001A47FA">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522" w:type="pct"/>
            <w:gridSpan w:val="2"/>
            <w:tcBorders>
              <w:top w:val="single" w:sz="4" w:space="0" w:color="auto"/>
              <w:left w:val="single" w:sz="4" w:space="0" w:color="auto"/>
              <w:bottom w:val="single" w:sz="4" w:space="0" w:color="auto"/>
              <w:right w:val="single" w:sz="4" w:space="0" w:color="auto"/>
            </w:tcBorders>
          </w:tcPr>
          <w:p w14:paraId="27C1A26A" w14:textId="77777777" w:rsidR="00ED17F3" w:rsidRPr="00D75D2E" w:rsidRDefault="00ED17F3" w:rsidP="00A3093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698" w:type="pct"/>
            <w:gridSpan w:val="4"/>
            <w:tcBorders>
              <w:top w:val="single" w:sz="4" w:space="0" w:color="auto"/>
              <w:left w:val="single" w:sz="4" w:space="0" w:color="auto"/>
              <w:bottom w:val="single" w:sz="4" w:space="0" w:color="auto"/>
              <w:right w:val="single" w:sz="4" w:space="0" w:color="auto"/>
            </w:tcBorders>
          </w:tcPr>
          <w:p w14:paraId="4A808D21" w14:textId="77777777" w:rsidR="00ED17F3" w:rsidRPr="00D75D2E" w:rsidRDefault="00ED17F3" w:rsidP="00A3093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12" w:type="pct"/>
            <w:tcBorders>
              <w:top w:val="single" w:sz="4" w:space="0" w:color="auto"/>
              <w:left w:val="single" w:sz="4" w:space="0" w:color="auto"/>
              <w:bottom w:val="single" w:sz="4" w:space="0" w:color="auto"/>
              <w:right w:val="single" w:sz="4" w:space="0" w:color="auto"/>
            </w:tcBorders>
          </w:tcPr>
          <w:p w14:paraId="40B315E9" w14:textId="77777777" w:rsidR="00ED17F3" w:rsidRPr="00D75D2E" w:rsidRDefault="00ED17F3" w:rsidP="00A3093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393" w:type="pct"/>
            <w:gridSpan w:val="2"/>
            <w:tcBorders>
              <w:top w:val="single" w:sz="4" w:space="0" w:color="auto"/>
              <w:left w:val="single" w:sz="4" w:space="0" w:color="auto"/>
              <w:bottom w:val="single" w:sz="4" w:space="0" w:color="auto"/>
              <w:right w:val="single" w:sz="4" w:space="0" w:color="auto"/>
            </w:tcBorders>
          </w:tcPr>
          <w:p w14:paraId="315C6D34" w14:textId="77777777" w:rsidR="00ED17F3" w:rsidRPr="00D75D2E" w:rsidRDefault="00ED17F3" w:rsidP="00A3093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565" w:type="pct"/>
            <w:gridSpan w:val="2"/>
            <w:tcBorders>
              <w:top w:val="single" w:sz="4" w:space="0" w:color="auto"/>
              <w:left w:val="single" w:sz="4" w:space="0" w:color="auto"/>
              <w:bottom w:val="single" w:sz="4" w:space="0" w:color="auto"/>
              <w:right w:val="single" w:sz="4" w:space="0" w:color="auto"/>
            </w:tcBorders>
            <w:hideMark/>
          </w:tcPr>
          <w:p w14:paraId="41D62A66" w14:textId="77777777" w:rsidR="00ED17F3" w:rsidRPr="00D75D2E" w:rsidRDefault="00ED17F3" w:rsidP="001A47FA">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 total</w:t>
            </w:r>
          </w:p>
        </w:tc>
        <w:tc>
          <w:tcPr>
            <w:tcW w:w="962" w:type="pct"/>
            <w:tcBorders>
              <w:top w:val="single" w:sz="4" w:space="0" w:color="auto"/>
              <w:left w:val="single" w:sz="4" w:space="0" w:color="auto"/>
              <w:bottom w:val="single" w:sz="4" w:space="0" w:color="auto"/>
              <w:right w:val="single" w:sz="4" w:space="0" w:color="auto"/>
            </w:tcBorders>
            <w:hideMark/>
          </w:tcPr>
          <w:p w14:paraId="502561F9" w14:textId="77777777" w:rsidR="00ED17F3" w:rsidRPr="00D75D2E" w:rsidRDefault="00ED17F3" w:rsidP="001A47FA">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Calendrier de mise en œuvre</w:t>
            </w:r>
          </w:p>
        </w:tc>
      </w:tr>
      <w:tr w:rsidR="00D75D2E" w:rsidRPr="00420C1B" w14:paraId="4FC6C2CE" w14:textId="77777777" w:rsidTr="00215867">
        <w:trPr>
          <w:trHeight w:val="185"/>
          <w:jc w:val="center"/>
        </w:trPr>
        <w:tc>
          <w:tcPr>
            <w:tcW w:w="838" w:type="pct"/>
            <w:tcBorders>
              <w:top w:val="single" w:sz="4" w:space="0" w:color="auto"/>
              <w:left w:val="single" w:sz="4" w:space="0" w:color="auto"/>
              <w:bottom w:val="single" w:sz="4" w:space="0" w:color="auto"/>
              <w:right w:val="single" w:sz="4" w:space="0" w:color="auto"/>
            </w:tcBorders>
            <w:hideMark/>
          </w:tcPr>
          <w:p w14:paraId="51CEB3F0" w14:textId="77777777" w:rsidR="00ED17F3" w:rsidRPr="00420C1B" w:rsidRDefault="00ED17F3" w:rsidP="001A47FA">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510" w:type="pct"/>
            <w:tcBorders>
              <w:top w:val="single" w:sz="4" w:space="0" w:color="auto"/>
              <w:left w:val="single" w:sz="4" w:space="0" w:color="auto"/>
              <w:bottom w:val="single" w:sz="4" w:space="0" w:color="auto"/>
              <w:right w:val="single" w:sz="4" w:space="0" w:color="auto"/>
            </w:tcBorders>
            <w:hideMark/>
          </w:tcPr>
          <w:p w14:paraId="01D9E42B" w14:textId="77777777" w:rsidR="00ED17F3" w:rsidRPr="00420C1B" w:rsidRDefault="00ED17F3" w:rsidP="001A47FA">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522" w:type="pct"/>
            <w:gridSpan w:val="2"/>
            <w:tcBorders>
              <w:top w:val="single" w:sz="4" w:space="0" w:color="auto"/>
              <w:left w:val="single" w:sz="4" w:space="0" w:color="auto"/>
              <w:bottom w:val="single" w:sz="4" w:space="0" w:color="auto"/>
              <w:right w:val="single" w:sz="4" w:space="0" w:color="auto"/>
            </w:tcBorders>
            <w:shd w:val="clear" w:color="auto" w:fill="auto"/>
            <w:hideMark/>
          </w:tcPr>
          <w:p w14:paraId="1F130144" w14:textId="77777777" w:rsidR="00ED17F3" w:rsidRPr="00420C1B" w:rsidRDefault="00233587" w:rsidP="001A47FA">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8"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2457A9" w14:textId="77777777" w:rsidR="00ED17F3" w:rsidRPr="00420C1B" w:rsidRDefault="00C5724E" w:rsidP="001A47FA">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w:t>
            </w:r>
            <w:r w:rsidR="00233587" w:rsidRPr="00420C1B">
              <w:rPr>
                <w:rFonts w:ascii="Times New Roman" w:hAnsi="Times New Roman"/>
                <w:sz w:val="20"/>
                <w:szCs w:val="20"/>
              </w:rPr>
              <w:t>0</w:t>
            </w:r>
          </w:p>
        </w:tc>
        <w:tc>
          <w:tcPr>
            <w:tcW w:w="512" w:type="pct"/>
            <w:tcBorders>
              <w:top w:val="single" w:sz="4" w:space="0" w:color="auto"/>
              <w:left w:val="single" w:sz="4" w:space="0" w:color="auto"/>
              <w:bottom w:val="single" w:sz="4" w:space="0" w:color="auto"/>
              <w:right w:val="single" w:sz="4" w:space="0" w:color="auto"/>
            </w:tcBorders>
            <w:shd w:val="clear" w:color="auto" w:fill="auto"/>
          </w:tcPr>
          <w:p w14:paraId="0843C397" w14:textId="77777777" w:rsidR="00ED17F3" w:rsidRPr="00420C1B" w:rsidRDefault="00ED17F3" w:rsidP="001A47FA">
            <w:pPr>
              <w:autoSpaceDE w:val="0"/>
              <w:autoSpaceDN w:val="0"/>
              <w:adjustRightInd w:val="0"/>
              <w:spacing w:after="0" w:line="240" w:lineRule="auto"/>
              <w:jc w:val="center"/>
              <w:rPr>
                <w:rFonts w:ascii="Times New Roman" w:hAnsi="Times New Roman"/>
                <w:sz w:val="20"/>
                <w:szCs w:val="20"/>
              </w:rPr>
            </w:pP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hideMark/>
          </w:tcPr>
          <w:p w14:paraId="2AB33F7D" w14:textId="77777777" w:rsidR="00ED17F3" w:rsidRPr="00420C1B" w:rsidRDefault="00C5724E" w:rsidP="001A47FA">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w:t>
            </w:r>
            <w:r w:rsidR="00233587" w:rsidRPr="00420C1B">
              <w:rPr>
                <w:rFonts w:ascii="Times New Roman" w:hAnsi="Times New Roman"/>
                <w:sz w:val="20"/>
                <w:szCs w:val="20"/>
              </w:rPr>
              <w:t>0000</w:t>
            </w:r>
          </w:p>
        </w:tc>
        <w:tc>
          <w:tcPr>
            <w:tcW w:w="56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976AC3" w14:textId="77777777" w:rsidR="00ED17F3" w:rsidRPr="00420C1B" w:rsidRDefault="00C5724E" w:rsidP="001A47FA">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w:t>
            </w:r>
            <w:r w:rsidR="00233587" w:rsidRPr="00420C1B">
              <w:rPr>
                <w:rFonts w:ascii="Times New Roman" w:hAnsi="Times New Roman"/>
                <w:sz w:val="20"/>
                <w:szCs w:val="20"/>
              </w:rPr>
              <w:t>0000</w:t>
            </w:r>
          </w:p>
        </w:tc>
        <w:tc>
          <w:tcPr>
            <w:tcW w:w="962" w:type="pct"/>
            <w:tcBorders>
              <w:top w:val="single" w:sz="4" w:space="0" w:color="auto"/>
              <w:left w:val="single" w:sz="4" w:space="0" w:color="auto"/>
              <w:bottom w:val="single" w:sz="4" w:space="0" w:color="auto"/>
              <w:right w:val="single" w:sz="4" w:space="0" w:color="auto"/>
            </w:tcBorders>
            <w:hideMark/>
          </w:tcPr>
          <w:p w14:paraId="00E79834" w14:textId="77777777" w:rsidR="00ED17F3" w:rsidRPr="00420C1B" w:rsidRDefault="00ED17F3" w:rsidP="001A47FA">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Pendant et après les travaux</w:t>
            </w:r>
          </w:p>
        </w:tc>
      </w:tr>
    </w:tbl>
    <w:p w14:paraId="7BF610EA" w14:textId="77777777" w:rsidR="00936EA1" w:rsidRDefault="00936EA1" w:rsidP="00E737B4">
      <w:pPr>
        <w:keepNext/>
        <w:spacing w:after="120" w:line="240" w:lineRule="auto"/>
        <w:rPr>
          <w:rFonts w:ascii="Times New Roman" w:hAnsi="Times New Roman"/>
          <w:iCs/>
          <w:szCs w:val="18"/>
        </w:rPr>
      </w:pPr>
      <w:bookmarkStart w:id="597" w:name="_Toc519048929"/>
      <w:bookmarkEnd w:id="596"/>
    </w:p>
    <w:p w14:paraId="00360950" w14:textId="3F6757C6" w:rsidR="00ED17F3" w:rsidRPr="00E737B4" w:rsidRDefault="00ED17F3" w:rsidP="00215867">
      <w:pPr>
        <w:rPr>
          <w:rFonts w:ascii="Times New Roman" w:hAnsi="Times New Roman"/>
          <w:iCs/>
          <w:sz w:val="24"/>
          <w:szCs w:val="18"/>
        </w:rPr>
      </w:pPr>
      <w:bookmarkStart w:id="598" w:name="_Toc93050286"/>
      <w:r w:rsidRPr="00E737B4">
        <w:rPr>
          <w:rFonts w:ascii="Times New Roman" w:hAnsi="Times New Roman"/>
          <w:iCs/>
          <w:sz w:val="24"/>
          <w:szCs w:val="18"/>
        </w:rPr>
        <w:t xml:space="preserve">Tableau </w:t>
      </w:r>
      <w:r w:rsidRPr="00E737B4">
        <w:rPr>
          <w:rFonts w:ascii="Times New Roman" w:hAnsi="Times New Roman"/>
          <w:iCs/>
          <w:sz w:val="24"/>
          <w:szCs w:val="18"/>
        </w:rPr>
        <w:fldChar w:fldCharType="begin"/>
      </w:r>
      <w:r w:rsidRPr="00E737B4">
        <w:rPr>
          <w:rFonts w:ascii="Times New Roman" w:hAnsi="Times New Roman"/>
          <w:iCs/>
          <w:sz w:val="24"/>
          <w:szCs w:val="18"/>
        </w:rPr>
        <w:instrText xml:space="preserve"> SEQ Tableau \* ARABIC </w:instrText>
      </w:r>
      <w:r w:rsidRPr="00E737B4">
        <w:rPr>
          <w:rFonts w:ascii="Times New Roman" w:hAnsi="Times New Roman"/>
          <w:iCs/>
          <w:sz w:val="24"/>
          <w:szCs w:val="18"/>
        </w:rPr>
        <w:fldChar w:fldCharType="separate"/>
      </w:r>
      <w:r w:rsidR="00E732DD">
        <w:rPr>
          <w:rFonts w:ascii="Times New Roman" w:hAnsi="Times New Roman"/>
          <w:iCs/>
          <w:noProof/>
          <w:sz w:val="24"/>
          <w:szCs w:val="18"/>
        </w:rPr>
        <w:t>24</w:t>
      </w:r>
      <w:r w:rsidRPr="00E737B4">
        <w:rPr>
          <w:rFonts w:ascii="Times New Roman" w:hAnsi="Times New Roman"/>
          <w:iCs/>
          <w:noProof/>
          <w:sz w:val="24"/>
          <w:szCs w:val="18"/>
        </w:rPr>
        <w:fldChar w:fldCharType="end"/>
      </w:r>
      <w:r w:rsidRPr="00E737B4">
        <w:rPr>
          <w:rFonts w:ascii="Times New Roman" w:hAnsi="Times New Roman"/>
          <w:iCs/>
          <w:sz w:val="24"/>
          <w:szCs w:val="18"/>
        </w:rPr>
        <w:t xml:space="preserve"> : Fiche de déclaration d’Impact – </w:t>
      </w:r>
      <w:r w:rsidRPr="00E737B4">
        <w:rPr>
          <w:rFonts w:ascii="Times New Roman" w:hAnsi="Times New Roman"/>
          <w:b/>
          <w:iCs/>
          <w:sz w:val="24"/>
          <w:szCs w:val="18"/>
        </w:rPr>
        <w:t>Code 02</w:t>
      </w:r>
      <w:bookmarkEnd w:id="598"/>
    </w:p>
    <w:tbl>
      <w:tblPr>
        <w:tblW w:w="9771" w:type="dxa"/>
        <w:jc w:val="center"/>
        <w:tblLook w:val="04A0" w:firstRow="1" w:lastRow="0" w:firstColumn="1" w:lastColumn="0" w:noHBand="0" w:noVBand="1"/>
      </w:tblPr>
      <w:tblGrid>
        <w:gridCol w:w="1771"/>
        <w:gridCol w:w="839"/>
        <w:gridCol w:w="914"/>
        <w:gridCol w:w="101"/>
        <w:gridCol w:w="1105"/>
        <w:gridCol w:w="834"/>
        <w:gridCol w:w="71"/>
        <w:gridCol w:w="1071"/>
        <w:gridCol w:w="1157"/>
        <w:gridCol w:w="119"/>
        <w:gridCol w:w="728"/>
        <w:gridCol w:w="1061"/>
      </w:tblGrid>
      <w:tr w:rsidR="00D75D2E" w:rsidRPr="00420C1B" w14:paraId="1D040A9F" w14:textId="77777777" w:rsidTr="00E737B4">
        <w:trPr>
          <w:trHeight w:val="250"/>
          <w:tblHeader/>
          <w:jc w:val="center"/>
        </w:trPr>
        <w:tc>
          <w:tcPr>
            <w:tcW w:w="1831" w:type="dxa"/>
            <w:tcBorders>
              <w:top w:val="single" w:sz="4" w:space="0" w:color="auto"/>
              <w:left w:val="single" w:sz="4" w:space="0" w:color="auto"/>
              <w:bottom w:val="single" w:sz="4" w:space="0" w:color="auto"/>
              <w:right w:val="single" w:sz="4" w:space="0" w:color="auto"/>
            </w:tcBorders>
            <w:shd w:val="clear" w:color="auto" w:fill="92D050"/>
            <w:hideMark/>
          </w:tcPr>
          <w:bookmarkEnd w:id="597"/>
          <w:p w14:paraId="340FF3F7" w14:textId="77777777" w:rsidR="00ED17F3" w:rsidRPr="00D75D2E" w:rsidRDefault="00ED17F3" w:rsidP="007108ED">
            <w:pPr>
              <w:spacing w:after="0" w:line="240" w:lineRule="auto"/>
              <w:jc w:val="center"/>
              <w:rPr>
                <w:rFonts w:ascii="Times New Roman" w:hAnsi="Times New Roman"/>
                <w:b/>
                <w:sz w:val="20"/>
                <w:szCs w:val="20"/>
              </w:rPr>
            </w:pPr>
            <w:r w:rsidRPr="00D75D2E">
              <w:rPr>
                <w:rFonts w:ascii="Times New Roman" w:hAnsi="Times New Roman"/>
                <w:b/>
                <w:sz w:val="20"/>
                <w:szCs w:val="20"/>
              </w:rPr>
              <w:t>COMPOSANTE</w:t>
            </w:r>
          </w:p>
        </w:tc>
        <w:tc>
          <w:tcPr>
            <w:tcW w:w="3880" w:type="dxa"/>
            <w:gridSpan w:val="6"/>
            <w:tcBorders>
              <w:top w:val="single" w:sz="4" w:space="0" w:color="auto"/>
              <w:left w:val="single" w:sz="4" w:space="0" w:color="auto"/>
              <w:bottom w:val="single" w:sz="4" w:space="0" w:color="auto"/>
              <w:right w:val="single" w:sz="4" w:space="0" w:color="auto"/>
            </w:tcBorders>
            <w:shd w:val="clear" w:color="auto" w:fill="92D050"/>
            <w:hideMark/>
          </w:tcPr>
          <w:p w14:paraId="630F2385" w14:textId="77777777" w:rsidR="00ED17F3" w:rsidRPr="00D75D2E" w:rsidRDefault="00ED17F3" w:rsidP="007108ED">
            <w:pPr>
              <w:spacing w:after="0" w:line="240" w:lineRule="auto"/>
              <w:jc w:val="center"/>
              <w:rPr>
                <w:rFonts w:ascii="Times New Roman" w:hAnsi="Times New Roman"/>
                <w:b/>
                <w:sz w:val="20"/>
                <w:szCs w:val="20"/>
              </w:rPr>
            </w:pPr>
            <w:r w:rsidRPr="00D75D2E">
              <w:rPr>
                <w:rFonts w:ascii="Times New Roman" w:hAnsi="Times New Roman"/>
                <w:b/>
                <w:sz w:val="20"/>
                <w:szCs w:val="20"/>
              </w:rPr>
              <w:t>Faune</w:t>
            </w:r>
          </w:p>
        </w:tc>
        <w:tc>
          <w:tcPr>
            <w:tcW w:w="1121" w:type="dxa"/>
            <w:tcBorders>
              <w:top w:val="single" w:sz="4" w:space="0" w:color="auto"/>
              <w:left w:val="single" w:sz="4" w:space="0" w:color="auto"/>
              <w:bottom w:val="single" w:sz="4" w:space="0" w:color="auto"/>
              <w:right w:val="single" w:sz="4" w:space="0" w:color="auto"/>
            </w:tcBorders>
            <w:shd w:val="clear" w:color="auto" w:fill="92D050"/>
            <w:hideMark/>
          </w:tcPr>
          <w:p w14:paraId="56D296E8" w14:textId="77777777" w:rsidR="00ED17F3" w:rsidRPr="00D75D2E" w:rsidRDefault="00ED17F3" w:rsidP="007108ED">
            <w:pPr>
              <w:spacing w:after="0" w:line="240" w:lineRule="auto"/>
              <w:jc w:val="center"/>
              <w:rPr>
                <w:rFonts w:ascii="Times New Roman" w:hAnsi="Times New Roman"/>
                <w:b/>
                <w:sz w:val="20"/>
                <w:szCs w:val="20"/>
              </w:rPr>
            </w:pPr>
            <w:r w:rsidRPr="00D75D2E">
              <w:rPr>
                <w:rFonts w:ascii="Times New Roman" w:hAnsi="Times New Roman"/>
                <w:b/>
                <w:sz w:val="20"/>
                <w:szCs w:val="20"/>
              </w:rPr>
              <w:t>PHASE</w:t>
            </w:r>
          </w:p>
        </w:tc>
        <w:tc>
          <w:tcPr>
            <w:tcW w:w="2939"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67F42A34" w14:textId="77777777" w:rsidR="00ED17F3" w:rsidRPr="00D75D2E" w:rsidRDefault="00ED17F3" w:rsidP="007108ED">
            <w:pPr>
              <w:spacing w:after="0" w:line="240" w:lineRule="auto"/>
              <w:jc w:val="center"/>
              <w:rPr>
                <w:rFonts w:ascii="Times New Roman" w:hAnsi="Times New Roman"/>
                <w:sz w:val="20"/>
                <w:szCs w:val="20"/>
              </w:rPr>
            </w:pPr>
            <w:r w:rsidRPr="00D75D2E">
              <w:rPr>
                <w:rFonts w:ascii="Times New Roman" w:hAnsi="Times New Roman"/>
                <w:sz w:val="20"/>
                <w:szCs w:val="20"/>
              </w:rPr>
              <w:t>Construction</w:t>
            </w:r>
          </w:p>
        </w:tc>
      </w:tr>
      <w:tr w:rsidR="00D75D2E" w:rsidRPr="00420C1B" w14:paraId="0F6DE662" w14:textId="77777777" w:rsidTr="00E737B4">
        <w:trPr>
          <w:trHeight w:val="375"/>
          <w:jc w:val="center"/>
        </w:trPr>
        <w:tc>
          <w:tcPr>
            <w:tcW w:w="1831" w:type="dxa"/>
            <w:vMerge w:val="restart"/>
            <w:tcBorders>
              <w:top w:val="single" w:sz="4" w:space="0" w:color="auto"/>
              <w:left w:val="single" w:sz="4" w:space="0" w:color="auto"/>
              <w:right w:val="single" w:sz="4" w:space="0" w:color="auto"/>
            </w:tcBorders>
          </w:tcPr>
          <w:p w14:paraId="3F1847A9" w14:textId="77777777" w:rsidR="00ED17F3" w:rsidRPr="00D75D2E" w:rsidRDefault="00ED17F3" w:rsidP="007108ED">
            <w:pPr>
              <w:spacing w:after="0" w:line="240" w:lineRule="auto"/>
              <w:rPr>
                <w:rFonts w:ascii="Times New Roman" w:hAnsi="Times New Roman"/>
                <w:b/>
                <w:sz w:val="20"/>
                <w:szCs w:val="20"/>
              </w:rPr>
            </w:pPr>
            <w:r w:rsidRPr="00D75D2E">
              <w:rPr>
                <w:rFonts w:ascii="Times New Roman" w:hAnsi="Times New Roman"/>
                <w:b/>
                <w:sz w:val="20"/>
                <w:szCs w:val="20"/>
              </w:rPr>
              <w:t>Code 02</w:t>
            </w:r>
          </w:p>
        </w:tc>
        <w:tc>
          <w:tcPr>
            <w:tcW w:w="7940" w:type="dxa"/>
            <w:gridSpan w:val="11"/>
            <w:tcBorders>
              <w:top w:val="single" w:sz="4" w:space="0" w:color="auto"/>
              <w:left w:val="single" w:sz="4" w:space="0" w:color="auto"/>
              <w:bottom w:val="single" w:sz="4" w:space="0" w:color="auto"/>
              <w:right w:val="single" w:sz="4" w:space="0" w:color="auto"/>
            </w:tcBorders>
          </w:tcPr>
          <w:p w14:paraId="2181E654" w14:textId="77777777" w:rsidR="00ED17F3" w:rsidRPr="00D75D2E" w:rsidRDefault="00ED17F3" w:rsidP="007108ED">
            <w:pPr>
              <w:autoSpaceDE w:val="0"/>
              <w:autoSpaceDN w:val="0"/>
              <w:adjustRightInd w:val="0"/>
              <w:spacing w:after="0" w:line="240" w:lineRule="auto"/>
              <w:jc w:val="both"/>
              <w:rPr>
                <w:rFonts w:ascii="Times New Roman" w:hAnsi="Times New Roman"/>
                <w:b/>
                <w:sz w:val="20"/>
                <w:szCs w:val="20"/>
              </w:rPr>
            </w:pPr>
            <w:r w:rsidRPr="00D75D2E">
              <w:rPr>
                <w:rFonts w:ascii="Times New Roman" w:hAnsi="Times New Roman"/>
                <w:b/>
                <w:sz w:val="20"/>
                <w:szCs w:val="20"/>
              </w:rPr>
              <w:t>Source d’impact :</w:t>
            </w:r>
            <w:r w:rsidRPr="00D75D2E">
              <w:rPr>
                <w:rFonts w:ascii="Times New Roman" w:hAnsi="Times New Roman"/>
                <w:sz w:val="20"/>
                <w:szCs w:val="20"/>
              </w:rPr>
              <w:t xml:space="preserve"> Abatage ou élagage des arbres lors de la mise en place de poteaux et cabines</w:t>
            </w:r>
          </w:p>
        </w:tc>
      </w:tr>
      <w:tr w:rsidR="00D75D2E" w:rsidRPr="00420C1B" w14:paraId="5BA70A7E" w14:textId="77777777" w:rsidTr="00E737B4">
        <w:trPr>
          <w:trHeight w:val="375"/>
          <w:jc w:val="center"/>
        </w:trPr>
        <w:tc>
          <w:tcPr>
            <w:tcW w:w="1831" w:type="dxa"/>
            <w:vMerge/>
            <w:tcBorders>
              <w:left w:val="single" w:sz="4" w:space="0" w:color="auto"/>
              <w:bottom w:val="single" w:sz="4" w:space="0" w:color="auto"/>
              <w:right w:val="single" w:sz="4" w:space="0" w:color="auto"/>
            </w:tcBorders>
            <w:hideMark/>
          </w:tcPr>
          <w:p w14:paraId="062BE41E" w14:textId="77777777" w:rsidR="00ED17F3" w:rsidRPr="00D75D2E" w:rsidRDefault="00ED17F3" w:rsidP="007108ED">
            <w:pPr>
              <w:spacing w:after="0" w:line="240" w:lineRule="auto"/>
              <w:rPr>
                <w:rFonts w:ascii="Times New Roman" w:hAnsi="Times New Roman"/>
                <w:b/>
                <w:sz w:val="20"/>
                <w:szCs w:val="20"/>
              </w:rPr>
            </w:pPr>
          </w:p>
        </w:tc>
        <w:tc>
          <w:tcPr>
            <w:tcW w:w="7940" w:type="dxa"/>
            <w:gridSpan w:val="11"/>
            <w:tcBorders>
              <w:top w:val="single" w:sz="4" w:space="0" w:color="auto"/>
              <w:left w:val="single" w:sz="4" w:space="0" w:color="auto"/>
              <w:bottom w:val="single" w:sz="4" w:space="0" w:color="auto"/>
              <w:right w:val="single" w:sz="4" w:space="0" w:color="auto"/>
            </w:tcBorders>
            <w:hideMark/>
          </w:tcPr>
          <w:p w14:paraId="5CDB144F" w14:textId="77777777" w:rsidR="00ED17F3" w:rsidRPr="00D75D2E" w:rsidRDefault="00ED17F3"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b/>
                <w:sz w:val="20"/>
                <w:szCs w:val="20"/>
              </w:rPr>
              <w:t>Intitulé de l’impact</w:t>
            </w:r>
            <w:r w:rsidRPr="00D75D2E">
              <w:rPr>
                <w:rFonts w:ascii="Times New Roman" w:hAnsi="Times New Roman"/>
                <w:sz w:val="20"/>
                <w:szCs w:val="20"/>
              </w:rPr>
              <w:t> : Destruction de l’habitat faunique</w:t>
            </w:r>
          </w:p>
        </w:tc>
      </w:tr>
      <w:tr w:rsidR="00767B63" w:rsidRPr="00420C1B" w14:paraId="2842F70E" w14:textId="77777777" w:rsidTr="00767B63">
        <w:trPr>
          <w:trHeight w:val="250"/>
          <w:jc w:val="center"/>
        </w:trPr>
        <w:tc>
          <w:tcPr>
            <w:tcW w:w="1831" w:type="dxa"/>
            <w:vMerge w:val="restart"/>
            <w:tcBorders>
              <w:top w:val="single" w:sz="4" w:space="0" w:color="auto"/>
              <w:left w:val="single" w:sz="4" w:space="0" w:color="auto"/>
              <w:right w:val="single" w:sz="4" w:space="0" w:color="auto"/>
            </w:tcBorders>
            <w:hideMark/>
          </w:tcPr>
          <w:p w14:paraId="324A5DEA" w14:textId="77777777" w:rsidR="0040711D" w:rsidRPr="00D75D2E" w:rsidRDefault="0040711D" w:rsidP="0040711D">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3880" w:type="dxa"/>
            <w:gridSpan w:val="6"/>
            <w:vMerge w:val="restart"/>
            <w:tcBorders>
              <w:top w:val="single" w:sz="4" w:space="0" w:color="auto"/>
              <w:left w:val="single" w:sz="4" w:space="0" w:color="auto"/>
              <w:right w:val="single" w:sz="4" w:space="0" w:color="auto"/>
            </w:tcBorders>
          </w:tcPr>
          <w:p w14:paraId="6A01A130" w14:textId="77777777" w:rsidR="0040711D" w:rsidRPr="00D75D2E" w:rsidRDefault="0040711D" w:rsidP="0040711D">
            <w:pPr>
              <w:spacing w:after="0" w:line="240" w:lineRule="auto"/>
              <w:jc w:val="both"/>
              <w:rPr>
                <w:rFonts w:ascii="Times New Roman" w:eastAsia="Times New Roman" w:hAnsi="Times New Roman"/>
                <w:sz w:val="20"/>
                <w:szCs w:val="20"/>
                <w:lang w:eastAsia="fr-FR"/>
              </w:rPr>
            </w:pPr>
            <w:r w:rsidRPr="00D75D2E">
              <w:rPr>
                <w:rFonts w:ascii="Times New Roman" w:hAnsi="Times New Roman"/>
                <w:sz w:val="20"/>
                <w:szCs w:val="20"/>
              </w:rPr>
              <w:t>Zone d’évolution des travaux (communes concernés par les travaux)</w:t>
            </w:r>
          </w:p>
        </w:tc>
        <w:tc>
          <w:tcPr>
            <w:tcW w:w="1121" w:type="dxa"/>
            <w:tcBorders>
              <w:top w:val="single" w:sz="4" w:space="0" w:color="auto"/>
              <w:left w:val="single" w:sz="4" w:space="0" w:color="auto"/>
              <w:bottom w:val="single" w:sz="4" w:space="0" w:color="auto"/>
              <w:right w:val="single" w:sz="4" w:space="0" w:color="auto"/>
            </w:tcBorders>
          </w:tcPr>
          <w:p w14:paraId="5B919DB4" w14:textId="77777777" w:rsidR="0040711D" w:rsidRPr="00D75D2E" w:rsidRDefault="0040711D" w:rsidP="0040711D">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1276" w:type="dxa"/>
            <w:gridSpan w:val="2"/>
            <w:tcBorders>
              <w:top w:val="single" w:sz="4" w:space="0" w:color="auto"/>
              <w:left w:val="single" w:sz="4" w:space="0" w:color="auto"/>
              <w:bottom w:val="single" w:sz="4" w:space="0" w:color="auto"/>
              <w:right w:val="single" w:sz="4" w:space="0" w:color="auto"/>
            </w:tcBorders>
            <w:hideMark/>
          </w:tcPr>
          <w:p w14:paraId="7C5BF879" w14:textId="77777777" w:rsidR="0040711D" w:rsidRPr="00D75D2E" w:rsidRDefault="0040711D" w:rsidP="0040711D">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663" w:type="dxa"/>
            <w:gridSpan w:val="2"/>
            <w:tcBorders>
              <w:top w:val="single" w:sz="4" w:space="0" w:color="auto"/>
              <w:left w:val="single" w:sz="4" w:space="0" w:color="auto"/>
              <w:right w:val="single" w:sz="4" w:space="0" w:color="auto"/>
            </w:tcBorders>
          </w:tcPr>
          <w:p w14:paraId="6F584459" w14:textId="77777777" w:rsidR="0040711D" w:rsidRPr="00D75D2E" w:rsidRDefault="0040711D" w:rsidP="0040711D">
            <w:pPr>
              <w:spacing w:after="0" w:line="240" w:lineRule="auto"/>
              <w:rPr>
                <w:rFonts w:ascii="Times New Roman" w:hAnsi="Times New Roman"/>
                <w:sz w:val="20"/>
                <w:szCs w:val="20"/>
              </w:rPr>
            </w:pPr>
          </w:p>
        </w:tc>
      </w:tr>
      <w:tr w:rsidR="00767B63" w:rsidRPr="00420C1B" w14:paraId="6DB4E443" w14:textId="77777777" w:rsidTr="00767B63">
        <w:trPr>
          <w:trHeight w:val="150"/>
          <w:jc w:val="center"/>
        </w:trPr>
        <w:tc>
          <w:tcPr>
            <w:tcW w:w="1831" w:type="dxa"/>
            <w:vMerge/>
            <w:tcBorders>
              <w:left w:val="single" w:sz="4" w:space="0" w:color="auto"/>
              <w:right w:val="single" w:sz="4" w:space="0" w:color="auto"/>
            </w:tcBorders>
            <w:vAlign w:val="center"/>
          </w:tcPr>
          <w:p w14:paraId="2C0C9D24" w14:textId="77777777" w:rsidR="0040711D" w:rsidRPr="00D75D2E" w:rsidRDefault="0040711D" w:rsidP="00233587">
            <w:pPr>
              <w:spacing w:after="0" w:line="240" w:lineRule="auto"/>
              <w:rPr>
                <w:rFonts w:ascii="Times New Roman" w:eastAsia="Times New Roman" w:hAnsi="Times New Roman"/>
                <w:sz w:val="20"/>
                <w:szCs w:val="20"/>
                <w:lang w:eastAsia="fr-FR"/>
              </w:rPr>
            </w:pPr>
          </w:p>
        </w:tc>
        <w:tc>
          <w:tcPr>
            <w:tcW w:w="3880" w:type="dxa"/>
            <w:gridSpan w:val="6"/>
            <w:vMerge/>
            <w:tcBorders>
              <w:left w:val="single" w:sz="4" w:space="0" w:color="auto"/>
              <w:right w:val="single" w:sz="4" w:space="0" w:color="auto"/>
            </w:tcBorders>
            <w:vAlign w:val="center"/>
          </w:tcPr>
          <w:p w14:paraId="7AF54BBC" w14:textId="77777777" w:rsidR="0040711D" w:rsidRPr="00D75D2E" w:rsidRDefault="0040711D" w:rsidP="00233587">
            <w:pPr>
              <w:spacing w:after="0" w:line="240" w:lineRule="auto"/>
              <w:rPr>
                <w:rFonts w:ascii="Times New Roman" w:eastAsia="Times New Roman" w:hAnsi="Times New Roman"/>
                <w:sz w:val="20"/>
                <w:szCs w:val="20"/>
                <w:lang w:eastAsia="fr-FR"/>
              </w:rPr>
            </w:pPr>
          </w:p>
        </w:tc>
        <w:tc>
          <w:tcPr>
            <w:tcW w:w="1121" w:type="dxa"/>
            <w:tcBorders>
              <w:top w:val="single" w:sz="4" w:space="0" w:color="auto"/>
              <w:left w:val="single" w:sz="4" w:space="0" w:color="auto"/>
              <w:bottom w:val="single" w:sz="4" w:space="0" w:color="auto"/>
              <w:right w:val="single" w:sz="4" w:space="0" w:color="auto"/>
            </w:tcBorders>
          </w:tcPr>
          <w:p w14:paraId="2F676D73" w14:textId="77777777" w:rsidR="0040711D" w:rsidRPr="00D75D2E" w:rsidRDefault="0040711D" w:rsidP="00233587">
            <w:pPr>
              <w:spacing w:after="0" w:line="240" w:lineRule="auto"/>
              <w:rPr>
                <w:rFonts w:ascii="Times New Roman" w:eastAsia="Times New Roman" w:hAnsi="Times New Roman"/>
                <w:sz w:val="20"/>
                <w:szCs w:val="20"/>
                <w:highlight w:val="yellow"/>
                <w:lang w:eastAsia="fr-FR"/>
              </w:rPr>
            </w:pPr>
            <w:r w:rsidRPr="00420C1B">
              <w:rPr>
                <w:rFonts w:ascii="Times New Roman" w:hAnsi="Times New Roman"/>
                <w:sz w:val="20"/>
                <w:szCs w:val="20"/>
              </w:rPr>
              <w:t>526135</w:t>
            </w:r>
            <w:r w:rsidRPr="00420C1B">
              <w:rPr>
                <w:rFonts w:ascii="Times New Roman" w:hAnsi="Times New Roman"/>
                <w:sz w:val="20"/>
                <w:szCs w:val="20"/>
                <w:highlight w:val="yellow"/>
              </w:rPr>
              <w:t xml:space="preserve">  </w:t>
            </w:r>
          </w:p>
        </w:tc>
        <w:tc>
          <w:tcPr>
            <w:tcW w:w="1276" w:type="dxa"/>
            <w:gridSpan w:val="2"/>
            <w:tcBorders>
              <w:top w:val="single" w:sz="4" w:space="0" w:color="auto"/>
              <w:left w:val="nil"/>
              <w:bottom w:val="single" w:sz="4" w:space="0" w:color="auto"/>
              <w:right w:val="single" w:sz="4" w:space="0" w:color="auto"/>
            </w:tcBorders>
          </w:tcPr>
          <w:p w14:paraId="2DDE9BE3" w14:textId="77777777" w:rsidR="0040711D" w:rsidRPr="00D75D2E" w:rsidRDefault="0040711D" w:rsidP="00233587">
            <w:pPr>
              <w:spacing w:after="0" w:line="240" w:lineRule="auto"/>
              <w:rPr>
                <w:rFonts w:ascii="Times New Roman" w:eastAsia="Times New Roman" w:hAnsi="Times New Roman"/>
                <w:sz w:val="20"/>
                <w:szCs w:val="20"/>
                <w:highlight w:val="yellow"/>
                <w:lang w:eastAsia="fr-FR"/>
              </w:rPr>
            </w:pPr>
            <w:r w:rsidRPr="00420C1B">
              <w:rPr>
                <w:rFonts w:ascii="Times New Roman" w:hAnsi="Times New Roman"/>
                <w:sz w:val="20"/>
                <w:szCs w:val="20"/>
              </w:rPr>
              <w:t>9514282</w:t>
            </w:r>
          </w:p>
        </w:tc>
        <w:tc>
          <w:tcPr>
            <w:tcW w:w="1663" w:type="dxa"/>
            <w:gridSpan w:val="2"/>
            <w:tcBorders>
              <w:left w:val="single" w:sz="4" w:space="0" w:color="auto"/>
              <w:right w:val="single" w:sz="4" w:space="0" w:color="auto"/>
            </w:tcBorders>
            <w:vAlign w:val="center"/>
          </w:tcPr>
          <w:p w14:paraId="500F1567" w14:textId="77777777" w:rsidR="0040711D" w:rsidRPr="00D75D2E" w:rsidRDefault="0040711D" w:rsidP="00233587">
            <w:pPr>
              <w:spacing w:after="0" w:line="240" w:lineRule="auto"/>
              <w:rPr>
                <w:rFonts w:ascii="Times New Roman" w:hAnsi="Times New Roman"/>
                <w:sz w:val="20"/>
                <w:szCs w:val="20"/>
              </w:rPr>
            </w:pPr>
          </w:p>
        </w:tc>
      </w:tr>
      <w:tr w:rsidR="00767B63" w:rsidRPr="00420C1B" w14:paraId="43E60AF1" w14:textId="77777777" w:rsidTr="00767B63">
        <w:trPr>
          <w:trHeight w:val="150"/>
          <w:jc w:val="center"/>
        </w:trPr>
        <w:tc>
          <w:tcPr>
            <w:tcW w:w="1831" w:type="dxa"/>
            <w:vMerge/>
            <w:tcBorders>
              <w:left w:val="single" w:sz="4" w:space="0" w:color="auto"/>
              <w:right w:val="single" w:sz="4" w:space="0" w:color="auto"/>
            </w:tcBorders>
            <w:vAlign w:val="center"/>
            <w:hideMark/>
          </w:tcPr>
          <w:p w14:paraId="4FA5C1FE" w14:textId="77777777" w:rsidR="0040711D" w:rsidRPr="00D75D2E" w:rsidRDefault="0040711D" w:rsidP="00233587">
            <w:pPr>
              <w:spacing w:after="0" w:line="240" w:lineRule="auto"/>
              <w:rPr>
                <w:rFonts w:ascii="Times New Roman" w:eastAsia="Times New Roman" w:hAnsi="Times New Roman"/>
                <w:sz w:val="20"/>
                <w:szCs w:val="20"/>
                <w:lang w:eastAsia="fr-FR"/>
              </w:rPr>
            </w:pPr>
          </w:p>
        </w:tc>
        <w:tc>
          <w:tcPr>
            <w:tcW w:w="3880" w:type="dxa"/>
            <w:gridSpan w:val="6"/>
            <w:vMerge/>
            <w:tcBorders>
              <w:left w:val="single" w:sz="4" w:space="0" w:color="auto"/>
              <w:right w:val="single" w:sz="4" w:space="0" w:color="auto"/>
            </w:tcBorders>
            <w:vAlign w:val="center"/>
          </w:tcPr>
          <w:p w14:paraId="25101D98" w14:textId="77777777" w:rsidR="0040711D" w:rsidRPr="00D75D2E" w:rsidRDefault="0040711D" w:rsidP="00233587">
            <w:pPr>
              <w:spacing w:after="0" w:line="240" w:lineRule="auto"/>
              <w:rPr>
                <w:rFonts w:ascii="Times New Roman" w:hAnsi="Times New Roman"/>
                <w:sz w:val="20"/>
                <w:szCs w:val="20"/>
              </w:rPr>
            </w:pPr>
          </w:p>
        </w:tc>
        <w:tc>
          <w:tcPr>
            <w:tcW w:w="1121" w:type="dxa"/>
            <w:tcBorders>
              <w:top w:val="single" w:sz="4" w:space="0" w:color="auto"/>
              <w:left w:val="single" w:sz="4" w:space="0" w:color="auto"/>
              <w:bottom w:val="nil"/>
              <w:right w:val="single" w:sz="4" w:space="0" w:color="auto"/>
            </w:tcBorders>
          </w:tcPr>
          <w:p w14:paraId="764C0E68" w14:textId="77777777" w:rsidR="0040711D" w:rsidRPr="00D75D2E" w:rsidRDefault="0040711D" w:rsidP="00233587">
            <w:pPr>
              <w:spacing w:after="0" w:line="240" w:lineRule="auto"/>
              <w:rPr>
                <w:rFonts w:ascii="Times New Roman" w:eastAsia="Times New Roman" w:hAnsi="Times New Roman"/>
                <w:sz w:val="20"/>
                <w:szCs w:val="20"/>
                <w:highlight w:val="yellow"/>
                <w:lang w:eastAsia="fr-FR"/>
              </w:rPr>
            </w:pPr>
            <w:r w:rsidRPr="00420C1B">
              <w:rPr>
                <w:rFonts w:ascii="Times New Roman" w:hAnsi="Times New Roman"/>
                <w:sz w:val="20"/>
                <w:szCs w:val="20"/>
              </w:rPr>
              <w:t>527290</w:t>
            </w:r>
          </w:p>
        </w:tc>
        <w:tc>
          <w:tcPr>
            <w:tcW w:w="1276" w:type="dxa"/>
            <w:gridSpan w:val="2"/>
            <w:tcBorders>
              <w:top w:val="single" w:sz="4" w:space="0" w:color="auto"/>
              <w:left w:val="single" w:sz="4" w:space="0" w:color="auto"/>
              <w:bottom w:val="nil"/>
              <w:right w:val="single" w:sz="4" w:space="0" w:color="auto"/>
            </w:tcBorders>
          </w:tcPr>
          <w:p w14:paraId="5ED1A2D7" w14:textId="77777777" w:rsidR="0040711D" w:rsidRPr="00D75D2E" w:rsidRDefault="0040711D" w:rsidP="00233587">
            <w:pPr>
              <w:spacing w:after="0" w:line="240" w:lineRule="auto"/>
              <w:rPr>
                <w:rFonts w:ascii="Times New Roman" w:eastAsia="Times New Roman" w:hAnsi="Times New Roman"/>
                <w:sz w:val="20"/>
                <w:szCs w:val="20"/>
                <w:highlight w:val="yellow"/>
                <w:lang w:eastAsia="fr-FR"/>
              </w:rPr>
            </w:pPr>
            <w:r w:rsidRPr="00420C1B">
              <w:rPr>
                <w:rFonts w:ascii="Times New Roman" w:hAnsi="Times New Roman"/>
                <w:sz w:val="20"/>
                <w:szCs w:val="20"/>
              </w:rPr>
              <w:t>9506829</w:t>
            </w:r>
          </w:p>
        </w:tc>
        <w:tc>
          <w:tcPr>
            <w:tcW w:w="1663" w:type="dxa"/>
            <w:gridSpan w:val="2"/>
            <w:tcBorders>
              <w:left w:val="single" w:sz="4" w:space="0" w:color="auto"/>
              <w:right w:val="single" w:sz="4" w:space="0" w:color="auto"/>
            </w:tcBorders>
            <w:vAlign w:val="center"/>
            <w:hideMark/>
          </w:tcPr>
          <w:p w14:paraId="2B610413" w14:textId="77777777" w:rsidR="0040711D" w:rsidRPr="00D75D2E" w:rsidRDefault="0040711D" w:rsidP="00233587">
            <w:pPr>
              <w:spacing w:after="0" w:line="240" w:lineRule="auto"/>
              <w:rPr>
                <w:rFonts w:ascii="Times New Roman" w:hAnsi="Times New Roman"/>
                <w:sz w:val="20"/>
                <w:szCs w:val="20"/>
              </w:rPr>
            </w:pPr>
          </w:p>
        </w:tc>
      </w:tr>
      <w:tr w:rsidR="00767B63" w:rsidRPr="00420C1B" w14:paraId="349B4F3A" w14:textId="77777777" w:rsidTr="00E737B4">
        <w:trPr>
          <w:trHeight w:val="250"/>
          <w:jc w:val="center"/>
        </w:trPr>
        <w:tc>
          <w:tcPr>
            <w:tcW w:w="1831" w:type="dxa"/>
            <w:vMerge w:val="restart"/>
            <w:tcBorders>
              <w:top w:val="single" w:sz="4" w:space="0" w:color="auto"/>
              <w:left w:val="single" w:sz="4" w:space="0" w:color="auto"/>
              <w:bottom w:val="single" w:sz="4" w:space="0" w:color="auto"/>
              <w:right w:val="single" w:sz="4" w:space="0" w:color="auto"/>
            </w:tcBorders>
          </w:tcPr>
          <w:p w14:paraId="6B3EA8AC" w14:textId="77777777" w:rsidR="00ED17F3" w:rsidRPr="00D75D2E" w:rsidRDefault="00ED17F3" w:rsidP="007108ED">
            <w:pPr>
              <w:spacing w:after="0" w:line="240" w:lineRule="auto"/>
              <w:rPr>
                <w:rFonts w:ascii="Times New Roman" w:hAnsi="Times New Roman"/>
                <w:b/>
                <w:sz w:val="20"/>
                <w:szCs w:val="20"/>
              </w:rPr>
            </w:pPr>
          </w:p>
          <w:p w14:paraId="5DD9C89E" w14:textId="77777777" w:rsidR="00ED17F3" w:rsidRPr="00D75D2E" w:rsidRDefault="00ED17F3" w:rsidP="007108ED">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1870" w:type="dxa"/>
            <w:gridSpan w:val="3"/>
            <w:vMerge w:val="restart"/>
            <w:tcBorders>
              <w:top w:val="single" w:sz="4" w:space="0" w:color="auto"/>
              <w:left w:val="single" w:sz="4" w:space="0" w:color="auto"/>
              <w:bottom w:val="single" w:sz="4" w:space="0" w:color="auto"/>
              <w:right w:val="single" w:sz="4" w:space="0" w:color="auto"/>
            </w:tcBorders>
            <w:hideMark/>
          </w:tcPr>
          <w:p w14:paraId="06F2323D" w14:textId="77777777" w:rsidR="00ED17F3" w:rsidRPr="00D75D2E"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147E03A9" w14:textId="77777777" w:rsidR="00ED17F3" w:rsidRPr="00D75D2E" w:rsidRDefault="00ED17F3" w:rsidP="007108ED">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1105" w:type="dxa"/>
            <w:tcBorders>
              <w:top w:val="single" w:sz="4" w:space="0" w:color="auto"/>
              <w:left w:val="single" w:sz="4" w:space="0" w:color="auto"/>
              <w:bottom w:val="single" w:sz="4" w:space="0" w:color="auto"/>
              <w:right w:val="single" w:sz="4" w:space="0" w:color="auto"/>
            </w:tcBorders>
            <w:hideMark/>
          </w:tcPr>
          <w:p w14:paraId="415F3865" w14:textId="77777777" w:rsidR="00ED17F3" w:rsidRPr="00D75D2E"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905" w:type="dxa"/>
            <w:gridSpan w:val="2"/>
            <w:tcBorders>
              <w:top w:val="single" w:sz="4" w:space="0" w:color="auto"/>
              <w:left w:val="single" w:sz="4" w:space="0" w:color="auto"/>
              <w:bottom w:val="single" w:sz="4" w:space="0" w:color="auto"/>
              <w:right w:val="single" w:sz="4" w:space="0" w:color="auto"/>
            </w:tcBorders>
            <w:hideMark/>
          </w:tcPr>
          <w:p w14:paraId="7D0357E6" w14:textId="77777777" w:rsidR="00ED17F3" w:rsidRPr="00D75D2E"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Etendue </w:t>
            </w:r>
          </w:p>
        </w:tc>
        <w:tc>
          <w:tcPr>
            <w:tcW w:w="1121" w:type="dxa"/>
            <w:tcBorders>
              <w:top w:val="single" w:sz="4" w:space="0" w:color="auto"/>
              <w:left w:val="single" w:sz="4" w:space="0" w:color="auto"/>
              <w:bottom w:val="single" w:sz="4" w:space="0" w:color="auto"/>
              <w:right w:val="single" w:sz="4" w:space="0" w:color="auto"/>
            </w:tcBorders>
          </w:tcPr>
          <w:p w14:paraId="04501143" w14:textId="77777777" w:rsidR="00ED17F3" w:rsidRPr="00D75D2E" w:rsidRDefault="00ED17F3" w:rsidP="007108ED">
            <w:pPr>
              <w:autoSpaceDE w:val="0"/>
              <w:autoSpaceDN w:val="0"/>
              <w:adjustRightInd w:val="0"/>
              <w:spacing w:after="0" w:line="240" w:lineRule="auto"/>
              <w:rPr>
                <w:rFonts w:ascii="Times New Roman" w:eastAsia="Times New Roman" w:hAnsi="Times New Roman"/>
                <w:b/>
                <w:bCs/>
                <w:i/>
                <w:sz w:val="20"/>
                <w:szCs w:val="20"/>
              </w:rPr>
            </w:pPr>
          </w:p>
        </w:tc>
        <w:tc>
          <w:tcPr>
            <w:tcW w:w="1276" w:type="dxa"/>
            <w:gridSpan w:val="2"/>
            <w:tcBorders>
              <w:top w:val="single" w:sz="4" w:space="0" w:color="auto"/>
              <w:left w:val="single" w:sz="4" w:space="0" w:color="auto"/>
              <w:bottom w:val="single" w:sz="4" w:space="0" w:color="auto"/>
              <w:right w:val="single" w:sz="4" w:space="0" w:color="auto"/>
            </w:tcBorders>
            <w:hideMark/>
          </w:tcPr>
          <w:p w14:paraId="0EB2F0D0" w14:textId="77777777" w:rsidR="00ED17F3" w:rsidRPr="00D75D2E"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663" w:type="dxa"/>
            <w:gridSpan w:val="2"/>
            <w:tcBorders>
              <w:top w:val="single" w:sz="4" w:space="0" w:color="auto"/>
              <w:left w:val="single" w:sz="4" w:space="0" w:color="auto"/>
              <w:bottom w:val="single" w:sz="4" w:space="0" w:color="auto"/>
              <w:right w:val="single" w:sz="4" w:space="0" w:color="auto"/>
            </w:tcBorders>
            <w:hideMark/>
          </w:tcPr>
          <w:p w14:paraId="01CD1B41" w14:textId="77777777" w:rsidR="00ED17F3" w:rsidRPr="00D75D2E" w:rsidRDefault="00ED17F3" w:rsidP="007108ED">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767B63" w:rsidRPr="00420C1B" w14:paraId="5AF43709" w14:textId="77777777" w:rsidTr="00767B63">
        <w:trPr>
          <w:trHeight w:val="262"/>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453B29E8" w14:textId="77777777" w:rsidR="00ED17F3" w:rsidRPr="00D75D2E" w:rsidRDefault="00ED17F3" w:rsidP="007108ED">
            <w:pPr>
              <w:spacing w:after="0" w:line="240" w:lineRule="auto"/>
              <w:rPr>
                <w:rFonts w:ascii="Times New Roman" w:hAnsi="Times New Roman"/>
                <w:b/>
                <w:sz w:val="20"/>
                <w:szCs w:val="20"/>
              </w:rPr>
            </w:pPr>
          </w:p>
        </w:tc>
        <w:tc>
          <w:tcPr>
            <w:tcW w:w="1870" w:type="dxa"/>
            <w:gridSpan w:val="3"/>
            <w:vMerge/>
            <w:tcBorders>
              <w:top w:val="single" w:sz="4" w:space="0" w:color="auto"/>
              <w:left w:val="single" w:sz="4" w:space="0" w:color="auto"/>
              <w:bottom w:val="single" w:sz="4" w:space="0" w:color="auto"/>
              <w:right w:val="single" w:sz="4" w:space="0" w:color="auto"/>
            </w:tcBorders>
            <w:vAlign w:val="center"/>
            <w:hideMark/>
          </w:tcPr>
          <w:p w14:paraId="09C37EDA" w14:textId="77777777" w:rsidR="00ED17F3" w:rsidRPr="00D75D2E" w:rsidRDefault="00ED17F3" w:rsidP="007108ED">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2BE6354F" w14:textId="77777777" w:rsidR="00ED17F3" w:rsidRPr="00D75D2E" w:rsidRDefault="00BB69A8" w:rsidP="007108ED">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Moyenne</w:t>
            </w:r>
          </w:p>
        </w:tc>
        <w:tc>
          <w:tcPr>
            <w:tcW w:w="2026" w:type="dxa"/>
            <w:gridSpan w:val="3"/>
            <w:tcBorders>
              <w:top w:val="single" w:sz="4" w:space="0" w:color="auto"/>
              <w:left w:val="single" w:sz="4" w:space="0" w:color="auto"/>
              <w:bottom w:val="single" w:sz="4" w:space="0" w:color="auto"/>
              <w:right w:val="single" w:sz="4" w:space="0" w:color="auto"/>
            </w:tcBorders>
            <w:vAlign w:val="center"/>
            <w:hideMark/>
          </w:tcPr>
          <w:p w14:paraId="3997CF72"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FFE27A7"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Longue</w:t>
            </w:r>
          </w:p>
        </w:tc>
        <w:tc>
          <w:tcPr>
            <w:tcW w:w="1663" w:type="dxa"/>
            <w:gridSpan w:val="2"/>
            <w:tcBorders>
              <w:top w:val="single" w:sz="4" w:space="0" w:color="auto"/>
              <w:left w:val="single" w:sz="4" w:space="0" w:color="auto"/>
              <w:bottom w:val="single" w:sz="4" w:space="0" w:color="auto"/>
              <w:right w:val="single" w:sz="4" w:space="0" w:color="auto"/>
            </w:tcBorders>
            <w:vAlign w:val="center"/>
            <w:hideMark/>
          </w:tcPr>
          <w:p w14:paraId="2443DFFA" w14:textId="77777777" w:rsidR="00ED17F3" w:rsidRPr="00D75D2E" w:rsidRDefault="00BB69A8" w:rsidP="007108ED">
            <w:pPr>
              <w:spacing w:after="0" w:line="240" w:lineRule="auto"/>
              <w:rPr>
                <w:rFonts w:ascii="Times New Roman" w:hAnsi="Times New Roman"/>
                <w:sz w:val="20"/>
                <w:szCs w:val="20"/>
              </w:rPr>
            </w:pPr>
            <w:r w:rsidRPr="00D75D2E">
              <w:rPr>
                <w:rFonts w:ascii="Times New Roman" w:hAnsi="Times New Roman"/>
                <w:sz w:val="20"/>
                <w:szCs w:val="20"/>
              </w:rPr>
              <w:t xml:space="preserve">Moyenne </w:t>
            </w:r>
          </w:p>
        </w:tc>
      </w:tr>
      <w:tr w:rsidR="00767B63" w:rsidRPr="00420C1B" w14:paraId="08317269" w14:textId="77777777" w:rsidTr="00767B63">
        <w:trPr>
          <w:trHeight w:val="262"/>
          <w:jc w:val="center"/>
        </w:trPr>
        <w:tc>
          <w:tcPr>
            <w:tcW w:w="1831" w:type="dxa"/>
            <w:vMerge/>
            <w:tcBorders>
              <w:top w:val="single" w:sz="4" w:space="0" w:color="auto"/>
              <w:left w:val="single" w:sz="4" w:space="0" w:color="auto"/>
              <w:bottom w:val="single" w:sz="4" w:space="0" w:color="auto"/>
              <w:right w:val="single" w:sz="4" w:space="0" w:color="auto"/>
            </w:tcBorders>
            <w:vAlign w:val="center"/>
          </w:tcPr>
          <w:p w14:paraId="65F03D78" w14:textId="77777777" w:rsidR="008D4C1F" w:rsidRPr="00D75D2E" w:rsidRDefault="008D4C1F" w:rsidP="008D4C1F">
            <w:pPr>
              <w:spacing w:after="0" w:line="240" w:lineRule="auto"/>
              <w:rPr>
                <w:rFonts w:ascii="Times New Roman" w:hAnsi="Times New Roman"/>
                <w:b/>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C72FF55" w14:textId="77777777" w:rsidR="008D4C1F" w:rsidRPr="00D75D2E" w:rsidRDefault="008D4C1F" w:rsidP="008D4C1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72BA3871" w14:textId="77777777" w:rsidR="008D4C1F" w:rsidRPr="00D75D2E" w:rsidRDefault="008D4C1F" w:rsidP="008D4C1F">
            <w:pPr>
              <w:pStyle w:val="Default"/>
              <w:jc w:val="center"/>
              <w:rPr>
                <w:rFonts w:eastAsia="Times New Roman"/>
                <w:b/>
                <w:bCs/>
                <w:i/>
                <w:color w:val="auto"/>
                <w:sz w:val="20"/>
                <w:szCs w:val="20"/>
                <w:lang w:eastAsia="en-US"/>
              </w:rPr>
            </w:pPr>
            <w:r w:rsidRPr="00D75D2E">
              <w:rPr>
                <w:rFonts w:eastAsia="Times New Roman"/>
                <w:b/>
                <w:bCs/>
                <w:i/>
                <w:color w:val="auto"/>
                <w:sz w:val="20"/>
                <w:szCs w:val="20"/>
                <w:lang w:eastAsia="en-US"/>
              </w:rPr>
              <w:t>Inter action</w:t>
            </w:r>
          </w:p>
        </w:tc>
        <w:tc>
          <w:tcPr>
            <w:tcW w:w="2026" w:type="dxa"/>
            <w:gridSpan w:val="3"/>
            <w:tcBorders>
              <w:top w:val="single" w:sz="4" w:space="0" w:color="auto"/>
              <w:left w:val="single" w:sz="4" w:space="0" w:color="auto"/>
              <w:bottom w:val="single" w:sz="4" w:space="0" w:color="auto"/>
              <w:right w:val="single" w:sz="4" w:space="0" w:color="auto"/>
            </w:tcBorders>
          </w:tcPr>
          <w:p w14:paraId="6D143BB6" w14:textId="77777777" w:rsidR="008D4C1F" w:rsidRPr="00D75D2E" w:rsidRDefault="008D4C1F" w:rsidP="008D4C1F">
            <w:pPr>
              <w:pStyle w:val="Default"/>
              <w:jc w:val="center"/>
              <w:rPr>
                <w:rFonts w:eastAsia="Times New Roman"/>
                <w:b/>
                <w:bCs/>
                <w:i/>
                <w:color w:val="auto"/>
                <w:sz w:val="20"/>
                <w:szCs w:val="20"/>
                <w:lang w:eastAsia="en-US"/>
              </w:rPr>
            </w:pPr>
            <w:r w:rsidRPr="00D75D2E">
              <w:rPr>
                <w:rFonts w:eastAsia="Times New Roman"/>
                <w:b/>
                <w:bCs/>
                <w:i/>
                <w:color w:val="auto"/>
                <w:sz w:val="20"/>
                <w:szCs w:val="20"/>
                <w:lang w:eastAsia="en-US"/>
              </w:rPr>
              <w:t>Occurrence</w:t>
            </w:r>
          </w:p>
        </w:tc>
        <w:tc>
          <w:tcPr>
            <w:tcW w:w="1276" w:type="dxa"/>
            <w:gridSpan w:val="2"/>
            <w:tcBorders>
              <w:top w:val="single" w:sz="4" w:space="0" w:color="auto"/>
              <w:left w:val="single" w:sz="4" w:space="0" w:color="auto"/>
              <w:bottom w:val="single" w:sz="4" w:space="0" w:color="auto"/>
              <w:right w:val="single" w:sz="4" w:space="0" w:color="auto"/>
            </w:tcBorders>
          </w:tcPr>
          <w:p w14:paraId="3C43AE47" w14:textId="77777777" w:rsidR="008D4C1F" w:rsidRPr="00D75D2E" w:rsidRDefault="008D4C1F" w:rsidP="008D4C1F">
            <w:pPr>
              <w:pStyle w:val="Default"/>
              <w:jc w:val="center"/>
              <w:rPr>
                <w:rFonts w:eastAsia="Times New Roman"/>
                <w:b/>
                <w:bCs/>
                <w:i/>
                <w:color w:val="auto"/>
                <w:sz w:val="20"/>
                <w:szCs w:val="20"/>
                <w:lang w:eastAsia="en-US"/>
              </w:rPr>
            </w:pPr>
            <w:r w:rsidRPr="00D75D2E">
              <w:rPr>
                <w:rFonts w:eastAsia="Times New Roman"/>
                <w:b/>
                <w:bCs/>
                <w:i/>
                <w:color w:val="auto"/>
                <w:sz w:val="20"/>
                <w:szCs w:val="20"/>
                <w:lang w:eastAsia="en-US"/>
              </w:rPr>
              <w:t>Réversibilité</w:t>
            </w:r>
          </w:p>
        </w:tc>
        <w:tc>
          <w:tcPr>
            <w:tcW w:w="1663" w:type="dxa"/>
            <w:gridSpan w:val="2"/>
            <w:tcBorders>
              <w:top w:val="single" w:sz="4" w:space="0" w:color="auto"/>
              <w:left w:val="single" w:sz="4" w:space="0" w:color="auto"/>
              <w:bottom w:val="single" w:sz="4" w:space="0" w:color="auto"/>
              <w:right w:val="single" w:sz="4" w:space="0" w:color="auto"/>
            </w:tcBorders>
          </w:tcPr>
          <w:p w14:paraId="0B81A8B2" w14:textId="77777777" w:rsidR="008D4C1F" w:rsidRPr="00D75D2E" w:rsidRDefault="008D4C1F" w:rsidP="008D4C1F">
            <w:pPr>
              <w:pStyle w:val="Default"/>
              <w:jc w:val="center"/>
              <w:rPr>
                <w:rFonts w:eastAsia="Times New Roman"/>
                <w:b/>
                <w:bCs/>
                <w:i/>
                <w:color w:val="auto"/>
                <w:sz w:val="20"/>
                <w:szCs w:val="20"/>
                <w:lang w:eastAsia="en-US"/>
              </w:rPr>
            </w:pPr>
            <w:r w:rsidRPr="00D75D2E">
              <w:rPr>
                <w:rFonts w:eastAsia="Times New Roman"/>
                <w:b/>
                <w:bCs/>
                <w:i/>
                <w:color w:val="auto"/>
                <w:sz w:val="20"/>
                <w:szCs w:val="20"/>
                <w:lang w:eastAsia="en-US"/>
              </w:rPr>
              <w:t>Cumulativité</w:t>
            </w:r>
          </w:p>
        </w:tc>
      </w:tr>
      <w:tr w:rsidR="00767B63" w:rsidRPr="00420C1B" w14:paraId="53C60D90" w14:textId="77777777" w:rsidTr="00767B63">
        <w:trPr>
          <w:trHeight w:val="262"/>
          <w:jc w:val="center"/>
        </w:trPr>
        <w:tc>
          <w:tcPr>
            <w:tcW w:w="1831" w:type="dxa"/>
            <w:vMerge/>
            <w:tcBorders>
              <w:top w:val="single" w:sz="4" w:space="0" w:color="auto"/>
              <w:left w:val="single" w:sz="4" w:space="0" w:color="auto"/>
              <w:bottom w:val="single" w:sz="4" w:space="0" w:color="auto"/>
              <w:right w:val="single" w:sz="4" w:space="0" w:color="auto"/>
            </w:tcBorders>
            <w:vAlign w:val="center"/>
          </w:tcPr>
          <w:p w14:paraId="6BFECD08" w14:textId="77777777" w:rsidR="008D4C1F" w:rsidRPr="00D75D2E" w:rsidRDefault="008D4C1F" w:rsidP="008D4C1F">
            <w:pPr>
              <w:spacing w:after="0" w:line="240" w:lineRule="auto"/>
              <w:rPr>
                <w:rFonts w:ascii="Times New Roman" w:hAnsi="Times New Roman"/>
                <w:b/>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290C9029" w14:textId="77777777" w:rsidR="008D4C1F" w:rsidRPr="00D75D2E" w:rsidRDefault="008D4C1F" w:rsidP="008D4C1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6203503B" w14:textId="77777777" w:rsidR="008D4C1F" w:rsidRPr="00D75D2E" w:rsidRDefault="008D4C1F" w:rsidP="008D4C1F">
            <w:pPr>
              <w:spacing w:after="0" w:line="240" w:lineRule="auto"/>
              <w:jc w:val="center"/>
              <w:rPr>
                <w:rFonts w:ascii="Times New Roman" w:eastAsia="Times New Roman" w:hAnsi="Times New Roman"/>
                <w:bCs/>
                <w:sz w:val="20"/>
                <w:szCs w:val="20"/>
              </w:rPr>
            </w:pPr>
            <w:r w:rsidRPr="00D75D2E">
              <w:rPr>
                <w:rFonts w:ascii="Times New Roman" w:eastAsia="Times New Roman" w:hAnsi="Times New Roman"/>
                <w:bCs/>
                <w:sz w:val="20"/>
                <w:szCs w:val="20"/>
              </w:rPr>
              <w:t>Directe</w:t>
            </w:r>
          </w:p>
        </w:tc>
        <w:tc>
          <w:tcPr>
            <w:tcW w:w="2026" w:type="dxa"/>
            <w:gridSpan w:val="3"/>
            <w:tcBorders>
              <w:top w:val="single" w:sz="4" w:space="0" w:color="auto"/>
              <w:left w:val="single" w:sz="4" w:space="0" w:color="auto"/>
              <w:bottom w:val="single" w:sz="4" w:space="0" w:color="auto"/>
              <w:right w:val="single" w:sz="4" w:space="0" w:color="auto"/>
            </w:tcBorders>
            <w:vAlign w:val="center"/>
          </w:tcPr>
          <w:p w14:paraId="3429D162" w14:textId="77777777" w:rsidR="008D4C1F" w:rsidRPr="00420C1B" w:rsidRDefault="008D4C1F" w:rsidP="008D4C1F">
            <w:pPr>
              <w:spacing w:after="0" w:line="240" w:lineRule="auto"/>
              <w:jc w:val="center"/>
              <w:rPr>
                <w:rFonts w:ascii="Times New Roman" w:hAnsi="Times New Roman"/>
                <w:sz w:val="20"/>
                <w:szCs w:val="20"/>
              </w:rPr>
            </w:pPr>
            <w:r w:rsidRPr="00420C1B">
              <w:rPr>
                <w:rFonts w:ascii="Times New Roman" w:hAnsi="Times New Roman"/>
                <w:sz w:val="20"/>
                <w:szCs w:val="20"/>
              </w:rPr>
              <w:t>Probable</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352704C" w14:textId="77777777" w:rsidR="008D4C1F" w:rsidRPr="00420C1B" w:rsidRDefault="008D4C1F" w:rsidP="008D4C1F">
            <w:pPr>
              <w:spacing w:after="0" w:line="240" w:lineRule="auto"/>
              <w:jc w:val="center"/>
              <w:rPr>
                <w:rFonts w:ascii="Times New Roman" w:hAnsi="Times New Roman"/>
                <w:sz w:val="20"/>
                <w:szCs w:val="20"/>
              </w:rPr>
            </w:pPr>
            <w:r w:rsidRPr="00420C1B">
              <w:rPr>
                <w:rFonts w:ascii="Times New Roman" w:hAnsi="Times New Roman"/>
                <w:sz w:val="20"/>
                <w:szCs w:val="20"/>
              </w:rPr>
              <w:t>Réversible</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4CAAE954" w14:textId="77777777" w:rsidR="008D4C1F" w:rsidRPr="00420C1B" w:rsidRDefault="008D4C1F" w:rsidP="008D4C1F">
            <w:pPr>
              <w:spacing w:after="0" w:line="240" w:lineRule="auto"/>
              <w:jc w:val="center"/>
              <w:rPr>
                <w:rFonts w:ascii="Times New Roman" w:hAnsi="Times New Roman"/>
                <w:sz w:val="20"/>
                <w:szCs w:val="20"/>
              </w:rPr>
            </w:pPr>
            <w:r w:rsidRPr="00420C1B">
              <w:rPr>
                <w:rFonts w:ascii="Times New Roman" w:hAnsi="Times New Roman"/>
                <w:sz w:val="20"/>
                <w:szCs w:val="20"/>
              </w:rPr>
              <w:t>Non</w:t>
            </w:r>
          </w:p>
        </w:tc>
      </w:tr>
      <w:tr w:rsidR="00767B63" w:rsidRPr="00420C1B" w14:paraId="22899A3D" w14:textId="77777777" w:rsidTr="00767B63">
        <w:trPr>
          <w:trHeight w:val="262"/>
          <w:jc w:val="center"/>
        </w:trPr>
        <w:tc>
          <w:tcPr>
            <w:tcW w:w="1831" w:type="dxa"/>
            <w:vMerge/>
            <w:tcBorders>
              <w:top w:val="single" w:sz="4" w:space="0" w:color="auto"/>
              <w:left w:val="single" w:sz="4" w:space="0" w:color="auto"/>
              <w:bottom w:val="single" w:sz="4" w:space="0" w:color="auto"/>
              <w:right w:val="single" w:sz="4" w:space="0" w:color="auto"/>
            </w:tcBorders>
            <w:vAlign w:val="center"/>
          </w:tcPr>
          <w:p w14:paraId="7003232D" w14:textId="77777777" w:rsidR="008D4C1F" w:rsidRPr="00D75D2E" w:rsidRDefault="008D4C1F" w:rsidP="008D4C1F">
            <w:pPr>
              <w:spacing w:after="0" w:line="240" w:lineRule="auto"/>
              <w:rPr>
                <w:rFonts w:ascii="Times New Roman" w:hAnsi="Times New Roman"/>
                <w:b/>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3697BB2" w14:textId="77777777" w:rsidR="008D4C1F" w:rsidRPr="00D75D2E" w:rsidRDefault="008D4C1F" w:rsidP="008D4C1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tcPr>
          <w:p w14:paraId="40BB295D" w14:textId="77777777" w:rsidR="008D4C1F" w:rsidRPr="00D75D2E" w:rsidRDefault="008D4C1F" w:rsidP="008D4C1F">
            <w:pPr>
              <w:pStyle w:val="Default"/>
              <w:jc w:val="center"/>
              <w:rPr>
                <w:rFonts w:eastAsia="Times New Roman"/>
                <w:b/>
                <w:bCs/>
                <w:i/>
                <w:color w:val="auto"/>
                <w:sz w:val="20"/>
                <w:szCs w:val="20"/>
                <w:lang w:eastAsia="en-US"/>
              </w:rPr>
            </w:pPr>
            <w:r w:rsidRPr="00D75D2E">
              <w:rPr>
                <w:rFonts w:eastAsia="Times New Roman"/>
                <w:b/>
                <w:bCs/>
                <w:i/>
                <w:color w:val="auto"/>
                <w:sz w:val="20"/>
                <w:szCs w:val="20"/>
                <w:lang w:eastAsia="en-US"/>
              </w:rPr>
              <w:t>Fréquence</w:t>
            </w:r>
          </w:p>
        </w:tc>
        <w:tc>
          <w:tcPr>
            <w:tcW w:w="2026" w:type="dxa"/>
            <w:gridSpan w:val="3"/>
            <w:tcBorders>
              <w:top w:val="single" w:sz="4" w:space="0" w:color="auto"/>
              <w:left w:val="single" w:sz="4" w:space="0" w:color="auto"/>
              <w:bottom w:val="single" w:sz="4" w:space="0" w:color="auto"/>
              <w:right w:val="single" w:sz="4" w:space="0" w:color="auto"/>
            </w:tcBorders>
            <w:vAlign w:val="center"/>
          </w:tcPr>
          <w:p w14:paraId="672EBC7C" w14:textId="77777777" w:rsidR="008D4C1F" w:rsidRPr="00420C1B" w:rsidRDefault="008D4C1F" w:rsidP="008D4C1F">
            <w:pPr>
              <w:spacing w:after="0" w:line="240" w:lineRule="auto"/>
              <w:jc w:val="center"/>
              <w:rPr>
                <w:rFonts w:ascii="Times New Roman" w:hAnsi="Times New Roman"/>
                <w:sz w:val="20"/>
                <w:szCs w:val="20"/>
              </w:rPr>
            </w:pPr>
            <w:r w:rsidRPr="00420C1B">
              <w:rPr>
                <w:rFonts w:ascii="Times New Roman" w:hAnsi="Times New Roman"/>
                <w:b/>
                <w:sz w:val="20"/>
                <w:szCs w:val="20"/>
              </w:rPr>
              <w:t>Valeur</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0701C9E0" w14:textId="77777777" w:rsidR="008D4C1F" w:rsidRPr="00420C1B" w:rsidRDefault="008D4C1F" w:rsidP="008D4C1F">
            <w:pPr>
              <w:spacing w:after="0" w:line="240" w:lineRule="auto"/>
              <w:jc w:val="center"/>
              <w:rPr>
                <w:rFonts w:ascii="Times New Roman" w:hAnsi="Times New Roman"/>
                <w:sz w:val="20"/>
                <w:szCs w:val="20"/>
              </w:rPr>
            </w:pP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AAA4E45" w14:textId="77777777" w:rsidR="008D4C1F" w:rsidRPr="00420C1B" w:rsidRDefault="008D4C1F" w:rsidP="008D4C1F">
            <w:pPr>
              <w:spacing w:after="0" w:line="240" w:lineRule="auto"/>
              <w:jc w:val="center"/>
              <w:rPr>
                <w:rFonts w:ascii="Times New Roman" w:hAnsi="Times New Roman"/>
                <w:sz w:val="20"/>
                <w:szCs w:val="20"/>
              </w:rPr>
            </w:pPr>
          </w:p>
        </w:tc>
      </w:tr>
      <w:tr w:rsidR="00D75D2E" w:rsidRPr="00420C1B" w14:paraId="4A4F5CC0" w14:textId="77777777" w:rsidTr="00E737B4">
        <w:trPr>
          <w:trHeight w:val="262"/>
          <w:jc w:val="center"/>
        </w:trPr>
        <w:tc>
          <w:tcPr>
            <w:tcW w:w="1831" w:type="dxa"/>
            <w:vMerge/>
            <w:tcBorders>
              <w:top w:val="single" w:sz="4" w:space="0" w:color="auto"/>
              <w:left w:val="single" w:sz="4" w:space="0" w:color="auto"/>
              <w:bottom w:val="single" w:sz="4" w:space="0" w:color="auto"/>
              <w:right w:val="single" w:sz="4" w:space="0" w:color="auto"/>
            </w:tcBorders>
            <w:vAlign w:val="center"/>
          </w:tcPr>
          <w:p w14:paraId="13EEE297" w14:textId="77777777" w:rsidR="008D4C1F" w:rsidRPr="00D75D2E" w:rsidRDefault="008D4C1F" w:rsidP="008D4C1F">
            <w:pPr>
              <w:spacing w:after="0" w:line="240" w:lineRule="auto"/>
              <w:rPr>
                <w:rFonts w:ascii="Times New Roman" w:hAnsi="Times New Roman"/>
                <w:b/>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E7778D2" w14:textId="77777777" w:rsidR="008D4C1F" w:rsidRPr="00D75D2E" w:rsidRDefault="008D4C1F" w:rsidP="008D4C1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5862F272" w14:textId="77777777" w:rsidR="008D4C1F" w:rsidRPr="00420C1B" w:rsidRDefault="008D4C1F" w:rsidP="008D4C1F">
            <w:pPr>
              <w:spacing w:after="0" w:line="240" w:lineRule="auto"/>
              <w:jc w:val="center"/>
              <w:rPr>
                <w:rFonts w:ascii="Times New Roman" w:hAnsi="Times New Roman"/>
                <w:sz w:val="20"/>
                <w:szCs w:val="20"/>
              </w:rPr>
            </w:pPr>
            <w:r w:rsidRPr="00420C1B">
              <w:rPr>
                <w:rFonts w:ascii="Times New Roman" w:hAnsi="Times New Roman"/>
                <w:sz w:val="20"/>
                <w:szCs w:val="20"/>
              </w:rPr>
              <w:t>Périodique</w:t>
            </w:r>
          </w:p>
        </w:tc>
        <w:tc>
          <w:tcPr>
            <w:tcW w:w="3302" w:type="dxa"/>
            <w:gridSpan w:val="5"/>
            <w:tcBorders>
              <w:top w:val="single" w:sz="4" w:space="0" w:color="auto"/>
              <w:left w:val="single" w:sz="4" w:space="0" w:color="auto"/>
              <w:bottom w:val="single" w:sz="4" w:space="0" w:color="auto"/>
              <w:right w:val="single" w:sz="4" w:space="0" w:color="auto"/>
            </w:tcBorders>
            <w:vAlign w:val="center"/>
          </w:tcPr>
          <w:p w14:paraId="66FBD74E" w14:textId="77777777" w:rsidR="008D4C1F" w:rsidRPr="00420C1B" w:rsidRDefault="008D4C1F" w:rsidP="008D4C1F">
            <w:pPr>
              <w:spacing w:after="0" w:line="240" w:lineRule="auto"/>
              <w:jc w:val="center"/>
              <w:rPr>
                <w:rFonts w:ascii="Times New Roman" w:hAnsi="Times New Roman"/>
                <w:sz w:val="20"/>
                <w:szCs w:val="20"/>
              </w:rPr>
            </w:pPr>
            <w:r w:rsidRPr="00D75D2E">
              <w:rPr>
                <w:rFonts w:ascii="Times New Roman" w:eastAsia="Times New Roman" w:hAnsi="Times New Roman"/>
                <w:bCs/>
                <w:sz w:val="20"/>
                <w:szCs w:val="20"/>
              </w:rPr>
              <w:t xml:space="preserve">Economique, Socio culturel </w:t>
            </w:r>
          </w:p>
        </w:tc>
        <w:tc>
          <w:tcPr>
            <w:tcW w:w="1663" w:type="dxa"/>
            <w:gridSpan w:val="2"/>
            <w:tcBorders>
              <w:top w:val="single" w:sz="4" w:space="0" w:color="auto"/>
              <w:left w:val="single" w:sz="4" w:space="0" w:color="auto"/>
              <w:bottom w:val="single" w:sz="4" w:space="0" w:color="auto"/>
              <w:right w:val="single" w:sz="4" w:space="0" w:color="auto"/>
            </w:tcBorders>
            <w:vAlign w:val="center"/>
          </w:tcPr>
          <w:p w14:paraId="667FA7A5" w14:textId="77777777" w:rsidR="008D4C1F" w:rsidRPr="00420C1B" w:rsidRDefault="008D4C1F" w:rsidP="008D4C1F">
            <w:pPr>
              <w:spacing w:after="0" w:line="240" w:lineRule="auto"/>
              <w:rPr>
                <w:rFonts w:ascii="Times New Roman" w:hAnsi="Times New Roman"/>
                <w:sz w:val="20"/>
                <w:szCs w:val="20"/>
              </w:rPr>
            </w:pPr>
          </w:p>
        </w:tc>
      </w:tr>
      <w:tr w:rsidR="00D75D2E" w:rsidRPr="00420C1B" w14:paraId="05998B95" w14:textId="77777777" w:rsidTr="00E737B4">
        <w:trPr>
          <w:trHeight w:val="507"/>
          <w:jc w:val="center"/>
        </w:trPr>
        <w:tc>
          <w:tcPr>
            <w:tcW w:w="1831" w:type="dxa"/>
            <w:vMerge/>
            <w:tcBorders>
              <w:top w:val="single" w:sz="4" w:space="0" w:color="auto"/>
              <w:left w:val="single" w:sz="4" w:space="0" w:color="auto"/>
              <w:bottom w:val="single" w:sz="4" w:space="0" w:color="auto"/>
              <w:right w:val="single" w:sz="4" w:space="0" w:color="auto"/>
            </w:tcBorders>
            <w:vAlign w:val="center"/>
            <w:hideMark/>
          </w:tcPr>
          <w:p w14:paraId="61A61C99" w14:textId="77777777" w:rsidR="00ED17F3" w:rsidRPr="00D75D2E" w:rsidRDefault="00ED17F3" w:rsidP="007108ED">
            <w:pPr>
              <w:spacing w:after="0" w:line="240" w:lineRule="auto"/>
              <w:rPr>
                <w:rFonts w:ascii="Times New Roman" w:hAnsi="Times New Roman"/>
                <w:b/>
                <w:sz w:val="20"/>
                <w:szCs w:val="20"/>
              </w:rPr>
            </w:pPr>
          </w:p>
        </w:tc>
        <w:tc>
          <w:tcPr>
            <w:tcW w:w="1870" w:type="dxa"/>
            <w:gridSpan w:val="3"/>
            <w:tcBorders>
              <w:top w:val="single" w:sz="4" w:space="0" w:color="auto"/>
              <w:left w:val="single" w:sz="4" w:space="0" w:color="auto"/>
              <w:bottom w:val="single" w:sz="4" w:space="0" w:color="auto"/>
              <w:right w:val="single" w:sz="4" w:space="0" w:color="auto"/>
            </w:tcBorders>
            <w:hideMark/>
          </w:tcPr>
          <w:p w14:paraId="3CA3F42C" w14:textId="77777777" w:rsidR="00ED17F3" w:rsidRPr="00D75D2E" w:rsidRDefault="00ED17F3" w:rsidP="007108ED">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6070" w:type="dxa"/>
            <w:gridSpan w:val="8"/>
            <w:tcBorders>
              <w:top w:val="single" w:sz="4" w:space="0" w:color="auto"/>
              <w:left w:val="single" w:sz="4" w:space="0" w:color="auto"/>
              <w:bottom w:val="single" w:sz="4" w:space="0" w:color="auto"/>
              <w:right w:val="single" w:sz="4" w:space="0" w:color="auto"/>
            </w:tcBorders>
            <w:hideMark/>
          </w:tcPr>
          <w:p w14:paraId="78DB069C" w14:textId="77777777" w:rsidR="00ED17F3" w:rsidRPr="00D75D2E" w:rsidRDefault="008D4C1F" w:rsidP="00C2159A">
            <w:pPr>
              <w:autoSpaceDE w:val="0"/>
              <w:autoSpaceDN w:val="0"/>
              <w:adjustRightInd w:val="0"/>
              <w:spacing w:after="0" w:line="240" w:lineRule="auto"/>
              <w:jc w:val="both"/>
              <w:rPr>
                <w:rFonts w:ascii="Times New Roman" w:eastAsia="Times New Roman" w:hAnsi="Times New Roman"/>
                <w:sz w:val="20"/>
                <w:szCs w:val="20"/>
                <w:lang w:eastAsia="fr-FR"/>
              </w:rPr>
            </w:pPr>
            <w:r w:rsidRPr="00D75D2E">
              <w:rPr>
                <w:rFonts w:ascii="Times New Roman" w:hAnsi="Times New Roman"/>
                <w:sz w:val="20"/>
                <w:szCs w:val="20"/>
              </w:rPr>
              <w:t>Les travaux de nettoyage de l’emprise du tracé et l’exploitation de zone d’emprunt nécessiteront l</w:t>
            </w:r>
            <w:r w:rsidR="00ED17F3" w:rsidRPr="00D75D2E">
              <w:rPr>
                <w:rFonts w:ascii="Times New Roman" w:hAnsi="Times New Roman"/>
                <w:sz w:val="20"/>
                <w:szCs w:val="20"/>
              </w:rPr>
              <w:t>’abattage d’arbres</w:t>
            </w:r>
            <w:r w:rsidR="00E90A25" w:rsidRPr="00D75D2E">
              <w:rPr>
                <w:rFonts w:ascii="Times New Roman" w:hAnsi="Times New Roman"/>
                <w:sz w:val="20"/>
                <w:szCs w:val="20"/>
              </w:rPr>
              <w:t>,</w:t>
            </w:r>
            <w:r w:rsidR="00ED17F3" w:rsidRPr="00D75D2E">
              <w:rPr>
                <w:rFonts w:ascii="Times New Roman" w:hAnsi="Times New Roman"/>
                <w:sz w:val="20"/>
                <w:szCs w:val="20"/>
              </w:rPr>
              <w:t xml:space="preserve"> </w:t>
            </w:r>
            <w:r w:rsidR="00E90A25" w:rsidRPr="00D75D2E">
              <w:rPr>
                <w:rFonts w:ascii="Times New Roman" w:hAnsi="Times New Roman"/>
                <w:sz w:val="20"/>
                <w:szCs w:val="20"/>
              </w:rPr>
              <w:t>avec comme</w:t>
            </w:r>
            <w:r w:rsidRPr="00D75D2E">
              <w:rPr>
                <w:rFonts w:ascii="Times New Roman" w:hAnsi="Times New Roman"/>
                <w:sz w:val="20"/>
                <w:szCs w:val="20"/>
              </w:rPr>
              <w:t xml:space="preserve"> conséquence </w:t>
            </w:r>
            <w:r w:rsidR="00ED17F3" w:rsidRPr="00D75D2E">
              <w:rPr>
                <w:rFonts w:ascii="Times New Roman" w:hAnsi="Times New Roman"/>
                <w:sz w:val="20"/>
                <w:szCs w:val="20"/>
              </w:rPr>
              <w:t xml:space="preserve">la perte d’habitat faunique surtout pour la faune aviaire. </w:t>
            </w:r>
            <w:r w:rsidR="00C2444A" w:rsidRPr="00D75D2E">
              <w:rPr>
                <w:rFonts w:ascii="Times New Roman" w:hAnsi="Times New Roman"/>
                <w:sz w:val="20"/>
                <w:szCs w:val="20"/>
              </w:rPr>
              <w:t xml:space="preserve">Cet impact est d’intensité </w:t>
            </w:r>
            <w:r w:rsidR="00C2159A" w:rsidRPr="00D75D2E">
              <w:rPr>
                <w:rFonts w:ascii="Times New Roman" w:hAnsi="Times New Roman"/>
                <w:sz w:val="20"/>
                <w:szCs w:val="20"/>
              </w:rPr>
              <w:t>moyenne</w:t>
            </w:r>
            <w:r w:rsidR="00C2444A" w:rsidRPr="00D75D2E">
              <w:rPr>
                <w:rFonts w:ascii="Times New Roman" w:hAnsi="Times New Roman"/>
                <w:sz w:val="20"/>
                <w:szCs w:val="20"/>
              </w:rPr>
              <w:t xml:space="preserve">, d’une étendue ponctuelle et de durée permanente (longue), et donc d’importance </w:t>
            </w:r>
            <w:r w:rsidR="00C2159A" w:rsidRPr="00D75D2E">
              <w:rPr>
                <w:rFonts w:ascii="Times New Roman" w:hAnsi="Times New Roman"/>
                <w:sz w:val="20"/>
                <w:szCs w:val="20"/>
              </w:rPr>
              <w:t>moyenne</w:t>
            </w:r>
            <w:r w:rsidR="00C2444A" w:rsidRPr="00D75D2E">
              <w:rPr>
                <w:rFonts w:ascii="Times New Roman" w:hAnsi="Times New Roman"/>
                <w:sz w:val="20"/>
                <w:szCs w:val="20"/>
              </w:rPr>
              <w:t>.</w:t>
            </w:r>
          </w:p>
        </w:tc>
      </w:tr>
      <w:tr w:rsidR="00D75D2E" w:rsidRPr="00420C1B" w14:paraId="0994A719" w14:textId="77777777" w:rsidTr="00E737B4">
        <w:trPr>
          <w:trHeight w:val="500"/>
          <w:jc w:val="center"/>
        </w:trPr>
        <w:tc>
          <w:tcPr>
            <w:tcW w:w="4806" w:type="dxa"/>
            <w:gridSpan w:val="5"/>
            <w:tcBorders>
              <w:top w:val="single" w:sz="4" w:space="0" w:color="auto"/>
              <w:left w:val="single" w:sz="4" w:space="0" w:color="auto"/>
              <w:bottom w:val="single" w:sz="4" w:space="0" w:color="auto"/>
              <w:right w:val="single" w:sz="4" w:space="0" w:color="auto"/>
            </w:tcBorders>
            <w:hideMark/>
          </w:tcPr>
          <w:p w14:paraId="6E8C7ECF" w14:textId="77777777" w:rsidR="00ED17F3" w:rsidRPr="00D75D2E" w:rsidRDefault="00ED17F3" w:rsidP="007108ED">
            <w:pPr>
              <w:spacing w:after="0" w:line="240" w:lineRule="auto"/>
              <w:jc w:val="both"/>
              <w:rPr>
                <w:rFonts w:ascii="Times New Roman" w:eastAsia="Times New Roman" w:hAnsi="Times New Roman"/>
                <w:sz w:val="20"/>
                <w:szCs w:val="20"/>
                <w:lang w:eastAsia="fr-FR"/>
              </w:rPr>
            </w:pPr>
            <w:r w:rsidRPr="00D75D2E">
              <w:rPr>
                <w:rFonts w:ascii="Times New Roman" w:hAnsi="Times New Roman"/>
                <w:b/>
                <w:sz w:val="20"/>
                <w:szCs w:val="20"/>
              </w:rPr>
              <w:t>Titre de la mesure d’atténuation</w:t>
            </w:r>
            <w:r w:rsidRPr="00D75D2E">
              <w:rPr>
                <w:rFonts w:ascii="Times New Roman" w:hAnsi="Times New Roman"/>
                <w:sz w:val="20"/>
                <w:szCs w:val="20"/>
              </w:rPr>
              <w:t xml:space="preserve"> : </w:t>
            </w:r>
          </w:p>
        </w:tc>
        <w:tc>
          <w:tcPr>
            <w:tcW w:w="4965" w:type="dxa"/>
            <w:gridSpan w:val="7"/>
            <w:tcBorders>
              <w:top w:val="single" w:sz="4" w:space="0" w:color="auto"/>
              <w:left w:val="single" w:sz="4" w:space="0" w:color="auto"/>
              <w:bottom w:val="single" w:sz="4" w:space="0" w:color="auto"/>
              <w:right w:val="single" w:sz="4" w:space="0" w:color="auto"/>
            </w:tcBorders>
            <w:hideMark/>
          </w:tcPr>
          <w:p w14:paraId="1EE9C76F" w14:textId="77777777" w:rsidR="00ED17F3" w:rsidRPr="00D75D2E" w:rsidRDefault="00ED17F3" w:rsidP="008C79F0">
            <w:pPr>
              <w:pStyle w:val="Paragraphedeliste"/>
              <w:numPr>
                <w:ilvl w:val="0"/>
                <w:numId w:val="32"/>
              </w:numPr>
              <w:autoSpaceDE w:val="0"/>
              <w:autoSpaceDN w:val="0"/>
              <w:adjustRightInd w:val="0"/>
              <w:spacing w:after="0" w:line="240" w:lineRule="auto"/>
              <w:ind w:left="206" w:hanging="206"/>
              <w:jc w:val="both"/>
              <w:rPr>
                <w:rFonts w:ascii="Times New Roman" w:eastAsia="Times New Roman" w:hAnsi="Times New Roman"/>
                <w:sz w:val="20"/>
                <w:szCs w:val="20"/>
                <w:lang w:eastAsia="fr-FR"/>
              </w:rPr>
            </w:pPr>
            <w:r w:rsidRPr="00D75D2E">
              <w:rPr>
                <w:rFonts w:ascii="Times New Roman" w:hAnsi="Times New Roman"/>
                <w:sz w:val="20"/>
                <w:szCs w:val="20"/>
              </w:rPr>
              <w:t xml:space="preserve">Éviter la perte et ou la délocalisation de la faune </w:t>
            </w:r>
          </w:p>
        </w:tc>
      </w:tr>
      <w:tr w:rsidR="00D75D2E" w:rsidRPr="00420C1B" w14:paraId="5D655ED6" w14:textId="77777777" w:rsidTr="00E737B4">
        <w:trPr>
          <w:trHeight w:val="1808"/>
          <w:jc w:val="center"/>
        </w:trPr>
        <w:tc>
          <w:tcPr>
            <w:tcW w:w="4806" w:type="dxa"/>
            <w:gridSpan w:val="5"/>
            <w:tcBorders>
              <w:top w:val="single" w:sz="4" w:space="0" w:color="auto"/>
              <w:left w:val="single" w:sz="4" w:space="0" w:color="auto"/>
              <w:bottom w:val="single" w:sz="4" w:space="0" w:color="auto"/>
              <w:right w:val="single" w:sz="4" w:space="0" w:color="auto"/>
            </w:tcBorders>
            <w:hideMark/>
          </w:tcPr>
          <w:p w14:paraId="26DB1F48" w14:textId="77777777" w:rsidR="00ED17F3" w:rsidRPr="00D75D2E" w:rsidRDefault="00ED17F3" w:rsidP="007108ED">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Objectif de la mesure d’atténuation</w:t>
            </w:r>
            <w:r w:rsidRPr="00D75D2E">
              <w:rPr>
                <w:rFonts w:ascii="Times New Roman" w:hAnsi="Times New Roman"/>
                <w:sz w:val="20"/>
                <w:szCs w:val="20"/>
              </w:rPr>
              <w:t xml:space="preserve"> : </w:t>
            </w:r>
          </w:p>
          <w:p w14:paraId="3F4BE5A6" w14:textId="77777777" w:rsidR="00ED17F3" w:rsidRPr="00D75D2E"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sz w:val="20"/>
                <w:szCs w:val="20"/>
              </w:rPr>
              <w:t xml:space="preserve">Minimiser la destruction des habitats fauniques </w:t>
            </w:r>
          </w:p>
        </w:tc>
        <w:tc>
          <w:tcPr>
            <w:tcW w:w="4965" w:type="dxa"/>
            <w:gridSpan w:val="7"/>
            <w:tcBorders>
              <w:top w:val="single" w:sz="4" w:space="0" w:color="auto"/>
              <w:left w:val="single" w:sz="4" w:space="0" w:color="auto"/>
              <w:bottom w:val="single" w:sz="4" w:space="0" w:color="auto"/>
              <w:right w:val="single" w:sz="4" w:space="0" w:color="auto"/>
            </w:tcBorders>
            <w:hideMark/>
          </w:tcPr>
          <w:p w14:paraId="5DB5D8A3" w14:textId="77777777" w:rsidR="00ED17F3" w:rsidRPr="00D75D2E"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2444BC0F" w14:textId="77777777" w:rsidR="00ED17F3" w:rsidRPr="00D75D2E" w:rsidRDefault="00ED17F3"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D75D2E">
              <w:rPr>
                <w:rFonts w:ascii="Times New Roman" w:hAnsi="Times New Roman"/>
                <w:sz w:val="20"/>
                <w:szCs w:val="20"/>
              </w:rPr>
              <w:t xml:space="preserve">Minimiser la perte en </w:t>
            </w:r>
            <w:r w:rsidR="00574DAA" w:rsidRPr="00D75D2E">
              <w:rPr>
                <w:rFonts w:ascii="Times New Roman" w:hAnsi="Times New Roman"/>
                <w:sz w:val="20"/>
                <w:szCs w:val="20"/>
              </w:rPr>
              <w:t>couvert végétal en préconisant d</w:t>
            </w:r>
            <w:r w:rsidRPr="00D75D2E">
              <w:rPr>
                <w:rFonts w:ascii="Times New Roman" w:hAnsi="Times New Roman"/>
                <w:sz w:val="20"/>
                <w:szCs w:val="20"/>
              </w:rPr>
              <w:t xml:space="preserve">’abattre uniquement les espèces gênantes ; </w:t>
            </w:r>
          </w:p>
          <w:p w14:paraId="7BEF52ED" w14:textId="77777777" w:rsidR="00ED17F3" w:rsidRPr="00D75D2E" w:rsidRDefault="00574DAA"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D75D2E">
              <w:rPr>
                <w:rFonts w:ascii="Times New Roman" w:hAnsi="Times New Roman"/>
                <w:sz w:val="20"/>
                <w:szCs w:val="20"/>
              </w:rPr>
              <w:t>Sensibiliser</w:t>
            </w:r>
            <w:r w:rsidR="00ED17F3" w:rsidRPr="00D75D2E">
              <w:rPr>
                <w:rFonts w:ascii="Times New Roman" w:hAnsi="Times New Roman"/>
                <w:sz w:val="20"/>
                <w:szCs w:val="20"/>
              </w:rPr>
              <w:t xml:space="preserve"> sur l’interdiction de chasse dans la zone des travaux ;</w:t>
            </w:r>
          </w:p>
          <w:p w14:paraId="274D593E" w14:textId="77777777" w:rsidR="00ED17F3" w:rsidRPr="00D75D2E" w:rsidRDefault="00ED17F3"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D75D2E">
              <w:rPr>
                <w:rFonts w:ascii="Times New Roman" w:hAnsi="Times New Roman"/>
                <w:sz w:val="20"/>
                <w:szCs w:val="20"/>
              </w:rPr>
              <w:t>Prévoir un reboisement compensatoire en espèces locales.</w:t>
            </w:r>
          </w:p>
        </w:tc>
      </w:tr>
      <w:tr w:rsidR="00D75D2E" w:rsidRPr="00420C1B" w14:paraId="44195AA3" w14:textId="77777777" w:rsidTr="00E737B4">
        <w:trPr>
          <w:trHeight w:val="250"/>
          <w:jc w:val="center"/>
        </w:trPr>
        <w:tc>
          <w:tcPr>
            <w:tcW w:w="4806" w:type="dxa"/>
            <w:gridSpan w:val="5"/>
            <w:tcBorders>
              <w:top w:val="single" w:sz="4" w:space="0" w:color="auto"/>
              <w:left w:val="single" w:sz="4" w:space="0" w:color="auto"/>
              <w:bottom w:val="single" w:sz="4" w:space="0" w:color="auto"/>
              <w:right w:val="single" w:sz="4" w:space="0" w:color="auto"/>
            </w:tcBorders>
          </w:tcPr>
          <w:p w14:paraId="14F4243E" w14:textId="77777777" w:rsidR="00ED17F3" w:rsidRPr="00D75D2E" w:rsidRDefault="00ED17F3" w:rsidP="007108ED">
            <w:pPr>
              <w:spacing w:after="0" w:line="240" w:lineRule="auto"/>
              <w:rPr>
                <w:rFonts w:ascii="Times New Roman" w:hAnsi="Times New Roman"/>
                <w:b/>
                <w:sz w:val="20"/>
                <w:szCs w:val="20"/>
              </w:rPr>
            </w:pPr>
            <w:r w:rsidRPr="00D75D2E">
              <w:rPr>
                <w:rFonts w:ascii="Times New Roman" w:hAnsi="Times New Roman"/>
                <w:b/>
                <w:sz w:val="20"/>
                <w:szCs w:val="20"/>
              </w:rPr>
              <w:t>Impact résiduel</w:t>
            </w:r>
          </w:p>
        </w:tc>
        <w:tc>
          <w:tcPr>
            <w:tcW w:w="4965" w:type="dxa"/>
            <w:gridSpan w:val="7"/>
            <w:tcBorders>
              <w:top w:val="single" w:sz="4" w:space="0" w:color="auto"/>
              <w:left w:val="single" w:sz="4" w:space="0" w:color="auto"/>
              <w:bottom w:val="single" w:sz="4" w:space="0" w:color="auto"/>
              <w:right w:val="single" w:sz="4" w:space="0" w:color="auto"/>
            </w:tcBorders>
          </w:tcPr>
          <w:p w14:paraId="751F1298" w14:textId="77777777" w:rsidR="00ED17F3" w:rsidRPr="00D75D2E" w:rsidRDefault="00ED17F3" w:rsidP="007108ED">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sz w:val="20"/>
                <w:szCs w:val="20"/>
                <w:u w:val="single"/>
              </w:rPr>
              <w:t>Mineur</w:t>
            </w:r>
          </w:p>
        </w:tc>
      </w:tr>
      <w:tr w:rsidR="00D75D2E" w:rsidRPr="00420C1B" w14:paraId="17124D44" w14:textId="77777777" w:rsidTr="00E737B4">
        <w:trPr>
          <w:trHeight w:val="932"/>
          <w:jc w:val="center"/>
        </w:trPr>
        <w:tc>
          <w:tcPr>
            <w:tcW w:w="3587" w:type="dxa"/>
            <w:gridSpan w:val="3"/>
            <w:tcBorders>
              <w:top w:val="single" w:sz="4" w:space="0" w:color="auto"/>
              <w:left w:val="single" w:sz="4" w:space="0" w:color="auto"/>
              <w:bottom w:val="single" w:sz="4" w:space="0" w:color="auto"/>
              <w:right w:val="single" w:sz="4" w:space="0" w:color="auto"/>
            </w:tcBorders>
          </w:tcPr>
          <w:p w14:paraId="1BB6FE27" w14:textId="77777777" w:rsidR="00C86B57" w:rsidRPr="00D75D2E" w:rsidRDefault="00C86B57" w:rsidP="007108ED">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 de surveillance</w:t>
            </w:r>
          </w:p>
          <w:p w14:paraId="5640D6F6"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 xml:space="preserve">MdC, </w:t>
            </w:r>
          </w:p>
          <w:p w14:paraId="10838F6F"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 xml:space="preserve">ACE, </w:t>
            </w:r>
          </w:p>
          <w:p w14:paraId="222256AA"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CPE, Sous cellule environnementale et sociale de l’UCM</w:t>
            </w:r>
          </w:p>
        </w:tc>
        <w:tc>
          <w:tcPr>
            <w:tcW w:w="3245" w:type="dxa"/>
            <w:gridSpan w:val="5"/>
            <w:tcBorders>
              <w:top w:val="single" w:sz="4" w:space="0" w:color="auto"/>
              <w:left w:val="single" w:sz="4" w:space="0" w:color="auto"/>
              <w:bottom w:val="single" w:sz="4" w:space="0" w:color="auto"/>
              <w:right w:val="single" w:sz="4" w:space="0" w:color="auto"/>
            </w:tcBorders>
          </w:tcPr>
          <w:p w14:paraId="1A637A39" w14:textId="77777777" w:rsidR="00C86B57" w:rsidRPr="00D75D2E" w:rsidRDefault="00C86B57" w:rsidP="007108ED">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 xml:space="preserve">Acteurs de suivi </w:t>
            </w:r>
          </w:p>
          <w:p w14:paraId="7554949A"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ACE ;</w:t>
            </w:r>
          </w:p>
          <w:p w14:paraId="48D5C51E"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 xml:space="preserve"> APE et ;</w:t>
            </w:r>
          </w:p>
          <w:p w14:paraId="4BF7DC66" w14:textId="77777777" w:rsidR="00C86B57" w:rsidRPr="00D75D2E" w:rsidRDefault="00C86B57" w:rsidP="007108ED">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 xml:space="preserve"> Service environnement des communes concernées </w:t>
            </w:r>
          </w:p>
        </w:tc>
        <w:tc>
          <w:tcPr>
            <w:tcW w:w="2939" w:type="dxa"/>
            <w:gridSpan w:val="4"/>
            <w:tcBorders>
              <w:top w:val="single" w:sz="4" w:space="0" w:color="auto"/>
              <w:left w:val="single" w:sz="4" w:space="0" w:color="auto"/>
              <w:bottom w:val="single" w:sz="4" w:space="0" w:color="auto"/>
              <w:right w:val="single" w:sz="4" w:space="0" w:color="auto"/>
            </w:tcBorders>
          </w:tcPr>
          <w:p w14:paraId="7ECF2059" w14:textId="77777777" w:rsidR="00C86B57" w:rsidRPr="00D75D2E" w:rsidRDefault="00C86B57" w:rsidP="007108ED">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 xml:space="preserve">Indicateurs de suivi </w:t>
            </w:r>
          </w:p>
          <w:p w14:paraId="6B18FABA" w14:textId="77777777" w:rsidR="00C86B57" w:rsidRPr="00D75D2E" w:rsidRDefault="00C86B57" w:rsidP="008C79F0">
            <w:pPr>
              <w:numPr>
                <w:ilvl w:val="0"/>
                <w:numId w:val="31"/>
              </w:numPr>
              <w:autoSpaceDE w:val="0"/>
              <w:autoSpaceDN w:val="0"/>
              <w:adjustRightInd w:val="0"/>
              <w:spacing w:after="0" w:line="240" w:lineRule="auto"/>
              <w:contextualSpacing/>
              <w:jc w:val="both"/>
              <w:rPr>
                <w:rFonts w:ascii="Times New Roman" w:hAnsi="Times New Roman"/>
                <w:sz w:val="20"/>
                <w:szCs w:val="20"/>
              </w:rPr>
            </w:pPr>
            <w:r w:rsidRPr="00D75D2E">
              <w:rPr>
                <w:rFonts w:ascii="Times New Roman" w:hAnsi="Times New Roman"/>
                <w:sz w:val="20"/>
                <w:szCs w:val="20"/>
              </w:rPr>
              <w:t>80% de taux de reprise de plants reboisés ;</w:t>
            </w:r>
          </w:p>
          <w:p w14:paraId="3857B046" w14:textId="77777777" w:rsidR="00C86B57" w:rsidRPr="00D75D2E" w:rsidRDefault="00C86B57" w:rsidP="008C79F0">
            <w:pPr>
              <w:numPr>
                <w:ilvl w:val="0"/>
                <w:numId w:val="31"/>
              </w:numPr>
              <w:autoSpaceDE w:val="0"/>
              <w:autoSpaceDN w:val="0"/>
              <w:adjustRightInd w:val="0"/>
              <w:spacing w:after="0" w:line="240" w:lineRule="auto"/>
              <w:contextualSpacing/>
              <w:jc w:val="both"/>
              <w:rPr>
                <w:rFonts w:ascii="Times New Roman" w:hAnsi="Times New Roman"/>
                <w:sz w:val="20"/>
                <w:szCs w:val="20"/>
              </w:rPr>
            </w:pPr>
            <w:r w:rsidRPr="00D75D2E">
              <w:rPr>
                <w:rFonts w:ascii="Times New Roman" w:hAnsi="Times New Roman"/>
                <w:sz w:val="20"/>
                <w:szCs w:val="20"/>
              </w:rPr>
              <w:t>PV de sensibilisation sur l’interdiction de chasse</w:t>
            </w:r>
          </w:p>
        </w:tc>
      </w:tr>
      <w:tr w:rsidR="00767B63" w:rsidRPr="00420C1B" w14:paraId="10CCD5A2" w14:textId="77777777" w:rsidTr="00E737B4">
        <w:trPr>
          <w:trHeight w:val="193"/>
          <w:jc w:val="center"/>
        </w:trPr>
        <w:tc>
          <w:tcPr>
            <w:tcW w:w="1831" w:type="dxa"/>
            <w:tcBorders>
              <w:top w:val="single" w:sz="4" w:space="0" w:color="auto"/>
              <w:left w:val="single" w:sz="4" w:space="0" w:color="auto"/>
              <w:bottom w:val="single" w:sz="4" w:space="0" w:color="auto"/>
              <w:right w:val="single" w:sz="4" w:space="0" w:color="auto"/>
            </w:tcBorders>
            <w:hideMark/>
          </w:tcPr>
          <w:p w14:paraId="342AE965" w14:textId="77777777" w:rsidR="00ED17F3" w:rsidRPr="00D75D2E" w:rsidRDefault="00ED17F3" w:rsidP="007108ED">
            <w:pPr>
              <w:autoSpaceDE w:val="0"/>
              <w:autoSpaceDN w:val="0"/>
              <w:adjustRightInd w:val="0"/>
              <w:spacing w:after="0" w:line="240" w:lineRule="auto"/>
              <w:jc w:val="center"/>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839" w:type="dxa"/>
            <w:tcBorders>
              <w:top w:val="single" w:sz="4" w:space="0" w:color="auto"/>
              <w:left w:val="single" w:sz="4" w:space="0" w:color="auto"/>
              <w:bottom w:val="single" w:sz="4" w:space="0" w:color="auto"/>
              <w:right w:val="single" w:sz="4" w:space="0" w:color="auto"/>
            </w:tcBorders>
            <w:hideMark/>
          </w:tcPr>
          <w:p w14:paraId="6D488A4D" w14:textId="77777777" w:rsidR="00ED17F3" w:rsidRPr="00D75D2E" w:rsidRDefault="00ED17F3" w:rsidP="007108ED">
            <w:pPr>
              <w:autoSpaceDE w:val="0"/>
              <w:autoSpaceDN w:val="0"/>
              <w:adjustRightInd w:val="0"/>
              <w:spacing w:after="0" w:line="240" w:lineRule="auto"/>
              <w:jc w:val="center"/>
              <w:rPr>
                <w:rFonts w:ascii="Times New Roman" w:hAnsi="Times New Roman"/>
                <w:b/>
                <w:sz w:val="20"/>
                <w:szCs w:val="20"/>
                <w:u w:val="single"/>
              </w:rPr>
            </w:pPr>
            <w:r w:rsidRPr="00D75D2E">
              <w:rPr>
                <w:rFonts w:ascii="Times New Roman" w:hAnsi="Times New Roman"/>
                <w:sz w:val="20"/>
                <w:szCs w:val="20"/>
              </w:rPr>
              <w:t>Unité</w:t>
            </w:r>
          </w:p>
        </w:tc>
        <w:tc>
          <w:tcPr>
            <w:tcW w:w="1031" w:type="dxa"/>
            <w:gridSpan w:val="2"/>
            <w:tcBorders>
              <w:top w:val="single" w:sz="4" w:space="0" w:color="auto"/>
              <w:left w:val="single" w:sz="4" w:space="0" w:color="auto"/>
              <w:bottom w:val="single" w:sz="4" w:space="0" w:color="auto"/>
              <w:right w:val="single" w:sz="4" w:space="0" w:color="auto"/>
            </w:tcBorders>
          </w:tcPr>
          <w:p w14:paraId="12EE982C" w14:textId="77777777" w:rsidR="00ED17F3" w:rsidRPr="00D75D2E" w:rsidRDefault="00ED17F3" w:rsidP="007108E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p w14:paraId="66508E8C" w14:textId="77777777" w:rsidR="00ED17F3" w:rsidRPr="00D75D2E" w:rsidRDefault="00ED17F3" w:rsidP="007108ED">
            <w:pPr>
              <w:autoSpaceDE w:val="0"/>
              <w:autoSpaceDN w:val="0"/>
              <w:adjustRightInd w:val="0"/>
              <w:spacing w:after="0" w:line="240" w:lineRule="auto"/>
              <w:jc w:val="center"/>
              <w:rPr>
                <w:rFonts w:ascii="Times New Roman" w:hAnsi="Times New Roman"/>
                <w:b/>
                <w:sz w:val="20"/>
                <w:szCs w:val="20"/>
                <w:u w:val="single"/>
              </w:rPr>
            </w:pPr>
          </w:p>
        </w:tc>
        <w:tc>
          <w:tcPr>
            <w:tcW w:w="1939" w:type="dxa"/>
            <w:gridSpan w:val="2"/>
            <w:tcBorders>
              <w:top w:val="single" w:sz="4" w:space="0" w:color="auto"/>
              <w:left w:val="single" w:sz="4" w:space="0" w:color="auto"/>
              <w:bottom w:val="single" w:sz="4" w:space="0" w:color="auto"/>
              <w:right w:val="single" w:sz="4" w:space="0" w:color="auto"/>
            </w:tcBorders>
          </w:tcPr>
          <w:p w14:paraId="3B798466" w14:textId="77777777" w:rsidR="00ED17F3" w:rsidRPr="00D75D2E" w:rsidRDefault="00ED17F3" w:rsidP="007108E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1192" w:type="dxa"/>
            <w:gridSpan w:val="2"/>
            <w:tcBorders>
              <w:top w:val="single" w:sz="4" w:space="0" w:color="auto"/>
              <w:left w:val="single" w:sz="4" w:space="0" w:color="auto"/>
              <w:bottom w:val="single" w:sz="4" w:space="0" w:color="auto"/>
              <w:right w:val="single" w:sz="4" w:space="0" w:color="auto"/>
            </w:tcBorders>
          </w:tcPr>
          <w:p w14:paraId="3FD91A57" w14:textId="77777777" w:rsidR="00ED17F3" w:rsidRPr="00D75D2E" w:rsidRDefault="00ED17F3" w:rsidP="007108E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1157" w:type="dxa"/>
            <w:tcBorders>
              <w:top w:val="single" w:sz="4" w:space="0" w:color="auto"/>
              <w:left w:val="single" w:sz="4" w:space="0" w:color="auto"/>
              <w:bottom w:val="single" w:sz="4" w:space="0" w:color="auto"/>
              <w:right w:val="single" w:sz="4" w:space="0" w:color="auto"/>
            </w:tcBorders>
          </w:tcPr>
          <w:p w14:paraId="06D45AEB" w14:textId="77777777" w:rsidR="00ED17F3" w:rsidRPr="00D75D2E" w:rsidRDefault="00ED17F3" w:rsidP="007108ED">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959" w:type="dxa"/>
            <w:gridSpan w:val="2"/>
            <w:tcBorders>
              <w:top w:val="single" w:sz="4" w:space="0" w:color="auto"/>
              <w:left w:val="single" w:sz="4" w:space="0" w:color="auto"/>
              <w:bottom w:val="single" w:sz="4" w:space="0" w:color="auto"/>
              <w:right w:val="single" w:sz="4" w:space="0" w:color="auto"/>
            </w:tcBorders>
            <w:hideMark/>
          </w:tcPr>
          <w:p w14:paraId="1BB09EA6" w14:textId="77777777" w:rsidR="00ED17F3" w:rsidRPr="00D75D2E" w:rsidRDefault="00ED17F3" w:rsidP="007108ED">
            <w:pPr>
              <w:autoSpaceDE w:val="0"/>
              <w:autoSpaceDN w:val="0"/>
              <w:adjustRightInd w:val="0"/>
              <w:spacing w:after="0" w:line="240" w:lineRule="auto"/>
              <w:jc w:val="center"/>
              <w:rPr>
                <w:rFonts w:ascii="Times New Roman" w:hAnsi="Times New Roman"/>
                <w:b/>
                <w:sz w:val="20"/>
                <w:szCs w:val="20"/>
                <w:u w:val="single"/>
              </w:rPr>
            </w:pPr>
            <w:r w:rsidRPr="00D75D2E">
              <w:rPr>
                <w:rFonts w:ascii="Times New Roman" w:hAnsi="Times New Roman"/>
                <w:sz w:val="20"/>
                <w:szCs w:val="20"/>
              </w:rPr>
              <w:t>Coût total</w:t>
            </w:r>
          </w:p>
        </w:tc>
        <w:tc>
          <w:tcPr>
            <w:tcW w:w="823" w:type="dxa"/>
            <w:tcBorders>
              <w:top w:val="single" w:sz="4" w:space="0" w:color="auto"/>
              <w:left w:val="single" w:sz="4" w:space="0" w:color="auto"/>
              <w:bottom w:val="single" w:sz="4" w:space="0" w:color="auto"/>
              <w:right w:val="single" w:sz="4" w:space="0" w:color="auto"/>
            </w:tcBorders>
            <w:hideMark/>
          </w:tcPr>
          <w:p w14:paraId="61C2FF66" w14:textId="77777777" w:rsidR="00ED17F3" w:rsidRPr="00D75D2E" w:rsidRDefault="00ED17F3" w:rsidP="007108ED">
            <w:pPr>
              <w:autoSpaceDE w:val="0"/>
              <w:autoSpaceDN w:val="0"/>
              <w:adjustRightInd w:val="0"/>
              <w:spacing w:after="0" w:line="240" w:lineRule="auto"/>
              <w:jc w:val="center"/>
              <w:rPr>
                <w:rFonts w:ascii="Times New Roman" w:hAnsi="Times New Roman"/>
                <w:b/>
                <w:sz w:val="20"/>
                <w:szCs w:val="20"/>
                <w:u w:val="single"/>
              </w:rPr>
            </w:pPr>
            <w:r w:rsidRPr="00D75D2E">
              <w:rPr>
                <w:rFonts w:ascii="Times New Roman" w:hAnsi="Times New Roman"/>
                <w:sz w:val="20"/>
                <w:szCs w:val="20"/>
              </w:rPr>
              <w:t>Calendrier de mise en œuvre</w:t>
            </w:r>
          </w:p>
        </w:tc>
      </w:tr>
      <w:tr w:rsidR="00767B63" w:rsidRPr="00420C1B" w14:paraId="4B856912" w14:textId="77777777" w:rsidTr="00E737B4">
        <w:trPr>
          <w:trHeight w:val="57"/>
          <w:jc w:val="center"/>
        </w:trPr>
        <w:tc>
          <w:tcPr>
            <w:tcW w:w="1831" w:type="dxa"/>
            <w:tcBorders>
              <w:top w:val="single" w:sz="4" w:space="0" w:color="auto"/>
              <w:left w:val="single" w:sz="4" w:space="0" w:color="auto"/>
              <w:bottom w:val="single" w:sz="4" w:space="0" w:color="auto"/>
              <w:right w:val="single" w:sz="4" w:space="0" w:color="auto"/>
            </w:tcBorders>
          </w:tcPr>
          <w:p w14:paraId="1D2C58B5"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Information et sensibilisation sur l’interdiction des chasses</w:t>
            </w:r>
          </w:p>
        </w:tc>
        <w:tc>
          <w:tcPr>
            <w:tcW w:w="839" w:type="dxa"/>
            <w:tcBorders>
              <w:top w:val="single" w:sz="4" w:space="0" w:color="auto"/>
              <w:left w:val="single" w:sz="4" w:space="0" w:color="auto"/>
              <w:bottom w:val="single" w:sz="4" w:space="0" w:color="auto"/>
              <w:right w:val="single" w:sz="4" w:space="0" w:color="auto"/>
            </w:tcBorders>
            <w:shd w:val="clear" w:color="auto" w:fill="auto"/>
            <w:vAlign w:val="center"/>
          </w:tcPr>
          <w:p w14:paraId="4953DBB7" w14:textId="77777777" w:rsidR="00ED17F3" w:rsidRPr="00420C1B" w:rsidRDefault="00ED17F3" w:rsidP="00C86B57">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Séance</w:t>
            </w: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20CBA8" w14:textId="77777777" w:rsidR="00ED17F3" w:rsidRPr="00420C1B" w:rsidRDefault="00F03FD5" w:rsidP="00C86B57">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19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31AD25" w14:textId="77777777" w:rsidR="00ED17F3" w:rsidRPr="00420C1B" w:rsidRDefault="00ED17F3" w:rsidP="00C86B57">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w:t>
            </w: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CC385C" w14:textId="77777777" w:rsidR="00ED17F3" w:rsidRPr="00420C1B" w:rsidRDefault="00F03FD5" w:rsidP="00C86B57">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14:paraId="739B0C0B" w14:textId="77777777" w:rsidR="00ED17F3" w:rsidRPr="00420C1B" w:rsidRDefault="00ED17F3" w:rsidP="00C86B57">
            <w:pPr>
              <w:autoSpaceDE w:val="0"/>
              <w:autoSpaceDN w:val="0"/>
              <w:adjustRightInd w:val="0"/>
              <w:spacing w:after="0" w:line="240" w:lineRule="auto"/>
              <w:jc w:val="center"/>
              <w:rPr>
                <w:rFonts w:ascii="Times New Roman" w:hAnsi="Times New Roman"/>
                <w:sz w:val="20"/>
                <w:szCs w:val="20"/>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29EE0C" w14:textId="77777777" w:rsidR="00ED17F3" w:rsidRPr="00420C1B" w:rsidRDefault="00F03FD5" w:rsidP="00C86B57">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823" w:type="dxa"/>
            <w:tcBorders>
              <w:top w:val="single" w:sz="4" w:space="0" w:color="auto"/>
              <w:left w:val="single" w:sz="4" w:space="0" w:color="auto"/>
              <w:bottom w:val="single" w:sz="4" w:space="0" w:color="auto"/>
              <w:right w:val="single" w:sz="4" w:space="0" w:color="auto"/>
            </w:tcBorders>
          </w:tcPr>
          <w:p w14:paraId="499DF323"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767B63" w:rsidRPr="00420C1B" w14:paraId="6C9EBD89" w14:textId="77777777" w:rsidTr="00E737B4">
        <w:trPr>
          <w:trHeight w:val="57"/>
          <w:jc w:val="center"/>
        </w:trPr>
        <w:tc>
          <w:tcPr>
            <w:tcW w:w="1831" w:type="dxa"/>
            <w:tcBorders>
              <w:top w:val="single" w:sz="4" w:space="0" w:color="auto"/>
              <w:left w:val="single" w:sz="4" w:space="0" w:color="auto"/>
              <w:bottom w:val="single" w:sz="4" w:space="0" w:color="auto"/>
              <w:right w:val="single" w:sz="4" w:space="0" w:color="auto"/>
            </w:tcBorders>
          </w:tcPr>
          <w:p w14:paraId="581CABD5" w14:textId="77777777" w:rsidR="00C86B57" w:rsidRPr="00420C1B" w:rsidRDefault="00C86B57"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 xml:space="preserve">Total </w:t>
            </w:r>
          </w:p>
        </w:tc>
        <w:tc>
          <w:tcPr>
            <w:tcW w:w="839" w:type="dxa"/>
            <w:tcBorders>
              <w:top w:val="single" w:sz="4" w:space="0" w:color="auto"/>
              <w:left w:val="single" w:sz="4" w:space="0" w:color="auto"/>
              <w:bottom w:val="single" w:sz="4" w:space="0" w:color="auto"/>
              <w:right w:val="single" w:sz="4" w:space="0" w:color="auto"/>
            </w:tcBorders>
            <w:shd w:val="clear" w:color="auto" w:fill="auto"/>
          </w:tcPr>
          <w:p w14:paraId="5EF8F17B" w14:textId="77777777" w:rsidR="00C86B57" w:rsidRPr="00420C1B" w:rsidRDefault="00C86B57" w:rsidP="007108ED">
            <w:pPr>
              <w:autoSpaceDE w:val="0"/>
              <w:autoSpaceDN w:val="0"/>
              <w:adjustRightInd w:val="0"/>
              <w:spacing w:after="0" w:line="240" w:lineRule="auto"/>
              <w:jc w:val="center"/>
              <w:rPr>
                <w:rFonts w:ascii="Times New Roman" w:hAnsi="Times New Roman"/>
                <w:b/>
                <w:sz w:val="20"/>
                <w:szCs w:val="20"/>
              </w:rPr>
            </w:pPr>
          </w:p>
        </w:tc>
        <w:tc>
          <w:tcPr>
            <w:tcW w:w="1031" w:type="dxa"/>
            <w:gridSpan w:val="2"/>
            <w:tcBorders>
              <w:top w:val="single" w:sz="4" w:space="0" w:color="auto"/>
              <w:left w:val="single" w:sz="4" w:space="0" w:color="auto"/>
              <w:bottom w:val="single" w:sz="4" w:space="0" w:color="auto"/>
              <w:right w:val="single" w:sz="4" w:space="0" w:color="auto"/>
            </w:tcBorders>
            <w:shd w:val="clear" w:color="auto" w:fill="auto"/>
          </w:tcPr>
          <w:p w14:paraId="0F54D321" w14:textId="77777777" w:rsidR="00C86B57" w:rsidRPr="00420C1B" w:rsidRDefault="00C86B57" w:rsidP="007108ED">
            <w:pPr>
              <w:autoSpaceDE w:val="0"/>
              <w:autoSpaceDN w:val="0"/>
              <w:adjustRightInd w:val="0"/>
              <w:spacing w:after="0" w:line="240" w:lineRule="auto"/>
              <w:jc w:val="center"/>
              <w:rPr>
                <w:rFonts w:ascii="Times New Roman" w:hAnsi="Times New Roman"/>
                <w:b/>
                <w:sz w:val="20"/>
                <w:szCs w:val="20"/>
              </w:rPr>
            </w:pPr>
          </w:p>
        </w:tc>
        <w:tc>
          <w:tcPr>
            <w:tcW w:w="1939" w:type="dxa"/>
            <w:gridSpan w:val="2"/>
            <w:tcBorders>
              <w:top w:val="single" w:sz="4" w:space="0" w:color="auto"/>
              <w:left w:val="single" w:sz="4" w:space="0" w:color="auto"/>
              <w:bottom w:val="single" w:sz="4" w:space="0" w:color="auto"/>
              <w:right w:val="single" w:sz="4" w:space="0" w:color="auto"/>
            </w:tcBorders>
            <w:shd w:val="clear" w:color="auto" w:fill="auto"/>
          </w:tcPr>
          <w:p w14:paraId="44344B7D" w14:textId="77777777" w:rsidR="00C86B57" w:rsidRPr="00420C1B" w:rsidRDefault="00C86B57" w:rsidP="007108ED">
            <w:pPr>
              <w:autoSpaceDE w:val="0"/>
              <w:autoSpaceDN w:val="0"/>
              <w:adjustRightInd w:val="0"/>
              <w:spacing w:after="0" w:line="240" w:lineRule="auto"/>
              <w:jc w:val="center"/>
              <w:rPr>
                <w:rFonts w:ascii="Times New Roman" w:hAnsi="Times New Roman"/>
                <w:b/>
                <w:sz w:val="20"/>
                <w:szCs w:val="20"/>
              </w:rPr>
            </w:pPr>
          </w:p>
        </w:tc>
        <w:tc>
          <w:tcPr>
            <w:tcW w:w="1192" w:type="dxa"/>
            <w:gridSpan w:val="2"/>
            <w:tcBorders>
              <w:top w:val="single" w:sz="4" w:space="0" w:color="auto"/>
              <w:left w:val="single" w:sz="4" w:space="0" w:color="auto"/>
              <w:bottom w:val="single" w:sz="4" w:space="0" w:color="auto"/>
              <w:right w:val="single" w:sz="4" w:space="0" w:color="auto"/>
            </w:tcBorders>
            <w:shd w:val="clear" w:color="auto" w:fill="auto"/>
          </w:tcPr>
          <w:p w14:paraId="2540E496" w14:textId="77777777" w:rsidR="00C86B57" w:rsidRPr="00420C1B" w:rsidRDefault="00F03FD5"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1157" w:type="dxa"/>
            <w:tcBorders>
              <w:top w:val="single" w:sz="4" w:space="0" w:color="auto"/>
              <w:left w:val="single" w:sz="4" w:space="0" w:color="auto"/>
              <w:bottom w:val="single" w:sz="4" w:space="0" w:color="auto"/>
              <w:right w:val="single" w:sz="4" w:space="0" w:color="auto"/>
            </w:tcBorders>
            <w:shd w:val="clear" w:color="auto" w:fill="auto"/>
          </w:tcPr>
          <w:p w14:paraId="458E10BB" w14:textId="77777777" w:rsidR="00C86B57" w:rsidRPr="00420C1B" w:rsidRDefault="00C86B57" w:rsidP="007108ED">
            <w:pPr>
              <w:autoSpaceDE w:val="0"/>
              <w:autoSpaceDN w:val="0"/>
              <w:adjustRightInd w:val="0"/>
              <w:spacing w:after="0" w:line="240" w:lineRule="auto"/>
              <w:jc w:val="center"/>
              <w:rPr>
                <w:rFonts w:ascii="Times New Roman" w:hAnsi="Times New Roman"/>
                <w:b/>
                <w:sz w:val="20"/>
                <w:szCs w:val="20"/>
              </w:rPr>
            </w:pPr>
          </w:p>
        </w:tc>
        <w:tc>
          <w:tcPr>
            <w:tcW w:w="959" w:type="dxa"/>
            <w:gridSpan w:val="2"/>
            <w:tcBorders>
              <w:top w:val="single" w:sz="4" w:space="0" w:color="auto"/>
              <w:left w:val="single" w:sz="4" w:space="0" w:color="auto"/>
              <w:bottom w:val="single" w:sz="4" w:space="0" w:color="auto"/>
              <w:right w:val="single" w:sz="4" w:space="0" w:color="auto"/>
            </w:tcBorders>
            <w:shd w:val="clear" w:color="auto" w:fill="auto"/>
          </w:tcPr>
          <w:p w14:paraId="76249F49" w14:textId="77777777" w:rsidR="00C86B57" w:rsidRPr="00420C1B" w:rsidRDefault="00F03FD5"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823" w:type="dxa"/>
            <w:tcBorders>
              <w:top w:val="single" w:sz="4" w:space="0" w:color="auto"/>
              <w:left w:val="single" w:sz="4" w:space="0" w:color="auto"/>
              <w:bottom w:val="single" w:sz="4" w:space="0" w:color="auto"/>
              <w:right w:val="single" w:sz="4" w:space="0" w:color="auto"/>
            </w:tcBorders>
          </w:tcPr>
          <w:p w14:paraId="75FFAD0D" w14:textId="77777777" w:rsidR="00C86B57" w:rsidRPr="00420C1B" w:rsidRDefault="00C86B57" w:rsidP="007108ED">
            <w:pPr>
              <w:autoSpaceDE w:val="0"/>
              <w:autoSpaceDN w:val="0"/>
              <w:adjustRightInd w:val="0"/>
              <w:spacing w:after="0" w:line="240" w:lineRule="auto"/>
              <w:rPr>
                <w:rFonts w:ascii="Times New Roman" w:hAnsi="Times New Roman"/>
                <w:b/>
                <w:sz w:val="20"/>
                <w:szCs w:val="20"/>
              </w:rPr>
            </w:pPr>
          </w:p>
        </w:tc>
      </w:tr>
    </w:tbl>
    <w:p w14:paraId="20DA2DAD" w14:textId="77777777" w:rsidR="00ED17F3" w:rsidRPr="00D75D2E" w:rsidRDefault="00ED17F3" w:rsidP="00ED17F3">
      <w:pPr>
        <w:keepNext/>
        <w:spacing w:after="0" w:line="240" w:lineRule="auto"/>
        <w:rPr>
          <w:rFonts w:ascii="Times New Roman" w:hAnsi="Times New Roman"/>
          <w:iCs/>
          <w:szCs w:val="18"/>
        </w:rPr>
      </w:pPr>
    </w:p>
    <w:p w14:paraId="6D1717E4" w14:textId="77777777" w:rsidR="00ED17F3" w:rsidRPr="00D75D2E" w:rsidRDefault="00ED17F3" w:rsidP="00ED17F3">
      <w:pPr>
        <w:keepNext/>
        <w:spacing w:after="0" w:line="240" w:lineRule="auto"/>
        <w:rPr>
          <w:rFonts w:ascii="Times New Roman" w:hAnsi="Times New Roman"/>
          <w:iCs/>
          <w:szCs w:val="18"/>
        </w:rPr>
      </w:pPr>
    </w:p>
    <w:p w14:paraId="29FC8210" w14:textId="77777777" w:rsidR="00ED17F3" w:rsidRPr="00D75D2E" w:rsidRDefault="00ED17F3" w:rsidP="00ED17F3"/>
    <w:p w14:paraId="2DB6FD14" w14:textId="71411823" w:rsidR="00ED17F3" w:rsidRPr="00E737B4" w:rsidRDefault="00ED17F3" w:rsidP="00215867">
      <w:pPr>
        <w:rPr>
          <w:rFonts w:ascii="Times New Roman" w:hAnsi="Times New Roman"/>
          <w:iCs/>
          <w:sz w:val="24"/>
          <w:szCs w:val="18"/>
        </w:rPr>
      </w:pPr>
      <w:bookmarkStart w:id="599" w:name="_Toc519048930"/>
      <w:bookmarkStart w:id="600" w:name="_Toc93050287"/>
      <w:r w:rsidRPr="00E737B4">
        <w:rPr>
          <w:rFonts w:ascii="Times New Roman" w:hAnsi="Times New Roman"/>
          <w:iCs/>
          <w:sz w:val="24"/>
          <w:szCs w:val="18"/>
        </w:rPr>
        <w:t xml:space="preserve">Tableau </w:t>
      </w:r>
      <w:r w:rsidRPr="00E737B4">
        <w:rPr>
          <w:rFonts w:ascii="Times New Roman" w:hAnsi="Times New Roman"/>
          <w:iCs/>
          <w:sz w:val="24"/>
          <w:szCs w:val="18"/>
        </w:rPr>
        <w:fldChar w:fldCharType="begin"/>
      </w:r>
      <w:r w:rsidRPr="00E737B4">
        <w:rPr>
          <w:rFonts w:ascii="Times New Roman" w:hAnsi="Times New Roman"/>
          <w:iCs/>
          <w:sz w:val="24"/>
          <w:szCs w:val="18"/>
        </w:rPr>
        <w:instrText xml:space="preserve"> SEQ Tableau \* ARABIC </w:instrText>
      </w:r>
      <w:r w:rsidRPr="00E737B4">
        <w:rPr>
          <w:rFonts w:ascii="Times New Roman" w:hAnsi="Times New Roman"/>
          <w:iCs/>
          <w:sz w:val="24"/>
          <w:szCs w:val="18"/>
        </w:rPr>
        <w:fldChar w:fldCharType="separate"/>
      </w:r>
      <w:r w:rsidR="00E732DD">
        <w:rPr>
          <w:rFonts w:ascii="Times New Roman" w:hAnsi="Times New Roman"/>
          <w:iCs/>
          <w:noProof/>
          <w:sz w:val="24"/>
          <w:szCs w:val="18"/>
        </w:rPr>
        <w:t>25</w:t>
      </w:r>
      <w:r w:rsidRPr="00E737B4">
        <w:rPr>
          <w:rFonts w:ascii="Times New Roman" w:hAnsi="Times New Roman"/>
          <w:iCs/>
          <w:noProof/>
          <w:sz w:val="24"/>
          <w:szCs w:val="18"/>
        </w:rPr>
        <w:fldChar w:fldCharType="end"/>
      </w:r>
      <w:r w:rsidRPr="00E737B4">
        <w:rPr>
          <w:rFonts w:ascii="Times New Roman" w:hAnsi="Times New Roman"/>
          <w:iCs/>
          <w:sz w:val="24"/>
          <w:szCs w:val="18"/>
        </w:rPr>
        <w:t> : Fiche de déclaration d’Impact – Code 03</w:t>
      </w:r>
      <w:bookmarkEnd w:id="599"/>
      <w:bookmarkEnd w:id="600"/>
    </w:p>
    <w:tbl>
      <w:tblPr>
        <w:tblW w:w="9570" w:type="dxa"/>
        <w:jc w:val="center"/>
        <w:tblLook w:val="04A0" w:firstRow="1" w:lastRow="0" w:firstColumn="1" w:lastColumn="0" w:noHBand="0" w:noVBand="1"/>
      </w:tblPr>
      <w:tblGrid>
        <w:gridCol w:w="1563"/>
        <w:gridCol w:w="89"/>
        <w:gridCol w:w="794"/>
        <w:gridCol w:w="435"/>
        <w:gridCol w:w="712"/>
        <w:gridCol w:w="786"/>
        <w:gridCol w:w="207"/>
        <w:gridCol w:w="1121"/>
        <w:gridCol w:w="646"/>
        <w:gridCol w:w="363"/>
        <w:gridCol w:w="426"/>
        <w:gridCol w:w="760"/>
        <w:gridCol w:w="1668"/>
      </w:tblGrid>
      <w:tr w:rsidR="00D75D2E" w:rsidRPr="00420C1B" w14:paraId="7290FCFA" w14:textId="77777777" w:rsidTr="00215867">
        <w:trPr>
          <w:trHeight w:val="254"/>
          <w:tblHeader/>
          <w:jc w:val="center"/>
        </w:trPr>
        <w:tc>
          <w:tcPr>
            <w:tcW w:w="1652"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017BF1B" w14:textId="77777777" w:rsidR="00E640D3" w:rsidRPr="00D75D2E" w:rsidRDefault="00E640D3" w:rsidP="007108ED">
            <w:pPr>
              <w:spacing w:after="0" w:line="240" w:lineRule="auto"/>
              <w:rPr>
                <w:rFonts w:ascii="Times New Roman" w:hAnsi="Times New Roman"/>
                <w:b/>
                <w:sz w:val="20"/>
                <w:szCs w:val="20"/>
              </w:rPr>
            </w:pPr>
            <w:bookmarkStart w:id="601" w:name="_Hlk518912185"/>
            <w:r w:rsidRPr="00D75D2E">
              <w:rPr>
                <w:rFonts w:ascii="Times New Roman" w:hAnsi="Times New Roman"/>
                <w:b/>
                <w:sz w:val="20"/>
                <w:szCs w:val="20"/>
              </w:rPr>
              <w:t>COMPOSANTE</w:t>
            </w:r>
          </w:p>
        </w:tc>
        <w:tc>
          <w:tcPr>
            <w:tcW w:w="2727"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0A0B5CA8" w14:textId="77777777" w:rsidR="00E640D3" w:rsidRPr="00D75D2E" w:rsidRDefault="00F402F6" w:rsidP="007A00BC">
            <w:pPr>
              <w:spacing w:after="0" w:line="240" w:lineRule="auto"/>
              <w:rPr>
                <w:rFonts w:ascii="Times New Roman" w:hAnsi="Times New Roman"/>
                <w:b/>
                <w:sz w:val="20"/>
                <w:szCs w:val="20"/>
              </w:rPr>
            </w:pPr>
            <w:r w:rsidRPr="00D75D2E">
              <w:rPr>
                <w:rFonts w:ascii="Times New Roman" w:hAnsi="Times New Roman"/>
                <w:b/>
                <w:sz w:val="20"/>
                <w:szCs w:val="20"/>
              </w:rPr>
              <w:t xml:space="preserve">Sol </w:t>
            </w:r>
            <w:r w:rsidR="00E640D3" w:rsidRPr="00D75D2E">
              <w:rPr>
                <w:rFonts w:ascii="Times New Roman" w:hAnsi="Times New Roman"/>
                <w:b/>
                <w:sz w:val="20"/>
                <w:szCs w:val="20"/>
              </w:rPr>
              <w:t xml:space="preserve">et paysage </w:t>
            </w:r>
          </w:p>
        </w:tc>
        <w:tc>
          <w:tcPr>
            <w:tcW w:w="197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0EE5772" w14:textId="77777777" w:rsidR="00E640D3" w:rsidRPr="00D75D2E" w:rsidRDefault="00E640D3" w:rsidP="007108ED">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3217"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029D9605" w14:textId="77777777" w:rsidR="00E640D3" w:rsidRPr="00D75D2E" w:rsidRDefault="00E640D3" w:rsidP="007108ED">
            <w:pPr>
              <w:spacing w:after="0" w:line="240" w:lineRule="auto"/>
              <w:rPr>
                <w:rFonts w:ascii="Times New Roman" w:hAnsi="Times New Roman"/>
                <w:sz w:val="20"/>
                <w:szCs w:val="20"/>
              </w:rPr>
            </w:pPr>
            <w:r w:rsidRPr="00D75D2E">
              <w:rPr>
                <w:rFonts w:ascii="Times New Roman" w:hAnsi="Times New Roman"/>
                <w:sz w:val="20"/>
                <w:szCs w:val="20"/>
              </w:rPr>
              <w:t>Préparatoire</w:t>
            </w:r>
          </w:p>
        </w:tc>
      </w:tr>
      <w:tr w:rsidR="00D75D2E" w:rsidRPr="00420C1B" w14:paraId="3A4BC1DD" w14:textId="77777777" w:rsidTr="00215867">
        <w:trPr>
          <w:trHeight w:val="254"/>
          <w:jc w:val="center"/>
        </w:trPr>
        <w:tc>
          <w:tcPr>
            <w:tcW w:w="1652" w:type="dxa"/>
            <w:gridSpan w:val="2"/>
            <w:vMerge w:val="restart"/>
            <w:tcBorders>
              <w:top w:val="single" w:sz="4" w:space="0" w:color="auto"/>
              <w:left w:val="single" w:sz="4" w:space="0" w:color="auto"/>
              <w:bottom w:val="single" w:sz="4" w:space="0" w:color="auto"/>
              <w:right w:val="single" w:sz="4" w:space="0" w:color="auto"/>
            </w:tcBorders>
            <w:hideMark/>
          </w:tcPr>
          <w:p w14:paraId="3F4607BF" w14:textId="77777777" w:rsidR="00E640D3" w:rsidRPr="00D75D2E" w:rsidRDefault="00E640D3" w:rsidP="007108ED">
            <w:pPr>
              <w:spacing w:after="0" w:line="240" w:lineRule="auto"/>
              <w:rPr>
                <w:rFonts w:ascii="Times New Roman" w:hAnsi="Times New Roman"/>
                <w:b/>
                <w:sz w:val="20"/>
                <w:szCs w:val="20"/>
              </w:rPr>
            </w:pPr>
            <w:r w:rsidRPr="00D75D2E">
              <w:rPr>
                <w:rFonts w:ascii="Times New Roman" w:hAnsi="Times New Roman"/>
                <w:b/>
                <w:sz w:val="20"/>
                <w:szCs w:val="20"/>
              </w:rPr>
              <w:t>Code 03</w:t>
            </w:r>
          </w:p>
        </w:tc>
        <w:tc>
          <w:tcPr>
            <w:tcW w:w="7918" w:type="dxa"/>
            <w:gridSpan w:val="11"/>
            <w:tcBorders>
              <w:top w:val="single" w:sz="4" w:space="0" w:color="auto"/>
              <w:left w:val="single" w:sz="4" w:space="0" w:color="auto"/>
              <w:bottom w:val="single" w:sz="4" w:space="0" w:color="auto"/>
              <w:right w:val="single" w:sz="4" w:space="0" w:color="auto"/>
            </w:tcBorders>
            <w:hideMark/>
          </w:tcPr>
          <w:p w14:paraId="7CA3FDC7" w14:textId="77777777" w:rsidR="00E640D3" w:rsidRPr="00D75D2E" w:rsidRDefault="00E640D3" w:rsidP="007108ED">
            <w:pPr>
              <w:spacing w:after="0" w:line="240" w:lineRule="auto"/>
              <w:rPr>
                <w:rFonts w:ascii="Times New Roman" w:hAnsi="Times New Roman"/>
                <w:sz w:val="20"/>
                <w:szCs w:val="20"/>
              </w:rPr>
            </w:pPr>
            <w:r w:rsidRPr="00D75D2E">
              <w:rPr>
                <w:rFonts w:ascii="Times New Roman" w:hAnsi="Times New Roman"/>
                <w:b/>
                <w:sz w:val="20"/>
                <w:szCs w:val="20"/>
              </w:rPr>
              <w:t xml:space="preserve">Source d’impact : </w:t>
            </w:r>
            <w:r w:rsidRPr="00D75D2E">
              <w:rPr>
                <w:rFonts w:ascii="Times New Roman" w:hAnsi="Times New Roman"/>
                <w:sz w:val="20"/>
                <w:szCs w:val="20"/>
              </w:rPr>
              <w:t>Installation de chantier et de base-vie</w:t>
            </w:r>
          </w:p>
        </w:tc>
      </w:tr>
      <w:tr w:rsidR="00D75D2E" w:rsidRPr="00420C1B" w14:paraId="3A26BE51"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07591DD2" w14:textId="77777777" w:rsidR="00E640D3" w:rsidRPr="00D75D2E" w:rsidRDefault="00E640D3" w:rsidP="007108ED">
            <w:pPr>
              <w:spacing w:after="0" w:line="256" w:lineRule="auto"/>
              <w:rPr>
                <w:rFonts w:ascii="Times New Roman" w:hAnsi="Times New Roman"/>
                <w:b/>
                <w:sz w:val="20"/>
                <w:szCs w:val="20"/>
              </w:rPr>
            </w:pPr>
          </w:p>
        </w:tc>
        <w:tc>
          <w:tcPr>
            <w:tcW w:w="7918" w:type="dxa"/>
            <w:gridSpan w:val="11"/>
            <w:tcBorders>
              <w:top w:val="single" w:sz="4" w:space="0" w:color="auto"/>
              <w:left w:val="single" w:sz="4" w:space="0" w:color="auto"/>
              <w:bottom w:val="single" w:sz="4" w:space="0" w:color="auto"/>
              <w:right w:val="single" w:sz="4" w:space="0" w:color="auto"/>
            </w:tcBorders>
            <w:hideMark/>
          </w:tcPr>
          <w:p w14:paraId="00D9AF4D" w14:textId="77777777" w:rsidR="00E640D3" w:rsidRPr="00D75D2E" w:rsidRDefault="00E640D3" w:rsidP="007108ED">
            <w:pPr>
              <w:spacing w:after="0" w:line="240" w:lineRule="auto"/>
              <w:rPr>
                <w:rFonts w:ascii="Times New Roman" w:hAnsi="Times New Roman"/>
                <w:sz w:val="20"/>
                <w:szCs w:val="20"/>
              </w:rPr>
            </w:pPr>
            <w:r w:rsidRPr="00D75D2E">
              <w:rPr>
                <w:rFonts w:ascii="Times New Roman" w:hAnsi="Times New Roman"/>
                <w:b/>
                <w:sz w:val="20"/>
                <w:szCs w:val="20"/>
              </w:rPr>
              <w:t>Intitulé de l’impact</w:t>
            </w:r>
            <w:r w:rsidRPr="00D75D2E">
              <w:rPr>
                <w:rFonts w:ascii="Times New Roman" w:hAnsi="Times New Roman"/>
                <w:sz w:val="20"/>
                <w:szCs w:val="20"/>
              </w:rPr>
              <w:t xml:space="preserve"> : Encombrement du sol par la production de déchets </w:t>
            </w:r>
          </w:p>
        </w:tc>
      </w:tr>
      <w:tr w:rsidR="00D75D2E" w:rsidRPr="00420C1B" w14:paraId="6F3CE5A0" w14:textId="77777777" w:rsidTr="00215867">
        <w:trPr>
          <w:trHeight w:val="254"/>
          <w:jc w:val="center"/>
        </w:trPr>
        <w:tc>
          <w:tcPr>
            <w:tcW w:w="1652" w:type="dxa"/>
            <w:gridSpan w:val="2"/>
            <w:vMerge w:val="restart"/>
            <w:tcBorders>
              <w:top w:val="single" w:sz="4" w:space="0" w:color="auto"/>
              <w:left w:val="single" w:sz="4" w:space="0" w:color="auto"/>
              <w:bottom w:val="single" w:sz="4" w:space="0" w:color="auto"/>
              <w:right w:val="single" w:sz="4" w:space="0" w:color="auto"/>
            </w:tcBorders>
            <w:hideMark/>
          </w:tcPr>
          <w:p w14:paraId="7B5FFCBE" w14:textId="77777777" w:rsidR="00E640D3" w:rsidRPr="00D75D2E" w:rsidRDefault="00E640D3" w:rsidP="007108ED">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2727" w:type="dxa"/>
            <w:gridSpan w:val="4"/>
            <w:vMerge w:val="restart"/>
            <w:tcBorders>
              <w:top w:val="single" w:sz="4" w:space="0" w:color="auto"/>
              <w:left w:val="single" w:sz="4" w:space="0" w:color="auto"/>
              <w:bottom w:val="single" w:sz="4" w:space="0" w:color="auto"/>
              <w:right w:val="single" w:sz="4" w:space="0" w:color="auto"/>
            </w:tcBorders>
            <w:vAlign w:val="center"/>
            <w:hideMark/>
          </w:tcPr>
          <w:p w14:paraId="2C701018" w14:textId="77777777" w:rsidR="00E640D3" w:rsidRPr="00D75D2E" w:rsidRDefault="00E640D3" w:rsidP="007108ED">
            <w:pPr>
              <w:spacing w:after="0" w:line="240" w:lineRule="auto"/>
              <w:jc w:val="center"/>
              <w:rPr>
                <w:rFonts w:ascii="Times New Roman" w:hAnsi="Times New Roman"/>
                <w:sz w:val="20"/>
                <w:szCs w:val="20"/>
              </w:rPr>
            </w:pPr>
            <w:r w:rsidRPr="00D75D2E">
              <w:rPr>
                <w:rFonts w:ascii="Times New Roman" w:hAnsi="Times New Roman"/>
                <w:sz w:val="20"/>
                <w:szCs w:val="20"/>
              </w:rPr>
              <w:t>Base vie de l’entreprise</w:t>
            </w:r>
          </w:p>
        </w:tc>
        <w:tc>
          <w:tcPr>
            <w:tcW w:w="1974" w:type="dxa"/>
            <w:gridSpan w:val="3"/>
            <w:tcBorders>
              <w:top w:val="single" w:sz="4" w:space="0" w:color="auto"/>
              <w:left w:val="single" w:sz="4" w:space="0" w:color="auto"/>
              <w:bottom w:val="single" w:sz="4" w:space="0" w:color="auto"/>
              <w:right w:val="single" w:sz="4" w:space="0" w:color="auto"/>
            </w:tcBorders>
            <w:hideMark/>
          </w:tcPr>
          <w:p w14:paraId="622620FD" w14:textId="77777777" w:rsidR="00E640D3" w:rsidRPr="00D75D2E" w:rsidRDefault="00E640D3" w:rsidP="007108ED">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1549" w:type="dxa"/>
            <w:gridSpan w:val="3"/>
            <w:tcBorders>
              <w:top w:val="single" w:sz="4" w:space="0" w:color="auto"/>
              <w:left w:val="single" w:sz="4" w:space="0" w:color="auto"/>
              <w:bottom w:val="single" w:sz="4" w:space="0" w:color="auto"/>
              <w:right w:val="single" w:sz="4" w:space="0" w:color="auto"/>
            </w:tcBorders>
            <w:hideMark/>
          </w:tcPr>
          <w:p w14:paraId="6BCC738F" w14:textId="77777777" w:rsidR="00E640D3" w:rsidRPr="00D75D2E" w:rsidRDefault="00E640D3" w:rsidP="007108ED">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668" w:type="dxa"/>
            <w:vMerge w:val="restart"/>
            <w:tcBorders>
              <w:top w:val="single" w:sz="4" w:space="0" w:color="auto"/>
              <w:left w:val="single" w:sz="4" w:space="0" w:color="auto"/>
              <w:right w:val="single" w:sz="4" w:space="0" w:color="auto"/>
            </w:tcBorders>
            <w:vAlign w:val="center"/>
            <w:hideMark/>
          </w:tcPr>
          <w:p w14:paraId="1D7A1323" w14:textId="77777777" w:rsidR="00E640D3" w:rsidRPr="00D75D2E" w:rsidRDefault="00E640D3" w:rsidP="007108ED">
            <w:pPr>
              <w:spacing w:after="0" w:line="240" w:lineRule="auto"/>
              <w:jc w:val="center"/>
              <w:rPr>
                <w:rFonts w:ascii="Times New Roman" w:hAnsi="Times New Roman"/>
                <w:sz w:val="20"/>
                <w:szCs w:val="20"/>
              </w:rPr>
            </w:pPr>
          </w:p>
        </w:tc>
      </w:tr>
      <w:tr w:rsidR="00D75D2E" w:rsidRPr="00420C1B" w14:paraId="0ACE65EA" w14:textId="77777777" w:rsidTr="00215867">
        <w:trPr>
          <w:trHeight w:val="516"/>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0E422902" w14:textId="77777777" w:rsidR="00E640D3" w:rsidRPr="00D75D2E" w:rsidRDefault="00E640D3" w:rsidP="007108ED">
            <w:pPr>
              <w:spacing w:after="0" w:line="256" w:lineRule="auto"/>
              <w:rPr>
                <w:rFonts w:ascii="Times New Roman" w:eastAsia="Times New Roman" w:hAnsi="Times New Roman"/>
                <w:sz w:val="20"/>
                <w:szCs w:val="20"/>
                <w:lang w:eastAsia="fr-FR"/>
              </w:rPr>
            </w:pPr>
          </w:p>
        </w:tc>
        <w:tc>
          <w:tcPr>
            <w:tcW w:w="2727" w:type="dxa"/>
            <w:gridSpan w:val="4"/>
            <w:vMerge/>
            <w:tcBorders>
              <w:top w:val="single" w:sz="4" w:space="0" w:color="auto"/>
              <w:left w:val="single" w:sz="4" w:space="0" w:color="auto"/>
              <w:bottom w:val="single" w:sz="4" w:space="0" w:color="auto"/>
              <w:right w:val="single" w:sz="4" w:space="0" w:color="auto"/>
            </w:tcBorders>
            <w:vAlign w:val="center"/>
            <w:hideMark/>
          </w:tcPr>
          <w:p w14:paraId="1B2BEB33" w14:textId="77777777" w:rsidR="00E640D3" w:rsidRPr="00D75D2E" w:rsidRDefault="00E640D3" w:rsidP="007108ED">
            <w:pPr>
              <w:spacing w:after="0" w:line="256" w:lineRule="auto"/>
              <w:rPr>
                <w:rFonts w:ascii="Times New Roman" w:eastAsia="Times New Roman" w:hAnsi="Times New Roman"/>
                <w:b/>
                <w:sz w:val="20"/>
                <w:szCs w:val="20"/>
                <w:lang w:eastAsia="fr-FR"/>
              </w:rPr>
            </w:pPr>
          </w:p>
        </w:tc>
        <w:tc>
          <w:tcPr>
            <w:tcW w:w="3523" w:type="dxa"/>
            <w:gridSpan w:val="6"/>
            <w:tcBorders>
              <w:top w:val="single" w:sz="4" w:space="0" w:color="auto"/>
              <w:left w:val="single" w:sz="4" w:space="0" w:color="auto"/>
              <w:right w:val="single" w:sz="4" w:space="0" w:color="auto"/>
            </w:tcBorders>
          </w:tcPr>
          <w:p w14:paraId="7EEAC336" w14:textId="77777777" w:rsidR="00E640D3" w:rsidRPr="00D75D2E" w:rsidRDefault="00E640D3" w:rsidP="007108ED">
            <w:pPr>
              <w:spacing w:after="0" w:line="240" w:lineRule="auto"/>
              <w:rPr>
                <w:rFonts w:ascii="Times New Roman" w:hAnsi="Times New Roman"/>
                <w:sz w:val="20"/>
                <w:szCs w:val="20"/>
              </w:rPr>
            </w:pPr>
            <w:r w:rsidRPr="00D75D2E">
              <w:rPr>
                <w:rFonts w:ascii="Times New Roman" w:hAnsi="Times New Roman"/>
                <w:sz w:val="20"/>
                <w:szCs w:val="20"/>
              </w:rPr>
              <w:t xml:space="preserve">Le site de la base vie sera à déterminer à la phase opérationnelle </w:t>
            </w:r>
          </w:p>
        </w:tc>
        <w:tc>
          <w:tcPr>
            <w:tcW w:w="1668" w:type="dxa"/>
            <w:vMerge/>
            <w:tcBorders>
              <w:left w:val="single" w:sz="4" w:space="0" w:color="auto"/>
              <w:bottom w:val="single" w:sz="4" w:space="0" w:color="auto"/>
              <w:right w:val="single" w:sz="4" w:space="0" w:color="auto"/>
            </w:tcBorders>
            <w:vAlign w:val="center"/>
            <w:hideMark/>
          </w:tcPr>
          <w:p w14:paraId="0F4FFDF5" w14:textId="77777777" w:rsidR="00E640D3" w:rsidRPr="00D75D2E" w:rsidRDefault="00E640D3" w:rsidP="007108ED">
            <w:pPr>
              <w:spacing w:after="0" w:line="256" w:lineRule="auto"/>
              <w:rPr>
                <w:rFonts w:ascii="Times New Roman" w:hAnsi="Times New Roman"/>
                <w:sz w:val="20"/>
                <w:szCs w:val="20"/>
              </w:rPr>
            </w:pPr>
          </w:p>
        </w:tc>
      </w:tr>
      <w:tr w:rsidR="00D75D2E" w:rsidRPr="00420C1B" w14:paraId="07CE740F" w14:textId="77777777" w:rsidTr="00215867">
        <w:trPr>
          <w:trHeight w:val="237"/>
          <w:jc w:val="center"/>
        </w:trPr>
        <w:tc>
          <w:tcPr>
            <w:tcW w:w="1652" w:type="dxa"/>
            <w:gridSpan w:val="2"/>
            <w:vMerge w:val="restart"/>
            <w:tcBorders>
              <w:top w:val="single" w:sz="4" w:space="0" w:color="auto"/>
              <w:left w:val="single" w:sz="4" w:space="0" w:color="auto"/>
              <w:bottom w:val="single" w:sz="4" w:space="0" w:color="auto"/>
              <w:right w:val="single" w:sz="4" w:space="0" w:color="auto"/>
            </w:tcBorders>
          </w:tcPr>
          <w:p w14:paraId="2B28878B" w14:textId="77777777" w:rsidR="00E640D3" w:rsidRPr="00D75D2E" w:rsidRDefault="00E640D3" w:rsidP="007108ED">
            <w:pPr>
              <w:spacing w:after="0" w:line="240" w:lineRule="auto"/>
              <w:rPr>
                <w:rFonts w:ascii="Times New Roman" w:hAnsi="Times New Roman"/>
                <w:b/>
                <w:sz w:val="20"/>
                <w:szCs w:val="20"/>
              </w:rPr>
            </w:pPr>
          </w:p>
          <w:p w14:paraId="4CE4A88D" w14:textId="77777777" w:rsidR="00E640D3" w:rsidRPr="00D75D2E" w:rsidRDefault="00E640D3" w:rsidP="007108ED">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1229" w:type="dxa"/>
            <w:gridSpan w:val="2"/>
            <w:vMerge w:val="restart"/>
            <w:tcBorders>
              <w:top w:val="single" w:sz="4" w:space="0" w:color="auto"/>
              <w:left w:val="single" w:sz="4" w:space="0" w:color="auto"/>
              <w:bottom w:val="single" w:sz="4" w:space="0" w:color="auto"/>
              <w:right w:val="single" w:sz="4" w:space="0" w:color="auto"/>
            </w:tcBorders>
            <w:hideMark/>
          </w:tcPr>
          <w:p w14:paraId="7B2306E1" w14:textId="77777777" w:rsidR="00E640D3" w:rsidRPr="00D75D2E" w:rsidRDefault="00E640D3" w:rsidP="007108ED">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09CBE7E4" w14:textId="77777777" w:rsidR="00E640D3" w:rsidRPr="00D75D2E" w:rsidRDefault="00E640D3" w:rsidP="007108ED">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1498" w:type="dxa"/>
            <w:gridSpan w:val="2"/>
            <w:tcBorders>
              <w:top w:val="single" w:sz="4" w:space="0" w:color="auto"/>
              <w:left w:val="single" w:sz="4" w:space="0" w:color="auto"/>
              <w:bottom w:val="single" w:sz="4" w:space="0" w:color="auto"/>
              <w:right w:val="single" w:sz="4" w:space="0" w:color="auto"/>
            </w:tcBorders>
            <w:hideMark/>
          </w:tcPr>
          <w:p w14:paraId="6E8BDCEF" w14:textId="77777777" w:rsidR="00E640D3" w:rsidRPr="00D75D2E" w:rsidRDefault="00E640D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974" w:type="dxa"/>
            <w:gridSpan w:val="3"/>
            <w:tcBorders>
              <w:top w:val="single" w:sz="4" w:space="0" w:color="auto"/>
              <w:left w:val="single" w:sz="4" w:space="0" w:color="auto"/>
              <w:bottom w:val="single" w:sz="4" w:space="0" w:color="auto"/>
              <w:right w:val="single" w:sz="4" w:space="0" w:color="auto"/>
            </w:tcBorders>
            <w:hideMark/>
          </w:tcPr>
          <w:p w14:paraId="06A7A521" w14:textId="77777777" w:rsidR="00E640D3" w:rsidRPr="00D75D2E" w:rsidRDefault="00E640D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Etendue </w:t>
            </w:r>
          </w:p>
        </w:tc>
        <w:tc>
          <w:tcPr>
            <w:tcW w:w="1549" w:type="dxa"/>
            <w:gridSpan w:val="3"/>
            <w:tcBorders>
              <w:top w:val="single" w:sz="4" w:space="0" w:color="auto"/>
              <w:left w:val="single" w:sz="4" w:space="0" w:color="auto"/>
              <w:bottom w:val="single" w:sz="4" w:space="0" w:color="auto"/>
              <w:right w:val="single" w:sz="4" w:space="0" w:color="auto"/>
            </w:tcBorders>
            <w:hideMark/>
          </w:tcPr>
          <w:p w14:paraId="68769078" w14:textId="77777777" w:rsidR="00E640D3" w:rsidRPr="00D75D2E" w:rsidRDefault="00E640D3" w:rsidP="007108ED">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668" w:type="dxa"/>
            <w:tcBorders>
              <w:top w:val="single" w:sz="4" w:space="0" w:color="auto"/>
              <w:left w:val="single" w:sz="4" w:space="0" w:color="auto"/>
              <w:bottom w:val="single" w:sz="4" w:space="0" w:color="auto"/>
              <w:right w:val="single" w:sz="4" w:space="0" w:color="auto"/>
            </w:tcBorders>
            <w:hideMark/>
          </w:tcPr>
          <w:p w14:paraId="27912F40"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Importance</w:t>
            </w:r>
          </w:p>
        </w:tc>
      </w:tr>
      <w:tr w:rsidR="00D75D2E" w:rsidRPr="00420C1B" w14:paraId="34098EC0"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164713B5" w14:textId="77777777" w:rsidR="00E640D3" w:rsidRPr="00D75D2E" w:rsidRDefault="00E640D3" w:rsidP="00E640D3">
            <w:pPr>
              <w:spacing w:after="0" w:line="256" w:lineRule="auto"/>
              <w:rPr>
                <w:rFonts w:ascii="Times New Roman" w:hAnsi="Times New Roman"/>
                <w:b/>
                <w:sz w:val="20"/>
                <w:szCs w:val="20"/>
              </w:rPr>
            </w:pPr>
          </w:p>
        </w:tc>
        <w:tc>
          <w:tcPr>
            <w:tcW w:w="1229" w:type="dxa"/>
            <w:gridSpan w:val="2"/>
            <w:vMerge/>
            <w:tcBorders>
              <w:top w:val="single" w:sz="4" w:space="0" w:color="auto"/>
              <w:left w:val="single" w:sz="4" w:space="0" w:color="auto"/>
              <w:bottom w:val="single" w:sz="4" w:space="0" w:color="auto"/>
              <w:right w:val="single" w:sz="4" w:space="0" w:color="auto"/>
            </w:tcBorders>
            <w:vAlign w:val="center"/>
            <w:hideMark/>
          </w:tcPr>
          <w:p w14:paraId="3FCBB955" w14:textId="77777777" w:rsidR="00E640D3" w:rsidRPr="00D75D2E" w:rsidRDefault="00E640D3" w:rsidP="00E640D3">
            <w:pPr>
              <w:spacing w:after="0" w:line="256" w:lineRule="auto"/>
              <w:rPr>
                <w:rFonts w:ascii="Times New Roman" w:eastAsia="Times New Roman" w:hAnsi="Times New Roman"/>
                <w:bCs/>
                <w:sz w:val="20"/>
                <w:szCs w:val="20"/>
              </w:rPr>
            </w:pPr>
          </w:p>
        </w:tc>
        <w:tc>
          <w:tcPr>
            <w:tcW w:w="1498" w:type="dxa"/>
            <w:gridSpan w:val="2"/>
            <w:tcBorders>
              <w:top w:val="single" w:sz="4" w:space="0" w:color="auto"/>
              <w:bottom w:val="single" w:sz="4" w:space="0" w:color="auto"/>
              <w:right w:val="single" w:sz="4" w:space="0" w:color="auto"/>
            </w:tcBorders>
            <w:vAlign w:val="center"/>
            <w:hideMark/>
          </w:tcPr>
          <w:p w14:paraId="0591BCA9" w14:textId="77777777" w:rsidR="00E640D3" w:rsidRPr="00D75D2E" w:rsidRDefault="00E640D3" w:rsidP="00E640D3">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Moyenne</w:t>
            </w:r>
          </w:p>
        </w:tc>
        <w:tc>
          <w:tcPr>
            <w:tcW w:w="1974" w:type="dxa"/>
            <w:gridSpan w:val="3"/>
            <w:tcBorders>
              <w:top w:val="single" w:sz="4" w:space="0" w:color="auto"/>
              <w:left w:val="single" w:sz="4" w:space="0" w:color="auto"/>
              <w:bottom w:val="single" w:sz="4" w:space="0" w:color="auto"/>
              <w:right w:val="single" w:sz="4" w:space="0" w:color="auto"/>
            </w:tcBorders>
            <w:vAlign w:val="center"/>
            <w:hideMark/>
          </w:tcPr>
          <w:p w14:paraId="42FF5D83" w14:textId="77777777" w:rsidR="00E640D3" w:rsidRPr="00D75D2E" w:rsidRDefault="00E640D3" w:rsidP="00E640D3">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Locale</w:t>
            </w:r>
          </w:p>
        </w:tc>
        <w:tc>
          <w:tcPr>
            <w:tcW w:w="1549" w:type="dxa"/>
            <w:gridSpan w:val="3"/>
            <w:tcBorders>
              <w:top w:val="single" w:sz="4" w:space="0" w:color="auto"/>
              <w:left w:val="single" w:sz="4" w:space="0" w:color="auto"/>
              <w:bottom w:val="single" w:sz="4" w:space="0" w:color="auto"/>
              <w:right w:val="single" w:sz="4" w:space="0" w:color="auto"/>
            </w:tcBorders>
            <w:vAlign w:val="center"/>
            <w:hideMark/>
          </w:tcPr>
          <w:p w14:paraId="59B33451" w14:textId="77777777" w:rsidR="00E640D3" w:rsidRPr="00D75D2E" w:rsidRDefault="00E640D3" w:rsidP="00E640D3">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Courte</w:t>
            </w:r>
          </w:p>
        </w:tc>
        <w:tc>
          <w:tcPr>
            <w:tcW w:w="1668" w:type="dxa"/>
            <w:tcBorders>
              <w:top w:val="single" w:sz="4" w:space="0" w:color="auto"/>
              <w:left w:val="single" w:sz="4" w:space="0" w:color="auto"/>
              <w:bottom w:val="single" w:sz="4" w:space="0" w:color="auto"/>
              <w:right w:val="single" w:sz="4" w:space="0" w:color="auto"/>
            </w:tcBorders>
            <w:vAlign w:val="center"/>
            <w:hideMark/>
          </w:tcPr>
          <w:p w14:paraId="4AEAFD70"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sz w:val="20"/>
                <w:szCs w:val="20"/>
              </w:rPr>
              <w:t>Moyenne</w:t>
            </w:r>
          </w:p>
        </w:tc>
      </w:tr>
      <w:tr w:rsidR="00D75D2E" w:rsidRPr="00420C1B" w14:paraId="123B641F"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tcPr>
          <w:p w14:paraId="6DB62627" w14:textId="77777777" w:rsidR="00E640D3" w:rsidRPr="00D75D2E" w:rsidRDefault="00E640D3" w:rsidP="00E640D3">
            <w:pPr>
              <w:spacing w:after="0" w:line="256" w:lineRule="auto"/>
              <w:rPr>
                <w:rFonts w:ascii="Times New Roman" w:hAnsi="Times New Roman"/>
                <w:b/>
                <w:sz w:val="20"/>
                <w:szCs w:val="20"/>
              </w:rPr>
            </w:pPr>
          </w:p>
        </w:tc>
        <w:tc>
          <w:tcPr>
            <w:tcW w:w="1229" w:type="dxa"/>
            <w:gridSpan w:val="2"/>
            <w:tcBorders>
              <w:top w:val="single" w:sz="4" w:space="0" w:color="auto"/>
              <w:left w:val="single" w:sz="4" w:space="0" w:color="auto"/>
              <w:bottom w:val="single" w:sz="4" w:space="0" w:color="auto"/>
              <w:right w:val="single" w:sz="4" w:space="0" w:color="auto"/>
            </w:tcBorders>
            <w:vAlign w:val="center"/>
          </w:tcPr>
          <w:p w14:paraId="7FE28E2A" w14:textId="77777777" w:rsidR="00E640D3" w:rsidRPr="00D75D2E" w:rsidRDefault="00E640D3" w:rsidP="00E640D3">
            <w:pPr>
              <w:spacing w:after="0" w:line="256" w:lineRule="auto"/>
              <w:rPr>
                <w:rFonts w:ascii="Times New Roman" w:eastAsia="Times New Roman" w:hAnsi="Times New Roman"/>
                <w:bCs/>
                <w:sz w:val="20"/>
                <w:szCs w:val="20"/>
              </w:rPr>
            </w:pPr>
          </w:p>
        </w:tc>
        <w:tc>
          <w:tcPr>
            <w:tcW w:w="1498" w:type="dxa"/>
            <w:gridSpan w:val="2"/>
            <w:tcBorders>
              <w:top w:val="single" w:sz="4" w:space="0" w:color="auto"/>
              <w:bottom w:val="single" w:sz="4" w:space="0" w:color="auto"/>
              <w:right w:val="single" w:sz="4" w:space="0" w:color="auto"/>
            </w:tcBorders>
            <w:vAlign w:val="center"/>
          </w:tcPr>
          <w:p w14:paraId="3174E5F5" w14:textId="77777777" w:rsidR="00E640D3" w:rsidRPr="00D75D2E" w:rsidRDefault="00E640D3" w:rsidP="00E640D3">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Inter action</w:t>
            </w:r>
          </w:p>
        </w:tc>
        <w:tc>
          <w:tcPr>
            <w:tcW w:w="1974" w:type="dxa"/>
            <w:gridSpan w:val="3"/>
            <w:tcBorders>
              <w:top w:val="single" w:sz="4" w:space="0" w:color="auto"/>
              <w:left w:val="single" w:sz="4" w:space="0" w:color="auto"/>
              <w:bottom w:val="single" w:sz="4" w:space="0" w:color="auto"/>
              <w:right w:val="single" w:sz="4" w:space="0" w:color="auto"/>
            </w:tcBorders>
          </w:tcPr>
          <w:p w14:paraId="6CA6B5DA" w14:textId="77777777" w:rsidR="00E640D3" w:rsidRPr="00D75D2E" w:rsidRDefault="00E640D3" w:rsidP="00E640D3">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Occurrence</w:t>
            </w:r>
          </w:p>
        </w:tc>
        <w:tc>
          <w:tcPr>
            <w:tcW w:w="1549" w:type="dxa"/>
            <w:gridSpan w:val="3"/>
            <w:tcBorders>
              <w:top w:val="single" w:sz="4" w:space="0" w:color="auto"/>
              <w:left w:val="single" w:sz="4" w:space="0" w:color="auto"/>
              <w:bottom w:val="single" w:sz="4" w:space="0" w:color="auto"/>
              <w:right w:val="single" w:sz="4" w:space="0" w:color="auto"/>
            </w:tcBorders>
          </w:tcPr>
          <w:p w14:paraId="529B61D5" w14:textId="77777777" w:rsidR="00E640D3" w:rsidRPr="00D75D2E" w:rsidRDefault="00E640D3" w:rsidP="00E640D3">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Réversibilité</w:t>
            </w:r>
          </w:p>
        </w:tc>
        <w:tc>
          <w:tcPr>
            <w:tcW w:w="1668" w:type="dxa"/>
            <w:tcBorders>
              <w:top w:val="single" w:sz="4" w:space="0" w:color="auto"/>
              <w:left w:val="single" w:sz="4" w:space="0" w:color="auto"/>
              <w:bottom w:val="single" w:sz="4" w:space="0" w:color="auto"/>
              <w:right w:val="single" w:sz="4" w:space="0" w:color="auto"/>
            </w:tcBorders>
          </w:tcPr>
          <w:p w14:paraId="2E05091D"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Cumulativité</w:t>
            </w:r>
          </w:p>
        </w:tc>
      </w:tr>
      <w:tr w:rsidR="00D75D2E" w:rsidRPr="00420C1B" w14:paraId="67EAFF0B"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tcPr>
          <w:p w14:paraId="0B7CB0CA" w14:textId="77777777" w:rsidR="00E640D3" w:rsidRPr="00D75D2E" w:rsidRDefault="00E640D3" w:rsidP="00E640D3">
            <w:pPr>
              <w:spacing w:after="0" w:line="256" w:lineRule="auto"/>
              <w:rPr>
                <w:rFonts w:ascii="Times New Roman" w:hAnsi="Times New Roman"/>
                <w:b/>
                <w:sz w:val="20"/>
                <w:szCs w:val="20"/>
              </w:rPr>
            </w:pPr>
          </w:p>
        </w:tc>
        <w:tc>
          <w:tcPr>
            <w:tcW w:w="1229" w:type="dxa"/>
            <w:gridSpan w:val="2"/>
            <w:tcBorders>
              <w:top w:val="single" w:sz="4" w:space="0" w:color="auto"/>
              <w:left w:val="single" w:sz="4" w:space="0" w:color="auto"/>
              <w:bottom w:val="single" w:sz="4" w:space="0" w:color="auto"/>
              <w:right w:val="single" w:sz="4" w:space="0" w:color="auto"/>
            </w:tcBorders>
            <w:vAlign w:val="center"/>
          </w:tcPr>
          <w:p w14:paraId="4996D959" w14:textId="77777777" w:rsidR="00E640D3" w:rsidRPr="00D75D2E" w:rsidRDefault="00E640D3" w:rsidP="00E640D3">
            <w:pPr>
              <w:spacing w:after="0" w:line="256" w:lineRule="auto"/>
              <w:rPr>
                <w:rFonts w:ascii="Times New Roman" w:eastAsia="Times New Roman" w:hAnsi="Times New Roman"/>
                <w:bCs/>
                <w:sz w:val="20"/>
                <w:szCs w:val="20"/>
              </w:rPr>
            </w:pPr>
          </w:p>
        </w:tc>
        <w:tc>
          <w:tcPr>
            <w:tcW w:w="1498" w:type="dxa"/>
            <w:gridSpan w:val="2"/>
            <w:tcBorders>
              <w:top w:val="single" w:sz="4" w:space="0" w:color="auto"/>
              <w:bottom w:val="single" w:sz="4" w:space="0" w:color="auto"/>
              <w:right w:val="single" w:sz="4" w:space="0" w:color="auto"/>
            </w:tcBorders>
            <w:vAlign w:val="center"/>
          </w:tcPr>
          <w:p w14:paraId="3B1D0C5D" w14:textId="77777777" w:rsidR="00E640D3" w:rsidRPr="00D75D2E" w:rsidRDefault="00E640D3" w:rsidP="00E640D3">
            <w:pPr>
              <w:spacing w:after="0" w:line="240" w:lineRule="auto"/>
              <w:jc w:val="center"/>
              <w:rPr>
                <w:rFonts w:ascii="Times New Roman" w:eastAsia="Times New Roman" w:hAnsi="Times New Roman"/>
                <w:bCs/>
                <w:sz w:val="20"/>
                <w:szCs w:val="20"/>
              </w:rPr>
            </w:pPr>
            <w:r w:rsidRPr="00D75D2E">
              <w:rPr>
                <w:rFonts w:ascii="Times New Roman" w:eastAsia="Times New Roman" w:hAnsi="Times New Roman"/>
                <w:bCs/>
                <w:sz w:val="20"/>
                <w:szCs w:val="20"/>
              </w:rPr>
              <w:t>Directe</w:t>
            </w:r>
          </w:p>
        </w:tc>
        <w:tc>
          <w:tcPr>
            <w:tcW w:w="1974" w:type="dxa"/>
            <w:gridSpan w:val="3"/>
            <w:tcBorders>
              <w:top w:val="single" w:sz="4" w:space="0" w:color="auto"/>
              <w:left w:val="single" w:sz="4" w:space="0" w:color="auto"/>
              <w:bottom w:val="single" w:sz="4" w:space="0" w:color="auto"/>
              <w:right w:val="single" w:sz="4" w:space="0" w:color="auto"/>
            </w:tcBorders>
            <w:vAlign w:val="center"/>
          </w:tcPr>
          <w:p w14:paraId="64702E3D"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1549" w:type="dxa"/>
            <w:gridSpan w:val="3"/>
            <w:tcBorders>
              <w:top w:val="single" w:sz="4" w:space="0" w:color="auto"/>
              <w:left w:val="single" w:sz="4" w:space="0" w:color="auto"/>
              <w:bottom w:val="single" w:sz="4" w:space="0" w:color="auto"/>
              <w:right w:val="single" w:sz="4" w:space="0" w:color="auto"/>
            </w:tcBorders>
            <w:vAlign w:val="center"/>
          </w:tcPr>
          <w:p w14:paraId="3EAACDED"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1668" w:type="dxa"/>
            <w:tcBorders>
              <w:top w:val="single" w:sz="4" w:space="0" w:color="auto"/>
              <w:left w:val="single" w:sz="4" w:space="0" w:color="auto"/>
              <w:bottom w:val="single" w:sz="4" w:space="0" w:color="auto"/>
              <w:right w:val="single" w:sz="4" w:space="0" w:color="auto"/>
            </w:tcBorders>
            <w:vAlign w:val="center"/>
          </w:tcPr>
          <w:p w14:paraId="39AAC8ED"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D75D2E" w:rsidRPr="00420C1B" w14:paraId="43B0FF0F"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tcPr>
          <w:p w14:paraId="3D4725C2" w14:textId="77777777" w:rsidR="00E640D3" w:rsidRPr="00D75D2E" w:rsidRDefault="00E640D3" w:rsidP="00E640D3">
            <w:pPr>
              <w:spacing w:after="0" w:line="256" w:lineRule="auto"/>
              <w:rPr>
                <w:rFonts w:ascii="Times New Roman" w:hAnsi="Times New Roman"/>
                <w:b/>
                <w:sz w:val="20"/>
                <w:szCs w:val="20"/>
              </w:rPr>
            </w:pPr>
          </w:p>
        </w:tc>
        <w:tc>
          <w:tcPr>
            <w:tcW w:w="1229" w:type="dxa"/>
            <w:gridSpan w:val="2"/>
            <w:tcBorders>
              <w:top w:val="single" w:sz="4" w:space="0" w:color="auto"/>
              <w:left w:val="single" w:sz="4" w:space="0" w:color="auto"/>
              <w:bottom w:val="single" w:sz="4" w:space="0" w:color="auto"/>
              <w:right w:val="single" w:sz="4" w:space="0" w:color="auto"/>
            </w:tcBorders>
            <w:vAlign w:val="center"/>
          </w:tcPr>
          <w:p w14:paraId="6D80585E" w14:textId="77777777" w:rsidR="00E640D3" w:rsidRPr="00D75D2E" w:rsidRDefault="00E640D3" w:rsidP="00E640D3">
            <w:pPr>
              <w:spacing w:after="0" w:line="256" w:lineRule="auto"/>
              <w:rPr>
                <w:rFonts w:ascii="Times New Roman" w:eastAsia="Times New Roman" w:hAnsi="Times New Roman"/>
                <w:bCs/>
                <w:sz w:val="20"/>
                <w:szCs w:val="20"/>
              </w:rPr>
            </w:pPr>
          </w:p>
        </w:tc>
        <w:tc>
          <w:tcPr>
            <w:tcW w:w="1498" w:type="dxa"/>
            <w:gridSpan w:val="2"/>
            <w:tcBorders>
              <w:top w:val="single" w:sz="4" w:space="0" w:color="auto"/>
              <w:bottom w:val="single" w:sz="4" w:space="0" w:color="auto"/>
              <w:right w:val="single" w:sz="4" w:space="0" w:color="auto"/>
            </w:tcBorders>
          </w:tcPr>
          <w:p w14:paraId="6FCB06A1" w14:textId="77777777" w:rsidR="00E640D3" w:rsidRPr="00D75D2E" w:rsidRDefault="00E640D3" w:rsidP="00E640D3">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Fréquence</w:t>
            </w:r>
          </w:p>
        </w:tc>
        <w:tc>
          <w:tcPr>
            <w:tcW w:w="1974" w:type="dxa"/>
            <w:gridSpan w:val="3"/>
            <w:tcBorders>
              <w:top w:val="single" w:sz="4" w:space="0" w:color="auto"/>
              <w:left w:val="single" w:sz="4" w:space="0" w:color="auto"/>
              <w:bottom w:val="single" w:sz="4" w:space="0" w:color="auto"/>
              <w:right w:val="single" w:sz="4" w:space="0" w:color="auto"/>
            </w:tcBorders>
            <w:vAlign w:val="center"/>
          </w:tcPr>
          <w:p w14:paraId="5ACA51B0"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1549" w:type="dxa"/>
            <w:gridSpan w:val="3"/>
            <w:tcBorders>
              <w:top w:val="single" w:sz="4" w:space="0" w:color="auto"/>
              <w:left w:val="single" w:sz="4" w:space="0" w:color="auto"/>
              <w:bottom w:val="single" w:sz="4" w:space="0" w:color="auto"/>
              <w:right w:val="single" w:sz="4" w:space="0" w:color="auto"/>
            </w:tcBorders>
            <w:vAlign w:val="center"/>
          </w:tcPr>
          <w:p w14:paraId="1EACA8E0" w14:textId="77777777" w:rsidR="00E640D3" w:rsidRPr="00D75D2E" w:rsidRDefault="00E640D3" w:rsidP="00E640D3">
            <w:pPr>
              <w:spacing w:after="0" w:line="240" w:lineRule="auto"/>
              <w:jc w:val="center"/>
              <w:rPr>
                <w:rFonts w:ascii="Times New Roman" w:hAnsi="Times New Roman"/>
                <w:sz w:val="20"/>
                <w:szCs w:val="20"/>
              </w:rPr>
            </w:pPr>
          </w:p>
        </w:tc>
        <w:tc>
          <w:tcPr>
            <w:tcW w:w="1668" w:type="dxa"/>
            <w:tcBorders>
              <w:top w:val="single" w:sz="4" w:space="0" w:color="auto"/>
              <w:left w:val="single" w:sz="4" w:space="0" w:color="auto"/>
              <w:bottom w:val="single" w:sz="4" w:space="0" w:color="auto"/>
              <w:right w:val="single" w:sz="4" w:space="0" w:color="auto"/>
            </w:tcBorders>
            <w:vAlign w:val="center"/>
          </w:tcPr>
          <w:p w14:paraId="60D76E58" w14:textId="77777777" w:rsidR="00E640D3" w:rsidRPr="00D75D2E" w:rsidRDefault="00E640D3" w:rsidP="00E640D3">
            <w:pPr>
              <w:spacing w:after="0" w:line="240" w:lineRule="auto"/>
              <w:rPr>
                <w:rFonts w:ascii="Times New Roman" w:hAnsi="Times New Roman"/>
                <w:sz w:val="20"/>
                <w:szCs w:val="20"/>
              </w:rPr>
            </w:pPr>
          </w:p>
        </w:tc>
      </w:tr>
      <w:tr w:rsidR="00D75D2E" w:rsidRPr="00420C1B" w14:paraId="2CEA2087"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tcPr>
          <w:p w14:paraId="7835BB29" w14:textId="77777777" w:rsidR="00E640D3" w:rsidRPr="00D75D2E" w:rsidRDefault="00E640D3" w:rsidP="00E640D3">
            <w:pPr>
              <w:spacing w:after="0" w:line="256" w:lineRule="auto"/>
              <w:rPr>
                <w:rFonts w:ascii="Times New Roman" w:hAnsi="Times New Roman"/>
                <w:b/>
                <w:sz w:val="20"/>
                <w:szCs w:val="20"/>
              </w:rPr>
            </w:pPr>
          </w:p>
        </w:tc>
        <w:tc>
          <w:tcPr>
            <w:tcW w:w="1229" w:type="dxa"/>
            <w:gridSpan w:val="2"/>
            <w:tcBorders>
              <w:top w:val="single" w:sz="4" w:space="0" w:color="auto"/>
              <w:left w:val="single" w:sz="4" w:space="0" w:color="auto"/>
              <w:bottom w:val="single" w:sz="4" w:space="0" w:color="auto"/>
              <w:right w:val="single" w:sz="4" w:space="0" w:color="auto"/>
            </w:tcBorders>
            <w:vAlign w:val="center"/>
          </w:tcPr>
          <w:p w14:paraId="405A167F" w14:textId="77777777" w:rsidR="00E640D3" w:rsidRPr="00D75D2E" w:rsidRDefault="00E640D3" w:rsidP="00E640D3">
            <w:pPr>
              <w:spacing w:after="0" w:line="256" w:lineRule="auto"/>
              <w:rPr>
                <w:rFonts w:ascii="Times New Roman" w:eastAsia="Times New Roman" w:hAnsi="Times New Roman"/>
                <w:bCs/>
                <w:sz w:val="20"/>
                <w:szCs w:val="20"/>
              </w:rPr>
            </w:pPr>
          </w:p>
        </w:tc>
        <w:tc>
          <w:tcPr>
            <w:tcW w:w="1498" w:type="dxa"/>
            <w:gridSpan w:val="2"/>
            <w:tcBorders>
              <w:top w:val="single" w:sz="4" w:space="0" w:color="auto"/>
              <w:bottom w:val="single" w:sz="4" w:space="0" w:color="auto"/>
              <w:right w:val="single" w:sz="4" w:space="0" w:color="auto"/>
            </w:tcBorders>
            <w:vAlign w:val="center"/>
          </w:tcPr>
          <w:p w14:paraId="5B1DD0B0"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hAnsi="Times New Roman"/>
                <w:sz w:val="20"/>
                <w:szCs w:val="20"/>
              </w:rPr>
              <w:t>Périodique</w:t>
            </w:r>
          </w:p>
        </w:tc>
        <w:tc>
          <w:tcPr>
            <w:tcW w:w="1974" w:type="dxa"/>
            <w:gridSpan w:val="3"/>
            <w:tcBorders>
              <w:top w:val="single" w:sz="4" w:space="0" w:color="auto"/>
              <w:left w:val="single" w:sz="4" w:space="0" w:color="auto"/>
              <w:bottom w:val="single" w:sz="4" w:space="0" w:color="auto"/>
              <w:right w:val="single" w:sz="4" w:space="0" w:color="auto"/>
            </w:tcBorders>
            <w:vAlign w:val="center"/>
          </w:tcPr>
          <w:p w14:paraId="21DBE5E0" w14:textId="77777777" w:rsidR="00E640D3" w:rsidRPr="00D75D2E" w:rsidRDefault="00E640D3" w:rsidP="00E640D3">
            <w:pPr>
              <w:spacing w:after="0" w:line="240" w:lineRule="auto"/>
              <w:jc w:val="center"/>
              <w:rPr>
                <w:rFonts w:ascii="Times New Roman" w:hAnsi="Times New Roman"/>
                <w:sz w:val="20"/>
                <w:szCs w:val="20"/>
              </w:rPr>
            </w:pPr>
            <w:r w:rsidRPr="00D75D2E">
              <w:rPr>
                <w:rFonts w:ascii="Times New Roman" w:eastAsia="Times New Roman" w:hAnsi="Times New Roman"/>
                <w:bCs/>
                <w:sz w:val="20"/>
                <w:szCs w:val="20"/>
              </w:rPr>
              <w:t>Economique</w:t>
            </w:r>
          </w:p>
        </w:tc>
        <w:tc>
          <w:tcPr>
            <w:tcW w:w="1549" w:type="dxa"/>
            <w:gridSpan w:val="3"/>
            <w:tcBorders>
              <w:top w:val="single" w:sz="4" w:space="0" w:color="auto"/>
              <w:left w:val="single" w:sz="4" w:space="0" w:color="auto"/>
              <w:bottom w:val="single" w:sz="4" w:space="0" w:color="auto"/>
              <w:right w:val="single" w:sz="4" w:space="0" w:color="auto"/>
            </w:tcBorders>
            <w:vAlign w:val="center"/>
          </w:tcPr>
          <w:p w14:paraId="0C0E9879" w14:textId="77777777" w:rsidR="00E640D3" w:rsidRPr="00D75D2E" w:rsidRDefault="00E640D3" w:rsidP="00E640D3">
            <w:pPr>
              <w:spacing w:after="0" w:line="240" w:lineRule="auto"/>
              <w:jc w:val="center"/>
              <w:rPr>
                <w:rFonts w:ascii="Times New Roman" w:hAnsi="Times New Roman"/>
                <w:sz w:val="20"/>
                <w:szCs w:val="20"/>
              </w:rPr>
            </w:pPr>
          </w:p>
        </w:tc>
        <w:tc>
          <w:tcPr>
            <w:tcW w:w="1668" w:type="dxa"/>
            <w:tcBorders>
              <w:top w:val="single" w:sz="4" w:space="0" w:color="auto"/>
              <w:left w:val="single" w:sz="4" w:space="0" w:color="auto"/>
              <w:bottom w:val="single" w:sz="4" w:space="0" w:color="auto"/>
              <w:right w:val="single" w:sz="4" w:space="0" w:color="auto"/>
            </w:tcBorders>
            <w:vAlign w:val="center"/>
          </w:tcPr>
          <w:p w14:paraId="26FC021F" w14:textId="77777777" w:rsidR="00E640D3" w:rsidRPr="00D75D2E" w:rsidRDefault="00E640D3" w:rsidP="00E640D3">
            <w:pPr>
              <w:spacing w:after="0" w:line="240" w:lineRule="auto"/>
              <w:rPr>
                <w:rFonts w:ascii="Times New Roman" w:hAnsi="Times New Roman"/>
                <w:sz w:val="20"/>
                <w:szCs w:val="20"/>
              </w:rPr>
            </w:pPr>
          </w:p>
        </w:tc>
      </w:tr>
      <w:tr w:rsidR="00D75D2E" w:rsidRPr="00420C1B" w14:paraId="2AB271E5" w14:textId="77777777" w:rsidTr="00215867">
        <w:trPr>
          <w:trHeight w:val="144"/>
          <w:jc w:val="center"/>
        </w:trPr>
        <w:tc>
          <w:tcPr>
            <w:tcW w:w="1652" w:type="dxa"/>
            <w:gridSpan w:val="2"/>
            <w:vMerge/>
            <w:tcBorders>
              <w:top w:val="single" w:sz="4" w:space="0" w:color="auto"/>
              <w:left w:val="single" w:sz="4" w:space="0" w:color="auto"/>
              <w:bottom w:val="single" w:sz="4" w:space="0" w:color="auto"/>
              <w:right w:val="single" w:sz="4" w:space="0" w:color="auto"/>
            </w:tcBorders>
            <w:vAlign w:val="center"/>
            <w:hideMark/>
          </w:tcPr>
          <w:p w14:paraId="2CEE968A" w14:textId="77777777" w:rsidR="00ED17F3" w:rsidRPr="00D75D2E" w:rsidRDefault="00ED17F3" w:rsidP="007108ED">
            <w:pPr>
              <w:spacing w:after="0" w:line="256" w:lineRule="auto"/>
              <w:rPr>
                <w:rFonts w:ascii="Times New Roman" w:hAnsi="Times New Roman"/>
                <w:b/>
                <w:sz w:val="20"/>
                <w:szCs w:val="20"/>
              </w:rPr>
            </w:pPr>
          </w:p>
        </w:tc>
        <w:tc>
          <w:tcPr>
            <w:tcW w:w="1229" w:type="dxa"/>
            <w:gridSpan w:val="2"/>
            <w:tcBorders>
              <w:top w:val="single" w:sz="4" w:space="0" w:color="auto"/>
              <w:left w:val="single" w:sz="4" w:space="0" w:color="auto"/>
              <w:bottom w:val="single" w:sz="4" w:space="0" w:color="auto"/>
              <w:right w:val="single" w:sz="4" w:space="0" w:color="auto"/>
            </w:tcBorders>
            <w:hideMark/>
          </w:tcPr>
          <w:p w14:paraId="5811E826" w14:textId="77777777" w:rsidR="00ED17F3" w:rsidRPr="00D75D2E" w:rsidRDefault="00ED17F3" w:rsidP="007108ED">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6689" w:type="dxa"/>
            <w:gridSpan w:val="9"/>
            <w:tcBorders>
              <w:top w:val="single" w:sz="4" w:space="0" w:color="auto"/>
              <w:left w:val="single" w:sz="4" w:space="0" w:color="auto"/>
              <w:bottom w:val="single" w:sz="4" w:space="0" w:color="auto"/>
              <w:right w:val="single" w:sz="4" w:space="0" w:color="auto"/>
            </w:tcBorders>
            <w:hideMark/>
          </w:tcPr>
          <w:p w14:paraId="4203E69A" w14:textId="77777777" w:rsidR="00ED17F3" w:rsidRPr="00D75D2E" w:rsidRDefault="00E640D3" w:rsidP="007108ED">
            <w:pPr>
              <w:spacing w:after="0" w:line="240" w:lineRule="auto"/>
              <w:jc w:val="both"/>
              <w:rPr>
                <w:rFonts w:ascii="Times New Roman" w:eastAsia="Times New Roman" w:hAnsi="Times New Roman"/>
                <w:sz w:val="20"/>
                <w:szCs w:val="20"/>
                <w:lang w:eastAsia="fr-FR"/>
              </w:rPr>
            </w:pPr>
            <w:r w:rsidRPr="00D75D2E">
              <w:rPr>
                <w:rFonts w:ascii="Times New Roman" w:eastAsia="Times New Roman" w:hAnsi="Times New Roman"/>
                <w:bCs/>
                <w:sz w:val="20"/>
                <w:szCs w:val="20"/>
              </w:rPr>
              <w:t>L’installatio</w:t>
            </w:r>
            <w:r w:rsidR="00E90A25" w:rsidRPr="00D75D2E">
              <w:rPr>
                <w:rFonts w:ascii="Times New Roman" w:eastAsia="Times New Roman" w:hAnsi="Times New Roman"/>
                <w:bCs/>
                <w:sz w:val="20"/>
                <w:szCs w:val="20"/>
              </w:rPr>
              <w:t>n de la base vie pourrait entraî</w:t>
            </w:r>
            <w:r w:rsidRPr="00D75D2E">
              <w:rPr>
                <w:rFonts w:ascii="Times New Roman" w:eastAsia="Times New Roman" w:hAnsi="Times New Roman"/>
                <w:bCs/>
                <w:sz w:val="20"/>
                <w:szCs w:val="20"/>
              </w:rPr>
              <w:t>ner une destruction de la végétation modifiant ainsi le paysage. Aussi le fonctionnement de la base vie va générer des déchets solides (emballages plastiques) et des déchets liquides. Cet impact est d’intensité moyenne, d’une étendue locale et de durée courte c’est-à-dire le temps des travaux, et donc d’importance moyenne.</w:t>
            </w:r>
          </w:p>
        </w:tc>
      </w:tr>
      <w:tr w:rsidR="00D75D2E" w:rsidRPr="00420C1B" w14:paraId="168A3017" w14:textId="77777777" w:rsidTr="00215867">
        <w:trPr>
          <w:trHeight w:val="490"/>
          <w:jc w:val="center"/>
        </w:trPr>
        <w:tc>
          <w:tcPr>
            <w:tcW w:w="4379" w:type="dxa"/>
            <w:gridSpan w:val="6"/>
            <w:tcBorders>
              <w:top w:val="single" w:sz="4" w:space="0" w:color="auto"/>
              <w:left w:val="single" w:sz="4" w:space="0" w:color="auto"/>
              <w:bottom w:val="single" w:sz="4" w:space="0" w:color="auto"/>
              <w:right w:val="single" w:sz="4" w:space="0" w:color="auto"/>
            </w:tcBorders>
            <w:hideMark/>
          </w:tcPr>
          <w:p w14:paraId="1AC830C4" w14:textId="77777777" w:rsidR="00ED17F3" w:rsidRPr="00D75D2E" w:rsidRDefault="00ED17F3" w:rsidP="00A958F9">
            <w:pPr>
              <w:spacing w:after="0" w:line="240" w:lineRule="auto"/>
              <w:jc w:val="both"/>
              <w:rPr>
                <w:rFonts w:ascii="Times New Roman" w:eastAsia="Times New Roman" w:hAnsi="Times New Roman"/>
                <w:sz w:val="20"/>
                <w:szCs w:val="20"/>
                <w:lang w:eastAsia="fr-FR"/>
              </w:rPr>
            </w:pPr>
            <w:r w:rsidRPr="00D75D2E">
              <w:rPr>
                <w:rFonts w:ascii="Times New Roman" w:hAnsi="Times New Roman"/>
                <w:b/>
                <w:sz w:val="20"/>
                <w:szCs w:val="20"/>
              </w:rPr>
              <w:t>Titre de la mesure d’atténuation</w:t>
            </w:r>
            <w:r w:rsidRPr="00D75D2E">
              <w:rPr>
                <w:rFonts w:ascii="Times New Roman" w:hAnsi="Times New Roman"/>
                <w:sz w:val="20"/>
                <w:szCs w:val="20"/>
              </w:rPr>
              <w:t xml:space="preserve"> : </w:t>
            </w:r>
          </w:p>
        </w:tc>
        <w:tc>
          <w:tcPr>
            <w:tcW w:w="5191" w:type="dxa"/>
            <w:gridSpan w:val="7"/>
            <w:tcBorders>
              <w:top w:val="single" w:sz="4" w:space="0" w:color="auto"/>
              <w:left w:val="single" w:sz="4" w:space="0" w:color="auto"/>
              <w:bottom w:val="single" w:sz="4" w:space="0" w:color="auto"/>
              <w:right w:val="single" w:sz="4" w:space="0" w:color="auto"/>
            </w:tcBorders>
            <w:hideMark/>
          </w:tcPr>
          <w:p w14:paraId="2A15E243" w14:textId="09B7D558" w:rsidR="00A3035A" w:rsidRDefault="00A958F9" w:rsidP="00A3035A">
            <w:pPr>
              <w:spacing w:after="0" w:line="240" w:lineRule="auto"/>
              <w:ind w:firstLine="39"/>
              <w:contextualSpacing/>
              <w:jc w:val="both"/>
              <w:rPr>
                <w:rFonts w:ascii="Times New Roman" w:hAnsi="Times New Roman"/>
                <w:sz w:val="20"/>
                <w:szCs w:val="20"/>
              </w:rPr>
            </w:pPr>
            <w:r w:rsidRPr="00D75D2E">
              <w:rPr>
                <w:rFonts w:ascii="Times New Roman" w:hAnsi="Times New Roman"/>
                <w:sz w:val="20"/>
                <w:szCs w:val="20"/>
              </w:rPr>
              <w:t xml:space="preserve">• </w:t>
            </w:r>
            <w:r w:rsidR="00A3035A" w:rsidRPr="00A3035A">
              <w:rPr>
                <w:rFonts w:ascii="Times New Roman" w:hAnsi="Times New Roman"/>
                <w:sz w:val="20"/>
                <w:szCs w:val="20"/>
              </w:rPr>
              <w:t xml:space="preserve">réalisation </w:t>
            </w:r>
            <w:r w:rsidR="00A3035A" w:rsidRPr="00C738C5">
              <w:rPr>
                <w:rFonts w:ascii="Times New Roman" w:hAnsi="Times New Roman"/>
                <w:sz w:val="20"/>
                <w:szCs w:val="20"/>
              </w:rPr>
              <w:t>et mise en œuvre  EIES simplifiée ou un PGES</w:t>
            </w:r>
            <w:r w:rsidR="00E26C98">
              <w:rPr>
                <w:rFonts w:ascii="Times New Roman" w:hAnsi="Times New Roman"/>
                <w:sz w:val="20"/>
                <w:szCs w:val="20"/>
              </w:rPr>
              <w:t xml:space="preserve"> et/ou d’un PAR éventuel</w:t>
            </w:r>
            <w:r w:rsidR="00A3035A" w:rsidRPr="00C738C5">
              <w:rPr>
                <w:rFonts w:ascii="Times New Roman" w:hAnsi="Times New Roman"/>
                <w:sz w:val="20"/>
                <w:szCs w:val="20"/>
              </w:rPr>
              <w:t xml:space="preserve">  par l’entreprise </w:t>
            </w:r>
            <w:r w:rsidR="00E26C98" w:rsidRPr="00C738C5">
              <w:rPr>
                <w:rFonts w:ascii="Times New Roman" w:hAnsi="Times New Roman"/>
                <w:sz w:val="20"/>
                <w:szCs w:val="20"/>
              </w:rPr>
              <w:t>après</w:t>
            </w:r>
            <w:r w:rsidR="00A3035A" w:rsidRPr="00C738C5">
              <w:rPr>
                <w:rFonts w:ascii="Times New Roman" w:hAnsi="Times New Roman"/>
                <w:sz w:val="20"/>
                <w:szCs w:val="20"/>
              </w:rPr>
              <w:t xml:space="preserve"> l’identification exacte des bases vies en collaboration avec les responsables environnementalistes du projet.</w:t>
            </w:r>
          </w:p>
          <w:p w14:paraId="0AE089E8" w14:textId="2495DDD0" w:rsidR="00A3035A" w:rsidRDefault="00A3035A" w:rsidP="00C3762A">
            <w:pPr>
              <w:spacing w:after="0" w:line="240" w:lineRule="auto"/>
              <w:ind w:firstLine="39"/>
              <w:contextualSpacing/>
              <w:jc w:val="both"/>
              <w:rPr>
                <w:rFonts w:ascii="Times New Roman" w:hAnsi="Times New Roman"/>
                <w:sz w:val="20"/>
                <w:szCs w:val="20"/>
              </w:rPr>
            </w:pPr>
          </w:p>
          <w:p w14:paraId="0D038920" w14:textId="00D1A51E" w:rsidR="00A958F9" w:rsidRPr="00D75D2E" w:rsidRDefault="00A3035A" w:rsidP="00C3762A">
            <w:pPr>
              <w:spacing w:after="0" w:line="240" w:lineRule="auto"/>
              <w:ind w:firstLine="39"/>
              <w:contextualSpacing/>
              <w:jc w:val="both"/>
              <w:rPr>
                <w:rFonts w:ascii="Times New Roman" w:hAnsi="Times New Roman"/>
                <w:sz w:val="20"/>
                <w:szCs w:val="20"/>
              </w:rPr>
            </w:pPr>
            <w:r w:rsidRPr="00D75D2E">
              <w:rPr>
                <w:rFonts w:ascii="Times New Roman" w:hAnsi="Times New Roman"/>
                <w:sz w:val="20"/>
                <w:szCs w:val="20"/>
              </w:rPr>
              <w:t>•</w:t>
            </w:r>
            <w:r w:rsidR="00A958F9" w:rsidRPr="00D75D2E">
              <w:rPr>
                <w:rFonts w:ascii="Times New Roman" w:hAnsi="Times New Roman"/>
                <w:sz w:val="20"/>
                <w:szCs w:val="20"/>
              </w:rPr>
              <w:t>Mise en œuvre d’un Plan de Gestion et d’</w:t>
            </w:r>
            <w:r w:rsidR="00C3762A" w:rsidRPr="00D75D2E">
              <w:rPr>
                <w:rFonts w:ascii="Times New Roman" w:hAnsi="Times New Roman"/>
                <w:sz w:val="20"/>
                <w:szCs w:val="20"/>
              </w:rPr>
              <w:t xml:space="preserve">Elimination des Déchets (PGED) </w:t>
            </w:r>
          </w:p>
          <w:p w14:paraId="7609E650" w14:textId="04D2377B" w:rsidR="00ED17F3" w:rsidRDefault="00A958F9" w:rsidP="00C3762A">
            <w:pPr>
              <w:spacing w:after="0" w:line="240" w:lineRule="auto"/>
              <w:ind w:firstLine="39"/>
              <w:contextualSpacing/>
              <w:jc w:val="both"/>
              <w:rPr>
                <w:rFonts w:ascii="Times New Roman" w:hAnsi="Times New Roman"/>
                <w:sz w:val="20"/>
                <w:szCs w:val="20"/>
              </w:rPr>
            </w:pPr>
            <w:r w:rsidRPr="00D75D2E">
              <w:rPr>
                <w:rFonts w:ascii="Times New Roman" w:hAnsi="Times New Roman"/>
                <w:sz w:val="20"/>
                <w:szCs w:val="20"/>
              </w:rPr>
              <w:t>• Mise en place d’un plan d’information Education et Communication</w:t>
            </w:r>
            <w:r w:rsidR="00A3035A">
              <w:rPr>
                <w:rFonts w:ascii="Times New Roman" w:hAnsi="Times New Roman"/>
                <w:sz w:val="20"/>
                <w:szCs w:val="20"/>
              </w:rPr>
              <w:t> ;</w:t>
            </w:r>
          </w:p>
          <w:p w14:paraId="5BB053C2" w14:textId="25096F91" w:rsidR="00A3035A" w:rsidRPr="00D75D2E" w:rsidRDefault="00A3035A" w:rsidP="00A3035A">
            <w:pPr>
              <w:spacing w:after="0" w:line="240" w:lineRule="auto"/>
              <w:ind w:firstLine="39"/>
              <w:contextualSpacing/>
              <w:jc w:val="both"/>
              <w:rPr>
                <w:rFonts w:ascii="Times New Roman" w:hAnsi="Times New Roman"/>
                <w:sz w:val="20"/>
                <w:szCs w:val="20"/>
              </w:rPr>
            </w:pPr>
          </w:p>
        </w:tc>
      </w:tr>
      <w:tr w:rsidR="00D75D2E" w:rsidRPr="00420C1B" w14:paraId="4335F678" w14:textId="77777777" w:rsidTr="00215867">
        <w:trPr>
          <w:trHeight w:val="1827"/>
          <w:jc w:val="center"/>
        </w:trPr>
        <w:tc>
          <w:tcPr>
            <w:tcW w:w="4379" w:type="dxa"/>
            <w:gridSpan w:val="6"/>
            <w:tcBorders>
              <w:top w:val="single" w:sz="4" w:space="0" w:color="auto"/>
              <w:left w:val="single" w:sz="4" w:space="0" w:color="auto"/>
              <w:bottom w:val="single" w:sz="4" w:space="0" w:color="auto"/>
              <w:right w:val="single" w:sz="4" w:space="0" w:color="auto"/>
            </w:tcBorders>
            <w:hideMark/>
          </w:tcPr>
          <w:p w14:paraId="4E63AA70"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 Prévenir les pollutions dues au fonctionnement de la base vie</w:t>
            </w:r>
          </w:p>
        </w:tc>
        <w:tc>
          <w:tcPr>
            <w:tcW w:w="5191" w:type="dxa"/>
            <w:gridSpan w:val="7"/>
            <w:tcBorders>
              <w:top w:val="single" w:sz="4" w:space="0" w:color="auto"/>
              <w:left w:val="single" w:sz="4" w:space="0" w:color="auto"/>
              <w:bottom w:val="single" w:sz="4" w:space="0" w:color="auto"/>
              <w:right w:val="single" w:sz="4" w:space="0" w:color="auto"/>
            </w:tcBorders>
            <w:hideMark/>
          </w:tcPr>
          <w:p w14:paraId="608E5A7C"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5032320B" w14:textId="77777777" w:rsidR="00ED17F3" w:rsidRPr="00857867" w:rsidRDefault="00ED17F3" w:rsidP="008C79F0">
            <w:pPr>
              <w:numPr>
                <w:ilvl w:val="0"/>
                <w:numId w:val="32"/>
              </w:numPr>
              <w:autoSpaceDE w:val="0"/>
              <w:autoSpaceDN w:val="0"/>
              <w:adjustRightInd w:val="0"/>
              <w:spacing w:after="0" w:line="240" w:lineRule="auto"/>
              <w:jc w:val="both"/>
              <w:rPr>
                <w:rFonts w:ascii="Times New Roman" w:hAnsi="Times New Roman"/>
                <w:iCs/>
                <w:sz w:val="20"/>
                <w:szCs w:val="20"/>
              </w:rPr>
            </w:pPr>
            <w:r w:rsidRPr="00857867">
              <w:rPr>
                <w:rFonts w:ascii="Times New Roman" w:hAnsi="Times New Roman"/>
                <w:iCs/>
                <w:sz w:val="20"/>
                <w:szCs w:val="20"/>
              </w:rPr>
              <w:t>assurer une gestion appropriée des déchets ;</w:t>
            </w:r>
          </w:p>
          <w:p w14:paraId="30B6B886" w14:textId="77777777" w:rsidR="00ED17F3" w:rsidRPr="00857867" w:rsidRDefault="00ED17F3" w:rsidP="008C79F0">
            <w:pPr>
              <w:numPr>
                <w:ilvl w:val="0"/>
                <w:numId w:val="32"/>
              </w:numPr>
              <w:autoSpaceDE w:val="0"/>
              <w:autoSpaceDN w:val="0"/>
              <w:adjustRightInd w:val="0"/>
              <w:spacing w:after="0" w:line="240" w:lineRule="auto"/>
              <w:jc w:val="both"/>
              <w:rPr>
                <w:rFonts w:ascii="Times New Roman" w:hAnsi="Times New Roman"/>
                <w:iCs/>
                <w:sz w:val="20"/>
                <w:szCs w:val="20"/>
              </w:rPr>
            </w:pPr>
            <w:r w:rsidRPr="00857867">
              <w:rPr>
                <w:rFonts w:ascii="Times New Roman" w:hAnsi="Times New Roman"/>
                <w:iCs/>
                <w:sz w:val="20"/>
                <w:szCs w:val="20"/>
              </w:rPr>
              <w:t>informer et sensibiliser le personnel de l’entreprise sur la gestion des déchets ;</w:t>
            </w:r>
          </w:p>
          <w:p w14:paraId="6CD1AF10" w14:textId="77777777" w:rsidR="00ED17F3" w:rsidRPr="00857867" w:rsidRDefault="00ED17F3" w:rsidP="008C79F0">
            <w:pPr>
              <w:numPr>
                <w:ilvl w:val="0"/>
                <w:numId w:val="32"/>
              </w:numPr>
              <w:autoSpaceDE w:val="0"/>
              <w:autoSpaceDN w:val="0"/>
              <w:adjustRightInd w:val="0"/>
              <w:spacing w:after="0" w:line="240" w:lineRule="auto"/>
              <w:jc w:val="both"/>
              <w:rPr>
                <w:rFonts w:ascii="Times New Roman" w:hAnsi="Times New Roman"/>
                <w:iCs/>
                <w:sz w:val="20"/>
                <w:szCs w:val="20"/>
              </w:rPr>
            </w:pPr>
            <w:r w:rsidRPr="00857867">
              <w:rPr>
                <w:rFonts w:ascii="Times New Roman" w:hAnsi="Times New Roman"/>
                <w:sz w:val="20"/>
                <w:szCs w:val="20"/>
              </w:rPr>
              <w:t>Mettre en place 5 bacs à ordures et transférer périodiquement ces ordures vers des décharges publiques.</w:t>
            </w:r>
          </w:p>
        </w:tc>
      </w:tr>
      <w:tr w:rsidR="00D75D2E" w:rsidRPr="00420C1B" w14:paraId="3D35FBAD" w14:textId="77777777" w:rsidTr="00215867">
        <w:trPr>
          <w:trHeight w:val="254"/>
          <w:jc w:val="center"/>
        </w:trPr>
        <w:tc>
          <w:tcPr>
            <w:tcW w:w="4379" w:type="dxa"/>
            <w:gridSpan w:val="6"/>
            <w:tcBorders>
              <w:top w:val="single" w:sz="4" w:space="0" w:color="auto"/>
              <w:left w:val="single" w:sz="4" w:space="0" w:color="auto"/>
              <w:bottom w:val="single" w:sz="4" w:space="0" w:color="auto"/>
              <w:right w:val="single" w:sz="4" w:space="0" w:color="auto"/>
            </w:tcBorders>
            <w:hideMark/>
          </w:tcPr>
          <w:p w14:paraId="083D249A"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Impact résiduel</w:t>
            </w:r>
          </w:p>
        </w:tc>
        <w:tc>
          <w:tcPr>
            <w:tcW w:w="5191" w:type="dxa"/>
            <w:gridSpan w:val="7"/>
            <w:tcBorders>
              <w:top w:val="single" w:sz="4" w:space="0" w:color="auto"/>
              <w:left w:val="single" w:sz="4" w:space="0" w:color="auto"/>
              <w:bottom w:val="single" w:sz="4" w:space="0" w:color="auto"/>
              <w:right w:val="single" w:sz="4" w:space="0" w:color="auto"/>
            </w:tcBorders>
            <w:hideMark/>
          </w:tcPr>
          <w:p w14:paraId="2CB1D49B"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D75D2E" w:rsidRPr="00420C1B" w14:paraId="4605FE56" w14:textId="77777777" w:rsidTr="00215867">
        <w:trPr>
          <w:trHeight w:val="1048"/>
          <w:jc w:val="center"/>
        </w:trPr>
        <w:tc>
          <w:tcPr>
            <w:tcW w:w="2446" w:type="dxa"/>
            <w:gridSpan w:val="3"/>
            <w:tcBorders>
              <w:top w:val="single" w:sz="4" w:space="0" w:color="auto"/>
              <w:left w:val="single" w:sz="4" w:space="0" w:color="auto"/>
              <w:bottom w:val="single" w:sz="4" w:space="0" w:color="auto"/>
              <w:right w:val="single" w:sz="4" w:space="0" w:color="auto"/>
            </w:tcBorders>
            <w:hideMark/>
          </w:tcPr>
          <w:p w14:paraId="5B04EC9E"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66F66241"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MdC ;</w:t>
            </w:r>
          </w:p>
          <w:p w14:paraId="1524574B"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ACE ;</w:t>
            </w:r>
          </w:p>
          <w:p w14:paraId="2E359F81"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BUE. </w:t>
            </w:r>
          </w:p>
        </w:tc>
        <w:tc>
          <w:tcPr>
            <w:tcW w:w="4270" w:type="dxa"/>
            <w:gridSpan w:val="7"/>
            <w:tcBorders>
              <w:top w:val="single" w:sz="4" w:space="0" w:color="auto"/>
              <w:left w:val="single" w:sz="4" w:space="0" w:color="auto"/>
              <w:bottom w:val="single" w:sz="4" w:space="0" w:color="auto"/>
              <w:right w:val="single" w:sz="4" w:space="0" w:color="auto"/>
            </w:tcBorders>
            <w:hideMark/>
          </w:tcPr>
          <w:p w14:paraId="5A34E7BC"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3AAB0943" w14:textId="77777777" w:rsidR="00C86B57" w:rsidRPr="00857867"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4E8F33BE" w14:textId="77777777" w:rsidR="00C86B57" w:rsidRPr="00857867"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66C0E925" w14:textId="77777777" w:rsidR="00C86B57" w:rsidRPr="00857867" w:rsidRDefault="00C86B57"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2854" w:type="dxa"/>
            <w:gridSpan w:val="3"/>
            <w:tcBorders>
              <w:top w:val="single" w:sz="4" w:space="0" w:color="auto"/>
              <w:left w:val="single" w:sz="4" w:space="0" w:color="auto"/>
              <w:bottom w:val="single" w:sz="4" w:space="0" w:color="auto"/>
              <w:right w:val="single" w:sz="4" w:space="0" w:color="auto"/>
            </w:tcBorders>
            <w:hideMark/>
          </w:tcPr>
          <w:p w14:paraId="11BD2A94"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 xml:space="preserve">Indicateurs de suivi </w:t>
            </w:r>
          </w:p>
          <w:p w14:paraId="21172617" w14:textId="77777777" w:rsidR="00C86B57" w:rsidRPr="00857867" w:rsidRDefault="00C86B57" w:rsidP="008C79F0">
            <w:pPr>
              <w:numPr>
                <w:ilvl w:val="0"/>
                <w:numId w:val="32"/>
              </w:numPr>
              <w:autoSpaceDE w:val="0"/>
              <w:autoSpaceDN w:val="0"/>
              <w:adjustRightInd w:val="0"/>
              <w:spacing w:after="0" w:line="240" w:lineRule="auto"/>
              <w:ind w:left="158" w:hanging="158"/>
              <w:contextualSpacing/>
              <w:jc w:val="both"/>
              <w:rPr>
                <w:rFonts w:ascii="Times New Roman" w:hAnsi="Times New Roman"/>
                <w:sz w:val="20"/>
                <w:szCs w:val="20"/>
              </w:rPr>
            </w:pPr>
            <w:r w:rsidRPr="00857867">
              <w:rPr>
                <w:rFonts w:ascii="Times New Roman" w:hAnsi="Times New Roman"/>
                <w:sz w:val="20"/>
                <w:szCs w:val="20"/>
              </w:rPr>
              <w:t>100% des séances de sensibilisation réalisées ;</w:t>
            </w:r>
          </w:p>
          <w:p w14:paraId="101D0E49" w14:textId="77777777" w:rsidR="00C86B57" w:rsidRPr="00857867" w:rsidRDefault="00C86B57" w:rsidP="008C79F0">
            <w:pPr>
              <w:numPr>
                <w:ilvl w:val="0"/>
                <w:numId w:val="32"/>
              </w:numPr>
              <w:autoSpaceDE w:val="0"/>
              <w:autoSpaceDN w:val="0"/>
              <w:adjustRightInd w:val="0"/>
              <w:spacing w:after="0" w:line="240" w:lineRule="auto"/>
              <w:ind w:left="158" w:hanging="158"/>
              <w:contextualSpacing/>
              <w:jc w:val="both"/>
              <w:rPr>
                <w:rFonts w:ascii="Times New Roman" w:hAnsi="Times New Roman"/>
                <w:sz w:val="20"/>
                <w:szCs w:val="20"/>
              </w:rPr>
            </w:pPr>
            <w:r w:rsidRPr="00857867">
              <w:rPr>
                <w:rFonts w:ascii="Times New Roman" w:hAnsi="Times New Roman"/>
                <w:sz w:val="20"/>
                <w:szCs w:val="20"/>
              </w:rPr>
              <w:t>Existence de 5 bacs à ordures ;</w:t>
            </w:r>
          </w:p>
          <w:p w14:paraId="00974385" w14:textId="0904C0CE" w:rsidR="00C86B57" w:rsidRPr="0009605B" w:rsidRDefault="00C86B57" w:rsidP="00215867">
            <w:pPr>
              <w:numPr>
                <w:ilvl w:val="0"/>
                <w:numId w:val="32"/>
              </w:numPr>
              <w:autoSpaceDE w:val="0"/>
              <w:autoSpaceDN w:val="0"/>
              <w:adjustRightInd w:val="0"/>
              <w:spacing w:after="0" w:line="240" w:lineRule="auto"/>
              <w:ind w:left="157" w:hanging="157"/>
              <w:contextualSpacing/>
              <w:jc w:val="both"/>
              <w:rPr>
                <w:rFonts w:ascii="Times New Roman" w:hAnsi="Times New Roman"/>
                <w:sz w:val="20"/>
                <w:szCs w:val="20"/>
              </w:rPr>
            </w:pPr>
            <w:r w:rsidRPr="00857867">
              <w:rPr>
                <w:rFonts w:ascii="Times New Roman" w:hAnsi="Times New Roman"/>
                <w:sz w:val="20"/>
                <w:szCs w:val="20"/>
              </w:rPr>
              <w:t>Protocole d’accord pour le transfert des ordures vers des décharges publiques</w:t>
            </w:r>
          </w:p>
        </w:tc>
      </w:tr>
      <w:tr w:rsidR="00D75D2E" w:rsidRPr="00420C1B" w14:paraId="2AA4D801" w14:textId="77777777" w:rsidTr="00215867">
        <w:trPr>
          <w:trHeight w:val="598"/>
          <w:jc w:val="center"/>
        </w:trPr>
        <w:tc>
          <w:tcPr>
            <w:tcW w:w="1563" w:type="dxa"/>
            <w:tcBorders>
              <w:top w:val="single" w:sz="4" w:space="0" w:color="auto"/>
              <w:left w:val="single" w:sz="4" w:space="0" w:color="auto"/>
              <w:bottom w:val="single" w:sz="4" w:space="0" w:color="auto"/>
              <w:right w:val="single" w:sz="4" w:space="0" w:color="auto"/>
            </w:tcBorders>
            <w:hideMark/>
          </w:tcPr>
          <w:p w14:paraId="6EFB0BD9"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883" w:type="dxa"/>
            <w:gridSpan w:val="2"/>
            <w:tcBorders>
              <w:top w:val="single" w:sz="4" w:space="0" w:color="auto"/>
              <w:left w:val="single" w:sz="4" w:space="0" w:color="auto"/>
              <w:bottom w:val="single" w:sz="4" w:space="0" w:color="auto"/>
              <w:right w:val="single" w:sz="4" w:space="0" w:color="auto"/>
            </w:tcBorders>
            <w:hideMark/>
          </w:tcPr>
          <w:p w14:paraId="30026AA3"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147" w:type="dxa"/>
            <w:gridSpan w:val="2"/>
            <w:tcBorders>
              <w:top w:val="single" w:sz="4" w:space="0" w:color="auto"/>
              <w:left w:val="single" w:sz="4" w:space="0" w:color="auto"/>
              <w:bottom w:val="single" w:sz="4" w:space="0" w:color="auto"/>
              <w:right w:val="single" w:sz="4" w:space="0" w:color="auto"/>
            </w:tcBorders>
          </w:tcPr>
          <w:p w14:paraId="67C1AAC8"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0BC1A40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993" w:type="dxa"/>
            <w:gridSpan w:val="2"/>
            <w:tcBorders>
              <w:top w:val="single" w:sz="4" w:space="0" w:color="auto"/>
              <w:left w:val="single" w:sz="4" w:space="0" w:color="auto"/>
              <w:bottom w:val="single" w:sz="4" w:space="0" w:color="auto"/>
              <w:right w:val="single" w:sz="4" w:space="0" w:color="auto"/>
            </w:tcBorders>
          </w:tcPr>
          <w:p w14:paraId="6C2486F4" w14:textId="16654DF9"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121" w:type="dxa"/>
            <w:tcBorders>
              <w:top w:val="single" w:sz="4" w:space="0" w:color="auto"/>
              <w:left w:val="single" w:sz="4" w:space="0" w:color="auto"/>
              <w:bottom w:val="single" w:sz="4" w:space="0" w:color="auto"/>
              <w:right w:val="single" w:sz="4" w:space="0" w:color="auto"/>
            </w:tcBorders>
          </w:tcPr>
          <w:p w14:paraId="505A340D"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p w14:paraId="2F8BC8D7"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435" w:type="dxa"/>
            <w:gridSpan w:val="3"/>
            <w:tcBorders>
              <w:top w:val="single" w:sz="4" w:space="0" w:color="auto"/>
              <w:left w:val="single" w:sz="4" w:space="0" w:color="auto"/>
              <w:bottom w:val="single" w:sz="4" w:space="0" w:color="auto"/>
              <w:right w:val="single" w:sz="4" w:space="0" w:color="auto"/>
            </w:tcBorders>
          </w:tcPr>
          <w:p w14:paraId="20A4AC16"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686A828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760" w:type="dxa"/>
            <w:tcBorders>
              <w:top w:val="single" w:sz="4" w:space="0" w:color="auto"/>
              <w:left w:val="single" w:sz="4" w:space="0" w:color="auto"/>
              <w:bottom w:val="single" w:sz="4" w:space="0" w:color="auto"/>
              <w:right w:val="single" w:sz="4" w:space="0" w:color="auto"/>
            </w:tcBorders>
            <w:hideMark/>
          </w:tcPr>
          <w:p w14:paraId="591DB01C"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1668" w:type="dxa"/>
            <w:tcBorders>
              <w:top w:val="single" w:sz="4" w:space="0" w:color="auto"/>
              <w:left w:val="single" w:sz="4" w:space="0" w:color="auto"/>
              <w:bottom w:val="single" w:sz="4" w:space="0" w:color="auto"/>
              <w:right w:val="single" w:sz="4" w:space="0" w:color="auto"/>
            </w:tcBorders>
            <w:hideMark/>
          </w:tcPr>
          <w:p w14:paraId="62F9F7D0"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D75D2E" w:rsidRPr="00420C1B" w14:paraId="72EF08B8" w14:textId="77777777" w:rsidTr="00215867">
        <w:trPr>
          <w:trHeight w:val="625"/>
          <w:jc w:val="center"/>
        </w:trPr>
        <w:tc>
          <w:tcPr>
            <w:tcW w:w="1563" w:type="dxa"/>
            <w:tcBorders>
              <w:top w:val="single" w:sz="4" w:space="0" w:color="auto"/>
              <w:left w:val="single" w:sz="4" w:space="0" w:color="auto"/>
              <w:bottom w:val="single" w:sz="4" w:space="0" w:color="auto"/>
              <w:right w:val="single" w:sz="4" w:space="0" w:color="auto"/>
            </w:tcBorders>
          </w:tcPr>
          <w:p w14:paraId="10FF785B" w14:textId="77777777" w:rsidR="00ED17F3" w:rsidRPr="00420C1B" w:rsidRDefault="00ED17F3" w:rsidP="007108ED">
            <w:pPr>
              <w:autoSpaceDE w:val="0"/>
              <w:autoSpaceDN w:val="0"/>
              <w:adjustRightInd w:val="0"/>
              <w:spacing w:after="0" w:line="240" w:lineRule="auto"/>
              <w:jc w:val="both"/>
              <w:rPr>
                <w:rFonts w:ascii="Times New Roman" w:hAnsi="Times New Roman"/>
                <w:sz w:val="20"/>
                <w:szCs w:val="20"/>
              </w:rPr>
            </w:pPr>
            <w:r w:rsidRPr="00420C1B">
              <w:rPr>
                <w:rFonts w:ascii="Times New Roman" w:hAnsi="Times New Roman"/>
                <w:sz w:val="20"/>
                <w:szCs w:val="20"/>
              </w:rPr>
              <w:t>Plan d’IEC et de gestion des déchets</w:t>
            </w:r>
          </w:p>
        </w:tc>
        <w:tc>
          <w:tcPr>
            <w:tcW w:w="883" w:type="dxa"/>
            <w:gridSpan w:val="2"/>
            <w:tcBorders>
              <w:top w:val="single" w:sz="4" w:space="0" w:color="auto"/>
              <w:left w:val="single" w:sz="4" w:space="0" w:color="auto"/>
              <w:bottom w:val="single" w:sz="4" w:space="0" w:color="auto"/>
              <w:right w:val="single" w:sz="4" w:space="0" w:color="auto"/>
            </w:tcBorders>
          </w:tcPr>
          <w:p w14:paraId="33B8F44E"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Séance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14:paraId="5981257B"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4A87D505" w14:textId="77777777" w:rsidR="00ED17F3" w:rsidRPr="00420C1B" w:rsidRDefault="00ED17F3"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58040BE3"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2E48F2F6" w14:textId="77777777" w:rsidR="00ED17F3" w:rsidRPr="00420C1B" w:rsidRDefault="00ED17F3" w:rsidP="00A958F9">
            <w:pPr>
              <w:autoSpaceDE w:val="0"/>
              <w:autoSpaceDN w:val="0"/>
              <w:adjustRightInd w:val="0"/>
              <w:spacing w:after="0" w:line="240" w:lineRule="auto"/>
              <w:jc w:val="center"/>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tcPr>
          <w:p w14:paraId="3F9D85A2"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1668" w:type="dxa"/>
            <w:tcBorders>
              <w:top w:val="single" w:sz="4" w:space="0" w:color="auto"/>
              <w:left w:val="single" w:sz="4" w:space="0" w:color="auto"/>
              <w:bottom w:val="single" w:sz="4" w:space="0" w:color="auto"/>
              <w:right w:val="single" w:sz="4" w:space="0" w:color="auto"/>
            </w:tcBorders>
          </w:tcPr>
          <w:p w14:paraId="191C6F85"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D75D2E" w:rsidRPr="00420C1B" w14:paraId="4720B1A0" w14:textId="77777777" w:rsidTr="00215867">
        <w:trPr>
          <w:trHeight w:val="395"/>
          <w:jc w:val="center"/>
        </w:trPr>
        <w:tc>
          <w:tcPr>
            <w:tcW w:w="1563" w:type="dxa"/>
            <w:tcBorders>
              <w:top w:val="single" w:sz="4" w:space="0" w:color="auto"/>
              <w:left w:val="single" w:sz="4" w:space="0" w:color="auto"/>
              <w:bottom w:val="single" w:sz="4" w:space="0" w:color="auto"/>
              <w:right w:val="single" w:sz="4" w:space="0" w:color="auto"/>
            </w:tcBorders>
          </w:tcPr>
          <w:p w14:paraId="572E7F04"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Récipient de récupération</w:t>
            </w:r>
          </w:p>
        </w:tc>
        <w:tc>
          <w:tcPr>
            <w:tcW w:w="883" w:type="dxa"/>
            <w:gridSpan w:val="2"/>
            <w:tcBorders>
              <w:top w:val="single" w:sz="4" w:space="0" w:color="auto"/>
              <w:left w:val="single" w:sz="4" w:space="0" w:color="auto"/>
              <w:bottom w:val="single" w:sz="4" w:space="0" w:color="auto"/>
              <w:right w:val="single" w:sz="4" w:space="0" w:color="auto"/>
            </w:tcBorders>
          </w:tcPr>
          <w:p w14:paraId="2DCBA62E"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Bac</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14:paraId="78B2F17F"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03E79D96" w14:textId="77777777" w:rsidR="00ED17F3" w:rsidRPr="00420C1B" w:rsidRDefault="00ED17F3"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200</w:t>
            </w: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67952E20"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2000</w:t>
            </w: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61176906" w14:textId="77777777" w:rsidR="00ED17F3" w:rsidRPr="00420C1B" w:rsidRDefault="00ED17F3" w:rsidP="00A958F9">
            <w:pPr>
              <w:autoSpaceDE w:val="0"/>
              <w:autoSpaceDN w:val="0"/>
              <w:adjustRightInd w:val="0"/>
              <w:spacing w:after="0" w:line="240" w:lineRule="auto"/>
              <w:jc w:val="center"/>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tcPr>
          <w:p w14:paraId="5A24FE7E" w14:textId="77777777" w:rsidR="00ED17F3" w:rsidRPr="00420C1B" w:rsidRDefault="00D7717B" w:rsidP="00A958F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2000</w:t>
            </w:r>
          </w:p>
        </w:tc>
        <w:tc>
          <w:tcPr>
            <w:tcW w:w="1668" w:type="dxa"/>
            <w:tcBorders>
              <w:top w:val="single" w:sz="4" w:space="0" w:color="auto"/>
              <w:left w:val="single" w:sz="4" w:space="0" w:color="auto"/>
              <w:bottom w:val="single" w:sz="4" w:space="0" w:color="auto"/>
              <w:right w:val="single" w:sz="4" w:space="0" w:color="auto"/>
            </w:tcBorders>
          </w:tcPr>
          <w:p w14:paraId="58441684"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l’exploitation</w:t>
            </w:r>
          </w:p>
        </w:tc>
      </w:tr>
      <w:tr w:rsidR="00ED17F3" w:rsidRPr="00420C1B" w14:paraId="1EAB5921" w14:textId="77777777" w:rsidTr="00215867">
        <w:trPr>
          <w:trHeight w:val="191"/>
          <w:jc w:val="center"/>
        </w:trPr>
        <w:tc>
          <w:tcPr>
            <w:tcW w:w="1563" w:type="dxa"/>
            <w:tcBorders>
              <w:top w:val="single" w:sz="4" w:space="0" w:color="auto"/>
              <w:left w:val="single" w:sz="4" w:space="0" w:color="auto"/>
              <w:bottom w:val="single" w:sz="4" w:space="0" w:color="auto"/>
              <w:right w:val="single" w:sz="4" w:space="0" w:color="auto"/>
            </w:tcBorders>
          </w:tcPr>
          <w:p w14:paraId="4C4B21A3" w14:textId="77777777" w:rsidR="00ED17F3" w:rsidRPr="00420C1B" w:rsidRDefault="00ED17F3" w:rsidP="007108ED">
            <w:pPr>
              <w:autoSpaceDE w:val="0"/>
              <w:autoSpaceDN w:val="0"/>
              <w:adjustRightInd w:val="0"/>
              <w:spacing w:after="0" w:line="240" w:lineRule="auto"/>
              <w:rPr>
                <w:rFonts w:ascii="Times New Roman" w:hAnsi="Times New Roman"/>
                <w:b/>
                <w:bCs/>
                <w:sz w:val="20"/>
                <w:szCs w:val="20"/>
              </w:rPr>
            </w:pPr>
            <w:r w:rsidRPr="00420C1B">
              <w:rPr>
                <w:rFonts w:ascii="Times New Roman" w:hAnsi="Times New Roman"/>
                <w:b/>
                <w:bCs/>
                <w:sz w:val="20"/>
                <w:szCs w:val="20"/>
              </w:rPr>
              <w:t xml:space="preserve">Total </w:t>
            </w:r>
          </w:p>
        </w:tc>
        <w:tc>
          <w:tcPr>
            <w:tcW w:w="883" w:type="dxa"/>
            <w:gridSpan w:val="2"/>
            <w:tcBorders>
              <w:top w:val="single" w:sz="4" w:space="0" w:color="auto"/>
              <w:left w:val="single" w:sz="4" w:space="0" w:color="auto"/>
              <w:bottom w:val="single" w:sz="4" w:space="0" w:color="auto"/>
              <w:right w:val="single" w:sz="4" w:space="0" w:color="auto"/>
            </w:tcBorders>
          </w:tcPr>
          <w:p w14:paraId="7956543C" w14:textId="77777777" w:rsidR="00ED17F3" w:rsidRPr="00420C1B" w:rsidRDefault="00ED17F3" w:rsidP="007108ED">
            <w:pPr>
              <w:autoSpaceDE w:val="0"/>
              <w:autoSpaceDN w:val="0"/>
              <w:adjustRightInd w:val="0"/>
              <w:spacing w:after="0" w:line="240" w:lineRule="auto"/>
              <w:jc w:val="center"/>
              <w:rPr>
                <w:rFonts w:ascii="Times New Roman" w:hAnsi="Times New Roman"/>
                <w:b/>
                <w:bCs/>
                <w:sz w:val="20"/>
                <w:szCs w:val="20"/>
              </w:rPr>
            </w:pP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14:paraId="7FEA82D2" w14:textId="77777777" w:rsidR="00ED17F3" w:rsidRPr="00420C1B" w:rsidRDefault="00ED17F3" w:rsidP="00A958F9">
            <w:pPr>
              <w:autoSpaceDE w:val="0"/>
              <w:autoSpaceDN w:val="0"/>
              <w:adjustRightInd w:val="0"/>
              <w:spacing w:after="0" w:line="240" w:lineRule="auto"/>
              <w:jc w:val="center"/>
              <w:rPr>
                <w:rFonts w:ascii="Times New Roman" w:hAnsi="Times New Roman"/>
                <w:b/>
                <w:bCs/>
                <w:sz w:val="20"/>
                <w:szCs w:val="20"/>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auto"/>
          </w:tcPr>
          <w:p w14:paraId="62A9AA66" w14:textId="77777777" w:rsidR="00ED17F3" w:rsidRPr="00420C1B" w:rsidRDefault="00ED17F3" w:rsidP="00A958F9">
            <w:pPr>
              <w:autoSpaceDE w:val="0"/>
              <w:autoSpaceDN w:val="0"/>
              <w:adjustRightInd w:val="0"/>
              <w:spacing w:after="0" w:line="240" w:lineRule="auto"/>
              <w:jc w:val="center"/>
              <w:rPr>
                <w:rFonts w:ascii="Times New Roman" w:hAnsi="Times New Roman"/>
                <w:b/>
                <w:bCs/>
                <w:sz w:val="20"/>
                <w:szCs w:val="20"/>
              </w:rPr>
            </w:pPr>
          </w:p>
        </w:tc>
        <w:tc>
          <w:tcPr>
            <w:tcW w:w="1121" w:type="dxa"/>
            <w:tcBorders>
              <w:top w:val="single" w:sz="4" w:space="0" w:color="auto"/>
              <w:left w:val="single" w:sz="4" w:space="0" w:color="auto"/>
              <w:bottom w:val="single" w:sz="4" w:space="0" w:color="auto"/>
              <w:right w:val="single" w:sz="4" w:space="0" w:color="auto"/>
            </w:tcBorders>
            <w:shd w:val="clear" w:color="auto" w:fill="auto"/>
          </w:tcPr>
          <w:p w14:paraId="21FAEB7D" w14:textId="77777777" w:rsidR="00ED17F3" w:rsidRPr="00420C1B" w:rsidRDefault="00ED17F3" w:rsidP="00A958F9">
            <w:pPr>
              <w:autoSpaceDE w:val="0"/>
              <w:autoSpaceDN w:val="0"/>
              <w:adjustRightInd w:val="0"/>
              <w:spacing w:after="0" w:line="240" w:lineRule="auto"/>
              <w:jc w:val="center"/>
              <w:rPr>
                <w:rFonts w:ascii="Times New Roman" w:hAnsi="Times New Roman"/>
                <w:b/>
                <w:bCs/>
                <w:sz w:val="20"/>
                <w:szCs w:val="20"/>
              </w:rPr>
            </w:pPr>
          </w:p>
        </w:tc>
        <w:tc>
          <w:tcPr>
            <w:tcW w:w="1435" w:type="dxa"/>
            <w:gridSpan w:val="3"/>
            <w:tcBorders>
              <w:top w:val="single" w:sz="4" w:space="0" w:color="auto"/>
              <w:left w:val="single" w:sz="4" w:space="0" w:color="auto"/>
              <w:bottom w:val="single" w:sz="4" w:space="0" w:color="auto"/>
              <w:right w:val="single" w:sz="4" w:space="0" w:color="auto"/>
            </w:tcBorders>
            <w:shd w:val="clear" w:color="auto" w:fill="auto"/>
          </w:tcPr>
          <w:p w14:paraId="3228EB7C" w14:textId="77777777" w:rsidR="00ED17F3" w:rsidRPr="00420C1B" w:rsidRDefault="00ED17F3" w:rsidP="00A958F9">
            <w:pPr>
              <w:autoSpaceDE w:val="0"/>
              <w:autoSpaceDN w:val="0"/>
              <w:adjustRightInd w:val="0"/>
              <w:spacing w:after="0" w:line="240" w:lineRule="auto"/>
              <w:jc w:val="center"/>
              <w:rPr>
                <w:rFonts w:ascii="Times New Roman" w:hAnsi="Times New Roman"/>
                <w:b/>
                <w:bCs/>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tcPr>
          <w:p w14:paraId="66DEBC0D" w14:textId="77777777" w:rsidR="00ED17F3" w:rsidRPr="00420C1B" w:rsidRDefault="00D7717B" w:rsidP="00A958F9">
            <w:pPr>
              <w:autoSpaceDE w:val="0"/>
              <w:autoSpaceDN w:val="0"/>
              <w:adjustRightInd w:val="0"/>
              <w:spacing w:after="0" w:line="240" w:lineRule="auto"/>
              <w:jc w:val="center"/>
              <w:rPr>
                <w:rFonts w:ascii="Times New Roman" w:hAnsi="Times New Roman"/>
                <w:b/>
                <w:bCs/>
                <w:sz w:val="20"/>
                <w:szCs w:val="20"/>
              </w:rPr>
            </w:pPr>
            <w:r w:rsidRPr="00420C1B">
              <w:rPr>
                <w:rFonts w:ascii="Times New Roman" w:hAnsi="Times New Roman"/>
                <w:b/>
                <w:bCs/>
                <w:sz w:val="20"/>
                <w:szCs w:val="20"/>
              </w:rPr>
              <w:t>7000</w:t>
            </w:r>
          </w:p>
        </w:tc>
        <w:tc>
          <w:tcPr>
            <w:tcW w:w="1668" w:type="dxa"/>
            <w:tcBorders>
              <w:top w:val="single" w:sz="4" w:space="0" w:color="auto"/>
              <w:left w:val="single" w:sz="4" w:space="0" w:color="auto"/>
              <w:bottom w:val="single" w:sz="4" w:space="0" w:color="auto"/>
              <w:right w:val="single" w:sz="4" w:space="0" w:color="auto"/>
            </w:tcBorders>
          </w:tcPr>
          <w:p w14:paraId="09E12DEB" w14:textId="77777777" w:rsidR="00ED17F3" w:rsidRPr="00420C1B" w:rsidRDefault="00ED17F3" w:rsidP="007108ED">
            <w:pPr>
              <w:autoSpaceDE w:val="0"/>
              <w:autoSpaceDN w:val="0"/>
              <w:adjustRightInd w:val="0"/>
              <w:spacing w:after="0" w:line="240" w:lineRule="auto"/>
              <w:rPr>
                <w:rFonts w:ascii="Times New Roman" w:hAnsi="Times New Roman"/>
                <w:b/>
                <w:bCs/>
                <w:sz w:val="20"/>
                <w:szCs w:val="20"/>
              </w:rPr>
            </w:pPr>
          </w:p>
        </w:tc>
      </w:tr>
      <w:bookmarkEnd w:id="601"/>
    </w:tbl>
    <w:p w14:paraId="2E8708C7" w14:textId="77777777" w:rsidR="00ED17F3" w:rsidRDefault="00ED17F3" w:rsidP="00ED17F3">
      <w:pPr>
        <w:spacing w:after="0" w:line="240" w:lineRule="auto"/>
        <w:rPr>
          <w:rFonts w:ascii="Times New Roman" w:hAnsi="Times New Roman"/>
        </w:rPr>
      </w:pPr>
    </w:p>
    <w:p w14:paraId="01897AB8" w14:textId="77777777" w:rsidR="00C27910" w:rsidRDefault="00C27910" w:rsidP="00ED17F3">
      <w:pPr>
        <w:spacing w:after="0" w:line="240" w:lineRule="auto"/>
        <w:rPr>
          <w:rFonts w:ascii="Times New Roman" w:hAnsi="Times New Roman"/>
        </w:rPr>
      </w:pPr>
    </w:p>
    <w:p w14:paraId="1235A13E" w14:textId="77777777" w:rsidR="00C27910" w:rsidRDefault="00C27910" w:rsidP="00ED17F3">
      <w:pPr>
        <w:spacing w:after="0" w:line="240" w:lineRule="auto"/>
        <w:rPr>
          <w:rFonts w:ascii="Times New Roman" w:hAnsi="Times New Roman"/>
        </w:rPr>
      </w:pPr>
    </w:p>
    <w:p w14:paraId="2E777B12" w14:textId="51B4F5ED" w:rsidR="00C27910" w:rsidRPr="00215867" w:rsidRDefault="00C27910" w:rsidP="00215867">
      <w:pPr>
        <w:spacing w:after="0" w:line="240" w:lineRule="auto"/>
        <w:jc w:val="center"/>
        <w:rPr>
          <w:rFonts w:ascii="Times New Roman" w:hAnsi="Times New Roman"/>
          <w:b/>
          <w:i/>
          <w:sz w:val="24"/>
        </w:rPr>
      </w:pPr>
      <w:r w:rsidRPr="00215867">
        <w:rPr>
          <w:rFonts w:ascii="Times New Roman" w:hAnsi="Times New Roman"/>
          <w:b/>
          <w:i/>
          <w:sz w:val="24"/>
        </w:rPr>
        <w:t xml:space="preserve">Impacts liés à l’installation de la base vi,  base technique de chantier et aménagement </w:t>
      </w:r>
      <w:r w:rsidR="00936EA1" w:rsidRPr="00215867">
        <w:rPr>
          <w:rFonts w:ascii="Times New Roman" w:hAnsi="Times New Roman"/>
          <w:b/>
          <w:i/>
          <w:sz w:val="24"/>
        </w:rPr>
        <w:t xml:space="preserve">des </w:t>
      </w:r>
      <w:r w:rsidRPr="00215867">
        <w:rPr>
          <w:rFonts w:ascii="Times New Roman" w:hAnsi="Times New Roman"/>
          <w:b/>
          <w:i/>
          <w:sz w:val="24"/>
        </w:rPr>
        <w:t>voies d’accès au site</w:t>
      </w:r>
    </w:p>
    <w:p w14:paraId="722FBC88" w14:textId="77777777" w:rsidR="00C27910" w:rsidRDefault="00C27910" w:rsidP="00ED17F3">
      <w:pPr>
        <w:spacing w:after="0" w:line="240" w:lineRule="auto"/>
        <w:rPr>
          <w:rFonts w:ascii="Times New Roman" w:hAnsi="Times New Roman"/>
        </w:rPr>
      </w:pPr>
    </w:p>
    <w:p w14:paraId="72A66B7D" w14:textId="18694730" w:rsidR="00C27910" w:rsidRDefault="00C27910" w:rsidP="00C27910">
      <w:pPr>
        <w:keepNext/>
        <w:spacing w:after="120" w:line="240" w:lineRule="auto"/>
        <w:jc w:val="center"/>
        <w:rPr>
          <w:rFonts w:ascii="Times New Roman" w:hAnsi="Times New Roman"/>
          <w:iCs/>
          <w:sz w:val="24"/>
          <w:szCs w:val="24"/>
        </w:rPr>
      </w:pPr>
      <w:bookmarkStart w:id="602" w:name="_Toc93050288"/>
      <w:r>
        <w:rPr>
          <w:rFonts w:ascii="Times New Roman" w:hAnsi="Times New Roman"/>
          <w:iCs/>
          <w:sz w:val="24"/>
          <w:szCs w:val="24"/>
        </w:rPr>
        <w:t xml:space="preserve">Tableau </w:t>
      </w:r>
      <w:r>
        <w:rPr>
          <w:rFonts w:ascii="Times New Roman" w:hAnsi="Times New Roman"/>
          <w:iCs/>
          <w:sz w:val="24"/>
          <w:szCs w:val="24"/>
        </w:rPr>
        <w:fldChar w:fldCharType="begin"/>
      </w:r>
      <w:r>
        <w:rPr>
          <w:rFonts w:ascii="Times New Roman" w:hAnsi="Times New Roman"/>
          <w:iCs/>
          <w:sz w:val="24"/>
          <w:szCs w:val="24"/>
        </w:rPr>
        <w:instrText xml:space="preserve"> SEQ Tableau \* ARABIC </w:instrText>
      </w:r>
      <w:r>
        <w:rPr>
          <w:rFonts w:ascii="Times New Roman" w:hAnsi="Times New Roman"/>
          <w:iCs/>
          <w:sz w:val="24"/>
          <w:szCs w:val="24"/>
        </w:rPr>
        <w:fldChar w:fldCharType="separate"/>
      </w:r>
      <w:r w:rsidR="00BD6279">
        <w:rPr>
          <w:rFonts w:ascii="Times New Roman" w:hAnsi="Times New Roman"/>
          <w:iCs/>
          <w:noProof/>
          <w:sz w:val="24"/>
          <w:szCs w:val="24"/>
        </w:rPr>
        <w:t>26</w:t>
      </w:r>
      <w:r>
        <w:rPr>
          <w:rFonts w:ascii="Times New Roman" w:hAnsi="Times New Roman"/>
          <w:iCs/>
          <w:noProof/>
          <w:sz w:val="24"/>
          <w:szCs w:val="24"/>
        </w:rPr>
        <w:fldChar w:fldCharType="end"/>
      </w:r>
      <w:r>
        <w:rPr>
          <w:rFonts w:ascii="Times New Roman" w:hAnsi="Times New Roman"/>
          <w:iCs/>
          <w:sz w:val="24"/>
          <w:szCs w:val="24"/>
        </w:rPr>
        <w:t xml:space="preserve"> : Fiche de déclaration d’Impact – </w:t>
      </w:r>
      <w:r>
        <w:rPr>
          <w:rFonts w:ascii="Times New Roman" w:hAnsi="Times New Roman"/>
          <w:b/>
          <w:iCs/>
          <w:sz w:val="24"/>
          <w:szCs w:val="24"/>
        </w:rPr>
        <w:t xml:space="preserve">Code </w:t>
      </w:r>
      <w:r w:rsidR="00BD6279">
        <w:rPr>
          <w:rFonts w:ascii="Times New Roman" w:hAnsi="Times New Roman"/>
          <w:b/>
          <w:iCs/>
          <w:sz w:val="24"/>
          <w:szCs w:val="24"/>
        </w:rPr>
        <w:t>04</w:t>
      </w:r>
      <w:bookmarkEnd w:id="602"/>
    </w:p>
    <w:tbl>
      <w:tblPr>
        <w:tblW w:w="5100" w:type="pct"/>
        <w:jc w:val="center"/>
        <w:tblLook w:val="04A0" w:firstRow="1" w:lastRow="0" w:firstColumn="1" w:lastColumn="0" w:noHBand="0" w:noVBand="1"/>
      </w:tblPr>
      <w:tblGrid>
        <w:gridCol w:w="1650"/>
        <w:gridCol w:w="892"/>
        <w:gridCol w:w="102"/>
        <w:gridCol w:w="927"/>
        <w:gridCol w:w="772"/>
        <w:gridCol w:w="457"/>
        <w:gridCol w:w="234"/>
        <w:gridCol w:w="366"/>
        <w:gridCol w:w="811"/>
        <w:gridCol w:w="140"/>
        <w:gridCol w:w="583"/>
        <w:gridCol w:w="896"/>
        <w:gridCol w:w="1945"/>
        <w:gridCol w:w="386"/>
      </w:tblGrid>
      <w:tr w:rsidR="00C27910" w:rsidRPr="00420C1B" w14:paraId="35B7919F" w14:textId="77777777" w:rsidTr="00215867">
        <w:trPr>
          <w:trHeight w:val="250"/>
          <w:tblHeader/>
          <w:jc w:val="center"/>
        </w:trPr>
        <w:tc>
          <w:tcPr>
            <w:tcW w:w="81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5769E0E" w14:textId="77777777" w:rsidR="00C27910" w:rsidRDefault="00C27910">
            <w:pPr>
              <w:spacing w:after="0" w:line="240" w:lineRule="auto"/>
              <w:jc w:val="center"/>
              <w:rPr>
                <w:rFonts w:ascii="Times New Roman" w:hAnsi="Times New Roman"/>
                <w:b/>
                <w:sz w:val="20"/>
                <w:szCs w:val="20"/>
              </w:rPr>
            </w:pPr>
            <w:r>
              <w:rPr>
                <w:rFonts w:ascii="Times New Roman" w:hAnsi="Times New Roman"/>
                <w:b/>
                <w:sz w:val="20"/>
                <w:szCs w:val="20"/>
              </w:rPr>
              <w:t>COMPOSANTE</w:t>
            </w:r>
          </w:p>
        </w:tc>
        <w:tc>
          <w:tcPr>
            <w:tcW w:w="1550"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629A84D5" w14:textId="77777777" w:rsidR="00C27910" w:rsidRDefault="00C27910">
            <w:pPr>
              <w:spacing w:after="0" w:line="240" w:lineRule="auto"/>
              <w:rPr>
                <w:rFonts w:ascii="Times New Roman" w:hAnsi="Times New Roman"/>
                <w:b/>
                <w:sz w:val="20"/>
                <w:szCs w:val="20"/>
              </w:rPr>
            </w:pPr>
            <w:r>
              <w:rPr>
                <w:rFonts w:ascii="Times New Roman" w:hAnsi="Times New Roman"/>
                <w:sz w:val="20"/>
                <w:szCs w:val="20"/>
              </w:rPr>
              <w:t>Végétation</w:t>
            </w:r>
          </w:p>
        </w:tc>
        <w:tc>
          <w:tcPr>
            <w:tcW w:w="762"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5CE6C20F"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PHASE</w:t>
            </w:r>
          </w:p>
        </w:tc>
        <w:tc>
          <w:tcPr>
            <w:tcW w:w="728"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1BAF9BC2"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Préparatoire</w:t>
            </w:r>
          </w:p>
        </w:tc>
        <w:tc>
          <w:tcPr>
            <w:tcW w:w="1148"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AF720F1"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Photos de l’impact</w:t>
            </w:r>
          </w:p>
        </w:tc>
      </w:tr>
      <w:tr w:rsidR="00C27910" w:rsidRPr="00420C1B" w14:paraId="6EB66CC9" w14:textId="77777777" w:rsidTr="00215867">
        <w:trPr>
          <w:trHeight w:val="50"/>
          <w:jc w:val="center"/>
        </w:trPr>
        <w:tc>
          <w:tcPr>
            <w:tcW w:w="812" w:type="pct"/>
            <w:vMerge w:val="restart"/>
            <w:tcBorders>
              <w:top w:val="single" w:sz="4" w:space="0" w:color="auto"/>
              <w:left w:val="single" w:sz="4" w:space="0" w:color="auto"/>
              <w:bottom w:val="single" w:sz="4" w:space="0" w:color="auto"/>
              <w:right w:val="single" w:sz="4" w:space="0" w:color="auto"/>
            </w:tcBorders>
            <w:hideMark/>
          </w:tcPr>
          <w:p w14:paraId="5E5A52F5"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Code 01</w:t>
            </w:r>
          </w:p>
        </w:tc>
        <w:tc>
          <w:tcPr>
            <w:tcW w:w="3040" w:type="pct"/>
            <w:gridSpan w:val="11"/>
            <w:tcBorders>
              <w:top w:val="single" w:sz="4" w:space="0" w:color="auto"/>
              <w:left w:val="single" w:sz="4" w:space="0" w:color="auto"/>
              <w:bottom w:val="single" w:sz="4" w:space="0" w:color="auto"/>
              <w:right w:val="single" w:sz="4" w:space="0" w:color="auto"/>
            </w:tcBorders>
            <w:hideMark/>
          </w:tcPr>
          <w:p w14:paraId="4A2D64CF"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Source d’impact : </w:t>
            </w:r>
            <w:r>
              <w:rPr>
                <w:rFonts w:ascii="Times New Roman" w:hAnsi="Times New Roman"/>
                <w:sz w:val="20"/>
                <w:szCs w:val="20"/>
              </w:rPr>
              <w:t>Construction et exploitation de base vie</w:t>
            </w:r>
          </w:p>
          <w:p w14:paraId="4A8130F1"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                               Aménagement des voies d’accès au site</w:t>
            </w:r>
          </w:p>
        </w:tc>
        <w:tc>
          <w:tcPr>
            <w:tcW w:w="1148" w:type="pct"/>
            <w:gridSpan w:val="2"/>
            <w:tcBorders>
              <w:top w:val="single" w:sz="4" w:space="0" w:color="auto"/>
              <w:left w:val="single" w:sz="4" w:space="0" w:color="auto"/>
              <w:bottom w:val="single" w:sz="4" w:space="0" w:color="auto"/>
              <w:right w:val="single" w:sz="4" w:space="0" w:color="auto"/>
            </w:tcBorders>
          </w:tcPr>
          <w:p w14:paraId="593F5BED" w14:textId="77777777" w:rsidR="00C27910" w:rsidRDefault="00C27910">
            <w:pPr>
              <w:spacing w:after="0" w:line="240" w:lineRule="auto"/>
              <w:rPr>
                <w:rFonts w:ascii="Times New Roman" w:hAnsi="Times New Roman"/>
                <w:sz w:val="20"/>
                <w:szCs w:val="20"/>
              </w:rPr>
            </w:pPr>
          </w:p>
        </w:tc>
      </w:tr>
      <w:tr w:rsidR="00C27910" w:rsidRPr="00420C1B" w14:paraId="08103BE3" w14:textId="77777777" w:rsidTr="00215867">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8451E" w14:textId="77777777" w:rsidR="00C27910" w:rsidRDefault="00C27910">
            <w:pPr>
              <w:spacing w:after="0" w:line="240" w:lineRule="auto"/>
              <w:rPr>
                <w:rFonts w:ascii="Times New Roman" w:hAnsi="Times New Roman"/>
                <w:b/>
                <w:sz w:val="20"/>
                <w:szCs w:val="20"/>
              </w:rPr>
            </w:pPr>
          </w:p>
        </w:tc>
        <w:tc>
          <w:tcPr>
            <w:tcW w:w="4188" w:type="pct"/>
            <w:gridSpan w:val="13"/>
            <w:tcBorders>
              <w:top w:val="single" w:sz="4" w:space="0" w:color="auto"/>
              <w:left w:val="single" w:sz="4" w:space="0" w:color="auto"/>
              <w:bottom w:val="single" w:sz="4" w:space="0" w:color="auto"/>
              <w:right w:val="single" w:sz="4" w:space="0" w:color="auto"/>
            </w:tcBorders>
            <w:hideMark/>
          </w:tcPr>
          <w:p w14:paraId="0C007189"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 Intitulé de l’impact</w:t>
            </w:r>
            <w:r>
              <w:rPr>
                <w:rFonts w:ascii="Times New Roman" w:hAnsi="Times New Roman"/>
                <w:sz w:val="20"/>
                <w:szCs w:val="20"/>
              </w:rPr>
              <w:t> : Pollution de l’air par les poussières et les gaz toxiques</w:t>
            </w:r>
          </w:p>
        </w:tc>
      </w:tr>
      <w:tr w:rsidR="00C27910" w:rsidRPr="00420C1B" w14:paraId="18786CEA" w14:textId="77777777" w:rsidTr="00215867">
        <w:trPr>
          <w:trHeight w:val="250"/>
          <w:jc w:val="center"/>
        </w:trPr>
        <w:tc>
          <w:tcPr>
            <w:tcW w:w="812" w:type="pct"/>
            <w:vMerge w:val="restart"/>
            <w:tcBorders>
              <w:top w:val="single" w:sz="4" w:space="0" w:color="auto"/>
              <w:left w:val="single" w:sz="4" w:space="0" w:color="auto"/>
              <w:bottom w:val="single" w:sz="4" w:space="0" w:color="auto"/>
              <w:right w:val="single" w:sz="4" w:space="0" w:color="auto"/>
            </w:tcBorders>
            <w:hideMark/>
          </w:tcPr>
          <w:p w14:paraId="71D61FE5" w14:textId="77777777" w:rsidR="00C27910" w:rsidRDefault="00C27910">
            <w:pPr>
              <w:spacing w:after="0" w:line="240" w:lineRule="auto"/>
              <w:rPr>
                <w:rFonts w:ascii="Times New Roman" w:eastAsia="Times New Roman" w:hAnsi="Times New Roman"/>
                <w:sz w:val="20"/>
                <w:szCs w:val="20"/>
                <w:lang w:eastAsia="fr-FR"/>
              </w:rPr>
            </w:pPr>
            <w:r>
              <w:rPr>
                <w:rFonts w:ascii="Times New Roman" w:hAnsi="Times New Roman"/>
                <w:b/>
                <w:sz w:val="20"/>
                <w:szCs w:val="20"/>
              </w:rPr>
              <w:t>Localisation</w:t>
            </w:r>
          </w:p>
        </w:tc>
        <w:tc>
          <w:tcPr>
            <w:tcW w:w="1845" w:type="pct"/>
            <w:gridSpan w:val="7"/>
            <w:vMerge w:val="restart"/>
            <w:tcBorders>
              <w:top w:val="single" w:sz="4" w:space="0" w:color="auto"/>
              <w:left w:val="single" w:sz="4" w:space="0" w:color="auto"/>
              <w:bottom w:val="single" w:sz="4" w:space="0" w:color="auto"/>
              <w:right w:val="single" w:sz="4" w:space="0" w:color="auto"/>
            </w:tcBorders>
            <w:hideMark/>
          </w:tcPr>
          <w:p w14:paraId="3E928961"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Zone d’évolution des travaux (communes concernés par les travaux) </w:t>
            </w:r>
          </w:p>
        </w:tc>
        <w:tc>
          <w:tcPr>
            <w:tcW w:w="467" w:type="pct"/>
            <w:gridSpan w:val="2"/>
            <w:tcBorders>
              <w:top w:val="single" w:sz="4" w:space="0" w:color="auto"/>
              <w:left w:val="single" w:sz="4" w:space="0" w:color="auto"/>
              <w:bottom w:val="single" w:sz="4" w:space="0" w:color="auto"/>
              <w:right w:val="single" w:sz="4" w:space="0" w:color="auto"/>
            </w:tcBorders>
            <w:hideMark/>
          </w:tcPr>
          <w:p w14:paraId="16AD2B61"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X</w:t>
            </w:r>
          </w:p>
        </w:tc>
        <w:tc>
          <w:tcPr>
            <w:tcW w:w="728" w:type="pct"/>
            <w:gridSpan w:val="2"/>
            <w:tcBorders>
              <w:top w:val="single" w:sz="4" w:space="0" w:color="auto"/>
              <w:left w:val="single" w:sz="4" w:space="0" w:color="auto"/>
              <w:bottom w:val="single" w:sz="4" w:space="0" w:color="auto"/>
              <w:right w:val="single" w:sz="4" w:space="0" w:color="auto"/>
            </w:tcBorders>
            <w:hideMark/>
          </w:tcPr>
          <w:p w14:paraId="0C65D340"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Y</w:t>
            </w:r>
          </w:p>
        </w:tc>
        <w:tc>
          <w:tcPr>
            <w:tcW w:w="1148" w:type="pct"/>
            <w:gridSpan w:val="2"/>
            <w:vMerge w:val="restart"/>
            <w:tcBorders>
              <w:top w:val="single" w:sz="4" w:space="0" w:color="auto"/>
              <w:left w:val="single" w:sz="4" w:space="0" w:color="auto"/>
              <w:bottom w:val="single" w:sz="4" w:space="0" w:color="auto"/>
              <w:right w:val="single" w:sz="4" w:space="0" w:color="auto"/>
            </w:tcBorders>
            <w:hideMark/>
          </w:tcPr>
          <w:p w14:paraId="3965FBC4" w14:textId="77777777" w:rsidR="00C27910" w:rsidRPr="00420C1B" w:rsidRDefault="00C27910">
            <w:pPr>
              <w:spacing w:after="0" w:line="276" w:lineRule="auto"/>
            </w:pPr>
          </w:p>
        </w:tc>
      </w:tr>
      <w:tr w:rsidR="00C27910" w:rsidRPr="00420C1B" w14:paraId="7619EB5B" w14:textId="77777777" w:rsidTr="00215867">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71743"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8443F67" w14:textId="77777777" w:rsidR="00C27910" w:rsidRDefault="00C27910">
            <w:pPr>
              <w:spacing w:after="0" w:line="240" w:lineRule="auto"/>
              <w:rPr>
                <w:rFonts w:ascii="Times New Roman" w:hAnsi="Times New Roman"/>
                <w:sz w:val="20"/>
                <w:szCs w:val="20"/>
              </w:rPr>
            </w:pPr>
          </w:p>
        </w:tc>
        <w:tc>
          <w:tcPr>
            <w:tcW w:w="467" w:type="pct"/>
            <w:gridSpan w:val="2"/>
            <w:tcBorders>
              <w:top w:val="single" w:sz="4" w:space="0" w:color="auto"/>
              <w:left w:val="single" w:sz="4" w:space="0" w:color="auto"/>
              <w:bottom w:val="single" w:sz="4" w:space="0" w:color="auto"/>
              <w:right w:val="single" w:sz="4" w:space="0" w:color="auto"/>
            </w:tcBorders>
            <w:hideMark/>
          </w:tcPr>
          <w:p w14:paraId="7D4138FE"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728" w:type="pct"/>
            <w:gridSpan w:val="2"/>
            <w:tcBorders>
              <w:top w:val="single" w:sz="4" w:space="0" w:color="auto"/>
              <w:left w:val="nil"/>
              <w:bottom w:val="single" w:sz="4" w:space="0" w:color="auto"/>
              <w:right w:val="single" w:sz="4" w:space="0" w:color="auto"/>
            </w:tcBorders>
            <w:hideMark/>
          </w:tcPr>
          <w:p w14:paraId="4A345BAA"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AD581B" w14:textId="77777777" w:rsidR="00C27910" w:rsidRPr="00420C1B" w:rsidRDefault="00C27910">
            <w:pPr>
              <w:spacing w:after="0" w:line="240" w:lineRule="auto"/>
            </w:pPr>
          </w:p>
        </w:tc>
      </w:tr>
      <w:tr w:rsidR="00C27910" w:rsidRPr="00420C1B" w14:paraId="2A24C118" w14:textId="77777777" w:rsidTr="00215867">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7034F"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19F6D447" w14:textId="77777777" w:rsidR="00C27910" w:rsidRDefault="00C27910">
            <w:pPr>
              <w:spacing w:after="0" w:line="240" w:lineRule="auto"/>
              <w:rPr>
                <w:rFonts w:ascii="Times New Roman" w:hAnsi="Times New Roman"/>
                <w:sz w:val="20"/>
                <w:szCs w:val="20"/>
              </w:rPr>
            </w:pPr>
          </w:p>
        </w:tc>
        <w:tc>
          <w:tcPr>
            <w:tcW w:w="467" w:type="pct"/>
            <w:gridSpan w:val="2"/>
            <w:tcBorders>
              <w:top w:val="single" w:sz="4" w:space="0" w:color="auto"/>
              <w:left w:val="single" w:sz="4" w:space="0" w:color="auto"/>
              <w:bottom w:val="nil"/>
              <w:right w:val="single" w:sz="4" w:space="0" w:color="auto"/>
            </w:tcBorders>
            <w:hideMark/>
          </w:tcPr>
          <w:p w14:paraId="2D3A74D2"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728" w:type="pct"/>
            <w:gridSpan w:val="2"/>
            <w:tcBorders>
              <w:top w:val="single" w:sz="4" w:space="0" w:color="auto"/>
              <w:left w:val="single" w:sz="4" w:space="0" w:color="auto"/>
              <w:bottom w:val="nil"/>
              <w:right w:val="single" w:sz="4" w:space="0" w:color="auto"/>
            </w:tcBorders>
            <w:hideMark/>
          </w:tcPr>
          <w:p w14:paraId="36A06BA4"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4E33C4" w14:textId="77777777" w:rsidR="00C27910" w:rsidRPr="00420C1B" w:rsidRDefault="00C27910">
            <w:pPr>
              <w:spacing w:after="0" w:line="240" w:lineRule="auto"/>
            </w:pPr>
          </w:p>
        </w:tc>
      </w:tr>
      <w:tr w:rsidR="00C27910" w:rsidRPr="00420C1B" w14:paraId="45D4D0B4" w14:textId="77777777" w:rsidTr="00215867">
        <w:trPr>
          <w:trHeight w:val="242"/>
          <w:jc w:val="center"/>
        </w:trPr>
        <w:tc>
          <w:tcPr>
            <w:tcW w:w="812" w:type="pct"/>
            <w:vMerge w:val="restart"/>
            <w:tcBorders>
              <w:top w:val="single" w:sz="4" w:space="0" w:color="auto"/>
              <w:left w:val="single" w:sz="4" w:space="0" w:color="auto"/>
              <w:bottom w:val="single" w:sz="4" w:space="0" w:color="auto"/>
              <w:right w:val="single" w:sz="4" w:space="0" w:color="auto"/>
            </w:tcBorders>
          </w:tcPr>
          <w:p w14:paraId="5F1075DB" w14:textId="77777777" w:rsidR="00C27910" w:rsidRDefault="00C27910">
            <w:pPr>
              <w:spacing w:after="0" w:line="240" w:lineRule="auto"/>
              <w:rPr>
                <w:rFonts w:ascii="Times New Roman" w:hAnsi="Times New Roman"/>
                <w:b/>
                <w:sz w:val="20"/>
                <w:szCs w:val="20"/>
              </w:rPr>
            </w:pPr>
          </w:p>
          <w:p w14:paraId="15863EFC"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Analyse de l’impact</w:t>
            </w:r>
          </w:p>
        </w:tc>
        <w:tc>
          <w:tcPr>
            <w:tcW w:w="488" w:type="pct"/>
            <w:gridSpan w:val="2"/>
            <w:vMerge w:val="restart"/>
            <w:tcBorders>
              <w:top w:val="single" w:sz="4" w:space="0" w:color="auto"/>
              <w:left w:val="single" w:sz="4" w:space="0" w:color="auto"/>
              <w:bottom w:val="single" w:sz="4" w:space="0" w:color="auto"/>
              <w:right w:val="single" w:sz="4" w:space="0" w:color="auto"/>
            </w:tcBorders>
            <w:hideMark/>
          </w:tcPr>
          <w:p w14:paraId="5A2AF6A7" w14:textId="77777777" w:rsidR="00C27910" w:rsidRDefault="00C27910">
            <w:pPr>
              <w:autoSpaceDE w:val="0"/>
              <w:autoSpaceDN w:val="0"/>
              <w:adjustRightInd w:val="0"/>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Nature :</w:t>
            </w:r>
          </w:p>
          <w:p w14:paraId="3D454BD8" w14:textId="77777777" w:rsidR="00C27910" w:rsidRDefault="00C27910">
            <w:pPr>
              <w:autoSpaceDE w:val="0"/>
              <w:autoSpaceDN w:val="0"/>
              <w:adjustRightInd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Négative</w:t>
            </w:r>
          </w:p>
        </w:tc>
        <w:tc>
          <w:tcPr>
            <w:tcW w:w="836" w:type="pct"/>
            <w:gridSpan w:val="2"/>
            <w:tcBorders>
              <w:top w:val="single" w:sz="4" w:space="0" w:color="auto"/>
              <w:left w:val="single" w:sz="4" w:space="0" w:color="auto"/>
              <w:bottom w:val="single" w:sz="4" w:space="0" w:color="auto"/>
              <w:right w:val="single" w:sz="4" w:space="0" w:color="auto"/>
            </w:tcBorders>
            <w:hideMark/>
          </w:tcPr>
          <w:p w14:paraId="267B7BE1"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Intensité</w:t>
            </w:r>
          </w:p>
        </w:tc>
        <w:tc>
          <w:tcPr>
            <w:tcW w:w="988" w:type="pct"/>
            <w:gridSpan w:val="5"/>
            <w:tcBorders>
              <w:top w:val="single" w:sz="4" w:space="0" w:color="auto"/>
              <w:left w:val="single" w:sz="4" w:space="0" w:color="auto"/>
              <w:bottom w:val="single" w:sz="4" w:space="0" w:color="auto"/>
              <w:right w:val="single" w:sz="4" w:space="0" w:color="auto"/>
            </w:tcBorders>
            <w:hideMark/>
          </w:tcPr>
          <w:p w14:paraId="6A4C3B7B"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Etendue</w:t>
            </w:r>
          </w:p>
        </w:tc>
        <w:tc>
          <w:tcPr>
            <w:tcW w:w="728" w:type="pct"/>
            <w:gridSpan w:val="2"/>
            <w:tcBorders>
              <w:top w:val="single" w:sz="4" w:space="0" w:color="auto"/>
              <w:left w:val="single" w:sz="4" w:space="0" w:color="auto"/>
              <w:bottom w:val="single" w:sz="4" w:space="0" w:color="auto"/>
              <w:right w:val="single" w:sz="4" w:space="0" w:color="auto"/>
            </w:tcBorders>
            <w:hideMark/>
          </w:tcPr>
          <w:p w14:paraId="0992C83C"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Durée</w:t>
            </w:r>
          </w:p>
        </w:tc>
        <w:tc>
          <w:tcPr>
            <w:tcW w:w="1148" w:type="pct"/>
            <w:gridSpan w:val="2"/>
            <w:tcBorders>
              <w:top w:val="single" w:sz="4" w:space="0" w:color="auto"/>
              <w:left w:val="single" w:sz="4" w:space="0" w:color="auto"/>
              <w:bottom w:val="single" w:sz="4" w:space="0" w:color="auto"/>
              <w:right w:val="single" w:sz="4" w:space="0" w:color="auto"/>
            </w:tcBorders>
            <w:hideMark/>
          </w:tcPr>
          <w:p w14:paraId="5F186483" w14:textId="77777777" w:rsidR="00C27910" w:rsidRDefault="00C27910">
            <w:pPr>
              <w:spacing w:after="0" w:line="240" w:lineRule="auto"/>
              <w:rPr>
                <w:rFonts w:ascii="Times New Roman" w:hAnsi="Times New Roman"/>
                <w:sz w:val="20"/>
                <w:szCs w:val="20"/>
              </w:rPr>
            </w:pPr>
            <w:r>
              <w:rPr>
                <w:rFonts w:ascii="Times New Roman" w:eastAsia="Times New Roman" w:hAnsi="Times New Roman"/>
                <w:b/>
                <w:bCs/>
                <w:i/>
                <w:sz w:val="20"/>
                <w:szCs w:val="20"/>
              </w:rPr>
              <w:t>Importance</w:t>
            </w:r>
          </w:p>
        </w:tc>
      </w:tr>
      <w:tr w:rsidR="00C27910" w:rsidRPr="00420C1B" w14:paraId="4FE39B8E" w14:textId="77777777" w:rsidTr="00215867">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75E70" w14:textId="77777777" w:rsidR="00C27910" w:rsidRDefault="00C27910">
            <w:pPr>
              <w:spacing w:after="0" w:line="240" w:lineRule="auto"/>
              <w:rPr>
                <w:rFonts w:ascii="Times New Roman" w:hAnsi="Times New Roman"/>
                <w:b/>
                <w:sz w:val="20"/>
                <w:szCs w:val="20"/>
              </w:rPr>
            </w:pPr>
          </w:p>
        </w:tc>
        <w:tc>
          <w:tcPr>
            <w:tcW w:w="488" w:type="pct"/>
            <w:gridSpan w:val="2"/>
            <w:vMerge/>
            <w:tcBorders>
              <w:top w:val="single" w:sz="4" w:space="0" w:color="auto"/>
              <w:left w:val="single" w:sz="4" w:space="0" w:color="auto"/>
              <w:bottom w:val="single" w:sz="4" w:space="0" w:color="auto"/>
              <w:right w:val="single" w:sz="4" w:space="0" w:color="auto"/>
            </w:tcBorders>
            <w:vAlign w:val="center"/>
            <w:hideMark/>
          </w:tcPr>
          <w:p w14:paraId="02CEA863" w14:textId="77777777" w:rsidR="00C27910" w:rsidRDefault="00C27910">
            <w:pPr>
              <w:spacing w:after="0" w:line="240" w:lineRule="auto"/>
              <w:rPr>
                <w:rFonts w:ascii="Times New Roman" w:eastAsia="Times New Roman" w:hAnsi="Times New Roman"/>
                <w:bCs/>
                <w:sz w:val="20"/>
                <w:szCs w:val="20"/>
              </w:rPr>
            </w:pP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14:paraId="4D1E8C32"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Faible</w:t>
            </w:r>
          </w:p>
        </w:tc>
        <w:tc>
          <w:tcPr>
            <w:tcW w:w="988" w:type="pct"/>
            <w:gridSpan w:val="5"/>
            <w:tcBorders>
              <w:top w:val="single" w:sz="4" w:space="0" w:color="auto"/>
              <w:left w:val="single" w:sz="4" w:space="0" w:color="auto"/>
              <w:bottom w:val="single" w:sz="4" w:space="0" w:color="auto"/>
              <w:right w:val="single" w:sz="4" w:space="0" w:color="auto"/>
            </w:tcBorders>
            <w:vAlign w:val="center"/>
            <w:hideMark/>
          </w:tcPr>
          <w:p w14:paraId="27F536C8"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Ponctuelle</w:t>
            </w:r>
          </w:p>
        </w:tc>
        <w:tc>
          <w:tcPr>
            <w:tcW w:w="728" w:type="pct"/>
            <w:gridSpan w:val="2"/>
            <w:tcBorders>
              <w:top w:val="single" w:sz="4" w:space="0" w:color="auto"/>
              <w:left w:val="single" w:sz="4" w:space="0" w:color="auto"/>
              <w:bottom w:val="single" w:sz="4" w:space="0" w:color="auto"/>
              <w:right w:val="single" w:sz="4" w:space="0" w:color="auto"/>
            </w:tcBorders>
            <w:vAlign w:val="center"/>
            <w:hideMark/>
          </w:tcPr>
          <w:p w14:paraId="05434E42"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Faible</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021DE4EA"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Faible </w:t>
            </w:r>
          </w:p>
        </w:tc>
      </w:tr>
      <w:tr w:rsidR="00C27910" w:rsidRPr="00420C1B" w14:paraId="15CEE1B5" w14:textId="77777777" w:rsidTr="00215867">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D3796B" w14:textId="77777777" w:rsidR="00C27910" w:rsidRDefault="00C27910">
            <w:pPr>
              <w:spacing w:after="0" w:line="240" w:lineRule="auto"/>
              <w:rPr>
                <w:rFonts w:ascii="Times New Roman" w:hAnsi="Times New Roman"/>
                <w:b/>
                <w:sz w:val="20"/>
                <w:szCs w:val="20"/>
              </w:rPr>
            </w:pPr>
          </w:p>
        </w:tc>
        <w:tc>
          <w:tcPr>
            <w:tcW w:w="488" w:type="pct"/>
            <w:gridSpan w:val="2"/>
            <w:tcBorders>
              <w:top w:val="single" w:sz="4" w:space="0" w:color="auto"/>
              <w:left w:val="single" w:sz="4" w:space="0" w:color="auto"/>
              <w:bottom w:val="single" w:sz="4" w:space="0" w:color="auto"/>
              <w:right w:val="single" w:sz="4" w:space="0" w:color="auto"/>
            </w:tcBorders>
            <w:vAlign w:val="center"/>
          </w:tcPr>
          <w:p w14:paraId="70E5DEC0" w14:textId="77777777" w:rsidR="00C27910" w:rsidRDefault="00C27910">
            <w:pPr>
              <w:spacing w:after="0" w:line="240" w:lineRule="auto"/>
              <w:rPr>
                <w:rFonts w:ascii="Times New Roman" w:eastAsia="Times New Roman" w:hAnsi="Times New Roman"/>
                <w:bCs/>
                <w:sz w:val="20"/>
                <w:szCs w:val="20"/>
              </w:rPr>
            </w:pP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14:paraId="3D9F66A2"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Interaction</w:t>
            </w:r>
          </w:p>
        </w:tc>
        <w:tc>
          <w:tcPr>
            <w:tcW w:w="988" w:type="pct"/>
            <w:gridSpan w:val="5"/>
            <w:tcBorders>
              <w:top w:val="single" w:sz="4" w:space="0" w:color="auto"/>
              <w:left w:val="single" w:sz="4" w:space="0" w:color="auto"/>
              <w:bottom w:val="single" w:sz="4" w:space="0" w:color="auto"/>
              <w:right w:val="single" w:sz="4" w:space="0" w:color="auto"/>
            </w:tcBorders>
            <w:hideMark/>
          </w:tcPr>
          <w:p w14:paraId="27312A7F"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Occurrence</w:t>
            </w:r>
          </w:p>
        </w:tc>
        <w:tc>
          <w:tcPr>
            <w:tcW w:w="728" w:type="pct"/>
            <w:gridSpan w:val="2"/>
            <w:tcBorders>
              <w:top w:val="single" w:sz="4" w:space="0" w:color="auto"/>
              <w:left w:val="single" w:sz="4" w:space="0" w:color="auto"/>
              <w:bottom w:val="single" w:sz="4" w:space="0" w:color="auto"/>
              <w:right w:val="single" w:sz="4" w:space="0" w:color="auto"/>
            </w:tcBorders>
            <w:hideMark/>
          </w:tcPr>
          <w:p w14:paraId="24381538"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Réversibilité</w:t>
            </w:r>
          </w:p>
        </w:tc>
        <w:tc>
          <w:tcPr>
            <w:tcW w:w="1148" w:type="pct"/>
            <w:gridSpan w:val="2"/>
            <w:tcBorders>
              <w:top w:val="single" w:sz="4" w:space="0" w:color="auto"/>
              <w:left w:val="single" w:sz="4" w:space="0" w:color="auto"/>
              <w:bottom w:val="single" w:sz="4" w:space="0" w:color="auto"/>
              <w:right w:val="single" w:sz="4" w:space="0" w:color="auto"/>
            </w:tcBorders>
            <w:hideMark/>
          </w:tcPr>
          <w:p w14:paraId="1692B8F9"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Cumulativité</w:t>
            </w:r>
          </w:p>
        </w:tc>
      </w:tr>
      <w:tr w:rsidR="00C27910" w:rsidRPr="00420C1B" w14:paraId="4BFDFC17" w14:textId="77777777" w:rsidTr="00215867">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5878A" w14:textId="77777777" w:rsidR="00C27910" w:rsidRDefault="00C27910">
            <w:pPr>
              <w:spacing w:after="0" w:line="240" w:lineRule="auto"/>
              <w:rPr>
                <w:rFonts w:ascii="Times New Roman" w:hAnsi="Times New Roman"/>
                <w:b/>
                <w:sz w:val="20"/>
                <w:szCs w:val="20"/>
              </w:rPr>
            </w:pPr>
          </w:p>
        </w:tc>
        <w:tc>
          <w:tcPr>
            <w:tcW w:w="488" w:type="pct"/>
            <w:gridSpan w:val="2"/>
            <w:tcBorders>
              <w:top w:val="single" w:sz="4" w:space="0" w:color="auto"/>
              <w:left w:val="single" w:sz="4" w:space="0" w:color="auto"/>
              <w:bottom w:val="single" w:sz="4" w:space="0" w:color="auto"/>
              <w:right w:val="single" w:sz="4" w:space="0" w:color="auto"/>
            </w:tcBorders>
            <w:vAlign w:val="center"/>
          </w:tcPr>
          <w:p w14:paraId="1B1D881C" w14:textId="77777777" w:rsidR="00C27910" w:rsidRDefault="00C27910">
            <w:pPr>
              <w:spacing w:after="0" w:line="240" w:lineRule="auto"/>
              <w:rPr>
                <w:rFonts w:ascii="Times New Roman" w:eastAsia="Times New Roman" w:hAnsi="Times New Roman"/>
                <w:bCs/>
                <w:sz w:val="20"/>
                <w:szCs w:val="20"/>
              </w:rPr>
            </w:pP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14:paraId="56FB5EE1" w14:textId="77777777" w:rsidR="00C27910" w:rsidRDefault="00C27910">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Directe</w:t>
            </w:r>
          </w:p>
        </w:tc>
        <w:tc>
          <w:tcPr>
            <w:tcW w:w="988" w:type="pct"/>
            <w:gridSpan w:val="5"/>
            <w:tcBorders>
              <w:top w:val="single" w:sz="4" w:space="0" w:color="auto"/>
              <w:left w:val="single" w:sz="4" w:space="0" w:color="auto"/>
              <w:bottom w:val="single" w:sz="4" w:space="0" w:color="auto"/>
              <w:right w:val="single" w:sz="4" w:space="0" w:color="auto"/>
            </w:tcBorders>
            <w:vAlign w:val="center"/>
            <w:hideMark/>
          </w:tcPr>
          <w:p w14:paraId="0473CD3C"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Certaine</w:t>
            </w:r>
          </w:p>
        </w:tc>
        <w:tc>
          <w:tcPr>
            <w:tcW w:w="728" w:type="pct"/>
            <w:gridSpan w:val="2"/>
            <w:tcBorders>
              <w:top w:val="single" w:sz="4" w:space="0" w:color="auto"/>
              <w:left w:val="single" w:sz="4" w:space="0" w:color="auto"/>
              <w:bottom w:val="single" w:sz="4" w:space="0" w:color="auto"/>
              <w:right w:val="single" w:sz="4" w:space="0" w:color="auto"/>
            </w:tcBorders>
            <w:vAlign w:val="center"/>
            <w:hideMark/>
          </w:tcPr>
          <w:p w14:paraId="6995350F"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Réversible</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1C217E7B"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Non</w:t>
            </w:r>
          </w:p>
        </w:tc>
      </w:tr>
      <w:tr w:rsidR="00C27910" w:rsidRPr="00420C1B" w14:paraId="14328D51" w14:textId="77777777" w:rsidTr="00215867">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BCDC2A" w14:textId="77777777" w:rsidR="00C27910" w:rsidRDefault="00C27910">
            <w:pPr>
              <w:spacing w:after="0" w:line="240" w:lineRule="auto"/>
              <w:rPr>
                <w:rFonts w:ascii="Times New Roman" w:hAnsi="Times New Roman"/>
                <w:b/>
                <w:sz w:val="20"/>
                <w:szCs w:val="20"/>
              </w:rPr>
            </w:pPr>
          </w:p>
        </w:tc>
        <w:tc>
          <w:tcPr>
            <w:tcW w:w="488" w:type="pct"/>
            <w:gridSpan w:val="2"/>
            <w:tcBorders>
              <w:top w:val="single" w:sz="4" w:space="0" w:color="auto"/>
              <w:left w:val="single" w:sz="4" w:space="0" w:color="auto"/>
              <w:bottom w:val="single" w:sz="4" w:space="0" w:color="auto"/>
              <w:right w:val="single" w:sz="4" w:space="0" w:color="auto"/>
            </w:tcBorders>
            <w:vAlign w:val="center"/>
          </w:tcPr>
          <w:p w14:paraId="0D5720FC" w14:textId="77777777" w:rsidR="00C27910" w:rsidRDefault="00C27910">
            <w:pPr>
              <w:spacing w:after="0" w:line="240" w:lineRule="auto"/>
              <w:rPr>
                <w:rFonts w:ascii="Times New Roman" w:eastAsia="Times New Roman" w:hAnsi="Times New Roman"/>
                <w:bCs/>
                <w:sz w:val="20"/>
                <w:szCs w:val="20"/>
              </w:rPr>
            </w:pPr>
          </w:p>
        </w:tc>
        <w:tc>
          <w:tcPr>
            <w:tcW w:w="836" w:type="pct"/>
            <w:gridSpan w:val="2"/>
            <w:tcBorders>
              <w:top w:val="single" w:sz="4" w:space="0" w:color="auto"/>
              <w:left w:val="single" w:sz="4" w:space="0" w:color="auto"/>
              <w:bottom w:val="single" w:sz="4" w:space="0" w:color="auto"/>
              <w:right w:val="single" w:sz="4" w:space="0" w:color="auto"/>
            </w:tcBorders>
            <w:hideMark/>
          </w:tcPr>
          <w:p w14:paraId="62992256" w14:textId="77777777" w:rsidR="00C27910" w:rsidRDefault="00C27910">
            <w:pPr>
              <w:autoSpaceDE w:val="0"/>
              <w:autoSpaceDN w:val="0"/>
              <w:adjustRightInd w:val="0"/>
              <w:spacing w:after="0" w:line="240" w:lineRule="auto"/>
              <w:rPr>
                <w:rFonts w:ascii="Times New Roman" w:eastAsia="Times New Roman" w:hAnsi="Times New Roman"/>
                <w:b/>
                <w:bCs/>
                <w:i/>
                <w:sz w:val="20"/>
                <w:szCs w:val="20"/>
              </w:rPr>
            </w:pPr>
            <w:r>
              <w:rPr>
                <w:rFonts w:ascii="Times New Roman" w:eastAsia="Times New Roman" w:hAnsi="Times New Roman"/>
                <w:b/>
                <w:bCs/>
                <w:i/>
                <w:sz w:val="20"/>
                <w:szCs w:val="20"/>
              </w:rPr>
              <w:t xml:space="preserve">Fréquence </w:t>
            </w:r>
          </w:p>
        </w:tc>
        <w:tc>
          <w:tcPr>
            <w:tcW w:w="988" w:type="pct"/>
            <w:gridSpan w:val="5"/>
            <w:tcBorders>
              <w:top w:val="single" w:sz="4" w:space="0" w:color="auto"/>
              <w:left w:val="single" w:sz="4" w:space="0" w:color="auto"/>
              <w:bottom w:val="single" w:sz="4" w:space="0" w:color="auto"/>
              <w:right w:val="single" w:sz="4" w:space="0" w:color="auto"/>
            </w:tcBorders>
            <w:vAlign w:val="center"/>
            <w:hideMark/>
          </w:tcPr>
          <w:p w14:paraId="27C71F53" w14:textId="77777777" w:rsidR="00C27910" w:rsidRDefault="00C27910">
            <w:pPr>
              <w:spacing w:after="0" w:line="240" w:lineRule="auto"/>
              <w:jc w:val="center"/>
              <w:rPr>
                <w:rFonts w:ascii="Times New Roman" w:hAnsi="Times New Roman"/>
                <w:sz w:val="20"/>
                <w:szCs w:val="20"/>
              </w:rPr>
            </w:pPr>
            <w:r>
              <w:rPr>
                <w:rFonts w:ascii="Times New Roman" w:hAnsi="Times New Roman"/>
                <w:b/>
                <w:sz w:val="20"/>
                <w:szCs w:val="20"/>
              </w:rPr>
              <w:t>Valeur</w:t>
            </w:r>
          </w:p>
        </w:tc>
        <w:tc>
          <w:tcPr>
            <w:tcW w:w="728" w:type="pct"/>
            <w:gridSpan w:val="2"/>
            <w:tcBorders>
              <w:top w:val="single" w:sz="4" w:space="0" w:color="auto"/>
              <w:left w:val="single" w:sz="4" w:space="0" w:color="auto"/>
              <w:bottom w:val="single" w:sz="4" w:space="0" w:color="auto"/>
              <w:right w:val="single" w:sz="4" w:space="0" w:color="auto"/>
            </w:tcBorders>
            <w:vAlign w:val="center"/>
          </w:tcPr>
          <w:p w14:paraId="1D098414" w14:textId="77777777" w:rsidR="00C27910" w:rsidRDefault="00C27910">
            <w:pPr>
              <w:spacing w:after="0" w:line="240" w:lineRule="auto"/>
              <w:jc w:val="center"/>
              <w:rPr>
                <w:rFonts w:ascii="Times New Roman" w:hAnsi="Times New Roman"/>
                <w:sz w:val="20"/>
                <w:szCs w:val="20"/>
              </w:rPr>
            </w:pPr>
          </w:p>
        </w:tc>
        <w:tc>
          <w:tcPr>
            <w:tcW w:w="1148" w:type="pct"/>
            <w:gridSpan w:val="2"/>
            <w:tcBorders>
              <w:top w:val="single" w:sz="4" w:space="0" w:color="auto"/>
              <w:left w:val="single" w:sz="4" w:space="0" w:color="auto"/>
              <w:bottom w:val="single" w:sz="4" w:space="0" w:color="auto"/>
              <w:right w:val="single" w:sz="4" w:space="0" w:color="auto"/>
            </w:tcBorders>
            <w:vAlign w:val="center"/>
          </w:tcPr>
          <w:p w14:paraId="111CAD57" w14:textId="77777777" w:rsidR="00C27910" w:rsidRDefault="00C27910">
            <w:pPr>
              <w:spacing w:after="0" w:line="240" w:lineRule="auto"/>
              <w:jc w:val="both"/>
              <w:rPr>
                <w:rFonts w:ascii="Times New Roman" w:hAnsi="Times New Roman"/>
                <w:sz w:val="20"/>
                <w:szCs w:val="20"/>
              </w:rPr>
            </w:pPr>
          </w:p>
        </w:tc>
      </w:tr>
      <w:tr w:rsidR="00C27910" w:rsidRPr="00420C1B" w14:paraId="3321EE3A" w14:textId="77777777" w:rsidTr="00215867">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64246E" w14:textId="77777777" w:rsidR="00C27910" w:rsidRDefault="00C27910">
            <w:pPr>
              <w:spacing w:after="0" w:line="240" w:lineRule="auto"/>
              <w:rPr>
                <w:rFonts w:ascii="Times New Roman" w:hAnsi="Times New Roman"/>
                <w:b/>
                <w:sz w:val="20"/>
                <w:szCs w:val="20"/>
              </w:rPr>
            </w:pPr>
          </w:p>
        </w:tc>
        <w:tc>
          <w:tcPr>
            <w:tcW w:w="488" w:type="pct"/>
            <w:gridSpan w:val="2"/>
            <w:tcBorders>
              <w:top w:val="single" w:sz="4" w:space="0" w:color="auto"/>
              <w:left w:val="single" w:sz="4" w:space="0" w:color="auto"/>
              <w:bottom w:val="single" w:sz="4" w:space="0" w:color="auto"/>
              <w:right w:val="single" w:sz="4" w:space="0" w:color="auto"/>
            </w:tcBorders>
            <w:vAlign w:val="center"/>
          </w:tcPr>
          <w:p w14:paraId="06D67F29" w14:textId="77777777" w:rsidR="00C27910" w:rsidRDefault="00C27910">
            <w:pPr>
              <w:spacing w:after="0" w:line="240" w:lineRule="auto"/>
              <w:rPr>
                <w:rFonts w:ascii="Times New Roman" w:eastAsia="Times New Roman" w:hAnsi="Times New Roman"/>
                <w:bCs/>
                <w:sz w:val="20"/>
                <w:szCs w:val="20"/>
              </w:rPr>
            </w:pP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14:paraId="6DD8EA49" w14:textId="77777777" w:rsidR="00C27910" w:rsidRDefault="00C27910">
            <w:pPr>
              <w:spacing w:after="0" w:line="240" w:lineRule="auto"/>
              <w:jc w:val="both"/>
              <w:rPr>
                <w:rFonts w:ascii="Times New Roman" w:hAnsi="Times New Roman"/>
                <w:sz w:val="20"/>
                <w:szCs w:val="20"/>
              </w:rPr>
            </w:pPr>
            <w:r>
              <w:rPr>
                <w:rFonts w:ascii="Times New Roman" w:hAnsi="Times New Roman"/>
                <w:sz w:val="20"/>
                <w:szCs w:val="20"/>
              </w:rPr>
              <w:t>Périodique</w:t>
            </w:r>
          </w:p>
        </w:tc>
        <w:tc>
          <w:tcPr>
            <w:tcW w:w="1716" w:type="pct"/>
            <w:gridSpan w:val="7"/>
            <w:tcBorders>
              <w:top w:val="single" w:sz="4" w:space="0" w:color="auto"/>
              <w:left w:val="single" w:sz="4" w:space="0" w:color="auto"/>
              <w:bottom w:val="single" w:sz="4" w:space="0" w:color="auto"/>
              <w:right w:val="single" w:sz="4" w:space="0" w:color="auto"/>
            </w:tcBorders>
            <w:vAlign w:val="center"/>
            <w:hideMark/>
          </w:tcPr>
          <w:p w14:paraId="35A0DAAC" w14:textId="77777777" w:rsidR="00C27910" w:rsidRDefault="00C27910">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Economique, Socio culturel </w:t>
            </w:r>
          </w:p>
        </w:tc>
        <w:tc>
          <w:tcPr>
            <w:tcW w:w="1148" w:type="pct"/>
            <w:gridSpan w:val="2"/>
          </w:tcPr>
          <w:p w14:paraId="76F1BE64" w14:textId="77777777" w:rsidR="00C27910" w:rsidRDefault="00C27910">
            <w:pPr>
              <w:spacing w:after="0" w:line="240" w:lineRule="auto"/>
              <w:rPr>
                <w:rFonts w:ascii="Times New Roman" w:hAnsi="Times New Roman"/>
                <w:sz w:val="20"/>
                <w:szCs w:val="20"/>
              </w:rPr>
            </w:pPr>
          </w:p>
        </w:tc>
      </w:tr>
      <w:tr w:rsidR="00C27910" w:rsidRPr="00420C1B" w14:paraId="5781D8BE" w14:textId="77777777" w:rsidTr="00215867">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BCF020" w14:textId="77777777" w:rsidR="00C27910" w:rsidRDefault="00C27910">
            <w:pPr>
              <w:spacing w:after="0" w:line="240" w:lineRule="auto"/>
              <w:rPr>
                <w:rFonts w:ascii="Times New Roman" w:hAnsi="Times New Roman"/>
                <w:b/>
                <w:sz w:val="20"/>
                <w:szCs w:val="20"/>
              </w:rPr>
            </w:pPr>
          </w:p>
        </w:tc>
        <w:tc>
          <w:tcPr>
            <w:tcW w:w="488" w:type="pct"/>
            <w:gridSpan w:val="2"/>
            <w:tcBorders>
              <w:top w:val="single" w:sz="4" w:space="0" w:color="auto"/>
              <w:left w:val="single" w:sz="4" w:space="0" w:color="auto"/>
              <w:bottom w:val="single" w:sz="4" w:space="0" w:color="auto"/>
              <w:right w:val="single" w:sz="4" w:space="0" w:color="auto"/>
            </w:tcBorders>
            <w:hideMark/>
          </w:tcPr>
          <w:p w14:paraId="6654D949" w14:textId="77777777" w:rsidR="00C27910" w:rsidRDefault="00C27910">
            <w:pPr>
              <w:spacing w:after="0" w:line="240" w:lineRule="auto"/>
              <w:rPr>
                <w:rFonts w:ascii="Times New Roman" w:eastAsia="Times New Roman" w:hAnsi="Times New Roman"/>
                <w:b/>
                <w:sz w:val="20"/>
                <w:szCs w:val="20"/>
                <w:lang w:eastAsia="fr-FR"/>
              </w:rPr>
            </w:pPr>
            <w:r>
              <w:rPr>
                <w:rFonts w:ascii="Times New Roman" w:hAnsi="Times New Roman"/>
                <w:b/>
                <w:sz w:val="20"/>
                <w:szCs w:val="20"/>
              </w:rPr>
              <w:t>Analyse</w:t>
            </w:r>
          </w:p>
        </w:tc>
        <w:tc>
          <w:tcPr>
            <w:tcW w:w="3699" w:type="pct"/>
            <w:gridSpan w:val="11"/>
            <w:tcBorders>
              <w:top w:val="single" w:sz="4" w:space="0" w:color="auto"/>
              <w:left w:val="single" w:sz="4" w:space="0" w:color="auto"/>
              <w:bottom w:val="single" w:sz="4" w:space="0" w:color="auto"/>
              <w:right w:val="single" w:sz="4" w:space="0" w:color="auto"/>
            </w:tcBorders>
            <w:hideMark/>
          </w:tcPr>
          <w:p w14:paraId="6020A14E" w14:textId="77777777" w:rsidR="00C27910" w:rsidRPr="00420C1B" w:rsidRDefault="00C27910">
            <w:pPr>
              <w:spacing w:after="0" w:line="240" w:lineRule="auto"/>
              <w:jc w:val="both"/>
              <w:rPr>
                <w:rFonts w:ascii="Times New Roman" w:hAnsi="Times New Roman"/>
                <w:sz w:val="20"/>
                <w:szCs w:val="23"/>
              </w:rPr>
            </w:pPr>
            <w:r w:rsidRPr="00420C1B">
              <w:rPr>
                <w:rFonts w:ascii="Times New Roman" w:hAnsi="Times New Roman"/>
                <w:color w:val="000000"/>
                <w:sz w:val="20"/>
                <w:szCs w:val="23"/>
              </w:rPr>
              <w:t xml:space="preserve">L’installation </w:t>
            </w:r>
            <w:r w:rsidRPr="00420C1B">
              <w:rPr>
                <w:rFonts w:ascii="Times New Roman" w:hAnsi="Times New Roman"/>
                <w:sz w:val="20"/>
                <w:szCs w:val="23"/>
              </w:rPr>
              <w:t xml:space="preserve">du chantier engendrera certainement les émissions des particules des poussières dans l’air (MPP : Matières en Petites Particules) pendant  le transport et l’entreposage des matériaux (sable, graviers, etc.) des carrières vers la base vie ou base technique, les aménagements de base vie et base technique des chantiers. </w:t>
            </w:r>
          </w:p>
          <w:p w14:paraId="5ED91ABB" w14:textId="77777777" w:rsidR="00C27910" w:rsidRPr="00420C1B" w:rsidRDefault="00C27910">
            <w:pPr>
              <w:spacing w:after="0" w:line="240" w:lineRule="auto"/>
              <w:jc w:val="both"/>
              <w:rPr>
                <w:rFonts w:ascii="Times New Roman" w:hAnsi="Times New Roman"/>
                <w:sz w:val="20"/>
                <w:szCs w:val="23"/>
              </w:rPr>
            </w:pPr>
            <w:r w:rsidRPr="00420C1B">
              <w:rPr>
                <w:rFonts w:ascii="Times New Roman" w:hAnsi="Times New Roman"/>
                <w:sz w:val="20"/>
                <w:szCs w:val="23"/>
              </w:rPr>
              <w:t xml:space="preserve">A ces activités sources d’impact s’ajoute également le terrassement pendant l’aménagement des voies d’accès aux sites de travaux. </w:t>
            </w:r>
          </w:p>
          <w:p w14:paraId="49E35944" w14:textId="77777777" w:rsidR="00C27910" w:rsidRPr="00420C1B" w:rsidRDefault="00C27910">
            <w:pPr>
              <w:spacing w:before="60" w:after="60" w:line="240" w:lineRule="auto"/>
              <w:jc w:val="both"/>
              <w:rPr>
                <w:rFonts w:ascii="Times New Roman" w:hAnsi="Times New Roman"/>
                <w:sz w:val="20"/>
                <w:szCs w:val="23"/>
              </w:rPr>
            </w:pPr>
            <w:r w:rsidRPr="00420C1B">
              <w:rPr>
                <w:rFonts w:ascii="Times New Roman" w:hAnsi="Times New Roman"/>
                <w:sz w:val="20"/>
                <w:szCs w:val="23"/>
              </w:rPr>
              <w:t>Le transport des matériaux des carrières vers le site de travaux serait une source d’émission des polluants toxiques (CO, SO</w:t>
            </w:r>
            <w:r w:rsidRPr="00420C1B">
              <w:rPr>
                <w:rFonts w:ascii="Times New Roman" w:hAnsi="Times New Roman"/>
                <w:sz w:val="20"/>
                <w:szCs w:val="23"/>
                <w:vertAlign w:val="subscript"/>
              </w:rPr>
              <w:t>2</w:t>
            </w:r>
            <w:r w:rsidRPr="00420C1B">
              <w:rPr>
                <w:rFonts w:ascii="Times New Roman" w:hAnsi="Times New Roman"/>
                <w:sz w:val="20"/>
                <w:szCs w:val="23"/>
              </w:rPr>
              <w:t>, NO</w:t>
            </w:r>
            <w:r w:rsidRPr="00420C1B">
              <w:rPr>
                <w:rFonts w:ascii="Times New Roman" w:hAnsi="Times New Roman"/>
                <w:sz w:val="20"/>
                <w:szCs w:val="23"/>
                <w:vertAlign w:val="subscript"/>
              </w:rPr>
              <w:t>x</w:t>
            </w:r>
            <w:r w:rsidRPr="00420C1B">
              <w:rPr>
                <w:rFonts w:ascii="Times New Roman" w:hAnsi="Times New Roman"/>
                <w:sz w:val="20"/>
                <w:szCs w:val="23"/>
              </w:rPr>
              <w:t>, CH</w:t>
            </w:r>
            <w:r w:rsidRPr="00420C1B">
              <w:rPr>
                <w:rFonts w:ascii="Times New Roman" w:hAnsi="Times New Roman"/>
                <w:sz w:val="20"/>
                <w:szCs w:val="23"/>
                <w:vertAlign w:val="subscript"/>
              </w:rPr>
              <w:t>4</w:t>
            </w:r>
            <w:r w:rsidRPr="00420C1B">
              <w:rPr>
                <w:rFonts w:ascii="Times New Roman" w:hAnsi="Times New Roman"/>
                <w:sz w:val="20"/>
                <w:szCs w:val="23"/>
              </w:rPr>
              <w:t>, CO</w:t>
            </w:r>
            <w:r w:rsidRPr="00420C1B">
              <w:rPr>
                <w:rFonts w:ascii="Times New Roman" w:hAnsi="Times New Roman"/>
                <w:sz w:val="20"/>
                <w:szCs w:val="23"/>
                <w:vertAlign w:val="subscript"/>
              </w:rPr>
              <w:t>2</w:t>
            </w:r>
            <w:r w:rsidRPr="00420C1B">
              <w:rPr>
                <w:rFonts w:ascii="Times New Roman" w:hAnsi="Times New Roman"/>
                <w:sz w:val="20"/>
                <w:szCs w:val="23"/>
              </w:rPr>
              <w:t>, etc.) émanant des tuyaux d’échappement des véhicules et engins, si ces derniers sont obsolètes.</w:t>
            </w:r>
          </w:p>
          <w:p w14:paraId="31E45DAC" w14:textId="77777777" w:rsidR="00C27910" w:rsidRPr="00420C1B" w:rsidRDefault="00C27910">
            <w:pPr>
              <w:spacing w:before="60" w:after="60" w:line="240" w:lineRule="auto"/>
              <w:jc w:val="both"/>
              <w:rPr>
                <w:rFonts w:ascii="Times New Roman" w:hAnsi="Times New Roman"/>
                <w:sz w:val="20"/>
                <w:szCs w:val="23"/>
              </w:rPr>
            </w:pPr>
            <w:r w:rsidRPr="00420C1B">
              <w:rPr>
                <w:rFonts w:ascii="Times New Roman" w:hAnsi="Times New Roman"/>
                <w:sz w:val="20"/>
                <w:szCs w:val="23"/>
              </w:rPr>
              <w:t xml:space="preserve">La pollution de l’air durant cette phase sera perceptible par les nuages des fumeux et des particules des poussières dans l’air le long du tracé. </w:t>
            </w:r>
          </w:p>
          <w:p w14:paraId="20EA4C67" w14:textId="77777777" w:rsidR="00C27910" w:rsidRDefault="00C27910">
            <w:pPr>
              <w:spacing w:after="0" w:line="240" w:lineRule="auto"/>
              <w:jc w:val="both"/>
              <w:rPr>
                <w:rFonts w:ascii="Times New Roman" w:eastAsia="Times New Roman" w:hAnsi="Times New Roman"/>
                <w:bCs/>
                <w:sz w:val="20"/>
                <w:szCs w:val="20"/>
              </w:rPr>
            </w:pPr>
            <w:r>
              <w:rPr>
                <w:rFonts w:ascii="Times New Roman" w:hAnsi="Times New Roman"/>
                <w:sz w:val="20"/>
                <w:szCs w:val="23"/>
              </w:rPr>
              <w:t>Particulièrement pour la pollution par les poussières, elle sera minime, compte tenu de la pertinence des travaux et la quantité des matériaux à acheminer. Elle sera prévenue par l’arrosage des matériaux pendant leur transport.</w:t>
            </w:r>
          </w:p>
        </w:tc>
      </w:tr>
      <w:tr w:rsidR="00C27910" w:rsidRPr="00420C1B" w14:paraId="59206B88" w14:textId="77777777" w:rsidTr="00215867">
        <w:trPr>
          <w:trHeight w:val="492"/>
          <w:jc w:val="center"/>
        </w:trPr>
        <w:tc>
          <w:tcPr>
            <w:tcW w:w="1301" w:type="pct"/>
            <w:gridSpan w:val="3"/>
            <w:tcBorders>
              <w:top w:val="single" w:sz="4" w:space="0" w:color="auto"/>
              <w:left w:val="single" w:sz="4" w:space="0" w:color="auto"/>
              <w:bottom w:val="single" w:sz="4" w:space="0" w:color="auto"/>
              <w:right w:val="single" w:sz="4" w:space="0" w:color="auto"/>
            </w:tcBorders>
            <w:hideMark/>
          </w:tcPr>
          <w:p w14:paraId="2B64DC3F" w14:textId="77777777" w:rsidR="00C27910" w:rsidRDefault="00C27910">
            <w:pPr>
              <w:spacing w:after="0" w:line="240" w:lineRule="auto"/>
              <w:jc w:val="both"/>
              <w:rPr>
                <w:rFonts w:ascii="Times New Roman" w:eastAsia="Times New Roman" w:hAnsi="Times New Roman"/>
                <w:sz w:val="20"/>
                <w:szCs w:val="20"/>
                <w:lang w:eastAsia="fr-FR"/>
              </w:rPr>
            </w:pPr>
            <w:r>
              <w:rPr>
                <w:rFonts w:ascii="Times New Roman" w:hAnsi="Times New Roman"/>
                <w:b/>
                <w:sz w:val="20"/>
                <w:szCs w:val="20"/>
              </w:rPr>
              <w:t>Titre de la mesure d’atténuation</w:t>
            </w:r>
            <w:r>
              <w:rPr>
                <w:rFonts w:ascii="Times New Roman" w:hAnsi="Times New Roman"/>
                <w:sz w:val="20"/>
                <w:szCs w:val="20"/>
              </w:rPr>
              <w:t xml:space="preserve"> : </w:t>
            </w:r>
          </w:p>
        </w:tc>
        <w:tc>
          <w:tcPr>
            <w:tcW w:w="3699" w:type="pct"/>
            <w:gridSpan w:val="11"/>
            <w:tcBorders>
              <w:top w:val="single" w:sz="4" w:space="0" w:color="auto"/>
              <w:left w:val="single" w:sz="4" w:space="0" w:color="auto"/>
              <w:bottom w:val="single" w:sz="4" w:space="0" w:color="auto"/>
              <w:right w:val="single" w:sz="4" w:space="0" w:color="auto"/>
            </w:tcBorders>
            <w:hideMark/>
          </w:tcPr>
          <w:p w14:paraId="576233F4"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Arrosage par temps sec les pistes utilisées comme voie d’accès pour le transport des matériaux</w:t>
            </w:r>
          </w:p>
          <w:p w14:paraId="6D6FF406"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Bâchage des camions de transport et l’humidification des matériaux meubles pour limiter l’émission des poussières</w:t>
            </w:r>
          </w:p>
          <w:p w14:paraId="7AF188F5"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Assurer le contrôle technique régulier des engins roulants utilisés pour les travaux </w:t>
            </w:r>
          </w:p>
          <w:p w14:paraId="1F2005BC"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Assurer l’entretien régulier du charroi automobile et des engins fixes utilisés sur le chantier    </w:t>
            </w:r>
          </w:p>
          <w:p w14:paraId="2A88B1F9"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Doter les employés (ouvriers exposés) des équipements de protection individuelle. </w:t>
            </w:r>
          </w:p>
        </w:tc>
      </w:tr>
      <w:tr w:rsidR="00C27910" w:rsidRPr="00420C1B" w14:paraId="77CD5DB6" w14:textId="77777777" w:rsidTr="00215867">
        <w:trPr>
          <w:trHeight w:val="1018"/>
          <w:jc w:val="center"/>
        </w:trPr>
        <w:tc>
          <w:tcPr>
            <w:tcW w:w="1301" w:type="pct"/>
            <w:gridSpan w:val="3"/>
            <w:tcBorders>
              <w:top w:val="single" w:sz="4" w:space="0" w:color="auto"/>
              <w:left w:val="single" w:sz="4" w:space="0" w:color="auto"/>
              <w:bottom w:val="single" w:sz="4" w:space="0" w:color="auto"/>
              <w:right w:val="single" w:sz="4" w:space="0" w:color="auto"/>
            </w:tcBorders>
            <w:hideMark/>
          </w:tcPr>
          <w:p w14:paraId="4BCA2496"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Objectif de la mesure d’atténuation</w:t>
            </w:r>
            <w:r>
              <w:rPr>
                <w:rFonts w:ascii="Times New Roman" w:hAnsi="Times New Roman"/>
                <w:sz w:val="20"/>
                <w:szCs w:val="20"/>
              </w:rPr>
              <w:t xml:space="preserve"> : </w:t>
            </w:r>
          </w:p>
          <w:p w14:paraId="24EA62B7" w14:textId="77777777" w:rsidR="00C27910" w:rsidRDefault="00C27910">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Atténuer les effets du projet sur la qualité de l’air</w:t>
            </w:r>
          </w:p>
        </w:tc>
        <w:tc>
          <w:tcPr>
            <w:tcW w:w="3699" w:type="pct"/>
            <w:gridSpan w:val="11"/>
            <w:tcBorders>
              <w:top w:val="single" w:sz="4" w:space="0" w:color="auto"/>
              <w:left w:val="single" w:sz="4" w:space="0" w:color="auto"/>
              <w:bottom w:val="single" w:sz="4" w:space="0" w:color="auto"/>
              <w:right w:val="single" w:sz="4" w:space="0" w:color="auto"/>
            </w:tcBorders>
            <w:hideMark/>
          </w:tcPr>
          <w:p w14:paraId="4ED9C040" w14:textId="77777777" w:rsidR="00C27910" w:rsidRDefault="00C27910">
            <w:pPr>
              <w:autoSpaceDE w:val="0"/>
              <w:autoSpaceDN w:val="0"/>
              <w:adjustRightInd w:val="0"/>
              <w:spacing w:after="0" w:line="240" w:lineRule="auto"/>
              <w:rPr>
                <w:rFonts w:ascii="Times New Roman" w:eastAsia="Times New Roman" w:hAnsi="Times New Roman"/>
                <w:sz w:val="20"/>
                <w:szCs w:val="20"/>
                <w:lang w:eastAsia="fr-FR"/>
              </w:rPr>
            </w:pPr>
            <w:r>
              <w:rPr>
                <w:rFonts w:ascii="Times New Roman" w:hAnsi="Times New Roman"/>
                <w:b/>
                <w:sz w:val="20"/>
                <w:szCs w:val="20"/>
                <w:u w:val="single"/>
              </w:rPr>
              <w:t>Description</w:t>
            </w:r>
            <w:r>
              <w:rPr>
                <w:rFonts w:ascii="Times New Roman" w:hAnsi="Times New Roman"/>
                <w:sz w:val="20"/>
                <w:szCs w:val="20"/>
              </w:rPr>
              <w:t xml:space="preserve"> : </w:t>
            </w:r>
          </w:p>
          <w:p w14:paraId="12B132D1"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Mettre en place un programme de maintenance préventive des engins mobiles et fixes</w:t>
            </w:r>
          </w:p>
          <w:p w14:paraId="32F72E0E"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Afficher sur la cabine avant des camions les consignes relatives aux chargements des camions, à la limitation des vitesses et à l’humidification des matériaux friables </w:t>
            </w:r>
          </w:p>
          <w:p w14:paraId="4FAE966B" w14:textId="77777777" w:rsidR="00C27910" w:rsidRDefault="00C27910" w:rsidP="00C27910">
            <w:pPr>
              <w:numPr>
                <w:ilvl w:val="0"/>
                <w:numId w:val="382"/>
              </w:numPr>
              <w:autoSpaceDE w:val="0"/>
              <w:autoSpaceDN w:val="0"/>
              <w:adjustRightInd w:val="0"/>
              <w:spacing w:after="0" w:line="240" w:lineRule="auto"/>
              <w:ind w:left="220" w:hanging="220"/>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Mettre en place un tableau de suivi de trajet et disposer des fiches d’entretien des engins   </w:t>
            </w:r>
          </w:p>
        </w:tc>
      </w:tr>
      <w:tr w:rsidR="00C27910" w:rsidRPr="00420C1B" w14:paraId="0987D687" w14:textId="77777777" w:rsidTr="00215867">
        <w:trPr>
          <w:trHeight w:val="250"/>
          <w:jc w:val="center"/>
        </w:trPr>
        <w:tc>
          <w:tcPr>
            <w:tcW w:w="1301" w:type="pct"/>
            <w:gridSpan w:val="3"/>
            <w:tcBorders>
              <w:top w:val="single" w:sz="4" w:space="0" w:color="auto"/>
              <w:left w:val="single" w:sz="4" w:space="0" w:color="auto"/>
              <w:bottom w:val="single" w:sz="4" w:space="0" w:color="auto"/>
              <w:right w:val="single" w:sz="4" w:space="0" w:color="auto"/>
            </w:tcBorders>
            <w:hideMark/>
          </w:tcPr>
          <w:p w14:paraId="1C90FCF7" w14:textId="7FC7F820" w:rsidR="00C27910" w:rsidRDefault="00C27910" w:rsidP="00215867">
            <w:pPr>
              <w:spacing w:after="0" w:line="240" w:lineRule="auto"/>
              <w:rPr>
                <w:rFonts w:ascii="Times New Roman" w:hAnsi="Times New Roman"/>
                <w:b/>
                <w:sz w:val="20"/>
                <w:szCs w:val="20"/>
              </w:rPr>
            </w:pPr>
            <w:r>
              <w:rPr>
                <w:rFonts w:ascii="Times New Roman" w:hAnsi="Times New Roman"/>
                <w:b/>
                <w:sz w:val="20"/>
                <w:szCs w:val="20"/>
              </w:rPr>
              <w:t>Impact résiduel</w:t>
            </w:r>
            <w:r w:rsidR="00584434">
              <w:rPr>
                <w:rFonts w:ascii="Times New Roman" w:hAnsi="Times New Roman"/>
                <w:b/>
                <w:sz w:val="20"/>
                <w:szCs w:val="20"/>
              </w:rPr>
              <w:t> :</w:t>
            </w:r>
          </w:p>
        </w:tc>
        <w:tc>
          <w:tcPr>
            <w:tcW w:w="3509" w:type="pct"/>
            <w:gridSpan w:val="10"/>
            <w:tcBorders>
              <w:top w:val="single" w:sz="4" w:space="0" w:color="auto"/>
              <w:left w:val="single" w:sz="4" w:space="0" w:color="auto"/>
              <w:bottom w:val="single" w:sz="4" w:space="0" w:color="auto"/>
              <w:right w:val="single" w:sz="4" w:space="0" w:color="auto"/>
            </w:tcBorders>
            <w:hideMark/>
          </w:tcPr>
          <w:p w14:paraId="01454E26" w14:textId="77777777" w:rsidR="00C27910" w:rsidRDefault="00C27910">
            <w:pPr>
              <w:autoSpaceDE w:val="0"/>
              <w:autoSpaceDN w:val="0"/>
              <w:adjustRightInd w:val="0"/>
              <w:spacing w:after="0" w:line="240" w:lineRule="auto"/>
              <w:rPr>
                <w:rFonts w:ascii="Times New Roman" w:hAnsi="Times New Roman"/>
                <w:sz w:val="20"/>
                <w:szCs w:val="20"/>
                <w:u w:val="single"/>
              </w:rPr>
            </w:pPr>
            <w:r>
              <w:rPr>
                <w:rFonts w:ascii="Times New Roman" w:hAnsi="Times New Roman"/>
                <w:sz w:val="20"/>
                <w:szCs w:val="20"/>
                <w:u w:val="single"/>
              </w:rPr>
              <w:t xml:space="preserve">Mineur </w:t>
            </w:r>
          </w:p>
        </w:tc>
        <w:tc>
          <w:tcPr>
            <w:tcW w:w="190" w:type="pct"/>
            <w:tcBorders>
              <w:top w:val="single" w:sz="4" w:space="0" w:color="auto"/>
              <w:left w:val="single" w:sz="4" w:space="0" w:color="auto"/>
              <w:bottom w:val="single" w:sz="4" w:space="0" w:color="auto"/>
              <w:right w:val="single" w:sz="4" w:space="0" w:color="auto"/>
            </w:tcBorders>
          </w:tcPr>
          <w:p w14:paraId="5AD3C70B" w14:textId="77777777" w:rsidR="00C27910" w:rsidRDefault="00C27910">
            <w:pPr>
              <w:autoSpaceDE w:val="0"/>
              <w:autoSpaceDN w:val="0"/>
              <w:adjustRightInd w:val="0"/>
              <w:spacing w:after="0" w:line="240" w:lineRule="auto"/>
              <w:rPr>
                <w:rFonts w:ascii="Times New Roman" w:hAnsi="Times New Roman"/>
                <w:sz w:val="20"/>
                <w:szCs w:val="20"/>
                <w:u w:val="single"/>
              </w:rPr>
            </w:pPr>
          </w:p>
        </w:tc>
      </w:tr>
      <w:tr w:rsidR="00C27910" w:rsidRPr="00420C1B" w14:paraId="5D036066" w14:textId="77777777" w:rsidTr="00215867">
        <w:trPr>
          <w:trHeight w:val="545"/>
          <w:jc w:val="center"/>
        </w:trPr>
        <w:tc>
          <w:tcPr>
            <w:tcW w:w="1301" w:type="pct"/>
            <w:gridSpan w:val="3"/>
            <w:tcBorders>
              <w:top w:val="single" w:sz="4" w:space="0" w:color="auto"/>
              <w:left w:val="single" w:sz="4" w:space="0" w:color="auto"/>
              <w:bottom w:val="single" w:sz="4" w:space="0" w:color="auto"/>
              <w:right w:val="single" w:sz="4" w:space="0" w:color="auto"/>
            </w:tcBorders>
            <w:hideMark/>
          </w:tcPr>
          <w:p w14:paraId="3B3DBCB4" w14:textId="0FDCB06D"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surveillance</w:t>
            </w:r>
            <w:r w:rsidR="00584434">
              <w:rPr>
                <w:rFonts w:ascii="Times New Roman" w:hAnsi="Times New Roman"/>
                <w:b/>
                <w:sz w:val="20"/>
                <w:szCs w:val="20"/>
                <w:u w:val="single"/>
              </w:rPr>
              <w:t> :</w:t>
            </w:r>
          </w:p>
          <w:p w14:paraId="4A7D200E" w14:textId="77777777" w:rsidR="00C27910" w:rsidRDefault="00C27910" w:rsidP="00C27910">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Mission de Contrôle (MdC) ;</w:t>
            </w:r>
          </w:p>
          <w:p w14:paraId="3D438AAF" w14:textId="41301476" w:rsidR="00C27910" w:rsidRDefault="00C27910" w:rsidP="00215867">
            <w:pPr>
              <w:numPr>
                <w:ilvl w:val="0"/>
                <w:numId w:val="383"/>
              </w:numPr>
              <w:autoSpaceDE w:val="0"/>
              <w:autoSpaceDN w:val="0"/>
              <w:adjustRightInd w:val="0"/>
              <w:spacing w:after="0" w:line="240" w:lineRule="auto"/>
              <w:ind w:left="119" w:hanging="119"/>
              <w:contextualSpacing/>
              <w:rPr>
                <w:rFonts w:ascii="Times New Roman" w:hAnsi="Times New Roman"/>
                <w:sz w:val="20"/>
                <w:szCs w:val="20"/>
              </w:rPr>
            </w:pPr>
            <w:r>
              <w:rPr>
                <w:rFonts w:ascii="Times New Roman" w:hAnsi="Times New Roman"/>
                <w:sz w:val="20"/>
                <w:szCs w:val="20"/>
              </w:rPr>
              <w:t>Agence Congolaise de l’Environnement (ACE)</w:t>
            </w:r>
            <w:r w:rsidR="00584434">
              <w:rPr>
                <w:rFonts w:ascii="Times New Roman" w:hAnsi="Times New Roman"/>
                <w:sz w:val="20"/>
                <w:szCs w:val="20"/>
              </w:rPr>
              <w:t>.</w:t>
            </w:r>
          </w:p>
        </w:tc>
        <w:tc>
          <w:tcPr>
            <w:tcW w:w="2551" w:type="pct"/>
            <w:gridSpan w:val="9"/>
            <w:tcBorders>
              <w:top w:val="single" w:sz="4" w:space="0" w:color="auto"/>
              <w:left w:val="single" w:sz="4" w:space="0" w:color="auto"/>
              <w:bottom w:val="single" w:sz="4" w:space="0" w:color="auto"/>
              <w:right w:val="single" w:sz="4" w:space="0" w:color="auto"/>
            </w:tcBorders>
            <w:hideMark/>
          </w:tcPr>
          <w:p w14:paraId="632C2DFE"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suivi</w:t>
            </w:r>
          </w:p>
          <w:p w14:paraId="30ED61FC"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Cellule Provinciale de l’Environnement (CPE) ;</w:t>
            </w:r>
          </w:p>
          <w:p w14:paraId="1DD4CBED"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Sous-Cellule environnementale et sociale d’UCM (SCES/UCM)</w:t>
            </w:r>
          </w:p>
          <w:p w14:paraId="07A0129A" w14:textId="77777777" w:rsidR="00C27910" w:rsidRDefault="00C27910" w:rsidP="00C27910">
            <w:pPr>
              <w:numPr>
                <w:ilvl w:val="0"/>
                <w:numId w:val="382"/>
              </w:numPr>
              <w:autoSpaceDE w:val="0"/>
              <w:autoSpaceDN w:val="0"/>
              <w:adjustRightInd w:val="0"/>
              <w:spacing w:after="0" w:line="240" w:lineRule="auto"/>
              <w:ind w:left="161" w:hanging="161"/>
              <w:contextualSpacing/>
              <w:jc w:val="both"/>
              <w:rPr>
                <w:rFonts w:ascii="Times New Roman" w:hAnsi="Times New Roman"/>
                <w:sz w:val="20"/>
                <w:szCs w:val="20"/>
              </w:rPr>
            </w:pPr>
            <w:r>
              <w:rPr>
                <w:rFonts w:ascii="Times New Roman" w:hAnsi="Times New Roman"/>
                <w:sz w:val="20"/>
                <w:szCs w:val="20"/>
              </w:rPr>
              <w:t xml:space="preserve">Service environnement des communes concernées </w:t>
            </w:r>
          </w:p>
        </w:tc>
        <w:tc>
          <w:tcPr>
            <w:tcW w:w="1148" w:type="pct"/>
            <w:gridSpan w:val="2"/>
            <w:tcBorders>
              <w:top w:val="single" w:sz="4" w:space="0" w:color="auto"/>
              <w:left w:val="single" w:sz="4" w:space="0" w:color="auto"/>
              <w:bottom w:val="single" w:sz="4" w:space="0" w:color="auto"/>
              <w:right w:val="single" w:sz="4" w:space="0" w:color="auto"/>
            </w:tcBorders>
            <w:hideMark/>
          </w:tcPr>
          <w:p w14:paraId="3E8E0764"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Indicateurs de suivi</w:t>
            </w:r>
          </w:p>
          <w:p w14:paraId="22F646B5" w14:textId="6C8DD792" w:rsidR="00C27910" w:rsidRPr="00215867" w:rsidRDefault="005E4E24" w:rsidP="00215867">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u w:val="single"/>
              </w:rPr>
            </w:pPr>
            <w:r>
              <w:rPr>
                <w:rFonts w:ascii="Times New Roman" w:hAnsi="Times New Roman"/>
                <w:sz w:val="20"/>
                <w:szCs w:val="20"/>
                <w:u w:val="single"/>
              </w:rPr>
              <w:t>100%</w:t>
            </w:r>
            <w:r w:rsidR="00C27910" w:rsidRPr="00215867">
              <w:rPr>
                <w:rFonts w:ascii="Times New Roman" w:hAnsi="Times New Roman"/>
                <w:sz w:val="20"/>
                <w:szCs w:val="20"/>
                <w:u w:val="single"/>
              </w:rPr>
              <w:t xml:space="preserve"> de </w:t>
            </w:r>
            <w:r w:rsidR="00C27910" w:rsidRPr="00C27910">
              <w:rPr>
                <w:rFonts w:ascii="Times New Roman" w:hAnsi="Times New Roman"/>
                <w:sz w:val="20"/>
                <w:szCs w:val="20"/>
                <w:u w:val="single"/>
              </w:rPr>
              <w:t>camion</w:t>
            </w:r>
            <w:r>
              <w:rPr>
                <w:rFonts w:ascii="Times New Roman" w:hAnsi="Times New Roman"/>
                <w:sz w:val="20"/>
                <w:szCs w:val="20"/>
                <w:u w:val="single"/>
              </w:rPr>
              <w:t>s</w:t>
            </w:r>
            <w:r w:rsidR="00C27910" w:rsidRPr="00C27910">
              <w:rPr>
                <w:rFonts w:ascii="Times New Roman" w:hAnsi="Times New Roman"/>
                <w:sz w:val="20"/>
                <w:szCs w:val="20"/>
                <w:u w:val="single"/>
              </w:rPr>
              <w:t>-citerne</w:t>
            </w:r>
            <w:r>
              <w:rPr>
                <w:rFonts w:ascii="Times New Roman" w:hAnsi="Times New Roman"/>
                <w:sz w:val="20"/>
                <w:szCs w:val="20"/>
                <w:u w:val="single"/>
              </w:rPr>
              <w:t>s</w:t>
            </w:r>
            <w:r w:rsidR="00C27910" w:rsidRPr="00215867">
              <w:rPr>
                <w:rFonts w:ascii="Times New Roman" w:hAnsi="Times New Roman"/>
                <w:sz w:val="20"/>
                <w:szCs w:val="20"/>
                <w:u w:val="single"/>
              </w:rPr>
              <w:t xml:space="preserve"> mobilisé</w:t>
            </w:r>
            <w:r>
              <w:rPr>
                <w:rFonts w:ascii="Times New Roman" w:hAnsi="Times New Roman"/>
                <w:sz w:val="20"/>
                <w:szCs w:val="20"/>
                <w:u w:val="single"/>
              </w:rPr>
              <w:t>s</w:t>
            </w:r>
            <w:r w:rsidR="00C27910" w:rsidRPr="00215867">
              <w:rPr>
                <w:rFonts w:ascii="Times New Roman" w:hAnsi="Times New Roman"/>
                <w:sz w:val="20"/>
                <w:szCs w:val="20"/>
                <w:u w:val="single"/>
              </w:rPr>
              <w:t xml:space="preserve"> sur chantier </w:t>
            </w:r>
            <w:r w:rsidR="00C27910" w:rsidRPr="00215867">
              <w:rPr>
                <w:rFonts w:ascii="Times New Roman" w:hAnsi="Times New Roman"/>
                <w:sz w:val="20"/>
                <w:szCs w:val="20"/>
              </w:rPr>
              <w:t>et</w:t>
            </w:r>
            <w:r w:rsidR="00C27910" w:rsidRPr="00215867">
              <w:rPr>
                <w:rFonts w:ascii="Times New Roman" w:hAnsi="Times New Roman"/>
                <w:sz w:val="20"/>
                <w:szCs w:val="20"/>
                <w:u w:val="single"/>
              </w:rPr>
              <w:t xml:space="preserve"> </w:t>
            </w:r>
            <w:r>
              <w:rPr>
                <w:rFonts w:ascii="Times New Roman" w:hAnsi="Times New Roman"/>
                <w:sz w:val="20"/>
                <w:szCs w:val="20"/>
                <w:u w:val="single"/>
              </w:rPr>
              <w:t xml:space="preserve">sont </w:t>
            </w:r>
            <w:r w:rsidR="00C27910" w:rsidRPr="00215867">
              <w:rPr>
                <w:rFonts w:ascii="Times New Roman" w:hAnsi="Times New Roman"/>
                <w:sz w:val="20"/>
                <w:szCs w:val="20"/>
                <w:u w:val="single"/>
              </w:rPr>
              <w:t>opérationnel</w:t>
            </w:r>
            <w:r>
              <w:rPr>
                <w:rFonts w:ascii="Times New Roman" w:hAnsi="Times New Roman"/>
                <w:sz w:val="20"/>
                <w:szCs w:val="20"/>
                <w:u w:val="single"/>
              </w:rPr>
              <w:t>s</w:t>
            </w:r>
            <w:r w:rsidR="00C27910" w:rsidRPr="00215867">
              <w:rPr>
                <w:rFonts w:ascii="Times New Roman" w:hAnsi="Times New Roman"/>
                <w:sz w:val="20"/>
                <w:szCs w:val="20"/>
                <w:u w:val="single"/>
              </w:rPr>
              <w:t xml:space="preserve"> sur site</w:t>
            </w:r>
          </w:p>
        </w:tc>
      </w:tr>
      <w:tr w:rsidR="00C27910" w:rsidRPr="00420C1B" w14:paraId="29657C42" w14:textId="77777777" w:rsidTr="00215867">
        <w:trPr>
          <w:trHeight w:val="164"/>
          <w:jc w:val="center"/>
        </w:trPr>
        <w:tc>
          <w:tcPr>
            <w:tcW w:w="812" w:type="pct"/>
            <w:tcBorders>
              <w:top w:val="single" w:sz="4" w:space="0" w:color="auto"/>
              <w:left w:val="single" w:sz="4" w:space="0" w:color="auto"/>
              <w:bottom w:val="single" w:sz="4" w:space="0" w:color="auto"/>
              <w:right w:val="single" w:sz="4" w:space="0" w:color="auto"/>
            </w:tcBorders>
            <w:hideMark/>
          </w:tcPr>
          <w:p w14:paraId="6596104E"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Coût de la mesure</w:t>
            </w:r>
          </w:p>
        </w:tc>
        <w:tc>
          <w:tcPr>
            <w:tcW w:w="439" w:type="pct"/>
            <w:tcBorders>
              <w:top w:val="single" w:sz="4" w:space="0" w:color="auto"/>
              <w:left w:val="single" w:sz="4" w:space="0" w:color="auto"/>
              <w:bottom w:val="single" w:sz="4" w:space="0" w:color="auto"/>
              <w:right w:val="single" w:sz="4" w:space="0" w:color="auto"/>
            </w:tcBorders>
            <w:hideMark/>
          </w:tcPr>
          <w:p w14:paraId="48FC65B7"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Unité</w:t>
            </w:r>
          </w:p>
        </w:tc>
        <w:tc>
          <w:tcPr>
            <w:tcW w:w="506" w:type="pct"/>
            <w:gridSpan w:val="2"/>
            <w:tcBorders>
              <w:top w:val="single" w:sz="4" w:space="0" w:color="auto"/>
              <w:left w:val="single" w:sz="4" w:space="0" w:color="auto"/>
              <w:bottom w:val="single" w:sz="4" w:space="0" w:color="auto"/>
              <w:right w:val="single" w:sz="4" w:space="0" w:color="auto"/>
            </w:tcBorders>
            <w:hideMark/>
          </w:tcPr>
          <w:p w14:paraId="15D6EE1B"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Quantités</w:t>
            </w:r>
          </w:p>
        </w:tc>
        <w:tc>
          <w:tcPr>
            <w:tcW w:w="720" w:type="pct"/>
            <w:gridSpan w:val="3"/>
            <w:tcBorders>
              <w:top w:val="single" w:sz="4" w:space="0" w:color="auto"/>
              <w:left w:val="single" w:sz="4" w:space="0" w:color="auto"/>
              <w:bottom w:val="single" w:sz="4" w:space="0" w:color="auto"/>
              <w:right w:val="single" w:sz="4" w:space="0" w:color="auto"/>
            </w:tcBorders>
            <w:hideMark/>
          </w:tcPr>
          <w:p w14:paraId="7179465E"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Coûts unitaires en $</w:t>
            </w:r>
          </w:p>
        </w:tc>
        <w:tc>
          <w:tcPr>
            <w:tcW w:w="579" w:type="pct"/>
            <w:gridSpan w:val="2"/>
            <w:tcBorders>
              <w:top w:val="single" w:sz="4" w:space="0" w:color="auto"/>
              <w:left w:val="single" w:sz="4" w:space="0" w:color="auto"/>
              <w:bottom w:val="single" w:sz="4" w:space="0" w:color="auto"/>
              <w:right w:val="single" w:sz="4" w:space="0" w:color="auto"/>
            </w:tcBorders>
            <w:hideMark/>
          </w:tcPr>
          <w:p w14:paraId="548D65B4"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Entreprise en $</w:t>
            </w:r>
          </w:p>
        </w:tc>
        <w:tc>
          <w:tcPr>
            <w:tcW w:w="356" w:type="pct"/>
            <w:gridSpan w:val="2"/>
            <w:tcBorders>
              <w:top w:val="single" w:sz="4" w:space="0" w:color="auto"/>
              <w:left w:val="single" w:sz="4" w:space="0" w:color="auto"/>
              <w:bottom w:val="single" w:sz="4" w:space="0" w:color="auto"/>
              <w:right w:val="single" w:sz="4" w:space="0" w:color="auto"/>
            </w:tcBorders>
            <w:hideMark/>
          </w:tcPr>
          <w:p w14:paraId="4F839743"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Projet en $</w:t>
            </w:r>
          </w:p>
        </w:tc>
        <w:tc>
          <w:tcPr>
            <w:tcW w:w="440" w:type="pct"/>
            <w:tcBorders>
              <w:top w:val="single" w:sz="4" w:space="0" w:color="auto"/>
              <w:left w:val="single" w:sz="4" w:space="0" w:color="auto"/>
              <w:bottom w:val="single" w:sz="4" w:space="0" w:color="auto"/>
              <w:right w:val="single" w:sz="4" w:space="0" w:color="auto"/>
            </w:tcBorders>
            <w:hideMark/>
          </w:tcPr>
          <w:p w14:paraId="064EBC43" w14:textId="77777777" w:rsidR="00C27910" w:rsidRDefault="00C27910">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Coût total</w:t>
            </w:r>
          </w:p>
        </w:tc>
        <w:tc>
          <w:tcPr>
            <w:tcW w:w="1148" w:type="pct"/>
            <w:gridSpan w:val="2"/>
            <w:tcBorders>
              <w:top w:val="single" w:sz="4" w:space="0" w:color="auto"/>
              <w:left w:val="single" w:sz="4" w:space="0" w:color="auto"/>
              <w:bottom w:val="single" w:sz="4" w:space="0" w:color="auto"/>
              <w:right w:val="single" w:sz="4" w:space="0" w:color="auto"/>
            </w:tcBorders>
            <w:hideMark/>
          </w:tcPr>
          <w:p w14:paraId="1598FE6E"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Calendrier de mise en œuvre</w:t>
            </w:r>
          </w:p>
        </w:tc>
      </w:tr>
      <w:tr w:rsidR="00C27910" w:rsidRPr="00420C1B" w14:paraId="74A12BD3" w14:textId="77777777" w:rsidTr="00215867">
        <w:trPr>
          <w:trHeight w:val="185"/>
          <w:jc w:val="center"/>
        </w:trPr>
        <w:tc>
          <w:tcPr>
            <w:tcW w:w="812" w:type="pct"/>
            <w:tcBorders>
              <w:top w:val="single" w:sz="4" w:space="0" w:color="auto"/>
              <w:left w:val="single" w:sz="4" w:space="0" w:color="auto"/>
              <w:bottom w:val="single" w:sz="4" w:space="0" w:color="auto"/>
              <w:right w:val="single" w:sz="4" w:space="0" w:color="auto"/>
            </w:tcBorders>
            <w:hideMark/>
          </w:tcPr>
          <w:p w14:paraId="355CAF97" w14:textId="77777777" w:rsidR="00C27910" w:rsidRPr="00420C1B" w:rsidRDefault="00C27910">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Arrosage des pistes</w:t>
            </w:r>
          </w:p>
        </w:tc>
        <w:tc>
          <w:tcPr>
            <w:tcW w:w="439" w:type="pct"/>
            <w:tcBorders>
              <w:top w:val="single" w:sz="4" w:space="0" w:color="auto"/>
              <w:left w:val="single" w:sz="4" w:space="0" w:color="auto"/>
              <w:bottom w:val="single" w:sz="4" w:space="0" w:color="auto"/>
              <w:right w:val="single" w:sz="4" w:space="0" w:color="auto"/>
            </w:tcBorders>
            <w:hideMark/>
          </w:tcPr>
          <w:p w14:paraId="3FC915DD"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forfait </w:t>
            </w:r>
          </w:p>
        </w:tc>
        <w:tc>
          <w:tcPr>
            <w:tcW w:w="506" w:type="pct"/>
            <w:gridSpan w:val="2"/>
            <w:tcBorders>
              <w:top w:val="single" w:sz="4" w:space="0" w:color="auto"/>
              <w:left w:val="single" w:sz="4" w:space="0" w:color="auto"/>
              <w:bottom w:val="single" w:sz="4" w:space="0" w:color="auto"/>
              <w:right w:val="single" w:sz="4" w:space="0" w:color="auto"/>
            </w:tcBorders>
            <w:hideMark/>
          </w:tcPr>
          <w:p w14:paraId="2058893E"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Ff</w:t>
            </w:r>
          </w:p>
        </w:tc>
        <w:tc>
          <w:tcPr>
            <w:tcW w:w="720" w:type="pct"/>
            <w:gridSpan w:val="3"/>
            <w:tcBorders>
              <w:top w:val="single" w:sz="4" w:space="0" w:color="auto"/>
              <w:left w:val="single" w:sz="4" w:space="0" w:color="auto"/>
              <w:bottom w:val="single" w:sz="4" w:space="0" w:color="auto"/>
              <w:right w:val="single" w:sz="4" w:space="0" w:color="auto"/>
            </w:tcBorders>
            <w:hideMark/>
          </w:tcPr>
          <w:p w14:paraId="7F95CDB6"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w:t>
            </w:r>
          </w:p>
        </w:tc>
        <w:tc>
          <w:tcPr>
            <w:tcW w:w="579" w:type="pct"/>
            <w:gridSpan w:val="2"/>
            <w:tcBorders>
              <w:top w:val="single" w:sz="4" w:space="0" w:color="auto"/>
              <w:left w:val="single" w:sz="4" w:space="0" w:color="auto"/>
              <w:bottom w:val="single" w:sz="4" w:space="0" w:color="auto"/>
              <w:right w:val="single" w:sz="4" w:space="0" w:color="auto"/>
            </w:tcBorders>
            <w:hideMark/>
          </w:tcPr>
          <w:p w14:paraId="3101B62E" w14:textId="77777777" w:rsidR="00C27910" w:rsidRPr="00420C1B" w:rsidRDefault="00C27910">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3 500</w:t>
            </w:r>
          </w:p>
        </w:tc>
        <w:tc>
          <w:tcPr>
            <w:tcW w:w="356" w:type="pct"/>
            <w:gridSpan w:val="2"/>
            <w:tcBorders>
              <w:top w:val="single" w:sz="4" w:space="0" w:color="auto"/>
              <w:left w:val="single" w:sz="4" w:space="0" w:color="auto"/>
              <w:bottom w:val="single" w:sz="4" w:space="0" w:color="auto"/>
              <w:right w:val="single" w:sz="4" w:space="0" w:color="auto"/>
            </w:tcBorders>
          </w:tcPr>
          <w:p w14:paraId="29B6CE51"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p>
        </w:tc>
        <w:tc>
          <w:tcPr>
            <w:tcW w:w="440" w:type="pct"/>
            <w:tcBorders>
              <w:top w:val="single" w:sz="4" w:space="0" w:color="auto"/>
              <w:left w:val="single" w:sz="4" w:space="0" w:color="auto"/>
              <w:bottom w:val="single" w:sz="4" w:space="0" w:color="auto"/>
              <w:right w:val="single" w:sz="4" w:space="0" w:color="auto"/>
            </w:tcBorders>
            <w:hideMark/>
          </w:tcPr>
          <w:p w14:paraId="6515B777"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3 500</w:t>
            </w:r>
          </w:p>
        </w:tc>
        <w:tc>
          <w:tcPr>
            <w:tcW w:w="1148" w:type="pct"/>
            <w:gridSpan w:val="2"/>
            <w:tcBorders>
              <w:top w:val="single" w:sz="4" w:space="0" w:color="auto"/>
              <w:left w:val="single" w:sz="4" w:space="0" w:color="auto"/>
              <w:bottom w:val="single" w:sz="4" w:space="0" w:color="auto"/>
              <w:right w:val="single" w:sz="4" w:space="0" w:color="auto"/>
            </w:tcBorders>
            <w:hideMark/>
          </w:tcPr>
          <w:p w14:paraId="0D2C395C" w14:textId="77777777" w:rsidR="00C27910" w:rsidRPr="00420C1B" w:rsidRDefault="00C27910">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Avant et Pendant les travaux</w:t>
            </w:r>
          </w:p>
        </w:tc>
      </w:tr>
    </w:tbl>
    <w:p w14:paraId="116D2864" w14:textId="77777777" w:rsidR="00C27910" w:rsidRDefault="00C27910" w:rsidP="00ED17F3">
      <w:pPr>
        <w:spacing w:after="0" w:line="240" w:lineRule="auto"/>
        <w:rPr>
          <w:rFonts w:ascii="Times New Roman" w:hAnsi="Times New Roman"/>
        </w:rPr>
      </w:pPr>
    </w:p>
    <w:p w14:paraId="1ADC8C6B" w14:textId="1893DAAD" w:rsidR="00C27910" w:rsidRDefault="00C27910" w:rsidP="00C27910">
      <w:pPr>
        <w:keepNext/>
        <w:spacing w:after="120" w:line="240" w:lineRule="auto"/>
        <w:jc w:val="center"/>
        <w:rPr>
          <w:rFonts w:ascii="Times New Roman" w:hAnsi="Times New Roman"/>
          <w:iCs/>
          <w:sz w:val="24"/>
          <w:szCs w:val="24"/>
        </w:rPr>
      </w:pPr>
      <w:bookmarkStart w:id="603" w:name="_Toc93050289"/>
      <w:r>
        <w:rPr>
          <w:rFonts w:ascii="Times New Roman" w:hAnsi="Times New Roman"/>
          <w:iCs/>
          <w:sz w:val="24"/>
          <w:szCs w:val="24"/>
        </w:rPr>
        <w:t xml:space="preserve">Tableau </w:t>
      </w:r>
      <w:r>
        <w:rPr>
          <w:rFonts w:ascii="Times New Roman" w:hAnsi="Times New Roman"/>
          <w:iCs/>
          <w:sz w:val="24"/>
          <w:szCs w:val="24"/>
        </w:rPr>
        <w:fldChar w:fldCharType="begin"/>
      </w:r>
      <w:r>
        <w:rPr>
          <w:rFonts w:ascii="Times New Roman" w:hAnsi="Times New Roman"/>
          <w:iCs/>
          <w:sz w:val="24"/>
          <w:szCs w:val="24"/>
        </w:rPr>
        <w:instrText xml:space="preserve"> SEQ Tableau \* ARABIC </w:instrText>
      </w:r>
      <w:r>
        <w:rPr>
          <w:rFonts w:ascii="Times New Roman" w:hAnsi="Times New Roman"/>
          <w:iCs/>
          <w:sz w:val="24"/>
          <w:szCs w:val="24"/>
        </w:rPr>
        <w:fldChar w:fldCharType="separate"/>
      </w:r>
      <w:r w:rsidR="00BD6279">
        <w:rPr>
          <w:rFonts w:ascii="Times New Roman" w:hAnsi="Times New Roman"/>
          <w:iCs/>
          <w:noProof/>
          <w:sz w:val="24"/>
          <w:szCs w:val="24"/>
        </w:rPr>
        <w:t>27</w:t>
      </w:r>
      <w:r>
        <w:rPr>
          <w:rFonts w:ascii="Times New Roman" w:hAnsi="Times New Roman"/>
          <w:iCs/>
          <w:noProof/>
          <w:sz w:val="24"/>
          <w:szCs w:val="24"/>
        </w:rPr>
        <w:fldChar w:fldCharType="end"/>
      </w:r>
      <w:r>
        <w:rPr>
          <w:rFonts w:ascii="Times New Roman" w:hAnsi="Times New Roman"/>
          <w:iCs/>
          <w:sz w:val="24"/>
          <w:szCs w:val="24"/>
        </w:rPr>
        <w:t xml:space="preserve"> : Fiche de déclaration d’Impact – </w:t>
      </w:r>
      <w:r>
        <w:rPr>
          <w:rFonts w:ascii="Times New Roman" w:hAnsi="Times New Roman"/>
          <w:b/>
          <w:iCs/>
          <w:sz w:val="24"/>
          <w:szCs w:val="24"/>
        </w:rPr>
        <w:t xml:space="preserve">Code </w:t>
      </w:r>
      <w:r w:rsidR="00BD6279">
        <w:rPr>
          <w:rFonts w:ascii="Times New Roman" w:hAnsi="Times New Roman"/>
          <w:b/>
          <w:iCs/>
          <w:sz w:val="24"/>
          <w:szCs w:val="24"/>
        </w:rPr>
        <w:t>05</w:t>
      </w:r>
      <w:bookmarkEnd w:id="603"/>
    </w:p>
    <w:tbl>
      <w:tblPr>
        <w:tblW w:w="5100" w:type="pct"/>
        <w:jc w:val="center"/>
        <w:tblLook w:val="04A0" w:firstRow="1" w:lastRow="0" w:firstColumn="1" w:lastColumn="0" w:noHBand="0" w:noVBand="1"/>
      </w:tblPr>
      <w:tblGrid>
        <w:gridCol w:w="1650"/>
        <w:gridCol w:w="841"/>
        <w:gridCol w:w="783"/>
        <w:gridCol w:w="201"/>
        <w:gridCol w:w="964"/>
        <w:gridCol w:w="362"/>
        <w:gridCol w:w="38"/>
        <w:gridCol w:w="511"/>
        <w:gridCol w:w="631"/>
        <w:gridCol w:w="546"/>
        <w:gridCol w:w="283"/>
        <w:gridCol w:w="957"/>
        <w:gridCol w:w="2054"/>
        <w:gridCol w:w="340"/>
      </w:tblGrid>
      <w:tr w:rsidR="00C27910" w:rsidRPr="00420C1B" w14:paraId="5AD44111" w14:textId="77777777" w:rsidTr="00C27910">
        <w:trPr>
          <w:trHeight w:val="250"/>
          <w:tblHeader/>
          <w:jc w:val="center"/>
        </w:trPr>
        <w:tc>
          <w:tcPr>
            <w:tcW w:w="57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1A039C9F" w14:textId="77777777" w:rsidR="00C27910" w:rsidRDefault="00C27910">
            <w:pPr>
              <w:spacing w:after="0" w:line="240" w:lineRule="auto"/>
              <w:jc w:val="center"/>
              <w:rPr>
                <w:rFonts w:ascii="Times New Roman" w:hAnsi="Times New Roman"/>
                <w:b/>
                <w:sz w:val="20"/>
                <w:szCs w:val="20"/>
              </w:rPr>
            </w:pPr>
            <w:r>
              <w:rPr>
                <w:rFonts w:ascii="Times New Roman" w:hAnsi="Times New Roman"/>
                <w:b/>
                <w:sz w:val="20"/>
                <w:szCs w:val="20"/>
              </w:rPr>
              <w:t>COMPOSANTE</w:t>
            </w:r>
          </w:p>
        </w:tc>
        <w:tc>
          <w:tcPr>
            <w:tcW w:w="1730"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179C38A3" w14:textId="77777777" w:rsidR="00C27910" w:rsidRDefault="00C27910">
            <w:pPr>
              <w:spacing w:after="0" w:line="240" w:lineRule="auto"/>
              <w:rPr>
                <w:rFonts w:ascii="Times New Roman" w:hAnsi="Times New Roman"/>
                <w:b/>
                <w:sz w:val="20"/>
                <w:szCs w:val="20"/>
              </w:rPr>
            </w:pPr>
            <w:r>
              <w:rPr>
                <w:rFonts w:ascii="Times New Roman" w:hAnsi="Times New Roman"/>
                <w:sz w:val="20"/>
                <w:szCs w:val="20"/>
              </w:rPr>
              <w:t>Végétation</w:t>
            </w:r>
          </w:p>
        </w:tc>
        <w:tc>
          <w:tcPr>
            <w:tcW w:w="948" w:type="pct"/>
            <w:gridSpan w:val="3"/>
            <w:tcBorders>
              <w:top w:val="single" w:sz="4" w:space="0" w:color="auto"/>
              <w:left w:val="single" w:sz="4" w:space="0" w:color="auto"/>
              <w:bottom w:val="single" w:sz="4" w:space="0" w:color="auto"/>
              <w:right w:val="single" w:sz="4" w:space="0" w:color="auto"/>
            </w:tcBorders>
            <w:shd w:val="clear" w:color="auto" w:fill="92D050"/>
            <w:hideMark/>
          </w:tcPr>
          <w:p w14:paraId="5F357385"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PHASE</w:t>
            </w:r>
          </w:p>
        </w:tc>
        <w:tc>
          <w:tcPr>
            <w:tcW w:w="511"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209D98E6"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Préparatoire</w:t>
            </w:r>
          </w:p>
        </w:tc>
        <w:tc>
          <w:tcPr>
            <w:tcW w:w="1239"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58FF7264"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Photos de l’impact</w:t>
            </w:r>
          </w:p>
        </w:tc>
      </w:tr>
      <w:tr w:rsidR="00C27910" w:rsidRPr="00420C1B" w14:paraId="400013C4" w14:textId="77777777" w:rsidTr="00C27910">
        <w:trPr>
          <w:trHeight w:val="50"/>
          <w:jc w:val="center"/>
        </w:trPr>
        <w:tc>
          <w:tcPr>
            <w:tcW w:w="572" w:type="pct"/>
            <w:vMerge w:val="restart"/>
            <w:tcBorders>
              <w:top w:val="single" w:sz="4" w:space="0" w:color="auto"/>
              <w:left w:val="single" w:sz="4" w:space="0" w:color="auto"/>
              <w:bottom w:val="single" w:sz="4" w:space="0" w:color="auto"/>
              <w:right w:val="single" w:sz="4" w:space="0" w:color="auto"/>
            </w:tcBorders>
            <w:hideMark/>
          </w:tcPr>
          <w:p w14:paraId="1BD101BE"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Code 01</w:t>
            </w:r>
          </w:p>
        </w:tc>
        <w:tc>
          <w:tcPr>
            <w:tcW w:w="3189" w:type="pct"/>
            <w:gridSpan w:val="11"/>
            <w:tcBorders>
              <w:top w:val="single" w:sz="4" w:space="0" w:color="auto"/>
              <w:left w:val="single" w:sz="4" w:space="0" w:color="auto"/>
              <w:bottom w:val="single" w:sz="4" w:space="0" w:color="auto"/>
              <w:right w:val="single" w:sz="4" w:space="0" w:color="auto"/>
            </w:tcBorders>
            <w:hideMark/>
          </w:tcPr>
          <w:p w14:paraId="3C3CA453"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Source d’impact : </w:t>
            </w:r>
            <w:r>
              <w:rPr>
                <w:rFonts w:ascii="Times New Roman" w:hAnsi="Times New Roman"/>
                <w:sz w:val="20"/>
                <w:szCs w:val="20"/>
              </w:rPr>
              <w:t>Construction et exploitation de base vie</w:t>
            </w:r>
          </w:p>
          <w:p w14:paraId="7D78D6DF"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                               Aménagement des voies d’accès au site </w:t>
            </w:r>
          </w:p>
        </w:tc>
        <w:tc>
          <w:tcPr>
            <w:tcW w:w="1239" w:type="pct"/>
            <w:gridSpan w:val="2"/>
            <w:tcBorders>
              <w:top w:val="single" w:sz="4" w:space="0" w:color="auto"/>
              <w:left w:val="single" w:sz="4" w:space="0" w:color="auto"/>
              <w:bottom w:val="single" w:sz="4" w:space="0" w:color="auto"/>
              <w:right w:val="single" w:sz="4" w:space="0" w:color="auto"/>
            </w:tcBorders>
          </w:tcPr>
          <w:p w14:paraId="1FD8173C" w14:textId="77777777" w:rsidR="00C27910" w:rsidRDefault="00C27910">
            <w:pPr>
              <w:spacing w:after="0" w:line="240" w:lineRule="auto"/>
              <w:rPr>
                <w:rFonts w:ascii="Times New Roman" w:hAnsi="Times New Roman"/>
                <w:sz w:val="20"/>
                <w:szCs w:val="20"/>
              </w:rPr>
            </w:pPr>
          </w:p>
        </w:tc>
      </w:tr>
      <w:tr w:rsidR="00C27910" w:rsidRPr="00420C1B" w14:paraId="4F457D3E" w14:textId="77777777" w:rsidTr="00C27910">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31E2B" w14:textId="77777777" w:rsidR="00C27910" w:rsidRDefault="00C27910">
            <w:pPr>
              <w:spacing w:after="0" w:line="240" w:lineRule="auto"/>
              <w:rPr>
                <w:rFonts w:ascii="Times New Roman" w:hAnsi="Times New Roman"/>
                <w:b/>
                <w:sz w:val="20"/>
                <w:szCs w:val="20"/>
              </w:rPr>
            </w:pPr>
          </w:p>
        </w:tc>
        <w:tc>
          <w:tcPr>
            <w:tcW w:w="4428" w:type="pct"/>
            <w:gridSpan w:val="13"/>
            <w:tcBorders>
              <w:top w:val="single" w:sz="4" w:space="0" w:color="auto"/>
              <w:left w:val="single" w:sz="4" w:space="0" w:color="auto"/>
              <w:bottom w:val="single" w:sz="4" w:space="0" w:color="auto"/>
              <w:right w:val="single" w:sz="4" w:space="0" w:color="auto"/>
            </w:tcBorders>
            <w:hideMark/>
          </w:tcPr>
          <w:p w14:paraId="38A93AE7"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 Intitulé de l’impact</w:t>
            </w:r>
            <w:r>
              <w:rPr>
                <w:rFonts w:ascii="Times New Roman" w:hAnsi="Times New Roman"/>
                <w:sz w:val="20"/>
                <w:szCs w:val="20"/>
              </w:rPr>
              <w:t> : Pollution de sols</w:t>
            </w:r>
          </w:p>
        </w:tc>
      </w:tr>
      <w:tr w:rsidR="00C27910" w:rsidRPr="00420C1B" w14:paraId="48CBC265" w14:textId="77777777" w:rsidTr="00C27910">
        <w:trPr>
          <w:trHeight w:val="250"/>
          <w:jc w:val="center"/>
        </w:trPr>
        <w:tc>
          <w:tcPr>
            <w:tcW w:w="572" w:type="pct"/>
            <w:vMerge w:val="restart"/>
            <w:tcBorders>
              <w:top w:val="single" w:sz="4" w:space="0" w:color="auto"/>
              <w:left w:val="single" w:sz="4" w:space="0" w:color="auto"/>
              <w:bottom w:val="single" w:sz="4" w:space="0" w:color="auto"/>
              <w:right w:val="single" w:sz="4" w:space="0" w:color="auto"/>
            </w:tcBorders>
            <w:hideMark/>
          </w:tcPr>
          <w:p w14:paraId="37E29EBF" w14:textId="77777777" w:rsidR="00C27910" w:rsidRDefault="00C27910">
            <w:pPr>
              <w:spacing w:after="0" w:line="240" w:lineRule="auto"/>
              <w:rPr>
                <w:rFonts w:ascii="Times New Roman" w:eastAsia="Times New Roman" w:hAnsi="Times New Roman"/>
                <w:sz w:val="20"/>
                <w:szCs w:val="20"/>
                <w:lang w:eastAsia="fr-FR"/>
              </w:rPr>
            </w:pPr>
            <w:r>
              <w:rPr>
                <w:rFonts w:ascii="Times New Roman" w:hAnsi="Times New Roman"/>
                <w:b/>
                <w:sz w:val="20"/>
                <w:szCs w:val="20"/>
              </w:rPr>
              <w:t>Localisation</w:t>
            </w:r>
          </w:p>
        </w:tc>
        <w:tc>
          <w:tcPr>
            <w:tcW w:w="2038" w:type="pct"/>
            <w:gridSpan w:val="7"/>
            <w:vMerge w:val="restart"/>
            <w:tcBorders>
              <w:top w:val="single" w:sz="4" w:space="0" w:color="auto"/>
              <w:left w:val="single" w:sz="4" w:space="0" w:color="auto"/>
              <w:bottom w:val="single" w:sz="4" w:space="0" w:color="auto"/>
              <w:right w:val="single" w:sz="4" w:space="0" w:color="auto"/>
            </w:tcBorders>
            <w:hideMark/>
          </w:tcPr>
          <w:p w14:paraId="0BF0DC75"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Zone d’évolution des travaux (communes concernés par les travaux) </w:t>
            </w:r>
          </w:p>
        </w:tc>
        <w:tc>
          <w:tcPr>
            <w:tcW w:w="640" w:type="pct"/>
            <w:gridSpan w:val="2"/>
            <w:tcBorders>
              <w:top w:val="single" w:sz="4" w:space="0" w:color="auto"/>
              <w:left w:val="single" w:sz="4" w:space="0" w:color="auto"/>
              <w:bottom w:val="single" w:sz="4" w:space="0" w:color="auto"/>
              <w:right w:val="single" w:sz="4" w:space="0" w:color="auto"/>
            </w:tcBorders>
            <w:hideMark/>
          </w:tcPr>
          <w:p w14:paraId="32462A87"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X</w:t>
            </w:r>
          </w:p>
        </w:tc>
        <w:tc>
          <w:tcPr>
            <w:tcW w:w="511" w:type="pct"/>
            <w:gridSpan w:val="2"/>
            <w:tcBorders>
              <w:top w:val="single" w:sz="4" w:space="0" w:color="auto"/>
              <w:left w:val="single" w:sz="4" w:space="0" w:color="auto"/>
              <w:bottom w:val="single" w:sz="4" w:space="0" w:color="auto"/>
              <w:right w:val="single" w:sz="4" w:space="0" w:color="auto"/>
            </w:tcBorders>
            <w:hideMark/>
          </w:tcPr>
          <w:p w14:paraId="48DA5575"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Y</w:t>
            </w:r>
          </w:p>
        </w:tc>
        <w:tc>
          <w:tcPr>
            <w:tcW w:w="1239" w:type="pct"/>
            <w:gridSpan w:val="2"/>
            <w:vMerge w:val="restart"/>
            <w:tcBorders>
              <w:top w:val="single" w:sz="4" w:space="0" w:color="auto"/>
              <w:left w:val="single" w:sz="4" w:space="0" w:color="auto"/>
              <w:bottom w:val="single" w:sz="4" w:space="0" w:color="auto"/>
              <w:right w:val="single" w:sz="4" w:space="0" w:color="auto"/>
            </w:tcBorders>
            <w:hideMark/>
          </w:tcPr>
          <w:p w14:paraId="7B0D503A" w14:textId="77777777" w:rsidR="00C27910" w:rsidRPr="00420C1B" w:rsidRDefault="00C27910">
            <w:pPr>
              <w:spacing w:after="0" w:line="276" w:lineRule="auto"/>
            </w:pPr>
          </w:p>
        </w:tc>
      </w:tr>
      <w:tr w:rsidR="00C27910" w:rsidRPr="00420C1B" w14:paraId="2A9D744A" w14:textId="77777777" w:rsidTr="00C27910">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8A29"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72DA2F31" w14:textId="77777777" w:rsidR="00C27910" w:rsidRDefault="00C27910">
            <w:pPr>
              <w:spacing w:after="0" w:line="240" w:lineRule="auto"/>
              <w:rPr>
                <w:rFonts w:ascii="Times New Roman" w:hAnsi="Times New Roman"/>
                <w:sz w:val="20"/>
                <w:szCs w:val="20"/>
              </w:rPr>
            </w:pPr>
          </w:p>
        </w:tc>
        <w:tc>
          <w:tcPr>
            <w:tcW w:w="640" w:type="pct"/>
            <w:gridSpan w:val="2"/>
            <w:tcBorders>
              <w:top w:val="single" w:sz="4" w:space="0" w:color="auto"/>
              <w:left w:val="single" w:sz="4" w:space="0" w:color="auto"/>
              <w:bottom w:val="single" w:sz="4" w:space="0" w:color="auto"/>
              <w:right w:val="single" w:sz="4" w:space="0" w:color="auto"/>
            </w:tcBorders>
            <w:hideMark/>
          </w:tcPr>
          <w:p w14:paraId="37516502"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511" w:type="pct"/>
            <w:gridSpan w:val="2"/>
            <w:tcBorders>
              <w:top w:val="single" w:sz="4" w:space="0" w:color="auto"/>
              <w:left w:val="nil"/>
              <w:bottom w:val="single" w:sz="4" w:space="0" w:color="auto"/>
              <w:right w:val="single" w:sz="4" w:space="0" w:color="auto"/>
            </w:tcBorders>
            <w:hideMark/>
          </w:tcPr>
          <w:p w14:paraId="489CE175"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5821647" w14:textId="77777777" w:rsidR="00C27910" w:rsidRPr="00420C1B" w:rsidRDefault="00C27910">
            <w:pPr>
              <w:spacing w:after="0" w:line="240" w:lineRule="auto"/>
            </w:pPr>
          </w:p>
        </w:tc>
      </w:tr>
      <w:tr w:rsidR="00C27910" w:rsidRPr="00420C1B" w14:paraId="022C7C23" w14:textId="77777777" w:rsidTr="00C27910">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831432"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0AAAFC9" w14:textId="77777777" w:rsidR="00C27910" w:rsidRDefault="00C27910">
            <w:pPr>
              <w:spacing w:after="0" w:line="240" w:lineRule="auto"/>
              <w:rPr>
                <w:rFonts w:ascii="Times New Roman" w:hAnsi="Times New Roman"/>
                <w:sz w:val="20"/>
                <w:szCs w:val="20"/>
              </w:rPr>
            </w:pPr>
          </w:p>
        </w:tc>
        <w:tc>
          <w:tcPr>
            <w:tcW w:w="640" w:type="pct"/>
            <w:gridSpan w:val="2"/>
            <w:tcBorders>
              <w:top w:val="single" w:sz="4" w:space="0" w:color="auto"/>
              <w:left w:val="single" w:sz="4" w:space="0" w:color="auto"/>
              <w:bottom w:val="nil"/>
              <w:right w:val="single" w:sz="4" w:space="0" w:color="auto"/>
            </w:tcBorders>
            <w:hideMark/>
          </w:tcPr>
          <w:p w14:paraId="6F2681F7"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511" w:type="pct"/>
            <w:gridSpan w:val="2"/>
            <w:tcBorders>
              <w:top w:val="single" w:sz="4" w:space="0" w:color="auto"/>
              <w:left w:val="single" w:sz="4" w:space="0" w:color="auto"/>
              <w:bottom w:val="nil"/>
              <w:right w:val="single" w:sz="4" w:space="0" w:color="auto"/>
            </w:tcBorders>
            <w:hideMark/>
          </w:tcPr>
          <w:p w14:paraId="3354D9AA"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92F2F0A" w14:textId="77777777" w:rsidR="00C27910" w:rsidRPr="00420C1B" w:rsidRDefault="00C27910">
            <w:pPr>
              <w:spacing w:after="0" w:line="240" w:lineRule="auto"/>
            </w:pPr>
          </w:p>
        </w:tc>
      </w:tr>
      <w:tr w:rsidR="00C27910" w:rsidRPr="00420C1B" w14:paraId="7869C261" w14:textId="77777777" w:rsidTr="00C27910">
        <w:trPr>
          <w:trHeight w:val="242"/>
          <w:jc w:val="center"/>
        </w:trPr>
        <w:tc>
          <w:tcPr>
            <w:tcW w:w="572" w:type="pct"/>
            <w:vMerge w:val="restart"/>
            <w:tcBorders>
              <w:top w:val="single" w:sz="4" w:space="0" w:color="auto"/>
              <w:left w:val="single" w:sz="4" w:space="0" w:color="auto"/>
              <w:bottom w:val="single" w:sz="4" w:space="0" w:color="auto"/>
              <w:right w:val="single" w:sz="4" w:space="0" w:color="auto"/>
            </w:tcBorders>
          </w:tcPr>
          <w:p w14:paraId="7FA2F499" w14:textId="77777777" w:rsidR="00C27910" w:rsidRDefault="00C27910">
            <w:pPr>
              <w:spacing w:after="0" w:line="240" w:lineRule="auto"/>
              <w:rPr>
                <w:rFonts w:ascii="Times New Roman" w:hAnsi="Times New Roman"/>
                <w:b/>
                <w:sz w:val="20"/>
                <w:szCs w:val="20"/>
              </w:rPr>
            </w:pPr>
          </w:p>
          <w:p w14:paraId="298E8008"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Analyse de l’impact</w:t>
            </w:r>
          </w:p>
        </w:tc>
        <w:tc>
          <w:tcPr>
            <w:tcW w:w="858" w:type="pct"/>
            <w:gridSpan w:val="2"/>
            <w:vMerge w:val="restart"/>
            <w:tcBorders>
              <w:top w:val="single" w:sz="4" w:space="0" w:color="auto"/>
              <w:left w:val="single" w:sz="4" w:space="0" w:color="auto"/>
              <w:bottom w:val="single" w:sz="4" w:space="0" w:color="auto"/>
              <w:right w:val="single" w:sz="4" w:space="0" w:color="auto"/>
            </w:tcBorders>
            <w:hideMark/>
          </w:tcPr>
          <w:p w14:paraId="5AD27345" w14:textId="77777777" w:rsidR="00C27910" w:rsidRDefault="00C27910">
            <w:pPr>
              <w:autoSpaceDE w:val="0"/>
              <w:autoSpaceDN w:val="0"/>
              <w:adjustRightInd w:val="0"/>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Nature :</w:t>
            </w:r>
          </w:p>
          <w:p w14:paraId="569CF907" w14:textId="77777777" w:rsidR="00C27910" w:rsidRDefault="00C27910">
            <w:pPr>
              <w:autoSpaceDE w:val="0"/>
              <w:autoSpaceDN w:val="0"/>
              <w:adjustRightInd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5F0A6F03"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Intensité</w:t>
            </w:r>
          </w:p>
        </w:tc>
        <w:tc>
          <w:tcPr>
            <w:tcW w:w="1181" w:type="pct"/>
            <w:gridSpan w:val="5"/>
            <w:tcBorders>
              <w:top w:val="single" w:sz="4" w:space="0" w:color="auto"/>
              <w:left w:val="single" w:sz="4" w:space="0" w:color="auto"/>
              <w:bottom w:val="single" w:sz="4" w:space="0" w:color="auto"/>
              <w:right w:val="single" w:sz="4" w:space="0" w:color="auto"/>
            </w:tcBorders>
            <w:hideMark/>
          </w:tcPr>
          <w:p w14:paraId="2E51AE64"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Etendue</w:t>
            </w:r>
          </w:p>
        </w:tc>
        <w:tc>
          <w:tcPr>
            <w:tcW w:w="511" w:type="pct"/>
            <w:gridSpan w:val="2"/>
            <w:tcBorders>
              <w:top w:val="single" w:sz="4" w:space="0" w:color="auto"/>
              <w:left w:val="single" w:sz="4" w:space="0" w:color="auto"/>
              <w:bottom w:val="single" w:sz="4" w:space="0" w:color="auto"/>
              <w:right w:val="single" w:sz="4" w:space="0" w:color="auto"/>
            </w:tcBorders>
            <w:hideMark/>
          </w:tcPr>
          <w:p w14:paraId="0E9C062D"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Durée</w:t>
            </w:r>
          </w:p>
        </w:tc>
        <w:tc>
          <w:tcPr>
            <w:tcW w:w="1239" w:type="pct"/>
            <w:gridSpan w:val="2"/>
            <w:tcBorders>
              <w:top w:val="single" w:sz="4" w:space="0" w:color="auto"/>
              <w:left w:val="single" w:sz="4" w:space="0" w:color="auto"/>
              <w:bottom w:val="single" w:sz="4" w:space="0" w:color="auto"/>
              <w:right w:val="single" w:sz="4" w:space="0" w:color="auto"/>
            </w:tcBorders>
            <w:hideMark/>
          </w:tcPr>
          <w:p w14:paraId="12A5A9A4" w14:textId="77777777" w:rsidR="00C27910" w:rsidRDefault="00C27910">
            <w:pPr>
              <w:spacing w:after="0" w:line="240" w:lineRule="auto"/>
              <w:rPr>
                <w:rFonts w:ascii="Times New Roman" w:hAnsi="Times New Roman"/>
                <w:sz w:val="20"/>
                <w:szCs w:val="20"/>
              </w:rPr>
            </w:pPr>
            <w:r>
              <w:rPr>
                <w:rFonts w:ascii="Times New Roman" w:eastAsia="Times New Roman" w:hAnsi="Times New Roman"/>
                <w:b/>
                <w:bCs/>
                <w:i/>
                <w:sz w:val="20"/>
                <w:szCs w:val="20"/>
              </w:rPr>
              <w:t>Importance</w:t>
            </w:r>
          </w:p>
        </w:tc>
      </w:tr>
      <w:tr w:rsidR="00C27910" w:rsidRPr="00420C1B" w14:paraId="7BF2FEA4"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30039" w14:textId="77777777" w:rsidR="00C27910" w:rsidRDefault="00C27910">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3C3D48"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0D07E44D"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Faible</w:t>
            </w:r>
          </w:p>
        </w:tc>
        <w:tc>
          <w:tcPr>
            <w:tcW w:w="1181" w:type="pct"/>
            <w:gridSpan w:val="5"/>
            <w:tcBorders>
              <w:top w:val="single" w:sz="4" w:space="0" w:color="auto"/>
              <w:left w:val="single" w:sz="4" w:space="0" w:color="auto"/>
              <w:bottom w:val="single" w:sz="4" w:space="0" w:color="auto"/>
              <w:right w:val="single" w:sz="4" w:space="0" w:color="auto"/>
            </w:tcBorders>
            <w:vAlign w:val="center"/>
            <w:hideMark/>
          </w:tcPr>
          <w:p w14:paraId="02CE1C18"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Ponctuelle</w:t>
            </w:r>
          </w:p>
        </w:tc>
        <w:tc>
          <w:tcPr>
            <w:tcW w:w="511" w:type="pct"/>
            <w:gridSpan w:val="2"/>
            <w:tcBorders>
              <w:top w:val="single" w:sz="4" w:space="0" w:color="auto"/>
              <w:left w:val="single" w:sz="4" w:space="0" w:color="auto"/>
              <w:bottom w:val="single" w:sz="4" w:space="0" w:color="auto"/>
              <w:right w:val="single" w:sz="4" w:space="0" w:color="auto"/>
            </w:tcBorders>
            <w:vAlign w:val="center"/>
            <w:hideMark/>
          </w:tcPr>
          <w:p w14:paraId="38186816"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Faible</w:t>
            </w:r>
          </w:p>
        </w:tc>
        <w:tc>
          <w:tcPr>
            <w:tcW w:w="1239" w:type="pct"/>
            <w:gridSpan w:val="2"/>
            <w:tcBorders>
              <w:top w:val="single" w:sz="4" w:space="0" w:color="auto"/>
              <w:left w:val="single" w:sz="4" w:space="0" w:color="auto"/>
              <w:bottom w:val="single" w:sz="4" w:space="0" w:color="auto"/>
              <w:right w:val="single" w:sz="4" w:space="0" w:color="auto"/>
            </w:tcBorders>
            <w:vAlign w:val="center"/>
            <w:hideMark/>
          </w:tcPr>
          <w:p w14:paraId="1B5DE3A5"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Faible </w:t>
            </w:r>
          </w:p>
        </w:tc>
      </w:tr>
      <w:tr w:rsidR="00C27910" w:rsidRPr="00420C1B" w14:paraId="71485A44"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1FC148" w14:textId="77777777" w:rsidR="00C27910" w:rsidRDefault="00C27910">
            <w:pPr>
              <w:spacing w:after="0" w:line="240" w:lineRule="auto"/>
              <w:rPr>
                <w:rFonts w:ascii="Times New Roman" w:hAnsi="Times New Roman"/>
                <w:b/>
                <w:sz w:val="20"/>
                <w:szCs w:val="20"/>
              </w:rPr>
            </w:pPr>
          </w:p>
        </w:tc>
        <w:tc>
          <w:tcPr>
            <w:tcW w:w="858" w:type="pct"/>
            <w:gridSpan w:val="2"/>
            <w:tcBorders>
              <w:top w:val="single" w:sz="4" w:space="0" w:color="auto"/>
              <w:left w:val="single" w:sz="4" w:space="0" w:color="auto"/>
              <w:bottom w:val="single" w:sz="4" w:space="0" w:color="auto"/>
              <w:right w:val="single" w:sz="4" w:space="0" w:color="auto"/>
            </w:tcBorders>
            <w:vAlign w:val="center"/>
          </w:tcPr>
          <w:p w14:paraId="4146A99E"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4EE5F0A8"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Interaction</w:t>
            </w:r>
          </w:p>
        </w:tc>
        <w:tc>
          <w:tcPr>
            <w:tcW w:w="1181" w:type="pct"/>
            <w:gridSpan w:val="5"/>
            <w:tcBorders>
              <w:top w:val="single" w:sz="4" w:space="0" w:color="auto"/>
              <w:left w:val="single" w:sz="4" w:space="0" w:color="auto"/>
              <w:bottom w:val="single" w:sz="4" w:space="0" w:color="auto"/>
              <w:right w:val="single" w:sz="4" w:space="0" w:color="auto"/>
            </w:tcBorders>
            <w:hideMark/>
          </w:tcPr>
          <w:p w14:paraId="664E4A33"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Occurrence</w:t>
            </w:r>
          </w:p>
        </w:tc>
        <w:tc>
          <w:tcPr>
            <w:tcW w:w="511" w:type="pct"/>
            <w:gridSpan w:val="2"/>
            <w:tcBorders>
              <w:top w:val="single" w:sz="4" w:space="0" w:color="auto"/>
              <w:left w:val="single" w:sz="4" w:space="0" w:color="auto"/>
              <w:bottom w:val="single" w:sz="4" w:space="0" w:color="auto"/>
              <w:right w:val="single" w:sz="4" w:space="0" w:color="auto"/>
            </w:tcBorders>
            <w:hideMark/>
          </w:tcPr>
          <w:p w14:paraId="64817951"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Réversibilité</w:t>
            </w:r>
          </w:p>
        </w:tc>
        <w:tc>
          <w:tcPr>
            <w:tcW w:w="1239" w:type="pct"/>
            <w:gridSpan w:val="2"/>
            <w:tcBorders>
              <w:top w:val="single" w:sz="4" w:space="0" w:color="auto"/>
              <w:left w:val="single" w:sz="4" w:space="0" w:color="auto"/>
              <w:bottom w:val="single" w:sz="4" w:space="0" w:color="auto"/>
              <w:right w:val="single" w:sz="4" w:space="0" w:color="auto"/>
            </w:tcBorders>
            <w:hideMark/>
          </w:tcPr>
          <w:p w14:paraId="5617FCC1"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Cumulativité</w:t>
            </w:r>
          </w:p>
        </w:tc>
      </w:tr>
      <w:tr w:rsidR="00C27910" w:rsidRPr="00420C1B" w14:paraId="5EFC4729"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BE0F4" w14:textId="77777777" w:rsidR="00C27910" w:rsidRDefault="00C27910">
            <w:pPr>
              <w:spacing w:after="0" w:line="240" w:lineRule="auto"/>
              <w:rPr>
                <w:rFonts w:ascii="Times New Roman" w:hAnsi="Times New Roman"/>
                <w:b/>
                <w:sz w:val="20"/>
                <w:szCs w:val="20"/>
              </w:rPr>
            </w:pPr>
          </w:p>
        </w:tc>
        <w:tc>
          <w:tcPr>
            <w:tcW w:w="858" w:type="pct"/>
            <w:gridSpan w:val="2"/>
            <w:tcBorders>
              <w:top w:val="single" w:sz="4" w:space="0" w:color="auto"/>
              <w:left w:val="single" w:sz="4" w:space="0" w:color="auto"/>
              <w:bottom w:val="single" w:sz="4" w:space="0" w:color="auto"/>
              <w:right w:val="single" w:sz="4" w:space="0" w:color="auto"/>
            </w:tcBorders>
            <w:vAlign w:val="center"/>
          </w:tcPr>
          <w:p w14:paraId="65B1F363"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76D31BD1" w14:textId="77777777" w:rsidR="00C27910" w:rsidRDefault="00C27910">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Directe</w:t>
            </w:r>
          </w:p>
        </w:tc>
        <w:tc>
          <w:tcPr>
            <w:tcW w:w="1181" w:type="pct"/>
            <w:gridSpan w:val="5"/>
            <w:tcBorders>
              <w:top w:val="single" w:sz="4" w:space="0" w:color="auto"/>
              <w:left w:val="single" w:sz="4" w:space="0" w:color="auto"/>
              <w:bottom w:val="single" w:sz="4" w:space="0" w:color="auto"/>
              <w:right w:val="single" w:sz="4" w:space="0" w:color="auto"/>
            </w:tcBorders>
            <w:vAlign w:val="center"/>
            <w:hideMark/>
          </w:tcPr>
          <w:p w14:paraId="1BDF0EA0"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Certaine</w:t>
            </w:r>
          </w:p>
        </w:tc>
        <w:tc>
          <w:tcPr>
            <w:tcW w:w="511" w:type="pct"/>
            <w:gridSpan w:val="2"/>
            <w:tcBorders>
              <w:top w:val="single" w:sz="4" w:space="0" w:color="auto"/>
              <w:left w:val="single" w:sz="4" w:space="0" w:color="auto"/>
              <w:bottom w:val="single" w:sz="4" w:space="0" w:color="auto"/>
              <w:right w:val="single" w:sz="4" w:space="0" w:color="auto"/>
            </w:tcBorders>
            <w:vAlign w:val="center"/>
            <w:hideMark/>
          </w:tcPr>
          <w:p w14:paraId="5740C09A"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Réversible</w:t>
            </w:r>
          </w:p>
        </w:tc>
        <w:tc>
          <w:tcPr>
            <w:tcW w:w="1239" w:type="pct"/>
            <w:gridSpan w:val="2"/>
            <w:tcBorders>
              <w:top w:val="single" w:sz="4" w:space="0" w:color="auto"/>
              <w:left w:val="single" w:sz="4" w:space="0" w:color="auto"/>
              <w:bottom w:val="single" w:sz="4" w:space="0" w:color="auto"/>
              <w:right w:val="single" w:sz="4" w:space="0" w:color="auto"/>
            </w:tcBorders>
            <w:vAlign w:val="center"/>
            <w:hideMark/>
          </w:tcPr>
          <w:p w14:paraId="6A29C1CA"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Non</w:t>
            </w:r>
          </w:p>
        </w:tc>
      </w:tr>
      <w:tr w:rsidR="00C27910" w:rsidRPr="00420C1B" w14:paraId="75F09D9D"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2D580" w14:textId="77777777" w:rsidR="00C27910" w:rsidRDefault="00C27910">
            <w:pPr>
              <w:spacing w:after="0" w:line="240" w:lineRule="auto"/>
              <w:rPr>
                <w:rFonts w:ascii="Times New Roman" w:hAnsi="Times New Roman"/>
                <w:b/>
                <w:sz w:val="20"/>
                <w:szCs w:val="20"/>
              </w:rPr>
            </w:pPr>
          </w:p>
        </w:tc>
        <w:tc>
          <w:tcPr>
            <w:tcW w:w="858" w:type="pct"/>
            <w:gridSpan w:val="2"/>
            <w:tcBorders>
              <w:top w:val="single" w:sz="4" w:space="0" w:color="auto"/>
              <w:left w:val="single" w:sz="4" w:space="0" w:color="auto"/>
              <w:bottom w:val="single" w:sz="4" w:space="0" w:color="auto"/>
              <w:right w:val="single" w:sz="4" w:space="0" w:color="auto"/>
            </w:tcBorders>
            <w:vAlign w:val="center"/>
          </w:tcPr>
          <w:p w14:paraId="12054EAB"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hideMark/>
          </w:tcPr>
          <w:p w14:paraId="70A7AE51" w14:textId="77777777" w:rsidR="00C27910" w:rsidRDefault="00C27910">
            <w:pPr>
              <w:autoSpaceDE w:val="0"/>
              <w:autoSpaceDN w:val="0"/>
              <w:adjustRightInd w:val="0"/>
              <w:spacing w:after="0" w:line="240" w:lineRule="auto"/>
              <w:rPr>
                <w:rFonts w:ascii="Times New Roman" w:eastAsia="Times New Roman" w:hAnsi="Times New Roman"/>
                <w:b/>
                <w:bCs/>
                <w:i/>
                <w:sz w:val="20"/>
                <w:szCs w:val="20"/>
              </w:rPr>
            </w:pPr>
            <w:r>
              <w:rPr>
                <w:rFonts w:ascii="Times New Roman" w:eastAsia="Times New Roman" w:hAnsi="Times New Roman"/>
                <w:b/>
                <w:bCs/>
                <w:i/>
                <w:sz w:val="20"/>
                <w:szCs w:val="20"/>
              </w:rPr>
              <w:t xml:space="preserve">Fréquence </w:t>
            </w:r>
          </w:p>
        </w:tc>
        <w:tc>
          <w:tcPr>
            <w:tcW w:w="1181" w:type="pct"/>
            <w:gridSpan w:val="5"/>
            <w:tcBorders>
              <w:top w:val="single" w:sz="4" w:space="0" w:color="auto"/>
              <w:left w:val="single" w:sz="4" w:space="0" w:color="auto"/>
              <w:bottom w:val="single" w:sz="4" w:space="0" w:color="auto"/>
              <w:right w:val="single" w:sz="4" w:space="0" w:color="auto"/>
            </w:tcBorders>
            <w:vAlign w:val="center"/>
            <w:hideMark/>
          </w:tcPr>
          <w:p w14:paraId="6BD73C1B" w14:textId="77777777" w:rsidR="00C27910" w:rsidRDefault="00C27910">
            <w:pPr>
              <w:spacing w:after="0" w:line="240" w:lineRule="auto"/>
              <w:jc w:val="center"/>
              <w:rPr>
                <w:rFonts w:ascii="Times New Roman" w:hAnsi="Times New Roman"/>
                <w:sz w:val="20"/>
                <w:szCs w:val="20"/>
              </w:rPr>
            </w:pPr>
            <w:r>
              <w:rPr>
                <w:rFonts w:ascii="Times New Roman" w:hAnsi="Times New Roman"/>
                <w:b/>
                <w:sz w:val="20"/>
                <w:szCs w:val="20"/>
              </w:rPr>
              <w:t>Valeur</w:t>
            </w:r>
          </w:p>
        </w:tc>
        <w:tc>
          <w:tcPr>
            <w:tcW w:w="511" w:type="pct"/>
            <w:gridSpan w:val="2"/>
            <w:tcBorders>
              <w:top w:val="single" w:sz="4" w:space="0" w:color="auto"/>
              <w:left w:val="single" w:sz="4" w:space="0" w:color="auto"/>
              <w:bottom w:val="single" w:sz="4" w:space="0" w:color="auto"/>
              <w:right w:val="single" w:sz="4" w:space="0" w:color="auto"/>
            </w:tcBorders>
            <w:vAlign w:val="center"/>
          </w:tcPr>
          <w:p w14:paraId="3B29BA31" w14:textId="77777777" w:rsidR="00C27910" w:rsidRDefault="00C27910">
            <w:pPr>
              <w:spacing w:after="0" w:line="240" w:lineRule="auto"/>
              <w:jc w:val="center"/>
              <w:rPr>
                <w:rFonts w:ascii="Times New Roman" w:hAnsi="Times New Roman"/>
                <w:sz w:val="20"/>
                <w:szCs w:val="20"/>
              </w:rPr>
            </w:pPr>
          </w:p>
        </w:tc>
        <w:tc>
          <w:tcPr>
            <w:tcW w:w="1239" w:type="pct"/>
            <w:gridSpan w:val="2"/>
            <w:tcBorders>
              <w:top w:val="single" w:sz="4" w:space="0" w:color="auto"/>
              <w:left w:val="single" w:sz="4" w:space="0" w:color="auto"/>
              <w:bottom w:val="single" w:sz="4" w:space="0" w:color="auto"/>
              <w:right w:val="single" w:sz="4" w:space="0" w:color="auto"/>
            </w:tcBorders>
            <w:vAlign w:val="center"/>
          </w:tcPr>
          <w:p w14:paraId="4AD8B04F" w14:textId="77777777" w:rsidR="00C27910" w:rsidRDefault="00C27910">
            <w:pPr>
              <w:spacing w:after="0" w:line="240" w:lineRule="auto"/>
              <w:jc w:val="both"/>
              <w:rPr>
                <w:rFonts w:ascii="Times New Roman" w:hAnsi="Times New Roman"/>
                <w:sz w:val="20"/>
                <w:szCs w:val="20"/>
              </w:rPr>
            </w:pPr>
          </w:p>
        </w:tc>
      </w:tr>
      <w:tr w:rsidR="00C27910" w:rsidRPr="00420C1B" w14:paraId="58EC6711"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DB84DA" w14:textId="77777777" w:rsidR="00C27910" w:rsidRDefault="00C27910">
            <w:pPr>
              <w:spacing w:after="0" w:line="240" w:lineRule="auto"/>
              <w:rPr>
                <w:rFonts w:ascii="Times New Roman" w:hAnsi="Times New Roman"/>
                <w:b/>
                <w:sz w:val="20"/>
                <w:szCs w:val="20"/>
              </w:rPr>
            </w:pPr>
          </w:p>
        </w:tc>
        <w:tc>
          <w:tcPr>
            <w:tcW w:w="858" w:type="pct"/>
            <w:gridSpan w:val="2"/>
            <w:tcBorders>
              <w:top w:val="single" w:sz="4" w:space="0" w:color="auto"/>
              <w:left w:val="single" w:sz="4" w:space="0" w:color="auto"/>
              <w:bottom w:val="single" w:sz="4" w:space="0" w:color="auto"/>
              <w:right w:val="single" w:sz="4" w:space="0" w:color="auto"/>
            </w:tcBorders>
            <w:vAlign w:val="center"/>
          </w:tcPr>
          <w:p w14:paraId="42845991"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6A6CD642" w14:textId="77777777" w:rsidR="00C27910" w:rsidRDefault="00C27910">
            <w:pPr>
              <w:spacing w:after="0" w:line="240" w:lineRule="auto"/>
              <w:jc w:val="both"/>
              <w:rPr>
                <w:rFonts w:ascii="Times New Roman" w:hAnsi="Times New Roman"/>
                <w:sz w:val="20"/>
                <w:szCs w:val="20"/>
              </w:rPr>
            </w:pPr>
            <w:r>
              <w:rPr>
                <w:rFonts w:ascii="Times New Roman" w:hAnsi="Times New Roman"/>
                <w:sz w:val="20"/>
                <w:szCs w:val="20"/>
              </w:rPr>
              <w:t>Périodique</w:t>
            </w:r>
          </w:p>
        </w:tc>
        <w:tc>
          <w:tcPr>
            <w:tcW w:w="1692" w:type="pct"/>
            <w:gridSpan w:val="7"/>
            <w:tcBorders>
              <w:top w:val="single" w:sz="4" w:space="0" w:color="auto"/>
              <w:left w:val="single" w:sz="4" w:space="0" w:color="auto"/>
              <w:bottom w:val="single" w:sz="4" w:space="0" w:color="auto"/>
              <w:right w:val="single" w:sz="4" w:space="0" w:color="auto"/>
            </w:tcBorders>
            <w:vAlign w:val="center"/>
            <w:hideMark/>
          </w:tcPr>
          <w:p w14:paraId="6C647FDC" w14:textId="77777777" w:rsidR="00C27910" w:rsidRDefault="00C27910">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Economique, Socio culturel </w:t>
            </w:r>
          </w:p>
        </w:tc>
        <w:tc>
          <w:tcPr>
            <w:tcW w:w="1239" w:type="pct"/>
            <w:gridSpan w:val="2"/>
          </w:tcPr>
          <w:p w14:paraId="668A0B9D" w14:textId="77777777" w:rsidR="00C27910" w:rsidRDefault="00C27910">
            <w:pPr>
              <w:spacing w:after="0" w:line="240" w:lineRule="auto"/>
              <w:rPr>
                <w:rFonts w:ascii="Times New Roman" w:hAnsi="Times New Roman"/>
                <w:sz w:val="20"/>
                <w:szCs w:val="20"/>
              </w:rPr>
            </w:pPr>
          </w:p>
        </w:tc>
      </w:tr>
      <w:tr w:rsidR="00C27910" w:rsidRPr="00420C1B" w14:paraId="795A35A4" w14:textId="77777777" w:rsidTr="00C27910">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3AD9A3" w14:textId="77777777" w:rsidR="00C27910" w:rsidRDefault="00C27910">
            <w:pPr>
              <w:spacing w:after="0" w:line="240" w:lineRule="auto"/>
              <w:rPr>
                <w:rFonts w:ascii="Times New Roman" w:hAnsi="Times New Roman"/>
                <w:b/>
                <w:sz w:val="20"/>
                <w:szCs w:val="20"/>
              </w:rPr>
            </w:pPr>
          </w:p>
        </w:tc>
        <w:tc>
          <w:tcPr>
            <w:tcW w:w="858" w:type="pct"/>
            <w:gridSpan w:val="2"/>
            <w:tcBorders>
              <w:top w:val="single" w:sz="4" w:space="0" w:color="auto"/>
              <w:left w:val="single" w:sz="4" w:space="0" w:color="auto"/>
              <w:bottom w:val="single" w:sz="4" w:space="0" w:color="auto"/>
              <w:right w:val="single" w:sz="4" w:space="0" w:color="auto"/>
            </w:tcBorders>
            <w:hideMark/>
          </w:tcPr>
          <w:p w14:paraId="6CBBE940" w14:textId="77777777" w:rsidR="00C27910" w:rsidRDefault="00C27910">
            <w:pPr>
              <w:spacing w:after="0" w:line="240" w:lineRule="auto"/>
              <w:rPr>
                <w:rFonts w:ascii="Times New Roman" w:eastAsia="Times New Roman" w:hAnsi="Times New Roman"/>
                <w:b/>
                <w:sz w:val="20"/>
                <w:szCs w:val="20"/>
                <w:lang w:eastAsia="fr-FR"/>
              </w:rPr>
            </w:pPr>
            <w:r>
              <w:rPr>
                <w:rFonts w:ascii="Times New Roman" w:hAnsi="Times New Roman"/>
                <w:b/>
                <w:sz w:val="20"/>
                <w:szCs w:val="20"/>
              </w:rPr>
              <w:t>Analyse</w:t>
            </w:r>
          </w:p>
        </w:tc>
        <w:tc>
          <w:tcPr>
            <w:tcW w:w="3570" w:type="pct"/>
            <w:gridSpan w:val="11"/>
            <w:tcBorders>
              <w:top w:val="single" w:sz="4" w:space="0" w:color="auto"/>
              <w:left w:val="single" w:sz="4" w:space="0" w:color="auto"/>
              <w:bottom w:val="single" w:sz="4" w:space="0" w:color="auto"/>
              <w:right w:val="single" w:sz="4" w:space="0" w:color="auto"/>
            </w:tcBorders>
            <w:hideMark/>
          </w:tcPr>
          <w:p w14:paraId="7FF02E70" w14:textId="77777777" w:rsidR="00C27910" w:rsidRPr="00420C1B" w:rsidRDefault="00C27910">
            <w:pPr>
              <w:spacing w:after="0" w:line="240" w:lineRule="auto"/>
              <w:jc w:val="both"/>
              <w:rPr>
                <w:rFonts w:ascii="Times New Roman" w:hAnsi="Times New Roman"/>
                <w:sz w:val="20"/>
                <w:szCs w:val="23"/>
              </w:rPr>
            </w:pPr>
            <w:r w:rsidRPr="00420C1B">
              <w:rPr>
                <w:rFonts w:ascii="Times New Roman" w:hAnsi="Times New Roman"/>
                <w:sz w:val="20"/>
                <w:szCs w:val="23"/>
              </w:rPr>
              <w:t>L’installation du chantier pourrait affecter la qualité et la structure de sols pendant l’amené des matériaux du chantier et leur entreposage. La qualité du sol pourrait se dégrader suite aux fuites de carburant et lubrifiant issues des véhicules obsolètes sur le site. Outre les sources suscitées, le sol pourrait aussi être affecté par les rejets de manière incontrôlée de certains produits toxiques (peintures utilisées pour peindre les bureaux conteneurs).  Toutefois, les effets du projet sur l’installation de la base vie seront localisés et limités.</w:t>
            </w:r>
          </w:p>
          <w:p w14:paraId="3C328662" w14:textId="77777777" w:rsidR="00C27910" w:rsidRPr="00420C1B" w:rsidRDefault="00C27910">
            <w:pPr>
              <w:spacing w:after="0" w:line="240" w:lineRule="auto"/>
              <w:jc w:val="both"/>
              <w:rPr>
                <w:rFonts w:ascii="Times New Roman" w:hAnsi="Times New Roman"/>
                <w:sz w:val="20"/>
                <w:szCs w:val="23"/>
              </w:rPr>
            </w:pPr>
            <w:r w:rsidRPr="00420C1B">
              <w:rPr>
                <w:rFonts w:ascii="Times New Roman" w:hAnsi="Times New Roman"/>
                <w:sz w:val="20"/>
                <w:szCs w:val="23"/>
              </w:rPr>
              <w:t>Pendant cette phase, la structure du sol pourrait être affectée suite à la formation des ornières créées par les pneus des véhicules acheminant les matériaux et exposant ainsi le sol à la vulnérabilité des eaux de ruissellement surtout sur les pentes, avec comme effet induit, l’érosion des sols.</w:t>
            </w:r>
          </w:p>
        </w:tc>
      </w:tr>
      <w:tr w:rsidR="00C27910" w:rsidRPr="00420C1B" w14:paraId="643DF3F5" w14:textId="77777777" w:rsidTr="00C27910">
        <w:trPr>
          <w:trHeight w:val="492"/>
          <w:jc w:val="center"/>
        </w:trPr>
        <w:tc>
          <w:tcPr>
            <w:tcW w:w="1430" w:type="pct"/>
            <w:gridSpan w:val="3"/>
            <w:tcBorders>
              <w:top w:val="single" w:sz="4" w:space="0" w:color="auto"/>
              <w:left w:val="single" w:sz="4" w:space="0" w:color="auto"/>
              <w:bottom w:val="single" w:sz="4" w:space="0" w:color="auto"/>
              <w:right w:val="single" w:sz="4" w:space="0" w:color="auto"/>
            </w:tcBorders>
            <w:hideMark/>
          </w:tcPr>
          <w:p w14:paraId="14C8BED4" w14:textId="77777777" w:rsidR="00C27910" w:rsidRDefault="00C27910">
            <w:pPr>
              <w:spacing w:after="0" w:line="240" w:lineRule="auto"/>
              <w:jc w:val="both"/>
              <w:rPr>
                <w:rFonts w:ascii="Times New Roman" w:eastAsia="Times New Roman" w:hAnsi="Times New Roman"/>
                <w:sz w:val="20"/>
                <w:szCs w:val="20"/>
                <w:lang w:eastAsia="fr-FR"/>
              </w:rPr>
            </w:pPr>
            <w:r>
              <w:rPr>
                <w:rFonts w:ascii="Times New Roman" w:hAnsi="Times New Roman"/>
                <w:b/>
                <w:sz w:val="20"/>
                <w:szCs w:val="20"/>
              </w:rPr>
              <w:t>Titre de la mesure d’atténuation</w:t>
            </w:r>
            <w:r>
              <w:rPr>
                <w:rFonts w:ascii="Times New Roman" w:hAnsi="Times New Roman"/>
                <w:sz w:val="20"/>
                <w:szCs w:val="20"/>
              </w:rPr>
              <w:t xml:space="preserve"> : </w:t>
            </w:r>
          </w:p>
        </w:tc>
        <w:tc>
          <w:tcPr>
            <w:tcW w:w="3570" w:type="pct"/>
            <w:gridSpan w:val="11"/>
            <w:tcBorders>
              <w:top w:val="single" w:sz="4" w:space="0" w:color="auto"/>
              <w:left w:val="single" w:sz="4" w:space="0" w:color="auto"/>
              <w:bottom w:val="single" w:sz="4" w:space="0" w:color="auto"/>
              <w:right w:val="single" w:sz="4" w:space="0" w:color="auto"/>
            </w:tcBorders>
            <w:hideMark/>
          </w:tcPr>
          <w:p w14:paraId="744D9438"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Maintenir les engins roulant en bon état de fonctionnement afin de minimiser les fuites d’huiles et recouvrir le sol d’un système de protection en utilisant du polyane afin d’éviter la contamination de sol et de la nappe phréatique; </w:t>
            </w:r>
          </w:p>
          <w:p w14:paraId="5F3C13F0"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Interdire le vidange des véhicules et engins sur le sol nu et veiller à leur entretien et nettoyage ; </w:t>
            </w:r>
          </w:p>
          <w:p w14:paraId="1ED5D819"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Garder les produits de vidange dans les récipients étanches en vue d’un traitement éventuels et de leurs expéditions vers les fournisseurs ; </w:t>
            </w:r>
          </w:p>
          <w:p w14:paraId="0CCFFEDE"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En cas de contamination accidentel, décaper le sol et le traiter par bio génération ou l’envoyer vers un centre spécialisé pour le traitement ; </w:t>
            </w:r>
          </w:p>
          <w:p w14:paraId="22713E93"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Entretenir régulièrement les véhicules et engins utilisés sur le chantier en y effectuant les changements systématique d’huiles et de carburant au-dessus d’un drain et d’un réservoir prévu à leur collecte ;</w:t>
            </w:r>
          </w:p>
          <w:p w14:paraId="6D7A6285"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Favoriser le recyclage, le compostage et la réutilisation des déchets solides pour faire les remblais ;</w:t>
            </w:r>
          </w:p>
          <w:p w14:paraId="0B226F59"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Réduire au strict minimum l’arrachage des arbres et du couvert végétal dans le cas présent se limiter aux emprises à débroussailler ;</w:t>
            </w:r>
          </w:p>
          <w:p w14:paraId="43165384"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Eviter de dénuder le sol trop longtemps à l’avance, ne dénuder que les surfaces sur lesquelles on est assuré d’une progression normale et continue des travaux ;</w:t>
            </w:r>
          </w:p>
          <w:p w14:paraId="4A8ED2E8"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Elaborer et mettre en œuvre un plan pour restaurer et stabiliser les pentes en vue de minimiser les risques de ruissellements incontrôlés des eaux pluviales.</w:t>
            </w:r>
          </w:p>
        </w:tc>
      </w:tr>
      <w:tr w:rsidR="00C27910" w:rsidRPr="00420C1B" w14:paraId="05645BA0" w14:textId="77777777" w:rsidTr="00C27910">
        <w:trPr>
          <w:trHeight w:val="1018"/>
          <w:jc w:val="center"/>
        </w:trPr>
        <w:tc>
          <w:tcPr>
            <w:tcW w:w="1430" w:type="pct"/>
            <w:gridSpan w:val="3"/>
            <w:tcBorders>
              <w:top w:val="single" w:sz="4" w:space="0" w:color="auto"/>
              <w:left w:val="single" w:sz="4" w:space="0" w:color="auto"/>
              <w:bottom w:val="single" w:sz="4" w:space="0" w:color="auto"/>
              <w:right w:val="single" w:sz="4" w:space="0" w:color="auto"/>
            </w:tcBorders>
            <w:hideMark/>
          </w:tcPr>
          <w:p w14:paraId="37C4EA80"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Objectif de la mesure d’atténuation</w:t>
            </w:r>
            <w:r>
              <w:rPr>
                <w:rFonts w:ascii="Times New Roman" w:hAnsi="Times New Roman"/>
                <w:sz w:val="20"/>
                <w:szCs w:val="20"/>
              </w:rPr>
              <w:t xml:space="preserve"> : </w:t>
            </w:r>
          </w:p>
          <w:p w14:paraId="18650AF1" w14:textId="77777777" w:rsidR="00C27910" w:rsidRDefault="00C27910">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Atténuer les effets du projet sur la qualité et la structure de sols</w:t>
            </w:r>
          </w:p>
        </w:tc>
        <w:tc>
          <w:tcPr>
            <w:tcW w:w="3570" w:type="pct"/>
            <w:gridSpan w:val="11"/>
            <w:tcBorders>
              <w:top w:val="single" w:sz="4" w:space="0" w:color="auto"/>
              <w:left w:val="single" w:sz="4" w:space="0" w:color="auto"/>
              <w:bottom w:val="single" w:sz="4" w:space="0" w:color="auto"/>
              <w:right w:val="single" w:sz="4" w:space="0" w:color="auto"/>
            </w:tcBorders>
            <w:hideMark/>
          </w:tcPr>
          <w:p w14:paraId="77617C3D" w14:textId="77777777" w:rsidR="00C27910" w:rsidRDefault="00C27910">
            <w:pPr>
              <w:autoSpaceDE w:val="0"/>
              <w:autoSpaceDN w:val="0"/>
              <w:adjustRightInd w:val="0"/>
              <w:spacing w:after="0" w:line="240" w:lineRule="auto"/>
              <w:rPr>
                <w:rFonts w:ascii="Times New Roman" w:eastAsia="Times New Roman" w:hAnsi="Times New Roman"/>
                <w:sz w:val="20"/>
                <w:szCs w:val="20"/>
                <w:lang w:eastAsia="fr-FR"/>
              </w:rPr>
            </w:pPr>
            <w:r>
              <w:rPr>
                <w:rFonts w:ascii="Times New Roman" w:hAnsi="Times New Roman"/>
                <w:b/>
                <w:sz w:val="20"/>
                <w:szCs w:val="20"/>
                <w:u w:val="single"/>
              </w:rPr>
              <w:t>Description</w:t>
            </w:r>
            <w:r>
              <w:rPr>
                <w:rFonts w:ascii="Times New Roman" w:hAnsi="Times New Roman"/>
                <w:sz w:val="20"/>
                <w:szCs w:val="20"/>
              </w:rPr>
              <w:t xml:space="preserve"> : </w:t>
            </w:r>
          </w:p>
          <w:p w14:paraId="71E8354E" w14:textId="77777777" w:rsidR="00C27910" w:rsidRDefault="00C27910" w:rsidP="00C27910">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Mettre en place un plan de prévention des pollutions et restauration des sols </w:t>
            </w:r>
          </w:p>
          <w:p w14:paraId="7451E8FE" w14:textId="77777777" w:rsidR="00C27910" w:rsidRDefault="00C27910" w:rsidP="00C27910">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Appliquer les bonnes pratiques industrielles internationales en matière de prévention et gestion de la pollution des sols</w:t>
            </w:r>
          </w:p>
        </w:tc>
      </w:tr>
      <w:tr w:rsidR="00C27910" w:rsidRPr="00420C1B" w14:paraId="3CC94600" w14:textId="77777777" w:rsidTr="00C27910">
        <w:trPr>
          <w:trHeight w:val="250"/>
          <w:jc w:val="center"/>
        </w:trPr>
        <w:tc>
          <w:tcPr>
            <w:tcW w:w="1430" w:type="pct"/>
            <w:gridSpan w:val="3"/>
            <w:tcBorders>
              <w:top w:val="single" w:sz="4" w:space="0" w:color="auto"/>
              <w:left w:val="single" w:sz="4" w:space="0" w:color="auto"/>
              <w:bottom w:val="single" w:sz="4" w:space="0" w:color="auto"/>
              <w:right w:val="single" w:sz="4" w:space="0" w:color="auto"/>
            </w:tcBorders>
            <w:hideMark/>
          </w:tcPr>
          <w:p w14:paraId="761BCCA2" w14:textId="77777777" w:rsidR="00C27910" w:rsidRDefault="00C27910">
            <w:pPr>
              <w:spacing w:after="0" w:line="240" w:lineRule="auto"/>
              <w:jc w:val="right"/>
              <w:rPr>
                <w:rFonts w:ascii="Times New Roman" w:hAnsi="Times New Roman"/>
                <w:b/>
                <w:sz w:val="20"/>
                <w:szCs w:val="20"/>
              </w:rPr>
            </w:pPr>
            <w:r>
              <w:rPr>
                <w:rFonts w:ascii="Times New Roman" w:hAnsi="Times New Roman"/>
                <w:b/>
                <w:sz w:val="20"/>
                <w:szCs w:val="20"/>
              </w:rPr>
              <w:t>Impact résiduel</w:t>
            </w:r>
          </w:p>
        </w:tc>
        <w:tc>
          <w:tcPr>
            <w:tcW w:w="3372" w:type="pct"/>
            <w:gridSpan w:val="10"/>
            <w:tcBorders>
              <w:top w:val="single" w:sz="4" w:space="0" w:color="auto"/>
              <w:left w:val="single" w:sz="4" w:space="0" w:color="auto"/>
              <w:bottom w:val="single" w:sz="4" w:space="0" w:color="auto"/>
              <w:right w:val="single" w:sz="4" w:space="0" w:color="auto"/>
            </w:tcBorders>
            <w:hideMark/>
          </w:tcPr>
          <w:p w14:paraId="238655F2" w14:textId="77777777" w:rsidR="00C27910" w:rsidRDefault="00C27910">
            <w:pPr>
              <w:autoSpaceDE w:val="0"/>
              <w:autoSpaceDN w:val="0"/>
              <w:adjustRightInd w:val="0"/>
              <w:spacing w:after="0" w:line="240" w:lineRule="auto"/>
              <w:rPr>
                <w:rFonts w:ascii="Times New Roman" w:hAnsi="Times New Roman"/>
                <w:sz w:val="20"/>
                <w:szCs w:val="20"/>
                <w:u w:val="single"/>
              </w:rPr>
            </w:pPr>
            <w:r>
              <w:rPr>
                <w:rFonts w:ascii="Times New Roman" w:hAnsi="Times New Roman"/>
                <w:sz w:val="20"/>
                <w:szCs w:val="20"/>
                <w:u w:val="single"/>
              </w:rPr>
              <w:t xml:space="preserve">Mineur </w:t>
            </w:r>
          </w:p>
        </w:tc>
        <w:tc>
          <w:tcPr>
            <w:tcW w:w="198" w:type="pct"/>
            <w:tcBorders>
              <w:top w:val="single" w:sz="4" w:space="0" w:color="auto"/>
              <w:left w:val="single" w:sz="4" w:space="0" w:color="auto"/>
              <w:bottom w:val="single" w:sz="4" w:space="0" w:color="auto"/>
              <w:right w:val="single" w:sz="4" w:space="0" w:color="auto"/>
            </w:tcBorders>
          </w:tcPr>
          <w:p w14:paraId="739BD863" w14:textId="77777777" w:rsidR="00C27910" w:rsidRDefault="00C27910">
            <w:pPr>
              <w:autoSpaceDE w:val="0"/>
              <w:autoSpaceDN w:val="0"/>
              <w:adjustRightInd w:val="0"/>
              <w:spacing w:after="0" w:line="240" w:lineRule="auto"/>
              <w:rPr>
                <w:rFonts w:ascii="Times New Roman" w:hAnsi="Times New Roman"/>
                <w:sz w:val="20"/>
                <w:szCs w:val="20"/>
                <w:u w:val="single"/>
              </w:rPr>
            </w:pPr>
          </w:p>
        </w:tc>
      </w:tr>
      <w:tr w:rsidR="00C27910" w:rsidRPr="00420C1B" w14:paraId="160CC0FC" w14:textId="77777777" w:rsidTr="00C27910">
        <w:trPr>
          <w:trHeight w:val="545"/>
          <w:jc w:val="center"/>
        </w:trPr>
        <w:tc>
          <w:tcPr>
            <w:tcW w:w="1430" w:type="pct"/>
            <w:gridSpan w:val="3"/>
            <w:tcBorders>
              <w:top w:val="single" w:sz="4" w:space="0" w:color="auto"/>
              <w:left w:val="single" w:sz="4" w:space="0" w:color="auto"/>
              <w:bottom w:val="single" w:sz="4" w:space="0" w:color="auto"/>
              <w:right w:val="single" w:sz="4" w:space="0" w:color="auto"/>
            </w:tcBorders>
            <w:hideMark/>
          </w:tcPr>
          <w:p w14:paraId="108F4765"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surveillance</w:t>
            </w:r>
          </w:p>
          <w:p w14:paraId="63B2958D" w14:textId="77777777" w:rsidR="00C27910" w:rsidRDefault="00C27910" w:rsidP="00C27910">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Mission de Contrôle (MdC) ;</w:t>
            </w:r>
          </w:p>
          <w:p w14:paraId="55203456" w14:textId="77777777" w:rsidR="00C27910" w:rsidRDefault="00C27910" w:rsidP="00C27910">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Agence Congolaise de l’Environnement (ACE) </w:t>
            </w:r>
          </w:p>
        </w:tc>
        <w:tc>
          <w:tcPr>
            <w:tcW w:w="2331" w:type="pct"/>
            <w:gridSpan w:val="9"/>
            <w:tcBorders>
              <w:top w:val="single" w:sz="4" w:space="0" w:color="auto"/>
              <w:left w:val="single" w:sz="4" w:space="0" w:color="auto"/>
              <w:bottom w:val="single" w:sz="4" w:space="0" w:color="auto"/>
              <w:right w:val="single" w:sz="4" w:space="0" w:color="auto"/>
            </w:tcBorders>
            <w:hideMark/>
          </w:tcPr>
          <w:p w14:paraId="4F84B995"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suivi</w:t>
            </w:r>
          </w:p>
          <w:p w14:paraId="31D06A03"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Cellule Provinciale de l’Environnement (CPE) ;</w:t>
            </w:r>
          </w:p>
          <w:p w14:paraId="237FC99C"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Sous-Cellule environnementale et sociale d’UCM (SCES/UCM)</w:t>
            </w:r>
          </w:p>
          <w:p w14:paraId="78663B50" w14:textId="77777777" w:rsidR="00C27910" w:rsidRDefault="00C27910" w:rsidP="00C27910">
            <w:pPr>
              <w:numPr>
                <w:ilvl w:val="0"/>
                <w:numId w:val="382"/>
              </w:numPr>
              <w:autoSpaceDE w:val="0"/>
              <w:autoSpaceDN w:val="0"/>
              <w:adjustRightInd w:val="0"/>
              <w:spacing w:after="0" w:line="240" w:lineRule="auto"/>
              <w:ind w:left="161" w:hanging="161"/>
              <w:contextualSpacing/>
              <w:jc w:val="both"/>
              <w:rPr>
                <w:rFonts w:ascii="Times New Roman" w:hAnsi="Times New Roman"/>
                <w:sz w:val="20"/>
                <w:szCs w:val="20"/>
              </w:rPr>
            </w:pPr>
            <w:r>
              <w:rPr>
                <w:rFonts w:ascii="Times New Roman" w:hAnsi="Times New Roman"/>
                <w:sz w:val="20"/>
                <w:szCs w:val="20"/>
              </w:rPr>
              <w:t xml:space="preserve">Service environnement des communes concernées </w:t>
            </w:r>
          </w:p>
        </w:tc>
        <w:tc>
          <w:tcPr>
            <w:tcW w:w="1239" w:type="pct"/>
            <w:gridSpan w:val="2"/>
            <w:tcBorders>
              <w:top w:val="single" w:sz="4" w:space="0" w:color="auto"/>
              <w:left w:val="single" w:sz="4" w:space="0" w:color="auto"/>
              <w:bottom w:val="single" w:sz="4" w:space="0" w:color="auto"/>
              <w:right w:val="single" w:sz="4" w:space="0" w:color="auto"/>
            </w:tcBorders>
            <w:hideMark/>
          </w:tcPr>
          <w:p w14:paraId="04FE5D82"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Indicateurs de suivi</w:t>
            </w:r>
          </w:p>
          <w:p w14:paraId="2D55F7DB" w14:textId="62BDD830" w:rsidR="00C27910" w:rsidRDefault="005E4E24" w:rsidP="00C27910">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100% </w:t>
            </w:r>
            <w:r w:rsidR="00C27910">
              <w:rPr>
                <w:rFonts w:ascii="Times New Roman" w:hAnsi="Times New Roman"/>
                <w:sz w:val="20"/>
                <w:szCs w:val="20"/>
              </w:rPr>
              <w:t xml:space="preserve">des sols </w:t>
            </w:r>
            <w:r>
              <w:rPr>
                <w:rFonts w:ascii="Times New Roman" w:hAnsi="Times New Roman"/>
                <w:sz w:val="20"/>
                <w:szCs w:val="20"/>
              </w:rPr>
              <w:t xml:space="preserve">pollués </w:t>
            </w:r>
            <w:r w:rsidR="00C27910">
              <w:rPr>
                <w:rFonts w:ascii="Times New Roman" w:hAnsi="Times New Roman"/>
                <w:sz w:val="20"/>
                <w:szCs w:val="20"/>
              </w:rPr>
              <w:t xml:space="preserve">décapés </w:t>
            </w:r>
            <w:r>
              <w:rPr>
                <w:rFonts w:ascii="Times New Roman" w:hAnsi="Times New Roman"/>
                <w:sz w:val="20"/>
                <w:szCs w:val="20"/>
              </w:rPr>
              <w:t xml:space="preserve">sont </w:t>
            </w:r>
            <w:r w:rsidR="00C27910">
              <w:rPr>
                <w:rFonts w:ascii="Times New Roman" w:hAnsi="Times New Roman"/>
                <w:sz w:val="20"/>
                <w:szCs w:val="20"/>
              </w:rPr>
              <w:t>stockés dans les récipients en plastiques</w:t>
            </w:r>
          </w:p>
          <w:p w14:paraId="561245CE" w14:textId="281B8C6B" w:rsidR="00C27910" w:rsidRDefault="005E4E24" w:rsidP="00215867">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100% </w:t>
            </w:r>
            <w:r w:rsidR="00C27910">
              <w:rPr>
                <w:rFonts w:ascii="Times New Roman" w:hAnsi="Times New Roman"/>
                <w:sz w:val="20"/>
                <w:szCs w:val="20"/>
              </w:rPr>
              <w:t>de cas de déversement accidentels enregistrés</w:t>
            </w:r>
          </w:p>
        </w:tc>
      </w:tr>
      <w:tr w:rsidR="00C27910" w:rsidRPr="00420C1B" w14:paraId="45EDD85F" w14:textId="77777777" w:rsidTr="00C27910">
        <w:trPr>
          <w:trHeight w:val="164"/>
          <w:jc w:val="center"/>
        </w:trPr>
        <w:tc>
          <w:tcPr>
            <w:tcW w:w="572" w:type="pct"/>
            <w:tcBorders>
              <w:top w:val="single" w:sz="4" w:space="0" w:color="auto"/>
              <w:left w:val="single" w:sz="4" w:space="0" w:color="auto"/>
              <w:bottom w:val="single" w:sz="4" w:space="0" w:color="auto"/>
              <w:right w:val="single" w:sz="4" w:space="0" w:color="auto"/>
            </w:tcBorders>
            <w:hideMark/>
          </w:tcPr>
          <w:p w14:paraId="02545286"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Coût de la mesure</w:t>
            </w:r>
          </w:p>
        </w:tc>
        <w:tc>
          <w:tcPr>
            <w:tcW w:w="445" w:type="pct"/>
            <w:tcBorders>
              <w:top w:val="single" w:sz="4" w:space="0" w:color="auto"/>
              <w:left w:val="single" w:sz="4" w:space="0" w:color="auto"/>
              <w:bottom w:val="single" w:sz="4" w:space="0" w:color="auto"/>
              <w:right w:val="single" w:sz="4" w:space="0" w:color="auto"/>
            </w:tcBorders>
            <w:hideMark/>
          </w:tcPr>
          <w:p w14:paraId="77EEA363"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Unité</w:t>
            </w:r>
          </w:p>
        </w:tc>
        <w:tc>
          <w:tcPr>
            <w:tcW w:w="519" w:type="pct"/>
            <w:gridSpan w:val="2"/>
            <w:tcBorders>
              <w:top w:val="single" w:sz="4" w:space="0" w:color="auto"/>
              <w:left w:val="single" w:sz="4" w:space="0" w:color="auto"/>
              <w:bottom w:val="single" w:sz="4" w:space="0" w:color="auto"/>
              <w:right w:val="single" w:sz="4" w:space="0" w:color="auto"/>
            </w:tcBorders>
            <w:hideMark/>
          </w:tcPr>
          <w:p w14:paraId="18FEFC77"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Quantités</w:t>
            </w:r>
          </w:p>
        </w:tc>
        <w:tc>
          <w:tcPr>
            <w:tcW w:w="742" w:type="pct"/>
            <w:gridSpan w:val="2"/>
            <w:tcBorders>
              <w:top w:val="single" w:sz="4" w:space="0" w:color="auto"/>
              <w:left w:val="single" w:sz="4" w:space="0" w:color="auto"/>
              <w:bottom w:val="single" w:sz="4" w:space="0" w:color="auto"/>
              <w:right w:val="single" w:sz="4" w:space="0" w:color="auto"/>
            </w:tcBorders>
            <w:hideMark/>
          </w:tcPr>
          <w:p w14:paraId="09281010"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Coûts unitaires en $</w:t>
            </w:r>
          </w:p>
        </w:tc>
        <w:tc>
          <w:tcPr>
            <w:tcW w:w="673" w:type="pct"/>
            <w:gridSpan w:val="3"/>
            <w:tcBorders>
              <w:top w:val="single" w:sz="4" w:space="0" w:color="auto"/>
              <w:left w:val="single" w:sz="4" w:space="0" w:color="auto"/>
              <w:bottom w:val="single" w:sz="4" w:space="0" w:color="auto"/>
              <w:right w:val="single" w:sz="4" w:space="0" w:color="auto"/>
            </w:tcBorders>
            <w:hideMark/>
          </w:tcPr>
          <w:p w14:paraId="60FCFD71"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hideMark/>
          </w:tcPr>
          <w:p w14:paraId="6493CAC4"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Projet en $</w:t>
            </w:r>
          </w:p>
        </w:tc>
        <w:tc>
          <w:tcPr>
            <w:tcW w:w="395" w:type="pct"/>
            <w:tcBorders>
              <w:top w:val="single" w:sz="4" w:space="0" w:color="auto"/>
              <w:left w:val="single" w:sz="4" w:space="0" w:color="auto"/>
              <w:bottom w:val="single" w:sz="4" w:space="0" w:color="auto"/>
              <w:right w:val="single" w:sz="4" w:space="0" w:color="auto"/>
            </w:tcBorders>
            <w:hideMark/>
          </w:tcPr>
          <w:p w14:paraId="14D69E91" w14:textId="77777777" w:rsidR="00C27910" w:rsidRDefault="00C27910">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Coût total</w:t>
            </w:r>
          </w:p>
        </w:tc>
        <w:tc>
          <w:tcPr>
            <w:tcW w:w="1239" w:type="pct"/>
            <w:gridSpan w:val="2"/>
            <w:tcBorders>
              <w:top w:val="single" w:sz="4" w:space="0" w:color="auto"/>
              <w:left w:val="single" w:sz="4" w:space="0" w:color="auto"/>
              <w:bottom w:val="single" w:sz="4" w:space="0" w:color="auto"/>
              <w:right w:val="single" w:sz="4" w:space="0" w:color="auto"/>
            </w:tcBorders>
            <w:hideMark/>
          </w:tcPr>
          <w:p w14:paraId="088DE098"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Calendrier de mise en œuvre</w:t>
            </w:r>
          </w:p>
        </w:tc>
      </w:tr>
      <w:tr w:rsidR="00C27910" w:rsidRPr="00420C1B" w14:paraId="45F05B0E" w14:textId="77777777" w:rsidTr="00C27910">
        <w:trPr>
          <w:trHeight w:val="185"/>
          <w:jc w:val="center"/>
        </w:trPr>
        <w:tc>
          <w:tcPr>
            <w:tcW w:w="572" w:type="pct"/>
            <w:tcBorders>
              <w:top w:val="single" w:sz="4" w:space="0" w:color="auto"/>
              <w:left w:val="single" w:sz="4" w:space="0" w:color="auto"/>
              <w:bottom w:val="single" w:sz="4" w:space="0" w:color="auto"/>
              <w:right w:val="single" w:sz="4" w:space="0" w:color="auto"/>
            </w:tcBorders>
            <w:hideMark/>
          </w:tcPr>
          <w:p w14:paraId="50929458" w14:textId="77777777" w:rsidR="00C27910" w:rsidRPr="00420C1B" w:rsidRDefault="00C27910">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Stockage des sols pollués</w:t>
            </w:r>
          </w:p>
        </w:tc>
        <w:tc>
          <w:tcPr>
            <w:tcW w:w="445" w:type="pct"/>
            <w:tcBorders>
              <w:top w:val="single" w:sz="4" w:space="0" w:color="auto"/>
              <w:left w:val="single" w:sz="4" w:space="0" w:color="auto"/>
              <w:bottom w:val="single" w:sz="4" w:space="0" w:color="auto"/>
              <w:right w:val="single" w:sz="4" w:space="0" w:color="auto"/>
            </w:tcBorders>
            <w:hideMark/>
          </w:tcPr>
          <w:p w14:paraId="2251DA06"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forfait </w:t>
            </w:r>
          </w:p>
        </w:tc>
        <w:tc>
          <w:tcPr>
            <w:tcW w:w="519" w:type="pct"/>
            <w:gridSpan w:val="2"/>
            <w:tcBorders>
              <w:top w:val="single" w:sz="4" w:space="0" w:color="auto"/>
              <w:left w:val="single" w:sz="4" w:space="0" w:color="auto"/>
              <w:bottom w:val="single" w:sz="4" w:space="0" w:color="auto"/>
              <w:right w:val="single" w:sz="4" w:space="0" w:color="auto"/>
            </w:tcBorders>
            <w:hideMark/>
          </w:tcPr>
          <w:p w14:paraId="3925DACB"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Ff</w:t>
            </w:r>
          </w:p>
        </w:tc>
        <w:tc>
          <w:tcPr>
            <w:tcW w:w="742" w:type="pct"/>
            <w:gridSpan w:val="2"/>
            <w:tcBorders>
              <w:top w:val="single" w:sz="4" w:space="0" w:color="auto"/>
              <w:left w:val="single" w:sz="4" w:space="0" w:color="auto"/>
              <w:bottom w:val="single" w:sz="4" w:space="0" w:color="auto"/>
              <w:right w:val="single" w:sz="4" w:space="0" w:color="auto"/>
            </w:tcBorders>
            <w:hideMark/>
          </w:tcPr>
          <w:p w14:paraId="7C476393"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30</w:t>
            </w:r>
          </w:p>
        </w:tc>
        <w:tc>
          <w:tcPr>
            <w:tcW w:w="673" w:type="pct"/>
            <w:gridSpan w:val="3"/>
            <w:tcBorders>
              <w:top w:val="single" w:sz="4" w:space="0" w:color="auto"/>
              <w:left w:val="single" w:sz="4" w:space="0" w:color="auto"/>
              <w:bottom w:val="single" w:sz="4" w:space="0" w:color="auto"/>
              <w:right w:val="single" w:sz="4" w:space="0" w:color="auto"/>
            </w:tcBorders>
            <w:hideMark/>
          </w:tcPr>
          <w:p w14:paraId="59C409B1" w14:textId="77777777" w:rsidR="00C27910" w:rsidRPr="00420C1B" w:rsidRDefault="00C27910">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3 000</w:t>
            </w:r>
          </w:p>
        </w:tc>
        <w:tc>
          <w:tcPr>
            <w:tcW w:w="415" w:type="pct"/>
            <w:gridSpan w:val="2"/>
            <w:tcBorders>
              <w:top w:val="single" w:sz="4" w:space="0" w:color="auto"/>
              <w:left w:val="single" w:sz="4" w:space="0" w:color="auto"/>
              <w:bottom w:val="single" w:sz="4" w:space="0" w:color="auto"/>
              <w:right w:val="single" w:sz="4" w:space="0" w:color="auto"/>
            </w:tcBorders>
            <w:hideMark/>
          </w:tcPr>
          <w:p w14:paraId="50B4BEEA"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1 800</w:t>
            </w:r>
          </w:p>
        </w:tc>
        <w:tc>
          <w:tcPr>
            <w:tcW w:w="395" w:type="pct"/>
            <w:tcBorders>
              <w:top w:val="single" w:sz="4" w:space="0" w:color="auto"/>
              <w:left w:val="single" w:sz="4" w:space="0" w:color="auto"/>
              <w:bottom w:val="single" w:sz="4" w:space="0" w:color="auto"/>
              <w:right w:val="single" w:sz="4" w:space="0" w:color="auto"/>
            </w:tcBorders>
            <w:hideMark/>
          </w:tcPr>
          <w:p w14:paraId="410CFB43"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4 800</w:t>
            </w:r>
          </w:p>
        </w:tc>
        <w:tc>
          <w:tcPr>
            <w:tcW w:w="1239" w:type="pct"/>
            <w:gridSpan w:val="2"/>
            <w:tcBorders>
              <w:top w:val="single" w:sz="4" w:space="0" w:color="auto"/>
              <w:left w:val="single" w:sz="4" w:space="0" w:color="auto"/>
              <w:bottom w:val="single" w:sz="4" w:space="0" w:color="auto"/>
              <w:right w:val="single" w:sz="4" w:space="0" w:color="auto"/>
            </w:tcBorders>
            <w:hideMark/>
          </w:tcPr>
          <w:p w14:paraId="2A101487" w14:textId="77777777" w:rsidR="00C27910" w:rsidRPr="00420C1B" w:rsidRDefault="00C27910">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Pendant les travaux</w:t>
            </w:r>
          </w:p>
        </w:tc>
      </w:tr>
    </w:tbl>
    <w:p w14:paraId="30E20406" w14:textId="77777777" w:rsidR="00C27910" w:rsidRDefault="00C27910" w:rsidP="00C27910">
      <w:pPr>
        <w:keepNext/>
        <w:spacing w:after="120" w:line="240" w:lineRule="auto"/>
        <w:jc w:val="center"/>
        <w:rPr>
          <w:rFonts w:ascii="Times New Roman" w:hAnsi="Times New Roman"/>
          <w:iCs/>
          <w:sz w:val="24"/>
          <w:szCs w:val="24"/>
        </w:rPr>
      </w:pPr>
    </w:p>
    <w:p w14:paraId="69C12F25" w14:textId="43E6BCB0" w:rsidR="00C27910" w:rsidRDefault="00C27910" w:rsidP="00C27910">
      <w:pPr>
        <w:keepNext/>
        <w:spacing w:after="120" w:line="240" w:lineRule="auto"/>
        <w:jc w:val="center"/>
        <w:rPr>
          <w:rFonts w:ascii="Times New Roman" w:hAnsi="Times New Roman"/>
          <w:iCs/>
          <w:sz w:val="24"/>
          <w:szCs w:val="24"/>
        </w:rPr>
      </w:pPr>
      <w:bookmarkStart w:id="604" w:name="_Toc93050290"/>
      <w:r>
        <w:rPr>
          <w:rFonts w:ascii="Times New Roman" w:hAnsi="Times New Roman"/>
          <w:iCs/>
          <w:sz w:val="24"/>
          <w:szCs w:val="24"/>
        </w:rPr>
        <w:t xml:space="preserve">Tableau </w:t>
      </w:r>
      <w:r>
        <w:rPr>
          <w:rFonts w:ascii="Times New Roman" w:hAnsi="Times New Roman"/>
          <w:iCs/>
          <w:sz w:val="24"/>
          <w:szCs w:val="24"/>
        </w:rPr>
        <w:fldChar w:fldCharType="begin"/>
      </w:r>
      <w:r>
        <w:rPr>
          <w:rFonts w:ascii="Times New Roman" w:hAnsi="Times New Roman"/>
          <w:iCs/>
          <w:sz w:val="24"/>
          <w:szCs w:val="24"/>
        </w:rPr>
        <w:instrText xml:space="preserve"> SEQ Tableau \* ARABIC </w:instrText>
      </w:r>
      <w:r>
        <w:rPr>
          <w:rFonts w:ascii="Times New Roman" w:hAnsi="Times New Roman"/>
          <w:iCs/>
          <w:sz w:val="24"/>
          <w:szCs w:val="24"/>
        </w:rPr>
        <w:fldChar w:fldCharType="separate"/>
      </w:r>
      <w:r w:rsidR="00BD6279">
        <w:rPr>
          <w:rFonts w:ascii="Times New Roman" w:hAnsi="Times New Roman"/>
          <w:iCs/>
          <w:noProof/>
          <w:sz w:val="24"/>
          <w:szCs w:val="24"/>
        </w:rPr>
        <w:t>28</w:t>
      </w:r>
      <w:r>
        <w:rPr>
          <w:rFonts w:ascii="Times New Roman" w:hAnsi="Times New Roman"/>
          <w:iCs/>
          <w:noProof/>
          <w:sz w:val="24"/>
          <w:szCs w:val="24"/>
        </w:rPr>
        <w:fldChar w:fldCharType="end"/>
      </w:r>
      <w:r>
        <w:rPr>
          <w:rFonts w:ascii="Times New Roman" w:hAnsi="Times New Roman"/>
          <w:iCs/>
          <w:sz w:val="24"/>
          <w:szCs w:val="24"/>
        </w:rPr>
        <w:t xml:space="preserve"> : Fiche de déclaration d’Impact – </w:t>
      </w:r>
      <w:r>
        <w:rPr>
          <w:rFonts w:ascii="Times New Roman" w:hAnsi="Times New Roman"/>
          <w:b/>
          <w:iCs/>
          <w:sz w:val="24"/>
          <w:szCs w:val="24"/>
        </w:rPr>
        <w:t xml:space="preserve">Code </w:t>
      </w:r>
      <w:r w:rsidR="00BD6279">
        <w:rPr>
          <w:rFonts w:ascii="Times New Roman" w:hAnsi="Times New Roman"/>
          <w:b/>
          <w:iCs/>
          <w:sz w:val="24"/>
          <w:szCs w:val="24"/>
        </w:rPr>
        <w:t>06</w:t>
      </w:r>
      <w:bookmarkEnd w:id="604"/>
    </w:p>
    <w:tbl>
      <w:tblPr>
        <w:tblW w:w="5100" w:type="pct"/>
        <w:jc w:val="center"/>
        <w:tblLook w:val="04A0" w:firstRow="1" w:lastRow="0" w:firstColumn="1" w:lastColumn="0" w:noHBand="0" w:noVBand="1"/>
      </w:tblPr>
      <w:tblGrid>
        <w:gridCol w:w="1650"/>
        <w:gridCol w:w="869"/>
        <w:gridCol w:w="514"/>
        <w:gridCol w:w="522"/>
        <w:gridCol w:w="703"/>
        <w:gridCol w:w="438"/>
        <w:gridCol w:w="157"/>
        <w:gridCol w:w="400"/>
        <w:gridCol w:w="652"/>
        <w:gridCol w:w="570"/>
        <w:gridCol w:w="286"/>
        <w:gridCol w:w="954"/>
        <w:gridCol w:w="2082"/>
        <w:gridCol w:w="364"/>
      </w:tblGrid>
      <w:tr w:rsidR="00C27910" w:rsidRPr="00420C1B" w14:paraId="2A8FCC96" w14:textId="77777777" w:rsidTr="00C27910">
        <w:trPr>
          <w:trHeight w:val="250"/>
          <w:tblHeader/>
          <w:jc w:val="center"/>
        </w:trPr>
        <w:tc>
          <w:tcPr>
            <w:tcW w:w="716"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333A9DE5" w14:textId="77777777" w:rsidR="00C27910" w:rsidRDefault="00C27910">
            <w:pPr>
              <w:spacing w:after="0" w:line="240" w:lineRule="auto"/>
              <w:jc w:val="center"/>
              <w:rPr>
                <w:rFonts w:ascii="Times New Roman" w:hAnsi="Times New Roman"/>
                <w:b/>
                <w:sz w:val="20"/>
                <w:szCs w:val="20"/>
              </w:rPr>
            </w:pPr>
            <w:r>
              <w:rPr>
                <w:rFonts w:ascii="Times New Roman" w:hAnsi="Times New Roman"/>
                <w:b/>
                <w:sz w:val="20"/>
                <w:szCs w:val="20"/>
              </w:rPr>
              <w:t>COMPOSANTE</w:t>
            </w:r>
          </w:p>
        </w:tc>
        <w:tc>
          <w:tcPr>
            <w:tcW w:w="1589"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6AC832E7" w14:textId="77777777" w:rsidR="00C27910" w:rsidRDefault="00C27910">
            <w:pPr>
              <w:spacing w:after="0" w:line="240" w:lineRule="auto"/>
              <w:rPr>
                <w:rFonts w:ascii="Times New Roman" w:hAnsi="Times New Roman"/>
                <w:b/>
                <w:sz w:val="20"/>
                <w:szCs w:val="20"/>
              </w:rPr>
            </w:pPr>
            <w:r>
              <w:rPr>
                <w:rFonts w:ascii="Times New Roman" w:hAnsi="Times New Roman"/>
                <w:sz w:val="20"/>
                <w:szCs w:val="20"/>
              </w:rPr>
              <w:t>Végétation</w:t>
            </w:r>
          </w:p>
        </w:tc>
        <w:tc>
          <w:tcPr>
            <w:tcW w:w="946"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1D55CA85"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PHASE</w:t>
            </w:r>
          </w:p>
        </w:tc>
        <w:tc>
          <w:tcPr>
            <w:tcW w:w="510"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7F471ADE"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Préparatoire</w:t>
            </w:r>
          </w:p>
        </w:tc>
        <w:tc>
          <w:tcPr>
            <w:tcW w:w="1239"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65DEAC95"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Photos de l’impact</w:t>
            </w:r>
          </w:p>
        </w:tc>
      </w:tr>
      <w:tr w:rsidR="00C27910" w:rsidRPr="00420C1B" w14:paraId="6C4B2E5F" w14:textId="77777777" w:rsidTr="00C27910">
        <w:trPr>
          <w:trHeight w:val="50"/>
          <w:jc w:val="center"/>
        </w:trPr>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69A86504"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Code 01</w:t>
            </w:r>
          </w:p>
        </w:tc>
        <w:tc>
          <w:tcPr>
            <w:tcW w:w="3045" w:type="pct"/>
            <w:gridSpan w:val="11"/>
            <w:tcBorders>
              <w:top w:val="single" w:sz="4" w:space="0" w:color="auto"/>
              <w:left w:val="single" w:sz="4" w:space="0" w:color="auto"/>
              <w:bottom w:val="single" w:sz="4" w:space="0" w:color="auto"/>
              <w:right w:val="single" w:sz="4" w:space="0" w:color="auto"/>
            </w:tcBorders>
            <w:vAlign w:val="center"/>
            <w:hideMark/>
          </w:tcPr>
          <w:p w14:paraId="7C383213"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Source d’impact : </w:t>
            </w:r>
            <w:r>
              <w:rPr>
                <w:rFonts w:ascii="Times New Roman" w:hAnsi="Times New Roman"/>
                <w:sz w:val="20"/>
                <w:szCs w:val="20"/>
              </w:rPr>
              <w:t>Construction et exploitation de base vie</w:t>
            </w:r>
          </w:p>
          <w:p w14:paraId="12E60B20"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                               Aménagement des voies d’accès au site </w:t>
            </w:r>
          </w:p>
        </w:tc>
        <w:tc>
          <w:tcPr>
            <w:tcW w:w="1239" w:type="pct"/>
            <w:gridSpan w:val="2"/>
            <w:tcBorders>
              <w:top w:val="single" w:sz="4" w:space="0" w:color="auto"/>
              <w:left w:val="single" w:sz="4" w:space="0" w:color="auto"/>
              <w:bottom w:val="single" w:sz="4" w:space="0" w:color="auto"/>
              <w:right w:val="single" w:sz="4" w:space="0" w:color="auto"/>
            </w:tcBorders>
            <w:vAlign w:val="center"/>
          </w:tcPr>
          <w:p w14:paraId="1E4586A5" w14:textId="77777777" w:rsidR="00C27910" w:rsidRDefault="00C27910">
            <w:pPr>
              <w:spacing w:after="0" w:line="240" w:lineRule="auto"/>
              <w:rPr>
                <w:rFonts w:ascii="Times New Roman" w:hAnsi="Times New Roman"/>
                <w:sz w:val="20"/>
                <w:szCs w:val="20"/>
              </w:rPr>
            </w:pPr>
          </w:p>
        </w:tc>
      </w:tr>
      <w:tr w:rsidR="00C27910" w:rsidRPr="00420C1B" w14:paraId="00AF7FDD" w14:textId="77777777" w:rsidTr="00C27910">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EE8D3" w14:textId="77777777" w:rsidR="00C27910" w:rsidRDefault="00C27910">
            <w:pPr>
              <w:spacing w:after="0" w:line="240" w:lineRule="auto"/>
              <w:rPr>
                <w:rFonts w:ascii="Times New Roman" w:hAnsi="Times New Roman"/>
                <w:b/>
                <w:sz w:val="20"/>
                <w:szCs w:val="20"/>
              </w:rPr>
            </w:pPr>
          </w:p>
        </w:tc>
        <w:tc>
          <w:tcPr>
            <w:tcW w:w="4284" w:type="pct"/>
            <w:gridSpan w:val="13"/>
            <w:tcBorders>
              <w:top w:val="single" w:sz="4" w:space="0" w:color="auto"/>
              <w:left w:val="single" w:sz="4" w:space="0" w:color="auto"/>
              <w:bottom w:val="single" w:sz="4" w:space="0" w:color="auto"/>
              <w:right w:val="single" w:sz="4" w:space="0" w:color="auto"/>
            </w:tcBorders>
            <w:vAlign w:val="center"/>
            <w:hideMark/>
          </w:tcPr>
          <w:p w14:paraId="5776B94C"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 xml:space="preserve"> Intitulé de l’impact</w:t>
            </w:r>
            <w:r>
              <w:rPr>
                <w:rFonts w:ascii="Times New Roman" w:hAnsi="Times New Roman"/>
                <w:sz w:val="20"/>
                <w:szCs w:val="20"/>
              </w:rPr>
              <w:t xml:space="preserve"> : </w:t>
            </w:r>
            <w:r>
              <w:rPr>
                <w:rFonts w:ascii="Times New Roman" w:hAnsi="Times New Roman"/>
                <w:i/>
                <w:sz w:val="20"/>
                <w:szCs w:val="20"/>
              </w:rPr>
              <w:t>Pollution des eaux souterraines et de ruissellement</w:t>
            </w:r>
          </w:p>
        </w:tc>
      </w:tr>
      <w:tr w:rsidR="00C27910" w:rsidRPr="00420C1B" w14:paraId="6BD2D004" w14:textId="77777777" w:rsidTr="00C27910">
        <w:trPr>
          <w:trHeight w:val="250"/>
          <w:jc w:val="center"/>
        </w:trPr>
        <w:tc>
          <w:tcPr>
            <w:tcW w:w="716" w:type="pct"/>
            <w:vMerge w:val="restart"/>
            <w:tcBorders>
              <w:top w:val="single" w:sz="4" w:space="0" w:color="auto"/>
              <w:left w:val="single" w:sz="4" w:space="0" w:color="auto"/>
              <w:bottom w:val="single" w:sz="4" w:space="0" w:color="auto"/>
              <w:right w:val="single" w:sz="4" w:space="0" w:color="auto"/>
            </w:tcBorders>
            <w:vAlign w:val="center"/>
            <w:hideMark/>
          </w:tcPr>
          <w:p w14:paraId="67C9004C" w14:textId="77777777" w:rsidR="00C27910" w:rsidRDefault="00C27910">
            <w:pPr>
              <w:spacing w:after="0" w:line="240" w:lineRule="auto"/>
              <w:rPr>
                <w:rFonts w:ascii="Times New Roman" w:eastAsia="Times New Roman" w:hAnsi="Times New Roman"/>
                <w:sz w:val="20"/>
                <w:szCs w:val="20"/>
                <w:lang w:eastAsia="fr-FR"/>
              </w:rPr>
            </w:pPr>
            <w:r>
              <w:rPr>
                <w:rFonts w:ascii="Times New Roman" w:hAnsi="Times New Roman"/>
                <w:b/>
                <w:sz w:val="20"/>
                <w:szCs w:val="20"/>
              </w:rPr>
              <w:t>Localisation</w:t>
            </w:r>
          </w:p>
        </w:tc>
        <w:tc>
          <w:tcPr>
            <w:tcW w:w="1897" w:type="pct"/>
            <w:gridSpan w:val="7"/>
            <w:vMerge w:val="restart"/>
            <w:tcBorders>
              <w:top w:val="single" w:sz="4" w:space="0" w:color="auto"/>
              <w:left w:val="single" w:sz="4" w:space="0" w:color="auto"/>
              <w:bottom w:val="single" w:sz="4" w:space="0" w:color="auto"/>
              <w:right w:val="single" w:sz="4" w:space="0" w:color="auto"/>
            </w:tcBorders>
            <w:vAlign w:val="center"/>
            <w:hideMark/>
          </w:tcPr>
          <w:p w14:paraId="251D5A99"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hideMark/>
          </w:tcPr>
          <w:p w14:paraId="72296F9A"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X</w:t>
            </w:r>
          </w:p>
        </w:tc>
        <w:tc>
          <w:tcPr>
            <w:tcW w:w="510" w:type="pct"/>
            <w:gridSpan w:val="2"/>
            <w:tcBorders>
              <w:top w:val="single" w:sz="4" w:space="0" w:color="auto"/>
              <w:left w:val="single" w:sz="4" w:space="0" w:color="auto"/>
              <w:bottom w:val="single" w:sz="4" w:space="0" w:color="auto"/>
              <w:right w:val="single" w:sz="4" w:space="0" w:color="auto"/>
            </w:tcBorders>
            <w:hideMark/>
          </w:tcPr>
          <w:p w14:paraId="3AAB66D9" w14:textId="77777777" w:rsidR="00C27910" w:rsidRDefault="00C27910">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Y</w:t>
            </w:r>
          </w:p>
        </w:tc>
        <w:tc>
          <w:tcPr>
            <w:tcW w:w="1239" w:type="pct"/>
            <w:gridSpan w:val="2"/>
            <w:vMerge w:val="restart"/>
            <w:tcBorders>
              <w:top w:val="single" w:sz="4" w:space="0" w:color="auto"/>
              <w:left w:val="single" w:sz="4" w:space="0" w:color="auto"/>
              <w:bottom w:val="single" w:sz="4" w:space="0" w:color="auto"/>
              <w:right w:val="single" w:sz="4" w:space="0" w:color="auto"/>
            </w:tcBorders>
            <w:hideMark/>
          </w:tcPr>
          <w:p w14:paraId="5C956F11" w14:textId="77777777" w:rsidR="00C27910" w:rsidRPr="00420C1B" w:rsidRDefault="00C27910">
            <w:pPr>
              <w:spacing w:after="0" w:line="276" w:lineRule="auto"/>
            </w:pPr>
          </w:p>
        </w:tc>
      </w:tr>
      <w:tr w:rsidR="00C27910" w:rsidRPr="00420C1B" w14:paraId="5951A06C" w14:textId="77777777" w:rsidTr="00C27910">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83186D"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D4CC185" w14:textId="77777777" w:rsidR="00C27910" w:rsidRDefault="00C27910">
            <w:pPr>
              <w:spacing w:after="0" w:line="240" w:lineRule="auto"/>
              <w:rPr>
                <w:rFonts w:ascii="Times New Roman" w:hAnsi="Times New Roman"/>
                <w:sz w:val="20"/>
                <w:szCs w:val="20"/>
              </w:rPr>
            </w:pPr>
          </w:p>
        </w:tc>
        <w:tc>
          <w:tcPr>
            <w:tcW w:w="638" w:type="pct"/>
            <w:gridSpan w:val="2"/>
            <w:tcBorders>
              <w:top w:val="single" w:sz="4" w:space="0" w:color="auto"/>
              <w:left w:val="single" w:sz="4" w:space="0" w:color="auto"/>
              <w:bottom w:val="single" w:sz="4" w:space="0" w:color="auto"/>
              <w:right w:val="single" w:sz="4" w:space="0" w:color="auto"/>
            </w:tcBorders>
            <w:hideMark/>
          </w:tcPr>
          <w:p w14:paraId="34A906CD"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510" w:type="pct"/>
            <w:gridSpan w:val="2"/>
            <w:tcBorders>
              <w:top w:val="single" w:sz="4" w:space="0" w:color="auto"/>
              <w:left w:val="nil"/>
              <w:bottom w:val="single" w:sz="4" w:space="0" w:color="auto"/>
              <w:right w:val="single" w:sz="4" w:space="0" w:color="auto"/>
            </w:tcBorders>
            <w:hideMark/>
          </w:tcPr>
          <w:p w14:paraId="5376A723"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F6BA31" w14:textId="77777777" w:rsidR="00C27910" w:rsidRPr="00420C1B" w:rsidRDefault="00C27910">
            <w:pPr>
              <w:spacing w:after="0" w:line="240" w:lineRule="auto"/>
            </w:pPr>
          </w:p>
        </w:tc>
      </w:tr>
      <w:tr w:rsidR="00C27910" w:rsidRPr="00420C1B" w14:paraId="2FDF9AAB" w14:textId="77777777" w:rsidTr="00C27910">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43909" w14:textId="77777777" w:rsidR="00C27910" w:rsidRDefault="00C27910">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0A8CD408" w14:textId="77777777" w:rsidR="00C27910" w:rsidRDefault="00C27910">
            <w:pPr>
              <w:spacing w:after="0" w:line="240" w:lineRule="auto"/>
              <w:rPr>
                <w:rFonts w:ascii="Times New Roman" w:hAnsi="Times New Roman"/>
                <w:sz w:val="20"/>
                <w:szCs w:val="20"/>
              </w:rPr>
            </w:pPr>
          </w:p>
        </w:tc>
        <w:tc>
          <w:tcPr>
            <w:tcW w:w="638" w:type="pct"/>
            <w:gridSpan w:val="2"/>
            <w:tcBorders>
              <w:top w:val="single" w:sz="4" w:space="0" w:color="auto"/>
              <w:left w:val="single" w:sz="4" w:space="0" w:color="auto"/>
              <w:bottom w:val="nil"/>
              <w:right w:val="single" w:sz="4" w:space="0" w:color="auto"/>
            </w:tcBorders>
            <w:hideMark/>
          </w:tcPr>
          <w:p w14:paraId="57AEEE80"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510" w:type="pct"/>
            <w:gridSpan w:val="2"/>
            <w:tcBorders>
              <w:top w:val="single" w:sz="4" w:space="0" w:color="auto"/>
              <w:left w:val="single" w:sz="4" w:space="0" w:color="auto"/>
              <w:bottom w:val="nil"/>
              <w:right w:val="single" w:sz="4" w:space="0" w:color="auto"/>
            </w:tcBorders>
            <w:hideMark/>
          </w:tcPr>
          <w:p w14:paraId="6D009C28" w14:textId="77777777" w:rsidR="00C27910" w:rsidRDefault="00C27910">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73ADCE" w14:textId="77777777" w:rsidR="00C27910" w:rsidRPr="00420C1B" w:rsidRDefault="00C27910">
            <w:pPr>
              <w:spacing w:after="0" w:line="240" w:lineRule="auto"/>
            </w:pPr>
          </w:p>
        </w:tc>
      </w:tr>
      <w:tr w:rsidR="00C27910" w:rsidRPr="00420C1B" w14:paraId="24FE0733" w14:textId="77777777" w:rsidTr="00C27910">
        <w:trPr>
          <w:trHeight w:val="242"/>
          <w:jc w:val="center"/>
        </w:trPr>
        <w:tc>
          <w:tcPr>
            <w:tcW w:w="716" w:type="pct"/>
            <w:vMerge w:val="restart"/>
            <w:tcBorders>
              <w:top w:val="single" w:sz="4" w:space="0" w:color="auto"/>
              <w:left w:val="single" w:sz="4" w:space="0" w:color="auto"/>
              <w:bottom w:val="single" w:sz="4" w:space="0" w:color="auto"/>
              <w:right w:val="single" w:sz="4" w:space="0" w:color="auto"/>
            </w:tcBorders>
            <w:vAlign w:val="center"/>
          </w:tcPr>
          <w:p w14:paraId="303D5C00" w14:textId="77777777" w:rsidR="00C27910" w:rsidRDefault="00C27910">
            <w:pPr>
              <w:spacing w:after="0" w:line="240" w:lineRule="auto"/>
              <w:rPr>
                <w:rFonts w:ascii="Times New Roman" w:hAnsi="Times New Roman"/>
                <w:b/>
                <w:sz w:val="20"/>
                <w:szCs w:val="20"/>
              </w:rPr>
            </w:pPr>
          </w:p>
          <w:p w14:paraId="3CFF4996" w14:textId="77777777" w:rsidR="00C27910" w:rsidRDefault="00C27910">
            <w:pPr>
              <w:spacing w:after="0" w:line="240" w:lineRule="auto"/>
              <w:rPr>
                <w:rFonts w:ascii="Times New Roman" w:hAnsi="Times New Roman"/>
                <w:b/>
                <w:sz w:val="20"/>
                <w:szCs w:val="20"/>
              </w:rPr>
            </w:pPr>
            <w:r>
              <w:rPr>
                <w:rFonts w:ascii="Times New Roman" w:hAnsi="Times New Roman"/>
                <w:b/>
                <w:sz w:val="20"/>
                <w:szCs w:val="20"/>
              </w:rPr>
              <w:t>Analyse de l’impact</w:t>
            </w:r>
          </w:p>
        </w:tc>
        <w:tc>
          <w:tcPr>
            <w:tcW w:w="71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8B6D450" w14:textId="77777777" w:rsidR="00C27910" w:rsidRDefault="00C27910">
            <w:pPr>
              <w:autoSpaceDE w:val="0"/>
              <w:autoSpaceDN w:val="0"/>
              <w:adjustRightInd w:val="0"/>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Nature :</w:t>
            </w:r>
          </w:p>
          <w:p w14:paraId="08FBCC38" w14:textId="77777777" w:rsidR="00C27910" w:rsidRDefault="00C27910">
            <w:pPr>
              <w:autoSpaceDE w:val="0"/>
              <w:autoSpaceDN w:val="0"/>
              <w:adjustRightInd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3ED63AF0"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3B9FE4AD"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Etendue</w:t>
            </w:r>
          </w:p>
        </w:tc>
        <w:tc>
          <w:tcPr>
            <w:tcW w:w="510" w:type="pct"/>
            <w:gridSpan w:val="2"/>
            <w:tcBorders>
              <w:top w:val="single" w:sz="4" w:space="0" w:color="auto"/>
              <w:left w:val="single" w:sz="4" w:space="0" w:color="auto"/>
              <w:bottom w:val="single" w:sz="4" w:space="0" w:color="auto"/>
              <w:right w:val="single" w:sz="4" w:space="0" w:color="auto"/>
            </w:tcBorders>
            <w:hideMark/>
          </w:tcPr>
          <w:p w14:paraId="00149260"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Durée</w:t>
            </w:r>
          </w:p>
        </w:tc>
        <w:tc>
          <w:tcPr>
            <w:tcW w:w="1239" w:type="pct"/>
            <w:gridSpan w:val="2"/>
            <w:tcBorders>
              <w:top w:val="single" w:sz="4" w:space="0" w:color="auto"/>
              <w:left w:val="single" w:sz="4" w:space="0" w:color="auto"/>
              <w:bottom w:val="single" w:sz="4" w:space="0" w:color="auto"/>
              <w:right w:val="single" w:sz="4" w:space="0" w:color="auto"/>
            </w:tcBorders>
            <w:hideMark/>
          </w:tcPr>
          <w:p w14:paraId="304011F7" w14:textId="77777777" w:rsidR="00C27910" w:rsidRDefault="00C27910">
            <w:pPr>
              <w:spacing w:after="0" w:line="240" w:lineRule="auto"/>
              <w:rPr>
                <w:rFonts w:ascii="Times New Roman" w:hAnsi="Times New Roman"/>
                <w:sz w:val="20"/>
                <w:szCs w:val="20"/>
              </w:rPr>
            </w:pPr>
            <w:r>
              <w:rPr>
                <w:rFonts w:ascii="Times New Roman" w:eastAsia="Times New Roman" w:hAnsi="Times New Roman"/>
                <w:b/>
                <w:bCs/>
                <w:i/>
                <w:sz w:val="20"/>
                <w:szCs w:val="20"/>
              </w:rPr>
              <w:t>Importance</w:t>
            </w:r>
          </w:p>
        </w:tc>
      </w:tr>
      <w:tr w:rsidR="00C27910" w:rsidRPr="00420C1B" w14:paraId="420966F5"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67082B" w14:textId="77777777" w:rsidR="00C27910" w:rsidRDefault="00C27910">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B12EE4"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6760AF6D"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 xml:space="preserve">Moyenne </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0336D732"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 xml:space="preserve">Locale </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14:paraId="69EA5089" w14:textId="77777777" w:rsidR="00C27910" w:rsidRDefault="00C27910">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Faible</w:t>
            </w:r>
          </w:p>
        </w:tc>
        <w:tc>
          <w:tcPr>
            <w:tcW w:w="1239" w:type="pct"/>
            <w:gridSpan w:val="2"/>
            <w:tcBorders>
              <w:top w:val="single" w:sz="4" w:space="0" w:color="auto"/>
              <w:left w:val="single" w:sz="4" w:space="0" w:color="auto"/>
              <w:bottom w:val="single" w:sz="4" w:space="0" w:color="auto"/>
              <w:right w:val="single" w:sz="4" w:space="0" w:color="auto"/>
            </w:tcBorders>
            <w:vAlign w:val="center"/>
            <w:hideMark/>
          </w:tcPr>
          <w:p w14:paraId="5D207A87" w14:textId="77777777" w:rsidR="00C27910" w:rsidRDefault="00C27910">
            <w:pPr>
              <w:spacing w:after="0" w:line="240" w:lineRule="auto"/>
              <w:rPr>
                <w:rFonts w:ascii="Times New Roman" w:hAnsi="Times New Roman"/>
                <w:sz w:val="20"/>
                <w:szCs w:val="20"/>
              </w:rPr>
            </w:pPr>
            <w:r>
              <w:rPr>
                <w:rFonts w:ascii="Times New Roman" w:hAnsi="Times New Roman"/>
                <w:sz w:val="20"/>
                <w:szCs w:val="20"/>
              </w:rPr>
              <w:t xml:space="preserve">Moyenne </w:t>
            </w:r>
          </w:p>
        </w:tc>
      </w:tr>
      <w:tr w:rsidR="00C27910" w:rsidRPr="00420C1B" w14:paraId="198508DF"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BF9DA4" w14:textId="77777777" w:rsidR="00C27910" w:rsidRDefault="00C27910">
            <w:pPr>
              <w:spacing w:after="0" w:line="240" w:lineRule="auto"/>
              <w:rPr>
                <w:rFonts w:ascii="Times New Roman" w:hAnsi="Times New Roman"/>
                <w:b/>
                <w:sz w:val="20"/>
                <w:szCs w:val="20"/>
              </w:rPr>
            </w:pP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3B0F9836"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604F1E37"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hideMark/>
          </w:tcPr>
          <w:p w14:paraId="56471293"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Occurrence</w:t>
            </w:r>
          </w:p>
        </w:tc>
        <w:tc>
          <w:tcPr>
            <w:tcW w:w="510" w:type="pct"/>
            <w:gridSpan w:val="2"/>
            <w:tcBorders>
              <w:top w:val="single" w:sz="4" w:space="0" w:color="auto"/>
              <w:left w:val="single" w:sz="4" w:space="0" w:color="auto"/>
              <w:bottom w:val="single" w:sz="4" w:space="0" w:color="auto"/>
              <w:right w:val="single" w:sz="4" w:space="0" w:color="auto"/>
            </w:tcBorders>
            <w:hideMark/>
          </w:tcPr>
          <w:p w14:paraId="7FA06F22"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Réversibilité</w:t>
            </w:r>
          </w:p>
        </w:tc>
        <w:tc>
          <w:tcPr>
            <w:tcW w:w="1239" w:type="pct"/>
            <w:gridSpan w:val="2"/>
            <w:tcBorders>
              <w:top w:val="single" w:sz="4" w:space="0" w:color="auto"/>
              <w:left w:val="single" w:sz="4" w:space="0" w:color="auto"/>
              <w:bottom w:val="single" w:sz="4" w:space="0" w:color="auto"/>
              <w:right w:val="single" w:sz="4" w:space="0" w:color="auto"/>
            </w:tcBorders>
            <w:hideMark/>
          </w:tcPr>
          <w:p w14:paraId="48D47478" w14:textId="77777777" w:rsidR="00C27910" w:rsidRDefault="00C27910">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Cumulativité</w:t>
            </w:r>
          </w:p>
        </w:tc>
      </w:tr>
      <w:tr w:rsidR="00C27910" w:rsidRPr="00420C1B" w14:paraId="5FEF0AAB"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20E5B" w14:textId="77777777" w:rsidR="00C27910" w:rsidRDefault="00C27910">
            <w:pPr>
              <w:spacing w:after="0" w:line="240" w:lineRule="auto"/>
              <w:rPr>
                <w:rFonts w:ascii="Times New Roman" w:hAnsi="Times New Roman"/>
                <w:b/>
                <w:sz w:val="20"/>
                <w:szCs w:val="20"/>
              </w:rPr>
            </w:pP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0CDD8D82"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2A8A5C8A" w14:textId="77777777" w:rsidR="00C27910" w:rsidRDefault="00C27910">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Directe</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190CE956"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Certaine</w:t>
            </w:r>
          </w:p>
        </w:tc>
        <w:tc>
          <w:tcPr>
            <w:tcW w:w="510" w:type="pct"/>
            <w:gridSpan w:val="2"/>
            <w:tcBorders>
              <w:top w:val="single" w:sz="4" w:space="0" w:color="auto"/>
              <w:left w:val="single" w:sz="4" w:space="0" w:color="auto"/>
              <w:bottom w:val="single" w:sz="4" w:space="0" w:color="auto"/>
              <w:right w:val="single" w:sz="4" w:space="0" w:color="auto"/>
            </w:tcBorders>
            <w:vAlign w:val="center"/>
            <w:hideMark/>
          </w:tcPr>
          <w:p w14:paraId="1F603B7F"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Réversible</w:t>
            </w:r>
          </w:p>
        </w:tc>
        <w:tc>
          <w:tcPr>
            <w:tcW w:w="1239" w:type="pct"/>
            <w:gridSpan w:val="2"/>
            <w:tcBorders>
              <w:top w:val="single" w:sz="4" w:space="0" w:color="auto"/>
              <w:left w:val="single" w:sz="4" w:space="0" w:color="auto"/>
              <w:bottom w:val="single" w:sz="4" w:space="0" w:color="auto"/>
              <w:right w:val="single" w:sz="4" w:space="0" w:color="auto"/>
            </w:tcBorders>
            <w:vAlign w:val="center"/>
            <w:hideMark/>
          </w:tcPr>
          <w:p w14:paraId="49D733E7" w14:textId="77777777" w:rsidR="00C27910" w:rsidRDefault="00C27910">
            <w:pPr>
              <w:spacing w:after="0" w:line="240" w:lineRule="auto"/>
              <w:jc w:val="center"/>
              <w:rPr>
                <w:rFonts w:ascii="Times New Roman" w:hAnsi="Times New Roman"/>
                <w:sz w:val="20"/>
                <w:szCs w:val="20"/>
              </w:rPr>
            </w:pPr>
            <w:r>
              <w:rPr>
                <w:rFonts w:ascii="Times New Roman" w:hAnsi="Times New Roman"/>
                <w:sz w:val="20"/>
                <w:szCs w:val="20"/>
              </w:rPr>
              <w:t>Non</w:t>
            </w:r>
          </w:p>
        </w:tc>
      </w:tr>
      <w:tr w:rsidR="00C27910" w:rsidRPr="00420C1B" w14:paraId="0E31A84D"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93595" w14:textId="77777777" w:rsidR="00C27910" w:rsidRDefault="00C27910">
            <w:pPr>
              <w:spacing w:after="0" w:line="240" w:lineRule="auto"/>
              <w:rPr>
                <w:rFonts w:ascii="Times New Roman" w:hAnsi="Times New Roman"/>
                <w:b/>
                <w:sz w:val="20"/>
                <w:szCs w:val="20"/>
              </w:rPr>
            </w:pP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750991CF"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hideMark/>
          </w:tcPr>
          <w:p w14:paraId="0B2B95A2" w14:textId="77777777" w:rsidR="00C27910" w:rsidRDefault="00C27910">
            <w:pPr>
              <w:autoSpaceDE w:val="0"/>
              <w:autoSpaceDN w:val="0"/>
              <w:adjustRightInd w:val="0"/>
              <w:spacing w:after="0" w:line="240" w:lineRule="auto"/>
              <w:rPr>
                <w:rFonts w:ascii="Times New Roman" w:eastAsia="Times New Roman" w:hAnsi="Times New Roman"/>
                <w:b/>
                <w:bCs/>
                <w:i/>
                <w:sz w:val="20"/>
                <w:szCs w:val="20"/>
              </w:rPr>
            </w:pPr>
            <w:r>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22181CD4" w14:textId="77777777" w:rsidR="00C27910" w:rsidRDefault="00C27910">
            <w:pPr>
              <w:spacing w:after="0" w:line="240" w:lineRule="auto"/>
              <w:jc w:val="center"/>
              <w:rPr>
                <w:rFonts w:ascii="Times New Roman" w:hAnsi="Times New Roman"/>
                <w:sz w:val="20"/>
                <w:szCs w:val="20"/>
              </w:rPr>
            </w:pPr>
            <w:r>
              <w:rPr>
                <w:rFonts w:ascii="Times New Roman" w:hAnsi="Times New Roman"/>
                <w:b/>
                <w:sz w:val="20"/>
                <w:szCs w:val="20"/>
              </w:rPr>
              <w:t>Valeur</w:t>
            </w:r>
          </w:p>
        </w:tc>
        <w:tc>
          <w:tcPr>
            <w:tcW w:w="510" w:type="pct"/>
            <w:gridSpan w:val="2"/>
            <w:tcBorders>
              <w:top w:val="single" w:sz="4" w:space="0" w:color="auto"/>
              <w:left w:val="single" w:sz="4" w:space="0" w:color="auto"/>
              <w:bottom w:val="single" w:sz="4" w:space="0" w:color="auto"/>
              <w:right w:val="single" w:sz="4" w:space="0" w:color="auto"/>
            </w:tcBorders>
            <w:vAlign w:val="center"/>
          </w:tcPr>
          <w:p w14:paraId="1216B49B" w14:textId="77777777" w:rsidR="00C27910" w:rsidRDefault="00C27910">
            <w:pPr>
              <w:spacing w:after="0" w:line="240" w:lineRule="auto"/>
              <w:jc w:val="center"/>
              <w:rPr>
                <w:rFonts w:ascii="Times New Roman" w:hAnsi="Times New Roman"/>
                <w:sz w:val="20"/>
                <w:szCs w:val="20"/>
              </w:rPr>
            </w:pPr>
          </w:p>
        </w:tc>
        <w:tc>
          <w:tcPr>
            <w:tcW w:w="1239" w:type="pct"/>
            <w:gridSpan w:val="2"/>
            <w:tcBorders>
              <w:top w:val="single" w:sz="4" w:space="0" w:color="auto"/>
              <w:left w:val="single" w:sz="4" w:space="0" w:color="auto"/>
              <w:bottom w:val="single" w:sz="4" w:space="0" w:color="auto"/>
              <w:right w:val="single" w:sz="4" w:space="0" w:color="auto"/>
            </w:tcBorders>
            <w:vAlign w:val="center"/>
          </w:tcPr>
          <w:p w14:paraId="0C1B4BA5" w14:textId="77777777" w:rsidR="00C27910" w:rsidRDefault="00C27910">
            <w:pPr>
              <w:spacing w:after="0" w:line="240" w:lineRule="auto"/>
              <w:jc w:val="both"/>
              <w:rPr>
                <w:rFonts w:ascii="Times New Roman" w:hAnsi="Times New Roman"/>
                <w:sz w:val="20"/>
                <w:szCs w:val="20"/>
              </w:rPr>
            </w:pPr>
          </w:p>
        </w:tc>
      </w:tr>
      <w:tr w:rsidR="00C27910" w:rsidRPr="00420C1B" w14:paraId="50E58633" w14:textId="77777777" w:rsidTr="00C27910">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23DA8" w14:textId="77777777" w:rsidR="00C27910" w:rsidRDefault="00C27910">
            <w:pPr>
              <w:spacing w:after="0" w:line="240" w:lineRule="auto"/>
              <w:rPr>
                <w:rFonts w:ascii="Times New Roman" w:hAnsi="Times New Roman"/>
                <w:b/>
                <w:sz w:val="20"/>
                <w:szCs w:val="20"/>
              </w:rPr>
            </w:pPr>
          </w:p>
        </w:tc>
        <w:tc>
          <w:tcPr>
            <w:tcW w:w="717" w:type="pct"/>
            <w:gridSpan w:val="2"/>
            <w:tcBorders>
              <w:top w:val="single" w:sz="4" w:space="0" w:color="auto"/>
              <w:left w:val="single" w:sz="4" w:space="0" w:color="auto"/>
              <w:bottom w:val="single" w:sz="4" w:space="0" w:color="auto"/>
              <w:right w:val="single" w:sz="4" w:space="0" w:color="auto"/>
            </w:tcBorders>
            <w:vAlign w:val="center"/>
          </w:tcPr>
          <w:p w14:paraId="30D42BE6" w14:textId="77777777" w:rsidR="00C27910" w:rsidRDefault="00C27910">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56A4F689" w14:textId="77777777" w:rsidR="00C27910" w:rsidRDefault="00C27910">
            <w:pPr>
              <w:spacing w:after="0" w:line="240" w:lineRule="auto"/>
              <w:jc w:val="both"/>
              <w:rPr>
                <w:rFonts w:ascii="Times New Roman" w:hAnsi="Times New Roman"/>
                <w:sz w:val="20"/>
                <w:szCs w:val="20"/>
              </w:rPr>
            </w:pPr>
            <w:r>
              <w:rPr>
                <w:rFonts w:ascii="Times New Roman" w:hAnsi="Times New Roman"/>
                <w:sz w:val="20"/>
                <w:szCs w:val="20"/>
              </w:rPr>
              <w:t>Périodique</w:t>
            </w:r>
          </w:p>
        </w:tc>
        <w:tc>
          <w:tcPr>
            <w:tcW w:w="1689" w:type="pct"/>
            <w:gridSpan w:val="7"/>
            <w:tcBorders>
              <w:top w:val="single" w:sz="4" w:space="0" w:color="auto"/>
              <w:left w:val="single" w:sz="4" w:space="0" w:color="auto"/>
              <w:bottom w:val="single" w:sz="4" w:space="0" w:color="auto"/>
              <w:right w:val="single" w:sz="4" w:space="0" w:color="auto"/>
            </w:tcBorders>
            <w:vAlign w:val="center"/>
            <w:hideMark/>
          </w:tcPr>
          <w:p w14:paraId="1192D9C3" w14:textId="77777777" w:rsidR="00C27910" w:rsidRDefault="00C27910">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Economique, Socio culturel </w:t>
            </w:r>
          </w:p>
        </w:tc>
        <w:tc>
          <w:tcPr>
            <w:tcW w:w="1239" w:type="pct"/>
            <w:gridSpan w:val="2"/>
          </w:tcPr>
          <w:p w14:paraId="49B8C835" w14:textId="77777777" w:rsidR="00C27910" w:rsidRDefault="00C27910">
            <w:pPr>
              <w:spacing w:after="0" w:line="240" w:lineRule="auto"/>
              <w:rPr>
                <w:rFonts w:ascii="Times New Roman" w:hAnsi="Times New Roman"/>
                <w:sz w:val="20"/>
                <w:szCs w:val="20"/>
              </w:rPr>
            </w:pPr>
          </w:p>
        </w:tc>
      </w:tr>
      <w:tr w:rsidR="00C27910" w:rsidRPr="00420C1B" w14:paraId="327CA750" w14:textId="77777777" w:rsidTr="00C27910">
        <w:trPr>
          <w:trHeight w:val="2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5A306A" w14:textId="77777777" w:rsidR="00C27910" w:rsidRDefault="00C27910">
            <w:pPr>
              <w:spacing w:after="0" w:line="240" w:lineRule="auto"/>
              <w:rPr>
                <w:rFonts w:ascii="Times New Roman" w:hAnsi="Times New Roman"/>
                <w:b/>
                <w:sz w:val="20"/>
                <w:szCs w:val="20"/>
              </w:rPr>
            </w:pPr>
          </w:p>
        </w:tc>
        <w:tc>
          <w:tcPr>
            <w:tcW w:w="717" w:type="pct"/>
            <w:gridSpan w:val="2"/>
            <w:tcBorders>
              <w:top w:val="single" w:sz="4" w:space="0" w:color="auto"/>
              <w:left w:val="single" w:sz="4" w:space="0" w:color="auto"/>
              <w:bottom w:val="single" w:sz="4" w:space="0" w:color="auto"/>
              <w:right w:val="single" w:sz="4" w:space="0" w:color="auto"/>
            </w:tcBorders>
            <w:vAlign w:val="center"/>
            <w:hideMark/>
          </w:tcPr>
          <w:p w14:paraId="6F001CD6" w14:textId="77777777" w:rsidR="00C27910" w:rsidRDefault="00C27910">
            <w:pPr>
              <w:spacing w:after="0" w:line="240" w:lineRule="auto"/>
              <w:rPr>
                <w:rFonts w:ascii="Times New Roman" w:eastAsia="Times New Roman" w:hAnsi="Times New Roman"/>
                <w:b/>
                <w:sz w:val="20"/>
                <w:szCs w:val="20"/>
                <w:lang w:eastAsia="fr-FR"/>
              </w:rPr>
            </w:pPr>
            <w:r>
              <w:rPr>
                <w:rFonts w:ascii="Times New Roman" w:hAnsi="Times New Roman"/>
                <w:b/>
                <w:sz w:val="20"/>
                <w:szCs w:val="20"/>
              </w:rPr>
              <w:t>Analyse</w:t>
            </w:r>
          </w:p>
        </w:tc>
        <w:tc>
          <w:tcPr>
            <w:tcW w:w="3567" w:type="pct"/>
            <w:gridSpan w:val="11"/>
            <w:tcBorders>
              <w:top w:val="single" w:sz="4" w:space="0" w:color="auto"/>
              <w:left w:val="single" w:sz="4" w:space="0" w:color="auto"/>
              <w:bottom w:val="single" w:sz="4" w:space="0" w:color="auto"/>
              <w:right w:val="single" w:sz="4" w:space="0" w:color="auto"/>
            </w:tcBorders>
            <w:hideMark/>
          </w:tcPr>
          <w:p w14:paraId="725F1EC6" w14:textId="77777777" w:rsidR="00C27910" w:rsidRPr="00420C1B" w:rsidRDefault="00C27910">
            <w:pPr>
              <w:spacing w:after="0" w:line="240" w:lineRule="auto"/>
              <w:jc w:val="both"/>
              <w:rPr>
                <w:rFonts w:ascii="Times New Roman" w:hAnsi="Times New Roman"/>
                <w:sz w:val="20"/>
                <w:szCs w:val="23"/>
              </w:rPr>
            </w:pPr>
            <w:r w:rsidRPr="00420C1B">
              <w:rPr>
                <w:rFonts w:ascii="Times New Roman" w:hAnsi="Times New Roman"/>
                <w:sz w:val="20"/>
                <w:szCs w:val="23"/>
              </w:rPr>
              <w:t xml:space="preserve">L’installation du chantier va affecter la qualité des eaux. Les déchets toxiques rejetés sur le sol, le déversement accidentel de carburant et lubrifiant sur le sol, ainsi que des déchets toxiques émanant des activités du chantier pourront affectés la qualité des eaux après le passage d’une pluie diluvienne. Les eaux de surface et souterraine seront affectées par les ruissellements des eaux météoriques lessivant au cours de leur passage tous les résidus chimiques et déchets solides émanant des chantiers vers les cours d’eau (Lukunga, Binza, Funa, …). </w:t>
            </w:r>
          </w:p>
          <w:p w14:paraId="462C7476" w14:textId="77777777" w:rsidR="00C27910" w:rsidRPr="00420C1B" w:rsidRDefault="00C27910">
            <w:pPr>
              <w:spacing w:before="60" w:after="0" w:line="240" w:lineRule="auto"/>
              <w:jc w:val="both"/>
              <w:rPr>
                <w:rFonts w:ascii="Times New Roman" w:hAnsi="Times New Roman"/>
                <w:sz w:val="20"/>
                <w:szCs w:val="23"/>
              </w:rPr>
            </w:pPr>
            <w:r w:rsidRPr="00420C1B">
              <w:rPr>
                <w:rFonts w:ascii="Times New Roman" w:hAnsi="Times New Roman"/>
                <w:sz w:val="20"/>
                <w:szCs w:val="23"/>
              </w:rPr>
              <w:t>Les eaux souterraines seront contaminées par infiltration et percolation des polluants dans le sol.</w:t>
            </w:r>
          </w:p>
        </w:tc>
      </w:tr>
      <w:tr w:rsidR="00C27910" w:rsidRPr="00420C1B" w14:paraId="01D4D1FF" w14:textId="77777777" w:rsidTr="00C27910">
        <w:trPr>
          <w:trHeight w:val="492"/>
          <w:jc w:val="center"/>
        </w:trPr>
        <w:tc>
          <w:tcPr>
            <w:tcW w:w="1433" w:type="pct"/>
            <w:gridSpan w:val="3"/>
            <w:tcBorders>
              <w:top w:val="single" w:sz="4" w:space="0" w:color="auto"/>
              <w:left w:val="single" w:sz="4" w:space="0" w:color="auto"/>
              <w:bottom w:val="single" w:sz="4" w:space="0" w:color="auto"/>
              <w:right w:val="single" w:sz="4" w:space="0" w:color="auto"/>
            </w:tcBorders>
            <w:vAlign w:val="center"/>
            <w:hideMark/>
          </w:tcPr>
          <w:p w14:paraId="732B76BC" w14:textId="77777777" w:rsidR="00C27910" w:rsidRDefault="00C27910">
            <w:pPr>
              <w:spacing w:after="0" w:line="240" w:lineRule="auto"/>
              <w:rPr>
                <w:rFonts w:ascii="Times New Roman" w:eastAsia="Times New Roman" w:hAnsi="Times New Roman"/>
                <w:sz w:val="20"/>
                <w:szCs w:val="20"/>
                <w:lang w:eastAsia="fr-FR"/>
              </w:rPr>
            </w:pPr>
            <w:r>
              <w:rPr>
                <w:rFonts w:ascii="Times New Roman" w:hAnsi="Times New Roman"/>
                <w:b/>
                <w:sz w:val="20"/>
                <w:szCs w:val="20"/>
              </w:rPr>
              <w:t>Titre de la mesure d’atténuation</w:t>
            </w:r>
            <w:r>
              <w:rPr>
                <w:rFonts w:ascii="Times New Roman" w:hAnsi="Times New Roman"/>
                <w:sz w:val="20"/>
                <w:szCs w:val="20"/>
              </w:rPr>
              <w:t xml:space="preserve"> : </w:t>
            </w:r>
          </w:p>
        </w:tc>
        <w:tc>
          <w:tcPr>
            <w:tcW w:w="3567" w:type="pct"/>
            <w:gridSpan w:val="11"/>
            <w:tcBorders>
              <w:top w:val="single" w:sz="4" w:space="0" w:color="auto"/>
              <w:left w:val="single" w:sz="4" w:space="0" w:color="auto"/>
              <w:bottom w:val="single" w:sz="4" w:space="0" w:color="auto"/>
              <w:right w:val="single" w:sz="4" w:space="0" w:color="auto"/>
            </w:tcBorders>
            <w:hideMark/>
          </w:tcPr>
          <w:p w14:paraId="6576FFDB"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 xml:space="preserve">Eviter le déversement accidentel ou non-accidentel des huiles usées, déchets liquides et solides (pièces métalliques,…) dans où aux abords des rivières, cours et source d’eau et au niveau des berges ; </w:t>
            </w:r>
          </w:p>
          <w:p w14:paraId="2142749D"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 xml:space="preserve">Eviter le stockage des matériaux, du carburant, des huiles et des produits chimiques, le nettoyage et l’entretien des engins et véhicule à moins de 500 m des cours d’eau ; </w:t>
            </w:r>
          </w:p>
          <w:p w14:paraId="0D806EC6"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Mettre en place  des absorbants et récipients de récupération sur les sites de travaux en cas de déversement accidentel ou de pertes fugitives ;</w:t>
            </w:r>
          </w:p>
          <w:p w14:paraId="13265D33"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Étendre du gravier sur le site des travaux pour favoriser l’infiltration d’eau, éviter les problèmes de poussière et de boue, et accroître la force portante du sol pour la machinerie lourde ;</w:t>
            </w:r>
          </w:p>
          <w:p w14:paraId="41D23B01"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Interdire et contrôler le rejet de déchets solides ou liquides dans la rivière ;</w:t>
            </w:r>
          </w:p>
          <w:p w14:paraId="392E6829"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Respecter le périmètre autour des cours d’eau et favoriser l’utilisation des matériaux biodégradables ;</w:t>
            </w:r>
          </w:p>
          <w:p w14:paraId="445EBBB8"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Entreposer les déchets dans un endroit prévu à cet usage et le déposer loin des cours d’eau ;</w:t>
            </w:r>
          </w:p>
          <w:p w14:paraId="01545EFC"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Empiler les déchets ligneux à bonne distance de la rivière et disposer les déchets solides et liquides aux endroits appropriés ;</w:t>
            </w:r>
          </w:p>
          <w:p w14:paraId="1CCC948F"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Assurer l’épuration des eaux usées avant leur rejet dans la rivière ;</w:t>
            </w:r>
          </w:p>
          <w:p w14:paraId="6F6BEF77"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Installer des séparateurs d’huiles ou un système de rétention de l’huile dans le réseau de drain du site ;</w:t>
            </w:r>
          </w:p>
          <w:p w14:paraId="1ACE9272" w14:textId="77777777" w:rsidR="00C27910" w:rsidRPr="00420C1B" w:rsidRDefault="00C27910" w:rsidP="00C27910">
            <w:pPr>
              <w:pStyle w:val="Default"/>
              <w:numPr>
                <w:ilvl w:val="0"/>
                <w:numId w:val="382"/>
              </w:numPr>
              <w:spacing w:line="276" w:lineRule="auto"/>
              <w:jc w:val="both"/>
              <w:rPr>
                <w:color w:val="auto"/>
                <w:sz w:val="20"/>
                <w:szCs w:val="23"/>
                <w:lang w:eastAsia="en-US"/>
              </w:rPr>
            </w:pPr>
            <w:r w:rsidRPr="00420C1B">
              <w:rPr>
                <w:color w:val="auto"/>
                <w:sz w:val="20"/>
                <w:szCs w:val="23"/>
                <w:lang w:eastAsia="en-US"/>
              </w:rPr>
              <w:t>Orienter les eaux de ruissellement contaminées vers des zones de végétation pour favoriser le filtrage naturel.</w:t>
            </w:r>
          </w:p>
        </w:tc>
      </w:tr>
      <w:tr w:rsidR="00C27910" w:rsidRPr="00420C1B" w14:paraId="34F40CE8" w14:textId="77777777" w:rsidTr="00C27910">
        <w:trPr>
          <w:trHeight w:val="1018"/>
          <w:jc w:val="center"/>
        </w:trPr>
        <w:tc>
          <w:tcPr>
            <w:tcW w:w="1433" w:type="pct"/>
            <w:gridSpan w:val="3"/>
            <w:tcBorders>
              <w:top w:val="single" w:sz="4" w:space="0" w:color="auto"/>
              <w:left w:val="single" w:sz="4" w:space="0" w:color="auto"/>
              <w:bottom w:val="single" w:sz="4" w:space="0" w:color="auto"/>
              <w:right w:val="single" w:sz="4" w:space="0" w:color="auto"/>
            </w:tcBorders>
            <w:hideMark/>
          </w:tcPr>
          <w:p w14:paraId="5C88C80D" w14:textId="77777777" w:rsidR="00C27910" w:rsidRDefault="00C27910">
            <w:pPr>
              <w:spacing w:after="0" w:line="240" w:lineRule="auto"/>
              <w:rPr>
                <w:rFonts w:ascii="Times New Roman" w:hAnsi="Times New Roman"/>
                <w:sz w:val="20"/>
                <w:szCs w:val="20"/>
              </w:rPr>
            </w:pPr>
            <w:r>
              <w:rPr>
                <w:rFonts w:ascii="Times New Roman" w:hAnsi="Times New Roman"/>
                <w:b/>
                <w:sz w:val="20"/>
                <w:szCs w:val="20"/>
              </w:rPr>
              <w:t>Objectif de la mesure d’atténuation</w:t>
            </w:r>
            <w:r>
              <w:rPr>
                <w:rFonts w:ascii="Times New Roman" w:hAnsi="Times New Roman"/>
                <w:sz w:val="20"/>
                <w:szCs w:val="20"/>
              </w:rPr>
              <w:t xml:space="preserve"> : </w:t>
            </w:r>
          </w:p>
          <w:p w14:paraId="066F7F35" w14:textId="77777777" w:rsidR="00C27910" w:rsidRDefault="00C27910">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Atténuer les effets du projet sur la qualité des eaux (surfaces et souterraines)</w:t>
            </w:r>
          </w:p>
        </w:tc>
        <w:tc>
          <w:tcPr>
            <w:tcW w:w="3567" w:type="pct"/>
            <w:gridSpan w:val="11"/>
            <w:tcBorders>
              <w:top w:val="single" w:sz="4" w:space="0" w:color="auto"/>
              <w:left w:val="single" w:sz="4" w:space="0" w:color="auto"/>
              <w:bottom w:val="single" w:sz="4" w:space="0" w:color="auto"/>
              <w:right w:val="single" w:sz="4" w:space="0" w:color="auto"/>
            </w:tcBorders>
            <w:hideMark/>
          </w:tcPr>
          <w:p w14:paraId="7E6FCE9F" w14:textId="77777777" w:rsidR="00C27910" w:rsidRDefault="00C27910">
            <w:pPr>
              <w:autoSpaceDE w:val="0"/>
              <w:autoSpaceDN w:val="0"/>
              <w:adjustRightInd w:val="0"/>
              <w:spacing w:after="0" w:line="240" w:lineRule="auto"/>
              <w:rPr>
                <w:rFonts w:ascii="Times New Roman" w:eastAsia="Times New Roman" w:hAnsi="Times New Roman"/>
                <w:sz w:val="20"/>
                <w:szCs w:val="20"/>
                <w:lang w:eastAsia="fr-FR"/>
              </w:rPr>
            </w:pPr>
            <w:r>
              <w:rPr>
                <w:rFonts w:ascii="Times New Roman" w:hAnsi="Times New Roman"/>
                <w:b/>
                <w:sz w:val="20"/>
                <w:szCs w:val="20"/>
                <w:u w:val="single"/>
              </w:rPr>
              <w:t>Description</w:t>
            </w:r>
            <w:r>
              <w:rPr>
                <w:rFonts w:ascii="Times New Roman" w:hAnsi="Times New Roman"/>
                <w:sz w:val="20"/>
                <w:szCs w:val="20"/>
              </w:rPr>
              <w:t xml:space="preserve"> : </w:t>
            </w:r>
          </w:p>
          <w:p w14:paraId="225696B6" w14:textId="77777777" w:rsidR="00C27910" w:rsidRPr="00420C1B" w:rsidRDefault="00C27910" w:rsidP="00C27910">
            <w:pPr>
              <w:numPr>
                <w:ilvl w:val="0"/>
                <w:numId w:val="382"/>
              </w:numPr>
              <w:autoSpaceDE w:val="0"/>
              <w:autoSpaceDN w:val="0"/>
              <w:adjustRightInd w:val="0"/>
              <w:spacing w:after="0" w:line="240" w:lineRule="auto"/>
              <w:contextualSpacing/>
              <w:jc w:val="both"/>
              <w:rPr>
                <w:rFonts w:ascii="Times New Roman" w:hAnsi="Times New Roman"/>
                <w:sz w:val="20"/>
                <w:szCs w:val="23"/>
              </w:rPr>
            </w:pPr>
            <w:r w:rsidRPr="00420C1B">
              <w:rPr>
                <w:rFonts w:ascii="Times New Roman" w:hAnsi="Times New Roman"/>
                <w:sz w:val="20"/>
                <w:szCs w:val="23"/>
              </w:rPr>
              <w:t>mise en place d’un programme d’hygiène, sécurité et environnement, qui devra développer en son sein un plan de gestion des déchets énonçant les différentes procédures pour la gestion des déversements, et un plan d’urgence pour les intervention en cas de déversement accidentel ;</w:t>
            </w:r>
          </w:p>
          <w:p w14:paraId="6EE07BA3" w14:textId="77777777" w:rsidR="00C27910" w:rsidRDefault="00C27910" w:rsidP="00C27910">
            <w:pPr>
              <w:numPr>
                <w:ilvl w:val="0"/>
                <w:numId w:val="382"/>
              </w:numPr>
              <w:autoSpaceDE w:val="0"/>
              <w:autoSpaceDN w:val="0"/>
              <w:adjustRightInd w:val="0"/>
              <w:spacing w:after="0" w:line="240" w:lineRule="auto"/>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prévenir les risques de pollution des eaux en ayant recours aux bonnes pratiques industrielles internationales</w:t>
            </w:r>
          </w:p>
        </w:tc>
      </w:tr>
      <w:tr w:rsidR="00C27910" w:rsidRPr="00420C1B" w14:paraId="01E069AD" w14:textId="77777777" w:rsidTr="00C27910">
        <w:trPr>
          <w:trHeight w:val="250"/>
          <w:jc w:val="center"/>
        </w:trPr>
        <w:tc>
          <w:tcPr>
            <w:tcW w:w="1433" w:type="pct"/>
            <w:gridSpan w:val="3"/>
            <w:tcBorders>
              <w:top w:val="single" w:sz="4" w:space="0" w:color="auto"/>
              <w:left w:val="single" w:sz="4" w:space="0" w:color="auto"/>
              <w:bottom w:val="single" w:sz="4" w:space="0" w:color="auto"/>
              <w:right w:val="single" w:sz="4" w:space="0" w:color="auto"/>
            </w:tcBorders>
            <w:hideMark/>
          </w:tcPr>
          <w:p w14:paraId="11A00151" w14:textId="77777777" w:rsidR="00C27910" w:rsidRDefault="00C27910">
            <w:pPr>
              <w:spacing w:after="0" w:line="240" w:lineRule="auto"/>
              <w:jc w:val="right"/>
              <w:rPr>
                <w:rFonts w:ascii="Times New Roman" w:hAnsi="Times New Roman"/>
                <w:b/>
                <w:sz w:val="20"/>
                <w:szCs w:val="20"/>
              </w:rPr>
            </w:pPr>
            <w:r>
              <w:rPr>
                <w:rFonts w:ascii="Times New Roman" w:hAnsi="Times New Roman"/>
                <w:b/>
                <w:sz w:val="20"/>
                <w:szCs w:val="20"/>
              </w:rPr>
              <w:t>Impact résiduel</w:t>
            </w:r>
          </w:p>
        </w:tc>
        <w:tc>
          <w:tcPr>
            <w:tcW w:w="3370" w:type="pct"/>
            <w:gridSpan w:val="10"/>
            <w:tcBorders>
              <w:top w:val="single" w:sz="4" w:space="0" w:color="auto"/>
              <w:left w:val="single" w:sz="4" w:space="0" w:color="auto"/>
              <w:bottom w:val="single" w:sz="4" w:space="0" w:color="auto"/>
              <w:right w:val="single" w:sz="4" w:space="0" w:color="auto"/>
            </w:tcBorders>
            <w:hideMark/>
          </w:tcPr>
          <w:p w14:paraId="425F3C85" w14:textId="77777777" w:rsidR="00C27910" w:rsidRDefault="00C27910">
            <w:pPr>
              <w:autoSpaceDE w:val="0"/>
              <w:autoSpaceDN w:val="0"/>
              <w:adjustRightInd w:val="0"/>
              <w:spacing w:after="0" w:line="240" w:lineRule="auto"/>
              <w:rPr>
                <w:rFonts w:ascii="Times New Roman" w:hAnsi="Times New Roman"/>
                <w:sz w:val="20"/>
                <w:szCs w:val="20"/>
                <w:u w:val="single"/>
              </w:rPr>
            </w:pPr>
            <w:r>
              <w:rPr>
                <w:rFonts w:ascii="Times New Roman" w:hAnsi="Times New Roman"/>
                <w:sz w:val="20"/>
                <w:szCs w:val="20"/>
                <w:u w:val="single"/>
              </w:rPr>
              <w:t xml:space="preserve">Mineur </w:t>
            </w:r>
          </w:p>
        </w:tc>
        <w:tc>
          <w:tcPr>
            <w:tcW w:w="197" w:type="pct"/>
            <w:tcBorders>
              <w:top w:val="single" w:sz="4" w:space="0" w:color="auto"/>
              <w:left w:val="single" w:sz="4" w:space="0" w:color="auto"/>
              <w:bottom w:val="single" w:sz="4" w:space="0" w:color="auto"/>
              <w:right w:val="single" w:sz="4" w:space="0" w:color="auto"/>
            </w:tcBorders>
          </w:tcPr>
          <w:p w14:paraId="5AA187B7" w14:textId="77777777" w:rsidR="00C27910" w:rsidRDefault="00C27910">
            <w:pPr>
              <w:autoSpaceDE w:val="0"/>
              <w:autoSpaceDN w:val="0"/>
              <w:adjustRightInd w:val="0"/>
              <w:spacing w:after="0" w:line="240" w:lineRule="auto"/>
              <w:rPr>
                <w:rFonts w:ascii="Times New Roman" w:hAnsi="Times New Roman"/>
                <w:sz w:val="20"/>
                <w:szCs w:val="20"/>
                <w:u w:val="single"/>
              </w:rPr>
            </w:pPr>
          </w:p>
        </w:tc>
      </w:tr>
      <w:tr w:rsidR="00C27910" w:rsidRPr="00420C1B" w14:paraId="398F9A40" w14:textId="77777777" w:rsidTr="00C27910">
        <w:trPr>
          <w:trHeight w:val="545"/>
          <w:jc w:val="center"/>
        </w:trPr>
        <w:tc>
          <w:tcPr>
            <w:tcW w:w="1433" w:type="pct"/>
            <w:gridSpan w:val="3"/>
            <w:tcBorders>
              <w:top w:val="single" w:sz="4" w:space="0" w:color="auto"/>
              <w:left w:val="single" w:sz="4" w:space="0" w:color="auto"/>
              <w:bottom w:val="single" w:sz="4" w:space="0" w:color="auto"/>
              <w:right w:val="single" w:sz="4" w:space="0" w:color="auto"/>
            </w:tcBorders>
            <w:hideMark/>
          </w:tcPr>
          <w:p w14:paraId="1942BE6F"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surveillance</w:t>
            </w:r>
          </w:p>
          <w:p w14:paraId="30905EBA" w14:textId="77777777" w:rsidR="00C27910" w:rsidRDefault="00C27910" w:rsidP="00C27910">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Mission de Contrôle (MdC) ;</w:t>
            </w:r>
          </w:p>
          <w:p w14:paraId="2D8ECB1B" w14:textId="77777777" w:rsidR="00C27910" w:rsidRDefault="00C27910" w:rsidP="00C27910">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Agence Congolaise de l’Environnement (ACE) </w:t>
            </w:r>
          </w:p>
        </w:tc>
        <w:tc>
          <w:tcPr>
            <w:tcW w:w="2328" w:type="pct"/>
            <w:gridSpan w:val="9"/>
            <w:tcBorders>
              <w:top w:val="single" w:sz="4" w:space="0" w:color="auto"/>
              <w:left w:val="single" w:sz="4" w:space="0" w:color="auto"/>
              <w:bottom w:val="single" w:sz="4" w:space="0" w:color="auto"/>
              <w:right w:val="single" w:sz="4" w:space="0" w:color="auto"/>
            </w:tcBorders>
            <w:hideMark/>
          </w:tcPr>
          <w:p w14:paraId="5A1293DD"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suivi</w:t>
            </w:r>
          </w:p>
          <w:p w14:paraId="15BF62F3"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Cellule Provinciale de l’Environnement (CPE) ;</w:t>
            </w:r>
          </w:p>
          <w:p w14:paraId="6A43B9B3" w14:textId="77777777" w:rsidR="00C27910" w:rsidRDefault="00C27910" w:rsidP="00C27910">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Sous-Cellule environnementale et sociale d’UCM (SCES/UCM)</w:t>
            </w:r>
          </w:p>
          <w:p w14:paraId="4337F56C" w14:textId="77777777" w:rsidR="00C27910" w:rsidRDefault="00C27910" w:rsidP="00C27910">
            <w:pPr>
              <w:numPr>
                <w:ilvl w:val="0"/>
                <w:numId w:val="382"/>
              </w:numPr>
              <w:autoSpaceDE w:val="0"/>
              <w:autoSpaceDN w:val="0"/>
              <w:adjustRightInd w:val="0"/>
              <w:spacing w:after="0" w:line="240" w:lineRule="auto"/>
              <w:ind w:left="161" w:hanging="161"/>
              <w:contextualSpacing/>
              <w:jc w:val="both"/>
              <w:rPr>
                <w:rFonts w:ascii="Times New Roman" w:hAnsi="Times New Roman"/>
                <w:sz w:val="20"/>
                <w:szCs w:val="20"/>
              </w:rPr>
            </w:pPr>
            <w:r>
              <w:rPr>
                <w:rFonts w:ascii="Times New Roman" w:hAnsi="Times New Roman"/>
                <w:sz w:val="20"/>
                <w:szCs w:val="20"/>
              </w:rPr>
              <w:t xml:space="preserve">Service environnement des communes concernées </w:t>
            </w:r>
          </w:p>
        </w:tc>
        <w:tc>
          <w:tcPr>
            <w:tcW w:w="1239" w:type="pct"/>
            <w:gridSpan w:val="2"/>
            <w:tcBorders>
              <w:top w:val="single" w:sz="4" w:space="0" w:color="auto"/>
              <w:left w:val="single" w:sz="4" w:space="0" w:color="auto"/>
              <w:bottom w:val="single" w:sz="4" w:space="0" w:color="auto"/>
              <w:right w:val="single" w:sz="4" w:space="0" w:color="auto"/>
            </w:tcBorders>
            <w:hideMark/>
          </w:tcPr>
          <w:p w14:paraId="54CF1191"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Indicateurs de suivi</w:t>
            </w:r>
          </w:p>
          <w:p w14:paraId="26E1BFA5" w14:textId="77777777" w:rsidR="00C27910" w:rsidRDefault="00C27910" w:rsidP="00C27910">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Quantité de polluants prélevés dans les eaux</w:t>
            </w:r>
          </w:p>
          <w:p w14:paraId="3D81D9DC" w14:textId="77777777" w:rsidR="00C27910" w:rsidRDefault="00C27910" w:rsidP="00C27910">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Nombre de cas de déversements accidentels enregistrés</w:t>
            </w:r>
          </w:p>
        </w:tc>
      </w:tr>
      <w:tr w:rsidR="00C27910" w:rsidRPr="00420C1B" w14:paraId="5785267F" w14:textId="77777777" w:rsidTr="00C27910">
        <w:trPr>
          <w:trHeight w:val="164"/>
          <w:jc w:val="center"/>
        </w:trPr>
        <w:tc>
          <w:tcPr>
            <w:tcW w:w="716" w:type="pct"/>
            <w:tcBorders>
              <w:top w:val="single" w:sz="4" w:space="0" w:color="auto"/>
              <w:left w:val="single" w:sz="4" w:space="0" w:color="auto"/>
              <w:bottom w:val="single" w:sz="4" w:space="0" w:color="auto"/>
              <w:right w:val="single" w:sz="4" w:space="0" w:color="auto"/>
            </w:tcBorders>
            <w:hideMark/>
          </w:tcPr>
          <w:p w14:paraId="551D4E1C" w14:textId="77777777" w:rsidR="00C27910" w:rsidRDefault="00C27910">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Coût de la mesure</w:t>
            </w:r>
          </w:p>
        </w:tc>
        <w:tc>
          <w:tcPr>
            <w:tcW w:w="446" w:type="pct"/>
            <w:tcBorders>
              <w:top w:val="single" w:sz="4" w:space="0" w:color="auto"/>
              <w:left w:val="single" w:sz="4" w:space="0" w:color="auto"/>
              <w:bottom w:val="single" w:sz="4" w:space="0" w:color="auto"/>
              <w:right w:val="single" w:sz="4" w:space="0" w:color="auto"/>
            </w:tcBorders>
            <w:hideMark/>
          </w:tcPr>
          <w:p w14:paraId="604A5F3D"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Unité</w:t>
            </w:r>
          </w:p>
        </w:tc>
        <w:tc>
          <w:tcPr>
            <w:tcW w:w="546" w:type="pct"/>
            <w:gridSpan w:val="2"/>
            <w:tcBorders>
              <w:top w:val="single" w:sz="4" w:space="0" w:color="auto"/>
              <w:left w:val="single" w:sz="4" w:space="0" w:color="auto"/>
              <w:bottom w:val="single" w:sz="4" w:space="0" w:color="auto"/>
              <w:right w:val="single" w:sz="4" w:space="0" w:color="auto"/>
            </w:tcBorders>
            <w:hideMark/>
          </w:tcPr>
          <w:p w14:paraId="2034838D"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hideMark/>
          </w:tcPr>
          <w:p w14:paraId="19A76A47"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hideMark/>
          </w:tcPr>
          <w:p w14:paraId="46A4E628"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hideMark/>
          </w:tcPr>
          <w:p w14:paraId="3F1E677F"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Projet en $</w:t>
            </w:r>
          </w:p>
        </w:tc>
        <w:tc>
          <w:tcPr>
            <w:tcW w:w="392" w:type="pct"/>
            <w:tcBorders>
              <w:top w:val="single" w:sz="4" w:space="0" w:color="auto"/>
              <w:left w:val="single" w:sz="4" w:space="0" w:color="auto"/>
              <w:bottom w:val="single" w:sz="4" w:space="0" w:color="auto"/>
              <w:right w:val="single" w:sz="4" w:space="0" w:color="auto"/>
            </w:tcBorders>
            <w:hideMark/>
          </w:tcPr>
          <w:p w14:paraId="0C753A3F" w14:textId="77777777" w:rsidR="00C27910" w:rsidRDefault="00C27910">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Coût total</w:t>
            </w:r>
          </w:p>
        </w:tc>
        <w:tc>
          <w:tcPr>
            <w:tcW w:w="1239" w:type="pct"/>
            <w:gridSpan w:val="2"/>
            <w:tcBorders>
              <w:top w:val="single" w:sz="4" w:space="0" w:color="auto"/>
              <w:left w:val="single" w:sz="4" w:space="0" w:color="auto"/>
              <w:bottom w:val="single" w:sz="4" w:space="0" w:color="auto"/>
              <w:right w:val="single" w:sz="4" w:space="0" w:color="auto"/>
            </w:tcBorders>
            <w:hideMark/>
          </w:tcPr>
          <w:p w14:paraId="084844D4" w14:textId="77777777" w:rsidR="00C27910" w:rsidRDefault="00C27910">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Calendrier de mise en œuvre</w:t>
            </w:r>
          </w:p>
        </w:tc>
      </w:tr>
      <w:tr w:rsidR="00C27910" w:rsidRPr="00420C1B" w14:paraId="1DC9F82B" w14:textId="77777777" w:rsidTr="00C27910">
        <w:trPr>
          <w:trHeight w:val="185"/>
          <w:jc w:val="center"/>
        </w:trPr>
        <w:tc>
          <w:tcPr>
            <w:tcW w:w="716" w:type="pct"/>
            <w:tcBorders>
              <w:top w:val="single" w:sz="4" w:space="0" w:color="auto"/>
              <w:left w:val="single" w:sz="4" w:space="0" w:color="auto"/>
              <w:bottom w:val="single" w:sz="4" w:space="0" w:color="auto"/>
              <w:right w:val="single" w:sz="4" w:space="0" w:color="auto"/>
            </w:tcBorders>
            <w:hideMark/>
          </w:tcPr>
          <w:p w14:paraId="2A22B9CB" w14:textId="77777777" w:rsidR="00C27910" w:rsidRPr="00420C1B" w:rsidRDefault="00C27910">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Traitement des eaux usées</w:t>
            </w:r>
          </w:p>
        </w:tc>
        <w:tc>
          <w:tcPr>
            <w:tcW w:w="446" w:type="pct"/>
            <w:tcBorders>
              <w:top w:val="single" w:sz="4" w:space="0" w:color="auto"/>
              <w:left w:val="single" w:sz="4" w:space="0" w:color="auto"/>
              <w:bottom w:val="single" w:sz="4" w:space="0" w:color="auto"/>
              <w:right w:val="single" w:sz="4" w:space="0" w:color="auto"/>
            </w:tcBorders>
            <w:hideMark/>
          </w:tcPr>
          <w:p w14:paraId="113E6A8E"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forfait </w:t>
            </w:r>
          </w:p>
        </w:tc>
        <w:tc>
          <w:tcPr>
            <w:tcW w:w="546" w:type="pct"/>
            <w:gridSpan w:val="2"/>
            <w:tcBorders>
              <w:top w:val="single" w:sz="4" w:space="0" w:color="auto"/>
              <w:left w:val="single" w:sz="4" w:space="0" w:color="auto"/>
              <w:bottom w:val="single" w:sz="4" w:space="0" w:color="auto"/>
              <w:right w:val="single" w:sz="4" w:space="0" w:color="auto"/>
            </w:tcBorders>
            <w:hideMark/>
          </w:tcPr>
          <w:p w14:paraId="228A79D8"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Ff</w:t>
            </w:r>
          </w:p>
        </w:tc>
        <w:tc>
          <w:tcPr>
            <w:tcW w:w="692" w:type="pct"/>
            <w:gridSpan w:val="3"/>
            <w:tcBorders>
              <w:top w:val="single" w:sz="4" w:space="0" w:color="auto"/>
              <w:left w:val="single" w:sz="4" w:space="0" w:color="auto"/>
              <w:bottom w:val="single" w:sz="4" w:space="0" w:color="auto"/>
              <w:right w:val="single" w:sz="4" w:space="0" w:color="auto"/>
            </w:tcBorders>
            <w:hideMark/>
          </w:tcPr>
          <w:p w14:paraId="3571060C"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553" w:type="pct"/>
            <w:gridSpan w:val="2"/>
            <w:tcBorders>
              <w:top w:val="single" w:sz="4" w:space="0" w:color="auto"/>
              <w:left w:val="single" w:sz="4" w:space="0" w:color="auto"/>
              <w:bottom w:val="single" w:sz="4" w:space="0" w:color="auto"/>
              <w:right w:val="single" w:sz="4" w:space="0" w:color="auto"/>
            </w:tcBorders>
            <w:hideMark/>
          </w:tcPr>
          <w:p w14:paraId="4C01C523" w14:textId="77777777" w:rsidR="00C27910" w:rsidRPr="00420C1B" w:rsidRDefault="00C27910">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5000</w:t>
            </w:r>
          </w:p>
        </w:tc>
        <w:tc>
          <w:tcPr>
            <w:tcW w:w="415" w:type="pct"/>
            <w:gridSpan w:val="2"/>
            <w:tcBorders>
              <w:top w:val="single" w:sz="4" w:space="0" w:color="auto"/>
              <w:left w:val="single" w:sz="4" w:space="0" w:color="auto"/>
              <w:bottom w:val="single" w:sz="4" w:space="0" w:color="auto"/>
              <w:right w:val="single" w:sz="4" w:space="0" w:color="auto"/>
            </w:tcBorders>
            <w:hideMark/>
          </w:tcPr>
          <w:p w14:paraId="7AF4B431"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2500</w:t>
            </w:r>
          </w:p>
        </w:tc>
        <w:tc>
          <w:tcPr>
            <w:tcW w:w="392" w:type="pct"/>
            <w:tcBorders>
              <w:top w:val="single" w:sz="4" w:space="0" w:color="auto"/>
              <w:left w:val="single" w:sz="4" w:space="0" w:color="auto"/>
              <w:bottom w:val="single" w:sz="4" w:space="0" w:color="auto"/>
              <w:right w:val="single" w:sz="4" w:space="0" w:color="auto"/>
            </w:tcBorders>
            <w:hideMark/>
          </w:tcPr>
          <w:p w14:paraId="18B1ABE5" w14:textId="77777777" w:rsidR="00C27910" w:rsidRPr="00420C1B" w:rsidRDefault="00C27910">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7500</w:t>
            </w:r>
          </w:p>
        </w:tc>
        <w:tc>
          <w:tcPr>
            <w:tcW w:w="1239" w:type="pct"/>
            <w:gridSpan w:val="2"/>
            <w:tcBorders>
              <w:top w:val="single" w:sz="4" w:space="0" w:color="auto"/>
              <w:left w:val="single" w:sz="4" w:space="0" w:color="auto"/>
              <w:bottom w:val="single" w:sz="4" w:space="0" w:color="auto"/>
              <w:right w:val="single" w:sz="4" w:space="0" w:color="auto"/>
            </w:tcBorders>
            <w:hideMark/>
          </w:tcPr>
          <w:p w14:paraId="731C3FD6" w14:textId="77777777" w:rsidR="00C27910" w:rsidRPr="00420C1B" w:rsidRDefault="00C27910">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Avant et Pendant les travaux</w:t>
            </w:r>
          </w:p>
        </w:tc>
      </w:tr>
    </w:tbl>
    <w:p w14:paraId="68425406" w14:textId="77777777" w:rsidR="00C27910" w:rsidRDefault="00C27910" w:rsidP="00C27910">
      <w:pPr>
        <w:keepNext/>
        <w:spacing w:after="120" w:line="240" w:lineRule="auto"/>
        <w:rPr>
          <w:rFonts w:ascii="Times New Roman" w:hAnsi="Times New Roman"/>
          <w:iCs/>
          <w:szCs w:val="18"/>
        </w:rPr>
      </w:pPr>
    </w:p>
    <w:p w14:paraId="5B9FFF8F" w14:textId="4B58E98F" w:rsidR="00BD6279" w:rsidRDefault="00BD6279" w:rsidP="00BD6279">
      <w:pPr>
        <w:keepNext/>
        <w:spacing w:after="120" w:line="240" w:lineRule="auto"/>
        <w:jc w:val="center"/>
        <w:rPr>
          <w:rFonts w:ascii="Times New Roman" w:hAnsi="Times New Roman"/>
          <w:iCs/>
          <w:sz w:val="24"/>
          <w:szCs w:val="24"/>
        </w:rPr>
      </w:pPr>
      <w:bookmarkStart w:id="605" w:name="_Toc93050291"/>
      <w:r w:rsidRPr="00215867">
        <w:rPr>
          <w:rFonts w:ascii="Times New Roman" w:hAnsi="Times New Roman"/>
          <w:iCs/>
          <w:sz w:val="24"/>
          <w:szCs w:val="24"/>
        </w:rPr>
        <w:t xml:space="preserve">Tableau </w:t>
      </w:r>
      <w:r w:rsidRPr="00BD6279">
        <w:rPr>
          <w:rFonts w:ascii="Times New Roman" w:hAnsi="Times New Roman"/>
          <w:iCs/>
          <w:sz w:val="24"/>
          <w:szCs w:val="24"/>
        </w:rPr>
        <w:fldChar w:fldCharType="begin"/>
      </w:r>
      <w:r w:rsidRPr="00BD6279">
        <w:rPr>
          <w:rFonts w:ascii="Times New Roman" w:hAnsi="Times New Roman"/>
          <w:iCs/>
          <w:sz w:val="24"/>
          <w:szCs w:val="24"/>
        </w:rPr>
        <w:instrText xml:space="preserve"> SEQ Tableau \* ARABIC </w:instrText>
      </w:r>
      <w:r w:rsidRPr="00BD6279">
        <w:rPr>
          <w:rFonts w:ascii="Times New Roman" w:hAnsi="Times New Roman"/>
          <w:iCs/>
          <w:sz w:val="24"/>
          <w:szCs w:val="24"/>
        </w:rPr>
        <w:fldChar w:fldCharType="separate"/>
      </w:r>
      <w:r>
        <w:rPr>
          <w:rFonts w:ascii="Times New Roman" w:hAnsi="Times New Roman"/>
          <w:iCs/>
          <w:noProof/>
          <w:sz w:val="24"/>
          <w:szCs w:val="24"/>
        </w:rPr>
        <w:t>29</w:t>
      </w:r>
      <w:r w:rsidRPr="00BD6279">
        <w:rPr>
          <w:rFonts w:ascii="Times New Roman" w:hAnsi="Times New Roman"/>
          <w:iCs/>
          <w:noProof/>
          <w:sz w:val="24"/>
          <w:szCs w:val="24"/>
        </w:rPr>
        <w:fldChar w:fldCharType="end"/>
      </w:r>
      <w:r w:rsidRPr="00215867">
        <w:rPr>
          <w:rFonts w:ascii="Times New Roman" w:hAnsi="Times New Roman"/>
          <w:iCs/>
          <w:sz w:val="24"/>
          <w:szCs w:val="24"/>
        </w:rPr>
        <w:t xml:space="preserve"> : Fiche de déclaration d’Impact – </w:t>
      </w:r>
      <w:r w:rsidRPr="00215867">
        <w:rPr>
          <w:rFonts w:ascii="Times New Roman" w:hAnsi="Times New Roman"/>
          <w:b/>
          <w:iCs/>
          <w:sz w:val="24"/>
          <w:szCs w:val="24"/>
        </w:rPr>
        <w:t xml:space="preserve">Code </w:t>
      </w:r>
      <w:r>
        <w:rPr>
          <w:rFonts w:ascii="Times New Roman" w:hAnsi="Times New Roman"/>
          <w:b/>
          <w:iCs/>
          <w:sz w:val="24"/>
          <w:szCs w:val="24"/>
        </w:rPr>
        <w:t>07</w:t>
      </w:r>
      <w:bookmarkEnd w:id="605"/>
    </w:p>
    <w:tbl>
      <w:tblPr>
        <w:tblW w:w="5100" w:type="pct"/>
        <w:jc w:val="center"/>
        <w:tblLook w:val="04A0" w:firstRow="1" w:lastRow="0" w:firstColumn="1" w:lastColumn="0" w:noHBand="0" w:noVBand="1"/>
      </w:tblPr>
      <w:tblGrid>
        <w:gridCol w:w="1795"/>
        <w:gridCol w:w="701"/>
        <w:gridCol w:w="423"/>
        <w:gridCol w:w="561"/>
        <w:gridCol w:w="738"/>
        <w:gridCol w:w="476"/>
        <w:gridCol w:w="193"/>
        <w:gridCol w:w="431"/>
        <w:gridCol w:w="693"/>
        <w:gridCol w:w="604"/>
        <w:gridCol w:w="240"/>
        <w:gridCol w:w="1264"/>
        <w:gridCol w:w="1640"/>
        <w:gridCol w:w="402"/>
      </w:tblGrid>
      <w:tr w:rsidR="00BD6279" w:rsidRPr="00420C1B" w14:paraId="5D99FDC6" w14:textId="77777777" w:rsidTr="00BD6279">
        <w:trPr>
          <w:trHeight w:val="250"/>
          <w:tblHeader/>
          <w:jc w:val="center"/>
        </w:trPr>
        <w:tc>
          <w:tcPr>
            <w:tcW w:w="88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241BFBCD" w14:textId="77777777" w:rsidR="00BD6279" w:rsidRDefault="00BD6279">
            <w:pPr>
              <w:spacing w:after="0" w:line="240" w:lineRule="auto"/>
              <w:jc w:val="center"/>
              <w:rPr>
                <w:rFonts w:ascii="Times New Roman" w:hAnsi="Times New Roman"/>
                <w:b/>
                <w:sz w:val="20"/>
                <w:szCs w:val="20"/>
              </w:rPr>
            </w:pPr>
            <w:r>
              <w:rPr>
                <w:rFonts w:ascii="Times New Roman" w:hAnsi="Times New Roman"/>
                <w:b/>
                <w:sz w:val="20"/>
                <w:szCs w:val="20"/>
              </w:rPr>
              <w:t>COMPOSANTE</w:t>
            </w:r>
          </w:p>
        </w:tc>
        <w:tc>
          <w:tcPr>
            <w:tcW w:w="1426"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60979BB2" w14:textId="77777777" w:rsidR="00BD6279" w:rsidRDefault="00BD6279">
            <w:pPr>
              <w:spacing w:after="0" w:line="240" w:lineRule="auto"/>
              <w:rPr>
                <w:rFonts w:ascii="Times New Roman" w:hAnsi="Times New Roman"/>
                <w:b/>
                <w:sz w:val="20"/>
                <w:szCs w:val="20"/>
              </w:rPr>
            </w:pPr>
            <w:r>
              <w:rPr>
                <w:rFonts w:ascii="Times New Roman" w:hAnsi="Times New Roman"/>
                <w:sz w:val="20"/>
                <w:szCs w:val="20"/>
              </w:rPr>
              <w:t>Végétation</w:t>
            </w:r>
          </w:p>
        </w:tc>
        <w:tc>
          <w:tcPr>
            <w:tcW w:w="945"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333CECA8" w14:textId="77777777" w:rsidR="00BD6279" w:rsidRDefault="00BD6279">
            <w:pPr>
              <w:spacing w:after="0" w:line="240" w:lineRule="auto"/>
              <w:rPr>
                <w:rFonts w:ascii="Times New Roman" w:hAnsi="Times New Roman"/>
                <w:b/>
                <w:sz w:val="20"/>
                <w:szCs w:val="20"/>
              </w:rPr>
            </w:pPr>
            <w:r>
              <w:rPr>
                <w:rFonts w:ascii="Times New Roman" w:hAnsi="Times New Roman"/>
                <w:b/>
                <w:sz w:val="20"/>
                <w:szCs w:val="20"/>
              </w:rPr>
              <w:t>PHASE</w:t>
            </w:r>
          </w:p>
        </w:tc>
        <w:tc>
          <w:tcPr>
            <w:tcW w:w="740"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434FBF93" w14:textId="77777777" w:rsidR="00BD6279" w:rsidRDefault="00BD6279">
            <w:pPr>
              <w:spacing w:after="0" w:line="240" w:lineRule="auto"/>
              <w:rPr>
                <w:rFonts w:ascii="Times New Roman" w:hAnsi="Times New Roman"/>
                <w:sz w:val="20"/>
                <w:szCs w:val="20"/>
              </w:rPr>
            </w:pPr>
            <w:r>
              <w:rPr>
                <w:rFonts w:ascii="Times New Roman" w:hAnsi="Times New Roman"/>
                <w:sz w:val="20"/>
                <w:szCs w:val="20"/>
              </w:rPr>
              <w:t>Préparatoire</w:t>
            </w:r>
          </w:p>
        </w:tc>
        <w:tc>
          <w:tcPr>
            <w:tcW w:w="1005"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65753C5F" w14:textId="77777777" w:rsidR="00BD6279" w:rsidRDefault="00BD6279">
            <w:pPr>
              <w:spacing w:after="0" w:line="240" w:lineRule="auto"/>
              <w:rPr>
                <w:rFonts w:ascii="Times New Roman" w:hAnsi="Times New Roman"/>
                <w:sz w:val="20"/>
                <w:szCs w:val="20"/>
              </w:rPr>
            </w:pPr>
            <w:r>
              <w:rPr>
                <w:rFonts w:ascii="Times New Roman" w:hAnsi="Times New Roman"/>
                <w:sz w:val="20"/>
                <w:szCs w:val="20"/>
              </w:rPr>
              <w:t>Photos de l’impact</w:t>
            </w:r>
          </w:p>
        </w:tc>
      </w:tr>
      <w:tr w:rsidR="00BD6279" w:rsidRPr="00420C1B" w14:paraId="574EDBF0" w14:textId="77777777" w:rsidTr="00BD6279">
        <w:trPr>
          <w:trHeight w:val="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77A97908" w14:textId="77777777" w:rsidR="00BD6279" w:rsidRDefault="00BD6279">
            <w:pPr>
              <w:spacing w:after="0" w:line="240" w:lineRule="auto"/>
              <w:rPr>
                <w:rFonts w:ascii="Times New Roman" w:hAnsi="Times New Roman"/>
                <w:b/>
                <w:sz w:val="20"/>
                <w:szCs w:val="20"/>
              </w:rPr>
            </w:pPr>
            <w:r>
              <w:rPr>
                <w:rFonts w:ascii="Times New Roman" w:hAnsi="Times New Roman"/>
                <w:b/>
                <w:sz w:val="20"/>
                <w:szCs w:val="20"/>
              </w:rPr>
              <w:t>Code 01</w:t>
            </w:r>
          </w:p>
        </w:tc>
        <w:tc>
          <w:tcPr>
            <w:tcW w:w="3111" w:type="pct"/>
            <w:gridSpan w:val="11"/>
            <w:tcBorders>
              <w:top w:val="single" w:sz="4" w:space="0" w:color="auto"/>
              <w:left w:val="single" w:sz="4" w:space="0" w:color="auto"/>
              <w:bottom w:val="single" w:sz="4" w:space="0" w:color="auto"/>
              <w:right w:val="single" w:sz="4" w:space="0" w:color="auto"/>
            </w:tcBorders>
            <w:hideMark/>
          </w:tcPr>
          <w:p w14:paraId="3B951B85" w14:textId="77777777" w:rsidR="00BD6279" w:rsidRDefault="00BD6279">
            <w:pPr>
              <w:spacing w:after="0" w:line="240" w:lineRule="auto"/>
              <w:rPr>
                <w:rFonts w:ascii="Times New Roman" w:hAnsi="Times New Roman"/>
                <w:sz w:val="20"/>
                <w:szCs w:val="20"/>
              </w:rPr>
            </w:pPr>
            <w:r>
              <w:rPr>
                <w:rFonts w:ascii="Times New Roman" w:hAnsi="Times New Roman"/>
                <w:b/>
                <w:sz w:val="20"/>
                <w:szCs w:val="20"/>
              </w:rPr>
              <w:t xml:space="preserve">Source d’impact : </w:t>
            </w:r>
          </w:p>
          <w:p w14:paraId="624DA1A5" w14:textId="77777777" w:rsidR="00BD6279" w:rsidRDefault="00BD6279" w:rsidP="00BD6279">
            <w:pPr>
              <w:pStyle w:val="Paragraphedeliste"/>
              <w:numPr>
                <w:ilvl w:val="0"/>
                <w:numId w:val="384"/>
              </w:numPr>
              <w:spacing w:after="0" w:line="240" w:lineRule="auto"/>
              <w:ind w:left="998"/>
              <w:rPr>
                <w:rFonts w:ascii="Times New Roman" w:hAnsi="Times New Roman"/>
                <w:sz w:val="20"/>
                <w:szCs w:val="20"/>
              </w:rPr>
            </w:pPr>
            <w:r>
              <w:rPr>
                <w:rFonts w:ascii="Times New Roman" w:hAnsi="Times New Roman"/>
                <w:sz w:val="20"/>
                <w:szCs w:val="20"/>
              </w:rPr>
              <w:t>Destruction de la flore et du couvert végétal ;</w:t>
            </w:r>
          </w:p>
          <w:p w14:paraId="573F1919" w14:textId="77777777" w:rsidR="00BD6279" w:rsidRDefault="00BD6279" w:rsidP="00BD6279">
            <w:pPr>
              <w:pStyle w:val="Paragraphedeliste"/>
              <w:numPr>
                <w:ilvl w:val="0"/>
                <w:numId w:val="384"/>
              </w:numPr>
              <w:spacing w:after="0" w:line="240" w:lineRule="auto"/>
              <w:ind w:left="998"/>
              <w:rPr>
                <w:rFonts w:ascii="Times New Roman" w:hAnsi="Times New Roman"/>
                <w:sz w:val="20"/>
                <w:szCs w:val="20"/>
              </w:rPr>
            </w:pPr>
            <w:r>
              <w:rPr>
                <w:rFonts w:ascii="Times New Roman" w:hAnsi="Times New Roman"/>
                <w:sz w:val="20"/>
                <w:szCs w:val="20"/>
              </w:rPr>
              <w:t>Perte d’habitat faunique ;</w:t>
            </w:r>
          </w:p>
          <w:p w14:paraId="2AB2ABF9" w14:textId="77777777" w:rsidR="00BD6279" w:rsidRDefault="00BD6279" w:rsidP="00BD6279">
            <w:pPr>
              <w:pStyle w:val="Paragraphedeliste"/>
              <w:numPr>
                <w:ilvl w:val="0"/>
                <w:numId w:val="384"/>
              </w:numPr>
              <w:spacing w:after="0" w:line="240" w:lineRule="auto"/>
              <w:ind w:left="998"/>
              <w:rPr>
                <w:rFonts w:ascii="Times New Roman" w:hAnsi="Times New Roman"/>
                <w:sz w:val="20"/>
                <w:szCs w:val="20"/>
              </w:rPr>
            </w:pPr>
            <w:r>
              <w:rPr>
                <w:rFonts w:ascii="Times New Roman" w:hAnsi="Times New Roman"/>
                <w:sz w:val="20"/>
                <w:szCs w:val="20"/>
              </w:rPr>
              <w:t>Eloignement et Migration des animaux ;</w:t>
            </w:r>
          </w:p>
          <w:p w14:paraId="237C4BC5" w14:textId="77777777" w:rsidR="00BD6279" w:rsidRDefault="00BD6279" w:rsidP="00BD6279">
            <w:pPr>
              <w:pStyle w:val="Paragraphedeliste"/>
              <w:numPr>
                <w:ilvl w:val="0"/>
                <w:numId w:val="384"/>
              </w:numPr>
              <w:spacing w:after="0" w:line="240" w:lineRule="auto"/>
              <w:ind w:left="998"/>
              <w:rPr>
                <w:rFonts w:ascii="Times New Roman" w:hAnsi="Times New Roman"/>
                <w:sz w:val="20"/>
                <w:szCs w:val="20"/>
              </w:rPr>
            </w:pPr>
            <w:r>
              <w:rPr>
                <w:rFonts w:ascii="Times New Roman" w:hAnsi="Times New Roman"/>
                <w:sz w:val="20"/>
                <w:szCs w:val="20"/>
              </w:rPr>
              <w:t>Perte de la biodiversité.</w:t>
            </w:r>
          </w:p>
        </w:tc>
        <w:tc>
          <w:tcPr>
            <w:tcW w:w="1005" w:type="pct"/>
            <w:gridSpan w:val="2"/>
            <w:tcBorders>
              <w:top w:val="single" w:sz="4" w:space="0" w:color="auto"/>
              <w:left w:val="single" w:sz="4" w:space="0" w:color="auto"/>
              <w:bottom w:val="single" w:sz="4" w:space="0" w:color="auto"/>
              <w:right w:val="single" w:sz="4" w:space="0" w:color="auto"/>
            </w:tcBorders>
          </w:tcPr>
          <w:p w14:paraId="72739603" w14:textId="77777777" w:rsidR="00BD6279" w:rsidRDefault="00BD6279">
            <w:pPr>
              <w:spacing w:after="0" w:line="240" w:lineRule="auto"/>
              <w:rPr>
                <w:rFonts w:ascii="Times New Roman" w:hAnsi="Times New Roman"/>
                <w:sz w:val="20"/>
                <w:szCs w:val="20"/>
              </w:rPr>
            </w:pPr>
          </w:p>
        </w:tc>
      </w:tr>
      <w:tr w:rsidR="00BD6279" w:rsidRPr="00420C1B" w14:paraId="70164046" w14:textId="77777777" w:rsidTr="00BD6279">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860C8" w14:textId="77777777" w:rsidR="00BD6279" w:rsidRDefault="00BD6279">
            <w:pPr>
              <w:spacing w:after="0" w:line="240" w:lineRule="auto"/>
              <w:rPr>
                <w:rFonts w:ascii="Times New Roman" w:hAnsi="Times New Roman"/>
                <w:b/>
                <w:sz w:val="20"/>
                <w:szCs w:val="20"/>
              </w:rPr>
            </w:pPr>
          </w:p>
        </w:tc>
        <w:tc>
          <w:tcPr>
            <w:tcW w:w="4116" w:type="pct"/>
            <w:gridSpan w:val="13"/>
            <w:tcBorders>
              <w:top w:val="single" w:sz="4" w:space="0" w:color="auto"/>
              <w:left w:val="single" w:sz="4" w:space="0" w:color="auto"/>
              <w:bottom w:val="single" w:sz="4" w:space="0" w:color="auto"/>
              <w:right w:val="single" w:sz="4" w:space="0" w:color="auto"/>
            </w:tcBorders>
            <w:hideMark/>
          </w:tcPr>
          <w:p w14:paraId="64857CEB" w14:textId="77777777" w:rsidR="00BD6279" w:rsidRDefault="00BD6279">
            <w:pPr>
              <w:spacing w:after="0" w:line="240" w:lineRule="auto"/>
              <w:rPr>
                <w:rFonts w:ascii="Times New Roman" w:hAnsi="Times New Roman"/>
                <w:sz w:val="20"/>
                <w:szCs w:val="20"/>
              </w:rPr>
            </w:pPr>
            <w:r>
              <w:rPr>
                <w:rFonts w:ascii="Times New Roman" w:hAnsi="Times New Roman"/>
                <w:b/>
                <w:sz w:val="20"/>
                <w:szCs w:val="20"/>
              </w:rPr>
              <w:t xml:space="preserve"> Intitulé de l’impact</w:t>
            </w:r>
            <w:r>
              <w:rPr>
                <w:rFonts w:ascii="Times New Roman" w:hAnsi="Times New Roman"/>
                <w:sz w:val="20"/>
                <w:szCs w:val="20"/>
              </w:rPr>
              <w:t xml:space="preserve"> : </w:t>
            </w:r>
          </w:p>
        </w:tc>
      </w:tr>
      <w:tr w:rsidR="00BD6279" w:rsidRPr="00420C1B" w14:paraId="4CB7EAC0" w14:textId="77777777" w:rsidTr="00BD6279">
        <w:trPr>
          <w:trHeight w:val="250"/>
          <w:jc w:val="center"/>
        </w:trPr>
        <w:tc>
          <w:tcPr>
            <w:tcW w:w="884" w:type="pct"/>
            <w:vMerge w:val="restart"/>
            <w:tcBorders>
              <w:top w:val="single" w:sz="4" w:space="0" w:color="auto"/>
              <w:left w:val="single" w:sz="4" w:space="0" w:color="auto"/>
              <w:bottom w:val="single" w:sz="4" w:space="0" w:color="auto"/>
              <w:right w:val="single" w:sz="4" w:space="0" w:color="auto"/>
            </w:tcBorders>
            <w:vAlign w:val="center"/>
            <w:hideMark/>
          </w:tcPr>
          <w:p w14:paraId="20ACB5C4" w14:textId="77777777" w:rsidR="00BD6279" w:rsidRDefault="00BD6279">
            <w:pPr>
              <w:spacing w:after="0" w:line="240" w:lineRule="auto"/>
              <w:rPr>
                <w:rFonts w:ascii="Times New Roman" w:eastAsia="Times New Roman" w:hAnsi="Times New Roman"/>
                <w:sz w:val="20"/>
                <w:szCs w:val="20"/>
                <w:lang w:eastAsia="fr-FR"/>
              </w:rPr>
            </w:pPr>
            <w:r>
              <w:rPr>
                <w:rFonts w:ascii="Times New Roman" w:hAnsi="Times New Roman"/>
                <w:b/>
                <w:sz w:val="20"/>
                <w:szCs w:val="20"/>
              </w:rPr>
              <w:t>Localisation</w:t>
            </w:r>
          </w:p>
        </w:tc>
        <w:tc>
          <w:tcPr>
            <w:tcW w:w="1733" w:type="pct"/>
            <w:gridSpan w:val="7"/>
            <w:vMerge w:val="restart"/>
            <w:tcBorders>
              <w:top w:val="single" w:sz="4" w:space="0" w:color="auto"/>
              <w:left w:val="single" w:sz="4" w:space="0" w:color="auto"/>
              <w:bottom w:val="single" w:sz="4" w:space="0" w:color="auto"/>
              <w:right w:val="single" w:sz="4" w:space="0" w:color="auto"/>
            </w:tcBorders>
            <w:vAlign w:val="center"/>
            <w:hideMark/>
          </w:tcPr>
          <w:p w14:paraId="1CC5EF1B" w14:textId="77777777" w:rsidR="00BD6279" w:rsidRDefault="00BD6279">
            <w:pPr>
              <w:spacing w:after="0" w:line="240" w:lineRule="auto"/>
              <w:rPr>
                <w:rFonts w:ascii="Times New Roman" w:hAnsi="Times New Roman"/>
                <w:sz w:val="20"/>
                <w:szCs w:val="20"/>
              </w:rPr>
            </w:pPr>
            <w:r>
              <w:rPr>
                <w:rFonts w:ascii="Times New Roman" w:hAnsi="Times New Roman"/>
                <w:sz w:val="20"/>
                <w:szCs w:val="20"/>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hideMark/>
          </w:tcPr>
          <w:p w14:paraId="70729C8C" w14:textId="77777777" w:rsidR="00BD6279" w:rsidRDefault="00BD6279">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X</w:t>
            </w:r>
          </w:p>
        </w:tc>
        <w:tc>
          <w:tcPr>
            <w:tcW w:w="740" w:type="pct"/>
            <w:gridSpan w:val="2"/>
            <w:tcBorders>
              <w:top w:val="single" w:sz="4" w:space="0" w:color="auto"/>
              <w:left w:val="single" w:sz="4" w:space="0" w:color="auto"/>
              <w:bottom w:val="single" w:sz="4" w:space="0" w:color="auto"/>
              <w:right w:val="single" w:sz="4" w:space="0" w:color="auto"/>
            </w:tcBorders>
            <w:hideMark/>
          </w:tcPr>
          <w:p w14:paraId="77EC9A78" w14:textId="77777777" w:rsidR="00BD6279" w:rsidRDefault="00BD6279">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Y</w:t>
            </w:r>
          </w:p>
        </w:tc>
        <w:tc>
          <w:tcPr>
            <w:tcW w:w="1005" w:type="pct"/>
            <w:gridSpan w:val="2"/>
            <w:vMerge w:val="restart"/>
            <w:tcBorders>
              <w:top w:val="single" w:sz="4" w:space="0" w:color="auto"/>
              <w:left w:val="single" w:sz="4" w:space="0" w:color="auto"/>
              <w:bottom w:val="single" w:sz="4" w:space="0" w:color="auto"/>
              <w:right w:val="single" w:sz="4" w:space="0" w:color="auto"/>
            </w:tcBorders>
            <w:hideMark/>
          </w:tcPr>
          <w:p w14:paraId="4AEEF849" w14:textId="77777777" w:rsidR="00BD6279" w:rsidRPr="00420C1B" w:rsidRDefault="00BD6279">
            <w:pPr>
              <w:spacing w:after="0" w:line="276" w:lineRule="auto"/>
            </w:pPr>
          </w:p>
        </w:tc>
      </w:tr>
      <w:tr w:rsidR="00BD6279" w:rsidRPr="00420C1B" w14:paraId="5492F487" w14:textId="77777777" w:rsidTr="00BD6279">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5A69C" w14:textId="77777777" w:rsidR="00BD6279" w:rsidRDefault="00BD6279">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41C586DD" w14:textId="77777777" w:rsidR="00BD6279" w:rsidRDefault="00BD6279">
            <w:pPr>
              <w:spacing w:after="0" w:line="240" w:lineRule="auto"/>
              <w:rPr>
                <w:rFonts w:ascii="Times New Roman" w:hAnsi="Times New Roman"/>
                <w:sz w:val="20"/>
                <w:szCs w:val="20"/>
              </w:rPr>
            </w:pPr>
          </w:p>
        </w:tc>
        <w:tc>
          <w:tcPr>
            <w:tcW w:w="638" w:type="pct"/>
            <w:gridSpan w:val="2"/>
            <w:tcBorders>
              <w:top w:val="single" w:sz="4" w:space="0" w:color="auto"/>
              <w:left w:val="single" w:sz="4" w:space="0" w:color="auto"/>
              <w:bottom w:val="single" w:sz="4" w:space="0" w:color="auto"/>
              <w:right w:val="single" w:sz="4" w:space="0" w:color="auto"/>
            </w:tcBorders>
            <w:hideMark/>
          </w:tcPr>
          <w:p w14:paraId="51D39E1B" w14:textId="77777777" w:rsidR="00BD6279" w:rsidRDefault="00BD627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740" w:type="pct"/>
            <w:gridSpan w:val="2"/>
            <w:tcBorders>
              <w:top w:val="single" w:sz="4" w:space="0" w:color="auto"/>
              <w:left w:val="nil"/>
              <w:bottom w:val="single" w:sz="4" w:space="0" w:color="auto"/>
              <w:right w:val="single" w:sz="4" w:space="0" w:color="auto"/>
            </w:tcBorders>
            <w:hideMark/>
          </w:tcPr>
          <w:p w14:paraId="3E655923" w14:textId="77777777" w:rsidR="00BD6279" w:rsidRDefault="00BD627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11959B2" w14:textId="77777777" w:rsidR="00BD6279" w:rsidRPr="00420C1B" w:rsidRDefault="00BD6279">
            <w:pPr>
              <w:spacing w:after="0" w:line="240" w:lineRule="auto"/>
            </w:pPr>
          </w:p>
        </w:tc>
      </w:tr>
      <w:tr w:rsidR="00BD6279" w:rsidRPr="00420C1B" w14:paraId="2B9DDB4E" w14:textId="77777777" w:rsidTr="00BD6279">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BCA58" w14:textId="77777777" w:rsidR="00BD6279" w:rsidRDefault="00BD6279">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34E49A4" w14:textId="77777777" w:rsidR="00BD6279" w:rsidRDefault="00BD6279">
            <w:pPr>
              <w:spacing w:after="0" w:line="240" w:lineRule="auto"/>
              <w:rPr>
                <w:rFonts w:ascii="Times New Roman" w:hAnsi="Times New Roman"/>
                <w:sz w:val="20"/>
                <w:szCs w:val="20"/>
              </w:rPr>
            </w:pPr>
          </w:p>
        </w:tc>
        <w:tc>
          <w:tcPr>
            <w:tcW w:w="638" w:type="pct"/>
            <w:gridSpan w:val="2"/>
            <w:tcBorders>
              <w:top w:val="single" w:sz="4" w:space="0" w:color="auto"/>
              <w:left w:val="single" w:sz="4" w:space="0" w:color="auto"/>
              <w:bottom w:val="nil"/>
              <w:right w:val="single" w:sz="4" w:space="0" w:color="auto"/>
            </w:tcBorders>
            <w:hideMark/>
          </w:tcPr>
          <w:p w14:paraId="7D6BF0D7" w14:textId="77777777" w:rsidR="00BD6279" w:rsidRDefault="00BD627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740" w:type="pct"/>
            <w:gridSpan w:val="2"/>
            <w:tcBorders>
              <w:top w:val="single" w:sz="4" w:space="0" w:color="auto"/>
              <w:left w:val="single" w:sz="4" w:space="0" w:color="auto"/>
              <w:bottom w:val="nil"/>
              <w:right w:val="single" w:sz="4" w:space="0" w:color="auto"/>
            </w:tcBorders>
            <w:hideMark/>
          </w:tcPr>
          <w:p w14:paraId="31036743" w14:textId="77777777" w:rsidR="00BD6279" w:rsidRDefault="00BD627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9D3241" w14:textId="77777777" w:rsidR="00BD6279" w:rsidRPr="00420C1B" w:rsidRDefault="00BD6279">
            <w:pPr>
              <w:spacing w:after="0" w:line="240" w:lineRule="auto"/>
            </w:pPr>
          </w:p>
        </w:tc>
      </w:tr>
      <w:tr w:rsidR="00BD6279" w:rsidRPr="00420C1B" w14:paraId="36818A89" w14:textId="77777777" w:rsidTr="00BD6279">
        <w:trPr>
          <w:trHeight w:val="242"/>
          <w:jc w:val="center"/>
        </w:trPr>
        <w:tc>
          <w:tcPr>
            <w:tcW w:w="884" w:type="pct"/>
            <w:vMerge w:val="restart"/>
            <w:tcBorders>
              <w:top w:val="single" w:sz="4" w:space="0" w:color="auto"/>
              <w:left w:val="single" w:sz="4" w:space="0" w:color="auto"/>
              <w:bottom w:val="single" w:sz="4" w:space="0" w:color="auto"/>
              <w:right w:val="single" w:sz="4" w:space="0" w:color="auto"/>
            </w:tcBorders>
            <w:vAlign w:val="center"/>
          </w:tcPr>
          <w:p w14:paraId="61F30431" w14:textId="77777777" w:rsidR="00BD6279" w:rsidRDefault="00BD6279">
            <w:pPr>
              <w:spacing w:after="0" w:line="240" w:lineRule="auto"/>
              <w:rPr>
                <w:rFonts w:ascii="Times New Roman" w:hAnsi="Times New Roman"/>
                <w:b/>
                <w:sz w:val="20"/>
                <w:szCs w:val="20"/>
              </w:rPr>
            </w:pPr>
          </w:p>
          <w:p w14:paraId="42F4C93B" w14:textId="77777777" w:rsidR="00BD6279" w:rsidRDefault="00BD6279">
            <w:pPr>
              <w:spacing w:after="0" w:line="240" w:lineRule="auto"/>
              <w:rPr>
                <w:rFonts w:ascii="Times New Roman" w:hAnsi="Times New Roman"/>
                <w:b/>
                <w:sz w:val="20"/>
                <w:szCs w:val="20"/>
              </w:rPr>
            </w:pPr>
            <w:r>
              <w:rPr>
                <w:rFonts w:ascii="Times New Roman" w:hAnsi="Times New Roman"/>
                <w:b/>
                <w:sz w:val="20"/>
                <w:szCs w:val="20"/>
              </w:rPr>
              <w:t>Analyse de l’impact</w:t>
            </w:r>
          </w:p>
        </w:tc>
        <w:tc>
          <w:tcPr>
            <w:tcW w:w="553" w:type="pct"/>
            <w:gridSpan w:val="2"/>
            <w:vMerge w:val="restart"/>
            <w:tcBorders>
              <w:top w:val="single" w:sz="4" w:space="0" w:color="auto"/>
              <w:left w:val="single" w:sz="4" w:space="0" w:color="auto"/>
              <w:bottom w:val="single" w:sz="4" w:space="0" w:color="auto"/>
              <w:right w:val="single" w:sz="4" w:space="0" w:color="auto"/>
            </w:tcBorders>
            <w:hideMark/>
          </w:tcPr>
          <w:p w14:paraId="43D8B8D2" w14:textId="77777777" w:rsidR="00BD6279" w:rsidRDefault="00BD6279">
            <w:pPr>
              <w:autoSpaceDE w:val="0"/>
              <w:autoSpaceDN w:val="0"/>
              <w:adjustRightInd w:val="0"/>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Nature :</w:t>
            </w:r>
          </w:p>
          <w:p w14:paraId="6C3728B4" w14:textId="77777777" w:rsidR="00BD6279" w:rsidRDefault="00BD6279">
            <w:pPr>
              <w:autoSpaceDE w:val="0"/>
              <w:autoSpaceDN w:val="0"/>
              <w:adjustRightInd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1B21681F"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6BA421EF"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Etendue</w:t>
            </w:r>
          </w:p>
        </w:tc>
        <w:tc>
          <w:tcPr>
            <w:tcW w:w="740" w:type="pct"/>
            <w:gridSpan w:val="2"/>
            <w:tcBorders>
              <w:top w:val="single" w:sz="4" w:space="0" w:color="auto"/>
              <w:left w:val="single" w:sz="4" w:space="0" w:color="auto"/>
              <w:bottom w:val="single" w:sz="4" w:space="0" w:color="auto"/>
              <w:right w:val="single" w:sz="4" w:space="0" w:color="auto"/>
            </w:tcBorders>
            <w:hideMark/>
          </w:tcPr>
          <w:p w14:paraId="12B6C244"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Durée</w:t>
            </w:r>
          </w:p>
        </w:tc>
        <w:tc>
          <w:tcPr>
            <w:tcW w:w="1005" w:type="pct"/>
            <w:gridSpan w:val="2"/>
            <w:tcBorders>
              <w:top w:val="single" w:sz="4" w:space="0" w:color="auto"/>
              <w:left w:val="single" w:sz="4" w:space="0" w:color="auto"/>
              <w:bottom w:val="single" w:sz="4" w:space="0" w:color="auto"/>
              <w:right w:val="single" w:sz="4" w:space="0" w:color="auto"/>
            </w:tcBorders>
            <w:hideMark/>
          </w:tcPr>
          <w:p w14:paraId="08476886" w14:textId="77777777" w:rsidR="00BD6279" w:rsidRDefault="00BD6279">
            <w:pPr>
              <w:spacing w:after="0" w:line="240" w:lineRule="auto"/>
              <w:rPr>
                <w:rFonts w:ascii="Times New Roman" w:hAnsi="Times New Roman"/>
                <w:sz w:val="20"/>
                <w:szCs w:val="20"/>
              </w:rPr>
            </w:pPr>
            <w:r>
              <w:rPr>
                <w:rFonts w:ascii="Times New Roman" w:eastAsia="Times New Roman" w:hAnsi="Times New Roman"/>
                <w:b/>
                <w:bCs/>
                <w:i/>
                <w:sz w:val="20"/>
                <w:szCs w:val="20"/>
              </w:rPr>
              <w:t>Importance</w:t>
            </w:r>
          </w:p>
        </w:tc>
      </w:tr>
      <w:tr w:rsidR="00BD6279" w:rsidRPr="00420C1B" w14:paraId="4C75AF74" w14:textId="77777777" w:rsidTr="00BD6279">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AC89E8" w14:textId="77777777" w:rsidR="00BD6279" w:rsidRDefault="00BD6279">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0333E7B" w14:textId="77777777" w:rsidR="00BD6279" w:rsidRDefault="00BD627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58F0CD2C" w14:textId="77777777" w:rsidR="00BD6279" w:rsidRDefault="00BD6279">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 xml:space="preserve">Moyenne </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28FBFEAE" w14:textId="77777777" w:rsidR="00BD6279" w:rsidRDefault="00BD6279">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Ponctuelle</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14:paraId="6666300D" w14:textId="77777777" w:rsidR="00BD6279" w:rsidRDefault="00BD6279">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 xml:space="preserve">Moyenne   </w:t>
            </w:r>
          </w:p>
        </w:tc>
        <w:tc>
          <w:tcPr>
            <w:tcW w:w="1005" w:type="pct"/>
            <w:gridSpan w:val="2"/>
            <w:tcBorders>
              <w:top w:val="single" w:sz="4" w:space="0" w:color="auto"/>
              <w:left w:val="single" w:sz="4" w:space="0" w:color="auto"/>
              <w:bottom w:val="single" w:sz="4" w:space="0" w:color="auto"/>
              <w:right w:val="single" w:sz="4" w:space="0" w:color="auto"/>
            </w:tcBorders>
            <w:vAlign w:val="center"/>
            <w:hideMark/>
          </w:tcPr>
          <w:p w14:paraId="794E5090" w14:textId="77777777" w:rsidR="00BD6279" w:rsidRDefault="00BD6279">
            <w:pPr>
              <w:spacing w:after="0" w:line="240" w:lineRule="auto"/>
              <w:rPr>
                <w:rFonts w:ascii="Times New Roman" w:hAnsi="Times New Roman"/>
                <w:sz w:val="20"/>
                <w:szCs w:val="20"/>
              </w:rPr>
            </w:pPr>
            <w:r>
              <w:rPr>
                <w:rFonts w:ascii="Times New Roman" w:hAnsi="Times New Roman"/>
                <w:sz w:val="20"/>
                <w:szCs w:val="20"/>
              </w:rPr>
              <w:t xml:space="preserve">Moyenne  </w:t>
            </w:r>
          </w:p>
        </w:tc>
      </w:tr>
      <w:tr w:rsidR="00BD6279" w:rsidRPr="00420C1B" w14:paraId="20AD175E" w14:textId="77777777" w:rsidTr="00BD6279">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D8DAD1" w14:textId="77777777" w:rsidR="00BD6279" w:rsidRDefault="00BD627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6F4F706B" w14:textId="77777777" w:rsidR="00BD6279" w:rsidRDefault="00BD627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5598B9AC"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hideMark/>
          </w:tcPr>
          <w:p w14:paraId="5F17DE9D"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Occurrence</w:t>
            </w:r>
          </w:p>
        </w:tc>
        <w:tc>
          <w:tcPr>
            <w:tcW w:w="740" w:type="pct"/>
            <w:gridSpan w:val="2"/>
            <w:tcBorders>
              <w:top w:val="single" w:sz="4" w:space="0" w:color="auto"/>
              <w:left w:val="single" w:sz="4" w:space="0" w:color="auto"/>
              <w:bottom w:val="single" w:sz="4" w:space="0" w:color="auto"/>
              <w:right w:val="single" w:sz="4" w:space="0" w:color="auto"/>
            </w:tcBorders>
            <w:hideMark/>
          </w:tcPr>
          <w:p w14:paraId="31C412CA"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Réversibilité</w:t>
            </w:r>
          </w:p>
        </w:tc>
        <w:tc>
          <w:tcPr>
            <w:tcW w:w="1005" w:type="pct"/>
            <w:gridSpan w:val="2"/>
            <w:tcBorders>
              <w:top w:val="single" w:sz="4" w:space="0" w:color="auto"/>
              <w:left w:val="single" w:sz="4" w:space="0" w:color="auto"/>
              <w:bottom w:val="single" w:sz="4" w:space="0" w:color="auto"/>
              <w:right w:val="single" w:sz="4" w:space="0" w:color="auto"/>
            </w:tcBorders>
            <w:hideMark/>
          </w:tcPr>
          <w:p w14:paraId="4A119C7C" w14:textId="77777777" w:rsidR="00BD6279" w:rsidRDefault="00BD6279">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Cumulativité</w:t>
            </w:r>
          </w:p>
        </w:tc>
      </w:tr>
      <w:tr w:rsidR="00BD6279" w:rsidRPr="00420C1B" w14:paraId="780EAFA3" w14:textId="77777777" w:rsidTr="00BD6279">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62E37" w14:textId="77777777" w:rsidR="00BD6279" w:rsidRDefault="00BD627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0A07CF3F" w14:textId="77777777" w:rsidR="00BD6279" w:rsidRDefault="00BD627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68A66080" w14:textId="77777777" w:rsidR="00BD6279" w:rsidRDefault="00BD6279">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Indirecte</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51D10CAE" w14:textId="77777777" w:rsidR="00BD6279" w:rsidRDefault="00BD6279">
            <w:pPr>
              <w:spacing w:after="0" w:line="240" w:lineRule="auto"/>
              <w:jc w:val="center"/>
              <w:rPr>
                <w:rFonts w:ascii="Times New Roman" w:hAnsi="Times New Roman"/>
                <w:sz w:val="20"/>
                <w:szCs w:val="20"/>
              </w:rPr>
            </w:pPr>
            <w:r>
              <w:rPr>
                <w:rFonts w:ascii="Times New Roman" w:hAnsi="Times New Roman"/>
                <w:sz w:val="20"/>
                <w:szCs w:val="20"/>
              </w:rPr>
              <w:t>Certaine</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14:paraId="5BE0448E" w14:textId="77777777" w:rsidR="00BD6279" w:rsidRDefault="00BD6279">
            <w:pPr>
              <w:spacing w:after="0" w:line="240" w:lineRule="auto"/>
              <w:jc w:val="center"/>
              <w:rPr>
                <w:rFonts w:ascii="Times New Roman" w:hAnsi="Times New Roman"/>
                <w:sz w:val="20"/>
                <w:szCs w:val="20"/>
              </w:rPr>
            </w:pPr>
            <w:r>
              <w:rPr>
                <w:rFonts w:ascii="Times New Roman" w:hAnsi="Times New Roman"/>
                <w:sz w:val="20"/>
                <w:szCs w:val="20"/>
              </w:rPr>
              <w:t>Réversible</w:t>
            </w:r>
          </w:p>
        </w:tc>
        <w:tc>
          <w:tcPr>
            <w:tcW w:w="1005" w:type="pct"/>
            <w:gridSpan w:val="2"/>
            <w:tcBorders>
              <w:top w:val="single" w:sz="4" w:space="0" w:color="auto"/>
              <w:left w:val="single" w:sz="4" w:space="0" w:color="auto"/>
              <w:bottom w:val="single" w:sz="4" w:space="0" w:color="auto"/>
              <w:right w:val="single" w:sz="4" w:space="0" w:color="auto"/>
            </w:tcBorders>
            <w:vAlign w:val="center"/>
            <w:hideMark/>
          </w:tcPr>
          <w:p w14:paraId="45B2D127" w14:textId="77777777" w:rsidR="00BD6279" w:rsidRDefault="00BD6279">
            <w:pPr>
              <w:spacing w:after="0" w:line="240" w:lineRule="auto"/>
              <w:jc w:val="center"/>
              <w:rPr>
                <w:rFonts w:ascii="Times New Roman" w:hAnsi="Times New Roman"/>
                <w:sz w:val="20"/>
                <w:szCs w:val="20"/>
              </w:rPr>
            </w:pPr>
            <w:r>
              <w:rPr>
                <w:rFonts w:ascii="Times New Roman" w:hAnsi="Times New Roman"/>
                <w:sz w:val="20"/>
                <w:szCs w:val="20"/>
              </w:rPr>
              <w:t>Non</w:t>
            </w:r>
          </w:p>
        </w:tc>
      </w:tr>
      <w:tr w:rsidR="00BD6279" w:rsidRPr="00420C1B" w14:paraId="20CCCB80" w14:textId="77777777" w:rsidTr="00BD6279">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7504B0" w14:textId="77777777" w:rsidR="00BD6279" w:rsidRDefault="00BD627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3241B32C" w14:textId="77777777" w:rsidR="00BD6279" w:rsidRDefault="00BD627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hideMark/>
          </w:tcPr>
          <w:p w14:paraId="1D8373A8" w14:textId="77777777" w:rsidR="00BD6279" w:rsidRDefault="00BD6279">
            <w:pPr>
              <w:autoSpaceDE w:val="0"/>
              <w:autoSpaceDN w:val="0"/>
              <w:adjustRightInd w:val="0"/>
              <w:spacing w:after="0" w:line="240" w:lineRule="auto"/>
              <w:rPr>
                <w:rFonts w:ascii="Times New Roman" w:eastAsia="Times New Roman" w:hAnsi="Times New Roman"/>
                <w:b/>
                <w:bCs/>
                <w:i/>
                <w:sz w:val="20"/>
                <w:szCs w:val="20"/>
              </w:rPr>
            </w:pPr>
            <w:r>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56F8B13F" w14:textId="77777777" w:rsidR="00BD6279" w:rsidRDefault="00BD6279">
            <w:pPr>
              <w:spacing w:after="0" w:line="240" w:lineRule="auto"/>
              <w:jc w:val="center"/>
              <w:rPr>
                <w:rFonts w:ascii="Times New Roman" w:hAnsi="Times New Roman"/>
                <w:sz w:val="20"/>
                <w:szCs w:val="20"/>
              </w:rPr>
            </w:pPr>
            <w:r>
              <w:rPr>
                <w:rFonts w:ascii="Times New Roman" w:hAnsi="Times New Roman"/>
                <w:b/>
                <w:sz w:val="20"/>
                <w:szCs w:val="20"/>
              </w:rPr>
              <w:t>Valeur</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1DB4A717" w14:textId="77777777" w:rsidR="00BD6279" w:rsidRDefault="00BD6279">
            <w:pPr>
              <w:spacing w:after="0" w:line="240" w:lineRule="auto"/>
              <w:jc w:val="center"/>
              <w:rPr>
                <w:rFonts w:ascii="Times New Roman" w:hAnsi="Times New Roman"/>
                <w:sz w:val="20"/>
                <w:szCs w:val="20"/>
              </w:rPr>
            </w:pPr>
          </w:p>
        </w:tc>
        <w:tc>
          <w:tcPr>
            <w:tcW w:w="1005" w:type="pct"/>
            <w:gridSpan w:val="2"/>
            <w:tcBorders>
              <w:top w:val="single" w:sz="4" w:space="0" w:color="auto"/>
              <w:left w:val="single" w:sz="4" w:space="0" w:color="auto"/>
              <w:bottom w:val="single" w:sz="4" w:space="0" w:color="auto"/>
              <w:right w:val="single" w:sz="4" w:space="0" w:color="auto"/>
            </w:tcBorders>
            <w:vAlign w:val="center"/>
          </w:tcPr>
          <w:p w14:paraId="367AD1BB" w14:textId="77777777" w:rsidR="00BD6279" w:rsidRDefault="00BD6279">
            <w:pPr>
              <w:spacing w:after="0" w:line="240" w:lineRule="auto"/>
              <w:jc w:val="both"/>
              <w:rPr>
                <w:rFonts w:ascii="Times New Roman" w:hAnsi="Times New Roman"/>
                <w:sz w:val="20"/>
                <w:szCs w:val="20"/>
              </w:rPr>
            </w:pPr>
          </w:p>
        </w:tc>
      </w:tr>
      <w:tr w:rsidR="00BD6279" w:rsidRPr="00420C1B" w14:paraId="44B124F5" w14:textId="77777777" w:rsidTr="00BD6279">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7BBCC" w14:textId="77777777" w:rsidR="00BD6279" w:rsidRDefault="00BD627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1CDC7A32" w14:textId="77777777" w:rsidR="00BD6279" w:rsidRDefault="00BD627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51489805" w14:textId="77777777" w:rsidR="00BD6279" w:rsidRDefault="00BD6279">
            <w:pPr>
              <w:spacing w:after="0" w:line="240" w:lineRule="auto"/>
              <w:jc w:val="both"/>
              <w:rPr>
                <w:rFonts w:ascii="Times New Roman" w:hAnsi="Times New Roman"/>
                <w:sz w:val="20"/>
                <w:szCs w:val="20"/>
              </w:rPr>
            </w:pPr>
            <w:r>
              <w:rPr>
                <w:rFonts w:ascii="Times New Roman" w:hAnsi="Times New Roman"/>
                <w:sz w:val="20"/>
                <w:szCs w:val="20"/>
              </w:rPr>
              <w:t>Périodique</w:t>
            </w:r>
          </w:p>
        </w:tc>
        <w:tc>
          <w:tcPr>
            <w:tcW w:w="1919" w:type="pct"/>
            <w:gridSpan w:val="7"/>
            <w:tcBorders>
              <w:top w:val="single" w:sz="4" w:space="0" w:color="auto"/>
              <w:left w:val="single" w:sz="4" w:space="0" w:color="auto"/>
              <w:bottom w:val="single" w:sz="4" w:space="0" w:color="auto"/>
              <w:right w:val="single" w:sz="4" w:space="0" w:color="auto"/>
            </w:tcBorders>
            <w:vAlign w:val="center"/>
            <w:hideMark/>
          </w:tcPr>
          <w:p w14:paraId="68FCD912" w14:textId="77777777" w:rsidR="00BD6279" w:rsidRDefault="00BD6279">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Economique, Socio culturel </w:t>
            </w:r>
          </w:p>
        </w:tc>
        <w:tc>
          <w:tcPr>
            <w:tcW w:w="1005" w:type="pct"/>
            <w:gridSpan w:val="2"/>
          </w:tcPr>
          <w:p w14:paraId="47207EE6" w14:textId="77777777" w:rsidR="00BD6279" w:rsidRDefault="00BD6279">
            <w:pPr>
              <w:spacing w:after="0" w:line="240" w:lineRule="auto"/>
              <w:rPr>
                <w:rFonts w:ascii="Times New Roman" w:hAnsi="Times New Roman"/>
                <w:sz w:val="20"/>
                <w:szCs w:val="20"/>
              </w:rPr>
            </w:pPr>
          </w:p>
        </w:tc>
      </w:tr>
      <w:tr w:rsidR="00BD6279" w:rsidRPr="00420C1B" w14:paraId="3E701793" w14:textId="77777777" w:rsidTr="00BD6279">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397F4" w14:textId="77777777" w:rsidR="00BD6279" w:rsidRDefault="00BD627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hideMark/>
          </w:tcPr>
          <w:p w14:paraId="68495A62" w14:textId="77777777" w:rsidR="00BD6279" w:rsidRDefault="00BD6279">
            <w:pPr>
              <w:spacing w:after="0" w:line="240" w:lineRule="auto"/>
              <w:rPr>
                <w:rFonts w:ascii="Times New Roman" w:eastAsia="Times New Roman" w:hAnsi="Times New Roman"/>
                <w:b/>
                <w:sz w:val="20"/>
                <w:szCs w:val="20"/>
                <w:lang w:eastAsia="fr-FR"/>
              </w:rPr>
            </w:pPr>
            <w:r>
              <w:rPr>
                <w:rFonts w:ascii="Times New Roman" w:hAnsi="Times New Roman"/>
                <w:b/>
                <w:sz w:val="20"/>
                <w:szCs w:val="20"/>
              </w:rPr>
              <w:t>Analyse</w:t>
            </w:r>
          </w:p>
        </w:tc>
        <w:tc>
          <w:tcPr>
            <w:tcW w:w="3563" w:type="pct"/>
            <w:gridSpan w:val="11"/>
            <w:tcBorders>
              <w:top w:val="single" w:sz="4" w:space="0" w:color="auto"/>
              <w:left w:val="single" w:sz="4" w:space="0" w:color="auto"/>
              <w:bottom w:val="single" w:sz="4" w:space="0" w:color="auto"/>
              <w:right w:val="single" w:sz="4" w:space="0" w:color="auto"/>
            </w:tcBorders>
            <w:hideMark/>
          </w:tcPr>
          <w:p w14:paraId="611D4D46" w14:textId="77777777" w:rsidR="00BD6279" w:rsidRDefault="00BD6279">
            <w:pPr>
              <w:spacing w:before="60" w:after="0" w:line="240" w:lineRule="auto"/>
              <w:jc w:val="both"/>
              <w:rPr>
                <w:rFonts w:ascii="Times New Roman" w:hAnsi="Times New Roman"/>
                <w:sz w:val="20"/>
                <w:szCs w:val="20"/>
              </w:rPr>
            </w:pPr>
            <w:r>
              <w:rPr>
                <w:rFonts w:ascii="Times New Roman" w:hAnsi="Times New Roman"/>
                <w:sz w:val="20"/>
                <w:szCs w:val="20"/>
              </w:rPr>
              <w:t xml:space="preserve">L’installation de la base vie et base technique du chantier va occasionner la coupe d’arbre pour le dégagement de l’emprise du site. Cette coupe d’arbre sera à la base de la migration de l’avifaune suite à la perte d’habitat et à la perturbation de leur niche écologique. </w:t>
            </w:r>
          </w:p>
          <w:p w14:paraId="3C2A50F2" w14:textId="77777777" w:rsidR="00BD6279" w:rsidRDefault="00BD6279">
            <w:pPr>
              <w:spacing w:before="60" w:after="0" w:line="240" w:lineRule="auto"/>
              <w:jc w:val="both"/>
              <w:rPr>
                <w:rFonts w:ascii="Times New Roman" w:hAnsi="Times New Roman"/>
                <w:sz w:val="20"/>
                <w:szCs w:val="20"/>
              </w:rPr>
            </w:pPr>
            <w:r>
              <w:rPr>
                <w:rFonts w:ascii="Times New Roman" w:hAnsi="Times New Roman"/>
                <w:sz w:val="20"/>
                <w:szCs w:val="20"/>
              </w:rPr>
              <w:t xml:space="preserve">L’impact du projet sur l’avifaune sera faible, car les oiseaux déplacés pourront érigés leur nid sur d’autres arbres se trouvant dans la zone. </w:t>
            </w:r>
          </w:p>
        </w:tc>
      </w:tr>
      <w:tr w:rsidR="00BD6279" w:rsidRPr="00420C1B" w14:paraId="3D47F18E" w14:textId="77777777" w:rsidTr="00BD6279">
        <w:trPr>
          <w:trHeight w:val="492"/>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6D453D10" w14:textId="77777777" w:rsidR="00BD6279" w:rsidRDefault="00BD6279">
            <w:pPr>
              <w:spacing w:after="0" w:line="240" w:lineRule="auto"/>
              <w:jc w:val="both"/>
              <w:rPr>
                <w:rFonts w:ascii="Times New Roman" w:eastAsia="Times New Roman" w:hAnsi="Times New Roman"/>
                <w:sz w:val="20"/>
                <w:szCs w:val="20"/>
                <w:lang w:eastAsia="fr-FR"/>
              </w:rPr>
            </w:pPr>
            <w:r>
              <w:rPr>
                <w:rFonts w:ascii="Times New Roman" w:hAnsi="Times New Roman"/>
                <w:b/>
                <w:sz w:val="20"/>
                <w:szCs w:val="20"/>
              </w:rPr>
              <w:t>Titre de la mesure d’atténuation</w:t>
            </w:r>
            <w:r>
              <w:rPr>
                <w:rFonts w:ascii="Times New Roman" w:hAnsi="Times New Roman"/>
                <w:sz w:val="20"/>
                <w:szCs w:val="20"/>
              </w:rPr>
              <w:t xml:space="preserve"> : </w:t>
            </w:r>
          </w:p>
        </w:tc>
        <w:tc>
          <w:tcPr>
            <w:tcW w:w="3563" w:type="pct"/>
            <w:gridSpan w:val="11"/>
            <w:tcBorders>
              <w:top w:val="single" w:sz="4" w:space="0" w:color="auto"/>
              <w:left w:val="single" w:sz="4" w:space="0" w:color="auto"/>
              <w:bottom w:val="single" w:sz="4" w:space="0" w:color="auto"/>
              <w:right w:val="single" w:sz="4" w:space="0" w:color="auto"/>
            </w:tcBorders>
            <w:hideMark/>
          </w:tcPr>
          <w:p w14:paraId="144486C7"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Se concerter et convenir avec le MEDD et le comité provincial de l’environnement (CPE) avant d’entamer toute action sur la flore dans la zone du projet; </w:t>
            </w:r>
          </w:p>
          <w:p w14:paraId="23F32C6E"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Limiter le débroussaillage et désherbage qu’aux arbres servant d’obstacles aux travaux, notamment ceux comptabiliser dans le cadre du projet ;</w:t>
            </w:r>
          </w:p>
          <w:p w14:paraId="42FC2AEA"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Compenser cette perte en ressource végétales par le paiement du taxe d’abattage afin de permettre au fonds forestier national de financer les activités de reboisement dans un autre espace de la ville, en vue d’atténuer les émissions de CO</w:t>
            </w:r>
            <w:r>
              <w:rPr>
                <w:rFonts w:ascii="Times New Roman" w:eastAsia="Times New Roman" w:hAnsi="Times New Roman"/>
                <w:sz w:val="20"/>
                <w:szCs w:val="20"/>
                <w:vertAlign w:val="subscript"/>
                <w:lang w:eastAsia="fr-FR"/>
              </w:rPr>
              <w:t>2</w:t>
            </w:r>
            <w:r>
              <w:rPr>
                <w:rFonts w:ascii="Times New Roman" w:eastAsia="Times New Roman" w:hAnsi="Times New Roman"/>
                <w:sz w:val="20"/>
                <w:szCs w:val="20"/>
                <w:lang w:eastAsia="fr-FR"/>
              </w:rPr>
              <w:t xml:space="preserve"> libéré dans la nature suite au déboisement ;</w:t>
            </w:r>
          </w:p>
          <w:p w14:paraId="5F071A43"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Optimiser le projet afin de minimiser la perte de végétation et de préserver la couverture végétale urbaine ;</w:t>
            </w:r>
          </w:p>
          <w:p w14:paraId="2E877294"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Diminuer ou éviter d’effectuer des travaux durant les périodes de naissances, de nidifications et de migration des espèces ;</w:t>
            </w:r>
          </w:p>
          <w:p w14:paraId="1D43635F"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Remettre en état les zones temporaires après la construction.</w:t>
            </w:r>
          </w:p>
        </w:tc>
      </w:tr>
      <w:tr w:rsidR="00BD6279" w:rsidRPr="00420C1B" w14:paraId="7B64FCBA" w14:textId="77777777" w:rsidTr="00BD6279">
        <w:trPr>
          <w:trHeight w:val="1018"/>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0C0A975A" w14:textId="77777777" w:rsidR="00BD6279" w:rsidRDefault="00BD6279">
            <w:pPr>
              <w:spacing w:after="0" w:line="240" w:lineRule="auto"/>
              <w:rPr>
                <w:rFonts w:ascii="Times New Roman" w:hAnsi="Times New Roman"/>
                <w:sz w:val="20"/>
                <w:szCs w:val="20"/>
              </w:rPr>
            </w:pPr>
            <w:r>
              <w:rPr>
                <w:rFonts w:ascii="Times New Roman" w:hAnsi="Times New Roman"/>
                <w:b/>
                <w:sz w:val="20"/>
                <w:szCs w:val="20"/>
              </w:rPr>
              <w:t>Objectif de la mesure d’atténuation</w:t>
            </w:r>
            <w:r>
              <w:rPr>
                <w:rFonts w:ascii="Times New Roman" w:hAnsi="Times New Roman"/>
                <w:sz w:val="20"/>
                <w:szCs w:val="20"/>
              </w:rPr>
              <w:t xml:space="preserve"> : </w:t>
            </w:r>
          </w:p>
          <w:p w14:paraId="0D5D051B" w14:textId="77777777" w:rsidR="00BD6279" w:rsidRDefault="00BD6279">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Atténuer les effets du projet sur l’avifaune et minimiser la coupe d’arbre ou compenser les pertes d’arbres occasionnant la perte d’habitat faunique</w:t>
            </w:r>
            <w:r>
              <w:rPr>
                <w:rFonts w:ascii="Times New Roman" w:hAnsi="Times New Roman"/>
                <w:sz w:val="20"/>
                <w:szCs w:val="20"/>
              </w:rPr>
              <w:t xml:space="preserve">  </w:t>
            </w:r>
          </w:p>
        </w:tc>
        <w:tc>
          <w:tcPr>
            <w:tcW w:w="3563" w:type="pct"/>
            <w:gridSpan w:val="11"/>
            <w:tcBorders>
              <w:top w:val="single" w:sz="4" w:space="0" w:color="auto"/>
              <w:left w:val="single" w:sz="4" w:space="0" w:color="auto"/>
              <w:bottom w:val="single" w:sz="4" w:space="0" w:color="auto"/>
              <w:right w:val="single" w:sz="4" w:space="0" w:color="auto"/>
            </w:tcBorders>
            <w:hideMark/>
          </w:tcPr>
          <w:p w14:paraId="44999322" w14:textId="77777777" w:rsidR="00BD6279" w:rsidRDefault="00BD6279">
            <w:pPr>
              <w:autoSpaceDE w:val="0"/>
              <w:autoSpaceDN w:val="0"/>
              <w:adjustRightInd w:val="0"/>
              <w:spacing w:after="0" w:line="240" w:lineRule="auto"/>
              <w:rPr>
                <w:rFonts w:ascii="Times New Roman" w:eastAsia="Times New Roman" w:hAnsi="Times New Roman"/>
                <w:sz w:val="20"/>
                <w:szCs w:val="20"/>
                <w:lang w:eastAsia="fr-FR"/>
              </w:rPr>
            </w:pPr>
            <w:r>
              <w:rPr>
                <w:rFonts w:ascii="Times New Roman" w:hAnsi="Times New Roman"/>
                <w:b/>
                <w:sz w:val="20"/>
                <w:szCs w:val="20"/>
                <w:u w:val="single"/>
              </w:rPr>
              <w:t>Description</w:t>
            </w:r>
            <w:r>
              <w:rPr>
                <w:rFonts w:ascii="Times New Roman" w:hAnsi="Times New Roman"/>
                <w:sz w:val="20"/>
                <w:szCs w:val="20"/>
              </w:rPr>
              <w:t xml:space="preserve"> : </w:t>
            </w:r>
          </w:p>
          <w:p w14:paraId="52AE4D47"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Identifier avant le début des travaux, les principales espèces de l’avifaune et les arbres constituants leur habitat</w:t>
            </w:r>
          </w:p>
          <w:p w14:paraId="03D7730A" w14:textId="77777777" w:rsidR="00BD6279" w:rsidRDefault="00BD6279" w:rsidP="00BD6279">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Faire un inventaire de l’avifaune avant le début des travaux.</w:t>
            </w:r>
          </w:p>
        </w:tc>
      </w:tr>
      <w:tr w:rsidR="00BD6279" w:rsidRPr="00420C1B" w14:paraId="462C7F4F" w14:textId="77777777" w:rsidTr="00BD6279">
        <w:trPr>
          <w:trHeight w:val="250"/>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6C407151" w14:textId="77777777" w:rsidR="00BD6279" w:rsidRDefault="00BD6279">
            <w:pPr>
              <w:spacing w:after="0" w:line="240" w:lineRule="auto"/>
              <w:jc w:val="right"/>
              <w:rPr>
                <w:rFonts w:ascii="Times New Roman" w:hAnsi="Times New Roman"/>
                <w:b/>
                <w:sz w:val="20"/>
                <w:szCs w:val="20"/>
              </w:rPr>
            </w:pPr>
            <w:r>
              <w:rPr>
                <w:rFonts w:ascii="Times New Roman" w:hAnsi="Times New Roman"/>
                <w:b/>
                <w:sz w:val="20"/>
                <w:szCs w:val="20"/>
              </w:rPr>
              <w:t>Impact résiduel</w:t>
            </w:r>
          </w:p>
        </w:tc>
        <w:tc>
          <w:tcPr>
            <w:tcW w:w="3365" w:type="pct"/>
            <w:gridSpan w:val="10"/>
            <w:tcBorders>
              <w:top w:val="single" w:sz="4" w:space="0" w:color="auto"/>
              <w:left w:val="single" w:sz="4" w:space="0" w:color="auto"/>
              <w:bottom w:val="single" w:sz="4" w:space="0" w:color="auto"/>
              <w:right w:val="single" w:sz="4" w:space="0" w:color="auto"/>
            </w:tcBorders>
            <w:hideMark/>
          </w:tcPr>
          <w:p w14:paraId="7F48131A" w14:textId="77777777" w:rsidR="00BD6279" w:rsidRDefault="00BD6279">
            <w:pPr>
              <w:autoSpaceDE w:val="0"/>
              <w:autoSpaceDN w:val="0"/>
              <w:adjustRightInd w:val="0"/>
              <w:spacing w:after="0" w:line="240" w:lineRule="auto"/>
              <w:rPr>
                <w:rFonts w:ascii="Times New Roman" w:hAnsi="Times New Roman"/>
                <w:sz w:val="20"/>
                <w:szCs w:val="20"/>
                <w:u w:val="single"/>
              </w:rPr>
            </w:pPr>
            <w:r>
              <w:rPr>
                <w:rFonts w:ascii="Times New Roman" w:hAnsi="Times New Roman"/>
                <w:sz w:val="20"/>
                <w:szCs w:val="20"/>
                <w:u w:val="single"/>
              </w:rPr>
              <w:t xml:space="preserve">Mineur </w:t>
            </w:r>
          </w:p>
        </w:tc>
        <w:tc>
          <w:tcPr>
            <w:tcW w:w="198" w:type="pct"/>
            <w:tcBorders>
              <w:top w:val="single" w:sz="4" w:space="0" w:color="auto"/>
              <w:left w:val="single" w:sz="4" w:space="0" w:color="auto"/>
              <w:bottom w:val="single" w:sz="4" w:space="0" w:color="auto"/>
              <w:right w:val="single" w:sz="4" w:space="0" w:color="auto"/>
            </w:tcBorders>
          </w:tcPr>
          <w:p w14:paraId="0B11D531" w14:textId="77777777" w:rsidR="00BD6279" w:rsidRDefault="00BD6279">
            <w:pPr>
              <w:autoSpaceDE w:val="0"/>
              <w:autoSpaceDN w:val="0"/>
              <w:adjustRightInd w:val="0"/>
              <w:spacing w:after="0" w:line="240" w:lineRule="auto"/>
              <w:rPr>
                <w:rFonts w:ascii="Times New Roman" w:hAnsi="Times New Roman"/>
                <w:sz w:val="20"/>
                <w:szCs w:val="20"/>
                <w:u w:val="single"/>
              </w:rPr>
            </w:pPr>
          </w:p>
        </w:tc>
      </w:tr>
      <w:tr w:rsidR="00BD6279" w:rsidRPr="00420C1B" w14:paraId="3FBD6885" w14:textId="77777777" w:rsidTr="00BD6279">
        <w:trPr>
          <w:trHeight w:val="545"/>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341CD09E" w14:textId="77777777" w:rsidR="00BD6279" w:rsidRDefault="00BD6279">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surveillance</w:t>
            </w:r>
          </w:p>
          <w:p w14:paraId="507C0BD9" w14:textId="77777777" w:rsidR="00BD6279" w:rsidRDefault="00BD6279" w:rsidP="00BD6279">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Mission de Contrôle (MdC) ;</w:t>
            </w:r>
          </w:p>
          <w:p w14:paraId="41DF647D" w14:textId="77777777" w:rsidR="00BD6279" w:rsidRDefault="00BD6279" w:rsidP="00BD6279">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Agence Congolaise de l’Environnement (ACE) </w:t>
            </w:r>
          </w:p>
        </w:tc>
        <w:tc>
          <w:tcPr>
            <w:tcW w:w="2558" w:type="pct"/>
            <w:gridSpan w:val="9"/>
            <w:tcBorders>
              <w:top w:val="single" w:sz="4" w:space="0" w:color="auto"/>
              <w:left w:val="single" w:sz="4" w:space="0" w:color="auto"/>
              <w:bottom w:val="single" w:sz="4" w:space="0" w:color="auto"/>
              <w:right w:val="single" w:sz="4" w:space="0" w:color="auto"/>
            </w:tcBorders>
            <w:hideMark/>
          </w:tcPr>
          <w:p w14:paraId="321EF564" w14:textId="77777777" w:rsidR="00BD6279" w:rsidRDefault="00BD6279">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suivi</w:t>
            </w:r>
          </w:p>
          <w:p w14:paraId="68B8B8F8" w14:textId="77777777" w:rsidR="00BD6279" w:rsidRDefault="00BD6279" w:rsidP="00BD6279">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Cellule Provinciale de l’Environnement (CPE) ;</w:t>
            </w:r>
          </w:p>
          <w:p w14:paraId="119CF26A" w14:textId="77777777" w:rsidR="00BD6279" w:rsidRDefault="00BD6279" w:rsidP="00BD6279">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Sous-Cellule environnementale et sociale d’UCM (SCES/UCM)</w:t>
            </w:r>
          </w:p>
          <w:p w14:paraId="4D0C8AB3" w14:textId="77777777" w:rsidR="00BD6279" w:rsidRDefault="00BD6279" w:rsidP="00BD6279">
            <w:pPr>
              <w:numPr>
                <w:ilvl w:val="0"/>
                <w:numId w:val="382"/>
              </w:numPr>
              <w:autoSpaceDE w:val="0"/>
              <w:autoSpaceDN w:val="0"/>
              <w:adjustRightInd w:val="0"/>
              <w:spacing w:after="0" w:line="240" w:lineRule="auto"/>
              <w:ind w:left="161" w:hanging="161"/>
              <w:contextualSpacing/>
              <w:jc w:val="both"/>
              <w:rPr>
                <w:rFonts w:ascii="Times New Roman" w:hAnsi="Times New Roman"/>
                <w:sz w:val="20"/>
                <w:szCs w:val="20"/>
              </w:rPr>
            </w:pPr>
            <w:r>
              <w:rPr>
                <w:rFonts w:ascii="Times New Roman" w:hAnsi="Times New Roman"/>
                <w:sz w:val="20"/>
                <w:szCs w:val="20"/>
              </w:rPr>
              <w:t xml:space="preserve">Service environnement des communes concernées </w:t>
            </w:r>
          </w:p>
        </w:tc>
        <w:tc>
          <w:tcPr>
            <w:tcW w:w="1005" w:type="pct"/>
            <w:gridSpan w:val="2"/>
            <w:tcBorders>
              <w:top w:val="single" w:sz="4" w:space="0" w:color="auto"/>
              <w:left w:val="single" w:sz="4" w:space="0" w:color="auto"/>
              <w:bottom w:val="single" w:sz="4" w:space="0" w:color="auto"/>
              <w:right w:val="single" w:sz="4" w:space="0" w:color="auto"/>
            </w:tcBorders>
            <w:hideMark/>
          </w:tcPr>
          <w:p w14:paraId="7531C5B9" w14:textId="77777777" w:rsidR="00BD6279" w:rsidRDefault="00BD6279">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Indicateurs de suivi</w:t>
            </w:r>
          </w:p>
          <w:p w14:paraId="117B3C1A" w14:textId="19A2F135" w:rsidR="00BD6279" w:rsidRDefault="007937B2" w:rsidP="00BD6279">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100%</w:t>
            </w:r>
            <w:r w:rsidR="00BD6279">
              <w:rPr>
                <w:rFonts w:ascii="Times New Roman" w:hAnsi="Times New Roman"/>
                <w:sz w:val="20"/>
                <w:szCs w:val="20"/>
              </w:rPr>
              <w:t xml:space="preserve"> d’</w:t>
            </w:r>
            <w:r>
              <w:rPr>
                <w:rFonts w:ascii="Times New Roman" w:hAnsi="Times New Roman"/>
                <w:sz w:val="20"/>
                <w:szCs w:val="20"/>
              </w:rPr>
              <w:t>espèces d’</w:t>
            </w:r>
            <w:r w:rsidR="00BD6279">
              <w:rPr>
                <w:rFonts w:ascii="Times New Roman" w:hAnsi="Times New Roman"/>
                <w:sz w:val="20"/>
                <w:szCs w:val="20"/>
              </w:rPr>
              <w:t>arbre</w:t>
            </w:r>
            <w:r>
              <w:rPr>
                <w:rFonts w:ascii="Times New Roman" w:hAnsi="Times New Roman"/>
                <w:sz w:val="20"/>
                <w:szCs w:val="20"/>
              </w:rPr>
              <w:t>s</w:t>
            </w:r>
            <w:r w:rsidR="00BD6279">
              <w:rPr>
                <w:rFonts w:ascii="Times New Roman" w:hAnsi="Times New Roman"/>
                <w:sz w:val="20"/>
                <w:szCs w:val="20"/>
              </w:rPr>
              <w:t xml:space="preserve"> coupé</w:t>
            </w:r>
            <w:r>
              <w:rPr>
                <w:rFonts w:ascii="Times New Roman" w:hAnsi="Times New Roman"/>
                <w:sz w:val="20"/>
                <w:szCs w:val="20"/>
              </w:rPr>
              <w:t>s</w:t>
            </w:r>
            <w:r w:rsidR="00BD6279">
              <w:rPr>
                <w:rFonts w:ascii="Times New Roman" w:hAnsi="Times New Roman"/>
                <w:sz w:val="20"/>
                <w:szCs w:val="20"/>
              </w:rPr>
              <w:t xml:space="preserve"> dans le cadre du projet </w:t>
            </w:r>
            <w:r>
              <w:rPr>
                <w:rFonts w:ascii="Times New Roman" w:hAnsi="Times New Roman"/>
                <w:sz w:val="20"/>
                <w:szCs w:val="20"/>
              </w:rPr>
              <w:t>sont reboisés</w:t>
            </w:r>
          </w:p>
        </w:tc>
      </w:tr>
      <w:tr w:rsidR="00BD6279" w:rsidRPr="00420C1B" w14:paraId="0DDF12BC" w14:textId="77777777" w:rsidTr="00BD6279">
        <w:trPr>
          <w:trHeight w:val="164"/>
          <w:jc w:val="center"/>
        </w:trPr>
        <w:tc>
          <w:tcPr>
            <w:tcW w:w="884" w:type="pct"/>
            <w:tcBorders>
              <w:top w:val="single" w:sz="4" w:space="0" w:color="auto"/>
              <w:left w:val="single" w:sz="4" w:space="0" w:color="auto"/>
              <w:bottom w:val="single" w:sz="4" w:space="0" w:color="auto"/>
              <w:right w:val="single" w:sz="4" w:space="0" w:color="auto"/>
            </w:tcBorders>
            <w:hideMark/>
          </w:tcPr>
          <w:p w14:paraId="605F7D32" w14:textId="77777777" w:rsidR="00BD6279" w:rsidRDefault="00BD6279">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Coût de la mesure</w:t>
            </w:r>
          </w:p>
        </w:tc>
        <w:tc>
          <w:tcPr>
            <w:tcW w:w="345" w:type="pct"/>
            <w:tcBorders>
              <w:top w:val="single" w:sz="4" w:space="0" w:color="auto"/>
              <w:left w:val="single" w:sz="4" w:space="0" w:color="auto"/>
              <w:bottom w:val="single" w:sz="4" w:space="0" w:color="auto"/>
              <w:right w:val="single" w:sz="4" w:space="0" w:color="auto"/>
            </w:tcBorders>
            <w:hideMark/>
          </w:tcPr>
          <w:p w14:paraId="4A52E0EC"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Unité</w:t>
            </w:r>
          </w:p>
        </w:tc>
        <w:tc>
          <w:tcPr>
            <w:tcW w:w="484" w:type="pct"/>
            <w:gridSpan w:val="2"/>
            <w:tcBorders>
              <w:top w:val="single" w:sz="4" w:space="0" w:color="auto"/>
              <w:left w:val="single" w:sz="4" w:space="0" w:color="auto"/>
              <w:bottom w:val="single" w:sz="4" w:space="0" w:color="auto"/>
              <w:right w:val="single" w:sz="4" w:space="0" w:color="auto"/>
            </w:tcBorders>
            <w:hideMark/>
          </w:tcPr>
          <w:p w14:paraId="688B9DF1"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hideMark/>
          </w:tcPr>
          <w:p w14:paraId="4F370915"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hideMark/>
          </w:tcPr>
          <w:p w14:paraId="0D643F00"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hideMark/>
          </w:tcPr>
          <w:p w14:paraId="59D1AAB5"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Projet en $</w:t>
            </w:r>
          </w:p>
        </w:tc>
        <w:tc>
          <w:tcPr>
            <w:tcW w:w="622" w:type="pct"/>
            <w:tcBorders>
              <w:top w:val="single" w:sz="4" w:space="0" w:color="auto"/>
              <w:left w:val="single" w:sz="4" w:space="0" w:color="auto"/>
              <w:bottom w:val="single" w:sz="4" w:space="0" w:color="auto"/>
              <w:right w:val="single" w:sz="4" w:space="0" w:color="auto"/>
            </w:tcBorders>
            <w:hideMark/>
          </w:tcPr>
          <w:p w14:paraId="5B8EB513" w14:textId="77777777" w:rsidR="00BD6279" w:rsidRDefault="00BD6279">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Coût total</w:t>
            </w:r>
          </w:p>
        </w:tc>
        <w:tc>
          <w:tcPr>
            <w:tcW w:w="1005" w:type="pct"/>
            <w:gridSpan w:val="2"/>
            <w:tcBorders>
              <w:top w:val="single" w:sz="4" w:space="0" w:color="auto"/>
              <w:left w:val="single" w:sz="4" w:space="0" w:color="auto"/>
              <w:bottom w:val="single" w:sz="4" w:space="0" w:color="auto"/>
              <w:right w:val="single" w:sz="4" w:space="0" w:color="auto"/>
            </w:tcBorders>
            <w:hideMark/>
          </w:tcPr>
          <w:p w14:paraId="0CC57325" w14:textId="77777777" w:rsidR="00BD6279" w:rsidRDefault="00BD6279">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Calendrier de mise en œuvre</w:t>
            </w:r>
          </w:p>
        </w:tc>
      </w:tr>
      <w:tr w:rsidR="00BD6279" w:rsidRPr="00420C1B" w14:paraId="57B255B7" w14:textId="77777777" w:rsidTr="00BD6279">
        <w:trPr>
          <w:trHeight w:val="185"/>
          <w:jc w:val="center"/>
        </w:trPr>
        <w:tc>
          <w:tcPr>
            <w:tcW w:w="884" w:type="pct"/>
            <w:tcBorders>
              <w:top w:val="single" w:sz="4" w:space="0" w:color="auto"/>
              <w:left w:val="single" w:sz="4" w:space="0" w:color="auto"/>
              <w:bottom w:val="single" w:sz="4" w:space="0" w:color="auto"/>
              <w:right w:val="single" w:sz="4" w:space="0" w:color="auto"/>
            </w:tcBorders>
            <w:hideMark/>
          </w:tcPr>
          <w:p w14:paraId="41DE63EE" w14:textId="77777777" w:rsidR="00BD6279" w:rsidRPr="00420C1B" w:rsidRDefault="00BD6279">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345" w:type="pct"/>
            <w:tcBorders>
              <w:top w:val="single" w:sz="4" w:space="0" w:color="auto"/>
              <w:left w:val="single" w:sz="4" w:space="0" w:color="auto"/>
              <w:bottom w:val="single" w:sz="4" w:space="0" w:color="auto"/>
              <w:right w:val="single" w:sz="4" w:space="0" w:color="auto"/>
            </w:tcBorders>
            <w:hideMark/>
          </w:tcPr>
          <w:p w14:paraId="0BAC6CB1"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484" w:type="pct"/>
            <w:gridSpan w:val="2"/>
            <w:tcBorders>
              <w:top w:val="single" w:sz="4" w:space="0" w:color="auto"/>
              <w:left w:val="single" w:sz="4" w:space="0" w:color="auto"/>
              <w:bottom w:val="single" w:sz="4" w:space="0" w:color="auto"/>
              <w:right w:val="single" w:sz="4" w:space="0" w:color="auto"/>
            </w:tcBorders>
            <w:hideMark/>
          </w:tcPr>
          <w:p w14:paraId="70D283DC"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2" w:type="pct"/>
            <w:gridSpan w:val="3"/>
            <w:tcBorders>
              <w:top w:val="single" w:sz="4" w:space="0" w:color="auto"/>
              <w:left w:val="single" w:sz="4" w:space="0" w:color="auto"/>
              <w:bottom w:val="single" w:sz="4" w:space="0" w:color="auto"/>
              <w:right w:val="single" w:sz="4" w:space="0" w:color="auto"/>
            </w:tcBorders>
            <w:hideMark/>
          </w:tcPr>
          <w:p w14:paraId="57198CA7"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553" w:type="pct"/>
            <w:gridSpan w:val="2"/>
            <w:tcBorders>
              <w:top w:val="single" w:sz="4" w:space="0" w:color="auto"/>
              <w:left w:val="single" w:sz="4" w:space="0" w:color="auto"/>
              <w:bottom w:val="single" w:sz="4" w:space="0" w:color="auto"/>
              <w:right w:val="single" w:sz="4" w:space="0" w:color="auto"/>
            </w:tcBorders>
          </w:tcPr>
          <w:p w14:paraId="0A35B491"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p>
        </w:tc>
        <w:tc>
          <w:tcPr>
            <w:tcW w:w="415" w:type="pct"/>
            <w:gridSpan w:val="2"/>
            <w:tcBorders>
              <w:top w:val="single" w:sz="4" w:space="0" w:color="auto"/>
              <w:left w:val="single" w:sz="4" w:space="0" w:color="auto"/>
              <w:bottom w:val="single" w:sz="4" w:space="0" w:color="auto"/>
              <w:right w:val="single" w:sz="4" w:space="0" w:color="auto"/>
            </w:tcBorders>
            <w:hideMark/>
          </w:tcPr>
          <w:p w14:paraId="495CE69B"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622" w:type="pct"/>
            <w:tcBorders>
              <w:top w:val="single" w:sz="4" w:space="0" w:color="auto"/>
              <w:left w:val="single" w:sz="4" w:space="0" w:color="auto"/>
              <w:bottom w:val="single" w:sz="4" w:space="0" w:color="auto"/>
              <w:right w:val="single" w:sz="4" w:space="0" w:color="auto"/>
            </w:tcBorders>
            <w:hideMark/>
          </w:tcPr>
          <w:p w14:paraId="0C07B08A" w14:textId="77777777" w:rsidR="00BD6279" w:rsidRPr="00420C1B" w:rsidRDefault="00BD627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1005" w:type="pct"/>
            <w:gridSpan w:val="2"/>
            <w:tcBorders>
              <w:top w:val="single" w:sz="4" w:space="0" w:color="auto"/>
              <w:left w:val="single" w:sz="4" w:space="0" w:color="auto"/>
              <w:bottom w:val="single" w:sz="4" w:space="0" w:color="auto"/>
              <w:right w:val="single" w:sz="4" w:space="0" w:color="auto"/>
            </w:tcBorders>
            <w:hideMark/>
          </w:tcPr>
          <w:p w14:paraId="1E0C44A6" w14:textId="77777777" w:rsidR="00BD6279" w:rsidRPr="00420C1B" w:rsidRDefault="00BD6279">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Avant et Pendant les travaux</w:t>
            </w:r>
          </w:p>
        </w:tc>
      </w:tr>
    </w:tbl>
    <w:p w14:paraId="15FE09CC" w14:textId="77777777" w:rsidR="00BD6279" w:rsidRDefault="00BD6279" w:rsidP="00C27910">
      <w:pPr>
        <w:keepNext/>
        <w:spacing w:after="120" w:line="240" w:lineRule="auto"/>
        <w:rPr>
          <w:rFonts w:ascii="Times New Roman" w:hAnsi="Times New Roman"/>
          <w:iCs/>
          <w:szCs w:val="18"/>
        </w:rPr>
      </w:pPr>
    </w:p>
    <w:p w14:paraId="2C81EEA7" w14:textId="737D2F38" w:rsidR="00ED17F3" w:rsidRPr="00E737B4" w:rsidRDefault="00ED17F3" w:rsidP="008C79F0">
      <w:pPr>
        <w:keepNext/>
        <w:keepLines/>
        <w:numPr>
          <w:ilvl w:val="0"/>
          <w:numId w:val="39"/>
        </w:numPr>
        <w:spacing w:after="0" w:line="240" w:lineRule="auto"/>
        <w:outlineLvl w:val="3"/>
        <w:rPr>
          <w:rFonts w:ascii="Times New Roman" w:eastAsia="Times New Roman" w:hAnsi="Times New Roman"/>
          <w:i/>
          <w:iCs/>
          <w:sz w:val="24"/>
          <w:szCs w:val="24"/>
          <w:u w:val="single"/>
        </w:rPr>
      </w:pPr>
      <w:bookmarkStart w:id="606" w:name="_Toc103685678"/>
      <w:r w:rsidRPr="00E737B4">
        <w:rPr>
          <w:rFonts w:ascii="Times New Roman" w:eastAsia="Times New Roman" w:hAnsi="Times New Roman"/>
          <w:i/>
          <w:iCs/>
          <w:sz w:val="24"/>
          <w:szCs w:val="24"/>
          <w:u w:val="single"/>
        </w:rPr>
        <w:t>Phase de construction</w:t>
      </w:r>
      <w:bookmarkEnd w:id="606"/>
    </w:p>
    <w:p w14:paraId="0FAD5A68" w14:textId="6CEB5754" w:rsidR="00ED17F3" w:rsidRPr="00E737B4" w:rsidRDefault="00ED17F3" w:rsidP="00ED17F3">
      <w:pPr>
        <w:keepNext/>
        <w:spacing w:before="240" w:after="200" w:line="240" w:lineRule="auto"/>
        <w:rPr>
          <w:rFonts w:ascii="Times New Roman" w:hAnsi="Times New Roman"/>
          <w:iCs/>
          <w:sz w:val="24"/>
          <w:szCs w:val="24"/>
        </w:rPr>
      </w:pPr>
      <w:bookmarkStart w:id="607" w:name="_Toc519048931"/>
      <w:bookmarkStart w:id="608" w:name="_Toc93050292"/>
      <w:r w:rsidRPr="00E737B4">
        <w:rPr>
          <w:rFonts w:ascii="Times New Roman" w:hAnsi="Times New Roman"/>
          <w:iCs/>
          <w:sz w:val="24"/>
          <w:szCs w:val="24"/>
        </w:rPr>
        <w:t xml:space="preserve">Tableau </w:t>
      </w:r>
      <w:r w:rsidRPr="00E737B4">
        <w:rPr>
          <w:rFonts w:ascii="Times New Roman" w:hAnsi="Times New Roman"/>
          <w:iCs/>
          <w:sz w:val="24"/>
          <w:szCs w:val="24"/>
        </w:rPr>
        <w:fldChar w:fldCharType="begin"/>
      </w:r>
      <w:r w:rsidRPr="00E737B4">
        <w:rPr>
          <w:rFonts w:ascii="Times New Roman" w:hAnsi="Times New Roman"/>
          <w:iCs/>
          <w:sz w:val="24"/>
          <w:szCs w:val="24"/>
        </w:rPr>
        <w:instrText xml:space="preserve"> SEQ Tableau \* ARABIC </w:instrText>
      </w:r>
      <w:r w:rsidRPr="00E737B4">
        <w:rPr>
          <w:rFonts w:ascii="Times New Roman" w:hAnsi="Times New Roman"/>
          <w:iCs/>
          <w:sz w:val="24"/>
          <w:szCs w:val="24"/>
        </w:rPr>
        <w:fldChar w:fldCharType="separate"/>
      </w:r>
      <w:r w:rsidR="00BD6279">
        <w:rPr>
          <w:rFonts w:ascii="Times New Roman" w:hAnsi="Times New Roman"/>
          <w:iCs/>
          <w:noProof/>
          <w:sz w:val="24"/>
          <w:szCs w:val="24"/>
        </w:rPr>
        <w:t>30</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Code </w:t>
      </w:r>
      <w:bookmarkEnd w:id="607"/>
      <w:r w:rsidR="00BD6279" w:rsidRPr="00E737B4">
        <w:rPr>
          <w:rFonts w:ascii="Times New Roman" w:hAnsi="Times New Roman"/>
          <w:iCs/>
          <w:sz w:val="24"/>
          <w:szCs w:val="24"/>
        </w:rPr>
        <w:t>0</w:t>
      </w:r>
      <w:r w:rsidR="00BD6279">
        <w:rPr>
          <w:rFonts w:ascii="Times New Roman" w:hAnsi="Times New Roman"/>
          <w:iCs/>
          <w:sz w:val="24"/>
          <w:szCs w:val="24"/>
        </w:rPr>
        <w:t>8</w:t>
      </w:r>
      <w:bookmarkEnd w:id="608"/>
    </w:p>
    <w:tbl>
      <w:tblPr>
        <w:tblW w:w="9960" w:type="dxa"/>
        <w:jc w:val="center"/>
        <w:tblLook w:val="04A0" w:firstRow="1" w:lastRow="0" w:firstColumn="1" w:lastColumn="0" w:noHBand="0" w:noVBand="1"/>
      </w:tblPr>
      <w:tblGrid>
        <w:gridCol w:w="1342"/>
        <w:gridCol w:w="575"/>
        <w:gridCol w:w="452"/>
        <w:gridCol w:w="754"/>
        <w:gridCol w:w="320"/>
        <w:gridCol w:w="826"/>
        <w:gridCol w:w="967"/>
        <w:gridCol w:w="408"/>
        <w:gridCol w:w="167"/>
        <w:gridCol w:w="487"/>
        <w:gridCol w:w="293"/>
        <w:gridCol w:w="238"/>
        <w:gridCol w:w="871"/>
        <w:gridCol w:w="563"/>
        <w:gridCol w:w="605"/>
        <w:gridCol w:w="699"/>
        <w:gridCol w:w="393"/>
      </w:tblGrid>
      <w:tr w:rsidR="00D75D2E" w:rsidRPr="00420C1B" w14:paraId="13CB22FA" w14:textId="77777777" w:rsidTr="00E737B4">
        <w:trPr>
          <w:tblHeader/>
          <w:jc w:val="center"/>
        </w:trPr>
        <w:tc>
          <w:tcPr>
            <w:tcW w:w="1917"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872042D"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3727" w:type="dxa"/>
            <w:gridSpan w:val="6"/>
            <w:tcBorders>
              <w:top w:val="single" w:sz="4" w:space="0" w:color="auto"/>
              <w:left w:val="single" w:sz="4" w:space="0" w:color="auto"/>
              <w:bottom w:val="single" w:sz="4" w:space="0" w:color="auto"/>
              <w:right w:val="single" w:sz="4" w:space="0" w:color="auto"/>
            </w:tcBorders>
            <w:shd w:val="clear" w:color="auto" w:fill="92D050"/>
            <w:hideMark/>
          </w:tcPr>
          <w:p w14:paraId="1916F543"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Qualité de l’air et ambiance sonore</w:t>
            </w:r>
          </w:p>
        </w:tc>
        <w:tc>
          <w:tcPr>
            <w:tcW w:w="1185"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20CBC6AF"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2738"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4491FC05" w14:textId="77777777" w:rsidR="00ED17F3" w:rsidRPr="00857867" w:rsidRDefault="00ED17F3" w:rsidP="007108ED">
            <w:pPr>
              <w:spacing w:after="0" w:line="240" w:lineRule="auto"/>
              <w:jc w:val="center"/>
              <w:rPr>
                <w:rFonts w:ascii="Times New Roman" w:hAnsi="Times New Roman"/>
                <w:sz w:val="20"/>
                <w:szCs w:val="20"/>
              </w:rPr>
            </w:pPr>
            <w:r w:rsidRPr="00857867">
              <w:rPr>
                <w:rFonts w:ascii="Times New Roman" w:hAnsi="Times New Roman"/>
                <w:sz w:val="20"/>
                <w:szCs w:val="20"/>
              </w:rPr>
              <w:t>Construction</w:t>
            </w:r>
          </w:p>
        </w:tc>
        <w:tc>
          <w:tcPr>
            <w:tcW w:w="393" w:type="dxa"/>
            <w:tcBorders>
              <w:top w:val="single" w:sz="4" w:space="0" w:color="auto"/>
              <w:left w:val="single" w:sz="4" w:space="0" w:color="auto"/>
              <w:bottom w:val="single" w:sz="4" w:space="0" w:color="auto"/>
              <w:right w:val="single" w:sz="4" w:space="0" w:color="auto"/>
            </w:tcBorders>
            <w:shd w:val="clear" w:color="auto" w:fill="92D050"/>
          </w:tcPr>
          <w:p w14:paraId="2F7E1A7E"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157A205A" w14:textId="77777777" w:rsidTr="00E737B4">
        <w:trPr>
          <w:jc w:val="center"/>
        </w:trPr>
        <w:tc>
          <w:tcPr>
            <w:tcW w:w="1917" w:type="dxa"/>
            <w:gridSpan w:val="2"/>
            <w:vMerge w:val="restart"/>
            <w:tcBorders>
              <w:top w:val="single" w:sz="4" w:space="0" w:color="auto"/>
              <w:left w:val="single" w:sz="4" w:space="0" w:color="auto"/>
              <w:right w:val="single" w:sz="4" w:space="0" w:color="auto"/>
            </w:tcBorders>
          </w:tcPr>
          <w:p w14:paraId="73098412"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Code 04</w:t>
            </w:r>
          </w:p>
        </w:tc>
        <w:tc>
          <w:tcPr>
            <w:tcW w:w="7650" w:type="dxa"/>
            <w:gridSpan w:val="14"/>
            <w:tcBorders>
              <w:top w:val="single" w:sz="4" w:space="0" w:color="auto"/>
              <w:left w:val="single" w:sz="4" w:space="0" w:color="auto"/>
              <w:bottom w:val="single" w:sz="4" w:space="0" w:color="auto"/>
              <w:right w:val="single" w:sz="4" w:space="0" w:color="auto"/>
            </w:tcBorders>
          </w:tcPr>
          <w:p w14:paraId="4F1C89AB" w14:textId="77777777" w:rsidR="00ED17F3" w:rsidRPr="00857867" w:rsidRDefault="00ED17F3" w:rsidP="00A2677A">
            <w:pPr>
              <w:spacing w:after="0" w:line="240" w:lineRule="auto"/>
              <w:jc w:val="both"/>
              <w:rPr>
                <w:rFonts w:ascii="Times New Roman" w:hAnsi="Times New Roman"/>
                <w:b/>
                <w:sz w:val="20"/>
                <w:szCs w:val="20"/>
              </w:rPr>
            </w:pPr>
            <w:r w:rsidRPr="00857867">
              <w:rPr>
                <w:rFonts w:ascii="Times New Roman" w:hAnsi="Times New Roman"/>
                <w:b/>
                <w:sz w:val="20"/>
                <w:szCs w:val="20"/>
              </w:rPr>
              <w:t xml:space="preserve">Source d’impact : </w:t>
            </w:r>
            <w:r w:rsidR="00A2677A" w:rsidRPr="00857867">
              <w:rPr>
                <w:rFonts w:ascii="Times New Roman" w:hAnsi="Times New Roman"/>
                <w:sz w:val="20"/>
                <w:szCs w:val="20"/>
              </w:rPr>
              <w:t>travaux de terrassement généraux (</w:t>
            </w:r>
            <w:r w:rsidRPr="00857867">
              <w:rPr>
                <w:rFonts w:ascii="Times New Roman" w:hAnsi="Times New Roman"/>
                <w:sz w:val="20"/>
                <w:szCs w:val="20"/>
              </w:rPr>
              <w:t>fouilles et de Terrassement et coulage de béton</w:t>
            </w:r>
            <w:r w:rsidRPr="00857867">
              <w:rPr>
                <w:rFonts w:ascii="Times New Roman" w:hAnsi="Times New Roman"/>
                <w:b/>
                <w:sz w:val="20"/>
                <w:szCs w:val="20"/>
              </w:rPr>
              <w:t xml:space="preserve">, </w:t>
            </w:r>
            <w:r w:rsidRPr="00857867">
              <w:rPr>
                <w:rFonts w:ascii="Times New Roman" w:hAnsi="Times New Roman"/>
                <w:sz w:val="20"/>
                <w:szCs w:val="20"/>
              </w:rPr>
              <w:t>circulation des engins sur le chantier</w:t>
            </w:r>
          </w:p>
        </w:tc>
        <w:tc>
          <w:tcPr>
            <w:tcW w:w="393" w:type="dxa"/>
            <w:tcBorders>
              <w:top w:val="single" w:sz="4" w:space="0" w:color="auto"/>
              <w:left w:val="single" w:sz="4" w:space="0" w:color="auto"/>
              <w:bottom w:val="single" w:sz="4" w:space="0" w:color="auto"/>
              <w:right w:val="single" w:sz="4" w:space="0" w:color="auto"/>
            </w:tcBorders>
          </w:tcPr>
          <w:p w14:paraId="14DA4AF4"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72C2B7C6" w14:textId="77777777" w:rsidTr="00E737B4">
        <w:trPr>
          <w:jc w:val="center"/>
        </w:trPr>
        <w:tc>
          <w:tcPr>
            <w:tcW w:w="1917" w:type="dxa"/>
            <w:gridSpan w:val="2"/>
            <w:vMerge/>
            <w:tcBorders>
              <w:left w:val="single" w:sz="4" w:space="0" w:color="auto"/>
              <w:bottom w:val="single" w:sz="4" w:space="0" w:color="auto"/>
              <w:right w:val="single" w:sz="4" w:space="0" w:color="auto"/>
            </w:tcBorders>
            <w:hideMark/>
          </w:tcPr>
          <w:p w14:paraId="0937C888" w14:textId="77777777" w:rsidR="00ED17F3" w:rsidRPr="00857867" w:rsidRDefault="00ED17F3" w:rsidP="007108ED">
            <w:pPr>
              <w:spacing w:after="0" w:line="240" w:lineRule="auto"/>
              <w:rPr>
                <w:rFonts w:ascii="Times New Roman" w:hAnsi="Times New Roman"/>
                <w:b/>
                <w:sz w:val="20"/>
                <w:szCs w:val="20"/>
              </w:rPr>
            </w:pPr>
          </w:p>
        </w:tc>
        <w:tc>
          <w:tcPr>
            <w:tcW w:w="7650" w:type="dxa"/>
            <w:gridSpan w:val="14"/>
            <w:tcBorders>
              <w:top w:val="single" w:sz="4" w:space="0" w:color="auto"/>
              <w:left w:val="single" w:sz="4" w:space="0" w:color="auto"/>
              <w:bottom w:val="single" w:sz="4" w:space="0" w:color="auto"/>
              <w:right w:val="single" w:sz="4" w:space="0" w:color="auto"/>
            </w:tcBorders>
            <w:hideMark/>
          </w:tcPr>
          <w:p w14:paraId="3C14C6D9" w14:textId="2DD32B5F" w:rsidR="00ED17F3" w:rsidRPr="00857867" w:rsidRDefault="00ED17F3" w:rsidP="007108ED">
            <w:pPr>
              <w:spacing w:after="0" w:line="240" w:lineRule="auto"/>
              <w:jc w:val="both"/>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 Pollution atmosphérique</w:t>
            </w:r>
            <w:r w:rsidR="001036BE">
              <w:rPr>
                <w:rFonts w:ascii="Times New Roman" w:hAnsi="Times New Roman"/>
                <w:sz w:val="20"/>
                <w:szCs w:val="20"/>
              </w:rPr>
              <w:t xml:space="preserve"> et dommages aux tiers </w:t>
            </w:r>
            <w:r w:rsidRPr="00857867">
              <w:rPr>
                <w:rFonts w:ascii="Times New Roman" w:hAnsi="Times New Roman"/>
                <w:sz w:val="20"/>
                <w:szCs w:val="20"/>
              </w:rPr>
              <w:t xml:space="preserve"> par le soulèvement de poussières et l’émission de gaz d’échappement</w:t>
            </w:r>
          </w:p>
        </w:tc>
        <w:tc>
          <w:tcPr>
            <w:tcW w:w="393" w:type="dxa"/>
            <w:tcBorders>
              <w:top w:val="single" w:sz="4" w:space="0" w:color="auto"/>
              <w:left w:val="single" w:sz="4" w:space="0" w:color="auto"/>
              <w:bottom w:val="single" w:sz="4" w:space="0" w:color="auto"/>
              <w:right w:val="single" w:sz="4" w:space="0" w:color="auto"/>
            </w:tcBorders>
          </w:tcPr>
          <w:p w14:paraId="041D4A94"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6DEA792F" w14:textId="77777777" w:rsidTr="00E737B4">
        <w:trPr>
          <w:jc w:val="center"/>
        </w:trPr>
        <w:tc>
          <w:tcPr>
            <w:tcW w:w="1917" w:type="dxa"/>
            <w:gridSpan w:val="2"/>
            <w:vMerge w:val="restart"/>
            <w:tcBorders>
              <w:top w:val="single" w:sz="4" w:space="0" w:color="auto"/>
              <w:left w:val="single" w:sz="4" w:space="0" w:color="auto"/>
              <w:right w:val="single" w:sz="4" w:space="0" w:color="auto"/>
            </w:tcBorders>
          </w:tcPr>
          <w:p w14:paraId="331126FC" w14:textId="77777777" w:rsidR="00F624F4" w:rsidRPr="00857867" w:rsidRDefault="00F624F4"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Localisation</w:t>
            </w:r>
          </w:p>
        </w:tc>
        <w:tc>
          <w:tcPr>
            <w:tcW w:w="3894" w:type="dxa"/>
            <w:gridSpan w:val="7"/>
            <w:vMerge w:val="restart"/>
            <w:tcBorders>
              <w:top w:val="single" w:sz="4" w:space="0" w:color="auto"/>
              <w:left w:val="single" w:sz="4" w:space="0" w:color="auto"/>
              <w:right w:val="single" w:sz="4" w:space="0" w:color="auto"/>
            </w:tcBorders>
            <w:hideMark/>
          </w:tcPr>
          <w:p w14:paraId="3411555C" w14:textId="77777777" w:rsidR="00F624F4" w:rsidRPr="00857867" w:rsidRDefault="00F624F4" w:rsidP="00F624F4">
            <w:pPr>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Zone d’évolution des travaux (communes concernés par les travaux)</w:t>
            </w:r>
          </w:p>
        </w:tc>
        <w:tc>
          <w:tcPr>
            <w:tcW w:w="1018" w:type="dxa"/>
            <w:gridSpan w:val="3"/>
            <w:tcBorders>
              <w:top w:val="single" w:sz="4" w:space="0" w:color="auto"/>
              <w:left w:val="single" w:sz="4" w:space="0" w:color="auto"/>
              <w:bottom w:val="single" w:sz="4" w:space="0" w:color="auto"/>
              <w:right w:val="single" w:sz="4" w:space="0" w:color="auto"/>
            </w:tcBorders>
          </w:tcPr>
          <w:p w14:paraId="18046CA9" w14:textId="77777777" w:rsidR="00F624F4" w:rsidRPr="00857867" w:rsidRDefault="00F624F4" w:rsidP="007108ED">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434" w:type="dxa"/>
            <w:gridSpan w:val="2"/>
            <w:tcBorders>
              <w:top w:val="single" w:sz="4" w:space="0" w:color="auto"/>
              <w:left w:val="single" w:sz="4" w:space="0" w:color="auto"/>
              <w:bottom w:val="single" w:sz="4" w:space="0" w:color="auto"/>
              <w:right w:val="single" w:sz="4" w:space="0" w:color="auto"/>
            </w:tcBorders>
            <w:hideMark/>
          </w:tcPr>
          <w:p w14:paraId="7CC958BF" w14:textId="77777777" w:rsidR="00F624F4" w:rsidRPr="00857867" w:rsidRDefault="00F624F4" w:rsidP="007108ED">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697" w:type="dxa"/>
            <w:gridSpan w:val="3"/>
            <w:vMerge w:val="restart"/>
            <w:tcBorders>
              <w:top w:val="single" w:sz="4" w:space="0" w:color="auto"/>
              <w:left w:val="single" w:sz="4" w:space="0" w:color="auto"/>
              <w:right w:val="single" w:sz="4" w:space="0" w:color="auto"/>
            </w:tcBorders>
          </w:tcPr>
          <w:p w14:paraId="535E90EB" w14:textId="77777777" w:rsidR="00F624F4" w:rsidRPr="00857867" w:rsidRDefault="00F624F4" w:rsidP="007108ED">
            <w:pPr>
              <w:spacing w:after="0" w:line="240" w:lineRule="auto"/>
              <w:rPr>
                <w:rFonts w:ascii="Times New Roman" w:hAnsi="Times New Roman"/>
                <w:sz w:val="20"/>
                <w:szCs w:val="20"/>
              </w:rPr>
            </w:pPr>
          </w:p>
        </w:tc>
      </w:tr>
      <w:tr w:rsidR="00D75D2E" w:rsidRPr="00420C1B" w14:paraId="46F246AF" w14:textId="77777777" w:rsidTr="00E737B4">
        <w:trPr>
          <w:trHeight w:val="152"/>
          <w:jc w:val="center"/>
        </w:trPr>
        <w:tc>
          <w:tcPr>
            <w:tcW w:w="1917" w:type="dxa"/>
            <w:gridSpan w:val="2"/>
            <w:vMerge/>
            <w:tcBorders>
              <w:left w:val="single" w:sz="4" w:space="0" w:color="auto"/>
              <w:right w:val="single" w:sz="4" w:space="0" w:color="auto"/>
            </w:tcBorders>
            <w:vAlign w:val="center"/>
            <w:hideMark/>
          </w:tcPr>
          <w:p w14:paraId="5737FCE7" w14:textId="77777777" w:rsidR="00F624F4" w:rsidRPr="00857867" w:rsidRDefault="00F624F4" w:rsidP="00F624F4">
            <w:pPr>
              <w:spacing w:after="0" w:line="240" w:lineRule="auto"/>
              <w:rPr>
                <w:rFonts w:ascii="Times New Roman" w:eastAsia="Times New Roman" w:hAnsi="Times New Roman"/>
                <w:sz w:val="20"/>
                <w:szCs w:val="20"/>
                <w:lang w:eastAsia="fr-FR"/>
              </w:rPr>
            </w:pPr>
          </w:p>
        </w:tc>
        <w:tc>
          <w:tcPr>
            <w:tcW w:w="3894" w:type="dxa"/>
            <w:gridSpan w:val="7"/>
            <w:vMerge/>
            <w:tcBorders>
              <w:left w:val="single" w:sz="4" w:space="0" w:color="auto"/>
              <w:right w:val="single" w:sz="4" w:space="0" w:color="auto"/>
            </w:tcBorders>
            <w:vAlign w:val="center"/>
            <w:hideMark/>
          </w:tcPr>
          <w:p w14:paraId="19EE1B70" w14:textId="77777777" w:rsidR="00F624F4" w:rsidRPr="00857867" w:rsidRDefault="00F624F4" w:rsidP="00F624F4">
            <w:pPr>
              <w:spacing w:after="0" w:line="240" w:lineRule="auto"/>
              <w:rPr>
                <w:rFonts w:ascii="Times New Roman" w:hAnsi="Times New Roman"/>
                <w:sz w:val="20"/>
                <w:szCs w:val="20"/>
              </w:rPr>
            </w:pPr>
          </w:p>
        </w:tc>
        <w:tc>
          <w:tcPr>
            <w:tcW w:w="1018" w:type="dxa"/>
            <w:gridSpan w:val="3"/>
            <w:tcBorders>
              <w:top w:val="single" w:sz="4" w:space="0" w:color="auto"/>
              <w:left w:val="single" w:sz="4" w:space="0" w:color="auto"/>
              <w:bottom w:val="single" w:sz="4" w:space="0" w:color="auto"/>
              <w:right w:val="single" w:sz="4" w:space="0" w:color="auto"/>
            </w:tcBorders>
          </w:tcPr>
          <w:p w14:paraId="5E9F5248"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434" w:type="dxa"/>
            <w:gridSpan w:val="2"/>
            <w:tcBorders>
              <w:top w:val="single" w:sz="4" w:space="0" w:color="auto"/>
              <w:left w:val="nil"/>
              <w:bottom w:val="single" w:sz="4" w:space="0" w:color="auto"/>
              <w:right w:val="single" w:sz="4" w:space="0" w:color="auto"/>
            </w:tcBorders>
          </w:tcPr>
          <w:p w14:paraId="21246FA5"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697" w:type="dxa"/>
            <w:gridSpan w:val="3"/>
            <w:vMerge/>
            <w:tcBorders>
              <w:left w:val="single" w:sz="4" w:space="0" w:color="auto"/>
              <w:right w:val="single" w:sz="4" w:space="0" w:color="auto"/>
            </w:tcBorders>
            <w:vAlign w:val="center"/>
            <w:hideMark/>
          </w:tcPr>
          <w:p w14:paraId="0DDBDE77"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3965D980" w14:textId="77777777" w:rsidTr="00E737B4">
        <w:trPr>
          <w:trHeight w:val="101"/>
          <w:jc w:val="center"/>
        </w:trPr>
        <w:tc>
          <w:tcPr>
            <w:tcW w:w="1917" w:type="dxa"/>
            <w:gridSpan w:val="2"/>
            <w:vMerge/>
            <w:tcBorders>
              <w:left w:val="single" w:sz="4" w:space="0" w:color="auto"/>
              <w:bottom w:val="single" w:sz="4" w:space="0" w:color="auto"/>
              <w:right w:val="single" w:sz="4" w:space="0" w:color="auto"/>
            </w:tcBorders>
            <w:vAlign w:val="center"/>
          </w:tcPr>
          <w:p w14:paraId="578E7E0A" w14:textId="77777777" w:rsidR="00F624F4" w:rsidRPr="00857867" w:rsidRDefault="00F624F4" w:rsidP="00F624F4">
            <w:pPr>
              <w:spacing w:after="0" w:line="240" w:lineRule="auto"/>
              <w:rPr>
                <w:rFonts w:ascii="Times New Roman" w:eastAsia="Times New Roman" w:hAnsi="Times New Roman"/>
                <w:sz w:val="20"/>
                <w:szCs w:val="20"/>
                <w:lang w:eastAsia="fr-FR"/>
              </w:rPr>
            </w:pPr>
          </w:p>
        </w:tc>
        <w:tc>
          <w:tcPr>
            <w:tcW w:w="3894" w:type="dxa"/>
            <w:gridSpan w:val="7"/>
            <w:vMerge/>
            <w:tcBorders>
              <w:left w:val="single" w:sz="4" w:space="0" w:color="auto"/>
              <w:bottom w:val="single" w:sz="4" w:space="0" w:color="auto"/>
              <w:right w:val="single" w:sz="4" w:space="0" w:color="auto"/>
            </w:tcBorders>
            <w:vAlign w:val="center"/>
          </w:tcPr>
          <w:p w14:paraId="10863701" w14:textId="77777777" w:rsidR="00F624F4" w:rsidRPr="00857867" w:rsidRDefault="00F624F4" w:rsidP="00F624F4">
            <w:pPr>
              <w:spacing w:after="0" w:line="240" w:lineRule="auto"/>
              <w:rPr>
                <w:rFonts w:ascii="Times New Roman" w:hAnsi="Times New Roman"/>
                <w:sz w:val="20"/>
                <w:szCs w:val="20"/>
              </w:rPr>
            </w:pPr>
          </w:p>
        </w:tc>
        <w:tc>
          <w:tcPr>
            <w:tcW w:w="1018" w:type="dxa"/>
            <w:gridSpan w:val="3"/>
            <w:tcBorders>
              <w:top w:val="single" w:sz="4" w:space="0" w:color="auto"/>
              <w:left w:val="single" w:sz="4" w:space="0" w:color="auto"/>
              <w:bottom w:val="nil"/>
              <w:right w:val="single" w:sz="4" w:space="0" w:color="auto"/>
            </w:tcBorders>
          </w:tcPr>
          <w:p w14:paraId="07F8CE06"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434" w:type="dxa"/>
            <w:gridSpan w:val="2"/>
            <w:tcBorders>
              <w:top w:val="single" w:sz="4" w:space="0" w:color="auto"/>
              <w:left w:val="single" w:sz="4" w:space="0" w:color="auto"/>
              <w:bottom w:val="nil"/>
              <w:right w:val="single" w:sz="4" w:space="0" w:color="auto"/>
            </w:tcBorders>
          </w:tcPr>
          <w:p w14:paraId="6F04798B"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697" w:type="dxa"/>
            <w:gridSpan w:val="3"/>
            <w:vMerge/>
            <w:tcBorders>
              <w:left w:val="single" w:sz="4" w:space="0" w:color="auto"/>
              <w:bottom w:val="single" w:sz="4" w:space="0" w:color="auto"/>
              <w:right w:val="single" w:sz="4" w:space="0" w:color="auto"/>
            </w:tcBorders>
            <w:vAlign w:val="center"/>
          </w:tcPr>
          <w:p w14:paraId="19B7C0A2"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10C3CF47" w14:textId="77777777" w:rsidTr="00E737B4">
        <w:trPr>
          <w:jc w:val="center"/>
        </w:trPr>
        <w:tc>
          <w:tcPr>
            <w:tcW w:w="1917" w:type="dxa"/>
            <w:gridSpan w:val="2"/>
            <w:vMerge w:val="restart"/>
            <w:tcBorders>
              <w:top w:val="single" w:sz="4" w:space="0" w:color="auto"/>
              <w:left w:val="single" w:sz="4" w:space="0" w:color="auto"/>
              <w:bottom w:val="single" w:sz="4" w:space="0" w:color="auto"/>
              <w:right w:val="single" w:sz="4" w:space="0" w:color="auto"/>
            </w:tcBorders>
          </w:tcPr>
          <w:p w14:paraId="1355C464" w14:textId="77777777" w:rsidR="00ED17F3" w:rsidRPr="00857867" w:rsidRDefault="00ED17F3" w:rsidP="007108ED">
            <w:pPr>
              <w:spacing w:after="0" w:line="240" w:lineRule="auto"/>
              <w:rPr>
                <w:rFonts w:ascii="Times New Roman" w:hAnsi="Times New Roman"/>
                <w:b/>
                <w:sz w:val="20"/>
                <w:szCs w:val="20"/>
              </w:rPr>
            </w:pPr>
          </w:p>
          <w:p w14:paraId="5C5BEF57" w14:textId="77777777" w:rsidR="00ED17F3" w:rsidRPr="00857867" w:rsidRDefault="00ED17F3" w:rsidP="007108ED">
            <w:pPr>
              <w:spacing w:after="0" w:line="240" w:lineRule="auto"/>
              <w:rPr>
                <w:rFonts w:ascii="Times New Roman" w:hAnsi="Times New Roman"/>
                <w:b/>
                <w:sz w:val="20"/>
                <w:szCs w:val="20"/>
              </w:rPr>
            </w:pPr>
          </w:p>
          <w:p w14:paraId="4DF9D397" w14:textId="77777777" w:rsidR="00ED17F3" w:rsidRPr="00857867" w:rsidRDefault="00ED17F3" w:rsidP="007108ED">
            <w:pPr>
              <w:spacing w:after="0" w:line="240" w:lineRule="auto"/>
              <w:rPr>
                <w:rFonts w:ascii="Times New Roman" w:hAnsi="Times New Roman"/>
                <w:b/>
                <w:sz w:val="20"/>
                <w:szCs w:val="20"/>
              </w:rPr>
            </w:pPr>
          </w:p>
          <w:p w14:paraId="043732C8"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206" w:type="dxa"/>
            <w:gridSpan w:val="2"/>
            <w:vMerge w:val="restart"/>
            <w:tcBorders>
              <w:top w:val="single" w:sz="4" w:space="0" w:color="auto"/>
              <w:left w:val="single" w:sz="4" w:space="0" w:color="auto"/>
              <w:bottom w:val="single" w:sz="4" w:space="0" w:color="auto"/>
              <w:right w:val="single" w:sz="4" w:space="0" w:color="auto"/>
            </w:tcBorders>
            <w:hideMark/>
          </w:tcPr>
          <w:p w14:paraId="54A3DDD9"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2D82BAB4"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Négatif</w:t>
            </w:r>
          </w:p>
        </w:tc>
        <w:tc>
          <w:tcPr>
            <w:tcW w:w="1146" w:type="dxa"/>
            <w:gridSpan w:val="2"/>
            <w:tcBorders>
              <w:top w:val="single" w:sz="4" w:space="0" w:color="auto"/>
              <w:left w:val="single" w:sz="4" w:space="0" w:color="auto"/>
              <w:bottom w:val="single" w:sz="4" w:space="0" w:color="auto"/>
              <w:right w:val="single" w:sz="4" w:space="0" w:color="auto"/>
            </w:tcBorders>
            <w:hideMark/>
          </w:tcPr>
          <w:p w14:paraId="0B416250"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560" w:type="dxa"/>
            <w:gridSpan w:val="6"/>
            <w:tcBorders>
              <w:top w:val="single" w:sz="4" w:space="0" w:color="auto"/>
              <w:left w:val="single" w:sz="4" w:space="0" w:color="auto"/>
              <w:bottom w:val="single" w:sz="4" w:space="0" w:color="auto"/>
              <w:right w:val="single" w:sz="4" w:space="0" w:color="auto"/>
            </w:tcBorders>
            <w:hideMark/>
          </w:tcPr>
          <w:p w14:paraId="66653F26"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434" w:type="dxa"/>
            <w:gridSpan w:val="2"/>
            <w:tcBorders>
              <w:top w:val="single" w:sz="4" w:space="0" w:color="auto"/>
              <w:left w:val="single" w:sz="4" w:space="0" w:color="auto"/>
              <w:bottom w:val="single" w:sz="4" w:space="0" w:color="auto"/>
              <w:right w:val="single" w:sz="4" w:space="0" w:color="auto"/>
            </w:tcBorders>
            <w:hideMark/>
          </w:tcPr>
          <w:p w14:paraId="55347576"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304" w:type="dxa"/>
            <w:gridSpan w:val="2"/>
            <w:tcBorders>
              <w:top w:val="single" w:sz="4" w:space="0" w:color="auto"/>
              <w:left w:val="single" w:sz="4" w:space="0" w:color="auto"/>
              <w:bottom w:val="single" w:sz="4" w:space="0" w:color="auto"/>
              <w:right w:val="single" w:sz="4" w:space="0" w:color="auto"/>
            </w:tcBorders>
            <w:hideMark/>
          </w:tcPr>
          <w:p w14:paraId="588B15D8"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393" w:type="dxa"/>
            <w:tcBorders>
              <w:top w:val="single" w:sz="4" w:space="0" w:color="auto"/>
              <w:left w:val="single" w:sz="4" w:space="0" w:color="auto"/>
              <w:bottom w:val="single" w:sz="4" w:space="0" w:color="auto"/>
              <w:right w:val="single" w:sz="4" w:space="0" w:color="auto"/>
            </w:tcBorders>
          </w:tcPr>
          <w:p w14:paraId="6AD1E179"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562D7F08"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hideMark/>
          </w:tcPr>
          <w:p w14:paraId="42F3950F" w14:textId="77777777" w:rsidR="00ED17F3" w:rsidRPr="00857867" w:rsidRDefault="00ED17F3" w:rsidP="007108ED">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AA381E" w14:textId="77777777" w:rsidR="00ED17F3" w:rsidRPr="00857867" w:rsidRDefault="00ED17F3" w:rsidP="007108ED">
            <w:pPr>
              <w:spacing w:after="0" w:line="240" w:lineRule="auto"/>
              <w:rPr>
                <w:rFonts w:ascii="Times New Roman" w:eastAsia="Times New Roman" w:hAnsi="Times New Roman"/>
                <w:bCs/>
                <w:sz w:val="20"/>
                <w:szCs w:val="20"/>
              </w:rPr>
            </w:pPr>
          </w:p>
        </w:tc>
        <w:tc>
          <w:tcPr>
            <w:tcW w:w="1146" w:type="dxa"/>
            <w:gridSpan w:val="2"/>
            <w:tcBorders>
              <w:top w:val="single" w:sz="4" w:space="0" w:color="auto"/>
              <w:left w:val="single" w:sz="4" w:space="0" w:color="auto"/>
              <w:bottom w:val="single" w:sz="4" w:space="0" w:color="auto"/>
              <w:right w:val="single" w:sz="4" w:space="0" w:color="auto"/>
            </w:tcBorders>
            <w:vAlign w:val="center"/>
            <w:hideMark/>
          </w:tcPr>
          <w:p w14:paraId="3E379E4E"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 xml:space="preserve">Moyenne </w:t>
            </w:r>
          </w:p>
        </w:tc>
        <w:tc>
          <w:tcPr>
            <w:tcW w:w="2560" w:type="dxa"/>
            <w:gridSpan w:val="6"/>
            <w:tcBorders>
              <w:top w:val="single" w:sz="4" w:space="0" w:color="auto"/>
              <w:left w:val="single" w:sz="4" w:space="0" w:color="auto"/>
              <w:bottom w:val="single" w:sz="4" w:space="0" w:color="auto"/>
              <w:right w:val="single" w:sz="4" w:space="0" w:color="auto"/>
            </w:tcBorders>
            <w:vAlign w:val="center"/>
            <w:hideMark/>
          </w:tcPr>
          <w:p w14:paraId="76C0F425"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Locale</w:t>
            </w:r>
          </w:p>
        </w:tc>
        <w:tc>
          <w:tcPr>
            <w:tcW w:w="1434" w:type="dxa"/>
            <w:gridSpan w:val="2"/>
            <w:tcBorders>
              <w:top w:val="single" w:sz="4" w:space="0" w:color="auto"/>
              <w:left w:val="single" w:sz="4" w:space="0" w:color="auto"/>
              <w:bottom w:val="single" w:sz="4" w:space="0" w:color="auto"/>
              <w:right w:val="single" w:sz="4" w:space="0" w:color="auto"/>
            </w:tcBorders>
            <w:vAlign w:val="center"/>
            <w:hideMark/>
          </w:tcPr>
          <w:p w14:paraId="6363192A"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Courte</w:t>
            </w:r>
          </w:p>
        </w:tc>
        <w:tc>
          <w:tcPr>
            <w:tcW w:w="1304" w:type="dxa"/>
            <w:gridSpan w:val="2"/>
            <w:tcBorders>
              <w:top w:val="single" w:sz="4" w:space="0" w:color="auto"/>
              <w:left w:val="single" w:sz="4" w:space="0" w:color="auto"/>
              <w:bottom w:val="single" w:sz="4" w:space="0" w:color="auto"/>
              <w:right w:val="single" w:sz="4" w:space="0" w:color="auto"/>
            </w:tcBorders>
            <w:vAlign w:val="center"/>
            <w:hideMark/>
          </w:tcPr>
          <w:p w14:paraId="6BC9457C"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393" w:type="dxa"/>
            <w:tcBorders>
              <w:top w:val="single" w:sz="4" w:space="0" w:color="auto"/>
              <w:left w:val="single" w:sz="4" w:space="0" w:color="auto"/>
              <w:bottom w:val="single" w:sz="4" w:space="0" w:color="auto"/>
              <w:right w:val="single" w:sz="4" w:space="0" w:color="auto"/>
            </w:tcBorders>
          </w:tcPr>
          <w:p w14:paraId="237B8F19"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45F03246"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tcPr>
          <w:p w14:paraId="2A6F44A7" w14:textId="77777777" w:rsidR="00F624F4" w:rsidRPr="00857867" w:rsidRDefault="00F624F4" w:rsidP="00F624F4">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9A97FFB" w14:textId="77777777" w:rsidR="00F624F4" w:rsidRPr="00857867" w:rsidRDefault="00F624F4" w:rsidP="00F624F4">
            <w:pPr>
              <w:spacing w:after="0" w:line="240" w:lineRule="auto"/>
              <w:rPr>
                <w:rFonts w:ascii="Times New Roman" w:eastAsia="Times New Roman" w:hAnsi="Times New Roman"/>
                <w:bCs/>
                <w:sz w:val="20"/>
                <w:szCs w:val="20"/>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469F7455" w14:textId="77777777" w:rsidR="00F624F4" w:rsidRPr="00857867" w:rsidRDefault="00F624F4" w:rsidP="00F624F4">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560" w:type="dxa"/>
            <w:gridSpan w:val="6"/>
            <w:tcBorders>
              <w:top w:val="single" w:sz="4" w:space="0" w:color="auto"/>
              <w:left w:val="single" w:sz="4" w:space="0" w:color="auto"/>
              <w:bottom w:val="single" w:sz="4" w:space="0" w:color="auto"/>
              <w:right w:val="single" w:sz="4" w:space="0" w:color="auto"/>
            </w:tcBorders>
          </w:tcPr>
          <w:p w14:paraId="6E3ECAE6" w14:textId="77777777" w:rsidR="00F624F4" w:rsidRPr="00857867" w:rsidRDefault="00F624F4" w:rsidP="00F624F4">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434" w:type="dxa"/>
            <w:gridSpan w:val="2"/>
            <w:tcBorders>
              <w:top w:val="single" w:sz="4" w:space="0" w:color="auto"/>
              <w:left w:val="single" w:sz="4" w:space="0" w:color="auto"/>
              <w:bottom w:val="single" w:sz="4" w:space="0" w:color="auto"/>
              <w:right w:val="single" w:sz="4" w:space="0" w:color="auto"/>
            </w:tcBorders>
          </w:tcPr>
          <w:p w14:paraId="79FADA94" w14:textId="77777777" w:rsidR="00F624F4" w:rsidRPr="00857867" w:rsidRDefault="00F624F4" w:rsidP="00F624F4">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304" w:type="dxa"/>
            <w:gridSpan w:val="2"/>
            <w:tcBorders>
              <w:top w:val="single" w:sz="4" w:space="0" w:color="auto"/>
              <w:left w:val="single" w:sz="4" w:space="0" w:color="auto"/>
              <w:bottom w:val="single" w:sz="4" w:space="0" w:color="auto"/>
              <w:right w:val="single" w:sz="4" w:space="0" w:color="auto"/>
            </w:tcBorders>
          </w:tcPr>
          <w:p w14:paraId="27A057E1" w14:textId="77777777" w:rsidR="00F624F4" w:rsidRPr="00857867" w:rsidRDefault="00F624F4" w:rsidP="00F624F4">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393" w:type="dxa"/>
            <w:tcBorders>
              <w:top w:val="single" w:sz="4" w:space="0" w:color="auto"/>
              <w:left w:val="single" w:sz="4" w:space="0" w:color="auto"/>
              <w:bottom w:val="single" w:sz="4" w:space="0" w:color="auto"/>
              <w:right w:val="single" w:sz="4" w:space="0" w:color="auto"/>
            </w:tcBorders>
          </w:tcPr>
          <w:p w14:paraId="4D580CCF"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5BCEA4F4"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tcPr>
          <w:p w14:paraId="2AC56F70" w14:textId="77777777" w:rsidR="00F624F4" w:rsidRPr="00857867" w:rsidRDefault="00F624F4" w:rsidP="00F624F4">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350E484" w14:textId="77777777" w:rsidR="00F624F4" w:rsidRPr="00857867" w:rsidRDefault="00F624F4" w:rsidP="00F624F4">
            <w:pPr>
              <w:spacing w:after="0" w:line="240" w:lineRule="auto"/>
              <w:rPr>
                <w:rFonts w:ascii="Times New Roman" w:eastAsia="Times New Roman" w:hAnsi="Times New Roman"/>
                <w:bCs/>
                <w:sz w:val="20"/>
                <w:szCs w:val="20"/>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015B8B13" w14:textId="77777777" w:rsidR="00F624F4" w:rsidRPr="00857867" w:rsidRDefault="00F624F4" w:rsidP="00F624F4">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560" w:type="dxa"/>
            <w:gridSpan w:val="6"/>
            <w:tcBorders>
              <w:top w:val="single" w:sz="4" w:space="0" w:color="auto"/>
              <w:left w:val="single" w:sz="4" w:space="0" w:color="auto"/>
              <w:bottom w:val="single" w:sz="4" w:space="0" w:color="auto"/>
              <w:right w:val="single" w:sz="4" w:space="0" w:color="auto"/>
            </w:tcBorders>
            <w:vAlign w:val="center"/>
          </w:tcPr>
          <w:p w14:paraId="2FF319C4"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434" w:type="dxa"/>
            <w:gridSpan w:val="2"/>
            <w:tcBorders>
              <w:top w:val="single" w:sz="4" w:space="0" w:color="auto"/>
              <w:left w:val="single" w:sz="4" w:space="0" w:color="auto"/>
              <w:bottom w:val="single" w:sz="4" w:space="0" w:color="auto"/>
              <w:right w:val="single" w:sz="4" w:space="0" w:color="auto"/>
            </w:tcBorders>
            <w:vAlign w:val="center"/>
          </w:tcPr>
          <w:p w14:paraId="1C304115"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023D8F8C"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hAnsi="Times New Roman"/>
                <w:sz w:val="20"/>
                <w:szCs w:val="20"/>
              </w:rPr>
              <w:t>Oui</w:t>
            </w:r>
          </w:p>
        </w:tc>
        <w:tc>
          <w:tcPr>
            <w:tcW w:w="393" w:type="dxa"/>
            <w:tcBorders>
              <w:top w:val="single" w:sz="4" w:space="0" w:color="auto"/>
              <w:left w:val="single" w:sz="4" w:space="0" w:color="auto"/>
              <w:bottom w:val="single" w:sz="4" w:space="0" w:color="auto"/>
              <w:right w:val="single" w:sz="4" w:space="0" w:color="auto"/>
            </w:tcBorders>
          </w:tcPr>
          <w:p w14:paraId="0EB89F94"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49EBA5F7"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tcPr>
          <w:p w14:paraId="219B15F9" w14:textId="77777777" w:rsidR="00F624F4" w:rsidRPr="00857867" w:rsidRDefault="00F624F4" w:rsidP="00F624F4">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5A6ADD9" w14:textId="77777777" w:rsidR="00F624F4" w:rsidRPr="00857867" w:rsidRDefault="00F624F4" w:rsidP="00F624F4">
            <w:pPr>
              <w:spacing w:after="0" w:line="240" w:lineRule="auto"/>
              <w:rPr>
                <w:rFonts w:ascii="Times New Roman" w:eastAsia="Times New Roman" w:hAnsi="Times New Roman"/>
                <w:bCs/>
                <w:sz w:val="20"/>
                <w:szCs w:val="20"/>
              </w:rPr>
            </w:pPr>
          </w:p>
        </w:tc>
        <w:tc>
          <w:tcPr>
            <w:tcW w:w="1146" w:type="dxa"/>
            <w:gridSpan w:val="2"/>
            <w:tcBorders>
              <w:top w:val="single" w:sz="4" w:space="0" w:color="auto"/>
              <w:left w:val="single" w:sz="4" w:space="0" w:color="auto"/>
              <w:bottom w:val="single" w:sz="4" w:space="0" w:color="auto"/>
              <w:right w:val="single" w:sz="4" w:space="0" w:color="auto"/>
            </w:tcBorders>
          </w:tcPr>
          <w:p w14:paraId="7668471A" w14:textId="77777777" w:rsidR="00F624F4" w:rsidRPr="00857867" w:rsidRDefault="00F624F4" w:rsidP="00F624F4">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560" w:type="dxa"/>
            <w:gridSpan w:val="6"/>
            <w:tcBorders>
              <w:top w:val="single" w:sz="4" w:space="0" w:color="auto"/>
              <w:left w:val="single" w:sz="4" w:space="0" w:color="auto"/>
              <w:bottom w:val="single" w:sz="4" w:space="0" w:color="auto"/>
              <w:right w:val="single" w:sz="4" w:space="0" w:color="auto"/>
            </w:tcBorders>
            <w:vAlign w:val="center"/>
          </w:tcPr>
          <w:p w14:paraId="197CB885"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434" w:type="dxa"/>
            <w:gridSpan w:val="2"/>
            <w:tcBorders>
              <w:top w:val="single" w:sz="4" w:space="0" w:color="auto"/>
              <w:left w:val="single" w:sz="4" w:space="0" w:color="auto"/>
              <w:bottom w:val="single" w:sz="4" w:space="0" w:color="auto"/>
              <w:right w:val="single" w:sz="4" w:space="0" w:color="auto"/>
            </w:tcBorders>
            <w:vAlign w:val="center"/>
          </w:tcPr>
          <w:p w14:paraId="60BF7465" w14:textId="77777777" w:rsidR="00F624F4" w:rsidRPr="00857867" w:rsidRDefault="00F624F4" w:rsidP="00F624F4">
            <w:pPr>
              <w:spacing w:after="0" w:line="240" w:lineRule="auto"/>
              <w:jc w:val="center"/>
              <w:rPr>
                <w:rFonts w:ascii="Times New Roman" w:hAnsi="Times New Roman"/>
                <w:sz w:val="20"/>
                <w:szCs w:val="20"/>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2BE13BBB" w14:textId="77777777" w:rsidR="00F624F4" w:rsidRPr="00857867" w:rsidRDefault="00F624F4" w:rsidP="00F624F4">
            <w:pPr>
              <w:spacing w:after="0" w:line="240" w:lineRule="auto"/>
              <w:jc w:val="center"/>
              <w:rPr>
                <w:rFonts w:ascii="Times New Roman" w:hAnsi="Times New Roman"/>
                <w:sz w:val="20"/>
                <w:szCs w:val="20"/>
              </w:rPr>
            </w:pPr>
          </w:p>
        </w:tc>
        <w:tc>
          <w:tcPr>
            <w:tcW w:w="393" w:type="dxa"/>
            <w:tcBorders>
              <w:top w:val="single" w:sz="4" w:space="0" w:color="auto"/>
              <w:left w:val="single" w:sz="4" w:space="0" w:color="auto"/>
              <w:bottom w:val="single" w:sz="4" w:space="0" w:color="auto"/>
              <w:right w:val="single" w:sz="4" w:space="0" w:color="auto"/>
            </w:tcBorders>
          </w:tcPr>
          <w:p w14:paraId="7ABD4421"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31BAA3E9"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tcPr>
          <w:p w14:paraId="704AD7DC" w14:textId="77777777" w:rsidR="00F624F4" w:rsidRPr="00857867" w:rsidRDefault="00F624F4" w:rsidP="00F624F4">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247F8AE" w14:textId="77777777" w:rsidR="00F624F4" w:rsidRPr="00857867" w:rsidRDefault="00F624F4" w:rsidP="00F624F4">
            <w:pPr>
              <w:spacing w:after="0" w:line="240" w:lineRule="auto"/>
              <w:rPr>
                <w:rFonts w:ascii="Times New Roman" w:eastAsia="Times New Roman" w:hAnsi="Times New Roman"/>
                <w:bCs/>
                <w:sz w:val="20"/>
                <w:szCs w:val="20"/>
              </w:rPr>
            </w:pPr>
          </w:p>
        </w:tc>
        <w:tc>
          <w:tcPr>
            <w:tcW w:w="1146" w:type="dxa"/>
            <w:gridSpan w:val="2"/>
            <w:tcBorders>
              <w:top w:val="single" w:sz="4" w:space="0" w:color="auto"/>
              <w:left w:val="single" w:sz="4" w:space="0" w:color="auto"/>
              <w:bottom w:val="single" w:sz="4" w:space="0" w:color="auto"/>
              <w:right w:val="single" w:sz="4" w:space="0" w:color="auto"/>
            </w:tcBorders>
            <w:vAlign w:val="center"/>
          </w:tcPr>
          <w:p w14:paraId="1E1BD21A"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hAnsi="Times New Roman"/>
                <w:sz w:val="20"/>
                <w:szCs w:val="20"/>
              </w:rPr>
              <w:t>Continue</w:t>
            </w:r>
          </w:p>
        </w:tc>
        <w:tc>
          <w:tcPr>
            <w:tcW w:w="2560" w:type="dxa"/>
            <w:gridSpan w:val="6"/>
            <w:tcBorders>
              <w:top w:val="single" w:sz="4" w:space="0" w:color="auto"/>
              <w:left w:val="single" w:sz="4" w:space="0" w:color="auto"/>
              <w:bottom w:val="single" w:sz="4" w:space="0" w:color="auto"/>
              <w:right w:val="single" w:sz="4" w:space="0" w:color="auto"/>
            </w:tcBorders>
            <w:vAlign w:val="center"/>
          </w:tcPr>
          <w:p w14:paraId="2C57ED57" w14:textId="77777777" w:rsidR="00F624F4" w:rsidRPr="00857867" w:rsidRDefault="00F624F4" w:rsidP="00F624F4">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Juridique</w:t>
            </w:r>
          </w:p>
        </w:tc>
        <w:tc>
          <w:tcPr>
            <w:tcW w:w="1434" w:type="dxa"/>
            <w:gridSpan w:val="2"/>
            <w:tcBorders>
              <w:top w:val="single" w:sz="4" w:space="0" w:color="auto"/>
              <w:left w:val="single" w:sz="4" w:space="0" w:color="auto"/>
              <w:bottom w:val="single" w:sz="4" w:space="0" w:color="auto"/>
              <w:right w:val="single" w:sz="4" w:space="0" w:color="auto"/>
            </w:tcBorders>
            <w:vAlign w:val="center"/>
          </w:tcPr>
          <w:p w14:paraId="4438EE6F" w14:textId="77777777" w:rsidR="00F624F4" w:rsidRPr="00857867" w:rsidRDefault="00F624F4" w:rsidP="00F624F4">
            <w:pPr>
              <w:spacing w:after="0" w:line="240" w:lineRule="auto"/>
              <w:jc w:val="center"/>
              <w:rPr>
                <w:rFonts w:ascii="Times New Roman" w:hAnsi="Times New Roman"/>
                <w:sz w:val="20"/>
                <w:szCs w:val="20"/>
              </w:rPr>
            </w:pPr>
          </w:p>
        </w:tc>
        <w:tc>
          <w:tcPr>
            <w:tcW w:w="1304" w:type="dxa"/>
            <w:gridSpan w:val="2"/>
            <w:tcBorders>
              <w:top w:val="single" w:sz="4" w:space="0" w:color="auto"/>
              <w:left w:val="single" w:sz="4" w:space="0" w:color="auto"/>
              <w:bottom w:val="single" w:sz="4" w:space="0" w:color="auto"/>
              <w:right w:val="single" w:sz="4" w:space="0" w:color="auto"/>
            </w:tcBorders>
            <w:vAlign w:val="center"/>
          </w:tcPr>
          <w:p w14:paraId="571FEB45" w14:textId="77777777" w:rsidR="00F624F4" w:rsidRPr="00857867" w:rsidRDefault="00F624F4" w:rsidP="00F624F4">
            <w:pPr>
              <w:spacing w:after="0" w:line="240" w:lineRule="auto"/>
              <w:jc w:val="center"/>
              <w:rPr>
                <w:rFonts w:ascii="Times New Roman" w:hAnsi="Times New Roman"/>
                <w:sz w:val="20"/>
                <w:szCs w:val="20"/>
              </w:rPr>
            </w:pPr>
          </w:p>
        </w:tc>
        <w:tc>
          <w:tcPr>
            <w:tcW w:w="393" w:type="dxa"/>
            <w:tcBorders>
              <w:top w:val="single" w:sz="4" w:space="0" w:color="auto"/>
              <w:left w:val="single" w:sz="4" w:space="0" w:color="auto"/>
              <w:bottom w:val="single" w:sz="4" w:space="0" w:color="auto"/>
              <w:right w:val="single" w:sz="4" w:space="0" w:color="auto"/>
            </w:tcBorders>
          </w:tcPr>
          <w:p w14:paraId="7E9192D3" w14:textId="77777777" w:rsidR="00F624F4" w:rsidRPr="00857867" w:rsidRDefault="00F624F4" w:rsidP="00F624F4">
            <w:pPr>
              <w:spacing w:after="0" w:line="240" w:lineRule="auto"/>
              <w:rPr>
                <w:rFonts w:ascii="Times New Roman" w:hAnsi="Times New Roman"/>
                <w:sz w:val="20"/>
                <w:szCs w:val="20"/>
              </w:rPr>
            </w:pPr>
          </w:p>
        </w:tc>
      </w:tr>
      <w:tr w:rsidR="00D75D2E" w:rsidRPr="00420C1B" w14:paraId="325D1057" w14:textId="77777777" w:rsidTr="00E737B4">
        <w:trPr>
          <w:jc w:val="center"/>
        </w:trPr>
        <w:tc>
          <w:tcPr>
            <w:tcW w:w="1917" w:type="dxa"/>
            <w:gridSpan w:val="2"/>
            <w:vMerge/>
            <w:tcBorders>
              <w:top w:val="single" w:sz="4" w:space="0" w:color="auto"/>
              <w:left w:val="single" w:sz="4" w:space="0" w:color="auto"/>
              <w:bottom w:val="single" w:sz="4" w:space="0" w:color="auto"/>
              <w:right w:val="single" w:sz="4" w:space="0" w:color="auto"/>
            </w:tcBorders>
            <w:vAlign w:val="center"/>
            <w:hideMark/>
          </w:tcPr>
          <w:p w14:paraId="602EF3D7" w14:textId="77777777" w:rsidR="00ED17F3" w:rsidRPr="00857867" w:rsidRDefault="00ED17F3" w:rsidP="007108ED">
            <w:pPr>
              <w:spacing w:after="0" w:line="240" w:lineRule="auto"/>
              <w:rPr>
                <w:rFonts w:ascii="Times New Roman" w:hAnsi="Times New Roman"/>
                <w:b/>
                <w:sz w:val="20"/>
                <w:szCs w:val="20"/>
              </w:rPr>
            </w:pPr>
          </w:p>
        </w:tc>
        <w:tc>
          <w:tcPr>
            <w:tcW w:w="1206" w:type="dxa"/>
            <w:gridSpan w:val="2"/>
            <w:tcBorders>
              <w:top w:val="single" w:sz="4" w:space="0" w:color="auto"/>
              <w:left w:val="single" w:sz="4" w:space="0" w:color="auto"/>
              <w:bottom w:val="single" w:sz="4" w:space="0" w:color="auto"/>
              <w:right w:val="single" w:sz="4" w:space="0" w:color="auto"/>
            </w:tcBorders>
            <w:hideMark/>
          </w:tcPr>
          <w:p w14:paraId="044D62EA" w14:textId="77777777" w:rsidR="00ED17F3" w:rsidRPr="00857867" w:rsidRDefault="00ED17F3"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6837" w:type="dxa"/>
            <w:gridSpan w:val="13"/>
            <w:tcBorders>
              <w:top w:val="single" w:sz="4" w:space="0" w:color="auto"/>
              <w:left w:val="single" w:sz="4" w:space="0" w:color="auto"/>
              <w:bottom w:val="single" w:sz="4" w:space="0" w:color="auto"/>
              <w:right w:val="single" w:sz="4" w:space="0" w:color="auto"/>
            </w:tcBorders>
            <w:hideMark/>
          </w:tcPr>
          <w:p w14:paraId="27D85C63" w14:textId="50B4EC7F" w:rsidR="00ED17F3" w:rsidRPr="00857867" w:rsidRDefault="00ED17F3" w:rsidP="00F624F4">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Les excavations mécaniques ou manuelles</w:t>
            </w:r>
            <w:r w:rsidR="00E90A25" w:rsidRPr="00857867">
              <w:rPr>
                <w:rFonts w:ascii="Times New Roman" w:hAnsi="Times New Roman"/>
                <w:sz w:val="20"/>
                <w:szCs w:val="20"/>
              </w:rPr>
              <w:t xml:space="preserve"> des travaux de fouilles et de t</w:t>
            </w:r>
            <w:r w:rsidRPr="00857867">
              <w:rPr>
                <w:rFonts w:ascii="Times New Roman" w:hAnsi="Times New Roman"/>
                <w:sz w:val="20"/>
                <w:szCs w:val="20"/>
              </w:rPr>
              <w:t>errassement et coulage de béton engendreront un soulèvement de poussières source de pollution.</w:t>
            </w:r>
            <w:r w:rsidR="00F624F4" w:rsidRPr="00857867">
              <w:rPr>
                <w:rFonts w:ascii="Times New Roman" w:hAnsi="Times New Roman"/>
                <w:sz w:val="20"/>
                <w:szCs w:val="20"/>
              </w:rPr>
              <w:t xml:space="preserve"> </w:t>
            </w:r>
            <w:r w:rsidRPr="00857867">
              <w:rPr>
                <w:rFonts w:ascii="Times New Roman" w:hAnsi="Times New Roman"/>
                <w:sz w:val="20"/>
                <w:szCs w:val="20"/>
              </w:rPr>
              <w:t>De même, les fréquents déplacements de camions pour le transfert des matériaux produiront des gaz d’échappement (CO</w:t>
            </w:r>
            <w:r w:rsidRPr="00215867">
              <w:rPr>
                <w:rFonts w:ascii="Times New Roman" w:hAnsi="Times New Roman"/>
                <w:sz w:val="20"/>
                <w:szCs w:val="20"/>
                <w:vertAlign w:val="subscript"/>
              </w:rPr>
              <w:t>2</w:t>
            </w:r>
            <w:r w:rsidRPr="00857867">
              <w:rPr>
                <w:rFonts w:ascii="Times New Roman" w:hAnsi="Times New Roman"/>
                <w:sz w:val="20"/>
                <w:szCs w:val="20"/>
              </w:rPr>
              <w:t>, CO</w:t>
            </w:r>
            <w:r w:rsidRPr="00215867">
              <w:rPr>
                <w:rFonts w:ascii="Times New Roman" w:hAnsi="Times New Roman"/>
                <w:sz w:val="20"/>
                <w:szCs w:val="20"/>
                <w:vertAlign w:val="subscript"/>
              </w:rPr>
              <w:t>X</w:t>
            </w:r>
            <w:r w:rsidRPr="00857867">
              <w:rPr>
                <w:rFonts w:ascii="Times New Roman" w:hAnsi="Times New Roman"/>
                <w:sz w:val="20"/>
                <w:szCs w:val="20"/>
              </w:rPr>
              <w:t>, SO</w:t>
            </w:r>
            <w:r w:rsidRPr="00215867">
              <w:rPr>
                <w:rFonts w:ascii="Times New Roman" w:hAnsi="Times New Roman"/>
                <w:sz w:val="20"/>
                <w:szCs w:val="20"/>
                <w:vertAlign w:val="subscript"/>
              </w:rPr>
              <w:t>X</w:t>
            </w:r>
            <w:r w:rsidRPr="00857867">
              <w:rPr>
                <w:rFonts w:ascii="Times New Roman" w:hAnsi="Times New Roman"/>
                <w:sz w:val="20"/>
                <w:szCs w:val="20"/>
              </w:rPr>
              <w:t>, etc.) et de particules de poussière, sources de pollution de l’air. A ceux</w:t>
            </w:r>
            <w:r w:rsidR="00E90A25" w:rsidRPr="00857867">
              <w:rPr>
                <w:rFonts w:ascii="Times New Roman" w:hAnsi="Times New Roman"/>
                <w:sz w:val="20"/>
                <w:szCs w:val="20"/>
              </w:rPr>
              <w:t>-là</w:t>
            </w:r>
            <w:r w:rsidRPr="00857867">
              <w:rPr>
                <w:rFonts w:ascii="Times New Roman" w:hAnsi="Times New Roman"/>
                <w:sz w:val="20"/>
                <w:szCs w:val="20"/>
              </w:rPr>
              <w:t xml:space="preserve"> s’ajoutent les bruits sonores et vibrations générés par les camions, qui peuvent constituer également de source de pollution sonore et olfactive. Les effets négatifs sur la qualité de l’air seront néanmoins localisés aux alentours du chantier</w:t>
            </w:r>
            <w:r w:rsidR="00775F91">
              <w:rPr>
                <w:rFonts w:ascii="Times New Roman" w:hAnsi="Times New Roman"/>
                <w:sz w:val="20"/>
                <w:szCs w:val="20"/>
              </w:rPr>
              <w:t xml:space="preserve"> et causés des dommages aux tiers </w:t>
            </w:r>
            <w:r w:rsidRPr="00857867">
              <w:rPr>
                <w:rFonts w:ascii="Times New Roman" w:hAnsi="Times New Roman"/>
                <w:sz w:val="20"/>
                <w:szCs w:val="20"/>
              </w:rPr>
              <w:t xml:space="preserve"> sur une durée relativement courte. Cet impact sera donc d’importance moyenne.</w:t>
            </w:r>
          </w:p>
        </w:tc>
      </w:tr>
      <w:tr w:rsidR="00D75D2E" w:rsidRPr="00420C1B" w14:paraId="29E5C79A" w14:textId="77777777" w:rsidTr="00E737B4">
        <w:trPr>
          <w:jc w:val="center"/>
        </w:trPr>
        <w:tc>
          <w:tcPr>
            <w:tcW w:w="4269" w:type="dxa"/>
            <w:gridSpan w:val="6"/>
            <w:tcBorders>
              <w:top w:val="single" w:sz="4" w:space="0" w:color="auto"/>
              <w:left w:val="single" w:sz="4" w:space="0" w:color="auto"/>
              <w:bottom w:val="single" w:sz="4" w:space="0" w:color="auto"/>
              <w:right w:val="single" w:sz="4" w:space="0" w:color="auto"/>
            </w:tcBorders>
            <w:hideMark/>
          </w:tcPr>
          <w:p w14:paraId="3748B34C" w14:textId="77777777" w:rsidR="00ED17F3" w:rsidRPr="00857867" w:rsidRDefault="00ED17F3"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5691" w:type="dxa"/>
            <w:gridSpan w:val="11"/>
            <w:tcBorders>
              <w:top w:val="single" w:sz="4" w:space="0" w:color="auto"/>
              <w:left w:val="single" w:sz="4" w:space="0" w:color="auto"/>
              <w:bottom w:val="single" w:sz="4" w:space="0" w:color="auto"/>
              <w:right w:val="single" w:sz="4" w:space="0" w:color="auto"/>
            </w:tcBorders>
            <w:hideMark/>
          </w:tcPr>
          <w:p w14:paraId="7B132E57"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Mise en œuvre d’un Plan de limitation de la pollution de l’air. </w:t>
            </w:r>
          </w:p>
        </w:tc>
      </w:tr>
      <w:tr w:rsidR="00D75D2E" w:rsidRPr="00420C1B" w14:paraId="5D265C4C" w14:textId="77777777" w:rsidTr="00E737B4">
        <w:trPr>
          <w:jc w:val="center"/>
        </w:trPr>
        <w:tc>
          <w:tcPr>
            <w:tcW w:w="4269" w:type="dxa"/>
            <w:gridSpan w:val="6"/>
            <w:tcBorders>
              <w:top w:val="single" w:sz="4" w:space="0" w:color="auto"/>
              <w:left w:val="single" w:sz="4" w:space="0" w:color="auto"/>
              <w:bottom w:val="single" w:sz="4" w:space="0" w:color="auto"/>
              <w:right w:val="single" w:sz="4" w:space="0" w:color="auto"/>
            </w:tcBorders>
          </w:tcPr>
          <w:p w14:paraId="6F272C7E"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4CE2DDE6" w14:textId="77777777" w:rsidR="00ED17F3" w:rsidRPr="00857867" w:rsidRDefault="00ED17F3"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Réduire la pollution de l’air par l’amélioration des procédés de mise en œuvre des activités sur le chantier (matériels, circulation, modes opératoires, etc.)</w:t>
            </w:r>
          </w:p>
          <w:p w14:paraId="3667B1C6" w14:textId="77777777" w:rsidR="00ED17F3" w:rsidRPr="00857867" w:rsidRDefault="00ED17F3" w:rsidP="007108ED">
            <w:pPr>
              <w:spacing w:after="0" w:line="240" w:lineRule="auto"/>
              <w:ind w:left="720"/>
              <w:contextualSpacing/>
              <w:rPr>
                <w:rFonts w:ascii="Times New Roman" w:hAnsi="Times New Roman"/>
                <w:sz w:val="20"/>
                <w:szCs w:val="20"/>
              </w:rPr>
            </w:pPr>
          </w:p>
        </w:tc>
        <w:tc>
          <w:tcPr>
            <w:tcW w:w="5691" w:type="dxa"/>
            <w:gridSpan w:val="11"/>
            <w:tcBorders>
              <w:top w:val="single" w:sz="4" w:space="0" w:color="auto"/>
              <w:left w:val="single" w:sz="4" w:space="0" w:color="auto"/>
              <w:bottom w:val="single" w:sz="4" w:space="0" w:color="auto"/>
              <w:right w:val="single" w:sz="4" w:space="0" w:color="auto"/>
            </w:tcBorders>
            <w:hideMark/>
          </w:tcPr>
          <w:p w14:paraId="431BBE04"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1A556510" w14:textId="77777777" w:rsidR="00ED17F3" w:rsidRPr="00857867" w:rsidRDefault="00ED17F3" w:rsidP="008C79F0">
            <w:pPr>
              <w:numPr>
                <w:ilvl w:val="0"/>
                <w:numId w:val="30"/>
              </w:numPr>
              <w:autoSpaceDE w:val="0"/>
              <w:autoSpaceDN w:val="0"/>
              <w:adjustRightInd w:val="0"/>
              <w:spacing w:after="0" w:line="240" w:lineRule="auto"/>
              <w:ind w:left="142" w:hanging="218"/>
              <w:jc w:val="both"/>
              <w:rPr>
                <w:rFonts w:ascii="Times New Roman" w:hAnsi="Times New Roman"/>
                <w:iCs/>
                <w:sz w:val="20"/>
                <w:szCs w:val="20"/>
                <w:lang w:val="fr-CA"/>
              </w:rPr>
            </w:pPr>
            <w:r w:rsidRPr="00857867">
              <w:rPr>
                <w:rFonts w:ascii="Times New Roman" w:hAnsi="Times New Roman"/>
                <w:iCs/>
                <w:sz w:val="20"/>
                <w:szCs w:val="20"/>
              </w:rPr>
              <w:t>informer et sensibiliser les conducteurs sur la limitation de vitesse</w:t>
            </w:r>
            <w:r w:rsidR="00F624F4" w:rsidRPr="00857867">
              <w:rPr>
                <w:rFonts w:ascii="Times New Roman" w:hAnsi="Times New Roman"/>
                <w:iCs/>
                <w:sz w:val="20"/>
                <w:szCs w:val="20"/>
              </w:rPr>
              <w:t xml:space="preserve"> à 30 km/h dans la zone d’évolution des travaux ;</w:t>
            </w:r>
          </w:p>
          <w:p w14:paraId="5912E6D6" w14:textId="77777777" w:rsidR="00ED17F3" w:rsidRPr="00857867" w:rsidRDefault="00ED17F3" w:rsidP="008C79F0">
            <w:pPr>
              <w:numPr>
                <w:ilvl w:val="0"/>
                <w:numId w:val="30"/>
              </w:numPr>
              <w:autoSpaceDE w:val="0"/>
              <w:autoSpaceDN w:val="0"/>
              <w:adjustRightInd w:val="0"/>
              <w:spacing w:after="0" w:line="240" w:lineRule="auto"/>
              <w:ind w:left="142" w:hanging="218"/>
              <w:jc w:val="both"/>
              <w:rPr>
                <w:rFonts w:ascii="Times New Roman" w:eastAsia="Times New Roman" w:hAnsi="Times New Roman"/>
                <w:iCs/>
                <w:sz w:val="20"/>
                <w:szCs w:val="20"/>
                <w:lang w:val="fr-CA" w:eastAsia="fr-FR"/>
              </w:rPr>
            </w:pPr>
            <w:r w:rsidRPr="00857867">
              <w:rPr>
                <w:rFonts w:ascii="Times New Roman" w:eastAsia="Times New Roman" w:hAnsi="Times New Roman"/>
                <w:iCs/>
                <w:sz w:val="20"/>
                <w:szCs w:val="20"/>
                <w:lang w:val="fr-CA" w:eastAsia="fr-FR"/>
              </w:rPr>
              <w:t>imposer aux contractuels des travaux de chantiers le bâchage de tous les camions transportant les matériaux (sables, gravillons etc.) de construction ;</w:t>
            </w:r>
          </w:p>
          <w:p w14:paraId="452E7948" w14:textId="77777777" w:rsidR="00ED17F3" w:rsidRPr="00857867" w:rsidRDefault="00E90A25" w:rsidP="008C79F0">
            <w:pPr>
              <w:numPr>
                <w:ilvl w:val="0"/>
                <w:numId w:val="76"/>
              </w:numPr>
              <w:autoSpaceDE w:val="0"/>
              <w:autoSpaceDN w:val="0"/>
              <w:adjustRightInd w:val="0"/>
              <w:spacing w:after="0" w:line="240" w:lineRule="auto"/>
              <w:ind w:left="193" w:hanging="193"/>
              <w:jc w:val="both"/>
              <w:rPr>
                <w:rFonts w:ascii="Times New Roman" w:eastAsia="Times New Roman" w:hAnsi="Times New Roman"/>
                <w:iCs/>
                <w:sz w:val="20"/>
                <w:szCs w:val="20"/>
                <w:lang w:val="fr-CA" w:eastAsia="fr-FR"/>
              </w:rPr>
            </w:pPr>
            <w:r w:rsidRPr="00857867">
              <w:rPr>
                <w:rFonts w:ascii="Times New Roman" w:hAnsi="Times New Roman"/>
                <w:iCs/>
                <w:sz w:val="20"/>
                <w:szCs w:val="20"/>
              </w:rPr>
              <w:t>e</w:t>
            </w:r>
            <w:r w:rsidR="00F624F4" w:rsidRPr="00857867">
              <w:rPr>
                <w:rFonts w:ascii="Times New Roman" w:hAnsi="Times New Roman"/>
                <w:iCs/>
                <w:sz w:val="20"/>
                <w:szCs w:val="20"/>
              </w:rPr>
              <w:t>ntretenir régulièrement des engins et véhicules de chantier</w:t>
            </w:r>
            <w:r w:rsidR="00ED17F3" w:rsidRPr="00857867">
              <w:rPr>
                <w:rFonts w:ascii="Times New Roman" w:eastAsia="Times New Roman" w:hAnsi="Times New Roman"/>
                <w:sz w:val="20"/>
                <w:szCs w:val="20"/>
                <w:lang w:eastAsia="fr-FR"/>
              </w:rPr>
              <w:t xml:space="preserve"> ;</w:t>
            </w:r>
          </w:p>
          <w:p w14:paraId="22EF9B52" w14:textId="77777777" w:rsidR="00ED17F3" w:rsidRPr="00857867" w:rsidRDefault="00ED17F3" w:rsidP="008C79F0">
            <w:pPr>
              <w:numPr>
                <w:ilvl w:val="0"/>
                <w:numId w:val="30"/>
              </w:numPr>
              <w:autoSpaceDE w:val="0"/>
              <w:autoSpaceDN w:val="0"/>
              <w:adjustRightInd w:val="0"/>
              <w:spacing w:after="0" w:line="240" w:lineRule="auto"/>
              <w:ind w:left="142" w:hanging="218"/>
              <w:jc w:val="both"/>
              <w:rPr>
                <w:rFonts w:ascii="Times New Roman" w:eastAsia="Times New Roman" w:hAnsi="Times New Roman"/>
                <w:iCs/>
                <w:sz w:val="20"/>
                <w:szCs w:val="20"/>
                <w:lang w:val="fr-CA" w:eastAsia="fr-FR"/>
              </w:rPr>
            </w:pPr>
            <w:r w:rsidRPr="00857867">
              <w:rPr>
                <w:rFonts w:ascii="Times New Roman" w:eastAsia="Times New Roman" w:hAnsi="Times New Roman"/>
                <w:sz w:val="20"/>
                <w:szCs w:val="20"/>
                <w:lang w:val="fr-CA" w:eastAsia="fr-FR"/>
              </w:rPr>
              <w:t>exiger</w:t>
            </w:r>
            <w:r w:rsidRPr="00857867">
              <w:rPr>
                <w:rFonts w:ascii="Times New Roman" w:eastAsia="Times New Roman" w:hAnsi="Times New Roman"/>
                <w:sz w:val="20"/>
                <w:szCs w:val="20"/>
                <w:lang w:eastAsia="fr-FR"/>
              </w:rPr>
              <w:t xml:space="preserve"> le port des équipements de protections individuelles (EPI) pour les travailleurs.</w:t>
            </w:r>
          </w:p>
        </w:tc>
      </w:tr>
      <w:tr w:rsidR="00D75D2E" w:rsidRPr="00420C1B" w14:paraId="1A7FD5C4" w14:textId="77777777" w:rsidTr="00E737B4">
        <w:trPr>
          <w:jc w:val="center"/>
        </w:trPr>
        <w:tc>
          <w:tcPr>
            <w:tcW w:w="2369" w:type="dxa"/>
            <w:gridSpan w:val="3"/>
            <w:tcBorders>
              <w:top w:val="single" w:sz="4" w:space="0" w:color="auto"/>
              <w:left w:val="single" w:sz="4" w:space="0" w:color="auto"/>
              <w:bottom w:val="single" w:sz="4" w:space="0" w:color="auto"/>
              <w:right w:val="single" w:sz="4" w:space="0" w:color="auto"/>
            </w:tcBorders>
          </w:tcPr>
          <w:p w14:paraId="23AFC2B4"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28CD26DE"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MdC ;</w:t>
            </w:r>
          </w:p>
          <w:p w14:paraId="6158E452"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ACE ;</w:t>
            </w:r>
          </w:p>
          <w:p w14:paraId="2A3BF72E" w14:textId="77777777" w:rsidR="00C86B57" w:rsidRPr="00857867" w:rsidRDefault="00C86B57"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BUE. </w:t>
            </w:r>
          </w:p>
        </w:tc>
        <w:tc>
          <w:tcPr>
            <w:tcW w:w="3929" w:type="dxa"/>
            <w:gridSpan w:val="7"/>
            <w:tcBorders>
              <w:top w:val="single" w:sz="4" w:space="0" w:color="auto"/>
              <w:left w:val="single" w:sz="4" w:space="0" w:color="auto"/>
              <w:bottom w:val="single" w:sz="4" w:space="0" w:color="auto"/>
              <w:right w:val="single" w:sz="4" w:space="0" w:color="auto"/>
            </w:tcBorders>
          </w:tcPr>
          <w:p w14:paraId="59866DEF"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15345BF1" w14:textId="77777777" w:rsidR="00C86B57" w:rsidRPr="00857867"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14B7F888" w14:textId="77777777" w:rsidR="00C86B57" w:rsidRPr="00857867" w:rsidRDefault="00C86B57"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70C633EC" w14:textId="77777777" w:rsidR="00C86B57" w:rsidRPr="00857867" w:rsidRDefault="00C86B57"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662" w:type="dxa"/>
            <w:gridSpan w:val="7"/>
            <w:tcBorders>
              <w:top w:val="single" w:sz="4" w:space="0" w:color="auto"/>
              <w:left w:val="single" w:sz="4" w:space="0" w:color="auto"/>
              <w:bottom w:val="single" w:sz="4" w:space="0" w:color="auto"/>
              <w:right w:val="single" w:sz="4" w:space="0" w:color="auto"/>
            </w:tcBorders>
          </w:tcPr>
          <w:p w14:paraId="7EC2DF9D" w14:textId="77777777" w:rsidR="00C86B57" w:rsidRPr="00857867" w:rsidRDefault="00C86B57"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 xml:space="preserve">Indicateurs de suivi </w:t>
            </w:r>
          </w:p>
          <w:p w14:paraId="1509860B" w14:textId="77777777" w:rsidR="00C86B57" w:rsidRPr="00857867" w:rsidRDefault="009146E0" w:rsidP="008C79F0">
            <w:pPr>
              <w:numPr>
                <w:ilvl w:val="0"/>
                <w:numId w:val="32"/>
              </w:numPr>
              <w:autoSpaceDE w:val="0"/>
              <w:autoSpaceDN w:val="0"/>
              <w:adjustRightInd w:val="0"/>
              <w:spacing w:after="0" w:line="240" w:lineRule="auto"/>
              <w:ind w:left="186" w:hanging="186"/>
              <w:contextualSpacing/>
              <w:rPr>
                <w:rFonts w:ascii="Times New Roman" w:hAnsi="Times New Roman"/>
                <w:sz w:val="20"/>
                <w:szCs w:val="20"/>
              </w:rPr>
            </w:pPr>
            <w:r w:rsidRPr="00857867">
              <w:rPr>
                <w:rFonts w:ascii="Times New Roman" w:hAnsi="Times New Roman"/>
                <w:sz w:val="20"/>
                <w:szCs w:val="20"/>
              </w:rPr>
              <w:t>100% des</w:t>
            </w:r>
            <w:r w:rsidR="00C86B57" w:rsidRPr="00857867">
              <w:rPr>
                <w:rFonts w:ascii="Times New Roman" w:hAnsi="Times New Roman"/>
                <w:sz w:val="20"/>
                <w:szCs w:val="20"/>
              </w:rPr>
              <w:t xml:space="preserve"> plainte</w:t>
            </w:r>
            <w:r w:rsidRPr="00857867">
              <w:rPr>
                <w:rFonts w:ascii="Times New Roman" w:hAnsi="Times New Roman"/>
                <w:sz w:val="20"/>
                <w:szCs w:val="20"/>
              </w:rPr>
              <w:t>s</w:t>
            </w:r>
            <w:r w:rsidR="00C86B57" w:rsidRPr="00857867">
              <w:rPr>
                <w:rFonts w:ascii="Times New Roman" w:hAnsi="Times New Roman"/>
                <w:sz w:val="20"/>
                <w:szCs w:val="20"/>
              </w:rPr>
              <w:t xml:space="preserve"> enregistrée</w:t>
            </w:r>
            <w:r w:rsidRPr="00857867">
              <w:rPr>
                <w:rFonts w:ascii="Times New Roman" w:hAnsi="Times New Roman"/>
                <w:sz w:val="20"/>
                <w:szCs w:val="20"/>
              </w:rPr>
              <w:t xml:space="preserve"> sont traitées</w:t>
            </w:r>
          </w:p>
          <w:p w14:paraId="29681F27" w14:textId="77777777" w:rsidR="00C86B57" w:rsidRPr="00857867" w:rsidRDefault="00C86B57" w:rsidP="008C79F0">
            <w:pPr>
              <w:numPr>
                <w:ilvl w:val="0"/>
                <w:numId w:val="32"/>
              </w:numPr>
              <w:autoSpaceDE w:val="0"/>
              <w:autoSpaceDN w:val="0"/>
              <w:adjustRightInd w:val="0"/>
              <w:spacing w:after="0" w:line="240" w:lineRule="auto"/>
              <w:ind w:left="186" w:hanging="186"/>
              <w:contextualSpacing/>
              <w:rPr>
                <w:rFonts w:ascii="Times New Roman" w:hAnsi="Times New Roman"/>
                <w:sz w:val="20"/>
                <w:szCs w:val="20"/>
              </w:rPr>
            </w:pPr>
            <w:r w:rsidRPr="00857867">
              <w:rPr>
                <w:rFonts w:ascii="Times New Roman" w:hAnsi="Times New Roman"/>
                <w:sz w:val="20"/>
                <w:szCs w:val="20"/>
              </w:rPr>
              <w:t>PV de sensibilisation sur la limitation de vitesse.</w:t>
            </w:r>
          </w:p>
        </w:tc>
      </w:tr>
      <w:tr w:rsidR="00D75D2E" w:rsidRPr="00420C1B" w14:paraId="164A902C" w14:textId="77777777" w:rsidTr="00E737B4">
        <w:trPr>
          <w:trHeight w:val="537"/>
          <w:jc w:val="center"/>
        </w:trPr>
        <w:tc>
          <w:tcPr>
            <w:tcW w:w="1342" w:type="dxa"/>
            <w:tcBorders>
              <w:top w:val="single" w:sz="4" w:space="0" w:color="auto"/>
              <w:left w:val="single" w:sz="4" w:space="0" w:color="auto"/>
              <w:bottom w:val="single" w:sz="4" w:space="0" w:color="auto"/>
              <w:right w:val="single" w:sz="4" w:space="0" w:color="auto"/>
            </w:tcBorders>
          </w:tcPr>
          <w:p w14:paraId="35387554" w14:textId="77777777" w:rsidR="00ED17F3" w:rsidRPr="00857867" w:rsidRDefault="00ED17F3" w:rsidP="007108ED">
            <w:pPr>
              <w:autoSpaceDE w:val="0"/>
              <w:autoSpaceDN w:val="0"/>
              <w:adjustRightInd w:val="0"/>
              <w:spacing w:after="0" w:line="240" w:lineRule="auto"/>
              <w:rPr>
                <w:rFonts w:ascii="Times New Roman" w:hAnsi="Times New Roman"/>
                <w:sz w:val="20"/>
                <w:szCs w:val="20"/>
                <w:u w:val="single"/>
              </w:rPr>
            </w:pPr>
            <w:r w:rsidRPr="00857867">
              <w:rPr>
                <w:rFonts w:ascii="Times New Roman" w:hAnsi="Times New Roman"/>
                <w:sz w:val="20"/>
                <w:szCs w:val="20"/>
                <w:u w:val="single"/>
              </w:rPr>
              <w:t>Coût de la mesure</w:t>
            </w:r>
          </w:p>
        </w:tc>
        <w:tc>
          <w:tcPr>
            <w:tcW w:w="1027" w:type="dxa"/>
            <w:gridSpan w:val="2"/>
            <w:tcBorders>
              <w:top w:val="single" w:sz="4" w:space="0" w:color="auto"/>
              <w:left w:val="single" w:sz="4" w:space="0" w:color="auto"/>
              <w:bottom w:val="single" w:sz="4" w:space="0" w:color="auto"/>
              <w:right w:val="single" w:sz="4" w:space="0" w:color="auto"/>
            </w:tcBorders>
          </w:tcPr>
          <w:p w14:paraId="51F9E909"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074" w:type="dxa"/>
            <w:gridSpan w:val="2"/>
            <w:tcBorders>
              <w:top w:val="single" w:sz="4" w:space="0" w:color="auto"/>
              <w:left w:val="single" w:sz="4" w:space="0" w:color="auto"/>
              <w:bottom w:val="single" w:sz="4" w:space="0" w:color="auto"/>
              <w:right w:val="single" w:sz="4" w:space="0" w:color="auto"/>
            </w:tcBorders>
          </w:tcPr>
          <w:p w14:paraId="7B6DF015"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43A05276"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793" w:type="dxa"/>
            <w:gridSpan w:val="2"/>
            <w:tcBorders>
              <w:top w:val="single" w:sz="4" w:space="0" w:color="auto"/>
              <w:left w:val="single" w:sz="4" w:space="0" w:color="auto"/>
              <w:bottom w:val="single" w:sz="4" w:space="0" w:color="auto"/>
              <w:right w:val="single" w:sz="4" w:space="0" w:color="auto"/>
            </w:tcBorders>
          </w:tcPr>
          <w:p w14:paraId="78884404" w14:textId="77777777" w:rsidR="00ED17F3" w:rsidRPr="00857867" w:rsidRDefault="00ED17F3" w:rsidP="007108ED">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355" w:type="dxa"/>
            <w:gridSpan w:val="4"/>
            <w:tcBorders>
              <w:top w:val="single" w:sz="4" w:space="0" w:color="auto"/>
              <w:left w:val="single" w:sz="4" w:space="0" w:color="auto"/>
              <w:bottom w:val="single" w:sz="4" w:space="0" w:color="auto"/>
              <w:right w:val="single" w:sz="4" w:space="0" w:color="auto"/>
            </w:tcBorders>
          </w:tcPr>
          <w:p w14:paraId="1EA654C7"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tc>
        <w:tc>
          <w:tcPr>
            <w:tcW w:w="1109" w:type="dxa"/>
            <w:gridSpan w:val="2"/>
            <w:tcBorders>
              <w:top w:val="single" w:sz="4" w:space="0" w:color="auto"/>
              <w:left w:val="single" w:sz="4" w:space="0" w:color="auto"/>
              <w:bottom w:val="single" w:sz="4" w:space="0" w:color="auto"/>
              <w:right w:val="single" w:sz="4" w:space="0" w:color="auto"/>
            </w:tcBorders>
          </w:tcPr>
          <w:p w14:paraId="6E0F0B91"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523B992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168" w:type="dxa"/>
            <w:gridSpan w:val="2"/>
            <w:tcBorders>
              <w:top w:val="single" w:sz="4" w:space="0" w:color="auto"/>
              <w:left w:val="single" w:sz="4" w:space="0" w:color="auto"/>
              <w:bottom w:val="single" w:sz="4" w:space="0" w:color="auto"/>
              <w:right w:val="single" w:sz="4" w:space="0" w:color="auto"/>
            </w:tcBorders>
          </w:tcPr>
          <w:p w14:paraId="536E9713"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1092" w:type="dxa"/>
            <w:gridSpan w:val="2"/>
            <w:tcBorders>
              <w:top w:val="single" w:sz="4" w:space="0" w:color="auto"/>
              <w:left w:val="single" w:sz="4" w:space="0" w:color="auto"/>
              <w:bottom w:val="single" w:sz="4" w:space="0" w:color="auto"/>
              <w:right w:val="single" w:sz="4" w:space="0" w:color="auto"/>
            </w:tcBorders>
          </w:tcPr>
          <w:p w14:paraId="54A6990E"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D75D2E" w:rsidRPr="00420C1B" w14:paraId="479847B2" w14:textId="77777777" w:rsidTr="00E737B4">
        <w:trPr>
          <w:jc w:val="center"/>
        </w:trPr>
        <w:tc>
          <w:tcPr>
            <w:tcW w:w="1342" w:type="dxa"/>
            <w:tcBorders>
              <w:top w:val="single" w:sz="4" w:space="0" w:color="auto"/>
              <w:left w:val="single" w:sz="4" w:space="0" w:color="auto"/>
              <w:bottom w:val="single" w:sz="4" w:space="0" w:color="auto"/>
              <w:right w:val="single" w:sz="4" w:space="0" w:color="auto"/>
            </w:tcBorders>
          </w:tcPr>
          <w:p w14:paraId="4589928B"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IEC sur la limitation de la pollution de l’air</w:t>
            </w:r>
          </w:p>
        </w:tc>
        <w:tc>
          <w:tcPr>
            <w:tcW w:w="1027" w:type="dxa"/>
            <w:gridSpan w:val="2"/>
            <w:tcBorders>
              <w:top w:val="single" w:sz="4" w:space="0" w:color="auto"/>
              <w:left w:val="single" w:sz="4" w:space="0" w:color="auto"/>
              <w:bottom w:val="single" w:sz="4" w:space="0" w:color="auto"/>
              <w:right w:val="single" w:sz="4" w:space="0" w:color="auto"/>
            </w:tcBorders>
          </w:tcPr>
          <w:p w14:paraId="49C7BEEE"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Séance</w:t>
            </w:r>
          </w:p>
        </w:tc>
        <w:tc>
          <w:tcPr>
            <w:tcW w:w="1074" w:type="dxa"/>
            <w:gridSpan w:val="2"/>
            <w:tcBorders>
              <w:top w:val="single" w:sz="4" w:space="0" w:color="auto"/>
              <w:left w:val="single" w:sz="4" w:space="0" w:color="auto"/>
              <w:bottom w:val="single" w:sz="4" w:space="0" w:color="auto"/>
              <w:right w:val="single" w:sz="4" w:space="0" w:color="auto"/>
            </w:tcBorders>
          </w:tcPr>
          <w:p w14:paraId="0EF48189" w14:textId="77777777" w:rsidR="00ED17F3" w:rsidRPr="00420C1B" w:rsidRDefault="00C9119D" w:rsidP="00F624F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1793" w:type="dxa"/>
            <w:gridSpan w:val="2"/>
            <w:tcBorders>
              <w:top w:val="single" w:sz="4" w:space="0" w:color="auto"/>
              <w:left w:val="single" w:sz="4" w:space="0" w:color="auto"/>
              <w:bottom w:val="single" w:sz="4" w:space="0" w:color="auto"/>
              <w:right w:val="single" w:sz="4" w:space="0" w:color="auto"/>
            </w:tcBorders>
          </w:tcPr>
          <w:p w14:paraId="551A2CC6" w14:textId="77777777" w:rsidR="00ED17F3" w:rsidRPr="00420C1B" w:rsidRDefault="00ED17F3" w:rsidP="00F624F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w:t>
            </w:r>
          </w:p>
        </w:tc>
        <w:tc>
          <w:tcPr>
            <w:tcW w:w="1355" w:type="dxa"/>
            <w:gridSpan w:val="4"/>
            <w:tcBorders>
              <w:top w:val="single" w:sz="4" w:space="0" w:color="auto"/>
              <w:left w:val="single" w:sz="4" w:space="0" w:color="auto"/>
              <w:bottom w:val="single" w:sz="4" w:space="0" w:color="auto"/>
              <w:right w:val="single" w:sz="4" w:space="0" w:color="auto"/>
            </w:tcBorders>
          </w:tcPr>
          <w:p w14:paraId="6834971F" w14:textId="77777777" w:rsidR="00ED17F3" w:rsidRPr="00420C1B" w:rsidRDefault="00C9119D" w:rsidP="00F624F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1109" w:type="dxa"/>
            <w:gridSpan w:val="2"/>
            <w:tcBorders>
              <w:top w:val="single" w:sz="4" w:space="0" w:color="auto"/>
              <w:left w:val="single" w:sz="4" w:space="0" w:color="auto"/>
              <w:bottom w:val="single" w:sz="4" w:space="0" w:color="auto"/>
              <w:right w:val="single" w:sz="4" w:space="0" w:color="auto"/>
            </w:tcBorders>
          </w:tcPr>
          <w:p w14:paraId="44966F61" w14:textId="77777777" w:rsidR="00ED17F3" w:rsidRPr="00420C1B" w:rsidRDefault="00ED17F3" w:rsidP="00F624F4">
            <w:pPr>
              <w:autoSpaceDE w:val="0"/>
              <w:autoSpaceDN w:val="0"/>
              <w:adjustRightInd w:val="0"/>
              <w:spacing w:after="0" w:line="240" w:lineRule="auto"/>
              <w:jc w:val="center"/>
              <w:rPr>
                <w:rFonts w:ascii="Times New Roman" w:hAnsi="Times New Roman"/>
                <w:sz w:val="20"/>
                <w:szCs w:val="20"/>
              </w:rPr>
            </w:pPr>
          </w:p>
        </w:tc>
        <w:tc>
          <w:tcPr>
            <w:tcW w:w="1168" w:type="dxa"/>
            <w:gridSpan w:val="2"/>
            <w:tcBorders>
              <w:top w:val="single" w:sz="4" w:space="0" w:color="auto"/>
              <w:left w:val="single" w:sz="4" w:space="0" w:color="auto"/>
              <w:bottom w:val="single" w:sz="4" w:space="0" w:color="auto"/>
              <w:right w:val="single" w:sz="4" w:space="0" w:color="auto"/>
            </w:tcBorders>
          </w:tcPr>
          <w:p w14:paraId="5A3BC463" w14:textId="77777777" w:rsidR="00ED17F3" w:rsidRPr="00420C1B" w:rsidRDefault="00C9119D" w:rsidP="00F624F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1092" w:type="dxa"/>
            <w:gridSpan w:val="2"/>
            <w:tcBorders>
              <w:top w:val="single" w:sz="4" w:space="0" w:color="auto"/>
              <w:left w:val="single" w:sz="4" w:space="0" w:color="auto"/>
              <w:right w:val="single" w:sz="4" w:space="0" w:color="auto"/>
            </w:tcBorders>
          </w:tcPr>
          <w:p w14:paraId="41E9F63D"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C9119D" w:rsidRPr="00420C1B" w14:paraId="4F2278A3" w14:textId="77777777" w:rsidTr="00E737B4">
        <w:trPr>
          <w:trHeight w:val="361"/>
          <w:jc w:val="center"/>
        </w:trPr>
        <w:tc>
          <w:tcPr>
            <w:tcW w:w="1342" w:type="dxa"/>
            <w:tcBorders>
              <w:top w:val="single" w:sz="4" w:space="0" w:color="auto"/>
              <w:left w:val="single" w:sz="4" w:space="0" w:color="auto"/>
              <w:bottom w:val="single" w:sz="4" w:space="0" w:color="auto"/>
              <w:right w:val="single" w:sz="4" w:space="0" w:color="auto"/>
            </w:tcBorders>
          </w:tcPr>
          <w:p w14:paraId="380340B8" w14:textId="77777777" w:rsidR="00ED17F3" w:rsidRPr="00420C1B" w:rsidRDefault="00ED17F3" w:rsidP="007108ED">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Total</w:t>
            </w:r>
          </w:p>
        </w:tc>
        <w:tc>
          <w:tcPr>
            <w:tcW w:w="1027" w:type="dxa"/>
            <w:gridSpan w:val="2"/>
            <w:tcBorders>
              <w:top w:val="single" w:sz="4" w:space="0" w:color="auto"/>
              <w:left w:val="single" w:sz="4" w:space="0" w:color="auto"/>
              <w:bottom w:val="single" w:sz="4" w:space="0" w:color="auto"/>
              <w:right w:val="single" w:sz="4" w:space="0" w:color="auto"/>
            </w:tcBorders>
          </w:tcPr>
          <w:p w14:paraId="6FD6B080" w14:textId="77777777" w:rsidR="00ED17F3" w:rsidRPr="00420C1B" w:rsidRDefault="00ED17F3" w:rsidP="007108ED">
            <w:pPr>
              <w:autoSpaceDE w:val="0"/>
              <w:autoSpaceDN w:val="0"/>
              <w:adjustRightInd w:val="0"/>
              <w:spacing w:after="0" w:line="240" w:lineRule="auto"/>
              <w:rPr>
                <w:rFonts w:ascii="Times New Roman" w:hAnsi="Times New Roman"/>
                <w:b/>
                <w:sz w:val="20"/>
                <w:szCs w:val="20"/>
                <w:u w:val="single"/>
              </w:rPr>
            </w:pPr>
          </w:p>
        </w:tc>
        <w:tc>
          <w:tcPr>
            <w:tcW w:w="1074" w:type="dxa"/>
            <w:gridSpan w:val="2"/>
            <w:tcBorders>
              <w:top w:val="single" w:sz="4" w:space="0" w:color="auto"/>
              <w:left w:val="single" w:sz="4" w:space="0" w:color="auto"/>
              <w:bottom w:val="single" w:sz="4" w:space="0" w:color="auto"/>
              <w:right w:val="single" w:sz="4" w:space="0" w:color="auto"/>
            </w:tcBorders>
          </w:tcPr>
          <w:p w14:paraId="1A3E20A7" w14:textId="77777777" w:rsidR="00ED17F3" w:rsidRPr="00420C1B" w:rsidRDefault="00ED17F3" w:rsidP="00F624F4">
            <w:pPr>
              <w:autoSpaceDE w:val="0"/>
              <w:autoSpaceDN w:val="0"/>
              <w:adjustRightInd w:val="0"/>
              <w:spacing w:after="0" w:line="240" w:lineRule="auto"/>
              <w:jc w:val="center"/>
              <w:rPr>
                <w:rFonts w:ascii="Times New Roman" w:hAnsi="Times New Roman"/>
                <w:b/>
                <w:sz w:val="20"/>
                <w:szCs w:val="20"/>
                <w:u w:val="single"/>
              </w:rPr>
            </w:pPr>
          </w:p>
        </w:tc>
        <w:tc>
          <w:tcPr>
            <w:tcW w:w="1793" w:type="dxa"/>
            <w:gridSpan w:val="2"/>
            <w:tcBorders>
              <w:top w:val="single" w:sz="4" w:space="0" w:color="auto"/>
              <w:left w:val="single" w:sz="4" w:space="0" w:color="auto"/>
              <w:bottom w:val="single" w:sz="4" w:space="0" w:color="auto"/>
              <w:right w:val="single" w:sz="4" w:space="0" w:color="auto"/>
            </w:tcBorders>
          </w:tcPr>
          <w:p w14:paraId="5C776DC6" w14:textId="77777777" w:rsidR="00ED17F3" w:rsidRPr="00420C1B" w:rsidRDefault="00ED17F3" w:rsidP="00F624F4">
            <w:pPr>
              <w:autoSpaceDE w:val="0"/>
              <w:autoSpaceDN w:val="0"/>
              <w:adjustRightInd w:val="0"/>
              <w:spacing w:after="0" w:line="240" w:lineRule="auto"/>
              <w:jc w:val="center"/>
              <w:rPr>
                <w:rFonts w:ascii="Times New Roman" w:hAnsi="Times New Roman"/>
                <w:b/>
                <w:sz w:val="20"/>
                <w:szCs w:val="20"/>
                <w:u w:val="single"/>
              </w:rPr>
            </w:pPr>
          </w:p>
        </w:tc>
        <w:tc>
          <w:tcPr>
            <w:tcW w:w="1355" w:type="dxa"/>
            <w:gridSpan w:val="4"/>
            <w:tcBorders>
              <w:top w:val="single" w:sz="4" w:space="0" w:color="auto"/>
              <w:left w:val="single" w:sz="4" w:space="0" w:color="auto"/>
              <w:bottom w:val="single" w:sz="4" w:space="0" w:color="auto"/>
              <w:right w:val="single" w:sz="4" w:space="0" w:color="auto"/>
            </w:tcBorders>
          </w:tcPr>
          <w:p w14:paraId="6CBB2D3A" w14:textId="77777777" w:rsidR="00ED17F3" w:rsidRPr="00420C1B" w:rsidRDefault="00C9119D" w:rsidP="00F624F4">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1109" w:type="dxa"/>
            <w:gridSpan w:val="2"/>
            <w:tcBorders>
              <w:top w:val="single" w:sz="4" w:space="0" w:color="auto"/>
              <w:left w:val="single" w:sz="4" w:space="0" w:color="auto"/>
              <w:bottom w:val="single" w:sz="4" w:space="0" w:color="auto"/>
              <w:right w:val="single" w:sz="4" w:space="0" w:color="auto"/>
            </w:tcBorders>
          </w:tcPr>
          <w:p w14:paraId="63C30447" w14:textId="77777777" w:rsidR="00ED17F3" w:rsidRPr="00420C1B" w:rsidRDefault="00ED17F3" w:rsidP="00F624F4">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0</w:t>
            </w:r>
          </w:p>
        </w:tc>
        <w:tc>
          <w:tcPr>
            <w:tcW w:w="1168" w:type="dxa"/>
            <w:gridSpan w:val="2"/>
            <w:tcBorders>
              <w:top w:val="single" w:sz="4" w:space="0" w:color="auto"/>
              <w:left w:val="single" w:sz="4" w:space="0" w:color="auto"/>
              <w:bottom w:val="single" w:sz="4" w:space="0" w:color="auto"/>
              <w:right w:val="single" w:sz="4" w:space="0" w:color="auto"/>
            </w:tcBorders>
          </w:tcPr>
          <w:p w14:paraId="4B87FB86" w14:textId="77777777" w:rsidR="00ED17F3" w:rsidRPr="00420C1B" w:rsidRDefault="00C9119D" w:rsidP="00F624F4">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1092" w:type="dxa"/>
            <w:gridSpan w:val="2"/>
            <w:tcBorders>
              <w:top w:val="single" w:sz="4" w:space="0" w:color="auto"/>
              <w:left w:val="single" w:sz="4" w:space="0" w:color="auto"/>
              <w:bottom w:val="single" w:sz="4" w:space="0" w:color="auto"/>
              <w:right w:val="single" w:sz="4" w:space="0" w:color="auto"/>
            </w:tcBorders>
          </w:tcPr>
          <w:p w14:paraId="3AC91474" w14:textId="77777777" w:rsidR="00ED17F3" w:rsidRPr="00420C1B" w:rsidRDefault="00ED17F3" w:rsidP="007108ED">
            <w:pPr>
              <w:autoSpaceDE w:val="0"/>
              <w:autoSpaceDN w:val="0"/>
              <w:adjustRightInd w:val="0"/>
              <w:spacing w:after="0" w:line="240" w:lineRule="auto"/>
              <w:rPr>
                <w:rFonts w:ascii="Times New Roman" w:hAnsi="Times New Roman"/>
                <w:b/>
                <w:sz w:val="20"/>
                <w:szCs w:val="20"/>
                <w:u w:val="single"/>
              </w:rPr>
            </w:pPr>
          </w:p>
        </w:tc>
      </w:tr>
    </w:tbl>
    <w:p w14:paraId="1E396E48" w14:textId="77777777" w:rsidR="0009605B" w:rsidRDefault="0009605B">
      <w:pPr>
        <w:keepNext/>
        <w:spacing w:after="120" w:line="240" w:lineRule="auto"/>
        <w:rPr>
          <w:rFonts w:ascii="Times New Roman" w:hAnsi="Times New Roman"/>
          <w:iCs/>
          <w:szCs w:val="18"/>
        </w:rPr>
      </w:pPr>
      <w:bookmarkStart w:id="609" w:name="_Toc519048932"/>
    </w:p>
    <w:p w14:paraId="231B78EE" w14:textId="77777777" w:rsidR="0009605B" w:rsidRDefault="0009605B">
      <w:pPr>
        <w:rPr>
          <w:rFonts w:ascii="Times New Roman" w:hAnsi="Times New Roman"/>
          <w:iCs/>
          <w:szCs w:val="18"/>
        </w:rPr>
      </w:pPr>
      <w:r>
        <w:rPr>
          <w:rFonts w:ascii="Times New Roman" w:hAnsi="Times New Roman"/>
          <w:iCs/>
          <w:szCs w:val="18"/>
        </w:rPr>
        <w:br w:type="page"/>
      </w:r>
    </w:p>
    <w:p w14:paraId="52801FB5" w14:textId="3515FC64" w:rsidR="00ED17F3" w:rsidRPr="00215867" w:rsidRDefault="00ED17F3" w:rsidP="00BD6279">
      <w:pPr>
        <w:keepNext/>
        <w:spacing w:after="120" w:line="240" w:lineRule="auto"/>
        <w:rPr>
          <w:rFonts w:ascii="Times New Roman" w:hAnsi="Times New Roman"/>
          <w:iCs/>
          <w:sz w:val="24"/>
          <w:szCs w:val="18"/>
        </w:rPr>
      </w:pPr>
      <w:bookmarkStart w:id="610" w:name="_Toc93050293"/>
      <w:r w:rsidRPr="00215867">
        <w:rPr>
          <w:rFonts w:ascii="Times New Roman" w:hAnsi="Times New Roman"/>
          <w:iCs/>
          <w:sz w:val="24"/>
          <w:szCs w:val="18"/>
        </w:rPr>
        <w:t xml:space="preserve">Tableau </w:t>
      </w:r>
      <w:r w:rsidRPr="00BD6279">
        <w:rPr>
          <w:rFonts w:ascii="Times New Roman" w:hAnsi="Times New Roman"/>
          <w:iCs/>
          <w:sz w:val="24"/>
          <w:szCs w:val="18"/>
        </w:rPr>
        <w:fldChar w:fldCharType="begin"/>
      </w:r>
      <w:r w:rsidRPr="00215867">
        <w:rPr>
          <w:rFonts w:ascii="Times New Roman" w:hAnsi="Times New Roman"/>
          <w:iCs/>
          <w:sz w:val="24"/>
          <w:szCs w:val="18"/>
        </w:rPr>
        <w:instrText xml:space="preserve"> SEQ Tableau \* ARABIC </w:instrText>
      </w:r>
      <w:r w:rsidRPr="00BD6279">
        <w:rPr>
          <w:rFonts w:ascii="Times New Roman" w:hAnsi="Times New Roman"/>
          <w:iCs/>
          <w:sz w:val="24"/>
          <w:szCs w:val="18"/>
        </w:rPr>
        <w:fldChar w:fldCharType="separate"/>
      </w:r>
      <w:r w:rsidR="00BD6279">
        <w:rPr>
          <w:rFonts w:ascii="Times New Roman" w:hAnsi="Times New Roman"/>
          <w:iCs/>
          <w:noProof/>
          <w:sz w:val="24"/>
          <w:szCs w:val="18"/>
        </w:rPr>
        <w:t>31</w:t>
      </w:r>
      <w:r w:rsidRPr="00BD6279">
        <w:rPr>
          <w:rFonts w:ascii="Times New Roman" w:hAnsi="Times New Roman"/>
          <w:iCs/>
          <w:noProof/>
          <w:sz w:val="24"/>
          <w:szCs w:val="18"/>
        </w:rPr>
        <w:fldChar w:fldCharType="end"/>
      </w:r>
      <w:r w:rsidRPr="00215867">
        <w:rPr>
          <w:rFonts w:ascii="Times New Roman" w:hAnsi="Times New Roman"/>
          <w:iCs/>
          <w:sz w:val="24"/>
          <w:szCs w:val="18"/>
        </w:rPr>
        <w:t xml:space="preserve"> : </w:t>
      </w:r>
      <w:r w:rsidRPr="00215867">
        <w:rPr>
          <w:rFonts w:ascii="Times New Roman" w:hAnsi="Times New Roman"/>
          <w:sz w:val="24"/>
        </w:rPr>
        <w:t xml:space="preserve">Fiche de déclaration d’Impact – Code </w:t>
      </w:r>
      <w:bookmarkEnd w:id="609"/>
      <w:r w:rsidR="00BD6279" w:rsidRPr="00215867">
        <w:rPr>
          <w:rFonts w:ascii="Times New Roman" w:hAnsi="Times New Roman"/>
          <w:sz w:val="24"/>
        </w:rPr>
        <w:t>0</w:t>
      </w:r>
      <w:r w:rsidR="00BD6279">
        <w:rPr>
          <w:rFonts w:ascii="Times New Roman" w:hAnsi="Times New Roman"/>
          <w:sz w:val="24"/>
        </w:rPr>
        <w:t>9</w:t>
      </w:r>
      <w:bookmarkEnd w:id="610"/>
    </w:p>
    <w:tbl>
      <w:tblPr>
        <w:tblW w:w="9854" w:type="dxa"/>
        <w:jc w:val="center"/>
        <w:tblLayout w:type="fixed"/>
        <w:tblLook w:val="04A0" w:firstRow="1" w:lastRow="0" w:firstColumn="1" w:lastColumn="0" w:noHBand="0" w:noVBand="1"/>
      </w:tblPr>
      <w:tblGrid>
        <w:gridCol w:w="1702"/>
        <w:gridCol w:w="62"/>
        <w:gridCol w:w="963"/>
        <w:gridCol w:w="1134"/>
        <w:gridCol w:w="313"/>
        <w:gridCol w:w="1246"/>
        <w:gridCol w:w="40"/>
        <w:gridCol w:w="1094"/>
        <w:gridCol w:w="40"/>
        <w:gridCol w:w="952"/>
        <w:gridCol w:w="324"/>
        <w:gridCol w:w="669"/>
        <w:gridCol w:w="748"/>
        <w:gridCol w:w="567"/>
      </w:tblGrid>
      <w:tr w:rsidR="00D75D2E" w:rsidRPr="00420C1B" w14:paraId="26D25400" w14:textId="77777777" w:rsidTr="00E737B4">
        <w:trPr>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92D050"/>
            <w:hideMark/>
          </w:tcPr>
          <w:p w14:paraId="184D3554"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3758" w:type="dxa"/>
            <w:gridSpan w:val="6"/>
            <w:tcBorders>
              <w:top w:val="single" w:sz="4" w:space="0" w:color="auto"/>
              <w:left w:val="single" w:sz="4" w:space="0" w:color="auto"/>
              <w:bottom w:val="single" w:sz="4" w:space="0" w:color="auto"/>
              <w:right w:val="single" w:sz="4" w:space="0" w:color="auto"/>
            </w:tcBorders>
            <w:shd w:val="clear" w:color="auto" w:fill="92D050"/>
            <w:hideMark/>
          </w:tcPr>
          <w:p w14:paraId="6503916F"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sz w:val="20"/>
                <w:szCs w:val="20"/>
              </w:rPr>
              <w:t xml:space="preserve">Eau et Sol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4EF38D3"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3260"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7863C6E6"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Construction</w:t>
            </w:r>
          </w:p>
        </w:tc>
      </w:tr>
      <w:tr w:rsidR="00D75D2E" w:rsidRPr="00420C1B" w14:paraId="3D955C44" w14:textId="77777777" w:rsidTr="00E737B4">
        <w:trPr>
          <w:trHeight w:val="379"/>
          <w:jc w:val="center"/>
        </w:trPr>
        <w:tc>
          <w:tcPr>
            <w:tcW w:w="1702" w:type="dxa"/>
            <w:vMerge w:val="restart"/>
            <w:tcBorders>
              <w:top w:val="single" w:sz="4" w:space="0" w:color="auto"/>
              <w:left w:val="single" w:sz="4" w:space="0" w:color="auto"/>
              <w:right w:val="single" w:sz="4" w:space="0" w:color="auto"/>
            </w:tcBorders>
          </w:tcPr>
          <w:p w14:paraId="6DED53F2"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Code 05</w:t>
            </w:r>
          </w:p>
        </w:tc>
        <w:tc>
          <w:tcPr>
            <w:tcW w:w="8152" w:type="dxa"/>
            <w:gridSpan w:val="13"/>
            <w:tcBorders>
              <w:top w:val="single" w:sz="4" w:space="0" w:color="auto"/>
              <w:left w:val="single" w:sz="4" w:space="0" w:color="auto"/>
              <w:bottom w:val="single" w:sz="4" w:space="0" w:color="auto"/>
              <w:right w:val="single" w:sz="4" w:space="0" w:color="auto"/>
            </w:tcBorders>
          </w:tcPr>
          <w:p w14:paraId="44BA63D9" w14:textId="77777777" w:rsidR="00ED17F3" w:rsidRPr="00857867" w:rsidRDefault="00ED17F3" w:rsidP="007108ED">
            <w:pPr>
              <w:autoSpaceDE w:val="0"/>
              <w:autoSpaceDN w:val="0"/>
              <w:adjustRightInd w:val="0"/>
              <w:spacing w:after="0" w:line="240" w:lineRule="auto"/>
              <w:jc w:val="both"/>
              <w:rPr>
                <w:rFonts w:ascii="Times New Roman" w:hAnsi="Times New Roman"/>
                <w:b/>
                <w:sz w:val="20"/>
                <w:szCs w:val="20"/>
              </w:rPr>
            </w:pPr>
            <w:r w:rsidRPr="00857867">
              <w:rPr>
                <w:rFonts w:ascii="Times New Roman" w:hAnsi="Times New Roman"/>
                <w:b/>
                <w:sz w:val="20"/>
                <w:szCs w:val="20"/>
              </w:rPr>
              <w:t xml:space="preserve">Source d’impact : </w:t>
            </w:r>
            <w:r w:rsidR="00E90A25" w:rsidRPr="00857867">
              <w:rPr>
                <w:rFonts w:ascii="Times New Roman" w:hAnsi="Times New Roman"/>
                <w:sz w:val="20"/>
                <w:szCs w:val="20"/>
              </w:rPr>
              <w:t>a</w:t>
            </w:r>
            <w:r w:rsidR="00F624F4" w:rsidRPr="00857867">
              <w:rPr>
                <w:rFonts w:ascii="Times New Roman" w:hAnsi="Times New Roman"/>
                <w:sz w:val="20"/>
                <w:szCs w:val="20"/>
              </w:rPr>
              <w:t xml:space="preserve">pprovisionnement, stockage, distribution d’hydrocarbures et mouvement des engins  (déversement  de lubrifiants) </w:t>
            </w:r>
          </w:p>
        </w:tc>
      </w:tr>
      <w:tr w:rsidR="00D75D2E" w:rsidRPr="00420C1B" w14:paraId="0405D9CF" w14:textId="77777777" w:rsidTr="00215867">
        <w:trPr>
          <w:trHeight w:val="136"/>
          <w:jc w:val="center"/>
        </w:trPr>
        <w:tc>
          <w:tcPr>
            <w:tcW w:w="1702" w:type="dxa"/>
            <w:vMerge/>
            <w:tcBorders>
              <w:left w:val="single" w:sz="4" w:space="0" w:color="auto"/>
              <w:bottom w:val="single" w:sz="4" w:space="0" w:color="auto"/>
              <w:right w:val="single" w:sz="4" w:space="0" w:color="auto"/>
            </w:tcBorders>
            <w:hideMark/>
          </w:tcPr>
          <w:p w14:paraId="26016DC7" w14:textId="77777777" w:rsidR="00ED17F3" w:rsidRPr="00857867" w:rsidRDefault="00ED17F3" w:rsidP="007108ED">
            <w:pPr>
              <w:spacing w:after="0" w:line="240" w:lineRule="auto"/>
              <w:rPr>
                <w:rFonts w:ascii="Times New Roman" w:hAnsi="Times New Roman"/>
                <w:b/>
                <w:sz w:val="20"/>
                <w:szCs w:val="20"/>
              </w:rPr>
            </w:pPr>
          </w:p>
        </w:tc>
        <w:tc>
          <w:tcPr>
            <w:tcW w:w="8152" w:type="dxa"/>
            <w:gridSpan w:val="13"/>
            <w:tcBorders>
              <w:top w:val="single" w:sz="4" w:space="0" w:color="auto"/>
              <w:left w:val="single" w:sz="4" w:space="0" w:color="auto"/>
              <w:bottom w:val="single" w:sz="4" w:space="0" w:color="auto"/>
              <w:right w:val="single" w:sz="4" w:space="0" w:color="auto"/>
            </w:tcBorders>
            <w:hideMark/>
          </w:tcPr>
          <w:p w14:paraId="1FDD334D" w14:textId="77777777" w:rsidR="00ED17F3" w:rsidRPr="00857867" w:rsidRDefault="00ED17F3"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b/>
                <w:sz w:val="20"/>
                <w:szCs w:val="20"/>
              </w:rPr>
              <w:t>Intitulé de l’impact</w:t>
            </w:r>
            <w:r w:rsidR="00E90A25" w:rsidRPr="00857867">
              <w:rPr>
                <w:rFonts w:ascii="Times New Roman" w:hAnsi="Times New Roman"/>
                <w:sz w:val="20"/>
                <w:szCs w:val="20"/>
              </w:rPr>
              <w:t> : p</w:t>
            </w:r>
            <w:r w:rsidRPr="00857867">
              <w:rPr>
                <w:rFonts w:ascii="Times New Roman" w:hAnsi="Times New Roman"/>
                <w:sz w:val="20"/>
                <w:szCs w:val="20"/>
              </w:rPr>
              <w:t xml:space="preserve">ollution du sol et des eaux </w:t>
            </w:r>
          </w:p>
        </w:tc>
      </w:tr>
      <w:tr w:rsidR="00767B63" w:rsidRPr="00420C1B" w14:paraId="007233E8" w14:textId="77777777" w:rsidTr="00E737B4">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14:paraId="6F817C97" w14:textId="77777777" w:rsidR="00F624F4" w:rsidRPr="00857867" w:rsidRDefault="00F624F4"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758" w:type="dxa"/>
            <w:gridSpan w:val="6"/>
            <w:vMerge w:val="restart"/>
            <w:tcBorders>
              <w:top w:val="single" w:sz="4" w:space="0" w:color="auto"/>
              <w:left w:val="single" w:sz="4" w:space="0" w:color="auto"/>
              <w:right w:val="single" w:sz="4" w:space="0" w:color="auto"/>
            </w:tcBorders>
          </w:tcPr>
          <w:p w14:paraId="55959501" w14:textId="77777777" w:rsidR="00F624F4" w:rsidRPr="00857867" w:rsidRDefault="00F624F4" w:rsidP="00F624F4">
            <w:pPr>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Base vie du chantier et zone d’évolution des travaux (communes concernés par les travaux)</w:t>
            </w:r>
          </w:p>
        </w:tc>
        <w:tc>
          <w:tcPr>
            <w:tcW w:w="1134" w:type="dxa"/>
            <w:gridSpan w:val="2"/>
            <w:tcBorders>
              <w:top w:val="single" w:sz="4" w:space="0" w:color="auto"/>
              <w:left w:val="single" w:sz="4" w:space="0" w:color="auto"/>
              <w:bottom w:val="single" w:sz="4" w:space="0" w:color="auto"/>
              <w:right w:val="single" w:sz="4" w:space="0" w:color="auto"/>
            </w:tcBorders>
          </w:tcPr>
          <w:p w14:paraId="668233C8" w14:textId="77777777" w:rsidR="00F624F4" w:rsidRPr="00857867" w:rsidRDefault="00F624F4" w:rsidP="007108ED">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76" w:type="dxa"/>
            <w:gridSpan w:val="2"/>
            <w:tcBorders>
              <w:top w:val="single" w:sz="4" w:space="0" w:color="auto"/>
              <w:left w:val="single" w:sz="4" w:space="0" w:color="auto"/>
              <w:bottom w:val="single" w:sz="4" w:space="0" w:color="auto"/>
              <w:right w:val="single" w:sz="4" w:space="0" w:color="auto"/>
            </w:tcBorders>
            <w:hideMark/>
          </w:tcPr>
          <w:p w14:paraId="2C09797E" w14:textId="77777777" w:rsidR="00F624F4" w:rsidRPr="00857867" w:rsidRDefault="00F624F4" w:rsidP="007108ED">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984" w:type="dxa"/>
            <w:gridSpan w:val="3"/>
            <w:vMerge w:val="restart"/>
            <w:tcBorders>
              <w:top w:val="single" w:sz="4" w:space="0" w:color="auto"/>
              <w:left w:val="single" w:sz="4" w:space="0" w:color="auto"/>
              <w:bottom w:val="single" w:sz="4" w:space="0" w:color="auto"/>
              <w:right w:val="single" w:sz="4" w:space="0" w:color="auto"/>
            </w:tcBorders>
          </w:tcPr>
          <w:p w14:paraId="02869797" w14:textId="77777777" w:rsidR="00F624F4" w:rsidRPr="00857867" w:rsidRDefault="00F624F4" w:rsidP="007108ED">
            <w:pPr>
              <w:spacing w:after="0" w:line="240" w:lineRule="auto"/>
              <w:rPr>
                <w:rFonts w:ascii="Times New Roman" w:hAnsi="Times New Roman"/>
                <w:sz w:val="20"/>
                <w:szCs w:val="20"/>
              </w:rPr>
            </w:pPr>
          </w:p>
        </w:tc>
      </w:tr>
      <w:tr w:rsidR="00767B63" w:rsidRPr="00420C1B" w14:paraId="35C77BBB"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383DF9AA" w14:textId="77777777" w:rsidR="00F624F4" w:rsidRPr="00857867" w:rsidRDefault="00F624F4" w:rsidP="00F624F4">
            <w:pPr>
              <w:spacing w:after="0" w:line="240" w:lineRule="auto"/>
              <w:rPr>
                <w:rFonts w:ascii="Times New Roman" w:eastAsia="Times New Roman" w:hAnsi="Times New Roman"/>
                <w:sz w:val="20"/>
                <w:szCs w:val="20"/>
                <w:lang w:eastAsia="fr-FR"/>
              </w:rPr>
            </w:pPr>
          </w:p>
        </w:tc>
        <w:tc>
          <w:tcPr>
            <w:tcW w:w="3758" w:type="dxa"/>
            <w:gridSpan w:val="6"/>
            <w:vMerge/>
            <w:tcBorders>
              <w:left w:val="single" w:sz="4" w:space="0" w:color="auto"/>
              <w:right w:val="single" w:sz="4" w:space="0" w:color="auto"/>
            </w:tcBorders>
            <w:vAlign w:val="center"/>
            <w:hideMark/>
          </w:tcPr>
          <w:p w14:paraId="3C9FC9F1" w14:textId="77777777" w:rsidR="00F624F4" w:rsidRPr="00857867" w:rsidRDefault="00F624F4" w:rsidP="00F624F4">
            <w:pPr>
              <w:spacing w:after="0" w:line="240" w:lineRule="auto"/>
              <w:rPr>
                <w:rFonts w:ascii="Times New Roman" w:hAnsi="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5912EB74"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276" w:type="dxa"/>
            <w:gridSpan w:val="2"/>
            <w:tcBorders>
              <w:top w:val="single" w:sz="4" w:space="0" w:color="auto"/>
              <w:left w:val="nil"/>
              <w:bottom w:val="single" w:sz="4" w:space="0" w:color="auto"/>
              <w:right w:val="single" w:sz="4" w:space="0" w:color="auto"/>
            </w:tcBorders>
          </w:tcPr>
          <w:p w14:paraId="45DFB73A"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14:paraId="3285101A" w14:textId="77777777" w:rsidR="00F624F4" w:rsidRPr="00857867" w:rsidRDefault="00F624F4" w:rsidP="00F624F4">
            <w:pPr>
              <w:spacing w:after="0" w:line="240" w:lineRule="auto"/>
              <w:rPr>
                <w:rFonts w:ascii="Times New Roman" w:hAnsi="Times New Roman"/>
                <w:sz w:val="20"/>
                <w:szCs w:val="20"/>
              </w:rPr>
            </w:pPr>
          </w:p>
        </w:tc>
      </w:tr>
      <w:tr w:rsidR="00767B63" w:rsidRPr="00420C1B" w14:paraId="31862DE1"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40E276F2" w14:textId="77777777" w:rsidR="00F624F4" w:rsidRPr="00857867" w:rsidRDefault="00F624F4" w:rsidP="00F624F4">
            <w:pPr>
              <w:spacing w:after="0" w:line="240" w:lineRule="auto"/>
              <w:rPr>
                <w:rFonts w:ascii="Times New Roman" w:eastAsia="Times New Roman" w:hAnsi="Times New Roman"/>
                <w:sz w:val="20"/>
                <w:szCs w:val="20"/>
                <w:lang w:eastAsia="fr-FR"/>
              </w:rPr>
            </w:pPr>
          </w:p>
        </w:tc>
        <w:tc>
          <w:tcPr>
            <w:tcW w:w="3758" w:type="dxa"/>
            <w:gridSpan w:val="6"/>
            <w:vMerge/>
            <w:tcBorders>
              <w:left w:val="single" w:sz="4" w:space="0" w:color="auto"/>
              <w:bottom w:val="single" w:sz="4" w:space="0" w:color="auto"/>
              <w:right w:val="single" w:sz="4" w:space="0" w:color="auto"/>
            </w:tcBorders>
            <w:vAlign w:val="center"/>
          </w:tcPr>
          <w:p w14:paraId="4AF9FCBA" w14:textId="77777777" w:rsidR="00F624F4" w:rsidRPr="00857867" w:rsidRDefault="00F624F4" w:rsidP="00F624F4">
            <w:pPr>
              <w:spacing w:after="0" w:line="240" w:lineRule="auto"/>
              <w:rPr>
                <w:rFonts w:ascii="Times New Roman" w:hAnsi="Times New Roman"/>
                <w:sz w:val="20"/>
                <w:szCs w:val="20"/>
              </w:rPr>
            </w:pPr>
          </w:p>
        </w:tc>
        <w:tc>
          <w:tcPr>
            <w:tcW w:w="1134" w:type="dxa"/>
            <w:gridSpan w:val="2"/>
            <w:tcBorders>
              <w:top w:val="single" w:sz="4" w:space="0" w:color="auto"/>
              <w:left w:val="single" w:sz="4" w:space="0" w:color="auto"/>
              <w:bottom w:val="nil"/>
              <w:right w:val="single" w:sz="4" w:space="0" w:color="auto"/>
            </w:tcBorders>
          </w:tcPr>
          <w:p w14:paraId="73614B1A"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276" w:type="dxa"/>
            <w:gridSpan w:val="2"/>
            <w:tcBorders>
              <w:top w:val="single" w:sz="4" w:space="0" w:color="auto"/>
              <w:left w:val="single" w:sz="4" w:space="0" w:color="auto"/>
              <w:bottom w:val="nil"/>
              <w:right w:val="single" w:sz="4" w:space="0" w:color="auto"/>
            </w:tcBorders>
          </w:tcPr>
          <w:p w14:paraId="768B14FC" w14:textId="77777777" w:rsidR="00F624F4" w:rsidRPr="00857867" w:rsidRDefault="00F624F4" w:rsidP="00F624F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14:paraId="50B10128" w14:textId="77777777" w:rsidR="00F624F4" w:rsidRPr="00857867" w:rsidRDefault="00F624F4" w:rsidP="00F624F4">
            <w:pPr>
              <w:spacing w:after="0" w:line="240" w:lineRule="auto"/>
              <w:rPr>
                <w:rFonts w:ascii="Times New Roman" w:hAnsi="Times New Roman"/>
                <w:sz w:val="20"/>
                <w:szCs w:val="20"/>
              </w:rPr>
            </w:pPr>
          </w:p>
        </w:tc>
      </w:tr>
      <w:tr w:rsidR="00767B63" w:rsidRPr="00420C1B" w14:paraId="657BE882" w14:textId="77777777" w:rsidTr="00E737B4">
        <w:trPr>
          <w:jc w:val="center"/>
        </w:trPr>
        <w:tc>
          <w:tcPr>
            <w:tcW w:w="1702" w:type="dxa"/>
            <w:vMerge w:val="restart"/>
            <w:tcBorders>
              <w:top w:val="single" w:sz="4" w:space="0" w:color="auto"/>
              <w:left w:val="single" w:sz="4" w:space="0" w:color="auto"/>
              <w:bottom w:val="single" w:sz="4" w:space="0" w:color="auto"/>
              <w:right w:val="single" w:sz="4" w:space="0" w:color="auto"/>
            </w:tcBorders>
          </w:tcPr>
          <w:p w14:paraId="039ADC1F" w14:textId="77777777" w:rsidR="00ED17F3" w:rsidRPr="00857867" w:rsidRDefault="00ED17F3" w:rsidP="007108ED">
            <w:pPr>
              <w:spacing w:after="0" w:line="240" w:lineRule="auto"/>
              <w:rPr>
                <w:rFonts w:ascii="Times New Roman" w:hAnsi="Times New Roman"/>
                <w:b/>
                <w:sz w:val="20"/>
                <w:szCs w:val="20"/>
              </w:rPr>
            </w:pPr>
          </w:p>
          <w:p w14:paraId="66FB3A65" w14:textId="77777777" w:rsidR="00ED17F3" w:rsidRPr="00857867" w:rsidRDefault="00ED17F3" w:rsidP="007108ED">
            <w:pPr>
              <w:spacing w:after="0" w:line="240" w:lineRule="auto"/>
              <w:rPr>
                <w:rFonts w:ascii="Times New Roman" w:hAnsi="Times New Roman"/>
                <w:b/>
                <w:sz w:val="20"/>
                <w:szCs w:val="20"/>
              </w:rPr>
            </w:pPr>
          </w:p>
          <w:p w14:paraId="4EFC2A2E" w14:textId="77777777" w:rsidR="00ED17F3" w:rsidRPr="00857867" w:rsidRDefault="00ED17F3" w:rsidP="007108ED">
            <w:pPr>
              <w:spacing w:after="0" w:line="240" w:lineRule="auto"/>
              <w:rPr>
                <w:rFonts w:ascii="Times New Roman" w:hAnsi="Times New Roman"/>
                <w:b/>
                <w:sz w:val="20"/>
                <w:szCs w:val="20"/>
              </w:rPr>
            </w:pPr>
          </w:p>
          <w:p w14:paraId="3AEAF95C"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025" w:type="dxa"/>
            <w:gridSpan w:val="2"/>
            <w:vMerge w:val="restart"/>
            <w:tcBorders>
              <w:top w:val="single" w:sz="4" w:space="0" w:color="auto"/>
              <w:left w:val="single" w:sz="4" w:space="0" w:color="auto"/>
              <w:bottom w:val="single" w:sz="4" w:space="0" w:color="auto"/>
              <w:right w:val="single" w:sz="4" w:space="0" w:color="auto"/>
            </w:tcBorders>
            <w:hideMark/>
          </w:tcPr>
          <w:p w14:paraId="636CFF4F"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678B5F13"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447" w:type="dxa"/>
            <w:gridSpan w:val="2"/>
            <w:tcBorders>
              <w:top w:val="single" w:sz="4" w:space="0" w:color="auto"/>
              <w:left w:val="single" w:sz="4" w:space="0" w:color="auto"/>
              <w:bottom w:val="single" w:sz="4" w:space="0" w:color="auto"/>
              <w:right w:val="single" w:sz="4" w:space="0" w:color="auto"/>
            </w:tcBorders>
            <w:hideMark/>
          </w:tcPr>
          <w:p w14:paraId="68CB52E3"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420" w:type="dxa"/>
            <w:gridSpan w:val="4"/>
            <w:tcBorders>
              <w:top w:val="single" w:sz="4" w:space="0" w:color="auto"/>
              <w:left w:val="single" w:sz="4" w:space="0" w:color="auto"/>
              <w:bottom w:val="single" w:sz="4" w:space="0" w:color="auto"/>
              <w:right w:val="single" w:sz="4" w:space="0" w:color="auto"/>
            </w:tcBorders>
            <w:hideMark/>
          </w:tcPr>
          <w:p w14:paraId="5B37B963"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276" w:type="dxa"/>
            <w:gridSpan w:val="2"/>
            <w:tcBorders>
              <w:top w:val="single" w:sz="4" w:space="0" w:color="auto"/>
              <w:left w:val="single" w:sz="4" w:space="0" w:color="auto"/>
              <w:bottom w:val="single" w:sz="4" w:space="0" w:color="auto"/>
              <w:right w:val="single" w:sz="4" w:space="0" w:color="auto"/>
            </w:tcBorders>
            <w:hideMark/>
          </w:tcPr>
          <w:p w14:paraId="03CFEC87"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417" w:type="dxa"/>
            <w:gridSpan w:val="2"/>
            <w:tcBorders>
              <w:top w:val="single" w:sz="4" w:space="0" w:color="auto"/>
              <w:left w:val="single" w:sz="4" w:space="0" w:color="auto"/>
              <w:bottom w:val="single" w:sz="4" w:space="0" w:color="auto"/>
              <w:right w:val="single" w:sz="4" w:space="0" w:color="auto"/>
            </w:tcBorders>
            <w:hideMark/>
          </w:tcPr>
          <w:p w14:paraId="5AB19730"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567" w:type="dxa"/>
            <w:tcBorders>
              <w:top w:val="single" w:sz="4" w:space="0" w:color="auto"/>
              <w:left w:val="single" w:sz="4" w:space="0" w:color="auto"/>
              <w:bottom w:val="single" w:sz="4" w:space="0" w:color="auto"/>
              <w:right w:val="single" w:sz="4" w:space="0" w:color="auto"/>
            </w:tcBorders>
          </w:tcPr>
          <w:p w14:paraId="6A01E35A" w14:textId="77777777" w:rsidR="00ED17F3" w:rsidRPr="00857867" w:rsidRDefault="00ED17F3" w:rsidP="007108ED">
            <w:pPr>
              <w:spacing w:after="0" w:line="240" w:lineRule="auto"/>
              <w:rPr>
                <w:rFonts w:ascii="Times New Roman" w:hAnsi="Times New Roman"/>
                <w:sz w:val="20"/>
                <w:szCs w:val="20"/>
              </w:rPr>
            </w:pPr>
          </w:p>
        </w:tc>
      </w:tr>
      <w:tr w:rsidR="00767B63" w:rsidRPr="00420C1B" w14:paraId="6CAC1012"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5D93A3E2" w14:textId="77777777" w:rsidR="00C86B57" w:rsidRPr="00857867" w:rsidRDefault="00C86B57" w:rsidP="00C86B57">
            <w:pPr>
              <w:spacing w:after="0" w:line="240" w:lineRule="auto"/>
              <w:rPr>
                <w:rFonts w:ascii="Times New Roman" w:hAnsi="Times New Roman"/>
                <w:b/>
                <w:sz w:val="20"/>
                <w:szCs w:val="20"/>
              </w:rPr>
            </w:pPr>
          </w:p>
        </w:tc>
        <w:tc>
          <w:tcPr>
            <w:tcW w:w="1025" w:type="dxa"/>
            <w:gridSpan w:val="2"/>
            <w:vMerge/>
            <w:tcBorders>
              <w:top w:val="single" w:sz="4" w:space="0" w:color="auto"/>
              <w:left w:val="single" w:sz="4" w:space="0" w:color="auto"/>
              <w:bottom w:val="single" w:sz="4" w:space="0" w:color="auto"/>
              <w:right w:val="single" w:sz="4" w:space="0" w:color="auto"/>
            </w:tcBorders>
            <w:vAlign w:val="center"/>
            <w:hideMark/>
          </w:tcPr>
          <w:p w14:paraId="0402FB15" w14:textId="77777777" w:rsidR="00C86B57" w:rsidRPr="00857867" w:rsidRDefault="00C86B57" w:rsidP="00C86B57">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14:paraId="01671047" w14:textId="77777777" w:rsidR="00C86B57" w:rsidRPr="00857867" w:rsidRDefault="00C86B57" w:rsidP="00C86B57">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2420" w:type="dxa"/>
            <w:gridSpan w:val="4"/>
            <w:tcBorders>
              <w:top w:val="single" w:sz="4" w:space="0" w:color="auto"/>
              <w:left w:val="single" w:sz="4" w:space="0" w:color="auto"/>
              <w:bottom w:val="single" w:sz="4" w:space="0" w:color="auto"/>
              <w:right w:val="single" w:sz="4" w:space="0" w:color="auto"/>
            </w:tcBorders>
            <w:vAlign w:val="center"/>
            <w:hideMark/>
          </w:tcPr>
          <w:p w14:paraId="69E81762" w14:textId="77777777" w:rsidR="00C86B57" w:rsidRPr="00857867" w:rsidRDefault="00C86B57" w:rsidP="00C86B57">
            <w:pPr>
              <w:spacing w:after="0" w:line="240" w:lineRule="auto"/>
              <w:jc w:val="center"/>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Locale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7D5EF29" w14:textId="77777777" w:rsidR="00C86B57" w:rsidRPr="00857867" w:rsidRDefault="00C86B57" w:rsidP="00C86B57">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Courte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544ADB2"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sz w:val="20"/>
                <w:szCs w:val="20"/>
              </w:rPr>
              <w:t>Moyenne</w:t>
            </w:r>
          </w:p>
        </w:tc>
        <w:tc>
          <w:tcPr>
            <w:tcW w:w="567" w:type="dxa"/>
            <w:tcBorders>
              <w:top w:val="single" w:sz="4" w:space="0" w:color="auto"/>
              <w:left w:val="single" w:sz="4" w:space="0" w:color="auto"/>
              <w:bottom w:val="single" w:sz="4" w:space="0" w:color="auto"/>
              <w:right w:val="single" w:sz="4" w:space="0" w:color="auto"/>
            </w:tcBorders>
          </w:tcPr>
          <w:p w14:paraId="26C8492D" w14:textId="77777777" w:rsidR="00C86B57" w:rsidRPr="00857867" w:rsidRDefault="00C86B57" w:rsidP="00C86B57">
            <w:pPr>
              <w:spacing w:after="0" w:line="240" w:lineRule="auto"/>
              <w:rPr>
                <w:rFonts w:ascii="Times New Roman" w:hAnsi="Times New Roman"/>
                <w:sz w:val="20"/>
                <w:szCs w:val="20"/>
              </w:rPr>
            </w:pPr>
          </w:p>
        </w:tc>
      </w:tr>
      <w:tr w:rsidR="00767B63" w:rsidRPr="00420C1B" w14:paraId="4B79996C"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1FF182BE" w14:textId="77777777" w:rsidR="00C86B57" w:rsidRPr="00857867" w:rsidRDefault="00C86B57" w:rsidP="00C86B57">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0F3184C6" w14:textId="77777777" w:rsidR="00C86B57" w:rsidRPr="00857867" w:rsidRDefault="00C86B57" w:rsidP="00C86B57">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79BF59EC" w14:textId="77777777" w:rsidR="00C86B57" w:rsidRPr="00857867" w:rsidRDefault="00C86B57" w:rsidP="00C86B57">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420" w:type="dxa"/>
            <w:gridSpan w:val="4"/>
            <w:tcBorders>
              <w:top w:val="single" w:sz="4" w:space="0" w:color="auto"/>
              <w:left w:val="single" w:sz="4" w:space="0" w:color="auto"/>
              <w:bottom w:val="single" w:sz="4" w:space="0" w:color="auto"/>
              <w:right w:val="single" w:sz="4" w:space="0" w:color="auto"/>
            </w:tcBorders>
          </w:tcPr>
          <w:p w14:paraId="3CE9A334" w14:textId="77777777" w:rsidR="00C86B57" w:rsidRPr="00857867" w:rsidRDefault="00C86B57" w:rsidP="00C86B57">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276" w:type="dxa"/>
            <w:gridSpan w:val="2"/>
            <w:tcBorders>
              <w:top w:val="single" w:sz="4" w:space="0" w:color="auto"/>
              <w:left w:val="single" w:sz="4" w:space="0" w:color="auto"/>
              <w:bottom w:val="single" w:sz="4" w:space="0" w:color="auto"/>
              <w:right w:val="single" w:sz="4" w:space="0" w:color="auto"/>
            </w:tcBorders>
          </w:tcPr>
          <w:p w14:paraId="6A26CE17" w14:textId="77777777" w:rsidR="00C86B57" w:rsidRPr="00857867" w:rsidRDefault="00C86B57" w:rsidP="00C86B57">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417" w:type="dxa"/>
            <w:gridSpan w:val="2"/>
            <w:tcBorders>
              <w:top w:val="single" w:sz="4" w:space="0" w:color="auto"/>
              <w:left w:val="single" w:sz="4" w:space="0" w:color="auto"/>
              <w:bottom w:val="single" w:sz="4" w:space="0" w:color="auto"/>
              <w:right w:val="single" w:sz="4" w:space="0" w:color="auto"/>
            </w:tcBorders>
          </w:tcPr>
          <w:p w14:paraId="6DBD3E24" w14:textId="77777777" w:rsidR="00C86B57" w:rsidRPr="00857867" w:rsidRDefault="00C86B57" w:rsidP="00C86B57">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567" w:type="dxa"/>
            <w:tcBorders>
              <w:top w:val="single" w:sz="4" w:space="0" w:color="auto"/>
              <w:left w:val="single" w:sz="4" w:space="0" w:color="auto"/>
              <w:bottom w:val="single" w:sz="4" w:space="0" w:color="auto"/>
              <w:right w:val="single" w:sz="4" w:space="0" w:color="auto"/>
            </w:tcBorders>
          </w:tcPr>
          <w:p w14:paraId="1005D99A" w14:textId="77777777" w:rsidR="00C86B57" w:rsidRPr="00857867" w:rsidRDefault="00C86B57" w:rsidP="00C86B57">
            <w:pPr>
              <w:spacing w:after="0" w:line="240" w:lineRule="auto"/>
              <w:rPr>
                <w:rFonts w:ascii="Times New Roman" w:hAnsi="Times New Roman"/>
                <w:sz w:val="20"/>
                <w:szCs w:val="20"/>
              </w:rPr>
            </w:pPr>
          </w:p>
        </w:tc>
      </w:tr>
      <w:tr w:rsidR="00767B63" w:rsidRPr="00420C1B" w14:paraId="288C3C61"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12FFB215" w14:textId="77777777" w:rsidR="00C86B57" w:rsidRPr="00857867" w:rsidRDefault="00C86B57" w:rsidP="00C86B57">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765F8E0B" w14:textId="77777777" w:rsidR="00C86B57" w:rsidRPr="00857867" w:rsidRDefault="00C86B57" w:rsidP="00C86B57">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4AD92199" w14:textId="77777777" w:rsidR="00C86B57" w:rsidRPr="00857867" w:rsidRDefault="00C86B57" w:rsidP="00C86B57">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06EAD01D"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93EA0BA"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72A9089D"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sz w:val="20"/>
                <w:szCs w:val="20"/>
              </w:rPr>
              <w:t>Non</w:t>
            </w:r>
          </w:p>
        </w:tc>
        <w:tc>
          <w:tcPr>
            <w:tcW w:w="567" w:type="dxa"/>
            <w:tcBorders>
              <w:top w:val="single" w:sz="4" w:space="0" w:color="auto"/>
              <w:left w:val="single" w:sz="4" w:space="0" w:color="auto"/>
              <w:bottom w:val="single" w:sz="4" w:space="0" w:color="auto"/>
              <w:right w:val="single" w:sz="4" w:space="0" w:color="auto"/>
            </w:tcBorders>
          </w:tcPr>
          <w:p w14:paraId="59BC516A" w14:textId="77777777" w:rsidR="00C86B57" w:rsidRPr="00857867" w:rsidRDefault="00C86B57" w:rsidP="00C86B57">
            <w:pPr>
              <w:spacing w:after="0" w:line="240" w:lineRule="auto"/>
              <w:rPr>
                <w:rFonts w:ascii="Times New Roman" w:hAnsi="Times New Roman"/>
                <w:sz w:val="20"/>
                <w:szCs w:val="20"/>
              </w:rPr>
            </w:pPr>
          </w:p>
        </w:tc>
      </w:tr>
      <w:tr w:rsidR="00767B63" w:rsidRPr="00420C1B" w14:paraId="0430DE0D"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26F52C28" w14:textId="77777777" w:rsidR="00C86B57" w:rsidRPr="00857867" w:rsidRDefault="00C86B57" w:rsidP="00C86B57">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26ABC8FC" w14:textId="77777777" w:rsidR="00C86B57" w:rsidRPr="00857867" w:rsidRDefault="00C86B57" w:rsidP="00C86B57">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tcPr>
          <w:p w14:paraId="274A25D8" w14:textId="77777777" w:rsidR="00C86B57" w:rsidRPr="00857867" w:rsidRDefault="00C86B57" w:rsidP="00C86B57">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629A8F15"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5E6FFAA2" w14:textId="77777777" w:rsidR="00C86B57" w:rsidRPr="00857867" w:rsidRDefault="00C86B57" w:rsidP="00C86B57">
            <w:pPr>
              <w:spacing w:after="0" w:line="240" w:lineRule="auto"/>
              <w:jc w:val="center"/>
              <w:rPr>
                <w:rFonts w:ascii="Times New Roman" w:hAnsi="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8EF092C" w14:textId="77777777" w:rsidR="00C86B57" w:rsidRPr="00857867" w:rsidRDefault="00C86B57" w:rsidP="00C86B57">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53F9B2D" w14:textId="77777777" w:rsidR="00C86B57" w:rsidRPr="00857867" w:rsidRDefault="00C86B57" w:rsidP="00C86B57">
            <w:pPr>
              <w:spacing w:after="0" w:line="240" w:lineRule="auto"/>
              <w:rPr>
                <w:rFonts w:ascii="Times New Roman" w:hAnsi="Times New Roman"/>
                <w:sz w:val="20"/>
                <w:szCs w:val="20"/>
              </w:rPr>
            </w:pPr>
          </w:p>
        </w:tc>
      </w:tr>
      <w:tr w:rsidR="00767B63" w:rsidRPr="00420C1B" w14:paraId="674A0625"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61C33DE3" w14:textId="77777777" w:rsidR="00C86B57" w:rsidRPr="00857867" w:rsidRDefault="00C86B57" w:rsidP="00C86B57">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1A2A0AE7" w14:textId="77777777" w:rsidR="00C86B57" w:rsidRPr="00857867" w:rsidRDefault="00C86B57" w:rsidP="00C86B57">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59F106CD"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hAnsi="Times New Roman"/>
                <w:sz w:val="20"/>
                <w:szCs w:val="20"/>
              </w:rPr>
              <w:t>Périodique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0E9EB9DF" w14:textId="77777777" w:rsidR="00C86B57" w:rsidRPr="00857867" w:rsidRDefault="00C86B57" w:rsidP="00C86B57">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Juridique</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A4D59DA" w14:textId="77777777" w:rsidR="00C86B57" w:rsidRPr="00857867" w:rsidRDefault="00C86B57" w:rsidP="00C86B57">
            <w:pPr>
              <w:spacing w:after="0" w:line="240" w:lineRule="auto"/>
              <w:jc w:val="center"/>
              <w:rPr>
                <w:rFonts w:ascii="Times New Roman" w:hAnsi="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47D0918" w14:textId="77777777" w:rsidR="00C86B57" w:rsidRPr="00857867" w:rsidRDefault="00C86B57" w:rsidP="00C86B57">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BD28BCD" w14:textId="77777777" w:rsidR="00C86B57" w:rsidRPr="00857867" w:rsidRDefault="00C86B57" w:rsidP="00C86B57">
            <w:pPr>
              <w:spacing w:after="0" w:line="240" w:lineRule="auto"/>
              <w:rPr>
                <w:rFonts w:ascii="Times New Roman" w:hAnsi="Times New Roman"/>
                <w:sz w:val="20"/>
                <w:szCs w:val="20"/>
              </w:rPr>
            </w:pPr>
          </w:p>
        </w:tc>
      </w:tr>
      <w:tr w:rsidR="00D75D2E" w:rsidRPr="00420C1B" w14:paraId="37264708" w14:textId="77777777" w:rsidTr="00E737B4">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1DDAAF02" w14:textId="77777777" w:rsidR="00ED17F3" w:rsidRPr="00857867" w:rsidRDefault="00ED17F3" w:rsidP="007108ED">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hideMark/>
          </w:tcPr>
          <w:p w14:paraId="697892FA" w14:textId="77777777" w:rsidR="00ED17F3" w:rsidRPr="00857867" w:rsidRDefault="00ED17F3"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127" w:type="dxa"/>
            <w:gridSpan w:val="11"/>
            <w:tcBorders>
              <w:top w:val="single" w:sz="4" w:space="0" w:color="auto"/>
              <w:left w:val="single" w:sz="4" w:space="0" w:color="auto"/>
              <w:bottom w:val="single" w:sz="4" w:space="0" w:color="auto"/>
              <w:right w:val="single" w:sz="4" w:space="0" w:color="auto"/>
            </w:tcBorders>
            <w:hideMark/>
          </w:tcPr>
          <w:p w14:paraId="51AB63F3" w14:textId="77777777" w:rsidR="00ED17F3" w:rsidRPr="00857867" w:rsidRDefault="00C86B57"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Le déversement accidentel ou fuite des huiles de vidange et autres huiles usées issues du fonctionnement de la base vie pourraient contribuer à détériorer la qualité du sol. En effet, il pourrait avoir un risque de dégradation de la qualité des sols par asphyxie des microorganismes (fuites ou déversement accidentel d’hydrocarbure, d’huile de vidange). Cette pollution du sol peut s’étendre aux cours d’eau traversés</w:t>
            </w:r>
            <w:r w:rsidR="00E5495C" w:rsidRPr="00857867">
              <w:rPr>
                <w:rFonts w:ascii="Times New Roman" w:hAnsi="Times New Roman"/>
                <w:sz w:val="20"/>
                <w:szCs w:val="20"/>
              </w:rPr>
              <w:t xml:space="preserve"> notamment la « Funa »</w:t>
            </w:r>
            <w:r w:rsidRPr="00857867">
              <w:rPr>
                <w:rFonts w:ascii="Times New Roman" w:hAnsi="Times New Roman"/>
                <w:sz w:val="20"/>
                <w:szCs w:val="20"/>
              </w:rPr>
              <w:t xml:space="preserve">. Il y a également des risques de contamination des eaux par les huiles ou les hydrocarbures si les engins et les véhicules de chantier sont lavés dans les cours d’eau. Cet impact est d’étendue locale, d’intensité moyenne, et d’une durée courte et donc d’importance moyenne. </w:t>
            </w:r>
          </w:p>
        </w:tc>
      </w:tr>
      <w:tr w:rsidR="00D75D2E" w:rsidRPr="00420C1B" w14:paraId="763BA36C" w14:textId="77777777" w:rsidTr="00E737B4">
        <w:trPr>
          <w:jc w:val="center"/>
        </w:trPr>
        <w:tc>
          <w:tcPr>
            <w:tcW w:w="2727" w:type="dxa"/>
            <w:gridSpan w:val="3"/>
            <w:tcBorders>
              <w:top w:val="single" w:sz="4" w:space="0" w:color="auto"/>
              <w:left w:val="single" w:sz="4" w:space="0" w:color="auto"/>
              <w:bottom w:val="single" w:sz="4" w:space="0" w:color="auto"/>
              <w:right w:val="single" w:sz="4" w:space="0" w:color="auto"/>
            </w:tcBorders>
            <w:hideMark/>
          </w:tcPr>
          <w:p w14:paraId="527FCB02" w14:textId="77777777" w:rsidR="00ED17F3" w:rsidRPr="00857867" w:rsidRDefault="00ED17F3"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7127" w:type="dxa"/>
            <w:gridSpan w:val="11"/>
            <w:tcBorders>
              <w:top w:val="single" w:sz="4" w:space="0" w:color="auto"/>
              <w:left w:val="single" w:sz="4" w:space="0" w:color="auto"/>
              <w:bottom w:val="single" w:sz="4" w:space="0" w:color="auto"/>
              <w:right w:val="single" w:sz="4" w:space="0" w:color="auto"/>
            </w:tcBorders>
            <w:hideMark/>
          </w:tcPr>
          <w:p w14:paraId="0B9BE20C"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Mise en œuvre d’un Plan de drainage approprié des eaux de ruissellement de la base-vie et d’un Plan de gestion des déchets solides et liquides dans la zone du projet </w:t>
            </w:r>
          </w:p>
        </w:tc>
      </w:tr>
      <w:tr w:rsidR="00D75D2E" w:rsidRPr="00420C1B" w14:paraId="24754C74" w14:textId="77777777" w:rsidTr="00E737B4">
        <w:trPr>
          <w:jc w:val="center"/>
        </w:trPr>
        <w:tc>
          <w:tcPr>
            <w:tcW w:w="2727" w:type="dxa"/>
            <w:gridSpan w:val="3"/>
            <w:tcBorders>
              <w:top w:val="single" w:sz="4" w:space="0" w:color="auto"/>
              <w:left w:val="single" w:sz="4" w:space="0" w:color="auto"/>
              <w:bottom w:val="single" w:sz="4" w:space="0" w:color="auto"/>
              <w:right w:val="single" w:sz="4" w:space="0" w:color="auto"/>
            </w:tcBorders>
            <w:hideMark/>
          </w:tcPr>
          <w:p w14:paraId="68F967DC"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4312460D"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Prévenir la contamination du sol, des eaux de surface et des eaux souterraines</w:t>
            </w:r>
          </w:p>
        </w:tc>
        <w:tc>
          <w:tcPr>
            <w:tcW w:w="7127" w:type="dxa"/>
            <w:gridSpan w:val="11"/>
            <w:tcBorders>
              <w:top w:val="single" w:sz="4" w:space="0" w:color="auto"/>
              <w:left w:val="single" w:sz="4" w:space="0" w:color="auto"/>
              <w:bottom w:val="single" w:sz="4" w:space="0" w:color="auto"/>
              <w:right w:val="single" w:sz="4" w:space="0" w:color="auto"/>
            </w:tcBorders>
            <w:hideMark/>
          </w:tcPr>
          <w:p w14:paraId="2F16467A"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049A836D"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hAnsi="Times New Roman"/>
                <w:sz w:val="20"/>
                <w:szCs w:val="20"/>
              </w:rPr>
            </w:pPr>
            <w:r w:rsidRPr="00857867">
              <w:rPr>
                <w:rFonts w:ascii="Times New Roman" w:hAnsi="Times New Roman"/>
                <w:sz w:val="20"/>
                <w:szCs w:val="20"/>
              </w:rPr>
              <w:t xml:space="preserve">- </w:t>
            </w:r>
            <w:r w:rsidR="00ED17F3" w:rsidRPr="00857867">
              <w:rPr>
                <w:rFonts w:ascii="Times New Roman" w:hAnsi="Times New Roman"/>
                <w:sz w:val="20"/>
                <w:szCs w:val="20"/>
              </w:rPr>
              <w:t>choisir l’emplacement approprié de la base-vie (à plus de 500 m de cours d’eau, sur un terrain à pente nulle, etc.) ;</w:t>
            </w:r>
          </w:p>
          <w:p w14:paraId="36B09C8D"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mettre en place un plan de gestion des déchets de chantier (surtout les déchets dangereux) ;</w:t>
            </w:r>
          </w:p>
          <w:p w14:paraId="3072B0A7"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former le personnel de l’entreprise en charge des travaux sur la gestion des déchets ;</w:t>
            </w:r>
          </w:p>
          <w:p w14:paraId="3AEFD1EE"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aménager et stabiliser les aires de vidange afin de les imperméabiliser</w:t>
            </w:r>
            <w:r w:rsidRPr="00857867">
              <w:rPr>
                <w:rFonts w:ascii="Times New Roman" w:hAnsi="Times New Roman"/>
                <w:sz w:val="20"/>
                <w:szCs w:val="20"/>
              </w:rPr>
              <w:t> ;</w:t>
            </w:r>
          </w:p>
          <w:p w14:paraId="1D557A72"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hAnsi="Times New Roman"/>
                <w:sz w:val="20"/>
                <w:szCs w:val="20"/>
              </w:rPr>
            </w:pPr>
            <w:r w:rsidRPr="00857867">
              <w:rPr>
                <w:rFonts w:ascii="Times New Roman" w:hAnsi="Times New Roman"/>
                <w:sz w:val="20"/>
                <w:szCs w:val="20"/>
              </w:rPr>
              <w:t xml:space="preserve">- </w:t>
            </w:r>
            <w:r w:rsidR="00ED17F3" w:rsidRPr="00857867">
              <w:rPr>
                <w:rFonts w:ascii="Times New Roman" w:hAnsi="Times New Roman"/>
                <w:sz w:val="20"/>
                <w:szCs w:val="20"/>
              </w:rPr>
              <w:t>recueillir les huiles usées dans des contenants étanches en vue de leur recyclage ou réutilisation ;</w:t>
            </w:r>
          </w:p>
          <w:p w14:paraId="734718DD"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interdire formellement aux employés de laver les engins et autres matériels (bétonneuse, brouettes, etc.) dans les cours d’eau ;</w:t>
            </w:r>
          </w:p>
          <w:p w14:paraId="0991D1FF" w14:textId="77777777" w:rsidR="00ED17F3" w:rsidRPr="00857867" w:rsidRDefault="00E90A25" w:rsidP="008C79F0">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éviter les sources d’eau utilisées par les populations pour les besoins des travaux du chantier</w:t>
            </w:r>
            <w:r w:rsidRPr="00857867">
              <w:rPr>
                <w:rFonts w:ascii="Times New Roman" w:hAnsi="Times New Roman"/>
                <w:sz w:val="20"/>
                <w:szCs w:val="20"/>
              </w:rPr>
              <w:t> ;</w:t>
            </w:r>
          </w:p>
          <w:p w14:paraId="3A31D2EB" w14:textId="77777777" w:rsidR="00ED17F3" w:rsidRPr="00857867" w:rsidRDefault="00E90A25" w:rsidP="008C79F0">
            <w:pPr>
              <w:numPr>
                <w:ilvl w:val="0"/>
                <w:numId w:val="31"/>
              </w:numPr>
              <w:autoSpaceDE w:val="0"/>
              <w:autoSpaceDN w:val="0"/>
              <w:adjustRightInd w:val="0"/>
              <w:spacing w:after="0" w:line="240" w:lineRule="auto"/>
              <w:ind w:left="0" w:hanging="215"/>
              <w:contextualSpacing/>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ED17F3" w:rsidRPr="00857867">
              <w:rPr>
                <w:rFonts w:ascii="Times New Roman" w:hAnsi="Times New Roman"/>
                <w:sz w:val="20"/>
                <w:szCs w:val="20"/>
              </w:rPr>
              <w:t>aménager les bassins de rétention pour le stockage des hydrocarbures, conformément aux normes en la matière.</w:t>
            </w:r>
          </w:p>
        </w:tc>
      </w:tr>
      <w:tr w:rsidR="00D75D2E" w:rsidRPr="00420C1B" w14:paraId="67827BB5" w14:textId="77777777" w:rsidTr="00E737B4">
        <w:trPr>
          <w:jc w:val="center"/>
        </w:trPr>
        <w:tc>
          <w:tcPr>
            <w:tcW w:w="2727" w:type="dxa"/>
            <w:gridSpan w:val="3"/>
            <w:tcBorders>
              <w:top w:val="single" w:sz="4" w:space="0" w:color="auto"/>
              <w:left w:val="single" w:sz="4" w:space="0" w:color="auto"/>
              <w:bottom w:val="single" w:sz="4" w:space="0" w:color="auto"/>
              <w:right w:val="single" w:sz="4" w:space="0" w:color="auto"/>
            </w:tcBorders>
          </w:tcPr>
          <w:p w14:paraId="4302B1C4" w14:textId="77777777" w:rsidR="00ED17F3" w:rsidRPr="00857867" w:rsidRDefault="00ED17F3" w:rsidP="007108ED">
            <w:pPr>
              <w:spacing w:after="0" w:line="240" w:lineRule="auto"/>
              <w:jc w:val="right"/>
              <w:rPr>
                <w:rFonts w:ascii="Times New Roman" w:hAnsi="Times New Roman"/>
                <w:b/>
                <w:sz w:val="20"/>
                <w:szCs w:val="20"/>
              </w:rPr>
            </w:pPr>
            <w:r w:rsidRPr="00857867">
              <w:rPr>
                <w:rFonts w:ascii="Times New Roman" w:hAnsi="Times New Roman"/>
                <w:b/>
                <w:sz w:val="20"/>
                <w:szCs w:val="20"/>
              </w:rPr>
              <w:t>Impact résiduel</w:t>
            </w:r>
          </w:p>
        </w:tc>
        <w:tc>
          <w:tcPr>
            <w:tcW w:w="7127" w:type="dxa"/>
            <w:gridSpan w:val="11"/>
            <w:tcBorders>
              <w:top w:val="single" w:sz="4" w:space="0" w:color="auto"/>
              <w:left w:val="single" w:sz="4" w:space="0" w:color="auto"/>
              <w:bottom w:val="single" w:sz="4" w:space="0" w:color="auto"/>
              <w:right w:val="single" w:sz="4" w:space="0" w:color="auto"/>
            </w:tcBorders>
          </w:tcPr>
          <w:p w14:paraId="596A8BCF"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D75D2E" w:rsidRPr="00420C1B" w14:paraId="39F04CC2" w14:textId="77777777" w:rsidTr="00E737B4">
        <w:trPr>
          <w:jc w:val="center"/>
        </w:trPr>
        <w:tc>
          <w:tcPr>
            <w:tcW w:w="2727" w:type="dxa"/>
            <w:gridSpan w:val="3"/>
            <w:tcBorders>
              <w:top w:val="single" w:sz="4" w:space="0" w:color="auto"/>
              <w:left w:val="single" w:sz="4" w:space="0" w:color="auto"/>
              <w:bottom w:val="single" w:sz="4" w:space="0" w:color="auto"/>
              <w:right w:val="single" w:sz="4" w:space="0" w:color="auto"/>
            </w:tcBorders>
          </w:tcPr>
          <w:p w14:paraId="13D0C418" w14:textId="77777777" w:rsidR="00DB688B" w:rsidRPr="00857867" w:rsidRDefault="00DB688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4AFF916D" w14:textId="77777777" w:rsidR="00DB688B" w:rsidRPr="00857867" w:rsidRDefault="00DB688B"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57867">
              <w:rPr>
                <w:rFonts w:ascii="Times New Roman" w:hAnsi="Times New Roman"/>
                <w:sz w:val="20"/>
                <w:szCs w:val="20"/>
              </w:rPr>
              <w:t>MdC ;</w:t>
            </w:r>
          </w:p>
          <w:p w14:paraId="497AF217" w14:textId="77777777" w:rsidR="00DB688B" w:rsidRPr="00857867" w:rsidRDefault="00DB688B"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57867">
              <w:rPr>
                <w:rFonts w:ascii="Times New Roman" w:hAnsi="Times New Roman"/>
                <w:sz w:val="20"/>
                <w:szCs w:val="20"/>
              </w:rPr>
              <w:t>ACE ;</w:t>
            </w:r>
          </w:p>
          <w:p w14:paraId="0CA640FD" w14:textId="77777777" w:rsidR="00DB688B" w:rsidRPr="00857867" w:rsidRDefault="00DB688B"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57867">
              <w:rPr>
                <w:rFonts w:ascii="Times New Roman" w:hAnsi="Times New Roman"/>
                <w:sz w:val="20"/>
                <w:szCs w:val="20"/>
              </w:rPr>
              <w:t>BUE. </w:t>
            </w:r>
          </w:p>
        </w:tc>
        <w:tc>
          <w:tcPr>
            <w:tcW w:w="3827" w:type="dxa"/>
            <w:gridSpan w:val="5"/>
            <w:tcBorders>
              <w:top w:val="single" w:sz="4" w:space="0" w:color="auto"/>
              <w:left w:val="single" w:sz="4" w:space="0" w:color="auto"/>
              <w:bottom w:val="single" w:sz="4" w:space="0" w:color="auto"/>
              <w:right w:val="single" w:sz="4" w:space="0" w:color="auto"/>
            </w:tcBorders>
          </w:tcPr>
          <w:p w14:paraId="6117DB36" w14:textId="77777777" w:rsidR="00DB688B" w:rsidRPr="00857867" w:rsidRDefault="00DB688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6B419463" w14:textId="77777777" w:rsidR="00DB688B" w:rsidRPr="00857867" w:rsidRDefault="00DB688B" w:rsidP="008C79F0">
            <w:pPr>
              <w:numPr>
                <w:ilvl w:val="0"/>
                <w:numId w:val="32"/>
              </w:numPr>
              <w:autoSpaceDE w:val="0"/>
              <w:autoSpaceDN w:val="0"/>
              <w:adjustRightInd w:val="0"/>
              <w:spacing w:after="0" w:line="240" w:lineRule="auto"/>
              <w:ind w:left="0" w:hanging="175"/>
              <w:contextualSpacing/>
              <w:jc w:val="both"/>
              <w:rPr>
                <w:rFonts w:ascii="Times New Roman" w:hAnsi="Times New Roman"/>
                <w:sz w:val="20"/>
                <w:szCs w:val="20"/>
              </w:rPr>
            </w:pPr>
            <w:r w:rsidRPr="00857867">
              <w:rPr>
                <w:rFonts w:ascii="Times New Roman" w:hAnsi="Times New Roman"/>
                <w:sz w:val="20"/>
                <w:szCs w:val="20"/>
              </w:rPr>
              <w:t>CPE ;</w:t>
            </w:r>
          </w:p>
          <w:p w14:paraId="4DE677C6" w14:textId="77777777" w:rsidR="00DB688B" w:rsidRPr="00857867" w:rsidRDefault="00DB688B" w:rsidP="008C79F0">
            <w:pPr>
              <w:numPr>
                <w:ilvl w:val="0"/>
                <w:numId w:val="32"/>
              </w:numPr>
              <w:autoSpaceDE w:val="0"/>
              <w:autoSpaceDN w:val="0"/>
              <w:adjustRightInd w:val="0"/>
              <w:spacing w:after="0" w:line="240" w:lineRule="auto"/>
              <w:ind w:left="0" w:hanging="175"/>
              <w:contextualSpacing/>
              <w:jc w:val="both"/>
              <w:rPr>
                <w:rFonts w:ascii="Times New Roman" w:hAnsi="Times New Roman"/>
                <w:sz w:val="20"/>
                <w:szCs w:val="20"/>
              </w:rPr>
            </w:pPr>
            <w:r w:rsidRPr="00857867">
              <w:rPr>
                <w:rFonts w:ascii="Times New Roman" w:hAnsi="Times New Roman"/>
                <w:sz w:val="20"/>
                <w:szCs w:val="20"/>
              </w:rPr>
              <w:t>SCES/UCM ;</w:t>
            </w:r>
          </w:p>
          <w:p w14:paraId="1D8DD0A8" w14:textId="77777777" w:rsidR="00DB688B" w:rsidRPr="00857867" w:rsidRDefault="00DB688B" w:rsidP="008C79F0">
            <w:pPr>
              <w:numPr>
                <w:ilvl w:val="0"/>
                <w:numId w:val="32"/>
              </w:numPr>
              <w:autoSpaceDE w:val="0"/>
              <w:autoSpaceDN w:val="0"/>
              <w:adjustRightInd w:val="0"/>
              <w:spacing w:after="0" w:line="240" w:lineRule="auto"/>
              <w:ind w:left="0"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300" w:type="dxa"/>
            <w:gridSpan w:val="6"/>
            <w:tcBorders>
              <w:top w:val="single" w:sz="4" w:space="0" w:color="auto"/>
              <w:left w:val="single" w:sz="4" w:space="0" w:color="auto"/>
              <w:bottom w:val="single" w:sz="4" w:space="0" w:color="auto"/>
              <w:right w:val="single" w:sz="4" w:space="0" w:color="auto"/>
            </w:tcBorders>
          </w:tcPr>
          <w:p w14:paraId="648A7BD2" w14:textId="77777777" w:rsidR="00DB688B" w:rsidRPr="00857867" w:rsidRDefault="00DB688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2FBD095F" w14:textId="77777777" w:rsidR="00DB688B" w:rsidRPr="00857867" w:rsidRDefault="00DB688B" w:rsidP="008C79F0">
            <w:pPr>
              <w:pStyle w:val="Paragraphedeliste"/>
              <w:numPr>
                <w:ilvl w:val="0"/>
                <w:numId w:val="31"/>
              </w:numPr>
              <w:ind w:left="185" w:hanging="185"/>
              <w:jc w:val="both"/>
              <w:rPr>
                <w:rFonts w:ascii="Times New Roman" w:hAnsi="Times New Roman"/>
                <w:sz w:val="20"/>
                <w:szCs w:val="20"/>
              </w:rPr>
            </w:pPr>
            <w:r w:rsidRPr="00857867">
              <w:rPr>
                <w:rFonts w:ascii="Times New Roman" w:hAnsi="Times New Roman"/>
                <w:sz w:val="20"/>
                <w:szCs w:val="20"/>
              </w:rPr>
              <w:t>100% des sites visités ne présentent pas de trace d’hydrocarbure ;</w:t>
            </w:r>
          </w:p>
          <w:p w14:paraId="021D5270" w14:textId="77777777" w:rsidR="00DB688B" w:rsidRPr="00857867" w:rsidRDefault="00DB688B" w:rsidP="008C79F0">
            <w:pPr>
              <w:pStyle w:val="Paragraphedeliste"/>
              <w:numPr>
                <w:ilvl w:val="0"/>
                <w:numId w:val="31"/>
              </w:numPr>
              <w:ind w:left="185" w:hanging="185"/>
              <w:jc w:val="both"/>
              <w:rPr>
                <w:rFonts w:ascii="Times New Roman" w:hAnsi="Times New Roman"/>
                <w:sz w:val="20"/>
                <w:szCs w:val="20"/>
              </w:rPr>
            </w:pPr>
            <w:r w:rsidRPr="00857867">
              <w:rPr>
                <w:rFonts w:ascii="Times New Roman" w:hAnsi="Times New Roman"/>
                <w:sz w:val="20"/>
                <w:szCs w:val="20"/>
              </w:rPr>
              <w:t>100% des fûts de récupération et de plateforme de stockage prévus sont mis en place</w:t>
            </w:r>
          </w:p>
        </w:tc>
      </w:tr>
      <w:tr w:rsidR="00767B63" w:rsidRPr="00420C1B" w14:paraId="4D1ACCD3" w14:textId="77777777" w:rsidTr="00E737B4">
        <w:trPr>
          <w:trHeight w:val="625"/>
          <w:jc w:val="center"/>
        </w:trPr>
        <w:tc>
          <w:tcPr>
            <w:tcW w:w="1764" w:type="dxa"/>
            <w:gridSpan w:val="2"/>
            <w:tcBorders>
              <w:top w:val="single" w:sz="4" w:space="0" w:color="auto"/>
              <w:left w:val="single" w:sz="4" w:space="0" w:color="auto"/>
              <w:bottom w:val="single" w:sz="4" w:space="0" w:color="auto"/>
              <w:right w:val="single" w:sz="4" w:space="0" w:color="auto"/>
            </w:tcBorders>
            <w:hideMark/>
          </w:tcPr>
          <w:p w14:paraId="52BD7F8D"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963" w:type="dxa"/>
            <w:tcBorders>
              <w:top w:val="single" w:sz="4" w:space="0" w:color="auto"/>
              <w:left w:val="single" w:sz="4" w:space="0" w:color="auto"/>
              <w:bottom w:val="single" w:sz="4" w:space="0" w:color="auto"/>
              <w:right w:val="single" w:sz="4" w:space="0" w:color="auto"/>
            </w:tcBorders>
            <w:hideMark/>
          </w:tcPr>
          <w:p w14:paraId="4AD3233B"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134" w:type="dxa"/>
            <w:tcBorders>
              <w:top w:val="single" w:sz="4" w:space="0" w:color="auto"/>
              <w:left w:val="single" w:sz="4" w:space="0" w:color="auto"/>
              <w:bottom w:val="single" w:sz="4" w:space="0" w:color="auto"/>
              <w:right w:val="single" w:sz="4" w:space="0" w:color="auto"/>
            </w:tcBorders>
          </w:tcPr>
          <w:p w14:paraId="20FB7490"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69B381E4"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559" w:type="dxa"/>
            <w:gridSpan w:val="2"/>
            <w:tcBorders>
              <w:top w:val="single" w:sz="4" w:space="0" w:color="auto"/>
              <w:left w:val="single" w:sz="4" w:space="0" w:color="auto"/>
              <w:bottom w:val="single" w:sz="4" w:space="0" w:color="auto"/>
              <w:right w:val="single" w:sz="4" w:space="0" w:color="auto"/>
            </w:tcBorders>
          </w:tcPr>
          <w:p w14:paraId="268AEFE8"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Coûts unitaires en $</w:t>
            </w:r>
          </w:p>
        </w:tc>
        <w:tc>
          <w:tcPr>
            <w:tcW w:w="1134" w:type="dxa"/>
            <w:gridSpan w:val="2"/>
            <w:tcBorders>
              <w:top w:val="single" w:sz="4" w:space="0" w:color="auto"/>
              <w:left w:val="single" w:sz="4" w:space="0" w:color="auto"/>
              <w:bottom w:val="single" w:sz="4" w:space="0" w:color="auto"/>
              <w:right w:val="single" w:sz="4" w:space="0" w:color="auto"/>
            </w:tcBorders>
          </w:tcPr>
          <w:p w14:paraId="3B225639"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p w14:paraId="2F52925D"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992" w:type="dxa"/>
            <w:gridSpan w:val="2"/>
            <w:tcBorders>
              <w:top w:val="single" w:sz="4" w:space="0" w:color="auto"/>
              <w:left w:val="single" w:sz="4" w:space="0" w:color="auto"/>
              <w:bottom w:val="single" w:sz="4" w:space="0" w:color="auto"/>
              <w:right w:val="single" w:sz="4" w:space="0" w:color="auto"/>
            </w:tcBorders>
          </w:tcPr>
          <w:p w14:paraId="0DC5C278"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76C23069"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993" w:type="dxa"/>
            <w:gridSpan w:val="2"/>
            <w:tcBorders>
              <w:top w:val="single" w:sz="4" w:space="0" w:color="auto"/>
              <w:left w:val="single" w:sz="4" w:space="0" w:color="auto"/>
              <w:bottom w:val="single" w:sz="4" w:space="0" w:color="auto"/>
              <w:right w:val="single" w:sz="4" w:space="0" w:color="auto"/>
            </w:tcBorders>
            <w:hideMark/>
          </w:tcPr>
          <w:p w14:paraId="12C81C8A" w14:textId="77777777" w:rsidR="00ED17F3" w:rsidRPr="00857867" w:rsidRDefault="00ED17F3" w:rsidP="00E737B4">
            <w:pPr>
              <w:autoSpaceDE w:val="0"/>
              <w:autoSpaceDN w:val="0"/>
              <w:adjustRightInd w:val="0"/>
              <w:spacing w:after="0" w:line="240" w:lineRule="auto"/>
              <w:ind w:right="-108"/>
              <w:rPr>
                <w:rFonts w:ascii="Times New Roman" w:hAnsi="Times New Roman"/>
                <w:b/>
                <w:sz w:val="20"/>
                <w:szCs w:val="20"/>
                <w:u w:val="single"/>
              </w:rPr>
            </w:pPr>
            <w:r w:rsidRPr="00857867">
              <w:rPr>
                <w:rFonts w:ascii="Times New Roman" w:hAnsi="Times New Roman"/>
                <w:sz w:val="20"/>
                <w:szCs w:val="20"/>
              </w:rPr>
              <w:t>Coût total</w:t>
            </w:r>
          </w:p>
        </w:tc>
        <w:tc>
          <w:tcPr>
            <w:tcW w:w="1315" w:type="dxa"/>
            <w:gridSpan w:val="2"/>
            <w:tcBorders>
              <w:top w:val="single" w:sz="4" w:space="0" w:color="auto"/>
              <w:left w:val="single" w:sz="4" w:space="0" w:color="auto"/>
              <w:bottom w:val="single" w:sz="4" w:space="0" w:color="auto"/>
              <w:right w:val="single" w:sz="4" w:space="0" w:color="auto"/>
            </w:tcBorders>
            <w:hideMark/>
          </w:tcPr>
          <w:p w14:paraId="21FB9F4B"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767B63" w:rsidRPr="00420C1B" w14:paraId="50318145" w14:textId="77777777" w:rsidTr="00E737B4">
        <w:trPr>
          <w:trHeight w:val="117"/>
          <w:jc w:val="center"/>
        </w:trPr>
        <w:tc>
          <w:tcPr>
            <w:tcW w:w="1764" w:type="dxa"/>
            <w:gridSpan w:val="2"/>
            <w:tcBorders>
              <w:top w:val="single" w:sz="4" w:space="0" w:color="auto"/>
              <w:left w:val="single" w:sz="4" w:space="0" w:color="auto"/>
              <w:bottom w:val="single" w:sz="4" w:space="0" w:color="auto"/>
              <w:right w:val="single" w:sz="4" w:space="0" w:color="auto"/>
            </w:tcBorders>
          </w:tcPr>
          <w:p w14:paraId="1830868F"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Récipient de récupération</w:t>
            </w:r>
          </w:p>
        </w:tc>
        <w:tc>
          <w:tcPr>
            <w:tcW w:w="963" w:type="dxa"/>
            <w:tcBorders>
              <w:top w:val="single" w:sz="4" w:space="0" w:color="auto"/>
              <w:left w:val="single" w:sz="4" w:space="0" w:color="auto"/>
              <w:bottom w:val="single" w:sz="4" w:space="0" w:color="auto"/>
              <w:right w:val="single" w:sz="4" w:space="0" w:color="auto"/>
            </w:tcBorders>
          </w:tcPr>
          <w:p w14:paraId="18A6CF81"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Bac</w:t>
            </w:r>
          </w:p>
        </w:tc>
        <w:tc>
          <w:tcPr>
            <w:tcW w:w="1134" w:type="dxa"/>
            <w:tcBorders>
              <w:top w:val="single" w:sz="4" w:space="0" w:color="auto"/>
              <w:left w:val="single" w:sz="4" w:space="0" w:color="auto"/>
              <w:bottom w:val="single" w:sz="4" w:space="0" w:color="auto"/>
              <w:right w:val="single" w:sz="4" w:space="0" w:color="auto"/>
            </w:tcBorders>
          </w:tcPr>
          <w:p w14:paraId="52733A24"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25</w:t>
            </w:r>
          </w:p>
        </w:tc>
        <w:tc>
          <w:tcPr>
            <w:tcW w:w="1559" w:type="dxa"/>
            <w:gridSpan w:val="2"/>
            <w:tcBorders>
              <w:top w:val="single" w:sz="4" w:space="0" w:color="auto"/>
              <w:left w:val="single" w:sz="4" w:space="0" w:color="auto"/>
              <w:bottom w:val="single" w:sz="4" w:space="0" w:color="auto"/>
              <w:right w:val="single" w:sz="4" w:space="0" w:color="auto"/>
            </w:tcBorders>
          </w:tcPr>
          <w:p w14:paraId="298A4C59"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50</w:t>
            </w:r>
          </w:p>
        </w:tc>
        <w:tc>
          <w:tcPr>
            <w:tcW w:w="1134" w:type="dxa"/>
            <w:gridSpan w:val="2"/>
            <w:tcBorders>
              <w:top w:val="single" w:sz="4" w:space="0" w:color="auto"/>
              <w:left w:val="single" w:sz="4" w:space="0" w:color="auto"/>
              <w:bottom w:val="single" w:sz="4" w:space="0" w:color="auto"/>
              <w:right w:val="single" w:sz="4" w:space="0" w:color="auto"/>
            </w:tcBorders>
          </w:tcPr>
          <w:p w14:paraId="399FC0EF"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1250</w:t>
            </w:r>
          </w:p>
        </w:tc>
        <w:tc>
          <w:tcPr>
            <w:tcW w:w="992" w:type="dxa"/>
            <w:gridSpan w:val="2"/>
            <w:tcBorders>
              <w:top w:val="single" w:sz="4" w:space="0" w:color="auto"/>
              <w:left w:val="single" w:sz="4" w:space="0" w:color="auto"/>
              <w:bottom w:val="single" w:sz="4" w:space="0" w:color="auto"/>
              <w:right w:val="single" w:sz="4" w:space="0" w:color="auto"/>
            </w:tcBorders>
          </w:tcPr>
          <w:p w14:paraId="40B9590E"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p>
        </w:tc>
        <w:tc>
          <w:tcPr>
            <w:tcW w:w="993" w:type="dxa"/>
            <w:gridSpan w:val="2"/>
            <w:tcBorders>
              <w:top w:val="single" w:sz="4" w:space="0" w:color="auto"/>
              <w:left w:val="single" w:sz="4" w:space="0" w:color="auto"/>
              <w:bottom w:val="single" w:sz="4" w:space="0" w:color="auto"/>
              <w:right w:val="single" w:sz="4" w:space="0" w:color="auto"/>
            </w:tcBorders>
          </w:tcPr>
          <w:p w14:paraId="219A4BD3"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1250</w:t>
            </w:r>
          </w:p>
        </w:tc>
        <w:tc>
          <w:tcPr>
            <w:tcW w:w="1315" w:type="dxa"/>
            <w:gridSpan w:val="2"/>
            <w:tcBorders>
              <w:top w:val="single" w:sz="4" w:space="0" w:color="auto"/>
              <w:left w:val="single" w:sz="4" w:space="0" w:color="auto"/>
              <w:bottom w:val="single" w:sz="4" w:space="0" w:color="auto"/>
              <w:right w:val="single" w:sz="4" w:space="0" w:color="auto"/>
            </w:tcBorders>
          </w:tcPr>
          <w:p w14:paraId="375B9A0C"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767B63" w:rsidRPr="00420C1B" w14:paraId="776A8419" w14:textId="77777777" w:rsidTr="00E737B4">
        <w:trPr>
          <w:trHeight w:val="58"/>
          <w:jc w:val="center"/>
        </w:trPr>
        <w:tc>
          <w:tcPr>
            <w:tcW w:w="1764" w:type="dxa"/>
            <w:gridSpan w:val="2"/>
            <w:tcBorders>
              <w:top w:val="single" w:sz="4" w:space="0" w:color="auto"/>
              <w:left w:val="single" w:sz="4" w:space="0" w:color="auto"/>
              <w:bottom w:val="single" w:sz="4" w:space="0" w:color="auto"/>
              <w:right w:val="single" w:sz="4" w:space="0" w:color="auto"/>
            </w:tcBorders>
          </w:tcPr>
          <w:p w14:paraId="163915C7"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Visite technique</w:t>
            </w:r>
          </w:p>
        </w:tc>
        <w:tc>
          <w:tcPr>
            <w:tcW w:w="963" w:type="dxa"/>
            <w:tcBorders>
              <w:top w:val="single" w:sz="4" w:space="0" w:color="auto"/>
              <w:left w:val="single" w:sz="4" w:space="0" w:color="auto"/>
              <w:bottom w:val="single" w:sz="4" w:space="0" w:color="auto"/>
              <w:right w:val="single" w:sz="4" w:space="0" w:color="auto"/>
            </w:tcBorders>
          </w:tcPr>
          <w:p w14:paraId="27052160"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Nombre</w:t>
            </w:r>
          </w:p>
        </w:tc>
        <w:tc>
          <w:tcPr>
            <w:tcW w:w="1134" w:type="dxa"/>
            <w:tcBorders>
              <w:top w:val="single" w:sz="4" w:space="0" w:color="auto"/>
              <w:left w:val="single" w:sz="4" w:space="0" w:color="auto"/>
              <w:bottom w:val="single" w:sz="4" w:space="0" w:color="auto"/>
              <w:right w:val="single" w:sz="4" w:space="0" w:color="auto"/>
            </w:tcBorders>
          </w:tcPr>
          <w:p w14:paraId="0ADE2E8E"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5</w:t>
            </w:r>
          </w:p>
        </w:tc>
        <w:tc>
          <w:tcPr>
            <w:tcW w:w="1559" w:type="dxa"/>
            <w:gridSpan w:val="2"/>
            <w:tcBorders>
              <w:top w:val="single" w:sz="4" w:space="0" w:color="auto"/>
              <w:left w:val="single" w:sz="4" w:space="0" w:color="auto"/>
              <w:bottom w:val="single" w:sz="4" w:space="0" w:color="auto"/>
              <w:right w:val="single" w:sz="4" w:space="0" w:color="auto"/>
            </w:tcBorders>
          </w:tcPr>
          <w:p w14:paraId="08ACA66D"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50</w:t>
            </w:r>
          </w:p>
        </w:tc>
        <w:tc>
          <w:tcPr>
            <w:tcW w:w="1134" w:type="dxa"/>
            <w:gridSpan w:val="2"/>
            <w:tcBorders>
              <w:top w:val="single" w:sz="4" w:space="0" w:color="auto"/>
              <w:left w:val="single" w:sz="4" w:space="0" w:color="auto"/>
              <w:bottom w:val="single" w:sz="4" w:space="0" w:color="auto"/>
              <w:right w:val="single" w:sz="4" w:space="0" w:color="auto"/>
            </w:tcBorders>
          </w:tcPr>
          <w:p w14:paraId="627956D9"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250</w:t>
            </w:r>
          </w:p>
        </w:tc>
        <w:tc>
          <w:tcPr>
            <w:tcW w:w="992" w:type="dxa"/>
            <w:gridSpan w:val="2"/>
            <w:tcBorders>
              <w:top w:val="single" w:sz="4" w:space="0" w:color="auto"/>
              <w:left w:val="single" w:sz="4" w:space="0" w:color="auto"/>
              <w:bottom w:val="single" w:sz="4" w:space="0" w:color="auto"/>
              <w:right w:val="single" w:sz="4" w:space="0" w:color="auto"/>
            </w:tcBorders>
          </w:tcPr>
          <w:p w14:paraId="6405A5F6"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p>
        </w:tc>
        <w:tc>
          <w:tcPr>
            <w:tcW w:w="993" w:type="dxa"/>
            <w:gridSpan w:val="2"/>
            <w:tcBorders>
              <w:top w:val="single" w:sz="4" w:space="0" w:color="auto"/>
              <w:left w:val="single" w:sz="4" w:space="0" w:color="auto"/>
              <w:bottom w:val="single" w:sz="4" w:space="0" w:color="auto"/>
              <w:right w:val="single" w:sz="4" w:space="0" w:color="auto"/>
            </w:tcBorders>
          </w:tcPr>
          <w:p w14:paraId="47BCB41F"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250</w:t>
            </w:r>
          </w:p>
        </w:tc>
        <w:tc>
          <w:tcPr>
            <w:tcW w:w="1315" w:type="dxa"/>
            <w:gridSpan w:val="2"/>
            <w:tcBorders>
              <w:top w:val="single" w:sz="4" w:space="0" w:color="auto"/>
              <w:left w:val="single" w:sz="4" w:space="0" w:color="auto"/>
              <w:right w:val="single" w:sz="4" w:space="0" w:color="auto"/>
            </w:tcBorders>
          </w:tcPr>
          <w:p w14:paraId="2D56D65D" w14:textId="77777777" w:rsidR="00ED17F3" w:rsidRPr="00420C1B" w:rsidRDefault="00ED17F3" w:rsidP="007108ED">
            <w:pPr>
              <w:autoSpaceDE w:val="0"/>
              <w:autoSpaceDN w:val="0"/>
              <w:adjustRightInd w:val="0"/>
              <w:spacing w:after="0" w:line="240" w:lineRule="auto"/>
              <w:rPr>
                <w:rFonts w:ascii="Times New Roman" w:hAnsi="Times New Roman"/>
                <w:b/>
                <w:sz w:val="20"/>
                <w:szCs w:val="20"/>
                <w:u w:val="single"/>
              </w:rPr>
            </w:pPr>
          </w:p>
        </w:tc>
      </w:tr>
      <w:tr w:rsidR="00767B63" w:rsidRPr="00420C1B" w14:paraId="1F3EB075" w14:textId="77777777" w:rsidTr="00E737B4">
        <w:trPr>
          <w:trHeight w:val="58"/>
          <w:jc w:val="center"/>
        </w:trPr>
        <w:tc>
          <w:tcPr>
            <w:tcW w:w="1764" w:type="dxa"/>
            <w:gridSpan w:val="2"/>
            <w:tcBorders>
              <w:top w:val="single" w:sz="4" w:space="0" w:color="auto"/>
              <w:left w:val="single" w:sz="4" w:space="0" w:color="auto"/>
              <w:bottom w:val="single" w:sz="4" w:space="0" w:color="auto"/>
              <w:right w:val="single" w:sz="4" w:space="0" w:color="auto"/>
            </w:tcBorders>
          </w:tcPr>
          <w:p w14:paraId="4C5ABCE0"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Total</w:t>
            </w:r>
          </w:p>
        </w:tc>
        <w:tc>
          <w:tcPr>
            <w:tcW w:w="963" w:type="dxa"/>
            <w:tcBorders>
              <w:top w:val="single" w:sz="4" w:space="0" w:color="auto"/>
              <w:left w:val="single" w:sz="4" w:space="0" w:color="auto"/>
              <w:bottom w:val="single" w:sz="4" w:space="0" w:color="auto"/>
              <w:right w:val="single" w:sz="4" w:space="0" w:color="auto"/>
            </w:tcBorders>
          </w:tcPr>
          <w:p w14:paraId="500CB8B6"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3170812"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759D47DE"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2DDB0BBB"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1500</w:t>
            </w:r>
          </w:p>
        </w:tc>
        <w:tc>
          <w:tcPr>
            <w:tcW w:w="992" w:type="dxa"/>
            <w:gridSpan w:val="2"/>
            <w:tcBorders>
              <w:top w:val="single" w:sz="4" w:space="0" w:color="auto"/>
              <w:left w:val="single" w:sz="4" w:space="0" w:color="auto"/>
              <w:bottom w:val="single" w:sz="4" w:space="0" w:color="auto"/>
              <w:right w:val="single" w:sz="4" w:space="0" w:color="auto"/>
            </w:tcBorders>
          </w:tcPr>
          <w:p w14:paraId="475DD6FB"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p>
        </w:tc>
        <w:tc>
          <w:tcPr>
            <w:tcW w:w="993" w:type="dxa"/>
            <w:gridSpan w:val="2"/>
            <w:tcBorders>
              <w:top w:val="single" w:sz="4" w:space="0" w:color="auto"/>
              <w:left w:val="single" w:sz="4" w:space="0" w:color="auto"/>
              <w:bottom w:val="single" w:sz="4" w:space="0" w:color="auto"/>
              <w:right w:val="single" w:sz="4" w:space="0" w:color="auto"/>
            </w:tcBorders>
          </w:tcPr>
          <w:p w14:paraId="760D310C"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1500</w:t>
            </w:r>
          </w:p>
        </w:tc>
        <w:tc>
          <w:tcPr>
            <w:tcW w:w="1315" w:type="dxa"/>
            <w:gridSpan w:val="2"/>
            <w:tcBorders>
              <w:left w:val="single" w:sz="4" w:space="0" w:color="auto"/>
              <w:bottom w:val="single" w:sz="4" w:space="0" w:color="auto"/>
              <w:right w:val="single" w:sz="4" w:space="0" w:color="auto"/>
            </w:tcBorders>
          </w:tcPr>
          <w:p w14:paraId="731F9FB4"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p>
        </w:tc>
      </w:tr>
    </w:tbl>
    <w:p w14:paraId="430439EB" w14:textId="77777777" w:rsidR="00ED17F3" w:rsidRPr="00857867" w:rsidRDefault="00ED17F3" w:rsidP="00ED17F3">
      <w:pPr>
        <w:spacing w:after="0" w:line="240" w:lineRule="auto"/>
        <w:rPr>
          <w:rFonts w:ascii="Times New Roman" w:hAnsi="Times New Roman"/>
        </w:rPr>
      </w:pPr>
    </w:p>
    <w:p w14:paraId="10284395" w14:textId="77777777" w:rsidR="001E05D7" w:rsidRDefault="001E05D7" w:rsidP="00BD6279">
      <w:pPr>
        <w:spacing w:after="120"/>
        <w:rPr>
          <w:rFonts w:ascii="Times New Roman" w:hAnsi="Times New Roman"/>
          <w:iCs/>
          <w:sz w:val="24"/>
          <w:szCs w:val="18"/>
        </w:rPr>
      </w:pPr>
      <w:bookmarkStart w:id="611" w:name="_Toc519048933"/>
      <w:bookmarkStart w:id="612" w:name="_Hlk518921651"/>
    </w:p>
    <w:p w14:paraId="142EB5CE" w14:textId="239090DA" w:rsidR="00ED17F3" w:rsidRPr="00E737B4" w:rsidRDefault="00ED17F3" w:rsidP="00BD6279">
      <w:pPr>
        <w:spacing w:after="120"/>
        <w:rPr>
          <w:rFonts w:ascii="Times New Roman" w:hAnsi="Times New Roman"/>
          <w:iCs/>
          <w:sz w:val="24"/>
          <w:szCs w:val="18"/>
        </w:rPr>
      </w:pPr>
      <w:bookmarkStart w:id="613" w:name="_Toc93050294"/>
      <w:r w:rsidRPr="00E737B4">
        <w:rPr>
          <w:rFonts w:ascii="Times New Roman" w:hAnsi="Times New Roman"/>
          <w:iCs/>
          <w:sz w:val="24"/>
          <w:szCs w:val="18"/>
        </w:rPr>
        <w:t xml:space="preserve">Tableau </w:t>
      </w:r>
      <w:r w:rsidRPr="00E737B4">
        <w:rPr>
          <w:rFonts w:ascii="Times New Roman" w:hAnsi="Times New Roman"/>
          <w:iCs/>
          <w:noProof/>
          <w:sz w:val="24"/>
          <w:szCs w:val="18"/>
        </w:rPr>
        <w:fldChar w:fldCharType="begin"/>
      </w:r>
      <w:r w:rsidRPr="00E737B4">
        <w:rPr>
          <w:rFonts w:ascii="Times New Roman" w:hAnsi="Times New Roman"/>
          <w:iCs/>
          <w:noProof/>
          <w:sz w:val="24"/>
          <w:szCs w:val="18"/>
        </w:rPr>
        <w:instrText xml:space="preserve"> SEQ Tableau \* ARABIC </w:instrText>
      </w:r>
      <w:r w:rsidRPr="00E737B4">
        <w:rPr>
          <w:rFonts w:ascii="Times New Roman" w:hAnsi="Times New Roman"/>
          <w:iCs/>
          <w:noProof/>
          <w:sz w:val="24"/>
          <w:szCs w:val="18"/>
        </w:rPr>
        <w:fldChar w:fldCharType="separate"/>
      </w:r>
      <w:r w:rsidR="00BD6279">
        <w:rPr>
          <w:rFonts w:ascii="Times New Roman" w:hAnsi="Times New Roman"/>
          <w:iCs/>
          <w:noProof/>
          <w:sz w:val="24"/>
          <w:szCs w:val="18"/>
        </w:rPr>
        <w:t>32</w:t>
      </w:r>
      <w:r w:rsidRPr="00E737B4">
        <w:rPr>
          <w:rFonts w:ascii="Times New Roman" w:hAnsi="Times New Roman"/>
          <w:iCs/>
          <w:noProof/>
          <w:sz w:val="24"/>
          <w:szCs w:val="18"/>
        </w:rPr>
        <w:fldChar w:fldCharType="end"/>
      </w:r>
      <w:r w:rsidRPr="00E737B4">
        <w:rPr>
          <w:rFonts w:ascii="Times New Roman" w:hAnsi="Times New Roman"/>
          <w:iCs/>
          <w:sz w:val="24"/>
          <w:szCs w:val="18"/>
        </w:rPr>
        <w:t xml:space="preserve"> : Fiche de déclaration d’Impact – Code </w:t>
      </w:r>
      <w:r w:rsidR="00BD6279">
        <w:rPr>
          <w:rFonts w:ascii="Times New Roman" w:hAnsi="Times New Roman"/>
          <w:iCs/>
          <w:sz w:val="24"/>
          <w:szCs w:val="18"/>
        </w:rPr>
        <w:t>1</w:t>
      </w:r>
      <w:r w:rsidRPr="00E737B4">
        <w:rPr>
          <w:rFonts w:ascii="Times New Roman" w:hAnsi="Times New Roman"/>
          <w:iCs/>
          <w:sz w:val="24"/>
          <w:szCs w:val="18"/>
        </w:rPr>
        <w:t>0</w:t>
      </w:r>
      <w:bookmarkEnd w:id="611"/>
      <w:bookmarkEnd w:id="613"/>
    </w:p>
    <w:tbl>
      <w:tblPr>
        <w:tblW w:w="10099" w:type="dxa"/>
        <w:jc w:val="center"/>
        <w:tblLayout w:type="fixed"/>
        <w:tblLook w:val="04A0" w:firstRow="1" w:lastRow="0" w:firstColumn="1" w:lastColumn="0" w:noHBand="0" w:noVBand="1"/>
      </w:tblPr>
      <w:tblGrid>
        <w:gridCol w:w="17"/>
        <w:gridCol w:w="1678"/>
        <w:gridCol w:w="99"/>
        <w:gridCol w:w="795"/>
        <w:gridCol w:w="263"/>
        <w:gridCol w:w="924"/>
        <w:gridCol w:w="188"/>
        <w:gridCol w:w="822"/>
        <w:gridCol w:w="356"/>
        <w:gridCol w:w="159"/>
        <w:gridCol w:w="647"/>
        <w:gridCol w:w="710"/>
        <w:gridCol w:w="412"/>
        <w:gridCol w:w="863"/>
        <w:gridCol w:w="296"/>
        <w:gridCol w:w="1122"/>
        <w:gridCol w:w="748"/>
      </w:tblGrid>
      <w:tr w:rsidR="00D75D2E" w:rsidRPr="00420C1B" w14:paraId="6571E07C" w14:textId="77777777" w:rsidTr="00215867">
        <w:trPr>
          <w:trHeight w:val="505"/>
          <w:tblHeader/>
          <w:jc w:val="center"/>
        </w:trPr>
        <w:tc>
          <w:tcPr>
            <w:tcW w:w="1794" w:type="dxa"/>
            <w:gridSpan w:val="3"/>
            <w:tcBorders>
              <w:top w:val="single" w:sz="4" w:space="0" w:color="auto"/>
              <w:left w:val="single" w:sz="4" w:space="0" w:color="auto"/>
              <w:bottom w:val="single" w:sz="4" w:space="0" w:color="auto"/>
              <w:right w:val="single" w:sz="4" w:space="0" w:color="auto"/>
            </w:tcBorders>
            <w:shd w:val="clear" w:color="auto" w:fill="92D050"/>
            <w:hideMark/>
          </w:tcPr>
          <w:bookmarkEnd w:id="612"/>
          <w:p w14:paraId="5F01539C" w14:textId="77777777" w:rsidR="00B80C96" w:rsidRPr="00857867" w:rsidRDefault="00B80C96"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50F17537" w14:textId="77777777" w:rsidR="00B80C96" w:rsidRPr="00857867" w:rsidRDefault="00B80C96" w:rsidP="007108ED">
            <w:pPr>
              <w:spacing w:after="0" w:line="240" w:lineRule="auto"/>
              <w:rPr>
                <w:rFonts w:ascii="Times New Roman" w:hAnsi="Times New Roman"/>
                <w:sz w:val="20"/>
                <w:szCs w:val="20"/>
              </w:rPr>
            </w:pPr>
            <w:r w:rsidRPr="00857867">
              <w:rPr>
                <w:rFonts w:ascii="Times New Roman" w:hAnsi="Times New Roman"/>
                <w:sz w:val="20"/>
                <w:szCs w:val="20"/>
              </w:rPr>
              <w:t>Sol et habitat naturel</w:t>
            </w:r>
          </w:p>
        </w:tc>
        <w:tc>
          <w:tcPr>
            <w:tcW w:w="2694"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5A2AAE3F" w14:textId="77777777" w:rsidR="00B80C96" w:rsidRPr="00857867" w:rsidRDefault="00B80C96"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3441"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326B9CFA" w14:textId="77777777" w:rsidR="00B80C96" w:rsidRPr="00857867" w:rsidRDefault="00B80C96" w:rsidP="007108ED">
            <w:pPr>
              <w:spacing w:after="0" w:line="240" w:lineRule="auto"/>
              <w:jc w:val="both"/>
              <w:rPr>
                <w:rFonts w:ascii="Times New Roman" w:hAnsi="Times New Roman"/>
                <w:sz w:val="20"/>
                <w:szCs w:val="20"/>
              </w:rPr>
            </w:pPr>
            <w:r w:rsidRPr="00857867">
              <w:rPr>
                <w:rFonts w:ascii="Times New Roman" w:hAnsi="Times New Roman"/>
                <w:sz w:val="20"/>
                <w:szCs w:val="20"/>
              </w:rPr>
              <w:t xml:space="preserve">Construction </w:t>
            </w:r>
          </w:p>
        </w:tc>
      </w:tr>
      <w:tr w:rsidR="00D75D2E" w:rsidRPr="00420C1B" w14:paraId="546F40ED" w14:textId="77777777" w:rsidTr="00785FB7">
        <w:trPr>
          <w:trHeight w:val="252"/>
          <w:jc w:val="center"/>
        </w:trPr>
        <w:tc>
          <w:tcPr>
            <w:tcW w:w="1794" w:type="dxa"/>
            <w:gridSpan w:val="3"/>
            <w:vMerge w:val="restart"/>
            <w:tcBorders>
              <w:top w:val="single" w:sz="4" w:space="0" w:color="auto"/>
              <w:left w:val="single" w:sz="4" w:space="0" w:color="auto"/>
              <w:bottom w:val="single" w:sz="4" w:space="0" w:color="auto"/>
              <w:right w:val="single" w:sz="4" w:space="0" w:color="auto"/>
            </w:tcBorders>
            <w:hideMark/>
          </w:tcPr>
          <w:p w14:paraId="5CBDE1B1"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Code 06</w:t>
            </w:r>
          </w:p>
        </w:tc>
        <w:tc>
          <w:tcPr>
            <w:tcW w:w="7557" w:type="dxa"/>
            <w:gridSpan w:val="13"/>
            <w:tcBorders>
              <w:top w:val="single" w:sz="4" w:space="0" w:color="auto"/>
              <w:left w:val="single" w:sz="4" w:space="0" w:color="auto"/>
              <w:bottom w:val="single" w:sz="4" w:space="0" w:color="auto"/>
              <w:right w:val="single" w:sz="4" w:space="0" w:color="auto"/>
            </w:tcBorders>
            <w:hideMark/>
          </w:tcPr>
          <w:p w14:paraId="7B882BAC" w14:textId="77777777" w:rsidR="00ED17F3" w:rsidRPr="00857867" w:rsidRDefault="00ED17F3" w:rsidP="00B80C96">
            <w:pPr>
              <w:spacing w:after="0" w:line="240" w:lineRule="auto"/>
              <w:rPr>
                <w:rFonts w:ascii="Times New Roman" w:hAnsi="Times New Roman"/>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Terrassement</w:t>
            </w:r>
            <w:r w:rsidR="00B80C96" w:rsidRPr="00857867">
              <w:rPr>
                <w:rFonts w:ascii="Times New Roman" w:hAnsi="Times New Roman"/>
                <w:sz w:val="20"/>
                <w:szCs w:val="20"/>
              </w:rPr>
              <w:t xml:space="preserve"> (</w:t>
            </w:r>
            <w:r w:rsidRPr="00857867">
              <w:rPr>
                <w:rFonts w:ascii="Times New Roman" w:hAnsi="Times New Roman"/>
                <w:sz w:val="20"/>
                <w:szCs w:val="20"/>
              </w:rPr>
              <w:t>Remblai et déblais</w:t>
            </w:r>
            <w:r w:rsidR="00B80C96" w:rsidRPr="00857867">
              <w:rPr>
                <w:rFonts w:ascii="Times New Roman" w:hAnsi="Times New Roman"/>
                <w:sz w:val="20"/>
                <w:szCs w:val="20"/>
              </w:rPr>
              <w:t>) et coulage de béton</w:t>
            </w:r>
          </w:p>
        </w:tc>
        <w:tc>
          <w:tcPr>
            <w:tcW w:w="748" w:type="dxa"/>
            <w:tcBorders>
              <w:top w:val="single" w:sz="4" w:space="0" w:color="auto"/>
              <w:left w:val="single" w:sz="4" w:space="0" w:color="auto"/>
              <w:bottom w:val="single" w:sz="4" w:space="0" w:color="auto"/>
              <w:right w:val="single" w:sz="4" w:space="0" w:color="auto"/>
            </w:tcBorders>
          </w:tcPr>
          <w:p w14:paraId="320066A9"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34F9B884" w14:textId="77777777" w:rsidTr="00215867">
        <w:trPr>
          <w:trHeight w:val="19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hideMark/>
          </w:tcPr>
          <w:p w14:paraId="4B1AB4A4" w14:textId="77777777" w:rsidR="00ED17F3" w:rsidRPr="00857867" w:rsidRDefault="00ED17F3" w:rsidP="007108ED">
            <w:pPr>
              <w:spacing w:after="0" w:line="256" w:lineRule="auto"/>
              <w:rPr>
                <w:rFonts w:ascii="Times New Roman" w:hAnsi="Times New Roman"/>
                <w:b/>
                <w:sz w:val="20"/>
                <w:szCs w:val="20"/>
              </w:rPr>
            </w:pPr>
          </w:p>
        </w:tc>
        <w:tc>
          <w:tcPr>
            <w:tcW w:w="4864" w:type="dxa"/>
            <w:gridSpan w:val="9"/>
            <w:tcBorders>
              <w:top w:val="single" w:sz="4" w:space="0" w:color="auto"/>
              <w:left w:val="single" w:sz="4" w:space="0" w:color="auto"/>
              <w:bottom w:val="single" w:sz="4" w:space="0" w:color="auto"/>
              <w:right w:val="single" w:sz="4" w:space="0" w:color="auto"/>
            </w:tcBorders>
            <w:hideMark/>
          </w:tcPr>
          <w:p w14:paraId="5A90CAAC"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Intitulé de l’impact</w:t>
            </w:r>
            <w:r w:rsidRPr="00857867">
              <w:rPr>
                <w:rFonts w:ascii="Times New Roman" w:hAnsi="Times New Roman"/>
                <w:sz w:val="20"/>
                <w:szCs w:val="20"/>
              </w:rPr>
              <w:t> : Érosion et déstabilisation des sols.</w:t>
            </w:r>
          </w:p>
        </w:tc>
        <w:tc>
          <w:tcPr>
            <w:tcW w:w="2693" w:type="dxa"/>
            <w:gridSpan w:val="4"/>
            <w:tcBorders>
              <w:top w:val="single" w:sz="4" w:space="0" w:color="auto"/>
              <w:left w:val="single" w:sz="4" w:space="0" w:color="auto"/>
              <w:bottom w:val="single" w:sz="4" w:space="0" w:color="auto"/>
              <w:right w:val="single" w:sz="4" w:space="0" w:color="auto"/>
            </w:tcBorders>
          </w:tcPr>
          <w:p w14:paraId="7FBC132E" w14:textId="77777777" w:rsidR="00ED17F3" w:rsidRPr="00857867" w:rsidRDefault="00ED17F3" w:rsidP="007108ED">
            <w:pPr>
              <w:spacing w:after="0" w:line="240" w:lineRule="auto"/>
              <w:rPr>
                <w:rFonts w:ascii="Times New Roman" w:hAnsi="Times New Roman"/>
                <w:sz w:val="20"/>
                <w:szCs w:val="20"/>
              </w:rPr>
            </w:pPr>
          </w:p>
        </w:tc>
        <w:tc>
          <w:tcPr>
            <w:tcW w:w="748" w:type="dxa"/>
            <w:tcBorders>
              <w:top w:val="single" w:sz="4" w:space="0" w:color="auto"/>
              <w:left w:val="single" w:sz="4" w:space="0" w:color="auto"/>
              <w:bottom w:val="single" w:sz="4" w:space="0" w:color="auto"/>
              <w:right w:val="single" w:sz="4" w:space="0" w:color="auto"/>
            </w:tcBorders>
          </w:tcPr>
          <w:p w14:paraId="6D38BEB9"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74D89E6A" w14:textId="77777777" w:rsidTr="00215867">
        <w:trPr>
          <w:trHeight w:val="252"/>
          <w:jc w:val="center"/>
        </w:trPr>
        <w:tc>
          <w:tcPr>
            <w:tcW w:w="1794" w:type="dxa"/>
            <w:gridSpan w:val="3"/>
            <w:vMerge w:val="restart"/>
            <w:tcBorders>
              <w:top w:val="single" w:sz="4" w:space="0" w:color="auto"/>
              <w:left w:val="single" w:sz="4" w:space="0" w:color="auto"/>
              <w:bottom w:val="single" w:sz="4" w:space="0" w:color="auto"/>
              <w:right w:val="single" w:sz="4" w:space="0" w:color="auto"/>
            </w:tcBorders>
            <w:hideMark/>
          </w:tcPr>
          <w:p w14:paraId="6B287CC9" w14:textId="77777777" w:rsidR="00B80C96" w:rsidRPr="00857867" w:rsidRDefault="00B80C96" w:rsidP="00B80C96">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348" w:type="dxa"/>
            <w:gridSpan w:val="6"/>
            <w:vMerge w:val="restart"/>
            <w:tcBorders>
              <w:top w:val="single" w:sz="4" w:space="0" w:color="auto"/>
              <w:left w:val="single" w:sz="4" w:space="0" w:color="auto"/>
              <w:right w:val="single" w:sz="4" w:space="0" w:color="auto"/>
            </w:tcBorders>
          </w:tcPr>
          <w:p w14:paraId="0B482D40" w14:textId="77777777" w:rsidR="00B80C96" w:rsidRPr="00857867" w:rsidRDefault="00B80C96" w:rsidP="00B80C96">
            <w:pPr>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Base vie du chantier et zone d’évolution des travaux (communes concernés par les travaux)</w:t>
            </w:r>
          </w:p>
        </w:tc>
        <w:tc>
          <w:tcPr>
            <w:tcW w:w="1516" w:type="dxa"/>
            <w:gridSpan w:val="3"/>
            <w:tcBorders>
              <w:top w:val="single" w:sz="4" w:space="0" w:color="auto"/>
              <w:left w:val="single" w:sz="4" w:space="0" w:color="auto"/>
              <w:bottom w:val="single" w:sz="4" w:space="0" w:color="auto"/>
              <w:right w:val="single" w:sz="4" w:space="0" w:color="auto"/>
            </w:tcBorders>
            <w:hideMark/>
          </w:tcPr>
          <w:p w14:paraId="6AFC9809" w14:textId="77777777" w:rsidR="00B80C96" w:rsidRPr="00857867" w:rsidRDefault="00B80C96" w:rsidP="00B80C96">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75" w:type="dxa"/>
            <w:gridSpan w:val="2"/>
            <w:tcBorders>
              <w:top w:val="single" w:sz="4" w:space="0" w:color="auto"/>
              <w:left w:val="single" w:sz="4" w:space="0" w:color="auto"/>
              <w:bottom w:val="single" w:sz="4" w:space="0" w:color="auto"/>
              <w:right w:val="single" w:sz="4" w:space="0" w:color="auto"/>
            </w:tcBorders>
            <w:hideMark/>
          </w:tcPr>
          <w:p w14:paraId="77617C6A" w14:textId="77777777" w:rsidR="00B80C96" w:rsidRPr="00857867" w:rsidRDefault="00B80C96" w:rsidP="00B80C96">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2166" w:type="dxa"/>
            <w:gridSpan w:val="3"/>
            <w:vMerge w:val="restart"/>
            <w:tcBorders>
              <w:top w:val="single" w:sz="4" w:space="0" w:color="auto"/>
              <w:left w:val="single" w:sz="4" w:space="0" w:color="auto"/>
              <w:bottom w:val="single" w:sz="4" w:space="0" w:color="auto"/>
              <w:right w:val="single" w:sz="4" w:space="0" w:color="auto"/>
            </w:tcBorders>
            <w:hideMark/>
          </w:tcPr>
          <w:p w14:paraId="71EEE51E" w14:textId="77777777" w:rsidR="00B80C96" w:rsidRPr="00857867" w:rsidRDefault="00B80C96" w:rsidP="00B80C96">
            <w:pPr>
              <w:spacing w:after="0" w:line="240" w:lineRule="auto"/>
              <w:rPr>
                <w:rFonts w:ascii="Times New Roman" w:hAnsi="Times New Roman"/>
                <w:sz w:val="20"/>
                <w:szCs w:val="20"/>
              </w:rPr>
            </w:pPr>
          </w:p>
        </w:tc>
      </w:tr>
      <w:tr w:rsidR="00D75D2E" w:rsidRPr="00420C1B" w14:paraId="3179509C" w14:textId="77777777" w:rsidTr="00215867">
        <w:trPr>
          <w:trHeight w:val="25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hideMark/>
          </w:tcPr>
          <w:p w14:paraId="354245B7" w14:textId="77777777" w:rsidR="00B80C96" w:rsidRPr="00857867" w:rsidRDefault="00B80C96" w:rsidP="00B80C96">
            <w:pPr>
              <w:spacing w:after="0" w:line="256" w:lineRule="auto"/>
              <w:rPr>
                <w:rFonts w:ascii="Times New Roman" w:eastAsia="Times New Roman" w:hAnsi="Times New Roman"/>
                <w:sz w:val="20"/>
                <w:szCs w:val="20"/>
                <w:lang w:eastAsia="fr-FR"/>
              </w:rPr>
            </w:pPr>
          </w:p>
        </w:tc>
        <w:tc>
          <w:tcPr>
            <w:tcW w:w="3348" w:type="dxa"/>
            <w:gridSpan w:val="6"/>
            <w:vMerge/>
            <w:tcBorders>
              <w:left w:val="single" w:sz="4" w:space="0" w:color="auto"/>
              <w:right w:val="single" w:sz="4" w:space="0" w:color="auto"/>
            </w:tcBorders>
            <w:vAlign w:val="center"/>
            <w:hideMark/>
          </w:tcPr>
          <w:p w14:paraId="4A794509" w14:textId="77777777" w:rsidR="00B80C96" w:rsidRPr="00857867" w:rsidRDefault="00B80C96" w:rsidP="00B80C96">
            <w:pPr>
              <w:spacing w:after="0" w:line="240" w:lineRule="auto"/>
              <w:rPr>
                <w:rFonts w:ascii="Times New Roman" w:hAnsi="Times New Roman"/>
                <w:sz w:val="20"/>
                <w:szCs w:val="20"/>
              </w:rPr>
            </w:pPr>
          </w:p>
        </w:tc>
        <w:tc>
          <w:tcPr>
            <w:tcW w:w="1516" w:type="dxa"/>
            <w:gridSpan w:val="3"/>
            <w:tcBorders>
              <w:top w:val="single" w:sz="4" w:space="0" w:color="auto"/>
              <w:left w:val="single" w:sz="4" w:space="0" w:color="auto"/>
              <w:bottom w:val="single" w:sz="4" w:space="0" w:color="auto"/>
              <w:right w:val="single" w:sz="4" w:space="0" w:color="auto"/>
            </w:tcBorders>
            <w:hideMark/>
          </w:tcPr>
          <w:p w14:paraId="295A5605" w14:textId="77777777" w:rsidR="00B80C96" w:rsidRPr="00857867" w:rsidRDefault="00B80C96" w:rsidP="00B80C96">
            <w:pPr>
              <w:spacing w:after="0" w:line="240" w:lineRule="auto"/>
              <w:rPr>
                <w:rFonts w:ascii="Times New Roman" w:hAnsi="Times New Roman"/>
                <w:sz w:val="20"/>
                <w:szCs w:val="20"/>
              </w:rPr>
            </w:pPr>
            <w:r w:rsidRPr="00420C1B">
              <w:rPr>
                <w:rFonts w:ascii="Times New Roman" w:hAnsi="Times New Roman"/>
                <w:sz w:val="20"/>
                <w:szCs w:val="20"/>
              </w:rPr>
              <w:t xml:space="preserve">526135  </w:t>
            </w:r>
          </w:p>
        </w:tc>
        <w:tc>
          <w:tcPr>
            <w:tcW w:w="1275" w:type="dxa"/>
            <w:gridSpan w:val="2"/>
            <w:tcBorders>
              <w:top w:val="single" w:sz="4" w:space="0" w:color="auto"/>
              <w:left w:val="nil"/>
              <w:bottom w:val="single" w:sz="4" w:space="0" w:color="auto"/>
              <w:right w:val="single" w:sz="4" w:space="0" w:color="auto"/>
            </w:tcBorders>
            <w:hideMark/>
          </w:tcPr>
          <w:p w14:paraId="09A2B8F0" w14:textId="77777777" w:rsidR="00B80C96" w:rsidRPr="00857867" w:rsidRDefault="00B80C96" w:rsidP="00B80C96">
            <w:pPr>
              <w:spacing w:after="0" w:line="240" w:lineRule="auto"/>
              <w:rPr>
                <w:rFonts w:ascii="Times New Roman" w:hAnsi="Times New Roman"/>
                <w:sz w:val="20"/>
                <w:szCs w:val="20"/>
              </w:rPr>
            </w:pPr>
            <w:r w:rsidRPr="00420C1B">
              <w:rPr>
                <w:rFonts w:ascii="Times New Roman" w:hAnsi="Times New Roman"/>
                <w:sz w:val="20"/>
                <w:szCs w:val="20"/>
              </w:rPr>
              <w:t>9514282</w:t>
            </w:r>
          </w:p>
        </w:tc>
        <w:tc>
          <w:tcPr>
            <w:tcW w:w="2166" w:type="dxa"/>
            <w:gridSpan w:val="3"/>
            <w:vMerge/>
            <w:tcBorders>
              <w:top w:val="single" w:sz="4" w:space="0" w:color="auto"/>
              <w:left w:val="single" w:sz="4" w:space="0" w:color="auto"/>
              <w:bottom w:val="single" w:sz="4" w:space="0" w:color="auto"/>
              <w:right w:val="single" w:sz="4" w:space="0" w:color="auto"/>
            </w:tcBorders>
            <w:vAlign w:val="center"/>
            <w:hideMark/>
          </w:tcPr>
          <w:p w14:paraId="429D8EBA" w14:textId="77777777" w:rsidR="00B80C96" w:rsidRPr="00857867" w:rsidRDefault="00B80C96" w:rsidP="00B80C96">
            <w:pPr>
              <w:spacing w:after="0" w:line="256" w:lineRule="auto"/>
              <w:rPr>
                <w:rFonts w:ascii="Times New Roman" w:hAnsi="Times New Roman"/>
                <w:sz w:val="20"/>
                <w:szCs w:val="20"/>
              </w:rPr>
            </w:pPr>
          </w:p>
        </w:tc>
      </w:tr>
      <w:tr w:rsidR="00D75D2E" w:rsidRPr="00420C1B" w14:paraId="300A1BF9" w14:textId="77777777" w:rsidTr="00215867">
        <w:trPr>
          <w:trHeight w:val="189"/>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hideMark/>
          </w:tcPr>
          <w:p w14:paraId="16163EC0" w14:textId="77777777" w:rsidR="00B80C96" w:rsidRPr="00857867" w:rsidRDefault="00B80C96" w:rsidP="00B80C96">
            <w:pPr>
              <w:spacing w:after="0" w:line="256" w:lineRule="auto"/>
              <w:rPr>
                <w:rFonts w:ascii="Times New Roman" w:eastAsia="Times New Roman" w:hAnsi="Times New Roman"/>
                <w:sz w:val="20"/>
                <w:szCs w:val="20"/>
                <w:lang w:eastAsia="fr-FR"/>
              </w:rPr>
            </w:pPr>
          </w:p>
        </w:tc>
        <w:tc>
          <w:tcPr>
            <w:tcW w:w="3348" w:type="dxa"/>
            <w:gridSpan w:val="6"/>
            <w:vMerge/>
            <w:tcBorders>
              <w:left w:val="single" w:sz="4" w:space="0" w:color="auto"/>
              <w:bottom w:val="single" w:sz="4" w:space="0" w:color="auto"/>
              <w:right w:val="single" w:sz="4" w:space="0" w:color="auto"/>
            </w:tcBorders>
            <w:vAlign w:val="center"/>
            <w:hideMark/>
          </w:tcPr>
          <w:p w14:paraId="6E720990" w14:textId="77777777" w:rsidR="00B80C96" w:rsidRPr="00857867" w:rsidRDefault="00B80C96" w:rsidP="00B80C96">
            <w:pPr>
              <w:spacing w:after="0" w:line="240" w:lineRule="auto"/>
              <w:rPr>
                <w:rFonts w:ascii="Times New Roman" w:hAnsi="Times New Roman"/>
                <w:sz w:val="20"/>
                <w:szCs w:val="20"/>
              </w:rPr>
            </w:pPr>
          </w:p>
        </w:tc>
        <w:tc>
          <w:tcPr>
            <w:tcW w:w="1516" w:type="dxa"/>
            <w:gridSpan w:val="3"/>
            <w:tcBorders>
              <w:top w:val="single" w:sz="4" w:space="0" w:color="auto"/>
              <w:left w:val="single" w:sz="4" w:space="0" w:color="auto"/>
              <w:bottom w:val="nil"/>
              <w:right w:val="single" w:sz="4" w:space="0" w:color="auto"/>
            </w:tcBorders>
            <w:hideMark/>
          </w:tcPr>
          <w:p w14:paraId="27E5D3E6" w14:textId="77777777" w:rsidR="00B80C96" w:rsidRPr="00857867" w:rsidRDefault="00B80C96" w:rsidP="00B80C96">
            <w:pPr>
              <w:spacing w:after="0" w:line="240" w:lineRule="auto"/>
              <w:rPr>
                <w:rFonts w:ascii="Times New Roman" w:hAnsi="Times New Roman"/>
                <w:sz w:val="20"/>
                <w:szCs w:val="20"/>
              </w:rPr>
            </w:pPr>
            <w:r w:rsidRPr="00420C1B">
              <w:rPr>
                <w:rFonts w:ascii="Times New Roman" w:hAnsi="Times New Roman"/>
                <w:sz w:val="20"/>
                <w:szCs w:val="20"/>
              </w:rPr>
              <w:t>527290</w:t>
            </w:r>
          </w:p>
        </w:tc>
        <w:tc>
          <w:tcPr>
            <w:tcW w:w="1275" w:type="dxa"/>
            <w:gridSpan w:val="2"/>
            <w:tcBorders>
              <w:top w:val="single" w:sz="4" w:space="0" w:color="auto"/>
              <w:left w:val="single" w:sz="4" w:space="0" w:color="auto"/>
              <w:bottom w:val="nil"/>
              <w:right w:val="single" w:sz="4" w:space="0" w:color="auto"/>
            </w:tcBorders>
            <w:hideMark/>
          </w:tcPr>
          <w:p w14:paraId="36FED853" w14:textId="77777777" w:rsidR="00B80C96" w:rsidRPr="00857867" w:rsidRDefault="00B80C96" w:rsidP="00B80C96">
            <w:pPr>
              <w:spacing w:after="0" w:line="240" w:lineRule="auto"/>
              <w:rPr>
                <w:rFonts w:ascii="Times New Roman" w:hAnsi="Times New Roman"/>
                <w:sz w:val="20"/>
                <w:szCs w:val="20"/>
              </w:rPr>
            </w:pPr>
            <w:r w:rsidRPr="00420C1B">
              <w:rPr>
                <w:rFonts w:ascii="Times New Roman" w:hAnsi="Times New Roman"/>
                <w:sz w:val="20"/>
                <w:szCs w:val="20"/>
              </w:rPr>
              <w:t>9506829</w:t>
            </w:r>
          </w:p>
        </w:tc>
        <w:tc>
          <w:tcPr>
            <w:tcW w:w="2166" w:type="dxa"/>
            <w:gridSpan w:val="3"/>
            <w:vMerge/>
            <w:tcBorders>
              <w:top w:val="single" w:sz="4" w:space="0" w:color="auto"/>
              <w:left w:val="single" w:sz="4" w:space="0" w:color="auto"/>
              <w:bottom w:val="single" w:sz="4" w:space="0" w:color="auto"/>
              <w:right w:val="single" w:sz="4" w:space="0" w:color="auto"/>
            </w:tcBorders>
            <w:vAlign w:val="center"/>
            <w:hideMark/>
          </w:tcPr>
          <w:p w14:paraId="69BDC3B6" w14:textId="77777777" w:rsidR="00B80C96" w:rsidRPr="00857867" w:rsidRDefault="00B80C96" w:rsidP="00B80C96">
            <w:pPr>
              <w:spacing w:after="0" w:line="256" w:lineRule="auto"/>
              <w:rPr>
                <w:rFonts w:ascii="Times New Roman" w:hAnsi="Times New Roman"/>
                <w:sz w:val="20"/>
                <w:szCs w:val="20"/>
              </w:rPr>
            </w:pPr>
          </w:p>
        </w:tc>
      </w:tr>
      <w:tr w:rsidR="00D75D2E" w:rsidRPr="00420C1B" w14:paraId="43BD1C0D" w14:textId="77777777" w:rsidTr="00215867">
        <w:trPr>
          <w:trHeight w:val="252"/>
          <w:jc w:val="center"/>
        </w:trPr>
        <w:tc>
          <w:tcPr>
            <w:tcW w:w="1794" w:type="dxa"/>
            <w:gridSpan w:val="3"/>
            <w:vMerge w:val="restart"/>
            <w:tcBorders>
              <w:top w:val="single" w:sz="4" w:space="0" w:color="auto"/>
              <w:left w:val="single" w:sz="4" w:space="0" w:color="auto"/>
              <w:bottom w:val="single" w:sz="4" w:space="0" w:color="auto"/>
              <w:right w:val="single" w:sz="4" w:space="0" w:color="auto"/>
            </w:tcBorders>
          </w:tcPr>
          <w:p w14:paraId="0EDFE6CB" w14:textId="77777777" w:rsidR="00ED17F3" w:rsidRPr="00857867" w:rsidRDefault="00ED17F3" w:rsidP="007108ED">
            <w:pPr>
              <w:spacing w:after="0" w:line="240" w:lineRule="auto"/>
              <w:rPr>
                <w:rFonts w:ascii="Times New Roman" w:hAnsi="Times New Roman"/>
                <w:b/>
                <w:sz w:val="20"/>
                <w:szCs w:val="20"/>
              </w:rPr>
            </w:pPr>
          </w:p>
          <w:p w14:paraId="3EA5AA3A"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058" w:type="dxa"/>
            <w:gridSpan w:val="2"/>
            <w:vMerge w:val="restart"/>
            <w:tcBorders>
              <w:top w:val="single" w:sz="4" w:space="0" w:color="auto"/>
              <w:left w:val="single" w:sz="4" w:space="0" w:color="auto"/>
              <w:bottom w:val="single" w:sz="4" w:space="0" w:color="auto"/>
              <w:right w:val="single" w:sz="4" w:space="0" w:color="auto"/>
            </w:tcBorders>
            <w:hideMark/>
          </w:tcPr>
          <w:p w14:paraId="74803A8D"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76531800"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112" w:type="dxa"/>
            <w:gridSpan w:val="2"/>
            <w:tcBorders>
              <w:top w:val="single" w:sz="4" w:space="0" w:color="auto"/>
              <w:left w:val="single" w:sz="4" w:space="0" w:color="auto"/>
              <w:bottom w:val="single" w:sz="4" w:space="0" w:color="auto"/>
              <w:right w:val="single" w:sz="4" w:space="0" w:color="auto"/>
            </w:tcBorders>
            <w:hideMark/>
          </w:tcPr>
          <w:p w14:paraId="6CCC9DAD"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694" w:type="dxa"/>
            <w:gridSpan w:val="5"/>
            <w:tcBorders>
              <w:top w:val="single" w:sz="4" w:space="0" w:color="auto"/>
              <w:left w:val="single" w:sz="4" w:space="0" w:color="auto"/>
              <w:bottom w:val="single" w:sz="4" w:space="0" w:color="auto"/>
              <w:right w:val="single" w:sz="4" w:space="0" w:color="auto"/>
            </w:tcBorders>
            <w:hideMark/>
          </w:tcPr>
          <w:p w14:paraId="00C9E26C"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275" w:type="dxa"/>
            <w:gridSpan w:val="2"/>
            <w:tcBorders>
              <w:top w:val="single" w:sz="4" w:space="0" w:color="auto"/>
              <w:left w:val="single" w:sz="4" w:space="0" w:color="auto"/>
              <w:bottom w:val="single" w:sz="4" w:space="0" w:color="auto"/>
              <w:right w:val="single" w:sz="4" w:space="0" w:color="auto"/>
            </w:tcBorders>
            <w:hideMark/>
          </w:tcPr>
          <w:p w14:paraId="5C00045A"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418" w:type="dxa"/>
            <w:gridSpan w:val="2"/>
            <w:tcBorders>
              <w:top w:val="single" w:sz="4" w:space="0" w:color="auto"/>
              <w:left w:val="single" w:sz="4" w:space="0" w:color="auto"/>
              <w:bottom w:val="single" w:sz="4" w:space="0" w:color="auto"/>
              <w:right w:val="single" w:sz="4" w:space="0" w:color="auto"/>
            </w:tcBorders>
            <w:hideMark/>
          </w:tcPr>
          <w:p w14:paraId="07B3D69A"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748" w:type="dxa"/>
            <w:tcBorders>
              <w:top w:val="single" w:sz="4" w:space="0" w:color="auto"/>
              <w:left w:val="single" w:sz="4" w:space="0" w:color="auto"/>
              <w:bottom w:val="single" w:sz="4" w:space="0" w:color="auto"/>
              <w:right w:val="single" w:sz="4" w:space="0" w:color="auto"/>
            </w:tcBorders>
          </w:tcPr>
          <w:p w14:paraId="193C9216"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77F3A6B2" w14:textId="77777777" w:rsidTr="00215867">
        <w:trPr>
          <w:trHeight w:val="26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hideMark/>
          </w:tcPr>
          <w:p w14:paraId="48E9F231" w14:textId="77777777" w:rsidR="00ED17F3" w:rsidRPr="00857867" w:rsidRDefault="00ED17F3" w:rsidP="007108ED">
            <w:pPr>
              <w:spacing w:after="0" w:line="256" w:lineRule="auto"/>
              <w:rPr>
                <w:rFonts w:ascii="Times New Roman" w:hAnsi="Times New Roman"/>
                <w:b/>
                <w:sz w:val="20"/>
                <w:szCs w:val="20"/>
              </w:rPr>
            </w:pPr>
          </w:p>
        </w:tc>
        <w:tc>
          <w:tcPr>
            <w:tcW w:w="1058" w:type="dxa"/>
            <w:gridSpan w:val="2"/>
            <w:vMerge/>
            <w:tcBorders>
              <w:top w:val="single" w:sz="4" w:space="0" w:color="auto"/>
              <w:left w:val="single" w:sz="4" w:space="0" w:color="auto"/>
              <w:bottom w:val="single" w:sz="4" w:space="0" w:color="auto"/>
              <w:right w:val="single" w:sz="4" w:space="0" w:color="auto"/>
            </w:tcBorders>
            <w:vAlign w:val="center"/>
            <w:hideMark/>
          </w:tcPr>
          <w:p w14:paraId="51FD28FA" w14:textId="77777777" w:rsidR="00ED17F3" w:rsidRPr="00857867" w:rsidRDefault="00ED17F3" w:rsidP="007108ED">
            <w:pPr>
              <w:spacing w:after="0" w:line="256" w:lineRule="auto"/>
              <w:rPr>
                <w:rFonts w:ascii="Times New Roman" w:eastAsia="Times New Roman" w:hAnsi="Times New Roman"/>
                <w:bCs/>
                <w:sz w:val="20"/>
                <w:szCs w:val="20"/>
              </w:rPr>
            </w:pPr>
          </w:p>
        </w:tc>
        <w:tc>
          <w:tcPr>
            <w:tcW w:w="1112" w:type="dxa"/>
            <w:gridSpan w:val="2"/>
            <w:tcBorders>
              <w:top w:val="single" w:sz="4" w:space="0" w:color="auto"/>
              <w:left w:val="single" w:sz="4" w:space="0" w:color="auto"/>
              <w:bottom w:val="single" w:sz="4" w:space="0" w:color="auto"/>
              <w:right w:val="single" w:sz="4" w:space="0" w:color="auto"/>
            </w:tcBorders>
            <w:vAlign w:val="center"/>
            <w:hideMark/>
          </w:tcPr>
          <w:p w14:paraId="7819DD3A"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Faible</w:t>
            </w:r>
          </w:p>
        </w:tc>
        <w:tc>
          <w:tcPr>
            <w:tcW w:w="2694" w:type="dxa"/>
            <w:gridSpan w:val="5"/>
            <w:tcBorders>
              <w:top w:val="single" w:sz="4" w:space="0" w:color="auto"/>
              <w:left w:val="single" w:sz="4" w:space="0" w:color="auto"/>
              <w:bottom w:val="single" w:sz="4" w:space="0" w:color="auto"/>
              <w:right w:val="single" w:sz="4" w:space="0" w:color="auto"/>
            </w:tcBorders>
            <w:vAlign w:val="center"/>
            <w:hideMark/>
          </w:tcPr>
          <w:p w14:paraId="1348F52E"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Ponctuelle</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70F2A9F8"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Temporaire</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286F7B24"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Faible</w:t>
            </w:r>
          </w:p>
        </w:tc>
        <w:tc>
          <w:tcPr>
            <w:tcW w:w="748" w:type="dxa"/>
            <w:tcBorders>
              <w:top w:val="single" w:sz="4" w:space="0" w:color="auto"/>
              <w:left w:val="single" w:sz="4" w:space="0" w:color="auto"/>
              <w:bottom w:val="single" w:sz="4" w:space="0" w:color="auto"/>
              <w:right w:val="single" w:sz="4" w:space="0" w:color="auto"/>
            </w:tcBorders>
          </w:tcPr>
          <w:p w14:paraId="57D3EB38"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2EEEDB3F" w14:textId="77777777" w:rsidTr="00215867">
        <w:trPr>
          <w:trHeight w:val="26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tcPr>
          <w:p w14:paraId="594EF552" w14:textId="77777777" w:rsidR="00B80C96" w:rsidRPr="00857867" w:rsidRDefault="00B80C96" w:rsidP="00B80C96">
            <w:pPr>
              <w:spacing w:after="0" w:line="256" w:lineRule="auto"/>
              <w:rPr>
                <w:rFonts w:ascii="Times New Roman" w:hAnsi="Times New Roman"/>
                <w:b/>
                <w:sz w:val="20"/>
                <w:szCs w:val="20"/>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452631F7" w14:textId="77777777" w:rsidR="00B80C96" w:rsidRPr="00857867" w:rsidRDefault="00B80C96" w:rsidP="00B80C96">
            <w:pPr>
              <w:spacing w:after="0" w:line="256" w:lineRule="auto"/>
              <w:rPr>
                <w:rFonts w:ascii="Times New Roman" w:eastAsia="Times New Roman" w:hAnsi="Times New Roman"/>
                <w:bCs/>
                <w:sz w:val="20"/>
                <w:szCs w:val="20"/>
              </w:rPr>
            </w:pPr>
          </w:p>
        </w:tc>
        <w:tc>
          <w:tcPr>
            <w:tcW w:w="1112" w:type="dxa"/>
            <w:gridSpan w:val="2"/>
            <w:tcBorders>
              <w:top w:val="single" w:sz="4" w:space="0" w:color="auto"/>
              <w:left w:val="single" w:sz="4" w:space="0" w:color="auto"/>
              <w:bottom w:val="single" w:sz="4" w:space="0" w:color="auto"/>
              <w:right w:val="single" w:sz="4" w:space="0" w:color="auto"/>
            </w:tcBorders>
            <w:vAlign w:val="center"/>
          </w:tcPr>
          <w:p w14:paraId="6557AF23" w14:textId="77777777" w:rsidR="00B80C96" w:rsidRPr="00857867" w:rsidRDefault="00B80C96" w:rsidP="00B80C96">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 action</w:t>
            </w:r>
          </w:p>
        </w:tc>
        <w:tc>
          <w:tcPr>
            <w:tcW w:w="2694" w:type="dxa"/>
            <w:gridSpan w:val="5"/>
            <w:tcBorders>
              <w:top w:val="single" w:sz="4" w:space="0" w:color="auto"/>
              <w:left w:val="single" w:sz="4" w:space="0" w:color="auto"/>
              <w:bottom w:val="single" w:sz="4" w:space="0" w:color="auto"/>
              <w:right w:val="single" w:sz="4" w:space="0" w:color="auto"/>
            </w:tcBorders>
          </w:tcPr>
          <w:p w14:paraId="6FE6CCD2" w14:textId="77777777" w:rsidR="00B80C96" w:rsidRPr="00857867" w:rsidRDefault="00B80C96" w:rsidP="00B80C96">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275" w:type="dxa"/>
            <w:gridSpan w:val="2"/>
            <w:tcBorders>
              <w:top w:val="single" w:sz="4" w:space="0" w:color="auto"/>
              <w:left w:val="single" w:sz="4" w:space="0" w:color="auto"/>
              <w:bottom w:val="single" w:sz="4" w:space="0" w:color="auto"/>
              <w:right w:val="single" w:sz="4" w:space="0" w:color="auto"/>
            </w:tcBorders>
          </w:tcPr>
          <w:p w14:paraId="044C7ED7" w14:textId="77777777" w:rsidR="00B80C96" w:rsidRPr="00857867" w:rsidRDefault="00B80C96" w:rsidP="00B80C96">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418" w:type="dxa"/>
            <w:gridSpan w:val="2"/>
            <w:tcBorders>
              <w:top w:val="single" w:sz="4" w:space="0" w:color="auto"/>
              <w:left w:val="single" w:sz="4" w:space="0" w:color="auto"/>
              <w:bottom w:val="single" w:sz="4" w:space="0" w:color="auto"/>
              <w:right w:val="single" w:sz="4" w:space="0" w:color="auto"/>
            </w:tcBorders>
          </w:tcPr>
          <w:p w14:paraId="05AABCF9" w14:textId="77777777" w:rsidR="00B80C96" w:rsidRPr="00857867" w:rsidRDefault="00B80C96" w:rsidP="00B80C96">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748" w:type="dxa"/>
            <w:tcBorders>
              <w:top w:val="single" w:sz="4" w:space="0" w:color="auto"/>
              <w:left w:val="single" w:sz="4" w:space="0" w:color="auto"/>
              <w:bottom w:val="single" w:sz="4" w:space="0" w:color="auto"/>
              <w:right w:val="single" w:sz="4" w:space="0" w:color="auto"/>
            </w:tcBorders>
          </w:tcPr>
          <w:p w14:paraId="02205F26" w14:textId="77777777" w:rsidR="00B80C96" w:rsidRPr="00857867" w:rsidRDefault="00B80C96" w:rsidP="00B80C96">
            <w:pPr>
              <w:spacing w:after="0" w:line="240" w:lineRule="auto"/>
              <w:rPr>
                <w:rFonts w:ascii="Times New Roman" w:hAnsi="Times New Roman"/>
                <w:sz w:val="20"/>
                <w:szCs w:val="20"/>
              </w:rPr>
            </w:pPr>
          </w:p>
        </w:tc>
      </w:tr>
      <w:tr w:rsidR="00D75D2E" w:rsidRPr="00420C1B" w14:paraId="0A0DD84E" w14:textId="77777777" w:rsidTr="00215867">
        <w:trPr>
          <w:trHeight w:val="26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tcPr>
          <w:p w14:paraId="1C5DBA56" w14:textId="77777777" w:rsidR="00B80C96" w:rsidRPr="00857867" w:rsidRDefault="00B80C96" w:rsidP="00B80C96">
            <w:pPr>
              <w:spacing w:after="0" w:line="256" w:lineRule="auto"/>
              <w:rPr>
                <w:rFonts w:ascii="Times New Roman" w:hAnsi="Times New Roman"/>
                <w:b/>
                <w:sz w:val="20"/>
                <w:szCs w:val="20"/>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52C2336F" w14:textId="77777777" w:rsidR="00B80C96" w:rsidRPr="00857867" w:rsidRDefault="00B80C96" w:rsidP="00B80C96">
            <w:pPr>
              <w:spacing w:after="0" w:line="256" w:lineRule="auto"/>
              <w:rPr>
                <w:rFonts w:ascii="Times New Roman" w:eastAsia="Times New Roman" w:hAnsi="Times New Roman"/>
                <w:bCs/>
                <w:sz w:val="20"/>
                <w:szCs w:val="20"/>
              </w:rPr>
            </w:pPr>
          </w:p>
        </w:tc>
        <w:tc>
          <w:tcPr>
            <w:tcW w:w="1112" w:type="dxa"/>
            <w:gridSpan w:val="2"/>
            <w:tcBorders>
              <w:top w:val="single" w:sz="4" w:space="0" w:color="auto"/>
              <w:left w:val="single" w:sz="4" w:space="0" w:color="auto"/>
              <w:bottom w:val="single" w:sz="4" w:space="0" w:color="auto"/>
              <w:right w:val="single" w:sz="4" w:space="0" w:color="auto"/>
            </w:tcBorders>
            <w:vAlign w:val="center"/>
          </w:tcPr>
          <w:p w14:paraId="7F3BFA05" w14:textId="77777777" w:rsidR="00B80C96" w:rsidRPr="00857867" w:rsidRDefault="00B80C96" w:rsidP="00B80C96">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694" w:type="dxa"/>
            <w:gridSpan w:val="5"/>
            <w:tcBorders>
              <w:top w:val="single" w:sz="4" w:space="0" w:color="auto"/>
              <w:left w:val="single" w:sz="4" w:space="0" w:color="auto"/>
              <w:bottom w:val="single" w:sz="4" w:space="0" w:color="auto"/>
              <w:right w:val="single" w:sz="4" w:space="0" w:color="auto"/>
            </w:tcBorders>
            <w:vAlign w:val="center"/>
          </w:tcPr>
          <w:p w14:paraId="3AF383B5"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hAnsi="Times New Roman"/>
                <w:sz w:val="20"/>
                <w:szCs w:val="20"/>
              </w:rPr>
              <w:t>Probable</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2B109431"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3611E2AF"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hAnsi="Times New Roman"/>
                <w:sz w:val="20"/>
                <w:szCs w:val="20"/>
              </w:rPr>
              <w:t>Non</w:t>
            </w:r>
          </w:p>
        </w:tc>
        <w:tc>
          <w:tcPr>
            <w:tcW w:w="748" w:type="dxa"/>
            <w:tcBorders>
              <w:top w:val="single" w:sz="4" w:space="0" w:color="auto"/>
              <w:left w:val="single" w:sz="4" w:space="0" w:color="auto"/>
              <w:bottom w:val="single" w:sz="4" w:space="0" w:color="auto"/>
              <w:right w:val="single" w:sz="4" w:space="0" w:color="auto"/>
            </w:tcBorders>
          </w:tcPr>
          <w:p w14:paraId="673226F8" w14:textId="77777777" w:rsidR="00B80C96" w:rsidRPr="00857867" w:rsidRDefault="00B80C96" w:rsidP="00B80C96">
            <w:pPr>
              <w:spacing w:after="0" w:line="240" w:lineRule="auto"/>
              <w:rPr>
                <w:rFonts w:ascii="Times New Roman" w:hAnsi="Times New Roman"/>
                <w:sz w:val="20"/>
                <w:szCs w:val="20"/>
              </w:rPr>
            </w:pPr>
          </w:p>
        </w:tc>
      </w:tr>
      <w:tr w:rsidR="00D75D2E" w:rsidRPr="00420C1B" w14:paraId="6DCCC08C" w14:textId="77777777" w:rsidTr="00215867">
        <w:trPr>
          <w:trHeight w:val="26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tcPr>
          <w:p w14:paraId="502FE481" w14:textId="77777777" w:rsidR="00B80C96" w:rsidRPr="00857867" w:rsidRDefault="00B80C96" w:rsidP="00B80C96">
            <w:pPr>
              <w:spacing w:after="0" w:line="256" w:lineRule="auto"/>
              <w:rPr>
                <w:rFonts w:ascii="Times New Roman" w:hAnsi="Times New Roman"/>
                <w:b/>
                <w:sz w:val="20"/>
                <w:szCs w:val="20"/>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585DFD3B" w14:textId="77777777" w:rsidR="00B80C96" w:rsidRPr="00857867" w:rsidRDefault="00B80C96" w:rsidP="00B80C96">
            <w:pPr>
              <w:spacing w:after="0" w:line="256" w:lineRule="auto"/>
              <w:rPr>
                <w:rFonts w:ascii="Times New Roman" w:eastAsia="Times New Roman" w:hAnsi="Times New Roman"/>
                <w:bCs/>
                <w:sz w:val="20"/>
                <w:szCs w:val="20"/>
              </w:rPr>
            </w:pPr>
          </w:p>
        </w:tc>
        <w:tc>
          <w:tcPr>
            <w:tcW w:w="1112" w:type="dxa"/>
            <w:gridSpan w:val="2"/>
            <w:tcBorders>
              <w:top w:val="single" w:sz="4" w:space="0" w:color="auto"/>
              <w:left w:val="single" w:sz="4" w:space="0" w:color="auto"/>
              <w:bottom w:val="single" w:sz="4" w:space="0" w:color="auto"/>
              <w:right w:val="single" w:sz="4" w:space="0" w:color="auto"/>
            </w:tcBorders>
          </w:tcPr>
          <w:p w14:paraId="28C8AE81" w14:textId="77777777" w:rsidR="00B80C96" w:rsidRPr="00857867" w:rsidRDefault="00B80C96" w:rsidP="00B80C96">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694" w:type="dxa"/>
            <w:gridSpan w:val="5"/>
            <w:tcBorders>
              <w:top w:val="single" w:sz="4" w:space="0" w:color="auto"/>
              <w:left w:val="single" w:sz="4" w:space="0" w:color="auto"/>
              <w:bottom w:val="single" w:sz="4" w:space="0" w:color="auto"/>
              <w:right w:val="single" w:sz="4" w:space="0" w:color="auto"/>
            </w:tcBorders>
            <w:vAlign w:val="center"/>
          </w:tcPr>
          <w:p w14:paraId="35DB5E2F"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3BB90A50" w14:textId="77777777" w:rsidR="00B80C96" w:rsidRPr="00857867" w:rsidRDefault="00B80C96" w:rsidP="00B80C96">
            <w:pPr>
              <w:spacing w:after="0" w:line="240" w:lineRule="auto"/>
              <w:jc w:val="center"/>
              <w:rPr>
                <w:rFonts w:ascii="Times New Roman" w:hAnsi="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44CD85B7" w14:textId="77777777" w:rsidR="00B80C96" w:rsidRPr="00857867" w:rsidRDefault="00B80C96" w:rsidP="00B80C96">
            <w:pPr>
              <w:spacing w:after="0" w:line="240" w:lineRule="auto"/>
              <w:jc w:val="center"/>
              <w:rPr>
                <w:rFonts w:ascii="Times New Roman" w:hAnsi="Times New Roman"/>
                <w:sz w:val="20"/>
                <w:szCs w:val="20"/>
              </w:rPr>
            </w:pPr>
          </w:p>
        </w:tc>
        <w:tc>
          <w:tcPr>
            <w:tcW w:w="748" w:type="dxa"/>
            <w:tcBorders>
              <w:top w:val="single" w:sz="4" w:space="0" w:color="auto"/>
              <w:left w:val="single" w:sz="4" w:space="0" w:color="auto"/>
              <w:bottom w:val="single" w:sz="4" w:space="0" w:color="auto"/>
              <w:right w:val="single" w:sz="4" w:space="0" w:color="auto"/>
            </w:tcBorders>
          </w:tcPr>
          <w:p w14:paraId="1B8F917A" w14:textId="77777777" w:rsidR="00B80C96" w:rsidRPr="00857867" w:rsidRDefault="00B80C96" w:rsidP="00B80C96">
            <w:pPr>
              <w:spacing w:after="0" w:line="240" w:lineRule="auto"/>
              <w:rPr>
                <w:rFonts w:ascii="Times New Roman" w:hAnsi="Times New Roman"/>
                <w:sz w:val="20"/>
                <w:szCs w:val="20"/>
              </w:rPr>
            </w:pPr>
          </w:p>
        </w:tc>
      </w:tr>
      <w:tr w:rsidR="00D75D2E" w:rsidRPr="00420C1B" w14:paraId="3336692D" w14:textId="77777777" w:rsidTr="00215867">
        <w:trPr>
          <w:trHeight w:val="264"/>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tcPr>
          <w:p w14:paraId="6303A2C8" w14:textId="77777777" w:rsidR="00B80C96" w:rsidRPr="00857867" w:rsidRDefault="00B80C96" w:rsidP="00B80C96">
            <w:pPr>
              <w:spacing w:after="0" w:line="256" w:lineRule="auto"/>
              <w:rPr>
                <w:rFonts w:ascii="Times New Roman" w:hAnsi="Times New Roman"/>
                <w:b/>
                <w:sz w:val="20"/>
                <w:szCs w:val="20"/>
              </w:rPr>
            </w:pPr>
          </w:p>
        </w:tc>
        <w:tc>
          <w:tcPr>
            <w:tcW w:w="1058" w:type="dxa"/>
            <w:gridSpan w:val="2"/>
            <w:tcBorders>
              <w:top w:val="single" w:sz="4" w:space="0" w:color="auto"/>
              <w:left w:val="single" w:sz="4" w:space="0" w:color="auto"/>
              <w:bottom w:val="single" w:sz="4" w:space="0" w:color="auto"/>
              <w:right w:val="single" w:sz="4" w:space="0" w:color="auto"/>
            </w:tcBorders>
            <w:vAlign w:val="center"/>
          </w:tcPr>
          <w:p w14:paraId="1D88D077" w14:textId="77777777" w:rsidR="00B80C96" w:rsidRPr="00857867" w:rsidRDefault="00B80C96" w:rsidP="00B80C96">
            <w:pPr>
              <w:spacing w:after="0" w:line="256" w:lineRule="auto"/>
              <w:rPr>
                <w:rFonts w:ascii="Times New Roman" w:eastAsia="Times New Roman" w:hAnsi="Times New Roman"/>
                <w:bCs/>
                <w:sz w:val="20"/>
                <w:szCs w:val="20"/>
              </w:rPr>
            </w:pPr>
          </w:p>
        </w:tc>
        <w:tc>
          <w:tcPr>
            <w:tcW w:w="1112" w:type="dxa"/>
            <w:gridSpan w:val="2"/>
            <w:tcBorders>
              <w:top w:val="single" w:sz="4" w:space="0" w:color="auto"/>
              <w:left w:val="single" w:sz="4" w:space="0" w:color="auto"/>
              <w:bottom w:val="single" w:sz="4" w:space="0" w:color="auto"/>
              <w:right w:val="single" w:sz="4" w:space="0" w:color="auto"/>
            </w:tcBorders>
            <w:vAlign w:val="center"/>
          </w:tcPr>
          <w:p w14:paraId="24B217BC"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hAnsi="Times New Roman"/>
                <w:sz w:val="20"/>
                <w:szCs w:val="20"/>
              </w:rPr>
              <w:t>Périodique</w:t>
            </w:r>
          </w:p>
        </w:tc>
        <w:tc>
          <w:tcPr>
            <w:tcW w:w="2694" w:type="dxa"/>
            <w:gridSpan w:val="5"/>
            <w:tcBorders>
              <w:top w:val="single" w:sz="4" w:space="0" w:color="auto"/>
              <w:left w:val="single" w:sz="4" w:space="0" w:color="auto"/>
              <w:bottom w:val="single" w:sz="4" w:space="0" w:color="auto"/>
              <w:right w:val="single" w:sz="4" w:space="0" w:color="auto"/>
            </w:tcBorders>
            <w:vAlign w:val="center"/>
          </w:tcPr>
          <w:p w14:paraId="5F454B1B" w14:textId="77777777" w:rsidR="00B80C96" w:rsidRPr="00857867" w:rsidRDefault="00B80C96" w:rsidP="00B80C96">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 xml:space="preserve">Economique, Socio culturel </w:t>
            </w:r>
          </w:p>
        </w:tc>
        <w:tc>
          <w:tcPr>
            <w:tcW w:w="1275" w:type="dxa"/>
            <w:gridSpan w:val="2"/>
            <w:tcBorders>
              <w:top w:val="single" w:sz="4" w:space="0" w:color="auto"/>
              <w:left w:val="single" w:sz="4" w:space="0" w:color="auto"/>
              <w:bottom w:val="single" w:sz="4" w:space="0" w:color="auto"/>
              <w:right w:val="single" w:sz="4" w:space="0" w:color="auto"/>
            </w:tcBorders>
            <w:vAlign w:val="center"/>
          </w:tcPr>
          <w:p w14:paraId="005F336A" w14:textId="77777777" w:rsidR="00B80C96" w:rsidRPr="00857867" w:rsidRDefault="00B80C96" w:rsidP="00B80C96">
            <w:pPr>
              <w:spacing w:after="0" w:line="240" w:lineRule="auto"/>
              <w:jc w:val="center"/>
              <w:rPr>
                <w:rFonts w:ascii="Times New Roman" w:hAnsi="Times New Roman"/>
                <w:sz w:val="20"/>
                <w:szCs w:val="20"/>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F440C7F" w14:textId="77777777" w:rsidR="00B80C96" w:rsidRPr="00857867" w:rsidRDefault="00B80C96" w:rsidP="00B80C96">
            <w:pPr>
              <w:spacing w:after="0" w:line="240" w:lineRule="auto"/>
              <w:jc w:val="both"/>
              <w:rPr>
                <w:rFonts w:ascii="Times New Roman" w:hAnsi="Times New Roman"/>
                <w:sz w:val="20"/>
                <w:szCs w:val="20"/>
              </w:rPr>
            </w:pPr>
          </w:p>
        </w:tc>
        <w:tc>
          <w:tcPr>
            <w:tcW w:w="748" w:type="dxa"/>
            <w:tcBorders>
              <w:top w:val="single" w:sz="4" w:space="0" w:color="auto"/>
              <w:left w:val="single" w:sz="4" w:space="0" w:color="auto"/>
              <w:bottom w:val="single" w:sz="4" w:space="0" w:color="auto"/>
              <w:right w:val="single" w:sz="4" w:space="0" w:color="auto"/>
            </w:tcBorders>
          </w:tcPr>
          <w:p w14:paraId="50A05DAC" w14:textId="77777777" w:rsidR="00B80C96" w:rsidRPr="00857867" w:rsidRDefault="00B80C96" w:rsidP="00B80C96">
            <w:pPr>
              <w:spacing w:after="0" w:line="240" w:lineRule="auto"/>
              <w:rPr>
                <w:rFonts w:ascii="Times New Roman" w:hAnsi="Times New Roman"/>
                <w:sz w:val="20"/>
                <w:szCs w:val="20"/>
              </w:rPr>
            </w:pPr>
          </w:p>
        </w:tc>
      </w:tr>
      <w:tr w:rsidR="00D75D2E" w:rsidRPr="00420C1B" w14:paraId="62BF01B8" w14:textId="77777777" w:rsidTr="007108ED">
        <w:trPr>
          <w:trHeight w:val="1281"/>
          <w:jc w:val="center"/>
        </w:trPr>
        <w:tc>
          <w:tcPr>
            <w:tcW w:w="1794" w:type="dxa"/>
            <w:gridSpan w:val="3"/>
            <w:vMerge/>
            <w:tcBorders>
              <w:top w:val="single" w:sz="4" w:space="0" w:color="auto"/>
              <w:left w:val="single" w:sz="4" w:space="0" w:color="auto"/>
              <w:bottom w:val="single" w:sz="4" w:space="0" w:color="auto"/>
              <w:right w:val="single" w:sz="4" w:space="0" w:color="auto"/>
            </w:tcBorders>
            <w:vAlign w:val="center"/>
            <w:hideMark/>
          </w:tcPr>
          <w:p w14:paraId="496DA715" w14:textId="77777777" w:rsidR="00ED17F3" w:rsidRPr="00857867" w:rsidRDefault="00ED17F3" w:rsidP="007108ED">
            <w:pPr>
              <w:spacing w:after="0" w:line="256" w:lineRule="auto"/>
              <w:rPr>
                <w:rFonts w:ascii="Times New Roman" w:hAnsi="Times New Roman"/>
                <w:b/>
                <w:sz w:val="20"/>
                <w:szCs w:val="20"/>
              </w:rPr>
            </w:pPr>
          </w:p>
        </w:tc>
        <w:tc>
          <w:tcPr>
            <w:tcW w:w="1058" w:type="dxa"/>
            <w:gridSpan w:val="2"/>
            <w:tcBorders>
              <w:top w:val="single" w:sz="4" w:space="0" w:color="auto"/>
              <w:left w:val="single" w:sz="4" w:space="0" w:color="auto"/>
              <w:bottom w:val="single" w:sz="4" w:space="0" w:color="auto"/>
              <w:right w:val="single" w:sz="4" w:space="0" w:color="auto"/>
            </w:tcBorders>
            <w:hideMark/>
          </w:tcPr>
          <w:p w14:paraId="0EAFB244" w14:textId="77777777" w:rsidR="00ED17F3" w:rsidRPr="00857867" w:rsidRDefault="00ED17F3"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247" w:type="dxa"/>
            <w:gridSpan w:val="12"/>
            <w:tcBorders>
              <w:top w:val="single" w:sz="4" w:space="0" w:color="auto"/>
              <w:left w:val="single" w:sz="4" w:space="0" w:color="auto"/>
              <w:bottom w:val="single" w:sz="4" w:space="0" w:color="auto"/>
              <w:right w:val="single" w:sz="4" w:space="0" w:color="auto"/>
            </w:tcBorders>
            <w:hideMark/>
          </w:tcPr>
          <w:p w14:paraId="055681D2" w14:textId="044AEFDB" w:rsidR="00ED17F3" w:rsidRPr="00857867" w:rsidRDefault="00D73638" w:rsidP="0053322D">
            <w:pPr>
              <w:spacing w:after="0" w:line="240" w:lineRule="auto"/>
              <w:jc w:val="both"/>
              <w:rPr>
                <w:rFonts w:ascii="Times New Roman" w:eastAsia="Times New Roman" w:hAnsi="Times New Roman"/>
                <w:bCs/>
                <w:sz w:val="20"/>
                <w:szCs w:val="20"/>
              </w:rPr>
            </w:pPr>
            <w:r w:rsidRPr="00857867">
              <w:rPr>
                <w:rFonts w:ascii="Times New Roman" w:eastAsia="Times New Roman" w:hAnsi="Times New Roman"/>
                <w:bCs/>
                <w:sz w:val="20"/>
                <w:szCs w:val="20"/>
              </w:rPr>
              <w:t>Certaines parties de la zone d’étude connaissent déjà de forte d’érosion. Ainsi, l</w:t>
            </w:r>
            <w:r w:rsidR="00B80C96" w:rsidRPr="00857867">
              <w:rPr>
                <w:rFonts w:ascii="Times New Roman" w:eastAsia="Times New Roman" w:hAnsi="Times New Roman"/>
                <w:bCs/>
                <w:sz w:val="20"/>
                <w:szCs w:val="20"/>
              </w:rPr>
              <w:t xml:space="preserve">es travaux de terrassements généraux (fouille, déblai et remblai) et coulage de béton pour l’installation des poteaux </w:t>
            </w:r>
            <w:r w:rsidR="00070EB9" w:rsidRPr="00857867">
              <w:rPr>
                <w:rFonts w:ascii="Times New Roman" w:eastAsia="Times New Roman" w:hAnsi="Times New Roman"/>
                <w:bCs/>
                <w:sz w:val="20"/>
                <w:szCs w:val="20"/>
              </w:rPr>
              <w:t xml:space="preserve">et cabines </w:t>
            </w:r>
            <w:r w:rsidR="00B80C96" w:rsidRPr="00857867">
              <w:rPr>
                <w:rFonts w:ascii="Times New Roman" w:eastAsia="Times New Roman" w:hAnsi="Times New Roman"/>
                <w:bCs/>
                <w:sz w:val="20"/>
                <w:szCs w:val="20"/>
              </w:rPr>
              <w:t>électriques</w:t>
            </w:r>
            <w:r w:rsidR="0053322D" w:rsidRPr="00857867">
              <w:rPr>
                <w:rFonts w:ascii="Times New Roman" w:eastAsia="Times New Roman" w:hAnsi="Times New Roman"/>
                <w:bCs/>
                <w:sz w:val="20"/>
                <w:szCs w:val="20"/>
              </w:rPr>
              <w:t xml:space="preserve"> et l’exploitation des emprunts</w:t>
            </w:r>
            <w:r w:rsidR="00B80C96" w:rsidRPr="00857867">
              <w:rPr>
                <w:rFonts w:ascii="Times New Roman" w:eastAsia="Times New Roman" w:hAnsi="Times New Roman"/>
                <w:bCs/>
                <w:sz w:val="20"/>
                <w:szCs w:val="20"/>
              </w:rPr>
              <w:t xml:space="preserve"> </w:t>
            </w:r>
            <w:r w:rsidRPr="00857867">
              <w:rPr>
                <w:rFonts w:ascii="Times New Roman" w:eastAsia="Times New Roman" w:hAnsi="Times New Roman"/>
                <w:bCs/>
                <w:sz w:val="20"/>
                <w:szCs w:val="20"/>
              </w:rPr>
              <w:t>contribueront à</w:t>
            </w:r>
            <w:r w:rsidR="00B80C96" w:rsidRPr="00857867">
              <w:rPr>
                <w:rFonts w:ascii="Times New Roman" w:eastAsia="Times New Roman" w:hAnsi="Times New Roman"/>
                <w:bCs/>
                <w:sz w:val="20"/>
                <w:szCs w:val="20"/>
              </w:rPr>
              <w:t xml:space="preserve"> </w:t>
            </w:r>
            <w:r w:rsidRPr="00857867">
              <w:rPr>
                <w:rFonts w:ascii="Times New Roman" w:eastAsia="Times New Roman" w:hAnsi="Times New Roman"/>
                <w:bCs/>
                <w:sz w:val="20"/>
                <w:szCs w:val="20"/>
              </w:rPr>
              <w:t>l’accélération de l’</w:t>
            </w:r>
            <w:r w:rsidR="009B58E7" w:rsidRPr="00857867">
              <w:rPr>
                <w:rFonts w:ascii="Times New Roman" w:eastAsia="Times New Roman" w:hAnsi="Times New Roman"/>
                <w:bCs/>
                <w:sz w:val="20"/>
                <w:szCs w:val="20"/>
              </w:rPr>
              <w:t>érosion</w:t>
            </w:r>
            <w:r w:rsidRPr="00857867">
              <w:rPr>
                <w:rFonts w:ascii="Times New Roman" w:eastAsia="Times New Roman" w:hAnsi="Times New Roman"/>
                <w:bCs/>
                <w:sz w:val="20"/>
                <w:szCs w:val="20"/>
              </w:rPr>
              <w:t>.</w:t>
            </w:r>
            <w:r w:rsidR="00775F91">
              <w:rPr>
                <w:rFonts w:ascii="Times New Roman" w:eastAsia="Times New Roman" w:hAnsi="Times New Roman"/>
                <w:bCs/>
                <w:sz w:val="20"/>
                <w:szCs w:val="20"/>
              </w:rPr>
              <w:t xml:space="preserve"> A cela il aura </w:t>
            </w:r>
            <w:r w:rsidR="00775F91" w:rsidRPr="00420C1B">
              <w:t>des dommages aux tiers susceptibles d’être causes par les travaux de terrassement.</w:t>
            </w:r>
            <w:r w:rsidRPr="00857867">
              <w:rPr>
                <w:rFonts w:ascii="Times New Roman" w:eastAsia="Times New Roman" w:hAnsi="Times New Roman"/>
                <w:bCs/>
                <w:sz w:val="20"/>
                <w:szCs w:val="20"/>
              </w:rPr>
              <w:t xml:space="preserve"> </w:t>
            </w:r>
            <w:r w:rsidR="00ED17F3" w:rsidRPr="00857867">
              <w:rPr>
                <w:rFonts w:ascii="Times New Roman" w:eastAsia="Times New Roman" w:hAnsi="Times New Roman"/>
                <w:bCs/>
                <w:sz w:val="20"/>
                <w:szCs w:val="20"/>
              </w:rPr>
              <w:t>La mise en œuvre du projet doit prêter une attention particulière à la question d’érosion</w:t>
            </w:r>
            <w:r w:rsidR="00ED17F3" w:rsidRPr="00857867">
              <w:rPr>
                <w:rFonts w:ascii="Times New Roman" w:hAnsi="Times New Roman"/>
                <w:sz w:val="20"/>
                <w:szCs w:val="20"/>
              </w:rPr>
              <w:t xml:space="preserve">. </w:t>
            </w:r>
            <w:r w:rsidR="00ED17F3" w:rsidRPr="00857867">
              <w:rPr>
                <w:rFonts w:ascii="Times New Roman" w:eastAsia="Times New Roman" w:hAnsi="Times New Roman"/>
                <w:bCs/>
                <w:sz w:val="20"/>
                <w:szCs w:val="20"/>
              </w:rPr>
              <w:t>Ces effets négatifs sur le sol seront néanmoins localisés aux alentours du chantier sur une durée relativement courte. Cet impact sera donc d’importance moyenne.</w:t>
            </w:r>
          </w:p>
        </w:tc>
      </w:tr>
      <w:tr w:rsidR="00D75D2E" w:rsidRPr="00420C1B" w14:paraId="3648145E" w14:textId="77777777" w:rsidTr="00B80C96">
        <w:trPr>
          <w:trHeight w:val="252"/>
          <w:jc w:val="center"/>
        </w:trPr>
        <w:tc>
          <w:tcPr>
            <w:tcW w:w="3964" w:type="dxa"/>
            <w:gridSpan w:val="7"/>
            <w:tcBorders>
              <w:top w:val="single" w:sz="4" w:space="0" w:color="auto"/>
              <w:left w:val="single" w:sz="4" w:space="0" w:color="auto"/>
              <w:bottom w:val="single" w:sz="4" w:space="0" w:color="auto"/>
              <w:right w:val="single" w:sz="4" w:space="0" w:color="auto"/>
            </w:tcBorders>
            <w:hideMark/>
          </w:tcPr>
          <w:p w14:paraId="54B1E508" w14:textId="77777777" w:rsidR="00ED17F3" w:rsidRPr="00857867" w:rsidRDefault="00ED17F3"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6135" w:type="dxa"/>
            <w:gridSpan w:val="10"/>
            <w:tcBorders>
              <w:top w:val="single" w:sz="4" w:space="0" w:color="auto"/>
              <w:left w:val="single" w:sz="4" w:space="0" w:color="auto"/>
              <w:bottom w:val="single" w:sz="4" w:space="0" w:color="auto"/>
              <w:right w:val="single" w:sz="4" w:space="0" w:color="auto"/>
            </w:tcBorders>
            <w:hideMark/>
          </w:tcPr>
          <w:p w14:paraId="47AC410B" w14:textId="77777777" w:rsidR="00ED17F3" w:rsidRPr="00857867" w:rsidRDefault="00ED17F3" w:rsidP="007108ED">
            <w:pPr>
              <w:spacing w:after="0" w:line="240" w:lineRule="auto"/>
              <w:contextualSpacing/>
              <w:rPr>
                <w:rFonts w:ascii="Times New Roman" w:hAnsi="Times New Roman"/>
                <w:sz w:val="20"/>
                <w:szCs w:val="20"/>
              </w:rPr>
            </w:pPr>
            <w:r w:rsidRPr="00857867">
              <w:rPr>
                <w:rFonts w:ascii="Times New Roman" w:hAnsi="Times New Roman"/>
                <w:sz w:val="20"/>
                <w:szCs w:val="20"/>
              </w:rPr>
              <w:t xml:space="preserve"> Stabilisation des sols </w:t>
            </w:r>
          </w:p>
        </w:tc>
      </w:tr>
      <w:tr w:rsidR="00D75D2E" w:rsidRPr="00420C1B" w14:paraId="191E07DC" w14:textId="77777777" w:rsidTr="00B80C96">
        <w:trPr>
          <w:trHeight w:val="2333"/>
          <w:jc w:val="center"/>
        </w:trPr>
        <w:tc>
          <w:tcPr>
            <w:tcW w:w="3964" w:type="dxa"/>
            <w:gridSpan w:val="7"/>
            <w:tcBorders>
              <w:top w:val="single" w:sz="4" w:space="0" w:color="auto"/>
              <w:left w:val="single" w:sz="4" w:space="0" w:color="auto"/>
              <w:bottom w:val="single" w:sz="4" w:space="0" w:color="auto"/>
              <w:right w:val="single" w:sz="4" w:space="0" w:color="auto"/>
            </w:tcBorders>
            <w:hideMark/>
          </w:tcPr>
          <w:p w14:paraId="06423E08"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 Minimiser l’impact du projet sur l’érosion des sols.</w:t>
            </w:r>
          </w:p>
        </w:tc>
        <w:tc>
          <w:tcPr>
            <w:tcW w:w="6135" w:type="dxa"/>
            <w:gridSpan w:val="10"/>
            <w:tcBorders>
              <w:top w:val="single" w:sz="4" w:space="0" w:color="auto"/>
              <w:left w:val="single" w:sz="4" w:space="0" w:color="auto"/>
              <w:bottom w:val="single" w:sz="4" w:space="0" w:color="auto"/>
              <w:right w:val="single" w:sz="4" w:space="0" w:color="auto"/>
            </w:tcBorders>
            <w:hideMark/>
          </w:tcPr>
          <w:p w14:paraId="36527141"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13CF94DF" w14:textId="77777777" w:rsidR="00ED17F3" w:rsidRPr="00857867" w:rsidRDefault="00070EB9" w:rsidP="008C79F0">
            <w:pPr>
              <w:numPr>
                <w:ilvl w:val="0"/>
                <w:numId w:val="32"/>
              </w:numPr>
              <w:autoSpaceDE w:val="0"/>
              <w:autoSpaceDN w:val="0"/>
              <w:adjustRightInd w:val="0"/>
              <w:spacing w:after="0" w:line="240" w:lineRule="auto"/>
              <w:ind w:left="174" w:hanging="174"/>
              <w:jc w:val="both"/>
              <w:rPr>
                <w:rFonts w:ascii="Times New Roman" w:hAnsi="Times New Roman"/>
                <w:sz w:val="20"/>
                <w:szCs w:val="20"/>
              </w:rPr>
            </w:pPr>
            <w:r w:rsidRPr="00857867">
              <w:rPr>
                <w:rFonts w:ascii="Times New Roman" w:hAnsi="Times New Roman"/>
                <w:sz w:val="20"/>
                <w:szCs w:val="20"/>
              </w:rPr>
              <w:t>éviter les travaux de t</w:t>
            </w:r>
            <w:r w:rsidR="00ED17F3" w:rsidRPr="00857867">
              <w:rPr>
                <w:rFonts w:ascii="Times New Roman" w:hAnsi="Times New Roman"/>
                <w:sz w:val="20"/>
                <w:szCs w:val="20"/>
              </w:rPr>
              <w:t>errassement et coulage de béton et de creusage en période pluvieuse ;</w:t>
            </w:r>
          </w:p>
          <w:p w14:paraId="1D8EE2B7" w14:textId="77777777" w:rsidR="00ED17F3" w:rsidRPr="00857867" w:rsidRDefault="00070EB9" w:rsidP="008C79F0">
            <w:pPr>
              <w:numPr>
                <w:ilvl w:val="0"/>
                <w:numId w:val="32"/>
              </w:numPr>
              <w:autoSpaceDE w:val="0"/>
              <w:autoSpaceDN w:val="0"/>
              <w:adjustRightInd w:val="0"/>
              <w:spacing w:after="0" w:line="240" w:lineRule="auto"/>
              <w:ind w:left="174" w:hanging="174"/>
              <w:jc w:val="both"/>
              <w:rPr>
                <w:rFonts w:ascii="Times New Roman" w:hAnsi="Times New Roman"/>
                <w:sz w:val="20"/>
                <w:szCs w:val="20"/>
              </w:rPr>
            </w:pPr>
            <w:r w:rsidRPr="00857867">
              <w:rPr>
                <w:rFonts w:ascii="Times New Roman" w:hAnsi="Times New Roman"/>
                <w:sz w:val="20"/>
                <w:szCs w:val="20"/>
              </w:rPr>
              <w:t>s</w:t>
            </w:r>
            <w:r w:rsidR="00ED17F3" w:rsidRPr="00857867">
              <w:rPr>
                <w:rFonts w:ascii="Times New Roman" w:hAnsi="Times New Roman"/>
                <w:sz w:val="20"/>
                <w:szCs w:val="20"/>
              </w:rPr>
              <w:t>tabiliser le sol mécaniquement pour réduire le risque d’érosion et prévoir la restauration des sites après les travaux ;</w:t>
            </w:r>
          </w:p>
          <w:p w14:paraId="0D9C46B3" w14:textId="77777777" w:rsidR="00ED17F3" w:rsidRPr="00857867" w:rsidRDefault="00070EB9" w:rsidP="008C79F0">
            <w:pPr>
              <w:numPr>
                <w:ilvl w:val="0"/>
                <w:numId w:val="32"/>
              </w:numPr>
              <w:autoSpaceDE w:val="0"/>
              <w:autoSpaceDN w:val="0"/>
              <w:adjustRightInd w:val="0"/>
              <w:spacing w:after="0" w:line="240" w:lineRule="auto"/>
              <w:ind w:left="174" w:hanging="174"/>
              <w:jc w:val="both"/>
              <w:rPr>
                <w:rFonts w:ascii="Times New Roman" w:hAnsi="Times New Roman"/>
                <w:sz w:val="20"/>
                <w:szCs w:val="20"/>
              </w:rPr>
            </w:pPr>
            <w:r w:rsidRPr="00857867">
              <w:rPr>
                <w:rFonts w:ascii="Times New Roman" w:hAnsi="Times New Roman"/>
                <w:sz w:val="20"/>
                <w:szCs w:val="20"/>
              </w:rPr>
              <w:t>l</w:t>
            </w:r>
            <w:r w:rsidR="00ED17F3" w:rsidRPr="00857867">
              <w:rPr>
                <w:rFonts w:ascii="Times New Roman" w:hAnsi="Times New Roman"/>
                <w:sz w:val="20"/>
                <w:szCs w:val="20"/>
              </w:rPr>
              <w:t>imiter la perte du couvert végétal surtout au niveau des berges et dans les zones accidentées ;</w:t>
            </w:r>
          </w:p>
          <w:p w14:paraId="3F50E7B1" w14:textId="77777777" w:rsidR="00ED17F3" w:rsidRPr="00857867" w:rsidRDefault="00070EB9" w:rsidP="008C79F0">
            <w:pPr>
              <w:numPr>
                <w:ilvl w:val="0"/>
                <w:numId w:val="32"/>
              </w:numPr>
              <w:autoSpaceDE w:val="0"/>
              <w:autoSpaceDN w:val="0"/>
              <w:adjustRightInd w:val="0"/>
              <w:spacing w:after="0" w:line="240" w:lineRule="auto"/>
              <w:ind w:left="174" w:hanging="174"/>
              <w:jc w:val="both"/>
              <w:rPr>
                <w:rFonts w:ascii="Times New Roman" w:hAnsi="Times New Roman"/>
                <w:sz w:val="20"/>
                <w:szCs w:val="20"/>
              </w:rPr>
            </w:pPr>
            <w:r w:rsidRPr="00857867">
              <w:rPr>
                <w:rFonts w:ascii="Times New Roman" w:hAnsi="Times New Roman"/>
                <w:sz w:val="20"/>
                <w:szCs w:val="20"/>
              </w:rPr>
              <w:t>é</w:t>
            </w:r>
            <w:r w:rsidR="00ED17F3" w:rsidRPr="00857867">
              <w:rPr>
                <w:rFonts w:ascii="Times New Roman" w:hAnsi="Times New Roman"/>
                <w:sz w:val="20"/>
                <w:szCs w:val="20"/>
              </w:rPr>
              <w:t>viter les installations de poteaux électriques et de cabines sur des terrains instables (déjà fragilisés par l’érosion)</w:t>
            </w:r>
            <w:r w:rsidR="00456112" w:rsidRPr="00857867">
              <w:rPr>
                <w:rFonts w:ascii="Times New Roman" w:hAnsi="Times New Roman"/>
                <w:sz w:val="20"/>
                <w:szCs w:val="20"/>
              </w:rPr>
              <w:t> ;</w:t>
            </w:r>
          </w:p>
          <w:p w14:paraId="1DD540A7" w14:textId="77777777" w:rsidR="00456112" w:rsidRPr="00857867" w:rsidRDefault="00070EB9" w:rsidP="008C79F0">
            <w:pPr>
              <w:numPr>
                <w:ilvl w:val="0"/>
                <w:numId w:val="32"/>
              </w:numPr>
              <w:autoSpaceDE w:val="0"/>
              <w:autoSpaceDN w:val="0"/>
              <w:adjustRightInd w:val="0"/>
              <w:spacing w:after="0" w:line="240" w:lineRule="auto"/>
              <w:ind w:left="174" w:hanging="174"/>
              <w:jc w:val="both"/>
              <w:rPr>
                <w:rFonts w:ascii="Times New Roman" w:hAnsi="Times New Roman"/>
                <w:sz w:val="20"/>
                <w:szCs w:val="20"/>
              </w:rPr>
            </w:pPr>
            <w:r w:rsidRPr="00857867">
              <w:rPr>
                <w:rFonts w:ascii="Times New Roman" w:hAnsi="Times New Roman"/>
                <w:sz w:val="20"/>
                <w:szCs w:val="20"/>
              </w:rPr>
              <w:t>r</w:t>
            </w:r>
            <w:r w:rsidR="00456112" w:rsidRPr="00857867">
              <w:rPr>
                <w:rFonts w:ascii="Times New Roman" w:hAnsi="Times New Roman"/>
                <w:sz w:val="20"/>
                <w:szCs w:val="20"/>
              </w:rPr>
              <w:t>estaurer les zones d’emprunts</w:t>
            </w:r>
            <w:r w:rsidR="003A5F81" w:rsidRPr="00857867">
              <w:rPr>
                <w:rFonts w:ascii="Times New Roman" w:hAnsi="Times New Roman"/>
                <w:sz w:val="20"/>
                <w:szCs w:val="20"/>
              </w:rPr>
              <w:t xml:space="preserve"> après les travaux</w:t>
            </w:r>
            <w:r w:rsidR="00456112" w:rsidRPr="00857867">
              <w:rPr>
                <w:rFonts w:ascii="Times New Roman" w:hAnsi="Times New Roman"/>
                <w:sz w:val="20"/>
                <w:szCs w:val="20"/>
              </w:rPr>
              <w:t>.</w:t>
            </w:r>
          </w:p>
        </w:tc>
      </w:tr>
      <w:tr w:rsidR="00D75D2E" w:rsidRPr="00420C1B" w14:paraId="033C5B6F" w14:textId="77777777" w:rsidTr="00B80C96">
        <w:trPr>
          <w:trHeight w:val="505"/>
          <w:jc w:val="center"/>
        </w:trPr>
        <w:tc>
          <w:tcPr>
            <w:tcW w:w="3964" w:type="dxa"/>
            <w:gridSpan w:val="7"/>
            <w:tcBorders>
              <w:top w:val="single" w:sz="4" w:space="0" w:color="auto"/>
              <w:left w:val="single" w:sz="4" w:space="0" w:color="auto"/>
              <w:bottom w:val="single" w:sz="4" w:space="0" w:color="auto"/>
              <w:right w:val="single" w:sz="4" w:space="0" w:color="auto"/>
            </w:tcBorders>
            <w:hideMark/>
          </w:tcPr>
          <w:p w14:paraId="30203773"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Impact résiduel</w:t>
            </w:r>
          </w:p>
        </w:tc>
        <w:tc>
          <w:tcPr>
            <w:tcW w:w="6135" w:type="dxa"/>
            <w:gridSpan w:val="10"/>
            <w:tcBorders>
              <w:top w:val="single" w:sz="4" w:space="0" w:color="auto"/>
              <w:left w:val="single" w:sz="4" w:space="0" w:color="auto"/>
              <w:bottom w:val="single" w:sz="4" w:space="0" w:color="auto"/>
              <w:right w:val="single" w:sz="4" w:space="0" w:color="auto"/>
            </w:tcBorders>
            <w:hideMark/>
          </w:tcPr>
          <w:p w14:paraId="5EFBF6EA" w14:textId="77777777" w:rsidR="00ED17F3" w:rsidRPr="00857867" w:rsidRDefault="00ED17F3" w:rsidP="007108ED">
            <w:pPr>
              <w:autoSpaceDE w:val="0"/>
              <w:autoSpaceDN w:val="0"/>
              <w:adjustRightInd w:val="0"/>
              <w:spacing w:after="0" w:line="240" w:lineRule="auto"/>
              <w:rPr>
                <w:rFonts w:ascii="Times New Roman" w:hAnsi="Times New Roman"/>
                <w:b/>
                <w:sz w:val="20"/>
                <w:szCs w:val="20"/>
              </w:rPr>
            </w:pPr>
            <w:r w:rsidRPr="00857867">
              <w:rPr>
                <w:rFonts w:ascii="Times New Roman" w:hAnsi="Times New Roman"/>
                <w:sz w:val="20"/>
                <w:szCs w:val="20"/>
              </w:rPr>
              <w:t>L’application de ces mesures d’atténuation devrait permettre de réduire l’importance de l’impact à mineure</w:t>
            </w:r>
          </w:p>
        </w:tc>
      </w:tr>
      <w:tr w:rsidR="00D75D2E" w:rsidRPr="00420C1B" w14:paraId="00267935" w14:textId="77777777" w:rsidTr="0053322D">
        <w:trPr>
          <w:trHeight w:val="1139"/>
          <w:jc w:val="center"/>
        </w:trPr>
        <w:tc>
          <w:tcPr>
            <w:tcW w:w="2589" w:type="dxa"/>
            <w:gridSpan w:val="4"/>
            <w:tcBorders>
              <w:top w:val="single" w:sz="4" w:space="0" w:color="auto"/>
              <w:left w:val="single" w:sz="4" w:space="0" w:color="auto"/>
              <w:bottom w:val="single" w:sz="4" w:space="0" w:color="auto"/>
              <w:right w:val="single" w:sz="4" w:space="0" w:color="auto"/>
            </w:tcBorders>
            <w:hideMark/>
          </w:tcPr>
          <w:p w14:paraId="3D8C5E6E" w14:textId="77777777" w:rsidR="0053322D" w:rsidRPr="00857867" w:rsidRDefault="0053322D"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4D0F8924" w14:textId="77777777" w:rsidR="0053322D" w:rsidRPr="00857867" w:rsidRDefault="0053322D"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MdC ;</w:t>
            </w:r>
          </w:p>
          <w:p w14:paraId="680CF920" w14:textId="77777777" w:rsidR="0053322D" w:rsidRPr="00857867" w:rsidRDefault="0053322D"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ACE ;</w:t>
            </w:r>
          </w:p>
          <w:p w14:paraId="54BE32AA" w14:textId="77777777" w:rsidR="0053322D" w:rsidRPr="00857867" w:rsidRDefault="0053322D"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BUE. </w:t>
            </w:r>
          </w:p>
        </w:tc>
        <w:tc>
          <w:tcPr>
            <w:tcW w:w="2712" w:type="dxa"/>
            <w:gridSpan w:val="6"/>
            <w:tcBorders>
              <w:top w:val="single" w:sz="4" w:space="0" w:color="auto"/>
              <w:left w:val="single" w:sz="4" w:space="0" w:color="auto"/>
              <w:bottom w:val="single" w:sz="4" w:space="0" w:color="auto"/>
              <w:right w:val="single" w:sz="4" w:space="0" w:color="auto"/>
            </w:tcBorders>
            <w:hideMark/>
          </w:tcPr>
          <w:p w14:paraId="1FAA8F22" w14:textId="77777777" w:rsidR="0053322D" w:rsidRPr="00857867" w:rsidRDefault="0053322D"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6D41C9FD" w14:textId="77777777" w:rsidR="0053322D" w:rsidRPr="00857867" w:rsidRDefault="0053322D"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0FEEE96C" w14:textId="77777777" w:rsidR="0053322D" w:rsidRPr="00857867" w:rsidRDefault="0053322D"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5B7D871C" w14:textId="77777777" w:rsidR="0053322D" w:rsidRPr="00857867" w:rsidRDefault="0053322D"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4798" w:type="dxa"/>
            <w:gridSpan w:val="7"/>
            <w:tcBorders>
              <w:top w:val="single" w:sz="4" w:space="0" w:color="auto"/>
              <w:left w:val="single" w:sz="4" w:space="0" w:color="auto"/>
              <w:bottom w:val="single" w:sz="4" w:space="0" w:color="auto"/>
              <w:right w:val="single" w:sz="4" w:space="0" w:color="auto"/>
            </w:tcBorders>
            <w:hideMark/>
          </w:tcPr>
          <w:p w14:paraId="79B523D2" w14:textId="77777777" w:rsidR="0053322D" w:rsidRPr="00857867" w:rsidRDefault="0053322D"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 xml:space="preserve">Indicateurs de suivi </w:t>
            </w:r>
          </w:p>
          <w:p w14:paraId="352C29A6" w14:textId="77777777" w:rsidR="0053322D" w:rsidRPr="00857867" w:rsidRDefault="0053322D" w:rsidP="008C79F0">
            <w:pPr>
              <w:numPr>
                <w:ilvl w:val="0"/>
                <w:numId w:val="48"/>
              </w:numPr>
              <w:autoSpaceDE w:val="0"/>
              <w:autoSpaceDN w:val="0"/>
              <w:adjustRightInd w:val="0"/>
              <w:spacing w:after="0" w:line="240" w:lineRule="auto"/>
              <w:ind w:left="181" w:hanging="181"/>
              <w:contextualSpacing/>
              <w:jc w:val="both"/>
              <w:rPr>
                <w:rFonts w:ascii="Times New Roman" w:hAnsi="Times New Roman"/>
                <w:sz w:val="20"/>
                <w:szCs w:val="20"/>
              </w:rPr>
            </w:pPr>
            <w:r w:rsidRPr="00857867">
              <w:rPr>
                <w:rFonts w:ascii="Times New Roman" w:hAnsi="Times New Roman"/>
                <w:sz w:val="20"/>
                <w:szCs w:val="20"/>
              </w:rPr>
              <w:t>PV de restauration des sites après les travaux ;</w:t>
            </w:r>
          </w:p>
          <w:p w14:paraId="7A46909B" w14:textId="77777777" w:rsidR="0053322D" w:rsidRPr="00857867" w:rsidRDefault="0053322D" w:rsidP="008C79F0">
            <w:pPr>
              <w:numPr>
                <w:ilvl w:val="0"/>
                <w:numId w:val="48"/>
              </w:numPr>
              <w:autoSpaceDE w:val="0"/>
              <w:autoSpaceDN w:val="0"/>
              <w:adjustRightInd w:val="0"/>
              <w:spacing w:after="0" w:line="240" w:lineRule="auto"/>
              <w:ind w:left="181" w:hanging="181"/>
              <w:contextualSpacing/>
              <w:jc w:val="both"/>
              <w:rPr>
                <w:rFonts w:ascii="Times New Roman" w:hAnsi="Times New Roman"/>
                <w:sz w:val="20"/>
                <w:szCs w:val="20"/>
              </w:rPr>
            </w:pPr>
            <w:r w:rsidRPr="00857867">
              <w:rPr>
                <w:rFonts w:ascii="Times New Roman" w:hAnsi="Times New Roman"/>
                <w:sz w:val="20"/>
                <w:szCs w:val="20"/>
              </w:rPr>
              <w:t>Aucune trace d’érosion observée au niveau des sites d’implantation des poteaux ou des cabines.</w:t>
            </w:r>
          </w:p>
        </w:tc>
      </w:tr>
      <w:tr w:rsidR="00D75D2E" w:rsidRPr="00420C1B" w14:paraId="27A7A3BD" w14:textId="77777777" w:rsidTr="00E737B4">
        <w:trPr>
          <w:gridBefore w:val="1"/>
          <w:wBefore w:w="17" w:type="dxa"/>
          <w:trHeight w:val="639"/>
          <w:jc w:val="center"/>
        </w:trPr>
        <w:tc>
          <w:tcPr>
            <w:tcW w:w="1678" w:type="dxa"/>
            <w:tcBorders>
              <w:top w:val="single" w:sz="4" w:space="0" w:color="auto"/>
              <w:left w:val="single" w:sz="4" w:space="0" w:color="auto"/>
              <w:bottom w:val="single" w:sz="4" w:space="0" w:color="auto"/>
              <w:right w:val="single" w:sz="4" w:space="0" w:color="auto"/>
            </w:tcBorders>
            <w:hideMark/>
          </w:tcPr>
          <w:p w14:paraId="5F04932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894" w:type="dxa"/>
            <w:gridSpan w:val="2"/>
            <w:tcBorders>
              <w:top w:val="single" w:sz="4" w:space="0" w:color="auto"/>
              <w:left w:val="single" w:sz="4" w:space="0" w:color="auto"/>
              <w:bottom w:val="single" w:sz="4" w:space="0" w:color="auto"/>
              <w:right w:val="single" w:sz="4" w:space="0" w:color="auto"/>
            </w:tcBorders>
            <w:hideMark/>
          </w:tcPr>
          <w:p w14:paraId="4D8D77FD"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187" w:type="dxa"/>
            <w:gridSpan w:val="2"/>
            <w:tcBorders>
              <w:top w:val="single" w:sz="4" w:space="0" w:color="auto"/>
              <w:left w:val="single" w:sz="4" w:space="0" w:color="auto"/>
              <w:bottom w:val="single" w:sz="4" w:space="0" w:color="auto"/>
              <w:right w:val="single" w:sz="4" w:space="0" w:color="auto"/>
            </w:tcBorders>
          </w:tcPr>
          <w:p w14:paraId="4740F7B5"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226BA995"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010" w:type="dxa"/>
            <w:gridSpan w:val="2"/>
            <w:tcBorders>
              <w:top w:val="single" w:sz="4" w:space="0" w:color="auto"/>
              <w:left w:val="single" w:sz="4" w:space="0" w:color="auto"/>
              <w:bottom w:val="single" w:sz="4" w:space="0" w:color="auto"/>
              <w:right w:val="single" w:sz="4" w:space="0" w:color="auto"/>
            </w:tcBorders>
          </w:tcPr>
          <w:p w14:paraId="17556FE8" w14:textId="77777777" w:rsidR="00ED17F3" w:rsidRPr="00857867" w:rsidRDefault="00ED17F3" w:rsidP="00E737B4">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162" w:type="dxa"/>
            <w:gridSpan w:val="3"/>
            <w:tcBorders>
              <w:top w:val="single" w:sz="4" w:space="0" w:color="auto"/>
              <w:left w:val="single" w:sz="4" w:space="0" w:color="auto"/>
              <w:bottom w:val="single" w:sz="4" w:space="0" w:color="auto"/>
              <w:right w:val="single" w:sz="4" w:space="0" w:color="auto"/>
            </w:tcBorders>
          </w:tcPr>
          <w:p w14:paraId="43B2C24A"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p w14:paraId="3BD474C3"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122" w:type="dxa"/>
            <w:gridSpan w:val="2"/>
            <w:tcBorders>
              <w:top w:val="single" w:sz="4" w:space="0" w:color="auto"/>
              <w:left w:val="single" w:sz="4" w:space="0" w:color="auto"/>
              <w:bottom w:val="single" w:sz="4" w:space="0" w:color="auto"/>
              <w:right w:val="single" w:sz="4" w:space="0" w:color="auto"/>
            </w:tcBorders>
          </w:tcPr>
          <w:p w14:paraId="60903B8C"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18495A7B"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p>
        </w:tc>
        <w:tc>
          <w:tcPr>
            <w:tcW w:w="1159" w:type="dxa"/>
            <w:gridSpan w:val="2"/>
            <w:tcBorders>
              <w:top w:val="single" w:sz="4" w:space="0" w:color="auto"/>
              <w:left w:val="single" w:sz="4" w:space="0" w:color="auto"/>
              <w:bottom w:val="single" w:sz="4" w:space="0" w:color="auto"/>
              <w:right w:val="single" w:sz="4" w:space="0" w:color="auto"/>
            </w:tcBorders>
            <w:hideMark/>
          </w:tcPr>
          <w:p w14:paraId="5120D46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1870" w:type="dxa"/>
            <w:gridSpan w:val="2"/>
            <w:tcBorders>
              <w:top w:val="single" w:sz="4" w:space="0" w:color="auto"/>
              <w:left w:val="single" w:sz="4" w:space="0" w:color="auto"/>
              <w:bottom w:val="single" w:sz="4" w:space="0" w:color="auto"/>
              <w:right w:val="single" w:sz="4" w:space="0" w:color="auto"/>
            </w:tcBorders>
            <w:hideMark/>
          </w:tcPr>
          <w:p w14:paraId="73809A2D"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D75D2E" w:rsidRPr="00420C1B" w14:paraId="0CD0AC3B" w14:textId="77777777" w:rsidTr="007108ED">
        <w:trPr>
          <w:gridBefore w:val="1"/>
          <w:wBefore w:w="17" w:type="dxa"/>
          <w:trHeight w:val="625"/>
          <w:jc w:val="center"/>
        </w:trPr>
        <w:tc>
          <w:tcPr>
            <w:tcW w:w="1678" w:type="dxa"/>
            <w:tcBorders>
              <w:top w:val="single" w:sz="4" w:space="0" w:color="auto"/>
              <w:left w:val="single" w:sz="4" w:space="0" w:color="auto"/>
              <w:bottom w:val="single" w:sz="4" w:space="0" w:color="auto"/>
              <w:right w:val="single" w:sz="4" w:space="0" w:color="auto"/>
            </w:tcBorders>
          </w:tcPr>
          <w:p w14:paraId="65415902" w14:textId="77777777" w:rsidR="00ED17F3" w:rsidRPr="00420C1B" w:rsidRDefault="00ED17F3" w:rsidP="0053322D">
            <w:pPr>
              <w:autoSpaceDE w:val="0"/>
              <w:autoSpaceDN w:val="0"/>
              <w:adjustRightInd w:val="0"/>
              <w:spacing w:after="0" w:line="240" w:lineRule="auto"/>
              <w:jc w:val="both"/>
              <w:rPr>
                <w:rFonts w:ascii="Times New Roman" w:hAnsi="Times New Roman"/>
                <w:sz w:val="20"/>
                <w:szCs w:val="20"/>
              </w:rPr>
            </w:pPr>
            <w:r w:rsidRPr="00420C1B">
              <w:rPr>
                <w:rFonts w:ascii="Times New Roman" w:hAnsi="Times New Roman"/>
                <w:sz w:val="20"/>
                <w:szCs w:val="20"/>
              </w:rPr>
              <w:t xml:space="preserve">Restauration des </w:t>
            </w:r>
            <w:r w:rsidR="0053322D" w:rsidRPr="00420C1B">
              <w:rPr>
                <w:rFonts w:ascii="Times New Roman" w:hAnsi="Times New Roman"/>
                <w:sz w:val="20"/>
                <w:szCs w:val="20"/>
              </w:rPr>
              <w:t xml:space="preserve">emprunts </w:t>
            </w:r>
            <w:r w:rsidRPr="00420C1B">
              <w:rPr>
                <w:rFonts w:ascii="Times New Roman" w:hAnsi="Times New Roman"/>
                <w:sz w:val="20"/>
                <w:szCs w:val="20"/>
              </w:rPr>
              <w:t>après les travaux</w:t>
            </w:r>
          </w:p>
        </w:tc>
        <w:tc>
          <w:tcPr>
            <w:tcW w:w="894" w:type="dxa"/>
            <w:gridSpan w:val="2"/>
            <w:tcBorders>
              <w:top w:val="single" w:sz="4" w:space="0" w:color="auto"/>
              <w:left w:val="single" w:sz="4" w:space="0" w:color="auto"/>
              <w:bottom w:val="single" w:sz="4" w:space="0" w:color="auto"/>
              <w:right w:val="single" w:sz="4" w:space="0" w:color="auto"/>
            </w:tcBorders>
          </w:tcPr>
          <w:p w14:paraId="17008948"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FF</w:t>
            </w:r>
          </w:p>
        </w:tc>
        <w:tc>
          <w:tcPr>
            <w:tcW w:w="1187" w:type="dxa"/>
            <w:gridSpan w:val="2"/>
            <w:tcBorders>
              <w:top w:val="single" w:sz="4" w:space="0" w:color="auto"/>
              <w:left w:val="single" w:sz="4" w:space="0" w:color="auto"/>
              <w:bottom w:val="single" w:sz="4" w:space="0" w:color="auto"/>
              <w:right w:val="single" w:sz="4" w:space="0" w:color="auto"/>
            </w:tcBorders>
          </w:tcPr>
          <w:p w14:paraId="0A9F43AF"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w:t>
            </w:r>
          </w:p>
        </w:tc>
        <w:tc>
          <w:tcPr>
            <w:tcW w:w="1010" w:type="dxa"/>
            <w:gridSpan w:val="2"/>
            <w:tcBorders>
              <w:top w:val="single" w:sz="4" w:space="0" w:color="auto"/>
              <w:left w:val="single" w:sz="4" w:space="0" w:color="auto"/>
              <w:bottom w:val="single" w:sz="4" w:space="0" w:color="auto"/>
              <w:right w:val="single" w:sz="4" w:space="0" w:color="auto"/>
            </w:tcBorders>
          </w:tcPr>
          <w:p w14:paraId="1AF450B7" w14:textId="77777777" w:rsidR="00ED17F3" w:rsidRPr="00420C1B" w:rsidRDefault="00875C40"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w:t>
            </w:r>
            <w:r w:rsidR="005B1EF8" w:rsidRPr="00420C1B">
              <w:rPr>
                <w:rFonts w:ascii="Times New Roman" w:hAnsi="Times New Roman"/>
                <w:sz w:val="20"/>
                <w:szCs w:val="20"/>
              </w:rPr>
              <w:t>00</w:t>
            </w:r>
          </w:p>
        </w:tc>
        <w:tc>
          <w:tcPr>
            <w:tcW w:w="1162" w:type="dxa"/>
            <w:gridSpan w:val="3"/>
            <w:tcBorders>
              <w:top w:val="single" w:sz="4" w:space="0" w:color="auto"/>
              <w:left w:val="single" w:sz="4" w:space="0" w:color="auto"/>
              <w:bottom w:val="single" w:sz="4" w:space="0" w:color="auto"/>
              <w:right w:val="single" w:sz="4" w:space="0" w:color="auto"/>
            </w:tcBorders>
          </w:tcPr>
          <w:p w14:paraId="29C9428A" w14:textId="77777777" w:rsidR="00ED17F3" w:rsidRPr="00420C1B" w:rsidRDefault="00875C40"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w:t>
            </w:r>
            <w:r w:rsidR="005B1EF8" w:rsidRPr="00420C1B">
              <w:rPr>
                <w:rFonts w:ascii="Times New Roman" w:hAnsi="Times New Roman"/>
                <w:sz w:val="20"/>
                <w:szCs w:val="20"/>
              </w:rPr>
              <w:t>00</w:t>
            </w:r>
          </w:p>
        </w:tc>
        <w:tc>
          <w:tcPr>
            <w:tcW w:w="1122" w:type="dxa"/>
            <w:gridSpan w:val="2"/>
            <w:tcBorders>
              <w:top w:val="single" w:sz="4" w:space="0" w:color="auto"/>
              <w:left w:val="single" w:sz="4" w:space="0" w:color="auto"/>
              <w:bottom w:val="single" w:sz="4" w:space="0" w:color="auto"/>
              <w:right w:val="single" w:sz="4" w:space="0" w:color="auto"/>
            </w:tcBorders>
          </w:tcPr>
          <w:p w14:paraId="290A7B9B"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p>
        </w:tc>
        <w:tc>
          <w:tcPr>
            <w:tcW w:w="1159" w:type="dxa"/>
            <w:gridSpan w:val="2"/>
            <w:tcBorders>
              <w:top w:val="single" w:sz="4" w:space="0" w:color="auto"/>
              <w:left w:val="single" w:sz="4" w:space="0" w:color="auto"/>
              <w:bottom w:val="single" w:sz="4" w:space="0" w:color="auto"/>
              <w:right w:val="single" w:sz="4" w:space="0" w:color="auto"/>
            </w:tcBorders>
          </w:tcPr>
          <w:p w14:paraId="1234AA20" w14:textId="77777777" w:rsidR="00ED17F3" w:rsidRPr="00420C1B" w:rsidRDefault="00875C40"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w:t>
            </w:r>
            <w:r w:rsidR="005B1EF8" w:rsidRPr="00420C1B">
              <w:rPr>
                <w:rFonts w:ascii="Times New Roman" w:hAnsi="Times New Roman"/>
                <w:sz w:val="20"/>
                <w:szCs w:val="20"/>
              </w:rPr>
              <w:t>00</w:t>
            </w:r>
          </w:p>
        </w:tc>
        <w:tc>
          <w:tcPr>
            <w:tcW w:w="1870" w:type="dxa"/>
            <w:gridSpan w:val="2"/>
            <w:tcBorders>
              <w:top w:val="single" w:sz="4" w:space="0" w:color="auto"/>
              <w:left w:val="single" w:sz="4" w:space="0" w:color="auto"/>
              <w:bottom w:val="single" w:sz="4" w:space="0" w:color="auto"/>
              <w:right w:val="single" w:sz="4" w:space="0" w:color="auto"/>
            </w:tcBorders>
          </w:tcPr>
          <w:p w14:paraId="096F45AD" w14:textId="77777777" w:rsidR="00ED17F3" w:rsidRPr="00420C1B" w:rsidRDefault="00ED17F3" w:rsidP="007108ED">
            <w:pPr>
              <w:autoSpaceDE w:val="0"/>
              <w:autoSpaceDN w:val="0"/>
              <w:adjustRightInd w:val="0"/>
              <w:spacing w:after="0" w:line="240" w:lineRule="auto"/>
              <w:jc w:val="both"/>
              <w:rPr>
                <w:rFonts w:ascii="Times New Roman" w:hAnsi="Times New Roman"/>
                <w:sz w:val="20"/>
                <w:szCs w:val="20"/>
              </w:rPr>
            </w:pPr>
            <w:r w:rsidRPr="00420C1B">
              <w:rPr>
                <w:rFonts w:ascii="Times New Roman" w:hAnsi="Times New Roman"/>
                <w:sz w:val="20"/>
                <w:szCs w:val="20"/>
              </w:rPr>
              <w:t>Pendant et après les travaux</w:t>
            </w:r>
          </w:p>
        </w:tc>
      </w:tr>
      <w:tr w:rsidR="00E5495C" w:rsidRPr="00420C1B" w14:paraId="6ABCE1DF" w14:textId="77777777" w:rsidTr="00875C40">
        <w:trPr>
          <w:gridBefore w:val="1"/>
          <w:wBefore w:w="17" w:type="dxa"/>
          <w:trHeight w:val="63"/>
          <w:jc w:val="center"/>
        </w:trPr>
        <w:tc>
          <w:tcPr>
            <w:tcW w:w="1678" w:type="dxa"/>
            <w:tcBorders>
              <w:top w:val="single" w:sz="4" w:space="0" w:color="auto"/>
              <w:left w:val="single" w:sz="4" w:space="0" w:color="auto"/>
              <w:bottom w:val="single" w:sz="4" w:space="0" w:color="auto"/>
              <w:right w:val="single" w:sz="4" w:space="0" w:color="auto"/>
            </w:tcBorders>
          </w:tcPr>
          <w:p w14:paraId="3C6C179E"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 xml:space="preserve">Total </w:t>
            </w:r>
          </w:p>
        </w:tc>
        <w:tc>
          <w:tcPr>
            <w:tcW w:w="894" w:type="dxa"/>
            <w:gridSpan w:val="2"/>
            <w:tcBorders>
              <w:top w:val="single" w:sz="4" w:space="0" w:color="auto"/>
              <w:left w:val="single" w:sz="4" w:space="0" w:color="auto"/>
              <w:bottom w:val="single" w:sz="4" w:space="0" w:color="auto"/>
              <w:right w:val="single" w:sz="4" w:space="0" w:color="auto"/>
            </w:tcBorders>
          </w:tcPr>
          <w:p w14:paraId="19D2ED7B"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p>
        </w:tc>
        <w:tc>
          <w:tcPr>
            <w:tcW w:w="1187" w:type="dxa"/>
            <w:gridSpan w:val="2"/>
            <w:tcBorders>
              <w:top w:val="single" w:sz="4" w:space="0" w:color="auto"/>
              <w:left w:val="single" w:sz="4" w:space="0" w:color="auto"/>
              <w:bottom w:val="single" w:sz="4" w:space="0" w:color="auto"/>
              <w:right w:val="single" w:sz="4" w:space="0" w:color="auto"/>
            </w:tcBorders>
          </w:tcPr>
          <w:p w14:paraId="4BED3C6F"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p>
        </w:tc>
        <w:tc>
          <w:tcPr>
            <w:tcW w:w="1010" w:type="dxa"/>
            <w:gridSpan w:val="2"/>
            <w:tcBorders>
              <w:top w:val="single" w:sz="4" w:space="0" w:color="auto"/>
              <w:left w:val="single" w:sz="4" w:space="0" w:color="auto"/>
              <w:bottom w:val="single" w:sz="4" w:space="0" w:color="auto"/>
              <w:right w:val="single" w:sz="4" w:space="0" w:color="auto"/>
            </w:tcBorders>
          </w:tcPr>
          <w:p w14:paraId="6734435E"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p>
        </w:tc>
        <w:tc>
          <w:tcPr>
            <w:tcW w:w="1162" w:type="dxa"/>
            <w:gridSpan w:val="3"/>
            <w:tcBorders>
              <w:top w:val="single" w:sz="4" w:space="0" w:color="auto"/>
              <w:left w:val="single" w:sz="4" w:space="0" w:color="auto"/>
              <w:bottom w:val="single" w:sz="4" w:space="0" w:color="auto"/>
              <w:right w:val="single" w:sz="4" w:space="0" w:color="auto"/>
            </w:tcBorders>
          </w:tcPr>
          <w:p w14:paraId="5B094D35"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1000</w:t>
            </w:r>
          </w:p>
        </w:tc>
        <w:tc>
          <w:tcPr>
            <w:tcW w:w="1122" w:type="dxa"/>
            <w:gridSpan w:val="2"/>
            <w:tcBorders>
              <w:top w:val="single" w:sz="4" w:space="0" w:color="auto"/>
              <w:left w:val="single" w:sz="4" w:space="0" w:color="auto"/>
              <w:bottom w:val="single" w:sz="4" w:space="0" w:color="auto"/>
              <w:right w:val="single" w:sz="4" w:space="0" w:color="auto"/>
            </w:tcBorders>
          </w:tcPr>
          <w:p w14:paraId="0EE3BEDA"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p>
        </w:tc>
        <w:tc>
          <w:tcPr>
            <w:tcW w:w="1159" w:type="dxa"/>
            <w:gridSpan w:val="2"/>
            <w:tcBorders>
              <w:top w:val="single" w:sz="4" w:space="0" w:color="auto"/>
              <w:left w:val="single" w:sz="4" w:space="0" w:color="auto"/>
              <w:bottom w:val="single" w:sz="4" w:space="0" w:color="auto"/>
              <w:right w:val="single" w:sz="4" w:space="0" w:color="auto"/>
            </w:tcBorders>
          </w:tcPr>
          <w:p w14:paraId="521D6771"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1000</w:t>
            </w:r>
          </w:p>
        </w:tc>
        <w:tc>
          <w:tcPr>
            <w:tcW w:w="1870" w:type="dxa"/>
            <w:gridSpan w:val="2"/>
            <w:tcBorders>
              <w:top w:val="single" w:sz="4" w:space="0" w:color="auto"/>
              <w:left w:val="single" w:sz="4" w:space="0" w:color="auto"/>
              <w:bottom w:val="single" w:sz="4" w:space="0" w:color="auto"/>
              <w:right w:val="single" w:sz="4" w:space="0" w:color="auto"/>
            </w:tcBorders>
          </w:tcPr>
          <w:p w14:paraId="4D16475F" w14:textId="77777777" w:rsidR="00875C40" w:rsidRPr="00420C1B" w:rsidRDefault="00875C40" w:rsidP="00875C40">
            <w:pPr>
              <w:autoSpaceDE w:val="0"/>
              <w:autoSpaceDN w:val="0"/>
              <w:adjustRightInd w:val="0"/>
              <w:spacing w:after="0" w:line="240" w:lineRule="auto"/>
              <w:rPr>
                <w:rFonts w:ascii="Times New Roman" w:hAnsi="Times New Roman"/>
                <w:b/>
                <w:sz w:val="20"/>
                <w:szCs w:val="20"/>
              </w:rPr>
            </w:pPr>
          </w:p>
        </w:tc>
      </w:tr>
    </w:tbl>
    <w:p w14:paraId="6B322A76" w14:textId="77777777" w:rsidR="00B36DF7" w:rsidRPr="00857867" w:rsidRDefault="00B36DF7" w:rsidP="00ED17F3">
      <w:pPr>
        <w:keepNext/>
        <w:spacing w:after="200" w:line="240" w:lineRule="auto"/>
        <w:rPr>
          <w:rFonts w:ascii="Times New Roman" w:hAnsi="Times New Roman"/>
          <w:iCs/>
          <w:szCs w:val="18"/>
        </w:rPr>
      </w:pPr>
      <w:bookmarkStart w:id="614" w:name="_Toc519048934"/>
    </w:p>
    <w:p w14:paraId="7E93D3C5" w14:textId="77777777" w:rsidR="00F402F6" w:rsidRPr="00857867" w:rsidRDefault="00F402F6">
      <w:pPr>
        <w:rPr>
          <w:rFonts w:ascii="Times New Roman" w:hAnsi="Times New Roman"/>
          <w:iCs/>
          <w:szCs w:val="18"/>
        </w:rPr>
      </w:pPr>
      <w:r w:rsidRPr="00857867">
        <w:rPr>
          <w:rFonts w:ascii="Times New Roman" w:hAnsi="Times New Roman"/>
          <w:iCs/>
          <w:szCs w:val="18"/>
        </w:rPr>
        <w:br w:type="page"/>
      </w:r>
    </w:p>
    <w:p w14:paraId="083023C8" w14:textId="5674F5F9" w:rsidR="00ED17F3" w:rsidRPr="00E737B4" w:rsidRDefault="00ED17F3" w:rsidP="00BD6279">
      <w:pPr>
        <w:keepNext/>
        <w:spacing w:after="120" w:line="240" w:lineRule="auto"/>
        <w:rPr>
          <w:rFonts w:ascii="Times New Roman" w:hAnsi="Times New Roman"/>
          <w:iCs/>
          <w:sz w:val="24"/>
          <w:szCs w:val="18"/>
        </w:rPr>
      </w:pPr>
      <w:bookmarkStart w:id="615" w:name="_Toc93050295"/>
      <w:r w:rsidRPr="00E737B4">
        <w:rPr>
          <w:rFonts w:ascii="Times New Roman" w:hAnsi="Times New Roman"/>
          <w:iCs/>
          <w:sz w:val="24"/>
          <w:szCs w:val="18"/>
        </w:rPr>
        <w:t xml:space="preserve">Tableau </w:t>
      </w:r>
      <w:r w:rsidRPr="00E737B4">
        <w:rPr>
          <w:rFonts w:ascii="Times New Roman" w:hAnsi="Times New Roman"/>
          <w:iCs/>
          <w:noProof/>
          <w:sz w:val="24"/>
          <w:szCs w:val="18"/>
        </w:rPr>
        <w:fldChar w:fldCharType="begin"/>
      </w:r>
      <w:r w:rsidRPr="00E737B4">
        <w:rPr>
          <w:rFonts w:ascii="Times New Roman" w:hAnsi="Times New Roman"/>
          <w:iCs/>
          <w:noProof/>
          <w:sz w:val="24"/>
          <w:szCs w:val="18"/>
        </w:rPr>
        <w:instrText xml:space="preserve"> SEQ Tableau \* ARABIC </w:instrText>
      </w:r>
      <w:r w:rsidRPr="00E737B4">
        <w:rPr>
          <w:rFonts w:ascii="Times New Roman" w:hAnsi="Times New Roman"/>
          <w:iCs/>
          <w:noProof/>
          <w:sz w:val="24"/>
          <w:szCs w:val="18"/>
        </w:rPr>
        <w:fldChar w:fldCharType="separate"/>
      </w:r>
      <w:r w:rsidR="00BD6279">
        <w:rPr>
          <w:rFonts w:ascii="Times New Roman" w:hAnsi="Times New Roman"/>
          <w:iCs/>
          <w:noProof/>
          <w:sz w:val="24"/>
          <w:szCs w:val="18"/>
        </w:rPr>
        <w:t>33</w:t>
      </w:r>
      <w:r w:rsidRPr="00E737B4">
        <w:rPr>
          <w:rFonts w:ascii="Times New Roman" w:hAnsi="Times New Roman"/>
          <w:iCs/>
          <w:noProof/>
          <w:sz w:val="24"/>
          <w:szCs w:val="18"/>
        </w:rPr>
        <w:fldChar w:fldCharType="end"/>
      </w:r>
      <w:r w:rsidRPr="00E737B4">
        <w:rPr>
          <w:rFonts w:ascii="Times New Roman" w:hAnsi="Times New Roman"/>
          <w:iCs/>
          <w:sz w:val="24"/>
          <w:szCs w:val="18"/>
        </w:rPr>
        <w:t xml:space="preserve"> : Fiche de déclaration d’Impact – Code </w:t>
      </w:r>
      <w:r w:rsidR="00BD6279">
        <w:rPr>
          <w:rFonts w:ascii="Times New Roman" w:hAnsi="Times New Roman"/>
          <w:iCs/>
          <w:sz w:val="24"/>
          <w:szCs w:val="18"/>
        </w:rPr>
        <w:t>11</w:t>
      </w:r>
      <w:bookmarkEnd w:id="614"/>
      <w:bookmarkEnd w:id="615"/>
    </w:p>
    <w:tbl>
      <w:tblPr>
        <w:tblW w:w="9995" w:type="dxa"/>
        <w:jc w:val="center"/>
        <w:tblLook w:val="04A0" w:firstRow="1" w:lastRow="0" w:firstColumn="1" w:lastColumn="0" w:noHBand="0" w:noVBand="1"/>
      </w:tblPr>
      <w:tblGrid>
        <w:gridCol w:w="19"/>
        <w:gridCol w:w="1690"/>
        <w:gridCol w:w="20"/>
        <w:gridCol w:w="783"/>
        <w:gridCol w:w="256"/>
        <w:gridCol w:w="748"/>
        <w:gridCol w:w="17"/>
        <w:gridCol w:w="472"/>
        <w:gridCol w:w="635"/>
        <w:gridCol w:w="730"/>
        <w:gridCol w:w="308"/>
        <w:gridCol w:w="237"/>
        <w:gridCol w:w="883"/>
        <w:gridCol w:w="802"/>
        <w:gridCol w:w="969"/>
        <w:gridCol w:w="238"/>
        <w:gridCol w:w="1188"/>
      </w:tblGrid>
      <w:tr w:rsidR="0009605B" w:rsidRPr="00420C1B" w14:paraId="5C6D8DFA" w14:textId="77777777" w:rsidTr="00215867">
        <w:trPr>
          <w:tblHeader/>
          <w:jc w:val="center"/>
        </w:trPr>
        <w:tc>
          <w:tcPr>
            <w:tcW w:w="1709"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9D962D5"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4206" w:type="dxa"/>
            <w:gridSpan w:val="10"/>
            <w:tcBorders>
              <w:top w:val="single" w:sz="4" w:space="0" w:color="auto"/>
              <w:left w:val="single" w:sz="4" w:space="0" w:color="auto"/>
              <w:bottom w:val="single" w:sz="4" w:space="0" w:color="auto"/>
              <w:right w:val="single" w:sz="4" w:space="0" w:color="auto"/>
            </w:tcBorders>
            <w:shd w:val="clear" w:color="auto" w:fill="92D050"/>
            <w:hideMark/>
          </w:tcPr>
          <w:p w14:paraId="63B1618A"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sz w:val="20"/>
                <w:szCs w:val="20"/>
              </w:rPr>
              <w:t xml:space="preserve">Air, Eau et Sol </w:t>
            </w:r>
          </w:p>
        </w:tc>
        <w:tc>
          <w:tcPr>
            <w:tcW w:w="883" w:type="dxa"/>
            <w:tcBorders>
              <w:top w:val="single" w:sz="4" w:space="0" w:color="auto"/>
              <w:left w:val="single" w:sz="4" w:space="0" w:color="auto"/>
              <w:bottom w:val="single" w:sz="4" w:space="0" w:color="auto"/>
              <w:right w:val="single" w:sz="4" w:space="0" w:color="auto"/>
            </w:tcBorders>
            <w:shd w:val="clear" w:color="auto" w:fill="92D050"/>
            <w:hideMark/>
          </w:tcPr>
          <w:p w14:paraId="26F7D502"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3197"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0CB37A75"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sz w:val="20"/>
                <w:szCs w:val="20"/>
              </w:rPr>
              <w:t>Construction</w:t>
            </w:r>
          </w:p>
        </w:tc>
      </w:tr>
      <w:tr w:rsidR="0009605B" w:rsidRPr="00420C1B" w14:paraId="051E1995" w14:textId="77777777" w:rsidTr="00215867">
        <w:trPr>
          <w:trHeight w:val="379"/>
          <w:jc w:val="center"/>
        </w:trPr>
        <w:tc>
          <w:tcPr>
            <w:tcW w:w="1709" w:type="dxa"/>
            <w:gridSpan w:val="2"/>
            <w:vMerge w:val="restart"/>
            <w:tcBorders>
              <w:top w:val="single" w:sz="4" w:space="0" w:color="auto"/>
              <w:left w:val="single" w:sz="4" w:space="0" w:color="auto"/>
              <w:right w:val="single" w:sz="4" w:space="0" w:color="auto"/>
            </w:tcBorders>
          </w:tcPr>
          <w:p w14:paraId="71ECA7DA" w14:textId="77777777" w:rsidR="0009605B" w:rsidRPr="00857867" w:rsidRDefault="0009605B" w:rsidP="004F4E22">
            <w:pPr>
              <w:spacing w:after="0" w:line="240" w:lineRule="auto"/>
              <w:rPr>
                <w:rFonts w:ascii="Times New Roman" w:hAnsi="Times New Roman"/>
                <w:b/>
                <w:sz w:val="20"/>
                <w:szCs w:val="20"/>
              </w:rPr>
            </w:pPr>
            <w:r w:rsidRPr="00857867">
              <w:rPr>
                <w:rFonts w:ascii="Times New Roman" w:hAnsi="Times New Roman"/>
                <w:b/>
                <w:sz w:val="20"/>
                <w:szCs w:val="20"/>
              </w:rPr>
              <w:t>Code 07</w:t>
            </w:r>
          </w:p>
        </w:tc>
        <w:tc>
          <w:tcPr>
            <w:tcW w:w="8286" w:type="dxa"/>
            <w:gridSpan w:val="15"/>
            <w:tcBorders>
              <w:top w:val="single" w:sz="4" w:space="0" w:color="auto"/>
              <w:left w:val="single" w:sz="4" w:space="0" w:color="auto"/>
              <w:bottom w:val="single" w:sz="4" w:space="0" w:color="auto"/>
              <w:right w:val="single" w:sz="4" w:space="0" w:color="auto"/>
            </w:tcBorders>
          </w:tcPr>
          <w:p w14:paraId="1EF055F3" w14:textId="77777777" w:rsidR="0009605B" w:rsidRPr="00857867" w:rsidRDefault="0009605B" w:rsidP="007108ED">
            <w:pPr>
              <w:autoSpaceDE w:val="0"/>
              <w:autoSpaceDN w:val="0"/>
              <w:adjustRightInd w:val="0"/>
              <w:spacing w:after="0" w:line="240" w:lineRule="auto"/>
              <w:jc w:val="both"/>
              <w:rPr>
                <w:rFonts w:ascii="Times New Roman" w:hAnsi="Times New Roman"/>
                <w:b/>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Terrassement et coulage de béton, remblai et déblais, démantèlement des câbles dégradés</w:t>
            </w:r>
          </w:p>
        </w:tc>
      </w:tr>
      <w:tr w:rsidR="0009605B" w:rsidRPr="00420C1B" w14:paraId="0095260A" w14:textId="77777777" w:rsidTr="00215867">
        <w:trPr>
          <w:trHeight w:val="278"/>
          <w:jc w:val="center"/>
        </w:trPr>
        <w:tc>
          <w:tcPr>
            <w:tcW w:w="1709" w:type="dxa"/>
            <w:gridSpan w:val="2"/>
            <w:vMerge/>
            <w:tcBorders>
              <w:left w:val="single" w:sz="4" w:space="0" w:color="auto"/>
              <w:bottom w:val="single" w:sz="4" w:space="0" w:color="auto"/>
              <w:right w:val="single" w:sz="4" w:space="0" w:color="auto"/>
            </w:tcBorders>
            <w:hideMark/>
          </w:tcPr>
          <w:p w14:paraId="6EC8157C" w14:textId="77777777" w:rsidR="0009605B" w:rsidRPr="00857867" w:rsidRDefault="0009605B" w:rsidP="007108ED">
            <w:pPr>
              <w:spacing w:after="0" w:line="240" w:lineRule="auto"/>
              <w:rPr>
                <w:rFonts w:ascii="Times New Roman" w:hAnsi="Times New Roman"/>
                <w:b/>
                <w:sz w:val="20"/>
                <w:szCs w:val="20"/>
              </w:rPr>
            </w:pPr>
          </w:p>
        </w:tc>
        <w:tc>
          <w:tcPr>
            <w:tcW w:w="8286" w:type="dxa"/>
            <w:gridSpan w:val="15"/>
            <w:tcBorders>
              <w:top w:val="single" w:sz="4" w:space="0" w:color="auto"/>
              <w:left w:val="single" w:sz="4" w:space="0" w:color="auto"/>
              <w:bottom w:val="single" w:sz="4" w:space="0" w:color="auto"/>
              <w:right w:val="single" w:sz="4" w:space="0" w:color="auto"/>
            </w:tcBorders>
            <w:hideMark/>
          </w:tcPr>
          <w:p w14:paraId="0CED2445" w14:textId="77777777" w:rsidR="0009605B" w:rsidRPr="00857867" w:rsidRDefault="0009605B"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xml:space="preserve"> : Pollution liés à la gestion des déchets du chantier  </w:t>
            </w:r>
          </w:p>
        </w:tc>
      </w:tr>
      <w:tr w:rsidR="0009605B" w:rsidRPr="00420C1B" w14:paraId="0700FC97" w14:textId="77777777" w:rsidTr="0009605B">
        <w:trPr>
          <w:jc w:val="center"/>
        </w:trPr>
        <w:tc>
          <w:tcPr>
            <w:tcW w:w="1709" w:type="dxa"/>
            <w:gridSpan w:val="2"/>
            <w:vMerge w:val="restart"/>
            <w:tcBorders>
              <w:top w:val="single" w:sz="4" w:space="0" w:color="auto"/>
              <w:left w:val="single" w:sz="4" w:space="0" w:color="auto"/>
              <w:bottom w:val="single" w:sz="4" w:space="0" w:color="auto"/>
              <w:right w:val="single" w:sz="4" w:space="0" w:color="auto"/>
            </w:tcBorders>
            <w:hideMark/>
          </w:tcPr>
          <w:p w14:paraId="74E0FF3C" w14:textId="77777777" w:rsidR="0009605B" w:rsidRPr="00857867" w:rsidRDefault="0009605B" w:rsidP="00F402F6">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661" w:type="dxa"/>
            <w:gridSpan w:val="8"/>
            <w:vMerge w:val="restart"/>
            <w:tcBorders>
              <w:top w:val="single" w:sz="4" w:space="0" w:color="auto"/>
              <w:left w:val="single" w:sz="4" w:space="0" w:color="auto"/>
              <w:right w:val="single" w:sz="4" w:space="0" w:color="auto"/>
            </w:tcBorders>
          </w:tcPr>
          <w:p w14:paraId="76AC8413" w14:textId="77777777" w:rsidR="0009605B" w:rsidRPr="00857867" w:rsidRDefault="0009605B" w:rsidP="00F402F6">
            <w:pPr>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Zone d’évolution des travaux (communes concernés par les travaux)</w:t>
            </w:r>
          </w:p>
        </w:tc>
        <w:tc>
          <w:tcPr>
            <w:tcW w:w="1428" w:type="dxa"/>
            <w:gridSpan w:val="3"/>
            <w:tcBorders>
              <w:top w:val="single" w:sz="4" w:space="0" w:color="auto"/>
              <w:left w:val="single" w:sz="4" w:space="0" w:color="auto"/>
              <w:bottom w:val="single" w:sz="4" w:space="0" w:color="auto"/>
              <w:right w:val="single" w:sz="4" w:space="0" w:color="auto"/>
            </w:tcBorders>
          </w:tcPr>
          <w:p w14:paraId="5353CC34" w14:textId="77777777" w:rsidR="0009605B" w:rsidRPr="00857867" w:rsidRDefault="0009605B" w:rsidP="00F402F6">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771" w:type="dxa"/>
            <w:gridSpan w:val="2"/>
            <w:tcBorders>
              <w:top w:val="single" w:sz="4" w:space="0" w:color="auto"/>
              <w:left w:val="single" w:sz="4" w:space="0" w:color="auto"/>
              <w:bottom w:val="single" w:sz="4" w:space="0" w:color="auto"/>
              <w:right w:val="single" w:sz="4" w:space="0" w:color="auto"/>
            </w:tcBorders>
            <w:hideMark/>
          </w:tcPr>
          <w:p w14:paraId="50CDD81B" w14:textId="77777777" w:rsidR="0009605B" w:rsidRPr="00857867" w:rsidRDefault="0009605B" w:rsidP="00F402F6">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426" w:type="dxa"/>
            <w:gridSpan w:val="2"/>
            <w:vMerge w:val="restart"/>
            <w:tcBorders>
              <w:top w:val="single" w:sz="4" w:space="0" w:color="auto"/>
              <w:left w:val="single" w:sz="4" w:space="0" w:color="auto"/>
              <w:bottom w:val="single" w:sz="4" w:space="0" w:color="auto"/>
              <w:right w:val="single" w:sz="4" w:space="0" w:color="auto"/>
            </w:tcBorders>
          </w:tcPr>
          <w:p w14:paraId="03E86F42" w14:textId="77777777" w:rsidR="0009605B" w:rsidRPr="00857867" w:rsidRDefault="0009605B" w:rsidP="00F402F6">
            <w:pPr>
              <w:spacing w:after="0" w:line="240" w:lineRule="auto"/>
              <w:rPr>
                <w:rFonts w:ascii="Times New Roman" w:hAnsi="Times New Roman"/>
                <w:sz w:val="20"/>
                <w:szCs w:val="20"/>
              </w:rPr>
            </w:pPr>
          </w:p>
        </w:tc>
      </w:tr>
      <w:tr w:rsidR="0009605B" w:rsidRPr="00420C1B" w14:paraId="0DD9869C" w14:textId="77777777" w:rsidTr="0009605B">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14:paraId="4BE6D684" w14:textId="77777777" w:rsidR="0009605B" w:rsidRPr="00857867" w:rsidRDefault="0009605B" w:rsidP="00F402F6">
            <w:pPr>
              <w:spacing w:after="0" w:line="240" w:lineRule="auto"/>
              <w:rPr>
                <w:rFonts w:ascii="Times New Roman" w:eastAsia="Times New Roman" w:hAnsi="Times New Roman"/>
                <w:sz w:val="20"/>
                <w:szCs w:val="20"/>
                <w:lang w:eastAsia="fr-FR"/>
              </w:rPr>
            </w:pPr>
          </w:p>
        </w:tc>
        <w:tc>
          <w:tcPr>
            <w:tcW w:w="3661" w:type="dxa"/>
            <w:gridSpan w:val="8"/>
            <w:vMerge/>
            <w:tcBorders>
              <w:left w:val="single" w:sz="4" w:space="0" w:color="auto"/>
              <w:right w:val="single" w:sz="4" w:space="0" w:color="auto"/>
            </w:tcBorders>
            <w:vAlign w:val="center"/>
            <w:hideMark/>
          </w:tcPr>
          <w:p w14:paraId="71C05F7D" w14:textId="77777777" w:rsidR="0009605B" w:rsidRPr="00857867" w:rsidRDefault="0009605B" w:rsidP="00F402F6">
            <w:pPr>
              <w:spacing w:after="0" w:line="240" w:lineRule="auto"/>
              <w:rPr>
                <w:rFonts w:ascii="Times New Roman" w:hAnsi="Times New Roman"/>
                <w:sz w:val="20"/>
                <w:szCs w:val="20"/>
              </w:rPr>
            </w:pPr>
          </w:p>
        </w:tc>
        <w:tc>
          <w:tcPr>
            <w:tcW w:w="1428" w:type="dxa"/>
            <w:gridSpan w:val="3"/>
            <w:tcBorders>
              <w:top w:val="single" w:sz="4" w:space="0" w:color="auto"/>
              <w:left w:val="single" w:sz="4" w:space="0" w:color="auto"/>
              <w:bottom w:val="single" w:sz="4" w:space="0" w:color="auto"/>
              <w:right w:val="single" w:sz="4" w:space="0" w:color="auto"/>
            </w:tcBorders>
          </w:tcPr>
          <w:p w14:paraId="7C1C40EF" w14:textId="77777777" w:rsidR="0009605B" w:rsidRPr="00857867" w:rsidRDefault="0009605B" w:rsidP="00F402F6">
            <w:pPr>
              <w:spacing w:after="0" w:line="240" w:lineRule="auto"/>
              <w:rPr>
                <w:rFonts w:ascii="Times New Roman" w:hAnsi="Times New Roman"/>
                <w:sz w:val="20"/>
                <w:szCs w:val="20"/>
              </w:rPr>
            </w:pPr>
            <w:r w:rsidRPr="00420C1B">
              <w:rPr>
                <w:rFonts w:ascii="Times New Roman" w:hAnsi="Times New Roman"/>
                <w:sz w:val="20"/>
                <w:szCs w:val="20"/>
              </w:rPr>
              <w:t xml:space="preserve">526135  </w:t>
            </w:r>
          </w:p>
        </w:tc>
        <w:tc>
          <w:tcPr>
            <w:tcW w:w="1771" w:type="dxa"/>
            <w:gridSpan w:val="2"/>
            <w:tcBorders>
              <w:top w:val="single" w:sz="4" w:space="0" w:color="auto"/>
              <w:left w:val="nil"/>
              <w:bottom w:val="single" w:sz="4" w:space="0" w:color="auto"/>
              <w:right w:val="single" w:sz="4" w:space="0" w:color="auto"/>
            </w:tcBorders>
          </w:tcPr>
          <w:p w14:paraId="62F3FAD9" w14:textId="77777777" w:rsidR="0009605B" w:rsidRPr="00857867" w:rsidRDefault="0009605B" w:rsidP="00F402F6">
            <w:pPr>
              <w:spacing w:after="0" w:line="240" w:lineRule="auto"/>
              <w:rPr>
                <w:rFonts w:ascii="Times New Roman" w:hAnsi="Times New Roman"/>
                <w:sz w:val="20"/>
                <w:szCs w:val="20"/>
              </w:rPr>
            </w:pPr>
            <w:r w:rsidRPr="00420C1B">
              <w:rPr>
                <w:rFonts w:ascii="Times New Roman" w:hAnsi="Times New Roman"/>
                <w:sz w:val="20"/>
                <w:szCs w:val="20"/>
              </w:rPr>
              <w:t>9514282</w:t>
            </w:r>
          </w:p>
        </w:tc>
        <w:tc>
          <w:tcPr>
            <w:tcW w:w="1426" w:type="dxa"/>
            <w:gridSpan w:val="2"/>
            <w:vMerge/>
            <w:tcBorders>
              <w:top w:val="single" w:sz="4" w:space="0" w:color="auto"/>
              <w:left w:val="single" w:sz="4" w:space="0" w:color="auto"/>
              <w:bottom w:val="single" w:sz="4" w:space="0" w:color="auto"/>
              <w:right w:val="single" w:sz="4" w:space="0" w:color="auto"/>
            </w:tcBorders>
            <w:vAlign w:val="center"/>
            <w:hideMark/>
          </w:tcPr>
          <w:p w14:paraId="44EB3192" w14:textId="77777777" w:rsidR="0009605B" w:rsidRPr="00857867" w:rsidRDefault="0009605B" w:rsidP="00F402F6">
            <w:pPr>
              <w:spacing w:after="0" w:line="240" w:lineRule="auto"/>
              <w:rPr>
                <w:rFonts w:ascii="Times New Roman" w:hAnsi="Times New Roman"/>
                <w:sz w:val="20"/>
                <w:szCs w:val="20"/>
              </w:rPr>
            </w:pPr>
          </w:p>
        </w:tc>
      </w:tr>
      <w:tr w:rsidR="0009605B" w:rsidRPr="00420C1B" w14:paraId="7BFC5A97" w14:textId="77777777" w:rsidTr="0009605B">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14:paraId="6D0DB69B" w14:textId="77777777" w:rsidR="0009605B" w:rsidRPr="00857867" w:rsidRDefault="0009605B" w:rsidP="00F402F6">
            <w:pPr>
              <w:spacing w:after="0" w:line="240" w:lineRule="auto"/>
              <w:rPr>
                <w:rFonts w:ascii="Times New Roman" w:eastAsia="Times New Roman" w:hAnsi="Times New Roman"/>
                <w:sz w:val="20"/>
                <w:szCs w:val="20"/>
                <w:lang w:eastAsia="fr-FR"/>
              </w:rPr>
            </w:pPr>
          </w:p>
        </w:tc>
        <w:tc>
          <w:tcPr>
            <w:tcW w:w="3661" w:type="dxa"/>
            <w:gridSpan w:val="8"/>
            <w:vMerge/>
            <w:tcBorders>
              <w:left w:val="single" w:sz="4" w:space="0" w:color="auto"/>
              <w:bottom w:val="single" w:sz="4" w:space="0" w:color="auto"/>
              <w:right w:val="single" w:sz="4" w:space="0" w:color="auto"/>
            </w:tcBorders>
            <w:vAlign w:val="center"/>
          </w:tcPr>
          <w:p w14:paraId="42235165" w14:textId="77777777" w:rsidR="0009605B" w:rsidRPr="00857867" w:rsidRDefault="0009605B" w:rsidP="00F402F6">
            <w:pPr>
              <w:spacing w:after="0" w:line="240" w:lineRule="auto"/>
              <w:rPr>
                <w:rFonts w:ascii="Times New Roman" w:hAnsi="Times New Roman"/>
                <w:sz w:val="20"/>
                <w:szCs w:val="20"/>
              </w:rPr>
            </w:pPr>
          </w:p>
        </w:tc>
        <w:tc>
          <w:tcPr>
            <w:tcW w:w="1428" w:type="dxa"/>
            <w:gridSpan w:val="3"/>
            <w:tcBorders>
              <w:top w:val="single" w:sz="4" w:space="0" w:color="auto"/>
              <w:left w:val="single" w:sz="4" w:space="0" w:color="auto"/>
              <w:bottom w:val="nil"/>
              <w:right w:val="single" w:sz="4" w:space="0" w:color="auto"/>
            </w:tcBorders>
          </w:tcPr>
          <w:p w14:paraId="5FF6578C" w14:textId="77777777" w:rsidR="0009605B" w:rsidRPr="00857867" w:rsidRDefault="0009605B" w:rsidP="00F402F6">
            <w:pPr>
              <w:spacing w:after="0" w:line="240" w:lineRule="auto"/>
              <w:rPr>
                <w:rFonts w:ascii="Times New Roman" w:hAnsi="Times New Roman"/>
                <w:sz w:val="20"/>
                <w:szCs w:val="20"/>
              </w:rPr>
            </w:pPr>
            <w:r w:rsidRPr="00420C1B">
              <w:rPr>
                <w:rFonts w:ascii="Times New Roman" w:hAnsi="Times New Roman"/>
                <w:sz w:val="20"/>
                <w:szCs w:val="20"/>
              </w:rPr>
              <w:t>527290</w:t>
            </w:r>
          </w:p>
        </w:tc>
        <w:tc>
          <w:tcPr>
            <w:tcW w:w="1771" w:type="dxa"/>
            <w:gridSpan w:val="2"/>
            <w:tcBorders>
              <w:top w:val="single" w:sz="4" w:space="0" w:color="auto"/>
              <w:left w:val="single" w:sz="4" w:space="0" w:color="auto"/>
              <w:bottom w:val="nil"/>
              <w:right w:val="single" w:sz="4" w:space="0" w:color="auto"/>
            </w:tcBorders>
          </w:tcPr>
          <w:p w14:paraId="0889771F" w14:textId="77777777" w:rsidR="0009605B" w:rsidRPr="00857867" w:rsidRDefault="0009605B" w:rsidP="00F402F6">
            <w:pPr>
              <w:spacing w:after="0" w:line="240" w:lineRule="auto"/>
              <w:rPr>
                <w:rFonts w:ascii="Times New Roman" w:hAnsi="Times New Roman"/>
                <w:sz w:val="20"/>
                <w:szCs w:val="20"/>
              </w:rPr>
            </w:pPr>
            <w:r w:rsidRPr="00420C1B">
              <w:rPr>
                <w:rFonts w:ascii="Times New Roman" w:hAnsi="Times New Roman"/>
                <w:sz w:val="20"/>
                <w:szCs w:val="20"/>
              </w:rPr>
              <w:t>9506829</w:t>
            </w:r>
          </w:p>
        </w:tc>
        <w:tc>
          <w:tcPr>
            <w:tcW w:w="1426" w:type="dxa"/>
            <w:gridSpan w:val="2"/>
            <w:vMerge/>
            <w:tcBorders>
              <w:top w:val="single" w:sz="4" w:space="0" w:color="auto"/>
              <w:left w:val="single" w:sz="4" w:space="0" w:color="auto"/>
              <w:bottom w:val="single" w:sz="4" w:space="0" w:color="auto"/>
              <w:right w:val="single" w:sz="4" w:space="0" w:color="auto"/>
            </w:tcBorders>
            <w:vAlign w:val="center"/>
            <w:hideMark/>
          </w:tcPr>
          <w:p w14:paraId="1CAB8AE6" w14:textId="77777777" w:rsidR="0009605B" w:rsidRPr="00857867" w:rsidRDefault="0009605B" w:rsidP="00F402F6">
            <w:pPr>
              <w:spacing w:after="0" w:line="240" w:lineRule="auto"/>
              <w:rPr>
                <w:rFonts w:ascii="Times New Roman" w:hAnsi="Times New Roman"/>
                <w:sz w:val="20"/>
                <w:szCs w:val="20"/>
              </w:rPr>
            </w:pPr>
          </w:p>
        </w:tc>
      </w:tr>
      <w:tr w:rsidR="0009605B" w:rsidRPr="00420C1B" w14:paraId="6E9FB81A" w14:textId="77777777" w:rsidTr="00215867">
        <w:trPr>
          <w:jc w:val="center"/>
        </w:trPr>
        <w:tc>
          <w:tcPr>
            <w:tcW w:w="1709" w:type="dxa"/>
            <w:gridSpan w:val="2"/>
            <w:vMerge w:val="restart"/>
            <w:tcBorders>
              <w:top w:val="single" w:sz="4" w:space="0" w:color="auto"/>
              <w:left w:val="single" w:sz="4" w:space="0" w:color="auto"/>
              <w:bottom w:val="single" w:sz="4" w:space="0" w:color="auto"/>
              <w:right w:val="single" w:sz="4" w:space="0" w:color="auto"/>
            </w:tcBorders>
          </w:tcPr>
          <w:p w14:paraId="1B2C462C" w14:textId="77777777" w:rsidR="0009605B" w:rsidRPr="00857867" w:rsidRDefault="0009605B" w:rsidP="007108ED">
            <w:pPr>
              <w:spacing w:after="0" w:line="240" w:lineRule="auto"/>
              <w:rPr>
                <w:rFonts w:ascii="Times New Roman" w:hAnsi="Times New Roman"/>
                <w:b/>
                <w:sz w:val="20"/>
                <w:szCs w:val="20"/>
              </w:rPr>
            </w:pPr>
          </w:p>
          <w:p w14:paraId="0C8CCE72" w14:textId="77777777" w:rsidR="0009605B" w:rsidRPr="00857867" w:rsidRDefault="0009605B" w:rsidP="007108ED">
            <w:pPr>
              <w:spacing w:after="0" w:line="240" w:lineRule="auto"/>
              <w:rPr>
                <w:rFonts w:ascii="Times New Roman" w:hAnsi="Times New Roman"/>
                <w:b/>
                <w:sz w:val="20"/>
                <w:szCs w:val="20"/>
              </w:rPr>
            </w:pPr>
          </w:p>
          <w:p w14:paraId="10D89155" w14:textId="77777777" w:rsidR="0009605B" w:rsidRPr="00857867" w:rsidRDefault="0009605B" w:rsidP="007108ED">
            <w:pPr>
              <w:spacing w:after="0" w:line="240" w:lineRule="auto"/>
              <w:rPr>
                <w:rFonts w:ascii="Times New Roman" w:hAnsi="Times New Roman"/>
                <w:b/>
                <w:sz w:val="20"/>
                <w:szCs w:val="20"/>
              </w:rPr>
            </w:pPr>
          </w:p>
          <w:p w14:paraId="5F4C19E8"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059" w:type="dxa"/>
            <w:gridSpan w:val="3"/>
            <w:vMerge w:val="restart"/>
            <w:tcBorders>
              <w:top w:val="single" w:sz="4" w:space="0" w:color="auto"/>
              <w:left w:val="single" w:sz="4" w:space="0" w:color="auto"/>
              <w:bottom w:val="single" w:sz="4" w:space="0" w:color="auto"/>
              <w:right w:val="single" w:sz="4" w:space="0" w:color="auto"/>
            </w:tcBorders>
            <w:hideMark/>
          </w:tcPr>
          <w:p w14:paraId="058AC3AF"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3781C15A" w14:textId="77777777" w:rsidR="0009605B" w:rsidRPr="00857867" w:rsidRDefault="0009605B"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237" w:type="dxa"/>
            <w:gridSpan w:val="3"/>
            <w:tcBorders>
              <w:top w:val="single" w:sz="4" w:space="0" w:color="auto"/>
              <w:left w:val="single" w:sz="4" w:space="0" w:color="auto"/>
              <w:bottom w:val="single" w:sz="4" w:space="0" w:color="auto"/>
              <w:right w:val="single" w:sz="4" w:space="0" w:color="auto"/>
            </w:tcBorders>
            <w:hideMark/>
          </w:tcPr>
          <w:p w14:paraId="07E37D0E"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793" w:type="dxa"/>
            <w:gridSpan w:val="5"/>
            <w:tcBorders>
              <w:top w:val="single" w:sz="4" w:space="0" w:color="auto"/>
              <w:left w:val="single" w:sz="4" w:space="0" w:color="auto"/>
              <w:bottom w:val="single" w:sz="4" w:space="0" w:color="auto"/>
              <w:right w:val="single" w:sz="4" w:space="0" w:color="auto"/>
            </w:tcBorders>
            <w:hideMark/>
          </w:tcPr>
          <w:p w14:paraId="3D413004"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771" w:type="dxa"/>
            <w:gridSpan w:val="2"/>
            <w:tcBorders>
              <w:top w:val="single" w:sz="4" w:space="0" w:color="auto"/>
              <w:left w:val="single" w:sz="4" w:space="0" w:color="auto"/>
              <w:bottom w:val="single" w:sz="4" w:space="0" w:color="auto"/>
              <w:right w:val="single" w:sz="4" w:space="0" w:color="auto"/>
            </w:tcBorders>
            <w:hideMark/>
          </w:tcPr>
          <w:p w14:paraId="08DBF08F"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426" w:type="dxa"/>
            <w:gridSpan w:val="2"/>
            <w:tcBorders>
              <w:top w:val="single" w:sz="4" w:space="0" w:color="auto"/>
              <w:left w:val="single" w:sz="4" w:space="0" w:color="auto"/>
              <w:bottom w:val="single" w:sz="4" w:space="0" w:color="auto"/>
              <w:right w:val="single" w:sz="4" w:space="0" w:color="auto"/>
            </w:tcBorders>
            <w:hideMark/>
          </w:tcPr>
          <w:p w14:paraId="78A84F06"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r>
      <w:tr w:rsidR="0009605B" w:rsidRPr="00420C1B" w14:paraId="6BC3C6DD"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14:paraId="0066B410" w14:textId="77777777" w:rsidR="0009605B" w:rsidRPr="00857867" w:rsidRDefault="0009605B" w:rsidP="007108ED">
            <w:pPr>
              <w:spacing w:after="0" w:line="240" w:lineRule="auto"/>
              <w:rPr>
                <w:rFonts w:ascii="Times New Roman" w:hAnsi="Times New Roman"/>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F166B9A" w14:textId="77777777" w:rsidR="0009605B" w:rsidRPr="00857867" w:rsidRDefault="0009605B" w:rsidP="007108ED">
            <w:pPr>
              <w:spacing w:after="0" w:line="240" w:lineRule="auto"/>
              <w:rPr>
                <w:rFonts w:ascii="Times New Roman" w:eastAsia="Times New Roman" w:hAnsi="Times New Roman"/>
                <w:bCs/>
                <w:sz w:val="20"/>
                <w:szCs w:val="20"/>
              </w:rPr>
            </w:pPr>
          </w:p>
        </w:tc>
        <w:tc>
          <w:tcPr>
            <w:tcW w:w="1237" w:type="dxa"/>
            <w:gridSpan w:val="3"/>
            <w:tcBorders>
              <w:top w:val="single" w:sz="4" w:space="0" w:color="auto"/>
              <w:left w:val="single" w:sz="4" w:space="0" w:color="auto"/>
              <w:bottom w:val="single" w:sz="4" w:space="0" w:color="auto"/>
              <w:right w:val="single" w:sz="4" w:space="0" w:color="auto"/>
            </w:tcBorders>
            <w:vAlign w:val="center"/>
            <w:hideMark/>
          </w:tcPr>
          <w:p w14:paraId="1A2AF014"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2793" w:type="dxa"/>
            <w:gridSpan w:val="5"/>
            <w:tcBorders>
              <w:top w:val="single" w:sz="4" w:space="0" w:color="auto"/>
              <w:left w:val="single" w:sz="4" w:space="0" w:color="auto"/>
              <w:bottom w:val="single" w:sz="4" w:space="0" w:color="auto"/>
              <w:right w:val="single" w:sz="4" w:space="0" w:color="auto"/>
            </w:tcBorders>
            <w:vAlign w:val="center"/>
            <w:hideMark/>
          </w:tcPr>
          <w:p w14:paraId="7C48FE29"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Locale</w:t>
            </w:r>
          </w:p>
        </w:tc>
        <w:tc>
          <w:tcPr>
            <w:tcW w:w="1771" w:type="dxa"/>
            <w:gridSpan w:val="2"/>
            <w:tcBorders>
              <w:top w:val="single" w:sz="4" w:space="0" w:color="auto"/>
              <w:left w:val="single" w:sz="4" w:space="0" w:color="auto"/>
              <w:bottom w:val="single" w:sz="4" w:space="0" w:color="auto"/>
              <w:right w:val="single" w:sz="4" w:space="0" w:color="auto"/>
            </w:tcBorders>
            <w:vAlign w:val="center"/>
            <w:hideMark/>
          </w:tcPr>
          <w:p w14:paraId="174B755D"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 xml:space="preserve">Longue </w:t>
            </w:r>
          </w:p>
        </w:tc>
        <w:tc>
          <w:tcPr>
            <w:tcW w:w="1426" w:type="dxa"/>
            <w:gridSpan w:val="2"/>
            <w:tcBorders>
              <w:top w:val="single" w:sz="4" w:space="0" w:color="auto"/>
              <w:left w:val="single" w:sz="4" w:space="0" w:color="auto"/>
              <w:bottom w:val="single" w:sz="4" w:space="0" w:color="auto"/>
              <w:right w:val="single" w:sz="4" w:space="0" w:color="auto"/>
            </w:tcBorders>
            <w:vAlign w:val="center"/>
            <w:hideMark/>
          </w:tcPr>
          <w:p w14:paraId="44E23E09" w14:textId="77777777" w:rsidR="0009605B" w:rsidRPr="00857867" w:rsidRDefault="0009605B" w:rsidP="00070C02">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 xml:space="preserve">Majeure </w:t>
            </w:r>
          </w:p>
        </w:tc>
      </w:tr>
      <w:tr w:rsidR="0009605B" w:rsidRPr="00420C1B" w14:paraId="5F97746C"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tcPr>
          <w:p w14:paraId="50B10EA9" w14:textId="77777777" w:rsidR="0009605B" w:rsidRPr="00857867" w:rsidRDefault="0009605B" w:rsidP="00C0347F">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38C4555" w14:textId="77777777" w:rsidR="0009605B" w:rsidRPr="00857867" w:rsidRDefault="0009605B" w:rsidP="00C0347F">
            <w:pPr>
              <w:spacing w:after="0" w:line="240" w:lineRule="auto"/>
              <w:rPr>
                <w:rFonts w:ascii="Times New Roman" w:eastAsia="Times New Roman" w:hAnsi="Times New Roman"/>
                <w:bCs/>
                <w:sz w:val="20"/>
                <w:szCs w:val="20"/>
              </w:rPr>
            </w:pPr>
          </w:p>
        </w:tc>
        <w:tc>
          <w:tcPr>
            <w:tcW w:w="1237" w:type="dxa"/>
            <w:gridSpan w:val="3"/>
            <w:tcBorders>
              <w:top w:val="single" w:sz="4" w:space="0" w:color="auto"/>
              <w:left w:val="single" w:sz="4" w:space="0" w:color="auto"/>
              <w:bottom w:val="single" w:sz="4" w:space="0" w:color="auto"/>
              <w:right w:val="single" w:sz="4" w:space="0" w:color="auto"/>
            </w:tcBorders>
            <w:vAlign w:val="center"/>
          </w:tcPr>
          <w:p w14:paraId="274CA2D9" w14:textId="77777777" w:rsidR="0009605B" w:rsidRPr="00857867" w:rsidRDefault="0009605B" w:rsidP="00C0347F">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793" w:type="dxa"/>
            <w:gridSpan w:val="5"/>
            <w:tcBorders>
              <w:top w:val="single" w:sz="4" w:space="0" w:color="auto"/>
              <w:left w:val="single" w:sz="4" w:space="0" w:color="auto"/>
              <w:bottom w:val="single" w:sz="4" w:space="0" w:color="auto"/>
              <w:right w:val="single" w:sz="4" w:space="0" w:color="auto"/>
            </w:tcBorders>
          </w:tcPr>
          <w:p w14:paraId="421037EC" w14:textId="77777777" w:rsidR="0009605B" w:rsidRPr="00857867" w:rsidRDefault="0009605B" w:rsidP="00C0347F">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771" w:type="dxa"/>
            <w:gridSpan w:val="2"/>
            <w:tcBorders>
              <w:top w:val="single" w:sz="4" w:space="0" w:color="auto"/>
              <w:left w:val="single" w:sz="4" w:space="0" w:color="auto"/>
              <w:bottom w:val="single" w:sz="4" w:space="0" w:color="auto"/>
              <w:right w:val="single" w:sz="4" w:space="0" w:color="auto"/>
            </w:tcBorders>
          </w:tcPr>
          <w:p w14:paraId="033E3174" w14:textId="77777777" w:rsidR="0009605B" w:rsidRPr="00857867" w:rsidRDefault="0009605B" w:rsidP="00C0347F">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426" w:type="dxa"/>
            <w:gridSpan w:val="2"/>
            <w:tcBorders>
              <w:top w:val="single" w:sz="4" w:space="0" w:color="auto"/>
              <w:left w:val="single" w:sz="4" w:space="0" w:color="auto"/>
              <w:bottom w:val="single" w:sz="4" w:space="0" w:color="auto"/>
              <w:right w:val="single" w:sz="4" w:space="0" w:color="auto"/>
            </w:tcBorders>
          </w:tcPr>
          <w:p w14:paraId="03FBE505" w14:textId="77777777" w:rsidR="0009605B" w:rsidRPr="00857867" w:rsidRDefault="0009605B" w:rsidP="00C0347F">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r>
      <w:tr w:rsidR="0009605B" w:rsidRPr="00420C1B" w14:paraId="3B9FC80C"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tcPr>
          <w:p w14:paraId="505A3B9C" w14:textId="77777777" w:rsidR="0009605B" w:rsidRPr="00857867" w:rsidRDefault="0009605B" w:rsidP="00C0347F">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0ADAA7C" w14:textId="77777777" w:rsidR="0009605B" w:rsidRPr="00857867" w:rsidRDefault="0009605B" w:rsidP="00C0347F">
            <w:pPr>
              <w:spacing w:after="0" w:line="240" w:lineRule="auto"/>
              <w:rPr>
                <w:rFonts w:ascii="Times New Roman" w:eastAsia="Times New Roman" w:hAnsi="Times New Roman"/>
                <w:bCs/>
                <w:sz w:val="20"/>
                <w:szCs w:val="20"/>
              </w:rPr>
            </w:pPr>
          </w:p>
        </w:tc>
        <w:tc>
          <w:tcPr>
            <w:tcW w:w="1237" w:type="dxa"/>
            <w:gridSpan w:val="3"/>
            <w:tcBorders>
              <w:top w:val="single" w:sz="4" w:space="0" w:color="auto"/>
              <w:left w:val="single" w:sz="4" w:space="0" w:color="auto"/>
              <w:bottom w:val="single" w:sz="4" w:space="0" w:color="auto"/>
              <w:right w:val="single" w:sz="4" w:space="0" w:color="auto"/>
            </w:tcBorders>
            <w:vAlign w:val="center"/>
          </w:tcPr>
          <w:p w14:paraId="11723695" w14:textId="77777777" w:rsidR="0009605B" w:rsidRPr="00857867" w:rsidRDefault="0009605B" w:rsidP="00C0347F">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793" w:type="dxa"/>
            <w:gridSpan w:val="5"/>
            <w:tcBorders>
              <w:top w:val="single" w:sz="4" w:space="0" w:color="auto"/>
              <w:left w:val="single" w:sz="4" w:space="0" w:color="auto"/>
              <w:bottom w:val="single" w:sz="4" w:space="0" w:color="auto"/>
              <w:right w:val="single" w:sz="4" w:space="0" w:color="auto"/>
            </w:tcBorders>
            <w:vAlign w:val="center"/>
          </w:tcPr>
          <w:p w14:paraId="65A4BC4E"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7BD8F5CB"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426" w:type="dxa"/>
            <w:gridSpan w:val="2"/>
            <w:tcBorders>
              <w:top w:val="single" w:sz="4" w:space="0" w:color="auto"/>
              <w:left w:val="single" w:sz="4" w:space="0" w:color="auto"/>
              <w:bottom w:val="single" w:sz="4" w:space="0" w:color="auto"/>
              <w:right w:val="single" w:sz="4" w:space="0" w:color="auto"/>
            </w:tcBorders>
            <w:vAlign w:val="center"/>
          </w:tcPr>
          <w:p w14:paraId="4D5A5772"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Non</w:t>
            </w:r>
          </w:p>
        </w:tc>
      </w:tr>
      <w:tr w:rsidR="0009605B" w:rsidRPr="00420C1B" w14:paraId="53BAE50A"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tcPr>
          <w:p w14:paraId="7BCA4A26" w14:textId="77777777" w:rsidR="0009605B" w:rsidRPr="00857867" w:rsidRDefault="0009605B" w:rsidP="00C0347F">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1A8B932F" w14:textId="77777777" w:rsidR="0009605B" w:rsidRPr="00857867" w:rsidRDefault="0009605B" w:rsidP="00C0347F">
            <w:pPr>
              <w:spacing w:after="0" w:line="240" w:lineRule="auto"/>
              <w:rPr>
                <w:rFonts w:ascii="Times New Roman" w:eastAsia="Times New Roman" w:hAnsi="Times New Roman"/>
                <w:bCs/>
                <w:sz w:val="20"/>
                <w:szCs w:val="20"/>
              </w:rPr>
            </w:pPr>
          </w:p>
        </w:tc>
        <w:tc>
          <w:tcPr>
            <w:tcW w:w="1237" w:type="dxa"/>
            <w:gridSpan w:val="3"/>
            <w:tcBorders>
              <w:top w:val="single" w:sz="4" w:space="0" w:color="auto"/>
              <w:left w:val="single" w:sz="4" w:space="0" w:color="auto"/>
              <w:bottom w:val="single" w:sz="4" w:space="0" w:color="auto"/>
              <w:right w:val="single" w:sz="4" w:space="0" w:color="auto"/>
            </w:tcBorders>
          </w:tcPr>
          <w:p w14:paraId="779A43D1" w14:textId="77777777" w:rsidR="0009605B" w:rsidRPr="00857867" w:rsidRDefault="0009605B" w:rsidP="00C0347F">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793" w:type="dxa"/>
            <w:gridSpan w:val="5"/>
            <w:tcBorders>
              <w:top w:val="single" w:sz="4" w:space="0" w:color="auto"/>
              <w:left w:val="single" w:sz="4" w:space="0" w:color="auto"/>
              <w:bottom w:val="single" w:sz="4" w:space="0" w:color="auto"/>
              <w:right w:val="single" w:sz="4" w:space="0" w:color="auto"/>
            </w:tcBorders>
            <w:vAlign w:val="center"/>
          </w:tcPr>
          <w:p w14:paraId="7428AFA5"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57E73D8F" w14:textId="77777777" w:rsidR="0009605B" w:rsidRPr="00857867" w:rsidRDefault="0009605B" w:rsidP="00C0347F">
            <w:pPr>
              <w:spacing w:after="0" w:line="240" w:lineRule="auto"/>
              <w:jc w:val="center"/>
              <w:rPr>
                <w:rFonts w:ascii="Times New Roman" w:hAnsi="Times New Roman"/>
                <w:sz w:val="20"/>
                <w:szCs w:val="20"/>
              </w:rPr>
            </w:pPr>
          </w:p>
        </w:tc>
        <w:tc>
          <w:tcPr>
            <w:tcW w:w="1426" w:type="dxa"/>
            <w:gridSpan w:val="2"/>
            <w:tcBorders>
              <w:top w:val="single" w:sz="4" w:space="0" w:color="auto"/>
              <w:left w:val="single" w:sz="4" w:space="0" w:color="auto"/>
              <w:bottom w:val="single" w:sz="4" w:space="0" w:color="auto"/>
              <w:right w:val="single" w:sz="4" w:space="0" w:color="auto"/>
            </w:tcBorders>
            <w:vAlign w:val="center"/>
          </w:tcPr>
          <w:p w14:paraId="5D317116" w14:textId="77777777" w:rsidR="0009605B" w:rsidRPr="00857867" w:rsidRDefault="0009605B" w:rsidP="00C0347F">
            <w:pPr>
              <w:spacing w:after="0" w:line="240" w:lineRule="auto"/>
              <w:jc w:val="center"/>
              <w:rPr>
                <w:rFonts w:ascii="Times New Roman" w:hAnsi="Times New Roman"/>
                <w:sz w:val="20"/>
                <w:szCs w:val="20"/>
              </w:rPr>
            </w:pPr>
          </w:p>
        </w:tc>
      </w:tr>
      <w:tr w:rsidR="0009605B" w:rsidRPr="00420C1B" w14:paraId="7EB7AFB6"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tcPr>
          <w:p w14:paraId="43F1805B" w14:textId="77777777" w:rsidR="0009605B" w:rsidRPr="00857867" w:rsidRDefault="0009605B" w:rsidP="00C0347F">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2D60717" w14:textId="77777777" w:rsidR="0009605B" w:rsidRPr="00857867" w:rsidRDefault="0009605B" w:rsidP="00C0347F">
            <w:pPr>
              <w:spacing w:after="0" w:line="240" w:lineRule="auto"/>
              <w:rPr>
                <w:rFonts w:ascii="Times New Roman" w:eastAsia="Times New Roman" w:hAnsi="Times New Roman"/>
                <w:bCs/>
                <w:sz w:val="20"/>
                <w:szCs w:val="20"/>
              </w:rPr>
            </w:pPr>
          </w:p>
        </w:tc>
        <w:tc>
          <w:tcPr>
            <w:tcW w:w="1237" w:type="dxa"/>
            <w:gridSpan w:val="3"/>
            <w:tcBorders>
              <w:top w:val="single" w:sz="4" w:space="0" w:color="auto"/>
              <w:left w:val="single" w:sz="4" w:space="0" w:color="auto"/>
              <w:bottom w:val="single" w:sz="4" w:space="0" w:color="auto"/>
              <w:right w:val="single" w:sz="4" w:space="0" w:color="auto"/>
            </w:tcBorders>
            <w:vAlign w:val="center"/>
          </w:tcPr>
          <w:p w14:paraId="07DAC3A4"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Périodique</w:t>
            </w:r>
          </w:p>
        </w:tc>
        <w:tc>
          <w:tcPr>
            <w:tcW w:w="2793" w:type="dxa"/>
            <w:gridSpan w:val="5"/>
            <w:tcBorders>
              <w:top w:val="single" w:sz="4" w:space="0" w:color="auto"/>
              <w:left w:val="single" w:sz="4" w:space="0" w:color="auto"/>
              <w:bottom w:val="single" w:sz="4" w:space="0" w:color="auto"/>
              <w:right w:val="single" w:sz="4" w:space="0" w:color="auto"/>
            </w:tcBorders>
            <w:vAlign w:val="center"/>
          </w:tcPr>
          <w:p w14:paraId="6E902C96"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Juridique</w:t>
            </w:r>
          </w:p>
        </w:tc>
        <w:tc>
          <w:tcPr>
            <w:tcW w:w="1771" w:type="dxa"/>
            <w:gridSpan w:val="2"/>
            <w:tcBorders>
              <w:top w:val="single" w:sz="4" w:space="0" w:color="auto"/>
              <w:left w:val="single" w:sz="4" w:space="0" w:color="auto"/>
              <w:bottom w:val="single" w:sz="4" w:space="0" w:color="auto"/>
              <w:right w:val="single" w:sz="4" w:space="0" w:color="auto"/>
            </w:tcBorders>
            <w:vAlign w:val="center"/>
          </w:tcPr>
          <w:p w14:paraId="2C0B77AC" w14:textId="77777777" w:rsidR="0009605B" w:rsidRPr="00857867" w:rsidRDefault="0009605B" w:rsidP="00C0347F">
            <w:pPr>
              <w:spacing w:after="0" w:line="240" w:lineRule="auto"/>
              <w:jc w:val="center"/>
              <w:rPr>
                <w:rFonts w:ascii="Times New Roman" w:hAnsi="Times New Roman"/>
                <w:sz w:val="20"/>
                <w:szCs w:val="20"/>
              </w:rPr>
            </w:pPr>
          </w:p>
        </w:tc>
        <w:tc>
          <w:tcPr>
            <w:tcW w:w="1426" w:type="dxa"/>
            <w:gridSpan w:val="2"/>
            <w:tcBorders>
              <w:top w:val="single" w:sz="4" w:space="0" w:color="auto"/>
              <w:left w:val="single" w:sz="4" w:space="0" w:color="auto"/>
              <w:bottom w:val="single" w:sz="4" w:space="0" w:color="auto"/>
              <w:right w:val="single" w:sz="4" w:space="0" w:color="auto"/>
            </w:tcBorders>
            <w:vAlign w:val="center"/>
          </w:tcPr>
          <w:p w14:paraId="4EFABAA7" w14:textId="77777777" w:rsidR="0009605B" w:rsidRPr="00857867" w:rsidRDefault="0009605B" w:rsidP="00C0347F">
            <w:pPr>
              <w:spacing w:after="0" w:line="240" w:lineRule="auto"/>
              <w:jc w:val="center"/>
              <w:rPr>
                <w:rFonts w:ascii="Times New Roman" w:hAnsi="Times New Roman"/>
                <w:sz w:val="20"/>
                <w:szCs w:val="20"/>
              </w:rPr>
            </w:pPr>
          </w:p>
        </w:tc>
      </w:tr>
      <w:tr w:rsidR="0009605B" w:rsidRPr="00420C1B" w14:paraId="2B4DA002" w14:textId="77777777" w:rsidTr="00215867">
        <w:trPr>
          <w:jc w:val="center"/>
        </w:trPr>
        <w:tc>
          <w:tcPr>
            <w:tcW w:w="1709" w:type="dxa"/>
            <w:gridSpan w:val="2"/>
            <w:vMerge/>
            <w:tcBorders>
              <w:top w:val="single" w:sz="4" w:space="0" w:color="auto"/>
              <w:left w:val="single" w:sz="4" w:space="0" w:color="auto"/>
              <w:bottom w:val="single" w:sz="4" w:space="0" w:color="auto"/>
              <w:right w:val="single" w:sz="4" w:space="0" w:color="auto"/>
            </w:tcBorders>
            <w:vAlign w:val="center"/>
            <w:hideMark/>
          </w:tcPr>
          <w:p w14:paraId="67DCC3D0" w14:textId="77777777" w:rsidR="0009605B" w:rsidRPr="00857867" w:rsidRDefault="0009605B" w:rsidP="007108ED">
            <w:pPr>
              <w:spacing w:after="0" w:line="240" w:lineRule="auto"/>
              <w:rPr>
                <w:rFonts w:ascii="Times New Roman" w:hAnsi="Times New Roman"/>
                <w:b/>
                <w:sz w:val="20"/>
                <w:szCs w:val="20"/>
              </w:rPr>
            </w:pPr>
          </w:p>
        </w:tc>
        <w:tc>
          <w:tcPr>
            <w:tcW w:w="1059" w:type="dxa"/>
            <w:gridSpan w:val="3"/>
            <w:tcBorders>
              <w:top w:val="single" w:sz="4" w:space="0" w:color="auto"/>
              <w:left w:val="single" w:sz="4" w:space="0" w:color="auto"/>
              <w:bottom w:val="single" w:sz="4" w:space="0" w:color="auto"/>
              <w:right w:val="single" w:sz="4" w:space="0" w:color="auto"/>
            </w:tcBorders>
            <w:hideMark/>
          </w:tcPr>
          <w:p w14:paraId="1B50F594" w14:textId="77777777" w:rsidR="0009605B" w:rsidRPr="00857867" w:rsidRDefault="0009605B"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227" w:type="dxa"/>
            <w:gridSpan w:val="12"/>
            <w:tcBorders>
              <w:top w:val="single" w:sz="4" w:space="0" w:color="auto"/>
              <w:left w:val="single" w:sz="4" w:space="0" w:color="auto"/>
              <w:bottom w:val="single" w:sz="4" w:space="0" w:color="auto"/>
              <w:right w:val="single" w:sz="4" w:space="0" w:color="auto"/>
            </w:tcBorders>
            <w:hideMark/>
          </w:tcPr>
          <w:p w14:paraId="0BEA01A4" w14:textId="77777777" w:rsidR="0009605B" w:rsidRPr="00857867" w:rsidRDefault="0009605B" w:rsidP="005B6781">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La gestion des déchets de chantier pourrait générer des pollutions de l’air, eau et sol. Ces déchets solides risquent de se disperser et d’affecter la salubrité du site. Il s’agit des déchets générés par les excavations et de chantier (Matériau d’emballage, reste de peinture, câbles usés du papier, plastique etc.) Cet impact est limité localement, d’intensité moyenne et d’une durée longue et donc d’importance </w:t>
            </w:r>
            <w:r w:rsidRPr="00857867">
              <w:rPr>
                <w:rFonts w:ascii="Times New Roman" w:hAnsi="Times New Roman"/>
                <w:bCs/>
                <w:sz w:val="20"/>
                <w:szCs w:val="20"/>
              </w:rPr>
              <w:t xml:space="preserve">majeure. </w:t>
            </w:r>
          </w:p>
        </w:tc>
      </w:tr>
      <w:tr w:rsidR="0009605B" w:rsidRPr="00420C1B" w14:paraId="044D74EE" w14:textId="77777777" w:rsidTr="00215867">
        <w:trPr>
          <w:jc w:val="center"/>
        </w:trPr>
        <w:tc>
          <w:tcPr>
            <w:tcW w:w="3533" w:type="dxa"/>
            <w:gridSpan w:val="7"/>
            <w:tcBorders>
              <w:top w:val="single" w:sz="4" w:space="0" w:color="auto"/>
              <w:left w:val="single" w:sz="4" w:space="0" w:color="auto"/>
              <w:bottom w:val="single" w:sz="4" w:space="0" w:color="auto"/>
              <w:right w:val="single" w:sz="4" w:space="0" w:color="auto"/>
            </w:tcBorders>
            <w:hideMark/>
          </w:tcPr>
          <w:p w14:paraId="5C0045BD" w14:textId="77777777" w:rsidR="0009605B" w:rsidRPr="00857867" w:rsidRDefault="0009605B"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6462" w:type="dxa"/>
            <w:gridSpan w:val="10"/>
            <w:tcBorders>
              <w:top w:val="single" w:sz="4" w:space="0" w:color="auto"/>
              <w:left w:val="single" w:sz="4" w:space="0" w:color="auto"/>
              <w:bottom w:val="single" w:sz="4" w:space="0" w:color="auto"/>
              <w:right w:val="single" w:sz="4" w:space="0" w:color="auto"/>
            </w:tcBorders>
            <w:hideMark/>
          </w:tcPr>
          <w:p w14:paraId="11805BC6" w14:textId="77777777" w:rsidR="0009605B" w:rsidRPr="00857867" w:rsidRDefault="0009605B"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Mise en œuvre d’un Plan de gestion des déchets dans la zone d’évolution des travaux </w:t>
            </w:r>
          </w:p>
        </w:tc>
      </w:tr>
      <w:tr w:rsidR="0009605B" w:rsidRPr="00420C1B" w14:paraId="399F0C3E" w14:textId="77777777" w:rsidTr="00215867">
        <w:trPr>
          <w:jc w:val="center"/>
        </w:trPr>
        <w:tc>
          <w:tcPr>
            <w:tcW w:w="3533" w:type="dxa"/>
            <w:gridSpan w:val="7"/>
            <w:tcBorders>
              <w:top w:val="single" w:sz="4" w:space="0" w:color="auto"/>
              <w:left w:val="single" w:sz="4" w:space="0" w:color="auto"/>
              <w:bottom w:val="single" w:sz="4" w:space="0" w:color="auto"/>
              <w:right w:val="single" w:sz="4" w:space="0" w:color="auto"/>
            </w:tcBorders>
            <w:hideMark/>
          </w:tcPr>
          <w:p w14:paraId="2A8B7234" w14:textId="77777777" w:rsidR="0009605B" w:rsidRPr="00857867" w:rsidRDefault="0009605B"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42A90105" w14:textId="77777777" w:rsidR="0009605B" w:rsidRPr="00857867" w:rsidRDefault="0009605B"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Prévenir la contamination de l’air, du sol, des eaux de surface et des eaux souterraines</w:t>
            </w:r>
          </w:p>
        </w:tc>
        <w:tc>
          <w:tcPr>
            <w:tcW w:w="6462" w:type="dxa"/>
            <w:gridSpan w:val="10"/>
            <w:tcBorders>
              <w:top w:val="single" w:sz="4" w:space="0" w:color="auto"/>
              <w:left w:val="single" w:sz="4" w:space="0" w:color="auto"/>
              <w:bottom w:val="single" w:sz="4" w:space="0" w:color="auto"/>
              <w:right w:val="single" w:sz="4" w:space="0" w:color="auto"/>
            </w:tcBorders>
            <w:hideMark/>
          </w:tcPr>
          <w:p w14:paraId="6898E545" w14:textId="77777777" w:rsidR="0009605B" w:rsidRPr="00857867" w:rsidRDefault="0009605B"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4CA07AB5" w14:textId="77777777" w:rsidR="0009605B" w:rsidRPr="00857867" w:rsidRDefault="0009605B"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857867">
              <w:rPr>
                <w:rFonts w:ascii="Times New Roman" w:hAnsi="Times New Roman"/>
                <w:sz w:val="20"/>
                <w:szCs w:val="20"/>
              </w:rPr>
              <w:t>choisir l’emplacement approprié pour le stockage des déchets (à plus de 500 m de cours d’eau, sur un terrain à pente nulle, etc.) ;</w:t>
            </w:r>
          </w:p>
          <w:p w14:paraId="43904825" w14:textId="77777777" w:rsidR="0009605B" w:rsidRPr="00857867" w:rsidRDefault="0009605B" w:rsidP="008C79F0">
            <w:pPr>
              <w:numPr>
                <w:ilvl w:val="0"/>
                <w:numId w:val="31"/>
              </w:numPr>
              <w:autoSpaceDE w:val="0"/>
              <w:autoSpaceDN w:val="0"/>
              <w:adjustRightInd w:val="0"/>
              <w:spacing w:after="0" w:line="240" w:lineRule="auto"/>
              <w:ind w:left="218" w:hanging="218"/>
              <w:jc w:val="both"/>
              <w:rPr>
                <w:rFonts w:ascii="Times New Roman" w:eastAsia="Times New Roman" w:hAnsi="Times New Roman"/>
                <w:sz w:val="20"/>
                <w:szCs w:val="20"/>
                <w:lang w:eastAsia="fr-FR"/>
              </w:rPr>
            </w:pPr>
            <w:r w:rsidRPr="00857867">
              <w:rPr>
                <w:rFonts w:ascii="Times New Roman" w:hAnsi="Times New Roman"/>
                <w:sz w:val="20"/>
                <w:szCs w:val="20"/>
              </w:rPr>
              <w:t>mettre en place un plan de gestion des déchets de chantier (surtout les déchets dangereux) ;</w:t>
            </w:r>
          </w:p>
          <w:p w14:paraId="112C9DD8" w14:textId="77777777" w:rsidR="0009605B" w:rsidRPr="00857867" w:rsidRDefault="0009605B" w:rsidP="008C79F0">
            <w:pPr>
              <w:numPr>
                <w:ilvl w:val="0"/>
                <w:numId w:val="31"/>
              </w:numPr>
              <w:autoSpaceDE w:val="0"/>
              <w:autoSpaceDN w:val="0"/>
              <w:adjustRightInd w:val="0"/>
              <w:spacing w:after="0" w:line="240" w:lineRule="auto"/>
              <w:ind w:left="218" w:hanging="218"/>
              <w:jc w:val="both"/>
              <w:rPr>
                <w:rFonts w:ascii="Times New Roman" w:eastAsia="Times New Roman" w:hAnsi="Times New Roman"/>
                <w:sz w:val="20"/>
                <w:szCs w:val="20"/>
                <w:lang w:eastAsia="fr-FR"/>
              </w:rPr>
            </w:pPr>
            <w:r w:rsidRPr="00857867">
              <w:rPr>
                <w:rFonts w:ascii="Times New Roman" w:hAnsi="Times New Roman"/>
                <w:sz w:val="20"/>
                <w:szCs w:val="20"/>
              </w:rPr>
              <w:t>former le personnel de l’entreprise en charge des travaux sur la gestion des déchets ;</w:t>
            </w:r>
          </w:p>
          <w:p w14:paraId="77B0183E" w14:textId="77777777" w:rsidR="0009605B" w:rsidRPr="00857867" w:rsidRDefault="0009605B" w:rsidP="008C79F0">
            <w:pPr>
              <w:numPr>
                <w:ilvl w:val="0"/>
                <w:numId w:val="31"/>
              </w:numPr>
              <w:autoSpaceDE w:val="0"/>
              <w:autoSpaceDN w:val="0"/>
              <w:adjustRightInd w:val="0"/>
              <w:spacing w:after="0" w:line="240" w:lineRule="auto"/>
              <w:ind w:left="218" w:hanging="218"/>
              <w:jc w:val="both"/>
              <w:rPr>
                <w:rFonts w:ascii="Times New Roman" w:eastAsia="Times New Roman" w:hAnsi="Times New Roman"/>
                <w:sz w:val="20"/>
                <w:szCs w:val="20"/>
                <w:lang w:eastAsia="fr-FR"/>
              </w:rPr>
            </w:pPr>
            <w:r w:rsidRPr="00857867">
              <w:rPr>
                <w:rFonts w:ascii="Times New Roman" w:hAnsi="Times New Roman"/>
                <w:sz w:val="20"/>
                <w:szCs w:val="20"/>
              </w:rPr>
              <w:t>interdire formellement aux employés de laver les engins et autres matériels (bétonneuse, brouettes, etc.) dans les cours d’eau.</w:t>
            </w:r>
          </w:p>
        </w:tc>
      </w:tr>
      <w:tr w:rsidR="0009605B" w:rsidRPr="00420C1B" w14:paraId="272036C4" w14:textId="77777777" w:rsidTr="00215867">
        <w:trPr>
          <w:jc w:val="center"/>
        </w:trPr>
        <w:tc>
          <w:tcPr>
            <w:tcW w:w="3533" w:type="dxa"/>
            <w:gridSpan w:val="7"/>
            <w:tcBorders>
              <w:top w:val="single" w:sz="4" w:space="0" w:color="auto"/>
              <w:left w:val="single" w:sz="4" w:space="0" w:color="auto"/>
              <w:bottom w:val="single" w:sz="4" w:space="0" w:color="auto"/>
              <w:right w:val="single" w:sz="4" w:space="0" w:color="auto"/>
            </w:tcBorders>
          </w:tcPr>
          <w:p w14:paraId="25A57AF8" w14:textId="77777777" w:rsidR="0009605B" w:rsidRPr="00857867" w:rsidRDefault="0009605B" w:rsidP="007108ED">
            <w:pPr>
              <w:spacing w:after="0" w:line="240" w:lineRule="auto"/>
              <w:jc w:val="right"/>
              <w:rPr>
                <w:rFonts w:ascii="Times New Roman" w:hAnsi="Times New Roman"/>
                <w:b/>
                <w:sz w:val="20"/>
                <w:szCs w:val="20"/>
              </w:rPr>
            </w:pPr>
            <w:r w:rsidRPr="00857867">
              <w:rPr>
                <w:rFonts w:ascii="Times New Roman" w:hAnsi="Times New Roman"/>
                <w:b/>
                <w:sz w:val="20"/>
                <w:szCs w:val="20"/>
              </w:rPr>
              <w:t>Impact résiduel</w:t>
            </w:r>
          </w:p>
        </w:tc>
        <w:tc>
          <w:tcPr>
            <w:tcW w:w="6462" w:type="dxa"/>
            <w:gridSpan w:val="10"/>
            <w:tcBorders>
              <w:top w:val="single" w:sz="4" w:space="0" w:color="auto"/>
              <w:left w:val="single" w:sz="4" w:space="0" w:color="auto"/>
              <w:bottom w:val="single" w:sz="4" w:space="0" w:color="auto"/>
              <w:right w:val="single" w:sz="4" w:space="0" w:color="auto"/>
            </w:tcBorders>
          </w:tcPr>
          <w:p w14:paraId="586B4AC4"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09605B" w:rsidRPr="00420C1B" w14:paraId="302DEC1F" w14:textId="77777777" w:rsidTr="0009605B">
        <w:trPr>
          <w:jc w:val="center"/>
        </w:trPr>
        <w:tc>
          <w:tcPr>
            <w:tcW w:w="2512" w:type="dxa"/>
            <w:gridSpan w:val="4"/>
            <w:tcBorders>
              <w:top w:val="single" w:sz="4" w:space="0" w:color="auto"/>
              <w:left w:val="single" w:sz="4" w:space="0" w:color="auto"/>
              <w:bottom w:val="single" w:sz="4" w:space="0" w:color="auto"/>
              <w:right w:val="single" w:sz="4" w:space="0" w:color="auto"/>
            </w:tcBorders>
          </w:tcPr>
          <w:p w14:paraId="19E1D6D2"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07FAF30F" w14:textId="77777777" w:rsidR="0009605B" w:rsidRPr="00857867" w:rsidRDefault="0009605B"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MdC ;</w:t>
            </w:r>
          </w:p>
          <w:p w14:paraId="414B45D7" w14:textId="77777777" w:rsidR="0009605B" w:rsidRPr="00857867" w:rsidRDefault="0009605B"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ACE ;</w:t>
            </w:r>
          </w:p>
          <w:p w14:paraId="7FC31634" w14:textId="77777777" w:rsidR="0009605B" w:rsidRPr="00857867" w:rsidRDefault="0009605B"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BUE. </w:t>
            </w:r>
          </w:p>
        </w:tc>
        <w:tc>
          <w:tcPr>
            <w:tcW w:w="2858" w:type="dxa"/>
            <w:gridSpan w:val="6"/>
            <w:tcBorders>
              <w:top w:val="single" w:sz="4" w:space="0" w:color="auto"/>
              <w:left w:val="single" w:sz="4" w:space="0" w:color="auto"/>
              <w:bottom w:val="single" w:sz="4" w:space="0" w:color="auto"/>
              <w:right w:val="single" w:sz="4" w:space="0" w:color="auto"/>
            </w:tcBorders>
          </w:tcPr>
          <w:p w14:paraId="7A37C591"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48A35578" w14:textId="77777777" w:rsidR="0009605B" w:rsidRPr="00857867" w:rsidRDefault="0009605B"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3D12B7EF" w14:textId="77777777" w:rsidR="0009605B" w:rsidRPr="00857867" w:rsidRDefault="0009605B"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 ;</w:t>
            </w:r>
          </w:p>
          <w:p w14:paraId="12270F6A" w14:textId="77777777" w:rsidR="0009605B" w:rsidRPr="00857867" w:rsidRDefault="0009605B"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4625" w:type="dxa"/>
            <w:gridSpan w:val="7"/>
            <w:tcBorders>
              <w:top w:val="single" w:sz="4" w:space="0" w:color="auto"/>
              <w:left w:val="single" w:sz="4" w:space="0" w:color="auto"/>
              <w:bottom w:val="single" w:sz="4" w:space="0" w:color="auto"/>
              <w:right w:val="single" w:sz="4" w:space="0" w:color="auto"/>
            </w:tcBorders>
          </w:tcPr>
          <w:p w14:paraId="7F8702D6"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7984C7D2" w14:textId="77777777" w:rsidR="0009605B" w:rsidRPr="00857867" w:rsidRDefault="0009605B" w:rsidP="008C79F0">
            <w:pPr>
              <w:numPr>
                <w:ilvl w:val="0"/>
                <w:numId w:val="31"/>
              </w:numPr>
              <w:autoSpaceDE w:val="0"/>
              <w:autoSpaceDN w:val="0"/>
              <w:adjustRightInd w:val="0"/>
              <w:spacing w:after="0" w:line="240" w:lineRule="auto"/>
              <w:ind w:left="200" w:hanging="200"/>
              <w:contextualSpacing/>
              <w:jc w:val="both"/>
              <w:rPr>
                <w:rFonts w:ascii="Times New Roman" w:hAnsi="Times New Roman"/>
                <w:sz w:val="20"/>
                <w:szCs w:val="20"/>
              </w:rPr>
            </w:pPr>
            <w:r w:rsidRPr="00857867">
              <w:rPr>
                <w:rFonts w:ascii="Times New Roman" w:hAnsi="Times New Roman"/>
                <w:sz w:val="20"/>
                <w:szCs w:val="20"/>
              </w:rPr>
              <w:t>Aucune trace de déchet de chantier observée dans la zone des travaux et dans la base vie ;</w:t>
            </w:r>
          </w:p>
          <w:p w14:paraId="75F2BBB2" w14:textId="77777777" w:rsidR="0009605B" w:rsidRPr="00857867" w:rsidRDefault="0009605B" w:rsidP="008C79F0">
            <w:pPr>
              <w:numPr>
                <w:ilvl w:val="0"/>
                <w:numId w:val="31"/>
              </w:numPr>
              <w:autoSpaceDE w:val="0"/>
              <w:autoSpaceDN w:val="0"/>
              <w:adjustRightInd w:val="0"/>
              <w:spacing w:after="0" w:line="240" w:lineRule="auto"/>
              <w:ind w:left="200" w:hanging="200"/>
              <w:contextualSpacing/>
              <w:jc w:val="both"/>
              <w:rPr>
                <w:rFonts w:ascii="Times New Roman" w:hAnsi="Times New Roman"/>
                <w:sz w:val="20"/>
                <w:szCs w:val="20"/>
              </w:rPr>
            </w:pPr>
            <w:r w:rsidRPr="00857867">
              <w:rPr>
                <w:rFonts w:ascii="Times New Roman" w:hAnsi="Times New Roman"/>
                <w:sz w:val="20"/>
                <w:szCs w:val="20"/>
              </w:rPr>
              <w:t>PV de sensibilisation sur la gestion des déchets ;</w:t>
            </w:r>
          </w:p>
          <w:p w14:paraId="7C1797F7" w14:textId="77777777" w:rsidR="0009605B" w:rsidRPr="00857867" w:rsidRDefault="0009605B" w:rsidP="008C79F0">
            <w:pPr>
              <w:numPr>
                <w:ilvl w:val="0"/>
                <w:numId w:val="31"/>
              </w:numPr>
              <w:autoSpaceDE w:val="0"/>
              <w:autoSpaceDN w:val="0"/>
              <w:adjustRightInd w:val="0"/>
              <w:spacing w:after="0" w:line="240" w:lineRule="auto"/>
              <w:ind w:left="200" w:hanging="200"/>
              <w:contextualSpacing/>
              <w:jc w:val="both"/>
              <w:rPr>
                <w:rFonts w:ascii="Times New Roman" w:hAnsi="Times New Roman"/>
                <w:sz w:val="20"/>
                <w:szCs w:val="20"/>
              </w:rPr>
            </w:pPr>
            <w:r w:rsidRPr="00857867">
              <w:rPr>
                <w:rFonts w:ascii="Times New Roman" w:hAnsi="Times New Roman"/>
                <w:sz w:val="20"/>
                <w:szCs w:val="20"/>
              </w:rPr>
              <w:t>Présence effective des bacs à ordures sur le chantier et dans la base vie</w:t>
            </w:r>
          </w:p>
        </w:tc>
      </w:tr>
      <w:tr w:rsidR="0009605B" w:rsidRPr="00420C1B" w14:paraId="3FDC4B9C" w14:textId="77777777" w:rsidTr="00215867">
        <w:trPr>
          <w:gridBefore w:val="1"/>
          <w:wBefore w:w="19" w:type="dxa"/>
          <w:trHeight w:val="625"/>
          <w:jc w:val="center"/>
        </w:trPr>
        <w:tc>
          <w:tcPr>
            <w:tcW w:w="1710" w:type="dxa"/>
            <w:gridSpan w:val="2"/>
            <w:tcBorders>
              <w:top w:val="single" w:sz="4" w:space="0" w:color="auto"/>
              <w:left w:val="single" w:sz="4" w:space="0" w:color="auto"/>
              <w:bottom w:val="single" w:sz="4" w:space="0" w:color="auto"/>
              <w:right w:val="single" w:sz="4" w:space="0" w:color="auto"/>
            </w:tcBorders>
            <w:hideMark/>
          </w:tcPr>
          <w:p w14:paraId="6CC831CF"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783" w:type="dxa"/>
            <w:tcBorders>
              <w:top w:val="single" w:sz="4" w:space="0" w:color="auto"/>
              <w:left w:val="single" w:sz="4" w:space="0" w:color="auto"/>
              <w:bottom w:val="single" w:sz="4" w:space="0" w:color="auto"/>
              <w:right w:val="single" w:sz="4" w:space="0" w:color="auto"/>
            </w:tcBorders>
            <w:hideMark/>
          </w:tcPr>
          <w:p w14:paraId="572BB627"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004" w:type="dxa"/>
            <w:gridSpan w:val="2"/>
            <w:tcBorders>
              <w:top w:val="single" w:sz="4" w:space="0" w:color="auto"/>
              <w:left w:val="single" w:sz="4" w:space="0" w:color="auto"/>
              <w:bottom w:val="single" w:sz="4" w:space="0" w:color="auto"/>
              <w:right w:val="single" w:sz="4" w:space="0" w:color="auto"/>
            </w:tcBorders>
          </w:tcPr>
          <w:p w14:paraId="42F7DBFF" w14:textId="77777777" w:rsidR="0009605B" w:rsidRPr="00857867" w:rsidRDefault="0009605B"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39BF99B5"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p>
        </w:tc>
        <w:tc>
          <w:tcPr>
            <w:tcW w:w="1124" w:type="dxa"/>
            <w:gridSpan w:val="3"/>
            <w:tcBorders>
              <w:top w:val="single" w:sz="4" w:space="0" w:color="auto"/>
              <w:left w:val="single" w:sz="4" w:space="0" w:color="auto"/>
              <w:bottom w:val="single" w:sz="4" w:space="0" w:color="auto"/>
              <w:right w:val="single" w:sz="4" w:space="0" w:color="auto"/>
            </w:tcBorders>
          </w:tcPr>
          <w:p w14:paraId="067886F4" w14:textId="77777777" w:rsidR="0009605B" w:rsidRPr="00857867" w:rsidRDefault="0009605B" w:rsidP="00E737B4">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038" w:type="dxa"/>
            <w:gridSpan w:val="2"/>
            <w:tcBorders>
              <w:top w:val="single" w:sz="4" w:space="0" w:color="auto"/>
              <w:left w:val="single" w:sz="4" w:space="0" w:color="auto"/>
              <w:bottom w:val="single" w:sz="4" w:space="0" w:color="auto"/>
              <w:right w:val="single" w:sz="4" w:space="0" w:color="auto"/>
            </w:tcBorders>
          </w:tcPr>
          <w:p w14:paraId="58DDFC15" w14:textId="77777777" w:rsidR="0009605B" w:rsidRPr="00857867" w:rsidRDefault="0009605B"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p w14:paraId="571C895E"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p>
        </w:tc>
        <w:tc>
          <w:tcPr>
            <w:tcW w:w="1922" w:type="dxa"/>
            <w:gridSpan w:val="3"/>
            <w:tcBorders>
              <w:top w:val="single" w:sz="4" w:space="0" w:color="auto"/>
              <w:left w:val="single" w:sz="4" w:space="0" w:color="auto"/>
              <w:bottom w:val="single" w:sz="4" w:space="0" w:color="auto"/>
              <w:right w:val="single" w:sz="4" w:space="0" w:color="auto"/>
            </w:tcBorders>
          </w:tcPr>
          <w:p w14:paraId="7CCECFE2" w14:textId="77777777" w:rsidR="0009605B" w:rsidRPr="00857867" w:rsidRDefault="0009605B"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250A1128"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p>
        </w:tc>
        <w:tc>
          <w:tcPr>
            <w:tcW w:w="1207" w:type="dxa"/>
            <w:gridSpan w:val="2"/>
            <w:tcBorders>
              <w:top w:val="single" w:sz="4" w:space="0" w:color="auto"/>
              <w:left w:val="single" w:sz="4" w:space="0" w:color="auto"/>
              <w:bottom w:val="single" w:sz="4" w:space="0" w:color="auto"/>
              <w:right w:val="single" w:sz="4" w:space="0" w:color="auto"/>
            </w:tcBorders>
            <w:hideMark/>
          </w:tcPr>
          <w:p w14:paraId="0E40EF58"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1188" w:type="dxa"/>
            <w:tcBorders>
              <w:top w:val="single" w:sz="4" w:space="0" w:color="auto"/>
              <w:left w:val="single" w:sz="4" w:space="0" w:color="auto"/>
              <w:bottom w:val="single" w:sz="4" w:space="0" w:color="auto"/>
              <w:right w:val="single" w:sz="4" w:space="0" w:color="auto"/>
            </w:tcBorders>
            <w:hideMark/>
          </w:tcPr>
          <w:p w14:paraId="6C2AC534"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09605B" w:rsidRPr="00420C1B" w14:paraId="3FE76C22" w14:textId="77777777" w:rsidTr="00215867">
        <w:trPr>
          <w:gridBefore w:val="1"/>
          <w:wBefore w:w="19" w:type="dxa"/>
          <w:trHeight w:val="336"/>
          <w:jc w:val="center"/>
        </w:trPr>
        <w:tc>
          <w:tcPr>
            <w:tcW w:w="1710" w:type="dxa"/>
            <w:gridSpan w:val="2"/>
            <w:tcBorders>
              <w:top w:val="single" w:sz="4" w:space="0" w:color="auto"/>
              <w:left w:val="single" w:sz="4" w:space="0" w:color="auto"/>
              <w:bottom w:val="single" w:sz="4" w:space="0" w:color="auto"/>
              <w:right w:val="single" w:sz="4" w:space="0" w:color="auto"/>
            </w:tcBorders>
          </w:tcPr>
          <w:p w14:paraId="014D72EC" w14:textId="77777777" w:rsidR="0009605B" w:rsidRPr="00420C1B" w:rsidRDefault="0009605B"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 xml:space="preserve">IEC sur la gestion des déchets </w:t>
            </w:r>
          </w:p>
        </w:tc>
        <w:tc>
          <w:tcPr>
            <w:tcW w:w="783" w:type="dxa"/>
            <w:tcBorders>
              <w:top w:val="single" w:sz="4" w:space="0" w:color="auto"/>
              <w:left w:val="single" w:sz="4" w:space="0" w:color="auto"/>
              <w:bottom w:val="single" w:sz="4" w:space="0" w:color="auto"/>
              <w:right w:val="single" w:sz="4" w:space="0" w:color="auto"/>
            </w:tcBorders>
          </w:tcPr>
          <w:p w14:paraId="133E73A5"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Séance</w:t>
            </w:r>
          </w:p>
        </w:tc>
        <w:tc>
          <w:tcPr>
            <w:tcW w:w="1004" w:type="dxa"/>
            <w:gridSpan w:val="2"/>
            <w:tcBorders>
              <w:top w:val="single" w:sz="4" w:space="0" w:color="auto"/>
              <w:left w:val="single" w:sz="4" w:space="0" w:color="auto"/>
              <w:bottom w:val="single" w:sz="4" w:space="0" w:color="auto"/>
              <w:right w:val="single" w:sz="4" w:space="0" w:color="auto"/>
            </w:tcBorders>
          </w:tcPr>
          <w:p w14:paraId="5DE7455A"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p>
        </w:tc>
        <w:tc>
          <w:tcPr>
            <w:tcW w:w="1124" w:type="dxa"/>
            <w:gridSpan w:val="3"/>
            <w:tcBorders>
              <w:top w:val="single" w:sz="4" w:space="0" w:color="auto"/>
              <w:left w:val="single" w:sz="4" w:space="0" w:color="auto"/>
              <w:bottom w:val="single" w:sz="4" w:space="0" w:color="auto"/>
              <w:right w:val="single" w:sz="4" w:space="0" w:color="auto"/>
            </w:tcBorders>
          </w:tcPr>
          <w:p w14:paraId="0C5C6CD2"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p>
        </w:tc>
        <w:tc>
          <w:tcPr>
            <w:tcW w:w="1038" w:type="dxa"/>
            <w:gridSpan w:val="2"/>
            <w:tcBorders>
              <w:top w:val="single" w:sz="4" w:space="0" w:color="auto"/>
              <w:left w:val="single" w:sz="4" w:space="0" w:color="auto"/>
              <w:bottom w:val="single" w:sz="4" w:space="0" w:color="auto"/>
              <w:right w:val="single" w:sz="4" w:space="0" w:color="auto"/>
            </w:tcBorders>
          </w:tcPr>
          <w:p w14:paraId="50C76B49"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p>
        </w:tc>
        <w:tc>
          <w:tcPr>
            <w:tcW w:w="1922" w:type="dxa"/>
            <w:gridSpan w:val="3"/>
            <w:tcBorders>
              <w:top w:val="single" w:sz="4" w:space="0" w:color="auto"/>
              <w:left w:val="single" w:sz="4" w:space="0" w:color="auto"/>
              <w:bottom w:val="single" w:sz="4" w:space="0" w:color="auto"/>
              <w:right w:val="single" w:sz="4" w:space="0" w:color="auto"/>
            </w:tcBorders>
          </w:tcPr>
          <w:p w14:paraId="0D6BB5CD"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p>
        </w:tc>
        <w:tc>
          <w:tcPr>
            <w:tcW w:w="1207" w:type="dxa"/>
            <w:gridSpan w:val="2"/>
            <w:tcBorders>
              <w:top w:val="single" w:sz="4" w:space="0" w:color="auto"/>
              <w:left w:val="single" w:sz="4" w:space="0" w:color="auto"/>
              <w:bottom w:val="single" w:sz="4" w:space="0" w:color="auto"/>
              <w:right w:val="single" w:sz="4" w:space="0" w:color="auto"/>
            </w:tcBorders>
          </w:tcPr>
          <w:p w14:paraId="782A2A9F" w14:textId="77777777" w:rsidR="0009605B" w:rsidRPr="00420C1B" w:rsidRDefault="0009605B" w:rsidP="007108ED">
            <w:pPr>
              <w:autoSpaceDE w:val="0"/>
              <w:autoSpaceDN w:val="0"/>
              <w:adjustRightInd w:val="0"/>
              <w:spacing w:after="0" w:line="240" w:lineRule="auto"/>
              <w:jc w:val="center"/>
              <w:rPr>
                <w:rFonts w:ascii="Times New Roman" w:hAnsi="Times New Roman"/>
                <w:sz w:val="20"/>
                <w:szCs w:val="20"/>
              </w:rPr>
            </w:pPr>
          </w:p>
        </w:tc>
        <w:tc>
          <w:tcPr>
            <w:tcW w:w="1188" w:type="dxa"/>
            <w:vMerge w:val="restart"/>
            <w:tcBorders>
              <w:top w:val="single" w:sz="4" w:space="0" w:color="auto"/>
              <w:left w:val="single" w:sz="4" w:space="0" w:color="auto"/>
              <w:right w:val="single" w:sz="4" w:space="0" w:color="auto"/>
            </w:tcBorders>
          </w:tcPr>
          <w:p w14:paraId="04B21BF6" w14:textId="77777777" w:rsidR="0009605B" w:rsidRPr="00420C1B" w:rsidRDefault="0009605B"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09605B" w:rsidRPr="00420C1B" w14:paraId="49D36E8E" w14:textId="77777777" w:rsidTr="00215867">
        <w:trPr>
          <w:gridBefore w:val="1"/>
          <w:wBefore w:w="19" w:type="dxa"/>
          <w:trHeight w:val="63"/>
          <w:jc w:val="center"/>
        </w:trPr>
        <w:tc>
          <w:tcPr>
            <w:tcW w:w="1710" w:type="dxa"/>
            <w:gridSpan w:val="2"/>
            <w:tcBorders>
              <w:top w:val="single" w:sz="4" w:space="0" w:color="auto"/>
              <w:left w:val="single" w:sz="4" w:space="0" w:color="auto"/>
              <w:bottom w:val="single" w:sz="4" w:space="0" w:color="auto"/>
              <w:right w:val="single" w:sz="4" w:space="0" w:color="auto"/>
            </w:tcBorders>
          </w:tcPr>
          <w:p w14:paraId="2C2C1DEF" w14:textId="77777777" w:rsidR="0009605B" w:rsidRPr="00420C1B" w:rsidRDefault="0009605B"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 xml:space="preserve">Total </w:t>
            </w:r>
          </w:p>
        </w:tc>
        <w:tc>
          <w:tcPr>
            <w:tcW w:w="7078" w:type="dxa"/>
            <w:gridSpan w:val="13"/>
            <w:tcBorders>
              <w:top w:val="single" w:sz="4" w:space="0" w:color="auto"/>
              <w:left w:val="single" w:sz="4" w:space="0" w:color="auto"/>
              <w:bottom w:val="single" w:sz="4" w:space="0" w:color="auto"/>
              <w:right w:val="single" w:sz="4" w:space="0" w:color="auto"/>
            </w:tcBorders>
          </w:tcPr>
          <w:p w14:paraId="33851B8A" w14:textId="77777777" w:rsidR="0009605B" w:rsidRPr="00420C1B" w:rsidRDefault="0009605B" w:rsidP="00875C40">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Déjà budgétisé dans le code 03</w:t>
            </w:r>
          </w:p>
        </w:tc>
        <w:tc>
          <w:tcPr>
            <w:tcW w:w="1188" w:type="dxa"/>
            <w:vMerge/>
            <w:tcBorders>
              <w:left w:val="single" w:sz="4" w:space="0" w:color="auto"/>
              <w:bottom w:val="single" w:sz="4" w:space="0" w:color="auto"/>
              <w:right w:val="single" w:sz="4" w:space="0" w:color="auto"/>
            </w:tcBorders>
          </w:tcPr>
          <w:p w14:paraId="147E3C13" w14:textId="77777777" w:rsidR="0009605B" w:rsidRPr="00420C1B" w:rsidRDefault="0009605B" w:rsidP="007108ED">
            <w:pPr>
              <w:autoSpaceDE w:val="0"/>
              <w:autoSpaceDN w:val="0"/>
              <w:adjustRightInd w:val="0"/>
              <w:spacing w:after="0" w:line="240" w:lineRule="auto"/>
              <w:rPr>
                <w:rFonts w:ascii="Times New Roman" w:hAnsi="Times New Roman"/>
                <w:b/>
                <w:sz w:val="20"/>
                <w:szCs w:val="20"/>
              </w:rPr>
            </w:pPr>
          </w:p>
        </w:tc>
      </w:tr>
    </w:tbl>
    <w:p w14:paraId="4F452CA1" w14:textId="77777777" w:rsidR="00ED17F3" w:rsidRPr="00857867" w:rsidRDefault="00ED17F3" w:rsidP="00ED17F3">
      <w:pPr>
        <w:pStyle w:val="Paragraphedeliste"/>
        <w:rPr>
          <w:rFonts w:ascii="Times New Roman" w:eastAsia="Times New Roman" w:hAnsi="Times New Roman"/>
          <w:iCs/>
          <w:u w:val="single"/>
        </w:rPr>
      </w:pPr>
    </w:p>
    <w:p w14:paraId="2BCDFDAC" w14:textId="77777777" w:rsidR="00ED17F3" w:rsidRPr="00857867" w:rsidRDefault="00ED17F3" w:rsidP="00ED17F3">
      <w:pPr>
        <w:pStyle w:val="Paragraphedeliste"/>
        <w:rPr>
          <w:rFonts w:ascii="Times New Roman" w:eastAsia="Times New Roman" w:hAnsi="Times New Roman"/>
          <w:iCs/>
          <w:u w:val="single"/>
        </w:rPr>
      </w:pPr>
    </w:p>
    <w:p w14:paraId="18897984" w14:textId="77777777" w:rsidR="00ED17F3" w:rsidRPr="00857867" w:rsidRDefault="00ED17F3" w:rsidP="00ED17F3">
      <w:pPr>
        <w:pStyle w:val="Paragraphedeliste"/>
        <w:rPr>
          <w:rFonts w:ascii="Times New Roman" w:eastAsia="Times New Roman" w:hAnsi="Times New Roman"/>
          <w:iCs/>
          <w:u w:val="single"/>
        </w:rPr>
      </w:pPr>
    </w:p>
    <w:p w14:paraId="6D07821C" w14:textId="77777777" w:rsidR="00875C40" w:rsidRPr="00857867" w:rsidRDefault="00875C40">
      <w:pPr>
        <w:rPr>
          <w:rFonts w:ascii="Times New Roman" w:eastAsia="Times New Roman" w:hAnsi="Times New Roman"/>
          <w:iCs/>
          <w:u w:val="single"/>
        </w:rPr>
      </w:pPr>
      <w:r w:rsidRPr="00857867">
        <w:rPr>
          <w:rFonts w:ascii="Times New Roman" w:eastAsia="Times New Roman" w:hAnsi="Times New Roman"/>
          <w:iCs/>
          <w:u w:val="single"/>
        </w:rPr>
        <w:br w:type="page"/>
      </w:r>
    </w:p>
    <w:p w14:paraId="54175F1C" w14:textId="77777777" w:rsidR="00ED17F3" w:rsidRPr="00E737B4" w:rsidRDefault="00ED17F3" w:rsidP="008C79F0">
      <w:pPr>
        <w:pStyle w:val="Paragraphedeliste"/>
        <w:numPr>
          <w:ilvl w:val="0"/>
          <w:numId w:val="39"/>
        </w:numPr>
        <w:spacing w:after="120" w:line="240" w:lineRule="auto"/>
        <w:ind w:left="714" w:hanging="357"/>
        <w:contextualSpacing w:val="0"/>
        <w:rPr>
          <w:rFonts w:ascii="Times New Roman" w:eastAsia="Times New Roman" w:hAnsi="Times New Roman"/>
          <w:iCs/>
          <w:sz w:val="24"/>
          <w:szCs w:val="24"/>
          <w:u w:val="single"/>
        </w:rPr>
      </w:pPr>
      <w:r w:rsidRPr="00E737B4">
        <w:rPr>
          <w:rFonts w:ascii="Times New Roman" w:eastAsia="Times New Roman" w:hAnsi="Times New Roman"/>
          <w:iCs/>
          <w:sz w:val="24"/>
          <w:szCs w:val="24"/>
          <w:u w:val="single"/>
        </w:rPr>
        <w:t>Phase d’exploitation</w:t>
      </w:r>
    </w:p>
    <w:p w14:paraId="1FA8A797" w14:textId="2B236EB6" w:rsidR="00ED17F3" w:rsidRPr="00E737B4" w:rsidRDefault="00ED17F3" w:rsidP="00BD6279">
      <w:pPr>
        <w:pStyle w:val="Lgende"/>
        <w:keepNext/>
        <w:spacing w:after="120"/>
        <w:rPr>
          <w:color w:val="auto"/>
          <w:sz w:val="24"/>
          <w:szCs w:val="24"/>
        </w:rPr>
      </w:pPr>
      <w:bookmarkStart w:id="616" w:name="_Toc93050296"/>
      <w:bookmarkStart w:id="617" w:name="_Toc519048935"/>
      <w:r w:rsidRPr="00E737B4">
        <w:rPr>
          <w:color w:val="auto"/>
          <w:sz w:val="24"/>
          <w:szCs w:val="24"/>
        </w:rPr>
        <w:t xml:space="preserve">Tableau </w:t>
      </w:r>
      <w:r w:rsidRPr="00E737B4">
        <w:rPr>
          <w:noProof/>
          <w:color w:val="auto"/>
          <w:sz w:val="24"/>
          <w:szCs w:val="24"/>
        </w:rPr>
        <w:fldChar w:fldCharType="begin"/>
      </w:r>
      <w:r w:rsidRPr="00E737B4">
        <w:rPr>
          <w:noProof/>
          <w:color w:val="auto"/>
          <w:sz w:val="24"/>
          <w:szCs w:val="24"/>
        </w:rPr>
        <w:instrText xml:space="preserve"> SEQ Tableau \* ARABIC </w:instrText>
      </w:r>
      <w:r w:rsidRPr="00E737B4">
        <w:rPr>
          <w:noProof/>
          <w:color w:val="auto"/>
          <w:sz w:val="24"/>
          <w:szCs w:val="24"/>
        </w:rPr>
        <w:fldChar w:fldCharType="separate"/>
      </w:r>
      <w:r w:rsidR="00BD6279">
        <w:rPr>
          <w:noProof/>
          <w:color w:val="auto"/>
          <w:sz w:val="24"/>
          <w:szCs w:val="24"/>
        </w:rPr>
        <w:t>34</w:t>
      </w:r>
      <w:r w:rsidRPr="00E737B4">
        <w:rPr>
          <w:noProof/>
          <w:color w:val="auto"/>
          <w:sz w:val="24"/>
          <w:szCs w:val="24"/>
        </w:rPr>
        <w:fldChar w:fldCharType="end"/>
      </w:r>
      <w:r w:rsidRPr="00E737B4">
        <w:rPr>
          <w:color w:val="auto"/>
          <w:sz w:val="24"/>
          <w:szCs w:val="24"/>
        </w:rPr>
        <w:t xml:space="preserve">:Fiche de déclaration d’Impact – Code </w:t>
      </w:r>
      <w:r w:rsidR="00BD6279">
        <w:rPr>
          <w:color w:val="auto"/>
          <w:sz w:val="24"/>
          <w:szCs w:val="24"/>
        </w:rPr>
        <w:t>12</w:t>
      </w:r>
      <w:bookmarkEnd w:id="616"/>
      <w:bookmarkEnd w:id="617"/>
    </w:p>
    <w:tbl>
      <w:tblPr>
        <w:tblW w:w="10118" w:type="dxa"/>
        <w:jc w:val="center"/>
        <w:tblLook w:val="04A0" w:firstRow="1" w:lastRow="0" w:firstColumn="1" w:lastColumn="0" w:noHBand="0" w:noVBand="1"/>
      </w:tblPr>
      <w:tblGrid>
        <w:gridCol w:w="1660"/>
        <w:gridCol w:w="42"/>
        <w:gridCol w:w="620"/>
        <w:gridCol w:w="410"/>
        <w:gridCol w:w="594"/>
        <w:gridCol w:w="266"/>
        <w:gridCol w:w="328"/>
        <w:gridCol w:w="568"/>
        <w:gridCol w:w="149"/>
        <w:gridCol w:w="38"/>
        <w:gridCol w:w="1760"/>
        <w:gridCol w:w="819"/>
        <w:gridCol w:w="474"/>
        <w:gridCol w:w="689"/>
        <w:gridCol w:w="188"/>
        <w:gridCol w:w="1504"/>
        <w:gridCol w:w="9"/>
      </w:tblGrid>
      <w:tr w:rsidR="0009605B" w:rsidRPr="00420C1B" w14:paraId="1F81242C" w14:textId="77777777" w:rsidTr="00215867">
        <w:trPr>
          <w:gridAfter w:val="1"/>
          <w:wAfter w:w="9" w:type="dxa"/>
          <w:trHeight w:val="258"/>
          <w:tblHeader/>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4320D58"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162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F36B95E"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sz w:val="20"/>
                <w:szCs w:val="20"/>
              </w:rPr>
              <w:t>Végétation</w:t>
            </w:r>
          </w:p>
        </w:tc>
        <w:tc>
          <w:tcPr>
            <w:tcW w:w="1162" w:type="dxa"/>
            <w:gridSpan w:val="3"/>
            <w:tcBorders>
              <w:top w:val="single" w:sz="4" w:space="0" w:color="auto"/>
              <w:left w:val="single" w:sz="4" w:space="0" w:color="auto"/>
              <w:bottom w:val="single" w:sz="4" w:space="0" w:color="auto"/>
              <w:right w:val="single" w:sz="4" w:space="0" w:color="auto"/>
            </w:tcBorders>
            <w:shd w:val="clear" w:color="auto" w:fill="92D050"/>
          </w:tcPr>
          <w:p w14:paraId="6172212A" w14:textId="77777777" w:rsidR="0009605B" w:rsidRPr="00857867" w:rsidRDefault="0009605B" w:rsidP="007108ED">
            <w:pPr>
              <w:spacing w:after="0" w:line="240" w:lineRule="auto"/>
              <w:rPr>
                <w:rFonts w:ascii="Times New Roman" w:hAnsi="Times New Roman"/>
                <w:b/>
                <w:sz w:val="20"/>
                <w:szCs w:val="20"/>
              </w:rPr>
            </w:pPr>
          </w:p>
        </w:tc>
        <w:tc>
          <w:tcPr>
            <w:tcW w:w="1947"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26F362D"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2F7E4819"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sz w:val="20"/>
                <w:szCs w:val="20"/>
              </w:rPr>
              <w:t xml:space="preserve">Exploitation </w:t>
            </w:r>
          </w:p>
        </w:tc>
        <w:tc>
          <w:tcPr>
            <w:tcW w:w="1504" w:type="dxa"/>
            <w:tcBorders>
              <w:top w:val="single" w:sz="4" w:space="0" w:color="auto"/>
              <w:left w:val="single" w:sz="4" w:space="0" w:color="auto"/>
              <w:bottom w:val="single" w:sz="4" w:space="0" w:color="auto"/>
              <w:right w:val="single" w:sz="4" w:space="0" w:color="auto"/>
            </w:tcBorders>
            <w:shd w:val="clear" w:color="auto" w:fill="92D050"/>
          </w:tcPr>
          <w:p w14:paraId="1AA0A25A"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sz w:val="20"/>
                <w:szCs w:val="20"/>
              </w:rPr>
              <w:t>Photos de l’impact</w:t>
            </w:r>
          </w:p>
        </w:tc>
      </w:tr>
      <w:tr w:rsidR="0009605B" w:rsidRPr="00420C1B" w14:paraId="3B493DA9" w14:textId="77777777" w:rsidTr="00215867">
        <w:trPr>
          <w:gridAfter w:val="1"/>
          <w:wAfter w:w="9" w:type="dxa"/>
          <w:trHeight w:val="199"/>
          <w:jc w:val="center"/>
        </w:trPr>
        <w:tc>
          <w:tcPr>
            <w:tcW w:w="1702" w:type="dxa"/>
            <w:gridSpan w:val="2"/>
            <w:vMerge w:val="restart"/>
            <w:tcBorders>
              <w:top w:val="single" w:sz="4" w:space="0" w:color="auto"/>
              <w:left w:val="single" w:sz="4" w:space="0" w:color="auto"/>
              <w:right w:val="single" w:sz="4" w:space="0" w:color="auto"/>
            </w:tcBorders>
          </w:tcPr>
          <w:p w14:paraId="38557EC8"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Code 08</w:t>
            </w:r>
          </w:p>
        </w:tc>
        <w:tc>
          <w:tcPr>
            <w:tcW w:w="6903" w:type="dxa"/>
            <w:gridSpan w:val="13"/>
            <w:tcBorders>
              <w:top w:val="single" w:sz="4" w:space="0" w:color="auto"/>
              <w:left w:val="single" w:sz="4" w:space="0" w:color="auto"/>
              <w:bottom w:val="single" w:sz="4" w:space="0" w:color="auto"/>
              <w:right w:val="single" w:sz="4" w:space="0" w:color="auto"/>
            </w:tcBorders>
          </w:tcPr>
          <w:p w14:paraId="42ED8D7B"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Elagage des arbres dans l’emprise des lignes</w:t>
            </w:r>
          </w:p>
        </w:tc>
        <w:tc>
          <w:tcPr>
            <w:tcW w:w="1504" w:type="dxa"/>
            <w:vMerge w:val="restart"/>
            <w:tcBorders>
              <w:top w:val="single" w:sz="4" w:space="0" w:color="auto"/>
              <w:left w:val="single" w:sz="4" w:space="0" w:color="auto"/>
              <w:right w:val="single" w:sz="4" w:space="0" w:color="auto"/>
            </w:tcBorders>
          </w:tcPr>
          <w:p w14:paraId="2E5984D2" w14:textId="77777777" w:rsidR="0009605B" w:rsidRPr="00857867" w:rsidRDefault="0009605B" w:rsidP="007108ED">
            <w:pPr>
              <w:spacing w:after="0" w:line="240" w:lineRule="auto"/>
              <w:rPr>
                <w:rFonts w:ascii="Times New Roman" w:hAnsi="Times New Roman"/>
                <w:sz w:val="20"/>
                <w:szCs w:val="20"/>
              </w:rPr>
            </w:pPr>
          </w:p>
        </w:tc>
      </w:tr>
      <w:tr w:rsidR="0009605B" w:rsidRPr="00420C1B" w14:paraId="01FEC5F2" w14:textId="77777777" w:rsidTr="00215867">
        <w:trPr>
          <w:gridAfter w:val="1"/>
          <w:wAfter w:w="9" w:type="dxa"/>
          <w:trHeight w:val="272"/>
          <w:jc w:val="center"/>
        </w:trPr>
        <w:tc>
          <w:tcPr>
            <w:tcW w:w="1702" w:type="dxa"/>
            <w:gridSpan w:val="2"/>
            <w:vMerge/>
            <w:tcBorders>
              <w:left w:val="single" w:sz="4" w:space="0" w:color="auto"/>
              <w:bottom w:val="single" w:sz="4" w:space="0" w:color="auto"/>
              <w:right w:val="single" w:sz="4" w:space="0" w:color="auto"/>
            </w:tcBorders>
            <w:hideMark/>
          </w:tcPr>
          <w:p w14:paraId="03CF6047" w14:textId="77777777" w:rsidR="0009605B" w:rsidRPr="00857867" w:rsidRDefault="0009605B" w:rsidP="007108ED">
            <w:pPr>
              <w:spacing w:after="0" w:line="240" w:lineRule="auto"/>
              <w:rPr>
                <w:rFonts w:ascii="Times New Roman" w:hAnsi="Times New Roman"/>
                <w:b/>
                <w:sz w:val="20"/>
                <w:szCs w:val="20"/>
              </w:rPr>
            </w:pPr>
          </w:p>
        </w:tc>
        <w:tc>
          <w:tcPr>
            <w:tcW w:w="6903" w:type="dxa"/>
            <w:gridSpan w:val="13"/>
            <w:tcBorders>
              <w:top w:val="single" w:sz="4" w:space="0" w:color="auto"/>
              <w:left w:val="single" w:sz="4" w:space="0" w:color="auto"/>
              <w:bottom w:val="single" w:sz="4" w:space="0" w:color="auto"/>
              <w:right w:val="single" w:sz="4" w:space="0" w:color="auto"/>
            </w:tcBorders>
            <w:hideMark/>
          </w:tcPr>
          <w:p w14:paraId="45AD3C24" w14:textId="77777777" w:rsidR="0009605B" w:rsidRPr="00857867" w:rsidRDefault="0009605B" w:rsidP="00A62053">
            <w:pPr>
              <w:spacing w:after="0" w:line="240" w:lineRule="auto"/>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 Perte de couvert végétal</w:t>
            </w:r>
          </w:p>
        </w:tc>
        <w:tc>
          <w:tcPr>
            <w:tcW w:w="1504" w:type="dxa"/>
            <w:vMerge/>
            <w:tcBorders>
              <w:left w:val="single" w:sz="4" w:space="0" w:color="auto"/>
              <w:bottom w:val="single" w:sz="4" w:space="0" w:color="auto"/>
              <w:right w:val="single" w:sz="4" w:space="0" w:color="auto"/>
            </w:tcBorders>
          </w:tcPr>
          <w:p w14:paraId="21E8FB56" w14:textId="77777777" w:rsidR="0009605B" w:rsidRPr="00857867" w:rsidRDefault="0009605B" w:rsidP="007108ED">
            <w:pPr>
              <w:spacing w:after="0" w:line="240" w:lineRule="auto"/>
              <w:rPr>
                <w:rFonts w:ascii="Times New Roman" w:hAnsi="Times New Roman"/>
                <w:sz w:val="20"/>
                <w:szCs w:val="20"/>
              </w:rPr>
            </w:pPr>
          </w:p>
        </w:tc>
      </w:tr>
      <w:tr w:rsidR="0009605B" w:rsidRPr="00420C1B" w14:paraId="1CB445EE" w14:textId="77777777" w:rsidTr="00215867">
        <w:trPr>
          <w:gridAfter w:val="1"/>
          <w:wAfter w:w="9" w:type="dxa"/>
          <w:trHeight w:val="258"/>
          <w:jc w:val="center"/>
        </w:trPr>
        <w:tc>
          <w:tcPr>
            <w:tcW w:w="1702" w:type="dxa"/>
            <w:gridSpan w:val="2"/>
            <w:vMerge w:val="restart"/>
            <w:tcBorders>
              <w:top w:val="single" w:sz="4" w:space="0" w:color="auto"/>
              <w:left w:val="single" w:sz="4" w:space="0" w:color="auto"/>
              <w:right w:val="single" w:sz="4" w:space="0" w:color="auto"/>
            </w:tcBorders>
            <w:hideMark/>
          </w:tcPr>
          <w:p w14:paraId="25FC9521" w14:textId="77777777" w:rsidR="0009605B" w:rsidRPr="00857867" w:rsidRDefault="0009605B" w:rsidP="00875C40">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2973" w:type="dxa"/>
            <w:gridSpan w:val="8"/>
            <w:vMerge w:val="restart"/>
            <w:tcBorders>
              <w:top w:val="single" w:sz="4" w:space="0" w:color="auto"/>
              <w:left w:val="single" w:sz="4" w:space="0" w:color="auto"/>
              <w:right w:val="single" w:sz="4" w:space="0" w:color="auto"/>
            </w:tcBorders>
            <w:hideMark/>
          </w:tcPr>
          <w:p w14:paraId="65F1E004" w14:textId="77777777" w:rsidR="0009605B" w:rsidRPr="00857867" w:rsidRDefault="0009605B" w:rsidP="00875C40">
            <w:pPr>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Emprise des lignes dans les communes abritant le projet</w:t>
            </w:r>
          </w:p>
        </w:tc>
        <w:tc>
          <w:tcPr>
            <w:tcW w:w="1760" w:type="dxa"/>
            <w:tcBorders>
              <w:top w:val="single" w:sz="4" w:space="0" w:color="auto"/>
              <w:left w:val="single" w:sz="4" w:space="0" w:color="auto"/>
              <w:bottom w:val="single" w:sz="4" w:space="0" w:color="auto"/>
              <w:right w:val="single" w:sz="4" w:space="0" w:color="auto"/>
            </w:tcBorders>
          </w:tcPr>
          <w:p w14:paraId="0B2BDFCF" w14:textId="77777777" w:rsidR="0009605B" w:rsidRPr="00857867" w:rsidRDefault="0009605B" w:rsidP="00875C40">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93" w:type="dxa"/>
            <w:gridSpan w:val="2"/>
            <w:tcBorders>
              <w:top w:val="single" w:sz="4" w:space="0" w:color="auto"/>
              <w:left w:val="single" w:sz="4" w:space="0" w:color="auto"/>
              <w:bottom w:val="single" w:sz="4" w:space="0" w:color="auto"/>
              <w:right w:val="single" w:sz="4" w:space="0" w:color="auto"/>
            </w:tcBorders>
            <w:hideMark/>
          </w:tcPr>
          <w:p w14:paraId="2D35C052" w14:textId="77777777" w:rsidR="0009605B" w:rsidRPr="00857867" w:rsidRDefault="0009605B" w:rsidP="00875C40">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2381" w:type="dxa"/>
            <w:gridSpan w:val="3"/>
            <w:vMerge w:val="restart"/>
            <w:tcBorders>
              <w:top w:val="single" w:sz="4" w:space="0" w:color="auto"/>
              <w:left w:val="single" w:sz="4" w:space="0" w:color="auto"/>
              <w:right w:val="single" w:sz="4" w:space="0" w:color="auto"/>
            </w:tcBorders>
          </w:tcPr>
          <w:p w14:paraId="021FE581" w14:textId="77777777" w:rsidR="0009605B" w:rsidRPr="00857867" w:rsidRDefault="0009605B" w:rsidP="00875C40">
            <w:pPr>
              <w:spacing w:after="0" w:line="240" w:lineRule="auto"/>
              <w:jc w:val="center"/>
              <w:rPr>
                <w:rFonts w:ascii="Times New Roman" w:hAnsi="Times New Roman"/>
                <w:sz w:val="20"/>
                <w:szCs w:val="20"/>
              </w:rPr>
            </w:pPr>
          </w:p>
        </w:tc>
      </w:tr>
      <w:tr w:rsidR="0009605B" w:rsidRPr="00420C1B" w14:paraId="3EB6B1F9" w14:textId="77777777" w:rsidTr="00215867">
        <w:trPr>
          <w:gridAfter w:val="1"/>
          <w:wAfter w:w="9" w:type="dxa"/>
          <w:trHeight w:val="253"/>
          <w:jc w:val="center"/>
        </w:trPr>
        <w:tc>
          <w:tcPr>
            <w:tcW w:w="1702" w:type="dxa"/>
            <w:gridSpan w:val="2"/>
            <w:vMerge/>
            <w:tcBorders>
              <w:left w:val="single" w:sz="4" w:space="0" w:color="auto"/>
              <w:right w:val="single" w:sz="4" w:space="0" w:color="auto"/>
            </w:tcBorders>
            <w:vAlign w:val="center"/>
          </w:tcPr>
          <w:p w14:paraId="4AEB7A8D" w14:textId="77777777" w:rsidR="0009605B" w:rsidRPr="00857867" w:rsidRDefault="0009605B" w:rsidP="00875C40">
            <w:pPr>
              <w:spacing w:after="0" w:line="240" w:lineRule="auto"/>
              <w:rPr>
                <w:rFonts w:ascii="Times New Roman" w:eastAsia="Times New Roman" w:hAnsi="Times New Roman"/>
                <w:sz w:val="20"/>
                <w:szCs w:val="20"/>
                <w:lang w:eastAsia="fr-FR"/>
              </w:rPr>
            </w:pPr>
          </w:p>
        </w:tc>
        <w:tc>
          <w:tcPr>
            <w:tcW w:w="2973" w:type="dxa"/>
            <w:gridSpan w:val="8"/>
            <w:vMerge/>
            <w:tcBorders>
              <w:left w:val="single" w:sz="4" w:space="0" w:color="auto"/>
              <w:right w:val="single" w:sz="4" w:space="0" w:color="auto"/>
            </w:tcBorders>
            <w:vAlign w:val="center"/>
          </w:tcPr>
          <w:p w14:paraId="46C961D1" w14:textId="77777777" w:rsidR="0009605B" w:rsidRPr="00857867" w:rsidRDefault="0009605B" w:rsidP="00875C40">
            <w:pPr>
              <w:spacing w:after="0" w:line="240" w:lineRule="auto"/>
              <w:rPr>
                <w:rFonts w:ascii="Times New Roman" w:eastAsia="Times New Roman" w:hAnsi="Times New Roman"/>
                <w:sz w:val="20"/>
                <w:szCs w:val="20"/>
                <w:lang w:eastAsia="fr-FR"/>
              </w:rPr>
            </w:pPr>
          </w:p>
        </w:tc>
        <w:tc>
          <w:tcPr>
            <w:tcW w:w="1760" w:type="dxa"/>
            <w:tcBorders>
              <w:top w:val="single" w:sz="4" w:space="0" w:color="auto"/>
              <w:left w:val="single" w:sz="4" w:space="0" w:color="auto"/>
              <w:bottom w:val="single" w:sz="4" w:space="0" w:color="auto"/>
              <w:right w:val="single" w:sz="4" w:space="0" w:color="auto"/>
            </w:tcBorders>
          </w:tcPr>
          <w:p w14:paraId="36BA6CA9" w14:textId="77777777" w:rsidR="0009605B" w:rsidRPr="00857867" w:rsidRDefault="0009605B" w:rsidP="00875C40">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293" w:type="dxa"/>
            <w:gridSpan w:val="2"/>
            <w:tcBorders>
              <w:top w:val="single" w:sz="4" w:space="0" w:color="auto"/>
              <w:left w:val="nil"/>
              <w:bottom w:val="single" w:sz="4" w:space="0" w:color="auto"/>
              <w:right w:val="single" w:sz="4" w:space="0" w:color="auto"/>
            </w:tcBorders>
          </w:tcPr>
          <w:p w14:paraId="28E77227" w14:textId="77777777" w:rsidR="0009605B" w:rsidRPr="00857867" w:rsidRDefault="0009605B" w:rsidP="00875C40">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2381" w:type="dxa"/>
            <w:gridSpan w:val="3"/>
            <w:vMerge/>
            <w:tcBorders>
              <w:left w:val="single" w:sz="4" w:space="0" w:color="auto"/>
              <w:right w:val="single" w:sz="4" w:space="0" w:color="auto"/>
            </w:tcBorders>
            <w:vAlign w:val="center"/>
          </w:tcPr>
          <w:p w14:paraId="52130514" w14:textId="77777777" w:rsidR="0009605B" w:rsidRPr="00857867" w:rsidRDefault="0009605B" w:rsidP="00875C40">
            <w:pPr>
              <w:spacing w:after="0" w:line="240" w:lineRule="auto"/>
              <w:rPr>
                <w:rFonts w:ascii="Times New Roman" w:hAnsi="Times New Roman"/>
                <w:sz w:val="20"/>
                <w:szCs w:val="20"/>
              </w:rPr>
            </w:pPr>
          </w:p>
        </w:tc>
      </w:tr>
      <w:tr w:rsidR="0009605B" w:rsidRPr="00420C1B" w14:paraId="53DA6188" w14:textId="77777777" w:rsidTr="00215867">
        <w:trPr>
          <w:gridAfter w:val="1"/>
          <w:wAfter w:w="9" w:type="dxa"/>
          <w:trHeight w:val="254"/>
          <w:jc w:val="center"/>
        </w:trPr>
        <w:tc>
          <w:tcPr>
            <w:tcW w:w="1702" w:type="dxa"/>
            <w:gridSpan w:val="2"/>
            <w:vMerge/>
            <w:tcBorders>
              <w:left w:val="single" w:sz="4" w:space="0" w:color="auto"/>
              <w:bottom w:val="single" w:sz="4" w:space="0" w:color="auto"/>
              <w:right w:val="single" w:sz="4" w:space="0" w:color="auto"/>
            </w:tcBorders>
            <w:vAlign w:val="center"/>
          </w:tcPr>
          <w:p w14:paraId="01D671E8" w14:textId="77777777" w:rsidR="0009605B" w:rsidRPr="00857867" w:rsidRDefault="0009605B" w:rsidP="00875C40">
            <w:pPr>
              <w:spacing w:after="0" w:line="240" w:lineRule="auto"/>
              <w:rPr>
                <w:rFonts w:ascii="Times New Roman" w:eastAsia="Times New Roman" w:hAnsi="Times New Roman"/>
                <w:sz w:val="20"/>
                <w:szCs w:val="20"/>
                <w:lang w:eastAsia="fr-FR"/>
              </w:rPr>
            </w:pPr>
          </w:p>
        </w:tc>
        <w:tc>
          <w:tcPr>
            <w:tcW w:w="2973" w:type="dxa"/>
            <w:gridSpan w:val="8"/>
            <w:vMerge/>
            <w:tcBorders>
              <w:left w:val="single" w:sz="4" w:space="0" w:color="auto"/>
              <w:bottom w:val="single" w:sz="4" w:space="0" w:color="auto"/>
              <w:right w:val="single" w:sz="4" w:space="0" w:color="auto"/>
            </w:tcBorders>
            <w:vAlign w:val="center"/>
          </w:tcPr>
          <w:p w14:paraId="1ADC7998" w14:textId="77777777" w:rsidR="0009605B" w:rsidRPr="00857867" w:rsidRDefault="0009605B" w:rsidP="00875C40">
            <w:pPr>
              <w:spacing w:after="0" w:line="240" w:lineRule="auto"/>
              <w:jc w:val="both"/>
              <w:rPr>
                <w:rFonts w:ascii="Times New Roman" w:eastAsia="Times New Roman" w:hAnsi="Times New Roman"/>
                <w:sz w:val="20"/>
                <w:szCs w:val="20"/>
                <w:lang w:eastAsia="fr-FR"/>
              </w:rPr>
            </w:pPr>
          </w:p>
        </w:tc>
        <w:tc>
          <w:tcPr>
            <w:tcW w:w="1760" w:type="dxa"/>
            <w:tcBorders>
              <w:top w:val="single" w:sz="4" w:space="0" w:color="auto"/>
              <w:left w:val="single" w:sz="4" w:space="0" w:color="auto"/>
              <w:bottom w:val="nil"/>
              <w:right w:val="single" w:sz="4" w:space="0" w:color="auto"/>
            </w:tcBorders>
          </w:tcPr>
          <w:p w14:paraId="17318B6C" w14:textId="77777777" w:rsidR="0009605B" w:rsidRPr="00857867" w:rsidRDefault="0009605B" w:rsidP="00875C40">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293" w:type="dxa"/>
            <w:gridSpan w:val="2"/>
            <w:tcBorders>
              <w:top w:val="single" w:sz="4" w:space="0" w:color="auto"/>
              <w:left w:val="single" w:sz="4" w:space="0" w:color="auto"/>
              <w:bottom w:val="nil"/>
              <w:right w:val="single" w:sz="4" w:space="0" w:color="auto"/>
            </w:tcBorders>
          </w:tcPr>
          <w:p w14:paraId="62BE787D" w14:textId="77777777" w:rsidR="0009605B" w:rsidRPr="00857867" w:rsidRDefault="0009605B" w:rsidP="00875C40">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2381" w:type="dxa"/>
            <w:gridSpan w:val="3"/>
            <w:vMerge/>
            <w:tcBorders>
              <w:left w:val="single" w:sz="4" w:space="0" w:color="auto"/>
              <w:bottom w:val="single" w:sz="4" w:space="0" w:color="auto"/>
              <w:right w:val="single" w:sz="4" w:space="0" w:color="auto"/>
            </w:tcBorders>
            <w:vAlign w:val="center"/>
          </w:tcPr>
          <w:p w14:paraId="40212D79" w14:textId="77777777" w:rsidR="0009605B" w:rsidRPr="00857867" w:rsidRDefault="0009605B" w:rsidP="00875C40">
            <w:pPr>
              <w:spacing w:after="0" w:line="240" w:lineRule="auto"/>
              <w:rPr>
                <w:rFonts w:ascii="Times New Roman" w:hAnsi="Times New Roman"/>
                <w:sz w:val="20"/>
                <w:szCs w:val="20"/>
              </w:rPr>
            </w:pPr>
          </w:p>
        </w:tc>
      </w:tr>
      <w:tr w:rsidR="0009605B" w:rsidRPr="00420C1B" w14:paraId="06975600" w14:textId="77777777" w:rsidTr="00215867">
        <w:trPr>
          <w:gridAfter w:val="1"/>
          <w:wAfter w:w="9" w:type="dxa"/>
          <w:trHeight w:val="250"/>
          <w:jc w:val="center"/>
        </w:trPr>
        <w:tc>
          <w:tcPr>
            <w:tcW w:w="1702" w:type="dxa"/>
            <w:gridSpan w:val="2"/>
            <w:vMerge w:val="restart"/>
            <w:tcBorders>
              <w:top w:val="single" w:sz="4" w:space="0" w:color="auto"/>
              <w:left w:val="single" w:sz="4" w:space="0" w:color="auto"/>
              <w:bottom w:val="single" w:sz="4" w:space="0" w:color="auto"/>
              <w:right w:val="single" w:sz="4" w:space="0" w:color="auto"/>
            </w:tcBorders>
          </w:tcPr>
          <w:p w14:paraId="7BDC91CB" w14:textId="77777777" w:rsidR="0009605B" w:rsidRPr="00857867" w:rsidRDefault="0009605B" w:rsidP="007108ED">
            <w:pPr>
              <w:spacing w:after="0" w:line="240" w:lineRule="auto"/>
              <w:rPr>
                <w:rFonts w:ascii="Times New Roman" w:hAnsi="Times New Roman"/>
                <w:b/>
                <w:sz w:val="20"/>
                <w:szCs w:val="20"/>
              </w:rPr>
            </w:pPr>
          </w:p>
          <w:p w14:paraId="57D20E75" w14:textId="77777777" w:rsidR="0009605B" w:rsidRPr="00857867" w:rsidRDefault="0009605B" w:rsidP="007108ED">
            <w:pPr>
              <w:spacing w:after="0" w:line="240" w:lineRule="auto"/>
              <w:rPr>
                <w:rFonts w:ascii="Times New Roman" w:hAnsi="Times New Roman"/>
                <w:b/>
                <w:sz w:val="20"/>
                <w:szCs w:val="20"/>
              </w:rPr>
            </w:pPr>
          </w:p>
          <w:p w14:paraId="30818622" w14:textId="77777777" w:rsidR="0009605B" w:rsidRPr="00857867" w:rsidRDefault="0009605B"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030" w:type="dxa"/>
            <w:gridSpan w:val="2"/>
            <w:vMerge w:val="restart"/>
            <w:tcBorders>
              <w:top w:val="single" w:sz="4" w:space="0" w:color="auto"/>
              <w:left w:val="single" w:sz="4" w:space="0" w:color="auto"/>
              <w:bottom w:val="single" w:sz="4" w:space="0" w:color="auto"/>
              <w:right w:val="single" w:sz="4" w:space="0" w:color="auto"/>
            </w:tcBorders>
            <w:hideMark/>
          </w:tcPr>
          <w:p w14:paraId="740381D7" w14:textId="77777777" w:rsidR="0009605B" w:rsidRPr="00857867" w:rsidRDefault="0009605B"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45991DD9" w14:textId="77777777" w:rsidR="0009605B" w:rsidRPr="00857867" w:rsidRDefault="0009605B"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188" w:type="dxa"/>
            <w:gridSpan w:val="3"/>
            <w:tcBorders>
              <w:top w:val="single" w:sz="4" w:space="0" w:color="auto"/>
              <w:left w:val="single" w:sz="4" w:space="0" w:color="auto"/>
              <w:bottom w:val="single" w:sz="4" w:space="0" w:color="auto"/>
              <w:right w:val="single" w:sz="4" w:space="0" w:color="auto"/>
            </w:tcBorders>
            <w:hideMark/>
          </w:tcPr>
          <w:p w14:paraId="1E1AFAB5" w14:textId="77777777" w:rsidR="0009605B" w:rsidRPr="00857867" w:rsidRDefault="0009605B" w:rsidP="007108ED">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515" w:type="dxa"/>
            <w:gridSpan w:val="4"/>
            <w:tcBorders>
              <w:top w:val="single" w:sz="4" w:space="0" w:color="auto"/>
              <w:left w:val="single" w:sz="4" w:space="0" w:color="auto"/>
              <w:bottom w:val="single" w:sz="4" w:space="0" w:color="auto"/>
              <w:right w:val="single" w:sz="4" w:space="0" w:color="auto"/>
            </w:tcBorders>
            <w:hideMark/>
          </w:tcPr>
          <w:p w14:paraId="0C10A250" w14:textId="77777777" w:rsidR="0009605B" w:rsidRPr="00857867" w:rsidRDefault="0009605B" w:rsidP="007108ED">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Etendue</w:t>
            </w:r>
          </w:p>
        </w:tc>
        <w:tc>
          <w:tcPr>
            <w:tcW w:w="1293" w:type="dxa"/>
            <w:gridSpan w:val="2"/>
            <w:tcBorders>
              <w:top w:val="single" w:sz="4" w:space="0" w:color="auto"/>
              <w:left w:val="single" w:sz="4" w:space="0" w:color="auto"/>
              <w:bottom w:val="single" w:sz="4" w:space="0" w:color="auto"/>
              <w:right w:val="single" w:sz="4" w:space="0" w:color="auto"/>
            </w:tcBorders>
            <w:hideMark/>
          </w:tcPr>
          <w:p w14:paraId="752F7F25" w14:textId="77777777" w:rsidR="0009605B" w:rsidRPr="00857867" w:rsidRDefault="0009605B" w:rsidP="007108ED">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2381" w:type="dxa"/>
            <w:gridSpan w:val="3"/>
            <w:tcBorders>
              <w:top w:val="single" w:sz="4" w:space="0" w:color="auto"/>
              <w:left w:val="single" w:sz="4" w:space="0" w:color="auto"/>
              <w:bottom w:val="single" w:sz="4" w:space="0" w:color="auto"/>
              <w:right w:val="single" w:sz="4" w:space="0" w:color="auto"/>
            </w:tcBorders>
            <w:hideMark/>
          </w:tcPr>
          <w:p w14:paraId="3A2DB576"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Importance</w:t>
            </w:r>
          </w:p>
        </w:tc>
      </w:tr>
      <w:tr w:rsidR="0009605B" w:rsidRPr="00420C1B" w14:paraId="0BB62B63" w14:textId="77777777" w:rsidTr="00215867">
        <w:trPr>
          <w:gridAfter w:val="1"/>
          <w:wAfter w:w="9" w:type="dxa"/>
          <w:trHeight w:val="266"/>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76CAE137" w14:textId="77777777" w:rsidR="0009605B" w:rsidRPr="00857867" w:rsidRDefault="0009605B" w:rsidP="007108ED">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2EE30E" w14:textId="77777777" w:rsidR="0009605B" w:rsidRPr="00857867" w:rsidRDefault="0009605B" w:rsidP="007108ED">
            <w:pPr>
              <w:spacing w:after="0" w:line="240" w:lineRule="auto"/>
              <w:rPr>
                <w:rFonts w:ascii="Times New Roman" w:eastAsia="Times New Roman" w:hAnsi="Times New Roman"/>
                <w:bCs/>
                <w:sz w:val="20"/>
                <w:szCs w:val="20"/>
              </w:rPr>
            </w:pPr>
          </w:p>
        </w:tc>
        <w:tc>
          <w:tcPr>
            <w:tcW w:w="1188" w:type="dxa"/>
            <w:gridSpan w:val="3"/>
            <w:tcBorders>
              <w:top w:val="single" w:sz="4" w:space="0" w:color="auto"/>
              <w:left w:val="single" w:sz="4" w:space="0" w:color="auto"/>
              <w:bottom w:val="single" w:sz="4" w:space="0" w:color="auto"/>
              <w:right w:val="single" w:sz="4" w:space="0" w:color="auto"/>
            </w:tcBorders>
            <w:vAlign w:val="center"/>
            <w:hideMark/>
          </w:tcPr>
          <w:p w14:paraId="01C97578"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2515" w:type="dxa"/>
            <w:gridSpan w:val="4"/>
            <w:tcBorders>
              <w:top w:val="single" w:sz="4" w:space="0" w:color="auto"/>
              <w:left w:val="single" w:sz="4" w:space="0" w:color="auto"/>
              <w:bottom w:val="single" w:sz="4" w:space="0" w:color="auto"/>
              <w:right w:val="single" w:sz="4" w:space="0" w:color="auto"/>
            </w:tcBorders>
            <w:vAlign w:val="center"/>
            <w:hideMark/>
          </w:tcPr>
          <w:p w14:paraId="28AC26DB"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Ponctuelle</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14:paraId="6F5B641E" w14:textId="77777777" w:rsidR="0009605B" w:rsidRPr="00857867" w:rsidRDefault="0009605B" w:rsidP="007108ED">
            <w:pPr>
              <w:spacing w:after="0" w:line="240" w:lineRule="auto"/>
              <w:jc w:val="center"/>
              <w:rPr>
                <w:rFonts w:ascii="Times New Roman" w:eastAsia="Times New Roman" w:hAnsi="Times New Roman"/>
                <w:sz w:val="20"/>
                <w:szCs w:val="20"/>
                <w:lang w:eastAsia="fr-FR"/>
              </w:rPr>
            </w:pPr>
            <w:r w:rsidRPr="00857867">
              <w:rPr>
                <w:rFonts w:ascii="Times New Roman" w:eastAsia="Times New Roman" w:hAnsi="Times New Roman"/>
                <w:bCs/>
                <w:sz w:val="20"/>
                <w:szCs w:val="20"/>
              </w:rPr>
              <w:t xml:space="preserve">Longue </w:t>
            </w:r>
          </w:p>
        </w:tc>
        <w:tc>
          <w:tcPr>
            <w:tcW w:w="2381" w:type="dxa"/>
            <w:gridSpan w:val="3"/>
            <w:tcBorders>
              <w:top w:val="single" w:sz="4" w:space="0" w:color="auto"/>
              <w:left w:val="single" w:sz="4" w:space="0" w:color="auto"/>
              <w:bottom w:val="single" w:sz="4" w:space="0" w:color="auto"/>
              <w:right w:val="single" w:sz="4" w:space="0" w:color="auto"/>
            </w:tcBorders>
            <w:vAlign w:val="center"/>
            <w:hideMark/>
          </w:tcPr>
          <w:p w14:paraId="201CCB76"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sz w:val="20"/>
                <w:szCs w:val="20"/>
              </w:rPr>
              <w:t>Moyenne</w:t>
            </w:r>
          </w:p>
        </w:tc>
      </w:tr>
      <w:tr w:rsidR="0009605B" w:rsidRPr="00420C1B" w14:paraId="125F9553" w14:textId="77777777" w:rsidTr="00215867">
        <w:trPr>
          <w:gridAfter w:val="1"/>
          <w:wAfter w:w="9" w:type="dxa"/>
          <w:trHeight w:val="266"/>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tcPr>
          <w:p w14:paraId="66AB2D4F" w14:textId="77777777" w:rsidR="0009605B" w:rsidRPr="00857867" w:rsidRDefault="0009605B" w:rsidP="00C0347F">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FF62051" w14:textId="77777777" w:rsidR="0009605B" w:rsidRPr="00857867" w:rsidRDefault="0009605B" w:rsidP="00C0347F">
            <w:pPr>
              <w:spacing w:after="0" w:line="240" w:lineRule="auto"/>
              <w:rPr>
                <w:rFonts w:ascii="Times New Roman" w:eastAsia="Times New Roman" w:hAnsi="Times New Roman"/>
                <w:bCs/>
                <w:sz w:val="20"/>
                <w:szCs w:val="20"/>
              </w:rPr>
            </w:pPr>
          </w:p>
        </w:tc>
        <w:tc>
          <w:tcPr>
            <w:tcW w:w="1188" w:type="dxa"/>
            <w:gridSpan w:val="3"/>
            <w:tcBorders>
              <w:top w:val="single" w:sz="4" w:space="0" w:color="auto"/>
              <w:left w:val="single" w:sz="4" w:space="0" w:color="auto"/>
              <w:bottom w:val="single" w:sz="4" w:space="0" w:color="auto"/>
              <w:right w:val="single" w:sz="4" w:space="0" w:color="auto"/>
            </w:tcBorders>
            <w:vAlign w:val="center"/>
          </w:tcPr>
          <w:p w14:paraId="30429D7E" w14:textId="77777777" w:rsidR="0009605B" w:rsidRPr="00857867" w:rsidRDefault="0009605B" w:rsidP="00C0347F">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515" w:type="dxa"/>
            <w:gridSpan w:val="4"/>
            <w:tcBorders>
              <w:top w:val="single" w:sz="4" w:space="0" w:color="auto"/>
              <w:left w:val="single" w:sz="4" w:space="0" w:color="auto"/>
              <w:bottom w:val="single" w:sz="4" w:space="0" w:color="auto"/>
              <w:right w:val="single" w:sz="4" w:space="0" w:color="auto"/>
            </w:tcBorders>
          </w:tcPr>
          <w:p w14:paraId="06A0AAFE" w14:textId="77777777" w:rsidR="0009605B" w:rsidRPr="00857867" w:rsidRDefault="0009605B" w:rsidP="00C0347F">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Occurrence </w:t>
            </w:r>
          </w:p>
        </w:tc>
        <w:tc>
          <w:tcPr>
            <w:tcW w:w="1293" w:type="dxa"/>
            <w:gridSpan w:val="2"/>
            <w:tcBorders>
              <w:top w:val="single" w:sz="4" w:space="0" w:color="auto"/>
              <w:left w:val="single" w:sz="4" w:space="0" w:color="auto"/>
              <w:bottom w:val="single" w:sz="4" w:space="0" w:color="auto"/>
              <w:right w:val="single" w:sz="4" w:space="0" w:color="auto"/>
            </w:tcBorders>
          </w:tcPr>
          <w:p w14:paraId="5CCC78EF" w14:textId="77777777" w:rsidR="0009605B" w:rsidRPr="00857867" w:rsidRDefault="0009605B" w:rsidP="00C0347F">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Réversibilité </w:t>
            </w:r>
          </w:p>
        </w:tc>
        <w:tc>
          <w:tcPr>
            <w:tcW w:w="2381" w:type="dxa"/>
            <w:gridSpan w:val="3"/>
            <w:tcBorders>
              <w:top w:val="single" w:sz="4" w:space="0" w:color="auto"/>
              <w:left w:val="single" w:sz="4" w:space="0" w:color="auto"/>
              <w:bottom w:val="single" w:sz="4" w:space="0" w:color="auto"/>
              <w:right w:val="single" w:sz="4" w:space="0" w:color="auto"/>
            </w:tcBorders>
          </w:tcPr>
          <w:p w14:paraId="2B485E8A" w14:textId="77777777" w:rsidR="0009605B" w:rsidRPr="00857867" w:rsidRDefault="0009605B" w:rsidP="00C0347F">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Cumulativité </w:t>
            </w:r>
          </w:p>
        </w:tc>
      </w:tr>
      <w:tr w:rsidR="0009605B" w:rsidRPr="00420C1B" w14:paraId="48D40E21" w14:textId="77777777" w:rsidTr="00215867">
        <w:trPr>
          <w:gridAfter w:val="1"/>
          <w:wAfter w:w="9" w:type="dxa"/>
          <w:trHeight w:val="266"/>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tcPr>
          <w:p w14:paraId="77F045AD" w14:textId="77777777" w:rsidR="0009605B" w:rsidRPr="00857867" w:rsidRDefault="0009605B" w:rsidP="00C0347F">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7ADE459" w14:textId="77777777" w:rsidR="0009605B" w:rsidRPr="00857867" w:rsidRDefault="0009605B" w:rsidP="00C0347F">
            <w:pPr>
              <w:spacing w:after="0" w:line="240" w:lineRule="auto"/>
              <w:rPr>
                <w:rFonts w:ascii="Times New Roman" w:eastAsia="Times New Roman" w:hAnsi="Times New Roman"/>
                <w:bCs/>
                <w:sz w:val="20"/>
                <w:szCs w:val="20"/>
              </w:rPr>
            </w:pPr>
          </w:p>
        </w:tc>
        <w:tc>
          <w:tcPr>
            <w:tcW w:w="1188" w:type="dxa"/>
            <w:gridSpan w:val="3"/>
            <w:tcBorders>
              <w:top w:val="single" w:sz="4" w:space="0" w:color="auto"/>
              <w:left w:val="single" w:sz="4" w:space="0" w:color="auto"/>
              <w:bottom w:val="single" w:sz="4" w:space="0" w:color="auto"/>
              <w:right w:val="single" w:sz="4" w:space="0" w:color="auto"/>
            </w:tcBorders>
            <w:vAlign w:val="center"/>
          </w:tcPr>
          <w:p w14:paraId="451E16C1" w14:textId="77777777" w:rsidR="0009605B" w:rsidRPr="00857867" w:rsidRDefault="0009605B" w:rsidP="00C0347F">
            <w:pPr>
              <w:spacing w:after="0" w:line="240" w:lineRule="auto"/>
              <w:jc w:val="both"/>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515" w:type="dxa"/>
            <w:gridSpan w:val="4"/>
            <w:tcBorders>
              <w:top w:val="single" w:sz="4" w:space="0" w:color="auto"/>
              <w:left w:val="single" w:sz="4" w:space="0" w:color="auto"/>
              <w:bottom w:val="single" w:sz="4" w:space="0" w:color="auto"/>
              <w:right w:val="single" w:sz="4" w:space="0" w:color="auto"/>
            </w:tcBorders>
            <w:vAlign w:val="center"/>
          </w:tcPr>
          <w:p w14:paraId="2E5BBD96"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084E44F"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2381" w:type="dxa"/>
            <w:gridSpan w:val="3"/>
            <w:tcBorders>
              <w:top w:val="single" w:sz="4" w:space="0" w:color="auto"/>
              <w:left w:val="single" w:sz="4" w:space="0" w:color="auto"/>
              <w:bottom w:val="single" w:sz="4" w:space="0" w:color="auto"/>
              <w:right w:val="single" w:sz="4" w:space="0" w:color="auto"/>
            </w:tcBorders>
            <w:vAlign w:val="center"/>
          </w:tcPr>
          <w:p w14:paraId="553762BF"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sz w:val="20"/>
                <w:szCs w:val="20"/>
              </w:rPr>
              <w:t>Non</w:t>
            </w:r>
          </w:p>
        </w:tc>
      </w:tr>
      <w:tr w:rsidR="0009605B" w:rsidRPr="00420C1B" w14:paraId="3C1AB865" w14:textId="77777777" w:rsidTr="00215867">
        <w:trPr>
          <w:gridAfter w:val="1"/>
          <w:wAfter w:w="9" w:type="dxa"/>
          <w:trHeight w:val="266"/>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tcPr>
          <w:p w14:paraId="0A2EF28A" w14:textId="77777777" w:rsidR="0009605B" w:rsidRPr="00857867" w:rsidRDefault="0009605B" w:rsidP="00C0347F">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61B56D9" w14:textId="77777777" w:rsidR="0009605B" w:rsidRPr="00857867" w:rsidRDefault="0009605B" w:rsidP="00C0347F">
            <w:pPr>
              <w:spacing w:after="0" w:line="240" w:lineRule="auto"/>
              <w:rPr>
                <w:rFonts w:ascii="Times New Roman" w:eastAsia="Times New Roman" w:hAnsi="Times New Roman"/>
                <w:bCs/>
                <w:sz w:val="20"/>
                <w:szCs w:val="20"/>
              </w:rPr>
            </w:pPr>
          </w:p>
        </w:tc>
        <w:tc>
          <w:tcPr>
            <w:tcW w:w="1188" w:type="dxa"/>
            <w:gridSpan w:val="3"/>
            <w:tcBorders>
              <w:top w:val="single" w:sz="4" w:space="0" w:color="auto"/>
              <w:left w:val="single" w:sz="4" w:space="0" w:color="auto"/>
              <w:bottom w:val="single" w:sz="4" w:space="0" w:color="auto"/>
              <w:right w:val="single" w:sz="4" w:space="0" w:color="auto"/>
            </w:tcBorders>
          </w:tcPr>
          <w:p w14:paraId="21DF9DF2" w14:textId="77777777" w:rsidR="0009605B" w:rsidRPr="00857867" w:rsidRDefault="0009605B" w:rsidP="00C0347F">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Fréquence </w:t>
            </w:r>
          </w:p>
        </w:tc>
        <w:tc>
          <w:tcPr>
            <w:tcW w:w="2515" w:type="dxa"/>
            <w:gridSpan w:val="4"/>
            <w:tcBorders>
              <w:top w:val="single" w:sz="4" w:space="0" w:color="auto"/>
              <w:left w:val="single" w:sz="4" w:space="0" w:color="auto"/>
              <w:bottom w:val="single" w:sz="4" w:space="0" w:color="auto"/>
              <w:right w:val="single" w:sz="4" w:space="0" w:color="auto"/>
            </w:tcBorders>
            <w:vAlign w:val="center"/>
          </w:tcPr>
          <w:p w14:paraId="1ABB21F6"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18129411" w14:textId="77777777" w:rsidR="0009605B" w:rsidRPr="00857867" w:rsidRDefault="0009605B" w:rsidP="00C0347F">
            <w:pPr>
              <w:spacing w:after="0" w:line="240" w:lineRule="auto"/>
              <w:jc w:val="center"/>
              <w:rPr>
                <w:rFonts w:ascii="Times New Roman" w:hAnsi="Times New Roman"/>
                <w:sz w:val="20"/>
                <w:szCs w:val="20"/>
              </w:rPr>
            </w:pPr>
          </w:p>
        </w:tc>
        <w:tc>
          <w:tcPr>
            <w:tcW w:w="2381" w:type="dxa"/>
            <w:gridSpan w:val="3"/>
            <w:tcBorders>
              <w:top w:val="single" w:sz="4" w:space="0" w:color="auto"/>
              <w:left w:val="single" w:sz="4" w:space="0" w:color="auto"/>
              <w:bottom w:val="single" w:sz="4" w:space="0" w:color="auto"/>
              <w:right w:val="single" w:sz="4" w:space="0" w:color="auto"/>
            </w:tcBorders>
            <w:vAlign w:val="center"/>
          </w:tcPr>
          <w:p w14:paraId="1BC6FE69" w14:textId="77777777" w:rsidR="0009605B" w:rsidRPr="00857867" w:rsidRDefault="0009605B" w:rsidP="00C0347F">
            <w:pPr>
              <w:spacing w:after="0" w:line="240" w:lineRule="auto"/>
              <w:jc w:val="both"/>
              <w:rPr>
                <w:rFonts w:ascii="Times New Roman" w:hAnsi="Times New Roman"/>
                <w:sz w:val="20"/>
                <w:szCs w:val="20"/>
              </w:rPr>
            </w:pPr>
          </w:p>
        </w:tc>
      </w:tr>
      <w:tr w:rsidR="0009605B" w:rsidRPr="00420C1B" w14:paraId="27A8EED2" w14:textId="77777777" w:rsidTr="00215867">
        <w:trPr>
          <w:gridAfter w:val="1"/>
          <w:wAfter w:w="9" w:type="dxa"/>
          <w:trHeight w:val="266"/>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tcPr>
          <w:p w14:paraId="6820C1A5" w14:textId="77777777" w:rsidR="0009605B" w:rsidRPr="00857867" w:rsidRDefault="0009605B" w:rsidP="00C0347F">
            <w:pPr>
              <w:spacing w:after="0" w:line="240" w:lineRule="auto"/>
              <w:rPr>
                <w:rFonts w:ascii="Times New Roman" w:hAnsi="Times New Roman"/>
                <w:b/>
                <w:sz w:val="20"/>
                <w:szCs w:val="20"/>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BB1D7AB" w14:textId="77777777" w:rsidR="0009605B" w:rsidRPr="00857867" w:rsidRDefault="0009605B" w:rsidP="00C0347F">
            <w:pPr>
              <w:spacing w:after="0" w:line="240" w:lineRule="auto"/>
              <w:rPr>
                <w:rFonts w:ascii="Times New Roman" w:eastAsia="Times New Roman" w:hAnsi="Times New Roman"/>
                <w:bCs/>
                <w:sz w:val="20"/>
                <w:szCs w:val="20"/>
              </w:rPr>
            </w:pPr>
          </w:p>
        </w:tc>
        <w:tc>
          <w:tcPr>
            <w:tcW w:w="1188" w:type="dxa"/>
            <w:gridSpan w:val="3"/>
            <w:tcBorders>
              <w:top w:val="single" w:sz="4" w:space="0" w:color="auto"/>
              <w:left w:val="single" w:sz="4" w:space="0" w:color="auto"/>
              <w:bottom w:val="single" w:sz="4" w:space="0" w:color="auto"/>
              <w:right w:val="single" w:sz="4" w:space="0" w:color="auto"/>
            </w:tcBorders>
            <w:vAlign w:val="center"/>
          </w:tcPr>
          <w:p w14:paraId="00AB9736" w14:textId="77777777" w:rsidR="0009605B" w:rsidRPr="00857867" w:rsidRDefault="0009605B" w:rsidP="00C0347F">
            <w:pPr>
              <w:spacing w:after="0" w:line="240" w:lineRule="auto"/>
              <w:jc w:val="both"/>
              <w:rPr>
                <w:rFonts w:ascii="Times New Roman" w:hAnsi="Times New Roman"/>
                <w:sz w:val="20"/>
                <w:szCs w:val="20"/>
              </w:rPr>
            </w:pPr>
            <w:r w:rsidRPr="00857867">
              <w:rPr>
                <w:rFonts w:ascii="Times New Roman" w:hAnsi="Times New Roman"/>
                <w:sz w:val="20"/>
                <w:szCs w:val="20"/>
              </w:rPr>
              <w:t>Périodique</w:t>
            </w:r>
          </w:p>
        </w:tc>
        <w:tc>
          <w:tcPr>
            <w:tcW w:w="2515" w:type="dxa"/>
            <w:gridSpan w:val="4"/>
            <w:tcBorders>
              <w:top w:val="single" w:sz="4" w:space="0" w:color="auto"/>
              <w:left w:val="single" w:sz="4" w:space="0" w:color="auto"/>
              <w:bottom w:val="single" w:sz="4" w:space="0" w:color="auto"/>
              <w:right w:val="single" w:sz="4" w:space="0" w:color="auto"/>
            </w:tcBorders>
            <w:vAlign w:val="center"/>
          </w:tcPr>
          <w:p w14:paraId="51D4AF29" w14:textId="77777777" w:rsidR="0009605B" w:rsidRPr="00857867" w:rsidRDefault="0009605B" w:rsidP="00C0347F">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 xml:space="preserve">Economique, Socio culturel </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675088BE" w14:textId="77777777" w:rsidR="0009605B" w:rsidRPr="00857867" w:rsidRDefault="0009605B" w:rsidP="00C0347F">
            <w:pPr>
              <w:spacing w:after="0" w:line="240" w:lineRule="auto"/>
              <w:jc w:val="both"/>
              <w:rPr>
                <w:rFonts w:ascii="Times New Roman" w:hAnsi="Times New Roman"/>
                <w:sz w:val="20"/>
                <w:szCs w:val="20"/>
              </w:rPr>
            </w:pPr>
          </w:p>
        </w:tc>
        <w:tc>
          <w:tcPr>
            <w:tcW w:w="2381" w:type="dxa"/>
            <w:gridSpan w:val="3"/>
            <w:tcBorders>
              <w:top w:val="single" w:sz="4" w:space="0" w:color="auto"/>
              <w:bottom w:val="single" w:sz="4" w:space="0" w:color="auto"/>
              <w:right w:val="single" w:sz="4" w:space="0" w:color="auto"/>
            </w:tcBorders>
          </w:tcPr>
          <w:p w14:paraId="179AC5F4" w14:textId="77777777" w:rsidR="0009605B" w:rsidRPr="00857867" w:rsidRDefault="0009605B" w:rsidP="00C0347F">
            <w:pPr>
              <w:spacing w:after="0" w:line="240" w:lineRule="auto"/>
              <w:rPr>
                <w:rFonts w:ascii="Times New Roman" w:hAnsi="Times New Roman"/>
                <w:sz w:val="20"/>
                <w:szCs w:val="20"/>
              </w:rPr>
            </w:pPr>
          </w:p>
        </w:tc>
      </w:tr>
      <w:tr w:rsidR="0009605B" w:rsidRPr="00420C1B" w14:paraId="5329EDD4" w14:textId="77777777" w:rsidTr="00215867">
        <w:trPr>
          <w:gridAfter w:val="1"/>
          <w:wAfter w:w="9" w:type="dxa"/>
          <w:trHeight w:val="580"/>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hideMark/>
          </w:tcPr>
          <w:p w14:paraId="16DEA537" w14:textId="77777777" w:rsidR="0009605B" w:rsidRPr="00857867" w:rsidRDefault="0009605B" w:rsidP="007108ED">
            <w:pPr>
              <w:spacing w:after="0" w:line="240" w:lineRule="auto"/>
              <w:rPr>
                <w:rFonts w:ascii="Times New Roman" w:hAnsi="Times New Roman"/>
                <w:b/>
                <w:sz w:val="20"/>
                <w:szCs w:val="20"/>
              </w:rPr>
            </w:pPr>
          </w:p>
        </w:tc>
        <w:tc>
          <w:tcPr>
            <w:tcW w:w="1030" w:type="dxa"/>
            <w:gridSpan w:val="2"/>
            <w:tcBorders>
              <w:top w:val="single" w:sz="4" w:space="0" w:color="auto"/>
              <w:left w:val="single" w:sz="4" w:space="0" w:color="auto"/>
              <w:bottom w:val="single" w:sz="4" w:space="0" w:color="auto"/>
              <w:right w:val="single" w:sz="4" w:space="0" w:color="auto"/>
            </w:tcBorders>
            <w:hideMark/>
          </w:tcPr>
          <w:p w14:paraId="7674E7EC" w14:textId="77777777" w:rsidR="0009605B" w:rsidRPr="00857867" w:rsidRDefault="0009605B"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377" w:type="dxa"/>
            <w:gridSpan w:val="12"/>
            <w:tcBorders>
              <w:top w:val="single" w:sz="4" w:space="0" w:color="auto"/>
              <w:left w:val="single" w:sz="4" w:space="0" w:color="auto"/>
              <w:bottom w:val="single" w:sz="4" w:space="0" w:color="auto"/>
              <w:right w:val="single" w:sz="4" w:space="0" w:color="auto"/>
            </w:tcBorders>
            <w:hideMark/>
          </w:tcPr>
          <w:p w14:paraId="7DF24ABB" w14:textId="77777777" w:rsidR="0009605B" w:rsidRPr="00857867" w:rsidRDefault="0009605B" w:rsidP="00875C40">
            <w:pPr>
              <w:spacing w:after="0" w:line="240" w:lineRule="auto"/>
              <w:jc w:val="both"/>
              <w:rPr>
                <w:rFonts w:ascii="Times New Roman" w:eastAsia="Times New Roman" w:hAnsi="Times New Roman"/>
                <w:bCs/>
                <w:sz w:val="20"/>
                <w:szCs w:val="20"/>
              </w:rPr>
            </w:pPr>
            <w:r w:rsidRPr="00857867">
              <w:rPr>
                <w:rFonts w:ascii="Times New Roman" w:eastAsia="Times New Roman" w:hAnsi="Times New Roman"/>
                <w:bCs/>
                <w:sz w:val="20"/>
                <w:szCs w:val="20"/>
              </w:rPr>
              <w:t>L’entretien des lignes électriques va entrainer</w:t>
            </w:r>
            <w:r w:rsidRPr="00857867">
              <w:rPr>
                <w:rFonts w:ascii="Times New Roman" w:hAnsi="Times New Roman"/>
                <w:sz w:val="20"/>
                <w:szCs w:val="20"/>
              </w:rPr>
              <w:t xml:space="preserve"> l’</w:t>
            </w:r>
            <w:r w:rsidRPr="00857867">
              <w:rPr>
                <w:rFonts w:ascii="Times New Roman" w:eastAsia="Times New Roman" w:hAnsi="Times New Roman"/>
                <w:bCs/>
                <w:sz w:val="20"/>
                <w:szCs w:val="20"/>
              </w:rPr>
              <w:t xml:space="preserve">élagage d’arbres situés dans l’emprise des lignes et des cabines. Cet impact est d’intensité moyenne, d’une étendue ponctuelle et de durée permanente, et donc d’importance moyenne </w:t>
            </w:r>
          </w:p>
        </w:tc>
      </w:tr>
      <w:tr w:rsidR="0009605B" w:rsidRPr="00420C1B" w14:paraId="15215596" w14:textId="77777777" w:rsidTr="00215867">
        <w:trPr>
          <w:gridAfter w:val="1"/>
          <w:wAfter w:w="9" w:type="dxa"/>
          <w:trHeight w:val="275"/>
          <w:jc w:val="center"/>
        </w:trPr>
        <w:tc>
          <w:tcPr>
            <w:tcW w:w="3592" w:type="dxa"/>
            <w:gridSpan w:val="6"/>
            <w:tcBorders>
              <w:top w:val="single" w:sz="4" w:space="0" w:color="auto"/>
              <w:left w:val="single" w:sz="4" w:space="0" w:color="auto"/>
              <w:bottom w:val="single" w:sz="4" w:space="0" w:color="auto"/>
              <w:right w:val="single" w:sz="4" w:space="0" w:color="auto"/>
            </w:tcBorders>
            <w:hideMark/>
          </w:tcPr>
          <w:p w14:paraId="0A95CEA3" w14:textId="77777777" w:rsidR="0009605B" w:rsidRPr="00857867" w:rsidRDefault="0009605B"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6517" w:type="dxa"/>
            <w:gridSpan w:val="10"/>
            <w:tcBorders>
              <w:top w:val="single" w:sz="4" w:space="0" w:color="auto"/>
              <w:left w:val="single" w:sz="4" w:space="0" w:color="auto"/>
              <w:bottom w:val="single" w:sz="4" w:space="0" w:color="auto"/>
              <w:right w:val="single" w:sz="4" w:space="0" w:color="auto"/>
            </w:tcBorders>
            <w:hideMark/>
          </w:tcPr>
          <w:p w14:paraId="3024F6EB" w14:textId="77777777" w:rsidR="0009605B" w:rsidRPr="00857867" w:rsidRDefault="0009605B"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Suivi régulier des lignes électriques</w:t>
            </w:r>
          </w:p>
        </w:tc>
      </w:tr>
      <w:tr w:rsidR="0009605B" w:rsidRPr="00420C1B" w14:paraId="0F122FFF" w14:textId="77777777" w:rsidTr="00215867">
        <w:trPr>
          <w:gridAfter w:val="1"/>
          <w:wAfter w:w="9" w:type="dxa"/>
          <w:trHeight w:val="750"/>
          <w:jc w:val="center"/>
        </w:trPr>
        <w:tc>
          <w:tcPr>
            <w:tcW w:w="3592" w:type="dxa"/>
            <w:gridSpan w:val="6"/>
            <w:tcBorders>
              <w:top w:val="single" w:sz="4" w:space="0" w:color="auto"/>
              <w:left w:val="single" w:sz="4" w:space="0" w:color="auto"/>
              <w:bottom w:val="single" w:sz="4" w:space="0" w:color="auto"/>
              <w:right w:val="single" w:sz="4" w:space="0" w:color="auto"/>
            </w:tcBorders>
            <w:hideMark/>
          </w:tcPr>
          <w:p w14:paraId="3ADD2885" w14:textId="77777777" w:rsidR="0009605B" w:rsidRPr="00857867" w:rsidRDefault="0009605B" w:rsidP="007108ED">
            <w:pPr>
              <w:spacing w:after="0" w:line="240" w:lineRule="auto"/>
              <w:rPr>
                <w:rFonts w:ascii="Times New Roman" w:hAnsi="Times New Roman"/>
                <w:sz w:val="20"/>
                <w:szCs w:val="20"/>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516845AA" w14:textId="77777777" w:rsidR="0009605B" w:rsidRPr="00857867" w:rsidRDefault="0009605B" w:rsidP="007108ED">
            <w:pPr>
              <w:spacing w:after="0" w:line="240" w:lineRule="auto"/>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Sécuriser les installations </w:t>
            </w:r>
          </w:p>
        </w:tc>
        <w:tc>
          <w:tcPr>
            <w:tcW w:w="6517" w:type="dxa"/>
            <w:gridSpan w:val="10"/>
            <w:tcBorders>
              <w:top w:val="single" w:sz="4" w:space="0" w:color="auto"/>
              <w:left w:val="single" w:sz="4" w:space="0" w:color="auto"/>
              <w:bottom w:val="single" w:sz="4" w:space="0" w:color="auto"/>
              <w:right w:val="single" w:sz="4" w:space="0" w:color="auto"/>
            </w:tcBorders>
            <w:hideMark/>
          </w:tcPr>
          <w:p w14:paraId="2845724F" w14:textId="77777777" w:rsidR="0009605B" w:rsidRPr="00857867" w:rsidRDefault="0009605B"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0B3F1B97" w14:textId="77777777" w:rsidR="0009605B" w:rsidRPr="00857867" w:rsidRDefault="0009605B" w:rsidP="008C79F0">
            <w:pPr>
              <w:numPr>
                <w:ilvl w:val="0"/>
                <w:numId w:val="32"/>
              </w:numPr>
              <w:autoSpaceDE w:val="0"/>
              <w:autoSpaceDN w:val="0"/>
              <w:adjustRightInd w:val="0"/>
              <w:spacing w:after="0" w:line="240" w:lineRule="auto"/>
              <w:ind w:left="179" w:hanging="179"/>
              <w:contextualSpacing/>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élaguer les arbres pour éviter l’enchevêtrement des lignes électriques par la végétation </w:t>
            </w:r>
          </w:p>
        </w:tc>
      </w:tr>
      <w:tr w:rsidR="0009605B" w:rsidRPr="00420C1B" w14:paraId="27A88774" w14:textId="77777777" w:rsidTr="00215867">
        <w:trPr>
          <w:gridAfter w:val="1"/>
          <w:wAfter w:w="9" w:type="dxa"/>
          <w:trHeight w:val="258"/>
          <w:jc w:val="center"/>
        </w:trPr>
        <w:tc>
          <w:tcPr>
            <w:tcW w:w="3592" w:type="dxa"/>
            <w:gridSpan w:val="6"/>
            <w:tcBorders>
              <w:top w:val="single" w:sz="4" w:space="0" w:color="auto"/>
              <w:left w:val="single" w:sz="4" w:space="0" w:color="auto"/>
              <w:bottom w:val="single" w:sz="4" w:space="0" w:color="auto"/>
              <w:right w:val="single" w:sz="4" w:space="0" w:color="auto"/>
            </w:tcBorders>
          </w:tcPr>
          <w:p w14:paraId="47C80FB2" w14:textId="77777777" w:rsidR="0009605B" w:rsidRPr="00857867" w:rsidRDefault="0009605B" w:rsidP="007108ED">
            <w:pPr>
              <w:spacing w:after="0" w:line="240" w:lineRule="auto"/>
              <w:jc w:val="right"/>
              <w:rPr>
                <w:rFonts w:ascii="Times New Roman" w:hAnsi="Times New Roman"/>
                <w:b/>
                <w:sz w:val="20"/>
                <w:szCs w:val="20"/>
              </w:rPr>
            </w:pPr>
            <w:r w:rsidRPr="00857867">
              <w:rPr>
                <w:rFonts w:ascii="Times New Roman" w:hAnsi="Times New Roman"/>
                <w:b/>
                <w:sz w:val="20"/>
                <w:szCs w:val="20"/>
              </w:rPr>
              <w:t>Impact résiduel</w:t>
            </w:r>
          </w:p>
        </w:tc>
        <w:tc>
          <w:tcPr>
            <w:tcW w:w="6517" w:type="dxa"/>
            <w:gridSpan w:val="10"/>
            <w:tcBorders>
              <w:top w:val="single" w:sz="4" w:space="0" w:color="auto"/>
              <w:left w:val="single" w:sz="4" w:space="0" w:color="auto"/>
              <w:bottom w:val="single" w:sz="4" w:space="0" w:color="auto"/>
              <w:right w:val="single" w:sz="4" w:space="0" w:color="auto"/>
            </w:tcBorders>
          </w:tcPr>
          <w:p w14:paraId="610EF322" w14:textId="77777777" w:rsidR="0009605B" w:rsidRPr="00857867" w:rsidRDefault="0009605B" w:rsidP="007108ED">
            <w:pPr>
              <w:autoSpaceDE w:val="0"/>
              <w:autoSpaceDN w:val="0"/>
              <w:adjustRightInd w:val="0"/>
              <w:spacing w:after="0" w:line="240" w:lineRule="auto"/>
              <w:rPr>
                <w:rFonts w:ascii="Times New Roman" w:hAnsi="Times New Roman"/>
                <w:sz w:val="20"/>
                <w:szCs w:val="20"/>
                <w:u w:val="single"/>
              </w:rPr>
            </w:pPr>
            <w:r w:rsidRPr="00857867">
              <w:rPr>
                <w:rFonts w:ascii="Times New Roman" w:hAnsi="Times New Roman"/>
                <w:sz w:val="20"/>
                <w:szCs w:val="20"/>
                <w:u w:val="single"/>
              </w:rPr>
              <w:t>Mineur</w:t>
            </w:r>
          </w:p>
        </w:tc>
      </w:tr>
      <w:tr w:rsidR="0009605B" w:rsidRPr="00420C1B" w14:paraId="6F8FB31B" w14:textId="77777777" w:rsidTr="00215867">
        <w:trPr>
          <w:gridAfter w:val="1"/>
          <w:wAfter w:w="9" w:type="dxa"/>
          <w:trHeight w:val="980"/>
          <w:jc w:val="center"/>
        </w:trPr>
        <w:tc>
          <w:tcPr>
            <w:tcW w:w="3326" w:type="dxa"/>
            <w:gridSpan w:val="5"/>
            <w:tcBorders>
              <w:top w:val="single" w:sz="4" w:space="0" w:color="auto"/>
              <w:left w:val="single" w:sz="4" w:space="0" w:color="auto"/>
              <w:bottom w:val="single" w:sz="4" w:space="0" w:color="auto"/>
              <w:right w:val="single" w:sz="4" w:space="0" w:color="auto"/>
            </w:tcBorders>
          </w:tcPr>
          <w:p w14:paraId="076141E3"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392965A6" w14:textId="77777777" w:rsidR="0009605B" w:rsidRPr="00857867" w:rsidRDefault="0009605B"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Service environnement de la SNEL </w:t>
            </w:r>
          </w:p>
        </w:tc>
        <w:tc>
          <w:tcPr>
            <w:tcW w:w="3109" w:type="dxa"/>
            <w:gridSpan w:val="6"/>
            <w:tcBorders>
              <w:top w:val="single" w:sz="4" w:space="0" w:color="auto"/>
              <w:left w:val="single" w:sz="4" w:space="0" w:color="auto"/>
              <w:bottom w:val="single" w:sz="4" w:space="0" w:color="auto"/>
              <w:right w:val="single" w:sz="4" w:space="0" w:color="auto"/>
            </w:tcBorders>
          </w:tcPr>
          <w:p w14:paraId="042D7663"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5F2368B6" w14:textId="77777777" w:rsidR="0009605B" w:rsidRPr="00857867" w:rsidRDefault="0009605B"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6C750986" w14:textId="77777777" w:rsidR="0009605B" w:rsidRPr="00857867" w:rsidRDefault="0009605B"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60FB39BC" w14:textId="77777777" w:rsidR="0009605B" w:rsidRPr="00857867" w:rsidRDefault="0009605B"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674" w:type="dxa"/>
            <w:gridSpan w:val="5"/>
            <w:tcBorders>
              <w:top w:val="single" w:sz="4" w:space="0" w:color="auto"/>
              <w:left w:val="single" w:sz="4" w:space="0" w:color="auto"/>
              <w:bottom w:val="single" w:sz="4" w:space="0" w:color="auto"/>
              <w:right w:val="single" w:sz="4" w:space="0" w:color="auto"/>
            </w:tcBorders>
          </w:tcPr>
          <w:p w14:paraId="20E2DC68"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3A2E45F7" w14:textId="77777777" w:rsidR="0009605B" w:rsidRPr="00857867" w:rsidRDefault="0009605B"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La fréquence de suivi régulier des lignes (tous les 6 mois) </w:t>
            </w:r>
          </w:p>
          <w:p w14:paraId="1C3EF9D0" w14:textId="77777777" w:rsidR="0009605B" w:rsidRPr="00857867" w:rsidRDefault="0009605B"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2 suivis par an ; </w:t>
            </w:r>
          </w:p>
          <w:p w14:paraId="37025550" w14:textId="77777777" w:rsidR="0009605B" w:rsidRPr="00857867" w:rsidRDefault="0009605B"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Nombres d’arbres élagués </w:t>
            </w:r>
          </w:p>
        </w:tc>
      </w:tr>
      <w:tr w:rsidR="0009605B" w:rsidRPr="00420C1B" w14:paraId="0B4135B6" w14:textId="77777777" w:rsidTr="00215867">
        <w:trPr>
          <w:trHeight w:val="413"/>
          <w:jc w:val="center"/>
        </w:trPr>
        <w:tc>
          <w:tcPr>
            <w:tcW w:w="1660" w:type="dxa"/>
            <w:tcBorders>
              <w:top w:val="single" w:sz="4" w:space="0" w:color="auto"/>
              <w:left w:val="single" w:sz="4" w:space="0" w:color="auto"/>
              <w:bottom w:val="single" w:sz="4" w:space="0" w:color="auto"/>
              <w:right w:val="single" w:sz="4" w:space="0" w:color="auto"/>
            </w:tcBorders>
            <w:hideMark/>
          </w:tcPr>
          <w:p w14:paraId="76D6F2DD"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662" w:type="dxa"/>
            <w:gridSpan w:val="2"/>
            <w:tcBorders>
              <w:top w:val="single" w:sz="4" w:space="0" w:color="auto"/>
              <w:left w:val="single" w:sz="4" w:space="0" w:color="auto"/>
              <w:bottom w:val="single" w:sz="4" w:space="0" w:color="auto"/>
              <w:right w:val="single" w:sz="4" w:space="0" w:color="auto"/>
            </w:tcBorders>
            <w:hideMark/>
          </w:tcPr>
          <w:p w14:paraId="2F300365"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004" w:type="dxa"/>
            <w:gridSpan w:val="2"/>
            <w:tcBorders>
              <w:top w:val="single" w:sz="4" w:space="0" w:color="auto"/>
              <w:left w:val="single" w:sz="4" w:space="0" w:color="auto"/>
              <w:bottom w:val="single" w:sz="4" w:space="0" w:color="auto"/>
              <w:right w:val="single" w:sz="4" w:space="0" w:color="auto"/>
            </w:tcBorders>
          </w:tcPr>
          <w:p w14:paraId="5FFEFDF3" w14:textId="77777777" w:rsidR="0009605B" w:rsidRPr="00857867" w:rsidRDefault="0009605B"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54613F53"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p>
        </w:tc>
        <w:tc>
          <w:tcPr>
            <w:tcW w:w="1311" w:type="dxa"/>
            <w:gridSpan w:val="4"/>
            <w:tcBorders>
              <w:top w:val="single" w:sz="4" w:space="0" w:color="auto"/>
              <w:left w:val="single" w:sz="4" w:space="0" w:color="auto"/>
              <w:bottom w:val="single" w:sz="4" w:space="0" w:color="auto"/>
              <w:right w:val="single" w:sz="4" w:space="0" w:color="auto"/>
            </w:tcBorders>
          </w:tcPr>
          <w:p w14:paraId="31C72A25" w14:textId="77777777" w:rsidR="0009605B" w:rsidRPr="00857867" w:rsidRDefault="0009605B" w:rsidP="00E737B4">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798" w:type="dxa"/>
            <w:gridSpan w:val="2"/>
            <w:tcBorders>
              <w:top w:val="single" w:sz="4" w:space="0" w:color="auto"/>
              <w:left w:val="single" w:sz="4" w:space="0" w:color="auto"/>
              <w:bottom w:val="single" w:sz="4" w:space="0" w:color="auto"/>
              <w:right w:val="single" w:sz="4" w:space="0" w:color="auto"/>
            </w:tcBorders>
          </w:tcPr>
          <w:p w14:paraId="40A8A2DC" w14:textId="77777777" w:rsidR="0009605B" w:rsidRPr="00857867" w:rsidRDefault="0009605B" w:rsidP="00E737B4">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Entreprise en $</w:t>
            </w:r>
          </w:p>
        </w:tc>
        <w:tc>
          <w:tcPr>
            <w:tcW w:w="819" w:type="dxa"/>
            <w:tcBorders>
              <w:top w:val="single" w:sz="4" w:space="0" w:color="auto"/>
              <w:left w:val="single" w:sz="4" w:space="0" w:color="auto"/>
              <w:bottom w:val="single" w:sz="4" w:space="0" w:color="auto"/>
              <w:right w:val="single" w:sz="4" w:space="0" w:color="auto"/>
            </w:tcBorders>
          </w:tcPr>
          <w:p w14:paraId="207CAE76" w14:textId="77777777" w:rsidR="0009605B" w:rsidRPr="00857867" w:rsidRDefault="0009605B" w:rsidP="00E737B4">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Projet en $</w:t>
            </w:r>
          </w:p>
        </w:tc>
        <w:tc>
          <w:tcPr>
            <w:tcW w:w="1163" w:type="dxa"/>
            <w:gridSpan w:val="2"/>
            <w:tcBorders>
              <w:top w:val="single" w:sz="4" w:space="0" w:color="auto"/>
              <w:left w:val="single" w:sz="4" w:space="0" w:color="auto"/>
              <w:bottom w:val="single" w:sz="4" w:space="0" w:color="auto"/>
              <w:right w:val="single" w:sz="4" w:space="0" w:color="auto"/>
            </w:tcBorders>
            <w:hideMark/>
          </w:tcPr>
          <w:p w14:paraId="6A3DA4DB"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1701" w:type="dxa"/>
            <w:gridSpan w:val="3"/>
            <w:tcBorders>
              <w:top w:val="single" w:sz="4" w:space="0" w:color="auto"/>
              <w:left w:val="single" w:sz="4" w:space="0" w:color="auto"/>
              <w:bottom w:val="single" w:sz="4" w:space="0" w:color="auto"/>
              <w:right w:val="single" w:sz="4" w:space="0" w:color="auto"/>
            </w:tcBorders>
            <w:hideMark/>
          </w:tcPr>
          <w:p w14:paraId="59EA440B" w14:textId="77777777" w:rsidR="0009605B" w:rsidRPr="00857867" w:rsidRDefault="0009605B"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09605B" w:rsidRPr="00420C1B" w14:paraId="6D4AEF08" w14:textId="77777777" w:rsidTr="00215867">
        <w:trPr>
          <w:trHeight w:val="377"/>
          <w:jc w:val="center"/>
        </w:trPr>
        <w:tc>
          <w:tcPr>
            <w:tcW w:w="1660" w:type="dxa"/>
            <w:tcBorders>
              <w:top w:val="single" w:sz="4" w:space="0" w:color="auto"/>
              <w:left w:val="single" w:sz="4" w:space="0" w:color="auto"/>
              <w:bottom w:val="single" w:sz="4" w:space="0" w:color="auto"/>
              <w:right w:val="single" w:sz="4" w:space="0" w:color="auto"/>
            </w:tcBorders>
          </w:tcPr>
          <w:p w14:paraId="5FB6472E" w14:textId="77777777" w:rsidR="0009605B" w:rsidRPr="00857867" w:rsidRDefault="0009605B" w:rsidP="00C0347F">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Suivi régulier des lignes électriques</w:t>
            </w:r>
          </w:p>
        </w:tc>
        <w:tc>
          <w:tcPr>
            <w:tcW w:w="662" w:type="dxa"/>
            <w:gridSpan w:val="2"/>
            <w:tcBorders>
              <w:top w:val="single" w:sz="4" w:space="0" w:color="auto"/>
              <w:left w:val="single" w:sz="4" w:space="0" w:color="auto"/>
              <w:bottom w:val="single" w:sz="4" w:space="0" w:color="auto"/>
              <w:right w:val="single" w:sz="4" w:space="0" w:color="auto"/>
            </w:tcBorders>
            <w:vAlign w:val="center"/>
          </w:tcPr>
          <w:p w14:paraId="6ED59529"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FF</w:t>
            </w: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12C843DA"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2</w:t>
            </w:r>
          </w:p>
        </w:tc>
        <w:tc>
          <w:tcPr>
            <w:tcW w:w="1311" w:type="dxa"/>
            <w:gridSpan w:val="4"/>
            <w:tcBorders>
              <w:top w:val="single" w:sz="4" w:space="0" w:color="auto"/>
              <w:left w:val="single" w:sz="4" w:space="0" w:color="auto"/>
              <w:bottom w:val="single" w:sz="4" w:space="0" w:color="auto"/>
              <w:right w:val="single" w:sz="4" w:space="0" w:color="auto"/>
            </w:tcBorders>
            <w:vAlign w:val="center"/>
          </w:tcPr>
          <w:p w14:paraId="27DFC2B6"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500</w:t>
            </w:r>
          </w:p>
        </w:tc>
        <w:tc>
          <w:tcPr>
            <w:tcW w:w="1798" w:type="dxa"/>
            <w:gridSpan w:val="2"/>
            <w:tcBorders>
              <w:top w:val="single" w:sz="4" w:space="0" w:color="auto"/>
              <w:left w:val="single" w:sz="4" w:space="0" w:color="auto"/>
              <w:bottom w:val="single" w:sz="4" w:space="0" w:color="auto"/>
              <w:right w:val="single" w:sz="4" w:space="0" w:color="auto"/>
            </w:tcBorders>
            <w:vAlign w:val="center"/>
          </w:tcPr>
          <w:p w14:paraId="4E3D82A7"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28CA25E6"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1000</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6E1CAB3D" w14:textId="77777777" w:rsidR="0009605B" w:rsidRPr="00857867" w:rsidRDefault="0009605B" w:rsidP="00C0347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1000</w:t>
            </w:r>
          </w:p>
        </w:tc>
        <w:tc>
          <w:tcPr>
            <w:tcW w:w="1701" w:type="dxa"/>
            <w:gridSpan w:val="3"/>
            <w:tcBorders>
              <w:top w:val="single" w:sz="4" w:space="0" w:color="auto"/>
              <w:left w:val="single" w:sz="4" w:space="0" w:color="auto"/>
              <w:bottom w:val="single" w:sz="4" w:space="0" w:color="auto"/>
              <w:right w:val="single" w:sz="4" w:space="0" w:color="auto"/>
            </w:tcBorders>
          </w:tcPr>
          <w:p w14:paraId="5CE23653" w14:textId="77777777" w:rsidR="0009605B" w:rsidRPr="00857867" w:rsidRDefault="0009605B" w:rsidP="00C0347F">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 xml:space="preserve">Exploitation des lignes </w:t>
            </w:r>
          </w:p>
        </w:tc>
      </w:tr>
      <w:tr w:rsidR="0009605B" w:rsidRPr="00420C1B" w14:paraId="780A8372" w14:textId="77777777" w:rsidTr="00215867">
        <w:trPr>
          <w:trHeight w:val="165"/>
          <w:jc w:val="center"/>
        </w:trPr>
        <w:tc>
          <w:tcPr>
            <w:tcW w:w="1660" w:type="dxa"/>
            <w:tcBorders>
              <w:top w:val="single" w:sz="4" w:space="0" w:color="auto"/>
              <w:left w:val="single" w:sz="4" w:space="0" w:color="auto"/>
              <w:bottom w:val="single" w:sz="4" w:space="0" w:color="auto"/>
              <w:right w:val="single" w:sz="4" w:space="0" w:color="auto"/>
            </w:tcBorders>
          </w:tcPr>
          <w:p w14:paraId="6EC100C9" w14:textId="77777777" w:rsidR="0009605B" w:rsidRPr="00857867" w:rsidRDefault="0009605B" w:rsidP="00C0347F">
            <w:pPr>
              <w:autoSpaceDE w:val="0"/>
              <w:autoSpaceDN w:val="0"/>
              <w:adjustRightInd w:val="0"/>
              <w:spacing w:after="0" w:line="240" w:lineRule="auto"/>
              <w:jc w:val="both"/>
              <w:rPr>
                <w:rFonts w:ascii="Times New Roman" w:hAnsi="Times New Roman"/>
                <w:b/>
                <w:sz w:val="20"/>
                <w:szCs w:val="20"/>
              </w:rPr>
            </w:pPr>
            <w:r w:rsidRPr="00857867">
              <w:rPr>
                <w:rFonts w:ascii="Times New Roman" w:hAnsi="Times New Roman"/>
                <w:b/>
                <w:sz w:val="20"/>
                <w:szCs w:val="20"/>
              </w:rPr>
              <w:t xml:space="preserve">Total </w:t>
            </w:r>
          </w:p>
        </w:tc>
        <w:tc>
          <w:tcPr>
            <w:tcW w:w="662" w:type="dxa"/>
            <w:gridSpan w:val="2"/>
            <w:tcBorders>
              <w:top w:val="single" w:sz="4" w:space="0" w:color="auto"/>
              <w:left w:val="single" w:sz="4" w:space="0" w:color="auto"/>
              <w:bottom w:val="single" w:sz="4" w:space="0" w:color="auto"/>
              <w:right w:val="single" w:sz="4" w:space="0" w:color="auto"/>
            </w:tcBorders>
            <w:vAlign w:val="center"/>
          </w:tcPr>
          <w:p w14:paraId="7D481B06"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p>
        </w:tc>
        <w:tc>
          <w:tcPr>
            <w:tcW w:w="1004" w:type="dxa"/>
            <w:gridSpan w:val="2"/>
            <w:tcBorders>
              <w:top w:val="single" w:sz="4" w:space="0" w:color="auto"/>
              <w:left w:val="single" w:sz="4" w:space="0" w:color="auto"/>
              <w:bottom w:val="single" w:sz="4" w:space="0" w:color="auto"/>
              <w:right w:val="single" w:sz="4" w:space="0" w:color="auto"/>
            </w:tcBorders>
            <w:vAlign w:val="center"/>
          </w:tcPr>
          <w:p w14:paraId="5241A6B2"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p>
        </w:tc>
        <w:tc>
          <w:tcPr>
            <w:tcW w:w="1311" w:type="dxa"/>
            <w:gridSpan w:val="4"/>
            <w:tcBorders>
              <w:top w:val="single" w:sz="4" w:space="0" w:color="auto"/>
              <w:left w:val="single" w:sz="4" w:space="0" w:color="auto"/>
              <w:bottom w:val="single" w:sz="4" w:space="0" w:color="auto"/>
              <w:right w:val="single" w:sz="4" w:space="0" w:color="auto"/>
            </w:tcBorders>
            <w:vAlign w:val="center"/>
          </w:tcPr>
          <w:p w14:paraId="3BA4DBB2"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p>
        </w:tc>
        <w:tc>
          <w:tcPr>
            <w:tcW w:w="1798" w:type="dxa"/>
            <w:gridSpan w:val="2"/>
            <w:tcBorders>
              <w:top w:val="single" w:sz="4" w:space="0" w:color="auto"/>
              <w:left w:val="single" w:sz="4" w:space="0" w:color="auto"/>
              <w:bottom w:val="single" w:sz="4" w:space="0" w:color="auto"/>
              <w:right w:val="single" w:sz="4" w:space="0" w:color="auto"/>
            </w:tcBorders>
            <w:vAlign w:val="center"/>
          </w:tcPr>
          <w:p w14:paraId="3E8D1E1F"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p>
        </w:tc>
        <w:tc>
          <w:tcPr>
            <w:tcW w:w="819" w:type="dxa"/>
            <w:tcBorders>
              <w:top w:val="single" w:sz="4" w:space="0" w:color="auto"/>
              <w:left w:val="single" w:sz="4" w:space="0" w:color="auto"/>
              <w:bottom w:val="single" w:sz="4" w:space="0" w:color="auto"/>
              <w:right w:val="single" w:sz="4" w:space="0" w:color="auto"/>
            </w:tcBorders>
            <w:vAlign w:val="center"/>
          </w:tcPr>
          <w:p w14:paraId="46C958AA"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r w:rsidRPr="00857867">
              <w:rPr>
                <w:rFonts w:ascii="Times New Roman" w:hAnsi="Times New Roman"/>
                <w:b/>
                <w:sz w:val="20"/>
                <w:szCs w:val="20"/>
              </w:rPr>
              <w:t>1000</w:t>
            </w:r>
          </w:p>
        </w:tc>
        <w:tc>
          <w:tcPr>
            <w:tcW w:w="1163" w:type="dxa"/>
            <w:gridSpan w:val="2"/>
            <w:tcBorders>
              <w:top w:val="single" w:sz="4" w:space="0" w:color="auto"/>
              <w:left w:val="single" w:sz="4" w:space="0" w:color="auto"/>
              <w:bottom w:val="single" w:sz="4" w:space="0" w:color="auto"/>
              <w:right w:val="single" w:sz="4" w:space="0" w:color="auto"/>
            </w:tcBorders>
            <w:vAlign w:val="center"/>
          </w:tcPr>
          <w:p w14:paraId="355B3D96" w14:textId="77777777" w:rsidR="0009605B" w:rsidRPr="00857867" w:rsidRDefault="0009605B" w:rsidP="00C0347F">
            <w:pPr>
              <w:autoSpaceDE w:val="0"/>
              <w:autoSpaceDN w:val="0"/>
              <w:adjustRightInd w:val="0"/>
              <w:spacing w:after="0" w:line="240" w:lineRule="auto"/>
              <w:jc w:val="center"/>
              <w:rPr>
                <w:rFonts w:ascii="Times New Roman" w:hAnsi="Times New Roman"/>
                <w:b/>
                <w:sz w:val="20"/>
                <w:szCs w:val="20"/>
              </w:rPr>
            </w:pPr>
            <w:r w:rsidRPr="00857867">
              <w:rPr>
                <w:rFonts w:ascii="Times New Roman" w:hAnsi="Times New Roman"/>
                <w:b/>
                <w:sz w:val="20"/>
                <w:szCs w:val="20"/>
              </w:rPr>
              <w:t>1000</w:t>
            </w:r>
          </w:p>
        </w:tc>
        <w:tc>
          <w:tcPr>
            <w:tcW w:w="1701" w:type="dxa"/>
            <w:gridSpan w:val="3"/>
            <w:tcBorders>
              <w:top w:val="single" w:sz="4" w:space="0" w:color="auto"/>
              <w:left w:val="single" w:sz="4" w:space="0" w:color="auto"/>
              <w:bottom w:val="single" w:sz="4" w:space="0" w:color="auto"/>
              <w:right w:val="single" w:sz="4" w:space="0" w:color="auto"/>
            </w:tcBorders>
          </w:tcPr>
          <w:p w14:paraId="08567671" w14:textId="77777777" w:rsidR="0009605B" w:rsidRPr="00857867" w:rsidRDefault="0009605B" w:rsidP="00C0347F">
            <w:pPr>
              <w:autoSpaceDE w:val="0"/>
              <w:autoSpaceDN w:val="0"/>
              <w:adjustRightInd w:val="0"/>
              <w:spacing w:after="0" w:line="240" w:lineRule="auto"/>
              <w:jc w:val="both"/>
              <w:rPr>
                <w:rFonts w:ascii="Times New Roman" w:hAnsi="Times New Roman"/>
                <w:b/>
                <w:sz w:val="20"/>
                <w:szCs w:val="20"/>
              </w:rPr>
            </w:pPr>
          </w:p>
        </w:tc>
      </w:tr>
    </w:tbl>
    <w:p w14:paraId="4661A7AC" w14:textId="77777777" w:rsidR="00785FB7" w:rsidRPr="00857867" w:rsidRDefault="00785FB7" w:rsidP="00ED17F3">
      <w:pPr>
        <w:rPr>
          <w:rFonts w:ascii="Times New Roman" w:hAnsi="Times New Roman"/>
        </w:rPr>
      </w:pPr>
    </w:p>
    <w:p w14:paraId="26B34E04" w14:textId="3C707B53" w:rsidR="00ED17F3" w:rsidRPr="00215867" w:rsidRDefault="00785FB7" w:rsidP="00360D1B">
      <w:pPr>
        <w:rPr>
          <w:rFonts w:ascii="Times New Roman" w:hAnsi="Times New Roman"/>
          <w:sz w:val="24"/>
        </w:rPr>
      </w:pPr>
      <w:r w:rsidRPr="00857867">
        <w:rPr>
          <w:rFonts w:ascii="Times New Roman" w:hAnsi="Times New Roman"/>
        </w:rPr>
        <w:br w:type="page"/>
      </w:r>
      <w:bookmarkStart w:id="618" w:name="_Toc93050297"/>
      <w:bookmarkStart w:id="619" w:name="_Toc519048936"/>
      <w:r w:rsidR="00ED17F3" w:rsidRPr="00215867">
        <w:rPr>
          <w:rFonts w:ascii="Times New Roman" w:hAnsi="Times New Roman"/>
          <w:sz w:val="24"/>
        </w:rPr>
        <w:t xml:space="preserve">Tableau </w:t>
      </w:r>
      <w:r w:rsidR="00ED17F3" w:rsidRPr="00215867">
        <w:rPr>
          <w:rFonts w:ascii="Times New Roman" w:hAnsi="Times New Roman"/>
          <w:noProof/>
          <w:sz w:val="24"/>
        </w:rPr>
        <w:fldChar w:fldCharType="begin"/>
      </w:r>
      <w:r w:rsidR="00ED17F3" w:rsidRPr="00215867">
        <w:rPr>
          <w:rFonts w:ascii="Times New Roman" w:hAnsi="Times New Roman"/>
          <w:noProof/>
          <w:sz w:val="24"/>
        </w:rPr>
        <w:instrText xml:space="preserve"> SEQ Tableau \* ARABIC </w:instrText>
      </w:r>
      <w:r w:rsidR="00ED17F3" w:rsidRPr="00215867">
        <w:rPr>
          <w:rFonts w:ascii="Times New Roman" w:hAnsi="Times New Roman"/>
          <w:noProof/>
          <w:sz w:val="24"/>
        </w:rPr>
        <w:fldChar w:fldCharType="separate"/>
      </w:r>
      <w:r w:rsidR="00BD6279" w:rsidRPr="00215867">
        <w:rPr>
          <w:rFonts w:ascii="Times New Roman" w:hAnsi="Times New Roman"/>
          <w:noProof/>
          <w:sz w:val="24"/>
        </w:rPr>
        <w:t>35</w:t>
      </w:r>
      <w:r w:rsidR="00ED17F3" w:rsidRPr="00215867">
        <w:rPr>
          <w:rFonts w:ascii="Times New Roman" w:hAnsi="Times New Roman"/>
          <w:noProof/>
          <w:sz w:val="24"/>
        </w:rPr>
        <w:fldChar w:fldCharType="end"/>
      </w:r>
      <w:r w:rsidR="00057AB5" w:rsidRPr="00215867">
        <w:rPr>
          <w:rFonts w:ascii="Times New Roman" w:hAnsi="Times New Roman"/>
          <w:noProof/>
          <w:sz w:val="24"/>
        </w:rPr>
        <w:t xml:space="preserve"> </w:t>
      </w:r>
      <w:r w:rsidR="00ED17F3" w:rsidRPr="00215867">
        <w:rPr>
          <w:rFonts w:ascii="Times New Roman" w:hAnsi="Times New Roman"/>
          <w:sz w:val="24"/>
        </w:rPr>
        <w:t>:</w:t>
      </w:r>
      <w:r w:rsidR="00057AB5" w:rsidRPr="00215867">
        <w:rPr>
          <w:rFonts w:ascii="Times New Roman" w:hAnsi="Times New Roman"/>
          <w:sz w:val="24"/>
        </w:rPr>
        <w:t xml:space="preserve"> </w:t>
      </w:r>
      <w:r w:rsidR="00ED17F3" w:rsidRPr="00215867">
        <w:rPr>
          <w:rFonts w:ascii="Times New Roman" w:hAnsi="Times New Roman"/>
          <w:sz w:val="24"/>
        </w:rPr>
        <w:t xml:space="preserve">Fiche de déclaration d’Impact – Code </w:t>
      </w:r>
      <w:r w:rsidR="00BD6279" w:rsidRPr="00215867">
        <w:rPr>
          <w:rFonts w:ascii="Times New Roman" w:hAnsi="Times New Roman"/>
          <w:sz w:val="24"/>
        </w:rPr>
        <w:t>13</w:t>
      </w:r>
      <w:bookmarkEnd w:id="618"/>
      <w:bookmarkEnd w:id="619"/>
    </w:p>
    <w:tbl>
      <w:tblPr>
        <w:tblW w:w="10485" w:type="dxa"/>
        <w:jc w:val="center"/>
        <w:tblLook w:val="04A0" w:firstRow="1" w:lastRow="0" w:firstColumn="1" w:lastColumn="0" w:noHBand="0" w:noVBand="1"/>
      </w:tblPr>
      <w:tblGrid>
        <w:gridCol w:w="18"/>
        <w:gridCol w:w="1753"/>
        <w:gridCol w:w="575"/>
        <w:gridCol w:w="783"/>
        <w:gridCol w:w="258"/>
        <w:gridCol w:w="725"/>
        <w:gridCol w:w="532"/>
        <w:gridCol w:w="130"/>
        <w:gridCol w:w="700"/>
        <w:gridCol w:w="557"/>
        <w:gridCol w:w="16"/>
        <w:gridCol w:w="560"/>
        <w:gridCol w:w="709"/>
        <w:gridCol w:w="233"/>
        <w:gridCol w:w="901"/>
        <w:gridCol w:w="337"/>
        <w:gridCol w:w="1339"/>
        <w:gridCol w:w="359"/>
      </w:tblGrid>
      <w:tr w:rsidR="00D75D2E" w:rsidRPr="00420C1B" w14:paraId="0242439A" w14:textId="77777777" w:rsidTr="00215867">
        <w:trPr>
          <w:tblHeader/>
          <w:jc w:val="center"/>
        </w:trPr>
        <w:tc>
          <w:tcPr>
            <w:tcW w:w="1771"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7C4C732" w14:textId="77777777" w:rsidR="00ED17F3" w:rsidRPr="00857867" w:rsidRDefault="00ED17F3" w:rsidP="007108ED">
            <w:pPr>
              <w:spacing w:after="0" w:line="240" w:lineRule="auto"/>
              <w:jc w:val="center"/>
              <w:rPr>
                <w:rFonts w:ascii="Times New Roman" w:hAnsi="Times New Roman"/>
                <w:b/>
                <w:sz w:val="20"/>
                <w:szCs w:val="20"/>
              </w:rPr>
            </w:pPr>
            <w:r w:rsidRPr="00857867">
              <w:rPr>
                <w:rFonts w:ascii="Times New Roman" w:hAnsi="Times New Roman"/>
                <w:b/>
                <w:sz w:val="20"/>
                <w:szCs w:val="20"/>
              </w:rPr>
              <w:t>COMPOSANTE</w:t>
            </w:r>
          </w:p>
        </w:tc>
        <w:tc>
          <w:tcPr>
            <w:tcW w:w="4276" w:type="dxa"/>
            <w:gridSpan w:val="9"/>
            <w:tcBorders>
              <w:top w:val="single" w:sz="4" w:space="0" w:color="auto"/>
              <w:left w:val="single" w:sz="4" w:space="0" w:color="auto"/>
              <w:bottom w:val="single" w:sz="4" w:space="0" w:color="auto"/>
              <w:right w:val="single" w:sz="4" w:space="0" w:color="auto"/>
            </w:tcBorders>
            <w:shd w:val="clear" w:color="auto" w:fill="92D050"/>
            <w:hideMark/>
          </w:tcPr>
          <w:p w14:paraId="631A978A" w14:textId="77777777" w:rsidR="00ED17F3" w:rsidRPr="00857867" w:rsidRDefault="00ED17F3" w:rsidP="007108ED">
            <w:pPr>
              <w:spacing w:after="0" w:line="240" w:lineRule="auto"/>
              <w:jc w:val="center"/>
              <w:rPr>
                <w:rFonts w:ascii="Times New Roman" w:hAnsi="Times New Roman"/>
                <w:b/>
                <w:sz w:val="20"/>
                <w:szCs w:val="20"/>
              </w:rPr>
            </w:pPr>
            <w:r w:rsidRPr="00857867">
              <w:rPr>
                <w:rFonts w:ascii="Times New Roman" w:hAnsi="Times New Roman"/>
                <w:b/>
                <w:sz w:val="20"/>
                <w:szCs w:val="20"/>
              </w:rPr>
              <w:t>Faune</w:t>
            </w:r>
          </w:p>
        </w:tc>
        <w:tc>
          <w:tcPr>
            <w:tcW w:w="1502"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E3462D3" w14:textId="77777777" w:rsidR="00ED17F3" w:rsidRPr="00857867" w:rsidRDefault="00ED17F3" w:rsidP="007108ED">
            <w:pPr>
              <w:spacing w:after="0" w:line="240" w:lineRule="auto"/>
              <w:jc w:val="center"/>
              <w:rPr>
                <w:rFonts w:ascii="Times New Roman" w:hAnsi="Times New Roman"/>
                <w:b/>
                <w:sz w:val="20"/>
                <w:szCs w:val="20"/>
              </w:rPr>
            </w:pPr>
            <w:r w:rsidRPr="00857867">
              <w:rPr>
                <w:rFonts w:ascii="Times New Roman" w:hAnsi="Times New Roman"/>
                <w:b/>
                <w:sz w:val="20"/>
                <w:szCs w:val="20"/>
              </w:rPr>
              <w:t>PHASE</w:t>
            </w:r>
          </w:p>
        </w:tc>
        <w:tc>
          <w:tcPr>
            <w:tcW w:w="2936" w:type="dxa"/>
            <w:gridSpan w:val="4"/>
            <w:tcBorders>
              <w:top w:val="single" w:sz="4" w:space="0" w:color="auto"/>
              <w:left w:val="single" w:sz="4" w:space="0" w:color="auto"/>
              <w:bottom w:val="single" w:sz="4" w:space="0" w:color="auto"/>
              <w:right w:val="single" w:sz="4" w:space="0" w:color="auto"/>
            </w:tcBorders>
            <w:shd w:val="clear" w:color="auto" w:fill="92D050"/>
            <w:hideMark/>
          </w:tcPr>
          <w:p w14:paraId="0ABFFC64" w14:textId="77777777" w:rsidR="00ED17F3" w:rsidRPr="00857867" w:rsidRDefault="00ED17F3" w:rsidP="007108ED">
            <w:pPr>
              <w:spacing w:after="0" w:line="240" w:lineRule="auto"/>
              <w:jc w:val="center"/>
              <w:rPr>
                <w:rFonts w:ascii="Times New Roman" w:hAnsi="Times New Roman"/>
                <w:sz w:val="20"/>
                <w:szCs w:val="20"/>
              </w:rPr>
            </w:pPr>
            <w:r w:rsidRPr="00857867">
              <w:rPr>
                <w:rFonts w:ascii="Times New Roman" w:hAnsi="Times New Roman"/>
                <w:sz w:val="20"/>
                <w:szCs w:val="20"/>
              </w:rPr>
              <w:t>Exploitation</w:t>
            </w:r>
          </w:p>
        </w:tc>
      </w:tr>
      <w:tr w:rsidR="00D75D2E" w:rsidRPr="00420C1B" w14:paraId="69FC02B6" w14:textId="77777777" w:rsidTr="00215867">
        <w:trPr>
          <w:trHeight w:val="379"/>
          <w:jc w:val="center"/>
        </w:trPr>
        <w:tc>
          <w:tcPr>
            <w:tcW w:w="1771" w:type="dxa"/>
            <w:gridSpan w:val="2"/>
            <w:vMerge w:val="restart"/>
            <w:tcBorders>
              <w:top w:val="single" w:sz="4" w:space="0" w:color="auto"/>
              <w:left w:val="single" w:sz="4" w:space="0" w:color="auto"/>
              <w:right w:val="single" w:sz="4" w:space="0" w:color="auto"/>
            </w:tcBorders>
          </w:tcPr>
          <w:p w14:paraId="4328120F"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Code 09</w:t>
            </w:r>
          </w:p>
        </w:tc>
        <w:tc>
          <w:tcPr>
            <w:tcW w:w="8714" w:type="dxa"/>
            <w:gridSpan w:val="16"/>
            <w:tcBorders>
              <w:top w:val="single" w:sz="4" w:space="0" w:color="auto"/>
              <w:left w:val="single" w:sz="4" w:space="0" w:color="auto"/>
              <w:bottom w:val="single" w:sz="4" w:space="0" w:color="auto"/>
              <w:right w:val="single" w:sz="4" w:space="0" w:color="auto"/>
            </w:tcBorders>
          </w:tcPr>
          <w:p w14:paraId="73499C3F"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Elagage des arbres dans l’emprise des lignes</w:t>
            </w:r>
          </w:p>
        </w:tc>
      </w:tr>
      <w:tr w:rsidR="00D75D2E" w:rsidRPr="00420C1B" w14:paraId="5220E791" w14:textId="77777777" w:rsidTr="00215867">
        <w:trPr>
          <w:trHeight w:val="150"/>
          <w:jc w:val="center"/>
        </w:trPr>
        <w:tc>
          <w:tcPr>
            <w:tcW w:w="1771" w:type="dxa"/>
            <w:gridSpan w:val="2"/>
            <w:vMerge/>
            <w:tcBorders>
              <w:left w:val="single" w:sz="4" w:space="0" w:color="auto"/>
              <w:bottom w:val="single" w:sz="4" w:space="0" w:color="auto"/>
              <w:right w:val="single" w:sz="4" w:space="0" w:color="auto"/>
            </w:tcBorders>
            <w:hideMark/>
          </w:tcPr>
          <w:p w14:paraId="0400FAA1" w14:textId="77777777" w:rsidR="00ED17F3" w:rsidRPr="00857867" w:rsidRDefault="00ED17F3" w:rsidP="007108ED">
            <w:pPr>
              <w:spacing w:after="0" w:line="240" w:lineRule="auto"/>
              <w:rPr>
                <w:rFonts w:ascii="Times New Roman" w:hAnsi="Times New Roman"/>
                <w:b/>
                <w:sz w:val="20"/>
                <w:szCs w:val="20"/>
              </w:rPr>
            </w:pPr>
          </w:p>
        </w:tc>
        <w:tc>
          <w:tcPr>
            <w:tcW w:w="8714" w:type="dxa"/>
            <w:gridSpan w:val="16"/>
            <w:tcBorders>
              <w:top w:val="single" w:sz="4" w:space="0" w:color="auto"/>
              <w:left w:val="single" w:sz="4" w:space="0" w:color="auto"/>
              <w:bottom w:val="single" w:sz="4" w:space="0" w:color="auto"/>
              <w:right w:val="single" w:sz="4" w:space="0" w:color="auto"/>
            </w:tcBorders>
            <w:hideMark/>
          </w:tcPr>
          <w:p w14:paraId="349BA54A"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xml:space="preserve"> : </w:t>
            </w:r>
            <w:r w:rsidR="00A62053" w:rsidRPr="00857867">
              <w:rPr>
                <w:rFonts w:ascii="Times New Roman" w:hAnsi="Times New Roman"/>
                <w:sz w:val="20"/>
                <w:szCs w:val="20"/>
              </w:rPr>
              <w:t>Perte d’habitat faunique</w:t>
            </w:r>
          </w:p>
        </w:tc>
      </w:tr>
      <w:tr w:rsidR="00D75D2E" w:rsidRPr="00420C1B" w14:paraId="19DEEF5D" w14:textId="77777777" w:rsidTr="00215867">
        <w:trPr>
          <w:jc w:val="center"/>
        </w:trPr>
        <w:tc>
          <w:tcPr>
            <w:tcW w:w="1771" w:type="dxa"/>
            <w:gridSpan w:val="2"/>
            <w:vMerge w:val="restart"/>
            <w:tcBorders>
              <w:top w:val="single" w:sz="4" w:space="0" w:color="auto"/>
              <w:left w:val="single" w:sz="4" w:space="0" w:color="auto"/>
              <w:right w:val="single" w:sz="4" w:space="0" w:color="auto"/>
            </w:tcBorders>
            <w:hideMark/>
          </w:tcPr>
          <w:p w14:paraId="53607DCA" w14:textId="77777777" w:rsidR="00423E57" w:rsidRPr="00857867" w:rsidRDefault="00423E57" w:rsidP="00423E57">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4260" w:type="dxa"/>
            <w:gridSpan w:val="8"/>
            <w:vMerge w:val="restart"/>
            <w:tcBorders>
              <w:top w:val="single" w:sz="4" w:space="0" w:color="auto"/>
              <w:left w:val="single" w:sz="4" w:space="0" w:color="auto"/>
              <w:right w:val="single" w:sz="4" w:space="0" w:color="auto"/>
            </w:tcBorders>
            <w:hideMark/>
          </w:tcPr>
          <w:p w14:paraId="37C69F9A" w14:textId="77777777" w:rsidR="00423E57" w:rsidRPr="00857867" w:rsidRDefault="00423E57" w:rsidP="00423E57">
            <w:pPr>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Emprise des lignes dans les communes abritant le projet</w:t>
            </w:r>
          </w:p>
        </w:tc>
        <w:tc>
          <w:tcPr>
            <w:tcW w:w="1518" w:type="dxa"/>
            <w:gridSpan w:val="4"/>
            <w:tcBorders>
              <w:top w:val="single" w:sz="4" w:space="0" w:color="auto"/>
              <w:left w:val="single" w:sz="4" w:space="0" w:color="auto"/>
              <w:bottom w:val="single" w:sz="4" w:space="0" w:color="auto"/>
              <w:right w:val="single" w:sz="4" w:space="0" w:color="auto"/>
            </w:tcBorders>
          </w:tcPr>
          <w:p w14:paraId="59E59C07" w14:textId="77777777" w:rsidR="00423E57" w:rsidRPr="00857867" w:rsidRDefault="00423E57" w:rsidP="00423E57">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38" w:type="dxa"/>
            <w:gridSpan w:val="2"/>
            <w:tcBorders>
              <w:top w:val="single" w:sz="4" w:space="0" w:color="auto"/>
              <w:left w:val="single" w:sz="4" w:space="0" w:color="auto"/>
              <w:bottom w:val="single" w:sz="4" w:space="0" w:color="auto"/>
              <w:right w:val="single" w:sz="4" w:space="0" w:color="auto"/>
            </w:tcBorders>
            <w:hideMark/>
          </w:tcPr>
          <w:p w14:paraId="589FA483" w14:textId="77777777" w:rsidR="00423E57" w:rsidRPr="00857867" w:rsidRDefault="00423E57" w:rsidP="00423E57">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698" w:type="dxa"/>
            <w:gridSpan w:val="2"/>
            <w:tcBorders>
              <w:top w:val="single" w:sz="4" w:space="0" w:color="auto"/>
              <w:left w:val="single" w:sz="4" w:space="0" w:color="auto"/>
              <w:right w:val="single" w:sz="4" w:space="0" w:color="auto"/>
            </w:tcBorders>
          </w:tcPr>
          <w:p w14:paraId="7F772BF9" w14:textId="77777777" w:rsidR="00423E57" w:rsidRPr="00857867" w:rsidRDefault="00423E57" w:rsidP="00423E57">
            <w:pPr>
              <w:spacing w:after="0" w:line="240" w:lineRule="auto"/>
              <w:rPr>
                <w:rFonts w:ascii="Times New Roman" w:hAnsi="Times New Roman"/>
                <w:sz w:val="20"/>
                <w:szCs w:val="20"/>
              </w:rPr>
            </w:pPr>
          </w:p>
        </w:tc>
      </w:tr>
      <w:tr w:rsidR="00D75D2E" w:rsidRPr="00420C1B" w14:paraId="6032021D" w14:textId="77777777" w:rsidTr="00215867">
        <w:trPr>
          <w:trHeight w:val="152"/>
          <w:jc w:val="center"/>
        </w:trPr>
        <w:tc>
          <w:tcPr>
            <w:tcW w:w="1771" w:type="dxa"/>
            <w:gridSpan w:val="2"/>
            <w:vMerge/>
            <w:tcBorders>
              <w:left w:val="single" w:sz="4" w:space="0" w:color="auto"/>
              <w:right w:val="single" w:sz="4" w:space="0" w:color="auto"/>
            </w:tcBorders>
            <w:vAlign w:val="center"/>
            <w:hideMark/>
          </w:tcPr>
          <w:p w14:paraId="189178A9" w14:textId="77777777" w:rsidR="00423E57" w:rsidRPr="00857867" w:rsidRDefault="00423E57" w:rsidP="00423E57">
            <w:pPr>
              <w:spacing w:after="0" w:line="240" w:lineRule="auto"/>
              <w:rPr>
                <w:rFonts w:ascii="Times New Roman" w:eastAsia="Times New Roman" w:hAnsi="Times New Roman"/>
                <w:sz w:val="20"/>
                <w:szCs w:val="20"/>
                <w:lang w:eastAsia="fr-FR"/>
              </w:rPr>
            </w:pPr>
          </w:p>
        </w:tc>
        <w:tc>
          <w:tcPr>
            <w:tcW w:w="4260" w:type="dxa"/>
            <w:gridSpan w:val="8"/>
            <w:vMerge/>
            <w:tcBorders>
              <w:left w:val="single" w:sz="4" w:space="0" w:color="auto"/>
              <w:right w:val="single" w:sz="4" w:space="0" w:color="auto"/>
            </w:tcBorders>
            <w:vAlign w:val="center"/>
            <w:hideMark/>
          </w:tcPr>
          <w:p w14:paraId="1FCEB5E0" w14:textId="77777777" w:rsidR="00423E57" w:rsidRPr="00857867" w:rsidRDefault="00423E57" w:rsidP="00423E57">
            <w:pPr>
              <w:spacing w:after="0" w:line="240" w:lineRule="auto"/>
              <w:rPr>
                <w:rFonts w:ascii="Times New Roman" w:hAnsi="Times New Roman"/>
                <w:sz w:val="20"/>
                <w:szCs w:val="20"/>
              </w:rPr>
            </w:pPr>
          </w:p>
        </w:tc>
        <w:tc>
          <w:tcPr>
            <w:tcW w:w="1518" w:type="dxa"/>
            <w:gridSpan w:val="4"/>
            <w:tcBorders>
              <w:top w:val="single" w:sz="4" w:space="0" w:color="auto"/>
              <w:left w:val="single" w:sz="4" w:space="0" w:color="auto"/>
              <w:bottom w:val="single" w:sz="4" w:space="0" w:color="auto"/>
              <w:right w:val="single" w:sz="4" w:space="0" w:color="auto"/>
            </w:tcBorders>
          </w:tcPr>
          <w:p w14:paraId="58241AFB" w14:textId="77777777" w:rsidR="00423E57" w:rsidRPr="00857867" w:rsidRDefault="00423E57" w:rsidP="00423E57">
            <w:pPr>
              <w:spacing w:after="0" w:line="240" w:lineRule="auto"/>
              <w:rPr>
                <w:rFonts w:ascii="Times New Roman" w:hAnsi="Times New Roman"/>
                <w:sz w:val="20"/>
                <w:szCs w:val="20"/>
              </w:rPr>
            </w:pPr>
            <w:r w:rsidRPr="00420C1B">
              <w:rPr>
                <w:rFonts w:ascii="Times New Roman" w:hAnsi="Times New Roman"/>
                <w:sz w:val="20"/>
                <w:szCs w:val="20"/>
              </w:rPr>
              <w:t xml:space="preserve">526135  </w:t>
            </w:r>
          </w:p>
        </w:tc>
        <w:tc>
          <w:tcPr>
            <w:tcW w:w="1238" w:type="dxa"/>
            <w:gridSpan w:val="2"/>
            <w:tcBorders>
              <w:top w:val="single" w:sz="4" w:space="0" w:color="auto"/>
              <w:left w:val="nil"/>
              <w:bottom w:val="single" w:sz="4" w:space="0" w:color="auto"/>
              <w:right w:val="single" w:sz="4" w:space="0" w:color="auto"/>
            </w:tcBorders>
          </w:tcPr>
          <w:p w14:paraId="7C2BE965" w14:textId="77777777" w:rsidR="00423E57" w:rsidRPr="00857867" w:rsidRDefault="00423E57" w:rsidP="00423E57">
            <w:pPr>
              <w:spacing w:after="0" w:line="240" w:lineRule="auto"/>
              <w:rPr>
                <w:rFonts w:ascii="Times New Roman" w:hAnsi="Times New Roman"/>
                <w:sz w:val="20"/>
                <w:szCs w:val="20"/>
              </w:rPr>
            </w:pPr>
            <w:r w:rsidRPr="00420C1B">
              <w:rPr>
                <w:rFonts w:ascii="Times New Roman" w:hAnsi="Times New Roman"/>
                <w:sz w:val="20"/>
                <w:szCs w:val="20"/>
              </w:rPr>
              <w:t>9514282</w:t>
            </w:r>
          </w:p>
        </w:tc>
        <w:tc>
          <w:tcPr>
            <w:tcW w:w="1698" w:type="dxa"/>
            <w:gridSpan w:val="2"/>
            <w:tcBorders>
              <w:left w:val="single" w:sz="4" w:space="0" w:color="auto"/>
              <w:right w:val="single" w:sz="4" w:space="0" w:color="auto"/>
            </w:tcBorders>
            <w:vAlign w:val="center"/>
            <w:hideMark/>
          </w:tcPr>
          <w:p w14:paraId="3BA5BC35" w14:textId="77777777" w:rsidR="00423E57" w:rsidRPr="00857867" w:rsidRDefault="00423E57" w:rsidP="00423E57">
            <w:pPr>
              <w:spacing w:after="0" w:line="240" w:lineRule="auto"/>
              <w:rPr>
                <w:rFonts w:ascii="Times New Roman" w:hAnsi="Times New Roman"/>
                <w:sz w:val="20"/>
                <w:szCs w:val="20"/>
              </w:rPr>
            </w:pPr>
          </w:p>
        </w:tc>
      </w:tr>
      <w:tr w:rsidR="00D75D2E" w:rsidRPr="00420C1B" w14:paraId="35D35870" w14:textId="77777777" w:rsidTr="00215867">
        <w:trPr>
          <w:trHeight w:val="101"/>
          <w:jc w:val="center"/>
        </w:trPr>
        <w:tc>
          <w:tcPr>
            <w:tcW w:w="1771" w:type="dxa"/>
            <w:gridSpan w:val="2"/>
            <w:vMerge/>
            <w:tcBorders>
              <w:left w:val="single" w:sz="4" w:space="0" w:color="auto"/>
              <w:bottom w:val="single" w:sz="4" w:space="0" w:color="auto"/>
              <w:right w:val="single" w:sz="4" w:space="0" w:color="auto"/>
            </w:tcBorders>
            <w:vAlign w:val="center"/>
          </w:tcPr>
          <w:p w14:paraId="7987E999" w14:textId="77777777" w:rsidR="00423E57" w:rsidRPr="00857867" w:rsidRDefault="00423E57" w:rsidP="00423E57">
            <w:pPr>
              <w:spacing w:after="0" w:line="240" w:lineRule="auto"/>
              <w:rPr>
                <w:rFonts w:ascii="Times New Roman" w:eastAsia="Times New Roman" w:hAnsi="Times New Roman"/>
                <w:sz w:val="20"/>
                <w:szCs w:val="20"/>
                <w:lang w:eastAsia="fr-FR"/>
              </w:rPr>
            </w:pPr>
          </w:p>
        </w:tc>
        <w:tc>
          <w:tcPr>
            <w:tcW w:w="4260" w:type="dxa"/>
            <w:gridSpan w:val="8"/>
            <w:vMerge/>
            <w:tcBorders>
              <w:left w:val="single" w:sz="4" w:space="0" w:color="auto"/>
              <w:bottom w:val="single" w:sz="4" w:space="0" w:color="auto"/>
              <w:right w:val="single" w:sz="4" w:space="0" w:color="auto"/>
            </w:tcBorders>
            <w:vAlign w:val="center"/>
          </w:tcPr>
          <w:p w14:paraId="6E199554" w14:textId="77777777" w:rsidR="00423E57" w:rsidRPr="00857867" w:rsidRDefault="00423E57" w:rsidP="00423E57">
            <w:pPr>
              <w:spacing w:after="0" w:line="240" w:lineRule="auto"/>
              <w:rPr>
                <w:rFonts w:ascii="Times New Roman" w:hAnsi="Times New Roman"/>
                <w:sz w:val="20"/>
                <w:szCs w:val="20"/>
              </w:rPr>
            </w:pPr>
          </w:p>
        </w:tc>
        <w:tc>
          <w:tcPr>
            <w:tcW w:w="1518" w:type="dxa"/>
            <w:gridSpan w:val="4"/>
            <w:tcBorders>
              <w:top w:val="single" w:sz="4" w:space="0" w:color="auto"/>
              <w:left w:val="single" w:sz="4" w:space="0" w:color="auto"/>
              <w:bottom w:val="nil"/>
              <w:right w:val="single" w:sz="4" w:space="0" w:color="auto"/>
            </w:tcBorders>
          </w:tcPr>
          <w:p w14:paraId="6682B65E" w14:textId="77777777" w:rsidR="00423E57" w:rsidRPr="00857867" w:rsidRDefault="00423E57" w:rsidP="00423E57">
            <w:pPr>
              <w:spacing w:after="0" w:line="240" w:lineRule="auto"/>
              <w:rPr>
                <w:rFonts w:ascii="Times New Roman" w:hAnsi="Times New Roman"/>
                <w:sz w:val="20"/>
                <w:szCs w:val="20"/>
              </w:rPr>
            </w:pPr>
            <w:r w:rsidRPr="00420C1B">
              <w:rPr>
                <w:rFonts w:ascii="Times New Roman" w:hAnsi="Times New Roman"/>
                <w:sz w:val="20"/>
                <w:szCs w:val="20"/>
              </w:rPr>
              <w:t>527290</w:t>
            </w:r>
          </w:p>
        </w:tc>
        <w:tc>
          <w:tcPr>
            <w:tcW w:w="1238" w:type="dxa"/>
            <w:gridSpan w:val="2"/>
            <w:tcBorders>
              <w:top w:val="single" w:sz="4" w:space="0" w:color="auto"/>
              <w:left w:val="single" w:sz="4" w:space="0" w:color="auto"/>
              <w:bottom w:val="nil"/>
              <w:right w:val="single" w:sz="4" w:space="0" w:color="auto"/>
            </w:tcBorders>
          </w:tcPr>
          <w:p w14:paraId="3F9B21EB" w14:textId="77777777" w:rsidR="00423E57" w:rsidRPr="00857867" w:rsidRDefault="00423E57" w:rsidP="00423E57">
            <w:pPr>
              <w:spacing w:after="0" w:line="240" w:lineRule="auto"/>
              <w:rPr>
                <w:rFonts w:ascii="Times New Roman" w:hAnsi="Times New Roman"/>
                <w:sz w:val="20"/>
                <w:szCs w:val="20"/>
              </w:rPr>
            </w:pPr>
            <w:r w:rsidRPr="00420C1B">
              <w:rPr>
                <w:rFonts w:ascii="Times New Roman" w:hAnsi="Times New Roman"/>
                <w:sz w:val="20"/>
                <w:szCs w:val="20"/>
              </w:rPr>
              <w:t>9506829</w:t>
            </w:r>
          </w:p>
        </w:tc>
        <w:tc>
          <w:tcPr>
            <w:tcW w:w="1698" w:type="dxa"/>
            <w:gridSpan w:val="2"/>
            <w:tcBorders>
              <w:left w:val="single" w:sz="4" w:space="0" w:color="auto"/>
              <w:bottom w:val="single" w:sz="4" w:space="0" w:color="auto"/>
              <w:right w:val="single" w:sz="4" w:space="0" w:color="auto"/>
            </w:tcBorders>
            <w:vAlign w:val="center"/>
          </w:tcPr>
          <w:p w14:paraId="3D71122F" w14:textId="77777777" w:rsidR="00423E57" w:rsidRPr="00857867" w:rsidRDefault="00423E57" w:rsidP="00423E57">
            <w:pPr>
              <w:spacing w:after="0" w:line="240" w:lineRule="auto"/>
              <w:rPr>
                <w:rFonts w:ascii="Times New Roman" w:hAnsi="Times New Roman"/>
                <w:sz w:val="20"/>
                <w:szCs w:val="20"/>
              </w:rPr>
            </w:pPr>
          </w:p>
        </w:tc>
      </w:tr>
      <w:tr w:rsidR="00D75D2E" w:rsidRPr="00420C1B" w14:paraId="4F052582" w14:textId="77777777" w:rsidTr="00215867">
        <w:trPr>
          <w:jc w:val="center"/>
        </w:trPr>
        <w:tc>
          <w:tcPr>
            <w:tcW w:w="1771" w:type="dxa"/>
            <w:gridSpan w:val="2"/>
            <w:vMerge w:val="restart"/>
            <w:tcBorders>
              <w:top w:val="single" w:sz="4" w:space="0" w:color="auto"/>
              <w:left w:val="single" w:sz="4" w:space="0" w:color="auto"/>
              <w:bottom w:val="single" w:sz="4" w:space="0" w:color="auto"/>
              <w:right w:val="single" w:sz="4" w:space="0" w:color="auto"/>
            </w:tcBorders>
          </w:tcPr>
          <w:p w14:paraId="07F47F7B" w14:textId="77777777" w:rsidR="00ED17F3" w:rsidRPr="00857867" w:rsidRDefault="00ED17F3" w:rsidP="007108ED">
            <w:pPr>
              <w:spacing w:after="0" w:line="240" w:lineRule="auto"/>
              <w:rPr>
                <w:rFonts w:ascii="Times New Roman" w:hAnsi="Times New Roman"/>
                <w:b/>
                <w:sz w:val="20"/>
                <w:szCs w:val="20"/>
              </w:rPr>
            </w:pPr>
          </w:p>
          <w:p w14:paraId="49CB4D67"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616" w:type="dxa"/>
            <w:gridSpan w:val="3"/>
            <w:vMerge w:val="restart"/>
            <w:tcBorders>
              <w:top w:val="single" w:sz="4" w:space="0" w:color="auto"/>
              <w:left w:val="single" w:sz="4" w:space="0" w:color="auto"/>
              <w:bottom w:val="single" w:sz="4" w:space="0" w:color="auto"/>
              <w:right w:val="single" w:sz="4" w:space="0" w:color="auto"/>
            </w:tcBorders>
            <w:hideMark/>
          </w:tcPr>
          <w:p w14:paraId="17653958"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21559F0A"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257" w:type="dxa"/>
            <w:gridSpan w:val="2"/>
            <w:tcBorders>
              <w:top w:val="single" w:sz="4" w:space="0" w:color="auto"/>
              <w:left w:val="single" w:sz="4" w:space="0" w:color="auto"/>
              <w:bottom w:val="single" w:sz="4" w:space="0" w:color="auto"/>
              <w:right w:val="single" w:sz="4" w:space="0" w:color="auto"/>
            </w:tcBorders>
            <w:hideMark/>
          </w:tcPr>
          <w:p w14:paraId="6CC313B4"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1387" w:type="dxa"/>
            <w:gridSpan w:val="3"/>
            <w:tcBorders>
              <w:top w:val="single" w:sz="4" w:space="0" w:color="auto"/>
              <w:left w:val="single" w:sz="4" w:space="0" w:color="auto"/>
              <w:bottom w:val="single" w:sz="4" w:space="0" w:color="auto"/>
              <w:right w:val="single" w:sz="4" w:space="0" w:color="auto"/>
            </w:tcBorders>
            <w:hideMark/>
          </w:tcPr>
          <w:p w14:paraId="12D7CEC3"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518" w:type="dxa"/>
            <w:gridSpan w:val="4"/>
            <w:tcBorders>
              <w:top w:val="single" w:sz="4" w:space="0" w:color="auto"/>
              <w:left w:val="single" w:sz="4" w:space="0" w:color="auto"/>
              <w:bottom w:val="single" w:sz="4" w:space="0" w:color="auto"/>
              <w:right w:val="single" w:sz="4" w:space="0" w:color="auto"/>
            </w:tcBorders>
          </w:tcPr>
          <w:p w14:paraId="7C23D7BE"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p>
        </w:tc>
        <w:tc>
          <w:tcPr>
            <w:tcW w:w="1238" w:type="dxa"/>
            <w:gridSpan w:val="2"/>
            <w:tcBorders>
              <w:top w:val="single" w:sz="4" w:space="0" w:color="auto"/>
              <w:left w:val="single" w:sz="4" w:space="0" w:color="auto"/>
              <w:bottom w:val="single" w:sz="4" w:space="0" w:color="auto"/>
              <w:right w:val="single" w:sz="4" w:space="0" w:color="auto"/>
            </w:tcBorders>
            <w:hideMark/>
          </w:tcPr>
          <w:p w14:paraId="06188A1D"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339" w:type="dxa"/>
            <w:tcBorders>
              <w:top w:val="single" w:sz="4" w:space="0" w:color="auto"/>
              <w:left w:val="single" w:sz="4" w:space="0" w:color="auto"/>
              <w:bottom w:val="single" w:sz="4" w:space="0" w:color="auto"/>
              <w:right w:val="single" w:sz="4" w:space="0" w:color="auto"/>
            </w:tcBorders>
            <w:hideMark/>
          </w:tcPr>
          <w:p w14:paraId="76773833"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359" w:type="dxa"/>
            <w:tcBorders>
              <w:top w:val="single" w:sz="4" w:space="0" w:color="auto"/>
              <w:left w:val="single" w:sz="4" w:space="0" w:color="auto"/>
              <w:bottom w:val="single" w:sz="4" w:space="0" w:color="auto"/>
              <w:right w:val="single" w:sz="4" w:space="0" w:color="auto"/>
            </w:tcBorders>
          </w:tcPr>
          <w:p w14:paraId="56B3E92C"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0EFB1780"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hideMark/>
          </w:tcPr>
          <w:p w14:paraId="137CD4FB" w14:textId="77777777" w:rsidR="00ED17F3" w:rsidRPr="00857867" w:rsidRDefault="00ED17F3" w:rsidP="007108ED">
            <w:pPr>
              <w:spacing w:after="0" w:line="240" w:lineRule="auto"/>
              <w:rPr>
                <w:rFonts w:ascii="Times New Roman" w:hAnsi="Times New Roman"/>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3703521D" w14:textId="77777777" w:rsidR="00ED17F3" w:rsidRPr="00857867" w:rsidRDefault="00ED17F3" w:rsidP="007108ED">
            <w:pPr>
              <w:spacing w:after="0" w:line="240" w:lineRule="auto"/>
              <w:rPr>
                <w:rFonts w:ascii="Times New Roman" w:eastAsia="Times New Roman" w:hAnsi="Times New Roman"/>
                <w:bCs/>
                <w:sz w:val="20"/>
                <w:szCs w:val="20"/>
              </w:rPr>
            </w:pPr>
          </w:p>
        </w:tc>
        <w:tc>
          <w:tcPr>
            <w:tcW w:w="1257" w:type="dxa"/>
            <w:gridSpan w:val="2"/>
            <w:tcBorders>
              <w:top w:val="single" w:sz="4" w:space="0" w:color="auto"/>
              <w:left w:val="single" w:sz="4" w:space="0" w:color="auto"/>
              <w:bottom w:val="single" w:sz="4" w:space="0" w:color="auto"/>
              <w:right w:val="single" w:sz="4" w:space="0" w:color="auto"/>
            </w:tcBorders>
            <w:vAlign w:val="center"/>
            <w:hideMark/>
          </w:tcPr>
          <w:p w14:paraId="1571ED77"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Faible</w:t>
            </w:r>
          </w:p>
        </w:tc>
        <w:tc>
          <w:tcPr>
            <w:tcW w:w="2905" w:type="dxa"/>
            <w:gridSpan w:val="7"/>
            <w:tcBorders>
              <w:top w:val="single" w:sz="4" w:space="0" w:color="auto"/>
              <w:left w:val="single" w:sz="4" w:space="0" w:color="auto"/>
              <w:bottom w:val="single" w:sz="4" w:space="0" w:color="auto"/>
              <w:right w:val="single" w:sz="4" w:space="0" w:color="auto"/>
            </w:tcBorders>
            <w:vAlign w:val="center"/>
            <w:hideMark/>
          </w:tcPr>
          <w:p w14:paraId="4EAFBA48"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Ponctuelle</w:t>
            </w:r>
          </w:p>
        </w:tc>
        <w:tc>
          <w:tcPr>
            <w:tcW w:w="1238" w:type="dxa"/>
            <w:gridSpan w:val="2"/>
            <w:tcBorders>
              <w:top w:val="single" w:sz="4" w:space="0" w:color="auto"/>
              <w:left w:val="single" w:sz="4" w:space="0" w:color="auto"/>
              <w:bottom w:val="single" w:sz="4" w:space="0" w:color="auto"/>
              <w:right w:val="single" w:sz="4" w:space="0" w:color="auto"/>
            </w:tcBorders>
            <w:vAlign w:val="center"/>
            <w:hideMark/>
          </w:tcPr>
          <w:p w14:paraId="468A4402"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Courte</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15FD120"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Mineure</w:t>
            </w:r>
          </w:p>
        </w:tc>
        <w:tc>
          <w:tcPr>
            <w:tcW w:w="359" w:type="dxa"/>
            <w:tcBorders>
              <w:top w:val="single" w:sz="4" w:space="0" w:color="auto"/>
              <w:left w:val="single" w:sz="4" w:space="0" w:color="auto"/>
              <w:bottom w:val="single" w:sz="4" w:space="0" w:color="auto"/>
              <w:right w:val="single" w:sz="4" w:space="0" w:color="auto"/>
            </w:tcBorders>
          </w:tcPr>
          <w:p w14:paraId="13E68EA5"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27CA9878"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tcPr>
          <w:p w14:paraId="51C14EE2" w14:textId="77777777" w:rsidR="00EF664C" w:rsidRPr="00857867" w:rsidRDefault="00EF664C" w:rsidP="00EF664C">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FFC1594" w14:textId="77777777" w:rsidR="00EF664C" w:rsidRPr="00857867" w:rsidRDefault="00EF664C" w:rsidP="00EF664C">
            <w:pPr>
              <w:spacing w:after="0" w:line="240" w:lineRule="auto"/>
              <w:rPr>
                <w:rFonts w:ascii="Times New Roman" w:eastAsia="Times New Roman" w:hAnsi="Times New Roman"/>
                <w:bCs/>
                <w:sz w:val="20"/>
                <w:szCs w:val="20"/>
              </w:rPr>
            </w:pPr>
          </w:p>
        </w:tc>
        <w:tc>
          <w:tcPr>
            <w:tcW w:w="1257" w:type="dxa"/>
            <w:gridSpan w:val="2"/>
            <w:tcBorders>
              <w:top w:val="single" w:sz="4" w:space="0" w:color="auto"/>
              <w:left w:val="single" w:sz="4" w:space="0" w:color="auto"/>
              <w:bottom w:val="single" w:sz="4" w:space="0" w:color="auto"/>
              <w:right w:val="single" w:sz="4" w:space="0" w:color="auto"/>
            </w:tcBorders>
            <w:vAlign w:val="center"/>
          </w:tcPr>
          <w:p w14:paraId="04D4DB09" w14:textId="77777777" w:rsidR="00EF664C" w:rsidRPr="00857867" w:rsidRDefault="00EF664C" w:rsidP="00EF664C">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905" w:type="dxa"/>
            <w:gridSpan w:val="7"/>
            <w:tcBorders>
              <w:top w:val="single" w:sz="4" w:space="0" w:color="auto"/>
              <w:left w:val="single" w:sz="4" w:space="0" w:color="auto"/>
              <w:bottom w:val="single" w:sz="4" w:space="0" w:color="auto"/>
              <w:right w:val="single" w:sz="4" w:space="0" w:color="auto"/>
            </w:tcBorders>
          </w:tcPr>
          <w:p w14:paraId="74E39CF1" w14:textId="77777777" w:rsidR="00EF664C" w:rsidRPr="00857867" w:rsidRDefault="00EF664C" w:rsidP="00EF664C">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Occurrence </w:t>
            </w:r>
          </w:p>
        </w:tc>
        <w:tc>
          <w:tcPr>
            <w:tcW w:w="1238" w:type="dxa"/>
            <w:gridSpan w:val="2"/>
            <w:tcBorders>
              <w:top w:val="single" w:sz="4" w:space="0" w:color="auto"/>
              <w:left w:val="single" w:sz="4" w:space="0" w:color="auto"/>
              <w:bottom w:val="single" w:sz="4" w:space="0" w:color="auto"/>
              <w:right w:val="single" w:sz="4" w:space="0" w:color="auto"/>
            </w:tcBorders>
          </w:tcPr>
          <w:p w14:paraId="5B08BDFD" w14:textId="77777777" w:rsidR="00EF664C" w:rsidRPr="00857867" w:rsidRDefault="00EF664C" w:rsidP="00EF664C">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Réversibilité </w:t>
            </w:r>
          </w:p>
        </w:tc>
        <w:tc>
          <w:tcPr>
            <w:tcW w:w="1339" w:type="dxa"/>
            <w:tcBorders>
              <w:top w:val="single" w:sz="4" w:space="0" w:color="auto"/>
              <w:left w:val="single" w:sz="4" w:space="0" w:color="auto"/>
              <w:bottom w:val="single" w:sz="4" w:space="0" w:color="auto"/>
              <w:right w:val="single" w:sz="4" w:space="0" w:color="auto"/>
            </w:tcBorders>
          </w:tcPr>
          <w:p w14:paraId="796D773C" w14:textId="77777777" w:rsidR="00EF664C" w:rsidRPr="00857867" w:rsidRDefault="00EF664C" w:rsidP="00EF664C">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Cumulativité </w:t>
            </w:r>
          </w:p>
        </w:tc>
        <w:tc>
          <w:tcPr>
            <w:tcW w:w="359" w:type="dxa"/>
            <w:tcBorders>
              <w:top w:val="single" w:sz="4" w:space="0" w:color="auto"/>
              <w:left w:val="single" w:sz="4" w:space="0" w:color="auto"/>
              <w:bottom w:val="single" w:sz="4" w:space="0" w:color="auto"/>
              <w:right w:val="single" w:sz="4" w:space="0" w:color="auto"/>
            </w:tcBorders>
          </w:tcPr>
          <w:p w14:paraId="77844150" w14:textId="77777777" w:rsidR="00EF664C" w:rsidRPr="00857867" w:rsidRDefault="00EF664C" w:rsidP="00EF664C">
            <w:pPr>
              <w:spacing w:after="0" w:line="240" w:lineRule="auto"/>
              <w:rPr>
                <w:rFonts w:ascii="Times New Roman" w:hAnsi="Times New Roman"/>
                <w:sz w:val="20"/>
                <w:szCs w:val="20"/>
              </w:rPr>
            </w:pPr>
          </w:p>
        </w:tc>
      </w:tr>
      <w:tr w:rsidR="00D75D2E" w:rsidRPr="00420C1B" w14:paraId="469D4AF7"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tcPr>
          <w:p w14:paraId="2247F78E" w14:textId="77777777" w:rsidR="00EF664C" w:rsidRPr="00857867" w:rsidRDefault="00EF664C" w:rsidP="00EF664C">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DF0D2C2" w14:textId="77777777" w:rsidR="00EF664C" w:rsidRPr="00857867" w:rsidRDefault="00EF664C" w:rsidP="00EF664C">
            <w:pPr>
              <w:spacing w:after="0" w:line="240" w:lineRule="auto"/>
              <w:rPr>
                <w:rFonts w:ascii="Times New Roman" w:eastAsia="Times New Roman" w:hAnsi="Times New Roman"/>
                <w:bCs/>
                <w:sz w:val="20"/>
                <w:szCs w:val="20"/>
              </w:rPr>
            </w:pPr>
          </w:p>
        </w:tc>
        <w:tc>
          <w:tcPr>
            <w:tcW w:w="1257" w:type="dxa"/>
            <w:gridSpan w:val="2"/>
            <w:tcBorders>
              <w:top w:val="single" w:sz="4" w:space="0" w:color="auto"/>
              <w:left w:val="single" w:sz="4" w:space="0" w:color="auto"/>
              <w:bottom w:val="single" w:sz="4" w:space="0" w:color="auto"/>
              <w:right w:val="single" w:sz="4" w:space="0" w:color="auto"/>
            </w:tcBorders>
            <w:vAlign w:val="center"/>
          </w:tcPr>
          <w:p w14:paraId="5AD243F4" w14:textId="77777777" w:rsidR="00EF664C" w:rsidRPr="00857867" w:rsidRDefault="00EF664C" w:rsidP="00EF664C">
            <w:pPr>
              <w:spacing w:after="0" w:line="240" w:lineRule="auto"/>
              <w:jc w:val="both"/>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905" w:type="dxa"/>
            <w:gridSpan w:val="7"/>
            <w:tcBorders>
              <w:top w:val="single" w:sz="4" w:space="0" w:color="auto"/>
              <w:left w:val="single" w:sz="4" w:space="0" w:color="auto"/>
              <w:bottom w:val="single" w:sz="4" w:space="0" w:color="auto"/>
              <w:right w:val="single" w:sz="4" w:space="0" w:color="auto"/>
            </w:tcBorders>
            <w:vAlign w:val="center"/>
          </w:tcPr>
          <w:p w14:paraId="4F85BB8F" w14:textId="77777777" w:rsidR="00EF664C" w:rsidRPr="00857867" w:rsidRDefault="00EF664C" w:rsidP="00EF664C">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58794792" w14:textId="77777777" w:rsidR="00EF664C" w:rsidRPr="00857867" w:rsidRDefault="00EF664C" w:rsidP="00EF664C">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339" w:type="dxa"/>
            <w:tcBorders>
              <w:top w:val="single" w:sz="4" w:space="0" w:color="auto"/>
              <w:left w:val="single" w:sz="4" w:space="0" w:color="auto"/>
              <w:bottom w:val="single" w:sz="4" w:space="0" w:color="auto"/>
              <w:right w:val="single" w:sz="4" w:space="0" w:color="auto"/>
            </w:tcBorders>
            <w:vAlign w:val="center"/>
          </w:tcPr>
          <w:p w14:paraId="3FBB9816" w14:textId="77777777" w:rsidR="00EF664C" w:rsidRPr="00857867" w:rsidRDefault="00EF664C" w:rsidP="00EF664C">
            <w:pPr>
              <w:spacing w:after="0" w:line="240" w:lineRule="auto"/>
              <w:jc w:val="center"/>
              <w:rPr>
                <w:rFonts w:ascii="Times New Roman" w:hAnsi="Times New Roman"/>
                <w:sz w:val="20"/>
                <w:szCs w:val="20"/>
              </w:rPr>
            </w:pPr>
            <w:r w:rsidRPr="00857867">
              <w:rPr>
                <w:rFonts w:ascii="Times New Roman" w:hAnsi="Times New Roman"/>
                <w:sz w:val="20"/>
                <w:szCs w:val="20"/>
              </w:rPr>
              <w:t>Non</w:t>
            </w:r>
          </w:p>
        </w:tc>
        <w:tc>
          <w:tcPr>
            <w:tcW w:w="359" w:type="dxa"/>
            <w:tcBorders>
              <w:top w:val="single" w:sz="4" w:space="0" w:color="auto"/>
              <w:left w:val="single" w:sz="4" w:space="0" w:color="auto"/>
              <w:bottom w:val="single" w:sz="4" w:space="0" w:color="auto"/>
              <w:right w:val="single" w:sz="4" w:space="0" w:color="auto"/>
            </w:tcBorders>
          </w:tcPr>
          <w:p w14:paraId="1AC65AFD" w14:textId="77777777" w:rsidR="00EF664C" w:rsidRPr="00857867" w:rsidRDefault="00EF664C" w:rsidP="00EF664C">
            <w:pPr>
              <w:spacing w:after="0" w:line="240" w:lineRule="auto"/>
              <w:rPr>
                <w:rFonts w:ascii="Times New Roman" w:hAnsi="Times New Roman"/>
                <w:sz w:val="20"/>
                <w:szCs w:val="20"/>
              </w:rPr>
            </w:pPr>
          </w:p>
        </w:tc>
      </w:tr>
      <w:tr w:rsidR="00D75D2E" w:rsidRPr="00420C1B" w14:paraId="793DAD80"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tcPr>
          <w:p w14:paraId="1B51C245" w14:textId="77777777" w:rsidR="00EF664C" w:rsidRPr="00857867" w:rsidRDefault="00EF664C" w:rsidP="00EF664C">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A96910F" w14:textId="77777777" w:rsidR="00EF664C" w:rsidRPr="00857867" w:rsidRDefault="00EF664C" w:rsidP="00EF664C">
            <w:pPr>
              <w:spacing w:after="0" w:line="240" w:lineRule="auto"/>
              <w:rPr>
                <w:rFonts w:ascii="Times New Roman" w:eastAsia="Times New Roman" w:hAnsi="Times New Roman"/>
                <w:bCs/>
                <w:sz w:val="20"/>
                <w:szCs w:val="20"/>
              </w:rPr>
            </w:pPr>
          </w:p>
        </w:tc>
        <w:tc>
          <w:tcPr>
            <w:tcW w:w="1257" w:type="dxa"/>
            <w:gridSpan w:val="2"/>
            <w:tcBorders>
              <w:top w:val="single" w:sz="4" w:space="0" w:color="auto"/>
              <w:left w:val="single" w:sz="4" w:space="0" w:color="auto"/>
              <w:bottom w:val="single" w:sz="4" w:space="0" w:color="auto"/>
              <w:right w:val="single" w:sz="4" w:space="0" w:color="auto"/>
            </w:tcBorders>
          </w:tcPr>
          <w:p w14:paraId="6D47A491" w14:textId="77777777" w:rsidR="00EF664C" w:rsidRPr="00857867" w:rsidRDefault="00EF664C" w:rsidP="00EF664C">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Fréquence </w:t>
            </w:r>
          </w:p>
        </w:tc>
        <w:tc>
          <w:tcPr>
            <w:tcW w:w="2905" w:type="dxa"/>
            <w:gridSpan w:val="7"/>
            <w:tcBorders>
              <w:top w:val="single" w:sz="4" w:space="0" w:color="auto"/>
              <w:left w:val="single" w:sz="4" w:space="0" w:color="auto"/>
              <w:bottom w:val="single" w:sz="4" w:space="0" w:color="auto"/>
              <w:right w:val="single" w:sz="4" w:space="0" w:color="auto"/>
            </w:tcBorders>
            <w:vAlign w:val="center"/>
          </w:tcPr>
          <w:p w14:paraId="708150C0" w14:textId="77777777" w:rsidR="00EF664C" w:rsidRPr="00857867" w:rsidRDefault="00EF664C" w:rsidP="00EF664C">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2C03BC2E" w14:textId="77777777" w:rsidR="00EF664C" w:rsidRPr="00857867" w:rsidRDefault="00EF664C" w:rsidP="00EF664C">
            <w:pPr>
              <w:spacing w:after="0" w:line="240" w:lineRule="auto"/>
              <w:jc w:val="center"/>
              <w:rPr>
                <w:rFonts w:ascii="Times New Roman" w:hAnsi="Times New Roman"/>
                <w:sz w:val="20"/>
                <w:szCs w:val="20"/>
              </w:rPr>
            </w:pPr>
          </w:p>
        </w:tc>
        <w:tc>
          <w:tcPr>
            <w:tcW w:w="1339" w:type="dxa"/>
            <w:tcBorders>
              <w:top w:val="single" w:sz="4" w:space="0" w:color="auto"/>
              <w:left w:val="single" w:sz="4" w:space="0" w:color="auto"/>
              <w:bottom w:val="single" w:sz="4" w:space="0" w:color="auto"/>
              <w:right w:val="single" w:sz="4" w:space="0" w:color="auto"/>
            </w:tcBorders>
            <w:vAlign w:val="center"/>
          </w:tcPr>
          <w:p w14:paraId="2656EFE1" w14:textId="77777777" w:rsidR="00EF664C" w:rsidRPr="00857867" w:rsidRDefault="00EF664C" w:rsidP="00EF664C">
            <w:pPr>
              <w:spacing w:after="0" w:line="240" w:lineRule="auto"/>
              <w:jc w:val="both"/>
              <w:rPr>
                <w:rFonts w:ascii="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tcPr>
          <w:p w14:paraId="703D42EF" w14:textId="77777777" w:rsidR="00EF664C" w:rsidRPr="00857867" w:rsidRDefault="00EF664C" w:rsidP="00EF664C">
            <w:pPr>
              <w:spacing w:after="0" w:line="240" w:lineRule="auto"/>
              <w:rPr>
                <w:rFonts w:ascii="Times New Roman" w:hAnsi="Times New Roman"/>
                <w:sz w:val="20"/>
                <w:szCs w:val="20"/>
              </w:rPr>
            </w:pPr>
          </w:p>
        </w:tc>
      </w:tr>
      <w:tr w:rsidR="00D75D2E" w:rsidRPr="00420C1B" w14:paraId="6EE465D4"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tcPr>
          <w:p w14:paraId="4E36103E" w14:textId="77777777" w:rsidR="00EF664C" w:rsidRPr="00857867" w:rsidRDefault="00EF664C" w:rsidP="00EF664C">
            <w:pPr>
              <w:spacing w:after="0" w:line="240" w:lineRule="auto"/>
              <w:rPr>
                <w:rFonts w:ascii="Times New Roman" w:hAnsi="Times New Roman"/>
                <w:b/>
                <w:sz w:val="20"/>
                <w:szCs w:val="20"/>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0B1A0766" w14:textId="77777777" w:rsidR="00EF664C" w:rsidRPr="00857867" w:rsidRDefault="00EF664C" w:rsidP="00EF664C">
            <w:pPr>
              <w:spacing w:after="0" w:line="240" w:lineRule="auto"/>
              <w:rPr>
                <w:rFonts w:ascii="Times New Roman" w:eastAsia="Times New Roman" w:hAnsi="Times New Roman"/>
                <w:bCs/>
                <w:sz w:val="20"/>
                <w:szCs w:val="20"/>
              </w:rPr>
            </w:pPr>
          </w:p>
        </w:tc>
        <w:tc>
          <w:tcPr>
            <w:tcW w:w="1257" w:type="dxa"/>
            <w:gridSpan w:val="2"/>
            <w:tcBorders>
              <w:top w:val="single" w:sz="4" w:space="0" w:color="auto"/>
              <w:left w:val="single" w:sz="4" w:space="0" w:color="auto"/>
              <w:bottom w:val="single" w:sz="4" w:space="0" w:color="auto"/>
              <w:right w:val="single" w:sz="4" w:space="0" w:color="auto"/>
            </w:tcBorders>
            <w:vAlign w:val="center"/>
          </w:tcPr>
          <w:p w14:paraId="009A849D" w14:textId="77777777" w:rsidR="00EF664C" w:rsidRPr="00857867" w:rsidRDefault="00EF664C" w:rsidP="00EF664C">
            <w:pPr>
              <w:spacing w:after="0" w:line="240" w:lineRule="auto"/>
              <w:jc w:val="both"/>
              <w:rPr>
                <w:rFonts w:ascii="Times New Roman" w:hAnsi="Times New Roman"/>
                <w:sz w:val="20"/>
                <w:szCs w:val="20"/>
              </w:rPr>
            </w:pPr>
            <w:r w:rsidRPr="00857867">
              <w:rPr>
                <w:rFonts w:ascii="Times New Roman" w:hAnsi="Times New Roman"/>
                <w:sz w:val="20"/>
                <w:szCs w:val="20"/>
              </w:rPr>
              <w:t>Périodique</w:t>
            </w:r>
          </w:p>
        </w:tc>
        <w:tc>
          <w:tcPr>
            <w:tcW w:w="2905" w:type="dxa"/>
            <w:gridSpan w:val="7"/>
            <w:tcBorders>
              <w:top w:val="single" w:sz="4" w:space="0" w:color="auto"/>
              <w:left w:val="single" w:sz="4" w:space="0" w:color="auto"/>
              <w:bottom w:val="single" w:sz="4" w:space="0" w:color="auto"/>
              <w:right w:val="single" w:sz="4" w:space="0" w:color="auto"/>
            </w:tcBorders>
            <w:vAlign w:val="center"/>
          </w:tcPr>
          <w:p w14:paraId="42DE231F" w14:textId="77777777" w:rsidR="00EF664C" w:rsidRPr="00857867" w:rsidRDefault="00EF664C" w:rsidP="00EF664C">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 xml:space="preserve">Economique, Socio culturel </w:t>
            </w:r>
          </w:p>
        </w:tc>
        <w:tc>
          <w:tcPr>
            <w:tcW w:w="1238" w:type="dxa"/>
            <w:gridSpan w:val="2"/>
            <w:tcBorders>
              <w:top w:val="single" w:sz="4" w:space="0" w:color="auto"/>
              <w:left w:val="single" w:sz="4" w:space="0" w:color="auto"/>
              <w:bottom w:val="single" w:sz="4" w:space="0" w:color="auto"/>
              <w:right w:val="single" w:sz="4" w:space="0" w:color="auto"/>
            </w:tcBorders>
            <w:vAlign w:val="center"/>
          </w:tcPr>
          <w:p w14:paraId="5EF63CEB" w14:textId="77777777" w:rsidR="00EF664C" w:rsidRPr="00857867" w:rsidRDefault="00EF664C" w:rsidP="00EF664C">
            <w:pPr>
              <w:spacing w:after="0" w:line="240" w:lineRule="auto"/>
              <w:jc w:val="both"/>
              <w:rPr>
                <w:rFonts w:ascii="Times New Roman" w:hAnsi="Times New Roman"/>
                <w:sz w:val="20"/>
                <w:szCs w:val="20"/>
              </w:rPr>
            </w:pPr>
          </w:p>
        </w:tc>
        <w:tc>
          <w:tcPr>
            <w:tcW w:w="1339" w:type="dxa"/>
            <w:tcBorders>
              <w:top w:val="single" w:sz="4" w:space="0" w:color="auto"/>
              <w:bottom w:val="single" w:sz="4" w:space="0" w:color="auto"/>
              <w:right w:val="single" w:sz="4" w:space="0" w:color="auto"/>
            </w:tcBorders>
          </w:tcPr>
          <w:p w14:paraId="278BF4D0" w14:textId="77777777" w:rsidR="00EF664C" w:rsidRPr="00857867" w:rsidRDefault="00EF664C" w:rsidP="00EF664C">
            <w:pPr>
              <w:spacing w:after="0" w:line="240" w:lineRule="auto"/>
              <w:rPr>
                <w:rFonts w:ascii="Times New Roman" w:hAnsi="Times New Roman"/>
                <w:sz w:val="20"/>
                <w:szCs w:val="20"/>
              </w:rPr>
            </w:pPr>
          </w:p>
        </w:tc>
        <w:tc>
          <w:tcPr>
            <w:tcW w:w="359" w:type="dxa"/>
            <w:tcBorders>
              <w:top w:val="single" w:sz="4" w:space="0" w:color="auto"/>
              <w:left w:val="single" w:sz="4" w:space="0" w:color="auto"/>
              <w:bottom w:val="single" w:sz="4" w:space="0" w:color="auto"/>
              <w:right w:val="single" w:sz="4" w:space="0" w:color="auto"/>
            </w:tcBorders>
          </w:tcPr>
          <w:p w14:paraId="3F3BA98D" w14:textId="77777777" w:rsidR="00EF664C" w:rsidRPr="00857867" w:rsidRDefault="00EF664C" w:rsidP="00EF664C">
            <w:pPr>
              <w:spacing w:after="0" w:line="240" w:lineRule="auto"/>
              <w:rPr>
                <w:rFonts w:ascii="Times New Roman" w:hAnsi="Times New Roman"/>
                <w:sz w:val="20"/>
                <w:szCs w:val="20"/>
              </w:rPr>
            </w:pPr>
          </w:p>
        </w:tc>
      </w:tr>
      <w:tr w:rsidR="00D75D2E" w:rsidRPr="00420C1B" w14:paraId="02145D11" w14:textId="77777777" w:rsidTr="00215867">
        <w:trPr>
          <w:jc w:val="center"/>
        </w:trPr>
        <w:tc>
          <w:tcPr>
            <w:tcW w:w="1771" w:type="dxa"/>
            <w:gridSpan w:val="2"/>
            <w:vMerge/>
            <w:tcBorders>
              <w:top w:val="single" w:sz="4" w:space="0" w:color="auto"/>
              <w:left w:val="single" w:sz="4" w:space="0" w:color="auto"/>
              <w:bottom w:val="single" w:sz="4" w:space="0" w:color="auto"/>
              <w:right w:val="single" w:sz="4" w:space="0" w:color="auto"/>
            </w:tcBorders>
            <w:vAlign w:val="center"/>
            <w:hideMark/>
          </w:tcPr>
          <w:p w14:paraId="4B236D87" w14:textId="77777777" w:rsidR="00ED17F3" w:rsidRPr="00857867" w:rsidRDefault="00ED17F3" w:rsidP="007108ED">
            <w:pPr>
              <w:spacing w:after="0" w:line="240" w:lineRule="auto"/>
              <w:rPr>
                <w:rFonts w:ascii="Times New Roman" w:hAnsi="Times New Roman"/>
                <w:b/>
                <w:sz w:val="20"/>
                <w:szCs w:val="20"/>
              </w:rPr>
            </w:pPr>
          </w:p>
        </w:tc>
        <w:tc>
          <w:tcPr>
            <w:tcW w:w="1616" w:type="dxa"/>
            <w:gridSpan w:val="3"/>
            <w:tcBorders>
              <w:top w:val="single" w:sz="4" w:space="0" w:color="auto"/>
              <w:left w:val="single" w:sz="4" w:space="0" w:color="auto"/>
              <w:bottom w:val="single" w:sz="4" w:space="0" w:color="auto"/>
              <w:right w:val="single" w:sz="4" w:space="0" w:color="auto"/>
            </w:tcBorders>
            <w:hideMark/>
          </w:tcPr>
          <w:p w14:paraId="292DA318" w14:textId="77777777" w:rsidR="00ED17F3" w:rsidRPr="00857867" w:rsidRDefault="00ED17F3"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098" w:type="dxa"/>
            <w:gridSpan w:val="13"/>
            <w:tcBorders>
              <w:top w:val="single" w:sz="4" w:space="0" w:color="auto"/>
              <w:left w:val="single" w:sz="4" w:space="0" w:color="auto"/>
              <w:bottom w:val="single" w:sz="4" w:space="0" w:color="auto"/>
              <w:right w:val="single" w:sz="4" w:space="0" w:color="auto"/>
            </w:tcBorders>
            <w:hideMark/>
          </w:tcPr>
          <w:p w14:paraId="56D69B65"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L’élagage des arbres va entrainer une perte de couvert végétal avec son coro</w:t>
            </w:r>
            <w:r w:rsidR="00070EB9" w:rsidRPr="00857867">
              <w:rPr>
                <w:rFonts w:ascii="Times New Roman" w:hAnsi="Times New Roman"/>
                <w:sz w:val="20"/>
                <w:szCs w:val="20"/>
              </w:rPr>
              <w:t>l</w:t>
            </w:r>
            <w:r w:rsidRPr="00857867">
              <w:rPr>
                <w:rFonts w:ascii="Times New Roman" w:hAnsi="Times New Roman"/>
                <w:sz w:val="20"/>
                <w:szCs w:val="20"/>
              </w:rPr>
              <w:t>laire de perte d’habitat</w:t>
            </w:r>
            <w:r w:rsidR="00070EB9" w:rsidRPr="00857867">
              <w:rPr>
                <w:rFonts w:ascii="Times New Roman" w:hAnsi="Times New Roman"/>
                <w:sz w:val="20"/>
                <w:szCs w:val="20"/>
              </w:rPr>
              <w:t>s</w:t>
            </w:r>
            <w:r w:rsidRPr="00857867">
              <w:rPr>
                <w:rFonts w:ascii="Times New Roman" w:hAnsi="Times New Roman"/>
                <w:sz w:val="20"/>
                <w:szCs w:val="20"/>
              </w:rPr>
              <w:t xml:space="preserve"> faunique</w:t>
            </w:r>
            <w:r w:rsidR="00070EB9" w:rsidRPr="00857867">
              <w:rPr>
                <w:rFonts w:ascii="Times New Roman" w:hAnsi="Times New Roman"/>
                <w:sz w:val="20"/>
                <w:szCs w:val="20"/>
              </w:rPr>
              <w:t>s</w:t>
            </w:r>
            <w:r w:rsidRPr="00857867">
              <w:rPr>
                <w:rFonts w:ascii="Times New Roman" w:hAnsi="Times New Roman"/>
                <w:sz w:val="20"/>
                <w:szCs w:val="20"/>
              </w:rPr>
              <w:t xml:space="preserve"> surtout la faune aviaire. Cet impact est mineur </w:t>
            </w:r>
          </w:p>
        </w:tc>
      </w:tr>
      <w:tr w:rsidR="00D75D2E" w:rsidRPr="00420C1B" w14:paraId="606E5BB4" w14:textId="77777777" w:rsidTr="00215867">
        <w:trPr>
          <w:jc w:val="center"/>
        </w:trPr>
        <w:tc>
          <w:tcPr>
            <w:tcW w:w="4112" w:type="dxa"/>
            <w:gridSpan w:val="6"/>
            <w:tcBorders>
              <w:top w:val="single" w:sz="4" w:space="0" w:color="auto"/>
              <w:left w:val="single" w:sz="4" w:space="0" w:color="auto"/>
              <w:bottom w:val="single" w:sz="4" w:space="0" w:color="auto"/>
              <w:right w:val="single" w:sz="4" w:space="0" w:color="auto"/>
            </w:tcBorders>
            <w:hideMark/>
          </w:tcPr>
          <w:p w14:paraId="624313D0" w14:textId="77777777" w:rsidR="00ED17F3" w:rsidRPr="00857867" w:rsidRDefault="00ED17F3"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6373" w:type="dxa"/>
            <w:gridSpan w:val="12"/>
            <w:tcBorders>
              <w:top w:val="single" w:sz="4" w:space="0" w:color="auto"/>
              <w:left w:val="single" w:sz="4" w:space="0" w:color="auto"/>
              <w:bottom w:val="single" w:sz="4" w:space="0" w:color="auto"/>
              <w:right w:val="single" w:sz="4" w:space="0" w:color="auto"/>
            </w:tcBorders>
            <w:hideMark/>
          </w:tcPr>
          <w:p w14:paraId="425C0D13"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Réduire la destruction des habitats fauniques </w:t>
            </w:r>
          </w:p>
        </w:tc>
      </w:tr>
      <w:tr w:rsidR="00D75D2E" w:rsidRPr="00420C1B" w14:paraId="29130066" w14:textId="77777777" w:rsidTr="00215867">
        <w:trPr>
          <w:jc w:val="center"/>
        </w:trPr>
        <w:tc>
          <w:tcPr>
            <w:tcW w:w="4112" w:type="dxa"/>
            <w:gridSpan w:val="6"/>
            <w:tcBorders>
              <w:top w:val="single" w:sz="4" w:space="0" w:color="auto"/>
              <w:left w:val="single" w:sz="4" w:space="0" w:color="auto"/>
              <w:bottom w:val="single" w:sz="4" w:space="0" w:color="auto"/>
              <w:right w:val="single" w:sz="4" w:space="0" w:color="auto"/>
            </w:tcBorders>
            <w:hideMark/>
          </w:tcPr>
          <w:p w14:paraId="04C10560"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7BF7E673"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sz w:val="20"/>
                <w:szCs w:val="20"/>
              </w:rPr>
              <w:t xml:space="preserve">Minimiser la destruction des habitats fauniques </w:t>
            </w:r>
          </w:p>
        </w:tc>
        <w:tc>
          <w:tcPr>
            <w:tcW w:w="6373" w:type="dxa"/>
            <w:gridSpan w:val="12"/>
            <w:tcBorders>
              <w:top w:val="single" w:sz="4" w:space="0" w:color="auto"/>
              <w:left w:val="single" w:sz="4" w:space="0" w:color="auto"/>
              <w:bottom w:val="single" w:sz="4" w:space="0" w:color="auto"/>
              <w:right w:val="single" w:sz="4" w:space="0" w:color="auto"/>
            </w:tcBorders>
            <w:hideMark/>
          </w:tcPr>
          <w:p w14:paraId="7050BAEB"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641FADFF" w14:textId="77777777" w:rsidR="00ED17F3" w:rsidRPr="00857867" w:rsidRDefault="00070EB9"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857867">
              <w:rPr>
                <w:rFonts w:ascii="Times New Roman" w:hAnsi="Times New Roman"/>
                <w:sz w:val="20"/>
                <w:szCs w:val="20"/>
              </w:rPr>
              <w:t>m</w:t>
            </w:r>
            <w:r w:rsidR="00ED17F3" w:rsidRPr="00857867">
              <w:rPr>
                <w:rFonts w:ascii="Times New Roman" w:hAnsi="Times New Roman"/>
                <w:sz w:val="20"/>
                <w:szCs w:val="20"/>
              </w:rPr>
              <w:t>inimiser la perte du couvert végétal lors travaux d’entretien des installations ;</w:t>
            </w:r>
          </w:p>
          <w:p w14:paraId="2E630DBE" w14:textId="77777777" w:rsidR="00ED17F3" w:rsidRPr="00857867" w:rsidRDefault="00070EB9" w:rsidP="008C79F0">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857867">
              <w:rPr>
                <w:rFonts w:ascii="Times New Roman" w:hAnsi="Times New Roman"/>
                <w:sz w:val="20"/>
                <w:szCs w:val="20"/>
              </w:rPr>
              <w:t>s</w:t>
            </w:r>
            <w:r w:rsidR="00ED17F3" w:rsidRPr="00857867">
              <w:rPr>
                <w:rFonts w:ascii="Times New Roman" w:hAnsi="Times New Roman"/>
                <w:sz w:val="20"/>
                <w:szCs w:val="20"/>
              </w:rPr>
              <w:t>ensibiliser l’équipe d’entretien sur l’interdiction de la chasse dans la zone d’étude</w:t>
            </w:r>
          </w:p>
        </w:tc>
      </w:tr>
      <w:tr w:rsidR="00D75D2E" w:rsidRPr="00420C1B" w14:paraId="2F5C2FE5" w14:textId="77777777" w:rsidTr="00215867">
        <w:trPr>
          <w:jc w:val="center"/>
        </w:trPr>
        <w:tc>
          <w:tcPr>
            <w:tcW w:w="4112" w:type="dxa"/>
            <w:gridSpan w:val="6"/>
            <w:tcBorders>
              <w:top w:val="single" w:sz="4" w:space="0" w:color="auto"/>
              <w:left w:val="single" w:sz="4" w:space="0" w:color="auto"/>
              <w:bottom w:val="single" w:sz="4" w:space="0" w:color="auto"/>
              <w:right w:val="single" w:sz="4" w:space="0" w:color="auto"/>
            </w:tcBorders>
          </w:tcPr>
          <w:p w14:paraId="590322BE"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Impact résiduel</w:t>
            </w:r>
          </w:p>
        </w:tc>
        <w:tc>
          <w:tcPr>
            <w:tcW w:w="6373" w:type="dxa"/>
            <w:gridSpan w:val="12"/>
            <w:tcBorders>
              <w:top w:val="single" w:sz="4" w:space="0" w:color="auto"/>
              <w:left w:val="single" w:sz="4" w:space="0" w:color="auto"/>
              <w:bottom w:val="single" w:sz="4" w:space="0" w:color="auto"/>
              <w:right w:val="single" w:sz="4" w:space="0" w:color="auto"/>
            </w:tcBorders>
          </w:tcPr>
          <w:p w14:paraId="6858BD1F"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D75D2E" w:rsidRPr="00420C1B" w14:paraId="7CB8DBE6" w14:textId="77777777" w:rsidTr="00215867">
        <w:trPr>
          <w:jc w:val="center"/>
        </w:trPr>
        <w:tc>
          <w:tcPr>
            <w:tcW w:w="4774" w:type="dxa"/>
            <w:gridSpan w:val="8"/>
            <w:tcBorders>
              <w:top w:val="single" w:sz="4" w:space="0" w:color="auto"/>
              <w:left w:val="single" w:sz="4" w:space="0" w:color="auto"/>
              <w:bottom w:val="single" w:sz="4" w:space="0" w:color="auto"/>
              <w:right w:val="single" w:sz="4" w:space="0" w:color="auto"/>
            </w:tcBorders>
          </w:tcPr>
          <w:p w14:paraId="7EA631AA" w14:textId="77777777" w:rsidR="00EF664C" w:rsidRPr="00857867" w:rsidRDefault="00EF664C"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48CC3FEB" w14:textId="77777777" w:rsidR="00EF664C" w:rsidRPr="00857867" w:rsidRDefault="00EF664C"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Service environnement de la SNEL </w:t>
            </w:r>
          </w:p>
        </w:tc>
        <w:tc>
          <w:tcPr>
            <w:tcW w:w="2542" w:type="dxa"/>
            <w:gridSpan w:val="5"/>
            <w:tcBorders>
              <w:top w:val="single" w:sz="4" w:space="0" w:color="auto"/>
              <w:left w:val="single" w:sz="4" w:space="0" w:color="auto"/>
              <w:bottom w:val="single" w:sz="4" w:space="0" w:color="auto"/>
              <w:right w:val="single" w:sz="4" w:space="0" w:color="auto"/>
            </w:tcBorders>
          </w:tcPr>
          <w:p w14:paraId="5EBCE945" w14:textId="77777777" w:rsidR="00EF664C" w:rsidRPr="00857867" w:rsidRDefault="00EF664C"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104DE02D" w14:textId="77777777" w:rsidR="00EF664C" w:rsidRPr="00857867" w:rsidRDefault="00EF664C"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169DC53D" w14:textId="77777777" w:rsidR="00EF664C" w:rsidRPr="00857867" w:rsidRDefault="00EF664C"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3DA4730D" w14:textId="77777777" w:rsidR="00EF664C" w:rsidRPr="00857867" w:rsidRDefault="00EF664C" w:rsidP="008C79F0">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169" w:type="dxa"/>
            <w:gridSpan w:val="5"/>
            <w:tcBorders>
              <w:top w:val="single" w:sz="4" w:space="0" w:color="auto"/>
              <w:left w:val="single" w:sz="4" w:space="0" w:color="auto"/>
              <w:bottom w:val="single" w:sz="4" w:space="0" w:color="auto"/>
              <w:right w:val="single" w:sz="4" w:space="0" w:color="auto"/>
            </w:tcBorders>
          </w:tcPr>
          <w:p w14:paraId="68DE94E9" w14:textId="77777777" w:rsidR="00EF664C" w:rsidRPr="00857867" w:rsidRDefault="00EF664C"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3E038AA8" w14:textId="77777777" w:rsidR="00EF664C" w:rsidRPr="00857867" w:rsidRDefault="00EF664C"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La fréquence de suivi régulier des lignes tous les 6 mois </w:t>
            </w:r>
          </w:p>
          <w:p w14:paraId="28EB2AF8" w14:textId="77777777" w:rsidR="00EF664C" w:rsidRPr="00857867" w:rsidRDefault="00EF664C" w:rsidP="00215867">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2 suivis par an ; </w:t>
            </w:r>
          </w:p>
          <w:p w14:paraId="60DC4110" w14:textId="77777777" w:rsidR="00EF664C" w:rsidRPr="00857867" w:rsidRDefault="00EF664C" w:rsidP="008C79F0">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sidRPr="00857867">
              <w:rPr>
                <w:rFonts w:ascii="Times New Roman" w:hAnsi="Times New Roman"/>
                <w:sz w:val="20"/>
                <w:szCs w:val="20"/>
              </w:rPr>
              <w:t xml:space="preserve">Nombres d’arbres élagués </w:t>
            </w:r>
          </w:p>
        </w:tc>
      </w:tr>
      <w:tr w:rsidR="002631FB" w:rsidRPr="00420C1B" w14:paraId="61C084E5" w14:textId="77777777" w:rsidTr="002631FB">
        <w:trPr>
          <w:gridBefore w:val="1"/>
          <w:wBefore w:w="18" w:type="dxa"/>
          <w:trHeight w:val="307"/>
          <w:jc w:val="center"/>
        </w:trPr>
        <w:tc>
          <w:tcPr>
            <w:tcW w:w="2328" w:type="dxa"/>
            <w:gridSpan w:val="2"/>
            <w:tcBorders>
              <w:top w:val="single" w:sz="4" w:space="0" w:color="auto"/>
              <w:left w:val="single" w:sz="4" w:space="0" w:color="auto"/>
              <w:bottom w:val="single" w:sz="4" w:space="0" w:color="auto"/>
              <w:right w:val="single" w:sz="4" w:space="0" w:color="auto"/>
            </w:tcBorders>
            <w:hideMark/>
          </w:tcPr>
          <w:p w14:paraId="5AD905A2"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783" w:type="dxa"/>
            <w:tcBorders>
              <w:top w:val="single" w:sz="4" w:space="0" w:color="auto"/>
              <w:left w:val="single" w:sz="4" w:space="0" w:color="auto"/>
              <w:bottom w:val="single" w:sz="4" w:space="0" w:color="auto"/>
              <w:right w:val="single" w:sz="4" w:space="0" w:color="auto"/>
            </w:tcBorders>
            <w:hideMark/>
          </w:tcPr>
          <w:p w14:paraId="52B9F416"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983" w:type="dxa"/>
            <w:gridSpan w:val="2"/>
            <w:tcBorders>
              <w:top w:val="single" w:sz="4" w:space="0" w:color="auto"/>
              <w:left w:val="single" w:sz="4" w:space="0" w:color="auto"/>
              <w:bottom w:val="single" w:sz="4" w:space="0" w:color="auto"/>
              <w:right w:val="single" w:sz="4" w:space="0" w:color="auto"/>
            </w:tcBorders>
          </w:tcPr>
          <w:p w14:paraId="221F3A5A" w14:textId="2D996375"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Quantités</w:t>
            </w:r>
          </w:p>
        </w:tc>
        <w:tc>
          <w:tcPr>
            <w:tcW w:w="1362" w:type="dxa"/>
            <w:gridSpan w:val="3"/>
            <w:tcBorders>
              <w:top w:val="single" w:sz="4" w:space="0" w:color="auto"/>
              <w:left w:val="single" w:sz="4" w:space="0" w:color="auto"/>
              <w:bottom w:val="single" w:sz="4" w:space="0" w:color="auto"/>
              <w:right w:val="single" w:sz="4" w:space="0" w:color="auto"/>
            </w:tcBorders>
          </w:tcPr>
          <w:p w14:paraId="751BC302" w14:textId="70894D5A"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Coûts unitaires en $</w:t>
            </w:r>
          </w:p>
        </w:tc>
        <w:tc>
          <w:tcPr>
            <w:tcW w:w="1133" w:type="dxa"/>
            <w:gridSpan w:val="3"/>
            <w:tcBorders>
              <w:top w:val="single" w:sz="4" w:space="0" w:color="auto"/>
              <w:left w:val="single" w:sz="4" w:space="0" w:color="auto"/>
              <w:bottom w:val="single" w:sz="4" w:space="0" w:color="auto"/>
              <w:right w:val="single" w:sz="4" w:space="0" w:color="auto"/>
            </w:tcBorders>
          </w:tcPr>
          <w:p w14:paraId="53E8779F" w14:textId="5E696B55"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Entreprise en $</w:t>
            </w:r>
          </w:p>
        </w:tc>
        <w:tc>
          <w:tcPr>
            <w:tcW w:w="709" w:type="dxa"/>
            <w:tcBorders>
              <w:top w:val="single" w:sz="4" w:space="0" w:color="auto"/>
              <w:left w:val="single" w:sz="4" w:space="0" w:color="auto"/>
              <w:bottom w:val="single" w:sz="4" w:space="0" w:color="auto"/>
              <w:right w:val="single" w:sz="4" w:space="0" w:color="auto"/>
            </w:tcBorders>
          </w:tcPr>
          <w:p w14:paraId="369BAA0E" w14:textId="0D477C9D"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sz w:val="20"/>
                <w:szCs w:val="20"/>
              </w:rPr>
              <w:t>Projet en $</w:t>
            </w:r>
          </w:p>
        </w:tc>
        <w:tc>
          <w:tcPr>
            <w:tcW w:w="1134" w:type="dxa"/>
            <w:gridSpan w:val="2"/>
            <w:tcBorders>
              <w:top w:val="single" w:sz="4" w:space="0" w:color="auto"/>
              <w:left w:val="single" w:sz="4" w:space="0" w:color="auto"/>
              <w:bottom w:val="single" w:sz="4" w:space="0" w:color="auto"/>
              <w:right w:val="single" w:sz="4" w:space="0" w:color="auto"/>
            </w:tcBorders>
            <w:hideMark/>
          </w:tcPr>
          <w:p w14:paraId="0CD79FB9"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Coût total</w:t>
            </w:r>
          </w:p>
        </w:tc>
        <w:tc>
          <w:tcPr>
            <w:tcW w:w="2035" w:type="dxa"/>
            <w:gridSpan w:val="3"/>
            <w:tcBorders>
              <w:top w:val="single" w:sz="4" w:space="0" w:color="auto"/>
              <w:left w:val="single" w:sz="4" w:space="0" w:color="auto"/>
              <w:bottom w:val="single" w:sz="4" w:space="0" w:color="auto"/>
              <w:right w:val="single" w:sz="4" w:space="0" w:color="auto"/>
            </w:tcBorders>
            <w:hideMark/>
          </w:tcPr>
          <w:p w14:paraId="47173E5E" w14:textId="77777777" w:rsidR="00ED17F3" w:rsidRPr="00857867" w:rsidRDefault="00ED17F3"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D75D2E" w:rsidRPr="00420C1B" w14:paraId="76ED6C04" w14:textId="77777777" w:rsidTr="00215867">
        <w:trPr>
          <w:gridBefore w:val="1"/>
          <w:wBefore w:w="18" w:type="dxa"/>
          <w:trHeight w:val="625"/>
          <w:jc w:val="center"/>
        </w:trPr>
        <w:tc>
          <w:tcPr>
            <w:tcW w:w="2328" w:type="dxa"/>
            <w:gridSpan w:val="2"/>
            <w:tcBorders>
              <w:top w:val="single" w:sz="4" w:space="0" w:color="auto"/>
              <w:left w:val="single" w:sz="4" w:space="0" w:color="auto"/>
              <w:bottom w:val="single" w:sz="4" w:space="0" w:color="auto"/>
              <w:right w:val="single" w:sz="4" w:space="0" w:color="auto"/>
            </w:tcBorders>
          </w:tcPr>
          <w:p w14:paraId="31B742D9" w14:textId="77777777" w:rsidR="00ED17F3" w:rsidRPr="00420C1B" w:rsidRDefault="00ED17F3" w:rsidP="007108ED">
            <w:pPr>
              <w:autoSpaceDE w:val="0"/>
              <w:autoSpaceDN w:val="0"/>
              <w:adjustRightInd w:val="0"/>
              <w:spacing w:after="0" w:line="240" w:lineRule="auto"/>
              <w:jc w:val="both"/>
              <w:rPr>
                <w:rFonts w:ascii="Times New Roman" w:hAnsi="Times New Roman"/>
                <w:sz w:val="20"/>
                <w:szCs w:val="20"/>
              </w:rPr>
            </w:pPr>
            <w:r w:rsidRPr="00420C1B">
              <w:rPr>
                <w:rFonts w:ascii="Times New Roman" w:hAnsi="Times New Roman"/>
                <w:sz w:val="20"/>
                <w:szCs w:val="20"/>
              </w:rPr>
              <w:t>Information et sensibilisation sur l’interdiction de la chasse</w:t>
            </w:r>
          </w:p>
        </w:tc>
        <w:tc>
          <w:tcPr>
            <w:tcW w:w="783" w:type="dxa"/>
            <w:tcBorders>
              <w:top w:val="single" w:sz="4" w:space="0" w:color="auto"/>
              <w:left w:val="single" w:sz="4" w:space="0" w:color="auto"/>
              <w:bottom w:val="single" w:sz="4" w:space="0" w:color="auto"/>
              <w:right w:val="single" w:sz="4" w:space="0" w:color="auto"/>
            </w:tcBorders>
          </w:tcPr>
          <w:p w14:paraId="5E8C49C2"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Séance</w:t>
            </w:r>
          </w:p>
        </w:tc>
        <w:tc>
          <w:tcPr>
            <w:tcW w:w="983" w:type="dxa"/>
            <w:gridSpan w:val="2"/>
            <w:tcBorders>
              <w:top w:val="single" w:sz="4" w:space="0" w:color="auto"/>
              <w:left w:val="single" w:sz="4" w:space="0" w:color="auto"/>
              <w:bottom w:val="single" w:sz="4" w:space="0" w:color="auto"/>
              <w:right w:val="single" w:sz="4" w:space="0" w:color="auto"/>
            </w:tcBorders>
          </w:tcPr>
          <w:p w14:paraId="46F689E4" w14:textId="77777777" w:rsidR="00ED17F3" w:rsidRPr="00420C1B" w:rsidRDefault="00870C84"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1362" w:type="dxa"/>
            <w:gridSpan w:val="3"/>
            <w:tcBorders>
              <w:top w:val="single" w:sz="4" w:space="0" w:color="auto"/>
              <w:left w:val="single" w:sz="4" w:space="0" w:color="auto"/>
              <w:bottom w:val="single" w:sz="4" w:space="0" w:color="auto"/>
              <w:right w:val="single" w:sz="4" w:space="0" w:color="auto"/>
            </w:tcBorders>
          </w:tcPr>
          <w:p w14:paraId="7B14D7AD"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w:t>
            </w:r>
          </w:p>
        </w:tc>
        <w:tc>
          <w:tcPr>
            <w:tcW w:w="1133" w:type="dxa"/>
            <w:gridSpan w:val="3"/>
            <w:tcBorders>
              <w:top w:val="single" w:sz="4" w:space="0" w:color="auto"/>
              <w:left w:val="single" w:sz="4" w:space="0" w:color="auto"/>
              <w:bottom w:val="single" w:sz="4" w:space="0" w:color="auto"/>
              <w:right w:val="single" w:sz="4" w:space="0" w:color="auto"/>
            </w:tcBorders>
          </w:tcPr>
          <w:p w14:paraId="69A2FE9B"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0</w:t>
            </w:r>
          </w:p>
        </w:tc>
        <w:tc>
          <w:tcPr>
            <w:tcW w:w="709" w:type="dxa"/>
            <w:tcBorders>
              <w:top w:val="single" w:sz="4" w:space="0" w:color="auto"/>
              <w:left w:val="single" w:sz="4" w:space="0" w:color="auto"/>
              <w:bottom w:val="single" w:sz="4" w:space="0" w:color="auto"/>
              <w:right w:val="single" w:sz="4" w:space="0" w:color="auto"/>
            </w:tcBorders>
          </w:tcPr>
          <w:p w14:paraId="2D0E7CC4" w14:textId="77777777" w:rsidR="00ED17F3" w:rsidRPr="00420C1B" w:rsidRDefault="00870C84"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r w:rsidR="00ED17F3" w:rsidRPr="00420C1B">
              <w:rPr>
                <w:rFonts w:ascii="Times New Roman" w:hAnsi="Times New Roman"/>
                <w:sz w:val="20"/>
                <w:szCs w:val="20"/>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1FD539BB" w14:textId="77777777" w:rsidR="00ED17F3" w:rsidRPr="00420C1B" w:rsidRDefault="00870C84"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5000</w:t>
            </w:r>
          </w:p>
        </w:tc>
        <w:tc>
          <w:tcPr>
            <w:tcW w:w="2035" w:type="dxa"/>
            <w:gridSpan w:val="3"/>
            <w:tcBorders>
              <w:top w:val="single" w:sz="4" w:space="0" w:color="auto"/>
              <w:left w:val="single" w:sz="4" w:space="0" w:color="auto"/>
              <w:bottom w:val="single" w:sz="4" w:space="0" w:color="auto"/>
              <w:right w:val="single" w:sz="4" w:space="0" w:color="auto"/>
            </w:tcBorders>
          </w:tcPr>
          <w:p w14:paraId="52147C32"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les travaux</w:t>
            </w:r>
          </w:p>
        </w:tc>
      </w:tr>
      <w:tr w:rsidR="003756DD" w:rsidRPr="00420C1B" w14:paraId="07C2BC54" w14:textId="77777777" w:rsidTr="00215867">
        <w:trPr>
          <w:gridBefore w:val="1"/>
          <w:wBefore w:w="18" w:type="dxa"/>
          <w:trHeight w:val="225"/>
          <w:jc w:val="center"/>
        </w:trPr>
        <w:tc>
          <w:tcPr>
            <w:tcW w:w="2328" w:type="dxa"/>
            <w:gridSpan w:val="2"/>
            <w:tcBorders>
              <w:top w:val="single" w:sz="4" w:space="0" w:color="auto"/>
              <w:left w:val="single" w:sz="4" w:space="0" w:color="auto"/>
              <w:bottom w:val="single" w:sz="4" w:space="0" w:color="auto"/>
              <w:right w:val="single" w:sz="4" w:space="0" w:color="auto"/>
            </w:tcBorders>
          </w:tcPr>
          <w:p w14:paraId="0D55DE33" w14:textId="77777777" w:rsidR="003756DD" w:rsidRPr="00420C1B" w:rsidRDefault="003756DD" w:rsidP="007108ED">
            <w:pPr>
              <w:autoSpaceDE w:val="0"/>
              <w:autoSpaceDN w:val="0"/>
              <w:adjustRightInd w:val="0"/>
              <w:spacing w:after="0" w:line="240" w:lineRule="auto"/>
              <w:jc w:val="both"/>
              <w:rPr>
                <w:rFonts w:ascii="Times New Roman" w:hAnsi="Times New Roman"/>
                <w:b/>
                <w:sz w:val="20"/>
                <w:szCs w:val="20"/>
              </w:rPr>
            </w:pPr>
            <w:r w:rsidRPr="00420C1B">
              <w:rPr>
                <w:rFonts w:ascii="Times New Roman" w:hAnsi="Times New Roman"/>
                <w:b/>
                <w:sz w:val="20"/>
                <w:szCs w:val="20"/>
              </w:rPr>
              <w:t xml:space="preserve">Total </w:t>
            </w:r>
          </w:p>
        </w:tc>
        <w:tc>
          <w:tcPr>
            <w:tcW w:w="783" w:type="dxa"/>
            <w:tcBorders>
              <w:top w:val="single" w:sz="4" w:space="0" w:color="auto"/>
              <w:left w:val="single" w:sz="4" w:space="0" w:color="auto"/>
              <w:bottom w:val="single" w:sz="4" w:space="0" w:color="auto"/>
              <w:right w:val="single" w:sz="4" w:space="0" w:color="auto"/>
            </w:tcBorders>
          </w:tcPr>
          <w:p w14:paraId="323A1109" w14:textId="77777777" w:rsidR="003756DD" w:rsidRPr="00420C1B" w:rsidRDefault="003756DD" w:rsidP="007108ED">
            <w:pPr>
              <w:autoSpaceDE w:val="0"/>
              <w:autoSpaceDN w:val="0"/>
              <w:adjustRightInd w:val="0"/>
              <w:spacing w:after="0" w:line="240" w:lineRule="auto"/>
              <w:jc w:val="center"/>
              <w:rPr>
                <w:rFonts w:ascii="Times New Roman" w:hAnsi="Times New Roman"/>
                <w:b/>
                <w:sz w:val="20"/>
                <w:szCs w:val="20"/>
              </w:rPr>
            </w:pPr>
          </w:p>
        </w:tc>
        <w:tc>
          <w:tcPr>
            <w:tcW w:w="983" w:type="dxa"/>
            <w:gridSpan w:val="2"/>
            <w:tcBorders>
              <w:top w:val="single" w:sz="4" w:space="0" w:color="auto"/>
              <w:left w:val="single" w:sz="4" w:space="0" w:color="auto"/>
              <w:bottom w:val="single" w:sz="4" w:space="0" w:color="auto"/>
              <w:right w:val="single" w:sz="4" w:space="0" w:color="auto"/>
            </w:tcBorders>
          </w:tcPr>
          <w:p w14:paraId="78AC5D2F" w14:textId="77777777" w:rsidR="003756DD" w:rsidRPr="00420C1B" w:rsidRDefault="003756DD" w:rsidP="007108ED">
            <w:pPr>
              <w:autoSpaceDE w:val="0"/>
              <w:autoSpaceDN w:val="0"/>
              <w:adjustRightInd w:val="0"/>
              <w:spacing w:after="0" w:line="240" w:lineRule="auto"/>
              <w:jc w:val="center"/>
              <w:rPr>
                <w:rFonts w:ascii="Times New Roman" w:hAnsi="Times New Roman"/>
                <w:b/>
                <w:sz w:val="20"/>
                <w:szCs w:val="20"/>
              </w:rPr>
            </w:pPr>
          </w:p>
        </w:tc>
        <w:tc>
          <w:tcPr>
            <w:tcW w:w="1362" w:type="dxa"/>
            <w:gridSpan w:val="3"/>
            <w:tcBorders>
              <w:top w:val="single" w:sz="4" w:space="0" w:color="auto"/>
              <w:left w:val="single" w:sz="4" w:space="0" w:color="auto"/>
              <w:bottom w:val="single" w:sz="4" w:space="0" w:color="auto"/>
              <w:right w:val="single" w:sz="4" w:space="0" w:color="auto"/>
            </w:tcBorders>
          </w:tcPr>
          <w:p w14:paraId="077FC8E4" w14:textId="77777777" w:rsidR="003756DD" w:rsidRPr="00420C1B" w:rsidRDefault="003756DD" w:rsidP="007108ED">
            <w:pPr>
              <w:autoSpaceDE w:val="0"/>
              <w:autoSpaceDN w:val="0"/>
              <w:adjustRightInd w:val="0"/>
              <w:spacing w:after="0" w:line="240" w:lineRule="auto"/>
              <w:jc w:val="center"/>
              <w:rPr>
                <w:rFonts w:ascii="Times New Roman" w:hAnsi="Times New Roman"/>
                <w:b/>
                <w:sz w:val="20"/>
                <w:szCs w:val="20"/>
              </w:rPr>
            </w:pPr>
          </w:p>
        </w:tc>
        <w:tc>
          <w:tcPr>
            <w:tcW w:w="1133" w:type="dxa"/>
            <w:gridSpan w:val="3"/>
            <w:tcBorders>
              <w:top w:val="single" w:sz="4" w:space="0" w:color="auto"/>
              <w:left w:val="single" w:sz="4" w:space="0" w:color="auto"/>
              <w:bottom w:val="single" w:sz="4" w:space="0" w:color="auto"/>
              <w:right w:val="single" w:sz="4" w:space="0" w:color="auto"/>
            </w:tcBorders>
          </w:tcPr>
          <w:p w14:paraId="4C4A8D32" w14:textId="77777777" w:rsidR="003756DD" w:rsidRPr="00420C1B" w:rsidRDefault="003756DD" w:rsidP="007108ED">
            <w:pPr>
              <w:autoSpaceDE w:val="0"/>
              <w:autoSpaceDN w:val="0"/>
              <w:adjustRightInd w:val="0"/>
              <w:spacing w:after="0" w:line="240" w:lineRule="auto"/>
              <w:jc w:val="center"/>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14:paraId="6317A41C" w14:textId="77777777" w:rsidR="003756DD" w:rsidRPr="00420C1B" w:rsidRDefault="00870C84"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1134" w:type="dxa"/>
            <w:gridSpan w:val="2"/>
            <w:tcBorders>
              <w:top w:val="single" w:sz="4" w:space="0" w:color="auto"/>
              <w:left w:val="single" w:sz="4" w:space="0" w:color="auto"/>
              <w:bottom w:val="single" w:sz="4" w:space="0" w:color="auto"/>
              <w:right w:val="single" w:sz="4" w:space="0" w:color="auto"/>
            </w:tcBorders>
          </w:tcPr>
          <w:p w14:paraId="1CFFA40F" w14:textId="77777777" w:rsidR="003756DD" w:rsidRPr="00420C1B" w:rsidRDefault="00870C84"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5000</w:t>
            </w:r>
          </w:p>
        </w:tc>
        <w:tc>
          <w:tcPr>
            <w:tcW w:w="2035" w:type="dxa"/>
            <w:gridSpan w:val="3"/>
            <w:tcBorders>
              <w:top w:val="single" w:sz="4" w:space="0" w:color="auto"/>
              <w:left w:val="single" w:sz="4" w:space="0" w:color="auto"/>
              <w:bottom w:val="single" w:sz="4" w:space="0" w:color="auto"/>
              <w:right w:val="single" w:sz="4" w:space="0" w:color="auto"/>
            </w:tcBorders>
          </w:tcPr>
          <w:p w14:paraId="16459DC8" w14:textId="77777777" w:rsidR="003756DD" w:rsidRPr="00420C1B" w:rsidRDefault="003756DD" w:rsidP="007108ED">
            <w:pPr>
              <w:autoSpaceDE w:val="0"/>
              <w:autoSpaceDN w:val="0"/>
              <w:adjustRightInd w:val="0"/>
              <w:spacing w:after="0" w:line="240" w:lineRule="auto"/>
              <w:rPr>
                <w:rFonts w:ascii="Times New Roman" w:hAnsi="Times New Roman"/>
                <w:b/>
                <w:sz w:val="20"/>
                <w:szCs w:val="20"/>
              </w:rPr>
            </w:pPr>
          </w:p>
        </w:tc>
      </w:tr>
    </w:tbl>
    <w:p w14:paraId="54BF9E9B" w14:textId="10951139" w:rsidR="00360D1B" w:rsidRDefault="00360D1B" w:rsidP="00ED17F3">
      <w:pPr>
        <w:keepNext/>
        <w:spacing w:after="200" w:line="240" w:lineRule="auto"/>
        <w:rPr>
          <w:rFonts w:ascii="Times New Roman" w:hAnsi="Times New Roman"/>
          <w:iCs/>
          <w:szCs w:val="18"/>
        </w:rPr>
      </w:pPr>
    </w:p>
    <w:p w14:paraId="41C2681C" w14:textId="77777777" w:rsidR="00360D1B" w:rsidRDefault="00360D1B">
      <w:pPr>
        <w:rPr>
          <w:rFonts w:ascii="Times New Roman" w:hAnsi="Times New Roman"/>
          <w:iCs/>
          <w:szCs w:val="18"/>
        </w:rPr>
      </w:pPr>
      <w:r>
        <w:rPr>
          <w:rFonts w:ascii="Times New Roman" w:hAnsi="Times New Roman"/>
          <w:iCs/>
          <w:szCs w:val="18"/>
        </w:rPr>
        <w:br w:type="page"/>
      </w:r>
    </w:p>
    <w:p w14:paraId="4ADF14C8" w14:textId="126EE049" w:rsidR="00E72E45" w:rsidRPr="00215867" w:rsidRDefault="00E72E45" w:rsidP="00E72E45">
      <w:pPr>
        <w:keepNext/>
        <w:spacing w:before="240" w:after="200" w:line="240" w:lineRule="auto"/>
        <w:rPr>
          <w:rFonts w:ascii="Times New Roman" w:hAnsi="Times New Roman"/>
          <w:iCs/>
          <w:sz w:val="24"/>
          <w:szCs w:val="18"/>
        </w:rPr>
      </w:pPr>
      <w:bookmarkStart w:id="620" w:name="_Toc93050298"/>
      <w:r w:rsidRPr="00215867">
        <w:rPr>
          <w:rFonts w:ascii="Times New Roman" w:hAnsi="Times New Roman"/>
          <w:iCs/>
          <w:sz w:val="24"/>
          <w:szCs w:val="18"/>
        </w:rPr>
        <w:t xml:space="preserve">Tableau </w:t>
      </w:r>
      <w:r w:rsidRPr="00BD6279">
        <w:rPr>
          <w:rFonts w:ascii="Times New Roman" w:hAnsi="Times New Roman"/>
          <w:iCs/>
          <w:sz w:val="24"/>
          <w:szCs w:val="18"/>
        </w:rPr>
        <w:fldChar w:fldCharType="begin"/>
      </w:r>
      <w:r w:rsidRPr="00215867">
        <w:rPr>
          <w:rFonts w:ascii="Times New Roman" w:hAnsi="Times New Roman"/>
          <w:iCs/>
          <w:sz w:val="24"/>
          <w:szCs w:val="18"/>
        </w:rPr>
        <w:instrText xml:space="preserve"> SEQ Tableau \* ARABIC </w:instrText>
      </w:r>
      <w:r w:rsidRPr="00BD6279">
        <w:rPr>
          <w:rFonts w:ascii="Times New Roman" w:hAnsi="Times New Roman"/>
          <w:iCs/>
          <w:sz w:val="24"/>
          <w:szCs w:val="18"/>
        </w:rPr>
        <w:fldChar w:fldCharType="separate"/>
      </w:r>
      <w:r w:rsidR="00BD6279">
        <w:rPr>
          <w:rFonts w:ascii="Times New Roman" w:hAnsi="Times New Roman"/>
          <w:iCs/>
          <w:noProof/>
          <w:sz w:val="24"/>
          <w:szCs w:val="18"/>
        </w:rPr>
        <w:t>36</w:t>
      </w:r>
      <w:r w:rsidRPr="00BD6279">
        <w:rPr>
          <w:rFonts w:ascii="Times New Roman" w:hAnsi="Times New Roman"/>
          <w:iCs/>
          <w:noProof/>
          <w:sz w:val="24"/>
          <w:szCs w:val="18"/>
        </w:rPr>
        <w:fldChar w:fldCharType="end"/>
      </w:r>
      <w:r w:rsidRPr="00215867">
        <w:rPr>
          <w:rFonts w:ascii="Times New Roman" w:hAnsi="Times New Roman"/>
          <w:iCs/>
          <w:sz w:val="24"/>
          <w:szCs w:val="18"/>
        </w:rPr>
        <w:t xml:space="preserve"> : </w:t>
      </w:r>
      <w:r w:rsidRPr="00215867">
        <w:rPr>
          <w:rFonts w:ascii="Times New Roman" w:hAnsi="Times New Roman"/>
          <w:sz w:val="24"/>
        </w:rPr>
        <w:t xml:space="preserve">Fiche de déclaration d’Impact – Code </w:t>
      </w:r>
      <w:r w:rsidR="00BD6279" w:rsidRPr="00215867">
        <w:rPr>
          <w:rFonts w:ascii="Times New Roman" w:hAnsi="Times New Roman"/>
          <w:sz w:val="24"/>
        </w:rPr>
        <w:t>1</w:t>
      </w:r>
      <w:r w:rsidR="00BD6279">
        <w:rPr>
          <w:rFonts w:ascii="Times New Roman" w:hAnsi="Times New Roman"/>
          <w:sz w:val="24"/>
        </w:rPr>
        <w:t>4</w:t>
      </w:r>
      <w:bookmarkEnd w:id="620"/>
    </w:p>
    <w:tbl>
      <w:tblPr>
        <w:tblW w:w="9854" w:type="dxa"/>
        <w:jc w:val="center"/>
        <w:tblLayout w:type="fixed"/>
        <w:tblLook w:val="04A0" w:firstRow="1" w:lastRow="0" w:firstColumn="1" w:lastColumn="0" w:noHBand="0" w:noVBand="1"/>
      </w:tblPr>
      <w:tblGrid>
        <w:gridCol w:w="1702"/>
        <w:gridCol w:w="62"/>
        <w:gridCol w:w="963"/>
        <w:gridCol w:w="1134"/>
        <w:gridCol w:w="313"/>
        <w:gridCol w:w="1246"/>
        <w:gridCol w:w="40"/>
        <w:gridCol w:w="1094"/>
        <w:gridCol w:w="40"/>
        <w:gridCol w:w="952"/>
        <w:gridCol w:w="324"/>
        <w:gridCol w:w="669"/>
        <w:gridCol w:w="748"/>
        <w:gridCol w:w="567"/>
      </w:tblGrid>
      <w:tr w:rsidR="00E72E45" w:rsidRPr="00420C1B" w14:paraId="3C0190C9" w14:textId="77777777" w:rsidTr="00931D29">
        <w:trPr>
          <w:tblHeader/>
          <w:jc w:val="center"/>
        </w:trPr>
        <w:tc>
          <w:tcPr>
            <w:tcW w:w="1702" w:type="dxa"/>
            <w:tcBorders>
              <w:top w:val="single" w:sz="4" w:space="0" w:color="auto"/>
              <w:left w:val="single" w:sz="4" w:space="0" w:color="auto"/>
              <w:bottom w:val="single" w:sz="4" w:space="0" w:color="auto"/>
              <w:right w:val="single" w:sz="4" w:space="0" w:color="auto"/>
            </w:tcBorders>
            <w:shd w:val="clear" w:color="auto" w:fill="92D050"/>
            <w:hideMark/>
          </w:tcPr>
          <w:p w14:paraId="6B2D1AD7" w14:textId="77777777" w:rsidR="00E72E45" w:rsidRPr="00857867" w:rsidRDefault="00E72E45" w:rsidP="00931D29">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3758" w:type="dxa"/>
            <w:gridSpan w:val="6"/>
            <w:tcBorders>
              <w:top w:val="single" w:sz="4" w:space="0" w:color="auto"/>
              <w:left w:val="single" w:sz="4" w:space="0" w:color="auto"/>
              <w:bottom w:val="single" w:sz="4" w:space="0" w:color="auto"/>
              <w:right w:val="single" w:sz="4" w:space="0" w:color="auto"/>
            </w:tcBorders>
            <w:shd w:val="clear" w:color="auto" w:fill="92D050"/>
            <w:hideMark/>
          </w:tcPr>
          <w:p w14:paraId="3C6B904F" w14:textId="40A63C53" w:rsidR="00E72E45" w:rsidRPr="00857867" w:rsidRDefault="00CA5F3E" w:rsidP="00931D29">
            <w:pPr>
              <w:spacing w:after="0" w:line="240" w:lineRule="auto"/>
              <w:rPr>
                <w:rFonts w:ascii="Times New Roman" w:hAnsi="Times New Roman"/>
                <w:b/>
                <w:sz w:val="20"/>
                <w:szCs w:val="20"/>
              </w:rPr>
            </w:pPr>
            <w:r>
              <w:rPr>
                <w:rFonts w:ascii="Times New Roman" w:hAnsi="Times New Roman"/>
                <w:sz w:val="20"/>
                <w:szCs w:val="20"/>
              </w:rPr>
              <w:t xml:space="preserve">Habitats naturels, </w:t>
            </w:r>
            <w:r w:rsidR="00E72E45" w:rsidRPr="00857867">
              <w:rPr>
                <w:rFonts w:ascii="Times New Roman" w:hAnsi="Times New Roman"/>
                <w:sz w:val="20"/>
                <w:szCs w:val="20"/>
              </w:rPr>
              <w:t xml:space="preserve">Eau et Sol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58BF740" w14:textId="77777777" w:rsidR="00E72E45" w:rsidRPr="00857867" w:rsidRDefault="00E72E45" w:rsidP="00931D29">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3260"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65990FD7" w14:textId="77777777" w:rsidR="00E72E45" w:rsidRPr="00857867" w:rsidRDefault="00E72E45" w:rsidP="00931D29">
            <w:pPr>
              <w:spacing w:after="0" w:line="240" w:lineRule="auto"/>
              <w:rPr>
                <w:rFonts w:ascii="Times New Roman" w:hAnsi="Times New Roman"/>
                <w:sz w:val="20"/>
                <w:szCs w:val="20"/>
              </w:rPr>
            </w:pPr>
            <w:r w:rsidRPr="00857867">
              <w:rPr>
                <w:rFonts w:ascii="Times New Roman" w:hAnsi="Times New Roman"/>
                <w:sz w:val="20"/>
                <w:szCs w:val="20"/>
              </w:rPr>
              <w:t>Construction</w:t>
            </w:r>
          </w:p>
        </w:tc>
      </w:tr>
      <w:tr w:rsidR="00E72E45" w:rsidRPr="00420C1B" w14:paraId="26A1645E" w14:textId="77777777" w:rsidTr="00931D29">
        <w:trPr>
          <w:trHeight w:val="379"/>
          <w:jc w:val="center"/>
        </w:trPr>
        <w:tc>
          <w:tcPr>
            <w:tcW w:w="1702" w:type="dxa"/>
            <w:vMerge w:val="restart"/>
            <w:tcBorders>
              <w:top w:val="single" w:sz="4" w:space="0" w:color="auto"/>
              <w:left w:val="single" w:sz="4" w:space="0" w:color="auto"/>
              <w:right w:val="single" w:sz="4" w:space="0" w:color="auto"/>
            </w:tcBorders>
          </w:tcPr>
          <w:p w14:paraId="231C3528" w14:textId="66768BEF" w:rsidR="00E72E45" w:rsidRPr="00857867" w:rsidRDefault="00E72E45" w:rsidP="00931D29">
            <w:pPr>
              <w:spacing w:after="0" w:line="240" w:lineRule="auto"/>
              <w:rPr>
                <w:rFonts w:ascii="Times New Roman" w:hAnsi="Times New Roman"/>
                <w:b/>
                <w:sz w:val="20"/>
                <w:szCs w:val="20"/>
              </w:rPr>
            </w:pPr>
            <w:r w:rsidRPr="00857867">
              <w:rPr>
                <w:rFonts w:ascii="Times New Roman" w:hAnsi="Times New Roman"/>
                <w:b/>
                <w:sz w:val="20"/>
                <w:szCs w:val="20"/>
              </w:rPr>
              <w:t xml:space="preserve">Code </w:t>
            </w:r>
            <w:r w:rsidR="00CA5F3E">
              <w:rPr>
                <w:rFonts w:ascii="Times New Roman" w:hAnsi="Times New Roman"/>
                <w:b/>
                <w:sz w:val="20"/>
                <w:szCs w:val="20"/>
              </w:rPr>
              <w:t>10</w:t>
            </w:r>
          </w:p>
        </w:tc>
        <w:tc>
          <w:tcPr>
            <w:tcW w:w="8152" w:type="dxa"/>
            <w:gridSpan w:val="13"/>
            <w:tcBorders>
              <w:top w:val="single" w:sz="4" w:space="0" w:color="auto"/>
              <w:left w:val="single" w:sz="4" w:space="0" w:color="auto"/>
              <w:bottom w:val="single" w:sz="4" w:space="0" w:color="auto"/>
              <w:right w:val="single" w:sz="4" w:space="0" w:color="auto"/>
            </w:tcBorders>
          </w:tcPr>
          <w:p w14:paraId="0C2FF39C" w14:textId="5F4274E8" w:rsidR="00E72E45" w:rsidRPr="00857867" w:rsidRDefault="00E72E45" w:rsidP="00931D29">
            <w:pPr>
              <w:autoSpaceDE w:val="0"/>
              <w:autoSpaceDN w:val="0"/>
              <w:adjustRightInd w:val="0"/>
              <w:spacing w:after="0" w:line="240" w:lineRule="auto"/>
              <w:jc w:val="both"/>
              <w:rPr>
                <w:rFonts w:ascii="Times New Roman" w:hAnsi="Times New Roman"/>
                <w:b/>
                <w:sz w:val="20"/>
                <w:szCs w:val="20"/>
              </w:rPr>
            </w:pPr>
            <w:r w:rsidRPr="00857867">
              <w:rPr>
                <w:rFonts w:ascii="Times New Roman" w:hAnsi="Times New Roman"/>
                <w:b/>
                <w:sz w:val="20"/>
                <w:szCs w:val="20"/>
              </w:rPr>
              <w:t xml:space="preserve">Source d’impact : </w:t>
            </w:r>
            <w:r w:rsidRPr="00420C1B">
              <w:t>Déchets Dangereux :</w:t>
            </w:r>
            <w:r w:rsidRPr="00420C1B">
              <w:rPr>
                <w:highlight w:val="yellow"/>
              </w:rPr>
              <w:t xml:space="preserve"> </w:t>
            </w:r>
            <w:r w:rsidRPr="00420C1B">
              <w:t>Huiles issues des transformateurs</w:t>
            </w:r>
            <w:r w:rsidRPr="00420C1B">
              <w:rPr>
                <w:highlight w:val="yellow"/>
              </w:rPr>
              <w:t> </w:t>
            </w:r>
          </w:p>
        </w:tc>
      </w:tr>
      <w:tr w:rsidR="00E72E45" w:rsidRPr="00420C1B" w14:paraId="24863C49" w14:textId="77777777" w:rsidTr="00931D29">
        <w:trPr>
          <w:trHeight w:val="379"/>
          <w:jc w:val="center"/>
        </w:trPr>
        <w:tc>
          <w:tcPr>
            <w:tcW w:w="1702" w:type="dxa"/>
            <w:vMerge/>
            <w:tcBorders>
              <w:left w:val="single" w:sz="4" w:space="0" w:color="auto"/>
              <w:bottom w:val="single" w:sz="4" w:space="0" w:color="auto"/>
              <w:right w:val="single" w:sz="4" w:space="0" w:color="auto"/>
            </w:tcBorders>
            <w:hideMark/>
          </w:tcPr>
          <w:p w14:paraId="18942292" w14:textId="77777777" w:rsidR="00E72E45" w:rsidRPr="00857867" w:rsidRDefault="00E72E45" w:rsidP="00931D29">
            <w:pPr>
              <w:spacing w:after="0" w:line="240" w:lineRule="auto"/>
              <w:rPr>
                <w:rFonts w:ascii="Times New Roman" w:hAnsi="Times New Roman"/>
                <w:b/>
                <w:sz w:val="20"/>
                <w:szCs w:val="20"/>
              </w:rPr>
            </w:pPr>
          </w:p>
        </w:tc>
        <w:tc>
          <w:tcPr>
            <w:tcW w:w="8152" w:type="dxa"/>
            <w:gridSpan w:val="13"/>
            <w:tcBorders>
              <w:top w:val="single" w:sz="4" w:space="0" w:color="auto"/>
              <w:left w:val="single" w:sz="4" w:space="0" w:color="auto"/>
              <w:bottom w:val="single" w:sz="4" w:space="0" w:color="auto"/>
              <w:right w:val="single" w:sz="4" w:space="0" w:color="auto"/>
            </w:tcBorders>
            <w:hideMark/>
          </w:tcPr>
          <w:p w14:paraId="05FF0C44" w14:textId="77777777" w:rsidR="00E72E45" w:rsidRPr="00857867" w:rsidRDefault="00E72E45" w:rsidP="00931D29">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xml:space="preserve"> : pollution du sol et des eaux </w:t>
            </w:r>
          </w:p>
        </w:tc>
      </w:tr>
      <w:tr w:rsidR="00E72E45" w:rsidRPr="00420C1B" w14:paraId="54361D01" w14:textId="77777777" w:rsidTr="00931D29">
        <w:trPr>
          <w:jc w:val="center"/>
        </w:trPr>
        <w:tc>
          <w:tcPr>
            <w:tcW w:w="1702" w:type="dxa"/>
            <w:vMerge w:val="restart"/>
            <w:tcBorders>
              <w:top w:val="single" w:sz="4" w:space="0" w:color="auto"/>
              <w:left w:val="single" w:sz="4" w:space="0" w:color="auto"/>
              <w:bottom w:val="single" w:sz="4" w:space="0" w:color="auto"/>
              <w:right w:val="single" w:sz="4" w:space="0" w:color="auto"/>
            </w:tcBorders>
            <w:hideMark/>
          </w:tcPr>
          <w:p w14:paraId="4CC37D1B" w14:textId="77777777" w:rsidR="00E72E45" w:rsidRPr="00857867" w:rsidRDefault="00E72E45" w:rsidP="00931D29">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758" w:type="dxa"/>
            <w:gridSpan w:val="6"/>
            <w:vMerge w:val="restart"/>
            <w:tcBorders>
              <w:top w:val="single" w:sz="4" w:space="0" w:color="auto"/>
              <w:left w:val="single" w:sz="4" w:space="0" w:color="auto"/>
              <w:right w:val="single" w:sz="4" w:space="0" w:color="auto"/>
            </w:tcBorders>
          </w:tcPr>
          <w:p w14:paraId="02A364AE" w14:textId="136A9A26" w:rsidR="00E72E45" w:rsidRPr="00857867" w:rsidRDefault="00E72E45" w:rsidP="00931D29">
            <w:pPr>
              <w:spacing w:after="0" w:line="240" w:lineRule="auto"/>
              <w:jc w:val="both"/>
              <w:rPr>
                <w:rFonts w:ascii="Times New Roman" w:eastAsia="Times New Roman" w:hAnsi="Times New Roman"/>
                <w:b/>
                <w:sz w:val="20"/>
                <w:szCs w:val="20"/>
                <w:lang w:eastAsia="fr-FR"/>
              </w:rPr>
            </w:pPr>
            <w:r>
              <w:rPr>
                <w:rFonts w:ascii="Times New Roman" w:hAnsi="Times New Roman"/>
                <w:sz w:val="20"/>
                <w:szCs w:val="20"/>
              </w:rPr>
              <w:t>Sites des transformateurs ou postes</w:t>
            </w:r>
          </w:p>
        </w:tc>
        <w:tc>
          <w:tcPr>
            <w:tcW w:w="1134" w:type="dxa"/>
            <w:gridSpan w:val="2"/>
            <w:tcBorders>
              <w:top w:val="single" w:sz="4" w:space="0" w:color="auto"/>
              <w:left w:val="single" w:sz="4" w:space="0" w:color="auto"/>
              <w:bottom w:val="single" w:sz="4" w:space="0" w:color="auto"/>
              <w:right w:val="single" w:sz="4" w:space="0" w:color="auto"/>
            </w:tcBorders>
          </w:tcPr>
          <w:p w14:paraId="515A21F4" w14:textId="77777777" w:rsidR="00E72E45" w:rsidRPr="00857867" w:rsidRDefault="00E72E45" w:rsidP="00931D29">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76" w:type="dxa"/>
            <w:gridSpan w:val="2"/>
            <w:tcBorders>
              <w:top w:val="single" w:sz="4" w:space="0" w:color="auto"/>
              <w:left w:val="single" w:sz="4" w:space="0" w:color="auto"/>
              <w:bottom w:val="single" w:sz="4" w:space="0" w:color="auto"/>
              <w:right w:val="single" w:sz="4" w:space="0" w:color="auto"/>
            </w:tcBorders>
            <w:hideMark/>
          </w:tcPr>
          <w:p w14:paraId="09D57712" w14:textId="77777777" w:rsidR="00E72E45" w:rsidRPr="00857867" w:rsidRDefault="00E72E45" w:rsidP="00931D29">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984" w:type="dxa"/>
            <w:gridSpan w:val="3"/>
            <w:vMerge w:val="restart"/>
            <w:tcBorders>
              <w:top w:val="single" w:sz="4" w:space="0" w:color="auto"/>
              <w:left w:val="single" w:sz="4" w:space="0" w:color="auto"/>
              <w:bottom w:val="single" w:sz="4" w:space="0" w:color="auto"/>
              <w:right w:val="single" w:sz="4" w:space="0" w:color="auto"/>
            </w:tcBorders>
          </w:tcPr>
          <w:p w14:paraId="5D45A775"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5A9AB61F"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3B037F9D" w14:textId="77777777" w:rsidR="00E72E45" w:rsidRPr="00857867" w:rsidRDefault="00E72E45" w:rsidP="00931D29">
            <w:pPr>
              <w:spacing w:after="0" w:line="240" w:lineRule="auto"/>
              <w:rPr>
                <w:rFonts w:ascii="Times New Roman" w:eastAsia="Times New Roman" w:hAnsi="Times New Roman"/>
                <w:sz w:val="20"/>
                <w:szCs w:val="20"/>
                <w:lang w:eastAsia="fr-FR"/>
              </w:rPr>
            </w:pPr>
          </w:p>
        </w:tc>
        <w:tc>
          <w:tcPr>
            <w:tcW w:w="3758" w:type="dxa"/>
            <w:gridSpan w:val="6"/>
            <w:vMerge/>
            <w:tcBorders>
              <w:left w:val="single" w:sz="4" w:space="0" w:color="auto"/>
              <w:right w:val="single" w:sz="4" w:space="0" w:color="auto"/>
            </w:tcBorders>
            <w:vAlign w:val="center"/>
            <w:hideMark/>
          </w:tcPr>
          <w:p w14:paraId="1043721F" w14:textId="77777777" w:rsidR="00E72E45" w:rsidRPr="00857867" w:rsidRDefault="00E72E45" w:rsidP="00931D29">
            <w:pPr>
              <w:spacing w:after="0" w:line="240" w:lineRule="auto"/>
              <w:rPr>
                <w:rFonts w:ascii="Times New Roman" w:hAnsi="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067DB8B3" w14:textId="12368A3B" w:rsidR="00E72E45" w:rsidRPr="00857867" w:rsidRDefault="00E72E45" w:rsidP="00931D29">
            <w:pPr>
              <w:spacing w:after="0" w:line="240" w:lineRule="auto"/>
              <w:rPr>
                <w:rFonts w:ascii="Times New Roman" w:eastAsia="Times New Roman" w:hAnsi="Times New Roman"/>
                <w:sz w:val="20"/>
                <w:szCs w:val="20"/>
                <w:lang w:eastAsia="fr-FR"/>
              </w:rPr>
            </w:pPr>
          </w:p>
        </w:tc>
        <w:tc>
          <w:tcPr>
            <w:tcW w:w="1276" w:type="dxa"/>
            <w:gridSpan w:val="2"/>
            <w:tcBorders>
              <w:top w:val="single" w:sz="4" w:space="0" w:color="auto"/>
              <w:left w:val="nil"/>
              <w:bottom w:val="single" w:sz="4" w:space="0" w:color="auto"/>
              <w:right w:val="single" w:sz="4" w:space="0" w:color="auto"/>
            </w:tcBorders>
          </w:tcPr>
          <w:p w14:paraId="20236FAA" w14:textId="360252FD" w:rsidR="00E72E45" w:rsidRPr="00857867" w:rsidRDefault="00E72E45" w:rsidP="00931D29">
            <w:pPr>
              <w:spacing w:after="0" w:line="240" w:lineRule="auto"/>
              <w:rPr>
                <w:rFonts w:ascii="Times New Roman" w:eastAsia="Times New Roman" w:hAnsi="Times New Roman"/>
                <w:sz w:val="20"/>
                <w:szCs w:val="20"/>
                <w:lang w:eastAsia="fr-FR"/>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14:paraId="0A7F8EEC"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40F89B42"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7C499A8D" w14:textId="77777777" w:rsidR="00E72E45" w:rsidRPr="00857867" w:rsidRDefault="00E72E45" w:rsidP="00931D29">
            <w:pPr>
              <w:spacing w:after="0" w:line="240" w:lineRule="auto"/>
              <w:rPr>
                <w:rFonts w:ascii="Times New Roman" w:eastAsia="Times New Roman" w:hAnsi="Times New Roman"/>
                <w:sz w:val="20"/>
                <w:szCs w:val="20"/>
                <w:lang w:eastAsia="fr-FR"/>
              </w:rPr>
            </w:pPr>
          </w:p>
        </w:tc>
        <w:tc>
          <w:tcPr>
            <w:tcW w:w="3758" w:type="dxa"/>
            <w:gridSpan w:val="6"/>
            <w:vMerge/>
            <w:tcBorders>
              <w:left w:val="single" w:sz="4" w:space="0" w:color="auto"/>
              <w:bottom w:val="single" w:sz="4" w:space="0" w:color="auto"/>
              <w:right w:val="single" w:sz="4" w:space="0" w:color="auto"/>
            </w:tcBorders>
            <w:vAlign w:val="center"/>
          </w:tcPr>
          <w:p w14:paraId="2EBB0484" w14:textId="77777777" w:rsidR="00E72E45" w:rsidRPr="00857867" w:rsidRDefault="00E72E45" w:rsidP="00931D29">
            <w:pPr>
              <w:spacing w:after="0" w:line="240" w:lineRule="auto"/>
              <w:rPr>
                <w:rFonts w:ascii="Times New Roman" w:hAnsi="Times New Roman"/>
                <w:sz w:val="20"/>
                <w:szCs w:val="20"/>
              </w:rPr>
            </w:pPr>
          </w:p>
        </w:tc>
        <w:tc>
          <w:tcPr>
            <w:tcW w:w="1134" w:type="dxa"/>
            <w:gridSpan w:val="2"/>
            <w:tcBorders>
              <w:top w:val="single" w:sz="4" w:space="0" w:color="auto"/>
              <w:left w:val="single" w:sz="4" w:space="0" w:color="auto"/>
              <w:bottom w:val="nil"/>
              <w:right w:val="single" w:sz="4" w:space="0" w:color="auto"/>
            </w:tcBorders>
          </w:tcPr>
          <w:p w14:paraId="57A90801" w14:textId="2CA327C4" w:rsidR="00E72E45" w:rsidRPr="00857867" w:rsidRDefault="00E72E45" w:rsidP="00931D29">
            <w:pPr>
              <w:spacing w:after="0" w:line="240" w:lineRule="auto"/>
              <w:rPr>
                <w:rFonts w:ascii="Times New Roman" w:eastAsia="Times New Roman" w:hAnsi="Times New Roman"/>
                <w:sz w:val="20"/>
                <w:szCs w:val="20"/>
                <w:lang w:eastAsia="fr-FR"/>
              </w:rPr>
            </w:pPr>
          </w:p>
        </w:tc>
        <w:tc>
          <w:tcPr>
            <w:tcW w:w="1276" w:type="dxa"/>
            <w:gridSpan w:val="2"/>
            <w:tcBorders>
              <w:top w:val="single" w:sz="4" w:space="0" w:color="auto"/>
              <w:left w:val="single" w:sz="4" w:space="0" w:color="auto"/>
              <w:bottom w:val="nil"/>
              <w:right w:val="single" w:sz="4" w:space="0" w:color="auto"/>
            </w:tcBorders>
          </w:tcPr>
          <w:p w14:paraId="0AA4F638" w14:textId="5161B680" w:rsidR="00E72E45" w:rsidRPr="00857867" w:rsidRDefault="00E72E45" w:rsidP="00931D29">
            <w:pPr>
              <w:spacing w:after="0" w:line="240" w:lineRule="auto"/>
              <w:rPr>
                <w:rFonts w:ascii="Times New Roman" w:eastAsia="Times New Roman" w:hAnsi="Times New Roman"/>
                <w:sz w:val="20"/>
                <w:szCs w:val="20"/>
                <w:lang w:eastAsia="fr-FR"/>
              </w:rPr>
            </w:pPr>
          </w:p>
        </w:tc>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14:paraId="75866C60"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09120E7C" w14:textId="77777777" w:rsidTr="00931D29">
        <w:trPr>
          <w:jc w:val="center"/>
        </w:trPr>
        <w:tc>
          <w:tcPr>
            <w:tcW w:w="1702" w:type="dxa"/>
            <w:vMerge w:val="restart"/>
            <w:tcBorders>
              <w:top w:val="single" w:sz="4" w:space="0" w:color="auto"/>
              <w:left w:val="single" w:sz="4" w:space="0" w:color="auto"/>
              <w:bottom w:val="single" w:sz="4" w:space="0" w:color="auto"/>
              <w:right w:val="single" w:sz="4" w:space="0" w:color="auto"/>
            </w:tcBorders>
          </w:tcPr>
          <w:p w14:paraId="1C68FA89" w14:textId="77777777" w:rsidR="00E72E45" w:rsidRPr="00857867" w:rsidRDefault="00E72E45" w:rsidP="00931D29">
            <w:pPr>
              <w:spacing w:after="0" w:line="240" w:lineRule="auto"/>
              <w:rPr>
                <w:rFonts w:ascii="Times New Roman" w:hAnsi="Times New Roman"/>
                <w:b/>
                <w:sz w:val="20"/>
                <w:szCs w:val="20"/>
              </w:rPr>
            </w:pPr>
          </w:p>
          <w:p w14:paraId="02601F28" w14:textId="77777777" w:rsidR="00E72E45" w:rsidRPr="00857867" w:rsidRDefault="00E72E45" w:rsidP="00931D29">
            <w:pPr>
              <w:spacing w:after="0" w:line="240" w:lineRule="auto"/>
              <w:rPr>
                <w:rFonts w:ascii="Times New Roman" w:hAnsi="Times New Roman"/>
                <w:b/>
                <w:sz w:val="20"/>
                <w:szCs w:val="20"/>
              </w:rPr>
            </w:pPr>
          </w:p>
          <w:p w14:paraId="3C97FCA6" w14:textId="77777777" w:rsidR="00E72E45" w:rsidRPr="00857867" w:rsidRDefault="00E72E45" w:rsidP="00931D29">
            <w:pPr>
              <w:spacing w:after="0" w:line="240" w:lineRule="auto"/>
              <w:rPr>
                <w:rFonts w:ascii="Times New Roman" w:hAnsi="Times New Roman"/>
                <w:b/>
                <w:sz w:val="20"/>
                <w:szCs w:val="20"/>
              </w:rPr>
            </w:pPr>
          </w:p>
          <w:p w14:paraId="2DC45236" w14:textId="77777777" w:rsidR="00E72E45" w:rsidRPr="00857867" w:rsidRDefault="00E72E45" w:rsidP="00931D29">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025" w:type="dxa"/>
            <w:gridSpan w:val="2"/>
            <w:vMerge w:val="restart"/>
            <w:tcBorders>
              <w:top w:val="single" w:sz="4" w:space="0" w:color="auto"/>
              <w:left w:val="single" w:sz="4" w:space="0" w:color="auto"/>
              <w:bottom w:val="single" w:sz="4" w:space="0" w:color="auto"/>
              <w:right w:val="single" w:sz="4" w:space="0" w:color="auto"/>
            </w:tcBorders>
            <w:hideMark/>
          </w:tcPr>
          <w:p w14:paraId="5F92AD4B" w14:textId="77777777" w:rsidR="00E72E45" w:rsidRPr="00857867" w:rsidRDefault="00E72E45" w:rsidP="00931D29">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190F019F" w14:textId="77777777" w:rsidR="00E72E45" w:rsidRPr="00857867" w:rsidRDefault="00E72E45" w:rsidP="00931D29">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447" w:type="dxa"/>
            <w:gridSpan w:val="2"/>
            <w:tcBorders>
              <w:top w:val="single" w:sz="4" w:space="0" w:color="auto"/>
              <w:left w:val="single" w:sz="4" w:space="0" w:color="auto"/>
              <w:bottom w:val="single" w:sz="4" w:space="0" w:color="auto"/>
              <w:right w:val="single" w:sz="4" w:space="0" w:color="auto"/>
            </w:tcBorders>
            <w:hideMark/>
          </w:tcPr>
          <w:p w14:paraId="6FBDEF66" w14:textId="77777777" w:rsidR="00E72E45" w:rsidRPr="00857867" w:rsidRDefault="00E72E45" w:rsidP="00931D29">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2420" w:type="dxa"/>
            <w:gridSpan w:val="4"/>
            <w:tcBorders>
              <w:top w:val="single" w:sz="4" w:space="0" w:color="auto"/>
              <w:left w:val="single" w:sz="4" w:space="0" w:color="auto"/>
              <w:bottom w:val="single" w:sz="4" w:space="0" w:color="auto"/>
              <w:right w:val="single" w:sz="4" w:space="0" w:color="auto"/>
            </w:tcBorders>
            <w:hideMark/>
          </w:tcPr>
          <w:p w14:paraId="6496168F" w14:textId="77777777" w:rsidR="00E72E45" w:rsidRPr="00857867" w:rsidRDefault="00E72E45" w:rsidP="00931D29">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 xml:space="preserve">Etendue </w:t>
            </w:r>
          </w:p>
        </w:tc>
        <w:tc>
          <w:tcPr>
            <w:tcW w:w="1276" w:type="dxa"/>
            <w:gridSpan w:val="2"/>
            <w:tcBorders>
              <w:top w:val="single" w:sz="4" w:space="0" w:color="auto"/>
              <w:left w:val="single" w:sz="4" w:space="0" w:color="auto"/>
              <w:bottom w:val="single" w:sz="4" w:space="0" w:color="auto"/>
              <w:right w:val="single" w:sz="4" w:space="0" w:color="auto"/>
            </w:tcBorders>
            <w:hideMark/>
          </w:tcPr>
          <w:p w14:paraId="6CEC6B8D" w14:textId="77777777" w:rsidR="00E72E45" w:rsidRPr="00857867" w:rsidRDefault="00E72E45" w:rsidP="00931D29">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417" w:type="dxa"/>
            <w:gridSpan w:val="2"/>
            <w:tcBorders>
              <w:top w:val="single" w:sz="4" w:space="0" w:color="auto"/>
              <w:left w:val="single" w:sz="4" w:space="0" w:color="auto"/>
              <w:bottom w:val="single" w:sz="4" w:space="0" w:color="auto"/>
              <w:right w:val="single" w:sz="4" w:space="0" w:color="auto"/>
            </w:tcBorders>
            <w:hideMark/>
          </w:tcPr>
          <w:p w14:paraId="44E6E6E0" w14:textId="77777777" w:rsidR="00E72E45" w:rsidRPr="00857867" w:rsidRDefault="00E72E45" w:rsidP="00931D29">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567" w:type="dxa"/>
            <w:tcBorders>
              <w:top w:val="single" w:sz="4" w:space="0" w:color="auto"/>
              <w:left w:val="single" w:sz="4" w:space="0" w:color="auto"/>
              <w:bottom w:val="single" w:sz="4" w:space="0" w:color="auto"/>
              <w:right w:val="single" w:sz="4" w:space="0" w:color="auto"/>
            </w:tcBorders>
          </w:tcPr>
          <w:p w14:paraId="6933F384"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1972C74C"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14C2645F"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vMerge/>
            <w:tcBorders>
              <w:top w:val="single" w:sz="4" w:space="0" w:color="auto"/>
              <w:left w:val="single" w:sz="4" w:space="0" w:color="auto"/>
              <w:bottom w:val="single" w:sz="4" w:space="0" w:color="auto"/>
              <w:right w:val="single" w:sz="4" w:space="0" w:color="auto"/>
            </w:tcBorders>
            <w:vAlign w:val="center"/>
            <w:hideMark/>
          </w:tcPr>
          <w:p w14:paraId="00914245" w14:textId="77777777" w:rsidR="00E72E45" w:rsidRPr="00857867" w:rsidRDefault="00E72E45" w:rsidP="00931D29">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hideMark/>
          </w:tcPr>
          <w:p w14:paraId="5FA7F58E" w14:textId="77777777" w:rsidR="00E72E45" w:rsidRPr="00857867" w:rsidRDefault="00E72E45" w:rsidP="00931D29">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2420" w:type="dxa"/>
            <w:gridSpan w:val="4"/>
            <w:tcBorders>
              <w:top w:val="single" w:sz="4" w:space="0" w:color="auto"/>
              <w:left w:val="single" w:sz="4" w:space="0" w:color="auto"/>
              <w:bottom w:val="single" w:sz="4" w:space="0" w:color="auto"/>
              <w:right w:val="single" w:sz="4" w:space="0" w:color="auto"/>
            </w:tcBorders>
            <w:vAlign w:val="center"/>
            <w:hideMark/>
          </w:tcPr>
          <w:p w14:paraId="49843409" w14:textId="77777777" w:rsidR="00E72E45" w:rsidRPr="00857867" w:rsidRDefault="00E72E45" w:rsidP="00931D29">
            <w:pPr>
              <w:spacing w:after="0" w:line="240" w:lineRule="auto"/>
              <w:jc w:val="center"/>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Locale</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FCD0E57" w14:textId="77777777" w:rsidR="00E72E45" w:rsidRPr="00857867" w:rsidRDefault="00E72E45" w:rsidP="00931D29">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Courte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8AC0DFA"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sz w:val="20"/>
                <w:szCs w:val="20"/>
              </w:rPr>
              <w:t>Moyenne</w:t>
            </w:r>
          </w:p>
        </w:tc>
        <w:tc>
          <w:tcPr>
            <w:tcW w:w="567" w:type="dxa"/>
            <w:tcBorders>
              <w:top w:val="single" w:sz="4" w:space="0" w:color="auto"/>
              <w:left w:val="single" w:sz="4" w:space="0" w:color="auto"/>
              <w:bottom w:val="single" w:sz="4" w:space="0" w:color="auto"/>
              <w:right w:val="single" w:sz="4" w:space="0" w:color="auto"/>
            </w:tcBorders>
          </w:tcPr>
          <w:p w14:paraId="6BA0F8B9"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7B74E0C0"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63546C46"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38CAA614" w14:textId="77777777" w:rsidR="00E72E45" w:rsidRPr="00857867" w:rsidRDefault="00E72E45" w:rsidP="00931D29">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51520F47" w14:textId="77777777" w:rsidR="00E72E45" w:rsidRPr="00857867" w:rsidRDefault="00E72E45" w:rsidP="00931D29">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Interaction</w:t>
            </w:r>
          </w:p>
        </w:tc>
        <w:tc>
          <w:tcPr>
            <w:tcW w:w="2420" w:type="dxa"/>
            <w:gridSpan w:val="4"/>
            <w:tcBorders>
              <w:top w:val="single" w:sz="4" w:space="0" w:color="auto"/>
              <w:left w:val="single" w:sz="4" w:space="0" w:color="auto"/>
              <w:bottom w:val="single" w:sz="4" w:space="0" w:color="auto"/>
              <w:right w:val="single" w:sz="4" w:space="0" w:color="auto"/>
            </w:tcBorders>
          </w:tcPr>
          <w:p w14:paraId="5420F19B" w14:textId="77777777" w:rsidR="00E72E45" w:rsidRPr="00857867" w:rsidRDefault="00E72E45" w:rsidP="00931D29">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276" w:type="dxa"/>
            <w:gridSpan w:val="2"/>
            <w:tcBorders>
              <w:top w:val="single" w:sz="4" w:space="0" w:color="auto"/>
              <w:left w:val="single" w:sz="4" w:space="0" w:color="auto"/>
              <w:bottom w:val="single" w:sz="4" w:space="0" w:color="auto"/>
              <w:right w:val="single" w:sz="4" w:space="0" w:color="auto"/>
            </w:tcBorders>
          </w:tcPr>
          <w:p w14:paraId="0EE1A6D8" w14:textId="77777777" w:rsidR="00E72E45" w:rsidRPr="00857867" w:rsidRDefault="00E72E45" w:rsidP="00931D29">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417" w:type="dxa"/>
            <w:gridSpan w:val="2"/>
            <w:tcBorders>
              <w:top w:val="single" w:sz="4" w:space="0" w:color="auto"/>
              <w:left w:val="single" w:sz="4" w:space="0" w:color="auto"/>
              <w:bottom w:val="single" w:sz="4" w:space="0" w:color="auto"/>
              <w:right w:val="single" w:sz="4" w:space="0" w:color="auto"/>
            </w:tcBorders>
          </w:tcPr>
          <w:p w14:paraId="01CA76A7" w14:textId="77777777" w:rsidR="00E72E45" w:rsidRPr="00857867" w:rsidRDefault="00E72E45" w:rsidP="00931D29">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567" w:type="dxa"/>
            <w:tcBorders>
              <w:top w:val="single" w:sz="4" w:space="0" w:color="auto"/>
              <w:left w:val="single" w:sz="4" w:space="0" w:color="auto"/>
              <w:bottom w:val="single" w:sz="4" w:space="0" w:color="auto"/>
              <w:right w:val="single" w:sz="4" w:space="0" w:color="auto"/>
            </w:tcBorders>
          </w:tcPr>
          <w:p w14:paraId="4F369166"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07267388"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4DDF2FC4"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06386286" w14:textId="77777777" w:rsidR="00E72E45" w:rsidRPr="00857867" w:rsidRDefault="00E72E45" w:rsidP="00931D29">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3C286CDF" w14:textId="77777777" w:rsidR="00E72E45" w:rsidRPr="00857867" w:rsidRDefault="00E72E45" w:rsidP="00931D29">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75E577B5"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sz w:val="20"/>
                <w:szCs w:val="20"/>
              </w:rPr>
              <w:t>Certaine</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7F2E4CA4"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sz w:val="20"/>
                <w:szCs w:val="20"/>
              </w:rPr>
              <w:t>Réversible</w:t>
            </w: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E3F3361"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sz w:val="20"/>
                <w:szCs w:val="20"/>
              </w:rPr>
              <w:t>Non</w:t>
            </w:r>
          </w:p>
        </w:tc>
        <w:tc>
          <w:tcPr>
            <w:tcW w:w="567" w:type="dxa"/>
            <w:tcBorders>
              <w:top w:val="single" w:sz="4" w:space="0" w:color="auto"/>
              <w:left w:val="single" w:sz="4" w:space="0" w:color="auto"/>
              <w:bottom w:val="single" w:sz="4" w:space="0" w:color="auto"/>
              <w:right w:val="single" w:sz="4" w:space="0" w:color="auto"/>
            </w:tcBorders>
          </w:tcPr>
          <w:p w14:paraId="49A2D732"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29BDD90C"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692ADE21"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2C987AE5" w14:textId="77777777" w:rsidR="00E72E45" w:rsidRPr="00857867" w:rsidRDefault="00E72E45" w:rsidP="00931D29">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tcPr>
          <w:p w14:paraId="70AF7409" w14:textId="77777777" w:rsidR="00E72E45" w:rsidRPr="00857867" w:rsidRDefault="00E72E45" w:rsidP="00931D29">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16037D1A"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EE2FD6D" w14:textId="77777777" w:rsidR="00E72E45" w:rsidRPr="00857867" w:rsidRDefault="00E72E45" w:rsidP="00931D29">
            <w:pPr>
              <w:spacing w:after="0" w:line="240" w:lineRule="auto"/>
              <w:jc w:val="center"/>
              <w:rPr>
                <w:rFonts w:ascii="Times New Roman" w:hAnsi="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0521142B" w14:textId="77777777" w:rsidR="00E72E45" w:rsidRPr="00857867" w:rsidRDefault="00E72E45" w:rsidP="00931D29">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610F79BB"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50E72C9B"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tcPr>
          <w:p w14:paraId="733C5A3A"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vAlign w:val="center"/>
          </w:tcPr>
          <w:p w14:paraId="6D5E5E1A" w14:textId="77777777" w:rsidR="00E72E45" w:rsidRPr="00857867" w:rsidRDefault="00E72E45" w:rsidP="00931D29">
            <w:pPr>
              <w:spacing w:after="0" w:line="240" w:lineRule="auto"/>
              <w:rPr>
                <w:rFonts w:ascii="Times New Roman" w:eastAsia="Times New Roman" w:hAnsi="Times New Roman"/>
                <w:bCs/>
                <w:sz w:val="20"/>
                <w:szCs w:val="20"/>
              </w:rPr>
            </w:pPr>
          </w:p>
        </w:tc>
        <w:tc>
          <w:tcPr>
            <w:tcW w:w="1447" w:type="dxa"/>
            <w:gridSpan w:val="2"/>
            <w:tcBorders>
              <w:top w:val="single" w:sz="4" w:space="0" w:color="auto"/>
              <w:left w:val="single" w:sz="4" w:space="0" w:color="auto"/>
              <w:bottom w:val="single" w:sz="4" w:space="0" w:color="auto"/>
              <w:right w:val="single" w:sz="4" w:space="0" w:color="auto"/>
            </w:tcBorders>
            <w:vAlign w:val="center"/>
          </w:tcPr>
          <w:p w14:paraId="584CEF2C"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hAnsi="Times New Roman"/>
                <w:sz w:val="20"/>
                <w:szCs w:val="20"/>
              </w:rPr>
              <w:t>Périodique</w:t>
            </w:r>
          </w:p>
        </w:tc>
        <w:tc>
          <w:tcPr>
            <w:tcW w:w="2420" w:type="dxa"/>
            <w:gridSpan w:val="4"/>
            <w:tcBorders>
              <w:top w:val="single" w:sz="4" w:space="0" w:color="auto"/>
              <w:left w:val="single" w:sz="4" w:space="0" w:color="auto"/>
              <w:bottom w:val="single" w:sz="4" w:space="0" w:color="auto"/>
              <w:right w:val="single" w:sz="4" w:space="0" w:color="auto"/>
            </w:tcBorders>
            <w:vAlign w:val="center"/>
          </w:tcPr>
          <w:p w14:paraId="1A806233" w14:textId="77777777" w:rsidR="00E72E45" w:rsidRPr="00857867" w:rsidRDefault="00E72E45" w:rsidP="00931D29">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Juridique</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4A43F1A1" w14:textId="77777777" w:rsidR="00E72E45" w:rsidRPr="00857867" w:rsidRDefault="00E72E45" w:rsidP="00931D29">
            <w:pPr>
              <w:spacing w:after="0" w:line="240" w:lineRule="auto"/>
              <w:jc w:val="center"/>
              <w:rPr>
                <w:rFonts w:ascii="Times New Roman" w:hAnsi="Times New Roman"/>
                <w:sz w:val="20"/>
                <w:szCs w:val="20"/>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14:paraId="2B9982AF" w14:textId="77777777" w:rsidR="00E72E45" w:rsidRPr="00857867" w:rsidRDefault="00E72E45" w:rsidP="00931D29">
            <w:pPr>
              <w:spacing w:after="0" w:line="240" w:lineRule="auto"/>
              <w:jc w:val="center"/>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3B373B35" w14:textId="77777777" w:rsidR="00E72E45" w:rsidRPr="00857867" w:rsidRDefault="00E72E45" w:rsidP="00931D29">
            <w:pPr>
              <w:spacing w:after="0" w:line="240" w:lineRule="auto"/>
              <w:rPr>
                <w:rFonts w:ascii="Times New Roman" w:hAnsi="Times New Roman"/>
                <w:sz w:val="20"/>
                <w:szCs w:val="20"/>
              </w:rPr>
            </w:pPr>
          </w:p>
        </w:tc>
      </w:tr>
      <w:tr w:rsidR="00E72E45" w:rsidRPr="00420C1B" w14:paraId="1B62F5E0" w14:textId="77777777" w:rsidTr="00931D29">
        <w:trPr>
          <w:jc w:val="center"/>
        </w:trPr>
        <w:tc>
          <w:tcPr>
            <w:tcW w:w="1702" w:type="dxa"/>
            <w:vMerge/>
            <w:tcBorders>
              <w:top w:val="single" w:sz="4" w:space="0" w:color="auto"/>
              <w:left w:val="single" w:sz="4" w:space="0" w:color="auto"/>
              <w:bottom w:val="single" w:sz="4" w:space="0" w:color="auto"/>
              <w:right w:val="single" w:sz="4" w:space="0" w:color="auto"/>
            </w:tcBorders>
            <w:vAlign w:val="center"/>
            <w:hideMark/>
          </w:tcPr>
          <w:p w14:paraId="4FA713AB" w14:textId="77777777" w:rsidR="00E72E45" w:rsidRPr="00857867" w:rsidRDefault="00E72E45" w:rsidP="00931D29">
            <w:pPr>
              <w:spacing w:after="0" w:line="240" w:lineRule="auto"/>
              <w:rPr>
                <w:rFonts w:ascii="Times New Roman" w:hAnsi="Times New Roman"/>
                <w:b/>
                <w:sz w:val="20"/>
                <w:szCs w:val="20"/>
              </w:rPr>
            </w:pPr>
          </w:p>
        </w:tc>
        <w:tc>
          <w:tcPr>
            <w:tcW w:w="1025" w:type="dxa"/>
            <w:gridSpan w:val="2"/>
            <w:tcBorders>
              <w:top w:val="single" w:sz="4" w:space="0" w:color="auto"/>
              <w:left w:val="single" w:sz="4" w:space="0" w:color="auto"/>
              <w:bottom w:val="single" w:sz="4" w:space="0" w:color="auto"/>
              <w:right w:val="single" w:sz="4" w:space="0" w:color="auto"/>
            </w:tcBorders>
            <w:hideMark/>
          </w:tcPr>
          <w:p w14:paraId="57AA6D66" w14:textId="77777777" w:rsidR="00E72E45" w:rsidRPr="00857867" w:rsidRDefault="00E72E45" w:rsidP="00931D29">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127" w:type="dxa"/>
            <w:gridSpan w:val="11"/>
            <w:tcBorders>
              <w:top w:val="single" w:sz="4" w:space="0" w:color="auto"/>
              <w:left w:val="single" w:sz="4" w:space="0" w:color="auto"/>
              <w:bottom w:val="single" w:sz="4" w:space="0" w:color="auto"/>
              <w:right w:val="single" w:sz="4" w:space="0" w:color="auto"/>
            </w:tcBorders>
            <w:hideMark/>
          </w:tcPr>
          <w:p w14:paraId="4033B992" w14:textId="5EB3DB5C" w:rsidR="00E72E45" w:rsidRPr="00857867" w:rsidRDefault="00E72E45" w:rsidP="00931D29">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Le déversement accidentel ou fuite des huiles </w:t>
            </w:r>
            <w:r>
              <w:rPr>
                <w:rFonts w:ascii="Times New Roman" w:hAnsi="Times New Roman"/>
                <w:sz w:val="20"/>
                <w:szCs w:val="20"/>
              </w:rPr>
              <w:t xml:space="preserve">de transformateurs </w:t>
            </w:r>
            <w:r w:rsidRPr="00857867">
              <w:rPr>
                <w:rFonts w:ascii="Times New Roman" w:hAnsi="Times New Roman"/>
                <w:sz w:val="20"/>
                <w:szCs w:val="20"/>
              </w:rPr>
              <w:t>pourraient contribuer à détériorer la qualité du sol</w:t>
            </w:r>
            <w:r>
              <w:rPr>
                <w:rFonts w:ascii="Times New Roman" w:hAnsi="Times New Roman"/>
                <w:sz w:val="20"/>
                <w:szCs w:val="20"/>
              </w:rPr>
              <w:t xml:space="preserve"> de l’eau</w:t>
            </w:r>
            <w:r w:rsidR="00B26BC3">
              <w:rPr>
                <w:rFonts w:ascii="Times New Roman" w:hAnsi="Times New Roman"/>
                <w:sz w:val="20"/>
                <w:szCs w:val="20"/>
              </w:rPr>
              <w:t xml:space="preserve"> et détruire les habitats naturels de la microfaune.</w:t>
            </w:r>
            <w:r w:rsidRPr="00857867">
              <w:rPr>
                <w:rFonts w:ascii="Times New Roman" w:hAnsi="Times New Roman"/>
                <w:sz w:val="20"/>
                <w:szCs w:val="20"/>
              </w:rPr>
              <w:t xml:space="preserve"> En effet, il pourrait avoir un risque de dégradation de la qualité des sols par asphyxie des microorganismes. Cette pollution du sol peut s’étendre aux cours d’eau traversés notamment la « Funa ». Il y a également des risques de contamination des eaux par les huiles dans les cours d’eau. Cet impact est d’étendue locale, d’intensité moyenne, et d’une durée courte et donc d’importance moyenne. </w:t>
            </w:r>
          </w:p>
        </w:tc>
      </w:tr>
      <w:tr w:rsidR="00E72E45" w:rsidRPr="00420C1B" w14:paraId="74CFC337" w14:textId="77777777" w:rsidTr="00931D29">
        <w:trPr>
          <w:jc w:val="center"/>
        </w:trPr>
        <w:tc>
          <w:tcPr>
            <w:tcW w:w="2727" w:type="dxa"/>
            <w:gridSpan w:val="3"/>
            <w:tcBorders>
              <w:top w:val="single" w:sz="4" w:space="0" w:color="auto"/>
              <w:left w:val="single" w:sz="4" w:space="0" w:color="auto"/>
              <w:bottom w:val="single" w:sz="4" w:space="0" w:color="auto"/>
              <w:right w:val="single" w:sz="4" w:space="0" w:color="auto"/>
            </w:tcBorders>
            <w:hideMark/>
          </w:tcPr>
          <w:p w14:paraId="3E7F5211" w14:textId="77777777" w:rsidR="00E72E45" w:rsidRPr="00857867" w:rsidRDefault="00E72E45" w:rsidP="00931D29">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7127" w:type="dxa"/>
            <w:gridSpan w:val="11"/>
            <w:tcBorders>
              <w:top w:val="single" w:sz="4" w:space="0" w:color="auto"/>
              <w:left w:val="single" w:sz="4" w:space="0" w:color="auto"/>
              <w:bottom w:val="single" w:sz="4" w:space="0" w:color="auto"/>
              <w:right w:val="single" w:sz="4" w:space="0" w:color="auto"/>
            </w:tcBorders>
            <w:hideMark/>
          </w:tcPr>
          <w:p w14:paraId="357C18CA" w14:textId="48A4384C" w:rsidR="00E72E45" w:rsidRPr="00857867" w:rsidRDefault="00E72E45" w:rsidP="00931D29">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 xml:space="preserve">Mise en œuvre d’un Plan de de gestion des déchets </w:t>
            </w:r>
            <w:r w:rsidR="00B26BC3">
              <w:rPr>
                <w:rFonts w:ascii="Times New Roman" w:hAnsi="Times New Roman"/>
                <w:sz w:val="20"/>
                <w:szCs w:val="20"/>
              </w:rPr>
              <w:t xml:space="preserve">Dangereux </w:t>
            </w:r>
            <w:r w:rsidRPr="00857867">
              <w:rPr>
                <w:rFonts w:ascii="Times New Roman" w:hAnsi="Times New Roman"/>
                <w:sz w:val="20"/>
                <w:szCs w:val="20"/>
              </w:rPr>
              <w:t xml:space="preserve"> </w:t>
            </w:r>
          </w:p>
        </w:tc>
      </w:tr>
      <w:tr w:rsidR="00E72E45" w:rsidRPr="00420C1B" w14:paraId="2B3929AA" w14:textId="77777777" w:rsidTr="00931D29">
        <w:trPr>
          <w:jc w:val="center"/>
        </w:trPr>
        <w:tc>
          <w:tcPr>
            <w:tcW w:w="2727" w:type="dxa"/>
            <w:gridSpan w:val="3"/>
            <w:tcBorders>
              <w:top w:val="single" w:sz="4" w:space="0" w:color="auto"/>
              <w:left w:val="single" w:sz="4" w:space="0" w:color="auto"/>
              <w:bottom w:val="single" w:sz="4" w:space="0" w:color="auto"/>
              <w:right w:val="single" w:sz="4" w:space="0" w:color="auto"/>
            </w:tcBorders>
            <w:hideMark/>
          </w:tcPr>
          <w:p w14:paraId="6180F9E8" w14:textId="77777777" w:rsidR="00E72E45" w:rsidRPr="00857867" w:rsidRDefault="00E72E45" w:rsidP="00931D29">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2C002CE6" w14:textId="77777777" w:rsidR="00E72E45" w:rsidRPr="00857867" w:rsidRDefault="00E72E45" w:rsidP="00931D29">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Prévenir la contamination du sol, des eaux de surface et des eaux souterraines</w:t>
            </w:r>
          </w:p>
        </w:tc>
        <w:tc>
          <w:tcPr>
            <w:tcW w:w="7127" w:type="dxa"/>
            <w:gridSpan w:val="11"/>
            <w:tcBorders>
              <w:top w:val="single" w:sz="4" w:space="0" w:color="auto"/>
              <w:left w:val="single" w:sz="4" w:space="0" w:color="auto"/>
              <w:bottom w:val="single" w:sz="4" w:space="0" w:color="auto"/>
              <w:right w:val="single" w:sz="4" w:space="0" w:color="auto"/>
            </w:tcBorders>
            <w:hideMark/>
          </w:tcPr>
          <w:p w14:paraId="1DC73173" w14:textId="77777777" w:rsidR="00E72E45" w:rsidRPr="00857867" w:rsidRDefault="00E72E45" w:rsidP="00931D29">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7DC0BD99" w14:textId="25A89E77" w:rsidR="00E72E45" w:rsidRPr="00857867" w:rsidRDefault="00E72E45" w:rsidP="00931D29">
            <w:pPr>
              <w:numPr>
                <w:ilvl w:val="0"/>
                <w:numId w:val="31"/>
              </w:numPr>
              <w:autoSpaceDE w:val="0"/>
              <w:autoSpaceDN w:val="0"/>
              <w:adjustRightInd w:val="0"/>
              <w:spacing w:after="0" w:line="240" w:lineRule="auto"/>
              <w:ind w:left="0" w:hanging="215"/>
              <w:jc w:val="both"/>
              <w:rPr>
                <w:rFonts w:ascii="Times New Roman" w:hAnsi="Times New Roman"/>
                <w:sz w:val="20"/>
                <w:szCs w:val="20"/>
              </w:rPr>
            </w:pPr>
            <w:r w:rsidRPr="00857867">
              <w:rPr>
                <w:rFonts w:ascii="Times New Roman" w:hAnsi="Times New Roman"/>
                <w:sz w:val="20"/>
                <w:szCs w:val="20"/>
              </w:rPr>
              <w:t xml:space="preserve">- </w:t>
            </w:r>
            <w:r w:rsidR="008358BA">
              <w:rPr>
                <w:rFonts w:ascii="Times New Roman" w:hAnsi="Times New Roman"/>
                <w:sz w:val="20"/>
                <w:szCs w:val="20"/>
              </w:rPr>
              <w:t>Prévoir une fosse étanche</w:t>
            </w:r>
            <w:r w:rsidR="005D4357">
              <w:rPr>
                <w:rFonts w:ascii="Times New Roman" w:hAnsi="Times New Roman"/>
                <w:sz w:val="20"/>
                <w:szCs w:val="20"/>
              </w:rPr>
              <w:t xml:space="preserve"> ou cuve ouvertes </w:t>
            </w:r>
            <w:r w:rsidR="008358BA">
              <w:rPr>
                <w:rFonts w:ascii="Times New Roman" w:hAnsi="Times New Roman"/>
                <w:sz w:val="20"/>
                <w:szCs w:val="20"/>
              </w:rPr>
              <w:t xml:space="preserve"> pour recueillir les fuites en cas d’avarie ou de fuite ou d’usure</w:t>
            </w:r>
            <w:r w:rsidRPr="00857867">
              <w:rPr>
                <w:rFonts w:ascii="Times New Roman" w:hAnsi="Times New Roman"/>
                <w:sz w:val="20"/>
                <w:szCs w:val="20"/>
              </w:rPr>
              <w:t> </w:t>
            </w:r>
            <w:r w:rsidR="008358BA">
              <w:rPr>
                <w:rFonts w:ascii="Times New Roman" w:hAnsi="Times New Roman"/>
                <w:sz w:val="20"/>
                <w:szCs w:val="20"/>
              </w:rPr>
              <w:t>du poste de transformateur</w:t>
            </w:r>
            <w:r w:rsidRPr="00857867">
              <w:rPr>
                <w:rFonts w:ascii="Times New Roman" w:hAnsi="Times New Roman"/>
                <w:sz w:val="20"/>
                <w:szCs w:val="20"/>
              </w:rPr>
              <w:t>;</w:t>
            </w:r>
          </w:p>
          <w:p w14:paraId="663698F5" w14:textId="0B8E605D" w:rsidR="00E72E45" w:rsidRPr="00857867" w:rsidRDefault="00E72E45" w:rsidP="00931D29">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w:t>
            </w:r>
            <w:r w:rsidR="008358BA">
              <w:rPr>
                <w:rFonts w:ascii="Times New Roman" w:hAnsi="Times New Roman"/>
                <w:sz w:val="20"/>
                <w:szCs w:val="20"/>
              </w:rPr>
              <w:t xml:space="preserve">Prévoir des pompes et des </w:t>
            </w:r>
            <w:r w:rsidR="005E510B">
              <w:rPr>
                <w:rFonts w:ascii="Times New Roman" w:hAnsi="Times New Roman"/>
                <w:sz w:val="20"/>
                <w:szCs w:val="20"/>
              </w:rPr>
              <w:t>futs</w:t>
            </w:r>
            <w:r w:rsidR="008358BA">
              <w:rPr>
                <w:rFonts w:ascii="Times New Roman" w:hAnsi="Times New Roman"/>
                <w:sz w:val="20"/>
                <w:szCs w:val="20"/>
              </w:rPr>
              <w:t xml:space="preserve"> adaptés pour recueillir les huiles qui arrivent dans le</w:t>
            </w:r>
            <w:r w:rsidR="005E510B">
              <w:rPr>
                <w:rFonts w:ascii="Times New Roman" w:hAnsi="Times New Roman"/>
                <w:sz w:val="20"/>
                <w:szCs w:val="20"/>
              </w:rPr>
              <w:t>s</w:t>
            </w:r>
            <w:r w:rsidR="008358BA">
              <w:rPr>
                <w:rFonts w:ascii="Times New Roman" w:hAnsi="Times New Roman"/>
                <w:sz w:val="20"/>
                <w:szCs w:val="20"/>
              </w:rPr>
              <w:t xml:space="preserve"> fosse</w:t>
            </w:r>
            <w:r w:rsidR="002631FB">
              <w:rPr>
                <w:rFonts w:ascii="Times New Roman" w:hAnsi="Times New Roman"/>
                <w:sz w:val="20"/>
                <w:szCs w:val="20"/>
              </w:rPr>
              <w:t>s</w:t>
            </w:r>
            <w:r w:rsidR="005E510B">
              <w:rPr>
                <w:rFonts w:ascii="Times New Roman" w:hAnsi="Times New Roman"/>
                <w:sz w:val="20"/>
                <w:szCs w:val="20"/>
              </w:rPr>
              <w:t> ;</w:t>
            </w:r>
          </w:p>
          <w:p w14:paraId="7571D65A" w14:textId="338CCB58" w:rsidR="00E72E45" w:rsidRPr="00857867" w:rsidRDefault="00E72E45" w:rsidP="00AE31F1">
            <w:pPr>
              <w:numPr>
                <w:ilvl w:val="0"/>
                <w:numId w:val="31"/>
              </w:numPr>
              <w:autoSpaceDE w:val="0"/>
              <w:autoSpaceDN w:val="0"/>
              <w:adjustRightInd w:val="0"/>
              <w:spacing w:after="0" w:line="240" w:lineRule="auto"/>
              <w:ind w:left="0" w:hanging="215"/>
              <w:jc w:val="both"/>
              <w:rPr>
                <w:rFonts w:ascii="Times New Roman" w:eastAsia="Times New Roman" w:hAnsi="Times New Roman"/>
                <w:sz w:val="20"/>
                <w:szCs w:val="20"/>
                <w:lang w:eastAsia="fr-FR"/>
              </w:rPr>
            </w:pPr>
            <w:r w:rsidRPr="00857867">
              <w:rPr>
                <w:rFonts w:ascii="Times New Roman" w:hAnsi="Times New Roman"/>
                <w:sz w:val="20"/>
                <w:szCs w:val="20"/>
              </w:rPr>
              <w:t xml:space="preserve">- </w:t>
            </w:r>
            <w:r w:rsidR="005E510B">
              <w:rPr>
                <w:rFonts w:ascii="Times New Roman" w:hAnsi="Times New Roman"/>
                <w:sz w:val="20"/>
                <w:szCs w:val="20"/>
              </w:rPr>
              <w:t>Transférer les fûts dans les sites de recyclage ou de destruction</w:t>
            </w:r>
          </w:p>
        </w:tc>
      </w:tr>
      <w:tr w:rsidR="00E72E45" w:rsidRPr="00420C1B" w14:paraId="2F976D59" w14:textId="77777777" w:rsidTr="00931D29">
        <w:trPr>
          <w:jc w:val="center"/>
        </w:trPr>
        <w:tc>
          <w:tcPr>
            <w:tcW w:w="2727" w:type="dxa"/>
            <w:gridSpan w:val="3"/>
            <w:tcBorders>
              <w:top w:val="single" w:sz="4" w:space="0" w:color="auto"/>
              <w:left w:val="single" w:sz="4" w:space="0" w:color="auto"/>
              <w:bottom w:val="single" w:sz="4" w:space="0" w:color="auto"/>
              <w:right w:val="single" w:sz="4" w:space="0" w:color="auto"/>
            </w:tcBorders>
          </w:tcPr>
          <w:p w14:paraId="4B00390C" w14:textId="77777777" w:rsidR="00E72E45" w:rsidRPr="00857867" w:rsidRDefault="00E72E45" w:rsidP="00931D29">
            <w:pPr>
              <w:spacing w:after="0" w:line="240" w:lineRule="auto"/>
              <w:jc w:val="right"/>
              <w:rPr>
                <w:rFonts w:ascii="Times New Roman" w:hAnsi="Times New Roman"/>
                <w:b/>
                <w:sz w:val="20"/>
                <w:szCs w:val="20"/>
              </w:rPr>
            </w:pPr>
            <w:r w:rsidRPr="00857867">
              <w:rPr>
                <w:rFonts w:ascii="Times New Roman" w:hAnsi="Times New Roman"/>
                <w:b/>
                <w:sz w:val="20"/>
                <w:szCs w:val="20"/>
              </w:rPr>
              <w:t>Impact résiduel</w:t>
            </w:r>
          </w:p>
        </w:tc>
        <w:tc>
          <w:tcPr>
            <w:tcW w:w="7127" w:type="dxa"/>
            <w:gridSpan w:val="11"/>
            <w:tcBorders>
              <w:top w:val="single" w:sz="4" w:space="0" w:color="auto"/>
              <w:left w:val="single" w:sz="4" w:space="0" w:color="auto"/>
              <w:bottom w:val="single" w:sz="4" w:space="0" w:color="auto"/>
              <w:right w:val="single" w:sz="4" w:space="0" w:color="auto"/>
            </w:tcBorders>
          </w:tcPr>
          <w:p w14:paraId="6299567A"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E72E45" w:rsidRPr="00420C1B" w14:paraId="011D22FB" w14:textId="77777777" w:rsidTr="00931D29">
        <w:trPr>
          <w:jc w:val="center"/>
        </w:trPr>
        <w:tc>
          <w:tcPr>
            <w:tcW w:w="2727" w:type="dxa"/>
            <w:gridSpan w:val="3"/>
            <w:tcBorders>
              <w:top w:val="single" w:sz="4" w:space="0" w:color="auto"/>
              <w:left w:val="single" w:sz="4" w:space="0" w:color="auto"/>
              <w:bottom w:val="single" w:sz="4" w:space="0" w:color="auto"/>
              <w:right w:val="single" w:sz="4" w:space="0" w:color="auto"/>
            </w:tcBorders>
          </w:tcPr>
          <w:p w14:paraId="5F4ABFCE"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51AD1ED2" w14:textId="2AE12D09" w:rsidR="00E72E45" w:rsidRPr="00857867" w:rsidRDefault="005E510B" w:rsidP="00931D29">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Pr>
                <w:rFonts w:ascii="Times New Roman" w:hAnsi="Times New Roman"/>
                <w:sz w:val="20"/>
                <w:szCs w:val="20"/>
              </w:rPr>
              <w:t>SNEL</w:t>
            </w:r>
          </w:p>
          <w:p w14:paraId="79844816" w14:textId="77777777" w:rsidR="00E72E45" w:rsidRPr="00857867" w:rsidRDefault="00E72E45" w:rsidP="00931D29">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57867">
              <w:rPr>
                <w:rFonts w:ascii="Times New Roman" w:hAnsi="Times New Roman"/>
                <w:sz w:val="20"/>
                <w:szCs w:val="20"/>
              </w:rPr>
              <w:t>ACE ;</w:t>
            </w:r>
          </w:p>
          <w:p w14:paraId="62CE601D" w14:textId="16D09FD3" w:rsidR="00E72E45" w:rsidRPr="00857867" w:rsidRDefault="00E72E45" w:rsidP="00931D29">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p>
        </w:tc>
        <w:tc>
          <w:tcPr>
            <w:tcW w:w="3827" w:type="dxa"/>
            <w:gridSpan w:val="5"/>
            <w:tcBorders>
              <w:top w:val="single" w:sz="4" w:space="0" w:color="auto"/>
              <w:left w:val="single" w:sz="4" w:space="0" w:color="auto"/>
              <w:bottom w:val="single" w:sz="4" w:space="0" w:color="auto"/>
              <w:right w:val="single" w:sz="4" w:space="0" w:color="auto"/>
            </w:tcBorders>
          </w:tcPr>
          <w:p w14:paraId="224A1693"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0F50B74F" w14:textId="77777777" w:rsidR="00E72E45" w:rsidRPr="00857867" w:rsidRDefault="00E72E45" w:rsidP="00931D29">
            <w:pPr>
              <w:numPr>
                <w:ilvl w:val="0"/>
                <w:numId w:val="32"/>
              </w:numPr>
              <w:autoSpaceDE w:val="0"/>
              <w:autoSpaceDN w:val="0"/>
              <w:adjustRightInd w:val="0"/>
              <w:spacing w:after="0" w:line="240" w:lineRule="auto"/>
              <w:ind w:left="0" w:hanging="175"/>
              <w:contextualSpacing/>
              <w:jc w:val="both"/>
              <w:rPr>
                <w:rFonts w:ascii="Times New Roman" w:hAnsi="Times New Roman"/>
                <w:sz w:val="20"/>
                <w:szCs w:val="20"/>
              </w:rPr>
            </w:pPr>
            <w:r w:rsidRPr="00857867">
              <w:rPr>
                <w:rFonts w:ascii="Times New Roman" w:hAnsi="Times New Roman"/>
                <w:sz w:val="20"/>
                <w:szCs w:val="20"/>
              </w:rPr>
              <w:t>CPE ;</w:t>
            </w:r>
          </w:p>
          <w:p w14:paraId="26950421" w14:textId="77777777" w:rsidR="00E72E45" w:rsidRPr="00857867" w:rsidRDefault="00E72E45" w:rsidP="00931D29">
            <w:pPr>
              <w:numPr>
                <w:ilvl w:val="0"/>
                <w:numId w:val="32"/>
              </w:numPr>
              <w:autoSpaceDE w:val="0"/>
              <w:autoSpaceDN w:val="0"/>
              <w:adjustRightInd w:val="0"/>
              <w:spacing w:after="0" w:line="240" w:lineRule="auto"/>
              <w:ind w:left="0" w:hanging="175"/>
              <w:contextualSpacing/>
              <w:jc w:val="both"/>
              <w:rPr>
                <w:rFonts w:ascii="Times New Roman" w:hAnsi="Times New Roman"/>
                <w:sz w:val="20"/>
                <w:szCs w:val="20"/>
              </w:rPr>
            </w:pPr>
            <w:r w:rsidRPr="00857867">
              <w:rPr>
                <w:rFonts w:ascii="Times New Roman" w:hAnsi="Times New Roman"/>
                <w:sz w:val="20"/>
                <w:szCs w:val="20"/>
              </w:rPr>
              <w:t>SCES/UCM ;</w:t>
            </w:r>
          </w:p>
          <w:p w14:paraId="3DCC22D5" w14:textId="77777777" w:rsidR="00E72E45" w:rsidRPr="00857867" w:rsidRDefault="00E72E45" w:rsidP="00931D29">
            <w:pPr>
              <w:numPr>
                <w:ilvl w:val="0"/>
                <w:numId w:val="32"/>
              </w:numPr>
              <w:autoSpaceDE w:val="0"/>
              <w:autoSpaceDN w:val="0"/>
              <w:adjustRightInd w:val="0"/>
              <w:spacing w:after="0" w:line="240" w:lineRule="auto"/>
              <w:ind w:left="0" w:hanging="161"/>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300" w:type="dxa"/>
            <w:gridSpan w:val="6"/>
            <w:tcBorders>
              <w:top w:val="single" w:sz="4" w:space="0" w:color="auto"/>
              <w:left w:val="single" w:sz="4" w:space="0" w:color="auto"/>
              <w:bottom w:val="single" w:sz="4" w:space="0" w:color="auto"/>
              <w:right w:val="single" w:sz="4" w:space="0" w:color="auto"/>
            </w:tcBorders>
          </w:tcPr>
          <w:p w14:paraId="5B610BBC"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350C1AA4" w14:textId="2131DCDB" w:rsidR="00E72E45" w:rsidRPr="00857867" w:rsidRDefault="00E72E45" w:rsidP="00931D29">
            <w:pPr>
              <w:pStyle w:val="Paragraphedeliste"/>
              <w:numPr>
                <w:ilvl w:val="0"/>
                <w:numId w:val="31"/>
              </w:numPr>
              <w:ind w:left="185" w:hanging="185"/>
              <w:jc w:val="both"/>
              <w:rPr>
                <w:rFonts w:ascii="Times New Roman" w:hAnsi="Times New Roman"/>
                <w:sz w:val="20"/>
                <w:szCs w:val="20"/>
              </w:rPr>
            </w:pPr>
            <w:r w:rsidRPr="00857867">
              <w:rPr>
                <w:rFonts w:ascii="Times New Roman" w:hAnsi="Times New Roman"/>
                <w:sz w:val="20"/>
                <w:szCs w:val="20"/>
              </w:rPr>
              <w:t>100% des sites visités ne présentent pas de trace d’</w:t>
            </w:r>
            <w:r w:rsidR="00BE79BB">
              <w:rPr>
                <w:rFonts w:ascii="Times New Roman" w:hAnsi="Times New Roman"/>
                <w:sz w:val="20"/>
                <w:szCs w:val="20"/>
              </w:rPr>
              <w:t>huiles</w:t>
            </w:r>
            <w:r w:rsidRPr="00857867">
              <w:rPr>
                <w:rFonts w:ascii="Times New Roman" w:hAnsi="Times New Roman"/>
                <w:sz w:val="20"/>
                <w:szCs w:val="20"/>
              </w:rPr>
              <w:t xml:space="preserve"> ;</w:t>
            </w:r>
          </w:p>
          <w:p w14:paraId="2C66DC46" w14:textId="1400307F" w:rsidR="00E72E45" w:rsidRPr="00857867" w:rsidRDefault="00E72E45" w:rsidP="00931D29">
            <w:pPr>
              <w:pStyle w:val="Paragraphedeliste"/>
              <w:numPr>
                <w:ilvl w:val="0"/>
                <w:numId w:val="31"/>
              </w:numPr>
              <w:ind w:left="185" w:hanging="185"/>
              <w:jc w:val="both"/>
              <w:rPr>
                <w:rFonts w:ascii="Times New Roman" w:hAnsi="Times New Roman"/>
                <w:sz w:val="20"/>
                <w:szCs w:val="20"/>
              </w:rPr>
            </w:pPr>
            <w:r w:rsidRPr="00857867">
              <w:rPr>
                <w:rFonts w:ascii="Times New Roman" w:hAnsi="Times New Roman"/>
                <w:sz w:val="20"/>
                <w:szCs w:val="20"/>
              </w:rPr>
              <w:t xml:space="preserve">100% des </w:t>
            </w:r>
            <w:r w:rsidR="00BE79BB">
              <w:rPr>
                <w:rFonts w:ascii="Times New Roman" w:hAnsi="Times New Roman"/>
                <w:sz w:val="20"/>
                <w:szCs w:val="20"/>
              </w:rPr>
              <w:t xml:space="preserve">cuves ouvertes </w:t>
            </w:r>
            <w:r w:rsidRPr="00857867">
              <w:rPr>
                <w:rFonts w:ascii="Times New Roman" w:hAnsi="Times New Roman"/>
                <w:sz w:val="20"/>
                <w:szCs w:val="20"/>
              </w:rPr>
              <w:t xml:space="preserve"> de récupération </w:t>
            </w:r>
            <w:r w:rsidR="00BE79BB">
              <w:rPr>
                <w:rFonts w:ascii="Times New Roman" w:hAnsi="Times New Roman"/>
                <w:sz w:val="20"/>
                <w:szCs w:val="20"/>
              </w:rPr>
              <w:t>sont transférés dans fosses étanches</w:t>
            </w:r>
          </w:p>
        </w:tc>
      </w:tr>
      <w:tr w:rsidR="00E72E45" w:rsidRPr="00420C1B" w14:paraId="72633C29" w14:textId="77777777" w:rsidTr="00931D29">
        <w:trPr>
          <w:trHeight w:val="625"/>
          <w:jc w:val="center"/>
        </w:trPr>
        <w:tc>
          <w:tcPr>
            <w:tcW w:w="1764" w:type="dxa"/>
            <w:gridSpan w:val="2"/>
            <w:tcBorders>
              <w:top w:val="single" w:sz="4" w:space="0" w:color="auto"/>
              <w:left w:val="single" w:sz="4" w:space="0" w:color="auto"/>
              <w:bottom w:val="single" w:sz="4" w:space="0" w:color="auto"/>
              <w:right w:val="single" w:sz="4" w:space="0" w:color="auto"/>
            </w:tcBorders>
            <w:hideMark/>
          </w:tcPr>
          <w:p w14:paraId="55D3977A"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963" w:type="dxa"/>
            <w:tcBorders>
              <w:top w:val="single" w:sz="4" w:space="0" w:color="auto"/>
              <w:left w:val="single" w:sz="4" w:space="0" w:color="auto"/>
              <w:bottom w:val="single" w:sz="4" w:space="0" w:color="auto"/>
              <w:right w:val="single" w:sz="4" w:space="0" w:color="auto"/>
            </w:tcBorders>
            <w:hideMark/>
          </w:tcPr>
          <w:p w14:paraId="3167082D"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Unité</w:t>
            </w:r>
          </w:p>
        </w:tc>
        <w:tc>
          <w:tcPr>
            <w:tcW w:w="1134" w:type="dxa"/>
            <w:tcBorders>
              <w:top w:val="single" w:sz="4" w:space="0" w:color="auto"/>
              <w:left w:val="single" w:sz="4" w:space="0" w:color="auto"/>
              <w:bottom w:val="single" w:sz="4" w:space="0" w:color="auto"/>
              <w:right w:val="single" w:sz="4" w:space="0" w:color="auto"/>
            </w:tcBorders>
          </w:tcPr>
          <w:p w14:paraId="58B17805" w14:textId="77777777" w:rsidR="00E72E45" w:rsidRPr="00857867" w:rsidRDefault="00E72E45" w:rsidP="00931D29">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2B563135"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p>
        </w:tc>
        <w:tc>
          <w:tcPr>
            <w:tcW w:w="1559" w:type="dxa"/>
            <w:gridSpan w:val="2"/>
            <w:tcBorders>
              <w:top w:val="single" w:sz="4" w:space="0" w:color="auto"/>
              <w:left w:val="single" w:sz="4" w:space="0" w:color="auto"/>
              <w:bottom w:val="single" w:sz="4" w:space="0" w:color="auto"/>
              <w:right w:val="single" w:sz="4" w:space="0" w:color="auto"/>
            </w:tcBorders>
          </w:tcPr>
          <w:p w14:paraId="24AA8C7B" w14:textId="77777777" w:rsidR="00E72E45" w:rsidRPr="00857867" w:rsidRDefault="00E72E45" w:rsidP="00931D29">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Coûts unitaires en $</w:t>
            </w:r>
          </w:p>
        </w:tc>
        <w:tc>
          <w:tcPr>
            <w:tcW w:w="1134" w:type="dxa"/>
            <w:gridSpan w:val="2"/>
            <w:tcBorders>
              <w:top w:val="single" w:sz="4" w:space="0" w:color="auto"/>
              <w:left w:val="single" w:sz="4" w:space="0" w:color="auto"/>
              <w:bottom w:val="single" w:sz="4" w:space="0" w:color="auto"/>
              <w:right w:val="single" w:sz="4" w:space="0" w:color="auto"/>
            </w:tcBorders>
          </w:tcPr>
          <w:p w14:paraId="3DDC1670" w14:textId="77777777" w:rsidR="00E72E45" w:rsidRPr="00857867" w:rsidRDefault="00E72E45" w:rsidP="00931D29">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p w14:paraId="3F5592AA"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p>
        </w:tc>
        <w:tc>
          <w:tcPr>
            <w:tcW w:w="992" w:type="dxa"/>
            <w:gridSpan w:val="2"/>
            <w:tcBorders>
              <w:top w:val="single" w:sz="4" w:space="0" w:color="auto"/>
              <w:left w:val="single" w:sz="4" w:space="0" w:color="auto"/>
              <w:bottom w:val="single" w:sz="4" w:space="0" w:color="auto"/>
              <w:right w:val="single" w:sz="4" w:space="0" w:color="auto"/>
            </w:tcBorders>
          </w:tcPr>
          <w:p w14:paraId="50E864A4" w14:textId="77777777" w:rsidR="00E72E45" w:rsidRPr="00857867" w:rsidRDefault="00E72E45" w:rsidP="00931D29">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p w14:paraId="7E69BC18"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p>
        </w:tc>
        <w:tc>
          <w:tcPr>
            <w:tcW w:w="993" w:type="dxa"/>
            <w:gridSpan w:val="2"/>
            <w:tcBorders>
              <w:top w:val="single" w:sz="4" w:space="0" w:color="auto"/>
              <w:left w:val="single" w:sz="4" w:space="0" w:color="auto"/>
              <w:bottom w:val="single" w:sz="4" w:space="0" w:color="auto"/>
              <w:right w:val="single" w:sz="4" w:space="0" w:color="auto"/>
            </w:tcBorders>
            <w:hideMark/>
          </w:tcPr>
          <w:p w14:paraId="3961E0BA" w14:textId="77777777" w:rsidR="00E72E45" w:rsidRPr="00857867" w:rsidRDefault="00E72E45" w:rsidP="00931D29">
            <w:pPr>
              <w:autoSpaceDE w:val="0"/>
              <w:autoSpaceDN w:val="0"/>
              <w:adjustRightInd w:val="0"/>
              <w:spacing w:after="0" w:line="240" w:lineRule="auto"/>
              <w:ind w:right="-108"/>
              <w:rPr>
                <w:rFonts w:ascii="Times New Roman" w:hAnsi="Times New Roman"/>
                <w:b/>
                <w:sz w:val="20"/>
                <w:szCs w:val="20"/>
                <w:u w:val="single"/>
              </w:rPr>
            </w:pPr>
            <w:r w:rsidRPr="00857867">
              <w:rPr>
                <w:rFonts w:ascii="Times New Roman" w:hAnsi="Times New Roman"/>
                <w:sz w:val="20"/>
                <w:szCs w:val="20"/>
              </w:rPr>
              <w:t>Coût total</w:t>
            </w:r>
          </w:p>
        </w:tc>
        <w:tc>
          <w:tcPr>
            <w:tcW w:w="1315" w:type="dxa"/>
            <w:gridSpan w:val="2"/>
            <w:tcBorders>
              <w:top w:val="single" w:sz="4" w:space="0" w:color="auto"/>
              <w:left w:val="single" w:sz="4" w:space="0" w:color="auto"/>
              <w:bottom w:val="single" w:sz="4" w:space="0" w:color="auto"/>
              <w:right w:val="single" w:sz="4" w:space="0" w:color="auto"/>
            </w:tcBorders>
            <w:hideMark/>
          </w:tcPr>
          <w:p w14:paraId="7AF70AB8" w14:textId="77777777" w:rsidR="00E72E45" w:rsidRPr="00857867" w:rsidRDefault="00E72E45" w:rsidP="00931D29">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sz w:val="20"/>
                <w:szCs w:val="20"/>
              </w:rPr>
              <w:t>Calendrier de mise en œuvre</w:t>
            </w:r>
          </w:p>
        </w:tc>
      </w:tr>
      <w:tr w:rsidR="00BE79BB" w:rsidRPr="00420C1B" w14:paraId="7D8D8C95" w14:textId="77777777" w:rsidTr="00931D29">
        <w:trPr>
          <w:trHeight w:val="117"/>
          <w:jc w:val="center"/>
        </w:trPr>
        <w:tc>
          <w:tcPr>
            <w:tcW w:w="1764" w:type="dxa"/>
            <w:gridSpan w:val="2"/>
            <w:tcBorders>
              <w:top w:val="single" w:sz="4" w:space="0" w:color="auto"/>
              <w:left w:val="single" w:sz="4" w:space="0" w:color="auto"/>
              <w:bottom w:val="single" w:sz="4" w:space="0" w:color="auto"/>
              <w:right w:val="single" w:sz="4" w:space="0" w:color="auto"/>
            </w:tcBorders>
          </w:tcPr>
          <w:p w14:paraId="6407F2E5" w14:textId="776C4B60"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Réalisation des Fosses étanches</w:t>
            </w:r>
          </w:p>
        </w:tc>
        <w:tc>
          <w:tcPr>
            <w:tcW w:w="963" w:type="dxa"/>
            <w:tcBorders>
              <w:top w:val="single" w:sz="4" w:space="0" w:color="auto"/>
              <w:left w:val="single" w:sz="4" w:space="0" w:color="auto"/>
              <w:bottom w:val="single" w:sz="4" w:space="0" w:color="auto"/>
              <w:right w:val="single" w:sz="4" w:space="0" w:color="auto"/>
            </w:tcBorders>
          </w:tcPr>
          <w:p w14:paraId="1FFE1ABA" w14:textId="2B25FAB4"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Nombre</w:t>
            </w:r>
          </w:p>
        </w:tc>
        <w:tc>
          <w:tcPr>
            <w:tcW w:w="1134" w:type="dxa"/>
            <w:tcBorders>
              <w:top w:val="single" w:sz="4" w:space="0" w:color="auto"/>
              <w:left w:val="single" w:sz="4" w:space="0" w:color="auto"/>
              <w:bottom w:val="single" w:sz="4" w:space="0" w:color="auto"/>
              <w:right w:val="single" w:sz="4" w:space="0" w:color="auto"/>
            </w:tcBorders>
          </w:tcPr>
          <w:p w14:paraId="72541BBF" w14:textId="1869E8E7"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2</w:t>
            </w:r>
          </w:p>
        </w:tc>
        <w:tc>
          <w:tcPr>
            <w:tcW w:w="1559" w:type="dxa"/>
            <w:gridSpan w:val="2"/>
            <w:tcBorders>
              <w:top w:val="single" w:sz="4" w:space="0" w:color="auto"/>
              <w:left w:val="single" w:sz="4" w:space="0" w:color="auto"/>
              <w:bottom w:val="single" w:sz="4" w:space="0" w:color="auto"/>
              <w:right w:val="single" w:sz="4" w:space="0" w:color="auto"/>
            </w:tcBorders>
          </w:tcPr>
          <w:p w14:paraId="1FB967D9" w14:textId="12DA49D4"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5000</w:t>
            </w:r>
          </w:p>
        </w:tc>
        <w:tc>
          <w:tcPr>
            <w:tcW w:w="1134" w:type="dxa"/>
            <w:gridSpan w:val="2"/>
            <w:tcBorders>
              <w:top w:val="single" w:sz="4" w:space="0" w:color="auto"/>
              <w:left w:val="single" w:sz="4" w:space="0" w:color="auto"/>
              <w:bottom w:val="single" w:sz="4" w:space="0" w:color="auto"/>
              <w:right w:val="single" w:sz="4" w:space="0" w:color="auto"/>
            </w:tcBorders>
          </w:tcPr>
          <w:p w14:paraId="26D1B43E" w14:textId="012C2ACD" w:rsidR="00BE79BB" w:rsidRPr="00420C1B" w:rsidRDefault="00BE79BB" w:rsidP="00931D29">
            <w:pPr>
              <w:autoSpaceDE w:val="0"/>
              <w:autoSpaceDN w:val="0"/>
              <w:adjustRightInd w:val="0"/>
              <w:spacing w:after="0" w:line="240" w:lineRule="auto"/>
              <w:rPr>
                <w:rFonts w:ascii="Times New Roman" w:hAnsi="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14:paraId="55FC8224" w14:textId="39DC0D6E"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10000</w:t>
            </w:r>
          </w:p>
        </w:tc>
        <w:tc>
          <w:tcPr>
            <w:tcW w:w="993" w:type="dxa"/>
            <w:gridSpan w:val="2"/>
            <w:tcBorders>
              <w:top w:val="single" w:sz="4" w:space="0" w:color="auto"/>
              <w:left w:val="single" w:sz="4" w:space="0" w:color="auto"/>
              <w:bottom w:val="single" w:sz="4" w:space="0" w:color="auto"/>
              <w:right w:val="single" w:sz="4" w:space="0" w:color="auto"/>
            </w:tcBorders>
          </w:tcPr>
          <w:p w14:paraId="53199431" w14:textId="421DDACA"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10000</w:t>
            </w:r>
          </w:p>
        </w:tc>
        <w:tc>
          <w:tcPr>
            <w:tcW w:w="1315" w:type="dxa"/>
            <w:gridSpan w:val="2"/>
            <w:vMerge w:val="restart"/>
            <w:tcBorders>
              <w:top w:val="single" w:sz="4" w:space="0" w:color="auto"/>
              <w:left w:val="single" w:sz="4" w:space="0" w:color="auto"/>
              <w:right w:val="single" w:sz="4" w:space="0" w:color="auto"/>
            </w:tcBorders>
          </w:tcPr>
          <w:p w14:paraId="1756F1F9" w14:textId="615DFF65"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Pendant la mise en œuvre</w:t>
            </w:r>
          </w:p>
        </w:tc>
      </w:tr>
      <w:tr w:rsidR="00BE79BB" w:rsidRPr="00420C1B" w14:paraId="0F04ADCE" w14:textId="77777777" w:rsidTr="00931D29">
        <w:trPr>
          <w:trHeight w:val="58"/>
          <w:jc w:val="center"/>
        </w:trPr>
        <w:tc>
          <w:tcPr>
            <w:tcW w:w="1764" w:type="dxa"/>
            <w:gridSpan w:val="2"/>
            <w:tcBorders>
              <w:top w:val="single" w:sz="4" w:space="0" w:color="auto"/>
              <w:left w:val="single" w:sz="4" w:space="0" w:color="auto"/>
              <w:bottom w:val="single" w:sz="4" w:space="0" w:color="auto"/>
              <w:right w:val="single" w:sz="4" w:space="0" w:color="auto"/>
            </w:tcBorders>
          </w:tcPr>
          <w:p w14:paraId="3A5739FF" w14:textId="3AF24CBB"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Réalisation cuves ouvertes (1,5m</w:t>
            </w:r>
            <w:r w:rsidRPr="00215867">
              <w:rPr>
                <w:rFonts w:ascii="Times New Roman" w:hAnsi="Times New Roman"/>
                <w:sz w:val="20"/>
                <w:szCs w:val="20"/>
                <w:vertAlign w:val="superscript"/>
              </w:rPr>
              <w:t>2</w:t>
            </w:r>
            <w:r w:rsidRPr="00420C1B">
              <w:rPr>
                <w:rFonts w:ascii="Times New Roman" w:hAnsi="Times New Roman"/>
                <w:sz w:val="20"/>
                <w:szCs w:val="20"/>
              </w:rPr>
              <w:t>x0,5m)</w:t>
            </w:r>
          </w:p>
        </w:tc>
        <w:tc>
          <w:tcPr>
            <w:tcW w:w="963" w:type="dxa"/>
            <w:tcBorders>
              <w:top w:val="single" w:sz="4" w:space="0" w:color="auto"/>
              <w:left w:val="single" w:sz="4" w:space="0" w:color="auto"/>
              <w:bottom w:val="single" w:sz="4" w:space="0" w:color="auto"/>
              <w:right w:val="single" w:sz="4" w:space="0" w:color="auto"/>
            </w:tcBorders>
          </w:tcPr>
          <w:p w14:paraId="3F58CDDE" w14:textId="77777777"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Nombre</w:t>
            </w:r>
          </w:p>
        </w:tc>
        <w:tc>
          <w:tcPr>
            <w:tcW w:w="1134" w:type="dxa"/>
            <w:tcBorders>
              <w:top w:val="single" w:sz="4" w:space="0" w:color="auto"/>
              <w:left w:val="single" w:sz="4" w:space="0" w:color="auto"/>
              <w:bottom w:val="single" w:sz="4" w:space="0" w:color="auto"/>
              <w:right w:val="single" w:sz="4" w:space="0" w:color="auto"/>
            </w:tcBorders>
          </w:tcPr>
          <w:p w14:paraId="4CDE9C82" w14:textId="0370BE7E"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100</w:t>
            </w:r>
          </w:p>
        </w:tc>
        <w:tc>
          <w:tcPr>
            <w:tcW w:w="1559" w:type="dxa"/>
            <w:gridSpan w:val="2"/>
            <w:tcBorders>
              <w:top w:val="single" w:sz="4" w:space="0" w:color="auto"/>
              <w:left w:val="single" w:sz="4" w:space="0" w:color="auto"/>
              <w:bottom w:val="single" w:sz="4" w:space="0" w:color="auto"/>
              <w:right w:val="single" w:sz="4" w:space="0" w:color="auto"/>
            </w:tcBorders>
          </w:tcPr>
          <w:p w14:paraId="1326FF6C" w14:textId="01E4723C"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300</w:t>
            </w:r>
          </w:p>
        </w:tc>
        <w:tc>
          <w:tcPr>
            <w:tcW w:w="1134" w:type="dxa"/>
            <w:gridSpan w:val="2"/>
            <w:tcBorders>
              <w:top w:val="single" w:sz="4" w:space="0" w:color="auto"/>
              <w:left w:val="single" w:sz="4" w:space="0" w:color="auto"/>
              <w:bottom w:val="single" w:sz="4" w:space="0" w:color="auto"/>
              <w:right w:val="single" w:sz="4" w:space="0" w:color="auto"/>
            </w:tcBorders>
          </w:tcPr>
          <w:p w14:paraId="5A217DB1" w14:textId="3E46326F" w:rsidR="00BE79BB" w:rsidRPr="00420C1B" w:rsidRDefault="00BE79BB" w:rsidP="00931D29">
            <w:pPr>
              <w:autoSpaceDE w:val="0"/>
              <w:autoSpaceDN w:val="0"/>
              <w:adjustRightInd w:val="0"/>
              <w:spacing w:after="0" w:line="240" w:lineRule="auto"/>
              <w:rPr>
                <w:rFonts w:ascii="Times New Roman" w:hAnsi="Times New Roman"/>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14:paraId="51DFD6A0" w14:textId="77777777" w:rsidR="00BE79BB" w:rsidRPr="00420C1B" w:rsidRDefault="00BE79BB" w:rsidP="00931D29">
            <w:pPr>
              <w:autoSpaceDE w:val="0"/>
              <w:autoSpaceDN w:val="0"/>
              <w:adjustRightInd w:val="0"/>
              <w:spacing w:after="0" w:line="240" w:lineRule="auto"/>
              <w:rPr>
                <w:rFonts w:ascii="Times New Roman" w:hAnsi="Times New Roman"/>
                <w:sz w:val="20"/>
                <w:szCs w:val="20"/>
              </w:rPr>
            </w:pPr>
          </w:p>
        </w:tc>
        <w:tc>
          <w:tcPr>
            <w:tcW w:w="993" w:type="dxa"/>
            <w:gridSpan w:val="2"/>
            <w:tcBorders>
              <w:top w:val="single" w:sz="4" w:space="0" w:color="auto"/>
              <w:left w:val="single" w:sz="4" w:space="0" w:color="auto"/>
              <w:bottom w:val="single" w:sz="4" w:space="0" w:color="auto"/>
              <w:right w:val="single" w:sz="4" w:space="0" w:color="auto"/>
            </w:tcBorders>
          </w:tcPr>
          <w:p w14:paraId="1339A479" w14:textId="6FAD52D4" w:rsidR="00BE79BB" w:rsidRPr="00420C1B" w:rsidRDefault="00BE79BB" w:rsidP="00931D29">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30000</w:t>
            </w:r>
          </w:p>
        </w:tc>
        <w:tc>
          <w:tcPr>
            <w:tcW w:w="1315" w:type="dxa"/>
            <w:gridSpan w:val="2"/>
            <w:vMerge/>
            <w:tcBorders>
              <w:left w:val="single" w:sz="4" w:space="0" w:color="auto"/>
              <w:right w:val="single" w:sz="4" w:space="0" w:color="auto"/>
            </w:tcBorders>
          </w:tcPr>
          <w:p w14:paraId="25678276" w14:textId="77777777" w:rsidR="00BE79BB" w:rsidRPr="00420C1B" w:rsidRDefault="00BE79BB" w:rsidP="00931D29">
            <w:pPr>
              <w:autoSpaceDE w:val="0"/>
              <w:autoSpaceDN w:val="0"/>
              <w:adjustRightInd w:val="0"/>
              <w:spacing w:after="0" w:line="240" w:lineRule="auto"/>
              <w:rPr>
                <w:rFonts w:ascii="Times New Roman" w:hAnsi="Times New Roman"/>
                <w:b/>
                <w:sz w:val="20"/>
                <w:szCs w:val="20"/>
                <w:u w:val="single"/>
              </w:rPr>
            </w:pPr>
          </w:p>
        </w:tc>
      </w:tr>
      <w:tr w:rsidR="00E72E45" w:rsidRPr="00420C1B" w14:paraId="7508066A" w14:textId="77777777" w:rsidTr="00931D29">
        <w:trPr>
          <w:trHeight w:val="58"/>
          <w:jc w:val="center"/>
        </w:trPr>
        <w:tc>
          <w:tcPr>
            <w:tcW w:w="1764" w:type="dxa"/>
            <w:gridSpan w:val="2"/>
            <w:tcBorders>
              <w:top w:val="single" w:sz="4" w:space="0" w:color="auto"/>
              <w:left w:val="single" w:sz="4" w:space="0" w:color="auto"/>
              <w:bottom w:val="single" w:sz="4" w:space="0" w:color="auto"/>
              <w:right w:val="single" w:sz="4" w:space="0" w:color="auto"/>
            </w:tcBorders>
          </w:tcPr>
          <w:p w14:paraId="418C6F82"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Total</w:t>
            </w:r>
          </w:p>
        </w:tc>
        <w:tc>
          <w:tcPr>
            <w:tcW w:w="963" w:type="dxa"/>
            <w:tcBorders>
              <w:top w:val="single" w:sz="4" w:space="0" w:color="auto"/>
              <w:left w:val="single" w:sz="4" w:space="0" w:color="auto"/>
              <w:bottom w:val="single" w:sz="4" w:space="0" w:color="auto"/>
              <w:right w:val="single" w:sz="4" w:space="0" w:color="auto"/>
            </w:tcBorders>
          </w:tcPr>
          <w:p w14:paraId="439EA67E"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8660890"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3D635F85"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285437AD" w14:textId="31AF5CB3" w:rsidR="00E72E45" w:rsidRPr="00420C1B" w:rsidRDefault="00E72E45" w:rsidP="00931D29">
            <w:pPr>
              <w:autoSpaceDE w:val="0"/>
              <w:autoSpaceDN w:val="0"/>
              <w:adjustRightInd w:val="0"/>
              <w:spacing w:after="0" w:line="240" w:lineRule="auto"/>
              <w:rPr>
                <w:rFonts w:ascii="Times New Roman" w:hAnsi="Times New Roman"/>
                <w:b/>
                <w:sz w:val="20"/>
                <w:szCs w:val="20"/>
              </w:rPr>
            </w:pPr>
          </w:p>
        </w:tc>
        <w:tc>
          <w:tcPr>
            <w:tcW w:w="992" w:type="dxa"/>
            <w:gridSpan w:val="2"/>
            <w:tcBorders>
              <w:top w:val="single" w:sz="4" w:space="0" w:color="auto"/>
              <w:left w:val="single" w:sz="4" w:space="0" w:color="auto"/>
              <w:bottom w:val="single" w:sz="4" w:space="0" w:color="auto"/>
              <w:right w:val="single" w:sz="4" w:space="0" w:color="auto"/>
            </w:tcBorders>
          </w:tcPr>
          <w:p w14:paraId="41E8B0D4"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p>
        </w:tc>
        <w:tc>
          <w:tcPr>
            <w:tcW w:w="993" w:type="dxa"/>
            <w:gridSpan w:val="2"/>
            <w:tcBorders>
              <w:top w:val="single" w:sz="4" w:space="0" w:color="auto"/>
              <w:left w:val="single" w:sz="4" w:space="0" w:color="auto"/>
              <w:bottom w:val="single" w:sz="4" w:space="0" w:color="auto"/>
              <w:right w:val="single" w:sz="4" w:space="0" w:color="auto"/>
            </w:tcBorders>
          </w:tcPr>
          <w:p w14:paraId="16D48BB6" w14:textId="044C8D29" w:rsidR="00E72E45" w:rsidRPr="00420C1B" w:rsidRDefault="00BE79BB" w:rsidP="00931D29">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40000</w:t>
            </w:r>
          </w:p>
        </w:tc>
        <w:tc>
          <w:tcPr>
            <w:tcW w:w="1315" w:type="dxa"/>
            <w:gridSpan w:val="2"/>
            <w:tcBorders>
              <w:left w:val="single" w:sz="4" w:space="0" w:color="auto"/>
              <w:bottom w:val="single" w:sz="4" w:space="0" w:color="auto"/>
              <w:right w:val="single" w:sz="4" w:space="0" w:color="auto"/>
            </w:tcBorders>
          </w:tcPr>
          <w:p w14:paraId="73007EA9" w14:textId="77777777" w:rsidR="00E72E45" w:rsidRPr="00420C1B" w:rsidRDefault="00E72E45" w:rsidP="00931D29">
            <w:pPr>
              <w:autoSpaceDE w:val="0"/>
              <w:autoSpaceDN w:val="0"/>
              <w:adjustRightInd w:val="0"/>
              <w:spacing w:after="0" w:line="240" w:lineRule="auto"/>
              <w:rPr>
                <w:rFonts w:ascii="Times New Roman" w:hAnsi="Times New Roman"/>
                <w:b/>
                <w:sz w:val="20"/>
                <w:szCs w:val="20"/>
              </w:rPr>
            </w:pPr>
          </w:p>
        </w:tc>
      </w:tr>
    </w:tbl>
    <w:p w14:paraId="4FEAF570" w14:textId="77777777" w:rsidR="00E72E45" w:rsidRPr="00857867" w:rsidRDefault="00E72E45" w:rsidP="00E72E45">
      <w:pPr>
        <w:spacing w:after="0" w:line="240" w:lineRule="auto"/>
        <w:rPr>
          <w:rFonts w:ascii="Times New Roman" w:hAnsi="Times New Roman"/>
        </w:rPr>
      </w:pPr>
    </w:p>
    <w:p w14:paraId="2EBBA0E1" w14:textId="42193F8D" w:rsidR="00E72E45" w:rsidRDefault="00E72E45" w:rsidP="00ED17F3">
      <w:pPr>
        <w:rPr>
          <w:rFonts w:ascii="Times New Roman" w:hAnsi="Times New Roman"/>
        </w:rPr>
      </w:pPr>
    </w:p>
    <w:p w14:paraId="7DC06D6E" w14:textId="77777777" w:rsidR="00CF2DDA" w:rsidRDefault="00CF2DDA" w:rsidP="00ED17F3">
      <w:pPr>
        <w:rPr>
          <w:rFonts w:ascii="Times New Roman" w:hAnsi="Times New Roman"/>
        </w:rPr>
      </w:pPr>
    </w:p>
    <w:p w14:paraId="74949FDE" w14:textId="77777777" w:rsidR="00CF2DDA" w:rsidRDefault="00CF2DDA" w:rsidP="00ED17F3">
      <w:pPr>
        <w:rPr>
          <w:rFonts w:ascii="Times New Roman" w:hAnsi="Times New Roman"/>
        </w:rPr>
      </w:pPr>
    </w:p>
    <w:p w14:paraId="04C5F87F" w14:textId="77777777" w:rsidR="00CF2DDA" w:rsidRDefault="00CF2DDA" w:rsidP="00ED17F3">
      <w:pPr>
        <w:rPr>
          <w:rFonts w:ascii="Times New Roman" w:hAnsi="Times New Roman"/>
        </w:rPr>
      </w:pPr>
    </w:p>
    <w:p w14:paraId="0802C96E" w14:textId="0F849958" w:rsidR="00E7457B" w:rsidRDefault="00E7457B" w:rsidP="00ED17F3">
      <w:pPr>
        <w:rPr>
          <w:rFonts w:ascii="Times New Roman" w:hAnsi="Times New Roman"/>
        </w:rPr>
      </w:pPr>
    </w:p>
    <w:p w14:paraId="11308CF8" w14:textId="32E4CC9E" w:rsidR="00E7457B" w:rsidRPr="00E737B4" w:rsidRDefault="00E7457B" w:rsidP="00E7457B">
      <w:pPr>
        <w:keepNext/>
        <w:spacing w:after="120" w:line="240" w:lineRule="auto"/>
        <w:jc w:val="center"/>
        <w:rPr>
          <w:rFonts w:ascii="Times New Roman" w:hAnsi="Times New Roman"/>
          <w:iCs/>
          <w:sz w:val="24"/>
          <w:szCs w:val="24"/>
        </w:rPr>
      </w:pPr>
      <w:bookmarkStart w:id="621" w:name="_Toc93050299"/>
      <w:r w:rsidRPr="00E737B4">
        <w:rPr>
          <w:rFonts w:ascii="Times New Roman" w:hAnsi="Times New Roman"/>
          <w:iCs/>
          <w:sz w:val="24"/>
          <w:szCs w:val="24"/>
        </w:rPr>
        <w:t xml:space="preserve">Tableau </w:t>
      </w:r>
      <w:r w:rsidRPr="00E737B4">
        <w:rPr>
          <w:rFonts w:ascii="Times New Roman" w:hAnsi="Times New Roman"/>
          <w:iCs/>
          <w:sz w:val="24"/>
          <w:szCs w:val="24"/>
        </w:rPr>
        <w:fldChar w:fldCharType="begin"/>
      </w:r>
      <w:r w:rsidRPr="00E737B4">
        <w:rPr>
          <w:rFonts w:ascii="Times New Roman" w:hAnsi="Times New Roman"/>
          <w:iCs/>
          <w:sz w:val="24"/>
          <w:szCs w:val="24"/>
        </w:rPr>
        <w:instrText xml:space="preserve"> SEQ Tableau \* ARABIC </w:instrText>
      </w:r>
      <w:r w:rsidRPr="00E737B4">
        <w:rPr>
          <w:rFonts w:ascii="Times New Roman" w:hAnsi="Times New Roman"/>
          <w:iCs/>
          <w:sz w:val="24"/>
          <w:szCs w:val="24"/>
        </w:rPr>
        <w:fldChar w:fldCharType="separate"/>
      </w:r>
      <w:r w:rsidR="00BD6279">
        <w:rPr>
          <w:rFonts w:ascii="Times New Roman" w:hAnsi="Times New Roman"/>
          <w:iCs/>
          <w:noProof/>
          <w:sz w:val="24"/>
          <w:szCs w:val="24"/>
        </w:rPr>
        <w:t>37</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w:t>
      </w:r>
      <w:r w:rsidRPr="00E737B4">
        <w:rPr>
          <w:rFonts w:ascii="Times New Roman" w:hAnsi="Times New Roman"/>
          <w:b/>
          <w:iCs/>
          <w:sz w:val="24"/>
          <w:szCs w:val="24"/>
        </w:rPr>
        <w:t xml:space="preserve">Code </w:t>
      </w:r>
      <w:r>
        <w:rPr>
          <w:rFonts w:ascii="Times New Roman" w:hAnsi="Times New Roman"/>
          <w:b/>
          <w:iCs/>
          <w:sz w:val="24"/>
          <w:szCs w:val="24"/>
        </w:rPr>
        <w:t>1</w:t>
      </w:r>
      <w:r w:rsidR="00BD6279">
        <w:rPr>
          <w:rFonts w:ascii="Times New Roman" w:hAnsi="Times New Roman"/>
          <w:b/>
          <w:iCs/>
          <w:sz w:val="24"/>
          <w:szCs w:val="24"/>
        </w:rPr>
        <w:t>5</w:t>
      </w:r>
      <w:bookmarkEnd w:id="621"/>
    </w:p>
    <w:tbl>
      <w:tblPr>
        <w:tblW w:w="5145" w:type="pct"/>
        <w:jc w:val="center"/>
        <w:tblLayout w:type="fixed"/>
        <w:tblLook w:val="04A0" w:firstRow="1" w:lastRow="0" w:firstColumn="1" w:lastColumn="0" w:noHBand="0" w:noVBand="1"/>
      </w:tblPr>
      <w:tblGrid>
        <w:gridCol w:w="1812"/>
        <w:gridCol w:w="707"/>
        <w:gridCol w:w="426"/>
        <w:gridCol w:w="566"/>
        <w:gridCol w:w="744"/>
        <w:gridCol w:w="480"/>
        <w:gridCol w:w="195"/>
        <w:gridCol w:w="435"/>
        <w:gridCol w:w="699"/>
        <w:gridCol w:w="609"/>
        <w:gridCol w:w="242"/>
        <w:gridCol w:w="1275"/>
        <w:gridCol w:w="1655"/>
        <w:gridCol w:w="406"/>
      </w:tblGrid>
      <w:tr w:rsidR="00E7457B" w:rsidRPr="00420C1B" w14:paraId="493FF0DB" w14:textId="77777777" w:rsidTr="00215867">
        <w:trPr>
          <w:trHeight w:val="250"/>
          <w:tblHeader/>
          <w:jc w:val="center"/>
        </w:trPr>
        <w:tc>
          <w:tcPr>
            <w:tcW w:w="88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E9CADCF" w14:textId="77777777" w:rsidR="00E7457B" w:rsidRPr="00D75D2E" w:rsidRDefault="00E7457B" w:rsidP="005E5E69">
            <w:pPr>
              <w:spacing w:after="0" w:line="240" w:lineRule="auto"/>
              <w:jc w:val="center"/>
              <w:rPr>
                <w:rFonts w:ascii="Times New Roman" w:hAnsi="Times New Roman"/>
                <w:b/>
                <w:sz w:val="20"/>
                <w:szCs w:val="20"/>
              </w:rPr>
            </w:pPr>
            <w:r w:rsidRPr="00D75D2E">
              <w:rPr>
                <w:rFonts w:ascii="Times New Roman" w:hAnsi="Times New Roman"/>
                <w:b/>
                <w:sz w:val="20"/>
                <w:szCs w:val="20"/>
              </w:rPr>
              <w:t>COMPOSANTE</w:t>
            </w:r>
          </w:p>
        </w:tc>
        <w:tc>
          <w:tcPr>
            <w:tcW w:w="1426"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2BC49C04" w14:textId="77777777" w:rsidR="00E7457B" w:rsidRPr="00D75D2E" w:rsidRDefault="00E7457B" w:rsidP="005E5E69">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945"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30A219AC" w14:textId="77777777" w:rsidR="00E7457B" w:rsidRPr="00D75D2E" w:rsidRDefault="00E7457B" w:rsidP="005E5E69">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740"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55BFBB9E"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1005"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78D77F6"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E7457B" w:rsidRPr="00420C1B" w14:paraId="09CD3A54" w14:textId="77777777" w:rsidTr="00215867">
        <w:trPr>
          <w:trHeight w:val="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3507EF41" w14:textId="77777777" w:rsidR="00E7457B" w:rsidRPr="00D75D2E" w:rsidRDefault="00E7457B" w:rsidP="005E5E69">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3111" w:type="pct"/>
            <w:gridSpan w:val="11"/>
            <w:tcBorders>
              <w:top w:val="single" w:sz="4" w:space="0" w:color="auto"/>
              <w:left w:val="single" w:sz="4" w:space="0" w:color="auto"/>
              <w:bottom w:val="single" w:sz="4" w:space="0" w:color="auto"/>
              <w:right w:val="single" w:sz="4" w:space="0" w:color="auto"/>
            </w:tcBorders>
            <w:hideMark/>
          </w:tcPr>
          <w:p w14:paraId="0C726775"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hAnsi="Times New Roman"/>
                <w:b/>
                <w:sz w:val="20"/>
                <w:szCs w:val="20"/>
              </w:rPr>
              <w:t xml:space="preserve">Source d’impact : </w:t>
            </w:r>
            <w:r w:rsidRPr="00D75D2E">
              <w:rPr>
                <w:rFonts w:ascii="Times New Roman" w:hAnsi="Times New Roman"/>
                <w:sz w:val="20"/>
                <w:szCs w:val="20"/>
              </w:rPr>
              <w:t>Libération des emprises du projet</w:t>
            </w:r>
          </w:p>
        </w:tc>
        <w:tc>
          <w:tcPr>
            <w:tcW w:w="1005" w:type="pct"/>
            <w:gridSpan w:val="2"/>
            <w:tcBorders>
              <w:top w:val="single" w:sz="4" w:space="0" w:color="auto"/>
              <w:left w:val="single" w:sz="4" w:space="0" w:color="auto"/>
              <w:bottom w:val="single" w:sz="4" w:space="0" w:color="auto"/>
              <w:right w:val="single" w:sz="4" w:space="0" w:color="auto"/>
            </w:tcBorders>
          </w:tcPr>
          <w:p w14:paraId="1BF7BAFD" w14:textId="77777777" w:rsidR="00E7457B" w:rsidRPr="00D75D2E" w:rsidRDefault="00E7457B" w:rsidP="005E5E69">
            <w:pPr>
              <w:spacing w:after="0" w:line="240" w:lineRule="auto"/>
              <w:rPr>
                <w:rFonts w:ascii="Times New Roman" w:hAnsi="Times New Roman"/>
                <w:sz w:val="20"/>
                <w:szCs w:val="20"/>
              </w:rPr>
            </w:pPr>
          </w:p>
        </w:tc>
      </w:tr>
      <w:tr w:rsidR="00E7457B" w:rsidRPr="00420C1B" w14:paraId="68533E23" w14:textId="77777777" w:rsidTr="005E5E69">
        <w:trPr>
          <w:trHeight w:val="22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14367C2" w14:textId="77777777" w:rsidR="00E7457B" w:rsidRPr="00D75D2E" w:rsidRDefault="00E7457B" w:rsidP="005E5E69">
            <w:pPr>
              <w:spacing w:after="0" w:line="240" w:lineRule="auto"/>
              <w:rPr>
                <w:rFonts w:ascii="Times New Roman" w:hAnsi="Times New Roman"/>
                <w:b/>
                <w:sz w:val="20"/>
                <w:szCs w:val="20"/>
              </w:rPr>
            </w:pPr>
          </w:p>
        </w:tc>
        <w:tc>
          <w:tcPr>
            <w:tcW w:w="4116" w:type="pct"/>
            <w:gridSpan w:val="13"/>
            <w:tcBorders>
              <w:top w:val="single" w:sz="4" w:space="0" w:color="auto"/>
              <w:left w:val="single" w:sz="4" w:space="0" w:color="auto"/>
              <w:bottom w:val="single" w:sz="4" w:space="0" w:color="auto"/>
              <w:right w:val="single" w:sz="4" w:space="0" w:color="auto"/>
            </w:tcBorders>
            <w:hideMark/>
          </w:tcPr>
          <w:p w14:paraId="41C623BD" w14:textId="48EAA39E" w:rsidR="002F1BC6" w:rsidRDefault="00F70133" w:rsidP="007679A0">
            <w:pPr>
              <w:spacing w:after="0" w:line="240" w:lineRule="auto"/>
              <w:rPr>
                <w:rFonts w:ascii="Times New Roman" w:hAnsi="Times New Roman"/>
                <w:sz w:val="20"/>
                <w:szCs w:val="20"/>
              </w:rPr>
            </w:pPr>
            <w:r>
              <w:rPr>
                <w:rFonts w:ascii="Times New Roman" w:hAnsi="Times New Roman"/>
                <w:b/>
                <w:sz w:val="20"/>
                <w:szCs w:val="20"/>
              </w:rPr>
              <w:t xml:space="preserve"> </w:t>
            </w:r>
            <w:r w:rsidR="00E7457B" w:rsidRPr="00D75D2E">
              <w:rPr>
                <w:rFonts w:ascii="Times New Roman" w:hAnsi="Times New Roman"/>
                <w:b/>
                <w:sz w:val="20"/>
                <w:szCs w:val="20"/>
              </w:rPr>
              <w:t>Intitulé de l’impact</w:t>
            </w:r>
            <w:r w:rsidR="00E7457B" w:rsidRPr="00D75D2E">
              <w:rPr>
                <w:rFonts w:ascii="Times New Roman" w:hAnsi="Times New Roman"/>
                <w:sz w:val="20"/>
                <w:szCs w:val="20"/>
              </w:rPr>
              <w:t xml:space="preserve"> : </w:t>
            </w:r>
            <w:r w:rsidR="00083978">
              <w:rPr>
                <w:rFonts w:ascii="Times New Roman" w:hAnsi="Times New Roman"/>
                <w:sz w:val="20"/>
                <w:szCs w:val="20"/>
              </w:rPr>
              <w:t>Perte de l’</w:t>
            </w:r>
            <w:r w:rsidR="002F1BC6">
              <w:rPr>
                <w:rFonts w:ascii="Times New Roman" w:hAnsi="Times New Roman"/>
                <w:sz w:val="20"/>
                <w:szCs w:val="20"/>
              </w:rPr>
              <w:t xml:space="preserve">habitat et </w:t>
            </w:r>
            <w:r w:rsidR="00083978">
              <w:rPr>
                <w:rFonts w:ascii="Times New Roman" w:hAnsi="Times New Roman"/>
                <w:sz w:val="20"/>
                <w:szCs w:val="20"/>
              </w:rPr>
              <w:t xml:space="preserve">migration des espèces </w:t>
            </w:r>
            <w:r w:rsidR="002F1BC6">
              <w:rPr>
                <w:rFonts w:ascii="Times New Roman" w:hAnsi="Times New Roman"/>
                <w:sz w:val="20"/>
                <w:szCs w:val="20"/>
              </w:rPr>
              <w:t>de l’avifaune</w:t>
            </w:r>
          </w:p>
          <w:p w14:paraId="31F03CA4" w14:textId="59239817" w:rsidR="002F1BC6" w:rsidRPr="00D75D2E" w:rsidRDefault="002F1BC6" w:rsidP="00215867">
            <w:pPr>
              <w:spacing w:after="0" w:line="240" w:lineRule="auto"/>
              <w:ind w:left="1877"/>
              <w:rPr>
                <w:rFonts w:ascii="Times New Roman" w:hAnsi="Times New Roman"/>
                <w:sz w:val="20"/>
                <w:szCs w:val="20"/>
              </w:rPr>
            </w:pPr>
            <w:r w:rsidRPr="00215867">
              <w:rPr>
                <w:rFonts w:ascii="Times New Roman" w:hAnsi="Times New Roman"/>
                <w:sz w:val="20"/>
                <w:szCs w:val="20"/>
              </w:rPr>
              <w:t>Perte des espèces de l’avifaune suite à la percussion d’un câble électrique moyenne-tension aériens nus</w:t>
            </w:r>
          </w:p>
        </w:tc>
      </w:tr>
      <w:tr w:rsidR="00E7457B" w:rsidRPr="00420C1B" w14:paraId="5D4CDD6D" w14:textId="77777777" w:rsidTr="00215867">
        <w:trPr>
          <w:trHeight w:val="2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5C83A765" w14:textId="6955E79E" w:rsidR="00E7457B" w:rsidRPr="00D75D2E" w:rsidRDefault="00E7457B" w:rsidP="005E5E69">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733" w:type="pct"/>
            <w:gridSpan w:val="7"/>
            <w:vMerge w:val="restart"/>
            <w:tcBorders>
              <w:top w:val="single" w:sz="4" w:space="0" w:color="auto"/>
              <w:left w:val="single" w:sz="4" w:space="0" w:color="auto"/>
              <w:right w:val="single" w:sz="4" w:space="0" w:color="auto"/>
            </w:tcBorders>
            <w:shd w:val="clear" w:color="auto" w:fill="auto"/>
          </w:tcPr>
          <w:p w14:paraId="41B9AFFF"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hAnsi="Times New Roman"/>
                <w:sz w:val="20"/>
                <w:szCs w:val="20"/>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hideMark/>
          </w:tcPr>
          <w:p w14:paraId="0BA1AF78" w14:textId="77777777" w:rsidR="00E7457B" w:rsidRPr="00D75D2E" w:rsidRDefault="00E7457B" w:rsidP="005E5E69">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74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D53C4D" w14:textId="77777777" w:rsidR="00E7457B" w:rsidRPr="00D75D2E" w:rsidRDefault="00E7457B" w:rsidP="005E5E69">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005" w:type="pct"/>
            <w:gridSpan w:val="2"/>
            <w:vMerge w:val="restart"/>
            <w:tcBorders>
              <w:top w:val="single" w:sz="4" w:space="0" w:color="auto"/>
              <w:left w:val="single" w:sz="4" w:space="0" w:color="auto"/>
              <w:bottom w:val="single" w:sz="4" w:space="0" w:color="auto"/>
              <w:right w:val="single" w:sz="4" w:space="0" w:color="auto"/>
            </w:tcBorders>
            <w:hideMark/>
          </w:tcPr>
          <w:p w14:paraId="1377282C" w14:textId="77777777" w:rsidR="00E7457B" w:rsidRPr="00D75D2E" w:rsidRDefault="00E7457B" w:rsidP="005E5E69">
            <w:pPr>
              <w:spacing w:after="0" w:line="240" w:lineRule="auto"/>
              <w:jc w:val="center"/>
              <w:rPr>
                <w:rFonts w:ascii="Times New Roman" w:hAnsi="Times New Roman"/>
                <w:sz w:val="20"/>
                <w:szCs w:val="20"/>
              </w:rPr>
            </w:pPr>
          </w:p>
        </w:tc>
      </w:tr>
      <w:tr w:rsidR="00E7457B" w:rsidRPr="00420C1B" w14:paraId="0A396351" w14:textId="77777777" w:rsidTr="00215867">
        <w:trPr>
          <w:trHeight w:val="245"/>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68D77656" w14:textId="77777777" w:rsidR="00E7457B" w:rsidRPr="00D75D2E" w:rsidRDefault="00E7457B" w:rsidP="005E5E69">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right w:val="single" w:sz="4" w:space="0" w:color="auto"/>
            </w:tcBorders>
            <w:shd w:val="clear" w:color="auto" w:fill="auto"/>
            <w:vAlign w:val="center"/>
          </w:tcPr>
          <w:p w14:paraId="2CE3B5FB" w14:textId="77777777" w:rsidR="00E7457B" w:rsidRPr="00D75D2E" w:rsidRDefault="00E7457B" w:rsidP="005E5E69">
            <w:pPr>
              <w:spacing w:after="0" w:line="240" w:lineRule="auto"/>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tcPr>
          <w:p w14:paraId="36C937E0" w14:textId="77777777" w:rsidR="00E7457B" w:rsidRPr="00D75D2E" w:rsidRDefault="00E7457B" w:rsidP="005E5E6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740" w:type="pct"/>
            <w:gridSpan w:val="2"/>
            <w:tcBorders>
              <w:top w:val="single" w:sz="4" w:space="0" w:color="auto"/>
              <w:left w:val="nil"/>
              <w:bottom w:val="single" w:sz="4" w:space="0" w:color="auto"/>
              <w:right w:val="single" w:sz="4" w:space="0" w:color="auto"/>
            </w:tcBorders>
            <w:shd w:val="clear" w:color="auto" w:fill="auto"/>
          </w:tcPr>
          <w:p w14:paraId="6071501C" w14:textId="77777777" w:rsidR="00E7457B" w:rsidRPr="00D75D2E" w:rsidRDefault="00E7457B" w:rsidP="005E5E6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761B23CD" w14:textId="77777777" w:rsidR="00E7457B" w:rsidRPr="00D75D2E" w:rsidRDefault="00E7457B" w:rsidP="005E5E69">
            <w:pPr>
              <w:spacing w:after="0" w:line="240" w:lineRule="auto"/>
              <w:rPr>
                <w:rFonts w:ascii="Times New Roman" w:hAnsi="Times New Roman"/>
                <w:sz w:val="20"/>
                <w:szCs w:val="20"/>
              </w:rPr>
            </w:pPr>
          </w:p>
        </w:tc>
      </w:tr>
      <w:tr w:rsidR="00E7457B" w:rsidRPr="00420C1B" w14:paraId="62ACA6A7" w14:textId="77777777" w:rsidTr="00215867">
        <w:trPr>
          <w:trHeight w:val="246"/>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56A3C6DB" w14:textId="77777777" w:rsidR="00E7457B" w:rsidRPr="00D75D2E" w:rsidRDefault="00E7457B" w:rsidP="005E5E69">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bottom w:val="single" w:sz="4" w:space="0" w:color="auto"/>
              <w:right w:val="single" w:sz="4" w:space="0" w:color="auto"/>
            </w:tcBorders>
            <w:shd w:val="clear" w:color="auto" w:fill="auto"/>
            <w:vAlign w:val="center"/>
          </w:tcPr>
          <w:p w14:paraId="6410B4BF" w14:textId="77777777" w:rsidR="00E7457B" w:rsidRPr="00D75D2E" w:rsidRDefault="00E7457B" w:rsidP="005E5E69">
            <w:pPr>
              <w:spacing w:after="0" w:line="240" w:lineRule="auto"/>
              <w:jc w:val="both"/>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nil"/>
              <w:right w:val="single" w:sz="4" w:space="0" w:color="auto"/>
            </w:tcBorders>
            <w:shd w:val="clear" w:color="auto" w:fill="auto"/>
          </w:tcPr>
          <w:p w14:paraId="6FF2E085" w14:textId="77777777" w:rsidR="00E7457B" w:rsidRPr="00D75D2E" w:rsidRDefault="00E7457B" w:rsidP="005E5E6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740" w:type="pct"/>
            <w:gridSpan w:val="2"/>
            <w:tcBorders>
              <w:top w:val="single" w:sz="4" w:space="0" w:color="auto"/>
              <w:left w:val="single" w:sz="4" w:space="0" w:color="auto"/>
              <w:bottom w:val="nil"/>
              <w:right w:val="single" w:sz="4" w:space="0" w:color="auto"/>
            </w:tcBorders>
            <w:shd w:val="clear" w:color="auto" w:fill="auto"/>
          </w:tcPr>
          <w:p w14:paraId="539C460D" w14:textId="77777777" w:rsidR="00E7457B" w:rsidRPr="00D75D2E" w:rsidRDefault="00E7457B" w:rsidP="005E5E69">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2D38449B" w14:textId="77777777" w:rsidR="00E7457B" w:rsidRPr="00D75D2E" w:rsidRDefault="00E7457B" w:rsidP="005E5E69">
            <w:pPr>
              <w:spacing w:after="0" w:line="240" w:lineRule="auto"/>
              <w:rPr>
                <w:rFonts w:ascii="Times New Roman" w:hAnsi="Times New Roman"/>
                <w:sz w:val="20"/>
                <w:szCs w:val="20"/>
              </w:rPr>
            </w:pPr>
          </w:p>
        </w:tc>
      </w:tr>
      <w:tr w:rsidR="00E7457B" w:rsidRPr="00420C1B" w14:paraId="02AA96BA" w14:textId="77777777" w:rsidTr="00215867">
        <w:trPr>
          <w:trHeight w:val="242"/>
          <w:jc w:val="center"/>
        </w:trPr>
        <w:tc>
          <w:tcPr>
            <w:tcW w:w="884" w:type="pct"/>
            <w:vMerge w:val="restart"/>
            <w:tcBorders>
              <w:top w:val="single" w:sz="4" w:space="0" w:color="auto"/>
              <w:left w:val="single" w:sz="4" w:space="0" w:color="auto"/>
              <w:bottom w:val="single" w:sz="4" w:space="0" w:color="auto"/>
              <w:right w:val="single" w:sz="4" w:space="0" w:color="auto"/>
            </w:tcBorders>
          </w:tcPr>
          <w:p w14:paraId="1482454A" w14:textId="77777777" w:rsidR="00E7457B" w:rsidRPr="00D75D2E" w:rsidRDefault="00E7457B" w:rsidP="005E5E69">
            <w:pPr>
              <w:spacing w:after="0" w:line="240" w:lineRule="auto"/>
              <w:rPr>
                <w:rFonts w:ascii="Times New Roman" w:hAnsi="Times New Roman"/>
                <w:b/>
                <w:sz w:val="20"/>
                <w:szCs w:val="20"/>
              </w:rPr>
            </w:pPr>
          </w:p>
          <w:p w14:paraId="64A8DB95" w14:textId="77777777" w:rsidR="00E7457B" w:rsidRPr="00D75D2E" w:rsidRDefault="00E7457B" w:rsidP="005E5E69">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553" w:type="pct"/>
            <w:gridSpan w:val="2"/>
            <w:vMerge w:val="restart"/>
            <w:tcBorders>
              <w:top w:val="single" w:sz="4" w:space="0" w:color="auto"/>
              <w:left w:val="single" w:sz="4" w:space="0" w:color="auto"/>
              <w:bottom w:val="single" w:sz="4" w:space="0" w:color="auto"/>
              <w:right w:val="single" w:sz="4" w:space="0" w:color="auto"/>
            </w:tcBorders>
            <w:hideMark/>
          </w:tcPr>
          <w:p w14:paraId="3CFCC9B5" w14:textId="77777777" w:rsidR="00E7457B" w:rsidRPr="00D75D2E" w:rsidRDefault="00E7457B" w:rsidP="005E5E69">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48D2F1C8" w14:textId="77777777" w:rsidR="00E7457B" w:rsidRPr="00D75D2E" w:rsidRDefault="00E7457B" w:rsidP="005E5E69">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5F925501" w14:textId="77777777" w:rsidR="00E7457B" w:rsidRPr="00D75D2E" w:rsidRDefault="00E7457B" w:rsidP="005E5E69">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0BD3EEEB" w14:textId="77777777" w:rsidR="00E7457B" w:rsidRPr="00D75D2E" w:rsidRDefault="00E7457B" w:rsidP="005E5E69">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740" w:type="pct"/>
            <w:gridSpan w:val="2"/>
            <w:tcBorders>
              <w:top w:val="single" w:sz="4" w:space="0" w:color="auto"/>
              <w:left w:val="single" w:sz="4" w:space="0" w:color="auto"/>
              <w:bottom w:val="single" w:sz="4" w:space="0" w:color="auto"/>
              <w:right w:val="single" w:sz="4" w:space="0" w:color="auto"/>
            </w:tcBorders>
            <w:hideMark/>
          </w:tcPr>
          <w:p w14:paraId="5C8161E5" w14:textId="77777777" w:rsidR="00E7457B" w:rsidRPr="00D75D2E" w:rsidRDefault="00E7457B" w:rsidP="005E5E69">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005" w:type="pct"/>
            <w:gridSpan w:val="2"/>
            <w:tcBorders>
              <w:top w:val="single" w:sz="4" w:space="0" w:color="auto"/>
              <w:left w:val="single" w:sz="4" w:space="0" w:color="auto"/>
              <w:bottom w:val="single" w:sz="4" w:space="0" w:color="auto"/>
              <w:right w:val="single" w:sz="4" w:space="0" w:color="auto"/>
            </w:tcBorders>
            <w:hideMark/>
          </w:tcPr>
          <w:p w14:paraId="6A9574B1"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E7457B" w:rsidRPr="00420C1B" w14:paraId="34123BC6" w14:textId="77777777" w:rsidTr="00215867">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65650AAD"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vMerge/>
            <w:tcBorders>
              <w:top w:val="single" w:sz="4" w:space="0" w:color="auto"/>
              <w:left w:val="single" w:sz="4" w:space="0" w:color="auto"/>
              <w:bottom w:val="single" w:sz="4" w:space="0" w:color="auto"/>
              <w:right w:val="single" w:sz="4" w:space="0" w:color="auto"/>
            </w:tcBorders>
            <w:vAlign w:val="center"/>
            <w:hideMark/>
          </w:tcPr>
          <w:p w14:paraId="70577606" w14:textId="77777777" w:rsidR="00E7457B" w:rsidRPr="00D75D2E" w:rsidRDefault="00E7457B" w:rsidP="005E5E6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6657B997" w14:textId="77777777" w:rsidR="00E7457B" w:rsidRPr="00D75D2E" w:rsidRDefault="00E7457B" w:rsidP="005E5E69">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Forte</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4E77C7F8" w14:textId="77777777" w:rsidR="00E7457B" w:rsidRPr="00D75D2E" w:rsidRDefault="00E7457B" w:rsidP="005E5E69">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14:paraId="643F676F" w14:textId="70A8C1FE" w:rsidR="00E7457B" w:rsidRPr="00D75D2E" w:rsidRDefault="007679A0" w:rsidP="005E5E69">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Moyen</w:t>
            </w:r>
            <w:r w:rsidR="005C58F5">
              <w:rPr>
                <w:rFonts w:ascii="Times New Roman" w:eastAsia="Times New Roman" w:hAnsi="Times New Roman"/>
                <w:bCs/>
                <w:sz w:val="20"/>
                <w:szCs w:val="20"/>
              </w:rPr>
              <w:t xml:space="preserve">ne </w:t>
            </w:r>
            <w:r>
              <w:rPr>
                <w:rFonts w:ascii="Times New Roman" w:eastAsia="Times New Roman" w:hAnsi="Times New Roman"/>
                <w:bCs/>
                <w:sz w:val="20"/>
                <w:szCs w:val="20"/>
              </w:rPr>
              <w:t xml:space="preserve"> </w:t>
            </w:r>
            <w:r w:rsidR="00E7457B" w:rsidRPr="00D75D2E">
              <w:rPr>
                <w:rFonts w:ascii="Times New Roman" w:eastAsia="Times New Roman" w:hAnsi="Times New Roman"/>
                <w:bCs/>
                <w:sz w:val="20"/>
                <w:szCs w:val="20"/>
              </w:rPr>
              <w:t xml:space="preserve"> </w:t>
            </w:r>
          </w:p>
        </w:tc>
        <w:tc>
          <w:tcPr>
            <w:tcW w:w="1005" w:type="pct"/>
            <w:gridSpan w:val="2"/>
            <w:tcBorders>
              <w:top w:val="single" w:sz="4" w:space="0" w:color="auto"/>
              <w:left w:val="single" w:sz="4" w:space="0" w:color="auto"/>
              <w:bottom w:val="single" w:sz="4" w:space="0" w:color="auto"/>
              <w:right w:val="single" w:sz="4" w:space="0" w:color="auto"/>
            </w:tcBorders>
            <w:vAlign w:val="center"/>
            <w:hideMark/>
          </w:tcPr>
          <w:p w14:paraId="6F6FEE34" w14:textId="2645AA47" w:rsidR="00E7457B" w:rsidRPr="00D75D2E" w:rsidRDefault="007679A0" w:rsidP="005E5E69">
            <w:pPr>
              <w:spacing w:after="0" w:line="240" w:lineRule="auto"/>
              <w:rPr>
                <w:rFonts w:ascii="Times New Roman" w:hAnsi="Times New Roman"/>
                <w:sz w:val="20"/>
                <w:szCs w:val="20"/>
              </w:rPr>
            </w:pPr>
            <w:r>
              <w:rPr>
                <w:rFonts w:ascii="Times New Roman" w:hAnsi="Times New Roman"/>
                <w:sz w:val="20"/>
                <w:szCs w:val="20"/>
              </w:rPr>
              <w:t xml:space="preserve">Moyenne </w:t>
            </w:r>
            <w:r w:rsidR="00E7457B" w:rsidRPr="00D75D2E">
              <w:rPr>
                <w:rFonts w:ascii="Times New Roman" w:hAnsi="Times New Roman"/>
                <w:sz w:val="20"/>
                <w:szCs w:val="20"/>
              </w:rPr>
              <w:t xml:space="preserve"> </w:t>
            </w:r>
          </w:p>
        </w:tc>
      </w:tr>
      <w:tr w:rsidR="00E7457B" w:rsidRPr="00420C1B" w14:paraId="542CF6D5" w14:textId="77777777" w:rsidTr="00215867">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3A8BF093"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2599027C" w14:textId="77777777" w:rsidR="00E7457B" w:rsidRPr="00D75D2E" w:rsidRDefault="00E7457B" w:rsidP="005E5E6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7A0102AB" w14:textId="77777777" w:rsidR="00E7457B" w:rsidRPr="00D75D2E" w:rsidRDefault="00E7457B" w:rsidP="00215867">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tcPr>
          <w:p w14:paraId="13D06019" w14:textId="6825C6F9" w:rsidR="00E7457B" w:rsidRPr="00D75D2E" w:rsidRDefault="00E7457B" w:rsidP="00215867">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Occurrence</w:t>
            </w:r>
          </w:p>
        </w:tc>
        <w:tc>
          <w:tcPr>
            <w:tcW w:w="740" w:type="pct"/>
            <w:gridSpan w:val="2"/>
            <w:tcBorders>
              <w:top w:val="single" w:sz="4" w:space="0" w:color="auto"/>
              <w:left w:val="single" w:sz="4" w:space="0" w:color="auto"/>
              <w:bottom w:val="single" w:sz="4" w:space="0" w:color="auto"/>
              <w:right w:val="single" w:sz="4" w:space="0" w:color="auto"/>
            </w:tcBorders>
          </w:tcPr>
          <w:p w14:paraId="3C0349DE" w14:textId="0C4F36CC" w:rsidR="00E7457B" w:rsidRPr="00D75D2E" w:rsidRDefault="00E7457B" w:rsidP="00215867">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Réversibilité</w:t>
            </w:r>
          </w:p>
        </w:tc>
        <w:tc>
          <w:tcPr>
            <w:tcW w:w="1005" w:type="pct"/>
            <w:gridSpan w:val="2"/>
            <w:tcBorders>
              <w:top w:val="single" w:sz="4" w:space="0" w:color="auto"/>
              <w:left w:val="single" w:sz="4" w:space="0" w:color="auto"/>
              <w:bottom w:val="single" w:sz="4" w:space="0" w:color="auto"/>
              <w:right w:val="single" w:sz="4" w:space="0" w:color="auto"/>
            </w:tcBorders>
          </w:tcPr>
          <w:p w14:paraId="6535989F" w14:textId="55F5D8A5" w:rsidR="00E7457B" w:rsidRPr="00D75D2E" w:rsidRDefault="00E7457B" w:rsidP="00215867">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Cumulativité</w:t>
            </w:r>
          </w:p>
        </w:tc>
      </w:tr>
      <w:tr w:rsidR="00E7457B" w:rsidRPr="00420C1B" w14:paraId="71D54F3E" w14:textId="77777777" w:rsidTr="00215867">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5C0638DF"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75C0A7A3" w14:textId="77777777" w:rsidR="00E7457B" w:rsidRPr="00D75D2E" w:rsidRDefault="00E7457B" w:rsidP="005E5E6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7AEC163E" w14:textId="5385160B" w:rsidR="00E7457B" w:rsidRPr="00D75D2E" w:rsidRDefault="00083978" w:rsidP="00215867">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Indi</w:t>
            </w:r>
            <w:r w:rsidR="00E7457B" w:rsidRPr="00D75D2E">
              <w:rPr>
                <w:rFonts w:ascii="Times New Roman" w:eastAsia="Times New Roman" w:hAnsi="Times New Roman"/>
                <w:bCs/>
                <w:sz w:val="20"/>
                <w:szCs w:val="20"/>
              </w:rPr>
              <w:t>recte</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4E1E364B" w14:textId="77777777" w:rsidR="00E7457B" w:rsidRPr="00D75D2E" w:rsidRDefault="00E7457B" w:rsidP="00083978">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7815B921" w14:textId="77777777" w:rsidR="00E7457B" w:rsidRPr="00D75D2E" w:rsidRDefault="00E7457B" w:rsidP="00582C9E">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1005" w:type="pct"/>
            <w:gridSpan w:val="2"/>
            <w:tcBorders>
              <w:top w:val="single" w:sz="4" w:space="0" w:color="auto"/>
              <w:left w:val="single" w:sz="4" w:space="0" w:color="auto"/>
              <w:bottom w:val="single" w:sz="4" w:space="0" w:color="auto"/>
              <w:right w:val="single" w:sz="4" w:space="0" w:color="auto"/>
            </w:tcBorders>
            <w:vAlign w:val="center"/>
          </w:tcPr>
          <w:p w14:paraId="746C17AD" w14:textId="77777777" w:rsidR="00E7457B" w:rsidRPr="00D75D2E" w:rsidRDefault="00E7457B" w:rsidP="002F1BC6">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E7457B" w:rsidRPr="00420C1B" w14:paraId="0686F528" w14:textId="77777777" w:rsidTr="00215867">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1F4DE00E"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09994D89" w14:textId="77777777" w:rsidR="00E7457B" w:rsidRPr="00D75D2E" w:rsidRDefault="00E7457B" w:rsidP="005E5E6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tcPr>
          <w:p w14:paraId="59402914" w14:textId="77777777" w:rsidR="00E7457B" w:rsidRPr="00D75D2E" w:rsidRDefault="00E7457B" w:rsidP="005E5E69">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0D74D9D5" w14:textId="77777777" w:rsidR="00E7457B" w:rsidRPr="00D75D2E" w:rsidRDefault="00E7457B" w:rsidP="005E5E69">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56D573A1" w14:textId="77777777" w:rsidR="00E7457B" w:rsidRPr="00D75D2E" w:rsidRDefault="00E7457B" w:rsidP="005E5E69">
            <w:pPr>
              <w:spacing w:after="0" w:line="240" w:lineRule="auto"/>
              <w:jc w:val="center"/>
              <w:rPr>
                <w:rFonts w:ascii="Times New Roman" w:hAnsi="Times New Roman"/>
                <w:sz w:val="20"/>
                <w:szCs w:val="20"/>
              </w:rPr>
            </w:pPr>
          </w:p>
        </w:tc>
        <w:tc>
          <w:tcPr>
            <w:tcW w:w="1005" w:type="pct"/>
            <w:gridSpan w:val="2"/>
            <w:tcBorders>
              <w:top w:val="single" w:sz="4" w:space="0" w:color="auto"/>
              <w:left w:val="single" w:sz="4" w:space="0" w:color="auto"/>
              <w:bottom w:val="single" w:sz="4" w:space="0" w:color="auto"/>
              <w:right w:val="single" w:sz="4" w:space="0" w:color="auto"/>
            </w:tcBorders>
            <w:vAlign w:val="center"/>
          </w:tcPr>
          <w:p w14:paraId="55C1CA9E" w14:textId="77777777" w:rsidR="00E7457B" w:rsidRPr="00D75D2E" w:rsidRDefault="00E7457B" w:rsidP="005E5E69">
            <w:pPr>
              <w:spacing w:after="0" w:line="240" w:lineRule="auto"/>
              <w:jc w:val="both"/>
              <w:rPr>
                <w:rFonts w:ascii="Times New Roman" w:hAnsi="Times New Roman"/>
                <w:sz w:val="20"/>
                <w:szCs w:val="20"/>
              </w:rPr>
            </w:pPr>
          </w:p>
        </w:tc>
      </w:tr>
      <w:tr w:rsidR="00E7457B" w:rsidRPr="00420C1B" w14:paraId="6586CB32" w14:textId="77777777" w:rsidTr="00215867">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0277A646"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43327B62" w14:textId="77777777" w:rsidR="00E7457B" w:rsidRPr="00D75D2E" w:rsidRDefault="00E7457B" w:rsidP="005E5E69">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02B4420A" w14:textId="77777777" w:rsidR="00E7457B" w:rsidRPr="00D75D2E" w:rsidRDefault="00E7457B" w:rsidP="005E5E69">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919" w:type="pct"/>
            <w:gridSpan w:val="7"/>
            <w:tcBorders>
              <w:top w:val="single" w:sz="4" w:space="0" w:color="auto"/>
              <w:left w:val="single" w:sz="4" w:space="0" w:color="auto"/>
              <w:bottom w:val="single" w:sz="4" w:space="0" w:color="auto"/>
              <w:right w:val="single" w:sz="4" w:space="0" w:color="auto"/>
            </w:tcBorders>
            <w:vAlign w:val="center"/>
          </w:tcPr>
          <w:p w14:paraId="58561F2C" w14:textId="77777777" w:rsidR="00E7457B" w:rsidRPr="00D75D2E" w:rsidRDefault="00E7457B" w:rsidP="005E5E69">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Economique, Socio culturel </w:t>
            </w:r>
          </w:p>
        </w:tc>
        <w:tc>
          <w:tcPr>
            <w:tcW w:w="1005" w:type="pct"/>
            <w:gridSpan w:val="2"/>
          </w:tcPr>
          <w:p w14:paraId="7AF6B4E6" w14:textId="77777777" w:rsidR="00E7457B" w:rsidRPr="00D75D2E" w:rsidRDefault="00E7457B" w:rsidP="005E5E69">
            <w:pPr>
              <w:spacing w:after="0" w:line="240" w:lineRule="auto"/>
              <w:rPr>
                <w:rFonts w:ascii="Times New Roman" w:hAnsi="Times New Roman"/>
                <w:sz w:val="20"/>
                <w:szCs w:val="20"/>
              </w:rPr>
            </w:pPr>
          </w:p>
        </w:tc>
      </w:tr>
      <w:tr w:rsidR="00E7457B" w:rsidRPr="00420C1B" w14:paraId="042C1D49" w14:textId="77777777" w:rsidTr="00215867">
        <w:trPr>
          <w:trHeight w:val="994"/>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7F2E2FBA" w14:textId="77777777" w:rsidR="00E7457B" w:rsidRPr="00D75D2E" w:rsidRDefault="00E7457B" w:rsidP="005E5E69">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hideMark/>
          </w:tcPr>
          <w:p w14:paraId="29E9E85C" w14:textId="77777777" w:rsidR="00E7457B" w:rsidRPr="00D75D2E" w:rsidRDefault="00E7457B" w:rsidP="005E5E69">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563" w:type="pct"/>
            <w:gridSpan w:val="11"/>
            <w:tcBorders>
              <w:top w:val="single" w:sz="4" w:space="0" w:color="auto"/>
              <w:left w:val="single" w:sz="4" w:space="0" w:color="auto"/>
              <w:bottom w:val="single" w:sz="4" w:space="0" w:color="auto"/>
              <w:right w:val="single" w:sz="4" w:space="0" w:color="auto"/>
            </w:tcBorders>
            <w:hideMark/>
          </w:tcPr>
          <w:p w14:paraId="5EB5A14D" w14:textId="1D37FCD1" w:rsidR="00083978" w:rsidRPr="00215867" w:rsidRDefault="00083978"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 xml:space="preserve">L’élagage et la coupe d’arbre dans le cadre du projet seront spécifiques à l’implantation des nouvelles cabines, des poteaux MT/BT et au déploiement des lignes électriques. Cette coupe d’arbre sera à la base de la migration de l’avifaune suite à la perte d’habitat et à la perturbation de leur niche écologique. </w:t>
            </w:r>
          </w:p>
          <w:p w14:paraId="78F9E082" w14:textId="35A749C0" w:rsidR="00083978" w:rsidRPr="00215867" w:rsidRDefault="00083978"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 xml:space="preserve">L’impact du projet sur l’avifaune sera faible, car les oiseaux déplacés pourront érigés leur nid sur d’autres arbres se trouvant dans la zone. </w:t>
            </w:r>
          </w:p>
          <w:p w14:paraId="5FB37FC6" w14:textId="29A72EA7" w:rsidR="007679A0" w:rsidRPr="00215867" w:rsidRDefault="007679A0"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 xml:space="preserve">Pendant le fonctionnement des installations, l’impact plausible du projet sur l’avifaune est la mortalité des oiseaux par électrocution suite à la collision aux lignes MT. Ces accidents sont l’une de causes principales de mortalité chez certaines espèces à statut de conservation défavorable. Les risques d’électrocution par percutions d’un câble  électrique moyenne-tension dépend de multiples facteurs dont le principal est la présence de couloir de migration ou de zones de nidification des oiseaux. </w:t>
            </w:r>
          </w:p>
          <w:p w14:paraId="163ED989" w14:textId="77265CE6" w:rsidR="007679A0" w:rsidRPr="00D75D2E" w:rsidRDefault="007679A0"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bCs/>
                <w:sz w:val="20"/>
                <w:szCs w:val="20"/>
              </w:rPr>
            </w:pPr>
            <w:r w:rsidRPr="00215867">
              <w:rPr>
                <w:rFonts w:ascii="Times New Roman" w:eastAsia="Times New Roman" w:hAnsi="Times New Roman"/>
                <w:sz w:val="20"/>
                <w:szCs w:val="20"/>
                <w:lang w:eastAsia="fr-FR"/>
              </w:rPr>
              <w:t>Ces risques n’atteignent que les oiseaux dont la hauteur de vol est du même ordre de grandeur que la ligne MT. Par ailleurs, durant les différentes phases de leur cycle de vie annuel, les oiseaux sont amenés à effectuer des déplacements locaux pour la recherche de la nourriture pouvant les conduire à effectuer des centaines de mètres voire plusieurs kilomètres. Il arrive aussi que pendant leurs migrations annuelles, les oiseaux sont amenés à faire de déplacements de grande portée, allant de plusieurs dizaines voire milliers de kilomètres.</w:t>
            </w:r>
            <w:r w:rsidRPr="00215867">
              <w:rPr>
                <w:rFonts w:ascii="Times New Roman" w:eastAsia="Times New Roman" w:hAnsi="Times New Roman"/>
                <w:bCs/>
                <w:sz w:val="20"/>
                <w:szCs w:val="20"/>
              </w:rPr>
              <w:t xml:space="preserve"> </w:t>
            </w:r>
          </w:p>
        </w:tc>
      </w:tr>
      <w:tr w:rsidR="00E7457B" w:rsidRPr="00420C1B" w14:paraId="53894D56" w14:textId="77777777" w:rsidTr="00215867">
        <w:trPr>
          <w:trHeight w:val="492"/>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402769F3" w14:textId="77777777" w:rsidR="00E7457B" w:rsidRDefault="00E7457B" w:rsidP="005E5E69">
            <w:pPr>
              <w:spacing w:after="0" w:line="240" w:lineRule="auto"/>
              <w:jc w:val="both"/>
              <w:rPr>
                <w:rFonts w:ascii="Times New Roman" w:hAnsi="Times New Roman"/>
                <w:sz w:val="20"/>
                <w:szCs w:val="20"/>
              </w:rPr>
            </w:pPr>
            <w:r w:rsidRPr="00D75D2E">
              <w:rPr>
                <w:rFonts w:ascii="Times New Roman" w:hAnsi="Times New Roman"/>
                <w:b/>
                <w:sz w:val="20"/>
                <w:szCs w:val="20"/>
              </w:rPr>
              <w:t>Titre de la mesure d’atténuation</w:t>
            </w:r>
            <w:r w:rsidRPr="00D75D2E">
              <w:rPr>
                <w:rFonts w:ascii="Times New Roman" w:hAnsi="Times New Roman"/>
                <w:sz w:val="20"/>
                <w:szCs w:val="20"/>
              </w:rPr>
              <w:t xml:space="preserve"> : </w:t>
            </w:r>
          </w:p>
          <w:p w14:paraId="2B6C3C0F" w14:textId="03206160" w:rsidR="00E422D7" w:rsidRPr="00D75D2E" w:rsidRDefault="00E422D7" w:rsidP="005E5E69">
            <w:pPr>
              <w:spacing w:after="0" w:line="240" w:lineRule="auto"/>
              <w:jc w:val="both"/>
              <w:rPr>
                <w:rFonts w:ascii="Times New Roman" w:eastAsia="Times New Roman" w:hAnsi="Times New Roman"/>
                <w:sz w:val="20"/>
                <w:szCs w:val="20"/>
                <w:lang w:eastAsia="fr-FR"/>
              </w:rPr>
            </w:pPr>
            <w:r>
              <w:rPr>
                <w:rFonts w:ascii="Times New Roman" w:hAnsi="Times New Roman"/>
                <w:sz w:val="20"/>
                <w:szCs w:val="20"/>
              </w:rPr>
              <w:t xml:space="preserve">Prévention des atteintes du projet sur l’avifaune </w:t>
            </w:r>
          </w:p>
        </w:tc>
        <w:tc>
          <w:tcPr>
            <w:tcW w:w="3563" w:type="pct"/>
            <w:gridSpan w:val="11"/>
            <w:tcBorders>
              <w:top w:val="single" w:sz="4" w:space="0" w:color="auto"/>
              <w:left w:val="single" w:sz="4" w:space="0" w:color="auto"/>
              <w:bottom w:val="single" w:sz="4" w:space="0" w:color="auto"/>
              <w:right w:val="single" w:sz="4" w:space="0" w:color="auto"/>
            </w:tcBorders>
            <w:hideMark/>
          </w:tcPr>
          <w:p w14:paraId="0C588C5D" w14:textId="77777777" w:rsidR="00582C9E" w:rsidRPr="00215867"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 xml:space="preserve">Se concerter et convenir avec le MEDD et le comité provincial de l’environnement (CPE) avant d’entamer toute action sur la flore dans la zone du projet; </w:t>
            </w:r>
          </w:p>
          <w:p w14:paraId="3C0D75BF" w14:textId="7C811B72" w:rsidR="00582C9E" w:rsidRPr="00215867"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 xml:space="preserve">Limiter </w:t>
            </w:r>
            <w:r>
              <w:rPr>
                <w:rFonts w:ascii="Times New Roman" w:eastAsia="Times New Roman" w:hAnsi="Times New Roman"/>
                <w:sz w:val="20"/>
                <w:szCs w:val="20"/>
                <w:lang w:eastAsia="fr-FR"/>
              </w:rPr>
              <w:t xml:space="preserve">la coupe d’arbre, </w:t>
            </w:r>
            <w:r w:rsidRPr="00215867">
              <w:rPr>
                <w:rFonts w:ascii="Times New Roman" w:eastAsia="Times New Roman" w:hAnsi="Times New Roman"/>
                <w:sz w:val="20"/>
                <w:szCs w:val="20"/>
                <w:lang w:eastAsia="fr-FR"/>
              </w:rPr>
              <w:t>l</w:t>
            </w:r>
            <w:r>
              <w:rPr>
                <w:rFonts w:ascii="Times New Roman" w:eastAsia="Times New Roman" w:hAnsi="Times New Roman"/>
                <w:sz w:val="20"/>
                <w:szCs w:val="20"/>
                <w:lang w:eastAsia="fr-FR"/>
              </w:rPr>
              <w:t>’élagage, l</w:t>
            </w:r>
            <w:r w:rsidRPr="00215867">
              <w:rPr>
                <w:rFonts w:ascii="Times New Roman" w:eastAsia="Times New Roman" w:hAnsi="Times New Roman"/>
                <w:sz w:val="20"/>
                <w:szCs w:val="20"/>
                <w:lang w:eastAsia="fr-FR"/>
              </w:rPr>
              <w:t>e débroussaillage et désherbage qu’aux arbres servant d’obstacles aux travaux, notamment ceux comptabiliser dans le cadre du projet ;</w:t>
            </w:r>
          </w:p>
          <w:p w14:paraId="6B6AEF6F" w14:textId="1E2592A6" w:rsidR="00582C9E" w:rsidRPr="00215867"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 xml:space="preserve">Compenser cette perte en ressource végétales par le </w:t>
            </w:r>
            <w:r>
              <w:rPr>
                <w:rFonts w:ascii="Times New Roman" w:eastAsia="Times New Roman" w:hAnsi="Times New Roman"/>
                <w:sz w:val="20"/>
                <w:szCs w:val="20"/>
                <w:lang w:eastAsia="fr-FR"/>
              </w:rPr>
              <w:t xml:space="preserve">paiement de la taxe d’abattage au fonds forestier national en vue de permettre à cette institution nationale de compenser les pertes encourues par le </w:t>
            </w:r>
            <w:r w:rsidRPr="00215867">
              <w:rPr>
                <w:rFonts w:ascii="Times New Roman" w:eastAsia="Times New Roman" w:hAnsi="Times New Roman"/>
                <w:sz w:val="20"/>
                <w:szCs w:val="20"/>
                <w:lang w:eastAsia="fr-FR"/>
              </w:rPr>
              <w:t xml:space="preserve">reboisement </w:t>
            </w:r>
            <w:r>
              <w:rPr>
                <w:rFonts w:ascii="Times New Roman" w:eastAsia="Times New Roman" w:hAnsi="Times New Roman"/>
                <w:sz w:val="20"/>
                <w:szCs w:val="20"/>
                <w:lang w:eastAsia="fr-FR"/>
              </w:rPr>
              <w:t xml:space="preserve">dans une autre zone pour </w:t>
            </w:r>
            <w:r w:rsidRPr="00215867">
              <w:rPr>
                <w:rFonts w:ascii="Times New Roman" w:eastAsia="Times New Roman" w:hAnsi="Times New Roman"/>
                <w:sz w:val="20"/>
                <w:szCs w:val="20"/>
                <w:lang w:eastAsia="fr-FR"/>
              </w:rPr>
              <w:t>atténuer les émissions de CO</w:t>
            </w:r>
            <w:r w:rsidRPr="00215867">
              <w:rPr>
                <w:rFonts w:ascii="Times New Roman" w:eastAsia="Times New Roman" w:hAnsi="Times New Roman"/>
                <w:sz w:val="20"/>
                <w:szCs w:val="20"/>
                <w:vertAlign w:val="subscript"/>
                <w:lang w:eastAsia="fr-FR"/>
              </w:rPr>
              <w:t>2</w:t>
            </w:r>
            <w:r w:rsidRPr="00215867">
              <w:rPr>
                <w:rFonts w:ascii="Times New Roman" w:eastAsia="Times New Roman" w:hAnsi="Times New Roman"/>
                <w:sz w:val="20"/>
                <w:szCs w:val="20"/>
                <w:lang w:eastAsia="fr-FR"/>
              </w:rPr>
              <w:t xml:space="preserve"> libéré dans la nature;</w:t>
            </w:r>
          </w:p>
          <w:p w14:paraId="0070675F" w14:textId="77777777" w:rsidR="00582C9E" w:rsidRPr="00215867"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Optimiser le projet afin de minimiser la perte de végétation et de préserver la couverture végétale urbaine ;</w:t>
            </w:r>
          </w:p>
          <w:p w14:paraId="733A4628" w14:textId="77777777" w:rsidR="00582C9E" w:rsidRPr="00215867"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Diminuer ou éviter d’effectuer des travaux durant les périodes de naissances, de nidifications et de migration des espèces ;</w:t>
            </w:r>
          </w:p>
          <w:p w14:paraId="702F326D" w14:textId="77777777" w:rsidR="00582C9E" w:rsidRDefault="00582C9E"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Remettre en état les zones temporaires après la construction.</w:t>
            </w:r>
          </w:p>
          <w:p w14:paraId="31621228" w14:textId="77777777" w:rsidR="002F1BC6" w:rsidRPr="00215867" w:rsidRDefault="002F1BC6"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rPr>
            </w:pPr>
            <w:r w:rsidRPr="00215867">
              <w:rPr>
                <w:rFonts w:ascii="Times New Roman" w:eastAsia="Times New Roman" w:hAnsi="Times New Roman"/>
                <w:sz w:val="20"/>
                <w:szCs w:val="20"/>
                <w:lang w:eastAsia="fr-FR"/>
              </w:rPr>
              <w:t>Installer le système d'avertissement visuel (spirales blanches et rouges alternées fixées sur les câbles aériens nus pour le rendre plus visibles) ;</w:t>
            </w:r>
          </w:p>
          <w:p w14:paraId="6D86481C" w14:textId="0233BDE6" w:rsidR="002F1BC6" w:rsidRPr="002F1BC6" w:rsidRDefault="002F1BC6"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Mettre en place, le système d'effarouchement visuel (silhouettes artificielles de rapace, appelées effaroucheurs, fixées sur le support afin que les oiseaux "proies" survol celle-ci et évitent les câbles)</w:t>
            </w:r>
            <w:r>
              <w:rPr>
                <w:rFonts w:ascii="Times New Roman" w:eastAsia="Times New Roman" w:hAnsi="Times New Roman"/>
                <w:sz w:val="20"/>
                <w:szCs w:val="20"/>
                <w:lang w:eastAsia="fr-FR"/>
              </w:rPr>
              <w:t>.</w:t>
            </w:r>
            <w:r w:rsidRPr="00215867">
              <w:rPr>
                <w:rFonts w:ascii="Times New Roman" w:eastAsia="Times New Roman" w:hAnsi="Times New Roman"/>
                <w:sz w:val="20"/>
                <w:szCs w:val="20"/>
                <w:lang w:eastAsia="fr-FR"/>
              </w:rPr>
              <w:t xml:space="preserve"> Ces dispositifs réduisent la mortalité de 63 à 95%</w:t>
            </w:r>
          </w:p>
        </w:tc>
      </w:tr>
      <w:tr w:rsidR="00E7457B" w:rsidRPr="00420C1B" w14:paraId="1D856ED1" w14:textId="77777777" w:rsidTr="00215867">
        <w:trPr>
          <w:trHeight w:val="1018"/>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5568BD20" w14:textId="77777777" w:rsidR="00E7457B" w:rsidRPr="00D75D2E" w:rsidRDefault="00E7457B" w:rsidP="005E5E69">
            <w:pPr>
              <w:spacing w:after="0" w:line="240" w:lineRule="auto"/>
              <w:rPr>
                <w:rFonts w:ascii="Times New Roman" w:hAnsi="Times New Roman"/>
                <w:sz w:val="20"/>
                <w:szCs w:val="20"/>
              </w:rPr>
            </w:pPr>
            <w:r w:rsidRPr="00D75D2E">
              <w:rPr>
                <w:rFonts w:ascii="Times New Roman" w:hAnsi="Times New Roman"/>
                <w:b/>
                <w:sz w:val="20"/>
                <w:szCs w:val="20"/>
              </w:rPr>
              <w:t>Objectif de la mesure d’atténuation</w:t>
            </w:r>
            <w:r w:rsidRPr="00D75D2E">
              <w:rPr>
                <w:rFonts w:ascii="Times New Roman" w:hAnsi="Times New Roman"/>
                <w:sz w:val="20"/>
                <w:szCs w:val="20"/>
              </w:rPr>
              <w:t xml:space="preserve"> : </w:t>
            </w:r>
          </w:p>
          <w:p w14:paraId="2E2C4925" w14:textId="150B0EDB" w:rsidR="00E7457B" w:rsidRPr="00D75D2E" w:rsidRDefault="00340FD6" w:rsidP="00FD3DAE">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Atténuer les effets du projet sur l’avifaune et </w:t>
            </w:r>
            <w:r w:rsidR="00FD3DAE">
              <w:rPr>
                <w:rFonts w:ascii="Times New Roman" w:eastAsia="Times New Roman" w:hAnsi="Times New Roman"/>
                <w:sz w:val="20"/>
                <w:szCs w:val="20"/>
                <w:lang w:eastAsia="fr-FR"/>
              </w:rPr>
              <w:t xml:space="preserve">minimiser la coupe d’arbre ou </w:t>
            </w:r>
            <w:r>
              <w:rPr>
                <w:rFonts w:ascii="Times New Roman" w:eastAsia="Times New Roman" w:hAnsi="Times New Roman"/>
                <w:sz w:val="20"/>
                <w:szCs w:val="20"/>
                <w:lang w:eastAsia="fr-FR"/>
              </w:rPr>
              <w:t xml:space="preserve">compenser les pertes </w:t>
            </w:r>
            <w:r w:rsidR="00F70133">
              <w:rPr>
                <w:rFonts w:ascii="Times New Roman" w:eastAsia="Times New Roman" w:hAnsi="Times New Roman"/>
                <w:sz w:val="20"/>
                <w:szCs w:val="20"/>
                <w:lang w:eastAsia="fr-FR"/>
              </w:rPr>
              <w:t>d’arbres occasionn</w:t>
            </w:r>
            <w:r w:rsidR="00FD3DAE">
              <w:rPr>
                <w:rFonts w:ascii="Times New Roman" w:eastAsia="Times New Roman" w:hAnsi="Times New Roman"/>
                <w:sz w:val="20"/>
                <w:szCs w:val="20"/>
                <w:lang w:eastAsia="fr-FR"/>
              </w:rPr>
              <w:t>ant la perte d’habitat faunique</w:t>
            </w:r>
            <w:r w:rsidR="00E7457B" w:rsidRPr="00D75D2E">
              <w:rPr>
                <w:rFonts w:ascii="Times New Roman" w:hAnsi="Times New Roman"/>
                <w:sz w:val="20"/>
                <w:szCs w:val="20"/>
              </w:rPr>
              <w:t xml:space="preserve">  </w:t>
            </w:r>
          </w:p>
        </w:tc>
        <w:tc>
          <w:tcPr>
            <w:tcW w:w="3563" w:type="pct"/>
            <w:gridSpan w:val="11"/>
            <w:tcBorders>
              <w:top w:val="single" w:sz="4" w:space="0" w:color="auto"/>
              <w:left w:val="single" w:sz="4" w:space="0" w:color="auto"/>
              <w:bottom w:val="single" w:sz="4" w:space="0" w:color="auto"/>
              <w:right w:val="single" w:sz="4" w:space="0" w:color="auto"/>
            </w:tcBorders>
            <w:hideMark/>
          </w:tcPr>
          <w:p w14:paraId="73FEE615" w14:textId="77777777" w:rsidR="00E7457B" w:rsidRPr="00D75D2E" w:rsidRDefault="00E7457B" w:rsidP="005E5E69">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72D14B9A" w14:textId="77777777" w:rsidR="00FD3DAE" w:rsidRDefault="00E7457B"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 xml:space="preserve">Identifier </w:t>
            </w:r>
            <w:r w:rsidR="00FD3DAE">
              <w:rPr>
                <w:rFonts w:ascii="Times New Roman" w:eastAsia="Times New Roman" w:hAnsi="Times New Roman"/>
                <w:sz w:val="20"/>
                <w:szCs w:val="20"/>
                <w:lang w:eastAsia="fr-FR"/>
              </w:rPr>
              <w:t>avant le début des travaux, les principales espèces de l’avifaune et les arbres constituants leur habitat</w:t>
            </w:r>
          </w:p>
          <w:p w14:paraId="50812DAB" w14:textId="0141D5E4" w:rsidR="00A65708" w:rsidRDefault="00A65708"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Faire un inventaire de l’avifaune avant le début des travaux</w:t>
            </w:r>
          </w:p>
          <w:p w14:paraId="01D683A8" w14:textId="4E2CBD1F" w:rsidR="00E7457B" w:rsidRPr="00A65708" w:rsidRDefault="00A65708" w:rsidP="0021586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Prendre en compte la sécurité de la faune aviaire dans la conception des infrastructures électriques à déployer dans le cadre du projet.</w:t>
            </w:r>
            <w:r w:rsidR="00E7457B" w:rsidRPr="00A65708">
              <w:rPr>
                <w:rFonts w:ascii="Times New Roman" w:eastAsia="Times New Roman" w:hAnsi="Times New Roman"/>
                <w:sz w:val="20"/>
                <w:szCs w:val="20"/>
                <w:lang w:eastAsia="fr-FR"/>
              </w:rPr>
              <w:t xml:space="preserve"> </w:t>
            </w:r>
          </w:p>
        </w:tc>
      </w:tr>
      <w:tr w:rsidR="00E7457B" w:rsidRPr="00420C1B" w14:paraId="0C2F9377" w14:textId="77777777" w:rsidTr="00215867">
        <w:trPr>
          <w:trHeight w:val="250"/>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22F916E8" w14:textId="2A193E16" w:rsidR="00E7457B" w:rsidRPr="00D75D2E" w:rsidRDefault="00E7457B" w:rsidP="005E5E69">
            <w:pPr>
              <w:spacing w:after="0" w:line="240" w:lineRule="auto"/>
              <w:jc w:val="right"/>
              <w:rPr>
                <w:rFonts w:ascii="Times New Roman" w:hAnsi="Times New Roman"/>
                <w:b/>
                <w:sz w:val="20"/>
                <w:szCs w:val="20"/>
              </w:rPr>
            </w:pPr>
            <w:r w:rsidRPr="00D75D2E">
              <w:rPr>
                <w:rFonts w:ascii="Times New Roman" w:hAnsi="Times New Roman"/>
                <w:b/>
                <w:sz w:val="20"/>
                <w:szCs w:val="20"/>
              </w:rPr>
              <w:t>Impact résiduel</w:t>
            </w:r>
          </w:p>
        </w:tc>
        <w:tc>
          <w:tcPr>
            <w:tcW w:w="3365" w:type="pct"/>
            <w:gridSpan w:val="10"/>
            <w:tcBorders>
              <w:top w:val="single" w:sz="4" w:space="0" w:color="auto"/>
              <w:left w:val="single" w:sz="4" w:space="0" w:color="auto"/>
              <w:bottom w:val="single" w:sz="4" w:space="0" w:color="auto"/>
              <w:right w:val="single" w:sz="4" w:space="0" w:color="auto"/>
            </w:tcBorders>
            <w:hideMark/>
          </w:tcPr>
          <w:p w14:paraId="48F077A1" w14:textId="77777777" w:rsidR="00E7457B" w:rsidRPr="00D75D2E" w:rsidRDefault="00E7457B" w:rsidP="005E5E69">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c>
          <w:tcPr>
            <w:tcW w:w="198" w:type="pct"/>
            <w:tcBorders>
              <w:top w:val="single" w:sz="4" w:space="0" w:color="auto"/>
              <w:left w:val="single" w:sz="4" w:space="0" w:color="auto"/>
              <w:bottom w:val="single" w:sz="4" w:space="0" w:color="auto"/>
              <w:right w:val="single" w:sz="4" w:space="0" w:color="auto"/>
            </w:tcBorders>
          </w:tcPr>
          <w:p w14:paraId="4C2A41EA" w14:textId="77777777" w:rsidR="00E7457B" w:rsidRPr="00D75D2E" w:rsidRDefault="00E7457B" w:rsidP="005E5E69">
            <w:pPr>
              <w:autoSpaceDE w:val="0"/>
              <w:autoSpaceDN w:val="0"/>
              <w:adjustRightInd w:val="0"/>
              <w:spacing w:after="0" w:line="240" w:lineRule="auto"/>
              <w:rPr>
                <w:rFonts w:ascii="Times New Roman" w:hAnsi="Times New Roman"/>
                <w:sz w:val="20"/>
                <w:szCs w:val="20"/>
                <w:u w:val="single"/>
              </w:rPr>
            </w:pPr>
          </w:p>
        </w:tc>
      </w:tr>
      <w:tr w:rsidR="00A65708" w:rsidRPr="00420C1B" w14:paraId="06CCA056" w14:textId="77777777" w:rsidTr="00215867">
        <w:trPr>
          <w:trHeight w:val="545"/>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1838ED76" w14:textId="77777777" w:rsidR="00E7457B" w:rsidRPr="00D75D2E" w:rsidRDefault="00E7457B" w:rsidP="005E5E69">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5AFA884E" w14:textId="77777777" w:rsidR="00E7457B" w:rsidRPr="00D75D2E" w:rsidRDefault="00E7457B" w:rsidP="005E5E69">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584BFA44" w14:textId="77777777" w:rsidR="00E7457B" w:rsidRPr="00E7457B" w:rsidRDefault="00E7457B" w:rsidP="005E5E69">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Agence Congo</w:t>
            </w:r>
            <w:r>
              <w:rPr>
                <w:rFonts w:ascii="Times New Roman" w:hAnsi="Times New Roman"/>
                <w:sz w:val="20"/>
                <w:szCs w:val="20"/>
              </w:rPr>
              <w:t>laise de l’Environnement (ACE) </w:t>
            </w:r>
          </w:p>
        </w:tc>
        <w:tc>
          <w:tcPr>
            <w:tcW w:w="2558" w:type="pct"/>
            <w:gridSpan w:val="9"/>
            <w:tcBorders>
              <w:top w:val="single" w:sz="4" w:space="0" w:color="auto"/>
              <w:left w:val="single" w:sz="4" w:space="0" w:color="auto"/>
              <w:bottom w:val="single" w:sz="4" w:space="0" w:color="auto"/>
              <w:right w:val="single" w:sz="4" w:space="0" w:color="auto"/>
            </w:tcBorders>
            <w:hideMark/>
          </w:tcPr>
          <w:p w14:paraId="75CCEC0D" w14:textId="77777777" w:rsidR="00E7457B" w:rsidRPr="00D75D2E" w:rsidRDefault="00E7457B" w:rsidP="005E5E69">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51889766" w14:textId="77777777" w:rsidR="00E7457B" w:rsidRPr="00D75D2E" w:rsidRDefault="00E7457B" w:rsidP="005E5E69">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Cellule Provinciale de l’Environnement (CPE) ;</w:t>
            </w:r>
          </w:p>
          <w:p w14:paraId="0024F475" w14:textId="77777777" w:rsidR="00E7457B" w:rsidRPr="00D75D2E" w:rsidRDefault="00E7457B" w:rsidP="005E5E69">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Sous</w:t>
            </w:r>
            <w:r>
              <w:rPr>
                <w:rFonts w:ascii="Times New Roman" w:hAnsi="Times New Roman"/>
                <w:sz w:val="20"/>
                <w:szCs w:val="20"/>
              </w:rPr>
              <w:t>-</w:t>
            </w:r>
            <w:r w:rsidRPr="00D75D2E">
              <w:rPr>
                <w:rFonts w:ascii="Times New Roman" w:hAnsi="Times New Roman"/>
                <w:sz w:val="20"/>
                <w:szCs w:val="20"/>
              </w:rPr>
              <w:t>Cellule environnementale et sociale d’UCM (SCES/UCM)</w:t>
            </w:r>
          </w:p>
          <w:p w14:paraId="24C2DC29" w14:textId="77777777" w:rsidR="00E7457B" w:rsidRPr="00D75D2E" w:rsidRDefault="00E7457B" w:rsidP="005E5E69">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D75D2E">
              <w:rPr>
                <w:rFonts w:ascii="Times New Roman" w:hAnsi="Times New Roman"/>
                <w:sz w:val="20"/>
                <w:szCs w:val="20"/>
              </w:rPr>
              <w:t xml:space="preserve">Service environnement des communes concernées </w:t>
            </w:r>
          </w:p>
        </w:tc>
        <w:tc>
          <w:tcPr>
            <w:tcW w:w="1005" w:type="pct"/>
            <w:gridSpan w:val="2"/>
            <w:tcBorders>
              <w:top w:val="single" w:sz="4" w:space="0" w:color="auto"/>
              <w:left w:val="single" w:sz="4" w:space="0" w:color="auto"/>
              <w:bottom w:val="single" w:sz="4" w:space="0" w:color="auto"/>
              <w:right w:val="single" w:sz="4" w:space="0" w:color="auto"/>
            </w:tcBorders>
            <w:hideMark/>
          </w:tcPr>
          <w:p w14:paraId="6284D873" w14:textId="77777777" w:rsidR="00E7457B" w:rsidRPr="00D75D2E" w:rsidRDefault="00E7457B" w:rsidP="005E5E69">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11B0104F" w14:textId="77777777" w:rsidR="00E7457B" w:rsidRDefault="00A65708" w:rsidP="005E5E69">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Nombre d’oiseau ayant </w:t>
            </w:r>
            <w:r w:rsidR="005E5E69">
              <w:rPr>
                <w:rFonts w:ascii="Times New Roman" w:hAnsi="Times New Roman"/>
                <w:sz w:val="20"/>
                <w:szCs w:val="20"/>
              </w:rPr>
              <w:t xml:space="preserve">percuté les câbles électriques nus </w:t>
            </w:r>
          </w:p>
          <w:p w14:paraId="1D70ADEA" w14:textId="1DFA384E" w:rsidR="001472A8" w:rsidRPr="00D75D2E" w:rsidRDefault="001472A8" w:rsidP="005E5E69">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Dispositifs de protection de l’avifaune opérationnels</w:t>
            </w:r>
          </w:p>
        </w:tc>
      </w:tr>
      <w:tr w:rsidR="00E7457B" w:rsidRPr="00420C1B" w14:paraId="4894D450" w14:textId="77777777" w:rsidTr="00215867">
        <w:trPr>
          <w:trHeight w:val="164"/>
          <w:jc w:val="center"/>
        </w:trPr>
        <w:tc>
          <w:tcPr>
            <w:tcW w:w="884" w:type="pct"/>
            <w:tcBorders>
              <w:top w:val="single" w:sz="4" w:space="0" w:color="auto"/>
              <w:left w:val="single" w:sz="4" w:space="0" w:color="auto"/>
              <w:bottom w:val="single" w:sz="4" w:space="0" w:color="auto"/>
              <w:right w:val="single" w:sz="4" w:space="0" w:color="auto"/>
            </w:tcBorders>
            <w:hideMark/>
          </w:tcPr>
          <w:p w14:paraId="732FAACD" w14:textId="77777777" w:rsidR="00E7457B" w:rsidRPr="00D75D2E" w:rsidRDefault="00E7457B" w:rsidP="005E5E69">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345" w:type="pct"/>
            <w:tcBorders>
              <w:top w:val="single" w:sz="4" w:space="0" w:color="auto"/>
              <w:left w:val="single" w:sz="4" w:space="0" w:color="auto"/>
              <w:bottom w:val="single" w:sz="4" w:space="0" w:color="auto"/>
              <w:right w:val="single" w:sz="4" w:space="0" w:color="auto"/>
            </w:tcBorders>
            <w:hideMark/>
          </w:tcPr>
          <w:p w14:paraId="06B87715"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484" w:type="pct"/>
            <w:gridSpan w:val="2"/>
            <w:tcBorders>
              <w:top w:val="single" w:sz="4" w:space="0" w:color="auto"/>
              <w:left w:val="single" w:sz="4" w:space="0" w:color="auto"/>
              <w:bottom w:val="single" w:sz="4" w:space="0" w:color="auto"/>
              <w:right w:val="single" w:sz="4" w:space="0" w:color="auto"/>
            </w:tcBorders>
          </w:tcPr>
          <w:p w14:paraId="6DBD16CD"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tcPr>
          <w:p w14:paraId="0A209CD4"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tcPr>
          <w:p w14:paraId="202D2924"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tcPr>
          <w:p w14:paraId="7F8FFF6C"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622" w:type="pct"/>
            <w:tcBorders>
              <w:top w:val="single" w:sz="4" w:space="0" w:color="auto"/>
              <w:left w:val="single" w:sz="4" w:space="0" w:color="auto"/>
              <w:bottom w:val="single" w:sz="4" w:space="0" w:color="auto"/>
              <w:right w:val="single" w:sz="4" w:space="0" w:color="auto"/>
            </w:tcBorders>
            <w:hideMark/>
          </w:tcPr>
          <w:p w14:paraId="5246DF06" w14:textId="77777777" w:rsidR="00E7457B" w:rsidRPr="00D75D2E" w:rsidRDefault="00E7457B" w:rsidP="00215867">
            <w:pPr>
              <w:autoSpaceDE w:val="0"/>
              <w:autoSpaceDN w:val="0"/>
              <w:adjustRightInd w:val="0"/>
              <w:spacing w:after="0" w:line="240" w:lineRule="auto"/>
              <w:rPr>
                <w:rFonts w:ascii="Times New Roman" w:hAnsi="Times New Roman"/>
                <w:sz w:val="20"/>
                <w:szCs w:val="20"/>
              </w:rPr>
            </w:pPr>
            <w:r w:rsidRPr="00D75D2E">
              <w:rPr>
                <w:rFonts w:ascii="Times New Roman" w:hAnsi="Times New Roman"/>
                <w:sz w:val="20"/>
                <w:szCs w:val="20"/>
              </w:rPr>
              <w:t>Coût total</w:t>
            </w:r>
          </w:p>
        </w:tc>
        <w:tc>
          <w:tcPr>
            <w:tcW w:w="1005" w:type="pct"/>
            <w:gridSpan w:val="2"/>
            <w:tcBorders>
              <w:top w:val="single" w:sz="4" w:space="0" w:color="auto"/>
              <w:left w:val="single" w:sz="4" w:space="0" w:color="auto"/>
              <w:bottom w:val="single" w:sz="4" w:space="0" w:color="auto"/>
              <w:right w:val="single" w:sz="4" w:space="0" w:color="auto"/>
            </w:tcBorders>
            <w:hideMark/>
          </w:tcPr>
          <w:p w14:paraId="03E6CEB6" w14:textId="77777777" w:rsidR="00E7457B" w:rsidRPr="00D75D2E" w:rsidRDefault="00E7457B" w:rsidP="005E5E69">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Calendrier de mise en œuvre</w:t>
            </w:r>
          </w:p>
        </w:tc>
      </w:tr>
      <w:tr w:rsidR="00E7457B" w:rsidRPr="00420C1B" w14:paraId="42AC23B7" w14:textId="77777777" w:rsidTr="00215867">
        <w:trPr>
          <w:trHeight w:val="185"/>
          <w:jc w:val="center"/>
        </w:trPr>
        <w:tc>
          <w:tcPr>
            <w:tcW w:w="884" w:type="pct"/>
            <w:tcBorders>
              <w:top w:val="single" w:sz="4" w:space="0" w:color="auto"/>
              <w:left w:val="single" w:sz="4" w:space="0" w:color="auto"/>
              <w:bottom w:val="single" w:sz="4" w:space="0" w:color="auto"/>
              <w:right w:val="single" w:sz="4" w:space="0" w:color="auto"/>
            </w:tcBorders>
            <w:hideMark/>
          </w:tcPr>
          <w:p w14:paraId="10A1E3BF" w14:textId="77777777" w:rsidR="00E7457B" w:rsidRPr="00420C1B" w:rsidRDefault="00E7457B" w:rsidP="005E5E69">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345" w:type="pct"/>
            <w:tcBorders>
              <w:top w:val="single" w:sz="4" w:space="0" w:color="auto"/>
              <w:left w:val="single" w:sz="4" w:space="0" w:color="auto"/>
              <w:bottom w:val="single" w:sz="4" w:space="0" w:color="auto"/>
              <w:right w:val="single" w:sz="4" w:space="0" w:color="auto"/>
            </w:tcBorders>
            <w:hideMark/>
          </w:tcPr>
          <w:p w14:paraId="2DAAD255"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0D53C659"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2" w:type="pct"/>
            <w:gridSpan w:val="3"/>
            <w:tcBorders>
              <w:top w:val="single" w:sz="4" w:space="0" w:color="auto"/>
              <w:left w:val="single" w:sz="4" w:space="0" w:color="auto"/>
              <w:bottom w:val="single" w:sz="4" w:space="0" w:color="auto"/>
              <w:right w:val="single" w:sz="4" w:space="0" w:color="auto"/>
            </w:tcBorders>
            <w:shd w:val="clear" w:color="auto" w:fill="auto"/>
            <w:hideMark/>
          </w:tcPr>
          <w:p w14:paraId="61ECF209"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Pr>
          <w:p w14:paraId="5A0E3BD4"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F1A17D1"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5710AB07" w14:textId="77777777" w:rsidR="00E7457B" w:rsidRPr="00420C1B" w:rsidRDefault="00E7457B" w:rsidP="005E5E69">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1005" w:type="pct"/>
            <w:gridSpan w:val="2"/>
            <w:tcBorders>
              <w:top w:val="single" w:sz="4" w:space="0" w:color="auto"/>
              <w:left w:val="single" w:sz="4" w:space="0" w:color="auto"/>
              <w:bottom w:val="single" w:sz="4" w:space="0" w:color="auto"/>
              <w:right w:val="single" w:sz="4" w:space="0" w:color="auto"/>
            </w:tcBorders>
            <w:hideMark/>
          </w:tcPr>
          <w:p w14:paraId="357E205B" w14:textId="77777777" w:rsidR="00E7457B" w:rsidRPr="00420C1B" w:rsidRDefault="00E7457B" w:rsidP="005E5E69">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Avant et Pendant les travaux</w:t>
            </w:r>
          </w:p>
        </w:tc>
      </w:tr>
    </w:tbl>
    <w:p w14:paraId="60E30975" w14:textId="77777777" w:rsidR="00E7457B" w:rsidRDefault="00E7457B" w:rsidP="00E7457B">
      <w:pPr>
        <w:keepNext/>
        <w:spacing w:after="120" w:line="240" w:lineRule="auto"/>
        <w:rPr>
          <w:rFonts w:ascii="Times New Roman" w:hAnsi="Times New Roman"/>
          <w:iCs/>
          <w:szCs w:val="18"/>
        </w:rPr>
      </w:pPr>
    </w:p>
    <w:p w14:paraId="28B753B8" w14:textId="1748C994" w:rsidR="007629EE" w:rsidRDefault="007629EE" w:rsidP="005E5E69">
      <w:pPr>
        <w:rPr>
          <w:rFonts w:ascii="Times New Roman" w:hAnsi="Times New Roman"/>
        </w:rPr>
      </w:pPr>
    </w:p>
    <w:p w14:paraId="3F9C84F1" w14:textId="77777777" w:rsidR="005E5E69" w:rsidRPr="00D75D2E" w:rsidRDefault="005E5E69" w:rsidP="00ED17F3">
      <w:pPr>
        <w:rPr>
          <w:rFonts w:ascii="Times New Roman" w:hAnsi="Times New Roman"/>
        </w:rPr>
        <w:sectPr w:rsidR="005E5E69" w:rsidRPr="00D75D2E" w:rsidSect="0082504D">
          <w:pgSz w:w="11906" w:h="16838"/>
          <w:pgMar w:top="1440" w:right="1080" w:bottom="1440" w:left="1080" w:header="709" w:footer="709" w:gutter="0"/>
          <w:cols w:space="708"/>
          <w:docGrid w:linePitch="360"/>
        </w:sectPr>
      </w:pPr>
    </w:p>
    <w:p w14:paraId="6F17B47F" w14:textId="17DD00C9" w:rsidR="00ED17F3" w:rsidRPr="00E737B4" w:rsidRDefault="00ED17F3" w:rsidP="008C79F0">
      <w:pPr>
        <w:keepNext/>
        <w:keepLines/>
        <w:numPr>
          <w:ilvl w:val="0"/>
          <w:numId w:val="39"/>
        </w:numPr>
        <w:spacing w:after="0" w:line="240" w:lineRule="auto"/>
        <w:outlineLvl w:val="3"/>
        <w:rPr>
          <w:rFonts w:ascii="Times New Roman" w:eastAsia="Times New Roman" w:hAnsi="Times New Roman"/>
          <w:iCs/>
          <w:sz w:val="24"/>
          <w:szCs w:val="24"/>
          <w:u w:val="single"/>
        </w:rPr>
      </w:pPr>
      <w:bookmarkStart w:id="622" w:name="_Toc103685679"/>
      <w:r w:rsidRPr="00E737B4">
        <w:rPr>
          <w:rFonts w:ascii="Times New Roman" w:eastAsia="Times New Roman" w:hAnsi="Times New Roman"/>
          <w:iCs/>
          <w:sz w:val="24"/>
          <w:szCs w:val="24"/>
          <w:u w:val="single"/>
        </w:rPr>
        <w:t>Synthèse des impacts négatifs environnementaux de la variante avec le projet</w:t>
      </w:r>
      <w:bookmarkEnd w:id="622"/>
    </w:p>
    <w:p w14:paraId="7B746764" w14:textId="22700AA4" w:rsidR="00ED17F3" w:rsidRPr="00E737B4" w:rsidRDefault="00ED17F3" w:rsidP="00ED17F3">
      <w:pPr>
        <w:keepNext/>
        <w:autoSpaceDE w:val="0"/>
        <w:autoSpaceDN w:val="0"/>
        <w:adjustRightInd w:val="0"/>
        <w:spacing w:before="240" w:line="240" w:lineRule="auto"/>
        <w:rPr>
          <w:rFonts w:ascii="Times New Roman" w:hAnsi="Times New Roman"/>
          <w:sz w:val="24"/>
          <w:szCs w:val="24"/>
          <w:lang w:eastAsia="fr-FR"/>
        </w:rPr>
      </w:pPr>
      <w:r w:rsidRPr="00E737B4">
        <w:rPr>
          <w:rFonts w:ascii="Times New Roman" w:hAnsi="Times New Roman"/>
          <w:sz w:val="24"/>
          <w:szCs w:val="24"/>
          <w:lang w:eastAsia="fr-FR"/>
        </w:rPr>
        <w:t xml:space="preserve">Les déclarations </w:t>
      </w:r>
      <w:r w:rsidR="00CF2DDA" w:rsidRPr="00E737B4">
        <w:rPr>
          <w:rFonts w:ascii="Times New Roman" w:hAnsi="Times New Roman"/>
          <w:sz w:val="24"/>
          <w:szCs w:val="24"/>
          <w:lang w:eastAsia="fr-FR"/>
        </w:rPr>
        <w:t>d’impact présenté</w:t>
      </w:r>
      <w:r w:rsidRPr="00E737B4">
        <w:rPr>
          <w:rFonts w:ascii="Times New Roman" w:hAnsi="Times New Roman"/>
          <w:sz w:val="24"/>
          <w:szCs w:val="24"/>
          <w:lang w:eastAsia="fr-FR"/>
        </w:rPr>
        <w:t xml:space="preserve"> dans le </w:t>
      </w:r>
      <w:r w:rsidR="007A00BC" w:rsidRPr="00E737B4">
        <w:rPr>
          <w:rFonts w:ascii="Times New Roman" w:hAnsi="Times New Roman"/>
          <w:sz w:val="24"/>
          <w:szCs w:val="24"/>
          <w:lang w:eastAsia="fr-FR"/>
        </w:rPr>
        <w:t xml:space="preserve">tableau </w:t>
      </w:r>
      <w:r w:rsidR="00E732DD">
        <w:rPr>
          <w:rFonts w:ascii="Times New Roman" w:hAnsi="Times New Roman"/>
          <w:sz w:val="24"/>
          <w:szCs w:val="24"/>
          <w:lang w:eastAsia="fr-FR"/>
        </w:rPr>
        <w:t>33</w:t>
      </w:r>
      <w:r w:rsidR="00E732DD" w:rsidRPr="00E737B4">
        <w:rPr>
          <w:rFonts w:ascii="Times New Roman" w:hAnsi="Times New Roman"/>
          <w:sz w:val="24"/>
          <w:szCs w:val="24"/>
          <w:lang w:eastAsia="fr-FR"/>
        </w:rPr>
        <w:t xml:space="preserve"> </w:t>
      </w:r>
      <w:r w:rsidRPr="00E737B4">
        <w:rPr>
          <w:rFonts w:ascii="Times New Roman" w:hAnsi="Times New Roman"/>
          <w:sz w:val="24"/>
          <w:szCs w:val="24"/>
          <w:lang w:eastAsia="fr-FR"/>
        </w:rPr>
        <w:t>ont permis d’établir la matrice de synthèse des impacts négatifs environnementaux.</w:t>
      </w:r>
    </w:p>
    <w:p w14:paraId="3BAF5FE3" w14:textId="3F5506E0" w:rsidR="00C532BA" w:rsidRPr="00E737B4" w:rsidRDefault="00ED17F3" w:rsidP="00DC0554">
      <w:pPr>
        <w:keepNext/>
        <w:autoSpaceDE w:val="0"/>
        <w:autoSpaceDN w:val="0"/>
        <w:adjustRightInd w:val="0"/>
        <w:spacing w:line="240" w:lineRule="auto"/>
        <w:rPr>
          <w:rFonts w:ascii="Times New Roman" w:hAnsi="Times New Roman"/>
          <w:sz w:val="24"/>
          <w:szCs w:val="24"/>
          <w:lang w:eastAsia="fr-FR"/>
        </w:rPr>
      </w:pPr>
      <w:bookmarkStart w:id="623" w:name="_Toc519048937"/>
      <w:bookmarkStart w:id="624" w:name="_Toc93050300"/>
      <w:r w:rsidRPr="00E737B4">
        <w:rPr>
          <w:rFonts w:ascii="Times New Roman" w:hAnsi="Times New Roman"/>
          <w:sz w:val="24"/>
          <w:szCs w:val="24"/>
          <w:lang w:eastAsia="fr-FR"/>
        </w:rPr>
        <w:t xml:space="preserve">Tableau </w:t>
      </w:r>
      <w:r w:rsidRPr="00E737B4">
        <w:rPr>
          <w:rFonts w:ascii="Times New Roman" w:hAnsi="Times New Roman"/>
          <w:sz w:val="24"/>
          <w:szCs w:val="24"/>
          <w:lang w:eastAsia="fr-FR"/>
        </w:rPr>
        <w:fldChar w:fldCharType="begin"/>
      </w:r>
      <w:r w:rsidRPr="00E737B4">
        <w:rPr>
          <w:rFonts w:ascii="Times New Roman" w:hAnsi="Times New Roman"/>
          <w:sz w:val="24"/>
          <w:szCs w:val="24"/>
          <w:lang w:eastAsia="fr-FR"/>
        </w:rPr>
        <w:instrText xml:space="preserve"> SEQ Tableau \* ARABIC </w:instrText>
      </w:r>
      <w:r w:rsidRPr="00E737B4">
        <w:rPr>
          <w:rFonts w:ascii="Times New Roman" w:hAnsi="Times New Roman"/>
          <w:sz w:val="24"/>
          <w:szCs w:val="24"/>
          <w:lang w:eastAsia="fr-FR"/>
        </w:rPr>
        <w:fldChar w:fldCharType="separate"/>
      </w:r>
      <w:r w:rsidR="00A86929">
        <w:rPr>
          <w:rFonts w:ascii="Times New Roman" w:hAnsi="Times New Roman"/>
          <w:noProof/>
          <w:sz w:val="24"/>
          <w:szCs w:val="24"/>
          <w:lang w:eastAsia="fr-FR"/>
        </w:rPr>
        <w:t>38</w:t>
      </w:r>
      <w:r w:rsidRPr="00E737B4">
        <w:rPr>
          <w:rFonts w:ascii="Times New Roman" w:hAnsi="Times New Roman"/>
          <w:noProof/>
          <w:sz w:val="24"/>
          <w:szCs w:val="24"/>
          <w:lang w:eastAsia="fr-FR"/>
        </w:rPr>
        <w:fldChar w:fldCharType="end"/>
      </w:r>
      <w:r w:rsidRPr="00E737B4">
        <w:rPr>
          <w:rFonts w:ascii="Times New Roman" w:hAnsi="Times New Roman"/>
          <w:sz w:val="24"/>
          <w:szCs w:val="24"/>
          <w:lang w:eastAsia="fr-FR"/>
        </w:rPr>
        <w:t> : Synthèse des impacts négatifs environnementaux de la variante avec projet.</w:t>
      </w:r>
      <w:bookmarkEnd w:id="623"/>
      <w:bookmarkEnd w:id="624"/>
      <w:r w:rsidRPr="00E737B4">
        <w:rPr>
          <w:rFonts w:ascii="Times New Roman" w:hAnsi="Times New Roman"/>
          <w:sz w:val="24"/>
          <w:szCs w:val="24"/>
          <w:lang w:eastAsia="fr-FR"/>
        </w:rPr>
        <w:t xml:space="preserve"> </w:t>
      </w:r>
    </w:p>
    <w:tbl>
      <w:tblPr>
        <w:tblW w:w="16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705"/>
        <w:gridCol w:w="2532"/>
        <w:gridCol w:w="1418"/>
        <w:gridCol w:w="3892"/>
        <w:gridCol w:w="425"/>
        <w:gridCol w:w="519"/>
        <w:gridCol w:w="472"/>
        <w:gridCol w:w="425"/>
        <w:gridCol w:w="519"/>
        <w:gridCol w:w="425"/>
        <w:gridCol w:w="427"/>
        <w:gridCol w:w="567"/>
        <w:gridCol w:w="501"/>
        <w:gridCol w:w="567"/>
        <w:gridCol w:w="633"/>
        <w:gridCol w:w="688"/>
      </w:tblGrid>
      <w:tr w:rsidR="00D75D2E" w:rsidRPr="00420C1B" w14:paraId="645183CB" w14:textId="77777777" w:rsidTr="007108ED">
        <w:trPr>
          <w:trHeight w:val="395"/>
          <w:tblHeader/>
          <w:jc w:val="center"/>
        </w:trPr>
        <w:tc>
          <w:tcPr>
            <w:tcW w:w="1294" w:type="dxa"/>
            <w:vMerge w:val="restart"/>
            <w:shd w:val="clear" w:color="auto" w:fill="92D050"/>
            <w:vAlign w:val="center"/>
          </w:tcPr>
          <w:p w14:paraId="51FE6B58" w14:textId="77777777" w:rsidR="00ED17F3" w:rsidRPr="00D75D2E" w:rsidRDefault="00ED17F3" w:rsidP="007108ED">
            <w:pPr>
              <w:jc w:val="both"/>
              <w:rPr>
                <w:rFonts w:ascii="Times New Roman" w:hAnsi="Times New Roman"/>
                <w:b/>
                <w:sz w:val="20"/>
                <w:szCs w:val="20"/>
              </w:rPr>
            </w:pPr>
            <w:r w:rsidRPr="00D75D2E">
              <w:rPr>
                <w:rFonts w:ascii="Times New Roman" w:hAnsi="Times New Roman"/>
                <w:b/>
                <w:sz w:val="20"/>
                <w:szCs w:val="20"/>
              </w:rPr>
              <w:t>Phase du projet</w:t>
            </w:r>
          </w:p>
        </w:tc>
        <w:tc>
          <w:tcPr>
            <w:tcW w:w="705" w:type="dxa"/>
            <w:vMerge w:val="restart"/>
            <w:shd w:val="clear" w:color="auto" w:fill="92D050"/>
          </w:tcPr>
          <w:p w14:paraId="2868EDAE"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 xml:space="preserve">N° </w:t>
            </w:r>
          </w:p>
          <w:p w14:paraId="5C72F677"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FDI</w:t>
            </w:r>
          </w:p>
        </w:tc>
        <w:tc>
          <w:tcPr>
            <w:tcW w:w="2532" w:type="dxa"/>
            <w:vMerge w:val="restart"/>
            <w:shd w:val="clear" w:color="auto" w:fill="92D050"/>
            <w:vAlign w:val="center"/>
          </w:tcPr>
          <w:p w14:paraId="41660D4B"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Activités/sources d’impact</w:t>
            </w:r>
          </w:p>
        </w:tc>
        <w:tc>
          <w:tcPr>
            <w:tcW w:w="1418" w:type="dxa"/>
            <w:vMerge w:val="restart"/>
            <w:shd w:val="clear" w:color="auto" w:fill="92D050"/>
            <w:vAlign w:val="center"/>
          </w:tcPr>
          <w:p w14:paraId="0318DCD4"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Composante du milieu affectée</w:t>
            </w:r>
          </w:p>
        </w:tc>
        <w:tc>
          <w:tcPr>
            <w:tcW w:w="3892" w:type="dxa"/>
            <w:vMerge w:val="restart"/>
            <w:shd w:val="clear" w:color="auto" w:fill="92D050"/>
            <w:vAlign w:val="center"/>
          </w:tcPr>
          <w:p w14:paraId="6BDC57AD"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Description de l’impact</w:t>
            </w:r>
          </w:p>
        </w:tc>
        <w:tc>
          <w:tcPr>
            <w:tcW w:w="1416" w:type="dxa"/>
            <w:gridSpan w:val="3"/>
            <w:shd w:val="clear" w:color="auto" w:fill="92D050"/>
            <w:vAlign w:val="center"/>
          </w:tcPr>
          <w:p w14:paraId="7F1C7D8F"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Intensité</w:t>
            </w:r>
          </w:p>
        </w:tc>
        <w:tc>
          <w:tcPr>
            <w:tcW w:w="1369" w:type="dxa"/>
            <w:gridSpan w:val="3"/>
            <w:shd w:val="clear" w:color="auto" w:fill="92D050"/>
            <w:vAlign w:val="center"/>
          </w:tcPr>
          <w:p w14:paraId="0309D582"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Etendue</w:t>
            </w:r>
          </w:p>
        </w:tc>
        <w:tc>
          <w:tcPr>
            <w:tcW w:w="1495" w:type="dxa"/>
            <w:gridSpan w:val="3"/>
            <w:shd w:val="clear" w:color="auto" w:fill="92D050"/>
            <w:vAlign w:val="center"/>
          </w:tcPr>
          <w:p w14:paraId="2B5087C3"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Durée</w:t>
            </w:r>
          </w:p>
        </w:tc>
        <w:tc>
          <w:tcPr>
            <w:tcW w:w="1888" w:type="dxa"/>
            <w:gridSpan w:val="3"/>
            <w:shd w:val="clear" w:color="auto" w:fill="92D050"/>
            <w:vAlign w:val="center"/>
          </w:tcPr>
          <w:p w14:paraId="4B750BC6"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Importance</w:t>
            </w:r>
          </w:p>
        </w:tc>
      </w:tr>
      <w:tr w:rsidR="003C5554" w:rsidRPr="00420C1B" w14:paraId="7BF112A8" w14:textId="77777777" w:rsidTr="00B90EFA">
        <w:trPr>
          <w:trHeight w:val="395"/>
          <w:tblHeader/>
          <w:jc w:val="center"/>
        </w:trPr>
        <w:tc>
          <w:tcPr>
            <w:tcW w:w="1294" w:type="dxa"/>
            <w:vMerge/>
            <w:shd w:val="clear" w:color="auto" w:fill="92D050"/>
            <w:vAlign w:val="center"/>
          </w:tcPr>
          <w:p w14:paraId="2639ECEC" w14:textId="77777777" w:rsidR="00ED17F3" w:rsidRPr="00D75D2E" w:rsidRDefault="00ED17F3" w:rsidP="007108ED">
            <w:pPr>
              <w:jc w:val="both"/>
              <w:rPr>
                <w:rFonts w:ascii="Times New Roman" w:hAnsi="Times New Roman"/>
                <w:b/>
                <w:sz w:val="20"/>
                <w:szCs w:val="20"/>
              </w:rPr>
            </w:pPr>
          </w:p>
        </w:tc>
        <w:tc>
          <w:tcPr>
            <w:tcW w:w="705" w:type="dxa"/>
            <w:vMerge/>
            <w:shd w:val="clear" w:color="auto" w:fill="92D050"/>
          </w:tcPr>
          <w:p w14:paraId="1742DBF9" w14:textId="77777777" w:rsidR="00ED17F3" w:rsidRPr="00D75D2E" w:rsidRDefault="00ED17F3" w:rsidP="007108ED">
            <w:pPr>
              <w:rPr>
                <w:rFonts w:ascii="Times New Roman" w:hAnsi="Times New Roman"/>
                <w:sz w:val="20"/>
                <w:szCs w:val="20"/>
              </w:rPr>
            </w:pPr>
          </w:p>
        </w:tc>
        <w:tc>
          <w:tcPr>
            <w:tcW w:w="2532" w:type="dxa"/>
            <w:vMerge/>
            <w:shd w:val="clear" w:color="auto" w:fill="92D050"/>
            <w:vAlign w:val="center"/>
          </w:tcPr>
          <w:p w14:paraId="7AFDA8CF" w14:textId="77777777" w:rsidR="00ED17F3" w:rsidRPr="00D75D2E" w:rsidRDefault="00ED17F3" w:rsidP="007108ED">
            <w:pPr>
              <w:rPr>
                <w:rFonts w:ascii="Times New Roman" w:hAnsi="Times New Roman"/>
                <w:sz w:val="20"/>
                <w:szCs w:val="20"/>
              </w:rPr>
            </w:pPr>
          </w:p>
        </w:tc>
        <w:tc>
          <w:tcPr>
            <w:tcW w:w="1418" w:type="dxa"/>
            <w:vMerge/>
            <w:shd w:val="clear" w:color="auto" w:fill="92D050"/>
            <w:vAlign w:val="center"/>
          </w:tcPr>
          <w:p w14:paraId="704206BB" w14:textId="77777777" w:rsidR="00ED17F3" w:rsidRPr="00D75D2E" w:rsidRDefault="00ED17F3" w:rsidP="007108ED">
            <w:pPr>
              <w:rPr>
                <w:rFonts w:ascii="Times New Roman" w:hAnsi="Times New Roman"/>
                <w:sz w:val="20"/>
                <w:szCs w:val="20"/>
              </w:rPr>
            </w:pPr>
          </w:p>
        </w:tc>
        <w:tc>
          <w:tcPr>
            <w:tcW w:w="3892" w:type="dxa"/>
            <w:vMerge/>
            <w:shd w:val="clear" w:color="auto" w:fill="92D050"/>
            <w:vAlign w:val="center"/>
          </w:tcPr>
          <w:p w14:paraId="300925C0" w14:textId="77777777" w:rsidR="00ED17F3" w:rsidRPr="00D75D2E" w:rsidRDefault="00ED17F3" w:rsidP="007108ED">
            <w:pPr>
              <w:rPr>
                <w:rFonts w:ascii="Times New Roman" w:hAnsi="Times New Roman"/>
                <w:sz w:val="20"/>
                <w:szCs w:val="20"/>
              </w:rPr>
            </w:pPr>
          </w:p>
        </w:tc>
        <w:tc>
          <w:tcPr>
            <w:tcW w:w="425" w:type="dxa"/>
            <w:shd w:val="clear" w:color="auto" w:fill="92D050"/>
            <w:vAlign w:val="center"/>
          </w:tcPr>
          <w:p w14:paraId="69FA0D4A"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F</w:t>
            </w:r>
          </w:p>
        </w:tc>
        <w:tc>
          <w:tcPr>
            <w:tcW w:w="519" w:type="dxa"/>
            <w:shd w:val="clear" w:color="auto" w:fill="92D050"/>
            <w:vAlign w:val="center"/>
          </w:tcPr>
          <w:p w14:paraId="38DCC838"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M</w:t>
            </w:r>
          </w:p>
        </w:tc>
        <w:tc>
          <w:tcPr>
            <w:tcW w:w="472" w:type="dxa"/>
            <w:shd w:val="clear" w:color="auto" w:fill="92D050"/>
            <w:vAlign w:val="center"/>
          </w:tcPr>
          <w:p w14:paraId="08F9DB3F"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Fo</w:t>
            </w:r>
          </w:p>
        </w:tc>
        <w:tc>
          <w:tcPr>
            <w:tcW w:w="425" w:type="dxa"/>
            <w:shd w:val="clear" w:color="auto" w:fill="92D050"/>
            <w:vAlign w:val="center"/>
          </w:tcPr>
          <w:p w14:paraId="745CBDA0"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P</w:t>
            </w:r>
          </w:p>
        </w:tc>
        <w:tc>
          <w:tcPr>
            <w:tcW w:w="519" w:type="dxa"/>
            <w:shd w:val="clear" w:color="auto" w:fill="92D050"/>
            <w:vAlign w:val="center"/>
          </w:tcPr>
          <w:p w14:paraId="24E396BE"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Lo</w:t>
            </w:r>
          </w:p>
        </w:tc>
        <w:tc>
          <w:tcPr>
            <w:tcW w:w="425" w:type="dxa"/>
            <w:shd w:val="clear" w:color="auto" w:fill="92D050"/>
            <w:vAlign w:val="center"/>
          </w:tcPr>
          <w:p w14:paraId="4A1AB4FD"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R</w:t>
            </w:r>
          </w:p>
        </w:tc>
        <w:tc>
          <w:tcPr>
            <w:tcW w:w="427" w:type="dxa"/>
            <w:shd w:val="clear" w:color="auto" w:fill="92D050"/>
            <w:vAlign w:val="center"/>
          </w:tcPr>
          <w:p w14:paraId="7D9E3010"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C</w:t>
            </w:r>
          </w:p>
        </w:tc>
        <w:tc>
          <w:tcPr>
            <w:tcW w:w="567" w:type="dxa"/>
            <w:shd w:val="clear" w:color="auto" w:fill="92D050"/>
            <w:vAlign w:val="center"/>
          </w:tcPr>
          <w:p w14:paraId="38A6D411"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Mo</w:t>
            </w:r>
          </w:p>
        </w:tc>
        <w:tc>
          <w:tcPr>
            <w:tcW w:w="501" w:type="dxa"/>
            <w:shd w:val="clear" w:color="auto" w:fill="92D050"/>
            <w:vAlign w:val="center"/>
          </w:tcPr>
          <w:p w14:paraId="73226C8F"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L</w:t>
            </w:r>
          </w:p>
        </w:tc>
        <w:tc>
          <w:tcPr>
            <w:tcW w:w="567" w:type="dxa"/>
            <w:shd w:val="clear" w:color="auto" w:fill="92D050"/>
            <w:vAlign w:val="center"/>
          </w:tcPr>
          <w:p w14:paraId="0AABA8BB"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Mi</w:t>
            </w:r>
          </w:p>
        </w:tc>
        <w:tc>
          <w:tcPr>
            <w:tcW w:w="633" w:type="dxa"/>
            <w:shd w:val="clear" w:color="auto" w:fill="92D050"/>
            <w:vAlign w:val="center"/>
          </w:tcPr>
          <w:p w14:paraId="7674CE4B"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Moy</w:t>
            </w:r>
          </w:p>
        </w:tc>
        <w:tc>
          <w:tcPr>
            <w:tcW w:w="688" w:type="dxa"/>
            <w:shd w:val="clear" w:color="auto" w:fill="92D050"/>
            <w:vAlign w:val="center"/>
          </w:tcPr>
          <w:p w14:paraId="7A1B1492" w14:textId="77777777" w:rsidR="00ED17F3" w:rsidRPr="00D75D2E" w:rsidRDefault="00ED17F3" w:rsidP="007108ED">
            <w:pPr>
              <w:jc w:val="center"/>
              <w:rPr>
                <w:rFonts w:ascii="Times New Roman" w:hAnsi="Times New Roman"/>
                <w:b/>
                <w:sz w:val="20"/>
                <w:szCs w:val="20"/>
              </w:rPr>
            </w:pPr>
            <w:r w:rsidRPr="00D75D2E">
              <w:rPr>
                <w:rFonts w:ascii="Times New Roman" w:hAnsi="Times New Roman"/>
                <w:b/>
                <w:sz w:val="20"/>
                <w:szCs w:val="20"/>
              </w:rPr>
              <w:t>Ma</w:t>
            </w:r>
          </w:p>
        </w:tc>
      </w:tr>
      <w:tr w:rsidR="00D75D2E" w:rsidRPr="00420C1B" w14:paraId="317B61BA" w14:textId="77777777" w:rsidTr="00215867">
        <w:trPr>
          <w:trHeight w:val="395"/>
          <w:jc w:val="center"/>
        </w:trPr>
        <w:tc>
          <w:tcPr>
            <w:tcW w:w="1294" w:type="dxa"/>
            <w:vMerge w:val="restart"/>
            <w:textDirection w:val="btLr"/>
            <w:vAlign w:val="center"/>
          </w:tcPr>
          <w:p w14:paraId="6A65AD57" w14:textId="77777777" w:rsidR="00ED17F3" w:rsidRPr="00D75D2E" w:rsidRDefault="00ED17F3" w:rsidP="007108ED">
            <w:pPr>
              <w:ind w:left="113" w:right="113"/>
              <w:jc w:val="center"/>
              <w:rPr>
                <w:rFonts w:ascii="Times New Roman" w:hAnsi="Times New Roman"/>
                <w:b/>
                <w:sz w:val="20"/>
                <w:szCs w:val="20"/>
              </w:rPr>
            </w:pPr>
            <w:r w:rsidRPr="00D75D2E">
              <w:rPr>
                <w:rFonts w:ascii="Times New Roman" w:hAnsi="Times New Roman"/>
                <w:b/>
                <w:sz w:val="20"/>
                <w:szCs w:val="20"/>
              </w:rPr>
              <w:t>PREPARATOIRE</w:t>
            </w:r>
          </w:p>
        </w:tc>
        <w:tc>
          <w:tcPr>
            <w:tcW w:w="705" w:type="dxa"/>
            <w:vAlign w:val="center"/>
          </w:tcPr>
          <w:p w14:paraId="59B7DB9D"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1</w:t>
            </w:r>
          </w:p>
        </w:tc>
        <w:tc>
          <w:tcPr>
            <w:tcW w:w="2532" w:type="dxa"/>
            <w:vMerge w:val="restart"/>
            <w:vAlign w:val="center"/>
          </w:tcPr>
          <w:p w14:paraId="7D70FD48" w14:textId="77777777" w:rsidR="00ED17F3" w:rsidRPr="00D75D2E" w:rsidRDefault="00ED17F3" w:rsidP="00DC0554">
            <w:pPr>
              <w:jc w:val="both"/>
              <w:rPr>
                <w:rFonts w:ascii="Times New Roman" w:hAnsi="Times New Roman"/>
                <w:sz w:val="20"/>
                <w:szCs w:val="20"/>
              </w:rPr>
            </w:pPr>
            <w:r w:rsidRPr="00D75D2E">
              <w:rPr>
                <w:rFonts w:ascii="Times New Roman" w:hAnsi="Times New Roman"/>
                <w:sz w:val="20"/>
                <w:szCs w:val="20"/>
              </w:rPr>
              <w:t>Abattage des arbres dans les emprises des lignes ou des cabines</w:t>
            </w:r>
          </w:p>
        </w:tc>
        <w:tc>
          <w:tcPr>
            <w:tcW w:w="1418" w:type="dxa"/>
            <w:vAlign w:val="center"/>
          </w:tcPr>
          <w:p w14:paraId="72B1BEE5" w14:textId="77777777" w:rsidR="00ED17F3" w:rsidRPr="00D75D2E" w:rsidRDefault="007A00BC" w:rsidP="007108ED">
            <w:pPr>
              <w:rPr>
                <w:rFonts w:ascii="Times New Roman" w:hAnsi="Times New Roman"/>
                <w:sz w:val="20"/>
                <w:szCs w:val="20"/>
              </w:rPr>
            </w:pPr>
            <w:r w:rsidRPr="00D75D2E">
              <w:rPr>
                <w:rFonts w:ascii="Times New Roman" w:hAnsi="Times New Roman"/>
                <w:sz w:val="20"/>
                <w:szCs w:val="20"/>
              </w:rPr>
              <w:t>Végétation</w:t>
            </w:r>
          </w:p>
        </w:tc>
        <w:tc>
          <w:tcPr>
            <w:tcW w:w="3892" w:type="dxa"/>
            <w:shd w:val="clear" w:color="auto" w:fill="auto"/>
            <w:vAlign w:val="center"/>
          </w:tcPr>
          <w:p w14:paraId="27F54E41" w14:textId="77777777" w:rsidR="001D7D1C" w:rsidRPr="00D75D2E" w:rsidRDefault="00DC0554" w:rsidP="001D7D1C">
            <w:pPr>
              <w:spacing w:after="0" w:line="240" w:lineRule="auto"/>
              <w:jc w:val="both"/>
              <w:rPr>
                <w:rFonts w:ascii="Times New Roman" w:eastAsia="Times New Roman" w:hAnsi="Times New Roman"/>
                <w:bCs/>
                <w:sz w:val="20"/>
                <w:szCs w:val="20"/>
              </w:rPr>
            </w:pPr>
            <w:r w:rsidRPr="00D75D2E">
              <w:rPr>
                <w:rFonts w:ascii="Times New Roman" w:hAnsi="Times New Roman"/>
                <w:iCs/>
                <w:sz w:val="20"/>
                <w:szCs w:val="20"/>
              </w:rPr>
              <w:t xml:space="preserve">La mise en œuvre du projet entrainera l’abattage </w:t>
            </w:r>
            <w:r w:rsidR="001A5E8C" w:rsidRPr="00D75D2E">
              <w:rPr>
                <w:rFonts w:ascii="Times New Roman" w:hAnsi="Times New Roman"/>
                <w:iCs/>
                <w:sz w:val="20"/>
                <w:szCs w:val="20"/>
              </w:rPr>
              <w:t xml:space="preserve">de </w:t>
            </w:r>
            <w:r w:rsidR="001D7D1C" w:rsidRPr="00D75D2E">
              <w:rPr>
                <w:rFonts w:ascii="Times New Roman" w:eastAsia="Times New Roman" w:hAnsi="Times New Roman"/>
                <w:bCs/>
                <w:sz w:val="20"/>
                <w:szCs w:val="20"/>
              </w:rPr>
              <w:t xml:space="preserve">1129 pieds d’arbres seront abattus dont </w:t>
            </w:r>
            <w:r w:rsidR="001D7D1C" w:rsidRPr="00D75D2E">
              <w:rPr>
                <w:rFonts w:ascii="Times New Roman" w:hAnsi="Times New Roman"/>
                <w:sz w:val="20"/>
                <w:szCs w:val="20"/>
              </w:rPr>
              <w:t>314 du domaine public et 815 du domaine privé</w:t>
            </w:r>
            <w:r w:rsidR="001D7D1C" w:rsidRPr="00D75D2E">
              <w:rPr>
                <w:rFonts w:ascii="Times New Roman" w:eastAsia="Times New Roman" w:hAnsi="Times New Roman"/>
                <w:bCs/>
                <w:sz w:val="20"/>
                <w:szCs w:val="20"/>
              </w:rPr>
              <w:t xml:space="preserve">). </w:t>
            </w:r>
          </w:p>
          <w:p w14:paraId="08C7DF38" w14:textId="77777777" w:rsidR="00ED17F3" w:rsidRPr="00420C1B" w:rsidRDefault="001D7D1C" w:rsidP="00115700">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Pour les arbres privés </w:t>
            </w:r>
            <w:r w:rsidRPr="00420C1B">
              <w:rPr>
                <w:rFonts w:ascii="Times New Roman" w:hAnsi="Times New Roman"/>
                <w:sz w:val="20"/>
                <w:szCs w:val="20"/>
              </w:rPr>
              <w:t>impactés, la majeure partie est constituée de manguier (367 pieds), d’avocatier (130 pieds), de palmier (73 pieds), de safoutier (47 pieds), d’eucalyptus (46 pieds), de pommiers (21 pieds), d’acacia (21 pieds).</w:t>
            </w:r>
          </w:p>
        </w:tc>
        <w:tc>
          <w:tcPr>
            <w:tcW w:w="425" w:type="dxa"/>
            <w:shd w:val="clear" w:color="auto" w:fill="FFFFFF"/>
            <w:vAlign w:val="center"/>
          </w:tcPr>
          <w:p w14:paraId="76CB2562" w14:textId="77777777" w:rsidR="00ED17F3" w:rsidRPr="00D75D2E" w:rsidRDefault="00ED17F3" w:rsidP="007108ED">
            <w:pPr>
              <w:jc w:val="center"/>
              <w:rPr>
                <w:rFonts w:ascii="Times New Roman" w:hAnsi="Times New Roman"/>
                <w:b/>
                <w:sz w:val="20"/>
                <w:szCs w:val="20"/>
              </w:rPr>
            </w:pPr>
          </w:p>
        </w:tc>
        <w:tc>
          <w:tcPr>
            <w:tcW w:w="519" w:type="dxa"/>
            <w:shd w:val="clear" w:color="auto" w:fill="FFFFFF"/>
            <w:vAlign w:val="center"/>
          </w:tcPr>
          <w:p w14:paraId="6A6609B9" w14:textId="77777777" w:rsidR="00ED17F3" w:rsidRPr="00D75D2E" w:rsidRDefault="00ED17F3" w:rsidP="007108ED">
            <w:pPr>
              <w:jc w:val="center"/>
              <w:rPr>
                <w:rFonts w:ascii="Times New Roman" w:hAnsi="Times New Roman"/>
                <w:b/>
                <w:sz w:val="20"/>
                <w:szCs w:val="20"/>
              </w:rPr>
            </w:pPr>
          </w:p>
        </w:tc>
        <w:tc>
          <w:tcPr>
            <w:tcW w:w="472" w:type="dxa"/>
            <w:shd w:val="clear" w:color="auto" w:fill="FFC000"/>
            <w:vAlign w:val="center"/>
          </w:tcPr>
          <w:p w14:paraId="678FF86A" w14:textId="77777777" w:rsidR="00ED17F3" w:rsidRPr="00D75D2E" w:rsidRDefault="00ED17F3" w:rsidP="007108ED">
            <w:pPr>
              <w:jc w:val="center"/>
              <w:rPr>
                <w:rFonts w:ascii="Times New Roman" w:hAnsi="Times New Roman"/>
                <w:b/>
                <w:sz w:val="20"/>
                <w:szCs w:val="20"/>
              </w:rPr>
            </w:pPr>
          </w:p>
        </w:tc>
        <w:tc>
          <w:tcPr>
            <w:tcW w:w="425" w:type="dxa"/>
            <w:shd w:val="clear" w:color="auto" w:fill="FFC000"/>
            <w:vAlign w:val="center"/>
          </w:tcPr>
          <w:p w14:paraId="1939DE2A" w14:textId="77777777" w:rsidR="00ED17F3" w:rsidRPr="00D75D2E" w:rsidRDefault="00ED17F3" w:rsidP="007108ED">
            <w:pPr>
              <w:jc w:val="center"/>
              <w:rPr>
                <w:rFonts w:ascii="Times New Roman" w:hAnsi="Times New Roman"/>
                <w:b/>
                <w:sz w:val="20"/>
                <w:szCs w:val="20"/>
              </w:rPr>
            </w:pPr>
          </w:p>
        </w:tc>
        <w:tc>
          <w:tcPr>
            <w:tcW w:w="519" w:type="dxa"/>
            <w:shd w:val="clear" w:color="auto" w:fill="FFFFFF"/>
            <w:vAlign w:val="center"/>
          </w:tcPr>
          <w:p w14:paraId="5C0CBB10" w14:textId="77777777" w:rsidR="00ED17F3" w:rsidRPr="00D75D2E" w:rsidRDefault="00ED17F3" w:rsidP="007108ED">
            <w:pPr>
              <w:jc w:val="center"/>
              <w:rPr>
                <w:rFonts w:ascii="Times New Roman" w:hAnsi="Times New Roman"/>
                <w:b/>
                <w:sz w:val="20"/>
                <w:szCs w:val="20"/>
              </w:rPr>
            </w:pPr>
          </w:p>
        </w:tc>
        <w:tc>
          <w:tcPr>
            <w:tcW w:w="425" w:type="dxa"/>
            <w:shd w:val="clear" w:color="auto" w:fill="FFFFFF"/>
            <w:vAlign w:val="center"/>
          </w:tcPr>
          <w:p w14:paraId="6F712B6D" w14:textId="77777777" w:rsidR="00ED17F3" w:rsidRPr="00D75D2E" w:rsidRDefault="00ED17F3" w:rsidP="007108ED">
            <w:pPr>
              <w:jc w:val="center"/>
              <w:rPr>
                <w:rFonts w:ascii="Times New Roman" w:hAnsi="Times New Roman"/>
                <w:b/>
                <w:sz w:val="20"/>
                <w:szCs w:val="20"/>
              </w:rPr>
            </w:pPr>
          </w:p>
        </w:tc>
        <w:tc>
          <w:tcPr>
            <w:tcW w:w="427" w:type="dxa"/>
            <w:shd w:val="clear" w:color="auto" w:fill="FFFFFF"/>
            <w:vAlign w:val="center"/>
          </w:tcPr>
          <w:p w14:paraId="639BF3E6" w14:textId="77777777" w:rsidR="00ED17F3" w:rsidRPr="00D75D2E" w:rsidRDefault="00ED17F3" w:rsidP="007108ED">
            <w:pPr>
              <w:jc w:val="center"/>
              <w:rPr>
                <w:rFonts w:ascii="Times New Roman" w:hAnsi="Times New Roman"/>
                <w:b/>
                <w:sz w:val="20"/>
                <w:szCs w:val="20"/>
              </w:rPr>
            </w:pPr>
          </w:p>
        </w:tc>
        <w:tc>
          <w:tcPr>
            <w:tcW w:w="567" w:type="dxa"/>
            <w:shd w:val="clear" w:color="auto" w:fill="FFFFFF"/>
            <w:vAlign w:val="center"/>
          </w:tcPr>
          <w:p w14:paraId="70E8AFC5" w14:textId="77777777" w:rsidR="00ED17F3" w:rsidRPr="00D75D2E" w:rsidRDefault="00ED17F3" w:rsidP="007108ED">
            <w:pPr>
              <w:jc w:val="center"/>
              <w:rPr>
                <w:rFonts w:ascii="Times New Roman" w:hAnsi="Times New Roman"/>
                <w:b/>
                <w:sz w:val="20"/>
                <w:szCs w:val="20"/>
              </w:rPr>
            </w:pPr>
          </w:p>
        </w:tc>
        <w:tc>
          <w:tcPr>
            <w:tcW w:w="501" w:type="dxa"/>
            <w:shd w:val="clear" w:color="auto" w:fill="FFC000"/>
            <w:vAlign w:val="center"/>
          </w:tcPr>
          <w:p w14:paraId="29AC0404" w14:textId="77777777" w:rsidR="00ED17F3" w:rsidRPr="00D75D2E" w:rsidRDefault="00ED17F3" w:rsidP="007108ED">
            <w:pPr>
              <w:jc w:val="center"/>
              <w:rPr>
                <w:rFonts w:ascii="Times New Roman" w:hAnsi="Times New Roman"/>
                <w:b/>
                <w:sz w:val="20"/>
                <w:szCs w:val="20"/>
              </w:rPr>
            </w:pPr>
          </w:p>
        </w:tc>
        <w:tc>
          <w:tcPr>
            <w:tcW w:w="567" w:type="dxa"/>
            <w:shd w:val="clear" w:color="auto" w:fill="FFFFFF"/>
            <w:vAlign w:val="center"/>
          </w:tcPr>
          <w:p w14:paraId="4722D336" w14:textId="77777777" w:rsidR="00ED17F3" w:rsidRPr="00D75D2E" w:rsidRDefault="00ED17F3" w:rsidP="007108ED">
            <w:pPr>
              <w:jc w:val="center"/>
              <w:rPr>
                <w:rFonts w:ascii="Times New Roman" w:hAnsi="Times New Roman"/>
                <w:b/>
                <w:sz w:val="20"/>
                <w:szCs w:val="20"/>
              </w:rPr>
            </w:pPr>
          </w:p>
        </w:tc>
        <w:tc>
          <w:tcPr>
            <w:tcW w:w="633" w:type="dxa"/>
            <w:shd w:val="clear" w:color="auto" w:fill="auto"/>
            <w:vAlign w:val="center"/>
          </w:tcPr>
          <w:p w14:paraId="1E0D9C94" w14:textId="77777777" w:rsidR="00ED17F3" w:rsidRPr="00D75D2E" w:rsidRDefault="00ED17F3" w:rsidP="007108ED">
            <w:pPr>
              <w:jc w:val="center"/>
              <w:rPr>
                <w:rFonts w:ascii="Times New Roman" w:hAnsi="Times New Roman"/>
                <w:b/>
                <w:sz w:val="20"/>
                <w:szCs w:val="20"/>
              </w:rPr>
            </w:pPr>
          </w:p>
        </w:tc>
        <w:tc>
          <w:tcPr>
            <w:tcW w:w="688" w:type="dxa"/>
            <w:shd w:val="clear" w:color="auto" w:fill="FFC000"/>
            <w:vAlign w:val="center"/>
          </w:tcPr>
          <w:p w14:paraId="0B3CAB11" w14:textId="77777777" w:rsidR="00ED17F3" w:rsidRPr="00D75D2E" w:rsidRDefault="00ED17F3" w:rsidP="007108ED">
            <w:pPr>
              <w:jc w:val="center"/>
              <w:rPr>
                <w:rFonts w:ascii="Times New Roman" w:hAnsi="Times New Roman"/>
                <w:b/>
                <w:sz w:val="20"/>
                <w:szCs w:val="20"/>
              </w:rPr>
            </w:pPr>
          </w:p>
        </w:tc>
      </w:tr>
      <w:tr w:rsidR="00D75D2E" w:rsidRPr="00420C1B" w14:paraId="05CFC180" w14:textId="77777777" w:rsidTr="00215867">
        <w:trPr>
          <w:trHeight w:val="560"/>
          <w:jc w:val="center"/>
        </w:trPr>
        <w:tc>
          <w:tcPr>
            <w:tcW w:w="1294" w:type="dxa"/>
            <w:vMerge/>
            <w:textDirection w:val="btLr"/>
            <w:vAlign w:val="center"/>
          </w:tcPr>
          <w:p w14:paraId="6560D909" w14:textId="77777777" w:rsidR="00ED17F3" w:rsidRPr="00D75D2E" w:rsidRDefault="00ED17F3" w:rsidP="007108ED">
            <w:pPr>
              <w:ind w:left="113" w:right="113"/>
              <w:jc w:val="center"/>
              <w:rPr>
                <w:rFonts w:ascii="Times New Roman" w:hAnsi="Times New Roman"/>
                <w:b/>
                <w:sz w:val="20"/>
                <w:szCs w:val="20"/>
              </w:rPr>
            </w:pPr>
          </w:p>
        </w:tc>
        <w:tc>
          <w:tcPr>
            <w:tcW w:w="705" w:type="dxa"/>
            <w:vAlign w:val="center"/>
          </w:tcPr>
          <w:p w14:paraId="4F731E83"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2</w:t>
            </w:r>
          </w:p>
        </w:tc>
        <w:tc>
          <w:tcPr>
            <w:tcW w:w="2532" w:type="dxa"/>
            <w:vMerge/>
            <w:vAlign w:val="center"/>
          </w:tcPr>
          <w:p w14:paraId="0E66652E" w14:textId="77777777" w:rsidR="00ED17F3" w:rsidRPr="00D75D2E" w:rsidRDefault="00ED17F3" w:rsidP="007108ED">
            <w:pPr>
              <w:jc w:val="both"/>
              <w:rPr>
                <w:rFonts w:ascii="Times New Roman" w:hAnsi="Times New Roman"/>
                <w:sz w:val="20"/>
                <w:szCs w:val="20"/>
              </w:rPr>
            </w:pPr>
          </w:p>
        </w:tc>
        <w:tc>
          <w:tcPr>
            <w:tcW w:w="1418" w:type="dxa"/>
            <w:vAlign w:val="center"/>
          </w:tcPr>
          <w:p w14:paraId="0944442C"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Faune</w:t>
            </w:r>
          </w:p>
        </w:tc>
        <w:tc>
          <w:tcPr>
            <w:tcW w:w="3892" w:type="dxa"/>
            <w:shd w:val="clear" w:color="auto" w:fill="auto"/>
            <w:vAlign w:val="center"/>
          </w:tcPr>
          <w:p w14:paraId="1AF7F0C7" w14:textId="2766BF8D" w:rsidR="00ED17F3" w:rsidRPr="00D75D2E" w:rsidRDefault="00ED17F3"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 xml:space="preserve">L’abattage ou élagage d’arbres entrainera la </w:t>
            </w:r>
            <w:bookmarkStart w:id="625" w:name="_Hlk518993114"/>
            <w:r w:rsidRPr="00D75D2E">
              <w:rPr>
                <w:rFonts w:ascii="Times New Roman" w:hAnsi="Times New Roman"/>
                <w:iCs/>
                <w:sz w:val="20"/>
                <w:szCs w:val="20"/>
              </w:rPr>
              <w:t xml:space="preserve">perte d’habitat faunique surtout pour la faune aviaire.     </w:t>
            </w:r>
            <w:bookmarkEnd w:id="625"/>
          </w:p>
        </w:tc>
        <w:tc>
          <w:tcPr>
            <w:tcW w:w="425" w:type="dxa"/>
            <w:shd w:val="clear" w:color="auto" w:fill="FFFFFF"/>
            <w:vAlign w:val="center"/>
          </w:tcPr>
          <w:p w14:paraId="34DCBCE3" w14:textId="77777777" w:rsidR="00ED17F3" w:rsidRPr="00D75D2E" w:rsidRDefault="00ED17F3" w:rsidP="007108ED">
            <w:pPr>
              <w:jc w:val="center"/>
              <w:rPr>
                <w:rFonts w:ascii="Times New Roman" w:hAnsi="Times New Roman"/>
                <w:b/>
                <w:sz w:val="20"/>
                <w:szCs w:val="20"/>
              </w:rPr>
            </w:pPr>
          </w:p>
        </w:tc>
        <w:tc>
          <w:tcPr>
            <w:tcW w:w="519" w:type="dxa"/>
            <w:shd w:val="clear" w:color="auto" w:fill="FFC000"/>
            <w:vAlign w:val="center"/>
          </w:tcPr>
          <w:p w14:paraId="13472BF5" w14:textId="77777777" w:rsidR="00ED17F3" w:rsidRPr="00D75D2E" w:rsidRDefault="00ED17F3" w:rsidP="007108ED">
            <w:pPr>
              <w:jc w:val="center"/>
              <w:rPr>
                <w:rFonts w:ascii="Times New Roman" w:hAnsi="Times New Roman"/>
                <w:b/>
                <w:sz w:val="20"/>
                <w:szCs w:val="20"/>
              </w:rPr>
            </w:pPr>
          </w:p>
        </w:tc>
        <w:tc>
          <w:tcPr>
            <w:tcW w:w="472" w:type="dxa"/>
            <w:shd w:val="clear" w:color="auto" w:fill="auto"/>
            <w:vAlign w:val="center"/>
          </w:tcPr>
          <w:p w14:paraId="2C6E012A" w14:textId="77777777" w:rsidR="00ED17F3" w:rsidRPr="00D75D2E" w:rsidRDefault="00ED17F3" w:rsidP="007108ED">
            <w:pPr>
              <w:jc w:val="center"/>
              <w:rPr>
                <w:rFonts w:ascii="Times New Roman" w:hAnsi="Times New Roman"/>
                <w:b/>
                <w:sz w:val="20"/>
                <w:szCs w:val="20"/>
              </w:rPr>
            </w:pPr>
          </w:p>
        </w:tc>
        <w:tc>
          <w:tcPr>
            <w:tcW w:w="425" w:type="dxa"/>
            <w:shd w:val="clear" w:color="auto" w:fill="FFC000"/>
            <w:vAlign w:val="center"/>
          </w:tcPr>
          <w:p w14:paraId="132F73B7" w14:textId="77777777" w:rsidR="00ED17F3" w:rsidRPr="00D75D2E" w:rsidRDefault="00ED17F3" w:rsidP="007108ED">
            <w:pPr>
              <w:jc w:val="center"/>
              <w:rPr>
                <w:rFonts w:ascii="Times New Roman" w:hAnsi="Times New Roman"/>
                <w:b/>
                <w:sz w:val="20"/>
                <w:szCs w:val="20"/>
              </w:rPr>
            </w:pPr>
          </w:p>
        </w:tc>
        <w:tc>
          <w:tcPr>
            <w:tcW w:w="519" w:type="dxa"/>
            <w:shd w:val="clear" w:color="auto" w:fill="FFFFFF"/>
            <w:vAlign w:val="center"/>
          </w:tcPr>
          <w:p w14:paraId="1E76E396" w14:textId="77777777" w:rsidR="00ED17F3" w:rsidRPr="00D75D2E" w:rsidRDefault="00ED17F3" w:rsidP="007108ED">
            <w:pPr>
              <w:jc w:val="center"/>
              <w:rPr>
                <w:rFonts w:ascii="Times New Roman" w:hAnsi="Times New Roman"/>
                <w:b/>
                <w:sz w:val="20"/>
                <w:szCs w:val="20"/>
              </w:rPr>
            </w:pPr>
          </w:p>
        </w:tc>
        <w:tc>
          <w:tcPr>
            <w:tcW w:w="425" w:type="dxa"/>
            <w:shd w:val="clear" w:color="auto" w:fill="FFFFFF"/>
            <w:vAlign w:val="center"/>
          </w:tcPr>
          <w:p w14:paraId="5205BC7F" w14:textId="77777777" w:rsidR="00ED17F3" w:rsidRPr="00D75D2E" w:rsidRDefault="00ED17F3" w:rsidP="007108ED">
            <w:pPr>
              <w:jc w:val="center"/>
              <w:rPr>
                <w:rFonts w:ascii="Times New Roman" w:hAnsi="Times New Roman"/>
                <w:b/>
                <w:sz w:val="20"/>
                <w:szCs w:val="20"/>
              </w:rPr>
            </w:pPr>
          </w:p>
        </w:tc>
        <w:tc>
          <w:tcPr>
            <w:tcW w:w="427" w:type="dxa"/>
            <w:shd w:val="clear" w:color="auto" w:fill="FFFFFF"/>
            <w:vAlign w:val="center"/>
          </w:tcPr>
          <w:p w14:paraId="411D2728" w14:textId="77777777" w:rsidR="00ED17F3" w:rsidRPr="00D75D2E" w:rsidRDefault="00ED17F3" w:rsidP="007108ED">
            <w:pPr>
              <w:jc w:val="center"/>
              <w:rPr>
                <w:rFonts w:ascii="Times New Roman" w:hAnsi="Times New Roman"/>
                <w:b/>
                <w:sz w:val="20"/>
                <w:szCs w:val="20"/>
              </w:rPr>
            </w:pPr>
          </w:p>
        </w:tc>
        <w:tc>
          <w:tcPr>
            <w:tcW w:w="567" w:type="dxa"/>
            <w:shd w:val="clear" w:color="auto" w:fill="FFFFFF"/>
            <w:vAlign w:val="center"/>
          </w:tcPr>
          <w:p w14:paraId="16740D43" w14:textId="77777777" w:rsidR="00ED17F3" w:rsidRPr="00D75D2E" w:rsidRDefault="00ED17F3" w:rsidP="007108ED">
            <w:pPr>
              <w:jc w:val="center"/>
              <w:rPr>
                <w:rFonts w:ascii="Times New Roman" w:hAnsi="Times New Roman"/>
                <w:b/>
                <w:sz w:val="20"/>
                <w:szCs w:val="20"/>
              </w:rPr>
            </w:pPr>
          </w:p>
        </w:tc>
        <w:tc>
          <w:tcPr>
            <w:tcW w:w="501" w:type="dxa"/>
            <w:shd w:val="clear" w:color="auto" w:fill="FFC000"/>
            <w:vAlign w:val="center"/>
          </w:tcPr>
          <w:p w14:paraId="7D2D941C" w14:textId="77777777" w:rsidR="00ED17F3" w:rsidRPr="00D75D2E" w:rsidRDefault="00ED17F3" w:rsidP="007108ED">
            <w:pPr>
              <w:jc w:val="center"/>
              <w:rPr>
                <w:rFonts w:ascii="Times New Roman" w:hAnsi="Times New Roman"/>
                <w:b/>
                <w:sz w:val="20"/>
                <w:szCs w:val="20"/>
              </w:rPr>
            </w:pPr>
          </w:p>
        </w:tc>
        <w:tc>
          <w:tcPr>
            <w:tcW w:w="567" w:type="dxa"/>
            <w:shd w:val="clear" w:color="auto" w:fill="FFFFFF"/>
            <w:vAlign w:val="center"/>
          </w:tcPr>
          <w:p w14:paraId="5897EF08" w14:textId="77777777" w:rsidR="00ED17F3" w:rsidRPr="00D75D2E" w:rsidRDefault="00ED17F3" w:rsidP="007108ED">
            <w:pPr>
              <w:jc w:val="center"/>
              <w:rPr>
                <w:rFonts w:ascii="Times New Roman" w:hAnsi="Times New Roman"/>
                <w:b/>
                <w:sz w:val="20"/>
                <w:szCs w:val="20"/>
              </w:rPr>
            </w:pPr>
          </w:p>
        </w:tc>
        <w:tc>
          <w:tcPr>
            <w:tcW w:w="633" w:type="dxa"/>
            <w:shd w:val="clear" w:color="auto" w:fill="FFC000"/>
            <w:vAlign w:val="center"/>
          </w:tcPr>
          <w:p w14:paraId="57B9DF4B" w14:textId="77777777" w:rsidR="00ED17F3" w:rsidRPr="00D75D2E" w:rsidRDefault="00ED17F3" w:rsidP="007108ED">
            <w:pPr>
              <w:jc w:val="center"/>
              <w:rPr>
                <w:rFonts w:ascii="Times New Roman" w:hAnsi="Times New Roman"/>
                <w:b/>
                <w:sz w:val="20"/>
                <w:szCs w:val="20"/>
              </w:rPr>
            </w:pPr>
          </w:p>
        </w:tc>
        <w:tc>
          <w:tcPr>
            <w:tcW w:w="688" w:type="dxa"/>
            <w:shd w:val="clear" w:color="auto" w:fill="auto"/>
            <w:vAlign w:val="center"/>
          </w:tcPr>
          <w:p w14:paraId="10B834D6" w14:textId="77777777" w:rsidR="00ED17F3" w:rsidRPr="00D75D2E" w:rsidRDefault="00ED17F3" w:rsidP="007108ED">
            <w:pPr>
              <w:jc w:val="center"/>
              <w:rPr>
                <w:rFonts w:ascii="Times New Roman" w:hAnsi="Times New Roman"/>
                <w:b/>
                <w:sz w:val="20"/>
                <w:szCs w:val="20"/>
              </w:rPr>
            </w:pPr>
          </w:p>
        </w:tc>
      </w:tr>
      <w:tr w:rsidR="00D75D2E" w:rsidRPr="00420C1B" w14:paraId="1D5F045D" w14:textId="77777777" w:rsidTr="00215867">
        <w:trPr>
          <w:trHeight w:val="414"/>
          <w:jc w:val="center"/>
        </w:trPr>
        <w:tc>
          <w:tcPr>
            <w:tcW w:w="1294" w:type="dxa"/>
            <w:vMerge/>
            <w:vAlign w:val="center"/>
          </w:tcPr>
          <w:p w14:paraId="0E3EF11E" w14:textId="77777777" w:rsidR="00ED17F3" w:rsidRPr="00D75D2E" w:rsidRDefault="00ED17F3" w:rsidP="007108ED">
            <w:pPr>
              <w:jc w:val="both"/>
              <w:rPr>
                <w:rFonts w:ascii="Times New Roman" w:hAnsi="Times New Roman"/>
                <w:b/>
                <w:sz w:val="20"/>
                <w:szCs w:val="20"/>
              </w:rPr>
            </w:pPr>
          </w:p>
        </w:tc>
        <w:tc>
          <w:tcPr>
            <w:tcW w:w="705" w:type="dxa"/>
            <w:vAlign w:val="center"/>
          </w:tcPr>
          <w:p w14:paraId="1FB4C66B"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3</w:t>
            </w:r>
          </w:p>
        </w:tc>
        <w:tc>
          <w:tcPr>
            <w:tcW w:w="2532" w:type="dxa"/>
            <w:vAlign w:val="center"/>
          </w:tcPr>
          <w:p w14:paraId="752CCB63" w14:textId="77777777" w:rsidR="00ED17F3" w:rsidRPr="00D75D2E" w:rsidRDefault="00ED17F3" w:rsidP="007108ED">
            <w:pPr>
              <w:jc w:val="both"/>
              <w:rPr>
                <w:rFonts w:ascii="Times New Roman" w:hAnsi="Times New Roman"/>
                <w:sz w:val="20"/>
                <w:szCs w:val="20"/>
              </w:rPr>
            </w:pPr>
            <w:r w:rsidRPr="00D75D2E">
              <w:rPr>
                <w:rFonts w:ascii="Times New Roman" w:hAnsi="Times New Roman"/>
                <w:sz w:val="20"/>
                <w:szCs w:val="20"/>
              </w:rPr>
              <w:t>Installation de chantier et de base-vie</w:t>
            </w:r>
          </w:p>
        </w:tc>
        <w:tc>
          <w:tcPr>
            <w:tcW w:w="1418" w:type="dxa"/>
            <w:vAlign w:val="center"/>
          </w:tcPr>
          <w:p w14:paraId="528390F8"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Sol et paysage</w:t>
            </w:r>
          </w:p>
        </w:tc>
        <w:tc>
          <w:tcPr>
            <w:tcW w:w="3892" w:type="dxa"/>
            <w:vAlign w:val="center"/>
          </w:tcPr>
          <w:p w14:paraId="1C5D6B9D" w14:textId="6CECE145" w:rsidR="00ED17F3" w:rsidRPr="00D75D2E" w:rsidRDefault="00ED17F3"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 xml:space="preserve">L’installation de la base vie </w:t>
            </w:r>
            <w:r w:rsidR="00C807A3">
              <w:rPr>
                <w:rFonts w:ascii="Times New Roman" w:hAnsi="Times New Roman"/>
                <w:iCs/>
                <w:sz w:val="20"/>
                <w:szCs w:val="20"/>
              </w:rPr>
              <w:t xml:space="preserve">et son exploitation </w:t>
            </w:r>
            <w:r w:rsidRPr="00D75D2E">
              <w:rPr>
                <w:rFonts w:ascii="Times New Roman" w:hAnsi="Times New Roman"/>
                <w:iCs/>
                <w:sz w:val="20"/>
                <w:szCs w:val="20"/>
              </w:rPr>
              <w:t>pourrai</w:t>
            </w:r>
            <w:r w:rsidR="00C807A3">
              <w:rPr>
                <w:rFonts w:ascii="Times New Roman" w:hAnsi="Times New Roman"/>
                <w:iCs/>
                <w:sz w:val="20"/>
                <w:szCs w:val="20"/>
              </w:rPr>
              <w:t>en</w:t>
            </w:r>
            <w:r w:rsidRPr="00D75D2E">
              <w:rPr>
                <w:rFonts w:ascii="Times New Roman" w:hAnsi="Times New Roman"/>
                <w:iCs/>
                <w:sz w:val="20"/>
                <w:szCs w:val="20"/>
              </w:rPr>
              <w:t xml:space="preserve">t </w:t>
            </w:r>
            <w:bookmarkStart w:id="626" w:name="_Hlk518993147"/>
            <w:r w:rsidRPr="00D75D2E">
              <w:rPr>
                <w:rFonts w:ascii="Times New Roman" w:hAnsi="Times New Roman"/>
                <w:iCs/>
                <w:sz w:val="20"/>
                <w:szCs w:val="20"/>
              </w:rPr>
              <w:t>générer des déchets solides et liquides susceptible de polluer le sol.</w:t>
            </w:r>
            <w:bookmarkEnd w:id="626"/>
          </w:p>
        </w:tc>
        <w:tc>
          <w:tcPr>
            <w:tcW w:w="425" w:type="dxa"/>
            <w:shd w:val="clear" w:color="auto" w:fill="auto"/>
            <w:vAlign w:val="center"/>
          </w:tcPr>
          <w:p w14:paraId="46F620A1" w14:textId="77777777" w:rsidR="00ED17F3" w:rsidRPr="00D75D2E" w:rsidRDefault="00ED17F3" w:rsidP="007108ED">
            <w:pPr>
              <w:jc w:val="center"/>
              <w:rPr>
                <w:rFonts w:ascii="Times New Roman" w:hAnsi="Times New Roman"/>
                <w:b/>
                <w:sz w:val="20"/>
                <w:szCs w:val="20"/>
              </w:rPr>
            </w:pPr>
          </w:p>
        </w:tc>
        <w:tc>
          <w:tcPr>
            <w:tcW w:w="519" w:type="dxa"/>
            <w:shd w:val="clear" w:color="auto" w:fill="FFC000"/>
            <w:vAlign w:val="center"/>
          </w:tcPr>
          <w:p w14:paraId="6B4E9BF9" w14:textId="77777777" w:rsidR="00ED17F3" w:rsidRPr="00D75D2E" w:rsidRDefault="00ED17F3" w:rsidP="007108ED">
            <w:pPr>
              <w:jc w:val="center"/>
              <w:rPr>
                <w:rFonts w:ascii="Times New Roman" w:hAnsi="Times New Roman"/>
                <w:b/>
                <w:sz w:val="20"/>
                <w:szCs w:val="20"/>
              </w:rPr>
            </w:pPr>
          </w:p>
        </w:tc>
        <w:tc>
          <w:tcPr>
            <w:tcW w:w="472" w:type="dxa"/>
            <w:shd w:val="clear" w:color="auto" w:fill="FFFFFF"/>
            <w:vAlign w:val="center"/>
          </w:tcPr>
          <w:p w14:paraId="41C29758" w14:textId="77777777" w:rsidR="00ED17F3" w:rsidRPr="00D75D2E" w:rsidRDefault="00ED17F3" w:rsidP="007108ED">
            <w:pPr>
              <w:jc w:val="center"/>
              <w:rPr>
                <w:rFonts w:ascii="Times New Roman" w:hAnsi="Times New Roman"/>
                <w:b/>
                <w:sz w:val="20"/>
                <w:szCs w:val="20"/>
              </w:rPr>
            </w:pPr>
          </w:p>
        </w:tc>
        <w:tc>
          <w:tcPr>
            <w:tcW w:w="425" w:type="dxa"/>
            <w:shd w:val="clear" w:color="auto" w:fill="FFFFFF"/>
            <w:vAlign w:val="center"/>
          </w:tcPr>
          <w:p w14:paraId="6134D66B" w14:textId="77777777" w:rsidR="00ED17F3" w:rsidRPr="00D75D2E" w:rsidRDefault="00ED17F3" w:rsidP="007108ED">
            <w:pPr>
              <w:jc w:val="center"/>
              <w:rPr>
                <w:rFonts w:ascii="Times New Roman" w:hAnsi="Times New Roman"/>
                <w:b/>
                <w:sz w:val="20"/>
                <w:szCs w:val="20"/>
              </w:rPr>
            </w:pPr>
          </w:p>
        </w:tc>
        <w:tc>
          <w:tcPr>
            <w:tcW w:w="519" w:type="dxa"/>
            <w:shd w:val="clear" w:color="auto" w:fill="FFC000"/>
            <w:vAlign w:val="center"/>
          </w:tcPr>
          <w:p w14:paraId="4312C3B4" w14:textId="77777777" w:rsidR="00ED17F3" w:rsidRPr="00D75D2E" w:rsidRDefault="00ED17F3" w:rsidP="007108ED">
            <w:pPr>
              <w:jc w:val="center"/>
              <w:rPr>
                <w:rFonts w:ascii="Times New Roman" w:hAnsi="Times New Roman"/>
                <w:b/>
                <w:sz w:val="20"/>
                <w:szCs w:val="20"/>
              </w:rPr>
            </w:pPr>
          </w:p>
        </w:tc>
        <w:tc>
          <w:tcPr>
            <w:tcW w:w="425" w:type="dxa"/>
            <w:shd w:val="clear" w:color="auto" w:fill="FFFFFF"/>
            <w:vAlign w:val="center"/>
          </w:tcPr>
          <w:p w14:paraId="41EA9B65" w14:textId="77777777" w:rsidR="00ED17F3" w:rsidRPr="00D75D2E" w:rsidRDefault="00ED17F3" w:rsidP="007108ED">
            <w:pPr>
              <w:jc w:val="center"/>
              <w:rPr>
                <w:rFonts w:ascii="Times New Roman" w:hAnsi="Times New Roman"/>
                <w:b/>
                <w:sz w:val="20"/>
                <w:szCs w:val="20"/>
              </w:rPr>
            </w:pPr>
          </w:p>
        </w:tc>
        <w:tc>
          <w:tcPr>
            <w:tcW w:w="427" w:type="dxa"/>
            <w:shd w:val="clear" w:color="auto" w:fill="FFC000"/>
            <w:vAlign w:val="center"/>
          </w:tcPr>
          <w:p w14:paraId="605844B6" w14:textId="77777777" w:rsidR="00ED17F3" w:rsidRPr="00D75D2E" w:rsidRDefault="00ED17F3" w:rsidP="007108ED">
            <w:pPr>
              <w:jc w:val="center"/>
              <w:rPr>
                <w:rFonts w:ascii="Times New Roman" w:hAnsi="Times New Roman"/>
                <w:b/>
                <w:sz w:val="20"/>
                <w:szCs w:val="20"/>
              </w:rPr>
            </w:pPr>
          </w:p>
        </w:tc>
        <w:tc>
          <w:tcPr>
            <w:tcW w:w="567" w:type="dxa"/>
            <w:shd w:val="clear" w:color="auto" w:fill="FFFFFF"/>
            <w:vAlign w:val="center"/>
          </w:tcPr>
          <w:p w14:paraId="3550DDD9" w14:textId="77777777" w:rsidR="00ED17F3" w:rsidRPr="00D75D2E" w:rsidRDefault="00ED17F3" w:rsidP="007108ED">
            <w:pPr>
              <w:jc w:val="center"/>
              <w:rPr>
                <w:rFonts w:ascii="Times New Roman" w:hAnsi="Times New Roman"/>
                <w:b/>
                <w:sz w:val="20"/>
                <w:szCs w:val="20"/>
              </w:rPr>
            </w:pPr>
          </w:p>
        </w:tc>
        <w:tc>
          <w:tcPr>
            <w:tcW w:w="501" w:type="dxa"/>
            <w:shd w:val="clear" w:color="auto" w:fill="FFFFFF"/>
            <w:vAlign w:val="center"/>
          </w:tcPr>
          <w:p w14:paraId="7A5B9E9A" w14:textId="77777777" w:rsidR="00ED17F3" w:rsidRPr="00D75D2E" w:rsidRDefault="00ED17F3" w:rsidP="007108ED">
            <w:pPr>
              <w:jc w:val="center"/>
              <w:rPr>
                <w:rFonts w:ascii="Times New Roman" w:hAnsi="Times New Roman"/>
                <w:b/>
                <w:sz w:val="20"/>
                <w:szCs w:val="20"/>
              </w:rPr>
            </w:pPr>
          </w:p>
        </w:tc>
        <w:tc>
          <w:tcPr>
            <w:tcW w:w="567" w:type="dxa"/>
            <w:shd w:val="clear" w:color="auto" w:fill="auto"/>
            <w:vAlign w:val="center"/>
          </w:tcPr>
          <w:p w14:paraId="27E072CE" w14:textId="77777777" w:rsidR="00ED17F3" w:rsidRPr="00D75D2E" w:rsidRDefault="00ED17F3" w:rsidP="007108ED">
            <w:pPr>
              <w:jc w:val="center"/>
              <w:rPr>
                <w:rFonts w:ascii="Times New Roman" w:hAnsi="Times New Roman"/>
                <w:b/>
                <w:sz w:val="20"/>
                <w:szCs w:val="20"/>
              </w:rPr>
            </w:pPr>
          </w:p>
        </w:tc>
        <w:tc>
          <w:tcPr>
            <w:tcW w:w="633" w:type="dxa"/>
            <w:shd w:val="clear" w:color="auto" w:fill="FFC000"/>
            <w:vAlign w:val="center"/>
          </w:tcPr>
          <w:p w14:paraId="68A12239" w14:textId="77777777" w:rsidR="00ED17F3" w:rsidRPr="00D75D2E" w:rsidRDefault="00ED17F3" w:rsidP="007108ED">
            <w:pPr>
              <w:jc w:val="center"/>
              <w:rPr>
                <w:rFonts w:ascii="Times New Roman" w:hAnsi="Times New Roman"/>
                <w:b/>
                <w:sz w:val="20"/>
                <w:szCs w:val="20"/>
              </w:rPr>
            </w:pPr>
          </w:p>
        </w:tc>
        <w:tc>
          <w:tcPr>
            <w:tcW w:w="688" w:type="dxa"/>
            <w:shd w:val="clear" w:color="auto" w:fill="FFFFFF"/>
            <w:vAlign w:val="center"/>
          </w:tcPr>
          <w:p w14:paraId="08AAD94D" w14:textId="77777777" w:rsidR="00ED17F3" w:rsidRPr="00D75D2E" w:rsidRDefault="00ED17F3" w:rsidP="007108ED">
            <w:pPr>
              <w:jc w:val="center"/>
              <w:rPr>
                <w:rFonts w:ascii="Times New Roman" w:hAnsi="Times New Roman"/>
                <w:b/>
                <w:sz w:val="20"/>
                <w:szCs w:val="20"/>
              </w:rPr>
            </w:pPr>
          </w:p>
        </w:tc>
      </w:tr>
      <w:tr w:rsidR="00D75D2E" w:rsidRPr="00420C1B" w14:paraId="5478ABFA" w14:textId="77777777" w:rsidTr="00215867">
        <w:trPr>
          <w:cantSplit/>
          <w:trHeight w:val="664"/>
          <w:jc w:val="center"/>
        </w:trPr>
        <w:tc>
          <w:tcPr>
            <w:tcW w:w="1294" w:type="dxa"/>
            <w:vMerge w:val="restart"/>
            <w:textDirection w:val="btLr"/>
            <w:vAlign w:val="center"/>
          </w:tcPr>
          <w:p w14:paraId="61372FC3" w14:textId="77777777" w:rsidR="00ED17F3" w:rsidRPr="00D75D2E" w:rsidRDefault="00ED17F3" w:rsidP="007108ED">
            <w:pPr>
              <w:ind w:left="113" w:right="113"/>
              <w:jc w:val="center"/>
              <w:rPr>
                <w:rFonts w:ascii="Times New Roman" w:hAnsi="Times New Roman"/>
                <w:b/>
                <w:sz w:val="20"/>
                <w:szCs w:val="20"/>
              </w:rPr>
            </w:pPr>
            <w:r w:rsidRPr="00D75D2E">
              <w:rPr>
                <w:rFonts w:ascii="Times New Roman" w:hAnsi="Times New Roman"/>
                <w:b/>
                <w:sz w:val="20"/>
                <w:szCs w:val="20"/>
              </w:rPr>
              <w:t xml:space="preserve">CONSTRUCTION </w:t>
            </w:r>
          </w:p>
        </w:tc>
        <w:tc>
          <w:tcPr>
            <w:tcW w:w="705" w:type="dxa"/>
            <w:vAlign w:val="center"/>
          </w:tcPr>
          <w:p w14:paraId="1D302CB9"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4</w:t>
            </w:r>
          </w:p>
        </w:tc>
        <w:tc>
          <w:tcPr>
            <w:tcW w:w="2532" w:type="dxa"/>
            <w:vAlign w:val="center"/>
          </w:tcPr>
          <w:p w14:paraId="5C3089BA" w14:textId="77777777" w:rsidR="00ED17F3" w:rsidRPr="00D75D2E" w:rsidRDefault="00ED17F3" w:rsidP="007108ED">
            <w:pPr>
              <w:jc w:val="both"/>
              <w:rPr>
                <w:rFonts w:ascii="Times New Roman" w:hAnsi="Times New Roman"/>
                <w:sz w:val="20"/>
                <w:szCs w:val="20"/>
              </w:rPr>
            </w:pPr>
            <w:r w:rsidRPr="00D75D2E">
              <w:rPr>
                <w:rFonts w:ascii="Times New Roman" w:hAnsi="Times New Roman"/>
                <w:sz w:val="20"/>
                <w:szCs w:val="20"/>
              </w:rPr>
              <w:t>Excavations dues aux travaux de fouilles et de Terrassement et coulage de béton, circulation des engins sur le chantier</w:t>
            </w:r>
          </w:p>
        </w:tc>
        <w:tc>
          <w:tcPr>
            <w:tcW w:w="1418" w:type="dxa"/>
            <w:vAlign w:val="center"/>
          </w:tcPr>
          <w:p w14:paraId="4D207A36" w14:textId="77777777" w:rsidR="00ED17F3" w:rsidRPr="00D75D2E" w:rsidRDefault="007A00BC" w:rsidP="007108ED">
            <w:pPr>
              <w:rPr>
                <w:rFonts w:ascii="Times New Roman" w:hAnsi="Times New Roman"/>
                <w:sz w:val="20"/>
                <w:szCs w:val="20"/>
              </w:rPr>
            </w:pPr>
            <w:r w:rsidRPr="00D75D2E">
              <w:rPr>
                <w:rFonts w:ascii="Times New Roman" w:hAnsi="Times New Roman"/>
                <w:sz w:val="20"/>
                <w:szCs w:val="20"/>
              </w:rPr>
              <w:t>Qualité de l’air et ambiance sonore</w:t>
            </w:r>
          </w:p>
        </w:tc>
        <w:tc>
          <w:tcPr>
            <w:tcW w:w="3892" w:type="dxa"/>
            <w:vAlign w:val="center"/>
          </w:tcPr>
          <w:p w14:paraId="71FD5B0E" w14:textId="77777777" w:rsidR="00ED17F3" w:rsidRPr="00D75D2E" w:rsidRDefault="00ED17F3" w:rsidP="007A00BC">
            <w:pPr>
              <w:spacing w:after="0" w:line="240" w:lineRule="auto"/>
              <w:jc w:val="both"/>
              <w:rPr>
                <w:rFonts w:ascii="Times New Roman" w:hAnsi="Times New Roman"/>
                <w:iCs/>
                <w:sz w:val="20"/>
                <w:szCs w:val="20"/>
              </w:rPr>
            </w:pPr>
            <w:r w:rsidRPr="00D75D2E">
              <w:rPr>
                <w:rFonts w:ascii="Times New Roman" w:hAnsi="Times New Roman"/>
                <w:iCs/>
                <w:sz w:val="20"/>
                <w:szCs w:val="20"/>
              </w:rPr>
              <w:t>Les excavations mécaniques ou manuelles des travaux de fouilles et de terrassement engendreront un soulèvement de poussières source de pollution.</w:t>
            </w:r>
            <w:r w:rsidR="007A00BC" w:rsidRPr="00D75D2E">
              <w:rPr>
                <w:rFonts w:ascii="Times New Roman" w:hAnsi="Times New Roman"/>
                <w:iCs/>
                <w:sz w:val="20"/>
                <w:szCs w:val="20"/>
              </w:rPr>
              <w:t xml:space="preserve"> </w:t>
            </w:r>
            <w:r w:rsidRPr="00D75D2E">
              <w:rPr>
                <w:rFonts w:ascii="Times New Roman" w:hAnsi="Times New Roman"/>
                <w:iCs/>
                <w:sz w:val="20"/>
                <w:szCs w:val="20"/>
              </w:rPr>
              <w:t>De même, les fréquents déplacements de camions pour le transfert des matériaux produiront des gaz d’échappement (CO2, COX, SOX, etc.) et de particules de poussière, sources de pollution de l’air. A ceux</w:t>
            </w:r>
            <w:r w:rsidR="00070EB9" w:rsidRPr="00D75D2E">
              <w:rPr>
                <w:rFonts w:ascii="Times New Roman" w:hAnsi="Times New Roman"/>
                <w:iCs/>
                <w:sz w:val="20"/>
                <w:szCs w:val="20"/>
              </w:rPr>
              <w:t>-là</w:t>
            </w:r>
            <w:r w:rsidRPr="00D75D2E">
              <w:rPr>
                <w:rFonts w:ascii="Times New Roman" w:hAnsi="Times New Roman"/>
                <w:iCs/>
                <w:sz w:val="20"/>
                <w:szCs w:val="20"/>
              </w:rPr>
              <w:t xml:space="preserve"> s’ajoutent les nuisances sonores et vibrations générés par les camions, qui peuvent constituer également de source de pollution sonore. Les effets négatifs sur la qualité de l’air seront néanmoins localisés aux alentours du chantier sur une durée relativement courte. Cet impact sera donc d’importance moyenne.</w:t>
            </w:r>
          </w:p>
        </w:tc>
        <w:tc>
          <w:tcPr>
            <w:tcW w:w="425" w:type="dxa"/>
            <w:shd w:val="clear" w:color="auto" w:fill="auto"/>
          </w:tcPr>
          <w:p w14:paraId="1F9B2871"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1E6B3060" w14:textId="77777777" w:rsidR="00ED17F3" w:rsidRPr="00D75D2E" w:rsidRDefault="00ED17F3" w:rsidP="007108ED">
            <w:pPr>
              <w:jc w:val="both"/>
              <w:rPr>
                <w:rFonts w:ascii="Times New Roman" w:hAnsi="Times New Roman"/>
                <w:sz w:val="20"/>
                <w:szCs w:val="20"/>
              </w:rPr>
            </w:pPr>
          </w:p>
        </w:tc>
        <w:tc>
          <w:tcPr>
            <w:tcW w:w="472" w:type="dxa"/>
            <w:shd w:val="clear" w:color="auto" w:fill="auto"/>
          </w:tcPr>
          <w:p w14:paraId="112B84A1"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4D8BDF57"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0A03F80E"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554FF6B1" w14:textId="77777777" w:rsidR="00ED17F3" w:rsidRPr="00D75D2E" w:rsidRDefault="00ED17F3" w:rsidP="007108ED">
            <w:pPr>
              <w:jc w:val="both"/>
              <w:rPr>
                <w:rFonts w:ascii="Times New Roman" w:hAnsi="Times New Roman"/>
                <w:sz w:val="20"/>
                <w:szCs w:val="20"/>
              </w:rPr>
            </w:pPr>
          </w:p>
        </w:tc>
        <w:tc>
          <w:tcPr>
            <w:tcW w:w="427" w:type="dxa"/>
            <w:shd w:val="clear" w:color="auto" w:fill="FFC000"/>
          </w:tcPr>
          <w:p w14:paraId="77B7DAAF" w14:textId="77777777" w:rsidR="00ED17F3" w:rsidRPr="00D75D2E" w:rsidRDefault="00ED17F3" w:rsidP="007108ED">
            <w:pPr>
              <w:jc w:val="both"/>
              <w:rPr>
                <w:rFonts w:ascii="Times New Roman" w:hAnsi="Times New Roman"/>
                <w:sz w:val="20"/>
                <w:szCs w:val="20"/>
              </w:rPr>
            </w:pPr>
          </w:p>
        </w:tc>
        <w:tc>
          <w:tcPr>
            <w:tcW w:w="567" w:type="dxa"/>
            <w:shd w:val="clear" w:color="auto" w:fill="FFFFFF"/>
          </w:tcPr>
          <w:p w14:paraId="634D6B7A" w14:textId="77777777" w:rsidR="00ED17F3" w:rsidRPr="00D75D2E" w:rsidRDefault="00ED17F3" w:rsidP="007108ED">
            <w:pPr>
              <w:jc w:val="both"/>
              <w:rPr>
                <w:rFonts w:ascii="Times New Roman" w:hAnsi="Times New Roman"/>
                <w:sz w:val="20"/>
                <w:szCs w:val="20"/>
              </w:rPr>
            </w:pPr>
          </w:p>
        </w:tc>
        <w:tc>
          <w:tcPr>
            <w:tcW w:w="501" w:type="dxa"/>
            <w:shd w:val="clear" w:color="auto" w:fill="FFFFFF"/>
          </w:tcPr>
          <w:p w14:paraId="2C21038F" w14:textId="77777777" w:rsidR="00ED17F3" w:rsidRPr="00D75D2E" w:rsidRDefault="00ED17F3" w:rsidP="007108ED">
            <w:pPr>
              <w:jc w:val="both"/>
              <w:rPr>
                <w:rFonts w:ascii="Times New Roman" w:hAnsi="Times New Roman"/>
                <w:sz w:val="20"/>
                <w:szCs w:val="20"/>
              </w:rPr>
            </w:pPr>
          </w:p>
        </w:tc>
        <w:tc>
          <w:tcPr>
            <w:tcW w:w="567" w:type="dxa"/>
            <w:shd w:val="clear" w:color="auto" w:fill="auto"/>
          </w:tcPr>
          <w:p w14:paraId="09924F6E" w14:textId="77777777" w:rsidR="00ED17F3" w:rsidRPr="00D75D2E" w:rsidRDefault="00ED17F3" w:rsidP="007108ED">
            <w:pPr>
              <w:jc w:val="both"/>
              <w:rPr>
                <w:rFonts w:ascii="Times New Roman" w:hAnsi="Times New Roman"/>
                <w:sz w:val="20"/>
                <w:szCs w:val="20"/>
              </w:rPr>
            </w:pPr>
          </w:p>
        </w:tc>
        <w:tc>
          <w:tcPr>
            <w:tcW w:w="633" w:type="dxa"/>
            <w:shd w:val="clear" w:color="auto" w:fill="FFC000"/>
          </w:tcPr>
          <w:p w14:paraId="4CFDF791" w14:textId="77777777" w:rsidR="00ED17F3" w:rsidRPr="00D75D2E" w:rsidRDefault="00ED17F3" w:rsidP="007108ED">
            <w:pPr>
              <w:jc w:val="both"/>
              <w:rPr>
                <w:rFonts w:ascii="Times New Roman" w:hAnsi="Times New Roman"/>
                <w:sz w:val="20"/>
                <w:szCs w:val="20"/>
              </w:rPr>
            </w:pPr>
          </w:p>
        </w:tc>
        <w:tc>
          <w:tcPr>
            <w:tcW w:w="688" w:type="dxa"/>
            <w:shd w:val="clear" w:color="auto" w:fill="FFFFFF"/>
          </w:tcPr>
          <w:p w14:paraId="460F4FE4" w14:textId="77777777" w:rsidR="00ED17F3" w:rsidRPr="00D75D2E" w:rsidRDefault="00ED17F3" w:rsidP="007108ED">
            <w:pPr>
              <w:jc w:val="both"/>
              <w:rPr>
                <w:rFonts w:ascii="Times New Roman" w:hAnsi="Times New Roman"/>
                <w:sz w:val="20"/>
                <w:szCs w:val="20"/>
              </w:rPr>
            </w:pPr>
          </w:p>
        </w:tc>
      </w:tr>
      <w:tr w:rsidR="002C66D7" w:rsidRPr="00420C1B" w14:paraId="4D2B5200" w14:textId="77777777" w:rsidTr="00420C1B">
        <w:trPr>
          <w:cantSplit/>
          <w:trHeight w:val="664"/>
          <w:jc w:val="center"/>
        </w:trPr>
        <w:tc>
          <w:tcPr>
            <w:tcW w:w="1294" w:type="dxa"/>
            <w:vMerge/>
            <w:textDirection w:val="btLr"/>
            <w:vAlign w:val="center"/>
          </w:tcPr>
          <w:p w14:paraId="346A80F8" w14:textId="77777777" w:rsidR="00ED17F3" w:rsidRPr="00D75D2E" w:rsidRDefault="00ED17F3" w:rsidP="007108ED">
            <w:pPr>
              <w:ind w:left="113" w:right="113"/>
              <w:jc w:val="center"/>
              <w:rPr>
                <w:rFonts w:ascii="Times New Roman" w:hAnsi="Times New Roman"/>
                <w:b/>
                <w:sz w:val="20"/>
                <w:szCs w:val="20"/>
              </w:rPr>
            </w:pPr>
          </w:p>
        </w:tc>
        <w:tc>
          <w:tcPr>
            <w:tcW w:w="705" w:type="dxa"/>
            <w:vMerge w:val="restart"/>
            <w:vAlign w:val="center"/>
          </w:tcPr>
          <w:p w14:paraId="74E27A30"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5</w:t>
            </w:r>
          </w:p>
        </w:tc>
        <w:tc>
          <w:tcPr>
            <w:tcW w:w="2532" w:type="dxa"/>
            <w:vMerge w:val="restart"/>
            <w:vAlign w:val="center"/>
          </w:tcPr>
          <w:p w14:paraId="2F768A4F"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Déversement accidentel ou fuite d’hydrocarbures</w:t>
            </w:r>
          </w:p>
        </w:tc>
        <w:tc>
          <w:tcPr>
            <w:tcW w:w="1418" w:type="dxa"/>
            <w:vAlign w:val="center"/>
          </w:tcPr>
          <w:p w14:paraId="71A4D0BD"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 xml:space="preserve">Sol </w:t>
            </w:r>
          </w:p>
        </w:tc>
        <w:tc>
          <w:tcPr>
            <w:tcW w:w="3892" w:type="dxa"/>
            <w:vAlign w:val="center"/>
          </w:tcPr>
          <w:p w14:paraId="5AE8CCE8" w14:textId="77777777" w:rsidR="00ED17F3" w:rsidRPr="00D75D2E" w:rsidRDefault="00ED17F3"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Pollution du sol : risque de dégradation de la qualité des sols par asphyxies des microorganismes due aux fuites ou déversement accidentel d’hydrocarbures, d’huiles de vidange.</w:t>
            </w:r>
          </w:p>
        </w:tc>
        <w:tc>
          <w:tcPr>
            <w:tcW w:w="425" w:type="dxa"/>
            <w:shd w:val="clear" w:color="auto" w:fill="auto"/>
          </w:tcPr>
          <w:p w14:paraId="3009D000"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037D632D" w14:textId="77777777" w:rsidR="00ED17F3" w:rsidRPr="00D75D2E" w:rsidRDefault="00ED17F3" w:rsidP="007108ED">
            <w:pPr>
              <w:jc w:val="both"/>
              <w:rPr>
                <w:rFonts w:ascii="Times New Roman" w:hAnsi="Times New Roman"/>
                <w:sz w:val="20"/>
                <w:szCs w:val="20"/>
              </w:rPr>
            </w:pPr>
          </w:p>
        </w:tc>
        <w:tc>
          <w:tcPr>
            <w:tcW w:w="472" w:type="dxa"/>
            <w:shd w:val="clear" w:color="auto" w:fill="FFFFFF"/>
          </w:tcPr>
          <w:p w14:paraId="7C525A49"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7E5E9169"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0CFD62C2"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6FC25875" w14:textId="77777777" w:rsidR="00ED17F3" w:rsidRPr="00D75D2E" w:rsidRDefault="00ED17F3" w:rsidP="007108ED">
            <w:pPr>
              <w:jc w:val="both"/>
              <w:rPr>
                <w:rFonts w:ascii="Times New Roman" w:hAnsi="Times New Roman"/>
                <w:sz w:val="20"/>
                <w:szCs w:val="20"/>
              </w:rPr>
            </w:pPr>
          </w:p>
        </w:tc>
        <w:tc>
          <w:tcPr>
            <w:tcW w:w="427" w:type="dxa"/>
            <w:shd w:val="clear" w:color="auto" w:fill="FFC000"/>
          </w:tcPr>
          <w:p w14:paraId="0DC87240" w14:textId="77777777" w:rsidR="00ED17F3" w:rsidRPr="00D75D2E" w:rsidRDefault="00ED17F3" w:rsidP="007108ED">
            <w:pPr>
              <w:jc w:val="both"/>
              <w:rPr>
                <w:rFonts w:ascii="Times New Roman" w:hAnsi="Times New Roman"/>
                <w:sz w:val="20"/>
                <w:szCs w:val="20"/>
              </w:rPr>
            </w:pPr>
          </w:p>
        </w:tc>
        <w:tc>
          <w:tcPr>
            <w:tcW w:w="567" w:type="dxa"/>
            <w:shd w:val="clear" w:color="auto" w:fill="FFFFFF"/>
          </w:tcPr>
          <w:p w14:paraId="5DD3AA89" w14:textId="77777777" w:rsidR="00ED17F3" w:rsidRPr="00D75D2E" w:rsidRDefault="00ED17F3" w:rsidP="007108ED">
            <w:pPr>
              <w:jc w:val="both"/>
              <w:rPr>
                <w:rFonts w:ascii="Times New Roman" w:hAnsi="Times New Roman"/>
                <w:sz w:val="20"/>
                <w:szCs w:val="20"/>
              </w:rPr>
            </w:pPr>
          </w:p>
        </w:tc>
        <w:tc>
          <w:tcPr>
            <w:tcW w:w="501" w:type="dxa"/>
            <w:shd w:val="clear" w:color="auto" w:fill="FFFFFF"/>
          </w:tcPr>
          <w:p w14:paraId="1C4226D5" w14:textId="77777777" w:rsidR="00ED17F3" w:rsidRPr="00D75D2E" w:rsidRDefault="00ED17F3" w:rsidP="007108ED">
            <w:pPr>
              <w:jc w:val="both"/>
              <w:rPr>
                <w:rFonts w:ascii="Times New Roman" w:hAnsi="Times New Roman"/>
                <w:sz w:val="20"/>
                <w:szCs w:val="20"/>
              </w:rPr>
            </w:pPr>
          </w:p>
        </w:tc>
        <w:tc>
          <w:tcPr>
            <w:tcW w:w="567" w:type="dxa"/>
            <w:shd w:val="clear" w:color="auto" w:fill="FFFFFF"/>
          </w:tcPr>
          <w:p w14:paraId="30D883C9" w14:textId="77777777" w:rsidR="00ED17F3" w:rsidRPr="00D75D2E" w:rsidRDefault="00ED17F3" w:rsidP="007108ED">
            <w:pPr>
              <w:jc w:val="both"/>
              <w:rPr>
                <w:rFonts w:ascii="Times New Roman" w:hAnsi="Times New Roman"/>
                <w:sz w:val="20"/>
                <w:szCs w:val="20"/>
              </w:rPr>
            </w:pPr>
          </w:p>
        </w:tc>
        <w:tc>
          <w:tcPr>
            <w:tcW w:w="633" w:type="dxa"/>
            <w:shd w:val="clear" w:color="auto" w:fill="FFC000"/>
          </w:tcPr>
          <w:p w14:paraId="7D4477A7" w14:textId="77777777" w:rsidR="00ED17F3" w:rsidRPr="00D75D2E" w:rsidRDefault="00ED17F3" w:rsidP="007108ED">
            <w:pPr>
              <w:jc w:val="both"/>
              <w:rPr>
                <w:rFonts w:ascii="Times New Roman" w:hAnsi="Times New Roman"/>
                <w:sz w:val="20"/>
                <w:szCs w:val="20"/>
              </w:rPr>
            </w:pPr>
          </w:p>
        </w:tc>
        <w:tc>
          <w:tcPr>
            <w:tcW w:w="688" w:type="dxa"/>
            <w:shd w:val="clear" w:color="auto" w:fill="FFFFFF"/>
          </w:tcPr>
          <w:p w14:paraId="46AF465E" w14:textId="77777777" w:rsidR="00ED17F3" w:rsidRPr="00D75D2E" w:rsidRDefault="00ED17F3" w:rsidP="007108ED">
            <w:pPr>
              <w:jc w:val="both"/>
              <w:rPr>
                <w:rFonts w:ascii="Times New Roman" w:hAnsi="Times New Roman"/>
                <w:sz w:val="20"/>
                <w:szCs w:val="20"/>
              </w:rPr>
            </w:pPr>
          </w:p>
        </w:tc>
      </w:tr>
      <w:tr w:rsidR="00D75D2E" w:rsidRPr="00420C1B" w14:paraId="5A13AFD4" w14:textId="77777777" w:rsidTr="00215867">
        <w:trPr>
          <w:cantSplit/>
          <w:trHeight w:val="664"/>
          <w:jc w:val="center"/>
        </w:trPr>
        <w:tc>
          <w:tcPr>
            <w:tcW w:w="1294" w:type="dxa"/>
            <w:vMerge/>
            <w:textDirection w:val="btLr"/>
            <w:vAlign w:val="center"/>
          </w:tcPr>
          <w:p w14:paraId="11F59947" w14:textId="77777777" w:rsidR="00ED17F3" w:rsidRPr="00D75D2E" w:rsidRDefault="00ED17F3" w:rsidP="007108ED">
            <w:pPr>
              <w:ind w:left="113" w:right="113"/>
              <w:jc w:val="center"/>
              <w:rPr>
                <w:rFonts w:ascii="Times New Roman" w:hAnsi="Times New Roman"/>
                <w:b/>
                <w:sz w:val="20"/>
                <w:szCs w:val="20"/>
              </w:rPr>
            </w:pPr>
          </w:p>
        </w:tc>
        <w:tc>
          <w:tcPr>
            <w:tcW w:w="705" w:type="dxa"/>
            <w:vMerge/>
            <w:vAlign w:val="center"/>
          </w:tcPr>
          <w:p w14:paraId="1605F304" w14:textId="77777777" w:rsidR="00ED17F3" w:rsidRPr="00D75D2E" w:rsidRDefault="00ED17F3" w:rsidP="007108ED">
            <w:pPr>
              <w:jc w:val="center"/>
              <w:rPr>
                <w:rFonts w:ascii="Times New Roman" w:hAnsi="Times New Roman"/>
                <w:sz w:val="20"/>
                <w:szCs w:val="20"/>
              </w:rPr>
            </w:pPr>
          </w:p>
        </w:tc>
        <w:tc>
          <w:tcPr>
            <w:tcW w:w="2532" w:type="dxa"/>
            <w:vMerge/>
            <w:vAlign w:val="center"/>
          </w:tcPr>
          <w:p w14:paraId="7D489918" w14:textId="77777777" w:rsidR="00ED17F3" w:rsidRPr="00D75D2E" w:rsidRDefault="00ED17F3" w:rsidP="007108ED">
            <w:pPr>
              <w:rPr>
                <w:rFonts w:ascii="Times New Roman" w:hAnsi="Times New Roman"/>
                <w:sz w:val="20"/>
                <w:szCs w:val="20"/>
              </w:rPr>
            </w:pPr>
          </w:p>
        </w:tc>
        <w:tc>
          <w:tcPr>
            <w:tcW w:w="1418" w:type="dxa"/>
            <w:vAlign w:val="center"/>
          </w:tcPr>
          <w:p w14:paraId="65263A35"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 xml:space="preserve">Eau </w:t>
            </w:r>
          </w:p>
        </w:tc>
        <w:tc>
          <w:tcPr>
            <w:tcW w:w="3892" w:type="dxa"/>
            <w:vAlign w:val="center"/>
          </w:tcPr>
          <w:p w14:paraId="0693F347" w14:textId="77777777" w:rsidR="00ED17F3" w:rsidRPr="00D75D2E" w:rsidRDefault="00ED17F3"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Pollution des eaux et habitat de microorganismes : potentiel risque de contamination de la nappe phréatique par les hydrocarbures et les huiles de vidange</w:t>
            </w:r>
          </w:p>
        </w:tc>
        <w:tc>
          <w:tcPr>
            <w:tcW w:w="425" w:type="dxa"/>
            <w:shd w:val="clear" w:color="auto" w:fill="auto"/>
          </w:tcPr>
          <w:p w14:paraId="74E88D1B"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187A4C5B" w14:textId="77777777" w:rsidR="00ED17F3" w:rsidRPr="00D75D2E" w:rsidRDefault="00ED17F3" w:rsidP="007108ED">
            <w:pPr>
              <w:jc w:val="both"/>
              <w:rPr>
                <w:rFonts w:ascii="Times New Roman" w:hAnsi="Times New Roman"/>
                <w:sz w:val="20"/>
                <w:szCs w:val="20"/>
              </w:rPr>
            </w:pPr>
          </w:p>
        </w:tc>
        <w:tc>
          <w:tcPr>
            <w:tcW w:w="472" w:type="dxa"/>
            <w:shd w:val="clear" w:color="auto" w:fill="FFFFFF"/>
          </w:tcPr>
          <w:p w14:paraId="26D0092A"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15FC5C63" w14:textId="77777777" w:rsidR="00ED17F3" w:rsidRPr="00D75D2E" w:rsidRDefault="00ED17F3" w:rsidP="007108ED">
            <w:pPr>
              <w:jc w:val="both"/>
              <w:rPr>
                <w:rFonts w:ascii="Times New Roman" w:hAnsi="Times New Roman"/>
                <w:sz w:val="20"/>
                <w:szCs w:val="20"/>
              </w:rPr>
            </w:pPr>
          </w:p>
        </w:tc>
        <w:tc>
          <w:tcPr>
            <w:tcW w:w="519" w:type="dxa"/>
            <w:shd w:val="clear" w:color="auto" w:fill="FFC000"/>
          </w:tcPr>
          <w:p w14:paraId="0D710A6D"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44A99D83" w14:textId="77777777" w:rsidR="00ED17F3" w:rsidRPr="00D75D2E" w:rsidRDefault="00ED17F3" w:rsidP="007108ED">
            <w:pPr>
              <w:jc w:val="both"/>
              <w:rPr>
                <w:rFonts w:ascii="Times New Roman" w:hAnsi="Times New Roman"/>
                <w:sz w:val="20"/>
                <w:szCs w:val="20"/>
              </w:rPr>
            </w:pPr>
          </w:p>
        </w:tc>
        <w:tc>
          <w:tcPr>
            <w:tcW w:w="427" w:type="dxa"/>
            <w:shd w:val="clear" w:color="auto" w:fill="FFC000"/>
          </w:tcPr>
          <w:p w14:paraId="3A0C80FC" w14:textId="77777777" w:rsidR="00ED17F3" w:rsidRPr="00D75D2E" w:rsidRDefault="00ED17F3" w:rsidP="007108ED">
            <w:pPr>
              <w:jc w:val="both"/>
              <w:rPr>
                <w:rFonts w:ascii="Times New Roman" w:hAnsi="Times New Roman"/>
                <w:sz w:val="20"/>
                <w:szCs w:val="20"/>
              </w:rPr>
            </w:pPr>
          </w:p>
        </w:tc>
        <w:tc>
          <w:tcPr>
            <w:tcW w:w="567" w:type="dxa"/>
            <w:shd w:val="clear" w:color="auto" w:fill="FFFFFF"/>
          </w:tcPr>
          <w:p w14:paraId="0CBD0796" w14:textId="77777777" w:rsidR="00ED17F3" w:rsidRPr="00D75D2E" w:rsidRDefault="00ED17F3" w:rsidP="007108ED">
            <w:pPr>
              <w:jc w:val="both"/>
              <w:rPr>
                <w:rFonts w:ascii="Times New Roman" w:hAnsi="Times New Roman"/>
                <w:sz w:val="20"/>
                <w:szCs w:val="20"/>
              </w:rPr>
            </w:pPr>
          </w:p>
        </w:tc>
        <w:tc>
          <w:tcPr>
            <w:tcW w:w="501" w:type="dxa"/>
            <w:shd w:val="clear" w:color="auto" w:fill="FFFFFF"/>
          </w:tcPr>
          <w:p w14:paraId="4AD8B645" w14:textId="77777777" w:rsidR="00ED17F3" w:rsidRPr="00D75D2E" w:rsidRDefault="00ED17F3" w:rsidP="007108ED">
            <w:pPr>
              <w:jc w:val="both"/>
              <w:rPr>
                <w:rFonts w:ascii="Times New Roman" w:hAnsi="Times New Roman"/>
                <w:sz w:val="20"/>
                <w:szCs w:val="20"/>
              </w:rPr>
            </w:pPr>
          </w:p>
        </w:tc>
        <w:tc>
          <w:tcPr>
            <w:tcW w:w="567" w:type="dxa"/>
            <w:shd w:val="clear" w:color="auto" w:fill="auto"/>
          </w:tcPr>
          <w:p w14:paraId="76D5586B" w14:textId="77777777" w:rsidR="00ED17F3" w:rsidRPr="00D75D2E" w:rsidRDefault="00ED17F3" w:rsidP="007108ED">
            <w:pPr>
              <w:jc w:val="both"/>
              <w:rPr>
                <w:rFonts w:ascii="Times New Roman" w:hAnsi="Times New Roman"/>
                <w:sz w:val="20"/>
                <w:szCs w:val="20"/>
              </w:rPr>
            </w:pPr>
          </w:p>
        </w:tc>
        <w:tc>
          <w:tcPr>
            <w:tcW w:w="633" w:type="dxa"/>
            <w:shd w:val="clear" w:color="auto" w:fill="FFC000"/>
          </w:tcPr>
          <w:p w14:paraId="71ADFB87" w14:textId="77777777" w:rsidR="00ED17F3" w:rsidRPr="00D75D2E" w:rsidRDefault="00ED17F3" w:rsidP="007108ED">
            <w:pPr>
              <w:jc w:val="both"/>
              <w:rPr>
                <w:rFonts w:ascii="Times New Roman" w:hAnsi="Times New Roman"/>
                <w:sz w:val="20"/>
                <w:szCs w:val="20"/>
              </w:rPr>
            </w:pPr>
          </w:p>
        </w:tc>
        <w:tc>
          <w:tcPr>
            <w:tcW w:w="688" w:type="dxa"/>
            <w:shd w:val="clear" w:color="auto" w:fill="FFFFFF"/>
          </w:tcPr>
          <w:p w14:paraId="3A975138" w14:textId="77777777" w:rsidR="00ED17F3" w:rsidRPr="00D75D2E" w:rsidRDefault="00ED17F3" w:rsidP="007108ED">
            <w:pPr>
              <w:jc w:val="both"/>
              <w:rPr>
                <w:rFonts w:ascii="Times New Roman" w:hAnsi="Times New Roman"/>
                <w:sz w:val="20"/>
                <w:szCs w:val="20"/>
              </w:rPr>
            </w:pPr>
          </w:p>
        </w:tc>
      </w:tr>
      <w:tr w:rsidR="00D75D2E" w:rsidRPr="00420C1B" w14:paraId="79684CD9" w14:textId="77777777" w:rsidTr="00215867">
        <w:trPr>
          <w:cantSplit/>
          <w:trHeight w:val="225"/>
          <w:jc w:val="center"/>
        </w:trPr>
        <w:tc>
          <w:tcPr>
            <w:tcW w:w="1294" w:type="dxa"/>
            <w:vMerge/>
            <w:textDirection w:val="btLr"/>
            <w:vAlign w:val="center"/>
          </w:tcPr>
          <w:p w14:paraId="404D33BA" w14:textId="77777777" w:rsidR="00ED17F3" w:rsidRPr="00D75D2E" w:rsidRDefault="00ED17F3" w:rsidP="007108ED">
            <w:pPr>
              <w:ind w:left="113" w:right="113"/>
              <w:jc w:val="center"/>
              <w:rPr>
                <w:rFonts w:ascii="Times New Roman" w:hAnsi="Times New Roman"/>
                <w:b/>
                <w:sz w:val="20"/>
                <w:szCs w:val="20"/>
              </w:rPr>
            </w:pPr>
          </w:p>
        </w:tc>
        <w:tc>
          <w:tcPr>
            <w:tcW w:w="705" w:type="dxa"/>
            <w:vAlign w:val="center"/>
          </w:tcPr>
          <w:p w14:paraId="6CC64CFF" w14:textId="77777777" w:rsidR="00ED17F3" w:rsidRPr="00D75D2E" w:rsidRDefault="00ED17F3" w:rsidP="007108ED">
            <w:pPr>
              <w:jc w:val="center"/>
              <w:rPr>
                <w:rFonts w:ascii="Times New Roman" w:hAnsi="Times New Roman"/>
                <w:sz w:val="20"/>
                <w:szCs w:val="20"/>
              </w:rPr>
            </w:pPr>
            <w:r w:rsidRPr="00D75D2E">
              <w:rPr>
                <w:rFonts w:ascii="Times New Roman" w:hAnsi="Times New Roman"/>
                <w:sz w:val="20"/>
                <w:szCs w:val="20"/>
              </w:rPr>
              <w:t>6</w:t>
            </w:r>
          </w:p>
        </w:tc>
        <w:tc>
          <w:tcPr>
            <w:tcW w:w="2532" w:type="dxa"/>
            <w:vAlign w:val="center"/>
          </w:tcPr>
          <w:p w14:paraId="0E84B818" w14:textId="77777777" w:rsidR="00ED17F3" w:rsidRPr="00D75D2E" w:rsidRDefault="00ED17F3" w:rsidP="007108ED">
            <w:pPr>
              <w:rPr>
                <w:rFonts w:ascii="Times New Roman" w:hAnsi="Times New Roman"/>
                <w:sz w:val="20"/>
                <w:szCs w:val="20"/>
                <w:highlight w:val="yellow"/>
              </w:rPr>
            </w:pPr>
            <w:r w:rsidRPr="00D75D2E">
              <w:rPr>
                <w:rFonts w:ascii="Times New Roman" w:hAnsi="Times New Roman"/>
                <w:sz w:val="20"/>
                <w:szCs w:val="20"/>
              </w:rPr>
              <w:t xml:space="preserve">Terrassement et coulage de béton, Remblai et déblais </w:t>
            </w:r>
          </w:p>
        </w:tc>
        <w:tc>
          <w:tcPr>
            <w:tcW w:w="1418" w:type="dxa"/>
            <w:vAlign w:val="center"/>
          </w:tcPr>
          <w:p w14:paraId="14972219" w14:textId="77777777" w:rsidR="00ED17F3" w:rsidRPr="00D75D2E" w:rsidRDefault="00ED17F3" w:rsidP="007108ED">
            <w:pPr>
              <w:rPr>
                <w:rFonts w:ascii="Times New Roman" w:hAnsi="Times New Roman"/>
                <w:sz w:val="20"/>
                <w:szCs w:val="20"/>
              </w:rPr>
            </w:pPr>
            <w:r w:rsidRPr="00D75D2E">
              <w:rPr>
                <w:rFonts w:ascii="Times New Roman" w:hAnsi="Times New Roman"/>
                <w:sz w:val="20"/>
                <w:szCs w:val="20"/>
              </w:rPr>
              <w:t>Sol et habitat naturel</w:t>
            </w:r>
          </w:p>
        </w:tc>
        <w:tc>
          <w:tcPr>
            <w:tcW w:w="3892" w:type="dxa"/>
            <w:vAlign w:val="center"/>
          </w:tcPr>
          <w:p w14:paraId="0503E776" w14:textId="77777777" w:rsidR="00ED17F3" w:rsidRPr="00D75D2E" w:rsidRDefault="007A00BC"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Certaines parties de la zone d’étude connaissent déjà de forte d’érosion. Ainsi, les travaux de terrassements généraux (fouille, déblai et remblai) et coulage de béton pour l’installation des poteaux électriques et l’exploitation des emprunts contribueront à l’accélération de l’érosion. La mise en œuvre du projet doit prêter une attention particulière à la question d’érosion.</w:t>
            </w:r>
          </w:p>
        </w:tc>
        <w:tc>
          <w:tcPr>
            <w:tcW w:w="425" w:type="dxa"/>
            <w:shd w:val="clear" w:color="auto" w:fill="auto"/>
          </w:tcPr>
          <w:p w14:paraId="01D34D32" w14:textId="77777777" w:rsidR="00ED17F3" w:rsidRPr="00D75D2E" w:rsidRDefault="00ED17F3" w:rsidP="007108ED">
            <w:pPr>
              <w:jc w:val="both"/>
              <w:rPr>
                <w:rFonts w:ascii="Times New Roman" w:hAnsi="Times New Roman"/>
                <w:sz w:val="20"/>
                <w:szCs w:val="20"/>
              </w:rPr>
            </w:pPr>
          </w:p>
        </w:tc>
        <w:tc>
          <w:tcPr>
            <w:tcW w:w="519" w:type="dxa"/>
            <w:shd w:val="clear" w:color="auto" w:fill="FFFFFF"/>
          </w:tcPr>
          <w:p w14:paraId="22453AE7" w14:textId="77777777" w:rsidR="00ED17F3" w:rsidRPr="00D75D2E" w:rsidRDefault="00ED17F3" w:rsidP="007108ED">
            <w:pPr>
              <w:jc w:val="both"/>
              <w:rPr>
                <w:rFonts w:ascii="Times New Roman" w:hAnsi="Times New Roman"/>
                <w:sz w:val="20"/>
                <w:szCs w:val="20"/>
              </w:rPr>
            </w:pPr>
          </w:p>
        </w:tc>
        <w:tc>
          <w:tcPr>
            <w:tcW w:w="472" w:type="dxa"/>
            <w:shd w:val="clear" w:color="auto" w:fill="FFC000"/>
          </w:tcPr>
          <w:p w14:paraId="54F16B30" w14:textId="77777777" w:rsidR="00ED17F3" w:rsidRPr="00D75D2E" w:rsidRDefault="00ED17F3" w:rsidP="007108ED">
            <w:pPr>
              <w:jc w:val="both"/>
              <w:rPr>
                <w:rFonts w:ascii="Times New Roman" w:hAnsi="Times New Roman"/>
                <w:sz w:val="20"/>
                <w:szCs w:val="20"/>
              </w:rPr>
            </w:pPr>
          </w:p>
        </w:tc>
        <w:tc>
          <w:tcPr>
            <w:tcW w:w="425" w:type="dxa"/>
            <w:shd w:val="clear" w:color="auto" w:fill="FFC000"/>
          </w:tcPr>
          <w:p w14:paraId="4CA9F4EA" w14:textId="77777777" w:rsidR="00ED17F3" w:rsidRPr="00D75D2E" w:rsidRDefault="00ED17F3" w:rsidP="007108ED">
            <w:pPr>
              <w:jc w:val="both"/>
              <w:rPr>
                <w:rFonts w:ascii="Times New Roman" w:hAnsi="Times New Roman"/>
                <w:sz w:val="20"/>
                <w:szCs w:val="20"/>
              </w:rPr>
            </w:pPr>
          </w:p>
        </w:tc>
        <w:tc>
          <w:tcPr>
            <w:tcW w:w="519" w:type="dxa"/>
            <w:shd w:val="clear" w:color="auto" w:fill="FFFFFF"/>
          </w:tcPr>
          <w:p w14:paraId="2F25A51A" w14:textId="77777777" w:rsidR="00ED17F3" w:rsidRPr="00D75D2E" w:rsidRDefault="00ED17F3" w:rsidP="007108ED">
            <w:pPr>
              <w:jc w:val="both"/>
              <w:rPr>
                <w:rFonts w:ascii="Times New Roman" w:hAnsi="Times New Roman"/>
                <w:sz w:val="20"/>
                <w:szCs w:val="20"/>
              </w:rPr>
            </w:pPr>
          </w:p>
        </w:tc>
        <w:tc>
          <w:tcPr>
            <w:tcW w:w="425" w:type="dxa"/>
            <w:shd w:val="clear" w:color="auto" w:fill="FFFFFF"/>
          </w:tcPr>
          <w:p w14:paraId="523BA618" w14:textId="77777777" w:rsidR="00ED17F3" w:rsidRPr="00D75D2E" w:rsidRDefault="00ED17F3" w:rsidP="007108ED">
            <w:pPr>
              <w:jc w:val="both"/>
              <w:rPr>
                <w:rFonts w:ascii="Times New Roman" w:hAnsi="Times New Roman"/>
                <w:sz w:val="20"/>
                <w:szCs w:val="20"/>
              </w:rPr>
            </w:pPr>
          </w:p>
        </w:tc>
        <w:tc>
          <w:tcPr>
            <w:tcW w:w="427" w:type="dxa"/>
            <w:shd w:val="clear" w:color="auto" w:fill="FFFFFF"/>
          </w:tcPr>
          <w:p w14:paraId="555FC3C7" w14:textId="77777777" w:rsidR="00ED17F3" w:rsidRPr="00D75D2E" w:rsidRDefault="00ED17F3" w:rsidP="007108ED">
            <w:pPr>
              <w:jc w:val="both"/>
              <w:rPr>
                <w:rFonts w:ascii="Times New Roman" w:hAnsi="Times New Roman"/>
                <w:sz w:val="20"/>
                <w:szCs w:val="20"/>
              </w:rPr>
            </w:pPr>
          </w:p>
        </w:tc>
        <w:tc>
          <w:tcPr>
            <w:tcW w:w="567" w:type="dxa"/>
            <w:shd w:val="clear" w:color="auto" w:fill="FFFFFF"/>
          </w:tcPr>
          <w:p w14:paraId="55E69A0F" w14:textId="77777777" w:rsidR="00ED17F3" w:rsidRPr="00D75D2E" w:rsidRDefault="00ED17F3" w:rsidP="007108ED">
            <w:pPr>
              <w:jc w:val="both"/>
              <w:rPr>
                <w:rFonts w:ascii="Times New Roman" w:hAnsi="Times New Roman"/>
                <w:sz w:val="20"/>
                <w:szCs w:val="20"/>
              </w:rPr>
            </w:pPr>
          </w:p>
        </w:tc>
        <w:tc>
          <w:tcPr>
            <w:tcW w:w="501" w:type="dxa"/>
            <w:shd w:val="clear" w:color="auto" w:fill="FFC000"/>
          </w:tcPr>
          <w:p w14:paraId="0AB11974" w14:textId="77777777" w:rsidR="00ED17F3" w:rsidRPr="00D75D2E" w:rsidRDefault="00ED17F3" w:rsidP="007108ED">
            <w:pPr>
              <w:jc w:val="both"/>
              <w:rPr>
                <w:rFonts w:ascii="Times New Roman" w:hAnsi="Times New Roman"/>
                <w:sz w:val="20"/>
                <w:szCs w:val="20"/>
              </w:rPr>
            </w:pPr>
          </w:p>
        </w:tc>
        <w:tc>
          <w:tcPr>
            <w:tcW w:w="567" w:type="dxa"/>
            <w:shd w:val="clear" w:color="auto" w:fill="auto"/>
          </w:tcPr>
          <w:p w14:paraId="472A2F1D" w14:textId="77777777" w:rsidR="00ED17F3" w:rsidRPr="00D75D2E" w:rsidRDefault="00ED17F3" w:rsidP="007108ED">
            <w:pPr>
              <w:jc w:val="both"/>
              <w:rPr>
                <w:rFonts w:ascii="Times New Roman" w:hAnsi="Times New Roman"/>
                <w:sz w:val="20"/>
                <w:szCs w:val="20"/>
              </w:rPr>
            </w:pPr>
          </w:p>
        </w:tc>
        <w:tc>
          <w:tcPr>
            <w:tcW w:w="633" w:type="dxa"/>
            <w:shd w:val="clear" w:color="auto" w:fill="auto"/>
          </w:tcPr>
          <w:p w14:paraId="385E3950" w14:textId="77777777" w:rsidR="00ED17F3" w:rsidRPr="00D75D2E" w:rsidRDefault="00ED17F3" w:rsidP="007108ED">
            <w:pPr>
              <w:jc w:val="both"/>
              <w:rPr>
                <w:rFonts w:ascii="Times New Roman" w:hAnsi="Times New Roman"/>
                <w:sz w:val="20"/>
                <w:szCs w:val="20"/>
              </w:rPr>
            </w:pPr>
          </w:p>
        </w:tc>
        <w:tc>
          <w:tcPr>
            <w:tcW w:w="688" w:type="dxa"/>
            <w:shd w:val="clear" w:color="auto" w:fill="FFC000"/>
          </w:tcPr>
          <w:p w14:paraId="11C97A5F" w14:textId="77777777" w:rsidR="00ED17F3" w:rsidRPr="00D75D2E" w:rsidRDefault="00ED17F3" w:rsidP="007108ED">
            <w:pPr>
              <w:jc w:val="both"/>
              <w:rPr>
                <w:rFonts w:ascii="Times New Roman" w:hAnsi="Times New Roman"/>
                <w:sz w:val="20"/>
                <w:szCs w:val="20"/>
              </w:rPr>
            </w:pPr>
          </w:p>
        </w:tc>
      </w:tr>
      <w:tr w:rsidR="001D239C" w:rsidRPr="00420C1B" w14:paraId="026DF802" w14:textId="77777777" w:rsidTr="00B90EFA">
        <w:trPr>
          <w:cantSplit/>
          <w:trHeight w:val="225"/>
          <w:jc w:val="center"/>
        </w:trPr>
        <w:tc>
          <w:tcPr>
            <w:tcW w:w="1294" w:type="dxa"/>
            <w:vMerge w:val="restart"/>
            <w:textDirection w:val="btLr"/>
            <w:vAlign w:val="center"/>
          </w:tcPr>
          <w:p w14:paraId="315925D5" w14:textId="77777777" w:rsidR="001D239C" w:rsidRPr="00D75D2E" w:rsidRDefault="001D239C" w:rsidP="007108ED">
            <w:pPr>
              <w:ind w:left="113" w:right="113"/>
              <w:jc w:val="both"/>
              <w:rPr>
                <w:rFonts w:ascii="Times New Roman" w:hAnsi="Times New Roman"/>
                <w:b/>
                <w:sz w:val="20"/>
                <w:szCs w:val="20"/>
              </w:rPr>
            </w:pPr>
          </w:p>
        </w:tc>
        <w:tc>
          <w:tcPr>
            <w:tcW w:w="705" w:type="dxa"/>
            <w:vAlign w:val="center"/>
          </w:tcPr>
          <w:p w14:paraId="440D1FBD" w14:textId="77777777" w:rsidR="001D239C" w:rsidRPr="00D75D2E" w:rsidRDefault="001D239C" w:rsidP="007108ED">
            <w:pPr>
              <w:jc w:val="center"/>
              <w:rPr>
                <w:rFonts w:ascii="Times New Roman" w:hAnsi="Times New Roman"/>
                <w:sz w:val="20"/>
                <w:szCs w:val="20"/>
              </w:rPr>
            </w:pPr>
            <w:r w:rsidRPr="00D75D2E">
              <w:rPr>
                <w:rFonts w:ascii="Times New Roman" w:hAnsi="Times New Roman"/>
                <w:sz w:val="20"/>
                <w:szCs w:val="20"/>
              </w:rPr>
              <w:t>7</w:t>
            </w:r>
          </w:p>
        </w:tc>
        <w:tc>
          <w:tcPr>
            <w:tcW w:w="2532" w:type="dxa"/>
            <w:vAlign w:val="center"/>
          </w:tcPr>
          <w:p w14:paraId="46877AD0" w14:textId="77777777" w:rsidR="001D239C" w:rsidRPr="00D75D2E" w:rsidRDefault="001D239C" w:rsidP="007108ED">
            <w:pPr>
              <w:jc w:val="both"/>
              <w:rPr>
                <w:rFonts w:ascii="Times New Roman" w:hAnsi="Times New Roman"/>
                <w:sz w:val="20"/>
                <w:szCs w:val="20"/>
              </w:rPr>
            </w:pPr>
            <w:r w:rsidRPr="00D75D2E">
              <w:rPr>
                <w:rFonts w:ascii="Times New Roman" w:hAnsi="Times New Roman"/>
                <w:sz w:val="20"/>
                <w:szCs w:val="20"/>
              </w:rPr>
              <w:t xml:space="preserve">Gestion des déchets solides, liquides du chantier  </w:t>
            </w:r>
          </w:p>
        </w:tc>
        <w:tc>
          <w:tcPr>
            <w:tcW w:w="1418" w:type="dxa"/>
            <w:vAlign w:val="center"/>
          </w:tcPr>
          <w:p w14:paraId="567F5FA5" w14:textId="77777777" w:rsidR="001D239C" w:rsidRPr="00D75D2E" w:rsidRDefault="001D239C" w:rsidP="007108ED">
            <w:pPr>
              <w:rPr>
                <w:rFonts w:ascii="Times New Roman" w:hAnsi="Times New Roman"/>
                <w:sz w:val="20"/>
                <w:szCs w:val="20"/>
              </w:rPr>
            </w:pPr>
            <w:r w:rsidRPr="00D75D2E">
              <w:rPr>
                <w:rFonts w:ascii="Times New Roman" w:hAnsi="Times New Roman"/>
                <w:sz w:val="20"/>
                <w:szCs w:val="20"/>
              </w:rPr>
              <w:t xml:space="preserve">Air </w:t>
            </w:r>
          </w:p>
          <w:p w14:paraId="6F850DDD" w14:textId="77777777" w:rsidR="001D239C" w:rsidRPr="00D75D2E" w:rsidRDefault="001D239C" w:rsidP="007108ED">
            <w:pPr>
              <w:rPr>
                <w:rFonts w:ascii="Times New Roman" w:hAnsi="Times New Roman"/>
                <w:sz w:val="20"/>
                <w:szCs w:val="20"/>
              </w:rPr>
            </w:pPr>
            <w:r w:rsidRPr="00D75D2E">
              <w:rPr>
                <w:rFonts w:ascii="Times New Roman" w:hAnsi="Times New Roman"/>
                <w:sz w:val="20"/>
                <w:szCs w:val="20"/>
              </w:rPr>
              <w:t xml:space="preserve">Eau </w:t>
            </w:r>
          </w:p>
          <w:p w14:paraId="5E71B7B7" w14:textId="77777777" w:rsidR="001D239C" w:rsidRPr="00D75D2E" w:rsidRDefault="001D239C" w:rsidP="007108ED">
            <w:pPr>
              <w:rPr>
                <w:rFonts w:ascii="Times New Roman" w:hAnsi="Times New Roman"/>
                <w:sz w:val="20"/>
                <w:szCs w:val="20"/>
              </w:rPr>
            </w:pPr>
            <w:r w:rsidRPr="00D75D2E">
              <w:rPr>
                <w:rFonts w:ascii="Times New Roman" w:hAnsi="Times New Roman"/>
                <w:sz w:val="20"/>
                <w:szCs w:val="20"/>
              </w:rPr>
              <w:t xml:space="preserve">Sol </w:t>
            </w:r>
          </w:p>
        </w:tc>
        <w:tc>
          <w:tcPr>
            <w:tcW w:w="3892" w:type="dxa"/>
            <w:vAlign w:val="center"/>
          </w:tcPr>
          <w:p w14:paraId="4BA1DEFE" w14:textId="77777777" w:rsidR="001D239C" w:rsidRPr="00D75D2E" w:rsidRDefault="001D239C"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Ces déchets solides risquent de se disperser et d’affecter la salubrité du site. Il s’agit des déchets générés par</w:t>
            </w:r>
            <w:r w:rsidRPr="00D75D2E">
              <w:rPr>
                <w:rFonts w:ascii="Times New Roman" w:hAnsi="Times New Roman"/>
                <w:sz w:val="20"/>
                <w:szCs w:val="20"/>
              </w:rPr>
              <w:t xml:space="preserve"> </w:t>
            </w:r>
            <w:r w:rsidRPr="00D75D2E">
              <w:rPr>
                <w:rFonts w:ascii="Times New Roman" w:hAnsi="Times New Roman"/>
                <w:iCs/>
                <w:sz w:val="20"/>
                <w:szCs w:val="20"/>
              </w:rPr>
              <w:t>les excavations et de chantier (Matériau d’emballage, reste de peinture, du papier, anciens câbles, plastique etc.).</w:t>
            </w:r>
          </w:p>
        </w:tc>
        <w:tc>
          <w:tcPr>
            <w:tcW w:w="425" w:type="dxa"/>
            <w:shd w:val="clear" w:color="auto" w:fill="auto"/>
          </w:tcPr>
          <w:p w14:paraId="1BF48540" w14:textId="77777777" w:rsidR="001D239C" w:rsidRPr="00D75D2E" w:rsidRDefault="001D239C" w:rsidP="007108ED">
            <w:pPr>
              <w:jc w:val="both"/>
              <w:rPr>
                <w:rFonts w:ascii="Times New Roman" w:hAnsi="Times New Roman"/>
                <w:sz w:val="20"/>
                <w:szCs w:val="20"/>
              </w:rPr>
            </w:pPr>
          </w:p>
        </w:tc>
        <w:tc>
          <w:tcPr>
            <w:tcW w:w="519" w:type="dxa"/>
            <w:shd w:val="clear" w:color="auto" w:fill="FFFFFF"/>
          </w:tcPr>
          <w:p w14:paraId="0EA8ACF6" w14:textId="77777777" w:rsidR="001D239C" w:rsidRPr="00D75D2E" w:rsidRDefault="001D239C" w:rsidP="007108ED">
            <w:pPr>
              <w:jc w:val="both"/>
              <w:rPr>
                <w:rFonts w:ascii="Times New Roman" w:hAnsi="Times New Roman"/>
                <w:sz w:val="20"/>
                <w:szCs w:val="20"/>
              </w:rPr>
            </w:pPr>
          </w:p>
        </w:tc>
        <w:tc>
          <w:tcPr>
            <w:tcW w:w="472" w:type="dxa"/>
            <w:shd w:val="clear" w:color="auto" w:fill="FFC000"/>
          </w:tcPr>
          <w:p w14:paraId="7800227E" w14:textId="77777777" w:rsidR="001D239C" w:rsidRPr="00D75D2E" w:rsidRDefault="001D239C" w:rsidP="007108ED">
            <w:pPr>
              <w:jc w:val="both"/>
              <w:rPr>
                <w:rFonts w:ascii="Times New Roman" w:hAnsi="Times New Roman"/>
                <w:sz w:val="20"/>
                <w:szCs w:val="20"/>
              </w:rPr>
            </w:pPr>
          </w:p>
        </w:tc>
        <w:tc>
          <w:tcPr>
            <w:tcW w:w="425" w:type="dxa"/>
            <w:shd w:val="clear" w:color="auto" w:fill="FFC000"/>
          </w:tcPr>
          <w:p w14:paraId="383846C4" w14:textId="77777777" w:rsidR="001D239C" w:rsidRPr="00D75D2E" w:rsidRDefault="001D239C" w:rsidP="007108ED">
            <w:pPr>
              <w:jc w:val="both"/>
              <w:rPr>
                <w:rFonts w:ascii="Times New Roman" w:hAnsi="Times New Roman"/>
                <w:sz w:val="20"/>
                <w:szCs w:val="20"/>
              </w:rPr>
            </w:pPr>
          </w:p>
        </w:tc>
        <w:tc>
          <w:tcPr>
            <w:tcW w:w="519" w:type="dxa"/>
            <w:shd w:val="clear" w:color="auto" w:fill="FFFFFF"/>
          </w:tcPr>
          <w:p w14:paraId="61FFA4F1" w14:textId="77777777" w:rsidR="001D239C" w:rsidRPr="00D75D2E" w:rsidRDefault="001D239C" w:rsidP="007108ED">
            <w:pPr>
              <w:jc w:val="both"/>
              <w:rPr>
                <w:rFonts w:ascii="Times New Roman" w:hAnsi="Times New Roman"/>
                <w:sz w:val="20"/>
                <w:szCs w:val="20"/>
              </w:rPr>
            </w:pPr>
          </w:p>
        </w:tc>
        <w:tc>
          <w:tcPr>
            <w:tcW w:w="425" w:type="dxa"/>
            <w:shd w:val="clear" w:color="auto" w:fill="FFFFFF"/>
          </w:tcPr>
          <w:p w14:paraId="2767A64A" w14:textId="77777777" w:rsidR="001D239C" w:rsidRPr="00D75D2E" w:rsidRDefault="001D239C" w:rsidP="007108ED">
            <w:pPr>
              <w:jc w:val="both"/>
              <w:rPr>
                <w:rFonts w:ascii="Times New Roman" w:hAnsi="Times New Roman"/>
                <w:sz w:val="20"/>
                <w:szCs w:val="20"/>
              </w:rPr>
            </w:pPr>
          </w:p>
        </w:tc>
        <w:tc>
          <w:tcPr>
            <w:tcW w:w="427" w:type="dxa"/>
            <w:shd w:val="clear" w:color="auto" w:fill="FFFFFF"/>
          </w:tcPr>
          <w:p w14:paraId="4E633E92" w14:textId="77777777" w:rsidR="001D239C" w:rsidRPr="00D75D2E" w:rsidRDefault="001D239C" w:rsidP="007108ED">
            <w:pPr>
              <w:jc w:val="both"/>
              <w:rPr>
                <w:rFonts w:ascii="Times New Roman" w:hAnsi="Times New Roman"/>
                <w:sz w:val="20"/>
                <w:szCs w:val="20"/>
              </w:rPr>
            </w:pPr>
          </w:p>
        </w:tc>
        <w:tc>
          <w:tcPr>
            <w:tcW w:w="567" w:type="dxa"/>
            <w:shd w:val="clear" w:color="auto" w:fill="FFFFFF"/>
          </w:tcPr>
          <w:p w14:paraId="50645123" w14:textId="77777777" w:rsidR="001D239C" w:rsidRPr="00D75D2E" w:rsidRDefault="001D239C" w:rsidP="007108ED">
            <w:pPr>
              <w:jc w:val="both"/>
              <w:rPr>
                <w:rFonts w:ascii="Times New Roman" w:hAnsi="Times New Roman"/>
                <w:sz w:val="20"/>
                <w:szCs w:val="20"/>
              </w:rPr>
            </w:pPr>
          </w:p>
        </w:tc>
        <w:tc>
          <w:tcPr>
            <w:tcW w:w="501" w:type="dxa"/>
            <w:shd w:val="clear" w:color="auto" w:fill="FFC000"/>
          </w:tcPr>
          <w:p w14:paraId="33898D59" w14:textId="77777777" w:rsidR="001D239C" w:rsidRPr="00D75D2E" w:rsidRDefault="001D239C" w:rsidP="007108ED">
            <w:pPr>
              <w:jc w:val="both"/>
              <w:rPr>
                <w:rFonts w:ascii="Times New Roman" w:hAnsi="Times New Roman"/>
                <w:sz w:val="20"/>
                <w:szCs w:val="20"/>
              </w:rPr>
            </w:pPr>
          </w:p>
        </w:tc>
        <w:tc>
          <w:tcPr>
            <w:tcW w:w="567" w:type="dxa"/>
            <w:shd w:val="clear" w:color="auto" w:fill="auto"/>
          </w:tcPr>
          <w:p w14:paraId="3F005CCF" w14:textId="77777777" w:rsidR="001D239C" w:rsidRPr="00D75D2E" w:rsidRDefault="001D239C" w:rsidP="007108ED">
            <w:pPr>
              <w:jc w:val="both"/>
              <w:rPr>
                <w:rFonts w:ascii="Times New Roman" w:hAnsi="Times New Roman"/>
                <w:sz w:val="20"/>
                <w:szCs w:val="20"/>
              </w:rPr>
            </w:pPr>
          </w:p>
        </w:tc>
        <w:tc>
          <w:tcPr>
            <w:tcW w:w="633" w:type="dxa"/>
            <w:shd w:val="clear" w:color="auto" w:fill="auto"/>
          </w:tcPr>
          <w:p w14:paraId="0BF54400" w14:textId="77777777" w:rsidR="001D239C" w:rsidRPr="00D75D2E" w:rsidRDefault="001D239C" w:rsidP="007108ED">
            <w:pPr>
              <w:jc w:val="both"/>
              <w:rPr>
                <w:rFonts w:ascii="Times New Roman" w:hAnsi="Times New Roman"/>
                <w:sz w:val="20"/>
                <w:szCs w:val="20"/>
              </w:rPr>
            </w:pPr>
          </w:p>
        </w:tc>
        <w:tc>
          <w:tcPr>
            <w:tcW w:w="688" w:type="dxa"/>
            <w:shd w:val="clear" w:color="auto" w:fill="FFC000"/>
          </w:tcPr>
          <w:p w14:paraId="5B3E5C76" w14:textId="77777777" w:rsidR="001D239C" w:rsidRPr="00D75D2E" w:rsidRDefault="001D239C" w:rsidP="007108ED">
            <w:pPr>
              <w:jc w:val="both"/>
              <w:rPr>
                <w:rFonts w:ascii="Times New Roman" w:hAnsi="Times New Roman"/>
                <w:sz w:val="20"/>
                <w:szCs w:val="20"/>
              </w:rPr>
            </w:pPr>
          </w:p>
        </w:tc>
      </w:tr>
      <w:tr w:rsidR="001D239C" w:rsidRPr="00420C1B" w14:paraId="56D102EC" w14:textId="77777777" w:rsidTr="00B90EFA">
        <w:trPr>
          <w:cantSplit/>
          <w:trHeight w:val="225"/>
          <w:jc w:val="center"/>
        </w:trPr>
        <w:tc>
          <w:tcPr>
            <w:tcW w:w="1294" w:type="dxa"/>
            <w:vMerge/>
            <w:textDirection w:val="btLr"/>
            <w:vAlign w:val="center"/>
          </w:tcPr>
          <w:p w14:paraId="649B64D0" w14:textId="77777777" w:rsidR="001D239C" w:rsidRPr="00D75D2E" w:rsidRDefault="001D239C" w:rsidP="001D239C">
            <w:pPr>
              <w:ind w:left="113" w:right="113"/>
              <w:jc w:val="both"/>
              <w:rPr>
                <w:rFonts w:ascii="Times New Roman" w:hAnsi="Times New Roman"/>
                <w:b/>
                <w:sz w:val="20"/>
                <w:szCs w:val="20"/>
              </w:rPr>
            </w:pPr>
          </w:p>
        </w:tc>
        <w:tc>
          <w:tcPr>
            <w:tcW w:w="705" w:type="dxa"/>
            <w:vAlign w:val="center"/>
          </w:tcPr>
          <w:p w14:paraId="387771D4" w14:textId="56BB294C" w:rsidR="001D239C" w:rsidRPr="00D75D2E" w:rsidRDefault="001D239C" w:rsidP="001D239C">
            <w:pPr>
              <w:jc w:val="center"/>
              <w:rPr>
                <w:rFonts w:ascii="Times New Roman" w:hAnsi="Times New Roman"/>
                <w:sz w:val="20"/>
                <w:szCs w:val="20"/>
              </w:rPr>
            </w:pPr>
            <w:r>
              <w:rPr>
                <w:rFonts w:ascii="Times New Roman" w:hAnsi="Times New Roman"/>
                <w:sz w:val="20"/>
                <w:szCs w:val="20"/>
              </w:rPr>
              <w:t>8</w:t>
            </w:r>
          </w:p>
        </w:tc>
        <w:tc>
          <w:tcPr>
            <w:tcW w:w="2532" w:type="dxa"/>
            <w:vAlign w:val="center"/>
          </w:tcPr>
          <w:p w14:paraId="5956ABEE" w14:textId="3CE2754F" w:rsidR="001D239C" w:rsidRPr="00D75D2E" w:rsidRDefault="001D239C" w:rsidP="001D239C">
            <w:pPr>
              <w:jc w:val="both"/>
              <w:rPr>
                <w:rFonts w:ascii="Times New Roman" w:hAnsi="Times New Roman"/>
                <w:sz w:val="20"/>
                <w:szCs w:val="20"/>
              </w:rPr>
            </w:pPr>
            <w:r>
              <w:rPr>
                <w:rFonts w:ascii="Times New Roman" w:hAnsi="Times New Roman"/>
                <w:sz w:val="20"/>
                <w:szCs w:val="20"/>
              </w:rPr>
              <w:t>Libération des emprises du projet</w:t>
            </w:r>
          </w:p>
        </w:tc>
        <w:tc>
          <w:tcPr>
            <w:tcW w:w="1418" w:type="dxa"/>
            <w:vAlign w:val="center"/>
          </w:tcPr>
          <w:p w14:paraId="6D0EA219" w14:textId="4B65F798" w:rsidR="001D239C" w:rsidRPr="00D75D2E" w:rsidRDefault="001D239C" w:rsidP="001D239C">
            <w:pPr>
              <w:rPr>
                <w:rFonts w:ascii="Times New Roman" w:hAnsi="Times New Roman"/>
                <w:sz w:val="20"/>
                <w:szCs w:val="20"/>
              </w:rPr>
            </w:pPr>
            <w:r>
              <w:rPr>
                <w:rFonts w:ascii="Times New Roman" w:hAnsi="Times New Roman"/>
                <w:sz w:val="20"/>
                <w:szCs w:val="20"/>
              </w:rPr>
              <w:t>Avifaune</w:t>
            </w:r>
          </w:p>
        </w:tc>
        <w:tc>
          <w:tcPr>
            <w:tcW w:w="3892" w:type="dxa"/>
            <w:vAlign w:val="center"/>
          </w:tcPr>
          <w:p w14:paraId="656D94B6" w14:textId="111266F4" w:rsidR="001D239C" w:rsidRPr="00D75D2E" w:rsidRDefault="001D239C" w:rsidP="001D239C">
            <w:pPr>
              <w:spacing w:after="0" w:line="240" w:lineRule="auto"/>
              <w:jc w:val="both"/>
              <w:rPr>
                <w:rFonts w:ascii="Times New Roman" w:hAnsi="Times New Roman"/>
                <w:iCs/>
                <w:sz w:val="20"/>
                <w:szCs w:val="20"/>
              </w:rPr>
            </w:pPr>
            <w:r>
              <w:rPr>
                <w:rFonts w:ascii="Times New Roman" w:hAnsi="Times New Roman"/>
                <w:iCs/>
                <w:sz w:val="20"/>
                <w:szCs w:val="20"/>
              </w:rPr>
              <w:t xml:space="preserve">La coupe d’arbre ou l’élagage dans le cadre du projet seront à la base de la migration des espèces suite à leur habitat et des zones de nidification </w:t>
            </w:r>
          </w:p>
        </w:tc>
        <w:tc>
          <w:tcPr>
            <w:tcW w:w="425" w:type="dxa"/>
            <w:shd w:val="clear" w:color="auto" w:fill="auto"/>
          </w:tcPr>
          <w:p w14:paraId="37EEFF3B" w14:textId="77777777" w:rsidR="001D239C" w:rsidRPr="00D75D2E" w:rsidRDefault="001D239C" w:rsidP="001D239C">
            <w:pPr>
              <w:jc w:val="both"/>
              <w:rPr>
                <w:rFonts w:ascii="Times New Roman" w:hAnsi="Times New Roman"/>
                <w:sz w:val="20"/>
                <w:szCs w:val="20"/>
              </w:rPr>
            </w:pPr>
          </w:p>
        </w:tc>
        <w:tc>
          <w:tcPr>
            <w:tcW w:w="519" w:type="dxa"/>
            <w:shd w:val="clear" w:color="auto" w:fill="FFFFFF"/>
          </w:tcPr>
          <w:p w14:paraId="66C25099" w14:textId="77777777" w:rsidR="001D239C" w:rsidRPr="00D75D2E" w:rsidRDefault="001D239C" w:rsidP="001D239C">
            <w:pPr>
              <w:jc w:val="both"/>
              <w:rPr>
                <w:rFonts w:ascii="Times New Roman" w:hAnsi="Times New Roman"/>
                <w:sz w:val="20"/>
                <w:szCs w:val="20"/>
              </w:rPr>
            </w:pPr>
          </w:p>
        </w:tc>
        <w:tc>
          <w:tcPr>
            <w:tcW w:w="472" w:type="dxa"/>
            <w:shd w:val="clear" w:color="auto" w:fill="FFC000"/>
          </w:tcPr>
          <w:p w14:paraId="479AF970" w14:textId="77777777" w:rsidR="001D239C" w:rsidRPr="00D75D2E" w:rsidRDefault="001D239C" w:rsidP="001D239C">
            <w:pPr>
              <w:jc w:val="both"/>
              <w:rPr>
                <w:rFonts w:ascii="Times New Roman" w:hAnsi="Times New Roman"/>
                <w:sz w:val="20"/>
                <w:szCs w:val="20"/>
              </w:rPr>
            </w:pPr>
          </w:p>
        </w:tc>
        <w:tc>
          <w:tcPr>
            <w:tcW w:w="425" w:type="dxa"/>
            <w:shd w:val="clear" w:color="auto" w:fill="FFC000"/>
          </w:tcPr>
          <w:p w14:paraId="1F602132" w14:textId="77777777" w:rsidR="001D239C" w:rsidRPr="00D75D2E" w:rsidRDefault="001D239C" w:rsidP="001D239C">
            <w:pPr>
              <w:jc w:val="both"/>
              <w:rPr>
                <w:rFonts w:ascii="Times New Roman" w:hAnsi="Times New Roman"/>
                <w:sz w:val="20"/>
                <w:szCs w:val="20"/>
              </w:rPr>
            </w:pPr>
          </w:p>
        </w:tc>
        <w:tc>
          <w:tcPr>
            <w:tcW w:w="519" w:type="dxa"/>
            <w:shd w:val="clear" w:color="auto" w:fill="FFFFFF"/>
          </w:tcPr>
          <w:p w14:paraId="45E63708" w14:textId="77777777" w:rsidR="001D239C" w:rsidRPr="00D75D2E" w:rsidRDefault="001D239C" w:rsidP="001D239C">
            <w:pPr>
              <w:jc w:val="both"/>
              <w:rPr>
                <w:rFonts w:ascii="Times New Roman" w:hAnsi="Times New Roman"/>
                <w:sz w:val="20"/>
                <w:szCs w:val="20"/>
              </w:rPr>
            </w:pPr>
          </w:p>
        </w:tc>
        <w:tc>
          <w:tcPr>
            <w:tcW w:w="425" w:type="dxa"/>
            <w:shd w:val="clear" w:color="auto" w:fill="FFFFFF"/>
          </w:tcPr>
          <w:p w14:paraId="2BDA0CC4" w14:textId="77777777" w:rsidR="001D239C" w:rsidRPr="00D75D2E" w:rsidRDefault="001D239C" w:rsidP="001D239C">
            <w:pPr>
              <w:jc w:val="both"/>
              <w:rPr>
                <w:rFonts w:ascii="Times New Roman" w:hAnsi="Times New Roman"/>
                <w:sz w:val="20"/>
                <w:szCs w:val="20"/>
              </w:rPr>
            </w:pPr>
          </w:p>
        </w:tc>
        <w:tc>
          <w:tcPr>
            <w:tcW w:w="427" w:type="dxa"/>
            <w:shd w:val="clear" w:color="auto" w:fill="FFFFFF"/>
          </w:tcPr>
          <w:p w14:paraId="67289364" w14:textId="77777777" w:rsidR="001D239C" w:rsidRPr="00D75D2E" w:rsidRDefault="001D239C" w:rsidP="001D239C">
            <w:pPr>
              <w:jc w:val="both"/>
              <w:rPr>
                <w:rFonts w:ascii="Times New Roman" w:hAnsi="Times New Roman"/>
                <w:sz w:val="20"/>
                <w:szCs w:val="20"/>
              </w:rPr>
            </w:pPr>
          </w:p>
        </w:tc>
        <w:tc>
          <w:tcPr>
            <w:tcW w:w="567" w:type="dxa"/>
            <w:shd w:val="clear" w:color="auto" w:fill="FFFFFF"/>
          </w:tcPr>
          <w:p w14:paraId="1AAB5B84" w14:textId="77777777" w:rsidR="001D239C" w:rsidRPr="00D75D2E" w:rsidRDefault="001D239C" w:rsidP="001D239C">
            <w:pPr>
              <w:jc w:val="both"/>
              <w:rPr>
                <w:rFonts w:ascii="Times New Roman" w:hAnsi="Times New Roman"/>
                <w:sz w:val="20"/>
                <w:szCs w:val="20"/>
              </w:rPr>
            </w:pPr>
          </w:p>
        </w:tc>
        <w:tc>
          <w:tcPr>
            <w:tcW w:w="501" w:type="dxa"/>
            <w:shd w:val="clear" w:color="auto" w:fill="FFC000"/>
          </w:tcPr>
          <w:p w14:paraId="3AE297EB" w14:textId="77777777" w:rsidR="001D239C" w:rsidRPr="00D75D2E" w:rsidRDefault="001D239C" w:rsidP="001D239C">
            <w:pPr>
              <w:jc w:val="both"/>
              <w:rPr>
                <w:rFonts w:ascii="Times New Roman" w:hAnsi="Times New Roman"/>
                <w:sz w:val="20"/>
                <w:szCs w:val="20"/>
              </w:rPr>
            </w:pPr>
          </w:p>
        </w:tc>
        <w:tc>
          <w:tcPr>
            <w:tcW w:w="567" w:type="dxa"/>
            <w:shd w:val="clear" w:color="auto" w:fill="auto"/>
          </w:tcPr>
          <w:p w14:paraId="21EAD85B" w14:textId="77777777" w:rsidR="001D239C" w:rsidRPr="00D75D2E" w:rsidRDefault="001D239C" w:rsidP="001D239C">
            <w:pPr>
              <w:jc w:val="both"/>
              <w:rPr>
                <w:rFonts w:ascii="Times New Roman" w:hAnsi="Times New Roman"/>
                <w:sz w:val="20"/>
                <w:szCs w:val="20"/>
              </w:rPr>
            </w:pPr>
          </w:p>
        </w:tc>
        <w:tc>
          <w:tcPr>
            <w:tcW w:w="633" w:type="dxa"/>
            <w:shd w:val="clear" w:color="auto" w:fill="auto"/>
          </w:tcPr>
          <w:p w14:paraId="497AE78F" w14:textId="77777777" w:rsidR="001D239C" w:rsidRPr="00D75D2E" w:rsidRDefault="001D239C" w:rsidP="001D239C">
            <w:pPr>
              <w:jc w:val="both"/>
              <w:rPr>
                <w:rFonts w:ascii="Times New Roman" w:hAnsi="Times New Roman"/>
                <w:sz w:val="20"/>
                <w:szCs w:val="20"/>
              </w:rPr>
            </w:pPr>
          </w:p>
        </w:tc>
        <w:tc>
          <w:tcPr>
            <w:tcW w:w="688" w:type="dxa"/>
            <w:shd w:val="clear" w:color="auto" w:fill="FFC000"/>
          </w:tcPr>
          <w:p w14:paraId="0B124440" w14:textId="77777777" w:rsidR="001D239C" w:rsidRPr="00D75D2E" w:rsidRDefault="001D239C" w:rsidP="001D239C">
            <w:pPr>
              <w:jc w:val="both"/>
              <w:rPr>
                <w:rFonts w:ascii="Times New Roman" w:hAnsi="Times New Roman"/>
                <w:sz w:val="20"/>
                <w:szCs w:val="20"/>
              </w:rPr>
            </w:pPr>
          </w:p>
        </w:tc>
      </w:tr>
      <w:tr w:rsidR="00BE79BB" w:rsidRPr="00420C1B" w14:paraId="25CF445D" w14:textId="77777777" w:rsidTr="00215867">
        <w:trPr>
          <w:trHeight w:val="682"/>
          <w:jc w:val="center"/>
        </w:trPr>
        <w:tc>
          <w:tcPr>
            <w:tcW w:w="1294" w:type="dxa"/>
            <w:vMerge w:val="restart"/>
            <w:textDirection w:val="btLr"/>
            <w:vAlign w:val="center"/>
          </w:tcPr>
          <w:p w14:paraId="4FD00FBC" w14:textId="62416A59" w:rsidR="00BE79BB" w:rsidRPr="00D75D2E" w:rsidRDefault="00BE79BB" w:rsidP="007108ED">
            <w:pPr>
              <w:ind w:left="113" w:right="113"/>
              <w:jc w:val="center"/>
              <w:rPr>
                <w:rFonts w:ascii="Times New Roman" w:hAnsi="Times New Roman"/>
                <w:b/>
                <w:sz w:val="20"/>
                <w:szCs w:val="20"/>
              </w:rPr>
            </w:pPr>
            <w:r w:rsidRPr="00D75D2E">
              <w:rPr>
                <w:rFonts w:ascii="Times New Roman" w:hAnsi="Times New Roman"/>
                <w:b/>
                <w:sz w:val="20"/>
                <w:szCs w:val="20"/>
              </w:rPr>
              <w:t>EXPLOITATION</w:t>
            </w:r>
          </w:p>
        </w:tc>
        <w:tc>
          <w:tcPr>
            <w:tcW w:w="705" w:type="dxa"/>
            <w:vAlign w:val="center"/>
          </w:tcPr>
          <w:p w14:paraId="7BF8832D" w14:textId="61906A60" w:rsidR="00BE79BB" w:rsidRPr="00D75D2E" w:rsidRDefault="001D239C" w:rsidP="001D239C">
            <w:pPr>
              <w:jc w:val="center"/>
              <w:rPr>
                <w:rFonts w:ascii="Times New Roman" w:hAnsi="Times New Roman"/>
                <w:sz w:val="20"/>
                <w:szCs w:val="20"/>
              </w:rPr>
            </w:pPr>
            <w:r>
              <w:rPr>
                <w:rFonts w:ascii="Times New Roman" w:hAnsi="Times New Roman"/>
                <w:sz w:val="20"/>
                <w:szCs w:val="20"/>
              </w:rPr>
              <w:t>9</w:t>
            </w:r>
          </w:p>
        </w:tc>
        <w:tc>
          <w:tcPr>
            <w:tcW w:w="2532" w:type="dxa"/>
            <w:vMerge w:val="restart"/>
            <w:vAlign w:val="center"/>
          </w:tcPr>
          <w:p w14:paraId="07CD4B10" w14:textId="77777777" w:rsidR="00BE79BB" w:rsidRPr="00D75D2E" w:rsidRDefault="00BE79BB" w:rsidP="007108ED">
            <w:pPr>
              <w:rPr>
                <w:rFonts w:ascii="Times New Roman" w:hAnsi="Times New Roman"/>
                <w:sz w:val="20"/>
                <w:szCs w:val="20"/>
              </w:rPr>
            </w:pPr>
            <w:r w:rsidRPr="00D75D2E">
              <w:rPr>
                <w:rFonts w:ascii="Times New Roman" w:hAnsi="Times New Roman"/>
                <w:sz w:val="20"/>
                <w:szCs w:val="20"/>
              </w:rPr>
              <w:t xml:space="preserve">Entretien des lignes et des cabines </w:t>
            </w:r>
          </w:p>
        </w:tc>
        <w:tc>
          <w:tcPr>
            <w:tcW w:w="1418" w:type="dxa"/>
            <w:vAlign w:val="center"/>
          </w:tcPr>
          <w:p w14:paraId="69C56613" w14:textId="77777777" w:rsidR="00BE79BB" w:rsidRPr="00D75D2E" w:rsidRDefault="00BE79BB" w:rsidP="007108ED">
            <w:pPr>
              <w:rPr>
                <w:rFonts w:ascii="Times New Roman" w:hAnsi="Times New Roman"/>
                <w:sz w:val="20"/>
                <w:szCs w:val="20"/>
              </w:rPr>
            </w:pPr>
            <w:r w:rsidRPr="00D75D2E">
              <w:rPr>
                <w:rFonts w:ascii="Times New Roman" w:hAnsi="Times New Roman"/>
                <w:sz w:val="20"/>
                <w:szCs w:val="20"/>
              </w:rPr>
              <w:t xml:space="preserve">Flore </w:t>
            </w:r>
          </w:p>
        </w:tc>
        <w:tc>
          <w:tcPr>
            <w:tcW w:w="3892" w:type="dxa"/>
            <w:vAlign w:val="center"/>
          </w:tcPr>
          <w:p w14:paraId="54E9C8C2" w14:textId="49E9AE63" w:rsidR="00BE79BB" w:rsidRPr="00D75D2E" w:rsidRDefault="00BE79BB"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Élagage des arbres gênants dans l’emprise des lignes occasionnera l</w:t>
            </w:r>
            <w:r w:rsidR="001F4D97">
              <w:rPr>
                <w:rFonts w:ascii="Times New Roman" w:hAnsi="Times New Roman"/>
                <w:iCs/>
                <w:sz w:val="20"/>
                <w:szCs w:val="20"/>
              </w:rPr>
              <w:t>a</w:t>
            </w:r>
            <w:r w:rsidRPr="00D75D2E">
              <w:rPr>
                <w:rFonts w:ascii="Times New Roman" w:hAnsi="Times New Roman"/>
                <w:iCs/>
                <w:sz w:val="20"/>
                <w:szCs w:val="20"/>
              </w:rPr>
              <w:t xml:space="preserve"> perte du couvert végétal</w:t>
            </w:r>
          </w:p>
        </w:tc>
        <w:tc>
          <w:tcPr>
            <w:tcW w:w="425" w:type="dxa"/>
            <w:shd w:val="clear" w:color="auto" w:fill="auto"/>
          </w:tcPr>
          <w:p w14:paraId="27C79CDC" w14:textId="77777777" w:rsidR="00BE79BB" w:rsidRPr="00D75D2E" w:rsidRDefault="00BE79BB" w:rsidP="007108ED">
            <w:pPr>
              <w:jc w:val="both"/>
              <w:rPr>
                <w:rFonts w:ascii="Times New Roman" w:hAnsi="Times New Roman"/>
                <w:sz w:val="20"/>
                <w:szCs w:val="20"/>
              </w:rPr>
            </w:pPr>
          </w:p>
        </w:tc>
        <w:tc>
          <w:tcPr>
            <w:tcW w:w="519" w:type="dxa"/>
            <w:shd w:val="clear" w:color="auto" w:fill="FFC000"/>
          </w:tcPr>
          <w:p w14:paraId="2FD96A5B" w14:textId="77777777" w:rsidR="00BE79BB" w:rsidRPr="00D75D2E" w:rsidRDefault="00BE79BB" w:rsidP="007108ED">
            <w:pPr>
              <w:jc w:val="both"/>
              <w:rPr>
                <w:rFonts w:ascii="Times New Roman" w:hAnsi="Times New Roman"/>
                <w:sz w:val="20"/>
                <w:szCs w:val="20"/>
              </w:rPr>
            </w:pPr>
          </w:p>
        </w:tc>
        <w:tc>
          <w:tcPr>
            <w:tcW w:w="472" w:type="dxa"/>
            <w:shd w:val="clear" w:color="auto" w:fill="auto"/>
          </w:tcPr>
          <w:p w14:paraId="42D1F502" w14:textId="77777777" w:rsidR="00BE79BB" w:rsidRPr="00D75D2E" w:rsidRDefault="00BE79BB" w:rsidP="007108ED">
            <w:pPr>
              <w:jc w:val="both"/>
              <w:rPr>
                <w:rFonts w:ascii="Times New Roman" w:hAnsi="Times New Roman"/>
                <w:sz w:val="20"/>
                <w:szCs w:val="20"/>
              </w:rPr>
            </w:pPr>
          </w:p>
        </w:tc>
        <w:tc>
          <w:tcPr>
            <w:tcW w:w="425" w:type="dxa"/>
            <w:shd w:val="clear" w:color="auto" w:fill="auto"/>
          </w:tcPr>
          <w:p w14:paraId="0BB1204D" w14:textId="77777777" w:rsidR="00BE79BB" w:rsidRPr="00D75D2E" w:rsidRDefault="00BE79BB" w:rsidP="007108ED">
            <w:pPr>
              <w:jc w:val="both"/>
              <w:rPr>
                <w:rFonts w:ascii="Times New Roman" w:hAnsi="Times New Roman"/>
                <w:sz w:val="20"/>
                <w:szCs w:val="20"/>
              </w:rPr>
            </w:pPr>
          </w:p>
        </w:tc>
        <w:tc>
          <w:tcPr>
            <w:tcW w:w="519" w:type="dxa"/>
            <w:shd w:val="clear" w:color="auto" w:fill="FFC000"/>
          </w:tcPr>
          <w:p w14:paraId="2530E3E5" w14:textId="77777777" w:rsidR="00BE79BB" w:rsidRPr="00D75D2E" w:rsidRDefault="00BE79BB" w:rsidP="007108ED">
            <w:pPr>
              <w:jc w:val="both"/>
              <w:rPr>
                <w:rFonts w:ascii="Times New Roman" w:hAnsi="Times New Roman"/>
                <w:sz w:val="20"/>
                <w:szCs w:val="20"/>
              </w:rPr>
            </w:pPr>
          </w:p>
        </w:tc>
        <w:tc>
          <w:tcPr>
            <w:tcW w:w="425" w:type="dxa"/>
            <w:shd w:val="clear" w:color="auto" w:fill="auto"/>
          </w:tcPr>
          <w:p w14:paraId="5FA38B53" w14:textId="77777777" w:rsidR="00BE79BB" w:rsidRPr="00D75D2E" w:rsidRDefault="00BE79BB" w:rsidP="007108ED">
            <w:pPr>
              <w:jc w:val="both"/>
              <w:rPr>
                <w:rFonts w:ascii="Times New Roman" w:hAnsi="Times New Roman"/>
                <w:sz w:val="20"/>
                <w:szCs w:val="20"/>
              </w:rPr>
            </w:pPr>
          </w:p>
        </w:tc>
        <w:tc>
          <w:tcPr>
            <w:tcW w:w="427" w:type="dxa"/>
            <w:shd w:val="clear" w:color="auto" w:fill="auto"/>
          </w:tcPr>
          <w:p w14:paraId="2024E5C4" w14:textId="77777777" w:rsidR="00BE79BB" w:rsidRPr="00D75D2E" w:rsidRDefault="00BE79BB" w:rsidP="007108ED">
            <w:pPr>
              <w:jc w:val="both"/>
              <w:rPr>
                <w:rFonts w:ascii="Times New Roman" w:hAnsi="Times New Roman"/>
                <w:sz w:val="20"/>
                <w:szCs w:val="20"/>
              </w:rPr>
            </w:pPr>
          </w:p>
        </w:tc>
        <w:tc>
          <w:tcPr>
            <w:tcW w:w="567" w:type="dxa"/>
            <w:shd w:val="clear" w:color="auto" w:fill="auto"/>
          </w:tcPr>
          <w:p w14:paraId="428F5849" w14:textId="77777777" w:rsidR="00BE79BB" w:rsidRPr="00D75D2E" w:rsidRDefault="00BE79BB" w:rsidP="007108ED">
            <w:pPr>
              <w:jc w:val="both"/>
              <w:rPr>
                <w:rFonts w:ascii="Times New Roman" w:hAnsi="Times New Roman"/>
                <w:sz w:val="20"/>
                <w:szCs w:val="20"/>
              </w:rPr>
            </w:pPr>
          </w:p>
        </w:tc>
        <w:tc>
          <w:tcPr>
            <w:tcW w:w="501" w:type="dxa"/>
            <w:shd w:val="clear" w:color="auto" w:fill="FFC000"/>
          </w:tcPr>
          <w:p w14:paraId="103AB852" w14:textId="77777777" w:rsidR="00BE79BB" w:rsidRPr="00D75D2E" w:rsidRDefault="00BE79BB" w:rsidP="007108ED">
            <w:pPr>
              <w:jc w:val="both"/>
              <w:rPr>
                <w:rFonts w:ascii="Times New Roman" w:hAnsi="Times New Roman"/>
                <w:sz w:val="20"/>
                <w:szCs w:val="20"/>
              </w:rPr>
            </w:pPr>
          </w:p>
        </w:tc>
        <w:tc>
          <w:tcPr>
            <w:tcW w:w="567" w:type="dxa"/>
            <w:shd w:val="clear" w:color="auto" w:fill="auto"/>
          </w:tcPr>
          <w:p w14:paraId="37BDE66D" w14:textId="77777777" w:rsidR="00BE79BB" w:rsidRPr="00D75D2E" w:rsidRDefault="00BE79BB" w:rsidP="007108ED">
            <w:pPr>
              <w:jc w:val="both"/>
              <w:rPr>
                <w:rFonts w:ascii="Times New Roman" w:hAnsi="Times New Roman"/>
                <w:sz w:val="20"/>
                <w:szCs w:val="20"/>
              </w:rPr>
            </w:pPr>
          </w:p>
        </w:tc>
        <w:tc>
          <w:tcPr>
            <w:tcW w:w="633" w:type="dxa"/>
            <w:shd w:val="clear" w:color="auto" w:fill="FFC000"/>
          </w:tcPr>
          <w:p w14:paraId="0B3DA5C3" w14:textId="77777777" w:rsidR="00BE79BB" w:rsidRPr="00D75D2E" w:rsidRDefault="00BE79BB" w:rsidP="007108ED">
            <w:pPr>
              <w:jc w:val="both"/>
              <w:rPr>
                <w:rFonts w:ascii="Times New Roman" w:hAnsi="Times New Roman"/>
                <w:sz w:val="20"/>
                <w:szCs w:val="20"/>
              </w:rPr>
            </w:pPr>
          </w:p>
        </w:tc>
        <w:tc>
          <w:tcPr>
            <w:tcW w:w="688" w:type="dxa"/>
            <w:shd w:val="clear" w:color="auto" w:fill="auto"/>
          </w:tcPr>
          <w:p w14:paraId="570CEC3A" w14:textId="77777777" w:rsidR="00BE79BB" w:rsidRPr="00D75D2E" w:rsidRDefault="00BE79BB" w:rsidP="007108ED">
            <w:pPr>
              <w:jc w:val="both"/>
              <w:rPr>
                <w:rFonts w:ascii="Times New Roman" w:hAnsi="Times New Roman"/>
                <w:sz w:val="20"/>
                <w:szCs w:val="20"/>
              </w:rPr>
            </w:pPr>
          </w:p>
        </w:tc>
      </w:tr>
      <w:tr w:rsidR="00BE79BB" w:rsidRPr="00420C1B" w14:paraId="30C5C957" w14:textId="77777777" w:rsidTr="00215867">
        <w:trPr>
          <w:jc w:val="center"/>
        </w:trPr>
        <w:tc>
          <w:tcPr>
            <w:tcW w:w="1294" w:type="dxa"/>
            <w:vMerge/>
            <w:vAlign w:val="center"/>
          </w:tcPr>
          <w:p w14:paraId="1B7E6EB7" w14:textId="77777777" w:rsidR="00BE79BB" w:rsidRPr="00D75D2E" w:rsidRDefault="00BE79BB" w:rsidP="007108ED">
            <w:pPr>
              <w:jc w:val="both"/>
              <w:rPr>
                <w:rFonts w:ascii="Times New Roman" w:hAnsi="Times New Roman"/>
                <w:b/>
                <w:sz w:val="20"/>
                <w:szCs w:val="20"/>
              </w:rPr>
            </w:pPr>
          </w:p>
        </w:tc>
        <w:tc>
          <w:tcPr>
            <w:tcW w:w="705" w:type="dxa"/>
            <w:vAlign w:val="center"/>
          </w:tcPr>
          <w:p w14:paraId="5C6A2E88" w14:textId="7C4DD68A" w:rsidR="00BE79BB" w:rsidRPr="00D75D2E" w:rsidRDefault="002850C7" w:rsidP="001D239C">
            <w:pPr>
              <w:jc w:val="center"/>
              <w:rPr>
                <w:rFonts w:ascii="Times New Roman" w:hAnsi="Times New Roman"/>
                <w:sz w:val="20"/>
                <w:szCs w:val="20"/>
              </w:rPr>
            </w:pPr>
            <w:r>
              <w:rPr>
                <w:rFonts w:ascii="Times New Roman" w:hAnsi="Times New Roman"/>
                <w:sz w:val="20"/>
                <w:szCs w:val="20"/>
              </w:rPr>
              <w:t>1</w:t>
            </w:r>
            <w:r w:rsidR="001D239C">
              <w:rPr>
                <w:rFonts w:ascii="Times New Roman" w:hAnsi="Times New Roman"/>
                <w:sz w:val="20"/>
                <w:szCs w:val="20"/>
              </w:rPr>
              <w:t>0</w:t>
            </w:r>
          </w:p>
        </w:tc>
        <w:tc>
          <w:tcPr>
            <w:tcW w:w="2532" w:type="dxa"/>
            <w:vMerge/>
            <w:vAlign w:val="center"/>
          </w:tcPr>
          <w:p w14:paraId="7087FF41" w14:textId="77777777" w:rsidR="00BE79BB" w:rsidRPr="00D75D2E" w:rsidRDefault="00BE79BB" w:rsidP="007108ED">
            <w:pPr>
              <w:rPr>
                <w:rFonts w:ascii="Times New Roman" w:hAnsi="Times New Roman"/>
                <w:sz w:val="20"/>
                <w:szCs w:val="20"/>
              </w:rPr>
            </w:pPr>
          </w:p>
        </w:tc>
        <w:tc>
          <w:tcPr>
            <w:tcW w:w="1418" w:type="dxa"/>
            <w:vAlign w:val="center"/>
          </w:tcPr>
          <w:p w14:paraId="2C585760" w14:textId="77777777" w:rsidR="00BE79BB" w:rsidRPr="00D75D2E" w:rsidRDefault="00BE79BB" w:rsidP="007108ED">
            <w:pPr>
              <w:rPr>
                <w:rFonts w:ascii="Times New Roman" w:hAnsi="Times New Roman"/>
                <w:sz w:val="20"/>
                <w:szCs w:val="20"/>
              </w:rPr>
            </w:pPr>
            <w:r w:rsidRPr="00D75D2E">
              <w:rPr>
                <w:rFonts w:ascii="Times New Roman" w:hAnsi="Times New Roman"/>
                <w:sz w:val="20"/>
                <w:szCs w:val="20"/>
              </w:rPr>
              <w:t xml:space="preserve">Faune </w:t>
            </w:r>
          </w:p>
        </w:tc>
        <w:tc>
          <w:tcPr>
            <w:tcW w:w="3892" w:type="dxa"/>
            <w:vAlign w:val="center"/>
          </w:tcPr>
          <w:p w14:paraId="70FC9F9E" w14:textId="512C5B07" w:rsidR="00BE79BB" w:rsidRPr="00D75D2E" w:rsidRDefault="00BE79BB" w:rsidP="00215867">
            <w:pPr>
              <w:spacing w:after="0" w:line="240" w:lineRule="auto"/>
              <w:jc w:val="both"/>
              <w:rPr>
                <w:rFonts w:ascii="Times New Roman" w:hAnsi="Times New Roman"/>
                <w:iCs/>
                <w:sz w:val="20"/>
                <w:szCs w:val="20"/>
              </w:rPr>
            </w:pPr>
            <w:r w:rsidRPr="00D75D2E">
              <w:rPr>
                <w:rFonts w:ascii="Times New Roman" w:hAnsi="Times New Roman"/>
                <w:iCs/>
                <w:sz w:val="20"/>
                <w:szCs w:val="20"/>
              </w:rPr>
              <w:t xml:space="preserve">Perturbation des habitats fauniques (nids des oiseaux) </w:t>
            </w:r>
          </w:p>
        </w:tc>
        <w:tc>
          <w:tcPr>
            <w:tcW w:w="425" w:type="dxa"/>
            <w:shd w:val="clear" w:color="auto" w:fill="FFC000"/>
          </w:tcPr>
          <w:p w14:paraId="26845807" w14:textId="77777777" w:rsidR="00BE79BB" w:rsidRPr="00D75D2E" w:rsidRDefault="00BE79BB" w:rsidP="007108ED">
            <w:pPr>
              <w:jc w:val="both"/>
              <w:rPr>
                <w:rFonts w:ascii="Times New Roman" w:hAnsi="Times New Roman"/>
                <w:sz w:val="20"/>
                <w:szCs w:val="20"/>
              </w:rPr>
            </w:pPr>
          </w:p>
        </w:tc>
        <w:tc>
          <w:tcPr>
            <w:tcW w:w="519" w:type="dxa"/>
            <w:shd w:val="clear" w:color="auto" w:fill="auto"/>
          </w:tcPr>
          <w:p w14:paraId="3E31C01D" w14:textId="77777777" w:rsidR="00BE79BB" w:rsidRPr="00D75D2E" w:rsidRDefault="00BE79BB" w:rsidP="007108ED">
            <w:pPr>
              <w:jc w:val="both"/>
              <w:rPr>
                <w:rFonts w:ascii="Times New Roman" w:hAnsi="Times New Roman"/>
                <w:sz w:val="20"/>
                <w:szCs w:val="20"/>
              </w:rPr>
            </w:pPr>
          </w:p>
        </w:tc>
        <w:tc>
          <w:tcPr>
            <w:tcW w:w="472" w:type="dxa"/>
            <w:shd w:val="clear" w:color="auto" w:fill="auto"/>
          </w:tcPr>
          <w:p w14:paraId="15A3DB86" w14:textId="77777777" w:rsidR="00BE79BB" w:rsidRPr="00D75D2E" w:rsidRDefault="00BE79BB" w:rsidP="007108ED">
            <w:pPr>
              <w:jc w:val="both"/>
              <w:rPr>
                <w:rFonts w:ascii="Times New Roman" w:hAnsi="Times New Roman"/>
                <w:sz w:val="20"/>
                <w:szCs w:val="20"/>
              </w:rPr>
            </w:pPr>
          </w:p>
        </w:tc>
        <w:tc>
          <w:tcPr>
            <w:tcW w:w="425" w:type="dxa"/>
            <w:shd w:val="clear" w:color="auto" w:fill="auto"/>
          </w:tcPr>
          <w:p w14:paraId="4A2965FE" w14:textId="77777777" w:rsidR="00BE79BB" w:rsidRPr="00D75D2E" w:rsidRDefault="00BE79BB" w:rsidP="007108ED">
            <w:pPr>
              <w:jc w:val="both"/>
              <w:rPr>
                <w:rFonts w:ascii="Times New Roman" w:hAnsi="Times New Roman"/>
                <w:sz w:val="20"/>
                <w:szCs w:val="20"/>
              </w:rPr>
            </w:pPr>
          </w:p>
        </w:tc>
        <w:tc>
          <w:tcPr>
            <w:tcW w:w="519" w:type="dxa"/>
            <w:shd w:val="clear" w:color="auto" w:fill="FFC000"/>
          </w:tcPr>
          <w:p w14:paraId="313A9199" w14:textId="77777777" w:rsidR="00BE79BB" w:rsidRPr="00D75D2E" w:rsidRDefault="00BE79BB" w:rsidP="007108ED">
            <w:pPr>
              <w:jc w:val="both"/>
              <w:rPr>
                <w:rFonts w:ascii="Times New Roman" w:hAnsi="Times New Roman"/>
                <w:sz w:val="20"/>
                <w:szCs w:val="20"/>
              </w:rPr>
            </w:pPr>
          </w:p>
        </w:tc>
        <w:tc>
          <w:tcPr>
            <w:tcW w:w="425" w:type="dxa"/>
            <w:shd w:val="clear" w:color="auto" w:fill="auto"/>
          </w:tcPr>
          <w:p w14:paraId="2EF069A2" w14:textId="77777777" w:rsidR="00BE79BB" w:rsidRPr="00D75D2E" w:rsidRDefault="00BE79BB" w:rsidP="007108ED">
            <w:pPr>
              <w:jc w:val="both"/>
              <w:rPr>
                <w:rFonts w:ascii="Times New Roman" w:hAnsi="Times New Roman"/>
                <w:sz w:val="20"/>
                <w:szCs w:val="20"/>
              </w:rPr>
            </w:pPr>
          </w:p>
        </w:tc>
        <w:tc>
          <w:tcPr>
            <w:tcW w:w="427" w:type="dxa"/>
            <w:shd w:val="clear" w:color="auto" w:fill="auto"/>
          </w:tcPr>
          <w:p w14:paraId="58113787" w14:textId="77777777" w:rsidR="00BE79BB" w:rsidRPr="00D75D2E" w:rsidRDefault="00BE79BB" w:rsidP="007108ED">
            <w:pPr>
              <w:jc w:val="both"/>
              <w:rPr>
                <w:rFonts w:ascii="Times New Roman" w:hAnsi="Times New Roman"/>
                <w:sz w:val="20"/>
                <w:szCs w:val="20"/>
              </w:rPr>
            </w:pPr>
          </w:p>
        </w:tc>
        <w:tc>
          <w:tcPr>
            <w:tcW w:w="567" w:type="dxa"/>
            <w:shd w:val="clear" w:color="auto" w:fill="auto"/>
          </w:tcPr>
          <w:p w14:paraId="278C216B" w14:textId="77777777" w:rsidR="00BE79BB" w:rsidRPr="00D75D2E" w:rsidRDefault="00BE79BB" w:rsidP="007108ED">
            <w:pPr>
              <w:jc w:val="both"/>
              <w:rPr>
                <w:rFonts w:ascii="Times New Roman" w:hAnsi="Times New Roman"/>
                <w:sz w:val="20"/>
                <w:szCs w:val="20"/>
              </w:rPr>
            </w:pPr>
          </w:p>
        </w:tc>
        <w:tc>
          <w:tcPr>
            <w:tcW w:w="501" w:type="dxa"/>
            <w:shd w:val="clear" w:color="auto" w:fill="FFC000"/>
          </w:tcPr>
          <w:p w14:paraId="45EAC483" w14:textId="77777777" w:rsidR="00BE79BB" w:rsidRPr="00D75D2E" w:rsidRDefault="00BE79BB" w:rsidP="007108ED">
            <w:pPr>
              <w:jc w:val="both"/>
              <w:rPr>
                <w:rFonts w:ascii="Times New Roman" w:hAnsi="Times New Roman"/>
                <w:sz w:val="20"/>
                <w:szCs w:val="20"/>
              </w:rPr>
            </w:pPr>
          </w:p>
        </w:tc>
        <w:tc>
          <w:tcPr>
            <w:tcW w:w="567" w:type="dxa"/>
            <w:shd w:val="clear" w:color="auto" w:fill="auto"/>
          </w:tcPr>
          <w:p w14:paraId="5A81A9BC" w14:textId="77777777" w:rsidR="00BE79BB" w:rsidRPr="00D75D2E" w:rsidRDefault="00BE79BB" w:rsidP="007108ED">
            <w:pPr>
              <w:jc w:val="both"/>
              <w:rPr>
                <w:rFonts w:ascii="Times New Roman" w:hAnsi="Times New Roman"/>
                <w:sz w:val="20"/>
                <w:szCs w:val="20"/>
              </w:rPr>
            </w:pPr>
          </w:p>
        </w:tc>
        <w:tc>
          <w:tcPr>
            <w:tcW w:w="633" w:type="dxa"/>
            <w:shd w:val="clear" w:color="auto" w:fill="FFC000"/>
          </w:tcPr>
          <w:p w14:paraId="3B596A76" w14:textId="77777777" w:rsidR="00BE79BB" w:rsidRPr="00D75D2E" w:rsidRDefault="00BE79BB" w:rsidP="007108ED">
            <w:pPr>
              <w:jc w:val="both"/>
              <w:rPr>
                <w:rFonts w:ascii="Times New Roman" w:hAnsi="Times New Roman"/>
                <w:sz w:val="20"/>
                <w:szCs w:val="20"/>
              </w:rPr>
            </w:pPr>
          </w:p>
        </w:tc>
        <w:tc>
          <w:tcPr>
            <w:tcW w:w="688" w:type="dxa"/>
            <w:shd w:val="clear" w:color="auto" w:fill="auto"/>
          </w:tcPr>
          <w:p w14:paraId="7056108C" w14:textId="77777777" w:rsidR="00BE79BB" w:rsidRPr="00D75D2E" w:rsidRDefault="00BE79BB" w:rsidP="007108ED">
            <w:pPr>
              <w:jc w:val="both"/>
              <w:rPr>
                <w:rFonts w:ascii="Times New Roman" w:hAnsi="Times New Roman"/>
                <w:sz w:val="20"/>
                <w:szCs w:val="20"/>
              </w:rPr>
            </w:pPr>
          </w:p>
        </w:tc>
      </w:tr>
      <w:tr w:rsidR="006F1D78" w:rsidRPr="00420C1B" w14:paraId="4ADF95C9" w14:textId="77777777" w:rsidTr="00215867">
        <w:trPr>
          <w:trHeight w:val="1428"/>
          <w:jc w:val="center"/>
        </w:trPr>
        <w:tc>
          <w:tcPr>
            <w:tcW w:w="1294" w:type="dxa"/>
            <w:vMerge/>
            <w:vAlign w:val="center"/>
          </w:tcPr>
          <w:p w14:paraId="45C871BE" w14:textId="77777777" w:rsidR="006F1D78" w:rsidRPr="00D75D2E" w:rsidRDefault="006F1D78" w:rsidP="002850C7">
            <w:pPr>
              <w:jc w:val="both"/>
              <w:rPr>
                <w:rFonts w:ascii="Times New Roman" w:hAnsi="Times New Roman"/>
                <w:b/>
                <w:sz w:val="20"/>
                <w:szCs w:val="20"/>
              </w:rPr>
            </w:pPr>
          </w:p>
        </w:tc>
        <w:tc>
          <w:tcPr>
            <w:tcW w:w="705" w:type="dxa"/>
            <w:vAlign w:val="center"/>
          </w:tcPr>
          <w:p w14:paraId="35C05898" w14:textId="474709BC" w:rsidR="006F1D78" w:rsidRDefault="006F1D78" w:rsidP="007108ED">
            <w:pPr>
              <w:jc w:val="center"/>
              <w:rPr>
                <w:rFonts w:ascii="Times New Roman" w:hAnsi="Times New Roman"/>
                <w:sz w:val="20"/>
                <w:szCs w:val="20"/>
              </w:rPr>
            </w:pPr>
            <w:r>
              <w:rPr>
                <w:rFonts w:ascii="Times New Roman" w:hAnsi="Times New Roman"/>
                <w:sz w:val="20"/>
                <w:szCs w:val="20"/>
              </w:rPr>
              <w:t>15</w:t>
            </w:r>
          </w:p>
        </w:tc>
        <w:tc>
          <w:tcPr>
            <w:tcW w:w="2532" w:type="dxa"/>
            <w:vAlign w:val="center"/>
          </w:tcPr>
          <w:p w14:paraId="2BFA9804" w14:textId="77777777" w:rsidR="006F1D78" w:rsidRDefault="006F1D78" w:rsidP="007108ED">
            <w:pPr>
              <w:rPr>
                <w:rFonts w:ascii="Times New Roman" w:hAnsi="Times New Roman"/>
                <w:sz w:val="20"/>
                <w:szCs w:val="20"/>
              </w:rPr>
            </w:pPr>
            <w:r>
              <w:rPr>
                <w:rFonts w:ascii="Times New Roman" w:hAnsi="Times New Roman"/>
                <w:sz w:val="20"/>
                <w:szCs w:val="20"/>
              </w:rPr>
              <w:t>Mise en service du réseau MT/BT</w:t>
            </w:r>
          </w:p>
          <w:p w14:paraId="2F139F81" w14:textId="47A68D9F" w:rsidR="006F1D78" w:rsidRDefault="006F1D78" w:rsidP="007108ED">
            <w:pPr>
              <w:rPr>
                <w:rFonts w:ascii="Times New Roman" w:hAnsi="Times New Roman"/>
                <w:sz w:val="20"/>
                <w:szCs w:val="20"/>
              </w:rPr>
            </w:pPr>
            <w:r>
              <w:rPr>
                <w:rFonts w:ascii="Times New Roman" w:hAnsi="Times New Roman"/>
                <w:sz w:val="20"/>
                <w:szCs w:val="20"/>
              </w:rPr>
              <w:t xml:space="preserve">Fonctionnement du nouveau réseau </w:t>
            </w:r>
          </w:p>
        </w:tc>
        <w:tc>
          <w:tcPr>
            <w:tcW w:w="1418" w:type="dxa"/>
            <w:vAlign w:val="center"/>
          </w:tcPr>
          <w:p w14:paraId="1EDADB00" w14:textId="10C34EA8" w:rsidR="006F1D78" w:rsidRDefault="006F1D78" w:rsidP="007108ED">
            <w:pPr>
              <w:rPr>
                <w:rFonts w:ascii="Times New Roman" w:hAnsi="Times New Roman"/>
                <w:sz w:val="20"/>
                <w:szCs w:val="20"/>
              </w:rPr>
            </w:pPr>
            <w:r>
              <w:rPr>
                <w:rFonts w:ascii="Times New Roman" w:hAnsi="Times New Roman"/>
                <w:sz w:val="20"/>
                <w:szCs w:val="20"/>
              </w:rPr>
              <w:t xml:space="preserve">Avifaune </w:t>
            </w:r>
          </w:p>
        </w:tc>
        <w:tc>
          <w:tcPr>
            <w:tcW w:w="3892" w:type="dxa"/>
            <w:vAlign w:val="center"/>
          </w:tcPr>
          <w:p w14:paraId="4D105F3F" w14:textId="1CF2799C" w:rsidR="006F1D78" w:rsidRPr="00D75D2E" w:rsidRDefault="006F1D78" w:rsidP="007108ED">
            <w:pPr>
              <w:spacing w:after="0" w:line="240" w:lineRule="auto"/>
              <w:jc w:val="both"/>
              <w:rPr>
                <w:rFonts w:ascii="Times New Roman" w:hAnsi="Times New Roman"/>
                <w:iCs/>
                <w:sz w:val="20"/>
                <w:szCs w:val="20"/>
              </w:rPr>
            </w:pPr>
            <w:r w:rsidRPr="008160FD">
              <w:rPr>
                <w:rFonts w:ascii="Times New Roman" w:eastAsia="Times New Roman" w:hAnsi="Times New Roman"/>
                <w:bCs/>
                <w:sz w:val="20"/>
                <w:szCs w:val="20"/>
                <w:lang w:val="fr-CD"/>
              </w:rPr>
              <w:t xml:space="preserve">Pendant le </w:t>
            </w:r>
            <w:r w:rsidRPr="008160FD">
              <w:rPr>
                <w:rFonts w:ascii="Times New Roman" w:hAnsi="Times New Roman"/>
                <w:sz w:val="20"/>
                <w:szCs w:val="20"/>
                <w:lang w:val="fr-CD"/>
              </w:rPr>
              <w:t>fonctionnement</w:t>
            </w:r>
            <w:r w:rsidRPr="008160FD">
              <w:rPr>
                <w:rFonts w:ascii="Times New Roman" w:eastAsia="Times New Roman" w:hAnsi="Times New Roman"/>
                <w:bCs/>
                <w:sz w:val="20"/>
                <w:szCs w:val="20"/>
                <w:lang w:val="fr-CD"/>
              </w:rPr>
              <w:t xml:space="preserve"> des installations, l’impact plausible du projet sur l’avifaune est la mortalité des oiseaux par électrocution suite à la collision aux lignes MT.</w:t>
            </w:r>
            <w:r>
              <w:rPr>
                <w:rFonts w:ascii="Times New Roman" w:eastAsia="Times New Roman" w:hAnsi="Times New Roman"/>
                <w:bCs/>
                <w:sz w:val="20"/>
                <w:szCs w:val="20"/>
                <w:lang w:val="fr-CD"/>
              </w:rPr>
              <w:t xml:space="preserve"> </w:t>
            </w:r>
            <w:r w:rsidRPr="008160FD">
              <w:rPr>
                <w:rFonts w:ascii="Times New Roman" w:eastAsia="Times New Roman" w:hAnsi="Times New Roman"/>
                <w:bCs/>
                <w:sz w:val="20"/>
                <w:szCs w:val="20"/>
                <w:lang w:val="fr-CD"/>
              </w:rPr>
              <w:t>Ces risques n’atteignent que les oiseaux dont la hauteur de vol est du même ordre de grandeur que la ligne MT.</w:t>
            </w:r>
          </w:p>
        </w:tc>
        <w:tc>
          <w:tcPr>
            <w:tcW w:w="425" w:type="dxa"/>
            <w:shd w:val="clear" w:color="auto" w:fill="FFC000"/>
          </w:tcPr>
          <w:p w14:paraId="0822E256" w14:textId="77777777" w:rsidR="006F1D78" w:rsidRPr="00051D29" w:rsidRDefault="006F1D78" w:rsidP="002850C7">
            <w:pPr>
              <w:jc w:val="both"/>
              <w:rPr>
                <w:rFonts w:ascii="Times New Roman" w:hAnsi="Times New Roman"/>
                <w:sz w:val="20"/>
                <w:szCs w:val="20"/>
              </w:rPr>
            </w:pPr>
          </w:p>
        </w:tc>
        <w:tc>
          <w:tcPr>
            <w:tcW w:w="519" w:type="dxa"/>
            <w:shd w:val="clear" w:color="auto" w:fill="FFC000"/>
          </w:tcPr>
          <w:p w14:paraId="3D51A6AE" w14:textId="77777777" w:rsidR="006F1D78" w:rsidRPr="00051D29" w:rsidRDefault="006F1D78" w:rsidP="002850C7">
            <w:pPr>
              <w:jc w:val="both"/>
              <w:rPr>
                <w:rFonts w:ascii="Times New Roman" w:hAnsi="Times New Roman"/>
                <w:sz w:val="20"/>
                <w:szCs w:val="20"/>
              </w:rPr>
            </w:pPr>
          </w:p>
        </w:tc>
        <w:tc>
          <w:tcPr>
            <w:tcW w:w="472" w:type="dxa"/>
            <w:shd w:val="clear" w:color="auto" w:fill="auto"/>
          </w:tcPr>
          <w:p w14:paraId="007425D9" w14:textId="77777777" w:rsidR="006F1D78" w:rsidRPr="00051D29" w:rsidRDefault="006F1D78" w:rsidP="002850C7">
            <w:pPr>
              <w:jc w:val="both"/>
              <w:rPr>
                <w:rFonts w:ascii="Times New Roman" w:hAnsi="Times New Roman"/>
                <w:sz w:val="20"/>
                <w:szCs w:val="20"/>
              </w:rPr>
            </w:pPr>
          </w:p>
        </w:tc>
        <w:tc>
          <w:tcPr>
            <w:tcW w:w="425" w:type="dxa"/>
            <w:shd w:val="clear" w:color="auto" w:fill="FFC000"/>
          </w:tcPr>
          <w:p w14:paraId="02DCB7FF" w14:textId="77777777" w:rsidR="006F1D78" w:rsidRPr="00051D29" w:rsidRDefault="006F1D78" w:rsidP="002850C7">
            <w:pPr>
              <w:jc w:val="both"/>
              <w:rPr>
                <w:rFonts w:ascii="Times New Roman" w:hAnsi="Times New Roman"/>
                <w:sz w:val="20"/>
                <w:szCs w:val="20"/>
              </w:rPr>
            </w:pPr>
          </w:p>
        </w:tc>
        <w:tc>
          <w:tcPr>
            <w:tcW w:w="519" w:type="dxa"/>
            <w:shd w:val="clear" w:color="auto" w:fill="FFC000"/>
          </w:tcPr>
          <w:p w14:paraId="688B7406" w14:textId="77777777" w:rsidR="006F1D78" w:rsidRPr="00051D29" w:rsidRDefault="006F1D78" w:rsidP="002850C7">
            <w:pPr>
              <w:jc w:val="both"/>
              <w:rPr>
                <w:rFonts w:ascii="Times New Roman" w:hAnsi="Times New Roman"/>
                <w:sz w:val="20"/>
                <w:szCs w:val="20"/>
              </w:rPr>
            </w:pPr>
          </w:p>
        </w:tc>
        <w:tc>
          <w:tcPr>
            <w:tcW w:w="425" w:type="dxa"/>
            <w:shd w:val="clear" w:color="auto" w:fill="auto"/>
          </w:tcPr>
          <w:p w14:paraId="48EEECF8" w14:textId="77777777" w:rsidR="006F1D78" w:rsidRPr="00051D29" w:rsidRDefault="006F1D78" w:rsidP="002850C7">
            <w:pPr>
              <w:jc w:val="both"/>
              <w:rPr>
                <w:rFonts w:ascii="Times New Roman" w:hAnsi="Times New Roman"/>
                <w:sz w:val="20"/>
                <w:szCs w:val="20"/>
              </w:rPr>
            </w:pPr>
          </w:p>
        </w:tc>
        <w:tc>
          <w:tcPr>
            <w:tcW w:w="427" w:type="dxa"/>
            <w:shd w:val="clear" w:color="auto" w:fill="FFC000"/>
          </w:tcPr>
          <w:p w14:paraId="1105CF12" w14:textId="77777777" w:rsidR="006F1D78" w:rsidRPr="00051D29" w:rsidRDefault="006F1D78" w:rsidP="002850C7">
            <w:pPr>
              <w:jc w:val="both"/>
              <w:rPr>
                <w:rFonts w:ascii="Times New Roman" w:hAnsi="Times New Roman"/>
                <w:sz w:val="20"/>
                <w:szCs w:val="20"/>
              </w:rPr>
            </w:pPr>
          </w:p>
        </w:tc>
        <w:tc>
          <w:tcPr>
            <w:tcW w:w="567" w:type="dxa"/>
            <w:shd w:val="clear" w:color="auto" w:fill="auto"/>
          </w:tcPr>
          <w:p w14:paraId="26E5AB60" w14:textId="77777777" w:rsidR="006F1D78" w:rsidRPr="00051D29" w:rsidRDefault="006F1D78" w:rsidP="002850C7">
            <w:pPr>
              <w:jc w:val="both"/>
              <w:rPr>
                <w:rFonts w:ascii="Times New Roman" w:hAnsi="Times New Roman"/>
                <w:sz w:val="20"/>
                <w:szCs w:val="20"/>
              </w:rPr>
            </w:pPr>
          </w:p>
        </w:tc>
        <w:tc>
          <w:tcPr>
            <w:tcW w:w="501" w:type="dxa"/>
            <w:shd w:val="clear" w:color="auto" w:fill="FFC000"/>
          </w:tcPr>
          <w:p w14:paraId="53EC4070" w14:textId="77777777" w:rsidR="006F1D78" w:rsidRPr="00051D29" w:rsidRDefault="006F1D78" w:rsidP="002850C7">
            <w:pPr>
              <w:jc w:val="both"/>
              <w:rPr>
                <w:rFonts w:ascii="Times New Roman" w:hAnsi="Times New Roman"/>
                <w:sz w:val="20"/>
                <w:szCs w:val="20"/>
              </w:rPr>
            </w:pPr>
          </w:p>
        </w:tc>
        <w:tc>
          <w:tcPr>
            <w:tcW w:w="567" w:type="dxa"/>
            <w:shd w:val="clear" w:color="auto" w:fill="auto"/>
          </w:tcPr>
          <w:p w14:paraId="2970FC3B" w14:textId="77777777" w:rsidR="006F1D78" w:rsidRPr="00051D29" w:rsidRDefault="006F1D78" w:rsidP="002850C7">
            <w:pPr>
              <w:jc w:val="both"/>
              <w:rPr>
                <w:rFonts w:ascii="Times New Roman" w:hAnsi="Times New Roman"/>
                <w:sz w:val="20"/>
                <w:szCs w:val="20"/>
              </w:rPr>
            </w:pPr>
          </w:p>
        </w:tc>
        <w:tc>
          <w:tcPr>
            <w:tcW w:w="633" w:type="dxa"/>
            <w:shd w:val="clear" w:color="auto" w:fill="FFC000"/>
          </w:tcPr>
          <w:p w14:paraId="6E891A5B" w14:textId="77777777" w:rsidR="006F1D78" w:rsidRPr="00051D29" w:rsidRDefault="006F1D78" w:rsidP="002850C7">
            <w:pPr>
              <w:jc w:val="both"/>
              <w:rPr>
                <w:rFonts w:ascii="Times New Roman" w:hAnsi="Times New Roman"/>
                <w:sz w:val="20"/>
                <w:szCs w:val="20"/>
              </w:rPr>
            </w:pPr>
          </w:p>
        </w:tc>
        <w:tc>
          <w:tcPr>
            <w:tcW w:w="688" w:type="dxa"/>
            <w:shd w:val="clear" w:color="auto" w:fill="auto"/>
          </w:tcPr>
          <w:p w14:paraId="1CC4F45F" w14:textId="77777777" w:rsidR="006F1D78" w:rsidRPr="00051D29" w:rsidRDefault="006F1D78" w:rsidP="002850C7">
            <w:pPr>
              <w:jc w:val="both"/>
              <w:rPr>
                <w:rFonts w:ascii="Times New Roman" w:hAnsi="Times New Roman"/>
                <w:sz w:val="20"/>
                <w:szCs w:val="20"/>
              </w:rPr>
            </w:pPr>
          </w:p>
        </w:tc>
      </w:tr>
      <w:tr w:rsidR="00BE79BB" w:rsidRPr="00420C1B" w14:paraId="21510E5F" w14:textId="77777777" w:rsidTr="00215867">
        <w:trPr>
          <w:jc w:val="center"/>
        </w:trPr>
        <w:tc>
          <w:tcPr>
            <w:tcW w:w="1294" w:type="dxa"/>
            <w:vMerge/>
            <w:vAlign w:val="center"/>
          </w:tcPr>
          <w:p w14:paraId="27C5325F" w14:textId="77777777" w:rsidR="00BE79BB" w:rsidRPr="00D75D2E" w:rsidRDefault="00BE79BB" w:rsidP="007108ED">
            <w:pPr>
              <w:jc w:val="both"/>
              <w:rPr>
                <w:rFonts w:ascii="Times New Roman" w:hAnsi="Times New Roman"/>
                <w:b/>
                <w:sz w:val="20"/>
                <w:szCs w:val="20"/>
              </w:rPr>
            </w:pPr>
          </w:p>
        </w:tc>
        <w:tc>
          <w:tcPr>
            <w:tcW w:w="705" w:type="dxa"/>
            <w:vAlign w:val="center"/>
          </w:tcPr>
          <w:p w14:paraId="532A2A52" w14:textId="2DACEECA" w:rsidR="00BE79BB" w:rsidRPr="00D75D2E" w:rsidRDefault="002850C7" w:rsidP="002850C7">
            <w:pPr>
              <w:jc w:val="center"/>
              <w:rPr>
                <w:rFonts w:ascii="Times New Roman" w:hAnsi="Times New Roman"/>
                <w:sz w:val="20"/>
                <w:szCs w:val="20"/>
              </w:rPr>
            </w:pPr>
            <w:r>
              <w:rPr>
                <w:rFonts w:ascii="Times New Roman" w:hAnsi="Times New Roman"/>
                <w:sz w:val="20"/>
                <w:szCs w:val="20"/>
              </w:rPr>
              <w:t>1</w:t>
            </w:r>
            <w:r w:rsidR="0004474B">
              <w:rPr>
                <w:rFonts w:ascii="Times New Roman" w:hAnsi="Times New Roman"/>
                <w:sz w:val="20"/>
                <w:szCs w:val="20"/>
              </w:rPr>
              <w:t>6</w:t>
            </w:r>
          </w:p>
        </w:tc>
        <w:tc>
          <w:tcPr>
            <w:tcW w:w="2532" w:type="dxa"/>
            <w:vAlign w:val="center"/>
          </w:tcPr>
          <w:p w14:paraId="13A67464" w14:textId="085AA3D7" w:rsidR="00BE79BB" w:rsidRPr="00D75D2E" w:rsidRDefault="00051D29" w:rsidP="007108ED">
            <w:pPr>
              <w:rPr>
                <w:rFonts w:ascii="Times New Roman" w:hAnsi="Times New Roman"/>
                <w:sz w:val="20"/>
                <w:szCs w:val="20"/>
              </w:rPr>
            </w:pPr>
            <w:r>
              <w:rPr>
                <w:rFonts w:ascii="Times New Roman" w:hAnsi="Times New Roman"/>
                <w:sz w:val="20"/>
                <w:szCs w:val="20"/>
              </w:rPr>
              <w:t>Mise en œuvre des transformateurs</w:t>
            </w:r>
          </w:p>
        </w:tc>
        <w:tc>
          <w:tcPr>
            <w:tcW w:w="1418" w:type="dxa"/>
            <w:vAlign w:val="center"/>
          </w:tcPr>
          <w:p w14:paraId="73CBE9AE" w14:textId="52DB331C" w:rsidR="00BE79BB" w:rsidRPr="00D75D2E" w:rsidRDefault="00051D29" w:rsidP="007108ED">
            <w:pPr>
              <w:rPr>
                <w:rFonts w:ascii="Times New Roman" w:hAnsi="Times New Roman"/>
                <w:sz w:val="20"/>
                <w:szCs w:val="20"/>
              </w:rPr>
            </w:pPr>
            <w:r>
              <w:rPr>
                <w:rFonts w:ascii="Times New Roman" w:hAnsi="Times New Roman"/>
                <w:sz w:val="20"/>
                <w:szCs w:val="20"/>
              </w:rPr>
              <w:t>Sols, Eau, habitat naturels</w:t>
            </w:r>
          </w:p>
        </w:tc>
        <w:tc>
          <w:tcPr>
            <w:tcW w:w="3892" w:type="dxa"/>
            <w:vAlign w:val="center"/>
          </w:tcPr>
          <w:p w14:paraId="70D0B1BE" w14:textId="3C3F9256" w:rsidR="00BE79BB" w:rsidRPr="00D75D2E" w:rsidRDefault="00051D29" w:rsidP="007108ED">
            <w:pPr>
              <w:spacing w:after="0" w:line="240" w:lineRule="auto"/>
              <w:jc w:val="both"/>
              <w:rPr>
                <w:rFonts w:ascii="Times New Roman" w:hAnsi="Times New Roman"/>
                <w:iCs/>
                <w:sz w:val="20"/>
                <w:szCs w:val="20"/>
              </w:rPr>
            </w:pPr>
            <w:r w:rsidRPr="00D75D2E">
              <w:rPr>
                <w:rFonts w:ascii="Times New Roman" w:hAnsi="Times New Roman"/>
                <w:iCs/>
                <w:sz w:val="20"/>
                <w:szCs w:val="20"/>
              </w:rPr>
              <w:t>Pollution du sol</w:t>
            </w:r>
            <w:r>
              <w:rPr>
                <w:rFonts w:ascii="Times New Roman" w:hAnsi="Times New Roman"/>
                <w:iCs/>
                <w:sz w:val="20"/>
                <w:szCs w:val="20"/>
              </w:rPr>
              <w:t>, des eaux et des habitats</w:t>
            </w:r>
            <w:r w:rsidRPr="00D75D2E">
              <w:rPr>
                <w:rFonts w:ascii="Times New Roman" w:hAnsi="Times New Roman"/>
                <w:iCs/>
                <w:sz w:val="20"/>
                <w:szCs w:val="20"/>
              </w:rPr>
              <w:t> : risque de dégradation de la qualité des sols</w:t>
            </w:r>
            <w:r>
              <w:rPr>
                <w:rFonts w:ascii="Times New Roman" w:hAnsi="Times New Roman"/>
                <w:iCs/>
                <w:sz w:val="20"/>
                <w:szCs w:val="20"/>
              </w:rPr>
              <w:t xml:space="preserve"> des eaux et destruction des habitats </w:t>
            </w:r>
            <w:r w:rsidRPr="00D75D2E">
              <w:rPr>
                <w:rFonts w:ascii="Times New Roman" w:hAnsi="Times New Roman"/>
                <w:iCs/>
                <w:sz w:val="20"/>
                <w:szCs w:val="20"/>
              </w:rPr>
              <w:t>des microorganismes due aux fuites ou déversement accidentel</w:t>
            </w:r>
            <w:r>
              <w:rPr>
                <w:rFonts w:ascii="Times New Roman" w:hAnsi="Times New Roman"/>
                <w:iCs/>
                <w:sz w:val="20"/>
                <w:szCs w:val="20"/>
              </w:rPr>
              <w:t xml:space="preserve"> des huiles avariés ou des fuites</w:t>
            </w:r>
            <w:r w:rsidRPr="00D75D2E">
              <w:rPr>
                <w:rFonts w:ascii="Times New Roman" w:hAnsi="Times New Roman"/>
                <w:iCs/>
                <w:sz w:val="20"/>
                <w:szCs w:val="20"/>
              </w:rPr>
              <w:t>.</w:t>
            </w:r>
          </w:p>
        </w:tc>
        <w:tc>
          <w:tcPr>
            <w:tcW w:w="425" w:type="dxa"/>
            <w:shd w:val="clear" w:color="auto" w:fill="auto"/>
          </w:tcPr>
          <w:p w14:paraId="113FB7D8" w14:textId="77777777" w:rsidR="00BE79BB" w:rsidRPr="00051D29" w:rsidRDefault="00BE79BB" w:rsidP="007108ED">
            <w:pPr>
              <w:jc w:val="both"/>
              <w:rPr>
                <w:rFonts w:ascii="Times New Roman" w:hAnsi="Times New Roman"/>
                <w:sz w:val="20"/>
                <w:szCs w:val="20"/>
              </w:rPr>
            </w:pPr>
          </w:p>
        </w:tc>
        <w:tc>
          <w:tcPr>
            <w:tcW w:w="519" w:type="dxa"/>
            <w:shd w:val="clear" w:color="auto" w:fill="FFC000"/>
          </w:tcPr>
          <w:p w14:paraId="547C89A6" w14:textId="77777777" w:rsidR="00BE79BB" w:rsidRPr="00051D29" w:rsidRDefault="00BE79BB" w:rsidP="007108ED">
            <w:pPr>
              <w:jc w:val="both"/>
              <w:rPr>
                <w:rFonts w:ascii="Times New Roman" w:hAnsi="Times New Roman"/>
                <w:sz w:val="20"/>
                <w:szCs w:val="20"/>
              </w:rPr>
            </w:pPr>
          </w:p>
        </w:tc>
        <w:tc>
          <w:tcPr>
            <w:tcW w:w="472" w:type="dxa"/>
            <w:shd w:val="clear" w:color="auto" w:fill="auto"/>
          </w:tcPr>
          <w:p w14:paraId="48B97747" w14:textId="77777777" w:rsidR="00BE79BB" w:rsidRPr="00051D29" w:rsidRDefault="00BE79BB" w:rsidP="007108ED">
            <w:pPr>
              <w:jc w:val="both"/>
              <w:rPr>
                <w:rFonts w:ascii="Times New Roman" w:hAnsi="Times New Roman"/>
                <w:sz w:val="20"/>
                <w:szCs w:val="20"/>
              </w:rPr>
            </w:pPr>
          </w:p>
        </w:tc>
        <w:tc>
          <w:tcPr>
            <w:tcW w:w="425" w:type="dxa"/>
            <w:shd w:val="clear" w:color="auto" w:fill="auto"/>
          </w:tcPr>
          <w:p w14:paraId="0E21ADB2" w14:textId="77777777" w:rsidR="00BE79BB" w:rsidRPr="00051D29" w:rsidRDefault="00BE79BB" w:rsidP="007108ED">
            <w:pPr>
              <w:jc w:val="both"/>
              <w:rPr>
                <w:rFonts w:ascii="Times New Roman" w:hAnsi="Times New Roman"/>
                <w:sz w:val="20"/>
                <w:szCs w:val="20"/>
              </w:rPr>
            </w:pPr>
          </w:p>
        </w:tc>
        <w:tc>
          <w:tcPr>
            <w:tcW w:w="519" w:type="dxa"/>
            <w:shd w:val="clear" w:color="auto" w:fill="FFC000"/>
          </w:tcPr>
          <w:p w14:paraId="3D114368" w14:textId="77777777" w:rsidR="00BE79BB" w:rsidRPr="00051D29" w:rsidRDefault="00BE79BB" w:rsidP="007108ED">
            <w:pPr>
              <w:jc w:val="both"/>
              <w:rPr>
                <w:rFonts w:ascii="Times New Roman" w:hAnsi="Times New Roman"/>
                <w:sz w:val="20"/>
                <w:szCs w:val="20"/>
              </w:rPr>
            </w:pPr>
          </w:p>
        </w:tc>
        <w:tc>
          <w:tcPr>
            <w:tcW w:w="425" w:type="dxa"/>
            <w:shd w:val="clear" w:color="auto" w:fill="auto"/>
          </w:tcPr>
          <w:p w14:paraId="5A53BA08" w14:textId="77777777" w:rsidR="00BE79BB" w:rsidRPr="00051D29" w:rsidRDefault="00BE79BB" w:rsidP="007108ED">
            <w:pPr>
              <w:jc w:val="both"/>
              <w:rPr>
                <w:rFonts w:ascii="Times New Roman" w:hAnsi="Times New Roman"/>
                <w:sz w:val="20"/>
                <w:szCs w:val="20"/>
              </w:rPr>
            </w:pPr>
          </w:p>
        </w:tc>
        <w:tc>
          <w:tcPr>
            <w:tcW w:w="427" w:type="dxa"/>
            <w:shd w:val="clear" w:color="auto" w:fill="FFC000"/>
          </w:tcPr>
          <w:p w14:paraId="5914A929" w14:textId="77777777" w:rsidR="00BE79BB" w:rsidRPr="00051D29" w:rsidRDefault="00BE79BB" w:rsidP="007108ED">
            <w:pPr>
              <w:jc w:val="both"/>
              <w:rPr>
                <w:rFonts w:ascii="Times New Roman" w:hAnsi="Times New Roman"/>
                <w:sz w:val="20"/>
                <w:szCs w:val="20"/>
              </w:rPr>
            </w:pPr>
          </w:p>
        </w:tc>
        <w:tc>
          <w:tcPr>
            <w:tcW w:w="567" w:type="dxa"/>
            <w:shd w:val="clear" w:color="auto" w:fill="auto"/>
          </w:tcPr>
          <w:p w14:paraId="08AA6516" w14:textId="77777777" w:rsidR="00BE79BB" w:rsidRPr="00051D29" w:rsidRDefault="00BE79BB" w:rsidP="007108ED">
            <w:pPr>
              <w:jc w:val="both"/>
              <w:rPr>
                <w:rFonts w:ascii="Times New Roman" w:hAnsi="Times New Roman"/>
                <w:sz w:val="20"/>
                <w:szCs w:val="20"/>
              </w:rPr>
            </w:pPr>
          </w:p>
        </w:tc>
        <w:tc>
          <w:tcPr>
            <w:tcW w:w="501" w:type="dxa"/>
            <w:shd w:val="clear" w:color="auto" w:fill="auto"/>
          </w:tcPr>
          <w:p w14:paraId="0BF4B2A5" w14:textId="77777777" w:rsidR="00BE79BB" w:rsidRPr="00051D29" w:rsidRDefault="00BE79BB" w:rsidP="007108ED">
            <w:pPr>
              <w:jc w:val="both"/>
              <w:rPr>
                <w:rFonts w:ascii="Times New Roman" w:hAnsi="Times New Roman"/>
                <w:sz w:val="20"/>
                <w:szCs w:val="20"/>
              </w:rPr>
            </w:pPr>
          </w:p>
        </w:tc>
        <w:tc>
          <w:tcPr>
            <w:tcW w:w="567" w:type="dxa"/>
            <w:shd w:val="clear" w:color="auto" w:fill="auto"/>
          </w:tcPr>
          <w:p w14:paraId="45761984" w14:textId="77777777" w:rsidR="00BE79BB" w:rsidRPr="00051D29" w:rsidRDefault="00BE79BB" w:rsidP="007108ED">
            <w:pPr>
              <w:jc w:val="both"/>
              <w:rPr>
                <w:rFonts w:ascii="Times New Roman" w:hAnsi="Times New Roman"/>
                <w:sz w:val="20"/>
                <w:szCs w:val="20"/>
              </w:rPr>
            </w:pPr>
          </w:p>
        </w:tc>
        <w:tc>
          <w:tcPr>
            <w:tcW w:w="633" w:type="dxa"/>
            <w:shd w:val="clear" w:color="auto" w:fill="FFC000"/>
          </w:tcPr>
          <w:p w14:paraId="5EBDB1EC" w14:textId="77777777" w:rsidR="00BE79BB" w:rsidRPr="00051D29" w:rsidRDefault="00BE79BB" w:rsidP="007108ED">
            <w:pPr>
              <w:jc w:val="both"/>
              <w:rPr>
                <w:rFonts w:ascii="Times New Roman" w:hAnsi="Times New Roman"/>
                <w:sz w:val="20"/>
                <w:szCs w:val="20"/>
              </w:rPr>
            </w:pPr>
          </w:p>
        </w:tc>
        <w:tc>
          <w:tcPr>
            <w:tcW w:w="688" w:type="dxa"/>
            <w:shd w:val="clear" w:color="auto" w:fill="auto"/>
          </w:tcPr>
          <w:p w14:paraId="2E5F83D3" w14:textId="77777777" w:rsidR="00BE79BB" w:rsidRPr="00051D29" w:rsidRDefault="00BE79BB" w:rsidP="007108ED">
            <w:pPr>
              <w:jc w:val="both"/>
              <w:rPr>
                <w:rFonts w:ascii="Times New Roman" w:hAnsi="Times New Roman"/>
                <w:sz w:val="20"/>
                <w:szCs w:val="20"/>
              </w:rPr>
            </w:pPr>
          </w:p>
        </w:tc>
      </w:tr>
    </w:tbl>
    <w:p w14:paraId="2EC9D976" w14:textId="77777777" w:rsidR="00FB3D81" w:rsidRPr="00E737B4" w:rsidRDefault="00FB3D81" w:rsidP="00FB3D81">
      <w:pPr>
        <w:spacing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w:t>
      </w:r>
      <w:r w:rsidRPr="00E737B4">
        <w:rPr>
          <w:rFonts w:ascii="Times New Roman" w:hAnsi="Times New Roman"/>
          <w:bCs/>
          <w:i/>
          <w:sz w:val="24"/>
        </w:rPr>
        <w:t xml:space="preserve"> juillet 2021</w:t>
      </w:r>
    </w:p>
    <w:p w14:paraId="10A848F4" w14:textId="77777777" w:rsidR="00ED17F3" w:rsidRPr="00E737B4" w:rsidRDefault="00ED17F3" w:rsidP="00ED17F3">
      <w:pPr>
        <w:spacing w:after="0" w:line="240" w:lineRule="auto"/>
        <w:jc w:val="both"/>
        <w:rPr>
          <w:rFonts w:ascii="Times New Roman" w:hAnsi="Times New Roman"/>
          <w:i/>
          <w:sz w:val="24"/>
        </w:rPr>
      </w:pPr>
      <w:r w:rsidRPr="00E737B4">
        <w:rPr>
          <w:rFonts w:ascii="Times New Roman" w:hAnsi="Times New Roman"/>
          <w:b/>
          <w:i/>
          <w:sz w:val="24"/>
        </w:rPr>
        <w:t>Légende</w:t>
      </w:r>
      <w:r w:rsidRPr="00E737B4">
        <w:rPr>
          <w:rFonts w:ascii="Times New Roman" w:hAnsi="Times New Roman"/>
          <w:i/>
          <w:sz w:val="24"/>
        </w:rPr>
        <w:t xml:space="preserve"> –</w:t>
      </w:r>
      <w:r w:rsidRPr="00E737B4">
        <w:rPr>
          <w:rFonts w:ascii="Times New Roman" w:hAnsi="Times New Roman"/>
          <w:i/>
          <w:sz w:val="24"/>
          <w:u w:val="single"/>
        </w:rPr>
        <w:t>Intensité</w:t>
      </w:r>
      <w:r w:rsidRPr="00E737B4">
        <w:rPr>
          <w:rFonts w:ascii="Times New Roman" w:hAnsi="Times New Roman"/>
          <w:i/>
          <w:sz w:val="24"/>
        </w:rPr>
        <w:t xml:space="preserve"> = F : faible, M : moyenne, Fo : forte, </w:t>
      </w:r>
      <w:r w:rsidRPr="00E737B4">
        <w:rPr>
          <w:rFonts w:ascii="Times New Roman" w:hAnsi="Times New Roman"/>
          <w:i/>
          <w:sz w:val="24"/>
          <w:u w:val="single"/>
        </w:rPr>
        <w:t>Etendue</w:t>
      </w:r>
      <w:r w:rsidRPr="00E737B4">
        <w:rPr>
          <w:rFonts w:ascii="Times New Roman" w:hAnsi="Times New Roman"/>
          <w:i/>
          <w:sz w:val="24"/>
        </w:rPr>
        <w:t xml:space="preserve"> = P : ponctuelle, Lo : locale, R : régionale, </w:t>
      </w:r>
      <w:r w:rsidRPr="00E737B4">
        <w:rPr>
          <w:rFonts w:ascii="Times New Roman" w:hAnsi="Times New Roman"/>
          <w:i/>
          <w:sz w:val="24"/>
          <w:u w:val="single"/>
        </w:rPr>
        <w:t>Durée</w:t>
      </w:r>
      <w:r w:rsidRPr="00E737B4">
        <w:rPr>
          <w:rFonts w:ascii="Times New Roman" w:hAnsi="Times New Roman"/>
          <w:i/>
          <w:sz w:val="24"/>
        </w:rPr>
        <w:t xml:space="preserve"> = C : courte, Moyenne : Mo ; L : longue </w:t>
      </w:r>
      <w:r w:rsidRPr="00E737B4">
        <w:rPr>
          <w:rFonts w:ascii="Times New Roman" w:hAnsi="Times New Roman"/>
          <w:i/>
          <w:sz w:val="24"/>
          <w:u w:val="single"/>
        </w:rPr>
        <w:t>Importance </w:t>
      </w:r>
      <w:r w:rsidRPr="00E737B4">
        <w:rPr>
          <w:rFonts w:ascii="Times New Roman" w:hAnsi="Times New Roman"/>
          <w:i/>
          <w:sz w:val="24"/>
        </w:rPr>
        <w:t>: Mi : mineur, Moy : moyen, Ma : majeur ; FDI : Fiche Déclaration d’impact</w:t>
      </w:r>
    </w:p>
    <w:p w14:paraId="23037E40" w14:textId="77777777" w:rsidR="00ED17F3" w:rsidRPr="00D75D2E" w:rsidRDefault="00ED17F3" w:rsidP="00ED17F3">
      <w:pPr>
        <w:spacing w:after="0" w:line="240" w:lineRule="auto"/>
        <w:jc w:val="both"/>
        <w:rPr>
          <w:rFonts w:ascii="Times New Roman" w:hAnsi="Times New Roman"/>
          <w:i/>
        </w:rPr>
      </w:pPr>
    </w:p>
    <w:p w14:paraId="580F2D46" w14:textId="77777777" w:rsidR="00ED17F3" w:rsidRPr="00D75D2E" w:rsidRDefault="00ED17F3" w:rsidP="00ED17F3">
      <w:pPr>
        <w:spacing w:after="0" w:line="240" w:lineRule="auto"/>
        <w:rPr>
          <w:rFonts w:ascii="Times New Roman" w:hAnsi="Times New Roman"/>
        </w:rPr>
      </w:pPr>
    </w:p>
    <w:p w14:paraId="5948AFF8" w14:textId="77777777" w:rsidR="00ED17F3" w:rsidRPr="00D75D2E" w:rsidRDefault="00ED17F3" w:rsidP="00AE31F1">
      <w:pPr>
        <w:pStyle w:val="Titre4"/>
        <w:keepLines w:val="0"/>
        <w:numPr>
          <w:ilvl w:val="3"/>
          <w:numId w:val="54"/>
        </w:numPr>
        <w:tabs>
          <w:tab w:val="left" w:pos="720"/>
        </w:tabs>
        <w:spacing w:before="0" w:line="240" w:lineRule="auto"/>
        <w:ind w:left="0" w:firstLine="0"/>
        <w:jc w:val="both"/>
        <w:rPr>
          <w:iCs w:val="0"/>
          <w:color w:val="auto"/>
          <w:szCs w:val="24"/>
          <w:u w:val="single"/>
        </w:rPr>
        <w:sectPr w:rsidR="00ED17F3" w:rsidRPr="00D75D2E" w:rsidSect="0082504D">
          <w:pgSz w:w="16838" w:h="11906" w:orient="landscape"/>
          <w:pgMar w:top="993" w:right="1418" w:bottom="1134" w:left="1418" w:header="709" w:footer="709" w:gutter="0"/>
          <w:cols w:space="708"/>
          <w:docGrid w:linePitch="360"/>
        </w:sectPr>
      </w:pPr>
    </w:p>
    <w:p w14:paraId="54939941" w14:textId="77777777" w:rsidR="00ED17F3" w:rsidRPr="00D75D2E" w:rsidRDefault="00ED17F3" w:rsidP="00215867">
      <w:pPr>
        <w:pStyle w:val="Titre4"/>
        <w:numPr>
          <w:ilvl w:val="3"/>
          <w:numId w:val="54"/>
        </w:numPr>
        <w:spacing w:before="0" w:after="120" w:line="240" w:lineRule="auto"/>
        <w:ind w:left="1723" w:hanging="646"/>
        <w:rPr>
          <w:color w:val="auto"/>
          <w:szCs w:val="24"/>
        </w:rPr>
      </w:pPr>
      <w:bookmarkStart w:id="627" w:name="_Toc103685680"/>
      <w:r w:rsidRPr="00D75D2E">
        <w:rPr>
          <w:color w:val="auto"/>
          <w:szCs w:val="24"/>
        </w:rPr>
        <w:t>Impact social négatif de la variante avec le projet</w:t>
      </w:r>
      <w:bookmarkStart w:id="628" w:name="_Hlk518572123"/>
      <w:bookmarkEnd w:id="627"/>
    </w:p>
    <w:p w14:paraId="3D6B3C7D" w14:textId="77777777" w:rsidR="00ED17F3" w:rsidRDefault="00ED17F3" w:rsidP="008C79F0">
      <w:pPr>
        <w:keepNext/>
        <w:keepLines/>
        <w:numPr>
          <w:ilvl w:val="0"/>
          <w:numId w:val="40"/>
        </w:numPr>
        <w:spacing w:before="120" w:after="120" w:line="240" w:lineRule="auto"/>
        <w:outlineLvl w:val="3"/>
        <w:rPr>
          <w:rFonts w:ascii="Times New Roman" w:eastAsia="Times New Roman" w:hAnsi="Times New Roman"/>
          <w:iCs/>
          <w:sz w:val="24"/>
          <w:szCs w:val="24"/>
          <w:u w:val="single"/>
        </w:rPr>
      </w:pPr>
      <w:bookmarkStart w:id="629" w:name="_Toc103685681"/>
      <w:r w:rsidRPr="00E737B4">
        <w:rPr>
          <w:rFonts w:ascii="Times New Roman" w:eastAsia="Times New Roman" w:hAnsi="Times New Roman"/>
          <w:iCs/>
          <w:sz w:val="24"/>
          <w:szCs w:val="24"/>
          <w:u w:val="single"/>
        </w:rPr>
        <w:t>Phase préparatoire</w:t>
      </w:r>
      <w:bookmarkEnd w:id="629"/>
    </w:p>
    <w:p w14:paraId="432FF0D4" w14:textId="2F3F5653" w:rsidR="003C5554" w:rsidRPr="00215867" w:rsidRDefault="003C5554" w:rsidP="00215867">
      <w:pPr>
        <w:spacing w:after="0"/>
        <w:jc w:val="both"/>
        <w:rPr>
          <w:rFonts w:ascii="Times New Roman" w:hAnsi="Times New Roman"/>
          <w:iCs/>
          <w:sz w:val="24"/>
          <w:szCs w:val="24"/>
        </w:rPr>
      </w:pPr>
      <w:r w:rsidRPr="00215867">
        <w:rPr>
          <w:rFonts w:ascii="Times New Roman" w:hAnsi="Times New Roman"/>
          <w:iCs/>
          <w:sz w:val="24"/>
          <w:szCs w:val="24"/>
        </w:rPr>
        <w:t>Cette phase comprend l’installation des chantiers, la construction des bases vies et base technique de chantier, la mobilisation du personnel et de la logistiq</w:t>
      </w:r>
      <w:r w:rsidR="00C27910" w:rsidRPr="00215867">
        <w:rPr>
          <w:rFonts w:ascii="Times New Roman" w:hAnsi="Times New Roman"/>
          <w:iCs/>
          <w:sz w:val="24"/>
          <w:szCs w:val="24"/>
        </w:rPr>
        <w:t xml:space="preserve">ue nécessaire pour les chantiers </w:t>
      </w:r>
      <w:r w:rsidRPr="00215867">
        <w:rPr>
          <w:rFonts w:ascii="Times New Roman" w:hAnsi="Times New Roman"/>
          <w:iCs/>
          <w:sz w:val="24"/>
          <w:szCs w:val="24"/>
        </w:rPr>
        <w:t xml:space="preserve">ainsi que l’aménagement des différents aires de stockages et d’entreposage des matériaux et matériels. </w:t>
      </w:r>
    </w:p>
    <w:p w14:paraId="55FC5423" w14:textId="79B42A70" w:rsidR="00534AA9" w:rsidRPr="00D75D2E" w:rsidRDefault="00ED17F3" w:rsidP="00E737B4">
      <w:pPr>
        <w:keepNext/>
        <w:spacing w:before="120" w:after="120" w:line="240" w:lineRule="auto"/>
        <w:jc w:val="center"/>
        <w:rPr>
          <w:rFonts w:ascii="Times New Roman" w:hAnsi="Times New Roman"/>
          <w:iCs/>
          <w:szCs w:val="18"/>
        </w:rPr>
      </w:pPr>
      <w:bookmarkStart w:id="630" w:name="_Toc519048938"/>
      <w:bookmarkStart w:id="631" w:name="_Toc93050301"/>
      <w:r w:rsidRPr="00E737B4">
        <w:rPr>
          <w:rFonts w:ascii="Times New Roman" w:hAnsi="Times New Roman"/>
          <w:iCs/>
          <w:sz w:val="24"/>
          <w:szCs w:val="24"/>
        </w:rPr>
        <w:t xml:space="preserve">Tableau </w:t>
      </w:r>
      <w:r w:rsidRPr="00E737B4">
        <w:rPr>
          <w:rFonts w:ascii="Times New Roman" w:hAnsi="Times New Roman"/>
          <w:iCs/>
          <w:noProof/>
          <w:sz w:val="24"/>
          <w:szCs w:val="24"/>
        </w:rPr>
        <w:fldChar w:fldCharType="begin"/>
      </w:r>
      <w:r w:rsidRPr="00E737B4">
        <w:rPr>
          <w:rFonts w:ascii="Times New Roman" w:hAnsi="Times New Roman"/>
          <w:iCs/>
          <w:noProof/>
          <w:sz w:val="24"/>
          <w:szCs w:val="24"/>
        </w:rPr>
        <w:instrText xml:space="preserve"> SEQ Tableau \* ARABIC </w:instrText>
      </w:r>
      <w:r w:rsidRPr="00E737B4">
        <w:rPr>
          <w:rFonts w:ascii="Times New Roman" w:hAnsi="Times New Roman"/>
          <w:iCs/>
          <w:noProof/>
          <w:sz w:val="24"/>
          <w:szCs w:val="24"/>
        </w:rPr>
        <w:fldChar w:fldCharType="separate"/>
      </w:r>
      <w:r w:rsidR="006234EE">
        <w:rPr>
          <w:rFonts w:ascii="Times New Roman" w:hAnsi="Times New Roman"/>
          <w:iCs/>
          <w:noProof/>
          <w:sz w:val="24"/>
          <w:szCs w:val="24"/>
        </w:rPr>
        <w:t>39</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w:t>
      </w:r>
      <w:r w:rsidRPr="00E737B4">
        <w:rPr>
          <w:rFonts w:ascii="Times New Roman" w:hAnsi="Times New Roman"/>
          <w:b/>
          <w:iCs/>
          <w:sz w:val="24"/>
          <w:szCs w:val="24"/>
        </w:rPr>
        <w:t xml:space="preserve">Code </w:t>
      </w:r>
      <w:bookmarkEnd w:id="630"/>
      <w:r w:rsidR="00822EDF" w:rsidRPr="00E737B4">
        <w:rPr>
          <w:rFonts w:ascii="Times New Roman" w:hAnsi="Times New Roman"/>
          <w:b/>
          <w:iCs/>
          <w:sz w:val="24"/>
          <w:szCs w:val="24"/>
        </w:rPr>
        <w:t>1</w:t>
      </w:r>
      <w:r w:rsidR="00822EDF">
        <w:rPr>
          <w:rFonts w:ascii="Times New Roman" w:hAnsi="Times New Roman"/>
          <w:b/>
          <w:iCs/>
          <w:sz w:val="24"/>
          <w:szCs w:val="24"/>
        </w:rPr>
        <w:t>6</w:t>
      </w:r>
      <w:bookmarkEnd w:id="631"/>
    </w:p>
    <w:tbl>
      <w:tblPr>
        <w:tblW w:w="10042" w:type="dxa"/>
        <w:jc w:val="center"/>
        <w:tblLook w:val="04A0" w:firstRow="1" w:lastRow="0" w:firstColumn="1" w:lastColumn="0" w:noHBand="0" w:noVBand="1"/>
      </w:tblPr>
      <w:tblGrid>
        <w:gridCol w:w="1361"/>
        <w:gridCol w:w="684"/>
        <w:gridCol w:w="373"/>
        <w:gridCol w:w="701"/>
        <w:gridCol w:w="182"/>
        <w:gridCol w:w="286"/>
        <w:gridCol w:w="1105"/>
        <w:gridCol w:w="163"/>
        <w:gridCol w:w="1052"/>
        <w:gridCol w:w="486"/>
        <w:gridCol w:w="481"/>
        <w:gridCol w:w="279"/>
        <w:gridCol w:w="1014"/>
        <w:gridCol w:w="627"/>
        <w:gridCol w:w="767"/>
        <w:gridCol w:w="481"/>
      </w:tblGrid>
      <w:tr w:rsidR="00D75D2E" w:rsidRPr="00420C1B" w14:paraId="2B0540A1" w14:textId="77777777" w:rsidTr="00574826">
        <w:trPr>
          <w:tblHeader/>
          <w:jc w:val="center"/>
        </w:trPr>
        <w:tc>
          <w:tcPr>
            <w:tcW w:w="2425"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C349C8E" w14:textId="77777777" w:rsidR="00ED17F3" w:rsidRPr="00420C1B" w:rsidRDefault="00ED17F3" w:rsidP="007108ED">
            <w:pPr>
              <w:spacing w:after="0" w:line="240" w:lineRule="auto"/>
              <w:rPr>
                <w:rFonts w:ascii="Times New Roman" w:hAnsi="Times New Roman"/>
                <w:b/>
                <w:sz w:val="20"/>
                <w:szCs w:val="20"/>
              </w:rPr>
            </w:pPr>
            <w:r w:rsidRPr="00420C1B">
              <w:rPr>
                <w:rFonts w:ascii="Times New Roman" w:hAnsi="Times New Roman"/>
                <w:b/>
                <w:sz w:val="20"/>
                <w:szCs w:val="20"/>
              </w:rPr>
              <w:t>COMPOSANTE</w:t>
            </w:r>
          </w:p>
        </w:tc>
        <w:tc>
          <w:tcPr>
            <w:tcW w:w="2448"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1966C543" w14:textId="77777777" w:rsidR="00ED17F3" w:rsidRPr="00420C1B" w:rsidRDefault="00D464DD" w:rsidP="007108ED">
            <w:pPr>
              <w:spacing w:after="0" w:line="240" w:lineRule="auto"/>
              <w:rPr>
                <w:rFonts w:ascii="Times New Roman" w:hAnsi="Times New Roman"/>
                <w:b/>
                <w:sz w:val="20"/>
                <w:szCs w:val="20"/>
              </w:rPr>
            </w:pPr>
            <w:r w:rsidRPr="00420C1B">
              <w:rPr>
                <w:rFonts w:ascii="Times New Roman" w:hAnsi="Times New Roman"/>
                <w:sz w:val="20"/>
                <w:szCs w:val="20"/>
              </w:rPr>
              <w:t xml:space="preserve">Activités économiques </w:t>
            </w:r>
          </w:p>
        </w:tc>
        <w:tc>
          <w:tcPr>
            <w:tcW w:w="2034"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6AA4E5E" w14:textId="77777777" w:rsidR="00ED17F3" w:rsidRPr="00420C1B" w:rsidRDefault="00ED17F3" w:rsidP="007108ED">
            <w:pPr>
              <w:spacing w:after="0" w:line="240" w:lineRule="auto"/>
              <w:rPr>
                <w:rFonts w:ascii="Times New Roman" w:hAnsi="Times New Roman"/>
                <w:b/>
                <w:sz w:val="20"/>
                <w:szCs w:val="20"/>
              </w:rPr>
            </w:pPr>
            <w:r w:rsidRPr="00420C1B">
              <w:rPr>
                <w:rFonts w:ascii="Times New Roman" w:hAnsi="Times New Roman"/>
                <w:b/>
                <w:sz w:val="20"/>
                <w:szCs w:val="20"/>
              </w:rPr>
              <w:t>PHASE</w:t>
            </w:r>
          </w:p>
        </w:tc>
        <w:tc>
          <w:tcPr>
            <w:tcW w:w="3135"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1E8D3A60" w14:textId="77777777" w:rsidR="00ED17F3" w:rsidRPr="00420C1B" w:rsidRDefault="00ED17F3" w:rsidP="007108ED">
            <w:pPr>
              <w:spacing w:after="0" w:line="240" w:lineRule="auto"/>
              <w:rPr>
                <w:rFonts w:ascii="Times New Roman" w:hAnsi="Times New Roman"/>
                <w:sz w:val="20"/>
                <w:szCs w:val="20"/>
              </w:rPr>
            </w:pPr>
            <w:r w:rsidRPr="00420C1B">
              <w:rPr>
                <w:rFonts w:ascii="Times New Roman" w:hAnsi="Times New Roman"/>
                <w:sz w:val="20"/>
                <w:szCs w:val="20"/>
              </w:rPr>
              <w:t xml:space="preserve">Préparatoire </w:t>
            </w:r>
          </w:p>
        </w:tc>
      </w:tr>
      <w:tr w:rsidR="00D75D2E" w:rsidRPr="00420C1B" w14:paraId="5B90D70E" w14:textId="77777777" w:rsidTr="00DC7776">
        <w:trPr>
          <w:jc w:val="center"/>
        </w:trPr>
        <w:tc>
          <w:tcPr>
            <w:tcW w:w="2425" w:type="dxa"/>
            <w:gridSpan w:val="3"/>
            <w:vMerge w:val="restart"/>
            <w:tcBorders>
              <w:top w:val="single" w:sz="4" w:space="0" w:color="auto"/>
              <w:left w:val="single" w:sz="4" w:space="0" w:color="auto"/>
              <w:right w:val="single" w:sz="4" w:space="0" w:color="auto"/>
            </w:tcBorders>
          </w:tcPr>
          <w:p w14:paraId="038D2C78" w14:textId="7460F004" w:rsidR="00ED17F3" w:rsidRPr="00420C1B" w:rsidRDefault="00ED17F3" w:rsidP="007108ED">
            <w:pPr>
              <w:spacing w:after="0" w:line="240" w:lineRule="auto"/>
              <w:rPr>
                <w:rFonts w:ascii="Times New Roman" w:hAnsi="Times New Roman"/>
                <w:b/>
                <w:sz w:val="20"/>
                <w:szCs w:val="20"/>
              </w:rPr>
            </w:pPr>
            <w:r w:rsidRPr="00420C1B">
              <w:rPr>
                <w:rFonts w:ascii="Times New Roman" w:hAnsi="Times New Roman"/>
                <w:b/>
                <w:sz w:val="20"/>
                <w:szCs w:val="20"/>
              </w:rPr>
              <w:t>Code 1</w:t>
            </w:r>
            <w:r w:rsidR="00501AAF" w:rsidRPr="00420C1B">
              <w:rPr>
                <w:rFonts w:ascii="Times New Roman" w:hAnsi="Times New Roman"/>
                <w:b/>
                <w:sz w:val="20"/>
                <w:szCs w:val="20"/>
              </w:rPr>
              <w:t>1</w:t>
            </w:r>
          </w:p>
        </w:tc>
        <w:tc>
          <w:tcPr>
            <w:tcW w:w="7617" w:type="dxa"/>
            <w:gridSpan w:val="13"/>
            <w:tcBorders>
              <w:top w:val="single" w:sz="4" w:space="0" w:color="auto"/>
              <w:left w:val="single" w:sz="4" w:space="0" w:color="auto"/>
              <w:bottom w:val="single" w:sz="4" w:space="0" w:color="auto"/>
              <w:right w:val="single" w:sz="4" w:space="0" w:color="auto"/>
            </w:tcBorders>
          </w:tcPr>
          <w:p w14:paraId="59EFB21D" w14:textId="77777777" w:rsidR="00ED17F3" w:rsidRPr="00420C1B" w:rsidRDefault="00ED17F3" w:rsidP="007108ED">
            <w:pPr>
              <w:spacing w:after="0" w:line="240" w:lineRule="auto"/>
              <w:rPr>
                <w:rFonts w:ascii="Times New Roman" w:hAnsi="Times New Roman"/>
                <w:b/>
                <w:sz w:val="20"/>
                <w:szCs w:val="20"/>
              </w:rPr>
            </w:pPr>
            <w:r w:rsidRPr="00420C1B">
              <w:rPr>
                <w:rFonts w:ascii="Times New Roman" w:hAnsi="Times New Roman"/>
                <w:b/>
                <w:sz w:val="20"/>
                <w:szCs w:val="20"/>
              </w:rPr>
              <w:t xml:space="preserve">Source d’impact : </w:t>
            </w:r>
            <w:r w:rsidRPr="00420C1B">
              <w:rPr>
                <w:rFonts w:ascii="Times New Roman" w:hAnsi="Times New Roman"/>
                <w:sz w:val="20"/>
                <w:szCs w:val="20"/>
              </w:rPr>
              <w:t xml:space="preserve">Libération des emprises des travaux  </w:t>
            </w:r>
          </w:p>
        </w:tc>
      </w:tr>
      <w:tr w:rsidR="00D75D2E" w:rsidRPr="00420C1B" w14:paraId="05224B15" w14:textId="77777777" w:rsidTr="00DC7776">
        <w:trPr>
          <w:jc w:val="center"/>
        </w:trPr>
        <w:tc>
          <w:tcPr>
            <w:tcW w:w="2425" w:type="dxa"/>
            <w:gridSpan w:val="3"/>
            <w:vMerge/>
            <w:tcBorders>
              <w:left w:val="single" w:sz="4" w:space="0" w:color="auto"/>
              <w:bottom w:val="single" w:sz="4" w:space="0" w:color="auto"/>
              <w:right w:val="single" w:sz="4" w:space="0" w:color="auto"/>
            </w:tcBorders>
            <w:hideMark/>
          </w:tcPr>
          <w:p w14:paraId="5E9709BA" w14:textId="77777777" w:rsidR="00ED17F3" w:rsidRPr="00420C1B" w:rsidRDefault="00ED17F3" w:rsidP="007108ED">
            <w:pPr>
              <w:spacing w:after="0" w:line="240" w:lineRule="auto"/>
              <w:rPr>
                <w:rFonts w:ascii="Times New Roman" w:hAnsi="Times New Roman"/>
                <w:b/>
                <w:sz w:val="20"/>
                <w:szCs w:val="20"/>
              </w:rPr>
            </w:pPr>
          </w:p>
        </w:tc>
        <w:tc>
          <w:tcPr>
            <w:tcW w:w="7617" w:type="dxa"/>
            <w:gridSpan w:val="13"/>
            <w:tcBorders>
              <w:top w:val="single" w:sz="4" w:space="0" w:color="auto"/>
              <w:left w:val="single" w:sz="4" w:space="0" w:color="auto"/>
              <w:bottom w:val="single" w:sz="4" w:space="0" w:color="auto"/>
              <w:right w:val="single" w:sz="4" w:space="0" w:color="auto"/>
            </w:tcBorders>
            <w:hideMark/>
          </w:tcPr>
          <w:p w14:paraId="635D1603" w14:textId="77777777" w:rsidR="00ED17F3" w:rsidRPr="00420C1B" w:rsidRDefault="00ED17F3" w:rsidP="009F556D">
            <w:pPr>
              <w:spacing w:after="0" w:line="240" w:lineRule="auto"/>
              <w:rPr>
                <w:rFonts w:ascii="Times New Roman" w:hAnsi="Times New Roman"/>
                <w:sz w:val="20"/>
                <w:szCs w:val="20"/>
              </w:rPr>
            </w:pPr>
            <w:r w:rsidRPr="00420C1B">
              <w:rPr>
                <w:rFonts w:ascii="Times New Roman" w:hAnsi="Times New Roman"/>
                <w:b/>
                <w:sz w:val="20"/>
                <w:szCs w:val="20"/>
              </w:rPr>
              <w:t>Intitulé de l’impact</w:t>
            </w:r>
            <w:r w:rsidRPr="00420C1B">
              <w:rPr>
                <w:rFonts w:ascii="Times New Roman" w:hAnsi="Times New Roman"/>
                <w:sz w:val="20"/>
                <w:szCs w:val="20"/>
              </w:rPr>
              <w:t> : Perte foncière et de bâtisses </w:t>
            </w:r>
            <w:r w:rsidR="009F556D" w:rsidRPr="00420C1B">
              <w:rPr>
                <w:rFonts w:ascii="Times New Roman" w:hAnsi="Times New Roman"/>
                <w:sz w:val="20"/>
                <w:szCs w:val="20"/>
              </w:rPr>
              <w:t xml:space="preserve"> </w:t>
            </w:r>
          </w:p>
        </w:tc>
      </w:tr>
      <w:tr w:rsidR="00D75D2E" w:rsidRPr="00420C1B" w14:paraId="14DD39CD" w14:textId="77777777" w:rsidTr="00DC7776">
        <w:trPr>
          <w:jc w:val="center"/>
        </w:trPr>
        <w:tc>
          <w:tcPr>
            <w:tcW w:w="2425" w:type="dxa"/>
            <w:gridSpan w:val="3"/>
            <w:vMerge w:val="restart"/>
            <w:tcBorders>
              <w:top w:val="single" w:sz="4" w:space="0" w:color="auto"/>
              <w:left w:val="single" w:sz="4" w:space="0" w:color="auto"/>
              <w:bottom w:val="single" w:sz="4" w:space="0" w:color="auto"/>
              <w:right w:val="single" w:sz="4" w:space="0" w:color="auto"/>
            </w:tcBorders>
            <w:hideMark/>
          </w:tcPr>
          <w:p w14:paraId="0FA71DE1" w14:textId="77777777" w:rsidR="00534AA9" w:rsidRPr="00D75D2E" w:rsidRDefault="00534AA9" w:rsidP="00534AA9">
            <w:pPr>
              <w:spacing w:after="0" w:line="240" w:lineRule="auto"/>
              <w:rPr>
                <w:rFonts w:ascii="Times New Roman" w:eastAsia="Times New Roman" w:hAnsi="Times New Roman"/>
                <w:sz w:val="20"/>
                <w:szCs w:val="20"/>
                <w:lang w:eastAsia="fr-FR"/>
              </w:rPr>
            </w:pPr>
            <w:r w:rsidRPr="00420C1B">
              <w:rPr>
                <w:rFonts w:ascii="Times New Roman" w:hAnsi="Times New Roman"/>
                <w:b/>
                <w:sz w:val="20"/>
                <w:szCs w:val="20"/>
              </w:rPr>
              <w:t>Localisation</w:t>
            </w:r>
          </w:p>
        </w:tc>
        <w:tc>
          <w:tcPr>
            <w:tcW w:w="3515" w:type="dxa"/>
            <w:gridSpan w:val="6"/>
            <w:vMerge w:val="restart"/>
            <w:tcBorders>
              <w:top w:val="single" w:sz="4" w:space="0" w:color="auto"/>
              <w:left w:val="single" w:sz="4" w:space="0" w:color="auto"/>
              <w:right w:val="single" w:sz="4" w:space="0" w:color="auto"/>
            </w:tcBorders>
            <w:hideMark/>
          </w:tcPr>
          <w:p w14:paraId="1931EB86" w14:textId="77777777" w:rsidR="00534AA9" w:rsidRPr="00D75D2E" w:rsidRDefault="00534AA9" w:rsidP="001C0F50">
            <w:pPr>
              <w:spacing w:after="0" w:line="240" w:lineRule="auto"/>
              <w:jc w:val="both"/>
              <w:rPr>
                <w:rFonts w:ascii="Times New Roman" w:hAnsi="Times New Roman"/>
                <w:sz w:val="20"/>
                <w:szCs w:val="20"/>
              </w:rPr>
            </w:pPr>
            <w:r w:rsidRPr="00D75D2E">
              <w:rPr>
                <w:rFonts w:ascii="Times New Roman" w:hAnsi="Times New Roman"/>
                <w:sz w:val="20"/>
                <w:szCs w:val="20"/>
              </w:rPr>
              <w:t>zone d’évolution des travaux (</w:t>
            </w:r>
            <w:r w:rsidR="001C0F50" w:rsidRPr="00D75D2E">
              <w:rPr>
                <w:rFonts w:ascii="Times New Roman" w:hAnsi="Times New Roman"/>
                <w:sz w:val="20"/>
                <w:szCs w:val="20"/>
              </w:rPr>
              <w:t>emprise des lignes</w:t>
            </w:r>
            <w:r w:rsidRPr="00D75D2E">
              <w:rPr>
                <w:rFonts w:ascii="Times New Roman" w:hAnsi="Times New Roman"/>
                <w:sz w:val="20"/>
                <w:szCs w:val="20"/>
              </w:rPr>
              <w:t xml:space="preserve">) </w:t>
            </w:r>
          </w:p>
        </w:tc>
        <w:tc>
          <w:tcPr>
            <w:tcW w:w="967" w:type="dxa"/>
            <w:gridSpan w:val="2"/>
            <w:tcBorders>
              <w:top w:val="single" w:sz="4" w:space="0" w:color="auto"/>
              <w:left w:val="single" w:sz="4" w:space="0" w:color="auto"/>
              <w:bottom w:val="single" w:sz="4" w:space="0" w:color="auto"/>
              <w:right w:val="single" w:sz="4" w:space="0" w:color="auto"/>
            </w:tcBorders>
          </w:tcPr>
          <w:p w14:paraId="2B2542A8" w14:textId="77777777" w:rsidR="00534AA9" w:rsidRPr="00D75D2E" w:rsidRDefault="00534AA9" w:rsidP="00534AA9">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1256" w:type="dxa"/>
            <w:gridSpan w:val="2"/>
            <w:tcBorders>
              <w:top w:val="single" w:sz="4" w:space="0" w:color="auto"/>
              <w:left w:val="single" w:sz="4" w:space="0" w:color="auto"/>
              <w:bottom w:val="single" w:sz="4" w:space="0" w:color="auto"/>
              <w:right w:val="single" w:sz="4" w:space="0" w:color="auto"/>
            </w:tcBorders>
            <w:hideMark/>
          </w:tcPr>
          <w:p w14:paraId="4F7AEBBD" w14:textId="77777777" w:rsidR="00534AA9" w:rsidRPr="00D75D2E" w:rsidRDefault="00534AA9" w:rsidP="00534AA9">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879" w:type="dxa"/>
            <w:gridSpan w:val="3"/>
            <w:vMerge w:val="restart"/>
            <w:tcBorders>
              <w:top w:val="single" w:sz="4" w:space="0" w:color="auto"/>
              <w:left w:val="single" w:sz="4" w:space="0" w:color="auto"/>
              <w:bottom w:val="single" w:sz="4" w:space="0" w:color="auto"/>
              <w:right w:val="single" w:sz="4" w:space="0" w:color="auto"/>
            </w:tcBorders>
          </w:tcPr>
          <w:p w14:paraId="39B2A127" w14:textId="77777777" w:rsidR="00534AA9" w:rsidRPr="00420C1B" w:rsidRDefault="00534AA9" w:rsidP="00534AA9">
            <w:pPr>
              <w:spacing w:after="0" w:line="240" w:lineRule="auto"/>
              <w:rPr>
                <w:rFonts w:ascii="Times New Roman" w:hAnsi="Times New Roman"/>
                <w:sz w:val="20"/>
                <w:szCs w:val="20"/>
              </w:rPr>
            </w:pPr>
          </w:p>
        </w:tc>
      </w:tr>
      <w:tr w:rsidR="00D75D2E" w:rsidRPr="00420C1B" w14:paraId="2B5455D6" w14:textId="77777777" w:rsidTr="00DC7776">
        <w:trPr>
          <w:trHeight w:val="152"/>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hideMark/>
          </w:tcPr>
          <w:p w14:paraId="05FF1EC8" w14:textId="77777777" w:rsidR="00534AA9" w:rsidRPr="00D75D2E" w:rsidRDefault="00534AA9" w:rsidP="00534AA9">
            <w:pPr>
              <w:spacing w:after="0" w:line="240" w:lineRule="auto"/>
              <w:rPr>
                <w:rFonts w:ascii="Times New Roman" w:eastAsia="Times New Roman" w:hAnsi="Times New Roman"/>
                <w:sz w:val="20"/>
                <w:szCs w:val="20"/>
                <w:lang w:eastAsia="fr-FR"/>
              </w:rPr>
            </w:pPr>
          </w:p>
        </w:tc>
        <w:tc>
          <w:tcPr>
            <w:tcW w:w="3515" w:type="dxa"/>
            <w:gridSpan w:val="6"/>
            <w:vMerge/>
            <w:tcBorders>
              <w:left w:val="single" w:sz="4" w:space="0" w:color="auto"/>
              <w:right w:val="single" w:sz="4" w:space="0" w:color="auto"/>
            </w:tcBorders>
            <w:vAlign w:val="center"/>
            <w:hideMark/>
          </w:tcPr>
          <w:p w14:paraId="274C7FB4" w14:textId="77777777" w:rsidR="00534AA9" w:rsidRPr="00D75D2E" w:rsidRDefault="00534AA9" w:rsidP="00534AA9">
            <w:pPr>
              <w:spacing w:after="0" w:line="240" w:lineRule="auto"/>
              <w:rPr>
                <w:rFonts w:ascii="Times New Roman" w:hAnsi="Times New Roman"/>
                <w:sz w:val="20"/>
                <w:szCs w:val="20"/>
              </w:rPr>
            </w:pPr>
          </w:p>
        </w:tc>
        <w:tc>
          <w:tcPr>
            <w:tcW w:w="967" w:type="dxa"/>
            <w:gridSpan w:val="2"/>
            <w:tcBorders>
              <w:top w:val="single" w:sz="4" w:space="0" w:color="auto"/>
              <w:left w:val="single" w:sz="4" w:space="0" w:color="auto"/>
              <w:bottom w:val="single" w:sz="4" w:space="0" w:color="auto"/>
              <w:right w:val="single" w:sz="4" w:space="0" w:color="auto"/>
            </w:tcBorders>
          </w:tcPr>
          <w:p w14:paraId="3CCBD3D7" w14:textId="77777777" w:rsidR="00534AA9" w:rsidRPr="00D75D2E" w:rsidRDefault="00534AA9" w:rsidP="00534AA9">
            <w:pPr>
              <w:spacing w:after="0" w:line="240" w:lineRule="auto"/>
              <w:rPr>
                <w:rFonts w:ascii="Times New Roman" w:hAnsi="Times New Roman"/>
                <w:sz w:val="20"/>
                <w:szCs w:val="20"/>
                <w:highlight w:val="yellow"/>
              </w:rPr>
            </w:pPr>
            <w:r w:rsidRPr="00420C1B">
              <w:rPr>
                <w:rFonts w:ascii="Times New Roman" w:hAnsi="Times New Roman"/>
                <w:sz w:val="20"/>
                <w:szCs w:val="20"/>
              </w:rPr>
              <w:t>526135</w:t>
            </w:r>
            <w:r w:rsidRPr="00420C1B">
              <w:rPr>
                <w:rFonts w:ascii="Times New Roman" w:hAnsi="Times New Roman"/>
                <w:sz w:val="20"/>
                <w:szCs w:val="20"/>
                <w:highlight w:val="yellow"/>
              </w:rPr>
              <w:t xml:space="preserve">  </w:t>
            </w:r>
          </w:p>
        </w:tc>
        <w:tc>
          <w:tcPr>
            <w:tcW w:w="1256" w:type="dxa"/>
            <w:gridSpan w:val="2"/>
            <w:tcBorders>
              <w:top w:val="single" w:sz="4" w:space="0" w:color="auto"/>
              <w:left w:val="nil"/>
              <w:bottom w:val="single" w:sz="4" w:space="0" w:color="auto"/>
              <w:right w:val="single" w:sz="4" w:space="0" w:color="auto"/>
            </w:tcBorders>
          </w:tcPr>
          <w:p w14:paraId="728AA277" w14:textId="77777777" w:rsidR="00534AA9" w:rsidRPr="00D75D2E" w:rsidRDefault="00534AA9" w:rsidP="00534AA9">
            <w:pPr>
              <w:spacing w:after="0" w:line="240" w:lineRule="auto"/>
              <w:rPr>
                <w:rFonts w:ascii="Times New Roman" w:hAnsi="Times New Roman"/>
                <w:sz w:val="20"/>
                <w:szCs w:val="20"/>
                <w:highlight w:val="yellow"/>
              </w:rPr>
            </w:pPr>
            <w:r w:rsidRPr="00420C1B">
              <w:rPr>
                <w:rFonts w:ascii="Times New Roman" w:hAnsi="Times New Roman"/>
                <w:sz w:val="20"/>
                <w:szCs w:val="20"/>
              </w:rPr>
              <w:t>9514282</w:t>
            </w:r>
          </w:p>
        </w:tc>
        <w:tc>
          <w:tcPr>
            <w:tcW w:w="1879" w:type="dxa"/>
            <w:gridSpan w:val="3"/>
            <w:vMerge/>
            <w:tcBorders>
              <w:top w:val="single" w:sz="4" w:space="0" w:color="auto"/>
              <w:left w:val="single" w:sz="4" w:space="0" w:color="auto"/>
              <w:bottom w:val="single" w:sz="4" w:space="0" w:color="auto"/>
              <w:right w:val="single" w:sz="4" w:space="0" w:color="auto"/>
            </w:tcBorders>
            <w:vAlign w:val="center"/>
            <w:hideMark/>
          </w:tcPr>
          <w:p w14:paraId="4B879462" w14:textId="77777777" w:rsidR="00534AA9" w:rsidRPr="00420C1B" w:rsidRDefault="00534AA9" w:rsidP="00534AA9">
            <w:pPr>
              <w:spacing w:after="0" w:line="240" w:lineRule="auto"/>
              <w:rPr>
                <w:rFonts w:ascii="Times New Roman" w:hAnsi="Times New Roman"/>
                <w:sz w:val="20"/>
                <w:szCs w:val="20"/>
              </w:rPr>
            </w:pPr>
          </w:p>
        </w:tc>
      </w:tr>
      <w:tr w:rsidR="00D75D2E" w:rsidRPr="00420C1B" w14:paraId="06C37995" w14:textId="77777777" w:rsidTr="00DC7776">
        <w:trPr>
          <w:trHeight w:val="101"/>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tcPr>
          <w:p w14:paraId="5D6DAB3D" w14:textId="77777777" w:rsidR="00534AA9" w:rsidRPr="00D75D2E" w:rsidRDefault="00534AA9" w:rsidP="00534AA9">
            <w:pPr>
              <w:spacing w:after="0" w:line="240" w:lineRule="auto"/>
              <w:rPr>
                <w:rFonts w:ascii="Times New Roman" w:eastAsia="Times New Roman" w:hAnsi="Times New Roman"/>
                <w:sz w:val="20"/>
                <w:szCs w:val="20"/>
                <w:lang w:eastAsia="fr-FR"/>
              </w:rPr>
            </w:pPr>
          </w:p>
        </w:tc>
        <w:tc>
          <w:tcPr>
            <w:tcW w:w="3515" w:type="dxa"/>
            <w:gridSpan w:val="6"/>
            <w:vMerge/>
            <w:tcBorders>
              <w:left w:val="single" w:sz="4" w:space="0" w:color="auto"/>
              <w:bottom w:val="single" w:sz="4" w:space="0" w:color="auto"/>
              <w:right w:val="single" w:sz="4" w:space="0" w:color="auto"/>
            </w:tcBorders>
          </w:tcPr>
          <w:p w14:paraId="534F1B5A" w14:textId="77777777" w:rsidR="00534AA9" w:rsidRPr="00D75D2E" w:rsidRDefault="00534AA9" w:rsidP="00534AA9">
            <w:pPr>
              <w:spacing w:after="0" w:line="240" w:lineRule="auto"/>
              <w:jc w:val="both"/>
              <w:rPr>
                <w:rFonts w:ascii="Times New Roman" w:eastAsia="Times New Roman" w:hAnsi="Times New Roman"/>
                <w:sz w:val="20"/>
                <w:szCs w:val="20"/>
                <w:lang w:eastAsia="fr-FR"/>
              </w:rPr>
            </w:pPr>
          </w:p>
        </w:tc>
        <w:tc>
          <w:tcPr>
            <w:tcW w:w="967" w:type="dxa"/>
            <w:gridSpan w:val="2"/>
            <w:tcBorders>
              <w:top w:val="single" w:sz="4" w:space="0" w:color="auto"/>
              <w:left w:val="single" w:sz="4" w:space="0" w:color="auto"/>
              <w:bottom w:val="nil"/>
              <w:right w:val="single" w:sz="4" w:space="0" w:color="auto"/>
            </w:tcBorders>
          </w:tcPr>
          <w:p w14:paraId="1CD91D85" w14:textId="77777777" w:rsidR="00534AA9" w:rsidRPr="00D75D2E" w:rsidRDefault="00534AA9" w:rsidP="00534AA9">
            <w:pPr>
              <w:spacing w:after="0" w:line="240" w:lineRule="auto"/>
              <w:rPr>
                <w:rFonts w:ascii="Times New Roman" w:hAnsi="Times New Roman"/>
                <w:sz w:val="20"/>
                <w:szCs w:val="20"/>
                <w:highlight w:val="yellow"/>
              </w:rPr>
            </w:pPr>
            <w:r w:rsidRPr="00420C1B">
              <w:rPr>
                <w:rFonts w:ascii="Times New Roman" w:hAnsi="Times New Roman"/>
                <w:sz w:val="20"/>
                <w:szCs w:val="20"/>
              </w:rPr>
              <w:t>527290</w:t>
            </w:r>
          </w:p>
        </w:tc>
        <w:tc>
          <w:tcPr>
            <w:tcW w:w="1256" w:type="dxa"/>
            <w:gridSpan w:val="2"/>
            <w:tcBorders>
              <w:top w:val="single" w:sz="4" w:space="0" w:color="auto"/>
              <w:left w:val="single" w:sz="4" w:space="0" w:color="auto"/>
              <w:bottom w:val="nil"/>
              <w:right w:val="single" w:sz="4" w:space="0" w:color="auto"/>
            </w:tcBorders>
          </w:tcPr>
          <w:p w14:paraId="504E3847" w14:textId="77777777" w:rsidR="00534AA9" w:rsidRPr="00D75D2E" w:rsidRDefault="00534AA9" w:rsidP="00534AA9">
            <w:pPr>
              <w:spacing w:after="0" w:line="240" w:lineRule="auto"/>
              <w:rPr>
                <w:rFonts w:ascii="Times New Roman" w:hAnsi="Times New Roman"/>
                <w:sz w:val="20"/>
                <w:szCs w:val="20"/>
                <w:highlight w:val="yellow"/>
              </w:rPr>
            </w:pPr>
            <w:r w:rsidRPr="00420C1B">
              <w:rPr>
                <w:rFonts w:ascii="Times New Roman" w:hAnsi="Times New Roman"/>
                <w:sz w:val="20"/>
                <w:szCs w:val="20"/>
              </w:rPr>
              <w:t>9506829</w:t>
            </w:r>
          </w:p>
        </w:tc>
        <w:tc>
          <w:tcPr>
            <w:tcW w:w="1879" w:type="dxa"/>
            <w:gridSpan w:val="3"/>
            <w:vMerge/>
            <w:tcBorders>
              <w:top w:val="single" w:sz="4" w:space="0" w:color="auto"/>
              <w:left w:val="single" w:sz="4" w:space="0" w:color="auto"/>
              <w:bottom w:val="single" w:sz="4" w:space="0" w:color="auto"/>
              <w:right w:val="single" w:sz="4" w:space="0" w:color="auto"/>
            </w:tcBorders>
            <w:vAlign w:val="center"/>
          </w:tcPr>
          <w:p w14:paraId="63D1E823" w14:textId="77777777" w:rsidR="00534AA9" w:rsidRPr="00420C1B" w:rsidRDefault="00534AA9" w:rsidP="00534AA9">
            <w:pPr>
              <w:spacing w:after="0" w:line="240" w:lineRule="auto"/>
              <w:rPr>
                <w:rFonts w:ascii="Times New Roman" w:hAnsi="Times New Roman"/>
                <w:sz w:val="20"/>
                <w:szCs w:val="20"/>
              </w:rPr>
            </w:pPr>
          </w:p>
        </w:tc>
      </w:tr>
      <w:tr w:rsidR="00D75D2E" w:rsidRPr="00420C1B" w14:paraId="2636875F"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hideMark/>
          </w:tcPr>
          <w:p w14:paraId="141C0E11" w14:textId="77777777" w:rsidR="00ED17F3" w:rsidRPr="00D75D2E" w:rsidRDefault="00ED17F3" w:rsidP="007108ED">
            <w:pPr>
              <w:spacing w:after="0" w:line="240" w:lineRule="auto"/>
              <w:rPr>
                <w:rFonts w:ascii="Times New Roman" w:eastAsia="Times New Roman" w:hAnsi="Times New Roman"/>
                <w:sz w:val="20"/>
                <w:szCs w:val="20"/>
                <w:lang w:eastAsia="fr-FR"/>
              </w:rPr>
            </w:pPr>
          </w:p>
        </w:tc>
        <w:tc>
          <w:tcPr>
            <w:tcW w:w="1175" w:type="dxa"/>
            <w:gridSpan w:val="3"/>
            <w:tcBorders>
              <w:top w:val="single" w:sz="4" w:space="0" w:color="auto"/>
              <w:left w:val="single" w:sz="4" w:space="0" w:color="auto"/>
              <w:bottom w:val="single" w:sz="4" w:space="0" w:color="auto"/>
              <w:right w:val="single" w:sz="4" w:space="0" w:color="auto"/>
            </w:tcBorders>
          </w:tcPr>
          <w:p w14:paraId="135459DA" w14:textId="77777777" w:rsidR="00ED17F3" w:rsidRPr="00D75D2E" w:rsidRDefault="00ED17F3" w:rsidP="007108ED">
            <w:pPr>
              <w:spacing w:after="0" w:line="240" w:lineRule="auto"/>
              <w:rPr>
                <w:rFonts w:ascii="Times New Roman" w:eastAsia="Times New Roman" w:hAnsi="Times New Roman"/>
                <w:sz w:val="20"/>
                <w:szCs w:val="20"/>
                <w:lang w:eastAsia="fr-FR"/>
              </w:rPr>
            </w:pPr>
          </w:p>
        </w:tc>
        <w:tc>
          <w:tcPr>
            <w:tcW w:w="1105" w:type="dxa"/>
            <w:tcBorders>
              <w:top w:val="single" w:sz="4" w:space="0" w:color="auto"/>
              <w:left w:val="single" w:sz="4" w:space="0" w:color="auto"/>
              <w:bottom w:val="single" w:sz="4" w:space="0" w:color="auto"/>
              <w:right w:val="single" w:sz="4" w:space="0" w:color="auto"/>
            </w:tcBorders>
            <w:vAlign w:val="center"/>
          </w:tcPr>
          <w:p w14:paraId="2607B219" w14:textId="77777777" w:rsidR="00ED17F3" w:rsidRPr="00D75D2E" w:rsidRDefault="00ED17F3" w:rsidP="007108ED">
            <w:pPr>
              <w:spacing w:after="0" w:line="240" w:lineRule="auto"/>
              <w:rPr>
                <w:rFonts w:ascii="Times New Roman" w:eastAsia="Times New Roman" w:hAnsi="Times New Roman"/>
                <w:sz w:val="20"/>
                <w:szCs w:val="20"/>
                <w:lang w:eastAsia="fr-FR"/>
              </w:rPr>
            </w:pPr>
          </w:p>
        </w:tc>
        <w:tc>
          <w:tcPr>
            <w:tcW w:w="2202" w:type="dxa"/>
            <w:gridSpan w:val="4"/>
            <w:tcBorders>
              <w:top w:val="single" w:sz="4" w:space="0" w:color="auto"/>
              <w:left w:val="single" w:sz="4" w:space="0" w:color="auto"/>
              <w:bottom w:val="single" w:sz="4" w:space="0" w:color="auto"/>
              <w:right w:val="single" w:sz="4" w:space="0" w:color="auto"/>
            </w:tcBorders>
            <w:vAlign w:val="bottom"/>
          </w:tcPr>
          <w:p w14:paraId="104841E0"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p>
        </w:tc>
        <w:tc>
          <w:tcPr>
            <w:tcW w:w="1256" w:type="dxa"/>
            <w:gridSpan w:val="2"/>
            <w:tcBorders>
              <w:top w:val="single" w:sz="4" w:space="0" w:color="auto"/>
              <w:left w:val="single" w:sz="4" w:space="0" w:color="auto"/>
              <w:bottom w:val="single" w:sz="4" w:space="0" w:color="auto"/>
              <w:right w:val="single" w:sz="4" w:space="0" w:color="auto"/>
            </w:tcBorders>
            <w:vAlign w:val="bottom"/>
          </w:tcPr>
          <w:p w14:paraId="3F13EB38"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p>
        </w:tc>
        <w:tc>
          <w:tcPr>
            <w:tcW w:w="1879" w:type="dxa"/>
            <w:gridSpan w:val="3"/>
            <w:vMerge/>
            <w:tcBorders>
              <w:top w:val="single" w:sz="4" w:space="0" w:color="auto"/>
              <w:left w:val="single" w:sz="4" w:space="0" w:color="auto"/>
              <w:bottom w:val="single" w:sz="4" w:space="0" w:color="auto"/>
              <w:right w:val="single" w:sz="4" w:space="0" w:color="auto"/>
            </w:tcBorders>
            <w:vAlign w:val="center"/>
            <w:hideMark/>
          </w:tcPr>
          <w:p w14:paraId="7A3389B3" w14:textId="77777777" w:rsidR="00ED17F3" w:rsidRPr="00420C1B" w:rsidRDefault="00ED17F3" w:rsidP="007108ED">
            <w:pPr>
              <w:spacing w:after="0" w:line="240" w:lineRule="auto"/>
              <w:rPr>
                <w:rFonts w:ascii="Times New Roman" w:hAnsi="Times New Roman"/>
                <w:sz w:val="20"/>
                <w:szCs w:val="20"/>
              </w:rPr>
            </w:pPr>
          </w:p>
        </w:tc>
      </w:tr>
      <w:tr w:rsidR="00D75D2E" w:rsidRPr="00420C1B" w14:paraId="1684E064" w14:textId="77777777" w:rsidTr="00DC7776">
        <w:trPr>
          <w:jc w:val="center"/>
        </w:trPr>
        <w:tc>
          <w:tcPr>
            <w:tcW w:w="2425" w:type="dxa"/>
            <w:gridSpan w:val="3"/>
            <w:vMerge w:val="restart"/>
            <w:tcBorders>
              <w:top w:val="single" w:sz="4" w:space="0" w:color="auto"/>
              <w:left w:val="single" w:sz="4" w:space="0" w:color="auto"/>
              <w:bottom w:val="single" w:sz="4" w:space="0" w:color="auto"/>
              <w:right w:val="single" w:sz="4" w:space="0" w:color="auto"/>
            </w:tcBorders>
            <w:hideMark/>
          </w:tcPr>
          <w:p w14:paraId="14F41E5B" w14:textId="77777777" w:rsidR="00ED17F3" w:rsidRPr="00D75D2E" w:rsidRDefault="00ED17F3" w:rsidP="007108ED">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Analyse de l’impact</w:t>
            </w:r>
          </w:p>
        </w:tc>
        <w:tc>
          <w:tcPr>
            <w:tcW w:w="1175" w:type="dxa"/>
            <w:gridSpan w:val="3"/>
            <w:vMerge w:val="restart"/>
            <w:tcBorders>
              <w:top w:val="single" w:sz="4" w:space="0" w:color="auto"/>
              <w:left w:val="single" w:sz="4" w:space="0" w:color="auto"/>
              <w:bottom w:val="single" w:sz="4" w:space="0" w:color="auto"/>
              <w:right w:val="single" w:sz="4" w:space="0" w:color="auto"/>
            </w:tcBorders>
            <w:hideMark/>
          </w:tcPr>
          <w:p w14:paraId="743D508A" w14:textId="77777777" w:rsidR="00ED17F3" w:rsidRPr="00D75D2E" w:rsidRDefault="00ED17F3" w:rsidP="007108ED">
            <w:pPr>
              <w:pStyle w:val="Default"/>
              <w:rPr>
                <w:rFonts w:eastAsia="Times New Roman"/>
                <w:b/>
                <w:bCs/>
                <w:color w:val="auto"/>
                <w:sz w:val="20"/>
                <w:szCs w:val="20"/>
                <w:lang w:eastAsia="en-US"/>
              </w:rPr>
            </w:pPr>
            <w:r w:rsidRPr="00D75D2E">
              <w:rPr>
                <w:rFonts w:eastAsia="Times New Roman"/>
                <w:b/>
                <w:bCs/>
                <w:color w:val="auto"/>
                <w:sz w:val="20"/>
                <w:szCs w:val="20"/>
                <w:lang w:eastAsia="en-US"/>
              </w:rPr>
              <w:t>Nature :</w:t>
            </w:r>
          </w:p>
          <w:p w14:paraId="6F47A2E9" w14:textId="77777777" w:rsidR="00ED17F3" w:rsidRPr="00D75D2E" w:rsidRDefault="00ED17F3" w:rsidP="007108ED">
            <w:pPr>
              <w:pStyle w:val="Default"/>
              <w:rPr>
                <w:rFonts w:eastAsia="Times New Roman"/>
                <w:bCs/>
                <w:color w:val="auto"/>
                <w:sz w:val="20"/>
                <w:szCs w:val="20"/>
                <w:lang w:eastAsia="en-US"/>
              </w:rPr>
            </w:pPr>
            <w:r w:rsidRPr="00D75D2E">
              <w:rPr>
                <w:rFonts w:eastAsia="Times New Roman"/>
                <w:bCs/>
                <w:color w:val="auto"/>
                <w:sz w:val="20"/>
                <w:szCs w:val="20"/>
                <w:lang w:eastAsia="en-US"/>
              </w:rPr>
              <w:t>Négatif</w:t>
            </w:r>
          </w:p>
        </w:tc>
        <w:tc>
          <w:tcPr>
            <w:tcW w:w="1105" w:type="dxa"/>
            <w:tcBorders>
              <w:top w:val="single" w:sz="4" w:space="0" w:color="auto"/>
              <w:left w:val="single" w:sz="4" w:space="0" w:color="auto"/>
              <w:bottom w:val="single" w:sz="4" w:space="0" w:color="auto"/>
              <w:right w:val="single" w:sz="4" w:space="0" w:color="auto"/>
            </w:tcBorders>
            <w:hideMark/>
          </w:tcPr>
          <w:p w14:paraId="2A41AA53" w14:textId="77777777" w:rsidR="00ED17F3" w:rsidRPr="00D75D2E" w:rsidRDefault="00ED17F3" w:rsidP="007108ED">
            <w:pPr>
              <w:pStyle w:val="Default"/>
              <w:jc w:val="center"/>
              <w:rPr>
                <w:rFonts w:eastAsia="Times New Roman"/>
                <w:b/>
                <w:bCs/>
                <w:color w:val="auto"/>
                <w:sz w:val="20"/>
                <w:szCs w:val="20"/>
                <w:lang w:eastAsia="en-US"/>
              </w:rPr>
            </w:pPr>
            <w:r w:rsidRPr="00D75D2E">
              <w:rPr>
                <w:rFonts w:eastAsia="Times New Roman"/>
                <w:b/>
                <w:bCs/>
                <w:color w:val="auto"/>
                <w:sz w:val="20"/>
                <w:szCs w:val="20"/>
                <w:lang w:eastAsia="en-US"/>
              </w:rPr>
              <w:t>Intensité</w:t>
            </w:r>
          </w:p>
        </w:tc>
        <w:tc>
          <w:tcPr>
            <w:tcW w:w="2202" w:type="dxa"/>
            <w:gridSpan w:val="4"/>
            <w:tcBorders>
              <w:top w:val="single" w:sz="4" w:space="0" w:color="auto"/>
              <w:left w:val="single" w:sz="4" w:space="0" w:color="auto"/>
              <w:bottom w:val="single" w:sz="4" w:space="0" w:color="auto"/>
              <w:right w:val="single" w:sz="4" w:space="0" w:color="auto"/>
            </w:tcBorders>
            <w:hideMark/>
          </w:tcPr>
          <w:p w14:paraId="342FF85C" w14:textId="77777777" w:rsidR="00ED17F3" w:rsidRPr="00D75D2E" w:rsidRDefault="00ED17F3" w:rsidP="007108ED">
            <w:pPr>
              <w:pStyle w:val="Default"/>
              <w:jc w:val="center"/>
              <w:rPr>
                <w:rFonts w:eastAsia="Times New Roman"/>
                <w:b/>
                <w:bCs/>
                <w:color w:val="auto"/>
                <w:sz w:val="20"/>
                <w:szCs w:val="20"/>
                <w:lang w:eastAsia="en-US"/>
              </w:rPr>
            </w:pPr>
            <w:r w:rsidRPr="00D75D2E">
              <w:rPr>
                <w:rFonts w:eastAsia="Times New Roman"/>
                <w:b/>
                <w:bCs/>
                <w:color w:val="auto"/>
                <w:sz w:val="20"/>
                <w:szCs w:val="20"/>
                <w:lang w:eastAsia="en-US"/>
              </w:rPr>
              <w:t>Etendue</w:t>
            </w:r>
          </w:p>
        </w:tc>
        <w:tc>
          <w:tcPr>
            <w:tcW w:w="1256" w:type="dxa"/>
            <w:gridSpan w:val="2"/>
            <w:tcBorders>
              <w:top w:val="single" w:sz="4" w:space="0" w:color="auto"/>
              <w:left w:val="single" w:sz="4" w:space="0" w:color="auto"/>
              <w:bottom w:val="single" w:sz="4" w:space="0" w:color="auto"/>
              <w:right w:val="single" w:sz="4" w:space="0" w:color="auto"/>
            </w:tcBorders>
            <w:hideMark/>
          </w:tcPr>
          <w:p w14:paraId="2F57C2D4" w14:textId="77777777" w:rsidR="00ED17F3" w:rsidRPr="00D75D2E" w:rsidRDefault="00ED17F3" w:rsidP="007108ED">
            <w:pPr>
              <w:pStyle w:val="Default"/>
              <w:jc w:val="center"/>
              <w:rPr>
                <w:rFonts w:eastAsia="Times New Roman"/>
                <w:b/>
                <w:bCs/>
                <w:color w:val="auto"/>
                <w:sz w:val="20"/>
                <w:szCs w:val="20"/>
                <w:lang w:eastAsia="en-US"/>
              </w:rPr>
            </w:pPr>
            <w:r w:rsidRPr="00D75D2E">
              <w:rPr>
                <w:rFonts w:eastAsia="Times New Roman"/>
                <w:b/>
                <w:bCs/>
                <w:color w:val="auto"/>
                <w:sz w:val="20"/>
                <w:szCs w:val="20"/>
                <w:lang w:eastAsia="en-US"/>
              </w:rPr>
              <w:t>Durée</w:t>
            </w:r>
          </w:p>
        </w:tc>
        <w:tc>
          <w:tcPr>
            <w:tcW w:w="1395" w:type="dxa"/>
            <w:gridSpan w:val="2"/>
            <w:tcBorders>
              <w:top w:val="single" w:sz="4" w:space="0" w:color="auto"/>
              <w:left w:val="single" w:sz="4" w:space="0" w:color="auto"/>
              <w:bottom w:val="single" w:sz="4" w:space="0" w:color="auto"/>
              <w:right w:val="single" w:sz="4" w:space="0" w:color="auto"/>
            </w:tcBorders>
            <w:hideMark/>
          </w:tcPr>
          <w:p w14:paraId="54DA1DF3" w14:textId="77777777" w:rsidR="00ED17F3" w:rsidRPr="00D75D2E" w:rsidRDefault="00ED17F3" w:rsidP="007108ED">
            <w:pPr>
              <w:pStyle w:val="Default"/>
              <w:jc w:val="center"/>
              <w:rPr>
                <w:rFonts w:eastAsia="Times New Roman"/>
                <w:b/>
                <w:bCs/>
                <w:color w:val="auto"/>
                <w:sz w:val="20"/>
                <w:szCs w:val="20"/>
                <w:lang w:eastAsia="en-US"/>
              </w:rPr>
            </w:pPr>
            <w:r w:rsidRPr="00D75D2E">
              <w:rPr>
                <w:rFonts w:eastAsia="Times New Roman"/>
                <w:b/>
                <w:bCs/>
                <w:color w:val="auto"/>
                <w:sz w:val="20"/>
                <w:szCs w:val="20"/>
                <w:lang w:eastAsia="en-US"/>
              </w:rPr>
              <w:t>Importance</w:t>
            </w:r>
          </w:p>
        </w:tc>
        <w:tc>
          <w:tcPr>
            <w:tcW w:w="484" w:type="dxa"/>
            <w:tcBorders>
              <w:top w:val="single" w:sz="4" w:space="0" w:color="auto"/>
              <w:left w:val="single" w:sz="4" w:space="0" w:color="auto"/>
              <w:bottom w:val="single" w:sz="4" w:space="0" w:color="auto"/>
              <w:right w:val="single" w:sz="4" w:space="0" w:color="auto"/>
            </w:tcBorders>
          </w:tcPr>
          <w:p w14:paraId="4EBBD270" w14:textId="77777777" w:rsidR="00ED17F3" w:rsidRPr="00420C1B" w:rsidRDefault="00ED17F3" w:rsidP="007108ED">
            <w:pPr>
              <w:spacing w:after="0" w:line="240" w:lineRule="auto"/>
              <w:rPr>
                <w:rFonts w:ascii="Times New Roman" w:hAnsi="Times New Roman"/>
                <w:sz w:val="20"/>
                <w:szCs w:val="20"/>
              </w:rPr>
            </w:pPr>
          </w:p>
        </w:tc>
      </w:tr>
      <w:tr w:rsidR="00D75D2E" w:rsidRPr="00420C1B" w14:paraId="61DE1FBA"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hideMark/>
          </w:tcPr>
          <w:p w14:paraId="02A11DAB" w14:textId="77777777" w:rsidR="00ED17F3" w:rsidRPr="00D75D2E" w:rsidRDefault="00ED17F3" w:rsidP="007108ED">
            <w:pPr>
              <w:spacing w:after="0" w:line="240" w:lineRule="auto"/>
              <w:rPr>
                <w:rFonts w:ascii="Times New Roman" w:eastAsia="Times New Roman" w:hAnsi="Times New Roman"/>
                <w:sz w:val="20"/>
                <w:szCs w:val="20"/>
                <w:lang w:eastAsia="fr-FR"/>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9FBEB94" w14:textId="77777777" w:rsidR="00ED17F3" w:rsidRPr="00D75D2E" w:rsidRDefault="00ED17F3" w:rsidP="007108ED">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hideMark/>
          </w:tcPr>
          <w:p w14:paraId="50899164"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420C1B">
              <w:rPr>
                <w:rFonts w:ascii="Times New Roman" w:hAnsi="Times New Roman"/>
                <w:sz w:val="20"/>
                <w:szCs w:val="20"/>
              </w:rPr>
              <w:t>Forte</w:t>
            </w:r>
          </w:p>
        </w:tc>
        <w:tc>
          <w:tcPr>
            <w:tcW w:w="2202" w:type="dxa"/>
            <w:gridSpan w:val="4"/>
            <w:tcBorders>
              <w:top w:val="single" w:sz="4" w:space="0" w:color="auto"/>
              <w:left w:val="single" w:sz="4" w:space="0" w:color="auto"/>
              <w:bottom w:val="single" w:sz="4" w:space="0" w:color="auto"/>
              <w:right w:val="single" w:sz="4" w:space="0" w:color="auto"/>
            </w:tcBorders>
            <w:vAlign w:val="center"/>
            <w:hideMark/>
          </w:tcPr>
          <w:p w14:paraId="489B8737"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420C1B">
              <w:rPr>
                <w:rFonts w:ascii="Times New Roman" w:hAnsi="Times New Roman"/>
                <w:sz w:val="20"/>
                <w:szCs w:val="20"/>
              </w:rPr>
              <w:t>Locale</w:t>
            </w:r>
          </w:p>
        </w:tc>
        <w:tc>
          <w:tcPr>
            <w:tcW w:w="1256" w:type="dxa"/>
            <w:gridSpan w:val="2"/>
            <w:tcBorders>
              <w:top w:val="single" w:sz="4" w:space="0" w:color="auto"/>
              <w:left w:val="single" w:sz="4" w:space="0" w:color="auto"/>
              <w:bottom w:val="single" w:sz="4" w:space="0" w:color="auto"/>
              <w:right w:val="single" w:sz="4" w:space="0" w:color="auto"/>
            </w:tcBorders>
            <w:vAlign w:val="center"/>
            <w:hideMark/>
          </w:tcPr>
          <w:p w14:paraId="119F1350"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420C1B">
              <w:rPr>
                <w:rFonts w:ascii="Times New Roman" w:hAnsi="Times New Roman"/>
                <w:sz w:val="20"/>
                <w:szCs w:val="20"/>
              </w:rPr>
              <w:t>Longue</w:t>
            </w:r>
          </w:p>
        </w:tc>
        <w:tc>
          <w:tcPr>
            <w:tcW w:w="1395" w:type="dxa"/>
            <w:gridSpan w:val="2"/>
            <w:tcBorders>
              <w:top w:val="single" w:sz="4" w:space="0" w:color="auto"/>
              <w:left w:val="single" w:sz="4" w:space="0" w:color="auto"/>
              <w:bottom w:val="single" w:sz="4" w:space="0" w:color="auto"/>
              <w:right w:val="single" w:sz="4" w:space="0" w:color="auto"/>
            </w:tcBorders>
            <w:vAlign w:val="center"/>
            <w:hideMark/>
          </w:tcPr>
          <w:p w14:paraId="1EB49EBC" w14:textId="77777777" w:rsidR="00ED17F3" w:rsidRPr="00D75D2E" w:rsidRDefault="00ED17F3" w:rsidP="007108ED">
            <w:pPr>
              <w:spacing w:after="0" w:line="240" w:lineRule="auto"/>
              <w:jc w:val="center"/>
              <w:rPr>
                <w:rFonts w:ascii="Times New Roman" w:eastAsia="Times New Roman" w:hAnsi="Times New Roman"/>
                <w:sz w:val="20"/>
                <w:szCs w:val="20"/>
                <w:lang w:eastAsia="fr-FR"/>
              </w:rPr>
            </w:pPr>
            <w:r w:rsidRPr="00420C1B">
              <w:rPr>
                <w:rFonts w:ascii="Times New Roman" w:hAnsi="Times New Roman"/>
                <w:sz w:val="20"/>
                <w:szCs w:val="20"/>
              </w:rPr>
              <w:t>Majeure</w:t>
            </w:r>
          </w:p>
        </w:tc>
        <w:tc>
          <w:tcPr>
            <w:tcW w:w="484" w:type="dxa"/>
            <w:tcBorders>
              <w:top w:val="single" w:sz="4" w:space="0" w:color="auto"/>
              <w:left w:val="single" w:sz="4" w:space="0" w:color="auto"/>
              <w:bottom w:val="single" w:sz="4" w:space="0" w:color="auto"/>
              <w:right w:val="single" w:sz="4" w:space="0" w:color="auto"/>
            </w:tcBorders>
          </w:tcPr>
          <w:p w14:paraId="123A4E64" w14:textId="77777777" w:rsidR="00ED17F3" w:rsidRPr="00420C1B" w:rsidRDefault="00ED17F3" w:rsidP="007108ED">
            <w:pPr>
              <w:spacing w:after="0" w:line="240" w:lineRule="auto"/>
              <w:rPr>
                <w:rFonts w:ascii="Times New Roman" w:hAnsi="Times New Roman"/>
                <w:sz w:val="20"/>
                <w:szCs w:val="20"/>
              </w:rPr>
            </w:pPr>
          </w:p>
        </w:tc>
      </w:tr>
      <w:tr w:rsidR="00D75D2E" w:rsidRPr="00420C1B" w14:paraId="41007FC5"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tcPr>
          <w:p w14:paraId="217414C3" w14:textId="77777777" w:rsidR="00097E9F" w:rsidRPr="00D75D2E" w:rsidRDefault="00097E9F" w:rsidP="00097E9F">
            <w:pPr>
              <w:spacing w:after="0" w:line="240" w:lineRule="auto"/>
              <w:rPr>
                <w:rFonts w:ascii="Times New Roman" w:eastAsia="Times New Roman" w:hAnsi="Times New Roman"/>
                <w:sz w:val="20"/>
                <w:szCs w:val="20"/>
                <w:lang w:eastAsia="fr-FR"/>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7D4D4FC8" w14:textId="77777777" w:rsidR="00097E9F" w:rsidRPr="00D75D2E" w:rsidRDefault="00097E9F" w:rsidP="00097E9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19FAAEC9"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Inter action</w:t>
            </w:r>
          </w:p>
        </w:tc>
        <w:tc>
          <w:tcPr>
            <w:tcW w:w="2202" w:type="dxa"/>
            <w:gridSpan w:val="4"/>
            <w:tcBorders>
              <w:top w:val="single" w:sz="4" w:space="0" w:color="auto"/>
              <w:left w:val="single" w:sz="4" w:space="0" w:color="auto"/>
              <w:bottom w:val="single" w:sz="4" w:space="0" w:color="auto"/>
              <w:right w:val="single" w:sz="4" w:space="0" w:color="auto"/>
            </w:tcBorders>
          </w:tcPr>
          <w:p w14:paraId="411003B3"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Occurrence</w:t>
            </w:r>
          </w:p>
        </w:tc>
        <w:tc>
          <w:tcPr>
            <w:tcW w:w="1256" w:type="dxa"/>
            <w:gridSpan w:val="2"/>
            <w:tcBorders>
              <w:top w:val="single" w:sz="4" w:space="0" w:color="auto"/>
              <w:left w:val="single" w:sz="4" w:space="0" w:color="auto"/>
              <w:bottom w:val="single" w:sz="4" w:space="0" w:color="auto"/>
              <w:right w:val="single" w:sz="4" w:space="0" w:color="auto"/>
            </w:tcBorders>
          </w:tcPr>
          <w:p w14:paraId="1E6ACA16"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Réversibilité</w:t>
            </w:r>
          </w:p>
        </w:tc>
        <w:tc>
          <w:tcPr>
            <w:tcW w:w="1395" w:type="dxa"/>
            <w:gridSpan w:val="2"/>
            <w:tcBorders>
              <w:top w:val="single" w:sz="4" w:space="0" w:color="auto"/>
              <w:left w:val="single" w:sz="4" w:space="0" w:color="auto"/>
              <w:bottom w:val="single" w:sz="4" w:space="0" w:color="auto"/>
              <w:right w:val="single" w:sz="4" w:space="0" w:color="auto"/>
            </w:tcBorders>
          </w:tcPr>
          <w:p w14:paraId="01D78297"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Cumulativité</w:t>
            </w:r>
          </w:p>
        </w:tc>
        <w:tc>
          <w:tcPr>
            <w:tcW w:w="484" w:type="dxa"/>
            <w:tcBorders>
              <w:top w:val="single" w:sz="4" w:space="0" w:color="auto"/>
              <w:left w:val="single" w:sz="4" w:space="0" w:color="auto"/>
              <w:bottom w:val="single" w:sz="4" w:space="0" w:color="auto"/>
              <w:right w:val="single" w:sz="4" w:space="0" w:color="auto"/>
            </w:tcBorders>
          </w:tcPr>
          <w:p w14:paraId="43B9911B" w14:textId="77777777" w:rsidR="00097E9F" w:rsidRPr="00420C1B" w:rsidRDefault="00097E9F" w:rsidP="00097E9F">
            <w:pPr>
              <w:spacing w:after="0" w:line="240" w:lineRule="auto"/>
              <w:rPr>
                <w:rFonts w:ascii="Times New Roman" w:hAnsi="Times New Roman"/>
                <w:sz w:val="20"/>
                <w:szCs w:val="20"/>
              </w:rPr>
            </w:pPr>
          </w:p>
        </w:tc>
      </w:tr>
      <w:tr w:rsidR="00D75D2E" w:rsidRPr="00420C1B" w14:paraId="69333929"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tcPr>
          <w:p w14:paraId="4B327392" w14:textId="77777777" w:rsidR="00097E9F" w:rsidRPr="00D75D2E" w:rsidRDefault="00097E9F" w:rsidP="00097E9F">
            <w:pPr>
              <w:spacing w:after="0" w:line="240" w:lineRule="auto"/>
              <w:rPr>
                <w:rFonts w:ascii="Times New Roman" w:eastAsia="Times New Roman" w:hAnsi="Times New Roman"/>
                <w:sz w:val="20"/>
                <w:szCs w:val="20"/>
                <w:lang w:eastAsia="fr-FR"/>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69887B0F" w14:textId="77777777" w:rsidR="00097E9F" w:rsidRPr="00D75D2E" w:rsidRDefault="00097E9F" w:rsidP="00097E9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33E5D22E"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Cs/>
                <w:sz w:val="20"/>
                <w:szCs w:val="20"/>
              </w:rPr>
              <w:t>Directe</w:t>
            </w:r>
          </w:p>
        </w:tc>
        <w:tc>
          <w:tcPr>
            <w:tcW w:w="2202" w:type="dxa"/>
            <w:gridSpan w:val="4"/>
            <w:tcBorders>
              <w:top w:val="single" w:sz="4" w:space="0" w:color="auto"/>
              <w:left w:val="single" w:sz="4" w:space="0" w:color="auto"/>
              <w:bottom w:val="single" w:sz="4" w:space="0" w:color="auto"/>
              <w:right w:val="single" w:sz="4" w:space="0" w:color="auto"/>
            </w:tcBorders>
            <w:vAlign w:val="center"/>
          </w:tcPr>
          <w:p w14:paraId="12BCFF7D" w14:textId="77777777" w:rsidR="00097E9F" w:rsidRPr="00D75D2E" w:rsidRDefault="00097E9F" w:rsidP="00097E9F">
            <w:pPr>
              <w:spacing w:after="0" w:line="240" w:lineRule="auto"/>
              <w:jc w:val="center"/>
              <w:rPr>
                <w:rFonts w:ascii="Times New Roman" w:hAnsi="Times New Roman"/>
                <w:sz w:val="20"/>
                <w:szCs w:val="20"/>
              </w:rPr>
            </w:pPr>
            <w:r w:rsidRPr="00420C1B">
              <w:rPr>
                <w:rFonts w:ascii="Times New Roman" w:hAnsi="Times New Roman"/>
                <w:sz w:val="20"/>
                <w:szCs w:val="20"/>
              </w:rPr>
              <w:t>Certaine</w:t>
            </w:r>
          </w:p>
        </w:tc>
        <w:tc>
          <w:tcPr>
            <w:tcW w:w="1256" w:type="dxa"/>
            <w:gridSpan w:val="2"/>
            <w:tcBorders>
              <w:top w:val="single" w:sz="4" w:space="0" w:color="auto"/>
              <w:left w:val="single" w:sz="4" w:space="0" w:color="auto"/>
              <w:bottom w:val="single" w:sz="4" w:space="0" w:color="auto"/>
              <w:right w:val="single" w:sz="4" w:space="0" w:color="auto"/>
            </w:tcBorders>
            <w:vAlign w:val="center"/>
          </w:tcPr>
          <w:p w14:paraId="77A20A8A" w14:textId="77777777" w:rsidR="00097E9F" w:rsidRPr="00D75D2E" w:rsidRDefault="00097E9F" w:rsidP="00097E9F">
            <w:pPr>
              <w:spacing w:after="0" w:line="240" w:lineRule="auto"/>
              <w:jc w:val="center"/>
              <w:rPr>
                <w:rFonts w:ascii="Times New Roman" w:hAnsi="Times New Roman"/>
                <w:sz w:val="20"/>
                <w:szCs w:val="20"/>
              </w:rPr>
            </w:pPr>
            <w:r w:rsidRPr="00420C1B">
              <w:rPr>
                <w:rFonts w:ascii="Times New Roman" w:hAnsi="Times New Roman"/>
                <w:sz w:val="20"/>
                <w:szCs w:val="20"/>
              </w:rPr>
              <w:t>Irréversible</w:t>
            </w: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1E7B4FD0" w14:textId="77777777" w:rsidR="00097E9F" w:rsidRPr="00D75D2E" w:rsidRDefault="00097E9F" w:rsidP="00097E9F">
            <w:pPr>
              <w:spacing w:after="0" w:line="240" w:lineRule="auto"/>
              <w:jc w:val="center"/>
              <w:rPr>
                <w:rFonts w:ascii="Times New Roman" w:hAnsi="Times New Roman"/>
                <w:sz w:val="20"/>
                <w:szCs w:val="20"/>
              </w:rPr>
            </w:pPr>
            <w:r w:rsidRPr="00420C1B">
              <w:rPr>
                <w:rFonts w:ascii="Times New Roman" w:hAnsi="Times New Roman"/>
                <w:sz w:val="20"/>
                <w:szCs w:val="20"/>
              </w:rPr>
              <w:t>Non</w:t>
            </w:r>
          </w:p>
        </w:tc>
        <w:tc>
          <w:tcPr>
            <w:tcW w:w="484" w:type="dxa"/>
            <w:tcBorders>
              <w:top w:val="single" w:sz="4" w:space="0" w:color="auto"/>
              <w:left w:val="single" w:sz="4" w:space="0" w:color="auto"/>
              <w:bottom w:val="single" w:sz="4" w:space="0" w:color="auto"/>
              <w:right w:val="single" w:sz="4" w:space="0" w:color="auto"/>
            </w:tcBorders>
          </w:tcPr>
          <w:p w14:paraId="7BB1A5D1" w14:textId="77777777" w:rsidR="00097E9F" w:rsidRPr="00420C1B" w:rsidRDefault="00097E9F" w:rsidP="00097E9F">
            <w:pPr>
              <w:spacing w:after="0" w:line="240" w:lineRule="auto"/>
              <w:rPr>
                <w:rFonts w:ascii="Times New Roman" w:hAnsi="Times New Roman"/>
                <w:sz w:val="20"/>
                <w:szCs w:val="20"/>
              </w:rPr>
            </w:pPr>
          </w:p>
        </w:tc>
      </w:tr>
      <w:tr w:rsidR="00D75D2E" w:rsidRPr="00420C1B" w14:paraId="32A5F122"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tcPr>
          <w:p w14:paraId="6D24CC02" w14:textId="77777777" w:rsidR="00097E9F" w:rsidRPr="00D75D2E" w:rsidRDefault="00097E9F" w:rsidP="00097E9F">
            <w:pPr>
              <w:spacing w:after="0" w:line="240" w:lineRule="auto"/>
              <w:rPr>
                <w:rFonts w:ascii="Times New Roman" w:eastAsia="Times New Roman" w:hAnsi="Times New Roman"/>
                <w:sz w:val="20"/>
                <w:szCs w:val="20"/>
                <w:lang w:eastAsia="fr-FR"/>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37B35B11" w14:textId="77777777" w:rsidR="00097E9F" w:rsidRPr="00D75D2E" w:rsidRDefault="00097E9F" w:rsidP="00097E9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tcPr>
          <w:p w14:paraId="76B97C34"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
                <w:bCs/>
                <w:i/>
                <w:sz w:val="20"/>
                <w:szCs w:val="20"/>
              </w:rPr>
              <w:t>Fréquence</w:t>
            </w:r>
          </w:p>
        </w:tc>
        <w:tc>
          <w:tcPr>
            <w:tcW w:w="2202" w:type="dxa"/>
            <w:gridSpan w:val="4"/>
            <w:tcBorders>
              <w:top w:val="single" w:sz="4" w:space="0" w:color="auto"/>
              <w:left w:val="single" w:sz="4" w:space="0" w:color="auto"/>
              <w:bottom w:val="single" w:sz="4" w:space="0" w:color="auto"/>
              <w:right w:val="single" w:sz="4" w:space="0" w:color="auto"/>
            </w:tcBorders>
            <w:vAlign w:val="center"/>
          </w:tcPr>
          <w:p w14:paraId="44DEDFB6" w14:textId="77777777" w:rsidR="00097E9F" w:rsidRPr="00D75D2E" w:rsidRDefault="00097E9F" w:rsidP="00097E9F">
            <w:pPr>
              <w:spacing w:after="0" w:line="240" w:lineRule="auto"/>
              <w:jc w:val="center"/>
              <w:rPr>
                <w:rFonts w:ascii="Times New Roman" w:hAnsi="Times New Roman"/>
                <w:sz w:val="20"/>
                <w:szCs w:val="20"/>
              </w:rPr>
            </w:pPr>
            <w:r w:rsidRPr="00420C1B">
              <w:rPr>
                <w:rFonts w:ascii="Times New Roman" w:hAnsi="Times New Roman"/>
                <w:b/>
                <w:sz w:val="20"/>
                <w:szCs w:val="20"/>
              </w:rPr>
              <w:t>Valeur</w:t>
            </w:r>
          </w:p>
        </w:tc>
        <w:tc>
          <w:tcPr>
            <w:tcW w:w="1256" w:type="dxa"/>
            <w:gridSpan w:val="2"/>
            <w:tcBorders>
              <w:top w:val="single" w:sz="4" w:space="0" w:color="auto"/>
              <w:left w:val="single" w:sz="4" w:space="0" w:color="auto"/>
              <w:bottom w:val="single" w:sz="4" w:space="0" w:color="auto"/>
              <w:right w:val="single" w:sz="4" w:space="0" w:color="auto"/>
            </w:tcBorders>
            <w:vAlign w:val="center"/>
          </w:tcPr>
          <w:p w14:paraId="353916AB" w14:textId="77777777" w:rsidR="00097E9F" w:rsidRPr="00D75D2E" w:rsidRDefault="00097E9F" w:rsidP="00097E9F">
            <w:pPr>
              <w:spacing w:after="0" w:line="240" w:lineRule="auto"/>
              <w:jc w:val="center"/>
              <w:rPr>
                <w:rFonts w:ascii="Times New Roman" w:hAnsi="Times New Roman"/>
                <w:sz w:val="20"/>
                <w:szCs w:val="20"/>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A2777E2" w14:textId="77777777" w:rsidR="00097E9F" w:rsidRPr="00D75D2E" w:rsidRDefault="00097E9F" w:rsidP="00097E9F">
            <w:pPr>
              <w:spacing w:after="0" w:line="240" w:lineRule="auto"/>
              <w:jc w:val="center"/>
              <w:rPr>
                <w:rFonts w:ascii="Times New Roman" w:hAnsi="Times New Roman"/>
                <w:sz w:val="20"/>
                <w:szCs w:val="20"/>
              </w:rPr>
            </w:pPr>
          </w:p>
        </w:tc>
        <w:tc>
          <w:tcPr>
            <w:tcW w:w="484" w:type="dxa"/>
            <w:tcBorders>
              <w:top w:val="single" w:sz="4" w:space="0" w:color="auto"/>
              <w:left w:val="single" w:sz="4" w:space="0" w:color="auto"/>
              <w:bottom w:val="single" w:sz="4" w:space="0" w:color="auto"/>
              <w:right w:val="single" w:sz="4" w:space="0" w:color="auto"/>
            </w:tcBorders>
          </w:tcPr>
          <w:p w14:paraId="072F0A2C" w14:textId="77777777" w:rsidR="00097E9F" w:rsidRPr="00420C1B" w:rsidRDefault="00097E9F" w:rsidP="00097E9F">
            <w:pPr>
              <w:spacing w:after="0" w:line="240" w:lineRule="auto"/>
              <w:rPr>
                <w:rFonts w:ascii="Times New Roman" w:hAnsi="Times New Roman"/>
                <w:sz w:val="20"/>
                <w:szCs w:val="20"/>
              </w:rPr>
            </w:pPr>
          </w:p>
        </w:tc>
      </w:tr>
      <w:tr w:rsidR="00D75D2E" w:rsidRPr="00420C1B" w14:paraId="38D5119F"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tcPr>
          <w:p w14:paraId="23207334" w14:textId="77777777" w:rsidR="00097E9F" w:rsidRPr="00D75D2E" w:rsidRDefault="00097E9F" w:rsidP="00097E9F">
            <w:pPr>
              <w:spacing w:after="0" w:line="240" w:lineRule="auto"/>
              <w:rPr>
                <w:rFonts w:ascii="Times New Roman" w:eastAsia="Times New Roman" w:hAnsi="Times New Roman"/>
                <w:sz w:val="20"/>
                <w:szCs w:val="20"/>
                <w:lang w:eastAsia="fr-FR"/>
              </w:rPr>
            </w:pPr>
          </w:p>
        </w:tc>
        <w:tc>
          <w:tcPr>
            <w:tcW w:w="0" w:type="auto"/>
            <w:gridSpan w:val="3"/>
            <w:tcBorders>
              <w:top w:val="single" w:sz="4" w:space="0" w:color="auto"/>
              <w:left w:val="single" w:sz="4" w:space="0" w:color="auto"/>
              <w:bottom w:val="single" w:sz="4" w:space="0" w:color="auto"/>
              <w:right w:val="single" w:sz="4" w:space="0" w:color="auto"/>
            </w:tcBorders>
            <w:vAlign w:val="center"/>
          </w:tcPr>
          <w:p w14:paraId="2EF0612B" w14:textId="77777777" w:rsidR="00097E9F" w:rsidRPr="00D75D2E" w:rsidRDefault="00097E9F" w:rsidP="00097E9F">
            <w:pPr>
              <w:spacing w:after="0" w:line="240" w:lineRule="auto"/>
              <w:rPr>
                <w:rFonts w:ascii="Times New Roman" w:eastAsia="Times New Roman" w:hAnsi="Times New Roman"/>
                <w:bCs/>
                <w:sz w:val="20"/>
                <w:szCs w:val="20"/>
              </w:rPr>
            </w:pPr>
          </w:p>
        </w:tc>
        <w:tc>
          <w:tcPr>
            <w:tcW w:w="1105" w:type="dxa"/>
            <w:tcBorders>
              <w:top w:val="single" w:sz="4" w:space="0" w:color="auto"/>
              <w:left w:val="single" w:sz="4" w:space="0" w:color="auto"/>
              <w:bottom w:val="single" w:sz="4" w:space="0" w:color="auto"/>
              <w:right w:val="single" w:sz="4" w:space="0" w:color="auto"/>
            </w:tcBorders>
            <w:vAlign w:val="center"/>
          </w:tcPr>
          <w:p w14:paraId="56CC68D7" w14:textId="77777777" w:rsidR="00097E9F" w:rsidRPr="00D75D2E" w:rsidRDefault="00097E9F" w:rsidP="00097E9F">
            <w:pPr>
              <w:spacing w:after="0" w:line="240" w:lineRule="auto"/>
              <w:jc w:val="center"/>
              <w:rPr>
                <w:rFonts w:ascii="Times New Roman" w:hAnsi="Times New Roman"/>
                <w:sz w:val="20"/>
                <w:szCs w:val="20"/>
              </w:rPr>
            </w:pPr>
            <w:r w:rsidRPr="00420C1B">
              <w:rPr>
                <w:rFonts w:ascii="Times New Roman" w:hAnsi="Times New Roman"/>
                <w:sz w:val="20"/>
                <w:szCs w:val="20"/>
              </w:rPr>
              <w:t>Continue</w:t>
            </w:r>
          </w:p>
        </w:tc>
        <w:tc>
          <w:tcPr>
            <w:tcW w:w="2202" w:type="dxa"/>
            <w:gridSpan w:val="4"/>
            <w:tcBorders>
              <w:top w:val="single" w:sz="4" w:space="0" w:color="auto"/>
              <w:left w:val="single" w:sz="4" w:space="0" w:color="auto"/>
              <w:bottom w:val="single" w:sz="4" w:space="0" w:color="auto"/>
              <w:right w:val="single" w:sz="4" w:space="0" w:color="auto"/>
            </w:tcBorders>
            <w:vAlign w:val="center"/>
          </w:tcPr>
          <w:p w14:paraId="7ADEDF1C" w14:textId="77777777" w:rsidR="00097E9F" w:rsidRPr="00D75D2E" w:rsidRDefault="00097E9F" w:rsidP="00097E9F">
            <w:pPr>
              <w:spacing w:after="0" w:line="240" w:lineRule="auto"/>
              <w:jc w:val="center"/>
              <w:rPr>
                <w:rFonts w:ascii="Times New Roman" w:hAnsi="Times New Roman"/>
                <w:sz w:val="20"/>
                <w:szCs w:val="20"/>
              </w:rPr>
            </w:pPr>
            <w:r w:rsidRPr="00D75D2E">
              <w:rPr>
                <w:rFonts w:ascii="Times New Roman" w:eastAsia="Times New Roman" w:hAnsi="Times New Roman"/>
                <w:bCs/>
                <w:sz w:val="20"/>
                <w:szCs w:val="20"/>
              </w:rPr>
              <w:t>Economique et  Socio culturel</w:t>
            </w:r>
          </w:p>
        </w:tc>
        <w:tc>
          <w:tcPr>
            <w:tcW w:w="1256" w:type="dxa"/>
            <w:gridSpan w:val="2"/>
            <w:tcBorders>
              <w:top w:val="single" w:sz="4" w:space="0" w:color="auto"/>
              <w:left w:val="single" w:sz="4" w:space="0" w:color="auto"/>
              <w:bottom w:val="single" w:sz="4" w:space="0" w:color="auto"/>
              <w:right w:val="single" w:sz="4" w:space="0" w:color="auto"/>
            </w:tcBorders>
            <w:vAlign w:val="center"/>
          </w:tcPr>
          <w:p w14:paraId="532241A9" w14:textId="77777777" w:rsidR="00097E9F" w:rsidRPr="00D75D2E" w:rsidRDefault="00097E9F" w:rsidP="00097E9F">
            <w:pPr>
              <w:spacing w:after="0" w:line="240" w:lineRule="auto"/>
              <w:jc w:val="center"/>
              <w:rPr>
                <w:rFonts w:ascii="Times New Roman" w:hAnsi="Times New Roman"/>
                <w:sz w:val="20"/>
                <w:szCs w:val="20"/>
              </w:rPr>
            </w:pPr>
          </w:p>
        </w:tc>
        <w:tc>
          <w:tcPr>
            <w:tcW w:w="1395" w:type="dxa"/>
            <w:gridSpan w:val="2"/>
            <w:tcBorders>
              <w:top w:val="single" w:sz="4" w:space="0" w:color="auto"/>
              <w:left w:val="single" w:sz="4" w:space="0" w:color="auto"/>
              <w:bottom w:val="single" w:sz="4" w:space="0" w:color="auto"/>
              <w:right w:val="single" w:sz="4" w:space="0" w:color="auto"/>
            </w:tcBorders>
            <w:vAlign w:val="center"/>
          </w:tcPr>
          <w:p w14:paraId="643DE069" w14:textId="77777777" w:rsidR="00097E9F" w:rsidRPr="00D75D2E" w:rsidRDefault="00097E9F" w:rsidP="00097E9F">
            <w:pPr>
              <w:spacing w:after="0" w:line="240" w:lineRule="auto"/>
              <w:jc w:val="center"/>
              <w:rPr>
                <w:rFonts w:ascii="Times New Roman" w:hAnsi="Times New Roman"/>
                <w:sz w:val="20"/>
                <w:szCs w:val="20"/>
              </w:rPr>
            </w:pPr>
          </w:p>
        </w:tc>
        <w:tc>
          <w:tcPr>
            <w:tcW w:w="484" w:type="dxa"/>
            <w:tcBorders>
              <w:top w:val="single" w:sz="4" w:space="0" w:color="auto"/>
              <w:left w:val="single" w:sz="4" w:space="0" w:color="auto"/>
              <w:bottom w:val="single" w:sz="4" w:space="0" w:color="auto"/>
              <w:right w:val="single" w:sz="4" w:space="0" w:color="auto"/>
            </w:tcBorders>
          </w:tcPr>
          <w:p w14:paraId="34D70B30" w14:textId="77777777" w:rsidR="00097E9F" w:rsidRPr="00420C1B" w:rsidRDefault="00097E9F" w:rsidP="00097E9F">
            <w:pPr>
              <w:spacing w:after="0" w:line="240" w:lineRule="auto"/>
              <w:rPr>
                <w:rFonts w:ascii="Times New Roman" w:hAnsi="Times New Roman"/>
                <w:sz w:val="20"/>
                <w:szCs w:val="20"/>
              </w:rPr>
            </w:pPr>
          </w:p>
        </w:tc>
      </w:tr>
      <w:tr w:rsidR="00D75D2E" w:rsidRPr="00420C1B" w14:paraId="5B56B5D3" w14:textId="77777777" w:rsidTr="00DC7776">
        <w:trPr>
          <w:jc w:val="center"/>
        </w:trPr>
        <w:tc>
          <w:tcPr>
            <w:tcW w:w="2425" w:type="dxa"/>
            <w:gridSpan w:val="3"/>
            <w:vMerge/>
            <w:tcBorders>
              <w:top w:val="single" w:sz="4" w:space="0" w:color="auto"/>
              <w:left w:val="single" w:sz="4" w:space="0" w:color="auto"/>
              <w:bottom w:val="single" w:sz="4" w:space="0" w:color="auto"/>
              <w:right w:val="single" w:sz="4" w:space="0" w:color="auto"/>
            </w:tcBorders>
            <w:vAlign w:val="center"/>
            <w:hideMark/>
          </w:tcPr>
          <w:p w14:paraId="6111CACA" w14:textId="77777777" w:rsidR="00ED17F3" w:rsidRPr="00D75D2E" w:rsidRDefault="00ED17F3" w:rsidP="007108ED">
            <w:pPr>
              <w:spacing w:after="0" w:line="240" w:lineRule="auto"/>
              <w:rPr>
                <w:rFonts w:ascii="Times New Roman" w:eastAsia="Times New Roman" w:hAnsi="Times New Roman"/>
                <w:sz w:val="20"/>
                <w:szCs w:val="20"/>
                <w:lang w:eastAsia="fr-FR"/>
              </w:rPr>
            </w:pPr>
          </w:p>
        </w:tc>
        <w:tc>
          <w:tcPr>
            <w:tcW w:w="1175" w:type="dxa"/>
            <w:gridSpan w:val="3"/>
            <w:tcBorders>
              <w:top w:val="single" w:sz="4" w:space="0" w:color="auto"/>
              <w:left w:val="single" w:sz="4" w:space="0" w:color="auto"/>
              <w:bottom w:val="single" w:sz="4" w:space="0" w:color="auto"/>
              <w:right w:val="single" w:sz="4" w:space="0" w:color="auto"/>
            </w:tcBorders>
            <w:hideMark/>
          </w:tcPr>
          <w:p w14:paraId="029D92E9" w14:textId="77777777" w:rsidR="00ED17F3" w:rsidRPr="00D75D2E" w:rsidRDefault="00ED17F3" w:rsidP="007108ED">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Analyse</w:t>
            </w:r>
          </w:p>
        </w:tc>
        <w:tc>
          <w:tcPr>
            <w:tcW w:w="6442" w:type="dxa"/>
            <w:gridSpan w:val="10"/>
            <w:tcBorders>
              <w:top w:val="single" w:sz="4" w:space="0" w:color="auto"/>
              <w:left w:val="single" w:sz="4" w:space="0" w:color="auto"/>
              <w:bottom w:val="single" w:sz="4" w:space="0" w:color="auto"/>
              <w:right w:val="single" w:sz="4" w:space="0" w:color="auto"/>
            </w:tcBorders>
            <w:hideMark/>
          </w:tcPr>
          <w:p w14:paraId="72199ADB" w14:textId="77777777" w:rsidR="00ED17F3" w:rsidRPr="00D75D2E" w:rsidRDefault="009F556D" w:rsidP="005726A1">
            <w:pPr>
              <w:autoSpaceDE w:val="0"/>
              <w:autoSpaceDN w:val="0"/>
              <w:adjustRightInd w:val="0"/>
              <w:spacing w:after="0" w:line="240" w:lineRule="auto"/>
              <w:jc w:val="both"/>
              <w:rPr>
                <w:rFonts w:ascii="Times New Roman" w:hAnsi="Times New Roman"/>
                <w:sz w:val="20"/>
                <w:szCs w:val="20"/>
              </w:rPr>
            </w:pPr>
            <w:r w:rsidRPr="00D75D2E">
              <w:rPr>
                <w:rFonts w:ascii="Times New Roman" w:hAnsi="Times New Roman"/>
                <w:sz w:val="20"/>
                <w:szCs w:val="20"/>
              </w:rPr>
              <w:t>La libération des emprises des travaux affectera des biens domaniaux des PAP.  En effet, la libération des emprises occasionnera</w:t>
            </w:r>
            <w:r w:rsidR="00EA0B6A" w:rsidRPr="00D75D2E">
              <w:rPr>
                <w:rFonts w:ascii="Times New Roman" w:hAnsi="Times New Roman"/>
                <w:sz w:val="20"/>
                <w:szCs w:val="20"/>
              </w:rPr>
              <w:t xml:space="preserve"> l’amputation de </w:t>
            </w:r>
            <w:r w:rsidR="001D7D1C" w:rsidRPr="00D75D2E">
              <w:rPr>
                <w:rFonts w:ascii="Times New Roman" w:hAnsi="Times New Roman"/>
                <w:sz w:val="20"/>
                <w:szCs w:val="20"/>
              </w:rPr>
              <w:t>16</w:t>
            </w:r>
            <w:r w:rsidR="00EA0B6A" w:rsidRPr="00D75D2E">
              <w:rPr>
                <w:rFonts w:ascii="Times New Roman" w:hAnsi="Times New Roman"/>
                <w:sz w:val="20"/>
                <w:szCs w:val="20"/>
              </w:rPr>
              <w:t xml:space="preserve"> parcelles d’habitation de lopins de terres soit</w:t>
            </w:r>
            <w:r w:rsidR="002924F6" w:rsidRPr="00D75D2E">
              <w:rPr>
                <w:rFonts w:ascii="Times New Roman" w:hAnsi="Times New Roman"/>
                <w:sz w:val="20"/>
                <w:szCs w:val="20"/>
              </w:rPr>
              <w:t xml:space="preserve"> pour abriter des cabines soit </w:t>
            </w:r>
            <w:r w:rsidR="001D7D1C" w:rsidRPr="00D75D2E">
              <w:rPr>
                <w:rFonts w:ascii="Times New Roman" w:hAnsi="Times New Roman"/>
                <w:sz w:val="20"/>
                <w:szCs w:val="20"/>
              </w:rPr>
              <w:t>en termes de</w:t>
            </w:r>
            <w:r w:rsidR="002924F6" w:rsidRPr="00D75D2E">
              <w:rPr>
                <w:rFonts w:ascii="Times New Roman" w:hAnsi="Times New Roman"/>
                <w:sz w:val="20"/>
                <w:szCs w:val="20"/>
              </w:rPr>
              <w:t xml:space="preserve"> surplombement du réseau malt. A cela s’ajoute</w:t>
            </w:r>
            <w:r w:rsidRPr="00D75D2E">
              <w:rPr>
                <w:rFonts w:ascii="Times New Roman" w:hAnsi="Times New Roman"/>
                <w:sz w:val="20"/>
                <w:szCs w:val="20"/>
              </w:rPr>
              <w:t xml:space="preserve"> la perte de </w:t>
            </w:r>
            <w:r w:rsidR="001D7D1C" w:rsidRPr="00D75D2E">
              <w:rPr>
                <w:rFonts w:ascii="Times New Roman" w:hAnsi="Times New Roman"/>
                <w:sz w:val="20"/>
                <w:szCs w:val="20"/>
              </w:rPr>
              <w:t>154</w:t>
            </w:r>
            <w:r w:rsidRPr="00D75D2E">
              <w:rPr>
                <w:rFonts w:ascii="Times New Roman" w:hAnsi="Times New Roman"/>
                <w:sz w:val="20"/>
                <w:szCs w:val="20"/>
              </w:rPr>
              <w:t xml:space="preserve"> bâtis privé</w:t>
            </w:r>
            <w:r w:rsidR="00070EB9" w:rsidRPr="00D75D2E">
              <w:rPr>
                <w:rFonts w:ascii="Times New Roman" w:hAnsi="Times New Roman"/>
                <w:sz w:val="20"/>
                <w:szCs w:val="20"/>
              </w:rPr>
              <w:t>s</w:t>
            </w:r>
            <w:r w:rsidRPr="00D75D2E">
              <w:rPr>
                <w:rFonts w:ascii="Times New Roman" w:hAnsi="Times New Roman"/>
                <w:sz w:val="20"/>
                <w:szCs w:val="20"/>
              </w:rPr>
              <w:t xml:space="preserve"> </w:t>
            </w:r>
            <w:r w:rsidR="001D7D1C" w:rsidRPr="00D75D2E">
              <w:rPr>
                <w:rFonts w:ascii="Times New Roman" w:hAnsi="Times New Roman"/>
                <w:sz w:val="20"/>
                <w:szCs w:val="20"/>
              </w:rPr>
              <w:t>par les travaux pour l’ensemble des communes concernées.  Ces bâtisses sont constituées de douches, de toilettes, de hangars, de kiosque, de maison en banco, de maison en parpaing, de maison en planches et de Maison en tôles</w:t>
            </w:r>
            <w:r w:rsidRPr="00D75D2E">
              <w:rPr>
                <w:rFonts w:ascii="Times New Roman" w:hAnsi="Times New Roman"/>
                <w:sz w:val="20"/>
                <w:szCs w:val="20"/>
              </w:rPr>
              <w:t>.</w:t>
            </w:r>
            <w:r w:rsidR="00E7291D" w:rsidRPr="00D75D2E">
              <w:rPr>
                <w:rFonts w:ascii="Times New Roman" w:hAnsi="Times New Roman"/>
                <w:sz w:val="20"/>
                <w:szCs w:val="20"/>
              </w:rPr>
              <w:t xml:space="preserve"> </w:t>
            </w:r>
            <w:r w:rsidR="00DC7776" w:rsidRPr="00D75D2E">
              <w:rPr>
                <w:rFonts w:ascii="Times New Roman" w:hAnsi="Times New Roman"/>
                <w:sz w:val="20"/>
                <w:szCs w:val="20"/>
              </w:rPr>
              <w:t xml:space="preserve">L’impact négatif est considéré de moyenne intensité, d’étendue locale et de durée longue et donc d’importance relative jugée majeure. </w:t>
            </w:r>
            <w:r w:rsidRPr="00D75D2E">
              <w:rPr>
                <w:rFonts w:ascii="Times New Roman" w:hAnsi="Times New Roman"/>
                <w:sz w:val="20"/>
                <w:szCs w:val="20"/>
              </w:rPr>
              <w:t xml:space="preserve"> </w:t>
            </w:r>
          </w:p>
        </w:tc>
      </w:tr>
      <w:tr w:rsidR="00D75D2E" w:rsidRPr="00420C1B" w14:paraId="3E871D21" w14:textId="77777777" w:rsidTr="00DC7776">
        <w:trPr>
          <w:jc w:val="center"/>
        </w:trPr>
        <w:tc>
          <w:tcPr>
            <w:tcW w:w="4705" w:type="dxa"/>
            <w:gridSpan w:val="7"/>
            <w:tcBorders>
              <w:top w:val="single" w:sz="4" w:space="0" w:color="auto"/>
              <w:left w:val="single" w:sz="4" w:space="0" w:color="auto"/>
              <w:bottom w:val="single" w:sz="4" w:space="0" w:color="auto"/>
              <w:right w:val="single" w:sz="4" w:space="0" w:color="auto"/>
            </w:tcBorders>
            <w:hideMark/>
          </w:tcPr>
          <w:p w14:paraId="288A5092" w14:textId="77777777" w:rsidR="00ED17F3" w:rsidRPr="00D75D2E" w:rsidRDefault="00ED17F3" w:rsidP="007108ED">
            <w:pPr>
              <w:spacing w:after="0" w:line="240" w:lineRule="auto"/>
              <w:jc w:val="both"/>
              <w:rPr>
                <w:rFonts w:ascii="Times New Roman" w:eastAsia="Times New Roman" w:hAnsi="Times New Roman"/>
                <w:b/>
                <w:sz w:val="20"/>
                <w:szCs w:val="20"/>
                <w:lang w:eastAsia="fr-FR"/>
              </w:rPr>
            </w:pPr>
            <w:r w:rsidRPr="00420C1B">
              <w:rPr>
                <w:rFonts w:ascii="Times New Roman" w:hAnsi="Times New Roman"/>
                <w:b/>
                <w:sz w:val="20"/>
                <w:szCs w:val="20"/>
              </w:rPr>
              <w:t xml:space="preserve">Titre de la mesure d’atténuation : </w:t>
            </w:r>
          </w:p>
        </w:tc>
        <w:tc>
          <w:tcPr>
            <w:tcW w:w="5337" w:type="dxa"/>
            <w:gridSpan w:val="9"/>
            <w:tcBorders>
              <w:top w:val="single" w:sz="4" w:space="0" w:color="auto"/>
              <w:left w:val="single" w:sz="4" w:space="0" w:color="auto"/>
              <w:bottom w:val="single" w:sz="4" w:space="0" w:color="auto"/>
              <w:right w:val="single" w:sz="4" w:space="0" w:color="auto"/>
            </w:tcBorders>
            <w:hideMark/>
          </w:tcPr>
          <w:p w14:paraId="5D41C09D" w14:textId="1411D4CE" w:rsidR="00ED17F3" w:rsidRPr="00D75D2E" w:rsidRDefault="00ED17F3" w:rsidP="007108ED">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Mise en œuvre d’un plan d’action de réinstallation</w:t>
            </w:r>
            <w:r w:rsidR="005079D2" w:rsidRPr="00420C1B">
              <w:rPr>
                <w:rFonts w:ascii="Times New Roman" w:hAnsi="Times New Roman"/>
                <w:sz w:val="20"/>
                <w:szCs w:val="20"/>
              </w:rPr>
              <w:t xml:space="preserve"> et d</w:t>
            </w:r>
            <w:r w:rsidR="00FC4498" w:rsidRPr="00420C1B">
              <w:rPr>
                <w:rFonts w:ascii="Times New Roman" w:hAnsi="Times New Roman"/>
                <w:sz w:val="20"/>
                <w:szCs w:val="20"/>
              </w:rPr>
              <w:t>’</w:t>
            </w:r>
            <w:r w:rsidR="005079D2" w:rsidRPr="00420C1B">
              <w:rPr>
                <w:rFonts w:ascii="Times New Roman" w:hAnsi="Times New Roman"/>
                <w:sz w:val="20"/>
                <w:szCs w:val="20"/>
              </w:rPr>
              <w:t xml:space="preserve">indemnisation </w:t>
            </w:r>
            <w:r w:rsidR="008C1316" w:rsidRPr="00215867">
              <w:rPr>
                <w:rFonts w:ascii="Times New Roman" w:hAnsi="Times New Roman"/>
                <w:sz w:val="20"/>
                <w:szCs w:val="20"/>
              </w:rPr>
              <w:t>incluant le plan de restauration des moyens de subsistance afin de compenser la perte des activités génératrices de revenus (AGR)</w:t>
            </w:r>
          </w:p>
        </w:tc>
      </w:tr>
      <w:tr w:rsidR="00D75D2E" w:rsidRPr="00420C1B" w14:paraId="1C0DB666" w14:textId="77777777" w:rsidTr="00DC7776">
        <w:trPr>
          <w:jc w:val="center"/>
        </w:trPr>
        <w:tc>
          <w:tcPr>
            <w:tcW w:w="4705" w:type="dxa"/>
            <w:gridSpan w:val="7"/>
            <w:tcBorders>
              <w:top w:val="single" w:sz="4" w:space="0" w:color="auto"/>
              <w:left w:val="single" w:sz="4" w:space="0" w:color="auto"/>
              <w:bottom w:val="single" w:sz="4" w:space="0" w:color="auto"/>
              <w:right w:val="single" w:sz="4" w:space="0" w:color="auto"/>
            </w:tcBorders>
            <w:hideMark/>
          </w:tcPr>
          <w:p w14:paraId="60754983" w14:textId="77777777" w:rsidR="00ED17F3" w:rsidRPr="00D75D2E"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420C1B">
              <w:rPr>
                <w:rFonts w:ascii="Times New Roman" w:hAnsi="Times New Roman"/>
                <w:b/>
                <w:sz w:val="20"/>
                <w:szCs w:val="20"/>
              </w:rPr>
              <w:t>Objectif de la mesure d’atténuation</w:t>
            </w:r>
            <w:r w:rsidRPr="00420C1B">
              <w:rPr>
                <w:rFonts w:ascii="Times New Roman" w:hAnsi="Times New Roman"/>
                <w:sz w:val="20"/>
                <w:szCs w:val="20"/>
              </w:rPr>
              <w:t> : Avoir l’adhésion des parties prenantes pour la mise en œuvre efficiente du projet</w:t>
            </w:r>
          </w:p>
        </w:tc>
        <w:tc>
          <w:tcPr>
            <w:tcW w:w="5337" w:type="dxa"/>
            <w:gridSpan w:val="9"/>
            <w:tcBorders>
              <w:top w:val="single" w:sz="4" w:space="0" w:color="auto"/>
              <w:left w:val="single" w:sz="4" w:space="0" w:color="auto"/>
              <w:bottom w:val="single" w:sz="4" w:space="0" w:color="auto"/>
              <w:right w:val="single" w:sz="4" w:space="0" w:color="auto"/>
            </w:tcBorders>
            <w:hideMark/>
          </w:tcPr>
          <w:p w14:paraId="0E920E38" w14:textId="77777777" w:rsidR="00ED17F3" w:rsidRPr="00D75D2E" w:rsidRDefault="00ED17F3" w:rsidP="007108ED">
            <w:pPr>
              <w:spacing w:after="0" w:line="240" w:lineRule="auto"/>
              <w:rPr>
                <w:rFonts w:ascii="Times New Roman" w:eastAsia="Times New Roman" w:hAnsi="Times New Roman"/>
                <w:sz w:val="20"/>
                <w:szCs w:val="20"/>
                <w:lang w:eastAsia="fr-FR"/>
              </w:rPr>
            </w:pPr>
            <w:r w:rsidRPr="00420C1B">
              <w:rPr>
                <w:rFonts w:ascii="Times New Roman" w:hAnsi="Times New Roman"/>
                <w:b/>
                <w:sz w:val="20"/>
                <w:szCs w:val="20"/>
                <w:u w:val="single"/>
              </w:rPr>
              <w:t>Description</w:t>
            </w:r>
            <w:r w:rsidRPr="00420C1B">
              <w:rPr>
                <w:rFonts w:ascii="Times New Roman" w:hAnsi="Times New Roman"/>
                <w:sz w:val="20"/>
                <w:szCs w:val="20"/>
              </w:rPr>
              <w:t xml:space="preserve"> : </w:t>
            </w:r>
          </w:p>
          <w:p w14:paraId="143835D7" w14:textId="77777777" w:rsidR="00ED17F3" w:rsidRPr="00420C1B" w:rsidRDefault="00070EB9" w:rsidP="008C79F0">
            <w:pPr>
              <w:numPr>
                <w:ilvl w:val="0"/>
                <w:numId w:val="33"/>
              </w:numPr>
              <w:autoSpaceDE w:val="0"/>
              <w:autoSpaceDN w:val="0"/>
              <w:adjustRightInd w:val="0"/>
              <w:spacing w:after="0" w:line="240" w:lineRule="auto"/>
              <w:ind w:left="150" w:hanging="142"/>
              <w:jc w:val="both"/>
              <w:rPr>
                <w:rFonts w:ascii="Times New Roman" w:hAnsi="Times New Roman"/>
                <w:sz w:val="20"/>
                <w:szCs w:val="20"/>
              </w:rPr>
            </w:pPr>
            <w:r w:rsidRPr="00420C1B">
              <w:rPr>
                <w:rFonts w:ascii="Times New Roman" w:hAnsi="Times New Roman"/>
                <w:sz w:val="20"/>
                <w:szCs w:val="20"/>
              </w:rPr>
              <w:t>i</w:t>
            </w:r>
            <w:r w:rsidR="00ED17F3" w:rsidRPr="00420C1B">
              <w:rPr>
                <w:rFonts w:ascii="Times New Roman" w:hAnsi="Times New Roman"/>
                <w:sz w:val="20"/>
                <w:szCs w:val="20"/>
              </w:rPr>
              <w:t>n</w:t>
            </w:r>
            <w:r w:rsidRPr="00420C1B">
              <w:rPr>
                <w:rFonts w:ascii="Times New Roman" w:hAnsi="Times New Roman"/>
                <w:sz w:val="20"/>
                <w:szCs w:val="20"/>
              </w:rPr>
              <w:t>ventorier et évaluer les bâti</w:t>
            </w:r>
            <w:r w:rsidR="00ED17F3" w:rsidRPr="00420C1B">
              <w:rPr>
                <w:rFonts w:ascii="Times New Roman" w:hAnsi="Times New Roman"/>
                <w:sz w:val="20"/>
                <w:szCs w:val="20"/>
              </w:rPr>
              <w:t>s ;</w:t>
            </w:r>
          </w:p>
          <w:p w14:paraId="4B76351F" w14:textId="77777777" w:rsidR="00ED17F3" w:rsidRPr="00420C1B" w:rsidRDefault="00070EB9" w:rsidP="008C79F0">
            <w:pPr>
              <w:numPr>
                <w:ilvl w:val="0"/>
                <w:numId w:val="33"/>
              </w:numPr>
              <w:autoSpaceDE w:val="0"/>
              <w:autoSpaceDN w:val="0"/>
              <w:adjustRightInd w:val="0"/>
              <w:spacing w:after="0" w:line="240" w:lineRule="auto"/>
              <w:ind w:left="150" w:hanging="142"/>
              <w:jc w:val="both"/>
              <w:rPr>
                <w:rFonts w:ascii="Times New Roman" w:hAnsi="Times New Roman"/>
                <w:sz w:val="20"/>
                <w:szCs w:val="20"/>
              </w:rPr>
            </w:pPr>
            <w:r w:rsidRPr="00420C1B">
              <w:rPr>
                <w:rFonts w:ascii="Times New Roman" w:hAnsi="Times New Roman"/>
                <w:sz w:val="20"/>
                <w:szCs w:val="20"/>
              </w:rPr>
              <w:t>n</w:t>
            </w:r>
            <w:r w:rsidR="00ED17F3" w:rsidRPr="00420C1B">
              <w:rPr>
                <w:rFonts w:ascii="Times New Roman" w:hAnsi="Times New Roman"/>
                <w:sz w:val="20"/>
                <w:szCs w:val="20"/>
              </w:rPr>
              <w:t>égocier les PV d’accord ;</w:t>
            </w:r>
          </w:p>
          <w:p w14:paraId="10E0D310" w14:textId="77777777" w:rsidR="00ED17F3" w:rsidRPr="00D75D2E" w:rsidRDefault="00070EB9" w:rsidP="008C79F0">
            <w:pPr>
              <w:numPr>
                <w:ilvl w:val="0"/>
                <w:numId w:val="33"/>
              </w:numPr>
              <w:autoSpaceDE w:val="0"/>
              <w:autoSpaceDN w:val="0"/>
              <w:adjustRightInd w:val="0"/>
              <w:spacing w:after="0" w:line="240" w:lineRule="auto"/>
              <w:ind w:left="150" w:hanging="142"/>
              <w:jc w:val="both"/>
              <w:rPr>
                <w:rFonts w:ascii="Times New Roman" w:eastAsia="Times New Roman" w:hAnsi="Times New Roman"/>
                <w:sz w:val="20"/>
                <w:szCs w:val="20"/>
                <w:lang w:eastAsia="fr-FR"/>
              </w:rPr>
            </w:pPr>
            <w:r w:rsidRPr="00420C1B">
              <w:rPr>
                <w:rFonts w:ascii="Times New Roman" w:hAnsi="Times New Roman"/>
                <w:sz w:val="20"/>
                <w:szCs w:val="20"/>
              </w:rPr>
              <w:t>p</w:t>
            </w:r>
            <w:r w:rsidR="00ED17F3" w:rsidRPr="00420C1B">
              <w:rPr>
                <w:rFonts w:ascii="Times New Roman" w:hAnsi="Times New Roman"/>
                <w:sz w:val="20"/>
                <w:szCs w:val="20"/>
              </w:rPr>
              <w:t>rocéder au dédommagement des pertes</w:t>
            </w:r>
          </w:p>
        </w:tc>
      </w:tr>
      <w:tr w:rsidR="00D75D2E" w:rsidRPr="00420C1B" w14:paraId="62507247" w14:textId="77777777" w:rsidTr="00DC7776">
        <w:trPr>
          <w:jc w:val="center"/>
        </w:trPr>
        <w:tc>
          <w:tcPr>
            <w:tcW w:w="4705" w:type="dxa"/>
            <w:gridSpan w:val="7"/>
            <w:tcBorders>
              <w:top w:val="single" w:sz="4" w:space="0" w:color="auto"/>
              <w:left w:val="single" w:sz="4" w:space="0" w:color="auto"/>
              <w:bottom w:val="single" w:sz="4" w:space="0" w:color="auto"/>
              <w:right w:val="single" w:sz="4" w:space="0" w:color="auto"/>
            </w:tcBorders>
          </w:tcPr>
          <w:p w14:paraId="551B39A0" w14:textId="77777777" w:rsidR="00ED17F3" w:rsidRPr="00420C1B" w:rsidRDefault="00ED17F3" w:rsidP="007108ED">
            <w:pPr>
              <w:autoSpaceDE w:val="0"/>
              <w:autoSpaceDN w:val="0"/>
              <w:adjustRightInd w:val="0"/>
              <w:spacing w:after="0" w:line="240" w:lineRule="auto"/>
              <w:rPr>
                <w:rFonts w:ascii="Times New Roman" w:hAnsi="Times New Roman"/>
                <w:b/>
                <w:sz w:val="20"/>
                <w:szCs w:val="20"/>
              </w:rPr>
            </w:pPr>
            <w:r w:rsidRPr="00420C1B">
              <w:rPr>
                <w:rFonts w:ascii="Times New Roman" w:hAnsi="Times New Roman"/>
                <w:b/>
                <w:sz w:val="20"/>
                <w:szCs w:val="20"/>
              </w:rPr>
              <w:t>Impact résiduel</w:t>
            </w:r>
          </w:p>
        </w:tc>
        <w:tc>
          <w:tcPr>
            <w:tcW w:w="5337" w:type="dxa"/>
            <w:gridSpan w:val="9"/>
            <w:tcBorders>
              <w:top w:val="single" w:sz="4" w:space="0" w:color="auto"/>
              <w:left w:val="single" w:sz="4" w:space="0" w:color="auto"/>
              <w:bottom w:val="single" w:sz="4" w:space="0" w:color="auto"/>
              <w:right w:val="single" w:sz="4" w:space="0" w:color="auto"/>
            </w:tcBorders>
          </w:tcPr>
          <w:p w14:paraId="107E8F69"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sz w:val="20"/>
                <w:szCs w:val="20"/>
                <w:u w:val="single"/>
              </w:rPr>
              <w:t>Mineur</w:t>
            </w:r>
          </w:p>
        </w:tc>
      </w:tr>
      <w:tr w:rsidR="00D75D2E" w:rsidRPr="00420C1B" w14:paraId="2F540B70" w14:textId="77777777" w:rsidTr="00215867">
        <w:trPr>
          <w:jc w:val="center"/>
        </w:trPr>
        <w:tc>
          <w:tcPr>
            <w:tcW w:w="3127" w:type="dxa"/>
            <w:gridSpan w:val="4"/>
            <w:tcBorders>
              <w:top w:val="single" w:sz="4" w:space="0" w:color="auto"/>
              <w:left w:val="single" w:sz="4" w:space="0" w:color="auto"/>
              <w:bottom w:val="single" w:sz="4" w:space="0" w:color="auto"/>
              <w:right w:val="single" w:sz="4" w:space="0" w:color="auto"/>
            </w:tcBorders>
          </w:tcPr>
          <w:p w14:paraId="433D0468" w14:textId="77777777" w:rsidR="00097E9F" w:rsidRPr="00420C1B" w:rsidRDefault="00097E9F" w:rsidP="007108ED">
            <w:pPr>
              <w:spacing w:after="0" w:line="240" w:lineRule="auto"/>
              <w:rPr>
                <w:rFonts w:ascii="Times New Roman" w:hAnsi="Times New Roman"/>
                <w:b/>
                <w:sz w:val="20"/>
                <w:szCs w:val="20"/>
                <w:u w:val="single"/>
              </w:rPr>
            </w:pPr>
            <w:r w:rsidRPr="00420C1B">
              <w:rPr>
                <w:rFonts w:ascii="Times New Roman" w:hAnsi="Times New Roman"/>
                <w:b/>
                <w:sz w:val="20"/>
                <w:szCs w:val="20"/>
                <w:u w:val="single"/>
              </w:rPr>
              <w:t>Acteurs de surveillance</w:t>
            </w:r>
          </w:p>
          <w:p w14:paraId="16DED1DD"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MdC</w:t>
            </w:r>
          </w:p>
          <w:p w14:paraId="7D25DB15"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ACE</w:t>
            </w:r>
          </w:p>
          <w:p w14:paraId="6CC2A5A6" w14:textId="0FCD04AD" w:rsidR="00097E9F" w:rsidRPr="00420C1B" w:rsidRDefault="00097E9F" w:rsidP="007108ED">
            <w:pPr>
              <w:spacing w:after="0" w:line="240" w:lineRule="auto"/>
              <w:rPr>
                <w:rFonts w:ascii="Times New Roman" w:hAnsi="Times New Roman"/>
                <w:b/>
                <w:sz w:val="20"/>
                <w:szCs w:val="20"/>
                <w:u w:val="single"/>
              </w:rPr>
            </w:pPr>
            <w:r w:rsidRPr="00420C1B">
              <w:rPr>
                <w:rFonts w:ascii="Times New Roman" w:hAnsi="Times New Roman"/>
                <w:sz w:val="20"/>
                <w:szCs w:val="20"/>
              </w:rPr>
              <w:t>Comité de réinstallation</w:t>
            </w:r>
          </w:p>
        </w:tc>
        <w:tc>
          <w:tcPr>
            <w:tcW w:w="3299" w:type="dxa"/>
            <w:gridSpan w:val="6"/>
            <w:tcBorders>
              <w:top w:val="single" w:sz="4" w:space="0" w:color="auto"/>
              <w:left w:val="single" w:sz="4" w:space="0" w:color="auto"/>
              <w:bottom w:val="single" w:sz="4" w:space="0" w:color="auto"/>
              <w:right w:val="single" w:sz="4" w:space="0" w:color="auto"/>
            </w:tcBorders>
          </w:tcPr>
          <w:p w14:paraId="0259BA0F" w14:textId="77777777" w:rsidR="00097E9F" w:rsidRPr="00420C1B" w:rsidRDefault="00097E9F" w:rsidP="007108ED">
            <w:pPr>
              <w:spacing w:after="0" w:line="240" w:lineRule="auto"/>
              <w:rPr>
                <w:rFonts w:ascii="Times New Roman" w:hAnsi="Times New Roman"/>
                <w:b/>
                <w:sz w:val="20"/>
                <w:szCs w:val="20"/>
                <w:u w:val="single"/>
              </w:rPr>
            </w:pPr>
            <w:r w:rsidRPr="00420C1B">
              <w:rPr>
                <w:rFonts w:ascii="Times New Roman" w:hAnsi="Times New Roman"/>
                <w:b/>
                <w:sz w:val="20"/>
                <w:szCs w:val="20"/>
                <w:u w:val="single"/>
              </w:rPr>
              <w:t>Acteurs de suivi</w:t>
            </w:r>
          </w:p>
          <w:p w14:paraId="47438287"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03F34DEA"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 xml:space="preserve">BUE </w:t>
            </w:r>
          </w:p>
          <w:p w14:paraId="2800BE76"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SCES/UCM</w:t>
            </w:r>
          </w:p>
          <w:p w14:paraId="3F976E0A"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Communes concernées</w:t>
            </w:r>
          </w:p>
        </w:tc>
        <w:tc>
          <w:tcPr>
            <w:tcW w:w="3616" w:type="dxa"/>
            <w:gridSpan w:val="6"/>
            <w:tcBorders>
              <w:top w:val="single" w:sz="4" w:space="0" w:color="auto"/>
              <w:left w:val="single" w:sz="4" w:space="0" w:color="auto"/>
              <w:bottom w:val="single" w:sz="4" w:space="0" w:color="auto"/>
              <w:right w:val="single" w:sz="4" w:space="0" w:color="auto"/>
            </w:tcBorders>
          </w:tcPr>
          <w:p w14:paraId="2F653FD0" w14:textId="77777777" w:rsidR="00097E9F" w:rsidRPr="00420C1B" w:rsidRDefault="00097E9F" w:rsidP="007108ED">
            <w:pPr>
              <w:spacing w:after="0" w:line="240" w:lineRule="auto"/>
              <w:rPr>
                <w:rFonts w:ascii="Times New Roman" w:hAnsi="Times New Roman"/>
                <w:b/>
                <w:sz w:val="20"/>
                <w:szCs w:val="20"/>
                <w:u w:val="single"/>
              </w:rPr>
            </w:pPr>
            <w:r w:rsidRPr="00420C1B">
              <w:rPr>
                <w:rFonts w:ascii="Times New Roman" w:hAnsi="Times New Roman"/>
                <w:b/>
                <w:sz w:val="20"/>
                <w:szCs w:val="20"/>
                <w:u w:val="single"/>
              </w:rPr>
              <w:t>Indicateurs de suivi</w:t>
            </w:r>
          </w:p>
          <w:p w14:paraId="5A4DE1A8" w14:textId="29F7338C"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0% de plaintes</w:t>
            </w:r>
            <w:r w:rsidR="0026709A" w:rsidRPr="00420C1B">
              <w:rPr>
                <w:rFonts w:ascii="Times New Roman" w:hAnsi="Times New Roman"/>
                <w:sz w:val="20"/>
                <w:szCs w:val="20"/>
              </w:rPr>
              <w:t xml:space="preserve"> enregistrées</w:t>
            </w:r>
          </w:p>
          <w:p w14:paraId="78D6D4BA" w14:textId="77777777" w:rsidR="00097E9F" w:rsidRPr="00420C1B" w:rsidRDefault="00097E9F" w:rsidP="007108ED">
            <w:pPr>
              <w:spacing w:after="0" w:line="240" w:lineRule="auto"/>
              <w:rPr>
                <w:rFonts w:ascii="Times New Roman" w:hAnsi="Times New Roman"/>
                <w:sz w:val="20"/>
                <w:szCs w:val="20"/>
              </w:rPr>
            </w:pPr>
            <w:r w:rsidRPr="00420C1B">
              <w:rPr>
                <w:rFonts w:ascii="Times New Roman" w:hAnsi="Times New Roman"/>
                <w:sz w:val="20"/>
                <w:szCs w:val="20"/>
              </w:rPr>
              <w:t>100% des PAP indemnisées</w:t>
            </w:r>
          </w:p>
          <w:p w14:paraId="64ABD695" w14:textId="77777777" w:rsidR="00097E9F" w:rsidRPr="00420C1B" w:rsidRDefault="00097E9F" w:rsidP="007108ED">
            <w:pPr>
              <w:spacing w:after="0" w:line="240" w:lineRule="auto"/>
              <w:rPr>
                <w:rFonts w:ascii="Times New Roman" w:hAnsi="Times New Roman"/>
                <w:b/>
                <w:sz w:val="20"/>
                <w:szCs w:val="20"/>
                <w:u w:val="single"/>
              </w:rPr>
            </w:pPr>
          </w:p>
        </w:tc>
      </w:tr>
      <w:tr w:rsidR="00D75D2E" w:rsidRPr="00420C1B" w14:paraId="06BF2725" w14:textId="77777777" w:rsidTr="00215867">
        <w:trPr>
          <w:jc w:val="center"/>
        </w:trPr>
        <w:tc>
          <w:tcPr>
            <w:tcW w:w="1361" w:type="dxa"/>
            <w:tcBorders>
              <w:top w:val="single" w:sz="4" w:space="0" w:color="auto"/>
              <w:left w:val="single" w:sz="4" w:space="0" w:color="auto"/>
              <w:bottom w:val="single" w:sz="4" w:space="0" w:color="auto"/>
              <w:right w:val="single" w:sz="4" w:space="0" w:color="auto"/>
            </w:tcBorders>
          </w:tcPr>
          <w:p w14:paraId="4647A473"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b/>
                <w:sz w:val="20"/>
                <w:szCs w:val="20"/>
                <w:u w:val="single"/>
              </w:rPr>
              <w:t>Coût de la mesure :</w:t>
            </w:r>
          </w:p>
        </w:tc>
        <w:tc>
          <w:tcPr>
            <w:tcW w:w="684" w:type="dxa"/>
            <w:tcBorders>
              <w:top w:val="single" w:sz="4" w:space="0" w:color="auto"/>
              <w:left w:val="single" w:sz="4" w:space="0" w:color="auto"/>
              <w:bottom w:val="single" w:sz="4" w:space="0" w:color="auto"/>
              <w:right w:val="single" w:sz="4" w:space="0" w:color="auto"/>
            </w:tcBorders>
          </w:tcPr>
          <w:p w14:paraId="457CA4AC"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b/>
                <w:sz w:val="20"/>
                <w:szCs w:val="20"/>
              </w:rPr>
              <w:t>Unité</w:t>
            </w:r>
          </w:p>
        </w:tc>
        <w:tc>
          <w:tcPr>
            <w:tcW w:w="1264" w:type="dxa"/>
            <w:gridSpan w:val="3"/>
            <w:tcBorders>
              <w:top w:val="single" w:sz="4" w:space="0" w:color="auto"/>
              <w:left w:val="single" w:sz="4" w:space="0" w:color="auto"/>
              <w:bottom w:val="single" w:sz="4" w:space="0" w:color="auto"/>
              <w:right w:val="single" w:sz="4" w:space="0" w:color="auto"/>
            </w:tcBorders>
          </w:tcPr>
          <w:p w14:paraId="59C62C9B" w14:textId="77777777" w:rsidR="00ED17F3" w:rsidRPr="00420C1B" w:rsidRDefault="00ED17F3"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Quantités</w:t>
            </w:r>
          </w:p>
          <w:p w14:paraId="22AA1326" w14:textId="77777777" w:rsidR="00ED17F3" w:rsidRPr="00420C1B" w:rsidRDefault="00ED17F3" w:rsidP="007108ED">
            <w:pPr>
              <w:spacing w:after="0" w:line="240" w:lineRule="auto"/>
              <w:rPr>
                <w:rFonts w:ascii="Times New Roman" w:hAnsi="Times New Roman"/>
                <w:b/>
                <w:sz w:val="20"/>
                <w:szCs w:val="20"/>
                <w:u w:val="single"/>
              </w:rPr>
            </w:pPr>
          </w:p>
        </w:tc>
        <w:tc>
          <w:tcPr>
            <w:tcW w:w="1564" w:type="dxa"/>
            <w:gridSpan w:val="3"/>
            <w:tcBorders>
              <w:top w:val="single" w:sz="4" w:space="0" w:color="auto"/>
              <w:left w:val="single" w:sz="4" w:space="0" w:color="auto"/>
              <w:bottom w:val="single" w:sz="4" w:space="0" w:color="auto"/>
              <w:right w:val="single" w:sz="4" w:space="0" w:color="auto"/>
            </w:tcBorders>
          </w:tcPr>
          <w:p w14:paraId="71AD4E4D" w14:textId="77777777" w:rsidR="00ED17F3" w:rsidRPr="00420C1B" w:rsidRDefault="00ED17F3"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Coûts unitaires en $</w:t>
            </w:r>
          </w:p>
          <w:p w14:paraId="20A1D457" w14:textId="77777777" w:rsidR="00ED17F3" w:rsidRPr="00420C1B" w:rsidRDefault="00ED17F3" w:rsidP="007108ED">
            <w:pPr>
              <w:spacing w:after="0" w:line="240" w:lineRule="auto"/>
              <w:rPr>
                <w:rFonts w:ascii="Times New Roman" w:hAnsi="Times New Roman"/>
                <w:b/>
                <w:sz w:val="20"/>
                <w:szCs w:val="20"/>
                <w:u w:val="single"/>
              </w:rPr>
            </w:pPr>
          </w:p>
        </w:tc>
        <w:tc>
          <w:tcPr>
            <w:tcW w:w="1553" w:type="dxa"/>
            <w:gridSpan w:val="2"/>
            <w:tcBorders>
              <w:top w:val="single" w:sz="4" w:space="0" w:color="auto"/>
              <w:left w:val="single" w:sz="4" w:space="0" w:color="auto"/>
              <w:bottom w:val="single" w:sz="4" w:space="0" w:color="auto"/>
              <w:right w:val="single" w:sz="4" w:space="0" w:color="auto"/>
            </w:tcBorders>
          </w:tcPr>
          <w:p w14:paraId="7B5BC486"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b/>
                <w:sz w:val="20"/>
                <w:szCs w:val="20"/>
              </w:rPr>
              <w:t>Entreprise en $</w:t>
            </w:r>
          </w:p>
        </w:tc>
        <w:tc>
          <w:tcPr>
            <w:tcW w:w="722" w:type="dxa"/>
            <w:gridSpan w:val="2"/>
            <w:tcBorders>
              <w:top w:val="single" w:sz="4" w:space="0" w:color="auto"/>
              <w:left w:val="single" w:sz="4" w:space="0" w:color="auto"/>
              <w:bottom w:val="single" w:sz="4" w:space="0" w:color="auto"/>
              <w:right w:val="single" w:sz="4" w:space="0" w:color="auto"/>
            </w:tcBorders>
          </w:tcPr>
          <w:p w14:paraId="0A8F4E5B" w14:textId="77777777" w:rsidR="00ED17F3" w:rsidRPr="00420C1B" w:rsidRDefault="00ED17F3"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Projet en $</w:t>
            </w:r>
          </w:p>
          <w:p w14:paraId="36BDAE55" w14:textId="77777777" w:rsidR="00ED17F3" w:rsidRPr="00420C1B" w:rsidRDefault="00ED17F3" w:rsidP="007108ED">
            <w:pPr>
              <w:spacing w:after="0" w:line="240" w:lineRule="auto"/>
              <w:rPr>
                <w:rFonts w:ascii="Times New Roman" w:hAnsi="Times New Roman"/>
                <w:b/>
                <w:sz w:val="20"/>
                <w:szCs w:val="20"/>
                <w:u w:val="single"/>
              </w:rPr>
            </w:pPr>
          </w:p>
        </w:tc>
        <w:tc>
          <w:tcPr>
            <w:tcW w:w="1642" w:type="dxa"/>
            <w:gridSpan w:val="2"/>
            <w:tcBorders>
              <w:top w:val="single" w:sz="4" w:space="0" w:color="auto"/>
              <w:left w:val="single" w:sz="4" w:space="0" w:color="auto"/>
              <w:bottom w:val="single" w:sz="4" w:space="0" w:color="auto"/>
              <w:right w:val="single" w:sz="4" w:space="0" w:color="auto"/>
            </w:tcBorders>
          </w:tcPr>
          <w:p w14:paraId="25D5D257"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b/>
                <w:sz w:val="20"/>
                <w:szCs w:val="20"/>
              </w:rPr>
              <w:t>Coût total</w:t>
            </w:r>
          </w:p>
        </w:tc>
        <w:tc>
          <w:tcPr>
            <w:tcW w:w="1252" w:type="dxa"/>
            <w:gridSpan w:val="2"/>
            <w:tcBorders>
              <w:top w:val="single" w:sz="4" w:space="0" w:color="auto"/>
              <w:left w:val="single" w:sz="4" w:space="0" w:color="auto"/>
              <w:bottom w:val="single" w:sz="4" w:space="0" w:color="auto"/>
              <w:right w:val="single" w:sz="4" w:space="0" w:color="auto"/>
            </w:tcBorders>
          </w:tcPr>
          <w:p w14:paraId="16F316D2" w14:textId="77777777" w:rsidR="00ED17F3" w:rsidRPr="00420C1B" w:rsidRDefault="00ED17F3" w:rsidP="007108ED">
            <w:pPr>
              <w:spacing w:after="0" w:line="240" w:lineRule="auto"/>
              <w:rPr>
                <w:rFonts w:ascii="Times New Roman" w:hAnsi="Times New Roman"/>
                <w:b/>
                <w:sz w:val="20"/>
                <w:szCs w:val="20"/>
                <w:u w:val="single"/>
              </w:rPr>
            </w:pPr>
            <w:r w:rsidRPr="00420C1B">
              <w:rPr>
                <w:rFonts w:ascii="Times New Roman" w:hAnsi="Times New Roman"/>
                <w:b/>
                <w:sz w:val="20"/>
                <w:szCs w:val="20"/>
              </w:rPr>
              <w:t>Calendrier de mise en œuvre</w:t>
            </w:r>
          </w:p>
        </w:tc>
      </w:tr>
      <w:tr w:rsidR="00D75D2E" w:rsidRPr="00420C1B" w14:paraId="522BF4B2" w14:textId="77777777" w:rsidTr="00215867">
        <w:trPr>
          <w:jc w:val="center"/>
        </w:trPr>
        <w:tc>
          <w:tcPr>
            <w:tcW w:w="1361" w:type="dxa"/>
            <w:tcBorders>
              <w:top w:val="single" w:sz="4" w:space="0" w:color="auto"/>
              <w:left w:val="single" w:sz="4" w:space="0" w:color="auto"/>
              <w:bottom w:val="single" w:sz="4" w:space="0" w:color="auto"/>
              <w:right w:val="single" w:sz="4" w:space="0" w:color="auto"/>
            </w:tcBorders>
          </w:tcPr>
          <w:p w14:paraId="6E4D7A66" w14:textId="77777777" w:rsidR="00DC7776" w:rsidRPr="00420C1B" w:rsidRDefault="00DC7776" w:rsidP="007108ED">
            <w:pPr>
              <w:spacing w:after="0" w:line="240" w:lineRule="auto"/>
              <w:rPr>
                <w:rFonts w:ascii="Times New Roman" w:hAnsi="Times New Roman"/>
                <w:sz w:val="20"/>
                <w:szCs w:val="20"/>
              </w:rPr>
            </w:pPr>
            <w:r w:rsidRPr="00420C1B">
              <w:rPr>
                <w:rFonts w:ascii="Times New Roman" w:hAnsi="Times New Roman"/>
                <w:sz w:val="20"/>
                <w:szCs w:val="20"/>
              </w:rPr>
              <w:t>Indemnisation des PAP</w:t>
            </w:r>
          </w:p>
        </w:tc>
        <w:tc>
          <w:tcPr>
            <w:tcW w:w="684" w:type="dxa"/>
            <w:tcBorders>
              <w:top w:val="single" w:sz="4" w:space="0" w:color="auto"/>
              <w:left w:val="single" w:sz="4" w:space="0" w:color="auto"/>
              <w:bottom w:val="single" w:sz="4" w:space="0" w:color="auto"/>
              <w:right w:val="single" w:sz="4" w:space="0" w:color="auto"/>
            </w:tcBorders>
          </w:tcPr>
          <w:p w14:paraId="2D5D9198" w14:textId="77777777" w:rsidR="00DC7776" w:rsidRPr="00420C1B" w:rsidRDefault="00DC7776" w:rsidP="007108ED">
            <w:pPr>
              <w:spacing w:after="0" w:line="240" w:lineRule="auto"/>
              <w:rPr>
                <w:rFonts w:ascii="Times New Roman" w:hAnsi="Times New Roman"/>
                <w:b/>
                <w:sz w:val="20"/>
                <w:szCs w:val="20"/>
              </w:rPr>
            </w:pPr>
          </w:p>
        </w:tc>
        <w:tc>
          <w:tcPr>
            <w:tcW w:w="4381" w:type="dxa"/>
            <w:gridSpan w:val="8"/>
            <w:tcBorders>
              <w:top w:val="single" w:sz="4" w:space="0" w:color="auto"/>
              <w:left w:val="single" w:sz="4" w:space="0" w:color="auto"/>
              <w:bottom w:val="single" w:sz="4" w:space="0" w:color="auto"/>
              <w:right w:val="single" w:sz="4" w:space="0" w:color="auto"/>
            </w:tcBorders>
          </w:tcPr>
          <w:p w14:paraId="79A7357A" w14:textId="77777777" w:rsidR="00DC7776" w:rsidRPr="00420C1B" w:rsidRDefault="001D7D1C" w:rsidP="007108ED">
            <w:pPr>
              <w:spacing w:after="0" w:line="240" w:lineRule="auto"/>
              <w:rPr>
                <w:rFonts w:ascii="Times New Roman" w:hAnsi="Times New Roman"/>
                <w:sz w:val="20"/>
                <w:szCs w:val="20"/>
              </w:rPr>
            </w:pPr>
            <w:r w:rsidRPr="00420C1B">
              <w:rPr>
                <w:rFonts w:ascii="Times New Roman" w:hAnsi="Times New Roman"/>
                <w:sz w:val="20"/>
                <w:szCs w:val="20"/>
              </w:rPr>
              <w:t>Compte tenu du réseau (câble torsadé) ces bâtisses seront surplombé</w:t>
            </w:r>
            <w:r w:rsidR="00E25CB9" w:rsidRPr="00420C1B">
              <w:rPr>
                <w:rFonts w:ascii="Times New Roman" w:hAnsi="Times New Roman"/>
                <w:sz w:val="20"/>
                <w:szCs w:val="20"/>
              </w:rPr>
              <w:t>es</w:t>
            </w:r>
            <w:r w:rsidRPr="00420C1B">
              <w:rPr>
                <w:rFonts w:ascii="Times New Roman" w:hAnsi="Times New Roman"/>
                <w:sz w:val="20"/>
                <w:szCs w:val="20"/>
              </w:rPr>
              <w:t>. Au niveau du réseau MALT, certaines bâtisses seront déplacée</w:t>
            </w:r>
            <w:r w:rsidR="00B345CB" w:rsidRPr="00420C1B">
              <w:rPr>
                <w:rFonts w:ascii="Times New Roman" w:hAnsi="Times New Roman"/>
                <w:sz w:val="20"/>
                <w:szCs w:val="20"/>
              </w:rPr>
              <w:t>s et il est pris en compte l’aide au déménagement qui va consister à prendre de la main d’œuvre pour déplacer ces biens et les réinstaller hors de l’emprise</w:t>
            </w:r>
            <w:r w:rsidR="000109F9" w:rsidRPr="00420C1B">
              <w:rPr>
                <w:rFonts w:ascii="Times New Roman" w:hAnsi="Times New Roman"/>
                <w:sz w:val="20"/>
                <w:szCs w:val="20"/>
              </w:rPr>
              <w:t xml:space="preserve">. </w:t>
            </w:r>
          </w:p>
        </w:tc>
        <w:tc>
          <w:tcPr>
            <w:tcW w:w="722" w:type="dxa"/>
            <w:gridSpan w:val="2"/>
            <w:tcBorders>
              <w:top w:val="single" w:sz="4" w:space="0" w:color="auto"/>
              <w:left w:val="single" w:sz="4" w:space="0" w:color="auto"/>
              <w:bottom w:val="single" w:sz="4" w:space="0" w:color="auto"/>
              <w:right w:val="single" w:sz="4" w:space="0" w:color="auto"/>
            </w:tcBorders>
          </w:tcPr>
          <w:p w14:paraId="1EBB918B" w14:textId="77777777" w:rsidR="00DC7776" w:rsidRPr="00420C1B" w:rsidRDefault="00DC7776" w:rsidP="007108ED">
            <w:pPr>
              <w:autoSpaceDE w:val="0"/>
              <w:autoSpaceDN w:val="0"/>
              <w:adjustRightInd w:val="0"/>
              <w:spacing w:after="0" w:line="240" w:lineRule="auto"/>
              <w:jc w:val="center"/>
              <w:rPr>
                <w:rFonts w:ascii="Times New Roman" w:hAnsi="Times New Roman"/>
                <w:sz w:val="20"/>
                <w:szCs w:val="20"/>
              </w:rPr>
            </w:pPr>
          </w:p>
        </w:tc>
        <w:tc>
          <w:tcPr>
            <w:tcW w:w="1642" w:type="dxa"/>
            <w:gridSpan w:val="2"/>
            <w:tcBorders>
              <w:top w:val="single" w:sz="4" w:space="0" w:color="auto"/>
              <w:left w:val="single" w:sz="4" w:space="0" w:color="auto"/>
              <w:bottom w:val="single" w:sz="4" w:space="0" w:color="auto"/>
              <w:right w:val="single" w:sz="4" w:space="0" w:color="auto"/>
            </w:tcBorders>
          </w:tcPr>
          <w:p w14:paraId="1CCB3DAA" w14:textId="77777777" w:rsidR="00DC7776" w:rsidRPr="00420C1B" w:rsidRDefault="00DC7776" w:rsidP="007108ED">
            <w:pPr>
              <w:spacing w:after="0" w:line="240" w:lineRule="auto"/>
              <w:rPr>
                <w:rFonts w:ascii="Times New Roman" w:hAnsi="Times New Roman"/>
                <w:sz w:val="20"/>
                <w:szCs w:val="20"/>
              </w:rPr>
            </w:pPr>
          </w:p>
        </w:tc>
        <w:tc>
          <w:tcPr>
            <w:tcW w:w="1252" w:type="dxa"/>
            <w:gridSpan w:val="2"/>
            <w:tcBorders>
              <w:top w:val="single" w:sz="4" w:space="0" w:color="auto"/>
              <w:left w:val="single" w:sz="4" w:space="0" w:color="auto"/>
              <w:bottom w:val="single" w:sz="4" w:space="0" w:color="auto"/>
              <w:right w:val="single" w:sz="4" w:space="0" w:color="auto"/>
            </w:tcBorders>
          </w:tcPr>
          <w:p w14:paraId="3C097721" w14:textId="77777777" w:rsidR="00DC7776" w:rsidRPr="00420C1B" w:rsidRDefault="00DC7776" w:rsidP="007108ED">
            <w:pPr>
              <w:spacing w:after="0" w:line="240" w:lineRule="auto"/>
              <w:rPr>
                <w:rFonts w:ascii="Times New Roman" w:hAnsi="Times New Roman"/>
                <w:sz w:val="20"/>
                <w:szCs w:val="20"/>
              </w:rPr>
            </w:pPr>
            <w:r w:rsidRPr="00420C1B">
              <w:rPr>
                <w:rFonts w:ascii="Times New Roman" w:hAnsi="Times New Roman"/>
                <w:sz w:val="20"/>
                <w:szCs w:val="20"/>
              </w:rPr>
              <w:t>Avant le démarrage du projet</w:t>
            </w:r>
          </w:p>
        </w:tc>
      </w:tr>
      <w:tr w:rsidR="00DC7776" w:rsidRPr="00420C1B" w14:paraId="2514FF4C" w14:textId="77777777" w:rsidTr="00215867">
        <w:trPr>
          <w:jc w:val="center"/>
        </w:trPr>
        <w:tc>
          <w:tcPr>
            <w:tcW w:w="1361" w:type="dxa"/>
            <w:tcBorders>
              <w:top w:val="single" w:sz="4" w:space="0" w:color="auto"/>
              <w:left w:val="single" w:sz="4" w:space="0" w:color="auto"/>
              <w:bottom w:val="single" w:sz="4" w:space="0" w:color="auto"/>
              <w:right w:val="single" w:sz="4" w:space="0" w:color="auto"/>
            </w:tcBorders>
          </w:tcPr>
          <w:p w14:paraId="7B5723FB" w14:textId="77777777" w:rsidR="00DC7776" w:rsidRPr="00420C1B" w:rsidRDefault="00DC7776" w:rsidP="007108ED">
            <w:pPr>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Total </w:t>
            </w:r>
          </w:p>
        </w:tc>
        <w:tc>
          <w:tcPr>
            <w:tcW w:w="684" w:type="dxa"/>
            <w:tcBorders>
              <w:top w:val="single" w:sz="4" w:space="0" w:color="auto"/>
              <w:left w:val="single" w:sz="4" w:space="0" w:color="auto"/>
              <w:bottom w:val="single" w:sz="4" w:space="0" w:color="auto"/>
              <w:right w:val="single" w:sz="4" w:space="0" w:color="auto"/>
            </w:tcBorders>
          </w:tcPr>
          <w:p w14:paraId="590C53C9" w14:textId="77777777" w:rsidR="00DC7776" w:rsidRPr="00420C1B" w:rsidRDefault="000109F9" w:rsidP="007108ED">
            <w:pPr>
              <w:spacing w:after="0" w:line="240" w:lineRule="auto"/>
              <w:rPr>
                <w:rFonts w:ascii="Times New Roman" w:hAnsi="Times New Roman"/>
                <w:b/>
                <w:sz w:val="20"/>
                <w:szCs w:val="20"/>
              </w:rPr>
            </w:pPr>
            <w:r w:rsidRPr="00420C1B">
              <w:rPr>
                <w:rFonts w:ascii="Times New Roman" w:hAnsi="Times New Roman"/>
                <w:b/>
                <w:sz w:val="20"/>
                <w:szCs w:val="20"/>
              </w:rPr>
              <w:t>FF</w:t>
            </w:r>
          </w:p>
        </w:tc>
        <w:tc>
          <w:tcPr>
            <w:tcW w:w="1264" w:type="dxa"/>
            <w:gridSpan w:val="3"/>
            <w:tcBorders>
              <w:top w:val="single" w:sz="4" w:space="0" w:color="auto"/>
              <w:left w:val="single" w:sz="4" w:space="0" w:color="auto"/>
              <w:bottom w:val="single" w:sz="4" w:space="0" w:color="auto"/>
              <w:right w:val="single" w:sz="4" w:space="0" w:color="auto"/>
            </w:tcBorders>
          </w:tcPr>
          <w:p w14:paraId="48F72CBF" w14:textId="77777777" w:rsidR="00DC7776" w:rsidRPr="00420C1B" w:rsidRDefault="00DC7776" w:rsidP="007108ED">
            <w:pPr>
              <w:autoSpaceDE w:val="0"/>
              <w:autoSpaceDN w:val="0"/>
              <w:adjustRightInd w:val="0"/>
              <w:spacing w:after="0" w:line="240" w:lineRule="auto"/>
              <w:jc w:val="center"/>
              <w:rPr>
                <w:rFonts w:ascii="Times New Roman" w:hAnsi="Times New Roman"/>
                <w:b/>
                <w:sz w:val="20"/>
                <w:szCs w:val="20"/>
              </w:rPr>
            </w:pPr>
          </w:p>
        </w:tc>
        <w:tc>
          <w:tcPr>
            <w:tcW w:w="1564" w:type="dxa"/>
            <w:gridSpan w:val="3"/>
            <w:tcBorders>
              <w:top w:val="single" w:sz="4" w:space="0" w:color="auto"/>
              <w:left w:val="single" w:sz="4" w:space="0" w:color="auto"/>
              <w:bottom w:val="single" w:sz="4" w:space="0" w:color="auto"/>
              <w:right w:val="single" w:sz="4" w:space="0" w:color="auto"/>
            </w:tcBorders>
          </w:tcPr>
          <w:p w14:paraId="4D7C7659" w14:textId="77777777" w:rsidR="00DC7776" w:rsidRPr="00420C1B" w:rsidRDefault="000109F9"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100</w:t>
            </w:r>
          </w:p>
        </w:tc>
        <w:tc>
          <w:tcPr>
            <w:tcW w:w="1553" w:type="dxa"/>
            <w:gridSpan w:val="2"/>
            <w:tcBorders>
              <w:top w:val="single" w:sz="4" w:space="0" w:color="auto"/>
              <w:left w:val="single" w:sz="4" w:space="0" w:color="auto"/>
              <w:bottom w:val="single" w:sz="4" w:space="0" w:color="auto"/>
              <w:right w:val="single" w:sz="4" w:space="0" w:color="auto"/>
            </w:tcBorders>
          </w:tcPr>
          <w:p w14:paraId="3AD521CE" w14:textId="77777777" w:rsidR="00DC7776" w:rsidRPr="00420C1B" w:rsidRDefault="00DC7776" w:rsidP="007108ED">
            <w:pPr>
              <w:spacing w:after="0" w:line="240" w:lineRule="auto"/>
              <w:rPr>
                <w:rFonts w:ascii="Times New Roman" w:hAnsi="Times New Roman"/>
                <w:b/>
                <w:sz w:val="20"/>
                <w:szCs w:val="20"/>
              </w:rPr>
            </w:pPr>
          </w:p>
        </w:tc>
        <w:tc>
          <w:tcPr>
            <w:tcW w:w="722" w:type="dxa"/>
            <w:gridSpan w:val="2"/>
            <w:tcBorders>
              <w:top w:val="single" w:sz="4" w:space="0" w:color="auto"/>
              <w:left w:val="single" w:sz="4" w:space="0" w:color="auto"/>
              <w:bottom w:val="single" w:sz="4" w:space="0" w:color="auto"/>
              <w:right w:val="single" w:sz="4" w:space="0" w:color="auto"/>
            </w:tcBorders>
          </w:tcPr>
          <w:p w14:paraId="1D7E9DC6" w14:textId="77777777" w:rsidR="00DC7776" w:rsidRPr="00420C1B" w:rsidRDefault="000109F9" w:rsidP="001D7D1C">
            <w:pPr>
              <w:autoSpaceDE w:val="0"/>
              <w:autoSpaceDN w:val="0"/>
              <w:adjustRightInd w:val="0"/>
              <w:spacing w:after="0" w:line="240" w:lineRule="auto"/>
              <w:jc w:val="center"/>
              <w:rPr>
                <w:rFonts w:ascii="Times New Roman" w:hAnsi="Times New Roman"/>
                <w:b/>
                <w:sz w:val="20"/>
                <w:szCs w:val="20"/>
              </w:rPr>
            </w:pPr>
            <w:r w:rsidRPr="00420C1B">
              <w:rPr>
                <w:rFonts w:ascii="Times New Roman" w:hAnsi="Times New Roman"/>
                <w:b/>
                <w:sz w:val="20"/>
                <w:szCs w:val="20"/>
              </w:rPr>
              <w:t>14500</w:t>
            </w:r>
          </w:p>
        </w:tc>
        <w:tc>
          <w:tcPr>
            <w:tcW w:w="1642" w:type="dxa"/>
            <w:gridSpan w:val="2"/>
            <w:tcBorders>
              <w:top w:val="single" w:sz="4" w:space="0" w:color="auto"/>
              <w:left w:val="single" w:sz="4" w:space="0" w:color="auto"/>
              <w:bottom w:val="single" w:sz="4" w:space="0" w:color="auto"/>
              <w:right w:val="single" w:sz="4" w:space="0" w:color="auto"/>
            </w:tcBorders>
          </w:tcPr>
          <w:p w14:paraId="1D7788C7" w14:textId="77777777" w:rsidR="00DC7776" w:rsidRPr="00420C1B" w:rsidRDefault="000109F9" w:rsidP="001D7D1C">
            <w:pPr>
              <w:spacing w:after="0" w:line="240" w:lineRule="auto"/>
              <w:jc w:val="center"/>
              <w:rPr>
                <w:rFonts w:ascii="Times New Roman" w:hAnsi="Times New Roman"/>
                <w:b/>
                <w:sz w:val="20"/>
                <w:szCs w:val="20"/>
              </w:rPr>
            </w:pPr>
            <w:r w:rsidRPr="00420C1B">
              <w:rPr>
                <w:rFonts w:ascii="Times New Roman" w:hAnsi="Times New Roman"/>
                <w:b/>
                <w:sz w:val="20"/>
                <w:szCs w:val="20"/>
              </w:rPr>
              <w:t>14500</w:t>
            </w:r>
          </w:p>
        </w:tc>
        <w:tc>
          <w:tcPr>
            <w:tcW w:w="1252" w:type="dxa"/>
            <w:gridSpan w:val="2"/>
            <w:tcBorders>
              <w:top w:val="single" w:sz="4" w:space="0" w:color="auto"/>
              <w:left w:val="single" w:sz="4" w:space="0" w:color="auto"/>
              <w:bottom w:val="single" w:sz="4" w:space="0" w:color="auto"/>
              <w:right w:val="single" w:sz="4" w:space="0" w:color="auto"/>
            </w:tcBorders>
          </w:tcPr>
          <w:p w14:paraId="0DC6F796" w14:textId="77777777" w:rsidR="00DC7776" w:rsidRPr="00420C1B" w:rsidRDefault="00DC7776" w:rsidP="007108ED">
            <w:pPr>
              <w:spacing w:after="0" w:line="240" w:lineRule="auto"/>
              <w:rPr>
                <w:rFonts w:ascii="Times New Roman" w:hAnsi="Times New Roman"/>
                <w:b/>
                <w:sz w:val="20"/>
                <w:szCs w:val="20"/>
              </w:rPr>
            </w:pPr>
          </w:p>
        </w:tc>
      </w:tr>
    </w:tbl>
    <w:p w14:paraId="57DF0325" w14:textId="77777777" w:rsidR="00004CD5" w:rsidRPr="00857867" w:rsidRDefault="00004CD5" w:rsidP="00ED17F3">
      <w:pPr>
        <w:keepNext/>
        <w:spacing w:after="0" w:line="240" w:lineRule="auto"/>
        <w:rPr>
          <w:rFonts w:ascii="Times New Roman" w:hAnsi="Times New Roman"/>
          <w:iCs/>
          <w:szCs w:val="18"/>
        </w:rPr>
      </w:pPr>
    </w:p>
    <w:p w14:paraId="625CFD20" w14:textId="722418F6" w:rsidR="00ED17F3" w:rsidRPr="00E737B4" w:rsidRDefault="00ED17F3" w:rsidP="00215867">
      <w:pPr>
        <w:spacing w:after="0"/>
        <w:rPr>
          <w:rFonts w:ascii="Times New Roman" w:hAnsi="Times New Roman"/>
          <w:iCs/>
          <w:sz w:val="24"/>
          <w:szCs w:val="24"/>
        </w:rPr>
      </w:pPr>
      <w:bookmarkStart w:id="632" w:name="_Toc519048940"/>
      <w:bookmarkStart w:id="633" w:name="_Toc93050302"/>
      <w:bookmarkStart w:id="634" w:name="_Hlk19778642"/>
      <w:bookmarkStart w:id="635" w:name="_Hlk516407473"/>
      <w:r w:rsidRPr="00E737B4">
        <w:rPr>
          <w:rFonts w:ascii="Times New Roman" w:hAnsi="Times New Roman"/>
          <w:iCs/>
          <w:sz w:val="24"/>
          <w:szCs w:val="24"/>
        </w:rPr>
        <w:t xml:space="preserve">Tableau </w:t>
      </w:r>
      <w:r w:rsidRPr="00E737B4">
        <w:rPr>
          <w:rFonts w:ascii="Times New Roman" w:hAnsi="Times New Roman"/>
          <w:iCs/>
          <w:noProof/>
          <w:sz w:val="24"/>
          <w:szCs w:val="24"/>
        </w:rPr>
        <w:fldChar w:fldCharType="begin"/>
      </w:r>
      <w:r w:rsidRPr="00E737B4">
        <w:rPr>
          <w:rFonts w:ascii="Times New Roman" w:hAnsi="Times New Roman"/>
          <w:iCs/>
          <w:noProof/>
          <w:sz w:val="24"/>
          <w:szCs w:val="24"/>
        </w:rPr>
        <w:instrText xml:space="preserve"> SEQ Tableau \* ARABIC </w:instrText>
      </w:r>
      <w:r w:rsidRPr="00E737B4">
        <w:rPr>
          <w:rFonts w:ascii="Times New Roman" w:hAnsi="Times New Roman"/>
          <w:iCs/>
          <w:noProof/>
          <w:sz w:val="24"/>
          <w:szCs w:val="24"/>
        </w:rPr>
        <w:fldChar w:fldCharType="separate"/>
      </w:r>
      <w:r w:rsidR="006234EE">
        <w:rPr>
          <w:rFonts w:ascii="Times New Roman" w:hAnsi="Times New Roman"/>
          <w:iCs/>
          <w:noProof/>
          <w:sz w:val="24"/>
          <w:szCs w:val="24"/>
        </w:rPr>
        <w:t>40</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w:t>
      </w:r>
      <w:r w:rsidRPr="00E737B4">
        <w:rPr>
          <w:rFonts w:ascii="Times New Roman" w:hAnsi="Times New Roman"/>
          <w:b/>
          <w:iCs/>
          <w:sz w:val="24"/>
          <w:szCs w:val="24"/>
        </w:rPr>
        <w:t>Code 1</w:t>
      </w:r>
      <w:bookmarkEnd w:id="632"/>
      <w:r w:rsidR="006234EE">
        <w:rPr>
          <w:rFonts w:ascii="Times New Roman" w:hAnsi="Times New Roman"/>
          <w:b/>
          <w:iCs/>
          <w:sz w:val="24"/>
          <w:szCs w:val="24"/>
        </w:rPr>
        <w:t>7</w:t>
      </w:r>
      <w:bookmarkEnd w:id="633"/>
    </w:p>
    <w:tbl>
      <w:tblPr>
        <w:tblpPr w:leftFromText="141" w:rightFromText="141" w:vertAnchor="text" w:tblpXSpec="center" w:tblpY="34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9"/>
        <w:gridCol w:w="567"/>
        <w:gridCol w:w="113"/>
        <w:gridCol w:w="312"/>
        <w:gridCol w:w="1134"/>
        <w:gridCol w:w="237"/>
        <w:gridCol w:w="188"/>
        <w:gridCol w:w="1134"/>
        <w:gridCol w:w="70"/>
        <w:gridCol w:w="781"/>
        <w:gridCol w:w="850"/>
        <w:gridCol w:w="113"/>
        <w:gridCol w:w="1701"/>
      </w:tblGrid>
      <w:tr w:rsidR="00D75D2E" w:rsidRPr="00420C1B" w14:paraId="2862BC42" w14:textId="77777777" w:rsidTr="00215867">
        <w:trPr>
          <w:trHeight w:val="256"/>
          <w:tblHeader/>
        </w:trPr>
        <w:tc>
          <w:tcPr>
            <w:tcW w:w="1838" w:type="dxa"/>
            <w:shd w:val="clear" w:color="auto" w:fill="92D050"/>
            <w:hideMark/>
          </w:tcPr>
          <w:bookmarkEnd w:id="634"/>
          <w:p w14:paraId="2467A4B8"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3072" w:type="dxa"/>
            <w:gridSpan w:val="6"/>
            <w:shd w:val="clear" w:color="auto" w:fill="92D050"/>
            <w:hideMark/>
          </w:tcPr>
          <w:p w14:paraId="3726F67E"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sz w:val="20"/>
                <w:szCs w:val="20"/>
              </w:rPr>
              <w:t>Végétation</w:t>
            </w:r>
          </w:p>
        </w:tc>
        <w:tc>
          <w:tcPr>
            <w:tcW w:w="1392" w:type="dxa"/>
            <w:gridSpan w:val="3"/>
            <w:shd w:val="clear" w:color="auto" w:fill="92D050"/>
            <w:hideMark/>
          </w:tcPr>
          <w:p w14:paraId="6CCB1CD5"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1631" w:type="dxa"/>
            <w:gridSpan w:val="2"/>
            <w:shd w:val="clear" w:color="auto" w:fill="92D050"/>
            <w:hideMark/>
          </w:tcPr>
          <w:p w14:paraId="471E0825"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Préparatoire</w:t>
            </w:r>
          </w:p>
        </w:tc>
        <w:tc>
          <w:tcPr>
            <w:tcW w:w="1814" w:type="dxa"/>
            <w:gridSpan w:val="2"/>
            <w:shd w:val="clear" w:color="auto" w:fill="92D050"/>
            <w:hideMark/>
          </w:tcPr>
          <w:p w14:paraId="662B5B84"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Photos de l’impact</w:t>
            </w:r>
          </w:p>
        </w:tc>
      </w:tr>
      <w:tr w:rsidR="00D75D2E" w:rsidRPr="00420C1B" w14:paraId="4B0EC8A0" w14:textId="77777777" w:rsidTr="00215867">
        <w:trPr>
          <w:trHeight w:val="97"/>
        </w:trPr>
        <w:tc>
          <w:tcPr>
            <w:tcW w:w="1838" w:type="dxa"/>
            <w:vMerge w:val="restart"/>
            <w:hideMark/>
          </w:tcPr>
          <w:p w14:paraId="6EDCF9A1" w14:textId="743BADCF" w:rsidR="00ED17F3" w:rsidRPr="00857867" w:rsidRDefault="00ED17F3" w:rsidP="00DE0DDC">
            <w:pPr>
              <w:spacing w:after="0" w:line="240" w:lineRule="auto"/>
              <w:rPr>
                <w:rFonts w:ascii="Times New Roman" w:hAnsi="Times New Roman"/>
                <w:b/>
                <w:sz w:val="20"/>
                <w:szCs w:val="20"/>
              </w:rPr>
            </w:pPr>
            <w:r w:rsidRPr="00857867">
              <w:rPr>
                <w:rFonts w:ascii="Times New Roman" w:hAnsi="Times New Roman"/>
                <w:b/>
                <w:sz w:val="20"/>
                <w:szCs w:val="20"/>
              </w:rPr>
              <w:t>Code 1</w:t>
            </w:r>
            <w:r w:rsidR="00501AAF">
              <w:rPr>
                <w:rFonts w:ascii="Times New Roman" w:hAnsi="Times New Roman"/>
                <w:b/>
                <w:sz w:val="20"/>
                <w:szCs w:val="20"/>
              </w:rPr>
              <w:t>2</w:t>
            </w:r>
          </w:p>
        </w:tc>
        <w:tc>
          <w:tcPr>
            <w:tcW w:w="6095" w:type="dxa"/>
            <w:gridSpan w:val="11"/>
            <w:hideMark/>
          </w:tcPr>
          <w:p w14:paraId="2E618489" w14:textId="77777777" w:rsidR="00ED17F3" w:rsidRPr="00857867" w:rsidRDefault="00ED17F3" w:rsidP="00862DBC">
            <w:pPr>
              <w:spacing w:after="0" w:line="240" w:lineRule="auto"/>
              <w:rPr>
                <w:rFonts w:ascii="Times New Roman" w:hAnsi="Times New Roman"/>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Abatage des arbres</w:t>
            </w:r>
          </w:p>
        </w:tc>
        <w:tc>
          <w:tcPr>
            <w:tcW w:w="1814" w:type="dxa"/>
            <w:gridSpan w:val="2"/>
            <w:vMerge w:val="restart"/>
          </w:tcPr>
          <w:p w14:paraId="6E2636BC"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4BC4B961" w14:textId="77777777" w:rsidTr="00215867">
        <w:trPr>
          <w:trHeight w:val="128"/>
        </w:trPr>
        <w:tc>
          <w:tcPr>
            <w:tcW w:w="1838" w:type="dxa"/>
            <w:vMerge/>
            <w:vAlign w:val="center"/>
            <w:hideMark/>
          </w:tcPr>
          <w:p w14:paraId="1133858F" w14:textId="77777777" w:rsidR="00ED17F3" w:rsidRPr="00857867" w:rsidRDefault="00ED17F3" w:rsidP="007108ED">
            <w:pPr>
              <w:spacing w:after="0" w:line="240" w:lineRule="auto"/>
              <w:rPr>
                <w:rFonts w:ascii="Times New Roman" w:hAnsi="Times New Roman"/>
                <w:b/>
                <w:sz w:val="20"/>
                <w:szCs w:val="20"/>
              </w:rPr>
            </w:pPr>
          </w:p>
        </w:tc>
        <w:tc>
          <w:tcPr>
            <w:tcW w:w="6095" w:type="dxa"/>
            <w:gridSpan w:val="11"/>
            <w:hideMark/>
          </w:tcPr>
          <w:p w14:paraId="009773DA" w14:textId="4DB5DA3E" w:rsidR="00ED17F3" w:rsidRPr="00857867" w:rsidRDefault="00ED17F3" w:rsidP="00862DBC">
            <w:pPr>
              <w:spacing w:line="240" w:lineRule="auto"/>
              <w:jc w:val="both"/>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xml:space="preserve"> : </w:t>
            </w:r>
            <w:r w:rsidR="00800B58">
              <w:rPr>
                <w:rFonts w:ascii="Times New Roman" w:hAnsi="Times New Roman"/>
                <w:sz w:val="20"/>
                <w:szCs w:val="20"/>
              </w:rPr>
              <w:t>perte de la flore urbaine par l’</w:t>
            </w:r>
            <w:r w:rsidRPr="00857867">
              <w:rPr>
                <w:rFonts w:ascii="Times New Roman" w:hAnsi="Times New Roman"/>
                <w:sz w:val="20"/>
                <w:szCs w:val="20"/>
              </w:rPr>
              <w:t>Abattage de</w:t>
            </w:r>
            <w:r w:rsidRPr="00857867">
              <w:rPr>
                <w:rFonts w:ascii="Times New Roman" w:eastAsia="Times New Roman" w:hAnsi="Times New Roman"/>
                <w:sz w:val="20"/>
                <w:szCs w:val="20"/>
                <w:lang w:eastAsia="fr-FR"/>
              </w:rPr>
              <w:t xml:space="preserve"> </w:t>
            </w:r>
            <w:bookmarkStart w:id="636" w:name="_Hlk518934836"/>
            <w:r w:rsidR="00BD0D91" w:rsidRPr="00857867">
              <w:rPr>
                <w:rFonts w:ascii="Times New Roman" w:eastAsia="Times New Roman" w:hAnsi="Times New Roman"/>
                <w:sz w:val="20"/>
                <w:szCs w:val="20"/>
                <w:lang w:eastAsia="fr-FR"/>
              </w:rPr>
              <w:t>815</w:t>
            </w:r>
            <w:r w:rsidRPr="00857867">
              <w:rPr>
                <w:rFonts w:ascii="Times New Roman" w:eastAsia="Times New Roman" w:hAnsi="Times New Roman"/>
                <w:sz w:val="20"/>
                <w:szCs w:val="20"/>
                <w:lang w:eastAsia="fr-FR"/>
              </w:rPr>
              <w:t xml:space="preserve"> arbres du domaine privé </w:t>
            </w:r>
            <w:bookmarkEnd w:id="636"/>
          </w:p>
        </w:tc>
        <w:tc>
          <w:tcPr>
            <w:tcW w:w="1814" w:type="dxa"/>
            <w:gridSpan w:val="2"/>
            <w:vMerge/>
            <w:vAlign w:val="center"/>
            <w:hideMark/>
          </w:tcPr>
          <w:p w14:paraId="4D442ED0"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24BDBDD2" w14:textId="77777777" w:rsidTr="00215867">
        <w:trPr>
          <w:trHeight w:val="256"/>
        </w:trPr>
        <w:tc>
          <w:tcPr>
            <w:tcW w:w="1838" w:type="dxa"/>
            <w:vMerge w:val="restart"/>
            <w:hideMark/>
          </w:tcPr>
          <w:p w14:paraId="55089F0B" w14:textId="77777777" w:rsidR="005B6A08" w:rsidRPr="00857867" w:rsidRDefault="005B6A08" w:rsidP="005B6A08">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260" w:type="dxa"/>
            <w:gridSpan w:val="7"/>
            <w:vMerge w:val="restart"/>
          </w:tcPr>
          <w:p w14:paraId="46CA5CE9" w14:textId="77777777" w:rsidR="005B6A08" w:rsidRPr="00857867" w:rsidRDefault="005B6A08" w:rsidP="005B6A08">
            <w:pPr>
              <w:spacing w:after="0" w:line="240" w:lineRule="auto"/>
              <w:jc w:val="both"/>
              <w:rPr>
                <w:rFonts w:ascii="Times New Roman" w:hAnsi="Times New Roman"/>
                <w:sz w:val="20"/>
                <w:szCs w:val="20"/>
              </w:rPr>
            </w:pPr>
            <w:r w:rsidRPr="00857867">
              <w:rPr>
                <w:rFonts w:ascii="Times New Roman" w:hAnsi="Times New Roman"/>
                <w:sz w:val="20"/>
                <w:szCs w:val="20"/>
              </w:rPr>
              <w:t xml:space="preserve">zone d’évolution des travaux (emprise des lignes) </w:t>
            </w:r>
          </w:p>
        </w:tc>
        <w:tc>
          <w:tcPr>
            <w:tcW w:w="1204" w:type="dxa"/>
            <w:gridSpan w:val="2"/>
            <w:hideMark/>
          </w:tcPr>
          <w:p w14:paraId="5C5B3068" w14:textId="77777777" w:rsidR="005B6A08" w:rsidRPr="00857867" w:rsidRDefault="005B6A08" w:rsidP="005B6A08">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631" w:type="dxa"/>
            <w:gridSpan w:val="2"/>
            <w:hideMark/>
          </w:tcPr>
          <w:p w14:paraId="315CF6D9" w14:textId="77777777" w:rsidR="005B6A08" w:rsidRPr="00857867" w:rsidRDefault="005B6A08" w:rsidP="005B6A08">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814" w:type="dxa"/>
            <w:gridSpan w:val="2"/>
            <w:vMerge w:val="restart"/>
            <w:hideMark/>
          </w:tcPr>
          <w:p w14:paraId="5676C057" w14:textId="77777777" w:rsidR="005B6A08" w:rsidRPr="00857867" w:rsidRDefault="005B6A08" w:rsidP="005B6A08">
            <w:pPr>
              <w:spacing w:after="0" w:line="240" w:lineRule="auto"/>
              <w:jc w:val="center"/>
              <w:rPr>
                <w:rFonts w:ascii="Times New Roman" w:hAnsi="Times New Roman"/>
                <w:sz w:val="20"/>
                <w:szCs w:val="20"/>
              </w:rPr>
            </w:pPr>
          </w:p>
        </w:tc>
      </w:tr>
      <w:tr w:rsidR="00D75D2E" w:rsidRPr="00420C1B" w14:paraId="55E6D4BF" w14:textId="77777777" w:rsidTr="00215867">
        <w:trPr>
          <w:trHeight w:val="251"/>
        </w:trPr>
        <w:tc>
          <w:tcPr>
            <w:tcW w:w="1838" w:type="dxa"/>
            <w:vMerge/>
            <w:vAlign w:val="center"/>
            <w:hideMark/>
          </w:tcPr>
          <w:p w14:paraId="1E27F091" w14:textId="77777777" w:rsidR="005B6A08" w:rsidRPr="00857867" w:rsidRDefault="005B6A08" w:rsidP="005B6A08">
            <w:pPr>
              <w:spacing w:after="0" w:line="240" w:lineRule="auto"/>
              <w:rPr>
                <w:rFonts w:ascii="Times New Roman" w:eastAsia="Times New Roman" w:hAnsi="Times New Roman"/>
                <w:sz w:val="20"/>
                <w:szCs w:val="20"/>
                <w:lang w:eastAsia="fr-FR"/>
              </w:rPr>
            </w:pPr>
          </w:p>
        </w:tc>
        <w:tc>
          <w:tcPr>
            <w:tcW w:w="3260" w:type="dxa"/>
            <w:gridSpan w:val="7"/>
            <w:vMerge/>
            <w:vAlign w:val="center"/>
            <w:hideMark/>
          </w:tcPr>
          <w:p w14:paraId="7D44A4E4" w14:textId="77777777" w:rsidR="005B6A08" w:rsidRPr="00857867" w:rsidRDefault="005B6A08" w:rsidP="005B6A08">
            <w:pPr>
              <w:spacing w:after="0" w:line="240" w:lineRule="auto"/>
              <w:rPr>
                <w:rFonts w:ascii="Times New Roman" w:eastAsia="Times New Roman" w:hAnsi="Times New Roman"/>
                <w:sz w:val="20"/>
                <w:szCs w:val="20"/>
                <w:lang w:eastAsia="fr-FR"/>
              </w:rPr>
            </w:pPr>
          </w:p>
        </w:tc>
        <w:tc>
          <w:tcPr>
            <w:tcW w:w="1204" w:type="dxa"/>
            <w:gridSpan w:val="2"/>
          </w:tcPr>
          <w:p w14:paraId="4D76C433" w14:textId="77777777" w:rsidR="005B6A08" w:rsidRPr="00857867" w:rsidRDefault="005B6A08" w:rsidP="005B6A08">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631" w:type="dxa"/>
            <w:gridSpan w:val="2"/>
          </w:tcPr>
          <w:p w14:paraId="6051BEA7" w14:textId="77777777" w:rsidR="005B6A08" w:rsidRPr="00857867" w:rsidRDefault="005B6A08" w:rsidP="005B6A08">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814" w:type="dxa"/>
            <w:gridSpan w:val="2"/>
            <w:vMerge/>
            <w:vAlign w:val="center"/>
            <w:hideMark/>
          </w:tcPr>
          <w:p w14:paraId="3B0BFC9D" w14:textId="77777777" w:rsidR="005B6A08" w:rsidRPr="00857867" w:rsidRDefault="005B6A08" w:rsidP="005B6A08">
            <w:pPr>
              <w:spacing w:after="0" w:line="240" w:lineRule="auto"/>
              <w:rPr>
                <w:rFonts w:ascii="Times New Roman" w:hAnsi="Times New Roman"/>
                <w:sz w:val="20"/>
                <w:szCs w:val="20"/>
              </w:rPr>
            </w:pPr>
          </w:p>
        </w:tc>
      </w:tr>
      <w:tr w:rsidR="00D75D2E" w:rsidRPr="00420C1B" w14:paraId="701C7862" w14:textId="77777777" w:rsidTr="00215867">
        <w:trPr>
          <w:trHeight w:val="252"/>
        </w:trPr>
        <w:tc>
          <w:tcPr>
            <w:tcW w:w="1838" w:type="dxa"/>
            <w:vMerge/>
            <w:vAlign w:val="center"/>
            <w:hideMark/>
          </w:tcPr>
          <w:p w14:paraId="137C88B1" w14:textId="77777777" w:rsidR="005B6A08" w:rsidRPr="00857867" w:rsidRDefault="005B6A08" w:rsidP="005B6A08">
            <w:pPr>
              <w:spacing w:after="0" w:line="240" w:lineRule="auto"/>
              <w:rPr>
                <w:rFonts w:ascii="Times New Roman" w:eastAsia="Times New Roman" w:hAnsi="Times New Roman"/>
                <w:sz w:val="20"/>
                <w:szCs w:val="20"/>
                <w:lang w:eastAsia="fr-FR"/>
              </w:rPr>
            </w:pPr>
          </w:p>
        </w:tc>
        <w:tc>
          <w:tcPr>
            <w:tcW w:w="3260" w:type="dxa"/>
            <w:gridSpan w:val="7"/>
            <w:vMerge/>
            <w:hideMark/>
          </w:tcPr>
          <w:p w14:paraId="2B94B7F5" w14:textId="77777777" w:rsidR="005B6A08" w:rsidRPr="00857867" w:rsidRDefault="005B6A08" w:rsidP="005B6A08">
            <w:pPr>
              <w:spacing w:after="0" w:line="240" w:lineRule="auto"/>
              <w:jc w:val="both"/>
              <w:rPr>
                <w:rFonts w:ascii="Times New Roman" w:eastAsia="Times New Roman" w:hAnsi="Times New Roman"/>
                <w:sz w:val="20"/>
                <w:szCs w:val="20"/>
                <w:lang w:eastAsia="fr-FR"/>
              </w:rPr>
            </w:pPr>
          </w:p>
        </w:tc>
        <w:tc>
          <w:tcPr>
            <w:tcW w:w="1204" w:type="dxa"/>
            <w:gridSpan w:val="2"/>
          </w:tcPr>
          <w:p w14:paraId="0361FAB0" w14:textId="77777777" w:rsidR="005B6A08" w:rsidRPr="00857867" w:rsidRDefault="005B6A08" w:rsidP="005B6A08">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631" w:type="dxa"/>
            <w:gridSpan w:val="2"/>
          </w:tcPr>
          <w:p w14:paraId="60DAECC1" w14:textId="77777777" w:rsidR="005B6A08" w:rsidRPr="00857867" w:rsidRDefault="005B6A08" w:rsidP="005B6A08">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814" w:type="dxa"/>
            <w:gridSpan w:val="2"/>
            <w:vMerge/>
            <w:vAlign w:val="center"/>
            <w:hideMark/>
          </w:tcPr>
          <w:p w14:paraId="49B99881" w14:textId="77777777" w:rsidR="005B6A08" w:rsidRPr="00857867" w:rsidRDefault="005B6A08" w:rsidP="005B6A08">
            <w:pPr>
              <w:spacing w:after="0" w:line="240" w:lineRule="auto"/>
              <w:rPr>
                <w:rFonts w:ascii="Times New Roman" w:hAnsi="Times New Roman"/>
                <w:sz w:val="20"/>
                <w:szCs w:val="20"/>
              </w:rPr>
            </w:pPr>
          </w:p>
        </w:tc>
      </w:tr>
      <w:tr w:rsidR="00D75D2E" w:rsidRPr="00420C1B" w14:paraId="72734B9C" w14:textId="77777777" w:rsidTr="00215867">
        <w:trPr>
          <w:trHeight w:val="248"/>
        </w:trPr>
        <w:tc>
          <w:tcPr>
            <w:tcW w:w="1838" w:type="dxa"/>
            <w:vMerge w:val="restart"/>
          </w:tcPr>
          <w:p w14:paraId="0F433A8B" w14:textId="77777777" w:rsidR="00ED17F3" w:rsidRPr="00857867" w:rsidRDefault="00ED17F3" w:rsidP="007108ED">
            <w:pPr>
              <w:spacing w:after="0" w:line="240" w:lineRule="auto"/>
              <w:rPr>
                <w:rFonts w:ascii="Times New Roman" w:hAnsi="Times New Roman"/>
                <w:b/>
                <w:sz w:val="20"/>
                <w:szCs w:val="20"/>
              </w:rPr>
            </w:pPr>
          </w:p>
          <w:p w14:paraId="2129B28D"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Analyse de l’impact</w:t>
            </w:r>
          </w:p>
        </w:tc>
        <w:tc>
          <w:tcPr>
            <w:tcW w:w="1389" w:type="dxa"/>
            <w:gridSpan w:val="3"/>
            <w:vMerge w:val="restart"/>
            <w:hideMark/>
          </w:tcPr>
          <w:p w14:paraId="57B38CB5"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1E29F285"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446" w:type="dxa"/>
            <w:gridSpan w:val="2"/>
            <w:hideMark/>
          </w:tcPr>
          <w:p w14:paraId="4A4987F8" w14:textId="77777777" w:rsidR="00ED17F3" w:rsidRPr="00857867" w:rsidRDefault="00ED17F3" w:rsidP="00215867">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1629" w:type="dxa"/>
            <w:gridSpan w:val="4"/>
            <w:hideMark/>
          </w:tcPr>
          <w:p w14:paraId="01F22305" w14:textId="77777777" w:rsidR="00ED17F3" w:rsidRPr="00857867" w:rsidRDefault="00ED17F3" w:rsidP="00215867">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Etendue</w:t>
            </w:r>
          </w:p>
        </w:tc>
        <w:tc>
          <w:tcPr>
            <w:tcW w:w="1631" w:type="dxa"/>
            <w:gridSpan w:val="2"/>
            <w:hideMark/>
          </w:tcPr>
          <w:p w14:paraId="413615D6" w14:textId="77777777" w:rsidR="00ED17F3" w:rsidRPr="00857867" w:rsidRDefault="00ED17F3" w:rsidP="00215867">
            <w:pPr>
              <w:autoSpaceDE w:val="0"/>
              <w:autoSpaceDN w:val="0"/>
              <w:adjustRightInd w:val="0"/>
              <w:spacing w:after="0" w:line="240" w:lineRule="auto"/>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814" w:type="dxa"/>
            <w:gridSpan w:val="2"/>
            <w:hideMark/>
          </w:tcPr>
          <w:p w14:paraId="52F0943A" w14:textId="77777777" w:rsidR="00ED17F3" w:rsidRPr="00857867" w:rsidRDefault="00ED17F3" w:rsidP="00F01CD9">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Importance</w:t>
            </w:r>
          </w:p>
        </w:tc>
      </w:tr>
      <w:tr w:rsidR="00D75D2E" w:rsidRPr="00420C1B" w14:paraId="425A5AB7" w14:textId="77777777" w:rsidTr="00215867">
        <w:trPr>
          <w:trHeight w:val="264"/>
        </w:trPr>
        <w:tc>
          <w:tcPr>
            <w:tcW w:w="1838" w:type="dxa"/>
            <w:vMerge/>
            <w:vAlign w:val="center"/>
            <w:hideMark/>
          </w:tcPr>
          <w:p w14:paraId="4C289802" w14:textId="77777777" w:rsidR="00ED17F3" w:rsidRPr="00857867" w:rsidRDefault="00ED17F3" w:rsidP="007108ED">
            <w:pPr>
              <w:spacing w:after="0" w:line="240" w:lineRule="auto"/>
              <w:rPr>
                <w:rFonts w:ascii="Times New Roman" w:hAnsi="Times New Roman"/>
                <w:b/>
                <w:sz w:val="20"/>
                <w:szCs w:val="20"/>
              </w:rPr>
            </w:pPr>
          </w:p>
        </w:tc>
        <w:tc>
          <w:tcPr>
            <w:tcW w:w="1389" w:type="dxa"/>
            <w:gridSpan w:val="3"/>
            <w:vMerge/>
            <w:vAlign w:val="center"/>
            <w:hideMark/>
          </w:tcPr>
          <w:p w14:paraId="4C5C53C7" w14:textId="77777777" w:rsidR="00ED17F3" w:rsidRPr="00857867" w:rsidRDefault="00ED17F3" w:rsidP="007108ED">
            <w:pPr>
              <w:spacing w:after="0" w:line="240" w:lineRule="auto"/>
              <w:rPr>
                <w:rFonts w:ascii="Times New Roman" w:eastAsia="Times New Roman" w:hAnsi="Times New Roman"/>
                <w:bCs/>
                <w:sz w:val="20"/>
                <w:szCs w:val="20"/>
              </w:rPr>
            </w:pPr>
          </w:p>
        </w:tc>
        <w:tc>
          <w:tcPr>
            <w:tcW w:w="1446" w:type="dxa"/>
            <w:gridSpan w:val="2"/>
            <w:vAlign w:val="center"/>
            <w:hideMark/>
          </w:tcPr>
          <w:p w14:paraId="0D06C4F9" w14:textId="77777777" w:rsidR="00ED17F3" w:rsidRPr="00857867" w:rsidRDefault="00ED17F3" w:rsidP="00215867">
            <w:pPr>
              <w:spacing w:after="0" w:line="240" w:lineRule="auto"/>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1629" w:type="dxa"/>
            <w:gridSpan w:val="4"/>
            <w:vAlign w:val="center"/>
            <w:hideMark/>
          </w:tcPr>
          <w:p w14:paraId="57BF4977" w14:textId="77777777" w:rsidR="00ED17F3" w:rsidRPr="00857867" w:rsidRDefault="00ED17F3" w:rsidP="00215867">
            <w:pPr>
              <w:spacing w:after="0" w:line="240" w:lineRule="auto"/>
              <w:rPr>
                <w:rFonts w:ascii="Times New Roman" w:eastAsia="Times New Roman" w:hAnsi="Times New Roman"/>
                <w:sz w:val="20"/>
                <w:szCs w:val="20"/>
                <w:lang w:eastAsia="fr-FR"/>
              </w:rPr>
            </w:pPr>
            <w:r w:rsidRPr="00857867">
              <w:rPr>
                <w:rFonts w:ascii="Times New Roman" w:hAnsi="Times New Roman"/>
                <w:sz w:val="20"/>
                <w:szCs w:val="20"/>
              </w:rPr>
              <w:t>Ponctuelle</w:t>
            </w:r>
          </w:p>
        </w:tc>
        <w:tc>
          <w:tcPr>
            <w:tcW w:w="1631" w:type="dxa"/>
            <w:gridSpan w:val="2"/>
            <w:vAlign w:val="center"/>
            <w:hideMark/>
          </w:tcPr>
          <w:p w14:paraId="60723F3B" w14:textId="77777777" w:rsidR="00ED17F3" w:rsidRPr="00857867" w:rsidRDefault="00ED17F3" w:rsidP="00215867">
            <w:pPr>
              <w:spacing w:after="0" w:line="240" w:lineRule="auto"/>
              <w:rPr>
                <w:rFonts w:ascii="Times New Roman" w:eastAsia="Times New Roman" w:hAnsi="Times New Roman"/>
                <w:sz w:val="20"/>
                <w:szCs w:val="20"/>
                <w:lang w:eastAsia="fr-FR"/>
              </w:rPr>
            </w:pPr>
            <w:r w:rsidRPr="00857867">
              <w:rPr>
                <w:rFonts w:ascii="Times New Roman" w:eastAsia="Times New Roman" w:hAnsi="Times New Roman"/>
                <w:bCs/>
                <w:sz w:val="20"/>
                <w:szCs w:val="20"/>
              </w:rPr>
              <w:t>Permanente</w:t>
            </w:r>
          </w:p>
        </w:tc>
        <w:tc>
          <w:tcPr>
            <w:tcW w:w="1814" w:type="dxa"/>
            <w:gridSpan w:val="2"/>
            <w:vAlign w:val="center"/>
            <w:hideMark/>
          </w:tcPr>
          <w:p w14:paraId="19F0B4F2" w14:textId="77777777" w:rsidR="00ED17F3" w:rsidRPr="00857867" w:rsidRDefault="00ED17F3" w:rsidP="00F01CD9">
            <w:pPr>
              <w:spacing w:after="0" w:line="240" w:lineRule="auto"/>
              <w:rPr>
                <w:rFonts w:ascii="Times New Roman" w:hAnsi="Times New Roman"/>
                <w:sz w:val="20"/>
                <w:szCs w:val="20"/>
              </w:rPr>
            </w:pPr>
            <w:r w:rsidRPr="00857867">
              <w:rPr>
                <w:rFonts w:ascii="Times New Roman" w:hAnsi="Times New Roman"/>
                <w:sz w:val="20"/>
                <w:szCs w:val="20"/>
              </w:rPr>
              <w:t>Moyenne</w:t>
            </w:r>
          </w:p>
        </w:tc>
      </w:tr>
      <w:tr w:rsidR="00D75D2E" w:rsidRPr="00420C1B" w14:paraId="4000744D" w14:textId="77777777" w:rsidTr="00215867">
        <w:trPr>
          <w:trHeight w:val="264"/>
        </w:trPr>
        <w:tc>
          <w:tcPr>
            <w:tcW w:w="1838" w:type="dxa"/>
            <w:vMerge/>
            <w:vAlign w:val="center"/>
          </w:tcPr>
          <w:p w14:paraId="1F56FE2B" w14:textId="77777777" w:rsidR="00F90D97" w:rsidRPr="00857867" w:rsidRDefault="00F90D97" w:rsidP="00F90D97">
            <w:pPr>
              <w:spacing w:after="0" w:line="240" w:lineRule="auto"/>
              <w:rPr>
                <w:rFonts w:ascii="Times New Roman" w:hAnsi="Times New Roman"/>
                <w:b/>
                <w:sz w:val="20"/>
                <w:szCs w:val="20"/>
              </w:rPr>
            </w:pPr>
          </w:p>
        </w:tc>
        <w:tc>
          <w:tcPr>
            <w:tcW w:w="1389" w:type="dxa"/>
            <w:gridSpan w:val="3"/>
            <w:vAlign w:val="center"/>
          </w:tcPr>
          <w:p w14:paraId="6761695F" w14:textId="77777777" w:rsidR="00F90D97" w:rsidRPr="00857867" w:rsidRDefault="00F90D97" w:rsidP="00F90D97">
            <w:pPr>
              <w:spacing w:after="0" w:line="240" w:lineRule="auto"/>
              <w:rPr>
                <w:rFonts w:ascii="Times New Roman" w:eastAsia="Times New Roman" w:hAnsi="Times New Roman"/>
                <w:bCs/>
                <w:sz w:val="20"/>
                <w:szCs w:val="20"/>
              </w:rPr>
            </w:pPr>
          </w:p>
        </w:tc>
        <w:tc>
          <w:tcPr>
            <w:tcW w:w="1446" w:type="dxa"/>
            <w:gridSpan w:val="2"/>
            <w:vAlign w:val="center"/>
          </w:tcPr>
          <w:p w14:paraId="1F1452BB" w14:textId="6DDE9139"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Interaction</w:t>
            </w:r>
          </w:p>
        </w:tc>
        <w:tc>
          <w:tcPr>
            <w:tcW w:w="1629" w:type="dxa"/>
            <w:gridSpan w:val="4"/>
          </w:tcPr>
          <w:p w14:paraId="69B69504"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Occurrence</w:t>
            </w:r>
          </w:p>
        </w:tc>
        <w:tc>
          <w:tcPr>
            <w:tcW w:w="1631" w:type="dxa"/>
            <w:gridSpan w:val="2"/>
          </w:tcPr>
          <w:p w14:paraId="1C7FA66D"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Réversibilité</w:t>
            </w:r>
          </w:p>
        </w:tc>
        <w:tc>
          <w:tcPr>
            <w:tcW w:w="1814" w:type="dxa"/>
            <w:gridSpan w:val="2"/>
          </w:tcPr>
          <w:p w14:paraId="6820739E"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Cumulativité</w:t>
            </w:r>
          </w:p>
        </w:tc>
      </w:tr>
      <w:tr w:rsidR="00D75D2E" w:rsidRPr="00420C1B" w14:paraId="0F5767B8" w14:textId="77777777" w:rsidTr="00215867">
        <w:trPr>
          <w:trHeight w:val="264"/>
        </w:trPr>
        <w:tc>
          <w:tcPr>
            <w:tcW w:w="1838" w:type="dxa"/>
            <w:vMerge/>
            <w:vAlign w:val="center"/>
          </w:tcPr>
          <w:p w14:paraId="6C7A8A22" w14:textId="77777777" w:rsidR="00F90D97" w:rsidRPr="00857867" w:rsidRDefault="00F90D97" w:rsidP="00F90D97">
            <w:pPr>
              <w:spacing w:after="0" w:line="240" w:lineRule="auto"/>
              <w:rPr>
                <w:rFonts w:ascii="Times New Roman" w:hAnsi="Times New Roman"/>
                <w:b/>
                <w:sz w:val="20"/>
                <w:szCs w:val="20"/>
              </w:rPr>
            </w:pPr>
          </w:p>
        </w:tc>
        <w:tc>
          <w:tcPr>
            <w:tcW w:w="1389" w:type="dxa"/>
            <w:gridSpan w:val="3"/>
            <w:vAlign w:val="center"/>
          </w:tcPr>
          <w:p w14:paraId="3412243A" w14:textId="77777777" w:rsidR="00F90D97" w:rsidRPr="00857867" w:rsidRDefault="00F90D97" w:rsidP="00F90D97">
            <w:pPr>
              <w:spacing w:after="0" w:line="240" w:lineRule="auto"/>
              <w:rPr>
                <w:rFonts w:ascii="Times New Roman" w:eastAsia="Times New Roman" w:hAnsi="Times New Roman"/>
                <w:bCs/>
                <w:sz w:val="20"/>
                <w:szCs w:val="20"/>
              </w:rPr>
            </w:pPr>
          </w:p>
        </w:tc>
        <w:tc>
          <w:tcPr>
            <w:tcW w:w="1446" w:type="dxa"/>
            <w:gridSpan w:val="2"/>
            <w:vAlign w:val="center"/>
          </w:tcPr>
          <w:p w14:paraId="370491DF"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Cs/>
                <w:sz w:val="20"/>
                <w:szCs w:val="20"/>
              </w:rPr>
              <w:t>Directe</w:t>
            </w:r>
          </w:p>
        </w:tc>
        <w:tc>
          <w:tcPr>
            <w:tcW w:w="1629" w:type="dxa"/>
            <w:gridSpan w:val="4"/>
            <w:vAlign w:val="center"/>
          </w:tcPr>
          <w:p w14:paraId="455CF8D2" w14:textId="77777777" w:rsidR="00F90D97" w:rsidRPr="00857867" w:rsidRDefault="00F90D97" w:rsidP="00215867">
            <w:pPr>
              <w:spacing w:after="0" w:line="240" w:lineRule="auto"/>
              <w:rPr>
                <w:rFonts w:ascii="Times New Roman" w:hAnsi="Times New Roman"/>
                <w:sz w:val="20"/>
                <w:szCs w:val="20"/>
              </w:rPr>
            </w:pPr>
            <w:r w:rsidRPr="00420C1B">
              <w:rPr>
                <w:rFonts w:ascii="Times New Roman" w:hAnsi="Times New Roman"/>
                <w:sz w:val="20"/>
                <w:szCs w:val="20"/>
              </w:rPr>
              <w:t>Certaine</w:t>
            </w:r>
          </w:p>
        </w:tc>
        <w:tc>
          <w:tcPr>
            <w:tcW w:w="1631" w:type="dxa"/>
            <w:gridSpan w:val="2"/>
            <w:vAlign w:val="center"/>
          </w:tcPr>
          <w:p w14:paraId="1AC25DD8" w14:textId="77777777" w:rsidR="00F90D97" w:rsidRPr="00857867" w:rsidRDefault="00F90D97" w:rsidP="00215867">
            <w:pPr>
              <w:spacing w:after="0" w:line="240" w:lineRule="auto"/>
              <w:rPr>
                <w:rFonts w:ascii="Times New Roman" w:hAnsi="Times New Roman"/>
                <w:sz w:val="20"/>
                <w:szCs w:val="20"/>
              </w:rPr>
            </w:pPr>
            <w:r w:rsidRPr="00420C1B">
              <w:rPr>
                <w:rFonts w:ascii="Times New Roman" w:hAnsi="Times New Roman"/>
                <w:sz w:val="20"/>
                <w:szCs w:val="20"/>
              </w:rPr>
              <w:t>Irréversible</w:t>
            </w:r>
          </w:p>
        </w:tc>
        <w:tc>
          <w:tcPr>
            <w:tcW w:w="1814" w:type="dxa"/>
            <w:gridSpan w:val="2"/>
            <w:vAlign w:val="center"/>
          </w:tcPr>
          <w:p w14:paraId="2D96DADF" w14:textId="77777777" w:rsidR="00F90D97" w:rsidRPr="00857867" w:rsidRDefault="00F90D97" w:rsidP="00215867">
            <w:pPr>
              <w:spacing w:after="0" w:line="240" w:lineRule="auto"/>
              <w:rPr>
                <w:rFonts w:ascii="Times New Roman" w:hAnsi="Times New Roman"/>
                <w:sz w:val="20"/>
                <w:szCs w:val="20"/>
              </w:rPr>
            </w:pPr>
            <w:r w:rsidRPr="00420C1B">
              <w:rPr>
                <w:rFonts w:ascii="Times New Roman" w:hAnsi="Times New Roman"/>
                <w:sz w:val="20"/>
                <w:szCs w:val="20"/>
              </w:rPr>
              <w:t>Non</w:t>
            </w:r>
          </w:p>
        </w:tc>
      </w:tr>
      <w:tr w:rsidR="00D75D2E" w:rsidRPr="00420C1B" w14:paraId="366BC0D3" w14:textId="77777777" w:rsidTr="00215867">
        <w:trPr>
          <w:trHeight w:val="264"/>
        </w:trPr>
        <w:tc>
          <w:tcPr>
            <w:tcW w:w="1838" w:type="dxa"/>
            <w:vMerge/>
            <w:vAlign w:val="center"/>
          </w:tcPr>
          <w:p w14:paraId="2732B4FE" w14:textId="77777777" w:rsidR="00F90D97" w:rsidRPr="00857867" w:rsidRDefault="00F90D97" w:rsidP="00F90D97">
            <w:pPr>
              <w:spacing w:after="0" w:line="240" w:lineRule="auto"/>
              <w:rPr>
                <w:rFonts w:ascii="Times New Roman" w:hAnsi="Times New Roman"/>
                <w:b/>
                <w:sz w:val="20"/>
                <w:szCs w:val="20"/>
              </w:rPr>
            </w:pPr>
          </w:p>
        </w:tc>
        <w:tc>
          <w:tcPr>
            <w:tcW w:w="1389" w:type="dxa"/>
            <w:gridSpan w:val="3"/>
            <w:vAlign w:val="center"/>
          </w:tcPr>
          <w:p w14:paraId="5F56421F" w14:textId="77777777" w:rsidR="00F90D97" w:rsidRPr="00857867" w:rsidRDefault="00F90D97" w:rsidP="00F90D97">
            <w:pPr>
              <w:spacing w:after="0" w:line="240" w:lineRule="auto"/>
              <w:rPr>
                <w:rFonts w:ascii="Times New Roman" w:eastAsia="Times New Roman" w:hAnsi="Times New Roman"/>
                <w:bCs/>
                <w:sz w:val="20"/>
                <w:szCs w:val="20"/>
              </w:rPr>
            </w:pPr>
          </w:p>
        </w:tc>
        <w:tc>
          <w:tcPr>
            <w:tcW w:w="1446" w:type="dxa"/>
            <w:gridSpan w:val="2"/>
          </w:tcPr>
          <w:p w14:paraId="0B3394E7"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
                <w:bCs/>
                <w:i/>
                <w:sz w:val="20"/>
                <w:szCs w:val="20"/>
              </w:rPr>
              <w:t>Fréquence</w:t>
            </w:r>
          </w:p>
        </w:tc>
        <w:tc>
          <w:tcPr>
            <w:tcW w:w="1629" w:type="dxa"/>
            <w:gridSpan w:val="4"/>
            <w:vAlign w:val="center"/>
          </w:tcPr>
          <w:p w14:paraId="54E41C23" w14:textId="77777777" w:rsidR="00F90D97" w:rsidRPr="00857867" w:rsidRDefault="00F90D97" w:rsidP="00215867">
            <w:pPr>
              <w:spacing w:after="0" w:line="240" w:lineRule="auto"/>
              <w:rPr>
                <w:rFonts w:ascii="Times New Roman" w:hAnsi="Times New Roman"/>
                <w:sz w:val="20"/>
                <w:szCs w:val="20"/>
              </w:rPr>
            </w:pPr>
            <w:r w:rsidRPr="00420C1B">
              <w:rPr>
                <w:rFonts w:ascii="Times New Roman" w:hAnsi="Times New Roman"/>
                <w:b/>
                <w:sz w:val="20"/>
                <w:szCs w:val="20"/>
              </w:rPr>
              <w:t>Valeur</w:t>
            </w:r>
          </w:p>
        </w:tc>
        <w:tc>
          <w:tcPr>
            <w:tcW w:w="1631" w:type="dxa"/>
            <w:gridSpan w:val="2"/>
            <w:vAlign w:val="center"/>
          </w:tcPr>
          <w:p w14:paraId="4E1849B9" w14:textId="77777777" w:rsidR="00F90D97" w:rsidRPr="00857867" w:rsidRDefault="00F90D97" w:rsidP="00215867">
            <w:pPr>
              <w:spacing w:after="0" w:line="240" w:lineRule="auto"/>
              <w:rPr>
                <w:rFonts w:ascii="Times New Roman" w:hAnsi="Times New Roman"/>
                <w:sz w:val="20"/>
                <w:szCs w:val="20"/>
              </w:rPr>
            </w:pPr>
          </w:p>
        </w:tc>
        <w:tc>
          <w:tcPr>
            <w:tcW w:w="1814" w:type="dxa"/>
            <w:gridSpan w:val="2"/>
            <w:vAlign w:val="center"/>
          </w:tcPr>
          <w:p w14:paraId="14D12456" w14:textId="77777777" w:rsidR="00F90D97" w:rsidRPr="00857867" w:rsidRDefault="00F90D97" w:rsidP="00215867">
            <w:pPr>
              <w:spacing w:after="0" w:line="240" w:lineRule="auto"/>
              <w:rPr>
                <w:rFonts w:ascii="Times New Roman" w:hAnsi="Times New Roman"/>
                <w:sz w:val="20"/>
                <w:szCs w:val="20"/>
              </w:rPr>
            </w:pPr>
          </w:p>
        </w:tc>
      </w:tr>
      <w:tr w:rsidR="00D75D2E" w:rsidRPr="00420C1B" w14:paraId="5D871AC2" w14:textId="77777777" w:rsidTr="00215867">
        <w:trPr>
          <w:trHeight w:val="264"/>
        </w:trPr>
        <w:tc>
          <w:tcPr>
            <w:tcW w:w="1838" w:type="dxa"/>
            <w:vMerge/>
            <w:vAlign w:val="center"/>
          </w:tcPr>
          <w:p w14:paraId="5ED1205D" w14:textId="77777777" w:rsidR="00F90D97" w:rsidRPr="00857867" w:rsidRDefault="00F90D97" w:rsidP="00F90D97">
            <w:pPr>
              <w:spacing w:after="0" w:line="240" w:lineRule="auto"/>
              <w:rPr>
                <w:rFonts w:ascii="Times New Roman" w:hAnsi="Times New Roman"/>
                <w:b/>
                <w:sz w:val="20"/>
                <w:szCs w:val="20"/>
              </w:rPr>
            </w:pPr>
          </w:p>
        </w:tc>
        <w:tc>
          <w:tcPr>
            <w:tcW w:w="1389" w:type="dxa"/>
            <w:gridSpan w:val="3"/>
            <w:vAlign w:val="center"/>
          </w:tcPr>
          <w:p w14:paraId="17D37517" w14:textId="77777777" w:rsidR="00F90D97" w:rsidRPr="00857867" w:rsidRDefault="00F90D97" w:rsidP="00F90D97">
            <w:pPr>
              <w:spacing w:after="0" w:line="240" w:lineRule="auto"/>
              <w:rPr>
                <w:rFonts w:ascii="Times New Roman" w:eastAsia="Times New Roman" w:hAnsi="Times New Roman"/>
                <w:bCs/>
                <w:sz w:val="20"/>
                <w:szCs w:val="20"/>
              </w:rPr>
            </w:pPr>
          </w:p>
        </w:tc>
        <w:tc>
          <w:tcPr>
            <w:tcW w:w="1446" w:type="dxa"/>
            <w:gridSpan w:val="2"/>
            <w:vAlign w:val="center"/>
          </w:tcPr>
          <w:p w14:paraId="263FBD03" w14:textId="77777777" w:rsidR="00F90D97" w:rsidRPr="00857867" w:rsidRDefault="00F90D97" w:rsidP="00215867">
            <w:pPr>
              <w:spacing w:after="0" w:line="240" w:lineRule="auto"/>
              <w:rPr>
                <w:rFonts w:ascii="Times New Roman" w:hAnsi="Times New Roman"/>
                <w:sz w:val="20"/>
                <w:szCs w:val="20"/>
              </w:rPr>
            </w:pPr>
            <w:r w:rsidRPr="00420C1B">
              <w:rPr>
                <w:rFonts w:ascii="Times New Roman" w:hAnsi="Times New Roman"/>
                <w:sz w:val="20"/>
                <w:szCs w:val="20"/>
              </w:rPr>
              <w:t>Continue</w:t>
            </w:r>
          </w:p>
        </w:tc>
        <w:tc>
          <w:tcPr>
            <w:tcW w:w="1629" w:type="dxa"/>
            <w:gridSpan w:val="4"/>
            <w:vAlign w:val="center"/>
          </w:tcPr>
          <w:p w14:paraId="7642E4C4" w14:textId="77777777" w:rsidR="00F90D97" w:rsidRPr="00857867" w:rsidRDefault="00F90D97" w:rsidP="00215867">
            <w:pPr>
              <w:spacing w:after="0" w:line="240" w:lineRule="auto"/>
              <w:rPr>
                <w:rFonts w:ascii="Times New Roman" w:hAnsi="Times New Roman"/>
                <w:sz w:val="20"/>
                <w:szCs w:val="20"/>
              </w:rPr>
            </w:pPr>
            <w:r w:rsidRPr="00857867">
              <w:rPr>
                <w:rFonts w:ascii="Times New Roman" w:eastAsia="Times New Roman" w:hAnsi="Times New Roman"/>
                <w:bCs/>
                <w:sz w:val="20"/>
                <w:szCs w:val="20"/>
              </w:rPr>
              <w:t>Economique et  Socio culturel</w:t>
            </w:r>
          </w:p>
        </w:tc>
        <w:tc>
          <w:tcPr>
            <w:tcW w:w="1631" w:type="dxa"/>
            <w:gridSpan w:val="2"/>
            <w:vAlign w:val="center"/>
          </w:tcPr>
          <w:p w14:paraId="7F4F3ABF" w14:textId="77777777" w:rsidR="00F90D97" w:rsidRPr="00857867" w:rsidRDefault="00F90D97" w:rsidP="00215867">
            <w:pPr>
              <w:spacing w:after="0" w:line="240" w:lineRule="auto"/>
              <w:rPr>
                <w:rFonts w:ascii="Times New Roman" w:hAnsi="Times New Roman"/>
                <w:sz w:val="20"/>
                <w:szCs w:val="20"/>
              </w:rPr>
            </w:pPr>
          </w:p>
        </w:tc>
        <w:tc>
          <w:tcPr>
            <w:tcW w:w="1814" w:type="dxa"/>
            <w:gridSpan w:val="2"/>
            <w:vAlign w:val="center"/>
          </w:tcPr>
          <w:p w14:paraId="1D8DA1DB" w14:textId="77777777" w:rsidR="00F90D97" w:rsidRPr="00857867" w:rsidRDefault="00F90D97" w:rsidP="00215867">
            <w:pPr>
              <w:spacing w:after="0" w:line="240" w:lineRule="auto"/>
              <w:rPr>
                <w:rFonts w:ascii="Times New Roman" w:hAnsi="Times New Roman"/>
                <w:sz w:val="20"/>
                <w:szCs w:val="20"/>
              </w:rPr>
            </w:pPr>
          </w:p>
        </w:tc>
      </w:tr>
      <w:tr w:rsidR="00D75D2E" w:rsidRPr="00420C1B" w14:paraId="765436D0" w14:textId="77777777" w:rsidTr="00215867">
        <w:trPr>
          <w:trHeight w:val="1016"/>
        </w:trPr>
        <w:tc>
          <w:tcPr>
            <w:tcW w:w="1838" w:type="dxa"/>
            <w:vMerge/>
            <w:vAlign w:val="center"/>
            <w:hideMark/>
          </w:tcPr>
          <w:p w14:paraId="231A7A44" w14:textId="77777777" w:rsidR="00ED17F3" w:rsidRPr="00857867" w:rsidRDefault="00ED17F3" w:rsidP="007108ED">
            <w:pPr>
              <w:spacing w:after="0" w:line="240" w:lineRule="auto"/>
              <w:rPr>
                <w:rFonts w:ascii="Times New Roman" w:hAnsi="Times New Roman"/>
                <w:b/>
                <w:sz w:val="20"/>
                <w:szCs w:val="20"/>
              </w:rPr>
            </w:pPr>
          </w:p>
        </w:tc>
        <w:tc>
          <w:tcPr>
            <w:tcW w:w="1389" w:type="dxa"/>
            <w:gridSpan w:val="3"/>
            <w:hideMark/>
          </w:tcPr>
          <w:p w14:paraId="49D14ADC" w14:textId="77777777" w:rsidR="00ED17F3" w:rsidRPr="00857867" w:rsidRDefault="00ED17F3" w:rsidP="007108ED">
            <w:pPr>
              <w:spacing w:after="0" w:line="240" w:lineRule="auto"/>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6520" w:type="dxa"/>
            <w:gridSpan w:val="10"/>
            <w:hideMark/>
          </w:tcPr>
          <w:p w14:paraId="7D31B0AF" w14:textId="77777777" w:rsidR="00ED17F3" w:rsidRPr="00857867" w:rsidRDefault="00ED17F3" w:rsidP="00735043">
            <w:pPr>
              <w:spacing w:after="0" w:line="240" w:lineRule="auto"/>
              <w:jc w:val="both"/>
              <w:rPr>
                <w:rFonts w:ascii="Times New Roman" w:eastAsia="Times New Roman" w:hAnsi="Times New Roman"/>
                <w:bCs/>
                <w:sz w:val="20"/>
                <w:szCs w:val="20"/>
              </w:rPr>
            </w:pPr>
            <w:r w:rsidRPr="00857867">
              <w:rPr>
                <w:rFonts w:ascii="Times New Roman" w:eastAsia="Times New Roman" w:hAnsi="Times New Roman"/>
                <w:bCs/>
                <w:sz w:val="20"/>
                <w:szCs w:val="20"/>
              </w:rPr>
              <w:t xml:space="preserve">La mise en œuvre du projet </w:t>
            </w:r>
            <w:r w:rsidR="00735043" w:rsidRPr="00857867">
              <w:rPr>
                <w:rFonts w:ascii="Times New Roman" w:eastAsia="Times New Roman" w:hAnsi="Times New Roman"/>
                <w:bCs/>
                <w:sz w:val="20"/>
                <w:szCs w:val="20"/>
              </w:rPr>
              <w:t xml:space="preserve">entrainera l’abattage </w:t>
            </w:r>
            <w:r w:rsidR="00BE32B4" w:rsidRPr="00857867">
              <w:rPr>
                <w:rFonts w:ascii="Times New Roman" w:eastAsia="Times New Roman" w:hAnsi="Times New Roman"/>
                <w:bCs/>
                <w:sz w:val="20"/>
                <w:szCs w:val="20"/>
              </w:rPr>
              <w:t>de </w:t>
            </w:r>
            <w:r w:rsidR="00BD0D91" w:rsidRPr="00857867">
              <w:rPr>
                <w:rFonts w:ascii="Times New Roman" w:hAnsi="Times New Roman"/>
                <w:iCs/>
                <w:sz w:val="20"/>
                <w:szCs w:val="20"/>
              </w:rPr>
              <w:t>815</w:t>
            </w:r>
            <w:r w:rsidR="00BE32B4" w:rsidRPr="00857867">
              <w:rPr>
                <w:rFonts w:ascii="Times New Roman" w:hAnsi="Times New Roman"/>
                <w:iCs/>
                <w:sz w:val="20"/>
                <w:szCs w:val="20"/>
              </w:rPr>
              <w:t xml:space="preserve"> </w:t>
            </w:r>
            <w:r w:rsidRPr="00857867">
              <w:rPr>
                <w:rFonts w:ascii="Times New Roman" w:eastAsia="Times New Roman" w:hAnsi="Times New Roman"/>
                <w:bCs/>
                <w:sz w:val="20"/>
                <w:szCs w:val="20"/>
              </w:rPr>
              <w:t xml:space="preserve">d’arbres privés dans l’emprise des travaux ce qui entravera la cueillette des fruits avec pour conséquence une perte des revenus des ménages. Cet impact est d’intensité moyenne, d’une étendue ponctuelle et de durée permanente, et donc d’importance moyenne </w:t>
            </w:r>
          </w:p>
        </w:tc>
      </w:tr>
      <w:tr w:rsidR="00D75D2E" w:rsidRPr="00420C1B" w14:paraId="55A25187" w14:textId="77777777" w:rsidTr="00215867">
        <w:trPr>
          <w:trHeight w:val="165"/>
        </w:trPr>
        <w:tc>
          <w:tcPr>
            <w:tcW w:w="3114" w:type="dxa"/>
            <w:gridSpan w:val="3"/>
            <w:hideMark/>
          </w:tcPr>
          <w:p w14:paraId="17C7B28A" w14:textId="77777777" w:rsidR="00ED17F3" w:rsidRPr="00857867" w:rsidRDefault="00ED17F3" w:rsidP="007108ED">
            <w:pPr>
              <w:spacing w:after="0" w:line="240" w:lineRule="auto"/>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6633" w:type="dxa"/>
            <w:gridSpan w:val="11"/>
            <w:hideMark/>
          </w:tcPr>
          <w:p w14:paraId="63191E0A" w14:textId="77777777" w:rsidR="00ED17F3" w:rsidRPr="00857867" w:rsidRDefault="00ED17F3"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 xml:space="preserve">Indemniser les pertes d’arbres privés  </w:t>
            </w:r>
          </w:p>
        </w:tc>
      </w:tr>
      <w:tr w:rsidR="00D75D2E" w:rsidRPr="00420C1B" w14:paraId="20A3704A" w14:textId="77777777" w:rsidTr="00215867">
        <w:trPr>
          <w:trHeight w:val="968"/>
        </w:trPr>
        <w:tc>
          <w:tcPr>
            <w:tcW w:w="3114" w:type="dxa"/>
            <w:gridSpan w:val="3"/>
            <w:hideMark/>
          </w:tcPr>
          <w:p w14:paraId="4F1E9776"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63A56787"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Indemniser </w:t>
            </w:r>
            <w:r w:rsidRPr="00857867">
              <w:rPr>
                <w:rFonts w:ascii="Times New Roman" w:hAnsi="Times New Roman"/>
                <w:sz w:val="20"/>
                <w:szCs w:val="20"/>
              </w:rPr>
              <w:t xml:space="preserve">la perte de végétation </w:t>
            </w:r>
          </w:p>
        </w:tc>
        <w:tc>
          <w:tcPr>
            <w:tcW w:w="6633" w:type="dxa"/>
            <w:gridSpan w:val="11"/>
            <w:hideMark/>
          </w:tcPr>
          <w:p w14:paraId="5B8181D4" w14:textId="77777777" w:rsidR="00ED17F3" w:rsidRPr="00857867" w:rsidRDefault="00ED17F3" w:rsidP="007108ED">
            <w:p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125E8F6A" w14:textId="77777777" w:rsidR="000D4294" w:rsidRPr="00857867" w:rsidRDefault="00BE32B4" w:rsidP="008C79F0">
            <w:pPr>
              <w:pStyle w:val="Paragraphedeliste"/>
              <w:numPr>
                <w:ilvl w:val="0"/>
                <w:numId w:val="32"/>
              </w:numPr>
              <w:ind w:left="180" w:hanging="141"/>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c</w:t>
            </w:r>
            <w:r w:rsidR="000D4294" w:rsidRPr="00857867">
              <w:rPr>
                <w:rFonts w:ascii="Times New Roman" w:eastAsia="Times New Roman" w:hAnsi="Times New Roman"/>
                <w:sz w:val="20"/>
                <w:szCs w:val="20"/>
                <w:lang w:eastAsia="fr-FR"/>
              </w:rPr>
              <w:t>omptabiliser les différentes coupes pour les indemnisations ;</w:t>
            </w:r>
          </w:p>
          <w:p w14:paraId="50B0907A" w14:textId="77777777" w:rsidR="00ED17F3" w:rsidRPr="00857867" w:rsidRDefault="00BE32B4" w:rsidP="00215867">
            <w:pPr>
              <w:pStyle w:val="Paragraphedeliste"/>
              <w:numPr>
                <w:ilvl w:val="0"/>
                <w:numId w:val="32"/>
              </w:numPr>
              <w:spacing w:after="0"/>
              <w:ind w:left="182" w:hanging="142"/>
              <w:contextualSpacing w:val="0"/>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d</w:t>
            </w:r>
            <w:r w:rsidR="000D4294" w:rsidRPr="00857867">
              <w:rPr>
                <w:rFonts w:ascii="Times New Roman" w:eastAsia="Times New Roman" w:hAnsi="Times New Roman"/>
                <w:sz w:val="20"/>
                <w:szCs w:val="20"/>
                <w:lang w:eastAsia="fr-FR"/>
              </w:rPr>
              <w:t xml:space="preserve">édommager les pertes d’arbres </w:t>
            </w:r>
            <w:r w:rsidRPr="00857867">
              <w:rPr>
                <w:rFonts w:ascii="Times New Roman" w:eastAsia="Times New Roman" w:hAnsi="Times New Roman"/>
                <w:sz w:val="20"/>
                <w:szCs w:val="20"/>
                <w:lang w:eastAsia="fr-FR"/>
              </w:rPr>
              <w:t>conformément</w:t>
            </w:r>
            <w:r w:rsidR="000D4294" w:rsidRPr="00857867">
              <w:rPr>
                <w:rFonts w:ascii="Times New Roman" w:eastAsia="Times New Roman" w:hAnsi="Times New Roman"/>
                <w:sz w:val="20"/>
                <w:szCs w:val="20"/>
                <w:lang w:eastAsia="fr-FR"/>
              </w:rPr>
              <w:t xml:space="preserve"> à la réglementation Congolaise et au </w:t>
            </w:r>
            <w:r w:rsidR="00BD0D91" w:rsidRPr="00857867">
              <w:rPr>
                <w:rFonts w:ascii="Times New Roman" w:eastAsia="Times New Roman" w:hAnsi="Times New Roman"/>
                <w:sz w:val="20"/>
                <w:szCs w:val="20"/>
                <w:lang w:eastAsia="fr-FR"/>
              </w:rPr>
              <w:t>à la NES n°5</w:t>
            </w:r>
          </w:p>
        </w:tc>
      </w:tr>
      <w:tr w:rsidR="00D75D2E" w:rsidRPr="00420C1B" w14:paraId="149DF8F3" w14:textId="77777777" w:rsidTr="00215867">
        <w:trPr>
          <w:trHeight w:val="256"/>
        </w:trPr>
        <w:tc>
          <w:tcPr>
            <w:tcW w:w="3114" w:type="dxa"/>
            <w:gridSpan w:val="3"/>
            <w:hideMark/>
          </w:tcPr>
          <w:p w14:paraId="391783CD" w14:textId="77777777" w:rsidR="00ED17F3" w:rsidRPr="00857867" w:rsidRDefault="00ED17F3" w:rsidP="007108ED">
            <w:pPr>
              <w:spacing w:after="0" w:line="240" w:lineRule="auto"/>
              <w:jc w:val="right"/>
              <w:rPr>
                <w:rFonts w:ascii="Times New Roman" w:hAnsi="Times New Roman"/>
                <w:b/>
                <w:sz w:val="20"/>
                <w:szCs w:val="20"/>
              </w:rPr>
            </w:pPr>
            <w:r w:rsidRPr="00857867">
              <w:rPr>
                <w:rFonts w:ascii="Times New Roman" w:hAnsi="Times New Roman"/>
                <w:b/>
                <w:sz w:val="20"/>
                <w:szCs w:val="20"/>
              </w:rPr>
              <w:t>Impact résiduel</w:t>
            </w:r>
          </w:p>
        </w:tc>
        <w:tc>
          <w:tcPr>
            <w:tcW w:w="3969" w:type="dxa"/>
            <w:gridSpan w:val="8"/>
            <w:hideMark/>
          </w:tcPr>
          <w:p w14:paraId="56281CCC" w14:textId="77777777" w:rsidR="00ED17F3" w:rsidRPr="00857867" w:rsidRDefault="00ED17F3" w:rsidP="007108ED">
            <w:pPr>
              <w:autoSpaceDE w:val="0"/>
              <w:autoSpaceDN w:val="0"/>
              <w:adjustRightInd w:val="0"/>
              <w:spacing w:after="0" w:line="240" w:lineRule="auto"/>
              <w:rPr>
                <w:rFonts w:ascii="Times New Roman" w:hAnsi="Times New Roman"/>
                <w:sz w:val="20"/>
                <w:szCs w:val="20"/>
                <w:u w:val="single"/>
              </w:rPr>
            </w:pPr>
            <w:r w:rsidRPr="00857867">
              <w:rPr>
                <w:rFonts w:ascii="Times New Roman" w:hAnsi="Times New Roman"/>
                <w:sz w:val="20"/>
                <w:szCs w:val="20"/>
                <w:u w:val="single"/>
              </w:rPr>
              <w:t xml:space="preserve">Mineur </w:t>
            </w:r>
          </w:p>
        </w:tc>
        <w:tc>
          <w:tcPr>
            <w:tcW w:w="2664" w:type="dxa"/>
            <w:gridSpan w:val="3"/>
          </w:tcPr>
          <w:p w14:paraId="5BE5A955" w14:textId="77777777" w:rsidR="00ED17F3" w:rsidRPr="00857867" w:rsidRDefault="00ED17F3" w:rsidP="007108ED">
            <w:pPr>
              <w:autoSpaceDE w:val="0"/>
              <w:autoSpaceDN w:val="0"/>
              <w:adjustRightInd w:val="0"/>
              <w:spacing w:after="0" w:line="240" w:lineRule="auto"/>
              <w:rPr>
                <w:rFonts w:ascii="Times New Roman" w:hAnsi="Times New Roman"/>
                <w:sz w:val="20"/>
                <w:szCs w:val="20"/>
                <w:u w:val="single"/>
              </w:rPr>
            </w:pPr>
          </w:p>
        </w:tc>
      </w:tr>
      <w:tr w:rsidR="00D75D2E" w:rsidRPr="00420C1B" w14:paraId="5B8071CB" w14:textId="77777777" w:rsidTr="00215867">
        <w:trPr>
          <w:trHeight w:val="1254"/>
        </w:trPr>
        <w:tc>
          <w:tcPr>
            <w:tcW w:w="3114" w:type="dxa"/>
            <w:gridSpan w:val="3"/>
            <w:hideMark/>
          </w:tcPr>
          <w:p w14:paraId="0B64384E" w14:textId="77777777" w:rsidR="005726A1" w:rsidRPr="00857867" w:rsidRDefault="005726A1"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1ED0BA64" w14:textId="77777777" w:rsidR="005726A1" w:rsidRPr="00857867" w:rsidRDefault="005726A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MdC ;</w:t>
            </w:r>
          </w:p>
          <w:p w14:paraId="488B4EB1" w14:textId="77777777" w:rsidR="005726A1" w:rsidRPr="00857867" w:rsidRDefault="005726A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ACE ;</w:t>
            </w:r>
          </w:p>
          <w:p w14:paraId="2356B744" w14:textId="77777777" w:rsidR="005726A1" w:rsidRPr="00857867" w:rsidRDefault="005079D2"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57867">
              <w:rPr>
                <w:rFonts w:ascii="Times New Roman" w:hAnsi="Times New Roman"/>
                <w:sz w:val="20"/>
                <w:szCs w:val="20"/>
              </w:rPr>
              <w:t>BUE</w:t>
            </w:r>
            <w:r w:rsidR="005726A1" w:rsidRPr="00857867">
              <w:rPr>
                <w:rFonts w:ascii="Times New Roman" w:hAnsi="Times New Roman"/>
                <w:sz w:val="20"/>
                <w:szCs w:val="20"/>
              </w:rPr>
              <w:t> </w:t>
            </w:r>
          </w:p>
        </w:tc>
        <w:tc>
          <w:tcPr>
            <w:tcW w:w="3118" w:type="dxa"/>
            <w:gridSpan w:val="6"/>
            <w:hideMark/>
          </w:tcPr>
          <w:p w14:paraId="50C172CF" w14:textId="77777777" w:rsidR="005726A1" w:rsidRPr="00857867" w:rsidRDefault="005726A1"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285E5780" w14:textId="77777777" w:rsidR="005726A1" w:rsidRPr="00857867" w:rsidRDefault="005726A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CPE ;</w:t>
            </w:r>
          </w:p>
          <w:p w14:paraId="464F9D58" w14:textId="77777777" w:rsidR="005726A1" w:rsidRPr="00857867" w:rsidRDefault="005726A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SCES/UCM</w:t>
            </w:r>
          </w:p>
          <w:p w14:paraId="77541C9F" w14:textId="77777777" w:rsidR="005726A1" w:rsidRPr="00857867" w:rsidRDefault="005726A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57867">
              <w:rPr>
                <w:rFonts w:ascii="Times New Roman" w:hAnsi="Times New Roman"/>
                <w:sz w:val="20"/>
                <w:szCs w:val="20"/>
              </w:rPr>
              <w:t xml:space="preserve">Service environnement des communes concernées </w:t>
            </w:r>
          </w:p>
        </w:tc>
        <w:tc>
          <w:tcPr>
            <w:tcW w:w="3515" w:type="dxa"/>
            <w:gridSpan w:val="5"/>
            <w:hideMark/>
          </w:tcPr>
          <w:p w14:paraId="70DAEFED" w14:textId="77777777" w:rsidR="005726A1" w:rsidRPr="00857867" w:rsidRDefault="005726A1" w:rsidP="007108ED">
            <w:pPr>
              <w:autoSpaceDE w:val="0"/>
              <w:autoSpaceDN w:val="0"/>
              <w:adjustRightInd w:val="0"/>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1A335428" w14:textId="77777777" w:rsidR="005726A1" w:rsidRPr="00857867" w:rsidRDefault="005726A1" w:rsidP="008C79F0">
            <w:pPr>
              <w:numPr>
                <w:ilvl w:val="0"/>
                <w:numId w:val="32"/>
              </w:numPr>
              <w:autoSpaceDE w:val="0"/>
              <w:autoSpaceDN w:val="0"/>
              <w:adjustRightInd w:val="0"/>
              <w:spacing w:after="0" w:line="240" w:lineRule="auto"/>
              <w:ind w:left="166" w:hanging="218"/>
              <w:contextualSpacing/>
              <w:jc w:val="both"/>
              <w:rPr>
                <w:rFonts w:ascii="Times New Roman" w:hAnsi="Times New Roman"/>
                <w:sz w:val="20"/>
                <w:szCs w:val="20"/>
              </w:rPr>
            </w:pPr>
            <w:r w:rsidRPr="00857867">
              <w:rPr>
                <w:rFonts w:ascii="Times New Roman" w:hAnsi="Times New Roman"/>
                <w:sz w:val="20"/>
                <w:szCs w:val="20"/>
              </w:rPr>
              <w:t>100% des arbres privés coupés ou élagués sont indemnisés ;</w:t>
            </w:r>
          </w:p>
          <w:p w14:paraId="3E303C27" w14:textId="77777777" w:rsidR="005726A1" w:rsidRPr="00857867" w:rsidRDefault="005726A1" w:rsidP="00215867">
            <w:pPr>
              <w:numPr>
                <w:ilvl w:val="0"/>
                <w:numId w:val="32"/>
              </w:numPr>
              <w:autoSpaceDE w:val="0"/>
              <w:autoSpaceDN w:val="0"/>
              <w:adjustRightInd w:val="0"/>
              <w:spacing w:after="0" w:line="240" w:lineRule="auto"/>
              <w:ind w:left="164" w:hanging="215"/>
              <w:jc w:val="both"/>
              <w:rPr>
                <w:rFonts w:ascii="Times New Roman" w:hAnsi="Times New Roman"/>
                <w:sz w:val="20"/>
                <w:szCs w:val="20"/>
              </w:rPr>
            </w:pPr>
            <w:r w:rsidRPr="00857867">
              <w:rPr>
                <w:rFonts w:ascii="Times New Roman" w:hAnsi="Times New Roman"/>
                <w:sz w:val="20"/>
                <w:szCs w:val="20"/>
              </w:rPr>
              <w:t>PV des arbres coupés ;</w:t>
            </w:r>
          </w:p>
        </w:tc>
      </w:tr>
      <w:tr w:rsidR="00D75D2E" w:rsidRPr="00420C1B" w14:paraId="20BFADED" w14:textId="77777777" w:rsidTr="00215867">
        <w:trPr>
          <w:trHeight w:val="499"/>
        </w:trPr>
        <w:tc>
          <w:tcPr>
            <w:tcW w:w="1838" w:type="dxa"/>
            <w:hideMark/>
          </w:tcPr>
          <w:p w14:paraId="699A597A" w14:textId="77777777" w:rsidR="00ED17F3" w:rsidRPr="00857867" w:rsidRDefault="00ED17F3" w:rsidP="007108ED">
            <w:pPr>
              <w:autoSpaceDE w:val="0"/>
              <w:autoSpaceDN w:val="0"/>
              <w:adjustRightInd w:val="0"/>
              <w:spacing w:after="0" w:line="240" w:lineRule="auto"/>
              <w:rPr>
                <w:rFonts w:ascii="Times New Roman" w:hAnsi="Times New Roman"/>
                <w:sz w:val="20"/>
                <w:szCs w:val="20"/>
                <w:u w:val="single"/>
              </w:rPr>
            </w:pPr>
            <w:r w:rsidRPr="00857867">
              <w:rPr>
                <w:rFonts w:ascii="Times New Roman" w:hAnsi="Times New Roman"/>
                <w:sz w:val="20"/>
                <w:szCs w:val="20"/>
                <w:u w:val="single"/>
              </w:rPr>
              <w:t>Coût de la mesure</w:t>
            </w:r>
          </w:p>
        </w:tc>
        <w:tc>
          <w:tcPr>
            <w:tcW w:w="709" w:type="dxa"/>
            <w:hideMark/>
          </w:tcPr>
          <w:p w14:paraId="61678A44"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Unité</w:t>
            </w:r>
          </w:p>
        </w:tc>
        <w:tc>
          <w:tcPr>
            <w:tcW w:w="992" w:type="dxa"/>
            <w:gridSpan w:val="3"/>
          </w:tcPr>
          <w:p w14:paraId="5C303096"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Quantités</w:t>
            </w:r>
          </w:p>
          <w:p w14:paraId="3FC4DB2F"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p>
        </w:tc>
        <w:tc>
          <w:tcPr>
            <w:tcW w:w="1559" w:type="dxa"/>
            <w:gridSpan w:val="3"/>
          </w:tcPr>
          <w:p w14:paraId="32949D44" w14:textId="0E761B4A" w:rsidR="00ED17F3" w:rsidRPr="00857867" w:rsidRDefault="00ED17F3" w:rsidP="002948C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Coûts unitaires en $</w:t>
            </w:r>
          </w:p>
        </w:tc>
        <w:tc>
          <w:tcPr>
            <w:tcW w:w="1134" w:type="dxa"/>
          </w:tcPr>
          <w:p w14:paraId="0A620742" w14:textId="77777777" w:rsidR="00ED17F3" w:rsidRPr="00857867" w:rsidRDefault="00ED17F3" w:rsidP="00FD2747">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Entreprise en $</w:t>
            </w:r>
          </w:p>
        </w:tc>
        <w:tc>
          <w:tcPr>
            <w:tcW w:w="851" w:type="dxa"/>
            <w:gridSpan w:val="2"/>
          </w:tcPr>
          <w:p w14:paraId="0BDCADF2" w14:textId="6401A8CB" w:rsidR="00ED17F3" w:rsidRPr="00857867" w:rsidRDefault="00ED17F3" w:rsidP="002948CF">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Projet en $</w:t>
            </w:r>
          </w:p>
        </w:tc>
        <w:tc>
          <w:tcPr>
            <w:tcW w:w="963" w:type="dxa"/>
            <w:gridSpan w:val="2"/>
            <w:hideMark/>
          </w:tcPr>
          <w:p w14:paraId="2C09D423"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Coût total</w:t>
            </w:r>
          </w:p>
        </w:tc>
        <w:tc>
          <w:tcPr>
            <w:tcW w:w="1701" w:type="dxa"/>
            <w:hideMark/>
          </w:tcPr>
          <w:p w14:paraId="101C1789" w14:textId="77777777" w:rsidR="00ED17F3" w:rsidRPr="00857867" w:rsidRDefault="00ED17F3" w:rsidP="007108ED">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Calendrier de mise en œuvre</w:t>
            </w:r>
          </w:p>
        </w:tc>
      </w:tr>
      <w:tr w:rsidR="00D75D2E" w:rsidRPr="00420C1B" w14:paraId="1EA082BB" w14:textId="77777777" w:rsidTr="00215867">
        <w:trPr>
          <w:trHeight w:val="190"/>
        </w:trPr>
        <w:tc>
          <w:tcPr>
            <w:tcW w:w="1838" w:type="dxa"/>
            <w:hideMark/>
          </w:tcPr>
          <w:p w14:paraId="748017B0" w14:textId="77777777" w:rsidR="00ED17F3" w:rsidRPr="00420C1B" w:rsidRDefault="00ED17F3" w:rsidP="007108ED">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 xml:space="preserve">Indemnisation </w:t>
            </w:r>
            <w:r w:rsidR="00F04807" w:rsidRPr="00420C1B">
              <w:rPr>
                <w:rFonts w:ascii="Times New Roman" w:hAnsi="Times New Roman"/>
                <w:sz w:val="20"/>
                <w:szCs w:val="20"/>
              </w:rPr>
              <w:t xml:space="preserve">des arbres </w:t>
            </w:r>
          </w:p>
        </w:tc>
        <w:tc>
          <w:tcPr>
            <w:tcW w:w="709" w:type="dxa"/>
            <w:hideMark/>
          </w:tcPr>
          <w:p w14:paraId="7119BCC9"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992" w:type="dxa"/>
            <w:gridSpan w:val="3"/>
            <w:hideMark/>
          </w:tcPr>
          <w:p w14:paraId="036C62FC" w14:textId="77777777" w:rsidR="00ED17F3" w:rsidRPr="00420C1B" w:rsidRDefault="00BD0D91"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815</w:t>
            </w:r>
          </w:p>
        </w:tc>
        <w:tc>
          <w:tcPr>
            <w:tcW w:w="1559" w:type="dxa"/>
            <w:gridSpan w:val="3"/>
            <w:hideMark/>
          </w:tcPr>
          <w:p w14:paraId="701E09AD"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Variable selon l’espèce</w:t>
            </w:r>
          </w:p>
        </w:tc>
        <w:tc>
          <w:tcPr>
            <w:tcW w:w="1134" w:type="dxa"/>
          </w:tcPr>
          <w:p w14:paraId="4B663186"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p>
        </w:tc>
        <w:tc>
          <w:tcPr>
            <w:tcW w:w="851" w:type="dxa"/>
            <w:gridSpan w:val="2"/>
            <w:shd w:val="clear" w:color="auto" w:fill="auto"/>
          </w:tcPr>
          <w:p w14:paraId="2A86CF4D"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p>
        </w:tc>
        <w:tc>
          <w:tcPr>
            <w:tcW w:w="963" w:type="dxa"/>
            <w:gridSpan w:val="2"/>
            <w:shd w:val="clear" w:color="auto" w:fill="auto"/>
          </w:tcPr>
          <w:p w14:paraId="10CB8CD9" w14:textId="77777777" w:rsidR="00ED17F3" w:rsidRPr="00420C1B" w:rsidRDefault="00ED17F3" w:rsidP="007108ED">
            <w:pPr>
              <w:autoSpaceDE w:val="0"/>
              <w:autoSpaceDN w:val="0"/>
              <w:adjustRightInd w:val="0"/>
              <w:spacing w:after="0" w:line="240" w:lineRule="auto"/>
              <w:jc w:val="center"/>
              <w:rPr>
                <w:rFonts w:ascii="Times New Roman" w:hAnsi="Times New Roman"/>
                <w:sz w:val="20"/>
                <w:szCs w:val="20"/>
              </w:rPr>
            </w:pPr>
          </w:p>
        </w:tc>
        <w:tc>
          <w:tcPr>
            <w:tcW w:w="1701" w:type="dxa"/>
            <w:hideMark/>
          </w:tcPr>
          <w:p w14:paraId="6BE72C6F" w14:textId="77777777" w:rsidR="00ED17F3" w:rsidRPr="00420C1B" w:rsidRDefault="00ED17F3" w:rsidP="007108ED">
            <w:pPr>
              <w:autoSpaceDE w:val="0"/>
              <w:autoSpaceDN w:val="0"/>
              <w:adjustRightInd w:val="0"/>
              <w:spacing w:after="0" w:line="240" w:lineRule="auto"/>
              <w:jc w:val="center"/>
              <w:rPr>
                <w:rFonts w:ascii="Times New Roman" w:hAnsi="Times New Roman"/>
                <w:b/>
                <w:sz w:val="20"/>
                <w:szCs w:val="20"/>
                <w:u w:val="single"/>
              </w:rPr>
            </w:pPr>
            <w:r w:rsidRPr="00420C1B">
              <w:rPr>
                <w:rFonts w:ascii="Times New Roman" w:hAnsi="Times New Roman"/>
                <w:sz w:val="20"/>
                <w:szCs w:val="20"/>
              </w:rPr>
              <w:t>Avant les travaux</w:t>
            </w:r>
          </w:p>
        </w:tc>
      </w:tr>
      <w:tr w:rsidR="00D75D2E" w:rsidRPr="00420C1B" w14:paraId="4D2F9037" w14:textId="77777777" w:rsidTr="00215867">
        <w:trPr>
          <w:trHeight w:val="190"/>
        </w:trPr>
        <w:tc>
          <w:tcPr>
            <w:tcW w:w="1838" w:type="dxa"/>
          </w:tcPr>
          <w:p w14:paraId="0EC402B3" w14:textId="77777777" w:rsidR="005726A1" w:rsidRPr="00420C1B" w:rsidRDefault="005726A1" w:rsidP="007108ED">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Total </w:t>
            </w:r>
          </w:p>
        </w:tc>
        <w:tc>
          <w:tcPr>
            <w:tcW w:w="709" w:type="dxa"/>
          </w:tcPr>
          <w:p w14:paraId="10A83A70" w14:textId="77777777" w:rsidR="005726A1" w:rsidRPr="00420C1B" w:rsidRDefault="005726A1" w:rsidP="007108ED">
            <w:pPr>
              <w:autoSpaceDE w:val="0"/>
              <w:autoSpaceDN w:val="0"/>
              <w:adjustRightInd w:val="0"/>
              <w:spacing w:after="0" w:line="240" w:lineRule="auto"/>
              <w:jc w:val="center"/>
              <w:rPr>
                <w:rFonts w:ascii="Times New Roman" w:hAnsi="Times New Roman"/>
                <w:sz w:val="20"/>
                <w:szCs w:val="20"/>
              </w:rPr>
            </w:pPr>
          </w:p>
        </w:tc>
        <w:tc>
          <w:tcPr>
            <w:tcW w:w="992" w:type="dxa"/>
            <w:gridSpan w:val="3"/>
          </w:tcPr>
          <w:p w14:paraId="20D69103" w14:textId="77777777" w:rsidR="005726A1" w:rsidRPr="00420C1B" w:rsidRDefault="005726A1" w:rsidP="007108ED">
            <w:pPr>
              <w:autoSpaceDE w:val="0"/>
              <w:autoSpaceDN w:val="0"/>
              <w:adjustRightInd w:val="0"/>
              <w:spacing w:after="0" w:line="240" w:lineRule="auto"/>
              <w:jc w:val="center"/>
              <w:rPr>
                <w:rFonts w:ascii="Times New Roman" w:hAnsi="Times New Roman"/>
                <w:sz w:val="20"/>
                <w:szCs w:val="20"/>
              </w:rPr>
            </w:pPr>
          </w:p>
        </w:tc>
        <w:tc>
          <w:tcPr>
            <w:tcW w:w="1559" w:type="dxa"/>
            <w:gridSpan w:val="3"/>
          </w:tcPr>
          <w:p w14:paraId="6285EE03" w14:textId="77777777" w:rsidR="005726A1" w:rsidRPr="00420C1B" w:rsidRDefault="005726A1" w:rsidP="007108ED">
            <w:pPr>
              <w:autoSpaceDE w:val="0"/>
              <w:autoSpaceDN w:val="0"/>
              <w:adjustRightInd w:val="0"/>
              <w:spacing w:after="0" w:line="240" w:lineRule="auto"/>
              <w:jc w:val="center"/>
              <w:rPr>
                <w:rFonts w:ascii="Times New Roman" w:hAnsi="Times New Roman"/>
                <w:sz w:val="20"/>
                <w:szCs w:val="20"/>
              </w:rPr>
            </w:pPr>
          </w:p>
        </w:tc>
        <w:tc>
          <w:tcPr>
            <w:tcW w:w="1134" w:type="dxa"/>
          </w:tcPr>
          <w:p w14:paraId="4708E5B2" w14:textId="77777777" w:rsidR="005726A1" w:rsidRPr="00420C1B" w:rsidRDefault="005726A1" w:rsidP="007108ED">
            <w:pPr>
              <w:autoSpaceDE w:val="0"/>
              <w:autoSpaceDN w:val="0"/>
              <w:adjustRightInd w:val="0"/>
              <w:spacing w:after="0" w:line="240" w:lineRule="auto"/>
              <w:jc w:val="center"/>
              <w:rPr>
                <w:rFonts w:ascii="Times New Roman" w:hAnsi="Times New Roman"/>
                <w:sz w:val="20"/>
                <w:szCs w:val="20"/>
              </w:rPr>
            </w:pPr>
          </w:p>
        </w:tc>
        <w:tc>
          <w:tcPr>
            <w:tcW w:w="851" w:type="dxa"/>
            <w:gridSpan w:val="2"/>
            <w:shd w:val="clear" w:color="auto" w:fill="auto"/>
          </w:tcPr>
          <w:p w14:paraId="3B60BA20" w14:textId="77777777" w:rsidR="005726A1" w:rsidRPr="00857867" w:rsidRDefault="00BD0D91"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eastAsia="Times New Roman" w:hAnsi="Times New Roman"/>
              </w:rPr>
              <w:t>220289</w:t>
            </w:r>
          </w:p>
        </w:tc>
        <w:tc>
          <w:tcPr>
            <w:tcW w:w="963" w:type="dxa"/>
            <w:gridSpan w:val="2"/>
            <w:shd w:val="clear" w:color="auto" w:fill="auto"/>
          </w:tcPr>
          <w:p w14:paraId="08D13D03" w14:textId="77777777" w:rsidR="005726A1" w:rsidRPr="00857867" w:rsidRDefault="00BD0D91" w:rsidP="007108ED">
            <w:pPr>
              <w:autoSpaceDE w:val="0"/>
              <w:autoSpaceDN w:val="0"/>
              <w:adjustRightInd w:val="0"/>
              <w:spacing w:after="0" w:line="240" w:lineRule="auto"/>
              <w:jc w:val="center"/>
              <w:rPr>
                <w:rFonts w:ascii="Times New Roman" w:hAnsi="Times New Roman"/>
                <w:b/>
                <w:sz w:val="20"/>
                <w:szCs w:val="20"/>
              </w:rPr>
            </w:pPr>
            <w:r w:rsidRPr="00420C1B">
              <w:rPr>
                <w:rFonts w:ascii="Times New Roman" w:eastAsia="Times New Roman" w:hAnsi="Times New Roman"/>
              </w:rPr>
              <w:t>220289</w:t>
            </w:r>
          </w:p>
        </w:tc>
        <w:tc>
          <w:tcPr>
            <w:tcW w:w="1701" w:type="dxa"/>
          </w:tcPr>
          <w:p w14:paraId="5E1E5855" w14:textId="77777777" w:rsidR="005726A1" w:rsidRPr="00420C1B" w:rsidRDefault="005726A1" w:rsidP="007108ED">
            <w:pPr>
              <w:autoSpaceDE w:val="0"/>
              <w:autoSpaceDN w:val="0"/>
              <w:adjustRightInd w:val="0"/>
              <w:spacing w:after="0" w:line="240" w:lineRule="auto"/>
              <w:jc w:val="center"/>
              <w:rPr>
                <w:rFonts w:ascii="Times New Roman" w:hAnsi="Times New Roman"/>
                <w:sz w:val="20"/>
                <w:szCs w:val="20"/>
              </w:rPr>
            </w:pPr>
          </w:p>
        </w:tc>
      </w:tr>
    </w:tbl>
    <w:p w14:paraId="3FC60D9B" w14:textId="77777777" w:rsidR="00540405" w:rsidRDefault="00540405">
      <w:pPr>
        <w:rPr>
          <w:rFonts w:ascii="Times New Roman" w:hAnsi="Times New Roman"/>
          <w:iCs/>
          <w:sz w:val="24"/>
          <w:szCs w:val="24"/>
        </w:rPr>
      </w:pPr>
      <w:bookmarkStart w:id="637" w:name="_Toc519048941"/>
      <w:r>
        <w:rPr>
          <w:rFonts w:ascii="Times New Roman" w:hAnsi="Times New Roman"/>
          <w:iCs/>
          <w:sz w:val="24"/>
          <w:szCs w:val="24"/>
        </w:rPr>
        <w:br w:type="page"/>
      </w:r>
    </w:p>
    <w:bookmarkEnd w:id="635"/>
    <w:bookmarkEnd w:id="637"/>
    <w:p w14:paraId="28452401" w14:textId="77777777" w:rsidR="00ED17F3" w:rsidRPr="00E737B4" w:rsidRDefault="00ED17F3" w:rsidP="00215867">
      <w:pPr>
        <w:pStyle w:val="Paragraphedeliste"/>
        <w:numPr>
          <w:ilvl w:val="0"/>
          <w:numId w:val="40"/>
        </w:numPr>
        <w:ind w:left="714" w:hanging="357"/>
        <w:contextualSpacing w:val="0"/>
        <w:rPr>
          <w:rFonts w:ascii="Times New Roman" w:hAnsi="Times New Roman"/>
          <w:sz w:val="24"/>
          <w:u w:val="single"/>
        </w:rPr>
      </w:pPr>
      <w:r w:rsidRPr="00E737B4">
        <w:rPr>
          <w:rFonts w:ascii="Times New Roman" w:hAnsi="Times New Roman"/>
          <w:sz w:val="24"/>
          <w:u w:val="single"/>
        </w:rPr>
        <w:t xml:space="preserve">Phase de Construction </w:t>
      </w:r>
    </w:p>
    <w:p w14:paraId="4CD58DE3" w14:textId="7942A5D0" w:rsidR="00ED17F3" w:rsidRPr="00E737B4" w:rsidRDefault="00ED17F3" w:rsidP="00ED17F3">
      <w:pPr>
        <w:keepNext/>
        <w:spacing w:after="0" w:line="240" w:lineRule="auto"/>
        <w:rPr>
          <w:rFonts w:ascii="Times New Roman" w:hAnsi="Times New Roman"/>
          <w:iCs/>
          <w:sz w:val="24"/>
          <w:szCs w:val="18"/>
        </w:rPr>
      </w:pPr>
      <w:bookmarkStart w:id="638" w:name="_Toc519048945"/>
      <w:bookmarkStart w:id="639" w:name="_Toc93050303"/>
      <w:r w:rsidRPr="00E737B4">
        <w:rPr>
          <w:rFonts w:ascii="Times New Roman" w:hAnsi="Times New Roman"/>
          <w:iCs/>
          <w:sz w:val="24"/>
          <w:szCs w:val="18"/>
        </w:rPr>
        <w:t xml:space="preserve">Tableau </w:t>
      </w:r>
      <w:r w:rsidRPr="00E737B4">
        <w:rPr>
          <w:rFonts w:ascii="Times New Roman" w:hAnsi="Times New Roman"/>
          <w:iCs/>
          <w:noProof/>
          <w:sz w:val="24"/>
          <w:szCs w:val="18"/>
        </w:rPr>
        <w:fldChar w:fldCharType="begin"/>
      </w:r>
      <w:r w:rsidRPr="00E737B4">
        <w:rPr>
          <w:rFonts w:ascii="Times New Roman" w:hAnsi="Times New Roman"/>
          <w:iCs/>
          <w:noProof/>
          <w:sz w:val="24"/>
          <w:szCs w:val="18"/>
        </w:rPr>
        <w:instrText xml:space="preserve"> SEQ Tableau \* ARABIC </w:instrText>
      </w:r>
      <w:r w:rsidRPr="00E737B4">
        <w:rPr>
          <w:rFonts w:ascii="Times New Roman" w:hAnsi="Times New Roman"/>
          <w:iCs/>
          <w:noProof/>
          <w:sz w:val="24"/>
          <w:szCs w:val="18"/>
        </w:rPr>
        <w:fldChar w:fldCharType="separate"/>
      </w:r>
      <w:r w:rsidR="00A86929">
        <w:rPr>
          <w:rFonts w:ascii="Times New Roman" w:hAnsi="Times New Roman"/>
          <w:iCs/>
          <w:noProof/>
          <w:sz w:val="24"/>
          <w:szCs w:val="18"/>
        </w:rPr>
        <w:t>41</w:t>
      </w:r>
      <w:r w:rsidRPr="00E737B4">
        <w:rPr>
          <w:rFonts w:ascii="Times New Roman" w:hAnsi="Times New Roman"/>
          <w:iCs/>
          <w:noProof/>
          <w:sz w:val="24"/>
          <w:szCs w:val="18"/>
        </w:rPr>
        <w:fldChar w:fldCharType="end"/>
      </w:r>
      <w:r w:rsidRPr="00E737B4">
        <w:rPr>
          <w:rFonts w:ascii="Times New Roman" w:hAnsi="Times New Roman"/>
          <w:iCs/>
          <w:sz w:val="24"/>
          <w:szCs w:val="18"/>
        </w:rPr>
        <w:t xml:space="preserve"> : Fiche de déclaration d’Impact – </w:t>
      </w:r>
      <w:r w:rsidRPr="00E737B4">
        <w:rPr>
          <w:rFonts w:ascii="Times New Roman" w:hAnsi="Times New Roman"/>
          <w:b/>
          <w:iCs/>
          <w:sz w:val="24"/>
          <w:szCs w:val="18"/>
        </w:rPr>
        <w:t xml:space="preserve">Code </w:t>
      </w:r>
      <w:bookmarkEnd w:id="638"/>
      <w:r w:rsidR="00A86929">
        <w:rPr>
          <w:rFonts w:ascii="Times New Roman" w:hAnsi="Times New Roman"/>
          <w:b/>
          <w:iCs/>
          <w:sz w:val="24"/>
          <w:szCs w:val="18"/>
        </w:rPr>
        <w:t>18</w:t>
      </w:r>
      <w:bookmarkEnd w:id="639"/>
    </w:p>
    <w:p w14:paraId="37B11A60" w14:textId="77777777" w:rsidR="00ED17F3" w:rsidRPr="00857867" w:rsidRDefault="00ED17F3" w:rsidP="00ED17F3">
      <w:pPr>
        <w:spacing w:after="0" w:line="240" w:lineRule="auto"/>
        <w:rPr>
          <w:rFonts w:ascii="Times New Roman" w:hAnsi="Times New Roman"/>
        </w:rPr>
      </w:pPr>
    </w:p>
    <w:tbl>
      <w:tblPr>
        <w:tblW w:w="10197" w:type="dxa"/>
        <w:jc w:val="center"/>
        <w:tblLook w:val="04A0" w:firstRow="1" w:lastRow="0" w:firstColumn="1" w:lastColumn="0" w:noHBand="0" w:noVBand="1"/>
      </w:tblPr>
      <w:tblGrid>
        <w:gridCol w:w="1555"/>
        <w:gridCol w:w="235"/>
        <w:gridCol w:w="704"/>
        <w:gridCol w:w="393"/>
        <w:gridCol w:w="384"/>
        <w:gridCol w:w="273"/>
        <w:gridCol w:w="95"/>
        <w:gridCol w:w="388"/>
        <w:gridCol w:w="1104"/>
        <w:gridCol w:w="331"/>
        <w:gridCol w:w="912"/>
        <w:gridCol w:w="75"/>
        <w:gridCol w:w="776"/>
        <w:gridCol w:w="622"/>
        <w:gridCol w:w="512"/>
        <w:gridCol w:w="804"/>
        <w:gridCol w:w="1034"/>
      </w:tblGrid>
      <w:tr w:rsidR="00D75D2E" w:rsidRPr="00420C1B" w14:paraId="36D08761" w14:textId="77777777" w:rsidTr="00215867">
        <w:trPr>
          <w:tblHeader/>
          <w:jc w:val="center"/>
        </w:trPr>
        <w:tc>
          <w:tcPr>
            <w:tcW w:w="179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04DB7B5"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COMPOSANTE</w:t>
            </w:r>
          </w:p>
        </w:tc>
        <w:tc>
          <w:tcPr>
            <w:tcW w:w="1849"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608D64A2"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sz w:val="20"/>
                <w:szCs w:val="20"/>
              </w:rPr>
              <w:t>Humain</w:t>
            </w:r>
          </w:p>
        </w:tc>
        <w:tc>
          <w:tcPr>
            <w:tcW w:w="2810"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2B5A7870"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PHASE</w:t>
            </w:r>
          </w:p>
        </w:tc>
        <w:tc>
          <w:tcPr>
            <w:tcW w:w="3748" w:type="dxa"/>
            <w:gridSpan w:val="5"/>
            <w:tcBorders>
              <w:top w:val="single" w:sz="4" w:space="0" w:color="auto"/>
              <w:left w:val="single" w:sz="4" w:space="0" w:color="auto"/>
              <w:bottom w:val="single" w:sz="4" w:space="0" w:color="auto"/>
              <w:right w:val="single" w:sz="4" w:space="0" w:color="auto"/>
            </w:tcBorders>
            <w:shd w:val="clear" w:color="auto" w:fill="92D050"/>
            <w:hideMark/>
          </w:tcPr>
          <w:p w14:paraId="48CB3582" w14:textId="77777777" w:rsidR="00ED17F3" w:rsidRPr="00857867" w:rsidRDefault="00ED17F3" w:rsidP="007108ED">
            <w:pPr>
              <w:spacing w:after="0" w:line="240" w:lineRule="auto"/>
              <w:jc w:val="center"/>
              <w:rPr>
                <w:rFonts w:ascii="Times New Roman" w:hAnsi="Times New Roman"/>
                <w:sz w:val="20"/>
                <w:szCs w:val="20"/>
              </w:rPr>
            </w:pPr>
            <w:r w:rsidRPr="00857867">
              <w:rPr>
                <w:rFonts w:ascii="Times New Roman" w:hAnsi="Times New Roman"/>
                <w:sz w:val="20"/>
                <w:szCs w:val="20"/>
              </w:rPr>
              <w:t>Construction</w:t>
            </w:r>
          </w:p>
        </w:tc>
      </w:tr>
      <w:tr w:rsidR="00D75D2E" w:rsidRPr="00420C1B" w14:paraId="53130A44" w14:textId="77777777" w:rsidTr="00215867">
        <w:trPr>
          <w:jc w:val="center"/>
        </w:trPr>
        <w:tc>
          <w:tcPr>
            <w:tcW w:w="1790" w:type="dxa"/>
            <w:gridSpan w:val="2"/>
            <w:vMerge w:val="restart"/>
            <w:tcBorders>
              <w:top w:val="single" w:sz="4" w:space="0" w:color="auto"/>
              <w:left w:val="single" w:sz="4" w:space="0" w:color="auto"/>
              <w:right w:val="single" w:sz="4" w:space="0" w:color="auto"/>
            </w:tcBorders>
          </w:tcPr>
          <w:p w14:paraId="78E67531" w14:textId="0787EEA1" w:rsidR="00ED17F3" w:rsidRPr="00857867" w:rsidRDefault="0055275C" w:rsidP="007108ED">
            <w:pPr>
              <w:spacing w:after="0" w:line="240" w:lineRule="auto"/>
              <w:rPr>
                <w:rFonts w:ascii="Times New Roman" w:hAnsi="Times New Roman"/>
                <w:b/>
                <w:sz w:val="20"/>
                <w:szCs w:val="20"/>
              </w:rPr>
            </w:pPr>
            <w:r w:rsidRPr="00857867">
              <w:rPr>
                <w:rFonts w:ascii="Times New Roman" w:hAnsi="Times New Roman"/>
                <w:b/>
                <w:sz w:val="20"/>
                <w:szCs w:val="20"/>
              </w:rPr>
              <w:t>Code 1</w:t>
            </w:r>
            <w:r w:rsidR="00501AAF">
              <w:rPr>
                <w:rFonts w:ascii="Times New Roman" w:hAnsi="Times New Roman"/>
                <w:b/>
                <w:sz w:val="20"/>
                <w:szCs w:val="20"/>
              </w:rPr>
              <w:t>6</w:t>
            </w:r>
          </w:p>
        </w:tc>
        <w:tc>
          <w:tcPr>
            <w:tcW w:w="8407" w:type="dxa"/>
            <w:gridSpan w:val="15"/>
            <w:tcBorders>
              <w:top w:val="single" w:sz="4" w:space="0" w:color="auto"/>
              <w:left w:val="single" w:sz="4" w:space="0" w:color="auto"/>
              <w:bottom w:val="single" w:sz="4" w:space="0" w:color="auto"/>
              <w:right w:val="single" w:sz="4" w:space="0" w:color="auto"/>
            </w:tcBorders>
          </w:tcPr>
          <w:p w14:paraId="3C2ADAA7" w14:textId="77777777" w:rsidR="00ED17F3" w:rsidRPr="00857867" w:rsidRDefault="00ED17F3" w:rsidP="007108ED">
            <w:pPr>
              <w:spacing w:after="0" w:line="240" w:lineRule="auto"/>
              <w:rPr>
                <w:rFonts w:ascii="Times New Roman" w:hAnsi="Times New Roman"/>
                <w:b/>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 xml:space="preserve">Recrutement du personnel du chantier  </w:t>
            </w:r>
          </w:p>
        </w:tc>
      </w:tr>
      <w:tr w:rsidR="00D75D2E" w:rsidRPr="00420C1B" w14:paraId="4A5DB1D6" w14:textId="77777777" w:rsidTr="00215867">
        <w:trPr>
          <w:jc w:val="center"/>
        </w:trPr>
        <w:tc>
          <w:tcPr>
            <w:tcW w:w="1790" w:type="dxa"/>
            <w:gridSpan w:val="2"/>
            <w:vMerge/>
            <w:tcBorders>
              <w:left w:val="single" w:sz="4" w:space="0" w:color="auto"/>
              <w:bottom w:val="single" w:sz="4" w:space="0" w:color="auto"/>
              <w:right w:val="single" w:sz="4" w:space="0" w:color="auto"/>
            </w:tcBorders>
            <w:hideMark/>
          </w:tcPr>
          <w:p w14:paraId="1C7DA520" w14:textId="77777777" w:rsidR="00ED17F3" w:rsidRPr="00857867" w:rsidRDefault="00ED17F3" w:rsidP="007108ED">
            <w:pPr>
              <w:spacing w:after="0" w:line="240" w:lineRule="auto"/>
              <w:rPr>
                <w:rFonts w:ascii="Times New Roman" w:hAnsi="Times New Roman"/>
                <w:b/>
                <w:sz w:val="20"/>
                <w:szCs w:val="20"/>
              </w:rPr>
            </w:pPr>
          </w:p>
        </w:tc>
        <w:tc>
          <w:tcPr>
            <w:tcW w:w="8407" w:type="dxa"/>
            <w:gridSpan w:val="15"/>
            <w:tcBorders>
              <w:top w:val="single" w:sz="4" w:space="0" w:color="auto"/>
              <w:left w:val="single" w:sz="4" w:space="0" w:color="auto"/>
              <w:bottom w:val="single" w:sz="4" w:space="0" w:color="auto"/>
              <w:right w:val="single" w:sz="4" w:space="0" w:color="auto"/>
            </w:tcBorders>
            <w:hideMark/>
          </w:tcPr>
          <w:p w14:paraId="1B348EF9"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 Conflits entre les populations locales et le personnel du chantier</w:t>
            </w:r>
          </w:p>
        </w:tc>
      </w:tr>
      <w:tr w:rsidR="00D75D2E" w:rsidRPr="00420C1B" w14:paraId="480FB1DB" w14:textId="77777777" w:rsidTr="00215867">
        <w:trPr>
          <w:jc w:val="center"/>
        </w:trPr>
        <w:tc>
          <w:tcPr>
            <w:tcW w:w="1790" w:type="dxa"/>
            <w:gridSpan w:val="2"/>
            <w:vMerge w:val="restart"/>
            <w:tcBorders>
              <w:top w:val="single" w:sz="4" w:space="0" w:color="auto"/>
              <w:left w:val="single" w:sz="4" w:space="0" w:color="auto"/>
              <w:right w:val="single" w:sz="4" w:space="0" w:color="auto"/>
            </w:tcBorders>
            <w:vAlign w:val="center"/>
            <w:hideMark/>
          </w:tcPr>
          <w:p w14:paraId="077C2E3F" w14:textId="77777777" w:rsidR="00B11DAE" w:rsidRPr="00857867" w:rsidRDefault="00B11DAE"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672" w:type="dxa"/>
            <w:gridSpan w:val="8"/>
            <w:vMerge w:val="restart"/>
            <w:tcBorders>
              <w:top w:val="single" w:sz="4" w:space="0" w:color="auto"/>
              <w:left w:val="single" w:sz="4" w:space="0" w:color="auto"/>
              <w:right w:val="single" w:sz="4" w:space="0" w:color="auto"/>
            </w:tcBorders>
            <w:vAlign w:val="center"/>
          </w:tcPr>
          <w:p w14:paraId="4206CFA6" w14:textId="77777777" w:rsidR="00B11DAE" w:rsidRPr="00857867" w:rsidRDefault="00B11DAE" w:rsidP="00B11DAE">
            <w:pPr>
              <w:spacing w:after="0" w:line="240" w:lineRule="auto"/>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Zone d’étude, communes concernées et leurs  quartiers </w:t>
            </w:r>
          </w:p>
        </w:tc>
        <w:tc>
          <w:tcPr>
            <w:tcW w:w="987" w:type="dxa"/>
            <w:gridSpan w:val="2"/>
            <w:tcBorders>
              <w:top w:val="single" w:sz="4" w:space="0" w:color="auto"/>
              <w:left w:val="single" w:sz="4" w:space="0" w:color="auto"/>
              <w:bottom w:val="single" w:sz="4" w:space="0" w:color="auto"/>
              <w:right w:val="single" w:sz="4" w:space="0" w:color="auto"/>
            </w:tcBorders>
          </w:tcPr>
          <w:p w14:paraId="1A58E5F4" w14:textId="77777777" w:rsidR="00B11DAE" w:rsidRPr="00857867" w:rsidRDefault="00B11DAE"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X</w:t>
            </w:r>
          </w:p>
        </w:tc>
        <w:tc>
          <w:tcPr>
            <w:tcW w:w="1398" w:type="dxa"/>
            <w:gridSpan w:val="2"/>
            <w:tcBorders>
              <w:top w:val="single" w:sz="4" w:space="0" w:color="auto"/>
              <w:left w:val="single" w:sz="4" w:space="0" w:color="auto"/>
              <w:bottom w:val="single" w:sz="4" w:space="0" w:color="auto"/>
              <w:right w:val="single" w:sz="4" w:space="0" w:color="auto"/>
            </w:tcBorders>
            <w:hideMark/>
          </w:tcPr>
          <w:p w14:paraId="5F7A8287" w14:textId="77777777" w:rsidR="00B11DAE" w:rsidRPr="00857867" w:rsidRDefault="00B11DAE"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Y</w:t>
            </w:r>
          </w:p>
        </w:tc>
        <w:tc>
          <w:tcPr>
            <w:tcW w:w="2350" w:type="dxa"/>
            <w:gridSpan w:val="3"/>
            <w:vMerge w:val="restart"/>
            <w:tcBorders>
              <w:top w:val="single" w:sz="4" w:space="0" w:color="auto"/>
              <w:left w:val="single" w:sz="4" w:space="0" w:color="auto"/>
              <w:right w:val="single" w:sz="4" w:space="0" w:color="auto"/>
            </w:tcBorders>
          </w:tcPr>
          <w:p w14:paraId="79EE5A6B" w14:textId="77777777" w:rsidR="00B11DAE" w:rsidRPr="00857867" w:rsidRDefault="00B11DAE" w:rsidP="007108ED">
            <w:pPr>
              <w:spacing w:after="0" w:line="240" w:lineRule="auto"/>
              <w:rPr>
                <w:rFonts w:ascii="Times New Roman" w:hAnsi="Times New Roman"/>
                <w:sz w:val="20"/>
                <w:szCs w:val="20"/>
              </w:rPr>
            </w:pPr>
          </w:p>
        </w:tc>
      </w:tr>
      <w:tr w:rsidR="00D75D2E" w:rsidRPr="00420C1B" w14:paraId="1D88D3FF" w14:textId="77777777" w:rsidTr="00215867">
        <w:trPr>
          <w:trHeight w:val="90"/>
          <w:jc w:val="center"/>
        </w:trPr>
        <w:tc>
          <w:tcPr>
            <w:tcW w:w="1790" w:type="dxa"/>
            <w:gridSpan w:val="2"/>
            <w:vMerge/>
            <w:tcBorders>
              <w:left w:val="single" w:sz="4" w:space="0" w:color="auto"/>
              <w:right w:val="single" w:sz="4" w:space="0" w:color="auto"/>
            </w:tcBorders>
            <w:vAlign w:val="center"/>
            <w:hideMark/>
          </w:tcPr>
          <w:p w14:paraId="1D27097C" w14:textId="77777777" w:rsidR="0055275C" w:rsidRPr="00857867" w:rsidRDefault="0055275C" w:rsidP="0055275C">
            <w:pPr>
              <w:spacing w:after="0" w:line="240" w:lineRule="auto"/>
              <w:rPr>
                <w:rFonts w:ascii="Times New Roman" w:eastAsia="Times New Roman" w:hAnsi="Times New Roman"/>
                <w:sz w:val="20"/>
                <w:szCs w:val="20"/>
                <w:lang w:eastAsia="fr-FR"/>
              </w:rPr>
            </w:pPr>
          </w:p>
        </w:tc>
        <w:tc>
          <w:tcPr>
            <w:tcW w:w="3672" w:type="dxa"/>
            <w:gridSpan w:val="8"/>
            <w:vMerge/>
            <w:tcBorders>
              <w:left w:val="single" w:sz="4" w:space="0" w:color="auto"/>
              <w:right w:val="single" w:sz="4" w:space="0" w:color="auto"/>
            </w:tcBorders>
          </w:tcPr>
          <w:p w14:paraId="7DA3953D"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p>
        </w:tc>
        <w:tc>
          <w:tcPr>
            <w:tcW w:w="987" w:type="dxa"/>
            <w:gridSpan w:val="2"/>
            <w:tcBorders>
              <w:top w:val="single" w:sz="4" w:space="0" w:color="auto"/>
              <w:left w:val="single" w:sz="4" w:space="0" w:color="auto"/>
              <w:bottom w:val="single" w:sz="4" w:space="0" w:color="auto"/>
              <w:right w:val="single" w:sz="4" w:space="0" w:color="auto"/>
            </w:tcBorders>
          </w:tcPr>
          <w:p w14:paraId="07A13209"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398" w:type="dxa"/>
            <w:gridSpan w:val="2"/>
            <w:tcBorders>
              <w:top w:val="single" w:sz="4" w:space="0" w:color="auto"/>
              <w:left w:val="nil"/>
              <w:bottom w:val="single" w:sz="4" w:space="0" w:color="auto"/>
              <w:right w:val="single" w:sz="4" w:space="0" w:color="auto"/>
            </w:tcBorders>
          </w:tcPr>
          <w:p w14:paraId="4E0933E6"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2350" w:type="dxa"/>
            <w:gridSpan w:val="3"/>
            <w:vMerge/>
            <w:tcBorders>
              <w:left w:val="single" w:sz="4" w:space="0" w:color="auto"/>
              <w:right w:val="single" w:sz="4" w:space="0" w:color="auto"/>
            </w:tcBorders>
            <w:vAlign w:val="center"/>
            <w:hideMark/>
          </w:tcPr>
          <w:p w14:paraId="5218D3F9" w14:textId="77777777" w:rsidR="0055275C" w:rsidRPr="00857867" w:rsidRDefault="0055275C" w:rsidP="0055275C">
            <w:pPr>
              <w:spacing w:after="0" w:line="240" w:lineRule="auto"/>
              <w:rPr>
                <w:rFonts w:ascii="Times New Roman" w:hAnsi="Times New Roman"/>
                <w:sz w:val="20"/>
                <w:szCs w:val="20"/>
              </w:rPr>
            </w:pPr>
          </w:p>
        </w:tc>
      </w:tr>
      <w:tr w:rsidR="00D75D2E" w:rsidRPr="00420C1B" w14:paraId="53A43E3A" w14:textId="77777777" w:rsidTr="00215867">
        <w:trPr>
          <w:trHeight w:val="152"/>
          <w:jc w:val="center"/>
        </w:trPr>
        <w:tc>
          <w:tcPr>
            <w:tcW w:w="1790" w:type="dxa"/>
            <w:gridSpan w:val="2"/>
            <w:vMerge/>
            <w:tcBorders>
              <w:left w:val="single" w:sz="4" w:space="0" w:color="auto"/>
              <w:bottom w:val="single" w:sz="4" w:space="0" w:color="auto"/>
              <w:right w:val="single" w:sz="4" w:space="0" w:color="auto"/>
            </w:tcBorders>
            <w:vAlign w:val="center"/>
          </w:tcPr>
          <w:p w14:paraId="25399DA1" w14:textId="77777777" w:rsidR="0055275C" w:rsidRPr="00857867" w:rsidRDefault="0055275C" w:rsidP="0055275C">
            <w:pPr>
              <w:spacing w:after="0" w:line="240" w:lineRule="auto"/>
              <w:rPr>
                <w:rFonts w:ascii="Times New Roman" w:eastAsia="Times New Roman" w:hAnsi="Times New Roman"/>
                <w:sz w:val="20"/>
                <w:szCs w:val="20"/>
                <w:lang w:eastAsia="fr-FR"/>
              </w:rPr>
            </w:pPr>
          </w:p>
        </w:tc>
        <w:tc>
          <w:tcPr>
            <w:tcW w:w="3672" w:type="dxa"/>
            <w:gridSpan w:val="8"/>
            <w:vMerge/>
            <w:tcBorders>
              <w:left w:val="single" w:sz="4" w:space="0" w:color="auto"/>
              <w:bottom w:val="single" w:sz="4" w:space="0" w:color="auto"/>
              <w:right w:val="single" w:sz="4" w:space="0" w:color="auto"/>
            </w:tcBorders>
          </w:tcPr>
          <w:p w14:paraId="2E60E19C"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p>
        </w:tc>
        <w:tc>
          <w:tcPr>
            <w:tcW w:w="987" w:type="dxa"/>
            <w:gridSpan w:val="2"/>
            <w:tcBorders>
              <w:top w:val="single" w:sz="4" w:space="0" w:color="auto"/>
              <w:left w:val="single" w:sz="4" w:space="0" w:color="auto"/>
              <w:right w:val="single" w:sz="4" w:space="0" w:color="auto"/>
            </w:tcBorders>
          </w:tcPr>
          <w:p w14:paraId="55BBF962"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398" w:type="dxa"/>
            <w:gridSpan w:val="2"/>
            <w:tcBorders>
              <w:top w:val="single" w:sz="4" w:space="0" w:color="auto"/>
              <w:left w:val="single" w:sz="4" w:space="0" w:color="auto"/>
              <w:right w:val="single" w:sz="4" w:space="0" w:color="auto"/>
            </w:tcBorders>
          </w:tcPr>
          <w:p w14:paraId="275B0B08" w14:textId="77777777" w:rsidR="0055275C" w:rsidRPr="00857867" w:rsidRDefault="0055275C" w:rsidP="0055275C">
            <w:pPr>
              <w:spacing w:after="0" w:line="240" w:lineRule="auto"/>
              <w:jc w:val="right"/>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2350" w:type="dxa"/>
            <w:gridSpan w:val="3"/>
            <w:vMerge/>
            <w:tcBorders>
              <w:left w:val="single" w:sz="4" w:space="0" w:color="auto"/>
              <w:bottom w:val="single" w:sz="4" w:space="0" w:color="auto"/>
              <w:right w:val="single" w:sz="4" w:space="0" w:color="auto"/>
            </w:tcBorders>
            <w:vAlign w:val="center"/>
          </w:tcPr>
          <w:p w14:paraId="6AC2F0FE" w14:textId="77777777" w:rsidR="0055275C" w:rsidRPr="00857867" w:rsidRDefault="0055275C" w:rsidP="0055275C">
            <w:pPr>
              <w:spacing w:after="0" w:line="240" w:lineRule="auto"/>
              <w:rPr>
                <w:rFonts w:ascii="Times New Roman" w:hAnsi="Times New Roman"/>
                <w:sz w:val="20"/>
                <w:szCs w:val="20"/>
              </w:rPr>
            </w:pPr>
          </w:p>
        </w:tc>
      </w:tr>
      <w:tr w:rsidR="00D75D2E" w:rsidRPr="00420C1B" w14:paraId="229649FC" w14:textId="77777777" w:rsidTr="00215867">
        <w:trPr>
          <w:jc w:val="center"/>
        </w:trPr>
        <w:tc>
          <w:tcPr>
            <w:tcW w:w="17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F41DDF"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Analyse de l’impact</w:t>
            </w:r>
          </w:p>
        </w:tc>
        <w:tc>
          <w:tcPr>
            <w:tcW w:w="1097" w:type="dxa"/>
            <w:gridSpan w:val="2"/>
            <w:vMerge w:val="restart"/>
            <w:tcBorders>
              <w:top w:val="single" w:sz="4" w:space="0" w:color="auto"/>
              <w:left w:val="single" w:sz="4" w:space="0" w:color="auto"/>
              <w:bottom w:val="single" w:sz="4" w:space="0" w:color="auto"/>
              <w:right w:val="single" w:sz="4" w:space="0" w:color="auto"/>
            </w:tcBorders>
            <w:hideMark/>
          </w:tcPr>
          <w:p w14:paraId="562AD5F1" w14:textId="77777777" w:rsidR="00ED17F3" w:rsidRPr="00857867" w:rsidRDefault="00ED17F3" w:rsidP="007108ED">
            <w:pPr>
              <w:autoSpaceDE w:val="0"/>
              <w:autoSpaceDN w:val="0"/>
              <w:adjustRightInd w:val="0"/>
              <w:spacing w:after="0" w:line="240" w:lineRule="auto"/>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445E67E6" w14:textId="77777777" w:rsidR="00ED17F3" w:rsidRPr="00857867" w:rsidRDefault="00ED17F3" w:rsidP="007108ED">
            <w:pPr>
              <w:autoSpaceDE w:val="0"/>
              <w:autoSpaceDN w:val="0"/>
              <w:adjustRightInd w:val="0"/>
              <w:spacing w:after="0" w:line="240" w:lineRule="auto"/>
              <w:rPr>
                <w:rFonts w:ascii="Times New Roman" w:eastAsia="Times New Roman" w:hAnsi="Times New Roman"/>
                <w:bCs/>
                <w:sz w:val="20"/>
                <w:szCs w:val="20"/>
              </w:rPr>
            </w:pPr>
            <w:r w:rsidRPr="00857867">
              <w:rPr>
                <w:rFonts w:ascii="Times New Roman" w:eastAsia="Times New Roman" w:hAnsi="Times New Roman"/>
                <w:bCs/>
                <w:sz w:val="20"/>
                <w:szCs w:val="20"/>
              </w:rPr>
              <w:t>Négatif</w:t>
            </w:r>
          </w:p>
        </w:tc>
        <w:tc>
          <w:tcPr>
            <w:tcW w:w="1140" w:type="dxa"/>
            <w:gridSpan w:val="4"/>
            <w:tcBorders>
              <w:top w:val="single" w:sz="4" w:space="0" w:color="auto"/>
              <w:left w:val="single" w:sz="4" w:space="0" w:color="auto"/>
              <w:bottom w:val="single" w:sz="4" w:space="0" w:color="auto"/>
              <w:right w:val="single" w:sz="4" w:space="0" w:color="auto"/>
            </w:tcBorders>
            <w:hideMark/>
          </w:tcPr>
          <w:p w14:paraId="74C4CB3A" w14:textId="77777777" w:rsidR="00ED17F3" w:rsidRPr="00857867" w:rsidRDefault="00ED17F3" w:rsidP="007108ED">
            <w:pPr>
              <w:autoSpaceDE w:val="0"/>
              <w:autoSpaceDN w:val="0"/>
              <w:adjustRightInd w:val="0"/>
              <w:spacing w:after="0" w:line="240" w:lineRule="auto"/>
              <w:jc w:val="center"/>
              <w:rPr>
                <w:rFonts w:ascii="Times New Roman" w:eastAsia="Times New Roman" w:hAnsi="Times New Roman"/>
                <w:b/>
                <w:bCs/>
                <w:sz w:val="20"/>
                <w:szCs w:val="20"/>
              </w:rPr>
            </w:pPr>
            <w:r w:rsidRPr="00857867">
              <w:rPr>
                <w:rFonts w:ascii="Times New Roman" w:eastAsia="Times New Roman" w:hAnsi="Times New Roman"/>
                <w:b/>
                <w:bCs/>
                <w:sz w:val="20"/>
                <w:szCs w:val="20"/>
              </w:rPr>
              <w:t>Intensité</w:t>
            </w:r>
          </w:p>
        </w:tc>
        <w:tc>
          <w:tcPr>
            <w:tcW w:w="2422" w:type="dxa"/>
            <w:gridSpan w:val="4"/>
            <w:tcBorders>
              <w:top w:val="single" w:sz="4" w:space="0" w:color="auto"/>
              <w:left w:val="single" w:sz="4" w:space="0" w:color="auto"/>
              <w:bottom w:val="single" w:sz="4" w:space="0" w:color="auto"/>
              <w:right w:val="single" w:sz="4" w:space="0" w:color="auto"/>
            </w:tcBorders>
            <w:hideMark/>
          </w:tcPr>
          <w:p w14:paraId="3CB566C2" w14:textId="77777777" w:rsidR="00ED17F3" w:rsidRPr="00857867" w:rsidRDefault="00ED17F3" w:rsidP="007108ED">
            <w:pPr>
              <w:autoSpaceDE w:val="0"/>
              <w:autoSpaceDN w:val="0"/>
              <w:adjustRightInd w:val="0"/>
              <w:spacing w:after="0" w:line="240" w:lineRule="auto"/>
              <w:jc w:val="center"/>
              <w:rPr>
                <w:rFonts w:ascii="Times New Roman" w:eastAsia="Times New Roman" w:hAnsi="Times New Roman"/>
                <w:b/>
                <w:bCs/>
                <w:sz w:val="20"/>
                <w:szCs w:val="20"/>
              </w:rPr>
            </w:pPr>
            <w:r w:rsidRPr="00857867">
              <w:rPr>
                <w:rFonts w:ascii="Times New Roman" w:eastAsia="Times New Roman" w:hAnsi="Times New Roman"/>
                <w:b/>
                <w:bCs/>
                <w:sz w:val="20"/>
                <w:szCs w:val="20"/>
              </w:rPr>
              <w:t>Etendue</w:t>
            </w:r>
          </w:p>
        </w:tc>
        <w:tc>
          <w:tcPr>
            <w:tcW w:w="1398" w:type="dxa"/>
            <w:gridSpan w:val="2"/>
            <w:tcBorders>
              <w:top w:val="single" w:sz="4" w:space="0" w:color="auto"/>
              <w:left w:val="single" w:sz="4" w:space="0" w:color="auto"/>
              <w:bottom w:val="single" w:sz="4" w:space="0" w:color="auto"/>
              <w:right w:val="single" w:sz="4" w:space="0" w:color="auto"/>
            </w:tcBorders>
            <w:hideMark/>
          </w:tcPr>
          <w:p w14:paraId="1633EF87" w14:textId="77777777" w:rsidR="00ED17F3" w:rsidRPr="00857867" w:rsidRDefault="00ED17F3" w:rsidP="007108ED">
            <w:pPr>
              <w:autoSpaceDE w:val="0"/>
              <w:autoSpaceDN w:val="0"/>
              <w:adjustRightInd w:val="0"/>
              <w:spacing w:after="0" w:line="240" w:lineRule="auto"/>
              <w:jc w:val="center"/>
              <w:rPr>
                <w:rFonts w:ascii="Times New Roman" w:eastAsia="Times New Roman" w:hAnsi="Times New Roman"/>
                <w:b/>
                <w:bCs/>
                <w:sz w:val="20"/>
                <w:szCs w:val="20"/>
              </w:rPr>
            </w:pPr>
            <w:r w:rsidRPr="00857867">
              <w:rPr>
                <w:rFonts w:ascii="Times New Roman" w:eastAsia="Times New Roman" w:hAnsi="Times New Roman"/>
                <w:b/>
                <w:bCs/>
                <w:sz w:val="20"/>
                <w:szCs w:val="20"/>
              </w:rPr>
              <w:t>Durée</w:t>
            </w:r>
          </w:p>
        </w:tc>
        <w:tc>
          <w:tcPr>
            <w:tcW w:w="1316" w:type="dxa"/>
            <w:gridSpan w:val="2"/>
            <w:tcBorders>
              <w:top w:val="single" w:sz="4" w:space="0" w:color="auto"/>
              <w:left w:val="single" w:sz="4" w:space="0" w:color="auto"/>
              <w:bottom w:val="single" w:sz="4" w:space="0" w:color="auto"/>
              <w:right w:val="single" w:sz="4" w:space="0" w:color="auto"/>
            </w:tcBorders>
            <w:hideMark/>
          </w:tcPr>
          <w:p w14:paraId="6178D9B8" w14:textId="77777777" w:rsidR="00ED17F3" w:rsidRPr="00857867" w:rsidRDefault="00ED17F3" w:rsidP="007108ED">
            <w:pPr>
              <w:autoSpaceDE w:val="0"/>
              <w:autoSpaceDN w:val="0"/>
              <w:adjustRightInd w:val="0"/>
              <w:spacing w:after="0" w:line="240" w:lineRule="auto"/>
              <w:jc w:val="center"/>
              <w:rPr>
                <w:rFonts w:ascii="Times New Roman" w:eastAsia="Times New Roman" w:hAnsi="Times New Roman"/>
                <w:b/>
                <w:bCs/>
                <w:sz w:val="20"/>
                <w:szCs w:val="20"/>
              </w:rPr>
            </w:pPr>
            <w:r w:rsidRPr="00857867">
              <w:rPr>
                <w:rFonts w:ascii="Times New Roman" w:eastAsia="Times New Roman" w:hAnsi="Times New Roman"/>
                <w:b/>
                <w:bCs/>
                <w:sz w:val="20"/>
                <w:szCs w:val="20"/>
              </w:rPr>
              <w:t>Importance</w:t>
            </w:r>
          </w:p>
        </w:tc>
        <w:tc>
          <w:tcPr>
            <w:tcW w:w="1034" w:type="dxa"/>
            <w:tcBorders>
              <w:top w:val="single" w:sz="4" w:space="0" w:color="auto"/>
              <w:left w:val="single" w:sz="4" w:space="0" w:color="auto"/>
              <w:bottom w:val="single" w:sz="4" w:space="0" w:color="auto"/>
              <w:right w:val="single" w:sz="4" w:space="0" w:color="auto"/>
            </w:tcBorders>
          </w:tcPr>
          <w:p w14:paraId="74455337"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7E025C96"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hideMark/>
          </w:tcPr>
          <w:p w14:paraId="7AA11CB0" w14:textId="77777777" w:rsidR="00ED17F3" w:rsidRPr="00857867" w:rsidRDefault="00ED17F3" w:rsidP="007108ED">
            <w:pPr>
              <w:spacing w:after="0" w:line="240" w:lineRule="auto"/>
              <w:rPr>
                <w:rFonts w:ascii="Times New Roman" w:eastAsia="Times New Roman" w:hAnsi="Times New Roman"/>
                <w:sz w:val="20"/>
                <w:szCs w:val="20"/>
                <w:lang w:eastAsia="fr-FR"/>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1D68B78" w14:textId="77777777" w:rsidR="00ED17F3" w:rsidRPr="00857867" w:rsidRDefault="00ED17F3" w:rsidP="007108ED">
            <w:pPr>
              <w:spacing w:after="0" w:line="240" w:lineRule="auto"/>
              <w:rPr>
                <w:rFonts w:ascii="Times New Roman" w:eastAsia="Times New Roman" w:hAnsi="Times New Roman"/>
                <w:bCs/>
                <w:sz w:val="20"/>
                <w:szCs w:val="20"/>
              </w:rPr>
            </w:pPr>
          </w:p>
        </w:tc>
        <w:tc>
          <w:tcPr>
            <w:tcW w:w="1140" w:type="dxa"/>
            <w:gridSpan w:val="4"/>
            <w:tcBorders>
              <w:top w:val="single" w:sz="4" w:space="0" w:color="auto"/>
              <w:left w:val="single" w:sz="4" w:space="0" w:color="auto"/>
              <w:bottom w:val="single" w:sz="4" w:space="0" w:color="auto"/>
              <w:right w:val="single" w:sz="4" w:space="0" w:color="auto"/>
            </w:tcBorders>
            <w:vAlign w:val="center"/>
            <w:hideMark/>
          </w:tcPr>
          <w:p w14:paraId="6EB13410"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2422" w:type="dxa"/>
            <w:gridSpan w:val="4"/>
            <w:tcBorders>
              <w:top w:val="single" w:sz="4" w:space="0" w:color="auto"/>
              <w:left w:val="single" w:sz="4" w:space="0" w:color="auto"/>
              <w:bottom w:val="single" w:sz="4" w:space="0" w:color="auto"/>
              <w:right w:val="single" w:sz="4" w:space="0" w:color="auto"/>
            </w:tcBorders>
            <w:vAlign w:val="center"/>
            <w:hideMark/>
          </w:tcPr>
          <w:p w14:paraId="1F272FDE"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Locale</w:t>
            </w:r>
          </w:p>
        </w:tc>
        <w:tc>
          <w:tcPr>
            <w:tcW w:w="1398" w:type="dxa"/>
            <w:gridSpan w:val="2"/>
            <w:tcBorders>
              <w:top w:val="single" w:sz="4" w:space="0" w:color="auto"/>
              <w:left w:val="single" w:sz="4" w:space="0" w:color="auto"/>
              <w:bottom w:val="single" w:sz="4" w:space="0" w:color="auto"/>
              <w:right w:val="single" w:sz="4" w:space="0" w:color="auto"/>
            </w:tcBorders>
            <w:vAlign w:val="center"/>
            <w:hideMark/>
          </w:tcPr>
          <w:p w14:paraId="3D641A69"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1316" w:type="dxa"/>
            <w:gridSpan w:val="2"/>
            <w:tcBorders>
              <w:top w:val="single" w:sz="4" w:space="0" w:color="auto"/>
              <w:left w:val="single" w:sz="4" w:space="0" w:color="auto"/>
              <w:bottom w:val="single" w:sz="4" w:space="0" w:color="auto"/>
              <w:right w:val="single" w:sz="4" w:space="0" w:color="auto"/>
            </w:tcBorders>
            <w:vAlign w:val="center"/>
            <w:hideMark/>
          </w:tcPr>
          <w:p w14:paraId="445601EA" w14:textId="77777777" w:rsidR="00ED17F3" w:rsidRPr="00857867" w:rsidRDefault="00ED17F3" w:rsidP="007108ED">
            <w:pPr>
              <w:spacing w:after="0" w:line="240" w:lineRule="auto"/>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1034" w:type="dxa"/>
            <w:tcBorders>
              <w:top w:val="single" w:sz="4" w:space="0" w:color="auto"/>
              <w:left w:val="single" w:sz="4" w:space="0" w:color="auto"/>
              <w:bottom w:val="single" w:sz="4" w:space="0" w:color="auto"/>
              <w:right w:val="single" w:sz="4" w:space="0" w:color="auto"/>
            </w:tcBorders>
          </w:tcPr>
          <w:p w14:paraId="32944AB2" w14:textId="77777777" w:rsidR="00ED17F3" w:rsidRPr="00857867" w:rsidRDefault="00ED17F3" w:rsidP="007108ED">
            <w:pPr>
              <w:spacing w:after="0" w:line="240" w:lineRule="auto"/>
              <w:rPr>
                <w:rFonts w:ascii="Times New Roman" w:hAnsi="Times New Roman"/>
                <w:sz w:val="20"/>
                <w:szCs w:val="20"/>
              </w:rPr>
            </w:pPr>
          </w:p>
        </w:tc>
      </w:tr>
      <w:tr w:rsidR="00D75D2E" w:rsidRPr="00420C1B" w14:paraId="02F65BDB"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tcPr>
          <w:p w14:paraId="3BA6E319" w14:textId="77777777" w:rsidR="00A53CAC" w:rsidRPr="00857867" w:rsidRDefault="00A53CAC" w:rsidP="00A53CAC">
            <w:pPr>
              <w:spacing w:after="0" w:line="240" w:lineRule="auto"/>
              <w:rPr>
                <w:rFonts w:ascii="Times New Roman" w:eastAsia="Times New Roman" w:hAnsi="Times New Roman"/>
                <w:sz w:val="20"/>
                <w:szCs w:val="20"/>
                <w:lang w:eastAsia="fr-FR"/>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63129F" w14:textId="77777777" w:rsidR="00A53CAC" w:rsidRPr="00857867" w:rsidRDefault="00A53CAC" w:rsidP="00A53CAC">
            <w:pPr>
              <w:spacing w:after="0" w:line="240" w:lineRule="auto"/>
              <w:rPr>
                <w:rFonts w:ascii="Times New Roman" w:eastAsia="Times New Roman" w:hAnsi="Times New Roman"/>
                <w:bCs/>
                <w:sz w:val="20"/>
                <w:szCs w:val="20"/>
              </w:rPr>
            </w:pPr>
          </w:p>
        </w:tc>
        <w:tc>
          <w:tcPr>
            <w:tcW w:w="1140" w:type="dxa"/>
            <w:gridSpan w:val="4"/>
            <w:tcBorders>
              <w:top w:val="single" w:sz="4" w:space="0" w:color="auto"/>
              <w:bottom w:val="single" w:sz="4" w:space="0" w:color="auto"/>
              <w:right w:val="single" w:sz="4" w:space="0" w:color="auto"/>
            </w:tcBorders>
            <w:vAlign w:val="center"/>
          </w:tcPr>
          <w:p w14:paraId="4FCE1DC0" w14:textId="77777777" w:rsidR="00A53CAC" w:rsidRPr="00857867" w:rsidRDefault="00A53CAC" w:rsidP="00A53CAC">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 action</w:t>
            </w:r>
          </w:p>
        </w:tc>
        <w:tc>
          <w:tcPr>
            <w:tcW w:w="2422" w:type="dxa"/>
            <w:gridSpan w:val="4"/>
            <w:tcBorders>
              <w:top w:val="single" w:sz="4" w:space="0" w:color="auto"/>
              <w:left w:val="single" w:sz="4" w:space="0" w:color="auto"/>
              <w:bottom w:val="single" w:sz="4" w:space="0" w:color="auto"/>
              <w:right w:val="single" w:sz="4" w:space="0" w:color="auto"/>
            </w:tcBorders>
          </w:tcPr>
          <w:p w14:paraId="31582D3C" w14:textId="77777777" w:rsidR="00A53CAC" w:rsidRPr="00857867" w:rsidRDefault="00A53CAC" w:rsidP="00A53CAC">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398" w:type="dxa"/>
            <w:gridSpan w:val="2"/>
            <w:tcBorders>
              <w:top w:val="single" w:sz="4" w:space="0" w:color="auto"/>
              <w:left w:val="single" w:sz="4" w:space="0" w:color="auto"/>
              <w:bottom w:val="single" w:sz="4" w:space="0" w:color="auto"/>
              <w:right w:val="single" w:sz="4" w:space="0" w:color="auto"/>
            </w:tcBorders>
          </w:tcPr>
          <w:p w14:paraId="1ECC3283" w14:textId="77777777" w:rsidR="00A53CAC" w:rsidRPr="00857867" w:rsidRDefault="00A53CAC" w:rsidP="00A53CAC">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316" w:type="dxa"/>
            <w:gridSpan w:val="2"/>
            <w:tcBorders>
              <w:top w:val="single" w:sz="4" w:space="0" w:color="auto"/>
              <w:left w:val="single" w:sz="4" w:space="0" w:color="auto"/>
              <w:bottom w:val="single" w:sz="4" w:space="0" w:color="auto"/>
            </w:tcBorders>
          </w:tcPr>
          <w:p w14:paraId="1ABA8BA8" w14:textId="77777777" w:rsidR="00A53CAC" w:rsidRPr="00857867" w:rsidRDefault="00A53CAC" w:rsidP="00A53CAC">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1034" w:type="dxa"/>
            <w:tcBorders>
              <w:top w:val="single" w:sz="4" w:space="0" w:color="auto"/>
              <w:left w:val="single" w:sz="4" w:space="0" w:color="auto"/>
              <w:bottom w:val="single" w:sz="4" w:space="0" w:color="auto"/>
              <w:right w:val="single" w:sz="4" w:space="0" w:color="auto"/>
            </w:tcBorders>
          </w:tcPr>
          <w:p w14:paraId="018C6B20" w14:textId="77777777" w:rsidR="00A53CAC" w:rsidRPr="00857867" w:rsidRDefault="00A53CAC" w:rsidP="00A53CAC">
            <w:pPr>
              <w:spacing w:after="0" w:line="240" w:lineRule="auto"/>
              <w:rPr>
                <w:rFonts w:ascii="Times New Roman" w:hAnsi="Times New Roman"/>
                <w:sz w:val="20"/>
                <w:szCs w:val="20"/>
              </w:rPr>
            </w:pPr>
          </w:p>
        </w:tc>
      </w:tr>
      <w:tr w:rsidR="00D75D2E" w:rsidRPr="00420C1B" w14:paraId="4B0B11BA"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tcPr>
          <w:p w14:paraId="402EA100" w14:textId="77777777" w:rsidR="00A53CAC" w:rsidRPr="00857867" w:rsidRDefault="00A53CAC" w:rsidP="00A53CAC">
            <w:pPr>
              <w:spacing w:after="0" w:line="240" w:lineRule="auto"/>
              <w:rPr>
                <w:rFonts w:ascii="Times New Roman" w:eastAsia="Times New Roman" w:hAnsi="Times New Roman"/>
                <w:sz w:val="20"/>
                <w:szCs w:val="20"/>
                <w:lang w:eastAsia="fr-FR"/>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7E34411" w14:textId="77777777" w:rsidR="00A53CAC" w:rsidRPr="00857867" w:rsidRDefault="00A53CAC" w:rsidP="00A53CAC">
            <w:pPr>
              <w:spacing w:after="0" w:line="240" w:lineRule="auto"/>
              <w:rPr>
                <w:rFonts w:ascii="Times New Roman" w:eastAsia="Times New Roman" w:hAnsi="Times New Roman"/>
                <w:bCs/>
                <w:sz w:val="20"/>
                <w:szCs w:val="20"/>
              </w:rPr>
            </w:pPr>
          </w:p>
        </w:tc>
        <w:tc>
          <w:tcPr>
            <w:tcW w:w="1140" w:type="dxa"/>
            <w:gridSpan w:val="4"/>
            <w:tcBorders>
              <w:top w:val="single" w:sz="4" w:space="0" w:color="auto"/>
              <w:bottom w:val="single" w:sz="4" w:space="0" w:color="auto"/>
              <w:right w:val="single" w:sz="4" w:space="0" w:color="auto"/>
            </w:tcBorders>
            <w:vAlign w:val="center"/>
          </w:tcPr>
          <w:p w14:paraId="44B72135" w14:textId="77777777" w:rsidR="00A53CAC" w:rsidRPr="00857867" w:rsidRDefault="00A53CAC" w:rsidP="00A53CAC">
            <w:pPr>
              <w:spacing w:after="0" w:line="240" w:lineRule="auto"/>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2422" w:type="dxa"/>
            <w:gridSpan w:val="4"/>
            <w:tcBorders>
              <w:top w:val="single" w:sz="4" w:space="0" w:color="auto"/>
              <w:left w:val="single" w:sz="4" w:space="0" w:color="auto"/>
              <w:bottom w:val="single" w:sz="4" w:space="0" w:color="auto"/>
              <w:right w:val="single" w:sz="4" w:space="0" w:color="auto"/>
            </w:tcBorders>
            <w:vAlign w:val="center"/>
          </w:tcPr>
          <w:p w14:paraId="4081D0B6"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hAnsi="Times New Roman"/>
                <w:sz w:val="20"/>
                <w:szCs w:val="20"/>
              </w:rPr>
              <w:t>Probable</w:t>
            </w:r>
          </w:p>
        </w:tc>
        <w:tc>
          <w:tcPr>
            <w:tcW w:w="1398" w:type="dxa"/>
            <w:gridSpan w:val="2"/>
            <w:tcBorders>
              <w:top w:val="single" w:sz="4" w:space="0" w:color="auto"/>
              <w:left w:val="single" w:sz="4" w:space="0" w:color="auto"/>
              <w:bottom w:val="single" w:sz="4" w:space="0" w:color="auto"/>
              <w:right w:val="single" w:sz="4" w:space="0" w:color="auto"/>
            </w:tcBorders>
            <w:vAlign w:val="center"/>
          </w:tcPr>
          <w:p w14:paraId="4F30A384"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hAnsi="Times New Roman"/>
                <w:sz w:val="20"/>
                <w:szCs w:val="20"/>
              </w:rPr>
              <w:t>Irréversible</w:t>
            </w:r>
          </w:p>
        </w:tc>
        <w:tc>
          <w:tcPr>
            <w:tcW w:w="1316" w:type="dxa"/>
            <w:gridSpan w:val="2"/>
            <w:tcBorders>
              <w:top w:val="single" w:sz="4" w:space="0" w:color="auto"/>
              <w:left w:val="single" w:sz="4" w:space="0" w:color="auto"/>
              <w:bottom w:val="single" w:sz="4" w:space="0" w:color="auto"/>
            </w:tcBorders>
            <w:vAlign w:val="center"/>
          </w:tcPr>
          <w:p w14:paraId="17FDF126"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hAnsi="Times New Roman"/>
                <w:sz w:val="20"/>
                <w:szCs w:val="20"/>
              </w:rPr>
              <w:t>Oui</w:t>
            </w:r>
          </w:p>
        </w:tc>
        <w:tc>
          <w:tcPr>
            <w:tcW w:w="1034" w:type="dxa"/>
            <w:tcBorders>
              <w:top w:val="single" w:sz="4" w:space="0" w:color="auto"/>
              <w:left w:val="single" w:sz="4" w:space="0" w:color="auto"/>
              <w:bottom w:val="single" w:sz="4" w:space="0" w:color="auto"/>
              <w:right w:val="single" w:sz="4" w:space="0" w:color="auto"/>
            </w:tcBorders>
          </w:tcPr>
          <w:p w14:paraId="0418EB64" w14:textId="77777777" w:rsidR="00A53CAC" w:rsidRPr="00857867" w:rsidRDefault="00A53CAC" w:rsidP="00A53CAC">
            <w:pPr>
              <w:spacing w:after="0" w:line="240" w:lineRule="auto"/>
              <w:rPr>
                <w:rFonts w:ascii="Times New Roman" w:hAnsi="Times New Roman"/>
                <w:sz w:val="20"/>
                <w:szCs w:val="20"/>
              </w:rPr>
            </w:pPr>
          </w:p>
        </w:tc>
      </w:tr>
      <w:tr w:rsidR="00D75D2E" w:rsidRPr="00420C1B" w14:paraId="35242C60"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tcPr>
          <w:p w14:paraId="02B3E178" w14:textId="77777777" w:rsidR="00A53CAC" w:rsidRPr="00857867" w:rsidRDefault="00A53CAC" w:rsidP="00A53CAC">
            <w:pPr>
              <w:spacing w:after="0" w:line="240" w:lineRule="auto"/>
              <w:rPr>
                <w:rFonts w:ascii="Times New Roman" w:eastAsia="Times New Roman" w:hAnsi="Times New Roman"/>
                <w:sz w:val="20"/>
                <w:szCs w:val="20"/>
                <w:lang w:eastAsia="fr-FR"/>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9DD645A" w14:textId="77777777" w:rsidR="00A53CAC" w:rsidRPr="00857867" w:rsidRDefault="00A53CAC" w:rsidP="00A53CAC">
            <w:pPr>
              <w:spacing w:after="0" w:line="240" w:lineRule="auto"/>
              <w:rPr>
                <w:rFonts w:ascii="Times New Roman" w:eastAsia="Times New Roman" w:hAnsi="Times New Roman"/>
                <w:bCs/>
                <w:sz w:val="20"/>
                <w:szCs w:val="20"/>
              </w:rPr>
            </w:pPr>
          </w:p>
        </w:tc>
        <w:tc>
          <w:tcPr>
            <w:tcW w:w="1140" w:type="dxa"/>
            <w:gridSpan w:val="4"/>
            <w:tcBorders>
              <w:top w:val="single" w:sz="4" w:space="0" w:color="auto"/>
              <w:bottom w:val="single" w:sz="4" w:space="0" w:color="auto"/>
              <w:right w:val="single" w:sz="4" w:space="0" w:color="auto"/>
            </w:tcBorders>
          </w:tcPr>
          <w:p w14:paraId="4D5FAD89" w14:textId="77777777" w:rsidR="00A53CAC" w:rsidRPr="00857867" w:rsidRDefault="00A53CAC" w:rsidP="00A53CAC">
            <w:pPr>
              <w:autoSpaceDE w:val="0"/>
              <w:autoSpaceDN w:val="0"/>
              <w:adjustRightInd w:val="0"/>
              <w:spacing w:after="0" w:line="240" w:lineRule="auto"/>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2422" w:type="dxa"/>
            <w:gridSpan w:val="4"/>
            <w:tcBorders>
              <w:top w:val="single" w:sz="4" w:space="0" w:color="auto"/>
              <w:left w:val="single" w:sz="4" w:space="0" w:color="auto"/>
              <w:bottom w:val="single" w:sz="4" w:space="0" w:color="auto"/>
              <w:right w:val="single" w:sz="4" w:space="0" w:color="auto"/>
            </w:tcBorders>
            <w:vAlign w:val="center"/>
          </w:tcPr>
          <w:p w14:paraId="6A912D45"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hAnsi="Times New Roman"/>
                <w:b/>
                <w:sz w:val="20"/>
                <w:szCs w:val="20"/>
              </w:rPr>
              <w:t>Valeur</w:t>
            </w:r>
          </w:p>
        </w:tc>
        <w:tc>
          <w:tcPr>
            <w:tcW w:w="1398" w:type="dxa"/>
            <w:gridSpan w:val="2"/>
            <w:tcBorders>
              <w:top w:val="single" w:sz="4" w:space="0" w:color="auto"/>
              <w:left w:val="single" w:sz="4" w:space="0" w:color="auto"/>
              <w:bottom w:val="single" w:sz="4" w:space="0" w:color="auto"/>
              <w:right w:val="single" w:sz="4" w:space="0" w:color="auto"/>
            </w:tcBorders>
            <w:vAlign w:val="center"/>
          </w:tcPr>
          <w:p w14:paraId="5E829B5D" w14:textId="77777777" w:rsidR="00A53CAC" w:rsidRPr="00857867" w:rsidRDefault="00A53CAC" w:rsidP="00A53CAC">
            <w:pPr>
              <w:spacing w:after="0" w:line="240" w:lineRule="auto"/>
              <w:jc w:val="center"/>
              <w:rPr>
                <w:rFonts w:ascii="Times New Roman" w:hAnsi="Times New Roman"/>
                <w:sz w:val="20"/>
                <w:szCs w:val="20"/>
              </w:rPr>
            </w:pPr>
          </w:p>
        </w:tc>
        <w:tc>
          <w:tcPr>
            <w:tcW w:w="1316" w:type="dxa"/>
            <w:gridSpan w:val="2"/>
            <w:tcBorders>
              <w:top w:val="single" w:sz="4" w:space="0" w:color="auto"/>
              <w:left w:val="single" w:sz="4" w:space="0" w:color="auto"/>
              <w:bottom w:val="single" w:sz="4" w:space="0" w:color="auto"/>
            </w:tcBorders>
            <w:vAlign w:val="center"/>
          </w:tcPr>
          <w:p w14:paraId="538F1CD2" w14:textId="77777777" w:rsidR="00A53CAC" w:rsidRPr="00857867" w:rsidRDefault="00A53CAC" w:rsidP="00A53CAC">
            <w:pPr>
              <w:spacing w:after="0" w:line="240" w:lineRule="auto"/>
              <w:jc w:val="center"/>
              <w:rPr>
                <w:rFonts w:ascii="Times New Roman" w:hAnsi="Times New Roman"/>
                <w:sz w:val="20"/>
                <w:szCs w:val="20"/>
              </w:rPr>
            </w:pPr>
          </w:p>
        </w:tc>
        <w:tc>
          <w:tcPr>
            <w:tcW w:w="1034" w:type="dxa"/>
            <w:tcBorders>
              <w:top w:val="single" w:sz="4" w:space="0" w:color="auto"/>
              <w:left w:val="single" w:sz="4" w:space="0" w:color="auto"/>
              <w:bottom w:val="single" w:sz="4" w:space="0" w:color="auto"/>
              <w:right w:val="single" w:sz="4" w:space="0" w:color="auto"/>
            </w:tcBorders>
          </w:tcPr>
          <w:p w14:paraId="34517C8E" w14:textId="77777777" w:rsidR="00A53CAC" w:rsidRPr="00857867" w:rsidRDefault="00A53CAC" w:rsidP="00A53CAC">
            <w:pPr>
              <w:spacing w:after="0" w:line="240" w:lineRule="auto"/>
              <w:rPr>
                <w:rFonts w:ascii="Times New Roman" w:hAnsi="Times New Roman"/>
                <w:sz w:val="20"/>
                <w:szCs w:val="20"/>
              </w:rPr>
            </w:pPr>
          </w:p>
        </w:tc>
      </w:tr>
      <w:tr w:rsidR="00D75D2E" w:rsidRPr="00420C1B" w14:paraId="4760B950"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tcPr>
          <w:p w14:paraId="47C74214" w14:textId="77777777" w:rsidR="00A53CAC" w:rsidRPr="00857867" w:rsidRDefault="00A53CAC" w:rsidP="00A53CAC">
            <w:pPr>
              <w:spacing w:after="0" w:line="240" w:lineRule="auto"/>
              <w:rPr>
                <w:rFonts w:ascii="Times New Roman" w:eastAsia="Times New Roman" w:hAnsi="Times New Roman"/>
                <w:sz w:val="20"/>
                <w:szCs w:val="20"/>
                <w:lang w:eastAsia="fr-FR"/>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23EE5FD" w14:textId="77777777" w:rsidR="00A53CAC" w:rsidRPr="00857867" w:rsidRDefault="00A53CAC" w:rsidP="00A53CAC">
            <w:pPr>
              <w:spacing w:after="0" w:line="240" w:lineRule="auto"/>
              <w:rPr>
                <w:rFonts w:ascii="Times New Roman" w:eastAsia="Times New Roman" w:hAnsi="Times New Roman"/>
                <w:bCs/>
                <w:sz w:val="20"/>
                <w:szCs w:val="20"/>
              </w:rPr>
            </w:pPr>
          </w:p>
        </w:tc>
        <w:tc>
          <w:tcPr>
            <w:tcW w:w="1140" w:type="dxa"/>
            <w:gridSpan w:val="4"/>
            <w:tcBorders>
              <w:top w:val="single" w:sz="4" w:space="0" w:color="auto"/>
              <w:bottom w:val="single" w:sz="4" w:space="0" w:color="auto"/>
              <w:right w:val="single" w:sz="4" w:space="0" w:color="auto"/>
            </w:tcBorders>
            <w:vAlign w:val="center"/>
          </w:tcPr>
          <w:p w14:paraId="0209E3E5"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hAnsi="Times New Roman"/>
                <w:sz w:val="20"/>
                <w:szCs w:val="20"/>
              </w:rPr>
              <w:t>Continue</w:t>
            </w:r>
          </w:p>
        </w:tc>
        <w:tc>
          <w:tcPr>
            <w:tcW w:w="2422" w:type="dxa"/>
            <w:gridSpan w:val="4"/>
            <w:tcBorders>
              <w:top w:val="single" w:sz="4" w:space="0" w:color="auto"/>
              <w:left w:val="single" w:sz="4" w:space="0" w:color="auto"/>
              <w:bottom w:val="single" w:sz="4" w:space="0" w:color="auto"/>
              <w:right w:val="single" w:sz="4" w:space="0" w:color="auto"/>
            </w:tcBorders>
            <w:vAlign w:val="center"/>
          </w:tcPr>
          <w:p w14:paraId="50787885" w14:textId="77777777" w:rsidR="00A53CAC" w:rsidRPr="00857867" w:rsidRDefault="00A53CAC" w:rsidP="00A53CAC">
            <w:pPr>
              <w:spacing w:after="0" w:line="240" w:lineRule="auto"/>
              <w:jc w:val="center"/>
              <w:rPr>
                <w:rFonts w:ascii="Times New Roman" w:hAnsi="Times New Roman"/>
                <w:sz w:val="20"/>
                <w:szCs w:val="20"/>
              </w:rPr>
            </w:pPr>
            <w:r w:rsidRPr="00857867">
              <w:rPr>
                <w:rFonts w:ascii="Times New Roman" w:eastAsia="Times New Roman" w:hAnsi="Times New Roman"/>
                <w:bCs/>
                <w:sz w:val="20"/>
                <w:szCs w:val="20"/>
              </w:rPr>
              <w:t>Socio culturel</w:t>
            </w:r>
          </w:p>
        </w:tc>
        <w:tc>
          <w:tcPr>
            <w:tcW w:w="1398" w:type="dxa"/>
            <w:gridSpan w:val="2"/>
            <w:tcBorders>
              <w:top w:val="single" w:sz="4" w:space="0" w:color="auto"/>
              <w:left w:val="single" w:sz="4" w:space="0" w:color="auto"/>
              <w:bottom w:val="single" w:sz="4" w:space="0" w:color="auto"/>
              <w:right w:val="single" w:sz="4" w:space="0" w:color="auto"/>
            </w:tcBorders>
            <w:vAlign w:val="center"/>
          </w:tcPr>
          <w:p w14:paraId="38B4663A" w14:textId="77777777" w:rsidR="00A53CAC" w:rsidRPr="00857867" w:rsidRDefault="00A53CAC" w:rsidP="00A53CAC">
            <w:pPr>
              <w:spacing w:after="0" w:line="240" w:lineRule="auto"/>
              <w:jc w:val="center"/>
              <w:rPr>
                <w:rFonts w:ascii="Times New Roman" w:hAnsi="Times New Roman"/>
                <w:sz w:val="20"/>
                <w:szCs w:val="20"/>
              </w:rPr>
            </w:pPr>
          </w:p>
        </w:tc>
        <w:tc>
          <w:tcPr>
            <w:tcW w:w="1316" w:type="dxa"/>
            <w:gridSpan w:val="2"/>
            <w:tcBorders>
              <w:top w:val="single" w:sz="4" w:space="0" w:color="auto"/>
              <w:left w:val="single" w:sz="4" w:space="0" w:color="auto"/>
              <w:bottom w:val="single" w:sz="4" w:space="0" w:color="auto"/>
            </w:tcBorders>
            <w:vAlign w:val="center"/>
          </w:tcPr>
          <w:p w14:paraId="7BC29CBA" w14:textId="77777777" w:rsidR="00A53CAC" w:rsidRPr="00857867" w:rsidRDefault="00A53CAC" w:rsidP="00A53CAC">
            <w:pPr>
              <w:spacing w:after="0" w:line="240" w:lineRule="auto"/>
              <w:jc w:val="center"/>
              <w:rPr>
                <w:rFonts w:ascii="Times New Roman" w:hAnsi="Times New Roman"/>
                <w:sz w:val="20"/>
                <w:szCs w:val="20"/>
              </w:rPr>
            </w:pPr>
          </w:p>
        </w:tc>
        <w:tc>
          <w:tcPr>
            <w:tcW w:w="1034" w:type="dxa"/>
            <w:tcBorders>
              <w:top w:val="single" w:sz="4" w:space="0" w:color="auto"/>
              <w:left w:val="single" w:sz="4" w:space="0" w:color="auto"/>
              <w:bottom w:val="single" w:sz="4" w:space="0" w:color="auto"/>
              <w:right w:val="single" w:sz="4" w:space="0" w:color="auto"/>
            </w:tcBorders>
          </w:tcPr>
          <w:p w14:paraId="74038DB8" w14:textId="77777777" w:rsidR="00A53CAC" w:rsidRPr="00857867" w:rsidRDefault="00A53CAC" w:rsidP="00A53CAC">
            <w:pPr>
              <w:spacing w:after="0" w:line="240" w:lineRule="auto"/>
              <w:rPr>
                <w:rFonts w:ascii="Times New Roman" w:hAnsi="Times New Roman"/>
                <w:sz w:val="20"/>
                <w:szCs w:val="20"/>
              </w:rPr>
            </w:pPr>
          </w:p>
        </w:tc>
      </w:tr>
      <w:tr w:rsidR="00D75D2E" w:rsidRPr="00420C1B" w14:paraId="0A2DB674" w14:textId="77777777" w:rsidTr="00215867">
        <w:trPr>
          <w:jc w:val="center"/>
        </w:trPr>
        <w:tc>
          <w:tcPr>
            <w:tcW w:w="1790" w:type="dxa"/>
            <w:gridSpan w:val="2"/>
            <w:vMerge/>
            <w:tcBorders>
              <w:top w:val="single" w:sz="4" w:space="0" w:color="auto"/>
              <w:left w:val="single" w:sz="4" w:space="0" w:color="auto"/>
              <w:bottom w:val="single" w:sz="4" w:space="0" w:color="auto"/>
              <w:right w:val="single" w:sz="4" w:space="0" w:color="auto"/>
            </w:tcBorders>
            <w:vAlign w:val="center"/>
            <w:hideMark/>
          </w:tcPr>
          <w:p w14:paraId="64B21A70" w14:textId="77777777" w:rsidR="00ED17F3" w:rsidRPr="00857867" w:rsidRDefault="00ED17F3" w:rsidP="007108ED">
            <w:pPr>
              <w:spacing w:after="0" w:line="240" w:lineRule="auto"/>
              <w:rPr>
                <w:rFonts w:ascii="Times New Roman" w:eastAsia="Times New Roman" w:hAnsi="Times New Roman"/>
                <w:sz w:val="20"/>
                <w:szCs w:val="20"/>
                <w:lang w:eastAsia="fr-FR"/>
              </w:rPr>
            </w:pP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14:paraId="1FAD1581" w14:textId="77777777" w:rsidR="00ED17F3" w:rsidRPr="00857867" w:rsidRDefault="00ED17F3" w:rsidP="007108ED">
            <w:pPr>
              <w:spacing w:after="0" w:line="240" w:lineRule="auto"/>
              <w:jc w:val="center"/>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7310" w:type="dxa"/>
            <w:gridSpan w:val="13"/>
            <w:tcBorders>
              <w:top w:val="single" w:sz="4" w:space="0" w:color="auto"/>
              <w:left w:val="single" w:sz="4" w:space="0" w:color="auto"/>
              <w:bottom w:val="single" w:sz="4" w:space="0" w:color="auto"/>
              <w:right w:val="single" w:sz="4" w:space="0" w:color="auto"/>
            </w:tcBorders>
            <w:hideMark/>
          </w:tcPr>
          <w:p w14:paraId="4E1EAF08" w14:textId="77777777" w:rsidR="00ED17F3" w:rsidRPr="00857867" w:rsidRDefault="00ED17F3" w:rsidP="007108ED">
            <w:pPr>
              <w:autoSpaceDE w:val="0"/>
              <w:autoSpaceDN w:val="0"/>
              <w:adjustRightInd w:val="0"/>
              <w:spacing w:after="0" w:line="240" w:lineRule="auto"/>
              <w:jc w:val="both"/>
              <w:rPr>
                <w:rFonts w:ascii="Times New Roman" w:eastAsia="Times New Roman" w:hAnsi="Times New Roman"/>
                <w:sz w:val="20"/>
                <w:szCs w:val="20"/>
                <w:lang w:eastAsia="fr-FR"/>
              </w:rPr>
            </w:pPr>
            <w:r w:rsidRPr="00857867">
              <w:rPr>
                <w:rFonts w:ascii="Times New Roman" w:hAnsi="Times New Roman"/>
                <w:sz w:val="20"/>
                <w:szCs w:val="20"/>
              </w:rPr>
              <w:t>La non-utilisation de la main d’œuvre locale et le non-respect des us et coutumes des populations par les employés venus d’ailleurs pourront engendrer des conflits. L’intensité de cet impact est moyenne, d’une étendue locale mais sera de durée temporaire et donc d’importance moyenne.</w:t>
            </w:r>
          </w:p>
        </w:tc>
      </w:tr>
      <w:tr w:rsidR="00D75D2E" w:rsidRPr="00420C1B" w14:paraId="339E7FC5" w14:textId="77777777" w:rsidTr="00215867">
        <w:trPr>
          <w:jc w:val="center"/>
        </w:trPr>
        <w:tc>
          <w:tcPr>
            <w:tcW w:w="4027" w:type="dxa"/>
            <w:gridSpan w:val="8"/>
            <w:tcBorders>
              <w:top w:val="single" w:sz="4" w:space="0" w:color="auto"/>
              <w:left w:val="single" w:sz="4" w:space="0" w:color="auto"/>
              <w:bottom w:val="single" w:sz="4" w:space="0" w:color="auto"/>
              <w:right w:val="single" w:sz="4" w:space="0" w:color="auto"/>
            </w:tcBorders>
            <w:hideMark/>
          </w:tcPr>
          <w:p w14:paraId="16BD2CE0" w14:textId="77777777" w:rsidR="00ED17F3" w:rsidRPr="00857867" w:rsidRDefault="00ED17F3" w:rsidP="007108ED">
            <w:pPr>
              <w:spacing w:after="0" w:line="240" w:lineRule="auto"/>
              <w:jc w:val="both"/>
              <w:rPr>
                <w:rFonts w:ascii="Times New Roman" w:eastAsia="Times New Roman" w:hAnsi="Times New Roman"/>
                <w:b/>
                <w:sz w:val="20"/>
                <w:szCs w:val="20"/>
                <w:lang w:eastAsia="fr-FR"/>
              </w:rPr>
            </w:pPr>
            <w:r w:rsidRPr="00857867">
              <w:rPr>
                <w:rFonts w:ascii="Times New Roman" w:hAnsi="Times New Roman"/>
                <w:b/>
                <w:sz w:val="20"/>
                <w:szCs w:val="20"/>
              </w:rPr>
              <w:t xml:space="preserve">Titre de la mesure d’atténuation : </w:t>
            </w:r>
          </w:p>
        </w:tc>
        <w:tc>
          <w:tcPr>
            <w:tcW w:w="6170" w:type="dxa"/>
            <w:gridSpan w:val="9"/>
            <w:tcBorders>
              <w:top w:val="single" w:sz="4" w:space="0" w:color="auto"/>
              <w:left w:val="single" w:sz="4" w:space="0" w:color="auto"/>
              <w:bottom w:val="single" w:sz="4" w:space="0" w:color="auto"/>
              <w:right w:val="single" w:sz="4" w:space="0" w:color="auto"/>
            </w:tcBorders>
            <w:hideMark/>
          </w:tcPr>
          <w:p w14:paraId="0C4E4227" w14:textId="77777777" w:rsidR="00ED17F3" w:rsidRDefault="00ED17F3" w:rsidP="007108ED">
            <w:pPr>
              <w:autoSpaceDE w:val="0"/>
              <w:autoSpaceDN w:val="0"/>
              <w:adjustRightInd w:val="0"/>
              <w:spacing w:after="0" w:line="240" w:lineRule="auto"/>
              <w:jc w:val="both"/>
              <w:rPr>
                <w:rFonts w:ascii="Times New Roman" w:hAnsi="Times New Roman"/>
                <w:sz w:val="20"/>
                <w:szCs w:val="20"/>
              </w:rPr>
            </w:pPr>
            <w:r w:rsidRPr="00857867">
              <w:rPr>
                <w:rFonts w:ascii="Times New Roman" w:hAnsi="Times New Roman"/>
                <w:sz w:val="20"/>
                <w:szCs w:val="20"/>
              </w:rPr>
              <w:t>Mise en œuvre d’un Plan de recrutement du personnel et un mécanisme de prévention et de gestion des conflits</w:t>
            </w:r>
            <w:r w:rsidR="00E728BF">
              <w:rPr>
                <w:rFonts w:ascii="Times New Roman" w:hAnsi="Times New Roman"/>
                <w:sz w:val="20"/>
                <w:szCs w:val="20"/>
              </w:rPr>
              <w:t> ;</w:t>
            </w:r>
          </w:p>
          <w:p w14:paraId="726F51B5" w14:textId="74201DCF" w:rsidR="00E728BF" w:rsidRPr="00857867" w:rsidRDefault="00E728BF" w:rsidP="007108ED">
            <w:pPr>
              <w:autoSpaceDE w:val="0"/>
              <w:autoSpaceDN w:val="0"/>
              <w:adjustRightInd w:val="0"/>
              <w:spacing w:after="0" w:line="240" w:lineRule="auto"/>
              <w:jc w:val="both"/>
              <w:rPr>
                <w:rFonts w:ascii="Times New Roman" w:eastAsia="Times New Roman" w:hAnsi="Times New Roman"/>
                <w:sz w:val="20"/>
                <w:szCs w:val="20"/>
                <w:lang w:eastAsia="fr-FR"/>
              </w:rPr>
            </w:pPr>
            <w:r>
              <w:rPr>
                <w:rFonts w:ascii="Times New Roman" w:hAnsi="Times New Roman"/>
                <w:sz w:val="20"/>
                <w:szCs w:val="20"/>
              </w:rPr>
              <w:t>Se conformer aux procédures de gestion de la main d’œuvre élaborée dans le cadre du projet.</w:t>
            </w:r>
          </w:p>
        </w:tc>
      </w:tr>
      <w:tr w:rsidR="00D75D2E" w:rsidRPr="00420C1B" w14:paraId="4AC1F26E" w14:textId="77777777" w:rsidTr="00215867">
        <w:trPr>
          <w:jc w:val="center"/>
        </w:trPr>
        <w:tc>
          <w:tcPr>
            <w:tcW w:w="4027" w:type="dxa"/>
            <w:gridSpan w:val="8"/>
            <w:tcBorders>
              <w:top w:val="single" w:sz="4" w:space="0" w:color="auto"/>
              <w:left w:val="single" w:sz="4" w:space="0" w:color="auto"/>
              <w:bottom w:val="single" w:sz="4" w:space="0" w:color="auto"/>
              <w:right w:val="single" w:sz="4" w:space="0" w:color="auto"/>
            </w:tcBorders>
          </w:tcPr>
          <w:p w14:paraId="62987B83" w14:textId="1CCBEBC9" w:rsidR="00ED17F3" w:rsidRDefault="00ED17F3" w:rsidP="007108ED">
            <w:pPr>
              <w:autoSpaceDE w:val="0"/>
              <w:autoSpaceDN w:val="0"/>
              <w:adjustRightInd w:val="0"/>
              <w:spacing w:after="0" w:line="240" w:lineRule="auto"/>
              <w:rPr>
                <w:rFonts w:ascii="Times New Roman" w:hAnsi="Times New Roman"/>
                <w:sz w:val="20"/>
                <w:szCs w:val="20"/>
              </w:rPr>
            </w:pPr>
            <w:r w:rsidRPr="00857867">
              <w:rPr>
                <w:rFonts w:ascii="Times New Roman" w:hAnsi="Times New Roman"/>
                <w:b/>
                <w:sz w:val="20"/>
                <w:szCs w:val="20"/>
              </w:rPr>
              <w:t>Objectif de la mesure d’atténuation</w:t>
            </w:r>
            <w:r w:rsidRPr="00857867">
              <w:rPr>
                <w:rFonts w:ascii="Times New Roman" w:hAnsi="Times New Roman"/>
                <w:sz w:val="20"/>
                <w:szCs w:val="20"/>
              </w:rPr>
              <w:t> : Prévenir et gérer les conflits entre personnel de l’entreprise et les populations riveraines</w:t>
            </w:r>
          </w:p>
          <w:p w14:paraId="5621431A" w14:textId="61A5804A" w:rsidR="00117DDA" w:rsidRPr="00857867" w:rsidRDefault="00117DDA" w:rsidP="007108ED">
            <w:pPr>
              <w:autoSpaceDE w:val="0"/>
              <w:autoSpaceDN w:val="0"/>
              <w:adjustRightInd w:val="0"/>
              <w:spacing w:after="0" w:line="240" w:lineRule="auto"/>
              <w:rPr>
                <w:rFonts w:ascii="Times New Roman" w:eastAsia="Times New Roman" w:hAnsi="Times New Roman"/>
                <w:sz w:val="20"/>
                <w:szCs w:val="20"/>
                <w:lang w:eastAsia="fr-FR"/>
              </w:rPr>
            </w:pPr>
            <w:r>
              <w:rPr>
                <w:rFonts w:ascii="Times New Roman" w:hAnsi="Times New Roman"/>
                <w:sz w:val="20"/>
                <w:szCs w:val="20"/>
                <w:lang w:eastAsia="fr-FR"/>
              </w:rPr>
              <w:t>Risques d’EAS/HS</w:t>
            </w:r>
          </w:p>
          <w:p w14:paraId="0EC72D5B" w14:textId="77777777" w:rsidR="00ED17F3" w:rsidRPr="00857867" w:rsidRDefault="00ED17F3" w:rsidP="007108ED">
            <w:pPr>
              <w:spacing w:after="0" w:line="240" w:lineRule="auto"/>
              <w:rPr>
                <w:rFonts w:ascii="Times New Roman" w:hAnsi="Times New Roman"/>
                <w:sz w:val="20"/>
                <w:szCs w:val="20"/>
              </w:rPr>
            </w:pPr>
          </w:p>
        </w:tc>
        <w:tc>
          <w:tcPr>
            <w:tcW w:w="6170" w:type="dxa"/>
            <w:gridSpan w:val="9"/>
            <w:tcBorders>
              <w:top w:val="single" w:sz="4" w:space="0" w:color="auto"/>
              <w:left w:val="single" w:sz="4" w:space="0" w:color="auto"/>
              <w:bottom w:val="single" w:sz="4" w:space="0" w:color="auto"/>
              <w:right w:val="single" w:sz="4" w:space="0" w:color="auto"/>
            </w:tcBorders>
            <w:hideMark/>
          </w:tcPr>
          <w:p w14:paraId="0A23AA98" w14:textId="77777777" w:rsidR="00ED17F3" w:rsidRPr="00857867" w:rsidRDefault="00ED17F3" w:rsidP="007108ED">
            <w:pPr>
              <w:spacing w:after="0" w:line="240" w:lineRule="auto"/>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155434FB" w14:textId="77777777" w:rsidR="00ED17F3" w:rsidRPr="00857867" w:rsidRDefault="00ED17F3" w:rsidP="008C79F0">
            <w:pPr>
              <w:numPr>
                <w:ilvl w:val="0"/>
                <w:numId w:val="33"/>
              </w:numPr>
              <w:autoSpaceDE w:val="0"/>
              <w:autoSpaceDN w:val="0"/>
              <w:adjustRightInd w:val="0"/>
              <w:spacing w:after="0" w:line="240" w:lineRule="auto"/>
              <w:ind w:left="161" w:hanging="161"/>
              <w:jc w:val="both"/>
              <w:rPr>
                <w:rFonts w:ascii="Times New Roman" w:hAnsi="Times New Roman"/>
                <w:sz w:val="20"/>
                <w:szCs w:val="20"/>
              </w:rPr>
            </w:pPr>
            <w:r w:rsidRPr="00857867">
              <w:rPr>
                <w:rFonts w:ascii="Times New Roman" w:hAnsi="Times New Roman"/>
                <w:sz w:val="20"/>
                <w:szCs w:val="20"/>
              </w:rPr>
              <w:t xml:space="preserve">recruter en priorité la main d’œuvre locale pour les emplois non qualifiés ; </w:t>
            </w:r>
          </w:p>
          <w:p w14:paraId="5A8137A8" w14:textId="77777777" w:rsidR="00ED17F3" w:rsidRPr="00857867" w:rsidRDefault="00ED17F3" w:rsidP="008C79F0">
            <w:pPr>
              <w:numPr>
                <w:ilvl w:val="0"/>
                <w:numId w:val="33"/>
              </w:numPr>
              <w:suppressAutoHyphens/>
              <w:spacing w:after="0" w:line="240" w:lineRule="auto"/>
              <w:ind w:left="161" w:hanging="161"/>
              <w:contextualSpacing/>
              <w:jc w:val="both"/>
              <w:rPr>
                <w:rFonts w:ascii="Times New Roman" w:eastAsia="Times New Roman" w:hAnsi="Times New Roman"/>
                <w:sz w:val="20"/>
                <w:szCs w:val="20"/>
                <w:lang w:eastAsia="fr-FR"/>
              </w:rPr>
            </w:pPr>
            <w:r w:rsidRPr="00857867">
              <w:rPr>
                <w:rFonts w:ascii="Times New Roman" w:hAnsi="Times New Roman"/>
                <w:sz w:val="20"/>
                <w:szCs w:val="20"/>
              </w:rPr>
              <w:t>mettre en place un système transparent de recrutement ;</w:t>
            </w:r>
          </w:p>
          <w:p w14:paraId="2A4103E5" w14:textId="77777777" w:rsidR="00ED17F3" w:rsidRPr="00857867" w:rsidRDefault="00ED17F3" w:rsidP="008C79F0">
            <w:pPr>
              <w:numPr>
                <w:ilvl w:val="0"/>
                <w:numId w:val="33"/>
              </w:numPr>
              <w:autoSpaceDE w:val="0"/>
              <w:autoSpaceDN w:val="0"/>
              <w:adjustRightInd w:val="0"/>
              <w:spacing w:after="0" w:line="240" w:lineRule="auto"/>
              <w:ind w:left="161" w:hanging="161"/>
              <w:contextualSpacing/>
              <w:jc w:val="both"/>
              <w:rPr>
                <w:rFonts w:ascii="Times New Roman" w:eastAsia="Times New Roman" w:hAnsi="Times New Roman"/>
                <w:sz w:val="20"/>
                <w:szCs w:val="20"/>
                <w:lang w:eastAsia="fr-FR"/>
              </w:rPr>
            </w:pPr>
            <w:r w:rsidRPr="00857867">
              <w:rPr>
                <w:rFonts w:ascii="Times New Roman" w:hAnsi="Times New Roman"/>
                <w:sz w:val="20"/>
                <w:szCs w:val="20"/>
              </w:rPr>
              <w:t>informer et sensibiliser les populations locales ;</w:t>
            </w:r>
          </w:p>
          <w:p w14:paraId="1B3F3632" w14:textId="3FFABA28" w:rsidR="00ED17F3" w:rsidRPr="00857867" w:rsidRDefault="00ED17F3" w:rsidP="008C79F0">
            <w:pPr>
              <w:numPr>
                <w:ilvl w:val="0"/>
                <w:numId w:val="33"/>
              </w:numPr>
              <w:autoSpaceDE w:val="0"/>
              <w:autoSpaceDN w:val="0"/>
              <w:adjustRightInd w:val="0"/>
              <w:spacing w:after="0" w:line="240" w:lineRule="auto"/>
              <w:ind w:left="161" w:hanging="161"/>
              <w:contextualSpacing/>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élaborer et mettre en œuvre un mécanisme de gestion des plaintes</w:t>
            </w:r>
            <w:r w:rsidR="00117DDA">
              <w:rPr>
                <w:rFonts w:ascii="Times New Roman" w:eastAsia="Times New Roman" w:hAnsi="Times New Roman"/>
                <w:sz w:val="20"/>
                <w:szCs w:val="20"/>
                <w:lang w:eastAsia="fr-FR"/>
              </w:rPr>
              <w:t xml:space="preserve"> sensible à l’EAS/HS</w:t>
            </w:r>
            <w:r w:rsidRPr="00857867">
              <w:rPr>
                <w:rFonts w:ascii="Times New Roman" w:eastAsia="Times New Roman" w:hAnsi="Times New Roman"/>
                <w:sz w:val="20"/>
                <w:szCs w:val="20"/>
                <w:lang w:eastAsia="fr-FR"/>
              </w:rPr>
              <w:t> ;</w:t>
            </w:r>
          </w:p>
          <w:p w14:paraId="630ED302" w14:textId="2212E1FF" w:rsidR="00ED17F3" w:rsidRPr="00857867" w:rsidRDefault="00ED17F3" w:rsidP="008C79F0">
            <w:pPr>
              <w:numPr>
                <w:ilvl w:val="0"/>
                <w:numId w:val="33"/>
              </w:numPr>
              <w:autoSpaceDE w:val="0"/>
              <w:autoSpaceDN w:val="0"/>
              <w:adjustRightInd w:val="0"/>
              <w:spacing w:after="0" w:line="240" w:lineRule="auto"/>
              <w:ind w:left="161" w:hanging="161"/>
              <w:contextualSpacing/>
              <w:jc w:val="both"/>
              <w:rPr>
                <w:rFonts w:ascii="Times New Roman" w:eastAsia="Times New Roman" w:hAnsi="Times New Roman"/>
                <w:sz w:val="20"/>
                <w:szCs w:val="20"/>
                <w:lang w:eastAsia="fr-FR"/>
              </w:rPr>
            </w:pPr>
            <w:r w:rsidRPr="00857867">
              <w:rPr>
                <w:rFonts w:ascii="Times New Roman" w:hAnsi="Times New Roman"/>
                <w:sz w:val="20"/>
                <w:szCs w:val="20"/>
              </w:rPr>
              <w:t>sensibiliser le personnel de chantier sur le respect des us et coutumes des populations locales</w:t>
            </w:r>
            <w:r w:rsidR="00B04B65">
              <w:rPr>
                <w:rFonts w:ascii="Times New Roman" w:hAnsi="Times New Roman"/>
                <w:sz w:val="20"/>
                <w:szCs w:val="20"/>
              </w:rPr>
              <w:t xml:space="preserve"> conformément à la loi</w:t>
            </w:r>
            <w:r w:rsidRPr="00857867">
              <w:rPr>
                <w:rFonts w:ascii="Times New Roman" w:hAnsi="Times New Roman"/>
                <w:sz w:val="20"/>
                <w:szCs w:val="20"/>
              </w:rPr>
              <w:t>.</w:t>
            </w:r>
          </w:p>
        </w:tc>
      </w:tr>
      <w:tr w:rsidR="00D75D2E" w:rsidRPr="00420C1B" w14:paraId="45BCAB31" w14:textId="77777777" w:rsidTr="00215867">
        <w:trPr>
          <w:jc w:val="center"/>
        </w:trPr>
        <w:tc>
          <w:tcPr>
            <w:tcW w:w="4027" w:type="dxa"/>
            <w:gridSpan w:val="8"/>
            <w:tcBorders>
              <w:top w:val="single" w:sz="4" w:space="0" w:color="auto"/>
              <w:left w:val="single" w:sz="4" w:space="0" w:color="auto"/>
              <w:bottom w:val="single" w:sz="4" w:space="0" w:color="auto"/>
              <w:right w:val="single" w:sz="4" w:space="0" w:color="auto"/>
            </w:tcBorders>
          </w:tcPr>
          <w:p w14:paraId="0D7E45B9" w14:textId="77777777" w:rsidR="00ED17F3" w:rsidRPr="00857867" w:rsidRDefault="00ED17F3" w:rsidP="007108ED">
            <w:pPr>
              <w:autoSpaceDE w:val="0"/>
              <w:autoSpaceDN w:val="0"/>
              <w:adjustRightInd w:val="0"/>
              <w:spacing w:after="0" w:line="240" w:lineRule="auto"/>
              <w:rPr>
                <w:rFonts w:ascii="Times New Roman" w:hAnsi="Times New Roman"/>
                <w:b/>
                <w:sz w:val="20"/>
                <w:szCs w:val="20"/>
              </w:rPr>
            </w:pPr>
            <w:r w:rsidRPr="00857867">
              <w:rPr>
                <w:rFonts w:ascii="Times New Roman" w:hAnsi="Times New Roman"/>
                <w:b/>
                <w:sz w:val="20"/>
                <w:szCs w:val="20"/>
              </w:rPr>
              <w:t>Impact résiduel</w:t>
            </w:r>
          </w:p>
        </w:tc>
        <w:tc>
          <w:tcPr>
            <w:tcW w:w="6170" w:type="dxa"/>
            <w:gridSpan w:val="9"/>
            <w:tcBorders>
              <w:top w:val="single" w:sz="4" w:space="0" w:color="auto"/>
              <w:left w:val="single" w:sz="4" w:space="0" w:color="auto"/>
              <w:bottom w:val="single" w:sz="4" w:space="0" w:color="auto"/>
              <w:right w:val="single" w:sz="4" w:space="0" w:color="auto"/>
            </w:tcBorders>
          </w:tcPr>
          <w:p w14:paraId="404582EE"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sz w:val="20"/>
                <w:szCs w:val="20"/>
                <w:u w:val="single"/>
              </w:rPr>
              <w:t>Mineur</w:t>
            </w:r>
          </w:p>
        </w:tc>
      </w:tr>
      <w:tr w:rsidR="00D75D2E" w:rsidRPr="00420C1B" w14:paraId="52A6A078" w14:textId="77777777" w:rsidTr="00215867">
        <w:trPr>
          <w:trHeight w:val="794"/>
          <w:jc w:val="center"/>
        </w:trPr>
        <w:tc>
          <w:tcPr>
            <w:tcW w:w="3271" w:type="dxa"/>
            <w:gridSpan w:val="5"/>
            <w:tcBorders>
              <w:top w:val="single" w:sz="4" w:space="0" w:color="auto"/>
              <w:left w:val="single" w:sz="4" w:space="0" w:color="auto"/>
              <w:bottom w:val="single" w:sz="4" w:space="0" w:color="auto"/>
              <w:right w:val="single" w:sz="4" w:space="0" w:color="auto"/>
            </w:tcBorders>
          </w:tcPr>
          <w:p w14:paraId="7200629F" w14:textId="77777777" w:rsidR="0055275C" w:rsidRPr="00857867" w:rsidRDefault="0055275C" w:rsidP="007108ED">
            <w:pPr>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surveillance</w:t>
            </w:r>
          </w:p>
          <w:p w14:paraId="13D45637" w14:textId="77777777" w:rsidR="0055275C" w:rsidRPr="00857867" w:rsidRDefault="0055275C" w:rsidP="007108ED">
            <w:pPr>
              <w:spacing w:after="0" w:line="240" w:lineRule="auto"/>
              <w:rPr>
                <w:rFonts w:ascii="Times New Roman" w:hAnsi="Times New Roman"/>
                <w:sz w:val="20"/>
                <w:szCs w:val="20"/>
              </w:rPr>
            </w:pPr>
            <w:r w:rsidRPr="00857867">
              <w:rPr>
                <w:rFonts w:ascii="Times New Roman" w:hAnsi="Times New Roman"/>
                <w:sz w:val="20"/>
                <w:szCs w:val="20"/>
              </w:rPr>
              <w:t>MdC</w:t>
            </w:r>
          </w:p>
          <w:p w14:paraId="0DEBDF36" w14:textId="0CE017F9" w:rsidR="0055275C" w:rsidRPr="00857867" w:rsidRDefault="0055275C" w:rsidP="007108ED">
            <w:pPr>
              <w:spacing w:after="0" w:line="240" w:lineRule="auto"/>
              <w:rPr>
                <w:rFonts w:ascii="Times New Roman" w:hAnsi="Times New Roman"/>
                <w:sz w:val="20"/>
                <w:szCs w:val="20"/>
              </w:rPr>
            </w:pPr>
            <w:r w:rsidRPr="00857867">
              <w:rPr>
                <w:rFonts w:ascii="Times New Roman" w:hAnsi="Times New Roman"/>
                <w:sz w:val="20"/>
                <w:szCs w:val="20"/>
              </w:rPr>
              <w:t>Ministère de l’emploi</w:t>
            </w:r>
          </w:p>
          <w:p w14:paraId="2CDEDCEE" w14:textId="77777777" w:rsidR="0055275C" w:rsidRPr="00857867" w:rsidRDefault="0055275C" w:rsidP="007108ED">
            <w:pPr>
              <w:spacing w:after="0" w:line="240" w:lineRule="auto"/>
              <w:rPr>
                <w:rFonts w:ascii="Times New Roman" w:hAnsi="Times New Roman"/>
                <w:b/>
                <w:sz w:val="20"/>
                <w:szCs w:val="20"/>
                <w:u w:val="single"/>
              </w:rPr>
            </w:pPr>
          </w:p>
        </w:tc>
        <w:tc>
          <w:tcPr>
            <w:tcW w:w="3103" w:type="dxa"/>
            <w:gridSpan w:val="6"/>
            <w:tcBorders>
              <w:top w:val="single" w:sz="4" w:space="0" w:color="auto"/>
              <w:left w:val="single" w:sz="4" w:space="0" w:color="auto"/>
              <w:bottom w:val="single" w:sz="4" w:space="0" w:color="auto"/>
              <w:right w:val="single" w:sz="4" w:space="0" w:color="auto"/>
            </w:tcBorders>
          </w:tcPr>
          <w:p w14:paraId="7CCE66C8" w14:textId="77777777" w:rsidR="0055275C" w:rsidRPr="00857867" w:rsidRDefault="0055275C" w:rsidP="007108ED">
            <w:pPr>
              <w:spacing w:after="0" w:line="240" w:lineRule="auto"/>
              <w:rPr>
                <w:rFonts w:ascii="Times New Roman" w:hAnsi="Times New Roman"/>
                <w:b/>
                <w:sz w:val="20"/>
                <w:szCs w:val="20"/>
                <w:u w:val="single"/>
              </w:rPr>
            </w:pPr>
            <w:r w:rsidRPr="00857867">
              <w:rPr>
                <w:rFonts w:ascii="Times New Roman" w:hAnsi="Times New Roman"/>
                <w:b/>
                <w:sz w:val="20"/>
                <w:szCs w:val="20"/>
                <w:u w:val="single"/>
              </w:rPr>
              <w:t>Acteurs de suivi</w:t>
            </w:r>
          </w:p>
          <w:p w14:paraId="1549FC12" w14:textId="77777777" w:rsidR="0055275C" w:rsidRPr="00857867" w:rsidRDefault="0055275C" w:rsidP="007108ED">
            <w:pPr>
              <w:spacing w:after="0" w:line="240" w:lineRule="auto"/>
              <w:rPr>
                <w:rFonts w:ascii="Times New Roman" w:hAnsi="Times New Roman"/>
                <w:sz w:val="20"/>
                <w:szCs w:val="20"/>
              </w:rPr>
            </w:pPr>
            <w:r w:rsidRPr="00857867">
              <w:rPr>
                <w:rFonts w:ascii="Times New Roman" w:hAnsi="Times New Roman"/>
                <w:sz w:val="20"/>
                <w:szCs w:val="20"/>
              </w:rPr>
              <w:t>CPE</w:t>
            </w:r>
          </w:p>
          <w:p w14:paraId="52580A4A" w14:textId="77777777" w:rsidR="0055275C" w:rsidRPr="00857867" w:rsidRDefault="0055275C" w:rsidP="007108ED">
            <w:pPr>
              <w:spacing w:after="0" w:line="240" w:lineRule="auto"/>
              <w:rPr>
                <w:rFonts w:ascii="Times New Roman" w:hAnsi="Times New Roman"/>
                <w:sz w:val="20"/>
                <w:szCs w:val="20"/>
              </w:rPr>
            </w:pPr>
            <w:r w:rsidRPr="00857867">
              <w:rPr>
                <w:rFonts w:ascii="Times New Roman" w:hAnsi="Times New Roman"/>
                <w:sz w:val="20"/>
                <w:szCs w:val="20"/>
              </w:rPr>
              <w:t>SCES/UCM</w:t>
            </w:r>
          </w:p>
          <w:p w14:paraId="168FAB3A" w14:textId="77777777" w:rsidR="0055275C" w:rsidRPr="00857867" w:rsidRDefault="0055275C" w:rsidP="007108ED">
            <w:pPr>
              <w:spacing w:after="0" w:line="240" w:lineRule="auto"/>
              <w:rPr>
                <w:rFonts w:ascii="Times New Roman" w:hAnsi="Times New Roman"/>
                <w:sz w:val="20"/>
                <w:szCs w:val="20"/>
              </w:rPr>
            </w:pPr>
            <w:r w:rsidRPr="00857867">
              <w:rPr>
                <w:rFonts w:ascii="Times New Roman" w:hAnsi="Times New Roman"/>
                <w:sz w:val="20"/>
                <w:szCs w:val="20"/>
              </w:rPr>
              <w:t>Communes concernées</w:t>
            </w:r>
          </w:p>
        </w:tc>
        <w:tc>
          <w:tcPr>
            <w:tcW w:w="3823" w:type="dxa"/>
            <w:gridSpan w:val="6"/>
            <w:tcBorders>
              <w:top w:val="single" w:sz="4" w:space="0" w:color="auto"/>
              <w:left w:val="single" w:sz="4" w:space="0" w:color="auto"/>
              <w:bottom w:val="single" w:sz="4" w:space="0" w:color="auto"/>
              <w:right w:val="single" w:sz="4" w:space="0" w:color="auto"/>
            </w:tcBorders>
          </w:tcPr>
          <w:p w14:paraId="20A88A97" w14:textId="77777777" w:rsidR="0055275C" w:rsidRPr="00857867" w:rsidRDefault="0055275C" w:rsidP="007108ED">
            <w:pPr>
              <w:spacing w:after="0" w:line="240" w:lineRule="auto"/>
              <w:rPr>
                <w:rFonts w:ascii="Times New Roman" w:hAnsi="Times New Roman"/>
                <w:b/>
                <w:sz w:val="20"/>
                <w:szCs w:val="20"/>
                <w:u w:val="single"/>
              </w:rPr>
            </w:pPr>
            <w:r w:rsidRPr="00857867">
              <w:rPr>
                <w:rFonts w:ascii="Times New Roman" w:hAnsi="Times New Roman"/>
                <w:b/>
                <w:sz w:val="20"/>
                <w:szCs w:val="20"/>
                <w:u w:val="single"/>
              </w:rPr>
              <w:t>Indicateurs de suivi</w:t>
            </w:r>
          </w:p>
          <w:p w14:paraId="7CD9975F" w14:textId="77777777" w:rsidR="0055275C" w:rsidRPr="00857867" w:rsidRDefault="0055275C" w:rsidP="007108ED">
            <w:pPr>
              <w:spacing w:after="0" w:line="240" w:lineRule="auto"/>
              <w:jc w:val="both"/>
              <w:rPr>
                <w:rFonts w:ascii="Times New Roman" w:hAnsi="Times New Roman"/>
                <w:sz w:val="20"/>
                <w:szCs w:val="20"/>
              </w:rPr>
            </w:pPr>
            <w:r w:rsidRPr="00857867">
              <w:rPr>
                <w:rFonts w:ascii="Times New Roman" w:hAnsi="Times New Roman"/>
                <w:sz w:val="20"/>
                <w:szCs w:val="20"/>
              </w:rPr>
              <w:t>100% des ouvriers non qualifiés sont recrutés localement ;</w:t>
            </w:r>
          </w:p>
          <w:p w14:paraId="42911385" w14:textId="3EE70A52" w:rsidR="0055275C" w:rsidRPr="00857867" w:rsidRDefault="0055275C" w:rsidP="007108ED">
            <w:pPr>
              <w:spacing w:after="0" w:line="240" w:lineRule="auto"/>
              <w:jc w:val="both"/>
              <w:rPr>
                <w:rFonts w:ascii="Times New Roman" w:hAnsi="Times New Roman"/>
                <w:b/>
                <w:sz w:val="20"/>
                <w:szCs w:val="20"/>
                <w:u w:val="single"/>
              </w:rPr>
            </w:pPr>
            <w:r w:rsidRPr="00857867">
              <w:rPr>
                <w:rFonts w:ascii="Times New Roman" w:hAnsi="Times New Roman"/>
                <w:sz w:val="20"/>
                <w:szCs w:val="20"/>
              </w:rPr>
              <w:t>0% pla</w:t>
            </w:r>
            <w:r w:rsidR="009B4311">
              <w:rPr>
                <w:rFonts w:ascii="Times New Roman" w:hAnsi="Times New Roman"/>
                <w:sz w:val="20"/>
                <w:szCs w:val="20"/>
              </w:rPr>
              <w:t>i</w:t>
            </w:r>
            <w:r w:rsidRPr="00857867">
              <w:rPr>
                <w:rFonts w:ascii="Times New Roman" w:hAnsi="Times New Roman"/>
                <w:sz w:val="20"/>
                <w:szCs w:val="20"/>
              </w:rPr>
              <w:t>ntes enregistrées</w:t>
            </w:r>
            <w:r w:rsidR="009B4311">
              <w:rPr>
                <w:rFonts w:ascii="Times New Roman" w:hAnsi="Times New Roman"/>
                <w:sz w:val="20"/>
                <w:szCs w:val="20"/>
              </w:rPr>
              <w:t xml:space="preserve"> en rapport avec le recrutement </w:t>
            </w:r>
          </w:p>
        </w:tc>
      </w:tr>
      <w:tr w:rsidR="00D75D2E" w:rsidRPr="00420C1B" w14:paraId="0BA3868A" w14:textId="77777777" w:rsidTr="00215867">
        <w:trPr>
          <w:trHeight w:val="425"/>
          <w:jc w:val="center"/>
        </w:trPr>
        <w:tc>
          <w:tcPr>
            <w:tcW w:w="1555" w:type="dxa"/>
            <w:tcBorders>
              <w:top w:val="single" w:sz="4" w:space="0" w:color="auto"/>
              <w:left w:val="single" w:sz="4" w:space="0" w:color="auto"/>
              <w:bottom w:val="single" w:sz="4" w:space="0" w:color="auto"/>
              <w:right w:val="single" w:sz="4" w:space="0" w:color="auto"/>
            </w:tcBorders>
          </w:tcPr>
          <w:p w14:paraId="5D66FC8D"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939" w:type="dxa"/>
            <w:gridSpan w:val="2"/>
            <w:tcBorders>
              <w:top w:val="single" w:sz="4" w:space="0" w:color="auto"/>
              <w:left w:val="single" w:sz="4" w:space="0" w:color="auto"/>
              <w:bottom w:val="single" w:sz="4" w:space="0" w:color="auto"/>
              <w:right w:val="single" w:sz="4" w:space="0" w:color="auto"/>
            </w:tcBorders>
          </w:tcPr>
          <w:p w14:paraId="52F388B6"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rPr>
              <w:t>Unité</w:t>
            </w:r>
          </w:p>
        </w:tc>
        <w:tc>
          <w:tcPr>
            <w:tcW w:w="1050" w:type="dxa"/>
            <w:gridSpan w:val="3"/>
            <w:tcBorders>
              <w:top w:val="single" w:sz="4" w:space="0" w:color="auto"/>
              <w:left w:val="single" w:sz="4" w:space="0" w:color="auto"/>
              <w:bottom w:val="single" w:sz="4" w:space="0" w:color="auto"/>
              <w:right w:val="single" w:sz="4" w:space="0" w:color="auto"/>
            </w:tcBorders>
          </w:tcPr>
          <w:p w14:paraId="63D07FA3" w14:textId="77777777" w:rsidR="00ED17F3" w:rsidRPr="00857867" w:rsidRDefault="00ED17F3" w:rsidP="007108ED">
            <w:pPr>
              <w:autoSpaceDE w:val="0"/>
              <w:autoSpaceDN w:val="0"/>
              <w:adjustRightInd w:val="0"/>
              <w:spacing w:after="0" w:line="240" w:lineRule="auto"/>
              <w:jc w:val="center"/>
              <w:rPr>
                <w:rFonts w:ascii="Times New Roman" w:hAnsi="Times New Roman"/>
                <w:b/>
                <w:sz w:val="20"/>
                <w:szCs w:val="20"/>
              </w:rPr>
            </w:pPr>
            <w:r w:rsidRPr="00857867">
              <w:rPr>
                <w:rFonts w:ascii="Times New Roman" w:hAnsi="Times New Roman"/>
                <w:b/>
                <w:sz w:val="20"/>
                <w:szCs w:val="20"/>
              </w:rPr>
              <w:t>Quantités</w:t>
            </w:r>
          </w:p>
          <w:p w14:paraId="50BD8208" w14:textId="77777777" w:rsidR="00ED17F3" w:rsidRPr="00857867" w:rsidRDefault="00ED17F3" w:rsidP="007108ED">
            <w:pPr>
              <w:spacing w:after="0" w:line="240" w:lineRule="auto"/>
              <w:rPr>
                <w:rFonts w:ascii="Times New Roman" w:hAnsi="Times New Roman"/>
                <w:b/>
                <w:sz w:val="20"/>
                <w:szCs w:val="20"/>
                <w:u w:val="single"/>
              </w:rPr>
            </w:pPr>
          </w:p>
        </w:tc>
        <w:tc>
          <w:tcPr>
            <w:tcW w:w="1587" w:type="dxa"/>
            <w:gridSpan w:val="3"/>
            <w:tcBorders>
              <w:top w:val="single" w:sz="4" w:space="0" w:color="auto"/>
              <w:left w:val="single" w:sz="4" w:space="0" w:color="auto"/>
              <w:bottom w:val="single" w:sz="4" w:space="0" w:color="auto"/>
              <w:right w:val="single" w:sz="4" w:space="0" w:color="auto"/>
            </w:tcBorders>
          </w:tcPr>
          <w:p w14:paraId="504F84E1" w14:textId="0C04653B"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b/>
                <w:sz w:val="20"/>
                <w:szCs w:val="20"/>
              </w:rPr>
              <w:t>Coûts unitaires en $</w:t>
            </w:r>
          </w:p>
        </w:tc>
        <w:tc>
          <w:tcPr>
            <w:tcW w:w="1243" w:type="dxa"/>
            <w:gridSpan w:val="2"/>
            <w:tcBorders>
              <w:top w:val="single" w:sz="4" w:space="0" w:color="auto"/>
              <w:left w:val="single" w:sz="4" w:space="0" w:color="auto"/>
              <w:bottom w:val="single" w:sz="4" w:space="0" w:color="auto"/>
              <w:right w:val="single" w:sz="4" w:space="0" w:color="auto"/>
            </w:tcBorders>
          </w:tcPr>
          <w:p w14:paraId="15A97EC3"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rPr>
              <w:t>Entreprise en $</w:t>
            </w:r>
          </w:p>
        </w:tc>
        <w:tc>
          <w:tcPr>
            <w:tcW w:w="851" w:type="dxa"/>
            <w:gridSpan w:val="2"/>
            <w:tcBorders>
              <w:top w:val="single" w:sz="4" w:space="0" w:color="auto"/>
              <w:left w:val="single" w:sz="4" w:space="0" w:color="auto"/>
              <w:bottom w:val="single" w:sz="4" w:space="0" w:color="auto"/>
              <w:right w:val="single" w:sz="4" w:space="0" w:color="auto"/>
            </w:tcBorders>
          </w:tcPr>
          <w:p w14:paraId="59F10E06" w14:textId="1FAC3DA3" w:rsidR="00ED17F3" w:rsidRPr="00857867" w:rsidRDefault="00ED17F3" w:rsidP="00215867">
            <w:pPr>
              <w:autoSpaceDE w:val="0"/>
              <w:autoSpaceDN w:val="0"/>
              <w:adjustRightInd w:val="0"/>
              <w:spacing w:after="0" w:line="240" w:lineRule="auto"/>
              <w:jc w:val="center"/>
              <w:rPr>
                <w:rFonts w:ascii="Times New Roman" w:hAnsi="Times New Roman"/>
                <w:b/>
                <w:sz w:val="20"/>
                <w:szCs w:val="20"/>
                <w:u w:val="single"/>
              </w:rPr>
            </w:pPr>
            <w:r w:rsidRPr="00857867">
              <w:rPr>
                <w:rFonts w:ascii="Times New Roman" w:hAnsi="Times New Roman"/>
                <w:b/>
                <w:sz w:val="20"/>
                <w:szCs w:val="20"/>
              </w:rPr>
              <w:t>Projet en $</w:t>
            </w:r>
          </w:p>
        </w:tc>
        <w:tc>
          <w:tcPr>
            <w:tcW w:w="1134" w:type="dxa"/>
            <w:gridSpan w:val="2"/>
            <w:tcBorders>
              <w:top w:val="single" w:sz="4" w:space="0" w:color="auto"/>
              <w:left w:val="single" w:sz="4" w:space="0" w:color="auto"/>
              <w:bottom w:val="single" w:sz="4" w:space="0" w:color="auto"/>
              <w:right w:val="single" w:sz="4" w:space="0" w:color="auto"/>
            </w:tcBorders>
          </w:tcPr>
          <w:p w14:paraId="0FB3F50B"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rPr>
              <w:t>Coût total</w:t>
            </w:r>
          </w:p>
        </w:tc>
        <w:tc>
          <w:tcPr>
            <w:tcW w:w="1838" w:type="dxa"/>
            <w:gridSpan w:val="2"/>
            <w:tcBorders>
              <w:top w:val="single" w:sz="4" w:space="0" w:color="auto"/>
              <w:left w:val="single" w:sz="4" w:space="0" w:color="auto"/>
              <w:bottom w:val="single" w:sz="4" w:space="0" w:color="auto"/>
              <w:right w:val="single" w:sz="4" w:space="0" w:color="auto"/>
            </w:tcBorders>
          </w:tcPr>
          <w:p w14:paraId="05CC59F4"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rPr>
              <w:t>Calendrier de mise en œuvre</w:t>
            </w:r>
          </w:p>
        </w:tc>
      </w:tr>
      <w:tr w:rsidR="00D75D2E" w:rsidRPr="00420C1B" w14:paraId="5BC5D27F" w14:textId="77777777" w:rsidTr="00215867">
        <w:trPr>
          <w:trHeight w:val="572"/>
          <w:jc w:val="center"/>
        </w:trPr>
        <w:tc>
          <w:tcPr>
            <w:tcW w:w="1555" w:type="dxa"/>
            <w:tcBorders>
              <w:top w:val="single" w:sz="4" w:space="0" w:color="auto"/>
              <w:left w:val="single" w:sz="4" w:space="0" w:color="auto"/>
              <w:bottom w:val="single" w:sz="4" w:space="0" w:color="auto"/>
              <w:right w:val="single" w:sz="4" w:space="0" w:color="auto"/>
            </w:tcBorders>
          </w:tcPr>
          <w:p w14:paraId="1B6D05A5"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Organisation du recrutement</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407E568B" w14:textId="77777777" w:rsidR="00ED17F3" w:rsidRPr="00857867" w:rsidRDefault="00ED17F3" w:rsidP="0055275C">
            <w:pPr>
              <w:spacing w:after="0" w:line="240" w:lineRule="auto"/>
              <w:jc w:val="center"/>
              <w:rPr>
                <w:rFonts w:ascii="Times New Roman" w:hAnsi="Times New Roman"/>
                <w:sz w:val="20"/>
                <w:szCs w:val="20"/>
              </w:rPr>
            </w:pPr>
            <w:r w:rsidRPr="00857867">
              <w:rPr>
                <w:rFonts w:ascii="Times New Roman" w:hAnsi="Times New Roman"/>
                <w:sz w:val="20"/>
                <w:szCs w:val="20"/>
              </w:rPr>
              <w:t>FF</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49CAF6E6" w14:textId="77777777" w:rsidR="00ED17F3" w:rsidRPr="00857867" w:rsidRDefault="00ED17F3" w:rsidP="0055275C">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1</w:t>
            </w:r>
          </w:p>
        </w:tc>
        <w:tc>
          <w:tcPr>
            <w:tcW w:w="1587" w:type="dxa"/>
            <w:gridSpan w:val="3"/>
            <w:tcBorders>
              <w:top w:val="single" w:sz="4" w:space="0" w:color="auto"/>
              <w:left w:val="single" w:sz="4" w:space="0" w:color="auto"/>
              <w:bottom w:val="single" w:sz="4" w:space="0" w:color="auto"/>
              <w:right w:val="single" w:sz="4" w:space="0" w:color="auto"/>
            </w:tcBorders>
            <w:vAlign w:val="center"/>
          </w:tcPr>
          <w:p w14:paraId="0A6EBEAF" w14:textId="77777777" w:rsidR="00ED17F3" w:rsidRPr="00857867" w:rsidRDefault="00ED17F3" w:rsidP="0055275C">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500</w:t>
            </w:r>
          </w:p>
        </w:tc>
        <w:tc>
          <w:tcPr>
            <w:tcW w:w="1243" w:type="dxa"/>
            <w:gridSpan w:val="2"/>
            <w:tcBorders>
              <w:top w:val="single" w:sz="4" w:space="0" w:color="auto"/>
              <w:left w:val="single" w:sz="4" w:space="0" w:color="auto"/>
              <w:bottom w:val="single" w:sz="4" w:space="0" w:color="auto"/>
              <w:right w:val="single" w:sz="4" w:space="0" w:color="auto"/>
            </w:tcBorders>
            <w:vAlign w:val="center"/>
          </w:tcPr>
          <w:p w14:paraId="5595ECFB" w14:textId="77777777" w:rsidR="00ED17F3" w:rsidRPr="00857867" w:rsidRDefault="00ED17F3" w:rsidP="0055275C">
            <w:pPr>
              <w:spacing w:after="0" w:line="240" w:lineRule="auto"/>
              <w:jc w:val="center"/>
              <w:rPr>
                <w:rFonts w:ascii="Times New Roman" w:hAnsi="Times New Roman"/>
                <w:sz w:val="20"/>
                <w:szCs w:val="20"/>
              </w:rPr>
            </w:pPr>
            <w:r w:rsidRPr="00857867">
              <w:rPr>
                <w:rFonts w:ascii="Times New Roman" w:hAnsi="Times New Roman"/>
                <w:sz w:val="20"/>
                <w:szCs w:val="20"/>
              </w:rPr>
              <w:t>500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3B135DE" w14:textId="77777777" w:rsidR="00ED17F3" w:rsidRPr="00857867" w:rsidRDefault="00ED17F3" w:rsidP="0055275C">
            <w:pPr>
              <w:autoSpaceDE w:val="0"/>
              <w:autoSpaceDN w:val="0"/>
              <w:adjustRightInd w:val="0"/>
              <w:spacing w:after="0" w:line="240" w:lineRule="auto"/>
              <w:jc w:val="center"/>
              <w:rPr>
                <w:rFonts w:ascii="Times New Roman" w:hAnsi="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706C79EF" w14:textId="77777777" w:rsidR="00ED17F3" w:rsidRPr="00857867" w:rsidRDefault="00ED17F3" w:rsidP="0055275C">
            <w:pPr>
              <w:spacing w:after="0" w:line="240" w:lineRule="auto"/>
              <w:jc w:val="center"/>
              <w:rPr>
                <w:rFonts w:ascii="Times New Roman" w:hAnsi="Times New Roman"/>
                <w:sz w:val="20"/>
                <w:szCs w:val="20"/>
              </w:rPr>
            </w:pPr>
            <w:r w:rsidRPr="00857867">
              <w:rPr>
                <w:rFonts w:ascii="Times New Roman" w:hAnsi="Times New Roman"/>
                <w:sz w:val="20"/>
                <w:szCs w:val="20"/>
              </w:rPr>
              <w:t>500</w:t>
            </w:r>
          </w:p>
        </w:tc>
        <w:tc>
          <w:tcPr>
            <w:tcW w:w="1838" w:type="dxa"/>
            <w:gridSpan w:val="2"/>
            <w:tcBorders>
              <w:top w:val="single" w:sz="4" w:space="0" w:color="auto"/>
              <w:left w:val="single" w:sz="4" w:space="0" w:color="auto"/>
              <w:bottom w:val="single" w:sz="4" w:space="0" w:color="auto"/>
              <w:right w:val="single" w:sz="4" w:space="0" w:color="auto"/>
            </w:tcBorders>
          </w:tcPr>
          <w:p w14:paraId="0C8EC26F" w14:textId="77777777" w:rsidR="00ED17F3" w:rsidRPr="00857867" w:rsidRDefault="00ED17F3" w:rsidP="007108ED">
            <w:pPr>
              <w:spacing w:after="0" w:line="240" w:lineRule="auto"/>
              <w:jc w:val="both"/>
              <w:rPr>
                <w:rFonts w:ascii="Times New Roman" w:hAnsi="Times New Roman"/>
                <w:sz w:val="20"/>
                <w:szCs w:val="20"/>
              </w:rPr>
            </w:pPr>
            <w:r w:rsidRPr="00857867">
              <w:rPr>
                <w:rFonts w:ascii="Times New Roman" w:hAnsi="Times New Roman"/>
                <w:sz w:val="20"/>
                <w:szCs w:val="20"/>
              </w:rPr>
              <w:t>Avant le démarrage des travaux</w:t>
            </w:r>
          </w:p>
        </w:tc>
      </w:tr>
      <w:tr w:rsidR="00D75D2E" w:rsidRPr="00420C1B" w14:paraId="688E44E3" w14:textId="77777777" w:rsidTr="00215867">
        <w:trPr>
          <w:jc w:val="center"/>
        </w:trPr>
        <w:tc>
          <w:tcPr>
            <w:tcW w:w="1555" w:type="dxa"/>
            <w:tcBorders>
              <w:top w:val="single" w:sz="4" w:space="0" w:color="auto"/>
              <w:left w:val="single" w:sz="4" w:space="0" w:color="auto"/>
              <w:bottom w:val="single" w:sz="4" w:space="0" w:color="auto"/>
              <w:right w:val="single" w:sz="4" w:space="0" w:color="auto"/>
            </w:tcBorders>
          </w:tcPr>
          <w:p w14:paraId="4F29387D" w14:textId="77777777" w:rsidR="00ED17F3" w:rsidRPr="00857867" w:rsidRDefault="00ED17F3" w:rsidP="007108ED">
            <w:pPr>
              <w:spacing w:after="0" w:line="240" w:lineRule="auto"/>
              <w:rPr>
                <w:rFonts w:ascii="Times New Roman" w:hAnsi="Times New Roman"/>
                <w:sz w:val="20"/>
                <w:szCs w:val="20"/>
              </w:rPr>
            </w:pPr>
            <w:r w:rsidRPr="00857867">
              <w:rPr>
                <w:rFonts w:ascii="Times New Roman" w:hAnsi="Times New Roman"/>
                <w:sz w:val="20"/>
                <w:szCs w:val="20"/>
              </w:rPr>
              <w:t>IEC sur MGP</w:t>
            </w:r>
          </w:p>
        </w:tc>
        <w:tc>
          <w:tcPr>
            <w:tcW w:w="939" w:type="dxa"/>
            <w:gridSpan w:val="2"/>
            <w:tcBorders>
              <w:top w:val="single" w:sz="4" w:space="0" w:color="auto"/>
              <w:left w:val="single" w:sz="4" w:space="0" w:color="auto"/>
              <w:bottom w:val="single" w:sz="4" w:space="0" w:color="auto"/>
              <w:right w:val="single" w:sz="4" w:space="0" w:color="auto"/>
            </w:tcBorders>
            <w:vAlign w:val="center"/>
          </w:tcPr>
          <w:p w14:paraId="7B68F1E4" w14:textId="77777777" w:rsidR="00ED17F3" w:rsidRPr="00857867" w:rsidRDefault="00ED17F3" w:rsidP="0055275C">
            <w:pPr>
              <w:spacing w:after="0" w:line="240" w:lineRule="auto"/>
              <w:jc w:val="center"/>
              <w:rPr>
                <w:rFonts w:ascii="Times New Roman" w:hAnsi="Times New Roman"/>
                <w:sz w:val="20"/>
                <w:szCs w:val="20"/>
              </w:rPr>
            </w:pPr>
            <w:r w:rsidRPr="00857867">
              <w:rPr>
                <w:rFonts w:ascii="Times New Roman" w:hAnsi="Times New Roman"/>
                <w:sz w:val="20"/>
                <w:szCs w:val="20"/>
              </w:rPr>
              <w:t>Nombre</w:t>
            </w:r>
          </w:p>
        </w:tc>
        <w:tc>
          <w:tcPr>
            <w:tcW w:w="1050" w:type="dxa"/>
            <w:gridSpan w:val="3"/>
            <w:tcBorders>
              <w:top w:val="single" w:sz="4" w:space="0" w:color="auto"/>
              <w:left w:val="single" w:sz="4" w:space="0" w:color="auto"/>
              <w:bottom w:val="single" w:sz="4" w:space="0" w:color="auto"/>
              <w:right w:val="single" w:sz="4" w:space="0" w:color="auto"/>
            </w:tcBorders>
            <w:vAlign w:val="center"/>
          </w:tcPr>
          <w:p w14:paraId="0414B9E8" w14:textId="77777777" w:rsidR="00ED17F3" w:rsidRPr="00857867" w:rsidRDefault="00B73062" w:rsidP="0055275C">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10</w:t>
            </w:r>
          </w:p>
        </w:tc>
        <w:tc>
          <w:tcPr>
            <w:tcW w:w="1587" w:type="dxa"/>
            <w:gridSpan w:val="3"/>
            <w:tcBorders>
              <w:top w:val="single" w:sz="4" w:space="0" w:color="auto"/>
              <w:left w:val="single" w:sz="4" w:space="0" w:color="auto"/>
              <w:bottom w:val="single" w:sz="4" w:space="0" w:color="auto"/>
              <w:right w:val="single" w:sz="4" w:space="0" w:color="auto"/>
            </w:tcBorders>
            <w:vAlign w:val="center"/>
          </w:tcPr>
          <w:p w14:paraId="2A2CB959" w14:textId="77777777" w:rsidR="00ED17F3" w:rsidRPr="00857867" w:rsidRDefault="00ED17F3" w:rsidP="0055275C">
            <w:pPr>
              <w:autoSpaceDE w:val="0"/>
              <w:autoSpaceDN w:val="0"/>
              <w:adjustRightInd w:val="0"/>
              <w:spacing w:after="0" w:line="240" w:lineRule="auto"/>
              <w:jc w:val="center"/>
              <w:rPr>
                <w:rFonts w:ascii="Times New Roman" w:hAnsi="Times New Roman"/>
                <w:sz w:val="20"/>
                <w:szCs w:val="20"/>
              </w:rPr>
            </w:pPr>
            <w:r w:rsidRPr="00857867">
              <w:rPr>
                <w:rFonts w:ascii="Times New Roman" w:hAnsi="Times New Roman"/>
                <w:sz w:val="20"/>
                <w:szCs w:val="20"/>
              </w:rPr>
              <w:t>500</w:t>
            </w:r>
          </w:p>
        </w:tc>
        <w:tc>
          <w:tcPr>
            <w:tcW w:w="1243" w:type="dxa"/>
            <w:gridSpan w:val="2"/>
            <w:tcBorders>
              <w:top w:val="single" w:sz="4" w:space="0" w:color="auto"/>
              <w:left w:val="single" w:sz="4" w:space="0" w:color="auto"/>
              <w:bottom w:val="single" w:sz="4" w:space="0" w:color="auto"/>
              <w:right w:val="single" w:sz="4" w:space="0" w:color="auto"/>
            </w:tcBorders>
            <w:vAlign w:val="center"/>
          </w:tcPr>
          <w:p w14:paraId="10CF4A6D" w14:textId="77777777" w:rsidR="00ED17F3" w:rsidRPr="00857867" w:rsidRDefault="00B73062" w:rsidP="0055275C">
            <w:pPr>
              <w:spacing w:after="0" w:line="240" w:lineRule="auto"/>
              <w:jc w:val="center"/>
              <w:rPr>
                <w:rFonts w:ascii="Times New Roman" w:hAnsi="Times New Roman"/>
                <w:sz w:val="20"/>
                <w:szCs w:val="20"/>
              </w:rPr>
            </w:pPr>
            <w:r w:rsidRPr="00857867">
              <w:rPr>
                <w:rFonts w:ascii="Times New Roman" w:hAnsi="Times New Roman"/>
                <w:sz w:val="20"/>
                <w:szCs w:val="20"/>
              </w:rPr>
              <w:t>5000</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7B66E8D2" w14:textId="77777777" w:rsidR="00ED17F3" w:rsidRPr="00857867" w:rsidRDefault="00ED17F3" w:rsidP="0055275C">
            <w:pPr>
              <w:autoSpaceDE w:val="0"/>
              <w:autoSpaceDN w:val="0"/>
              <w:adjustRightInd w:val="0"/>
              <w:spacing w:after="0" w:line="240" w:lineRule="auto"/>
              <w:jc w:val="center"/>
              <w:rPr>
                <w:rFonts w:ascii="Times New Roman" w:hAnsi="Times New Roman"/>
                <w:sz w:val="20"/>
                <w:szCs w:val="20"/>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5FECD74" w14:textId="77777777" w:rsidR="00ED17F3" w:rsidRPr="00857867" w:rsidRDefault="00B73062" w:rsidP="0055275C">
            <w:pPr>
              <w:spacing w:after="0" w:line="240" w:lineRule="auto"/>
              <w:jc w:val="center"/>
              <w:rPr>
                <w:rFonts w:ascii="Times New Roman" w:hAnsi="Times New Roman"/>
                <w:sz w:val="20"/>
                <w:szCs w:val="20"/>
              </w:rPr>
            </w:pPr>
            <w:r w:rsidRPr="00857867">
              <w:rPr>
                <w:rFonts w:ascii="Times New Roman" w:hAnsi="Times New Roman"/>
                <w:sz w:val="20"/>
                <w:szCs w:val="20"/>
              </w:rPr>
              <w:t>5000</w:t>
            </w:r>
          </w:p>
        </w:tc>
        <w:tc>
          <w:tcPr>
            <w:tcW w:w="1838" w:type="dxa"/>
            <w:gridSpan w:val="2"/>
            <w:tcBorders>
              <w:top w:val="single" w:sz="4" w:space="0" w:color="auto"/>
              <w:left w:val="single" w:sz="4" w:space="0" w:color="auto"/>
              <w:bottom w:val="single" w:sz="4" w:space="0" w:color="auto"/>
              <w:right w:val="single" w:sz="4" w:space="0" w:color="auto"/>
            </w:tcBorders>
          </w:tcPr>
          <w:p w14:paraId="0B1CBD13" w14:textId="77777777" w:rsidR="00ED17F3" w:rsidRPr="00857867" w:rsidRDefault="00ED17F3" w:rsidP="007108ED">
            <w:pPr>
              <w:spacing w:after="0" w:line="240" w:lineRule="auto"/>
              <w:jc w:val="both"/>
              <w:rPr>
                <w:rFonts w:ascii="Times New Roman" w:hAnsi="Times New Roman"/>
                <w:sz w:val="20"/>
                <w:szCs w:val="20"/>
              </w:rPr>
            </w:pPr>
            <w:r w:rsidRPr="00857867">
              <w:rPr>
                <w:rFonts w:ascii="Times New Roman" w:hAnsi="Times New Roman"/>
                <w:sz w:val="20"/>
                <w:szCs w:val="20"/>
              </w:rPr>
              <w:t>Avant et pendant les travaux</w:t>
            </w:r>
          </w:p>
        </w:tc>
      </w:tr>
      <w:tr w:rsidR="00ED17F3" w:rsidRPr="00420C1B" w14:paraId="16E83353" w14:textId="77777777" w:rsidTr="00215867">
        <w:trPr>
          <w:trHeight w:val="126"/>
          <w:jc w:val="center"/>
        </w:trPr>
        <w:tc>
          <w:tcPr>
            <w:tcW w:w="1555" w:type="dxa"/>
            <w:tcBorders>
              <w:top w:val="single" w:sz="4" w:space="0" w:color="auto"/>
              <w:left w:val="single" w:sz="4" w:space="0" w:color="auto"/>
              <w:bottom w:val="single" w:sz="4" w:space="0" w:color="auto"/>
              <w:right w:val="single" w:sz="4" w:space="0" w:color="auto"/>
            </w:tcBorders>
          </w:tcPr>
          <w:p w14:paraId="34F5A124" w14:textId="77777777" w:rsidR="00ED17F3" w:rsidRPr="00857867" w:rsidRDefault="00ED17F3" w:rsidP="007108ED">
            <w:pPr>
              <w:spacing w:after="0" w:line="240" w:lineRule="auto"/>
              <w:rPr>
                <w:rFonts w:ascii="Times New Roman" w:hAnsi="Times New Roman"/>
                <w:b/>
                <w:sz w:val="20"/>
                <w:szCs w:val="20"/>
                <w:u w:val="single"/>
              </w:rPr>
            </w:pPr>
            <w:r w:rsidRPr="00857867">
              <w:rPr>
                <w:rFonts w:ascii="Times New Roman" w:hAnsi="Times New Roman"/>
                <w:b/>
                <w:sz w:val="20"/>
                <w:szCs w:val="20"/>
                <w:u w:val="single"/>
              </w:rPr>
              <w:t>Total</w:t>
            </w:r>
          </w:p>
        </w:tc>
        <w:tc>
          <w:tcPr>
            <w:tcW w:w="939" w:type="dxa"/>
            <w:gridSpan w:val="2"/>
            <w:tcBorders>
              <w:top w:val="single" w:sz="4" w:space="0" w:color="auto"/>
              <w:left w:val="single" w:sz="4" w:space="0" w:color="auto"/>
              <w:bottom w:val="single" w:sz="4" w:space="0" w:color="auto"/>
              <w:right w:val="single" w:sz="4" w:space="0" w:color="auto"/>
            </w:tcBorders>
          </w:tcPr>
          <w:p w14:paraId="4E33B267" w14:textId="77777777" w:rsidR="00ED17F3" w:rsidRPr="00857867" w:rsidRDefault="00ED17F3" w:rsidP="007108ED">
            <w:pPr>
              <w:spacing w:after="0" w:line="240" w:lineRule="auto"/>
              <w:rPr>
                <w:rFonts w:ascii="Times New Roman" w:hAnsi="Times New Roman"/>
                <w:b/>
                <w:sz w:val="20"/>
                <w:szCs w:val="20"/>
              </w:rPr>
            </w:pPr>
          </w:p>
        </w:tc>
        <w:tc>
          <w:tcPr>
            <w:tcW w:w="1050" w:type="dxa"/>
            <w:gridSpan w:val="3"/>
            <w:tcBorders>
              <w:top w:val="single" w:sz="4" w:space="0" w:color="auto"/>
              <w:left w:val="single" w:sz="4" w:space="0" w:color="auto"/>
              <w:bottom w:val="single" w:sz="4" w:space="0" w:color="auto"/>
              <w:right w:val="single" w:sz="4" w:space="0" w:color="auto"/>
            </w:tcBorders>
          </w:tcPr>
          <w:p w14:paraId="304FE878" w14:textId="77777777" w:rsidR="00ED17F3" w:rsidRPr="00857867" w:rsidRDefault="00ED17F3" w:rsidP="007108ED">
            <w:pPr>
              <w:autoSpaceDE w:val="0"/>
              <w:autoSpaceDN w:val="0"/>
              <w:adjustRightInd w:val="0"/>
              <w:spacing w:after="0" w:line="240" w:lineRule="auto"/>
              <w:jc w:val="center"/>
              <w:rPr>
                <w:rFonts w:ascii="Times New Roman" w:hAnsi="Times New Roman"/>
                <w:b/>
                <w:sz w:val="20"/>
                <w:szCs w:val="20"/>
              </w:rPr>
            </w:pPr>
          </w:p>
        </w:tc>
        <w:tc>
          <w:tcPr>
            <w:tcW w:w="1587" w:type="dxa"/>
            <w:gridSpan w:val="3"/>
            <w:tcBorders>
              <w:top w:val="single" w:sz="4" w:space="0" w:color="auto"/>
              <w:left w:val="single" w:sz="4" w:space="0" w:color="auto"/>
              <w:bottom w:val="single" w:sz="4" w:space="0" w:color="auto"/>
              <w:right w:val="single" w:sz="4" w:space="0" w:color="auto"/>
            </w:tcBorders>
          </w:tcPr>
          <w:p w14:paraId="04960F46" w14:textId="77777777" w:rsidR="00ED17F3" w:rsidRPr="00857867" w:rsidRDefault="00ED17F3" w:rsidP="007108ED">
            <w:pPr>
              <w:autoSpaceDE w:val="0"/>
              <w:autoSpaceDN w:val="0"/>
              <w:adjustRightInd w:val="0"/>
              <w:spacing w:after="0" w:line="240" w:lineRule="auto"/>
              <w:jc w:val="center"/>
              <w:rPr>
                <w:rFonts w:ascii="Times New Roman" w:hAnsi="Times New Roman"/>
                <w:b/>
                <w:sz w:val="20"/>
                <w:szCs w:val="20"/>
              </w:rPr>
            </w:pPr>
          </w:p>
        </w:tc>
        <w:tc>
          <w:tcPr>
            <w:tcW w:w="1243" w:type="dxa"/>
            <w:gridSpan w:val="2"/>
            <w:tcBorders>
              <w:top w:val="single" w:sz="4" w:space="0" w:color="auto"/>
              <w:left w:val="single" w:sz="4" w:space="0" w:color="auto"/>
              <w:bottom w:val="single" w:sz="4" w:space="0" w:color="auto"/>
              <w:right w:val="single" w:sz="4" w:space="0" w:color="auto"/>
            </w:tcBorders>
          </w:tcPr>
          <w:p w14:paraId="0BD4B571" w14:textId="77777777" w:rsidR="00ED17F3" w:rsidRPr="00857867" w:rsidRDefault="00B73062" w:rsidP="007108ED">
            <w:pPr>
              <w:spacing w:after="0" w:line="240" w:lineRule="auto"/>
              <w:jc w:val="center"/>
              <w:rPr>
                <w:rFonts w:ascii="Times New Roman" w:hAnsi="Times New Roman"/>
                <w:b/>
                <w:sz w:val="20"/>
                <w:szCs w:val="20"/>
              </w:rPr>
            </w:pPr>
            <w:r w:rsidRPr="00857867">
              <w:rPr>
                <w:rFonts w:ascii="Times New Roman" w:hAnsi="Times New Roman"/>
                <w:b/>
                <w:sz w:val="20"/>
                <w:szCs w:val="20"/>
              </w:rPr>
              <w:t>5500</w:t>
            </w:r>
          </w:p>
        </w:tc>
        <w:tc>
          <w:tcPr>
            <w:tcW w:w="851" w:type="dxa"/>
            <w:gridSpan w:val="2"/>
            <w:tcBorders>
              <w:top w:val="single" w:sz="4" w:space="0" w:color="auto"/>
              <w:left w:val="single" w:sz="4" w:space="0" w:color="auto"/>
              <w:bottom w:val="single" w:sz="4" w:space="0" w:color="auto"/>
              <w:right w:val="single" w:sz="4" w:space="0" w:color="auto"/>
            </w:tcBorders>
          </w:tcPr>
          <w:p w14:paraId="7A416EB0" w14:textId="77777777" w:rsidR="00ED17F3" w:rsidRPr="00857867" w:rsidRDefault="00ED17F3" w:rsidP="007108ED">
            <w:pPr>
              <w:autoSpaceDE w:val="0"/>
              <w:autoSpaceDN w:val="0"/>
              <w:adjustRightInd w:val="0"/>
              <w:spacing w:after="0" w:line="240" w:lineRule="auto"/>
              <w:jc w:val="center"/>
              <w:rPr>
                <w:rFonts w:ascii="Times New Roman" w:hAnsi="Times New Roman"/>
                <w:b/>
                <w:sz w:val="20"/>
                <w:szCs w:val="20"/>
              </w:rPr>
            </w:pPr>
          </w:p>
        </w:tc>
        <w:tc>
          <w:tcPr>
            <w:tcW w:w="1134" w:type="dxa"/>
            <w:gridSpan w:val="2"/>
            <w:tcBorders>
              <w:top w:val="single" w:sz="4" w:space="0" w:color="auto"/>
              <w:left w:val="single" w:sz="4" w:space="0" w:color="auto"/>
              <w:bottom w:val="single" w:sz="4" w:space="0" w:color="auto"/>
              <w:right w:val="single" w:sz="4" w:space="0" w:color="auto"/>
            </w:tcBorders>
          </w:tcPr>
          <w:p w14:paraId="3B405072" w14:textId="77777777" w:rsidR="00ED17F3" w:rsidRPr="00857867" w:rsidRDefault="00B73062" w:rsidP="007108ED">
            <w:pPr>
              <w:spacing w:after="0" w:line="240" w:lineRule="auto"/>
              <w:rPr>
                <w:rFonts w:ascii="Times New Roman" w:hAnsi="Times New Roman"/>
                <w:b/>
                <w:sz w:val="20"/>
                <w:szCs w:val="20"/>
              </w:rPr>
            </w:pPr>
            <w:r w:rsidRPr="00857867">
              <w:rPr>
                <w:rFonts w:ascii="Times New Roman" w:hAnsi="Times New Roman"/>
                <w:b/>
                <w:sz w:val="20"/>
                <w:szCs w:val="20"/>
              </w:rPr>
              <w:t>5500</w:t>
            </w:r>
          </w:p>
        </w:tc>
        <w:tc>
          <w:tcPr>
            <w:tcW w:w="1838" w:type="dxa"/>
            <w:gridSpan w:val="2"/>
            <w:tcBorders>
              <w:top w:val="single" w:sz="4" w:space="0" w:color="auto"/>
              <w:left w:val="single" w:sz="4" w:space="0" w:color="auto"/>
              <w:bottom w:val="single" w:sz="4" w:space="0" w:color="auto"/>
              <w:right w:val="single" w:sz="4" w:space="0" w:color="auto"/>
            </w:tcBorders>
          </w:tcPr>
          <w:p w14:paraId="2D5AFEA8" w14:textId="77777777" w:rsidR="00ED17F3" w:rsidRPr="00857867" w:rsidRDefault="00ED17F3" w:rsidP="007108ED">
            <w:pPr>
              <w:spacing w:after="0" w:line="240" w:lineRule="auto"/>
              <w:rPr>
                <w:rFonts w:ascii="Times New Roman" w:hAnsi="Times New Roman"/>
                <w:b/>
                <w:sz w:val="20"/>
                <w:szCs w:val="20"/>
              </w:rPr>
            </w:pPr>
          </w:p>
        </w:tc>
      </w:tr>
    </w:tbl>
    <w:p w14:paraId="6505A4C8" w14:textId="77777777" w:rsidR="00ED17F3" w:rsidRPr="00857867" w:rsidRDefault="00ED17F3" w:rsidP="00ED17F3">
      <w:pPr>
        <w:spacing w:after="0" w:line="240" w:lineRule="auto"/>
        <w:rPr>
          <w:rFonts w:ascii="Times New Roman" w:hAnsi="Times New Roman"/>
        </w:rPr>
      </w:pPr>
    </w:p>
    <w:p w14:paraId="248F7E40" w14:textId="77777777" w:rsidR="00ED17F3" w:rsidRDefault="00ED17F3" w:rsidP="00ED17F3">
      <w:pPr>
        <w:spacing w:after="0" w:line="360" w:lineRule="auto"/>
        <w:ind w:left="720"/>
        <w:contextualSpacing/>
        <w:rPr>
          <w:rFonts w:ascii="Times New Roman" w:hAnsi="Times New Roman"/>
          <w:u w:val="single"/>
        </w:rPr>
      </w:pPr>
    </w:p>
    <w:p w14:paraId="69C23D3E" w14:textId="77777777" w:rsidR="00540405" w:rsidRDefault="00540405" w:rsidP="00ED17F3">
      <w:pPr>
        <w:spacing w:after="0" w:line="360" w:lineRule="auto"/>
        <w:ind w:left="720"/>
        <w:contextualSpacing/>
        <w:rPr>
          <w:rFonts w:ascii="Times New Roman" w:hAnsi="Times New Roman"/>
          <w:u w:val="single"/>
        </w:rPr>
      </w:pPr>
    </w:p>
    <w:p w14:paraId="5BB45E72" w14:textId="77777777" w:rsidR="00540405" w:rsidRDefault="00540405" w:rsidP="00ED17F3">
      <w:pPr>
        <w:spacing w:after="0" w:line="360" w:lineRule="auto"/>
        <w:ind w:left="720"/>
        <w:contextualSpacing/>
        <w:rPr>
          <w:rFonts w:ascii="Times New Roman" w:hAnsi="Times New Roman"/>
          <w:u w:val="single"/>
        </w:rPr>
      </w:pPr>
    </w:p>
    <w:p w14:paraId="31981CF9" w14:textId="77777777" w:rsidR="00540405" w:rsidRDefault="00540405" w:rsidP="00ED17F3">
      <w:pPr>
        <w:spacing w:after="0" w:line="360" w:lineRule="auto"/>
        <w:ind w:left="720"/>
        <w:contextualSpacing/>
        <w:rPr>
          <w:rFonts w:ascii="Times New Roman" w:hAnsi="Times New Roman"/>
          <w:u w:val="single"/>
        </w:rPr>
      </w:pPr>
    </w:p>
    <w:p w14:paraId="339C42F7" w14:textId="77777777" w:rsidR="00540405" w:rsidRDefault="00540405" w:rsidP="00ED17F3">
      <w:pPr>
        <w:spacing w:after="0" w:line="360" w:lineRule="auto"/>
        <w:ind w:left="720"/>
        <w:contextualSpacing/>
        <w:rPr>
          <w:rFonts w:ascii="Times New Roman" w:hAnsi="Times New Roman"/>
          <w:u w:val="single"/>
        </w:rPr>
      </w:pPr>
    </w:p>
    <w:p w14:paraId="0CC1D4A7" w14:textId="77777777" w:rsidR="00540405" w:rsidRPr="00857867" w:rsidRDefault="00540405" w:rsidP="00ED17F3">
      <w:pPr>
        <w:spacing w:after="0" w:line="360" w:lineRule="auto"/>
        <w:ind w:left="720"/>
        <w:contextualSpacing/>
        <w:rPr>
          <w:rFonts w:ascii="Times New Roman" w:hAnsi="Times New Roman"/>
          <w:u w:val="single"/>
        </w:rPr>
      </w:pPr>
    </w:p>
    <w:p w14:paraId="2FEB1ED0" w14:textId="77777777" w:rsidR="00ED17F3" w:rsidRPr="00857867" w:rsidRDefault="00ED17F3" w:rsidP="00ED17F3">
      <w:pPr>
        <w:spacing w:after="0" w:line="360" w:lineRule="auto"/>
        <w:ind w:left="720"/>
        <w:contextualSpacing/>
        <w:rPr>
          <w:rFonts w:ascii="Times New Roman" w:hAnsi="Times New Roman"/>
          <w:u w:val="single"/>
        </w:rPr>
      </w:pPr>
    </w:p>
    <w:p w14:paraId="18E4F036" w14:textId="77777777" w:rsidR="00ED17F3" w:rsidRPr="00FD2747" w:rsidRDefault="00ED17F3" w:rsidP="008C79F0">
      <w:pPr>
        <w:pStyle w:val="Paragraphedeliste"/>
        <w:numPr>
          <w:ilvl w:val="0"/>
          <w:numId w:val="40"/>
        </w:numPr>
        <w:spacing w:line="240" w:lineRule="auto"/>
        <w:rPr>
          <w:rFonts w:ascii="Times New Roman" w:hAnsi="Times New Roman"/>
          <w:i/>
          <w:sz w:val="24"/>
          <w:szCs w:val="24"/>
        </w:rPr>
      </w:pPr>
      <w:r w:rsidRPr="00FD2747">
        <w:rPr>
          <w:rFonts w:ascii="Times New Roman" w:hAnsi="Times New Roman"/>
          <w:i/>
          <w:sz w:val="24"/>
          <w:szCs w:val="24"/>
        </w:rPr>
        <w:t xml:space="preserve">Phase exploitation </w:t>
      </w:r>
    </w:p>
    <w:p w14:paraId="21DFFB65" w14:textId="1C3EA3D1" w:rsidR="00ED17F3" w:rsidRPr="00FD2747" w:rsidRDefault="00ED17F3">
      <w:pPr>
        <w:keepNext/>
        <w:spacing w:after="120" w:line="240" w:lineRule="auto"/>
        <w:rPr>
          <w:rFonts w:ascii="Times New Roman" w:hAnsi="Times New Roman"/>
          <w:iCs/>
          <w:sz w:val="24"/>
          <w:szCs w:val="24"/>
        </w:rPr>
      </w:pPr>
      <w:bookmarkStart w:id="640" w:name="_Toc519048947"/>
      <w:bookmarkStart w:id="641" w:name="_Toc93050304"/>
      <w:r w:rsidRPr="00FD2747">
        <w:rPr>
          <w:rFonts w:ascii="Times New Roman" w:hAnsi="Times New Roman"/>
          <w:iCs/>
          <w:sz w:val="24"/>
          <w:szCs w:val="24"/>
        </w:rPr>
        <w:t xml:space="preserve">Tableau </w:t>
      </w:r>
      <w:r w:rsidRPr="00FD2747">
        <w:rPr>
          <w:rFonts w:ascii="Times New Roman" w:hAnsi="Times New Roman"/>
          <w:iCs/>
          <w:noProof/>
          <w:sz w:val="24"/>
          <w:szCs w:val="24"/>
        </w:rPr>
        <w:fldChar w:fldCharType="begin"/>
      </w:r>
      <w:r w:rsidRPr="00E737B4">
        <w:rPr>
          <w:rFonts w:ascii="Times New Roman" w:hAnsi="Times New Roman"/>
          <w:iCs/>
          <w:noProof/>
          <w:sz w:val="24"/>
          <w:szCs w:val="24"/>
        </w:rPr>
        <w:instrText xml:space="preserve"> SEQ Tableau \* ARABIC </w:instrText>
      </w:r>
      <w:r w:rsidRPr="00FD2747">
        <w:rPr>
          <w:rFonts w:ascii="Times New Roman" w:hAnsi="Times New Roman"/>
          <w:iCs/>
          <w:noProof/>
          <w:sz w:val="24"/>
          <w:szCs w:val="24"/>
        </w:rPr>
        <w:fldChar w:fldCharType="separate"/>
      </w:r>
      <w:r w:rsidR="00A86929">
        <w:rPr>
          <w:rFonts w:ascii="Times New Roman" w:hAnsi="Times New Roman"/>
          <w:iCs/>
          <w:noProof/>
          <w:sz w:val="24"/>
          <w:szCs w:val="24"/>
        </w:rPr>
        <w:t>42</w:t>
      </w:r>
      <w:r w:rsidRPr="00FD2747">
        <w:rPr>
          <w:rFonts w:ascii="Times New Roman" w:hAnsi="Times New Roman"/>
          <w:iCs/>
          <w:noProof/>
          <w:sz w:val="24"/>
          <w:szCs w:val="24"/>
        </w:rPr>
        <w:fldChar w:fldCharType="end"/>
      </w:r>
      <w:r w:rsidRPr="00FD2747">
        <w:rPr>
          <w:rFonts w:ascii="Times New Roman" w:hAnsi="Times New Roman"/>
          <w:iCs/>
          <w:sz w:val="24"/>
          <w:szCs w:val="24"/>
        </w:rPr>
        <w:t xml:space="preserve"> : Fiche de déclaration d’Impact – Code </w:t>
      </w:r>
      <w:bookmarkEnd w:id="640"/>
      <w:r w:rsidR="00A86929">
        <w:rPr>
          <w:rFonts w:ascii="Times New Roman" w:hAnsi="Times New Roman"/>
          <w:iCs/>
          <w:sz w:val="24"/>
          <w:szCs w:val="24"/>
        </w:rPr>
        <w:t>19</w:t>
      </w:r>
      <w:bookmarkEnd w:id="641"/>
    </w:p>
    <w:p w14:paraId="31DF2EA3" w14:textId="6742AF4F" w:rsidR="00ED17F3" w:rsidRPr="00E737B4" w:rsidRDefault="00ED17F3" w:rsidP="00ED17F3">
      <w:pPr>
        <w:pStyle w:val="Lgende"/>
        <w:keepNext/>
        <w:rPr>
          <w:color w:val="auto"/>
          <w:sz w:val="24"/>
        </w:rPr>
      </w:pPr>
    </w:p>
    <w:tbl>
      <w:tblPr>
        <w:tblW w:w="10485" w:type="dxa"/>
        <w:jc w:val="center"/>
        <w:tblLayout w:type="fixed"/>
        <w:tblLook w:val="04A0" w:firstRow="1" w:lastRow="0" w:firstColumn="1" w:lastColumn="0" w:noHBand="0" w:noVBand="1"/>
      </w:tblPr>
      <w:tblGrid>
        <w:gridCol w:w="1555"/>
        <w:gridCol w:w="992"/>
        <w:gridCol w:w="1134"/>
        <w:gridCol w:w="1417"/>
        <w:gridCol w:w="1276"/>
        <w:gridCol w:w="851"/>
        <w:gridCol w:w="850"/>
        <w:gridCol w:w="1276"/>
        <w:gridCol w:w="1134"/>
      </w:tblGrid>
      <w:tr w:rsidR="00D75D2E" w:rsidRPr="00420C1B" w14:paraId="0E5A68DF" w14:textId="77777777" w:rsidTr="00215867">
        <w:trPr>
          <w:trHeight w:val="182"/>
          <w:tblHeader/>
          <w:jc w:val="center"/>
        </w:trPr>
        <w:tc>
          <w:tcPr>
            <w:tcW w:w="2547"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A0CFABB" w14:textId="77777777" w:rsidR="00ED17F3" w:rsidRPr="00857867" w:rsidRDefault="00ED17F3" w:rsidP="00215867">
            <w:pPr>
              <w:spacing w:after="0" w:line="20" w:lineRule="atLeast"/>
              <w:ind w:hanging="17"/>
              <w:rPr>
                <w:rFonts w:ascii="Times New Roman" w:hAnsi="Times New Roman"/>
                <w:b/>
                <w:sz w:val="20"/>
                <w:szCs w:val="20"/>
              </w:rPr>
            </w:pPr>
            <w:bookmarkStart w:id="642" w:name="_Hlk518250965"/>
            <w:r w:rsidRPr="00857867">
              <w:rPr>
                <w:rFonts w:ascii="Times New Roman" w:hAnsi="Times New Roman"/>
                <w:b/>
                <w:sz w:val="20"/>
                <w:szCs w:val="20"/>
              </w:rPr>
              <w:t>COMPOSANTE</w:t>
            </w:r>
          </w:p>
        </w:tc>
        <w:tc>
          <w:tcPr>
            <w:tcW w:w="1134" w:type="dxa"/>
            <w:tcBorders>
              <w:top w:val="single" w:sz="4" w:space="0" w:color="auto"/>
              <w:left w:val="single" w:sz="4" w:space="0" w:color="auto"/>
              <w:bottom w:val="single" w:sz="4" w:space="0" w:color="auto"/>
              <w:right w:val="single" w:sz="4" w:space="0" w:color="auto"/>
            </w:tcBorders>
            <w:shd w:val="clear" w:color="auto" w:fill="92D050"/>
            <w:hideMark/>
          </w:tcPr>
          <w:p w14:paraId="3EFBB7C4" w14:textId="77777777" w:rsidR="00ED17F3" w:rsidRPr="00857867" w:rsidRDefault="00ED17F3" w:rsidP="00215867">
            <w:pPr>
              <w:spacing w:after="0" w:line="20" w:lineRule="atLeast"/>
              <w:rPr>
                <w:rFonts w:ascii="Times New Roman" w:hAnsi="Times New Roman"/>
                <w:b/>
                <w:sz w:val="20"/>
                <w:szCs w:val="20"/>
              </w:rPr>
            </w:pPr>
            <w:r w:rsidRPr="00857867">
              <w:rPr>
                <w:rFonts w:ascii="Times New Roman" w:hAnsi="Times New Roman"/>
                <w:b/>
                <w:sz w:val="20"/>
                <w:szCs w:val="20"/>
              </w:rPr>
              <w:t xml:space="preserve">Santé et sécurité   </w:t>
            </w:r>
          </w:p>
        </w:tc>
        <w:tc>
          <w:tcPr>
            <w:tcW w:w="2693"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9C5C041" w14:textId="77777777" w:rsidR="00ED17F3" w:rsidRPr="00857867" w:rsidRDefault="00ED17F3" w:rsidP="00215867">
            <w:pPr>
              <w:spacing w:after="0" w:line="20" w:lineRule="atLeast"/>
              <w:rPr>
                <w:rFonts w:ascii="Times New Roman" w:hAnsi="Times New Roman"/>
                <w:b/>
                <w:sz w:val="20"/>
                <w:szCs w:val="20"/>
              </w:rPr>
            </w:pPr>
            <w:r w:rsidRPr="00857867">
              <w:rPr>
                <w:rFonts w:ascii="Times New Roman" w:hAnsi="Times New Roman"/>
                <w:b/>
                <w:sz w:val="20"/>
                <w:szCs w:val="20"/>
              </w:rPr>
              <w:t>PHASE</w:t>
            </w:r>
          </w:p>
        </w:tc>
        <w:tc>
          <w:tcPr>
            <w:tcW w:w="2977"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6D6697" w14:textId="77777777" w:rsidR="00ED17F3" w:rsidRPr="00857867" w:rsidRDefault="00ED17F3" w:rsidP="00215867">
            <w:pPr>
              <w:spacing w:after="0" w:line="20" w:lineRule="atLeast"/>
              <w:rPr>
                <w:rFonts w:ascii="Times New Roman" w:hAnsi="Times New Roman"/>
                <w:sz w:val="20"/>
                <w:szCs w:val="20"/>
              </w:rPr>
            </w:pPr>
            <w:r w:rsidRPr="00857867">
              <w:rPr>
                <w:rFonts w:ascii="Times New Roman" w:hAnsi="Times New Roman"/>
                <w:sz w:val="20"/>
                <w:szCs w:val="20"/>
              </w:rPr>
              <w:t xml:space="preserve">Exploitation </w:t>
            </w:r>
          </w:p>
        </w:tc>
        <w:tc>
          <w:tcPr>
            <w:tcW w:w="1134" w:type="dxa"/>
            <w:tcBorders>
              <w:top w:val="single" w:sz="4" w:space="0" w:color="auto"/>
              <w:left w:val="single" w:sz="4" w:space="0" w:color="auto"/>
              <w:bottom w:val="single" w:sz="4" w:space="0" w:color="auto"/>
              <w:right w:val="single" w:sz="4" w:space="0" w:color="auto"/>
            </w:tcBorders>
            <w:shd w:val="clear" w:color="auto" w:fill="92D050"/>
          </w:tcPr>
          <w:p w14:paraId="0A0574B1" w14:textId="77777777" w:rsidR="00ED17F3" w:rsidRPr="00857867" w:rsidRDefault="00ED17F3" w:rsidP="00215867">
            <w:pPr>
              <w:spacing w:after="0" w:line="20" w:lineRule="atLeast"/>
              <w:rPr>
                <w:rFonts w:ascii="Times New Roman" w:hAnsi="Times New Roman"/>
                <w:sz w:val="20"/>
                <w:szCs w:val="20"/>
              </w:rPr>
            </w:pPr>
            <w:r w:rsidRPr="00857867">
              <w:rPr>
                <w:rFonts w:ascii="Times New Roman" w:hAnsi="Times New Roman"/>
                <w:sz w:val="20"/>
                <w:szCs w:val="20"/>
              </w:rPr>
              <w:t>Photos de l’impact</w:t>
            </w:r>
          </w:p>
        </w:tc>
      </w:tr>
      <w:tr w:rsidR="00D75D2E" w:rsidRPr="00420C1B" w14:paraId="3E57E67F" w14:textId="77777777" w:rsidTr="00215867">
        <w:trPr>
          <w:trHeight w:val="270"/>
          <w:jc w:val="center"/>
        </w:trPr>
        <w:tc>
          <w:tcPr>
            <w:tcW w:w="2547" w:type="dxa"/>
            <w:gridSpan w:val="2"/>
            <w:vMerge w:val="restart"/>
            <w:tcBorders>
              <w:top w:val="single" w:sz="4" w:space="0" w:color="auto"/>
              <w:left w:val="single" w:sz="4" w:space="0" w:color="auto"/>
              <w:right w:val="single" w:sz="4" w:space="0" w:color="auto"/>
            </w:tcBorders>
            <w:vAlign w:val="center"/>
          </w:tcPr>
          <w:p w14:paraId="3D75D9D3" w14:textId="48B17197" w:rsidR="00ED17F3" w:rsidRPr="00857867" w:rsidRDefault="00ED17F3" w:rsidP="00215867">
            <w:pPr>
              <w:spacing w:after="0" w:line="20" w:lineRule="atLeast"/>
              <w:rPr>
                <w:rFonts w:ascii="Times New Roman" w:hAnsi="Times New Roman"/>
                <w:b/>
                <w:sz w:val="20"/>
                <w:szCs w:val="20"/>
              </w:rPr>
            </w:pPr>
            <w:r w:rsidRPr="00857867">
              <w:rPr>
                <w:rFonts w:ascii="Times New Roman" w:hAnsi="Times New Roman"/>
                <w:b/>
                <w:sz w:val="20"/>
                <w:szCs w:val="20"/>
              </w:rPr>
              <w:t xml:space="preserve">Code </w:t>
            </w:r>
            <w:r w:rsidR="006B0FB4" w:rsidRPr="00857867">
              <w:rPr>
                <w:rFonts w:ascii="Times New Roman" w:hAnsi="Times New Roman"/>
                <w:b/>
                <w:sz w:val="20"/>
                <w:szCs w:val="20"/>
              </w:rPr>
              <w:t>1</w:t>
            </w:r>
            <w:r w:rsidR="00501AAF">
              <w:rPr>
                <w:rFonts w:ascii="Times New Roman" w:hAnsi="Times New Roman"/>
                <w:b/>
                <w:sz w:val="20"/>
                <w:szCs w:val="20"/>
              </w:rPr>
              <w:t>8</w:t>
            </w:r>
          </w:p>
        </w:tc>
        <w:tc>
          <w:tcPr>
            <w:tcW w:w="7938" w:type="dxa"/>
            <w:gridSpan w:val="7"/>
            <w:tcBorders>
              <w:top w:val="single" w:sz="4" w:space="0" w:color="auto"/>
              <w:left w:val="single" w:sz="4" w:space="0" w:color="auto"/>
              <w:bottom w:val="single" w:sz="4" w:space="0" w:color="auto"/>
              <w:right w:val="single" w:sz="4" w:space="0" w:color="auto"/>
            </w:tcBorders>
          </w:tcPr>
          <w:p w14:paraId="6D3250F0" w14:textId="77777777" w:rsidR="00ED17F3" w:rsidRPr="00857867" w:rsidRDefault="00ED17F3" w:rsidP="00215867">
            <w:pPr>
              <w:spacing w:after="0" w:line="20" w:lineRule="atLeast"/>
              <w:rPr>
                <w:rFonts w:ascii="Times New Roman" w:hAnsi="Times New Roman"/>
                <w:sz w:val="20"/>
                <w:szCs w:val="20"/>
              </w:rPr>
            </w:pPr>
            <w:r w:rsidRPr="00857867">
              <w:rPr>
                <w:rFonts w:ascii="Times New Roman" w:hAnsi="Times New Roman"/>
                <w:b/>
                <w:sz w:val="20"/>
                <w:szCs w:val="20"/>
              </w:rPr>
              <w:t xml:space="preserve">Source d’impact : </w:t>
            </w:r>
            <w:r w:rsidRPr="00857867">
              <w:rPr>
                <w:rFonts w:ascii="Times New Roman" w:hAnsi="Times New Roman"/>
                <w:sz w:val="20"/>
                <w:szCs w:val="20"/>
              </w:rPr>
              <w:t>Entretien du réseau électriques (lignes et cabines)</w:t>
            </w:r>
          </w:p>
        </w:tc>
      </w:tr>
      <w:tr w:rsidR="00D75D2E" w:rsidRPr="00420C1B" w14:paraId="7339F789" w14:textId="77777777" w:rsidTr="00215867">
        <w:trPr>
          <w:trHeight w:val="189"/>
          <w:jc w:val="center"/>
        </w:trPr>
        <w:tc>
          <w:tcPr>
            <w:tcW w:w="2547" w:type="dxa"/>
            <w:gridSpan w:val="2"/>
            <w:vMerge/>
            <w:tcBorders>
              <w:left w:val="single" w:sz="4" w:space="0" w:color="auto"/>
              <w:bottom w:val="single" w:sz="4" w:space="0" w:color="auto"/>
              <w:right w:val="single" w:sz="4" w:space="0" w:color="auto"/>
            </w:tcBorders>
            <w:vAlign w:val="center"/>
            <w:hideMark/>
          </w:tcPr>
          <w:p w14:paraId="4D3271C6" w14:textId="77777777" w:rsidR="00ED17F3" w:rsidRPr="00857867" w:rsidRDefault="00ED17F3" w:rsidP="00215867">
            <w:pPr>
              <w:spacing w:after="0" w:line="20" w:lineRule="atLeast"/>
              <w:rPr>
                <w:rFonts w:ascii="Times New Roman" w:hAnsi="Times New Roman"/>
                <w:b/>
                <w:sz w:val="20"/>
                <w:szCs w:val="20"/>
              </w:rPr>
            </w:pPr>
          </w:p>
        </w:tc>
        <w:tc>
          <w:tcPr>
            <w:tcW w:w="7938" w:type="dxa"/>
            <w:gridSpan w:val="7"/>
            <w:tcBorders>
              <w:top w:val="single" w:sz="4" w:space="0" w:color="auto"/>
              <w:left w:val="single" w:sz="4" w:space="0" w:color="auto"/>
              <w:bottom w:val="single" w:sz="4" w:space="0" w:color="auto"/>
              <w:right w:val="single" w:sz="4" w:space="0" w:color="auto"/>
            </w:tcBorders>
            <w:hideMark/>
          </w:tcPr>
          <w:p w14:paraId="23439864" w14:textId="77777777" w:rsidR="00ED17F3" w:rsidRPr="00857867" w:rsidRDefault="00ED17F3" w:rsidP="00215867">
            <w:pPr>
              <w:spacing w:after="0" w:line="20" w:lineRule="atLeast"/>
              <w:rPr>
                <w:rFonts w:ascii="Times New Roman" w:hAnsi="Times New Roman"/>
                <w:sz w:val="20"/>
                <w:szCs w:val="20"/>
              </w:rPr>
            </w:pPr>
            <w:r w:rsidRPr="00857867">
              <w:rPr>
                <w:rFonts w:ascii="Times New Roman" w:hAnsi="Times New Roman"/>
                <w:b/>
                <w:sz w:val="20"/>
                <w:szCs w:val="20"/>
              </w:rPr>
              <w:t>Intitulé de l’impact</w:t>
            </w:r>
            <w:r w:rsidRPr="00857867">
              <w:rPr>
                <w:rFonts w:ascii="Times New Roman" w:hAnsi="Times New Roman"/>
                <w:sz w:val="20"/>
                <w:szCs w:val="20"/>
              </w:rPr>
              <w:t xml:space="preserve"> :   Accident/incident lors des travaux d’entretien des lignes  </w:t>
            </w:r>
          </w:p>
        </w:tc>
      </w:tr>
      <w:tr w:rsidR="00D75D2E" w:rsidRPr="00420C1B" w14:paraId="2AAD3D90" w14:textId="77777777" w:rsidTr="00215867">
        <w:trPr>
          <w:trHeight w:val="182"/>
          <w:jc w:val="center"/>
        </w:trPr>
        <w:tc>
          <w:tcPr>
            <w:tcW w:w="2547" w:type="dxa"/>
            <w:gridSpan w:val="2"/>
            <w:vMerge w:val="restart"/>
            <w:tcBorders>
              <w:top w:val="single" w:sz="4" w:space="0" w:color="auto"/>
              <w:left w:val="single" w:sz="4" w:space="0" w:color="auto"/>
              <w:right w:val="single" w:sz="4" w:space="0" w:color="auto"/>
            </w:tcBorders>
            <w:vAlign w:val="center"/>
            <w:hideMark/>
          </w:tcPr>
          <w:p w14:paraId="11DA405A" w14:textId="77777777" w:rsidR="006B0FB4" w:rsidRPr="00857867" w:rsidRDefault="006B0FB4" w:rsidP="00215867">
            <w:pPr>
              <w:spacing w:after="0" w:line="20" w:lineRule="atLeast"/>
              <w:rPr>
                <w:rFonts w:ascii="Times New Roman" w:eastAsia="Times New Roman" w:hAnsi="Times New Roman"/>
                <w:sz w:val="20"/>
                <w:szCs w:val="20"/>
                <w:lang w:eastAsia="fr-FR"/>
              </w:rPr>
            </w:pPr>
            <w:r w:rsidRPr="00857867">
              <w:rPr>
                <w:rFonts w:ascii="Times New Roman" w:hAnsi="Times New Roman"/>
                <w:b/>
                <w:sz w:val="20"/>
                <w:szCs w:val="20"/>
              </w:rPr>
              <w:t>Localisation</w:t>
            </w:r>
          </w:p>
        </w:tc>
        <w:tc>
          <w:tcPr>
            <w:tcW w:w="3827" w:type="dxa"/>
            <w:gridSpan w:val="3"/>
            <w:vMerge w:val="restart"/>
            <w:tcBorders>
              <w:top w:val="single" w:sz="4" w:space="0" w:color="auto"/>
              <w:left w:val="single" w:sz="4" w:space="0" w:color="auto"/>
              <w:right w:val="single" w:sz="4" w:space="0" w:color="auto"/>
            </w:tcBorders>
            <w:hideMark/>
          </w:tcPr>
          <w:p w14:paraId="7CE380A7" w14:textId="77777777" w:rsidR="006B0FB4" w:rsidRPr="00857867" w:rsidRDefault="006B0FB4" w:rsidP="00215867">
            <w:pPr>
              <w:spacing w:after="0" w:line="20" w:lineRule="atLeast"/>
              <w:jc w:val="center"/>
              <w:rPr>
                <w:rFonts w:ascii="Times New Roman" w:hAnsi="Times New Roman"/>
                <w:sz w:val="20"/>
                <w:szCs w:val="20"/>
              </w:rPr>
            </w:pPr>
          </w:p>
          <w:p w14:paraId="3ECB7D34" w14:textId="044C4C62" w:rsidR="006B0FB4" w:rsidRPr="00857867" w:rsidRDefault="006B0FB4" w:rsidP="00215867">
            <w:pPr>
              <w:spacing w:after="0" w:line="20" w:lineRule="atLeast"/>
              <w:jc w:val="both"/>
              <w:rPr>
                <w:rFonts w:ascii="Times New Roman" w:eastAsia="Times New Roman" w:hAnsi="Times New Roman"/>
                <w:b/>
                <w:sz w:val="20"/>
                <w:szCs w:val="20"/>
                <w:lang w:eastAsia="fr-FR"/>
              </w:rPr>
            </w:pPr>
            <w:r w:rsidRPr="00857867">
              <w:rPr>
                <w:rFonts w:ascii="Times New Roman" w:eastAsia="Times New Roman" w:hAnsi="Times New Roman"/>
                <w:sz w:val="20"/>
                <w:szCs w:val="20"/>
                <w:lang w:eastAsia="fr-FR"/>
              </w:rPr>
              <w:t>Communes concernées et ces quartiers</w:t>
            </w:r>
          </w:p>
        </w:tc>
        <w:tc>
          <w:tcPr>
            <w:tcW w:w="1701" w:type="dxa"/>
            <w:gridSpan w:val="2"/>
            <w:tcBorders>
              <w:top w:val="single" w:sz="4" w:space="0" w:color="auto"/>
              <w:left w:val="single" w:sz="4" w:space="0" w:color="auto"/>
              <w:bottom w:val="single" w:sz="4" w:space="0" w:color="auto"/>
              <w:right w:val="single" w:sz="4" w:space="0" w:color="auto"/>
            </w:tcBorders>
          </w:tcPr>
          <w:p w14:paraId="1F8F1B85" w14:textId="77777777" w:rsidR="006B0FB4" w:rsidRPr="00857867" w:rsidRDefault="006B0FB4" w:rsidP="00215867">
            <w:pPr>
              <w:spacing w:after="0" w:line="20" w:lineRule="atLeast"/>
              <w:jc w:val="center"/>
              <w:rPr>
                <w:rFonts w:ascii="Times New Roman" w:eastAsia="Times New Roman" w:hAnsi="Times New Roman"/>
                <w:b/>
                <w:sz w:val="20"/>
                <w:szCs w:val="20"/>
                <w:lang w:eastAsia="fr-FR"/>
              </w:rPr>
            </w:pPr>
            <w:r w:rsidRPr="00857867">
              <w:rPr>
                <w:rFonts w:ascii="Times New Roman" w:hAnsi="Times New Roman"/>
                <w:b/>
                <w:sz w:val="20"/>
                <w:szCs w:val="20"/>
              </w:rPr>
              <w:t>X</w:t>
            </w:r>
          </w:p>
        </w:tc>
        <w:tc>
          <w:tcPr>
            <w:tcW w:w="1276" w:type="dxa"/>
            <w:tcBorders>
              <w:top w:val="single" w:sz="4" w:space="0" w:color="auto"/>
              <w:left w:val="single" w:sz="4" w:space="0" w:color="auto"/>
              <w:bottom w:val="single" w:sz="4" w:space="0" w:color="auto"/>
              <w:right w:val="single" w:sz="4" w:space="0" w:color="auto"/>
            </w:tcBorders>
            <w:hideMark/>
          </w:tcPr>
          <w:p w14:paraId="501F78CF" w14:textId="77777777" w:rsidR="006B0FB4" w:rsidRPr="00857867" w:rsidRDefault="006B0FB4" w:rsidP="00215867">
            <w:pPr>
              <w:spacing w:after="0" w:line="20" w:lineRule="atLeast"/>
              <w:jc w:val="center"/>
              <w:rPr>
                <w:rFonts w:ascii="Times New Roman" w:eastAsia="Times New Roman" w:hAnsi="Times New Roman"/>
                <w:b/>
                <w:sz w:val="20"/>
                <w:szCs w:val="20"/>
                <w:lang w:eastAsia="fr-FR"/>
              </w:rPr>
            </w:pPr>
            <w:r w:rsidRPr="00857867">
              <w:rPr>
                <w:rFonts w:ascii="Times New Roman" w:hAnsi="Times New Roman"/>
                <w:b/>
                <w:sz w:val="20"/>
                <w:szCs w:val="20"/>
              </w:rPr>
              <w:t>Y</w:t>
            </w:r>
          </w:p>
        </w:tc>
        <w:tc>
          <w:tcPr>
            <w:tcW w:w="1134" w:type="dxa"/>
            <w:vMerge w:val="restart"/>
            <w:tcBorders>
              <w:top w:val="single" w:sz="4" w:space="0" w:color="auto"/>
              <w:left w:val="single" w:sz="4" w:space="0" w:color="auto"/>
              <w:right w:val="single" w:sz="4" w:space="0" w:color="auto"/>
            </w:tcBorders>
          </w:tcPr>
          <w:p w14:paraId="626A7F94" w14:textId="77777777" w:rsidR="006B0FB4" w:rsidRPr="00857867" w:rsidRDefault="006B0FB4" w:rsidP="00215867">
            <w:pPr>
              <w:spacing w:after="0" w:line="20" w:lineRule="atLeast"/>
              <w:rPr>
                <w:rFonts w:ascii="Times New Roman" w:hAnsi="Times New Roman"/>
                <w:sz w:val="20"/>
                <w:szCs w:val="20"/>
              </w:rPr>
            </w:pPr>
          </w:p>
        </w:tc>
      </w:tr>
      <w:tr w:rsidR="00D75D2E" w:rsidRPr="00420C1B" w14:paraId="41A9725A" w14:textId="77777777" w:rsidTr="00215867">
        <w:trPr>
          <w:trHeight w:val="209"/>
          <w:jc w:val="center"/>
        </w:trPr>
        <w:tc>
          <w:tcPr>
            <w:tcW w:w="2547" w:type="dxa"/>
            <w:gridSpan w:val="2"/>
            <w:vMerge/>
            <w:tcBorders>
              <w:left w:val="single" w:sz="4" w:space="0" w:color="auto"/>
              <w:right w:val="single" w:sz="4" w:space="0" w:color="auto"/>
            </w:tcBorders>
            <w:vAlign w:val="center"/>
          </w:tcPr>
          <w:p w14:paraId="531F8D43" w14:textId="77777777" w:rsidR="006B0FB4" w:rsidRPr="00857867" w:rsidRDefault="006B0FB4" w:rsidP="00215867">
            <w:pPr>
              <w:spacing w:after="0" w:line="20" w:lineRule="atLeast"/>
              <w:rPr>
                <w:rFonts w:ascii="Times New Roman" w:eastAsia="Times New Roman" w:hAnsi="Times New Roman"/>
                <w:sz w:val="20"/>
                <w:szCs w:val="20"/>
                <w:lang w:eastAsia="fr-FR"/>
              </w:rPr>
            </w:pPr>
          </w:p>
        </w:tc>
        <w:tc>
          <w:tcPr>
            <w:tcW w:w="3827" w:type="dxa"/>
            <w:gridSpan w:val="3"/>
            <w:vMerge/>
            <w:tcBorders>
              <w:left w:val="single" w:sz="4" w:space="0" w:color="auto"/>
              <w:right w:val="single" w:sz="4" w:space="0" w:color="auto"/>
            </w:tcBorders>
            <w:vAlign w:val="center"/>
          </w:tcPr>
          <w:p w14:paraId="7C7B15E8" w14:textId="77777777" w:rsidR="006B0FB4" w:rsidRPr="00857867" w:rsidRDefault="006B0FB4" w:rsidP="00215867">
            <w:pPr>
              <w:spacing w:after="0" w:line="20" w:lineRule="atLeast"/>
              <w:jc w:val="both"/>
              <w:rPr>
                <w:rFonts w:ascii="Times New Roman" w:eastAsia="Times New Roman" w:hAnsi="Times New Roman"/>
                <w:sz w:val="20"/>
                <w:szCs w:val="20"/>
                <w:lang w:eastAsia="fr-FR"/>
              </w:rPr>
            </w:pPr>
          </w:p>
        </w:tc>
        <w:tc>
          <w:tcPr>
            <w:tcW w:w="1701" w:type="dxa"/>
            <w:gridSpan w:val="2"/>
            <w:tcBorders>
              <w:top w:val="single" w:sz="4" w:space="0" w:color="auto"/>
              <w:left w:val="single" w:sz="4" w:space="0" w:color="auto"/>
              <w:bottom w:val="single" w:sz="4" w:space="0" w:color="auto"/>
              <w:right w:val="single" w:sz="4" w:space="0" w:color="auto"/>
            </w:tcBorders>
          </w:tcPr>
          <w:p w14:paraId="19046BEE" w14:textId="77777777" w:rsidR="006B0FB4" w:rsidRPr="00857867" w:rsidRDefault="006B0FB4" w:rsidP="00215867">
            <w:pPr>
              <w:spacing w:after="0" w:line="20" w:lineRule="atLeast"/>
              <w:jc w:val="right"/>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1276" w:type="dxa"/>
            <w:tcBorders>
              <w:top w:val="single" w:sz="4" w:space="0" w:color="auto"/>
              <w:left w:val="nil"/>
              <w:bottom w:val="single" w:sz="4" w:space="0" w:color="auto"/>
              <w:right w:val="single" w:sz="4" w:space="0" w:color="auto"/>
            </w:tcBorders>
          </w:tcPr>
          <w:p w14:paraId="59AD4CAC" w14:textId="77777777" w:rsidR="006B0FB4" w:rsidRPr="00857867" w:rsidRDefault="006B0FB4" w:rsidP="00215867">
            <w:pPr>
              <w:spacing w:after="0" w:line="20" w:lineRule="atLeast"/>
              <w:jc w:val="right"/>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134" w:type="dxa"/>
            <w:vMerge/>
            <w:tcBorders>
              <w:left w:val="single" w:sz="4" w:space="0" w:color="auto"/>
              <w:right w:val="single" w:sz="4" w:space="0" w:color="auto"/>
            </w:tcBorders>
            <w:vAlign w:val="center"/>
          </w:tcPr>
          <w:p w14:paraId="686339B3" w14:textId="77777777" w:rsidR="006B0FB4" w:rsidRPr="00857867" w:rsidRDefault="006B0FB4" w:rsidP="00215867">
            <w:pPr>
              <w:spacing w:after="0" w:line="20" w:lineRule="atLeast"/>
              <w:rPr>
                <w:rFonts w:ascii="Times New Roman" w:hAnsi="Times New Roman"/>
                <w:sz w:val="20"/>
                <w:szCs w:val="20"/>
              </w:rPr>
            </w:pPr>
          </w:p>
        </w:tc>
      </w:tr>
      <w:tr w:rsidR="00D75D2E" w:rsidRPr="00420C1B" w14:paraId="3B0D18E8" w14:textId="77777777" w:rsidTr="00215867">
        <w:trPr>
          <w:trHeight w:val="179"/>
          <w:jc w:val="center"/>
        </w:trPr>
        <w:tc>
          <w:tcPr>
            <w:tcW w:w="2547" w:type="dxa"/>
            <w:gridSpan w:val="2"/>
            <w:vMerge/>
            <w:tcBorders>
              <w:left w:val="single" w:sz="4" w:space="0" w:color="auto"/>
              <w:bottom w:val="single" w:sz="4" w:space="0" w:color="auto"/>
              <w:right w:val="single" w:sz="4" w:space="0" w:color="auto"/>
            </w:tcBorders>
            <w:vAlign w:val="center"/>
          </w:tcPr>
          <w:p w14:paraId="1C94B6DF" w14:textId="77777777" w:rsidR="006B0FB4" w:rsidRPr="00857867" w:rsidRDefault="006B0FB4" w:rsidP="00215867">
            <w:pPr>
              <w:spacing w:after="0" w:line="20" w:lineRule="atLeast"/>
              <w:rPr>
                <w:rFonts w:ascii="Times New Roman" w:eastAsia="Times New Roman" w:hAnsi="Times New Roman"/>
                <w:sz w:val="20"/>
                <w:szCs w:val="20"/>
                <w:lang w:eastAsia="fr-FR"/>
              </w:rPr>
            </w:pPr>
          </w:p>
        </w:tc>
        <w:tc>
          <w:tcPr>
            <w:tcW w:w="3827" w:type="dxa"/>
            <w:gridSpan w:val="3"/>
            <w:vMerge/>
            <w:tcBorders>
              <w:left w:val="single" w:sz="4" w:space="0" w:color="auto"/>
              <w:bottom w:val="single" w:sz="4" w:space="0" w:color="auto"/>
              <w:right w:val="single" w:sz="4" w:space="0" w:color="auto"/>
            </w:tcBorders>
            <w:vAlign w:val="center"/>
          </w:tcPr>
          <w:p w14:paraId="10384A21" w14:textId="77777777" w:rsidR="006B0FB4" w:rsidRPr="00857867" w:rsidRDefault="006B0FB4" w:rsidP="00215867">
            <w:pPr>
              <w:spacing w:after="0" w:line="20" w:lineRule="atLeast"/>
              <w:jc w:val="both"/>
              <w:rPr>
                <w:rFonts w:ascii="Times New Roman" w:eastAsia="Times New Roman" w:hAnsi="Times New Roman"/>
                <w:sz w:val="20"/>
                <w:szCs w:val="20"/>
                <w:lang w:eastAsia="fr-FR"/>
              </w:rPr>
            </w:pPr>
          </w:p>
        </w:tc>
        <w:tc>
          <w:tcPr>
            <w:tcW w:w="1701" w:type="dxa"/>
            <w:gridSpan w:val="2"/>
            <w:tcBorders>
              <w:top w:val="single" w:sz="4" w:space="0" w:color="auto"/>
              <w:left w:val="single" w:sz="4" w:space="0" w:color="auto"/>
              <w:right w:val="single" w:sz="4" w:space="0" w:color="auto"/>
            </w:tcBorders>
          </w:tcPr>
          <w:p w14:paraId="5A80818B" w14:textId="77777777" w:rsidR="006B0FB4" w:rsidRPr="00857867" w:rsidRDefault="006B0FB4" w:rsidP="00215867">
            <w:pPr>
              <w:spacing w:after="0" w:line="20" w:lineRule="atLeast"/>
              <w:jc w:val="right"/>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1276" w:type="dxa"/>
            <w:tcBorders>
              <w:top w:val="single" w:sz="4" w:space="0" w:color="auto"/>
              <w:left w:val="single" w:sz="4" w:space="0" w:color="auto"/>
              <w:right w:val="single" w:sz="4" w:space="0" w:color="auto"/>
            </w:tcBorders>
          </w:tcPr>
          <w:p w14:paraId="0EF69C1F" w14:textId="77777777" w:rsidR="006B0FB4" w:rsidRPr="00857867" w:rsidRDefault="006B0FB4" w:rsidP="00215867">
            <w:pPr>
              <w:spacing w:after="0" w:line="20" w:lineRule="atLeast"/>
              <w:jc w:val="right"/>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134" w:type="dxa"/>
            <w:vMerge/>
            <w:tcBorders>
              <w:left w:val="single" w:sz="4" w:space="0" w:color="auto"/>
              <w:bottom w:val="single" w:sz="4" w:space="0" w:color="auto"/>
              <w:right w:val="single" w:sz="4" w:space="0" w:color="auto"/>
            </w:tcBorders>
            <w:vAlign w:val="center"/>
          </w:tcPr>
          <w:p w14:paraId="25D016F2" w14:textId="77777777" w:rsidR="006B0FB4" w:rsidRPr="00857867" w:rsidRDefault="006B0FB4" w:rsidP="00215867">
            <w:pPr>
              <w:spacing w:after="0" w:line="20" w:lineRule="atLeast"/>
              <w:rPr>
                <w:rFonts w:ascii="Times New Roman" w:hAnsi="Times New Roman"/>
                <w:sz w:val="20"/>
                <w:szCs w:val="20"/>
              </w:rPr>
            </w:pPr>
          </w:p>
        </w:tc>
      </w:tr>
      <w:tr w:rsidR="00FE538C" w:rsidRPr="00420C1B" w14:paraId="30D0418D" w14:textId="77777777" w:rsidTr="00FE538C">
        <w:trPr>
          <w:trHeight w:val="176"/>
          <w:jc w:val="center"/>
        </w:trPr>
        <w:tc>
          <w:tcPr>
            <w:tcW w:w="2547" w:type="dxa"/>
            <w:gridSpan w:val="2"/>
            <w:vMerge w:val="restart"/>
            <w:tcBorders>
              <w:top w:val="single" w:sz="4" w:space="0" w:color="auto"/>
              <w:left w:val="single" w:sz="4" w:space="0" w:color="auto"/>
              <w:bottom w:val="single" w:sz="4" w:space="0" w:color="auto"/>
              <w:right w:val="single" w:sz="4" w:space="0" w:color="auto"/>
            </w:tcBorders>
            <w:vAlign w:val="center"/>
          </w:tcPr>
          <w:p w14:paraId="008151B4" w14:textId="77777777" w:rsidR="00ED17F3" w:rsidRPr="00857867" w:rsidRDefault="00ED17F3" w:rsidP="00215867">
            <w:pPr>
              <w:spacing w:after="0" w:line="20" w:lineRule="atLeast"/>
              <w:rPr>
                <w:rFonts w:ascii="Times New Roman" w:hAnsi="Times New Roman"/>
                <w:b/>
                <w:sz w:val="20"/>
                <w:szCs w:val="20"/>
              </w:rPr>
            </w:pPr>
          </w:p>
          <w:p w14:paraId="7C281C8F" w14:textId="77777777" w:rsidR="00ED17F3" w:rsidRPr="00857867" w:rsidRDefault="00ED17F3" w:rsidP="00215867">
            <w:pPr>
              <w:spacing w:after="0" w:line="20" w:lineRule="atLeast"/>
              <w:rPr>
                <w:rFonts w:ascii="Times New Roman" w:hAnsi="Times New Roman"/>
                <w:b/>
                <w:sz w:val="20"/>
                <w:szCs w:val="20"/>
              </w:rPr>
            </w:pPr>
            <w:r w:rsidRPr="00857867">
              <w:rPr>
                <w:rFonts w:ascii="Times New Roman" w:hAnsi="Times New Roman"/>
                <w:b/>
                <w:sz w:val="20"/>
                <w:szCs w:val="20"/>
              </w:rPr>
              <w:t>Analyse de l’impact</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9DCA6AB" w14:textId="77777777" w:rsidR="00ED17F3" w:rsidRPr="00857867" w:rsidRDefault="00ED17F3" w:rsidP="00215867">
            <w:pPr>
              <w:autoSpaceDE w:val="0"/>
              <w:autoSpaceDN w:val="0"/>
              <w:adjustRightInd w:val="0"/>
              <w:spacing w:after="0" w:line="20" w:lineRule="atLeast"/>
              <w:rPr>
                <w:rFonts w:ascii="Times New Roman" w:eastAsia="Times New Roman" w:hAnsi="Times New Roman"/>
                <w:b/>
                <w:bCs/>
                <w:sz w:val="20"/>
                <w:szCs w:val="20"/>
              </w:rPr>
            </w:pPr>
            <w:r w:rsidRPr="00857867">
              <w:rPr>
                <w:rFonts w:ascii="Times New Roman" w:eastAsia="Times New Roman" w:hAnsi="Times New Roman"/>
                <w:b/>
                <w:bCs/>
                <w:sz w:val="20"/>
                <w:szCs w:val="20"/>
              </w:rPr>
              <w:t>Nature :</w:t>
            </w:r>
          </w:p>
          <w:p w14:paraId="10F2B1C9" w14:textId="77777777" w:rsidR="00ED17F3" w:rsidRPr="00857867" w:rsidRDefault="00ED17F3" w:rsidP="00215867">
            <w:pPr>
              <w:autoSpaceDE w:val="0"/>
              <w:autoSpaceDN w:val="0"/>
              <w:adjustRightInd w:val="0"/>
              <w:spacing w:after="0" w:line="20" w:lineRule="atLeast"/>
              <w:rPr>
                <w:rFonts w:ascii="Times New Roman" w:eastAsia="Times New Roman" w:hAnsi="Times New Roman"/>
                <w:bCs/>
                <w:sz w:val="20"/>
                <w:szCs w:val="20"/>
              </w:rPr>
            </w:pPr>
            <w:r w:rsidRPr="00857867">
              <w:rPr>
                <w:rFonts w:ascii="Times New Roman" w:eastAsia="Times New Roman" w:hAnsi="Times New Roman"/>
                <w:bCs/>
                <w:sz w:val="20"/>
                <w:szCs w:val="20"/>
              </w:rPr>
              <w:t>Négative</w:t>
            </w:r>
          </w:p>
        </w:tc>
        <w:tc>
          <w:tcPr>
            <w:tcW w:w="1417" w:type="dxa"/>
            <w:tcBorders>
              <w:top w:val="single" w:sz="4" w:space="0" w:color="auto"/>
              <w:left w:val="single" w:sz="4" w:space="0" w:color="auto"/>
              <w:bottom w:val="single" w:sz="4" w:space="0" w:color="auto"/>
              <w:right w:val="single" w:sz="4" w:space="0" w:color="auto"/>
            </w:tcBorders>
            <w:hideMark/>
          </w:tcPr>
          <w:p w14:paraId="499B2052" w14:textId="77777777" w:rsidR="00ED17F3" w:rsidRPr="00857867" w:rsidRDefault="00ED17F3"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Intensité</w:t>
            </w:r>
          </w:p>
        </w:tc>
        <w:tc>
          <w:tcPr>
            <w:tcW w:w="1276" w:type="dxa"/>
            <w:tcBorders>
              <w:top w:val="single" w:sz="4" w:space="0" w:color="auto"/>
              <w:left w:val="single" w:sz="4" w:space="0" w:color="auto"/>
              <w:bottom w:val="single" w:sz="4" w:space="0" w:color="auto"/>
              <w:right w:val="single" w:sz="4" w:space="0" w:color="auto"/>
            </w:tcBorders>
            <w:hideMark/>
          </w:tcPr>
          <w:p w14:paraId="5F33BB62" w14:textId="77777777" w:rsidR="00ED17F3" w:rsidRPr="00857867" w:rsidRDefault="00ED17F3"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Etendue</w:t>
            </w:r>
          </w:p>
        </w:tc>
        <w:tc>
          <w:tcPr>
            <w:tcW w:w="1701" w:type="dxa"/>
            <w:gridSpan w:val="2"/>
            <w:tcBorders>
              <w:top w:val="single" w:sz="4" w:space="0" w:color="auto"/>
              <w:left w:val="single" w:sz="4" w:space="0" w:color="auto"/>
              <w:bottom w:val="single" w:sz="4" w:space="0" w:color="auto"/>
              <w:right w:val="single" w:sz="4" w:space="0" w:color="auto"/>
            </w:tcBorders>
            <w:hideMark/>
          </w:tcPr>
          <w:p w14:paraId="5EA89762" w14:textId="77777777" w:rsidR="00ED17F3" w:rsidRPr="00857867" w:rsidRDefault="00ED17F3"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Durée</w:t>
            </w:r>
          </w:p>
        </w:tc>
        <w:tc>
          <w:tcPr>
            <w:tcW w:w="1276" w:type="dxa"/>
            <w:tcBorders>
              <w:top w:val="single" w:sz="4" w:space="0" w:color="auto"/>
              <w:left w:val="single" w:sz="4" w:space="0" w:color="auto"/>
              <w:bottom w:val="single" w:sz="4" w:space="0" w:color="auto"/>
              <w:right w:val="single" w:sz="4" w:space="0" w:color="auto"/>
            </w:tcBorders>
            <w:hideMark/>
          </w:tcPr>
          <w:p w14:paraId="04C48351" w14:textId="77777777" w:rsidR="00ED17F3" w:rsidRPr="00857867" w:rsidRDefault="00ED17F3"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Importance</w:t>
            </w:r>
          </w:p>
        </w:tc>
        <w:tc>
          <w:tcPr>
            <w:tcW w:w="1134" w:type="dxa"/>
            <w:tcBorders>
              <w:top w:val="single" w:sz="4" w:space="0" w:color="auto"/>
              <w:left w:val="single" w:sz="4" w:space="0" w:color="auto"/>
              <w:bottom w:val="single" w:sz="4" w:space="0" w:color="auto"/>
              <w:right w:val="single" w:sz="4" w:space="0" w:color="auto"/>
            </w:tcBorders>
          </w:tcPr>
          <w:p w14:paraId="01EE5F72" w14:textId="77777777" w:rsidR="00ED17F3" w:rsidRPr="00857867" w:rsidRDefault="00ED17F3" w:rsidP="00215867">
            <w:pPr>
              <w:spacing w:after="0" w:line="20" w:lineRule="atLeast"/>
              <w:rPr>
                <w:rFonts w:ascii="Times New Roman" w:hAnsi="Times New Roman"/>
                <w:sz w:val="20"/>
                <w:szCs w:val="20"/>
              </w:rPr>
            </w:pPr>
          </w:p>
        </w:tc>
      </w:tr>
      <w:tr w:rsidR="00FE538C" w:rsidRPr="00420C1B" w14:paraId="572B2DE0" w14:textId="77777777" w:rsidTr="00FE538C">
        <w:trPr>
          <w:trHeight w:val="189"/>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406F8D59" w14:textId="77777777" w:rsidR="00ED17F3" w:rsidRPr="00857867" w:rsidRDefault="00ED17F3" w:rsidP="00215867">
            <w:pPr>
              <w:spacing w:after="0" w:line="20" w:lineRule="atLeast"/>
              <w:rPr>
                <w:rFonts w:ascii="Times New Roman" w:hAnsi="Times New Roman"/>
                <w:b/>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8E78FC" w14:textId="77777777" w:rsidR="00ED17F3" w:rsidRPr="00857867" w:rsidRDefault="00ED17F3" w:rsidP="00215867">
            <w:pPr>
              <w:spacing w:after="0" w:line="20" w:lineRule="atLeast"/>
              <w:rPr>
                <w:rFonts w:ascii="Times New Roman" w:eastAsia="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7EC4135D" w14:textId="77777777" w:rsidR="00ED17F3" w:rsidRPr="00857867" w:rsidRDefault="00ED17F3" w:rsidP="00215867">
            <w:pPr>
              <w:spacing w:after="0" w:line="20" w:lineRule="atLeast"/>
              <w:jc w:val="center"/>
              <w:rPr>
                <w:rFonts w:ascii="Times New Roman" w:eastAsia="Times New Roman" w:hAnsi="Times New Roman"/>
                <w:sz w:val="20"/>
                <w:szCs w:val="20"/>
                <w:lang w:eastAsia="fr-FR"/>
              </w:rPr>
            </w:pPr>
            <w:r w:rsidRPr="00857867">
              <w:rPr>
                <w:rFonts w:ascii="Times New Roman" w:hAnsi="Times New Roman"/>
                <w:sz w:val="20"/>
                <w:szCs w:val="20"/>
              </w:rPr>
              <w:t xml:space="preserve">Moyenne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27E35A" w14:textId="77777777" w:rsidR="00ED17F3" w:rsidRPr="00857867" w:rsidRDefault="00ED17F3" w:rsidP="00215867">
            <w:pPr>
              <w:spacing w:after="0" w:line="20" w:lineRule="atLeast"/>
              <w:jc w:val="center"/>
              <w:rPr>
                <w:rFonts w:ascii="Times New Roman" w:eastAsia="Times New Roman" w:hAnsi="Times New Roman"/>
                <w:sz w:val="20"/>
                <w:szCs w:val="20"/>
                <w:lang w:eastAsia="fr-FR"/>
              </w:rPr>
            </w:pPr>
            <w:r w:rsidRPr="00857867">
              <w:rPr>
                <w:rFonts w:ascii="Times New Roman" w:hAnsi="Times New Roman"/>
                <w:sz w:val="20"/>
                <w:szCs w:val="20"/>
              </w:rPr>
              <w:t>Locale</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6C49C43E" w14:textId="77777777" w:rsidR="00ED17F3" w:rsidRPr="00857867" w:rsidRDefault="00ED17F3" w:rsidP="00215867">
            <w:pPr>
              <w:spacing w:after="0" w:line="20" w:lineRule="atLeast"/>
              <w:jc w:val="center"/>
              <w:rPr>
                <w:rFonts w:ascii="Times New Roman" w:eastAsia="Times New Roman" w:hAnsi="Times New Roman"/>
                <w:sz w:val="20"/>
                <w:szCs w:val="20"/>
                <w:lang w:eastAsia="fr-FR"/>
              </w:rPr>
            </w:pPr>
            <w:r w:rsidRPr="00857867">
              <w:rPr>
                <w:rFonts w:ascii="Times New Roman" w:hAnsi="Times New Roman"/>
                <w:sz w:val="20"/>
                <w:szCs w:val="20"/>
              </w:rPr>
              <w:t xml:space="preserve">Temporaire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4FA627A" w14:textId="77777777" w:rsidR="00ED17F3" w:rsidRPr="00857867" w:rsidRDefault="00ED17F3" w:rsidP="00215867">
            <w:pPr>
              <w:spacing w:after="0" w:line="20" w:lineRule="atLeast"/>
              <w:jc w:val="center"/>
              <w:rPr>
                <w:rFonts w:ascii="Times New Roman" w:eastAsia="Times New Roman" w:hAnsi="Times New Roman"/>
                <w:sz w:val="20"/>
                <w:szCs w:val="20"/>
                <w:lang w:eastAsia="fr-FR"/>
              </w:rPr>
            </w:pPr>
            <w:r w:rsidRPr="00857867">
              <w:rPr>
                <w:rFonts w:ascii="Times New Roman" w:hAnsi="Times New Roman"/>
                <w:sz w:val="20"/>
                <w:szCs w:val="20"/>
              </w:rPr>
              <w:t>Moyenne</w:t>
            </w:r>
          </w:p>
        </w:tc>
        <w:tc>
          <w:tcPr>
            <w:tcW w:w="1134" w:type="dxa"/>
            <w:tcBorders>
              <w:top w:val="single" w:sz="4" w:space="0" w:color="auto"/>
              <w:left w:val="single" w:sz="4" w:space="0" w:color="auto"/>
              <w:bottom w:val="single" w:sz="4" w:space="0" w:color="auto"/>
              <w:right w:val="single" w:sz="4" w:space="0" w:color="auto"/>
            </w:tcBorders>
          </w:tcPr>
          <w:p w14:paraId="74A0C825" w14:textId="77777777" w:rsidR="00ED17F3" w:rsidRPr="00857867" w:rsidRDefault="00ED17F3" w:rsidP="00215867">
            <w:pPr>
              <w:spacing w:after="0" w:line="20" w:lineRule="atLeast"/>
              <w:rPr>
                <w:rFonts w:ascii="Times New Roman" w:hAnsi="Times New Roman"/>
                <w:sz w:val="20"/>
                <w:szCs w:val="20"/>
              </w:rPr>
            </w:pPr>
          </w:p>
        </w:tc>
      </w:tr>
      <w:tr w:rsidR="00FE538C" w:rsidRPr="00420C1B" w14:paraId="539B1C7F" w14:textId="77777777" w:rsidTr="00FE538C">
        <w:trPr>
          <w:trHeight w:val="189"/>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tcPr>
          <w:p w14:paraId="2E8BBCB9" w14:textId="77777777" w:rsidR="006B0FB4" w:rsidRPr="00857867" w:rsidRDefault="006B0FB4" w:rsidP="00215867">
            <w:pPr>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1D3D096" w14:textId="77777777" w:rsidR="006B0FB4" w:rsidRPr="00857867" w:rsidRDefault="006B0FB4" w:rsidP="00215867">
            <w:pPr>
              <w:spacing w:after="0" w:line="20" w:lineRule="atLeast"/>
              <w:rPr>
                <w:rFonts w:ascii="Times New Roman" w:eastAsia="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5F5D9FD" w14:textId="77777777" w:rsidR="006B0FB4" w:rsidRPr="00857867" w:rsidRDefault="006B0FB4"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Inter action</w:t>
            </w:r>
          </w:p>
        </w:tc>
        <w:tc>
          <w:tcPr>
            <w:tcW w:w="1276" w:type="dxa"/>
            <w:tcBorders>
              <w:top w:val="single" w:sz="4" w:space="0" w:color="auto"/>
              <w:left w:val="single" w:sz="4" w:space="0" w:color="auto"/>
              <w:bottom w:val="single" w:sz="4" w:space="0" w:color="auto"/>
              <w:right w:val="single" w:sz="4" w:space="0" w:color="auto"/>
            </w:tcBorders>
          </w:tcPr>
          <w:p w14:paraId="73B8B465" w14:textId="77777777" w:rsidR="006B0FB4" w:rsidRPr="00857867" w:rsidRDefault="006B0FB4"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Occurrence</w:t>
            </w:r>
          </w:p>
        </w:tc>
        <w:tc>
          <w:tcPr>
            <w:tcW w:w="1701" w:type="dxa"/>
            <w:gridSpan w:val="2"/>
            <w:tcBorders>
              <w:top w:val="single" w:sz="4" w:space="0" w:color="auto"/>
              <w:left w:val="single" w:sz="4" w:space="0" w:color="auto"/>
              <w:bottom w:val="single" w:sz="4" w:space="0" w:color="auto"/>
              <w:right w:val="single" w:sz="4" w:space="0" w:color="auto"/>
            </w:tcBorders>
          </w:tcPr>
          <w:p w14:paraId="0FED7FB4" w14:textId="77777777" w:rsidR="006B0FB4" w:rsidRPr="00857867" w:rsidRDefault="006B0FB4"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Réversibilité</w:t>
            </w:r>
          </w:p>
        </w:tc>
        <w:tc>
          <w:tcPr>
            <w:tcW w:w="1276" w:type="dxa"/>
            <w:tcBorders>
              <w:top w:val="single" w:sz="4" w:space="0" w:color="auto"/>
              <w:left w:val="single" w:sz="4" w:space="0" w:color="auto"/>
              <w:bottom w:val="single" w:sz="4" w:space="0" w:color="auto"/>
              <w:right w:val="single" w:sz="4" w:space="0" w:color="auto"/>
            </w:tcBorders>
          </w:tcPr>
          <w:p w14:paraId="2548DD5B" w14:textId="77777777" w:rsidR="006B0FB4" w:rsidRPr="00857867" w:rsidRDefault="006B0FB4"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Cumulativité</w:t>
            </w:r>
          </w:p>
        </w:tc>
        <w:tc>
          <w:tcPr>
            <w:tcW w:w="1134" w:type="dxa"/>
            <w:tcBorders>
              <w:top w:val="single" w:sz="4" w:space="0" w:color="auto"/>
              <w:left w:val="single" w:sz="4" w:space="0" w:color="auto"/>
              <w:bottom w:val="single" w:sz="4" w:space="0" w:color="auto"/>
              <w:right w:val="single" w:sz="4" w:space="0" w:color="auto"/>
            </w:tcBorders>
          </w:tcPr>
          <w:p w14:paraId="7760B20A" w14:textId="77777777" w:rsidR="006B0FB4" w:rsidRPr="00857867" w:rsidRDefault="006B0FB4" w:rsidP="00215867">
            <w:pPr>
              <w:spacing w:after="0" w:line="20" w:lineRule="atLeast"/>
              <w:rPr>
                <w:rFonts w:ascii="Times New Roman" w:hAnsi="Times New Roman"/>
                <w:sz w:val="20"/>
                <w:szCs w:val="20"/>
              </w:rPr>
            </w:pPr>
          </w:p>
        </w:tc>
      </w:tr>
      <w:tr w:rsidR="00FE538C" w:rsidRPr="00420C1B" w14:paraId="10781429" w14:textId="77777777" w:rsidTr="00FE538C">
        <w:trPr>
          <w:trHeight w:val="189"/>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tcPr>
          <w:p w14:paraId="00A11F83" w14:textId="77777777" w:rsidR="006B0FB4" w:rsidRPr="00857867" w:rsidRDefault="006B0FB4" w:rsidP="00215867">
            <w:pPr>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042A33B" w14:textId="77777777" w:rsidR="006B0FB4" w:rsidRPr="00857867" w:rsidRDefault="006B0FB4" w:rsidP="00215867">
            <w:pPr>
              <w:spacing w:after="0" w:line="20" w:lineRule="atLeast"/>
              <w:rPr>
                <w:rFonts w:ascii="Times New Roman" w:eastAsia="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77CE294" w14:textId="77777777" w:rsidR="006B0FB4" w:rsidRPr="00857867" w:rsidRDefault="006B0FB4" w:rsidP="00215867">
            <w:pPr>
              <w:spacing w:after="0" w:line="20" w:lineRule="atLeast"/>
              <w:jc w:val="center"/>
              <w:rPr>
                <w:rFonts w:ascii="Times New Roman" w:eastAsia="Times New Roman" w:hAnsi="Times New Roman"/>
                <w:bCs/>
                <w:sz w:val="20"/>
                <w:szCs w:val="20"/>
              </w:rPr>
            </w:pPr>
            <w:r w:rsidRPr="00857867">
              <w:rPr>
                <w:rFonts w:ascii="Times New Roman" w:eastAsia="Times New Roman" w:hAnsi="Times New Roman"/>
                <w:bCs/>
                <w:sz w:val="20"/>
                <w:szCs w:val="20"/>
              </w:rPr>
              <w:t>Directe</w:t>
            </w:r>
          </w:p>
        </w:tc>
        <w:tc>
          <w:tcPr>
            <w:tcW w:w="1276" w:type="dxa"/>
            <w:tcBorders>
              <w:top w:val="single" w:sz="4" w:space="0" w:color="auto"/>
              <w:left w:val="single" w:sz="4" w:space="0" w:color="auto"/>
              <w:bottom w:val="single" w:sz="4" w:space="0" w:color="auto"/>
              <w:right w:val="single" w:sz="4" w:space="0" w:color="auto"/>
            </w:tcBorders>
            <w:vAlign w:val="center"/>
          </w:tcPr>
          <w:p w14:paraId="6D0D2C64"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hAnsi="Times New Roman"/>
                <w:sz w:val="20"/>
                <w:szCs w:val="20"/>
              </w:rPr>
              <w:t>Probable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D6CF65C"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hAnsi="Times New Roman"/>
                <w:sz w:val="20"/>
                <w:szCs w:val="20"/>
              </w:rPr>
              <w:t>Irréversible</w:t>
            </w:r>
          </w:p>
        </w:tc>
        <w:tc>
          <w:tcPr>
            <w:tcW w:w="1276" w:type="dxa"/>
            <w:tcBorders>
              <w:top w:val="single" w:sz="4" w:space="0" w:color="auto"/>
              <w:left w:val="single" w:sz="4" w:space="0" w:color="auto"/>
              <w:bottom w:val="single" w:sz="4" w:space="0" w:color="auto"/>
              <w:right w:val="single" w:sz="4" w:space="0" w:color="auto"/>
            </w:tcBorders>
            <w:vAlign w:val="center"/>
          </w:tcPr>
          <w:p w14:paraId="4833EEFA"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hAnsi="Times New Roman"/>
                <w:sz w:val="20"/>
                <w:szCs w:val="20"/>
              </w:rPr>
              <w:t>Non</w:t>
            </w:r>
          </w:p>
        </w:tc>
        <w:tc>
          <w:tcPr>
            <w:tcW w:w="1134" w:type="dxa"/>
            <w:tcBorders>
              <w:top w:val="single" w:sz="4" w:space="0" w:color="auto"/>
              <w:left w:val="single" w:sz="4" w:space="0" w:color="auto"/>
              <w:bottom w:val="single" w:sz="4" w:space="0" w:color="auto"/>
              <w:right w:val="single" w:sz="4" w:space="0" w:color="auto"/>
            </w:tcBorders>
          </w:tcPr>
          <w:p w14:paraId="0B63D892" w14:textId="77777777" w:rsidR="006B0FB4" w:rsidRPr="00857867" w:rsidRDefault="006B0FB4" w:rsidP="00215867">
            <w:pPr>
              <w:spacing w:after="0" w:line="20" w:lineRule="atLeast"/>
              <w:rPr>
                <w:rFonts w:ascii="Times New Roman" w:hAnsi="Times New Roman"/>
                <w:sz w:val="20"/>
                <w:szCs w:val="20"/>
              </w:rPr>
            </w:pPr>
          </w:p>
        </w:tc>
      </w:tr>
      <w:tr w:rsidR="00FE538C" w:rsidRPr="00420C1B" w14:paraId="1F0192D2" w14:textId="77777777" w:rsidTr="00FE538C">
        <w:trPr>
          <w:trHeight w:val="189"/>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tcPr>
          <w:p w14:paraId="69AA286E" w14:textId="77777777" w:rsidR="006B0FB4" w:rsidRPr="00857867" w:rsidRDefault="006B0FB4" w:rsidP="00215867">
            <w:pPr>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FDE055D" w14:textId="77777777" w:rsidR="006B0FB4" w:rsidRPr="00857867" w:rsidRDefault="006B0FB4" w:rsidP="00215867">
            <w:pPr>
              <w:spacing w:after="0" w:line="20" w:lineRule="atLeast"/>
              <w:rPr>
                <w:rFonts w:ascii="Times New Roman" w:eastAsia="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3808EDC" w14:textId="77777777" w:rsidR="006B0FB4" w:rsidRPr="00857867" w:rsidRDefault="006B0FB4" w:rsidP="00215867">
            <w:pPr>
              <w:autoSpaceDE w:val="0"/>
              <w:autoSpaceDN w:val="0"/>
              <w:adjustRightInd w:val="0"/>
              <w:spacing w:after="0" w:line="20" w:lineRule="atLeast"/>
              <w:jc w:val="center"/>
              <w:rPr>
                <w:rFonts w:ascii="Times New Roman" w:eastAsia="Times New Roman" w:hAnsi="Times New Roman"/>
                <w:b/>
                <w:bCs/>
                <w:i/>
                <w:sz w:val="20"/>
                <w:szCs w:val="20"/>
              </w:rPr>
            </w:pPr>
            <w:r w:rsidRPr="00857867">
              <w:rPr>
                <w:rFonts w:ascii="Times New Roman" w:eastAsia="Times New Roman" w:hAnsi="Times New Roman"/>
                <w:b/>
                <w:bCs/>
                <w:i/>
                <w:sz w:val="20"/>
                <w:szCs w:val="20"/>
              </w:rPr>
              <w:t>Fréquence</w:t>
            </w:r>
          </w:p>
        </w:tc>
        <w:tc>
          <w:tcPr>
            <w:tcW w:w="1276" w:type="dxa"/>
            <w:tcBorders>
              <w:top w:val="single" w:sz="4" w:space="0" w:color="auto"/>
              <w:left w:val="single" w:sz="4" w:space="0" w:color="auto"/>
              <w:bottom w:val="single" w:sz="4" w:space="0" w:color="auto"/>
              <w:right w:val="single" w:sz="4" w:space="0" w:color="auto"/>
            </w:tcBorders>
            <w:vAlign w:val="center"/>
          </w:tcPr>
          <w:p w14:paraId="35F5721A"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hAnsi="Times New Roman"/>
                <w:b/>
                <w:sz w:val="20"/>
                <w:szCs w:val="20"/>
              </w:rPr>
              <w:t>Valeur</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242723AB" w14:textId="77777777" w:rsidR="006B0FB4" w:rsidRPr="00857867" w:rsidRDefault="006B0FB4" w:rsidP="00215867">
            <w:pPr>
              <w:spacing w:after="0" w:line="20" w:lineRule="atLeast"/>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C9010E5" w14:textId="77777777" w:rsidR="006B0FB4" w:rsidRPr="00857867" w:rsidRDefault="006B0FB4" w:rsidP="00215867">
            <w:pPr>
              <w:spacing w:after="0" w:line="20" w:lineRule="atLeast"/>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DE4D665" w14:textId="77777777" w:rsidR="006B0FB4" w:rsidRPr="00857867" w:rsidRDefault="006B0FB4" w:rsidP="00215867">
            <w:pPr>
              <w:spacing w:after="0" w:line="20" w:lineRule="atLeast"/>
              <w:rPr>
                <w:rFonts w:ascii="Times New Roman" w:hAnsi="Times New Roman"/>
                <w:sz w:val="20"/>
                <w:szCs w:val="20"/>
              </w:rPr>
            </w:pPr>
          </w:p>
        </w:tc>
      </w:tr>
      <w:tr w:rsidR="00FE538C" w:rsidRPr="00420C1B" w14:paraId="51B9C1D8" w14:textId="77777777" w:rsidTr="00FE538C">
        <w:trPr>
          <w:trHeight w:val="189"/>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tcPr>
          <w:p w14:paraId="1A6A49A0" w14:textId="77777777" w:rsidR="006B0FB4" w:rsidRPr="00857867" w:rsidRDefault="006B0FB4" w:rsidP="00215867">
            <w:pPr>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A972F9A" w14:textId="77777777" w:rsidR="006B0FB4" w:rsidRPr="00857867" w:rsidRDefault="006B0FB4" w:rsidP="00215867">
            <w:pPr>
              <w:spacing w:after="0" w:line="20" w:lineRule="atLeast"/>
              <w:rPr>
                <w:rFonts w:ascii="Times New Roman" w:eastAsia="Times New Roman" w:hAnsi="Times New Roman"/>
                <w:bCs/>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50A14CB"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hAnsi="Times New Roman"/>
                <w:sz w:val="20"/>
                <w:szCs w:val="20"/>
              </w:rPr>
              <w:t>Périodique</w:t>
            </w:r>
          </w:p>
        </w:tc>
        <w:tc>
          <w:tcPr>
            <w:tcW w:w="1276" w:type="dxa"/>
            <w:tcBorders>
              <w:top w:val="single" w:sz="4" w:space="0" w:color="auto"/>
              <w:left w:val="single" w:sz="4" w:space="0" w:color="auto"/>
              <w:bottom w:val="single" w:sz="4" w:space="0" w:color="auto"/>
              <w:right w:val="single" w:sz="4" w:space="0" w:color="auto"/>
            </w:tcBorders>
            <w:vAlign w:val="center"/>
          </w:tcPr>
          <w:p w14:paraId="3ECC6E50" w14:textId="77777777" w:rsidR="006B0FB4" w:rsidRPr="00857867" w:rsidRDefault="006B0FB4" w:rsidP="00215867">
            <w:pPr>
              <w:spacing w:after="0" w:line="20" w:lineRule="atLeast"/>
              <w:jc w:val="center"/>
              <w:rPr>
                <w:rFonts w:ascii="Times New Roman" w:hAnsi="Times New Roman"/>
                <w:sz w:val="20"/>
                <w:szCs w:val="20"/>
              </w:rPr>
            </w:pPr>
            <w:r w:rsidRPr="00857867">
              <w:rPr>
                <w:rFonts w:ascii="Times New Roman" w:eastAsia="Times New Roman" w:hAnsi="Times New Roman"/>
                <w:bCs/>
                <w:sz w:val="20"/>
                <w:szCs w:val="20"/>
              </w:rPr>
              <w:t>Juridique</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43B0C03D" w14:textId="77777777" w:rsidR="006B0FB4" w:rsidRPr="00857867" w:rsidRDefault="006B0FB4" w:rsidP="00215867">
            <w:pPr>
              <w:spacing w:after="0" w:line="20" w:lineRule="atLeast"/>
              <w:jc w:val="center"/>
              <w:rPr>
                <w:rFonts w:ascii="Times New Roman" w:hAnsi="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ECBC171" w14:textId="77777777" w:rsidR="006B0FB4" w:rsidRPr="00857867" w:rsidRDefault="006B0FB4" w:rsidP="00215867">
            <w:pPr>
              <w:spacing w:after="0" w:line="20" w:lineRule="atLeast"/>
              <w:jc w:val="center"/>
              <w:rPr>
                <w:rFonts w:ascii="Times New Roman" w:hAnsi="Times New Roman"/>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9C911BA" w14:textId="77777777" w:rsidR="006B0FB4" w:rsidRPr="00857867" w:rsidRDefault="006B0FB4" w:rsidP="00215867">
            <w:pPr>
              <w:spacing w:after="0" w:line="20" w:lineRule="atLeast"/>
              <w:rPr>
                <w:rFonts w:ascii="Times New Roman" w:hAnsi="Times New Roman"/>
                <w:sz w:val="20"/>
                <w:szCs w:val="20"/>
              </w:rPr>
            </w:pPr>
          </w:p>
        </w:tc>
      </w:tr>
      <w:tr w:rsidR="00D75D2E" w:rsidRPr="00420C1B" w14:paraId="5BD31D59" w14:textId="77777777" w:rsidTr="00215867">
        <w:trPr>
          <w:trHeight w:val="727"/>
          <w:jc w:val="center"/>
        </w:trPr>
        <w:tc>
          <w:tcPr>
            <w:tcW w:w="2547" w:type="dxa"/>
            <w:gridSpan w:val="2"/>
            <w:vMerge/>
            <w:tcBorders>
              <w:top w:val="single" w:sz="4" w:space="0" w:color="auto"/>
              <w:left w:val="single" w:sz="4" w:space="0" w:color="auto"/>
              <w:bottom w:val="single" w:sz="4" w:space="0" w:color="auto"/>
              <w:right w:val="single" w:sz="4" w:space="0" w:color="auto"/>
            </w:tcBorders>
            <w:vAlign w:val="center"/>
            <w:hideMark/>
          </w:tcPr>
          <w:p w14:paraId="5E4E5AED" w14:textId="77777777" w:rsidR="00ED17F3" w:rsidRPr="00857867" w:rsidRDefault="00ED17F3" w:rsidP="00215867">
            <w:pPr>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7F031FAB" w14:textId="77777777" w:rsidR="00ED17F3" w:rsidRPr="00857867" w:rsidRDefault="00ED17F3" w:rsidP="00215867">
            <w:pPr>
              <w:spacing w:after="0" w:line="20" w:lineRule="atLeast"/>
              <w:rPr>
                <w:rFonts w:ascii="Times New Roman" w:eastAsia="Times New Roman" w:hAnsi="Times New Roman"/>
                <w:b/>
                <w:sz w:val="20"/>
                <w:szCs w:val="20"/>
                <w:lang w:eastAsia="fr-FR"/>
              </w:rPr>
            </w:pPr>
            <w:r w:rsidRPr="00857867">
              <w:rPr>
                <w:rFonts w:ascii="Times New Roman" w:hAnsi="Times New Roman"/>
                <w:b/>
                <w:sz w:val="20"/>
                <w:szCs w:val="20"/>
              </w:rPr>
              <w:t>Analyse</w:t>
            </w:r>
          </w:p>
        </w:tc>
        <w:tc>
          <w:tcPr>
            <w:tcW w:w="6804" w:type="dxa"/>
            <w:gridSpan w:val="6"/>
            <w:tcBorders>
              <w:top w:val="single" w:sz="4" w:space="0" w:color="auto"/>
              <w:left w:val="single" w:sz="4" w:space="0" w:color="auto"/>
              <w:bottom w:val="single" w:sz="4" w:space="0" w:color="auto"/>
              <w:right w:val="single" w:sz="4" w:space="0" w:color="auto"/>
            </w:tcBorders>
            <w:hideMark/>
          </w:tcPr>
          <w:p w14:paraId="35E2E0B4" w14:textId="77777777" w:rsidR="00ED17F3" w:rsidRPr="00857867" w:rsidRDefault="00ED17F3" w:rsidP="00215867">
            <w:pPr>
              <w:spacing w:after="0" w:line="20" w:lineRule="atLeast"/>
              <w:jc w:val="both"/>
              <w:rPr>
                <w:rFonts w:ascii="Times New Roman" w:hAnsi="Times New Roman"/>
                <w:sz w:val="20"/>
                <w:szCs w:val="20"/>
              </w:rPr>
            </w:pPr>
            <w:r w:rsidRPr="00857867">
              <w:rPr>
                <w:rFonts w:ascii="Times New Roman" w:hAnsi="Times New Roman"/>
                <w:sz w:val="20"/>
                <w:szCs w:val="20"/>
              </w:rPr>
              <w:t>Les travaux d’élagage des arbres, de réhabilitation des poteaux et d’entretien des cabines généreront des risques d’accidents.</w:t>
            </w:r>
            <w:r w:rsidRPr="00420C1B">
              <w:rPr>
                <w:rFonts w:ascii="Times New Roman" w:hAnsi="Times New Roman"/>
                <w:sz w:val="20"/>
                <w:szCs w:val="20"/>
              </w:rPr>
              <w:t xml:space="preserve"> </w:t>
            </w:r>
            <w:r w:rsidRPr="00857867">
              <w:rPr>
                <w:rFonts w:ascii="Times New Roman" w:hAnsi="Times New Roman"/>
                <w:sz w:val="20"/>
                <w:szCs w:val="20"/>
              </w:rPr>
              <w:t>L’intensité de cet impact est moyenne, d’une étendue locale mais sera de durée temporaire et donc d’importance moyenne.</w:t>
            </w:r>
            <w:r w:rsidR="006B0FB4" w:rsidRPr="00857867">
              <w:rPr>
                <w:rFonts w:ascii="Times New Roman" w:hAnsi="Times New Roman"/>
                <w:sz w:val="20"/>
                <w:szCs w:val="20"/>
              </w:rPr>
              <w:t xml:space="preserve"> </w:t>
            </w:r>
          </w:p>
        </w:tc>
      </w:tr>
      <w:tr w:rsidR="00D75D2E" w:rsidRPr="00420C1B" w14:paraId="5BE8D88B" w14:textId="77777777" w:rsidTr="00215867">
        <w:trPr>
          <w:trHeight w:val="361"/>
          <w:jc w:val="center"/>
        </w:trPr>
        <w:tc>
          <w:tcPr>
            <w:tcW w:w="5098" w:type="dxa"/>
            <w:gridSpan w:val="4"/>
            <w:tcBorders>
              <w:top w:val="single" w:sz="4" w:space="0" w:color="auto"/>
              <w:left w:val="single" w:sz="4" w:space="0" w:color="auto"/>
              <w:bottom w:val="single" w:sz="4" w:space="0" w:color="auto"/>
              <w:right w:val="single" w:sz="4" w:space="0" w:color="auto"/>
            </w:tcBorders>
            <w:hideMark/>
          </w:tcPr>
          <w:p w14:paraId="4D19D5DE" w14:textId="77777777" w:rsidR="00ED17F3" w:rsidRPr="00857867" w:rsidRDefault="00ED17F3" w:rsidP="00215867">
            <w:pPr>
              <w:spacing w:after="0" w:line="20" w:lineRule="atLeast"/>
              <w:jc w:val="both"/>
              <w:rPr>
                <w:rFonts w:ascii="Times New Roman" w:eastAsia="Times New Roman" w:hAnsi="Times New Roman"/>
                <w:sz w:val="20"/>
                <w:szCs w:val="20"/>
                <w:lang w:eastAsia="fr-FR"/>
              </w:rPr>
            </w:pPr>
            <w:r w:rsidRPr="00857867">
              <w:rPr>
                <w:rFonts w:ascii="Times New Roman" w:hAnsi="Times New Roman"/>
                <w:b/>
                <w:sz w:val="20"/>
                <w:szCs w:val="20"/>
              </w:rPr>
              <w:t>Titre de la mesure d’atténuation</w:t>
            </w:r>
            <w:r w:rsidRPr="00857867">
              <w:rPr>
                <w:rFonts w:ascii="Times New Roman" w:hAnsi="Times New Roman"/>
                <w:sz w:val="20"/>
                <w:szCs w:val="20"/>
              </w:rPr>
              <w:t xml:space="preserve"> : </w:t>
            </w:r>
          </w:p>
        </w:tc>
        <w:tc>
          <w:tcPr>
            <w:tcW w:w="5387" w:type="dxa"/>
            <w:gridSpan w:val="5"/>
            <w:tcBorders>
              <w:top w:val="single" w:sz="4" w:space="0" w:color="auto"/>
              <w:left w:val="single" w:sz="4" w:space="0" w:color="auto"/>
              <w:bottom w:val="single" w:sz="4" w:space="0" w:color="auto"/>
              <w:right w:val="single" w:sz="4" w:space="0" w:color="auto"/>
            </w:tcBorders>
            <w:hideMark/>
          </w:tcPr>
          <w:p w14:paraId="732E8D1F" w14:textId="77777777" w:rsidR="00ED17F3" w:rsidRPr="00857867" w:rsidRDefault="00ED17F3" w:rsidP="00215867">
            <w:pPr>
              <w:autoSpaceDE w:val="0"/>
              <w:autoSpaceDN w:val="0"/>
              <w:adjustRightInd w:val="0"/>
              <w:spacing w:after="0" w:line="20" w:lineRule="atLeast"/>
              <w:jc w:val="both"/>
              <w:rPr>
                <w:rFonts w:ascii="Times New Roman" w:hAnsi="Times New Roman"/>
                <w:sz w:val="20"/>
                <w:szCs w:val="20"/>
              </w:rPr>
            </w:pPr>
            <w:r w:rsidRPr="00857867">
              <w:rPr>
                <w:rFonts w:ascii="Times New Roman" w:hAnsi="Times New Roman"/>
                <w:sz w:val="20"/>
                <w:szCs w:val="20"/>
              </w:rPr>
              <w:t xml:space="preserve">Réduire les risques d’accident    </w:t>
            </w:r>
          </w:p>
        </w:tc>
      </w:tr>
      <w:tr w:rsidR="00D75D2E" w:rsidRPr="00420C1B" w14:paraId="615AE03C" w14:textId="77777777" w:rsidTr="00215867">
        <w:trPr>
          <w:trHeight w:val="745"/>
          <w:jc w:val="center"/>
        </w:trPr>
        <w:tc>
          <w:tcPr>
            <w:tcW w:w="5098" w:type="dxa"/>
            <w:gridSpan w:val="4"/>
            <w:tcBorders>
              <w:top w:val="single" w:sz="4" w:space="0" w:color="auto"/>
              <w:left w:val="single" w:sz="4" w:space="0" w:color="auto"/>
              <w:bottom w:val="single" w:sz="4" w:space="0" w:color="auto"/>
              <w:right w:val="single" w:sz="4" w:space="0" w:color="auto"/>
            </w:tcBorders>
            <w:hideMark/>
          </w:tcPr>
          <w:p w14:paraId="0EC8371F" w14:textId="77777777" w:rsidR="00ED17F3" w:rsidRPr="00857867" w:rsidRDefault="00ED17F3" w:rsidP="00215867">
            <w:pPr>
              <w:spacing w:after="0" w:line="20" w:lineRule="atLeast"/>
              <w:rPr>
                <w:rFonts w:ascii="Times New Roman" w:hAnsi="Times New Roman"/>
                <w:sz w:val="20"/>
                <w:szCs w:val="20"/>
              </w:rPr>
            </w:pPr>
            <w:r w:rsidRPr="00857867">
              <w:rPr>
                <w:rFonts w:ascii="Times New Roman" w:hAnsi="Times New Roman"/>
                <w:b/>
                <w:sz w:val="20"/>
                <w:szCs w:val="20"/>
              </w:rPr>
              <w:t>Objectif de la mesure d’atténuation</w:t>
            </w:r>
            <w:r w:rsidRPr="00857867">
              <w:rPr>
                <w:rFonts w:ascii="Times New Roman" w:hAnsi="Times New Roman"/>
                <w:sz w:val="20"/>
                <w:szCs w:val="20"/>
              </w:rPr>
              <w:t xml:space="preserve"> : </w:t>
            </w:r>
          </w:p>
          <w:p w14:paraId="31F765F2" w14:textId="77777777" w:rsidR="00ED17F3" w:rsidRPr="00857867" w:rsidRDefault="00ED17F3" w:rsidP="00215867">
            <w:pPr>
              <w:spacing w:after="0" w:line="20" w:lineRule="atLeast"/>
              <w:rPr>
                <w:rFonts w:ascii="Times New Roman" w:hAnsi="Times New Roman"/>
                <w:sz w:val="20"/>
                <w:szCs w:val="20"/>
                <w:lang w:eastAsia="fr-FR"/>
              </w:rPr>
            </w:pPr>
            <w:r w:rsidRPr="00857867">
              <w:rPr>
                <w:rFonts w:ascii="Times New Roman" w:hAnsi="Times New Roman"/>
                <w:sz w:val="20"/>
                <w:szCs w:val="20"/>
                <w:lang w:eastAsia="fr-FR"/>
              </w:rPr>
              <w:t>Prévenir les accidents liés à l’entretien des lignes</w:t>
            </w:r>
          </w:p>
        </w:tc>
        <w:tc>
          <w:tcPr>
            <w:tcW w:w="5387" w:type="dxa"/>
            <w:gridSpan w:val="5"/>
            <w:tcBorders>
              <w:top w:val="single" w:sz="4" w:space="0" w:color="auto"/>
              <w:left w:val="single" w:sz="4" w:space="0" w:color="auto"/>
              <w:bottom w:val="single" w:sz="4" w:space="0" w:color="auto"/>
              <w:right w:val="single" w:sz="4" w:space="0" w:color="auto"/>
            </w:tcBorders>
            <w:hideMark/>
          </w:tcPr>
          <w:p w14:paraId="7B0ECBE7" w14:textId="77777777" w:rsidR="00ED17F3" w:rsidRPr="00857867" w:rsidRDefault="00ED17F3" w:rsidP="00215867">
            <w:pPr>
              <w:autoSpaceDE w:val="0"/>
              <w:autoSpaceDN w:val="0"/>
              <w:adjustRightInd w:val="0"/>
              <w:spacing w:after="0" w:line="20" w:lineRule="atLeast"/>
              <w:rPr>
                <w:rFonts w:ascii="Times New Roman" w:eastAsia="Times New Roman" w:hAnsi="Times New Roman"/>
                <w:sz w:val="20"/>
                <w:szCs w:val="20"/>
                <w:lang w:eastAsia="fr-FR"/>
              </w:rPr>
            </w:pPr>
            <w:r w:rsidRPr="00857867">
              <w:rPr>
                <w:rFonts w:ascii="Times New Roman" w:hAnsi="Times New Roman"/>
                <w:b/>
                <w:sz w:val="20"/>
                <w:szCs w:val="20"/>
                <w:u w:val="single"/>
              </w:rPr>
              <w:t>Description</w:t>
            </w:r>
            <w:r w:rsidRPr="00857867">
              <w:rPr>
                <w:rFonts w:ascii="Times New Roman" w:hAnsi="Times New Roman"/>
                <w:sz w:val="20"/>
                <w:szCs w:val="20"/>
              </w:rPr>
              <w:t xml:space="preserve"> : </w:t>
            </w:r>
          </w:p>
          <w:p w14:paraId="4D74DAAB" w14:textId="1B477934" w:rsidR="005B1D09" w:rsidRDefault="005B1D09" w:rsidP="00215867">
            <w:pPr>
              <w:numPr>
                <w:ilvl w:val="0"/>
                <w:numId w:val="32"/>
              </w:numPr>
              <w:autoSpaceDE w:val="0"/>
              <w:autoSpaceDN w:val="0"/>
              <w:adjustRightInd w:val="0"/>
              <w:spacing w:after="0" w:line="20" w:lineRule="atLeast"/>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Elaborer un plan de prévention des risques liés aux travaux en hauteur ;</w:t>
            </w:r>
          </w:p>
          <w:p w14:paraId="01B158B4" w14:textId="0A3907DC" w:rsidR="00ED17F3" w:rsidRPr="00857867" w:rsidRDefault="005B1D09" w:rsidP="00215867">
            <w:pPr>
              <w:numPr>
                <w:ilvl w:val="0"/>
                <w:numId w:val="32"/>
              </w:numPr>
              <w:autoSpaceDE w:val="0"/>
              <w:autoSpaceDN w:val="0"/>
              <w:adjustRightInd w:val="0"/>
              <w:spacing w:after="0" w:line="20" w:lineRule="atLeast"/>
              <w:jc w:val="both"/>
              <w:rPr>
                <w:rFonts w:ascii="Times New Roman" w:eastAsia="Times New Roman" w:hAnsi="Times New Roman"/>
                <w:sz w:val="20"/>
                <w:szCs w:val="20"/>
                <w:lang w:eastAsia="fr-FR"/>
              </w:rPr>
            </w:pPr>
            <w:r w:rsidRPr="00857867">
              <w:rPr>
                <w:rFonts w:ascii="Times New Roman" w:eastAsia="Times New Roman" w:hAnsi="Times New Roman"/>
                <w:sz w:val="20"/>
                <w:szCs w:val="20"/>
                <w:lang w:eastAsia="fr-FR"/>
              </w:rPr>
              <w:t xml:space="preserve">Réglementer </w:t>
            </w:r>
            <w:r w:rsidR="00ED17F3" w:rsidRPr="00857867">
              <w:rPr>
                <w:rFonts w:ascii="Times New Roman" w:eastAsia="Times New Roman" w:hAnsi="Times New Roman"/>
                <w:sz w:val="20"/>
                <w:szCs w:val="20"/>
                <w:lang w:eastAsia="fr-FR"/>
              </w:rPr>
              <w:t xml:space="preserve">l’accès aux sites concernés par l’entretien ; </w:t>
            </w:r>
          </w:p>
          <w:p w14:paraId="0BA4A791" w14:textId="7E1B078A" w:rsidR="00ED17F3" w:rsidRPr="00857867" w:rsidRDefault="005B1D09" w:rsidP="00215867">
            <w:pPr>
              <w:numPr>
                <w:ilvl w:val="0"/>
                <w:numId w:val="32"/>
              </w:numPr>
              <w:autoSpaceDE w:val="0"/>
              <w:autoSpaceDN w:val="0"/>
              <w:adjustRightInd w:val="0"/>
              <w:spacing w:after="0" w:line="20" w:lineRule="atLeast"/>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A</w:t>
            </w:r>
            <w:r w:rsidR="00ED17F3" w:rsidRPr="00857867">
              <w:rPr>
                <w:rFonts w:ascii="Times New Roman" w:eastAsia="Times New Roman" w:hAnsi="Times New Roman"/>
                <w:sz w:val="20"/>
                <w:szCs w:val="20"/>
                <w:lang w:eastAsia="fr-FR"/>
              </w:rPr>
              <w:t>ssurer une bonne signalisation des travaux ;</w:t>
            </w:r>
          </w:p>
          <w:p w14:paraId="0C0473E6" w14:textId="2859554C" w:rsidR="00ED17F3" w:rsidRDefault="005B1D09" w:rsidP="00215867">
            <w:pPr>
              <w:numPr>
                <w:ilvl w:val="0"/>
                <w:numId w:val="32"/>
              </w:numPr>
              <w:autoSpaceDE w:val="0"/>
              <w:autoSpaceDN w:val="0"/>
              <w:adjustRightInd w:val="0"/>
              <w:spacing w:after="0" w:line="20" w:lineRule="atLeast"/>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D</w:t>
            </w:r>
            <w:r w:rsidRPr="00857867">
              <w:rPr>
                <w:rFonts w:ascii="Times New Roman" w:eastAsia="Times New Roman" w:hAnsi="Times New Roman"/>
                <w:sz w:val="20"/>
                <w:szCs w:val="20"/>
                <w:lang w:eastAsia="fr-FR"/>
              </w:rPr>
              <w:t xml:space="preserve">oter </w:t>
            </w:r>
            <w:r w:rsidR="00ED17F3" w:rsidRPr="00857867">
              <w:rPr>
                <w:rFonts w:ascii="Times New Roman" w:eastAsia="Times New Roman" w:hAnsi="Times New Roman"/>
                <w:sz w:val="20"/>
                <w:szCs w:val="20"/>
                <w:lang w:eastAsia="fr-FR"/>
              </w:rPr>
              <w:t>le personnel du chantier en équipement de protection individuel</w:t>
            </w:r>
            <w:r w:rsidR="00BE32B4" w:rsidRPr="00857867">
              <w:rPr>
                <w:rFonts w:ascii="Times New Roman" w:eastAsia="Times New Roman" w:hAnsi="Times New Roman"/>
                <w:sz w:val="20"/>
                <w:szCs w:val="20"/>
                <w:lang w:eastAsia="fr-FR"/>
              </w:rPr>
              <w:t>le</w:t>
            </w:r>
            <w:r w:rsidR="00ED17F3" w:rsidRPr="00857867">
              <w:rPr>
                <w:rFonts w:ascii="Times New Roman" w:eastAsia="Times New Roman" w:hAnsi="Times New Roman"/>
                <w:sz w:val="20"/>
                <w:szCs w:val="20"/>
                <w:lang w:eastAsia="fr-FR"/>
              </w:rPr>
              <w:t> adapté</w:t>
            </w:r>
            <w:r w:rsidR="00BE32B4" w:rsidRPr="00857867">
              <w:rPr>
                <w:rFonts w:ascii="Times New Roman" w:eastAsia="Times New Roman" w:hAnsi="Times New Roman"/>
                <w:sz w:val="20"/>
                <w:szCs w:val="20"/>
                <w:lang w:eastAsia="fr-FR"/>
              </w:rPr>
              <w:t>e</w:t>
            </w:r>
            <w:r w:rsidR="00ED17F3" w:rsidRPr="00857867">
              <w:rPr>
                <w:rFonts w:ascii="Times New Roman" w:eastAsia="Times New Roman" w:hAnsi="Times New Roman"/>
                <w:sz w:val="20"/>
                <w:szCs w:val="20"/>
                <w:lang w:eastAsia="fr-FR"/>
              </w:rPr>
              <w:t xml:space="preserve"> (EPI).</w:t>
            </w:r>
            <w:r w:rsidR="00B04B65">
              <w:rPr>
                <w:rFonts w:ascii="Times New Roman" w:eastAsia="Times New Roman" w:hAnsi="Times New Roman"/>
                <w:sz w:val="20"/>
                <w:szCs w:val="20"/>
                <w:lang w:eastAsia="fr-FR"/>
              </w:rPr>
              <w:t> ;</w:t>
            </w:r>
          </w:p>
          <w:p w14:paraId="46BD25AB" w14:textId="35D0B4A2" w:rsidR="00B04B65" w:rsidRPr="005B1D09" w:rsidRDefault="00B04B65" w:rsidP="00215867">
            <w:pPr>
              <w:numPr>
                <w:ilvl w:val="0"/>
                <w:numId w:val="32"/>
              </w:numPr>
              <w:autoSpaceDE w:val="0"/>
              <w:autoSpaceDN w:val="0"/>
              <w:adjustRightInd w:val="0"/>
              <w:spacing w:after="0" w:line="20" w:lineRule="atLeast"/>
              <w:jc w:val="both"/>
              <w:rPr>
                <w:rFonts w:ascii="Times New Roman" w:eastAsia="Times New Roman" w:hAnsi="Times New Roman"/>
                <w:sz w:val="20"/>
                <w:szCs w:val="20"/>
                <w:lang w:eastAsia="fr-FR"/>
              </w:rPr>
            </w:pPr>
            <w:r w:rsidRPr="00AE31F1">
              <w:rPr>
                <w:rFonts w:ascii="Times New Roman" w:eastAsia="Times New Roman" w:hAnsi="Times New Roman"/>
                <w:sz w:val="20"/>
                <w:szCs w:val="20"/>
                <w:lang w:eastAsia="fr-FR"/>
              </w:rPr>
              <w:t>Former de</w:t>
            </w:r>
            <w:r w:rsidRPr="00215867">
              <w:rPr>
                <w:rFonts w:ascii="Times New Roman" w:eastAsia="Times New Roman" w:hAnsi="Times New Roman"/>
                <w:sz w:val="20"/>
                <w:szCs w:val="20"/>
                <w:lang w:eastAsia="fr-FR"/>
              </w:rPr>
              <w:t xml:space="preserve"> façon continue </w:t>
            </w:r>
            <w:r w:rsidR="005B1D09">
              <w:rPr>
                <w:rFonts w:ascii="Times New Roman" w:eastAsia="Times New Roman" w:hAnsi="Times New Roman"/>
                <w:sz w:val="20"/>
                <w:szCs w:val="20"/>
                <w:lang w:eastAsia="fr-FR"/>
              </w:rPr>
              <w:t xml:space="preserve">le personnel du chantier </w:t>
            </w:r>
            <w:r w:rsidRPr="00215867">
              <w:rPr>
                <w:rFonts w:ascii="Times New Roman" w:eastAsia="Times New Roman" w:hAnsi="Times New Roman"/>
                <w:sz w:val="20"/>
                <w:szCs w:val="20"/>
                <w:lang w:eastAsia="fr-FR"/>
              </w:rPr>
              <w:t xml:space="preserve">en  </w:t>
            </w:r>
            <w:r w:rsidR="005B1D09" w:rsidRPr="00DC3729">
              <w:rPr>
                <w:rFonts w:ascii="Times New Roman" w:eastAsia="Times New Roman" w:hAnsi="Times New Roman"/>
                <w:sz w:val="20"/>
                <w:szCs w:val="20"/>
                <w:lang w:eastAsia="fr-FR"/>
              </w:rPr>
              <w:t>travaux en hauteur</w:t>
            </w:r>
            <w:r w:rsidR="005B1D09" w:rsidRPr="005B1D09">
              <w:rPr>
                <w:rFonts w:ascii="Times New Roman" w:eastAsia="Times New Roman" w:hAnsi="Times New Roman"/>
                <w:sz w:val="20"/>
                <w:szCs w:val="20"/>
                <w:lang w:eastAsia="fr-FR"/>
              </w:rPr>
              <w:t xml:space="preserve"> </w:t>
            </w:r>
            <w:r w:rsidR="005B1D09" w:rsidRPr="006F0622">
              <w:rPr>
                <w:rFonts w:ascii="Times New Roman" w:eastAsia="Times New Roman" w:hAnsi="Times New Roman"/>
                <w:sz w:val="20"/>
                <w:szCs w:val="20"/>
                <w:lang w:eastAsia="fr-FR"/>
              </w:rPr>
              <w:t>/</w:t>
            </w:r>
            <w:r w:rsidRPr="00215867">
              <w:rPr>
                <w:rFonts w:ascii="Times New Roman" w:eastAsia="Times New Roman" w:hAnsi="Times New Roman"/>
                <w:sz w:val="20"/>
                <w:szCs w:val="20"/>
                <w:lang w:eastAsia="fr-FR"/>
              </w:rPr>
              <w:t xml:space="preserve">HSE. </w:t>
            </w:r>
          </w:p>
        </w:tc>
      </w:tr>
      <w:tr w:rsidR="00D75D2E" w:rsidRPr="00420C1B" w14:paraId="23E143D4" w14:textId="77777777" w:rsidTr="00215867">
        <w:trPr>
          <w:trHeight w:val="182"/>
          <w:jc w:val="center"/>
        </w:trPr>
        <w:tc>
          <w:tcPr>
            <w:tcW w:w="5098" w:type="dxa"/>
            <w:gridSpan w:val="4"/>
            <w:tcBorders>
              <w:top w:val="single" w:sz="4" w:space="0" w:color="auto"/>
              <w:left w:val="single" w:sz="4" w:space="0" w:color="auto"/>
              <w:bottom w:val="single" w:sz="4" w:space="0" w:color="auto"/>
              <w:right w:val="single" w:sz="4" w:space="0" w:color="auto"/>
            </w:tcBorders>
          </w:tcPr>
          <w:p w14:paraId="76594785" w14:textId="77777777" w:rsidR="00ED17F3" w:rsidRPr="00857867" w:rsidRDefault="00ED17F3" w:rsidP="00215867">
            <w:pPr>
              <w:spacing w:after="0" w:line="20" w:lineRule="atLeast"/>
              <w:jc w:val="right"/>
              <w:rPr>
                <w:rFonts w:ascii="Times New Roman" w:hAnsi="Times New Roman"/>
                <w:b/>
                <w:sz w:val="20"/>
                <w:szCs w:val="20"/>
              </w:rPr>
            </w:pPr>
            <w:r w:rsidRPr="00857867">
              <w:rPr>
                <w:rFonts w:ascii="Times New Roman" w:hAnsi="Times New Roman"/>
                <w:b/>
                <w:sz w:val="20"/>
                <w:szCs w:val="20"/>
              </w:rPr>
              <w:t>Impact résiduel</w:t>
            </w:r>
          </w:p>
        </w:tc>
        <w:tc>
          <w:tcPr>
            <w:tcW w:w="5387" w:type="dxa"/>
            <w:gridSpan w:val="5"/>
            <w:tcBorders>
              <w:top w:val="single" w:sz="4" w:space="0" w:color="auto"/>
              <w:left w:val="single" w:sz="4" w:space="0" w:color="auto"/>
              <w:bottom w:val="single" w:sz="4" w:space="0" w:color="auto"/>
              <w:right w:val="single" w:sz="4" w:space="0" w:color="auto"/>
            </w:tcBorders>
          </w:tcPr>
          <w:p w14:paraId="5A199E78" w14:textId="77777777" w:rsidR="00ED17F3" w:rsidRPr="00857867" w:rsidRDefault="00ED17F3" w:rsidP="00215867">
            <w:pPr>
              <w:autoSpaceDE w:val="0"/>
              <w:autoSpaceDN w:val="0"/>
              <w:adjustRightInd w:val="0"/>
              <w:spacing w:after="0" w:line="20" w:lineRule="atLeast"/>
              <w:jc w:val="both"/>
              <w:rPr>
                <w:rFonts w:ascii="Times New Roman" w:hAnsi="Times New Roman"/>
                <w:sz w:val="20"/>
                <w:szCs w:val="20"/>
              </w:rPr>
            </w:pPr>
            <w:r w:rsidRPr="00857867">
              <w:rPr>
                <w:rFonts w:ascii="Times New Roman" w:hAnsi="Times New Roman"/>
                <w:sz w:val="20"/>
                <w:szCs w:val="20"/>
              </w:rPr>
              <w:t xml:space="preserve">Moyen </w:t>
            </w:r>
          </w:p>
        </w:tc>
      </w:tr>
      <w:tr w:rsidR="00D75D2E" w:rsidRPr="00420C1B" w14:paraId="3F3ECF02" w14:textId="77777777" w:rsidTr="00215867">
        <w:trPr>
          <w:trHeight w:val="899"/>
          <w:jc w:val="center"/>
        </w:trPr>
        <w:tc>
          <w:tcPr>
            <w:tcW w:w="3681" w:type="dxa"/>
            <w:gridSpan w:val="3"/>
            <w:tcBorders>
              <w:top w:val="single" w:sz="4" w:space="0" w:color="auto"/>
              <w:left w:val="single" w:sz="4" w:space="0" w:color="auto"/>
              <w:bottom w:val="single" w:sz="4" w:space="0" w:color="auto"/>
              <w:right w:val="single" w:sz="4" w:space="0" w:color="auto"/>
            </w:tcBorders>
          </w:tcPr>
          <w:p w14:paraId="13F3D484" w14:textId="77777777" w:rsidR="006B0FB4" w:rsidRPr="00857867" w:rsidRDefault="006B0FB4" w:rsidP="00215867">
            <w:pPr>
              <w:autoSpaceDE w:val="0"/>
              <w:autoSpaceDN w:val="0"/>
              <w:adjustRightInd w:val="0"/>
              <w:spacing w:after="0" w:line="20" w:lineRule="atLeast"/>
              <w:rPr>
                <w:rFonts w:ascii="Times New Roman" w:hAnsi="Times New Roman"/>
                <w:b/>
                <w:sz w:val="20"/>
                <w:szCs w:val="20"/>
                <w:u w:val="single"/>
              </w:rPr>
            </w:pPr>
            <w:r w:rsidRPr="00857867">
              <w:rPr>
                <w:rFonts w:ascii="Times New Roman" w:hAnsi="Times New Roman"/>
                <w:b/>
                <w:sz w:val="20"/>
                <w:szCs w:val="20"/>
                <w:u w:val="single"/>
              </w:rPr>
              <w:t>Acteurs de surveillance</w:t>
            </w:r>
          </w:p>
          <w:p w14:paraId="0C2C7DC9" w14:textId="77777777" w:rsidR="00E96966" w:rsidRPr="00857867" w:rsidRDefault="006B0FB4" w:rsidP="00215867">
            <w:pPr>
              <w:autoSpaceDE w:val="0"/>
              <w:autoSpaceDN w:val="0"/>
              <w:adjustRightInd w:val="0"/>
              <w:spacing w:after="0" w:line="20" w:lineRule="atLeast"/>
              <w:rPr>
                <w:rFonts w:ascii="Times New Roman" w:hAnsi="Times New Roman"/>
                <w:sz w:val="20"/>
                <w:szCs w:val="20"/>
              </w:rPr>
            </w:pPr>
            <w:r w:rsidRPr="00857867">
              <w:rPr>
                <w:rFonts w:ascii="Times New Roman" w:hAnsi="Times New Roman"/>
                <w:sz w:val="20"/>
                <w:szCs w:val="20"/>
              </w:rPr>
              <w:t>SNEL</w:t>
            </w:r>
          </w:p>
          <w:p w14:paraId="21E2337B" w14:textId="77777777" w:rsidR="006B0FB4" w:rsidRPr="00857867" w:rsidRDefault="00E96966" w:rsidP="00215867">
            <w:pPr>
              <w:autoSpaceDE w:val="0"/>
              <w:autoSpaceDN w:val="0"/>
              <w:adjustRightInd w:val="0"/>
              <w:spacing w:after="0" w:line="20" w:lineRule="atLeast"/>
              <w:rPr>
                <w:rFonts w:ascii="Times New Roman" w:hAnsi="Times New Roman"/>
                <w:sz w:val="20"/>
                <w:szCs w:val="20"/>
              </w:rPr>
            </w:pPr>
            <w:r w:rsidRPr="00857867">
              <w:rPr>
                <w:rFonts w:ascii="Times New Roman" w:hAnsi="Times New Roman"/>
                <w:sz w:val="20"/>
                <w:szCs w:val="20"/>
              </w:rPr>
              <w:t>BUE</w:t>
            </w:r>
            <w:r w:rsidR="006B0FB4" w:rsidRPr="00857867">
              <w:rPr>
                <w:rFonts w:ascii="Times New Roman" w:hAnsi="Times New Roman"/>
                <w:sz w:val="20"/>
                <w:szCs w:val="20"/>
              </w:rPr>
              <w:t xml:space="preserve"> </w:t>
            </w:r>
          </w:p>
          <w:p w14:paraId="7DDDB6A5" w14:textId="77777777" w:rsidR="006B0FB4" w:rsidRPr="00857867" w:rsidRDefault="006B0FB4" w:rsidP="00215867">
            <w:pPr>
              <w:autoSpaceDE w:val="0"/>
              <w:autoSpaceDN w:val="0"/>
              <w:adjustRightInd w:val="0"/>
              <w:spacing w:after="0" w:line="20" w:lineRule="atLeast"/>
              <w:rPr>
                <w:rFonts w:ascii="Times New Roman" w:hAnsi="Times New Roman"/>
                <w:sz w:val="20"/>
                <w:szCs w:val="20"/>
              </w:rPr>
            </w:pPr>
          </w:p>
        </w:tc>
        <w:tc>
          <w:tcPr>
            <w:tcW w:w="2693" w:type="dxa"/>
            <w:gridSpan w:val="2"/>
            <w:tcBorders>
              <w:top w:val="single" w:sz="4" w:space="0" w:color="auto"/>
              <w:left w:val="single" w:sz="4" w:space="0" w:color="auto"/>
              <w:bottom w:val="single" w:sz="4" w:space="0" w:color="auto"/>
              <w:right w:val="single" w:sz="4" w:space="0" w:color="auto"/>
            </w:tcBorders>
          </w:tcPr>
          <w:p w14:paraId="3DB4C44A" w14:textId="77777777" w:rsidR="006B0FB4" w:rsidRPr="00857867" w:rsidRDefault="006B0FB4" w:rsidP="00215867">
            <w:pPr>
              <w:autoSpaceDE w:val="0"/>
              <w:autoSpaceDN w:val="0"/>
              <w:adjustRightInd w:val="0"/>
              <w:spacing w:after="0" w:line="20" w:lineRule="atLeast"/>
              <w:rPr>
                <w:rFonts w:ascii="Times New Roman" w:hAnsi="Times New Roman"/>
                <w:b/>
                <w:sz w:val="20"/>
                <w:szCs w:val="20"/>
                <w:u w:val="single"/>
              </w:rPr>
            </w:pPr>
            <w:r w:rsidRPr="00857867">
              <w:rPr>
                <w:rFonts w:ascii="Times New Roman" w:hAnsi="Times New Roman"/>
                <w:b/>
                <w:sz w:val="20"/>
                <w:szCs w:val="20"/>
                <w:u w:val="single"/>
              </w:rPr>
              <w:t>Acteurs de suivi</w:t>
            </w:r>
          </w:p>
          <w:p w14:paraId="5ADB1788" w14:textId="77777777" w:rsidR="006B0FB4" w:rsidRPr="00857867" w:rsidRDefault="006B0FB4" w:rsidP="00215867">
            <w:pPr>
              <w:numPr>
                <w:ilvl w:val="0"/>
                <w:numId w:val="32"/>
              </w:numPr>
              <w:autoSpaceDE w:val="0"/>
              <w:autoSpaceDN w:val="0"/>
              <w:adjustRightInd w:val="0"/>
              <w:spacing w:after="0" w:line="20" w:lineRule="atLeast"/>
              <w:ind w:left="161" w:hanging="161"/>
              <w:rPr>
                <w:rFonts w:ascii="Times New Roman" w:hAnsi="Times New Roman"/>
                <w:sz w:val="20"/>
                <w:szCs w:val="20"/>
              </w:rPr>
            </w:pPr>
            <w:r w:rsidRPr="00857867">
              <w:rPr>
                <w:rFonts w:ascii="Times New Roman" w:hAnsi="Times New Roman"/>
                <w:sz w:val="20"/>
                <w:szCs w:val="20"/>
              </w:rPr>
              <w:t>CPE</w:t>
            </w:r>
          </w:p>
          <w:p w14:paraId="2222B5A4" w14:textId="77777777" w:rsidR="00E96966" w:rsidRPr="00857867" w:rsidRDefault="00E96966" w:rsidP="00215867">
            <w:pPr>
              <w:numPr>
                <w:ilvl w:val="0"/>
                <w:numId w:val="32"/>
              </w:numPr>
              <w:autoSpaceDE w:val="0"/>
              <w:autoSpaceDN w:val="0"/>
              <w:adjustRightInd w:val="0"/>
              <w:spacing w:after="0" w:line="20" w:lineRule="atLeast"/>
              <w:ind w:left="161" w:hanging="161"/>
              <w:rPr>
                <w:rFonts w:ascii="Times New Roman" w:hAnsi="Times New Roman"/>
                <w:sz w:val="20"/>
                <w:szCs w:val="20"/>
              </w:rPr>
            </w:pPr>
            <w:r w:rsidRPr="00857867">
              <w:rPr>
                <w:rFonts w:ascii="Times New Roman" w:hAnsi="Times New Roman"/>
                <w:sz w:val="20"/>
                <w:szCs w:val="20"/>
              </w:rPr>
              <w:t>ACE</w:t>
            </w:r>
          </w:p>
          <w:p w14:paraId="289F2A5F" w14:textId="77777777" w:rsidR="006B0FB4" w:rsidRPr="00857867" w:rsidRDefault="006B0FB4" w:rsidP="00215867">
            <w:pPr>
              <w:numPr>
                <w:ilvl w:val="0"/>
                <w:numId w:val="32"/>
              </w:numPr>
              <w:autoSpaceDE w:val="0"/>
              <w:autoSpaceDN w:val="0"/>
              <w:adjustRightInd w:val="0"/>
              <w:spacing w:after="0" w:line="20" w:lineRule="atLeast"/>
              <w:ind w:left="161" w:hanging="161"/>
              <w:rPr>
                <w:rFonts w:ascii="Times New Roman" w:hAnsi="Times New Roman"/>
                <w:sz w:val="20"/>
                <w:szCs w:val="20"/>
              </w:rPr>
            </w:pPr>
            <w:r w:rsidRPr="00857867">
              <w:rPr>
                <w:rFonts w:ascii="Times New Roman" w:hAnsi="Times New Roman"/>
                <w:sz w:val="20"/>
                <w:szCs w:val="20"/>
              </w:rPr>
              <w:t xml:space="preserve">Communes concernées </w:t>
            </w:r>
          </w:p>
        </w:tc>
        <w:tc>
          <w:tcPr>
            <w:tcW w:w="4111" w:type="dxa"/>
            <w:gridSpan w:val="4"/>
            <w:tcBorders>
              <w:top w:val="single" w:sz="4" w:space="0" w:color="auto"/>
              <w:left w:val="single" w:sz="4" w:space="0" w:color="auto"/>
              <w:bottom w:val="single" w:sz="4" w:space="0" w:color="auto"/>
              <w:right w:val="single" w:sz="4" w:space="0" w:color="auto"/>
            </w:tcBorders>
          </w:tcPr>
          <w:p w14:paraId="7D295786" w14:textId="77777777" w:rsidR="006B0FB4" w:rsidRPr="00857867" w:rsidRDefault="006B0FB4" w:rsidP="00215867">
            <w:pPr>
              <w:autoSpaceDE w:val="0"/>
              <w:autoSpaceDN w:val="0"/>
              <w:adjustRightInd w:val="0"/>
              <w:spacing w:after="0" w:line="20" w:lineRule="atLeast"/>
              <w:rPr>
                <w:rFonts w:ascii="Times New Roman" w:hAnsi="Times New Roman"/>
                <w:b/>
                <w:sz w:val="20"/>
                <w:szCs w:val="20"/>
                <w:u w:val="single"/>
              </w:rPr>
            </w:pPr>
            <w:r w:rsidRPr="00857867">
              <w:rPr>
                <w:rFonts w:ascii="Times New Roman" w:hAnsi="Times New Roman"/>
                <w:b/>
                <w:sz w:val="20"/>
                <w:szCs w:val="20"/>
                <w:u w:val="single"/>
              </w:rPr>
              <w:t>Indicateurs de suivi</w:t>
            </w:r>
          </w:p>
          <w:p w14:paraId="360FA7CA" w14:textId="77777777" w:rsidR="006B0FB4" w:rsidRPr="00857867" w:rsidRDefault="00FF4942" w:rsidP="00215867">
            <w:pPr>
              <w:numPr>
                <w:ilvl w:val="0"/>
                <w:numId w:val="32"/>
              </w:numPr>
              <w:autoSpaceDE w:val="0"/>
              <w:autoSpaceDN w:val="0"/>
              <w:adjustRightInd w:val="0"/>
              <w:spacing w:after="0" w:line="20" w:lineRule="atLeast"/>
              <w:ind w:left="85" w:hanging="85"/>
              <w:jc w:val="both"/>
              <w:rPr>
                <w:rFonts w:ascii="Times New Roman" w:hAnsi="Times New Roman"/>
                <w:sz w:val="20"/>
                <w:szCs w:val="20"/>
              </w:rPr>
            </w:pPr>
            <w:r w:rsidRPr="00857867">
              <w:rPr>
                <w:rFonts w:ascii="Times New Roman" w:hAnsi="Times New Roman"/>
                <w:sz w:val="20"/>
                <w:szCs w:val="20"/>
              </w:rPr>
              <w:t>100</w:t>
            </w:r>
            <w:r w:rsidR="006B0FB4" w:rsidRPr="00857867">
              <w:rPr>
                <w:rFonts w:ascii="Times New Roman" w:hAnsi="Times New Roman"/>
                <w:sz w:val="20"/>
                <w:szCs w:val="20"/>
              </w:rPr>
              <w:t xml:space="preserve">% </w:t>
            </w:r>
            <w:r w:rsidRPr="00857867">
              <w:rPr>
                <w:rFonts w:ascii="Times New Roman" w:hAnsi="Times New Roman"/>
                <w:sz w:val="20"/>
                <w:szCs w:val="20"/>
              </w:rPr>
              <w:t xml:space="preserve">des cas </w:t>
            </w:r>
            <w:r w:rsidR="006B0FB4" w:rsidRPr="00857867">
              <w:rPr>
                <w:rFonts w:ascii="Times New Roman" w:hAnsi="Times New Roman"/>
                <w:sz w:val="20"/>
                <w:szCs w:val="20"/>
              </w:rPr>
              <w:t>d’accident enregistré </w:t>
            </w:r>
            <w:r w:rsidRPr="00857867">
              <w:rPr>
                <w:rFonts w:ascii="Times New Roman" w:hAnsi="Times New Roman"/>
                <w:sz w:val="20"/>
                <w:szCs w:val="20"/>
              </w:rPr>
              <w:t>sont prise en charge</w:t>
            </w:r>
          </w:p>
          <w:p w14:paraId="11A4D0D2" w14:textId="77777777" w:rsidR="00FF4942" w:rsidRPr="00857867" w:rsidRDefault="00FF4942" w:rsidP="00215867">
            <w:pPr>
              <w:pStyle w:val="Paragraphedeliste"/>
              <w:numPr>
                <w:ilvl w:val="0"/>
                <w:numId w:val="32"/>
              </w:numPr>
              <w:spacing w:after="0" w:line="20" w:lineRule="atLeast"/>
              <w:ind w:left="85" w:hanging="85"/>
              <w:contextualSpacing w:val="0"/>
              <w:jc w:val="both"/>
              <w:rPr>
                <w:rFonts w:ascii="Times New Roman" w:hAnsi="Times New Roman"/>
                <w:sz w:val="20"/>
                <w:szCs w:val="20"/>
              </w:rPr>
            </w:pPr>
            <w:r w:rsidRPr="00857867">
              <w:rPr>
                <w:rFonts w:ascii="Times New Roman" w:hAnsi="Times New Roman"/>
                <w:sz w:val="20"/>
                <w:szCs w:val="20"/>
              </w:rPr>
              <w:t xml:space="preserve">100% des séances prévues sont réalisées </w:t>
            </w:r>
          </w:p>
          <w:p w14:paraId="7AEBB2FF" w14:textId="77777777" w:rsidR="006B0FB4" w:rsidRPr="00857867" w:rsidRDefault="006B0FB4" w:rsidP="00215867">
            <w:pPr>
              <w:numPr>
                <w:ilvl w:val="0"/>
                <w:numId w:val="32"/>
              </w:numPr>
              <w:autoSpaceDE w:val="0"/>
              <w:autoSpaceDN w:val="0"/>
              <w:adjustRightInd w:val="0"/>
              <w:spacing w:after="0" w:line="20" w:lineRule="atLeast"/>
              <w:ind w:left="85" w:hanging="85"/>
              <w:jc w:val="both"/>
              <w:rPr>
                <w:rFonts w:ascii="Times New Roman" w:hAnsi="Times New Roman"/>
                <w:sz w:val="20"/>
                <w:szCs w:val="20"/>
              </w:rPr>
            </w:pPr>
            <w:r w:rsidRPr="00857867">
              <w:rPr>
                <w:rFonts w:ascii="Times New Roman" w:hAnsi="Times New Roman"/>
                <w:sz w:val="20"/>
                <w:szCs w:val="20"/>
              </w:rPr>
              <w:t xml:space="preserve">100 % personnel d’entretien sont équipés en EPI </w:t>
            </w:r>
          </w:p>
        </w:tc>
      </w:tr>
      <w:tr w:rsidR="00FE538C" w:rsidRPr="00420C1B" w14:paraId="445CD49B" w14:textId="77777777" w:rsidTr="00FE538C">
        <w:trPr>
          <w:trHeight w:val="352"/>
          <w:jc w:val="center"/>
        </w:trPr>
        <w:tc>
          <w:tcPr>
            <w:tcW w:w="1555" w:type="dxa"/>
            <w:tcBorders>
              <w:top w:val="single" w:sz="4" w:space="0" w:color="auto"/>
              <w:left w:val="single" w:sz="4" w:space="0" w:color="auto"/>
              <w:bottom w:val="single" w:sz="4" w:space="0" w:color="auto"/>
              <w:right w:val="single" w:sz="4" w:space="0" w:color="auto"/>
            </w:tcBorders>
          </w:tcPr>
          <w:p w14:paraId="679848A1" w14:textId="77777777" w:rsidR="00787EE3" w:rsidRPr="00857867" w:rsidRDefault="00787EE3" w:rsidP="00215867">
            <w:pPr>
              <w:autoSpaceDE w:val="0"/>
              <w:autoSpaceDN w:val="0"/>
              <w:adjustRightInd w:val="0"/>
              <w:spacing w:after="0" w:line="20" w:lineRule="atLeast"/>
              <w:rPr>
                <w:rFonts w:ascii="Times New Roman" w:hAnsi="Times New Roman"/>
                <w:b/>
                <w:sz w:val="20"/>
                <w:szCs w:val="20"/>
                <w:u w:val="single"/>
              </w:rPr>
            </w:pPr>
            <w:r w:rsidRPr="00857867">
              <w:rPr>
                <w:rFonts w:ascii="Times New Roman" w:hAnsi="Times New Roman"/>
                <w:b/>
                <w:sz w:val="20"/>
                <w:szCs w:val="20"/>
                <w:u w:val="single"/>
              </w:rPr>
              <w:t>Coût de la mesure :</w:t>
            </w:r>
          </w:p>
        </w:tc>
        <w:tc>
          <w:tcPr>
            <w:tcW w:w="992" w:type="dxa"/>
            <w:tcBorders>
              <w:top w:val="single" w:sz="4" w:space="0" w:color="auto"/>
              <w:left w:val="single" w:sz="4" w:space="0" w:color="auto"/>
              <w:bottom w:val="single" w:sz="4" w:space="0" w:color="auto"/>
              <w:right w:val="single" w:sz="4" w:space="0" w:color="auto"/>
            </w:tcBorders>
          </w:tcPr>
          <w:p w14:paraId="58273E93"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Unité</w:t>
            </w:r>
          </w:p>
        </w:tc>
        <w:tc>
          <w:tcPr>
            <w:tcW w:w="1134" w:type="dxa"/>
            <w:tcBorders>
              <w:top w:val="single" w:sz="4" w:space="0" w:color="auto"/>
              <w:left w:val="single" w:sz="4" w:space="0" w:color="auto"/>
              <w:bottom w:val="single" w:sz="4" w:space="0" w:color="auto"/>
              <w:right w:val="single" w:sz="4" w:space="0" w:color="auto"/>
            </w:tcBorders>
          </w:tcPr>
          <w:p w14:paraId="7498716E"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Quantités</w:t>
            </w:r>
          </w:p>
          <w:p w14:paraId="1744759C"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860A3D6"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Coûts unitaires en $</w:t>
            </w:r>
          </w:p>
          <w:p w14:paraId="6E7A0B20"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B09C847"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Entreprise en $</w:t>
            </w:r>
          </w:p>
          <w:p w14:paraId="21553D29"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14:paraId="5E1820EA"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Projet en $</w:t>
            </w:r>
          </w:p>
          <w:p w14:paraId="5EB394BC"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A5DE76F"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Coût total</w:t>
            </w:r>
          </w:p>
        </w:tc>
        <w:tc>
          <w:tcPr>
            <w:tcW w:w="2410" w:type="dxa"/>
            <w:gridSpan w:val="2"/>
            <w:tcBorders>
              <w:top w:val="single" w:sz="4" w:space="0" w:color="auto"/>
              <w:left w:val="single" w:sz="4" w:space="0" w:color="auto"/>
              <w:bottom w:val="single" w:sz="4" w:space="0" w:color="auto"/>
              <w:right w:val="single" w:sz="4" w:space="0" w:color="auto"/>
            </w:tcBorders>
          </w:tcPr>
          <w:p w14:paraId="6F845FD1" w14:textId="77777777" w:rsidR="00787EE3" w:rsidRPr="00857867" w:rsidRDefault="00787EE3" w:rsidP="00215867">
            <w:pPr>
              <w:autoSpaceDE w:val="0"/>
              <w:autoSpaceDN w:val="0"/>
              <w:adjustRightInd w:val="0"/>
              <w:spacing w:after="0" w:line="20" w:lineRule="atLeast"/>
              <w:jc w:val="center"/>
              <w:rPr>
                <w:rFonts w:ascii="Times New Roman" w:hAnsi="Times New Roman"/>
                <w:b/>
                <w:sz w:val="20"/>
                <w:szCs w:val="20"/>
              </w:rPr>
            </w:pPr>
            <w:r w:rsidRPr="00857867">
              <w:rPr>
                <w:rFonts w:ascii="Times New Roman" w:hAnsi="Times New Roman"/>
                <w:b/>
                <w:sz w:val="20"/>
                <w:szCs w:val="20"/>
              </w:rPr>
              <w:t>Calendrier de mise en œuvre</w:t>
            </w:r>
          </w:p>
        </w:tc>
      </w:tr>
      <w:tr w:rsidR="00D75D2E" w:rsidRPr="00420C1B" w14:paraId="6EA26762" w14:textId="77777777" w:rsidTr="00215867">
        <w:trPr>
          <w:trHeight w:val="894"/>
          <w:jc w:val="center"/>
        </w:trPr>
        <w:tc>
          <w:tcPr>
            <w:tcW w:w="1555" w:type="dxa"/>
            <w:tcBorders>
              <w:top w:val="single" w:sz="4" w:space="0" w:color="auto"/>
              <w:left w:val="single" w:sz="4" w:space="0" w:color="auto"/>
              <w:bottom w:val="single" w:sz="4" w:space="0" w:color="auto"/>
              <w:right w:val="single" w:sz="4" w:space="0" w:color="auto"/>
            </w:tcBorders>
          </w:tcPr>
          <w:p w14:paraId="38550591" w14:textId="77777777" w:rsidR="009959F7" w:rsidRPr="00420C1B" w:rsidRDefault="009959F7" w:rsidP="00215867">
            <w:pPr>
              <w:spacing w:after="0" w:line="20" w:lineRule="atLeast"/>
              <w:rPr>
                <w:rFonts w:ascii="Times New Roman" w:hAnsi="Times New Roman"/>
                <w:sz w:val="20"/>
                <w:szCs w:val="20"/>
              </w:rPr>
            </w:pPr>
            <w:r w:rsidRPr="00420C1B">
              <w:rPr>
                <w:rFonts w:ascii="Times New Roman" w:hAnsi="Times New Roman"/>
                <w:sz w:val="20"/>
                <w:szCs w:val="20"/>
              </w:rPr>
              <w:t>IEC sur les risques d’accident d’électrocution</w:t>
            </w:r>
          </w:p>
        </w:tc>
        <w:tc>
          <w:tcPr>
            <w:tcW w:w="992" w:type="dxa"/>
            <w:tcBorders>
              <w:top w:val="single" w:sz="4" w:space="0" w:color="auto"/>
              <w:left w:val="single" w:sz="4" w:space="0" w:color="auto"/>
              <w:bottom w:val="single" w:sz="4" w:space="0" w:color="auto"/>
              <w:right w:val="single" w:sz="4" w:space="0" w:color="auto"/>
            </w:tcBorders>
          </w:tcPr>
          <w:p w14:paraId="30C35B8D" w14:textId="77777777" w:rsidR="009959F7" w:rsidRPr="00420C1B" w:rsidRDefault="009959F7" w:rsidP="00215867">
            <w:pPr>
              <w:spacing w:after="0" w:line="20" w:lineRule="atLeast"/>
              <w:rPr>
                <w:rFonts w:ascii="Times New Roman" w:hAnsi="Times New Roman"/>
                <w:sz w:val="20"/>
                <w:szCs w:val="20"/>
              </w:rPr>
            </w:pPr>
            <w:r w:rsidRPr="00420C1B">
              <w:rPr>
                <w:rFonts w:ascii="Times New Roman" w:hAnsi="Times New Roman"/>
                <w:sz w:val="20"/>
                <w:szCs w:val="20"/>
              </w:rPr>
              <w:t>Séances</w:t>
            </w:r>
          </w:p>
        </w:tc>
        <w:tc>
          <w:tcPr>
            <w:tcW w:w="4678" w:type="dxa"/>
            <w:gridSpan w:val="4"/>
            <w:tcBorders>
              <w:top w:val="single" w:sz="4" w:space="0" w:color="auto"/>
              <w:left w:val="single" w:sz="4" w:space="0" w:color="auto"/>
              <w:bottom w:val="single" w:sz="4" w:space="0" w:color="auto"/>
              <w:right w:val="single" w:sz="4" w:space="0" w:color="auto"/>
            </w:tcBorders>
          </w:tcPr>
          <w:p w14:paraId="519BFBD3" w14:textId="77777777" w:rsidR="009959F7" w:rsidRPr="00420C1B" w:rsidRDefault="009959F7" w:rsidP="00215867">
            <w:pPr>
              <w:spacing w:after="0" w:line="20" w:lineRule="atLeast"/>
              <w:rPr>
                <w:rFonts w:ascii="Times New Roman" w:hAnsi="Times New Roman"/>
                <w:sz w:val="20"/>
                <w:szCs w:val="20"/>
              </w:rPr>
            </w:pPr>
            <w:r w:rsidRPr="00420C1B">
              <w:rPr>
                <w:rFonts w:ascii="Times New Roman" w:hAnsi="Times New Roman"/>
                <w:sz w:val="20"/>
                <w:szCs w:val="20"/>
              </w:rPr>
              <w:t>Déjà budgétisé dans le code 16</w:t>
            </w:r>
          </w:p>
        </w:tc>
        <w:tc>
          <w:tcPr>
            <w:tcW w:w="850" w:type="dxa"/>
            <w:tcBorders>
              <w:top w:val="single" w:sz="4" w:space="0" w:color="auto"/>
              <w:left w:val="single" w:sz="4" w:space="0" w:color="auto"/>
              <w:bottom w:val="single" w:sz="4" w:space="0" w:color="auto"/>
              <w:right w:val="single" w:sz="4" w:space="0" w:color="auto"/>
            </w:tcBorders>
          </w:tcPr>
          <w:p w14:paraId="6818B20E" w14:textId="77777777" w:rsidR="009959F7" w:rsidRPr="00420C1B" w:rsidRDefault="009959F7" w:rsidP="00215867">
            <w:pPr>
              <w:spacing w:after="0" w:line="20" w:lineRule="atLeast"/>
              <w:rPr>
                <w:rFonts w:ascii="Times New Roman" w:hAnsi="Times New Roman"/>
                <w:sz w:val="20"/>
                <w:szCs w:val="20"/>
              </w:rPr>
            </w:pPr>
          </w:p>
        </w:tc>
        <w:tc>
          <w:tcPr>
            <w:tcW w:w="2410" w:type="dxa"/>
            <w:gridSpan w:val="2"/>
            <w:vMerge w:val="restart"/>
            <w:tcBorders>
              <w:top w:val="single" w:sz="4" w:space="0" w:color="auto"/>
              <w:left w:val="single" w:sz="4" w:space="0" w:color="auto"/>
              <w:right w:val="single" w:sz="4" w:space="0" w:color="auto"/>
            </w:tcBorders>
          </w:tcPr>
          <w:p w14:paraId="1673AC37" w14:textId="77777777" w:rsidR="009959F7" w:rsidRPr="00420C1B" w:rsidRDefault="009959F7" w:rsidP="00215867">
            <w:pPr>
              <w:spacing w:after="0" w:line="20" w:lineRule="atLeast"/>
              <w:jc w:val="center"/>
              <w:rPr>
                <w:rFonts w:ascii="Times New Roman" w:hAnsi="Times New Roman"/>
                <w:sz w:val="20"/>
                <w:szCs w:val="20"/>
              </w:rPr>
            </w:pPr>
            <w:r w:rsidRPr="00420C1B">
              <w:rPr>
                <w:rFonts w:ascii="Times New Roman" w:hAnsi="Times New Roman"/>
                <w:sz w:val="20"/>
                <w:szCs w:val="20"/>
              </w:rPr>
              <w:t>Pendant l’exploitation</w:t>
            </w:r>
          </w:p>
        </w:tc>
      </w:tr>
      <w:tr w:rsidR="00787EE3" w:rsidRPr="00420C1B" w14:paraId="6FB63938" w14:textId="77777777" w:rsidTr="00215867">
        <w:trPr>
          <w:trHeight w:val="133"/>
          <w:jc w:val="center"/>
        </w:trPr>
        <w:tc>
          <w:tcPr>
            <w:tcW w:w="1555" w:type="dxa"/>
            <w:tcBorders>
              <w:top w:val="single" w:sz="4" w:space="0" w:color="auto"/>
              <w:left w:val="single" w:sz="4" w:space="0" w:color="auto"/>
              <w:bottom w:val="single" w:sz="4" w:space="0" w:color="auto"/>
              <w:right w:val="single" w:sz="4" w:space="0" w:color="auto"/>
            </w:tcBorders>
          </w:tcPr>
          <w:p w14:paraId="67651DA6"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Kit de protection</w:t>
            </w:r>
          </w:p>
        </w:tc>
        <w:tc>
          <w:tcPr>
            <w:tcW w:w="992" w:type="dxa"/>
            <w:tcBorders>
              <w:top w:val="single" w:sz="4" w:space="0" w:color="auto"/>
              <w:left w:val="single" w:sz="4" w:space="0" w:color="auto"/>
              <w:bottom w:val="single" w:sz="4" w:space="0" w:color="auto"/>
              <w:right w:val="single" w:sz="4" w:space="0" w:color="auto"/>
            </w:tcBorders>
          </w:tcPr>
          <w:p w14:paraId="2D2F5DAB"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Nombre</w:t>
            </w:r>
          </w:p>
        </w:tc>
        <w:tc>
          <w:tcPr>
            <w:tcW w:w="1134" w:type="dxa"/>
            <w:tcBorders>
              <w:top w:val="single" w:sz="4" w:space="0" w:color="auto"/>
              <w:left w:val="single" w:sz="4" w:space="0" w:color="auto"/>
              <w:bottom w:val="single" w:sz="4" w:space="0" w:color="auto"/>
              <w:right w:val="single" w:sz="4" w:space="0" w:color="auto"/>
            </w:tcBorders>
          </w:tcPr>
          <w:p w14:paraId="0D294656"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50</w:t>
            </w:r>
          </w:p>
        </w:tc>
        <w:tc>
          <w:tcPr>
            <w:tcW w:w="1417" w:type="dxa"/>
            <w:tcBorders>
              <w:top w:val="single" w:sz="4" w:space="0" w:color="auto"/>
              <w:left w:val="single" w:sz="4" w:space="0" w:color="auto"/>
              <w:bottom w:val="single" w:sz="4" w:space="0" w:color="auto"/>
              <w:right w:val="single" w:sz="4" w:space="0" w:color="auto"/>
            </w:tcBorders>
          </w:tcPr>
          <w:p w14:paraId="037C0339"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200</w:t>
            </w:r>
          </w:p>
        </w:tc>
        <w:tc>
          <w:tcPr>
            <w:tcW w:w="1276" w:type="dxa"/>
            <w:tcBorders>
              <w:top w:val="single" w:sz="4" w:space="0" w:color="auto"/>
              <w:left w:val="single" w:sz="4" w:space="0" w:color="auto"/>
              <w:bottom w:val="single" w:sz="4" w:space="0" w:color="auto"/>
              <w:right w:val="single" w:sz="4" w:space="0" w:color="auto"/>
            </w:tcBorders>
          </w:tcPr>
          <w:p w14:paraId="47945B1A"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77D388"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1000</w:t>
            </w:r>
          </w:p>
        </w:tc>
        <w:tc>
          <w:tcPr>
            <w:tcW w:w="850" w:type="dxa"/>
            <w:tcBorders>
              <w:top w:val="single" w:sz="4" w:space="0" w:color="auto"/>
              <w:left w:val="single" w:sz="4" w:space="0" w:color="auto"/>
              <w:bottom w:val="single" w:sz="4" w:space="0" w:color="auto"/>
              <w:right w:val="single" w:sz="4" w:space="0" w:color="auto"/>
            </w:tcBorders>
          </w:tcPr>
          <w:p w14:paraId="0CFACF24" w14:textId="77777777" w:rsidR="00ED17F3" w:rsidRPr="00420C1B" w:rsidRDefault="00ED17F3" w:rsidP="00215867">
            <w:pPr>
              <w:autoSpaceDE w:val="0"/>
              <w:autoSpaceDN w:val="0"/>
              <w:adjustRightInd w:val="0"/>
              <w:spacing w:after="0" w:line="20" w:lineRule="atLeast"/>
              <w:rPr>
                <w:rFonts w:ascii="Times New Roman" w:hAnsi="Times New Roman"/>
                <w:sz w:val="20"/>
                <w:szCs w:val="20"/>
              </w:rPr>
            </w:pPr>
            <w:r w:rsidRPr="00420C1B">
              <w:rPr>
                <w:rFonts w:ascii="Times New Roman" w:hAnsi="Times New Roman"/>
                <w:sz w:val="20"/>
                <w:szCs w:val="20"/>
              </w:rPr>
              <w:t>1000</w:t>
            </w:r>
          </w:p>
        </w:tc>
        <w:tc>
          <w:tcPr>
            <w:tcW w:w="2410" w:type="dxa"/>
            <w:gridSpan w:val="2"/>
            <w:vMerge/>
            <w:tcBorders>
              <w:left w:val="single" w:sz="4" w:space="0" w:color="auto"/>
              <w:right w:val="single" w:sz="4" w:space="0" w:color="auto"/>
            </w:tcBorders>
          </w:tcPr>
          <w:p w14:paraId="0CE95D8A" w14:textId="77777777" w:rsidR="00ED17F3" w:rsidRPr="00420C1B" w:rsidRDefault="00ED17F3" w:rsidP="00215867">
            <w:pPr>
              <w:spacing w:after="0" w:line="20" w:lineRule="atLeast"/>
              <w:jc w:val="center"/>
              <w:rPr>
                <w:rFonts w:ascii="Times New Roman" w:hAnsi="Times New Roman"/>
                <w:sz w:val="20"/>
                <w:szCs w:val="20"/>
              </w:rPr>
            </w:pPr>
          </w:p>
        </w:tc>
      </w:tr>
      <w:tr w:rsidR="00787EE3" w:rsidRPr="00420C1B" w14:paraId="048E308E" w14:textId="77777777" w:rsidTr="00215867">
        <w:trPr>
          <w:trHeight w:val="133"/>
          <w:jc w:val="center"/>
        </w:trPr>
        <w:tc>
          <w:tcPr>
            <w:tcW w:w="1555" w:type="dxa"/>
            <w:tcBorders>
              <w:top w:val="single" w:sz="4" w:space="0" w:color="auto"/>
              <w:left w:val="single" w:sz="4" w:space="0" w:color="auto"/>
              <w:bottom w:val="single" w:sz="4" w:space="0" w:color="auto"/>
              <w:right w:val="single" w:sz="4" w:space="0" w:color="auto"/>
            </w:tcBorders>
          </w:tcPr>
          <w:p w14:paraId="3CBDFB20" w14:textId="77777777" w:rsidR="00ED17F3" w:rsidRPr="00420C1B" w:rsidRDefault="00ED17F3" w:rsidP="00215867">
            <w:pPr>
              <w:autoSpaceDE w:val="0"/>
              <w:autoSpaceDN w:val="0"/>
              <w:adjustRightInd w:val="0"/>
              <w:spacing w:after="0" w:line="20" w:lineRule="atLeast"/>
              <w:rPr>
                <w:rFonts w:ascii="Times New Roman" w:hAnsi="Times New Roman"/>
                <w:b/>
                <w:sz w:val="20"/>
                <w:szCs w:val="20"/>
              </w:rPr>
            </w:pPr>
            <w:r w:rsidRPr="00420C1B">
              <w:rPr>
                <w:rFonts w:ascii="Times New Roman" w:hAnsi="Times New Roman"/>
                <w:b/>
                <w:sz w:val="20"/>
                <w:szCs w:val="20"/>
              </w:rPr>
              <w:t>Total</w:t>
            </w:r>
          </w:p>
        </w:tc>
        <w:tc>
          <w:tcPr>
            <w:tcW w:w="992" w:type="dxa"/>
            <w:tcBorders>
              <w:top w:val="single" w:sz="4" w:space="0" w:color="auto"/>
              <w:left w:val="single" w:sz="4" w:space="0" w:color="auto"/>
              <w:bottom w:val="single" w:sz="4" w:space="0" w:color="auto"/>
              <w:right w:val="single" w:sz="4" w:space="0" w:color="auto"/>
            </w:tcBorders>
          </w:tcPr>
          <w:p w14:paraId="5F57D61C" w14:textId="77777777" w:rsidR="00ED17F3" w:rsidRPr="00420C1B" w:rsidRDefault="00ED17F3" w:rsidP="00215867">
            <w:pPr>
              <w:autoSpaceDE w:val="0"/>
              <w:autoSpaceDN w:val="0"/>
              <w:adjustRightInd w:val="0"/>
              <w:spacing w:after="0" w:line="20" w:lineRule="atLeast"/>
              <w:rPr>
                <w:rFonts w:ascii="Times New Roman" w:hAnsi="Times New Roman"/>
                <w:b/>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7BDE80F" w14:textId="77777777" w:rsidR="00ED17F3" w:rsidRPr="00420C1B" w:rsidRDefault="00ED17F3" w:rsidP="00215867">
            <w:pPr>
              <w:autoSpaceDE w:val="0"/>
              <w:autoSpaceDN w:val="0"/>
              <w:adjustRightInd w:val="0"/>
              <w:spacing w:after="0" w:line="20" w:lineRule="atLeast"/>
              <w:rPr>
                <w:rFonts w:ascii="Times New Roman" w:hAnsi="Times New Roman"/>
                <w:b/>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B7C52E7" w14:textId="77777777" w:rsidR="00ED17F3" w:rsidRPr="00420C1B" w:rsidRDefault="00ED17F3" w:rsidP="00215867">
            <w:pPr>
              <w:autoSpaceDE w:val="0"/>
              <w:autoSpaceDN w:val="0"/>
              <w:adjustRightInd w:val="0"/>
              <w:spacing w:after="0" w:line="20" w:lineRule="atLeast"/>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B853E63" w14:textId="77777777" w:rsidR="00ED17F3" w:rsidRPr="00420C1B" w:rsidRDefault="00ED17F3" w:rsidP="00215867">
            <w:pPr>
              <w:autoSpaceDE w:val="0"/>
              <w:autoSpaceDN w:val="0"/>
              <w:adjustRightInd w:val="0"/>
              <w:spacing w:after="0" w:line="20" w:lineRule="atLeast"/>
              <w:rPr>
                <w:rFonts w:ascii="Times New Roman" w:hAnsi="Times New Roman"/>
                <w:b/>
                <w:sz w:val="20"/>
                <w:szCs w:val="20"/>
              </w:rPr>
            </w:pPr>
          </w:p>
        </w:tc>
        <w:tc>
          <w:tcPr>
            <w:tcW w:w="851" w:type="dxa"/>
            <w:tcBorders>
              <w:top w:val="single" w:sz="4" w:space="0" w:color="auto"/>
              <w:left w:val="single" w:sz="4" w:space="0" w:color="auto"/>
              <w:bottom w:val="single" w:sz="4" w:space="0" w:color="auto"/>
              <w:right w:val="single" w:sz="4" w:space="0" w:color="auto"/>
            </w:tcBorders>
          </w:tcPr>
          <w:p w14:paraId="51B726F8" w14:textId="77777777" w:rsidR="00ED17F3" w:rsidRPr="00420C1B" w:rsidRDefault="009959F7" w:rsidP="00215867">
            <w:pPr>
              <w:autoSpaceDE w:val="0"/>
              <w:autoSpaceDN w:val="0"/>
              <w:adjustRightInd w:val="0"/>
              <w:spacing w:after="0" w:line="20" w:lineRule="atLeast"/>
              <w:rPr>
                <w:rFonts w:ascii="Times New Roman" w:hAnsi="Times New Roman"/>
                <w:b/>
                <w:sz w:val="20"/>
                <w:szCs w:val="20"/>
              </w:rPr>
            </w:pPr>
            <w:r w:rsidRPr="00420C1B">
              <w:rPr>
                <w:rFonts w:ascii="Times New Roman" w:hAnsi="Times New Roman"/>
                <w:b/>
                <w:sz w:val="20"/>
                <w:szCs w:val="20"/>
              </w:rPr>
              <w:t>1</w:t>
            </w:r>
            <w:r w:rsidR="00ED17F3" w:rsidRPr="00420C1B">
              <w:rPr>
                <w:rFonts w:ascii="Times New Roman" w:hAnsi="Times New Roman"/>
                <w:b/>
                <w:sz w:val="20"/>
                <w:szCs w:val="20"/>
              </w:rPr>
              <w:t>000</w:t>
            </w:r>
          </w:p>
        </w:tc>
        <w:tc>
          <w:tcPr>
            <w:tcW w:w="850" w:type="dxa"/>
            <w:tcBorders>
              <w:top w:val="single" w:sz="4" w:space="0" w:color="auto"/>
              <w:left w:val="single" w:sz="4" w:space="0" w:color="auto"/>
              <w:bottom w:val="single" w:sz="4" w:space="0" w:color="auto"/>
              <w:right w:val="single" w:sz="4" w:space="0" w:color="auto"/>
            </w:tcBorders>
          </w:tcPr>
          <w:p w14:paraId="7A5ECB1C" w14:textId="77777777" w:rsidR="00ED17F3" w:rsidRPr="00420C1B" w:rsidRDefault="009959F7" w:rsidP="00215867">
            <w:pPr>
              <w:autoSpaceDE w:val="0"/>
              <w:autoSpaceDN w:val="0"/>
              <w:adjustRightInd w:val="0"/>
              <w:spacing w:after="0" w:line="20" w:lineRule="atLeast"/>
              <w:rPr>
                <w:rFonts w:ascii="Times New Roman" w:hAnsi="Times New Roman"/>
                <w:b/>
                <w:sz w:val="20"/>
                <w:szCs w:val="20"/>
              </w:rPr>
            </w:pPr>
            <w:r w:rsidRPr="00420C1B">
              <w:rPr>
                <w:rFonts w:ascii="Times New Roman" w:hAnsi="Times New Roman"/>
                <w:b/>
                <w:sz w:val="20"/>
                <w:szCs w:val="20"/>
              </w:rPr>
              <w:t>1</w:t>
            </w:r>
            <w:r w:rsidR="00ED17F3" w:rsidRPr="00420C1B">
              <w:rPr>
                <w:rFonts w:ascii="Times New Roman" w:hAnsi="Times New Roman"/>
                <w:b/>
                <w:sz w:val="20"/>
                <w:szCs w:val="20"/>
              </w:rPr>
              <w:t>000</w:t>
            </w:r>
          </w:p>
        </w:tc>
        <w:tc>
          <w:tcPr>
            <w:tcW w:w="2410" w:type="dxa"/>
            <w:gridSpan w:val="2"/>
            <w:vMerge/>
            <w:tcBorders>
              <w:left w:val="single" w:sz="4" w:space="0" w:color="auto"/>
              <w:bottom w:val="single" w:sz="4" w:space="0" w:color="auto"/>
              <w:right w:val="single" w:sz="4" w:space="0" w:color="auto"/>
            </w:tcBorders>
          </w:tcPr>
          <w:p w14:paraId="21A2FB44" w14:textId="77777777" w:rsidR="00ED17F3" w:rsidRPr="00857867" w:rsidRDefault="00ED17F3" w:rsidP="00215867">
            <w:pPr>
              <w:autoSpaceDE w:val="0"/>
              <w:autoSpaceDN w:val="0"/>
              <w:adjustRightInd w:val="0"/>
              <w:spacing w:after="0" w:line="20" w:lineRule="atLeast"/>
              <w:jc w:val="center"/>
              <w:rPr>
                <w:rFonts w:ascii="Times New Roman" w:hAnsi="Times New Roman"/>
                <w:b/>
                <w:sz w:val="20"/>
                <w:szCs w:val="20"/>
              </w:rPr>
            </w:pPr>
          </w:p>
        </w:tc>
      </w:tr>
      <w:bookmarkEnd w:id="642"/>
    </w:tbl>
    <w:p w14:paraId="431B3926" w14:textId="77777777" w:rsidR="005B1D09" w:rsidRDefault="005B1D09" w:rsidP="00ED17F3">
      <w:pPr>
        <w:spacing w:after="0" w:line="240" w:lineRule="auto"/>
        <w:rPr>
          <w:rFonts w:ascii="Times New Roman" w:hAnsi="Times New Roman"/>
        </w:rPr>
      </w:pPr>
    </w:p>
    <w:p w14:paraId="066C50FB" w14:textId="77777777" w:rsidR="005B1D09" w:rsidRDefault="005B1D09" w:rsidP="00ED17F3">
      <w:pPr>
        <w:spacing w:after="0" w:line="240" w:lineRule="auto"/>
        <w:rPr>
          <w:rFonts w:ascii="Times New Roman" w:hAnsi="Times New Roman"/>
        </w:rPr>
      </w:pPr>
    </w:p>
    <w:p w14:paraId="046B6F6D" w14:textId="77777777" w:rsidR="005B1D09" w:rsidRDefault="005B1D09" w:rsidP="00ED17F3">
      <w:pPr>
        <w:spacing w:after="0" w:line="240" w:lineRule="auto"/>
        <w:rPr>
          <w:rFonts w:ascii="Times New Roman" w:hAnsi="Times New Roman"/>
        </w:rPr>
      </w:pPr>
    </w:p>
    <w:p w14:paraId="289E4B97" w14:textId="77777777" w:rsidR="005B1D09" w:rsidRDefault="005B1D09" w:rsidP="00ED17F3">
      <w:pPr>
        <w:spacing w:after="0" w:line="240" w:lineRule="auto"/>
        <w:rPr>
          <w:rFonts w:ascii="Times New Roman" w:hAnsi="Times New Roman"/>
        </w:rPr>
      </w:pPr>
    </w:p>
    <w:p w14:paraId="69845E9F" w14:textId="77777777" w:rsidR="008D22A9" w:rsidRDefault="008D22A9" w:rsidP="00ED17F3">
      <w:pPr>
        <w:spacing w:after="0" w:line="240" w:lineRule="auto"/>
        <w:rPr>
          <w:rFonts w:ascii="Times New Roman" w:hAnsi="Times New Roman"/>
        </w:rPr>
      </w:pPr>
    </w:p>
    <w:p w14:paraId="5BC6B306" w14:textId="77777777" w:rsidR="005B1D09" w:rsidRDefault="005B1D09" w:rsidP="00ED17F3">
      <w:pPr>
        <w:spacing w:after="0" w:line="240" w:lineRule="auto"/>
        <w:rPr>
          <w:rFonts w:ascii="Times New Roman" w:hAnsi="Times New Roman"/>
        </w:rPr>
      </w:pPr>
    </w:p>
    <w:p w14:paraId="70CEDED8" w14:textId="77777777" w:rsidR="005B1D09" w:rsidRDefault="005B1D09" w:rsidP="00ED17F3">
      <w:pPr>
        <w:spacing w:after="0" w:line="240" w:lineRule="auto"/>
        <w:rPr>
          <w:rFonts w:ascii="Times New Roman" w:hAnsi="Times New Roman"/>
        </w:rPr>
      </w:pPr>
    </w:p>
    <w:p w14:paraId="7A891525" w14:textId="77777777" w:rsidR="00F84FAF" w:rsidRDefault="00F84FAF" w:rsidP="00ED17F3">
      <w:pPr>
        <w:spacing w:after="0" w:line="240" w:lineRule="auto"/>
        <w:rPr>
          <w:rFonts w:ascii="Times New Roman" w:hAnsi="Times New Roman"/>
        </w:rPr>
      </w:pPr>
    </w:p>
    <w:p w14:paraId="22500A08" w14:textId="1BC6703E" w:rsidR="005B1D09" w:rsidRPr="00E737B4" w:rsidRDefault="005B1D09" w:rsidP="005B1D09">
      <w:pPr>
        <w:keepNext/>
        <w:spacing w:after="120" w:line="240" w:lineRule="auto"/>
        <w:jc w:val="center"/>
        <w:rPr>
          <w:rFonts w:ascii="Times New Roman" w:hAnsi="Times New Roman"/>
          <w:iCs/>
          <w:sz w:val="24"/>
          <w:szCs w:val="24"/>
        </w:rPr>
      </w:pPr>
      <w:bookmarkStart w:id="643" w:name="_Toc93050305"/>
      <w:r w:rsidRPr="00E737B4">
        <w:rPr>
          <w:rFonts w:ascii="Times New Roman" w:hAnsi="Times New Roman"/>
          <w:iCs/>
          <w:sz w:val="24"/>
          <w:szCs w:val="24"/>
        </w:rPr>
        <w:t xml:space="preserve">Tableau </w:t>
      </w:r>
      <w:r w:rsidRPr="00E737B4">
        <w:rPr>
          <w:rFonts w:ascii="Times New Roman" w:hAnsi="Times New Roman"/>
          <w:iCs/>
          <w:sz w:val="24"/>
          <w:szCs w:val="24"/>
        </w:rPr>
        <w:fldChar w:fldCharType="begin"/>
      </w:r>
      <w:r w:rsidRPr="00E737B4">
        <w:rPr>
          <w:rFonts w:ascii="Times New Roman" w:hAnsi="Times New Roman"/>
          <w:iCs/>
          <w:sz w:val="24"/>
          <w:szCs w:val="24"/>
        </w:rPr>
        <w:instrText xml:space="preserve"> SEQ Tableau \* ARABIC </w:instrText>
      </w:r>
      <w:r w:rsidRPr="00E737B4">
        <w:rPr>
          <w:rFonts w:ascii="Times New Roman" w:hAnsi="Times New Roman"/>
          <w:iCs/>
          <w:sz w:val="24"/>
          <w:szCs w:val="24"/>
        </w:rPr>
        <w:fldChar w:fldCharType="separate"/>
      </w:r>
      <w:r w:rsidR="00A86929">
        <w:rPr>
          <w:rFonts w:ascii="Times New Roman" w:hAnsi="Times New Roman"/>
          <w:iCs/>
          <w:noProof/>
          <w:sz w:val="24"/>
          <w:szCs w:val="24"/>
        </w:rPr>
        <w:t>43</w:t>
      </w:r>
      <w:r w:rsidRPr="00E737B4">
        <w:rPr>
          <w:rFonts w:ascii="Times New Roman" w:hAnsi="Times New Roman"/>
          <w:iCs/>
          <w:noProof/>
          <w:sz w:val="24"/>
          <w:szCs w:val="24"/>
        </w:rPr>
        <w:fldChar w:fldCharType="end"/>
      </w:r>
      <w:r w:rsidRPr="00E737B4">
        <w:rPr>
          <w:rFonts w:ascii="Times New Roman" w:hAnsi="Times New Roman"/>
          <w:iCs/>
          <w:sz w:val="24"/>
          <w:szCs w:val="24"/>
        </w:rPr>
        <w:t xml:space="preserve"> : Fiche de déclaration d’Impact – </w:t>
      </w:r>
      <w:r w:rsidRPr="00E737B4">
        <w:rPr>
          <w:rFonts w:ascii="Times New Roman" w:hAnsi="Times New Roman"/>
          <w:b/>
          <w:iCs/>
          <w:sz w:val="24"/>
          <w:szCs w:val="24"/>
        </w:rPr>
        <w:t xml:space="preserve">Code </w:t>
      </w:r>
      <w:r w:rsidR="00A6226A">
        <w:rPr>
          <w:rFonts w:ascii="Times New Roman" w:hAnsi="Times New Roman"/>
          <w:b/>
          <w:iCs/>
          <w:sz w:val="24"/>
          <w:szCs w:val="24"/>
        </w:rPr>
        <w:t>2</w:t>
      </w:r>
      <w:r w:rsidR="00A86929">
        <w:rPr>
          <w:rFonts w:ascii="Times New Roman" w:hAnsi="Times New Roman"/>
          <w:b/>
          <w:iCs/>
          <w:sz w:val="24"/>
          <w:szCs w:val="24"/>
        </w:rPr>
        <w:t>0</w:t>
      </w:r>
      <w:bookmarkEnd w:id="643"/>
    </w:p>
    <w:tbl>
      <w:tblPr>
        <w:tblW w:w="5171" w:type="pct"/>
        <w:jc w:val="center"/>
        <w:tblLayout w:type="fixed"/>
        <w:tblLook w:val="04A0" w:firstRow="1" w:lastRow="0" w:firstColumn="1" w:lastColumn="0" w:noHBand="0" w:noVBand="1"/>
      </w:tblPr>
      <w:tblGrid>
        <w:gridCol w:w="1778"/>
        <w:gridCol w:w="748"/>
        <w:gridCol w:w="836"/>
        <w:gridCol w:w="222"/>
        <w:gridCol w:w="1074"/>
        <w:gridCol w:w="432"/>
        <w:gridCol w:w="37"/>
        <w:gridCol w:w="626"/>
        <w:gridCol w:w="542"/>
        <w:gridCol w:w="766"/>
        <w:gridCol w:w="137"/>
        <w:gridCol w:w="1068"/>
        <w:gridCol w:w="1926"/>
      </w:tblGrid>
      <w:tr w:rsidR="00F84FAF" w:rsidRPr="00420C1B" w14:paraId="6DE362C7" w14:textId="77777777" w:rsidTr="00215867">
        <w:trPr>
          <w:trHeight w:val="250"/>
          <w:tblHeader/>
          <w:jc w:val="center"/>
        </w:trPr>
        <w:tc>
          <w:tcPr>
            <w:tcW w:w="872"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739DA72D" w14:textId="77777777" w:rsidR="00F84FAF" w:rsidRPr="00D75D2E" w:rsidRDefault="00F84FAF" w:rsidP="002948CF">
            <w:pPr>
              <w:spacing w:after="0" w:line="240" w:lineRule="auto"/>
              <w:jc w:val="center"/>
              <w:rPr>
                <w:rFonts w:ascii="Times New Roman" w:hAnsi="Times New Roman"/>
                <w:b/>
                <w:sz w:val="20"/>
                <w:szCs w:val="20"/>
              </w:rPr>
            </w:pPr>
            <w:r w:rsidRPr="00D75D2E">
              <w:rPr>
                <w:rFonts w:ascii="Times New Roman" w:hAnsi="Times New Roman"/>
                <w:b/>
                <w:sz w:val="20"/>
                <w:szCs w:val="20"/>
              </w:rPr>
              <w:t>COMPOSANTE</w:t>
            </w:r>
          </w:p>
        </w:tc>
        <w:tc>
          <w:tcPr>
            <w:tcW w:w="1643"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02235420" w14:textId="77777777" w:rsidR="00F84FAF" w:rsidRPr="00D75D2E" w:rsidRDefault="00F84FAF" w:rsidP="002948CF">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949" w:type="pct"/>
            <w:gridSpan w:val="3"/>
            <w:tcBorders>
              <w:top w:val="single" w:sz="4" w:space="0" w:color="auto"/>
              <w:left w:val="single" w:sz="4" w:space="0" w:color="auto"/>
              <w:bottom w:val="single" w:sz="4" w:space="0" w:color="auto"/>
              <w:right w:val="single" w:sz="4" w:space="0" w:color="auto"/>
            </w:tcBorders>
            <w:shd w:val="clear" w:color="auto" w:fill="92D050"/>
            <w:hideMark/>
          </w:tcPr>
          <w:p w14:paraId="205EFCF5" w14:textId="77777777" w:rsidR="00F84FAF" w:rsidRPr="00D75D2E" w:rsidRDefault="00F84FAF" w:rsidP="002948CF">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590"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771B18B9"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945" w:type="pct"/>
            <w:tcBorders>
              <w:top w:val="single" w:sz="4" w:space="0" w:color="auto"/>
              <w:left w:val="single" w:sz="4" w:space="0" w:color="auto"/>
              <w:bottom w:val="single" w:sz="4" w:space="0" w:color="auto"/>
              <w:right w:val="single" w:sz="4" w:space="0" w:color="auto"/>
            </w:tcBorders>
            <w:shd w:val="clear" w:color="auto" w:fill="92D050"/>
            <w:hideMark/>
          </w:tcPr>
          <w:p w14:paraId="65905A41"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F84FAF" w:rsidRPr="00420C1B" w14:paraId="524D4D1F" w14:textId="77777777" w:rsidTr="00215867">
        <w:trPr>
          <w:trHeight w:val="50"/>
          <w:jc w:val="center"/>
        </w:trPr>
        <w:tc>
          <w:tcPr>
            <w:tcW w:w="872" w:type="pct"/>
            <w:vMerge w:val="restart"/>
            <w:tcBorders>
              <w:top w:val="single" w:sz="4" w:space="0" w:color="auto"/>
              <w:left w:val="single" w:sz="4" w:space="0" w:color="auto"/>
              <w:bottom w:val="single" w:sz="4" w:space="0" w:color="auto"/>
              <w:right w:val="single" w:sz="4" w:space="0" w:color="auto"/>
            </w:tcBorders>
            <w:hideMark/>
          </w:tcPr>
          <w:p w14:paraId="47514D1A" w14:textId="77777777" w:rsidR="00F84FAF" w:rsidRPr="00D75D2E" w:rsidRDefault="00F84FAF" w:rsidP="002948CF">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3183" w:type="pct"/>
            <w:gridSpan w:val="11"/>
            <w:tcBorders>
              <w:top w:val="single" w:sz="4" w:space="0" w:color="auto"/>
              <w:left w:val="single" w:sz="4" w:space="0" w:color="auto"/>
              <w:bottom w:val="single" w:sz="4" w:space="0" w:color="auto"/>
              <w:right w:val="single" w:sz="4" w:space="0" w:color="auto"/>
            </w:tcBorders>
            <w:hideMark/>
          </w:tcPr>
          <w:p w14:paraId="1507AC00"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hAnsi="Times New Roman"/>
                <w:b/>
                <w:sz w:val="20"/>
                <w:szCs w:val="20"/>
              </w:rPr>
              <w:t xml:space="preserve">Source d’impact : </w:t>
            </w:r>
            <w:r>
              <w:rPr>
                <w:rFonts w:ascii="Times New Roman" w:hAnsi="Times New Roman"/>
                <w:sz w:val="20"/>
                <w:szCs w:val="20"/>
              </w:rPr>
              <w:t xml:space="preserve">Maintenance du réseau </w:t>
            </w:r>
          </w:p>
        </w:tc>
        <w:tc>
          <w:tcPr>
            <w:tcW w:w="945" w:type="pct"/>
            <w:tcBorders>
              <w:top w:val="single" w:sz="4" w:space="0" w:color="auto"/>
              <w:left w:val="single" w:sz="4" w:space="0" w:color="auto"/>
              <w:bottom w:val="single" w:sz="4" w:space="0" w:color="auto"/>
              <w:right w:val="single" w:sz="4" w:space="0" w:color="auto"/>
            </w:tcBorders>
          </w:tcPr>
          <w:p w14:paraId="625E2F66" w14:textId="77777777" w:rsidR="00F84FAF" w:rsidRPr="00D75D2E" w:rsidRDefault="00F84FAF" w:rsidP="002948CF">
            <w:pPr>
              <w:spacing w:after="0" w:line="240" w:lineRule="auto"/>
              <w:rPr>
                <w:rFonts w:ascii="Times New Roman" w:hAnsi="Times New Roman"/>
                <w:sz w:val="20"/>
                <w:szCs w:val="20"/>
              </w:rPr>
            </w:pPr>
          </w:p>
        </w:tc>
      </w:tr>
      <w:tr w:rsidR="00F84FAF" w:rsidRPr="00420C1B" w14:paraId="0FF41DEB" w14:textId="77777777" w:rsidTr="00215867">
        <w:trPr>
          <w:trHeight w:val="116"/>
          <w:jc w:val="cent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7A947BC5" w14:textId="77777777" w:rsidR="00F84FAF" w:rsidRPr="00D75D2E" w:rsidRDefault="00F84FAF" w:rsidP="002948CF">
            <w:pPr>
              <w:spacing w:after="0" w:line="240" w:lineRule="auto"/>
              <w:rPr>
                <w:rFonts w:ascii="Times New Roman" w:hAnsi="Times New Roman"/>
                <w:b/>
                <w:sz w:val="20"/>
                <w:szCs w:val="20"/>
              </w:rPr>
            </w:pPr>
          </w:p>
        </w:tc>
        <w:tc>
          <w:tcPr>
            <w:tcW w:w="4128" w:type="pct"/>
            <w:gridSpan w:val="12"/>
            <w:tcBorders>
              <w:top w:val="single" w:sz="4" w:space="0" w:color="auto"/>
              <w:left w:val="single" w:sz="4" w:space="0" w:color="auto"/>
              <w:bottom w:val="single" w:sz="4" w:space="0" w:color="auto"/>
              <w:right w:val="single" w:sz="4" w:space="0" w:color="auto"/>
            </w:tcBorders>
            <w:hideMark/>
          </w:tcPr>
          <w:p w14:paraId="69F25001" w14:textId="26CCC275" w:rsidR="00F84FAF" w:rsidRPr="00D75D2E" w:rsidRDefault="00F84FAF" w:rsidP="00215867">
            <w:pPr>
              <w:spacing w:after="0" w:line="240" w:lineRule="auto"/>
              <w:rPr>
                <w:rFonts w:ascii="Times New Roman" w:hAnsi="Times New Roman"/>
                <w:sz w:val="20"/>
                <w:szCs w:val="20"/>
              </w:rPr>
            </w:pPr>
            <w:r>
              <w:rPr>
                <w:rFonts w:ascii="Times New Roman" w:hAnsi="Times New Roman"/>
                <w:b/>
                <w:sz w:val="20"/>
                <w:szCs w:val="20"/>
              </w:rPr>
              <w:t xml:space="preserve"> </w:t>
            </w:r>
            <w:r w:rsidRPr="00D75D2E">
              <w:rPr>
                <w:rFonts w:ascii="Times New Roman" w:hAnsi="Times New Roman"/>
                <w:b/>
                <w:sz w:val="20"/>
                <w:szCs w:val="20"/>
              </w:rPr>
              <w:t>Intitulé de l’impact</w:t>
            </w:r>
            <w:r w:rsidRPr="00D75D2E">
              <w:rPr>
                <w:rFonts w:ascii="Times New Roman" w:hAnsi="Times New Roman"/>
                <w:sz w:val="20"/>
                <w:szCs w:val="20"/>
              </w:rPr>
              <w:t xml:space="preserve"> : </w:t>
            </w:r>
            <w:r>
              <w:rPr>
                <w:rFonts w:ascii="Times New Roman" w:hAnsi="Times New Roman"/>
                <w:sz w:val="20"/>
                <w:szCs w:val="20"/>
              </w:rPr>
              <w:t xml:space="preserve">coupure intempestive d’électricité </w:t>
            </w:r>
          </w:p>
        </w:tc>
      </w:tr>
      <w:tr w:rsidR="00F84FAF" w:rsidRPr="00420C1B" w14:paraId="4CF5835A" w14:textId="77777777" w:rsidTr="00215867">
        <w:trPr>
          <w:trHeight w:val="250"/>
          <w:jc w:val="center"/>
        </w:trPr>
        <w:tc>
          <w:tcPr>
            <w:tcW w:w="872" w:type="pct"/>
            <w:vMerge w:val="restart"/>
            <w:tcBorders>
              <w:top w:val="single" w:sz="4" w:space="0" w:color="auto"/>
              <w:left w:val="single" w:sz="4" w:space="0" w:color="auto"/>
              <w:bottom w:val="single" w:sz="4" w:space="0" w:color="auto"/>
              <w:right w:val="single" w:sz="4" w:space="0" w:color="auto"/>
            </w:tcBorders>
            <w:hideMark/>
          </w:tcPr>
          <w:p w14:paraId="232C74E6" w14:textId="77777777" w:rsidR="00F84FAF" w:rsidRPr="00D75D2E" w:rsidRDefault="00F84FAF" w:rsidP="002948CF">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950" w:type="pct"/>
            <w:gridSpan w:val="7"/>
            <w:vMerge w:val="restart"/>
            <w:tcBorders>
              <w:top w:val="single" w:sz="4" w:space="0" w:color="auto"/>
              <w:left w:val="single" w:sz="4" w:space="0" w:color="auto"/>
              <w:right w:val="single" w:sz="4" w:space="0" w:color="auto"/>
            </w:tcBorders>
            <w:shd w:val="clear" w:color="auto" w:fill="auto"/>
          </w:tcPr>
          <w:p w14:paraId="7B8D5BB1"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hAnsi="Times New Roman"/>
                <w:sz w:val="20"/>
                <w:szCs w:val="20"/>
              </w:rPr>
              <w:t xml:space="preserve">Zone d’évolution des travaux (communes concernés par les travaux) </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hideMark/>
          </w:tcPr>
          <w:p w14:paraId="790381B8" w14:textId="77777777" w:rsidR="00F84FAF" w:rsidRPr="00D75D2E" w:rsidRDefault="00F84FAF" w:rsidP="002948CF">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hideMark/>
          </w:tcPr>
          <w:p w14:paraId="169469C1" w14:textId="77777777" w:rsidR="00F84FAF" w:rsidRPr="00D75D2E" w:rsidRDefault="00F84FAF" w:rsidP="002948CF">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945" w:type="pct"/>
            <w:vMerge w:val="restart"/>
            <w:tcBorders>
              <w:top w:val="single" w:sz="4" w:space="0" w:color="auto"/>
              <w:left w:val="single" w:sz="4" w:space="0" w:color="auto"/>
              <w:bottom w:val="single" w:sz="4" w:space="0" w:color="auto"/>
              <w:right w:val="single" w:sz="4" w:space="0" w:color="auto"/>
            </w:tcBorders>
            <w:hideMark/>
          </w:tcPr>
          <w:p w14:paraId="56A9D8F8" w14:textId="77777777" w:rsidR="00F84FAF" w:rsidRPr="00D75D2E" w:rsidRDefault="00F84FAF" w:rsidP="002948CF">
            <w:pPr>
              <w:spacing w:after="0" w:line="240" w:lineRule="auto"/>
              <w:jc w:val="center"/>
              <w:rPr>
                <w:rFonts w:ascii="Times New Roman" w:hAnsi="Times New Roman"/>
                <w:sz w:val="20"/>
                <w:szCs w:val="20"/>
              </w:rPr>
            </w:pPr>
          </w:p>
        </w:tc>
      </w:tr>
      <w:tr w:rsidR="00F84FAF" w:rsidRPr="00420C1B" w14:paraId="53209E4F" w14:textId="77777777" w:rsidTr="00215867">
        <w:trPr>
          <w:trHeight w:val="245"/>
          <w:jc w:val="cent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01BCE4B2" w14:textId="77777777" w:rsidR="00F84FAF" w:rsidRPr="00D75D2E" w:rsidRDefault="00F84FAF" w:rsidP="002948CF">
            <w:pPr>
              <w:spacing w:after="0" w:line="240" w:lineRule="auto"/>
              <w:rPr>
                <w:rFonts w:ascii="Times New Roman" w:eastAsia="Times New Roman" w:hAnsi="Times New Roman"/>
                <w:sz w:val="20"/>
                <w:szCs w:val="20"/>
                <w:lang w:eastAsia="fr-FR"/>
              </w:rPr>
            </w:pPr>
          </w:p>
        </w:tc>
        <w:tc>
          <w:tcPr>
            <w:tcW w:w="1950" w:type="pct"/>
            <w:gridSpan w:val="7"/>
            <w:vMerge/>
            <w:tcBorders>
              <w:left w:val="single" w:sz="4" w:space="0" w:color="auto"/>
              <w:right w:val="single" w:sz="4" w:space="0" w:color="auto"/>
            </w:tcBorders>
            <w:shd w:val="clear" w:color="auto" w:fill="auto"/>
            <w:vAlign w:val="center"/>
          </w:tcPr>
          <w:p w14:paraId="469E41B4" w14:textId="77777777" w:rsidR="00F84FAF" w:rsidRPr="00D75D2E" w:rsidRDefault="00F84FAF" w:rsidP="002948CF">
            <w:pPr>
              <w:spacing w:after="0" w:line="240" w:lineRule="auto"/>
              <w:rPr>
                <w:rFonts w:ascii="Times New Roman" w:eastAsia="Times New Roman" w:hAnsi="Times New Roman"/>
                <w:sz w:val="20"/>
                <w:szCs w:val="20"/>
                <w:lang w:eastAsia="fr-FR"/>
              </w:rPr>
            </w:pP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tcPr>
          <w:p w14:paraId="404B6358" w14:textId="77777777" w:rsidR="00F84FAF" w:rsidRPr="00D75D2E" w:rsidRDefault="00F84FAF"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590" w:type="pct"/>
            <w:gridSpan w:val="2"/>
            <w:tcBorders>
              <w:top w:val="single" w:sz="4" w:space="0" w:color="auto"/>
              <w:left w:val="nil"/>
              <w:bottom w:val="single" w:sz="4" w:space="0" w:color="auto"/>
              <w:right w:val="single" w:sz="4" w:space="0" w:color="auto"/>
            </w:tcBorders>
            <w:shd w:val="clear" w:color="auto" w:fill="auto"/>
          </w:tcPr>
          <w:p w14:paraId="272F065B" w14:textId="77777777" w:rsidR="00F84FAF" w:rsidRPr="00D75D2E" w:rsidRDefault="00F84FAF"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52138D4D" w14:textId="77777777" w:rsidR="00F84FAF" w:rsidRPr="00D75D2E" w:rsidRDefault="00F84FAF" w:rsidP="002948CF">
            <w:pPr>
              <w:spacing w:after="0" w:line="240" w:lineRule="auto"/>
              <w:rPr>
                <w:rFonts w:ascii="Times New Roman" w:hAnsi="Times New Roman"/>
                <w:sz w:val="20"/>
                <w:szCs w:val="20"/>
              </w:rPr>
            </w:pPr>
          </w:p>
        </w:tc>
      </w:tr>
      <w:tr w:rsidR="00F84FAF" w:rsidRPr="00420C1B" w14:paraId="1F1A5BA6" w14:textId="77777777" w:rsidTr="00215867">
        <w:trPr>
          <w:trHeight w:val="246"/>
          <w:jc w:val="cent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256626A6" w14:textId="77777777" w:rsidR="00F84FAF" w:rsidRPr="00D75D2E" w:rsidRDefault="00F84FAF" w:rsidP="002948CF">
            <w:pPr>
              <w:spacing w:after="0" w:line="240" w:lineRule="auto"/>
              <w:rPr>
                <w:rFonts w:ascii="Times New Roman" w:eastAsia="Times New Roman" w:hAnsi="Times New Roman"/>
                <w:sz w:val="20"/>
                <w:szCs w:val="20"/>
                <w:lang w:eastAsia="fr-FR"/>
              </w:rPr>
            </w:pPr>
          </w:p>
        </w:tc>
        <w:tc>
          <w:tcPr>
            <w:tcW w:w="1950" w:type="pct"/>
            <w:gridSpan w:val="7"/>
            <w:vMerge/>
            <w:tcBorders>
              <w:left w:val="single" w:sz="4" w:space="0" w:color="auto"/>
              <w:bottom w:val="single" w:sz="4" w:space="0" w:color="auto"/>
              <w:right w:val="single" w:sz="4" w:space="0" w:color="auto"/>
            </w:tcBorders>
            <w:shd w:val="clear" w:color="auto" w:fill="auto"/>
            <w:vAlign w:val="center"/>
          </w:tcPr>
          <w:p w14:paraId="5AE58200" w14:textId="77777777" w:rsidR="00F84FAF" w:rsidRPr="00D75D2E" w:rsidRDefault="00F84FAF" w:rsidP="002948CF">
            <w:pPr>
              <w:spacing w:after="0" w:line="240" w:lineRule="auto"/>
              <w:jc w:val="both"/>
              <w:rPr>
                <w:rFonts w:ascii="Times New Roman" w:eastAsia="Times New Roman" w:hAnsi="Times New Roman"/>
                <w:sz w:val="20"/>
                <w:szCs w:val="20"/>
                <w:lang w:eastAsia="fr-FR"/>
              </w:rPr>
            </w:pPr>
          </w:p>
        </w:tc>
        <w:tc>
          <w:tcPr>
            <w:tcW w:w="642" w:type="pct"/>
            <w:gridSpan w:val="2"/>
            <w:tcBorders>
              <w:top w:val="single" w:sz="4" w:space="0" w:color="auto"/>
              <w:left w:val="single" w:sz="4" w:space="0" w:color="auto"/>
              <w:bottom w:val="nil"/>
              <w:right w:val="single" w:sz="4" w:space="0" w:color="auto"/>
            </w:tcBorders>
            <w:shd w:val="clear" w:color="auto" w:fill="auto"/>
          </w:tcPr>
          <w:p w14:paraId="31B90FB8" w14:textId="77777777" w:rsidR="00F84FAF" w:rsidRPr="00D75D2E" w:rsidRDefault="00F84FAF"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590" w:type="pct"/>
            <w:gridSpan w:val="2"/>
            <w:tcBorders>
              <w:top w:val="single" w:sz="4" w:space="0" w:color="auto"/>
              <w:left w:val="single" w:sz="4" w:space="0" w:color="auto"/>
              <w:bottom w:val="nil"/>
              <w:right w:val="single" w:sz="4" w:space="0" w:color="auto"/>
            </w:tcBorders>
            <w:shd w:val="clear" w:color="auto" w:fill="auto"/>
          </w:tcPr>
          <w:p w14:paraId="239CD7E4" w14:textId="77777777" w:rsidR="00F84FAF" w:rsidRPr="00D75D2E" w:rsidRDefault="00F84FAF"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53131BB2" w14:textId="77777777" w:rsidR="00F84FAF" w:rsidRPr="00D75D2E" w:rsidRDefault="00F84FAF" w:rsidP="002948CF">
            <w:pPr>
              <w:spacing w:after="0" w:line="240" w:lineRule="auto"/>
              <w:rPr>
                <w:rFonts w:ascii="Times New Roman" w:hAnsi="Times New Roman"/>
                <w:sz w:val="20"/>
                <w:szCs w:val="20"/>
              </w:rPr>
            </w:pPr>
          </w:p>
        </w:tc>
      </w:tr>
      <w:tr w:rsidR="00F84FAF" w:rsidRPr="00420C1B" w14:paraId="03712BBA" w14:textId="77777777" w:rsidTr="00215867">
        <w:trPr>
          <w:trHeight w:val="242"/>
          <w:jc w:val="center"/>
        </w:trPr>
        <w:tc>
          <w:tcPr>
            <w:tcW w:w="872" w:type="pct"/>
            <w:vMerge w:val="restart"/>
            <w:tcBorders>
              <w:top w:val="single" w:sz="4" w:space="0" w:color="auto"/>
              <w:left w:val="single" w:sz="4" w:space="0" w:color="auto"/>
              <w:bottom w:val="single" w:sz="4" w:space="0" w:color="auto"/>
              <w:right w:val="single" w:sz="4" w:space="0" w:color="auto"/>
            </w:tcBorders>
          </w:tcPr>
          <w:p w14:paraId="513ABCEE" w14:textId="77777777" w:rsidR="00F84FAF" w:rsidRPr="00D75D2E" w:rsidRDefault="00F84FAF" w:rsidP="002948CF">
            <w:pPr>
              <w:spacing w:after="0" w:line="240" w:lineRule="auto"/>
              <w:rPr>
                <w:rFonts w:ascii="Times New Roman" w:hAnsi="Times New Roman"/>
                <w:b/>
                <w:sz w:val="20"/>
                <w:szCs w:val="20"/>
              </w:rPr>
            </w:pPr>
          </w:p>
          <w:p w14:paraId="556ED731" w14:textId="77777777" w:rsidR="00F84FAF" w:rsidRPr="00D75D2E" w:rsidRDefault="00F84FAF" w:rsidP="002948CF">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777" w:type="pct"/>
            <w:gridSpan w:val="2"/>
            <w:vMerge w:val="restart"/>
            <w:tcBorders>
              <w:top w:val="single" w:sz="4" w:space="0" w:color="auto"/>
              <w:left w:val="single" w:sz="4" w:space="0" w:color="auto"/>
              <w:bottom w:val="single" w:sz="4" w:space="0" w:color="auto"/>
              <w:right w:val="single" w:sz="4" w:space="0" w:color="auto"/>
            </w:tcBorders>
            <w:hideMark/>
          </w:tcPr>
          <w:p w14:paraId="18425FC0" w14:textId="77777777" w:rsidR="00F84FAF" w:rsidRPr="00D75D2E" w:rsidRDefault="00F84FAF" w:rsidP="002948CF">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45600046" w14:textId="77777777" w:rsidR="00F84FAF" w:rsidRPr="00D75D2E" w:rsidRDefault="00F84FAF" w:rsidP="002948CF">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636" w:type="pct"/>
            <w:gridSpan w:val="2"/>
            <w:tcBorders>
              <w:top w:val="single" w:sz="4" w:space="0" w:color="auto"/>
              <w:left w:val="single" w:sz="4" w:space="0" w:color="auto"/>
              <w:bottom w:val="single" w:sz="4" w:space="0" w:color="auto"/>
              <w:right w:val="single" w:sz="4" w:space="0" w:color="auto"/>
            </w:tcBorders>
            <w:hideMark/>
          </w:tcPr>
          <w:p w14:paraId="0EF747C3"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3F88BE82"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590" w:type="pct"/>
            <w:gridSpan w:val="2"/>
            <w:tcBorders>
              <w:top w:val="single" w:sz="4" w:space="0" w:color="auto"/>
              <w:left w:val="single" w:sz="4" w:space="0" w:color="auto"/>
              <w:bottom w:val="single" w:sz="4" w:space="0" w:color="auto"/>
              <w:right w:val="single" w:sz="4" w:space="0" w:color="auto"/>
            </w:tcBorders>
            <w:hideMark/>
          </w:tcPr>
          <w:p w14:paraId="7C0163AE"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945" w:type="pct"/>
            <w:tcBorders>
              <w:top w:val="single" w:sz="4" w:space="0" w:color="auto"/>
              <w:left w:val="single" w:sz="4" w:space="0" w:color="auto"/>
              <w:bottom w:val="single" w:sz="4" w:space="0" w:color="auto"/>
              <w:right w:val="single" w:sz="4" w:space="0" w:color="auto"/>
            </w:tcBorders>
            <w:hideMark/>
          </w:tcPr>
          <w:p w14:paraId="5C59FDF9"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F84FAF" w:rsidRPr="00420C1B" w14:paraId="6F216B92" w14:textId="77777777" w:rsidTr="00215867">
        <w:trPr>
          <w:trHeight w:val="258"/>
          <w:jc w:val="cent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27A7321F"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vMerge/>
            <w:tcBorders>
              <w:top w:val="single" w:sz="4" w:space="0" w:color="auto"/>
              <w:left w:val="single" w:sz="4" w:space="0" w:color="auto"/>
              <w:bottom w:val="single" w:sz="4" w:space="0" w:color="auto"/>
              <w:right w:val="single" w:sz="4" w:space="0" w:color="auto"/>
            </w:tcBorders>
            <w:vAlign w:val="center"/>
            <w:hideMark/>
          </w:tcPr>
          <w:p w14:paraId="543AA7E7" w14:textId="77777777" w:rsidR="00F84FAF" w:rsidRPr="00D75D2E" w:rsidRDefault="00F84FAF" w:rsidP="002948CF">
            <w:pPr>
              <w:spacing w:after="0" w:line="240" w:lineRule="auto"/>
              <w:rPr>
                <w:rFonts w:ascii="Times New Roman" w:eastAsia="Times New Roman" w:hAnsi="Times New Roman"/>
                <w:bCs/>
                <w:sz w:val="20"/>
                <w:szCs w:val="20"/>
              </w:rPr>
            </w:pPr>
          </w:p>
        </w:tc>
        <w:tc>
          <w:tcPr>
            <w:tcW w:w="636" w:type="pct"/>
            <w:gridSpan w:val="2"/>
            <w:tcBorders>
              <w:top w:val="single" w:sz="4" w:space="0" w:color="auto"/>
              <w:left w:val="single" w:sz="4" w:space="0" w:color="auto"/>
              <w:bottom w:val="single" w:sz="4" w:space="0" w:color="auto"/>
              <w:right w:val="single" w:sz="4" w:space="0" w:color="auto"/>
            </w:tcBorders>
            <w:vAlign w:val="center"/>
            <w:hideMark/>
          </w:tcPr>
          <w:p w14:paraId="69481E2F" w14:textId="77777777" w:rsidR="00F84FAF" w:rsidRPr="00D75D2E" w:rsidRDefault="00F84FAF" w:rsidP="002948CF">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F</w:t>
            </w:r>
            <w:r>
              <w:rPr>
                <w:rFonts w:ascii="Times New Roman" w:hAnsi="Times New Roman"/>
                <w:sz w:val="20"/>
                <w:szCs w:val="20"/>
              </w:rPr>
              <w:t>aible</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0EBAE60A" w14:textId="77777777" w:rsidR="00F84FAF" w:rsidRPr="00D75D2E" w:rsidRDefault="00F84FAF" w:rsidP="002948CF">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590" w:type="pct"/>
            <w:gridSpan w:val="2"/>
            <w:tcBorders>
              <w:top w:val="single" w:sz="4" w:space="0" w:color="auto"/>
              <w:left w:val="single" w:sz="4" w:space="0" w:color="auto"/>
              <w:bottom w:val="single" w:sz="4" w:space="0" w:color="auto"/>
              <w:right w:val="single" w:sz="4" w:space="0" w:color="auto"/>
            </w:tcBorders>
            <w:vAlign w:val="center"/>
            <w:hideMark/>
          </w:tcPr>
          <w:p w14:paraId="3317D5DD" w14:textId="77777777" w:rsidR="00F84FAF" w:rsidRPr="00D75D2E" w:rsidRDefault="00F84FAF" w:rsidP="002948CF">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Faible</w:t>
            </w:r>
          </w:p>
        </w:tc>
        <w:tc>
          <w:tcPr>
            <w:tcW w:w="945" w:type="pct"/>
            <w:tcBorders>
              <w:top w:val="single" w:sz="4" w:space="0" w:color="auto"/>
              <w:left w:val="single" w:sz="4" w:space="0" w:color="auto"/>
              <w:bottom w:val="single" w:sz="4" w:space="0" w:color="auto"/>
              <w:right w:val="single" w:sz="4" w:space="0" w:color="auto"/>
            </w:tcBorders>
            <w:vAlign w:val="center"/>
            <w:hideMark/>
          </w:tcPr>
          <w:p w14:paraId="34745D05" w14:textId="77777777" w:rsidR="00F84FAF" w:rsidRPr="00D75D2E" w:rsidRDefault="00F84FAF" w:rsidP="002948CF">
            <w:pPr>
              <w:spacing w:after="0" w:line="240" w:lineRule="auto"/>
              <w:rPr>
                <w:rFonts w:ascii="Times New Roman" w:hAnsi="Times New Roman"/>
                <w:sz w:val="20"/>
                <w:szCs w:val="20"/>
              </w:rPr>
            </w:pPr>
            <w:r>
              <w:rPr>
                <w:rFonts w:ascii="Times New Roman" w:hAnsi="Times New Roman"/>
                <w:sz w:val="20"/>
                <w:szCs w:val="20"/>
              </w:rPr>
              <w:t xml:space="preserve">Faible </w:t>
            </w:r>
          </w:p>
        </w:tc>
      </w:tr>
      <w:tr w:rsidR="00F84FAF" w:rsidRPr="00420C1B" w14:paraId="346F9950" w14:textId="77777777" w:rsidTr="00215867">
        <w:trPr>
          <w:trHeight w:val="258"/>
          <w:jc w:val="center"/>
        </w:trPr>
        <w:tc>
          <w:tcPr>
            <w:tcW w:w="872" w:type="pct"/>
            <w:vMerge/>
            <w:tcBorders>
              <w:top w:val="single" w:sz="4" w:space="0" w:color="auto"/>
              <w:left w:val="single" w:sz="4" w:space="0" w:color="auto"/>
              <w:bottom w:val="single" w:sz="4" w:space="0" w:color="auto"/>
              <w:right w:val="single" w:sz="4" w:space="0" w:color="auto"/>
            </w:tcBorders>
            <w:vAlign w:val="center"/>
          </w:tcPr>
          <w:p w14:paraId="7028A950"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tcBorders>
              <w:top w:val="single" w:sz="4" w:space="0" w:color="auto"/>
              <w:left w:val="single" w:sz="4" w:space="0" w:color="auto"/>
              <w:bottom w:val="single" w:sz="4" w:space="0" w:color="auto"/>
              <w:right w:val="single" w:sz="4" w:space="0" w:color="auto"/>
            </w:tcBorders>
            <w:vAlign w:val="center"/>
          </w:tcPr>
          <w:p w14:paraId="62F443D8" w14:textId="77777777" w:rsidR="00F84FAF" w:rsidRPr="00D75D2E" w:rsidRDefault="00F84FAF" w:rsidP="002948CF">
            <w:pPr>
              <w:spacing w:after="0" w:line="240" w:lineRule="auto"/>
              <w:rPr>
                <w:rFonts w:ascii="Times New Roman" w:eastAsia="Times New Roman" w:hAnsi="Times New Roman"/>
                <w:bCs/>
                <w:sz w:val="20"/>
                <w:szCs w:val="20"/>
              </w:rPr>
            </w:pPr>
          </w:p>
        </w:tc>
        <w:tc>
          <w:tcPr>
            <w:tcW w:w="636" w:type="pct"/>
            <w:gridSpan w:val="2"/>
            <w:tcBorders>
              <w:top w:val="single" w:sz="4" w:space="0" w:color="auto"/>
              <w:left w:val="single" w:sz="4" w:space="0" w:color="auto"/>
              <w:bottom w:val="single" w:sz="4" w:space="0" w:color="auto"/>
              <w:right w:val="single" w:sz="4" w:space="0" w:color="auto"/>
            </w:tcBorders>
            <w:vAlign w:val="center"/>
          </w:tcPr>
          <w:p w14:paraId="4FDB90F5"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tcPr>
          <w:p w14:paraId="3554D887"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Occurrence</w:t>
            </w:r>
          </w:p>
        </w:tc>
        <w:tc>
          <w:tcPr>
            <w:tcW w:w="590" w:type="pct"/>
            <w:gridSpan w:val="2"/>
            <w:tcBorders>
              <w:top w:val="single" w:sz="4" w:space="0" w:color="auto"/>
              <w:left w:val="single" w:sz="4" w:space="0" w:color="auto"/>
              <w:bottom w:val="single" w:sz="4" w:space="0" w:color="auto"/>
              <w:right w:val="single" w:sz="4" w:space="0" w:color="auto"/>
            </w:tcBorders>
          </w:tcPr>
          <w:p w14:paraId="13037E80"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Réversibilité</w:t>
            </w:r>
          </w:p>
        </w:tc>
        <w:tc>
          <w:tcPr>
            <w:tcW w:w="945" w:type="pct"/>
            <w:tcBorders>
              <w:top w:val="single" w:sz="4" w:space="0" w:color="auto"/>
              <w:left w:val="single" w:sz="4" w:space="0" w:color="auto"/>
              <w:bottom w:val="single" w:sz="4" w:space="0" w:color="auto"/>
              <w:right w:val="single" w:sz="4" w:space="0" w:color="auto"/>
            </w:tcBorders>
          </w:tcPr>
          <w:p w14:paraId="0818A49C" w14:textId="77777777" w:rsidR="00F84FAF" w:rsidRPr="00D75D2E" w:rsidRDefault="00F84FAF" w:rsidP="002948CF">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Cumulativité</w:t>
            </w:r>
          </w:p>
        </w:tc>
      </w:tr>
      <w:tr w:rsidR="00F84FAF" w:rsidRPr="00420C1B" w14:paraId="36DCF3C0" w14:textId="77777777" w:rsidTr="00215867">
        <w:trPr>
          <w:trHeight w:val="258"/>
          <w:jc w:val="center"/>
        </w:trPr>
        <w:tc>
          <w:tcPr>
            <w:tcW w:w="872" w:type="pct"/>
            <w:vMerge/>
            <w:tcBorders>
              <w:top w:val="single" w:sz="4" w:space="0" w:color="auto"/>
              <w:left w:val="single" w:sz="4" w:space="0" w:color="auto"/>
              <w:bottom w:val="single" w:sz="4" w:space="0" w:color="auto"/>
              <w:right w:val="single" w:sz="4" w:space="0" w:color="auto"/>
            </w:tcBorders>
            <w:vAlign w:val="center"/>
          </w:tcPr>
          <w:p w14:paraId="38596515"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tcBorders>
              <w:top w:val="single" w:sz="4" w:space="0" w:color="auto"/>
              <w:left w:val="single" w:sz="4" w:space="0" w:color="auto"/>
              <w:bottom w:val="single" w:sz="4" w:space="0" w:color="auto"/>
              <w:right w:val="single" w:sz="4" w:space="0" w:color="auto"/>
            </w:tcBorders>
            <w:vAlign w:val="center"/>
          </w:tcPr>
          <w:p w14:paraId="5887BA5B" w14:textId="77777777" w:rsidR="00F84FAF" w:rsidRPr="00D75D2E" w:rsidRDefault="00F84FAF" w:rsidP="002948CF">
            <w:pPr>
              <w:spacing w:after="0" w:line="240" w:lineRule="auto"/>
              <w:rPr>
                <w:rFonts w:ascii="Times New Roman" w:eastAsia="Times New Roman" w:hAnsi="Times New Roman"/>
                <w:bCs/>
                <w:sz w:val="20"/>
                <w:szCs w:val="20"/>
              </w:rPr>
            </w:pPr>
          </w:p>
        </w:tc>
        <w:tc>
          <w:tcPr>
            <w:tcW w:w="636" w:type="pct"/>
            <w:gridSpan w:val="2"/>
            <w:tcBorders>
              <w:top w:val="single" w:sz="4" w:space="0" w:color="auto"/>
              <w:left w:val="single" w:sz="4" w:space="0" w:color="auto"/>
              <w:bottom w:val="single" w:sz="4" w:space="0" w:color="auto"/>
              <w:right w:val="single" w:sz="4" w:space="0" w:color="auto"/>
            </w:tcBorders>
            <w:vAlign w:val="center"/>
          </w:tcPr>
          <w:p w14:paraId="6A052C31" w14:textId="77777777" w:rsidR="00F84FAF" w:rsidRPr="00D75D2E" w:rsidRDefault="00F84FAF" w:rsidP="002948C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Indi</w:t>
            </w:r>
            <w:r w:rsidRPr="00D75D2E">
              <w:rPr>
                <w:rFonts w:ascii="Times New Roman" w:eastAsia="Times New Roman" w:hAnsi="Times New Roman"/>
                <w:bCs/>
                <w:sz w:val="20"/>
                <w:szCs w:val="20"/>
              </w:rPr>
              <w:t>recte</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637D4CA9" w14:textId="77777777" w:rsidR="00F84FAF" w:rsidRPr="00D75D2E" w:rsidRDefault="00F84FAF" w:rsidP="002948CF">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590" w:type="pct"/>
            <w:gridSpan w:val="2"/>
            <w:tcBorders>
              <w:top w:val="single" w:sz="4" w:space="0" w:color="auto"/>
              <w:left w:val="single" w:sz="4" w:space="0" w:color="auto"/>
              <w:bottom w:val="single" w:sz="4" w:space="0" w:color="auto"/>
              <w:right w:val="single" w:sz="4" w:space="0" w:color="auto"/>
            </w:tcBorders>
            <w:vAlign w:val="center"/>
          </w:tcPr>
          <w:p w14:paraId="58F2C8B5" w14:textId="77777777" w:rsidR="00F84FAF" w:rsidRPr="00D75D2E" w:rsidRDefault="00F84FAF" w:rsidP="002948CF">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945" w:type="pct"/>
            <w:tcBorders>
              <w:top w:val="single" w:sz="4" w:space="0" w:color="auto"/>
              <w:left w:val="single" w:sz="4" w:space="0" w:color="auto"/>
              <w:bottom w:val="single" w:sz="4" w:space="0" w:color="auto"/>
              <w:right w:val="single" w:sz="4" w:space="0" w:color="auto"/>
            </w:tcBorders>
            <w:vAlign w:val="center"/>
          </w:tcPr>
          <w:p w14:paraId="750AB55F" w14:textId="77777777" w:rsidR="00F84FAF" w:rsidRPr="00D75D2E" w:rsidRDefault="00F84FAF" w:rsidP="002948CF">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F84FAF" w:rsidRPr="00420C1B" w14:paraId="37B79FA5" w14:textId="77777777" w:rsidTr="00215867">
        <w:trPr>
          <w:trHeight w:val="258"/>
          <w:jc w:val="center"/>
        </w:trPr>
        <w:tc>
          <w:tcPr>
            <w:tcW w:w="872" w:type="pct"/>
            <w:vMerge/>
            <w:tcBorders>
              <w:top w:val="single" w:sz="4" w:space="0" w:color="auto"/>
              <w:left w:val="single" w:sz="4" w:space="0" w:color="auto"/>
              <w:bottom w:val="single" w:sz="4" w:space="0" w:color="auto"/>
              <w:right w:val="single" w:sz="4" w:space="0" w:color="auto"/>
            </w:tcBorders>
            <w:vAlign w:val="center"/>
          </w:tcPr>
          <w:p w14:paraId="557FD85A"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tcBorders>
              <w:top w:val="single" w:sz="4" w:space="0" w:color="auto"/>
              <w:left w:val="single" w:sz="4" w:space="0" w:color="auto"/>
              <w:bottom w:val="single" w:sz="4" w:space="0" w:color="auto"/>
              <w:right w:val="single" w:sz="4" w:space="0" w:color="auto"/>
            </w:tcBorders>
            <w:vAlign w:val="center"/>
          </w:tcPr>
          <w:p w14:paraId="249BD91A" w14:textId="77777777" w:rsidR="00F84FAF" w:rsidRPr="00D75D2E" w:rsidRDefault="00F84FAF" w:rsidP="002948CF">
            <w:pPr>
              <w:spacing w:after="0" w:line="240" w:lineRule="auto"/>
              <w:rPr>
                <w:rFonts w:ascii="Times New Roman" w:eastAsia="Times New Roman" w:hAnsi="Times New Roman"/>
                <w:bCs/>
                <w:sz w:val="20"/>
                <w:szCs w:val="20"/>
              </w:rPr>
            </w:pPr>
          </w:p>
        </w:tc>
        <w:tc>
          <w:tcPr>
            <w:tcW w:w="636" w:type="pct"/>
            <w:gridSpan w:val="2"/>
            <w:tcBorders>
              <w:top w:val="single" w:sz="4" w:space="0" w:color="auto"/>
              <w:left w:val="single" w:sz="4" w:space="0" w:color="auto"/>
              <w:bottom w:val="single" w:sz="4" w:space="0" w:color="auto"/>
              <w:right w:val="single" w:sz="4" w:space="0" w:color="auto"/>
            </w:tcBorders>
          </w:tcPr>
          <w:p w14:paraId="09E47D36" w14:textId="77777777" w:rsidR="00F84FAF" w:rsidRPr="00D75D2E" w:rsidRDefault="00F84FAF" w:rsidP="002948CF">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1DA42E07" w14:textId="77777777" w:rsidR="00F84FAF" w:rsidRPr="00D75D2E" w:rsidRDefault="00F84FAF" w:rsidP="002948CF">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590" w:type="pct"/>
            <w:gridSpan w:val="2"/>
            <w:tcBorders>
              <w:top w:val="single" w:sz="4" w:space="0" w:color="auto"/>
              <w:left w:val="single" w:sz="4" w:space="0" w:color="auto"/>
              <w:bottom w:val="single" w:sz="4" w:space="0" w:color="auto"/>
              <w:right w:val="single" w:sz="4" w:space="0" w:color="auto"/>
            </w:tcBorders>
            <w:vAlign w:val="center"/>
          </w:tcPr>
          <w:p w14:paraId="3E8678DE" w14:textId="77777777" w:rsidR="00F84FAF" w:rsidRPr="00D75D2E" w:rsidRDefault="00F84FAF" w:rsidP="002948CF">
            <w:pPr>
              <w:spacing w:after="0" w:line="240" w:lineRule="auto"/>
              <w:jc w:val="center"/>
              <w:rPr>
                <w:rFonts w:ascii="Times New Roman" w:hAnsi="Times New Roman"/>
                <w:sz w:val="20"/>
                <w:szCs w:val="20"/>
              </w:rPr>
            </w:pPr>
          </w:p>
        </w:tc>
        <w:tc>
          <w:tcPr>
            <w:tcW w:w="945" w:type="pct"/>
            <w:tcBorders>
              <w:top w:val="single" w:sz="4" w:space="0" w:color="auto"/>
              <w:left w:val="single" w:sz="4" w:space="0" w:color="auto"/>
              <w:bottom w:val="single" w:sz="4" w:space="0" w:color="auto"/>
              <w:right w:val="single" w:sz="4" w:space="0" w:color="auto"/>
            </w:tcBorders>
            <w:vAlign w:val="center"/>
          </w:tcPr>
          <w:p w14:paraId="47D7AA93" w14:textId="77777777" w:rsidR="00F84FAF" w:rsidRPr="00D75D2E" w:rsidRDefault="00F84FAF" w:rsidP="002948CF">
            <w:pPr>
              <w:spacing w:after="0" w:line="240" w:lineRule="auto"/>
              <w:jc w:val="both"/>
              <w:rPr>
                <w:rFonts w:ascii="Times New Roman" w:hAnsi="Times New Roman"/>
                <w:sz w:val="20"/>
                <w:szCs w:val="20"/>
              </w:rPr>
            </w:pPr>
          </w:p>
        </w:tc>
      </w:tr>
      <w:tr w:rsidR="00F84FAF" w:rsidRPr="00420C1B" w14:paraId="74B651E2" w14:textId="77777777" w:rsidTr="00215867">
        <w:trPr>
          <w:trHeight w:val="258"/>
          <w:jc w:val="center"/>
        </w:trPr>
        <w:tc>
          <w:tcPr>
            <w:tcW w:w="872" w:type="pct"/>
            <w:vMerge/>
            <w:tcBorders>
              <w:top w:val="single" w:sz="4" w:space="0" w:color="auto"/>
              <w:left w:val="single" w:sz="4" w:space="0" w:color="auto"/>
              <w:bottom w:val="single" w:sz="4" w:space="0" w:color="auto"/>
              <w:right w:val="single" w:sz="4" w:space="0" w:color="auto"/>
            </w:tcBorders>
            <w:vAlign w:val="center"/>
          </w:tcPr>
          <w:p w14:paraId="1A745968"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tcBorders>
              <w:top w:val="single" w:sz="4" w:space="0" w:color="auto"/>
              <w:left w:val="single" w:sz="4" w:space="0" w:color="auto"/>
              <w:bottom w:val="single" w:sz="4" w:space="0" w:color="auto"/>
              <w:right w:val="single" w:sz="4" w:space="0" w:color="auto"/>
            </w:tcBorders>
            <w:vAlign w:val="center"/>
          </w:tcPr>
          <w:p w14:paraId="7C96A3CC" w14:textId="77777777" w:rsidR="00F84FAF" w:rsidRPr="00D75D2E" w:rsidRDefault="00F84FAF" w:rsidP="002948CF">
            <w:pPr>
              <w:spacing w:after="0" w:line="240" w:lineRule="auto"/>
              <w:rPr>
                <w:rFonts w:ascii="Times New Roman" w:eastAsia="Times New Roman" w:hAnsi="Times New Roman"/>
                <w:bCs/>
                <w:sz w:val="20"/>
                <w:szCs w:val="20"/>
              </w:rPr>
            </w:pPr>
          </w:p>
        </w:tc>
        <w:tc>
          <w:tcPr>
            <w:tcW w:w="636" w:type="pct"/>
            <w:gridSpan w:val="2"/>
            <w:tcBorders>
              <w:top w:val="single" w:sz="4" w:space="0" w:color="auto"/>
              <w:left w:val="single" w:sz="4" w:space="0" w:color="auto"/>
              <w:bottom w:val="single" w:sz="4" w:space="0" w:color="auto"/>
              <w:right w:val="single" w:sz="4" w:space="0" w:color="auto"/>
            </w:tcBorders>
            <w:vAlign w:val="center"/>
          </w:tcPr>
          <w:p w14:paraId="3A16D214" w14:textId="77777777" w:rsidR="00F84FAF" w:rsidRPr="00D75D2E" w:rsidRDefault="00F84FAF" w:rsidP="002948CF">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769" w:type="pct"/>
            <w:gridSpan w:val="7"/>
            <w:tcBorders>
              <w:top w:val="single" w:sz="4" w:space="0" w:color="auto"/>
              <w:left w:val="single" w:sz="4" w:space="0" w:color="auto"/>
              <w:bottom w:val="single" w:sz="4" w:space="0" w:color="auto"/>
              <w:right w:val="single" w:sz="4" w:space="0" w:color="auto"/>
            </w:tcBorders>
            <w:vAlign w:val="center"/>
          </w:tcPr>
          <w:p w14:paraId="1886249B" w14:textId="77777777" w:rsidR="00F84FAF" w:rsidRPr="00D75D2E" w:rsidRDefault="00F84FAF" w:rsidP="002948CF">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Economique, Socio culturel </w:t>
            </w:r>
          </w:p>
        </w:tc>
        <w:tc>
          <w:tcPr>
            <w:tcW w:w="945" w:type="pct"/>
          </w:tcPr>
          <w:p w14:paraId="6D3711E4" w14:textId="77777777" w:rsidR="00F84FAF" w:rsidRPr="00D75D2E" w:rsidRDefault="00F84FAF" w:rsidP="002948CF">
            <w:pPr>
              <w:spacing w:after="0" w:line="240" w:lineRule="auto"/>
              <w:rPr>
                <w:rFonts w:ascii="Times New Roman" w:hAnsi="Times New Roman"/>
                <w:sz w:val="20"/>
                <w:szCs w:val="20"/>
              </w:rPr>
            </w:pPr>
          </w:p>
        </w:tc>
      </w:tr>
      <w:tr w:rsidR="00F84FAF" w:rsidRPr="00420C1B" w14:paraId="5DAB2310" w14:textId="77777777" w:rsidTr="00215867">
        <w:trPr>
          <w:trHeight w:val="994"/>
          <w:jc w:val="center"/>
        </w:trPr>
        <w:tc>
          <w:tcPr>
            <w:tcW w:w="872" w:type="pct"/>
            <w:vMerge/>
            <w:tcBorders>
              <w:top w:val="single" w:sz="4" w:space="0" w:color="auto"/>
              <w:left w:val="single" w:sz="4" w:space="0" w:color="auto"/>
              <w:bottom w:val="single" w:sz="4" w:space="0" w:color="auto"/>
              <w:right w:val="single" w:sz="4" w:space="0" w:color="auto"/>
            </w:tcBorders>
            <w:vAlign w:val="center"/>
            <w:hideMark/>
          </w:tcPr>
          <w:p w14:paraId="11704743" w14:textId="77777777" w:rsidR="00F84FAF" w:rsidRPr="00D75D2E" w:rsidRDefault="00F84FAF" w:rsidP="002948CF">
            <w:pPr>
              <w:spacing w:after="0" w:line="240" w:lineRule="auto"/>
              <w:rPr>
                <w:rFonts w:ascii="Times New Roman" w:hAnsi="Times New Roman"/>
                <w:b/>
                <w:sz w:val="20"/>
                <w:szCs w:val="20"/>
              </w:rPr>
            </w:pPr>
          </w:p>
        </w:tc>
        <w:tc>
          <w:tcPr>
            <w:tcW w:w="777" w:type="pct"/>
            <w:gridSpan w:val="2"/>
            <w:tcBorders>
              <w:top w:val="single" w:sz="4" w:space="0" w:color="auto"/>
              <w:left w:val="single" w:sz="4" w:space="0" w:color="auto"/>
              <w:bottom w:val="single" w:sz="4" w:space="0" w:color="auto"/>
              <w:right w:val="single" w:sz="4" w:space="0" w:color="auto"/>
            </w:tcBorders>
            <w:hideMark/>
          </w:tcPr>
          <w:p w14:paraId="1B6A8812" w14:textId="77777777" w:rsidR="00F84FAF" w:rsidRPr="00D75D2E" w:rsidRDefault="00F84FAF" w:rsidP="002948CF">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351" w:type="pct"/>
            <w:gridSpan w:val="10"/>
            <w:tcBorders>
              <w:top w:val="single" w:sz="4" w:space="0" w:color="auto"/>
              <w:left w:val="single" w:sz="4" w:space="0" w:color="auto"/>
              <w:bottom w:val="single" w:sz="4" w:space="0" w:color="auto"/>
              <w:right w:val="single" w:sz="4" w:space="0" w:color="auto"/>
            </w:tcBorders>
          </w:tcPr>
          <w:p w14:paraId="60F2CCE4" w14:textId="77777777" w:rsidR="00F84FAF" w:rsidRPr="00D75D2E" w:rsidRDefault="00F84FAF" w:rsidP="002948CF">
            <w:pPr>
              <w:spacing w:before="60"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 xml:space="preserve">Les travaux d’entretien du réseau vont occasionner des coupures intempestives d’électricité, qui </w:t>
            </w:r>
            <w:r w:rsidRPr="003875C8">
              <w:rPr>
                <w:rFonts w:ascii="Times New Roman" w:eastAsia="Times New Roman" w:hAnsi="Times New Roman"/>
                <w:bCs/>
                <w:sz w:val="20"/>
                <w:szCs w:val="20"/>
              </w:rPr>
              <w:t>seront à la base des désagréments de la part des consommateurs (populations) et des disfonctionnements de certains services au niveau des hôpitaux et centre de santé, notamment à la néonatologie, morgue, soins d’urgences, etc.</w:t>
            </w:r>
          </w:p>
        </w:tc>
      </w:tr>
      <w:tr w:rsidR="00F84FAF" w:rsidRPr="00420C1B" w14:paraId="6CC92451" w14:textId="77777777" w:rsidTr="00215867">
        <w:trPr>
          <w:trHeight w:val="492"/>
          <w:jc w:val="center"/>
        </w:trPr>
        <w:tc>
          <w:tcPr>
            <w:tcW w:w="1649" w:type="pct"/>
            <w:gridSpan w:val="3"/>
            <w:tcBorders>
              <w:top w:val="single" w:sz="4" w:space="0" w:color="auto"/>
              <w:left w:val="single" w:sz="4" w:space="0" w:color="auto"/>
              <w:bottom w:val="single" w:sz="4" w:space="0" w:color="auto"/>
              <w:right w:val="single" w:sz="4" w:space="0" w:color="auto"/>
            </w:tcBorders>
            <w:hideMark/>
          </w:tcPr>
          <w:p w14:paraId="096D0DA8" w14:textId="77777777" w:rsidR="00F84FAF" w:rsidRPr="00D75D2E" w:rsidRDefault="00F84FAF" w:rsidP="002948CF">
            <w:pPr>
              <w:spacing w:after="0" w:line="240" w:lineRule="auto"/>
              <w:jc w:val="both"/>
              <w:rPr>
                <w:rFonts w:ascii="Times New Roman" w:eastAsia="Times New Roman" w:hAnsi="Times New Roman"/>
                <w:sz w:val="20"/>
                <w:szCs w:val="20"/>
                <w:lang w:eastAsia="fr-FR"/>
              </w:rPr>
            </w:pPr>
            <w:r w:rsidRPr="00D75D2E">
              <w:rPr>
                <w:rFonts w:ascii="Times New Roman" w:hAnsi="Times New Roman"/>
                <w:b/>
                <w:sz w:val="20"/>
                <w:szCs w:val="20"/>
              </w:rPr>
              <w:t>Titre de la mesure d’atténuation</w:t>
            </w:r>
            <w:r w:rsidRPr="00D75D2E">
              <w:rPr>
                <w:rFonts w:ascii="Times New Roman" w:hAnsi="Times New Roman"/>
                <w:sz w:val="20"/>
                <w:szCs w:val="20"/>
              </w:rPr>
              <w:t xml:space="preserve"> : </w:t>
            </w:r>
          </w:p>
        </w:tc>
        <w:tc>
          <w:tcPr>
            <w:tcW w:w="3351" w:type="pct"/>
            <w:gridSpan w:val="10"/>
            <w:tcBorders>
              <w:top w:val="single" w:sz="4" w:space="0" w:color="auto"/>
              <w:left w:val="single" w:sz="4" w:space="0" w:color="auto"/>
              <w:bottom w:val="single" w:sz="4" w:space="0" w:color="auto"/>
              <w:right w:val="single" w:sz="4" w:space="0" w:color="auto"/>
            </w:tcBorders>
          </w:tcPr>
          <w:p w14:paraId="37B1AEA3" w14:textId="77777777" w:rsidR="00F84FAF" w:rsidRDefault="00F84FAF" w:rsidP="005B1D09">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Informer la population au moins 72 heures à l’avance des interventions devant être effectuée sur le réseau, de leur durée et du moment de rétablissement de la fourniture ;</w:t>
            </w:r>
          </w:p>
          <w:p w14:paraId="36857D6E" w14:textId="77777777" w:rsidR="00F84FAF" w:rsidRDefault="00F84FAF" w:rsidP="005B1D09">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Assurer largement diffusion des communiquer des interventions prévues sur le réseau dans les radios et télévision locales et les réseaux sociaux;</w:t>
            </w:r>
          </w:p>
          <w:p w14:paraId="3A29B31D" w14:textId="77777777" w:rsidR="00F84FAF" w:rsidRPr="00193B71" w:rsidRDefault="00F84FAF" w:rsidP="005B1D09">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Programmer les entretiens périodiques des installations et du réseau.</w:t>
            </w:r>
          </w:p>
        </w:tc>
      </w:tr>
      <w:tr w:rsidR="00F84FAF" w:rsidRPr="00420C1B" w14:paraId="776448AD" w14:textId="77777777" w:rsidTr="00215867">
        <w:trPr>
          <w:trHeight w:val="1018"/>
          <w:jc w:val="center"/>
        </w:trPr>
        <w:tc>
          <w:tcPr>
            <w:tcW w:w="1649" w:type="pct"/>
            <w:gridSpan w:val="3"/>
            <w:tcBorders>
              <w:top w:val="single" w:sz="4" w:space="0" w:color="auto"/>
              <w:left w:val="single" w:sz="4" w:space="0" w:color="auto"/>
              <w:bottom w:val="single" w:sz="4" w:space="0" w:color="auto"/>
              <w:right w:val="single" w:sz="4" w:space="0" w:color="auto"/>
            </w:tcBorders>
            <w:hideMark/>
          </w:tcPr>
          <w:p w14:paraId="7B832DE2" w14:textId="77777777" w:rsidR="00F84FAF" w:rsidRPr="00D75D2E" w:rsidRDefault="00F84FAF" w:rsidP="002948CF">
            <w:pPr>
              <w:spacing w:after="0" w:line="240" w:lineRule="auto"/>
              <w:rPr>
                <w:rFonts w:ascii="Times New Roman" w:hAnsi="Times New Roman"/>
                <w:sz w:val="20"/>
                <w:szCs w:val="20"/>
              </w:rPr>
            </w:pPr>
            <w:r w:rsidRPr="00D75D2E">
              <w:rPr>
                <w:rFonts w:ascii="Times New Roman" w:hAnsi="Times New Roman"/>
                <w:b/>
                <w:sz w:val="20"/>
                <w:szCs w:val="20"/>
              </w:rPr>
              <w:t>Objectif de la mesure d’atténuation</w:t>
            </w:r>
            <w:r w:rsidRPr="00D75D2E">
              <w:rPr>
                <w:rFonts w:ascii="Times New Roman" w:hAnsi="Times New Roman"/>
                <w:sz w:val="20"/>
                <w:szCs w:val="20"/>
              </w:rPr>
              <w:t xml:space="preserve"> : </w:t>
            </w:r>
          </w:p>
          <w:p w14:paraId="72843E0B" w14:textId="77777777" w:rsidR="00F84FAF" w:rsidRPr="00D75D2E" w:rsidRDefault="00F84FAF" w:rsidP="002948CF">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Limiter les risques de perturbation des activités socio-économiques de la population</w:t>
            </w:r>
          </w:p>
        </w:tc>
        <w:tc>
          <w:tcPr>
            <w:tcW w:w="3351" w:type="pct"/>
            <w:gridSpan w:val="10"/>
            <w:tcBorders>
              <w:top w:val="single" w:sz="4" w:space="0" w:color="auto"/>
              <w:left w:val="single" w:sz="4" w:space="0" w:color="auto"/>
              <w:bottom w:val="single" w:sz="4" w:space="0" w:color="auto"/>
              <w:right w:val="single" w:sz="4" w:space="0" w:color="auto"/>
            </w:tcBorders>
            <w:hideMark/>
          </w:tcPr>
          <w:p w14:paraId="564D3171" w14:textId="77777777" w:rsidR="00F84FAF" w:rsidRPr="00D75D2E" w:rsidRDefault="00F84FAF" w:rsidP="002948CF">
            <w:pPr>
              <w:autoSpaceDE w:val="0"/>
              <w:autoSpaceDN w:val="0"/>
              <w:adjustRightInd w:val="0"/>
              <w:spacing w:after="8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6A6EA938" w14:textId="77777777" w:rsidR="00F84FAF" w:rsidRDefault="00F84FAF" w:rsidP="005B1D09">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Réduire aux minimum voir supprimer des coupures intempestives d’électricité</w:t>
            </w:r>
          </w:p>
          <w:p w14:paraId="325EBC23" w14:textId="77777777" w:rsidR="00F84FAF" w:rsidRPr="00A65708" w:rsidRDefault="00F84FAF" w:rsidP="005B1D09">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Mettre en place un programme de maintenance préventive du réseau et de ses composantes (cabines : entretien du transformateur et disjoncteur ; poteaux : vérification de l’état des poteaux ; lignes : vérification des états des isolateurs et des câbles électriques)</w:t>
            </w:r>
          </w:p>
        </w:tc>
      </w:tr>
      <w:tr w:rsidR="00F84FAF" w:rsidRPr="00420C1B" w14:paraId="04C6935D" w14:textId="77777777" w:rsidTr="00215867">
        <w:trPr>
          <w:trHeight w:val="250"/>
          <w:jc w:val="center"/>
        </w:trPr>
        <w:tc>
          <w:tcPr>
            <w:tcW w:w="1649" w:type="pct"/>
            <w:gridSpan w:val="3"/>
            <w:tcBorders>
              <w:top w:val="single" w:sz="4" w:space="0" w:color="auto"/>
              <w:left w:val="single" w:sz="4" w:space="0" w:color="auto"/>
              <w:bottom w:val="single" w:sz="4" w:space="0" w:color="auto"/>
              <w:right w:val="single" w:sz="4" w:space="0" w:color="auto"/>
            </w:tcBorders>
            <w:hideMark/>
          </w:tcPr>
          <w:p w14:paraId="5D451D5E" w14:textId="77777777" w:rsidR="00F84FAF" w:rsidRPr="00D75D2E" w:rsidRDefault="00F84FAF" w:rsidP="002948CF">
            <w:pPr>
              <w:spacing w:after="0" w:line="240" w:lineRule="auto"/>
              <w:jc w:val="right"/>
              <w:rPr>
                <w:rFonts w:ascii="Times New Roman" w:hAnsi="Times New Roman"/>
                <w:b/>
                <w:sz w:val="20"/>
                <w:szCs w:val="20"/>
              </w:rPr>
            </w:pPr>
            <w:r w:rsidRPr="00D75D2E">
              <w:rPr>
                <w:rFonts w:ascii="Times New Roman" w:hAnsi="Times New Roman"/>
                <w:b/>
                <w:sz w:val="20"/>
                <w:szCs w:val="20"/>
              </w:rPr>
              <w:t>Impact résiduel</w:t>
            </w:r>
          </w:p>
        </w:tc>
        <w:tc>
          <w:tcPr>
            <w:tcW w:w="3351" w:type="pct"/>
            <w:gridSpan w:val="10"/>
            <w:tcBorders>
              <w:top w:val="single" w:sz="4" w:space="0" w:color="auto"/>
              <w:left w:val="single" w:sz="4" w:space="0" w:color="auto"/>
              <w:bottom w:val="single" w:sz="4" w:space="0" w:color="auto"/>
              <w:right w:val="single" w:sz="4" w:space="0" w:color="auto"/>
            </w:tcBorders>
            <w:hideMark/>
          </w:tcPr>
          <w:p w14:paraId="3F84770A" w14:textId="77777777" w:rsidR="00F84FAF" w:rsidRPr="00D75D2E" w:rsidRDefault="00F84FAF" w:rsidP="002948CF">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r>
      <w:tr w:rsidR="00F84FAF" w:rsidRPr="00420C1B" w14:paraId="038B6F9B" w14:textId="77777777" w:rsidTr="00215867">
        <w:trPr>
          <w:trHeight w:val="545"/>
          <w:jc w:val="center"/>
        </w:trPr>
        <w:tc>
          <w:tcPr>
            <w:tcW w:w="1649" w:type="pct"/>
            <w:gridSpan w:val="3"/>
            <w:tcBorders>
              <w:top w:val="single" w:sz="4" w:space="0" w:color="auto"/>
              <w:left w:val="single" w:sz="4" w:space="0" w:color="auto"/>
              <w:bottom w:val="single" w:sz="4" w:space="0" w:color="auto"/>
              <w:right w:val="single" w:sz="4" w:space="0" w:color="auto"/>
            </w:tcBorders>
            <w:hideMark/>
          </w:tcPr>
          <w:p w14:paraId="51101B45" w14:textId="77777777" w:rsidR="00F84FAF" w:rsidRPr="00D75D2E" w:rsidRDefault="00F84FAF" w:rsidP="002948CF">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71F300A7" w14:textId="77777777" w:rsidR="00F84FAF" w:rsidRPr="00D75D2E" w:rsidRDefault="00F84FAF" w:rsidP="005B1D09">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126CF7AA" w14:textId="184CC45E" w:rsidR="00F84FAF" w:rsidRPr="00E7457B" w:rsidRDefault="00F84FAF" w:rsidP="005B1D09">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Agence Congo</w:t>
            </w:r>
            <w:r>
              <w:rPr>
                <w:rFonts w:ascii="Times New Roman" w:hAnsi="Times New Roman"/>
                <w:sz w:val="20"/>
                <w:szCs w:val="20"/>
              </w:rPr>
              <w:t>laise de l’Environnement (ACE)</w:t>
            </w:r>
          </w:p>
        </w:tc>
        <w:tc>
          <w:tcPr>
            <w:tcW w:w="2406" w:type="pct"/>
            <w:gridSpan w:val="9"/>
            <w:tcBorders>
              <w:top w:val="single" w:sz="4" w:space="0" w:color="auto"/>
              <w:left w:val="single" w:sz="4" w:space="0" w:color="auto"/>
              <w:bottom w:val="single" w:sz="4" w:space="0" w:color="auto"/>
              <w:right w:val="single" w:sz="4" w:space="0" w:color="auto"/>
            </w:tcBorders>
            <w:hideMark/>
          </w:tcPr>
          <w:p w14:paraId="7965E4EF" w14:textId="77777777" w:rsidR="00F84FAF" w:rsidRPr="00D75D2E" w:rsidRDefault="00F84FAF" w:rsidP="002948CF">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550C9D28" w14:textId="77777777" w:rsidR="00F84FAF" w:rsidRPr="00D75D2E" w:rsidRDefault="00F84FAF" w:rsidP="005B1D09">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Cellule Provinciale de l’Environnement (CPE) ;</w:t>
            </w:r>
          </w:p>
          <w:p w14:paraId="5FF5FCCB" w14:textId="77777777" w:rsidR="00F84FAF" w:rsidRPr="00D75D2E" w:rsidRDefault="00F84FAF" w:rsidP="005B1D09">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D75D2E">
              <w:rPr>
                <w:rFonts w:ascii="Times New Roman" w:hAnsi="Times New Roman"/>
                <w:sz w:val="20"/>
                <w:szCs w:val="20"/>
              </w:rPr>
              <w:t>Sous</w:t>
            </w:r>
            <w:r>
              <w:rPr>
                <w:rFonts w:ascii="Times New Roman" w:hAnsi="Times New Roman"/>
                <w:sz w:val="20"/>
                <w:szCs w:val="20"/>
              </w:rPr>
              <w:t>-</w:t>
            </w:r>
            <w:r w:rsidRPr="00D75D2E">
              <w:rPr>
                <w:rFonts w:ascii="Times New Roman" w:hAnsi="Times New Roman"/>
                <w:sz w:val="20"/>
                <w:szCs w:val="20"/>
              </w:rPr>
              <w:t>Cellule environnementale et sociale d’UCM (SCES/UCM)</w:t>
            </w:r>
          </w:p>
          <w:p w14:paraId="7AEFDBD9" w14:textId="77777777" w:rsidR="00F84FAF" w:rsidRPr="00D75D2E" w:rsidRDefault="00F84FAF" w:rsidP="005B1D09">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rPr>
            </w:pPr>
            <w:r w:rsidRPr="00D75D2E">
              <w:rPr>
                <w:rFonts w:ascii="Times New Roman" w:hAnsi="Times New Roman"/>
                <w:sz w:val="20"/>
                <w:szCs w:val="20"/>
              </w:rPr>
              <w:t xml:space="preserve">Service environnement des communes concernées </w:t>
            </w:r>
          </w:p>
        </w:tc>
        <w:tc>
          <w:tcPr>
            <w:tcW w:w="945" w:type="pct"/>
            <w:tcBorders>
              <w:top w:val="single" w:sz="4" w:space="0" w:color="auto"/>
              <w:left w:val="single" w:sz="4" w:space="0" w:color="auto"/>
              <w:bottom w:val="single" w:sz="4" w:space="0" w:color="auto"/>
              <w:right w:val="single" w:sz="4" w:space="0" w:color="auto"/>
            </w:tcBorders>
            <w:hideMark/>
          </w:tcPr>
          <w:p w14:paraId="5ED20772" w14:textId="77777777" w:rsidR="00F84FAF" w:rsidRPr="00D75D2E" w:rsidRDefault="00F84FAF" w:rsidP="002948CF">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3A7484BE" w14:textId="77777777" w:rsidR="00F84FAF" w:rsidRDefault="00F84FAF" w:rsidP="005B1D09">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Nombre de cas coupures signalés </w:t>
            </w:r>
          </w:p>
          <w:p w14:paraId="23154F2E" w14:textId="77777777" w:rsidR="00F84FAF" w:rsidRPr="00D75D2E" w:rsidRDefault="00F84FAF" w:rsidP="005B1D09">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Programme d’entretien préventif du réseau </w:t>
            </w:r>
          </w:p>
        </w:tc>
      </w:tr>
      <w:tr w:rsidR="00F84FAF" w:rsidRPr="00420C1B" w14:paraId="001CBA2B" w14:textId="77777777" w:rsidTr="00215867">
        <w:trPr>
          <w:trHeight w:val="164"/>
          <w:jc w:val="center"/>
        </w:trPr>
        <w:tc>
          <w:tcPr>
            <w:tcW w:w="872" w:type="pct"/>
            <w:tcBorders>
              <w:top w:val="single" w:sz="4" w:space="0" w:color="auto"/>
              <w:left w:val="single" w:sz="4" w:space="0" w:color="auto"/>
              <w:bottom w:val="single" w:sz="4" w:space="0" w:color="auto"/>
              <w:right w:val="single" w:sz="4" w:space="0" w:color="auto"/>
            </w:tcBorders>
            <w:hideMark/>
          </w:tcPr>
          <w:p w14:paraId="17454343" w14:textId="77777777" w:rsidR="00F84FAF" w:rsidRPr="00D75D2E" w:rsidRDefault="00F84FAF" w:rsidP="002948CF">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367" w:type="pct"/>
            <w:tcBorders>
              <w:top w:val="single" w:sz="4" w:space="0" w:color="auto"/>
              <w:left w:val="single" w:sz="4" w:space="0" w:color="auto"/>
              <w:bottom w:val="single" w:sz="4" w:space="0" w:color="auto"/>
              <w:right w:val="single" w:sz="4" w:space="0" w:color="auto"/>
            </w:tcBorders>
            <w:hideMark/>
          </w:tcPr>
          <w:p w14:paraId="57320C6C"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519" w:type="pct"/>
            <w:gridSpan w:val="2"/>
            <w:tcBorders>
              <w:top w:val="single" w:sz="4" w:space="0" w:color="auto"/>
              <w:left w:val="single" w:sz="4" w:space="0" w:color="auto"/>
              <w:bottom w:val="single" w:sz="4" w:space="0" w:color="auto"/>
              <w:right w:val="single" w:sz="4" w:space="0" w:color="auto"/>
            </w:tcBorders>
          </w:tcPr>
          <w:p w14:paraId="36137615"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739" w:type="pct"/>
            <w:gridSpan w:val="2"/>
            <w:tcBorders>
              <w:top w:val="single" w:sz="4" w:space="0" w:color="auto"/>
              <w:left w:val="single" w:sz="4" w:space="0" w:color="auto"/>
              <w:bottom w:val="single" w:sz="4" w:space="0" w:color="auto"/>
              <w:right w:val="single" w:sz="4" w:space="0" w:color="auto"/>
            </w:tcBorders>
          </w:tcPr>
          <w:p w14:paraId="23A5DE38"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91" w:type="pct"/>
            <w:gridSpan w:val="3"/>
            <w:tcBorders>
              <w:top w:val="single" w:sz="4" w:space="0" w:color="auto"/>
              <w:left w:val="single" w:sz="4" w:space="0" w:color="auto"/>
              <w:bottom w:val="single" w:sz="4" w:space="0" w:color="auto"/>
              <w:right w:val="single" w:sz="4" w:space="0" w:color="auto"/>
            </w:tcBorders>
          </w:tcPr>
          <w:p w14:paraId="2D4AD4F9"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443" w:type="pct"/>
            <w:gridSpan w:val="2"/>
            <w:tcBorders>
              <w:top w:val="single" w:sz="4" w:space="0" w:color="auto"/>
              <w:left w:val="single" w:sz="4" w:space="0" w:color="auto"/>
              <w:bottom w:val="single" w:sz="4" w:space="0" w:color="auto"/>
              <w:right w:val="single" w:sz="4" w:space="0" w:color="auto"/>
            </w:tcBorders>
          </w:tcPr>
          <w:p w14:paraId="2AD92B00"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524" w:type="pct"/>
            <w:tcBorders>
              <w:top w:val="single" w:sz="4" w:space="0" w:color="auto"/>
              <w:left w:val="single" w:sz="4" w:space="0" w:color="auto"/>
              <w:bottom w:val="single" w:sz="4" w:space="0" w:color="auto"/>
              <w:right w:val="single" w:sz="4" w:space="0" w:color="auto"/>
            </w:tcBorders>
            <w:hideMark/>
          </w:tcPr>
          <w:p w14:paraId="685370F8" w14:textId="77777777" w:rsidR="00F84FAF" w:rsidRPr="00D75D2E" w:rsidRDefault="00F84FAF" w:rsidP="002948CF">
            <w:pPr>
              <w:autoSpaceDE w:val="0"/>
              <w:autoSpaceDN w:val="0"/>
              <w:adjustRightInd w:val="0"/>
              <w:spacing w:after="0" w:line="240" w:lineRule="auto"/>
              <w:rPr>
                <w:rFonts w:ascii="Times New Roman" w:hAnsi="Times New Roman"/>
                <w:sz w:val="20"/>
                <w:szCs w:val="20"/>
              </w:rPr>
            </w:pPr>
            <w:r w:rsidRPr="00D75D2E">
              <w:rPr>
                <w:rFonts w:ascii="Times New Roman" w:hAnsi="Times New Roman"/>
                <w:sz w:val="20"/>
                <w:szCs w:val="20"/>
              </w:rPr>
              <w:t>Coût total</w:t>
            </w:r>
          </w:p>
        </w:tc>
        <w:tc>
          <w:tcPr>
            <w:tcW w:w="945" w:type="pct"/>
            <w:tcBorders>
              <w:top w:val="single" w:sz="4" w:space="0" w:color="auto"/>
              <w:left w:val="single" w:sz="4" w:space="0" w:color="auto"/>
              <w:bottom w:val="single" w:sz="4" w:space="0" w:color="auto"/>
              <w:right w:val="single" w:sz="4" w:space="0" w:color="auto"/>
            </w:tcBorders>
            <w:hideMark/>
          </w:tcPr>
          <w:p w14:paraId="6421CF5B"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Calendrier de mise en œuvre</w:t>
            </w:r>
          </w:p>
        </w:tc>
      </w:tr>
      <w:tr w:rsidR="00F84FAF" w:rsidRPr="00420C1B" w14:paraId="762632A3" w14:textId="77777777" w:rsidTr="00215867">
        <w:trPr>
          <w:trHeight w:val="164"/>
          <w:jc w:val="center"/>
        </w:trPr>
        <w:tc>
          <w:tcPr>
            <w:tcW w:w="872" w:type="pct"/>
            <w:tcBorders>
              <w:top w:val="single" w:sz="4" w:space="0" w:color="auto"/>
              <w:left w:val="single" w:sz="4" w:space="0" w:color="auto"/>
              <w:bottom w:val="single" w:sz="4" w:space="0" w:color="auto"/>
              <w:right w:val="single" w:sz="4" w:space="0" w:color="auto"/>
            </w:tcBorders>
          </w:tcPr>
          <w:p w14:paraId="691EAA82" w14:textId="77777777" w:rsidR="00F84FAF" w:rsidRPr="00D75D2E" w:rsidRDefault="00F84FAF"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RAS</w:t>
            </w:r>
          </w:p>
        </w:tc>
        <w:tc>
          <w:tcPr>
            <w:tcW w:w="367" w:type="pct"/>
            <w:tcBorders>
              <w:top w:val="single" w:sz="4" w:space="0" w:color="auto"/>
              <w:left w:val="single" w:sz="4" w:space="0" w:color="auto"/>
              <w:bottom w:val="single" w:sz="4" w:space="0" w:color="auto"/>
              <w:right w:val="single" w:sz="4" w:space="0" w:color="auto"/>
            </w:tcBorders>
          </w:tcPr>
          <w:p w14:paraId="5880217B"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19" w:type="pct"/>
            <w:gridSpan w:val="2"/>
            <w:tcBorders>
              <w:top w:val="single" w:sz="4" w:space="0" w:color="auto"/>
              <w:left w:val="single" w:sz="4" w:space="0" w:color="auto"/>
              <w:bottom w:val="single" w:sz="4" w:space="0" w:color="auto"/>
              <w:right w:val="single" w:sz="4" w:space="0" w:color="auto"/>
            </w:tcBorders>
          </w:tcPr>
          <w:p w14:paraId="46915542"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739" w:type="pct"/>
            <w:gridSpan w:val="2"/>
            <w:tcBorders>
              <w:top w:val="single" w:sz="4" w:space="0" w:color="auto"/>
              <w:left w:val="single" w:sz="4" w:space="0" w:color="auto"/>
              <w:bottom w:val="single" w:sz="4" w:space="0" w:color="auto"/>
              <w:right w:val="single" w:sz="4" w:space="0" w:color="auto"/>
            </w:tcBorders>
          </w:tcPr>
          <w:p w14:paraId="50809C31"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91" w:type="pct"/>
            <w:gridSpan w:val="3"/>
            <w:tcBorders>
              <w:top w:val="single" w:sz="4" w:space="0" w:color="auto"/>
              <w:left w:val="single" w:sz="4" w:space="0" w:color="auto"/>
              <w:bottom w:val="single" w:sz="4" w:space="0" w:color="auto"/>
              <w:right w:val="single" w:sz="4" w:space="0" w:color="auto"/>
            </w:tcBorders>
          </w:tcPr>
          <w:p w14:paraId="70F4EE1F"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443" w:type="pct"/>
            <w:gridSpan w:val="2"/>
            <w:tcBorders>
              <w:top w:val="single" w:sz="4" w:space="0" w:color="auto"/>
              <w:left w:val="single" w:sz="4" w:space="0" w:color="auto"/>
              <w:bottom w:val="single" w:sz="4" w:space="0" w:color="auto"/>
              <w:right w:val="single" w:sz="4" w:space="0" w:color="auto"/>
            </w:tcBorders>
          </w:tcPr>
          <w:p w14:paraId="7F6011CB"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24" w:type="pct"/>
            <w:tcBorders>
              <w:top w:val="single" w:sz="4" w:space="0" w:color="auto"/>
              <w:left w:val="single" w:sz="4" w:space="0" w:color="auto"/>
              <w:bottom w:val="single" w:sz="4" w:space="0" w:color="auto"/>
              <w:right w:val="single" w:sz="4" w:space="0" w:color="auto"/>
            </w:tcBorders>
          </w:tcPr>
          <w:p w14:paraId="2397A696" w14:textId="77777777" w:rsidR="00F84FAF" w:rsidRPr="00D75D2E" w:rsidRDefault="00F84FAF" w:rsidP="002948C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N/A</w:t>
            </w:r>
          </w:p>
        </w:tc>
        <w:tc>
          <w:tcPr>
            <w:tcW w:w="945" w:type="pct"/>
            <w:tcBorders>
              <w:top w:val="single" w:sz="4" w:space="0" w:color="auto"/>
              <w:left w:val="single" w:sz="4" w:space="0" w:color="auto"/>
              <w:bottom w:val="single" w:sz="4" w:space="0" w:color="auto"/>
              <w:right w:val="single" w:sz="4" w:space="0" w:color="auto"/>
            </w:tcBorders>
          </w:tcPr>
          <w:p w14:paraId="0BDE9C7E" w14:textId="77777777" w:rsidR="00F84FAF" w:rsidRPr="00D75D2E" w:rsidRDefault="00F84FAF" w:rsidP="002948CF">
            <w:pPr>
              <w:autoSpaceDE w:val="0"/>
              <w:autoSpaceDN w:val="0"/>
              <w:adjustRightInd w:val="0"/>
              <w:spacing w:after="0" w:line="240" w:lineRule="auto"/>
              <w:jc w:val="center"/>
              <w:rPr>
                <w:rFonts w:ascii="Times New Roman" w:hAnsi="Times New Roman"/>
                <w:sz w:val="20"/>
                <w:szCs w:val="20"/>
              </w:rPr>
            </w:pPr>
          </w:p>
        </w:tc>
      </w:tr>
    </w:tbl>
    <w:p w14:paraId="4B47F35D" w14:textId="77777777" w:rsidR="005B1D09" w:rsidRPr="00857867" w:rsidRDefault="005B1D09" w:rsidP="00ED17F3">
      <w:pPr>
        <w:spacing w:after="0" w:line="240" w:lineRule="auto"/>
        <w:rPr>
          <w:rFonts w:ascii="Times New Roman" w:hAnsi="Times New Roman"/>
        </w:rPr>
      </w:pPr>
    </w:p>
    <w:p w14:paraId="5EAEB721" w14:textId="77777777" w:rsidR="00ED17F3" w:rsidRDefault="001240AE" w:rsidP="00ED17F3">
      <w:pPr>
        <w:rPr>
          <w:rFonts w:ascii="Times New Roman" w:hAnsi="Times New Roman"/>
        </w:rPr>
      </w:pPr>
      <w:r w:rsidRPr="00857867">
        <w:rPr>
          <w:rFonts w:ascii="Times New Roman" w:hAnsi="Times New Roman"/>
        </w:rPr>
        <w:br w:type="page"/>
      </w:r>
    </w:p>
    <w:p w14:paraId="3410DB29" w14:textId="6E7E28F4" w:rsidR="006070D7" w:rsidRPr="00EB2EDD" w:rsidRDefault="006070D7" w:rsidP="006070D7">
      <w:pPr>
        <w:keepNext/>
        <w:spacing w:after="120" w:line="240" w:lineRule="auto"/>
        <w:jc w:val="center"/>
        <w:rPr>
          <w:rFonts w:ascii="Times New Roman" w:hAnsi="Times New Roman"/>
          <w:iCs/>
          <w:sz w:val="24"/>
          <w:szCs w:val="24"/>
          <w:lang w:val="fr-CD"/>
        </w:rPr>
      </w:pPr>
      <w:bookmarkStart w:id="644" w:name="_Toc93050306"/>
      <w:r w:rsidRPr="00EB2EDD">
        <w:rPr>
          <w:rFonts w:ascii="Times New Roman" w:hAnsi="Times New Roman"/>
          <w:iCs/>
          <w:sz w:val="24"/>
          <w:szCs w:val="24"/>
          <w:lang w:val="fr-CD"/>
        </w:rPr>
        <w:t xml:space="preserve">Tableau </w:t>
      </w:r>
      <w:r w:rsidRPr="00E737B4">
        <w:rPr>
          <w:rFonts w:ascii="Times New Roman" w:hAnsi="Times New Roman"/>
          <w:iCs/>
          <w:sz w:val="24"/>
          <w:szCs w:val="24"/>
        </w:rPr>
        <w:fldChar w:fldCharType="begin"/>
      </w:r>
      <w:r w:rsidRPr="00EB2EDD">
        <w:rPr>
          <w:rFonts w:ascii="Times New Roman" w:hAnsi="Times New Roman"/>
          <w:iCs/>
          <w:sz w:val="24"/>
          <w:szCs w:val="24"/>
          <w:lang w:val="fr-CD"/>
        </w:rPr>
        <w:instrText xml:space="preserve"> SEQ Tableau \* ARABIC </w:instrText>
      </w:r>
      <w:r w:rsidRPr="00E737B4">
        <w:rPr>
          <w:rFonts w:ascii="Times New Roman" w:hAnsi="Times New Roman"/>
          <w:iCs/>
          <w:sz w:val="24"/>
          <w:szCs w:val="24"/>
        </w:rPr>
        <w:fldChar w:fldCharType="separate"/>
      </w:r>
      <w:r w:rsidR="00A86929">
        <w:rPr>
          <w:rFonts w:ascii="Times New Roman" w:hAnsi="Times New Roman"/>
          <w:iCs/>
          <w:noProof/>
          <w:sz w:val="24"/>
          <w:szCs w:val="24"/>
          <w:lang w:val="fr-CD"/>
        </w:rPr>
        <w:t>44</w:t>
      </w:r>
      <w:r w:rsidRPr="00E737B4">
        <w:rPr>
          <w:rFonts w:ascii="Times New Roman" w:hAnsi="Times New Roman"/>
          <w:iCs/>
          <w:noProof/>
          <w:sz w:val="24"/>
          <w:szCs w:val="24"/>
        </w:rPr>
        <w:fldChar w:fldCharType="end"/>
      </w:r>
      <w:r w:rsidRPr="00EB2EDD">
        <w:rPr>
          <w:rFonts w:ascii="Times New Roman" w:hAnsi="Times New Roman"/>
          <w:iCs/>
          <w:sz w:val="24"/>
          <w:szCs w:val="24"/>
          <w:lang w:val="fr-CD"/>
        </w:rPr>
        <w:t xml:space="preserve"> : Fiche de déclaration d’Impact – </w:t>
      </w:r>
      <w:r w:rsidRPr="00EB2EDD">
        <w:rPr>
          <w:rFonts w:ascii="Times New Roman" w:hAnsi="Times New Roman"/>
          <w:b/>
          <w:iCs/>
          <w:sz w:val="24"/>
          <w:szCs w:val="24"/>
          <w:lang w:val="fr-CD"/>
        </w:rPr>
        <w:t xml:space="preserve">Code </w:t>
      </w:r>
      <w:r w:rsidR="00A6226A">
        <w:rPr>
          <w:rFonts w:ascii="Times New Roman" w:hAnsi="Times New Roman"/>
          <w:b/>
          <w:iCs/>
          <w:sz w:val="24"/>
          <w:szCs w:val="24"/>
          <w:lang w:val="fr-CD"/>
        </w:rPr>
        <w:t>2</w:t>
      </w:r>
      <w:r w:rsidR="00A86929">
        <w:rPr>
          <w:rFonts w:ascii="Times New Roman" w:hAnsi="Times New Roman"/>
          <w:b/>
          <w:iCs/>
          <w:sz w:val="24"/>
          <w:szCs w:val="24"/>
          <w:lang w:val="fr-CD"/>
        </w:rPr>
        <w:t>1</w:t>
      </w:r>
      <w:bookmarkEnd w:id="644"/>
    </w:p>
    <w:tbl>
      <w:tblPr>
        <w:tblW w:w="5145" w:type="pct"/>
        <w:jc w:val="center"/>
        <w:tblLayout w:type="fixed"/>
        <w:tblLook w:val="04A0" w:firstRow="1" w:lastRow="0" w:firstColumn="1" w:lastColumn="0" w:noHBand="0" w:noVBand="1"/>
      </w:tblPr>
      <w:tblGrid>
        <w:gridCol w:w="1792"/>
        <w:gridCol w:w="699"/>
        <w:gridCol w:w="422"/>
        <w:gridCol w:w="560"/>
        <w:gridCol w:w="736"/>
        <w:gridCol w:w="475"/>
        <w:gridCol w:w="193"/>
        <w:gridCol w:w="430"/>
        <w:gridCol w:w="692"/>
        <w:gridCol w:w="602"/>
        <w:gridCol w:w="239"/>
        <w:gridCol w:w="1124"/>
        <w:gridCol w:w="1771"/>
        <w:gridCol w:w="406"/>
      </w:tblGrid>
      <w:tr w:rsidR="006070D7" w:rsidRPr="00420C1B" w14:paraId="51438217" w14:textId="77777777" w:rsidTr="003C5554">
        <w:trPr>
          <w:trHeight w:val="250"/>
          <w:tblHeader/>
          <w:jc w:val="center"/>
        </w:trPr>
        <w:tc>
          <w:tcPr>
            <w:tcW w:w="88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5B47B3B" w14:textId="77777777" w:rsidR="006070D7" w:rsidRPr="00D75D2E" w:rsidRDefault="006070D7" w:rsidP="003C5554">
            <w:pPr>
              <w:spacing w:after="0" w:line="240" w:lineRule="auto"/>
              <w:jc w:val="center"/>
              <w:rPr>
                <w:rFonts w:ascii="Times New Roman" w:hAnsi="Times New Roman"/>
                <w:b/>
                <w:sz w:val="20"/>
                <w:szCs w:val="20"/>
              </w:rPr>
            </w:pPr>
            <w:r w:rsidRPr="00D75D2E">
              <w:rPr>
                <w:rFonts w:ascii="Times New Roman" w:hAnsi="Times New Roman"/>
                <w:b/>
                <w:sz w:val="20"/>
                <w:szCs w:val="20"/>
              </w:rPr>
              <w:t>COMPOSANTE</w:t>
            </w:r>
          </w:p>
        </w:tc>
        <w:tc>
          <w:tcPr>
            <w:tcW w:w="1426"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77E836E9"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945"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228F767E"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671"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74C17E56"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1074"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E189CC8"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6070D7" w:rsidRPr="00420C1B" w14:paraId="55DC0F18" w14:textId="77777777" w:rsidTr="003C5554">
        <w:trPr>
          <w:trHeight w:val="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25E2999A"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3042" w:type="pct"/>
            <w:gridSpan w:val="11"/>
            <w:tcBorders>
              <w:top w:val="single" w:sz="4" w:space="0" w:color="auto"/>
              <w:left w:val="single" w:sz="4" w:space="0" w:color="auto"/>
              <w:bottom w:val="single" w:sz="4" w:space="0" w:color="auto"/>
              <w:right w:val="single" w:sz="4" w:space="0" w:color="auto"/>
            </w:tcBorders>
            <w:hideMark/>
          </w:tcPr>
          <w:p w14:paraId="012B7C58"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 xml:space="preserve">Source d’impact : </w:t>
            </w:r>
            <w:r w:rsidRPr="00EB2EDD">
              <w:rPr>
                <w:rFonts w:ascii="Times New Roman" w:hAnsi="Times New Roman"/>
                <w:sz w:val="20"/>
                <w:szCs w:val="20"/>
                <w:lang w:val="fr-CD"/>
              </w:rPr>
              <w:t>Libération des emprises du projet</w:t>
            </w:r>
          </w:p>
        </w:tc>
        <w:tc>
          <w:tcPr>
            <w:tcW w:w="1074" w:type="pct"/>
            <w:gridSpan w:val="2"/>
            <w:tcBorders>
              <w:top w:val="single" w:sz="4" w:space="0" w:color="auto"/>
              <w:left w:val="single" w:sz="4" w:space="0" w:color="auto"/>
              <w:bottom w:val="single" w:sz="4" w:space="0" w:color="auto"/>
              <w:right w:val="single" w:sz="4" w:space="0" w:color="auto"/>
            </w:tcBorders>
          </w:tcPr>
          <w:p w14:paraId="7C4DF5CF" w14:textId="77777777" w:rsidR="006070D7" w:rsidRPr="00EB2EDD" w:rsidRDefault="006070D7" w:rsidP="003C5554">
            <w:pPr>
              <w:spacing w:after="0" w:line="240" w:lineRule="auto"/>
              <w:rPr>
                <w:rFonts w:ascii="Times New Roman" w:hAnsi="Times New Roman"/>
                <w:sz w:val="20"/>
                <w:szCs w:val="20"/>
                <w:lang w:val="fr-CD"/>
              </w:rPr>
            </w:pPr>
          </w:p>
        </w:tc>
      </w:tr>
      <w:tr w:rsidR="006070D7" w:rsidRPr="00420C1B" w14:paraId="4695482F" w14:textId="77777777" w:rsidTr="003C5554">
        <w:trPr>
          <w:trHeight w:val="22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763BEBB3" w14:textId="77777777" w:rsidR="006070D7" w:rsidRPr="00EB2EDD" w:rsidRDefault="006070D7" w:rsidP="003C5554">
            <w:pPr>
              <w:spacing w:after="0" w:line="240" w:lineRule="auto"/>
              <w:rPr>
                <w:rFonts w:ascii="Times New Roman" w:hAnsi="Times New Roman"/>
                <w:b/>
                <w:sz w:val="20"/>
                <w:szCs w:val="20"/>
                <w:lang w:val="fr-CD"/>
              </w:rPr>
            </w:pPr>
          </w:p>
        </w:tc>
        <w:tc>
          <w:tcPr>
            <w:tcW w:w="4116" w:type="pct"/>
            <w:gridSpan w:val="13"/>
            <w:tcBorders>
              <w:top w:val="single" w:sz="4" w:space="0" w:color="auto"/>
              <w:left w:val="single" w:sz="4" w:space="0" w:color="auto"/>
              <w:bottom w:val="single" w:sz="4" w:space="0" w:color="auto"/>
              <w:right w:val="single" w:sz="4" w:space="0" w:color="auto"/>
            </w:tcBorders>
            <w:hideMark/>
          </w:tcPr>
          <w:p w14:paraId="73CE2603"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Intitulé de l’impact</w:t>
            </w:r>
            <w:r w:rsidRPr="00EB2EDD">
              <w:rPr>
                <w:rFonts w:ascii="Times New Roman" w:hAnsi="Times New Roman"/>
                <w:sz w:val="20"/>
                <w:szCs w:val="20"/>
                <w:lang w:val="fr-CD"/>
              </w:rPr>
              <w:t> : perte des revenus potentielle pendant l’implantation des poteaux MT/BT et le tirage des lignes</w:t>
            </w:r>
          </w:p>
        </w:tc>
      </w:tr>
      <w:tr w:rsidR="006070D7" w:rsidRPr="00420C1B" w14:paraId="0945A9B1" w14:textId="77777777" w:rsidTr="003C5554">
        <w:trPr>
          <w:trHeight w:val="2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67FF2018"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733" w:type="pct"/>
            <w:gridSpan w:val="7"/>
            <w:vMerge w:val="restart"/>
            <w:tcBorders>
              <w:top w:val="single" w:sz="4" w:space="0" w:color="auto"/>
              <w:left w:val="single" w:sz="4" w:space="0" w:color="auto"/>
              <w:right w:val="single" w:sz="4" w:space="0" w:color="auto"/>
            </w:tcBorders>
            <w:shd w:val="clear" w:color="auto" w:fill="auto"/>
          </w:tcPr>
          <w:p w14:paraId="417F1D93"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sz w:val="20"/>
                <w:szCs w:val="20"/>
                <w:lang w:val="fr-CD"/>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hideMark/>
          </w:tcPr>
          <w:p w14:paraId="449E569C"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671" w:type="pct"/>
            <w:gridSpan w:val="2"/>
            <w:tcBorders>
              <w:top w:val="single" w:sz="4" w:space="0" w:color="auto"/>
              <w:left w:val="single" w:sz="4" w:space="0" w:color="auto"/>
              <w:bottom w:val="single" w:sz="4" w:space="0" w:color="auto"/>
              <w:right w:val="single" w:sz="4" w:space="0" w:color="auto"/>
            </w:tcBorders>
            <w:shd w:val="clear" w:color="auto" w:fill="auto"/>
            <w:hideMark/>
          </w:tcPr>
          <w:p w14:paraId="096D8015"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074" w:type="pct"/>
            <w:gridSpan w:val="2"/>
            <w:vMerge w:val="restart"/>
            <w:tcBorders>
              <w:top w:val="single" w:sz="4" w:space="0" w:color="auto"/>
              <w:left w:val="single" w:sz="4" w:space="0" w:color="auto"/>
              <w:bottom w:val="single" w:sz="4" w:space="0" w:color="auto"/>
              <w:right w:val="single" w:sz="4" w:space="0" w:color="auto"/>
            </w:tcBorders>
            <w:hideMark/>
          </w:tcPr>
          <w:p w14:paraId="48D75E33" w14:textId="77777777" w:rsidR="006070D7" w:rsidRPr="00D75D2E" w:rsidRDefault="006070D7" w:rsidP="003C5554">
            <w:pPr>
              <w:spacing w:after="0" w:line="240" w:lineRule="auto"/>
              <w:jc w:val="center"/>
              <w:rPr>
                <w:rFonts w:ascii="Times New Roman" w:hAnsi="Times New Roman"/>
                <w:sz w:val="20"/>
                <w:szCs w:val="20"/>
              </w:rPr>
            </w:pPr>
          </w:p>
        </w:tc>
      </w:tr>
      <w:tr w:rsidR="006070D7" w:rsidRPr="00420C1B" w14:paraId="18C3C065" w14:textId="77777777" w:rsidTr="003C5554">
        <w:trPr>
          <w:trHeight w:val="245"/>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508B92A3"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right w:val="single" w:sz="4" w:space="0" w:color="auto"/>
            </w:tcBorders>
            <w:shd w:val="clear" w:color="auto" w:fill="auto"/>
            <w:vAlign w:val="center"/>
          </w:tcPr>
          <w:p w14:paraId="15855EEB"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tcPr>
          <w:p w14:paraId="38971FD5"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671" w:type="pct"/>
            <w:gridSpan w:val="2"/>
            <w:tcBorders>
              <w:top w:val="single" w:sz="4" w:space="0" w:color="auto"/>
              <w:left w:val="nil"/>
              <w:bottom w:val="single" w:sz="4" w:space="0" w:color="auto"/>
              <w:right w:val="single" w:sz="4" w:space="0" w:color="auto"/>
            </w:tcBorders>
            <w:shd w:val="clear" w:color="auto" w:fill="auto"/>
          </w:tcPr>
          <w:p w14:paraId="18AD0CA4"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074" w:type="pct"/>
            <w:gridSpan w:val="2"/>
            <w:vMerge/>
            <w:tcBorders>
              <w:top w:val="single" w:sz="4" w:space="0" w:color="auto"/>
              <w:left w:val="single" w:sz="4" w:space="0" w:color="auto"/>
              <w:bottom w:val="single" w:sz="4" w:space="0" w:color="auto"/>
              <w:right w:val="single" w:sz="4" w:space="0" w:color="auto"/>
            </w:tcBorders>
            <w:vAlign w:val="center"/>
            <w:hideMark/>
          </w:tcPr>
          <w:p w14:paraId="41CAB663"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32AD25CA" w14:textId="77777777" w:rsidTr="003C5554">
        <w:trPr>
          <w:trHeight w:val="246"/>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8B8A0A9"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bottom w:val="single" w:sz="4" w:space="0" w:color="auto"/>
              <w:right w:val="single" w:sz="4" w:space="0" w:color="auto"/>
            </w:tcBorders>
            <w:shd w:val="clear" w:color="auto" w:fill="auto"/>
            <w:vAlign w:val="center"/>
          </w:tcPr>
          <w:p w14:paraId="4DF82F30" w14:textId="77777777" w:rsidR="006070D7" w:rsidRPr="00D75D2E" w:rsidRDefault="006070D7" w:rsidP="003C5554">
            <w:pPr>
              <w:spacing w:after="0" w:line="240" w:lineRule="auto"/>
              <w:jc w:val="both"/>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nil"/>
              <w:right w:val="single" w:sz="4" w:space="0" w:color="auto"/>
            </w:tcBorders>
            <w:shd w:val="clear" w:color="auto" w:fill="auto"/>
          </w:tcPr>
          <w:p w14:paraId="45371C54"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671" w:type="pct"/>
            <w:gridSpan w:val="2"/>
            <w:tcBorders>
              <w:top w:val="single" w:sz="4" w:space="0" w:color="auto"/>
              <w:left w:val="single" w:sz="4" w:space="0" w:color="auto"/>
              <w:bottom w:val="nil"/>
              <w:right w:val="single" w:sz="4" w:space="0" w:color="auto"/>
            </w:tcBorders>
            <w:shd w:val="clear" w:color="auto" w:fill="auto"/>
          </w:tcPr>
          <w:p w14:paraId="6E469ED3"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074" w:type="pct"/>
            <w:gridSpan w:val="2"/>
            <w:vMerge/>
            <w:tcBorders>
              <w:top w:val="single" w:sz="4" w:space="0" w:color="auto"/>
              <w:left w:val="single" w:sz="4" w:space="0" w:color="auto"/>
              <w:bottom w:val="single" w:sz="4" w:space="0" w:color="auto"/>
              <w:right w:val="single" w:sz="4" w:space="0" w:color="auto"/>
            </w:tcBorders>
            <w:vAlign w:val="center"/>
            <w:hideMark/>
          </w:tcPr>
          <w:p w14:paraId="2647FC77"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5FCEA5DA" w14:textId="77777777" w:rsidTr="003C5554">
        <w:trPr>
          <w:trHeight w:val="242"/>
          <w:jc w:val="center"/>
        </w:trPr>
        <w:tc>
          <w:tcPr>
            <w:tcW w:w="884" w:type="pct"/>
            <w:vMerge w:val="restart"/>
            <w:tcBorders>
              <w:top w:val="single" w:sz="4" w:space="0" w:color="auto"/>
              <w:left w:val="single" w:sz="4" w:space="0" w:color="auto"/>
              <w:bottom w:val="single" w:sz="4" w:space="0" w:color="auto"/>
              <w:right w:val="single" w:sz="4" w:space="0" w:color="auto"/>
            </w:tcBorders>
          </w:tcPr>
          <w:p w14:paraId="378F97F1" w14:textId="77777777" w:rsidR="006070D7" w:rsidRPr="00D75D2E" w:rsidRDefault="006070D7" w:rsidP="003C5554">
            <w:pPr>
              <w:spacing w:after="0" w:line="240" w:lineRule="auto"/>
              <w:rPr>
                <w:rFonts w:ascii="Times New Roman" w:hAnsi="Times New Roman"/>
                <w:b/>
                <w:sz w:val="20"/>
                <w:szCs w:val="20"/>
              </w:rPr>
            </w:pPr>
          </w:p>
          <w:p w14:paraId="1AC4BF10"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553" w:type="pct"/>
            <w:gridSpan w:val="2"/>
            <w:vMerge w:val="restart"/>
            <w:tcBorders>
              <w:top w:val="single" w:sz="4" w:space="0" w:color="auto"/>
              <w:left w:val="single" w:sz="4" w:space="0" w:color="auto"/>
              <w:bottom w:val="single" w:sz="4" w:space="0" w:color="auto"/>
              <w:right w:val="single" w:sz="4" w:space="0" w:color="auto"/>
            </w:tcBorders>
            <w:hideMark/>
          </w:tcPr>
          <w:p w14:paraId="08E2795F"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7356D998" w14:textId="77777777" w:rsidR="006070D7" w:rsidRPr="00D75D2E" w:rsidRDefault="006070D7" w:rsidP="003C5554">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65E6A33D"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5C114149"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671" w:type="pct"/>
            <w:gridSpan w:val="2"/>
            <w:tcBorders>
              <w:top w:val="single" w:sz="4" w:space="0" w:color="auto"/>
              <w:left w:val="single" w:sz="4" w:space="0" w:color="auto"/>
              <w:bottom w:val="single" w:sz="4" w:space="0" w:color="auto"/>
              <w:right w:val="single" w:sz="4" w:space="0" w:color="auto"/>
            </w:tcBorders>
            <w:hideMark/>
          </w:tcPr>
          <w:p w14:paraId="1D027D77"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074" w:type="pct"/>
            <w:gridSpan w:val="2"/>
            <w:tcBorders>
              <w:top w:val="single" w:sz="4" w:space="0" w:color="auto"/>
              <w:left w:val="single" w:sz="4" w:space="0" w:color="auto"/>
              <w:bottom w:val="single" w:sz="4" w:space="0" w:color="auto"/>
              <w:right w:val="single" w:sz="4" w:space="0" w:color="auto"/>
            </w:tcBorders>
            <w:hideMark/>
          </w:tcPr>
          <w:p w14:paraId="0393FFF2"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6070D7" w:rsidRPr="00420C1B" w14:paraId="09E60CD9"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15BD8C37"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vMerge/>
            <w:tcBorders>
              <w:top w:val="single" w:sz="4" w:space="0" w:color="auto"/>
              <w:left w:val="single" w:sz="4" w:space="0" w:color="auto"/>
              <w:bottom w:val="single" w:sz="4" w:space="0" w:color="auto"/>
              <w:right w:val="single" w:sz="4" w:space="0" w:color="auto"/>
            </w:tcBorders>
            <w:vAlign w:val="center"/>
            <w:hideMark/>
          </w:tcPr>
          <w:p w14:paraId="23B8E2AA"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06DC4E95"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Forte</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4CBF4DCB"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671" w:type="pct"/>
            <w:gridSpan w:val="2"/>
            <w:tcBorders>
              <w:top w:val="single" w:sz="4" w:space="0" w:color="auto"/>
              <w:left w:val="single" w:sz="4" w:space="0" w:color="auto"/>
              <w:bottom w:val="single" w:sz="4" w:space="0" w:color="auto"/>
              <w:right w:val="single" w:sz="4" w:space="0" w:color="auto"/>
            </w:tcBorders>
            <w:vAlign w:val="center"/>
            <w:hideMark/>
          </w:tcPr>
          <w:p w14:paraId="62185044"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 xml:space="preserve">Moyenne </w:t>
            </w:r>
          </w:p>
        </w:tc>
        <w:tc>
          <w:tcPr>
            <w:tcW w:w="1074" w:type="pct"/>
            <w:gridSpan w:val="2"/>
            <w:tcBorders>
              <w:top w:val="single" w:sz="4" w:space="0" w:color="auto"/>
              <w:left w:val="single" w:sz="4" w:space="0" w:color="auto"/>
              <w:bottom w:val="single" w:sz="4" w:space="0" w:color="auto"/>
              <w:right w:val="single" w:sz="4" w:space="0" w:color="auto"/>
            </w:tcBorders>
            <w:vAlign w:val="center"/>
            <w:hideMark/>
          </w:tcPr>
          <w:p w14:paraId="59CC33A4" w14:textId="77777777" w:rsidR="006070D7" w:rsidRPr="00D75D2E" w:rsidRDefault="006070D7" w:rsidP="003C5554">
            <w:pPr>
              <w:spacing w:after="0" w:line="240" w:lineRule="auto"/>
              <w:rPr>
                <w:rFonts w:ascii="Times New Roman" w:hAnsi="Times New Roman"/>
                <w:sz w:val="20"/>
                <w:szCs w:val="20"/>
              </w:rPr>
            </w:pPr>
            <w:r>
              <w:rPr>
                <w:rFonts w:ascii="Times New Roman" w:hAnsi="Times New Roman"/>
                <w:sz w:val="20"/>
                <w:szCs w:val="20"/>
              </w:rPr>
              <w:t xml:space="preserve">Moyenne </w:t>
            </w:r>
          </w:p>
        </w:tc>
      </w:tr>
      <w:tr w:rsidR="006070D7" w:rsidRPr="00420C1B" w14:paraId="0EB0741E"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59879462"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41544C3E"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59FDBBCA"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tcPr>
          <w:p w14:paraId="761A2958"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Occurrence </w:t>
            </w:r>
          </w:p>
        </w:tc>
        <w:tc>
          <w:tcPr>
            <w:tcW w:w="671" w:type="pct"/>
            <w:gridSpan w:val="2"/>
            <w:tcBorders>
              <w:top w:val="single" w:sz="4" w:space="0" w:color="auto"/>
              <w:left w:val="single" w:sz="4" w:space="0" w:color="auto"/>
              <w:bottom w:val="single" w:sz="4" w:space="0" w:color="auto"/>
              <w:right w:val="single" w:sz="4" w:space="0" w:color="auto"/>
            </w:tcBorders>
          </w:tcPr>
          <w:p w14:paraId="64B10390"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Réversibilité </w:t>
            </w:r>
          </w:p>
        </w:tc>
        <w:tc>
          <w:tcPr>
            <w:tcW w:w="1074" w:type="pct"/>
            <w:gridSpan w:val="2"/>
            <w:tcBorders>
              <w:top w:val="single" w:sz="4" w:space="0" w:color="auto"/>
              <w:left w:val="single" w:sz="4" w:space="0" w:color="auto"/>
              <w:bottom w:val="single" w:sz="4" w:space="0" w:color="auto"/>
              <w:right w:val="single" w:sz="4" w:space="0" w:color="auto"/>
            </w:tcBorders>
          </w:tcPr>
          <w:p w14:paraId="75E2890B"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Cumulativité </w:t>
            </w:r>
          </w:p>
        </w:tc>
      </w:tr>
      <w:tr w:rsidR="006070D7" w:rsidRPr="00420C1B" w14:paraId="1E73779F"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226365F6"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5A4B57A5"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176E4782" w14:textId="77777777" w:rsidR="006070D7" w:rsidRPr="00D75D2E" w:rsidRDefault="006070D7" w:rsidP="003C5554">
            <w:pPr>
              <w:spacing w:after="0" w:line="240" w:lineRule="auto"/>
              <w:jc w:val="both"/>
              <w:rPr>
                <w:rFonts w:ascii="Times New Roman" w:eastAsia="Times New Roman" w:hAnsi="Times New Roman"/>
                <w:bCs/>
                <w:sz w:val="20"/>
                <w:szCs w:val="20"/>
              </w:rPr>
            </w:pPr>
            <w:r w:rsidRPr="00D75D2E">
              <w:rPr>
                <w:rFonts w:ascii="Times New Roman" w:eastAsia="Times New Roman" w:hAnsi="Times New Roman"/>
                <w:bCs/>
                <w:sz w:val="20"/>
                <w:szCs w:val="20"/>
              </w:rPr>
              <w:t>Directe</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7CBA15A6"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671" w:type="pct"/>
            <w:gridSpan w:val="2"/>
            <w:tcBorders>
              <w:top w:val="single" w:sz="4" w:space="0" w:color="auto"/>
              <w:left w:val="single" w:sz="4" w:space="0" w:color="auto"/>
              <w:bottom w:val="single" w:sz="4" w:space="0" w:color="auto"/>
              <w:right w:val="single" w:sz="4" w:space="0" w:color="auto"/>
            </w:tcBorders>
            <w:vAlign w:val="center"/>
          </w:tcPr>
          <w:p w14:paraId="09DD6FD4"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1074" w:type="pct"/>
            <w:gridSpan w:val="2"/>
            <w:tcBorders>
              <w:top w:val="single" w:sz="4" w:space="0" w:color="auto"/>
              <w:left w:val="single" w:sz="4" w:space="0" w:color="auto"/>
              <w:bottom w:val="single" w:sz="4" w:space="0" w:color="auto"/>
              <w:right w:val="single" w:sz="4" w:space="0" w:color="auto"/>
            </w:tcBorders>
            <w:vAlign w:val="center"/>
          </w:tcPr>
          <w:p w14:paraId="0F17C87F"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6070D7" w:rsidRPr="00420C1B" w14:paraId="0E8AFA8A"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4EC0CD2D"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558C1CF3"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tcPr>
          <w:p w14:paraId="7B3F7BCD"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4D7D6C65"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671" w:type="pct"/>
            <w:gridSpan w:val="2"/>
            <w:tcBorders>
              <w:top w:val="single" w:sz="4" w:space="0" w:color="auto"/>
              <w:left w:val="single" w:sz="4" w:space="0" w:color="auto"/>
              <w:bottom w:val="single" w:sz="4" w:space="0" w:color="auto"/>
              <w:right w:val="single" w:sz="4" w:space="0" w:color="auto"/>
            </w:tcBorders>
            <w:vAlign w:val="center"/>
          </w:tcPr>
          <w:p w14:paraId="5FB44185" w14:textId="77777777" w:rsidR="006070D7" w:rsidRPr="00D75D2E" w:rsidRDefault="006070D7" w:rsidP="003C5554">
            <w:pPr>
              <w:spacing w:after="0" w:line="240" w:lineRule="auto"/>
              <w:jc w:val="center"/>
              <w:rPr>
                <w:rFonts w:ascii="Times New Roman" w:hAnsi="Times New Roman"/>
                <w:sz w:val="20"/>
                <w:szCs w:val="20"/>
              </w:rPr>
            </w:pPr>
          </w:p>
        </w:tc>
        <w:tc>
          <w:tcPr>
            <w:tcW w:w="1074" w:type="pct"/>
            <w:gridSpan w:val="2"/>
            <w:tcBorders>
              <w:top w:val="single" w:sz="4" w:space="0" w:color="auto"/>
              <w:left w:val="single" w:sz="4" w:space="0" w:color="auto"/>
              <w:bottom w:val="single" w:sz="4" w:space="0" w:color="auto"/>
              <w:right w:val="single" w:sz="4" w:space="0" w:color="auto"/>
            </w:tcBorders>
            <w:vAlign w:val="center"/>
          </w:tcPr>
          <w:p w14:paraId="21427B90" w14:textId="77777777" w:rsidR="006070D7" w:rsidRPr="00D75D2E" w:rsidRDefault="006070D7" w:rsidP="003C5554">
            <w:pPr>
              <w:spacing w:after="0" w:line="240" w:lineRule="auto"/>
              <w:jc w:val="both"/>
              <w:rPr>
                <w:rFonts w:ascii="Times New Roman" w:hAnsi="Times New Roman"/>
                <w:sz w:val="20"/>
                <w:szCs w:val="20"/>
              </w:rPr>
            </w:pPr>
          </w:p>
        </w:tc>
      </w:tr>
      <w:tr w:rsidR="006070D7" w:rsidRPr="00420C1B" w14:paraId="15759D7B"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04BA2E98"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759A2201"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351787AF" w14:textId="77777777" w:rsidR="006070D7" w:rsidRPr="00D75D2E" w:rsidRDefault="006070D7" w:rsidP="003C5554">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851" w:type="pct"/>
            <w:gridSpan w:val="7"/>
            <w:tcBorders>
              <w:top w:val="single" w:sz="4" w:space="0" w:color="auto"/>
              <w:left w:val="single" w:sz="4" w:space="0" w:color="auto"/>
              <w:bottom w:val="single" w:sz="4" w:space="0" w:color="auto"/>
              <w:right w:val="single" w:sz="4" w:space="0" w:color="auto"/>
            </w:tcBorders>
            <w:vAlign w:val="center"/>
          </w:tcPr>
          <w:p w14:paraId="62BD2036" w14:textId="77777777" w:rsidR="006070D7" w:rsidRPr="00D75D2E" w:rsidRDefault="006070D7" w:rsidP="003C5554">
            <w:pPr>
              <w:spacing w:after="0" w:line="240" w:lineRule="auto"/>
              <w:jc w:val="both"/>
              <w:rPr>
                <w:rFonts w:ascii="Times New Roman" w:hAnsi="Times New Roman"/>
                <w:sz w:val="20"/>
                <w:szCs w:val="20"/>
              </w:rPr>
            </w:pPr>
            <w:r w:rsidRPr="00D75D2E">
              <w:rPr>
                <w:rFonts w:ascii="Times New Roman" w:eastAsia="Times New Roman" w:hAnsi="Times New Roman"/>
                <w:bCs/>
                <w:sz w:val="20"/>
                <w:szCs w:val="20"/>
              </w:rPr>
              <w:t xml:space="preserve">Economique, Socio culturel </w:t>
            </w:r>
          </w:p>
        </w:tc>
        <w:tc>
          <w:tcPr>
            <w:tcW w:w="1074" w:type="pct"/>
            <w:gridSpan w:val="2"/>
          </w:tcPr>
          <w:p w14:paraId="0C899714"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084E9842" w14:textId="77777777" w:rsidTr="003C5554">
        <w:trPr>
          <w:trHeight w:val="994"/>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5C272889"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hideMark/>
          </w:tcPr>
          <w:p w14:paraId="654AFA17" w14:textId="77777777" w:rsidR="006070D7" w:rsidRPr="00D75D2E" w:rsidRDefault="006070D7" w:rsidP="003C5554">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563" w:type="pct"/>
            <w:gridSpan w:val="11"/>
            <w:tcBorders>
              <w:top w:val="single" w:sz="4" w:space="0" w:color="auto"/>
              <w:left w:val="single" w:sz="4" w:space="0" w:color="auto"/>
              <w:bottom w:val="single" w:sz="4" w:space="0" w:color="auto"/>
              <w:right w:val="single" w:sz="4" w:space="0" w:color="auto"/>
            </w:tcBorders>
            <w:hideMark/>
          </w:tcPr>
          <w:p w14:paraId="08693AE5" w14:textId="77777777" w:rsidR="006070D7" w:rsidRPr="00420C1B" w:rsidRDefault="006070D7" w:rsidP="003C5554">
            <w:pPr>
              <w:spacing w:after="0" w:line="240" w:lineRule="auto"/>
              <w:jc w:val="both"/>
              <w:rPr>
                <w:rFonts w:ascii="Times New Roman" w:hAnsi="Times New Roman"/>
                <w:sz w:val="20"/>
                <w:szCs w:val="20"/>
                <w:lang w:val="fr-CD"/>
              </w:rPr>
            </w:pPr>
            <w:r w:rsidRPr="00EB2EDD">
              <w:rPr>
                <w:rFonts w:ascii="Times New Roman" w:eastAsia="Times New Roman" w:hAnsi="Times New Roman"/>
                <w:bCs/>
                <w:sz w:val="20"/>
                <w:szCs w:val="20"/>
                <w:lang w:val="fr-CD"/>
              </w:rPr>
              <w:t>La mise en œuvre du projet entrainera</w:t>
            </w:r>
            <w:r w:rsidRPr="00EB2EDD">
              <w:rPr>
                <w:rFonts w:ascii="Times New Roman" w:hAnsi="Times New Roman"/>
                <w:sz w:val="20"/>
                <w:szCs w:val="20"/>
                <w:lang w:val="fr-CD"/>
              </w:rPr>
              <w:t xml:space="preserve"> les pertes de revenus pour les petits commerces, kiosques, étalage par terre de commerce des produits alimentaires et autres. Une estimation de 500 ménages a été attribuée à cet impact du fais du déploiement du réseau MT/BT et le tirage des lignes</w:t>
            </w:r>
            <w:r w:rsidRPr="00420C1B">
              <w:rPr>
                <w:rFonts w:ascii="Times New Roman" w:hAnsi="Times New Roman"/>
                <w:sz w:val="20"/>
                <w:szCs w:val="20"/>
                <w:lang w:val="fr-CD"/>
              </w:rPr>
              <w:t>).</w:t>
            </w:r>
          </w:p>
          <w:p w14:paraId="4805244E" w14:textId="77777777" w:rsidR="006070D7" w:rsidRPr="00EB2EDD" w:rsidRDefault="006070D7" w:rsidP="003C5554">
            <w:pPr>
              <w:spacing w:before="60" w:after="0" w:line="240" w:lineRule="auto"/>
              <w:jc w:val="both"/>
              <w:rPr>
                <w:rFonts w:ascii="Times New Roman" w:eastAsia="Times New Roman" w:hAnsi="Times New Roman"/>
                <w:bCs/>
                <w:sz w:val="20"/>
                <w:szCs w:val="20"/>
                <w:lang w:val="fr-CD"/>
              </w:rPr>
            </w:pPr>
            <w:r w:rsidRPr="00EB2EDD">
              <w:rPr>
                <w:rFonts w:ascii="Times New Roman" w:hAnsi="Times New Roman"/>
                <w:sz w:val="20"/>
                <w:szCs w:val="20"/>
                <w:lang w:val="fr-CD"/>
              </w:rPr>
              <w:t xml:space="preserve">Toutefois, la perte de revenu sera </w:t>
            </w:r>
            <w:r w:rsidRPr="00EB2EDD">
              <w:rPr>
                <w:rFonts w:ascii="Times New Roman" w:eastAsia="Times New Roman" w:hAnsi="Times New Roman"/>
                <w:bCs/>
                <w:sz w:val="20"/>
                <w:szCs w:val="20"/>
                <w:lang w:val="fr-CD"/>
              </w:rPr>
              <w:t>temporaire et les ménages concernées pourront regagner leur site de petit commerce après les travaux.</w:t>
            </w:r>
          </w:p>
        </w:tc>
      </w:tr>
      <w:tr w:rsidR="006070D7" w:rsidRPr="00420C1B" w14:paraId="12A5164A" w14:textId="77777777" w:rsidTr="003C5554">
        <w:trPr>
          <w:trHeight w:val="492"/>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4A33E03C" w14:textId="77777777" w:rsidR="006070D7" w:rsidRPr="00EB2EDD" w:rsidRDefault="006070D7" w:rsidP="003C5554">
            <w:pPr>
              <w:spacing w:after="0" w:line="240" w:lineRule="auto"/>
              <w:jc w:val="both"/>
              <w:rPr>
                <w:rFonts w:ascii="Times New Roman" w:eastAsia="Times New Roman" w:hAnsi="Times New Roman"/>
                <w:sz w:val="20"/>
                <w:szCs w:val="20"/>
                <w:lang w:val="fr-CD" w:eastAsia="fr-FR"/>
              </w:rPr>
            </w:pPr>
            <w:r w:rsidRPr="00EB2EDD">
              <w:rPr>
                <w:rFonts w:ascii="Times New Roman" w:hAnsi="Times New Roman"/>
                <w:b/>
                <w:sz w:val="20"/>
                <w:szCs w:val="20"/>
                <w:lang w:val="fr-CD"/>
              </w:rPr>
              <w:t>Titre de la mesure d’atténuation</w:t>
            </w:r>
            <w:r w:rsidRPr="00EB2EDD">
              <w:rPr>
                <w:rFonts w:ascii="Times New Roman" w:hAnsi="Times New Roman"/>
                <w:sz w:val="20"/>
                <w:szCs w:val="20"/>
                <w:lang w:val="fr-CD"/>
              </w:rPr>
              <w:t xml:space="preserve"> : </w:t>
            </w:r>
          </w:p>
        </w:tc>
        <w:tc>
          <w:tcPr>
            <w:tcW w:w="3563" w:type="pct"/>
            <w:gridSpan w:val="11"/>
            <w:tcBorders>
              <w:top w:val="single" w:sz="4" w:space="0" w:color="auto"/>
              <w:left w:val="single" w:sz="4" w:space="0" w:color="auto"/>
              <w:bottom w:val="single" w:sz="4" w:space="0" w:color="auto"/>
              <w:right w:val="single" w:sz="4" w:space="0" w:color="auto"/>
            </w:tcBorders>
            <w:hideMark/>
          </w:tcPr>
          <w:p w14:paraId="432E49D8" w14:textId="77777777" w:rsidR="006070D7" w:rsidRPr="00EB2EDD" w:rsidRDefault="006070D7" w:rsidP="006070D7">
            <w:pPr>
              <w:numPr>
                <w:ilvl w:val="0"/>
                <w:numId w:val="32"/>
              </w:numPr>
              <w:autoSpaceDE w:val="0"/>
              <w:autoSpaceDN w:val="0"/>
              <w:adjustRightInd w:val="0"/>
              <w:spacing w:after="0" w:line="240" w:lineRule="auto"/>
              <w:ind w:left="220" w:hanging="282"/>
              <w:contextualSpacing/>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Mise en œuvre d’un plan de restauration des revenus des ménages impactés par les travaux.</w:t>
            </w:r>
          </w:p>
          <w:p w14:paraId="61D3BA75" w14:textId="77777777" w:rsidR="006070D7" w:rsidRPr="00EB2EDD" w:rsidRDefault="006070D7" w:rsidP="006070D7">
            <w:pPr>
              <w:numPr>
                <w:ilvl w:val="0"/>
                <w:numId w:val="32"/>
              </w:numPr>
              <w:autoSpaceDE w:val="0"/>
              <w:autoSpaceDN w:val="0"/>
              <w:adjustRightInd w:val="0"/>
              <w:spacing w:after="0" w:line="240" w:lineRule="auto"/>
              <w:ind w:left="220" w:hanging="282"/>
              <w:contextualSpacing/>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Identifier toute les activités de commerces se trouvant sur l’emprise des lignes et des poteaux à implanter</w:t>
            </w:r>
          </w:p>
        </w:tc>
      </w:tr>
      <w:tr w:rsidR="006070D7" w:rsidRPr="00420C1B" w14:paraId="5F9C5ECA" w14:textId="77777777" w:rsidTr="003C5554">
        <w:trPr>
          <w:trHeight w:val="1018"/>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6254CB0E"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Objectif de la mesure d’atténuation</w:t>
            </w:r>
            <w:r w:rsidRPr="00EB2EDD">
              <w:rPr>
                <w:rFonts w:ascii="Times New Roman" w:hAnsi="Times New Roman"/>
                <w:sz w:val="20"/>
                <w:szCs w:val="20"/>
                <w:lang w:val="fr-CD"/>
              </w:rPr>
              <w:t xml:space="preserve"> : </w:t>
            </w:r>
          </w:p>
          <w:p w14:paraId="69FEBE70" w14:textId="77777777" w:rsidR="006070D7" w:rsidRPr="00EB2EDD" w:rsidRDefault="006070D7" w:rsidP="003C5554">
            <w:pPr>
              <w:spacing w:after="0" w:line="240" w:lineRule="auto"/>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Indemniser et compenser</w:t>
            </w:r>
            <w:r w:rsidRPr="00EB2EDD">
              <w:rPr>
                <w:rFonts w:ascii="Times New Roman" w:hAnsi="Times New Roman"/>
                <w:sz w:val="20"/>
                <w:szCs w:val="20"/>
                <w:lang w:val="fr-CD"/>
              </w:rPr>
              <w:t xml:space="preserve"> la perte de revenus due aux travaux  </w:t>
            </w:r>
          </w:p>
        </w:tc>
        <w:tc>
          <w:tcPr>
            <w:tcW w:w="3563" w:type="pct"/>
            <w:gridSpan w:val="11"/>
            <w:tcBorders>
              <w:top w:val="single" w:sz="4" w:space="0" w:color="auto"/>
              <w:left w:val="single" w:sz="4" w:space="0" w:color="auto"/>
              <w:bottom w:val="single" w:sz="4" w:space="0" w:color="auto"/>
              <w:right w:val="single" w:sz="4" w:space="0" w:color="auto"/>
            </w:tcBorders>
            <w:hideMark/>
          </w:tcPr>
          <w:p w14:paraId="6CDCAD2B" w14:textId="77777777" w:rsidR="006070D7" w:rsidRPr="00D75D2E" w:rsidRDefault="006070D7" w:rsidP="003C5554">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68EC4CB2" w14:textId="77777777" w:rsidR="006070D7" w:rsidRPr="00EB2EDD" w:rsidRDefault="006070D7" w:rsidP="006070D7">
            <w:pPr>
              <w:numPr>
                <w:ilvl w:val="0"/>
                <w:numId w:val="32"/>
              </w:numPr>
              <w:autoSpaceDE w:val="0"/>
              <w:autoSpaceDN w:val="0"/>
              <w:adjustRightInd w:val="0"/>
              <w:spacing w:after="0" w:line="240" w:lineRule="auto"/>
              <w:ind w:left="220" w:hanging="282"/>
              <w:contextualSpacing/>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Identifier les ménages concernées par les pertes de revenus ;</w:t>
            </w:r>
          </w:p>
          <w:p w14:paraId="4C472F17" w14:textId="77777777" w:rsidR="006070D7" w:rsidRPr="00EB2EDD" w:rsidRDefault="006070D7" w:rsidP="006070D7">
            <w:pPr>
              <w:numPr>
                <w:ilvl w:val="0"/>
                <w:numId w:val="32"/>
              </w:numPr>
              <w:autoSpaceDE w:val="0"/>
              <w:autoSpaceDN w:val="0"/>
              <w:adjustRightInd w:val="0"/>
              <w:spacing w:after="0" w:line="240" w:lineRule="auto"/>
              <w:ind w:left="220" w:hanging="282"/>
              <w:contextualSpacing/>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Calculer les pertes de revenus occasionnés par le déplacement temporaire suite aux travaux</w:t>
            </w:r>
          </w:p>
          <w:p w14:paraId="61E66ACE" w14:textId="77777777" w:rsidR="006070D7" w:rsidRPr="00EB2EDD" w:rsidRDefault="006070D7" w:rsidP="006070D7">
            <w:pPr>
              <w:numPr>
                <w:ilvl w:val="0"/>
                <w:numId w:val="32"/>
              </w:numPr>
              <w:autoSpaceDE w:val="0"/>
              <w:autoSpaceDN w:val="0"/>
              <w:adjustRightInd w:val="0"/>
              <w:spacing w:after="0" w:line="240" w:lineRule="auto"/>
              <w:ind w:left="220" w:hanging="282"/>
              <w:contextualSpacing/>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 xml:space="preserve">Indemniser et compenser les pertes en espèces </w:t>
            </w:r>
          </w:p>
        </w:tc>
      </w:tr>
      <w:tr w:rsidR="006070D7" w:rsidRPr="00420C1B" w14:paraId="697150CA" w14:textId="77777777" w:rsidTr="003C5554">
        <w:trPr>
          <w:trHeight w:val="250"/>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0CED5230" w14:textId="77777777" w:rsidR="006070D7" w:rsidRPr="00D75D2E" w:rsidRDefault="006070D7" w:rsidP="003C5554">
            <w:pPr>
              <w:spacing w:after="0" w:line="240" w:lineRule="auto"/>
              <w:jc w:val="right"/>
              <w:rPr>
                <w:rFonts w:ascii="Times New Roman" w:hAnsi="Times New Roman"/>
                <w:b/>
                <w:sz w:val="20"/>
                <w:szCs w:val="20"/>
              </w:rPr>
            </w:pPr>
            <w:r w:rsidRPr="00D75D2E">
              <w:rPr>
                <w:rFonts w:ascii="Times New Roman" w:hAnsi="Times New Roman"/>
                <w:b/>
                <w:sz w:val="20"/>
                <w:szCs w:val="20"/>
              </w:rPr>
              <w:t>Impact résiduel</w:t>
            </w:r>
          </w:p>
        </w:tc>
        <w:tc>
          <w:tcPr>
            <w:tcW w:w="3363" w:type="pct"/>
            <w:gridSpan w:val="10"/>
            <w:tcBorders>
              <w:top w:val="single" w:sz="4" w:space="0" w:color="auto"/>
              <w:left w:val="single" w:sz="4" w:space="0" w:color="auto"/>
              <w:bottom w:val="single" w:sz="4" w:space="0" w:color="auto"/>
              <w:right w:val="single" w:sz="4" w:space="0" w:color="auto"/>
            </w:tcBorders>
            <w:hideMark/>
          </w:tcPr>
          <w:p w14:paraId="0776B702"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c>
          <w:tcPr>
            <w:tcW w:w="200" w:type="pct"/>
            <w:tcBorders>
              <w:top w:val="single" w:sz="4" w:space="0" w:color="auto"/>
              <w:left w:val="single" w:sz="4" w:space="0" w:color="auto"/>
              <w:bottom w:val="single" w:sz="4" w:space="0" w:color="auto"/>
              <w:right w:val="single" w:sz="4" w:space="0" w:color="auto"/>
            </w:tcBorders>
          </w:tcPr>
          <w:p w14:paraId="70578AB6"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p>
        </w:tc>
      </w:tr>
      <w:tr w:rsidR="006070D7" w:rsidRPr="00420C1B" w14:paraId="4E03F4E8" w14:textId="77777777" w:rsidTr="003C5554">
        <w:trPr>
          <w:trHeight w:val="545"/>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3B354C25"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06B6FD77" w14:textId="77777777" w:rsidR="006070D7" w:rsidRPr="00D75D2E"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35265F6D" w14:textId="77777777" w:rsidR="006070D7" w:rsidRPr="00EB2EDD"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lang w:val="fr-CD"/>
              </w:rPr>
            </w:pPr>
            <w:r w:rsidRPr="00EB2EDD">
              <w:rPr>
                <w:rFonts w:ascii="Times New Roman" w:hAnsi="Times New Roman"/>
                <w:sz w:val="20"/>
                <w:szCs w:val="20"/>
                <w:lang w:val="fr-CD"/>
              </w:rPr>
              <w:t>Agence Congolaise de l’Environnement (ACE) </w:t>
            </w:r>
          </w:p>
        </w:tc>
        <w:tc>
          <w:tcPr>
            <w:tcW w:w="2490" w:type="pct"/>
            <w:gridSpan w:val="9"/>
            <w:tcBorders>
              <w:top w:val="single" w:sz="4" w:space="0" w:color="auto"/>
              <w:left w:val="single" w:sz="4" w:space="0" w:color="auto"/>
              <w:bottom w:val="single" w:sz="4" w:space="0" w:color="auto"/>
              <w:right w:val="single" w:sz="4" w:space="0" w:color="auto"/>
            </w:tcBorders>
            <w:hideMark/>
          </w:tcPr>
          <w:p w14:paraId="1C279DFC"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36E487AB" w14:textId="77777777" w:rsidR="006070D7" w:rsidRPr="00EB2EDD"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EB2EDD">
              <w:rPr>
                <w:rFonts w:ascii="Times New Roman" w:hAnsi="Times New Roman"/>
                <w:sz w:val="20"/>
                <w:szCs w:val="20"/>
                <w:lang w:val="fr-CD"/>
              </w:rPr>
              <w:t>Cellule Provinciale de l’Environnement (CPE) ;</w:t>
            </w:r>
          </w:p>
          <w:p w14:paraId="78356AA8" w14:textId="77777777" w:rsidR="006070D7" w:rsidRPr="00EB2EDD"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EB2EDD">
              <w:rPr>
                <w:rFonts w:ascii="Times New Roman" w:hAnsi="Times New Roman"/>
                <w:sz w:val="20"/>
                <w:szCs w:val="20"/>
                <w:lang w:val="fr-CD"/>
              </w:rPr>
              <w:t>Sous-Cellule environnementale et sociale d’UCM (SCES/UCM)</w:t>
            </w:r>
          </w:p>
          <w:p w14:paraId="3449B06F" w14:textId="77777777" w:rsidR="006070D7" w:rsidRPr="00EB2EDD" w:rsidRDefault="006070D7" w:rsidP="006070D7">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lang w:val="fr-CD"/>
              </w:rPr>
            </w:pPr>
            <w:r w:rsidRPr="00EB2EDD">
              <w:rPr>
                <w:rFonts w:ascii="Times New Roman" w:hAnsi="Times New Roman"/>
                <w:sz w:val="20"/>
                <w:szCs w:val="20"/>
                <w:lang w:val="fr-CD"/>
              </w:rPr>
              <w:t xml:space="preserve">Service environnement des communes concernées </w:t>
            </w:r>
          </w:p>
        </w:tc>
        <w:tc>
          <w:tcPr>
            <w:tcW w:w="1074" w:type="pct"/>
            <w:gridSpan w:val="2"/>
            <w:tcBorders>
              <w:top w:val="single" w:sz="4" w:space="0" w:color="auto"/>
              <w:left w:val="single" w:sz="4" w:space="0" w:color="auto"/>
              <w:bottom w:val="single" w:sz="4" w:space="0" w:color="auto"/>
              <w:right w:val="single" w:sz="4" w:space="0" w:color="auto"/>
            </w:tcBorders>
            <w:hideMark/>
          </w:tcPr>
          <w:p w14:paraId="0A02607A"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183BED1B" w14:textId="77777777" w:rsidR="006070D7" w:rsidRPr="00EB2EDD" w:rsidRDefault="006070D7" w:rsidP="006070D7">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lang w:val="fr-CD"/>
              </w:rPr>
            </w:pPr>
            <w:r w:rsidRPr="00EB2EDD">
              <w:rPr>
                <w:rFonts w:ascii="Times New Roman" w:hAnsi="Times New Roman"/>
                <w:sz w:val="20"/>
                <w:szCs w:val="20"/>
                <w:lang w:val="fr-CD"/>
              </w:rPr>
              <w:t>Nombre des ménages dont les sources de revenus sont restaurées</w:t>
            </w:r>
          </w:p>
        </w:tc>
      </w:tr>
      <w:tr w:rsidR="006070D7" w:rsidRPr="00420C1B" w14:paraId="59E93D4B" w14:textId="77777777" w:rsidTr="003C5554">
        <w:trPr>
          <w:trHeight w:val="164"/>
          <w:jc w:val="center"/>
        </w:trPr>
        <w:tc>
          <w:tcPr>
            <w:tcW w:w="884" w:type="pct"/>
            <w:tcBorders>
              <w:top w:val="single" w:sz="4" w:space="0" w:color="auto"/>
              <w:left w:val="single" w:sz="4" w:space="0" w:color="auto"/>
              <w:bottom w:val="single" w:sz="4" w:space="0" w:color="auto"/>
              <w:right w:val="single" w:sz="4" w:space="0" w:color="auto"/>
            </w:tcBorders>
            <w:hideMark/>
          </w:tcPr>
          <w:p w14:paraId="08D748CB"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345" w:type="pct"/>
            <w:tcBorders>
              <w:top w:val="single" w:sz="4" w:space="0" w:color="auto"/>
              <w:left w:val="single" w:sz="4" w:space="0" w:color="auto"/>
              <w:bottom w:val="single" w:sz="4" w:space="0" w:color="auto"/>
              <w:right w:val="single" w:sz="4" w:space="0" w:color="auto"/>
            </w:tcBorders>
            <w:hideMark/>
          </w:tcPr>
          <w:p w14:paraId="4610456C"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484" w:type="pct"/>
            <w:gridSpan w:val="2"/>
            <w:tcBorders>
              <w:top w:val="single" w:sz="4" w:space="0" w:color="auto"/>
              <w:left w:val="single" w:sz="4" w:space="0" w:color="auto"/>
              <w:bottom w:val="single" w:sz="4" w:space="0" w:color="auto"/>
              <w:right w:val="single" w:sz="4" w:space="0" w:color="auto"/>
            </w:tcBorders>
          </w:tcPr>
          <w:p w14:paraId="79442A7B"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tcPr>
          <w:p w14:paraId="471EA040"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tcPr>
          <w:p w14:paraId="7CF6A2EB"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tcPr>
          <w:p w14:paraId="1CD51240"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553" w:type="pct"/>
            <w:tcBorders>
              <w:top w:val="single" w:sz="4" w:space="0" w:color="auto"/>
              <w:left w:val="single" w:sz="4" w:space="0" w:color="auto"/>
              <w:bottom w:val="single" w:sz="4" w:space="0" w:color="auto"/>
              <w:right w:val="single" w:sz="4" w:space="0" w:color="auto"/>
            </w:tcBorders>
            <w:hideMark/>
          </w:tcPr>
          <w:p w14:paraId="3529E4E9"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 total</w:t>
            </w:r>
          </w:p>
        </w:tc>
        <w:tc>
          <w:tcPr>
            <w:tcW w:w="1074" w:type="pct"/>
            <w:gridSpan w:val="2"/>
            <w:tcBorders>
              <w:top w:val="single" w:sz="4" w:space="0" w:color="auto"/>
              <w:left w:val="single" w:sz="4" w:space="0" w:color="auto"/>
              <w:bottom w:val="single" w:sz="4" w:space="0" w:color="auto"/>
              <w:right w:val="single" w:sz="4" w:space="0" w:color="auto"/>
            </w:tcBorders>
            <w:hideMark/>
          </w:tcPr>
          <w:p w14:paraId="233F994F" w14:textId="77777777" w:rsidR="006070D7" w:rsidRPr="00EB2EDD" w:rsidRDefault="006070D7" w:rsidP="003C5554">
            <w:pPr>
              <w:autoSpaceDE w:val="0"/>
              <w:autoSpaceDN w:val="0"/>
              <w:adjustRightInd w:val="0"/>
              <w:spacing w:after="0" w:line="240" w:lineRule="auto"/>
              <w:jc w:val="center"/>
              <w:rPr>
                <w:rFonts w:ascii="Times New Roman" w:hAnsi="Times New Roman"/>
                <w:sz w:val="20"/>
                <w:szCs w:val="20"/>
                <w:lang w:val="fr-CD"/>
              </w:rPr>
            </w:pPr>
            <w:r w:rsidRPr="00EB2EDD">
              <w:rPr>
                <w:rFonts w:ascii="Times New Roman" w:hAnsi="Times New Roman"/>
                <w:sz w:val="20"/>
                <w:szCs w:val="20"/>
                <w:lang w:val="fr-CD"/>
              </w:rPr>
              <w:t>Calendrier de mise en œuvre</w:t>
            </w:r>
          </w:p>
        </w:tc>
      </w:tr>
      <w:tr w:rsidR="006070D7" w:rsidRPr="00420C1B" w14:paraId="0C4B5CC4" w14:textId="77777777" w:rsidTr="003C5554">
        <w:trPr>
          <w:trHeight w:val="185"/>
          <w:jc w:val="center"/>
        </w:trPr>
        <w:tc>
          <w:tcPr>
            <w:tcW w:w="884" w:type="pct"/>
            <w:tcBorders>
              <w:top w:val="single" w:sz="4" w:space="0" w:color="auto"/>
              <w:left w:val="single" w:sz="4" w:space="0" w:color="auto"/>
              <w:bottom w:val="single" w:sz="4" w:space="0" w:color="auto"/>
              <w:right w:val="single" w:sz="4" w:space="0" w:color="auto"/>
            </w:tcBorders>
            <w:hideMark/>
          </w:tcPr>
          <w:p w14:paraId="63E15F07" w14:textId="77777777" w:rsidR="006070D7" w:rsidRPr="00420C1B" w:rsidRDefault="006070D7" w:rsidP="003C5554">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345" w:type="pct"/>
            <w:tcBorders>
              <w:top w:val="single" w:sz="4" w:space="0" w:color="auto"/>
              <w:left w:val="single" w:sz="4" w:space="0" w:color="auto"/>
              <w:bottom w:val="single" w:sz="4" w:space="0" w:color="auto"/>
              <w:right w:val="single" w:sz="4" w:space="0" w:color="auto"/>
            </w:tcBorders>
            <w:hideMark/>
          </w:tcPr>
          <w:p w14:paraId="58078840"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3402F0FE"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2" w:type="pct"/>
            <w:gridSpan w:val="3"/>
            <w:tcBorders>
              <w:top w:val="single" w:sz="4" w:space="0" w:color="auto"/>
              <w:left w:val="single" w:sz="4" w:space="0" w:color="auto"/>
              <w:bottom w:val="single" w:sz="4" w:space="0" w:color="auto"/>
              <w:right w:val="single" w:sz="4" w:space="0" w:color="auto"/>
            </w:tcBorders>
            <w:shd w:val="clear" w:color="auto" w:fill="auto"/>
            <w:hideMark/>
          </w:tcPr>
          <w:p w14:paraId="6FE40FC5"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Pr>
          <w:p w14:paraId="1B3DEE0E"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E261BC"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553" w:type="pct"/>
            <w:tcBorders>
              <w:top w:val="single" w:sz="4" w:space="0" w:color="auto"/>
              <w:left w:val="single" w:sz="4" w:space="0" w:color="auto"/>
              <w:bottom w:val="single" w:sz="4" w:space="0" w:color="auto"/>
              <w:right w:val="single" w:sz="4" w:space="0" w:color="auto"/>
            </w:tcBorders>
            <w:shd w:val="clear" w:color="auto" w:fill="auto"/>
            <w:hideMark/>
          </w:tcPr>
          <w:p w14:paraId="54CC2A2F"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1074" w:type="pct"/>
            <w:gridSpan w:val="2"/>
            <w:tcBorders>
              <w:top w:val="single" w:sz="4" w:space="0" w:color="auto"/>
              <w:left w:val="single" w:sz="4" w:space="0" w:color="auto"/>
              <w:bottom w:val="single" w:sz="4" w:space="0" w:color="auto"/>
              <w:right w:val="single" w:sz="4" w:space="0" w:color="auto"/>
            </w:tcBorders>
            <w:hideMark/>
          </w:tcPr>
          <w:p w14:paraId="377B3274" w14:textId="77777777" w:rsidR="006070D7" w:rsidRPr="00420C1B" w:rsidRDefault="006070D7" w:rsidP="003C5554">
            <w:pPr>
              <w:autoSpaceDE w:val="0"/>
              <w:autoSpaceDN w:val="0"/>
              <w:adjustRightInd w:val="0"/>
              <w:spacing w:after="0" w:line="240" w:lineRule="auto"/>
              <w:jc w:val="center"/>
              <w:rPr>
                <w:rFonts w:ascii="Times New Roman" w:hAnsi="Times New Roman"/>
                <w:b/>
                <w:sz w:val="20"/>
                <w:szCs w:val="20"/>
                <w:u w:val="single"/>
                <w:lang w:val="fr-CD"/>
              </w:rPr>
            </w:pPr>
            <w:r w:rsidRPr="00420C1B">
              <w:rPr>
                <w:rFonts w:ascii="Times New Roman" w:hAnsi="Times New Roman"/>
                <w:sz w:val="20"/>
                <w:szCs w:val="20"/>
                <w:lang w:val="fr-CD"/>
              </w:rPr>
              <w:t>Avant et Pendant les travaux</w:t>
            </w:r>
          </w:p>
        </w:tc>
      </w:tr>
    </w:tbl>
    <w:p w14:paraId="42328FC3" w14:textId="77777777" w:rsidR="006070D7" w:rsidRPr="00EB2EDD" w:rsidRDefault="006070D7" w:rsidP="006070D7">
      <w:pPr>
        <w:keepNext/>
        <w:spacing w:after="120" w:line="240" w:lineRule="auto"/>
        <w:rPr>
          <w:rFonts w:ascii="Times New Roman" w:hAnsi="Times New Roman"/>
          <w:iCs/>
          <w:szCs w:val="18"/>
          <w:lang w:val="fr-CD"/>
        </w:rPr>
      </w:pPr>
    </w:p>
    <w:p w14:paraId="425742A3" w14:textId="77777777" w:rsidR="008830DF" w:rsidRDefault="008830DF" w:rsidP="006070D7">
      <w:pPr>
        <w:keepNext/>
        <w:spacing w:after="120" w:line="240" w:lineRule="auto"/>
        <w:jc w:val="center"/>
        <w:rPr>
          <w:rFonts w:ascii="Times New Roman" w:hAnsi="Times New Roman"/>
          <w:iCs/>
          <w:sz w:val="24"/>
          <w:szCs w:val="24"/>
          <w:lang w:val="fr-CD"/>
        </w:rPr>
      </w:pPr>
    </w:p>
    <w:p w14:paraId="3E738DFA" w14:textId="77777777" w:rsidR="008830DF" w:rsidRDefault="008830DF" w:rsidP="006070D7">
      <w:pPr>
        <w:keepNext/>
        <w:spacing w:after="120" w:line="240" w:lineRule="auto"/>
        <w:jc w:val="center"/>
        <w:rPr>
          <w:rFonts w:ascii="Times New Roman" w:hAnsi="Times New Roman"/>
          <w:iCs/>
          <w:sz w:val="24"/>
          <w:szCs w:val="24"/>
          <w:lang w:val="fr-CD"/>
        </w:rPr>
      </w:pPr>
    </w:p>
    <w:p w14:paraId="721A768D" w14:textId="77777777" w:rsidR="008830DF" w:rsidRDefault="008830DF" w:rsidP="006070D7">
      <w:pPr>
        <w:keepNext/>
        <w:spacing w:after="120" w:line="240" w:lineRule="auto"/>
        <w:jc w:val="center"/>
        <w:rPr>
          <w:rFonts w:ascii="Times New Roman" w:hAnsi="Times New Roman"/>
          <w:iCs/>
          <w:sz w:val="24"/>
          <w:szCs w:val="24"/>
          <w:lang w:val="fr-CD"/>
        </w:rPr>
      </w:pPr>
    </w:p>
    <w:p w14:paraId="7C42EB0B" w14:textId="77777777" w:rsidR="008830DF" w:rsidRDefault="008830DF" w:rsidP="006070D7">
      <w:pPr>
        <w:keepNext/>
        <w:spacing w:after="120" w:line="240" w:lineRule="auto"/>
        <w:jc w:val="center"/>
        <w:rPr>
          <w:rFonts w:ascii="Times New Roman" w:hAnsi="Times New Roman"/>
          <w:iCs/>
          <w:sz w:val="24"/>
          <w:szCs w:val="24"/>
          <w:lang w:val="fr-CD"/>
        </w:rPr>
      </w:pPr>
    </w:p>
    <w:p w14:paraId="596176C5" w14:textId="77777777" w:rsidR="00540405" w:rsidRDefault="00540405">
      <w:pPr>
        <w:rPr>
          <w:rFonts w:ascii="Times New Roman" w:hAnsi="Times New Roman"/>
          <w:iCs/>
          <w:sz w:val="24"/>
          <w:szCs w:val="24"/>
          <w:lang w:val="fr-CD"/>
        </w:rPr>
      </w:pPr>
      <w:r>
        <w:rPr>
          <w:rFonts w:ascii="Times New Roman" w:hAnsi="Times New Roman"/>
          <w:iCs/>
          <w:sz w:val="24"/>
          <w:szCs w:val="24"/>
          <w:lang w:val="fr-CD"/>
        </w:rPr>
        <w:br w:type="page"/>
      </w:r>
    </w:p>
    <w:p w14:paraId="620DF427" w14:textId="3E26BB49" w:rsidR="006070D7" w:rsidRPr="00EB2EDD" w:rsidRDefault="006070D7" w:rsidP="006070D7">
      <w:pPr>
        <w:keepNext/>
        <w:spacing w:after="120" w:line="240" w:lineRule="auto"/>
        <w:jc w:val="center"/>
        <w:rPr>
          <w:rFonts w:ascii="Times New Roman" w:hAnsi="Times New Roman"/>
          <w:iCs/>
          <w:sz w:val="24"/>
          <w:szCs w:val="24"/>
          <w:lang w:val="fr-CD"/>
        </w:rPr>
      </w:pPr>
      <w:bookmarkStart w:id="645" w:name="_Toc93050307"/>
      <w:r w:rsidRPr="00EB2EDD">
        <w:rPr>
          <w:rFonts w:ascii="Times New Roman" w:hAnsi="Times New Roman"/>
          <w:iCs/>
          <w:sz w:val="24"/>
          <w:szCs w:val="24"/>
          <w:lang w:val="fr-CD"/>
        </w:rPr>
        <w:t xml:space="preserve">Tableau </w:t>
      </w:r>
      <w:r w:rsidRPr="00E737B4">
        <w:rPr>
          <w:rFonts w:ascii="Times New Roman" w:hAnsi="Times New Roman"/>
          <w:iCs/>
          <w:sz w:val="24"/>
          <w:szCs w:val="24"/>
        </w:rPr>
        <w:fldChar w:fldCharType="begin"/>
      </w:r>
      <w:r w:rsidRPr="00EB2EDD">
        <w:rPr>
          <w:rFonts w:ascii="Times New Roman" w:hAnsi="Times New Roman"/>
          <w:iCs/>
          <w:sz w:val="24"/>
          <w:szCs w:val="24"/>
          <w:lang w:val="fr-CD"/>
        </w:rPr>
        <w:instrText xml:space="preserve"> SEQ Tableau \* ARABIC </w:instrText>
      </w:r>
      <w:r w:rsidRPr="00E737B4">
        <w:rPr>
          <w:rFonts w:ascii="Times New Roman" w:hAnsi="Times New Roman"/>
          <w:iCs/>
          <w:sz w:val="24"/>
          <w:szCs w:val="24"/>
        </w:rPr>
        <w:fldChar w:fldCharType="separate"/>
      </w:r>
      <w:r w:rsidR="00A86929">
        <w:rPr>
          <w:rFonts w:ascii="Times New Roman" w:hAnsi="Times New Roman"/>
          <w:iCs/>
          <w:noProof/>
          <w:sz w:val="24"/>
          <w:szCs w:val="24"/>
          <w:lang w:val="fr-CD"/>
        </w:rPr>
        <w:t>45</w:t>
      </w:r>
      <w:r w:rsidRPr="00E737B4">
        <w:rPr>
          <w:rFonts w:ascii="Times New Roman" w:hAnsi="Times New Roman"/>
          <w:iCs/>
          <w:noProof/>
          <w:sz w:val="24"/>
          <w:szCs w:val="24"/>
        </w:rPr>
        <w:fldChar w:fldCharType="end"/>
      </w:r>
      <w:r w:rsidRPr="00EB2EDD">
        <w:rPr>
          <w:rFonts w:ascii="Times New Roman" w:hAnsi="Times New Roman"/>
          <w:iCs/>
          <w:sz w:val="24"/>
          <w:szCs w:val="24"/>
          <w:lang w:val="fr-CD"/>
        </w:rPr>
        <w:t xml:space="preserve"> : Fiche de déclaration d’Impact – </w:t>
      </w:r>
      <w:r w:rsidRPr="00EB2EDD">
        <w:rPr>
          <w:rFonts w:ascii="Times New Roman" w:hAnsi="Times New Roman"/>
          <w:b/>
          <w:iCs/>
          <w:sz w:val="24"/>
          <w:szCs w:val="24"/>
          <w:lang w:val="fr-CD"/>
        </w:rPr>
        <w:t xml:space="preserve">Code </w:t>
      </w:r>
      <w:r w:rsidR="00DF7D56">
        <w:rPr>
          <w:rFonts w:ascii="Times New Roman" w:hAnsi="Times New Roman"/>
          <w:b/>
          <w:iCs/>
          <w:sz w:val="24"/>
          <w:szCs w:val="24"/>
          <w:lang w:val="fr-CD"/>
        </w:rPr>
        <w:t>2</w:t>
      </w:r>
      <w:r w:rsidR="00A86929">
        <w:rPr>
          <w:rFonts w:ascii="Times New Roman" w:hAnsi="Times New Roman"/>
          <w:b/>
          <w:iCs/>
          <w:sz w:val="24"/>
          <w:szCs w:val="24"/>
          <w:lang w:val="fr-CD"/>
        </w:rPr>
        <w:t>2</w:t>
      </w:r>
      <w:bookmarkEnd w:id="645"/>
    </w:p>
    <w:tbl>
      <w:tblPr>
        <w:tblW w:w="5145" w:type="pct"/>
        <w:jc w:val="center"/>
        <w:tblLayout w:type="fixed"/>
        <w:tblLook w:val="04A0" w:firstRow="1" w:lastRow="0" w:firstColumn="1" w:lastColumn="0" w:noHBand="0" w:noVBand="1"/>
      </w:tblPr>
      <w:tblGrid>
        <w:gridCol w:w="1792"/>
        <w:gridCol w:w="699"/>
        <w:gridCol w:w="422"/>
        <w:gridCol w:w="560"/>
        <w:gridCol w:w="736"/>
        <w:gridCol w:w="475"/>
        <w:gridCol w:w="193"/>
        <w:gridCol w:w="430"/>
        <w:gridCol w:w="692"/>
        <w:gridCol w:w="602"/>
        <w:gridCol w:w="239"/>
        <w:gridCol w:w="984"/>
        <w:gridCol w:w="1915"/>
        <w:gridCol w:w="402"/>
      </w:tblGrid>
      <w:tr w:rsidR="006070D7" w:rsidRPr="00420C1B" w14:paraId="568D0FB4" w14:textId="77777777" w:rsidTr="003C5554">
        <w:trPr>
          <w:trHeight w:val="250"/>
          <w:tblHeader/>
          <w:jc w:val="center"/>
        </w:trPr>
        <w:tc>
          <w:tcPr>
            <w:tcW w:w="884"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C5C57BB" w14:textId="77777777" w:rsidR="006070D7" w:rsidRPr="00D75D2E" w:rsidRDefault="006070D7" w:rsidP="003C5554">
            <w:pPr>
              <w:spacing w:after="0" w:line="240" w:lineRule="auto"/>
              <w:jc w:val="center"/>
              <w:rPr>
                <w:rFonts w:ascii="Times New Roman" w:hAnsi="Times New Roman"/>
                <w:b/>
                <w:sz w:val="20"/>
                <w:szCs w:val="20"/>
              </w:rPr>
            </w:pPr>
            <w:r w:rsidRPr="00D75D2E">
              <w:rPr>
                <w:rFonts w:ascii="Times New Roman" w:hAnsi="Times New Roman"/>
                <w:b/>
                <w:sz w:val="20"/>
                <w:szCs w:val="20"/>
              </w:rPr>
              <w:t>COMPOSANTE</w:t>
            </w:r>
          </w:p>
        </w:tc>
        <w:tc>
          <w:tcPr>
            <w:tcW w:w="1426"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0D9E796D"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945"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13A511EF"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603"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3EADAE4E"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1142"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2804ADD2"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6070D7" w:rsidRPr="00420C1B" w14:paraId="31B9311C" w14:textId="77777777" w:rsidTr="003C5554">
        <w:trPr>
          <w:trHeight w:val="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7CA051FD"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1" w:type="pct"/>
            <w:gridSpan w:val="13"/>
            <w:tcBorders>
              <w:top w:val="single" w:sz="4" w:space="0" w:color="auto"/>
              <w:left w:val="single" w:sz="4" w:space="0" w:color="auto"/>
              <w:bottom w:val="single" w:sz="4" w:space="0" w:color="auto"/>
              <w:right w:val="single" w:sz="4" w:space="0" w:color="auto"/>
            </w:tcBorders>
            <w:hideMark/>
          </w:tcPr>
          <w:p w14:paraId="2D7662CE"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 xml:space="preserve">Source d’impact : </w:t>
            </w:r>
            <w:r w:rsidRPr="00EB2EDD">
              <w:rPr>
                <w:rFonts w:ascii="Times New Roman" w:hAnsi="Times New Roman"/>
                <w:sz w:val="20"/>
                <w:szCs w:val="20"/>
                <w:lang w:val="fr-CD"/>
              </w:rPr>
              <w:t xml:space="preserve">Mobilisation du personnel et recrutement de la main d’œuvre  </w:t>
            </w:r>
          </w:p>
        </w:tc>
      </w:tr>
      <w:tr w:rsidR="006070D7" w:rsidRPr="00420C1B" w14:paraId="126DA625" w14:textId="77777777" w:rsidTr="003C5554">
        <w:trPr>
          <w:trHeight w:val="22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89DC276" w14:textId="77777777" w:rsidR="006070D7" w:rsidRPr="00EB2EDD" w:rsidRDefault="006070D7" w:rsidP="003C5554">
            <w:pPr>
              <w:spacing w:after="0" w:line="240" w:lineRule="auto"/>
              <w:rPr>
                <w:rFonts w:ascii="Times New Roman" w:hAnsi="Times New Roman"/>
                <w:b/>
                <w:sz w:val="20"/>
                <w:szCs w:val="20"/>
                <w:lang w:val="fr-CD"/>
              </w:rPr>
            </w:pPr>
          </w:p>
        </w:tc>
        <w:tc>
          <w:tcPr>
            <w:tcW w:w="4116" w:type="pct"/>
            <w:gridSpan w:val="13"/>
            <w:tcBorders>
              <w:top w:val="single" w:sz="4" w:space="0" w:color="auto"/>
              <w:left w:val="single" w:sz="4" w:space="0" w:color="auto"/>
              <w:bottom w:val="single" w:sz="4" w:space="0" w:color="auto"/>
              <w:right w:val="single" w:sz="4" w:space="0" w:color="auto"/>
            </w:tcBorders>
            <w:hideMark/>
          </w:tcPr>
          <w:p w14:paraId="4739E0B0"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 xml:space="preserve"> Intitulé de l’impact</w:t>
            </w:r>
            <w:r w:rsidRPr="00EB2EDD">
              <w:rPr>
                <w:rFonts w:ascii="Times New Roman" w:hAnsi="Times New Roman"/>
                <w:sz w:val="20"/>
                <w:szCs w:val="20"/>
                <w:lang w:val="fr-CD"/>
              </w:rPr>
              <w:t xml:space="preserve"> : perturbation des us et coutume locale suite à l’afflux de la main d’œuvre  </w:t>
            </w:r>
          </w:p>
        </w:tc>
      </w:tr>
      <w:tr w:rsidR="006070D7" w:rsidRPr="00420C1B" w14:paraId="523B962A" w14:textId="77777777" w:rsidTr="003C5554">
        <w:trPr>
          <w:trHeight w:val="250"/>
          <w:jc w:val="center"/>
        </w:trPr>
        <w:tc>
          <w:tcPr>
            <w:tcW w:w="884" w:type="pct"/>
            <w:vMerge w:val="restart"/>
            <w:tcBorders>
              <w:top w:val="single" w:sz="4" w:space="0" w:color="auto"/>
              <w:left w:val="single" w:sz="4" w:space="0" w:color="auto"/>
              <w:bottom w:val="single" w:sz="4" w:space="0" w:color="auto"/>
              <w:right w:val="single" w:sz="4" w:space="0" w:color="auto"/>
            </w:tcBorders>
            <w:hideMark/>
          </w:tcPr>
          <w:p w14:paraId="138B83A1"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733" w:type="pct"/>
            <w:gridSpan w:val="7"/>
            <w:vMerge w:val="restart"/>
            <w:tcBorders>
              <w:top w:val="single" w:sz="4" w:space="0" w:color="auto"/>
              <w:left w:val="single" w:sz="4" w:space="0" w:color="auto"/>
              <w:right w:val="single" w:sz="4" w:space="0" w:color="auto"/>
            </w:tcBorders>
            <w:shd w:val="clear" w:color="auto" w:fill="auto"/>
          </w:tcPr>
          <w:p w14:paraId="6A457514"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sz w:val="20"/>
                <w:szCs w:val="20"/>
                <w:lang w:val="fr-CD"/>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hideMark/>
          </w:tcPr>
          <w:p w14:paraId="05A965F2"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603"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B8BB0C"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142" w:type="pct"/>
            <w:gridSpan w:val="2"/>
            <w:vMerge w:val="restart"/>
            <w:tcBorders>
              <w:top w:val="single" w:sz="4" w:space="0" w:color="auto"/>
              <w:left w:val="single" w:sz="4" w:space="0" w:color="auto"/>
              <w:bottom w:val="single" w:sz="4" w:space="0" w:color="auto"/>
              <w:right w:val="single" w:sz="4" w:space="0" w:color="auto"/>
            </w:tcBorders>
            <w:hideMark/>
          </w:tcPr>
          <w:p w14:paraId="1FEC95CD" w14:textId="77777777" w:rsidR="006070D7" w:rsidRPr="00D75D2E" w:rsidRDefault="006070D7" w:rsidP="003C5554">
            <w:pPr>
              <w:spacing w:after="0" w:line="240" w:lineRule="auto"/>
              <w:jc w:val="center"/>
              <w:rPr>
                <w:rFonts w:ascii="Times New Roman" w:hAnsi="Times New Roman"/>
                <w:sz w:val="20"/>
                <w:szCs w:val="20"/>
              </w:rPr>
            </w:pPr>
          </w:p>
        </w:tc>
      </w:tr>
      <w:tr w:rsidR="006070D7" w:rsidRPr="00420C1B" w14:paraId="17608EFA" w14:textId="77777777" w:rsidTr="003C5554">
        <w:trPr>
          <w:trHeight w:val="245"/>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52FCA80B"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right w:val="single" w:sz="4" w:space="0" w:color="auto"/>
            </w:tcBorders>
            <w:shd w:val="clear" w:color="auto" w:fill="auto"/>
            <w:vAlign w:val="center"/>
          </w:tcPr>
          <w:p w14:paraId="41C77F38"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tcPr>
          <w:p w14:paraId="1D685D4A"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603" w:type="pct"/>
            <w:gridSpan w:val="2"/>
            <w:tcBorders>
              <w:top w:val="single" w:sz="4" w:space="0" w:color="auto"/>
              <w:left w:val="nil"/>
              <w:bottom w:val="single" w:sz="4" w:space="0" w:color="auto"/>
              <w:right w:val="single" w:sz="4" w:space="0" w:color="auto"/>
            </w:tcBorders>
            <w:shd w:val="clear" w:color="auto" w:fill="auto"/>
          </w:tcPr>
          <w:p w14:paraId="47CFA079"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142" w:type="pct"/>
            <w:gridSpan w:val="2"/>
            <w:vMerge/>
            <w:tcBorders>
              <w:top w:val="single" w:sz="4" w:space="0" w:color="auto"/>
              <w:left w:val="single" w:sz="4" w:space="0" w:color="auto"/>
              <w:bottom w:val="single" w:sz="4" w:space="0" w:color="auto"/>
              <w:right w:val="single" w:sz="4" w:space="0" w:color="auto"/>
            </w:tcBorders>
            <w:vAlign w:val="center"/>
            <w:hideMark/>
          </w:tcPr>
          <w:p w14:paraId="034C0B77"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3897BE64" w14:textId="77777777" w:rsidTr="003C5554">
        <w:trPr>
          <w:trHeight w:val="246"/>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6E59CFE2"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733" w:type="pct"/>
            <w:gridSpan w:val="7"/>
            <w:vMerge/>
            <w:tcBorders>
              <w:left w:val="single" w:sz="4" w:space="0" w:color="auto"/>
              <w:bottom w:val="single" w:sz="4" w:space="0" w:color="auto"/>
              <w:right w:val="single" w:sz="4" w:space="0" w:color="auto"/>
            </w:tcBorders>
            <w:shd w:val="clear" w:color="auto" w:fill="auto"/>
            <w:vAlign w:val="center"/>
          </w:tcPr>
          <w:p w14:paraId="0688F163" w14:textId="77777777" w:rsidR="006070D7" w:rsidRPr="00D75D2E" w:rsidRDefault="006070D7" w:rsidP="003C5554">
            <w:pPr>
              <w:spacing w:after="0" w:line="240" w:lineRule="auto"/>
              <w:jc w:val="both"/>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nil"/>
              <w:right w:val="single" w:sz="4" w:space="0" w:color="auto"/>
            </w:tcBorders>
            <w:shd w:val="clear" w:color="auto" w:fill="auto"/>
          </w:tcPr>
          <w:p w14:paraId="4EA1262D"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603" w:type="pct"/>
            <w:gridSpan w:val="2"/>
            <w:tcBorders>
              <w:top w:val="single" w:sz="4" w:space="0" w:color="auto"/>
              <w:left w:val="single" w:sz="4" w:space="0" w:color="auto"/>
              <w:bottom w:val="nil"/>
              <w:right w:val="single" w:sz="4" w:space="0" w:color="auto"/>
            </w:tcBorders>
            <w:shd w:val="clear" w:color="auto" w:fill="auto"/>
          </w:tcPr>
          <w:p w14:paraId="17426391"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142" w:type="pct"/>
            <w:gridSpan w:val="2"/>
            <w:vMerge/>
            <w:tcBorders>
              <w:top w:val="single" w:sz="4" w:space="0" w:color="auto"/>
              <w:left w:val="single" w:sz="4" w:space="0" w:color="auto"/>
              <w:bottom w:val="single" w:sz="4" w:space="0" w:color="auto"/>
              <w:right w:val="single" w:sz="4" w:space="0" w:color="auto"/>
            </w:tcBorders>
            <w:vAlign w:val="center"/>
            <w:hideMark/>
          </w:tcPr>
          <w:p w14:paraId="68F275A2"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1E5B4A30" w14:textId="77777777" w:rsidTr="003C5554">
        <w:trPr>
          <w:trHeight w:val="242"/>
          <w:jc w:val="center"/>
        </w:trPr>
        <w:tc>
          <w:tcPr>
            <w:tcW w:w="884" w:type="pct"/>
            <w:vMerge w:val="restart"/>
            <w:tcBorders>
              <w:top w:val="single" w:sz="4" w:space="0" w:color="auto"/>
              <w:left w:val="single" w:sz="4" w:space="0" w:color="auto"/>
              <w:bottom w:val="single" w:sz="4" w:space="0" w:color="auto"/>
              <w:right w:val="single" w:sz="4" w:space="0" w:color="auto"/>
            </w:tcBorders>
          </w:tcPr>
          <w:p w14:paraId="306FC371" w14:textId="77777777" w:rsidR="006070D7" w:rsidRPr="00D75D2E" w:rsidRDefault="006070D7" w:rsidP="003C5554">
            <w:pPr>
              <w:spacing w:after="0" w:line="240" w:lineRule="auto"/>
              <w:rPr>
                <w:rFonts w:ascii="Times New Roman" w:hAnsi="Times New Roman"/>
                <w:b/>
                <w:sz w:val="20"/>
                <w:szCs w:val="20"/>
              </w:rPr>
            </w:pPr>
          </w:p>
          <w:p w14:paraId="4AA999F8"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553" w:type="pct"/>
            <w:gridSpan w:val="2"/>
            <w:vMerge w:val="restart"/>
            <w:tcBorders>
              <w:top w:val="single" w:sz="4" w:space="0" w:color="auto"/>
              <w:left w:val="single" w:sz="4" w:space="0" w:color="auto"/>
              <w:bottom w:val="single" w:sz="4" w:space="0" w:color="auto"/>
              <w:right w:val="single" w:sz="4" w:space="0" w:color="auto"/>
            </w:tcBorders>
            <w:hideMark/>
          </w:tcPr>
          <w:p w14:paraId="6784A9B7"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676FBD86" w14:textId="77777777" w:rsidR="006070D7" w:rsidRPr="00D75D2E" w:rsidRDefault="006070D7" w:rsidP="003C5554">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44C6BB09"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179" w:type="pct"/>
            <w:gridSpan w:val="5"/>
            <w:tcBorders>
              <w:top w:val="single" w:sz="4" w:space="0" w:color="auto"/>
              <w:left w:val="single" w:sz="4" w:space="0" w:color="auto"/>
              <w:bottom w:val="single" w:sz="4" w:space="0" w:color="auto"/>
              <w:right w:val="single" w:sz="4" w:space="0" w:color="auto"/>
            </w:tcBorders>
            <w:hideMark/>
          </w:tcPr>
          <w:p w14:paraId="17021DB1"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603" w:type="pct"/>
            <w:gridSpan w:val="2"/>
            <w:tcBorders>
              <w:top w:val="single" w:sz="4" w:space="0" w:color="auto"/>
              <w:left w:val="single" w:sz="4" w:space="0" w:color="auto"/>
              <w:bottom w:val="single" w:sz="4" w:space="0" w:color="auto"/>
              <w:right w:val="single" w:sz="4" w:space="0" w:color="auto"/>
            </w:tcBorders>
            <w:hideMark/>
          </w:tcPr>
          <w:p w14:paraId="4739C579"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142" w:type="pct"/>
            <w:gridSpan w:val="2"/>
            <w:tcBorders>
              <w:top w:val="single" w:sz="4" w:space="0" w:color="auto"/>
              <w:left w:val="single" w:sz="4" w:space="0" w:color="auto"/>
              <w:bottom w:val="single" w:sz="4" w:space="0" w:color="auto"/>
              <w:right w:val="single" w:sz="4" w:space="0" w:color="auto"/>
            </w:tcBorders>
            <w:hideMark/>
          </w:tcPr>
          <w:p w14:paraId="0E599950"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6070D7" w:rsidRPr="00420C1B" w14:paraId="0EAE58F6"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2F39C8CA"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vMerge/>
            <w:tcBorders>
              <w:top w:val="single" w:sz="4" w:space="0" w:color="auto"/>
              <w:left w:val="single" w:sz="4" w:space="0" w:color="auto"/>
              <w:bottom w:val="single" w:sz="4" w:space="0" w:color="auto"/>
              <w:right w:val="single" w:sz="4" w:space="0" w:color="auto"/>
            </w:tcBorders>
            <w:vAlign w:val="center"/>
            <w:hideMark/>
          </w:tcPr>
          <w:p w14:paraId="56D8AD72"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5182D3DE"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sidRPr="00D75D2E">
              <w:rPr>
                <w:rFonts w:ascii="Times New Roman" w:hAnsi="Times New Roman"/>
                <w:sz w:val="20"/>
                <w:szCs w:val="20"/>
              </w:rPr>
              <w:t>F</w:t>
            </w:r>
            <w:r>
              <w:rPr>
                <w:rFonts w:ascii="Times New Roman" w:hAnsi="Times New Roman"/>
                <w:sz w:val="20"/>
                <w:szCs w:val="20"/>
              </w:rPr>
              <w:t xml:space="preserve">aible </w:t>
            </w:r>
          </w:p>
        </w:tc>
        <w:tc>
          <w:tcPr>
            <w:tcW w:w="1179" w:type="pct"/>
            <w:gridSpan w:val="5"/>
            <w:tcBorders>
              <w:top w:val="single" w:sz="4" w:space="0" w:color="auto"/>
              <w:left w:val="single" w:sz="4" w:space="0" w:color="auto"/>
              <w:bottom w:val="single" w:sz="4" w:space="0" w:color="auto"/>
              <w:right w:val="single" w:sz="4" w:space="0" w:color="auto"/>
            </w:tcBorders>
            <w:vAlign w:val="center"/>
            <w:hideMark/>
          </w:tcPr>
          <w:p w14:paraId="2306C33E"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 xml:space="preserve">Locale </w:t>
            </w:r>
          </w:p>
        </w:tc>
        <w:tc>
          <w:tcPr>
            <w:tcW w:w="603" w:type="pct"/>
            <w:gridSpan w:val="2"/>
            <w:tcBorders>
              <w:top w:val="single" w:sz="4" w:space="0" w:color="auto"/>
              <w:left w:val="single" w:sz="4" w:space="0" w:color="auto"/>
              <w:bottom w:val="single" w:sz="4" w:space="0" w:color="auto"/>
              <w:right w:val="single" w:sz="4" w:space="0" w:color="auto"/>
            </w:tcBorders>
            <w:vAlign w:val="center"/>
            <w:hideMark/>
          </w:tcPr>
          <w:p w14:paraId="557CE1F6" w14:textId="77777777" w:rsidR="006070D7" w:rsidRPr="00D75D2E" w:rsidRDefault="006070D7" w:rsidP="003C5554">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 xml:space="preserve">Moyenne </w:t>
            </w:r>
          </w:p>
        </w:tc>
        <w:tc>
          <w:tcPr>
            <w:tcW w:w="1142" w:type="pct"/>
            <w:gridSpan w:val="2"/>
            <w:tcBorders>
              <w:top w:val="single" w:sz="4" w:space="0" w:color="auto"/>
              <w:left w:val="single" w:sz="4" w:space="0" w:color="auto"/>
              <w:bottom w:val="single" w:sz="4" w:space="0" w:color="auto"/>
              <w:right w:val="single" w:sz="4" w:space="0" w:color="auto"/>
            </w:tcBorders>
            <w:vAlign w:val="center"/>
            <w:hideMark/>
          </w:tcPr>
          <w:p w14:paraId="32F57C4D" w14:textId="77777777" w:rsidR="006070D7" w:rsidRPr="00D75D2E" w:rsidRDefault="006070D7" w:rsidP="003C5554">
            <w:pPr>
              <w:spacing w:after="0" w:line="240" w:lineRule="auto"/>
              <w:rPr>
                <w:rFonts w:ascii="Times New Roman" w:hAnsi="Times New Roman"/>
                <w:sz w:val="20"/>
                <w:szCs w:val="20"/>
              </w:rPr>
            </w:pPr>
            <w:r>
              <w:rPr>
                <w:rFonts w:ascii="Times New Roman" w:hAnsi="Times New Roman"/>
                <w:sz w:val="20"/>
                <w:szCs w:val="20"/>
              </w:rPr>
              <w:t xml:space="preserve">Moyenne </w:t>
            </w:r>
            <w:r w:rsidRPr="00D75D2E">
              <w:rPr>
                <w:rFonts w:ascii="Times New Roman" w:hAnsi="Times New Roman"/>
                <w:sz w:val="20"/>
                <w:szCs w:val="20"/>
              </w:rPr>
              <w:t xml:space="preserve"> </w:t>
            </w:r>
          </w:p>
        </w:tc>
      </w:tr>
      <w:tr w:rsidR="006070D7" w:rsidRPr="00420C1B" w14:paraId="2D1383EC"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519797AE"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3FA2BE89"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61745CD1"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1179" w:type="pct"/>
            <w:gridSpan w:val="5"/>
            <w:tcBorders>
              <w:top w:val="single" w:sz="4" w:space="0" w:color="auto"/>
              <w:left w:val="single" w:sz="4" w:space="0" w:color="auto"/>
              <w:bottom w:val="single" w:sz="4" w:space="0" w:color="auto"/>
              <w:right w:val="single" w:sz="4" w:space="0" w:color="auto"/>
            </w:tcBorders>
          </w:tcPr>
          <w:p w14:paraId="4819AFF7"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Occurrence</w:t>
            </w:r>
          </w:p>
        </w:tc>
        <w:tc>
          <w:tcPr>
            <w:tcW w:w="603" w:type="pct"/>
            <w:gridSpan w:val="2"/>
            <w:tcBorders>
              <w:top w:val="single" w:sz="4" w:space="0" w:color="auto"/>
              <w:left w:val="single" w:sz="4" w:space="0" w:color="auto"/>
              <w:bottom w:val="single" w:sz="4" w:space="0" w:color="auto"/>
              <w:right w:val="single" w:sz="4" w:space="0" w:color="auto"/>
            </w:tcBorders>
          </w:tcPr>
          <w:p w14:paraId="1C80821B"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Réversibilité</w:t>
            </w:r>
          </w:p>
        </w:tc>
        <w:tc>
          <w:tcPr>
            <w:tcW w:w="1142" w:type="pct"/>
            <w:gridSpan w:val="2"/>
            <w:tcBorders>
              <w:top w:val="single" w:sz="4" w:space="0" w:color="auto"/>
              <w:left w:val="single" w:sz="4" w:space="0" w:color="auto"/>
              <w:bottom w:val="single" w:sz="4" w:space="0" w:color="auto"/>
              <w:right w:val="single" w:sz="4" w:space="0" w:color="auto"/>
            </w:tcBorders>
          </w:tcPr>
          <w:p w14:paraId="090C0474" w14:textId="77777777" w:rsidR="006070D7" w:rsidRPr="00D75D2E" w:rsidRDefault="006070D7" w:rsidP="003C5554">
            <w:pPr>
              <w:autoSpaceDE w:val="0"/>
              <w:autoSpaceDN w:val="0"/>
              <w:adjustRightInd w:val="0"/>
              <w:spacing w:after="0" w:line="240" w:lineRule="auto"/>
              <w:jc w:val="center"/>
              <w:rPr>
                <w:rFonts w:ascii="Times New Roman" w:eastAsia="Times New Roman" w:hAnsi="Times New Roman"/>
                <w:b/>
                <w:bCs/>
                <w:i/>
                <w:sz w:val="20"/>
                <w:szCs w:val="20"/>
              </w:rPr>
            </w:pPr>
            <w:r w:rsidRPr="00D75D2E">
              <w:rPr>
                <w:rFonts w:ascii="Times New Roman" w:eastAsia="Times New Roman" w:hAnsi="Times New Roman"/>
                <w:b/>
                <w:bCs/>
                <w:i/>
                <w:sz w:val="20"/>
                <w:szCs w:val="20"/>
              </w:rPr>
              <w:t>Cumulativité</w:t>
            </w:r>
          </w:p>
        </w:tc>
      </w:tr>
      <w:tr w:rsidR="006070D7" w:rsidRPr="00420C1B" w14:paraId="685AE335"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60B8CDE6"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2CBFD03D"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55A48C46" w14:textId="77777777" w:rsidR="006070D7" w:rsidRPr="00D75D2E" w:rsidRDefault="006070D7" w:rsidP="003C5554">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Indi</w:t>
            </w:r>
            <w:r w:rsidRPr="00D75D2E">
              <w:rPr>
                <w:rFonts w:ascii="Times New Roman" w:eastAsia="Times New Roman" w:hAnsi="Times New Roman"/>
                <w:bCs/>
                <w:sz w:val="20"/>
                <w:szCs w:val="20"/>
              </w:rPr>
              <w:t>recte</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24A64AA6"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Certaine</w:t>
            </w:r>
          </w:p>
        </w:tc>
        <w:tc>
          <w:tcPr>
            <w:tcW w:w="603" w:type="pct"/>
            <w:gridSpan w:val="2"/>
            <w:tcBorders>
              <w:top w:val="single" w:sz="4" w:space="0" w:color="auto"/>
              <w:left w:val="single" w:sz="4" w:space="0" w:color="auto"/>
              <w:bottom w:val="single" w:sz="4" w:space="0" w:color="auto"/>
              <w:right w:val="single" w:sz="4" w:space="0" w:color="auto"/>
            </w:tcBorders>
            <w:vAlign w:val="center"/>
          </w:tcPr>
          <w:p w14:paraId="1A8A8764"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Réversible</w:t>
            </w:r>
          </w:p>
        </w:tc>
        <w:tc>
          <w:tcPr>
            <w:tcW w:w="1142" w:type="pct"/>
            <w:gridSpan w:val="2"/>
            <w:tcBorders>
              <w:top w:val="single" w:sz="4" w:space="0" w:color="auto"/>
              <w:left w:val="single" w:sz="4" w:space="0" w:color="auto"/>
              <w:bottom w:val="single" w:sz="4" w:space="0" w:color="auto"/>
              <w:right w:val="single" w:sz="4" w:space="0" w:color="auto"/>
            </w:tcBorders>
            <w:vAlign w:val="center"/>
          </w:tcPr>
          <w:p w14:paraId="4F78CCF0"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sz w:val="20"/>
                <w:szCs w:val="20"/>
              </w:rPr>
              <w:t>Non</w:t>
            </w:r>
          </w:p>
        </w:tc>
      </w:tr>
      <w:tr w:rsidR="006070D7" w:rsidRPr="00420C1B" w14:paraId="2689794E"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01CB6829"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7367A2B1"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tcPr>
          <w:p w14:paraId="69D94A2D"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1179" w:type="pct"/>
            <w:gridSpan w:val="5"/>
            <w:tcBorders>
              <w:top w:val="single" w:sz="4" w:space="0" w:color="auto"/>
              <w:left w:val="single" w:sz="4" w:space="0" w:color="auto"/>
              <w:bottom w:val="single" w:sz="4" w:space="0" w:color="auto"/>
              <w:right w:val="single" w:sz="4" w:space="0" w:color="auto"/>
            </w:tcBorders>
            <w:vAlign w:val="center"/>
          </w:tcPr>
          <w:p w14:paraId="4FFF8414"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603" w:type="pct"/>
            <w:gridSpan w:val="2"/>
            <w:tcBorders>
              <w:top w:val="single" w:sz="4" w:space="0" w:color="auto"/>
              <w:left w:val="single" w:sz="4" w:space="0" w:color="auto"/>
              <w:bottom w:val="single" w:sz="4" w:space="0" w:color="auto"/>
              <w:right w:val="single" w:sz="4" w:space="0" w:color="auto"/>
            </w:tcBorders>
            <w:vAlign w:val="center"/>
          </w:tcPr>
          <w:p w14:paraId="187AC40B" w14:textId="77777777" w:rsidR="006070D7" w:rsidRPr="00D75D2E" w:rsidRDefault="006070D7" w:rsidP="003C5554">
            <w:pPr>
              <w:spacing w:after="0" w:line="240" w:lineRule="auto"/>
              <w:jc w:val="center"/>
              <w:rPr>
                <w:rFonts w:ascii="Times New Roman" w:hAnsi="Times New Roman"/>
                <w:sz w:val="20"/>
                <w:szCs w:val="20"/>
              </w:rPr>
            </w:pPr>
          </w:p>
        </w:tc>
        <w:tc>
          <w:tcPr>
            <w:tcW w:w="1142" w:type="pct"/>
            <w:gridSpan w:val="2"/>
            <w:tcBorders>
              <w:top w:val="single" w:sz="4" w:space="0" w:color="auto"/>
              <w:left w:val="single" w:sz="4" w:space="0" w:color="auto"/>
              <w:bottom w:val="single" w:sz="4" w:space="0" w:color="auto"/>
              <w:right w:val="single" w:sz="4" w:space="0" w:color="auto"/>
            </w:tcBorders>
            <w:vAlign w:val="center"/>
          </w:tcPr>
          <w:p w14:paraId="38BF8621" w14:textId="77777777" w:rsidR="006070D7" w:rsidRPr="00D75D2E" w:rsidRDefault="006070D7" w:rsidP="003C5554">
            <w:pPr>
              <w:spacing w:after="0" w:line="240" w:lineRule="auto"/>
              <w:jc w:val="both"/>
              <w:rPr>
                <w:rFonts w:ascii="Times New Roman" w:hAnsi="Times New Roman"/>
                <w:sz w:val="20"/>
                <w:szCs w:val="20"/>
              </w:rPr>
            </w:pPr>
          </w:p>
        </w:tc>
      </w:tr>
      <w:tr w:rsidR="006070D7" w:rsidRPr="00420C1B" w14:paraId="3E3FE94D" w14:textId="77777777" w:rsidTr="003C5554">
        <w:trPr>
          <w:trHeight w:val="258"/>
          <w:jc w:val="center"/>
        </w:trPr>
        <w:tc>
          <w:tcPr>
            <w:tcW w:w="884" w:type="pct"/>
            <w:vMerge/>
            <w:tcBorders>
              <w:top w:val="single" w:sz="4" w:space="0" w:color="auto"/>
              <w:left w:val="single" w:sz="4" w:space="0" w:color="auto"/>
              <w:bottom w:val="single" w:sz="4" w:space="0" w:color="auto"/>
              <w:right w:val="single" w:sz="4" w:space="0" w:color="auto"/>
            </w:tcBorders>
            <w:vAlign w:val="center"/>
          </w:tcPr>
          <w:p w14:paraId="02FF6C99"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tcPr>
          <w:p w14:paraId="1BF5D318" w14:textId="77777777" w:rsidR="006070D7" w:rsidRPr="00D75D2E" w:rsidRDefault="006070D7" w:rsidP="003C5554">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tcPr>
          <w:p w14:paraId="40B00B53" w14:textId="77777777" w:rsidR="006070D7" w:rsidRPr="00D75D2E" w:rsidRDefault="006070D7" w:rsidP="003C5554">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782" w:type="pct"/>
            <w:gridSpan w:val="7"/>
            <w:tcBorders>
              <w:top w:val="single" w:sz="4" w:space="0" w:color="auto"/>
              <w:left w:val="single" w:sz="4" w:space="0" w:color="auto"/>
              <w:bottom w:val="single" w:sz="4" w:space="0" w:color="auto"/>
              <w:right w:val="single" w:sz="4" w:space="0" w:color="auto"/>
            </w:tcBorders>
            <w:vAlign w:val="center"/>
          </w:tcPr>
          <w:p w14:paraId="3CAF4432" w14:textId="77777777" w:rsidR="006070D7" w:rsidRPr="00D75D2E" w:rsidRDefault="006070D7" w:rsidP="003C5554">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Sociale et humaine </w:t>
            </w:r>
            <w:r w:rsidRPr="00D75D2E">
              <w:rPr>
                <w:rFonts w:ascii="Times New Roman" w:eastAsia="Times New Roman" w:hAnsi="Times New Roman"/>
                <w:bCs/>
                <w:sz w:val="20"/>
                <w:szCs w:val="20"/>
              </w:rPr>
              <w:t xml:space="preserve"> </w:t>
            </w:r>
          </w:p>
        </w:tc>
        <w:tc>
          <w:tcPr>
            <w:tcW w:w="1142" w:type="pct"/>
            <w:gridSpan w:val="2"/>
          </w:tcPr>
          <w:p w14:paraId="2AD81239"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621B4AAD" w14:textId="77777777" w:rsidTr="003C5554">
        <w:trPr>
          <w:trHeight w:val="994"/>
          <w:jc w:val="center"/>
        </w:trPr>
        <w:tc>
          <w:tcPr>
            <w:tcW w:w="884" w:type="pct"/>
            <w:vMerge/>
            <w:tcBorders>
              <w:top w:val="single" w:sz="4" w:space="0" w:color="auto"/>
              <w:left w:val="single" w:sz="4" w:space="0" w:color="auto"/>
              <w:bottom w:val="single" w:sz="4" w:space="0" w:color="auto"/>
              <w:right w:val="single" w:sz="4" w:space="0" w:color="auto"/>
            </w:tcBorders>
            <w:vAlign w:val="center"/>
            <w:hideMark/>
          </w:tcPr>
          <w:p w14:paraId="34E60B96" w14:textId="77777777" w:rsidR="006070D7" w:rsidRPr="00D75D2E" w:rsidRDefault="006070D7" w:rsidP="003C5554">
            <w:pPr>
              <w:spacing w:after="0" w:line="240" w:lineRule="auto"/>
              <w:rPr>
                <w:rFonts w:ascii="Times New Roman" w:hAnsi="Times New Roman"/>
                <w:b/>
                <w:sz w:val="20"/>
                <w:szCs w:val="20"/>
              </w:rPr>
            </w:pPr>
          </w:p>
        </w:tc>
        <w:tc>
          <w:tcPr>
            <w:tcW w:w="553" w:type="pct"/>
            <w:gridSpan w:val="2"/>
            <w:tcBorders>
              <w:top w:val="single" w:sz="4" w:space="0" w:color="auto"/>
              <w:left w:val="single" w:sz="4" w:space="0" w:color="auto"/>
              <w:bottom w:val="single" w:sz="4" w:space="0" w:color="auto"/>
              <w:right w:val="single" w:sz="4" w:space="0" w:color="auto"/>
            </w:tcBorders>
            <w:vAlign w:val="center"/>
            <w:hideMark/>
          </w:tcPr>
          <w:p w14:paraId="78574072" w14:textId="77777777" w:rsidR="006070D7" w:rsidRPr="00D75D2E" w:rsidRDefault="006070D7" w:rsidP="003C5554">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563" w:type="pct"/>
            <w:gridSpan w:val="11"/>
            <w:tcBorders>
              <w:top w:val="single" w:sz="4" w:space="0" w:color="auto"/>
              <w:left w:val="single" w:sz="4" w:space="0" w:color="auto"/>
              <w:bottom w:val="single" w:sz="4" w:space="0" w:color="auto"/>
              <w:right w:val="single" w:sz="4" w:space="0" w:color="auto"/>
            </w:tcBorders>
            <w:hideMark/>
          </w:tcPr>
          <w:p w14:paraId="46505624" w14:textId="77777777" w:rsidR="006070D7" w:rsidRPr="00EB2EDD" w:rsidRDefault="006070D7" w:rsidP="003C5554">
            <w:pPr>
              <w:spacing w:before="60" w:after="0" w:line="240" w:lineRule="auto"/>
              <w:jc w:val="both"/>
              <w:rPr>
                <w:rFonts w:ascii="Times New Roman" w:hAnsi="Times New Roman"/>
                <w:sz w:val="20"/>
                <w:szCs w:val="20"/>
                <w:lang w:val="fr-CD"/>
              </w:rPr>
            </w:pPr>
            <w:r w:rsidRPr="00EB2EDD">
              <w:rPr>
                <w:rFonts w:ascii="Times New Roman" w:hAnsi="Times New Roman"/>
                <w:sz w:val="20"/>
                <w:szCs w:val="20"/>
                <w:lang w:val="fr-CD"/>
              </w:rPr>
              <w:t xml:space="preserve">A la suite de l’afflux de la main d’œuvre, les nouveaux travailleurs pourraient nouer des relations sociales étroites, généralement avec des femmes membres des communautés locales et donc le risque de transmission de maladies comme les IST et le VIH/SIDA et de conflits conjugaux sont potentiels. </w:t>
            </w:r>
          </w:p>
          <w:p w14:paraId="13057F51" w14:textId="77777777" w:rsidR="006070D7" w:rsidRPr="00EB2EDD" w:rsidRDefault="006070D7" w:rsidP="003C5554">
            <w:pPr>
              <w:spacing w:before="60" w:after="0" w:line="240" w:lineRule="auto"/>
              <w:jc w:val="both"/>
              <w:rPr>
                <w:rFonts w:ascii="Times New Roman" w:hAnsi="Times New Roman"/>
                <w:sz w:val="20"/>
                <w:szCs w:val="20"/>
                <w:lang w:val="fr-CD"/>
              </w:rPr>
            </w:pPr>
            <w:r w:rsidRPr="00EB2EDD">
              <w:rPr>
                <w:rFonts w:ascii="Times New Roman" w:hAnsi="Times New Roman"/>
                <w:sz w:val="20"/>
                <w:szCs w:val="20"/>
                <w:lang w:val="fr-CD"/>
              </w:rPr>
              <w:t>Enfin, le risque de travail des enfants est probable en particulier chez les fournisseurs de matériaux de construction ou parmi les travailleurs communautaires, mais aussi dans le secteur de construction en générale.</w:t>
            </w:r>
          </w:p>
          <w:p w14:paraId="54F210E7" w14:textId="77777777" w:rsidR="006070D7" w:rsidRPr="00EB2EDD" w:rsidRDefault="006070D7" w:rsidP="003C5554">
            <w:pPr>
              <w:spacing w:before="60" w:after="0" w:line="240" w:lineRule="auto"/>
              <w:jc w:val="both"/>
              <w:rPr>
                <w:rFonts w:ascii="Times New Roman" w:hAnsi="Times New Roman"/>
                <w:sz w:val="20"/>
                <w:szCs w:val="20"/>
                <w:lang w:val="fr-CD"/>
              </w:rPr>
            </w:pPr>
            <w:r w:rsidRPr="00EB2EDD">
              <w:rPr>
                <w:rFonts w:ascii="Times New Roman" w:hAnsi="Times New Roman"/>
                <w:sz w:val="20"/>
                <w:szCs w:val="20"/>
                <w:lang w:val="fr-CD"/>
              </w:rPr>
              <w:t xml:space="preserve">La présence des travailleurs masculins venus en masse dans la zone du projet pourrait exposer les jeunes filles et surtout les filles mineures aux abus et exploitation sexuels, de traite des êtres humaines, la prostitution forcée et le mariage précoce. </w:t>
            </w:r>
          </w:p>
          <w:p w14:paraId="657F5CE3" w14:textId="77777777" w:rsidR="006070D7" w:rsidRPr="00EB2EDD" w:rsidRDefault="006070D7" w:rsidP="003C5554">
            <w:pPr>
              <w:spacing w:before="60" w:after="0" w:line="240" w:lineRule="auto"/>
              <w:jc w:val="both"/>
              <w:rPr>
                <w:rFonts w:ascii="Times New Roman" w:hAnsi="Times New Roman"/>
                <w:sz w:val="20"/>
                <w:szCs w:val="20"/>
                <w:lang w:val="fr-CD"/>
              </w:rPr>
            </w:pPr>
            <w:r w:rsidRPr="00EB2EDD">
              <w:rPr>
                <w:rFonts w:ascii="Times New Roman" w:hAnsi="Times New Roman"/>
                <w:sz w:val="20"/>
                <w:szCs w:val="20"/>
                <w:lang w:val="fr-CD"/>
              </w:rPr>
              <w:t xml:space="preserve">L’afflux de la main d’œuvre dans la zone du projet pourra avoir des impacts sur la dépravation des mœurs ainsi que créer les problèmes de cohésion entre travailleurs venant des autres communes et ceux de la zone du projet. </w:t>
            </w:r>
          </w:p>
        </w:tc>
      </w:tr>
      <w:tr w:rsidR="006070D7" w:rsidRPr="00420C1B" w14:paraId="16CA6AA3" w14:textId="77777777" w:rsidTr="003C5554">
        <w:trPr>
          <w:trHeight w:val="125"/>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4C0CC35C" w14:textId="77777777" w:rsidR="006070D7" w:rsidRPr="00EB2EDD" w:rsidRDefault="006070D7" w:rsidP="003C5554">
            <w:pPr>
              <w:spacing w:after="0" w:line="240" w:lineRule="auto"/>
              <w:jc w:val="both"/>
              <w:rPr>
                <w:rFonts w:ascii="Times New Roman" w:eastAsia="Times New Roman" w:hAnsi="Times New Roman"/>
                <w:sz w:val="20"/>
                <w:szCs w:val="20"/>
                <w:lang w:val="fr-CD" w:eastAsia="fr-FR"/>
              </w:rPr>
            </w:pPr>
            <w:r w:rsidRPr="00EB2EDD">
              <w:rPr>
                <w:rFonts w:ascii="Times New Roman" w:hAnsi="Times New Roman"/>
                <w:b/>
                <w:sz w:val="20"/>
                <w:szCs w:val="20"/>
                <w:lang w:val="fr-CD"/>
              </w:rPr>
              <w:t>Titre de la mesure d’atténuation</w:t>
            </w:r>
            <w:r w:rsidRPr="00EB2EDD">
              <w:rPr>
                <w:rFonts w:ascii="Times New Roman" w:hAnsi="Times New Roman"/>
                <w:sz w:val="20"/>
                <w:szCs w:val="20"/>
                <w:lang w:val="fr-CD"/>
              </w:rPr>
              <w:t xml:space="preserve"> : </w:t>
            </w:r>
          </w:p>
        </w:tc>
        <w:tc>
          <w:tcPr>
            <w:tcW w:w="3563" w:type="pct"/>
            <w:gridSpan w:val="11"/>
            <w:tcBorders>
              <w:top w:val="single" w:sz="4" w:space="0" w:color="auto"/>
              <w:left w:val="single" w:sz="4" w:space="0" w:color="auto"/>
              <w:bottom w:val="single" w:sz="4" w:space="0" w:color="auto"/>
              <w:right w:val="single" w:sz="4" w:space="0" w:color="auto"/>
            </w:tcBorders>
          </w:tcPr>
          <w:p w14:paraId="20AF8B92"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Procéder au recrutement local du personnel et faire largement diffusion des postes et du profil requis pour le poste ;</w:t>
            </w:r>
          </w:p>
          <w:p w14:paraId="098A3024"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Embauché au moins 30% des femmes au sein des entreprises des travaux ;</w:t>
            </w:r>
          </w:p>
          <w:p w14:paraId="15658F3A"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 xml:space="preserve">Sensibiliser les travailleurs sur le type de comportement à tenir à l’égard de la communauté </w:t>
            </w:r>
          </w:p>
          <w:p w14:paraId="743455BF"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Faire signer à l’ensemble des travailleurs et personnel du projet le code de bonne conduite.</w:t>
            </w:r>
          </w:p>
        </w:tc>
      </w:tr>
      <w:tr w:rsidR="006070D7" w:rsidRPr="00420C1B" w14:paraId="61FCE848" w14:textId="77777777" w:rsidTr="003C5554">
        <w:trPr>
          <w:trHeight w:val="1018"/>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6E69B891" w14:textId="77777777" w:rsidR="006070D7" w:rsidRPr="00EB2EDD" w:rsidRDefault="006070D7" w:rsidP="003C5554">
            <w:pPr>
              <w:spacing w:after="0" w:line="240" w:lineRule="auto"/>
              <w:rPr>
                <w:rFonts w:ascii="Times New Roman" w:hAnsi="Times New Roman"/>
                <w:sz w:val="20"/>
                <w:szCs w:val="20"/>
                <w:lang w:val="fr-CD"/>
              </w:rPr>
            </w:pPr>
            <w:r w:rsidRPr="00EB2EDD">
              <w:rPr>
                <w:rFonts w:ascii="Times New Roman" w:hAnsi="Times New Roman"/>
                <w:b/>
                <w:sz w:val="20"/>
                <w:szCs w:val="20"/>
                <w:lang w:val="fr-CD"/>
              </w:rPr>
              <w:t>Objectif de la mesure d’atténuation</w:t>
            </w:r>
            <w:r w:rsidRPr="00EB2EDD">
              <w:rPr>
                <w:rFonts w:ascii="Times New Roman" w:hAnsi="Times New Roman"/>
                <w:sz w:val="20"/>
                <w:szCs w:val="20"/>
                <w:lang w:val="fr-CD"/>
              </w:rPr>
              <w:t xml:space="preserve"> : </w:t>
            </w:r>
          </w:p>
          <w:p w14:paraId="68DA8C35" w14:textId="77777777" w:rsidR="006070D7" w:rsidRPr="00EB2EDD" w:rsidRDefault="006070D7" w:rsidP="006070D7">
            <w:pPr>
              <w:numPr>
                <w:ilvl w:val="0"/>
                <w:numId w:val="32"/>
              </w:numPr>
              <w:autoSpaceDE w:val="0"/>
              <w:autoSpaceDN w:val="0"/>
              <w:adjustRightInd w:val="0"/>
              <w:spacing w:after="0" w:line="240" w:lineRule="auto"/>
              <w:ind w:left="287"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Minimiser les risques liés à l’afflux de la main d’œuvre dans la zone du projet sur la population riveraine des sites travaux</w:t>
            </w:r>
          </w:p>
        </w:tc>
        <w:tc>
          <w:tcPr>
            <w:tcW w:w="3563" w:type="pct"/>
            <w:gridSpan w:val="11"/>
            <w:tcBorders>
              <w:top w:val="single" w:sz="4" w:space="0" w:color="auto"/>
              <w:left w:val="single" w:sz="4" w:space="0" w:color="auto"/>
              <w:bottom w:val="single" w:sz="4" w:space="0" w:color="auto"/>
              <w:right w:val="single" w:sz="4" w:space="0" w:color="auto"/>
            </w:tcBorders>
            <w:hideMark/>
          </w:tcPr>
          <w:p w14:paraId="2341BF12" w14:textId="77777777" w:rsidR="006070D7" w:rsidRPr="00D75D2E" w:rsidRDefault="006070D7" w:rsidP="003C5554">
            <w:pPr>
              <w:autoSpaceDE w:val="0"/>
              <w:autoSpaceDN w:val="0"/>
              <w:adjustRightInd w:val="0"/>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2C4BEC02"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 xml:space="preserve">Mettre en place des mesures spécifiques afin de recruter la main d’œuvre localement </w:t>
            </w:r>
          </w:p>
          <w:p w14:paraId="77A9D3BA"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Faire signer à l’ensemble du personnel de chantier le code de bonne conduite</w:t>
            </w:r>
          </w:p>
          <w:p w14:paraId="492C7FF4"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Sensibilisation la communauté sur le MGP du projet incluant l’EAS/HS</w:t>
            </w:r>
          </w:p>
          <w:p w14:paraId="4B35975F" w14:textId="77777777" w:rsidR="006070D7" w:rsidRPr="00EB2EDD"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 xml:space="preserve">Mettre en place un programme pour valoriser la main d’œuvre locale et recruter au minimum 30% des femmes pour les travaux </w:t>
            </w:r>
          </w:p>
        </w:tc>
      </w:tr>
      <w:tr w:rsidR="006070D7" w:rsidRPr="00420C1B" w14:paraId="0B2AC388" w14:textId="77777777" w:rsidTr="003C5554">
        <w:trPr>
          <w:trHeight w:val="250"/>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3E680B04" w14:textId="77777777" w:rsidR="006070D7" w:rsidRPr="00D75D2E" w:rsidRDefault="006070D7" w:rsidP="003C5554">
            <w:pPr>
              <w:spacing w:after="0" w:line="240" w:lineRule="auto"/>
              <w:jc w:val="right"/>
              <w:rPr>
                <w:rFonts w:ascii="Times New Roman" w:hAnsi="Times New Roman"/>
                <w:b/>
                <w:sz w:val="20"/>
                <w:szCs w:val="20"/>
              </w:rPr>
            </w:pPr>
            <w:r w:rsidRPr="00D75D2E">
              <w:rPr>
                <w:rFonts w:ascii="Times New Roman" w:hAnsi="Times New Roman"/>
                <w:b/>
                <w:sz w:val="20"/>
                <w:szCs w:val="20"/>
              </w:rPr>
              <w:t>Impact résiduel</w:t>
            </w:r>
          </w:p>
        </w:tc>
        <w:tc>
          <w:tcPr>
            <w:tcW w:w="3365" w:type="pct"/>
            <w:gridSpan w:val="10"/>
            <w:tcBorders>
              <w:top w:val="single" w:sz="4" w:space="0" w:color="auto"/>
              <w:left w:val="single" w:sz="4" w:space="0" w:color="auto"/>
              <w:bottom w:val="single" w:sz="4" w:space="0" w:color="auto"/>
              <w:right w:val="single" w:sz="4" w:space="0" w:color="auto"/>
            </w:tcBorders>
            <w:hideMark/>
          </w:tcPr>
          <w:p w14:paraId="387B71C5"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c>
          <w:tcPr>
            <w:tcW w:w="198" w:type="pct"/>
            <w:tcBorders>
              <w:top w:val="single" w:sz="4" w:space="0" w:color="auto"/>
              <w:left w:val="single" w:sz="4" w:space="0" w:color="auto"/>
              <w:bottom w:val="single" w:sz="4" w:space="0" w:color="auto"/>
              <w:right w:val="single" w:sz="4" w:space="0" w:color="auto"/>
            </w:tcBorders>
          </w:tcPr>
          <w:p w14:paraId="72C859D2"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p>
        </w:tc>
      </w:tr>
      <w:tr w:rsidR="006070D7" w:rsidRPr="00420C1B" w14:paraId="73633AF9" w14:textId="77777777" w:rsidTr="003C5554">
        <w:trPr>
          <w:trHeight w:val="545"/>
          <w:jc w:val="center"/>
        </w:trPr>
        <w:tc>
          <w:tcPr>
            <w:tcW w:w="1437" w:type="pct"/>
            <w:gridSpan w:val="3"/>
            <w:tcBorders>
              <w:top w:val="single" w:sz="4" w:space="0" w:color="auto"/>
              <w:left w:val="single" w:sz="4" w:space="0" w:color="auto"/>
              <w:bottom w:val="single" w:sz="4" w:space="0" w:color="auto"/>
              <w:right w:val="single" w:sz="4" w:space="0" w:color="auto"/>
            </w:tcBorders>
            <w:hideMark/>
          </w:tcPr>
          <w:p w14:paraId="029BDDCD"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3098A717" w14:textId="77777777" w:rsidR="006070D7" w:rsidRPr="00D75D2E"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6B4ED7E0" w14:textId="77777777" w:rsidR="006070D7" w:rsidRPr="00EB2EDD"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lang w:val="fr-CD"/>
              </w:rPr>
            </w:pPr>
            <w:r w:rsidRPr="00EB2EDD">
              <w:rPr>
                <w:rFonts w:ascii="Times New Roman" w:hAnsi="Times New Roman"/>
                <w:sz w:val="20"/>
                <w:szCs w:val="20"/>
                <w:lang w:val="fr-CD"/>
              </w:rPr>
              <w:t>Agence Congolaise de l’Environnement (ACE) </w:t>
            </w:r>
          </w:p>
        </w:tc>
        <w:tc>
          <w:tcPr>
            <w:tcW w:w="2421" w:type="pct"/>
            <w:gridSpan w:val="9"/>
            <w:tcBorders>
              <w:top w:val="single" w:sz="4" w:space="0" w:color="auto"/>
              <w:left w:val="single" w:sz="4" w:space="0" w:color="auto"/>
              <w:bottom w:val="single" w:sz="4" w:space="0" w:color="auto"/>
              <w:right w:val="single" w:sz="4" w:space="0" w:color="auto"/>
            </w:tcBorders>
            <w:hideMark/>
          </w:tcPr>
          <w:p w14:paraId="4ABC97E6"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401C1F35" w14:textId="77777777" w:rsidR="006070D7" w:rsidRPr="00EB2EDD"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EB2EDD">
              <w:rPr>
                <w:rFonts w:ascii="Times New Roman" w:hAnsi="Times New Roman"/>
                <w:sz w:val="20"/>
                <w:szCs w:val="20"/>
                <w:lang w:val="fr-CD"/>
              </w:rPr>
              <w:t>Cellule Provinciale de l’Environnement (CPE) ;</w:t>
            </w:r>
          </w:p>
          <w:p w14:paraId="11E60721" w14:textId="77777777" w:rsidR="006070D7" w:rsidRPr="00EB2EDD"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EB2EDD">
              <w:rPr>
                <w:rFonts w:ascii="Times New Roman" w:hAnsi="Times New Roman"/>
                <w:sz w:val="20"/>
                <w:szCs w:val="20"/>
                <w:lang w:val="fr-CD"/>
              </w:rPr>
              <w:t>Sous-Cellule environnementale et sociale d’UCM (SCES/UCM)</w:t>
            </w:r>
          </w:p>
          <w:p w14:paraId="40AC2C6B" w14:textId="77777777" w:rsidR="006070D7" w:rsidRPr="00EB2EDD" w:rsidRDefault="006070D7" w:rsidP="006070D7">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lang w:val="fr-CD"/>
              </w:rPr>
            </w:pPr>
            <w:r w:rsidRPr="00EB2EDD">
              <w:rPr>
                <w:rFonts w:ascii="Times New Roman" w:hAnsi="Times New Roman"/>
                <w:sz w:val="20"/>
                <w:szCs w:val="20"/>
                <w:lang w:val="fr-CD"/>
              </w:rPr>
              <w:t xml:space="preserve">Service environnement des communes concernées </w:t>
            </w:r>
          </w:p>
        </w:tc>
        <w:tc>
          <w:tcPr>
            <w:tcW w:w="1142" w:type="pct"/>
            <w:gridSpan w:val="2"/>
            <w:tcBorders>
              <w:top w:val="single" w:sz="4" w:space="0" w:color="auto"/>
              <w:left w:val="single" w:sz="4" w:space="0" w:color="auto"/>
              <w:bottom w:val="single" w:sz="4" w:space="0" w:color="auto"/>
              <w:right w:val="single" w:sz="4" w:space="0" w:color="auto"/>
            </w:tcBorders>
            <w:hideMark/>
          </w:tcPr>
          <w:p w14:paraId="2830DDE3"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3475E400" w14:textId="77777777" w:rsidR="00DF7D56" w:rsidRDefault="006070D7" w:rsidP="006070D7">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lang w:val="fr-CD"/>
              </w:rPr>
            </w:pPr>
            <w:r w:rsidRPr="00EB2EDD">
              <w:rPr>
                <w:rFonts w:ascii="Times New Roman" w:hAnsi="Times New Roman"/>
                <w:sz w:val="20"/>
                <w:szCs w:val="20"/>
                <w:lang w:val="fr-CD"/>
              </w:rPr>
              <w:t>Nombre d</w:t>
            </w:r>
            <w:r w:rsidR="00DF7D56">
              <w:rPr>
                <w:rFonts w:ascii="Times New Roman" w:hAnsi="Times New Roman"/>
                <w:sz w:val="20"/>
                <w:szCs w:val="20"/>
                <w:lang w:val="fr-CD"/>
              </w:rPr>
              <w:t>e femmes embauchés aux seins des entreprises des travaux</w:t>
            </w:r>
          </w:p>
          <w:p w14:paraId="75BD1F35" w14:textId="6210A8AA" w:rsidR="006070D7" w:rsidRPr="00EB2EDD" w:rsidRDefault="00DF7D56" w:rsidP="00DF7D56">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lang w:val="fr-CD"/>
              </w:rPr>
            </w:pPr>
            <w:r>
              <w:rPr>
                <w:rFonts w:ascii="Times New Roman" w:hAnsi="Times New Roman"/>
                <w:sz w:val="20"/>
                <w:szCs w:val="20"/>
                <w:lang w:val="fr-CD"/>
              </w:rPr>
              <w:t xml:space="preserve">% des travailleurs ayant signé le code de bonne conduite </w:t>
            </w:r>
          </w:p>
        </w:tc>
      </w:tr>
      <w:tr w:rsidR="006070D7" w:rsidRPr="00420C1B" w14:paraId="3DFD1F6D" w14:textId="77777777" w:rsidTr="003C5554">
        <w:trPr>
          <w:trHeight w:val="164"/>
          <w:jc w:val="center"/>
        </w:trPr>
        <w:tc>
          <w:tcPr>
            <w:tcW w:w="884" w:type="pct"/>
            <w:tcBorders>
              <w:top w:val="single" w:sz="4" w:space="0" w:color="auto"/>
              <w:left w:val="single" w:sz="4" w:space="0" w:color="auto"/>
              <w:bottom w:val="single" w:sz="4" w:space="0" w:color="auto"/>
              <w:right w:val="single" w:sz="4" w:space="0" w:color="auto"/>
            </w:tcBorders>
            <w:hideMark/>
          </w:tcPr>
          <w:p w14:paraId="40DA5313" w14:textId="29B8961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345" w:type="pct"/>
            <w:tcBorders>
              <w:top w:val="single" w:sz="4" w:space="0" w:color="auto"/>
              <w:left w:val="single" w:sz="4" w:space="0" w:color="auto"/>
              <w:bottom w:val="single" w:sz="4" w:space="0" w:color="auto"/>
              <w:right w:val="single" w:sz="4" w:space="0" w:color="auto"/>
            </w:tcBorders>
            <w:hideMark/>
          </w:tcPr>
          <w:p w14:paraId="12B1DA0B"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484" w:type="pct"/>
            <w:gridSpan w:val="2"/>
            <w:tcBorders>
              <w:top w:val="single" w:sz="4" w:space="0" w:color="auto"/>
              <w:left w:val="single" w:sz="4" w:space="0" w:color="auto"/>
              <w:bottom w:val="single" w:sz="4" w:space="0" w:color="auto"/>
              <w:right w:val="single" w:sz="4" w:space="0" w:color="auto"/>
            </w:tcBorders>
          </w:tcPr>
          <w:p w14:paraId="4C069F2D"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tcPr>
          <w:p w14:paraId="3515709E"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tcPr>
          <w:p w14:paraId="128E2D20"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tcPr>
          <w:p w14:paraId="7365E24A"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485" w:type="pct"/>
            <w:tcBorders>
              <w:top w:val="single" w:sz="4" w:space="0" w:color="auto"/>
              <w:left w:val="single" w:sz="4" w:space="0" w:color="auto"/>
              <w:bottom w:val="single" w:sz="4" w:space="0" w:color="auto"/>
              <w:right w:val="single" w:sz="4" w:space="0" w:color="auto"/>
            </w:tcBorders>
            <w:hideMark/>
          </w:tcPr>
          <w:p w14:paraId="26A71D88" w14:textId="77777777" w:rsidR="006070D7" w:rsidRPr="00D75D2E" w:rsidRDefault="006070D7" w:rsidP="003C5554">
            <w:pPr>
              <w:autoSpaceDE w:val="0"/>
              <w:autoSpaceDN w:val="0"/>
              <w:adjustRightInd w:val="0"/>
              <w:spacing w:after="0" w:line="240" w:lineRule="auto"/>
              <w:rPr>
                <w:rFonts w:ascii="Times New Roman" w:hAnsi="Times New Roman"/>
                <w:sz w:val="20"/>
                <w:szCs w:val="20"/>
              </w:rPr>
            </w:pPr>
            <w:r w:rsidRPr="00D75D2E">
              <w:rPr>
                <w:rFonts w:ascii="Times New Roman" w:hAnsi="Times New Roman"/>
                <w:sz w:val="20"/>
                <w:szCs w:val="20"/>
              </w:rPr>
              <w:t>Coût total</w:t>
            </w:r>
          </w:p>
        </w:tc>
        <w:tc>
          <w:tcPr>
            <w:tcW w:w="1142" w:type="pct"/>
            <w:gridSpan w:val="2"/>
            <w:tcBorders>
              <w:top w:val="single" w:sz="4" w:space="0" w:color="auto"/>
              <w:left w:val="single" w:sz="4" w:space="0" w:color="auto"/>
              <w:bottom w:val="single" w:sz="4" w:space="0" w:color="auto"/>
              <w:right w:val="single" w:sz="4" w:space="0" w:color="auto"/>
            </w:tcBorders>
            <w:hideMark/>
          </w:tcPr>
          <w:p w14:paraId="7424AC91" w14:textId="77777777" w:rsidR="006070D7" w:rsidRPr="00EB2EDD" w:rsidRDefault="006070D7" w:rsidP="003C5554">
            <w:pPr>
              <w:autoSpaceDE w:val="0"/>
              <w:autoSpaceDN w:val="0"/>
              <w:adjustRightInd w:val="0"/>
              <w:spacing w:after="0" w:line="240" w:lineRule="auto"/>
              <w:jc w:val="center"/>
              <w:rPr>
                <w:rFonts w:ascii="Times New Roman" w:hAnsi="Times New Roman"/>
                <w:sz w:val="20"/>
                <w:szCs w:val="20"/>
                <w:lang w:val="fr-CD"/>
              </w:rPr>
            </w:pPr>
            <w:r w:rsidRPr="00EB2EDD">
              <w:rPr>
                <w:rFonts w:ascii="Times New Roman" w:hAnsi="Times New Roman"/>
                <w:sz w:val="20"/>
                <w:szCs w:val="20"/>
                <w:lang w:val="fr-CD"/>
              </w:rPr>
              <w:t>Calendrier de mise en œuvre</w:t>
            </w:r>
          </w:p>
        </w:tc>
      </w:tr>
      <w:tr w:rsidR="006070D7" w:rsidRPr="00420C1B" w14:paraId="1412EDD0" w14:textId="77777777" w:rsidTr="003C5554">
        <w:trPr>
          <w:trHeight w:val="185"/>
          <w:jc w:val="center"/>
        </w:trPr>
        <w:tc>
          <w:tcPr>
            <w:tcW w:w="884" w:type="pct"/>
            <w:tcBorders>
              <w:top w:val="single" w:sz="4" w:space="0" w:color="auto"/>
              <w:left w:val="single" w:sz="4" w:space="0" w:color="auto"/>
              <w:bottom w:val="single" w:sz="4" w:space="0" w:color="auto"/>
              <w:right w:val="single" w:sz="4" w:space="0" w:color="auto"/>
            </w:tcBorders>
            <w:hideMark/>
          </w:tcPr>
          <w:p w14:paraId="32AB700A" w14:textId="77777777" w:rsidR="006070D7" w:rsidRPr="00420C1B" w:rsidRDefault="006070D7" w:rsidP="003C5554">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345" w:type="pct"/>
            <w:tcBorders>
              <w:top w:val="single" w:sz="4" w:space="0" w:color="auto"/>
              <w:left w:val="single" w:sz="4" w:space="0" w:color="auto"/>
              <w:bottom w:val="single" w:sz="4" w:space="0" w:color="auto"/>
              <w:right w:val="single" w:sz="4" w:space="0" w:color="auto"/>
            </w:tcBorders>
            <w:hideMark/>
          </w:tcPr>
          <w:p w14:paraId="75F6087F"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7AB0DA4F"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2"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B3F15F"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Pr>
          <w:p w14:paraId="2B3FC046"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7C01386"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485" w:type="pct"/>
            <w:tcBorders>
              <w:top w:val="single" w:sz="4" w:space="0" w:color="auto"/>
              <w:left w:val="single" w:sz="4" w:space="0" w:color="auto"/>
              <w:bottom w:val="single" w:sz="4" w:space="0" w:color="auto"/>
              <w:right w:val="single" w:sz="4" w:space="0" w:color="auto"/>
            </w:tcBorders>
            <w:shd w:val="clear" w:color="auto" w:fill="auto"/>
            <w:hideMark/>
          </w:tcPr>
          <w:p w14:paraId="2EB9CA35"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1142" w:type="pct"/>
            <w:gridSpan w:val="2"/>
            <w:tcBorders>
              <w:top w:val="single" w:sz="4" w:space="0" w:color="auto"/>
              <w:left w:val="single" w:sz="4" w:space="0" w:color="auto"/>
              <w:bottom w:val="single" w:sz="4" w:space="0" w:color="auto"/>
              <w:right w:val="single" w:sz="4" w:space="0" w:color="auto"/>
            </w:tcBorders>
            <w:hideMark/>
          </w:tcPr>
          <w:p w14:paraId="288F1485" w14:textId="77777777" w:rsidR="006070D7" w:rsidRPr="00420C1B" w:rsidRDefault="006070D7" w:rsidP="003C5554">
            <w:pPr>
              <w:autoSpaceDE w:val="0"/>
              <w:autoSpaceDN w:val="0"/>
              <w:adjustRightInd w:val="0"/>
              <w:spacing w:after="0" w:line="240" w:lineRule="auto"/>
              <w:jc w:val="center"/>
              <w:rPr>
                <w:rFonts w:ascii="Times New Roman" w:hAnsi="Times New Roman"/>
                <w:b/>
                <w:sz w:val="20"/>
                <w:szCs w:val="20"/>
                <w:u w:val="single"/>
                <w:lang w:val="fr-CD"/>
              </w:rPr>
            </w:pPr>
            <w:r w:rsidRPr="00420C1B">
              <w:rPr>
                <w:rFonts w:ascii="Times New Roman" w:hAnsi="Times New Roman"/>
                <w:sz w:val="20"/>
                <w:szCs w:val="20"/>
                <w:lang w:val="fr-CD"/>
              </w:rPr>
              <w:t>Avant et Pendant les travaux</w:t>
            </w:r>
          </w:p>
        </w:tc>
      </w:tr>
    </w:tbl>
    <w:p w14:paraId="353A0095" w14:textId="77777777" w:rsidR="006070D7" w:rsidRDefault="006070D7" w:rsidP="006070D7">
      <w:pPr>
        <w:rPr>
          <w:rFonts w:ascii="Times New Roman" w:hAnsi="Times New Roman"/>
          <w:lang w:val="fr-CD"/>
        </w:rPr>
      </w:pPr>
    </w:p>
    <w:p w14:paraId="4948D643" w14:textId="147ACEB3" w:rsidR="006070D7" w:rsidRPr="0053634F" w:rsidRDefault="006070D7" w:rsidP="006070D7">
      <w:pPr>
        <w:keepNext/>
        <w:spacing w:after="120" w:line="240" w:lineRule="auto"/>
        <w:jc w:val="center"/>
        <w:rPr>
          <w:rFonts w:ascii="Times New Roman" w:hAnsi="Times New Roman"/>
          <w:iCs/>
          <w:sz w:val="24"/>
          <w:szCs w:val="24"/>
          <w:lang w:val="fr-CD"/>
        </w:rPr>
      </w:pPr>
      <w:bookmarkStart w:id="646" w:name="_Toc93050308"/>
      <w:r w:rsidRPr="0053634F">
        <w:rPr>
          <w:rFonts w:ascii="Times New Roman" w:hAnsi="Times New Roman"/>
          <w:iCs/>
          <w:sz w:val="24"/>
          <w:szCs w:val="24"/>
          <w:lang w:val="fr-CD"/>
        </w:rPr>
        <w:t xml:space="preserve">Tableau </w:t>
      </w:r>
      <w:r w:rsidRPr="00E737B4">
        <w:rPr>
          <w:rFonts w:ascii="Times New Roman" w:hAnsi="Times New Roman"/>
          <w:iCs/>
          <w:sz w:val="24"/>
          <w:szCs w:val="24"/>
        </w:rPr>
        <w:fldChar w:fldCharType="begin"/>
      </w:r>
      <w:r w:rsidRPr="0053634F">
        <w:rPr>
          <w:rFonts w:ascii="Times New Roman" w:hAnsi="Times New Roman"/>
          <w:iCs/>
          <w:sz w:val="24"/>
          <w:szCs w:val="24"/>
          <w:lang w:val="fr-CD"/>
        </w:rPr>
        <w:instrText xml:space="preserve"> SEQ Tableau \* ARABIC </w:instrText>
      </w:r>
      <w:r w:rsidRPr="00E737B4">
        <w:rPr>
          <w:rFonts w:ascii="Times New Roman" w:hAnsi="Times New Roman"/>
          <w:iCs/>
          <w:sz w:val="24"/>
          <w:szCs w:val="24"/>
        </w:rPr>
        <w:fldChar w:fldCharType="separate"/>
      </w:r>
      <w:r w:rsidR="00A86929">
        <w:rPr>
          <w:rFonts w:ascii="Times New Roman" w:hAnsi="Times New Roman"/>
          <w:iCs/>
          <w:noProof/>
          <w:sz w:val="24"/>
          <w:szCs w:val="24"/>
          <w:lang w:val="fr-CD"/>
        </w:rPr>
        <w:t>46</w:t>
      </w:r>
      <w:r w:rsidRPr="00E737B4">
        <w:rPr>
          <w:rFonts w:ascii="Times New Roman" w:hAnsi="Times New Roman"/>
          <w:iCs/>
          <w:noProof/>
          <w:sz w:val="24"/>
          <w:szCs w:val="24"/>
        </w:rPr>
        <w:fldChar w:fldCharType="end"/>
      </w:r>
      <w:r w:rsidRPr="0053634F">
        <w:rPr>
          <w:rFonts w:ascii="Times New Roman" w:hAnsi="Times New Roman"/>
          <w:iCs/>
          <w:sz w:val="24"/>
          <w:szCs w:val="24"/>
          <w:lang w:val="fr-CD"/>
        </w:rPr>
        <w:t xml:space="preserve"> : Fiche de déclaration d’Impact – </w:t>
      </w:r>
      <w:r w:rsidRPr="0053634F">
        <w:rPr>
          <w:rFonts w:ascii="Times New Roman" w:hAnsi="Times New Roman"/>
          <w:b/>
          <w:iCs/>
          <w:sz w:val="24"/>
          <w:szCs w:val="24"/>
          <w:lang w:val="fr-CD"/>
        </w:rPr>
        <w:t xml:space="preserve">Code </w:t>
      </w:r>
      <w:r w:rsidR="00DF7D56">
        <w:rPr>
          <w:rFonts w:ascii="Times New Roman" w:hAnsi="Times New Roman"/>
          <w:b/>
          <w:iCs/>
          <w:sz w:val="24"/>
          <w:szCs w:val="24"/>
          <w:lang w:val="fr-CD"/>
        </w:rPr>
        <w:t>2</w:t>
      </w:r>
      <w:r w:rsidR="00A86929">
        <w:rPr>
          <w:rFonts w:ascii="Times New Roman" w:hAnsi="Times New Roman"/>
          <w:b/>
          <w:iCs/>
          <w:sz w:val="24"/>
          <w:szCs w:val="24"/>
          <w:lang w:val="fr-CD"/>
        </w:rPr>
        <w:t>3</w:t>
      </w:r>
      <w:bookmarkEnd w:id="646"/>
    </w:p>
    <w:tbl>
      <w:tblPr>
        <w:tblW w:w="5145" w:type="pct"/>
        <w:jc w:val="center"/>
        <w:tblLayout w:type="fixed"/>
        <w:tblLook w:val="04A0" w:firstRow="1" w:lastRow="0" w:firstColumn="1" w:lastColumn="0" w:noHBand="0" w:noVBand="1"/>
      </w:tblPr>
      <w:tblGrid>
        <w:gridCol w:w="1652"/>
        <w:gridCol w:w="839"/>
        <w:gridCol w:w="142"/>
        <w:gridCol w:w="840"/>
        <w:gridCol w:w="734"/>
        <w:gridCol w:w="475"/>
        <w:gridCol w:w="195"/>
        <w:gridCol w:w="430"/>
        <w:gridCol w:w="692"/>
        <w:gridCol w:w="602"/>
        <w:gridCol w:w="239"/>
        <w:gridCol w:w="1262"/>
        <w:gridCol w:w="1637"/>
        <w:gridCol w:w="402"/>
      </w:tblGrid>
      <w:tr w:rsidR="006070D7" w:rsidRPr="00420C1B" w14:paraId="1BA087AB" w14:textId="77777777" w:rsidTr="003C5554">
        <w:trPr>
          <w:trHeight w:val="250"/>
          <w:tblHeader/>
          <w:jc w:val="center"/>
        </w:trPr>
        <w:tc>
          <w:tcPr>
            <w:tcW w:w="815"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0A509AEA"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COMPOSANTE</w:t>
            </w:r>
          </w:p>
        </w:tc>
        <w:tc>
          <w:tcPr>
            <w:tcW w:w="1494" w:type="pct"/>
            <w:gridSpan w:val="5"/>
            <w:tcBorders>
              <w:top w:val="single" w:sz="4" w:space="0" w:color="auto"/>
              <w:left w:val="single" w:sz="4" w:space="0" w:color="auto"/>
              <w:bottom w:val="single" w:sz="4" w:space="0" w:color="auto"/>
              <w:right w:val="single" w:sz="4" w:space="0" w:color="auto"/>
            </w:tcBorders>
            <w:shd w:val="clear" w:color="auto" w:fill="92D050"/>
            <w:hideMark/>
          </w:tcPr>
          <w:p w14:paraId="5153BCED"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sz w:val="20"/>
                <w:szCs w:val="20"/>
              </w:rPr>
              <w:t>Végétation</w:t>
            </w:r>
          </w:p>
        </w:tc>
        <w:tc>
          <w:tcPr>
            <w:tcW w:w="946" w:type="pct"/>
            <w:gridSpan w:val="4"/>
            <w:tcBorders>
              <w:top w:val="single" w:sz="4" w:space="0" w:color="auto"/>
              <w:left w:val="single" w:sz="4" w:space="0" w:color="auto"/>
              <w:bottom w:val="single" w:sz="4" w:space="0" w:color="auto"/>
              <w:right w:val="single" w:sz="4" w:space="0" w:color="auto"/>
            </w:tcBorders>
            <w:shd w:val="clear" w:color="auto" w:fill="92D050"/>
            <w:hideMark/>
          </w:tcPr>
          <w:p w14:paraId="1483B99A"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PHASE</w:t>
            </w:r>
          </w:p>
        </w:tc>
        <w:tc>
          <w:tcPr>
            <w:tcW w:w="740"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1C73F2D5"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Préparatoire</w:t>
            </w:r>
          </w:p>
        </w:tc>
        <w:tc>
          <w:tcPr>
            <w:tcW w:w="1005"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27379D76"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Photos de l’impact</w:t>
            </w:r>
          </w:p>
        </w:tc>
      </w:tr>
      <w:tr w:rsidR="006070D7" w:rsidRPr="00420C1B" w14:paraId="2C62810B" w14:textId="77777777" w:rsidTr="003C5554">
        <w:trPr>
          <w:trHeight w:val="50"/>
          <w:jc w:val="center"/>
        </w:trPr>
        <w:tc>
          <w:tcPr>
            <w:tcW w:w="815" w:type="pct"/>
            <w:vMerge w:val="restart"/>
            <w:tcBorders>
              <w:top w:val="single" w:sz="4" w:space="0" w:color="auto"/>
              <w:left w:val="single" w:sz="4" w:space="0" w:color="auto"/>
              <w:bottom w:val="single" w:sz="4" w:space="0" w:color="auto"/>
              <w:right w:val="single" w:sz="4" w:space="0" w:color="auto"/>
            </w:tcBorders>
            <w:hideMark/>
          </w:tcPr>
          <w:p w14:paraId="78816FC1"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Code 01</w:t>
            </w:r>
          </w:p>
        </w:tc>
        <w:tc>
          <w:tcPr>
            <w:tcW w:w="4185" w:type="pct"/>
            <w:gridSpan w:val="13"/>
            <w:tcBorders>
              <w:top w:val="single" w:sz="4" w:space="0" w:color="auto"/>
              <w:left w:val="single" w:sz="4" w:space="0" w:color="auto"/>
              <w:bottom w:val="single" w:sz="4" w:space="0" w:color="auto"/>
              <w:right w:val="single" w:sz="4" w:space="0" w:color="auto"/>
            </w:tcBorders>
            <w:hideMark/>
          </w:tcPr>
          <w:p w14:paraId="18A927A4" w14:textId="77777777" w:rsidR="006070D7" w:rsidRPr="0053634F" w:rsidRDefault="006070D7" w:rsidP="003C5554">
            <w:pPr>
              <w:spacing w:after="0" w:line="240" w:lineRule="auto"/>
              <w:rPr>
                <w:rFonts w:ascii="Times New Roman" w:hAnsi="Times New Roman"/>
                <w:sz w:val="20"/>
                <w:szCs w:val="20"/>
                <w:lang w:val="fr-CD"/>
              </w:rPr>
            </w:pPr>
            <w:r w:rsidRPr="0053634F">
              <w:rPr>
                <w:rFonts w:ascii="Times New Roman" w:hAnsi="Times New Roman"/>
                <w:b/>
                <w:sz w:val="20"/>
                <w:szCs w:val="20"/>
                <w:lang w:val="fr-CD"/>
              </w:rPr>
              <w:t xml:space="preserve">Source d’impact : </w:t>
            </w:r>
            <w:r w:rsidRPr="0053634F">
              <w:rPr>
                <w:rFonts w:ascii="Times New Roman" w:hAnsi="Times New Roman"/>
                <w:sz w:val="20"/>
                <w:szCs w:val="20"/>
                <w:lang w:val="fr-CD"/>
              </w:rPr>
              <w:t xml:space="preserve">Aléas climatique et désastres naturels  </w:t>
            </w:r>
          </w:p>
        </w:tc>
      </w:tr>
      <w:tr w:rsidR="006070D7" w:rsidRPr="00420C1B" w14:paraId="5A5D0E6D" w14:textId="77777777" w:rsidTr="003C5554">
        <w:trPr>
          <w:trHeight w:val="228"/>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14:paraId="59FD3AE4" w14:textId="77777777" w:rsidR="006070D7" w:rsidRPr="0053634F" w:rsidRDefault="006070D7" w:rsidP="003C5554">
            <w:pPr>
              <w:spacing w:after="0" w:line="240" w:lineRule="auto"/>
              <w:rPr>
                <w:rFonts w:ascii="Times New Roman" w:hAnsi="Times New Roman"/>
                <w:b/>
                <w:sz w:val="20"/>
                <w:szCs w:val="20"/>
                <w:lang w:val="fr-CD"/>
              </w:rPr>
            </w:pPr>
          </w:p>
        </w:tc>
        <w:tc>
          <w:tcPr>
            <w:tcW w:w="4185" w:type="pct"/>
            <w:gridSpan w:val="13"/>
            <w:tcBorders>
              <w:top w:val="single" w:sz="4" w:space="0" w:color="auto"/>
              <w:left w:val="single" w:sz="4" w:space="0" w:color="auto"/>
              <w:bottom w:val="single" w:sz="4" w:space="0" w:color="auto"/>
              <w:right w:val="single" w:sz="4" w:space="0" w:color="auto"/>
            </w:tcBorders>
            <w:hideMark/>
          </w:tcPr>
          <w:p w14:paraId="62C929FF" w14:textId="51188621" w:rsidR="006070D7" w:rsidRPr="0053634F" w:rsidRDefault="006070D7" w:rsidP="006C5F48">
            <w:pPr>
              <w:spacing w:after="0" w:line="240" w:lineRule="auto"/>
              <w:rPr>
                <w:rFonts w:ascii="Times New Roman" w:hAnsi="Times New Roman"/>
                <w:sz w:val="20"/>
                <w:szCs w:val="20"/>
                <w:lang w:val="fr-CD"/>
              </w:rPr>
            </w:pPr>
            <w:r w:rsidRPr="0053634F">
              <w:rPr>
                <w:rFonts w:ascii="Times New Roman" w:hAnsi="Times New Roman"/>
                <w:b/>
                <w:sz w:val="20"/>
                <w:szCs w:val="20"/>
                <w:lang w:val="fr-CD"/>
              </w:rPr>
              <w:t xml:space="preserve"> Intitulé de l’impact</w:t>
            </w:r>
            <w:r w:rsidRPr="0053634F">
              <w:rPr>
                <w:rFonts w:ascii="Times New Roman" w:hAnsi="Times New Roman"/>
                <w:sz w:val="20"/>
                <w:szCs w:val="20"/>
                <w:lang w:val="fr-CD"/>
              </w:rPr>
              <w:t> : destruction des infrastructures par les catastrophes naturel</w:t>
            </w:r>
            <w:r w:rsidR="00DF7D56">
              <w:rPr>
                <w:rFonts w:ascii="Times New Roman" w:hAnsi="Times New Roman"/>
                <w:sz w:val="20"/>
                <w:szCs w:val="20"/>
                <w:lang w:val="fr-CD"/>
              </w:rPr>
              <w:t>le</w:t>
            </w:r>
            <w:r w:rsidRPr="0053634F">
              <w:rPr>
                <w:rFonts w:ascii="Times New Roman" w:hAnsi="Times New Roman"/>
                <w:sz w:val="20"/>
                <w:szCs w:val="20"/>
                <w:lang w:val="fr-CD"/>
              </w:rPr>
              <w:t xml:space="preserve">s (inondation et érosion des sols) </w:t>
            </w:r>
          </w:p>
        </w:tc>
      </w:tr>
      <w:tr w:rsidR="006070D7" w:rsidRPr="00420C1B" w14:paraId="60BA1498" w14:textId="77777777" w:rsidTr="003C5554">
        <w:trPr>
          <w:trHeight w:val="250"/>
          <w:jc w:val="center"/>
        </w:trPr>
        <w:tc>
          <w:tcPr>
            <w:tcW w:w="815" w:type="pct"/>
            <w:vMerge w:val="restart"/>
            <w:tcBorders>
              <w:top w:val="single" w:sz="4" w:space="0" w:color="auto"/>
              <w:left w:val="single" w:sz="4" w:space="0" w:color="auto"/>
              <w:bottom w:val="single" w:sz="4" w:space="0" w:color="auto"/>
              <w:right w:val="single" w:sz="4" w:space="0" w:color="auto"/>
            </w:tcBorders>
            <w:hideMark/>
          </w:tcPr>
          <w:p w14:paraId="3EFF4FED"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D75D2E">
              <w:rPr>
                <w:rFonts w:ascii="Times New Roman" w:hAnsi="Times New Roman"/>
                <w:b/>
                <w:sz w:val="20"/>
                <w:szCs w:val="20"/>
              </w:rPr>
              <w:t>Localisation</w:t>
            </w:r>
          </w:p>
        </w:tc>
        <w:tc>
          <w:tcPr>
            <w:tcW w:w="1802" w:type="pct"/>
            <w:gridSpan w:val="7"/>
            <w:vMerge w:val="restart"/>
            <w:tcBorders>
              <w:top w:val="single" w:sz="4" w:space="0" w:color="auto"/>
              <w:left w:val="single" w:sz="4" w:space="0" w:color="auto"/>
              <w:right w:val="single" w:sz="4" w:space="0" w:color="auto"/>
            </w:tcBorders>
            <w:shd w:val="clear" w:color="auto" w:fill="auto"/>
          </w:tcPr>
          <w:p w14:paraId="63AA1940" w14:textId="77777777" w:rsidR="006070D7" w:rsidRPr="0053634F" w:rsidRDefault="006070D7" w:rsidP="003C5554">
            <w:pPr>
              <w:spacing w:after="0" w:line="240" w:lineRule="auto"/>
              <w:rPr>
                <w:rFonts w:ascii="Times New Roman" w:hAnsi="Times New Roman"/>
                <w:sz w:val="20"/>
                <w:szCs w:val="20"/>
                <w:lang w:val="fr-CD"/>
              </w:rPr>
            </w:pPr>
            <w:r w:rsidRPr="0053634F">
              <w:rPr>
                <w:rFonts w:ascii="Times New Roman" w:hAnsi="Times New Roman"/>
                <w:sz w:val="20"/>
                <w:szCs w:val="20"/>
                <w:lang w:val="fr-CD"/>
              </w:rPr>
              <w:t xml:space="preserve">Zone d’évolution des travaux (communes concernés par les travaux) </w:t>
            </w: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hideMark/>
          </w:tcPr>
          <w:p w14:paraId="0F97AA82"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X</w:t>
            </w:r>
          </w:p>
        </w:tc>
        <w:tc>
          <w:tcPr>
            <w:tcW w:w="740" w:type="pct"/>
            <w:gridSpan w:val="2"/>
            <w:tcBorders>
              <w:top w:val="single" w:sz="4" w:space="0" w:color="auto"/>
              <w:left w:val="single" w:sz="4" w:space="0" w:color="auto"/>
              <w:bottom w:val="single" w:sz="4" w:space="0" w:color="auto"/>
              <w:right w:val="single" w:sz="4" w:space="0" w:color="auto"/>
            </w:tcBorders>
            <w:shd w:val="clear" w:color="auto" w:fill="auto"/>
            <w:hideMark/>
          </w:tcPr>
          <w:p w14:paraId="4874F32D" w14:textId="77777777" w:rsidR="006070D7" w:rsidRPr="00D75D2E" w:rsidRDefault="006070D7" w:rsidP="003C5554">
            <w:pPr>
              <w:spacing w:after="0" w:line="240" w:lineRule="auto"/>
              <w:jc w:val="center"/>
              <w:rPr>
                <w:rFonts w:ascii="Times New Roman" w:eastAsia="Times New Roman" w:hAnsi="Times New Roman"/>
                <w:b/>
                <w:sz w:val="20"/>
                <w:szCs w:val="20"/>
                <w:lang w:eastAsia="fr-FR"/>
              </w:rPr>
            </w:pPr>
            <w:r w:rsidRPr="00D75D2E">
              <w:rPr>
                <w:rFonts w:ascii="Times New Roman" w:hAnsi="Times New Roman"/>
                <w:b/>
                <w:sz w:val="20"/>
                <w:szCs w:val="20"/>
              </w:rPr>
              <w:t>Y</w:t>
            </w:r>
          </w:p>
        </w:tc>
        <w:tc>
          <w:tcPr>
            <w:tcW w:w="1005" w:type="pct"/>
            <w:gridSpan w:val="2"/>
            <w:vMerge w:val="restart"/>
            <w:tcBorders>
              <w:top w:val="single" w:sz="4" w:space="0" w:color="auto"/>
              <w:left w:val="single" w:sz="4" w:space="0" w:color="auto"/>
              <w:bottom w:val="single" w:sz="4" w:space="0" w:color="auto"/>
              <w:right w:val="single" w:sz="4" w:space="0" w:color="auto"/>
            </w:tcBorders>
            <w:hideMark/>
          </w:tcPr>
          <w:p w14:paraId="49A1D6CB" w14:textId="77777777" w:rsidR="006070D7" w:rsidRPr="00D75D2E" w:rsidRDefault="006070D7" w:rsidP="003C5554">
            <w:pPr>
              <w:spacing w:after="0" w:line="240" w:lineRule="auto"/>
              <w:jc w:val="center"/>
              <w:rPr>
                <w:rFonts w:ascii="Times New Roman" w:hAnsi="Times New Roman"/>
                <w:sz w:val="20"/>
                <w:szCs w:val="20"/>
              </w:rPr>
            </w:pPr>
          </w:p>
        </w:tc>
      </w:tr>
      <w:tr w:rsidR="006070D7" w:rsidRPr="00420C1B" w14:paraId="3784EEB8" w14:textId="77777777" w:rsidTr="003C5554">
        <w:trPr>
          <w:trHeight w:val="245"/>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14:paraId="5DB4E5CE"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802" w:type="pct"/>
            <w:gridSpan w:val="7"/>
            <w:vMerge/>
            <w:tcBorders>
              <w:left w:val="single" w:sz="4" w:space="0" w:color="auto"/>
              <w:right w:val="single" w:sz="4" w:space="0" w:color="auto"/>
            </w:tcBorders>
            <w:shd w:val="clear" w:color="auto" w:fill="auto"/>
            <w:vAlign w:val="center"/>
          </w:tcPr>
          <w:p w14:paraId="7FE100D3"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single" w:sz="4" w:space="0" w:color="auto"/>
              <w:right w:val="single" w:sz="4" w:space="0" w:color="auto"/>
            </w:tcBorders>
            <w:shd w:val="clear" w:color="auto" w:fill="auto"/>
          </w:tcPr>
          <w:p w14:paraId="75E99B8E"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740" w:type="pct"/>
            <w:gridSpan w:val="2"/>
            <w:tcBorders>
              <w:top w:val="single" w:sz="4" w:space="0" w:color="auto"/>
              <w:left w:val="nil"/>
              <w:bottom w:val="single" w:sz="4" w:space="0" w:color="auto"/>
              <w:right w:val="single" w:sz="4" w:space="0" w:color="auto"/>
            </w:tcBorders>
            <w:shd w:val="clear" w:color="auto" w:fill="auto"/>
          </w:tcPr>
          <w:p w14:paraId="1E018F00"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3CD7A294"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2A4257D9" w14:textId="77777777" w:rsidTr="003C5554">
        <w:trPr>
          <w:trHeight w:val="246"/>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14:paraId="01C6D25A" w14:textId="77777777" w:rsidR="006070D7" w:rsidRPr="00D75D2E" w:rsidRDefault="006070D7" w:rsidP="003C5554">
            <w:pPr>
              <w:spacing w:after="0" w:line="240" w:lineRule="auto"/>
              <w:rPr>
                <w:rFonts w:ascii="Times New Roman" w:eastAsia="Times New Roman" w:hAnsi="Times New Roman"/>
                <w:sz w:val="20"/>
                <w:szCs w:val="20"/>
                <w:lang w:eastAsia="fr-FR"/>
              </w:rPr>
            </w:pPr>
          </w:p>
        </w:tc>
        <w:tc>
          <w:tcPr>
            <w:tcW w:w="1802" w:type="pct"/>
            <w:gridSpan w:val="7"/>
            <w:vMerge/>
            <w:tcBorders>
              <w:left w:val="single" w:sz="4" w:space="0" w:color="auto"/>
              <w:bottom w:val="single" w:sz="4" w:space="0" w:color="auto"/>
              <w:right w:val="single" w:sz="4" w:space="0" w:color="auto"/>
            </w:tcBorders>
            <w:shd w:val="clear" w:color="auto" w:fill="auto"/>
            <w:vAlign w:val="center"/>
          </w:tcPr>
          <w:p w14:paraId="43808170" w14:textId="77777777" w:rsidR="006070D7" w:rsidRPr="00D75D2E" w:rsidRDefault="006070D7" w:rsidP="003C5554">
            <w:pPr>
              <w:spacing w:after="0" w:line="240" w:lineRule="auto"/>
              <w:jc w:val="both"/>
              <w:rPr>
                <w:rFonts w:ascii="Times New Roman" w:eastAsia="Times New Roman" w:hAnsi="Times New Roman"/>
                <w:sz w:val="20"/>
                <w:szCs w:val="20"/>
                <w:lang w:eastAsia="fr-FR"/>
              </w:rPr>
            </w:pPr>
          </w:p>
        </w:tc>
        <w:tc>
          <w:tcPr>
            <w:tcW w:w="638" w:type="pct"/>
            <w:gridSpan w:val="2"/>
            <w:tcBorders>
              <w:top w:val="single" w:sz="4" w:space="0" w:color="auto"/>
              <w:left w:val="single" w:sz="4" w:space="0" w:color="auto"/>
              <w:bottom w:val="nil"/>
              <w:right w:val="single" w:sz="4" w:space="0" w:color="auto"/>
            </w:tcBorders>
            <w:shd w:val="clear" w:color="auto" w:fill="auto"/>
          </w:tcPr>
          <w:p w14:paraId="33F28F1D"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740" w:type="pct"/>
            <w:gridSpan w:val="2"/>
            <w:tcBorders>
              <w:top w:val="single" w:sz="4" w:space="0" w:color="auto"/>
              <w:left w:val="single" w:sz="4" w:space="0" w:color="auto"/>
              <w:bottom w:val="nil"/>
              <w:right w:val="single" w:sz="4" w:space="0" w:color="auto"/>
            </w:tcBorders>
            <w:shd w:val="clear" w:color="auto" w:fill="auto"/>
          </w:tcPr>
          <w:p w14:paraId="7B692BD1"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1005" w:type="pct"/>
            <w:gridSpan w:val="2"/>
            <w:vMerge/>
            <w:tcBorders>
              <w:top w:val="single" w:sz="4" w:space="0" w:color="auto"/>
              <w:left w:val="single" w:sz="4" w:space="0" w:color="auto"/>
              <w:bottom w:val="single" w:sz="4" w:space="0" w:color="auto"/>
              <w:right w:val="single" w:sz="4" w:space="0" w:color="auto"/>
            </w:tcBorders>
            <w:vAlign w:val="center"/>
            <w:hideMark/>
          </w:tcPr>
          <w:p w14:paraId="0CC2DA6E"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0A395316" w14:textId="77777777" w:rsidTr="003C5554">
        <w:trPr>
          <w:trHeight w:val="242"/>
          <w:jc w:val="center"/>
        </w:trPr>
        <w:tc>
          <w:tcPr>
            <w:tcW w:w="815" w:type="pct"/>
            <w:vMerge w:val="restart"/>
            <w:tcBorders>
              <w:top w:val="single" w:sz="4" w:space="0" w:color="auto"/>
              <w:left w:val="single" w:sz="4" w:space="0" w:color="auto"/>
              <w:bottom w:val="single" w:sz="4" w:space="0" w:color="auto"/>
              <w:right w:val="single" w:sz="4" w:space="0" w:color="auto"/>
            </w:tcBorders>
          </w:tcPr>
          <w:p w14:paraId="4E30E7EA" w14:textId="77777777" w:rsidR="006070D7" w:rsidRPr="00D75D2E" w:rsidRDefault="006070D7" w:rsidP="003C5554">
            <w:pPr>
              <w:spacing w:after="0" w:line="240" w:lineRule="auto"/>
              <w:rPr>
                <w:rFonts w:ascii="Times New Roman" w:hAnsi="Times New Roman"/>
                <w:b/>
                <w:sz w:val="20"/>
                <w:szCs w:val="20"/>
              </w:rPr>
            </w:pPr>
          </w:p>
          <w:p w14:paraId="453DCBCE"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Analyse de l’impact</w:t>
            </w:r>
          </w:p>
        </w:tc>
        <w:tc>
          <w:tcPr>
            <w:tcW w:w="484" w:type="pct"/>
            <w:gridSpan w:val="2"/>
            <w:vMerge w:val="restart"/>
            <w:tcBorders>
              <w:top w:val="single" w:sz="4" w:space="0" w:color="auto"/>
              <w:left w:val="single" w:sz="4" w:space="0" w:color="auto"/>
              <w:bottom w:val="single" w:sz="4" w:space="0" w:color="auto"/>
              <w:right w:val="single" w:sz="4" w:space="0" w:color="auto"/>
            </w:tcBorders>
            <w:hideMark/>
          </w:tcPr>
          <w:p w14:paraId="6EC088D5"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sz w:val="20"/>
                <w:szCs w:val="20"/>
              </w:rPr>
            </w:pPr>
            <w:r w:rsidRPr="00D75D2E">
              <w:rPr>
                <w:rFonts w:ascii="Times New Roman" w:eastAsia="Times New Roman" w:hAnsi="Times New Roman"/>
                <w:b/>
                <w:bCs/>
                <w:sz w:val="20"/>
                <w:szCs w:val="20"/>
              </w:rPr>
              <w:t>Nature :</w:t>
            </w:r>
          </w:p>
          <w:p w14:paraId="6B4E3BE7" w14:textId="77777777" w:rsidR="006070D7" w:rsidRPr="00D75D2E" w:rsidRDefault="006070D7" w:rsidP="003C5554">
            <w:pPr>
              <w:autoSpaceDE w:val="0"/>
              <w:autoSpaceDN w:val="0"/>
              <w:adjustRightInd w:val="0"/>
              <w:spacing w:after="0" w:line="240" w:lineRule="auto"/>
              <w:rPr>
                <w:rFonts w:ascii="Times New Roman" w:eastAsia="Times New Roman" w:hAnsi="Times New Roman"/>
                <w:bCs/>
                <w:sz w:val="20"/>
                <w:szCs w:val="20"/>
              </w:rPr>
            </w:pPr>
            <w:r w:rsidRPr="00D75D2E">
              <w:rPr>
                <w:rFonts w:ascii="Times New Roman" w:eastAsia="Times New Roman" w:hAnsi="Times New Roman"/>
                <w:bCs/>
                <w:sz w:val="20"/>
                <w:szCs w:val="20"/>
              </w:rPr>
              <w:t>Négative</w:t>
            </w:r>
          </w:p>
        </w:tc>
        <w:tc>
          <w:tcPr>
            <w:tcW w:w="776" w:type="pct"/>
            <w:gridSpan w:val="2"/>
            <w:tcBorders>
              <w:top w:val="single" w:sz="4" w:space="0" w:color="auto"/>
              <w:left w:val="single" w:sz="4" w:space="0" w:color="auto"/>
              <w:bottom w:val="single" w:sz="4" w:space="0" w:color="auto"/>
              <w:right w:val="single" w:sz="4" w:space="0" w:color="auto"/>
            </w:tcBorders>
            <w:hideMark/>
          </w:tcPr>
          <w:p w14:paraId="335CF5BE"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Intensité</w:t>
            </w:r>
          </w:p>
        </w:tc>
        <w:tc>
          <w:tcPr>
            <w:tcW w:w="1180" w:type="pct"/>
            <w:gridSpan w:val="5"/>
            <w:tcBorders>
              <w:top w:val="single" w:sz="4" w:space="0" w:color="auto"/>
              <w:left w:val="single" w:sz="4" w:space="0" w:color="auto"/>
              <w:bottom w:val="single" w:sz="4" w:space="0" w:color="auto"/>
              <w:right w:val="single" w:sz="4" w:space="0" w:color="auto"/>
            </w:tcBorders>
            <w:hideMark/>
          </w:tcPr>
          <w:p w14:paraId="104C585D"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Etendue</w:t>
            </w:r>
          </w:p>
        </w:tc>
        <w:tc>
          <w:tcPr>
            <w:tcW w:w="740" w:type="pct"/>
            <w:gridSpan w:val="2"/>
            <w:tcBorders>
              <w:top w:val="single" w:sz="4" w:space="0" w:color="auto"/>
              <w:left w:val="single" w:sz="4" w:space="0" w:color="auto"/>
              <w:bottom w:val="single" w:sz="4" w:space="0" w:color="auto"/>
              <w:right w:val="single" w:sz="4" w:space="0" w:color="auto"/>
            </w:tcBorders>
            <w:hideMark/>
          </w:tcPr>
          <w:p w14:paraId="5BE68F32"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Durée</w:t>
            </w:r>
          </w:p>
        </w:tc>
        <w:tc>
          <w:tcPr>
            <w:tcW w:w="1005" w:type="pct"/>
            <w:gridSpan w:val="2"/>
            <w:tcBorders>
              <w:top w:val="single" w:sz="4" w:space="0" w:color="auto"/>
              <w:left w:val="single" w:sz="4" w:space="0" w:color="auto"/>
              <w:bottom w:val="single" w:sz="4" w:space="0" w:color="auto"/>
              <w:right w:val="single" w:sz="4" w:space="0" w:color="auto"/>
            </w:tcBorders>
            <w:hideMark/>
          </w:tcPr>
          <w:p w14:paraId="37105FD6"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eastAsia="Times New Roman" w:hAnsi="Times New Roman"/>
                <w:b/>
                <w:bCs/>
                <w:i/>
                <w:sz w:val="20"/>
                <w:szCs w:val="20"/>
              </w:rPr>
              <w:t>Importance</w:t>
            </w:r>
          </w:p>
        </w:tc>
      </w:tr>
      <w:tr w:rsidR="006070D7" w:rsidRPr="00420C1B" w14:paraId="75CD53D9" w14:textId="77777777" w:rsidTr="003C5554">
        <w:trPr>
          <w:trHeight w:val="258"/>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14:paraId="54352B43"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vMerge/>
            <w:tcBorders>
              <w:top w:val="single" w:sz="4" w:space="0" w:color="auto"/>
              <w:left w:val="single" w:sz="4" w:space="0" w:color="auto"/>
              <w:bottom w:val="single" w:sz="4" w:space="0" w:color="auto"/>
              <w:right w:val="single" w:sz="4" w:space="0" w:color="auto"/>
            </w:tcBorders>
            <w:vAlign w:val="center"/>
            <w:hideMark/>
          </w:tcPr>
          <w:p w14:paraId="16C992FE" w14:textId="77777777" w:rsidR="006070D7" w:rsidRPr="00D75D2E" w:rsidRDefault="006070D7" w:rsidP="003C5554">
            <w:pPr>
              <w:spacing w:after="0" w:line="240" w:lineRule="auto"/>
              <w:rPr>
                <w:rFonts w:ascii="Times New Roman" w:eastAsia="Times New Roman" w:hAnsi="Times New Roman"/>
                <w:bCs/>
                <w:sz w:val="20"/>
                <w:szCs w:val="20"/>
              </w:rPr>
            </w:pPr>
          </w:p>
        </w:tc>
        <w:tc>
          <w:tcPr>
            <w:tcW w:w="776" w:type="pct"/>
            <w:gridSpan w:val="2"/>
            <w:tcBorders>
              <w:top w:val="single" w:sz="4" w:space="0" w:color="auto"/>
              <w:left w:val="single" w:sz="4" w:space="0" w:color="auto"/>
              <w:bottom w:val="single" w:sz="4" w:space="0" w:color="auto"/>
              <w:right w:val="single" w:sz="4" w:space="0" w:color="auto"/>
            </w:tcBorders>
            <w:vAlign w:val="center"/>
            <w:hideMark/>
          </w:tcPr>
          <w:p w14:paraId="4E18D218"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D75D2E">
              <w:rPr>
                <w:rFonts w:ascii="Times New Roman" w:hAnsi="Times New Roman"/>
                <w:sz w:val="20"/>
                <w:szCs w:val="20"/>
              </w:rPr>
              <w:t>F</w:t>
            </w:r>
            <w:r>
              <w:rPr>
                <w:rFonts w:ascii="Times New Roman" w:hAnsi="Times New Roman"/>
                <w:sz w:val="20"/>
                <w:szCs w:val="20"/>
              </w:rPr>
              <w:t>aible</w:t>
            </w:r>
          </w:p>
        </w:tc>
        <w:tc>
          <w:tcPr>
            <w:tcW w:w="1180" w:type="pct"/>
            <w:gridSpan w:val="5"/>
            <w:tcBorders>
              <w:top w:val="single" w:sz="4" w:space="0" w:color="auto"/>
              <w:left w:val="single" w:sz="4" w:space="0" w:color="auto"/>
              <w:bottom w:val="single" w:sz="4" w:space="0" w:color="auto"/>
              <w:right w:val="single" w:sz="4" w:space="0" w:color="auto"/>
            </w:tcBorders>
            <w:vAlign w:val="center"/>
            <w:hideMark/>
          </w:tcPr>
          <w:p w14:paraId="2940C8EC" w14:textId="77777777" w:rsidR="006070D7" w:rsidRPr="00D75D2E" w:rsidRDefault="006070D7" w:rsidP="003C5554">
            <w:pPr>
              <w:spacing w:after="0" w:line="240" w:lineRule="auto"/>
              <w:rPr>
                <w:rFonts w:ascii="Times New Roman" w:eastAsia="Times New Roman" w:hAnsi="Times New Roman"/>
                <w:sz w:val="20"/>
                <w:szCs w:val="20"/>
                <w:lang w:eastAsia="fr-FR"/>
              </w:rPr>
            </w:pPr>
            <w:r w:rsidRPr="00D75D2E">
              <w:rPr>
                <w:rFonts w:ascii="Times New Roman" w:hAnsi="Times New Roman"/>
                <w:sz w:val="20"/>
                <w:szCs w:val="20"/>
              </w:rPr>
              <w:t>Ponctuelle</w:t>
            </w:r>
          </w:p>
        </w:tc>
        <w:tc>
          <w:tcPr>
            <w:tcW w:w="740" w:type="pct"/>
            <w:gridSpan w:val="2"/>
            <w:tcBorders>
              <w:top w:val="single" w:sz="4" w:space="0" w:color="auto"/>
              <w:left w:val="single" w:sz="4" w:space="0" w:color="auto"/>
              <w:bottom w:val="single" w:sz="4" w:space="0" w:color="auto"/>
              <w:right w:val="single" w:sz="4" w:space="0" w:color="auto"/>
            </w:tcBorders>
            <w:vAlign w:val="center"/>
            <w:hideMark/>
          </w:tcPr>
          <w:p w14:paraId="3568D649" w14:textId="77777777" w:rsidR="006070D7" w:rsidRPr="00D75D2E" w:rsidRDefault="006070D7" w:rsidP="003C5554">
            <w:pPr>
              <w:spacing w:after="0" w:line="240" w:lineRule="auto"/>
              <w:rPr>
                <w:rFonts w:ascii="Times New Roman" w:eastAsia="Times New Roman" w:hAnsi="Times New Roman"/>
                <w:sz w:val="20"/>
                <w:szCs w:val="20"/>
                <w:lang w:eastAsia="fr-FR"/>
              </w:rPr>
            </w:pPr>
            <w:r>
              <w:rPr>
                <w:rFonts w:ascii="Times New Roman" w:eastAsia="Times New Roman" w:hAnsi="Times New Roman"/>
                <w:bCs/>
                <w:sz w:val="20"/>
                <w:szCs w:val="20"/>
              </w:rPr>
              <w:t xml:space="preserve">Longue </w:t>
            </w:r>
          </w:p>
        </w:tc>
        <w:tc>
          <w:tcPr>
            <w:tcW w:w="1005" w:type="pct"/>
            <w:gridSpan w:val="2"/>
            <w:tcBorders>
              <w:top w:val="single" w:sz="4" w:space="0" w:color="auto"/>
              <w:left w:val="single" w:sz="4" w:space="0" w:color="auto"/>
              <w:bottom w:val="single" w:sz="4" w:space="0" w:color="auto"/>
              <w:right w:val="single" w:sz="4" w:space="0" w:color="auto"/>
            </w:tcBorders>
            <w:vAlign w:val="center"/>
            <w:hideMark/>
          </w:tcPr>
          <w:p w14:paraId="11F16C1D" w14:textId="77777777" w:rsidR="006070D7" w:rsidRPr="00D75D2E" w:rsidRDefault="006070D7" w:rsidP="003C5554">
            <w:pPr>
              <w:spacing w:after="0" w:line="240" w:lineRule="auto"/>
              <w:rPr>
                <w:rFonts w:ascii="Times New Roman" w:hAnsi="Times New Roman"/>
                <w:sz w:val="20"/>
                <w:szCs w:val="20"/>
              </w:rPr>
            </w:pPr>
            <w:r>
              <w:rPr>
                <w:rFonts w:ascii="Times New Roman" w:hAnsi="Times New Roman"/>
                <w:sz w:val="20"/>
                <w:szCs w:val="20"/>
              </w:rPr>
              <w:t xml:space="preserve">Moyenne </w:t>
            </w:r>
            <w:r w:rsidRPr="00D75D2E">
              <w:rPr>
                <w:rFonts w:ascii="Times New Roman" w:hAnsi="Times New Roman"/>
                <w:sz w:val="20"/>
                <w:szCs w:val="20"/>
              </w:rPr>
              <w:t xml:space="preserve"> </w:t>
            </w:r>
          </w:p>
        </w:tc>
      </w:tr>
      <w:tr w:rsidR="006070D7" w:rsidRPr="00420C1B" w14:paraId="2D2CBC81" w14:textId="77777777" w:rsidTr="003C5554">
        <w:trPr>
          <w:trHeight w:val="258"/>
          <w:jc w:val="center"/>
        </w:trPr>
        <w:tc>
          <w:tcPr>
            <w:tcW w:w="815" w:type="pct"/>
            <w:vMerge/>
            <w:tcBorders>
              <w:top w:val="single" w:sz="4" w:space="0" w:color="auto"/>
              <w:left w:val="single" w:sz="4" w:space="0" w:color="auto"/>
              <w:bottom w:val="single" w:sz="4" w:space="0" w:color="auto"/>
              <w:right w:val="single" w:sz="4" w:space="0" w:color="auto"/>
            </w:tcBorders>
            <w:vAlign w:val="center"/>
          </w:tcPr>
          <w:p w14:paraId="61169854"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tcBorders>
              <w:top w:val="single" w:sz="4" w:space="0" w:color="auto"/>
              <w:left w:val="single" w:sz="4" w:space="0" w:color="auto"/>
              <w:bottom w:val="single" w:sz="4" w:space="0" w:color="auto"/>
              <w:right w:val="single" w:sz="4" w:space="0" w:color="auto"/>
            </w:tcBorders>
            <w:vAlign w:val="center"/>
          </w:tcPr>
          <w:p w14:paraId="3ADEA8F4" w14:textId="77777777" w:rsidR="006070D7" w:rsidRPr="00D75D2E" w:rsidRDefault="006070D7" w:rsidP="003C5554">
            <w:pPr>
              <w:spacing w:after="0" w:line="240" w:lineRule="auto"/>
              <w:rPr>
                <w:rFonts w:ascii="Times New Roman" w:eastAsia="Times New Roman" w:hAnsi="Times New Roman"/>
                <w:bCs/>
                <w:sz w:val="20"/>
                <w:szCs w:val="20"/>
              </w:rPr>
            </w:pP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0B047BB3"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Interaction</w:t>
            </w:r>
          </w:p>
        </w:tc>
        <w:tc>
          <w:tcPr>
            <w:tcW w:w="1180" w:type="pct"/>
            <w:gridSpan w:val="5"/>
            <w:tcBorders>
              <w:top w:val="single" w:sz="4" w:space="0" w:color="auto"/>
              <w:left w:val="single" w:sz="4" w:space="0" w:color="auto"/>
              <w:bottom w:val="single" w:sz="4" w:space="0" w:color="auto"/>
              <w:right w:val="single" w:sz="4" w:space="0" w:color="auto"/>
            </w:tcBorders>
          </w:tcPr>
          <w:p w14:paraId="460A3A73"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Occurrence</w:t>
            </w:r>
          </w:p>
        </w:tc>
        <w:tc>
          <w:tcPr>
            <w:tcW w:w="740" w:type="pct"/>
            <w:gridSpan w:val="2"/>
            <w:tcBorders>
              <w:top w:val="single" w:sz="4" w:space="0" w:color="auto"/>
              <w:left w:val="single" w:sz="4" w:space="0" w:color="auto"/>
              <w:bottom w:val="single" w:sz="4" w:space="0" w:color="auto"/>
              <w:right w:val="single" w:sz="4" w:space="0" w:color="auto"/>
            </w:tcBorders>
          </w:tcPr>
          <w:p w14:paraId="11711F01"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Réversibilité</w:t>
            </w:r>
          </w:p>
        </w:tc>
        <w:tc>
          <w:tcPr>
            <w:tcW w:w="1005" w:type="pct"/>
            <w:gridSpan w:val="2"/>
            <w:tcBorders>
              <w:top w:val="single" w:sz="4" w:space="0" w:color="auto"/>
              <w:left w:val="single" w:sz="4" w:space="0" w:color="auto"/>
              <w:bottom w:val="single" w:sz="4" w:space="0" w:color="auto"/>
              <w:right w:val="single" w:sz="4" w:space="0" w:color="auto"/>
            </w:tcBorders>
          </w:tcPr>
          <w:p w14:paraId="3BBF18F1"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Cumulativité</w:t>
            </w:r>
          </w:p>
        </w:tc>
      </w:tr>
      <w:tr w:rsidR="006070D7" w:rsidRPr="00420C1B" w14:paraId="61BE095B" w14:textId="77777777" w:rsidTr="003C5554">
        <w:trPr>
          <w:trHeight w:val="258"/>
          <w:jc w:val="center"/>
        </w:trPr>
        <w:tc>
          <w:tcPr>
            <w:tcW w:w="815" w:type="pct"/>
            <w:vMerge/>
            <w:tcBorders>
              <w:top w:val="single" w:sz="4" w:space="0" w:color="auto"/>
              <w:left w:val="single" w:sz="4" w:space="0" w:color="auto"/>
              <w:bottom w:val="single" w:sz="4" w:space="0" w:color="auto"/>
              <w:right w:val="single" w:sz="4" w:space="0" w:color="auto"/>
            </w:tcBorders>
            <w:vAlign w:val="center"/>
          </w:tcPr>
          <w:p w14:paraId="28486A5F"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tcBorders>
              <w:top w:val="single" w:sz="4" w:space="0" w:color="auto"/>
              <w:left w:val="single" w:sz="4" w:space="0" w:color="auto"/>
              <w:bottom w:val="single" w:sz="4" w:space="0" w:color="auto"/>
              <w:right w:val="single" w:sz="4" w:space="0" w:color="auto"/>
            </w:tcBorders>
            <w:vAlign w:val="center"/>
          </w:tcPr>
          <w:p w14:paraId="7D257941" w14:textId="77777777" w:rsidR="006070D7" w:rsidRPr="00D75D2E" w:rsidRDefault="006070D7" w:rsidP="003C5554">
            <w:pPr>
              <w:spacing w:after="0" w:line="240" w:lineRule="auto"/>
              <w:rPr>
                <w:rFonts w:ascii="Times New Roman" w:eastAsia="Times New Roman" w:hAnsi="Times New Roman"/>
                <w:bCs/>
                <w:sz w:val="20"/>
                <w:szCs w:val="20"/>
              </w:rPr>
            </w:pP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21A99C0A" w14:textId="77777777" w:rsidR="006070D7" w:rsidRPr="00D75D2E" w:rsidRDefault="006070D7" w:rsidP="003C5554">
            <w:pPr>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Indi</w:t>
            </w:r>
            <w:r w:rsidRPr="00D75D2E">
              <w:rPr>
                <w:rFonts w:ascii="Times New Roman" w:eastAsia="Times New Roman" w:hAnsi="Times New Roman"/>
                <w:bCs/>
                <w:sz w:val="20"/>
                <w:szCs w:val="20"/>
              </w:rPr>
              <w:t>recte</w:t>
            </w:r>
          </w:p>
        </w:tc>
        <w:tc>
          <w:tcPr>
            <w:tcW w:w="1180" w:type="pct"/>
            <w:gridSpan w:val="5"/>
            <w:tcBorders>
              <w:top w:val="single" w:sz="4" w:space="0" w:color="auto"/>
              <w:left w:val="single" w:sz="4" w:space="0" w:color="auto"/>
              <w:bottom w:val="single" w:sz="4" w:space="0" w:color="auto"/>
              <w:right w:val="single" w:sz="4" w:space="0" w:color="auto"/>
            </w:tcBorders>
            <w:vAlign w:val="center"/>
          </w:tcPr>
          <w:p w14:paraId="02D3F4FE"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Certaine</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186A6115"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Réversible</w:t>
            </w:r>
          </w:p>
        </w:tc>
        <w:tc>
          <w:tcPr>
            <w:tcW w:w="1005" w:type="pct"/>
            <w:gridSpan w:val="2"/>
            <w:tcBorders>
              <w:top w:val="single" w:sz="4" w:space="0" w:color="auto"/>
              <w:left w:val="single" w:sz="4" w:space="0" w:color="auto"/>
              <w:bottom w:val="single" w:sz="4" w:space="0" w:color="auto"/>
              <w:right w:val="single" w:sz="4" w:space="0" w:color="auto"/>
            </w:tcBorders>
            <w:vAlign w:val="center"/>
          </w:tcPr>
          <w:p w14:paraId="441B2DEF" w14:textId="77777777" w:rsidR="006070D7" w:rsidRPr="00D75D2E" w:rsidRDefault="006070D7" w:rsidP="003C5554">
            <w:pPr>
              <w:spacing w:after="0" w:line="240" w:lineRule="auto"/>
              <w:rPr>
                <w:rFonts w:ascii="Times New Roman" w:hAnsi="Times New Roman"/>
                <w:sz w:val="20"/>
                <w:szCs w:val="20"/>
              </w:rPr>
            </w:pPr>
            <w:r w:rsidRPr="00D75D2E">
              <w:rPr>
                <w:rFonts w:ascii="Times New Roman" w:hAnsi="Times New Roman"/>
                <w:sz w:val="20"/>
                <w:szCs w:val="20"/>
              </w:rPr>
              <w:t>Non</w:t>
            </w:r>
          </w:p>
        </w:tc>
      </w:tr>
      <w:tr w:rsidR="006070D7" w:rsidRPr="00420C1B" w14:paraId="594F4681" w14:textId="77777777" w:rsidTr="003C5554">
        <w:trPr>
          <w:trHeight w:val="258"/>
          <w:jc w:val="center"/>
        </w:trPr>
        <w:tc>
          <w:tcPr>
            <w:tcW w:w="815" w:type="pct"/>
            <w:vMerge/>
            <w:tcBorders>
              <w:top w:val="single" w:sz="4" w:space="0" w:color="auto"/>
              <w:left w:val="single" w:sz="4" w:space="0" w:color="auto"/>
              <w:bottom w:val="single" w:sz="4" w:space="0" w:color="auto"/>
              <w:right w:val="single" w:sz="4" w:space="0" w:color="auto"/>
            </w:tcBorders>
            <w:vAlign w:val="center"/>
          </w:tcPr>
          <w:p w14:paraId="5279D89A"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tcBorders>
              <w:top w:val="single" w:sz="4" w:space="0" w:color="auto"/>
              <w:left w:val="single" w:sz="4" w:space="0" w:color="auto"/>
              <w:bottom w:val="single" w:sz="4" w:space="0" w:color="auto"/>
              <w:right w:val="single" w:sz="4" w:space="0" w:color="auto"/>
            </w:tcBorders>
            <w:vAlign w:val="center"/>
          </w:tcPr>
          <w:p w14:paraId="27775F0B" w14:textId="77777777" w:rsidR="006070D7" w:rsidRPr="00D75D2E" w:rsidRDefault="006070D7" w:rsidP="003C5554">
            <w:pPr>
              <w:spacing w:after="0" w:line="240" w:lineRule="auto"/>
              <w:rPr>
                <w:rFonts w:ascii="Times New Roman" w:eastAsia="Times New Roman" w:hAnsi="Times New Roman"/>
                <w:bCs/>
                <w:sz w:val="20"/>
                <w:szCs w:val="20"/>
              </w:rPr>
            </w:pPr>
          </w:p>
        </w:tc>
        <w:tc>
          <w:tcPr>
            <w:tcW w:w="776" w:type="pct"/>
            <w:gridSpan w:val="2"/>
            <w:tcBorders>
              <w:top w:val="single" w:sz="4" w:space="0" w:color="auto"/>
              <w:left w:val="single" w:sz="4" w:space="0" w:color="auto"/>
              <w:bottom w:val="single" w:sz="4" w:space="0" w:color="auto"/>
              <w:right w:val="single" w:sz="4" w:space="0" w:color="auto"/>
            </w:tcBorders>
          </w:tcPr>
          <w:p w14:paraId="2985ED55" w14:textId="77777777" w:rsidR="006070D7" w:rsidRPr="00D75D2E" w:rsidRDefault="006070D7" w:rsidP="003C5554">
            <w:pPr>
              <w:autoSpaceDE w:val="0"/>
              <w:autoSpaceDN w:val="0"/>
              <w:adjustRightInd w:val="0"/>
              <w:spacing w:after="0" w:line="240" w:lineRule="auto"/>
              <w:rPr>
                <w:rFonts w:ascii="Times New Roman" w:eastAsia="Times New Roman" w:hAnsi="Times New Roman"/>
                <w:b/>
                <w:bCs/>
                <w:i/>
                <w:sz w:val="20"/>
                <w:szCs w:val="20"/>
              </w:rPr>
            </w:pPr>
            <w:r w:rsidRPr="00D75D2E">
              <w:rPr>
                <w:rFonts w:ascii="Times New Roman" w:eastAsia="Times New Roman" w:hAnsi="Times New Roman"/>
                <w:b/>
                <w:bCs/>
                <w:i/>
                <w:sz w:val="20"/>
                <w:szCs w:val="20"/>
              </w:rPr>
              <w:t xml:space="preserve">Fréquence </w:t>
            </w:r>
          </w:p>
        </w:tc>
        <w:tc>
          <w:tcPr>
            <w:tcW w:w="1180" w:type="pct"/>
            <w:gridSpan w:val="5"/>
            <w:tcBorders>
              <w:top w:val="single" w:sz="4" w:space="0" w:color="auto"/>
              <w:left w:val="single" w:sz="4" w:space="0" w:color="auto"/>
              <w:bottom w:val="single" w:sz="4" w:space="0" w:color="auto"/>
              <w:right w:val="single" w:sz="4" w:space="0" w:color="auto"/>
            </w:tcBorders>
            <w:vAlign w:val="center"/>
          </w:tcPr>
          <w:p w14:paraId="11EEA289" w14:textId="77777777" w:rsidR="006070D7" w:rsidRPr="00D75D2E" w:rsidRDefault="006070D7" w:rsidP="003C5554">
            <w:pPr>
              <w:spacing w:after="0" w:line="240" w:lineRule="auto"/>
              <w:jc w:val="center"/>
              <w:rPr>
                <w:rFonts w:ascii="Times New Roman" w:hAnsi="Times New Roman"/>
                <w:sz w:val="20"/>
                <w:szCs w:val="20"/>
              </w:rPr>
            </w:pPr>
            <w:r w:rsidRPr="00D75D2E">
              <w:rPr>
                <w:rFonts w:ascii="Times New Roman" w:hAnsi="Times New Roman"/>
                <w:b/>
                <w:sz w:val="20"/>
                <w:szCs w:val="20"/>
              </w:rPr>
              <w:t>Valeur</w:t>
            </w:r>
          </w:p>
        </w:tc>
        <w:tc>
          <w:tcPr>
            <w:tcW w:w="740" w:type="pct"/>
            <w:gridSpan w:val="2"/>
            <w:tcBorders>
              <w:top w:val="single" w:sz="4" w:space="0" w:color="auto"/>
              <w:left w:val="single" w:sz="4" w:space="0" w:color="auto"/>
              <w:bottom w:val="single" w:sz="4" w:space="0" w:color="auto"/>
              <w:right w:val="single" w:sz="4" w:space="0" w:color="auto"/>
            </w:tcBorders>
            <w:vAlign w:val="center"/>
          </w:tcPr>
          <w:p w14:paraId="0ADE0E48" w14:textId="77777777" w:rsidR="006070D7" w:rsidRPr="00D75D2E" w:rsidRDefault="006070D7" w:rsidP="003C5554">
            <w:pPr>
              <w:spacing w:after="0" w:line="240" w:lineRule="auto"/>
              <w:jc w:val="center"/>
              <w:rPr>
                <w:rFonts w:ascii="Times New Roman" w:hAnsi="Times New Roman"/>
                <w:sz w:val="20"/>
                <w:szCs w:val="20"/>
              </w:rPr>
            </w:pPr>
          </w:p>
        </w:tc>
        <w:tc>
          <w:tcPr>
            <w:tcW w:w="1005" w:type="pct"/>
            <w:gridSpan w:val="2"/>
            <w:tcBorders>
              <w:top w:val="single" w:sz="4" w:space="0" w:color="auto"/>
              <w:left w:val="single" w:sz="4" w:space="0" w:color="auto"/>
              <w:bottom w:val="single" w:sz="4" w:space="0" w:color="auto"/>
              <w:right w:val="single" w:sz="4" w:space="0" w:color="auto"/>
            </w:tcBorders>
            <w:vAlign w:val="center"/>
          </w:tcPr>
          <w:p w14:paraId="03D68F97" w14:textId="77777777" w:rsidR="006070D7" w:rsidRPr="00D75D2E" w:rsidRDefault="006070D7" w:rsidP="003C5554">
            <w:pPr>
              <w:spacing w:after="0" w:line="240" w:lineRule="auto"/>
              <w:jc w:val="both"/>
              <w:rPr>
                <w:rFonts w:ascii="Times New Roman" w:hAnsi="Times New Roman"/>
                <w:sz w:val="20"/>
                <w:szCs w:val="20"/>
              </w:rPr>
            </w:pPr>
          </w:p>
        </w:tc>
      </w:tr>
      <w:tr w:rsidR="006070D7" w:rsidRPr="00420C1B" w14:paraId="4FCACDD9" w14:textId="77777777" w:rsidTr="003C5554">
        <w:trPr>
          <w:trHeight w:val="258"/>
          <w:jc w:val="center"/>
        </w:trPr>
        <w:tc>
          <w:tcPr>
            <w:tcW w:w="815" w:type="pct"/>
            <w:vMerge/>
            <w:tcBorders>
              <w:top w:val="single" w:sz="4" w:space="0" w:color="auto"/>
              <w:left w:val="single" w:sz="4" w:space="0" w:color="auto"/>
              <w:bottom w:val="single" w:sz="4" w:space="0" w:color="auto"/>
              <w:right w:val="single" w:sz="4" w:space="0" w:color="auto"/>
            </w:tcBorders>
            <w:vAlign w:val="center"/>
          </w:tcPr>
          <w:p w14:paraId="5150BAF9"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tcBorders>
              <w:top w:val="single" w:sz="4" w:space="0" w:color="auto"/>
              <w:left w:val="single" w:sz="4" w:space="0" w:color="auto"/>
              <w:bottom w:val="single" w:sz="4" w:space="0" w:color="auto"/>
              <w:right w:val="single" w:sz="4" w:space="0" w:color="auto"/>
            </w:tcBorders>
            <w:vAlign w:val="center"/>
          </w:tcPr>
          <w:p w14:paraId="2121C2D1" w14:textId="77777777" w:rsidR="006070D7" w:rsidRPr="00D75D2E" w:rsidRDefault="006070D7" w:rsidP="003C5554">
            <w:pPr>
              <w:spacing w:after="0" w:line="240" w:lineRule="auto"/>
              <w:rPr>
                <w:rFonts w:ascii="Times New Roman" w:eastAsia="Times New Roman" w:hAnsi="Times New Roman"/>
                <w:bCs/>
                <w:sz w:val="20"/>
                <w:szCs w:val="20"/>
              </w:rPr>
            </w:pPr>
          </w:p>
        </w:tc>
        <w:tc>
          <w:tcPr>
            <w:tcW w:w="776" w:type="pct"/>
            <w:gridSpan w:val="2"/>
            <w:tcBorders>
              <w:top w:val="single" w:sz="4" w:space="0" w:color="auto"/>
              <w:left w:val="single" w:sz="4" w:space="0" w:color="auto"/>
              <w:bottom w:val="single" w:sz="4" w:space="0" w:color="auto"/>
              <w:right w:val="single" w:sz="4" w:space="0" w:color="auto"/>
            </w:tcBorders>
            <w:vAlign w:val="center"/>
          </w:tcPr>
          <w:p w14:paraId="273B9608" w14:textId="77777777" w:rsidR="006070D7" w:rsidRPr="00D75D2E" w:rsidRDefault="006070D7" w:rsidP="003C5554">
            <w:pPr>
              <w:spacing w:after="0" w:line="240" w:lineRule="auto"/>
              <w:jc w:val="both"/>
              <w:rPr>
                <w:rFonts w:ascii="Times New Roman" w:hAnsi="Times New Roman"/>
                <w:sz w:val="20"/>
                <w:szCs w:val="20"/>
              </w:rPr>
            </w:pPr>
            <w:r w:rsidRPr="00D75D2E">
              <w:rPr>
                <w:rFonts w:ascii="Times New Roman" w:hAnsi="Times New Roman"/>
                <w:sz w:val="20"/>
                <w:szCs w:val="20"/>
              </w:rPr>
              <w:t>Périodique</w:t>
            </w:r>
          </w:p>
        </w:tc>
        <w:tc>
          <w:tcPr>
            <w:tcW w:w="1920" w:type="pct"/>
            <w:gridSpan w:val="7"/>
            <w:tcBorders>
              <w:top w:val="single" w:sz="4" w:space="0" w:color="auto"/>
              <w:left w:val="single" w:sz="4" w:space="0" w:color="auto"/>
              <w:bottom w:val="single" w:sz="4" w:space="0" w:color="auto"/>
              <w:right w:val="single" w:sz="4" w:space="0" w:color="auto"/>
            </w:tcBorders>
            <w:vAlign w:val="center"/>
          </w:tcPr>
          <w:p w14:paraId="33F77D09" w14:textId="77777777" w:rsidR="006070D7" w:rsidRPr="00D75D2E" w:rsidRDefault="006070D7" w:rsidP="003C5554">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Sociale et humaine </w:t>
            </w:r>
            <w:r w:rsidRPr="00D75D2E">
              <w:rPr>
                <w:rFonts w:ascii="Times New Roman" w:eastAsia="Times New Roman" w:hAnsi="Times New Roman"/>
                <w:bCs/>
                <w:sz w:val="20"/>
                <w:szCs w:val="20"/>
              </w:rPr>
              <w:t xml:space="preserve"> </w:t>
            </w:r>
          </w:p>
        </w:tc>
        <w:tc>
          <w:tcPr>
            <w:tcW w:w="1005" w:type="pct"/>
            <w:gridSpan w:val="2"/>
          </w:tcPr>
          <w:p w14:paraId="38848ABA" w14:textId="77777777" w:rsidR="006070D7" w:rsidRPr="00D75D2E" w:rsidRDefault="006070D7" w:rsidP="003C5554">
            <w:pPr>
              <w:spacing w:after="0" w:line="240" w:lineRule="auto"/>
              <w:rPr>
                <w:rFonts w:ascii="Times New Roman" w:hAnsi="Times New Roman"/>
                <w:sz w:val="20"/>
                <w:szCs w:val="20"/>
              </w:rPr>
            </w:pPr>
          </w:p>
        </w:tc>
      </w:tr>
      <w:tr w:rsidR="006070D7" w:rsidRPr="00420C1B" w14:paraId="72B450EF" w14:textId="77777777" w:rsidTr="003C5554">
        <w:trPr>
          <w:trHeight w:val="596"/>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14:paraId="3247D43A" w14:textId="77777777" w:rsidR="006070D7" w:rsidRPr="00D75D2E" w:rsidRDefault="006070D7" w:rsidP="003C5554">
            <w:pPr>
              <w:spacing w:after="0" w:line="240" w:lineRule="auto"/>
              <w:rPr>
                <w:rFonts w:ascii="Times New Roman" w:hAnsi="Times New Roman"/>
                <w:b/>
                <w:sz w:val="20"/>
                <w:szCs w:val="20"/>
              </w:rPr>
            </w:pPr>
          </w:p>
        </w:tc>
        <w:tc>
          <w:tcPr>
            <w:tcW w:w="484" w:type="pct"/>
            <w:gridSpan w:val="2"/>
            <w:tcBorders>
              <w:top w:val="single" w:sz="4" w:space="0" w:color="auto"/>
              <w:left w:val="single" w:sz="4" w:space="0" w:color="auto"/>
              <w:bottom w:val="single" w:sz="4" w:space="0" w:color="auto"/>
              <w:right w:val="single" w:sz="4" w:space="0" w:color="auto"/>
            </w:tcBorders>
            <w:vAlign w:val="center"/>
            <w:hideMark/>
          </w:tcPr>
          <w:p w14:paraId="08A5791C" w14:textId="77777777" w:rsidR="006070D7" w:rsidRPr="00D75D2E" w:rsidRDefault="006070D7" w:rsidP="003C5554">
            <w:pPr>
              <w:spacing w:after="0" w:line="240" w:lineRule="auto"/>
              <w:rPr>
                <w:rFonts w:ascii="Times New Roman" w:eastAsia="Times New Roman" w:hAnsi="Times New Roman"/>
                <w:b/>
                <w:sz w:val="20"/>
                <w:szCs w:val="20"/>
                <w:lang w:eastAsia="fr-FR"/>
              </w:rPr>
            </w:pPr>
            <w:r w:rsidRPr="00D75D2E">
              <w:rPr>
                <w:rFonts w:ascii="Times New Roman" w:hAnsi="Times New Roman"/>
                <w:b/>
                <w:sz w:val="20"/>
                <w:szCs w:val="20"/>
              </w:rPr>
              <w:t>Analyse</w:t>
            </w:r>
          </w:p>
        </w:tc>
        <w:tc>
          <w:tcPr>
            <w:tcW w:w="3701" w:type="pct"/>
            <w:gridSpan w:val="11"/>
            <w:tcBorders>
              <w:top w:val="single" w:sz="4" w:space="0" w:color="auto"/>
              <w:left w:val="single" w:sz="4" w:space="0" w:color="auto"/>
              <w:bottom w:val="single" w:sz="4" w:space="0" w:color="auto"/>
              <w:right w:val="single" w:sz="4" w:space="0" w:color="auto"/>
            </w:tcBorders>
            <w:hideMark/>
          </w:tcPr>
          <w:p w14:paraId="4F23D7F3" w14:textId="77777777" w:rsidR="006070D7" w:rsidRPr="0053634F" w:rsidRDefault="006070D7" w:rsidP="003C5554">
            <w:pPr>
              <w:spacing w:before="60" w:after="0" w:line="240" w:lineRule="auto"/>
              <w:jc w:val="both"/>
              <w:rPr>
                <w:rFonts w:ascii="Times New Roman" w:hAnsi="Times New Roman"/>
                <w:sz w:val="20"/>
                <w:szCs w:val="20"/>
                <w:lang w:val="fr-CD"/>
              </w:rPr>
            </w:pPr>
            <w:r w:rsidRPr="0053634F">
              <w:rPr>
                <w:rFonts w:ascii="Times New Roman" w:hAnsi="Times New Roman"/>
                <w:sz w:val="20"/>
                <w:szCs w:val="20"/>
                <w:lang w:val="fr-CD"/>
              </w:rPr>
              <w:t xml:space="preserve">Le personnel du chantier peuvent subir des fortes chaleurs pendant le déroulement des travaux et lors de l’exploitation, les infrastructures électriques aménager dans le cadre du projet pourront être vulnérables aux catastrophes naturels causés par le climat, notamment : les fortes pluies entrainant des inondations et les érosions hydriques. </w:t>
            </w:r>
          </w:p>
          <w:p w14:paraId="2D2068A2" w14:textId="77777777" w:rsidR="006070D7" w:rsidRPr="0053634F" w:rsidRDefault="006070D7" w:rsidP="003C5554">
            <w:pPr>
              <w:spacing w:before="60" w:after="0" w:line="240" w:lineRule="auto"/>
              <w:jc w:val="both"/>
              <w:rPr>
                <w:rFonts w:ascii="Times New Roman" w:hAnsi="Times New Roman"/>
                <w:sz w:val="20"/>
                <w:szCs w:val="20"/>
                <w:lang w:val="fr-CD"/>
              </w:rPr>
            </w:pPr>
            <w:r w:rsidRPr="0053634F">
              <w:rPr>
                <w:rFonts w:ascii="Times New Roman" w:hAnsi="Times New Roman"/>
                <w:sz w:val="20"/>
                <w:szCs w:val="20"/>
                <w:lang w:val="fr-CD"/>
              </w:rPr>
              <w:t>Les ruissellements des eaux pendant les pluies peuvent causées des interruptions de fournitures électriques et l’électrisation voire électrocution des communautés.</w:t>
            </w:r>
          </w:p>
          <w:p w14:paraId="4F5AE325" w14:textId="77777777" w:rsidR="006070D7" w:rsidRPr="0053634F" w:rsidRDefault="006070D7" w:rsidP="003C5554">
            <w:pPr>
              <w:spacing w:before="60" w:after="0" w:line="240" w:lineRule="auto"/>
              <w:jc w:val="both"/>
              <w:rPr>
                <w:rFonts w:ascii="Times New Roman" w:hAnsi="Times New Roman"/>
                <w:sz w:val="20"/>
                <w:szCs w:val="20"/>
                <w:lang w:val="fr-CD"/>
              </w:rPr>
            </w:pPr>
            <w:r w:rsidRPr="0053634F">
              <w:rPr>
                <w:rFonts w:ascii="Times New Roman" w:hAnsi="Times New Roman"/>
                <w:sz w:val="20"/>
                <w:szCs w:val="20"/>
                <w:lang w:val="fr-CD"/>
              </w:rPr>
              <w:t xml:space="preserve">Un déclenchement brusque d’une érosion hydrique ou un fort écoulement d’eau pendant l’inondation causée par les débordements de cours d’eau pendant les pluies diluviennes ou une montée des eaux de ruissellement pluviales peuvent faire écouler un poteau électrique et percuter une personne aux voisinages, ou endommager les biens de la communauté. </w:t>
            </w:r>
          </w:p>
          <w:p w14:paraId="6CC8E98A" w14:textId="77777777" w:rsidR="006070D7" w:rsidRPr="0053634F" w:rsidRDefault="006070D7" w:rsidP="003C5554">
            <w:pPr>
              <w:spacing w:before="60" w:after="0" w:line="240" w:lineRule="auto"/>
              <w:jc w:val="both"/>
              <w:rPr>
                <w:rFonts w:ascii="Times New Roman" w:hAnsi="Times New Roman"/>
                <w:sz w:val="20"/>
                <w:szCs w:val="20"/>
                <w:lang w:val="fr-CD"/>
              </w:rPr>
            </w:pPr>
            <w:r w:rsidRPr="0053634F">
              <w:rPr>
                <w:rFonts w:ascii="Times New Roman" w:hAnsi="Times New Roman"/>
                <w:sz w:val="20"/>
                <w:szCs w:val="20"/>
                <w:lang w:val="fr-CD"/>
              </w:rPr>
              <w:t>D’autres scénarios plus graves peuvent se produire au cours d’une pluie causant l’inondation, notamment, un poteau électrique MT à câbles  nu peut tomber sur une maison et entraîner des dommages matériels et humains ou percuter un arbre ou encore tomber par terre et électriser les membres de la communauté riveraine se trouvant dans la zone du projet.</w:t>
            </w:r>
          </w:p>
        </w:tc>
      </w:tr>
      <w:tr w:rsidR="006070D7" w:rsidRPr="00420C1B" w14:paraId="228FBE7C" w14:textId="77777777" w:rsidTr="003C5554">
        <w:trPr>
          <w:trHeight w:val="125"/>
          <w:jc w:val="center"/>
        </w:trPr>
        <w:tc>
          <w:tcPr>
            <w:tcW w:w="1299" w:type="pct"/>
            <w:gridSpan w:val="3"/>
            <w:tcBorders>
              <w:top w:val="single" w:sz="4" w:space="0" w:color="auto"/>
              <w:left w:val="single" w:sz="4" w:space="0" w:color="auto"/>
              <w:bottom w:val="single" w:sz="4" w:space="0" w:color="auto"/>
              <w:right w:val="single" w:sz="4" w:space="0" w:color="auto"/>
            </w:tcBorders>
            <w:hideMark/>
          </w:tcPr>
          <w:p w14:paraId="0A91E022" w14:textId="77777777" w:rsidR="006070D7" w:rsidRPr="0053634F" w:rsidRDefault="006070D7" w:rsidP="003C5554">
            <w:pPr>
              <w:spacing w:after="0" w:line="240" w:lineRule="auto"/>
              <w:rPr>
                <w:rFonts w:ascii="Times New Roman" w:eastAsia="Times New Roman" w:hAnsi="Times New Roman"/>
                <w:sz w:val="20"/>
                <w:szCs w:val="20"/>
                <w:lang w:val="fr-CD" w:eastAsia="fr-FR"/>
              </w:rPr>
            </w:pPr>
            <w:r w:rsidRPr="0053634F">
              <w:rPr>
                <w:rFonts w:ascii="Times New Roman" w:hAnsi="Times New Roman"/>
                <w:b/>
                <w:sz w:val="20"/>
                <w:szCs w:val="20"/>
                <w:lang w:val="fr-CD"/>
              </w:rPr>
              <w:t>Titre de la mesure d’atténuation</w:t>
            </w:r>
            <w:r w:rsidRPr="0053634F">
              <w:rPr>
                <w:rFonts w:ascii="Times New Roman" w:hAnsi="Times New Roman"/>
                <w:sz w:val="20"/>
                <w:szCs w:val="20"/>
                <w:lang w:val="fr-CD"/>
              </w:rPr>
              <w:t xml:space="preserve"> : </w:t>
            </w:r>
          </w:p>
        </w:tc>
        <w:tc>
          <w:tcPr>
            <w:tcW w:w="3701" w:type="pct"/>
            <w:gridSpan w:val="11"/>
            <w:tcBorders>
              <w:top w:val="single" w:sz="4" w:space="0" w:color="auto"/>
              <w:left w:val="single" w:sz="4" w:space="0" w:color="auto"/>
              <w:bottom w:val="single" w:sz="4" w:space="0" w:color="auto"/>
              <w:right w:val="single" w:sz="4" w:space="0" w:color="auto"/>
            </w:tcBorders>
          </w:tcPr>
          <w:p w14:paraId="19501CD8"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 xml:space="preserve">Maintenir la végétation basse aux pieds des poteaux afin de faciliter l’infiltration des eaux de ruissellement </w:t>
            </w:r>
          </w:p>
          <w:p w14:paraId="316F4F8E"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Eviter de maintenir le sol à nu plusieurs mois, limitant ainsi son exposition au vent et à la pluie ;</w:t>
            </w:r>
          </w:p>
          <w:p w14:paraId="164BC032"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Réaliser des relevés topographiques détaillés avant le début des travaux dans les différents sites ;</w:t>
            </w:r>
          </w:p>
          <w:p w14:paraId="73190E2F"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Mettre en place un plan de restauration et stabilisation des pentes en vue de minimiser les risques de ruissellements incontrôlés des eaux pluviales ;</w:t>
            </w:r>
          </w:p>
          <w:p w14:paraId="234220FB"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Adapter la conception des ouvrages à la morphologie du terrain et aux aléas climatiques</w:t>
            </w:r>
          </w:p>
          <w:p w14:paraId="3AF7F30F"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Dimensionner les réseaux en optant pour des solutions qui s’adaptent aux conditions climatiques du milieu et à principales catastrophes comme les inondations et les érosions hydriques ;</w:t>
            </w:r>
          </w:p>
          <w:p w14:paraId="553450ED"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Opter pour les cabines en haut de poteaux lorsque les sites es vulnérables aux inondations saisonnières ;</w:t>
            </w:r>
          </w:p>
          <w:p w14:paraId="53118311"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Privilégier le réseau électrique aérien afin de prévenir les risques d’électrisation ou d’électrocution ;</w:t>
            </w:r>
          </w:p>
          <w:p w14:paraId="61DDFD63"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Prévoir des dispositifs antifoudres le long du réseau afin de limiter les dommages des infrastructures privées et les atteintes physiques de la communauté de la zone du projet</w:t>
            </w:r>
          </w:p>
          <w:p w14:paraId="1C4EB37B"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Limiter l’espace d’intervention minimum requis par la règle d’usage et les exigences de sécurité ;</w:t>
            </w:r>
          </w:p>
          <w:p w14:paraId="12483A79"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Stabiliser le sol aux pieds de poteaux avec du gazon (</w:t>
            </w:r>
            <w:r w:rsidRPr="0053634F">
              <w:rPr>
                <w:rFonts w:ascii="Times New Roman" w:eastAsia="Times New Roman" w:hAnsi="Times New Roman"/>
                <w:i/>
                <w:sz w:val="20"/>
                <w:szCs w:val="20"/>
                <w:lang w:val="fr-CD" w:eastAsia="fr-FR"/>
              </w:rPr>
              <w:t>Paspalum sp.</w:t>
            </w:r>
            <w:r w:rsidRPr="0053634F">
              <w:rPr>
                <w:rFonts w:ascii="Times New Roman" w:eastAsia="Times New Roman" w:hAnsi="Times New Roman"/>
                <w:sz w:val="20"/>
                <w:szCs w:val="20"/>
                <w:lang w:val="fr-CD" w:eastAsia="fr-FR"/>
              </w:rPr>
              <w:t>) et vétiver ;</w:t>
            </w:r>
          </w:p>
          <w:p w14:paraId="77F7DDB0"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Recouvrir de végétation adaptée toutes les surfaces ayant atteint leur profil définitif afin de résister au choc érosif des gouttes de pluies et au ruissellement</w:t>
            </w:r>
          </w:p>
          <w:p w14:paraId="7B00AFCE"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Protéger rapidement les zones perturbées et anticiper toute interruption des travaux</w:t>
            </w:r>
          </w:p>
          <w:p w14:paraId="6465703D" w14:textId="77777777" w:rsidR="006070D7" w:rsidRPr="0053634F" w:rsidRDefault="006070D7" w:rsidP="006070D7">
            <w:pPr>
              <w:numPr>
                <w:ilvl w:val="0"/>
                <w:numId w:val="3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Contrôler la concentration des eaux sur le chantier quand celle-ci devient inévitable et briser l’énergie des eaux concentrées.</w:t>
            </w:r>
          </w:p>
        </w:tc>
      </w:tr>
      <w:tr w:rsidR="006070D7" w:rsidRPr="00420C1B" w14:paraId="11F75E28" w14:textId="77777777" w:rsidTr="003C5554">
        <w:trPr>
          <w:trHeight w:val="514"/>
          <w:jc w:val="center"/>
        </w:trPr>
        <w:tc>
          <w:tcPr>
            <w:tcW w:w="1299" w:type="pct"/>
            <w:gridSpan w:val="3"/>
            <w:tcBorders>
              <w:top w:val="single" w:sz="4" w:space="0" w:color="auto"/>
              <w:left w:val="single" w:sz="4" w:space="0" w:color="auto"/>
              <w:bottom w:val="single" w:sz="4" w:space="0" w:color="auto"/>
              <w:right w:val="single" w:sz="4" w:space="0" w:color="auto"/>
            </w:tcBorders>
            <w:hideMark/>
          </w:tcPr>
          <w:p w14:paraId="7F8B6B37" w14:textId="77777777" w:rsidR="006070D7" w:rsidRPr="0053634F" w:rsidRDefault="006070D7" w:rsidP="003C5554">
            <w:pPr>
              <w:spacing w:after="0" w:line="240" w:lineRule="auto"/>
              <w:rPr>
                <w:rFonts w:ascii="Times New Roman" w:hAnsi="Times New Roman"/>
                <w:sz w:val="20"/>
                <w:szCs w:val="20"/>
                <w:lang w:val="fr-CD"/>
              </w:rPr>
            </w:pPr>
            <w:r w:rsidRPr="0053634F">
              <w:rPr>
                <w:rFonts w:ascii="Times New Roman" w:hAnsi="Times New Roman"/>
                <w:b/>
                <w:sz w:val="20"/>
                <w:szCs w:val="20"/>
                <w:lang w:val="fr-CD"/>
              </w:rPr>
              <w:t>Objectif de la mesure d’atténuation</w:t>
            </w:r>
            <w:r w:rsidRPr="0053634F">
              <w:rPr>
                <w:rFonts w:ascii="Times New Roman" w:hAnsi="Times New Roman"/>
                <w:sz w:val="20"/>
                <w:szCs w:val="20"/>
                <w:lang w:val="fr-CD"/>
              </w:rPr>
              <w:t xml:space="preserve"> : </w:t>
            </w:r>
          </w:p>
          <w:p w14:paraId="229D2AD2" w14:textId="77777777" w:rsidR="006070D7" w:rsidRPr="0053634F" w:rsidRDefault="006070D7" w:rsidP="006070D7">
            <w:pPr>
              <w:numPr>
                <w:ilvl w:val="0"/>
                <w:numId w:val="32"/>
              </w:numPr>
              <w:autoSpaceDE w:val="0"/>
              <w:autoSpaceDN w:val="0"/>
              <w:adjustRightInd w:val="0"/>
              <w:spacing w:after="0" w:line="240" w:lineRule="auto"/>
              <w:ind w:left="287"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Limiter les effets des catastrophes naturels sur les infrastructures électriques et sur la communauté</w:t>
            </w:r>
          </w:p>
        </w:tc>
        <w:tc>
          <w:tcPr>
            <w:tcW w:w="3701" w:type="pct"/>
            <w:gridSpan w:val="11"/>
            <w:tcBorders>
              <w:top w:val="single" w:sz="4" w:space="0" w:color="auto"/>
              <w:left w:val="single" w:sz="4" w:space="0" w:color="auto"/>
              <w:bottom w:val="single" w:sz="4" w:space="0" w:color="auto"/>
              <w:right w:val="single" w:sz="4" w:space="0" w:color="auto"/>
            </w:tcBorders>
            <w:hideMark/>
          </w:tcPr>
          <w:p w14:paraId="02808E4A" w14:textId="77777777" w:rsidR="006070D7" w:rsidRDefault="006070D7" w:rsidP="003C5554">
            <w:pPr>
              <w:autoSpaceDE w:val="0"/>
              <w:autoSpaceDN w:val="0"/>
              <w:adjustRightInd w:val="0"/>
              <w:spacing w:after="0" w:line="240" w:lineRule="auto"/>
              <w:rPr>
                <w:rFonts w:ascii="Times New Roman" w:hAnsi="Times New Roman"/>
                <w:sz w:val="20"/>
                <w:szCs w:val="20"/>
              </w:rPr>
            </w:pPr>
            <w:r w:rsidRPr="00D75D2E">
              <w:rPr>
                <w:rFonts w:ascii="Times New Roman" w:hAnsi="Times New Roman"/>
                <w:b/>
                <w:sz w:val="20"/>
                <w:szCs w:val="20"/>
                <w:u w:val="single"/>
              </w:rPr>
              <w:t>Description</w:t>
            </w:r>
            <w:r w:rsidRPr="00D75D2E">
              <w:rPr>
                <w:rFonts w:ascii="Times New Roman" w:hAnsi="Times New Roman"/>
                <w:sz w:val="20"/>
                <w:szCs w:val="20"/>
              </w:rPr>
              <w:t xml:space="preserve"> : </w:t>
            </w:r>
          </w:p>
          <w:p w14:paraId="18DF51C0" w14:textId="77777777" w:rsidR="006070D7" w:rsidRPr="0053634F" w:rsidRDefault="006070D7" w:rsidP="006070D7">
            <w:pPr>
              <w:numPr>
                <w:ilvl w:val="0"/>
                <w:numId w:val="32"/>
              </w:numPr>
              <w:autoSpaceDE w:val="0"/>
              <w:autoSpaceDN w:val="0"/>
              <w:adjustRightInd w:val="0"/>
              <w:spacing w:after="0" w:line="240" w:lineRule="auto"/>
              <w:ind w:left="287"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Mettre en place des mesures spécifiques liés à la conception des équipements et des installations électriques afin de résister aux catastrophes naturels (inondations, fortes chaleurs et érosions de sols)</w:t>
            </w:r>
          </w:p>
          <w:p w14:paraId="4A4FF450" w14:textId="77777777" w:rsidR="006070D7" w:rsidRPr="0053634F" w:rsidRDefault="006070D7" w:rsidP="006070D7">
            <w:pPr>
              <w:numPr>
                <w:ilvl w:val="0"/>
                <w:numId w:val="32"/>
              </w:numPr>
              <w:autoSpaceDE w:val="0"/>
              <w:autoSpaceDN w:val="0"/>
              <w:adjustRightInd w:val="0"/>
              <w:spacing w:after="0" w:line="240" w:lineRule="auto"/>
              <w:ind w:left="287"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Stabiliser les sols et assurer un bon choix des sites d’installations des poteaux MT/BT</w:t>
            </w:r>
          </w:p>
          <w:p w14:paraId="785C8F6E" w14:textId="77777777" w:rsidR="006070D7" w:rsidRPr="0053634F" w:rsidRDefault="006070D7" w:rsidP="006070D7">
            <w:pPr>
              <w:numPr>
                <w:ilvl w:val="0"/>
                <w:numId w:val="32"/>
              </w:numPr>
              <w:autoSpaceDE w:val="0"/>
              <w:autoSpaceDN w:val="0"/>
              <w:adjustRightInd w:val="0"/>
              <w:spacing w:after="0" w:line="240" w:lineRule="auto"/>
              <w:ind w:left="287" w:hanging="282"/>
              <w:contextualSpacing/>
              <w:jc w:val="both"/>
              <w:rPr>
                <w:rFonts w:ascii="Times New Roman" w:eastAsia="Times New Roman" w:hAnsi="Times New Roman"/>
                <w:sz w:val="20"/>
                <w:szCs w:val="20"/>
                <w:lang w:val="fr-CD" w:eastAsia="fr-FR"/>
              </w:rPr>
            </w:pPr>
            <w:r w:rsidRPr="0053634F">
              <w:rPr>
                <w:rFonts w:ascii="Times New Roman" w:eastAsia="Times New Roman" w:hAnsi="Times New Roman"/>
                <w:sz w:val="20"/>
                <w:szCs w:val="20"/>
                <w:lang w:val="fr-CD" w:eastAsia="fr-FR"/>
              </w:rPr>
              <w:t>Favoriser les lignes électriques MT avec câble torsadé afin de prévenir les risques liés aux aléas climatiques.</w:t>
            </w:r>
          </w:p>
        </w:tc>
      </w:tr>
      <w:tr w:rsidR="006070D7" w:rsidRPr="00420C1B" w14:paraId="62B0FD39" w14:textId="77777777" w:rsidTr="003C5554">
        <w:trPr>
          <w:trHeight w:val="250"/>
          <w:jc w:val="center"/>
        </w:trPr>
        <w:tc>
          <w:tcPr>
            <w:tcW w:w="1299" w:type="pct"/>
            <w:gridSpan w:val="3"/>
            <w:tcBorders>
              <w:top w:val="single" w:sz="4" w:space="0" w:color="auto"/>
              <w:left w:val="single" w:sz="4" w:space="0" w:color="auto"/>
              <w:bottom w:val="single" w:sz="4" w:space="0" w:color="auto"/>
              <w:right w:val="single" w:sz="4" w:space="0" w:color="auto"/>
            </w:tcBorders>
            <w:hideMark/>
          </w:tcPr>
          <w:p w14:paraId="59E3ED49" w14:textId="77777777" w:rsidR="006070D7" w:rsidRPr="00D75D2E" w:rsidRDefault="006070D7" w:rsidP="003C5554">
            <w:pPr>
              <w:spacing w:after="0" w:line="240" w:lineRule="auto"/>
              <w:rPr>
                <w:rFonts w:ascii="Times New Roman" w:hAnsi="Times New Roman"/>
                <w:b/>
                <w:sz w:val="20"/>
                <w:szCs w:val="20"/>
              </w:rPr>
            </w:pPr>
            <w:r w:rsidRPr="00D75D2E">
              <w:rPr>
                <w:rFonts w:ascii="Times New Roman" w:hAnsi="Times New Roman"/>
                <w:b/>
                <w:sz w:val="20"/>
                <w:szCs w:val="20"/>
              </w:rPr>
              <w:t>Impact résiduel</w:t>
            </w:r>
          </w:p>
        </w:tc>
        <w:tc>
          <w:tcPr>
            <w:tcW w:w="3503" w:type="pct"/>
            <w:gridSpan w:val="10"/>
            <w:tcBorders>
              <w:top w:val="single" w:sz="4" w:space="0" w:color="auto"/>
              <w:left w:val="single" w:sz="4" w:space="0" w:color="auto"/>
              <w:bottom w:val="single" w:sz="4" w:space="0" w:color="auto"/>
              <w:right w:val="single" w:sz="4" w:space="0" w:color="auto"/>
            </w:tcBorders>
            <w:hideMark/>
          </w:tcPr>
          <w:p w14:paraId="1812F1AC"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r w:rsidRPr="00D75D2E">
              <w:rPr>
                <w:rFonts w:ascii="Times New Roman" w:hAnsi="Times New Roman"/>
                <w:sz w:val="20"/>
                <w:szCs w:val="20"/>
                <w:u w:val="single"/>
              </w:rPr>
              <w:t xml:space="preserve">Mineur </w:t>
            </w:r>
          </w:p>
        </w:tc>
        <w:tc>
          <w:tcPr>
            <w:tcW w:w="198" w:type="pct"/>
            <w:tcBorders>
              <w:top w:val="single" w:sz="4" w:space="0" w:color="auto"/>
              <w:left w:val="single" w:sz="4" w:space="0" w:color="auto"/>
              <w:bottom w:val="single" w:sz="4" w:space="0" w:color="auto"/>
              <w:right w:val="single" w:sz="4" w:space="0" w:color="auto"/>
            </w:tcBorders>
          </w:tcPr>
          <w:p w14:paraId="29CE1965" w14:textId="77777777" w:rsidR="006070D7" w:rsidRPr="00D75D2E" w:rsidRDefault="006070D7" w:rsidP="003C5554">
            <w:pPr>
              <w:autoSpaceDE w:val="0"/>
              <w:autoSpaceDN w:val="0"/>
              <w:adjustRightInd w:val="0"/>
              <w:spacing w:after="0" w:line="240" w:lineRule="auto"/>
              <w:rPr>
                <w:rFonts w:ascii="Times New Roman" w:hAnsi="Times New Roman"/>
                <w:sz w:val="20"/>
                <w:szCs w:val="20"/>
                <w:u w:val="single"/>
              </w:rPr>
            </w:pPr>
          </w:p>
        </w:tc>
      </w:tr>
      <w:tr w:rsidR="006070D7" w:rsidRPr="00420C1B" w14:paraId="0C4C5AF5" w14:textId="77777777" w:rsidTr="003C5554">
        <w:trPr>
          <w:trHeight w:val="545"/>
          <w:jc w:val="center"/>
        </w:trPr>
        <w:tc>
          <w:tcPr>
            <w:tcW w:w="1299" w:type="pct"/>
            <w:gridSpan w:val="3"/>
            <w:tcBorders>
              <w:top w:val="single" w:sz="4" w:space="0" w:color="auto"/>
              <w:left w:val="single" w:sz="4" w:space="0" w:color="auto"/>
              <w:bottom w:val="single" w:sz="4" w:space="0" w:color="auto"/>
              <w:right w:val="single" w:sz="4" w:space="0" w:color="auto"/>
            </w:tcBorders>
            <w:hideMark/>
          </w:tcPr>
          <w:p w14:paraId="3AEF6320"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surveillance</w:t>
            </w:r>
          </w:p>
          <w:p w14:paraId="0CBAA04A" w14:textId="77777777" w:rsidR="006070D7" w:rsidRPr="00D75D2E"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D75D2E">
              <w:rPr>
                <w:rFonts w:ascii="Times New Roman" w:hAnsi="Times New Roman"/>
                <w:sz w:val="20"/>
                <w:szCs w:val="20"/>
              </w:rPr>
              <w:t>Mission de Contrôle (MdC) ;</w:t>
            </w:r>
          </w:p>
          <w:p w14:paraId="6EA3EC4E" w14:textId="77777777" w:rsidR="006070D7" w:rsidRPr="0053634F" w:rsidRDefault="006070D7" w:rsidP="006070D7">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lang w:val="fr-CD"/>
              </w:rPr>
            </w:pPr>
            <w:r w:rsidRPr="0053634F">
              <w:rPr>
                <w:rFonts w:ascii="Times New Roman" w:hAnsi="Times New Roman"/>
                <w:sz w:val="20"/>
                <w:szCs w:val="20"/>
                <w:lang w:val="fr-CD"/>
              </w:rPr>
              <w:t>Agence Congolaise de l’Environnement (ACE) </w:t>
            </w:r>
          </w:p>
        </w:tc>
        <w:tc>
          <w:tcPr>
            <w:tcW w:w="2696" w:type="pct"/>
            <w:gridSpan w:val="9"/>
            <w:tcBorders>
              <w:top w:val="single" w:sz="4" w:space="0" w:color="auto"/>
              <w:left w:val="single" w:sz="4" w:space="0" w:color="auto"/>
              <w:bottom w:val="single" w:sz="4" w:space="0" w:color="auto"/>
              <w:right w:val="single" w:sz="4" w:space="0" w:color="auto"/>
            </w:tcBorders>
            <w:hideMark/>
          </w:tcPr>
          <w:p w14:paraId="21AD59BC"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Acteurs de suivi</w:t>
            </w:r>
          </w:p>
          <w:p w14:paraId="12583C45" w14:textId="77777777" w:rsidR="006070D7" w:rsidRPr="0053634F"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53634F">
              <w:rPr>
                <w:rFonts w:ascii="Times New Roman" w:hAnsi="Times New Roman"/>
                <w:sz w:val="20"/>
                <w:szCs w:val="20"/>
                <w:lang w:val="fr-CD"/>
              </w:rPr>
              <w:t>Cellule Provinciale de l’Environnement (CPE) ;</w:t>
            </w:r>
          </w:p>
          <w:p w14:paraId="5E0CD4AB" w14:textId="77777777" w:rsidR="006070D7" w:rsidRPr="0053634F" w:rsidRDefault="006070D7" w:rsidP="006070D7">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lang w:val="fr-CD"/>
              </w:rPr>
            </w:pPr>
            <w:r w:rsidRPr="0053634F">
              <w:rPr>
                <w:rFonts w:ascii="Times New Roman" w:hAnsi="Times New Roman"/>
                <w:sz w:val="20"/>
                <w:szCs w:val="20"/>
                <w:lang w:val="fr-CD"/>
              </w:rPr>
              <w:t>Sous-Cellule environnementale et sociale d’UCM (SCES/UCM)</w:t>
            </w:r>
          </w:p>
          <w:p w14:paraId="2D478767" w14:textId="77777777" w:rsidR="006070D7" w:rsidRPr="0053634F" w:rsidRDefault="006070D7" w:rsidP="006070D7">
            <w:pPr>
              <w:numPr>
                <w:ilvl w:val="0"/>
                <w:numId w:val="32"/>
              </w:numPr>
              <w:autoSpaceDE w:val="0"/>
              <w:autoSpaceDN w:val="0"/>
              <w:adjustRightInd w:val="0"/>
              <w:spacing w:after="0" w:line="240" w:lineRule="auto"/>
              <w:ind w:left="161" w:hanging="161"/>
              <w:contextualSpacing/>
              <w:jc w:val="both"/>
              <w:rPr>
                <w:rFonts w:ascii="Times New Roman" w:hAnsi="Times New Roman"/>
                <w:sz w:val="20"/>
                <w:szCs w:val="20"/>
                <w:lang w:val="fr-CD"/>
              </w:rPr>
            </w:pPr>
            <w:r w:rsidRPr="0053634F">
              <w:rPr>
                <w:rFonts w:ascii="Times New Roman" w:hAnsi="Times New Roman"/>
                <w:sz w:val="20"/>
                <w:szCs w:val="20"/>
                <w:lang w:val="fr-CD"/>
              </w:rPr>
              <w:t xml:space="preserve">Service environnement des communes concernées </w:t>
            </w:r>
          </w:p>
        </w:tc>
        <w:tc>
          <w:tcPr>
            <w:tcW w:w="1005" w:type="pct"/>
            <w:gridSpan w:val="2"/>
            <w:tcBorders>
              <w:top w:val="single" w:sz="4" w:space="0" w:color="auto"/>
              <w:left w:val="single" w:sz="4" w:space="0" w:color="auto"/>
              <w:bottom w:val="single" w:sz="4" w:space="0" w:color="auto"/>
              <w:right w:val="single" w:sz="4" w:space="0" w:color="auto"/>
            </w:tcBorders>
            <w:hideMark/>
          </w:tcPr>
          <w:p w14:paraId="2C2247BF"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Indicateurs de suivi</w:t>
            </w:r>
          </w:p>
          <w:p w14:paraId="3A272F3F" w14:textId="65D76E90" w:rsidR="006070D7" w:rsidRPr="0053634F" w:rsidRDefault="00DF7D56" w:rsidP="00215867">
            <w:pPr>
              <w:numPr>
                <w:ilvl w:val="0"/>
                <w:numId w:val="32"/>
              </w:numPr>
              <w:autoSpaceDE w:val="0"/>
              <w:autoSpaceDN w:val="0"/>
              <w:adjustRightInd w:val="0"/>
              <w:spacing w:after="0" w:line="240" w:lineRule="auto"/>
              <w:ind w:left="166" w:hanging="166"/>
              <w:contextualSpacing/>
              <w:jc w:val="both"/>
              <w:rPr>
                <w:rFonts w:ascii="Times New Roman" w:hAnsi="Times New Roman"/>
                <w:sz w:val="20"/>
                <w:szCs w:val="20"/>
                <w:lang w:val="fr-CD"/>
              </w:rPr>
            </w:pPr>
            <w:r>
              <w:rPr>
                <w:rFonts w:ascii="Times New Roman" w:hAnsi="Times New Roman"/>
                <w:sz w:val="20"/>
                <w:szCs w:val="20"/>
                <w:lang w:val="fr-CD"/>
              </w:rPr>
              <w:t>% des installations résistant aux aléas naturels</w:t>
            </w:r>
          </w:p>
        </w:tc>
      </w:tr>
      <w:tr w:rsidR="006070D7" w:rsidRPr="00420C1B" w14:paraId="63CC9DF5" w14:textId="77777777" w:rsidTr="003C5554">
        <w:trPr>
          <w:trHeight w:val="164"/>
          <w:jc w:val="center"/>
        </w:trPr>
        <w:tc>
          <w:tcPr>
            <w:tcW w:w="815" w:type="pct"/>
            <w:tcBorders>
              <w:top w:val="single" w:sz="4" w:space="0" w:color="auto"/>
              <w:left w:val="single" w:sz="4" w:space="0" w:color="auto"/>
              <w:bottom w:val="single" w:sz="4" w:space="0" w:color="auto"/>
              <w:right w:val="single" w:sz="4" w:space="0" w:color="auto"/>
            </w:tcBorders>
            <w:hideMark/>
          </w:tcPr>
          <w:p w14:paraId="684A1F06" w14:textId="77777777" w:rsidR="006070D7" w:rsidRPr="00D75D2E" w:rsidRDefault="006070D7" w:rsidP="003C5554">
            <w:pPr>
              <w:autoSpaceDE w:val="0"/>
              <w:autoSpaceDN w:val="0"/>
              <w:adjustRightInd w:val="0"/>
              <w:spacing w:after="0" w:line="240" w:lineRule="auto"/>
              <w:rPr>
                <w:rFonts w:ascii="Times New Roman" w:hAnsi="Times New Roman"/>
                <w:b/>
                <w:sz w:val="20"/>
                <w:szCs w:val="20"/>
                <w:u w:val="single"/>
              </w:rPr>
            </w:pPr>
            <w:r w:rsidRPr="00D75D2E">
              <w:rPr>
                <w:rFonts w:ascii="Times New Roman" w:hAnsi="Times New Roman"/>
                <w:b/>
                <w:sz w:val="20"/>
                <w:szCs w:val="20"/>
                <w:u w:val="single"/>
              </w:rPr>
              <w:t>Coût de la mesure</w:t>
            </w:r>
          </w:p>
        </w:tc>
        <w:tc>
          <w:tcPr>
            <w:tcW w:w="414" w:type="pct"/>
            <w:tcBorders>
              <w:top w:val="single" w:sz="4" w:space="0" w:color="auto"/>
              <w:left w:val="single" w:sz="4" w:space="0" w:color="auto"/>
              <w:bottom w:val="single" w:sz="4" w:space="0" w:color="auto"/>
              <w:right w:val="single" w:sz="4" w:space="0" w:color="auto"/>
            </w:tcBorders>
            <w:hideMark/>
          </w:tcPr>
          <w:p w14:paraId="7E9527F4"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Unité</w:t>
            </w:r>
          </w:p>
        </w:tc>
        <w:tc>
          <w:tcPr>
            <w:tcW w:w="484" w:type="pct"/>
            <w:gridSpan w:val="2"/>
            <w:tcBorders>
              <w:top w:val="single" w:sz="4" w:space="0" w:color="auto"/>
              <w:left w:val="single" w:sz="4" w:space="0" w:color="auto"/>
              <w:bottom w:val="single" w:sz="4" w:space="0" w:color="auto"/>
              <w:right w:val="single" w:sz="4" w:space="0" w:color="auto"/>
            </w:tcBorders>
          </w:tcPr>
          <w:p w14:paraId="3B2AC8BB"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Quantités</w:t>
            </w:r>
          </w:p>
        </w:tc>
        <w:tc>
          <w:tcPr>
            <w:tcW w:w="692" w:type="pct"/>
            <w:gridSpan w:val="3"/>
            <w:tcBorders>
              <w:top w:val="single" w:sz="4" w:space="0" w:color="auto"/>
              <w:left w:val="single" w:sz="4" w:space="0" w:color="auto"/>
              <w:bottom w:val="single" w:sz="4" w:space="0" w:color="auto"/>
              <w:right w:val="single" w:sz="4" w:space="0" w:color="auto"/>
            </w:tcBorders>
          </w:tcPr>
          <w:p w14:paraId="736388F8"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Coûts unitaires en $</w:t>
            </w:r>
          </w:p>
        </w:tc>
        <w:tc>
          <w:tcPr>
            <w:tcW w:w="553" w:type="pct"/>
            <w:gridSpan w:val="2"/>
            <w:tcBorders>
              <w:top w:val="single" w:sz="4" w:space="0" w:color="auto"/>
              <w:left w:val="single" w:sz="4" w:space="0" w:color="auto"/>
              <w:bottom w:val="single" w:sz="4" w:space="0" w:color="auto"/>
              <w:right w:val="single" w:sz="4" w:space="0" w:color="auto"/>
            </w:tcBorders>
          </w:tcPr>
          <w:p w14:paraId="4C8A8688"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Entreprise en $</w:t>
            </w:r>
          </w:p>
        </w:tc>
        <w:tc>
          <w:tcPr>
            <w:tcW w:w="415" w:type="pct"/>
            <w:gridSpan w:val="2"/>
            <w:tcBorders>
              <w:top w:val="single" w:sz="4" w:space="0" w:color="auto"/>
              <w:left w:val="single" w:sz="4" w:space="0" w:color="auto"/>
              <w:bottom w:val="single" w:sz="4" w:space="0" w:color="auto"/>
              <w:right w:val="single" w:sz="4" w:space="0" w:color="auto"/>
            </w:tcBorders>
          </w:tcPr>
          <w:p w14:paraId="7957F3BB" w14:textId="77777777" w:rsidR="006070D7" w:rsidRPr="00D75D2E" w:rsidRDefault="006070D7" w:rsidP="003C5554">
            <w:pPr>
              <w:autoSpaceDE w:val="0"/>
              <w:autoSpaceDN w:val="0"/>
              <w:adjustRightInd w:val="0"/>
              <w:spacing w:after="0" w:line="240" w:lineRule="auto"/>
              <w:jc w:val="center"/>
              <w:rPr>
                <w:rFonts w:ascii="Times New Roman" w:hAnsi="Times New Roman"/>
                <w:sz w:val="20"/>
                <w:szCs w:val="20"/>
              </w:rPr>
            </w:pPr>
            <w:r w:rsidRPr="00D75D2E">
              <w:rPr>
                <w:rFonts w:ascii="Times New Roman" w:hAnsi="Times New Roman"/>
                <w:sz w:val="20"/>
                <w:szCs w:val="20"/>
              </w:rPr>
              <w:t>Projet en $</w:t>
            </w:r>
          </w:p>
        </w:tc>
        <w:tc>
          <w:tcPr>
            <w:tcW w:w="622" w:type="pct"/>
            <w:tcBorders>
              <w:top w:val="single" w:sz="4" w:space="0" w:color="auto"/>
              <w:left w:val="single" w:sz="4" w:space="0" w:color="auto"/>
              <w:bottom w:val="single" w:sz="4" w:space="0" w:color="auto"/>
              <w:right w:val="single" w:sz="4" w:space="0" w:color="auto"/>
            </w:tcBorders>
            <w:hideMark/>
          </w:tcPr>
          <w:p w14:paraId="3E2E5574" w14:textId="77777777" w:rsidR="006070D7" w:rsidRPr="00D75D2E" w:rsidRDefault="006070D7" w:rsidP="003C5554">
            <w:pPr>
              <w:autoSpaceDE w:val="0"/>
              <w:autoSpaceDN w:val="0"/>
              <w:adjustRightInd w:val="0"/>
              <w:spacing w:after="0" w:line="240" w:lineRule="auto"/>
              <w:rPr>
                <w:rFonts w:ascii="Times New Roman" w:hAnsi="Times New Roman"/>
                <w:sz w:val="20"/>
                <w:szCs w:val="20"/>
              </w:rPr>
            </w:pPr>
            <w:r w:rsidRPr="00D75D2E">
              <w:rPr>
                <w:rFonts w:ascii="Times New Roman" w:hAnsi="Times New Roman"/>
                <w:sz w:val="20"/>
                <w:szCs w:val="20"/>
              </w:rPr>
              <w:t>Coût total</w:t>
            </w:r>
          </w:p>
        </w:tc>
        <w:tc>
          <w:tcPr>
            <w:tcW w:w="1005" w:type="pct"/>
            <w:gridSpan w:val="2"/>
            <w:tcBorders>
              <w:top w:val="single" w:sz="4" w:space="0" w:color="auto"/>
              <w:left w:val="single" w:sz="4" w:space="0" w:color="auto"/>
              <w:bottom w:val="single" w:sz="4" w:space="0" w:color="auto"/>
              <w:right w:val="single" w:sz="4" w:space="0" w:color="auto"/>
            </w:tcBorders>
            <w:hideMark/>
          </w:tcPr>
          <w:p w14:paraId="12911B2F" w14:textId="77777777" w:rsidR="006070D7" w:rsidRPr="0053634F" w:rsidRDefault="006070D7" w:rsidP="003C5554">
            <w:pPr>
              <w:autoSpaceDE w:val="0"/>
              <w:autoSpaceDN w:val="0"/>
              <w:adjustRightInd w:val="0"/>
              <w:spacing w:after="0" w:line="240" w:lineRule="auto"/>
              <w:jc w:val="center"/>
              <w:rPr>
                <w:rFonts w:ascii="Times New Roman" w:hAnsi="Times New Roman"/>
                <w:sz w:val="20"/>
                <w:szCs w:val="20"/>
                <w:lang w:val="fr-CD"/>
              </w:rPr>
            </w:pPr>
            <w:r w:rsidRPr="0053634F">
              <w:rPr>
                <w:rFonts w:ascii="Times New Roman" w:hAnsi="Times New Roman"/>
                <w:sz w:val="20"/>
                <w:szCs w:val="20"/>
                <w:lang w:val="fr-CD"/>
              </w:rPr>
              <w:t>Calendrier de mise en œuvre</w:t>
            </w:r>
          </w:p>
        </w:tc>
      </w:tr>
      <w:tr w:rsidR="006070D7" w:rsidRPr="00420C1B" w14:paraId="2DE216A4" w14:textId="77777777" w:rsidTr="003C5554">
        <w:trPr>
          <w:trHeight w:val="185"/>
          <w:jc w:val="center"/>
        </w:trPr>
        <w:tc>
          <w:tcPr>
            <w:tcW w:w="815" w:type="pct"/>
            <w:tcBorders>
              <w:top w:val="single" w:sz="4" w:space="0" w:color="auto"/>
              <w:left w:val="single" w:sz="4" w:space="0" w:color="auto"/>
              <w:bottom w:val="single" w:sz="4" w:space="0" w:color="auto"/>
              <w:right w:val="single" w:sz="4" w:space="0" w:color="auto"/>
            </w:tcBorders>
            <w:hideMark/>
          </w:tcPr>
          <w:p w14:paraId="3BD4AF93" w14:textId="77777777" w:rsidR="006070D7" w:rsidRPr="00420C1B" w:rsidRDefault="006070D7" w:rsidP="003C5554">
            <w:pPr>
              <w:autoSpaceDE w:val="0"/>
              <w:autoSpaceDN w:val="0"/>
              <w:adjustRightInd w:val="0"/>
              <w:spacing w:after="0" w:line="240" w:lineRule="auto"/>
              <w:rPr>
                <w:rFonts w:ascii="Times New Roman" w:hAnsi="Times New Roman"/>
                <w:b/>
                <w:sz w:val="20"/>
                <w:szCs w:val="20"/>
                <w:u w:val="single"/>
              </w:rPr>
            </w:pPr>
            <w:r w:rsidRPr="00420C1B">
              <w:rPr>
                <w:rFonts w:ascii="Times New Roman" w:hAnsi="Times New Roman"/>
                <w:b/>
                <w:sz w:val="20"/>
                <w:szCs w:val="20"/>
                <w:u w:val="single"/>
              </w:rPr>
              <w:t xml:space="preserve">Reboisement </w:t>
            </w:r>
          </w:p>
        </w:tc>
        <w:tc>
          <w:tcPr>
            <w:tcW w:w="414" w:type="pct"/>
            <w:tcBorders>
              <w:top w:val="single" w:sz="4" w:space="0" w:color="auto"/>
              <w:left w:val="single" w:sz="4" w:space="0" w:color="auto"/>
              <w:bottom w:val="single" w:sz="4" w:space="0" w:color="auto"/>
              <w:right w:val="single" w:sz="4" w:space="0" w:color="auto"/>
            </w:tcBorders>
            <w:hideMark/>
          </w:tcPr>
          <w:p w14:paraId="69605FA2"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 xml:space="preserve">Pied </w:t>
            </w:r>
          </w:p>
        </w:tc>
        <w:tc>
          <w:tcPr>
            <w:tcW w:w="484" w:type="pct"/>
            <w:gridSpan w:val="2"/>
            <w:tcBorders>
              <w:top w:val="single" w:sz="4" w:space="0" w:color="auto"/>
              <w:left w:val="single" w:sz="4" w:space="0" w:color="auto"/>
              <w:bottom w:val="single" w:sz="4" w:space="0" w:color="auto"/>
              <w:right w:val="single" w:sz="4" w:space="0" w:color="auto"/>
            </w:tcBorders>
            <w:shd w:val="clear" w:color="auto" w:fill="auto"/>
            <w:hideMark/>
          </w:tcPr>
          <w:p w14:paraId="3141C3C3"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w:t>
            </w:r>
          </w:p>
        </w:tc>
        <w:tc>
          <w:tcPr>
            <w:tcW w:w="692" w:type="pct"/>
            <w:gridSpan w:val="3"/>
            <w:tcBorders>
              <w:top w:val="single" w:sz="4" w:space="0" w:color="auto"/>
              <w:left w:val="single" w:sz="4" w:space="0" w:color="auto"/>
              <w:bottom w:val="single" w:sz="4" w:space="0" w:color="auto"/>
              <w:right w:val="single" w:sz="4" w:space="0" w:color="auto"/>
            </w:tcBorders>
            <w:shd w:val="clear" w:color="auto" w:fill="auto"/>
            <w:hideMark/>
          </w:tcPr>
          <w:p w14:paraId="42FFD79F"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w:t>
            </w:r>
          </w:p>
        </w:tc>
        <w:tc>
          <w:tcPr>
            <w:tcW w:w="553" w:type="pct"/>
            <w:gridSpan w:val="2"/>
            <w:tcBorders>
              <w:top w:val="single" w:sz="4" w:space="0" w:color="auto"/>
              <w:left w:val="single" w:sz="4" w:space="0" w:color="auto"/>
              <w:bottom w:val="single" w:sz="4" w:space="0" w:color="auto"/>
              <w:right w:val="single" w:sz="4" w:space="0" w:color="auto"/>
            </w:tcBorders>
            <w:shd w:val="clear" w:color="auto" w:fill="auto"/>
          </w:tcPr>
          <w:p w14:paraId="6BFFC90C"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p>
        </w:tc>
        <w:tc>
          <w:tcPr>
            <w:tcW w:w="4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4ED0CCD7"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622" w:type="pct"/>
            <w:tcBorders>
              <w:top w:val="single" w:sz="4" w:space="0" w:color="auto"/>
              <w:left w:val="single" w:sz="4" w:space="0" w:color="auto"/>
              <w:bottom w:val="single" w:sz="4" w:space="0" w:color="auto"/>
              <w:right w:val="single" w:sz="4" w:space="0" w:color="auto"/>
            </w:tcBorders>
            <w:shd w:val="clear" w:color="auto" w:fill="auto"/>
            <w:hideMark/>
          </w:tcPr>
          <w:p w14:paraId="3B4F3B22" w14:textId="77777777" w:rsidR="006070D7" w:rsidRPr="00420C1B" w:rsidRDefault="006070D7" w:rsidP="003C5554">
            <w:pPr>
              <w:autoSpaceDE w:val="0"/>
              <w:autoSpaceDN w:val="0"/>
              <w:adjustRightInd w:val="0"/>
              <w:spacing w:after="0" w:line="240" w:lineRule="auto"/>
              <w:jc w:val="center"/>
              <w:rPr>
                <w:rFonts w:ascii="Times New Roman" w:hAnsi="Times New Roman"/>
                <w:sz w:val="20"/>
                <w:szCs w:val="20"/>
              </w:rPr>
            </w:pPr>
            <w:r w:rsidRPr="00420C1B">
              <w:rPr>
                <w:rFonts w:ascii="Times New Roman" w:hAnsi="Times New Roman"/>
                <w:sz w:val="20"/>
                <w:szCs w:val="20"/>
              </w:rPr>
              <w:t>10000</w:t>
            </w:r>
          </w:p>
        </w:tc>
        <w:tc>
          <w:tcPr>
            <w:tcW w:w="1005" w:type="pct"/>
            <w:gridSpan w:val="2"/>
            <w:tcBorders>
              <w:top w:val="single" w:sz="4" w:space="0" w:color="auto"/>
              <w:left w:val="single" w:sz="4" w:space="0" w:color="auto"/>
              <w:bottom w:val="single" w:sz="4" w:space="0" w:color="auto"/>
              <w:right w:val="single" w:sz="4" w:space="0" w:color="auto"/>
            </w:tcBorders>
            <w:hideMark/>
          </w:tcPr>
          <w:p w14:paraId="699C57D3" w14:textId="77777777" w:rsidR="006070D7" w:rsidRPr="00420C1B" w:rsidRDefault="006070D7" w:rsidP="003C5554">
            <w:pPr>
              <w:autoSpaceDE w:val="0"/>
              <w:autoSpaceDN w:val="0"/>
              <w:adjustRightInd w:val="0"/>
              <w:spacing w:after="0" w:line="240" w:lineRule="auto"/>
              <w:jc w:val="center"/>
              <w:rPr>
                <w:rFonts w:ascii="Times New Roman" w:hAnsi="Times New Roman"/>
                <w:b/>
                <w:sz w:val="20"/>
                <w:szCs w:val="20"/>
                <w:u w:val="single"/>
                <w:lang w:val="fr-CD"/>
              </w:rPr>
            </w:pPr>
            <w:r w:rsidRPr="00420C1B">
              <w:rPr>
                <w:rFonts w:ascii="Times New Roman" w:hAnsi="Times New Roman"/>
                <w:sz w:val="20"/>
                <w:szCs w:val="20"/>
                <w:lang w:val="fr-CD"/>
              </w:rPr>
              <w:t>Avant et Pendant les travaux</w:t>
            </w:r>
          </w:p>
        </w:tc>
      </w:tr>
    </w:tbl>
    <w:p w14:paraId="558B5503" w14:textId="77777777" w:rsidR="006070D7" w:rsidRDefault="006070D7" w:rsidP="006070D7">
      <w:pPr>
        <w:rPr>
          <w:rFonts w:ascii="Times New Roman" w:hAnsi="Times New Roman"/>
          <w:lang w:val="fr-CD"/>
        </w:rPr>
      </w:pPr>
    </w:p>
    <w:p w14:paraId="055244A9" w14:textId="2818B445" w:rsidR="006234EE" w:rsidRDefault="006234EE" w:rsidP="006234EE">
      <w:pPr>
        <w:keepNext/>
        <w:spacing w:after="120" w:line="240" w:lineRule="auto"/>
        <w:jc w:val="center"/>
        <w:rPr>
          <w:rFonts w:ascii="Times New Roman" w:hAnsi="Times New Roman"/>
          <w:iCs/>
          <w:sz w:val="24"/>
          <w:szCs w:val="24"/>
        </w:rPr>
      </w:pPr>
      <w:bookmarkStart w:id="647" w:name="_Toc93050309"/>
      <w:r>
        <w:rPr>
          <w:rFonts w:ascii="Times New Roman" w:hAnsi="Times New Roman"/>
          <w:iCs/>
          <w:sz w:val="24"/>
          <w:szCs w:val="24"/>
        </w:rPr>
        <w:t xml:space="preserve">Tableau </w:t>
      </w:r>
      <w:r>
        <w:rPr>
          <w:rFonts w:ascii="Times New Roman" w:hAnsi="Times New Roman"/>
          <w:iCs/>
          <w:sz w:val="24"/>
          <w:szCs w:val="24"/>
        </w:rPr>
        <w:fldChar w:fldCharType="begin"/>
      </w:r>
      <w:r>
        <w:rPr>
          <w:rFonts w:ascii="Times New Roman" w:hAnsi="Times New Roman"/>
          <w:iCs/>
          <w:sz w:val="24"/>
          <w:szCs w:val="24"/>
        </w:rPr>
        <w:instrText xml:space="preserve"> SEQ Tableau \* ARABIC </w:instrText>
      </w:r>
      <w:r>
        <w:rPr>
          <w:rFonts w:ascii="Times New Roman" w:hAnsi="Times New Roman"/>
          <w:iCs/>
          <w:sz w:val="24"/>
          <w:szCs w:val="24"/>
        </w:rPr>
        <w:fldChar w:fldCharType="separate"/>
      </w:r>
      <w:r w:rsidR="00A86929">
        <w:rPr>
          <w:rFonts w:ascii="Times New Roman" w:hAnsi="Times New Roman"/>
          <w:iCs/>
          <w:noProof/>
          <w:sz w:val="24"/>
          <w:szCs w:val="24"/>
        </w:rPr>
        <w:t>47</w:t>
      </w:r>
      <w:r>
        <w:rPr>
          <w:rFonts w:ascii="Times New Roman" w:hAnsi="Times New Roman"/>
          <w:iCs/>
          <w:noProof/>
          <w:sz w:val="24"/>
          <w:szCs w:val="24"/>
        </w:rPr>
        <w:fldChar w:fldCharType="end"/>
      </w:r>
      <w:r>
        <w:rPr>
          <w:rFonts w:ascii="Times New Roman" w:hAnsi="Times New Roman"/>
          <w:iCs/>
          <w:sz w:val="24"/>
          <w:szCs w:val="24"/>
        </w:rPr>
        <w:t xml:space="preserve"> : Fiche de déclaration d’Impact – </w:t>
      </w:r>
      <w:r>
        <w:rPr>
          <w:rFonts w:ascii="Times New Roman" w:hAnsi="Times New Roman"/>
          <w:b/>
          <w:iCs/>
          <w:sz w:val="24"/>
          <w:szCs w:val="24"/>
        </w:rPr>
        <w:t xml:space="preserve">Code </w:t>
      </w:r>
      <w:r w:rsidR="00057AB5">
        <w:rPr>
          <w:rFonts w:ascii="Times New Roman" w:hAnsi="Times New Roman"/>
          <w:b/>
          <w:iCs/>
          <w:sz w:val="24"/>
          <w:szCs w:val="24"/>
        </w:rPr>
        <w:t>2</w:t>
      </w:r>
      <w:r w:rsidR="00A86929">
        <w:rPr>
          <w:rFonts w:ascii="Times New Roman" w:hAnsi="Times New Roman"/>
          <w:b/>
          <w:iCs/>
          <w:sz w:val="24"/>
          <w:szCs w:val="24"/>
        </w:rPr>
        <w:t>4</w:t>
      </w:r>
      <w:bookmarkEnd w:id="647"/>
    </w:p>
    <w:tbl>
      <w:tblPr>
        <w:tblW w:w="5100" w:type="pct"/>
        <w:jc w:val="center"/>
        <w:tblLook w:val="04A0" w:firstRow="1" w:lastRow="0" w:firstColumn="1" w:lastColumn="0" w:noHBand="0" w:noVBand="1"/>
      </w:tblPr>
      <w:tblGrid>
        <w:gridCol w:w="1650"/>
        <w:gridCol w:w="705"/>
        <w:gridCol w:w="791"/>
        <w:gridCol w:w="206"/>
        <w:gridCol w:w="1005"/>
        <w:gridCol w:w="387"/>
        <w:gridCol w:w="34"/>
        <w:gridCol w:w="548"/>
        <w:gridCol w:w="501"/>
        <w:gridCol w:w="720"/>
        <w:gridCol w:w="147"/>
        <w:gridCol w:w="1092"/>
        <w:gridCol w:w="1912"/>
        <w:gridCol w:w="354"/>
      </w:tblGrid>
      <w:tr w:rsidR="006234EE" w:rsidRPr="00420C1B" w14:paraId="35854847" w14:textId="77777777" w:rsidTr="002948CF">
        <w:trPr>
          <w:trHeight w:val="250"/>
          <w:tblHeader/>
          <w:jc w:val="center"/>
        </w:trPr>
        <w:tc>
          <w:tcPr>
            <w:tcW w:w="649" w:type="pct"/>
            <w:tcBorders>
              <w:top w:val="single" w:sz="4" w:space="0" w:color="auto"/>
              <w:left w:val="single" w:sz="4" w:space="0" w:color="auto"/>
              <w:bottom w:val="single" w:sz="4" w:space="0" w:color="auto"/>
              <w:right w:val="single" w:sz="4" w:space="0" w:color="auto"/>
            </w:tcBorders>
            <w:shd w:val="clear" w:color="auto" w:fill="92D050"/>
            <w:vAlign w:val="center"/>
            <w:hideMark/>
          </w:tcPr>
          <w:p w14:paraId="4020B301" w14:textId="77777777" w:rsidR="006234EE" w:rsidRDefault="006234EE" w:rsidP="002948CF">
            <w:pPr>
              <w:spacing w:after="0" w:line="240" w:lineRule="auto"/>
              <w:jc w:val="center"/>
              <w:rPr>
                <w:rFonts w:ascii="Times New Roman" w:hAnsi="Times New Roman"/>
                <w:b/>
                <w:sz w:val="20"/>
                <w:szCs w:val="20"/>
              </w:rPr>
            </w:pPr>
            <w:r>
              <w:rPr>
                <w:rFonts w:ascii="Times New Roman" w:hAnsi="Times New Roman"/>
                <w:b/>
                <w:sz w:val="20"/>
                <w:szCs w:val="20"/>
              </w:rPr>
              <w:t>COMPOSANTE</w:t>
            </w:r>
          </w:p>
        </w:tc>
        <w:tc>
          <w:tcPr>
            <w:tcW w:w="1650" w:type="pct"/>
            <w:gridSpan w:val="6"/>
            <w:tcBorders>
              <w:top w:val="single" w:sz="4" w:space="0" w:color="auto"/>
              <w:left w:val="single" w:sz="4" w:space="0" w:color="auto"/>
              <w:bottom w:val="single" w:sz="4" w:space="0" w:color="auto"/>
              <w:right w:val="single" w:sz="4" w:space="0" w:color="auto"/>
            </w:tcBorders>
            <w:shd w:val="clear" w:color="auto" w:fill="92D050"/>
            <w:hideMark/>
          </w:tcPr>
          <w:p w14:paraId="417FFC43" w14:textId="77777777" w:rsidR="006234EE" w:rsidRDefault="006234EE" w:rsidP="002948CF">
            <w:pPr>
              <w:spacing w:after="0" w:line="240" w:lineRule="auto"/>
              <w:rPr>
                <w:rFonts w:ascii="Times New Roman" w:hAnsi="Times New Roman"/>
                <w:b/>
                <w:sz w:val="20"/>
                <w:szCs w:val="20"/>
              </w:rPr>
            </w:pPr>
            <w:r>
              <w:rPr>
                <w:rFonts w:ascii="Times New Roman" w:hAnsi="Times New Roman"/>
                <w:sz w:val="20"/>
                <w:szCs w:val="20"/>
              </w:rPr>
              <w:t>Végétation</w:t>
            </w:r>
          </w:p>
        </w:tc>
        <w:tc>
          <w:tcPr>
            <w:tcW w:w="949" w:type="pct"/>
            <w:gridSpan w:val="3"/>
            <w:tcBorders>
              <w:top w:val="single" w:sz="4" w:space="0" w:color="auto"/>
              <w:left w:val="single" w:sz="4" w:space="0" w:color="auto"/>
              <w:bottom w:val="single" w:sz="4" w:space="0" w:color="auto"/>
              <w:right w:val="single" w:sz="4" w:space="0" w:color="auto"/>
            </w:tcBorders>
            <w:shd w:val="clear" w:color="auto" w:fill="92D050"/>
            <w:hideMark/>
          </w:tcPr>
          <w:p w14:paraId="65FD7A71" w14:textId="77777777" w:rsidR="006234EE" w:rsidRDefault="006234EE" w:rsidP="002948CF">
            <w:pPr>
              <w:spacing w:after="0" w:line="240" w:lineRule="auto"/>
              <w:rPr>
                <w:rFonts w:ascii="Times New Roman" w:hAnsi="Times New Roman"/>
                <w:b/>
                <w:sz w:val="20"/>
                <w:szCs w:val="20"/>
              </w:rPr>
            </w:pPr>
            <w:r>
              <w:rPr>
                <w:rFonts w:ascii="Times New Roman" w:hAnsi="Times New Roman"/>
                <w:b/>
                <w:sz w:val="20"/>
                <w:szCs w:val="20"/>
              </w:rPr>
              <w:t>PHASE</w:t>
            </w:r>
          </w:p>
        </w:tc>
        <w:tc>
          <w:tcPr>
            <w:tcW w:w="588"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484F34AA" w14:textId="77777777" w:rsidR="006234EE" w:rsidRDefault="006234EE" w:rsidP="002948CF">
            <w:pPr>
              <w:spacing w:after="0" w:line="240" w:lineRule="auto"/>
              <w:rPr>
                <w:rFonts w:ascii="Times New Roman" w:hAnsi="Times New Roman"/>
                <w:sz w:val="20"/>
                <w:szCs w:val="20"/>
              </w:rPr>
            </w:pPr>
            <w:r>
              <w:rPr>
                <w:rFonts w:ascii="Times New Roman" w:hAnsi="Times New Roman"/>
                <w:sz w:val="20"/>
                <w:szCs w:val="20"/>
              </w:rPr>
              <w:t>Préparatoire</w:t>
            </w:r>
          </w:p>
        </w:tc>
        <w:tc>
          <w:tcPr>
            <w:tcW w:w="1165" w:type="pct"/>
            <w:gridSpan w:val="2"/>
            <w:tcBorders>
              <w:top w:val="single" w:sz="4" w:space="0" w:color="auto"/>
              <w:left w:val="single" w:sz="4" w:space="0" w:color="auto"/>
              <w:bottom w:val="single" w:sz="4" w:space="0" w:color="auto"/>
              <w:right w:val="single" w:sz="4" w:space="0" w:color="auto"/>
            </w:tcBorders>
            <w:shd w:val="clear" w:color="auto" w:fill="92D050"/>
            <w:hideMark/>
          </w:tcPr>
          <w:p w14:paraId="21A44204" w14:textId="77777777" w:rsidR="006234EE" w:rsidRDefault="006234EE" w:rsidP="002948CF">
            <w:pPr>
              <w:spacing w:after="0" w:line="240" w:lineRule="auto"/>
              <w:rPr>
                <w:rFonts w:ascii="Times New Roman" w:hAnsi="Times New Roman"/>
                <w:sz w:val="20"/>
                <w:szCs w:val="20"/>
              </w:rPr>
            </w:pPr>
            <w:r>
              <w:rPr>
                <w:rFonts w:ascii="Times New Roman" w:hAnsi="Times New Roman"/>
                <w:sz w:val="20"/>
                <w:szCs w:val="20"/>
              </w:rPr>
              <w:t>Photos de l’impact</w:t>
            </w:r>
          </w:p>
        </w:tc>
      </w:tr>
      <w:tr w:rsidR="006234EE" w:rsidRPr="00420C1B" w14:paraId="0DBC1DA6" w14:textId="77777777" w:rsidTr="002948CF">
        <w:trPr>
          <w:trHeight w:val="50"/>
          <w:jc w:val="center"/>
        </w:trPr>
        <w:tc>
          <w:tcPr>
            <w:tcW w:w="649" w:type="pct"/>
            <w:vMerge w:val="restart"/>
            <w:tcBorders>
              <w:top w:val="single" w:sz="4" w:space="0" w:color="auto"/>
              <w:left w:val="single" w:sz="4" w:space="0" w:color="auto"/>
              <w:bottom w:val="single" w:sz="4" w:space="0" w:color="auto"/>
              <w:right w:val="single" w:sz="4" w:space="0" w:color="auto"/>
            </w:tcBorders>
            <w:hideMark/>
          </w:tcPr>
          <w:p w14:paraId="5532A7CE" w14:textId="77777777" w:rsidR="006234EE" w:rsidRDefault="006234EE" w:rsidP="002948CF">
            <w:pPr>
              <w:spacing w:after="0" w:line="240" w:lineRule="auto"/>
              <w:rPr>
                <w:rFonts w:ascii="Times New Roman" w:hAnsi="Times New Roman"/>
                <w:b/>
                <w:sz w:val="20"/>
                <w:szCs w:val="20"/>
              </w:rPr>
            </w:pPr>
            <w:r>
              <w:rPr>
                <w:rFonts w:ascii="Times New Roman" w:hAnsi="Times New Roman"/>
                <w:b/>
                <w:sz w:val="20"/>
                <w:szCs w:val="20"/>
              </w:rPr>
              <w:t>Code 01</w:t>
            </w:r>
          </w:p>
        </w:tc>
        <w:tc>
          <w:tcPr>
            <w:tcW w:w="3187" w:type="pct"/>
            <w:gridSpan w:val="11"/>
            <w:tcBorders>
              <w:top w:val="single" w:sz="4" w:space="0" w:color="auto"/>
              <w:left w:val="single" w:sz="4" w:space="0" w:color="auto"/>
              <w:bottom w:val="single" w:sz="4" w:space="0" w:color="auto"/>
              <w:right w:val="single" w:sz="4" w:space="0" w:color="auto"/>
            </w:tcBorders>
            <w:hideMark/>
          </w:tcPr>
          <w:p w14:paraId="135C65C7" w14:textId="77777777" w:rsidR="006234EE" w:rsidRDefault="006234EE" w:rsidP="002948CF">
            <w:pPr>
              <w:spacing w:after="0" w:line="240" w:lineRule="auto"/>
              <w:rPr>
                <w:rFonts w:ascii="Times New Roman" w:hAnsi="Times New Roman"/>
                <w:sz w:val="20"/>
                <w:szCs w:val="20"/>
              </w:rPr>
            </w:pPr>
            <w:r>
              <w:rPr>
                <w:rFonts w:ascii="Times New Roman" w:hAnsi="Times New Roman"/>
                <w:b/>
                <w:sz w:val="20"/>
                <w:szCs w:val="20"/>
              </w:rPr>
              <w:t xml:space="preserve">Source d’impact : </w:t>
            </w:r>
            <w:r>
              <w:rPr>
                <w:rFonts w:ascii="Times New Roman" w:hAnsi="Times New Roman"/>
                <w:sz w:val="20"/>
                <w:szCs w:val="20"/>
              </w:rPr>
              <w:t xml:space="preserve">Maintenance du réseau </w:t>
            </w:r>
          </w:p>
        </w:tc>
        <w:tc>
          <w:tcPr>
            <w:tcW w:w="1165" w:type="pct"/>
            <w:gridSpan w:val="2"/>
            <w:tcBorders>
              <w:top w:val="single" w:sz="4" w:space="0" w:color="auto"/>
              <w:left w:val="single" w:sz="4" w:space="0" w:color="auto"/>
              <w:bottom w:val="single" w:sz="4" w:space="0" w:color="auto"/>
              <w:right w:val="single" w:sz="4" w:space="0" w:color="auto"/>
            </w:tcBorders>
          </w:tcPr>
          <w:p w14:paraId="5AB931E6" w14:textId="77777777" w:rsidR="006234EE" w:rsidRDefault="006234EE" w:rsidP="002948CF">
            <w:pPr>
              <w:spacing w:after="0" w:line="240" w:lineRule="auto"/>
              <w:rPr>
                <w:rFonts w:ascii="Times New Roman" w:hAnsi="Times New Roman"/>
                <w:sz w:val="20"/>
                <w:szCs w:val="20"/>
              </w:rPr>
            </w:pPr>
          </w:p>
        </w:tc>
      </w:tr>
      <w:tr w:rsidR="006234EE" w:rsidRPr="00420C1B" w14:paraId="3ADC998C" w14:textId="77777777" w:rsidTr="002948CF">
        <w:trPr>
          <w:trHeight w:val="2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CA1BA9" w14:textId="77777777" w:rsidR="006234EE" w:rsidRDefault="006234EE" w:rsidP="002948CF">
            <w:pPr>
              <w:spacing w:after="0" w:line="240" w:lineRule="auto"/>
              <w:rPr>
                <w:rFonts w:ascii="Times New Roman" w:hAnsi="Times New Roman"/>
                <w:b/>
                <w:sz w:val="20"/>
                <w:szCs w:val="20"/>
              </w:rPr>
            </w:pPr>
          </w:p>
        </w:tc>
        <w:tc>
          <w:tcPr>
            <w:tcW w:w="4351" w:type="pct"/>
            <w:gridSpan w:val="13"/>
            <w:tcBorders>
              <w:top w:val="single" w:sz="4" w:space="0" w:color="auto"/>
              <w:left w:val="single" w:sz="4" w:space="0" w:color="auto"/>
              <w:bottom w:val="single" w:sz="4" w:space="0" w:color="auto"/>
              <w:right w:val="single" w:sz="4" w:space="0" w:color="auto"/>
            </w:tcBorders>
            <w:hideMark/>
          </w:tcPr>
          <w:p w14:paraId="5893D844" w14:textId="77777777" w:rsidR="006234EE" w:rsidRDefault="006234EE" w:rsidP="002948CF">
            <w:pPr>
              <w:spacing w:after="0" w:line="240" w:lineRule="auto"/>
              <w:rPr>
                <w:rFonts w:ascii="Times New Roman" w:hAnsi="Times New Roman"/>
                <w:sz w:val="20"/>
                <w:szCs w:val="20"/>
              </w:rPr>
            </w:pPr>
            <w:r>
              <w:rPr>
                <w:rFonts w:ascii="Times New Roman" w:hAnsi="Times New Roman"/>
                <w:b/>
                <w:sz w:val="20"/>
                <w:szCs w:val="20"/>
              </w:rPr>
              <w:t xml:space="preserve"> Intitulé de l’impact</w:t>
            </w:r>
            <w:r>
              <w:rPr>
                <w:rFonts w:ascii="Times New Roman" w:hAnsi="Times New Roman"/>
                <w:sz w:val="20"/>
                <w:szCs w:val="20"/>
              </w:rPr>
              <w:t xml:space="preserve"> : coupure intempestive d’électricité </w:t>
            </w:r>
          </w:p>
        </w:tc>
      </w:tr>
      <w:tr w:rsidR="006234EE" w:rsidRPr="00420C1B" w14:paraId="45862750" w14:textId="77777777" w:rsidTr="002948CF">
        <w:trPr>
          <w:trHeight w:val="250"/>
          <w:jc w:val="center"/>
        </w:trPr>
        <w:tc>
          <w:tcPr>
            <w:tcW w:w="649" w:type="pct"/>
            <w:vMerge w:val="restart"/>
            <w:tcBorders>
              <w:top w:val="single" w:sz="4" w:space="0" w:color="auto"/>
              <w:left w:val="single" w:sz="4" w:space="0" w:color="auto"/>
              <w:bottom w:val="single" w:sz="4" w:space="0" w:color="auto"/>
              <w:right w:val="single" w:sz="4" w:space="0" w:color="auto"/>
            </w:tcBorders>
            <w:hideMark/>
          </w:tcPr>
          <w:p w14:paraId="3BFB5877" w14:textId="77777777" w:rsidR="006234EE" w:rsidRDefault="006234EE" w:rsidP="002948CF">
            <w:pPr>
              <w:spacing w:after="0" w:line="240" w:lineRule="auto"/>
              <w:rPr>
                <w:rFonts w:ascii="Times New Roman" w:eastAsia="Times New Roman" w:hAnsi="Times New Roman"/>
                <w:sz w:val="20"/>
                <w:szCs w:val="20"/>
                <w:lang w:eastAsia="fr-FR"/>
              </w:rPr>
            </w:pPr>
            <w:r>
              <w:rPr>
                <w:rFonts w:ascii="Times New Roman" w:hAnsi="Times New Roman"/>
                <w:b/>
                <w:sz w:val="20"/>
                <w:szCs w:val="20"/>
              </w:rPr>
              <w:t>Localisation</w:t>
            </w:r>
          </w:p>
        </w:tc>
        <w:tc>
          <w:tcPr>
            <w:tcW w:w="1957" w:type="pct"/>
            <w:gridSpan w:val="7"/>
            <w:vMerge w:val="restart"/>
            <w:tcBorders>
              <w:top w:val="single" w:sz="4" w:space="0" w:color="auto"/>
              <w:left w:val="single" w:sz="4" w:space="0" w:color="auto"/>
              <w:bottom w:val="single" w:sz="4" w:space="0" w:color="auto"/>
              <w:right w:val="single" w:sz="4" w:space="0" w:color="auto"/>
            </w:tcBorders>
            <w:hideMark/>
          </w:tcPr>
          <w:p w14:paraId="347DA772" w14:textId="77777777" w:rsidR="006234EE" w:rsidRDefault="006234EE" w:rsidP="002948CF">
            <w:pPr>
              <w:spacing w:after="0" w:line="240" w:lineRule="auto"/>
              <w:rPr>
                <w:rFonts w:ascii="Times New Roman" w:hAnsi="Times New Roman"/>
                <w:sz w:val="20"/>
                <w:szCs w:val="20"/>
              </w:rPr>
            </w:pPr>
            <w:r>
              <w:rPr>
                <w:rFonts w:ascii="Times New Roman" w:hAnsi="Times New Roman"/>
                <w:sz w:val="20"/>
                <w:szCs w:val="20"/>
              </w:rPr>
              <w:t xml:space="preserve">Zone d’évolution des travaux (communes concernés par les travaux) </w:t>
            </w:r>
          </w:p>
        </w:tc>
        <w:tc>
          <w:tcPr>
            <w:tcW w:w="642" w:type="pct"/>
            <w:gridSpan w:val="2"/>
            <w:tcBorders>
              <w:top w:val="single" w:sz="4" w:space="0" w:color="auto"/>
              <w:left w:val="single" w:sz="4" w:space="0" w:color="auto"/>
              <w:bottom w:val="single" w:sz="4" w:space="0" w:color="auto"/>
              <w:right w:val="single" w:sz="4" w:space="0" w:color="auto"/>
            </w:tcBorders>
            <w:hideMark/>
          </w:tcPr>
          <w:p w14:paraId="538D8E90" w14:textId="77777777" w:rsidR="006234EE" w:rsidRDefault="006234EE" w:rsidP="002948CF">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X</w:t>
            </w:r>
          </w:p>
        </w:tc>
        <w:tc>
          <w:tcPr>
            <w:tcW w:w="588" w:type="pct"/>
            <w:gridSpan w:val="2"/>
            <w:tcBorders>
              <w:top w:val="single" w:sz="4" w:space="0" w:color="auto"/>
              <w:left w:val="single" w:sz="4" w:space="0" w:color="auto"/>
              <w:bottom w:val="single" w:sz="4" w:space="0" w:color="auto"/>
              <w:right w:val="single" w:sz="4" w:space="0" w:color="auto"/>
            </w:tcBorders>
            <w:hideMark/>
          </w:tcPr>
          <w:p w14:paraId="78A31575" w14:textId="77777777" w:rsidR="006234EE" w:rsidRDefault="006234EE" w:rsidP="002948CF">
            <w:pPr>
              <w:spacing w:after="0" w:line="240" w:lineRule="auto"/>
              <w:jc w:val="center"/>
              <w:rPr>
                <w:rFonts w:ascii="Times New Roman" w:eastAsia="Times New Roman" w:hAnsi="Times New Roman"/>
                <w:b/>
                <w:sz w:val="20"/>
                <w:szCs w:val="20"/>
                <w:lang w:eastAsia="fr-FR"/>
              </w:rPr>
            </w:pPr>
            <w:r>
              <w:rPr>
                <w:rFonts w:ascii="Times New Roman" w:hAnsi="Times New Roman"/>
                <w:b/>
                <w:sz w:val="20"/>
                <w:szCs w:val="20"/>
              </w:rPr>
              <w:t>Y</w:t>
            </w:r>
          </w:p>
        </w:tc>
        <w:tc>
          <w:tcPr>
            <w:tcW w:w="1165" w:type="pct"/>
            <w:gridSpan w:val="2"/>
            <w:vMerge w:val="restart"/>
            <w:tcBorders>
              <w:top w:val="single" w:sz="4" w:space="0" w:color="auto"/>
              <w:left w:val="single" w:sz="4" w:space="0" w:color="auto"/>
              <w:bottom w:val="single" w:sz="4" w:space="0" w:color="auto"/>
              <w:right w:val="single" w:sz="4" w:space="0" w:color="auto"/>
            </w:tcBorders>
            <w:hideMark/>
          </w:tcPr>
          <w:p w14:paraId="237B1FF8" w14:textId="77777777" w:rsidR="006234EE" w:rsidRPr="00420C1B" w:rsidRDefault="006234EE" w:rsidP="002948CF">
            <w:pPr>
              <w:spacing w:after="0" w:line="276" w:lineRule="auto"/>
            </w:pPr>
          </w:p>
        </w:tc>
      </w:tr>
      <w:tr w:rsidR="006234EE" w:rsidRPr="00420C1B" w14:paraId="79886467" w14:textId="77777777" w:rsidTr="002948CF">
        <w:trPr>
          <w:trHeight w:val="2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F0712" w14:textId="77777777" w:rsidR="006234EE" w:rsidRDefault="006234EE" w:rsidP="002948CF">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5DDF23AA" w14:textId="77777777" w:rsidR="006234EE" w:rsidRDefault="006234EE" w:rsidP="002948CF">
            <w:pPr>
              <w:spacing w:after="0" w:line="240" w:lineRule="auto"/>
              <w:rPr>
                <w:rFonts w:ascii="Times New Roman" w:hAnsi="Times New Roman"/>
                <w:sz w:val="20"/>
                <w:szCs w:val="20"/>
              </w:rPr>
            </w:pPr>
          </w:p>
        </w:tc>
        <w:tc>
          <w:tcPr>
            <w:tcW w:w="642" w:type="pct"/>
            <w:gridSpan w:val="2"/>
            <w:tcBorders>
              <w:top w:val="single" w:sz="4" w:space="0" w:color="auto"/>
              <w:left w:val="single" w:sz="4" w:space="0" w:color="auto"/>
              <w:bottom w:val="single" w:sz="4" w:space="0" w:color="auto"/>
              <w:right w:val="single" w:sz="4" w:space="0" w:color="auto"/>
            </w:tcBorders>
            <w:hideMark/>
          </w:tcPr>
          <w:p w14:paraId="546820B3" w14:textId="77777777" w:rsidR="006234EE" w:rsidRDefault="006234EE"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526135  </w:t>
            </w:r>
          </w:p>
        </w:tc>
        <w:tc>
          <w:tcPr>
            <w:tcW w:w="588" w:type="pct"/>
            <w:gridSpan w:val="2"/>
            <w:tcBorders>
              <w:top w:val="single" w:sz="4" w:space="0" w:color="auto"/>
              <w:left w:val="nil"/>
              <w:bottom w:val="single" w:sz="4" w:space="0" w:color="auto"/>
              <w:right w:val="single" w:sz="4" w:space="0" w:color="auto"/>
            </w:tcBorders>
            <w:hideMark/>
          </w:tcPr>
          <w:p w14:paraId="39BB5B1A" w14:textId="77777777" w:rsidR="006234EE" w:rsidRDefault="006234EE"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9514282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A2D9BF" w14:textId="77777777" w:rsidR="006234EE" w:rsidRPr="00420C1B" w:rsidRDefault="006234EE" w:rsidP="002948CF">
            <w:pPr>
              <w:spacing w:after="0" w:line="240" w:lineRule="auto"/>
            </w:pPr>
          </w:p>
        </w:tc>
      </w:tr>
      <w:tr w:rsidR="006234EE" w:rsidRPr="00420C1B" w14:paraId="5DE742E6" w14:textId="77777777" w:rsidTr="002948CF">
        <w:trPr>
          <w:trHeight w:val="2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0B277" w14:textId="77777777" w:rsidR="006234EE" w:rsidRDefault="006234EE" w:rsidP="002948CF">
            <w:pPr>
              <w:spacing w:after="0" w:line="240" w:lineRule="auto"/>
              <w:rPr>
                <w:rFonts w:ascii="Times New Roman" w:eastAsia="Times New Roman" w:hAnsi="Times New Roman"/>
                <w:sz w:val="20"/>
                <w:szCs w:val="20"/>
                <w:lang w:eastAsia="fr-FR"/>
              </w:rPr>
            </w:pPr>
          </w:p>
        </w:tc>
        <w:tc>
          <w:tcPr>
            <w:tcW w:w="0" w:type="auto"/>
            <w:gridSpan w:val="7"/>
            <w:vMerge/>
            <w:tcBorders>
              <w:top w:val="single" w:sz="4" w:space="0" w:color="auto"/>
              <w:left w:val="single" w:sz="4" w:space="0" w:color="auto"/>
              <w:bottom w:val="single" w:sz="4" w:space="0" w:color="auto"/>
              <w:right w:val="single" w:sz="4" w:space="0" w:color="auto"/>
            </w:tcBorders>
            <w:vAlign w:val="center"/>
            <w:hideMark/>
          </w:tcPr>
          <w:p w14:paraId="644B3A0C" w14:textId="77777777" w:rsidR="006234EE" w:rsidRDefault="006234EE" w:rsidP="002948CF">
            <w:pPr>
              <w:spacing w:after="0" w:line="240" w:lineRule="auto"/>
              <w:rPr>
                <w:rFonts w:ascii="Times New Roman" w:hAnsi="Times New Roman"/>
                <w:sz w:val="20"/>
                <w:szCs w:val="20"/>
              </w:rPr>
            </w:pPr>
          </w:p>
        </w:tc>
        <w:tc>
          <w:tcPr>
            <w:tcW w:w="642" w:type="pct"/>
            <w:gridSpan w:val="2"/>
            <w:tcBorders>
              <w:top w:val="single" w:sz="4" w:space="0" w:color="auto"/>
              <w:left w:val="single" w:sz="4" w:space="0" w:color="auto"/>
              <w:bottom w:val="nil"/>
              <w:right w:val="single" w:sz="4" w:space="0" w:color="auto"/>
            </w:tcBorders>
            <w:hideMark/>
          </w:tcPr>
          <w:p w14:paraId="34FECEC1" w14:textId="77777777" w:rsidR="006234EE" w:rsidRDefault="006234EE"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527290</w:t>
            </w:r>
          </w:p>
        </w:tc>
        <w:tc>
          <w:tcPr>
            <w:tcW w:w="588" w:type="pct"/>
            <w:gridSpan w:val="2"/>
            <w:tcBorders>
              <w:top w:val="single" w:sz="4" w:space="0" w:color="auto"/>
              <w:left w:val="single" w:sz="4" w:space="0" w:color="auto"/>
              <w:bottom w:val="nil"/>
              <w:right w:val="single" w:sz="4" w:space="0" w:color="auto"/>
            </w:tcBorders>
            <w:hideMark/>
          </w:tcPr>
          <w:p w14:paraId="2E4E92BD" w14:textId="77777777" w:rsidR="006234EE" w:rsidRDefault="006234EE" w:rsidP="002948CF">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9506829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7602139" w14:textId="77777777" w:rsidR="006234EE" w:rsidRPr="00420C1B" w:rsidRDefault="006234EE" w:rsidP="002948CF">
            <w:pPr>
              <w:spacing w:after="0" w:line="240" w:lineRule="auto"/>
            </w:pPr>
          </w:p>
        </w:tc>
      </w:tr>
      <w:tr w:rsidR="006234EE" w:rsidRPr="00420C1B" w14:paraId="25E14777" w14:textId="77777777" w:rsidTr="002948CF">
        <w:trPr>
          <w:trHeight w:val="242"/>
          <w:jc w:val="center"/>
        </w:trPr>
        <w:tc>
          <w:tcPr>
            <w:tcW w:w="649" w:type="pct"/>
            <w:vMerge w:val="restart"/>
            <w:tcBorders>
              <w:top w:val="single" w:sz="4" w:space="0" w:color="auto"/>
              <w:left w:val="single" w:sz="4" w:space="0" w:color="auto"/>
              <w:bottom w:val="single" w:sz="4" w:space="0" w:color="auto"/>
              <w:right w:val="single" w:sz="4" w:space="0" w:color="auto"/>
            </w:tcBorders>
          </w:tcPr>
          <w:p w14:paraId="0BFE5E6E" w14:textId="77777777" w:rsidR="006234EE" w:rsidRDefault="006234EE" w:rsidP="002948CF">
            <w:pPr>
              <w:spacing w:after="0" w:line="240" w:lineRule="auto"/>
              <w:rPr>
                <w:rFonts w:ascii="Times New Roman" w:hAnsi="Times New Roman"/>
                <w:b/>
                <w:sz w:val="20"/>
                <w:szCs w:val="20"/>
              </w:rPr>
            </w:pPr>
          </w:p>
          <w:p w14:paraId="38795284" w14:textId="77777777" w:rsidR="006234EE" w:rsidRDefault="006234EE" w:rsidP="002948CF">
            <w:pPr>
              <w:spacing w:after="0" w:line="240" w:lineRule="auto"/>
              <w:rPr>
                <w:rFonts w:ascii="Times New Roman" w:hAnsi="Times New Roman"/>
                <w:b/>
                <w:sz w:val="20"/>
                <w:szCs w:val="20"/>
              </w:rPr>
            </w:pPr>
            <w:r>
              <w:rPr>
                <w:rFonts w:ascii="Times New Roman" w:hAnsi="Times New Roman"/>
                <w:b/>
                <w:sz w:val="20"/>
                <w:szCs w:val="20"/>
              </w:rPr>
              <w:t>Analyse de l’impact</w:t>
            </w:r>
          </w:p>
        </w:tc>
        <w:tc>
          <w:tcPr>
            <w:tcW w:w="781" w:type="pct"/>
            <w:gridSpan w:val="2"/>
            <w:vMerge w:val="restart"/>
            <w:tcBorders>
              <w:top w:val="single" w:sz="4" w:space="0" w:color="auto"/>
              <w:left w:val="single" w:sz="4" w:space="0" w:color="auto"/>
              <w:bottom w:val="single" w:sz="4" w:space="0" w:color="auto"/>
              <w:right w:val="single" w:sz="4" w:space="0" w:color="auto"/>
            </w:tcBorders>
            <w:hideMark/>
          </w:tcPr>
          <w:p w14:paraId="215F6068" w14:textId="77777777" w:rsidR="006234EE" w:rsidRDefault="006234EE" w:rsidP="002948CF">
            <w:pPr>
              <w:autoSpaceDE w:val="0"/>
              <w:autoSpaceDN w:val="0"/>
              <w:adjustRightInd w:val="0"/>
              <w:spacing w:after="0" w:line="240" w:lineRule="auto"/>
              <w:rPr>
                <w:rFonts w:ascii="Times New Roman" w:eastAsia="Times New Roman" w:hAnsi="Times New Roman"/>
                <w:b/>
                <w:bCs/>
                <w:sz w:val="20"/>
                <w:szCs w:val="20"/>
              </w:rPr>
            </w:pPr>
            <w:r>
              <w:rPr>
                <w:rFonts w:ascii="Times New Roman" w:eastAsia="Times New Roman" w:hAnsi="Times New Roman"/>
                <w:b/>
                <w:bCs/>
                <w:sz w:val="20"/>
                <w:szCs w:val="20"/>
              </w:rPr>
              <w:t>Nature :</w:t>
            </w:r>
          </w:p>
          <w:p w14:paraId="63023013" w14:textId="77777777" w:rsidR="006234EE" w:rsidRDefault="006234EE" w:rsidP="002948CF">
            <w:pPr>
              <w:autoSpaceDE w:val="0"/>
              <w:autoSpaceDN w:val="0"/>
              <w:adjustRightInd w:val="0"/>
              <w:spacing w:after="0" w:line="240" w:lineRule="auto"/>
              <w:rPr>
                <w:rFonts w:ascii="Times New Roman" w:eastAsia="Times New Roman" w:hAnsi="Times New Roman"/>
                <w:bCs/>
                <w:sz w:val="20"/>
                <w:szCs w:val="20"/>
              </w:rPr>
            </w:pPr>
            <w:r>
              <w:rPr>
                <w:rFonts w:ascii="Times New Roman" w:eastAsia="Times New Roman" w:hAnsi="Times New Roman"/>
                <w:bCs/>
                <w:sz w:val="20"/>
                <w:szCs w:val="20"/>
              </w:rPr>
              <w:t>Négative</w:t>
            </w:r>
          </w:p>
        </w:tc>
        <w:tc>
          <w:tcPr>
            <w:tcW w:w="639" w:type="pct"/>
            <w:gridSpan w:val="2"/>
            <w:tcBorders>
              <w:top w:val="single" w:sz="4" w:space="0" w:color="auto"/>
              <w:left w:val="single" w:sz="4" w:space="0" w:color="auto"/>
              <w:bottom w:val="single" w:sz="4" w:space="0" w:color="auto"/>
              <w:right w:val="single" w:sz="4" w:space="0" w:color="auto"/>
            </w:tcBorders>
            <w:hideMark/>
          </w:tcPr>
          <w:p w14:paraId="65FB2EE1"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Intensité</w:t>
            </w:r>
          </w:p>
        </w:tc>
        <w:tc>
          <w:tcPr>
            <w:tcW w:w="1180" w:type="pct"/>
            <w:gridSpan w:val="5"/>
            <w:tcBorders>
              <w:top w:val="single" w:sz="4" w:space="0" w:color="auto"/>
              <w:left w:val="single" w:sz="4" w:space="0" w:color="auto"/>
              <w:bottom w:val="single" w:sz="4" w:space="0" w:color="auto"/>
              <w:right w:val="single" w:sz="4" w:space="0" w:color="auto"/>
            </w:tcBorders>
            <w:hideMark/>
          </w:tcPr>
          <w:p w14:paraId="70424FBE"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Etendue</w:t>
            </w:r>
          </w:p>
        </w:tc>
        <w:tc>
          <w:tcPr>
            <w:tcW w:w="588" w:type="pct"/>
            <w:gridSpan w:val="2"/>
            <w:tcBorders>
              <w:top w:val="single" w:sz="4" w:space="0" w:color="auto"/>
              <w:left w:val="single" w:sz="4" w:space="0" w:color="auto"/>
              <w:bottom w:val="single" w:sz="4" w:space="0" w:color="auto"/>
              <w:right w:val="single" w:sz="4" w:space="0" w:color="auto"/>
            </w:tcBorders>
            <w:hideMark/>
          </w:tcPr>
          <w:p w14:paraId="3AFA1C57"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Durée</w:t>
            </w:r>
          </w:p>
        </w:tc>
        <w:tc>
          <w:tcPr>
            <w:tcW w:w="1165" w:type="pct"/>
            <w:gridSpan w:val="2"/>
            <w:tcBorders>
              <w:top w:val="single" w:sz="4" w:space="0" w:color="auto"/>
              <w:left w:val="single" w:sz="4" w:space="0" w:color="auto"/>
              <w:bottom w:val="single" w:sz="4" w:space="0" w:color="auto"/>
              <w:right w:val="single" w:sz="4" w:space="0" w:color="auto"/>
            </w:tcBorders>
            <w:hideMark/>
          </w:tcPr>
          <w:p w14:paraId="281E1A3C" w14:textId="77777777" w:rsidR="006234EE" w:rsidRDefault="006234EE" w:rsidP="002948CF">
            <w:pPr>
              <w:spacing w:after="0" w:line="240" w:lineRule="auto"/>
              <w:rPr>
                <w:rFonts w:ascii="Times New Roman" w:hAnsi="Times New Roman"/>
                <w:sz w:val="20"/>
                <w:szCs w:val="20"/>
              </w:rPr>
            </w:pPr>
            <w:r>
              <w:rPr>
                <w:rFonts w:ascii="Times New Roman" w:eastAsia="Times New Roman" w:hAnsi="Times New Roman"/>
                <w:b/>
                <w:bCs/>
                <w:i/>
                <w:sz w:val="20"/>
                <w:szCs w:val="20"/>
              </w:rPr>
              <w:t>Importance</w:t>
            </w:r>
          </w:p>
        </w:tc>
      </w:tr>
      <w:tr w:rsidR="006234EE" w:rsidRPr="00420C1B" w14:paraId="66DDEE01" w14:textId="77777777" w:rsidTr="002948CF">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F67A3" w14:textId="77777777" w:rsidR="006234EE" w:rsidRDefault="006234EE" w:rsidP="002948CF">
            <w:pPr>
              <w:spacing w:after="0" w:line="240" w:lineRule="auto"/>
              <w:rPr>
                <w:rFonts w:ascii="Times New Roman" w:hAnsi="Times New Roman"/>
                <w:b/>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B7B607" w14:textId="77777777" w:rsidR="006234EE" w:rsidRDefault="006234EE" w:rsidP="002948CF">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0ACEEDE8" w14:textId="77777777" w:rsidR="006234EE" w:rsidRDefault="006234EE" w:rsidP="002948CF">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Faible</w:t>
            </w:r>
          </w:p>
        </w:tc>
        <w:tc>
          <w:tcPr>
            <w:tcW w:w="1180" w:type="pct"/>
            <w:gridSpan w:val="5"/>
            <w:tcBorders>
              <w:top w:val="single" w:sz="4" w:space="0" w:color="auto"/>
              <w:left w:val="single" w:sz="4" w:space="0" w:color="auto"/>
              <w:bottom w:val="single" w:sz="4" w:space="0" w:color="auto"/>
              <w:right w:val="single" w:sz="4" w:space="0" w:color="auto"/>
            </w:tcBorders>
            <w:vAlign w:val="center"/>
            <w:hideMark/>
          </w:tcPr>
          <w:p w14:paraId="3F899C12" w14:textId="77777777" w:rsidR="006234EE" w:rsidRDefault="006234EE" w:rsidP="002948CF">
            <w:pPr>
              <w:spacing w:after="0" w:line="240" w:lineRule="auto"/>
              <w:jc w:val="center"/>
              <w:rPr>
                <w:rFonts w:ascii="Times New Roman" w:eastAsia="Times New Roman" w:hAnsi="Times New Roman"/>
                <w:sz w:val="20"/>
                <w:szCs w:val="20"/>
                <w:lang w:eastAsia="fr-FR"/>
              </w:rPr>
            </w:pPr>
            <w:r>
              <w:rPr>
                <w:rFonts w:ascii="Times New Roman" w:hAnsi="Times New Roman"/>
                <w:sz w:val="20"/>
                <w:szCs w:val="20"/>
              </w:rPr>
              <w:t>Ponctuelle</w:t>
            </w:r>
          </w:p>
        </w:tc>
        <w:tc>
          <w:tcPr>
            <w:tcW w:w="588" w:type="pct"/>
            <w:gridSpan w:val="2"/>
            <w:tcBorders>
              <w:top w:val="single" w:sz="4" w:space="0" w:color="auto"/>
              <w:left w:val="single" w:sz="4" w:space="0" w:color="auto"/>
              <w:bottom w:val="single" w:sz="4" w:space="0" w:color="auto"/>
              <w:right w:val="single" w:sz="4" w:space="0" w:color="auto"/>
            </w:tcBorders>
            <w:vAlign w:val="center"/>
            <w:hideMark/>
          </w:tcPr>
          <w:p w14:paraId="1D35409F" w14:textId="77777777" w:rsidR="006234EE" w:rsidRDefault="006234EE" w:rsidP="002948CF">
            <w:pPr>
              <w:spacing w:after="0" w:line="240" w:lineRule="auto"/>
              <w:jc w:val="center"/>
              <w:rPr>
                <w:rFonts w:ascii="Times New Roman" w:eastAsia="Times New Roman" w:hAnsi="Times New Roman"/>
                <w:sz w:val="20"/>
                <w:szCs w:val="20"/>
                <w:lang w:eastAsia="fr-FR"/>
              </w:rPr>
            </w:pPr>
            <w:r>
              <w:rPr>
                <w:rFonts w:ascii="Times New Roman" w:eastAsia="Times New Roman" w:hAnsi="Times New Roman"/>
                <w:bCs/>
                <w:sz w:val="20"/>
                <w:szCs w:val="20"/>
              </w:rPr>
              <w:t>Faible</w:t>
            </w:r>
          </w:p>
        </w:tc>
        <w:tc>
          <w:tcPr>
            <w:tcW w:w="1165" w:type="pct"/>
            <w:gridSpan w:val="2"/>
            <w:tcBorders>
              <w:top w:val="single" w:sz="4" w:space="0" w:color="auto"/>
              <w:left w:val="single" w:sz="4" w:space="0" w:color="auto"/>
              <w:bottom w:val="single" w:sz="4" w:space="0" w:color="auto"/>
              <w:right w:val="single" w:sz="4" w:space="0" w:color="auto"/>
            </w:tcBorders>
            <w:vAlign w:val="center"/>
            <w:hideMark/>
          </w:tcPr>
          <w:p w14:paraId="1EFCE4B0" w14:textId="77777777" w:rsidR="006234EE" w:rsidRDefault="006234EE" w:rsidP="002948CF">
            <w:pPr>
              <w:spacing w:after="0" w:line="240" w:lineRule="auto"/>
              <w:rPr>
                <w:rFonts w:ascii="Times New Roman" w:hAnsi="Times New Roman"/>
                <w:sz w:val="20"/>
                <w:szCs w:val="20"/>
              </w:rPr>
            </w:pPr>
            <w:r>
              <w:rPr>
                <w:rFonts w:ascii="Times New Roman" w:hAnsi="Times New Roman"/>
                <w:sz w:val="20"/>
                <w:szCs w:val="20"/>
              </w:rPr>
              <w:t xml:space="preserve">Faible </w:t>
            </w:r>
          </w:p>
        </w:tc>
      </w:tr>
      <w:tr w:rsidR="006234EE" w:rsidRPr="00420C1B" w14:paraId="479227B4" w14:textId="77777777" w:rsidTr="002948CF">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093CC" w14:textId="77777777" w:rsidR="006234EE" w:rsidRDefault="006234EE" w:rsidP="002948CF">
            <w:pPr>
              <w:spacing w:after="0" w:line="240" w:lineRule="auto"/>
              <w:rPr>
                <w:rFonts w:ascii="Times New Roman" w:hAnsi="Times New Roman"/>
                <w:b/>
                <w:sz w:val="20"/>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032E77B" w14:textId="77777777" w:rsidR="006234EE" w:rsidRDefault="006234EE" w:rsidP="002948CF">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0BE72298"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Interaction</w:t>
            </w:r>
          </w:p>
        </w:tc>
        <w:tc>
          <w:tcPr>
            <w:tcW w:w="1180" w:type="pct"/>
            <w:gridSpan w:val="5"/>
            <w:tcBorders>
              <w:top w:val="single" w:sz="4" w:space="0" w:color="auto"/>
              <w:left w:val="single" w:sz="4" w:space="0" w:color="auto"/>
              <w:bottom w:val="single" w:sz="4" w:space="0" w:color="auto"/>
              <w:right w:val="single" w:sz="4" w:space="0" w:color="auto"/>
            </w:tcBorders>
            <w:hideMark/>
          </w:tcPr>
          <w:p w14:paraId="3D26CA94"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Occurrence</w:t>
            </w:r>
          </w:p>
        </w:tc>
        <w:tc>
          <w:tcPr>
            <w:tcW w:w="588" w:type="pct"/>
            <w:gridSpan w:val="2"/>
            <w:tcBorders>
              <w:top w:val="single" w:sz="4" w:space="0" w:color="auto"/>
              <w:left w:val="single" w:sz="4" w:space="0" w:color="auto"/>
              <w:bottom w:val="single" w:sz="4" w:space="0" w:color="auto"/>
              <w:right w:val="single" w:sz="4" w:space="0" w:color="auto"/>
            </w:tcBorders>
            <w:hideMark/>
          </w:tcPr>
          <w:p w14:paraId="143673CC"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Réversibilité</w:t>
            </w:r>
          </w:p>
        </w:tc>
        <w:tc>
          <w:tcPr>
            <w:tcW w:w="1165" w:type="pct"/>
            <w:gridSpan w:val="2"/>
            <w:tcBorders>
              <w:top w:val="single" w:sz="4" w:space="0" w:color="auto"/>
              <w:left w:val="single" w:sz="4" w:space="0" w:color="auto"/>
              <w:bottom w:val="single" w:sz="4" w:space="0" w:color="auto"/>
              <w:right w:val="single" w:sz="4" w:space="0" w:color="auto"/>
            </w:tcBorders>
            <w:hideMark/>
          </w:tcPr>
          <w:p w14:paraId="08051F65" w14:textId="77777777" w:rsidR="006234EE" w:rsidRDefault="006234EE" w:rsidP="002948CF">
            <w:pPr>
              <w:autoSpaceDE w:val="0"/>
              <w:autoSpaceDN w:val="0"/>
              <w:adjustRightInd w:val="0"/>
              <w:spacing w:after="0" w:line="240" w:lineRule="auto"/>
              <w:jc w:val="center"/>
              <w:rPr>
                <w:rFonts w:ascii="Times New Roman" w:eastAsia="Times New Roman" w:hAnsi="Times New Roman"/>
                <w:b/>
                <w:bCs/>
                <w:i/>
                <w:sz w:val="20"/>
                <w:szCs w:val="20"/>
              </w:rPr>
            </w:pPr>
            <w:r>
              <w:rPr>
                <w:rFonts w:ascii="Times New Roman" w:eastAsia="Times New Roman" w:hAnsi="Times New Roman"/>
                <w:b/>
                <w:bCs/>
                <w:i/>
                <w:sz w:val="20"/>
                <w:szCs w:val="20"/>
              </w:rPr>
              <w:t>Cumulativité</w:t>
            </w:r>
          </w:p>
        </w:tc>
      </w:tr>
      <w:tr w:rsidR="006234EE" w:rsidRPr="00420C1B" w14:paraId="29118E04" w14:textId="77777777" w:rsidTr="002948CF">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09FF34" w14:textId="77777777" w:rsidR="006234EE" w:rsidRDefault="006234EE" w:rsidP="002948CF">
            <w:pPr>
              <w:spacing w:after="0" w:line="240" w:lineRule="auto"/>
              <w:rPr>
                <w:rFonts w:ascii="Times New Roman" w:hAnsi="Times New Roman"/>
                <w:b/>
                <w:sz w:val="20"/>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3904D6D" w14:textId="77777777" w:rsidR="006234EE" w:rsidRDefault="006234EE" w:rsidP="002948CF">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21F718C7" w14:textId="77777777" w:rsidR="006234EE" w:rsidRDefault="006234EE" w:rsidP="002948CF">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Indirecte</w:t>
            </w:r>
          </w:p>
        </w:tc>
        <w:tc>
          <w:tcPr>
            <w:tcW w:w="1180" w:type="pct"/>
            <w:gridSpan w:val="5"/>
            <w:tcBorders>
              <w:top w:val="single" w:sz="4" w:space="0" w:color="auto"/>
              <w:left w:val="single" w:sz="4" w:space="0" w:color="auto"/>
              <w:bottom w:val="single" w:sz="4" w:space="0" w:color="auto"/>
              <w:right w:val="single" w:sz="4" w:space="0" w:color="auto"/>
            </w:tcBorders>
            <w:vAlign w:val="center"/>
            <w:hideMark/>
          </w:tcPr>
          <w:p w14:paraId="1F7E5D64" w14:textId="77777777" w:rsidR="006234EE" w:rsidRDefault="006234EE" w:rsidP="002948CF">
            <w:pPr>
              <w:spacing w:after="0" w:line="240" w:lineRule="auto"/>
              <w:jc w:val="center"/>
              <w:rPr>
                <w:rFonts w:ascii="Times New Roman" w:hAnsi="Times New Roman"/>
                <w:sz w:val="20"/>
                <w:szCs w:val="20"/>
              </w:rPr>
            </w:pPr>
            <w:r>
              <w:rPr>
                <w:rFonts w:ascii="Times New Roman" w:hAnsi="Times New Roman"/>
                <w:sz w:val="20"/>
                <w:szCs w:val="20"/>
              </w:rPr>
              <w:t>Certaine</w:t>
            </w:r>
          </w:p>
        </w:tc>
        <w:tc>
          <w:tcPr>
            <w:tcW w:w="588" w:type="pct"/>
            <w:gridSpan w:val="2"/>
            <w:tcBorders>
              <w:top w:val="single" w:sz="4" w:space="0" w:color="auto"/>
              <w:left w:val="single" w:sz="4" w:space="0" w:color="auto"/>
              <w:bottom w:val="single" w:sz="4" w:space="0" w:color="auto"/>
              <w:right w:val="single" w:sz="4" w:space="0" w:color="auto"/>
            </w:tcBorders>
            <w:vAlign w:val="center"/>
            <w:hideMark/>
          </w:tcPr>
          <w:p w14:paraId="4DD189AA" w14:textId="77777777" w:rsidR="006234EE" w:rsidRDefault="006234EE" w:rsidP="002948CF">
            <w:pPr>
              <w:spacing w:after="0" w:line="240" w:lineRule="auto"/>
              <w:jc w:val="center"/>
              <w:rPr>
                <w:rFonts w:ascii="Times New Roman" w:hAnsi="Times New Roman"/>
                <w:sz w:val="20"/>
                <w:szCs w:val="20"/>
              </w:rPr>
            </w:pPr>
            <w:r>
              <w:rPr>
                <w:rFonts w:ascii="Times New Roman" w:hAnsi="Times New Roman"/>
                <w:sz w:val="20"/>
                <w:szCs w:val="20"/>
              </w:rPr>
              <w:t>Réversible</w:t>
            </w:r>
          </w:p>
        </w:tc>
        <w:tc>
          <w:tcPr>
            <w:tcW w:w="1165" w:type="pct"/>
            <w:gridSpan w:val="2"/>
            <w:tcBorders>
              <w:top w:val="single" w:sz="4" w:space="0" w:color="auto"/>
              <w:left w:val="single" w:sz="4" w:space="0" w:color="auto"/>
              <w:bottom w:val="single" w:sz="4" w:space="0" w:color="auto"/>
              <w:right w:val="single" w:sz="4" w:space="0" w:color="auto"/>
            </w:tcBorders>
            <w:vAlign w:val="center"/>
            <w:hideMark/>
          </w:tcPr>
          <w:p w14:paraId="7A9B0B68" w14:textId="77777777" w:rsidR="006234EE" w:rsidRDefault="006234EE" w:rsidP="002948CF">
            <w:pPr>
              <w:spacing w:after="0" w:line="240" w:lineRule="auto"/>
              <w:jc w:val="center"/>
              <w:rPr>
                <w:rFonts w:ascii="Times New Roman" w:hAnsi="Times New Roman"/>
                <w:sz w:val="20"/>
                <w:szCs w:val="20"/>
              </w:rPr>
            </w:pPr>
            <w:r>
              <w:rPr>
                <w:rFonts w:ascii="Times New Roman" w:hAnsi="Times New Roman"/>
                <w:sz w:val="20"/>
                <w:szCs w:val="20"/>
              </w:rPr>
              <w:t>Non</w:t>
            </w:r>
          </w:p>
        </w:tc>
      </w:tr>
      <w:tr w:rsidR="006234EE" w:rsidRPr="00420C1B" w14:paraId="3AA9583B" w14:textId="77777777" w:rsidTr="002948CF">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820540" w14:textId="77777777" w:rsidR="006234EE" w:rsidRDefault="006234EE" w:rsidP="002948CF">
            <w:pPr>
              <w:spacing w:after="0" w:line="240" w:lineRule="auto"/>
              <w:rPr>
                <w:rFonts w:ascii="Times New Roman" w:hAnsi="Times New Roman"/>
                <w:b/>
                <w:sz w:val="20"/>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4101AE8" w14:textId="77777777" w:rsidR="006234EE" w:rsidRDefault="006234EE" w:rsidP="002948CF">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hideMark/>
          </w:tcPr>
          <w:p w14:paraId="48E4E1AA" w14:textId="77777777" w:rsidR="006234EE" w:rsidRDefault="006234EE" w:rsidP="002948CF">
            <w:pPr>
              <w:autoSpaceDE w:val="0"/>
              <w:autoSpaceDN w:val="0"/>
              <w:adjustRightInd w:val="0"/>
              <w:spacing w:after="0" w:line="240" w:lineRule="auto"/>
              <w:rPr>
                <w:rFonts w:ascii="Times New Roman" w:eastAsia="Times New Roman" w:hAnsi="Times New Roman"/>
                <w:b/>
                <w:bCs/>
                <w:i/>
                <w:sz w:val="20"/>
                <w:szCs w:val="20"/>
              </w:rPr>
            </w:pPr>
            <w:r>
              <w:rPr>
                <w:rFonts w:ascii="Times New Roman" w:eastAsia="Times New Roman" w:hAnsi="Times New Roman"/>
                <w:b/>
                <w:bCs/>
                <w:i/>
                <w:sz w:val="20"/>
                <w:szCs w:val="20"/>
              </w:rPr>
              <w:t xml:space="preserve">Fréquence </w:t>
            </w:r>
          </w:p>
        </w:tc>
        <w:tc>
          <w:tcPr>
            <w:tcW w:w="1180" w:type="pct"/>
            <w:gridSpan w:val="5"/>
            <w:tcBorders>
              <w:top w:val="single" w:sz="4" w:space="0" w:color="auto"/>
              <w:left w:val="single" w:sz="4" w:space="0" w:color="auto"/>
              <w:bottom w:val="single" w:sz="4" w:space="0" w:color="auto"/>
              <w:right w:val="single" w:sz="4" w:space="0" w:color="auto"/>
            </w:tcBorders>
            <w:vAlign w:val="center"/>
            <w:hideMark/>
          </w:tcPr>
          <w:p w14:paraId="0FB2171E" w14:textId="77777777" w:rsidR="006234EE" w:rsidRDefault="006234EE" w:rsidP="002948CF">
            <w:pPr>
              <w:spacing w:after="0" w:line="240" w:lineRule="auto"/>
              <w:jc w:val="center"/>
              <w:rPr>
                <w:rFonts w:ascii="Times New Roman" w:hAnsi="Times New Roman"/>
                <w:sz w:val="20"/>
                <w:szCs w:val="20"/>
              </w:rPr>
            </w:pPr>
            <w:r>
              <w:rPr>
                <w:rFonts w:ascii="Times New Roman" w:hAnsi="Times New Roman"/>
                <w:b/>
                <w:sz w:val="20"/>
                <w:szCs w:val="20"/>
              </w:rPr>
              <w:t>Valeur</w:t>
            </w:r>
          </w:p>
        </w:tc>
        <w:tc>
          <w:tcPr>
            <w:tcW w:w="588" w:type="pct"/>
            <w:gridSpan w:val="2"/>
            <w:tcBorders>
              <w:top w:val="single" w:sz="4" w:space="0" w:color="auto"/>
              <w:left w:val="single" w:sz="4" w:space="0" w:color="auto"/>
              <w:bottom w:val="single" w:sz="4" w:space="0" w:color="auto"/>
              <w:right w:val="single" w:sz="4" w:space="0" w:color="auto"/>
            </w:tcBorders>
            <w:vAlign w:val="center"/>
          </w:tcPr>
          <w:p w14:paraId="3E2DA401" w14:textId="77777777" w:rsidR="006234EE" w:rsidRDefault="006234EE" w:rsidP="002948CF">
            <w:pPr>
              <w:spacing w:after="0" w:line="240" w:lineRule="auto"/>
              <w:jc w:val="center"/>
              <w:rPr>
                <w:rFonts w:ascii="Times New Roman" w:hAnsi="Times New Roman"/>
                <w:sz w:val="20"/>
                <w:szCs w:val="20"/>
              </w:rPr>
            </w:pPr>
          </w:p>
        </w:tc>
        <w:tc>
          <w:tcPr>
            <w:tcW w:w="1165" w:type="pct"/>
            <w:gridSpan w:val="2"/>
            <w:tcBorders>
              <w:top w:val="single" w:sz="4" w:space="0" w:color="auto"/>
              <w:left w:val="single" w:sz="4" w:space="0" w:color="auto"/>
              <w:bottom w:val="single" w:sz="4" w:space="0" w:color="auto"/>
              <w:right w:val="single" w:sz="4" w:space="0" w:color="auto"/>
            </w:tcBorders>
            <w:vAlign w:val="center"/>
          </w:tcPr>
          <w:p w14:paraId="77F9867D" w14:textId="77777777" w:rsidR="006234EE" w:rsidRDefault="006234EE" w:rsidP="002948CF">
            <w:pPr>
              <w:spacing w:after="0" w:line="240" w:lineRule="auto"/>
              <w:jc w:val="both"/>
              <w:rPr>
                <w:rFonts w:ascii="Times New Roman" w:hAnsi="Times New Roman"/>
                <w:sz w:val="20"/>
                <w:szCs w:val="20"/>
              </w:rPr>
            </w:pPr>
          </w:p>
        </w:tc>
      </w:tr>
      <w:tr w:rsidR="006234EE" w:rsidRPr="00420C1B" w14:paraId="445707A6" w14:textId="77777777" w:rsidTr="002948CF">
        <w:trPr>
          <w:trHeight w:val="2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A9BCA" w14:textId="77777777" w:rsidR="006234EE" w:rsidRDefault="006234EE" w:rsidP="002948CF">
            <w:pPr>
              <w:spacing w:after="0" w:line="240" w:lineRule="auto"/>
              <w:rPr>
                <w:rFonts w:ascii="Times New Roman" w:hAnsi="Times New Roman"/>
                <w:b/>
                <w:sz w:val="20"/>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5274B61" w14:textId="77777777" w:rsidR="006234EE" w:rsidRDefault="006234EE" w:rsidP="002948CF">
            <w:pPr>
              <w:spacing w:after="0" w:line="240" w:lineRule="auto"/>
              <w:rPr>
                <w:rFonts w:ascii="Times New Roman" w:eastAsia="Times New Roman" w:hAnsi="Times New Roman"/>
                <w:bCs/>
                <w:sz w:val="20"/>
                <w:szCs w:val="20"/>
              </w:rPr>
            </w:pPr>
          </w:p>
        </w:tc>
        <w:tc>
          <w:tcPr>
            <w:tcW w:w="639" w:type="pct"/>
            <w:gridSpan w:val="2"/>
            <w:tcBorders>
              <w:top w:val="single" w:sz="4" w:space="0" w:color="auto"/>
              <w:left w:val="single" w:sz="4" w:space="0" w:color="auto"/>
              <w:bottom w:val="single" w:sz="4" w:space="0" w:color="auto"/>
              <w:right w:val="single" w:sz="4" w:space="0" w:color="auto"/>
            </w:tcBorders>
            <w:vAlign w:val="center"/>
            <w:hideMark/>
          </w:tcPr>
          <w:p w14:paraId="2F83AE84" w14:textId="77777777" w:rsidR="006234EE" w:rsidRDefault="006234EE" w:rsidP="002948CF">
            <w:pPr>
              <w:spacing w:after="0" w:line="240" w:lineRule="auto"/>
              <w:jc w:val="both"/>
              <w:rPr>
                <w:rFonts w:ascii="Times New Roman" w:hAnsi="Times New Roman"/>
                <w:sz w:val="20"/>
                <w:szCs w:val="20"/>
              </w:rPr>
            </w:pPr>
            <w:r>
              <w:rPr>
                <w:rFonts w:ascii="Times New Roman" w:hAnsi="Times New Roman"/>
                <w:sz w:val="20"/>
                <w:szCs w:val="20"/>
              </w:rPr>
              <w:t>Périodique</w:t>
            </w:r>
          </w:p>
        </w:tc>
        <w:tc>
          <w:tcPr>
            <w:tcW w:w="1767" w:type="pct"/>
            <w:gridSpan w:val="7"/>
            <w:tcBorders>
              <w:top w:val="single" w:sz="4" w:space="0" w:color="auto"/>
              <w:left w:val="single" w:sz="4" w:space="0" w:color="auto"/>
              <w:bottom w:val="single" w:sz="4" w:space="0" w:color="auto"/>
              <w:right w:val="single" w:sz="4" w:space="0" w:color="auto"/>
            </w:tcBorders>
            <w:vAlign w:val="center"/>
            <w:hideMark/>
          </w:tcPr>
          <w:p w14:paraId="69CAD578" w14:textId="77777777" w:rsidR="006234EE" w:rsidRDefault="006234EE" w:rsidP="002948CF">
            <w:pPr>
              <w:spacing w:after="0" w:line="240" w:lineRule="auto"/>
              <w:jc w:val="both"/>
              <w:rPr>
                <w:rFonts w:ascii="Times New Roman" w:hAnsi="Times New Roman"/>
                <w:sz w:val="20"/>
                <w:szCs w:val="20"/>
              </w:rPr>
            </w:pPr>
            <w:r>
              <w:rPr>
                <w:rFonts w:ascii="Times New Roman" w:eastAsia="Times New Roman" w:hAnsi="Times New Roman"/>
                <w:bCs/>
                <w:sz w:val="20"/>
                <w:szCs w:val="20"/>
              </w:rPr>
              <w:t xml:space="preserve">Economique, Socio culturel </w:t>
            </w:r>
          </w:p>
        </w:tc>
        <w:tc>
          <w:tcPr>
            <w:tcW w:w="1165" w:type="pct"/>
            <w:gridSpan w:val="2"/>
          </w:tcPr>
          <w:p w14:paraId="256C3C6E" w14:textId="77777777" w:rsidR="006234EE" w:rsidRDefault="006234EE" w:rsidP="002948CF">
            <w:pPr>
              <w:spacing w:after="0" w:line="240" w:lineRule="auto"/>
              <w:rPr>
                <w:rFonts w:ascii="Times New Roman" w:hAnsi="Times New Roman"/>
                <w:sz w:val="20"/>
                <w:szCs w:val="20"/>
              </w:rPr>
            </w:pPr>
          </w:p>
        </w:tc>
      </w:tr>
      <w:tr w:rsidR="006234EE" w:rsidRPr="00420C1B" w14:paraId="48EAC648" w14:textId="77777777" w:rsidTr="002948CF">
        <w:trPr>
          <w:trHeight w:val="9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CD5447" w14:textId="77777777" w:rsidR="006234EE" w:rsidRDefault="006234EE" w:rsidP="002948CF">
            <w:pPr>
              <w:spacing w:after="0" w:line="240" w:lineRule="auto"/>
              <w:rPr>
                <w:rFonts w:ascii="Times New Roman" w:hAnsi="Times New Roman"/>
                <w:b/>
                <w:sz w:val="20"/>
                <w:szCs w:val="20"/>
              </w:rPr>
            </w:pPr>
          </w:p>
        </w:tc>
        <w:tc>
          <w:tcPr>
            <w:tcW w:w="781" w:type="pct"/>
            <w:gridSpan w:val="2"/>
            <w:tcBorders>
              <w:top w:val="single" w:sz="4" w:space="0" w:color="auto"/>
              <w:left w:val="single" w:sz="4" w:space="0" w:color="auto"/>
              <w:bottom w:val="single" w:sz="4" w:space="0" w:color="auto"/>
              <w:right w:val="single" w:sz="4" w:space="0" w:color="auto"/>
            </w:tcBorders>
            <w:hideMark/>
          </w:tcPr>
          <w:p w14:paraId="352713FE" w14:textId="77777777" w:rsidR="006234EE" w:rsidRDefault="006234EE" w:rsidP="002948CF">
            <w:pPr>
              <w:spacing w:after="0" w:line="240" w:lineRule="auto"/>
              <w:rPr>
                <w:rFonts w:ascii="Times New Roman" w:eastAsia="Times New Roman" w:hAnsi="Times New Roman"/>
                <w:b/>
                <w:sz w:val="20"/>
                <w:szCs w:val="20"/>
                <w:lang w:eastAsia="fr-FR"/>
              </w:rPr>
            </w:pPr>
            <w:r>
              <w:rPr>
                <w:rFonts w:ascii="Times New Roman" w:hAnsi="Times New Roman"/>
                <w:b/>
                <w:sz w:val="20"/>
                <w:szCs w:val="20"/>
              </w:rPr>
              <w:t>Analyse</w:t>
            </w:r>
          </w:p>
        </w:tc>
        <w:tc>
          <w:tcPr>
            <w:tcW w:w="3571" w:type="pct"/>
            <w:gridSpan w:val="11"/>
            <w:tcBorders>
              <w:top w:val="single" w:sz="4" w:space="0" w:color="auto"/>
              <w:left w:val="single" w:sz="4" w:space="0" w:color="auto"/>
              <w:bottom w:val="single" w:sz="4" w:space="0" w:color="auto"/>
              <w:right w:val="single" w:sz="4" w:space="0" w:color="auto"/>
            </w:tcBorders>
            <w:hideMark/>
          </w:tcPr>
          <w:p w14:paraId="3736B5D7" w14:textId="77777777" w:rsidR="006234EE" w:rsidRDefault="006234EE" w:rsidP="002948CF">
            <w:pPr>
              <w:spacing w:before="60" w:after="0" w:line="240" w:lineRule="auto"/>
              <w:jc w:val="both"/>
              <w:rPr>
                <w:rFonts w:ascii="Times New Roman" w:eastAsia="Times New Roman" w:hAnsi="Times New Roman"/>
                <w:bCs/>
                <w:sz w:val="20"/>
                <w:szCs w:val="20"/>
              </w:rPr>
            </w:pPr>
            <w:r>
              <w:rPr>
                <w:rFonts w:ascii="Times New Roman" w:eastAsia="Times New Roman" w:hAnsi="Times New Roman"/>
                <w:bCs/>
                <w:sz w:val="20"/>
                <w:szCs w:val="20"/>
              </w:rPr>
              <w:t>Les travaux d’entretien du réseau vont occasionner des coupures intempestives d’électricité, qui seront à la base des désagréments de la part des consommateurs (populations) et des disfonctionnements de certains services au niveau des hôpitaux et centre de santé, notamment à la néonatologie, morgue, soins d’urgences, etc.</w:t>
            </w:r>
          </w:p>
        </w:tc>
      </w:tr>
      <w:tr w:rsidR="006234EE" w:rsidRPr="00420C1B" w14:paraId="58A4CBDB" w14:textId="77777777" w:rsidTr="002948CF">
        <w:trPr>
          <w:trHeight w:val="492"/>
          <w:jc w:val="center"/>
        </w:trPr>
        <w:tc>
          <w:tcPr>
            <w:tcW w:w="1429" w:type="pct"/>
            <w:gridSpan w:val="3"/>
            <w:tcBorders>
              <w:top w:val="single" w:sz="4" w:space="0" w:color="auto"/>
              <w:left w:val="single" w:sz="4" w:space="0" w:color="auto"/>
              <w:bottom w:val="single" w:sz="4" w:space="0" w:color="auto"/>
              <w:right w:val="single" w:sz="4" w:space="0" w:color="auto"/>
            </w:tcBorders>
            <w:hideMark/>
          </w:tcPr>
          <w:p w14:paraId="71C59570" w14:textId="77777777" w:rsidR="006234EE" w:rsidRDefault="006234EE" w:rsidP="002948CF">
            <w:pPr>
              <w:spacing w:after="0" w:line="240" w:lineRule="auto"/>
              <w:jc w:val="both"/>
              <w:rPr>
                <w:rFonts w:ascii="Times New Roman" w:eastAsia="Times New Roman" w:hAnsi="Times New Roman"/>
                <w:sz w:val="20"/>
                <w:szCs w:val="20"/>
                <w:lang w:eastAsia="fr-FR"/>
              </w:rPr>
            </w:pPr>
            <w:r>
              <w:rPr>
                <w:rFonts w:ascii="Times New Roman" w:hAnsi="Times New Roman"/>
                <w:b/>
                <w:sz w:val="20"/>
                <w:szCs w:val="20"/>
              </w:rPr>
              <w:t>Titre de la mesure d’atténuation</w:t>
            </w:r>
            <w:r>
              <w:rPr>
                <w:rFonts w:ascii="Times New Roman" w:hAnsi="Times New Roman"/>
                <w:sz w:val="20"/>
                <w:szCs w:val="20"/>
              </w:rPr>
              <w:t xml:space="preserve"> : </w:t>
            </w:r>
          </w:p>
        </w:tc>
        <w:tc>
          <w:tcPr>
            <w:tcW w:w="3571" w:type="pct"/>
            <w:gridSpan w:val="11"/>
            <w:tcBorders>
              <w:top w:val="single" w:sz="4" w:space="0" w:color="auto"/>
              <w:left w:val="single" w:sz="4" w:space="0" w:color="auto"/>
              <w:bottom w:val="single" w:sz="4" w:space="0" w:color="auto"/>
              <w:right w:val="single" w:sz="4" w:space="0" w:color="auto"/>
            </w:tcBorders>
            <w:hideMark/>
          </w:tcPr>
          <w:p w14:paraId="4402EF5C" w14:textId="77777777" w:rsidR="006234EE" w:rsidRDefault="006234EE" w:rsidP="002948CF">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Informer la population au moins 72 heures à l’avance des interventions devant être effectuée sur le réseau, de leur durée et du moment de rétablissement de la fourniture ;</w:t>
            </w:r>
          </w:p>
          <w:p w14:paraId="3FA5780F" w14:textId="77777777" w:rsidR="006234EE" w:rsidRDefault="006234EE" w:rsidP="002948CF">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Assurer largement diffusion des communiquer des interventions prévues sur le réseau dans les radios et télévision locales et les réseaux sociaux;</w:t>
            </w:r>
          </w:p>
          <w:p w14:paraId="49FBB6E8" w14:textId="77777777" w:rsidR="006234EE" w:rsidRDefault="006234EE" w:rsidP="002948CF">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Programmer les entretiens périodiques des installations et du réseau.</w:t>
            </w:r>
          </w:p>
        </w:tc>
      </w:tr>
      <w:tr w:rsidR="006234EE" w:rsidRPr="00420C1B" w14:paraId="13E61795" w14:textId="77777777" w:rsidTr="002948CF">
        <w:trPr>
          <w:trHeight w:val="1018"/>
          <w:jc w:val="center"/>
        </w:trPr>
        <w:tc>
          <w:tcPr>
            <w:tcW w:w="1429" w:type="pct"/>
            <w:gridSpan w:val="3"/>
            <w:tcBorders>
              <w:top w:val="single" w:sz="4" w:space="0" w:color="auto"/>
              <w:left w:val="single" w:sz="4" w:space="0" w:color="auto"/>
              <w:bottom w:val="single" w:sz="4" w:space="0" w:color="auto"/>
              <w:right w:val="single" w:sz="4" w:space="0" w:color="auto"/>
            </w:tcBorders>
            <w:hideMark/>
          </w:tcPr>
          <w:p w14:paraId="452D67C6" w14:textId="77777777" w:rsidR="006234EE" w:rsidRDefault="006234EE" w:rsidP="002948CF">
            <w:pPr>
              <w:spacing w:after="0" w:line="240" w:lineRule="auto"/>
              <w:rPr>
                <w:rFonts w:ascii="Times New Roman" w:hAnsi="Times New Roman"/>
                <w:sz w:val="20"/>
                <w:szCs w:val="20"/>
              </w:rPr>
            </w:pPr>
            <w:r>
              <w:rPr>
                <w:rFonts w:ascii="Times New Roman" w:hAnsi="Times New Roman"/>
                <w:b/>
                <w:sz w:val="20"/>
                <w:szCs w:val="20"/>
              </w:rPr>
              <w:t>Objectif de la mesure d’atténuation</w:t>
            </w:r>
            <w:r>
              <w:rPr>
                <w:rFonts w:ascii="Times New Roman" w:hAnsi="Times New Roman"/>
                <w:sz w:val="20"/>
                <w:szCs w:val="20"/>
              </w:rPr>
              <w:t xml:space="preserve"> : </w:t>
            </w:r>
          </w:p>
          <w:p w14:paraId="79F30140" w14:textId="77777777" w:rsidR="006234EE" w:rsidRDefault="006234EE" w:rsidP="002948CF">
            <w:pPr>
              <w:spacing w:after="0" w:line="240"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Limiter les risques de perturbation des activités socio-économiques de la population</w:t>
            </w:r>
          </w:p>
        </w:tc>
        <w:tc>
          <w:tcPr>
            <w:tcW w:w="3571" w:type="pct"/>
            <w:gridSpan w:val="11"/>
            <w:tcBorders>
              <w:top w:val="single" w:sz="4" w:space="0" w:color="auto"/>
              <w:left w:val="single" w:sz="4" w:space="0" w:color="auto"/>
              <w:bottom w:val="single" w:sz="4" w:space="0" w:color="auto"/>
              <w:right w:val="single" w:sz="4" w:space="0" w:color="auto"/>
            </w:tcBorders>
            <w:hideMark/>
          </w:tcPr>
          <w:p w14:paraId="7A83EAC9" w14:textId="77777777" w:rsidR="006234EE" w:rsidRDefault="006234EE" w:rsidP="002948CF">
            <w:pPr>
              <w:autoSpaceDE w:val="0"/>
              <w:autoSpaceDN w:val="0"/>
              <w:adjustRightInd w:val="0"/>
              <w:spacing w:after="80" w:line="240" w:lineRule="auto"/>
              <w:rPr>
                <w:rFonts w:ascii="Times New Roman" w:eastAsia="Times New Roman" w:hAnsi="Times New Roman"/>
                <w:sz w:val="20"/>
                <w:szCs w:val="20"/>
                <w:lang w:eastAsia="fr-FR"/>
              </w:rPr>
            </w:pPr>
            <w:r>
              <w:rPr>
                <w:rFonts w:ascii="Times New Roman" w:hAnsi="Times New Roman"/>
                <w:b/>
                <w:sz w:val="20"/>
                <w:szCs w:val="20"/>
                <w:u w:val="single"/>
              </w:rPr>
              <w:t>Description</w:t>
            </w:r>
            <w:r>
              <w:rPr>
                <w:rFonts w:ascii="Times New Roman" w:hAnsi="Times New Roman"/>
                <w:sz w:val="20"/>
                <w:szCs w:val="20"/>
              </w:rPr>
              <w:t xml:space="preserve"> : </w:t>
            </w:r>
          </w:p>
          <w:p w14:paraId="31D3087F" w14:textId="77777777" w:rsidR="006234EE" w:rsidRDefault="006234EE" w:rsidP="002948CF">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Réduire aux minimum voir supprimer des coupures intempestives d’électricité</w:t>
            </w:r>
          </w:p>
          <w:p w14:paraId="07F9C423" w14:textId="77777777" w:rsidR="006234EE" w:rsidRDefault="006234EE" w:rsidP="002948CF">
            <w:pPr>
              <w:numPr>
                <w:ilvl w:val="0"/>
                <w:numId w:val="382"/>
              </w:numPr>
              <w:autoSpaceDE w:val="0"/>
              <w:autoSpaceDN w:val="0"/>
              <w:adjustRightInd w:val="0"/>
              <w:spacing w:after="0" w:line="240" w:lineRule="auto"/>
              <w:ind w:left="220" w:hanging="282"/>
              <w:contextualSpacing/>
              <w:jc w:val="both"/>
              <w:rPr>
                <w:rFonts w:ascii="Times New Roman" w:eastAsia="Times New Roman" w:hAnsi="Times New Roman"/>
                <w:sz w:val="20"/>
                <w:szCs w:val="20"/>
                <w:lang w:eastAsia="fr-FR"/>
              </w:rPr>
            </w:pPr>
            <w:r>
              <w:rPr>
                <w:rFonts w:ascii="Times New Roman" w:eastAsia="Times New Roman" w:hAnsi="Times New Roman"/>
                <w:sz w:val="20"/>
                <w:szCs w:val="20"/>
                <w:lang w:eastAsia="fr-FR"/>
              </w:rPr>
              <w:t>Mettre en place un programme de maintenance préventive du réseau et de ses composantes (cabines : entretien du transformateur et disjoncteur ; poteaux : vérification de l’état des poteaux ; lignes : vérification des états des isolateurs et des câbles électriques)</w:t>
            </w:r>
          </w:p>
        </w:tc>
      </w:tr>
      <w:tr w:rsidR="006234EE" w:rsidRPr="00420C1B" w14:paraId="62B326BF" w14:textId="77777777" w:rsidTr="002948CF">
        <w:trPr>
          <w:trHeight w:val="250"/>
          <w:jc w:val="center"/>
        </w:trPr>
        <w:tc>
          <w:tcPr>
            <w:tcW w:w="1429" w:type="pct"/>
            <w:gridSpan w:val="3"/>
            <w:tcBorders>
              <w:top w:val="single" w:sz="4" w:space="0" w:color="auto"/>
              <w:left w:val="single" w:sz="4" w:space="0" w:color="auto"/>
              <w:bottom w:val="single" w:sz="4" w:space="0" w:color="auto"/>
              <w:right w:val="single" w:sz="4" w:space="0" w:color="auto"/>
            </w:tcBorders>
            <w:hideMark/>
          </w:tcPr>
          <w:p w14:paraId="7D2370B0" w14:textId="77777777" w:rsidR="006234EE" w:rsidRDefault="006234EE" w:rsidP="002948CF">
            <w:pPr>
              <w:spacing w:after="0" w:line="240" w:lineRule="auto"/>
              <w:jc w:val="right"/>
              <w:rPr>
                <w:rFonts w:ascii="Times New Roman" w:hAnsi="Times New Roman"/>
                <w:b/>
                <w:sz w:val="20"/>
                <w:szCs w:val="20"/>
              </w:rPr>
            </w:pPr>
            <w:r>
              <w:rPr>
                <w:rFonts w:ascii="Times New Roman" w:hAnsi="Times New Roman"/>
                <w:b/>
                <w:sz w:val="20"/>
                <w:szCs w:val="20"/>
              </w:rPr>
              <w:t>Impact résiduel</w:t>
            </w:r>
          </w:p>
        </w:tc>
        <w:tc>
          <w:tcPr>
            <w:tcW w:w="3376" w:type="pct"/>
            <w:gridSpan w:val="10"/>
            <w:tcBorders>
              <w:top w:val="single" w:sz="4" w:space="0" w:color="auto"/>
              <w:left w:val="single" w:sz="4" w:space="0" w:color="auto"/>
              <w:bottom w:val="single" w:sz="4" w:space="0" w:color="auto"/>
              <w:right w:val="single" w:sz="4" w:space="0" w:color="auto"/>
            </w:tcBorders>
            <w:hideMark/>
          </w:tcPr>
          <w:p w14:paraId="53A70DAB" w14:textId="77777777" w:rsidR="006234EE" w:rsidRDefault="006234EE" w:rsidP="002948CF">
            <w:pPr>
              <w:autoSpaceDE w:val="0"/>
              <w:autoSpaceDN w:val="0"/>
              <w:adjustRightInd w:val="0"/>
              <w:spacing w:after="0" w:line="240" w:lineRule="auto"/>
              <w:rPr>
                <w:rFonts w:ascii="Times New Roman" w:hAnsi="Times New Roman"/>
                <w:sz w:val="20"/>
                <w:szCs w:val="20"/>
                <w:u w:val="single"/>
              </w:rPr>
            </w:pPr>
            <w:r>
              <w:rPr>
                <w:rFonts w:ascii="Times New Roman" w:hAnsi="Times New Roman"/>
                <w:sz w:val="20"/>
                <w:szCs w:val="20"/>
                <w:u w:val="single"/>
              </w:rPr>
              <w:t xml:space="preserve">Mineur </w:t>
            </w:r>
          </w:p>
        </w:tc>
        <w:tc>
          <w:tcPr>
            <w:tcW w:w="195" w:type="pct"/>
            <w:tcBorders>
              <w:top w:val="single" w:sz="4" w:space="0" w:color="auto"/>
              <w:left w:val="single" w:sz="4" w:space="0" w:color="auto"/>
              <w:bottom w:val="single" w:sz="4" w:space="0" w:color="auto"/>
              <w:right w:val="single" w:sz="4" w:space="0" w:color="auto"/>
            </w:tcBorders>
          </w:tcPr>
          <w:p w14:paraId="4AC42B04" w14:textId="77777777" w:rsidR="006234EE" w:rsidRDefault="006234EE" w:rsidP="002948CF">
            <w:pPr>
              <w:autoSpaceDE w:val="0"/>
              <w:autoSpaceDN w:val="0"/>
              <w:adjustRightInd w:val="0"/>
              <w:spacing w:after="0" w:line="240" w:lineRule="auto"/>
              <w:rPr>
                <w:rFonts w:ascii="Times New Roman" w:hAnsi="Times New Roman"/>
                <w:sz w:val="20"/>
                <w:szCs w:val="20"/>
                <w:u w:val="single"/>
              </w:rPr>
            </w:pPr>
          </w:p>
        </w:tc>
      </w:tr>
      <w:tr w:rsidR="006234EE" w:rsidRPr="00420C1B" w14:paraId="7F0150CD" w14:textId="77777777" w:rsidTr="002948CF">
        <w:trPr>
          <w:trHeight w:val="545"/>
          <w:jc w:val="center"/>
        </w:trPr>
        <w:tc>
          <w:tcPr>
            <w:tcW w:w="1429" w:type="pct"/>
            <w:gridSpan w:val="3"/>
            <w:tcBorders>
              <w:top w:val="single" w:sz="4" w:space="0" w:color="auto"/>
              <w:left w:val="single" w:sz="4" w:space="0" w:color="auto"/>
              <w:bottom w:val="single" w:sz="4" w:space="0" w:color="auto"/>
              <w:right w:val="single" w:sz="4" w:space="0" w:color="auto"/>
            </w:tcBorders>
            <w:hideMark/>
          </w:tcPr>
          <w:p w14:paraId="0DE2559E" w14:textId="77777777" w:rsidR="006234EE" w:rsidRDefault="006234EE"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surveillance</w:t>
            </w:r>
          </w:p>
          <w:p w14:paraId="3EFB34E9" w14:textId="77777777" w:rsidR="006234EE" w:rsidRDefault="006234EE" w:rsidP="002948CF">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Mission de Contrôle (MdC) ;</w:t>
            </w:r>
          </w:p>
          <w:p w14:paraId="4629B66C" w14:textId="77777777" w:rsidR="006234EE" w:rsidRDefault="006234EE" w:rsidP="002948CF">
            <w:pPr>
              <w:numPr>
                <w:ilvl w:val="0"/>
                <w:numId w:val="383"/>
              </w:numPr>
              <w:autoSpaceDE w:val="0"/>
              <w:autoSpaceDN w:val="0"/>
              <w:adjustRightInd w:val="0"/>
              <w:spacing w:after="0" w:line="240" w:lineRule="auto"/>
              <w:ind w:left="119" w:hanging="119"/>
              <w:contextualSpacing/>
              <w:jc w:val="both"/>
              <w:rPr>
                <w:rFonts w:ascii="Times New Roman" w:hAnsi="Times New Roman"/>
                <w:sz w:val="20"/>
                <w:szCs w:val="20"/>
              </w:rPr>
            </w:pPr>
            <w:r>
              <w:rPr>
                <w:rFonts w:ascii="Times New Roman" w:hAnsi="Times New Roman"/>
                <w:sz w:val="20"/>
                <w:szCs w:val="20"/>
              </w:rPr>
              <w:t>Agence Congolaise de l’Environnement (ACE) </w:t>
            </w:r>
          </w:p>
        </w:tc>
        <w:tc>
          <w:tcPr>
            <w:tcW w:w="2406" w:type="pct"/>
            <w:gridSpan w:val="9"/>
            <w:tcBorders>
              <w:top w:val="single" w:sz="4" w:space="0" w:color="auto"/>
              <w:left w:val="single" w:sz="4" w:space="0" w:color="auto"/>
              <w:bottom w:val="single" w:sz="4" w:space="0" w:color="auto"/>
              <w:right w:val="single" w:sz="4" w:space="0" w:color="auto"/>
            </w:tcBorders>
            <w:hideMark/>
          </w:tcPr>
          <w:p w14:paraId="494816AA" w14:textId="77777777" w:rsidR="006234EE" w:rsidRDefault="006234EE"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Acteurs de suivi</w:t>
            </w:r>
          </w:p>
          <w:p w14:paraId="6D9A51E5" w14:textId="77777777" w:rsidR="006234EE" w:rsidRDefault="006234EE" w:rsidP="002948CF">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Cellule Provinciale de l’Environnement (CPE) ;</w:t>
            </w:r>
          </w:p>
          <w:p w14:paraId="5444ABBC" w14:textId="77777777" w:rsidR="006234EE" w:rsidRDefault="006234EE" w:rsidP="002948CF">
            <w:pPr>
              <w:numPr>
                <w:ilvl w:val="0"/>
                <w:numId w:val="382"/>
              </w:numPr>
              <w:autoSpaceDE w:val="0"/>
              <w:autoSpaceDN w:val="0"/>
              <w:adjustRightInd w:val="0"/>
              <w:spacing w:after="0" w:line="240" w:lineRule="auto"/>
              <w:ind w:left="175" w:hanging="175"/>
              <w:contextualSpacing/>
              <w:jc w:val="both"/>
              <w:rPr>
                <w:rFonts w:ascii="Times New Roman" w:hAnsi="Times New Roman"/>
                <w:sz w:val="20"/>
                <w:szCs w:val="20"/>
              </w:rPr>
            </w:pPr>
            <w:r>
              <w:rPr>
                <w:rFonts w:ascii="Times New Roman" w:hAnsi="Times New Roman"/>
                <w:sz w:val="20"/>
                <w:szCs w:val="20"/>
              </w:rPr>
              <w:t>Sous-Cellule environnementale et sociale d’UCM (SCES/UCM)</w:t>
            </w:r>
          </w:p>
          <w:p w14:paraId="697D3A90" w14:textId="77777777" w:rsidR="006234EE" w:rsidRDefault="006234EE" w:rsidP="002948CF">
            <w:pPr>
              <w:numPr>
                <w:ilvl w:val="0"/>
                <w:numId w:val="382"/>
              </w:numPr>
              <w:autoSpaceDE w:val="0"/>
              <w:autoSpaceDN w:val="0"/>
              <w:adjustRightInd w:val="0"/>
              <w:spacing w:after="0" w:line="240" w:lineRule="auto"/>
              <w:ind w:left="161" w:hanging="161"/>
              <w:contextualSpacing/>
              <w:jc w:val="both"/>
              <w:rPr>
                <w:rFonts w:ascii="Times New Roman" w:hAnsi="Times New Roman"/>
                <w:sz w:val="20"/>
                <w:szCs w:val="20"/>
              </w:rPr>
            </w:pPr>
            <w:r>
              <w:rPr>
                <w:rFonts w:ascii="Times New Roman" w:hAnsi="Times New Roman"/>
                <w:sz w:val="20"/>
                <w:szCs w:val="20"/>
              </w:rPr>
              <w:t xml:space="preserve">Service environnement des communes concernées </w:t>
            </w:r>
          </w:p>
        </w:tc>
        <w:tc>
          <w:tcPr>
            <w:tcW w:w="1165" w:type="pct"/>
            <w:gridSpan w:val="2"/>
            <w:tcBorders>
              <w:top w:val="single" w:sz="4" w:space="0" w:color="auto"/>
              <w:left w:val="single" w:sz="4" w:space="0" w:color="auto"/>
              <w:bottom w:val="single" w:sz="4" w:space="0" w:color="auto"/>
              <w:right w:val="single" w:sz="4" w:space="0" w:color="auto"/>
            </w:tcBorders>
            <w:hideMark/>
          </w:tcPr>
          <w:p w14:paraId="043C9C67" w14:textId="77777777" w:rsidR="006234EE" w:rsidRDefault="006234EE"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Indicateurs de suivi</w:t>
            </w:r>
          </w:p>
          <w:p w14:paraId="2448D916" w14:textId="77777777" w:rsidR="006234EE" w:rsidRDefault="006234EE" w:rsidP="002948CF">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Nombre de cas coupures signalés </w:t>
            </w:r>
          </w:p>
          <w:p w14:paraId="19BCE747" w14:textId="77777777" w:rsidR="006234EE" w:rsidRDefault="006234EE" w:rsidP="002948CF">
            <w:pPr>
              <w:numPr>
                <w:ilvl w:val="0"/>
                <w:numId w:val="382"/>
              </w:numPr>
              <w:autoSpaceDE w:val="0"/>
              <w:autoSpaceDN w:val="0"/>
              <w:adjustRightInd w:val="0"/>
              <w:spacing w:after="0" w:line="240" w:lineRule="auto"/>
              <w:ind w:left="166" w:hanging="166"/>
              <w:contextualSpacing/>
              <w:jc w:val="both"/>
              <w:rPr>
                <w:rFonts w:ascii="Times New Roman" w:hAnsi="Times New Roman"/>
                <w:sz w:val="20"/>
                <w:szCs w:val="20"/>
              </w:rPr>
            </w:pPr>
            <w:r>
              <w:rPr>
                <w:rFonts w:ascii="Times New Roman" w:hAnsi="Times New Roman"/>
                <w:sz w:val="20"/>
                <w:szCs w:val="20"/>
              </w:rPr>
              <w:t xml:space="preserve">Programme d’entretien préventif du réseau </w:t>
            </w:r>
          </w:p>
        </w:tc>
      </w:tr>
      <w:tr w:rsidR="006234EE" w:rsidRPr="00420C1B" w14:paraId="02715CC1" w14:textId="77777777" w:rsidTr="002948CF">
        <w:trPr>
          <w:trHeight w:val="164"/>
          <w:jc w:val="center"/>
        </w:trPr>
        <w:tc>
          <w:tcPr>
            <w:tcW w:w="649" w:type="pct"/>
            <w:tcBorders>
              <w:top w:val="single" w:sz="4" w:space="0" w:color="auto"/>
              <w:left w:val="single" w:sz="4" w:space="0" w:color="auto"/>
              <w:bottom w:val="single" w:sz="4" w:space="0" w:color="auto"/>
              <w:right w:val="single" w:sz="4" w:space="0" w:color="auto"/>
            </w:tcBorders>
            <w:hideMark/>
          </w:tcPr>
          <w:p w14:paraId="7085C9A5" w14:textId="77777777" w:rsidR="006234EE" w:rsidRDefault="006234EE"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Coût de la mesure</w:t>
            </w:r>
          </w:p>
        </w:tc>
        <w:tc>
          <w:tcPr>
            <w:tcW w:w="369" w:type="pct"/>
            <w:tcBorders>
              <w:top w:val="single" w:sz="4" w:space="0" w:color="auto"/>
              <w:left w:val="single" w:sz="4" w:space="0" w:color="auto"/>
              <w:bottom w:val="single" w:sz="4" w:space="0" w:color="auto"/>
              <w:right w:val="single" w:sz="4" w:space="0" w:color="auto"/>
            </w:tcBorders>
            <w:hideMark/>
          </w:tcPr>
          <w:p w14:paraId="5795C4D6"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Unité</w:t>
            </w:r>
          </w:p>
        </w:tc>
        <w:tc>
          <w:tcPr>
            <w:tcW w:w="521" w:type="pct"/>
            <w:gridSpan w:val="2"/>
            <w:tcBorders>
              <w:top w:val="single" w:sz="4" w:space="0" w:color="auto"/>
              <w:left w:val="single" w:sz="4" w:space="0" w:color="auto"/>
              <w:bottom w:val="single" w:sz="4" w:space="0" w:color="auto"/>
              <w:right w:val="single" w:sz="4" w:space="0" w:color="auto"/>
            </w:tcBorders>
            <w:hideMark/>
          </w:tcPr>
          <w:p w14:paraId="27AD365C"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Quantités</w:t>
            </w:r>
          </w:p>
        </w:tc>
        <w:tc>
          <w:tcPr>
            <w:tcW w:w="741" w:type="pct"/>
            <w:gridSpan w:val="2"/>
            <w:tcBorders>
              <w:top w:val="single" w:sz="4" w:space="0" w:color="auto"/>
              <w:left w:val="single" w:sz="4" w:space="0" w:color="auto"/>
              <w:bottom w:val="single" w:sz="4" w:space="0" w:color="auto"/>
              <w:right w:val="single" w:sz="4" w:space="0" w:color="auto"/>
            </w:tcBorders>
            <w:hideMark/>
          </w:tcPr>
          <w:p w14:paraId="3B0B417C"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Coûts unitaires en $</w:t>
            </w:r>
          </w:p>
        </w:tc>
        <w:tc>
          <w:tcPr>
            <w:tcW w:w="593" w:type="pct"/>
            <w:gridSpan w:val="3"/>
            <w:tcBorders>
              <w:top w:val="single" w:sz="4" w:space="0" w:color="auto"/>
              <w:left w:val="single" w:sz="4" w:space="0" w:color="auto"/>
              <w:bottom w:val="single" w:sz="4" w:space="0" w:color="auto"/>
              <w:right w:val="single" w:sz="4" w:space="0" w:color="auto"/>
            </w:tcBorders>
            <w:hideMark/>
          </w:tcPr>
          <w:p w14:paraId="39DC18A0"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Entreprise en $</w:t>
            </w:r>
          </w:p>
        </w:tc>
        <w:tc>
          <w:tcPr>
            <w:tcW w:w="445" w:type="pct"/>
            <w:gridSpan w:val="2"/>
            <w:tcBorders>
              <w:top w:val="single" w:sz="4" w:space="0" w:color="auto"/>
              <w:left w:val="single" w:sz="4" w:space="0" w:color="auto"/>
              <w:bottom w:val="single" w:sz="4" w:space="0" w:color="auto"/>
              <w:right w:val="single" w:sz="4" w:space="0" w:color="auto"/>
            </w:tcBorders>
            <w:hideMark/>
          </w:tcPr>
          <w:p w14:paraId="4BA97F27"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Projet en $</w:t>
            </w:r>
          </w:p>
        </w:tc>
        <w:tc>
          <w:tcPr>
            <w:tcW w:w="518" w:type="pct"/>
            <w:tcBorders>
              <w:top w:val="single" w:sz="4" w:space="0" w:color="auto"/>
              <w:left w:val="single" w:sz="4" w:space="0" w:color="auto"/>
              <w:bottom w:val="single" w:sz="4" w:space="0" w:color="auto"/>
              <w:right w:val="single" w:sz="4" w:space="0" w:color="auto"/>
            </w:tcBorders>
            <w:hideMark/>
          </w:tcPr>
          <w:p w14:paraId="407FCA84" w14:textId="77777777" w:rsidR="006234EE" w:rsidRDefault="006234EE" w:rsidP="002948C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Coût total</w:t>
            </w:r>
          </w:p>
        </w:tc>
        <w:tc>
          <w:tcPr>
            <w:tcW w:w="1165" w:type="pct"/>
            <w:gridSpan w:val="2"/>
            <w:tcBorders>
              <w:top w:val="single" w:sz="4" w:space="0" w:color="auto"/>
              <w:left w:val="single" w:sz="4" w:space="0" w:color="auto"/>
              <w:bottom w:val="single" w:sz="4" w:space="0" w:color="auto"/>
              <w:right w:val="single" w:sz="4" w:space="0" w:color="auto"/>
            </w:tcBorders>
            <w:hideMark/>
          </w:tcPr>
          <w:p w14:paraId="01891182"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Calendrier de mise en œuvre</w:t>
            </w:r>
          </w:p>
        </w:tc>
      </w:tr>
      <w:tr w:rsidR="006234EE" w:rsidRPr="00420C1B" w14:paraId="553A4A94" w14:textId="77777777" w:rsidTr="002948CF">
        <w:trPr>
          <w:trHeight w:val="164"/>
          <w:jc w:val="center"/>
        </w:trPr>
        <w:tc>
          <w:tcPr>
            <w:tcW w:w="649" w:type="pct"/>
            <w:tcBorders>
              <w:top w:val="single" w:sz="4" w:space="0" w:color="auto"/>
              <w:left w:val="single" w:sz="4" w:space="0" w:color="auto"/>
              <w:bottom w:val="single" w:sz="4" w:space="0" w:color="auto"/>
              <w:right w:val="single" w:sz="4" w:space="0" w:color="auto"/>
            </w:tcBorders>
            <w:hideMark/>
          </w:tcPr>
          <w:p w14:paraId="52001841" w14:textId="77777777" w:rsidR="006234EE" w:rsidRDefault="006234EE" w:rsidP="002948CF">
            <w:pPr>
              <w:autoSpaceDE w:val="0"/>
              <w:autoSpaceDN w:val="0"/>
              <w:adjustRightInd w:val="0"/>
              <w:spacing w:after="0" w:line="240" w:lineRule="auto"/>
              <w:rPr>
                <w:rFonts w:ascii="Times New Roman" w:hAnsi="Times New Roman"/>
                <w:b/>
                <w:sz w:val="20"/>
                <w:szCs w:val="20"/>
                <w:u w:val="single"/>
              </w:rPr>
            </w:pPr>
            <w:r>
              <w:rPr>
                <w:rFonts w:ascii="Times New Roman" w:hAnsi="Times New Roman"/>
                <w:b/>
                <w:sz w:val="20"/>
                <w:szCs w:val="20"/>
                <w:u w:val="single"/>
              </w:rPr>
              <w:t>RAS</w:t>
            </w:r>
          </w:p>
        </w:tc>
        <w:tc>
          <w:tcPr>
            <w:tcW w:w="369" w:type="pct"/>
            <w:tcBorders>
              <w:top w:val="single" w:sz="4" w:space="0" w:color="auto"/>
              <w:left w:val="single" w:sz="4" w:space="0" w:color="auto"/>
              <w:bottom w:val="single" w:sz="4" w:space="0" w:color="auto"/>
              <w:right w:val="single" w:sz="4" w:space="0" w:color="auto"/>
            </w:tcBorders>
            <w:hideMark/>
          </w:tcPr>
          <w:p w14:paraId="68AF472B"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21" w:type="pct"/>
            <w:gridSpan w:val="2"/>
            <w:tcBorders>
              <w:top w:val="single" w:sz="4" w:space="0" w:color="auto"/>
              <w:left w:val="single" w:sz="4" w:space="0" w:color="auto"/>
              <w:bottom w:val="single" w:sz="4" w:space="0" w:color="auto"/>
              <w:right w:val="single" w:sz="4" w:space="0" w:color="auto"/>
            </w:tcBorders>
            <w:hideMark/>
          </w:tcPr>
          <w:p w14:paraId="274A2E24"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741" w:type="pct"/>
            <w:gridSpan w:val="2"/>
            <w:tcBorders>
              <w:top w:val="single" w:sz="4" w:space="0" w:color="auto"/>
              <w:left w:val="single" w:sz="4" w:space="0" w:color="auto"/>
              <w:bottom w:val="single" w:sz="4" w:space="0" w:color="auto"/>
              <w:right w:val="single" w:sz="4" w:space="0" w:color="auto"/>
            </w:tcBorders>
            <w:hideMark/>
          </w:tcPr>
          <w:p w14:paraId="63D8D5AC"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93" w:type="pct"/>
            <w:gridSpan w:val="3"/>
            <w:tcBorders>
              <w:top w:val="single" w:sz="4" w:space="0" w:color="auto"/>
              <w:left w:val="single" w:sz="4" w:space="0" w:color="auto"/>
              <w:bottom w:val="single" w:sz="4" w:space="0" w:color="auto"/>
              <w:right w:val="single" w:sz="4" w:space="0" w:color="auto"/>
            </w:tcBorders>
            <w:hideMark/>
          </w:tcPr>
          <w:p w14:paraId="108A02FA"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445" w:type="pct"/>
            <w:gridSpan w:val="2"/>
            <w:tcBorders>
              <w:top w:val="single" w:sz="4" w:space="0" w:color="auto"/>
              <w:left w:val="single" w:sz="4" w:space="0" w:color="auto"/>
              <w:bottom w:val="single" w:sz="4" w:space="0" w:color="auto"/>
              <w:right w:val="single" w:sz="4" w:space="0" w:color="auto"/>
            </w:tcBorders>
            <w:hideMark/>
          </w:tcPr>
          <w:p w14:paraId="19A0DBFB"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r>
              <w:rPr>
                <w:rFonts w:ascii="Times New Roman" w:hAnsi="Times New Roman"/>
                <w:sz w:val="20"/>
                <w:szCs w:val="20"/>
              </w:rPr>
              <w:t>N/A</w:t>
            </w:r>
          </w:p>
        </w:tc>
        <w:tc>
          <w:tcPr>
            <w:tcW w:w="518" w:type="pct"/>
            <w:tcBorders>
              <w:top w:val="single" w:sz="4" w:space="0" w:color="auto"/>
              <w:left w:val="single" w:sz="4" w:space="0" w:color="auto"/>
              <w:bottom w:val="single" w:sz="4" w:space="0" w:color="auto"/>
              <w:right w:val="single" w:sz="4" w:space="0" w:color="auto"/>
            </w:tcBorders>
            <w:hideMark/>
          </w:tcPr>
          <w:p w14:paraId="4B23F7A3" w14:textId="77777777" w:rsidR="006234EE" w:rsidRDefault="006234EE" w:rsidP="002948CF">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N/A</w:t>
            </w:r>
          </w:p>
        </w:tc>
        <w:tc>
          <w:tcPr>
            <w:tcW w:w="1165" w:type="pct"/>
            <w:gridSpan w:val="2"/>
            <w:tcBorders>
              <w:top w:val="single" w:sz="4" w:space="0" w:color="auto"/>
              <w:left w:val="single" w:sz="4" w:space="0" w:color="auto"/>
              <w:bottom w:val="single" w:sz="4" w:space="0" w:color="auto"/>
              <w:right w:val="single" w:sz="4" w:space="0" w:color="auto"/>
            </w:tcBorders>
          </w:tcPr>
          <w:p w14:paraId="3DDFFEAF" w14:textId="77777777" w:rsidR="006234EE" w:rsidRDefault="006234EE" w:rsidP="002948CF">
            <w:pPr>
              <w:autoSpaceDE w:val="0"/>
              <w:autoSpaceDN w:val="0"/>
              <w:adjustRightInd w:val="0"/>
              <w:spacing w:after="0" w:line="240" w:lineRule="auto"/>
              <w:jc w:val="center"/>
              <w:rPr>
                <w:rFonts w:ascii="Times New Roman" w:hAnsi="Times New Roman"/>
                <w:sz w:val="20"/>
                <w:szCs w:val="20"/>
              </w:rPr>
            </w:pPr>
          </w:p>
        </w:tc>
      </w:tr>
    </w:tbl>
    <w:p w14:paraId="52FE6AC1" w14:textId="77777777" w:rsidR="006234EE" w:rsidRDefault="006234EE" w:rsidP="006070D7">
      <w:pPr>
        <w:rPr>
          <w:rFonts w:ascii="Times New Roman" w:hAnsi="Times New Roman"/>
          <w:lang w:val="fr-CD"/>
        </w:rPr>
      </w:pPr>
    </w:p>
    <w:p w14:paraId="6FB45AFB" w14:textId="77777777" w:rsidR="00ED17F3" w:rsidRPr="00D75D2E" w:rsidRDefault="00ED17F3" w:rsidP="00ED17F3">
      <w:pPr>
        <w:spacing w:after="0" w:line="240" w:lineRule="auto"/>
        <w:rPr>
          <w:rFonts w:ascii="Times New Roman" w:hAnsi="Times New Roman"/>
          <w:sz w:val="20"/>
          <w:szCs w:val="20"/>
        </w:rPr>
        <w:sectPr w:rsidR="00ED17F3" w:rsidRPr="00D75D2E" w:rsidSect="0082504D">
          <w:pgSz w:w="11906" w:h="16838"/>
          <w:pgMar w:top="1418" w:right="991" w:bottom="1418" w:left="1276" w:header="709" w:footer="709" w:gutter="0"/>
          <w:cols w:space="708"/>
          <w:docGrid w:linePitch="360"/>
        </w:sectPr>
      </w:pPr>
    </w:p>
    <w:p w14:paraId="751341E5" w14:textId="77777777" w:rsidR="00ED17F3" w:rsidRPr="00E737B4" w:rsidRDefault="00ED17F3" w:rsidP="00215867">
      <w:pPr>
        <w:keepNext/>
        <w:keepLines/>
        <w:numPr>
          <w:ilvl w:val="0"/>
          <w:numId w:val="26"/>
        </w:numPr>
        <w:spacing w:after="120" w:line="240" w:lineRule="auto"/>
        <w:ind w:left="714" w:hanging="357"/>
        <w:outlineLvl w:val="3"/>
        <w:rPr>
          <w:rFonts w:ascii="Times New Roman" w:eastAsia="Times New Roman" w:hAnsi="Times New Roman"/>
          <w:iCs/>
          <w:sz w:val="24"/>
          <w:szCs w:val="24"/>
          <w:u w:val="single"/>
        </w:rPr>
      </w:pPr>
      <w:bookmarkStart w:id="648" w:name="_Toc103685682"/>
      <w:r w:rsidRPr="00E737B4">
        <w:rPr>
          <w:rFonts w:ascii="Times New Roman" w:eastAsia="Times New Roman" w:hAnsi="Times New Roman"/>
          <w:iCs/>
          <w:sz w:val="24"/>
          <w:szCs w:val="24"/>
          <w:u w:val="single"/>
        </w:rPr>
        <w:t>Synthèse des impacts sociaux de la variante avec le projet</w:t>
      </w:r>
      <w:bookmarkEnd w:id="648"/>
    </w:p>
    <w:p w14:paraId="7ED3F1FD" w14:textId="56C89667" w:rsidR="00ED17F3" w:rsidRPr="00E737B4" w:rsidRDefault="00ED17F3" w:rsidP="00ED17F3">
      <w:pPr>
        <w:pStyle w:val="Lgende"/>
        <w:keepNext/>
        <w:rPr>
          <w:color w:val="auto"/>
          <w:sz w:val="24"/>
          <w:szCs w:val="24"/>
        </w:rPr>
      </w:pPr>
      <w:bookmarkStart w:id="649" w:name="_Toc519048949"/>
      <w:bookmarkStart w:id="650" w:name="_Toc93050310"/>
      <w:r w:rsidRPr="00E737B4">
        <w:rPr>
          <w:color w:val="auto"/>
          <w:sz w:val="24"/>
          <w:szCs w:val="24"/>
        </w:rPr>
        <w:t xml:space="preserve">Tableau </w:t>
      </w:r>
      <w:r w:rsidRPr="00E737B4">
        <w:rPr>
          <w:noProof/>
          <w:color w:val="auto"/>
          <w:sz w:val="24"/>
          <w:szCs w:val="24"/>
        </w:rPr>
        <w:fldChar w:fldCharType="begin"/>
      </w:r>
      <w:r w:rsidRPr="00E737B4">
        <w:rPr>
          <w:noProof/>
          <w:color w:val="auto"/>
          <w:sz w:val="24"/>
          <w:szCs w:val="24"/>
        </w:rPr>
        <w:instrText xml:space="preserve"> SEQ Tableau \* ARABIC </w:instrText>
      </w:r>
      <w:r w:rsidRPr="00E737B4">
        <w:rPr>
          <w:noProof/>
          <w:color w:val="auto"/>
          <w:sz w:val="24"/>
          <w:szCs w:val="24"/>
        </w:rPr>
        <w:fldChar w:fldCharType="separate"/>
      </w:r>
      <w:r w:rsidR="00A86929">
        <w:rPr>
          <w:noProof/>
          <w:color w:val="auto"/>
          <w:sz w:val="24"/>
          <w:szCs w:val="24"/>
        </w:rPr>
        <w:t>48</w:t>
      </w:r>
      <w:r w:rsidRPr="00E737B4">
        <w:rPr>
          <w:noProof/>
          <w:color w:val="auto"/>
          <w:sz w:val="24"/>
          <w:szCs w:val="24"/>
        </w:rPr>
        <w:fldChar w:fldCharType="end"/>
      </w:r>
      <w:r w:rsidRPr="00E737B4">
        <w:rPr>
          <w:color w:val="auto"/>
          <w:sz w:val="24"/>
          <w:szCs w:val="24"/>
        </w:rPr>
        <w:t> : Synthèse des impacts négatifs sociaux de la variante avec le projet</w:t>
      </w:r>
      <w:bookmarkEnd w:id="649"/>
      <w:bookmarkEnd w:id="650"/>
    </w:p>
    <w:tbl>
      <w:tblPr>
        <w:tblW w:w="15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978"/>
        <w:gridCol w:w="1701"/>
        <w:gridCol w:w="4611"/>
        <w:gridCol w:w="426"/>
        <w:gridCol w:w="424"/>
        <w:gridCol w:w="493"/>
        <w:gridCol w:w="425"/>
        <w:gridCol w:w="519"/>
        <w:gridCol w:w="425"/>
        <w:gridCol w:w="426"/>
        <w:gridCol w:w="435"/>
        <w:gridCol w:w="363"/>
        <w:gridCol w:w="567"/>
        <w:gridCol w:w="630"/>
        <w:gridCol w:w="572"/>
      </w:tblGrid>
      <w:tr w:rsidR="00D75D2E" w:rsidRPr="00420C1B" w14:paraId="0B5A3BCF" w14:textId="77777777" w:rsidTr="00215867">
        <w:trPr>
          <w:trHeight w:val="395"/>
          <w:tblHeader/>
          <w:jc w:val="center"/>
        </w:trPr>
        <w:tc>
          <w:tcPr>
            <w:tcW w:w="1129" w:type="dxa"/>
            <w:vMerge w:val="restart"/>
            <w:shd w:val="clear" w:color="auto" w:fill="92D050"/>
            <w:vAlign w:val="center"/>
          </w:tcPr>
          <w:p w14:paraId="23F7643C" w14:textId="77777777" w:rsidR="00ED17F3" w:rsidRPr="00D75D2E" w:rsidRDefault="00ED17F3" w:rsidP="00215867">
            <w:pPr>
              <w:spacing w:after="0" w:line="240" w:lineRule="auto"/>
              <w:jc w:val="both"/>
              <w:rPr>
                <w:rFonts w:ascii="Times New Roman" w:hAnsi="Times New Roman"/>
                <w:b/>
              </w:rPr>
            </w:pPr>
            <w:r w:rsidRPr="00D75D2E">
              <w:rPr>
                <w:rFonts w:ascii="Times New Roman" w:hAnsi="Times New Roman"/>
                <w:b/>
              </w:rPr>
              <w:t>Phase du projet</w:t>
            </w:r>
          </w:p>
        </w:tc>
        <w:tc>
          <w:tcPr>
            <w:tcW w:w="709" w:type="dxa"/>
            <w:vMerge w:val="restart"/>
            <w:shd w:val="clear" w:color="auto" w:fill="92D050"/>
          </w:tcPr>
          <w:p w14:paraId="64CD05DF"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 xml:space="preserve">N° </w:t>
            </w:r>
          </w:p>
          <w:p w14:paraId="28671F12"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FDI</w:t>
            </w:r>
          </w:p>
        </w:tc>
        <w:tc>
          <w:tcPr>
            <w:tcW w:w="1978" w:type="dxa"/>
            <w:vMerge w:val="restart"/>
            <w:shd w:val="clear" w:color="auto" w:fill="92D050"/>
            <w:vAlign w:val="center"/>
          </w:tcPr>
          <w:p w14:paraId="171FADF7"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Activités/ sources d’impact</w:t>
            </w:r>
          </w:p>
        </w:tc>
        <w:tc>
          <w:tcPr>
            <w:tcW w:w="1701" w:type="dxa"/>
            <w:vMerge w:val="restart"/>
            <w:shd w:val="clear" w:color="auto" w:fill="92D050"/>
            <w:vAlign w:val="center"/>
          </w:tcPr>
          <w:p w14:paraId="35618797"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Composante du milieu affectée</w:t>
            </w:r>
          </w:p>
        </w:tc>
        <w:tc>
          <w:tcPr>
            <w:tcW w:w="4611" w:type="dxa"/>
            <w:vMerge w:val="restart"/>
            <w:shd w:val="clear" w:color="auto" w:fill="92D050"/>
            <w:vAlign w:val="center"/>
          </w:tcPr>
          <w:p w14:paraId="799B81CC"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Description de l’impact</w:t>
            </w:r>
          </w:p>
        </w:tc>
        <w:tc>
          <w:tcPr>
            <w:tcW w:w="1343" w:type="dxa"/>
            <w:gridSpan w:val="3"/>
            <w:shd w:val="clear" w:color="auto" w:fill="92D050"/>
            <w:vAlign w:val="center"/>
          </w:tcPr>
          <w:p w14:paraId="5DCF560F"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Intensité</w:t>
            </w:r>
          </w:p>
        </w:tc>
        <w:tc>
          <w:tcPr>
            <w:tcW w:w="1369" w:type="dxa"/>
            <w:gridSpan w:val="3"/>
            <w:shd w:val="clear" w:color="auto" w:fill="92D050"/>
            <w:vAlign w:val="center"/>
          </w:tcPr>
          <w:p w14:paraId="76256D77"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Etendue</w:t>
            </w:r>
          </w:p>
        </w:tc>
        <w:tc>
          <w:tcPr>
            <w:tcW w:w="1224" w:type="dxa"/>
            <w:gridSpan w:val="3"/>
            <w:shd w:val="clear" w:color="auto" w:fill="92D050"/>
            <w:vAlign w:val="center"/>
          </w:tcPr>
          <w:p w14:paraId="14E55D47"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Durée</w:t>
            </w:r>
          </w:p>
        </w:tc>
        <w:tc>
          <w:tcPr>
            <w:tcW w:w="1769" w:type="dxa"/>
            <w:gridSpan w:val="3"/>
            <w:shd w:val="clear" w:color="auto" w:fill="92D050"/>
            <w:vAlign w:val="center"/>
          </w:tcPr>
          <w:p w14:paraId="3E3827C3"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Importance</w:t>
            </w:r>
          </w:p>
        </w:tc>
      </w:tr>
      <w:tr w:rsidR="00DA3D05" w:rsidRPr="00420C1B" w14:paraId="0D41D833" w14:textId="77777777" w:rsidTr="00847249">
        <w:trPr>
          <w:trHeight w:val="64"/>
          <w:tblHeader/>
          <w:jc w:val="center"/>
        </w:trPr>
        <w:tc>
          <w:tcPr>
            <w:tcW w:w="1129" w:type="dxa"/>
            <w:vMerge/>
            <w:shd w:val="clear" w:color="auto" w:fill="92D050"/>
            <w:vAlign w:val="center"/>
          </w:tcPr>
          <w:p w14:paraId="1FB5311E" w14:textId="77777777" w:rsidR="00ED17F3" w:rsidRPr="00D75D2E" w:rsidRDefault="00ED17F3" w:rsidP="00215867">
            <w:pPr>
              <w:spacing w:after="0" w:line="240" w:lineRule="auto"/>
              <w:jc w:val="both"/>
              <w:rPr>
                <w:rFonts w:ascii="Times New Roman" w:hAnsi="Times New Roman"/>
                <w:b/>
              </w:rPr>
            </w:pPr>
          </w:p>
        </w:tc>
        <w:tc>
          <w:tcPr>
            <w:tcW w:w="709" w:type="dxa"/>
            <w:vMerge/>
            <w:shd w:val="clear" w:color="auto" w:fill="92D050"/>
          </w:tcPr>
          <w:p w14:paraId="052A193A" w14:textId="77777777" w:rsidR="00ED17F3" w:rsidRPr="00D75D2E" w:rsidRDefault="00ED17F3" w:rsidP="00215867">
            <w:pPr>
              <w:spacing w:after="0" w:line="240" w:lineRule="auto"/>
              <w:rPr>
                <w:rFonts w:ascii="Times New Roman" w:hAnsi="Times New Roman"/>
              </w:rPr>
            </w:pPr>
          </w:p>
        </w:tc>
        <w:tc>
          <w:tcPr>
            <w:tcW w:w="1978" w:type="dxa"/>
            <w:vMerge/>
            <w:shd w:val="clear" w:color="auto" w:fill="92D050"/>
            <w:vAlign w:val="center"/>
          </w:tcPr>
          <w:p w14:paraId="3B168AEE" w14:textId="77777777" w:rsidR="00ED17F3" w:rsidRPr="00D75D2E" w:rsidRDefault="00ED17F3" w:rsidP="00215867">
            <w:pPr>
              <w:spacing w:after="0" w:line="240" w:lineRule="auto"/>
              <w:rPr>
                <w:rFonts w:ascii="Times New Roman" w:hAnsi="Times New Roman"/>
              </w:rPr>
            </w:pPr>
          </w:p>
        </w:tc>
        <w:tc>
          <w:tcPr>
            <w:tcW w:w="1701" w:type="dxa"/>
            <w:vMerge/>
            <w:shd w:val="clear" w:color="auto" w:fill="92D050"/>
            <w:vAlign w:val="center"/>
          </w:tcPr>
          <w:p w14:paraId="6ADCA386" w14:textId="77777777" w:rsidR="00ED17F3" w:rsidRPr="00D75D2E" w:rsidRDefault="00ED17F3" w:rsidP="00215867">
            <w:pPr>
              <w:spacing w:after="0" w:line="240" w:lineRule="auto"/>
              <w:rPr>
                <w:rFonts w:ascii="Times New Roman" w:hAnsi="Times New Roman"/>
              </w:rPr>
            </w:pPr>
          </w:p>
        </w:tc>
        <w:tc>
          <w:tcPr>
            <w:tcW w:w="4611" w:type="dxa"/>
            <w:vMerge/>
            <w:shd w:val="clear" w:color="auto" w:fill="92D050"/>
            <w:vAlign w:val="center"/>
          </w:tcPr>
          <w:p w14:paraId="2D7A4E6E" w14:textId="77777777" w:rsidR="00ED17F3" w:rsidRPr="00D75D2E" w:rsidRDefault="00ED17F3" w:rsidP="00215867">
            <w:pPr>
              <w:spacing w:after="0" w:line="240" w:lineRule="auto"/>
              <w:rPr>
                <w:rFonts w:ascii="Times New Roman" w:hAnsi="Times New Roman"/>
              </w:rPr>
            </w:pPr>
          </w:p>
        </w:tc>
        <w:tc>
          <w:tcPr>
            <w:tcW w:w="426" w:type="dxa"/>
            <w:shd w:val="clear" w:color="auto" w:fill="92D050"/>
            <w:vAlign w:val="center"/>
          </w:tcPr>
          <w:p w14:paraId="481FAA73"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F</w:t>
            </w:r>
          </w:p>
        </w:tc>
        <w:tc>
          <w:tcPr>
            <w:tcW w:w="424" w:type="dxa"/>
            <w:shd w:val="clear" w:color="auto" w:fill="92D050"/>
            <w:vAlign w:val="center"/>
          </w:tcPr>
          <w:p w14:paraId="01DAEB7A"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M</w:t>
            </w:r>
          </w:p>
        </w:tc>
        <w:tc>
          <w:tcPr>
            <w:tcW w:w="493" w:type="dxa"/>
            <w:shd w:val="clear" w:color="auto" w:fill="92D050"/>
            <w:vAlign w:val="center"/>
          </w:tcPr>
          <w:p w14:paraId="468857CD"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Fo</w:t>
            </w:r>
          </w:p>
        </w:tc>
        <w:tc>
          <w:tcPr>
            <w:tcW w:w="425" w:type="dxa"/>
            <w:shd w:val="clear" w:color="auto" w:fill="92D050"/>
            <w:vAlign w:val="center"/>
          </w:tcPr>
          <w:p w14:paraId="779D1AF4"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P</w:t>
            </w:r>
          </w:p>
        </w:tc>
        <w:tc>
          <w:tcPr>
            <w:tcW w:w="519" w:type="dxa"/>
            <w:shd w:val="clear" w:color="auto" w:fill="92D050"/>
            <w:vAlign w:val="center"/>
          </w:tcPr>
          <w:p w14:paraId="611FFE6C"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Lo</w:t>
            </w:r>
          </w:p>
        </w:tc>
        <w:tc>
          <w:tcPr>
            <w:tcW w:w="425" w:type="dxa"/>
            <w:shd w:val="clear" w:color="auto" w:fill="92D050"/>
            <w:vAlign w:val="center"/>
          </w:tcPr>
          <w:p w14:paraId="237051C6"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R</w:t>
            </w:r>
          </w:p>
        </w:tc>
        <w:tc>
          <w:tcPr>
            <w:tcW w:w="426" w:type="dxa"/>
            <w:shd w:val="clear" w:color="auto" w:fill="92D050"/>
            <w:vAlign w:val="center"/>
          </w:tcPr>
          <w:p w14:paraId="26FDD8EC"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C</w:t>
            </w:r>
          </w:p>
        </w:tc>
        <w:tc>
          <w:tcPr>
            <w:tcW w:w="435" w:type="dxa"/>
            <w:shd w:val="clear" w:color="auto" w:fill="92D050"/>
            <w:vAlign w:val="center"/>
          </w:tcPr>
          <w:p w14:paraId="73778DDA" w14:textId="77777777" w:rsidR="00ED17F3" w:rsidRPr="00D75D2E" w:rsidRDefault="00ED17F3" w:rsidP="00215867">
            <w:pPr>
              <w:spacing w:after="0" w:line="240" w:lineRule="auto"/>
              <w:ind w:left="-101"/>
              <w:jc w:val="center"/>
              <w:rPr>
                <w:rFonts w:ascii="Times New Roman" w:hAnsi="Times New Roman"/>
                <w:b/>
              </w:rPr>
            </w:pPr>
            <w:r w:rsidRPr="00D75D2E">
              <w:rPr>
                <w:rFonts w:ascii="Times New Roman" w:hAnsi="Times New Roman"/>
                <w:b/>
              </w:rPr>
              <w:t>Mo</w:t>
            </w:r>
          </w:p>
        </w:tc>
        <w:tc>
          <w:tcPr>
            <w:tcW w:w="363" w:type="dxa"/>
            <w:shd w:val="clear" w:color="auto" w:fill="92D050"/>
            <w:vAlign w:val="center"/>
          </w:tcPr>
          <w:p w14:paraId="4C89E645"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L</w:t>
            </w:r>
          </w:p>
        </w:tc>
        <w:tc>
          <w:tcPr>
            <w:tcW w:w="567" w:type="dxa"/>
            <w:shd w:val="clear" w:color="auto" w:fill="92D050"/>
            <w:vAlign w:val="center"/>
          </w:tcPr>
          <w:p w14:paraId="6153CB7E" w14:textId="77777777" w:rsidR="00ED17F3" w:rsidRPr="00D75D2E" w:rsidRDefault="00ED17F3" w:rsidP="00215867">
            <w:pPr>
              <w:spacing w:after="0" w:line="240" w:lineRule="auto"/>
              <w:jc w:val="center"/>
              <w:rPr>
                <w:rFonts w:ascii="Times New Roman" w:hAnsi="Times New Roman"/>
                <w:b/>
              </w:rPr>
            </w:pPr>
            <w:r w:rsidRPr="00D75D2E">
              <w:rPr>
                <w:rFonts w:ascii="Times New Roman" w:hAnsi="Times New Roman"/>
                <w:b/>
              </w:rPr>
              <w:t>Mi</w:t>
            </w:r>
          </w:p>
        </w:tc>
        <w:tc>
          <w:tcPr>
            <w:tcW w:w="630" w:type="dxa"/>
            <w:shd w:val="clear" w:color="auto" w:fill="92D050"/>
            <w:vAlign w:val="center"/>
          </w:tcPr>
          <w:p w14:paraId="66B28639" w14:textId="77777777" w:rsidR="00ED17F3" w:rsidRPr="00D75D2E" w:rsidRDefault="00ED17F3" w:rsidP="00215867">
            <w:pPr>
              <w:spacing w:after="0" w:line="240" w:lineRule="auto"/>
              <w:ind w:left="-42"/>
              <w:jc w:val="center"/>
              <w:rPr>
                <w:rFonts w:ascii="Times New Roman" w:hAnsi="Times New Roman"/>
                <w:b/>
              </w:rPr>
            </w:pPr>
            <w:r w:rsidRPr="00D75D2E">
              <w:rPr>
                <w:rFonts w:ascii="Times New Roman" w:hAnsi="Times New Roman"/>
                <w:b/>
              </w:rPr>
              <w:t>Moy</w:t>
            </w:r>
          </w:p>
        </w:tc>
        <w:tc>
          <w:tcPr>
            <w:tcW w:w="572" w:type="dxa"/>
            <w:shd w:val="clear" w:color="auto" w:fill="92D050"/>
            <w:vAlign w:val="center"/>
          </w:tcPr>
          <w:p w14:paraId="69D436A9" w14:textId="77777777" w:rsidR="00ED17F3" w:rsidRPr="00D75D2E" w:rsidRDefault="00ED17F3" w:rsidP="00215867">
            <w:pPr>
              <w:spacing w:after="0" w:line="240" w:lineRule="auto"/>
              <w:ind w:left="-24"/>
              <w:jc w:val="center"/>
              <w:rPr>
                <w:rFonts w:ascii="Times New Roman" w:hAnsi="Times New Roman"/>
                <w:b/>
              </w:rPr>
            </w:pPr>
            <w:r w:rsidRPr="00D75D2E">
              <w:rPr>
                <w:rFonts w:ascii="Times New Roman" w:hAnsi="Times New Roman"/>
                <w:b/>
              </w:rPr>
              <w:t>Ma</w:t>
            </w:r>
          </w:p>
        </w:tc>
      </w:tr>
      <w:tr w:rsidR="00D75D2E" w:rsidRPr="00420C1B" w14:paraId="087C46A1" w14:textId="77777777" w:rsidTr="00215867">
        <w:trPr>
          <w:cantSplit/>
          <w:trHeight w:val="930"/>
          <w:jc w:val="center"/>
        </w:trPr>
        <w:tc>
          <w:tcPr>
            <w:tcW w:w="1129" w:type="dxa"/>
            <w:vMerge w:val="restart"/>
            <w:textDirection w:val="btLr"/>
            <w:vAlign w:val="center"/>
          </w:tcPr>
          <w:p w14:paraId="320FD819" w14:textId="77777777" w:rsidR="00A7196D" w:rsidRPr="00D75D2E" w:rsidRDefault="00A7196D" w:rsidP="007108ED">
            <w:pPr>
              <w:ind w:right="113"/>
              <w:jc w:val="center"/>
              <w:rPr>
                <w:rFonts w:ascii="Times New Roman" w:hAnsi="Times New Roman"/>
                <w:b/>
              </w:rPr>
            </w:pPr>
            <w:r w:rsidRPr="00D75D2E">
              <w:rPr>
                <w:rFonts w:ascii="Times New Roman" w:hAnsi="Times New Roman"/>
                <w:b/>
              </w:rPr>
              <w:t>PREPARATOIRE</w:t>
            </w:r>
          </w:p>
        </w:tc>
        <w:tc>
          <w:tcPr>
            <w:tcW w:w="709" w:type="dxa"/>
            <w:vAlign w:val="center"/>
          </w:tcPr>
          <w:p w14:paraId="24E1FA12" w14:textId="683ED75D" w:rsidR="00A7196D" w:rsidRPr="00D75D2E" w:rsidRDefault="00501AAF" w:rsidP="007108ED">
            <w:pPr>
              <w:jc w:val="center"/>
              <w:rPr>
                <w:rFonts w:ascii="Times New Roman" w:hAnsi="Times New Roman"/>
              </w:rPr>
            </w:pPr>
            <w:r>
              <w:rPr>
                <w:rFonts w:ascii="Times New Roman" w:hAnsi="Times New Roman"/>
              </w:rPr>
              <w:t>1</w:t>
            </w:r>
          </w:p>
        </w:tc>
        <w:tc>
          <w:tcPr>
            <w:tcW w:w="1978" w:type="dxa"/>
            <w:vMerge w:val="restart"/>
            <w:vAlign w:val="center"/>
          </w:tcPr>
          <w:p w14:paraId="0C4346DB" w14:textId="77777777" w:rsidR="00A7196D" w:rsidRPr="00D75D2E" w:rsidRDefault="00A7196D" w:rsidP="007108ED">
            <w:pPr>
              <w:jc w:val="both"/>
              <w:rPr>
                <w:rFonts w:ascii="Times New Roman" w:hAnsi="Times New Roman"/>
              </w:rPr>
            </w:pPr>
            <w:r w:rsidRPr="00D75D2E">
              <w:rPr>
                <w:rFonts w:ascii="Times New Roman" w:hAnsi="Times New Roman"/>
              </w:rPr>
              <w:t>Démolition des bâtisses</w:t>
            </w:r>
          </w:p>
        </w:tc>
        <w:tc>
          <w:tcPr>
            <w:tcW w:w="1701" w:type="dxa"/>
            <w:vAlign w:val="center"/>
          </w:tcPr>
          <w:p w14:paraId="0C01E986" w14:textId="77777777" w:rsidR="00A7196D" w:rsidRPr="00D75D2E" w:rsidRDefault="00A7196D" w:rsidP="007108ED">
            <w:pPr>
              <w:jc w:val="both"/>
              <w:rPr>
                <w:rFonts w:ascii="Times New Roman" w:hAnsi="Times New Roman"/>
              </w:rPr>
            </w:pPr>
            <w:r w:rsidRPr="00D75D2E">
              <w:rPr>
                <w:rFonts w:ascii="Times New Roman" w:hAnsi="Times New Roman"/>
              </w:rPr>
              <w:t xml:space="preserve">Humain </w:t>
            </w:r>
          </w:p>
        </w:tc>
        <w:tc>
          <w:tcPr>
            <w:tcW w:w="4611" w:type="dxa"/>
            <w:vAlign w:val="center"/>
          </w:tcPr>
          <w:p w14:paraId="4068625E" w14:textId="77777777" w:rsidR="00A7196D" w:rsidRPr="00D75D2E" w:rsidRDefault="00A7196D" w:rsidP="005A7802">
            <w:pPr>
              <w:spacing w:after="0" w:line="240" w:lineRule="auto"/>
              <w:jc w:val="both"/>
              <w:rPr>
                <w:rFonts w:ascii="Times New Roman" w:hAnsi="Times New Roman"/>
                <w:iCs/>
                <w:szCs w:val="18"/>
              </w:rPr>
            </w:pPr>
            <w:r w:rsidRPr="00D75D2E">
              <w:rPr>
                <w:rFonts w:ascii="Times New Roman" w:hAnsi="Times New Roman"/>
                <w:iCs/>
                <w:szCs w:val="18"/>
              </w:rPr>
              <w:t xml:space="preserve">La libération des emprises des travaux affectera des biens domaniaux des PAP.  En effet, la libération des emprises occasionnera la perte </w:t>
            </w:r>
            <w:r w:rsidR="001240AE" w:rsidRPr="00D75D2E">
              <w:rPr>
                <w:rFonts w:ascii="Times New Roman" w:hAnsi="Times New Roman"/>
                <w:iCs/>
                <w:szCs w:val="18"/>
              </w:rPr>
              <w:t xml:space="preserve">ou le déplacement </w:t>
            </w:r>
            <w:r w:rsidRPr="00D75D2E">
              <w:rPr>
                <w:rFonts w:ascii="Times New Roman" w:hAnsi="Times New Roman"/>
                <w:iCs/>
                <w:szCs w:val="18"/>
              </w:rPr>
              <w:t xml:space="preserve">de </w:t>
            </w:r>
            <w:r w:rsidR="001240AE" w:rsidRPr="00420C1B">
              <w:rPr>
                <w:rFonts w:ascii="Times New Roman" w:hAnsi="Times New Roman"/>
                <w:sz w:val="24"/>
                <w:szCs w:val="24"/>
              </w:rPr>
              <w:t>154 bâtisses par les travaux pour l’ensemble des communes concernées.  Ces bâtisses sont constituées de d</w:t>
            </w:r>
            <w:r w:rsidR="001240AE" w:rsidRPr="00D75D2E">
              <w:rPr>
                <w:rFonts w:ascii="Times New Roman" w:eastAsia="Times New Roman" w:hAnsi="Times New Roman"/>
                <w:sz w:val="24"/>
                <w:szCs w:val="24"/>
                <w:lang w:eastAsia="fr-FR"/>
              </w:rPr>
              <w:t>ouches, de toilettes, de hangars, de kiosque, de maison en banco, de maison en parpaing, de maison en planches et de Maison en tôles</w:t>
            </w:r>
            <w:r w:rsidRPr="00D75D2E">
              <w:rPr>
                <w:rFonts w:ascii="Times New Roman" w:hAnsi="Times New Roman"/>
                <w:iCs/>
                <w:szCs w:val="18"/>
              </w:rPr>
              <w:t xml:space="preserve">), une perte foncière de </w:t>
            </w:r>
            <w:r w:rsidR="001240AE" w:rsidRPr="00D75D2E">
              <w:rPr>
                <w:rFonts w:ascii="Times New Roman" w:hAnsi="Times New Roman"/>
                <w:iCs/>
                <w:szCs w:val="18"/>
              </w:rPr>
              <w:t>16 parcelles.</w:t>
            </w:r>
          </w:p>
        </w:tc>
        <w:tc>
          <w:tcPr>
            <w:tcW w:w="426" w:type="dxa"/>
            <w:shd w:val="clear" w:color="auto" w:fill="auto"/>
          </w:tcPr>
          <w:p w14:paraId="7F927BD3" w14:textId="77777777" w:rsidR="00A7196D" w:rsidRPr="00D75D2E" w:rsidRDefault="00A7196D" w:rsidP="007108ED">
            <w:pPr>
              <w:jc w:val="both"/>
              <w:rPr>
                <w:rFonts w:ascii="Times New Roman" w:hAnsi="Times New Roman"/>
              </w:rPr>
            </w:pPr>
          </w:p>
        </w:tc>
        <w:tc>
          <w:tcPr>
            <w:tcW w:w="424" w:type="dxa"/>
            <w:shd w:val="clear" w:color="auto" w:fill="auto"/>
          </w:tcPr>
          <w:p w14:paraId="31A53907" w14:textId="77777777" w:rsidR="00A7196D" w:rsidRPr="00D75D2E" w:rsidRDefault="00A7196D" w:rsidP="007108ED">
            <w:pPr>
              <w:jc w:val="both"/>
              <w:rPr>
                <w:rFonts w:ascii="Times New Roman" w:hAnsi="Times New Roman"/>
              </w:rPr>
            </w:pPr>
          </w:p>
        </w:tc>
        <w:tc>
          <w:tcPr>
            <w:tcW w:w="493" w:type="dxa"/>
            <w:shd w:val="clear" w:color="auto" w:fill="FFC000"/>
          </w:tcPr>
          <w:p w14:paraId="2A898042" w14:textId="77777777" w:rsidR="00A7196D" w:rsidRPr="00D75D2E" w:rsidRDefault="00A7196D" w:rsidP="007108ED">
            <w:pPr>
              <w:jc w:val="both"/>
              <w:rPr>
                <w:rFonts w:ascii="Times New Roman" w:hAnsi="Times New Roman"/>
              </w:rPr>
            </w:pPr>
          </w:p>
        </w:tc>
        <w:tc>
          <w:tcPr>
            <w:tcW w:w="425" w:type="dxa"/>
            <w:shd w:val="clear" w:color="auto" w:fill="auto"/>
          </w:tcPr>
          <w:p w14:paraId="780A3F16" w14:textId="77777777" w:rsidR="00A7196D" w:rsidRPr="00D75D2E" w:rsidRDefault="00A7196D" w:rsidP="007108ED">
            <w:pPr>
              <w:jc w:val="both"/>
              <w:rPr>
                <w:rFonts w:ascii="Times New Roman" w:hAnsi="Times New Roman"/>
              </w:rPr>
            </w:pPr>
          </w:p>
        </w:tc>
        <w:tc>
          <w:tcPr>
            <w:tcW w:w="519" w:type="dxa"/>
            <w:shd w:val="clear" w:color="auto" w:fill="FFC000"/>
          </w:tcPr>
          <w:p w14:paraId="3C232A66" w14:textId="77777777" w:rsidR="00A7196D" w:rsidRPr="00D75D2E" w:rsidRDefault="00A7196D" w:rsidP="007108ED">
            <w:pPr>
              <w:jc w:val="both"/>
              <w:rPr>
                <w:rFonts w:ascii="Times New Roman" w:hAnsi="Times New Roman"/>
              </w:rPr>
            </w:pPr>
          </w:p>
        </w:tc>
        <w:tc>
          <w:tcPr>
            <w:tcW w:w="425" w:type="dxa"/>
            <w:shd w:val="clear" w:color="auto" w:fill="auto"/>
          </w:tcPr>
          <w:p w14:paraId="2C1E6B30" w14:textId="77777777" w:rsidR="00A7196D" w:rsidRPr="00D75D2E" w:rsidRDefault="00A7196D" w:rsidP="007108ED">
            <w:pPr>
              <w:jc w:val="both"/>
              <w:rPr>
                <w:rFonts w:ascii="Times New Roman" w:hAnsi="Times New Roman"/>
              </w:rPr>
            </w:pPr>
          </w:p>
        </w:tc>
        <w:tc>
          <w:tcPr>
            <w:tcW w:w="426" w:type="dxa"/>
            <w:shd w:val="clear" w:color="auto" w:fill="auto"/>
          </w:tcPr>
          <w:p w14:paraId="2602EC00" w14:textId="77777777" w:rsidR="00A7196D" w:rsidRPr="00D75D2E" w:rsidRDefault="00A7196D" w:rsidP="007108ED">
            <w:pPr>
              <w:jc w:val="both"/>
              <w:rPr>
                <w:rFonts w:ascii="Times New Roman" w:hAnsi="Times New Roman"/>
              </w:rPr>
            </w:pPr>
          </w:p>
        </w:tc>
        <w:tc>
          <w:tcPr>
            <w:tcW w:w="435" w:type="dxa"/>
            <w:shd w:val="clear" w:color="auto" w:fill="FFC000"/>
          </w:tcPr>
          <w:p w14:paraId="5924947D" w14:textId="77777777" w:rsidR="00A7196D" w:rsidRPr="00D75D2E" w:rsidRDefault="00A7196D" w:rsidP="007108ED">
            <w:pPr>
              <w:jc w:val="both"/>
              <w:rPr>
                <w:rFonts w:ascii="Times New Roman" w:hAnsi="Times New Roman"/>
              </w:rPr>
            </w:pPr>
          </w:p>
        </w:tc>
        <w:tc>
          <w:tcPr>
            <w:tcW w:w="363" w:type="dxa"/>
            <w:shd w:val="clear" w:color="auto" w:fill="auto"/>
          </w:tcPr>
          <w:p w14:paraId="6B616D1A" w14:textId="77777777" w:rsidR="00A7196D" w:rsidRPr="00D75D2E" w:rsidRDefault="00A7196D" w:rsidP="007108ED">
            <w:pPr>
              <w:jc w:val="both"/>
              <w:rPr>
                <w:rFonts w:ascii="Times New Roman" w:hAnsi="Times New Roman"/>
              </w:rPr>
            </w:pPr>
          </w:p>
        </w:tc>
        <w:tc>
          <w:tcPr>
            <w:tcW w:w="567" w:type="dxa"/>
            <w:shd w:val="clear" w:color="auto" w:fill="auto"/>
          </w:tcPr>
          <w:p w14:paraId="13A37BA7" w14:textId="77777777" w:rsidR="00A7196D" w:rsidRPr="00D75D2E" w:rsidRDefault="00A7196D" w:rsidP="007108ED">
            <w:pPr>
              <w:jc w:val="both"/>
              <w:rPr>
                <w:rFonts w:ascii="Times New Roman" w:hAnsi="Times New Roman"/>
              </w:rPr>
            </w:pPr>
          </w:p>
        </w:tc>
        <w:tc>
          <w:tcPr>
            <w:tcW w:w="630" w:type="dxa"/>
            <w:shd w:val="clear" w:color="auto" w:fill="auto"/>
          </w:tcPr>
          <w:p w14:paraId="01CB7D3B" w14:textId="77777777" w:rsidR="00A7196D" w:rsidRPr="00D75D2E" w:rsidRDefault="00A7196D" w:rsidP="007108ED">
            <w:pPr>
              <w:ind w:left="-60" w:right="-108"/>
              <w:jc w:val="both"/>
              <w:rPr>
                <w:rFonts w:ascii="Times New Roman" w:hAnsi="Times New Roman"/>
              </w:rPr>
            </w:pPr>
          </w:p>
        </w:tc>
        <w:tc>
          <w:tcPr>
            <w:tcW w:w="572" w:type="dxa"/>
            <w:shd w:val="clear" w:color="auto" w:fill="FFC000"/>
          </w:tcPr>
          <w:p w14:paraId="768FDF73" w14:textId="77777777" w:rsidR="00A7196D" w:rsidRPr="00D75D2E" w:rsidRDefault="00A7196D" w:rsidP="007108ED">
            <w:pPr>
              <w:ind w:left="-1" w:right="-107"/>
              <w:jc w:val="both"/>
              <w:rPr>
                <w:rFonts w:ascii="Times New Roman" w:hAnsi="Times New Roman"/>
              </w:rPr>
            </w:pPr>
          </w:p>
        </w:tc>
      </w:tr>
      <w:tr w:rsidR="00D75D2E" w:rsidRPr="00420C1B" w14:paraId="493F6309" w14:textId="77777777" w:rsidTr="00215867">
        <w:trPr>
          <w:cantSplit/>
          <w:trHeight w:val="930"/>
          <w:jc w:val="center"/>
        </w:trPr>
        <w:tc>
          <w:tcPr>
            <w:tcW w:w="1129" w:type="dxa"/>
            <w:vMerge/>
            <w:textDirection w:val="btLr"/>
            <w:vAlign w:val="center"/>
          </w:tcPr>
          <w:p w14:paraId="22AE3EAB" w14:textId="77777777" w:rsidR="00A7196D" w:rsidRPr="00D75D2E" w:rsidRDefault="00A7196D" w:rsidP="007108ED">
            <w:pPr>
              <w:ind w:left="113" w:right="113"/>
              <w:jc w:val="center"/>
              <w:rPr>
                <w:rFonts w:ascii="Times New Roman" w:hAnsi="Times New Roman"/>
                <w:b/>
              </w:rPr>
            </w:pPr>
          </w:p>
        </w:tc>
        <w:tc>
          <w:tcPr>
            <w:tcW w:w="709" w:type="dxa"/>
            <w:vAlign w:val="center"/>
          </w:tcPr>
          <w:p w14:paraId="11A6F819" w14:textId="4DD904D8" w:rsidR="00A7196D" w:rsidRPr="00D75D2E" w:rsidRDefault="00501AAF" w:rsidP="00D464DD">
            <w:pPr>
              <w:jc w:val="center"/>
              <w:rPr>
                <w:rFonts w:ascii="Times New Roman" w:hAnsi="Times New Roman"/>
              </w:rPr>
            </w:pPr>
            <w:r>
              <w:rPr>
                <w:rFonts w:ascii="Times New Roman" w:hAnsi="Times New Roman"/>
              </w:rPr>
              <w:t>2</w:t>
            </w:r>
          </w:p>
        </w:tc>
        <w:tc>
          <w:tcPr>
            <w:tcW w:w="1978" w:type="dxa"/>
            <w:vMerge/>
            <w:vAlign w:val="center"/>
          </w:tcPr>
          <w:p w14:paraId="4D887F9E" w14:textId="77777777" w:rsidR="00A7196D" w:rsidRPr="00D75D2E" w:rsidRDefault="00A7196D" w:rsidP="007108ED">
            <w:pPr>
              <w:jc w:val="both"/>
              <w:rPr>
                <w:rFonts w:ascii="Times New Roman" w:hAnsi="Times New Roman"/>
              </w:rPr>
            </w:pPr>
          </w:p>
        </w:tc>
        <w:tc>
          <w:tcPr>
            <w:tcW w:w="1701" w:type="dxa"/>
            <w:vAlign w:val="center"/>
          </w:tcPr>
          <w:p w14:paraId="0894B482" w14:textId="77777777" w:rsidR="00A7196D" w:rsidRPr="00D75D2E" w:rsidRDefault="00A7196D" w:rsidP="007108ED">
            <w:pPr>
              <w:jc w:val="both"/>
              <w:rPr>
                <w:rFonts w:ascii="Times New Roman" w:hAnsi="Times New Roman"/>
              </w:rPr>
            </w:pPr>
            <w:r w:rsidRPr="00D75D2E">
              <w:rPr>
                <w:rFonts w:ascii="Times New Roman" w:hAnsi="Times New Roman"/>
              </w:rPr>
              <w:t xml:space="preserve">Végétation </w:t>
            </w:r>
          </w:p>
        </w:tc>
        <w:tc>
          <w:tcPr>
            <w:tcW w:w="4611" w:type="dxa"/>
            <w:vAlign w:val="center"/>
          </w:tcPr>
          <w:p w14:paraId="4BDD861D" w14:textId="77777777" w:rsidR="00A7196D" w:rsidRPr="00D75D2E" w:rsidRDefault="00A7196D" w:rsidP="007108ED">
            <w:pPr>
              <w:spacing w:after="0" w:line="240" w:lineRule="auto"/>
              <w:jc w:val="both"/>
              <w:rPr>
                <w:rFonts w:ascii="Times New Roman" w:hAnsi="Times New Roman"/>
                <w:iCs/>
                <w:szCs w:val="18"/>
              </w:rPr>
            </w:pPr>
            <w:r w:rsidRPr="00D75D2E">
              <w:rPr>
                <w:rFonts w:ascii="Times New Roman" w:hAnsi="Times New Roman"/>
                <w:iCs/>
                <w:szCs w:val="18"/>
              </w:rPr>
              <w:t>La mise en œuvre du projet entrain</w:t>
            </w:r>
            <w:r w:rsidR="00B50E2C" w:rsidRPr="00D75D2E">
              <w:rPr>
                <w:rFonts w:ascii="Times New Roman" w:hAnsi="Times New Roman"/>
                <w:iCs/>
                <w:szCs w:val="18"/>
              </w:rPr>
              <w:t xml:space="preserve">era l’abattage ou élagage de </w:t>
            </w:r>
            <w:r w:rsidR="00B50E2C" w:rsidRPr="00D75D2E">
              <w:rPr>
                <w:rFonts w:ascii="Times New Roman" w:eastAsia="Times New Roman" w:hAnsi="Times New Roman"/>
                <w:bCs/>
                <w:sz w:val="20"/>
                <w:szCs w:val="20"/>
              </w:rPr>
              <w:t>442</w:t>
            </w:r>
            <w:r w:rsidRPr="00D75D2E">
              <w:rPr>
                <w:rFonts w:ascii="Times New Roman" w:hAnsi="Times New Roman"/>
                <w:iCs/>
                <w:szCs w:val="18"/>
              </w:rPr>
              <w:t xml:space="preserve"> d’arbres privés dans l’emprise des travaux ce qui entravera la cueillette des fruits avec pour conséquence une perte des revenus des ménages.</w:t>
            </w:r>
          </w:p>
        </w:tc>
        <w:tc>
          <w:tcPr>
            <w:tcW w:w="426" w:type="dxa"/>
            <w:shd w:val="clear" w:color="auto" w:fill="auto"/>
          </w:tcPr>
          <w:p w14:paraId="0C6EEACB" w14:textId="77777777" w:rsidR="00A7196D" w:rsidRPr="00D75D2E" w:rsidRDefault="00A7196D" w:rsidP="007108ED">
            <w:pPr>
              <w:jc w:val="both"/>
              <w:rPr>
                <w:rFonts w:ascii="Times New Roman" w:hAnsi="Times New Roman"/>
              </w:rPr>
            </w:pPr>
          </w:p>
        </w:tc>
        <w:tc>
          <w:tcPr>
            <w:tcW w:w="424" w:type="dxa"/>
            <w:shd w:val="clear" w:color="auto" w:fill="FFC000"/>
          </w:tcPr>
          <w:p w14:paraId="16322293" w14:textId="77777777" w:rsidR="00A7196D" w:rsidRPr="00D75D2E" w:rsidRDefault="00A7196D" w:rsidP="007108ED">
            <w:pPr>
              <w:jc w:val="both"/>
              <w:rPr>
                <w:rFonts w:ascii="Times New Roman" w:hAnsi="Times New Roman"/>
              </w:rPr>
            </w:pPr>
          </w:p>
        </w:tc>
        <w:tc>
          <w:tcPr>
            <w:tcW w:w="493" w:type="dxa"/>
            <w:shd w:val="clear" w:color="auto" w:fill="auto"/>
          </w:tcPr>
          <w:p w14:paraId="1C65170E" w14:textId="77777777" w:rsidR="00A7196D" w:rsidRPr="00D75D2E" w:rsidRDefault="00A7196D" w:rsidP="007108ED">
            <w:pPr>
              <w:jc w:val="both"/>
              <w:rPr>
                <w:rFonts w:ascii="Times New Roman" w:hAnsi="Times New Roman"/>
              </w:rPr>
            </w:pPr>
          </w:p>
        </w:tc>
        <w:tc>
          <w:tcPr>
            <w:tcW w:w="425" w:type="dxa"/>
            <w:shd w:val="clear" w:color="auto" w:fill="FFC000"/>
          </w:tcPr>
          <w:p w14:paraId="6D3229A8" w14:textId="77777777" w:rsidR="00A7196D" w:rsidRPr="00D75D2E" w:rsidRDefault="00A7196D" w:rsidP="007108ED">
            <w:pPr>
              <w:jc w:val="both"/>
              <w:rPr>
                <w:rFonts w:ascii="Times New Roman" w:hAnsi="Times New Roman"/>
              </w:rPr>
            </w:pPr>
          </w:p>
        </w:tc>
        <w:tc>
          <w:tcPr>
            <w:tcW w:w="519" w:type="dxa"/>
            <w:shd w:val="clear" w:color="auto" w:fill="auto"/>
          </w:tcPr>
          <w:p w14:paraId="38750D5D" w14:textId="77777777" w:rsidR="00A7196D" w:rsidRPr="00D75D2E" w:rsidRDefault="00A7196D" w:rsidP="007108ED">
            <w:pPr>
              <w:jc w:val="both"/>
              <w:rPr>
                <w:rFonts w:ascii="Times New Roman" w:hAnsi="Times New Roman"/>
              </w:rPr>
            </w:pPr>
          </w:p>
        </w:tc>
        <w:tc>
          <w:tcPr>
            <w:tcW w:w="425" w:type="dxa"/>
            <w:shd w:val="clear" w:color="auto" w:fill="auto"/>
          </w:tcPr>
          <w:p w14:paraId="7D8E8205" w14:textId="77777777" w:rsidR="00A7196D" w:rsidRPr="00D75D2E" w:rsidRDefault="00A7196D" w:rsidP="007108ED">
            <w:pPr>
              <w:jc w:val="both"/>
              <w:rPr>
                <w:rFonts w:ascii="Times New Roman" w:hAnsi="Times New Roman"/>
              </w:rPr>
            </w:pPr>
          </w:p>
        </w:tc>
        <w:tc>
          <w:tcPr>
            <w:tcW w:w="426" w:type="dxa"/>
            <w:shd w:val="clear" w:color="auto" w:fill="auto"/>
          </w:tcPr>
          <w:p w14:paraId="5F1F06D4" w14:textId="77777777" w:rsidR="00A7196D" w:rsidRPr="00D75D2E" w:rsidRDefault="00A7196D" w:rsidP="007108ED">
            <w:pPr>
              <w:jc w:val="both"/>
              <w:rPr>
                <w:rFonts w:ascii="Times New Roman" w:hAnsi="Times New Roman"/>
              </w:rPr>
            </w:pPr>
          </w:p>
        </w:tc>
        <w:tc>
          <w:tcPr>
            <w:tcW w:w="435" w:type="dxa"/>
            <w:shd w:val="clear" w:color="auto" w:fill="auto"/>
          </w:tcPr>
          <w:p w14:paraId="4455ED86" w14:textId="77777777" w:rsidR="00A7196D" w:rsidRPr="00D75D2E" w:rsidRDefault="00A7196D" w:rsidP="007108ED">
            <w:pPr>
              <w:jc w:val="both"/>
              <w:rPr>
                <w:rFonts w:ascii="Times New Roman" w:hAnsi="Times New Roman"/>
              </w:rPr>
            </w:pPr>
          </w:p>
        </w:tc>
        <w:tc>
          <w:tcPr>
            <w:tcW w:w="363" w:type="dxa"/>
            <w:shd w:val="clear" w:color="auto" w:fill="FFC000"/>
          </w:tcPr>
          <w:p w14:paraId="2F8606D8" w14:textId="77777777" w:rsidR="00A7196D" w:rsidRPr="00D75D2E" w:rsidRDefault="00A7196D" w:rsidP="007108ED">
            <w:pPr>
              <w:jc w:val="both"/>
              <w:rPr>
                <w:rFonts w:ascii="Times New Roman" w:hAnsi="Times New Roman"/>
              </w:rPr>
            </w:pPr>
          </w:p>
        </w:tc>
        <w:tc>
          <w:tcPr>
            <w:tcW w:w="567" w:type="dxa"/>
            <w:shd w:val="clear" w:color="auto" w:fill="auto"/>
          </w:tcPr>
          <w:p w14:paraId="43C16C27" w14:textId="77777777" w:rsidR="00A7196D" w:rsidRPr="00D75D2E" w:rsidRDefault="00A7196D" w:rsidP="007108ED">
            <w:pPr>
              <w:jc w:val="both"/>
              <w:rPr>
                <w:rFonts w:ascii="Times New Roman" w:hAnsi="Times New Roman"/>
              </w:rPr>
            </w:pPr>
          </w:p>
        </w:tc>
        <w:tc>
          <w:tcPr>
            <w:tcW w:w="630" w:type="dxa"/>
            <w:shd w:val="clear" w:color="auto" w:fill="FFC000"/>
          </w:tcPr>
          <w:p w14:paraId="6E5EEC48" w14:textId="77777777" w:rsidR="00A7196D" w:rsidRPr="00D75D2E" w:rsidRDefault="00A7196D" w:rsidP="007108ED">
            <w:pPr>
              <w:jc w:val="both"/>
              <w:rPr>
                <w:rFonts w:ascii="Times New Roman" w:hAnsi="Times New Roman"/>
              </w:rPr>
            </w:pPr>
          </w:p>
        </w:tc>
        <w:tc>
          <w:tcPr>
            <w:tcW w:w="572" w:type="dxa"/>
            <w:shd w:val="clear" w:color="auto" w:fill="auto"/>
          </w:tcPr>
          <w:p w14:paraId="4A9B775F" w14:textId="77777777" w:rsidR="00A7196D" w:rsidRPr="00D75D2E" w:rsidRDefault="00A7196D" w:rsidP="007108ED">
            <w:pPr>
              <w:jc w:val="both"/>
              <w:rPr>
                <w:rFonts w:ascii="Times New Roman" w:hAnsi="Times New Roman"/>
              </w:rPr>
            </w:pPr>
          </w:p>
        </w:tc>
      </w:tr>
      <w:tr w:rsidR="00D75D2E" w:rsidRPr="00420C1B" w14:paraId="13FF220F" w14:textId="77777777" w:rsidTr="00215867">
        <w:trPr>
          <w:cantSplit/>
          <w:trHeight w:val="1445"/>
          <w:jc w:val="center"/>
        </w:trPr>
        <w:tc>
          <w:tcPr>
            <w:tcW w:w="1129" w:type="dxa"/>
            <w:vMerge/>
            <w:textDirection w:val="btLr"/>
            <w:vAlign w:val="center"/>
          </w:tcPr>
          <w:p w14:paraId="1FC71CD9" w14:textId="77777777" w:rsidR="00ED17F3" w:rsidRPr="00D75D2E" w:rsidRDefault="00ED17F3" w:rsidP="007108ED">
            <w:pPr>
              <w:ind w:left="113" w:right="113"/>
              <w:jc w:val="center"/>
              <w:rPr>
                <w:rFonts w:ascii="Times New Roman" w:hAnsi="Times New Roman"/>
                <w:b/>
              </w:rPr>
            </w:pPr>
          </w:p>
        </w:tc>
        <w:tc>
          <w:tcPr>
            <w:tcW w:w="709" w:type="dxa"/>
            <w:vAlign w:val="center"/>
          </w:tcPr>
          <w:p w14:paraId="34AA7CBC" w14:textId="199BA830" w:rsidR="00ED17F3" w:rsidRPr="00D75D2E" w:rsidRDefault="00501AAF" w:rsidP="006325DA">
            <w:pPr>
              <w:jc w:val="center"/>
              <w:rPr>
                <w:rFonts w:ascii="Times New Roman" w:hAnsi="Times New Roman"/>
              </w:rPr>
            </w:pPr>
            <w:r>
              <w:rPr>
                <w:rFonts w:ascii="Times New Roman" w:hAnsi="Times New Roman"/>
              </w:rPr>
              <w:t>3</w:t>
            </w:r>
          </w:p>
        </w:tc>
        <w:tc>
          <w:tcPr>
            <w:tcW w:w="1978" w:type="dxa"/>
            <w:vAlign w:val="center"/>
          </w:tcPr>
          <w:p w14:paraId="0B801237" w14:textId="77777777" w:rsidR="00ED17F3" w:rsidRPr="00D75D2E" w:rsidRDefault="00ED17F3" w:rsidP="007108ED">
            <w:pPr>
              <w:jc w:val="both"/>
              <w:rPr>
                <w:rFonts w:ascii="Times New Roman" w:hAnsi="Times New Roman"/>
              </w:rPr>
            </w:pPr>
            <w:r w:rsidRPr="00D75D2E">
              <w:rPr>
                <w:rFonts w:ascii="Times New Roman" w:hAnsi="Times New Roman"/>
              </w:rPr>
              <w:t>Installation de chantier et de base</w:t>
            </w:r>
            <w:r w:rsidR="00A7196D" w:rsidRPr="00D75D2E">
              <w:rPr>
                <w:rFonts w:ascii="Times New Roman" w:hAnsi="Times New Roman"/>
              </w:rPr>
              <w:t xml:space="preserve"> </w:t>
            </w:r>
            <w:r w:rsidRPr="00D75D2E">
              <w:rPr>
                <w:rFonts w:ascii="Times New Roman" w:hAnsi="Times New Roman"/>
              </w:rPr>
              <w:t>-vie, Présence et mouvement des ouvriers et techniciens</w:t>
            </w:r>
          </w:p>
        </w:tc>
        <w:tc>
          <w:tcPr>
            <w:tcW w:w="1701" w:type="dxa"/>
            <w:vAlign w:val="center"/>
          </w:tcPr>
          <w:p w14:paraId="4B477A42" w14:textId="77777777" w:rsidR="00ED17F3" w:rsidRPr="00D75D2E" w:rsidRDefault="00ED17F3" w:rsidP="007108ED">
            <w:pPr>
              <w:jc w:val="both"/>
              <w:rPr>
                <w:rFonts w:ascii="Times New Roman" w:hAnsi="Times New Roman"/>
              </w:rPr>
            </w:pPr>
            <w:r w:rsidRPr="00D75D2E">
              <w:rPr>
                <w:rFonts w:ascii="Times New Roman" w:hAnsi="Times New Roman"/>
              </w:rPr>
              <w:t xml:space="preserve">Culture </w:t>
            </w:r>
          </w:p>
          <w:p w14:paraId="102A0B40" w14:textId="77777777" w:rsidR="00ED17F3" w:rsidRPr="00D75D2E" w:rsidRDefault="00ED17F3" w:rsidP="007108ED">
            <w:pPr>
              <w:jc w:val="both"/>
              <w:rPr>
                <w:rFonts w:ascii="Times New Roman" w:hAnsi="Times New Roman"/>
              </w:rPr>
            </w:pPr>
            <w:r w:rsidRPr="00D75D2E">
              <w:rPr>
                <w:rFonts w:ascii="Times New Roman" w:hAnsi="Times New Roman"/>
              </w:rPr>
              <w:t>Santé humaine</w:t>
            </w:r>
          </w:p>
        </w:tc>
        <w:tc>
          <w:tcPr>
            <w:tcW w:w="4611" w:type="dxa"/>
            <w:vAlign w:val="center"/>
          </w:tcPr>
          <w:p w14:paraId="37FE3E7D" w14:textId="6B499FB7" w:rsidR="00ED17F3" w:rsidRPr="00D75D2E" w:rsidRDefault="00ED17F3" w:rsidP="007108ED">
            <w:pPr>
              <w:spacing w:after="0" w:line="240" w:lineRule="auto"/>
              <w:jc w:val="both"/>
              <w:rPr>
                <w:rFonts w:ascii="Times New Roman" w:hAnsi="Times New Roman"/>
                <w:iCs/>
                <w:szCs w:val="18"/>
              </w:rPr>
            </w:pPr>
            <w:r w:rsidRPr="00D75D2E">
              <w:rPr>
                <w:rFonts w:ascii="Times New Roman" w:hAnsi="Times New Roman"/>
                <w:iCs/>
                <w:szCs w:val="18"/>
              </w:rPr>
              <w:t>La présence d’ouvriers salariés entrainera</w:t>
            </w:r>
            <w:r w:rsidR="0097560B">
              <w:rPr>
                <w:rFonts w:ascii="Times New Roman" w:hAnsi="Times New Roman"/>
                <w:iCs/>
                <w:szCs w:val="18"/>
              </w:rPr>
              <w:t>it</w:t>
            </w:r>
            <w:r w:rsidRPr="00D75D2E">
              <w:rPr>
                <w:rFonts w:ascii="Times New Roman" w:hAnsi="Times New Roman"/>
                <w:iCs/>
                <w:szCs w:val="18"/>
              </w:rPr>
              <w:t xml:space="preserve"> des comportements abusifs et violences sexuelles</w:t>
            </w:r>
            <w:r w:rsidR="00DF79CF">
              <w:rPr>
                <w:rFonts w:ascii="Times New Roman" w:hAnsi="Times New Roman"/>
                <w:iCs/>
                <w:szCs w:val="18"/>
              </w:rPr>
              <w:t xml:space="preserve"> les communautés et en particulier </w:t>
            </w:r>
            <w:r w:rsidRPr="00D75D2E">
              <w:rPr>
                <w:rFonts w:ascii="Times New Roman" w:hAnsi="Times New Roman"/>
                <w:iCs/>
                <w:szCs w:val="18"/>
              </w:rPr>
              <w:t xml:space="preserve"> sur les groupes vulnérables (veuves, les mineures). Aussi le brassage des ouvriers avec les populations augmentera</w:t>
            </w:r>
            <w:r w:rsidR="0097560B">
              <w:rPr>
                <w:rFonts w:ascii="Times New Roman" w:hAnsi="Times New Roman"/>
                <w:iCs/>
                <w:szCs w:val="18"/>
              </w:rPr>
              <w:t>it</w:t>
            </w:r>
            <w:r w:rsidRPr="00D75D2E">
              <w:rPr>
                <w:rFonts w:ascii="Times New Roman" w:hAnsi="Times New Roman"/>
                <w:iCs/>
                <w:szCs w:val="18"/>
              </w:rPr>
              <w:t xml:space="preserve"> la prévalence des </w:t>
            </w:r>
            <w:r w:rsidR="001E4C5A" w:rsidRPr="00D75D2E">
              <w:rPr>
                <w:rFonts w:ascii="Times New Roman" w:hAnsi="Times New Roman"/>
                <w:iCs/>
                <w:szCs w:val="18"/>
              </w:rPr>
              <w:t>I</w:t>
            </w:r>
            <w:r w:rsidRPr="00D75D2E">
              <w:rPr>
                <w:rFonts w:ascii="Times New Roman" w:hAnsi="Times New Roman"/>
                <w:iCs/>
                <w:szCs w:val="18"/>
              </w:rPr>
              <w:t>ST/</w:t>
            </w:r>
            <w:r w:rsidR="0097560B">
              <w:rPr>
                <w:rFonts w:ascii="Times New Roman" w:hAnsi="Times New Roman"/>
                <w:iCs/>
                <w:szCs w:val="18"/>
              </w:rPr>
              <w:t>VIH/</w:t>
            </w:r>
            <w:r w:rsidRPr="00D75D2E">
              <w:rPr>
                <w:rFonts w:ascii="Times New Roman" w:hAnsi="Times New Roman"/>
                <w:iCs/>
                <w:szCs w:val="18"/>
              </w:rPr>
              <w:t>SIDA</w:t>
            </w:r>
            <w:r w:rsidR="0046404C">
              <w:rPr>
                <w:rFonts w:ascii="Times New Roman" w:hAnsi="Times New Roman"/>
                <w:iCs/>
                <w:szCs w:val="18"/>
              </w:rPr>
              <w:t xml:space="preserve"> et d’EAS/HS</w:t>
            </w:r>
            <w:r w:rsidRPr="00D75D2E">
              <w:rPr>
                <w:rFonts w:ascii="Times New Roman" w:hAnsi="Times New Roman"/>
                <w:iCs/>
                <w:szCs w:val="18"/>
              </w:rPr>
              <w:t xml:space="preserve"> dans la zone du projet. </w:t>
            </w:r>
          </w:p>
        </w:tc>
        <w:tc>
          <w:tcPr>
            <w:tcW w:w="426" w:type="dxa"/>
            <w:shd w:val="clear" w:color="auto" w:fill="auto"/>
          </w:tcPr>
          <w:p w14:paraId="2FB009A4" w14:textId="77777777" w:rsidR="00ED17F3" w:rsidRPr="00D75D2E" w:rsidRDefault="00ED17F3" w:rsidP="007108ED">
            <w:pPr>
              <w:jc w:val="both"/>
              <w:rPr>
                <w:rFonts w:ascii="Times New Roman" w:hAnsi="Times New Roman"/>
              </w:rPr>
            </w:pPr>
          </w:p>
        </w:tc>
        <w:tc>
          <w:tcPr>
            <w:tcW w:w="424" w:type="dxa"/>
            <w:shd w:val="clear" w:color="auto" w:fill="auto"/>
          </w:tcPr>
          <w:p w14:paraId="0F6EB651" w14:textId="77777777" w:rsidR="00ED17F3" w:rsidRPr="00D75D2E" w:rsidRDefault="00ED17F3" w:rsidP="007108ED">
            <w:pPr>
              <w:jc w:val="both"/>
              <w:rPr>
                <w:rFonts w:ascii="Times New Roman" w:hAnsi="Times New Roman"/>
              </w:rPr>
            </w:pPr>
          </w:p>
        </w:tc>
        <w:tc>
          <w:tcPr>
            <w:tcW w:w="493" w:type="dxa"/>
            <w:shd w:val="clear" w:color="auto" w:fill="FFC000"/>
          </w:tcPr>
          <w:p w14:paraId="2554FDD2" w14:textId="77777777" w:rsidR="00ED17F3" w:rsidRPr="00D75D2E" w:rsidRDefault="00ED17F3" w:rsidP="007108ED">
            <w:pPr>
              <w:jc w:val="both"/>
              <w:rPr>
                <w:rFonts w:ascii="Times New Roman" w:hAnsi="Times New Roman"/>
              </w:rPr>
            </w:pPr>
          </w:p>
        </w:tc>
        <w:tc>
          <w:tcPr>
            <w:tcW w:w="425" w:type="dxa"/>
            <w:shd w:val="clear" w:color="auto" w:fill="auto"/>
          </w:tcPr>
          <w:p w14:paraId="489A2433" w14:textId="77777777" w:rsidR="00ED17F3" w:rsidRPr="00D75D2E" w:rsidRDefault="00ED17F3" w:rsidP="007108ED">
            <w:pPr>
              <w:jc w:val="both"/>
              <w:rPr>
                <w:rFonts w:ascii="Times New Roman" w:hAnsi="Times New Roman"/>
              </w:rPr>
            </w:pPr>
          </w:p>
        </w:tc>
        <w:tc>
          <w:tcPr>
            <w:tcW w:w="519" w:type="dxa"/>
            <w:shd w:val="clear" w:color="auto" w:fill="auto"/>
          </w:tcPr>
          <w:p w14:paraId="5C6B9A3C" w14:textId="77777777" w:rsidR="00ED17F3" w:rsidRPr="00D75D2E" w:rsidRDefault="00ED17F3" w:rsidP="007108ED">
            <w:pPr>
              <w:jc w:val="both"/>
              <w:rPr>
                <w:rFonts w:ascii="Times New Roman" w:hAnsi="Times New Roman"/>
              </w:rPr>
            </w:pPr>
          </w:p>
        </w:tc>
        <w:tc>
          <w:tcPr>
            <w:tcW w:w="425" w:type="dxa"/>
            <w:shd w:val="clear" w:color="auto" w:fill="FFC000"/>
          </w:tcPr>
          <w:p w14:paraId="2708C43E" w14:textId="77777777" w:rsidR="00ED17F3" w:rsidRPr="00D75D2E" w:rsidRDefault="00ED17F3" w:rsidP="007108ED">
            <w:pPr>
              <w:jc w:val="both"/>
              <w:rPr>
                <w:rFonts w:ascii="Times New Roman" w:hAnsi="Times New Roman"/>
              </w:rPr>
            </w:pPr>
          </w:p>
        </w:tc>
        <w:tc>
          <w:tcPr>
            <w:tcW w:w="426" w:type="dxa"/>
            <w:shd w:val="clear" w:color="auto" w:fill="auto"/>
          </w:tcPr>
          <w:p w14:paraId="165D4D33" w14:textId="77777777" w:rsidR="00ED17F3" w:rsidRPr="00D75D2E" w:rsidRDefault="00ED17F3" w:rsidP="007108ED">
            <w:pPr>
              <w:jc w:val="both"/>
              <w:rPr>
                <w:rFonts w:ascii="Times New Roman" w:hAnsi="Times New Roman"/>
              </w:rPr>
            </w:pPr>
          </w:p>
        </w:tc>
        <w:tc>
          <w:tcPr>
            <w:tcW w:w="435" w:type="dxa"/>
            <w:shd w:val="clear" w:color="auto" w:fill="FFFFFF"/>
          </w:tcPr>
          <w:p w14:paraId="14676CBB" w14:textId="77777777" w:rsidR="00ED17F3" w:rsidRPr="00D75D2E" w:rsidRDefault="00ED17F3" w:rsidP="007108ED">
            <w:pPr>
              <w:jc w:val="both"/>
              <w:rPr>
                <w:rFonts w:ascii="Times New Roman" w:hAnsi="Times New Roman"/>
              </w:rPr>
            </w:pPr>
          </w:p>
        </w:tc>
        <w:tc>
          <w:tcPr>
            <w:tcW w:w="363" w:type="dxa"/>
            <w:shd w:val="clear" w:color="auto" w:fill="FFC000"/>
          </w:tcPr>
          <w:p w14:paraId="5EC2F52F" w14:textId="77777777" w:rsidR="00ED17F3" w:rsidRPr="00D75D2E" w:rsidRDefault="00ED17F3" w:rsidP="007108ED">
            <w:pPr>
              <w:jc w:val="both"/>
              <w:rPr>
                <w:rFonts w:ascii="Times New Roman" w:hAnsi="Times New Roman"/>
              </w:rPr>
            </w:pPr>
          </w:p>
        </w:tc>
        <w:tc>
          <w:tcPr>
            <w:tcW w:w="567" w:type="dxa"/>
            <w:shd w:val="clear" w:color="auto" w:fill="auto"/>
          </w:tcPr>
          <w:p w14:paraId="7844EF34" w14:textId="77777777" w:rsidR="00ED17F3" w:rsidRPr="00D75D2E" w:rsidRDefault="00ED17F3" w:rsidP="007108ED">
            <w:pPr>
              <w:jc w:val="both"/>
              <w:rPr>
                <w:rFonts w:ascii="Times New Roman" w:hAnsi="Times New Roman"/>
              </w:rPr>
            </w:pPr>
          </w:p>
        </w:tc>
        <w:tc>
          <w:tcPr>
            <w:tcW w:w="630" w:type="dxa"/>
            <w:shd w:val="clear" w:color="auto" w:fill="auto"/>
          </w:tcPr>
          <w:p w14:paraId="079983A6" w14:textId="77777777" w:rsidR="00ED17F3" w:rsidRPr="00D75D2E" w:rsidRDefault="00ED17F3" w:rsidP="007108ED">
            <w:pPr>
              <w:jc w:val="both"/>
              <w:rPr>
                <w:rFonts w:ascii="Times New Roman" w:hAnsi="Times New Roman"/>
              </w:rPr>
            </w:pPr>
          </w:p>
        </w:tc>
        <w:tc>
          <w:tcPr>
            <w:tcW w:w="572" w:type="dxa"/>
            <w:shd w:val="clear" w:color="auto" w:fill="FFC000"/>
          </w:tcPr>
          <w:p w14:paraId="275C1E32" w14:textId="77777777" w:rsidR="00ED17F3" w:rsidRPr="00D75D2E" w:rsidRDefault="00ED17F3" w:rsidP="007108ED">
            <w:pPr>
              <w:jc w:val="both"/>
              <w:rPr>
                <w:rFonts w:ascii="Times New Roman" w:hAnsi="Times New Roman"/>
              </w:rPr>
            </w:pPr>
          </w:p>
        </w:tc>
      </w:tr>
      <w:tr w:rsidR="006965FA" w:rsidRPr="00420C1B" w14:paraId="4B614116" w14:textId="77777777" w:rsidTr="00215867">
        <w:trPr>
          <w:cantSplit/>
          <w:trHeight w:val="1646"/>
          <w:jc w:val="center"/>
        </w:trPr>
        <w:tc>
          <w:tcPr>
            <w:tcW w:w="1129" w:type="dxa"/>
            <w:vMerge w:val="restart"/>
            <w:textDirection w:val="btLr"/>
            <w:vAlign w:val="center"/>
          </w:tcPr>
          <w:p w14:paraId="3DCA4E46" w14:textId="77777777" w:rsidR="006965FA" w:rsidRPr="00D75D2E" w:rsidRDefault="006965FA" w:rsidP="007108ED">
            <w:pPr>
              <w:ind w:left="113" w:right="113"/>
              <w:jc w:val="center"/>
              <w:rPr>
                <w:rFonts w:ascii="Times New Roman" w:hAnsi="Times New Roman"/>
                <w:b/>
              </w:rPr>
            </w:pPr>
            <w:r w:rsidRPr="00D75D2E">
              <w:rPr>
                <w:rFonts w:ascii="Times New Roman" w:hAnsi="Times New Roman"/>
                <w:b/>
              </w:rPr>
              <w:t>CONSTRUCTION</w:t>
            </w:r>
          </w:p>
        </w:tc>
        <w:tc>
          <w:tcPr>
            <w:tcW w:w="709" w:type="dxa"/>
            <w:vAlign w:val="center"/>
          </w:tcPr>
          <w:p w14:paraId="1529AF72" w14:textId="03900B7D" w:rsidR="006965FA" w:rsidRPr="00D75D2E" w:rsidRDefault="006965FA" w:rsidP="00215867">
            <w:pPr>
              <w:spacing w:after="0" w:line="20" w:lineRule="atLeast"/>
              <w:jc w:val="center"/>
              <w:rPr>
                <w:rFonts w:ascii="Times New Roman" w:hAnsi="Times New Roman"/>
              </w:rPr>
            </w:pPr>
            <w:r>
              <w:rPr>
                <w:rFonts w:ascii="Times New Roman" w:hAnsi="Times New Roman"/>
              </w:rPr>
              <w:t>4</w:t>
            </w:r>
          </w:p>
        </w:tc>
        <w:tc>
          <w:tcPr>
            <w:tcW w:w="1978" w:type="dxa"/>
            <w:vAlign w:val="center"/>
          </w:tcPr>
          <w:p w14:paraId="7B3C5DFC"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Transport et circulation de la machinerie et matériaux, tirage des câbles, fouilles et installation des poteaux</w:t>
            </w:r>
          </w:p>
        </w:tc>
        <w:tc>
          <w:tcPr>
            <w:tcW w:w="1701" w:type="dxa"/>
            <w:vAlign w:val="center"/>
          </w:tcPr>
          <w:p w14:paraId="55EE87E1"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Santé publique et sécurité</w:t>
            </w:r>
          </w:p>
        </w:tc>
        <w:tc>
          <w:tcPr>
            <w:tcW w:w="4611" w:type="dxa"/>
            <w:vAlign w:val="center"/>
          </w:tcPr>
          <w:p w14:paraId="3ADF9BFB" w14:textId="77777777" w:rsidR="006965FA" w:rsidRPr="00D75D2E" w:rsidRDefault="006965FA" w:rsidP="00215867">
            <w:pPr>
              <w:spacing w:after="0" w:line="20" w:lineRule="atLeast"/>
              <w:jc w:val="both"/>
              <w:rPr>
                <w:rFonts w:ascii="Times New Roman" w:hAnsi="Times New Roman"/>
                <w:iCs/>
                <w:szCs w:val="18"/>
              </w:rPr>
            </w:pPr>
            <w:r w:rsidRPr="00D75D2E">
              <w:rPr>
                <w:rFonts w:ascii="Times New Roman" w:hAnsi="Times New Roman"/>
                <w:iCs/>
                <w:szCs w:val="18"/>
              </w:rPr>
              <w:t>La circulation des engins présenterait un danger pour la sécurité humaine et des animaux domestiques surtout à la traversée des marchés</w:t>
            </w:r>
            <w:r>
              <w:rPr>
                <w:rFonts w:ascii="Times New Roman" w:hAnsi="Times New Roman"/>
                <w:iCs/>
                <w:szCs w:val="18"/>
              </w:rPr>
              <w:t xml:space="preserve"> UPN et Bumbu</w:t>
            </w:r>
            <w:r w:rsidRPr="00D75D2E">
              <w:rPr>
                <w:rFonts w:ascii="Times New Roman" w:hAnsi="Times New Roman"/>
                <w:iCs/>
                <w:szCs w:val="18"/>
              </w:rPr>
              <w:t>. En effet, les émissions dans l’atmosphère (poussière et fumées) peuvent être source de maladie respiratoire et de nuisance sonore.</w:t>
            </w:r>
          </w:p>
        </w:tc>
        <w:tc>
          <w:tcPr>
            <w:tcW w:w="426" w:type="dxa"/>
            <w:shd w:val="clear" w:color="auto" w:fill="auto"/>
          </w:tcPr>
          <w:p w14:paraId="2F6FAC79" w14:textId="77777777" w:rsidR="006965FA" w:rsidRPr="00D75D2E" w:rsidRDefault="006965FA" w:rsidP="00215867">
            <w:pPr>
              <w:spacing w:after="0" w:line="20" w:lineRule="atLeast"/>
              <w:jc w:val="both"/>
              <w:rPr>
                <w:rFonts w:ascii="Times New Roman" w:hAnsi="Times New Roman"/>
              </w:rPr>
            </w:pPr>
          </w:p>
        </w:tc>
        <w:tc>
          <w:tcPr>
            <w:tcW w:w="424" w:type="dxa"/>
            <w:shd w:val="clear" w:color="auto" w:fill="FFC000"/>
          </w:tcPr>
          <w:p w14:paraId="6A3871F3" w14:textId="77777777" w:rsidR="006965FA" w:rsidRPr="00D75D2E" w:rsidRDefault="006965FA" w:rsidP="00215867">
            <w:pPr>
              <w:spacing w:after="0" w:line="20" w:lineRule="atLeast"/>
              <w:jc w:val="both"/>
              <w:rPr>
                <w:rFonts w:ascii="Times New Roman" w:hAnsi="Times New Roman"/>
              </w:rPr>
            </w:pPr>
          </w:p>
        </w:tc>
        <w:tc>
          <w:tcPr>
            <w:tcW w:w="493" w:type="dxa"/>
            <w:shd w:val="clear" w:color="auto" w:fill="FFFFFF"/>
          </w:tcPr>
          <w:p w14:paraId="127868DF"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305BF493" w14:textId="77777777" w:rsidR="006965FA" w:rsidRPr="00D75D2E" w:rsidRDefault="006965FA" w:rsidP="00215867">
            <w:pPr>
              <w:spacing w:after="0" w:line="20" w:lineRule="atLeast"/>
              <w:jc w:val="both"/>
              <w:rPr>
                <w:rFonts w:ascii="Times New Roman" w:hAnsi="Times New Roman"/>
              </w:rPr>
            </w:pPr>
          </w:p>
        </w:tc>
        <w:tc>
          <w:tcPr>
            <w:tcW w:w="519" w:type="dxa"/>
            <w:shd w:val="clear" w:color="auto" w:fill="FFC000"/>
          </w:tcPr>
          <w:p w14:paraId="52C282C5"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0B1F9177" w14:textId="77777777" w:rsidR="006965FA" w:rsidRPr="00D75D2E" w:rsidRDefault="006965FA" w:rsidP="00215867">
            <w:pPr>
              <w:spacing w:after="0" w:line="20" w:lineRule="atLeast"/>
              <w:jc w:val="both"/>
              <w:rPr>
                <w:rFonts w:ascii="Times New Roman" w:hAnsi="Times New Roman"/>
              </w:rPr>
            </w:pPr>
          </w:p>
        </w:tc>
        <w:tc>
          <w:tcPr>
            <w:tcW w:w="426" w:type="dxa"/>
            <w:shd w:val="clear" w:color="auto" w:fill="FFC000"/>
          </w:tcPr>
          <w:p w14:paraId="551C4A29" w14:textId="77777777" w:rsidR="006965FA" w:rsidRPr="00D75D2E" w:rsidRDefault="006965FA" w:rsidP="00215867">
            <w:pPr>
              <w:spacing w:after="0" w:line="20" w:lineRule="atLeast"/>
              <w:jc w:val="both"/>
              <w:rPr>
                <w:rFonts w:ascii="Times New Roman" w:hAnsi="Times New Roman"/>
              </w:rPr>
            </w:pPr>
          </w:p>
        </w:tc>
        <w:tc>
          <w:tcPr>
            <w:tcW w:w="435" w:type="dxa"/>
            <w:shd w:val="clear" w:color="auto" w:fill="FFFFFF"/>
          </w:tcPr>
          <w:p w14:paraId="3955EF1F" w14:textId="77777777" w:rsidR="006965FA" w:rsidRPr="00D75D2E" w:rsidRDefault="006965FA" w:rsidP="00215867">
            <w:pPr>
              <w:spacing w:after="0" w:line="20" w:lineRule="atLeast"/>
              <w:jc w:val="both"/>
              <w:rPr>
                <w:rFonts w:ascii="Times New Roman" w:hAnsi="Times New Roman"/>
              </w:rPr>
            </w:pPr>
          </w:p>
        </w:tc>
        <w:tc>
          <w:tcPr>
            <w:tcW w:w="363" w:type="dxa"/>
            <w:shd w:val="clear" w:color="auto" w:fill="FFFFFF"/>
          </w:tcPr>
          <w:p w14:paraId="30C34524" w14:textId="77777777" w:rsidR="006965FA" w:rsidRPr="00D75D2E" w:rsidRDefault="006965FA" w:rsidP="00215867">
            <w:pPr>
              <w:spacing w:after="0" w:line="20" w:lineRule="atLeast"/>
              <w:jc w:val="both"/>
              <w:rPr>
                <w:rFonts w:ascii="Times New Roman" w:hAnsi="Times New Roman"/>
              </w:rPr>
            </w:pPr>
          </w:p>
        </w:tc>
        <w:tc>
          <w:tcPr>
            <w:tcW w:w="567" w:type="dxa"/>
            <w:shd w:val="clear" w:color="auto" w:fill="auto"/>
          </w:tcPr>
          <w:p w14:paraId="4E40377D" w14:textId="77777777" w:rsidR="006965FA" w:rsidRPr="00D75D2E" w:rsidRDefault="006965FA" w:rsidP="00215867">
            <w:pPr>
              <w:spacing w:after="0" w:line="20" w:lineRule="atLeast"/>
              <w:jc w:val="both"/>
              <w:rPr>
                <w:rFonts w:ascii="Times New Roman" w:hAnsi="Times New Roman"/>
              </w:rPr>
            </w:pPr>
          </w:p>
        </w:tc>
        <w:tc>
          <w:tcPr>
            <w:tcW w:w="630" w:type="dxa"/>
            <w:shd w:val="clear" w:color="auto" w:fill="FFC000"/>
          </w:tcPr>
          <w:p w14:paraId="109DA635" w14:textId="77777777" w:rsidR="006965FA" w:rsidRPr="00D75D2E" w:rsidRDefault="006965FA" w:rsidP="00215867">
            <w:pPr>
              <w:spacing w:after="0" w:line="20" w:lineRule="atLeast"/>
              <w:ind w:left="-37"/>
              <w:jc w:val="both"/>
              <w:rPr>
                <w:rFonts w:ascii="Times New Roman" w:hAnsi="Times New Roman"/>
              </w:rPr>
            </w:pPr>
          </w:p>
        </w:tc>
        <w:tc>
          <w:tcPr>
            <w:tcW w:w="572" w:type="dxa"/>
            <w:shd w:val="clear" w:color="auto" w:fill="FFFFFF"/>
          </w:tcPr>
          <w:p w14:paraId="0AFDF308" w14:textId="77777777" w:rsidR="006965FA" w:rsidRPr="00D75D2E" w:rsidRDefault="006965FA" w:rsidP="00215867">
            <w:pPr>
              <w:spacing w:after="0" w:line="20" w:lineRule="atLeast"/>
              <w:jc w:val="both"/>
              <w:rPr>
                <w:rFonts w:ascii="Times New Roman" w:hAnsi="Times New Roman"/>
              </w:rPr>
            </w:pPr>
          </w:p>
        </w:tc>
      </w:tr>
      <w:tr w:rsidR="006965FA" w:rsidRPr="00420C1B" w14:paraId="23B0F242" w14:textId="77777777" w:rsidTr="00215867">
        <w:trPr>
          <w:trHeight w:val="2253"/>
          <w:jc w:val="center"/>
        </w:trPr>
        <w:tc>
          <w:tcPr>
            <w:tcW w:w="1129" w:type="dxa"/>
            <w:vMerge/>
            <w:vAlign w:val="center"/>
          </w:tcPr>
          <w:p w14:paraId="45FBBE53" w14:textId="77777777" w:rsidR="006965FA" w:rsidRPr="00D75D2E" w:rsidRDefault="006965FA" w:rsidP="007108ED">
            <w:pPr>
              <w:jc w:val="both"/>
              <w:rPr>
                <w:rFonts w:ascii="Times New Roman" w:hAnsi="Times New Roman"/>
                <w:b/>
              </w:rPr>
            </w:pPr>
          </w:p>
        </w:tc>
        <w:tc>
          <w:tcPr>
            <w:tcW w:w="709" w:type="dxa"/>
            <w:vAlign w:val="center"/>
          </w:tcPr>
          <w:p w14:paraId="65C148F2" w14:textId="481569EA" w:rsidR="006965FA" w:rsidRPr="00D75D2E" w:rsidRDefault="006965FA" w:rsidP="00215867">
            <w:pPr>
              <w:spacing w:after="0" w:line="20" w:lineRule="atLeast"/>
              <w:jc w:val="center"/>
              <w:rPr>
                <w:rFonts w:ascii="Times New Roman" w:hAnsi="Times New Roman"/>
              </w:rPr>
            </w:pPr>
            <w:r>
              <w:rPr>
                <w:rFonts w:ascii="Times New Roman" w:hAnsi="Times New Roman"/>
              </w:rPr>
              <w:t>5</w:t>
            </w:r>
          </w:p>
        </w:tc>
        <w:tc>
          <w:tcPr>
            <w:tcW w:w="1978" w:type="dxa"/>
            <w:vAlign w:val="center"/>
          </w:tcPr>
          <w:p w14:paraId="4318611A" w14:textId="788D15FD"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Approvisionnemen, stockage, distribution et consommation des hydrocarbures (déversement d’hydrocarbure et production de déchet)</w:t>
            </w:r>
          </w:p>
        </w:tc>
        <w:tc>
          <w:tcPr>
            <w:tcW w:w="1701" w:type="dxa"/>
            <w:vAlign w:val="center"/>
          </w:tcPr>
          <w:p w14:paraId="1951FF95"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Santé publique et sécurité</w:t>
            </w:r>
          </w:p>
        </w:tc>
        <w:tc>
          <w:tcPr>
            <w:tcW w:w="4611" w:type="dxa"/>
            <w:vAlign w:val="center"/>
          </w:tcPr>
          <w:p w14:paraId="79C6C87F" w14:textId="77777777" w:rsidR="006965FA" w:rsidRPr="00D75D2E" w:rsidRDefault="006965FA" w:rsidP="00215867">
            <w:pPr>
              <w:spacing w:after="0" w:line="20" w:lineRule="atLeast"/>
              <w:jc w:val="both"/>
              <w:rPr>
                <w:rFonts w:ascii="Times New Roman" w:hAnsi="Times New Roman"/>
                <w:iCs/>
                <w:szCs w:val="18"/>
              </w:rPr>
            </w:pPr>
            <w:r w:rsidRPr="00D75D2E">
              <w:rPr>
                <w:rFonts w:ascii="Times New Roman" w:hAnsi="Times New Roman"/>
                <w:iCs/>
                <w:szCs w:val="18"/>
              </w:rPr>
              <w:t xml:space="preserve">L’approvisionnement, le stockage et la distribution d’hydrocarbure pourrait engendrer des déversements accidentels et des rejets </w:t>
            </w:r>
            <w:r>
              <w:rPr>
                <w:rFonts w:ascii="Times New Roman" w:hAnsi="Times New Roman"/>
                <w:iCs/>
                <w:szCs w:val="18"/>
              </w:rPr>
              <w:t>d’</w:t>
            </w:r>
            <w:r w:rsidRPr="00D75D2E">
              <w:rPr>
                <w:rFonts w:ascii="Times New Roman" w:hAnsi="Times New Roman"/>
                <w:iCs/>
                <w:szCs w:val="18"/>
              </w:rPr>
              <w:t>huiles usées issues du fonctionnement des engins. Le rejet de ces déchets contribuerait à polluer les sols et par le phénomène du ruissèlement/infiltration les eaux de surface et souterraines dont la consommation pourrait entrainer des maladies (cancer).</w:t>
            </w:r>
          </w:p>
        </w:tc>
        <w:tc>
          <w:tcPr>
            <w:tcW w:w="426" w:type="dxa"/>
            <w:shd w:val="clear" w:color="auto" w:fill="auto"/>
          </w:tcPr>
          <w:p w14:paraId="5A06BA61" w14:textId="77777777" w:rsidR="006965FA" w:rsidRPr="00D75D2E" w:rsidRDefault="006965FA" w:rsidP="00215867">
            <w:pPr>
              <w:spacing w:after="0" w:line="20" w:lineRule="atLeast"/>
              <w:jc w:val="both"/>
              <w:rPr>
                <w:rFonts w:ascii="Times New Roman" w:hAnsi="Times New Roman"/>
              </w:rPr>
            </w:pPr>
          </w:p>
        </w:tc>
        <w:tc>
          <w:tcPr>
            <w:tcW w:w="424" w:type="dxa"/>
            <w:shd w:val="clear" w:color="auto" w:fill="FFC000"/>
          </w:tcPr>
          <w:p w14:paraId="4F28FA06" w14:textId="77777777" w:rsidR="006965FA" w:rsidRPr="00D75D2E" w:rsidRDefault="006965FA" w:rsidP="00215867">
            <w:pPr>
              <w:spacing w:after="0" w:line="20" w:lineRule="atLeast"/>
              <w:jc w:val="both"/>
              <w:rPr>
                <w:rFonts w:ascii="Times New Roman" w:hAnsi="Times New Roman"/>
              </w:rPr>
            </w:pPr>
          </w:p>
        </w:tc>
        <w:tc>
          <w:tcPr>
            <w:tcW w:w="493" w:type="dxa"/>
            <w:shd w:val="clear" w:color="auto" w:fill="FFFFFF"/>
          </w:tcPr>
          <w:p w14:paraId="720C8966"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66000A5C" w14:textId="77777777" w:rsidR="006965FA" w:rsidRPr="00D75D2E" w:rsidRDefault="006965FA" w:rsidP="00215867">
            <w:pPr>
              <w:spacing w:after="0" w:line="20" w:lineRule="atLeast"/>
              <w:jc w:val="both"/>
              <w:rPr>
                <w:rFonts w:ascii="Times New Roman" w:hAnsi="Times New Roman"/>
              </w:rPr>
            </w:pPr>
          </w:p>
        </w:tc>
        <w:tc>
          <w:tcPr>
            <w:tcW w:w="519" w:type="dxa"/>
            <w:shd w:val="clear" w:color="auto" w:fill="FFC000"/>
          </w:tcPr>
          <w:p w14:paraId="2A9A5273"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7D59D63F" w14:textId="77777777" w:rsidR="006965FA" w:rsidRPr="00D75D2E" w:rsidRDefault="006965FA" w:rsidP="00215867">
            <w:pPr>
              <w:spacing w:after="0" w:line="20" w:lineRule="atLeast"/>
              <w:jc w:val="both"/>
              <w:rPr>
                <w:rFonts w:ascii="Times New Roman" w:hAnsi="Times New Roman"/>
              </w:rPr>
            </w:pPr>
          </w:p>
        </w:tc>
        <w:tc>
          <w:tcPr>
            <w:tcW w:w="426" w:type="dxa"/>
            <w:shd w:val="clear" w:color="auto" w:fill="FFC000"/>
          </w:tcPr>
          <w:p w14:paraId="7A7D323C" w14:textId="77777777" w:rsidR="006965FA" w:rsidRPr="00D75D2E" w:rsidRDefault="006965FA" w:rsidP="00215867">
            <w:pPr>
              <w:spacing w:after="0" w:line="20" w:lineRule="atLeast"/>
              <w:jc w:val="both"/>
              <w:rPr>
                <w:rFonts w:ascii="Times New Roman" w:hAnsi="Times New Roman"/>
              </w:rPr>
            </w:pPr>
          </w:p>
        </w:tc>
        <w:tc>
          <w:tcPr>
            <w:tcW w:w="435" w:type="dxa"/>
            <w:shd w:val="clear" w:color="auto" w:fill="FFFFFF"/>
          </w:tcPr>
          <w:p w14:paraId="2FFD11AC" w14:textId="77777777" w:rsidR="006965FA" w:rsidRPr="00D75D2E" w:rsidRDefault="006965FA" w:rsidP="00215867">
            <w:pPr>
              <w:spacing w:after="0" w:line="20" w:lineRule="atLeast"/>
              <w:jc w:val="both"/>
              <w:rPr>
                <w:rFonts w:ascii="Times New Roman" w:hAnsi="Times New Roman"/>
              </w:rPr>
            </w:pPr>
          </w:p>
        </w:tc>
        <w:tc>
          <w:tcPr>
            <w:tcW w:w="363" w:type="dxa"/>
            <w:shd w:val="clear" w:color="auto" w:fill="FFFFFF"/>
          </w:tcPr>
          <w:p w14:paraId="1A9BC04A" w14:textId="77777777" w:rsidR="006965FA" w:rsidRPr="00D75D2E" w:rsidRDefault="006965FA" w:rsidP="00215867">
            <w:pPr>
              <w:spacing w:after="0" w:line="20" w:lineRule="atLeast"/>
              <w:jc w:val="both"/>
              <w:rPr>
                <w:rFonts w:ascii="Times New Roman" w:hAnsi="Times New Roman"/>
              </w:rPr>
            </w:pPr>
          </w:p>
        </w:tc>
        <w:tc>
          <w:tcPr>
            <w:tcW w:w="567" w:type="dxa"/>
            <w:shd w:val="clear" w:color="auto" w:fill="auto"/>
          </w:tcPr>
          <w:p w14:paraId="642C9153" w14:textId="77777777" w:rsidR="006965FA" w:rsidRPr="00D75D2E" w:rsidRDefault="006965FA" w:rsidP="00215867">
            <w:pPr>
              <w:spacing w:after="0" w:line="20" w:lineRule="atLeast"/>
              <w:jc w:val="both"/>
              <w:rPr>
                <w:rFonts w:ascii="Times New Roman" w:hAnsi="Times New Roman"/>
              </w:rPr>
            </w:pPr>
          </w:p>
        </w:tc>
        <w:tc>
          <w:tcPr>
            <w:tcW w:w="630" w:type="dxa"/>
            <w:shd w:val="clear" w:color="auto" w:fill="FFC000"/>
          </w:tcPr>
          <w:p w14:paraId="1CD01112" w14:textId="77777777" w:rsidR="006965FA" w:rsidRPr="00D75D2E" w:rsidRDefault="006965FA" w:rsidP="00215867">
            <w:pPr>
              <w:spacing w:after="0" w:line="20" w:lineRule="atLeast"/>
              <w:jc w:val="both"/>
              <w:rPr>
                <w:rFonts w:ascii="Times New Roman" w:hAnsi="Times New Roman"/>
              </w:rPr>
            </w:pPr>
          </w:p>
        </w:tc>
        <w:tc>
          <w:tcPr>
            <w:tcW w:w="572" w:type="dxa"/>
            <w:shd w:val="clear" w:color="auto" w:fill="FFFFFF"/>
          </w:tcPr>
          <w:p w14:paraId="752B92F0" w14:textId="77777777" w:rsidR="006965FA" w:rsidRPr="00D75D2E" w:rsidRDefault="006965FA" w:rsidP="00215867">
            <w:pPr>
              <w:spacing w:after="0" w:line="20" w:lineRule="atLeast"/>
              <w:jc w:val="both"/>
              <w:rPr>
                <w:rFonts w:ascii="Times New Roman" w:hAnsi="Times New Roman"/>
              </w:rPr>
            </w:pPr>
          </w:p>
        </w:tc>
      </w:tr>
      <w:tr w:rsidR="006965FA" w:rsidRPr="00420C1B" w14:paraId="530A44B1" w14:textId="77777777" w:rsidTr="00215867">
        <w:trPr>
          <w:jc w:val="center"/>
        </w:trPr>
        <w:tc>
          <w:tcPr>
            <w:tcW w:w="1129" w:type="dxa"/>
            <w:vMerge/>
            <w:vAlign w:val="center"/>
          </w:tcPr>
          <w:p w14:paraId="564A8533" w14:textId="77777777" w:rsidR="006965FA" w:rsidRPr="00D75D2E" w:rsidRDefault="006965FA" w:rsidP="007108ED">
            <w:pPr>
              <w:jc w:val="both"/>
              <w:rPr>
                <w:rFonts w:ascii="Times New Roman" w:hAnsi="Times New Roman"/>
                <w:b/>
              </w:rPr>
            </w:pPr>
          </w:p>
        </w:tc>
        <w:tc>
          <w:tcPr>
            <w:tcW w:w="709" w:type="dxa"/>
            <w:vAlign w:val="center"/>
          </w:tcPr>
          <w:p w14:paraId="03E4CA5A" w14:textId="57917EE6" w:rsidR="006965FA" w:rsidRPr="00D75D2E" w:rsidRDefault="006965FA" w:rsidP="00215867">
            <w:pPr>
              <w:spacing w:after="0" w:line="20" w:lineRule="atLeast"/>
              <w:jc w:val="center"/>
              <w:rPr>
                <w:rFonts w:ascii="Times New Roman" w:hAnsi="Times New Roman"/>
              </w:rPr>
            </w:pPr>
            <w:r>
              <w:rPr>
                <w:rFonts w:ascii="Times New Roman" w:hAnsi="Times New Roman"/>
              </w:rPr>
              <w:t>6</w:t>
            </w:r>
          </w:p>
        </w:tc>
        <w:tc>
          <w:tcPr>
            <w:tcW w:w="1978" w:type="dxa"/>
            <w:vAlign w:val="center"/>
          </w:tcPr>
          <w:p w14:paraId="7B33837B"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 xml:space="preserve">Recrutement du personnel du chantier  </w:t>
            </w:r>
          </w:p>
        </w:tc>
        <w:tc>
          <w:tcPr>
            <w:tcW w:w="1701" w:type="dxa"/>
            <w:vAlign w:val="center"/>
          </w:tcPr>
          <w:p w14:paraId="02480D02"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Humain</w:t>
            </w:r>
          </w:p>
        </w:tc>
        <w:tc>
          <w:tcPr>
            <w:tcW w:w="4611" w:type="dxa"/>
            <w:vAlign w:val="center"/>
          </w:tcPr>
          <w:p w14:paraId="2127BB01" w14:textId="453BF986" w:rsidR="006965FA" w:rsidRPr="00D75D2E" w:rsidRDefault="006965FA" w:rsidP="00215867">
            <w:pPr>
              <w:spacing w:after="0" w:line="20" w:lineRule="atLeast"/>
              <w:jc w:val="both"/>
              <w:rPr>
                <w:rFonts w:ascii="Times New Roman" w:hAnsi="Times New Roman"/>
                <w:iCs/>
                <w:szCs w:val="18"/>
              </w:rPr>
            </w:pPr>
            <w:r w:rsidRPr="00D75D2E">
              <w:rPr>
                <w:rFonts w:ascii="Times New Roman" w:hAnsi="Times New Roman"/>
                <w:iCs/>
                <w:szCs w:val="18"/>
              </w:rPr>
              <w:t>La non-utilisation de la main d’œuvre locale et le non-respect des us et coutumes</w:t>
            </w:r>
            <w:r>
              <w:rPr>
                <w:rFonts w:ascii="Times New Roman" w:hAnsi="Times New Roman"/>
                <w:iCs/>
                <w:szCs w:val="18"/>
              </w:rPr>
              <w:t xml:space="preserve"> selon la loi </w:t>
            </w:r>
            <w:r w:rsidRPr="00D75D2E">
              <w:rPr>
                <w:rFonts w:ascii="Times New Roman" w:hAnsi="Times New Roman"/>
                <w:iCs/>
                <w:szCs w:val="18"/>
              </w:rPr>
              <w:t xml:space="preserve"> des populations par les employés venus d’ailleurs pourront engendrer des conflits.</w:t>
            </w:r>
          </w:p>
        </w:tc>
        <w:tc>
          <w:tcPr>
            <w:tcW w:w="426" w:type="dxa"/>
            <w:shd w:val="clear" w:color="auto" w:fill="auto"/>
          </w:tcPr>
          <w:p w14:paraId="0C3DCE77" w14:textId="77777777" w:rsidR="006965FA" w:rsidRPr="00D75D2E" w:rsidRDefault="006965FA" w:rsidP="00215867">
            <w:pPr>
              <w:spacing w:after="0" w:line="20" w:lineRule="atLeast"/>
              <w:jc w:val="both"/>
              <w:rPr>
                <w:rFonts w:ascii="Times New Roman" w:hAnsi="Times New Roman"/>
              </w:rPr>
            </w:pPr>
          </w:p>
        </w:tc>
        <w:tc>
          <w:tcPr>
            <w:tcW w:w="424" w:type="dxa"/>
            <w:shd w:val="clear" w:color="auto" w:fill="FFC000"/>
          </w:tcPr>
          <w:p w14:paraId="3A265F15" w14:textId="77777777" w:rsidR="006965FA" w:rsidRPr="00D75D2E" w:rsidRDefault="006965FA" w:rsidP="00215867">
            <w:pPr>
              <w:spacing w:after="0" w:line="20" w:lineRule="atLeast"/>
              <w:jc w:val="both"/>
              <w:rPr>
                <w:rFonts w:ascii="Times New Roman" w:hAnsi="Times New Roman"/>
              </w:rPr>
            </w:pPr>
          </w:p>
        </w:tc>
        <w:tc>
          <w:tcPr>
            <w:tcW w:w="493" w:type="dxa"/>
            <w:shd w:val="clear" w:color="auto" w:fill="FFFFFF"/>
          </w:tcPr>
          <w:p w14:paraId="6D1A76C7"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2B4B9B71" w14:textId="77777777" w:rsidR="006965FA" w:rsidRPr="00D75D2E" w:rsidRDefault="006965FA" w:rsidP="00215867">
            <w:pPr>
              <w:spacing w:after="0" w:line="20" w:lineRule="atLeast"/>
              <w:jc w:val="both"/>
              <w:rPr>
                <w:rFonts w:ascii="Times New Roman" w:hAnsi="Times New Roman"/>
              </w:rPr>
            </w:pPr>
          </w:p>
        </w:tc>
        <w:tc>
          <w:tcPr>
            <w:tcW w:w="519" w:type="dxa"/>
            <w:shd w:val="clear" w:color="auto" w:fill="FFC000"/>
          </w:tcPr>
          <w:p w14:paraId="0E970E4D"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540C680E" w14:textId="77777777" w:rsidR="006965FA" w:rsidRPr="00D75D2E" w:rsidRDefault="006965FA" w:rsidP="00215867">
            <w:pPr>
              <w:spacing w:after="0" w:line="20" w:lineRule="atLeast"/>
              <w:jc w:val="both"/>
              <w:rPr>
                <w:rFonts w:ascii="Times New Roman" w:hAnsi="Times New Roman"/>
              </w:rPr>
            </w:pPr>
          </w:p>
        </w:tc>
        <w:tc>
          <w:tcPr>
            <w:tcW w:w="426" w:type="dxa"/>
            <w:shd w:val="clear" w:color="auto" w:fill="auto"/>
          </w:tcPr>
          <w:p w14:paraId="7B00B0E2" w14:textId="77777777" w:rsidR="006965FA" w:rsidRPr="00D75D2E" w:rsidRDefault="006965FA" w:rsidP="00215867">
            <w:pPr>
              <w:spacing w:after="0" w:line="20" w:lineRule="atLeast"/>
              <w:jc w:val="both"/>
              <w:rPr>
                <w:rFonts w:ascii="Times New Roman" w:hAnsi="Times New Roman"/>
              </w:rPr>
            </w:pPr>
          </w:p>
        </w:tc>
        <w:tc>
          <w:tcPr>
            <w:tcW w:w="435" w:type="dxa"/>
            <w:shd w:val="clear" w:color="auto" w:fill="FFC000"/>
          </w:tcPr>
          <w:p w14:paraId="648EB919" w14:textId="77777777" w:rsidR="006965FA" w:rsidRPr="00D75D2E" w:rsidRDefault="006965FA" w:rsidP="00215867">
            <w:pPr>
              <w:spacing w:after="0" w:line="20" w:lineRule="atLeast"/>
              <w:jc w:val="both"/>
              <w:rPr>
                <w:rFonts w:ascii="Times New Roman" w:hAnsi="Times New Roman"/>
              </w:rPr>
            </w:pPr>
          </w:p>
        </w:tc>
        <w:tc>
          <w:tcPr>
            <w:tcW w:w="363" w:type="dxa"/>
            <w:shd w:val="clear" w:color="auto" w:fill="FFFFFF"/>
          </w:tcPr>
          <w:p w14:paraId="525FDC9B" w14:textId="77777777" w:rsidR="006965FA" w:rsidRPr="00D75D2E" w:rsidRDefault="006965FA" w:rsidP="00215867">
            <w:pPr>
              <w:spacing w:after="0" w:line="20" w:lineRule="atLeast"/>
              <w:jc w:val="both"/>
              <w:rPr>
                <w:rFonts w:ascii="Times New Roman" w:hAnsi="Times New Roman"/>
              </w:rPr>
            </w:pPr>
          </w:p>
        </w:tc>
        <w:tc>
          <w:tcPr>
            <w:tcW w:w="567" w:type="dxa"/>
            <w:shd w:val="clear" w:color="auto" w:fill="auto"/>
          </w:tcPr>
          <w:p w14:paraId="429F0F0F" w14:textId="77777777" w:rsidR="006965FA" w:rsidRPr="00D75D2E" w:rsidRDefault="006965FA" w:rsidP="00215867">
            <w:pPr>
              <w:spacing w:after="0" w:line="20" w:lineRule="atLeast"/>
              <w:jc w:val="both"/>
              <w:rPr>
                <w:rFonts w:ascii="Times New Roman" w:hAnsi="Times New Roman"/>
              </w:rPr>
            </w:pPr>
          </w:p>
        </w:tc>
        <w:tc>
          <w:tcPr>
            <w:tcW w:w="630" w:type="dxa"/>
            <w:shd w:val="clear" w:color="auto" w:fill="FFC000"/>
          </w:tcPr>
          <w:p w14:paraId="6B1189BD" w14:textId="77777777" w:rsidR="006965FA" w:rsidRPr="00D75D2E" w:rsidRDefault="006965FA" w:rsidP="00215867">
            <w:pPr>
              <w:spacing w:after="0" w:line="20" w:lineRule="atLeast"/>
              <w:jc w:val="both"/>
              <w:rPr>
                <w:rFonts w:ascii="Times New Roman" w:hAnsi="Times New Roman"/>
              </w:rPr>
            </w:pPr>
          </w:p>
        </w:tc>
        <w:tc>
          <w:tcPr>
            <w:tcW w:w="572" w:type="dxa"/>
            <w:shd w:val="clear" w:color="auto" w:fill="FFFFFF"/>
          </w:tcPr>
          <w:p w14:paraId="1ADE08F4" w14:textId="77777777" w:rsidR="006965FA" w:rsidRPr="00D75D2E" w:rsidRDefault="006965FA" w:rsidP="00215867">
            <w:pPr>
              <w:spacing w:after="0" w:line="20" w:lineRule="atLeast"/>
              <w:jc w:val="both"/>
              <w:rPr>
                <w:rFonts w:ascii="Times New Roman" w:hAnsi="Times New Roman"/>
              </w:rPr>
            </w:pPr>
          </w:p>
        </w:tc>
      </w:tr>
      <w:tr w:rsidR="006965FA" w:rsidRPr="00420C1B" w14:paraId="67E48C16" w14:textId="77777777" w:rsidTr="00215867">
        <w:trPr>
          <w:jc w:val="center"/>
        </w:trPr>
        <w:tc>
          <w:tcPr>
            <w:tcW w:w="1129" w:type="dxa"/>
            <w:vMerge/>
            <w:vAlign w:val="center"/>
          </w:tcPr>
          <w:p w14:paraId="1E01F2D1" w14:textId="77777777" w:rsidR="006965FA" w:rsidRPr="00D75D2E" w:rsidRDefault="006965FA" w:rsidP="001D239C">
            <w:pPr>
              <w:jc w:val="both"/>
              <w:rPr>
                <w:rFonts w:ascii="Times New Roman" w:hAnsi="Times New Roman"/>
                <w:b/>
              </w:rPr>
            </w:pPr>
          </w:p>
        </w:tc>
        <w:tc>
          <w:tcPr>
            <w:tcW w:w="709" w:type="dxa"/>
            <w:vAlign w:val="center"/>
          </w:tcPr>
          <w:p w14:paraId="4BCD04D5" w14:textId="03BE1E4B" w:rsidR="006965FA" w:rsidRPr="00D75D2E" w:rsidRDefault="006965FA" w:rsidP="001D239C">
            <w:pPr>
              <w:jc w:val="center"/>
              <w:rPr>
                <w:rFonts w:ascii="Times New Roman" w:hAnsi="Times New Roman"/>
              </w:rPr>
            </w:pPr>
            <w:r>
              <w:rPr>
                <w:rFonts w:ascii="Times New Roman" w:hAnsi="Times New Roman"/>
                <w:sz w:val="20"/>
                <w:szCs w:val="20"/>
              </w:rPr>
              <w:t>7</w:t>
            </w:r>
          </w:p>
        </w:tc>
        <w:tc>
          <w:tcPr>
            <w:tcW w:w="1978" w:type="dxa"/>
            <w:vAlign w:val="center"/>
          </w:tcPr>
          <w:p w14:paraId="133F2F1B" w14:textId="49D85BDD" w:rsidR="006965FA" w:rsidRPr="00D75D2E" w:rsidRDefault="006965FA" w:rsidP="001D239C">
            <w:pPr>
              <w:jc w:val="both"/>
              <w:rPr>
                <w:rFonts w:ascii="Times New Roman" w:hAnsi="Times New Roman"/>
              </w:rPr>
            </w:pPr>
            <w:r>
              <w:rPr>
                <w:rFonts w:ascii="Times New Roman" w:hAnsi="Times New Roman"/>
                <w:sz w:val="20"/>
                <w:szCs w:val="20"/>
              </w:rPr>
              <w:t xml:space="preserve">Mobilisation du personnel et l’afflux de la main d’œuvre sur le site du projet </w:t>
            </w:r>
          </w:p>
        </w:tc>
        <w:tc>
          <w:tcPr>
            <w:tcW w:w="1701" w:type="dxa"/>
            <w:vAlign w:val="center"/>
          </w:tcPr>
          <w:p w14:paraId="79FEDC79" w14:textId="0C4907E0" w:rsidR="006965FA" w:rsidRPr="00D75D2E" w:rsidRDefault="006965FA" w:rsidP="001D239C">
            <w:pPr>
              <w:jc w:val="both"/>
              <w:rPr>
                <w:rFonts w:ascii="Times New Roman" w:hAnsi="Times New Roman"/>
              </w:rPr>
            </w:pPr>
            <w:r>
              <w:rPr>
                <w:rFonts w:ascii="Times New Roman" w:hAnsi="Times New Roman"/>
                <w:sz w:val="20"/>
                <w:szCs w:val="20"/>
              </w:rPr>
              <w:t xml:space="preserve">Population </w:t>
            </w:r>
          </w:p>
        </w:tc>
        <w:tc>
          <w:tcPr>
            <w:tcW w:w="4611" w:type="dxa"/>
            <w:vAlign w:val="center"/>
          </w:tcPr>
          <w:p w14:paraId="415CFA9A" w14:textId="68BFE700" w:rsidR="006965FA" w:rsidRPr="00D75D2E" w:rsidRDefault="006965FA" w:rsidP="001D239C">
            <w:pPr>
              <w:spacing w:after="0" w:line="240" w:lineRule="auto"/>
              <w:jc w:val="both"/>
              <w:rPr>
                <w:rFonts w:ascii="Times New Roman" w:hAnsi="Times New Roman"/>
                <w:iCs/>
                <w:szCs w:val="18"/>
              </w:rPr>
            </w:pPr>
            <w:r w:rsidRPr="008160FD">
              <w:rPr>
                <w:rFonts w:ascii="Times New Roman" w:hAnsi="Times New Roman"/>
                <w:sz w:val="20"/>
                <w:szCs w:val="20"/>
                <w:lang w:val="fr-CD"/>
              </w:rPr>
              <w:t xml:space="preserve">A la suite de l’afflux de la main d’œuvre, les nouveaux travailleurs pourraient nouer des relations sociales étroites, généralement avec des femmes membres des communautés locales et donc le risque de transmission de maladies comme les IST et le VIH/SIDA et de conflits conjugaux sont potentiels. </w:t>
            </w:r>
          </w:p>
        </w:tc>
        <w:tc>
          <w:tcPr>
            <w:tcW w:w="426" w:type="dxa"/>
            <w:shd w:val="clear" w:color="auto" w:fill="auto"/>
          </w:tcPr>
          <w:p w14:paraId="2706CE79" w14:textId="77777777" w:rsidR="006965FA" w:rsidRPr="00D75D2E" w:rsidRDefault="006965FA" w:rsidP="001D239C">
            <w:pPr>
              <w:jc w:val="both"/>
              <w:rPr>
                <w:rFonts w:ascii="Times New Roman" w:hAnsi="Times New Roman"/>
              </w:rPr>
            </w:pPr>
          </w:p>
        </w:tc>
        <w:tc>
          <w:tcPr>
            <w:tcW w:w="424" w:type="dxa"/>
            <w:shd w:val="clear" w:color="auto" w:fill="FFC000"/>
          </w:tcPr>
          <w:p w14:paraId="4B2BBA58" w14:textId="77777777" w:rsidR="006965FA" w:rsidRPr="00D75D2E" w:rsidRDefault="006965FA" w:rsidP="001D239C">
            <w:pPr>
              <w:jc w:val="both"/>
              <w:rPr>
                <w:rFonts w:ascii="Times New Roman" w:hAnsi="Times New Roman"/>
              </w:rPr>
            </w:pPr>
          </w:p>
        </w:tc>
        <w:tc>
          <w:tcPr>
            <w:tcW w:w="493" w:type="dxa"/>
            <w:shd w:val="clear" w:color="auto" w:fill="FFFFFF"/>
          </w:tcPr>
          <w:p w14:paraId="67989942" w14:textId="77777777" w:rsidR="006965FA" w:rsidRPr="00D75D2E" w:rsidRDefault="006965FA" w:rsidP="001D239C">
            <w:pPr>
              <w:jc w:val="both"/>
              <w:rPr>
                <w:rFonts w:ascii="Times New Roman" w:hAnsi="Times New Roman"/>
              </w:rPr>
            </w:pPr>
          </w:p>
        </w:tc>
        <w:tc>
          <w:tcPr>
            <w:tcW w:w="425" w:type="dxa"/>
            <w:shd w:val="clear" w:color="auto" w:fill="FFFFFF"/>
          </w:tcPr>
          <w:p w14:paraId="643C6A44" w14:textId="77777777" w:rsidR="006965FA" w:rsidRPr="00D75D2E" w:rsidRDefault="006965FA" w:rsidP="001D239C">
            <w:pPr>
              <w:jc w:val="both"/>
              <w:rPr>
                <w:rFonts w:ascii="Times New Roman" w:hAnsi="Times New Roman"/>
              </w:rPr>
            </w:pPr>
          </w:p>
        </w:tc>
        <w:tc>
          <w:tcPr>
            <w:tcW w:w="519" w:type="dxa"/>
            <w:shd w:val="clear" w:color="auto" w:fill="FFC000"/>
          </w:tcPr>
          <w:p w14:paraId="7CC5A51E" w14:textId="77777777" w:rsidR="006965FA" w:rsidRPr="00D75D2E" w:rsidRDefault="006965FA" w:rsidP="001D239C">
            <w:pPr>
              <w:jc w:val="both"/>
              <w:rPr>
                <w:rFonts w:ascii="Times New Roman" w:hAnsi="Times New Roman"/>
              </w:rPr>
            </w:pPr>
          </w:p>
        </w:tc>
        <w:tc>
          <w:tcPr>
            <w:tcW w:w="425" w:type="dxa"/>
            <w:shd w:val="clear" w:color="auto" w:fill="FFFFFF"/>
          </w:tcPr>
          <w:p w14:paraId="455C57C0" w14:textId="77777777" w:rsidR="006965FA" w:rsidRPr="00D75D2E" w:rsidRDefault="006965FA" w:rsidP="001D239C">
            <w:pPr>
              <w:jc w:val="both"/>
              <w:rPr>
                <w:rFonts w:ascii="Times New Roman" w:hAnsi="Times New Roman"/>
              </w:rPr>
            </w:pPr>
          </w:p>
        </w:tc>
        <w:tc>
          <w:tcPr>
            <w:tcW w:w="426" w:type="dxa"/>
            <w:shd w:val="clear" w:color="auto" w:fill="auto"/>
          </w:tcPr>
          <w:p w14:paraId="029F314D" w14:textId="77777777" w:rsidR="006965FA" w:rsidRPr="00D75D2E" w:rsidRDefault="006965FA" w:rsidP="001D239C">
            <w:pPr>
              <w:jc w:val="both"/>
              <w:rPr>
                <w:rFonts w:ascii="Times New Roman" w:hAnsi="Times New Roman"/>
              </w:rPr>
            </w:pPr>
          </w:p>
        </w:tc>
        <w:tc>
          <w:tcPr>
            <w:tcW w:w="435" w:type="dxa"/>
            <w:shd w:val="clear" w:color="auto" w:fill="FFC000"/>
          </w:tcPr>
          <w:p w14:paraId="30331491" w14:textId="77777777" w:rsidR="006965FA" w:rsidRPr="00D75D2E" w:rsidRDefault="006965FA" w:rsidP="001D239C">
            <w:pPr>
              <w:jc w:val="both"/>
              <w:rPr>
                <w:rFonts w:ascii="Times New Roman" w:hAnsi="Times New Roman"/>
              </w:rPr>
            </w:pPr>
          </w:p>
        </w:tc>
        <w:tc>
          <w:tcPr>
            <w:tcW w:w="363" w:type="dxa"/>
            <w:shd w:val="clear" w:color="auto" w:fill="FFFFFF"/>
          </w:tcPr>
          <w:p w14:paraId="32A8BDFE" w14:textId="77777777" w:rsidR="006965FA" w:rsidRPr="00D75D2E" w:rsidRDefault="006965FA" w:rsidP="001D239C">
            <w:pPr>
              <w:jc w:val="both"/>
              <w:rPr>
                <w:rFonts w:ascii="Times New Roman" w:hAnsi="Times New Roman"/>
              </w:rPr>
            </w:pPr>
          </w:p>
        </w:tc>
        <w:tc>
          <w:tcPr>
            <w:tcW w:w="567" w:type="dxa"/>
            <w:shd w:val="clear" w:color="auto" w:fill="auto"/>
          </w:tcPr>
          <w:p w14:paraId="0E8D966A" w14:textId="77777777" w:rsidR="006965FA" w:rsidRPr="00D75D2E" w:rsidRDefault="006965FA" w:rsidP="001D239C">
            <w:pPr>
              <w:jc w:val="both"/>
              <w:rPr>
                <w:rFonts w:ascii="Times New Roman" w:hAnsi="Times New Roman"/>
              </w:rPr>
            </w:pPr>
          </w:p>
        </w:tc>
        <w:tc>
          <w:tcPr>
            <w:tcW w:w="630" w:type="dxa"/>
            <w:shd w:val="clear" w:color="auto" w:fill="FFC000"/>
          </w:tcPr>
          <w:p w14:paraId="68D00B84" w14:textId="77777777" w:rsidR="006965FA" w:rsidRPr="00D75D2E" w:rsidRDefault="006965FA" w:rsidP="001D239C">
            <w:pPr>
              <w:jc w:val="both"/>
              <w:rPr>
                <w:rFonts w:ascii="Times New Roman" w:hAnsi="Times New Roman"/>
              </w:rPr>
            </w:pPr>
          </w:p>
        </w:tc>
        <w:tc>
          <w:tcPr>
            <w:tcW w:w="572" w:type="dxa"/>
            <w:shd w:val="clear" w:color="auto" w:fill="FFFFFF"/>
          </w:tcPr>
          <w:p w14:paraId="1056AAD6" w14:textId="77777777" w:rsidR="006965FA" w:rsidRPr="00D75D2E" w:rsidRDefault="006965FA" w:rsidP="001D239C">
            <w:pPr>
              <w:jc w:val="both"/>
              <w:rPr>
                <w:rFonts w:ascii="Times New Roman" w:hAnsi="Times New Roman"/>
              </w:rPr>
            </w:pPr>
          </w:p>
        </w:tc>
      </w:tr>
      <w:tr w:rsidR="006965FA" w:rsidRPr="00420C1B" w14:paraId="42754805" w14:textId="77777777" w:rsidTr="00215867">
        <w:trPr>
          <w:jc w:val="center"/>
        </w:trPr>
        <w:tc>
          <w:tcPr>
            <w:tcW w:w="1129" w:type="dxa"/>
            <w:vMerge/>
            <w:vAlign w:val="center"/>
          </w:tcPr>
          <w:p w14:paraId="4F21640F" w14:textId="77777777" w:rsidR="006965FA" w:rsidRPr="00D75D2E" w:rsidRDefault="006965FA" w:rsidP="001D239C">
            <w:pPr>
              <w:jc w:val="both"/>
              <w:rPr>
                <w:rFonts w:ascii="Times New Roman" w:hAnsi="Times New Roman"/>
                <w:b/>
              </w:rPr>
            </w:pPr>
          </w:p>
        </w:tc>
        <w:tc>
          <w:tcPr>
            <w:tcW w:w="709" w:type="dxa"/>
            <w:vAlign w:val="center"/>
          </w:tcPr>
          <w:p w14:paraId="4F08680B" w14:textId="2F9CC377" w:rsidR="006965FA" w:rsidRPr="00D75D2E" w:rsidRDefault="006965FA" w:rsidP="001D239C">
            <w:pPr>
              <w:jc w:val="center"/>
              <w:rPr>
                <w:rFonts w:ascii="Times New Roman" w:hAnsi="Times New Roman"/>
              </w:rPr>
            </w:pPr>
            <w:r>
              <w:rPr>
                <w:rFonts w:ascii="Times New Roman" w:hAnsi="Times New Roman"/>
                <w:sz w:val="20"/>
                <w:szCs w:val="20"/>
              </w:rPr>
              <w:t>8</w:t>
            </w:r>
          </w:p>
        </w:tc>
        <w:tc>
          <w:tcPr>
            <w:tcW w:w="1978" w:type="dxa"/>
            <w:vAlign w:val="center"/>
          </w:tcPr>
          <w:p w14:paraId="108C4A9C" w14:textId="5F135567" w:rsidR="006965FA" w:rsidRPr="00D75D2E" w:rsidRDefault="006965FA" w:rsidP="001D239C">
            <w:pPr>
              <w:jc w:val="both"/>
              <w:rPr>
                <w:rFonts w:ascii="Times New Roman" w:hAnsi="Times New Roman"/>
              </w:rPr>
            </w:pPr>
            <w:r>
              <w:rPr>
                <w:rFonts w:ascii="Times New Roman" w:hAnsi="Times New Roman"/>
                <w:sz w:val="20"/>
                <w:szCs w:val="20"/>
              </w:rPr>
              <w:t>Libération des emprises du projet</w:t>
            </w:r>
          </w:p>
        </w:tc>
        <w:tc>
          <w:tcPr>
            <w:tcW w:w="1701" w:type="dxa"/>
            <w:vAlign w:val="center"/>
          </w:tcPr>
          <w:p w14:paraId="711709A0" w14:textId="03C047A2" w:rsidR="006965FA" w:rsidRPr="00D75D2E" w:rsidRDefault="006965FA" w:rsidP="001D239C">
            <w:pPr>
              <w:jc w:val="both"/>
              <w:rPr>
                <w:rFonts w:ascii="Times New Roman" w:hAnsi="Times New Roman"/>
              </w:rPr>
            </w:pPr>
            <w:r>
              <w:rPr>
                <w:rFonts w:ascii="Times New Roman" w:hAnsi="Times New Roman"/>
                <w:sz w:val="20"/>
                <w:szCs w:val="20"/>
              </w:rPr>
              <w:t xml:space="preserve">Population </w:t>
            </w:r>
          </w:p>
        </w:tc>
        <w:tc>
          <w:tcPr>
            <w:tcW w:w="4611" w:type="dxa"/>
            <w:vAlign w:val="center"/>
          </w:tcPr>
          <w:p w14:paraId="1BD93FDB" w14:textId="0288C4F5" w:rsidR="006965FA" w:rsidRPr="00D75D2E" w:rsidRDefault="006965FA" w:rsidP="001D239C">
            <w:pPr>
              <w:spacing w:after="0" w:line="240" w:lineRule="auto"/>
              <w:jc w:val="both"/>
              <w:rPr>
                <w:rFonts w:ascii="Times New Roman" w:hAnsi="Times New Roman"/>
                <w:iCs/>
                <w:szCs w:val="18"/>
              </w:rPr>
            </w:pPr>
            <w:r>
              <w:rPr>
                <w:rFonts w:ascii="Times New Roman" w:hAnsi="Times New Roman"/>
                <w:iCs/>
                <w:sz w:val="20"/>
                <w:szCs w:val="20"/>
              </w:rPr>
              <w:t>Le dégagement de l’emprise de la ligne pendant l’implantation des poteaux MT/BT et des lignes entraîneront le déplacement temporaire des activités des commerces, ce qui pourra constituer une perte de revenus pour la population</w:t>
            </w:r>
          </w:p>
        </w:tc>
        <w:tc>
          <w:tcPr>
            <w:tcW w:w="426" w:type="dxa"/>
            <w:shd w:val="clear" w:color="auto" w:fill="auto"/>
          </w:tcPr>
          <w:p w14:paraId="78736A6E" w14:textId="77777777" w:rsidR="006965FA" w:rsidRPr="00D75D2E" w:rsidRDefault="006965FA" w:rsidP="001D239C">
            <w:pPr>
              <w:jc w:val="both"/>
              <w:rPr>
                <w:rFonts w:ascii="Times New Roman" w:hAnsi="Times New Roman"/>
              </w:rPr>
            </w:pPr>
          </w:p>
        </w:tc>
        <w:tc>
          <w:tcPr>
            <w:tcW w:w="424" w:type="dxa"/>
            <w:shd w:val="clear" w:color="auto" w:fill="auto"/>
          </w:tcPr>
          <w:p w14:paraId="7EC6EECD" w14:textId="77777777" w:rsidR="006965FA" w:rsidRPr="00D75D2E" w:rsidRDefault="006965FA" w:rsidP="001D239C">
            <w:pPr>
              <w:jc w:val="both"/>
              <w:rPr>
                <w:rFonts w:ascii="Times New Roman" w:hAnsi="Times New Roman"/>
              </w:rPr>
            </w:pPr>
          </w:p>
        </w:tc>
        <w:tc>
          <w:tcPr>
            <w:tcW w:w="493" w:type="dxa"/>
            <w:shd w:val="clear" w:color="auto" w:fill="FFC000"/>
          </w:tcPr>
          <w:p w14:paraId="30C41D98" w14:textId="14E2DB70" w:rsidR="006965FA" w:rsidRPr="00D75D2E" w:rsidRDefault="006965FA" w:rsidP="001D239C">
            <w:pPr>
              <w:jc w:val="both"/>
              <w:rPr>
                <w:rFonts w:ascii="Times New Roman" w:hAnsi="Times New Roman"/>
              </w:rPr>
            </w:pPr>
          </w:p>
        </w:tc>
        <w:tc>
          <w:tcPr>
            <w:tcW w:w="425" w:type="dxa"/>
            <w:shd w:val="clear" w:color="auto" w:fill="FFFFFF"/>
          </w:tcPr>
          <w:p w14:paraId="6EB01214" w14:textId="77777777" w:rsidR="006965FA" w:rsidRPr="00D75D2E" w:rsidRDefault="006965FA" w:rsidP="001D239C">
            <w:pPr>
              <w:jc w:val="both"/>
              <w:rPr>
                <w:rFonts w:ascii="Times New Roman" w:hAnsi="Times New Roman"/>
              </w:rPr>
            </w:pPr>
          </w:p>
        </w:tc>
        <w:tc>
          <w:tcPr>
            <w:tcW w:w="519" w:type="dxa"/>
            <w:shd w:val="clear" w:color="auto" w:fill="FFC000"/>
          </w:tcPr>
          <w:p w14:paraId="73B27C81" w14:textId="77777777" w:rsidR="006965FA" w:rsidRPr="00D75D2E" w:rsidRDefault="006965FA" w:rsidP="001D239C">
            <w:pPr>
              <w:jc w:val="both"/>
              <w:rPr>
                <w:rFonts w:ascii="Times New Roman" w:hAnsi="Times New Roman"/>
              </w:rPr>
            </w:pPr>
          </w:p>
        </w:tc>
        <w:tc>
          <w:tcPr>
            <w:tcW w:w="425" w:type="dxa"/>
            <w:shd w:val="clear" w:color="auto" w:fill="FFFFFF"/>
          </w:tcPr>
          <w:p w14:paraId="215F48CB" w14:textId="77777777" w:rsidR="006965FA" w:rsidRPr="00D75D2E" w:rsidRDefault="006965FA" w:rsidP="001D239C">
            <w:pPr>
              <w:jc w:val="both"/>
              <w:rPr>
                <w:rFonts w:ascii="Times New Roman" w:hAnsi="Times New Roman"/>
              </w:rPr>
            </w:pPr>
          </w:p>
        </w:tc>
        <w:tc>
          <w:tcPr>
            <w:tcW w:w="426" w:type="dxa"/>
            <w:shd w:val="clear" w:color="auto" w:fill="auto"/>
          </w:tcPr>
          <w:p w14:paraId="5F7844D3" w14:textId="77777777" w:rsidR="006965FA" w:rsidRPr="00D75D2E" w:rsidRDefault="006965FA" w:rsidP="001D239C">
            <w:pPr>
              <w:jc w:val="both"/>
              <w:rPr>
                <w:rFonts w:ascii="Times New Roman" w:hAnsi="Times New Roman"/>
              </w:rPr>
            </w:pPr>
          </w:p>
        </w:tc>
        <w:tc>
          <w:tcPr>
            <w:tcW w:w="435" w:type="dxa"/>
            <w:shd w:val="clear" w:color="auto" w:fill="FFC000"/>
          </w:tcPr>
          <w:p w14:paraId="23F52B85" w14:textId="77777777" w:rsidR="006965FA" w:rsidRPr="00D75D2E" w:rsidRDefault="006965FA" w:rsidP="001D239C">
            <w:pPr>
              <w:jc w:val="both"/>
              <w:rPr>
                <w:rFonts w:ascii="Times New Roman" w:hAnsi="Times New Roman"/>
              </w:rPr>
            </w:pPr>
          </w:p>
        </w:tc>
        <w:tc>
          <w:tcPr>
            <w:tcW w:w="363" w:type="dxa"/>
            <w:shd w:val="clear" w:color="auto" w:fill="FFFFFF"/>
          </w:tcPr>
          <w:p w14:paraId="0F935121" w14:textId="77777777" w:rsidR="006965FA" w:rsidRPr="00D75D2E" w:rsidRDefault="006965FA" w:rsidP="001D239C">
            <w:pPr>
              <w:jc w:val="both"/>
              <w:rPr>
                <w:rFonts w:ascii="Times New Roman" w:hAnsi="Times New Roman"/>
              </w:rPr>
            </w:pPr>
          </w:p>
        </w:tc>
        <w:tc>
          <w:tcPr>
            <w:tcW w:w="567" w:type="dxa"/>
            <w:shd w:val="clear" w:color="auto" w:fill="auto"/>
          </w:tcPr>
          <w:p w14:paraId="219C213A" w14:textId="77777777" w:rsidR="006965FA" w:rsidRPr="00D75D2E" w:rsidRDefault="006965FA" w:rsidP="001D239C">
            <w:pPr>
              <w:jc w:val="both"/>
              <w:rPr>
                <w:rFonts w:ascii="Times New Roman" w:hAnsi="Times New Roman"/>
              </w:rPr>
            </w:pPr>
          </w:p>
        </w:tc>
        <w:tc>
          <w:tcPr>
            <w:tcW w:w="630" w:type="dxa"/>
            <w:shd w:val="clear" w:color="auto" w:fill="FFC000"/>
          </w:tcPr>
          <w:p w14:paraId="7DB3776C" w14:textId="77777777" w:rsidR="006965FA" w:rsidRPr="00D75D2E" w:rsidRDefault="006965FA" w:rsidP="001D239C">
            <w:pPr>
              <w:jc w:val="both"/>
              <w:rPr>
                <w:rFonts w:ascii="Times New Roman" w:hAnsi="Times New Roman"/>
              </w:rPr>
            </w:pPr>
          </w:p>
        </w:tc>
        <w:tc>
          <w:tcPr>
            <w:tcW w:w="572" w:type="dxa"/>
            <w:shd w:val="clear" w:color="auto" w:fill="FFFFFF"/>
          </w:tcPr>
          <w:p w14:paraId="68F963C4" w14:textId="77777777" w:rsidR="006965FA" w:rsidRPr="00D75D2E" w:rsidRDefault="006965FA" w:rsidP="001D239C">
            <w:pPr>
              <w:jc w:val="both"/>
              <w:rPr>
                <w:rFonts w:ascii="Times New Roman" w:hAnsi="Times New Roman"/>
              </w:rPr>
            </w:pPr>
          </w:p>
        </w:tc>
      </w:tr>
      <w:tr w:rsidR="006965FA" w:rsidRPr="00420C1B" w14:paraId="1E3EBF8D" w14:textId="77777777" w:rsidTr="00215867">
        <w:trPr>
          <w:jc w:val="center"/>
        </w:trPr>
        <w:tc>
          <w:tcPr>
            <w:tcW w:w="1129" w:type="dxa"/>
            <w:vMerge/>
            <w:vAlign w:val="center"/>
          </w:tcPr>
          <w:p w14:paraId="33D5AB97" w14:textId="77777777" w:rsidR="006965FA" w:rsidRPr="00D75D2E" w:rsidRDefault="006965FA" w:rsidP="001D239C">
            <w:pPr>
              <w:jc w:val="both"/>
              <w:rPr>
                <w:rFonts w:ascii="Times New Roman" w:hAnsi="Times New Roman"/>
                <w:b/>
              </w:rPr>
            </w:pPr>
          </w:p>
        </w:tc>
        <w:tc>
          <w:tcPr>
            <w:tcW w:w="709" w:type="dxa"/>
            <w:vAlign w:val="center"/>
          </w:tcPr>
          <w:p w14:paraId="27249F9E" w14:textId="1ED66B3B" w:rsidR="006965FA" w:rsidRPr="00D75D2E" w:rsidRDefault="00B42605">
            <w:pPr>
              <w:jc w:val="center"/>
              <w:rPr>
                <w:rFonts w:ascii="Times New Roman" w:hAnsi="Times New Roman"/>
              </w:rPr>
            </w:pPr>
            <w:r>
              <w:rPr>
                <w:rFonts w:ascii="Times New Roman" w:hAnsi="Times New Roman"/>
                <w:sz w:val="20"/>
                <w:szCs w:val="20"/>
              </w:rPr>
              <w:t>9</w:t>
            </w:r>
          </w:p>
        </w:tc>
        <w:tc>
          <w:tcPr>
            <w:tcW w:w="1978" w:type="dxa"/>
            <w:vAlign w:val="center"/>
          </w:tcPr>
          <w:p w14:paraId="430C401F" w14:textId="48955045" w:rsidR="006965FA" w:rsidRPr="00D75D2E" w:rsidRDefault="006965FA" w:rsidP="001D239C">
            <w:pPr>
              <w:jc w:val="both"/>
              <w:rPr>
                <w:rFonts w:ascii="Times New Roman" w:hAnsi="Times New Roman"/>
              </w:rPr>
            </w:pPr>
            <w:r>
              <w:rPr>
                <w:rFonts w:ascii="Times New Roman" w:hAnsi="Times New Roman"/>
                <w:sz w:val="20"/>
                <w:szCs w:val="20"/>
              </w:rPr>
              <w:t xml:space="preserve">Mobilisation du personnel et déroulement des travaux </w:t>
            </w:r>
          </w:p>
        </w:tc>
        <w:tc>
          <w:tcPr>
            <w:tcW w:w="1701" w:type="dxa"/>
            <w:vAlign w:val="center"/>
          </w:tcPr>
          <w:p w14:paraId="4804C94A" w14:textId="23354807" w:rsidR="006965FA" w:rsidRPr="00D75D2E" w:rsidRDefault="006965FA" w:rsidP="001D239C">
            <w:pPr>
              <w:jc w:val="both"/>
              <w:rPr>
                <w:rFonts w:ascii="Times New Roman" w:hAnsi="Times New Roman"/>
              </w:rPr>
            </w:pPr>
            <w:r>
              <w:rPr>
                <w:rFonts w:ascii="Times New Roman" w:hAnsi="Times New Roman"/>
                <w:sz w:val="20"/>
                <w:szCs w:val="20"/>
              </w:rPr>
              <w:t xml:space="preserve">Population </w:t>
            </w:r>
          </w:p>
        </w:tc>
        <w:tc>
          <w:tcPr>
            <w:tcW w:w="4611" w:type="dxa"/>
            <w:vAlign w:val="center"/>
          </w:tcPr>
          <w:p w14:paraId="7AAB0887" w14:textId="4E18E9AB" w:rsidR="006965FA" w:rsidRPr="00D75D2E" w:rsidRDefault="006965FA" w:rsidP="001D239C">
            <w:pPr>
              <w:spacing w:after="0" w:line="240" w:lineRule="auto"/>
              <w:jc w:val="both"/>
              <w:rPr>
                <w:rFonts w:ascii="Times New Roman" w:hAnsi="Times New Roman"/>
                <w:iCs/>
                <w:szCs w:val="18"/>
              </w:rPr>
            </w:pPr>
            <w:r w:rsidRPr="008160FD">
              <w:rPr>
                <w:rFonts w:ascii="Times New Roman" w:hAnsi="Times New Roman"/>
                <w:sz w:val="20"/>
                <w:szCs w:val="20"/>
                <w:lang w:val="fr-CD"/>
              </w:rPr>
              <w:t>La mise en œuvre des activités du projet risque d’exacerber les risques liés aux VBG</w:t>
            </w:r>
            <w:r>
              <w:rPr>
                <w:rFonts w:ascii="Times New Roman" w:hAnsi="Times New Roman"/>
                <w:sz w:val="20"/>
                <w:szCs w:val="20"/>
                <w:lang w:val="fr-CD"/>
              </w:rPr>
              <w:t>/EAS/HS</w:t>
            </w:r>
            <w:r w:rsidRPr="008160FD">
              <w:rPr>
                <w:rFonts w:ascii="Times New Roman" w:hAnsi="Times New Roman"/>
                <w:sz w:val="20"/>
                <w:szCs w:val="20"/>
                <w:lang w:val="fr-CD"/>
              </w:rPr>
              <w:t xml:space="preserve"> lors du recrutement de la main d’œuvre locale et lors de la réalisation des activités dans les espaces publics ou privés par un éventail </w:t>
            </w:r>
            <w:r>
              <w:rPr>
                <w:rFonts w:ascii="Times New Roman" w:hAnsi="Times New Roman"/>
                <w:sz w:val="20"/>
                <w:szCs w:val="20"/>
                <w:lang w:val="fr-CD"/>
              </w:rPr>
              <w:t xml:space="preserve">d’auteurs de plusieurs façons. </w:t>
            </w:r>
          </w:p>
        </w:tc>
        <w:tc>
          <w:tcPr>
            <w:tcW w:w="426" w:type="dxa"/>
            <w:shd w:val="clear" w:color="auto" w:fill="auto"/>
          </w:tcPr>
          <w:p w14:paraId="0E730B6C" w14:textId="77777777" w:rsidR="006965FA" w:rsidRPr="00D75D2E" w:rsidRDefault="006965FA" w:rsidP="001D239C">
            <w:pPr>
              <w:jc w:val="both"/>
              <w:rPr>
                <w:rFonts w:ascii="Times New Roman" w:hAnsi="Times New Roman"/>
              </w:rPr>
            </w:pPr>
          </w:p>
        </w:tc>
        <w:tc>
          <w:tcPr>
            <w:tcW w:w="424" w:type="dxa"/>
            <w:shd w:val="clear" w:color="auto" w:fill="FFC000"/>
          </w:tcPr>
          <w:p w14:paraId="6E89E2C2" w14:textId="77777777" w:rsidR="006965FA" w:rsidRPr="00D75D2E" w:rsidRDefault="006965FA" w:rsidP="001D239C">
            <w:pPr>
              <w:jc w:val="both"/>
              <w:rPr>
                <w:rFonts w:ascii="Times New Roman" w:hAnsi="Times New Roman"/>
              </w:rPr>
            </w:pPr>
          </w:p>
        </w:tc>
        <w:tc>
          <w:tcPr>
            <w:tcW w:w="493" w:type="dxa"/>
            <w:shd w:val="clear" w:color="auto" w:fill="FFFFFF"/>
          </w:tcPr>
          <w:p w14:paraId="3ACD12FB" w14:textId="77777777" w:rsidR="006965FA" w:rsidRPr="00D75D2E" w:rsidRDefault="006965FA" w:rsidP="001D239C">
            <w:pPr>
              <w:jc w:val="both"/>
              <w:rPr>
                <w:rFonts w:ascii="Times New Roman" w:hAnsi="Times New Roman"/>
              </w:rPr>
            </w:pPr>
          </w:p>
        </w:tc>
        <w:tc>
          <w:tcPr>
            <w:tcW w:w="425" w:type="dxa"/>
            <w:shd w:val="clear" w:color="auto" w:fill="FFFFFF"/>
          </w:tcPr>
          <w:p w14:paraId="685DED3D" w14:textId="77777777" w:rsidR="006965FA" w:rsidRPr="00D75D2E" w:rsidRDefault="006965FA" w:rsidP="001D239C">
            <w:pPr>
              <w:jc w:val="both"/>
              <w:rPr>
                <w:rFonts w:ascii="Times New Roman" w:hAnsi="Times New Roman"/>
              </w:rPr>
            </w:pPr>
          </w:p>
        </w:tc>
        <w:tc>
          <w:tcPr>
            <w:tcW w:w="519" w:type="dxa"/>
            <w:shd w:val="clear" w:color="auto" w:fill="FFC000"/>
          </w:tcPr>
          <w:p w14:paraId="766336FE" w14:textId="77777777" w:rsidR="006965FA" w:rsidRPr="00D75D2E" w:rsidRDefault="006965FA" w:rsidP="001D239C">
            <w:pPr>
              <w:jc w:val="both"/>
              <w:rPr>
                <w:rFonts w:ascii="Times New Roman" w:hAnsi="Times New Roman"/>
              </w:rPr>
            </w:pPr>
          </w:p>
        </w:tc>
        <w:tc>
          <w:tcPr>
            <w:tcW w:w="425" w:type="dxa"/>
            <w:shd w:val="clear" w:color="auto" w:fill="FFFFFF"/>
          </w:tcPr>
          <w:p w14:paraId="57419573" w14:textId="77777777" w:rsidR="006965FA" w:rsidRPr="00D75D2E" w:rsidRDefault="006965FA" w:rsidP="001D239C">
            <w:pPr>
              <w:jc w:val="both"/>
              <w:rPr>
                <w:rFonts w:ascii="Times New Roman" w:hAnsi="Times New Roman"/>
              </w:rPr>
            </w:pPr>
          </w:p>
        </w:tc>
        <w:tc>
          <w:tcPr>
            <w:tcW w:w="426" w:type="dxa"/>
            <w:shd w:val="clear" w:color="auto" w:fill="auto"/>
          </w:tcPr>
          <w:p w14:paraId="0A0F3B44" w14:textId="77777777" w:rsidR="006965FA" w:rsidRPr="00D75D2E" w:rsidRDefault="006965FA" w:rsidP="001D239C">
            <w:pPr>
              <w:jc w:val="both"/>
              <w:rPr>
                <w:rFonts w:ascii="Times New Roman" w:hAnsi="Times New Roman"/>
              </w:rPr>
            </w:pPr>
          </w:p>
        </w:tc>
        <w:tc>
          <w:tcPr>
            <w:tcW w:w="435" w:type="dxa"/>
            <w:shd w:val="clear" w:color="auto" w:fill="FFC000"/>
          </w:tcPr>
          <w:p w14:paraId="0561550E" w14:textId="77777777" w:rsidR="006965FA" w:rsidRPr="00D75D2E" w:rsidRDefault="006965FA" w:rsidP="001D239C">
            <w:pPr>
              <w:jc w:val="both"/>
              <w:rPr>
                <w:rFonts w:ascii="Times New Roman" w:hAnsi="Times New Roman"/>
              </w:rPr>
            </w:pPr>
          </w:p>
        </w:tc>
        <w:tc>
          <w:tcPr>
            <w:tcW w:w="363" w:type="dxa"/>
            <w:shd w:val="clear" w:color="auto" w:fill="FFFFFF"/>
          </w:tcPr>
          <w:p w14:paraId="0208BA27" w14:textId="77777777" w:rsidR="006965FA" w:rsidRPr="00D75D2E" w:rsidRDefault="006965FA" w:rsidP="001D239C">
            <w:pPr>
              <w:jc w:val="both"/>
              <w:rPr>
                <w:rFonts w:ascii="Times New Roman" w:hAnsi="Times New Roman"/>
              </w:rPr>
            </w:pPr>
          </w:p>
        </w:tc>
        <w:tc>
          <w:tcPr>
            <w:tcW w:w="567" w:type="dxa"/>
            <w:shd w:val="clear" w:color="auto" w:fill="auto"/>
          </w:tcPr>
          <w:p w14:paraId="23DA2942" w14:textId="77777777" w:rsidR="006965FA" w:rsidRPr="00D75D2E" w:rsidRDefault="006965FA" w:rsidP="001D239C">
            <w:pPr>
              <w:jc w:val="both"/>
              <w:rPr>
                <w:rFonts w:ascii="Times New Roman" w:hAnsi="Times New Roman"/>
              </w:rPr>
            </w:pPr>
          </w:p>
        </w:tc>
        <w:tc>
          <w:tcPr>
            <w:tcW w:w="630" w:type="dxa"/>
            <w:shd w:val="clear" w:color="auto" w:fill="FFC000"/>
          </w:tcPr>
          <w:p w14:paraId="036DA093" w14:textId="77777777" w:rsidR="006965FA" w:rsidRPr="00D75D2E" w:rsidRDefault="006965FA" w:rsidP="001D239C">
            <w:pPr>
              <w:jc w:val="both"/>
              <w:rPr>
                <w:rFonts w:ascii="Times New Roman" w:hAnsi="Times New Roman"/>
              </w:rPr>
            </w:pPr>
          </w:p>
        </w:tc>
        <w:tc>
          <w:tcPr>
            <w:tcW w:w="572" w:type="dxa"/>
            <w:shd w:val="clear" w:color="auto" w:fill="FFFFFF"/>
          </w:tcPr>
          <w:p w14:paraId="1FB5D87C" w14:textId="77777777" w:rsidR="006965FA" w:rsidRPr="00D75D2E" w:rsidRDefault="006965FA" w:rsidP="001D239C">
            <w:pPr>
              <w:jc w:val="both"/>
              <w:rPr>
                <w:rFonts w:ascii="Times New Roman" w:hAnsi="Times New Roman"/>
              </w:rPr>
            </w:pPr>
          </w:p>
        </w:tc>
      </w:tr>
      <w:tr w:rsidR="006965FA" w:rsidRPr="00420C1B" w14:paraId="03A44CFB" w14:textId="77777777" w:rsidTr="00215867">
        <w:trPr>
          <w:jc w:val="center"/>
        </w:trPr>
        <w:tc>
          <w:tcPr>
            <w:tcW w:w="1129" w:type="dxa"/>
            <w:vMerge w:val="restart"/>
            <w:textDirection w:val="btLr"/>
            <w:vAlign w:val="center"/>
          </w:tcPr>
          <w:p w14:paraId="2EA88E4C" w14:textId="74219ED3" w:rsidR="006965FA" w:rsidRPr="00D75D2E" w:rsidRDefault="006965FA" w:rsidP="007108ED">
            <w:pPr>
              <w:ind w:left="113" w:right="113"/>
              <w:jc w:val="center"/>
              <w:rPr>
                <w:rFonts w:ascii="Times New Roman" w:hAnsi="Times New Roman"/>
                <w:b/>
              </w:rPr>
            </w:pPr>
            <w:r w:rsidRPr="00D75D2E">
              <w:rPr>
                <w:rFonts w:ascii="Times New Roman" w:hAnsi="Times New Roman"/>
                <w:b/>
              </w:rPr>
              <w:t>EXPLOITATION</w:t>
            </w:r>
          </w:p>
        </w:tc>
        <w:tc>
          <w:tcPr>
            <w:tcW w:w="709" w:type="dxa"/>
            <w:vAlign w:val="center"/>
          </w:tcPr>
          <w:p w14:paraId="1367CF55" w14:textId="22DC711B" w:rsidR="006965FA" w:rsidRPr="00D75D2E" w:rsidRDefault="006965FA">
            <w:pPr>
              <w:jc w:val="center"/>
              <w:rPr>
                <w:rFonts w:ascii="Times New Roman" w:hAnsi="Times New Roman"/>
              </w:rPr>
            </w:pPr>
            <w:r>
              <w:rPr>
                <w:rFonts w:ascii="Times New Roman" w:hAnsi="Times New Roman"/>
                <w:sz w:val="20"/>
                <w:szCs w:val="20"/>
              </w:rPr>
              <w:t>1</w:t>
            </w:r>
            <w:r w:rsidR="00B42605">
              <w:rPr>
                <w:rFonts w:ascii="Times New Roman" w:hAnsi="Times New Roman"/>
                <w:sz w:val="20"/>
                <w:szCs w:val="20"/>
              </w:rPr>
              <w:t>0</w:t>
            </w:r>
          </w:p>
        </w:tc>
        <w:tc>
          <w:tcPr>
            <w:tcW w:w="1978" w:type="dxa"/>
            <w:vAlign w:val="center"/>
          </w:tcPr>
          <w:p w14:paraId="10899B91" w14:textId="100BAAE4" w:rsidR="006965FA" w:rsidRPr="00D75D2E" w:rsidRDefault="006965FA" w:rsidP="001D239C">
            <w:pPr>
              <w:jc w:val="both"/>
              <w:rPr>
                <w:rFonts w:ascii="Times New Roman" w:hAnsi="Times New Roman"/>
              </w:rPr>
            </w:pPr>
            <w:r>
              <w:rPr>
                <w:rFonts w:ascii="Times New Roman" w:hAnsi="Times New Roman"/>
                <w:sz w:val="20"/>
                <w:szCs w:val="20"/>
              </w:rPr>
              <w:t>Catastrophes naturel</w:t>
            </w:r>
            <w:r w:rsidR="00B703E5">
              <w:rPr>
                <w:rFonts w:ascii="Times New Roman" w:hAnsi="Times New Roman"/>
                <w:sz w:val="20"/>
                <w:szCs w:val="20"/>
              </w:rPr>
              <w:t>le</w:t>
            </w:r>
            <w:r>
              <w:rPr>
                <w:rFonts w:ascii="Times New Roman" w:hAnsi="Times New Roman"/>
                <w:sz w:val="20"/>
                <w:szCs w:val="20"/>
              </w:rPr>
              <w:t xml:space="preserve">s et aléas climatiques </w:t>
            </w:r>
          </w:p>
        </w:tc>
        <w:tc>
          <w:tcPr>
            <w:tcW w:w="1701" w:type="dxa"/>
            <w:vAlign w:val="center"/>
          </w:tcPr>
          <w:p w14:paraId="0C222C0C" w14:textId="77777777" w:rsidR="006965FA" w:rsidRDefault="006965FA" w:rsidP="001D239C">
            <w:pPr>
              <w:rPr>
                <w:rFonts w:ascii="Times New Roman" w:hAnsi="Times New Roman"/>
                <w:sz w:val="20"/>
                <w:szCs w:val="20"/>
              </w:rPr>
            </w:pPr>
            <w:r>
              <w:rPr>
                <w:rFonts w:ascii="Times New Roman" w:hAnsi="Times New Roman"/>
                <w:sz w:val="20"/>
                <w:szCs w:val="20"/>
              </w:rPr>
              <w:t>Population</w:t>
            </w:r>
          </w:p>
          <w:p w14:paraId="0A21B92F" w14:textId="16007073" w:rsidR="006965FA" w:rsidRPr="00D75D2E" w:rsidRDefault="006965FA" w:rsidP="001D239C">
            <w:pPr>
              <w:jc w:val="both"/>
              <w:rPr>
                <w:rFonts w:ascii="Times New Roman" w:hAnsi="Times New Roman"/>
              </w:rPr>
            </w:pPr>
            <w:r>
              <w:rPr>
                <w:rFonts w:ascii="Times New Roman" w:hAnsi="Times New Roman"/>
                <w:sz w:val="20"/>
                <w:szCs w:val="20"/>
              </w:rPr>
              <w:t>Infrastructures</w:t>
            </w:r>
          </w:p>
        </w:tc>
        <w:tc>
          <w:tcPr>
            <w:tcW w:w="4611" w:type="dxa"/>
            <w:vAlign w:val="center"/>
          </w:tcPr>
          <w:p w14:paraId="29E6A613" w14:textId="77777777" w:rsidR="006965FA" w:rsidRPr="008160FD" w:rsidRDefault="006965FA" w:rsidP="001D239C">
            <w:pPr>
              <w:spacing w:before="60" w:after="0" w:line="240" w:lineRule="auto"/>
              <w:jc w:val="both"/>
              <w:rPr>
                <w:rFonts w:ascii="Times New Roman" w:hAnsi="Times New Roman"/>
                <w:sz w:val="20"/>
                <w:szCs w:val="20"/>
                <w:lang w:val="fr-CD"/>
              </w:rPr>
            </w:pPr>
            <w:r w:rsidRPr="008160FD">
              <w:rPr>
                <w:rFonts w:ascii="Times New Roman" w:hAnsi="Times New Roman"/>
                <w:sz w:val="20"/>
                <w:szCs w:val="20"/>
                <w:lang w:val="fr-CD"/>
              </w:rPr>
              <w:t>Les ruissellements des eaux pendant les pluies peuvent causées des interruptions de fournitures électriques et l’électrisation voire électrocution des communautés.</w:t>
            </w:r>
          </w:p>
          <w:p w14:paraId="4AC9F9B2" w14:textId="107DE685" w:rsidR="006965FA" w:rsidRPr="00D75D2E" w:rsidRDefault="006965FA" w:rsidP="001D239C">
            <w:pPr>
              <w:spacing w:after="0" w:line="240" w:lineRule="auto"/>
              <w:jc w:val="both"/>
              <w:rPr>
                <w:rFonts w:ascii="Times New Roman" w:hAnsi="Times New Roman"/>
                <w:iCs/>
                <w:szCs w:val="18"/>
              </w:rPr>
            </w:pPr>
            <w:r>
              <w:rPr>
                <w:rFonts w:ascii="Times New Roman" w:hAnsi="Times New Roman"/>
                <w:sz w:val="20"/>
                <w:szCs w:val="20"/>
                <w:lang w:val="fr-CD"/>
              </w:rPr>
              <w:t>La chute des poteaux peuvent intervenir au cours d’un scénario d’inondation et causés des dommages sur les infrastructures riveraines</w:t>
            </w:r>
          </w:p>
        </w:tc>
        <w:tc>
          <w:tcPr>
            <w:tcW w:w="426" w:type="dxa"/>
            <w:shd w:val="clear" w:color="auto" w:fill="auto"/>
          </w:tcPr>
          <w:p w14:paraId="417CEF4A" w14:textId="77777777" w:rsidR="006965FA" w:rsidRPr="00D75D2E" w:rsidRDefault="006965FA" w:rsidP="001D239C">
            <w:pPr>
              <w:jc w:val="both"/>
              <w:rPr>
                <w:rFonts w:ascii="Times New Roman" w:hAnsi="Times New Roman"/>
              </w:rPr>
            </w:pPr>
          </w:p>
        </w:tc>
        <w:tc>
          <w:tcPr>
            <w:tcW w:w="424" w:type="dxa"/>
            <w:shd w:val="clear" w:color="auto" w:fill="FFC000"/>
          </w:tcPr>
          <w:p w14:paraId="70F4CA9D" w14:textId="77777777" w:rsidR="006965FA" w:rsidRPr="00D75D2E" w:rsidRDefault="006965FA" w:rsidP="001D239C">
            <w:pPr>
              <w:jc w:val="both"/>
              <w:rPr>
                <w:rFonts w:ascii="Times New Roman" w:hAnsi="Times New Roman"/>
              </w:rPr>
            </w:pPr>
          </w:p>
        </w:tc>
        <w:tc>
          <w:tcPr>
            <w:tcW w:w="493" w:type="dxa"/>
            <w:shd w:val="clear" w:color="auto" w:fill="FFFFFF"/>
          </w:tcPr>
          <w:p w14:paraId="7A0DD5FA" w14:textId="77777777" w:rsidR="006965FA" w:rsidRPr="00D75D2E" w:rsidRDefault="006965FA" w:rsidP="001D239C">
            <w:pPr>
              <w:jc w:val="both"/>
              <w:rPr>
                <w:rFonts w:ascii="Times New Roman" w:hAnsi="Times New Roman"/>
              </w:rPr>
            </w:pPr>
          </w:p>
        </w:tc>
        <w:tc>
          <w:tcPr>
            <w:tcW w:w="425" w:type="dxa"/>
            <w:shd w:val="clear" w:color="auto" w:fill="FFFFFF"/>
          </w:tcPr>
          <w:p w14:paraId="7FD6DC37" w14:textId="77777777" w:rsidR="006965FA" w:rsidRPr="00D75D2E" w:rsidRDefault="006965FA" w:rsidP="001D239C">
            <w:pPr>
              <w:jc w:val="both"/>
              <w:rPr>
                <w:rFonts w:ascii="Times New Roman" w:hAnsi="Times New Roman"/>
              </w:rPr>
            </w:pPr>
          </w:p>
        </w:tc>
        <w:tc>
          <w:tcPr>
            <w:tcW w:w="519" w:type="dxa"/>
            <w:shd w:val="clear" w:color="auto" w:fill="FFC000"/>
          </w:tcPr>
          <w:p w14:paraId="70CB28AE" w14:textId="77777777" w:rsidR="006965FA" w:rsidRPr="00D75D2E" w:rsidRDefault="006965FA" w:rsidP="001D239C">
            <w:pPr>
              <w:jc w:val="both"/>
              <w:rPr>
                <w:rFonts w:ascii="Times New Roman" w:hAnsi="Times New Roman"/>
              </w:rPr>
            </w:pPr>
          </w:p>
        </w:tc>
        <w:tc>
          <w:tcPr>
            <w:tcW w:w="425" w:type="dxa"/>
            <w:shd w:val="clear" w:color="auto" w:fill="FFFFFF"/>
          </w:tcPr>
          <w:p w14:paraId="3CE4A168" w14:textId="77777777" w:rsidR="006965FA" w:rsidRPr="00D75D2E" w:rsidRDefault="006965FA" w:rsidP="001D239C">
            <w:pPr>
              <w:jc w:val="both"/>
              <w:rPr>
                <w:rFonts w:ascii="Times New Roman" w:hAnsi="Times New Roman"/>
              </w:rPr>
            </w:pPr>
          </w:p>
        </w:tc>
        <w:tc>
          <w:tcPr>
            <w:tcW w:w="426" w:type="dxa"/>
            <w:shd w:val="clear" w:color="auto" w:fill="auto"/>
          </w:tcPr>
          <w:p w14:paraId="2A10F8E9" w14:textId="77777777" w:rsidR="006965FA" w:rsidRPr="00D75D2E" w:rsidRDefault="006965FA" w:rsidP="001D239C">
            <w:pPr>
              <w:jc w:val="both"/>
              <w:rPr>
                <w:rFonts w:ascii="Times New Roman" w:hAnsi="Times New Roman"/>
              </w:rPr>
            </w:pPr>
          </w:p>
        </w:tc>
        <w:tc>
          <w:tcPr>
            <w:tcW w:w="435" w:type="dxa"/>
            <w:shd w:val="clear" w:color="auto" w:fill="FFC000"/>
          </w:tcPr>
          <w:p w14:paraId="6829CC39" w14:textId="77777777" w:rsidR="006965FA" w:rsidRPr="00D75D2E" w:rsidRDefault="006965FA" w:rsidP="001D239C">
            <w:pPr>
              <w:jc w:val="both"/>
              <w:rPr>
                <w:rFonts w:ascii="Times New Roman" w:hAnsi="Times New Roman"/>
              </w:rPr>
            </w:pPr>
          </w:p>
        </w:tc>
        <w:tc>
          <w:tcPr>
            <w:tcW w:w="363" w:type="dxa"/>
            <w:shd w:val="clear" w:color="auto" w:fill="FFFFFF"/>
          </w:tcPr>
          <w:p w14:paraId="268C8EC9" w14:textId="77777777" w:rsidR="006965FA" w:rsidRPr="00D75D2E" w:rsidRDefault="006965FA" w:rsidP="001D239C">
            <w:pPr>
              <w:jc w:val="both"/>
              <w:rPr>
                <w:rFonts w:ascii="Times New Roman" w:hAnsi="Times New Roman"/>
              </w:rPr>
            </w:pPr>
          </w:p>
        </w:tc>
        <w:tc>
          <w:tcPr>
            <w:tcW w:w="567" w:type="dxa"/>
            <w:shd w:val="clear" w:color="auto" w:fill="auto"/>
          </w:tcPr>
          <w:p w14:paraId="794E73F5" w14:textId="77777777" w:rsidR="006965FA" w:rsidRPr="00D75D2E" w:rsidRDefault="006965FA" w:rsidP="001D239C">
            <w:pPr>
              <w:jc w:val="both"/>
              <w:rPr>
                <w:rFonts w:ascii="Times New Roman" w:hAnsi="Times New Roman"/>
              </w:rPr>
            </w:pPr>
          </w:p>
        </w:tc>
        <w:tc>
          <w:tcPr>
            <w:tcW w:w="630" w:type="dxa"/>
            <w:shd w:val="clear" w:color="auto" w:fill="FFC000"/>
          </w:tcPr>
          <w:p w14:paraId="51C36E05" w14:textId="77777777" w:rsidR="006965FA" w:rsidRPr="00D75D2E" w:rsidRDefault="006965FA" w:rsidP="001D239C">
            <w:pPr>
              <w:jc w:val="both"/>
              <w:rPr>
                <w:rFonts w:ascii="Times New Roman" w:hAnsi="Times New Roman"/>
              </w:rPr>
            </w:pPr>
          </w:p>
        </w:tc>
        <w:tc>
          <w:tcPr>
            <w:tcW w:w="572" w:type="dxa"/>
            <w:shd w:val="clear" w:color="auto" w:fill="FFFFFF"/>
          </w:tcPr>
          <w:p w14:paraId="5160A4EF" w14:textId="77777777" w:rsidR="006965FA" w:rsidRPr="00D75D2E" w:rsidRDefault="006965FA" w:rsidP="001D239C">
            <w:pPr>
              <w:jc w:val="both"/>
              <w:rPr>
                <w:rFonts w:ascii="Times New Roman" w:hAnsi="Times New Roman"/>
              </w:rPr>
            </w:pPr>
          </w:p>
        </w:tc>
      </w:tr>
      <w:tr w:rsidR="006965FA" w:rsidRPr="00420C1B" w14:paraId="463DAA64" w14:textId="77777777" w:rsidTr="00215867">
        <w:trPr>
          <w:jc w:val="center"/>
        </w:trPr>
        <w:tc>
          <w:tcPr>
            <w:tcW w:w="1129" w:type="dxa"/>
            <w:vMerge/>
            <w:textDirection w:val="btLr"/>
            <w:vAlign w:val="center"/>
          </w:tcPr>
          <w:p w14:paraId="4BFA2227" w14:textId="44686619" w:rsidR="006965FA" w:rsidRPr="00D75D2E" w:rsidRDefault="006965FA" w:rsidP="007108ED">
            <w:pPr>
              <w:ind w:left="113" w:right="113"/>
              <w:jc w:val="center"/>
              <w:rPr>
                <w:rFonts w:ascii="Times New Roman" w:hAnsi="Times New Roman"/>
                <w:b/>
              </w:rPr>
            </w:pPr>
          </w:p>
        </w:tc>
        <w:tc>
          <w:tcPr>
            <w:tcW w:w="709" w:type="dxa"/>
            <w:vAlign w:val="center"/>
          </w:tcPr>
          <w:p w14:paraId="55FD0291" w14:textId="7DEBD4E6" w:rsidR="006965FA" w:rsidRPr="00D75D2E" w:rsidRDefault="006965FA">
            <w:pPr>
              <w:jc w:val="center"/>
              <w:rPr>
                <w:rFonts w:ascii="Times New Roman" w:hAnsi="Times New Roman"/>
              </w:rPr>
            </w:pPr>
            <w:r w:rsidRPr="00D75D2E">
              <w:rPr>
                <w:rFonts w:ascii="Times New Roman" w:hAnsi="Times New Roman"/>
              </w:rPr>
              <w:t>1</w:t>
            </w:r>
            <w:r w:rsidR="00B42605">
              <w:rPr>
                <w:rFonts w:ascii="Times New Roman" w:hAnsi="Times New Roman"/>
              </w:rPr>
              <w:t>1</w:t>
            </w:r>
          </w:p>
        </w:tc>
        <w:tc>
          <w:tcPr>
            <w:tcW w:w="1978" w:type="dxa"/>
            <w:vAlign w:val="center"/>
          </w:tcPr>
          <w:p w14:paraId="66584AB1" w14:textId="77777777" w:rsidR="006965FA" w:rsidRPr="00D75D2E" w:rsidRDefault="006965FA" w:rsidP="007108ED">
            <w:pPr>
              <w:jc w:val="both"/>
              <w:rPr>
                <w:rFonts w:ascii="Times New Roman" w:hAnsi="Times New Roman"/>
              </w:rPr>
            </w:pPr>
            <w:r w:rsidRPr="00D75D2E">
              <w:rPr>
                <w:rFonts w:ascii="Times New Roman" w:hAnsi="Times New Roman"/>
              </w:rPr>
              <w:t xml:space="preserve">Installation des compteurs prépayés chez les nouveaux abonnés  </w:t>
            </w:r>
          </w:p>
        </w:tc>
        <w:tc>
          <w:tcPr>
            <w:tcW w:w="1701" w:type="dxa"/>
            <w:vAlign w:val="center"/>
          </w:tcPr>
          <w:p w14:paraId="64365638" w14:textId="77777777" w:rsidR="006965FA" w:rsidRPr="00D75D2E" w:rsidRDefault="006965FA" w:rsidP="007108ED">
            <w:pPr>
              <w:rPr>
                <w:rFonts w:ascii="Times New Roman" w:hAnsi="Times New Roman"/>
              </w:rPr>
            </w:pPr>
            <w:r w:rsidRPr="00D75D2E">
              <w:rPr>
                <w:rFonts w:ascii="Times New Roman" w:hAnsi="Times New Roman"/>
              </w:rPr>
              <w:t>Santé humaine</w:t>
            </w:r>
          </w:p>
        </w:tc>
        <w:tc>
          <w:tcPr>
            <w:tcW w:w="4611" w:type="dxa"/>
            <w:vAlign w:val="center"/>
          </w:tcPr>
          <w:p w14:paraId="13968E18" w14:textId="77777777" w:rsidR="006965FA" w:rsidRPr="00D75D2E" w:rsidRDefault="006965FA" w:rsidP="007108ED">
            <w:pPr>
              <w:spacing w:after="0" w:line="240" w:lineRule="auto"/>
              <w:jc w:val="both"/>
              <w:rPr>
                <w:rFonts w:ascii="Times New Roman" w:hAnsi="Times New Roman"/>
                <w:iCs/>
                <w:szCs w:val="18"/>
              </w:rPr>
            </w:pPr>
            <w:r w:rsidRPr="00D75D2E">
              <w:rPr>
                <w:rFonts w:ascii="Times New Roman" w:hAnsi="Times New Roman"/>
                <w:iCs/>
                <w:szCs w:val="18"/>
              </w:rPr>
              <w:t>Les installations anarchiques et inapproprié</w:t>
            </w:r>
            <w:r>
              <w:rPr>
                <w:rFonts w:ascii="Times New Roman" w:hAnsi="Times New Roman"/>
                <w:iCs/>
                <w:szCs w:val="18"/>
              </w:rPr>
              <w:t>es</w:t>
            </w:r>
            <w:r w:rsidRPr="00D75D2E">
              <w:rPr>
                <w:rFonts w:ascii="Times New Roman" w:hAnsi="Times New Roman"/>
                <w:iCs/>
                <w:szCs w:val="18"/>
              </w:rPr>
              <w:t xml:space="preserve"> (fixation des compteurs prépayés sans dispositif de sécurité ou de protection contre l’humidité en cas de pluie) concourent à des risques d’incendies et d’électrocutions. Aussi, la méconnaissance des risques liés à l’électricité p</w:t>
            </w:r>
            <w:r>
              <w:rPr>
                <w:rFonts w:ascii="Times New Roman" w:hAnsi="Times New Roman"/>
                <w:iCs/>
                <w:szCs w:val="18"/>
              </w:rPr>
              <w:t xml:space="preserve">ourrait </w:t>
            </w:r>
            <w:r w:rsidRPr="00D75D2E">
              <w:rPr>
                <w:rFonts w:ascii="Times New Roman" w:hAnsi="Times New Roman"/>
                <w:iCs/>
                <w:szCs w:val="18"/>
              </w:rPr>
              <w:t xml:space="preserve"> entraîner des électrocutions des utilisateurs non avertis ou achetant des équipements non conformes. Toutefois, les sensibilisations et formations contribueront à réduire ces risques.</w:t>
            </w:r>
          </w:p>
        </w:tc>
        <w:tc>
          <w:tcPr>
            <w:tcW w:w="426" w:type="dxa"/>
            <w:shd w:val="clear" w:color="auto" w:fill="auto"/>
          </w:tcPr>
          <w:p w14:paraId="11D5E9D7" w14:textId="77777777" w:rsidR="006965FA" w:rsidRPr="00D75D2E" w:rsidRDefault="006965FA" w:rsidP="007108ED">
            <w:pPr>
              <w:jc w:val="both"/>
              <w:rPr>
                <w:rFonts w:ascii="Times New Roman" w:hAnsi="Times New Roman"/>
              </w:rPr>
            </w:pPr>
          </w:p>
        </w:tc>
        <w:tc>
          <w:tcPr>
            <w:tcW w:w="424" w:type="dxa"/>
            <w:shd w:val="clear" w:color="auto" w:fill="FFFFFF"/>
          </w:tcPr>
          <w:p w14:paraId="56789CA5" w14:textId="77777777" w:rsidR="006965FA" w:rsidRPr="00D75D2E" w:rsidRDefault="006965FA" w:rsidP="007108ED">
            <w:pPr>
              <w:jc w:val="both"/>
              <w:rPr>
                <w:rFonts w:ascii="Times New Roman" w:hAnsi="Times New Roman"/>
              </w:rPr>
            </w:pPr>
          </w:p>
        </w:tc>
        <w:tc>
          <w:tcPr>
            <w:tcW w:w="493" w:type="dxa"/>
            <w:shd w:val="clear" w:color="auto" w:fill="FFC000"/>
          </w:tcPr>
          <w:p w14:paraId="6C1E40FA" w14:textId="77777777" w:rsidR="006965FA" w:rsidRPr="00D75D2E" w:rsidRDefault="006965FA" w:rsidP="007108ED">
            <w:pPr>
              <w:jc w:val="both"/>
              <w:rPr>
                <w:rFonts w:ascii="Times New Roman" w:hAnsi="Times New Roman"/>
              </w:rPr>
            </w:pPr>
          </w:p>
        </w:tc>
        <w:tc>
          <w:tcPr>
            <w:tcW w:w="425" w:type="dxa"/>
            <w:shd w:val="clear" w:color="auto" w:fill="FFFFFF"/>
          </w:tcPr>
          <w:p w14:paraId="5FAFAB42" w14:textId="77777777" w:rsidR="006965FA" w:rsidRPr="00D75D2E" w:rsidRDefault="006965FA" w:rsidP="007108ED">
            <w:pPr>
              <w:jc w:val="both"/>
              <w:rPr>
                <w:rFonts w:ascii="Times New Roman" w:hAnsi="Times New Roman"/>
              </w:rPr>
            </w:pPr>
          </w:p>
        </w:tc>
        <w:tc>
          <w:tcPr>
            <w:tcW w:w="519" w:type="dxa"/>
            <w:shd w:val="clear" w:color="auto" w:fill="FFC000"/>
          </w:tcPr>
          <w:p w14:paraId="7149E74E" w14:textId="77777777" w:rsidR="006965FA" w:rsidRPr="00D75D2E" w:rsidRDefault="006965FA" w:rsidP="007108ED">
            <w:pPr>
              <w:jc w:val="both"/>
              <w:rPr>
                <w:rFonts w:ascii="Times New Roman" w:hAnsi="Times New Roman"/>
              </w:rPr>
            </w:pPr>
          </w:p>
        </w:tc>
        <w:tc>
          <w:tcPr>
            <w:tcW w:w="425" w:type="dxa"/>
            <w:shd w:val="clear" w:color="auto" w:fill="FFFFFF"/>
          </w:tcPr>
          <w:p w14:paraId="3B3B7D7E" w14:textId="77777777" w:rsidR="006965FA" w:rsidRPr="00D75D2E" w:rsidRDefault="006965FA" w:rsidP="007108ED">
            <w:pPr>
              <w:jc w:val="both"/>
              <w:rPr>
                <w:rFonts w:ascii="Times New Roman" w:hAnsi="Times New Roman"/>
              </w:rPr>
            </w:pPr>
          </w:p>
        </w:tc>
        <w:tc>
          <w:tcPr>
            <w:tcW w:w="426" w:type="dxa"/>
            <w:shd w:val="clear" w:color="auto" w:fill="FFFFFF"/>
          </w:tcPr>
          <w:p w14:paraId="744A22D0" w14:textId="77777777" w:rsidR="006965FA" w:rsidRPr="00D75D2E" w:rsidRDefault="006965FA" w:rsidP="007108ED">
            <w:pPr>
              <w:jc w:val="both"/>
              <w:rPr>
                <w:rFonts w:ascii="Times New Roman" w:hAnsi="Times New Roman"/>
              </w:rPr>
            </w:pPr>
          </w:p>
        </w:tc>
        <w:tc>
          <w:tcPr>
            <w:tcW w:w="435" w:type="dxa"/>
            <w:shd w:val="clear" w:color="auto" w:fill="FFFFFF"/>
          </w:tcPr>
          <w:p w14:paraId="5B266FCF" w14:textId="77777777" w:rsidR="006965FA" w:rsidRPr="00D75D2E" w:rsidRDefault="006965FA" w:rsidP="007108ED">
            <w:pPr>
              <w:jc w:val="both"/>
              <w:rPr>
                <w:rFonts w:ascii="Times New Roman" w:hAnsi="Times New Roman"/>
              </w:rPr>
            </w:pPr>
          </w:p>
        </w:tc>
        <w:tc>
          <w:tcPr>
            <w:tcW w:w="363" w:type="dxa"/>
            <w:shd w:val="clear" w:color="auto" w:fill="FFC000"/>
          </w:tcPr>
          <w:p w14:paraId="6C9C47EA" w14:textId="77777777" w:rsidR="006965FA" w:rsidRPr="00D75D2E" w:rsidRDefault="006965FA" w:rsidP="007108ED">
            <w:pPr>
              <w:jc w:val="both"/>
              <w:rPr>
                <w:rFonts w:ascii="Times New Roman" w:hAnsi="Times New Roman"/>
              </w:rPr>
            </w:pPr>
          </w:p>
        </w:tc>
        <w:tc>
          <w:tcPr>
            <w:tcW w:w="567" w:type="dxa"/>
            <w:shd w:val="clear" w:color="auto" w:fill="auto"/>
          </w:tcPr>
          <w:p w14:paraId="427FD58B" w14:textId="77777777" w:rsidR="006965FA" w:rsidRPr="00D75D2E" w:rsidRDefault="006965FA" w:rsidP="007108ED">
            <w:pPr>
              <w:jc w:val="both"/>
              <w:rPr>
                <w:rFonts w:ascii="Times New Roman" w:hAnsi="Times New Roman"/>
              </w:rPr>
            </w:pPr>
          </w:p>
        </w:tc>
        <w:tc>
          <w:tcPr>
            <w:tcW w:w="630" w:type="dxa"/>
            <w:shd w:val="clear" w:color="auto" w:fill="FFFFFF"/>
          </w:tcPr>
          <w:p w14:paraId="3D3000F3" w14:textId="77777777" w:rsidR="006965FA" w:rsidRPr="00D75D2E" w:rsidRDefault="006965FA" w:rsidP="007108ED">
            <w:pPr>
              <w:jc w:val="both"/>
              <w:rPr>
                <w:rFonts w:ascii="Times New Roman" w:hAnsi="Times New Roman"/>
              </w:rPr>
            </w:pPr>
          </w:p>
        </w:tc>
        <w:tc>
          <w:tcPr>
            <w:tcW w:w="572" w:type="dxa"/>
            <w:shd w:val="clear" w:color="auto" w:fill="FFC000"/>
          </w:tcPr>
          <w:p w14:paraId="75A140BE" w14:textId="77777777" w:rsidR="006965FA" w:rsidRPr="00D75D2E" w:rsidRDefault="006965FA" w:rsidP="007108ED">
            <w:pPr>
              <w:jc w:val="both"/>
              <w:rPr>
                <w:rFonts w:ascii="Times New Roman" w:hAnsi="Times New Roman"/>
              </w:rPr>
            </w:pPr>
          </w:p>
        </w:tc>
      </w:tr>
      <w:tr w:rsidR="006965FA" w:rsidRPr="00420C1B" w14:paraId="295C6499" w14:textId="77777777" w:rsidTr="00215867">
        <w:trPr>
          <w:trHeight w:val="353"/>
          <w:jc w:val="center"/>
        </w:trPr>
        <w:tc>
          <w:tcPr>
            <w:tcW w:w="1129" w:type="dxa"/>
            <w:vMerge/>
            <w:vAlign w:val="center"/>
          </w:tcPr>
          <w:p w14:paraId="46BE916C" w14:textId="77777777" w:rsidR="006965FA" w:rsidRPr="00D75D2E" w:rsidRDefault="006965FA" w:rsidP="007108ED">
            <w:pPr>
              <w:jc w:val="both"/>
              <w:rPr>
                <w:rFonts w:ascii="Times New Roman" w:hAnsi="Times New Roman"/>
                <w:b/>
              </w:rPr>
            </w:pPr>
          </w:p>
        </w:tc>
        <w:tc>
          <w:tcPr>
            <w:tcW w:w="709" w:type="dxa"/>
            <w:vAlign w:val="center"/>
          </w:tcPr>
          <w:p w14:paraId="17DDC6EF" w14:textId="5B536F51" w:rsidR="006965FA" w:rsidRPr="00D75D2E" w:rsidRDefault="006965FA" w:rsidP="00215867">
            <w:pPr>
              <w:spacing w:after="0" w:line="20" w:lineRule="atLeast"/>
              <w:jc w:val="center"/>
              <w:rPr>
                <w:rFonts w:ascii="Times New Roman" w:hAnsi="Times New Roman"/>
              </w:rPr>
            </w:pPr>
            <w:r>
              <w:rPr>
                <w:rFonts w:ascii="Times New Roman" w:hAnsi="Times New Roman"/>
              </w:rPr>
              <w:t>1</w:t>
            </w:r>
            <w:r w:rsidR="00B42605">
              <w:rPr>
                <w:rFonts w:ascii="Times New Roman" w:hAnsi="Times New Roman"/>
              </w:rPr>
              <w:t>2</w:t>
            </w:r>
          </w:p>
        </w:tc>
        <w:tc>
          <w:tcPr>
            <w:tcW w:w="1978" w:type="dxa"/>
            <w:vAlign w:val="center"/>
          </w:tcPr>
          <w:p w14:paraId="32258B7A" w14:textId="77777777" w:rsidR="006965FA" w:rsidRPr="00D75D2E" w:rsidRDefault="006965FA" w:rsidP="00215867">
            <w:pPr>
              <w:spacing w:after="0" w:line="20" w:lineRule="atLeast"/>
              <w:jc w:val="both"/>
              <w:rPr>
                <w:rFonts w:ascii="Times New Roman" w:hAnsi="Times New Roman"/>
              </w:rPr>
            </w:pPr>
            <w:r w:rsidRPr="00D75D2E">
              <w:rPr>
                <w:rFonts w:ascii="Times New Roman" w:hAnsi="Times New Roman"/>
              </w:rPr>
              <w:t>Entretien du réseau électrique (lignes et cabines)</w:t>
            </w:r>
          </w:p>
        </w:tc>
        <w:tc>
          <w:tcPr>
            <w:tcW w:w="1701" w:type="dxa"/>
            <w:vAlign w:val="center"/>
          </w:tcPr>
          <w:p w14:paraId="65649A30" w14:textId="77777777" w:rsidR="006965FA" w:rsidRPr="00D75D2E" w:rsidRDefault="006965FA" w:rsidP="00215867">
            <w:pPr>
              <w:spacing w:after="0" w:line="20" w:lineRule="atLeast"/>
              <w:rPr>
                <w:rFonts w:ascii="Times New Roman" w:hAnsi="Times New Roman"/>
              </w:rPr>
            </w:pPr>
            <w:r w:rsidRPr="00D75D2E">
              <w:rPr>
                <w:rFonts w:ascii="Times New Roman" w:hAnsi="Times New Roman"/>
              </w:rPr>
              <w:t>Humain</w:t>
            </w:r>
          </w:p>
        </w:tc>
        <w:tc>
          <w:tcPr>
            <w:tcW w:w="4611" w:type="dxa"/>
            <w:vAlign w:val="center"/>
          </w:tcPr>
          <w:p w14:paraId="5F7C1F98" w14:textId="77777777" w:rsidR="006965FA" w:rsidRPr="00D75D2E" w:rsidRDefault="006965FA" w:rsidP="00215867">
            <w:pPr>
              <w:spacing w:after="0" w:line="20" w:lineRule="atLeast"/>
              <w:jc w:val="both"/>
              <w:rPr>
                <w:rFonts w:ascii="Times New Roman" w:hAnsi="Times New Roman"/>
                <w:iCs/>
                <w:szCs w:val="18"/>
              </w:rPr>
            </w:pPr>
            <w:r w:rsidRPr="00D75D2E">
              <w:rPr>
                <w:rFonts w:ascii="Times New Roman" w:hAnsi="Times New Roman"/>
                <w:iCs/>
                <w:szCs w:val="18"/>
              </w:rPr>
              <w:t>Les travaux d’élagage des arbres, de réhabilitation des poteaux et d’entretien des cabines générer</w:t>
            </w:r>
            <w:r>
              <w:rPr>
                <w:rFonts w:ascii="Times New Roman" w:hAnsi="Times New Roman"/>
                <w:iCs/>
                <w:szCs w:val="18"/>
              </w:rPr>
              <w:t>aie</w:t>
            </w:r>
            <w:r w:rsidRPr="00D75D2E">
              <w:rPr>
                <w:rFonts w:ascii="Times New Roman" w:hAnsi="Times New Roman"/>
                <w:iCs/>
                <w:szCs w:val="18"/>
              </w:rPr>
              <w:t xml:space="preserve">nt des risques d’accidents. </w:t>
            </w:r>
          </w:p>
        </w:tc>
        <w:tc>
          <w:tcPr>
            <w:tcW w:w="426" w:type="dxa"/>
            <w:shd w:val="clear" w:color="auto" w:fill="FFFFFF"/>
          </w:tcPr>
          <w:p w14:paraId="37D4E33C" w14:textId="77777777" w:rsidR="006965FA" w:rsidRPr="00D75D2E" w:rsidRDefault="006965FA" w:rsidP="00215867">
            <w:pPr>
              <w:spacing w:after="0" w:line="20" w:lineRule="atLeast"/>
              <w:jc w:val="both"/>
              <w:rPr>
                <w:rFonts w:ascii="Times New Roman" w:hAnsi="Times New Roman"/>
              </w:rPr>
            </w:pPr>
          </w:p>
        </w:tc>
        <w:tc>
          <w:tcPr>
            <w:tcW w:w="424" w:type="dxa"/>
            <w:shd w:val="clear" w:color="auto" w:fill="FFFFFF"/>
          </w:tcPr>
          <w:p w14:paraId="7D1E468A" w14:textId="77777777" w:rsidR="006965FA" w:rsidRPr="00D75D2E" w:rsidRDefault="006965FA" w:rsidP="00215867">
            <w:pPr>
              <w:spacing w:after="0" w:line="20" w:lineRule="atLeast"/>
              <w:jc w:val="both"/>
              <w:rPr>
                <w:rFonts w:ascii="Times New Roman" w:hAnsi="Times New Roman"/>
              </w:rPr>
            </w:pPr>
          </w:p>
        </w:tc>
        <w:tc>
          <w:tcPr>
            <w:tcW w:w="493" w:type="dxa"/>
            <w:shd w:val="clear" w:color="auto" w:fill="FFC000"/>
          </w:tcPr>
          <w:p w14:paraId="0D8522DB"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4796F5D0" w14:textId="77777777" w:rsidR="006965FA" w:rsidRPr="00D75D2E" w:rsidRDefault="006965FA" w:rsidP="00215867">
            <w:pPr>
              <w:spacing w:after="0" w:line="20" w:lineRule="atLeast"/>
              <w:jc w:val="both"/>
              <w:rPr>
                <w:rFonts w:ascii="Times New Roman" w:hAnsi="Times New Roman"/>
              </w:rPr>
            </w:pPr>
          </w:p>
        </w:tc>
        <w:tc>
          <w:tcPr>
            <w:tcW w:w="519" w:type="dxa"/>
            <w:shd w:val="clear" w:color="auto" w:fill="FFC000"/>
          </w:tcPr>
          <w:p w14:paraId="056106A1" w14:textId="77777777" w:rsidR="006965FA" w:rsidRPr="00D75D2E" w:rsidRDefault="006965FA" w:rsidP="00215867">
            <w:pPr>
              <w:spacing w:after="0" w:line="20" w:lineRule="atLeast"/>
              <w:jc w:val="both"/>
              <w:rPr>
                <w:rFonts w:ascii="Times New Roman" w:hAnsi="Times New Roman"/>
              </w:rPr>
            </w:pPr>
          </w:p>
        </w:tc>
        <w:tc>
          <w:tcPr>
            <w:tcW w:w="425" w:type="dxa"/>
            <w:shd w:val="clear" w:color="auto" w:fill="FFFFFF"/>
          </w:tcPr>
          <w:p w14:paraId="76480EB3" w14:textId="77777777" w:rsidR="006965FA" w:rsidRPr="00D75D2E" w:rsidRDefault="006965FA" w:rsidP="00215867">
            <w:pPr>
              <w:spacing w:after="0" w:line="20" w:lineRule="atLeast"/>
              <w:jc w:val="both"/>
              <w:rPr>
                <w:rFonts w:ascii="Times New Roman" w:hAnsi="Times New Roman"/>
              </w:rPr>
            </w:pPr>
          </w:p>
        </w:tc>
        <w:tc>
          <w:tcPr>
            <w:tcW w:w="426" w:type="dxa"/>
            <w:shd w:val="clear" w:color="auto" w:fill="auto"/>
          </w:tcPr>
          <w:p w14:paraId="4568DC6B" w14:textId="77777777" w:rsidR="006965FA" w:rsidRPr="00D75D2E" w:rsidRDefault="006965FA" w:rsidP="00215867">
            <w:pPr>
              <w:spacing w:after="0" w:line="20" w:lineRule="atLeast"/>
              <w:jc w:val="both"/>
              <w:rPr>
                <w:rFonts w:ascii="Times New Roman" w:hAnsi="Times New Roman"/>
              </w:rPr>
            </w:pPr>
          </w:p>
        </w:tc>
        <w:tc>
          <w:tcPr>
            <w:tcW w:w="435" w:type="dxa"/>
            <w:shd w:val="clear" w:color="auto" w:fill="FFC000"/>
          </w:tcPr>
          <w:p w14:paraId="62DCC438" w14:textId="77777777" w:rsidR="006965FA" w:rsidRPr="00D75D2E" w:rsidRDefault="006965FA" w:rsidP="00215867">
            <w:pPr>
              <w:spacing w:after="0" w:line="20" w:lineRule="atLeast"/>
              <w:jc w:val="both"/>
              <w:rPr>
                <w:rFonts w:ascii="Times New Roman" w:hAnsi="Times New Roman"/>
              </w:rPr>
            </w:pPr>
          </w:p>
        </w:tc>
        <w:tc>
          <w:tcPr>
            <w:tcW w:w="363" w:type="dxa"/>
            <w:shd w:val="clear" w:color="auto" w:fill="FFFFFF"/>
          </w:tcPr>
          <w:p w14:paraId="4A607FE5" w14:textId="77777777" w:rsidR="006965FA" w:rsidRPr="00D75D2E" w:rsidRDefault="006965FA" w:rsidP="00215867">
            <w:pPr>
              <w:spacing w:after="0" w:line="20" w:lineRule="atLeast"/>
              <w:jc w:val="both"/>
              <w:rPr>
                <w:rFonts w:ascii="Times New Roman" w:hAnsi="Times New Roman"/>
              </w:rPr>
            </w:pPr>
          </w:p>
        </w:tc>
        <w:tc>
          <w:tcPr>
            <w:tcW w:w="567" w:type="dxa"/>
            <w:shd w:val="clear" w:color="auto" w:fill="FFFFFF"/>
          </w:tcPr>
          <w:p w14:paraId="73174F14" w14:textId="77777777" w:rsidR="006965FA" w:rsidRPr="00D75D2E" w:rsidRDefault="006965FA" w:rsidP="00215867">
            <w:pPr>
              <w:spacing w:after="0" w:line="20" w:lineRule="atLeast"/>
              <w:jc w:val="both"/>
              <w:rPr>
                <w:rFonts w:ascii="Times New Roman" w:hAnsi="Times New Roman"/>
              </w:rPr>
            </w:pPr>
          </w:p>
        </w:tc>
        <w:tc>
          <w:tcPr>
            <w:tcW w:w="630" w:type="dxa"/>
            <w:shd w:val="clear" w:color="auto" w:fill="auto"/>
          </w:tcPr>
          <w:p w14:paraId="604198C4" w14:textId="77777777" w:rsidR="006965FA" w:rsidRPr="00D75D2E" w:rsidRDefault="006965FA" w:rsidP="00215867">
            <w:pPr>
              <w:spacing w:after="0" w:line="20" w:lineRule="atLeast"/>
              <w:jc w:val="both"/>
              <w:rPr>
                <w:rFonts w:ascii="Times New Roman" w:hAnsi="Times New Roman"/>
              </w:rPr>
            </w:pPr>
          </w:p>
        </w:tc>
        <w:tc>
          <w:tcPr>
            <w:tcW w:w="572" w:type="dxa"/>
            <w:shd w:val="clear" w:color="auto" w:fill="FFC000"/>
          </w:tcPr>
          <w:p w14:paraId="4F8E83A0" w14:textId="77777777" w:rsidR="006965FA" w:rsidRPr="00D75D2E" w:rsidRDefault="006965FA" w:rsidP="00215867">
            <w:pPr>
              <w:spacing w:after="0" w:line="20" w:lineRule="atLeast"/>
              <w:jc w:val="both"/>
              <w:rPr>
                <w:rFonts w:ascii="Times New Roman" w:hAnsi="Times New Roman"/>
              </w:rPr>
            </w:pPr>
          </w:p>
        </w:tc>
      </w:tr>
    </w:tbl>
    <w:p w14:paraId="588C0265" w14:textId="77777777" w:rsidR="00FB3D81" w:rsidRPr="00E737B4" w:rsidRDefault="00FB3D81" w:rsidP="00E737B4">
      <w:pPr>
        <w:spacing w:after="120" w:line="240" w:lineRule="auto"/>
        <w:jc w:val="center"/>
        <w:rPr>
          <w:rFonts w:ascii="Times New Roman" w:hAnsi="Times New Roman"/>
          <w:bCs/>
          <w:i/>
          <w:sz w:val="24"/>
          <w:szCs w:val="24"/>
        </w:rPr>
      </w:pPr>
      <w:r w:rsidRPr="00E737B4">
        <w:rPr>
          <w:rFonts w:ascii="Times New Roman" w:hAnsi="Times New Roman"/>
          <w:bCs/>
          <w:i/>
          <w:sz w:val="24"/>
          <w:szCs w:val="24"/>
          <w:u w:val="single"/>
        </w:rPr>
        <w:t>Source </w:t>
      </w:r>
      <w:r w:rsidRPr="00E737B4">
        <w:rPr>
          <w:rFonts w:ascii="Times New Roman" w:hAnsi="Times New Roman"/>
          <w:bCs/>
          <w:i/>
          <w:sz w:val="24"/>
          <w:szCs w:val="24"/>
        </w:rPr>
        <w:t xml:space="preserve">: Mission d’élaboration de l’EIES DKC </w:t>
      </w:r>
      <w:r w:rsidR="00124BDB">
        <w:rPr>
          <w:rFonts w:ascii="Times New Roman" w:hAnsi="Times New Roman"/>
          <w:bCs/>
          <w:i/>
          <w:sz w:val="24"/>
          <w:szCs w:val="24"/>
        </w:rPr>
        <w:t xml:space="preserve">&amp; </w:t>
      </w:r>
      <w:r w:rsidRPr="00E737B4">
        <w:rPr>
          <w:rFonts w:ascii="Times New Roman" w:hAnsi="Times New Roman"/>
          <w:bCs/>
          <w:i/>
          <w:sz w:val="24"/>
          <w:szCs w:val="24"/>
        </w:rPr>
        <w:t>DKO</w:t>
      </w:r>
      <w:r w:rsidR="00124BDB">
        <w:rPr>
          <w:rFonts w:ascii="Times New Roman" w:hAnsi="Times New Roman"/>
          <w:bCs/>
          <w:i/>
          <w:sz w:val="24"/>
          <w:szCs w:val="24"/>
        </w:rPr>
        <w:t>,</w:t>
      </w:r>
      <w:r w:rsidR="00124BDB" w:rsidRPr="00E737B4">
        <w:rPr>
          <w:rFonts w:ascii="Times New Roman" w:hAnsi="Times New Roman"/>
          <w:bCs/>
          <w:i/>
          <w:sz w:val="24"/>
          <w:szCs w:val="24"/>
        </w:rPr>
        <w:t xml:space="preserve"> </w:t>
      </w:r>
      <w:r w:rsidRPr="00E737B4">
        <w:rPr>
          <w:rFonts w:ascii="Times New Roman" w:hAnsi="Times New Roman"/>
          <w:bCs/>
          <w:i/>
          <w:sz w:val="24"/>
          <w:szCs w:val="24"/>
        </w:rPr>
        <w:t>juillet 2021</w:t>
      </w:r>
    </w:p>
    <w:p w14:paraId="7DCAA930" w14:textId="2AE268B1" w:rsidR="00AF40E4" w:rsidRPr="00D75D2E" w:rsidRDefault="00ED17F3" w:rsidP="00215867">
      <w:pPr>
        <w:spacing w:after="0" w:line="240" w:lineRule="auto"/>
        <w:jc w:val="both"/>
        <w:rPr>
          <w:rFonts w:ascii="Times New Roman" w:hAnsi="Times New Roman"/>
          <w:sz w:val="24"/>
          <w:szCs w:val="24"/>
        </w:rPr>
      </w:pPr>
      <w:r w:rsidRPr="00E737B4">
        <w:rPr>
          <w:rFonts w:ascii="Times New Roman" w:hAnsi="Times New Roman"/>
          <w:b/>
          <w:i/>
          <w:sz w:val="24"/>
          <w:szCs w:val="24"/>
        </w:rPr>
        <w:t>Légende</w:t>
      </w:r>
      <w:r w:rsidRPr="00E737B4">
        <w:rPr>
          <w:rFonts w:ascii="Times New Roman" w:hAnsi="Times New Roman"/>
          <w:i/>
          <w:sz w:val="24"/>
          <w:szCs w:val="24"/>
        </w:rPr>
        <w:t xml:space="preserve"> –</w:t>
      </w:r>
      <w:r w:rsidRPr="00E737B4">
        <w:rPr>
          <w:rFonts w:ascii="Times New Roman" w:hAnsi="Times New Roman"/>
          <w:i/>
          <w:sz w:val="24"/>
          <w:szCs w:val="24"/>
          <w:u w:val="single"/>
        </w:rPr>
        <w:t>Intensité</w:t>
      </w:r>
      <w:r w:rsidRPr="00E737B4">
        <w:rPr>
          <w:rFonts w:ascii="Times New Roman" w:hAnsi="Times New Roman"/>
          <w:i/>
          <w:sz w:val="24"/>
          <w:szCs w:val="24"/>
        </w:rPr>
        <w:t xml:space="preserve"> = F : faible, M : moyenne, Fo : forte, </w:t>
      </w:r>
      <w:r w:rsidRPr="00E737B4">
        <w:rPr>
          <w:rFonts w:ascii="Times New Roman" w:hAnsi="Times New Roman"/>
          <w:i/>
          <w:sz w:val="24"/>
          <w:szCs w:val="24"/>
          <w:u w:val="single"/>
        </w:rPr>
        <w:t>Etendue</w:t>
      </w:r>
      <w:r w:rsidRPr="00E737B4">
        <w:rPr>
          <w:rFonts w:ascii="Times New Roman" w:hAnsi="Times New Roman"/>
          <w:i/>
          <w:sz w:val="24"/>
          <w:szCs w:val="24"/>
        </w:rPr>
        <w:t xml:space="preserve"> = P : ponctuelle, Lo : locale, R : régionale, </w:t>
      </w:r>
      <w:r w:rsidRPr="00E737B4">
        <w:rPr>
          <w:rFonts w:ascii="Times New Roman" w:hAnsi="Times New Roman"/>
          <w:i/>
          <w:sz w:val="24"/>
          <w:szCs w:val="24"/>
          <w:u w:val="single"/>
        </w:rPr>
        <w:t>Durée</w:t>
      </w:r>
      <w:r w:rsidRPr="00E737B4">
        <w:rPr>
          <w:rFonts w:ascii="Times New Roman" w:hAnsi="Times New Roman"/>
          <w:i/>
          <w:sz w:val="24"/>
          <w:szCs w:val="24"/>
        </w:rPr>
        <w:t xml:space="preserve"> = C : courte, Moyenne : Mo ; L : longue, </w:t>
      </w:r>
      <w:r w:rsidRPr="00E737B4">
        <w:rPr>
          <w:rFonts w:ascii="Times New Roman" w:hAnsi="Times New Roman"/>
          <w:i/>
          <w:sz w:val="24"/>
          <w:szCs w:val="24"/>
          <w:u w:val="single"/>
        </w:rPr>
        <w:t>Importance </w:t>
      </w:r>
      <w:r w:rsidRPr="00E737B4">
        <w:rPr>
          <w:rFonts w:ascii="Times New Roman" w:hAnsi="Times New Roman"/>
          <w:i/>
          <w:sz w:val="24"/>
          <w:szCs w:val="24"/>
        </w:rPr>
        <w:t>: Mi : mineur, Moy : moyen, Ma : majeur. FDI : Fiche Déclaration d’impact</w:t>
      </w:r>
    </w:p>
    <w:p w14:paraId="62C980FC" w14:textId="77777777" w:rsidR="00AF40E4" w:rsidRPr="00D75D2E" w:rsidRDefault="00AF40E4" w:rsidP="00215867">
      <w:pPr>
        <w:spacing w:before="120" w:after="0" w:line="240" w:lineRule="auto"/>
        <w:jc w:val="both"/>
        <w:rPr>
          <w:rFonts w:ascii="Times New Roman" w:hAnsi="Times New Roman"/>
          <w:sz w:val="24"/>
          <w:szCs w:val="24"/>
        </w:rPr>
      </w:pPr>
      <w:r w:rsidRPr="00D75D2E">
        <w:rPr>
          <w:rFonts w:ascii="Times New Roman" w:hAnsi="Times New Roman"/>
          <w:sz w:val="24"/>
          <w:szCs w:val="24"/>
        </w:rPr>
        <w:t xml:space="preserve">Sur le plan environnemental, les impacts les plus importants sont dus essentiellement à l’abattage ou l’élagage des arbres situés dans les emprises, à la production des déchets (matériau d’emballage, résidus de bois, reste de peinture, câbles, plastique etc.). </w:t>
      </w:r>
    </w:p>
    <w:p w14:paraId="676628C6" w14:textId="77777777" w:rsidR="000D5C7F" w:rsidRPr="00D75D2E" w:rsidRDefault="00AF40E4" w:rsidP="00884A70">
      <w:pPr>
        <w:spacing w:after="0" w:line="240" w:lineRule="auto"/>
        <w:jc w:val="both"/>
        <w:rPr>
          <w:rFonts w:ascii="Times New Roman" w:hAnsi="Times New Roman"/>
          <w:sz w:val="24"/>
          <w:szCs w:val="24"/>
        </w:rPr>
      </w:pPr>
      <w:r w:rsidRPr="00D75D2E">
        <w:rPr>
          <w:rFonts w:ascii="Times New Roman" w:hAnsi="Times New Roman"/>
          <w:sz w:val="24"/>
          <w:szCs w:val="24"/>
        </w:rPr>
        <w:t xml:space="preserve">Au plan social, les impacts sont surtout liés aux risques d’incendies et d’électrocutions, à la perturbation des biens socioéconomiques, domaniaux et ligneux des PAP, aux accidents lors des travaux et   aux risques de dépravation des mœurs et de propagation des IST dans le site du projet. Ainsi, si les mesures d’atténuation sont appliquées, il subsistera peu d’impacts résiduels du projet. </w:t>
      </w:r>
    </w:p>
    <w:p w14:paraId="7409C55A" w14:textId="3B2E9E9F" w:rsidR="005A13D3" w:rsidRPr="00D75D2E" w:rsidRDefault="00AF40E4">
      <w:pPr>
        <w:rPr>
          <w:rFonts w:ascii="Times New Roman" w:hAnsi="Times New Roman"/>
          <w:i/>
        </w:rPr>
      </w:pPr>
      <w:r w:rsidRPr="00D75D2E">
        <w:rPr>
          <w:rFonts w:ascii="Times New Roman" w:hAnsi="Times New Roman"/>
          <w:sz w:val="24"/>
          <w:szCs w:val="24"/>
        </w:rPr>
        <w:t>Le projet est donc réalisable sur le plan environnemental et social</w:t>
      </w:r>
      <w:r w:rsidR="005A13D3" w:rsidRPr="00D75D2E">
        <w:rPr>
          <w:rFonts w:ascii="Times New Roman" w:hAnsi="Times New Roman"/>
          <w:i/>
        </w:rPr>
        <w:br w:type="page"/>
      </w:r>
    </w:p>
    <w:p w14:paraId="35E5019C" w14:textId="77777777" w:rsidR="00FA71EE" w:rsidRPr="00D75D2E" w:rsidRDefault="00FA71EE" w:rsidP="00ED17F3">
      <w:pPr>
        <w:spacing w:after="0" w:line="240" w:lineRule="auto"/>
        <w:jc w:val="both"/>
        <w:rPr>
          <w:rFonts w:ascii="Times New Roman" w:hAnsi="Times New Roman"/>
          <w:sz w:val="24"/>
          <w:szCs w:val="24"/>
        </w:rPr>
        <w:sectPr w:rsidR="00FA71EE" w:rsidRPr="00D75D2E" w:rsidSect="0082504D">
          <w:pgSz w:w="16838" w:h="11906" w:orient="landscape"/>
          <w:pgMar w:top="1418" w:right="1418" w:bottom="1418" w:left="1418" w:header="709" w:footer="709" w:gutter="0"/>
          <w:cols w:space="708"/>
          <w:docGrid w:linePitch="360"/>
        </w:sectPr>
      </w:pPr>
    </w:p>
    <w:p w14:paraId="2D7B9783" w14:textId="326E64E6" w:rsidR="00ED17F3" w:rsidRPr="003026D8" w:rsidRDefault="00ED17F3" w:rsidP="00215867">
      <w:pPr>
        <w:pStyle w:val="Titre1"/>
        <w:numPr>
          <w:ilvl w:val="1"/>
          <w:numId w:val="54"/>
        </w:numPr>
        <w:spacing w:before="0" w:after="120"/>
        <w:ind w:left="788" w:hanging="431"/>
        <w:rPr>
          <w:szCs w:val="24"/>
        </w:rPr>
      </w:pPr>
      <w:bookmarkStart w:id="651" w:name="_Toc452538253"/>
      <w:bookmarkStart w:id="652" w:name="_Toc16663511"/>
      <w:bookmarkStart w:id="653" w:name="_Toc16663685"/>
      <w:bookmarkStart w:id="654" w:name="_Toc16664930"/>
      <w:bookmarkStart w:id="655" w:name="_Toc103685683"/>
      <w:bookmarkEnd w:id="628"/>
      <w:r w:rsidRPr="003026D8">
        <w:rPr>
          <w:szCs w:val="24"/>
        </w:rPr>
        <w:t xml:space="preserve">Analyse </w:t>
      </w:r>
      <w:r w:rsidR="00057AB5" w:rsidRPr="003026D8">
        <w:rPr>
          <w:szCs w:val="24"/>
        </w:rPr>
        <w:t xml:space="preserve">des </w:t>
      </w:r>
      <w:r w:rsidRPr="003026D8">
        <w:rPr>
          <w:szCs w:val="24"/>
        </w:rPr>
        <w:t>risque</w:t>
      </w:r>
      <w:bookmarkEnd w:id="651"/>
      <w:bookmarkEnd w:id="652"/>
      <w:bookmarkEnd w:id="653"/>
      <w:bookmarkEnd w:id="654"/>
      <w:r w:rsidR="00057AB5" w:rsidRPr="003026D8">
        <w:rPr>
          <w:szCs w:val="24"/>
        </w:rPr>
        <w:t>s</w:t>
      </w:r>
      <w:bookmarkEnd w:id="655"/>
    </w:p>
    <w:p w14:paraId="79704E42" w14:textId="77777777" w:rsidR="00ED17F3" w:rsidRPr="00D75D2E" w:rsidRDefault="00ED17F3" w:rsidP="00E737B4">
      <w:pPr>
        <w:tabs>
          <w:tab w:val="left" w:pos="3840"/>
        </w:tabs>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L’évaluation des risques sert à planifier des actions de prévention lors des travaux de réalisation, en tenant compte des priorités. La méthodologie utilisée comporte principalement trois étapes :</w:t>
      </w:r>
    </w:p>
    <w:p w14:paraId="647739BA" w14:textId="77777777" w:rsidR="00ED17F3" w:rsidRPr="00D75D2E" w:rsidRDefault="00ED17F3" w:rsidP="008C79F0">
      <w:pPr>
        <w:numPr>
          <w:ilvl w:val="0"/>
          <w:numId w:val="34"/>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l’identification des situations à risques liées au travail sur un chantier d’infrastructures ;</w:t>
      </w:r>
    </w:p>
    <w:p w14:paraId="4CEE893C" w14:textId="77777777" w:rsidR="00ED17F3" w:rsidRPr="00D75D2E" w:rsidRDefault="00ED17F3" w:rsidP="008C79F0">
      <w:pPr>
        <w:numPr>
          <w:ilvl w:val="0"/>
          <w:numId w:val="34"/>
        </w:numPr>
        <w:spacing w:after="0" w:line="240" w:lineRule="auto"/>
        <w:contextualSpacing/>
        <w:jc w:val="both"/>
        <w:rPr>
          <w:rFonts w:ascii="Times New Roman" w:hAnsi="Times New Roman"/>
          <w:sz w:val="24"/>
          <w:szCs w:val="24"/>
        </w:rPr>
      </w:pPr>
      <w:r w:rsidRPr="00D75D2E">
        <w:rPr>
          <w:rFonts w:ascii="Times New Roman" w:hAnsi="Times New Roman"/>
          <w:sz w:val="24"/>
          <w:szCs w:val="24"/>
        </w:rPr>
        <w:t xml:space="preserve">l’estimation pour chaque situation dangereuse de la </w:t>
      </w:r>
      <w:r w:rsidRPr="00D75D2E">
        <w:rPr>
          <w:rFonts w:ascii="Times New Roman" w:hAnsi="Times New Roman"/>
          <w:sz w:val="24"/>
          <w:szCs w:val="24"/>
          <w:u w:val="single"/>
        </w:rPr>
        <w:t>gravité des dommages potentiels</w:t>
      </w:r>
      <w:r w:rsidRPr="00D75D2E">
        <w:rPr>
          <w:rFonts w:ascii="Times New Roman" w:hAnsi="Times New Roman"/>
          <w:sz w:val="24"/>
          <w:szCs w:val="24"/>
        </w:rPr>
        <w:t xml:space="preserve"> et de la </w:t>
      </w:r>
      <w:r w:rsidRPr="00D75D2E">
        <w:rPr>
          <w:rFonts w:ascii="Times New Roman" w:hAnsi="Times New Roman"/>
          <w:sz w:val="24"/>
          <w:szCs w:val="24"/>
          <w:u w:val="single"/>
        </w:rPr>
        <w:t>fréquence d’exposition</w:t>
      </w:r>
      <w:r w:rsidRPr="00D75D2E">
        <w:rPr>
          <w:rFonts w:ascii="Times New Roman" w:hAnsi="Times New Roman"/>
          <w:b/>
          <w:i/>
          <w:sz w:val="24"/>
          <w:szCs w:val="24"/>
        </w:rPr>
        <w:t> </w:t>
      </w:r>
      <w:r w:rsidRPr="00D75D2E">
        <w:rPr>
          <w:rFonts w:ascii="Times New Roman" w:hAnsi="Times New Roman"/>
          <w:sz w:val="24"/>
          <w:szCs w:val="24"/>
          <w:u w:val="single"/>
        </w:rPr>
        <w:t>;</w:t>
      </w:r>
    </w:p>
    <w:p w14:paraId="76139584" w14:textId="77777777" w:rsidR="00ED17F3" w:rsidRPr="00D75D2E" w:rsidRDefault="00ED17F3" w:rsidP="008C79F0">
      <w:pPr>
        <w:numPr>
          <w:ilvl w:val="0"/>
          <w:numId w:val="34"/>
        </w:numPr>
        <w:spacing w:after="0" w:line="240" w:lineRule="auto"/>
        <w:contextualSpacing/>
        <w:jc w:val="both"/>
        <w:rPr>
          <w:rFonts w:ascii="Times New Roman" w:hAnsi="Times New Roman"/>
          <w:sz w:val="24"/>
          <w:szCs w:val="24"/>
        </w:rPr>
      </w:pPr>
      <w:r w:rsidRPr="00D75D2E">
        <w:rPr>
          <w:rFonts w:ascii="Times New Roman" w:hAnsi="Times New Roman"/>
          <w:sz w:val="24"/>
          <w:szCs w:val="24"/>
        </w:rPr>
        <w:t>la hiérarchisation des risques pour déterminer les priorités du plan d’action.</w:t>
      </w:r>
    </w:p>
    <w:p w14:paraId="685BD72C" w14:textId="0B86FBDF" w:rsidR="00ED17F3" w:rsidRPr="00D75D2E" w:rsidRDefault="00ED17F3" w:rsidP="00215867">
      <w:pPr>
        <w:pStyle w:val="Titre31"/>
        <w:numPr>
          <w:ilvl w:val="2"/>
          <w:numId w:val="54"/>
        </w:numPr>
        <w:spacing w:before="120" w:after="120" w:line="20" w:lineRule="atLeast"/>
        <w:rPr>
          <w:rFonts w:eastAsia="Calibri"/>
          <w:u w:val="none"/>
        </w:rPr>
      </w:pPr>
      <w:bookmarkStart w:id="656" w:name="_Toc388400606"/>
      <w:bookmarkStart w:id="657" w:name="_Toc388597743"/>
      <w:bookmarkStart w:id="658" w:name="_Toc389409747"/>
      <w:bookmarkStart w:id="659" w:name="_Toc389416764"/>
      <w:bookmarkStart w:id="660" w:name="_Toc16663512"/>
      <w:bookmarkStart w:id="661" w:name="_Toc16663686"/>
      <w:bookmarkStart w:id="662" w:name="_Toc16664931"/>
      <w:bookmarkStart w:id="663" w:name="_Toc103685684"/>
      <w:r w:rsidRPr="00D75D2E">
        <w:rPr>
          <w:rFonts w:eastAsia="Calibri"/>
          <w:u w:val="none"/>
        </w:rPr>
        <w:t>Identification et évaluation des risques</w:t>
      </w:r>
      <w:bookmarkEnd w:id="656"/>
      <w:bookmarkEnd w:id="657"/>
      <w:bookmarkEnd w:id="658"/>
      <w:bookmarkEnd w:id="659"/>
      <w:bookmarkEnd w:id="660"/>
      <w:bookmarkEnd w:id="661"/>
      <w:bookmarkEnd w:id="662"/>
      <w:bookmarkEnd w:id="663"/>
    </w:p>
    <w:p w14:paraId="265A9451" w14:textId="77777777" w:rsidR="00ED17F3" w:rsidRPr="00D75D2E" w:rsidRDefault="00ED17F3" w:rsidP="00E737B4">
      <w:pPr>
        <w:tabs>
          <w:tab w:val="left" w:pos="3840"/>
        </w:tabs>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L’identification des risques a été basée sur le retour d’expérience (accidents et maladies professionnels, les chantiers d’électrification) et les visites de site. Pour l’évaluation des risques, un système de notation a été adopté ; cette cotation est faite dans le but de définir les risques importants et prioriser les actions de prévention. Les critères qui ont été pris en compte dans cette évaluation sont : la </w:t>
      </w:r>
      <w:r w:rsidRPr="00D75D2E">
        <w:rPr>
          <w:rFonts w:ascii="Times New Roman" w:eastAsia="Times New Roman" w:hAnsi="Times New Roman"/>
          <w:sz w:val="24"/>
          <w:szCs w:val="24"/>
          <w:u w:val="single"/>
          <w:lang w:eastAsia="fr-FR"/>
        </w:rPr>
        <w:t>fréquence</w:t>
      </w:r>
      <w:r w:rsidRPr="00D75D2E">
        <w:rPr>
          <w:rFonts w:ascii="Times New Roman" w:eastAsia="Times New Roman" w:hAnsi="Times New Roman"/>
          <w:sz w:val="24"/>
          <w:szCs w:val="24"/>
          <w:lang w:eastAsia="fr-FR"/>
        </w:rPr>
        <w:t xml:space="preserve"> de la tâche à accomplir qui contient le risque et la </w:t>
      </w:r>
      <w:r w:rsidRPr="00D75D2E">
        <w:rPr>
          <w:rFonts w:ascii="Times New Roman" w:eastAsia="Times New Roman" w:hAnsi="Times New Roman"/>
          <w:sz w:val="24"/>
          <w:szCs w:val="24"/>
          <w:u w:val="single"/>
          <w:lang w:eastAsia="fr-FR"/>
        </w:rPr>
        <w:t>gravité</w:t>
      </w:r>
      <w:r w:rsidRPr="00D75D2E">
        <w:rPr>
          <w:rFonts w:ascii="Times New Roman" w:eastAsia="Times New Roman" w:hAnsi="Times New Roman"/>
          <w:sz w:val="24"/>
          <w:szCs w:val="24"/>
          <w:lang w:eastAsia="fr-FR"/>
        </w:rPr>
        <w:t xml:space="preserve"> de l’accident / incident. L’évaluation des risques permet de planifier des actions de prévention, en tenant compte des priorités du terrain. </w:t>
      </w:r>
    </w:p>
    <w:p w14:paraId="7BF8BF63" w14:textId="5B0BA4FD" w:rsidR="00ED17F3" w:rsidRPr="00D75D2E" w:rsidRDefault="00ED17F3" w:rsidP="00215867">
      <w:pPr>
        <w:pStyle w:val="Titre31"/>
        <w:numPr>
          <w:ilvl w:val="2"/>
          <w:numId w:val="54"/>
        </w:numPr>
        <w:spacing w:before="120" w:after="120" w:line="20" w:lineRule="atLeast"/>
        <w:rPr>
          <w:rFonts w:eastAsia="Calibri"/>
          <w:u w:val="none"/>
        </w:rPr>
      </w:pPr>
      <w:bookmarkStart w:id="664" w:name="_Toc205878180"/>
      <w:bookmarkStart w:id="665" w:name="_Toc361738198"/>
      <w:bookmarkStart w:id="666" w:name="_Toc16663513"/>
      <w:bookmarkStart w:id="667" w:name="_Toc16663687"/>
      <w:bookmarkStart w:id="668" w:name="_Toc16664932"/>
      <w:bookmarkStart w:id="669" w:name="_Toc103685685"/>
      <w:r w:rsidRPr="00D75D2E">
        <w:rPr>
          <w:rFonts w:eastAsia="Calibri"/>
          <w:u w:val="none"/>
        </w:rPr>
        <w:t>Présentation de la grille d’évaluation</w:t>
      </w:r>
      <w:bookmarkEnd w:id="664"/>
      <w:bookmarkEnd w:id="665"/>
      <w:bookmarkEnd w:id="666"/>
      <w:bookmarkEnd w:id="667"/>
      <w:bookmarkEnd w:id="668"/>
      <w:bookmarkEnd w:id="669"/>
    </w:p>
    <w:p w14:paraId="10D3429C" w14:textId="32834F3C" w:rsidR="00ED17F3" w:rsidRPr="00E737B4" w:rsidRDefault="00ED17F3" w:rsidP="00E737B4">
      <w:pPr>
        <w:spacing w:before="120" w:after="120" w:line="240" w:lineRule="auto"/>
        <w:jc w:val="both"/>
        <w:rPr>
          <w:rFonts w:ascii="Times New Roman" w:eastAsia="Times New Roman" w:hAnsi="Times New Roman"/>
          <w:sz w:val="28"/>
          <w:szCs w:val="24"/>
          <w:lang w:eastAsia="fr-FR"/>
        </w:rPr>
      </w:pPr>
      <w:r w:rsidRPr="00D75D2E">
        <w:rPr>
          <w:rFonts w:ascii="Times New Roman" w:eastAsia="Times New Roman" w:hAnsi="Times New Roman"/>
          <w:sz w:val="24"/>
          <w:szCs w:val="24"/>
          <w:lang w:eastAsia="fr-FR"/>
        </w:rPr>
        <w:t xml:space="preserve">L’estimation du risque consiste à considérer pour chaque situation dangereuse deux facteurs : la fréquence d’exposition au danger et la gravité des dommages potentiels. Les niveaux de fréquence peuvent aller de </w:t>
      </w:r>
      <w:r w:rsidRPr="00D75D2E">
        <w:rPr>
          <w:rFonts w:ascii="Times New Roman" w:eastAsia="Times New Roman" w:hAnsi="Times New Roman"/>
          <w:sz w:val="24"/>
          <w:szCs w:val="24"/>
          <w:u w:val="single"/>
          <w:lang w:eastAsia="fr-FR"/>
        </w:rPr>
        <w:t>faible</w:t>
      </w:r>
      <w:r w:rsidRPr="00D75D2E">
        <w:rPr>
          <w:rFonts w:ascii="Times New Roman" w:eastAsia="Times New Roman" w:hAnsi="Times New Roman"/>
          <w:sz w:val="24"/>
          <w:szCs w:val="24"/>
          <w:lang w:eastAsia="fr-FR"/>
        </w:rPr>
        <w:t xml:space="preserve"> à </w:t>
      </w:r>
      <w:r w:rsidRPr="00D75D2E">
        <w:rPr>
          <w:rFonts w:ascii="Times New Roman" w:eastAsia="Times New Roman" w:hAnsi="Times New Roman"/>
          <w:sz w:val="24"/>
          <w:szCs w:val="24"/>
          <w:u w:val="single"/>
          <w:lang w:eastAsia="fr-FR"/>
        </w:rPr>
        <w:t>très fréquent</w:t>
      </w:r>
      <w:r w:rsidRPr="00D75D2E">
        <w:rPr>
          <w:rFonts w:ascii="Times New Roman" w:eastAsia="Times New Roman" w:hAnsi="Times New Roman"/>
          <w:sz w:val="24"/>
          <w:szCs w:val="24"/>
          <w:lang w:eastAsia="fr-FR"/>
        </w:rPr>
        <w:t xml:space="preserve">e les niveaux de gravité de </w:t>
      </w:r>
      <w:r w:rsidRPr="00D75D2E">
        <w:rPr>
          <w:rFonts w:ascii="Times New Roman" w:eastAsia="Times New Roman" w:hAnsi="Times New Roman"/>
          <w:sz w:val="24"/>
          <w:szCs w:val="24"/>
          <w:u w:val="single"/>
          <w:lang w:eastAsia="fr-FR"/>
        </w:rPr>
        <w:t xml:space="preserve">faible </w:t>
      </w:r>
      <w:r w:rsidRPr="00D75D2E">
        <w:rPr>
          <w:rFonts w:ascii="Times New Roman" w:eastAsia="Times New Roman" w:hAnsi="Times New Roman"/>
          <w:sz w:val="24"/>
          <w:szCs w:val="24"/>
          <w:lang w:eastAsia="fr-FR"/>
        </w:rPr>
        <w:t>à</w:t>
      </w:r>
      <w:r w:rsidRPr="00D75D2E">
        <w:rPr>
          <w:rFonts w:ascii="Times New Roman" w:eastAsia="Times New Roman" w:hAnsi="Times New Roman"/>
          <w:sz w:val="24"/>
          <w:szCs w:val="24"/>
          <w:u w:val="single"/>
          <w:lang w:eastAsia="fr-FR"/>
        </w:rPr>
        <w:t xml:space="preserve"> très grave </w:t>
      </w:r>
      <w:r w:rsidRPr="00D75D2E">
        <w:rPr>
          <w:rFonts w:ascii="Times New Roman" w:eastAsia="Times New Roman" w:hAnsi="Times New Roman"/>
          <w:sz w:val="24"/>
          <w:szCs w:val="24"/>
          <w:lang w:eastAsia="fr-FR"/>
        </w:rPr>
        <w:t xml:space="preserve">(cf. tableau </w:t>
      </w:r>
      <w:r w:rsidR="00E732DD">
        <w:rPr>
          <w:rFonts w:ascii="Times New Roman" w:eastAsia="Times New Roman" w:hAnsi="Times New Roman"/>
          <w:sz w:val="24"/>
          <w:szCs w:val="24"/>
          <w:lang w:eastAsia="fr-FR"/>
        </w:rPr>
        <w:t>43</w:t>
      </w:r>
      <w:r w:rsidRPr="00D75D2E">
        <w:rPr>
          <w:rFonts w:ascii="Times New Roman" w:eastAsia="Times New Roman" w:hAnsi="Times New Roman"/>
          <w:sz w:val="24"/>
          <w:szCs w:val="24"/>
          <w:lang w:eastAsia="fr-FR"/>
        </w:rPr>
        <w:t xml:space="preserve">). </w:t>
      </w:r>
    </w:p>
    <w:p w14:paraId="13AF2813" w14:textId="5021876C" w:rsidR="00ED17F3" w:rsidRPr="00E737B4" w:rsidRDefault="00ED17F3" w:rsidP="00E737B4">
      <w:pPr>
        <w:spacing w:after="120" w:line="240" w:lineRule="auto"/>
        <w:jc w:val="center"/>
        <w:rPr>
          <w:rFonts w:ascii="Times New Roman" w:eastAsia="Times New Roman" w:hAnsi="Times New Roman"/>
          <w:bCs/>
          <w:sz w:val="24"/>
        </w:rPr>
      </w:pPr>
      <w:bookmarkStart w:id="670" w:name="_Toc197877580"/>
      <w:bookmarkStart w:id="671" w:name="_Toc361737860"/>
      <w:bookmarkStart w:id="672" w:name="_Toc428646632"/>
      <w:bookmarkStart w:id="673" w:name="_Toc498380144"/>
      <w:bookmarkStart w:id="674" w:name="_Toc519048950"/>
      <w:bookmarkStart w:id="675" w:name="_Toc93050311"/>
      <w:r w:rsidRPr="00E737B4">
        <w:rPr>
          <w:rFonts w:ascii="Times New Roman" w:hAnsi="Times New Roman"/>
          <w:sz w:val="24"/>
        </w:rPr>
        <w:t xml:space="preserve">Tableau </w:t>
      </w:r>
      <w:r w:rsidRPr="00E737B4">
        <w:rPr>
          <w:rFonts w:ascii="Times New Roman" w:hAnsi="Times New Roman"/>
          <w:sz w:val="24"/>
        </w:rPr>
        <w:fldChar w:fldCharType="begin"/>
      </w:r>
      <w:r w:rsidRPr="00E737B4">
        <w:rPr>
          <w:rFonts w:ascii="Times New Roman" w:hAnsi="Times New Roman"/>
          <w:sz w:val="24"/>
        </w:rPr>
        <w:instrText xml:space="preserve"> SEQ Tableau \* ARABIC </w:instrText>
      </w:r>
      <w:r w:rsidRPr="00E737B4">
        <w:rPr>
          <w:rFonts w:ascii="Times New Roman" w:hAnsi="Times New Roman"/>
          <w:sz w:val="24"/>
        </w:rPr>
        <w:fldChar w:fldCharType="separate"/>
      </w:r>
      <w:r w:rsidR="00A86929">
        <w:rPr>
          <w:rFonts w:ascii="Times New Roman" w:hAnsi="Times New Roman"/>
          <w:noProof/>
          <w:sz w:val="24"/>
        </w:rPr>
        <w:t>49</w:t>
      </w:r>
      <w:r w:rsidRPr="00E737B4">
        <w:rPr>
          <w:rFonts w:ascii="Times New Roman" w:hAnsi="Times New Roman"/>
          <w:sz w:val="24"/>
        </w:rPr>
        <w:fldChar w:fldCharType="end"/>
      </w:r>
      <w:r w:rsidRPr="00E737B4">
        <w:rPr>
          <w:rFonts w:ascii="Times New Roman" w:hAnsi="Times New Roman"/>
          <w:sz w:val="24"/>
        </w:rPr>
        <w:t xml:space="preserve"> : </w:t>
      </w:r>
      <w:r w:rsidRPr="00E737B4">
        <w:rPr>
          <w:rFonts w:ascii="Times New Roman" w:eastAsia="Times New Roman" w:hAnsi="Times New Roman"/>
          <w:bCs/>
          <w:sz w:val="24"/>
        </w:rPr>
        <w:t>Niveaux des facteurs de la grille d’évaluation des risques</w:t>
      </w:r>
      <w:bookmarkEnd w:id="670"/>
      <w:bookmarkEnd w:id="671"/>
      <w:bookmarkEnd w:id="672"/>
      <w:bookmarkEnd w:id="673"/>
      <w:bookmarkEnd w:id="674"/>
      <w:bookmarkEnd w:id="6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902"/>
        <w:gridCol w:w="1996"/>
        <w:gridCol w:w="4042"/>
      </w:tblGrid>
      <w:tr w:rsidR="00D75D2E" w:rsidRPr="00420C1B" w14:paraId="621C987F" w14:textId="77777777" w:rsidTr="00574826">
        <w:trPr>
          <w:trHeight w:val="531"/>
          <w:jc w:val="center"/>
        </w:trPr>
        <w:tc>
          <w:tcPr>
            <w:tcW w:w="1733" w:type="pct"/>
            <w:gridSpan w:val="2"/>
            <w:shd w:val="clear" w:color="auto" w:fill="92D050"/>
            <w:vAlign w:val="center"/>
          </w:tcPr>
          <w:p w14:paraId="41A12CBB"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Echelle de probabilité (P)</w:t>
            </w:r>
          </w:p>
        </w:tc>
        <w:tc>
          <w:tcPr>
            <w:tcW w:w="3267" w:type="pct"/>
            <w:gridSpan w:val="2"/>
            <w:shd w:val="clear" w:color="auto" w:fill="92D050"/>
            <w:vAlign w:val="center"/>
          </w:tcPr>
          <w:p w14:paraId="5F3DD4E1"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Echelle de gravité (G)</w:t>
            </w:r>
          </w:p>
        </w:tc>
      </w:tr>
      <w:tr w:rsidR="00D75D2E" w:rsidRPr="00420C1B" w14:paraId="75D7505E" w14:textId="77777777" w:rsidTr="00574826">
        <w:trPr>
          <w:trHeight w:val="291"/>
          <w:jc w:val="center"/>
        </w:trPr>
        <w:tc>
          <w:tcPr>
            <w:tcW w:w="704" w:type="pct"/>
            <w:shd w:val="clear" w:color="auto" w:fill="E0E0E0"/>
            <w:vAlign w:val="center"/>
          </w:tcPr>
          <w:p w14:paraId="7E133B64"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Score</w:t>
            </w:r>
          </w:p>
        </w:tc>
        <w:tc>
          <w:tcPr>
            <w:tcW w:w="1029" w:type="pct"/>
            <w:shd w:val="clear" w:color="auto" w:fill="92D050"/>
            <w:vAlign w:val="center"/>
          </w:tcPr>
          <w:p w14:paraId="42DA63D0"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Signification</w:t>
            </w:r>
          </w:p>
        </w:tc>
        <w:tc>
          <w:tcPr>
            <w:tcW w:w="1080" w:type="pct"/>
            <w:shd w:val="clear" w:color="auto" w:fill="92D050"/>
            <w:vAlign w:val="center"/>
          </w:tcPr>
          <w:p w14:paraId="4F33FF66"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Score</w:t>
            </w:r>
          </w:p>
        </w:tc>
        <w:tc>
          <w:tcPr>
            <w:tcW w:w="2187" w:type="pct"/>
            <w:shd w:val="clear" w:color="auto" w:fill="92D050"/>
            <w:vAlign w:val="center"/>
          </w:tcPr>
          <w:p w14:paraId="18D9C7EB" w14:textId="77777777" w:rsidR="00ED17F3" w:rsidRPr="00D75D2E" w:rsidRDefault="00ED17F3" w:rsidP="007108ED">
            <w:pPr>
              <w:autoSpaceDE w:val="0"/>
              <w:autoSpaceDN w:val="0"/>
              <w:adjustRightInd w:val="0"/>
              <w:spacing w:after="0" w:line="240" w:lineRule="auto"/>
              <w:jc w:val="center"/>
              <w:rPr>
                <w:rFonts w:ascii="Times New Roman" w:eastAsia="Times New Roman" w:hAnsi="Times New Roman"/>
                <w:lang w:eastAsia="fr-FR"/>
              </w:rPr>
            </w:pPr>
            <w:r w:rsidRPr="00D75D2E">
              <w:rPr>
                <w:rFonts w:ascii="Times New Roman" w:eastAsia="Times New Roman" w:hAnsi="Times New Roman"/>
                <w:lang w:eastAsia="fr-FR"/>
              </w:rPr>
              <w:t>Signification</w:t>
            </w:r>
          </w:p>
        </w:tc>
      </w:tr>
      <w:tr w:rsidR="00D75D2E" w:rsidRPr="00420C1B" w14:paraId="510AAFC7" w14:textId="77777777" w:rsidTr="007B2F2C">
        <w:trPr>
          <w:trHeight w:val="70"/>
          <w:jc w:val="center"/>
        </w:trPr>
        <w:tc>
          <w:tcPr>
            <w:tcW w:w="704" w:type="pct"/>
            <w:vAlign w:val="center"/>
          </w:tcPr>
          <w:p w14:paraId="603329B9"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P1 </w:t>
            </w:r>
          </w:p>
        </w:tc>
        <w:tc>
          <w:tcPr>
            <w:tcW w:w="1029" w:type="pct"/>
            <w:vAlign w:val="center"/>
          </w:tcPr>
          <w:p w14:paraId="25D4768D"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Très improbable</w:t>
            </w:r>
          </w:p>
        </w:tc>
        <w:tc>
          <w:tcPr>
            <w:tcW w:w="1080" w:type="pct"/>
            <w:vAlign w:val="center"/>
          </w:tcPr>
          <w:p w14:paraId="62D4B89E"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G1 = faible</w:t>
            </w:r>
          </w:p>
        </w:tc>
        <w:tc>
          <w:tcPr>
            <w:tcW w:w="2187" w:type="pct"/>
            <w:vAlign w:val="center"/>
          </w:tcPr>
          <w:p w14:paraId="15BB647C"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Accident ou maladie sans arrêt de travail</w:t>
            </w:r>
          </w:p>
        </w:tc>
      </w:tr>
      <w:tr w:rsidR="00D75D2E" w:rsidRPr="00420C1B" w14:paraId="46DE7004" w14:textId="77777777" w:rsidTr="007B2F2C">
        <w:trPr>
          <w:trHeight w:val="70"/>
          <w:jc w:val="center"/>
        </w:trPr>
        <w:tc>
          <w:tcPr>
            <w:tcW w:w="704" w:type="pct"/>
            <w:vAlign w:val="center"/>
          </w:tcPr>
          <w:p w14:paraId="2206511E"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P2</w:t>
            </w:r>
          </w:p>
        </w:tc>
        <w:tc>
          <w:tcPr>
            <w:tcW w:w="1029" w:type="pct"/>
            <w:vAlign w:val="center"/>
          </w:tcPr>
          <w:p w14:paraId="6762ADFC"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Improbable</w:t>
            </w:r>
          </w:p>
        </w:tc>
        <w:tc>
          <w:tcPr>
            <w:tcW w:w="1080" w:type="pct"/>
            <w:vAlign w:val="center"/>
          </w:tcPr>
          <w:p w14:paraId="4FB97E54"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G2 = moyenne</w:t>
            </w:r>
          </w:p>
        </w:tc>
        <w:tc>
          <w:tcPr>
            <w:tcW w:w="2187" w:type="pct"/>
            <w:vAlign w:val="center"/>
          </w:tcPr>
          <w:p w14:paraId="1A3037EE"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Accident ou maladie avec arrêt de travail</w:t>
            </w:r>
          </w:p>
        </w:tc>
      </w:tr>
      <w:tr w:rsidR="00D75D2E" w:rsidRPr="00420C1B" w14:paraId="40AD0A73" w14:textId="77777777" w:rsidTr="007B2F2C">
        <w:trPr>
          <w:trHeight w:val="70"/>
          <w:jc w:val="center"/>
        </w:trPr>
        <w:tc>
          <w:tcPr>
            <w:tcW w:w="704" w:type="pct"/>
            <w:vAlign w:val="center"/>
          </w:tcPr>
          <w:p w14:paraId="5E7C1907"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P3</w:t>
            </w:r>
          </w:p>
        </w:tc>
        <w:tc>
          <w:tcPr>
            <w:tcW w:w="1029" w:type="pct"/>
            <w:vAlign w:val="center"/>
          </w:tcPr>
          <w:p w14:paraId="59D8F7A2"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Probable</w:t>
            </w:r>
          </w:p>
        </w:tc>
        <w:tc>
          <w:tcPr>
            <w:tcW w:w="1080" w:type="pct"/>
            <w:vAlign w:val="center"/>
          </w:tcPr>
          <w:p w14:paraId="73A0F6BD"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G3 = grave</w:t>
            </w:r>
          </w:p>
        </w:tc>
        <w:tc>
          <w:tcPr>
            <w:tcW w:w="2187" w:type="pct"/>
            <w:vAlign w:val="center"/>
          </w:tcPr>
          <w:p w14:paraId="0126984A"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Accident ou maladie avec incapacité permanente partielle</w:t>
            </w:r>
          </w:p>
        </w:tc>
      </w:tr>
      <w:tr w:rsidR="00D75D2E" w:rsidRPr="00420C1B" w14:paraId="458DBD0A" w14:textId="77777777" w:rsidTr="007B2F2C">
        <w:trPr>
          <w:trHeight w:val="70"/>
          <w:jc w:val="center"/>
        </w:trPr>
        <w:tc>
          <w:tcPr>
            <w:tcW w:w="704" w:type="pct"/>
            <w:vAlign w:val="center"/>
          </w:tcPr>
          <w:p w14:paraId="4976C721"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P4</w:t>
            </w:r>
          </w:p>
        </w:tc>
        <w:tc>
          <w:tcPr>
            <w:tcW w:w="1029" w:type="pct"/>
            <w:vAlign w:val="center"/>
          </w:tcPr>
          <w:p w14:paraId="6CC20AC3" w14:textId="77777777" w:rsidR="00ED17F3" w:rsidRPr="00D75D2E" w:rsidRDefault="00ED17F3" w:rsidP="007108ED">
            <w:pPr>
              <w:autoSpaceDE w:val="0"/>
              <w:autoSpaceDN w:val="0"/>
              <w:adjustRightInd w:val="0"/>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Très probable</w:t>
            </w:r>
          </w:p>
        </w:tc>
        <w:tc>
          <w:tcPr>
            <w:tcW w:w="1080" w:type="pct"/>
            <w:vAlign w:val="center"/>
          </w:tcPr>
          <w:p w14:paraId="6B23C982" w14:textId="77777777" w:rsidR="00ED17F3" w:rsidRPr="00D75D2E" w:rsidRDefault="00ED17F3" w:rsidP="007108ED">
            <w:pPr>
              <w:autoSpaceDE w:val="0"/>
              <w:autoSpaceDN w:val="0"/>
              <w:adjustRightInd w:val="0"/>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G4 = très grave</w:t>
            </w:r>
          </w:p>
        </w:tc>
        <w:tc>
          <w:tcPr>
            <w:tcW w:w="2187" w:type="pct"/>
            <w:vAlign w:val="center"/>
          </w:tcPr>
          <w:p w14:paraId="56F66501" w14:textId="77777777" w:rsidR="00ED17F3" w:rsidRPr="00D75D2E" w:rsidRDefault="00ED17F3" w:rsidP="007108ED">
            <w:pPr>
              <w:autoSpaceDE w:val="0"/>
              <w:autoSpaceDN w:val="0"/>
              <w:adjustRightInd w:val="0"/>
              <w:spacing w:after="0" w:line="240" w:lineRule="auto"/>
              <w:ind w:left="71"/>
              <w:rPr>
                <w:rFonts w:ascii="Times New Roman" w:eastAsia="Times New Roman" w:hAnsi="Times New Roman"/>
                <w:lang w:eastAsia="fr-FR"/>
              </w:rPr>
            </w:pPr>
            <w:r w:rsidRPr="00D75D2E">
              <w:rPr>
                <w:rFonts w:ascii="Times New Roman" w:eastAsia="Times New Roman" w:hAnsi="Times New Roman"/>
                <w:lang w:eastAsia="fr-FR"/>
              </w:rPr>
              <w:t>Accident ou maladie mortelle</w:t>
            </w:r>
          </w:p>
        </w:tc>
      </w:tr>
    </w:tbl>
    <w:p w14:paraId="699A1520" w14:textId="77777777" w:rsidR="001D3B32" w:rsidRPr="00E737B4" w:rsidRDefault="00ED17F3" w:rsidP="00E737B4">
      <w:pPr>
        <w:spacing w:before="120" w:after="120" w:line="240" w:lineRule="auto"/>
        <w:rPr>
          <w:rFonts w:ascii="Times New Roman" w:eastAsia="Times New Roman" w:hAnsi="Times New Roman"/>
          <w:sz w:val="24"/>
          <w:szCs w:val="24"/>
          <w:u w:val="single"/>
          <w:lang w:eastAsia="fr-FR"/>
        </w:rPr>
      </w:pPr>
      <w:r w:rsidRPr="00E737B4">
        <w:rPr>
          <w:rFonts w:ascii="Times New Roman" w:eastAsia="Times New Roman" w:hAnsi="Times New Roman"/>
          <w:sz w:val="24"/>
          <w:szCs w:val="24"/>
          <w:lang w:eastAsia="fr-FR"/>
        </w:rPr>
        <w:t xml:space="preserve">Le croisement de la fréquence et de la gravité donne le </w:t>
      </w:r>
      <w:r w:rsidRPr="00E737B4">
        <w:rPr>
          <w:rFonts w:ascii="Times New Roman" w:eastAsia="Times New Roman" w:hAnsi="Times New Roman"/>
          <w:sz w:val="24"/>
          <w:szCs w:val="24"/>
          <w:u w:val="single"/>
          <w:lang w:eastAsia="fr-FR"/>
        </w:rPr>
        <w:t>niveau de priorité</w:t>
      </w:r>
    </w:p>
    <w:p w14:paraId="57296D6D" w14:textId="77777777" w:rsidR="00FB3D81" w:rsidRPr="00E737B4" w:rsidRDefault="00FB3D81" w:rsidP="00FB3D81">
      <w:pPr>
        <w:spacing w:after="0" w:line="240" w:lineRule="auto"/>
        <w:rPr>
          <w:rFonts w:ascii="Times New Roman" w:hAnsi="Times New Roman"/>
          <w:bCs/>
          <w:i/>
          <w:sz w:val="24"/>
          <w:szCs w:val="24"/>
        </w:rPr>
      </w:pPr>
      <w:r w:rsidRPr="00E737B4">
        <w:rPr>
          <w:rFonts w:ascii="Times New Roman" w:hAnsi="Times New Roman"/>
          <w:bCs/>
          <w:i/>
          <w:sz w:val="24"/>
          <w:szCs w:val="24"/>
          <w:u w:val="single"/>
        </w:rPr>
        <w:t>Source </w:t>
      </w:r>
      <w:r w:rsidRPr="00E737B4">
        <w:rPr>
          <w:rFonts w:ascii="Times New Roman" w:hAnsi="Times New Roman"/>
          <w:bCs/>
          <w:i/>
          <w:sz w:val="24"/>
          <w:szCs w:val="24"/>
        </w:rPr>
        <w:t xml:space="preserve">: Mission d’élaboration de l’EIES DKC </w:t>
      </w:r>
      <w:r w:rsidR="00124BDB">
        <w:rPr>
          <w:rFonts w:ascii="Times New Roman" w:hAnsi="Times New Roman"/>
          <w:bCs/>
          <w:i/>
          <w:sz w:val="24"/>
          <w:szCs w:val="24"/>
        </w:rPr>
        <w:t xml:space="preserve">&amp; </w:t>
      </w:r>
      <w:r w:rsidRPr="00E737B4">
        <w:rPr>
          <w:rFonts w:ascii="Times New Roman" w:hAnsi="Times New Roman"/>
          <w:bCs/>
          <w:i/>
          <w:sz w:val="24"/>
          <w:szCs w:val="24"/>
        </w:rPr>
        <w:t>DKO</w:t>
      </w:r>
      <w:r w:rsidR="00124BDB">
        <w:rPr>
          <w:rFonts w:ascii="Times New Roman" w:hAnsi="Times New Roman"/>
          <w:bCs/>
          <w:i/>
          <w:sz w:val="24"/>
          <w:szCs w:val="24"/>
        </w:rPr>
        <w:t>,</w:t>
      </w:r>
      <w:r w:rsidRPr="00E737B4">
        <w:rPr>
          <w:rFonts w:ascii="Times New Roman" w:hAnsi="Times New Roman"/>
          <w:bCs/>
          <w:i/>
          <w:sz w:val="24"/>
          <w:szCs w:val="24"/>
        </w:rPr>
        <w:t xml:space="preserve"> juillet 2021</w:t>
      </w:r>
    </w:p>
    <w:p w14:paraId="6B57D1A7" w14:textId="77777777" w:rsidR="00FB3D81" w:rsidRPr="00D75D2E" w:rsidRDefault="00FB3D81" w:rsidP="00ED17F3">
      <w:pPr>
        <w:spacing w:after="0" w:line="240" w:lineRule="auto"/>
        <w:rPr>
          <w:rFonts w:ascii="Times New Roman" w:eastAsia="Times New Roman" w:hAnsi="Times New Roman"/>
          <w:u w:val="single"/>
          <w:lang w:eastAsia="fr-FR"/>
        </w:rPr>
      </w:pPr>
    </w:p>
    <w:p w14:paraId="2312D274" w14:textId="77777777" w:rsidR="001D3B32" w:rsidRPr="00D75D2E" w:rsidRDefault="001D3B32">
      <w:pPr>
        <w:rPr>
          <w:rFonts w:ascii="Times New Roman" w:eastAsia="Times New Roman" w:hAnsi="Times New Roman"/>
          <w:u w:val="single"/>
          <w:lang w:eastAsia="fr-FR"/>
        </w:rPr>
      </w:pPr>
      <w:r w:rsidRPr="00D75D2E">
        <w:rPr>
          <w:rFonts w:ascii="Times New Roman" w:eastAsia="Times New Roman" w:hAnsi="Times New Roman"/>
          <w:u w:val="single"/>
          <w:lang w:eastAsia="fr-FR"/>
        </w:rPr>
        <w:br w:type="page"/>
      </w:r>
    </w:p>
    <w:p w14:paraId="24207D71" w14:textId="3CABEFBC" w:rsidR="00787EE3" w:rsidRDefault="002C66D7" w:rsidP="00ED17F3">
      <w:pPr>
        <w:spacing w:after="0" w:line="240" w:lineRule="auto"/>
        <w:jc w:val="center"/>
        <w:rPr>
          <w:rFonts w:ascii="Times New Roman" w:hAnsi="Times New Roman"/>
        </w:rPr>
      </w:pPr>
      <w:bookmarkStart w:id="676" w:name="_Toc197877581"/>
      <w:bookmarkStart w:id="677" w:name="_Toc361737861"/>
      <w:bookmarkStart w:id="678" w:name="_Toc428646633"/>
      <w:bookmarkStart w:id="679" w:name="_Toc498380145"/>
      <w:bookmarkStart w:id="680" w:name="_Toc519048951"/>
      <w:r>
        <w:rPr>
          <w:noProof/>
          <w:lang w:eastAsia="fr-FR"/>
        </w:rPr>
        <mc:AlternateContent>
          <mc:Choice Requires="wps">
            <w:drawing>
              <wp:anchor distT="0" distB="0" distL="114300" distR="114300" simplePos="0" relativeHeight="251666944" behindDoc="0" locked="0" layoutInCell="1" allowOverlap="1" wp14:anchorId="79F8A6D5" wp14:editId="55EE93E1">
                <wp:simplePos x="0" y="0"/>
                <wp:positionH relativeFrom="column">
                  <wp:posOffset>198120</wp:posOffset>
                </wp:positionH>
                <wp:positionV relativeFrom="paragraph">
                  <wp:posOffset>13335</wp:posOffset>
                </wp:positionV>
                <wp:extent cx="2751455" cy="1440180"/>
                <wp:effectExtent l="0" t="0" r="10795" b="26670"/>
                <wp:wrapNone/>
                <wp:docPr id="9"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1440180"/>
                        </a:xfrm>
                        <a:prstGeom prst="rect">
                          <a:avLst/>
                        </a:prstGeom>
                        <a:noFill/>
                        <a:ln w="6350">
                          <a:solidFill>
                            <a:prstClr val="black"/>
                          </a:solidFill>
                        </a:ln>
                        <a:effectLst/>
                      </wps:spPr>
                      <wps:txbx>
                        <w:txbxContent>
                          <w:p w14:paraId="65E95C3A" w14:textId="0D693BC3" w:rsidR="0075784E" w:rsidRPr="00D75D2E" w:rsidRDefault="0075784E" w:rsidP="00787EE3">
                            <w:pPr>
                              <w:pStyle w:val="Lgende"/>
                              <w:keepNext/>
                              <w:spacing w:after="0"/>
                              <w:jc w:val="center"/>
                              <w:rPr>
                                <w:color w:val="auto"/>
                              </w:rPr>
                            </w:pPr>
                            <w:bookmarkStart w:id="681" w:name="_Toc93050312"/>
                            <w:r w:rsidRPr="00D75D2E">
                              <w:rPr>
                                <w:color w:val="auto"/>
                              </w:rPr>
                              <w:t xml:space="preserve">Tableau </w:t>
                            </w:r>
                            <w:r w:rsidRPr="00D75D2E">
                              <w:rPr>
                                <w:noProof/>
                                <w:color w:val="auto"/>
                              </w:rPr>
                              <w:fldChar w:fldCharType="begin"/>
                            </w:r>
                            <w:r w:rsidRPr="00D75D2E">
                              <w:rPr>
                                <w:noProof/>
                                <w:color w:val="auto"/>
                              </w:rPr>
                              <w:instrText xml:space="preserve"> SEQ Tableau \* ARABIC </w:instrText>
                            </w:r>
                            <w:r w:rsidRPr="00D75D2E">
                              <w:rPr>
                                <w:noProof/>
                                <w:color w:val="auto"/>
                              </w:rPr>
                              <w:fldChar w:fldCharType="separate"/>
                            </w:r>
                            <w:r>
                              <w:rPr>
                                <w:noProof/>
                                <w:color w:val="auto"/>
                              </w:rPr>
                              <w:t>50</w:t>
                            </w:r>
                            <w:r w:rsidRPr="00D75D2E">
                              <w:rPr>
                                <w:noProof/>
                                <w:color w:val="auto"/>
                              </w:rPr>
                              <w:fldChar w:fldCharType="end"/>
                            </w:r>
                            <w:r w:rsidRPr="00D75D2E">
                              <w:rPr>
                                <w:color w:val="auto"/>
                              </w:rPr>
                              <w:t> : Signification des couleurs</w:t>
                            </w:r>
                            <w:bookmarkEnd w:id="681"/>
                          </w:p>
                          <w:tbl>
                            <w:tblPr>
                              <w:tblW w:w="2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
                              <w:gridCol w:w="1985"/>
                            </w:tblGrid>
                            <w:tr w:rsidR="0075784E" w:rsidRPr="00420C1B" w14:paraId="452A2C68" w14:textId="77777777" w:rsidTr="00E300EB">
                              <w:trPr>
                                <w:trHeight w:val="347"/>
                                <w:jc w:val="center"/>
                              </w:trPr>
                              <w:tc>
                                <w:tcPr>
                                  <w:tcW w:w="568" w:type="dxa"/>
                                  <w:shd w:val="clear" w:color="auto" w:fill="FF0000"/>
                                  <w:noWrap/>
                                  <w:vAlign w:val="bottom"/>
                                </w:tcPr>
                                <w:p w14:paraId="44840FDC"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19614F41"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1</w:t>
                                  </w:r>
                                </w:p>
                              </w:tc>
                            </w:tr>
                            <w:tr w:rsidR="0075784E" w:rsidRPr="00420C1B" w14:paraId="5D3DAE8E" w14:textId="77777777" w:rsidTr="00E300EB">
                              <w:trPr>
                                <w:trHeight w:val="343"/>
                                <w:jc w:val="center"/>
                              </w:trPr>
                              <w:tc>
                                <w:tcPr>
                                  <w:tcW w:w="568" w:type="dxa"/>
                                  <w:tcBorders>
                                    <w:bottom w:val="single" w:sz="4" w:space="0" w:color="auto"/>
                                  </w:tcBorders>
                                  <w:shd w:val="clear" w:color="auto" w:fill="FFFF00"/>
                                  <w:noWrap/>
                                  <w:vAlign w:val="bottom"/>
                                </w:tcPr>
                                <w:p w14:paraId="7DF669AB"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7140C7CB"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2</w:t>
                                  </w:r>
                                </w:p>
                              </w:tc>
                            </w:tr>
                            <w:tr w:rsidR="0075784E" w:rsidRPr="00420C1B" w14:paraId="0A7BF988" w14:textId="77777777" w:rsidTr="00E300EB">
                              <w:trPr>
                                <w:trHeight w:val="375"/>
                                <w:jc w:val="center"/>
                              </w:trPr>
                              <w:tc>
                                <w:tcPr>
                                  <w:tcW w:w="568" w:type="dxa"/>
                                  <w:shd w:val="clear" w:color="auto" w:fill="00FF00"/>
                                  <w:noWrap/>
                                  <w:vAlign w:val="bottom"/>
                                </w:tcPr>
                                <w:p w14:paraId="225E6883"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1ADC24C9"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3</w:t>
                                  </w:r>
                                </w:p>
                              </w:tc>
                            </w:tr>
                          </w:tbl>
                          <w:p w14:paraId="512086F6" w14:textId="77777777" w:rsidR="0075784E" w:rsidRDefault="00757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8A6D5" id="Zone de texte 8" o:spid="_x0000_s1028" type="#_x0000_t202" style="position:absolute;left:0;text-align:left;margin-left:15.6pt;margin-top:1.05pt;width:216.65pt;height:113.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" filled="f" strokeweight=".5pt">
                <v:path arrowok="t"/>
                <v:textbox>
                  <w:txbxContent>
                    <w:p w14:paraId="65E95C3A" w14:textId="0D693BC3" w:rsidR="0075784E" w:rsidRPr="00D75D2E" w:rsidRDefault="0075784E" w:rsidP="00787EE3">
                      <w:pPr>
                        <w:pStyle w:val="Lgende"/>
                        <w:keepNext/>
                        <w:spacing w:after="0"/>
                        <w:jc w:val="center"/>
                        <w:rPr>
                          <w:color w:val="auto"/>
                        </w:rPr>
                      </w:pPr>
                      <w:bookmarkStart w:id="682" w:name="_Toc93050312"/>
                      <w:r w:rsidRPr="00D75D2E">
                        <w:rPr>
                          <w:color w:val="auto"/>
                        </w:rPr>
                        <w:t xml:space="preserve">Tableau </w:t>
                      </w:r>
                      <w:r w:rsidRPr="00D75D2E">
                        <w:rPr>
                          <w:noProof/>
                          <w:color w:val="auto"/>
                        </w:rPr>
                        <w:fldChar w:fldCharType="begin"/>
                      </w:r>
                      <w:r w:rsidRPr="00D75D2E">
                        <w:rPr>
                          <w:noProof/>
                          <w:color w:val="auto"/>
                        </w:rPr>
                        <w:instrText xml:space="preserve"> SEQ Tableau \* ARABIC </w:instrText>
                      </w:r>
                      <w:r w:rsidRPr="00D75D2E">
                        <w:rPr>
                          <w:noProof/>
                          <w:color w:val="auto"/>
                        </w:rPr>
                        <w:fldChar w:fldCharType="separate"/>
                      </w:r>
                      <w:r>
                        <w:rPr>
                          <w:noProof/>
                          <w:color w:val="auto"/>
                        </w:rPr>
                        <w:t>50</w:t>
                      </w:r>
                      <w:r w:rsidRPr="00D75D2E">
                        <w:rPr>
                          <w:noProof/>
                          <w:color w:val="auto"/>
                        </w:rPr>
                        <w:fldChar w:fldCharType="end"/>
                      </w:r>
                      <w:r w:rsidRPr="00D75D2E">
                        <w:rPr>
                          <w:color w:val="auto"/>
                        </w:rPr>
                        <w:t> : Signification des couleurs</w:t>
                      </w:r>
                      <w:bookmarkEnd w:id="682"/>
                    </w:p>
                    <w:tbl>
                      <w:tblPr>
                        <w:tblW w:w="2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
                        <w:gridCol w:w="1985"/>
                      </w:tblGrid>
                      <w:tr w:rsidR="0075784E" w:rsidRPr="00420C1B" w14:paraId="452A2C68" w14:textId="77777777" w:rsidTr="00E300EB">
                        <w:trPr>
                          <w:trHeight w:val="347"/>
                          <w:jc w:val="center"/>
                        </w:trPr>
                        <w:tc>
                          <w:tcPr>
                            <w:tcW w:w="568" w:type="dxa"/>
                            <w:shd w:val="clear" w:color="auto" w:fill="FF0000"/>
                            <w:noWrap/>
                            <w:vAlign w:val="bottom"/>
                          </w:tcPr>
                          <w:p w14:paraId="44840FDC"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19614F41"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1</w:t>
                            </w:r>
                          </w:p>
                        </w:tc>
                      </w:tr>
                      <w:tr w:rsidR="0075784E" w:rsidRPr="00420C1B" w14:paraId="5D3DAE8E" w14:textId="77777777" w:rsidTr="00E300EB">
                        <w:trPr>
                          <w:trHeight w:val="343"/>
                          <w:jc w:val="center"/>
                        </w:trPr>
                        <w:tc>
                          <w:tcPr>
                            <w:tcW w:w="568" w:type="dxa"/>
                            <w:tcBorders>
                              <w:bottom w:val="single" w:sz="4" w:space="0" w:color="auto"/>
                            </w:tcBorders>
                            <w:shd w:val="clear" w:color="auto" w:fill="FFFF00"/>
                            <w:noWrap/>
                            <w:vAlign w:val="bottom"/>
                          </w:tcPr>
                          <w:p w14:paraId="7DF669AB"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7140C7CB"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2</w:t>
                            </w:r>
                          </w:p>
                        </w:tc>
                      </w:tr>
                      <w:tr w:rsidR="0075784E" w:rsidRPr="00420C1B" w14:paraId="0A7BF988" w14:textId="77777777" w:rsidTr="00E300EB">
                        <w:trPr>
                          <w:trHeight w:val="375"/>
                          <w:jc w:val="center"/>
                        </w:trPr>
                        <w:tc>
                          <w:tcPr>
                            <w:tcW w:w="568" w:type="dxa"/>
                            <w:shd w:val="clear" w:color="auto" w:fill="00FF00"/>
                            <w:noWrap/>
                            <w:vAlign w:val="bottom"/>
                          </w:tcPr>
                          <w:p w14:paraId="225E6883" w14:textId="77777777" w:rsidR="0075784E" w:rsidRPr="00D75D2E" w:rsidRDefault="0075784E" w:rsidP="00E300EB">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w:t>
                            </w:r>
                          </w:p>
                        </w:tc>
                        <w:tc>
                          <w:tcPr>
                            <w:tcW w:w="1985" w:type="dxa"/>
                            <w:shd w:val="clear" w:color="auto" w:fill="auto"/>
                            <w:noWrap/>
                            <w:vAlign w:val="center"/>
                          </w:tcPr>
                          <w:p w14:paraId="1ADC24C9"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Priorité 3</w:t>
                            </w:r>
                          </w:p>
                        </w:tc>
                      </w:tr>
                    </w:tbl>
                    <w:p w14:paraId="512086F6" w14:textId="77777777" w:rsidR="0075784E" w:rsidRDefault="0075784E"/>
                  </w:txbxContent>
                </v:textbox>
              </v:shape>
            </w:pict>
          </mc:Fallback>
        </mc:AlternateContent>
      </w:r>
      <w:r>
        <w:rPr>
          <w:noProof/>
          <w:lang w:eastAsia="fr-FR"/>
        </w:rPr>
        <mc:AlternateContent>
          <mc:Choice Requires="wps">
            <w:drawing>
              <wp:anchor distT="0" distB="0" distL="114300" distR="114300" simplePos="0" relativeHeight="251663872" behindDoc="0" locked="0" layoutInCell="1" allowOverlap="1" wp14:anchorId="17423566" wp14:editId="4CDE26F7">
                <wp:simplePos x="0" y="0"/>
                <wp:positionH relativeFrom="margin">
                  <wp:align>right</wp:align>
                </wp:positionH>
                <wp:positionV relativeFrom="paragraph">
                  <wp:posOffset>4445</wp:posOffset>
                </wp:positionV>
                <wp:extent cx="2751455" cy="1440180"/>
                <wp:effectExtent l="0" t="0" r="10795" b="26670"/>
                <wp:wrapNone/>
                <wp:docPr id="8"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1455" cy="1440180"/>
                        </a:xfrm>
                        <a:prstGeom prst="rect">
                          <a:avLst/>
                        </a:prstGeom>
                        <a:noFill/>
                        <a:ln w="6350">
                          <a:solidFill>
                            <a:prstClr val="black"/>
                          </a:solidFill>
                        </a:ln>
                        <a:effectLst/>
                      </wps:spPr>
                      <wps:txbx>
                        <w:txbxContent>
                          <w:p w14:paraId="0B108796" w14:textId="192670F9" w:rsidR="0075784E" w:rsidRPr="00D75D2E" w:rsidRDefault="0075784E" w:rsidP="00787EE3">
                            <w:pPr>
                              <w:spacing w:after="0" w:line="240" w:lineRule="auto"/>
                              <w:jc w:val="center"/>
                              <w:rPr>
                                <w:rFonts w:ascii="Times New Roman" w:eastAsia="Times New Roman" w:hAnsi="Times New Roman"/>
                                <w:bCs/>
                              </w:rPr>
                            </w:pPr>
                            <w:bookmarkStart w:id="683" w:name="_Toc93050313"/>
                            <w:r w:rsidRPr="00D75D2E">
                              <w:rPr>
                                <w:rFonts w:ascii="Times New Roman" w:hAnsi="Times New Roman"/>
                              </w:rPr>
                              <w:t xml:space="preserve">Tableau </w:t>
                            </w:r>
                            <w:r w:rsidRPr="00D75D2E">
                              <w:rPr>
                                <w:rFonts w:ascii="Times New Roman" w:hAnsi="Times New Roman"/>
                              </w:rPr>
                              <w:fldChar w:fldCharType="begin"/>
                            </w:r>
                            <w:r w:rsidRPr="00D75D2E">
                              <w:rPr>
                                <w:rFonts w:ascii="Times New Roman" w:hAnsi="Times New Roman"/>
                              </w:rPr>
                              <w:instrText xml:space="preserve"> SEQ Tableau \* ARABIC </w:instrText>
                            </w:r>
                            <w:r w:rsidRPr="00D75D2E">
                              <w:rPr>
                                <w:rFonts w:ascii="Times New Roman" w:hAnsi="Times New Roman"/>
                              </w:rPr>
                              <w:fldChar w:fldCharType="separate"/>
                            </w:r>
                            <w:r>
                              <w:rPr>
                                <w:rFonts w:ascii="Times New Roman" w:hAnsi="Times New Roman"/>
                                <w:noProof/>
                              </w:rPr>
                              <w:t>51</w:t>
                            </w:r>
                            <w:r w:rsidRPr="00D75D2E">
                              <w:rPr>
                                <w:rFonts w:ascii="Times New Roman" w:hAnsi="Times New Roman"/>
                              </w:rPr>
                              <w:fldChar w:fldCharType="end"/>
                            </w:r>
                            <w:r w:rsidRPr="00D75D2E">
                              <w:rPr>
                                <w:rFonts w:ascii="Times New Roman" w:hAnsi="Times New Roman"/>
                              </w:rPr>
                              <w:t> :</w:t>
                            </w:r>
                            <w:r w:rsidRPr="00D75D2E">
                              <w:rPr>
                                <w:rFonts w:ascii="Times New Roman" w:eastAsia="Times New Roman" w:hAnsi="Times New Roman"/>
                                <w:bCs/>
                              </w:rPr>
                              <w:t xml:space="preserve"> Grille d’évaluation des risques</w:t>
                            </w:r>
                            <w:bookmarkEnd w:id="6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850"/>
                              <w:gridCol w:w="709"/>
                              <w:gridCol w:w="709"/>
                            </w:tblGrid>
                            <w:tr w:rsidR="0075784E" w:rsidRPr="00420C1B" w14:paraId="7F48E92F" w14:textId="77777777" w:rsidTr="00E300EB">
                              <w:trPr>
                                <w:trHeight w:val="247"/>
                                <w:jc w:val="center"/>
                              </w:trPr>
                              <w:tc>
                                <w:tcPr>
                                  <w:tcW w:w="567" w:type="dxa"/>
                                  <w:vAlign w:val="center"/>
                                </w:tcPr>
                                <w:p w14:paraId="142E451C"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851" w:type="dxa"/>
                                  <w:tcBorders>
                                    <w:bottom w:val="single" w:sz="4" w:space="0" w:color="auto"/>
                                  </w:tcBorders>
                                  <w:shd w:val="clear" w:color="auto" w:fill="auto"/>
                                  <w:vAlign w:val="center"/>
                                </w:tcPr>
                                <w:p w14:paraId="4E1DFED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P1</w:t>
                                  </w:r>
                                </w:p>
                              </w:tc>
                              <w:tc>
                                <w:tcPr>
                                  <w:tcW w:w="850" w:type="dxa"/>
                                  <w:tcBorders>
                                    <w:bottom w:val="single" w:sz="4" w:space="0" w:color="auto"/>
                                  </w:tcBorders>
                                  <w:shd w:val="clear" w:color="auto" w:fill="auto"/>
                                  <w:vAlign w:val="center"/>
                                </w:tcPr>
                                <w:p w14:paraId="6FC561E1"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P2</w:t>
                                  </w:r>
                                </w:p>
                              </w:tc>
                              <w:tc>
                                <w:tcPr>
                                  <w:tcW w:w="709" w:type="dxa"/>
                                  <w:tcBorders>
                                    <w:bottom w:val="single" w:sz="4" w:space="0" w:color="auto"/>
                                  </w:tcBorders>
                                  <w:shd w:val="clear" w:color="auto" w:fill="auto"/>
                                  <w:vAlign w:val="center"/>
                                </w:tcPr>
                                <w:p w14:paraId="0248D94C"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c>
                                <w:tcPr>
                                  <w:tcW w:w="709" w:type="dxa"/>
                                  <w:tcBorders>
                                    <w:bottom w:val="single" w:sz="4" w:space="0" w:color="auto"/>
                                  </w:tcBorders>
                                  <w:shd w:val="clear" w:color="auto" w:fill="auto"/>
                                  <w:vAlign w:val="center"/>
                                </w:tcPr>
                                <w:p w14:paraId="3FC4E318"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P4</w:t>
                                  </w:r>
                                </w:p>
                              </w:tc>
                            </w:tr>
                            <w:tr w:rsidR="0075784E" w:rsidRPr="00420C1B" w14:paraId="11ADFB04" w14:textId="77777777" w:rsidTr="00E300EB">
                              <w:trPr>
                                <w:trHeight w:val="311"/>
                                <w:jc w:val="center"/>
                              </w:trPr>
                              <w:tc>
                                <w:tcPr>
                                  <w:tcW w:w="567" w:type="dxa"/>
                                  <w:vAlign w:val="center"/>
                                </w:tcPr>
                                <w:p w14:paraId="2B269C46" w14:textId="77777777" w:rsidR="0075784E" w:rsidRPr="00D75D2E" w:rsidRDefault="0075784E" w:rsidP="00E300EB">
                                  <w:pPr>
                                    <w:tabs>
                                      <w:tab w:val="left" w:pos="418"/>
                                    </w:tabs>
                                    <w:spacing w:after="0" w:line="240" w:lineRule="auto"/>
                                    <w:rPr>
                                      <w:rFonts w:ascii="Times New Roman" w:eastAsia="Times New Roman" w:hAnsi="Times New Roman"/>
                                      <w:b/>
                                      <w:lang w:eastAsia="fr-FR"/>
                                    </w:rPr>
                                  </w:pPr>
                                  <w:r>
                                    <w:rPr>
                                      <w:rFonts w:ascii="Times New Roman" w:eastAsia="Times New Roman" w:hAnsi="Times New Roman"/>
                                      <w:b/>
                                      <w:lang w:eastAsia="fr-FR"/>
                                    </w:rPr>
                                    <w:t xml:space="preserve"> </w:t>
                                  </w:r>
                                  <w:r w:rsidRPr="00D75D2E">
                                    <w:rPr>
                                      <w:rFonts w:ascii="Times New Roman" w:eastAsia="Times New Roman" w:hAnsi="Times New Roman"/>
                                      <w:b/>
                                      <w:lang w:eastAsia="fr-FR"/>
                                    </w:rPr>
                                    <w:t>G4</w:t>
                                  </w:r>
                                </w:p>
                              </w:tc>
                              <w:tc>
                                <w:tcPr>
                                  <w:tcW w:w="851" w:type="dxa"/>
                                  <w:tcBorders>
                                    <w:bottom w:val="single" w:sz="4" w:space="0" w:color="auto"/>
                                  </w:tcBorders>
                                  <w:shd w:val="clear" w:color="auto" w:fill="FFFF00"/>
                                  <w:vAlign w:val="center"/>
                                </w:tcPr>
                                <w:p w14:paraId="0345E80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2BE1EED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709" w:type="dxa"/>
                                  <w:shd w:val="clear" w:color="auto" w:fill="FF0000"/>
                                  <w:vAlign w:val="center"/>
                                </w:tcPr>
                                <w:p w14:paraId="15937EDA"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56764125"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r>
                            <w:tr w:rsidR="0075784E" w:rsidRPr="00420C1B" w14:paraId="37A96A98" w14:textId="77777777" w:rsidTr="00E300EB">
                              <w:trPr>
                                <w:trHeight w:val="373"/>
                                <w:jc w:val="center"/>
                              </w:trPr>
                              <w:tc>
                                <w:tcPr>
                                  <w:tcW w:w="567" w:type="dxa"/>
                                  <w:vAlign w:val="center"/>
                                </w:tcPr>
                                <w:p w14:paraId="5A83825F"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G3</w:t>
                                  </w:r>
                                </w:p>
                              </w:tc>
                              <w:tc>
                                <w:tcPr>
                                  <w:tcW w:w="851" w:type="dxa"/>
                                  <w:tcBorders>
                                    <w:bottom w:val="single" w:sz="4" w:space="0" w:color="auto"/>
                                  </w:tcBorders>
                                  <w:shd w:val="clear" w:color="auto" w:fill="00FF00"/>
                                  <w:vAlign w:val="center"/>
                                </w:tcPr>
                                <w:p w14:paraId="022D6004"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21C92357"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3C5D88B0"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6B51AEBD"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r w:rsidR="0075784E" w:rsidRPr="00420C1B" w14:paraId="23A59ABE" w14:textId="77777777" w:rsidTr="00E300EB">
                              <w:trPr>
                                <w:trHeight w:val="417"/>
                                <w:jc w:val="center"/>
                              </w:trPr>
                              <w:tc>
                                <w:tcPr>
                                  <w:tcW w:w="567" w:type="dxa"/>
                                  <w:tcBorders>
                                    <w:bottom w:val="single" w:sz="4" w:space="0" w:color="auto"/>
                                  </w:tcBorders>
                                  <w:vAlign w:val="center"/>
                                </w:tcPr>
                                <w:p w14:paraId="796B0C47"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G2</w:t>
                                  </w:r>
                                </w:p>
                              </w:tc>
                              <w:tc>
                                <w:tcPr>
                                  <w:tcW w:w="851" w:type="dxa"/>
                                  <w:shd w:val="clear" w:color="auto" w:fill="00FF00"/>
                                  <w:vAlign w:val="center"/>
                                </w:tcPr>
                                <w:p w14:paraId="1AC2EF70"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4368680A"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709" w:type="dxa"/>
                                  <w:tcBorders>
                                    <w:bottom w:val="single" w:sz="4" w:space="0" w:color="auto"/>
                                  </w:tcBorders>
                                  <w:shd w:val="clear" w:color="auto" w:fill="FFFF00"/>
                                  <w:vAlign w:val="center"/>
                                </w:tcPr>
                                <w:p w14:paraId="176C24FF"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shd w:val="clear" w:color="auto" w:fill="FFFF00"/>
                                  <w:vAlign w:val="center"/>
                                </w:tcPr>
                                <w:p w14:paraId="2AD40A8D"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r w:rsidR="0075784E" w:rsidRPr="00420C1B" w14:paraId="28691A06" w14:textId="77777777" w:rsidTr="00E300EB">
                              <w:trPr>
                                <w:trHeight w:val="347"/>
                                <w:jc w:val="center"/>
                              </w:trPr>
                              <w:tc>
                                <w:tcPr>
                                  <w:tcW w:w="567" w:type="dxa"/>
                                  <w:tcBorders>
                                    <w:left w:val="single" w:sz="4" w:space="0" w:color="auto"/>
                                    <w:bottom w:val="single" w:sz="4" w:space="0" w:color="auto"/>
                                  </w:tcBorders>
                                  <w:vAlign w:val="center"/>
                                </w:tcPr>
                                <w:p w14:paraId="232E247F"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G1</w:t>
                                  </w:r>
                                </w:p>
                              </w:tc>
                              <w:tc>
                                <w:tcPr>
                                  <w:tcW w:w="851" w:type="dxa"/>
                                  <w:shd w:val="clear" w:color="auto" w:fill="00FF00"/>
                                  <w:vAlign w:val="center"/>
                                </w:tcPr>
                                <w:p w14:paraId="3C3ADBD4" w14:textId="77777777" w:rsidR="0075784E" w:rsidRPr="00D75D2E" w:rsidRDefault="0075784E" w:rsidP="00E300EB">
                                  <w:pPr>
                                    <w:tabs>
                                      <w:tab w:val="left" w:pos="418"/>
                                    </w:tabs>
                                    <w:spacing w:after="0" w:line="240" w:lineRule="auto"/>
                                    <w:ind w:right="170"/>
                                    <w:jc w:val="center"/>
                                    <w:rPr>
                                      <w:rFonts w:ascii="Times New Roman" w:eastAsia="Times New Roman" w:hAnsi="Times New Roman"/>
                                      <w:b/>
                                      <w:lang w:eastAsia="fr-FR"/>
                                    </w:rPr>
                                  </w:pPr>
                                </w:p>
                              </w:tc>
                              <w:tc>
                                <w:tcPr>
                                  <w:tcW w:w="850" w:type="dxa"/>
                                  <w:shd w:val="clear" w:color="auto" w:fill="00FF00"/>
                                  <w:vAlign w:val="center"/>
                                </w:tcPr>
                                <w:p w14:paraId="391016A1" w14:textId="77777777" w:rsidR="0075784E" w:rsidRPr="00D75D2E" w:rsidRDefault="0075784E" w:rsidP="00E300EB">
                                  <w:pPr>
                                    <w:tabs>
                                      <w:tab w:val="left" w:pos="418"/>
                                    </w:tabs>
                                    <w:spacing w:after="0" w:line="240" w:lineRule="auto"/>
                                    <w:ind w:right="170"/>
                                    <w:jc w:val="center"/>
                                    <w:rPr>
                                      <w:rFonts w:ascii="Times New Roman" w:eastAsia="Times New Roman" w:hAnsi="Times New Roman"/>
                                      <w:b/>
                                      <w:lang w:eastAsia="fr-FR"/>
                                    </w:rPr>
                                  </w:pPr>
                                </w:p>
                              </w:tc>
                              <w:tc>
                                <w:tcPr>
                                  <w:tcW w:w="709" w:type="dxa"/>
                                  <w:shd w:val="clear" w:color="auto" w:fill="00FF00"/>
                                  <w:vAlign w:val="center"/>
                                </w:tcPr>
                                <w:p w14:paraId="3940E452"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shd w:val="clear" w:color="auto" w:fill="00FF00"/>
                                  <w:vAlign w:val="center"/>
                                </w:tcPr>
                                <w:p w14:paraId="098402B9"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bl>
                          <w:p w14:paraId="63180F1A" w14:textId="77777777" w:rsidR="0075784E" w:rsidRDefault="007578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3566" id="Zone de texte 7" o:spid="_x0000_s1029" type="#_x0000_t202" style="position:absolute;left:0;text-align:left;margin-left:165.45pt;margin-top:.35pt;width:216.65pt;height:113.4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" filled="f" strokeweight=".5pt">
                <v:path arrowok="t"/>
                <v:textbox>
                  <w:txbxContent>
                    <w:p w14:paraId="0B108796" w14:textId="192670F9" w:rsidR="0075784E" w:rsidRPr="00D75D2E" w:rsidRDefault="0075784E" w:rsidP="00787EE3">
                      <w:pPr>
                        <w:spacing w:after="0" w:line="240" w:lineRule="auto"/>
                        <w:jc w:val="center"/>
                        <w:rPr>
                          <w:rFonts w:ascii="Times New Roman" w:eastAsia="Times New Roman" w:hAnsi="Times New Roman"/>
                          <w:bCs/>
                        </w:rPr>
                      </w:pPr>
                      <w:bookmarkStart w:id="684" w:name="_Toc93050313"/>
                      <w:r w:rsidRPr="00D75D2E">
                        <w:rPr>
                          <w:rFonts w:ascii="Times New Roman" w:hAnsi="Times New Roman"/>
                        </w:rPr>
                        <w:t xml:space="preserve">Tableau </w:t>
                      </w:r>
                      <w:r w:rsidRPr="00D75D2E">
                        <w:rPr>
                          <w:rFonts w:ascii="Times New Roman" w:hAnsi="Times New Roman"/>
                        </w:rPr>
                        <w:fldChar w:fldCharType="begin"/>
                      </w:r>
                      <w:r w:rsidRPr="00D75D2E">
                        <w:rPr>
                          <w:rFonts w:ascii="Times New Roman" w:hAnsi="Times New Roman"/>
                        </w:rPr>
                        <w:instrText xml:space="preserve"> SEQ Tableau \* ARABIC </w:instrText>
                      </w:r>
                      <w:r w:rsidRPr="00D75D2E">
                        <w:rPr>
                          <w:rFonts w:ascii="Times New Roman" w:hAnsi="Times New Roman"/>
                        </w:rPr>
                        <w:fldChar w:fldCharType="separate"/>
                      </w:r>
                      <w:r>
                        <w:rPr>
                          <w:rFonts w:ascii="Times New Roman" w:hAnsi="Times New Roman"/>
                          <w:noProof/>
                        </w:rPr>
                        <w:t>51</w:t>
                      </w:r>
                      <w:r w:rsidRPr="00D75D2E">
                        <w:rPr>
                          <w:rFonts w:ascii="Times New Roman" w:hAnsi="Times New Roman"/>
                        </w:rPr>
                        <w:fldChar w:fldCharType="end"/>
                      </w:r>
                      <w:r w:rsidRPr="00D75D2E">
                        <w:rPr>
                          <w:rFonts w:ascii="Times New Roman" w:hAnsi="Times New Roman"/>
                        </w:rPr>
                        <w:t> :</w:t>
                      </w:r>
                      <w:r w:rsidRPr="00D75D2E">
                        <w:rPr>
                          <w:rFonts w:ascii="Times New Roman" w:eastAsia="Times New Roman" w:hAnsi="Times New Roman"/>
                          <w:bCs/>
                        </w:rPr>
                        <w:t xml:space="preserve"> Grille d’évaluation des risques</w:t>
                      </w:r>
                      <w:bookmarkEnd w:id="6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850"/>
                        <w:gridCol w:w="709"/>
                        <w:gridCol w:w="709"/>
                      </w:tblGrid>
                      <w:tr w:rsidR="0075784E" w:rsidRPr="00420C1B" w14:paraId="7F48E92F" w14:textId="77777777" w:rsidTr="00E300EB">
                        <w:trPr>
                          <w:trHeight w:val="247"/>
                          <w:jc w:val="center"/>
                        </w:trPr>
                        <w:tc>
                          <w:tcPr>
                            <w:tcW w:w="567" w:type="dxa"/>
                            <w:vAlign w:val="center"/>
                          </w:tcPr>
                          <w:p w14:paraId="142E451C"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851" w:type="dxa"/>
                            <w:tcBorders>
                              <w:bottom w:val="single" w:sz="4" w:space="0" w:color="auto"/>
                            </w:tcBorders>
                            <w:shd w:val="clear" w:color="auto" w:fill="auto"/>
                            <w:vAlign w:val="center"/>
                          </w:tcPr>
                          <w:p w14:paraId="4E1DFED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P1</w:t>
                            </w:r>
                          </w:p>
                        </w:tc>
                        <w:tc>
                          <w:tcPr>
                            <w:tcW w:w="850" w:type="dxa"/>
                            <w:tcBorders>
                              <w:bottom w:val="single" w:sz="4" w:space="0" w:color="auto"/>
                            </w:tcBorders>
                            <w:shd w:val="clear" w:color="auto" w:fill="auto"/>
                            <w:vAlign w:val="center"/>
                          </w:tcPr>
                          <w:p w14:paraId="6FC561E1"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P2</w:t>
                            </w:r>
                          </w:p>
                        </w:tc>
                        <w:tc>
                          <w:tcPr>
                            <w:tcW w:w="709" w:type="dxa"/>
                            <w:tcBorders>
                              <w:bottom w:val="single" w:sz="4" w:space="0" w:color="auto"/>
                            </w:tcBorders>
                            <w:shd w:val="clear" w:color="auto" w:fill="auto"/>
                            <w:vAlign w:val="center"/>
                          </w:tcPr>
                          <w:p w14:paraId="0248D94C"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c>
                          <w:tcPr>
                            <w:tcW w:w="709" w:type="dxa"/>
                            <w:tcBorders>
                              <w:bottom w:val="single" w:sz="4" w:space="0" w:color="auto"/>
                            </w:tcBorders>
                            <w:shd w:val="clear" w:color="auto" w:fill="auto"/>
                            <w:vAlign w:val="center"/>
                          </w:tcPr>
                          <w:p w14:paraId="3FC4E318"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P4</w:t>
                            </w:r>
                          </w:p>
                        </w:tc>
                      </w:tr>
                      <w:tr w:rsidR="0075784E" w:rsidRPr="00420C1B" w14:paraId="11ADFB04" w14:textId="77777777" w:rsidTr="00E300EB">
                        <w:trPr>
                          <w:trHeight w:val="311"/>
                          <w:jc w:val="center"/>
                        </w:trPr>
                        <w:tc>
                          <w:tcPr>
                            <w:tcW w:w="567" w:type="dxa"/>
                            <w:vAlign w:val="center"/>
                          </w:tcPr>
                          <w:p w14:paraId="2B269C46" w14:textId="77777777" w:rsidR="0075784E" w:rsidRPr="00D75D2E" w:rsidRDefault="0075784E" w:rsidP="00E300EB">
                            <w:pPr>
                              <w:tabs>
                                <w:tab w:val="left" w:pos="418"/>
                              </w:tabs>
                              <w:spacing w:after="0" w:line="240" w:lineRule="auto"/>
                              <w:rPr>
                                <w:rFonts w:ascii="Times New Roman" w:eastAsia="Times New Roman" w:hAnsi="Times New Roman"/>
                                <w:b/>
                                <w:lang w:eastAsia="fr-FR"/>
                              </w:rPr>
                            </w:pPr>
                            <w:r>
                              <w:rPr>
                                <w:rFonts w:ascii="Times New Roman" w:eastAsia="Times New Roman" w:hAnsi="Times New Roman"/>
                                <w:b/>
                                <w:lang w:eastAsia="fr-FR"/>
                              </w:rPr>
                              <w:t xml:space="preserve"> </w:t>
                            </w:r>
                            <w:r w:rsidRPr="00D75D2E">
                              <w:rPr>
                                <w:rFonts w:ascii="Times New Roman" w:eastAsia="Times New Roman" w:hAnsi="Times New Roman"/>
                                <w:b/>
                                <w:lang w:eastAsia="fr-FR"/>
                              </w:rPr>
                              <w:t>G4</w:t>
                            </w:r>
                          </w:p>
                        </w:tc>
                        <w:tc>
                          <w:tcPr>
                            <w:tcW w:w="851" w:type="dxa"/>
                            <w:tcBorders>
                              <w:bottom w:val="single" w:sz="4" w:space="0" w:color="auto"/>
                            </w:tcBorders>
                            <w:shd w:val="clear" w:color="auto" w:fill="FFFF00"/>
                            <w:vAlign w:val="center"/>
                          </w:tcPr>
                          <w:p w14:paraId="0345E80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2BE1EED0"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709" w:type="dxa"/>
                            <w:shd w:val="clear" w:color="auto" w:fill="FF0000"/>
                            <w:vAlign w:val="center"/>
                          </w:tcPr>
                          <w:p w14:paraId="15937EDA"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56764125"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p>
                        </w:tc>
                      </w:tr>
                      <w:tr w:rsidR="0075784E" w:rsidRPr="00420C1B" w14:paraId="37A96A98" w14:textId="77777777" w:rsidTr="00E300EB">
                        <w:trPr>
                          <w:trHeight w:val="373"/>
                          <w:jc w:val="center"/>
                        </w:trPr>
                        <w:tc>
                          <w:tcPr>
                            <w:tcW w:w="567" w:type="dxa"/>
                            <w:vAlign w:val="center"/>
                          </w:tcPr>
                          <w:p w14:paraId="5A83825F"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G3</w:t>
                            </w:r>
                          </w:p>
                        </w:tc>
                        <w:tc>
                          <w:tcPr>
                            <w:tcW w:w="851" w:type="dxa"/>
                            <w:tcBorders>
                              <w:bottom w:val="single" w:sz="4" w:space="0" w:color="auto"/>
                            </w:tcBorders>
                            <w:shd w:val="clear" w:color="auto" w:fill="00FF00"/>
                            <w:vAlign w:val="center"/>
                          </w:tcPr>
                          <w:p w14:paraId="022D6004"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21C92357"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3C5D88B0"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tcBorders>
                              <w:bottom w:val="single" w:sz="4" w:space="0" w:color="auto"/>
                            </w:tcBorders>
                            <w:shd w:val="clear" w:color="auto" w:fill="FF0000"/>
                            <w:vAlign w:val="center"/>
                          </w:tcPr>
                          <w:p w14:paraId="6B51AEBD"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r w:rsidR="0075784E" w:rsidRPr="00420C1B" w14:paraId="23A59ABE" w14:textId="77777777" w:rsidTr="00E300EB">
                        <w:trPr>
                          <w:trHeight w:val="417"/>
                          <w:jc w:val="center"/>
                        </w:trPr>
                        <w:tc>
                          <w:tcPr>
                            <w:tcW w:w="567" w:type="dxa"/>
                            <w:tcBorders>
                              <w:bottom w:val="single" w:sz="4" w:space="0" w:color="auto"/>
                            </w:tcBorders>
                            <w:vAlign w:val="center"/>
                          </w:tcPr>
                          <w:p w14:paraId="796B0C47"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G2</w:t>
                            </w:r>
                          </w:p>
                        </w:tc>
                        <w:tc>
                          <w:tcPr>
                            <w:tcW w:w="851" w:type="dxa"/>
                            <w:shd w:val="clear" w:color="auto" w:fill="00FF00"/>
                            <w:vAlign w:val="center"/>
                          </w:tcPr>
                          <w:p w14:paraId="1AC2EF70"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850" w:type="dxa"/>
                            <w:tcBorders>
                              <w:bottom w:val="single" w:sz="4" w:space="0" w:color="auto"/>
                            </w:tcBorders>
                            <w:shd w:val="clear" w:color="auto" w:fill="FFFF00"/>
                            <w:vAlign w:val="center"/>
                          </w:tcPr>
                          <w:p w14:paraId="4368680A" w14:textId="77777777" w:rsidR="0075784E" w:rsidRPr="00D75D2E" w:rsidRDefault="0075784E" w:rsidP="00E300EB">
                            <w:pPr>
                              <w:spacing w:after="0" w:line="240" w:lineRule="auto"/>
                              <w:ind w:right="170"/>
                              <w:rPr>
                                <w:rFonts w:ascii="Times New Roman" w:eastAsia="Times New Roman" w:hAnsi="Times New Roman"/>
                                <w:b/>
                                <w:lang w:eastAsia="fr-FR"/>
                              </w:rPr>
                            </w:pPr>
                          </w:p>
                        </w:tc>
                        <w:tc>
                          <w:tcPr>
                            <w:tcW w:w="709" w:type="dxa"/>
                            <w:tcBorders>
                              <w:bottom w:val="single" w:sz="4" w:space="0" w:color="auto"/>
                            </w:tcBorders>
                            <w:shd w:val="clear" w:color="auto" w:fill="FFFF00"/>
                            <w:vAlign w:val="center"/>
                          </w:tcPr>
                          <w:p w14:paraId="176C24FF"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shd w:val="clear" w:color="auto" w:fill="FFFF00"/>
                            <w:vAlign w:val="center"/>
                          </w:tcPr>
                          <w:p w14:paraId="2AD40A8D"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r w:rsidR="0075784E" w:rsidRPr="00420C1B" w14:paraId="28691A06" w14:textId="77777777" w:rsidTr="00E300EB">
                        <w:trPr>
                          <w:trHeight w:val="347"/>
                          <w:jc w:val="center"/>
                        </w:trPr>
                        <w:tc>
                          <w:tcPr>
                            <w:tcW w:w="567" w:type="dxa"/>
                            <w:tcBorders>
                              <w:left w:val="single" w:sz="4" w:space="0" w:color="auto"/>
                              <w:bottom w:val="single" w:sz="4" w:space="0" w:color="auto"/>
                            </w:tcBorders>
                            <w:vAlign w:val="center"/>
                          </w:tcPr>
                          <w:p w14:paraId="232E247F" w14:textId="77777777" w:rsidR="0075784E" w:rsidRPr="00D75D2E" w:rsidRDefault="0075784E" w:rsidP="00E300EB">
                            <w:pPr>
                              <w:tabs>
                                <w:tab w:val="left" w:pos="418"/>
                              </w:tabs>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G1</w:t>
                            </w:r>
                          </w:p>
                        </w:tc>
                        <w:tc>
                          <w:tcPr>
                            <w:tcW w:w="851" w:type="dxa"/>
                            <w:shd w:val="clear" w:color="auto" w:fill="00FF00"/>
                            <w:vAlign w:val="center"/>
                          </w:tcPr>
                          <w:p w14:paraId="3C3ADBD4" w14:textId="77777777" w:rsidR="0075784E" w:rsidRPr="00D75D2E" w:rsidRDefault="0075784E" w:rsidP="00E300EB">
                            <w:pPr>
                              <w:tabs>
                                <w:tab w:val="left" w:pos="418"/>
                              </w:tabs>
                              <w:spacing w:after="0" w:line="240" w:lineRule="auto"/>
                              <w:ind w:right="170"/>
                              <w:jc w:val="center"/>
                              <w:rPr>
                                <w:rFonts w:ascii="Times New Roman" w:eastAsia="Times New Roman" w:hAnsi="Times New Roman"/>
                                <w:b/>
                                <w:lang w:eastAsia="fr-FR"/>
                              </w:rPr>
                            </w:pPr>
                          </w:p>
                        </w:tc>
                        <w:tc>
                          <w:tcPr>
                            <w:tcW w:w="850" w:type="dxa"/>
                            <w:shd w:val="clear" w:color="auto" w:fill="00FF00"/>
                            <w:vAlign w:val="center"/>
                          </w:tcPr>
                          <w:p w14:paraId="391016A1" w14:textId="77777777" w:rsidR="0075784E" w:rsidRPr="00D75D2E" w:rsidRDefault="0075784E" w:rsidP="00E300EB">
                            <w:pPr>
                              <w:tabs>
                                <w:tab w:val="left" w:pos="418"/>
                              </w:tabs>
                              <w:spacing w:after="0" w:line="240" w:lineRule="auto"/>
                              <w:ind w:right="170"/>
                              <w:jc w:val="center"/>
                              <w:rPr>
                                <w:rFonts w:ascii="Times New Roman" w:eastAsia="Times New Roman" w:hAnsi="Times New Roman"/>
                                <w:b/>
                                <w:lang w:eastAsia="fr-FR"/>
                              </w:rPr>
                            </w:pPr>
                          </w:p>
                        </w:tc>
                        <w:tc>
                          <w:tcPr>
                            <w:tcW w:w="709" w:type="dxa"/>
                            <w:shd w:val="clear" w:color="auto" w:fill="00FF00"/>
                            <w:vAlign w:val="center"/>
                          </w:tcPr>
                          <w:p w14:paraId="3940E452"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c>
                          <w:tcPr>
                            <w:tcW w:w="709" w:type="dxa"/>
                            <w:shd w:val="clear" w:color="auto" w:fill="00FF00"/>
                            <w:vAlign w:val="center"/>
                          </w:tcPr>
                          <w:p w14:paraId="098402B9" w14:textId="77777777" w:rsidR="0075784E" w:rsidRPr="00D75D2E" w:rsidRDefault="0075784E" w:rsidP="00E300EB">
                            <w:pPr>
                              <w:tabs>
                                <w:tab w:val="left" w:pos="418"/>
                              </w:tabs>
                              <w:spacing w:after="0" w:line="240" w:lineRule="auto"/>
                              <w:ind w:right="-18"/>
                              <w:jc w:val="center"/>
                              <w:rPr>
                                <w:rFonts w:ascii="Times New Roman" w:eastAsia="Times New Roman" w:hAnsi="Times New Roman"/>
                                <w:b/>
                                <w:lang w:eastAsia="fr-FR"/>
                              </w:rPr>
                            </w:pPr>
                          </w:p>
                        </w:tc>
                      </w:tr>
                    </w:tbl>
                    <w:p w14:paraId="63180F1A" w14:textId="77777777" w:rsidR="0075784E" w:rsidRDefault="0075784E"/>
                  </w:txbxContent>
                </v:textbox>
                <w10:wrap anchorx="margin"/>
              </v:shape>
            </w:pict>
          </mc:Fallback>
        </mc:AlternateContent>
      </w:r>
    </w:p>
    <w:p w14:paraId="0D790E9A" w14:textId="77777777" w:rsidR="00787EE3" w:rsidRDefault="00787EE3" w:rsidP="00ED17F3">
      <w:pPr>
        <w:spacing w:after="0" w:line="240" w:lineRule="auto"/>
        <w:jc w:val="center"/>
        <w:rPr>
          <w:rFonts w:ascii="Times New Roman" w:hAnsi="Times New Roman"/>
        </w:rPr>
      </w:pPr>
    </w:p>
    <w:p w14:paraId="7831E669" w14:textId="77777777" w:rsidR="00787EE3" w:rsidRDefault="00787EE3" w:rsidP="00ED17F3">
      <w:pPr>
        <w:spacing w:after="0" w:line="240" w:lineRule="auto"/>
        <w:jc w:val="center"/>
        <w:rPr>
          <w:rFonts w:ascii="Times New Roman" w:hAnsi="Times New Roman"/>
        </w:rPr>
      </w:pPr>
    </w:p>
    <w:p w14:paraId="2D613A63" w14:textId="77777777" w:rsidR="00787EE3" w:rsidRDefault="00787EE3" w:rsidP="00ED17F3">
      <w:pPr>
        <w:spacing w:after="0" w:line="240" w:lineRule="auto"/>
        <w:jc w:val="center"/>
        <w:rPr>
          <w:rFonts w:ascii="Times New Roman" w:hAnsi="Times New Roman"/>
        </w:rPr>
      </w:pPr>
    </w:p>
    <w:p w14:paraId="0609C5B4" w14:textId="77777777" w:rsidR="00787EE3" w:rsidRDefault="00787EE3" w:rsidP="00ED17F3">
      <w:pPr>
        <w:spacing w:after="0" w:line="240" w:lineRule="auto"/>
        <w:jc w:val="center"/>
        <w:rPr>
          <w:rFonts w:ascii="Times New Roman" w:hAnsi="Times New Roman"/>
        </w:rPr>
      </w:pPr>
    </w:p>
    <w:p w14:paraId="3FF246C8" w14:textId="77777777" w:rsidR="00787EE3" w:rsidRDefault="00787EE3" w:rsidP="00ED17F3">
      <w:pPr>
        <w:spacing w:after="0" w:line="240" w:lineRule="auto"/>
        <w:jc w:val="center"/>
        <w:rPr>
          <w:rFonts w:ascii="Times New Roman" w:hAnsi="Times New Roman"/>
        </w:rPr>
      </w:pPr>
    </w:p>
    <w:p w14:paraId="4C924FEE" w14:textId="77777777" w:rsidR="00787EE3" w:rsidRDefault="00787EE3" w:rsidP="00ED17F3">
      <w:pPr>
        <w:spacing w:after="0" w:line="240" w:lineRule="auto"/>
        <w:jc w:val="center"/>
        <w:rPr>
          <w:rFonts w:ascii="Times New Roman" w:hAnsi="Times New Roman"/>
        </w:rPr>
      </w:pPr>
    </w:p>
    <w:p w14:paraId="24113F2B" w14:textId="77777777" w:rsidR="00787EE3" w:rsidRDefault="00787EE3" w:rsidP="00ED17F3">
      <w:pPr>
        <w:spacing w:after="0" w:line="240" w:lineRule="auto"/>
        <w:jc w:val="center"/>
        <w:rPr>
          <w:rFonts w:ascii="Times New Roman" w:hAnsi="Times New Roman"/>
        </w:rPr>
      </w:pPr>
    </w:p>
    <w:p w14:paraId="44B12911" w14:textId="77777777" w:rsidR="00787EE3" w:rsidRDefault="00787EE3" w:rsidP="00ED17F3">
      <w:pPr>
        <w:spacing w:after="0" w:line="240" w:lineRule="auto"/>
        <w:jc w:val="center"/>
        <w:rPr>
          <w:rFonts w:ascii="Times New Roman" w:hAnsi="Times New Roman"/>
        </w:rPr>
      </w:pPr>
    </w:p>
    <w:p w14:paraId="5B813FD9" w14:textId="77777777" w:rsidR="00787EE3" w:rsidRDefault="00787EE3" w:rsidP="00ED17F3">
      <w:pPr>
        <w:spacing w:after="0" w:line="240" w:lineRule="auto"/>
        <w:jc w:val="center"/>
        <w:rPr>
          <w:rFonts w:ascii="Times New Roman" w:hAnsi="Times New Roman"/>
        </w:rPr>
      </w:pPr>
    </w:p>
    <w:p w14:paraId="087B5D66" w14:textId="1FFD0562" w:rsidR="00ED17F3" w:rsidRPr="00D75D2E" w:rsidRDefault="00ED17F3" w:rsidP="00215867">
      <w:pPr>
        <w:pStyle w:val="Titre31"/>
        <w:numPr>
          <w:ilvl w:val="2"/>
          <w:numId w:val="54"/>
        </w:numPr>
        <w:tabs>
          <w:tab w:val="left" w:pos="993"/>
        </w:tabs>
        <w:spacing w:before="120" w:after="120" w:line="20" w:lineRule="atLeast"/>
        <w:ind w:left="709"/>
        <w:rPr>
          <w:rFonts w:eastAsia="Calibri"/>
          <w:u w:val="none"/>
        </w:rPr>
      </w:pPr>
      <w:bookmarkStart w:id="685" w:name="_Toc428963589"/>
      <w:bookmarkStart w:id="686" w:name="_Toc16663514"/>
      <w:bookmarkStart w:id="687" w:name="_Toc16663688"/>
      <w:bookmarkStart w:id="688" w:name="_Toc16664933"/>
      <w:bookmarkStart w:id="689" w:name="_Toc103685686"/>
      <w:bookmarkEnd w:id="676"/>
      <w:bookmarkEnd w:id="677"/>
      <w:bookmarkEnd w:id="678"/>
      <w:bookmarkEnd w:id="679"/>
      <w:bookmarkEnd w:id="680"/>
      <w:r w:rsidRPr="00D75D2E">
        <w:rPr>
          <w:rFonts w:eastAsia="Calibri"/>
          <w:u w:val="none"/>
        </w:rPr>
        <w:t>Risques en phase de travaux</w:t>
      </w:r>
      <w:bookmarkEnd w:id="685"/>
      <w:bookmarkEnd w:id="686"/>
      <w:bookmarkEnd w:id="687"/>
      <w:bookmarkEnd w:id="688"/>
      <w:bookmarkEnd w:id="689"/>
    </w:p>
    <w:p w14:paraId="7FBAC54D" w14:textId="77777777" w:rsidR="00ED17F3" w:rsidRPr="00D75D2E" w:rsidRDefault="00ED17F3" w:rsidP="00215867">
      <w:pPr>
        <w:pStyle w:val="Titre4"/>
        <w:numPr>
          <w:ilvl w:val="3"/>
          <w:numId w:val="54"/>
        </w:numPr>
        <w:spacing w:before="120" w:after="120" w:line="20" w:lineRule="atLeast"/>
        <w:ind w:left="1276" w:hanging="851"/>
        <w:rPr>
          <w:color w:val="auto"/>
          <w:szCs w:val="24"/>
        </w:rPr>
      </w:pPr>
      <w:bookmarkStart w:id="690" w:name="_Toc409777777"/>
      <w:bookmarkStart w:id="691" w:name="_Toc428963590"/>
      <w:bookmarkStart w:id="692" w:name="_Toc103685687"/>
      <w:r w:rsidRPr="00D75D2E">
        <w:rPr>
          <w:color w:val="auto"/>
          <w:szCs w:val="24"/>
        </w:rPr>
        <w:t>Risques d’accidents liés aux mouvements des engins et équipements de chantier</w:t>
      </w:r>
      <w:bookmarkStart w:id="693" w:name="_Hlk518546317"/>
      <w:bookmarkEnd w:id="690"/>
      <w:bookmarkEnd w:id="691"/>
      <w:bookmarkEnd w:id="692"/>
    </w:p>
    <w:p w14:paraId="3B302477" w14:textId="77777777" w:rsidR="00ED17F3" w:rsidRPr="00E737B4" w:rsidRDefault="00ED17F3" w:rsidP="00ED17F3">
      <w:pPr>
        <w:autoSpaceDE w:val="0"/>
        <w:autoSpaceDN w:val="0"/>
        <w:adjustRightInd w:val="0"/>
        <w:spacing w:after="0" w:line="240" w:lineRule="auto"/>
        <w:jc w:val="both"/>
        <w:rPr>
          <w:rFonts w:ascii="Times New Roman" w:eastAsia="Times New Roman" w:hAnsi="Times New Roman"/>
          <w:sz w:val="24"/>
          <w:lang w:eastAsia="fr-FR"/>
        </w:rPr>
      </w:pPr>
      <w:r w:rsidRPr="00E737B4">
        <w:rPr>
          <w:rFonts w:ascii="Times New Roman" w:eastAsia="Times New Roman" w:hAnsi="Times New Roman"/>
          <w:sz w:val="24"/>
          <w:lang w:eastAsia="fr-FR"/>
        </w:rPr>
        <w:t xml:space="preserve">Pendant la phase des travaux, il surviendrait des risques d’accidents liés aux </w:t>
      </w:r>
      <w:r w:rsidRPr="00E737B4">
        <w:rPr>
          <w:rFonts w:ascii="Times New Roman" w:eastAsia="Times New Roman" w:hAnsi="Times New Roman"/>
          <w:bCs/>
          <w:sz w:val="24"/>
          <w:lang w:eastAsia="fr-FR"/>
        </w:rPr>
        <w:t xml:space="preserve">mouvements/déplacements des </w:t>
      </w:r>
      <w:r w:rsidRPr="00E737B4">
        <w:rPr>
          <w:rFonts w:ascii="Times New Roman" w:eastAsia="Times New Roman" w:hAnsi="Times New Roman"/>
          <w:sz w:val="24"/>
          <w:lang w:eastAsia="fr-FR"/>
        </w:rPr>
        <w:t>engins/instruments de chantier. Le risque d’accident également lié à l’acheminement des matériaux de construction est à craindre.</w:t>
      </w:r>
    </w:p>
    <w:p w14:paraId="40F3CF0F" w14:textId="77777777" w:rsidR="00ED17F3" w:rsidRPr="00D75D2E" w:rsidRDefault="00ED17F3" w:rsidP="00ED17F3">
      <w:pPr>
        <w:autoSpaceDE w:val="0"/>
        <w:autoSpaceDN w:val="0"/>
        <w:adjustRightInd w:val="0"/>
        <w:spacing w:after="0" w:line="240" w:lineRule="auto"/>
        <w:jc w:val="both"/>
        <w:rPr>
          <w:rFonts w:ascii="Times New Roman" w:eastAsia="Times New Roman" w:hAnsi="Times New Roman"/>
          <w:lang w:eastAsia="fr-FR"/>
        </w:rPr>
      </w:pPr>
    </w:p>
    <w:tbl>
      <w:tblPr>
        <w:tblW w:w="90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1"/>
        <w:gridCol w:w="4184"/>
        <w:gridCol w:w="533"/>
      </w:tblGrid>
      <w:tr w:rsidR="00D75D2E" w:rsidRPr="00420C1B" w14:paraId="3BF38F52" w14:textId="77777777" w:rsidTr="00E737B4">
        <w:trPr>
          <w:trHeight w:val="754"/>
        </w:trPr>
        <w:tc>
          <w:tcPr>
            <w:tcW w:w="4321" w:type="dxa"/>
            <w:vMerge w:val="restart"/>
          </w:tcPr>
          <w:p w14:paraId="645B4684" w14:textId="77777777" w:rsidR="00ED17F3" w:rsidRPr="00E737B4" w:rsidRDefault="00ED17F3" w:rsidP="007108ED">
            <w:pPr>
              <w:spacing w:after="0" w:line="240" w:lineRule="auto"/>
              <w:rPr>
                <w:rFonts w:ascii="Times New Roman" w:eastAsia="Times New Roman" w:hAnsi="Times New Roman"/>
                <w:b/>
                <w:sz w:val="20"/>
                <w:lang w:eastAsia="fr-FR"/>
              </w:rPr>
            </w:pPr>
            <w:r w:rsidRPr="00E737B4">
              <w:rPr>
                <w:rFonts w:ascii="Times New Roman" w:eastAsia="Times New Roman" w:hAnsi="Times New Roman"/>
                <w:b/>
                <w:sz w:val="20"/>
                <w:lang w:eastAsia="fr-FR"/>
              </w:rPr>
              <w:t>Dangers et /ou situations dangereuses</w:t>
            </w:r>
          </w:p>
          <w:p w14:paraId="1CAD2E84"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Incompétence des conducteurs</w:t>
            </w:r>
          </w:p>
          <w:p w14:paraId="3ADE3B65"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Conduite en état d’ivresse ;</w:t>
            </w:r>
          </w:p>
          <w:p w14:paraId="7A99696E"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b/>
                <w:sz w:val="20"/>
              </w:rPr>
            </w:pPr>
            <w:r w:rsidRPr="00E737B4">
              <w:rPr>
                <w:rFonts w:ascii="Times New Roman" w:hAnsi="Times New Roman"/>
                <w:sz w:val="20"/>
              </w:rPr>
              <w:t>Visite technique non régulière des engins de chantier.</w:t>
            </w:r>
          </w:p>
        </w:tc>
        <w:tc>
          <w:tcPr>
            <w:tcW w:w="4717" w:type="dxa"/>
            <w:gridSpan w:val="2"/>
          </w:tcPr>
          <w:p w14:paraId="6A6E95B2" w14:textId="77777777" w:rsidR="00ED17F3" w:rsidRPr="00E737B4" w:rsidRDefault="00ED17F3" w:rsidP="007108ED">
            <w:pPr>
              <w:spacing w:after="0" w:line="240" w:lineRule="auto"/>
              <w:rPr>
                <w:rFonts w:ascii="Times New Roman" w:eastAsia="Times New Roman" w:hAnsi="Times New Roman"/>
                <w:b/>
                <w:sz w:val="20"/>
                <w:lang w:eastAsia="fr-FR"/>
              </w:rPr>
            </w:pPr>
            <w:r w:rsidRPr="00E737B4">
              <w:rPr>
                <w:rFonts w:ascii="Times New Roman" w:eastAsia="Times New Roman" w:hAnsi="Times New Roman"/>
                <w:b/>
                <w:sz w:val="20"/>
                <w:lang w:eastAsia="fr-FR"/>
              </w:rPr>
              <w:t>Evaluation qualitative du risque :</w:t>
            </w:r>
          </w:p>
          <w:p w14:paraId="2F71CDDE" w14:textId="77777777" w:rsidR="00ED17F3" w:rsidRPr="00E737B4" w:rsidRDefault="00ED17F3" w:rsidP="007108ED">
            <w:pPr>
              <w:spacing w:after="0" w:line="240" w:lineRule="auto"/>
              <w:rPr>
                <w:rFonts w:ascii="Times New Roman" w:eastAsia="Times New Roman" w:hAnsi="Times New Roman"/>
                <w:sz w:val="20"/>
                <w:lang w:eastAsia="fr-FR"/>
              </w:rPr>
            </w:pPr>
            <w:r w:rsidRPr="00E737B4">
              <w:rPr>
                <w:rFonts w:ascii="Times New Roman" w:eastAsia="Times New Roman" w:hAnsi="Times New Roman"/>
                <w:sz w:val="20"/>
                <w:lang w:eastAsia="fr-FR"/>
              </w:rPr>
              <w:t>Ces situations dangereuses peuvent bien être rencontrées dans la zone de travail.</w:t>
            </w:r>
          </w:p>
        </w:tc>
      </w:tr>
      <w:tr w:rsidR="00D75D2E" w:rsidRPr="00420C1B" w14:paraId="27CA9388" w14:textId="77777777" w:rsidTr="00E737B4">
        <w:trPr>
          <w:trHeight w:val="271"/>
        </w:trPr>
        <w:tc>
          <w:tcPr>
            <w:tcW w:w="4321" w:type="dxa"/>
            <w:vMerge/>
          </w:tcPr>
          <w:p w14:paraId="09CE162F" w14:textId="77777777" w:rsidR="00ED17F3" w:rsidRPr="00E737B4" w:rsidRDefault="00ED17F3" w:rsidP="008C79F0">
            <w:pPr>
              <w:numPr>
                <w:ilvl w:val="0"/>
                <w:numId w:val="37"/>
              </w:numPr>
              <w:spacing w:after="0" w:line="240" w:lineRule="auto"/>
              <w:jc w:val="both"/>
              <w:rPr>
                <w:rFonts w:ascii="Times New Roman" w:eastAsia="Times New Roman" w:hAnsi="Times New Roman"/>
                <w:sz w:val="20"/>
                <w:lang w:eastAsia="fr-FR"/>
              </w:rPr>
            </w:pPr>
          </w:p>
        </w:tc>
        <w:tc>
          <w:tcPr>
            <w:tcW w:w="4184" w:type="dxa"/>
          </w:tcPr>
          <w:p w14:paraId="4235B0F0" w14:textId="77777777" w:rsidR="00ED17F3" w:rsidRPr="00E737B4" w:rsidRDefault="00ED17F3" w:rsidP="007108ED">
            <w:pPr>
              <w:spacing w:after="0" w:line="240" w:lineRule="auto"/>
              <w:rPr>
                <w:rFonts w:ascii="Times New Roman" w:eastAsia="Times New Roman" w:hAnsi="Times New Roman"/>
                <w:sz w:val="20"/>
                <w:lang w:eastAsia="fr-FR"/>
              </w:rPr>
            </w:pPr>
            <w:r w:rsidRPr="00E737B4">
              <w:rPr>
                <w:rFonts w:ascii="Times New Roman" w:eastAsia="Times New Roman" w:hAnsi="Times New Roman"/>
                <w:b/>
                <w:sz w:val="20"/>
                <w:lang w:eastAsia="fr-FR"/>
              </w:rPr>
              <w:t xml:space="preserve">Probabilité : </w:t>
            </w:r>
            <w:r w:rsidRPr="00E737B4">
              <w:rPr>
                <w:rFonts w:ascii="Times New Roman" w:eastAsia="Times New Roman" w:hAnsi="Times New Roman"/>
                <w:sz w:val="20"/>
                <w:lang w:eastAsia="fr-FR"/>
              </w:rPr>
              <w:t>Probabilité faible</w:t>
            </w:r>
          </w:p>
        </w:tc>
        <w:tc>
          <w:tcPr>
            <w:tcW w:w="533" w:type="dxa"/>
          </w:tcPr>
          <w:p w14:paraId="20D1B2F1"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P2</w:t>
            </w:r>
          </w:p>
        </w:tc>
      </w:tr>
      <w:tr w:rsidR="00D75D2E" w:rsidRPr="00420C1B" w14:paraId="17F5AA14" w14:textId="77777777" w:rsidTr="00E737B4">
        <w:trPr>
          <w:trHeight w:val="256"/>
        </w:trPr>
        <w:tc>
          <w:tcPr>
            <w:tcW w:w="4321" w:type="dxa"/>
            <w:vMerge/>
          </w:tcPr>
          <w:p w14:paraId="218A82ED" w14:textId="77777777" w:rsidR="00ED17F3" w:rsidRPr="00E737B4" w:rsidRDefault="00ED17F3" w:rsidP="008C79F0">
            <w:pPr>
              <w:numPr>
                <w:ilvl w:val="0"/>
                <w:numId w:val="37"/>
              </w:numPr>
              <w:spacing w:after="0" w:line="240" w:lineRule="auto"/>
              <w:jc w:val="both"/>
              <w:rPr>
                <w:rFonts w:ascii="Times New Roman" w:eastAsia="Times New Roman" w:hAnsi="Times New Roman"/>
                <w:sz w:val="20"/>
                <w:lang w:eastAsia="fr-FR"/>
              </w:rPr>
            </w:pPr>
          </w:p>
        </w:tc>
        <w:tc>
          <w:tcPr>
            <w:tcW w:w="4184" w:type="dxa"/>
          </w:tcPr>
          <w:p w14:paraId="59CD929E" w14:textId="77777777" w:rsidR="00ED17F3" w:rsidRPr="00E737B4" w:rsidRDefault="00ED17F3" w:rsidP="007108ED">
            <w:pPr>
              <w:spacing w:after="0" w:line="240" w:lineRule="auto"/>
              <w:rPr>
                <w:rFonts w:ascii="Times New Roman" w:eastAsia="Times New Roman" w:hAnsi="Times New Roman"/>
                <w:b/>
                <w:sz w:val="20"/>
                <w:lang w:eastAsia="fr-FR"/>
              </w:rPr>
            </w:pPr>
            <w:r w:rsidRPr="00E737B4">
              <w:rPr>
                <w:rFonts w:ascii="Times New Roman" w:eastAsia="Times New Roman" w:hAnsi="Times New Roman"/>
                <w:b/>
                <w:sz w:val="20"/>
                <w:lang w:eastAsia="fr-FR"/>
              </w:rPr>
              <w:t xml:space="preserve">Gravité : </w:t>
            </w:r>
            <w:r w:rsidRPr="00E737B4">
              <w:rPr>
                <w:rFonts w:ascii="Times New Roman" w:eastAsia="Times New Roman" w:hAnsi="Times New Roman"/>
                <w:sz w:val="20"/>
                <w:lang w:eastAsia="fr-FR"/>
              </w:rPr>
              <w:t>maladie avec arrêt de travail</w:t>
            </w:r>
          </w:p>
        </w:tc>
        <w:tc>
          <w:tcPr>
            <w:tcW w:w="533" w:type="dxa"/>
            <w:tcBorders>
              <w:bottom w:val="single" w:sz="4" w:space="0" w:color="000000"/>
            </w:tcBorders>
          </w:tcPr>
          <w:p w14:paraId="3E7E8D0B"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G2</w:t>
            </w:r>
          </w:p>
        </w:tc>
      </w:tr>
      <w:tr w:rsidR="00D75D2E" w:rsidRPr="00420C1B" w14:paraId="094893B8" w14:textId="77777777" w:rsidTr="00E737B4">
        <w:trPr>
          <w:trHeight w:val="75"/>
        </w:trPr>
        <w:tc>
          <w:tcPr>
            <w:tcW w:w="4321" w:type="dxa"/>
            <w:vMerge/>
          </w:tcPr>
          <w:p w14:paraId="468A74E4" w14:textId="77777777" w:rsidR="00ED17F3" w:rsidRPr="00E737B4" w:rsidRDefault="00ED17F3" w:rsidP="008C79F0">
            <w:pPr>
              <w:numPr>
                <w:ilvl w:val="0"/>
                <w:numId w:val="37"/>
              </w:numPr>
              <w:spacing w:after="0" w:line="240" w:lineRule="auto"/>
              <w:jc w:val="both"/>
              <w:rPr>
                <w:rFonts w:ascii="Times New Roman" w:eastAsia="Times New Roman" w:hAnsi="Times New Roman"/>
                <w:sz w:val="20"/>
                <w:lang w:eastAsia="fr-FR"/>
              </w:rPr>
            </w:pPr>
          </w:p>
        </w:tc>
        <w:tc>
          <w:tcPr>
            <w:tcW w:w="4184" w:type="dxa"/>
          </w:tcPr>
          <w:p w14:paraId="48B32E70" w14:textId="77777777" w:rsidR="00ED17F3" w:rsidRPr="00E737B4" w:rsidRDefault="00ED17F3" w:rsidP="007108ED">
            <w:pPr>
              <w:spacing w:after="0" w:line="240" w:lineRule="auto"/>
              <w:rPr>
                <w:rFonts w:ascii="Times New Roman" w:eastAsia="Times New Roman" w:hAnsi="Times New Roman"/>
                <w:b/>
                <w:sz w:val="20"/>
                <w:lang w:eastAsia="fr-FR"/>
              </w:rPr>
            </w:pPr>
            <w:r w:rsidRPr="00E737B4">
              <w:rPr>
                <w:rFonts w:ascii="Times New Roman" w:eastAsia="Times New Roman" w:hAnsi="Times New Roman"/>
                <w:b/>
                <w:sz w:val="20"/>
                <w:lang w:eastAsia="fr-FR"/>
              </w:rPr>
              <w:t>Niveau de risque :</w:t>
            </w:r>
          </w:p>
        </w:tc>
        <w:tc>
          <w:tcPr>
            <w:tcW w:w="533" w:type="dxa"/>
            <w:shd w:val="clear" w:color="auto" w:fill="FFFF00"/>
          </w:tcPr>
          <w:p w14:paraId="1D094FD6" w14:textId="77777777" w:rsidR="00ED17F3" w:rsidRPr="00E737B4" w:rsidRDefault="00ED17F3" w:rsidP="007108ED">
            <w:pPr>
              <w:spacing w:after="0" w:line="240" w:lineRule="auto"/>
              <w:jc w:val="center"/>
              <w:rPr>
                <w:rFonts w:ascii="Times New Roman" w:eastAsia="Times New Roman" w:hAnsi="Times New Roman"/>
                <w:b/>
                <w:sz w:val="20"/>
                <w:lang w:eastAsia="fr-FR"/>
              </w:rPr>
            </w:pPr>
            <w:r w:rsidRPr="00E737B4">
              <w:rPr>
                <w:rFonts w:ascii="Times New Roman" w:eastAsia="Times New Roman" w:hAnsi="Times New Roman"/>
                <w:b/>
                <w:sz w:val="20"/>
                <w:lang w:eastAsia="fr-FR"/>
              </w:rPr>
              <w:t>2</w:t>
            </w:r>
          </w:p>
        </w:tc>
      </w:tr>
      <w:tr w:rsidR="00D75D2E" w:rsidRPr="00420C1B" w14:paraId="013616B8" w14:textId="77777777" w:rsidTr="00E737B4">
        <w:trPr>
          <w:trHeight w:val="354"/>
        </w:trPr>
        <w:tc>
          <w:tcPr>
            <w:tcW w:w="9038" w:type="dxa"/>
            <w:gridSpan w:val="3"/>
          </w:tcPr>
          <w:p w14:paraId="4057BE8E" w14:textId="77777777" w:rsidR="00ED17F3" w:rsidRPr="00E737B4" w:rsidRDefault="00ED17F3" w:rsidP="007108ED">
            <w:pPr>
              <w:spacing w:after="0" w:line="240" w:lineRule="auto"/>
              <w:jc w:val="center"/>
              <w:rPr>
                <w:rFonts w:ascii="Times New Roman" w:eastAsia="Times New Roman" w:hAnsi="Times New Roman"/>
                <w:sz w:val="20"/>
                <w:lang w:eastAsia="fr-FR"/>
              </w:rPr>
            </w:pPr>
            <w:r w:rsidRPr="00E737B4">
              <w:rPr>
                <w:rFonts w:ascii="Times New Roman" w:eastAsia="Times New Roman" w:hAnsi="Times New Roman"/>
                <w:b/>
                <w:sz w:val="20"/>
                <w:lang w:eastAsia="fr-FR"/>
              </w:rPr>
              <w:t>Mesures de prévention</w:t>
            </w:r>
          </w:p>
        </w:tc>
      </w:tr>
      <w:tr w:rsidR="00D75D2E" w:rsidRPr="00420C1B" w14:paraId="2D60D840" w14:textId="77777777" w:rsidTr="00E737B4">
        <w:trPr>
          <w:trHeight w:val="1219"/>
        </w:trPr>
        <w:tc>
          <w:tcPr>
            <w:tcW w:w="9038" w:type="dxa"/>
            <w:gridSpan w:val="3"/>
          </w:tcPr>
          <w:p w14:paraId="13124F1D" w14:textId="77777777" w:rsidR="00ED17F3" w:rsidRPr="00E737B4" w:rsidRDefault="00ED17F3" w:rsidP="007108ED">
            <w:pPr>
              <w:tabs>
                <w:tab w:val="left" w:pos="6342"/>
              </w:tabs>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Les principaux facteurs de réduction de ces risques sont les suivants :</w:t>
            </w:r>
          </w:p>
          <w:p w14:paraId="4071BCD7"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S’assurer de la bonne formation des conducteurs ;</w:t>
            </w:r>
          </w:p>
          <w:p w14:paraId="66665703"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Effectuer des visites techniques et entretiens réguliers ;</w:t>
            </w:r>
          </w:p>
          <w:p w14:paraId="7F24FA95"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Interdire la consommation d’alcool sur le chantier et pendant les heures de travail ;</w:t>
            </w:r>
          </w:p>
          <w:p w14:paraId="48AE26EE"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Afficher les consignes de sécurité sur le chantier ;</w:t>
            </w:r>
          </w:p>
          <w:p w14:paraId="5C185B97"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Former le personnel à la sécurité pour le poste de travail ;</w:t>
            </w:r>
          </w:p>
          <w:p w14:paraId="2D7E959C"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Etablir des fiches de procédure d’utilisation des machines ;</w:t>
            </w:r>
          </w:p>
          <w:p w14:paraId="6C3E4EC5" w14:textId="77777777" w:rsidR="00ED17F3" w:rsidRPr="00E737B4" w:rsidRDefault="00ED17F3" w:rsidP="008C79F0">
            <w:pPr>
              <w:numPr>
                <w:ilvl w:val="0"/>
                <w:numId w:val="35"/>
              </w:numPr>
              <w:tabs>
                <w:tab w:val="clear" w:pos="502"/>
                <w:tab w:val="num" w:pos="459"/>
              </w:tabs>
              <w:spacing w:after="0" w:line="240" w:lineRule="auto"/>
              <w:ind w:left="459"/>
              <w:contextualSpacing/>
              <w:jc w:val="both"/>
              <w:rPr>
                <w:rFonts w:ascii="Times New Roman" w:hAnsi="Times New Roman"/>
                <w:sz w:val="20"/>
              </w:rPr>
            </w:pPr>
            <w:r w:rsidRPr="00E737B4">
              <w:rPr>
                <w:rFonts w:ascii="Times New Roman" w:hAnsi="Times New Roman"/>
                <w:sz w:val="20"/>
              </w:rPr>
              <w:t>Veiller au port des Equipements de Protection Individuelle (EPI) : casques, botte de sécurité, gants appropriés etc.</w:t>
            </w:r>
          </w:p>
        </w:tc>
      </w:tr>
    </w:tbl>
    <w:p w14:paraId="7754CC50" w14:textId="71DAA91D" w:rsidR="00ED17F3" w:rsidRPr="00D75D2E" w:rsidRDefault="00ED17F3" w:rsidP="00215867">
      <w:pPr>
        <w:pStyle w:val="Titre4"/>
        <w:numPr>
          <w:ilvl w:val="3"/>
          <w:numId w:val="54"/>
        </w:numPr>
        <w:spacing w:before="200" w:after="120" w:line="20" w:lineRule="atLeast"/>
        <w:ind w:left="1276" w:hanging="851"/>
        <w:rPr>
          <w:color w:val="auto"/>
          <w:szCs w:val="24"/>
        </w:rPr>
      </w:pPr>
      <w:bookmarkStart w:id="694" w:name="_Toc361738206"/>
      <w:bookmarkStart w:id="695" w:name="_Toc428963592"/>
      <w:bookmarkStart w:id="696" w:name="_Toc103685688"/>
      <w:bookmarkEnd w:id="693"/>
      <w:r w:rsidRPr="00D75D2E">
        <w:rPr>
          <w:color w:val="auto"/>
          <w:szCs w:val="24"/>
        </w:rPr>
        <w:t>Risque lié à la manutention manuelle</w:t>
      </w:r>
      <w:bookmarkEnd w:id="694"/>
      <w:bookmarkEnd w:id="695"/>
      <w:bookmarkEnd w:id="696"/>
    </w:p>
    <w:p w14:paraId="0B2F1AB1" w14:textId="77777777" w:rsidR="00ED17F3" w:rsidRPr="00E737B4" w:rsidRDefault="00ED17F3" w:rsidP="00ED17F3">
      <w:pPr>
        <w:spacing w:after="0" w:line="240" w:lineRule="auto"/>
        <w:jc w:val="both"/>
        <w:rPr>
          <w:rFonts w:ascii="Times New Roman" w:eastAsia="Times New Roman" w:hAnsi="Times New Roman"/>
          <w:sz w:val="24"/>
          <w:lang w:eastAsia="fr-FR"/>
        </w:rPr>
      </w:pPr>
      <w:r w:rsidRPr="00E737B4">
        <w:rPr>
          <w:rFonts w:ascii="Times New Roman" w:eastAsia="Times New Roman" w:hAnsi="Times New Roman"/>
          <w:sz w:val="24"/>
          <w:lang w:eastAsia="fr-FR"/>
        </w:rPr>
        <w:t>C’est un risque de blessure et dans certaines conditions, de maladie professionnelle consécutive à des efforts physiques, morsure de serpent, des écrasements, des chocs, des gestes répétitifs, des mauvaises postures.</w:t>
      </w:r>
    </w:p>
    <w:p w14:paraId="291FB512" w14:textId="77777777" w:rsidR="00ED17F3" w:rsidRPr="00D75D2E" w:rsidRDefault="00ED17F3" w:rsidP="00ED17F3">
      <w:pPr>
        <w:spacing w:after="0" w:line="240" w:lineRule="auto"/>
        <w:jc w:val="both"/>
        <w:rPr>
          <w:rFonts w:ascii="Times New Roman" w:eastAsia="Times New Roman" w:hAnsi="Times New Roman"/>
          <w:lang w:eastAsia="fr-FR"/>
        </w:rPr>
      </w:pPr>
    </w:p>
    <w:tbl>
      <w:tblPr>
        <w:tblW w:w="8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24"/>
        <w:gridCol w:w="3686"/>
        <w:gridCol w:w="1275"/>
      </w:tblGrid>
      <w:tr w:rsidR="00D75D2E" w:rsidRPr="00420C1B" w14:paraId="22140382" w14:textId="77777777" w:rsidTr="00E737B4">
        <w:trPr>
          <w:trHeight w:val="717"/>
          <w:jc w:val="center"/>
        </w:trPr>
        <w:tc>
          <w:tcPr>
            <w:tcW w:w="4024" w:type="dxa"/>
            <w:vMerge w:val="restart"/>
          </w:tcPr>
          <w:p w14:paraId="407232EE"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Dangers et /ou situations dangereuses</w:t>
            </w:r>
          </w:p>
          <w:p w14:paraId="7818A18F"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Manutention de charges lourdes</w:t>
            </w:r>
          </w:p>
          <w:p w14:paraId="63FAE7A1"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Manutentions effectuées de façon répétitive et à cadence élevée</w:t>
            </w:r>
          </w:p>
          <w:p w14:paraId="2B94EEEB"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Mauvaise posture prise par le personnel (charges éloignées, dos courbé)</w:t>
            </w:r>
          </w:p>
          <w:p w14:paraId="0B9E88A3"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Travaux dans des zones instables ; </w:t>
            </w:r>
          </w:p>
        </w:tc>
        <w:tc>
          <w:tcPr>
            <w:tcW w:w="4961" w:type="dxa"/>
            <w:gridSpan w:val="2"/>
          </w:tcPr>
          <w:p w14:paraId="5BEC91D5"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      Evaluation qualitative du risque :</w:t>
            </w:r>
          </w:p>
          <w:p w14:paraId="1DA37033"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Ces situations dangereuses peuvent bien être rencontrées dans la zone de travail.</w:t>
            </w:r>
          </w:p>
        </w:tc>
      </w:tr>
      <w:tr w:rsidR="00D75D2E" w:rsidRPr="00420C1B" w14:paraId="0CD7A440" w14:textId="77777777" w:rsidTr="00E737B4">
        <w:trPr>
          <w:trHeight w:val="258"/>
          <w:jc w:val="center"/>
        </w:trPr>
        <w:tc>
          <w:tcPr>
            <w:tcW w:w="4024" w:type="dxa"/>
            <w:vMerge/>
          </w:tcPr>
          <w:p w14:paraId="74D767CB" w14:textId="77777777" w:rsidR="00ED17F3" w:rsidRPr="00D75D2E" w:rsidRDefault="00ED17F3" w:rsidP="007108ED">
            <w:pPr>
              <w:spacing w:after="0" w:line="240" w:lineRule="auto"/>
              <w:rPr>
                <w:rFonts w:ascii="Times New Roman" w:eastAsia="Times New Roman" w:hAnsi="Times New Roman"/>
                <w:b/>
                <w:lang w:eastAsia="fr-FR"/>
              </w:rPr>
            </w:pPr>
          </w:p>
        </w:tc>
        <w:tc>
          <w:tcPr>
            <w:tcW w:w="3686" w:type="dxa"/>
          </w:tcPr>
          <w:p w14:paraId="06B5C139"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Probabilité :</w:t>
            </w:r>
            <w:r w:rsidRPr="00D75D2E">
              <w:rPr>
                <w:rFonts w:ascii="Times New Roman" w:eastAsia="Times New Roman" w:hAnsi="Times New Roman"/>
                <w:lang w:eastAsia="fr-FR"/>
              </w:rPr>
              <w:t xml:space="preserve"> événement probable</w:t>
            </w:r>
          </w:p>
        </w:tc>
        <w:tc>
          <w:tcPr>
            <w:tcW w:w="1275" w:type="dxa"/>
          </w:tcPr>
          <w:p w14:paraId="05C25F88"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r>
      <w:tr w:rsidR="00D75D2E" w:rsidRPr="00420C1B" w14:paraId="3D5E0C17" w14:textId="77777777" w:rsidTr="00E737B4">
        <w:trPr>
          <w:trHeight w:val="243"/>
          <w:jc w:val="center"/>
        </w:trPr>
        <w:tc>
          <w:tcPr>
            <w:tcW w:w="4024" w:type="dxa"/>
            <w:vMerge/>
          </w:tcPr>
          <w:p w14:paraId="47C4D56F" w14:textId="77777777" w:rsidR="00ED17F3" w:rsidRPr="00D75D2E" w:rsidRDefault="00ED17F3" w:rsidP="007108ED">
            <w:pPr>
              <w:spacing w:after="0" w:line="240" w:lineRule="auto"/>
              <w:rPr>
                <w:rFonts w:ascii="Times New Roman" w:eastAsia="Times New Roman" w:hAnsi="Times New Roman"/>
                <w:b/>
                <w:lang w:eastAsia="fr-FR"/>
              </w:rPr>
            </w:pPr>
          </w:p>
        </w:tc>
        <w:tc>
          <w:tcPr>
            <w:tcW w:w="3686" w:type="dxa"/>
          </w:tcPr>
          <w:p w14:paraId="653CE747"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Gravité :</w:t>
            </w:r>
            <w:r w:rsidRPr="00D75D2E">
              <w:rPr>
                <w:rFonts w:ascii="Times New Roman" w:eastAsia="Times New Roman" w:hAnsi="Times New Roman"/>
                <w:lang w:eastAsia="fr-FR"/>
              </w:rPr>
              <w:t xml:space="preserve"> maladie avec arrêt de travail</w:t>
            </w:r>
          </w:p>
        </w:tc>
        <w:tc>
          <w:tcPr>
            <w:tcW w:w="1275" w:type="dxa"/>
            <w:tcBorders>
              <w:bottom w:val="single" w:sz="4" w:space="0" w:color="000000"/>
            </w:tcBorders>
          </w:tcPr>
          <w:p w14:paraId="6C817478"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G2</w:t>
            </w:r>
          </w:p>
        </w:tc>
      </w:tr>
      <w:tr w:rsidR="00D75D2E" w:rsidRPr="00420C1B" w14:paraId="493A1646" w14:textId="77777777" w:rsidTr="00E737B4">
        <w:trPr>
          <w:trHeight w:val="271"/>
          <w:jc w:val="center"/>
        </w:trPr>
        <w:tc>
          <w:tcPr>
            <w:tcW w:w="4024" w:type="dxa"/>
            <w:vMerge/>
          </w:tcPr>
          <w:p w14:paraId="5C02A8CB" w14:textId="77777777" w:rsidR="00ED17F3" w:rsidRPr="00D75D2E" w:rsidRDefault="00ED17F3" w:rsidP="007108ED">
            <w:pPr>
              <w:spacing w:after="0" w:line="240" w:lineRule="auto"/>
              <w:rPr>
                <w:rFonts w:ascii="Times New Roman" w:eastAsia="Times New Roman" w:hAnsi="Times New Roman"/>
                <w:b/>
                <w:lang w:eastAsia="fr-FR"/>
              </w:rPr>
            </w:pPr>
          </w:p>
        </w:tc>
        <w:tc>
          <w:tcPr>
            <w:tcW w:w="3686" w:type="dxa"/>
          </w:tcPr>
          <w:p w14:paraId="6D1256CD"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Niveau de risque</w:t>
            </w:r>
          </w:p>
        </w:tc>
        <w:tc>
          <w:tcPr>
            <w:tcW w:w="1275" w:type="dxa"/>
            <w:shd w:val="clear" w:color="auto" w:fill="FFFF00"/>
          </w:tcPr>
          <w:p w14:paraId="7398D541"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2</w:t>
            </w:r>
          </w:p>
        </w:tc>
      </w:tr>
      <w:tr w:rsidR="00D75D2E" w:rsidRPr="00420C1B" w14:paraId="34CDC44F" w14:textId="77777777" w:rsidTr="00E737B4">
        <w:trPr>
          <w:trHeight w:val="70"/>
          <w:jc w:val="center"/>
        </w:trPr>
        <w:tc>
          <w:tcPr>
            <w:tcW w:w="8985" w:type="dxa"/>
            <w:gridSpan w:val="3"/>
            <w:tcBorders>
              <w:top w:val="single" w:sz="4" w:space="0" w:color="000000"/>
            </w:tcBorders>
          </w:tcPr>
          <w:p w14:paraId="5475586A" w14:textId="77777777" w:rsidR="00ED17F3" w:rsidRPr="00D75D2E" w:rsidRDefault="00ED17F3" w:rsidP="007108ED">
            <w:pPr>
              <w:spacing w:after="0" w:line="240" w:lineRule="auto"/>
              <w:jc w:val="center"/>
              <w:rPr>
                <w:rFonts w:ascii="Times New Roman" w:eastAsia="Times New Roman" w:hAnsi="Times New Roman"/>
                <w:lang w:eastAsia="fr-FR"/>
              </w:rPr>
            </w:pPr>
            <w:r w:rsidRPr="00D75D2E">
              <w:rPr>
                <w:rFonts w:ascii="Times New Roman" w:eastAsia="Times New Roman" w:hAnsi="Times New Roman"/>
                <w:b/>
                <w:lang w:eastAsia="fr-FR"/>
              </w:rPr>
              <w:t>Mesures de prévention</w:t>
            </w:r>
          </w:p>
        </w:tc>
      </w:tr>
      <w:tr w:rsidR="00D75D2E" w:rsidRPr="00420C1B" w14:paraId="0B025055" w14:textId="77777777" w:rsidTr="00E737B4">
        <w:trPr>
          <w:trHeight w:val="70"/>
          <w:jc w:val="center"/>
        </w:trPr>
        <w:tc>
          <w:tcPr>
            <w:tcW w:w="8985" w:type="dxa"/>
            <w:gridSpan w:val="3"/>
            <w:tcBorders>
              <w:top w:val="single" w:sz="4" w:space="0" w:color="000000"/>
            </w:tcBorders>
          </w:tcPr>
          <w:p w14:paraId="54F0D075" w14:textId="77777777" w:rsidR="00ED17F3" w:rsidRPr="00D75D2E" w:rsidRDefault="00ED17F3" w:rsidP="007108ED">
            <w:pPr>
              <w:spacing w:after="0" w:line="240" w:lineRule="auto"/>
              <w:jc w:val="both"/>
              <w:rPr>
                <w:rFonts w:ascii="Times New Roman" w:eastAsia="Times New Roman" w:hAnsi="Times New Roman"/>
                <w:lang w:eastAsia="fr-FR"/>
              </w:rPr>
            </w:pPr>
            <w:r w:rsidRPr="00D75D2E">
              <w:rPr>
                <w:rFonts w:ascii="Times New Roman" w:eastAsia="Times New Roman" w:hAnsi="Times New Roman"/>
                <w:b/>
                <w:lang w:eastAsia="fr-FR"/>
              </w:rPr>
              <w:t>Protections collectives</w:t>
            </w:r>
          </w:p>
          <w:p w14:paraId="3579F677"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Utiliser des moyens de manutention : Transpalette par exemple</w:t>
            </w:r>
          </w:p>
          <w:p w14:paraId="22F10488"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Stabiliser les zones instables avant les travaux ; </w:t>
            </w:r>
          </w:p>
          <w:p w14:paraId="13478BF5"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Former le personnel à adopter des gestes et postures appropriées</w:t>
            </w:r>
          </w:p>
          <w:p w14:paraId="3AD0F279" w14:textId="77777777" w:rsidR="00ED17F3" w:rsidRPr="00D75D2E" w:rsidRDefault="00ED17F3" w:rsidP="007108ED">
            <w:pPr>
              <w:spacing w:after="0" w:line="240" w:lineRule="auto"/>
              <w:jc w:val="both"/>
              <w:rPr>
                <w:rFonts w:ascii="Times New Roman" w:eastAsia="Times New Roman" w:hAnsi="Times New Roman"/>
                <w:b/>
                <w:lang w:eastAsia="fr-FR"/>
              </w:rPr>
            </w:pPr>
            <w:r w:rsidRPr="00D75D2E">
              <w:rPr>
                <w:rFonts w:ascii="Times New Roman" w:eastAsia="Times New Roman" w:hAnsi="Times New Roman"/>
                <w:b/>
                <w:lang w:eastAsia="fr-FR"/>
              </w:rPr>
              <w:t>Protections individuelles</w:t>
            </w:r>
          </w:p>
          <w:p w14:paraId="7CF2D5D5"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Faire porter des équipements de protection individuelle (chaussures, gants …)</w:t>
            </w:r>
          </w:p>
        </w:tc>
      </w:tr>
    </w:tbl>
    <w:p w14:paraId="72D07B68" w14:textId="77777777" w:rsidR="00ED17F3" w:rsidRPr="00D75D2E" w:rsidRDefault="00ED17F3" w:rsidP="00215867">
      <w:pPr>
        <w:pStyle w:val="Titre4"/>
        <w:numPr>
          <w:ilvl w:val="3"/>
          <w:numId w:val="54"/>
        </w:numPr>
        <w:spacing w:before="200" w:after="120" w:line="20" w:lineRule="atLeast"/>
        <w:ind w:left="1276" w:hanging="851"/>
        <w:rPr>
          <w:color w:val="auto"/>
          <w:szCs w:val="24"/>
        </w:rPr>
      </w:pPr>
      <w:bookmarkStart w:id="697" w:name="_Toc19485010"/>
      <w:bookmarkStart w:id="698" w:name="_Toc19485164"/>
      <w:bookmarkStart w:id="699" w:name="_Toc409777778"/>
      <w:bookmarkStart w:id="700" w:name="_Toc428963593"/>
      <w:bookmarkStart w:id="701" w:name="_Toc103685689"/>
      <w:bookmarkEnd w:id="697"/>
      <w:bookmarkEnd w:id="698"/>
      <w:r w:rsidRPr="00D75D2E">
        <w:rPr>
          <w:color w:val="auto"/>
          <w:szCs w:val="24"/>
        </w:rPr>
        <w:t>Risque d’accident lié aux chutes et aux effondrements (personnes et objets)</w:t>
      </w:r>
      <w:bookmarkEnd w:id="699"/>
      <w:bookmarkEnd w:id="700"/>
      <w:bookmarkEnd w:id="701"/>
    </w:p>
    <w:p w14:paraId="431B3D44" w14:textId="77777777" w:rsidR="00ED17F3" w:rsidRPr="00E737B4" w:rsidRDefault="00ED17F3" w:rsidP="00ED17F3">
      <w:pPr>
        <w:autoSpaceDE w:val="0"/>
        <w:autoSpaceDN w:val="0"/>
        <w:adjustRightInd w:val="0"/>
        <w:spacing w:after="0" w:line="240" w:lineRule="auto"/>
        <w:jc w:val="both"/>
        <w:rPr>
          <w:rFonts w:ascii="Times New Roman" w:eastAsia="Times New Roman" w:hAnsi="Times New Roman"/>
          <w:sz w:val="24"/>
          <w:lang w:eastAsia="fr-FR"/>
        </w:rPr>
      </w:pPr>
      <w:r w:rsidRPr="00E737B4">
        <w:rPr>
          <w:rFonts w:ascii="Times New Roman" w:eastAsia="Times New Roman" w:hAnsi="Times New Roman"/>
          <w:sz w:val="24"/>
          <w:lang w:eastAsia="fr-FR"/>
        </w:rPr>
        <w:t>Ce risque est causé par les installations de chantier, des poteaux électriques, de tirage des câbles, etc. C’est un risque de blessure qui résulte de la chute d’objets provenant de stockage de matériaux, ou de l’effondrement de fouille, rupture de la corde/ceinture de soutien, etc.</w:t>
      </w:r>
    </w:p>
    <w:p w14:paraId="070A368B" w14:textId="77777777" w:rsidR="00ED17F3" w:rsidRPr="00D75D2E" w:rsidRDefault="00ED17F3" w:rsidP="00ED17F3">
      <w:pPr>
        <w:autoSpaceDE w:val="0"/>
        <w:autoSpaceDN w:val="0"/>
        <w:adjustRightInd w:val="0"/>
        <w:spacing w:after="0" w:line="240" w:lineRule="auto"/>
        <w:jc w:val="both"/>
        <w:rPr>
          <w:rFonts w:ascii="Times New Roman" w:eastAsia="Times New Roman" w:hAnsi="Times New Roman"/>
          <w:lang w:eastAsia="fr-FR"/>
        </w:rPr>
      </w:pPr>
    </w:p>
    <w:tbl>
      <w:tblPr>
        <w:tblW w:w="89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124"/>
        <w:gridCol w:w="527"/>
      </w:tblGrid>
      <w:tr w:rsidR="00D75D2E" w:rsidRPr="00420C1B" w14:paraId="23584A3B" w14:textId="77777777" w:rsidTr="00E737B4">
        <w:trPr>
          <w:trHeight w:val="688"/>
        </w:trPr>
        <w:tc>
          <w:tcPr>
            <w:tcW w:w="4252" w:type="dxa"/>
            <w:vMerge w:val="restart"/>
          </w:tcPr>
          <w:p w14:paraId="2DDB27FF"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Dangers et /ou situations dangereuses</w:t>
            </w:r>
          </w:p>
          <w:p w14:paraId="4B9A2FA3"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Objets stockés en hauteur (rack de stockage) ;</w:t>
            </w:r>
          </w:p>
          <w:p w14:paraId="75225D6C"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Tirage des câbles électriques ;</w:t>
            </w:r>
          </w:p>
          <w:p w14:paraId="4266F6F0"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Objets empilés sur de grandes hauteurs ;</w:t>
            </w:r>
          </w:p>
          <w:p w14:paraId="031C3506"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Matériau en vrac ;</w:t>
            </w:r>
          </w:p>
          <w:p w14:paraId="6C2AE6DE" w14:textId="77777777" w:rsidR="00ED17F3" w:rsidRPr="00EB6100" w:rsidRDefault="00ED17F3" w:rsidP="00215867">
            <w:pPr>
              <w:numPr>
                <w:ilvl w:val="0"/>
                <w:numId w:val="35"/>
              </w:numPr>
              <w:spacing w:after="0" w:line="240" w:lineRule="auto"/>
              <w:ind w:left="514"/>
              <w:contextualSpacing/>
              <w:jc w:val="both"/>
              <w:rPr>
                <w:rFonts w:ascii="Times New Roman" w:eastAsia="Times New Roman" w:hAnsi="Times New Roman"/>
                <w:b/>
                <w:lang w:eastAsia="fr-FR"/>
              </w:rPr>
            </w:pPr>
            <w:r w:rsidRPr="00D75D2E">
              <w:rPr>
                <w:rFonts w:ascii="Times New Roman" w:hAnsi="Times New Roman"/>
              </w:rPr>
              <w:t>Gravats issus des démolitions</w:t>
            </w:r>
          </w:p>
        </w:tc>
        <w:tc>
          <w:tcPr>
            <w:tcW w:w="4651" w:type="dxa"/>
            <w:gridSpan w:val="2"/>
          </w:tcPr>
          <w:p w14:paraId="44E7BBA0"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      Evaluation qualitative du risque :</w:t>
            </w:r>
          </w:p>
          <w:p w14:paraId="0915C5F7"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Ces situations dangereuses peuvent bien être rencontrées dans la zone de travail.</w:t>
            </w:r>
          </w:p>
        </w:tc>
      </w:tr>
      <w:tr w:rsidR="00D75D2E" w:rsidRPr="00420C1B" w14:paraId="4C8B4BEE" w14:textId="77777777" w:rsidTr="00E737B4">
        <w:trPr>
          <w:trHeight w:val="247"/>
        </w:trPr>
        <w:tc>
          <w:tcPr>
            <w:tcW w:w="4252" w:type="dxa"/>
            <w:vMerge/>
          </w:tcPr>
          <w:p w14:paraId="0D248770"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4124" w:type="dxa"/>
          </w:tcPr>
          <w:p w14:paraId="4D6C8A89"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 xml:space="preserve">Probabilité : </w:t>
            </w:r>
            <w:r w:rsidRPr="00D75D2E">
              <w:rPr>
                <w:rFonts w:ascii="Times New Roman" w:eastAsia="Times New Roman" w:hAnsi="Times New Roman"/>
                <w:lang w:eastAsia="fr-FR"/>
              </w:rPr>
              <w:t>Probable</w:t>
            </w:r>
          </w:p>
        </w:tc>
        <w:tc>
          <w:tcPr>
            <w:tcW w:w="527" w:type="dxa"/>
          </w:tcPr>
          <w:p w14:paraId="580B821C"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r>
      <w:tr w:rsidR="00D75D2E" w:rsidRPr="00420C1B" w14:paraId="3CB6224C" w14:textId="77777777" w:rsidTr="00E737B4">
        <w:trPr>
          <w:trHeight w:val="234"/>
        </w:trPr>
        <w:tc>
          <w:tcPr>
            <w:tcW w:w="4252" w:type="dxa"/>
            <w:vMerge/>
          </w:tcPr>
          <w:p w14:paraId="16ECC88C"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4124" w:type="dxa"/>
          </w:tcPr>
          <w:p w14:paraId="14D66998"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Gravité : </w:t>
            </w:r>
            <w:r w:rsidRPr="00D75D2E">
              <w:rPr>
                <w:rFonts w:ascii="Times New Roman" w:eastAsia="Times New Roman" w:hAnsi="Times New Roman"/>
                <w:lang w:eastAsia="fr-FR"/>
              </w:rPr>
              <w:t>maladie avec arrêt de travail</w:t>
            </w:r>
          </w:p>
        </w:tc>
        <w:tc>
          <w:tcPr>
            <w:tcW w:w="527" w:type="dxa"/>
            <w:tcBorders>
              <w:bottom w:val="single" w:sz="4" w:space="0" w:color="000000"/>
            </w:tcBorders>
          </w:tcPr>
          <w:p w14:paraId="009DB1AE"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G2</w:t>
            </w:r>
          </w:p>
        </w:tc>
      </w:tr>
      <w:tr w:rsidR="00D75D2E" w:rsidRPr="00420C1B" w14:paraId="357F879D" w14:textId="77777777" w:rsidTr="00E737B4">
        <w:trPr>
          <w:trHeight w:val="68"/>
        </w:trPr>
        <w:tc>
          <w:tcPr>
            <w:tcW w:w="4252" w:type="dxa"/>
            <w:vMerge/>
          </w:tcPr>
          <w:p w14:paraId="324E9F65"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4124" w:type="dxa"/>
          </w:tcPr>
          <w:p w14:paraId="0D45A635"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Niveau de risque :</w:t>
            </w:r>
          </w:p>
        </w:tc>
        <w:tc>
          <w:tcPr>
            <w:tcW w:w="527" w:type="dxa"/>
            <w:shd w:val="clear" w:color="auto" w:fill="FFFF00"/>
          </w:tcPr>
          <w:p w14:paraId="440601CA"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2</w:t>
            </w:r>
          </w:p>
        </w:tc>
      </w:tr>
      <w:tr w:rsidR="00D75D2E" w:rsidRPr="00420C1B" w14:paraId="3AF90A02" w14:textId="77777777" w:rsidTr="00E737B4">
        <w:trPr>
          <w:trHeight w:val="64"/>
        </w:trPr>
        <w:tc>
          <w:tcPr>
            <w:tcW w:w="8903" w:type="dxa"/>
            <w:gridSpan w:val="3"/>
          </w:tcPr>
          <w:p w14:paraId="788254B8" w14:textId="77777777" w:rsidR="00ED17F3" w:rsidRPr="00D75D2E" w:rsidRDefault="00ED17F3" w:rsidP="007108ED">
            <w:pPr>
              <w:spacing w:after="0" w:line="240" w:lineRule="auto"/>
              <w:jc w:val="center"/>
              <w:rPr>
                <w:rFonts w:ascii="Times New Roman" w:eastAsia="Times New Roman" w:hAnsi="Times New Roman"/>
                <w:lang w:eastAsia="fr-FR"/>
              </w:rPr>
            </w:pPr>
            <w:r w:rsidRPr="00D75D2E">
              <w:rPr>
                <w:rFonts w:ascii="Times New Roman" w:eastAsia="Times New Roman" w:hAnsi="Times New Roman"/>
                <w:b/>
                <w:lang w:eastAsia="fr-FR"/>
              </w:rPr>
              <w:t>Mesures de prévention</w:t>
            </w:r>
          </w:p>
        </w:tc>
      </w:tr>
      <w:tr w:rsidR="00D75D2E" w:rsidRPr="00420C1B" w14:paraId="394599FB" w14:textId="77777777" w:rsidTr="00E737B4">
        <w:trPr>
          <w:trHeight w:val="377"/>
        </w:trPr>
        <w:tc>
          <w:tcPr>
            <w:tcW w:w="8903" w:type="dxa"/>
            <w:gridSpan w:val="3"/>
          </w:tcPr>
          <w:p w14:paraId="7F01CF9B" w14:textId="77777777" w:rsidR="00ED17F3" w:rsidRPr="00D75D2E" w:rsidRDefault="00ED17F3" w:rsidP="00215867">
            <w:pPr>
              <w:spacing w:after="120" w:line="240" w:lineRule="auto"/>
              <w:jc w:val="both"/>
              <w:rPr>
                <w:rFonts w:ascii="Times New Roman" w:eastAsia="Times New Roman" w:hAnsi="Times New Roman"/>
                <w:lang w:eastAsia="fr-FR"/>
              </w:rPr>
            </w:pPr>
            <w:r w:rsidRPr="00D75D2E">
              <w:rPr>
                <w:rFonts w:ascii="Times New Roman" w:eastAsia="Times New Roman" w:hAnsi="Times New Roman"/>
                <w:b/>
                <w:lang w:eastAsia="fr-FR"/>
              </w:rPr>
              <w:t>Protections collectives</w:t>
            </w:r>
          </w:p>
          <w:p w14:paraId="03866832"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Organiser les stockages (emplacements réservés, modes de stockage adaptés aux objets, largeur des allées compatibles avec les moyens de manutention utilisés).</w:t>
            </w:r>
          </w:p>
          <w:p w14:paraId="5657F571"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Utiliser les échelles appropriées pour les travaux en hauteur ;</w:t>
            </w:r>
          </w:p>
          <w:p w14:paraId="076FE17F"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Limiter les hauteurs de stockage ;</w:t>
            </w:r>
          </w:p>
          <w:p w14:paraId="6A2A78C3"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Baliser les zones à risques ;</w:t>
            </w:r>
          </w:p>
          <w:p w14:paraId="7A67B072"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Remblayer les fouilles ;</w:t>
            </w:r>
          </w:p>
          <w:p w14:paraId="76E8FCEC"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Arrimer de manière correcte les charges manutentionnées ;</w:t>
            </w:r>
          </w:p>
          <w:p w14:paraId="633BDF25"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Sensibiliser le personnel de chantier sur les mesures de sécurité.</w:t>
            </w:r>
          </w:p>
          <w:p w14:paraId="0AEC8090" w14:textId="77777777" w:rsidR="00ED17F3" w:rsidRPr="00D75D2E" w:rsidRDefault="00ED17F3" w:rsidP="00215867">
            <w:pPr>
              <w:spacing w:before="120" w:after="120" w:line="240" w:lineRule="auto"/>
              <w:rPr>
                <w:rFonts w:ascii="Times New Roman" w:eastAsia="Times New Roman" w:hAnsi="Times New Roman"/>
                <w:lang w:eastAsia="fr-FR"/>
              </w:rPr>
            </w:pPr>
            <w:r w:rsidRPr="00D75D2E">
              <w:rPr>
                <w:rFonts w:ascii="Times New Roman" w:eastAsia="Times New Roman" w:hAnsi="Times New Roman"/>
                <w:b/>
                <w:lang w:eastAsia="fr-FR"/>
              </w:rPr>
              <w:t>Protections individuelles</w:t>
            </w:r>
          </w:p>
          <w:p w14:paraId="77AEF963" w14:textId="77777777" w:rsidR="00ED17F3"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Faire porter des équipements de protection individuelle (Harnett, chaussures de sécurité, casques…)</w:t>
            </w:r>
            <w:r w:rsidR="00134015">
              <w:rPr>
                <w:rFonts w:ascii="Times New Roman" w:hAnsi="Times New Roman"/>
              </w:rPr>
              <w:t> ;</w:t>
            </w:r>
          </w:p>
          <w:p w14:paraId="4F2F2BFB" w14:textId="3CD741DD" w:rsidR="00134015" w:rsidRPr="00215867" w:rsidRDefault="00134015" w:rsidP="00134015">
            <w:pPr>
              <w:numPr>
                <w:ilvl w:val="0"/>
                <w:numId w:val="35"/>
              </w:numPr>
              <w:spacing w:after="0" w:line="240" w:lineRule="auto"/>
              <w:ind w:left="514"/>
              <w:contextualSpacing/>
              <w:jc w:val="both"/>
              <w:rPr>
                <w:rFonts w:ascii="Times New Roman" w:hAnsi="Times New Roman"/>
              </w:rPr>
            </w:pPr>
            <w:r w:rsidRPr="00AE31F1">
              <w:rPr>
                <w:rFonts w:ascii="Times New Roman" w:hAnsi="Times New Roman"/>
              </w:rPr>
              <w:t>prévoir un</w:t>
            </w:r>
            <w:r w:rsidRPr="00215867">
              <w:rPr>
                <w:rFonts w:ascii="Times New Roman" w:hAnsi="Times New Roman"/>
              </w:rPr>
              <w:t xml:space="preserve"> système de permis pour les travaux </w:t>
            </w:r>
            <w:r w:rsidR="00723ADA" w:rsidRPr="00723ADA">
              <w:rPr>
                <w:rFonts w:ascii="Times New Roman" w:hAnsi="Times New Roman"/>
              </w:rPr>
              <w:t>à</w:t>
            </w:r>
            <w:r w:rsidRPr="00215867">
              <w:rPr>
                <w:rFonts w:ascii="Times New Roman" w:hAnsi="Times New Roman"/>
              </w:rPr>
              <w:t xml:space="preserve"> haut risque en collaboration avec l’hôpital de référence Kinshasa ;</w:t>
            </w:r>
          </w:p>
          <w:p w14:paraId="2E0CB9EE" w14:textId="7C713FD8" w:rsidR="00134015" w:rsidRPr="005B1D09" w:rsidRDefault="00134015" w:rsidP="005B1D09">
            <w:pPr>
              <w:numPr>
                <w:ilvl w:val="0"/>
                <w:numId w:val="35"/>
              </w:numPr>
              <w:spacing w:after="0" w:line="240" w:lineRule="auto"/>
              <w:ind w:left="514"/>
              <w:contextualSpacing/>
              <w:jc w:val="both"/>
              <w:rPr>
                <w:rFonts w:ascii="Times New Roman" w:hAnsi="Times New Roman"/>
              </w:rPr>
            </w:pPr>
            <w:r>
              <w:rPr>
                <w:rFonts w:ascii="Times New Roman" w:hAnsi="Times New Roman"/>
              </w:rPr>
              <w:t xml:space="preserve">Prévoir une assurance individuelle pour chacun des </w:t>
            </w:r>
            <w:r w:rsidR="0027374E">
              <w:rPr>
                <w:rFonts w:ascii="Times New Roman" w:hAnsi="Times New Roman"/>
              </w:rPr>
              <w:t>travailleurs</w:t>
            </w:r>
            <w:r>
              <w:rPr>
                <w:rFonts w:ascii="Times New Roman" w:hAnsi="Times New Roman"/>
              </w:rPr>
              <w:t xml:space="preserve"> pendant toute la durée des travaux.</w:t>
            </w:r>
            <w:r w:rsidRPr="00215867">
              <w:rPr>
                <w:rFonts w:ascii="Times New Roman" w:hAnsi="Times New Roman"/>
              </w:rPr>
              <w:t xml:space="preserve"> </w:t>
            </w:r>
          </w:p>
        </w:tc>
      </w:tr>
    </w:tbl>
    <w:p w14:paraId="3E3106B4" w14:textId="5FFA29A2" w:rsidR="00ED17F3" w:rsidRPr="00D75D2E" w:rsidRDefault="00ED17F3" w:rsidP="00215867">
      <w:pPr>
        <w:pStyle w:val="Titre4"/>
        <w:numPr>
          <w:ilvl w:val="3"/>
          <w:numId w:val="54"/>
        </w:numPr>
        <w:spacing w:before="200" w:after="120" w:line="20" w:lineRule="atLeast"/>
        <w:ind w:left="1276" w:hanging="851"/>
        <w:rPr>
          <w:color w:val="auto"/>
          <w:szCs w:val="24"/>
        </w:rPr>
      </w:pPr>
      <w:bookmarkStart w:id="702" w:name="_Toc428963594"/>
      <w:bookmarkStart w:id="703" w:name="_Toc103685690"/>
      <w:r w:rsidRPr="00D75D2E">
        <w:rPr>
          <w:color w:val="auto"/>
          <w:szCs w:val="24"/>
        </w:rPr>
        <w:t>Risques d’accident lié aux circulations des engins de chantier</w:t>
      </w:r>
      <w:bookmarkEnd w:id="702"/>
      <w:bookmarkEnd w:id="703"/>
    </w:p>
    <w:p w14:paraId="79DAFD08" w14:textId="77777777" w:rsidR="00ED17F3" w:rsidRPr="00D75D2E" w:rsidRDefault="00ED17F3" w:rsidP="00ED17F3">
      <w:pPr>
        <w:autoSpaceDE w:val="0"/>
        <w:autoSpaceDN w:val="0"/>
        <w:adjustRightInd w:val="0"/>
        <w:spacing w:after="0" w:line="240" w:lineRule="auto"/>
        <w:jc w:val="both"/>
        <w:rPr>
          <w:rFonts w:ascii="Times New Roman" w:eastAsia="Times New Roman" w:hAnsi="Times New Roman"/>
          <w:lang w:eastAsia="fr-FR"/>
        </w:rPr>
      </w:pPr>
      <w:r w:rsidRPr="00E737B4">
        <w:rPr>
          <w:rFonts w:ascii="Times New Roman" w:eastAsia="Times New Roman" w:hAnsi="Times New Roman"/>
          <w:sz w:val="24"/>
          <w:lang w:eastAsia="fr-FR"/>
        </w:rPr>
        <w:t xml:space="preserve">L’exploitation de la base de chantier et le transport des matériaux comporte des risques d’accidents surtout pour le personnel, mais aussi pour la population riveraine. C’est un risque de blessure résultant d’un accident de circulation à l’intérieur ou à l’extérieur </w:t>
      </w:r>
      <w:r w:rsidRPr="00D75D2E">
        <w:rPr>
          <w:rFonts w:ascii="Times New Roman" w:eastAsia="Times New Roman" w:hAnsi="Times New Roman"/>
          <w:lang w:eastAsia="fr-FR"/>
        </w:rPr>
        <w:t xml:space="preserve">de la zone de travail. </w:t>
      </w:r>
    </w:p>
    <w:p w14:paraId="612A0D59" w14:textId="77777777" w:rsidR="00ED17F3" w:rsidRPr="00D75D2E" w:rsidRDefault="00ED17F3" w:rsidP="00ED17F3">
      <w:pPr>
        <w:autoSpaceDE w:val="0"/>
        <w:autoSpaceDN w:val="0"/>
        <w:adjustRightInd w:val="0"/>
        <w:spacing w:after="0" w:line="240" w:lineRule="auto"/>
        <w:jc w:val="both"/>
        <w:rPr>
          <w:rFonts w:ascii="Times New Roman" w:eastAsia="Times New Roman" w:hAnsi="Times New Roman"/>
          <w:lang w:eastAsia="fr-FR"/>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6"/>
        <w:gridCol w:w="3998"/>
        <w:gridCol w:w="567"/>
      </w:tblGrid>
      <w:tr w:rsidR="00D75D2E" w:rsidRPr="00420C1B" w14:paraId="119C95B6" w14:textId="77777777" w:rsidTr="00E737B4">
        <w:trPr>
          <w:trHeight w:val="682"/>
        </w:trPr>
        <w:tc>
          <w:tcPr>
            <w:tcW w:w="4366" w:type="dxa"/>
            <w:vMerge w:val="restart"/>
          </w:tcPr>
          <w:p w14:paraId="254EE979"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Dangers et /ou situations dangereuses</w:t>
            </w:r>
          </w:p>
          <w:p w14:paraId="5F5F8E23" w14:textId="77777777" w:rsidR="00ED17F3" w:rsidRPr="00E737B4"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Absence de plan de circulation ; </w:t>
            </w:r>
          </w:p>
          <w:p w14:paraId="6FDCC3FB" w14:textId="77777777" w:rsidR="00ED17F3" w:rsidRPr="00E737B4"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Vitesse excessive ou absence de visibilité lors des manœuvres</w:t>
            </w:r>
          </w:p>
          <w:p w14:paraId="03576A46" w14:textId="77777777" w:rsidR="00ED17F3" w:rsidRPr="00E737B4"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Contraintes de délais</w:t>
            </w:r>
          </w:p>
          <w:p w14:paraId="4B94BD18" w14:textId="77777777" w:rsidR="00ED17F3" w:rsidRPr="00D75D2E" w:rsidRDefault="00ED17F3" w:rsidP="008C79F0">
            <w:pPr>
              <w:numPr>
                <w:ilvl w:val="0"/>
                <w:numId w:val="35"/>
              </w:numPr>
              <w:spacing w:after="0" w:line="240" w:lineRule="auto"/>
              <w:ind w:left="514"/>
              <w:contextualSpacing/>
              <w:jc w:val="both"/>
              <w:rPr>
                <w:rFonts w:ascii="Times New Roman" w:hAnsi="Times New Roman"/>
                <w:b/>
              </w:rPr>
            </w:pPr>
            <w:r w:rsidRPr="00D75D2E">
              <w:rPr>
                <w:rFonts w:ascii="Times New Roman" w:hAnsi="Times New Roman"/>
              </w:rPr>
              <w:t>Véhicules inadaptés</w:t>
            </w:r>
          </w:p>
        </w:tc>
        <w:tc>
          <w:tcPr>
            <w:tcW w:w="4565" w:type="dxa"/>
            <w:gridSpan w:val="2"/>
          </w:tcPr>
          <w:p w14:paraId="24272E5E"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      Evaluation qualitative du risque :</w:t>
            </w:r>
          </w:p>
          <w:p w14:paraId="0E2A8E2A"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Ces situations dangereuses peuvent bien être rencontrées dans la zone de travail.</w:t>
            </w:r>
          </w:p>
        </w:tc>
      </w:tr>
      <w:tr w:rsidR="00D75D2E" w:rsidRPr="00420C1B" w14:paraId="6CAC4FFA" w14:textId="77777777" w:rsidTr="00E737B4">
        <w:trPr>
          <w:trHeight w:val="245"/>
        </w:trPr>
        <w:tc>
          <w:tcPr>
            <w:tcW w:w="4366" w:type="dxa"/>
            <w:vMerge/>
          </w:tcPr>
          <w:p w14:paraId="3F28204A"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3998" w:type="dxa"/>
          </w:tcPr>
          <w:p w14:paraId="016B8111"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 xml:space="preserve">Probabilité : </w:t>
            </w:r>
            <w:r w:rsidRPr="00D75D2E">
              <w:rPr>
                <w:rFonts w:ascii="Times New Roman" w:eastAsia="Times New Roman" w:hAnsi="Times New Roman"/>
                <w:lang w:eastAsia="fr-FR"/>
              </w:rPr>
              <w:t>Probable</w:t>
            </w:r>
          </w:p>
        </w:tc>
        <w:tc>
          <w:tcPr>
            <w:tcW w:w="567" w:type="dxa"/>
          </w:tcPr>
          <w:p w14:paraId="144315E9"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r>
      <w:tr w:rsidR="00D75D2E" w:rsidRPr="00420C1B" w14:paraId="34C25024" w14:textId="77777777" w:rsidTr="00E737B4">
        <w:trPr>
          <w:trHeight w:val="231"/>
        </w:trPr>
        <w:tc>
          <w:tcPr>
            <w:tcW w:w="4366" w:type="dxa"/>
            <w:vMerge/>
          </w:tcPr>
          <w:p w14:paraId="29852857"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3998" w:type="dxa"/>
          </w:tcPr>
          <w:p w14:paraId="74694CDF"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Gravité : </w:t>
            </w:r>
            <w:r w:rsidRPr="00D75D2E">
              <w:rPr>
                <w:rFonts w:ascii="Times New Roman" w:eastAsia="Times New Roman" w:hAnsi="Times New Roman"/>
                <w:lang w:eastAsia="fr-FR"/>
              </w:rPr>
              <w:t>maladie avec arrêt de travail</w:t>
            </w:r>
          </w:p>
        </w:tc>
        <w:tc>
          <w:tcPr>
            <w:tcW w:w="567" w:type="dxa"/>
            <w:tcBorders>
              <w:bottom w:val="single" w:sz="4" w:space="0" w:color="000000"/>
            </w:tcBorders>
          </w:tcPr>
          <w:p w14:paraId="06B6FADB"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G2</w:t>
            </w:r>
          </w:p>
        </w:tc>
      </w:tr>
      <w:tr w:rsidR="00D75D2E" w:rsidRPr="00420C1B" w14:paraId="3FD49619" w14:textId="77777777" w:rsidTr="00E737B4">
        <w:trPr>
          <w:trHeight w:val="68"/>
        </w:trPr>
        <w:tc>
          <w:tcPr>
            <w:tcW w:w="4366" w:type="dxa"/>
            <w:vMerge/>
          </w:tcPr>
          <w:p w14:paraId="1D8951D7" w14:textId="77777777" w:rsidR="00ED17F3" w:rsidRPr="00D75D2E" w:rsidRDefault="00ED17F3" w:rsidP="008C79F0">
            <w:pPr>
              <w:numPr>
                <w:ilvl w:val="0"/>
                <w:numId w:val="37"/>
              </w:numPr>
              <w:spacing w:after="0" w:line="240" w:lineRule="auto"/>
              <w:jc w:val="both"/>
              <w:rPr>
                <w:rFonts w:ascii="Times New Roman" w:eastAsia="Times New Roman" w:hAnsi="Times New Roman"/>
                <w:lang w:eastAsia="fr-FR"/>
              </w:rPr>
            </w:pPr>
          </w:p>
        </w:tc>
        <w:tc>
          <w:tcPr>
            <w:tcW w:w="3998" w:type="dxa"/>
          </w:tcPr>
          <w:p w14:paraId="38157A00"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Niveau de risque :</w:t>
            </w:r>
          </w:p>
        </w:tc>
        <w:tc>
          <w:tcPr>
            <w:tcW w:w="567" w:type="dxa"/>
            <w:shd w:val="clear" w:color="auto" w:fill="FFFF00"/>
          </w:tcPr>
          <w:p w14:paraId="2AF6241F"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2</w:t>
            </w:r>
          </w:p>
        </w:tc>
      </w:tr>
      <w:tr w:rsidR="00D75D2E" w:rsidRPr="00420C1B" w14:paraId="61BCC9EA" w14:textId="77777777" w:rsidTr="00E737B4">
        <w:trPr>
          <w:trHeight w:val="219"/>
        </w:trPr>
        <w:tc>
          <w:tcPr>
            <w:tcW w:w="8931" w:type="dxa"/>
            <w:gridSpan w:val="3"/>
            <w:tcBorders>
              <w:bottom w:val="single" w:sz="4" w:space="0" w:color="auto"/>
            </w:tcBorders>
          </w:tcPr>
          <w:p w14:paraId="598F18F1" w14:textId="77777777" w:rsidR="00ED17F3" w:rsidRPr="00D75D2E" w:rsidRDefault="00ED17F3" w:rsidP="007108ED">
            <w:pPr>
              <w:spacing w:after="0" w:line="240" w:lineRule="auto"/>
              <w:jc w:val="center"/>
              <w:rPr>
                <w:rFonts w:ascii="Times New Roman" w:hAnsi="Times New Roman"/>
              </w:rPr>
            </w:pPr>
            <w:bookmarkStart w:id="704" w:name="_Toc428963595"/>
            <w:r w:rsidRPr="00D75D2E">
              <w:rPr>
                <w:rFonts w:ascii="Times New Roman" w:eastAsia="Times New Roman" w:hAnsi="Times New Roman"/>
                <w:b/>
                <w:lang w:eastAsia="fr-FR"/>
              </w:rPr>
              <w:t>Mesures de prévention</w:t>
            </w:r>
          </w:p>
        </w:tc>
      </w:tr>
      <w:tr w:rsidR="00D75D2E" w:rsidRPr="00420C1B" w14:paraId="30EB554E" w14:textId="77777777" w:rsidTr="00E737B4">
        <w:trPr>
          <w:trHeight w:val="2695"/>
        </w:trPr>
        <w:tc>
          <w:tcPr>
            <w:tcW w:w="8931" w:type="dxa"/>
            <w:gridSpan w:val="3"/>
            <w:tcBorders>
              <w:top w:val="single" w:sz="4" w:space="0" w:color="auto"/>
            </w:tcBorders>
          </w:tcPr>
          <w:p w14:paraId="229AF339" w14:textId="1B4CDD66" w:rsidR="00ED17F3"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Établir</w:t>
            </w:r>
            <w:r w:rsidR="00A648F6">
              <w:rPr>
                <w:rFonts w:ascii="Times New Roman" w:hAnsi="Times New Roman"/>
              </w:rPr>
              <w:t xml:space="preserve"> et mettre en œuvre </w:t>
            </w:r>
            <w:r w:rsidRPr="00D75D2E">
              <w:rPr>
                <w:rFonts w:ascii="Times New Roman" w:hAnsi="Times New Roman"/>
              </w:rPr>
              <w:t xml:space="preserve"> un plan de circulation</w:t>
            </w:r>
            <w:r w:rsidR="00A648F6">
              <w:rPr>
                <w:rFonts w:ascii="Times New Roman" w:hAnsi="Times New Roman"/>
              </w:rPr>
              <w:t xml:space="preserve"> des véhicules et former les conducteurs en conduite défensive </w:t>
            </w:r>
          </w:p>
          <w:p w14:paraId="6ED6436E" w14:textId="2EFAC840" w:rsidR="00134015" w:rsidRPr="00D75D2E" w:rsidRDefault="00134015" w:rsidP="008C79F0">
            <w:pPr>
              <w:numPr>
                <w:ilvl w:val="0"/>
                <w:numId w:val="35"/>
              </w:numPr>
              <w:spacing w:after="0" w:line="240" w:lineRule="auto"/>
              <w:ind w:left="514"/>
              <w:contextualSpacing/>
              <w:jc w:val="both"/>
              <w:rPr>
                <w:rFonts w:ascii="Times New Roman" w:hAnsi="Times New Roman"/>
              </w:rPr>
            </w:pPr>
            <w:r>
              <w:rPr>
                <w:rFonts w:ascii="Times New Roman" w:hAnsi="Times New Roman"/>
              </w:rPr>
              <w:t xml:space="preserve">Prévoir et mettre en œuvre un plan d’Information Education Communication sur les  </w:t>
            </w:r>
            <w:r w:rsidRPr="00420C1B">
              <w:t>risques de sécurité routière</w:t>
            </w:r>
            <w:r>
              <w:rPr>
                <w:rFonts w:ascii="Times New Roman" w:hAnsi="Times New Roman"/>
              </w:rPr>
              <w:t xml:space="preserve"> des populations riveraines ; </w:t>
            </w:r>
          </w:p>
          <w:p w14:paraId="2D7183B0"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Systématiser l’entretien régulier des véhicules</w:t>
            </w:r>
          </w:p>
          <w:p w14:paraId="76D5B054"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Systématiser le dispositif de sécurité des véhicules (panneaux de signalisation, avertisseur sonore, signal lumineux, avertisseur de recul sonore etc.), </w:t>
            </w:r>
          </w:p>
          <w:p w14:paraId="7EDA8BF6"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Former les opérateurs à la conduite en sécurité.</w:t>
            </w:r>
          </w:p>
          <w:p w14:paraId="2138498A"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Mettre à disposition des véhicules adaptés ; </w:t>
            </w:r>
          </w:p>
          <w:p w14:paraId="0769FFA3"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Entretenir périodiquement les véhicules ; </w:t>
            </w:r>
          </w:p>
          <w:p w14:paraId="0880D527"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Organiser les déplacements ; </w:t>
            </w:r>
          </w:p>
          <w:p w14:paraId="517DF0D7" w14:textId="77777777" w:rsidR="00ED17F3" w:rsidRPr="00D75D2E" w:rsidRDefault="00ED17F3" w:rsidP="008C79F0">
            <w:pPr>
              <w:numPr>
                <w:ilvl w:val="0"/>
                <w:numId w:val="35"/>
              </w:numPr>
              <w:spacing w:after="0" w:line="240" w:lineRule="auto"/>
              <w:ind w:left="514"/>
              <w:contextualSpacing/>
              <w:jc w:val="both"/>
              <w:rPr>
                <w:rFonts w:ascii="Times New Roman" w:hAnsi="Times New Roman"/>
              </w:rPr>
            </w:pPr>
            <w:r w:rsidRPr="00D75D2E">
              <w:rPr>
                <w:rFonts w:ascii="Times New Roman" w:hAnsi="Times New Roman"/>
              </w:rPr>
              <w:t xml:space="preserve">Interdire l’alcool au volant ; </w:t>
            </w:r>
          </w:p>
          <w:p w14:paraId="678D405E" w14:textId="77777777" w:rsidR="00ED17F3" w:rsidRPr="00D75D2E" w:rsidRDefault="00ED17F3" w:rsidP="008C79F0">
            <w:pPr>
              <w:numPr>
                <w:ilvl w:val="0"/>
                <w:numId w:val="35"/>
              </w:numPr>
              <w:spacing w:after="0" w:line="240" w:lineRule="auto"/>
              <w:ind w:left="514"/>
              <w:contextualSpacing/>
              <w:jc w:val="both"/>
              <w:rPr>
                <w:rFonts w:ascii="Times New Roman" w:eastAsia="Times New Roman" w:hAnsi="Times New Roman"/>
                <w:b/>
                <w:lang w:eastAsia="fr-FR"/>
              </w:rPr>
            </w:pPr>
            <w:r w:rsidRPr="00D75D2E">
              <w:rPr>
                <w:rFonts w:ascii="Times New Roman" w:hAnsi="Times New Roman"/>
              </w:rPr>
              <w:t>Ne pas téléphoner pendant le trajet (système de répondeur)</w:t>
            </w:r>
          </w:p>
        </w:tc>
      </w:tr>
    </w:tbl>
    <w:p w14:paraId="24A80112" w14:textId="77777777" w:rsidR="00ED17F3" w:rsidRPr="00D75D2E" w:rsidRDefault="00ED17F3" w:rsidP="00215867">
      <w:pPr>
        <w:pStyle w:val="Titre4"/>
        <w:numPr>
          <w:ilvl w:val="3"/>
          <w:numId w:val="54"/>
        </w:numPr>
        <w:spacing w:before="200" w:after="120" w:line="20" w:lineRule="atLeast"/>
        <w:ind w:left="1276" w:hanging="851"/>
        <w:rPr>
          <w:color w:val="auto"/>
          <w:szCs w:val="24"/>
        </w:rPr>
      </w:pPr>
      <w:bookmarkStart w:id="705" w:name="_Toc19485013"/>
      <w:bookmarkStart w:id="706" w:name="_Toc19485167"/>
      <w:bookmarkStart w:id="707" w:name="_Toc103685691"/>
      <w:bookmarkEnd w:id="704"/>
      <w:bookmarkEnd w:id="705"/>
      <w:bookmarkEnd w:id="706"/>
      <w:r w:rsidRPr="00D75D2E">
        <w:rPr>
          <w:color w:val="auto"/>
          <w:szCs w:val="24"/>
        </w:rPr>
        <w:t>Risques de prolifération des déchets</w:t>
      </w:r>
      <w:bookmarkEnd w:id="707"/>
      <w:r w:rsidRPr="00D75D2E">
        <w:rPr>
          <w:color w:val="auto"/>
          <w:szCs w:val="24"/>
        </w:rPr>
        <w:t xml:space="preserve"> </w:t>
      </w:r>
    </w:p>
    <w:p w14:paraId="5C3DD885" w14:textId="77777777" w:rsidR="00ED17F3" w:rsidRPr="00E737B4" w:rsidRDefault="00ED17F3" w:rsidP="00ED17F3">
      <w:pPr>
        <w:rPr>
          <w:rFonts w:ascii="Times New Roman" w:hAnsi="Times New Roman"/>
          <w:sz w:val="24"/>
        </w:rPr>
      </w:pPr>
      <w:r w:rsidRPr="00E737B4">
        <w:rPr>
          <w:rFonts w:ascii="Times New Roman" w:hAnsi="Times New Roman"/>
          <w:sz w:val="24"/>
        </w:rPr>
        <w:t>L’insuffisance du dispositif de gestion des déchets ménagers engendre une prolifération des déchets dans presque toutes les communes abritant le projet. C’est un risque grave pour la santé publique. Des mesures de gestion de ces déchets doivent être nécessairement envisagées.</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6"/>
        <w:gridCol w:w="4106"/>
        <w:gridCol w:w="749"/>
      </w:tblGrid>
      <w:tr w:rsidR="00D75D2E" w:rsidRPr="00420C1B" w14:paraId="4A34BDF6" w14:textId="77777777" w:rsidTr="00E737B4">
        <w:trPr>
          <w:trHeight w:val="844"/>
        </w:trPr>
        <w:tc>
          <w:tcPr>
            <w:tcW w:w="4076" w:type="dxa"/>
            <w:vMerge w:val="restart"/>
          </w:tcPr>
          <w:p w14:paraId="4BA83D02"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Dangers et /ou situations dangereuses</w:t>
            </w:r>
          </w:p>
          <w:p w14:paraId="103955A3"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xml:space="preserve">Insuffisance des décharges publiques </w:t>
            </w:r>
          </w:p>
          <w:p w14:paraId="029714E0"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Fermeture de certaines décharges publiques ;</w:t>
            </w:r>
          </w:p>
          <w:p w14:paraId="790893DD"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Insuffisance de matériaux et d’équipement d’enlèvement des ordures.</w:t>
            </w:r>
          </w:p>
        </w:tc>
        <w:tc>
          <w:tcPr>
            <w:tcW w:w="4855" w:type="dxa"/>
            <w:gridSpan w:val="2"/>
          </w:tcPr>
          <w:p w14:paraId="591D71DB"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      Evaluation qualitative du risque :</w:t>
            </w:r>
          </w:p>
          <w:p w14:paraId="59A5D6F8" w14:textId="77777777" w:rsidR="00ED17F3" w:rsidRPr="00D75D2E" w:rsidRDefault="00ED17F3" w:rsidP="007108ED">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Ces situations dangereuses peuvent bien être rencontrées dans les différentes communes cibles.</w:t>
            </w:r>
          </w:p>
        </w:tc>
      </w:tr>
      <w:tr w:rsidR="00D75D2E" w:rsidRPr="00420C1B" w14:paraId="2D813543" w14:textId="77777777" w:rsidTr="00E737B4">
        <w:trPr>
          <w:trHeight w:val="169"/>
        </w:trPr>
        <w:tc>
          <w:tcPr>
            <w:tcW w:w="4076" w:type="dxa"/>
            <w:vMerge/>
          </w:tcPr>
          <w:p w14:paraId="64686659" w14:textId="77777777" w:rsidR="00ED17F3" w:rsidRPr="00D75D2E" w:rsidRDefault="00ED17F3" w:rsidP="007108ED">
            <w:pPr>
              <w:spacing w:after="0" w:line="240" w:lineRule="auto"/>
              <w:rPr>
                <w:rFonts w:ascii="Times New Roman" w:eastAsia="Times New Roman" w:hAnsi="Times New Roman"/>
                <w:b/>
                <w:lang w:eastAsia="fr-FR"/>
              </w:rPr>
            </w:pPr>
          </w:p>
        </w:tc>
        <w:tc>
          <w:tcPr>
            <w:tcW w:w="4106" w:type="dxa"/>
          </w:tcPr>
          <w:p w14:paraId="142B5853"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Probabilité :</w:t>
            </w:r>
            <w:r w:rsidRPr="00D75D2E">
              <w:rPr>
                <w:rFonts w:ascii="Times New Roman" w:eastAsia="Times New Roman" w:hAnsi="Times New Roman"/>
                <w:lang w:eastAsia="fr-FR"/>
              </w:rPr>
              <w:t xml:space="preserve"> événement probable</w:t>
            </w:r>
          </w:p>
        </w:tc>
        <w:tc>
          <w:tcPr>
            <w:tcW w:w="749" w:type="dxa"/>
          </w:tcPr>
          <w:p w14:paraId="5DE82285"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r>
      <w:tr w:rsidR="00D75D2E" w:rsidRPr="00420C1B" w14:paraId="6EB5D073" w14:textId="77777777" w:rsidTr="00E737B4">
        <w:trPr>
          <w:trHeight w:val="239"/>
        </w:trPr>
        <w:tc>
          <w:tcPr>
            <w:tcW w:w="4076" w:type="dxa"/>
            <w:vMerge/>
          </w:tcPr>
          <w:p w14:paraId="50E52939" w14:textId="77777777" w:rsidR="00ED17F3" w:rsidRPr="00D75D2E" w:rsidRDefault="00ED17F3" w:rsidP="007108ED">
            <w:pPr>
              <w:spacing w:after="0" w:line="240" w:lineRule="auto"/>
              <w:rPr>
                <w:rFonts w:ascii="Times New Roman" w:eastAsia="Times New Roman" w:hAnsi="Times New Roman"/>
                <w:b/>
                <w:lang w:eastAsia="fr-FR"/>
              </w:rPr>
            </w:pPr>
          </w:p>
        </w:tc>
        <w:tc>
          <w:tcPr>
            <w:tcW w:w="4106" w:type="dxa"/>
          </w:tcPr>
          <w:p w14:paraId="026B6067"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 xml:space="preserve">Gravité : </w:t>
            </w:r>
            <w:r w:rsidRPr="00D75D2E">
              <w:rPr>
                <w:rFonts w:ascii="Times New Roman" w:eastAsia="Times New Roman" w:hAnsi="Times New Roman"/>
                <w:lang w:eastAsia="fr-FR"/>
              </w:rPr>
              <w:t>pollution source de</w:t>
            </w:r>
            <w:r w:rsidRPr="00D75D2E">
              <w:rPr>
                <w:rFonts w:ascii="Times New Roman" w:eastAsia="Times New Roman" w:hAnsi="Times New Roman"/>
                <w:b/>
                <w:lang w:eastAsia="fr-FR"/>
              </w:rPr>
              <w:t xml:space="preserve"> </w:t>
            </w:r>
            <w:r w:rsidRPr="00D75D2E">
              <w:rPr>
                <w:rFonts w:ascii="Times New Roman" w:eastAsia="Times New Roman" w:hAnsi="Times New Roman"/>
                <w:lang w:eastAsia="fr-FR"/>
              </w:rPr>
              <w:t xml:space="preserve">maladies </w:t>
            </w:r>
          </w:p>
        </w:tc>
        <w:tc>
          <w:tcPr>
            <w:tcW w:w="749" w:type="dxa"/>
            <w:tcBorders>
              <w:bottom w:val="single" w:sz="4" w:space="0" w:color="000000"/>
            </w:tcBorders>
          </w:tcPr>
          <w:p w14:paraId="6C5E0A16"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G4</w:t>
            </w:r>
          </w:p>
        </w:tc>
      </w:tr>
      <w:tr w:rsidR="00D75D2E" w:rsidRPr="00420C1B" w14:paraId="639ACE5E" w14:textId="77777777" w:rsidTr="00E737B4">
        <w:trPr>
          <w:trHeight w:val="65"/>
        </w:trPr>
        <w:tc>
          <w:tcPr>
            <w:tcW w:w="4076" w:type="dxa"/>
            <w:vMerge/>
          </w:tcPr>
          <w:p w14:paraId="500AB041" w14:textId="77777777" w:rsidR="00ED17F3" w:rsidRPr="00D75D2E" w:rsidRDefault="00ED17F3" w:rsidP="007108ED">
            <w:pPr>
              <w:spacing w:after="0" w:line="240" w:lineRule="auto"/>
              <w:rPr>
                <w:rFonts w:ascii="Times New Roman" w:eastAsia="Times New Roman" w:hAnsi="Times New Roman"/>
                <w:b/>
                <w:lang w:eastAsia="fr-FR"/>
              </w:rPr>
            </w:pPr>
          </w:p>
        </w:tc>
        <w:tc>
          <w:tcPr>
            <w:tcW w:w="4106" w:type="dxa"/>
          </w:tcPr>
          <w:p w14:paraId="45189DC8"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Niveau de risque</w:t>
            </w:r>
          </w:p>
        </w:tc>
        <w:tc>
          <w:tcPr>
            <w:tcW w:w="749" w:type="dxa"/>
            <w:shd w:val="clear" w:color="auto" w:fill="FF0000"/>
          </w:tcPr>
          <w:p w14:paraId="5C69D846"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1</w:t>
            </w:r>
          </w:p>
        </w:tc>
      </w:tr>
      <w:tr w:rsidR="00D75D2E" w:rsidRPr="00420C1B" w14:paraId="2795445D" w14:textId="77777777" w:rsidTr="00E7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trPr>
        <w:tc>
          <w:tcPr>
            <w:tcW w:w="8931" w:type="dxa"/>
            <w:gridSpan w:val="3"/>
          </w:tcPr>
          <w:p w14:paraId="44EBDD4A" w14:textId="77777777" w:rsidR="00ED17F3" w:rsidRPr="00D75D2E" w:rsidRDefault="00ED17F3" w:rsidP="007108ED">
            <w:pPr>
              <w:spacing w:after="0" w:line="240" w:lineRule="auto"/>
              <w:jc w:val="center"/>
              <w:rPr>
                <w:rFonts w:ascii="Times New Roman" w:eastAsia="Times New Roman" w:hAnsi="Times New Roman"/>
                <w:lang w:eastAsia="fr-FR"/>
              </w:rPr>
            </w:pPr>
            <w:r w:rsidRPr="00D75D2E">
              <w:rPr>
                <w:rFonts w:ascii="Times New Roman" w:eastAsia="Times New Roman" w:hAnsi="Times New Roman"/>
                <w:b/>
                <w:lang w:eastAsia="fr-FR"/>
              </w:rPr>
              <w:t>Mesures de prévention et de protection</w:t>
            </w:r>
          </w:p>
        </w:tc>
      </w:tr>
      <w:tr w:rsidR="00D75D2E" w:rsidRPr="00420C1B" w14:paraId="53786506" w14:textId="77777777" w:rsidTr="00E737B4">
        <w:trPr>
          <w:trHeight w:val="246"/>
        </w:trPr>
        <w:tc>
          <w:tcPr>
            <w:tcW w:w="8931" w:type="dxa"/>
            <w:gridSpan w:val="3"/>
          </w:tcPr>
          <w:p w14:paraId="40549466" w14:textId="76AB5190" w:rsidR="00174071" w:rsidRDefault="00174071" w:rsidP="00AE31F1">
            <w:pPr>
              <w:spacing w:after="0" w:line="240" w:lineRule="auto"/>
              <w:ind w:left="360"/>
              <w:rPr>
                <w:rFonts w:ascii="Times New Roman" w:eastAsia="Times New Roman" w:hAnsi="Times New Roman"/>
                <w:lang w:eastAsia="fr-FR"/>
              </w:rPr>
            </w:pPr>
            <w:r>
              <w:rPr>
                <w:rFonts w:ascii="Times New Roman" w:eastAsia="Times New Roman" w:hAnsi="Times New Roman"/>
                <w:lang w:eastAsia="fr-FR"/>
              </w:rPr>
              <w:t>Elaborer</w:t>
            </w:r>
            <w:r w:rsidR="00D50056">
              <w:rPr>
                <w:rFonts w:ascii="Times New Roman" w:eastAsia="Times New Roman" w:hAnsi="Times New Roman"/>
                <w:lang w:eastAsia="fr-FR"/>
              </w:rPr>
              <w:t xml:space="preserve"> et mettre en œuvre </w:t>
            </w:r>
            <w:r>
              <w:rPr>
                <w:rFonts w:ascii="Times New Roman" w:eastAsia="Times New Roman" w:hAnsi="Times New Roman"/>
                <w:lang w:eastAsia="fr-FR"/>
              </w:rPr>
              <w:t xml:space="preserve"> un Plan de Gestion des déchets comprenant :</w:t>
            </w:r>
          </w:p>
          <w:p w14:paraId="246C6D84" w14:textId="7272FCAE"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Assurer une gestion appropriée des déchets ;</w:t>
            </w:r>
          </w:p>
          <w:p w14:paraId="6EB23099"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Informer et sensibiliser le personnel de l’entreprise sur la gestion des déchets ;</w:t>
            </w:r>
          </w:p>
          <w:p w14:paraId="44FF6102"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Mettre en place 5 bacs à ordures dans la base du chantier et transférer périodiquement ces ordures vers des décharges publiques.</w:t>
            </w:r>
          </w:p>
          <w:p w14:paraId="14395449"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Renforcer en nombre et réhabiliter des décharges publiques.</w:t>
            </w:r>
          </w:p>
          <w:p w14:paraId="76631DBA"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Accompagner les communes cibles dans la gestion des déchets.</w:t>
            </w:r>
          </w:p>
        </w:tc>
      </w:tr>
    </w:tbl>
    <w:p w14:paraId="4CC88C24" w14:textId="15DDAA13" w:rsidR="00ED17F3" w:rsidRPr="00D75D2E" w:rsidRDefault="00ED17F3" w:rsidP="00215867">
      <w:pPr>
        <w:pStyle w:val="Titre4"/>
        <w:numPr>
          <w:ilvl w:val="3"/>
          <w:numId w:val="54"/>
        </w:numPr>
        <w:spacing w:before="200" w:after="120" w:line="20" w:lineRule="atLeast"/>
        <w:ind w:left="1276" w:hanging="851"/>
        <w:rPr>
          <w:color w:val="auto"/>
          <w:szCs w:val="24"/>
        </w:rPr>
      </w:pPr>
      <w:bookmarkStart w:id="708" w:name="_Toc103685692"/>
      <w:r w:rsidRPr="00D75D2E">
        <w:rPr>
          <w:color w:val="auto"/>
          <w:szCs w:val="24"/>
        </w:rPr>
        <w:t>Risques d’incendie et d’explosion dans la base vie de chantier</w:t>
      </w:r>
      <w:bookmarkEnd w:id="708"/>
    </w:p>
    <w:p w14:paraId="44B52FAC" w14:textId="77777777" w:rsidR="00ED17F3" w:rsidRPr="00D75D2E" w:rsidRDefault="00ED17F3" w:rsidP="00ED17F3">
      <w:pPr>
        <w:spacing w:after="0" w:line="240" w:lineRule="auto"/>
        <w:jc w:val="both"/>
        <w:rPr>
          <w:rFonts w:ascii="Times New Roman" w:eastAsia="Times New Roman" w:hAnsi="Times New Roman"/>
          <w:lang w:eastAsia="fr-FR"/>
        </w:rPr>
      </w:pPr>
      <w:bookmarkStart w:id="709" w:name="_Hlk519001818"/>
      <w:r w:rsidRPr="00D75D2E">
        <w:rPr>
          <w:rFonts w:ascii="Times New Roman" w:eastAsia="Times New Roman" w:hAnsi="Times New Roman"/>
          <w:lang w:eastAsia="fr-FR"/>
        </w:rPr>
        <w:t>C’est un risque grave de brûlure ou de blessure de personnes consécutives à un incendie ou une explosion. Ils peuvent entrainer des dégâts matériels et corporels (pour le personnel et même pour les populations établies dans la zone).</w:t>
      </w:r>
    </w:p>
    <w:p w14:paraId="75F2B737" w14:textId="77777777" w:rsidR="00ED17F3" w:rsidRPr="00D75D2E" w:rsidRDefault="00ED17F3" w:rsidP="00ED17F3">
      <w:pPr>
        <w:spacing w:after="0" w:line="240" w:lineRule="auto"/>
        <w:jc w:val="both"/>
        <w:rPr>
          <w:rFonts w:ascii="Times New Roman" w:eastAsia="Times New Roman" w:hAnsi="Times New Roman"/>
          <w:lang w:eastAsia="fr-FR"/>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6"/>
        <w:gridCol w:w="4146"/>
        <w:gridCol w:w="709"/>
      </w:tblGrid>
      <w:tr w:rsidR="00D75D2E" w:rsidRPr="00420C1B" w14:paraId="7FE5DBB1" w14:textId="77777777" w:rsidTr="00E737B4">
        <w:trPr>
          <w:trHeight w:val="844"/>
        </w:trPr>
        <w:tc>
          <w:tcPr>
            <w:tcW w:w="4076" w:type="dxa"/>
            <w:vMerge w:val="restart"/>
          </w:tcPr>
          <w:bookmarkEnd w:id="709"/>
          <w:p w14:paraId="7B6BC219"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Dangers et /ou situations dangereuses</w:t>
            </w:r>
          </w:p>
          <w:p w14:paraId="70022281"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 xml:space="preserve">Présence sur le chantier de combustibles : Gasoil, Fuel, etc. </w:t>
            </w:r>
          </w:p>
          <w:p w14:paraId="1CF29E95"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Inflammation d’un véhicule ou d’un engin ;</w:t>
            </w:r>
          </w:p>
          <w:p w14:paraId="22BA8D60"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Mélange de produits incompatibles ou stockage non différenciés ;</w:t>
            </w:r>
          </w:p>
          <w:p w14:paraId="69CE6E25"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Présence de source de flammes ou d’étincelles : Soudure, particules incandescentes, étincelles électriques etc. ;</w:t>
            </w:r>
          </w:p>
        </w:tc>
        <w:tc>
          <w:tcPr>
            <w:tcW w:w="4855" w:type="dxa"/>
            <w:gridSpan w:val="2"/>
          </w:tcPr>
          <w:p w14:paraId="2F646C37"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 xml:space="preserve">      Evaluation qualitative du risque :</w:t>
            </w:r>
          </w:p>
          <w:p w14:paraId="3A984D9A" w14:textId="77777777" w:rsidR="00ED17F3" w:rsidRPr="00D75D2E" w:rsidRDefault="00ED17F3" w:rsidP="007108ED">
            <w:p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Ces situations dangereuses peuvent bien être rencontrées dans la zone de travail.</w:t>
            </w:r>
          </w:p>
        </w:tc>
      </w:tr>
      <w:tr w:rsidR="00D75D2E" w:rsidRPr="00420C1B" w14:paraId="2810E8F8" w14:textId="77777777" w:rsidTr="00E737B4">
        <w:trPr>
          <w:trHeight w:val="169"/>
        </w:trPr>
        <w:tc>
          <w:tcPr>
            <w:tcW w:w="4076" w:type="dxa"/>
            <w:vMerge/>
          </w:tcPr>
          <w:p w14:paraId="302A11D5" w14:textId="77777777" w:rsidR="00ED17F3" w:rsidRPr="00D75D2E" w:rsidRDefault="00ED17F3" w:rsidP="007108ED">
            <w:pPr>
              <w:spacing w:after="0" w:line="240" w:lineRule="auto"/>
              <w:rPr>
                <w:rFonts w:ascii="Times New Roman" w:eastAsia="Times New Roman" w:hAnsi="Times New Roman"/>
                <w:b/>
                <w:lang w:eastAsia="fr-FR"/>
              </w:rPr>
            </w:pPr>
          </w:p>
        </w:tc>
        <w:tc>
          <w:tcPr>
            <w:tcW w:w="4146" w:type="dxa"/>
          </w:tcPr>
          <w:p w14:paraId="58FAEE05"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Probabilité :</w:t>
            </w:r>
            <w:r w:rsidRPr="00D75D2E">
              <w:rPr>
                <w:rFonts w:ascii="Times New Roman" w:eastAsia="Times New Roman" w:hAnsi="Times New Roman"/>
                <w:lang w:eastAsia="fr-FR"/>
              </w:rPr>
              <w:t xml:space="preserve"> événement probable</w:t>
            </w:r>
          </w:p>
        </w:tc>
        <w:tc>
          <w:tcPr>
            <w:tcW w:w="709" w:type="dxa"/>
          </w:tcPr>
          <w:p w14:paraId="2D8A2742"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P3</w:t>
            </w:r>
          </w:p>
        </w:tc>
      </w:tr>
      <w:tr w:rsidR="00D75D2E" w:rsidRPr="00420C1B" w14:paraId="4BB02737" w14:textId="77777777" w:rsidTr="00E737B4">
        <w:trPr>
          <w:trHeight w:val="239"/>
        </w:trPr>
        <w:tc>
          <w:tcPr>
            <w:tcW w:w="4076" w:type="dxa"/>
            <w:vMerge/>
          </w:tcPr>
          <w:p w14:paraId="2BC62B57" w14:textId="77777777" w:rsidR="00ED17F3" w:rsidRPr="00D75D2E" w:rsidRDefault="00ED17F3" w:rsidP="007108ED">
            <w:pPr>
              <w:spacing w:after="0" w:line="240" w:lineRule="auto"/>
              <w:rPr>
                <w:rFonts w:ascii="Times New Roman" w:eastAsia="Times New Roman" w:hAnsi="Times New Roman"/>
                <w:b/>
                <w:lang w:eastAsia="fr-FR"/>
              </w:rPr>
            </w:pPr>
          </w:p>
        </w:tc>
        <w:tc>
          <w:tcPr>
            <w:tcW w:w="4146" w:type="dxa"/>
          </w:tcPr>
          <w:p w14:paraId="6C7979C0" w14:textId="77777777" w:rsidR="00ED17F3" w:rsidRPr="00D75D2E" w:rsidRDefault="00ED17F3" w:rsidP="007108ED">
            <w:pPr>
              <w:spacing w:after="0" w:line="240" w:lineRule="auto"/>
              <w:rPr>
                <w:rFonts w:ascii="Times New Roman" w:eastAsia="Times New Roman" w:hAnsi="Times New Roman"/>
                <w:lang w:eastAsia="fr-FR"/>
              </w:rPr>
            </w:pPr>
            <w:r w:rsidRPr="00D75D2E">
              <w:rPr>
                <w:rFonts w:ascii="Times New Roman" w:eastAsia="Times New Roman" w:hAnsi="Times New Roman"/>
                <w:b/>
                <w:lang w:eastAsia="fr-FR"/>
              </w:rPr>
              <w:t xml:space="preserve">Gravité : </w:t>
            </w:r>
            <w:r w:rsidRPr="00D75D2E">
              <w:rPr>
                <w:rFonts w:ascii="Times New Roman" w:eastAsia="Times New Roman" w:hAnsi="Times New Roman"/>
                <w:lang w:eastAsia="fr-FR"/>
              </w:rPr>
              <w:t>maladie ou accident mortel</w:t>
            </w:r>
          </w:p>
        </w:tc>
        <w:tc>
          <w:tcPr>
            <w:tcW w:w="709" w:type="dxa"/>
            <w:tcBorders>
              <w:bottom w:val="single" w:sz="4" w:space="0" w:color="000000"/>
            </w:tcBorders>
          </w:tcPr>
          <w:p w14:paraId="0B40B017"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G4</w:t>
            </w:r>
          </w:p>
        </w:tc>
      </w:tr>
      <w:tr w:rsidR="00D75D2E" w:rsidRPr="00420C1B" w14:paraId="62C20233" w14:textId="77777777" w:rsidTr="00E737B4">
        <w:trPr>
          <w:trHeight w:val="65"/>
        </w:trPr>
        <w:tc>
          <w:tcPr>
            <w:tcW w:w="4076" w:type="dxa"/>
            <w:vMerge/>
          </w:tcPr>
          <w:p w14:paraId="3FDD400C" w14:textId="77777777" w:rsidR="00ED17F3" w:rsidRPr="00D75D2E" w:rsidRDefault="00ED17F3" w:rsidP="007108ED">
            <w:pPr>
              <w:spacing w:after="0" w:line="240" w:lineRule="auto"/>
              <w:rPr>
                <w:rFonts w:ascii="Times New Roman" w:eastAsia="Times New Roman" w:hAnsi="Times New Roman"/>
                <w:b/>
                <w:lang w:eastAsia="fr-FR"/>
              </w:rPr>
            </w:pPr>
          </w:p>
        </w:tc>
        <w:tc>
          <w:tcPr>
            <w:tcW w:w="4146" w:type="dxa"/>
          </w:tcPr>
          <w:p w14:paraId="25EEE8BF" w14:textId="77777777" w:rsidR="00ED17F3" w:rsidRPr="00D75D2E" w:rsidRDefault="00ED17F3" w:rsidP="007108ED">
            <w:pPr>
              <w:spacing w:after="0" w:line="240" w:lineRule="auto"/>
              <w:rPr>
                <w:rFonts w:ascii="Times New Roman" w:eastAsia="Times New Roman" w:hAnsi="Times New Roman"/>
                <w:b/>
                <w:lang w:eastAsia="fr-FR"/>
              </w:rPr>
            </w:pPr>
            <w:r w:rsidRPr="00D75D2E">
              <w:rPr>
                <w:rFonts w:ascii="Times New Roman" w:eastAsia="Times New Roman" w:hAnsi="Times New Roman"/>
                <w:b/>
                <w:lang w:eastAsia="fr-FR"/>
              </w:rPr>
              <w:t>Niveau de risque</w:t>
            </w:r>
          </w:p>
        </w:tc>
        <w:tc>
          <w:tcPr>
            <w:tcW w:w="709" w:type="dxa"/>
            <w:shd w:val="clear" w:color="auto" w:fill="FF0000"/>
          </w:tcPr>
          <w:p w14:paraId="5963BFCD" w14:textId="77777777" w:rsidR="00ED17F3" w:rsidRPr="00D75D2E" w:rsidRDefault="00ED17F3" w:rsidP="007108ED">
            <w:pPr>
              <w:spacing w:after="0" w:line="240" w:lineRule="auto"/>
              <w:jc w:val="center"/>
              <w:rPr>
                <w:rFonts w:ascii="Times New Roman" w:eastAsia="Times New Roman" w:hAnsi="Times New Roman"/>
                <w:b/>
                <w:lang w:eastAsia="fr-FR"/>
              </w:rPr>
            </w:pPr>
            <w:r w:rsidRPr="00D75D2E">
              <w:rPr>
                <w:rFonts w:ascii="Times New Roman" w:eastAsia="Times New Roman" w:hAnsi="Times New Roman"/>
                <w:b/>
                <w:lang w:eastAsia="fr-FR"/>
              </w:rPr>
              <w:t>1</w:t>
            </w:r>
          </w:p>
        </w:tc>
      </w:tr>
      <w:tr w:rsidR="00D75D2E" w:rsidRPr="00420C1B" w14:paraId="40395DE1" w14:textId="77777777" w:rsidTr="00E737B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trPr>
        <w:tc>
          <w:tcPr>
            <w:tcW w:w="8931" w:type="dxa"/>
            <w:gridSpan w:val="3"/>
          </w:tcPr>
          <w:p w14:paraId="47DB397D" w14:textId="77777777" w:rsidR="00ED17F3" w:rsidRPr="00D75D2E" w:rsidRDefault="00ED17F3" w:rsidP="007108ED">
            <w:pPr>
              <w:spacing w:after="0" w:line="240" w:lineRule="auto"/>
              <w:jc w:val="center"/>
              <w:rPr>
                <w:rFonts w:ascii="Times New Roman" w:eastAsia="Times New Roman" w:hAnsi="Times New Roman"/>
                <w:lang w:eastAsia="fr-FR"/>
              </w:rPr>
            </w:pPr>
            <w:r w:rsidRPr="00D75D2E">
              <w:rPr>
                <w:rFonts w:ascii="Times New Roman" w:eastAsia="Times New Roman" w:hAnsi="Times New Roman"/>
                <w:b/>
                <w:lang w:eastAsia="fr-FR"/>
              </w:rPr>
              <w:t>Mesures de prévention et de protection</w:t>
            </w:r>
          </w:p>
        </w:tc>
      </w:tr>
      <w:tr w:rsidR="00D75D2E" w:rsidRPr="00420C1B" w14:paraId="6606C981" w14:textId="77777777" w:rsidTr="00E737B4">
        <w:trPr>
          <w:trHeight w:val="246"/>
        </w:trPr>
        <w:tc>
          <w:tcPr>
            <w:tcW w:w="8931" w:type="dxa"/>
            <w:gridSpan w:val="3"/>
          </w:tcPr>
          <w:p w14:paraId="43DE3BC1" w14:textId="28CF3004" w:rsidR="00D50056" w:rsidRDefault="00D50056" w:rsidP="00AE31F1">
            <w:pPr>
              <w:spacing w:after="0" w:line="240" w:lineRule="auto"/>
              <w:ind w:left="360"/>
              <w:rPr>
                <w:rFonts w:ascii="Times New Roman" w:eastAsia="Times New Roman" w:hAnsi="Times New Roman"/>
                <w:lang w:eastAsia="fr-FR"/>
              </w:rPr>
            </w:pPr>
            <w:r w:rsidRPr="00420C1B">
              <w:t>Elaborer et mettre en œuvre un plan d’intervention et de réponse aux mesures d’urgences :</w:t>
            </w:r>
          </w:p>
          <w:p w14:paraId="73D36909" w14:textId="445D2195"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Organiser les stockages (Prévoir des lieux de stockage séparés pour le gasoil), à des distances réglementaires par rapport au bureau, base-vie et habitations.</w:t>
            </w:r>
          </w:p>
          <w:p w14:paraId="1071787B"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Mettre en place des moyens de détection de fumée, d’incendie, système d’alarme.</w:t>
            </w:r>
          </w:p>
          <w:p w14:paraId="6C27C40C"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Etablir des plans d’intervention et d’évacuation</w:t>
            </w:r>
          </w:p>
          <w:p w14:paraId="4C98F77F" w14:textId="77777777" w:rsidR="00ED17F3" w:rsidRPr="00D75D2E" w:rsidRDefault="00ED17F3" w:rsidP="008C79F0">
            <w:pPr>
              <w:numPr>
                <w:ilvl w:val="0"/>
                <w:numId w:val="36"/>
              </w:numPr>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Disposer sur le chantier de moyens d’extinction (extincteurs, bacs à sable, émulseurs et moyens de pompage) suffisants pour venir très rapidement à bout d’un feu avant qu’il ne se développe ; et équiper les véhicules et les engins d’extincteurs fonctionnels ;</w:t>
            </w:r>
          </w:p>
          <w:p w14:paraId="235B95C9"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Placer les extincteurs de façon visible et accessible à tous (les chemins menant à leur accès doivent être dégagés de tout obstacle)</w:t>
            </w:r>
          </w:p>
          <w:p w14:paraId="0B8E00E9"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Former le personnel et l’entraîner en extinction incendie</w:t>
            </w:r>
          </w:p>
          <w:p w14:paraId="61C5A9A8"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Interdiction de fumer à des endroits bien spécifiés (près des zones de stockage par exemple).</w:t>
            </w:r>
          </w:p>
          <w:p w14:paraId="770A8904" w14:textId="77777777" w:rsidR="00ED17F3" w:rsidRPr="00D75D2E" w:rsidRDefault="00ED17F3" w:rsidP="008C79F0">
            <w:pPr>
              <w:numPr>
                <w:ilvl w:val="0"/>
                <w:numId w:val="36"/>
              </w:numPr>
              <w:spacing w:after="0" w:line="240" w:lineRule="auto"/>
              <w:rPr>
                <w:rFonts w:ascii="Times New Roman" w:eastAsia="Times New Roman" w:hAnsi="Times New Roman"/>
                <w:lang w:eastAsia="fr-FR"/>
              </w:rPr>
            </w:pPr>
            <w:r w:rsidRPr="00D75D2E">
              <w:rPr>
                <w:rFonts w:ascii="Times New Roman" w:eastAsia="Times New Roman" w:hAnsi="Times New Roman"/>
                <w:lang w:eastAsia="fr-FR"/>
              </w:rPr>
              <w:t>Renforcer les mesures de surveillance</w:t>
            </w:r>
          </w:p>
          <w:p w14:paraId="6A374960" w14:textId="77777777" w:rsidR="00ED17F3" w:rsidRPr="00D75D2E" w:rsidRDefault="00ED17F3" w:rsidP="008C79F0">
            <w:pPr>
              <w:numPr>
                <w:ilvl w:val="0"/>
                <w:numId w:val="36"/>
              </w:numPr>
              <w:autoSpaceDE w:val="0"/>
              <w:autoSpaceDN w:val="0"/>
              <w:adjustRightInd w:val="0"/>
              <w:spacing w:after="0" w:line="240" w:lineRule="auto"/>
              <w:jc w:val="both"/>
              <w:rPr>
                <w:rFonts w:ascii="Times New Roman" w:eastAsia="Times New Roman" w:hAnsi="Times New Roman"/>
                <w:lang w:eastAsia="fr-FR"/>
              </w:rPr>
            </w:pPr>
            <w:r w:rsidRPr="00D75D2E">
              <w:rPr>
                <w:rFonts w:ascii="Times New Roman" w:eastAsia="Times New Roman" w:hAnsi="Times New Roman"/>
                <w:lang w:eastAsia="fr-FR"/>
              </w:rPr>
              <w:t>Implanter la base de chantier en dehors des habitations</w:t>
            </w:r>
          </w:p>
        </w:tc>
      </w:tr>
    </w:tbl>
    <w:p w14:paraId="2D6D4DB4" w14:textId="23B1EF0A" w:rsidR="00195FBE" w:rsidRPr="00E732DD" w:rsidRDefault="00195FBE" w:rsidP="00215867">
      <w:pPr>
        <w:pStyle w:val="Titre4"/>
        <w:numPr>
          <w:ilvl w:val="3"/>
          <w:numId w:val="54"/>
        </w:numPr>
        <w:spacing w:before="200" w:after="120" w:line="20" w:lineRule="atLeast"/>
        <w:ind w:left="1276" w:hanging="851"/>
        <w:rPr>
          <w:color w:val="auto"/>
          <w:szCs w:val="24"/>
        </w:rPr>
      </w:pPr>
      <w:r w:rsidRPr="00D75D2E">
        <w:rPr>
          <w:color w:val="auto"/>
          <w:szCs w:val="24"/>
        </w:rPr>
        <w:t xml:space="preserve"> </w:t>
      </w:r>
      <w:bookmarkStart w:id="710" w:name="_Toc41310019"/>
      <w:bookmarkStart w:id="711" w:name="_Toc78602036"/>
      <w:bookmarkStart w:id="712" w:name="_Toc103685693"/>
      <w:r w:rsidRPr="00E732DD">
        <w:rPr>
          <w:color w:val="auto"/>
          <w:szCs w:val="24"/>
        </w:rPr>
        <w:t>Risque d’Exploitation et Abus Sexuel (EAS) et Harcèlement Sexuel (HS)</w:t>
      </w:r>
      <w:bookmarkEnd w:id="710"/>
      <w:bookmarkEnd w:id="711"/>
      <w:bookmarkEnd w:id="712"/>
    </w:p>
    <w:p w14:paraId="094C35DE" w14:textId="77777777" w:rsidR="00665804" w:rsidRPr="00215867" w:rsidRDefault="00665804" w:rsidP="00215867">
      <w:pPr>
        <w:spacing w:before="120"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 xml:space="preserve">La mise en œuvre des activités du projet risque d’exacerber les risques liés aux VBG lors du recrutement de la main d’œuvre locale et lors de la réalisation des activités dans les espaces publics ou privés par un éventail d’auteurs de plusieurs façons. </w:t>
      </w:r>
    </w:p>
    <w:p w14:paraId="4BBB4B8E" w14:textId="77777777" w:rsidR="00665804" w:rsidRPr="00215867" w:rsidRDefault="00665804" w:rsidP="00215867">
      <w:pPr>
        <w:spacing w:before="120"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 xml:space="preserve">Les travaux d’implantation des poteaux électrique et tirage des lignes pourront impliquer un grand afflux de travailleurs pouvant accroître la demande de prostitution — et même augmenter le risque de traite des femmes aux fins de prostitution — ou le risque d’union précoce forcée dans une communauté où le mariage à un homme salarié est considéré comme la meilleure stratégie de subsistance pour une adolescente. </w:t>
      </w:r>
    </w:p>
    <w:p w14:paraId="6B4E727B" w14:textId="77777777" w:rsidR="00665804" w:rsidRPr="00215867" w:rsidRDefault="00665804" w:rsidP="00215867">
      <w:pPr>
        <w:spacing w:before="120"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Lors du recrutement du personnel du projet, les femmes risquent d’être discriminées lors de l’embauche, notamment par le chantage des recruteurs sollicitant d’avoir des échanges sexuels contre-emploi.</w:t>
      </w:r>
    </w:p>
    <w:p w14:paraId="3B8AC81A" w14:textId="77777777" w:rsidR="00665804" w:rsidRPr="00215867" w:rsidRDefault="00665804" w:rsidP="00215867">
      <w:pPr>
        <w:spacing w:before="120"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De plus, le risque d’harcèlement sexuel entre les membres du personnel travaillant sur le projet peut être élevé, surtout là où les équipes ne sont pas supervisées de façon proche.</w:t>
      </w:r>
    </w:p>
    <w:p w14:paraId="3D1633C7" w14:textId="562B6B2E" w:rsidR="00665804" w:rsidRPr="00665804" w:rsidRDefault="00665804" w:rsidP="00215867">
      <w:pPr>
        <w:spacing w:before="120"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En outre, dans la communauté, de meilleurs salaires pour les travailleurs peuvent conduire à une augmentation de rapports sexuels monnayés. On peut également assister à une augmentation du risque de rapports sexuels, même s’ils ne sont pas monnayés, entre des ouvriers et des mineurs.</w:t>
      </w:r>
    </w:p>
    <w:p w14:paraId="554AC52F" w14:textId="77777777" w:rsidR="00195FBE" w:rsidRPr="00E732DD" w:rsidRDefault="00195FBE" w:rsidP="00E737B4">
      <w:pPr>
        <w:spacing w:before="120" w:after="120" w:line="240" w:lineRule="auto"/>
        <w:jc w:val="both"/>
        <w:rPr>
          <w:rFonts w:ascii="Times New Roman" w:eastAsia="Times New Roman" w:hAnsi="Times New Roman"/>
          <w:sz w:val="24"/>
          <w:lang w:eastAsia="fr-FR"/>
        </w:rPr>
      </w:pPr>
      <w:r w:rsidRPr="00E732DD">
        <w:rPr>
          <w:rFonts w:ascii="Times New Roman" w:eastAsia="Times New Roman" w:hAnsi="Times New Roman"/>
          <w:sz w:val="24"/>
          <w:lang w:eastAsia="fr-FR"/>
        </w:rPr>
        <w:t>De grands travaux de génie civil peuvent aggraver le risque de violences basées sur le genre exercé de différentes manières par un éventail d’auteurs dans les sphères publiques et privées. Par exemple :</w:t>
      </w:r>
    </w:p>
    <w:p w14:paraId="0F80947B" w14:textId="77777777" w:rsidR="00195FBE" w:rsidRPr="00D75D2E" w:rsidRDefault="00195FBE" w:rsidP="00F85E83">
      <w:pPr>
        <w:pStyle w:val="Paragraphedeliste"/>
        <w:numPr>
          <w:ilvl w:val="0"/>
          <w:numId w:val="232"/>
        </w:numPr>
        <w:suppressAutoHyphens/>
        <w:spacing w:after="0" w:line="276" w:lineRule="auto"/>
        <w:ind w:left="567"/>
        <w:jc w:val="both"/>
        <w:rPr>
          <w:rFonts w:ascii="Times New Roman" w:eastAsia="Times New Roman" w:hAnsi="Times New Roman"/>
          <w:sz w:val="24"/>
          <w:lang w:eastAsia="fr-FR"/>
        </w:rPr>
      </w:pPr>
      <w:r w:rsidRPr="00D75D2E">
        <w:rPr>
          <w:rFonts w:ascii="Times New Roman" w:eastAsia="Times New Roman" w:hAnsi="Times New Roman"/>
          <w:sz w:val="24"/>
          <w:lang w:eastAsia="fr-FR"/>
        </w:rPr>
        <w:t>Les projets provoquent des changements dans les communautés où ils ont lieu et peuvent modifier la nature du rapport de pouvoir entre les membres de ladite communauté ainsi qu’au sein des ménages. La jalousie des hommes, un facteur clé qui souligne les VBG, peut être déclenchée par l’afflux de main-d’œuvre sur un projet dès qu’on croit que les travailleurs fréquentent les femmes de la communauté. Ainsi, on peut observer des comportements violents non seulement entre les travailleurs du projet et les personnes vivant dans la zone du projet et à proximité, mais aussi chez celles qui sont touchées par le projet.</w:t>
      </w:r>
    </w:p>
    <w:p w14:paraId="52CCDDB1" w14:textId="77777777" w:rsidR="00195FBE" w:rsidRPr="00D75D2E" w:rsidRDefault="00195FBE" w:rsidP="008C79F0">
      <w:pPr>
        <w:pStyle w:val="Paragraphedeliste"/>
        <w:numPr>
          <w:ilvl w:val="0"/>
          <w:numId w:val="232"/>
        </w:numPr>
        <w:suppressAutoHyphens/>
        <w:spacing w:after="0" w:line="276" w:lineRule="auto"/>
        <w:ind w:left="709"/>
        <w:jc w:val="both"/>
        <w:rPr>
          <w:rFonts w:ascii="Times New Roman" w:eastAsia="Times New Roman" w:hAnsi="Times New Roman"/>
          <w:sz w:val="24"/>
          <w:lang w:eastAsia="fr-FR"/>
        </w:rPr>
      </w:pPr>
      <w:r w:rsidRPr="00D75D2E">
        <w:rPr>
          <w:rFonts w:ascii="Times New Roman" w:eastAsia="Times New Roman" w:hAnsi="Times New Roman"/>
          <w:sz w:val="24"/>
          <w:lang w:eastAsia="fr-FR"/>
        </w:rPr>
        <w:t>Lorsqu’on procède à une redistribution des terres, par exemple en cas de réinstallation pour cause de travaux de génie civil, les femmes peuvent être extrêmement vulnérables aux VBG. Cela est particulièrement vrai dans les pays où le droit ne permet pas aux femmes d’accéder à la propriété foncière.</w:t>
      </w:r>
    </w:p>
    <w:p w14:paraId="1861B32F" w14:textId="77777777" w:rsidR="00195FBE" w:rsidRPr="00D75D2E" w:rsidRDefault="00195FBE" w:rsidP="008C79F0">
      <w:pPr>
        <w:pStyle w:val="Paragraphedeliste"/>
        <w:numPr>
          <w:ilvl w:val="0"/>
          <w:numId w:val="232"/>
        </w:numPr>
        <w:suppressAutoHyphens/>
        <w:spacing w:after="0" w:line="276" w:lineRule="auto"/>
        <w:ind w:left="709"/>
        <w:jc w:val="both"/>
        <w:rPr>
          <w:rFonts w:ascii="Times New Roman" w:eastAsia="Times New Roman" w:hAnsi="Times New Roman"/>
          <w:sz w:val="24"/>
          <w:lang w:eastAsia="fr-FR"/>
        </w:rPr>
      </w:pPr>
      <w:r w:rsidRPr="00D75D2E">
        <w:rPr>
          <w:rFonts w:ascii="Times New Roman" w:eastAsia="Times New Roman" w:hAnsi="Times New Roman"/>
          <w:sz w:val="24"/>
          <w:lang w:eastAsia="fr-FR"/>
        </w:rPr>
        <w:t>Les opportunités d’emploi pour les femmes et les filles sont limitées en raison du manque de moyens de transport appropriés. Lorsqu’elles créent des emplois pour les femmes dans les projets, les équipes doivent avoir conscience que dans certains milieux, pour se rendre au travail ou en revenir, les femmes et les filles sont obligées d’emprunter des chemins dangereux et mal éclairés ou des transports publics peu sûrs. Les femmes courent un risque accru de violence lorsqu’elles effectuent des déplacements sur de longues distances pour avoir accès à un emploi ou lorsqu’elles sont tenues de voyager de nuit.</w:t>
      </w:r>
    </w:p>
    <w:p w14:paraId="7723CA6B" w14:textId="77777777" w:rsidR="00195FBE" w:rsidRPr="00D75D2E" w:rsidRDefault="00195FBE" w:rsidP="008C79F0">
      <w:pPr>
        <w:pStyle w:val="Paragraphedeliste"/>
        <w:numPr>
          <w:ilvl w:val="0"/>
          <w:numId w:val="232"/>
        </w:numPr>
        <w:suppressAutoHyphens/>
        <w:spacing w:after="0" w:line="276" w:lineRule="auto"/>
        <w:ind w:left="709"/>
        <w:jc w:val="both"/>
        <w:rPr>
          <w:rFonts w:ascii="Times New Roman" w:eastAsia="Times New Roman" w:hAnsi="Times New Roman"/>
          <w:sz w:val="24"/>
          <w:lang w:eastAsia="fr-FR"/>
        </w:rPr>
      </w:pPr>
      <w:r w:rsidRPr="00D75D2E">
        <w:rPr>
          <w:rFonts w:ascii="Times New Roman" w:eastAsia="Times New Roman" w:hAnsi="Times New Roman"/>
          <w:sz w:val="24"/>
          <w:lang w:eastAsia="fr-FR"/>
        </w:rPr>
        <w:t>L’évaluation du risque d’aggravation de la VBG lié au projet doit prendre en considération deux aspects essentiels. Premièrement, le contexte national et/ou régional dans lequel le projet s’inscrit et, deuxièmement, les risques potentiels pouvant découler du projet lui-même.</w:t>
      </w:r>
    </w:p>
    <w:p w14:paraId="33195B7D" w14:textId="3A48B894" w:rsidR="00195FBE" w:rsidRPr="00D75D2E" w:rsidRDefault="00195FBE" w:rsidP="008C79F0">
      <w:pPr>
        <w:pStyle w:val="Paragraphedeliste"/>
        <w:numPr>
          <w:ilvl w:val="0"/>
          <w:numId w:val="232"/>
        </w:numPr>
        <w:suppressAutoHyphens/>
        <w:spacing w:after="0" w:line="276" w:lineRule="auto"/>
        <w:ind w:left="709"/>
        <w:jc w:val="both"/>
        <w:rPr>
          <w:rFonts w:ascii="Times New Roman" w:eastAsia="Times New Roman" w:hAnsi="Times New Roman"/>
          <w:sz w:val="24"/>
          <w:lang w:eastAsia="fr-FR"/>
        </w:rPr>
      </w:pPr>
      <w:r w:rsidRPr="00D75D2E">
        <w:rPr>
          <w:rFonts w:ascii="Times New Roman" w:eastAsia="Times New Roman" w:hAnsi="Times New Roman"/>
          <w:sz w:val="24"/>
          <w:lang w:eastAsia="fr-FR"/>
        </w:rPr>
        <w:t>Les environnements fragiles ou touchés par un conflit doivent être soigneusement analysés dans le cadre de l’évaluation des risques de VBG</w:t>
      </w:r>
      <w:r w:rsidR="00235C25">
        <w:rPr>
          <w:rFonts w:ascii="Times New Roman" w:eastAsia="Times New Roman" w:hAnsi="Times New Roman"/>
          <w:sz w:val="24"/>
          <w:lang w:eastAsia="fr-FR"/>
        </w:rPr>
        <w:t>, y compris l’EAS/HS</w:t>
      </w:r>
      <w:r w:rsidRPr="00D75D2E">
        <w:rPr>
          <w:rFonts w:ascii="Times New Roman" w:eastAsia="Times New Roman" w:hAnsi="Times New Roman"/>
          <w:sz w:val="24"/>
          <w:lang w:eastAsia="fr-FR"/>
        </w:rPr>
        <w:t xml:space="preserve"> d’un projet. Dans de tels environnements, il se peut que les communautés aient vécu des expériences traumatiques et que le tissu social se soit désintégré. De plus, en raison de l’insécurité et des conflits, les services de soutien et les soins nécessaires sont souvent limités. Les populations peuvent souffrir d’un manque de sécurité et d’une impunité généralisée pour les crimes commis. </w:t>
      </w:r>
    </w:p>
    <w:p w14:paraId="6ED7A48C" w14:textId="4BCFBA47" w:rsidR="00195FBE" w:rsidRDefault="00195FBE" w:rsidP="008C79F0">
      <w:pPr>
        <w:pStyle w:val="Paragraphedeliste"/>
        <w:numPr>
          <w:ilvl w:val="0"/>
          <w:numId w:val="232"/>
        </w:numPr>
        <w:suppressAutoHyphens/>
        <w:spacing w:after="120" w:line="240" w:lineRule="auto"/>
        <w:ind w:left="709" w:hanging="357"/>
        <w:contextualSpacing w:val="0"/>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La supervision des projets dans ces zones est difficile et, dans certains cas, il faudra renforcer les dispositifs de sécurité. Il peut être nécessaire pour les prestataires de recruter des policiers, des forces de maintien de la paix ou du personnel militaire pour assurer la sécurité. Cependant, il se peut que ces forces ne soient pas soumises au système judiciaire national, mais qu’elles possèdent leurs propres mécanismes de justice interne qui peuvent ne pas s’appliquer de façon adéquate, ou ne pas interdire spécifiquement les VBG, en particulier l’EAS ou le HS. La combinaison de ces facteurs peut accroître considérablement le risque </w:t>
      </w:r>
      <w:r w:rsidR="00B15B98">
        <w:rPr>
          <w:rFonts w:ascii="Times New Roman" w:eastAsia="Times New Roman" w:hAnsi="Times New Roman"/>
          <w:sz w:val="24"/>
          <w:lang w:eastAsia="fr-FR"/>
        </w:rPr>
        <w:t>d’EAS/HS</w:t>
      </w:r>
      <w:r w:rsidRPr="00D75D2E">
        <w:rPr>
          <w:rFonts w:ascii="Times New Roman" w:eastAsia="Times New Roman" w:hAnsi="Times New Roman"/>
          <w:sz w:val="24"/>
          <w:lang w:eastAsia="fr-FR"/>
        </w:rPr>
        <w:t xml:space="preserve"> et devrait être soigneusement examinée lors de la préparation et la mise en œuvre du projet.</w:t>
      </w:r>
    </w:p>
    <w:p w14:paraId="227BFFC3" w14:textId="77777777" w:rsidR="00F76AC0" w:rsidRPr="00D75D2E" w:rsidRDefault="00F76AC0" w:rsidP="00215867">
      <w:pPr>
        <w:pStyle w:val="Paragraphedeliste"/>
        <w:suppressAutoHyphens/>
        <w:spacing w:after="120" w:line="240" w:lineRule="auto"/>
        <w:ind w:left="709"/>
        <w:contextualSpacing w:val="0"/>
        <w:jc w:val="both"/>
        <w:rPr>
          <w:rFonts w:ascii="Times New Roman" w:eastAsia="Times New Roman" w:hAnsi="Times New Roman"/>
          <w:sz w:val="24"/>
          <w:lang w:eastAsia="fr-FR"/>
        </w:rPr>
      </w:pPr>
    </w:p>
    <w:tbl>
      <w:tblPr>
        <w:tblW w:w="9180" w:type="dxa"/>
        <w:tblLook w:val="04A0" w:firstRow="1" w:lastRow="0" w:firstColumn="1" w:lastColumn="0" w:noHBand="0" w:noVBand="1"/>
      </w:tblPr>
      <w:tblGrid>
        <w:gridCol w:w="4935"/>
        <w:gridCol w:w="3709"/>
        <w:gridCol w:w="536"/>
      </w:tblGrid>
      <w:tr w:rsidR="00D75D2E" w:rsidRPr="00420C1B" w14:paraId="2FD1E2B6" w14:textId="77777777" w:rsidTr="00E737B4">
        <w:tc>
          <w:tcPr>
            <w:tcW w:w="4935" w:type="dxa"/>
            <w:vMerge w:val="restart"/>
            <w:tcBorders>
              <w:top w:val="single" w:sz="4" w:space="0" w:color="000000"/>
              <w:left w:val="single" w:sz="4" w:space="0" w:color="000000"/>
              <w:bottom w:val="single" w:sz="4" w:space="0" w:color="000000"/>
              <w:right w:val="single" w:sz="4" w:space="0" w:color="000000"/>
            </w:tcBorders>
          </w:tcPr>
          <w:p w14:paraId="634FB049"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Dangers et /ou situations dangereuses</w:t>
            </w:r>
          </w:p>
          <w:p w14:paraId="032AC1DB"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Présence des ouvriers en phase des travaux ;</w:t>
            </w:r>
          </w:p>
          <w:p w14:paraId="1A5BABA1"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Proximité des nombreux débits de boisson et bars dancing ;</w:t>
            </w:r>
          </w:p>
          <w:p w14:paraId="49D3F464" w14:textId="77777777" w:rsidR="00195FBE" w:rsidRPr="00420C1B" w:rsidRDefault="00195FBE" w:rsidP="008C79F0">
            <w:pPr>
              <w:numPr>
                <w:ilvl w:val="0"/>
                <w:numId w:val="170"/>
              </w:numPr>
              <w:suppressAutoHyphens/>
              <w:spacing w:after="0" w:line="276" w:lineRule="auto"/>
              <w:jc w:val="both"/>
              <w:rPr>
                <w:rFonts w:ascii="Times New Roman" w:hAnsi="Times New Roman"/>
                <w:sz w:val="20"/>
              </w:rPr>
            </w:pPr>
            <w:r w:rsidRPr="00420C1B">
              <w:rPr>
                <w:rFonts w:ascii="Times New Roman" w:eastAsia="Times New Roman" w:hAnsi="Times New Roman"/>
                <w:sz w:val="20"/>
                <w:lang w:eastAsia="fr-FR"/>
              </w:rPr>
              <w:t>Récurrence</w:t>
            </w:r>
            <w:r w:rsidRPr="00420C1B">
              <w:rPr>
                <w:rFonts w:ascii="Times New Roman" w:hAnsi="Times New Roman"/>
                <w:sz w:val="20"/>
              </w:rPr>
              <w:t xml:space="preserve"> de l’insécurité sur le site (Kuluna).</w:t>
            </w:r>
          </w:p>
        </w:tc>
        <w:tc>
          <w:tcPr>
            <w:tcW w:w="4245" w:type="dxa"/>
            <w:gridSpan w:val="2"/>
            <w:tcBorders>
              <w:top w:val="single" w:sz="4" w:space="0" w:color="000000"/>
              <w:left w:val="single" w:sz="4" w:space="0" w:color="000000"/>
              <w:bottom w:val="single" w:sz="4" w:space="0" w:color="000000"/>
              <w:right w:val="single" w:sz="4" w:space="0" w:color="000000"/>
            </w:tcBorders>
          </w:tcPr>
          <w:p w14:paraId="635373F2"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 xml:space="preserve">      Evaluation qualitative du risque :</w:t>
            </w:r>
          </w:p>
          <w:p w14:paraId="13940008"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Ces situations dangereuses peuvent bien être rencontrées dans la zone de travail.</w:t>
            </w:r>
          </w:p>
        </w:tc>
      </w:tr>
      <w:tr w:rsidR="00D75D2E" w:rsidRPr="00420C1B" w14:paraId="06D999A1" w14:textId="77777777" w:rsidTr="00E737B4">
        <w:tc>
          <w:tcPr>
            <w:tcW w:w="4935" w:type="dxa"/>
            <w:vMerge/>
            <w:tcBorders>
              <w:top w:val="single" w:sz="4" w:space="0" w:color="000000"/>
              <w:left w:val="single" w:sz="4" w:space="0" w:color="000000"/>
              <w:bottom w:val="single" w:sz="4" w:space="0" w:color="000000"/>
              <w:right w:val="single" w:sz="4" w:space="0" w:color="000000"/>
            </w:tcBorders>
          </w:tcPr>
          <w:p w14:paraId="21F3359D" w14:textId="77777777" w:rsidR="00195FBE" w:rsidRPr="00420C1B" w:rsidRDefault="00195FBE" w:rsidP="0062151B">
            <w:pPr>
              <w:spacing w:after="0"/>
              <w:jc w:val="both"/>
              <w:rPr>
                <w:rFonts w:ascii="Times New Roman" w:eastAsia="Times New Roman" w:hAnsi="Times New Roman"/>
                <w:sz w:val="20"/>
                <w:lang w:eastAsia="fr-FR"/>
              </w:rPr>
            </w:pPr>
          </w:p>
        </w:tc>
        <w:tc>
          <w:tcPr>
            <w:tcW w:w="3709" w:type="dxa"/>
            <w:tcBorders>
              <w:top w:val="single" w:sz="4" w:space="0" w:color="000000"/>
              <w:left w:val="single" w:sz="4" w:space="0" w:color="000000"/>
              <w:bottom w:val="single" w:sz="4" w:space="0" w:color="000000"/>
              <w:right w:val="single" w:sz="4" w:space="0" w:color="000000"/>
            </w:tcBorders>
          </w:tcPr>
          <w:p w14:paraId="0A5C852E"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Probabilité : événement très probable</w:t>
            </w:r>
          </w:p>
        </w:tc>
        <w:tc>
          <w:tcPr>
            <w:tcW w:w="536" w:type="dxa"/>
            <w:tcBorders>
              <w:top w:val="single" w:sz="4" w:space="0" w:color="000000"/>
              <w:left w:val="single" w:sz="4" w:space="0" w:color="000000"/>
              <w:bottom w:val="single" w:sz="4" w:space="0" w:color="000000"/>
              <w:right w:val="single" w:sz="4" w:space="0" w:color="000000"/>
            </w:tcBorders>
          </w:tcPr>
          <w:p w14:paraId="1A6DF195"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P4</w:t>
            </w:r>
          </w:p>
        </w:tc>
      </w:tr>
      <w:tr w:rsidR="00D75D2E" w:rsidRPr="00420C1B" w14:paraId="67B95BF6" w14:textId="77777777" w:rsidTr="00E737B4">
        <w:tc>
          <w:tcPr>
            <w:tcW w:w="4935" w:type="dxa"/>
            <w:vMerge/>
            <w:tcBorders>
              <w:top w:val="single" w:sz="4" w:space="0" w:color="000000"/>
              <w:left w:val="single" w:sz="4" w:space="0" w:color="000000"/>
              <w:bottom w:val="single" w:sz="4" w:space="0" w:color="000000"/>
              <w:right w:val="single" w:sz="4" w:space="0" w:color="000000"/>
            </w:tcBorders>
          </w:tcPr>
          <w:p w14:paraId="64E76750" w14:textId="77777777" w:rsidR="00195FBE" w:rsidRPr="00420C1B" w:rsidRDefault="00195FBE" w:rsidP="0062151B">
            <w:pPr>
              <w:spacing w:after="0"/>
              <w:jc w:val="both"/>
              <w:rPr>
                <w:rFonts w:ascii="Times New Roman" w:eastAsia="Times New Roman" w:hAnsi="Times New Roman"/>
                <w:sz w:val="20"/>
                <w:lang w:eastAsia="fr-FR"/>
              </w:rPr>
            </w:pPr>
          </w:p>
        </w:tc>
        <w:tc>
          <w:tcPr>
            <w:tcW w:w="3709" w:type="dxa"/>
            <w:tcBorders>
              <w:top w:val="single" w:sz="4" w:space="0" w:color="000000"/>
              <w:left w:val="single" w:sz="4" w:space="0" w:color="000000"/>
              <w:bottom w:val="single" w:sz="4" w:space="0" w:color="000000"/>
              <w:right w:val="single" w:sz="4" w:space="0" w:color="000000"/>
            </w:tcBorders>
          </w:tcPr>
          <w:p w14:paraId="1C736040"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Gravité : violence, traumatisme, viol</w:t>
            </w:r>
          </w:p>
        </w:tc>
        <w:tc>
          <w:tcPr>
            <w:tcW w:w="536" w:type="dxa"/>
            <w:tcBorders>
              <w:top w:val="single" w:sz="4" w:space="0" w:color="000000"/>
              <w:left w:val="single" w:sz="4" w:space="0" w:color="000000"/>
              <w:bottom w:val="single" w:sz="4" w:space="0" w:color="000000"/>
              <w:right w:val="single" w:sz="4" w:space="0" w:color="000000"/>
            </w:tcBorders>
          </w:tcPr>
          <w:p w14:paraId="11403837"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G4</w:t>
            </w:r>
          </w:p>
        </w:tc>
      </w:tr>
      <w:tr w:rsidR="00D75D2E" w:rsidRPr="00420C1B" w14:paraId="2177265D" w14:textId="77777777" w:rsidTr="00E737B4">
        <w:tc>
          <w:tcPr>
            <w:tcW w:w="4935" w:type="dxa"/>
            <w:vMerge/>
            <w:tcBorders>
              <w:top w:val="single" w:sz="4" w:space="0" w:color="000000"/>
              <w:left w:val="single" w:sz="4" w:space="0" w:color="000000"/>
              <w:bottom w:val="single" w:sz="4" w:space="0" w:color="000000"/>
              <w:right w:val="single" w:sz="4" w:space="0" w:color="000000"/>
            </w:tcBorders>
          </w:tcPr>
          <w:p w14:paraId="4D09DF3B" w14:textId="77777777" w:rsidR="00195FBE" w:rsidRPr="00420C1B" w:rsidRDefault="00195FBE" w:rsidP="0062151B">
            <w:pPr>
              <w:spacing w:after="0"/>
              <w:jc w:val="both"/>
              <w:rPr>
                <w:rFonts w:ascii="Times New Roman" w:eastAsia="Times New Roman" w:hAnsi="Times New Roman"/>
                <w:sz w:val="20"/>
                <w:lang w:eastAsia="fr-FR"/>
              </w:rPr>
            </w:pPr>
          </w:p>
        </w:tc>
        <w:tc>
          <w:tcPr>
            <w:tcW w:w="3709" w:type="dxa"/>
            <w:tcBorders>
              <w:top w:val="single" w:sz="4" w:space="0" w:color="000000"/>
              <w:left w:val="single" w:sz="4" w:space="0" w:color="000000"/>
              <w:bottom w:val="single" w:sz="4" w:space="0" w:color="000000"/>
              <w:right w:val="single" w:sz="4" w:space="0" w:color="000000"/>
            </w:tcBorders>
          </w:tcPr>
          <w:p w14:paraId="0EC5C5BC"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Niveau de risque</w:t>
            </w:r>
          </w:p>
        </w:tc>
        <w:tc>
          <w:tcPr>
            <w:tcW w:w="536" w:type="dxa"/>
            <w:tcBorders>
              <w:top w:val="single" w:sz="4" w:space="0" w:color="000000"/>
              <w:left w:val="single" w:sz="4" w:space="0" w:color="000000"/>
              <w:bottom w:val="single" w:sz="4" w:space="0" w:color="000000"/>
              <w:right w:val="single" w:sz="4" w:space="0" w:color="000000"/>
            </w:tcBorders>
            <w:shd w:val="clear" w:color="auto" w:fill="FF0000"/>
          </w:tcPr>
          <w:p w14:paraId="543F74F8"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1</w:t>
            </w:r>
          </w:p>
        </w:tc>
      </w:tr>
      <w:tr w:rsidR="00D75D2E" w:rsidRPr="00420C1B" w14:paraId="7F68AAD2" w14:textId="77777777" w:rsidTr="00E737B4">
        <w:trPr>
          <w:trHeight w:val="75"/>
        </w:trPr>
        <w:tc>
          <w:tcPr>
            <w:tcW w:w="9180" w:type="dxa"/>
            <w:gridSpan w:val="3"/>
            <w:tcBorders>
              <w:top w:val="single" w:sz="4" w:space="0" w:color="000000"/>
              <w:left w:val="single" w:sz="4" w:space="0" w:color="000000"/>
              <w:bottom w:val="single" w:sz="4" w:space="0" w:color="000000"/>
              <w:right w:val="single" w:sz="4" w:space="0" w:color="000000"/>
            </w:tcBorders>
          </w:tcPr>
          <w:p w14:paraId="73077036"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Mesures de prévention</w:t>
            </w:r>
          </w:p>
        </w:tc>
      </w:tr>
      <w:tr w:rsidR="00D75D2E" w:rsidRPr="00420C1B" w14:paraId="065E9311" w14:textId="77777777" w:rsidTr="00E737B4">
        <w:trPr>
          <w:trHeight w:val="75"/>
        </w:trPr>
        <w:tc>
          <w:tcPr>
            <w:tcW w:w="9180" w:type="dxa"/>
            <w:gridSpan w:val="3"/>
            <w:tcBorders>
              <w:top w:val="single" w:sz="4" w:space="0" w:color="000000"/>
              <w:left w:val="single" w:sz="4" w:space="0" w:color="000000"/>
              <w:bottom w:val="single" w:sz="4" w:space="0" w:color="000000"/>
              <w:right w:val="single" w:sz="4" w:space="0" w:color="000000"/>
            </w:tcBorders>
          </w:tcPr>
          <w:p w14:paraId="6D6E2702" w14:textId="77777777" w:rsidR="00195FBE" w:rsidRPr="00420C1B" w:rsidRDefault="00195FBE" w:rsidP="00E737B4">
            <w:pPr>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Protections collectives</w:t>
            </w:r>
          </w:p>
          <w:p w14:paraId="35DB6725" w14:textId="7B2A1DF1"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Mettre en place un dispositif pour la réception des allégations des survivantes afin de signaler tous cas </w:t>
            </w:r>
            <w:r w:rsidR="00B15B98" w:rsidRPr="00420C1B">
              <w:rPr>
                <w:rFonts w:ascii="Times New Roman" w:eastAsia="Times New Roman" w:hAnsi="Times New Roman"/>
                <w:sz w:val="20"/>
                <w:lang w:eastAsia="fr-FR"/>
              </w:rPr>
              <w:t xml:space="preserve">d’EAS/HS </w:t>
            </w:r>
            <w:r w:rsidRPr="00420C1B">
              <w:rPr>
                <w:rFonts w:ascii="Times New Roman" w:eastAsia="Times New Roman" w:hAnsi="Times New Roman"/>
                <w:sz w:val="20"/>
                <w:lang w:eastAsia="fr-FR"/>
              </w:rPr>
              <w:t xml:space="preserve">sur le chantier ou par un employé d’entreprise en charge des travaux sur le chantier ;  </w:t>
            </w:r>
          </w:p>
          <w:p w14:paraId="7D659656" w14:textId="77777777" w:rsidR="00112355" w:rsidRPr="00EB2EDD" w:rsidRDefault="00112355" w:rsidP="00112355">
            <w:pPr>
              <w:numPr>
                <w:ilvl w:val="0"/>
                <w:numId w:val="170"/>
              </w:numPr>
              <w:autoSpaceDE w:val="0"/>
              <w:autoSpaceDN w:val="0"/>
              <w:adjustRightInd w:val="0"/>
              <w:spacing w:after="0" w:line="240" w:lineRule="auto"/>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Former le personnel sur les risques VBG, le code de conduite et les types de comportement interdit au sein du projet et dans la relation avec la communauté</w:t>
            </w:r>
          </w:p>
          <w:p w14:paraId="7396E261" w14:textId="3D454DE4" w:rsidR="00112355" w:rsidRPr="00420C1B" w:rsidRDefault="00112355" w:rsidP="00112355">
            <w:pPr>
              <w:numPr>
                <w:ilvl w:val="0"/>
                <w:numId w:val="170"/>
              </w:numPr>
              <w:suppressAutoHyphens/>
              <w:spacing w:after="0" w:line="20" w:lineRule="atLeast"/>
              <w:jc w:val="both"/>
              <w:rPr>
                <w:rFonts w:ascii="Times New Roman" w:eastAsia="Times New Roman" w:hAnsi="Times New Roman"/>
                <w:sz w:val="20"/>
                <w:lang w:eastAsia="fr-FR"/>
              </w:rPr>
            </w:pPr>
            <w:r w:rsidRPr="00EB2EDD">
              <w:rPr>
                <w:rFonts w:ascii="Times New Roman" w:eastAsia="Times New Roman" w:hAnsi="Times New Roman"/>
                <w:sz w:val="20"/>
                <w:szCs w:val="20"/>
                <w:lang w:val="fr-CD" w:eastAsia="fr-FR"/>
              </w:rPr>
              <w:t>Organiser les campagnes de sensibilisation auprès des communautés sur la prévention des risques VBG, le fonctionnement du MGP y inclus l’EAS/HS, le fonctionnement du circuit de référencement des survivants(es)</w:t>
            </w:r>
          </w:p>
          <w:p w14:paraId="3D10D42D" w14:textId="77777777"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Prévoir un mécanisme adéquat de gestion des plaintes concernant les violences basées sur le genre ; </w:t>
            </w:r>
          </w:p>
          <w:p w14:paraId="49A8A51A" w14:textId="77777777"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Mettre en place un protocole de réponse aux VBG par une ONG spécialisée qui aura la charge de mettre en œuvre le plan d’action VBG ;  </w:t>
            </w:r>
          </w:p>
          <w:p w14:paraId="65D2BFB8" w14:textId="11BBC04F"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S’assurer des mesures de soutien aux survivantes : </w:t>
            </w:r>
            <w:r w:rsidR="00427E17" w:rsidRPr="00420C1B">
              <w:rPr>
                <w:rFonts w:ascii="Times New Roman" w:eastAsia="Times New Roman" w:hAnsi="Times New Roman"/>
                <w:sz w:val="20"/>
                <w:lang w:eastAsia="fr-FR"/>
              </w:rPr>
              <w:t xml:space="preserve">élaborer de circuits de référencement des </w:t>
            </w:r>
            <w:r w:rsidRPr="00420C1B">
              <w:rPr>
                <w:rFonts w:ascii="Times New Roman" w:eastAsia="Times New Roman" w:hAnsi="Times New Roman"/>
                <w:sz w:val="20"/>
                <w:lang w:eastAsia="fr-FR"/>
              </w:rPr>
              <w:t xml:space="preserve">fournisseurs de services VBG pour le référencement et paquet des services </w:t>
            </w:r>
            <w:r w:rsidR="00427E17" w:rsidRPr="00420C1B">
              <w:rPr>
                <w:rFonts w:ascii="Times New Roman" w:eastAsia="Times New Roman" w:hAnsi="Times New Roman"/>
                <w:sz w:val="20"/>
                <w:lang w:eastAsia="fr-FR"/>
              </w:rPr>
              <w:t xml:space="preserve">de qualité </w:t>
            </w:r>
            <w:r w:rsidRPr="00420C1B">
              <w:rPr>
                <w:rFonts w:ascii="Times New Roman" w:eastAsia="Times New Roman" w:hAnsi="Times New Roman"/>
                <w:sz w:val="20"/>
                <w:lang w:eastAsia="fr-FR"/>
              </w:rPr>
              <w:t>disponibles ;</w:t>
            </w:r>
          </w:p>
          <w:p w14:paraId="6111D78C" w14:textId="77777777"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Prévoir un code de bonne conduite (à traduire dans la langue locale du site du projet) qui sera signé pour les gestionnaires du projet, de l’entreprise ainsi que tous les travailleurs dédiés au projet (toutes les parties prenantes) ; </w:t>
            </w:r>
          </w:p>
          <w:p w14:paraId="048710AC" w14:textId="77777777"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Mettre en place une stratégie de sensibilisation des travailleurs et des communautés, responsabilités du travailleur au titre du Code de bonne conduite dans le cadre de redevabilité /responsabilisation ;</w:t>
            </w:r>
          </w:p>
          <w:p w14:paraId="4C973ECC" w14:textId="77777777"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Mise en place d’un plan de formation/recyclage des tous les travailleurs avant l’affectation sur chantier ainsi que tout nouveau venu ; </w:t>
            </w:r>
          </w:p>
          <w:p w14:paraId="6150E74F" w14:textId="19CB92D3"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Prévoir des actions pour adresser les risques d</w:t>
            </w:r>
            <w:r w:rsidR="00427E17" w:rsidRPr="00420C1B">
              <w:rPr>
                <w:rFonts w:ascii="Times New Roman" w:eastAsia="Times New Roman" w:hAnsi="Times New Roman"/>
                <w:sz w:val="20"/>
                <w:lang w:eastAsia="fr-FR"/>
              </w:rPr>
              <w:t>’</w:t>
            </w:r>
            <w:r w:rsidRPr="00420C1B">
              <w:rPr>
                <w:rFonts w:ascii="Times New Roman" w:eastAsia="Times New Roman" w:hAnsi="Times New Roman"/>
                <w:sz w:val="20"/>
                <w:lang w:eastAsia="fr-FR"/>
              </w:rPr>
              <w:t xml:space="preserve">EAS/HS au niveau des entreprises ; </w:t>
            </w:r>
          </w:p>
          <w:p w14:paraId="77C69B4F" w14:textId="31CC6E43"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Définir clairement les requis en matière d</w:t>
            </w:r>
            <w:r w:rsidR="00427E17" w:rsidRPr="00420C1B">
              <w:rPr>
                <w:rFonts w:ascii="Times New Roman" w:eastAsia="Times New Roman" w:hAnsi="Times New Roman"/>
                <w:sz w:val="20"/>
                <w:lang w:eastAsia="fr-FR"/>
              </w:rPr>
              <w:t>’</w:t>
            </w:r>
            <w:r w:rsidRPr="00420C1B">
              <w:rPr>
                <w:rFonts w:ascii="Times New Roman" w:eastAsia="Times New Roman" w:hAnsi="Times New Roman"/>
                <w:sz w:val="20"/>
                <w:lang w:eastAsia="fr-FR"/>
              </w:rPr>
              <w:t xml:space="preserve">EAS/HS dans une note aux travailleurs ; </w:t>
            </w:r>
          </w:p>
          <w:p w14:paraId="19412F32" w14:textId="0AAED05E"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Inclure les activités de prévention d</w:t>
            </w:r>
            <w:r w:rsidR="00DD1320" w:rsidRPr="00420C1B">
              <w:rPr>
                <w:rFonts w:ascii="Times New Roman" w:eastAsia="Times New Roman" w:hAnsi="Times New Roman"/>
                <w:sz w:val="20"/>
                <w:lang w:eastAsia="fr-FR"/>
              </w:rPr>
              <w:t>’</w:t>
            </w:r>
            <w:r w:rsidRPr="00420C1B">
              <w:rPr>
                <w:rFonts w:ascii="Times New Roman" w:eastAsia="Times New Roman" w:hAnsi="Times New Roman"/>
                <w:sz w:val="20"/>
                <w:lang w:eastAsia="fr-FR"/>
              </w:rPr>
              <w:t>EAS/HS dans le contrat des travaux (ex. en matière de santé et de sécurité au travail) ;</w:t>
            </w:r>
          </w:p>
          <w:p w14:paraId="465354D4" w14:textId="20BE3154" w:rsidR="00112355" w:rsidRPr="00EB2EDD" w:rsidRDefault="00112355" w:rsidP="00112355">
            <w:pPr>
              <w:numPr>
                <w:ilvl w:val="0"/>
                <w:numId w:val="170"/>
              </w:numPr>
              <w:autoSpaceDE w:val="0"/>
              <w:autoSpaceDN w:val="0"/>
              <w:adjustRightInd w:val="0"/>
              <w:spacing w:after="0" w:line="240" w:lineRule="auto"/>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Organisation des campagnes d’éducation pour le changement de comportement (CECC) sur le VBG</w:t>
            </w:r>
            <w:r>
              <w:rPr>
                <w:rFonts w:ascii="Times New Roman" w:eastAsia="Times New Roman" w:hAnsi="Times New Roman"/>
                <w:sz w:val="20"/>
                <w:szCs w:val="20"/>
                <w:lang w:val="fr-CD" w:eastAsia="fr-FR"/>
              </w:rPr>
              <w:t> ;</w:t>
            </w:r>
          </w:p>
          <w:p w14:paraId="05EA30DF" w14:textId="4930B470" w:rsidR="00112355" w:rsidRPr="00EB2EDD" w:rsidRDefault="00112355" w:rsidP="00112355">
            <w:pPr>
              <w:numPr>
                <w:ilvl w:val="0"/>
                <w:numId w:val="170"/>
              </w:numPr>
              <w:autoSpaceDE w:val="0"/>
              <w:autoSpaceDN w:val="0"/>
              <w:adjustRightInd w:val="0"/>
              <w:spacing w:after="0" w:line="240" w:lineRule="auto"/>
              <w:contextualSpacing/>
              <w:jc w:val="both"/>
              <w:rPr>
                <w:rFonts w:ascii="Times New Roman" w:eastAsia="Times New Roman" w:hAnsi="Times New Roman"/>
                <w:sz w:val="20"/>
                <w:szCs w:val="20"/>
                <w:lang w:val="fr-CD" w:eastAsia="fr-FR"/>
              </w:rPr>
            </w:pPr>
            <w:r w:rsidRPr="00EB2EDD">
              <w:rPr>
                <w:rFonts w:ascii="Times New Roman" w:eastAsia="Times New Roman" w:hAnsi="Times New Roman"/>
                <w:sz w:val="20"/>
                <w:szCs w:val="20"/>
                <w:lang w:val="fr-CD" w:eastAsia="fr-FR"/>
              </w:rPr>
              <w:t>Cartographier les principaux risques VBG dans la zone du projet et les principaux fournisseurs de service de pris en charge des survivants et y appliquer les mesures idoines pour les atténuer</w:t>
            </w:r>
            <w:r>
              <w:rPr>
                <w:rFonts w:ascii="Times New Roman" w:eastAsia="Times New Roman" w:hAnsi="Times New Roman"/>
                <w:sz w:val="20"/>
                <w:szCs w:val="20"/>
                <w:lang w:val="fr-CD" w:eastAsia="fr-FR"/>
              </w:rPr>
              <w:t> ;</w:t>
            </w:r>
          </w:p>
          <w:p w14:paraId="74BC50A0" w14:textId="6F7C5952"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Inclure les comportements interdits liés à l</w:t>
            </w:r>
            <w:r w:rsidR="00DD1320" w:rsidRPr="00420C1B">
              <w:rPr>
                <w:rFonts w:ascii="Times New Roman" w:eastAsia="Times New Roman" w:hAnsi="Times New Roman"/>
                <w:sz w:val="20"/>
                <w:lang w:eastAsia="fr-FR"/>
              </w:rPr>
              <w:t xml:space="preserve">’EAS/HS </w:t>
            </w:r>
            <w:r w:rsidRPr="00420C1B">
              <w:rPr>
                <w:rFonts w:ascii="Times New Roman" w:eastAsia="Times New Roman" w:hAnsi="Times New Roman"/>
                <w:sz w:val="20"/>
                <w:lang w:eastAsia="fr-FR"/>
              </w:rPr>
              <w:t>ainsi que les sanctions dans les conditions particulières du contrat ;</w:t>
            </w:r>
          </w:p>
          <w:p w14:paraId="776E048E" w14:textId="107BA151" w:rsidR="00195FBE" w:rsidRPr="00420C1B" w:rsidRDefault="00195FBE" w:rsidP="00112355">
            <w:pPr>
              <w:numPr>
                <w:ilvl w:val="0"/>
                <w:numId w:val="170"/>
              </w:numPr>
              <w:suppressAutoHyphens/>
              <w:spacing w:after="0" w:line="20" w:lineRule="atLeast"/>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Prévoir une évaluation des risques </w:t>
            </w:r>
            <w:r w:rsidR="00DD1320" w:rsidRPr="00420C1B">
              <w:rPr>
                <w:rFonts w:ascii="Times New Roman" w:eastAsia="Times New Roman" w:hAnsi="Times New Roman"/>
                <w:sz w:val="20"/>
                <w:lang w:eastAsia="fr-FR"/>
              </w:rPr>
              <w:t>E</w:t>
            </w:r>
            <w:r w:rsidRPr="00420C1B">
              <w:rPr>
                <w:rFonts w:ascii="Times New Roman" w:eastAsia="Times New Roman" w:hAnsi="Times New Roman"/>
                <w:sz w:val="20"/>
                <w:lang w:eastAsia="fr-FR"/>
              </w:rPr>
              <w:t>AS/HS ainsi que des évaluations à mi-parcours pendant la mise en œuvre pour s’assurer de leur diminution ou augmentation en définissant leur cause et proposer des mesures de mitigation.</w:t>
            </w:r>
          </w:p>
          <w:p w14:paraId="52B1B44B" w14:textId="77777777" w:rsidR="00195FBE" w:rsidRPr="00420C1B" w:rsidRDefault="00195FBE" w:rsidP="00112355">
            <w:pPr>
              <w:numPr>
                <w:ilvl w:val="0"/>
                <w:numId w:val="170"/>
              </w:numPr>
              <w:suppressAutoHyphens/>
              <w:spacing w:after="0" w:line="20" w:lineRule="atLeast"/>
              <w:jc w:val="both"/>
              <w:rPr>
                <w:rFonts w:ascii="Times New Roman" w:hAnsi="Times New Roman"/>
                <w:sz w:val="20"/>
              </w:rPr>
            </w:pPr>
            <w:r w:rsidRPr="00420C1B">
              <w:rPr>
                <w:rFonts w:ascii="Times New Roman" w:eastAsia="Times New Roman" w:hAnsi="Times New Roman"/>
                <w:sz w:val="20"/>
                <w:lang w:eastAsia="fr-FR"/>
              </w:rPr>
              <w:t xml:space="preserve">Préparer un plan d’action des mesures de prévention, d’atténuation et de réponses potentiels aux incidents </w:t>
            </w:r>
            <w:r w:rsidR="0068452B" w:rsidRPr="00420C1B">
              <w:rPr>
                <w:rFonts w:ascii="Times New Roman" w:eastAsia="Times New Roman" w:hAnsi="Times New Roman"/>
                <w:sz w:val="20"/>
                <w:lang w:eastAsia="fr-FR"/>
              </w:rPr>
              <w:t>d’</w:t>
            </w:r>
            <w:r w:rsidRPr="00420C1B">
              <w:rPr>
                <w:rFonts w:ascii="Times New Roman" w:eastAsia="Times New Roman" w:hAnsi="Times New Roman"/>
                <w:sz w:val="20"/>
                <w:lang w:eastAsia="fr-FR"/>
              </w:rPr>
              <w:t xml:space="preserve">EAS/HS avant la mise en œuvre du projet </w:t>
            </w:r>
          </w:p>
        </w:tc>
      </w:tr>
    </w:tbl>
    <w:p w14:paraId="753CA347" w14:textId="77777777" w:rsidR="00195FBE" w:rsidRPr="00E737B4" w:rsidRDefault="00195FBE" w:rsidP="00215867">
      <w:pPr>
        <w:spacing w:before="120" w:after="120" w:line="264" w:lineRule="auto"/>
        <w:jc w:val="both"/>
        <w:rPr>
          <w:rFonts w:ascii="Times New Roman" w:eastAsia="Times New Roman" w:hAnsi="Times New Roman"/>
          <w:sz w:val="24"/>
          <w:szCs w:val="20"/>
          <w:lang w:eastAsia="fr-FR"/>
        </w:rPr>
      </w:pPr>
      <w:r w:rsidRPr="00E737B4">
        <w:rPr>
          <w:rFonts w:ascii="Times New Roman" w:eastAsia="Times New Roman" w:hAnsi="Times New Roman"/>
          <w:sz w:val="24"/>
          <w:szCs w:val="20"/>
          <w:lang w:eastAsia="fr-FR"/>
        </w:rPr>
        <w:t>Source : Mission d’élaboration de l’EIES des travaux d’électrification des poches noires, d’assainissement, de réhabilitation et de mise en conformité des réseaux de distribution SNEL des directions de Kinshasa Centre et Ouest, juillet 2021</w:t>
      </w:r>
    </w:p>
    <w:p w14:paraId="3250CC29" w14:textId="599AD4DD" w:rsidR="00195FBE" w:rsidRPr="00D75D2E" w:rsidRDefault="00195FBE" w:rsidP="00215867">
      <w:pPr>
        <w:pStyle w:val="Titre4"/>
        <w:numPr>
          <w:ilvl w:val="3"/>
          <w:numId w:val="54"/>
        </w:numPr>
        <w:spacing w:before="200" w:after="120" w:line="20" w:lineRule="atLeast"/>
        <w:ind w:left="1276" w:hanging="851"/>
        <w:rPr>
          <w:color w:val="auto"/>
          <w:szCs w:val="24"/>
        </w:rPr>
      </w:pPr>
      <w:bookmarkStart w:id="713" w:name="_Toc78602037"/>
      <w:bookmarkStart w:id="714" w:name="_Toc103685694"/>
      <w:r w:rsidRPr="00D75D2E">
        <w:rPr>
          <w:color w:val="auto"/>
          <w:szCs w:val="24"/>
        </w:rPr>
        <w:t>Risque de contamination de la COVID-19</w:t>
      </w:r>
      <w:bookmarkEnd w:id="713"/>
      <w:bookmarkEnd w:id="714"/>
    </w:p>
    <w:p w14:paraId="60B513FD" w14:textId="77777777" w:rsidR="00195FBE" w:rsidRDefault="00195FBE" w:rsidP="00E737B4">
      <w:pPr>
        <w:spacing w:before="120" w:after="120" w:line="240" w:lineRule="auto"/>
        <w:jc w:val="both"/>
        <w:rPr>
          <w:rFonts w:ascii="Times New Roman" w:eastAsia="DengXian Light" w:hAnsi="Times New Roman"/>
          <w:sz w:val="24"/>
          <w:szCs w:val="24"/>
          <w:lang w:eastAsia="fr-FR"/>
        </w:rPr>
      </w:pPr>
      <w:r w:rsidRPr="00D75D2E">
        <w:rPr>
          <w:rFonts w:ascii="Times New Roman" w:eastAsia="DengXian Light" w:hAnsi="Times New Roman"/>
          <w:sz w:val="24"/>
          <w:szCs w:val="24"/>
          <w:lang w:eastAsia="fr-FR"/>
        </w:rPr>
        <w:t>Pendant la phase préparatoire, d’exécution et d’exploitation l’entreprise, la mission de contrôle, les fournisseurs et autres prestataires de service vont recruter la main d’œuvre locale sur le chantier. Cette main d’œuvre permanent sur le chantier sera exposée à la COVID-19.</w:t>
      </w:r>
    </w:p>
    <w:tbl>
      <w:tblPr>
        <w:tblW w:w="9180" w:type="dxa"/>
        <w:tblLayout w:type="fixed"/>
        <w:tblLook w:val="04A0" w:firstRow="1" w:lastRow="0" w:firstColumn="1" w:lastColumn="0" w:noHBand="0" w:noVBand="1"/>
      </w:tblPr>
      <w:tblGrid>
        <w:gridCol w:w="4361"/>
        <w:gridCol w:w="3969"/>
        <w:gridCol w:w="850"/>
      </w:tblGrid>
      <w:tr w:rsidR="00D75D2E" w:rsidRPr="00420C1B" w14:paraId="0D326ADC" w14:textId="77777777" w:rsidTr="00E737B4">
        <w:tc>
          <w:tcPr>
            <w:tcW w:w="4361" w:type="dxa"/>
            <w:vMerge w:val="restart"/>
            <w:tcBorders>
              <w:top w:val="single" w:sz="4" w:space="0" w:color="000000"/>
              <w:left w:val="single" w:sz="4" w:space="0" w:color="000000"/>
              <w:bottom w:val="single" w:sz="4" w:space="0" w:color="000000"/>
              <w:right w:val="single" w:sz="4" w:space="0" w:color="000000"/>
            </w:tcBorders>
          </w:tcPr>
          <w:p w14:paraId="1DCCBB9C"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Dangers et /ou situations dangereuses</w:t>
            </w:r>
          </w:p>
          <w:p w14:paraId="52461C53"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Présence des ouvriers en phase des travaux ;</w:t>
            </w:r>
          </w:p>
          <w:p w14:paraId="66B96F05"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Organisation des consultations publiques</w:t>
            </w:r>
          </w:p>
          <w:p w14:paraId="72E50EF8"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Mobilisation des parties prenantes au Projet</w:t>
            </w:r>
          </w:p>
          <w:p w14:paraId="587C3F78"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Proximité des nombreux débits de boisson et bars dancing ;</w:t>
            </w:r>
          </w:p>
        </w:tc>
        <w:tc>
          <w:tcPr>
            <w:tcW w:w="4819" w:type="dxa"/>
            <w:gridSpan w:val="2"/>
            <w:tcBorders>
              <w:top w:val="single" w:sz="4" w:space="0" w:color="000000"/>
              <w:left w:val="single" w:sz="4" w:space="0" w:color="000000"/>
              <w:bottom w:val="single" w:sz="4" w:space="0" w:color="000000"/>
              <w:right w:val="single" w:sz="4" w:space="0" w:color="000000"/>
            </w:tcBorders>
          </w:tcPr>
          <w:p w14:paraId="319BD6B4"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Evaluation qualitative du risque :</w:t>
            </w:r>
          </w:p>
          <w:p w14:paraId="428897C0"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Ces situations dangereuses peuvent bien être rencontrées dans la zone de travail.</w:t>
            </w:r>
          </w:p>
        </w:tc>
      </w:tr>
      <w:tr w:rsidR="00D75D2E" w:rsidRPr="00420C1B" w14:paraId="0C4C79A4" w14:textId="77777777" w:rsidTr="00E737B4">
        <w:tc>
          <w:tcPr>
            <w:tcW w:w="4361" w:type="dxa"/>
            <w:vMerge/>
            <w:tcBorders>
              <w:top w:val="single" w:sz="4" w:space="0" w:color="000000"/>
              <w:left w:val="single" w:sz="4" w:space="0" w:color="000000"/>
              <w:bottom w:val="single" w:sz="4" w:space="0" w:color="000000"/>
              <w:right w:val="single" w:sz="4" w:space="0" w:color="000000"/>
            </w:tcBorders>
          </w:tcPr>
          <w:p w14:paraId="623A1FAF" w14:textId="77777777" w:rsidR="00195FBE" w:rsidRPr="00420C1B" w:rsidRDefault="00195FBE" w:rsidP="0062151B">
            <w:pPr>
              <w:spacing w:after="0"/>
              <w:jc w:val="both"/>
              <w:rPr>
                <w:rFonts w:ascii="Times New Roman" w:eastAsia="Times New Roman" w:hAnsi="Times New Roman"/>
                <w:sz w:val="20"/>
                <w:lang w:eastAsia="fr-FR"/>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ADE6B64"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Probabilité : événement très probable</w:t>
            </w:r>
          </w:p>
        </w:tc>
        <w:tc>
          <w:tcPr>
            <w:tcW w:w="850" w:type="dxa"/>
            <w:tcBorders>
              <w:top w:val="single" w:sz="4" w:space="0" w:color="000000"/>
              <w:left w:val="single" w:sz="4" w:space="0" w:color="000000"/>
              <w:bottom w:val="single" w:sz="4" w:space="0" w:color="000000"/>
              <w:right w:val="single" w:sz="4" w:space="0" w:color="000000"/>
            </w:tcBorders>
            <w:vAlign w:val="center"/>
          </w:tcPr>
          <w:p w14:paraId="71CACDF7"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P4</w:t>
            </w:r>
          </w:p>
        </w:tc>
      </w:tr>
      <w:tr w:rsidR="00D75D2E" w:rsidRPr="00420C1B" w14:paraId="4E178287" w14:textId="77777777" w:rsidTr="00E737B4">
        <w:tc>
          <w:tcPr>
            <w:tcW w:w="4361" w:type="dxa"/>
            <w:vMerge/>
            <w:tcBorders>
              <w:top w:val="single" w:sz="4" w:space="0" w:color="000000"/>
              <w:left w:val="single" w:sz="4" w:space="0" w:color="000000"/>
              <w:bottom w:val="single" w:sz="4" w:space="0" w:color="000000"/>
              <w:right w:val="single" w:sz="4" w:space="0" w:color="000000"/>
            </w:tcBorders>
          </w:tcPr>
          <w:p w14:paraId="6CE33442" w14:textId="77777777" w:rsidR="00195FBE" w:rsidRPr="00420C1B" w:rsidRDefault="00195FBE" w:rsidP="0062151B">
            <w:pPr>
              <w:spacing w:after="0"/>
              <w:jc w:val="both"/>
              <w:rPr>
                <w:rFonts w:ascii="Times New Roman" w:eastAsia="Times New Roman" w:hAnsi="Times New Roman"/>
                <w:sz w:val="20"/>
                <w:lang w:eastAsia="fr-FR"/>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6358C435"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Gravité : violence, traumatisme, viol</w:t>
            </w:r>
          </w:p>
        </w:tc>
        <w:tc>
          <w:tcPr>
            <w:tcW w:w="850" w:type="dxa"/>
            <w:tcBorders>
              <w:top w:val="single" w:sz="4" w:space="0" w:color="000000"/>
              <w:left w:val="single" w:sz="4" w:space="0" w:color="000000"/>
              <w:bottom w:val="single" w:sz="4" w:space="0" w:color="000000"/>
              <w:right w:val="single" w:sz="4" w:space="0" w:color="000000"/>
            </w:tcBorders>
            <w:vAlign w:val="center"/>
          </w:tcPr>
          <w:p w14:paraId="5F6C0563"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G4</w:t>
            </w:r>
          </w:p>
        </w:tc>
      </w:tr>
      <w:tr w:rsidR="00D75D2E" w:rsidRPr="00420C1B" w14:paraId="3F8AB25D" w14:textId="77777777" w:rsidTr="00E737B4">
        <w:tc>
          <w:tcPr>
            <w:tcW w:w="4361" w:type="dxa"/>
            <w:vMerge/>
            <w:tcBorders>
              <w:top w:val="single" w:sz="4" w:space="0" w:color="000000"/>
              <w:left w:val="single" w:sz="4" w:space="0" w:color="000000"/>
              <w:bottom w:val="single" w:sz="4" w:space="0" w:color="000000"/>
              <w:right w:val="single" w:sz="4" w:space="0" w:color="000000"/>
            </w:tcBorders>
          </w:tcPr>
          <w:p w14:paraId="76F74D88" w14:textId="77777777" w:rsidR="00195FBE" w:rsidRPr="00420C1B" w:rsidRDefault="00195FBE" w:rsidP="0062151B">
            <w:pPr>
              <w:spacing w:after="0"/>
              <w:jc w:val="both"/>
              <w:rPr>
                <w:rFonts w:ascii="Times New Roman" w:eastAsia="Times New Roman" w:hAnsi="Times New Roman"/>
                <w:sz w:val="20"/>
                <w:lang w:eastAsia="fr-FR"/>
              </w:rPr>
            </w:pPr>
          </w:p>
        </w:tc>
        <w:tc>
          <w:tcPr>
            <w:tcW w:w="3969" w:type="dxa"/>
            <w:tcBorders>
              <w:top w:val="single" w:sz="4" w:space="0" w:color="000000"/>
              <w:left w:val="single" w:sz="4" w:space="0" w:color="000000"/>
              <w:bottom w:val="single" w:sz="4" w:space="0" w:color="000000"/>
              <w:right w:val="single" w:sz="4" w:space="0" w:color="000000"/>
            </w:tcBorders>
            <w:vAlign w:val="center"/>
          </w:tcPr>
          <w:p w14:paraId="0866481B"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Niveau de risque</w:t>
            </w:r>
          </w:p>
        </w:tc>
        <w:tc>
          <w:tcPr>
            <w:tcW w:w="85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6E8E449" w14:textId="77777777" w:rsidR="00195FBE" w:rsidRPr="00420C1B" w:rsidRDefault="00195FBE" w:rsidP="00E737B4">
            <w:pPr>
              <w:spacing w:after="0"/>
              <w:rPr>
                <w:rFonts w:ascii="Times New Roman" w:eastAsia="Times New Roman" w:hAnsi="Times New Roman"/>
                <w:sz w:val="20"/>
                <w:lang w:eastAsia="fr-FR"/>
              </w:rPr>
            </w:pPr>
            <w:r w:rsidRPr="00420C1B">
              <w:rPr>
                <w:rFonts w:ascii="Times New Roman" w:eastAsia="Times New Roman" w:hAnsi="Times New Roman"/>
                <w:sz w:val="20"/>
                <w:lang w:eastAsia="fr-FR"/>
              </w:rPr>
              <w:t>1</w:t>
            </w:r>
          </w:p>
        </w:tc>
      </w:tr>
      <w:tr w:rsidR="00D75D2E" w:rsidRPr="00420C1B" w14:paraId="06A93FEB" w14:textId="77777777" w:rsidTr="00E737B4">
        <w:trPr>
          <w:trHeight w:val="75"/>
        </w:trPr>
        <w:tc>
          <w:tcPr>
            <w:tcW w:w="9180" w:type="dxa"/>
            <w:gridSpan w:val="3"/>
            <w:tcBorders>
              <w:top w:val="single" w:sz="4" w:space="0" w:color="000000"/>
              <w:left w:val="single" w:sz="4" w:space="0" w:color="000000"/>
              <w:bottom w:val="single" w:sz="4" w:space="0" w:color="000000"/>
              <w:right w:val="single" w:sz="4" w:space="0" w:color="000000"/>
            </w:tcBorders>
          </w:tcPr>
          <w:p w14:paraId="46E97E90" w14:textId="77777777" w:rsidR="00195FBE" w:rsidRPr="00420C1B" w:rsidRDefault="00195FBE" w:rsidP="0062151B">
            <w:pPr>
              <w:spacing w:after="0"/>
              <w:jc w:val="both"/>
              <w:rPr>
                <w:rFonts w:ascii="Times New Roman" w:eastAsia="Times New Roman" w:hAnsi="Times New Roman"/>
                <w:b/>
                <w:sz w:val="20"/>
                <w:lang w:eastAsia="fr-FR"/>
              </w:rPr>
            </w:pPr>
            <w:r w:rsidRPr="00420C1B">
              <w:rPr>
                <w:rFonts w:ascii="Times New Roman" w:eastAsia="Times New Roman" w:hAnsi="Times New Roman"/>
                <w:b/>
                <w:sz w:val="20"/>
                <w:lang w:eastAsia="fr-FR"/>
              </w:rPr>
              <w:t>Mesures de prévention</w:t>
            </w:r>
          </w:p>
        </w:tc>
      </w:tr>
      <w:tr w:rsidR="00616A2E" w:rsidRPr="00420C1B" w14:paraId="64E261AD" w14:textId="77777777" w:rsidTr="00E737B4">
        <w:trPr>
          <w:trHeight w:val="75"/>
        </w:trPr>
        <w:tc>
          <w:tcPr>
            <w:tcW w:w="9180" w:type="dxa"/>
            <w:gridSpan w:val="3"/>
            <w:tcBorders>
              <w:top w:val="single" w:sz="4" w:space="0" w:color="000000"/>
              <w:left w:val="single" w:sz="4" w:space="0" w:color="000000"/>
              <w:bottom w:val="single" w:sz="4" w:space="0" w:color="000000"/>
              <w:right w:val="single" w:sz="4" w:space="0" w:color="000000"/>
            </w:tcBorders>
          </w:tcPr>
          <w:p w14:paraId="2605D98A" w14:textId="77777777" w:rsidR="00195FBE" w:rsidRPr="00420C1B" w:rsidRDefault="00195FBE" w:rsidP="0062151B">
            <w:pPr>
              <w:spacing w:after="0"/>
              <w:jc w:val="both"/>
              <w:rPr>
                <w:rFonts w:ascii="Times New Roman" w:eastAsia="Times New Roman" w:hAnsi="Times New Roman"/>
                <w:sz w:val="20"/>
                <w:lang w:eastAsia="fr-FR"/>
              </w:rPr>
            </w:pPr>
            <w:r w:rsidRPr="00420C1B">
              <w:rPr>
                <w:rFonts w:ascii="Times New Roman" w:eastAsia="Times New Roman" w:hAnsi="Times New Roman"/>
                <w:sz w:val="20"/>
                <w:lang w:eastAsia="fr-FR"/>
              </w:rPr>
              <w:t>Protections collectives</w:t>
            </w:r>
          </w:p>
          <w:p w14:paraId="49773B54" w14:textId="77777777" w:rsidR="00195FBE" w:rsidRPr="00420C1B" w:rsidRDefault="00195FBE" w:rsidP="0062151B">
            <w:pPr>
              <w:spacing w:after="0"/>
              <w:jc w:val="both"/>
              <w:rPr>
                <w:rFonts w:ascii="Times New Roman" w:eastAsia="Times New Roman" w:hAnsi="Times New Roman"/>
                <w:sz w:val="20"/>
                <w:lang w:eastAsia="fr-FR"/>
              </w:rPr>
            </w:pPr>
          </w:p>
          <w:p w14:paraId="7E2BE831"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Sensibiliser les travailleurs et les populations riveraines sur la lutte contre la COVID19 ;</w:t>
            </w:r>
          </w:p>
          <w:p w14:paraId="7577A878"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Port obligatoire des masques médicalisés ou tout autre masque fabriqué localement ; </w:t>
            </w:r>
          </w:p>
          <w:p w14:paraId="0A86E96D"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Avant de mettre un masque, se laver les mains avec une solution hydro alcoolique ou à l'eau et au savon</w:t>
            </w:r>
          </w:p>
          <w:p w14:paraId="74B5A860"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Appliquer le masque de façon à recouvrir le nez et la bouche et veillez à l'ajuster au mieux sur votre visage</w:t>
            </w:r>
          </w:p>
          <w:p w14:paraId="78096A66"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Lorsque l'on porte un masque, éviter de le toucher ; chaque fois que l'on touche un masque usagé, se laver les mains à l'aide d'une solution hydro alcoolique ou à l'eau et au savon </w:t>
            </w:r>
          </w:p>
          <w:p w14:paraId="1C43D141"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Pour retirer le masque : l'enlever par derrière (ne pas toucher le devant du masque) ; le jeter immédiatement dans une poubelle fermée ; se laver les mains avec une solution hydro alcoolique ou à l'eau et au savon</w:t>
            </w:r>
          </w:p>
          <w:p w14:paraId="70BF6A60"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Le masque doit être par ailleurs adapté à la taille du visage et doit être bien positionné (le côté rembourré de la barrette nasale doit être placé sur la bosse du nez pour bien protéger le nez)</w:t>
            </w:r>
          </w:p>
          <w:p w14:paraId="7A60D4D1"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Confinement des personnes contaminées par la COVID-19 ;</w:t>
            </w:r>
          </w:p>
          <w:p w14:paraId="6FD13E26"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Observer les mesures barrières dont :</w:t>
            </w:r>
          </w:p>
          <w:p w14:paraId="494A2B1E"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Lavage des mains plusieurs fois/jours, fréquemment et correctement avec du savon ou mettre du gel hydro alcoolique pour éviter les microbes</w:t>
            </w:r>
          </w:p>
          <w:p w14:paraId="3D650CB8"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Maintenir une distanciation sociale (±1 mètre)</w:t>
            </w:r>
          </w:p>
          <w:p w14:paraId="68A5BB1E"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Observer les règles d’hygiène respiratoire :</w:t>
            </w:r>
          </w:p>
          <w:p w14:paraId="39086AA8"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Eviter de se serrer la main ou de se faire la bise pour se saluer.</w:t>
            </w:r>
          </w:p>
          <w:p w14:paraId="12F07312"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En cas de possibilité, faire des rotations des travailleurs pour favoriser la distanciation physique</w:t>
            </w:r>
          </w:p>
          <w:p w14:paraId="2D7B2A52"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Éviter de se toucher la bouche, le nez et les yeux : nez, yeux et bouches sont autant de "portes d'entrées" possibles au virus. En période d'épidémie, il est préférable d'éviter au maximum de se toucher le visage avec les mains, potentiellement contaminées.</w:t>
            </w:r>
          </w:p>
          <w:p w14:paraId="691348C7"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 xml:space="preserve">Mettre en place un numéro vert </w:t>
            </w:r>
            <w:r w:rsidR="00616A2E" w:rsidRPr="00420C1B">
              <w:rPr>
                <w:rFonts w:ascii="Times New Roman" w:eastAsia="Times New Roman" w:hAnsi="Times New Roman"/>
                <w:sz w:val="20"/>
                <w:lang w:eastAsia="fr-FR"/>
              </w:rPr>
              <w:t>dans les communes.</w:t>
            </w:r>
          </w:p>
          <w:p w14:paraId="23DBF4F4" w14:textId="77777777" w:rsidR="00195FBE" w:rsidRPr="00420C1B" w:rsidRDefault="00195FBE" w:rsidP="008C79F0">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420C1B">
              <w:rPr>
                <w:rFonts w:ascii="Times New Roman" w:eastAsia="Times New Roman" w:hAnsi="Times New Roman"/>
                <w:sz w:val="20"/>
                <w:lang w:eastAsia="fr-FR"/>
              </w:rPr>
              <w:t>Se couvrir la bouche et le nez avec le pli du coude ou avec un mouchoir en cas de toux ou d'éternuement – jeter le mouchoir immédiatement après dans une poubelle fermée et se laver les mains  à l'eau et au savon. Se couvrir la bouche et le nez en cas de toux ou d'éternuement permet d'éviter la propagation des virus et autres agents pathogènes ;</w:t>
            </w:r>
          </w:p>
          <w:p w14:paraId="4850F561" w14:textId="77777777" w:rsidR="00195FBE" w:rsidRPr="00420C1B" w:rsidRDefault="00195FBE" w:rsidP="008C79F0">
            <w:pPr>
              <w:numPr>
                <w:ilvl w:val="0"/>
                <w:numId w:val="170"/>
              </w:numPr>
              <w:suppressAutoHyphens/>
              <w:spacing w:after="0" w:line="276" w:lineRule="auto"/>
              <w:jc w:val="both"/>
              <w:rPr>
                <w:rFonts w:ascii="Times New Roman" w:eastAsia="Times New Roman" w:hAnsi="Times New Roman"/>
                <w:sz w:val="20"/>
                <w:lang w:eastAsia="fr-FR"/>
              </w:rPr>
            </w:pPr>
            <w:r w:rsidRPr="00420C1B">
              <w:rPr>
                <w:rFonts w:ascii="Times New Roman" w:eastAsia="Times New Roman" w:hAnsi="Times New Roman"/>
                <w:sz w:val="20"/>
                <w:lang w:eastAsia="fr-FR"/>
              </w:rPr>
              <w:t>Elaborer un plan de prévention de COVID-19</w:t>
            </w:r>
          </w:p>
        </w:tc>
      </w:tr>
    </w:tbl>
    <w:p w14:paraId="77429CE3" w14:textId="431D0DFD" w:rsidR="006E4D32" w:rsidRPr="00D75D2E" w:rsidRDefault="006E4D32" w:rsidP="00215867">
      <w:pPr>
        <w:pStyle w:val="Titre4"/>
        <w:numPr>
          <w:ilvl w:val="3"/>
          <w:numId w:val="54"/>
        </w:numPr>
        <w:spacing w:before="200" w:after="120" w:line="20" w:lineRule="atLeast"/>
        <w:ind w:left="1276" w:hanging="851"/>
        <w:rPr>
          <w:color w:val="auto"/>
          <w:szCs w:val="24"/>
        </w:rPr>
      </w:pPr>
      <w:bookmarkStart w:id="715" w:name="_Toc103685695"/>
      <w:bookmarkStart w:id="716" w:name="_Toc428963596"/>
      <w:bookmarkStart w:id="717" w:name="_Toc16663515"/>
      <w:bookmarkStart w:id="718" w:name="_Toc16663689"/>
      <w:bookmarkStart w:id="719" w:name="_Toc16664934"/>
      <w:r w:rsidRPr="00D75D2E">
        <w:rPr>
          <w:color w:val="auto"/>
          <w:szCs w:val="24"/>
        </w:rPr>
        <w:t xml:space="preserve">Risques </w:t>
      </w:r>
      <w:r>
        <w:rPr>
          <w:color w:val="auto"/>
          <w:szCs w:val="24"/>
        </w:rPr>
        <w:t>de la découverte fortuite</w:t>
      </w:r>
      <w:bookmarkEnd w:id="715"/>
    </w:p>
    <w:p w14:paraId="5189AC19" w14:textId="0B23112D" w:rsidR="006E4D32" w:rsidRPr="00D75D2E" w:rsidRDefault="006E4D32" w:rsidP="006E4D32">
      <w:pPr>
        <w:autoSpaceDE w:val="0"/>
        <w:autoSpaceDN w:val="0"/>
        <w:adjustRightInd w:val="0"/>
        <w:spacing w:after="0" w:line="240" w:lineRule="auto"/>
        <w:jc w:val="both"/>
        <w:rPr>
          <w:rFonts w:ascii="Times New Roman" w:eastAsia="Times New Roman" w:hAnsi="Times New Roman"/>
          <w:lang w:eastAsia="fr-FR"/>
        </w:rPr>
      </w:pPr>
      <w:r>
        <w:rPr>
          <w:rFonts w:ascii="Times New Roman" w:eastAsia="Times New Roman" w:hAnsi="Times New Roman"/>
          <w:sz w:val="24"/>
          <w:lang w:eastAsia="fr-FR"/>
        </w:rPr>
        <w:t>Pendant la phase des travaux d’excavation pour l’implantation des cabines et autres poteaux, les entreprises risquent d’arriver à la découverte fortuite et le risque de vandalisme des cimetières et à la dégradation de vestiges surtout dans les nouveaux quartiers de la zone du projet constituée des poches noires.</w:t>
      </w:r>
    </w:p>
    <w:p w14:paraId="299C09D5" w14:textId="77777777" w:rsidR="006E4D32" w:rsidRPr="00D75D2E" w:rsidRDefault="006E4D32" w:rsidP="006E4D32">
      <w:pPr>
        <w:autoSpaceDE w:val="0"/>
        <w:autoSpaceDN w:val="0"/>
        <w:adjustRightInd w:val="0"/>
        <w:spacing w:after="0" w:line="240" w:lineRule="auto"/>
        <w:jc w:val="both"/>
        <w:rPr>
          <w:rFonts w:ascii="Times New Roman" w:eastAsia="Times New Roman" w:hAnsi="Times New Roman"/>
          <w:lang w:eastAsia="fr-FR"/>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66"/>
        <w:gridCol w:w="3998"/>
        <w:gridCol w:w="567"/>
      </w:tblGrid>
      <w:tr w:rsidR="006E4D32" w:rsidRPr="00420C1B" w14:paraId="127E82F9" w14:textId="77777777" w:rsidTr="0016501C">
        <w:trPr>
          <w:trHeight w:val="682"/>
        </w:trPr>
        <w:tc>
          <w:tcPr>
            <w:tcW w:w="4366" w:type="dxa"/>
            <w:vMerge w:val="restart"/>
          </w:tcPr>
          <w:p w14:paraId="6232068B" w14:textId="77777777" w:rsidR="006E4D32" w:rsidRPr="00215867" w:rsidRDefault="006E4D32" w:rsidP="00215867">
            <w:pPr>
              <w:spacing w:after="0" w:line="276" w:lineRule="auto"/>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Dangers et /ou situations dangereuses</w:t>
            </w:r>
          </w:p>
          <w:p w14:paraId="356751D9" w14:textId="648B8648" w:rsidR="006E4D32" w:rsidRPr="00215867" w:rsidRDefault="006E4D32" w:rsidP="00215867">
            <w:pPr>
              <w:numPr>
                <w:ilvl w:val="0"/>
                <w:numId w:val="35"/>
              </w:numPr>
              <w:spacing w:after="0" w:line="276" w:lineRule="auto"/>
              <w:ind w:left="514"/>
              <w:contextualSpacing/>
              <w:jc w:val="both"/>
              <w:rPr>
                <w:rFonts w:ascii="Times New Roman" w:hAnsi="Times New Roman"/>
                <w:b/>
                <w:sz w:val="20"/>
                <w:szCs w:val="20"/>
              </w:rPr>
            </w:pPr>
            <w:r w:rsidRPr="00215867">
              <w:rPr>
                <w:rFonts w:ascii="Times New Roman" w:hAnsi="Times New Roman"/>
                <w:sz w:val="20"/>
                <w:szCs w:val="20"/>
              </w:rPr>
              <w:t>Risque de découverte fortuite</w:t>
            </w:r>
          </w:p>
          <w:p w14:paraId="45AA65AA" w14:textId="77777777" w:rsidR="006E4D32" w:rsidRPr="00215867" w:rsidRDefault="006E4D32" w:rsidP="00215867">
            <w:pPr>
              <w:numPr>
                <w:ilvl w:val="0"/>
                <w:numId w:val="35"/>
              </w:numPr>
              <w:spacing w:after="0" w:line="276" w:lineRule="auto"/>
              <w:ind w:left="514"/>
              <w:contextualSpacing/>
              <w:jc w:val="both"/>
              <w:rPr>
                <w:rFonts w:ascii="Times New Roman" w:hAnsi="Times New Roman"/>
                <w:b/>
                <w:sz w:val="20"/>
                <w:szCs w:val="20"/>
              </w:rPr>
            </w:pPr>
            <w:r w:rsidRPr="00215867">
              <w:rPr>
                <w:rFonts w:ascii="Times New Roman" w:hAnsi="Times New Roman"/>
                <w:sz w:val="20"/>
                <w:szCs w:val="20"/>
              </w:rPr>
              <w:t>Risque de vandalisation des cimetières et de dégradation des vestiges</w:t>
            </w:r>
          </w:p>
          <w:p w14:paraId="4B81F569" w14:textId="3F29E7B2" w:rsidR="006E4D32" w:rsidRPr="00215867" w:rsidRDefault="006E4D32" w:rsidP="00215867">
            <w:pPr>
              <w:spacing w:after="0" w:line="276" w:lineRule="auto"/>
              <w:ind w:left="514"/>
              <w:contextualSpacing/>
              <w:jc w:val="both"/>
              <w:rPr>
                <w:rFonts w:ascii="Times New Roman" w:hAnsi="Times New Roman"/>
                <w:b/>
                <w:sz w:val="20"/>
                <w:szCs w:val="20"/>
              </w:rPr>
            </w:pPr>
          </w:p>
        </w:tc>
        <w:tc>
          <w:tcPr>
            <w:tcW w:w="4565" w:type="dxa"/>
            <w:gridSpan w:val="2"/>
          </w:tcPr>
          <w:p w14:paraId="53B09C4D" w14:textId="77777777" w:rsidR="006E4D32" w:rsidRPr="00215867" w:rsidRDefault="006E4D32" w:rsidP="00215867">
            <w:pPr>
              <w:spacing w:after="0" w:line="276" w:lineRule="auto"/>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 xml:space="preserve">      Evaluation qualitative du risque :</w:t>
            </w:r>
          </w:p>
          <w:p w14:paraId="39692A0A" w14:textId="77777777" w:rsidR="006E4D32" w:rsidRPr="00215867" w:rsidRDefault="006E4D32" w:rsidP="00215867">
            <w:pPr>
              <w:spacing w:after="0" w:line="276" w:lineRule="auto"/>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Ces situations dangereuses peuvent bien être rencontrées dans la zone de travail.</w:t>
            </w:r>
          </w:p>
        </w:tc>
      </w:tr>
      <w:tr w:rsidR="006E4D32" w:rsidRPr="00420C1B" w14:paraId="366BD1D3" w14:textId="77777777" w:rsidTr="0016501C">
        <w:trPr>
          <w:trHeight w:val="245"/>
        </w:trPr>
        <w:tc>
          <w:tcPr>
            <w:tcW w:w="4366" w:type="dxa"/>
            <w:vMerge/>
          </w:tcPr>
          <w:p w14:paraId="1A734CEC" w14:textId="77777777" w:rsidR="006E4D32" w:rsidRPr="00215867" w:rsidRDefault="006E4D32" w:rsidP="00215867">
            <w:pPr>
              <w:numPr>
                <w:ilvl w:val="0"/>
                <w:numId w:val="37"/>
              </w:numPr>
              <w:spacing w:after="0" w:line="276" w:lineRule="auto"/>
              <w:jc w:val="both"/>
              <w:rPr>
                <w:rFonts w:ascii="Times New Roman" w:eastAsia="Times New Roman" w:hAnsi="Times New Roman"/>
                <w:sz w:val="20"/>
                <w:szCs w:val="20"/>
                <w:lang w:eastAsia="fr-FR"/>
              </w:rPr>
            </w:pPr>
          </w:p>
        </w:tc>
        <w:tc>
          <w:tcPr>
            <w:tcW w:w="3998" w:type="dxa"/>
          </w:tcPr>
          <w:p w14:paraId="545AB1A1" w14:textId="77777777" w:rsidR="006E4D32" w:rsidRPr="00215867" w:rsidRDefault="006E4D32" w:rsidP="00215867">
            <w:pPr>
              <w:spacing w:after="0" w:line="276" w:lineRule="auto"/>
              <w:rPr>
                <w:rFonts w:ascii="Times New Roman" w:eastAsia="Times New Roman" w:hAnsi="Times New Roman"/>
                <w:sz w:val="20"/>
                <w:szCs w:val="20"/>
                <w:lang w:eastAsia="fr-FR"/>
              </w:rPr>
            </w:pPr>
            <w:r w:rsidRPr="00215867">
              <w:rPr>
                <w:rFonts w:ascii="Times New Roman" w:eastAsia="Times New Roman" w:hAnsi="Times New Roman"/>
                <w:b/>
                <w:sz w:val="20"/>
                <w:szCs w:val="20"/>
                <w:lang w:eastAsia="fr-FR"/>
              </w:rPr>
              <w:t xml:space="preserve">Probabilité : </w:t>
            </w:r>
            <w:r w:rsidRPr="00215867">
              <w:rPr>
                <w:rFonts w:ascii="Times New Roman" w:eastAsia="Times New Roman" w:hAnsi="Times New Roman"/>
                <w:sz w:val="20"/>
                <w:szCs w:val="20"/>
                <w:lang w:eastAsia="fr-FR"/>
              </w:rPr>
              <w:t>Probable</w:t>
            </w:r>
          </w:p>
        </w:tc>
        <w:tc>
          <w:tcPr>
            <w:tcW w:w="567" w:type="dxa"/>
          </w:tcPr>
          <w:p w14:paraId="365D5AA9" w14:textId="77777777" w:rsidR="006E4D32" w:rsidRPr="00215867" w:rsidRDefault="006E4D32" w:rsidP="00215867">
            <w:pPr>
              <w:spacing w:after="0" w:line="276" w:lineRule="auto"/>
              <w:jc w:val="center"/>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P3</w:t>
            </w:r>
          </w:p>
        </w:tc>
      </w:tr>
      <w:tr w:rsidR="006E4D32" w:rsidRPr="00420C1B" w14:paraId="78401BA1" w14:textId="77777777" w:rsidTr="0016501C">
        <w:trPr>
          <w:trHeight w:val="231"/>
        </w:trPr>
        <w:tc>
          <w:tcPr>
            <w:tcW w:w="4366" w:type="dxa"/>
            <w:vMerge/>
          </w:tcPr>
          <w:p w14:paraId="615D499E" w14:textId="77777777" w:rsidR="006E4D32" w:rsidRPr="00215867" w:rsidRDefault="006E4D32" w:rsidP="00215867">
            <w:pPr>
              <w:numPr>
                <w:ilvl w:val="0"/>
                <w:numId w:val="37"/>
              </w:numPr>
              <w:spacing w:after="0" w:line="276" w:lineRule="auto"/>
              <w:jc w:val="both"/>
              <w:rPr>
                <w:rFonts w:ascii="Times New Roman" w:eastAsia="Times New Roman" w:hAnsi="Times New Roman"/>
                <w:sz w:val="20"/>
                <w:szCs w:val="20"/>
                <w:lang w:eastAsia="fr-FR"/>
              </w:rPr>
            </w:pPr>
          </w:p>
        </w:tc>
        <w:tc>
          <w:tcPr>
            <w:tcW w:w="3998" w:type="dxa"/>
          </w:tcPr>
          <w:p w14:paraId="52DE148E" w14:textId="2249E8E5" w:rsidR="006E4D32" w:rsidRPr="00215867" w:rsidRDefault="006E4D32" w:rsidP="00215867">
            <w:pPr>
              <w:spacing w:after="0" w:line="276" w:lineRule="auto"/>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 xml:space="preserve">Gravité : </w:t>
            </w:r>
            <w:r w:rsidRPr="00215867">
              <w:rPr>
                <w:rFonts w:ascii="Times New Roman" w:eastAsia="Times New Roman" w:hAnsi="Times New Roman"/>
                <w:sz w:val="20"/>
                <w:szCs w:val="20"/>
                <w:lang w:eastAsia="fr-FR"/>
              </w:rPr>
              <w:t>destruction d’un bien culturel et profanation des tombes</w:t>
            </w:r>
          </w:p>
        </w:tc>
        <w:tc>
          <w:tcPr>
            <w:tcW w:w="567" w:type="dxa"/>
            <w:tcBorders>
              <w:bottom w:val="single" w:sz="4" w:space="0" w:color="000000"/>
            </w:tcBorders>
          </w:tcPr>
          <w:p w14:paraId="2CC7637A" w14:textId="77777777" w:rsidR="006E4D32" w:rsidRPr="00215867" w:rsidRDefault="006E4D32" w:rsidP="00215867">
            <w:pPr>
              <w:spacing w:after="0" w:line="276" w:lineRule="auto"/>
              <w:jc w:val="center"/>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G2</w:t>
            </w:r>
          </w:p>
        </w:tc>
      </w:tr>
      <w:tr w:rsidR="006E4D32" w:rsidRPr="00420C1B" w14:paraId="716A853C" w14:textId="77777777" w:rsidTr="0016501C">
        <w:trPr>
          <w:trHeight w:val="68"/>
        </w:trPr>
        <w:tc>
          <w:tcPr>
            <w:tcW w:w="4366" w:type="dxa"/>
            <w:vMerge/>
          </w:tcPr>
          <w:p w14:paraId="4E70E74C" w14:textId="77777777" w:rsidR="006E4D32" w:rsidRPr="00215867" w:rsidRDefault="006E4D32" w:rsidP="00215867">
            <w:pPr>
              <w:numPr>
                <w:ilvl w:val="0"/>
                <w:numId w:val="37"/>
              </w:numPr>
              <w:spacing w:after="0" w:line="276" w:lineRule="auto"/>
              <w:jc w:val="both"/>
              <w:rPr>
                <w:rFonts w:ascii="Times New Roman" w:eastAsia="Times New Roman" w:hAnsi="Times New Roman"/>
                <w:sz w:val="20"/>
                <w:szCs w:val="20"/>
                <w:lang w:eastAsia="fr-FR"/>
              </w:rPr>
            </w:pPr>
          </w:p>
        </w:tc>
        <w:tc>
          <w:tcPr>
            <w:tcW w:w="3998" w:type="dxa"/>
          </w:tcPr>
          <w:p w14:paraId="5C663988" w14:textId="77777777" w:rsidR="006E4D32" w:rsidRPr="00215867" w:rsidRDefault="006E4D32" w:rsidP="00215867">
            <w:pPr>
              <w:spacing w:after="0" w:line="276" w:lineRule="auto"/>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Niveau de risque :</w:t>
            </w:r>
          </w:p>
        </w:tc>
        <w:tc>
          <w:tcPr>
            <w:tcW w:w="567" w:type="dxa"/>
            <w:shd w:val="clear" w:color="auto" w:fill="FFFF00"/>
          </w:tcPr>
          <w:p w14:paraId="58B9F7F6" w14:textId="77777777" w:rsidR="006E4D32" w:rsidRPr="00215867" w:rsidRDefault="006E4D32" w:rsidP="00215867">
            <w:pPr>
              <w:spacing w:after="0" w:line="276" w:lineRule="auto"/>
              <w:jc w:val="center"/>
              <w:rPr>
                <w:rFonts w:ascii="Times New Roman" w:eastAsia="Times New Roman" w:hAnsi="Times New Roman"/>
                <w:b/>
                <w:sz w:val="20"/>
                <w:szCs w:val="20"/>
                <w:lang w:eastAsia="fr-FR"/>
              </w:rPr>
            </w:pPr>
            <w:r w:rsidRPr="00215867">
              <w:rPr>
                <w:rFonts w:ascii="Times New Roman" w:eastAsia="Times New Roman" w:hAnsi="Times New Roman"/>
                <w:b/>
                <w:sz w:val="20"/>
                <w:szCs w:val="20"/>
                <w:lang w:eastAsia="fr-FR"/>
              </w:rPr>
              <w:t>2</w:t>
            </w:r>
          </w:p>
        </w:tc>
      </w:tr>
      <w:tr w:rsidR="006E4D32" w:rsidRPr="00420C1B" w14:paraId="212169B8" w14:textId="77777777" w:rsidTr="0016501C">
        <w:trPr>
          <w:trHeight w:val="219"/>
        </w:trPr>
        <w:tc>
          <w:tcPr>
            <w:tcW w:w="8931" w:type="dxa"/>
            <w:gridSpan w:val="3"/>
            <w:tcBorders>
              <w:bottom w:val="single" w:sz="4" w:space="0" w:color="auto"/>
            </w:tcBorders>
          </w:tcPr>
          <w:p w14:paraId="1E864C14" w14:textId="77777777" w:rsidR="006E4D32" w:rsidRPr="00215867" w:rsidRDefault="006E4D32" w:rsidP="00215867">
            <w:pPr>
              <w:spacing w:after="0" w:line="276" w:lineRule="auto"/>
              <w:jc w:val="center"/>
              <w:rPr>
                <w:rFonts w:ascii="Times New Roman" w:hAnsi="Times New Roman"/>
                <w:sz w:val="20"/>
                <w:szCs w:val="20"/>
              </w:rPr>
            </w:pPr>
            <w:r w:rsidRPr="00215867">
              <w:rPr>
                <w:rFonts w:ascii="Times New Roman" w:eastAsia="Times New Roman" w:hAnsi="Times New Roman"/>
                <w:b/>
                <w:sz w:val="20"/>
                <w:szCs w:val="20"/>
                <w:lang w:eastAsia="fr-FR"/>
              </w:rPr>
              <w:t>Mesures de prévention</w:t>
            </w:r>
          </w:p>
        </w:tc>
      </w:tr>
      <w:tr w:rsidR="006E4D32" w:rsidRPr="00420C1B" w14:paraId="7C62CC16" w14:textId="77777777" w:rsidTr="0016501C">
        <w:trPr>
          <w:trHeight w:val="2695"/>
        </w:trPr>
        <w:tc>
          <w:tcPr>
            <w:tcW w:w="8931" w:type="dxa"/>
            <w:gridSpan w:val="3"/>
            <w:tcBorders>
              <w:top w:val="single" w:sz="4" w:space="0" w:color="auto"/>
            </w:tcBorders>
          </w:tcPr>
          <w:p w14:paraId="0A910378" w14:textId="475034C1" w:rsidR="006E4D32" w:rsidRPr="00215867" w:rsidRDefault="006E4D32" w:rsidP="00215867">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215867">
              <w:rPr>
                <w:rFonts w:ascii="Times New Roman" w:eastAsia="Times New Roman" w:hAnsi="Times New Roman"/>
                <w:sz w:val="20"/>
                <w:lang w:eastAsia="fr-FR"/>
              </w:rPr>
              <w:t xml:space="preserve">Appliquer les procédures de la découverte fortuite conformément à la NES n° 8 de la Banque mondiale ; </w:t>
            </w:r>
          </w:p>
          <w:p w14:paraId="17162574" w14:textId="77777777" w:rsidR="006E4D32" w:rsidRPr="00215867" w:rsidRDefault="006E4D32" w:rsidP="00215867">
            <w:pPr>
              <w:numPr>
                <w:ilvl w:val="0"/>
                <w:numId w:val="170"/>
              </w:numPr>
              <w:suppressAutoHyphens/>
              <w:spacing w:after="0" w:line="240" w:lineRule="auto"/>
              <w:ind w:left="357" w:hanging="357"/>
              <w:jc w:val="both"/>
              <w:rPr>
                <w:rFonts w:ascii="Times New Roman" w:eastAsia="Times New Roman" w:hAnsi="Times New Roman"/>
                <w:sz w:val="20"/>
                <w:lang w:eastAsia="fr-FR"/>
              </w:rPr>
            </w:pPr>
            <w:r w:rsidRPr="00215867">
              <w:rPr>
                <w:rFonts w:ascii="Times New Roman" w:eastAsia="Times New Roman" w:hAnsi="Times New Roman"/>
                <w:sz w:val="20"/>
                <w:lang w:eastAsia="fr-FR"/>
              </w:rPr>
              <w:t>Inclure dans le DAO et le contrat des prestataires des mesures à respecter en cas de trouvaille fortuite, conformément à la loi nationale et aux habitudes du milieu ;</w:t>
            </w:r>
          </w:p>
          <w:p w14:paraId="6564857A" w14:textId="77777777" w:rsidR="006E4D32" w:rsidRPr="00215867" w:rsidRDefault="006E4D32" w:rsidP="00215867">
            <w:pPr>
              <w:numPr>
                <w:ilvl w:val="0"/>
                <w:numId w:val="170"/>
              </w:numPr>
              <w:suppressAutoHyphens/>
              <w:spacing w:after="0" w:line="240" w:lineRule="auto"/>
              <w:ind w:left="357" w:hanging="357"/>
              <w:jc w:val="both"/>
              <w:rPr>
                <w:sz w:val="20"/>
              </w:rPr>
            </w:pPr>
            <w:r w:rsidRPr="00215867">
              <w:rPr>
                <w:rFonts w:ascii="Times New Roman" w:eastAsia="Times New Roman" w:hAnsi="Times New Roman"/>
                <w:sz w:val="20"/>
                <w:lang w:eastAsia="fr-FR"/>
              </w:rPr>
              <w:t>Les sépultures qui se trouvent dans les emprises devront faire l’objet d’un déplacement ;</w:t>
            </w:r>
          </w:p>
          <w:p w14:paraId="5C6176C1" w14:textId="77777777" w:rsidR="006E4D32" w:rsidRPr="00215867" w:rsidRDefault="006E4D32" w:rsidP="00215867">
            <w:pPr>
              <w:numPr>
                <w:ilvl w:val="0"/>
                <w:numId w:val="170"/>
              </w:numPr>
              <w:suppressAutoHyphens/>
              <w:spacing w:after="0" w:line="240" w:lineRule="auto"/>
              <w:ind w:left="357" w:hanging="357"/>
              <w:jc w:val="both"/>
              <w:rPr>
                <w:sz w:val="20"/>
              </w:rPr>
            </w:pPr>
            <w:r w:rsidRPr="00215867">
              <w:rPr>
                <w:rFonts w:ascii="Times New Roman" w:eastAsia="Times New Roman" w:hAnsi="Times New Roman"/>
                <w:sz w:val="20"/>
                <w:lang w:eastAsia="fr-FR"/>
              </w:rPr>
              <w:t>Les parents des défunts seront associés aux activités de déplacement de ces sépultures ;</w:t>
            </w:r>
          </w:p>
          <w:p w14:paraId="2215B75C" w14:textId="77777777" w:rsidR="006E4D32" w:rsidRPr="00215867" w:rsidRDefault="006E4D32" w:rsidP="00215867">
            <w:pPr>
              <w:numPr>
                <w:ilvl w:val="0"/>
                <w:numId w:val="170"/>
              </w:numPr>
              <w:suppressAutoHyphens/>
              <w:spacing w:after="0" w:line="240" w:lineRule="auto"/>
              <w:ind w:left="357" w:hanging="357"/>
              <w:jc w:val="both"/>
              <w:rPr>
                <w:sz w:val="20"/>
              </w:rPr>
            </w:pPr>
            <w:r w:rsidRPr="00215867">
              <w:rPr>
                <w:rFonts w:ascii="Times New Roman" w:eastAsia="Times New Roman" w:hAnsi="Times New Roman"/>
                <w:sz w:val="20"/>
                <w:lang w:eastAsia="fr-FR"/>
              </w:rPr>
              <w:t>Confier le déplacement des sépultures à la croix rouge ou à un organisme habileté à le faire ;</w:t>
            </w:r>
          </w:p>
          <w:p w14:paraId="362817D1" w14:textId="77777777" w:rsidR="006E4D32" w:rsidRPr="00215867" w:rsidRDefault="006E4D32" w:rsidP="00215867">
            <w:pPr>
              <w:numPr>
                <w:ilvl w:val="0"/>
                <w:numId w:val="170"/>
              </w:numPr>
              <w:suppressAutoHyphens/>
              <w:spacing w:after="0" w:line="240" w:lineRule="auto"/>
              <w:ind w:left="357" w:hanging="357"/>
              <w:jc w:val="both"/>
              <w:rPr>
                <w:sz w:val="20"/>
              </w:rPr>
            </w:pPr>
            <w:r w:rsidRPr="00215867">
              <w:rPr>
                <w:rFonts w:ascii="Times New Roman" w:eastAsia="Times New Roman" w:hAnsi="Times New Roman"/>
                <w:sz w:val="20"/>
                <w:lang w:eastAsia="fr-FR"/>
              </w:rPr>
              <w:t>Observer les mesures de sécurité sanitaires appropriées pour ce type d’activité ;</w:t>
            </w:r>
          </w:p>
          <w:p w14:paraId="3B268D22" w14:textId="77777777" w:rsidR="006E4D32" w:rsidRPr="00215867" w:rsidRDefault="006E4D32" w:rsidP="00215867">
            <w:pPr>
              <w:numPr>
                <w:ilvl w:val="0"/>
                <w:numId w:val="170"/>
              </w:numPr>
              <w:suppressAutoHyphens/>
              <w:spacing w:after="0" w:line="240" w:lineRule="auto"/>
              <w:ind w:left="357" w:hanging="357"/>
              <w:jc w:val="both"/>
              <w:rPr>
                <w:sz w:val="20"/>
              </w:rPr>
            </w:pPr>
            <w:r w:rsidRPr="00215867">
              <w:rPr>
                <w:rFonts w:ascii="Times New Roman" w:eastAsia="Times New Roman" w:hAnsi="Times New Roman"/>
                <w:sz w:val="20"/>
                <w:lang w:eastAsia="fr-FR"/>
              </w:rPr>
              <w:t>Approfondir les investigations, enquêtes et consultations aux niveaux national et local pour ce qui concerne le patrimoine culturel ;</w:t>
            </w:r>
          </w:p>
          <w:p w14:paraId="13173541" w14:textId="510133E2" w:rsidR="006E4D32" w:rsidRPr="00215867" w:rsidRDefault="006E4D32" w:rsidP="00215867">
            <w:pPr>
              <w:numPr>
                <w:ilvl w:val="0"/>
                <w:numId w:val="170"/>
              </w:numPr>
              <w:suppressAutoHyphens/>
              <w:spacing w:after="0" w:line="240" w:lineRule="auto"/>
              <w:ind w:left="357" w:hanging="357"/>
              <w:jc w:val="both"/>
              <w:rPr>
                <w:rFonts w:ascii="Times New Roman" w:eastAsia="Times New Roman" w:hAnsi="Times New Roman"/>
                <w:b/>
                <w:sz w:val="20"/>
                <w:szCs w:val="20"/>
                <w:lang w:eastAsia="fr-FR"/>
              </w:rPr>
            </w:pPr>
            <w:r w:rsidRPr="00215867">
              <w:rPr>
                <w:rFonts w:ascii="Times New Roman" w:eastAsia="Times New Roman" w:hAnsi="Times New Roman"/>
                <w:sz w:val="20"/>
                <w:lang w:eastAsia="fr-FR"/>
              </w:rPr>
              <w:t>Suivre la procédure nationale en cas de découverte de patrimoine culturel.</w:t>
            </w:r>
          </w:p>
        </w:tc>
      </w:tr>
    </w:tbl>
    <w:p w14:paraId="25F879E4" w14:textId="77777777" w:rsidR="001D5096" w:rsidRDefault="00B25138" w:rsidP="00215867">
      <w:pPr>
        <w:pStyle w:val="Titre4"/>
        <w:numPr>
          <w:ilvl w:val="3"/>
          <w:numId w:val="54"/>
        </w:numPr>
        <w:spacing w:before="200" w:after="120" w:line="20" w:lineRule="atLeast"/>
        <w:ind w:left="1276" w:hanging="851"/>
        <w:rPr>
          <w:color w:val="auto"/>
          <w:szCs w:val="24"/>
        </w:rPr>
      </w:pPr>
      <w:bookmarkStart w:id="720" w:name="_Toc103685696"/>
      <w:r w:rsidRPr="00D75D2E">
        <w:rPr>
          <w:color w:val="auto"/>
          <w:szCs w:val="24"/>
        </w:rPr>
        <w:t xml:space="preserve">Risques </w:t>
      </w:r>
      <w:r>
        <w:rPr>
          <w:color w:val="auto"/>
          <w:szCs w:val="24"/>
        </w:rPr>
        <w:t xml:space="preserve">liés </w:t>
      </w:r>
      <w:r w:rsidR="001D5096">
        <w:rPr>
          <w:color w:val="auto"/>
          <w:szCs w:val="24"/>
        </w:rPr>
        <w:t>à la santé et sécurité au travail (OHS) et santé et sécurité pour les communautés et riverains des sites de construction</w:t>
      </w:r>
      <w:bookmarkEnd w:id="720"/>
    </w:p>
    <w:p w14:paraId="1AA2812B" w14:textId="50E355E9" w:rsidR="00B25138" w:rsidRPr="00215867" w:rsidRDefault="001D5096" w:rsidP="00215867">
      <w:pPr>
        <w:autoSpaceDE w:val="0"/>
        <w:autoSpaceDN w:val="0"/>
        <w:adjustRightInd w:val="0"/>
        <w:spacing w:after="120" w:line="240" w:lineRule="auto"/>
        <w:jc w:val="both"/>
        <w:rPr>
          <w:lang w:eastAsia="fr-FR"/>
        </w:rPr>
      </w:pPr>
      <w:r w:rsidRPr="00215867">
        <w:rPr>
          <w:rFonts w:ascii="Times New Roman" w:eastAsia="Times New Roman" w:hAnsi="Times New Roman"/>
          <w:sz w:val="24"/>
          <w:lang w:eastAsia="fr-FR"/>
        </w:rPr>
        <w:t xml:space="preserve">Pendant la phase des travaux, les risques liés santé et sécurité au travail et santé et sécurité pour les communautés sur les sites des travaux de construction </w:t>
      </w:r>
      <w:r>
        <w:rPr>
          <w:rFonts w:ascii="Times New Roman" w:eastAsia="Times New Roman" w:hAnsi="Times New Roman"/>
          <w:sz w:val="24"/>
          <w:lang w:eastAsia="fr-FR"/>
        </w:rPr>
        <w:t xml:space="preserve">se manifesterons par des accidents dues aux opérations et opérateurs de machine, au chute dans des tranchées et/ou excavations </w:t>
      </w:r>
      <w:r w:rsidR="00E508F5">
        <w:rPr>
          <w:rFonts w:ascii="Times New Roman" w:eastAsia="Times New Roman" w:hAnsi="Times New Roman"/>
          <w:sz w:val="24"/>
          <w:lang w:eastAsia="fr-FR"/>
        </w:rPr>
        <w:t>non couvert</w:t>
      </w:r>
      <w:r w:rsidR="00040C01">
        <w:rPr>
          <w:rFonts w:ascii="Times New Roman" w:eastAsia="Times New Roman" w:hAnsi="Times New Roman"/>
          <w:sz w:val="24"/>
          <w:lang w:eastAsia="fr-FR"/>
        </w:rPr>
        <w:t>es</w:t>
      </w:r>
      <w:r w:rsidR="00E508F5">
        <w:rPr>
          <w:rFonts w:ascii="Times New Roman" w:eastAsia="Times New Roman" w:hAnsi="Times New Roman"/>
          <w:sz w:val="24"/>
          <w:lang w:eastAsia="fr-FR"/>
        </w:rPr>
        <w:t>, aux maladies respiratoires provenant de l’inhalation des poussières et gaz toxiques, aux nuisances sonores et olfactives et à la pollution des eaux de surface et puits d’eau par les déchets toxiques provenant des chantiers.</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678"/>
        <w:gridCol w:w="567"/>
      </w:tblGrid>
      <w:tr w:rsidR="00B25138" w:rsidRPr="00420C1B" w14:paraId="55CCE58A" w14:textId="77777777" w:rsidTr="00583FB0">
        <w:trPr>
          <w:trHeight w:val="682"/>
        </w:trPr>
        <w:tc>
          <w:tcPr>
            <w:tcW w:w="3686" w:type="dxa"/>
            <w:vMerge w:val="restart"/>
          </w:tcPr>
          <w:p w14:paraId="6AF84382" w14:textId="3BE5E2AE" w:rsidR="00B25138" w:rsidRPr="003448B0" w:rsidRDefault="00A54A60" w:rsidP="00583FB0">
            <w:pPr>
              <w:spacing w:after="120" w:line="276" w:lineRule="auto"/>
              <w:rPr>
                <w:rFonts w:ascii="Times New Roman" w:eastAsia="Times New Roman" w:hAnsi="Times New Roman"/>
                <w:b/>
                <w:sz w:val="20"/>
                <w:szCs w:val="20"/>
                <w:lang w:eastAsia="fr-FR"/>
              </w:rPr>
            </w:pPr>
            <w:r>
              <w:rPr>
                <w:rFonts w:ascii="Times New Roman" w:eastAsia="Times New Roman" w:hAnsi="Times New Roman"/>
                <w:b/>
                <w:sz w:val="20"/>
                <w:szCs w:val="20"/>
                <w:lang w:eastAsia="fr-FR"/>
              </w:rPr>
              <w:t xml:space="preserve"> </w:t>
            </w:r>
            <w:r w:rsidR="00B25138" w:rsidRPr="003448B0">
              <w:rPr>
                <w:rFonts w:ascii="Times New Roman" w:eastAsia="Times New Roman" w:hAnsi="Times New Roman"/>
                <w:b/>
                <w:sz w:val="20"/>
                <w:szCs w:val="20"/>
                <w:lang w:eastAsia="fr-FR"/>
              </w:rPr>
              <w:t>Dangers et /ou situations dangereuses</w:t>
            </w:r>
          </w:p>
          <w:p w14:paraId="73812142" w14:textId="404B689F" w:rsidR="00B25138" w:rsidRPr="00215867" w:rsidRDefault="00A54A60" w:rsidP="00583FB0">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 xml:space="preserve">Santé </w:t>
            </w:r>
            <w:r w:rsidR="00E11C27">
              <w:rPr>
                <w:rFonts w:ascii="Times New Roman" w:hAnsi="Times New Roman"/>
                <w:sz w:val="20"/>
                <w:szCs w:val="20"/>
              </w:rPr>
              <w:t>et sécurité au travail (opérations et opérateurs de machine)</w:t>
            </w:r>
          </w:p>
          <w:p w14:paraId="0B675986" w14:textId="562F3248" w:rsidR="00A54A60" w:rsidRPr="001A19AA" w:rsidRDefault="00A54A60" w:rsidP="00583FB0">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 xml:space="preserve">Santé et sécurité des communautés et riverains des sites de construction </w:t>
            </w:r>
            <w:r w:rsidR="00E11C27">
              <w:rPr>
                <w:rFonts w:ascii="Times New Roman" w:hAnsi="Times New Roman"/>
                <w:sz w:val="20"/>
                <w:szCs w:val="20"/>
              </w:rPr>
              <w:t>(</w:t>
            </w:r>
            <w:r w:rsidR="00040C01">
              <w:rPr>
                <w:rFonts w:ascii="Times New Roman" w:hAnsi="Times New Roman"/>
                <w:sz w:val="20"/>
                <w:szCs w:val="20"/>
              </w:rPr>
              <w:t xml:space="preserve">tranchées et/ou excavations non couvertes, poussières, </w:t>
            </w:r>
          </w:p>
        </w:tc>
        <w:tc>
          <w:tcPr>
            <w:tcW w:w="5245" w:type="dxa"/>
            <w:gridSpan w:val="2"/>
          </w:tcPr>
          <w:p w14:paraId="16E210A5" w14:textId="77777777" w:rsidR="00B25138" w:rsidRPr="003448B0" w:rsidRDefault="00B25138" w:rsidP="00583FB0">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Evaluation qualitative du risque :</w:t>
            </w:r>
          </w:p>
          <w:p w14:paraId="79A54ECC" w14:textId="77777777" w:rsidR="00B25138" w:rsidRPr="003448B0" w:rsidRDefault="00B25138" w:rsidP="00583FB0">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sz w:val="20"/>
                <w:szCs w:val="20"/>
                <w:lang w:eastAsia="fr-FR"/>
              </w:rPr>
              <w:t>Ces situations dangereuses peuvent bien être rencontrées dans la zone de travail.</w:t>
            </w:r>
          </w:p>
        </w:tc>
      </w:tr>
      <w:tr w:rsidR="00B25138" w:rsidRPr="00420C1B" w14:paraId="616FA7D6" w14:textId="77777777" w:rsidTr="00583FB0">
        <w:trPr>
          <w:trHeight w:val="245"/>
        </w:trPr>
        <w:tc>
          <w:tcPr>
            <w:tcW w:w="3686" w:type="dxa"/>
            <w:vMerge/>
          </w:tcPr>
          <w:p w14:paraId="308EBBAC" w14:textId="77777777" w:rsidR="00B25138" w:rsidRPr="003448B0" w:rsidRDefault="00B25138" w:rsidP="00583FB0">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6EC27578" w14:textId="77777777" w:rsidR="00B25138" w:rsidRPr="003448B0" w:rsidRDefault="00B25138" w:rsidP="00583FB0">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b/>
                <w:sz w:val="20"/>
                <w:szCs w:val="20"/>
                <w:lang w:eastAsia="fr-FR"/>
              </w:rPr>
              <w:t xml:space="preserve">Probabilité : </w:t>
            </w:r>
            <w:r w:rsidRPr="003448B0">
              <w:rPr>
                <w:rFonts w:ascii="Times New Roman" w:eastAsia="Times New Roman" w:hAnsi="Times New Roman"/>
                <w:sz w:val="20"/>
                <w:szCs w:val="20"/>
                <w:lang w:eastAsia="fr-FR"/>
              </w:rPr>
              <w:t>Probable</w:t>
            </w:r>
          </w:p>
        </w:tc>
        <w:tc>
          <w:tcPr>
            <w:tcW w:w="567" w:type="dxa"/>
          </w:tcPr>
          <w:p w14:paraId="35218171" w14:textId="77777777" w:rsidR="00B25138" w:rsidRPr="003448B0" w:rsidRDefault="00B25138" w:rsidP="00583FB0">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P3</w:t>
            </w:r>
          </w:p>
        </w:tc>
      </w:tr>
      <w:tr w:rsidR="00B25138" w:rsidRPr="00420C1B" w14:paraId="530F596E" w14:textId="77777777" w:rsidTr="00583FB0">
        <w:trPr>
          <w:trHeight w:val="231"/>
        </w:trPr>
        <w:tc>
          <w:tcPr>
            <w:tcW w:w="3686" w:type="dxa"/>
            <w:vMerge/>
          </w:tcPr>
          <w:p w14:paraId="1386AA24" w14:textId="77777777" w:rsidR="00B25138" w:rsidRPr="003448B0" w:rsidRDefault="00B25138" w:rsidP="00583FB0">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4CA4F544" w14:textId="77777777" w:rsidR="00040C01" w:rsidRDefault="00B25138" w:rsidP="00040C01">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 xml:space="preserve">Gravité : </w:t>
            </w:r>
          </w:p>
          <w:p w14:paraId="45BA03E5" w14:textId="7FCC01CB" w:rsidR="00B25138" w:rsidRDefault="00040C01" w:rsidP="00215867">
            <w:pPr>
              <w:pStyle w:val="Paragraphedeliste"/>
              <w:numPr>
                <w:ilvl w:val="0"/>
                <w:numId w:val="382"/>
              </w:numPr>
              <w:spacing w:after="0" w:line="276" w:lineRule="auto"/>
              <w:rPr>
                <w:rFonts w:ascii="Times New Roman" w:eastAsia="Times New Roman" w:hAnsi="Times New Roman"/>
                <w:sz w:val="20"/>
                <w:szCs w:val="20"/>
                <w:lang w:eastAsia="fr-FR"/>
              </w:rPr>
            </w:pPr>
            <w:r w:rsidRPr="00215867">
              <w:rPr>
                <w:rFonts w:ascii="Times New Roman" w:eastAsia="Times New Roman" w:hAnsi="Times New Roman"/>
                <w:sz w:val="20"/>
                <w:szCs w:val="20"/>
                <w:lang w:eastAsia="fr-FR"/>
              </w:rPr>
              <w:t>inhalation des poussières et gaz toxiques</w:t>
            </w:r>
          </w:p>
          <w:p w14:paraId="7932AF4B" w14:textId="77777777" w:rsidR="00040C01" w:rsidRDefault="00040C01" w:rsidP="00215867">
            <w:pPr>
              <w:pStyle w:val="Paragraphedeliste"/>
              <w:numPr>
                <w:ilvl w:val="0"/>
                <w:numId w:val="382"/>
              </w:numPr>
              <w:spacing w:after="0" w:line="276" w:lineRule="auto"/>
              <w:rPr>
                <w:rFonts w:ascii="Times New Roman" w:eastAsia="Times New Roman" w:hAnsi="Times New Roman"/>
                <w:sz w:val="20"/>
                <w:szCs w:val="20"/>
                <w:lang w:eastAsia="fr-FR"/>
              </w:rPr>
            </w:pPr>
            <w:r>
              <w:rPr>
                <w:rFonts w:ascii="Times New Roman" w:eastAsia="Times New Roman" w:hAnsi="Times New Roman"/>
                <w:sz w:val="20"/>
                <w:szCs w:val="20"/>
                <w:lang w:eastAsia="fr-FR"/>
              </w:rPr>
              <w:t>chute dans des tranchées et/ou excavations</w:t>
            </w:r>
          </w:p>
          <w:p w14:paraId="3039E20C" w14:textId="4FB980D6" w:rsidR="00040C01" w:rsidRPr="003448B0" w:rsidRDefault="006526E4" w:rsidP="00215867">
            <w:pPr>
              <w:pStyle w:val="Paragraphedeliste"/>
              <w:numPr>
                <w:ilvl w:val="0"/>
                <w:numId w:val="382"/>
              </w:numPr>
              <w:spacing w:after="0" w:line="276" w:lineRule="auto"/>
              <w:rPr>
                <w:rFonts w:ascii="Times New Roman" w:eastAsia="Times New Roman" w:hAnsi="Times New Roman"/>
                <w:b/>
                <w:sz w:val="20"/>
                <w:szCs w:val="20"/>
                <w:lang w:eastAsia="fr-FR"/>
              </w:rPr>
            </w:pPr>
            <w:r>
              <w:rPr>
                <w:rFonts w:ascii="Times New Roman" w:eastAsia="Times New Roman" w:hAnsi="Times New Roman"/>
                <w:sz w:val="20"/>
                <w:szCs w:val="20"/>
                <w:lang w:eastAsia="fr-FR"/>
              </w:rPr>
              <w:t>intoxication par l’ingestion de l’eau contaminée</w:t>
            </w:r>
          </w:p>
        </w:tc>
        <w:tc>
          <w:tcPr>
            <w:tcW w:w="567" w:type="dxa"/>
            <w:tcBorders>
              <w:bottom w:val="single" w:sz="4" w:space="0" w:color="000000"/>
            </w:tcBorders>
          </w:tcPr>
          <w:p w14:paraId="37A1BE53" w14:textId="77777777" w:rsidR="00B25138" w:rsidRPr="003448B0" w:rsidRDefault="00B25138" w:rsidP="00583FB0">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G2</w:t>
            </w:r>
          </w:p>
        </w:tc>
      </w:tr>
      <w:tr w:rsidR="00B25138" w:rsidRPr="00420C1B" w14:paraId="2AEDCF8F" w14:textId="77777777" w:rsidTr="00583FB0">
        <w:trPr>
          <w:trHeight w:val="68"/>
        </w:trPr>
        <w:tc>
          <w:tcPr>
            <w:tcW w:w="3686" w:type="dxa"/>
            <w:vMerge/>
          </w:tcPr>
          <w:p w14:paraId="0EE6C4A7" w14:textId="32968AE7" w:rsidR="00B25138" w:rsidRPr="003448B0" w:rsidRDefault="00B25138" w:rsidP="00583FB0">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4612FF87" w14:textId="77777777" w:rsidR="00B25138" w:rsidRPr="003448B0" w:rsidRDefault="00B25138" w:rsidP="00583FB0">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Niveau de risque :</w:t>
            </w:r>
          </w:p>
        </w:tc>
        <w:tc>
          <w:tcPr>
            <w:tcW w:w="567" w:type="dxa"/>
            <w:shd w:val="clear" w:color="auto" w:fill="FFFF00"/>
          </w:tcPr>
          <w:p w14:paraId="61E1B51C" w14:textId="77777777" w:rsidR="00B25138" w:rsidRPr="003448B0" w:rsidRDefault="00B25138" w:rsidP="00583FB0">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2</w:t>
            </w:r>
          </w:p>
        </w:tc>
      </w:tr>
      <w:tr w:rsidR="00B25138" w:rsidRPr="00420C1B" w14:paraId="447CCB83" w14:textId="77777777" w:rsidTr="00583FB0">
        <w:trPr>
          <w:trHeight w:val="219"/>
        </w:trPr>
        <w:tc>
          <w:tcPr>
            <w:tcW w:w="8931" w:type="dxa"/>
            <w:gridSpan w:val="3"/>
            <w:tcBorders>
              <w:bottom w:val="single" w:sz="4" w:space="0" w:color="auto"/>
            </w:tcBorders>
          </w:tcPr>
          <w:p w14:paraId="0040795E" w14:textId="77777777" w:rsidR="00B25138" w:rsidRPr="003448B0" w:rsidRDefault="00B25138" w:rsidP="00583FB0">
            <w:pPr>
              <w:spacing w:after="0" w:line="276" w:lineRule="auto"/>
              <w:jc w:val="center"/>
              <w:rPr>
                <w:rFonts w:ascii="Times New Roman" w:hAnsi="Times New Roman"/>
                <w:sz w:val="20"/>
                <w:szCs w:val="20"/>
              </w:rPr>
            </w:pPr>
            <w:r w:rsidRPr="003448B0">
              <w:rPr>
                <w:rFonts w:ascii="Times New Roman" w:eastAsia="Times New Roman" w:hAnsi="Times New Roman"/>
                <w:b/>
                <w:sz w:val="20"/>
                <w:szCs w:val="20"/>
                <w:lang w:eastAsia="fr-FR"/>
              </w:rPr>
              <w:t>Mesures de prévention</w:t>
            </w:r>
          </w:p>
        </w:tc>
      </w:tr>
      <w:tr w:rsidR="00B25138" w:rsidRPr="00420C1B" w14:paraId="734A8F5E" w14:textId="77777777" w:rsidTr="00215867">
        <w:trPr>
          <w:trHeight w:val="1665"/>
        </w:trPr>
        <w:tc>
          <w:tcPr>
            <w:tcW w:w="8931" w:type="dxa"/>
            <w:gridSpan w:val="3"/>
            <w:tcBorders>
              <w:top w:val="single" w:sz="4" w:space="0" w:color="auto"/>
            </w:tcBorders>
          </w:tcPr>
          <w:p w14:paraId="1A9079F8" w14:textId="3D86B8DE" w:rsidR="006526E4" w:rsidRDefault="00B25138" w:rsidP="00583FB0">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Inclure dans le DAO et le contrat des prestataires</w:t>
            </w:r>
            <w:r w:rsidR="00301B26" w:rsidRPr="00420C1B">
              <w:rPr>
                <w:rFonts w:ascii="Times New Roman" w:hAnsi="Times New Roman"/>
                <w:sz w:val="20"/>
              </w:rPr>
              <w:t>,</w:t>
            </w:r>
            <w:r w:rsidRPr="00215867">
              <w:rPr>
                <w:rFonts w:ascii="Times New Roman" w:hAnsi="Times New Roman"/>
                <w:sz w:val="20"/>
              </w:rPr>
              <w:t xml:space="preserve"> des mesures </w:t>
            </w:r>
            <w:r w:rsidR="006526E4" w:rsidRPr="00420C1B">
              <w:rPr>
                <w:rFonts w:ascii="Times New Roman" w:hAnsi="Times New Roman"/>
                <w:sz w:val="20"/>
              </w:rPr>
              <w:t>relatives à la santé et sécurité au travail, et santé et sécurité des communautés</w:t>
            </w:r>
            <w:r w:rsidR="009E17DA">
              <w:rPr>
                <w:rFonts w:ascii="Times New Roman" w:hAnsi="Times New Roman"/>
                <w:sz w:val="20"/>
              </w:rPr>
              <w:t> ;</w:t>
            </w:r>
          </w:p>
          <w:p w14:paraId="3B1F60BC" w14:textId="655F9FB0" w:rsidR="009E17DA" w:rsidRPr="00420C1B" w:rsidRDefault="009E17DA" w:rsidP="00583FB0">
            <w:pPr>
              <w:numPr>
                <w:ilvl w:val="0"/>
                <w:numId w:val="35"/>
              </w:numPr>
              <w:spacing w:after="0" w:line="276" w:lineRule="auto"/>
              <w:contextualSpacing/>
              <w:jc w:val="both"/>
              <w:rPr>
                <w:rFonts w:ascii="Times New Roman" w:hAnsi="Times New Roman"/>
                <w:sz w:val="20"/>
              </w:rPr>
            </w:pPr>
            <w:r>
              <w:rPr>
                <w:rFonts w:ascii="Times New Roman" w:hAnsi="Times New Roman"/>
                <w:sz w:val="20"/>
              </w:rPr>
              <w:t xml:space="preserve">Faire une évaluation de la sécurité sur le site du projet et inclure dans le contrat des travaux, l’élaboration par </w:t>
            </w:r>
            <w:r w:rsidR="005F47F8">
              <w:rPr>
                <w:rFonts w:ascii="Times New Roman" w:hAnsi="Times New Roman"/>
                <w:sz w:val="20"/>
              </w:rPr>
              <w:t xml:space="preserve">les entreprises </w:t>
            </w:r>
            <w:r>
              <w:rPr>
                <w:rFonts w:ascii="Times New Roman" w:hAnsi="Times New Roman"/>
                <w:sz w:val="20"/>
              </w:rPr>
              <w:t xml:space="preserve"> </w:t>
            </w:r>
            <w:r w:rsidR="0004526E">
              <w:rPr>
                <w:rFonts w:ascii="Times New Roman" w:hAnsi="Times New Roman"/>
                <w:sz w:val="20"/>
              </w:rPr>
              <w:t>d’</w:t>
            </w:r>
            <w:r>
              <w:rPr>
                <w:rFonts w:ascii="Times New Roman" w:hAnsi="Times New Roman"/>
                <w:sz w:val="20"/>
              </w:rPr>
              <w:t xml:space="preserve">un plan de gestion de sécurité </w:t>
            </w:r>
            <w:r w:rsidR="0004526E">
              <w:rPr>
                <w:rFonts w:ascii="Times New Roman" w:hAnsi="Times New Roman"/>
                <w:sz w:val="20"/>
              </w:rPr>
              <w:t>qui se basera sur le plan de gestion de sécurité global du projet </w:t>
            </w:r>
            <w:r w:rsidR="00313641">
              <w:rPr>
                <w:rFonts w:ascii="Times New Roman" w:hAnsi="Times New Roman"/>
                <w:sz w:val="20"/>
              </w:rPr>
              <w:t xml:space="preserve">en cours d’approbation par la Banque </w:t>
            </w:r>
            <w:r w:rsidR="0004526E">
              <w:rPr>
                <w:rFonts w:ascii="Times New Roman" w:hAnsi="Times New Roman"/>
                <w:sz w:val="20"/>
              </w:rPr>
              <w:t>;</w:t>
            </w:r>
            <w:r w:rsidR="000921EE">
              <w:rPr>
                <w:rFonts w:ascii="Times New Roman" w:hAnsi="Times New Roman"/>
                <w:sz w:val="20"/>
              </w:rPr>
              <w:t xml:space="preserve"> </w:t>
            </w:r>
          </w:p>
          <w:p w14:paraId="351D7E51" w14:textId="381B10DE" w:rsidR="006526E4" w:rsidRDefault="00FA579C" w:rsidP="00583FB0">
            <w:pPr>
              <w:numPr>
                <w:ilvl w:val="0"/>
                <w:numId w:val="35"/>
              </w:numPr>
              <w:spacing w:after="0" w:line="276" w:lineRule="auto"/>
              <w:contextualSpacing/>
              <w:jc w:val="both"/>
              <w:rPr>
                <w:rFonts w:ascii="Times New Roman" w:hAnsi="Times New Roman"/>
                <w:sz w:val="20"/>
              </w:rPr>
            </w:pPr>
            <w:r w:rsidRPr="00420C1B">
              <w:rPr>
                <w:rFonts w:ascii="Times New Roman" w:hAnsi="Times New Roman"/>
                <w:sz w:val="20"/>
              </w:rPr>
              <w:t>Mettre en place un plan de limitation de la pollution de l’air</w:t>
            </w:r>
            <w:r w:rsidR="0004526E">
              <w:rPr>
                <w:rFonts w:ascii="Times New Roman" w:hAnsi="Times New Roman"/>
                <w:sz w:val="20"/>
              </w:rPr>
              <w:t> ;</w:t>
            </w:r>
          </w:p>
          <w:p w14:paraId="2E705833" w14:textId="442CC135" w:rsidR="000921EE" w:rsidRDefault="000921EE" w:rsidP="00583FB0">
            <w:pPr>
              <w:numPr>
                <w:ilvl w:val="0"/>
                <w:numId w:val="35"/>
              </w:numPr>
              <w:spacing w:after="0" w:line="276" w:lineRule="auto"/>
              <w:contextualSpacing/>
              <w:jc w:val="both"/>
              <w:rPr>
                <w:rFonts w:ascii="Times New Roman" w:hAnsi="Times New Roman"/>
                <w:sz w:val="20"/>
              </w:rPr>
            </w:pPr>
            <w:r>
              <w:rPr>
                <w:rFonts w:ascii="Times New Roman" w:hAnsi="Times New Roman"/>
                <w:sz w:val="20"/>
              </w:rPr>
              <w:t>Elaboration un plan de circulation routière incluant une évaluation des risques liés à l’utilisation des véhicules et la conduite dans un milieu urbain</w:t>
            </w:r>
            <w:r w:rsidR="00FA0DCA">
              <w:rPr>
                <w:rFonts w:ascii="Times New Roman" w:hAnsi="Times New Roman"/>
                <w:sz w:val="20"/>
              </w:rPr>
              <w:t>.</w:t>
            </w:r>
          </w:p>
          <w:p w14:paraId="25EAD8AA" w14:textId="71AE378B" w:rsidR="00FA0DCA" w:rsidRPr="00420C1B" w:rsidRDefault="00FA0DCA" w:rsidP="00583FB0">
            <w:pPr>
              <w:numPr>
                <w:ilvl w:val="0"/>
                <w:numId w:val="35"/>
              </w:numPr>
              <w:spacing w:after="0" w:line="276" w:lineRule="auto"/>
              <w:contextualSpacing/>
              <w:jc w:val="both"/>
              <w:rPr>
                <w:rFonts w:ascii="Times New Roman" w:hAnsi="Times New Roman"/>
                <w:sz w:val="20"/>
              </w:rPr>
            </w:pPr>
            <w:r>
              <w:rPr>
                <w:rFonts w:ascii="Times New Roman" w:hAnsi="Times New Roman"/>
                <w:sz w:val="20"/>
              </w:rPr>
              <w:t xml:space="preserve">L’entrepreneur devra inclure dans son plan d’hygiène, santé et sécurité, un chapitre consacré aux mesures de sécurité liées à l’utilisation du personnel de sécurité </w:t>
            </w:r>
            <w:r w:rsidRPr="00215867">
              <w:rPr>
                <w:rFonts w:ascii="Times New Roman" w:hAnsi="Times New Roman"/>
                <w:sz w:val="20"/>
              </w:rPr>
              <w:t>(service de gardiennage, police, etc.)</w:t>
            </w:r>
          </w:p>
          <w:p w14:paraId="03092074" w14:textId="54C6AA12" w:rsidR="00D111F1" w:rsidRPr="00420C1B" w:rsidRDefault="00D111F1" w:rsidP="00583FB0">
            <w:pPr>
              <w:numPr>
                <w:ilvl w:val="0"/>
                <w:numId w:val="35"/>
              </w:numPr>
              <w:spacing w:after="0" w:line="276" w:lineRule="auto"/>
              <w:contextualSpacing/>
              <w:jc w:val="both"/>
              <w:rPr>
                <w:rFonts w:ascii="Times New Roman" w:hAnsi="Times New Roman"/>
                <w:sz w:val="20"/>
              </w:rPr>
            </w:pPr>
            <w:r w:rsidRPr="00420C1B">
              <w:rPr>
                <w:rFonts w:ascii="Times New Roman" w:hAnsi="Times New Roman"/>
                <w:sz w:val="20"/>
              </w:rPr>
              <w:t>Mettre en place des palissades et baliser sur les sites de travaux</w:t>
            </w:r>
            <w:r w:rsidR="0004526E">
              <w:rPr>
                <w:rFonts w:ascii="Times New Roman" w:hAnsi="Times New Roman"/>
                <w:sz w:val="20"/>
              </w:rPr>
              <w:t> ;</w:t>
            </w:r>
          </w:p>
          <w:p w14:paraId="290D0376" w14:textId="75116A22" w:rsidR="00B25138" w:rsidRPr="00215867" w:rsidRDefault="00D111F1" w:rsidP="000300AA">
            <w:pPr>
              <w:numPr>
                <w:ilvl w:val="0"/>
                <w:numId w:val="35"/>
              </w:numPr>
              <w:spacing w:after="0" w:line="276" w:lineRule="auto"/>
              <w:contextualSpacing/>
              <w:jc w:val="both"/>
              <w:rPr>
                <w:rFonts w:ascii="Times New Roman" w:hAnsi="Times New Roman"/>
                <w:sz w:val="20"/>
              </w:rPr>
            </w:pPr>
            <w:r w:rsidRPr="00420C1B">
              <w:rPr>
                <w:rFonts w:ascii="Times New Roman" w:hAnsi="Times New Roman"/>
                <w:sz w:val="20"/>
              </w:rPr>
              <w:t>Eviter de laissant des excavations non couverte et programme les travaux d’ouverture des tranchées tout en s’assurant</w:t>
            </w:r>
            <w:r w:rsidR="000300AA" w:rsidRPr="00420C1B">
              <w:rPr>
                <w:rFonts w:ascii="Times New Roman" w:hAnsi="Times New Roman"/>
                <w:sz w:val="20"/>
              </w:rPr>
              <w:t>.</w:t>
            </w:r>
          </w:p>
        </w:tc>
      </w:tr>
    </w:tbl>
    <w:p w14:paraId="01EFAF5F" w14:textId="5BC6336E" w:rsidR="008C748D" w:rsidRDefault="00ED5B4F" w:rsidP="00215867">
      <w:pPr>
        <w:pStyle w:val="Titre4"/>
        <w:numPr>
          <w:ilvl w:val="3"/>
          <w:numId w:val="54"/>
        </w:numPr>
        <w:spacing w:before="200" w:after="120" w:line="20" w:lineRule="atLeast"/>
        <w:ind w:left="1276" w:hanging="851"/>
        <w:rPr>
          <w:color w:val="auto"/>
          <w:szCs w:val="24"/>
        </w:rPr>
      </w:pPr>
      <w:bookmarkStart w:id="721" w:name="_Toc103685697"/>
      <w:r>
        <w:rPr>
          <w:color w:val="auto"/>
          <w:szCs w:val="24"/>
        </w:rPr>
        <w:t>Risque de maladies</w:t>
      </w:r>
      <w:bookmarkEnd w:id="721"/>
    </w:p>
    <w:p w14:paraId="6AC16266" w14:textId="0F6CFCCA" w:rsidR="00354391" w:rsidRPr="00F6533B" w:rsidRDefault="00ED5B4F" w:rsidP="00354391">
      <w:pPr>
        <w:autoSpaceDE w:val="0"/>
        <w:autoSpaceDN w:val="0"/>
        <w:adjustRightInd w:val="0"/>
        <w:spacing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 xml:space="preserve">L’approvisionnement, le stockage et la distribution d’hydrocarbure pourrait engendrer des déversements accidentels et des rejets huiles usées issues du fonctionnement des engins. Le rejet de ces déchets contribuerait à polluer les sols et par le phénomène du ruissèlement/infiltration les eaux de surface et souterraines dont la consommation pourrait entrainer des maladies (cancer). </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678"/>
        <w:gridCol w:w="567"/>
      </w:tblGrid>
      <w:tr w:rsidR="00354391" w:rsidRPr="00420C1B" w14:paraId="0DC55FEF" w14:textId="77777777" w:rsidTr="00F05A97">
        <w:trPr>
          <w:trHeight w:val="682"/>
        </w:trPr>
        <w:tc>
          <w:tcPr>
            <w:tcW w:w="3686" w:type="dxa"/>
            <w:vMerge w:val="restart"/>
          </w:tcPr>
          <w:p w14:paraId="17E8DB64" w14:textId="77777777" w:rsidR="00354391" w:rsidRPr="003448B0" w:rsidRDefault="00354391"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Dangers et /ou situations dangereuses</w:t>
            </w:r>
          </w:p>
          <w:p w14:paraId="5B355A3A" w14:textId="77777777" w:rsidR="00354391" w:rsidRPr="00F6533B" w:rsidRDefault="00354391" w:rsidP="00F05A97">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Emploi des enfants dans les carrières</w:t>
            </w:r>
          </w:p>
          <w:p w14:paraId="28D3472D" w14:textId="77777777" w:rsidR="00354391" w:rsidRPr="001A19AA" w:rsidRDefault="00354391" w:rsidP="00F05A97">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Problèmes physiques et psychologiques (perte de l’estime de soi, autodestruction, ...)</w:t>
            </w:r>
          </w:p>
        </w:tc>
        <w:tc>
          <w:tcPr>
            <w:tcW w:w="5245" w:type="dxa"/>
            <w:gridSpan w:val="2"/>
          </w:tcPr>
          <w:p w14:paraId="4C5E5699" w14:textId="77777777" w:rsidR="00354391" w:rsidRPr="003448B0" w:rsidRDefault="00354391"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Evaluation qualitative du risque :</w:t>
            </w:r>
          </w:p>
          <w:p w14:paraId="5A2D0FD6" w14:textId="77777777" w:rsidR="00354391" w:rsidRPr="003448B0" w:rsidRDefault="00354391" w:rsidP="00F05A97">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sz w:val="20"/>
                <w:szCs w:val="20"/>
                <w:lang w:eastAsia="fr-FR"/>
              </w:rPr>
              <w:t>Ces situations dangereuses peuvent bien être rencontrées dans la zone de travail.</w:t>
            </w:r>
          </w:p>
        </w:tc>
      </w:tr>
      <w:tr w:rsidR="00354391" w:rsidRPr="00420C1B" w14:paraId="53F39DFC" w14:textId="77777777" w:rsidTr="00F05A97">
        <w:trPr>
          <w:trHeight w:val="245"/>
        </w:trPr>
        <w:tc>
          <w:tcPr>
            <w:tcW w:w="3686" w:type="dxa"/>
            <w:vMerge/>
          </w:tcPr>
          <w:p w14:paraId="67FE0979" w14:textId="77777777" w:rsidR="00354391" w:rsidRPr="003448B0" w:rsidRDefault="0035439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17BE42E6" w14:textId="77777777" w:rsidR="00354391" w:rsidRPr="003448B0" w:rsidRDefault="00354391" w:rsidP="00F05A97">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b/>
                <w:sz w:val="20"/>
                <w:szCs w:val="20"/>
                <w:lang w:eastAsia="fr-FR"/>
              </w:rPr>
              <w:t xml:space="preserve">Probabilité : </w:t>
            </w:r>
            <w:r w:rsidRPr="003448B0">
              <w:rPr>
                <w:rFonts w:ascii="Times New Roman" w:eastAsia="Times New Roman" w:hAnsi="Times New Roman"/>
                <w:sz w:val="20"/>
                <w:szCs w:val="20"/>
                <w:lang w:eastAsia="fr-FR"/>
              </w:rPr>
              <w:t>Probable</w:t>
            </w:r>
          </w:p>
        </w:tc>
        <w:tc>
          <w:tcPr>
            <w:tcW w:w="567" w:type="dxa"/>
          </w:tcPr>
          <w:p w14:paraId="79192028" w14:textId="77777777" w:rsidR="00354391" w:rsidRPr="003448B0" w:rsidRDefault="0035439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P3</w:t>
            </w:r>
          </w:p>
        </w:tc>
      </w:tr>
      <w:tr w:rsidR="00354391" w:rsidRPr="00420C1B" w14:paraId="459A70B2" w14:textId="77777777" w:rsidTr="00F05A97">
        <w:trPr>
          <w:trHeight w:val="231"/>
        </w:trPr>
        <w:tc>
          <w:tcPr>
            <w:tcW w:w="3686" w:type="dxa"/>
            <w:vMerge/>
          </w:tcPr>
          <w:p w14:paraId="4400A556" w14:textId="77777777" w:rsidR="00354391" w:rsidRPr="003448B0" w:rsidRDefault="0035439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67D3B772" w14:textId="77777777" w:rsidR="00354391" w:rsidRPr="003448B0" w:rsidRDefault="00354391" w:rsidP="00F05A97">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 xml:space="preserve">Gravité : </w:t>
            </w:r>
            <w:r w:rsidRPr="003448B0">
              <w:rPr>
                <w:rFonts w:ascii="Times New Roman" w:eastAsia="Times New Roman" w:hAnsi="Times New Roman"/>
                <w:sz w:val="20"/>
                <w:szCs w:val="20"/>
                <w:lang w:eastAsia="fr-FR"/>
              </w:rPr>
              <w:t>destruction d’un bien culturel et profanation des tombes</w:t>
            </w:r>
          </w:p>
        </w:tc>
        <w:tc>
          <w:tcPr>
            <w:tcW w:w="567" w:type="dxa"/>
            <w:tcBorders>
              <w:bottom w:val="single" w:sz="4" w:space="0" w:color="000000"/>
            </w:tcBorders>
          </w:tcPr>
          <w:p w14:paraId="40317D23" w14:textId="77777777" w:rsidR="00354391" w:rsidRPr="003448B0" w:rsidRDefault="0035439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G2</w:t>
            </w:r>
          </w:p>
        </w:tc>
      </w:tr>
      <w:tr w:rsidR="00354391" w:rsidRPr="00420C1B" w14:paraId="12FAEB9B" w14:textId="77777777" w:rsidTr="00F05A97">
        <w:trPr>
          <w:trHeight w:val="68"/>
        </w:trPr>
        <w:tc>
          <w:tcPr>
            <w:tcW w:w="3686" w:type="dxa"/>
            <w:vMerge/>
          </w:tcPr>
          <w:p w14:paraId="50E2335B" w14:textId="77777777" w:rsidR="00354391" w:rsidRPr="003448B0" w:rsidRDefault="0035439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10D909F8" w14:textId="77777777" w:rsidR="00354391" w:rsidRPr="003448B0" w:rsidRDefault="00354391" w:rsidP="00F05A97">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Niveau de risque :</w:t>
            </w:r>
          </w:p>
        </w:tc>
        <w:tc>
          <w:tcPr>
            <w:tcW w:w="567" w:type="dxa"/>
            <w:shd w:val="clear" w:color="auto" w:fill="FFFF00"/>
          </w:tcPr>
          <w:p w14:paraId="716035C0" w14:textId="77777777" w:rsidR="00354391" w:rsidRPr="003448B0" w:rsidRDefault="0035439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2</w:t>
            </w:r>
          </w:p>
        </w:tc>
      </w:tr>
      <w:tr w:rsidR="00354391" w:rsidRPr="00420C1B" w14:paraId="4ABBEC1A" w14:textId="77777777" w:rsidTr="00F05A97">
        <w:trPr>
          <w:trHeight w:val="219"/>
        </w:trPr>
        <w:tc>
          <w:tcPr>
            <w:tcW w:w="8931" w:type="dxa"/>
            <w:gridSpan w:val="3"/>
            <w:tcBorders>
              <w:bottom w:val="single" w:sz="4" w:space="0" w:color="auto"/>
            </w:tcBorders>
          </w:tcPr>
          <w:p w14:paraId="3F2D5FAB" w14:textId="77777777" w:rsidR="00354391" w:rsidRPr="003448B0" w:rsidRDefault="00354391" w:rsidP="00F05A97">
            <w:pPr>
              <w:spacing w:after="0" w:line="276" w:lineRule="auto"/>
              <w:jc w:val="center"/>
              <w:rPr>
                <w:rFonts w:ascii="Times New Roman" w:hAnsi="Times New Roman"/>
                <w:sz w:val="20"/>
                <w:szCs w:val="20"/>
              </w:rPr>
            </w:pPr>
            <w:r w:rsidRPr="003448B0">
              <w:rPr>
                <w:rFonts w:ascii="Times New Roman" w:eastAsia="Times New Roman" w:hAnsi="Times New Roman"/>
                <w:b/>
                <w:sz w:val="20"/>
                <w:szCs w:val="20"/>
                <w:lang w:eastAsia="fr-FR"/>
              </w:rPr>
              <w:t>Mesures de prévention</w:t>
            </w:r>
          </w:p>
        </w:tc>
      </w:tr>
      <w:tr w:rsidR="00354391" w:rsidRPr="00420C1B" w14:paraId="69F12C16" w14:textId="77777777" w:rsidTr="00215867">
        <w:trPr>
          <w:trHeight w:val="1327"/>
        </w:trPr>
        <w:tc>
          <w:tcPr>
            <w:tcW w:w="8931" w:type="dxa"/>
            <w:gridSpan w:val="3"/>
            <w:tcBorders>
              <w:top w:val="single" w:sz="4" w:space="0" w:color="auto"/>
            </w:tcBorders>
          </w:tcPr>
          <w:p w14:paraId="30EA1FA5" w14:textId="093D795D" w:rsidR="00CA0495" w:rsidRPr="008765E2" w:rsidRDefault="00CA0495" w:rsidP="00CA0495">
            <w:pPr>
              <w:numPr>
                <w:ilvl w:val="0"/>
                <w:numId w:val="31"/>
              </w:numPr>
              <w:autoSpaceDE w:val="0"/>
              <w:autoSpaceDN w:val="0"/>
              <w:adjustRightInd w:val="0"/>
              <w:spacing w:after="0" w:line="240" w:lineRule="auto"/>
              <w:ind w:left="218" w:hanging="218"/>
              <w:jc w:val="both"/>
              <w:rPr>
                <w:rFonts w:ascii="Times New Roman" w:eastAsia="Times New Roman" w:hAnsi="Times New Roman"/>
                <w:sz w:val="20"/>
                <w:szCs w:val="20"/>
                <w:lang w:eastAsia="fr-FR"/>
              </w:rPr>
            </w:pPr>
            <w:r w:rsidRPr="00215867">
              <w:rPr>
                <w:rFonts w:ascii="Times New Roman" w:hAnsi="Times New Roman"/>
                <w:sz w:val="20"/>
                <w:szCs w:val="20"/>
              </w:rPr>
              <w:t>Prévenir la contamination des eaux de surface par la gestion de</w:t>
            </w:r>
            <w:r w:rsidRPr="008765E2">
              <w:rPr>
                <w:rFonts w:ascii="Times New Roman" w:hAnsi="Times New Roman"/>
                <w:sz w:val="20"/>
                <w:szCs w:val="20"/>
              </w:rPr>
              <w:t>s déchets de chantier surtout les déchets dangereux ;</w:t>
            </w:r>
          </w:p>
          <w:p w14:paraId="20CCC9D2" w14:textId="71386832" w:rsidR="00CA0495" w:rsidRPr="008765E2" w:rsidRDefault="00723ADA" w:rsidP="00CA0495">
            <w:pPr>
              <w:numPr>
                <w:ilvl w:val="0"/>
                <w:numId w:val="31"/>
              </w:numPr>
              <w:autoSpaceDE w:val="0"/>
              <w:autoSpaceDN w:val="0"/>
              <w:adjustRightInd w:val="0"/>
              <w:spacing w:after="0" w:line="240" w:lineRule="auto"/>
              <w:ind w:left="218" w:hanging="218"/>
              <w:jc w:val="both"/>
              <w:rPr>
                <w:rFonts w:ascii="Times New Roman" w:eastAsia="Times New Roman" w:hAnsi="Times New Roman"/>
                <w:sz w:val="20"/>
                <w:szCs w:val="20"/>
                <w:lang w:eastAsia="fr-FR"/>
              </w:rPr>
            </w:pPr>
            <w:r w:rsidRPr="008765E2">
              <w:rPr>
                <w:rFonts w:ascii="Times New Roman" w:hAnsi="Times New Roman"/>
                <w:sz w:val="20"/>
                <w:szCs w:val="20"/>
              </w:rPr>
              <w:t>A</w:t>
            </w:r>
            <w:r w:rsidR="00CA0495" w:rsidRPr="008765E2">
              <w:rPr>
                <w:rFonts w:ascii="Times New Roman" w:hAnsi="Times New Roman"/>
                <w:sz w:val="20"/>
                <w:szCs w:val="20"/>
              </w:rPr>
              <w:t>ménager et stabiliser les aires de vidange afin de les imperméabiliser ;</w:t>
            </w:r>
          </w:p>
          <w:p w14:paraId="6B673EB3" w14:textId="1A05675B" w:rsidR="00CA0495" w:rsidRPr="008765E2" w:rsidRDefault="00723ADA" w:rsidP="00CA0495">
            <w:pPr>
              <w:numPr>
                <w:ilvl w:val="0"/>
                <w:numId w:val="31"/>
              </w:numPr>
              <w:autoSpaceDE w:val="0"/>
              <w:autoSpaceDN w:val="0"/>
              <w:adjustRightInd w:val="0"/>
              <w:spacing w:after="0" w:line="240" w:lineRule="auto"/>
              <w:ind w:left="218" w:hanging="218"/>
              <w:jc w:val="both"/>
              <w:rPr>
                <w:rFonts w:ascii="Times New Roman" w:hAnsi="Times New Roman"/>
                <w:sz w:val="20"/>
                <w:szCs w:val="20"/>
              </w:rPr>
            </w:pPr>
            <w:r w:rsidRPr="008765E2">
              <w:rPr>
                <w:rFonts w:ascii="Times New Roman" w:hAnsi="Times New Roman"/>
                <w:sz w:val="20"/>
                <w:szCs w:val="20"/>
              </w:rPr>
              <w:t>R</w:t>
            </w:r>
            <w:r w:rsidR="00CA0495" w:rsidRPr="008765E2">
              <w:rPr>
                <w:rFonts w:ascii="Times New Roman" w:hAnsi="Times New Roman"/>
                <w:sz w:val="20"/>
                <w:szCs w:val="20"/>
              </w:rPr>
              <w:t>ecueillir les huiles usées dans des contenants étanches en vue de leur recyclage ou réutilisation ;</w:t>
            </w:r>
          </w:p>
          <w:p w14:paraId="6A8E2368" w14:textId="21800DC7" w:rsidR="00354391" w:rsidRPr="003448B0" w:rsidRDefault="00723ADA" w:rsidP="00215867">
            <w:pPr>
              <w:numPr>
                <w:ilvl w:val="0"/>
                <w:numId w:val="31"/>
              </w:numPr>
              <w:autoSpaceDE w:val="0"/>
              <w:autoSpaceDN w:val="0"/>
              <w:adjustRightInd w:val="0"/>
              <w:spacing w:after="0" w:line="240" w:lineRule="auto"/>
              <w:ind w:left="218" w:hanging="218"/>
              <w:jc w:val="both"/>
              <w:rPr>
                <w:rFonts w:ascii="Times New Roman" w:eastAsia="Times New Roman" w:hAnsi="Times New Roman"/>
                <w:b/>
                <w:sz w:val="20"/>
                <w:szCs w:val="20"/>
                <w:lang w:eastAsia="fr-FR"/>
              </w:rPr>
            </w:pPr>
            <w:r w:rsidRPr="008765E2">
              <w:rPr>
                <w:rFonts w:ascii="Times New Roman" w:hAnsi="Times New Roman"/>
                <w:sz w:val="20"/>
                <w:szCs w:val="20"/>
              </w:rPr>
              <w:t>A</w:t>
            </w:r>
            <w:r w:rsidR="00CA0495" w:rsidRPr="008765E2">
              <w:rPr>
                <w:rFonts w:ascii="Times New Roman" w:hAnsi="Times New Roman"/>
                <w:sz w:val="20"/>
                <w:szCs w:val="20"/>
              </w:rPr>
              <w:t>ménager les bassins de rétention pour le stockage des hydrocarbures, conformément aux normes en la matière.</w:t>
            </w:r>
          </w:p>
        </w:tc>
      </w:tr>
    </w:tbl>
    <w:p w14:paraId="1FD6EFF1" w14:textId="2921529A" w:rsidR="001B2DC9" w:rsidRDefault="001B2DC9" w:rsidP="00215867">
      <w:pPr>
        <w:pStyle w:val="Titre4"/>
        <w:numPr>
          <w:ilvl w:val="3"/>
          <w:numId w:val="54"/>
        </w:numPr>
        <w:spacing w:before="200" w:after="120" w:line="20" w:lineRule="atLeast"/>
        <w:ind w:left="1276" w:hanging="851"/>
        <w:rPr>
          <w:color w:val="auto"/>
          <w:szCs w:val="24"/>
        </w:rPr>
      </w:pPr>
      <w:bookmarkStart w:id="722" w:name="_Toc103685698"/>
      <w:r>
        <w:rPr>
          <w:color w:val="auto"/>
          <w:szCs w:val="24"/>
        </w:rPr>
        <w:t>Risque de dépravation des mœurs et de propagation des MST</w:t>
      </w:r>
      <w:bookmarkEnd w:id="722"/>
    </w:p>
    <w:p w14:paraId="13BFC29A" w14:textId="07C3AF1B" w:rsidR="001B2DC9" w:rsidRPr="00F6533B" w:rsidRDefault="00F10CDE" w:rsidP="00215867">
      <w:pPr>
        <w:autoSpaceDE w:val="0"/>
        <w:autoSpaceDN w:val="0"/>
        <w:adjustRightInd w:val="0"/>
        <w:spacing w:after="24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La mise en œuvre du projet va nécessiter de la main d’œuvre qualifiée ou non. La présence d’ouvriers salariés pourrait entrainer des comportements déviants, abus et violences sexuelles basées sur le genre (VBG) notamment sur les groupes vulnérables (veuves, les mineurs). Aussi le brassage des ouvriers avec les populations pourrait augmenter la prévalence des IST/SIDA dans la zone du projet. L’impact négatif est considéré de forte intensité, d’étendue régionale et de durée moyenne et donc d’importance relative jugée majeure</w:t>
      </w:r>
      <w:r>
        <w:rPr>
          <w:rFonts w:ascii="Times New Roman" w:eastAsia="Times New Roman" w:hAnsi="Times New Roman"/>
          <w:sz w:val="24"/>
          <w:lang w:eastAsia="fr-FR"/>
        </w:rPr>
        <w:t>.</w:t>
      </w:r>
      <w:r w:rsidR="001B2DC9" w:rsidRPr="00F6533B">
        <w:rPr>
          <w:rFonts w:ascii="Times New Roman" w:eastAsia="Times New Roman" w:hAnsi="Times New Roman"/>
          <w:sz w:val="24"/>
          <w:lang w:eastAsia="fr-FR"/>
        </w:rPr>
        <w:t xml:space="preserve"> </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678"/>
        <w:gridCol w:w="567"/>
      </w:tblGrid>
      <w:tr w:rsidR="001B2DC9" w:rsidRPr="00420C1B" w14:paraId="4384FBF3" w14:textId="77777777" w:rsidTr="00F05A97">
        <w:trPr>
          <w:trHeight w:val="682"/>
        </w:trPr>
        <w:tc>
          <w:tcPr>
            <w:tcW w:w="3686" w:type="dxa"/>
            <w:vMerge w:val="restart"/>
          </w:tcPr>
          <w:p w14:paraId="3E993D73" w14:textId="77777777" w:rsidR="001B2DC9" w:rsidRPr="003448B0" w:rsidRDefault="001B2DC9"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Dangers et /ou situations dangereuses</w:t>
            </w:r>
          </w:p>
          <w:p w14:paraId="3875BA77" w14:textId="0B1A8B9B" w:rsidR="001B2DC9" w:rsidRPr="001A19AA" w:rsidRDefault="00D760D6" w:rsidP="00F05A97">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sidRPr="00215867">
              <w:rPr>
                <w:rFonts w:ascii="Times New Roman" w:eastAsia="Times New Roman" w:hAnsi="Times New Roman"/>
                <w:sz w:val="20"/>
                <w:szCs w:val="20"/>
                <w:lang w:eastAsia="fr-FR"/>
              </w:rPr>
              <w:t>Présence des mineurs et veuves sur les sites du projet</w:t>
            </w:r>
          </w:p>
        </w:tc>
        <w:tc>
          <w:tcPr>
            <w:tcW w:w="5245" w:type="dxa"/>
            <w:gridSpan w:val="2"/>
          </w:tcPr>
          <w:p w14:paraId="177F47F7" w14:textId="77777777" w:rsidR="001B2DC9" w:rsidRPr="003448B0" w:rsidRDefault="001B2DC9"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Evaluation qualitative du risque :</w:t>
            </w:r>
          </w:p>
          <w:p w14:paraId="08F89551" w14:textId="3400A84C" w:rsidR="001B2DC9" w:rsidRPr="003448B0" w:rsidRDefault="001B2DC9" w:rsidP="00D760D6">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sz w:val="20"/>
                <w:szCs w:val="20"/>
                <w:lang w:eastAsia="fr-FR"/>
              </w:rPr>
              <w:t>Ce</w:t>
            </w:r>
            <w:r w:rsidR="00D760D6">
              <w:rPr>
                <w:rFonts w:ascii="Times New Roman" w:eastAsia="Times New Roman" w:hAnsi="Times New Roman"/>
                <w:sz w:val="20"/>
                <w:szCs w:val="20"/>
                <w:lang w:eastAsia="fr-FR"/>
              </w:rPr>
              <w:t>tte</w:t>
            </w:r>
            <w:r w:rsidRPr="003448B0">
              <w:rPr>
                <w:rFonts w:ascii="Times New Roman" w:eastAsia="Times New Roman" w:hAnsi="Times New Roman"/>
                <w:sz w:val="20"/>
                <w:szCs w:val="20"/>
                <w:lang w:eastAsia="fr-FR"/>
              </w:rPr>
              <w:t xml:space="preserve"> situation dangereuse peut être </w:t>
            </w:r>
            <w:r w:rsidR="00D5621C" w:rsidRPr="003448B0">
              <w:rPr>
                <w:rFonts w:ascii="Times New Roman" w:eastAsia="Times New Roman" w:hAnsi="Times New Roman"/>
                <w:sz w:val="20"/>
                <w:szCs w:val="20"/>
                <w:lang w:eastAsia="fr-FR"/>
              </w:rPr>
              <w:t>rencontrée</w:t>
            </w:r>
            <w:r w:rsidRPr="003448B0">
              <w:rPr>
                <w:rFonts w:ascii="Times New Roman" w:eastAsia="Times New Roman" w:hAnsi="Times New Roman"/>
                <w:sz w:val="20"/>
                <w:szCs w:val="20"/>
                <w:lang w:eastAsia="fr-FR"/>
              </w:rPr>
              <w:t xml:space="preserve"> dans la zone de travail.</w:t>
            </w:r>
          </w:p>
        </w:tc>
      </w:tr>
      <w:tr w:rsidR="001B2DC9" w:rsidRPr="00420C1B" w14:paraId="3DEE1137" w14:textId="77777777" w:rsidTr="00F05A97">
        <w:trPr>
          <w:trHeight w:val="245"/>
        </w:trPr>
        <w:tc>
          <w:tcPr>
            <w:tcW w:w="3686" w:type="dxa"/>
            <w:vMerge/>
          </w:tcPr>
          <w:p w14:paraId="5FC2639B" w14:textId="77777777" w:rsidR="001B2DC9" w:rsidRPr="003448B0" w:rsidRDefault="001B2DC9"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3F741257" w14:textId="77777777" w:rsidR="001B2DC9" w:rsidRPr="003448B0" w:rsidRDefault="001B2DC9" w:rsidP="00F05A97">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b/>
                <w:sz w:val="20"/>
                <w:szCs w:val="20"/>
                <w:lang w:eastAsia="fr-FR"/>
              </w:rPr>
              <w:t xml:space="preserve">Probabilité : </w:t>
            </w:r>
            <w:r w:rsidRPr="003448B0">
              <w:rPr>
                <w:rFonts w:ascii="Times New Roman" w:eastAsia="Times New Roman" w:hAnsi="Times New Roman"/>
                <w:sz w:val="20"/>
                <w:szCs w:val="20"/>
                <w:lang w:eastAsia="fr-FR"/>
              </w:rPr>
              <w:t>Probable</w:t>
            </w:r>
          </w:p>
        </w:tc>
        <w:tc>
          <w:tcPr>
            <w:tcW w:w="567" w:type="dxa"/>
          </w:tcPr>
          <w:p w14:paraId="62F0760F" w14:textId="77777777" w:rsidR="001B2DC9" w:rsidRPr="003448B0" w:rsidRDefault="001B2DC9"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P3</w:t>
            </w:r>
          </w:p>
        </w:tc>
      </w:tr>
      <w:tr w:rsidR="001B2DC9" w:rsidRPr="00420C1B" w14:paraId="61BFEDA7" w14:textId="77777777" w:rsidTr="00F05A97">
        <w:trPr>
          <w:trHeight w:val="231"/>
        </w:trPr>
        <w:tc>
          <w:tcPr>
            <w:tcW w:w="3686" w:type="dxa"/>
            <w:vMerge/>
          </w:tcPr>
          <w:p w14:paraId="711736CE" w14:textId="77777777" w:rsidR="001B2DC9" w:rsidRPr="003448B0" w:rsidRDefault="001B2DC9"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229E7626" w14:textId="2A384AC5" w:rsidR="001B2DC9" w:rsidRPr="003448B0" w:rsidRDefault="001B2DC9" w:rsidP="00D760D6">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 xml:space="preserve">Gravité : </w:t>
            </w:r>
          </w:p>
        </w:tc>
        <w:tc>
          <w:tcPr>
            <w:tcW w:w="567" w:type="dxa"/>
            <w:tcBorders>
              <w:bottom w:val="single" w:sz="4" w:space="0" w:color="000000"/>
            </w:tcBorders>
          </w:tcPr>
          <w:p w14:paraId="34274647" w14:textId="77777777" w:rsidR="001B2DC9" w:rsidRPr="003448B0" w:rsidRDefault="001B2DC9"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G2</w:t>
            </w:r>
          </w:p>
        </w:tc>
      </w:tr>
      <w:tr w:rsidR="001B2DC9" w:rsidRPr="00420C1B" w14:paraId="4E0892EB" w14:textId="77777777" w:rsidTr="00F05A97">
        <w:trPr>
          <w:trHeight w:val="68"/>
        </w:trPr>
        <w:tc>
          <w:tcPr>
            <w:tcW w:w="3686" w:type="dxa"/>
            <w:vMerge/>
          </w:tcPr>
          <w:p w14:paraId="1B0D1409" w14:textId="77777777" w:rsidR="001B2DC9" w:rsidRPr="003448B0" w:rsidRDefault="001B2DC9"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5FC6541E" w14:textId="77777777" w:rsidR="001B2DC9" w:rsidRPr="003448B0" w:rsidRDefault="001B2DC9" w:rsidP="00F05A97">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Niveau de risque :</w:t>
            </w:r>
          </w:p>
        </w:tc>
        <w:tc>
          <w:tcPr>
            <w:tcW w:w="567" w:type="dxa"/>
            <w:shd w:val="clear" w:color="auto" w:fill="FFFF00"/>
          </w:tcPr>
          <w:p w14:paraId="5695DB3D" w14:textId="77777777" w:rsidR="001B2DC9" w:rsidRPr="003448B0" w:rsidRDefault="001B2DC9"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2</w:t>
            </w:r>
          </w:p>
        </w:tc>
      </w:tr>
      <w:tr w:rsidR="001B2DC9" w:rsidRPr="00420C1B" w14:paraId="255EEF3D" w14:textId="77777777" w:rsidTr="00F05A97">
        <w:trPr>
          <w:trHeight w:val="219"/>
        </w:trPr>
        <w:tc>
          <w:tcPr>
            <w:tcW w:w="8931" w:type="dxa"/>
            <w:gridSpan w:val="3"/>
            <w:tcBorders>
              <w:bottom w:val="single" w:sz="4" w:space="0" w:color="auto"/>
            </w:tcBorders>
          </w:tcPr>
          <w:p w14:paraId="39F92075" w14:textId="77777777" w:rsidR="001B2DC9" w:rsidRPr="003448B0" w:rsidRDefault="001B2DC9" w:rsidP="00F05A97">
            <w:pPr>
              <w:spacing w:after="0" w:line="276" w:lineRule="auto"/>
              <w:jc w:val="center"/>
              <w:rPr>
                <w:rFonts w:ascii="Times New Roman" w:hAnsi="Times New Roman"/>
                <w:sz w:val="20"/>
                <w:szCs w:val="20"/>
              </w:rPr>
            </w:pPr>
            <w:r w:rsidRPr="003448B0">
              <w:rPr>
                <w:rFonts w:ascii="Times New Roman" w:eastAsia="Times New Roman" w:hAnsi="Times New Roman"/>
                <w:b/>
                <w:sz w:val="20"/>
                <w:szCs w:val="20"/>
                <w:lang w:eastAsia="fr-FR"/>
              </w:rPr>
              <w:t>Mesures de prévention</w:t>
            </w:r>
          </w:p>
        </w:tc>
      </w:tr>
      <w:tr w:rsidR="001B2DC9" w:rsidRPr="00420C1B" w14:paraId="0DFFFB34" w14:textId="77777777" w:rsidTr="00F05A97">
        <w:trPr>
          <w:trHeight w:val="1637"/>
        </w:trPr>
        <w:tc>
          <w:tcPr>
            <w:tcW w:w="8931" w:type="dxa"/>
            <w:gridSpan w:val="3"/>
            <w:tcBorders>
              <w:top w:val="single" w:sz="4" w:space="0" w:color="auto"/>
            </w:tcBorders>
          </w:tcPr>
          <w:p w14:paraId="3C3D0D87" w14:textId="77777777" w:rsidR="00112761" w:rsidRPr="00857867" w:rsidRDefault="00112761" w:rsidP="00112761">
            <w:pPr>
              <w:numPr>
                <w:ilvl w:val="0"/>
                <w:numId w:val="31"/>
              </w:numPr>
              <w:autoSpaceDE w:val="0"/>
              <w:autoSpaceDN w:val="0"/>
              <w:adjustRightInd w:val="0"/>
              <w:spacing w:after="0" w:line="240" w:lineRule="auto"/>
              <w:rPr>
                <w:rFonts w:ascii="Times New Roman" w:eastAsia="Times New Roman" w:hAnsi="Times New Roman"/>
                <w:sz w:val="20"/>
                <w:szCs w:val="20"/>
                <w:lang w:eastAsia="fr-FR"/>
              </w:rPr>
            </w:pPr>
            <w:r w:rsidRPr="00857867">
              <w:rPr>
                <w:rFonts w:ascii="Times New Roman" w:hAnsi="Times New Roman"/>
                <w:sz w:val="20"/>
                <w:szCs w:val="20"/>
              </w:rPr>
              <w:t>réaliser des séances de sensibilisation IST/SIDA</w:t>
            </w:r>
            <w:r>
              <w:rPr>
                <w:rFonts w:ascii="Times New Roman" w:hAnsi="Times New Roman"/>
                <w:sz w:val="20"/>
                <w:szCs w:val="20"/>
              </w:rPr>
              <w:t xml:space="preserve">, contre les risques et conséquences des VBG, y compris l’EAS/HS </w:t>
            </w:r>
            <w:r w:rsidRPr="00857867">
              <w:rPr>
                <w:rFonts w:ascii="Times New Roman" w:hAnsi="Times New Roman"/>
                <w:sz w:val="20"/>
                <w:szCs w:val="20"/>
              </w:rPr>
              <w:t xml:space="preserve">et d’éducations envers </w:t>
            </w:r>
            <w:r>
              <w:rPr>
                <w:rFonts w:ascii="Times New Roman" w:hAnsi="Times New Roman"/>
                <w:sz w:val="20"/>
                <w:szCs w:val="20"/>
              </w:rPr>
              <w:t xml:space="preserve">la communauté, et notamment </w:t>
            </w:r>
            <w:r w:rsidRPr="00857867">
              <w:rPr>
                <w:rFonts w:ascii="Times New Roman" w:hAnsi="Times New Roman"/>
                <w:sz w:val="20"/>
                <w:szCs w:val="20"/>
              </w:rPr>
              <w:t xml:space="preserve">les groupes </w:t>
            </w:r>
            <w:r>
              <w:rPr>
                <w:rFonts w:ascii="Times New Roman" w:hAnsi="Times New Roman"/>
                <w:sz w:val="20"/>
                <w:szCs w:val="20"/>
              </w:rPr>
              <w:t xml:space="preserve">plus </w:t>
            </w:r>
            <w:r w:rsidRPr="00857867">
              <w:rPr>
                <w:rFonts w:ascii="Times New Roman" w:hAnsi="Times New Roman"/>
                <w:sz w:val="20"/>
                <w:szCs w:val="20"/>
              </w:rPr>
              <w:t xml:space="preserve">vulnérables </w:t>
            </w:r>
            <w:r>
              <w:rPr>
                <w:rFonts w:ascii="Times New Roman" w:hAnsi="Times New Roman"/>
                <w:sz w:val="20"/>
                <w:szCs w:val="20"/>
              </w:rPr>
              <w:t>à ces risques, ainsi que auprès</w:t>
            </w:r>
            <w:r w:rsidRPr="00857867">
              <w:rPr>
                <w:rFonts w:ascii="Times New Roman" w:hAnsi="Times New Roman"/>
                <w:sz w:val="20"/>
                <w:szCs w:val="20"/>
              </w:rPr>
              <w:t xml:space="preserve"> le personnel du chantier ;</w:t>
            </w:r>
          </w:p>
          <w:p w14:paraId="0D3CC0C6" w14:textId="77777777" w:rsidR="00112761" w:rsidRPr="00857867" w:rsidRDefault="00112761" w:rsidP="00112761">
            <w:pPr>
              <w:numPr>
                <w:ilvl w:val="0"/>
                <w:numId w:val="31"/>
              </w:numPr>
              <w:spacing w:after="0" w:line="240" w:lineRule="auto"/>
              <w:contextualSpacing/>
              <w:rPr>
                <w:rFonts w:ascii="Times New Roman" w:hAnsi="Times New Roman"/>
                <w:sz w:val="20"/>
                <w:szCs w:val="20"/>
              </w:rPr>
            </w:pPr>
            <w:r w:rsidRPr="00F6533B">
              <w:rPr>
                <w:rFonts w:ascii="Times New Roman" w:hAnsi="Times New Roman"/>
                <w:sz w:val="20"/>
                <w:szCs w:val="20"/>
              </w:rPr>
              <w:t>identifier</w:t>
            </w:r>
            <w:r w:rsidRPr="00857867">
              <w:rPr>
                <w:rFonts w:ascii="Times New Roman" w:eastAsia="Times New Roman" w:hAnsi="Times New Roman"/>
                <w:sz w:val="20"/>
                <w:szCs w:val="20"/>
                <w:lang w:eastAsia="fr-FR"/>
              </w:rPr>
              <w:t xml:space="preserve"> les centres de soutien médical, juridique et psychologique disponibles dans la communauté, et y référer les </w:t>
            </w:r>
            <w:r>
              <w:rPr>
                <w:rFonts w:ascii="Times New Roman" w:eastAsia="Times New Roman" w:hAnsi="Times New Roman"/>
                <w:sz w:val="20"/>
                <w:szCs w:val="20"/>
                <w:lang w:eastAsia="fr-FR"/>
              </w:rPr>
              <w:t xml:space="preserve">survivantes </w:t>
            </w:r>
            <w:r w:rsidRPr="00857867">
              <w:rPr>
                <w:rFonts w:ascii="Times New Roman" w:eastAsia="Times New Roman" w:hAnsi="Times New Roman"/>
                <w:sz w:val="20"/>
                <w:szCs w:val="20"/>
                <w:lang w:eastAsia="fr-FR"/>
              </w:rPr>
              <w:t>d</w:t>
            </w:r>
            <w:r>
              <w:rPr>
                <w:rFonts w:ascii="Times New Roman" w:eastAsia="Times New Roman" w:hAnsi="Times New Roman"/>
                <w:sz w:val="20"/>
                <w:szCs w:val="20"/>
                <w:lang w:eastAsia="fr-FR"/>
              </w:rPr>
              <w:t>es VBG, y compris celles d’EAS/HS </w:t>
            </w:r>
            <w:r>
              <w:rPr>
                <w:rFonts w:ascii="Times New Roman" w:hAnsi="Times New Roman"/>
                <w:sz w:val="20"/>
                <w:szCs w:val="20"/>
              </w:rPr>
              <w:t>;</w:t>
            </w:r>
          </w:p>
          <w:p w14:paraId="79A01985" w14:textId="6EBC1F67" w:rsidR="00112761" w:rsidRPr="003448B0" w:rsidRDefault="00112761" w:rsidP="00112761">
            <w:pPr>
              <w:numPr>
                <w:ilvl w:val="0"/>
                <w:numId w:val="31"/>
              </w:numPr>
              <w:autoSpaceDE w:val="0"/>
              <w:autoSpaceDN w:val="0"/>
              <w:adjustRightInd w:val="0"/>
              <w:spacing w:after="0" w:line="240" w:lineRule="auto"/>
              <w:jc w:val="both"/>
              <w:rPr>
                <w:rFonts w:ascii="Times New Roman" w:eastAsia="Times New Roman" w:hAnsi="Times New Roman"/>
                <w:b/>
                <w:sz w:val="20"/>
                <w:szCs w:val="20"/>
                <w:lang w:eastAsia="fr-FR"/>
              </w:rPr>
            </w:pPr>
            <w:r w:rsidRPr="00857867">
              <w:rPr>
                <w:rFonts w:ascii="Times New Roman" w:hAnsi="Times New Roman"/>
                <w:sz w:val="20"/>
                <w:szCs w:val="20"/>
              </w:rPr>
              <w:t>exiger l’arrêt des travaux en cas d’un constat de violence sur les personnes vulnérables</w:t>
            </w:r>
            <w:r>
              <w:rPr>
                <w:rFonts w:ascii="Times New Roman" w:hAnsi="Times New Roman"/>
                <w:sz w:val="20"/>
                <w:szCs w:val="20"/>
              </w:rPr>
              <w:t xml:space="preserve"> et les autres membres de la communauté et informer immédiatement le Projet.</w:t>
            </w:r>
          </w:p>
        </w:tc>
      </w:tr>
    </w:tbl>
    <w:p w14:paraId="059E7880" w14:textId="605FDFCD" w:rsidR="002C5E13" w:rsidRPr="00D75D2E" w:rsidRDefault="002C5E13" w:rsidP="00215867">
      <w:pPr>
        <w:pStyle w:val="Titre4"/>
        <w:numPr>
          <w:ilvl w:val="3"/>
          <w:numId w:val="54"/>
        </w:numPr>
        <w:spacing w:before="200" w:after="120" w:line="20" w:lineRule="atLeast"/>
        <w:ind w:left="1276" w:hanging="851"/>
        <w:rPr>
          <w:color w:val="auto"/>
          <w:szCs w:val="24"/>
        </w:rPr>
      </w:pPr>
      <w:bookmarkStart w:id="723" w:name="_Toc103685699"/>
      <w:r w:rsidRPr="00D75D2E">
        <w:rPr>
          <w:color w:val="auto"/>
          <w:szCs w:val="24"/>
        </w:rPr>
        <w:t xml:space="preserve">Risques </w:t>
      </w:r>
      <w:r>
        <w:rPr>
          <w:color w:val="auto"/>
          <w:szCs w:val="24"/>
        </w:rPr>
        <w:t>liés au travail des enfants et travaux forcés</w:t>
      </w:r>
      <w:bookmarkEnd w:id="723"/>
    </w:p>
    <w:p w14:paraId="553DA8A0" w14:textId="311000C7" w:rsidR="00D10F80" w:rsidRPr="00215867" w:rsidRDefault="002C5E13" w:rsidP="00215867">
      <w:pPr>
        <w:autoSpaceDE w:val="0"/>
        <w:autoSpaceDN w:val="0"/>
        <w:adjustRightInd w:val="0"/>
        <w:spacing w:after="120" w:line="240" w:lineRule="auto"/>
        <w:jc w:val="both"/>
        <w:rPr>
          <w:rFonts w:ascii="Times New Roman" w:eastAsia="Times New Roman" w:hAnsi="Times New Roman"/>
          <w:sz w:val="24"/>
          <w:lang w:eastAsia="fr-FR"/>
        </w:rPr>
      </w:pPr>
      <w:r>
        <w:rPr>
          <w:rFonts w:ascii="Times New Roman" w:eastAsia="Times New Roman" w:hAnsi="Times New Roman"/>
          <w:sz w:val="24"/>
          <w:lang w:eastAsia="fr-FR"/>
        </w:rPr>
        <w:t xml:space="preserve">Pendant la phase des travaux, les fournisseurs de matériaux de construction tels que : sable, gravier, moellons et granites peuvent recourir à l’utilisation des enfants dans les travaux de manutention des pierres ou d’autres tâches au niveau des carrières. </w:t>
      </w:r>
      <w:r w:rsidR="00D10F80">
        <w:rPr>
          <w:rFonts w:ascii="Times New Roman" w:eastAsia="Times New Roman" w:hAnsi="Times New Roman"/>
          <w:sz w:val="24"/>
          <w:lang w:eastAsia="fr-FR"/>
        </w:rPr>
        <w:t xml:space="preserve">Le niveau de la pauvreté dans la zone du projet et </w:t>
      </w:r>
      <w:r w:rsidR="001A19AA">
        <w:rPr>
          <w:rFonts w:ascii="Times New Roman" w:eastAsia="Times New Roman" w:hAnsi="Times New Roman"/>
          <w:sz w:val="24"/>
          <w:lang w:eastAsia="fr-FR"/>
        </w:rPr>
        <w:t>les soucis</w:t>
      </w:r>
      <w:r w:rsidR="00D10F80">
        <w:rPr>
          <w:rFonts w:ascii="Times New Roman" w:eastAsia="Times New Roman" w:hAnsi="Times New Roman"/>
          <w:sz w:val="24"/>
          <w:lang w:eastAsia="fr-FR"/>
        </w:rPr>
        <w:t xml:space="preserve"> de subvenir aux besoins de la famille sont là les motivations poussant certains travailleurs de ces fournisseurs à faire embaucher leurs enfants ou d’autres à des travaux de carrières</w:t>
      </w:r>
      <w:r w:rsidR="001A19AA">
        <w:rPr>
          <w:rFonts w:ascii="Times New Roman" w:eastAsia="Times New Roman" w:hAnsi="Times New Roman"/>
          <w:sz w:val="24"/>
          <w:lang w:eastAsia="fr-FR"/>
        </w:rPr>
        <w:t> ; et également les enfants pour certains, constituent la main d’œuvre la moins chère.</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678"/>
        <w:gridCol w:w="567"/>
      </w:tblGrid>
      <w:tr w:rsidR="002C5E13" w:rsidRPr="00420C1B" w14:paraId="642A9CA2" w14:textId="77777777" w:rsidTr="00215867">
        <w:trPr>
          <w:trHeight w:val="682"/>
        </w:trPr>
        <w:tc>
          <w:tcPr>
            <w:tcW w:w="3686" w:type="dxa"/>
            <w:vMerge w:val="restart"/>
          </w:tcPr>
          <w:p w14:paraId="00AC746C" w14:textId="3EBA1B0E" w:rsidR="002C5E13" w:rsidRPr="003448B0" w:rsidRDefault="002C5E13" w:rsidP="0021586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Dangers et /ou situations dangereuses</w:t>
            </w:r>
          </w:p>
          <w:p w14:paraId="72FB0AAE" w14:textId="0B86792C" w:rsidR="002C5E13" w:rsidRPr="00215867" w:rsidRDefault="001A19AA" w:rsidP="0040252F">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Emploi des enfants dans les carrières</w:t>
            </w:r>
          </w:p>
          <w:p w14:paraId="553F2771" w14:textId="33FC2985" w:rsidR="002C5E13" w:rsidRPr="001A19AA" w:rsidRDefault="001A19AA" w:rsidP="00215867">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hAnsi="Times New Roman"/>
                <w:sz w:val="20"/>
                <w:szCs w:val="20"/>
              </w:rPr>
              <w:t>Problèmes physiques et psychologiques (perte de l’estime de soi, autodestruction, ...)</w:t>
            </w:r>
          </w:p>
        </w:tc>
        <w:tc>
          <w:tcPr>
            <w:tcW w:w="5245" w:type="dxa"/>
            <w:gridSpan w:val="2"/>
          </w:tcPr>
          <w:p w14:paraId="72D8F41D" w14:textId="484F5896" w:rsidR="002C5E13" w:rsidRPr="003448B0" w:rsidRDefault="002C5E13" w:rsidP="0021586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Evaluation qualitative du risque :</w:t>
            </w:r>
          </w:p>
          <w:p w14:paraId="0819E31E" w14:textId="77777777" w:rsidR="002C5E13" w:rsidRPr="003448B0" w:rsidRDefault="002C5E13" w:rsidP="00227FCF">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sz w:val="20"/>
                <w:szCs w:val="20"/>
                <w:lang w:eastAsia="fr-FR"/>
              </w:rPr>
              <w:t>Ces situations dangereuses peuvent bien être rencontrées dans la zone de travail.</w:t>
            </w:r>
          </w:p>
        </w:tc>
      </w:tr>
      <w:tr w:rsidR="002C5E13" w:rsidRPr="00420C1B" w14:paraId="067F3159" w14:textId="77777777" w:rsidTr="00215867">
        <w:trPr>
          <w:trHeight w:val="245"/>
        </w:trPr>
        <w:tc>
          <w:tcPr>
            <w:tcW w:w="3686" w:type="dxa"/>
            <w:vMerge/>
          </w:tcPr>
          <w:p w14:paraId="51C7EF88" w14:textId="77777777" w:rsidR="002C5E13" w:rsidRPr="003448B0" w:rsidRDefault="002C5E13" w:rsidP="00227FCF">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7E3D17D5" w14:textId="77777777" w:rsidR="002C5E13" w:rsidRPr="003448B0" w:rsidRDefault="002C5E13" w:rsidP="00227FCF">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b/>
                <w:sz w:val="20"/>
                <w:szCs w:val="20"/>
                <w:lang w:eastAsia="fr-FR"/>
              </w:rPr>
              <w:t xml:space="preserve">Probabilité : </w:t>
            </w:r>
            <w:r w:rsidRPr="003448B0">
              <w:rPr>
                <w:rFonts w:ascii="Times New Roman" w:eastAsia="Times New Roman" w:hAnsi="Times New Roman"/>
                <w:sz w:val="20"/>
                <w:szCs w:val="20"/>
                <w:lang w:eastAsia="fr-FR"/>
              </w:rPr>
              <w:t>Probable</w:t>
            </w:r>
          </w:p>
        </w:tc>
        <w:tc>
          <w:tcPr>
            <w:tcW w:w="567" w:type="dxa"/>
          </w:tcPr>
          <w:p w14:paraId="08C84802" w14:textId="77777777" w:rsidR="002C5E13" w:rsidRPr="003448B0" w:rsidRDefault="002C5E13" w:rsidP="00227FCF">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P3</w:t>
            </w:r>
          </w:p>
        </w:tc>
      </w:tr>
      <w:tr w:rsidR="002C5E13" w:rsidRPr="00420C1B" w14:paraId="4077B02B" w14:textId="77777777" w:rsidTr="00215867">
        <w:trPr>
          <w:trHeight w:val="231"/>
        </w:trPr>
        <w:tc>
          <w:tcPr>
            <w:tcW w:w="3686" w:type="dxa"/>
            <w:vMerge/>
          </w:tcPr>
          <w:p w14:paraId="5894D4C9" w14:textId="77777777" w:rsidR="002C5E13" w:rsidRPr="003448B0" w:rsidRDefault="002C5E13" w:rsidP="00227FCF">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60B3F85C" w14:textId="77777777" w:rsidR="002C5E13" w:rsidRPr="003448B0" w:rsidRDefault="002C5E13" w:rsidP="00227FCF">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 xml:space="preserve">Gravité : </w:t>
            </w:r>
            <w:r w:rsidRPr="003448B0">
              <w:rPr>
                <w:rFonts w:ascii="Times New Roman" w:eastAsia="Times New Roman" w:hAnsi="Times New Roman"/>
                <w:sz w:val="20"/>
                <w:szCs w:val="20"/>
                <w:lang w:eastAsia="fr-FR"/>
              </w:rPr>
              <w:t>destruction d’un bien culturel et profanation des tombes</w:t>
            </w:r>
          </w:p>
        </w:tc>
        <w:tc>
          <w:tcPr>
            <w:tcW w:w="567" w:type="dxa"/>
            <w:tcBorders>
              <w:bottom w:val="single" w:sz="4" w:space="0" w:color="000000"/>
            </w:tcBorders>
          </w:tcPr>
          <w:p w14:paraId="734BDD5A" w14:textId="77777777" w:rsidR="002C5E13" w:rsidRPr="003448B0" w:rsidRDefault="002C5E13" w:rsidP="00227FCF">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G2</w:t>
            </w:r>
          </w:p>
        </w:tc>
      </w:tr>
      <w:tr w:rsidR="002C5E13" w:rsidRPr="00420C1B" w14:paraId="3394C0AB" w14:textId="77777777" w:rsidTr="00215867">
        <w:trPr>
          <w:trHeight w:val="68"/>
        </w:trPr>
        <w:tc>
          <w:tcPr>
            <w:tcW w:w="3686" w:type="dxa"/>
            <w:vMerge/>
          </w:tcPr>
          <w:p w14:paraId="4AAE3FCE" w14:textId="77777777" w:rsidR="002C5E13" w:rsidRPr="003448B0" w:rsidRDefault="002C5E13" w:rsidP="00227FCF">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19D2A80A" w14:textId="77777777" w:rsidR="002C5E13" w:rsidRPr="003448B0" w:rsidRDefault="002C5E13" w:rsidP="00227FCF">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Niveau de risque :</w:t>
            </w:r>
          </w:p>
        </w:tc>
        <w:tc>
          <w:tcPr>
            <w:tcW w:w="567" w:type="dxa"/>
            <w:shd w:val="clear" w:color="auto" w:fill="FFFF00"/>
          </w:tcPr>
          <w:p w14:paraId="4185582E" w14:textId="77777777" w:rsidR="002C5E13" w:rsidRPr="003448B0" w:rsidRDefault="002C5E13" w:rsidP="00227FCF">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2</w:t>
            </w:r>
          </w:p>
        </w:tc>
      </w:tr>
      <w:tr w:rsidR="002C5E13" w:rsidRPr="00420C1B" w14:paraId="3BB2D1D2" w14:textId="77777777" w:rsidTr="00227FCF">
        <w:trPr>
          <w:trHeight w:val="219"/>
        </w:trPr>
        <w:tc>
          <w:tcPr>
            <w:tcW w:w="8931" w:type="dxa"/>
            <w:gridSpan w:val="3"/>
            <w:tcBorders>
              <w:bottom w:val="single" w:sz="4" w:space="0" w:color="auto"/>
            </w:tcBorders>
          </w:tcPr>
          <w:p w14:paraId="6CB01F6F" w14:textId="77777777" w:rsidR="002C5E13" w:rsidRPr="003448B0" w:rsidRDefault="002C5E13" w:rsidP="00227FCF">
            <w:pPr>
              <w:spacing w:after="0" w:line="276" w:lineRule="auto"/>
              <w:jc w:val="center"/>
              <w:rPr>
                <w:rFonts w:ascii="Times New Roman" w:hAnsi="Times New Roman"/>
                <w:sz w:val="20"/>
                <w:szCs w:val="20"/>
              </w:rPr>
            </w:pPr>
            <w:r w:rsidRPr="003448B0">
              <w:rPr>
                <w:rFonts w:ascii="Times New Roman" w:eastAsia="Times New Roman" w:hAnsi="Times New Roman"/>
                <w:b/>
                <w:sz w:val="20"/>
                <w:szCs w:val="20"/>
                <w:lang w:eastAsia="fr-FR"/>
              </w:rPr>
              <w:t>Mesures de prévention</w:t>
            </w:r>
          </w:p>
        </w:tc>
      </w:tr>
      <w:tr w:rsidR="002C5E13" w:rsidRPr="00420C1B" w14:paraId="46FE7E90" w14:textId="77777777" w:rsidTr="00227FCF">
        <w:trPr>
          <w:trHeight w:val="2695"/>
        </w:trPr>
        <w:tc>
          <w:tcPr>
            <w:tcW w:w="8931" w:type="dxa"/>
            <w:gridSpan w:val="3"/>
            <w:tcBorders>
              <w:top w:val="single" w:sz="4" w:space="0" w:color="auto"/>
            </w:tcBorders>
          </w:tcPr>
          <w:p w14:paraId="6121A5A0" w14:textId="4267C0E7" w:rsidR="002C5E13" w:rsidRPr="00215867" w:rsidRDefault="002C5E13" w:rsidP="002C5E13">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 xml:space="preserve">Inclure dans le DAO et le contrat des prestataires des mesures </w:t>
            </w:r>
            <w:r w:rsidR="00254951" w:rsidRPr="00215867">
              <w:rPr>
                <w:rFonts w:ascii="Times New Roman" w:hAnsi="Times New Roman"/>
                <w:sz w:val="20"/>
              </w:rPr>
              <w:t xml:space="preserve">spécifiques </w:t>
            </w:r>
            <w:r w:rsidRPr="00215867">
              <w:rPr>
                <w:rFonts w:ascii="Times New Roman" w:hAnsi="Times New Roman"/>
                <w:sz w:val="20"/>
              </w:rPr>
              <w:t xml:space="preserve">à respecter en </w:t>
            </w:r>
            <w:r w:rsidR="00254951" w:rsidRPr="00215867">
              <w:rPr>
                <w:rFonts w:ascii="Times New Roman" w:hAnsi="Times New Roman"/>
                <w:sz w:val="20"/>
              </w:rPr>
              <w:t>lien avec le travail des enfants</w:t>
            </w:r>
            <w:r w:rsidRPr="00215867">
              <w:rPr>
                <w:rFonts w:ascii="Times New Roman" w:hAnsi="Times New Roman"/>
                <w:sz w:val="20"/>
              </w:rPr>
              <w:t xml:space="preserve">, conformément à la loi nationale et </w:t>
            </w:r>
            <w:r w:rsidR="00254951" w:rsidRPr="00215867">
              <w:rPr>
                <w:rFonts w:ascii="Times New Roman" w:hAnsi="Times New Roman"/>
                <w:sz w:val="20"/>
              </w:rPr>
              <w:t>à la NES 2 de la Banque mondiale</w:t>
            </w:r>
            <w:r w:rsidRPr="00215867">
              <w:rPr>
                <w:rFonts w:ascii="Times New Roman" w:hAnsi="Times New Roman"/>
                <w:sz w:val="20"/>
              </w:rPr>
              <w:t> ;</w:t>
            </w:r>
          </w:p>
          <w:p w14:paraId="0F40CBEA" w14:textId="2A015E31" w:rsidR="001A19AA" w:rsidRPr="00215867" w:rsidRDefault="00254951" w:rsidP="002C5E13">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 xml:space="preserve">Faire signer aux entrepreneurs et leurs sous-traitants, le </w:t>
            </w:r>
            <w:r w:rsidR="001A19AA" w:rsidRPr="00215867">
              <w:rPr>
                <w:rFonts w:ascii="Times New Roman" w:hAnsi="Times New Roman"/>
                <w:sz w:val="20"/>
              </w:rPr>
              <w:t xml:space="preserve">Code de procédures applicable </w:t>
            </w:r>
            <w:r w:rsidR="009B19AF" w:rsidRPr="00215867">
              <w:rPr>
                <w:rFonts w:ascii="Times New Roman" w:hAnsi="Times New Roman"/>
                <w:sz w:val="20"/>
              </w:rPr>
              <w:t>à l’</w:t>
            </w:r>
            <w:r w:rsidR="001A19AA" w:rsidRPr="00215867">
              <w:rPr>
                <w:rFonts w:ascii="Times New Roman" w:hAnsi="Times New Roman"/>
                <w:sz w:val="20"/>
              </w:rPr>
              <w:t>intention des fournisseurs principaux. Ce code de procédures précis</w:t>
            </w:r>
            <w:r w:rsidRPr="00215867">
              <w:rPr>
                <w:rFonts w:ascii="Times New Roman" w:hAnsi="Times New Roman"/>
                <w:sz w:val="20"/>
              </w:rPr>
              <w:t>e</w:t>
            </w:r>
            <w:r w:rsidR="001A19AA" w:rsidRPr="00215867">
              <w:rPr>
                <w:rFonts w:ascii="Times New Roman" w:hAnsi="Times New Roman"/>
                <w:sz w:val="20"/>
              </w:rPr>
              <w:t xml:space="preserve"> les engagements/obligations des fournisseurs en matière de travail des enfants, travail force et conditions générales de santé et sécurité à respecter</w:t>
            </w:r>
            <w:r w:rsidRPr="00215867">
              <w:rPr>
                <w:rFonts w:ascii="Times New Roman" w:hAnsi="Times New Roman"/>
                <w:sz w:val="20"/>
              </w:rPr>
              <w:t> </w:t>
            </w:r>
            <w:r w:rsidR="004C6B39" w:rsidRPr="00215867">
              <w:rPr>
                <w:rFonts w:ascii="Times New Roman" w:hAnsi="Times New Roman"/>
                <w:sz w:val="20"/>
              </w:rPr>
              <w:t>(voir annexe)</w:t>
            </w:r>
            <w:r w:rsidRPr="00215867">
              <w:rPr>
                <w:rFonts w:ascii="Times New Roman" w:hAnsi="Times New Roman"/>
                <w:sz w:val="20"/>
              </w:rPr>
              <w:t>;</w:t>
            </w:r>
          </w:p>
          <w:p w14:paraId="295DB506" w14:textId="000BFCD5" w:rsidR="002C5E13" w:rsidRPr="00215867" w:rsidRDefault="002C5E13" w:rsidP="00215867">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Interdire l’emploi des enfants, et des mineurs n’ayant pas atteint l’âge requis par la loi pour travailler (tout mineur de moins de 18 ans)</w:t>
            </w:r>
            <w:r w:rsidR="00254951" w:rsidRPr="00215867">
              <w:rPr>
                <w:rFonts w:ascii="Times New Roman" w:hAnsi="Times New Roman"/>
                <w:sz w:val="20"/>
              </w:rPr>
              <w:t> ;</w:t>
            </w:r>
          </w:p>
          <w:p w14:paraId="0C2B38E3" w14:textId="77777777" w:rsidR="002C5E13" w:rsidRPr="00215867" w:rsidRDefault="002C5E13" w:rsidP="00215867">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Interdire le recrutement et emploi des enfants dans le projet</w:t>
            </w:r>
          </w:p>
          <w:p w14:paraId="713208F8" w14:textId="77777777" w:rsidR="002C5E13" w:rsidRPr="00215867" w:rsidRDefault="002C5E13" w:rsidP="00215867">
            <w:pPr>
              <w:numPr>
                <w:ilvl w:val="0"/>
                <w:numId w:val="35"/>
              </w:numPr>
              <w:spacing w:after="0" w:line="276" w:lineRule="auto"/>
              <w:contextualSpacing/>
              <w:jc w:val="both"/>
              <w:rPr>
                <w:rFonts w:ascii="Times New Roman" w:hAnsi="Times New Roman"/>
                <w:sz w:val="20"/>
              </w:rPr>
            </w:pPr>
            <w:r w:rsidRPr="00215867">
              <w:rPr>
                <w:rFonts w:ascii="Times New Roman" w:hAnsi="Times New Roman"/>
                <w:sz w:val="20"/>
              </w:rPr>
              <w:t>Limiter les visites de courtoisie pendant les heures de service dans le site de travail.</w:t>
            </w:r>
          </w:p>
          <w:p w14:paraId="08B5F180" w14:textId="102FAC72" w:rsidR="002C5E13" w:rsidRPr="003448B0" w:rsidRDefault="002C5E13" w:rsidP="002C5E13">
            <w:pPr>
              <w:numPr>
                <w:ilvl w:val="0"/>
                <w:numId w:val="35"/>
              </w:numPr>
              <w:spacing w:after="0" w:line="276" w:lineRule="auto"/>
              <w:contextualSpacing/>
              <w:jc w:val="both"/>
              <w:rPr>
                <w:rFonts w:ascii="Times New Roman" w:eastAsia="Times New Roman" w:hAnsi="Times New Roman"/>
                <w:b/>
                <w:sz w:val="20"/>
                <w:szCs w:val="20"/>
                <w:lang w:eastAsia="fr-FR"/>
              </w:rPr>
            </w:pPr>
            <w:r w:rsidRPr="00215867">
              <w:rPr>
                <w:rFonts w:ascii="Times New Roman" w:hAnsi="Times New Roman"/>
                <w:sz w:val="20"/>
              </w:rPr>
              <w:t>Tout emploi des enfants de moins de 18 ans au chantier sera interdit et cette mesure devra être inclue dans le cahier de clauses environnementales et sociale de contrat des entrepreneurs, de leur sous-traitant et fournisseurs des matériaux et de services</w:t>
            </w:r>
          </w:p>
        </w:tc>
      </w:tr>
    </w:tbl>
    <w:p w14:paraId="5BCA2913" w14:textId="1E5F5713" w:rsidR="00ED17F3" w:rsidRPr="00D75D2E" w:rsidRDefault="00ED17F3" w:rsidP="00215867">
      <w:pPr>
        <w:pStyle w:val="Titre31"/>
        <w:numPr>
          <w:ilvl w:val="2"/>
          <w:numId w:val="54"/>
        </w:numPr>
        <w:tabs>
          <w:tab w:val="left" w:pos="993"/>
        </w:tabs>
        <w:spacing w:before="120" w:after="120" w:line="20" w:lineRule="atLeast"/>
        <w:ind w:left="709"/>
        <w:rPr>
          <w:rFonts w:eastAsia="Calibri"/>
          <w:u w:val="none"/>
        </w:rPr>
      </w:pPr>
      <w:bookmarkStart w:id="724" w:name="_Toc103685700"/>
      <w:r w:rsidRPr="00D75D2E">
        <w:rPr>
          <w:rFonts w:eastAsia="Calibri"/>
          <w:u w:val="none"/>
        </w:rPr>
        <w:t xml:space="preserve">Risques en phase d’exploitation </w:t>
      </w:r>
      <w:bookmarkEnd w:id="716"/>
      <w:r w:rsidRPr="00D75D2E">
        <w:rPr>
          <w:rFonts w:eastAsia="Calibri"/>
          <w:u w:val="none"/>
        </w:rPr>
        <w:t>des installations des lignes et cabines</w:t>
      </w:r>
      <w:bookmarkEnd w:id="717"/>
      <w:bookmarkEnd w:id="718"/>
      <w:bookmarkEnd w:id="719"/>
      <w:bookmarkEnd w:id="724"/>
    </w:p>
    <w:p w14:paraId="7596A813" w14:textId="25C85E04" w:rsidR="00ED17F3" w:rsidRPr="00D75D2E" w:rsidRDefault="00ED17F3" w:rsidP="008C79F0">
      <w:pPr>
        <w:pStyle w:val="Titre4"/>
        <w:keepLines w:val="0"/>
        <w:numPr>
          <w:ilvl w:val="0"/>
          <w:numId w:val="38"/>
        </w:numPr>
        <w:tabs>
          <w:tab w:val="left" w:pos="720"/>
        </w:tabs>
        <w:spacing w:before="120" w:after="120" w:line="240" w:lineRule="auto"/>
        <w:ind w:left="714" w:hanging="357"/>
        <w:jc w:val="both"/>
        <w:rPr>
          <w:color w:val="auto"/>
          <w:szCs w:val="24"/>
          <w:u w:val="single"/>
        </w:rPr>
      </w:pPr>
      <w:bookmarkStart w:id="725" w:name="_Toc103685701"/>
      <w:r w:rsidRPr="00D75D2E">
        <w:rPr>
          <w:color w:val="auto"/>
          <w:szCs w:val="24"/>
          <w:u w:val="single"/>
        </w:rPr>
        <w:t xml:space="preserve">Risques d’incendie et </w:t>
      </w:r>
      <w:r w:rsidR="00DB7E1F" w:rsidRPr="00D75D2E">
        <w:rPr>
          <w:color w:val="auto"/>
          <w:szCs w:val="24"/>
          <w:u w:val="single"/>
        </w:rPr>
        <w:t>d’</w:t>
      </w:r>
      <w:r w:rsidR="00DB7E1F">
        <w:rPr>
          <w:color w:val="auto"/>
          <w:szCs w:val="24"/>
          <w:u w:val="single"/>
        </w:rPr>
        <w:t>explosion</w:t>
      </w:r>
      <w:bookmarkEnd w:id="725"/>
      <w:r w:rsidR="00DB7E1F">
        <w:rPr>
          <w:color w:val="auto"/>
          <w:szCs w:val="24"/>
          <w:u w:val="single"/>
        </w:rPr>
        <w:t xml:space="preserve"> </w:t>
      </w:r>
      <w:r w:rsidR="00DB7E1F" w:rsidRPr="00D75D2E">
        <w:rPr>
          <w:color w:val="auto"/>
          <w:szCs w:val="24"/>
          <w:u w:val="single"/>
        </w:rPr>
        <w:t xml:space="preserve">  </w:t>
      </w:r>
    </w:p>
    <w:p w14:paraId="2FBAC981" w14:textId="12CB7974" w:rsidR="00ED17F3" w:rsidRPr="00E737B4" w:rsidRDefault="00ED17F3" w:rsidP="00ED17F3">
      <w:pPr>
        <w:spacing w:after="0" w:line="240" w:lineRule="auto"/>
        <w:jc w:val="both"/>
        <w:rPr>
          <w:rFonts w:ascii="Times New Roman" w:eastAsia="Times New Roman" w:hAnsi="Times New Roman"/>
          <w:sz w:val="24"/>
          <w:lang w:eastAsia="fr-FR"/>
        </w:rPr>
      </w:pPr>
      <w:r w:rsidRPr="00E737B4">
        <w:rPr>
          <w:rFonts w:ascii="Times New Roman" w:eastAsia="Times New Roman" w:hAnsi="Times New Roman"/>
          <w:sz w:val="24"/>
          <w:lang w:eastAsia="fr-FR"/>
        </w:rPr>
        <w:t xml:space="preserve">C’est un risque grave de brûlure ou de blessure de personnes consécutives à un incendie ou </w:t>
      </w:r>
      <w:r w:rsidR="00953590">
        <w:rPr>
          <w:rFonts w:ascii="Times New Roman" w:eastAsia="Times New Roman" w:hAnsi="Times New Roman"/>
          <w:sz w:val="24"/>
          <w:lang w:eastAsia="fr-FR"/>
        </w:rPr>
        <w:t xml:space="preserve">un </w:t>
      </w:r>
      <w:r w:rsidR="00953590">
        <w:rPr>
          <w:rFonts w:ascii="Georgia" w:hAnsi="Georgia"/>
          <w:color w:val="666666"/>
          <w:shd w:val="clear" w:color="auto" w:fill="FFFFFF"/>
        </w:rPr>
        <w:t>risque d’électrisation</w:t>
      </w:r>
      <w:r w:rsidRPr="00E737B4">
        <w:rPr>
          <w:rFonts w:ascii="Times New Roman" w:eastAsia="Times New Roman" w:hAnsi="Times New Roman"/>
          <w:sz w:val="24"/>
          <w:lang w:eastAsia="fr-FR"/>
        </w:rPr>
        <w:t xml:space="preserve">. Ils peuvent entrainer des dégâts matériels et corporels (pour le personnel lors des </w:t>
      </w:r>
      <w:r w:rsidRPr="00E737B4">
        <w:rPr>
          <w:rFonts w:ascii="Times New Roman" w:hAnsi="Times New Roman"/>
          <w:sz w:val="24"/>
        </w:rPr>
        <w:t xml:space="preserve">activités d’entretien et de maintenance du réseau) </w:t>
      </w:r>
      <w:r w:rsidRPr="00E737B4">
        <w:rPr>
          <w:rFonts w:ascii="Times New Roman" w:eastAsia="Times New Roman" w:hAnsi="Times New Roman"/>
          <w:sz w:val="24"/>
          <w:lang w:eastAsia="fr-FR"/>
        </w:rPr>
        <w:t xml:space="preserve">ou même pour les populations bénéficiaires. </w:t>
      </w:r>
    </w:p>
    <w:p w14:paraId="2BD12338" w14:textId="77777777" w:rsidR="00ED17F3" w:rsidRPr="00D75D2E" w:rsidRDefault="00ED17F3" w:rsidP="00ED17F3">
      <w:pPr>
        <w:spacing w:after="0" w:line="240" w:lineRule="auto"/>
        <w:jc w:val="both"/>
        <w:rPr>
          <w:rFonts w:ascii="Times New Roman" w:eastAsia="Times New Roman" w:hAnsi="Times New Roman"/>
          <w:lang w:eastAsia="fr-FR"/>
        </w:rPr>
      </w:pP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9"/>
        <w:gridCol w:w="4224"/>
        <w:gridCol w:w="1418"/>
      </w:tblGrid>
      <w:tr w:rsidR="00D75D2E" w:rsidRPr="00420C1B" w14:paraId="7FB4E133" w14:textId="77777777" w:rsidTr="00215867">
        <w:trPr>
          <w:trHeight w:val="1169"/>
        </w:trPr>
        <w:tc>
          <w:tcPr>
            <w:tcW w:w="3289" w:type="dxa"/>
            <w:vMerge w:val="restart"/>
          </w:tcPr>
          <w:p w14:paraId="1140EE84" w14:textId="77777777" w:rsidR="00ED17F3" w:rsidRPr="00FF2755" w:rsidRDefault="00ED17F3" w:rsidP="007108ED">
            <w:pPr>
              <w:spacing w:after="0" w:line="240" w:lineRule="auto"/>
              <w:rPr>
                <w:rFonts w:ascii="Times New Roman" w:eastAsia="Times New Roman" w:hAnsi="Times New Roman"/>
                <w:sz w:val="20"/>
                <w:lang w:eastAsia="fr-FR"/>
              </w:rPr>
            </w:pPr>
            <w:r w:rsidRPr="000300AA">
              <w:rPr>
                <w:rFonts w:ascii="Times New Roman" w:eastAsia="Times New Roman" w:hAnsi="Times New Roman"/>
                <w:b/>
                <w:sz w:val="20"/>
                <w:lang w:eastAsia="fr-FR"/>
              </w:rPr>
              <w:t>Dangers et /ou situations dangereuses</w:t>
            </w:r>
          </w:p>
          <w:p w14:paraId="030B0943" w14:textId="77777777" w:rsidR="00ED17F3" w:rsidRPr="00FF2755" w:rsidRDefault="00ED17F3" w:rsidP="008C79F0">
            <w:pPr>
              <w:numPr>
                <w:ilvl w:val="0"/>
                <w:numId w:val="36"/>
              </w:numPr>
              <w:spacing w:after="0" w:line="240" w:lineRule="auto"/>
              <w:rPr>
                <w:rFonts w:ascii="Times New Roman" w:eastAsia="Times New Roman" w:hAnsi="Times New Roman"/>
                <w:sz w:val="20"/>
                <w:lang w:eastAsia="fr-FR"/>
              </w:rPr>
            </w:pPr>
            <w:r w:rsidRPr="00FF2755">
              <w:rPr>
                <w:rFonts w:ascii="Times New Roman" w:eastAsia="Times New Roman" w:hAnsi="Times New Roman"/>
                <w:sz w:val="20"/>
                <w:lang w:eastAsia="fr-FR"/>
              </w:rPr>
              <w:t xml:space="preserve">Méconnaissance des risques liés à l’électricité ; </w:t>
            </w:r>
          </w:p>
          <w:p w14:paraId="596EF182" w14:textId="77777777" w:rsidR="00ED17F3" w:rsidRPr="002E6723" w:rsidRDefault="00ED17F3" w:rsidP="008C79F0">
            <w:pPr>
              <w:numPr>
                <w:ilvl w:val="0"/>
                <w:numId w:val="36"/>
              </w:numPr>
              <w:spacing w:after="0" w:line="240" w:lineRule="auto"/>
              <w:rPr>
                <w:rFonts w:ascii="Times New Roman" w:eastAsia="Times New Roman" w:hAnsi="Times New Roman"/>
                <w:sz w:val="20"/>
                <w:lang w:eastAsia="fr-FR"/>
              </w:rPr>
            </w:pPr>
            <w:r w:rsidRPr="00583FB0">
              <w:rPr>
                <w:rFonts w:ascii="Times New Roman" w:eastAsia="Times New Roman" w:hAnsi="Times New Roman"/>
                <w:sz w:val="20"/>
                <w:lang w:eastAsia="fr-FR"/>
              </w:rPr>
              <w:t>Explosion d’une cabine ;</w:t>
            </w:r>
          </w:p>
          <w:p w14:paraId="1033DB7A" w14:textId="77777777" w:rsidR="00ED17F3" w:rsidRPr="00882BB9" w:rsidRDefault="00ED17F3" w:rsidP="008C79F0">
            <w:pPr>
              <w:numPr>
                <w:ilvl w:val="0"/>
                <w:numId w:val="36"/>
              </w:numPr>
              <w:spacing w:after="0" w:line="240" w:lineRule="auto"/>
              <w:rPr>
                <w:rFonts w:ascii="Times New Roman" w:eastAsia="Times New Roman" w:hAnsi="Times New Roman"/>
                <w:sz w:val="20"/>
                <w:lang w:eastAsia="fr-FR"/>
              </w:rPr>
            </w:pPr>
            <w:r w:rsidRPr="00882BB9">
              <w:rPr>
                <w:rFonts w:ascii="Times New Roman" w:eastAsia="Times New Roman" w:hAnsi="Times New Roman"/>
                <w:sz w:val="20"/>
                <w:lang w:eastAsia="fr-FR"/>
              </w:rPr>
              <w:t>Branchements illégaux ;</w:t>
            </w:r>
          </w:p>
          <w:p w14:paraId="30779A3C" w14:textId="77777777" w:rsidR="00ED17F3" w:rsidRPr="004E35F0" w:rsidRDefault="00ED17F3" w:rsidP="008C79F0">
            <w:pPr>
              <w:numPr>
                <w:ilvl w:val="0"/>
                <w:numId w:val="36"/>
              </w:numPr>
              <w:spacing w:after="0" w:line="240" w:lineRule="auto"/>
              <w:rPr>
                <w:rFonts w:ascii="Times New Roman" w:eastAsia="Times New Roman" w:hAnsi="Times New Roman"/>
                <w:sz w:val="20"/>
                <w:lang w:eastAsia="fr-FR"/>
              </w:rPr>
            </w:pPr>
            <w:r w:rsidRPr="00FA4B4B">
              <w:rPr>
                <w:rFonts w:ascii="Times New Roman" w:eastAsia="Times New Roman" w:hAnsi="Times New Roman"/>
                <w:sz w:val="20"/>
                <w:lang w:eastAsia="fr-FR"/>
              </w:rPr>
              <w:t xml:space="preserve">Usage des </w:t>
            </w:r>
            <w:r w:rsidRPr="00FA4B4B">
              <w:rPr>
                <w:rFonts w:ascii="Times New Roman" w:hAnsi="Times New Roman"/>
                <w:sz w:val="20"/>
              </w:rPr>
              <w:t>équipements non conformes</w:t>
            </w:r>
          </w:p>
        </w:tc>
        <w:tc>
          <w:tcPr>
            <w:tcW w:w="5642" w:type="dxa"/>
            <w:gridSpan w:val="2"/>
          </w:tcPr>
          <w:p w14:paraId="7764AB23" w14:textId="2CA4B861" w:rsidR="00ED17F3" w:rsidRPr="00997893" w:rsidRDefault="00ED17F3" w:rsidP="007108ED">
            <w:pPr>
              <w:spacing w:after="0" w:line="240" w:lineRule="auto"/>
              <w:rPr>
                <w:rFonts w:ascii="Times New Roman" w:eastAsia="Times New Roman" w:hAnsi="Times New Roman"/>
                <w:b/>
                <w:sz w:val="20"/>
                <w:lang w:eastAsia="fr-FR"/>
              </w:rPr>
            </w:pPr>
            <w:r w:rsidRPr="00997893">
              <w:rPr>
                <w:rFonts w:ascii="Times New Roman" w:eastAsia="Times New Roman" w:hAnsi="Times New Roman"/>
                <w:b/>
                <w:sz w:val="20"/>
                <w:lang w:eastAsia="fr-FR"/>
              </w:rPr>
              <w:t>Evaluation qualitative du risque :</w:t>
            </w:r>
          </w:p>
          <w:p w14:paraId="6C065885" w14:textId="77777777" w:rsidR="00ED17F3" w:rsidRPr="003F350A" w:rsidRDefault="00ED17F3" w:rsidP="007108ED">
            <w:pPr>
              <w:spacing w:after="0" w:line="240" w:lineRule="auto"/>
              <w:jc w:val="both"/>
              <w:rPr>
                <w:rFonts w:ascii="Times New Roman" w:eastAsia="Times New Roman" w:hAnsi="Times New Roman"/>
                <w:sz w:val="20"/>
                <w:lang w:eastAsia="fr-FR"/>
              </w:rPr>
            </w:pPr>
            <w:r w:rsidRPr="00997893">
              <w:rPr>
                <w:rFonts w:ascii="Times New Roman" w:eastAsia="Times New Roman" w:hAnsi="Times New Roman"/>
                <w:sz w:val="20"/>
                <w:lang w:eastAsia="fr-FR"/>
              </w:rPr>
              <w:t>Ces situations dangereuses peuvent bien ê</w:t>
            </w:r>
            <w:r w:rsidRPr="004018EA">
              <w:rPr>
                <w:rFonts w:ascii="Times New Roman" w:eastAsia="Times New Roman" w:hAnsi="Times New Roman"/>
                <w:sz w:val="20"/>
                <w:lang w:eastAsia="fr-FR"/>
              </w:rPr>
              <w:t>tre rencontrées dans la zone de travail et chez les</w:t>
            </w:r>
            <w:r w:rsidRPr="004018EA">
              <w:rPr>
                <w:sz w:val="20"/>
              </w:rPr>
              <w:t xml:space="preserve"> </w:t>
            </w:r>
            <w:r w:rsidRPr="003F350A">
              <w:rPr>
                <w:rFonts w:ascii="Times New Roman" w:eastAsia="Times New Roman" w:hAnsi="Times New Roman"/>
                <w:sz w:val="20"/>
                <w:lang w:eastAsia="fr-FR"/>
              </w:rPr>
              <w:t>nouveaux abonnés ;</w:t>
            </w:r>
          </w:p>
          <w:p w14:paraId="4A7EDB6E" w14:textId="77777777" w:rsidR="00ED17F3" w:rsidRPr="003F350A" w:rsidRDefault="00ED17F3" w:rsidP="007108ED">
            <w:pPr>
              <w:spacing w:after="0" w:line="240" w:lineRule="auto"/>
              <w:jc w:val="both"/>
              <w:rPr>
                <w:rFonts w:ascii="Times New Roman" w:eastAsia="Times New Roman" w:hAnsi="Times New Roman"/>
                <w:sz w:val="20"/>
                <w:lang w:eastAsia="fr-FR"/>
              </w:rPr>
            </w:pPr>
            <w:r w:rsidRPr="003F350A">
              <w:rPr>
                <w:rFonts w:ascii="Times New Roman" w:eastAsia="Times New Roman" w:hAnsi="Times New Roman"/>
                <w:sz w:val="20"/>
                <w:lang w:eastAsia="fr-FR"/>
              </w:rPr>
              <w:t>En effet, la méconnaissance des risques liés à l’électricité peut entraîner des électrocutions des utilisateurs non avertis et le non-respect des consignes de sécurité peut engendrer ce phénomène chez les travailleurs lors des entretiens des lignes</w:t>
            </w:r>
          </w:p>
        </w:tc>
      </w:tr>
      <w:tr w:rsidR="00D75D2E" w:rsidRPr="00420C1B" w14:paraId="01960723" w14:textId="77777777" w:rsidTr="00215867">
        <w:trPr>
          <w:trHeight w:val="169"/>
        </w:trPr>
        <w:tc>
          <w:tcPr>
            <w:tcW w:w="3289" w:type="dxa"/>
            <w:vMerge/>
          </w:tcPr>
          <w:p w14:paraId="5930645A" w14:textId="77777777" w:rsidR="00ED17F3" w:rsidRPr="006C5F48" w:rsidRDefault="00ED17F3" w:rsidP="007108ED">
            <w:pPr>
              <w:spacing w:after="0" w:line="240" w:lineRule="auto"/>
              <w:rPr>
                <w:rFonts w:ascii="Times New Roman" w:eastAsia="Times New Roman" w:hAnsi="Times New Roman"/>
                <w:b/>
                <w:sz w:val="20"/>
                <w:lang w:eastAsia="fr-FR"/>
              </w:rPr>
            </w:pPr>
          </w:p>
        </w:tc>
        <w:tc>
          <w:tcPr>
            <w:tcW w:w="4224" w:type="dxa"/>
          </w:tcPr>
          <w:p w14:paraId="3086B03B" w14:textId="77777777" w:rsidR="00ED17F3" w:rsidRPr="006C5F48" w:rsidRDefault="00ED17F3" w:rsidP="007108ED">
            <w:pPr>
              <w:spacing w:after="0" w:line="240" w:lineRule="auto"/>
              <w:rPr>
                <w:rFonts w:ascii="Times New Roman" w:eastAsia="Times New Roman" w:hAnsi="Times New Roman"/>
                <w:sz w:val="20"/>
                <w:lang w:eastAsia="fr-FR"/>
              </w:rPr>
            </w:pPr>
            <w:r w:rsidRPr="006C5F48">
              <w:rPr>
                <w:rFonts w:ascii="Times New Roman" w:eastAsia="Times New Roman" w:hAnsi="Times New Roman"/>
                <w:b/>
                <w:sz w:val="20"/>
                <w:lang w:eastAsia="fr-FR"/>
              </w:rPr>
              <w:t>Probabilité :</w:t>
            </w:r>
            <w:r w:rsidRPr="006C5F48">
              <w:rPr>
                <w:rFonts w:ascii="Times New Roman" w:eastAsia="Times New Roman" w:hAnsi="Times New Roman"/>
                <w:sz w:val="20"/>
                <w:lang w:eastAsia="fr-FR"/>
              </w:rPr>
              <w:t xml:space="preserve"> événement probable</w:t>
            </w:r>
          </w:p>
        </w:tc>
        <w:tc>
          <w:tcPr>
            <w:tcW w:w="1418" w:type="dxa"/>
          </w:tcPr>
          <w:p w14:paraId="3A23919D" w14:textId="77777777" w:rsidR="00ED17F3" w:rsidRPr="006C5F48" w:rsidRDefault="00ED17F3" w:rsidP="007108ED">
            <w:pPr>
              <w:spacing w:after="0" w:line="240" w:lineRule="auto"/>
              <w:jc w:val="center"/>
              <w:rPr>
                <w:rFonts w:ascii="Times New Roman" w:eastAsia="Times New Roman" w:hAnsi="Times New Roman"/>
                <w:b/>
                <w:sz w:val="20"/>
                <w:lang w:eastAsia="fr-FR"/>
              </w:rPr>
            </w:pPr>
            <w:r w:rsidRPr="006C5F48">
              <w:rPr>
                <w:rFonts w:ascii="Times New Roman" w:eastAsia="Times New Roman" w:hAnsi="Times New Roman"/>
                <w:b/>
                <w:sz w:val="20"/>
                <w:lang w:eastAsia="fr-FR"/>
              </w:rPr>
              <w:t>P3</w:t>
            </w:r>
          </w:p>
        </w:tc>
      </w:tr>
      <w:tr w:rsidR="00D75D2E" w:rsidRPr="00420C1B" w14:paraId="249C9752" w14:textId="77777777" w:rsidTr="00215867">
        <w:trPr>
          <w:trHeight w:val="239"/>
        </w:trPr>
        <w:tc>
          <w:tcPr>
            <w:tcW w:w="3289" w:type="dxa"/>
            <w:vMerge/>
          </w:tcPr>
          <w:p w14:paraId="739C67AF" w14:textId="77777777" w:rsidR="00ED17F3" w:rsidRPr="006C5F48" w:rsidRDefault="00ED17F3" w:rsidP="007108ED">
            <w:pPr>
              <w:spacing w:after="0" w:line="240" w:lineRule="auto"/>
              <w:rPr>
                <w:rFonts w:ascii="Times New Roman" w:eastAsia="Times New Roman" w:hAnsi="Times New Roman"/>
                <w:b/>
                <w:sz w:val="20"/>
                <w:lang w:eastAsia="fr-FR"/>
              </w:rPr>
            </w:pPr>
          </w:p>
        </w:tc>
        <w:tc>
          <w:tcPr>
            <w:tcW w:w="4224" w:type="dxa"/>
          </w:tcPr>
          <w:p w14:paraId="52429797" w14:textId="77777777" w:rsidR="00ED17F3" w:rsidRPr="006C5F48" w:rsidRDefault="00ED17F3" w:rsidP="007108ED">
            <w:pPr>
              <w:spacing w:after="0" w:line="240" w:lineRule="auto"/>
              <w:rPr>
                <w:rFonts w:ascii="Times New Roman" w:eastAsia="Times New Roman" w:hAnsi="Times New Roman"/>
                <w:sz w:val="20"/>
                <w:lang w:eastAsia="fr-FR"/>
              </w:rPr>
            </w:pPr>
            <w:r w:rsidRPr="006C5F48">
              <w:rPr>
                <w:rFonts w:ascii="Times New Roman" w:eastAsia="Times New Roman" w:hAnsi="Times New Roman"/>
                <w:b/>
                <w:sz w:val="20"/>
                <w:lang w:eastAsia="fr-FR"/>
              </w:rPr>
              <w:t xml:space="preserve">Gravité : </w:t>
            </w:r>
            <w:r w:rsidRPr="006C5F48">
              <w:rPr>
                <w:rFonts w:ascii="Times New Roman" w:eastAsia="Times New Roman" w:hAnsi="Times New Roman"/>
                <w:sz w:val="20"/>
                <w:lang w:eastAsia="fr-FR"/>
              </w:rPr>
              <w:t>maladie ou accident mortel</w:t>
            </w:r>
          </w:p>
        </w:tc>
        <w:tc>
          <w:tcPr>
            <w:tcW w:w="1418" w:type="dxa"/>
            <w:tcBorders>
              <w:bottom w:val="single" w:sz="4" w:space="0" w:color="000000"/>
            </w:tcBorders>
          </w:tcPr>
          <w:p w14:paraId="5FBE5A57" w14:textId="77777777" w:rsidR="00ED17F3" w:rsidRPr="006C5F48" w:rsidRDefault="00ED17F3" w:rsidP="007108ED">
            <w:pPr>
              <w:spacing w:after="0" w:line="240" w:lineRule="auto"/>
              <w:jc w:val="center"/>
              <w:rPr>
                <w:rFonts w:ascii="Times New Roman" w:eastAsia="Times New Roman" w:hAnsi="Times New Roman"/>
                <w:b/>
                <w:sz w:val="20"/>
                <w:lang w:eastAsia="fr-FR"/>
              </w:rPr>
            </w:pPr>
            <w:r w:rsidRPr="006C5F48">
              <w:rPr>
                <w:rFonts w:ascii="Times New Roman" w:eastAsia="Times New Roman" w:hAnsi="Times New Roman"/>
                <w:b/>
                <w:sz w:val="20"/>
                <w:lang w:eastAsia="fr-FR"/>
              </w:rPr>
              <w:t>G4</w:t>
            </w:r>
          </w:p>
        </w:tc>
      </w:tr>
      <w:tr w:rsidR="00D75D2E" w:rsidRPr="00420C1B" w14:paraId="414036FE" w14:textId="77777777" w:rsidTr="00215867">
        <w:trPr>
          <w:trHeight w:val="65"/>
        </w:trPr>
        <w:tc>
          <w:tcPr>
            <w:tcW w:w="3289" w:type="dxa"/>
            <w:vMerge/>
          </w:tcPr>
          <w:p w14:paraId="2665E4DB" w14:textId="77777777" w:rsidR="00ED17F3" w:rsidRPr="006C5F48" w:rsidRDefault="00ED17F3" w:rsidP="007108ED">
            <w:pPr>
              <w:spacing w:after="0" w:line="240" w:lineRule="auto"/>
              <w:rPr>
                <w:rFonts w:ascii="Times New Roman" w:eastAsia="Times New Roman" w:hAnsi="Times New Roman"/>
                <w:b/>
                <w:sz w:val="20"/>
                <w:lang w:eastAsia="fr-FR"/>
              </w:rPr>
            </w:pPr>
          </w:p>
        </w:tc>
        <w:tc>
          <w:tcPr>
            <w:tcW w:w="4224" w:type="dxa"/>
          </w:tcPr>
          <w:p w14:paraId="2E0964A6" w14:textId="77777777" w:rsidR="00ED17F3" w:rsidRPr="006C5F48" w:rsidRDefault="00ED17F3" w:rsidP="007108ED">
            <w:pPr>
              <w:spacing w:after="0" w:line="240" w:lineRule="auto"/>
              <w:rPr>
                <w:rFonts w:ascii="Times New Roman" w:eastAsia="Times New Roman" w:hAnsi="Times New Roman"/>
                <w:b/>
                <w:sz w:val="20"/>
                <w:lang w:eastAsia="fr-FR"/>
              </w:rPr>
            </w:pPr>
            <w:r w:rsidRPr="006C5F48">
              <w:rPr>
                <w:rFonts w:ascii="Times New Roman" w:eastAsia="Times New Roman" w:hAnsi="Times New Roman"/>
                <w:b/>
                <w:sz w:val="20"/>
                <w:lang w:eastAsia="fr-FR"/>
              </w:rPr>
              <w:t>Niveau de risque</w:t>
            </w:r>
          </w:p>
        </w:tc>
        <w:tc>
          <w:tcPr>
            <w:tcW w:w="1418" w:type="dxa"/>
            <w:shd w:val="clear" w:color="auto" w:fill="FF0000"/>
          </w:tcPr>
          <w:p w14:paraId="39670BE6" w14:textId="77777777" w:rsidR="00ED17F3" w:rsidRPr="006C5F48" w:rsidRDefault="00ED17F3" w:rsidP="007108ED">
            <w:pPr>
              <w:spacing w:after="0" w:line="240" w:lineRule="auto"/>
              <w:jc w:val="center"/>
              <w:rPr>
                <w:rFonts w:ascii="Times New Roman" w:eastAsia="Times New Roman" w:hAnsi="Times New Roman"/>
                <w:b/>
                <w:sz w:val="20"/>
                <w:lang w:eastAsia="fr-FR"/>
              </w:rPr>
            </w:pPr>
            <w:r w:rsidRPr="006C5F48">
              <w:rPr>
                <w:rFonts w:ascii="Times New Roman" w:eastAsia="Times New Roman" w:hAnsi="Times New Roman"/>
                <w:b/>
                <w:sz w:val="20"/>
                <w:lang w:eastAsia="fr-FR"/>
              </w:rPr>
              <w:t>1</w:t>
            </w:r>
          </w:p>
        </w:tc>
      </w:tr>
      <w:tr w:rsidR="00D75D2E" w:rsidRPr="00420C1B" w14:paraId="79CB043D" w14:textId="77777777" w:rsidTr="002158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25"/>
        </w:trPr>
        <w:tc>
          <w:tcPr>
            <w:tcW w:w="8931" w:type="dxa"/>
            <w:gridSpan w:val="3"/>
          </w:tcPr>
          <w:p w14:paraId="578A9034" w14:textId="77777777" w:rsidR="00ED17F3" w:rsidRPr="00E24362" w:rsidRDefault="00ED17F3" w:rsidP="007108ED">
            <w:pPr>
              <w:spacing w:after="0" w:line="240" w:lineRule="auto"/>
              <w:jc w:val="center"/>
              <w:rPr>
                <w:rFonts w:ascii="Times New Roman" w:eastAsia="Times New Roman" w:hAnsi="Times New Roman"/>
                <w:sz w:val="20"/>
                <w:lang w:eastAsia="fr-FR"/>
              </w:rPr>
            </w:pPr>
            <w:r w:rsidRPr="00E24362">
              <w:rPr>
                <w:rFonts w:ascii="Times New Roman" w:eastAsia="Times New Roman" w:hAnsi="Times New Roman"/>
                <w:b/>
                <w:sz w:val="20"/>
                <w:lang w:eastAsia="fr-FR"/>
              </w:rPr>
              <w:t>Mesures de prévention et de protection</w:t>
            </w:r>
          </w:p>
        </w:tc>
      </w:tr>
      <w:tr w:rsidR="00D75D2E" w:rsidRPr="00420C1B" w14:paraId="7856ADD9" w14:textId="77777777" w:rsidTr="00215867">
        <w:trPr>
          <w:trHeight w:val="246"/>
        </w:trPr>
        <w:tc>
          <w:tcPr>
            <w:tcW w:w="8931" w:type="dxa"/>
            <w:gridSpan w:val="3"/>
          </w:tcPr>
          <w:p w14:paraId="7C6E80D5" w14:textId="77777777" w:rsidR="00ED17F3" w:rsidRPr="00057AB5" w:rsidRDefault="00ED17F3" w:rsidP="008C79F0">
            <w:pPr>
              <w:numPr>
                <w:ilvl w:val="0"/>
                <w:numId w:val="36"/>
              </w:numPr>
              <w:spacing w:after="0" w:line="240" w:lineRule="auto"/>
              <w:jc w:val="both"/>
              <w:rPr>
                <w:rFonts w:ascii="Times New Roman" w:eastAsia="Times New Roman" w:hAnsi="Times New Roman"/>
                <w:sz w:val="20"/>
                <w:lang w:eastAsia="fr-FR"/>
              </w:rPr>
            </w:pPr>
            <w:r w:rsidRPr="00E24362">
              <w:rPr>
                <w:rFonts w:ascii="Times New Roman" w:eastAsia="Times New Roman" w:hAnsi="Times New Roman"/>
                <w:sz w:val="20"/>
                <w:lang w:eastAsia="fr-FR"/>
              </w:rPr>
              <w:t xml:space="preserve">Sensibiliser la population face aux risques d’électrocution liée à une mauvaise utilisation ou à de mauvais branchements domestiques ; </w:t>
            </w:r>
          </w:p>
          <w:p w14:paraId="36516224" w14:textId="77777777" w:rsidR="00ED17F3" w:rsidRPr="00C61D9D" w:rsidRDefault="00ED17F3" w:rsidP="008C79F0">
            <w:pPr>
              <w:numPr>
                <w:ilvl w:val="0"/>
                <w:numId w:val="36"/>
              </w:numPr>
              <w:spacing w:after="0" w:line="240" w:lineRule="auto"/>
              <w:jc w:val="both"/>
              <w:rPr>
                <w:rFonts w:ascii="Times New Roman" w:eastAsia="Times New Roman" w:hAnsi="Times New Roman"/>
                <w:sz w:val="20"/>
                <w:lang w:eastAsia="fr-FR"/>
              </w:rPr>
            </w:pPr>
            <w:r w:rsidRPr="00C511D0">
              <w:rPr>
                <w:rFonts w:ascii="Times New Roman" w:eastAsia="Times New Roman" w:hAnsi="Times New Roman"/>
                <w:sz w:val="20"/>
                <w:lang w:eastAsia="fr-FR"/>
              </w:rPr>
              <w:t xml:space="preserve">Elaborer et distribuer des manuels de sensibilisation sur les bonnes pratiques de l’utilisation du courant électrique </w:t>
            </w:r>
            <w:r w:rsidRPr="00C61D9D">
              <w:rPr>
                <w:rFonts w:ascii="Times New Roman" w:eastAsia="Times New Roman" w:hAnsi="Times New Roman"/>
                <w:sz w:val="20"/>
                <w:lang w:eastAsia="fr-FR"/>
              </w:rPr>
              <w:t>;</w:t>
            </w:r>
          </w:p>
          <w:p w14:paraId="6B2ED52B" w14:textId="46422A1B" w:rsidR="00ED17F3" w:rsidRPr="00191C8E" w:rsidRDefault="00ED17F3" w:rsidP="008C79F0">
            <w:pPr>
              <w:numPr>
                <w:ilvl w:val="0"/>
                <w:numId w:val="36"/>
              </w:numPr>
              <w:spacing w:after="0" w:line="240" w:lineRule="auto"/>
              <w:jc w:val="both"/>
              <w:rPr>
                <w:rFonts w:ascii="Times New Roman" w:eastAsia="Times New Roman" w:hAnsi="Times New Roman"/>
                <w:sz w:val="20"/>
                <w:lang w:eastAsia="fr-FR"/>
              </w:rPr>
            </w:pPr>
            <w:r w:rsidRPr="00C61D9D">
              <w:rPr>
                <w:rFonts w:ascii="Times New Roman" w:eastAsia="Times New Roman" w:hAnsi="Times New Roman"/>
                <w:sz w:val="20"/>
                <w:lang w:eastAsia="fr-FR"/>
              </w:rPr>
              <w:t>Exiger le port des EPI adapter lors des travaux d’entretien et de maintenance du réseau électrique ;</w:t>
            </w:r>
          </w:p>
          <w:p w14:paraId="320DD696" w14:textId="77777777" w:rsidR="00990D81" w:rsidRPr="008B2A8E" w:rsidRDefault="00ED17F3" w:rsidP="008C79F0">
            <w:pPr>
              <w:numPr>
                <w:ilvl w:val="0"/>
                <w:numId w:val="36"/>
              </w:numPr>
              <w:spacing w:after="0" w:line="240" w:lineRule="auto"/>
              <w:jc w:val="both"/>
              <w:rPr>
                <w:rFonts w:ascii="Times New Roman" w:eastAsia="Times New Roman" w:hAnsi="Times New Roman"/>
                <w:sz w:val="20"/>
                <w:lang w:eastAsia="fr-FR"/>
              </w:rPr>
            </w:pPr>
            <w:r w:rsidRPr="006C6A48">
              <w:rPr>
                <w:rFonts w:ascii="Times New Roman" w:eastAsia="Times New Roman" w:hAnsi="Times New Roman"/>
                <w:sz w:val="20"/>
                <w:lang w:eastAsia="fr-FR"/>
              </w:rPr>
              <w:t>Former le personnel et l’entraîner en extinction incendie</w:t>
            </w:r>
            <w:r w:rsidR="00990D81" w:rsidRPr="008B2A8E">
              <w:rPr>
                <w:rFonts w:ascii="Times New Roman" w:eastAsia="Times New Roman" w:hAnsi="Times New Roman"/>
                <w:sz w:val="20"/>
                <w:lang w:eastAsia="fr-FR"/>
              </w:rPr>
              <w:t> ;</w:t>
            </w:r>
          </w:p>
          <w:p w14:paraId="08891A21" w14:textId="73562D3A" w:rsidR="00990D81" w:rsidRPr="00215867" w:rsidRDefault="00E24362" w:rsidP="00990D81">
            <w:pPr>
              <w:numPr>
                <w:ilvl w:val="0"/>
                <w:numId w:val="36"/>
              </w:numPr>
              <w:spacing w:after="0" w:line="240" w:lineRule="auto"/>
              <w:jc w:val="both"/>
              <w:rPr>
                <w:rFonts w:ascii="Times New Roman" w:eastAsia="Times New Roman" w:hAnsi="Times New Roman"/>
                <w:sz w:val="20"/>
                <w:lang w:eastAsia="fr-FR"/>
              </w:rPr>
            </w:pPr>
            <w:r w:rsidRPr="00BB72DB">
              <w:rPr>
                <w:rFonts w:ascii="Times New Roman" w:eastAsia="Times New Roman" w:hAnsi="Times New Roman"/>
                <w:sz w:val="20"/>
                <w:lang w:eastAsia="fr-FR"/>
              </w:rPr>
              <w:t>P</w:t>
            </w:r>
            <w:r w:rsidR="00990D81" w:rsidRPr="00527780">
              <w:rPr>
                <w:rFonts w:ascii="Times New Roman" w:eastAsia="Times New Roman" w:hAnsi="Times New Roman"/>
                <w:sz w:val="20"/>
                <w:lang w:eastAsia="fr-FR"/>
              </w:rPr>
              <w:t>réserver la sécurité des personnes et prévenir les incendies et explosions :</w:t>
            </w:r>
          </w:p>
          <w:p w14:paraId="5FB4CEE9" w14:textId="77777777" w:rsidR="00112761" w:rsidRDefault="00990D81" w:rsidP="00215867">
            <w:pPr>
              <w:pStyle w:val="Paragraphedeliste"/>
              <w:numPr>
                <w:ilvl w:val="0"/>
                <w:numId w:val="73"/>
              </w:numPr>
              <w:tabs>
                <w:tab w:val="left" w:pos="1168"/>
              </w:tabs>
              <w:spacing w:after="0" w:line="240" w:lineRule="auto"/>
              <w:rPr>
                <w:rFonts w:ascii="Times New Roman" w:eastAsia="Times New Roman" w:hAnsi="Times New Roman"/>
                <w:sz w:val="20"/>
                <w:lang w:eastAsia="fr-FR"/>
              </w:rPr>
            </w:pPr>
            <w:r w:rsidRPr="00215867">
              <w:rPr>
                <w:rFonts w:ascii="Times New Roman" w:eastAsia="Times New Roman" w:hAnsi="Times New Roman"/>
                <w:sz w:val="20"/>
                <w:lang w:eastAsia="fr-FR"/>
              </w:rPr>
              <w:t>Protection contre les contacts directs : mise hors de portée des personnels</w:t>
            </w:r>
          </w:p>
          <w:p w14:paraId="03161521" w14:textId="4C12034E" w:rsidR="00990D81" w:rsidRPr="00215867" w:rsidRDefault="00990D81" w:rsidP="00215867">
            <w:pPr>
              <w:pStyle w:val="Paragraphedeliste"/>
              <w:tabs>
                <w:tab w:val="left" w:pos="1168"/>
              </w:tabs>
              <w:spacing w:after="0" w:line="240" w:lineRule="auto"/>
              <w:rPr>
                <w:rFonts w:ascii="Times New Roman" w:eastAsia="Times New Roman" w:hAnsi="Times New Roman"/>
                <w:sz w:val="20"/>
                <w:lang w:eastAsia="fr-FR"/>
              </w:rPr>
            </w:pPr>
            <w:r w:rsidRPr="00215867">
              <w:rPr>
                <w:rFonts w:ascii="Times New Roman" w:eastAsia="Times New Roman" w:hAnsi="Times New Roman"/>
                <w:sz w:val="20"/>
                <w:lang w:eastAsia="fr-FR"/>
              </w:rPr>
              <w:t>- par éloignement (respect des distances de voisinage)</w:t>
            </w:r>
            <w:r w:rsidRPr="00215867">
              <w:rPr>
                <w:rFonts w:ascii="Times New Roman" w:eastAsia="Times New Roman" w:hAnsi="Times New Roman"/>
                <w:sz w:val="20"/>
                <w:lang w:eastAsia="fr-FR"/>
              </w:rPr>
              <w:br/>
              <w:t>- au moyen d’obstacles (présence d’écran, armoires électriques fermées)</w:t>
            </w:r>
            <w:r w:rsidRPr="00215867">
              <w:rPr>
                <w:rFonts w:ascii="Times New Roman" w:eastAsia="Times New Roman" w:hAnsi="Times New Roman"/>
                <w:sz w:val="20"/>
                <w:lang w:eastAsia="fr-FR"/>
              </w:rPr>
              <w:br/>
              <w:t>- par isolation (gainage des câbles)</w:t>
            </w:r>
            <w:r w:rsidRPr="00215867">
              <w:rPr>
                <w:rFonts w:ascii="Times New Roman" w:eastAsia="Times New Roman" w:hAnsi="Times New Roman"/>
                <w:sz w:val="20"/>
                <w:lang w:eastAsia="fr-FR"/>
              </w:rPr>
              <w:br/>
              <w:t>Protection contre les contacts indirects</w:t>
            </w:r>
            <w:r w:rsidRPr="00215867">
              <w:rPr>
                <w:rFonts w:ascii="Times New Roman" w:eastAsia="Times New Roman" w:hAnsi="Times New Roman"/>
                <w:sz w:val="20"/>
                <w:lang w:eastAsia="fr-FR"/>
              </w:rPr>
              <w:br/>
              <w:t>- par l’emploi de matériel à double isolation (protection de l’utilisateur en cas de</w:t>
            </w:r>
            <w:r w:rsidRPr="00215867">
              <w:rPr>
                <w:rFonts w:ascii="Times New Roman" w:eastAsia="Times New Roman" w:hAnsi="Times New Roman"/>
                <w:sz w:val="20"/>
                <w:lang w:eastAsia="fr-FR"/>
              </w:rPr>
              <w:br/>
              <w:t>défaillance de la première enveloppe)</w:t>
            </w:r>
            <w:r w:rsidRPr="00215867">
              <w:rPr>
                <w:rFonts w:ascii="Times New Roman" w:eastAsia="Times New Roman" w:hAnsi="Times New Roman"/>
                <w:sz w:val="20"/>
                <w:lang w:eastAsia="fr-FR"/>
              </w:rPr>
              <w:br/>
              <w:t>- par l’utilisation de la très basse tension (réduction du courant à un niveau non</w:t>
            </w:r>
            <w:r w:rsidRPr="00215867">
              <w:rPr>
                <w:rFonts w:ascii="Times New Roman" w:eastAsia="Times New Roman" w:hAnsi="Times New Roman"/>
                <w:sz w:val="20"/>
                <w:lang w:eastAsia="fr-FR"/>
              </w:rPr>
              <w:br/>
              <w:t>dangereux)</w:t>
            </w:r>
            <w:r w:rsidRPr="00215867">
              <w:rPr>
                <w:rFonts w:ascii="Times New Roman" w:eastAsia="Times New Roman" w:hAnsi="Times New Roman"/>
                <w:sz w:val="20"/>
                <w:lang w:eastAsia="fr-FR"/>
              </w:rPr>
              <w:br/>
              <w:t>- par l’utilisation de dispositifs à coupure automatique type disjoncteur (mise hors</w:t>
            </w:r>
            <w:r w:rsidRPr="00215867">
              <w:rPr>
                <w:rFonts w:ascii="Times New Roman" w:eastAsia="Times New Roman" w:hAnsi="Times New Roman"/>
                <w:sz w:val="20"/>
                <w:lang w:eastAsia="fr-FR"/>
              </w:rPr>
              <w:br/>
              <w:t>tension rapide de l’installation en cas de défaut)</w:t>
            </w:r>
          </w:p>
          <w:p w14:paraId="55B477D3" w14:textId="77777777" w:rsidR="00990D81" w:rsidRPr="00215867" w:rsidRDefault="00990D81" w:rsidP="00215867">
            <w:pPr>
              <w:pStyle w:val="Paragraphedeliste"/>
              <w:numPr>
                <w:ilvl w:val="0"/>
                <w:numId w:val="73"/>
              </w:numPr>
              <w:spacing w:after="0" w:line="240" w:lineRule="auto"/>
              <w:rPr>
                <w:rFonts w:ascii="Times New Roman" w:eastAsia="Times New Roman" w:hAnsi="Times New Roman"/>
                <w:sz w:val="20"/>
                <w:lang w:eastAsia="fr-FR"/>
              </w:rPr>
            </w:pPr>
            <w:r w:rsidRPr="00215867">
              <w:rPr>
                <w:rFonts w:ascii="Times New Roman" w:eastAsia="Times New Roman" w:hAnsi="Times New Roman"/>
                <w:sz w:val="20"/>
                <w:lang w:eastAsia="fr-FR"/>
              </w:rPr>
              <w:t>Prévention des brûlures, incendies et explosions d’origine électrique</w:t>
            </w:r>
            <w:r w:rsidRPr="00215867">
              <w:rPr>
                <w:rFonts w:ascii="Times New Roman" w:eastAsia="Times New Roman" w:hAnsi="Times New Roman"/>
                <w:sz w:val="20"/>
                <w:lang w:eastAsia="fr-FR"/>
              </w:rPr>
              <w:br/>
              <w:t>- par l’emploi de matériels conformes aux normes</w:t>
            </w:r>
            <w:r w:rsidRPr="00215867">
              <w:rPr>
                <w:rFonts w:ascii="Times New Roman" w:eastAsia="Times New Roman" w:hAnsi="Times New Roman"/>
                <w:sz w:val="20"/>
                <w:lang w:eastAsia="fr-FR"/>
              </w:rPr>
              <w:br/>
              <w:t>- par le respect des règles d’installation</w:t>
            </w:r>
          </w:p>
          <w:p w14:paraId="2C190F25" w14:textId="77777777" w:rsidR="00990D81" w:rsidRPr="00215867" w:rsidRDefault="00990D81" w:rsidP="00990D81">
            <w:pPr>
              <w:pStyle w:val="Paragraphedeliste"/>
              <w:numPr>
                <w:ilvl w:val="0"/>
                <w:numId w:val="73"/>
              </w:numPr>
              <w:spacing w:after="0" w:line="240" w:lineRule="auto"/>
              <w:jc w:val="both"/>
              <w:rPr>
                <w:rFonts w:ascii="Times New Roman" w:eastAsia="Times New Roman" w:hAnsi="Times New Roman"/>
                <w:sz w:val="20"/>
                <w:lang w:eastAsia="fr-FR"/>
              </w:rPr>
            </w:pPr>
            <w:r w:rsidRPr="00215867">
              <w:rPr>
                <w:rFonts w:ascii="Times New Roman" w:eastAsia="Times New Roman" w:hAnsi="Times New Roman"/>
                <w:sz w:val="20"/>
                <w:lang w:eastAsia="fr-FR"/>
              </w:rPr>
              <w:t>vérification générale périodique (annuelle)</w:t>
            </w:r>
            <w:r w:rsidRPr="00215867">
              <w:rPr>
                <w:rFonts w:ascii="Times New Roman" w:eastAsia="Times New Roman" w:hAnsi="Times New Roman"/>
                <w:sz w:val="20"/>
                <w:lang w:eastAsia="fr-FR"/>
              </w:rPr>
              <w:br/>
              <w:t>des installations électriques.</w:t>
            </w:r>
          </w:p>
          <w:p w14:paraId="7EB4C781" w14:textId="5A3F93BE" w:rsidR="00ED17F3" w:rsidRPr="00215867" w:rsidRDefault="00990D81" w:rsidP="00215867">
            <w:pPr>
              <w:pStyle w:val="Paragraphedeliste"/>
              <w:numPr>
                <w:ilvl w:val="0"/>
                <w:numId w:val="73"/>
              </w:numPr>
              <w:spacing w:after="0" w:line="240" w:lineRule="auto"/>
              <w:jc w:val="both"/>
              <w:rPr>
                <w:rFonts w:ascii="Times New Roman" w:eastAsia="Times New Roman" w:hAnsi="Times New Roman"/>
                <w:sz w:val="20"/>
                <w:lang w:eastAsia="fr-FR"/>
              </w:rPr>
            </w:pPr>
            <w:r w:rsidRPr="00215867">
              <w:rPr>
                <w:rFonts w:ascii="Times New Roman" w:eastAsia="Times New Roman" w:hAnsi="Times New Roman"/>
                <w:sz w:val="20"/>
                <w:lang w:eastAsia="fr-FR"/>
              </w:rPr>
              <w:t xml:space="preserve">Réalisation </w:t>
            </w:r>
            <w:r w:rsidRPr="00215867">
              <w:rPr>
                <w:rFonts w:ascii="Times New Roman" w:eastAsia="Times New Roman" w:hAnsi="Times New Roman"/>
                <w:b/>
                <w:bCs/>
                <w:sz w:val="20"/>
                <w:lang w:eastAsia="fr-FR"/>
              </w:rPr>
              <w:t>des installations électriques</w:t>
            </w:r>
            <w:r w:rsidRPr="00215867">
              <w:rPr>
                <w:rFonts w:ascii="Times New Roman" w:eastAsia="Times New Roman" w:hAnsi="Times New Roman"/>
                <w:sz w:val="20"/>
                <w:lang w:eastAsia="fr-FR"/>
              </w:rPr>
              <w:t>  de conformément aux règles de l’art et répondre aux prescriptions des norme</w:t>
            </w:r>
            <w:r w:rsidR="00E24362" w:rsidRPr="00215867">
              <w:rPr>
                <w:rFonts w:ascii="Times New Roman" w:eastAsia="Times New Roman" w:hAnsi="Times New Roman"/>
                <w:sz w:val="20"/>
                <w:lang w:eastAsia="fr-FR"/>
              </w:rPr>
              <w:t>s.</w:t>
            </w:r>
          </w:p>
        </w:tc>
      </w:tr>
    </w:tbl>
    <w:p w14:paraId="31D90CFC" w14:textId="62C22E44" w:rsidR="00112761" w:rsidRPr="00215867" w:rsidRDefault="00112761" w:rsidP="00215867">
      <w:pPr>
        <w:pStyle w:val="Titre4"/>
        <w:keepLines w:val="0"/>
        <w:numPr>
          <w:ilvl w:val="0"/>
          <w:numId w:val="38"/>
        </w:numPr>
        <w:tabs>
          <w:tab w:val="left" w:pos="720"/>
        </w:tabs>
        <w:spacing w:before="120" w:after="120" w:line="240" w:lineRule="auto"/>
        <w:ind w:left="714" w:hanging="357"/>
        <w:jc w:val="both"/>
        <w:rPr>
          <w:color w:val="auto"/>
          <w:szCs w:val="24"/>
          <w:u w:val="single"/>
        </w:rPr>
      </w:pPr>
      <w:bookmarkStart w:id="726" w:name="_Toc103685702"/>
      <w:bookmarkStart w:id="727" w:name="_Toc452538255"/>
      <w:bookmarkStart w:id="728" w:name="_Toc16663516"/>
      <w:bookmarkStart w:id="729" w:name="_Toc16663690"/>
      <w:bookmarkStart w:id="730" w:name="_Toc16664935"/>
      <w:r w:rsidRPr="00215867">
        <w:rPr>
          <w:color w:val="auto"/>
          <w:szCs w:val="24"/>
          <w:u w:val="single"/>
        </w:rPr>
        <w:t xml:space="preserve">Risques liés à l’électrocution </w:t>
      </w:r>
      <w:r w:rsidR="00912C35" w:rsidRPr="00215867">
        <w:rPr>
          <w:color w:val="auto"/>
          <w:szCs w:val="24"/>
          <w:u w:val="single"/>
        </w:rPr>
        <w:t>ou l’électrisation</w:t>
      </w:r>
      <w:bookmarkEnd w:id="726"/>
      <w:r w:rsidR="00912C35" w:rsidRPr="00215867">
        <w:rPr>
          <w:color w:val="auto"/>
          <w:szCs w:val="24"/>
          <w:u w:val="single"/>
        </w:rPr>
        <w:t xml:space="preserve"> </w:t>
      </w:r>
    </w:p>
    <w:p w14:paraId="6ED3F3FD" w14:textId="2AF045A1" w:rsidR="00112761" w:rsidRPr="00F6533B" w:rsidRDefault="00112761" w:rsidP="00112761">
      <w:pPr>
        <w:autoSpaceDE w:val="0"/>
        <w:autoSpaceDN w:val="0"/>
        <w:adjustRightInd w:val="0"/>
        <w:spacing w:after="120" w:line="240" w:lineRule="auto"/>
        <w:jc w:val="both"/>
        <w:rPr>
          <w:rFonts w:ascii="Times New Roman" w:eastAsia="Times New Roman" w:hAnsi="Times New Roman"/>
          <w:sz w:val="24"/>
          <w:lang w:eastAsia="fr-FR"/>
        </w:rPr>
      </w:pPr>
      <w:r w:rsidRPr="00215867">
        <w:rPr>
          <w:rFonts w:ascii="Times New Roman" w:eastAsia="Times New Roman" w:hAnsi="Times New Roman"/>
          <w:sz w:val="24"/>
          <w:lang w:eastAsia="fr-FR"/>
        </w:rPr>
        <w:t xml:space="preserve">Les installations anarchiques et inappropriées (fixation des compteurs prépayés sans dispositif de sécurité ou de protection contre l’humidité en cas de pluie, tirage de lignes fait par des individus avec des conducteurs non conformes) concourent à des risques d’incendies et d’électrocutions. Aussi, la méconnaissance des risques liés à l’électricité peut entraîner des électrocutions des utilisateurs non avertis ou achetant des équipements non conformes. Toutefois, les sensibilisations et formations contribueront à réduire ces risques. </w:t>
      </w:r>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678"/>
        <w:gridCol w:w="567"/>
      </w:tblGrid>
      <w:tr w:rsidR="00112761" w:rsidRPr="00420C1B" w14:paraId="1D017688" w14:textId="77777777" w:rsidTr="00F05A97">
        <w:trPr>
          <w:trHeight w:val="682"/>
        </w:trPr>
        <w:tc>
          <w:tcPr>
            <w:tcW w:w="3686" w:type="dxa"/>
            <w:vMerge w:val="restart"/>
          </w:tcPr>
          <w:p w14:paraId="544425F2" w14:textId="77777777" w:rsidR="00112761" w:rsidRPr="003448B0" w:rsidRDefault="00112761"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Dangers et /ou situations dangereuses</w:t>
            </w:r>
          </w:p>
          <w:p w14:paraId="5F4461B2" w14:textId="77777777" w:rsidR="00112761" w:rsidRDefault="00112761" w:rsidP="00F05A97">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sidRPr="00215867">
              <w:rPr>
                <w:rFonts w:ascii="Times New Roman" w:eastAsia="Times New Roman" w:hAnsi="Times New Roman"/>
                <w:sz w:val="20"/>
                <w:szCs w:val="20"/>
                <w:lang w:eastAsia="fr-FR"/>
              </w:rPr>
              <w:t>Câble mal isolé</w:t>
            </w:r>
            <w:r>
              <w:rPr>
                <w:rFonts w:ascii="Times New Roman" w:hAnsi="Times New Roman"/>
                <w:b/>
                <w:sz w:val="20"/>
                <w:szCs w:val="20"/>
              </w:rPr>
              <w:t xml:space="preserve"> </w:t>
            </w:r>
          </w:p>
          <w:p w14:paraId="65F42FCD" w14:textId="358BE6CE" w:rsidR="00912C35" w:rsidRPr="00215867" w:rsidRDefault="00912C35" w:rsidP="00912C35">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eastAsia="Times New Roman" w:hAnsi="Times New Roman"/>
                <w:sz w:val="20"/>
                <w:szCs w:val="20"/>
                <w:lang w:eastAsia="fr-FR"/>
              </w:rPr>
              <w:t>F</w:t>
            </w:r>
            <w:r w:rsidRPr="00215867">
              <w:rPr>
                <w:rFonts w:ascii="Times New Roman" w:eastAsia="Times New Roman" w:hAnsi="Times New Roman"/>
                <w:sz w:val="20"/>
                <w:szCs w:val="20"/>
                <w:lang w:eastAsia="fr-FR"/>
              </w:rPr>
              <w:t xml:space="preserve">il dénudé, </w:t>
            </w:r>
          </w:p>
          <w:p w14:paraId="5E4EA3AD" w14:textId="6D8960A1" w:rsidR="00A628B7" w:rsidRPr="001A19AA" w:rsidRDefault="00912C35" w:rsidP="00912C35">
            <w:pPr>
              <w:numPr>
                <w:ilvl w:val="0"/>
                <w:numId w:val="35"/>
              </w:numPr>
              <w:tabs>
                <w:tab w:val="clear" w:pos="502"/>
                <w:tab w:val="num" w:pos="459"/>
              </w:tabs>
              <w:spacing w:after="0" w:line="276" w:lineRule="auto"/>
              <w:ind w:left="459"/>
              <w:contextualSpacing/>
              <w:jc w:val="both"/>
              <w:rPr>
                <w:rFonts w:ascii="Times New Roman" w:hAnsi="Times New Roman"/>
                <w:b/>
                <w:sz w:val="20"/>
                <w:szCs w:val="20"/>
              </w:rPr>
            </w:pPr>
            <w:r>
              <w:rPr>
                <w:rFonts w:ascii="Times New Roman" w:eastAsia="Times New Roman" w:hAnsi="Times New Roman"/>
                <w:sz w:val="20"/>
                <w:szCs w:val="20"/>
                <w:lang w:eastAsia="fr-FR"/>
              </w:rPr>
              <w:t>A</w:t>
            </w:r>
            <w:r w:rsidRPr="00215867">
              <w:rPr>
                <w:rFonts w:ascii="Times New Roman" w:eastAsia="Times New Roman" w:hAnsi="Times New Roman"/>
                <w:sz w:val="20"/>
                <w:szCs w:val="20"/>
                <w:lang w:eastAsia="fr-FR"/>
              </w:rPr>
              <w:t>ppareil électrique mal isolé</w:t>
            </w:r>
          </w:p>
        </w:tc>
        <w:tc>
          <w:tcPr>
            <w:tcW w:w="5245" w:type="dxa"/>
            <w:gridSpan w:val="2"/>
          </w:tcPr>
          <w:p w14:paraId="09E9FEBD" w14:textId="77777777" w:rsidR="00112761" w:rsidRPr="003448B0" w:rsidRDefault="00112761" w:rsidP="00F05A97">
            <w:pPr>
              <w:spacing w:after="12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Evaluation qualitative du risque :</w:t>
            </w:r>
          </w:p>
          <w:p w14:paraId="70DE58CC" w14:textId="00B102F7" w:rsidR="00112761" w:rsidRPr="003448B0" w:rsidRDefault="00112761" w:rsidP="00112761">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sz w:val="20"/>
                <w:szCs w:val="20"/>
                <w:lang w:eastAsia="fr-FR"/>
              </w:rPr>
              <w:t>Ce</w:t>
            </w:r>
            <w:r>
              <w:rPr>
                <w:rFonts w:ascii="Times New Roman" w:eastAsia="Times New Roman" w:hAnsi="Times New Roman"/>
                <w:sz w:val="20"/>
                <w:szCs w:val="20"/>
                <w:lang w:eastAsia="fr-FR"/>
              </w:rPr>
              <w:t>tte</w:t>
            </w:r>
            <w:r w:rsidRPr="003448B0">
              <w:rPr>
                <w:rFonts w:ascii="Times New Roman" w:eastAsia="Times New Roman" w:hAnsi="Times New Roman"/>
                <w:sz w:val="20"/>
                <w:szCs w:val="20"/>
                <w:lang w:eastAsia="fr-FR"/>
              </w:rPr>
              <w:t xml:space="preserve"> situation dangereuse peut être rencontrée dans la zone de travail.</w:t>
            </w:r>
          </w:p>
        </w:tc>
      </w:tr>
      <w:tr w:rsidR="00112761" w:rsidRPr="00420C1B" w14:paraId="0CAAA0CD" w14:textId="77777777" w:rsidTr="00F05A97">
        <w:trPr>
          <w:trHeight w:val="245"/>
        </w:trPr>
        <w:tc>
          <w:tcPr>
            <w:tcW w:w="3686" w:type="dxa"/>
            <w:vMerge/>
          </w:tcPr>
          <w:p w14:paraId="5C2D12F3" w14:textId="77777777" w:rsidR="00112761" w:rsidRPr="003448B0" w:rsidRDefault="0011276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483CE26C" w14:textId="77777777" w:rsidR="00112761" w:rsidRPr="003448B0" w:rsidRDefault="00112761" w:rsidP="00F05A97">
            <w:pPr>
              <w:spacing w:after="0" w:line="276" w:lineRule="auto"/>
              <w:rPr>
                <w:rFonts w:ascii="Times New Roman" w:eastAsia="Times New Roman" w:hAnsi="Times New Roman"/>
                <w:sz w:val="20"/>
                <w:szCs w:val="20"/>
                <w:lang w:eastAsia="fr-FR"/>
              </w:rPr>
            </w:pPr>
            <w:r w:rsidRPr="003448B0">
              <w:rPr>
                <w:rFonts w:ascii="Times New Roman" w:eastAsia="Times New Roman" w:hAnsi="Times New Roman"/>
                <w:b/>
                <w:sz w:val="20"/>
                <w:szCs w:val="20"/>
                <w:lang w:eastAsia="fr-FR"/>
              </w:rPr>
              <w:t xml:space="preserve">Probabilité : </w:t>
            </w:r>
            <w:r w:rsidRPr="003448B0">
              <w:rPr>
                <w:rFonts w:ascii="Times New Roman" w:eastAsia="Times New Roman" w:hAnsi="Times New Roman"/>
                <w:sz w:val="20"/>
                <w:szCs w:val="20"/>
                <w:lang w:eastAsia="fr-FR"/>
              </w:rPr>
              <w:t>Probable</w:t>
            </w:r>
          </w:p>
        </w:tc>
        <w:tc>
          <w:tcPr>
            <w:tcW w:w="567" w:type="dxa"/>
          </w:tcPr>
          <w:p w14:paraId="62C72385" w14:textId="77777777" w:rsidR="00112761" w:rsidRPr="003448B0" w:rsidRDefault="0011276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P3</w:t>
            </w:r>
          </w:p>
        </w:tc>
      </w:tr>
      <w:tr w:rsidR="00112761" w:rsidRPr="00420C1B" w14:paraId="69C8F308" w14:textId="77777777" w:rsidTr="00F05A97">
        <w:trPr>
          <w:trHeight w:val="231"/>
        </w:trPr>
        <w:tc>
          <w:tcPr>
            <w:tcW w:w="3686" w:type="dxa"/>
            <w:vMerge/>
          </w:tcPr>
          <w:p w14:paraId="08E79924" w14:textId="77777777" w:rsidR="00112761" w:rsidRPr="003448B0" w:rsidRDefault="0011276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37EAA430" w14:textId="77777777" w:rsidR="00112761" w:rsidRPr="003448B0" w:rsidRDefault="00112761" w:rsidP="00F05A97">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 xml:space="preserve">Gravité : </w:t>
            </w:r>
            <w:r w:rsidRPr="003448B0">
              <w:rPr>
                <w:rFonts w:ascii="Times New Roman" w:eastAsia="Times New Roman" w:hAnsi="Times New Roman"/>
                <w:sz w:val="20"/>
                <w:szCs w:val="20"/>
                <w:lang w:eastAsia="fr-FR"/>
              </w:rPr>
              <w:t>destruction d’un bien culturel et profanation des tombes</w:t>
            </w:r>
          </w:p>
        </w:tc>
        <w:tc>
          <w:tcPr>
            <w:tcW w:w="567" w:type="dxa"/>
            <w:tcBorders>
              <w:bottom w:val="single" w:sz="4" w:space="0" w:color="000000"/>
            </w:tcBorders>
          </w:tcPr>
          <w:p w14:paraId="3FA9A26D" w14:textId="77777777" w:rsidR="00112761" w:rsidRPr="003448B0" w:rsidRDefault="0011276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G2</w:t>
            </w:r>
          </w:p>
        </w:tc>
      </w:tr>
      <w:tr w:rsidR="00112761" w:rsidRPr="00420C1B" w14:paraId="086587CF" w14:textId="77777777" w:rsidTr="00F05A97">
        <w:trPr>
          <w:trHeight w:val="68"/>
        </w:trPr>
        <w:tc>
          <w:tcPr>
            <w:tcW w:w="3686" w:type="dxa"/>
            <w:vMerge/>
          </w:tcPr>
          <w:p w14:paraId="5D206607" w14:textId="77777777" w:rsidR="00112761" w:rsidRPr="003448B0" w:rsidRDefault="00112761" w:rsidP="00F05A97">
            <w:pPr>
              <w:numPr>
                <w:ilvl w:val="0"/>
                <w:numId w:val="37"/>
              </w:numPr>
              <w:spacing w:after="0" w:line="276" w:lineRule="auto"/>
              <w:jc w:val="both"/>
              <w:rPr>
                <w:rFonts w:ascii="Times New Roman" w:eastAsia="Times New Roman" w:hAnsi="Times New Roman"/>
                <w:sz w:val="20"/>
                <w:szCs w:val="20"/>
                <w:lang w:eastAsia="fr-FR"/>
              </w:rPr>
            </w:pPr>
          </w:p>
        </w:tc>
        <w:tc>
          <w:tcPr>
            <w:tcW w:w="4678" w:type="dxa"/>
          </w:tcPr>
          <w:p w14:paraId="3EF6F881" w14:textId="77777777" w:rsidR="00112761" w:rsidRPr="003448B0" w:rsidRDefault="00112761" w:rsidP="00F05A97">
            <w:pPr>
              <w:spacing w:after="0" w:line="276" w:lineRule="auto"/>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Niveau de risque :</w:t>
            </w:r>
          </w:p>
        </w:tc>
        <w:tc>
          <w:tcPr>
            <w:tcW w:w="567" w:type="dxa"/>
            <w:shd w:val="clear" w:color="auto" w:fill="FFFF00"/>
          </w:tcPr>
          <w:p w14:paraId="23A83E2A" w14:textId="77777777" w:rsidR="00112761" w:rsidRPr="003448B0" w:rsidRDefault="00112761" w:rsidP="00F05A97">
            <w:pPr>
              <w:spacing w:after="0" w:line="276" w:lineRule="auto"/>
              <w:jc w:val="center"/>
              <w:rPr>
                <w:rFonts w:ascii="Times New Roman" w:eastAsia="Times New Roman" w:hAnsi="Times New Roman"/>
                <w:b/>
                <w:sz w:val="20"/>
                <w:szCs w:val="20"/>
                <w:lang w:eastAsia="fr-FR"/>
              </w:rPr>
            </w:pPr>
            <w:r w:rsidRPr="003448B0">
              <w:rPr>
                <w:rFonts w:ascii="Times New Roman" w:eastAsia="Times New Roman" w:hAnsi="Times New Roman"/>
                <w:b/>
                <w:sz w:val="20"/>
                <w:szCs w:val="20"/>
                <w:lang w:eastAsia="fr-FR"/>
              </w:rPr>
              <w:t>2</w:t>
            </w:r>
          </w:p>
        </w:tc>
      </w:tr>
      <w:tr w:rsidR="00112761" w:rsidRPr="00420C1B" w14:paraId="3E138600" w14:textId="77777777" w:rsidTr="00F05A97">
        <w:trPr>
          <w:trHeight w:val="219"/>
        </w:trPr>
        <w:tc>
          <w:tcPr>
            <w:tcW w:w="8931" w:type="dxa"/>
            <w:gridSpan w:val="3"/>
            <w:tcBorders>
              <w:bottom w:val="single" w:sz="4" w:space="0" w:color="auto"/>
            </w:tcBorders>
          </w:tcPr>
          <w:p w14:paraId="3A17CCAB" w14:textId="77777777" w:rsidR="00112761" w:rsidRPr="003448B0" w:rsidRDefault="00112761" w:rsidP="00F05A97">
            <w:pPr>
              <w:spacing w:after="0" w:line="276" w:lineRule="auto"/>
              <w:jc w:val="center"/>
              <w:rPr>
                <w:rFonts w:ascii="Times New Roman" w:hAnsi="Times New Roman"/>
                <w:sz w:val="20"/>
                <w:szCs w:val="20"/>
              </w:rPr>
            </w:pPr>
            <w:r w:rsidRPr="003448B0">
              <w:rPr>
                <w:rFonts w:ascii="Times New Roman" w:eastAsia="Times New Roman" w:hAnsi="Times New Roman"/>
                <w:b/>
                <w:sz w:val="20"/>
                <w:szCs w:val="20"/>
                <w:lang w:eastAsia="fr-FR"/>
              </w:rPr>
              <w:t>Mesures de prévention</w:t>
            </w:r>
          </w:p>
        </w:tc>
      </w:tr>
      <w:tr w:rsidR="00112761" w:rsidRPr="00420C1B" w14:paraId="6D1993E8" w14:textId="77777777" w:rsidTr="00215867">
        <w:trPr>
          <w:trHeight w:val="389"/>
        </w:trPr>
        <w:tc>
          <w:tcPr>
            <w:tcW w:w="8931" w:type="dxa"/>
            <w:gridSpan w:val="3"/>
            <w:tcBorders>
              <w:top w:val="single" w:sz="4" w:space="0" w:color="auto"/>
            </w:tcBorders>
          </w:tcPr>
          <w:p w14:paraId="02BD64D3" w14:textId="77777777" w:rsidR="00112761" w:rsidRPr="00215867" w:rsidRDefault="00112761" w:rsidP="00215867">
            <w:pPr>
              <w:numPr>
                <w:ilvl w:val="0"/>
                <w:numId w:val="35"/>
              </w:numPr>
              <w:spacing w:after="0" w:line="276" w:lineRule="auto"/>
              <w:contextualSpacing/>
              <w:jc w:val="both"/>
              <w:rPr>
                <w:rFonts w:ascii="Times New Roman" w:hAnsi="Times New Roman"/>
              </w:rPr>
            </w:pPr>
            <w:r w:rsidRPr="00215867">
              <w:rPr>
                <w:rFonts w:ascii="Times New Roman" w:hAnsi="Times New Roman"/>
              </w:rPr>
              <w:t>Mettre en place des liaisons équipotentielles pour limiter les risques d’électrocution et d’électrisation ;</w:t>
            </w:r>
          </w:p>
          <w:p w14:paraId="36D1B2F1" w14:textId="77777777" w:rsidR="00112761" w:rsidRPr="00215867" w:rsidRDefault="00112761" w:rsidP="00215867">
            <w:pPr>
              <w:numPr>
                <w:ilvl w:val="0"/>
                <w:numId w:val="35"/>
              </w:numPr>
              <w:spacing w:after="0" w:line="276" w:lineRule="auto"/>
              <w:contextualSpacing/>
              <w:jc w:val="both"/>
              <w:rPr>
                <w:rFonts w:ascii="Times New Roman" w:hAnsi="Times New Roman"/>
              </w:rPr>
            </w:pPr>
            <w:r w:rsidRPr="00215867">
              <w:rPr>
                <w:rFonts w:ascii="Times New Roman" w:hAnsi="Times New Roman"/>
              </w:rPr>
              <w:t>Equiper les installations d’un disjoncteur différentiel afin de limiter les risques d’électrisation et d’électrocution ;</w:t>
            </w:r>
          </w:p>
          <w:p w14:paraId="3F27FF56" w14:textId="25CA9B8D" w:rsidR="00112761" w:rsidRPr="00420C1B" w:rsidRDefault="00112761" w:rsidP="00215867">
            <w:pPr>
              <w:numPr>
                <w:ilvl w:val="0"/>
                <w:numId w:val="35"/>
              </w:numPr>
              <w:spacing w:after="0" w:line="276" w:lineRule="auto"/>
              <w:contextualSpacing/>
              <w:jc w:val="both"/>
              <w:rPr>
                <w:rFonts w:ascii="Times New Roman" w:hAnsi="Times New Roman"/>
              </w:rPr>
            </w:pPr>
            <w:r w:rsidRPr="00215867">
              <w:rPr>
                <w:rFonts w:ascii="Times New Roman" w:hAnsi="Times New Roman"/>
              </w:rPr>
              <w:t>Conseiller aux ménages de disposer d’une mise à la terre appropriée pour leur installation.</w:t>
            </w:r>
          </w:p>
          <w:p w14:paraId="0D8EFA99" w14:textId="2FBC9FB9" w:rsidR="00112761" w:rsidRPr="00215867" w:rsidRDefault="00112761" w:rsidP="00215867">
            <w:pPr>
              <w:numPr>
                <w:ilvl w:val="0"/>
                <w:numId w:val="35"/>
              </w:numPr>
              <w:spacing w:after="0" w:line="276" w:lineRule="auto"/>
              <w:contextualSpacing/>
              <w:jc w:val="both"/>
              <w:rPr>
                <w:rFonts w:ascii="Times New Roman" w:hAnsi="Times New Roman"/>
              </w:rPr>
            </w:pPr>
            <w:r w:rsidRPr="00420C1B">
              <w:rPr>
                <w:rFonts w:ascii="Times New Roman" w:hAnsi="Times New Roman"/>
              </w:rPr>
              <w:t>s</w:t>
            </w:r>
            <w:r w:rsidRPr="00215867">
              <w:rPr>
                <w:rFonts w:ascii="Times New Roman" w:hAnsi="Times New Roman"/>
              </w:rPr>
              <w:t xml:space="preserve">ensibiliser la population sur les risques électriques liés aux branchements illicites et vol d’électricité ; </w:t>
            </w:r>
          </w:p>
          <w:p w14:paraId="413087D0" w14:textId="77777777" w:rsidR="00112761" w:rsidRPr="00420C1B" w:rsidRDefault="00112761" w:rsidP="00215867">
            <w:pPr>
              <w:numPr>
                <w:ilvl w:val="0"/>
                <w:numId w:val="35"/>
              </w:numPr>
              <w:spacing w:after="0" w:line="276" w:lineRule="auto"/>
              <w:contextualSpacing/>
              <w:jc w:val="both"/>
              <w:rPr>
                <w:rFonts w:ascii="Times New Roman" w:hAnsi="Times New Roman"/>
              </w:rPr>
            </w:pPr>
            <w:r w:rsidRPr="00215867">
              <w:rPr>
                <w:rFonts w:ascii="Times New Roman" w:hAnsi="Times New Roman"/>
              </w:rPr>
              <w:t>élaborer et distribuer aux populations les manuels de bonne utilisation de l’énergie électrique et organiser des séances de sensibilisation sur les bonnes pratiques de l’utilisation du courant électrique ;</w:t>
            </w:r>
          </w:p>
          <w:p w14:paraId="215FB7C6" w14:textId="222774EA" w:rsidR="00C83A07" w:rsidRPr="00215867" w:rsidRDefault="00C83A07" w:rsidP="00215867">
            <w:pPr>
              <w:numPr>
                <w:ilvl w:val="0"/>
                <w:numId w:val="35"/>
              </w:numPr>
              <w:spacing w:after="0" w:line="276" w:lineRule="auto"/>
              <w:contextualSpacing/>
              <w:jc w:val="both"/>
              <w:rPr>
                <w:rFonts w:ascii="Times New Roman" w:hAnsi="Times New Roman"/>
              </w:rPr>
            </w:pPr>
            <w:r w:rsidRPr="00420C1B">
              <w:rPr>
                <w:rFonts w:ascii="Times New Roman" w:hAnsi="Times New Roman"/>
              </w:rPr>
              <w:t>porter des EPI adaptés aux travaux d’électricité ;</w:t>
            </w:r>
          </w:p>
          <w:p w14:paraId="1C65166A" w14:textId="7DD7144B" w:rsidR="00112761" w:rsidRPr="003448B0" w:rsidRDefault="00112761" w:rsidP="00215867">
            <w:pPr>
              <w:numPr>
                <w:ilvl w:val="0"/>
                <w:numId w:val="35"/>
              </w:numPr>
              <w:spacing w:after="0" w:line="276" w:lineRule="auto"/>
              <w:ind w:left="499" w:hanging="357"/>
              <w:jc w:val="both"/>
              <w:rPr>
                <w:rFonts w:ascii="Times New Roman" w:eastAsia="Times New Roman" w:hAnsi="Times New Roman"/>
                <w:b/>
                <w:sz w:val="20"/>
                <w:szCs w:val="20"/>
                <w:lang w:eastAsia="fr-FR"/>
              </w:rPr>
            </w:pPr>
            <w:r w:rsidRPr="00215867">
              <w:rPr>
                <w:rFonts w:ascii="Times New Roman" w:hAnsi="Times New Roman"/>
              </w:rPr>
              <w:t>enregistrer et prendre en charge des cas d’accidents déclarés liés à l’électricité dans les centres de santé des communes cibles.</w:t>
            </w:r>
          </w:p>
        </w:tc>
      </w:tr>
    </w:tbl>
    <w:p w14:paraId="4A52C30C" w14:textId="77777777" w:rsidR="000D2E83" w:rsidRPr="00420C1B" w:rsidRDefault="000D2E83">
      <w:pPr>
        <w:rPr>
          <w:rFonts w:ascii="Times New Roman" w:eastAsia="Times New Roman" w:hAnsi="Times New Roman"/>
          <w:b/>
          <w:sz w:val="24"/>
          <w:szCs w:val="26"/>
        </w:rPr>
      </w:pPr>
      <w:r w:rsidRPr="00D75D2E">
        <w:br w:type="page"/>
      </w:r>
    </w:p>
    <w:p w14:paraId="64119300" w14:textId="2487DB26" w:rsidR="00ED17F3" w:rsidRPr="00D75D2E" w:rsidRDefault="00ED17F3" w:rsidP="00215867">
      <w:pPr>
        <w:pStyle w:val="Titre1"/>
        <w:numPr>
          <w:ilvl w:val="1"/>
          <w:numId w:val="54"/>
        </w:numPr>
        <w:spacing w:before="0" w:after="120"/>
        <w:ind w:left="788" w:hanging="431"/>
      </w:pPr>
      <w:bookmarkStart w:id="731" w:name="_Toc103685703"/>
      <w:r w:rsidRPr="00D75D2E">
        <w:t>Analyse des impacts cumulatifs</w:t>
      </w:r>
      <w:bookmarkEnd w:id="727"/>
      <w:bookmarkEnd w:id="728"/>
      <w:bookmarkEnd w:id="729"/>
      <w:bookmarkEnd w:id="730"/>
      <w:r w:rsidR="001F6C6B">
        <w:t xml:space="preserve"> négatifs et mesures d’atténuation</w:t>
      </w:r>
      <w:bookmarkEnd w:id="731"/>
    </w:p>
    <w:p w14:paraId="173B80B4" w14:textId="755B0E3A" w:rsidR="001F6C6B" w:rsidRPr="00215867" w:rsidRDefault="001F6C6B" w:rsidP="00215867">
      <w:pPr>
        <w:spacing w:before="120" w:after="120"/>
        <w:jc w:val="both"/>
        <w:rPr>
          <w:rFonts w:ascii="Times New Roman" w:hAnsi="Times New Roman"/>
          <w:sz w:val="24"/>
          <w:szCs w:val="24"/>
        </w:rPr>
      </w:pPr>
      <w:r w:rsidRPr="00215867">
        <w:rPr>
          <w:rFonts w:ascii="Times New Roman" w:hAnsi="Times New Roman"/>
          <w:sz w:val="24"/>
          <w:szCs w:val="24"/>
        </w:rPr>
        <w:t>L’objectif de cette section est de présenter brièvement les projets en cours ou prévus dans ou à proximité de la zone d’étude restreinte du projet notamment dans de les Communes de Mont Ngafula, Ngaliema, Bandalungwa, Kintambo, Barumbu, Ngiri Ngiri, Bumbu, Makala, Kalamu et Selembao en vue de prendre en compte, le cas échéant, les impacts cumulés de différentes activités dans leurs phases de construction et / ou d’exploitation.</w:t>
      </w:r>
    </w:p>
    <w:p w14:paraId="08A1A374" w14:textId="1CB40280" w:rsidR="001F6C6B" w:rsidRPr="00215867" w:rsidRDefault="001F6C6B" w:rsidP="00215867">
      <w:pPr>
        <w:spacing w:before="120" w:after="120"/>
        <w:jc w:val="both"/>
        <w:rPr>
          <w:rFonts w:ascii="Times New Roman" w:hAnsi="Times New Roman"/>
          <w:sz w:val="24"/>
          <w:szCs w:val="24"/>
        </w:rPr>
      </w:pPr>
      <w:r w:rsidRPr="00215867">
        <w:rPr>
          <w:rFonts w:ascii="Times New Roman" w:hAnsi="Times New Roman"/>
          <w:sz w:val="24"/>
          <w:szCs w:val="24"/>
        </w:rPr>
        <w:t xml:space="preserve">Les effets cumulatifs font notamment référence aux effets engendrés par la réalisation du Projet actuel sur les composantes environnementales et sociales tout en considérant les effets causés par d’autres projets ou évènements passés, actuels et à venir sur ces mêmes composantes dans une perspective spatio-temporelle délimitée. La notion d’effets cumulatifs se rapporte à la possibilité que les effets résiduels négatifs permanents occasionnés par le Projet s’ajouteraient à ceux d’autres activités concrètes ou évènements passés, actuels et futurs dans le même secteur ou à proximité, pour produire des effets de plus grande ampleur sur le milieu récepteur. L’évaluation des effets cumulatifs porte sur un certain nombre de composantes qui correspondent aux préoccupations majeures exprimées par les parties prenantes ou établies dans le cadre de l’élaboration de la présente l’ÉIES. </w:t>
      </w:r>
    </w:p>
    <w:p w14:paraId="23569342" w14:textId="747301E4" w:rsidR="001F6C6B" w:rsidRPr="00215867" w:rsidRDefault="001F6C6B" w:rsidP="00215867">
      <w:pPr>
        <w:spacing w:before="120" w:after="120"/>
        <w:jc w:val="both"/>
        <w:rPr>
          <w:rFonts w:ascii="Times New Roman" w:hAnsi="Times New Roman"/>
          <w:sz w:val="24"/>
          <w:szCs w:val="24"/>
        </w:rPr>
      </w:pPr>
      <w:r w:rsidRPr="00215867">
        <w:rPr>
          <w:rFonts w:ascii="Times New Roman" w:hAnsi="Times New Roman"/>
          <w:sz w:val="24"/>
          <w:szCs w:val="24"/>
        </w:rPr>
        <w:t>En outre, l’évaluation des effets cumulatifs constitue un moyen d’étudier les effets d’un projet dans un contexte plus large que celui d’une évaluation environnementale classique.</w:t>
      </w:r>
    </w:p>
    <w:p w14:paraId="23AD94C5" w14:textId="77777777" w:rsidR="001F6C6B" w:rsidRPr="00215867" w:rsidRDefault="001F6C6B" w:rsidP="00215867">
      <w:pPr>
        <w:pStyle w:val="Titre31"/>
        <w:numPr>
          <w:ilvl w:val="2"/>
          <w:numId w:val="54"/>
        </w:numPr>
        <w:tabs>
          <w:tab w:val="left" w:pos="993"/>
        </w:tabs>
        <w:spacing w:before="120" w:after="120" w:line="20" w:lineRule="atLeast"/>
        <w:ind w:left="993" w:hanging="709"/>
        <w:rPr>
          <w:i/>
        </w:rPr>
      </w:pPr>
      <w:bookmarkStart w:id="732" w:name="_Toc103685704"/>
      <w:r w:rsidRPr="00215867">
        <w:rPr>
          <w:rFonts w:eastAsia="Calibri"/>
          <w:i/>
          <w:u w:val="none"/>
        </w:rPr>
        <w:t>Approche méthodologique</w:t>
      </w:r>
      <w:bookmarkEnd w:id="732"/>
    </w:p>
    <w:p w14:paraId="58000BC6" w14:textId="1D9955EC" w:rsidR="001F6C6B" w:rsidRPr="00215867" w:rsidRDefault="001F6C6B" w:rsidP="00215867">
      <w:pPr>
        <w:spacing w:before="120" w:after="120"/>
        <w:jc w:val="both"/>
        <w:rPr>
          <w:rFonts w:ascii="Times New Roman" w:hAnsi="Times New Roman"/>
          <w:sz w:val="24"/>
          <w:szCs w:val="24"/>
        </w:rPr>
      </w:pPr>
      <w:r w:rsidRPr="00215867">
        <w:rPr>
          <w:rFonts w:ascii="Times New Roman" w:hAnsi="Times New Roman"/>
          <w:sz w:val="24"/>
          <w:szCs w:val="24"/>
        </w:rPr>
        <w:t xml:space="preserve">La démarche méthodologique de l’évaluation des effets cumulatifs s’inscrit à l’intérieur d’un cadre générique qui s’articule autour de cinq étapes : </w:t>
      </w:r>
    </w:p>
    <w:p w14:paraId="1ECFE7C0" w14:textId="77777777" w:rsidR="001F6C6B" w:rsidRPr="00215867" w:rsidRDefault="001F6C6B" w:rsidP="001F6C6B">
      <w:pPr>
        <w:pStyle w:val="Paragraphedeliste"/>
        <w:numPr>
          <w:ilvl w:val="0"/>
          <w:numId w:val="367"/>
        </w:numPr>
        <w:spacing w:after="0" w:line="276" w:lineRule="auto"/>
        <w:jc w:val="both"/>
        <w:rPr>
          <w:rFonts w:ascii="Times New Roman" w:hAnsi="Times New Roman"/>
          <w:sz w:val="24"/>
          <w:szCs w:val="24"/>
        </w:rPr>
      </w:pPr>
      <w:r w:rsidRPr="00215867">
        <w:rPr>
          <w:rFonts w:ascii="Times New Roman" w:hAnsi="Times New Roman"/>
          <w:sz w:val="24"/>
          <w:szCs w:val="24"/>
        </w:rPr>
        <w:t xml:space="preserve">Détermination de la portée de l’évaluation, incluant ; </w:t>
      </w:r>
    </w:p>
    <w:p w14:paraId="28FA6799" w14:textId="77777777" w:rsidR="001F6C6B" w:rsidRPr="00215867" w:rsidRDefault="001F6C6B" w:rsidP="001F6C6B">
      <w:pPr>
        <w:pStyle w:val="Paragraphedeliste"/>
        <w:numPr>
          <w:ilvl w:val="0"/>
          <w:numId w:val="368"/>
        </w:numPr>
        <w:spacing w:after="0" w:line="276" w:lineRule="auto"/>
        <w:jc w:val="both"/>
        <w:rPr>
          <w:rFonts w:ascii="Times New Roman" w:hAnsi="Times New Roman"/>
          <w:sz w:val="24"/>
          <w:szCs w:val="24"/>
        </w:rPr>
      </w:pPr>
      <w:r w:rsidRPr="00215867">
        <w:rPr>
          <w:rFonts w:ascii="Times New Roman" w:hAnsi="Times New Roman"/>
          <w:sz w:val="24"/>
          <w:szCs w:val="24"/>
        </w:rPr>
        <w:t xml:space="preserve">la détermination de limites spatiales et temporelles, </w:t>
      </w:r>
    </w:p>
    <w:p w14:paraId="296530ED" w14:textId="405E3912" w:rsidR="001F6C6B" w:rsidRPr="00215867" w:rsidRDefault="001F6C6B" w:rsidP="001F6C6B">
      <w:pPr>
        <w:pStyle w:val="Paragraphedeliste"/>
        <w:numPr>
          <w:ilvl w:val="0"/>
          <w:numId w:val="368"/>
        </w:numPr>
        <w:spacing w:after="0" w:line="276" w:lineRule="auto"/>
        <w:jc w:val="both"/>
        <w:rPr>
          <w:rFonts w:ascii="Times New Roman" w:hAnsi="Times New Roman"/>
          <w:sz w:val="24"/>
          <w:szCs w:val="24"/>
        </w:rPr>
      </w:pPr>
      <w:r w:rsidRPr="00215867">
        <w:rPr>
          <w:rFonts w:ascii="Times New Roman" w:hAnsi="Times New Roman"/>
          <w:sz w:val="24"/>
          <w:szCs w:val="24"/>
        </w:rPr>
        <w:t xml:space="preserve">Identification des activités concrètes réalisées dans le passé, </w:t>
      </w:r>
    </w:p>
    <w:p w14:paraId="2A12AD7F" w14:textId="343D707E" w:rsidR="001F6C6B" w:rsidRPr="00215867" w:rsidRDefault="001F6C6B" w:rsidP="001F6C6B">
      <w:pPr>
        <w:pStyle w:val="Paragraphedeliste"/>
        <w:numPr>
          <w:ilvl w:val="0"/>
          <w:numId w:val="368"/>
        </w:numPr>
        <w:spacing w:after="0" w:line="276" w:lineRule="auto"/>
        <w:jc w:val="both"/>
        <w:rPr>
          <w:rFonts w:ascii="Times New Roman" w:hAnsi="Times New Roman"/>
          <w:sz w:val="24"/>
          <w:szCs w:val="24"/>
        </w:rPr>
      </w:pPr>
      <w:r w:rsidRPr="00215867">
        <w:rPr>
          <w:rFonts w:ascii="Times New Roman" w:hAnsi="Times New Roman"/>
          <w:sz w:val="24"/>
          <w:szCs w:val="24"/>
        </w:rPr>
        <w:t xml:space="preserve">Identification des activités concrètes qui seront réalisées ; </w:t>
      </w:r>
    </w:p>
    <w:p w14:paraId="299699DC" w14:textId="286C3F76" w:rsidR="001F6C6B" w:rsidRPr="00215867" w:rsidRDefault="001F6C6B" w:rsidP="001F6C6B">
      <w:pPr>
        <w:pStyle w:val="Paragraphedeliste"/>
        <w:numPr>
          <w:ilvl w:val="0"/>
          <w:numId w:val="367"/>
        </w:numPr>
        <w:spacing w:after="0" w:line="276" w:lineRule="auto"/>
        <w:jc w:val="both"/>
        <w:rPr>
          <w:rFonts w:ascii="Times New Roman" w:hAnsi="Times New Roman"/>
          <w:sz w:val="24"/>
          <w:szCs w:val="24"/>
        </w:rPr>
      </w:pPr>
      <w:r w:rsidRPr="00215867">
        <w:rPr>
          <w:rFonts w:ascii="Times New Roman" w:hAnsi="Times New Roman"/>
          <w:sz w:val="24"/>
          <w:szCs w:val="24"/>
        </w:rPr>
        <w:t xml:space="preserve">Analyse des effets cumulatifs ; </w:t>
      </w:r>
    </w:p>
    <w:p w14:paraId="119953A8" w14:textId="71F36B57" w:rsidR="001F6C6B" w:rsidRPr="00215867" w:rsidRDefault="001F6C6B" w:rsidP="001F6C6B">
      <w:pPr>
        <w:pStyle w:val="Paragraphedeliste"/>
        <w:numPr>
          <w:ilvl w:val="0"/>
          <w:numId w:val="367"/>
        </w:numPr>
        <w:spacing w:after="0" w:line="276" w:lineRule="auto"/>
        <w:jc w:val="both"/>
        <w:rPr>
          <w:rFonts w:ascii="Times New Roman" w:hAnsi="Times New Roman"/>
          <w:sz w:val="24"/>
          <w:szCs w:val="24"/>
        </w:rPr>
      </w:pPr>
      <w:r w:rsidRPr="00215867">
        <w:rPr>
          <w:rFonts w:ascii="Times New Roman" w:hAnsi="Times New Roman"/>
          <w:sz w:val="24"/>
          <w:szCs w:val="24"/>
        </w:rPr>
        <w:t xml:space="preserve">Évaluation de l’importance des effets ; </w:t>
      </w:r>
    </w:p>
    <w:p w14:paraId="422B197D" w14:textId="4DD3C04C" w:rsidR="001F6C6B" w:rsidRPr="00215867" w:rsidRDefault="001F6C6B" w:rsidP="001F6C6B">
      <w:pPr>
        <w:pStyle w:val="Paragraphedeliste"/>
        <w:numPr>
          <w:ilvl w:val="0"/>
          <w:numId w:val="367"/>
        </w:numPr>
        <w:spacing w:after="0" w:line="276" w:lineRule="auto"/>
        <w:jc w:val="both"/>
        <w:rPr>
          <w:rFonts w:ascii="Times New Roman" w:hAnsi="Times New Roman"/>
          <w:sz w:val="24"/>
          <w:szCs w:val="24"/>
        </w:rPr>
      </w:pPr>
      <w:r w:rsidRPr="00215867">
        <w:rPr>
          <w:rFonts w:ascii="Times New Roman" w:hAnsi="Times New Roman"/>
          <w:sz w:val="24"/>
          <w:szCs w:val="24"/>
        </w:rPr>
        <w:t xml:space="preserve">Détermination des mesures d’atténuation ; </w:t>
      </w:r>
    </w:p>
    <w:p w14:paraId="0A7DB8DD" w14:textId="77777777" w:rsidR="001F6C6B" w:rsidRPr="00215867" w:rsidRDefault="001F6C6B" w:rsidP="001F6C6B">
      <w:pPr>
        <w:pStyle w:val="Paragraphedeliste"/>
        <w:numPr>
          <w:ilvl w:val="0"/>
          <w:numId w:val="367"/>
        </w:numPr>
        <w:spacing w:after="0" w:line="276" w:lineRule="auto"/>
        <w:jc w:val="both"/>
        <w:rPr>
          <w:rFonts w:ascii="Times New Roman" w:hAnsi="Times New Roman"/>
          <w:sz w:val="24"/>
          <w:szCs w:val="24"/>
        </w:rPr>
      </w:pPr>
      <w:r w:rsidRPr="00215867">
        <w:rPr>
          <w:rFonts w:ascii="Times New Roman" w:hAnsi="Times New Roman"/>
          <w:sz w:val="24"/>
          <w:szCs w:val="24"/>
        </w:rPr>
        <w:t>Suivi des effets cumulatifs.</w:t>
      </w:r>
    </w:p>
    <w:p w14:paraId="1E9321CE" w14:textId="77777777" w:rsidR="001F6C6B" w:rsidRPr="00215867" w:rsidRDefault="001F6C6B" w:rsidP="00215867">
      <w:pPr>
        <w:pStyle w:val="Paragraphedeliste"/>
        <w:numPr>
          <w:ilvl w:val="0"/>
          <w:numId w:val="369"/>
        </w:numPr>
        <w:spacing w:before="120" w:after="120" w:line="20" w:lineRule="atLeast"/>
        <w:ind w:hanging="436"/>
        <w:contextualSpacing w:val="0"/>
        <w:jc w:val="both"/>
        <w:rPr>
          <w:rFonts w:ascii="Times New Roman" w:hAnsi="Times New Roman"/>
          <w:sz w:val="24"/>
          <w:szCs w:val="24"/>
        </w:rPr>
      </w:pPr>
      <w:r w:rsidRPr="00215867">
        <w:rPr>
          <w:rFonts w:ascii="Times New Roman" w:hAnsi="Times New Roman"/>
          <w:sz w:val="24"/>
          <w:szCs w:val="24"/>
        </w:rPr>
        <w:t>Détermination de la portée de l’évaluation</w:t>
      </w:r>
    </w:p>
    <w:p w14:paraId="34F019E7" w14:textId="77777777" w:rsidR="001F6C6B" w:rsidRPr="00215867" w:rsidRDefault="001F6C6B" w:rsidP="00215867">
      <w:pPr>
        <w:spacing w:before="120" w:after="120" w:line="20" w:lineRule="atLeast"/>
        <w:jc w:val="both"/>
        <w:rPr>
          <w:rFonts w:ascii="Times New Roman" w:hAnsi="Times New Roman"/>
          <w:i/>
          <w:sz w:val="24"/>
          <w:szCs w:val="24"/>
        </w:rPr>
      </w:pPr>
      <w:r w:rsidRPr="00215867">
        <w:rPr>
          <w:rFonts w:ascii="Times New Roman" w:hAnsi="Times New Roman"/>
          <w:i/>
          <w:sz w:val="24"/>
          <w:szCs w:val="24"/>
        </w:rPr>
        <w:t xml:space="preserve">Détermination de limites spéciales et temporelles </w:t>
      </w:r>
    </w:p>
    <w:p w14:paraId="0AB99CAA" w14:textId="63083B26" w:rsidR="001F6C6B" w:rsidRPr="00215867" w:rsidRDefault="001F6C6B" w:rsidP="001F6C6B">
      <w:pPr>
        <w:spacing w:after="0"/>
        <w:jc w:val="both"/>
        <w:rPr>
          <w:rFonts w:ascii="Times New Roman" w:hAnsi="Times New Roman"/>
          <w:sz w:val="24"/>
          <w:szCs w:val="24"/>
        </w:rPr>
      </w:pPr>
      <w:r w:rsidRPr="00215867">
        <w:rPr>
          <w:rFonts w:ascii="Times New Roman" w:hAnsi="Times New Roman"/>
          <w:sz w:val="24"/>
          <w:szCs w:val="24"/>
        </w:rPr>
        <w:t xml:space="preserve">En ce qui concerne les limites spatio-temporelles, deux bornes doivent être définies notamment : </w:t>
      </w:r>
      <w:r w:rsidRPr="00215867">
        <w:rPr>
          <w:rFonts w:ascii="Times New Roman" w:hAnsi="Times New Roman"/>
          <w:b/>
          <w:i/>
          <w:sz w:val="24"/>
          <w:szCs w:val="24"/>
        </w:rPr>
        <w:t>la borne « passé » et la borne « futur »</w:t>
      </w:r>
      <w:r w:rsidRPr="00215867">
        <w:rPr>
          <w:rFonts w:ascii="Times New Roman" w:hAnsi="Times New Roman"/>
          <w:sz w:val="24"/>
          <w:szCs w:val="24"/>
        </w:rPr>
        <w:t xml:space="preserve">. Pour le présent sous-projet du Projet AGREE, elles ont été déterminées en se centrant sur les activités. La limite « passé » a ainsi été fixée à la fin des années 2010 - 2020, soit 10 ans. Ce moment correspond à la mise en œuvre du </w:t>
      </w:r>
      <w:r w:rsidR="0031169B" w:rsidRPr="00215867">
        <w:rPr>
          <w:rFonts w:ascii="Times New Roman" w:hAnsi="Times New Roman"/>
          <w:sz w:val="24"/>
          <w:szCs w:val="24"/>
        </w:rPr>
        <w:t>Projet de Développement du Marché d’Electricité pour la Consommation Domestique et à l’Exportation (PMEDE)</w:t>
      </w:r>
      <w:r w:rsidRPr="00215867">
        <w:rPr>
          <w:rFonts w:ascii="Times New Roman" w:hAnsi="Times New Roman"/>
          <w:sz w:val="24"/>
          <w:szCs w:val="24"/>
        </w:rPr>
        <w:t xml:space="preserve">, etc. </w:t>
      </w:r>
      <w:r w:rsidRPr="00215867">
        <w:rPr>
          <w:rFonts w:ascii="Times New Roman" w:hAnsi="Times New Roman"/>
          <w:b/>
          <w:i/>
          <w:sz w:val="24"/>
          <w:szCs w:val="24"/>
        </w:rPr>
        <w:t>La borne « futur »</w:t>
      </w:r>
      <w:r w:rsidRPr="00215867">
        <w:rPr>
          <w:rFonts w:ascii="Times New Roman" w:hAnsi="Times New Roman"/>
          <w:sz w:val="24"/>
          <w:szCs w:val="24"/>
        </w:rPr>
        <w:t xml:space="preserve"> a été fixée à 10 ans après la phase de c</w:t>
      </w:r>
      <w:r w:rsidR="0031169B" w:rsidRPr="00215867">
        <w:rPr>
          <w:rFonts w:ascii="Times New Roman" w:hAnsi="Times New Roman"/>
          <w:sz w:val="24"/>
          <w:szCs w:val="24"/>
        </w:rPr>
        <w:t>onstruction du Projet AGREE</w:t>
      </w:r>
      <w:r w:rsidRPr="00215867">
        <w:rPr>
          <w:rFonts w:ascii="Times New Roman" w:hAnsi="Times New Roman"/>
          <w:sz w:val="24"/>
          <w:szCs w:val="24"/>
        </w:rPr>
        <w:t>, car au-delà de cette limite, il est difficile de déterminer avec précision quels seront les projets (activités concrètes). Ainsi, les limites temporelles pour l’évaluation des effets cumulatifs de ce</w:t>
      </w:r>
      <w:r w:rsidR="0031169B" w:rsidRPr="00215867">
        <w:rPr>
          <w:rFonts w:ascii="Times New Roman" w:hAnsi="Times New Roman"/>
          <w:sz w:val="24"/>
          <w:szCs w:val="24"/>
        </w:rPr>
        <w:t xml:space="preserve"> </w:t>
      </w:r>
      <w:r w:rsidRPr="00215867">
        <w:rPr>
          <w:rFonts w:ascii="Times New Roman" w:hAnsi="Times New Roman"/>
          <w:sz w:val="24"/>
          <w:szCs w:val="24"/>
        </w:rPr>
        <w:t>Projet s’étendent de 2010 à 2030</w:t>
      </w:r>
      <w:r w:rsidR="0031169B" w:rsidRPr="00215867">
        <w:rPr>
          <w:rFonts w:ascii="Times New Roman" w:hAnsi="Times New Roman"/>
          <w:sz w:val="24"/>
          <w:szCs w:val="24"/>
        </w:rPr>
        <w:t xml:space="preserve"> sachant que la mise en œuvre du Projet AGREE débutera en 2022 et prendra fin en 2030 soit 7 ans</w:t>
      </w:r>
      <w:r w:rsidRPr="00215867">
        <w:rPr>
          <w:rFonts w:ascii="Times New Roman" w:hAnsi="Times New Roman"/>
          <w:sz w:val="24"/>
          <w:szCs w:val="24"/>
        </w:rPr>
        <w:t>. Il est important de mentionner que cet intervalle de temps demeure flexible, en fonction des informations disponibles pour chacun des projets retenus. En effet, comme</w:t>
      </w:r>
      <w:r w:rsidR="0031169B" w:rsidRPr="00215867">
        <w:rPr>
          <w:rFonts w:ascii="Times New Roman" w:hAnsi="Times New Roman"/>
          <w:sz w:val="24"/>
          <w:szCs w:val="24"/>
        </w:rPr>
        <w:t xml:space="preserve"> il a été mentionné plus haut</w:t>
      </w:r>
      <w:r w:rsidRPr="00215867">
        <w:rPr>
          <w:rFonts w:ascii="Times New Roman" w:hAnsi="Times New Roman"/>
          <w:sz w:val="24"/>
          <w:szCs w:val="24"/>
        </w:rPr>
        <w:t>, l’évaluation des effets cumulatifs devient de plus en plus incertaine au fur et à mesure que l’intervalle de temps entre les limites « passé » et « futur » grandit.</w:t>
      </w:r>
    </w:p>
    <w:p w14:paraId="0DBBE141" w14:textId="77777777" w:rsidR="001F6C6B" w:rsidRPr="00215867" w:rsidRDefault="001F6C6B" w:rsidP="00215867">
      <w:pPr>
        <w:pStyle w:val="Titre31"/>
        <w:numPr>
          <w:ilvl w:val="2"/>
          <w:numId w:val="54"/>
        </w:numPr>
        <w:tabs>
          <w:tab w:val="left" w:pos="993"/>
        </w:tabs>
        <w:spacing w:before="120" w:after="120" w:line="20" w:lineRule="atLeast"/>
        <w:ind w:left="993" w:hanging="709"/>
        <w:rPr>
          <w:b w:val="0"/>
          <w:i/>
        </w:rPr>
      </w:pPr>
      <w:bookmarkStart w:id="733" w:name="_Toc103685705"/>
      <w:r w:rsidRPr="00215867">
        <w:rPr>
          <w:rFonts w:eastAsia="Calibri"/>
          <w:b w:val="0"/>
          <w:i/>
          <w:u w:val="none"/>
        </w:rPr>
        <w:t>Identification des Projets/activités concrets réalisés dans le passé ou en cours</w:t>
      </w:r>
      <w:bookmarkEnd w:id="733"/>
    </w:p>
    <w:p w14:paraId="269EE76F" w14:textId="5287EEE7" w:rsidR="001F6C6B" w:rsidRPr="00215867" w:rsidRDefault="00CC1751" w:rsidP="001F6C6B">
      <w:pPr>
        <w:spacing w:after="0"/>
        <w:jc w:val="both"/>
        <w:rPr>
          <w:rFonts w:ascii="Times New Roman" w:hAnsi="Times New Roman"/>
          <w:sz w:val="24"/>
          <w:szCs w:val="24"/>
        </w:rPr>
      </w:pPr>
      <w:r>
        <w:rPr>
          <w:rFonts w:ascii="Times New Roman" w:hAnsi="Times New Roman"/>
          <w:sz w:val="24"/>
          <w:szCs w:val="24"/>
        </w:rPr>
        <w:t>Les q</w:t>
      </w:r>
      <w:r w:rsidR="001F6C6B" w:rsidRPr="00215867">
        <w:rPr>
          <w:rFonts w:ascii="Times New Roman" w:hAnsi="Times New Roman"/>
          <w:sz w:val="24"/>
          <w:szCs w:val="24"/>
        </w:rPr>
        <w:t xml:space="preserve">uelques projets passés et/ou en cours identifiés dans la zone d’influence du </w:t>
      </w:r>
      <w:r w:rsidR="0031169B" w:rsidRPr="00215867">
        <w:rPr>
          <w:rFonts w:ascii="Times New Roman" w:hAnsi="Times New Roman"/>
          <w:sz w:val="24"/>
          <w:szCs w:val="24"/>
        </w:rPr>
        <w:t>Projet dans la ville de Kinshasa</w:t>
      </w:r>
      <w:r w:rsidR="001F6C6B" w:rsidRPr="00215867">
        <w:rPr>
          <w:rFonts w:ascii="Times New Roman" w:hAnsi="Times New Roman"/>
          <w:sz w:val="24"/>
          <w:szCs w:val="24"/>
        </w:rPr>
        <w:t xml:space="preserve"> sont :</w:t>
      </w:r>
    </w:p>
    <w:p w14:paraId="39215DB9" w14:textId="77777777" w:rsidR="001F6C6B" w:rsidRPr="00215867" w:rsidRDefault="001F6C6B" w:rsidP="001F6C6B">
      <w:pPr>
        <w:spacing w:after="0"/>
        <w:jc w:val="both"/>
        <w:rPr>
          <w:rFonts w:ascii="Times New Roman" w:hAnsi="Times New Roman"/>
          <w:sz w:val="24"/>
          <w:szCs w:val="24"/>
        </w:rPr>
      </w:pPr>
    </w:p>
    <w:p w14:paraId="554CE35F" w14:textId="6F678CDA" w:rsidR="0031169B" w:rsidRPr="00215867" w:rsidRDefault="0031169B" w:rsidP="001F6C6B">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Projet de Développement du Marché d’Electricité pour la Consommation Domestique et à l’Exportation (PMEDE) ;</w:t>
      </w:r>
    </w:p>
    <w:p w14:paraId="729372F0" w14:textId="472C404D" w:rsidR="001022FD" w:rsidRPr="00215867" w:rsidRDefault="001022FD" w:rsidP="001F6C6B">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Projet d’Accès et d’Amélioration des Services Electriques (EASE)</w:t>
      </w:r>
    </w:p>
    <w:p w14:paraId="084BF27F" w14:textId="43E500F0" w:rsidR="001022FD" w:rsidRPr="00215867" w:rsidRDefault="001C581D" w:rsidP="001022FD">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 xml:space="preserve">Projet de </w:t>
      </w:r>
      <w:r w:rsidR="001F6C6B" w:rsidRPr="00215867">
        <w:rPr>
          <w:rFonts w:ascii="Times New Roman" w:hAnsi="Times New Roman"/>
          <w:sz w:val="24"/>
          <w:szCs w:val="24"/>
        </w:rPr>
        <w:t>modernisation du Boulevard Lumumba dans le cadre du programme de 5 chantiers du Gouvernement de la RDC ;</w:t>
      </w:r>
    </w:p>
    <w:p w14:paraId="6C7B95DF" w14:textId="4361DC0B"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 xml:space="preserve">Projet de </w:t>
      </w:r>
      <w:r w:rsidR="001F6C6B" w:rsidRPr="00215867">
        <w:rPr>
          <w:rFonts w:ascii="Times New Roman" w:hAnsi="Times New Roman"/>
          <w:sz w:val="24"/>
          <w:szCs w:val="24"/>
        </w:rPr>
        <w:t>construction d’une nouvelle aérogare de l’Aéroport de N’djili ;</w:t>
      </w:r>
    </w:p>
    <w:p w14:paraId="036C6126" w14:textId="1C435835" w:rsidR="001022FD" w:rsidRPr="00215867" w:rsidRDefault="001022FD" w:rsidP="001F6C6B">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Projet d’assainissement KIN BOPETO dans la ville de Kinshasa ;</w:t>
      </w:r>
    </w:p>
    <w:p w14:paraId="5C316D7E" w14:textId="5E9BA44C"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 xml:space="preserve">Projet de </w:t>
      </w:r>
      <w:r w:rsidR="001F6C6B" w:rsidRPr="00215867">
        <w:rPr>
          <w:rFonts w:ascii="Times New Roman" w:hAnsi="Times New Roman"/>
          <w:sz w:val="24"/>
          <w:szCs w:val="24"/>
        </w:rPr>
        <w:t>construction des saute-moutons sur le Boulevard Lumumba, Avenue du 24 Novembre, Boulevard du 30 Juin et à Pompage ;</w:t>
      </w:r>
    </w:p>
    <w:p w14:paraId="7DD060EC" w14:textId="4CF7C7AD" w:rsidR="0031169B" w:rsidRPr="00215867" w:rsidRDefault="0031169B" w:rsidP="001F6C6B">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 xml:space="preserve">Projet </w:t>
      </w:r>
      <w:r w:rsidR="00BC53BF">
        <w:rPr>
          <w:rFonts w:ascii="Times New Roman" w:hAnsi="Times New Roman"/>
          <w:sz w:val="24"/>
          <w:szCs w:val="24"/>
        </w:rPr>
        <w:t xml:space="preserve">de Développement multisectoriel et de Résilience  de la Ville de Kinshasa PDMRUK- </w:t>
      </w:r>
      <w:r w:rsidRPr="00215867">
        <w:rPr>
          <w:rFonts w:ascii="Times New Roman" w:hAnsi="Times New Roman"/>
          <w:sz w:val="24"/>
          <w:szCs w:val="24"/>
        </w:rPr>
        <w:t>KIN ELENDA</w:t>
      </w:r>
      <w:r w:rsidR="001022FD" w:rsidRPr="00215867">
        <w:rPr>
          <w:rFonts w:ascii="Times New Roman" w:hAnsi="Times New Roman"/>
          <w:sz w:val="24"/>
          <w:szCs w:val="24"/>
        </w:rPr>
        <w:t xml:space="preserve"> </w:t>
      </w:r>
      <w:r w:rsidR="00BC53BF">
        <w:rPr>
          <w:rFonts w:ascii="Times New Roman" w:hAnsi="Times New Roman"/>
          <w:sz w:val="24"/>
          <w:szCs w:val="24"/>
        </w:rPr>
        <w:t xml:space="preserve">qui comprend un volet </w:t>
      </w:r>
      <w:r w:rsidR="00BC53BF" w:rsidRPr="00B041F7">
        <w:rPr>
          <w:rFonts w:ascii="Times New Roman" w:hAnsi="Times New Roman"/>
          <w:sz w:val="24"/>
          <w:szCs w:val="24"/>
        </w:rPr>
        <w:t xml:space="preserve"> construction de l’usine de captage d’eau de la REGIDESO de l’Ozone sur le Fleuve Congo </w:t>
      </w:r>
      <w:r w:rsidR="00BC53BF">
        <w:rPr>
          <w:rFonts w:ascii="Times New Roman" w:hAnsi="Times New Roman"/>
          <w:sz w:val="24"/>
          <w:szCs w:val="24"/>
        </w:rPr>
        <w:t xml:space="preserve">et un Volet Energie </w:t>
      </w:r>
      <w:r w:rsidRPr="00215867">
        <w:rPr>
          <w:rFonts w:ascii="Times New Roman" w:hAnsi="Times New Roman"/>
          <w:sz w:val="24"/>
          <w:szCs w:val="24"/>
        </w:rPr>
        <w:t>;</w:t>
      </w:r>
    </w:p>
    <w:p w14:paraId="6F4260C0" w14:textId="58B4219C"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P</w:t>
      </w:r>
      <w:r w:rsidR="001F6C6B" w:rsidRPr="00215867">
        <w:rPr>
          <w:rFonts w:ascii="Times New Roman" w:hAnsi="Times New Roman"/>
          <w:sz w:val="24"/>
          <w:szCs w:val="24"/>
        </w:rPr>
        <w:t xml:space="preserve">rojet de construction de l’usine de captage d’eau de Lemba-Imbu sur la rivière N’djili dans la Commune de Lemba sur financement de la Corrée du Sud ; </w:t>
      </w:r>
    </w:p>
    <w:p w14:paraId="608687C1" w14:textId="117A3318"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T</w:t>
      </w:r>
      <w:r w:rsidR="001F6C6B" w:rsidRPr="00215867">
        <w:rPr>
          <w:rFonts w:ascii="Times New Roman" w:hAnsi="Times New Roman"/>
          <w:sz w:val="24"/>
          <w:szCs w:val="24"/>
        </w:rPr>
        <w:t xml:space="preserve">ravaux d’extension du réseau 20/04 kV de Kimbanseke (Lot 6 B) qui va s’étendre dans le Q13 et l’Avenue Maître Croquet dans la Commune de N’djili ; </w:t>
      </w:r>
    </w:p>
    <w:p w14:paraId="2412E76F" w14:textId="1806D5E5"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T</w:t>
      </w:r>
      <w:r w:rsidR="001F6C6B" w:rsidRPr="00215867">
        <w:rPr>
          <w:rFonts w:ascii="Times New Roman" w:hAnsi="Times New Roman"/>
          <w:sz w:val="24"/>
          <w:szCs w:val="24"/>
        </w:rPr>
        <w:t xml:space="preserve">ravaux de pose des équipements sur la sous-station de Lemba / </w:t>
      </w:r>
      <w:r w:rsidR="001022FD" w:rsidRPr="00215867">
        <w:rPr>
          <w:rFonts w:ascii="Times New Roman" w:hAnsi="Times New Roman"/>
          <w:sz w:val="24"/>
          <w:szCs w:val="24"/>
        </w:rPr>
        <w:t xml:space="preserve">UNIKIN relatifs au Marché 03 ; </w:t>
      </w:r>
      <w:r w:rsidR="001F6C6B" w:rsidRPr="00215867">
        <w:rPr>
          <w:rFonts w:ascii="Times New Roman" w:hAnsi="Times New Roman"/>
          <w:sz w:val="24"/>
          <w:szCs w:val="24"/>
        </w:rPr>
        <w:t>et</w:t>
      </w:r>
    </w:p>
    <w:p w14:paraId="04454B85" w14:textId="5948722E" w:rsidR="001F6C6B" w:rsidRPr="00215867" w:rsidRDefault="001C581D" w:rsidP="001F6C6B">
      <w:pPr>
        <w:pStyle w:val="Paragraphedeliste"/>
        <w:numPr>
          <w:ilvl w:val="0"/>
          <w:numId w:val="363"/>
        </w:numPr>
        <w:spacing w:after="0" w:line="276" w:lineRule="auto"/>
        <w:jc w:val="both"/>
        <w:rPr>
          <w:rFonts w:ascii="Times New Roman" w:hAnsi="Times New Roman"/>
          <w:sz w:val="24"/>
          <w:szCs w:val="24"/>
        </w:rPr>
      </w:pPr>
      <w:r w:rsidRPr="00983BCF">
        <w:rPr>
          <w:rFonts w:ascii="Times New Roman" w:hAnsi="Times New Roman"/>
          <w:sz w:val="24"/>
          <w:szCs w:val="24"/>
        </w:rPr>
        <w:t>P</w:t>
      </w:r>
      <w:r w:rsidR="001F6C6B" w:rsidRPr="00215867">
        <w:rPr>
          <w:rFonts w:ascii="Times New Roman" w:hAnsi="Times New Roman"/>
          <w:sz w:val="24"/>
          <w:szCs w:val="24"/>
        </w:rPr>
        <w:t>rojet d’amélioration de la bonne gouvernance en matière d’accès à l’eau et à l’électricité en perspective de réalisation sous financement IDA dans la zone du projet ainsi que le projet de branchements sociaux en cours d’exécution dans les 24 Communes de la Ville-Province de Ki</w:t>
      </w:r>
      <w:r w:rsidR="001022FD" w:rsidRPr="00215867">
        <w:rPr>
          <w:rFonts w:ascii="Times New Roman" w:hAnsi="Times New Roman"/>
          <w:sz w:val="24"/>
          <w:szCs w:val="24"/>
        </w:rPr>
        <w:t>nshasa dans le cadre de PEMU-FA ;</w:t>
      </w:r>
    </w:p>
    <w:p w14:paraId="20B7903F" w14:textId="49424832" w:rsidR="001022FD" w:rsidRPr="00215867" w:rsidRDefault="001022FD" w:rsidP="001F6C6B">
      <w:pPr>
        <w:pStyle w:val="Paragraphedeliste"/>
        <w:numPr>
          <w:ilvl w:val="0"/>
          <w:numId w:val="363"/>
        </w:numPr>
        <w:spacing w:after="0" w:line="276" w:lineRule="auto"/>
        <w:jc w:val="both"/>
        <w:rPr>
          <w:rFonts w:ascii="Times New Roman" w:hAnsi="Times New Roman"/>
          <w:sz w:val="24"/>
          <w:szCs w:val="24"/>
        </w:rPr>
      </w:pPr>
      <w:r w:rsidRPr="00215867">
        <w:rPr>
          <w:rFonts w:ascii="Times New Roman" w:hAnsi="Times New Roman"/>
          <w:sz w:val="24"/>
          <w:szCs w:val="24"/>
        </w:rPr>
        <w:t>Etc.</w:t>
      </w:r>
    </w:p>
    <w:p w14:paraId="62BF7499" w14:textId="1ABE21CE" w:rsidR="001F6C6B" w:rsidRDefault="001F6C6B" w:rsidP="00215867">
      <w:pPr>
        <w:spacing w:before="120" w:after="0"/>
        <w:jc w:val="both"/>
        <w:rPr>
          <w:rFonts w:ascii="Times New Roman" w:hAnsi="Times New Roman"/>
          <w:sz w:val="24"/>
          <w:szCs w:val="24"/>
        </w:rPr>
      </w:pPr>
      <w:r w:rsidRPr="00215867">
        <w:rPr>
          <w:rFonts w:ascii="Times New Roman" w:hAnsi="Times New Roman"/>
          <w:sz w:val="24"/>
          <w:szCs w:val="24"/>
        </w:rPr>
        <w:t xml:space="preserve">Etant donné que le Projet </w:t>
      </w:r>
      <w:r w:rsidR="00CC1751">
        <w:rPr>
          <w:rFonts w:ascii="Times New Roman" w:hAnsi="Times New Roman"/>
          <w:sz w:val="24"/>
          <w:szCs w:val="24"/>
        </w:rPr>
        <w:t xml:space="preserve">d’Accès de Gouvernance et e Réformes des  </w:t>
      </w:r>
      <w:r w:rsidR="00803A8A">
        <w:rPr>
          <w:rFonts w:ascii="Times New Roman" w:hAnsi="Times New Roman"/>
          <w:sz w:val="24"/>
          <w:szCs w:val="24"/>
        </w:rPr>
        <w:t>Secteurs</w:t>
      </w:r>
      <w:r w:rsidR="00CC1751">
        <w:rPr>
          <w:rFonts w:ascii="Times New Roman" w:hAnsi="Times New Roman"/>
          <w:sz w:val="24"/>
          <w:szCs w:val="24"/>
        </w:rPr>
        <w:t xml:space="preserve"> de l’Electricité et de l’Eau </w:t>
      </w:r>
      <w:r w:rsidR="001C581D" w:rsidRPr="00983BCF">
        <w:rPr>
          <w:rFonts w:ascii="Times New Roman" w:hAnsi="Times New Roman"/>
          <w:sz w:val="24"/>
          <w:szCs w:val="24"/>
        </w:rPr>
        <w:t>AGREE</w:t>
      </w:r>
      <w:r w:rsidRPr="00215867">
        <w:rPr>
          <w:rFonts w:ascii="Times New Roman" w:hAnsi="Times New Roman"/>
          <w:sz w:val="24"/>
          <w:szCs w:val="24"/>
        </w:rPr>
        <w:t xml:space="preserve"> n’a pas encore commencé, les projets passés n’occasionneront pas d’impacts directs cumulatifs. Seuls les projets en cours auront à occasionner des impacts cumulatifs s’ils se terminent pendant la mise en œuvre du Projet </w:t>
      </w:r>
      <w:r w:rsidR="001C581D" w:rsidRPr="00983BCF">
        <w:rPr>
          <w:rFonts w:ascii="Times New Roman" w:hAnsi="Times New Roman"/>
          <w:sz w:val="24"/>
          <w:szCs w:val="24"/>
        </w:rPr>
        <w:t>AGREE</w:t>
      </w:r>
      <w:r w:rsidRPr="00215867">
        <w:rPr>
          <w:rFonts w:ascii="Times New Roman" w:hAnsi="Times New Roman"/>
          <w:sz w:val="24"/>
          <w:szCs w:val="24"/>
        </w:rPr>
        <w:t>.</w:t>
      </w:r>
      <w:r w:rsidR="00BC53BF">
        <w:rPr>
          <w:rFonts w:ascii="Times New Roman" w:hAnsi="Times New Roman"/>
          <w:sz w:val="24"/>
          <w:szCs w:val="24"/>
        </w:rPr>
        <w:t xml:space="preserve"> Ci-dessous quelques indication</w:t>
      </w:r>
      <w:r w:rsidR="00803A8A">
        <w:rPr>
          <w:rFonts w:ascii="Times New Roman" w:hAnsi="Times New Roman"/>
          <w:sz w:val="24"/>
          <w:szCs w:val="24"/>
        </w:rPr>
        <w:t>s</w:t>
      </w:r>
      <w:r w:rsidR="00BC53BF">
        <w:rPr>
          <w:rFonts w:ascii="Times New Roman" w:hAnsi="Times New Roman"/>
          <w:sz w:val="24"/>
          <w:szCs w:val="24"/>
        </w:rPr>
        <w:t xml:space="preserve"> sur les impacts générés par</w:t>
      </w:r>
      <w:r w:rsidR="00803A8A">
        <w:rPr>
          <w:rFonts w:ascii="Times New Roman" w:hAnsi="Times New Roman"/>
          <w:sz w:val="24"/>
          <w:szCs w:val="24"/>
        </w:rPr>
        <w:t xml:space="preserve"> </w:t>
      </w:r>
      <w:r w:rsidR="00BC53BF">
        <w:rPr>
          <w:rFonts w:ascii="Times New Roman" w:hAnsi="Times New Roman"/>
          <w:sz w:val="24"/>
          <w:szCs w:val="24"/>
        </w:rPr>
        <w:t>ces projets</w:t>
      </w:r>
    </w:p>
    <w:p w14:paraId="1C5A5326" w14:textId="33FA1798" w:rsidR="00CC1751" w:rsidRPr="005433B5" w:rsidRDefault="00CC1751" w:rsidP="00CC1751">
      <w:pPr>
        <w:pStyle w:val="Lgende"/>
        <w:rPr>
          <w:bCs/>
          <w:color w:val="auto"/>
          <w:sz w:val="24"/>
          <w:szCs w:val="2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1524"/>
        <w:gridCol w:w="1439"/>
        <w:gridCol w:w="872"/>
        <w:gridCol w:w="2140"/>
        <w:gridCol w:w="1384"/>
        <w:gridCol w:w="1770"/>
      </w:tblGrid>
      <w:tr w:rsidR="002C66D7" w:rsidRPr="00420C1B" w14:paraId="1EC433A2" w14:textId="77777777" w:rsidTr="00420C1B">
        <w:trPr>
          <w:tblHeader/>
        </w:trPr>
        <w:tc>
          <w:tcPr>
            <w:tcW w:w="419" w:type="dxa"/>
            <w:shd w:val="clear" w:color="auto" w:fill="auto"/>
            <w:vAlign w:val="center"/>
          </w:tcPr>
          <w:p w14:paraId="5034AB26"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bCs/>
                <w:sz w:val="20"/>
                <w:szCs w:val="20"/>
                <w:lang w:val="fr-CD"/>
              </w:rPr>
              <w:t>N°</w:t>
            </w:r>
          </w:p>
        </w:tc>
        <w:tc>
          <w:tcPr>
            <w:tcW w:w="1539" w:type="dxa"/>
            <w:shd w:val="clear" w:color="auto" w:fill="auto"/>
            <w:vAlign w:val="center"/>
          </w:tcPr>
          <w:p w14:paraId="0F96C28D"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bCs/>
                <w:sz w:val="20"/>
                <w:szCs w:val="20"/>
                <w:lang w:val="fr-CD"/>
              </w:rPr>
              <w:t>Intitulé du projet</w:t>
            </w:r>
          </w:p>
        </w:tc>
        <w:tc>
          <w:tcPr>
            <w:tcW w:w="1409" w:type="dxa"/>
            <w:shd w:val="clear" w:color="auto" w:fill="auto"/>
            <w:vAlign w:val="center"/>
          </w:tcPr>
          <w:p w14:paraId="25B2445C"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bCs/>
                <w:sz w:val="20"/>
                <w:szCs w:val="20"/>
                <w:lang w:val="fr-CD"/>
              </w:rPr>
              <w:t>Zone géographique d’intervention</w:t>
            </w:r>
          </w:p>
        </w:tc>
        <w:tc>
          <w:tcPr>
            <w:tcW w:w="859" w:type="dxa"/>
            <w:shd w:val="clear" w:color="auto" w:fill="auto"/>
            <w:vAlign w:val="center"/>
          </w:tcPr>
          <w:p w14:paraId="42F54C8C"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bCs/>
                <w:sz w:val="20"/>
                <w:szCs w:val="20"/>
                <w:lang w:val="fr-CD"/>
              </w:rPr>
              <w:t>Période</w:t>
            </w:r>
          </w:p>
        </w:tc>
        <w:tc>
          <w:tcPr>
            <w:tcW w:w="2151" w:type="dxa"/>
            <w:shd w:val="clear" w:color="auto" w:fill="auto"/>
            <w:vAlign w:val="center"/>
          </w:tcPr>
          <w:p w14:paraId="57866981"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bCs/>
                <w:sz w:val="20"/>
                <w:szCs w:val="20"/>
                <w:lang w:val="fr-CD"/>
              </w:rPr>
              <w:t>Domaine d’activités</w:t>
            </w:r>
          </w:p>
        </w:tc>
        <w:tc>
          <w:tcPr>
            <w:tcW w:w="1414" w:type="dxa"/>
            <w:shd w:val="clear" w:color="auto" w:fill="auto"/>
            <w:vAlign w:val="center"/>
          </w:tcPr>
          <w:p w14:paraId="5A8A611D"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sz w:val="20"/>
                <w:szCs w:val="20"/>
              </w:rPr>
              <w:t xml:space="preserve">Types d’impact et composantes affectée  </w:t>
            </w:r>
          </w:p>
        </w:tc>
        <w:tc>
          <w:tcPr>
            <w:tcW w:w="1780" w:type="dxa"/>
            <w:shd w:val="clear" w:color="auto" w:fill="auto"/>
            <w:vAlign w:val="center"/>
          </w:tcPr>
          <w:p w14:paraId="09BC7AEB" w14:textId="77777777" w:rsidR="00CC1751" w:rsidRPr="00420C1B" w:rsidRDefault="00CC1751" w:rsidP="00420C1B">
            <w:pPr>
              <w:spacing w:after="0" w:line="240" w:lineRule="auto"/>
              <w:contextualSpacing/>
              <w:rPr>
                <w:rFonts w:ascii="Times New Roman" w:hAnsi="Times New Roman"/>
                <w:b/>
                <w:bCs/>
                <w:sz w:val="20"/>
                <w:szCs w:val="20"/>
                <w:lang w:val="fr-CD"/>
              </w:rPr>
            </w:pPr>
            <w:r w:rsidRPr="00420C1B">
              <w:rPr>
                <w:rFonts w:ascii="Times New Roman" w:hAnsi="Times New Roman"/>
                <w:b/>
                <w:sz w:val="20"/>
                <w:szCs w:val="20"/>
              </w:rPr>
              <w:t>Principales mesures d’atténuation des impacts cumulatifs</w:t>
            </w:r>
          </w:p>
        </w:tc>
      </w:tr>
      <w:tr w:rsidR="002C66D7" w:rsidRPr="00420C1B" w14:paraId="09FD6C94" w14:textId="77777777" w:rsidTr="00420C1B">
        <w:tblPrEx>
          <w:jc w:val="center"/>
        </w:tblPrEx>
        <w:trPr>
          <w:trHeight w:val="670"/>
          <w:jc w:val="center"/>
        </w:trPr>
        <w:tc>
          <w:tcPr>
            <w:tcW w:w="419" w:type="dxa"/>
            <w:shd w:val="clear" w:color="auto" w:fill="auto"/>
          </w:tcPr>
          <w:p w14:paraId="67FD9269" w14:textId="77777777" w:rsidR="00CC1751" w:rsidRPr="00420C1B" w:rsidRDefault="00CC1751" w:rsidP="00420C1B">
            <w:pPr>
              <w:spacing w:after="0" w:line="240" w:lineRule="auto"/>
              <w:contextualSpacing/>
              <w:rPr>
                <w:rFonts w:ascii="Times New Roman" w:hAnsi="Times New Roman"/>
                <w:sz w:val="20"/>
                <w:szCs w:val="20"/>
                <w:lang w:val="fr-CD"/>
              </w:rPr>
            </w:pPr>
            <w:r w:rsidRPr="00420C1B">
              <w:rPr>
                <w:rFonts w:ascii="Times New Roman" w:hAnsi="Times New Roman"/>
                <w:sz w:val="20"/>
                <w:szCs w:val="20"/>
                <w:lang w:val="fr-CD"/>
              </w:rPr>
              <w:t>1</w:t>
            </w:r>
          </w:p>
        </w:tc>
        <w:tc>
          <w:tcPr>
            <w:tcW w:w="1539" w:type="dxa"/>
            <w:shd w:val="clear" w:color="auto" w:fill="auto"/>
          </w:tcPr>
          <w:p w14:paraId="05E6A7B4"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 xml:space="preserve">Projet de Développement du Marché d’Electricité pour la Consommation Domestique et à l’Exportation (PMEDE) </w:t>
            </w:r>
          </w:p>
        </w:tc>
        <w:tc>
          <w:tcPr>
            <w:tcW w:w="1409" w:type="dxa"/>
            <w:shd w:val="clear" w:color="auto" w:fill="auto"/>
          </w:tcPr>
          <w:p w14:paraId="7CBC6AE5"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Inga (Kongo centrale) et Kinshasa</w:t>
            </w:r>
          </w:p>
        </w:tc>
        <w:tc>
          <w:tcPr>
            <w:tcW w:w="859" w:type="dxa"/>
            <w:shd w:val="clear" w:color="auto" w:fill="auto"/>
          </w:tcPr>
          <w:p w14:paraId="635DD078"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2010-2018</w:t>
            </w:r>
          </w:p>
        </w:tc>
        <w:tc>
          <w:tcPr>
            <w:tcW w:w="2151" w:type="dxa"/>
            <w:shd w:val="clear" w:color="auto" w:fill="auto"/>
          </w:tcPr>
          <w:p w14:paraId="21138069"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Fiabilisation, rénovation ou réhabilitation des centrales d’Inga 1 et 2 ainsi que des ouvrages connexes</w:t>
            </w:r>
          </w:p>
          <w:p w14:paraId="0431F671"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Transformation de l’énergie et son transport avec la construction d’une seconde ligne HT longue de 263,7 km entre Inga-Kinshasa</w:t>
            </w:r>
          </w:p>
          <w:p w14:paraId="0BC80CAB"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Réhabilitation et l’extension du réseau de distribution de Kinshasa, notamment par la mise en place d’un injecteur à Kimbanseke et l’élimination de certaines poches noires dans les zones non desservies</w:t>
            </w:r>
          </w:p>
          <w:p w14:paraId="149AB7C4"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Appui institutionnel par la commercialisation, le renforcement des capacités et les réformes sectorielles.</w:t>
            </w:r>
          </w:p>
        </w:tc>
        <w:tc>
          <w:tcPr>
            <w:tcW w:w="1414" w:type="dxa"/>
            <w:shd w:val="clear" w:color="auto" w:fill="auto"/>
            <w:vAlign w:val="center"/>
          </w:tcPr>
          <w:p w14:paraId="0E88A429" w14:textId="77777777" w:rsidR="00CC1751" w:rsidRPr="00420C1B" w:rsidRDefault="00CC1751" w:rsidP="00420C1B">
            <w:pPr>
              <w:spacing w:after="0" w:line="240" w:lineRule="auto"/>
              <w:jc w:val="both"/>
              <w:rPr>
                <w:rFonts w:ascii="Times New Roman" w:hAnsi="Times New Roman"/>
                <w:sz w:val="20"/>
                <w:szCs w:val="20"/>
              </w:rPr>
            </w:pPr>
            <w:r w:rsidRPr="00420C1B">
              <w:rPr>
                <w:rFonts w:ascii="Times New Roman" w:hAnsi="Times New Roman"/>
                <w:sz w:val="20"/>
                <w:szCs w:val="20"/>
              </w:rPr>
              <w:t xml:space="preserve">la qualité de l’air ; (ii) la circulation ; (iii) la dégradation du sol ; (iv) le bruit et les vibrations ; (v) les déplacements de populations et d’activités ; (vi) les risques d’accidents ; (vii) la pollution des eaux et des sols par les huiles diélectriques </w:t>
            </w:r>
          </w:p>
          <w:p w14:paraId="2B0E7716"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p>
        </w:tc>
        <w:tc>
          <w:tcPr>
            <w:tcW w:w="1780" w:type="dxa"/>
            <w:shd w:val="clear" w:color="auto" w:fill="auto"/>
          </w:tcPr>
          <w:p w14:paraId="64FB57B0"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prévoir et harmoniser des clauses spécifiques pour les entreprises de construction</w:t>
            </w:r>
          </w:p>
          <w:p w14:paraId="195FECD5" w14:textId="77777777" w:rsidR="00CC1751" w:rsidRPr="00420C1B" w:rsidRDefault="00CC1751" w:rsidP="00420C1B">
            <w:pPr>
              <w:numPr>
                <w:ilvl w:val="0"/>
                <w:numId w:val="299"/>
              </w:numPr>
              <w:spacing w:after="0" w:line="240" w:lineRule="auto"/>
              <w:ind w:left="0" w:hanging="79"/>
              <w:jc w:val="both"/>
              <w:rPr>
                <w:rFonts w:ascii="Times New Roman" w:hAnsi="Times New Roman"/>
                <w:sz w:val="20"/>
                <w:szCs w:val="20"/>
              </w:rPr>
            </w:pPr>
            <w:r w:rsidRPr="00420C1B">
              <w:rPr>
                <w:rFonts w:ascii="Times New Roman" w:hAnsi="Times New Roman"/>
                <w:sz w:val="20"/>
                <w:szCs w:val="20"/>
              </w:rPr>
              <w:t xml:space="preserve">harmoniser les calendriers d’exécution des travaux ; </w:t>
            </w:r>
          </w:p>
          <w:p w14:paraId="100D5E74" w14:textId="77777777" w:rsidR="00CC1751" w:rsidRPr="00420C1B" w:rsidRDefault="00CC1751" w:rsidP="00420C1B">
            <w:pPr>
              <w:numPr>
                <w:ilvl w:val="0"/>
                <w:numId w:val="299"/>
              </w:numPr>
              <w:spacing w:after="0" w:line="240" w:lineRule="auto"/>
              <w:ind w:left="0" w:hanging="79"/>
              <w:jc w:val="both"/>
              <w:rPr>
                <w:rFonts w:ascii="Times New Roman" w:hAnsi="Times New Roman"/>
                <w:sz w:val="20"/>
                <w:szCs w:val="20"/>
              </w:rPr>
            </w:pPr>
            <w:r w:rsidRPr="00420C1B">
              <w:rPr>
                <w:rFonts w:ascii="Times New Roman" w:hAnsi="Times New Roman"/>
                <w:sz w:val="20"/>
                <w:szCs w:val="20"/>
              </w:rPr>
              <w:t>mettre en œuvre un programme de surveillance et de suivi environnemental et social afin de maitriser les impacts potentiels et les risques.</w:t>
            </w:r>
          </w:p>
          <w:p w14:paraId="6BED4F05" w14:textId="77777777" w:rsidR="00CC1751" w:rsidRPr="00420C1B" w:rsidRDefault="00CC1751" w:rsidP="00420C1B">
            <w:pPr>
              <w:pStyle w:val="Paragraphedeliste"/>
              <w:spacing w:after="0" w:line="240" w:lineRule="auto"/>
              <w:ind w:left="0"/>
              <w:rPr>
                <w:rFonts w:ascii="Times New Roman" w:hAnsi="Times New Roman"/>
                <w:sz w:val="20"/>
                <w:szCs w:val="20"/>
              </w:rPr>
            </w:pPr>
          </w:p>
        </w:tc>
      </w:tr>
      <w:tr w:rsidR="002C66D7" w:rsidRPr="00420C1B" w14:paraId="7D813900" w14:textId="77777777" w:rsidTr="00420C1B">
        <w:tblPrEx>
          <w:jc w:val="center"/>
        </w:tblPrEx>
        <w:trPr>
          <w:trHeight w:val="670"/>
          <w:jc w:val="center"/>
        </w:trPr>
        <w:tc>
          <w:tcPr>
            <w:tcW w:w="419" w:type="dxa"/>
            <w:shd w:val="clear" w:color="auto" w:fill="auto"/>
          </w:tcPr>
          <w:p w14:paraId="5A3B23AF" w14:textId="77777777" w:rsidR="00CC1751" w:rsidRPr="00420C1B" w:rsidRDefault="00CC1751" w:rsidP="00420C1B">
            <w:pPr>
              <w:spacing w:after="0" w:line="240" w:lineRule="auto"/>
              <w:contextualSpacing/>
              <w:rPr>
                <w:rFonts w:ascii="Times New Roman" w:hAnsi="Times New Roman"/>
                <w:sz w:val="20"/>
                <w:szCs w:val="20"/>
                <w:lang w:val="fr-CD"/>
              </w:rPr>
            </w:pPr>
            <w:r w:rsidRPr="00420C1B">
              <w:rPr>
                <w:rFonts w:ascii="Times New Roman" w:hAnsi="Times New Roman"/>
                <w:sz w:val="20"/>
                <w:szCs w:val="20"/>
                <w:lang w:val="fr-CD"/>
              </w:rPr>
              <w:t>2</w:t>
            </w:r>
          </w:p>
        </w:tc>
        <w:tc>
          <w:tcPr>
            <w:tcW w:w="1539" w:type="dxa"/>
            <w:shd w:val="clear" w:color="auto" w:fill="auto"/>
          </w:tcPr>
          <w:p w14:paraId="29D4DA13"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Projet d’Accès et d’Amélioration des Services Electriques (EASE)</w:t>
            </w:r>
          </w:p>
        </w:tc>
        <w:tc>
          <w:tcPr>
            <w:tcW w:w="1409" w:type="dxa"/>
            <w:shd w:val="clear" w:color="auto" w:fill="auto"/>
          </w:tcPr>
          <w:p w14:paraId="65BEDB26"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Kinshasa, Gbadolite et Mobayi-Mbongo (Nord-Ubangi), Goma, Beni et Butembo (Nord-Kivu)</w:t>
            </w:r>
          </w:p>
        </w:tc>
        <w:tc>
          <w:tcPr>
            <w:tcW w:w="859" w:type="dxa"/>
            <w:shd w:val="clear" w:color="auto" w:fill="auto"/>
          </w:tcPr>
          <w:p w14:paraId="65EA2F3F"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2017-2022</w:t>
            </w:r>
          </w:p>
        </w:tc>
        <w:tc>
          <w:tcPr>
            <w:tcW w:w="2151" w:type="dxa"/>
            <w:shd w:val="clear" w:color="auto" w:fill="auto"/>
          </w:tcPr>
          <w:p w14:paraId="64237A0C"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Mise à niveau du réseau et extension de l’accès dans des zones de service sélectionnées de SNEL SA dans les villes de Kinshasa et de Gbadolite (Nord-Ubangi)</w:t>
            </w:r>
          </w:p>
          <w:p w14:paraId="400E095B"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Extension de l’accès par les secteurs privés</w:t>
            </w:r>
          </w:p>
          <w:p w14:paraId="7589D095"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Développement sectoriel et soutien à la mise en œuvre du projet</w:t>
            </w:r>
          </w:p>
          <w:p w14:paraId="4313CCE1"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Gestion du projet</w:t>
            </w:r>
          </w:p>
        </w:tc>
        <w:tc>
          <w:tcPr>
            <w:tcW w:w="1414" w:type="dxa"/>
            <w:shd w:val="clear" w:color="auto" w:fill="auto"/>
            <w:vAlign w:val="center"/>
          </w:tcPr>
          <w:p w14:paraId="69A7AB2D" w14:textId="77777777" w:rsidR="00CC1751" w:rsidRPr="00420C1B" w:rsidRDefault="00CC1751" w:rsidP="00420C1B">
            <w:pPr>
              <w:spacing w:after="0" w:line="240" w:lineRule="auto"/>
              <w:jc w:val="both"/>
              <w:rPr>
                <w:rFonts w:ascii="Times New Roman" w:hAnsi="Times New Roman"/>
                <w:sz w:val="20"/>
                <w:szCs w:val="20"/>
              </w:rPr>
            </w:pPr>
            <w:r w:rsidRPr="00420C1B">
              <w:rPr>
                <w:rFonts w:ascii="Times New Roman" w:hAnsi="Times New Roman"/>
                <w:sz w:val="20"/>
                <w:szCs w:val="20"/>
              </w:rPr>
              <w:t xml:space="preserve">la qualité de l’air ; (ii) la circulation ; (iii) la dégradation du sol ; (iv) le bruit et les vibrations ; (v) les déplacements de populations et d’activités ; (vi) les risques d’accidents ; (vii) la pollution des eaux suite à l’utilisation des batteries. </w:t>
            </w:r>
          </w:p>
        </w:tc>
        <w:tc>
          <w:tcPr>
            <w:tcW w:w="1780" w:type="dxa"/>
            <w:shd w:val="clear" w:color="auto" w:fill="auto"/>
          </w:tcPr>
          <w:p w14:paraId="605EDC93" w14:textId="1C67E535"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 xml:space="preserve">Assurer le </w:t>
            </w:r>
            <w:r w:rsidR="00BC53BF" w:rsidRPr="00420C1B">
              <w:rPr>
                <w:rFonts w:ascii="Times New Roman" w:hAnsi="Times New Roman"/>
                <w:sz w:val="20"/>
                <w:szCs w:val="20"/>
              </w:rPr>
              <w:t>parachèvement</w:t>
            </w:r>
            <w:r w:rsidRPr="00420C1B">
              <w:rPr>
                <w:rFonts w:ascii="Times New Roman" w:hAnsi="Times New Roman"/>
                <w:sz w:val="20"/>
                <w:szCs w:val="20"/>
              </w:rPr>
              <w:t xml:space="preserve"> des activités dont EASE n’a pas pu financer  les travaux </w:t>
            </w:r>
          </w:p>
          <w:p w14:paraId="3240DD94"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Utiliser les cellules locales et comité de gestion des plaintes mise en place dans le cadre du projet EASE.</w:t>
            </w:r>
          </w:p>
        </w:tc>
      </w:tr>
      <w:tr w:rsidR="002C66D7" w:rsidRPr="00420C1B" w14:paraId="47568C05" w14:textId="77777777" w:rsidTr="00420C1B">
        <w:tblPrEx>
          <w:jc w:val="center"/>
        </w:tblPrEx>
        <w:trPr>
          <w:trHeight w:val="670"/>
          <w:jc w:val="center"/>
        </w:trPr>
        <w:tc>
          <w:tcPr>
            <w:tcW w:w="419" w:type="dxa"/>
            <w:shd w:val="clear" w:color="auto" w:fill="auto"/>
            <w:vAlign w:val="center"/>
          </w:tcPr>
          <w:p w14:paraId="6174A4B7" w14:textId="77777777" w:rsidR="00CC1751" w:rsidRPr="00420C1B" w:rsidRDefault="00CC1751" w:rsidP="00420C1B">
            <w:pPr>
              <w:spacing w:after="0" w:line="240" w:lineRule="auto"/>
              <w:contextualSpacing/>
              <w:rPr>
                <w:rFonts w:ascii="Times New Roman" w:hAnsi="Times New Roman"/>
                <w:sz w:val="20"/>
                <w:szCs w:val="20"/>
                <w:lang w:val="fr-CD"/>
              </w:rPr>
            </w:pPr>
            <w:r w:rsidRPr="00420C1B">
              <w:rPr>
                <w:rFonts w:ascii="Times New Roman" w:hAnsi="Times New Roman"/>
                <w:sz w:val="20"/>
                <w:szCs w:val="20"/>
                <w:lang w:val="fr-CD"/>
              </w:rPr>
              <w:t>3</w:t>
            </w:r>
          </w:p>
        </w:tc>
        <w:tc>
          <w:tcPr>
            <w:tcW w:w="1539" w:type="dxa"/>
            <w:shd w:val="clear" w:color="auto" w:fill="auto"/>
            <w:vAlign w:val="center"/>
          </w:tcPr>
          <w:p w14:paraId="52DFFA17" w14:textId="172AE9E1"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 xml:space="preserve">Projet PDMRUK KIN ELENDA (Volet Energie) </w:t>
            </w:r>
          </w:p>
        </w:tc>
        <w:tc>
          <w:tcPr>
            <w:tcW w:w="1409" w:type="dxa"/>
            <w:shd w:val="clear" w:color="auto" w:fill="auto"/>
            <w:vAlign w:val="center"/>
          </w:tcPr>
          <w:p w14:paraId="758A16A0"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Kinshasa</w:t>
            </w:r>
          </w:p>
        </w:tc>
        <w:tc>
          <w:tcPr>
            <w:tcW w:w="859" w:type="dxa"/>
            <w:shd w:val="clear" w:color="auto" w:fill="auto"/>
            <w:vAlign w:val="center"/>
          </w:tcPr>
          <w:p w14:paraId="4D92E2E6" w14:textId="77777777" w:rsidR="00CC1751" w:rsidRPr="00420C1B" w:rsidRDefault="00CC1751" w:rsidP="00420C1B">
            <w:pPr>
              <w:spacing w:after="0" w:line="240" w:lineRule="auto"/>
              <w:contextualSpacing/>
              <w:rPr>
                <w:rFonts w:ascii="Times New Roman" w:hAnsi="Times New Roman"/>
                <w:sz w:val="20"/>
                <w:szCs w:val="20"/>
              </w:rPr>
            </w:pPr>
            <w:r w:rsidRPr="00420C1B">
              <w:rPr>
                <w:rFonts w:ascii="Times New Roman" w:hAnsi="Times New Roman"/>
                <w:sz w:val="20"/>
                <w:szCs w:val="20"/>
              </w:rPr>
              <w:t>2021 - 2026</w:t>
            </w:r>
          </w:p>
        </w:tc>
        <w:tc>
          <w:tcPr>
            <w:tcW w:w="2151" w:type="dxa"/>
            <w:shd w:val="clear" w:color="auto" w:fill="auto"/>
            <w:vAlign w:val="center"/>
          </w:tcPr>
          <w:p w14:paraId="17176541" w14:textId="41E30197" w:rsidR="00CC1751" w:rsidRPr="00420C1B" w:rsidRDefault="00BC53BF" w:rsidP="00420C1B">
            <w:pPr>
              <w:pStyle w:val="Paragraphedeliste"/>
              <w:numPr>
                <w:ilvl w:val="0"/>
                <w:numId w:val="299"/>
              </w:numPr>
              <w:spacing w:after="0" w:line="240" w:lineRule="auto"/>
              <w:ind w:left="0" w:hanging="79"/>
              <w:rPr>
                <w:rFonts w:ascii="Times New Roman" w:hAnsi="Times New Roman"/>
                <w:sz w:val="20"/>
                <w:szCs w:val="20"/>
              </w:rPr>
            </w:pPr>
            <w:r w:rsidRPr="00420C1B">
              <w:rPr>
                <w:rFonts w:ascii="Times New Roman" w:hAnsi="Times New Roman"/>
                <w:sz w:val="20"/>
                <w:szCs w:val="20"/>
              </w:rPr>
              <w:t xml:space="preserve">Electrification par énergie solaire des bâtiments publics et des voiries urbaines </w:t>
            </w:r>
          </w:p>
        </w:tc>
        <w:tc>
          <w:tcPr>
            <w:tcW w:w="1414" w:type="dxa"/>
            <w:shd w:val="clear" w:color="auto" w:fill="auto"/>
            <w:vAlign w:val="center"/>
          </w:tcPr>
          <w:p w14:paraId="77941DF7" w14:textId="12863A1D" w:rsidR="00CC1751" w:rsidRPr="00420C1B" w:rsidRDefault="00BC53BF" w:rsidP="00420C1B">
            <w:pPr>
              <w:spacing w:after="0" w:line="240" w:lineRule="auto"/>
              <w:rPr>
                <w:rFonts w:ascii="Times New Roman" w:hAnsi="Times New Roman"/>
                <w:sz w:val="20"/>
                <w:szCs w:val="20"/>
              </w:rPr>
            </w:pPr>
            <w:r w:rsidRPr="00420C1B">
              <w:rPr>
                <w:rFonts w:ascii="Times New Roman" w:hAnsi="Times New Roman"/>
                <w:sz w:val="20"/>
                <w:szCs w:val="20"/>
              </w:rPr>
              <w:t>l’air ; (ii) la circulation ; (iii) la dégradation du sol ; (iv) le bruit et les vibrations ; (v) les déplacements de populations</w:t>
            </w:r>
          </w:p>
        </w:tc>
        <w:tc>
          <w:tcPr>
            <w:tcW w:w="1780" w:type="dxa"/>
            <w:shd w:val="clear" w:color="auto" w:fill="auto"/>
            <w:vAlign w:val="center"/>
          </w:tcPr>
          <w:p w14:paraId="084E8525" w14:textId="77777777" w:rsidR="00CC1751" w:rsidRPr="00420C1B" w:rsidRDefault="00CC1751" w:rsidP="00420C1B">
            <w:pPr>
              <w:pStyle w:val="Paragraphedeliste"/>
              <w:numPr>
                <w:ilvl w:val="0"/>
                <w:numId w:val="299"/>
              </w:numPr>
              <w:spacing w:after="0" w:line="240" w:lineRule="auto"/>
              <w:ind w:left="0" w:hanging="79"/>
              <w:rPr>
                <w:rFonts w:ascii="Times New Roman" w:hAnsi="Times New Roman"/>
                <w:sz w:val="20"/>
                <w:szCs w:val="20"/>
              </w:rPr>
            </w:pPr>
          </w:p>
        </w:tc>
      </w:tr>
    </w:tbl>
    <w:p w14:paraId="5A1F1606" w14:textId="77777777" w:rsidR="00CC1751" w:rsidRDefault="00CC1751" w:rsidP="00215867">
      <w:pPr>
        <w:spacing w:before="120" w:after="0"/>
        <w:jc w:val="both"/>
        <w:rPr>
          <w:rFonts w:ascii="Times New Roman" w:hAnsi="Times New Roman"/>
          <w:sz w:val="24"/>
          <w:szCs w:val="24"/>
        </w:rPr>
      </w:pPr>
    </w:p>
    <w:p w14:paraId="65E8FED3" w14:textId="77777777" w:rsidR="001F6C6B" w:rsidRPr="00215867" w:rsidRDefault="001F6C6B" w:rsidP="00215867">
      <w:pPr>
        <w:pStyle w:val="Titre31"/>
        <w:numPr>
          <w:ilvl w:val="2"/>
          <w:numId w:val="54"/>
        </w:numPr>
        <w:tabs>
          <w:tab w:val="left" w:pos="993"/>
        </w:tabs>
        <w:spacing w:before="120" w:after="120" w:line="20" w:lineRule="atLeast"/>
        <w:ind w:left="993" w:hanging="709"/>
        <w:rPr>
          <w:b w:val="0"/>
          <w:i/>
        </w:rPr>
      </w:pPr>
      <w:bookmarkStart w:id="734" w:name="_Toc103685706"/>
      <w:r w:rsidRPr="00215867">
        <w:rPr>
          <w:rFonts w:eastAsia="Calibri"/>
          <w:b w:val="0"/>
          <w:i/>
          <w:u w:val="none"/>
        </w:rPr>
        <w:t>Identification des Projets/activités futurs dans la zone restreinte et/ou élargie du Projet</w:t>
      </w:r>
      <w:bookmarkEnd w:id="734"/>
    </w:p>
    <w:p w14:paraId="2255425B" w14:textId="0E9EA11D" w:rsidR="001F6C6B" w:rsidRPr="00215867" w:rsidRDefault="001F6C6B" w:rsidP="001F6C6B">
      <w:pPr>
        <w:spacing w:after="0"/>
        <w:jc w:val="both"/>
        <w:rPr>
          <w:rFonts w:ascii="Times New Roman" w:hAnsi="Times New Roman"/>
          <w:sz w:val="24"/>
          <w:szCs w:val="21"/>
        </w:rPr>
      </w:pPr>
      <w:r w:rsidRPr="00215867">
        <w:rPr>
          <w:rFonts w:ascii="Times New Roman" w:hAnsi="Times New Roman"/>
          <w:sz w:val="24"/>
          <w:szCs w:val="21"/>
        </w:rPr>
        <w:t xml:space="preserve">D’après le Plan Directeur des Transports Urbains de la Ville de Kinshasa / PDTK financé par l'Agence Japonaise de Coopération Internationale (JICA), 110 Projets de développement du secteur de transport ont été identifiés par le Programme de développement à l’horizon moyen terme de 2030 et à long terme à 2040. C’est ainsi que sur cette base, il a été identifié quelques projets futurs du développement ci-dessous se trouvant dans la zone d’influence et qui pourront occasionner des impacts cumulatifs avec le Projet </w:t>
      </w:r>
      <w:r w:rsidR="001022FD" w:rsidRPr="00215867">
        <w:rPr>
          <w:rFonts w:ascii="Times New Roman" w:hAnsi="Times New Roman"/>
          <w:sz w:val="24"/>
          <w:szCs w:val="21"/>
        </w:rPr>
        <w:t>AGREE</w:t>
      </w:r>
      <w:r w:rsidRPr="00215867">
        <w:rPr>
          <w:rFonts w:ascii="Times New Roman" w:hAnsi="Times New Roman"/>
          <w:sz w:val="24"/>
          <w:szCs w:val="21"/>
        </w:rPr>
        <w:t>. Il s’agit :</w:t>
      </w:r>
    </w:p>
    <w:p w14:paraId="026EDA72" w14:textId="77777777" w:rsidR="001F6C6B" w:rsidRPr="00215867" w:rsidRDefault="001F6C6B" w:rsidP="00215867">
      <w:pPr>
        <w:pStyle w:val="Paragraphedeliste"/>
        <w:numPr>
          <w:ilvl w:val="0"/>
          <w:numId w:val="366"/>
        </w:numPr>
        <w:spacing w:before="120" w:after="120" w:line="276" w:lineRule="auto"/>
        <w:ind w:left="714" w:hanging="357"/>
        <w:contextualSpacing w:val="0"/>
        <w:rPr>
          <w:rFonts w:ascii="Times New Roman" w:hAnsi="Times New Roman"/>
          <w:sz w:val="24"/>
          <w:szCs w:val="21"/>
        </w:rPr>
      </w:pPr>
      <w:r w:rsidRPr="00215867">
        <w:rPr>
          <w:rFonts w:ascii="Times New Roman" w:hAnsi="Times New Roman"/>
          <w:sz w:val="24"/>
          <w:szCs w:val="21"/>
        </w:rPr>
        <w:t>Projets de Chemin de fer</w:t>
      </w:r>
    </w:p>
    <w:p w14:paraId="71BEE8C1" w14:textId="77777777" w:rsidR="001F6C6B" w:rsidRPr="00215867" w:rsidRDefault="001F6C6B" w:rsidP="001C581D">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Modernisation de la ligne sud (ligne de Kasangulu) ;</w:t>
      </w:r>
    </w:p>
    <w:p w14:paraId="43F42DCD" w14:textId="77777777" w:rsidR="001F6C6B" w:rsidRPr="00215867" w:rsidRDefault="001F6C6B" w:rsidP="001C581D">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Modernisation de la ligne de l’aéroport.</w:t>
      </w:r>
    </w:p>
    <w:p w14:paraId="098DDB6E" w14:textId="77777777" w:rsidR="001F6C6B" w:rsidRPr="00215867" w:rsidRDefault="001F6C6B" w:rsidP="00215867">
      <w:pPr>
        <w:pStyle w:val="Paragraphedeliste"/>
        <w:numPr>
          <w:ilvl w:val="0"/>
          <w:numId w:val="366"/>
        </w:numPr>
        <w:spacing w:before="120" w:after="120" w:line="276" w:lineRule="auto"/>
        <w:ind w:left="714" w:hanging="357"/>
        <w:contextualSpacing w:val="0"/>
        <w:rPr>
          <w:rFonts w:ascii="Times New Roman" w:hAnsi="Times New Roman"/>
          <w:sz w:val="24"/>
          <w:szCs w:val="21"/>
        </w:rPr>
      </w:pPr>
      <w:r w:rsidRPr="00215867">
        <w:rPr>
          <w:rFonts w:ascii="Times New Roman" w:hAnsi="Times New Roman"/>
          <w:sz w:val="24"/>
          <w:szCs w:val="21"/>
        </w:rPr>
        <w:t>Projets routiers</w:t>
      </w:r>
    </w:p>
    <w:p w14:paraId="2227C927"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Amélioration de Fonction de mobilité du réseau routier Aménagement de l’avenue Elengesa dans les Communes de Ngiri-Ngiri, Makala et Kalamu ;</w:t>
      </w:r>
    </w:p>
    <w:p w14:paraId="6B5CADDD"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Amélioration de Fonction de mobilité du réseau de routier Aménagement de l’avenue Université dans les Communes de Lemba, Makala, Limete et Kalamu</w:t>
      </w:r>
    </w:p>
    <w:p w14:paraId="5D86E92D"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Autoroute Urbain (ligne d’accès à l’aéroport).</w:t>
      </w:r>
    </w:p>
    <w:p w14:paraId="1BAC40C9" w14:textId="77777777" w:rsidR="001F6C6B" w:rsidRPr="00215867" w:rsidRDefault="001F6C6B" w:rsidP="00215867">
      <w:pPr>
        <w:pStyle w:val="Paragraphedeliste"/>
        <w:numPr>
          <w:ilvl w:val="0"/>
          <w:numId w:val="366"/>
        </w:numPr>
        <w:spacing w:before="120" w:after="120" w:line="276" w:lineRule="auto"/>
        <w:ind w:left="714" w:hanging="357"/>
        <w:contextualSpacing w:val="0"/>
        <w:rPr>
          <w:rFonts w:ascii="Times New Roman" w:hAnsi="Times New Roman"/>
          <w:sz w:val="24"/>
          <w:szCs w:val="21"/>
        </w:rPr>
      </w:pPr>
      <w:r w:rsidRPr="00215867">
        <w:rPr>
          <w:rFonts w:ascii="Times New Roman" w:hAnsi="Times New Roman"/>
          <w:sz w:val="24"/>
          <w:szCs w:val="21"/>
        </w:rPr>
        <w:t>Projets Bus Rapide Transport</w:t>
      </w:r>
    </w:p>
    <w:p w14:paraId="3A3E25E7"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Aménagement d’un système (BRT) Ligne E1 ;</w:t>
      </w:r>
    </w:p>
    <w:p w14:paraId="7D40E24F"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Aménagement d’un système (BRT) Ligne E2 ; et</w:t>
      </w:r>
    </w:p>
    <w:p w14:paraId="3D36F745"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Aménagement d’un système (BRT) Ligne S1.</w:t>
      </w:r>
    </w:p>
    <w:p w14:paraId="00B8F49A" w14:textId="77777777" w:rsidR="001F6C6B" w:rsidRPr="00215867" w:rsidRDefault="001F6C6B" w:rsidP="00215867">
      <w:pPr>
        <w:pStyle w:val="Paragraphedeliste"/>
        <w:numPr>
          <w:ilvl w:val="0"/>
          <w:numId w:val="366"/>
        </w:numPr>
        <w:spacing w:before="120" w:after="120" w:line="276" w:lineRule="auto"/>
        <w:ind w:left="714" w:hanging="357"/>
        <w:contextualSpacing w:val="0"/>
        <w:rPr>
          <w:rFonts w:ascii="Times New Roman" w:hAnsi="Times New Roman"/>
          <w:sz w:val="24"/>
          <w:szCs w:val="21"/>
        </w:rPr>
      </w:pPr>
      <w:r w:rsidRPr="00215867">
        <w:rPr>
          <w:rFonts w:ascii="Times New Roman" w:hAnsi="Times New Roman"/>
          <w:sz w:val="24"/>
          <w:szCs w:val="21"/>
        </w:rPr>
        <w:t>Projets de bus et de transport adapté :</w:t>
      </w:r>
    </w:p>
    <w:p w14:paraId="528C65F3" w14:textId="77777777" w:rsidR="001F6C6B" w:rsidRPr="00215867" w:rsidRDefault="001F6C6B"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Aménagement de terminaux de bus et d’arrêts de bus</w:t>
      </w:r>
    </w:p>
    <w:p w14:paraId="21902D01" w14:textId="70CBD8BD" w:rsidR="001022FD" w:rsidRPr="00215867" w:rsidRDefault="001022FD" w:rsidP="00215867">
      <w:pPr>
        <w:numPr>
          <w:ilvl w:val="0"/>
          <w:numId w:val="365"/>
        </w:numPr>
        <w:spacing w:after="0" w:line="276" w:lineRule="auto"/>
        <w:ind w:left="1134"/>
        <w:contextualSpacing/>
        <w:rPr>
          <w:rFonts w:ascii="Times New Roman" w:hAnsi="Times New Roman"/>
          <w:sz w:val="24"/>
          <w:szCs w:val="21"/>
        </w:rPr>
      </w:pPr>
      <w:r w:rsidRPr="00215867">
        <w:rPr>
          <w:rFonts w:ascii="Times New Roman" w:hAnsi="Times New Roman"/>
          <w:sz w:val="24"/>
          <w:szCs w:val="21"/>
        </w:rPr>
        <w:t>Les travaux de la première phase de lutte anti-érosive et inondation dans la commune de Kisenso</w:t>
      </w:r>
    </w:p>
    <w:p w14:paraId="20E37A1E" w14:textId="3CE2CDAE" w:rsidR="001F6C6B" w:rsidRPr="00215867" w:rsidRDefault="001022FD" w:rsidP="00215867">
      <w:pPr>
        <w:spacing w:before="120" w:after="120"/>
        <w:jc w:val="both"/>
        <w:rPr>
          <w:rFonts w:ascii="Times New Roman" w:hAnsi="Times New Roman"/>
          <w:sz w:val="24"/>
          <w:szCs w:val="21"/>
        </w:rPr>
      </w:pPr>
      <w:r w:rsidRPr="00215867">
        <w:rPr>
          <w:rFonts w:ascii="Times New Roman" w:hAnsi="Times New Roman"/>
          <w:sz w:val="24"/>
          <w:szCs w:val="21"/>
        </w:rPr>
        <w:t>Ainsi, ces 12</w:t>
      </w:r>
      <w:r w:rsidR="001F6C6B" w:rsidRPr="00215867">
        <w:rPr>
          <w:rFonts w:ascii="Times New Roman" w:hAnsi="Times New Roman"/>
          <w:sz w:val="24"/>
          <w:szCs w:val="21"/>
        </w:rPr>
        <w:t xml:space="preserve"> projets futurs vont induire des effets cumulés tant positifs </w:t>
      </w:r>
      <w:r w:rsidRPr="00215867">
        <w:rPr>
          <w:rFonts w:ascii="Times New Roman" w:hAnsi="Times New Roman"/>
          <w:sz w:val="24"/>
          <w:szCs w:val="21"/>
        </w:rPr>
        <w:t>que négatifs avec le Projet AGREE</w:t>
      </w:r>
      <w:r w:rsidR="001F6C6B" w:rsidRPr="00215867">
        <w:rPr>
          <w:rFonts w:ascii="Times New Roman" w:hAnsi="Times New Roman"/>
          <w:sz w:val="24"/>
          <w:szCs w:val="21"/>
        </w:rPr>
        <w:t xml:space="preserve"> en général et en particulier les sous-projets des ouvrages de lutte contre les érosions et inondations</w:t>
      </w:r>
      <w:r w:rsidRPr="00215867">
        <w:rPr>
          <w:rFonts w:ascii="Times New Roman" w:hAnsi="Times New Roman"/>
          <w:sz w:val="24"/>
          <w:szCs w:val="21"/>
        </w:rPr>
        <w:t xml:space="preserve">, l’électrification des différentes voiries et bâtiments publics et écoles retenus, </w:t>
      </w:r>
      <w:r w:rsidR="0022196A" w:rsidRPr="00215867">
        <w:rPr>
          <w:rFonts w:ascii="Times New Roman" w:hAnsi="Times New Roman"/>
          <w:sz w:val="24"/>
          <w:szCs w:val="21"/>
        </w:rPr>
        <w:t>la distribution d’eau potable, etc. retenu dans le volet eau et énergie du Projet KIN ELENDA</w:t>
      </w:r>
      <w:r w:rsidRPr="00215867">
        <w:rPr>
          <w:rFonts w:ascii="Times New Roman" w:hAnsi="Times New Roman"/>
          <w:sz w:val="24"/>
          <w:szCs w:val="21"/>
        </w:rPr>
        <w:t xml:space="preserve"> </w:t>
      </w:r>
      <w:r w:rsidR="001F6C6B" w:rsidRPr="00215867">
        <w:rPr>
          <w:rFonts w:ascii="Times New Roman" w:hAnsi="Times New Roman"/>
          <w:sz w:val="24"/>
          <w:szCs w:val="21"/>
        </w:rPr>
        <w:t xml:space="preserve"> par le fait qu’ils seront réalisés dans la zone restreinte et/ou passent à proximité du périmètre du </w:t>
      </w:r>
      <w:r w:rsidR="0022196A" w:rsidRPr="00215867">
        <w:rPr>
          <w:rFonts w:ascii="Times New Roman" w:hAnsi="Times New Roman"/>
          <w:sz w:val="24"/>
          <w:szCs w:val="21"/>
        </w:rPr>
        <w:t>présent sous-projet</w:t>
      </w:r>
      <w:r w:rsidR="001F6C6B" w:rsidRPr="00215867">
        <w:rPr>
          <w:rFonts w:ascii="Times New Roman" w:hAnsi="Times New Roman"/>
          <w:sz w:val="24"/>
          <w:szCs w:val="21"/>
        </w:rPr>
        <w:t>.</w:t>
      </w:r>
    </w:p>
    <w:p w14:paraId="34E0B318" w14:textId="77777777" w:rsidR="001F6C6B" w:rsidRPr="00215867" w:rsidRDefault="001F6C6B" w:rsidP="00215867">
      <w:pPr>
        <w:pStyle w:val="Titre31"/>
        <w:numPr>
          <w:ilvl w:val="2"/>
          <w:numId w:val="54"/>
        </w:numPr>
        <w:tabs>
          <w:tab w:val="left" w:pos="993"/>
        </w:tabs>
        <w:spacing w:before="120" w:after="120" w:line="20" w:lineRule="atLeast"/>
        <w:ind w:left="993" w:hanging="709"/>
        <w:rPr>
          <w:i/>
        </w:rPr>
      </w:pPr>
      <w:bookmarkStart w:id="735" w:name="_Toc103685707"/>
      <w:r w:rsidRPr="00215867">
        <w:rPr>
          <w:rFonts w:eastAsia="Calibri"/>
          <w:b w:val="0"/>
          <w:i/>
          <w:u w:val="none"/>
        </w:rPr>
        <w:t>Analyse des effets cumulatifs et évaluation de l’importance</w:t>
      </w:r>
      <w:bookmarkEnd w:id="735"/>
      <w:r w:rsidRPr="00215867">
        <w:rPr>
          <w:rFonts w:eastAsia="Calibri"/>
          <w:b w:val="0"/>
          <w:i/>
          <w:u w:val="none"/>
        </w:rPr>
        <w:t xml:space="preserve"> </w:t>
      </w:r>
    </w:p>
    <w:p w14:paraId="57AC4855" w14:textId="77777777" w:rsidR="001F6C6B" w:rsidRPr="00215867" w:rsidRDefault="001F6C6B" w:rsidP="00215867">
      <w:pPr>
        <w:pStyle w:val="Titre4"/>
        <w:numPr>
          <w:ilvl w:val="3"/>
          <w:numId w:val="54"/>
        </w:numPr>
        <w:spacing w:before="120" w:after="120" w:line="20" w:lineRule="atLeast"/>
        <w:ind w:left="1276" w:hanging="851"/>
        <w:rPr>
          <w:szCs w:val="24"/>
        </w:rPr>
      </w:pPr>
      <w:bookmarkStart w:id="736" w:name="_Toc103685708"/>
      <w:r w:rsidRPr="00215867">
        <w:rPr>
          <w:color w:val="auto"/>
          <w:szCs w:val="24"/>
        </w:rPr>
        <w:t>Impacts Positifs</w:t>
      </w:r>
      <w:bookmarkEnd w:id="736"/>
      <w:r w:rsidRPr="00215867">
        <w:rPr>
          <w:color w:val="auto"/>
          <w:szCs w:val="24"/>
        </w:rPr>
        <w:t xml:space="preserve"> </w:t>
      </w:r>
    </w:p>
    <w:p w14:paraId="03A516A9" w14:textId="39F6DEF3" w:rsidR="001F6C6B" w:rsidRPr="00A86929" w:rsidRDefault="001F6C6B" w:rsidP="001F6C6B">
      <w:pPr>
        <w:spacing w:after="0"/>
        <w:jc w:val="both"/>
        <w:rPr>
          <w:rFonts w:ascii="Times New Roman" w:hAnsi="Times New Roman"/>
          <w:sz w:val="24"/>
          <w:szCs w:val="21"/>
        </w:rPr>
      </w:pPr>
      <w:r w:rsidRPr="00215867">
        <w:rPr>
          <w:rFonts w:ascii="Times New Roman" w:hAnsi="Times New Roman"/>
          <w:sz w:val="24"/>
          <w:szCs w:val="21"/>
        </w:rPr>
        <w:t xml:space="preserve">Les impacts positifs cumulatifs attendus de la mise en œuvre des sous-projets </w:t>
      </w:r>
      <w:r w:rsidR="008121B4" w:rsidRPr="00215867">
        <w:rPr>
          <w:rFonts w:ascii="Times New Roman" w:hAnsi="Times New Roman"/>
          <w:sz w:val="24"/>
          <w:szCs w:val="21"/>
        </w:rPr>
        <w:t>d’amélioration du volet eau et électricité, des ouvrages anti</w:t>
      </w:r>
      <w:r w:rsidRPr="00215867">
        <w:rPr>
          <w:rFonts w:ascii="Times New Roman" w:hAnsi="Times New Roman"/>
          <w:sz w:val="24"/>
          <w:szCs w:val="21"/>
        </w:rPr>
        <w:t xml:space="preserve">érosifs et inondations </w:t>
      </w:r>
      <w:r w:rsidR="008121B4" w:rsidRPr="00215867">
        <w:rPr>
          <w:rFonts w:ascii="Times New Roman" w:hAnsi="Times New Roman"/>
          <w:sz w:val="24"/>
          <w:szCs w:val="21"/>
        </w:rPr>
        <w:t xml:space="preserve">ainsi que des projets futurs </w:t>
      </w:r>
      <w:r w:rsidRPr="00215867">
        <w:rPr>
          <w:rFonts w:ascii="Times New Roman" w:hAnsi="Times New Roman"/>
          <w:sz w:val="24"/>
          <w:szCs w:val="21"/>
        </w:rPr>
        <w:t xml:space="preserve">ont </w:t>
      </w:r>
      <w:r w:rsidR="008121B4" w:rsidRPr="00215867">
        <w:rPr>
          <w:rFonts w:ascii="Times New Roman" w:hAnsi="Times New Roman"/>
          <w:sz w:val="24"/>
          <w:szCs w:val="21"/>
        </w:rPr>
        <w:t xml:space="preserve">été </w:t>
      </w:r>
      <w:r w:rsidRPr="00215867">
        <w:rPr>
          <w:rFonts w:ascii="Times New Roman" w:hAnsi="Times New Roman"/>
          <w:sz w:val="24"/>
          <w:szCs w:val="21"/>
        </w:rPr>
        <w:t xml:space="preserve">résumés dans le </w:t>
      </w:r>
      <w:r w:rsidR="008121B4" w:rsidRPr="00215867">
        <w:rPr>
          <w:rFonts w:ascii="Times New Roman" w:hAnsi="Times New Roman"/>
          <w:sz w:val="24"/>
          <w:szCs w:val="21"/>
        </w:rPr>
        <w:t>Tableau 45</w:t>
      </w:r>
      <w:r w:rsidRPr="00A86929">
        <w:rPr>
          <w:rFonts w:ascii="Times New Roman" w:hAnsi="Times New Roman"/>
          <w:sz w:val="24"/>
          <w:szCs w:val="21"/>
        </w:rPr>
        <w:t xml:space="preserve"> ci-dessous :</w:t>
      </w:r>
    </w:p>
    <w:p w14:paraId="443D5681" w14:textId="60DD5EFF" w:rsidR="001F6C6B" w:rsidRPr="00A86929" w:rsidRDefault="001F6C6B" w:rsidP="00A86929">
      <w:pPr>
        <w:spacing w:before="120" w:after="120"/>
        <w:jc w:val="both"/>
        <w:rPr>
          <w:rFonts w:ascii="Times New Roman" w:hAnsi="Times New Roman"/>
          <w:sz w:val="24"/>
          <w:szCs w:val="21"/>
        </w:rPr>
      </w:pPr>
      <w:bookmarkStart w:id="737" w:name="_Toc64029791"/>
      <w:bookmarkStart w:id="738" w:name="_Toc75093090"/>
      <w:bookmarkStart w:id="739" w:name="_Toc93050314"/>
      <w:r w:rsidRPr="00A86929">
        <w:rPr>
          <w:rFonts w:ascii="Times New Roman" w:hAnsi="Times New Roman"/>
          <w:sz w:val="24"/>
          <w:szCs w:val="21"/>
        </w:rPr>
        <w:t xml:space="preserve">Tableau </w:t>
      </w:r>
      <w:r w:rsidRPr="00A86929">
        <w:rPr>
          <w:rFonts w:ascii="Times New Roman" w:hAnsi="Times New Roman"/>
          <w:sz w:val="24"/>
          <w:szCs w:val="21"/>
        </w:rPr>
        <w:fldChar w:fldCharType="begin"/>
      </w:r>
      <w:r w:rsidRPr="00A86929">
        <w:rPr>
          <w:rFonts w:ascii="Times New Roman" w:hAnsi="Times New Roman"/>
          <w:sz w:val="24"/>
          <w:szCs w:val="21"/>
        </w:rPr>
        <w:instrText xml:space="preserve"> SEQ Tableau \* ARABIC </w:instrText>
      </w:r>
      <w:r w:rsidRPr="00A86929">
        <w:rPr>
          <w:rFonts w:ascii="Times New Roman" w:hAnsi="Times New Roman"/>
          <w:sz w:val="24"/>
          <w:szCs w:val="21"/>
        </w:rPr>
        <w:fldChar w:fldCharType="separate"/>
      </w:r>
      <w:r w:rsidR="00A86929">
        <w:rPr>
          <w:rFonts w:ascii="Times New Roman" w:hAnsi="Times New Roman"/>
          <w:noProof/>
          <w:sz w:val="24"/>
          <w:szCs w:val="21"/>
        </w:rPr>
        <w:t>52</w:t>
      </w:r>
      <w:r w:rsidRPr="00A86929">
        <w:rPr>
          <w:rFonts w:ascii="Times New Roman" w:hAnsi="Times New Roman"/>
          <w:sz w:val="24"/>
          <w:szCs w:val="21"/>
        </w:rPr>
        <w:fldChar w:fldCharType="end"/>
      </w:r>
      <w:r w:rsidRPr="00A86929">
        <w:rPr>
          <w:rFonts w:ascii="Times New Roman" w:hAnsi="Times New Roman"/>
          <w:sz w:val="24"/>
          <w:szCs w:val="21"/>
        </w:rPr>
        <w:t>.</w:t>
      </w:r>
      <w:r w:rsidRPr="00A86929">
        <w:rPr>
          <w:rFonts w:ascii="Times New Roman" w:hAnsi="Times New Roman"/>
          <w:b/>
          <w:sz w:val="24"/>
          <w:szCs w:val="21"/>
        </w:rPr>
        <w:t xml:space="preserve"> </w:t>
      </w:r>
      <w:r w:rsidRPr="00A86929">
        <w:rPr>
          <w:rFonts w:ascii="Times New Roman" w:hAnsi="Times New Roman"/>
          <w:sz w:val="24"/>
          <w:szCs w:val="21"/>
        </w:rPr>
        <w:t>Impacts positifs cumulatifs</w:t>
      </w:r>
      <w:bookmarkEnd w:id="737"/>
      <w:bookmarkEnd w:id="738"/>
      <w:bookmarkEnd w:id="739"/>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1815"/>
        <w:gridCol w:w="4678"/>
        <w:gridCol w:w="1588"/>
      </w:tblGrid>
      <w:tr w:rsidR="00117BAD" w:rsidRPr="00420C1B" w14:paraId="4485C9D4" w14:textId="77777777" w:rsidTr="00420C1B">
        <w:trPr>
          <w:trHeight w:val="297"/>
        </w:trPr>
        <w:tc>
          <w:tcPr>
            <w:tcW w:w="3227" w:type="dxa"/>
            <w:gridSpan w:val="2"/>
            <w:shd w:val="clear" w:color="auto" w:fill="auto"/>
          </w:tcPr>
          <w:p w14:paraId="425052B4" w14:textId="77777777" w:rsidR="001F6C6B" w:rsidRPr="00420C1B" w:rsidRDefault="001F6C6B" w:rsidP="00420C1B">
            <w:pPr>
              <w:spacing w:after="0" w:line="240" w:lineRule="auto"/>
              <w:jc w:val="center"/>
              <w:rPr>
                <w:rFonts w:ascii="Times New Roman" w:hAnsi="Times New Roman"/>
                <w:b/>
              </w:rPr>
            </w:pPr>
          </w:p>
          <w:p w14:paraId="1E81900C" w14:textId="77777777" w:rsidR="001F6C6B" w:rsidRPr="00420C1B" w:rsidRDefault="001F6C6B" w:rsidP="00420C1B">
            <w:pPr>
              <w:spacing w:after="0" w:line="240" w:lineRule="auto"/>
              <w:rPr>
                <w:rFonts w:ascii="Times New Roman" w:hAnsi="Times New Roman"/>
                <w:b/>
              </w:rPr>
            </w:pPr>
            <w:r w:rsidRPr="00420C1B">
              <w:rPr>
                <w:rFonts w:ascii="Times New Roman" w:hAnsi="Times New Roman"/>
                <w:b/>
              </w:rPr>
              <w:t>Composante de l’environnement</w:t>
            </w:r>
          </w:p>
          <w:p w14:paraId="6B7FD740" w14:textId="77777777" w:rsidR="001F6C6B" w:rsidRPr="00420C1B" w:rsidRDefault="001F6C6B" w:rsidP="00420C1B">
            <w:pPr>
              <w:spacing w:after="0" w:line="240" w:lineRule="auto"/>
              <w:jc w:val="center"/>
              <w:rPr>
                <w:rFonts w:ascii="Times New Roman" w:hAnsi="Times New Roman"/>
                <w:b/>
              </w:rPr>
            </w:pPr>
          </w:p>
        </w:tc>
        <w:tc>
          <w:tcPr>
            <w:tcW w:w="4678" w:type="dxa"/>
            <w:shd w:val="clear" w:color="auto" w:fill="auto"/>
          </w:tcPr>
          <w:p w14:paraId="2271A99D" w14:textId="77777777" w:rsidR="001F6C6B" w:rsidRPr="00420C1B" w:rsidRDefault="001F6C6B" w:rsidP="00420C1B">
            <w:pPr>
              <w:spacing w:after="0" w:line="240" w:lineRule="auto"/>
              <w:jc w:val="center"/>
              <w:rPr>
                <w:rFonts w:ascii="Times New Roman" w:hAnsi="Times New Roman"/>
                <w:b/>
              </w:rPr>
            </w:pPr>
            <w:r w:rsidRPr="00420C1B">
              <w:rPr>
                <w:rFonts w:ascii="Times New Roman" w:hAnsi="Times New Roman"/>
                <w:b/>
              </w:rPr>
              <w:t>Description de l’Impact cumulé positif pendant la phase des travaux et d’exploitation</w:t>
            </w:r>
          </w:p>
        </w:tc>
        <w:tc>
          <w:tcPr>
            <w:tcW w:w="1588" w:type="dxa"/>
            <w:shd w:val="clear" w:color="auto" w:fill="auto"/>
          </w:tcPr>
          <w:p w14:paraId="7D84AD25" w14:textId="77777777" w:rsidR="001F6C6B" w:rsidRPr="00420C1B" w:rsidRDefault="001F6C6B" w:rsidP="00420C1B">
            <w:pPr>
              <w:spacing w:after="0" w:line="240" w:lineRule="auto"/>
              <w:jc w:val="center"/>
              <w:rPr>
                <w:rFonts w:ascii="Times New Roman" w:hAnsi="Times New Roman"/>
                <w:b/>
                <w:sz w:val="10"/>
                <w:szCs w:val="10"/>
              </w:rPr>
            </w:pPr>
          </w:p>
          <w:p w14:paraId="65F35EB9" w14:textId="77777777" w:rsidR="001F6C6B" w:rsidRPr="00420C1B" w:rsidRDefault="001F6C6B" w:rsidP="00420C1B">
            <w:pPr>
              <w:spacing w:after="0" w:line="240" w:lineRule="auto"/>
              <w:jc w:val="center"/>
              <w:rPr>
                <w:rFonts w:ascii="Times New Roman" w:hAnsi="Times New Roman"/>
                <w:b/>
              </w:rPr>
            </w:pPr>
            <w:r w:rsidRPr="00420C1B">
              <w:rPr>
                <w:rFonts w:ascii="Times New Roman" w:hAnsi="Times New Roman"/>
                <w:b/>
              </w:rPr>
              <w:t>Résultat d’évaluation</w:t>
            </w:r>
          </w:p>
        </w:tc>
      </w:tr>
      <w:tr w:rsidR="002C66D7" w:rsidRPr="00420C1B" w14:paraId="2CAFA029" w14:textId="77777777" w:rsidTr="00420C1B">
        <w:tc>
          <w:tcPr>
            <w:tcW w:w="1412" w:type="dxa"/>
            <w:vMerge w:val="restart"/>
            <w:shd w:val="clear" w:color="auto" w:fill="auto"/>
          </w:tcPr>
          <w:p w14:paraId="5B9CB610"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Milieu physique</w:t>
            </w:r>
          </w:p>
        </w:tc>
        <w:tc>
          <w:tcPr>
            <w:tcW w:w="1815" w:type="dxa"/>
            <w:shd w:val="clear" w:color="auto" w:fill="auto"/>
          </w:tcPr>
          <w:p w14:paraId="26015ACE"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Air</w:t>
            </w:r>
          </w:p>
        </w:tc>
        <w:tc>
          <w:tcPr>
            <w:tcW w:w="4678" w:type="dxa"/>
            <w:shd w:val="clear" w:color="auto" w:fill="auto"/>
          </w:tcPr>
          <w:p w14:paraId="1D056642" w14:textId="7860EC81" w:rsidR="001F6C6B" w:rsidRPr="00420C1B" w:rsidRDefault="00991E6B" w:rsidP="00420C1B">
            <w:pPr>
              <w:spacing w:after="0" w:line="240" w:lineRule="auto"/>
              <w:rPr>
                <w:rFonts w:ascii="Times New Roman" w:hAnsi="Times New Roman"/>
              </w:rPr>
            </w:pPr>
            <w:r w:rsidRPr="00420C1B">
              <w:rPr>
                <w:rFonts w:ascii="Times New Roman" w:hAnsi="Times New Roman"/>
              </w:rPr>
              <w:t>Les travaux d’électrification des poches noires, d’assainissement, de réhabilitation et de mise en conformité des réseaux de distribution SNEL des directions de Kinshasa Centre et Ouest</w:t>
            </w:r>
            <w:r w:rsidRPr="00420C1B">
              <w:rPr>
                <w:rFonts w:ascii="Times New Roman" w:eastAsia="Times New Roman" w:hAnsi="Times New Roman"/>
              </w:rPr>
              <w:t xml:space="preserve"> </w:t>
            </w:r>
            <w:r w:rsidRPr="00420C1B">
              <w:rPr>
                <w:rFonts w:ascii="Times New Roman" w:hAnsi="Times New Roman"/>
              </w:rPr>
              <w:t>tout comme ces projets qui se réaliseront généreront tous l’amélioration de la qualité de l’air pendant la phase d’exploitation avec la plantation d’arbres à croissances rapide et autres aménagements</w:t>
            </w:r>
          </w:p>
        </w:tc>
        <w:tc>
          <w:tcPr>
            <w:tcW w:w="1588" w:type="dxa"/>
            <w:shd w:val="clear" w:color="auto" w:fill="auto"/>
          </w:tcPr>
          <w:p w14:paraId="7330A826" w14:textId="020C2A96" w:rsidR="001F6C6B" w:rsidRPr="00420C1B" w:rsidRDefault="008121B4"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337224E0" w14:textId="77777777" w:rsidTr="00420C1B">
        <w:tc>
          <w:tcPr>
            <w:tcW w:w="1412" w:type="dxa"/>
            <w:vMerge/>
            <w:shd w:val="clear" w:color="auto" w:fill="auto"/>
          </w:tcPr>
          <w:p w14:paraId="689FFD2A" w14:textId="77777777" w:rsidR="001F6C6B" w:rsidRPr="00420C1B" w:rsidRDefault="001F6C6B" w:rsidP="00420C1B">
            <w:pPr>
              <w:spacing w:after="0" w:line="240" w:lineRule="auto"/>
              <w:rPr>
                <w:rFonts w:ascii="Times New Roman" w:hAnsi="Times New Roman"/>
              </w:rPr>
            </w:pPr>
          </w:p>
        </w:tc>
        <w:tc>
          <w:tcPr>
            <w:tcW w:w="1815" w:type="dxa"/>
            <w:shd w:val="clear" w:color="auto" w:fill="auto"/>
          </w:tcPr>
          <w:p w14:paraId="5CC01DE8"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Changement climatique</w:t>
            </w:r>
          </w:p>
        </w:tc>
        <w:tc>
          <w:tcPr>
            <w:tcW w:w="4678" w:type="dxa"/>
            <w:shd w:val="clear" w:color="auto" w:fill="auto"/>
          </w:tcPr>
          <w:p w14:paraId="51482B77"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La mise en œuvre du Plan de transport public permettra de réduire la consommation de carburant par habitant, ainsi que les émissions de gaz à effet de serre dans le secteur des transports.</w:t>
            </w:r>
          </w:p>
        </w:tc>
        <w:tc>
          <w:tcPr>
            <w:tcW w:w="1588" w:type="dxa"/>
            <w:shd w:val="clear" w:color="auto" w:fill="auto"/>
          </w:tcPr>
          <w:p w14:paraId="58B85A6E" w14:textId="77777777" w:rsidR="001F6C6B" w:rsidRPr="00420C1B" w:rsidRDefault="001F6C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50FB2190" w14:textId="77777777" w:rsidTr="00420C1B">
        <w:tc>
          <w:tcPr>
            <w:tcW w:w="1412" w:type="dxa"/>
            <w:vMerge/>
            <w:shd w:val="clear" w:color="auto" w:fill="auto"/>
          </w:tcPr>
          <w:p w14:paraId="3CFD62F7" w14:textId="77777777" w:rsidR="001F6C6B" w:rsidRPr="00420C1B" w:rsidRDefault="001F6C6B" w:rsidP="00420C1B">
            <w:pPr>
              <w:spacing w:after="0" w:line="240" w:lineRule="auto"/>
              <w:rPr>
                <w:rFonts w:ascii="Times New Roman" w:hAnsi="Times New Roman"/>
              </w:rPr>
            </w:pPr>
          </w:p>
        </w:tc>
        <w:tc>
          <w:tcPr>
            <w:tcW w:w="1815" w:type="dxa"/>
            <w:shd w:val="clear" w:color="auto" w:fill="auto"/>
          </w:tcPr>
          <w:p w14:paraId="5FCA8368"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Sol</w:t>
            </w:r>
          </w:p>
        </w:tc>
        <w:tc>
          <w:tcPr>
            <w:tcW w:w="4678" w:type="dxa"/>
            <w:shd w:val="clear" w:color="auto" w:fill="auto"/>
          </w:tcPr>
          <w:p w14:paraId="77201946" w14:textId="22B726EC" w:rsidR="001F6C6B" w:rsidRPr="00420C1B" w:rsidRDefault="001F6C6B" w:rsidP="00420C1B">
            <w:pPr>
              <w:spacing w:after="0" w:line="240" w:lineRule="auto"/>
              <w:rPr>
                <w:rFonts w:ascii="Times New Roman" w:hAnsi="Times New Roman"/>
              </w:rPr>
            </w:pPr>
            <w:r w:rsidRPr="00420C1B">
              <w:rPr>
                <w:rFonts w:ascii="Times New Roman" w:hAnsi="Times New Roman"/>
              </w:rPr>
              <w:t>La modernisation des routes bétonnées va induire la disparition de grandes érosions qui dégradent actuellement les routes dans la zone du Projet.</w:t>
            </w:r>
            <w:r w:rsidR="008121B4" w:rsidRPr="00420C1B">
              <w:rPr>
                <w:rFonts w:ascii="Times New Roman" w:hAnsi="Times New Roman"/>
              </w:rPr>
              <w:t xml:space="preserve"> Il en est de même pour les travaux de lutte antiérosive et inondation</w:t>
            </w:r>
          </w:p>
        </w:tc>
        <w:tc>
          <w:tcPr>
            <w:tcW w:w="1588" w:type="dxa"/>
            <w:shd w:val="clear" w:color="auto" w:fill="auto"/>
          </w:tcPr>
          <w:p w14:paraId="2576933C" w14:textId="69C8B3D6" w:rsidR="001F6C6B" w:rsidRPr="00420C1B" w:rsidRDefault="008121B4"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0C86DAC1" w14:textId="77777777" w:rsidTr="00420C1B">
        <w:tc>
          <w:tcPr>
            <w:tcW w:w="1412" w:type="dxa"/>
            <w:vMerge/>
            <w:shd w:val="clear" w:color="auto" w:fill="auto"/>
          </w:tcPr>
          <w:p w14:paraId="6D6C2122" w14:textId="77777777" w:rsidR="008121B4" w:rsidRPr="00420C1B" w:rsidRDefault="008121B4" w:rsidP="00420C1B">
            <w:pPr>
              <w:spacing w:after="0" w:line="240" w:lineRule="auto"/>
              <w:rPr>
                <w:rFonts w:ascii="Times New Roman" w:hAnsi="Times New Roman"/>
              </w:rPr>
            </w:pPr>
          </w:p>
        </w:tc>
        <w:tc>
          <w:tcPr>
            <w:tcW w:w="1815" w:type="dxa"/>
            <w:shd w:val="clear" w:color="auto" w:fill="auto"/>
          </w:tcPr>
          <w:p w14:paraId="684010D5" w14:textId="62C3B35A" w:rsidR="008121B4" w:rsidRPr="00420C1B" w:rsidRDefault="008121B4" w:rsidP="00420C1B">
            <w:pPr>
              <w:spacing w:after="0" w:line="240" w:lineRule="auto"/>
              <w:rPr>
                <w:rFonts w:ascii="Times New Roman" w:hAnsi="Times New Roman"/>
              </w:rPr>
            </w:pPr>
            <w:r w:rsidRPr="00420C1B">
              <w:rPr>
                <w:rFonts w:ascii="Times New Roman" w:hAnsi="Times New Roman"/>
              </w:rPr>
              <w:t>Eau</w:t>
            </w:r>
          </w:p>
        </w:tc>
        <w:tc>
          <w:tcPr>
            <w:tcW w:w="4678" w:type="dxa"/>
            <w:shd w:val="clear" w:color="auto" w:fill="auto"/>
          </w:tcPr>
          <w:p w14:paraId="7CD2A267" w14:textId="1FAC40A3" w:rsidR="008121B4" w:rsidRPr="00420C1B" w:rsidRDefault="008121B4" w:rsidP="00420C1B">
            <w:pPr>
              <w:spacing w:after="0" w:line="240" w:lineRule="auto"/>
              <w:jc w:val="both"/>
              <w:rPr>
                <w:rFonts w:ascii="Times New Roman" w:hAnsi="Times New Roman"/>
              </w:rPr>
            </w:pPr>
            <w:r w:rsidRPr="00420C1B">
              <w:rPr>
                <w:rFonts w:ascii="Times New Roman" w:hAnsi="Times New Roman"/>
              </w:rPr>
              <w:t>La construction des usines de captage d’eau</w:t>
            </w:r>
            <w:r w:rsidR="00117BAD" w:rsidRPr="00420C1B">
              <w:rPr>
                <w:rFonts w:ascii="Times New Roman" w:hAnsi="Times New Roman"/>
              </w:rPr>
              <w:t xml:space="preserve"> d’Ozone par la REGIDESO va induire à l</w:t>
            </w:r>
            <w:r w:rsidRPr="00420C1B">
              <w:rPr>
                <w:rFonts w:ascii="Times New Roman" w:hAnsi="Times New Roman"/>
              </w:rPr>
              <w:t xml:space="preserve">’amélioration de la desserte en eau potable (qualité d’eau) dans la zone du Projet </w:t>
            </w:r>
          </w:p>
        </w:tc>
        <w:tc>
          <w:tcPr>
            <w:tcW w:w="1588" w:type="dxa"/>
            <w:shd w:val="clear" w:color="auto" w:fill="auto"/>
          </w:tcPr>
          <w:p w14:paraId="37AD4041" w14:textId="01251590" w:rsidR="008121B4" w:rsidRPr="00420C1B" w:rsidRDefault="008121B4"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12C13E49" w14:textId="77777777" w:rsidTr="00420C1B">
        <w:tc>
          <w:tcPr>
            <w:tcW w:w="1412" w:type="dxa"/>
            <w:vMerge/>
            <w:shd w:val="clear" w:color="auto" w:fill="auto"/>
          </w:tcPr>
          <w:p w14:paraId="4D437711" w14:textId="77777777" w:rsidR="001F6C6B" w:rsidRPr="00420C1B" w:rsidRDefault="001F6C6B" w:rsidP="00420C1B">
            <w:pPr>
              <w:spacing w:after="0" w:line="240" w:lineRule="auto"/>
              <w:rPr>
                <w:rFonts w:ascii="Times New Roman" w:hAnsi="Times New Roman"/>
              </w:rPr>
            </w:pPr>
          </w:p>
        </w:tc>
        <w:tc>
          <w:tcPr>
            <w:tcW w:w="1815" w:type="dxa"/>
            <w:shd w:val="clear" w:color="auto" w:fill="auto"/>
          </w:tcPr>
          <w:p w14:paraId="303B9447"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Végétation</w:t>
            </w:r>
          </w:p>
        </w:tc>
        <w:tc>
          <w:tcPr>
            <w:tcW w:w="4678" w:type="dxa"/>
            <w:shd w:val="clear" w:color="auto" w:fill="auto"/>
          </w:tcPr>
          <w:p w14:paraId="78B43E1B" w14:textId="4865CEA3" w:rsidR="001F6C6B" w:rsidRPr="00420C1B" w:rsidRDefault="001F6C6B" w:rsidP="00420C1B">
            <w:pPr>
              <w:spacing w:after="0" w:line="240" w:lineRule="auto"/>
              <w:jc w:val="both"/>
              <w:rPr>
                <w:rFonts w:ascii="Times New Roman" w:hAnsi="Times New Roman"/>
              </w:rPr>
            </w:pPr>
            <w:r w:rsidRPr="00420C1B">
              <w:rPr>
                <w:rFonts w:ascii="Times New Roman" w:hAnsi="Times New Roman"/>
              </w:rPr>
              <w:t xml:space="preserve">La mise en œuvre du Projet des ouvrages antiérosion et inondation </w:t>
            </w:r>
            <w:r w:rsidR="008121B4" w:rsidRPr="00420C1B">
              <w:rPr>
                <w:rFonts w:ascii="Times New Roman" w:hAnsi="Times New Roman"/>
              </w:rPr>
              <w:t xml:space="preserve">ainsi que les projets futurs de Kin Elenda et du </w:t>
            </w:r>
            <w:r w:rsidRPr="00420C1B">
              <w:rPr>
                <w:rFonts w:ascii="Times New Roman" w:hAnsi="Times New Roman"/>
              </w:rPr>
              <w:t>Plan directeur va occasionner la plantation des arbres à des espaces paysagers (reboisement).</w:t>
            </w:r>
          </w:p>
        </w:tc>
        <w:tc>
          <w:tcPr>
            <w:tcW w:w="1588" w:type="dxa"/>
            <w:shd w:val="clear" w:color="auto" w:fill="auto"/>
          </w:tcPr>
          <w:p w14:paraId="35BF9B9A" w14:textId="77777777" w:rsidR="001F6C6B" w:rsidRPr="00420C1B" w:rsidRDefault="001F6C6B"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2480114B" w14:textId="77777777" w:rsidTr="00420C1B">
        <w:tc>
          <w:tcPr>
            <w:tcW w:w="1412" w:type="dxa"/>
            <w:shd w:val="clear" w:color="auto" w:fill="auto"/>
          </w:tcPr>
          <w:p w14:paraId="1A7F3A1C" w14:textId="77777777" w:rsidR="001F6C6B" w:rsidRPr="00420C1B" w:rsidRDefault="001F6C6B" w:rsidP="00420C1B">
            <w:pPr>
              <w:spacing w:after="0" w:line="240" w:lineRule="auto"/>
              <w:rPr>
                <w:rFonts w:ascii="Times New Roman" w:hAnsi="Times New Roman"/>
              </w:rPr>
            </w:pPr>
          </w:p>
        </w:tc>
        <w:tc>
          <w:tcPr>
            <w:tcW w:w="1815" w:type="dxa"/>
            <w:shd w:val="clear" w:color="auto" w:fill="auto"/>
          </w:tcPr>
          <w:p w14:paraId="1DE4F182"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Pauvreté et économie</w:t>
            </w:r>
          </w:p>
        </w:tc>
        <w:tc>
          <w:tcPr>
            <w:tcW w:w="4678" w:type="dxa"/>
            <w:shd w:val="clear" w:color="auto" w:fill="auto"/>
          </w:tcPr>
          <w:p w14:paraId="7311B794" w14:textId="222152AB" w:rsidR="001F6C6B" w:rsidRPr="00420C1B" w:rsidRDefault="001F6C6B" w:rsidP="00420C1B">
            <w:pPr>
              <w:spacing w:after="0" w:line="240" w:lineRule="auto"/>
              <w:jc w:val="both"/>
              <w:rPr>
                <w:rFonts w:ascii="Times New Roman" w:hAnsi="Times New Roman"/>
              </w:rPr>
            </w:pPr>
            <w:r w:rsidRPr="00420C1B">
              <w:rPr>
                <w:rFonts w:ascii="Times New Roman" w:hAnsi="Times New Roman"/>
              </w:rPr>
              <w:t xml:space="preserve">En mettant en œuvre le Projet </w:t>
            </w:r>
            <w:r w:rsidR="00117BAD" w:rsidRPr="00420C1B">
              <w:rPr>
                <w:rFonts w:ascii="Times New Roman" w:hAnsi="Times New Roman"/>
              </w:rPr>
              <w:t>AGREE dans la ville de Kinshasa</w:t>
            </w:r>
            <w:r w:rsidRPr="00420C1B">
              <w:rPr>
                <w:rFonts w:ascii="Times New Roman" w:hAnsi="Times New Roman"/>
              </w:rPr>
              <w:t xml:space="preserve"> et </w:t>
            </w:r>
            <w:r w:rsidR="00117BAD" w:rsidRPr="00420C1B">
              <w:rPr>
                <w:rFonts w:ascii="Times New Roman" w:hAnsi="Times New Roman"/>
              </w:rPr>
              <w:t xml:space="preserve">les projets futurs du </w:t>
            </w:r>
            <w:r w:rsidRPr="00420C1B">
              <w:rPr>
                <w:rFonts w:ascii="Times New Roman" w:hAnsi="Times New Roman"/>
              </w:rPr>
              <w:t xml:space="preserve">Plan de transport urbain et le Plan de transport public, </w:t>
            </w:r>
            <w:r w:rsidR="00117BAD" w:rsidRPr="00420C1B">
              <w:rPr>
                <w:rFonts w:ascii="Times New Roman" w:hAnsi="Times New Roman"/>
              </w:rPr>
              <w:t>la population de Kinshasa va avoir un meilleur accès à l’eau, électricité, se développer rapidement suite à l’électricité moteur du développement. L</w:t>
            </w:r>
            <w:r w:rsidRPr="00420C1B">
              <w:rPr>
                <w:rFonts w:ascii="Times New Roman" w:hAnsi="Times New Roman"/>
              </w:rPr>
              <w:t>e grand public bénéficiera d'un meilleur accès aux lieux de travail, aux marchés, aux écoles, aux hôpitaux, etc.</w:t>
            </w:r>
          </w:p>
        </w:tc>
        <w:tc>
          <w:tcPr>
            <w:tcW w:w="1588" w:type="dxa"/>
            <w:shd w:val="clear" w:color="auto" w:fill="auto"/>
          </w:tcPr>
          <w:p w14:paraId="09BCA12E" w14:textId="77777777" w:rsidR="001F6C6B" w:rsidRPr="00420C1B" w:rsidRDefault="001F6C6B"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0F4511E8" w14:textId="77777777" w:rsidTr="00420C1B">
        <w:tc>
          <w:tcPr>
            <w:tcW w:w="1412" w:type="dxa"/>
            <w:vMerge w:val="restart"/>
            <w:shd w:val="clear" w:color="auto" w:fill="auto"/>
          </w:tcPr>
          <w:p w14:paraId="60242AD5"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Humain</w:t>
            </w:r>
          </w:p>
        </w:tc>
        <w:tc>
          <w:tcPr>
            <w:tcW w:w="1815" w:type="dxa"/>
            <w:shd w:val="clear" w:color="auto" w:fill="auto"/>
          </w:tcPr>
          <w:p w14:paraId="668C1D3F" w14:textId="5178AD6D" w:rsidR="001F6C6B" w:rsidRPr="00420C1B" w:rsidRDefault="00117BAD" w:rsidP="00420C1B">
            <w:pPr>
              <w:spacing w:after="0" w:line="240" w:lineRule="auto"/>
              <w:rPr>
                <w:rFonts w:ascii="Times New Roman" w:hAnsi="Times New Roman"/>
              </w:rPr>
            </w:pPr>
            <w:r w:rsidRPr="00420C1B">
              <w:rPr>
                <w:rFonts w:ascii="Times New Roman" w:hAnsi="Times New Roman"/>
              </w:rPr>
              <w:t>Desserte en électricité et eau potable, c</w:t>
            </w:r>
            <w:r w:rsidR="001F6C6B" w:rsidRPr="00420C1B">
              <w:rPr>
                <w:rFonts w:ascii="Times New Roman" w:hAnsi="Times New Roman"/>
              </w:rPr>
              <w:t>irculation/équipements publics, infrastructures, services sociaux</w:t>
            </w:r>
          </w:p>
        </w:tc>
        <w:tc>
          <w:tcPr>
            <w:tcW w:w="4678" w:type="dxa"/>
            <w:shd w:val="clear" w:color="auto" w:fill="auto"/>
          </w:tcPr>
          <w:p w14:paraId="284ADAFF" w14:textId="7BDAA17B" w:rsidR="001F6C6B" w:rsidRPr="00420C1B" w:rsidRDefault="001F6C6B" w:rsidP="00420C1B">
            <w:pPr>
              <w:pStyle w:val="Paragraphedeliste"/>
              <w:numPr>
                <w:ilvl w:val="0"/>
                <w:numId w:val="370"/>
              </w:numPr>
              <w:spacing w:after="0" w:line="276" w:lineRule="auto"/>
              <w:ind w:left="208" w:hanging="208"/>
              <w:jc w:val="both"/>
              <w:rPr>
                <w:rFonts w:ascii="Times New Roman" w:hAnsi="Times New Roman"/>
              </w:rPr>
            </w:pPr>
            <w:r w:rsidRPr="00420C1B">
              <w:rPr>
                <w:rFonts w:ascii="Times New Roman" w:hAnsi="Times New Roman"/>
              </w:rPr>
              <w:t xml:space="preserve">Grâce à la mise en œuvre du Projet </w:t>
            </w:r>
            <w:r w:rsidR="003551F9" w:rsidRPr="00420C1B">
              <w:rPr>
                <w:rFonts w:ascii="Times New Roman" w:hAnsi="Times New Roman"/>
              </w:rPr>
              <w:t xml:space="preserve">AGREE, il y aura l’élimination des poches noires qui créent souvent l’insécurité dans la zone du Projet, accès à l’électricité et eau potable, </w:t>
            </w:r>
            <w:r w:rsidR="00117BAD" w:rsidRPr="00420C1B">
              <w:rPr>
                <w:rFonts w:ascii="Times New Roman" w:hAnsi="Times New Roman"/>
              </w:rPr>
              <w:t xml:space="preserve"> </w:t>
            </w:r>
            <w:r w:rsidRPr="00420C1B">
              <w:rPr>
                <w:rFonts w:ascii="Times New Roman" w:hAnsi="Times New Roman"/>
              </w:rPr>
              <w:t>ainsi que les projets futurs du Plan directeur de la Ville-Province de Kinshasa, les entreprises auront un meilleur accès aux biens, aux consommateurs et aux travailleurs.</w:t>
            </w:r>
          </w:p>
          <w:p w14:paraId="5AC02BB2" w14:textId="17831B9D" w:rsidR="001F6C6B" w:rsidRPr="00420C1B" w:rsidRDefault="001F6C6B" w:rsidP="00420C1B">
            <w:pPr>
              <w:pStyle w:val="Paragraphedeliste"/>
              <w:numPr>
                <w:ilvl w:val="0"/>
                <w:numId w:val="370"/>
              </w:numPr>
              <w:spacing w:after="0" w:line="276" w:lineRule="auto"/>
              <w:ind w:left="208" w:hanging="208"/>
              <w:jc w:val="both"/>
              <w:rPr>
                <w:rFonts w:ascii="Times New Roman" w:hAnsi="Times New Roman"/>
                <w:sz w:val="20"/>
                <w:szCs w:val="20"/>
              </w:rPr>
            </w:pPr>
            <w:r w:rsidRPr="00420C1B">
              <w:rPr>
                <w:rFonts w:ascii="Times New Roman" w:hAnsi="Times New Roman"/>
              </w:rPr>
              <w:t>La mise en œuvre du plan routier permettra d'étendre et d'améliorer le réseau routier praticable toutes saisons</w:t>
            </w:r>
            <w:r w:rsidR="003551F9" w:rsidRPr="00420C1B">
              <w:rPr>
                <w:rFonts w:ascii="Times New Roman" w:hAnsi="Times New Roman"/>
              </w:rPr>
              <w:t xml:space="preserve"> et électrifié</w:t>
            </w:r>
            <w:r w:rsidRPr="00420C1B">
              <w:rPr>
                <w:rFonts w:ascii="Times New Roman" w:hAnsi="Times New Roman"/>
              </w:rPr>
              <w:t>.</w:t>
            </w:r>
          </w:p>
        </w:tc>
        <w:tc>
          <w:tcPr>
            <w:tcW w:w="1588" w:type="dxa"/>
            <w:shd w:val="clear" w:color="auto" w:fill="auto"/>
          </w:tcPr>
          <w:p w14:paraId="19593B4F" w14:textId="2DC06DC3" w:rsidR="001F6C6B" w:rsidRPr="00420C1B" w:rsidRDefault="003551F9"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449BEECA" w14:textId="77777777" w:rsidTr="00420C1B">
        <w:tc>
          <w:tcPr>
            <w:tcW w:w="1412" w:type="dxa"/>
            <w:vMerge/>
            <w:shd w:val="clear" w:color="auto" w:fill="auto"/>
          </w:tcPr>
          <w:p w14:paraId="67CC9A57" w14:textId="77777777" w:rsidR="001F6C6B" w:rsidRPr="00420C1B" w:rsidRDefault="001F6C6B" w:rsidP="00420C1B">
            <w:pPr>
              <w:spacing w:after="0" w:line="240" w:lineRule="auto"/>
              <w:rPr>
                <w:rFonts w:ascii="Times New Roman" w:hAnsi="Times New Roman"/>
              </w:rPr>
            </w:pPr>
          </w:p>
        </w:tc>
        <w:tc>
          <w:tcPr>
            <w:tcW w:w="1815" w:type="dxa"/>
            <w:shd w:val="clear" w:color="auto" w:fill="auto"/>
          </w:tcPr>
          <w:p w14:paraId="2F49EA20"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Genre et VBG/EAS/HS</w:t>
            </w:r>
          </w:p>
        </w:tc>
        <w:tc>
          <w:tcPr>
            <w:tcW w:w="4678" w:type="dxa"/>
            <w:shd w:val="clear" w:color="auto" w:fill="auto"/>
          </w:tcPr>
          <w:p w14:paraId="41A7A464" w14:textId="7536E970" w:rsidR="001F6C6B" w:rsidRPr="00420C1B" w:rsidRDefault="001F6C6B" w:rsidP="00420C1B">
            <w:pPr>
              <w:spacing w:after="0" w:line="240" w:lineRule="auto"/>
              <w:jc w:val="both"/>
              <w:rPr>
                <w:rFonts w:ascii="Times New Roman" w:hAnsi="Times New Roman"/>
              </w:rPr>
            </w:pPr>
            <w:r w:rsidRPr="00420C1B">
              <w:rPr>
                <w:rFonts w:ascii="Times New Roman" w:hAnsi="Times New Roman"/>
              </w:rPr>
              <w:t xml:space="preserve">En </w:t>
            </w:r>
            <w:r w:rsidR="003551F9" w:rsidRPr="00420C1B">
              <w:rPr>
                <w:rFonts w:ascii="Times New Roman" w:hAnsi="Times New Roman"/>
              </w:rPr>
              <w:t xml:space="preserve">électrifiant les poches noires, on va assister à la </w:t>
            </w:r>
            <w:r w:rsidR="00983BCF" w:rsidRPr="00420C1B">
              <w:rPr>
                <w:rFonts w:ascii="Times New Roman" w:hAnsi="Times New Roman"/>
              </w:rPr>
              <w:t>diminution</w:t>
            </w:r>
            <w:r w:rsidR="003551F9" w:rsidRPr="00420C1B">
              <w:rPr>
                <w:rFonts w:ascii="Times New Roman" w:hAnsi="Times New Roman"/>
              </w:rPr>
              <w:t xml:space="preserve"> de l’insécurité avec le phénomène Kuluna qui cause souvent des violences sexuelles et en </w:t>
            </w:r>
            <w:r w:rsidRPr="00420C1B">
              <w:rPr>
                <w:rFonts w:ascii="Times New Roman" w:hAnsi="Times New Roman"/>
              </w:rPr>
              <w:t>réaménageant l'espace routier autour des marchés, la congestion devant les marchés sera réduite. En outre, avec la mise en œuvre du Projet anti-érosif et inondation ainsi que et les Projets futurs, l’on va observer la réduction de VBG/EAS/HS.</w:t>
            </w:r>
          </w:p>
        </w:tc>
        <w:tc>
          <w:tcPr>
            <w:tcW w:w="1588" w:type="dxa"/>
            <w:shd w:val="clear" w:color="auto" w:fill="auto"/>
          </w:tcPr>
          <w:p w14:paraId="575A7734" w14:textId="07FCE423" w:rsidR="001F6C6B" w:rsidRPr="00420C1B" w:rsidRDefault="003551F9" w:rsidP="00420C1B">
            <w:pPr>
              <w:spacing w:after="0" w:line="240" w:lineRule="auto"/>
              <w:jc w:val="center"/>
              <w:rPr>
                <w:rFonts w:ascii="Times New Roman" w:hAnsi="Times New Roman"/>
              </w:rPr>
            </w:pPr>
            <w:r w:rsidRPr="00420C1B">
              <w:rPr>
                <w:rFonts w:ascii="Times New Roman" w:hAnsi="Times New Roman"/>
              </w:rPr>
              <w:t>Fort</w:t>
            </w:r>
          </w:p>
        </w:tc>
      </w:tr>
    </w:tbl>
    <w:p w14:paraId="311BBE8C" w14:textId="560B35EC" w:rsidR="003551F9" w:rsidRDefault="003551F9" w:rsidP="001F6C6B">
      <w:pPr>
        <w:spacing w:after="0"/>
        <w:rPr>
          <w:rFonts w:ascii="Times New Roman" w:hAnsi="Times New Roman"/>
          <w:i/>
          <w:sz w:val="21"/>
          <w:szCs w:val="21"/>
        </w:rPr>
      </w:pPr>
    </w:p>
    <w:p w14:paraId="42B4A444" w14:textId="77777777" w:rsidR="00AE473E" w:rsidRDefault="00AE473E" w:rsidP="00AE473E">
      <w:pPr>
        <w:pStyle w:val="Titre4"/>
        <w:numPr>
          <w:ilvl w:val="3"/>
          <w:numId w:val="54"/>
        </w:numPr>
        <w:spacing w:before="120" w:after="120" w:line="20" w:lineRule="atLeast"/>
        <w:ind w:left="1276" w:hanging="851"/>
        <w:rPr>
          <w:color w:val="auto"/>
          <w:szCs w:val="24"/>
        </w:rPr>
        <w:sectPr w:rsidR="00AE473E" w:rsidSect="0062151B">
          <w:pgSz w:w="11906" w:h="16838"/>
          <w:pgMar w:top="1440" w:right="1440" w:bottom="1440" w:left="1440" w:header="709" w:footer="709" w:gutter="0"/>
          <w:cols w:space="708"/>
          <w:docGrid w:linePitch="360"/>
        </w:sectPr>
      </w:pPr>
    </w:p>
    <w:p w14:paraId="2D6C85C4" w14:textId="788212E4" w:rsidR="001F6C6B" w:rsidRPr="00215867" w:rsidRDefault="001F6C6B" w:rsidP="00215867">
      <w:pPr>
        <w:pStyle w:val="Titre4"/>
        <w:numPr>
          <w:ilvl w:val="3"/>
          <w:numId w:val="54"/>
        </w:numPr>
        <w:spacing w:before="120" w:after="120" w:line="20" w:lineRule="atLeast"/>
        <w:ind w:left="1276" w:hanging="851"/>
        <w:rPr>
          <w:i w:val="0"/>
          <w:szCs w:val="24"/>
        </w:rPr>
      </w:pPr>
      <w:bookmarkStart w:id="740" w:name="_Toc103685709"/>
      <w:r w:rsidRPr="00215867">
        <w:rPr>
          <w:color w:val="auto"/>
          <w:szCs w:val="24"/>
        </w:rPr>
        <w:t>Impacts négatifs</w:t>
      </w:r>
      <w:bookmarkEnd w:id="740"/>
      <w:r w:rsidRPr="00215867">
        <w:rPr>
          <w:color w:val="auto"/>
          <w:szCs w:val="24"/>
        </w:rPr>
        <w:t xml:space="preserve"> </w:t>
      </w:r>
    </w:p>
    <w:p w14:paraId="3C5E31ED" w14:textId="46D8D7EC" w:rsidR="001F6C6B" w:rsidRPr="00215867" w:rsidRDefault="001F6C6B" w:rsidP="00A86929">
      <w:pPr>
        <w:spacing w:before="120" w:after="120"/>
        <w:jc w:val="both"/>
        <w:rPr>
          <w:rFonts w:ascii="Times New Roman" w:hAnsi="Times New Roman"/>
          <w:sz w:val="24"/>
          <w:szCs w:val="24"/>
        </w:rPr>
      </w:pPr>
      <w:bookmarkStart w:id="741" w:name="_Toc64029792"/>
      <w:bookmarkStart w:id="742" w:name="_Toc75093091"/>
      <w:bookmarkStart w:id="743" w:name="_Toc93050315"/>
      <w:r w:rsidRPr="00215867">
        <w:rPr>
          <w:rFonts w:ascii="Times New Roman" w:hAnsi="Times New Roman"/>
          <w:sz w:val="24"/>
          <w:szCs w:val="24"/>
        </w:rPr>
        <w:t xml:space="preserve">Tableau </w:t>
      </w:r>
      <w:r w:rsidRPr="00A86929">
        <w:rPr>
          <w:rFonts w:ascii="Times New Roman" w:hAnsi="Times New Roman"/>
          <w:sz w:val="24"/>
          <w:szCs w:val="24"/>
        </w:rPr>
        <w:fldChar w:fldCharType="begin"/>
      </w:r>
      <w:r w:rsidRPr="00215867">
        <w:rPr>
          <w:rFonts w:ascii="Times New Roman" w:hAnsi="Times New Roman"/>
          <w:sz w:val="24"/>
          <w:szCs w:val="24"/>
        </w:rPr>
        <w:instrText xml:space="preserve"> SEQ Tableau \* ARABIC </w:instrText>
      </w:r>
      <w:r w:rsidRPr="00A86929">
        <w:rPr>
          <w:rFonts w:ascii="Times New Roman" w:hAnsi="Times New Roman"/>
          <w:sz w:val="24"/>
          <w:szCs w:val="24"/>
        </w:rPr>
        <w:fldChar w:fldCharType="separate"/>
      </w:r>
      <w:r w:rsidR="00A86929">
        <w:rPr>
          <w:rFonts w:ascii="Times New Roman" w:hAnsi="Times New Roman"/>
          <w:noProof/>
          <w:sz w:val="24"/>
          <w:szCs w:val="24"/>
        </w:rPr>
        <w:t>53</w:t>
      </w:r>
      <w:r w:rsidRPr="00A86929">
        <w:rPr>
          <w:rFonts w:ascii="Times New Roman" w:hAnsi="Times New Roman"/>
          <w:sz w:val="24"/>
          <w:szCs w:val="24"/>
        </w:rPr>
        <w:fldChar w:fldCharType="end"/>
      </w:r>
      <w:r w:rsidRPr="00215867">
        <w:rPr>
          <w:rFonts w:ascii="Times New Roman" w:hAnsi="Times New Roman"/>
          <w:sz w:val="24"/>
          <w:szCs w:val="24"/>
        </w:rPr>
        <w:t>.</w:t>
      </w:r>
      <w:r w:rsidRPr="00215867">
        <w:rPr>
          <w:rFonts w:ascii="Times New Roman" w:hAnsi="Times New Roman"/>
          <w:b/>
          <w:sz w:val="24"/>
          <w:szCs w:val="24"/>
        </w:rPr>
        <w:t xml:space="preserve"> </w:t>
      </w:r>
      <w:r w:rsidRPr="00215867">
        <w:rPr>
          <w:rFonts w:ascii="Times New Roman" w:hAnsi="Times New Roman"/>
          <w:sz w:val="24"/>
          <w:szCs w:val="24"/>
        </w:rPr>
        <w:t>Impacts négatifs cumulatifs</w:t>
      </w:r>
      <w:bookmarkEnd w:id="741"/>
      <w:bookmarkEnd w:id="742"/>
      <w:bookmarkEnd w:id="743"/>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69"/>
        <w:gridCol w:w="5347"/>
        <w:gridCol w:w="1559"/>
      </w:tblGrid>
      <w:tr w:rsidR="001F6C6B" w:rsidRPr="00420C1B" w14:paraId="5F98D13E" w14:textId="77777777" w:rsidTr="00420C1B">
        <w:trPr>
          <w:trHeight w:val="475"/>
        </w:trPr>
        <w:tc>
          <w:tcPr>
            <w:tcW w:w="2870" w:type="dxa"/>
            <w:gridSpan w:val="2"/>
            <w:shd w:val="clear" w:color="auto" w:fill="auto"/>
          </w:tcPr>
          <w:p w14:paraId="44B624E3" w14:textId="2A73CE1A" w:rsidR="001F6C6B" w:rsidRPr="00420C1B" w:rsidRDefault="001F6C6B" w:rsidP="00420C1B">
            <w:pPr>
              <w:spacing w:after="0" w:line="240" w:lineRule="auto"/>
              <w:jc w:val="center"/>
              <w:rPr>
                <w:rFonts w:ascii="Times New Roman" w:hAnsi="Times New Roman"/>
                <w:b/>
              </w:rPr>
            </w:pPr>
            <w:r w:rsidRPr="00420C1B">
              <w:rPr>
                <w:rFonts w:ascii="Times New Roman" w:hAnsi="Times New Roman"/>
                <w:b/>
              </w:rPr>
              <w:t>Composante de l’environnement</w:t>
            </w:r>
          </w:p>
        </w:tc>
        <w:tc>
          <w:tcPr>
            <w:tcW w:w="5347" w:type="dxa"/>
            <w:shd w:val="clear" w:color="auto" w:fill="auto"/>
          </w:tcPr>
          <w:p w14:paraId="1AB1F022" w14:textId="77777777" w:rsidR="001F6C6B" w:rsidRPr="00420C1B" w:rsidRDefault="001F6C6B" w:rsidP="00420C1B">
            <w:pPr>
              <w:spacing w:after="0" w:line="240" w:lineRule="auto"/>
              <w:jc w:val="center"/>
              <w:rPr>
                <w:rFonts w:ascii="Times New Roman" w:hAnsi="Times New Roman"/>
                <w:b/>
              </w:rPr>
            </w:pPr>
            <w:r w:rsidRPr="00420C1B">
              <w:rPr>
                <w:rFonts w:ascii="Times New Roman" w:hAnsi="Times New Roman"/>
                <w:b/>
              </w:rPr>
              <w:t>Description de l’Impact cumulé négatif pendant la phase des travaux et d’exploitation</w:t>
            </w:r>
          </w:p>
        </w:tc>
        <w:tc>
          <w:tcPr>
            <w:tcW w:w="1559" w:type="dxa"/>
            <w:shd w:val="clear" w:color="auto" w:fill="auto"/>
          </w:tcPr>
          <w:p w14:paraId="37560FC2" w14:textId="77777777" w:rsidR="001F6C6B" w:rsidRPr="00420C1B" w:rsidRDefault="001F6C6B" w:rsidP="00420C1B">
            <w:pPr>
              <w:spacing w:after="0" w:line="240" w:lineRule="auto"/>
              <w:jc w:val="center"/>
              <w:rPr>
                <w:rFonts w:ascii="Times New Roman" w:hAnsi="Times New Roman"/>
                <w:b/>
                <w:sz w:val="10"/>
                <w:szCs w:val="10"/>
              </w:rPr>
            </w:pPr>
          </w:p>
          <w:p w14:paraId="7BA76349" w14:textId="77777777" w:rsidR="001F6C6B" w:rsidRPr="00420C1B" w:rsidRDefault="001F6C6B" w:rsidP="00420C1B">
            <w:pPr>
              <w:spacing w:after="0" w:line="240" w:lineRule="auto"/>
              <w:jc w:val="center"/>
              <w:rPr>
                <w:rFonts w:ascii="Times New Roman" w:hAnsi="Times New Roman"/>
                <w:b/>
              </w:rPr>
            </w:pPr>
            <w:r w:rsidRPr="00420C1B">
              <w:rPr>
                <w:rFonts w:ascii="Times New Roman" w:hAnsi="Times New Roman"/>
                <w:b/>
              </w:rPr>
              <w:t>Résultat d’évaluation</w:t>
            </w:r>
          </w:p>
        </w:tc>
      </w:tr>
      <w:tr w:rsidR="002C66D7" w:rsidRPr="00420C1B" w14:paraId="4F9EC6B6" w14:textId="77777777" w:rsidTr="00420C1B">
        <w:tc>
          <w:tcPr>
            <w:tcW w:w="1101" w:type="dxa"/>
            <w:shd w:val="clear" w:color="auto" w:fill="auto"/>
          </w:tcPr>
          <w:p w14:paraId="04A01CC1"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Milieu physique</w:t>
            </w:r>
          </w:p>
        </w:tc>
        <w:tc>
          <w:tcPr>
            <w:tcW w:w="1769" w:type="dxa"/>
            <w:shd w:val="clear" w:color="auto" w:fill="auto"/>
          </w:tcPr>
          <w:p w14:paraId="0D7BDACE" w14:textId="77777777" w:rsidR="001F6C6B" w:rsidRPr="00420C1B" w:rsidRDefault="001F6C6B" w:rsidP="00420C1B">
            <w:pPr>
              <w:spacing w:after="0" w:line="240" w:lineRule="auto"/>
              <w:rPr>
                <w:rFonts w:ascii="Times New Roman" w:hAnsi="Times New Roman"/>
              </w:rPr>
            </w:pPr>
            <w:r w:rsidRPr="00420C1B">
              <w:rPr>
                <w:rFonts w:ascii="Times New Roman" w:hAnsi="Times New Roman"/>
              </w:rPr>
              <w:t>Air</w:t>
            </w:r>
          </w:p>
        </w:tc>
        <w:tc>
          <w:tcPr>
            <w:tcW w:w="5347" w:type="dxa"/>
            <w:shd w:val="clear" w:color="auto" w:fill="auto"/>
          </w:tcPr>
          <w:p w14:paraId="6385B746" w14:textId="77777777" w:rsidR="001F6C6B" w:rsidRPr="00420C1B" w:rsidRDefault="001F6C6B" w:rsidP="00420C1B">
            <w:pPr>
              <w:spacing w:after="0" w:line="240" w:lineRule="auto"/>
              <w:jc w:val="both"/>
              <w:rPr>
                <w:rFonts w:ascii="Times New Roman" w:hAnsi="Times New Roman"/>
              </w:rPr>
            </w:pPr>
            <w:r w:rsidRPr="00420C1B">
              <w:rPr>
                <w:rFonts w:ascii="Times New Roman" w:hAnsi="Times New Roman"/>
              </w:rPr>
              <w:t>Risque de Pollution atmosphérique et sonore suite à la circulation des engins et véhicules.</w:t>
            </w:r>
          </w:p>
        </w:tc>
        <w:tc>
          <w:tcPr>
            <w:tcW w:w="1559" w:type="dxa"/>
            <w:shd w:val="clear" w:color="auto" w:fill="auto"/>
          </w:tcPr>
          <w:p w14:paraId="1BD4D93D" w14:textId="77777777" w:rsidR="001F6C6B" w:rsidRPr="00420C1B" w:rsidRDefault="001F6C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5531F396" w14:textId="77777777" w:rsidTr="00420C1B">
        <w:tc>
          <w:tcPr>
            <w:tcW w:w="1101" w:type="dxa"/>
            <w:shd w:val="clear" w:color="auto" w:fill="auto"/>
          </w:tcPr>
          <w:p w14:paraId="701EE713" w14:textId="77777777" w:rsidR="00991E6B" w:rsidRPr="00420C1B" w:rsidRDefault="00991E6B" w:rsidP="00420C1B">
            <w:pPr>
              <w:spacing w:after="0" w:line="240" w:lineRule="auto"/>
              <w:rPr>
                <w:rFonts w:ascii="Times New Roman" w:hAnsi="Times New Roman"/>
              </w:rPr>
            </w:pPr>
          </w:p>
        </w:tc>
        <w:tc>
          <w:tcPr>
            <w:tcW w:w="1769" w:type="dxa"/>
            <w:shd w:val="clear" w:color="auto" w:fill="auto"/>
          </w:tcPr>
          <w:p w14:paraId="6C93C4B4" w14:textId="6DA79170" w:rsidR="00991E6B" w:rsidRPr="00420C1B" w:rsidRDefault="00991E6B" w:rsidP="00420C1B">
            <w:pPr>
              <w:spacing w:after="0" w:line="240" w:lineRule="auto"/>
              <w:rPr>
                <w:rFonts w:ascii="Times New Roman" w:hAnsi="Times New Roman"/>
              </w:rPr>
            </w:pPr>
            <w:r w:rsidRPr="00420C1B">
              <w:rPr>
                <w:rFonts w:ascii="Times New Roman" w:hAnsi="Times New Roman"/>
              </w:rPr>
              <w:t>Eau</w:t>
            </w:r>
          </w:p>
        </w:tc>
        <w:tc>
          <w:tcPr>
            <w:tcW w:w="5347" w:type="dxa"/>
            <w:shd w:val="clear" w:color="auto" w:fill="auto"/>
          </w:tcPr>
          <w:p w14:paraId="7BEE1084" w14:textId="508365A1" w:rsidR="00991E6B" w:rsidRPr="00420C1B" w:rsidRDefault="00991E6B" w:rsidP="00420C1B">
            <w:pPr>
              <w:spacing w:after="0" w:line="240" w:lineRule="auto"/>
              <w:jc w:val="both"/>
              <w:rPr>
                <w:rFonts w:ascii="Times New Roman" w:hAnsi="Times New Roman"/>
              </w:rPr>
            </w:pPr>
            <w:r w:rsidRPr="00420C1B">
              <w:rPr>
                <w:rFonts w:ascii="Times New Roman" w:hAnsi="Times New Roman"/>
              </w:rPr>
              <w:t>Risque de diminution de la quantité d’eau prélevée dans les rivières et dans le Fleuve Congo par la REGIDESO pour desservir la population riveraine</w:t>
            </w:r>
          </w:p>
        </w:tc>
        <w:tc>
          <w:tcPr>
            <w:tcW w:w="1559" w:type="dxa"/>
            <w:shd w:val="clear" w:color="auto" w:fill="auto"/>
          </w:tcPr>
          <w:p w14:paraId="76FCA424" w14:textId="6776075C" w:rsidR="00991E6B" w:rsidRPr="00420C1B" w:rsidRDefault="00991E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09FA62B4" w14:textId="77777777" w:rsidTr="00420C1B">
        <w:tc>
          <w:tcPr>
            <w:tcW w:w="1101" w:type="dxa"/>
            <w:shd w:val="clear" w:color="auto" w:fill="auto"/>
          </w:tcPr>
          <w:p w14:paraId="2AB05865" w14:textId="77777777" w:rsidR="00991E6B" w:rsidRPr="00420C1B" w:rsidRDefault="00991E6B" w:rsidP="00420C1B">
            <w:pPr>
              <w:spacing w:after="0" w:line="240" w:lineRule="auto"/>
              <w:rPr>
                <w:rFonts w:ascii="Times New Roman" w:hAnsi="Times New Roman"/>
              </w:rPr>
            </w:pPr>
          </w:p>
        </w:tc>
        <w:tc>
          <w:tcPr>
            <w:tcW w:w="1769" w:type="dxa"/>
            <w:shd w:val="clear" w:color="auto" w:fill="auto"/>
          </w:tcPr>
          <w:p w14:paraId="4A3BE8D7" w14:textId="25A43E47" w:rsidR="00991E6B" w:rsidRPr="00420C1B" w:rsidRDefault="00991E6B" w:rsidP="00420C1B">
            <w:pPr>
              <w:spacing w:after="0" w:line="240" w:lineRule="auto"/>
              <w:rPr>
                <w:rFonts w:ascii="Times New Roman" w:hAnsi="Times New Roman"/>
              </w:rPr>
            </w:pPr>
            <w:r w:rsidRPr="00420C1B">
              <w:rPr>
                <w:rFonts w:ascii="Times New Roman" w:hAnsi="Times New Roman"/>
              </w:rPr>
              <w:t>Faune aquatique</w:t>
            </w:r>
          </w:p>
        </w:tc>
        <w:tc>
          <w:tcPr>
            <w:tcW w:w="5347" w:type="dxa"/>
            <w:shd w:val="clear" w:color="auto" w:fill="auto"/>
          </w:tcPr>
          <w:p w14:paraId="77606B40" w14:textId="37B682A1" w:rsidR="00991E6B" w:rsidRPr="00420C1B" w:rsidRDefault="00991E6B" w:rsidP="00420C1B">
            <w:pPr>
              <w:spacing w:after="0" w:line="240" w:lineRule="auto"/>
              <w:jc w:val="both"/>
              <w:rPr>
                <w:rFonts w:ascii="Times New Roman" w:hAnsi="Times New Roman"/>
              </w:rPr>
            </w:pPr>
            <w:r w:rsidRPr="00420C1B">
              <w:rPr>
                <w:rFonts w:ascii="Times New Roman" w:hAnsi="Times New Roman"/>
              </w:rPr>
              <w:t xml:space="preserve">Risque de la turbidité d’eau et perturbation des vies des animaux aquatiques pendant le </w:t>
            </w:r>
            <w:r w:rsidR="00983BCF" w:rsidRPr="00420C1B">
              <w:rPr>
                <w:rFonts w:ascii="Times New Roman" w:hAnsi="Times New Roman"/>
              </w:rPr>
              <w:t>prélèvement</w:t>
            </w:r>
            <w:r w:rsidRPr="00420C1B">
              <w:rPr>
                <w:rFonts w:ascii="Times New Roman" w:hAnsi="Times New Roman"/>
              </w:rPr>
              <w:t xml:space="preserve"> d’eau dans la rivière N’djili et le Fleuve Congo par la REGIDESO</w:t>
            </w:r>
          </w:p>
        </w:tc>
        <w:tc>
          <w:tcPr>
            <w:tcW w:w="1559" w:type="dxa"/>
            <w:shd w:val="clear" w:color="auto" w:fill="auto"/>
          </w:tcPr>
          <w:p w14:paraId="48FF6CB6" w14:textId="56B6DD1F" w:rsidR="00991E6B" w:rsidRPr="00420C1B" w:rsidRDefault="00991E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11FADA4A" w14:textId="77777777" w:rsidTr="00420C1B">
        <w:tc>
          <w:tcPr>
            <w:tcW w:w="1101" w:type="dxa"/>
            <w:shd w:val="clear" w:color="auto" w:fill="auto"/>
          </w:tcPr>
          <w:p w14:paraId="0433A05E" w14:textId="77777777" w:rsidR="00991E6B" w:rsidRPr="00420C1B" w:rsidRDefault="00991E6B" w:rsidP="00420C1B">
            <w:pPr>
              <w:spacing w:after="0" w:line="240" w:lineRule="auto"/>
              <w:rPr>
                <w:rFonts w:ascii="Times New Roman" w:hAnsi="Times New Roman"/>
              </w:rPr>
            </w:pPr>
          </w:p>
        </w:tc>
        <w:tc>
          <w:tcPr>
            <w:tcW w:w="1769" w:type="dxa"/>
            <w:shd w:val="clear" w:color="auto" w:fill="auto"/>
          </w:tcPr>
          <w:p w14:paraId="4B9BE32E" w14:textId="5D764745" w:rsidR="00991E6B" w:rsidRPr="00420C1B" w:rsidRDefault="00991E6B" w:rsidP="00420C1B">
            <w:pPr>
              <w:spacing w:after="0" w:line="240" w:lineRule="auto"/>
              <w:rPr>
                <w:rFonts w:ascii="Times New Roman" w:hAnsi="Times New Roman"/>
              </w:rPr>
            </w:pPr>
            <w:r w:rsidRPr="00420C1B">
              <w:rPr>
                <w:rFonts w:ascii="Times New Roman" w:hAnsi="Times New Roman"/>
              </w:rPr>
              <w:t>Faune aviaire</w:t>
            </w:r>
          </w:p>
        </w:tc>
        <w:tc>
          <w:tcPr>
            <w:tcW w:w="5347" w:type="dxa"/>
            <w:shd w:val="clear" w:color="auto" w:fill="auto"/>
          </w:tcPr>
          <w:p w14:paraId="36673BEB" w14:textId="03649428" w:rsidR="00991E6B" w:rsidRPr="00420C1B" w:rsidRDefault="00991E6B" w:rsidP="00420C1B">
            <w:pPr>
              <w:spacing w:after="0" w:line="240" w:lineRule="auto"/>
              <w:jc w:val="both"/>
              <w:rPr>
                <w:rFonts w:ascii="Times New Roman" w:hAnsi="Times New Roman"/>
              </w:rPr>
            </w:pPr>
            <w:r w:rsidRPr="00420C1B">
              <w:rPr>
                <w:rFonts w:ascii="Times New Roman" w:hAnsi="Times New Roman"/>
              </w:rPr>
              <w:t>Risque de la disparition des oiseaux nocturnes attirés par la lumière et exposés à la chasse par les riverains</w:t>
            </w:r>
          </w:p>
        </w:tc>
        <w:tc>
          <w:tcPr>
            <w:tcW w:w="1559" w:type="dxa"/>
            <w:shd w:val="clear" w:color="auto" w:fill="auto"/>
          </w:tcPr>
          <w:p w14:paraId="317288E7" w14:textId="3E0536C3" w:rsidR="00991E6B" w:rsidRPr="00420C1B" w:rsidRDefault="00991E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3ED66F59" w14:textId="77777777" w:rsidTr="00420C1B">
        <w:tc>
          <w:tcPr>
            <w:tcW w:w="1101" w:type="dxa"/>
            <w:vMerge w:val="restart"/>
            <w:shd w:val="clear" w:color="auto" w:fill="auto"/>
          </w:tcPr>
          <w:p w14:paraId="193A0DE2" w14:textId="77777777" w:rsidR="002025D1" w:rsidRPr="00420C1B" w:rsidRDefault="002025D1" w:rsidP="00420C1B">
            <w:pPr>
              <w:spacing w:after="0" w:line="240" w:lineRule="auto"/>
              <w:rPr>
                <w:rFonts w:ascii="Times New Roman" w:hAnsi="Times New Roman"/>
              </w:rPr>
            </w:pPr>
            <w:r w:rsidRPr="00420C1B">
              <w:rPr>
                <w:rFonts w:ascii="Times New Roman" w:hAnsi="Times New Roman"/>
              </w:rPr>
              <w:t>Milieu humain</w:t>
            </w:r>
          </w:p>
        </w:tc>
        <w:tc>
          <w:tcPr>
            <w:tcW w:w="1769" w:type="dxa"/>
            <w:vMerge w:val="restart"/>
            <w:shd w:val="clear" w:color="auto" w:fill="auto"/>
          </w:tcPr>
          <w:p w14:paraId="633361CE" w14:textId="77777777" w:rsidR="002025D1" w:rsidRPr="00420C1B" w:rsidRDefault="002025D1" w:rsidP="00420C1B">
            <w:pPr>
              <w:spacing w:after="0" w:line="240" w:lineRule="auto"/>
              <w:rPr>
                <w:rFonts w:ascii="Times New Roman" w:hAnsi="Times New Roman"/>
              </w:rPr>
            </w:pPr>
            <w:r w:rsidRPr="00420C1B">
              <w:rPr>
                <w:rFonts w:ascii="Times New Roman" w:hAnsi="Times New Roman"/>
              </w:rPr>
              <w:t>Activités socio-économiques</w:t>
            </w:r>
          </w:p>
        </w:tc>
        <w:tc>
          <w:tcPr>
            <w:tcW w:w="5347" w:type="dxa"/>
            <w:shd w:val="clear" w:color="auto" w:fill="auto"/>
          </w:tcPr>
          <w:p w14:paraId="453BF959" w14:textId="77777777" w:rsidR="002025D1" w:rsidRPr="00420C1B" w:rsidRDefault="002025D1" w:rsidP="00420C1B">
            <w:pPr>
              <w:spacing w:after="0" w:line="240" w:lineRule="auto"/>
              <w:jc w:val="both"/>
              <w:rPr>
                <w:rFonts w:ascii="Times New Roman" w:hAnsi="Times New Roman"/>
              </w:rPr>
            </w:pPr>
            <w:r w:rsidRPr="00420C1B">
              <w:rPr>
                <w:rFonts w:ascii="Times New Roman" w:hAnsi="Times New Roman"/>
              </w:rPr>
              <w:t>Réinstallation involontaire et/ou perte de propriété.</w:t>
            </w:r>
          </w:p>
        </w:tc>
        <w:tc>
          <w:tcPr>
            <w:tcW w:w="1559" w:type="dxa"/>
            <w:shd w:val="clear" w:color="auto" w:fill="auto"/>
          </w:tcPr>
          <w:p w14:paraId="28D9992F" w14:textId="77777777" w:rsidR="002025D1" w:rsidRPr="00420C1B" w:rsidRDefault="002025D1" w:rsidP="00420C1B">
            <w:pPr>
              <w:spacing w:after="0" w:line="240" w:lineRule="auto"/>
              <w:jc w:val="center"/>
              <w:rPr>
                <w:rFonts w:ascii="Times New Roman" w:hAnsi="Times New Roman"/>
              </w:rPr>
            </w:pPr>
            <w:r w:rsidRPr="00420C1B">
              <w:rPr>
                <w:rFonts w:ascii="Times New Roman" w:hAnsi="Times New Roman"/>
              </w:rPr>
              <w:t>Fort</w:t>
            </w:r>
          </w:p>
        </w:tc>
      </w:tr>
      <w:tr w:rsidR="002C66D7" w:rsidRPr="00420C1B" w14:paraId="2886D844" w14:textId="77777777" w:rsidTr="00420C1B">
        <w:tc>
          <w:tcPr>
            <w:tcW w:w="1101" w:type="dxa"/>
            <w:vMerge/>
            <w:shd w:val="clear" w:color="auto" w:fill="auto"/>
          </w:tcPr>
          <w:p w14:paraId="5D3A2575" w14:textId="77777777" w:rsidR="002025D1" w:rsidRPr="00420C1B" w:rsidRDefault="002025D1" w:rsidP="00420C1B">
            <w:pPr>
              <w:spacing w:after="0" w:line="240" w:lineRule="auto"/>
              <w:rPr>
                <w:rFonts w:ascii="Times New Roman" w:hAnsi="Times New Roman"/>
              </w:rPr>
            </w:pPr>
          </w:p>
        </w:tc>
        <w:tc>
          <w:tcPr>
            <w:tcW w:w="1769" w:type="dxa"/>
            <w:vMerge/>
            <w:shd w:val="clear" w:color="auto" w:fill="auto"/>
          </w:tcPr>
          <w:p w14:paraId="1ABBD1D9" w14:textId="77777777" w:rsidR="002025D1" w:rsidRPr="00420C1B" w:rsidRDefault="002025D1" w:rsidP="00420C1B">
            <w:pPr>
              <w:spacing w:after="0" w:line="240" w:lineRule="auto"/>
              <w:rPr>
                <w:rFonts w:ascii="Times New Roman" w:hAnsi="Times New Roman"/>
              </w:rPr>
            </w:pPr>
          </w:p>
        </w:tc>
        <w:tc>
          <w:tcPr>
            <w:tcW w:w="5347" w:type="dxa"/>
            <w:shd w:val="clear" w:color="auto" w:fill="auto"/>
          </w:tcPr>
          <w:p w14:paraId="326E2B3A" w14:textId="1466E539" w:rsidR="002025D1" w:rsidRPr="00420C1B" w:rsidRDefault="002025D1" w:rsidP="00420C1B">
            <w:pPr>
              <w:spacing w:after="0" w:line="240" w:lineRule="auto"/>
              <w:jc w:val="both"/>
              <w:rPr>
                <w:rFonts w:ascii="Times New Roman" w:hAnsi="Times New Roman"/>
              </w:rPr>
            </w:pPr>
            <w:r w:rsidRPr="00420C1B">
              <w:rPr>
                <w:rFonts w:ascii="Times New Roman" w:hAnsi="Times New Roman"/>
              </w:rPr>
              <w:t>Risque de non</w:t>
            </w:r>
            <w:r w:rsidR="00E403C2">
              <w:rPr>
                <w:rFonts w:ascii="Times New Roman" w:hAnsi="Times New Roman"/>
              </w:rPr>
              <w:t>-</w:t>
            </w:r>
            <w:r w:rsidRPr="00420C1B">
              <w:rPr>
                <w:rFonts w:ascii="Times New Roman" w:hAnsi="Times New Roman"/>
              </w:rPr>
              <w:t>recrutement de la main d’œuvre locale</w:t>
            </w:r>
          </w:p>
        </w:tc>
        <w:tc>
          <w:tcPr>
            <w:tcW w:w="1559" w:type="dxa"/>
            <w:shd w:val="clear" w:color="auto" w:fill="auto"/>
          </w:tcPr>
          <w:p w14:paraId="477D2F27" w14:textId="0FEE5DCB" w:rsidR="002025D1" w:rsidRPr="00420C1B" w:rsidRDefault="002025D1" w:rsidP="00420C1B">
            <w:pPr>
              <w:spacing w:after="0" w:line="240" w:lineRule="auto"/>
              <w:jc w:val="center"/>
              <w:rPr>
                <w:rFonts w:ascii="Times New Roman" w:hAnsi="Times New Roman"/>
              </w:rPr>
            </w:pPr>
            <w:r w:rsidRPr="00420C1B">
              <w:rPr>
                <w:rFonts w:ascii="Times New Roman" w:hAnsi="Times New Roman"/>
              </w:rPr>
              <w:t>Faible</w:t>
            </w:r>
          </w:p>
        </w:tc>
      </w:tr>
      <w:tr w:rsidR="002C66D7" w:rsidRPr="00420C1B" w14:paraId="15F73A52" w14:textId="77777777" w:rsidTr="00420C1B">
        <w:tc>
          <w:tcPr>
            <w:tcW w:w="1101" w:type="dxa"/>
            <w:vMerge w:val="restart"/>
            <w:shd w:val="clear" w:color="auto" w:fill="auto"/>
          </w:tcPr>
          <w:p w14:paraId="437A89EA" w14:textId="77777777" w:rsidR="00A272CC" w:rsidRPr="00420C1B" w:rsidRDefault="00A272CC" w:rsidP="00420C1B">
            <w:pPr>
              <w:spacing w:after="0" w:line="240" w:lineRule="auto"/>
              <w:rPr>
                <w:rFonts w:ascii="Times New Roman" w:hAnsi="Times New Roman"/>
              </w:rPr>
            </w:pPr>
            <w:r w:rsidRPr="00420C1B">
              <w:rPr>
                <w:rFonts w:ascii="Times New Roman" w:hAnsi="Times New Roman"/>
              </w:rPr>
              <w:t>Humain</w:t>
            </w:r>
          </w:p>
        </w:tc>
        <w:tc>
          <w:tcPr>
            <w:tcW w:w="1769" w:type="dxa"/>
            <w:vMerge w:val="restart"/>
            <w:shd w:val="clear" w:color="auto" w:fill="auto"/>
          </w:tcPr>
          <w:p w14:paraId="4F09B504" w14:textId="77777777" w:rsidR="00A272CC" w:rsidRPr="00420C1B" w:rsidRDefault="00A272CC" w:rsidP="00420C1B">
            <w:pPr>
              <w:spacing w:after="0" w:line="240" w:lineRule="auto"/>
              <w:rPr>
                <w:rFonts w:ascii="Times New Roman" w:hAnsi="Times New Roman"/>
              </w:rPr>
            </w:pPr>
            <w:r w:rsidRPr="00420C1B">
              <w:rPr>
                <w:rFonts w:ascii="Times New Roman" w:hAnsi="Times New Roman"/>
              </w:rPr>
              <w:t>Santé et sécurité</w:t>
            </w:r>
          </w:p>
          <w:p w14:paraId="42724095" w14:textId="77777777" w:rsidR="00A272CC" w:rsidRPr="00420C1B" w:rsidRDefault="00A272CC" w:rsidP="00420C1B">
            <w:pPr>
              <w:spacing w:after="0" w:line="240" w:lineRule="auto"/>
              <w:rPr>
                <w:rFonts w:ascii="Times New Roman" w:hAnsi="Times New Roman"/>
              </w:rPr>
            </w:pPr>
          </w:p>
        </w:tc>
        <w:tc>
          <w:tcPr>
            <w:tcW w:w="5347" w:type="dxa"/>
            <w:shd w:val="clear" w:color="auto" w:fill="auto"/>
          </w:tcPr>
          <w:p w14:paraId="34245DB6" w14:textId="44F2AF17" w:rsidR="00A272CC" w:rsidRPr="00420C1B" w:rsidRDefault="00A272CC" w:rsidP="00420C1B">
            <w:pPr>
              <w:spacing w:after="0" w:line="240" w:lineRule="auto"/>
              <w:jc w:val="both"/>
              <w:rPr>
                <w:rFonts w:ascii="Times New Roman" w:hAnsi="Times New Roman"/>
              </w:rPr>
            </w:pPr>
            <w:r w:rsidRPr="00420C1B">
              <w:rPr>
                <w:rFonts w:ascii="Times New Roman" w:hAnsi="Times New Roman"/>
              </w:rPr>
              <w:t>Risque d’électrocution, d’incendie des maisons suite au courant électrique, Accidents pendant les travaux de construction.</w:t>
            </w:r>
          </w:p>
        </w:tc>
        <w:tc>
          <w:tcPr>
            <w:tcW w:w="1559" w:type="dxa"/>
            <w:shd w:val="clear" w:color="auto" w:fill="auto"/>
          </w:tcPr>
          <w:p w14:paraId="722BD0D4" w14:textId="77777777" w:rsidR="00A272CC" w:rsidRPr="00420C1B" w:rsidRDefault="00A272CC"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7293266F" w14:textId="77777777" w:rsidTr="00420C1B">
        <w:tc>
          <w:tcPr>
            <w:tcW w:w="1101" w:type="dxa"/>
            <w:vMerge/>
            <w:shd w:val="clear" w:color="auto" w:fill="auto"/>
          </w:tcPr>
          <w:p w14:paraId="48852572" w14:textId="77777777" w:rsidR="00A272CC" w:rsidRPr="00420C1B" w:rsidRDefault="00A272CC" w:rsidP="00420C1B">
            <w:pPr>
              <w:spacing w:after="0" w:line="240" w:lineRule="auto"/>
              <w:rPr>
                <w:rFonts w:ascii="Times New Roman" w:hAnsi="Times New Roman"/>
              </w:rPr>
            </w:pPr>
          </w:p>
        </w:tc>
        <w:tc>
          <w:tcPr>
            <w:tcW w:w="1769" w:type="dxa"/>
            <w:vMerge/>
            <w:shd w:val="clear" w:color="auto" w:fill="auto"/>
          </w:tcPr>
          <w:p w14:paraId="36FA4F18" w14:textId="77777777" w:rsidR="00A272CC" w:rsidRPr="00420C1B" w:rsidRDefault="00A272CC" w:rsidP="00420C1B">
            <w:pPr>
              <w:spacing w:after="0" w:line="240" w:lineRule="auto"/>
              <w:rPr>
                <w:rFonts w:ascii="Times New Roman" w:hAnsi="Times New Roman"/>
              </w:rPr>
            </w:pPr>
          </w:p>
        </w:tc>
        <w:tc>
          <w:tcPr>
            <w:tcW w:w="5347" w:type="dxa"/>
            <w:shd w:val="clear" w:color="auto" w:fill="auto"/>
          </w:tcPr>
          <w:p w14:paraId="3BB92CE7" w14:textId="77777777" w:rsidR="00A272CC" w:rsidRPr="00420C1B" w:rsidRDefault="00A272CC" w:rsidP="00420C1B">
            <w:pPr>
              <w:spacing w:after="0" w:line="240" w:lineRule="auto"/>
              <w:jc w:val="both"/>
              <w:rPr>
                <w:rFonts w:ascii="Times New Roman" w:hAnsi="Times New Roman"/>
              </w:rPr>
            </w:pPr>
            <w:r w:rsidRPr="00420C1B">
              <w:rPr>
                <w:rFonts w:ascii="Times New Roman" w:hAnsi="Times New Roman"/>
              </w:rPr>
              <w:t>Accidents pendant les travaux de construction et pendant la phase d’exploitation.</w:t>
            </w:r>
          </w:p>
        </w:tc>
        <w:tc>
          <w:tcPr>
            <w:tcW w:w="1559" w:type="dxa"/>
            <w:shd w:val="clear" w:color="auto" w:fill="auto"/>
          </w:tcPr>
          <w:p w14:paraId="49FC63F2" w14:textId="77777777" w:rsidR="00A272CC" w:rsidRPr="00420C1B" w:rsidRDefault="00A272CC"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325359E2" w14:textId="77777777" w:rsidTr="00420C1B">
        <w:tc>
          <w:tcPr>
            <w:tcW w:w="1101" w:type="dxa"/>
            <w:vMerge/>
            <w:shd w:val="clear" w:color="auto" w:fill="auto"/>
          </w:tcPr>
          <w:p w14:paraId="64D7CDEB" w14:textId="77777777" w:rsidR="00A272CC" w:rsidRPr="00420C1B" w:rsidRDefault="00A272CC" w:rsidP="00420C1B">
            <w:pPr>
              <w:spacing w:after="0" w:line="240" w:lineRule="auto"/>
              <w:rPr>
                <w:rFonts w:ascii="Times New Roman" w:hAnsi="Times New Roman"/>
              </w:rPr>
            </w:pPr>
          </w:p>
        </w:tc>
        <w:tc>
          <w:tcPr>
            <w:tcW w:w="1769" w:type="dxa"/>
            <w:vMerge/>
            <w:shd w:val="clear" w:color="auto" w:fill="auto"/>
          </w:tcPr>
          <w:p w14:paraId="4603A602" w14:textId="77777777" w:rsidR="00A272CC" w:rsidRPr="00420C1B" w:rsidRDefault="00A272CC" w:rsidP="00420C1B">
            <w:pPr>
              <w:spacing w:after="0" w:line="240" w:lineRule="auto"/>
              <w:rPr>
                <w:rFonts w:ascii="Times New Roman" w:hAnsi="Times New Roman"/>
              </w:rPr>
            </w:pPr>
          </w:p>
        </w:tc>
        <w:tc>
          <w:tcPr>
            <w:tcW w:w="5347" w:type="dxa"/>
            <w:shd w:val="clear" w:color="auto" w:fill="auto"/>
          </w:tcPr>
          <w:p w14:paraId="15047B50" w14:textId="7DE9404F" w:rsidR="00A272CC" w:rsidRPr="00420C1B" w:rsidRDefault="00A272CC" w:rsidP="00420C1B">
            <w:pPr>
              <w:spacing w:after="0" w:line="240" w:lineRule="auto"/>
              <w:jc w:val="both"/>
              <w:rPr>
                <w:rFonts w:ascii="Times New Roman" w:hAnsi="Times New Roman"/>
              </w:rPr>
            </w:pPr>
            <w:r w:rsidRPr="00420C1B">
              <w:rPr>
                <w:rFonts w:ascii="Times New Roman" w:hAnsi="Times New Roman"/>
              </w:rPr>
              <w:t>Pendant la phase des travaux et d’exploitation de ces projets futurs connus associés aux travaux d’électrification des poches noires, d’assainissement, de réhabilitation et de mise en conformité des réseaux de distribution SNEL des directions de Kinshasa Centre et Ouest, il y aurait risque des effets cumulés négatifs de contamination de COVID-19 si les travailleurs et usagers de ces chantiers et équipements n’observent pas les mesures barrières. Le trafic sur les axes de ces trois projets futurs et favoriseraient la contamination de COVID-19 si les mesures barrières ne seraient pas observées.</w:t>
            </w:r>
          </w:p>
        </w:tc>
        <w:tc>
          <w:tcPr>
            <w:tcW w:w="1559" w:type="dxa"/>
            <w:shd w:val="clear" w:color="auto" w:fill="auto"/>
          </w:tcPr>
          <w:p w14:paraId="67FB64B5" w14:textId="55CA9850" w:rsidR="00A272CC" w:rsidRPr="00420C1B" w:rsidRDefault="00A272CC"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53D03601" w14:textId="77777777" w:rsidTr="00420C1B">
        <w:tc>
          <w:tcPr>
            <w:tcW w:w="1101" w:type="dxa"/>
            <w:vMerge/>
            <w:shd w:val="clear" w:color="auto" w:fill="auto"/>
          </w:tcPr>
          <w:p w14:paraId="12366344" w14:textId="77777777" w:rsidR="00991E6B" w:rsidRPr="00420C1B" w:rsidRDefault="00991E6B" w:rsidP="00420C1B">
            <w:pPr>
              <w:spacing w:after="0" w:line="240" w:lineRule="auto"/>
              <w:rPr>
                <w:rFonts w:ascii="Times New Roman" w:hAnsi="Times New Roman"/>
              </w:rPr>
            </w:pPr>
          </w:p>
        </w:tc>
        <w:tc>
          <w:tcPr>
            <w:tcW w:w="1769" w:type="dxa"/>
            <w:shd w:val="clear" w:color="auto" w:fill="auto"/>
          </w:tcPr>
          <w:p w14:paraId="4B8AF3C1" w14:textId="77777777" w:rsidR="00991E6B" w:rsidRPr="00420C1B" w:rsidRDefault="00991E6B" w:rsidP="00420C1B">
            <w:pPr>
              <w:spacing w:after="0" w:line="240" w:lineRule="auto"/>
              <w:rPr>
                <w:rFonts w:ascii="Times New Roman" w:hAnsi="Times New Roman"/>
              </w:rPr>
            </w:pPr>
            <w:r w:rsidRPr="00420C1B">
              <w:rPr>
                <w:rFonts w:ascii="Times New Roman" w:hAnsi="Times New Roman"/>
              </w:rPr>
              <w:t>Paysage</w:t>
            </w:r>
          </w:p>
        </w:tc>
        <w:tc>
          <w:tcPr>
            <w:tcW w:w="5347" w:type="dxa"/>
            <w:shd w:val="clear" w:color="auto" w:fill="auto"/>
          </w:tcPr>
          <w:p w14:paraId="2CB61AF7" w14:textId="62715E6A" w:rsidR="00991E6B" w:rsidRPr="00420C1B" w:rsidRDefault="00991E6B" w:rsidP="00420C1B">
            <w:pPr>
              <w:spacing w:after="0" w:line="240" w:lineRule="auto"/>
              <w:jc w:val="both"/>
              <w:rPr>
                <w:rFonts w:ascii="Times New Roman" w:hAnsi="Times New Roman"/>
              </w:rPr>
            </w:pPr>
            <w:r w:rsidRPr="00420C1B">
              <w:rPr>
                <w:rFonts w:ascii="Times New Roman" w:hAnsi="Times New Roman"/>
              </w:rPr>
              <w:t>Destruction du paysage naturel (y compris les arbres de rue) pendant les activités de branchement et d’entretien du réseau électrique.</w:t>
            </w:r>
          </w:p>
        </w:tc>
        <w:tc>
          <w:tcPr>
            <w:tcW w:w="1559" w:type="dxa"/>
            <w:shd w:val="clear" w:color="auto" w:fill="auto"/>
          </w:tcPr>
          <w:p w14:paraId="61354620" w14:textId="5DC99BD7" w:rsidR="00991E6B" w:rsidRPr="00420C1B" w:rsidRDefault="00991E6B" w:rsidP="00420C1B">
            <w:pPr>
              <w:spacing w:after="0" w:line="240" w:lineRule="auto"/>
              <w:jc w:val="center"/>
              <w:rPr>
                <w:rFonts w:ascii="Times New Roman" w:hAnsi="Times New Roman"/>
              </w:rPr>
            </w:pPr>
            <w:r w:rsidRPr="00420C1B">
              <w:rPr>
                <w:rFonts w:ascii="Times New Roman" w:hAnsi="Times New Roman"/>
              </w:rPr>
              <w:t>Modéré</w:t>
            </w:r>
          </w:p>
        </w:tc>
      </w:tr>
      <w:tr w:rsidR="002C66D7" w:rsidRPr="00420C1B" w14:paraId="71DEADD2" w14:textId="77777777" w:rsidTr="00420C1B">
        <w:tc>
          <w:tcPr>
            <w:tcW w:w="1101" w:type="dxa"/>
            <w:vMerge/>
            <w:shd w:val="clear" w:color="auto" w:fill="auto"/>
          </w:tcPr>
          <w:p w14:paraId="75B4B248" w14:textId="77777777" w:rsidR="00991E6B" w:rsidRPr="00420C1B" w:rsidRDefault="00991E6B" w:rsidP="00420C1B">
            <w:pPr>
              <w:spacing w:after="0" w:line="240" w:lineRule="auto"/>
              <w:rPr>
                <w:rFonts w:ascii="Times New Roman" w:hAnsi="Times New Roman"/>
              </w:rPr>
            </w:pPr>
          </w:p>
        </w:tc>
        <w:tc>
          <w:tcPr>
            <w:tcW w:w="1769" w:type="dxa"/>
            <w:shd w:val="clear" w:color="auto" w:fill="auto"/>
          </w:tcPr>
          <w:p w14:paraId="30285FE8" w14:textId="77777777" w:rsidR="00991E6B" w:rsidRPr="00420C1B" w:rsidRDefault="00991E6B" w:rsidP="00420C1B">
            <w:pPr>
              <w:spacing w:after="0" w:line="240" w:lineRule="auto"/>
              <w:rPr>
                <w:rFonts w:ascii="Times New Roman" w:hAnsi="Times New Roman"/>
              </w:rPr>
            </w:pPr>
            <w:r w:rsidRPr="00420C1B">
              <w:rPr>
                <w:rFonts w:ascii="Times New Roman" w:hAnsi="Times New Roman"/>
              </w:rPr>
              <w:t>Culturel</w:t>
            </w:r>
          </w:p>
        </w:tc>
        <w:tc>
          <w:tcPr>
            <w:tcW w:w="5347" w:type="dxa"/>
            <w:shd w:val="clear" w:color="auto" w:fill="auto"/>
          </w:tcPr>
          <w:p w14:paraId="17F4028D" w14:textId="77777777" w:rsidR="00991E6B" w:rsidRPr="00420C1B" w:rsidRDefault="00991E6B" w:rsidP="00420C1B">
            <w:pPr>
              <w:spacing w:after="0" w:line="240" w:lineRule="auto"/>
              <w:jc w:val="both"/>
              <w:rPr>
                <w:rFonts w:ascii="Times New Roman" w:hAnsi="Times New Roman"/>
              </w:rPr>
            </w:pPr>
            <w:r w:rsidRPr="00420C1B">
              <w:rPr>
                <w:rFonts w:ascii="Times New Roman" w:hAnsi="Times New Roman"/>
              </w:rPr>
              <w:t>Destruction des ressources historiques et culturelles.</w:t>
            </w:r>
          </w:p>
        </w:tc>
        <w:tc>
          <w:tcPr>
            <w:tcW w:w="1559" w:type="dxa"/>
            <w:shd w:val="clear" w:color="auto" w:fill="auto"/>
          </w:tcPr>
          <w:p w14:paraId="0712A8B4" w14:textId="77777777" w:rsidR="00991E6B" w:rsidRPr="00420C1B" w:rsidRDefault="00991E6B" w:rsidP="00420C1B">
            <w:pPr>
              <w:spacing w:after="0" w:line="240" w:lineRule="auto"/>
              <w:jc w:val="center"/>
              <w:rPr>
                <w:rFonts w:ascii="Times New Roman" w:hAnsi="Times New Roman"/>
              </w:rPr>
            </w:pPr>
            <w:r w:rsidRPr="00420C1B">
              <w:rPr>
                <w:rFonts w:ascii="Times New Roman" w:hAnsi="Times New Roman"/>
              </w:rPr>
              <w:t>Faible</w:t>
            </w:r>
          </w:p>
        </w:tc>
      </w:tr>
    </w:tbl>
    <w:p w14:paraId="5C90A667" w14:textId="77777777" w:rsidR="00A272CC" w:rsidRPr="00983BCF" w:rsidRDefault="00A272CC" w:rsidP="00215867">
      <w:pPr>
        <w:spacing w:after="0"/>
        <w:rPr>
          <w:rFonts w:ascii="Times New Roman" w:hAnsi="Times New Roman"/>
          <w:i/>
          <w:sz w:val="24"/>
          <w:szCs w:val="24"/>
        </w:rPr>
      </w:pPr>
      <w:r w:rsidRPr="00215867">
        <w:rPr>
          <w:rFonts w:ascii="Times New Roman" w:hAnsi="Times New Roman"/>
          <w:i/>
          <w:sz w:val="24"/>
          <w:szCs w:val="24"/>
        </w:rPr>
        <w:t>Source : Mission d’élaboration de l’EIES DKC &amp; DKO, juillet 2021</w:t>
      </w:r>
    </w:p>
    <w:p w14:paraId="51C8C0E0" w14:textId="77777777" w:rsidR="001F6C6B" w:rsidRPr="00215867" w:rsidRDefault="001F6C6B" w:rsidP="00215867">
      <w:pPr>
        <w:pStyle w:val="Titre4"/>
        <w:numPr>
          <w:ilvl w:val="3"/>
          <w:numId w:val="54"/>
        </w:numPr>
        <w:spacing w:before="120" w:after="120" w:line="20" w:lineRule="atLeast"/>
        <w:ind w:left="1276" w:hanging="851"/>
        <w:rPr>
          <w:i w:val="0"/>
          <w:szCs w:val="24"/>
        </w:rPr>
      </w:pPr>
      <w:bookmarkStart w:id="744" w:name="_Toc103685710"/>
      <w:r w:rsidRPr="00215867">
        <w:rPr>
          <w:color w:val="auto"/>
          <w:szCs w:val="24"/>
        </w:rPr>
        <w:t>Détermination des mesures d’atténuation</w:t>
      </w:r>
      <w:bookmarkEnd w:id="744"/>
    </w:p>
    <w:p w14:paraId="0CB99D11" w14:textId="12476E51" w:rsidR="001F6C6B" w:rsidRPr="00215867" w:rsidRDefault="001F6C6B" w:rsidP="001F6C6B">
      <w:pPr>
        <w:spacing w:after="0"/>
        <w:rPr>
          <w:rFonts w:ascii="Times New Roman" w:hAnsi="Times New Roman"/>
          <w:i/>
          <w:sz w:val="24"/>
          <w:szCs w:val="24"/>
        </w:rPr>
      </w:pPr>
      <w:r w:rsidRPr="00215867">
        <w:rPr>
          <w:rFonts w:ascii="Times New Roman" w:hAnsi="Times New Roman"/>
          <w:sz w:val="24"/>
          <w:szCs w:val="24"/>
        </w:rPr>
        <w:t>En somme, les mesures d’atténuation, de r</w:t>
      </w:r>
      <w:r w:rsidR="00991E6B" w:rsidRPr="00215867">
        <w:rPr>
          <w:rFonts w:ascii="Times New Roman" w:hAnsi="Times New Roman"/>
          <w:sz w:val="24"/>
          <w:szCs w:val="24"/>
        </w:rPr>
        <w:t>éduction et de bonification seront</w:t>
      </w:r>
      <w:r w:rsidRPr="00215867">
        <w:rPr>
          <w:rFonts w:ascii="Times New Roman" w:hAnsi="Times New Roman"/>
          <w:sz w:val="24"/>
          <w:szCs w:val="24"/>
        </w:rPr>
        <w:t xml:space="preserve"> proposées dans chacune des ÉIES des sous-projets </w:t>
      </w:r>
      <w:r w:rsidR="00991E6B" w:rsidRPr="00215867">
        <w:rPr>
          <w:rFonts w:ascii="Times New Roman" w:hAnsi="Times New Roman"/>
          <w:sz w:val="24"/>
          <w:szCs w:val="24"/>
        </w:rPr>
        <w:t xml:space="preserve">du Projet AGREE </w:t>
      </w:r>
      <w:r w:rsidRPr="00215867">
        <w:rPr>
          <w:rFonts w:ascii="Times New Roman" w:hAnsi="Times New Roman"/>
          <w:sz w:val="24"/>
          <w:szCs w:val="24"/>
        </w:rPr>
        <w:t>et celles des projets futurs du Plan Directeur des Transports Urbains de la Ville-Province de Kinshasa.</w:t>
      </w:r>
      <w:r w:rsidRPr="00215867">
        <w:rPr>
          <w:rFonts w:ascii="Times New Roman" w:hAnsi="Times New Roman"/>
          <w:i/>
          <w:sz w:val="24"/>
          <w:szCs w:val="24"/>
        </w:rPr>
        <w:t xml:space="preserve"> </w:t>
      </w:r>
    </w:p>
    <w:p w14:paraId="4361E633" w14:textId="77777777" w:rsidR="001F6C6B" w:rsidRPr="00215867" w:rsidRDefault="001F6C6B" w:rsidP="00215867">
      <w:pPr>
        <w:pStyle w:val="Titre31"/>
        <w:numPr>
          <w:ilvl w:val="2"/>
          <w:numId w:val="54"/>
        </w:numPr>
        <w:tabs>
          <w:tab w:val="left" w:pos="993"/>
        </w:tabs>
        <w:spacing w:before="120" w:after="120" w:line="20" w:lineRule="atLeast"/>
        <w:ind w:left="993" w:hanging="709"/>
        <w:rPr>
          <w:i/>
        </w:rPr>
      </w:pPr>
      <w:bookmarkStart w:id="745" w:name="_Toc103685711"/>
      <w:r w:rsidRPr="00215867">
        <w:rPr>
          <w:rFonts w:eastAsia="Calibri"/>
          <w:i/>
          <w:u w:val="none"/>
        </w:rPr>
        <w:t>Suivi des effets cumulatifs</w:t>
      </w:r>
      <w:bookmarkEnd w:id="745"/>
      <w:r w:rsidRPr="00215867">
        <w:rPr>
          <w:rFonts w:eastAsia="Calibri"/>
          <w:i/>
          <w:u w:val="none"/>
        </w:rPr>
        <w:t xml:space="preserve"> </w:t>
      </w:r>
    </w:p>
    <w:p w14:paraId="43E98F76" w14:textId="33181F06" w:rsidR="001F6C6B" w:rsidRDefault="001F6C6B" w:rsidP="001F6C6B">
      <w:pPr>
        <w:spacing w:after="0"/>
        <w:rPr>
          <w:rFonts w:ascii="Times New Roman" w:hAnsi="Times New Roman"/>
          <w:sz w:val="24"/>
          <w:szCs w:val="24"/>
        </w:rPr>
      </w:pPr>
      <w:r w:rsidRPr="00215867">
        <w:rPr>
          <w:rFonts w:ascii="Times New Roman" w:hAnsi="Times New Roman"/>
          <w:sz w:val="24"/>
          <w:szCs w:val="24"/>
        </w:rPr>
        <w:t xml:space="preserve">Tout comme pour les mesures d’atténuation, les programmes de suivi environnemental et social qui seront </w:t>
      </w:r>
      <w:r w:rsidR="00991E6B" w:rsidRPr="00215867">
        <w:rPr>
          <w:rFonts w:ascii="Times New Roman" w:hAnsi="Times New Roman"/>
          <w:sz w:val="24"/>
          <w:szCs w:val="24"/>
        </w:rPr>
        <w:t>propo</w:t>
      </w:r>
      <w:r w:rsidR="00A272CC" w:rsidRPr="00215867">
        <w:rPr>
          <w:rFonts w:ascii="Times New Roman" w:hAnsi="Times New Roman"/>
          <w:sz w:val="24"/>
          <w:szCs w:val="24"/>
        </w:rPr>
        <w:t>sés dans les ÉIES du présent</w:t>
      </w:r>
      <w:r w:rsidR="00991E6B" w:rsidRPr="00215867">
        <w:rPr>
          <w:rFonts w:ascii="Times New Roman" w:hAnsi="Times New Roman"/>
          <w:sz w:val="24"/>
          <w:szCs w:val="24"/>
        </w:rPr>
        <w:t xml:space="preserve"> sous-</w:t>
      </w:r>
      <w:r w:rsidR="00A272CC" w:rsidRPr="00215867">
        <w:rPr>
          <w:rFonts w:ascii="Times New Roman" w:hAnsi="Times New Roman"/>
          <w:sz w:val="24"/>
          <w:szCs w:val="24"/>
        </w:rPr>
        <w:t>projet et</w:t>
      </w:r>
      <w:r w:rsidRPr="00215867">
        <w:rPr>
          <w:rFonts w:ascii="Times New Roman" w:hAnsi="Times New Roman"/>
          <w:sz w:val="24"/>
          <w:szCs w:val="24"/>
        </w:rPr>
        <w:t xml:space="preserve"> </w:t>
      </w:r>
      <w:r w:rsidR="00A272CC" w:rsidRPr="00215867">
        <w:rPr>
          <w:rFonts w:ascii="Times New Roman" w:hAnsi="Times New Roman"/>
          <w:sz w:val="24"/>
          <w:szCs w:val="24"/>
        </w:rPr>
        <w:t>celles des</w:t>
      </w:r>
      <w:r w:rsidRPr="00215867">
        <w:rPr>
          <w:rFonts w:ascii="Times New Roman" w:hAnsi="Times New Roman"/>
          <w:sz w:val="24"/>
          <w:szCs w:val="24"/>
        </w:rPr>
        <w:t xml:space="preserve"> projets futurs du Plan Directeur des Transports Urbains de la Ville-Province de Kinshasa </w:t>
      </w:r>
      <w:r w:rsidR="00991E6B" w:rsidRPr="00215867">
        <w:rPr>
          <w:rFonts w:ascii="Times New Roman" w:hAnsi="Times New Roman"/>
          <w:sz w:val="24"/>
          <w:szCs w:val="24"/>
        </w:rPr>
        <w:t xml:space="preserve">et autres </w:t>
      </w:r>
      <w:r w:rsidRPr="00215867">
        <w:rPr>
          <w:rFonts w:ascii="Times New Roman" w:hAnsi="Times New Roman"/>
          <w:sz w:val="24"/>
          <w:szCs w:val="24"/>
        </w:rPr>
        <w:t>sont aussi directement applicables aux effets cumulatifs.</w:t>
      </w:r>
    </w:p>
    <w:p w14:paraId="6E107A5C" w14:textId="77777777" w:rsidR="00F76AC0" w:rsidRDefault="00F76AC0" w:rsidP="001F6C6B">
      <w:pPr>
        <w:spacing w:after="0"/>
        <w:rPr>
          <w:rFonts w:ascii="Times New Roman" w:hAnsi="Times New Roman"/>
          <w:sz w:val="24"/>
          <w:szCs w:val="24"/>
        </w:rPr>
      </w:pPr>
    </w:p>
    <w:p w14:paraId="09330227" w14:textId="77777777" w:rsidR="00F76AC0" w:rsidRPr="00215867" w:rsidRDefault="00F76AC0" w:rsidP="001F6C6B">
      <w:pPr>
        <w:spacing w:after="0"/>
        <w:rPr>
          <w:rFonts w:ascii="Times New Roman" w:hAnsi="Times New Roman"/>
          <w:sz w:val="24"/>
          <w:szCs w:val="24"/>
        </w:rPr>
      </w:pPr>
    </w:p>
    <w:p w14:paraId="5EB06BA6" w14:textId="6FBE2364" w:rsidR="00F76AC0" w:rsidRPr="00215867" w:rsidRDefault="00F76AC0" w:rsidP="00215867">
      <w:pPr>
        <w:pStyle w:val="Titre1"/>
        <w:numPr>
          <w:ilvl w:val="1"/>
          <w:numId w:val="54"/>
        </w:numPr>
        <w:spacing w:before="0" w:after="120"/>
        <w:ind w:left="788" w:hanging="431"/>
      </w:pPr>
      <w:bookmarkStart w:id="746" w:name="_Toc103685712"/>
      <w:r w:rsidRPr="00215867">
        <w:t>Analyse et é</w:t>
      </w:r>
      <w:r w:rsidR="00992D1A" w:rsidRPr="00B334B1">
        <w:t>valuation de</w:t>
      </w:r>
      <w:r w:rsidRPr="00215867">
        <w:t>s impacts résiduels</w:t>
      </w:r>
      <w:bookmarkEnd w:id="746"/>
      <w:r w:rsidR="00992D1A" w:rsidRPr="007E5A67">
        <w:t xml:space="preserve"> </w:t>
      </w:r>
    </w:p>
    <w:p w14:paraId="206BFF4E" w14:textId="700EE1C2" w:rsidR="00992D1A" w:rsidRPr="00215867" w:rsidRDefault="003947F8" w:rsidP="00215867">
      <w:pPr>
        <w:spacing w:before="120" w:after="120" w:line="276" w:lineRule="auto"/>
        <w:jc w:val="both"/>
        <w:rPr>
          <w:rFonts w:ascii="Times New Roman" w:hAnsi="Times New Roman"/>
          <w:sz w:val="24"/>
          <w:szCs w:val="21"/>
        </w:rPr>
      </w:pPr>
      <w:r>
        <w:rPr>
          <w:rFonts w:ascii="Times New Roman" w:hAnsi="Times New Roman"/>
          <w:sz w:val="24"/>
          <w:szCs w:val="21"/>
        </w:rPr>
        <w:t>De manière générale, la majorité des impacts résiduels identifiés dans le cadre de ce sous-projet sur l’environnement biologique et physique sont mineurs voir négligeables</w:t>
      </w:r>
      <w:r w:rsidR="00384D46">
        <w:rPr>
          <w:rFonts w:ascii="Times New Roman" w:hAnsi="Times New Roman"/>
          <w:sz w:val="24"/>
          <w:szCs w:val="21"/>
        </w:rPr>
        <w:t xml:space="preserve">, du fait que </w:t>
      </w:r>
    </w:p>
    <w:p w14:paraId="3F62C225" w14:textId="0CA8B8DE" w:rsidR="00992D1A" w:rsidRPr="00215867" w:rsidRDefault="00992D1A" w:rsidP="00215867">
      <w:pPr>
        <w:pStyle w:val="Paragraphedeliste"/>
        <w:numPr>
          <w:ilvl w:val="0"/>
          <w:numId w:val="370"/>
        </w:numPr>
        <w:spacing w:after="0" w:line="276" w:lineRule="auto"/>
        <w:jc w:val="both"/>
        <w:rPr>
          <w:rFonts w:ascii="Times New Roman" w:hAnsi="Times New Roman"/>
          <w:sz w:val="24"/>
          <w:szCs w:val="21"/>
        </w:rPr>
      </w:pPr>
      <w:r w:rsidRPr="00215867">
        <w:rPr>
          <w:rFonts w:ascii="Times New Roman" w:hAnsi="Times New Roman"/>
          <w:sz w:val="24"/>
          <w:szCs w:val="21"/>
        </w:rPr>
        <w:t xml:space="preserve">les effets </w:t>
      </w:r>
      <w:r w:rsidR="00C54E54" w:rsidRPr="00215867">
        <w:rPr>
          <w:rFonts w:ascii="Times New Roman" w:hAnsi="Times New Roman"/>
          <w:sz w:val="24"/>
          <w:szCs w:val="21"/>
        </w:rPr>
        <w:t>et risque</w:t>
      </w:r>
      <w:r w:rsidR="0038357C">
        <w:rPr>
          <w:rFonts w:ascii="Times New Roman" w:hAnsi="Times New Roman"/>
          <w:sz w:val="24"/>
          <w:szCs w:val="21"/>
        </w:rPr>
        <w:t>s</w:t>
      </w:r>
      <w:r w:rsidR="00C54E54" w:rsidRPr="00215867">
        <w:rPr>
          <w:rFonts w:ascii="Times New Roman" w:hAnsi="Times New Roman"/>
          <w:sz w:val="24"/>
          <w:szCs w:val="21"/>
        </w:rPr>
        <w:t xml:space="preserve"> </w:t>
      </w:r>
      <w:r w:rsidRPr="00215867">
        <w:rPr>
          <w:rFonts w:ascii="Times New Roman" w:hAnsi="Times New Roman"/>
          <w:sz w:val="24"/>
          <w:szCs w:val="21"/>
        </w:rPr>
        <w:t xml:space="preserve">environnementaux </w:t>
      </w:r>
      <w:r w:rsidR="00C54E54" w:rsidRPr="00215867">
        <w:rPr>
          <w:rFonts w:ascii="Times New Roman" w:hAnsi="Times New Roman"/>
          <w:sz w:val="24"/>
          <w:szCs w:val="21"/>
        </w:rPr>
        <w:t xml:space="preserve">et sociaux </w:t>
      </w:r>
      <w:r w:rsidRPr="00215867">
        <w:rPr>
          <w:rFonts w:ascii="Times New Roman" w:hAnsi="Times New Roman"/>
          <w:sz w:val="24"/>
          <w:szCs w:val="21"/>
        </w:rPr>
        <w:t xml:space="preserve">négatifs sont </w:t>
      </w:r>
      <w:r w:rsidR="00442D00">
        <w:rPr>
          <w:rFonts w:ascii="Times New Roman" w:hAnsi="Times New Roman"/>
          <w:sz w:val="24"/>
          <w:szCs w:val="21"/>
        </w:rPr>
        <w:t xml:space="preserve">susceptibles d’atténuation </w:t>
      </w:r>
      <w:r w:rsidRPr="00215867">
        <w:rPr>
          <w:rFonts w:ascii="Times New Roman" w:hAnsi="Times New Roman"/>
          <w:sz w:val="24"/>
          <w:szCs w:val="21"/>
        </w:rPr>
        <w:t>et les mesures d’atténuation sont efficaces et éprouvées et permettent de respecter, notamment, les seuils quantitat</w:t>
      </w:r>
      <w:r w:rsidR="00593B19" w:rsidRPr="00215867">
        <w:rPr>
          <w:rFonts w:ascii="Times New Roman" w:hAnsi="Times New Roman"/>
          <w:sz w:val="24"/>
          <w:szCs w:val="21"/>
        </w:rPr>
        <w:t>ifs établis par la législation nationale en la matière ;</w:t>
      </w:r>
      <w:r w:rsidRPr="00215867">
        <w:rPr>
          <w:rFonts w:ascii="Times New Roman" w:hAnsi="Times New Roman"/>
          <w:sz w:val="24"/>
          <w:szCs w:val="21"/>
        </w:rPr>
        <w:t xml:space="preserve"> </w:t>
      </w:r>
    </w:p>
    <w:p w14:paraId="3316A813" w14:textId="1A03D9AF" w:rsidR="00992D1A" w:rsidRDefault="00992D1A" w:rsidP="00215867">
      <w:pPr>
        <w:pStyle w:val="Paragraphedeliste"/>
        <w:numPr>
          <w:ilvl w:val="0"/>
          <w:numId w:val="370"/>
        </w:numPr>
        <w:spacing w:after="0" w:line="276" w:lineRule="auto"/>
        <w:jc w:val="both"/>
        <w:rPr>
          <w:rFonts w:ascii="Times New Roman" w:hAnsi="Times New Roman"/>
          <w:sz w:val="24"/>
          <w:szCs w:val="21"/>
        </w:rPr>
      </w:pPr>
      <w:r w:rsidRPr="00215867">
        <w:rPr>
          <w:rFonts w:ascii="Times New Roman" w:hAnsi="Times New Roman"/>
          <w:sz w:val="24"/>
          <w:szCs w:val="21"/>
        </w:rPr>
        <w:t xml:space="preserve">la mesure d’atténuation devrait permettre de réduire suffisamment les effets négatifs mais commande un suivi environnemental de la composante touchée. </w:t>
      </w:r>
    </w:p>
    <w:p w14:paraId="000F2B9C" w14:textId="62B459A6" w:rsidR="00384D46" w:rsidRPr="00215867" w:rsidRDefault="00384D46" w:rsidP="00215867">
      <w:pPr>
        <w:spacing w:after="0" w:line="276" w:lineRule="auto"/>
        <w:jc w:val="both"/>
        <w:rPr>
          <w:rFonts w:ascii="Times New Roman" w:hAnsi="Times New Roman"/>
          <w:sz w:val="24"/>
          <w:szCs w:val="21"/>
        </w:rPr>
      </w:pPr>
      <w:r>
        <w:rPr>
          <w:rFonts w:ascii="Times New Roman" w:hAnsi="Times New Roman"/>
          <w:sz w:val="24"/>
          <w:szCs w:val="21"/>
        </w:rPr>
        <w:t xml:space="preserve">Par contre, certains impacts résiduels sur le milieu humain ont été jugé d’importance mineure à modérée, ce qui a nécessité une description de ces impacts et des mesures spécifiques pour les atténuer complétement. </w:t>
      </w:r>
    </w:p>
    <w:p w14:paraId="289A66A5" w14:textId="77777777" w:rsidR="00992D1A" w:rsidRDefault="00992D1A" w:rsidP="00215867">
      <w:pPr>
        <w:spacing w:after="0" w:line="276" w:lineRule="auto"/>
        <w:jc w:val="both"/>
        <w:rPr>
          <w:rFonts w:ascii="Times New Roman" w:hAnsi="Times New Roman"/>
          <w:sz w:val="21"/>
          <w:szCs w:val="21"/>
        </w:rPr>
      </w:pPr>
    </w:p>
    <w:p w14:paraId="52C6F226" w14:textId="77777777" w:rsidR="00F76AC0" w:rsidRDefault="00F76AC0">
      <w:pPr>
        <w:spacing w:after="0" w:line="276" w:lineRule="auto"/>
        <w:jc w:val="both"/>
        <w:rPr>
          <w:rFonts w:ascii="Times New Roman" w:eastAsia="Times New Roman" w:hAnsi="Times New Roman"/>
          <w:sz w:val="24"/>
          <w:szCs w:val="24"/>
          <w:lang w:eastAsia="fr-FR"/>
        </w:rPr>
        <w:sectPr w:rsidR="00F76AC0" w:rsidSect="0062151B">
          <w:pgSz w:w="11906" w:h="16838"/>
          <w:pgMar w:top="1440" w:right="1440" w:bottom="1440" w:left="1440" w:header="709" w:footer="709" w:gutter="0"/>
          <w:cols w:space="708"/>
          <w:docGrid w:linePitch="360"/>
        </w:sectPr>
      </w:pPr>
    </w:p>
    <w:p w14:paraId="56014DD2" w14:textId="77777777" w:rsidR="00F76AC0" w:rsidRPr="00215867" w:rsidRDefault="00F76AC0" w:rsidP="00215867">
      <w:pPr>
        <w:pStyle w:val="Titre31"/>
        <w:numPr>
          <w:ilvl w:val="2"/>
          <w:numId w:val="54"/>
        </w:numPr>
        <w:tabs>
          <w:tab w:val="left" w:pos="993"/>
        </w:tabs>
        <w:spacing w:before="120" w:after="120" w:line="20" w:lineRule="atLeast"/>
        <w:ind w:left="993" w:hanging="709"/>
        <w:rPr>
          <w:rFonts w:eastAsia="Calibri"/>
          <w:i/>
        </w:rPr>
      </w:pPr>
      <w:bookmarkStart w:id="747" w:name="_Toc103685713"/>
      <w:r w:rsidRPr="00215867">
        <w:rPr>
          <w:rFonts w:eastAsia="Calibri"/>
          <w:i/>
          <w:u w:val="none"/>
        </w:rPr>
        <w:t>Analyse des impacts résiduels et mesures d’atténuation</w:t>
      </w:r>
      <w:bookmarkEnd w:id="747"/>
    </w:p>
    <w:p w14:paraId="00BFA570" w14:textId="77777777" w:rsidR="00F76AC0" w:rsidRDefault="00F76AC0">
      <w:pPr>
        <w:spacing w:before="120" w:after="120"/>
        <w:jc w:val="both"/>
        <w:rPr>
          <w:rFonts w:ascii="Times New Roman" w:hAnsi="Times New Roman"/>
          <w:sz w:val="24"/>
          <w:szCs w:val="24"/>
        </w:rPr>
      </w:pPr>
      <w:r w:rsidRPr="004B5025">
        <w:rPr>
          <w:rFonts w:ascii="Times New Roman" w:hAnsi="Times New Roman"/>
          <w:sz w:val="24"/>
          <w:szCs w:val="24"/>
        </w:rPr>
        <w:t>Le tableau ci-</w:t>
      </w:r>
      <w:r w:rsidRPr="00AA04B2">
        <w:rPr>
          <w:rFonts w:ascii="Times New Roman" w:hAnsi="Times New Roman"/>
          <w:sz w:val="24"/>
          <w:szCs w:val="24"/>
        </w:rPr>
        <w:t xml:space="preserve">après présente les mesures préconisées et les </w:t>
      </w:r>
      <w:r>
        <w:rPr>
          <w:rFonts w:ascii="Times New Roman" w:hAnsi="Times New Roman"/>
          <w:sz w:val="24"/>
          <w:szCs w:val="24"/>
        </w:rPr>
        <w:t>impacts</w:t>
      </w:r>
      <w:r w:rsidRPr="00AA04B2">
        <w:rPr>
          <w:rFonts w:ascii="Times New Roman" w:hAnsi="Times New Roman"/>
          <w:sz w:val="24"/>
          <w:szCs w:val="24"/>
        </w:rPr>
        <w:t xml:space="preserve"> résiduels après </w:t>
      </w:r>
      <w:r>
        <w:rPr>
          <w:rFonts w:ascii="Times New Roman" w:hAnsi="Times New Roman"/>
          <w:sz w:val="24"/>
          <w:szCs w:val="24"/>
        </w:rPr>
        <w:t xml:space="preserve">application des </w:t>
      </w:r>
      <w:r w:rsidRPr="00AA04B2">
        <w:rPr>
          <w:rFonts w:ascii="Times New Roman" w:hAnsi="Times New Roman"/>
          <w:sz w:val="24"/>
          <w:szCs w:val="24"/>
        </w:rPr>
        <w:t>mesures</w:t>
      </w:r>
      <w:r>
        <w:rPr>
          <w:rFonts w:ascii="Times New Roman" w:hAnsi="Times New Roman"/>
          <w:sz w:val="24"/>
          <w:szCs w:val="24"/>
        </w:rPr>
        <w:t xml:space="preserve"> </w:t>
      </w:r>
      <w:r w:rsidRPr="00AA04B2">
        <w:rPr>
          <w:rFonts w:ascii="Times New Roman" w:hAnsi="Times New Roman"/>
          <w:sz w:val="24"/>
          <w:szCs w:val="24"/>
        </w:rPr>
        <w:t xml:space="preserve">pour chaque </w:t>
      </w:r>
      <w:r>
        <w:rPr>
          <w:rFonts w:ascii="Times New Roman" w:hAnsi="Times New Roman"/>
          <w:sz w:val="24"/>
          <w:szCs w:val="24"/>
        </w:rPr>
        <w:t>impact environnemental ou social</w:t>
      </w:r>
      <w:r w:rsidRPr="00AA04B2">
        <w:rPr>
          <w:rFonts w:ascii="Times New Roman" w:hAnsi="Times New Roman"/>
          <w:sz w:val="24"/>
          <w:szCs w:val="24"/>
        </w:rPr>
        <w:t xml:space="preserve"> dont l’évaluation est jugée non nulle.</w:t>
      </w:r>
    </w:p>
    <w:p w14:paraId="4686FFAF" w14:textId="3FC8E781" w:rsidR="00D33B66" w:rsidRPr="00215867" w:rsidRDefault="00D33B66" w:rsidP="00A86929">
      <w:pPr>
        <w:pStyle w:val="Lgende"/>
        <w:spacing w:before="120" w:after="120" w:line="276" w:lineRule="auto"/>
        <w:ind w:right="142"/>
        <w:jc w:val="center"/>
        <w:rPr>
          <w:b/>
          <w:color w:val="auto"/>
          <w:sz w:val="24"/>
          <w:szCs w:val="24"/>
        </w:rPr>
      </w:pPr>
      <w:bookmarkStart w:id="748" w:name="_Toc93050316"/>
      <w:r w:rsidRPr="00215867">
        <w:rPr>
          <w:b/>
          <w:color w:val="auto"/>
          <w:sz w:val="24"/>
          <w:szCs w:val="24"/>
        </w:rPr>
        <w:t xml:space="preserve">Tableau </w:t>
      </w:r>
      <w:r w:rsidRPr="00A86929">
        <w:rPr>
          <w:b/>
          <w:color w:val="auto"/>
          <w:sz w:val="24"/>
          <w:szCs w:val="24"/>
        </w:rPr>
        <w:fldChar w:fldCharType="begin"/>
      </w:r>
      <w:r w:rsidRPr="00215867">
        <w:rPr>
          <w:b/>
          <w:color w:val="auto"/>
          <w:sz w:val="24"/>
          <w:szCs w:val="24"/>
        </w:rPr>
        <w:instrText xml:space="preserve"> SEQ Tableau \* ARABIC </w:instrText>
      </w:r>
      <w:r w:rsidRPr="00A86929">
        <w:rPr>
          <w:b/>
          <w:color w:val="auto"/>
          <w:sz w:val="24"/>
          <w:szCs w:val="24"/>
        </w:rPr>
        <w:fldChar w:fldCharType="separate"/>
      </w:r>
      <w:r w:rsidR="00A86929">
        <w:rPr>
          <w:b/>
          <w:noProof/>
          <w:color w:val="auto"/>
          <w:sz w:val="24"/>
          <w:szCs w:val="24"/>
        </w:rPr>
        <w:t>54</w:t>
      </w:r>
      <w:r w:rsidRPr="00A86929">
        <w:rPr>
          <w:b/>
          <w:noProof/>
          <w:color w:val="auto"/>
          <w:sz w:val="24"/>
          <w:szCs w:val="24"/>
        </w:rPr>
        <w:fldChar w:fldCharType="end"/>
      </w:r>
      <w:r w:rsidRPr="00215867">
        <w:rPr>
          <w:b/>
          <w:color w:val="auto"/>
          <w:sz w:val="24"/>
          <w:szCs w:val="24"/>
        </w:rPr>
        <w:t xml:space="preserve"> : </w:t>
      </w:r>
      <w:r w:rsidR="00411DEF">
        <w:rPr>
          <w:b/>
          <w:color w:val="auto"/>
          <w:sz w:val="24"/>
          <w:szCs w:val="24"/>
        </w:rPr>
        <w:t>Analyse des impacts résiduels et mesures d’atténuation</w:t>
      </w:r>
      <w:bookmarkEnd w:id="748"/>
    </w:p>
    <w:tbl>
      <w:tblPr>
        <w:tblW w:w="57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4"/>
        <w:gridCol w:w="2304"/>
        <w:gridCol w:w="1237"/>
        <w:gridCol w:w="4101"/>
        <w:gridCol w:w="2587"/>
        <w:gridCol w:w="1295"/>
        <w:gridCol w:w="2304"/>
      </w:tblGrid>
      <w:tr w:rsidR="002C66D7" w:rsidRPr="00420C1B" w14:paraId="54ED187F" w14:textId="77777777" w:rsidTr="00420C1B">
        <w:trPr>
          <w:trHeight w:val="103"/>
          <w:tblHeader/>
          <w:jc w:val="center"/>
        </w:trPr>
        <w:tc>
          <w:tcPr>
            <w:tcW w:w="3099" w:type="pct"/>
            <w:gridSpan w:val="4"/>
            <w:shd w:val="clear" w:color="auto" w:fill="DEEAF6"/>
            <w:vAlign w:val="center"/>
          </w:tcPr>
          <w:p w14:paraId="533A6213"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Impact potentiel et mesures </w:t>
            </w:r>
          </w:p>
        </w:tc>
        <w:tc>
          <w:tcPr>
            <w:tcW w:w="1901" w:type="pct"/>
            <w:gridSpan w:val="3"/>
            <w:shd w:val="clear" w:color="auto" w:fill="DEEAF6"/>
            <w:vAlign w:val="center"/>
          </w:tcPr>
          <w:p w14:paraId="01D14913"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Impact résiduel </w:t>
            </w:r>
          </w:p>
        </w:tc>
      </w:tr>
      <w:tr w:rsidR="002C66D7" w:rsidRPr="00420C1B" w14:paraId="4D990CDA" w14:textId="77777777" w:rsidTr="00420C1B">
        <w:trPr>
          <w:trHeight w:val="670"/>
          <w:tblHeader/>
          <w:jc w:val="center"/>
        </w:trPr>
        <w:tc>
          <w:tcPr>
            <w:tcW w:w="751" w:type="pct"/>
            <w:shd w:val="clear" w:color="auto" w:fill="FBE4D5"/>
            <w:vAlign w:val="center"/>
          </w:tcPr>
          <w:p w14:paraId="26D19BA1"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Activités sources d’impacts</w:t>
            </w:r>
          </w:p>
        </w:tc>
        <w:tc>
          <w:tcPr>
            <w:tcW w:w="708" w:type="pct"/>
            <w:shd w:val="clear" w:color="auto" w:fill="FBE4D5"/>
            <w:vAlign w:val="center"/>
          </w:tcPr>
          <w:p w14:paraId="524C31A6"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Description de l’impact</w:t>
            </w:r>
          </w:p>
        </w:tc>
        <w:tc>
          <w:tcPr>
            <w:tcW w:w="380" w:type="pct"/>
            <w:shd w:val="clear" w:color="auto" w:fill="FBE4D5"/>
            <w:vAlign w:val="center"/>
          </w:tcPr>
          <w:p w14:paraId="5019960E"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Importance </w:t>
            </w:r>
          </w:p>
        </w:tc>
        <w:tc>
          <w:tcPr>
            <w:tcW w:w="1260" w:type="pct"/>
            <w:shd w:val="clear" w:color="auto" w:fill="FBE4D5"/>
            <w:vAlign w:val="center"/>
          </w:tcPr>
          <w:p w14:paraId="009E6E62"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Mesures d’atténuation, de suppression ou de compensation </w:t>
            </w:r>
          </w:p>
        </w:tc>
        <w:tc>
          <w:tcPr>
            <w:tcW w:w="795" w:type="pct"/>
            <w:shd w:val="clear" w:color="auto" w:fill="FBE4D5"/>
            <w:vAlign w:val="center"/>
          </w:tcPr>
          <w:p w14:paraId="58FD4A2A"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Description de l’impact </w:t>
            </w:r>
          </w:p>
        </w:tc>
        <w:tc>
          <w:tcPr>
            <w:tcW w:w="398" w:type="pct"/>
            <w:shd w:val="clear" w:color="auto" w:fill="FBE4D5"/>
            <w:vAlign w:val="center"/>
          </w:tcPr>
          <w:p w14:paraId="08131FAE"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Importance </w:t>
            </w:r>
          </w:p>
        </w:tc>
        <w:tc>
          <w:tcPr>
            <w:tcW w:w="708" w:type="pct"/>
            <w:shd w:val="clear" w:color="auto" w:fill="FBE4D5"/>
          </w:tcPr>
          <w:p w14:paraId="60B2FCCC" w14:textId="77777777" w:rsidR="00F76AC0" w:rsidRPr="00420C1B" w:rsidRDefault="00F76AC0"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Mesures de suppression des impacts résiduels </w:t>
            </w:r>
          </w:p>
        </w:tc>
      </w:tr>
      <w:tr w:rsidR="0086242F" w:rsidRPr="00420C1B" w14:paraId="355453EB" w14:textId="77777777" w:rsidTr="00420C1B">
        <w:trPr>
          <w:jc w:val="center"/>
        </w:trPr>
        <w:tc>
          <w:tcPr>
            <w:tcW w:w="5000" w:type="pct"/>
            <w:gridSpan w:val="7"/>
            <w:shd w:val="clear" w:color="auto" w:fill="DEEAF6"/>
            <w:vAlign w:val="center"/>
          </w:tcPr>
          <w:p w14:paraId="1E08092A" w14:textId="7BC07122" w:rsidR="0086242F" w:rsidRPr="00420C1B" w:rsidRDefault="0086242F"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Impacts environnementaux</w:t>
            </w:r>
          </w:p>
        </w:tc>
      </w:tr>
      <w:tr w:rsidR="002C66D7" w:rsidRPr="00420C1B" w14:paraId="0F184E52" w14:textId="77777777" w:rsidTr="00420C1B">
        <w:trPr>
          <w:jc w:val="center"/>
        </w:trPr>
        <w:tc>
          <w:tcPr>
            <w:tcW w:w="751" w:type="pct"/>
            <w:shd w:val="clear" w:color="auto" w:fill="auto"/>
            <w:vAlign w:val="center"/>
          </w:tcPr>
          <w:p w14:paraId="7F243908"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Libération et dégagement des emprises du projet </w:t>
            </w:r>
          </w:p>
        </w:tc>
        <w:tc>
          <w:tcPr>
            <w:tcW w:w="708" w:type="pct"/>
            <w:shd w:val="clear" w:color="auto" w:fill="auto"/>
            <w:vAlign w:val="center"/>
          </w:tcPr>
          <w:p w14:paraId="2BACDFDE"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Abattage de 1129 arbres dont 314 du domaine public et 815 du domaine privé</w:t>
            </w:r>
          </w:p>
        </w:tc>
        <w:tc>
          <w:tcPr>
            <w:tcW w:w="380" w:type="pct"/>
            <w:shd w:val="clear" w:color="auto" w:fill="auto"/>
            <w:vAlign w:val="center"/>
          </w:tcPr>
          <w:p w14:paraId="22151A26"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Majeure </w:t>
            </w:r>
          </w:p>
        </w:tc>
        <w:tc>
          <w:tcPr>
            <w:tcW w:w="1260" w:type="pct"/>
            <w:shd w:val="clear" w:color="auto" w:fill="auto"/>
            <w:vAlign w:val="center"/>
          </w:tcPr>
          <w:p w14:paraId="1E98D6C2"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Comptabiliser les différentes coupes pour les indemnisations ;</w:t>
            </w:r>
          </w:p>
          <w:p w14:paraId="687397BB"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Réaliser un reboisement compensatoire (dans les zones d’érosion, aux abords des berges et le long des avenues, etc.)</w:t>
            </w:r>
          </w:p>
        </w:tc>
        <w:tc>
          <w:tcPr>
            <w:tcW w:w="795" w:type="pct"/>
            <w:vMerge w:val="restart"/>
            <w:shd w:val="clear" w:color="auto" w:fill="auto"/>
            <w:vAlign w:val="center"/>
          </w:tcPr>
          <w:p w14:paraId="3590D72C"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Perte de la flore climacique du site</w:t>
            </w:r>
          </w:p>
        </w:tc>
        <w:tc>
          <w:tcPr>
            <w:tcW w:w="398" w:type="pct"/>
            <w:vMerge w:val="restart"/>
            <w:shd w:val="clear" w:color="auto" w:fill="auto"/>
            <w:vAlign w:val="center"/>
          </w:tcPr>
          <w:p w14:paraId="109B7E97"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Mineure  </w:t>
            </w:r>
          </w:p>
        </w:tc>
        <w:tc>
          <w:tcPr>
            <w:tcW w:w="708" w:type="pct"/>
            <w:vMerge w:val="restart"/>
            <w:shd w:val="clear" w:color="auto" w:fill="auto"/>
            <w:vAlign w:val="center"/>
          </w:tcPr>
          <w:p w14:paraId="385424E6"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S’assurer que le reboisement a été réalisé avec les espèces locales</w:t>
            </w:r>
          </w:p>
        </w:tc>
      </w:tr>
      <w:tr w:rsidR="002C66D7" w:rsidRPr="00420C1B" w14:paraId="1208E7DB" w14:textId="77777777" w:rsidTr="00420C1B">
        <w:trPr>
          <w:jc w:val="center"/>
        </w:trPr>
        <w:tc>
          <w:tcPr>
            <w:tcW w:w="751" w:type="pct"/>
            <w:shd w:val="clear" w:color="auto" w:fill="auto"/>
            <w:vAlign w:val="center"/>
          </w:tcPr>
          <w:p w14:paraId="32814D32"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Abattage d’arbre et libération de l’emprise </w:t>
            </w:r>
          </w:p>
          <w:p w14:paraId="257B53DA" w14:textId="77777777" w:rsidR="00F76AC0" w:rsidRPr="00420C1B" w:rsidRDefault="00F76AC0" w:rsidP="00420C1B">
            <w:pPr>
              <w:spacing w:after="0" w:line="240" w:lineRule="auto"/>
              <w:rPr>
                <w:rFonts w:ascii="Times New Roman" w:hAnsi="Times New Roman"/>
                <w:sz w:val="20"/>
                <w:szCs w:val="24"/>
                <w:lang w:val="fr-CD"/>
              </w:rPr>
            </w:pPr>
          </w:p>
        </w:tc>
        <w:tc>
          <w:tcPr>
            <w:tcW w:w="708" w:type="pct"/>
            <w:shd w:val="clear" w:color="auto" w:fill="auto"/>
            <w:vAlign w:val="center"/>
          </w:tcPr>
          <w:p w14:paraId="074CA020"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Destruction de la flore et du couvert végétal ;</w:t>
            </w:r>
          </w:p>
          <w:p w14:paraId="21A79B82"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Perte d’habitat faunique ;</w:t>
            </w:r>
          </w:p>
          <w:p w14:paraId="36058053"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Eloignement et Migration des animaux ;</w:t>
            </w:r>
          </w:p>
          <w:p w14:paraId="0C18CF8A"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Perte de la biodiversité.</w:t>
            </w:r>
          </w:p>
        </w:tc>
        <w:tc>
          <w:tcPr>
            <w:tcW w:w="380" w:type="pct"/>
            <w:shd w:val="clear" w:color="auto" w:fill="auto"/>
            <w:vAlign w:val="center"/>
          </w:tcPr>
          <w:p w14:paraId="2EDE9D60"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Moyenne </w:t>
            </w:r>
          </w:p>
        </w:tc>
        <w:tc>
          <w:tcPr>
            <w:tcW w:w="1260" w:type="pct"/>
            <w:shd w:val="clear" w:color="auto" w:fill="auto"/>
            <w:vAlign w:val="center"/>
          </w:tcPr>
          <w:p w14:paraId="2D484737"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 xml:space="preserve">Se concerter et convenir avec le MEDD et le comité provincial de l’environnement (CPE) avant d’entamer toute action sur la flore dans la zone du projet; </w:t>
            </w:r>
          </w:p>
          <w:p w14:paraId="48E0CC91"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Limiter le débroussaillage et désherbage qu’aux arbres servant d’obstacles aux travaux, notamment ceux comptabiliser dans le cadre du projet ;</w:t>
            </w:r>
          </w:p>
          <w:p w14:paraId="7314AA5E"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Compenser cette perte en ressource végétales par le paiement du taxe d’abattage afin de permettre au fonds forestier national de financer les activités de reboisement dans un autre espace de la ville, en vue d’atténuer les émissions de CO2 libéré dans la nature suite au déboisement ;</w:t>
            </w:r>
          </w:p>
          <w:p w14:paraId="7AD8D43A"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Optimiser le projet afin de minimiser la perte de végétation et de préserver la couverture végétale urbaine ;</w:t>
            </w:r>
          </w:p>
          <w:p w14:paraId="6B52AD7A"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Diminuer ou éviter d’effectuer des travaux durant les périodes de naissances, de nidifications et de migration des espèces ;</w:t>
            </w:r>
          </w:p>
          <w:p w14:paraId="5DD61DA0" w14:textId="77777777" w:rsidR="00F76AC0" w:rsidRPr="00420C1B" w:rsidRDefault="00F76AC0" w:rsidP="00420C1B">
            <w:pPr>
              <w:pStyle w:val="Paragraphedeliste"/>
              <w:numPr>
                <w:ilvl w:val="0"/>
                <w:numId w:val="405"/>
              </w:numPr>
              <w:spacing w:after="0" w:line="240" w:lineRule="auto"/>
              <w:ind w:left="176" w:hanging="261"/>
              <w:contextualSpacing w:val="0"/>
              <w:jc w:val="both"/>
              <w:rPr>
                <w:rFonts w:ascii="Times New Roman" w:hAnsi="Times New Roman"/>
                <w:sz w:val="20"/>
                <w:szCs w:val="24"/>
              </w:rPr>
            </w:pPr>
            <w:r w:rsidRPr="00420C1B">
              <w:rPr>
                <w:rFonts w:ascii="Times New Roman" w:hAnsi="Times New Roman"/>
                <w:sz w:val="20"/>
                <w:szCs w:val="24"/>
              </w:rPr>
              <w:t>Remettre en état les zones temporaires après la construction.</w:t>
            </w:r>
          </w:p>
        </w:tc>
        <w:tc>
          <w:tcPr>
            <w:tcW w:w="795" w:type="pct"/>
            <w:vMerge/>
            <w:shd w:val="clear" w:color="auto" w:fill="auto"/>
            <w:vAlign w:val="center"/>
          </w:tcPr>
          <w:p w14:paraId="7A3B6A26"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p>
        </w:tc>
        <w:tc>
          <w:tcPr>
            <w:tcW w:w="398" w:type="pct"/>
            <w:vMerge/>
            <w:shd w:val="clear" w:color="auto" w:fill="auto"/>
            <w:vAlign w:val="center"/>
          </w:tcPr>
          <w:p w14:paraId="54642AA4" w14:textId="77777777" w:rsidR="00F76AC0" w:rsidRPr="00420C1B" w:rsidRDefault="00F76AC0" w:rsidP="00420C1B">
            <w:pPr>
              <w:spacing w:after="0" w:line="240" w:lineRule="auto"/>
              <w:rPr>
                <w:rFonts w:ascii="Times New Roman" w:hAnsi="Times New Roman"/>
                <w:sz w:val="20"/>
                <w:szCs w:val="24"/>
              </w:rPr>
            </w:pPr>
          </w:p>
        </w:tc>
        <w:tc>
          <w:tcPr>
            <w:tcW w:w="708" w:type="pct"/>
            <w:vMerge/>
            <w:shd w:val="clear" w:color="auto" w:fill="auto"/>
          </w:tcPr>
          <w:p w14:paraId="21C4B2B7" w14:textId="77777777" w:rsidR="00F76AC0" w:rsidRPr="00420C1B" w:rsidRDefault="00F76AC0" w:rsidP="00420C1B">
            <w:pPr>
              <w:spacing w:after="0" w:line="240" w:lineRule="auto"/>
              <w:rPr>
                <w:rFonts w:ascii="Times New Roman" w:hAnsi="Times New Roman"/>
                <w:sz w:val="20"/>
                <w:szCs w:val="24"/>
              </w:rPr>
            </w:pPr>
          </w:p>
        </w:tc>
      </w:tr>
      <w:tr w:rsidR="0086242F" w:rsidRPr="00420C1B" w14:paraId="2300964B" w14:textId="77777777" w:rsidTr="00420C1B">
        <w:trPr>
          <w:jc w:val="center"/>
        </w:trPr>
        <w:tc>
          <w:tcPr>
            <w:tcW w:w="5000" w:type="pct"/>
            <w:gridSpan w:val="7"/>
            <w:shd w:val="clear" w:color="auto" w:fill="DEEAF6"/>
            <w:vAlign w:val="center"/>
          </w:tcPr>
          <w:p w14:paraId="525F099C" w14:textId="3147DBD2" w:rsidR="0086242F" w:rsidRPr="00420C1B" w:rsidRDefault="0086242F" w:rsidP="00420C1B">
            <w:pPr>
              <w:spacing w:after="0" w:line="240" w:lineRule="auto"/>
              <w:jc w:val="center"/>
              <w:rPr>
                <w:rFonts w:ascii="Times New Roman" w:hAnsi="Times New Roman"/>
                <w:b/>
                <w:sz w:val="20"/>
                <w:szCs w:val="24"/>
              </w:rPr>
            </w:pPr>
            <w:r w:rsidRPr="00420C1B">
              <w:rPr>
                <w:rFonts w:ascii="Times New Roman" w:hAnsi="Times New Roman"/>
                <w:b/>
                <w:sz w:val="20"/>
                <w:szCs w:val="24"/>
              </w:rPr>
              <w:t xml:space="preserve">Impact sociaux </w:t>
            </w:r>
          </w:p>
        </w:tc>
      </w:tr>
      <w:tr w:rsidR="002C66D7" w:rsidRPr="00420C1B" w14:paraId="5018B049" w14:textId="77777777" w:rsidTr="00420C1B">
        <w:trPr>
          <w:jc w:val="center"/>
        </w:trPr>
        <w:tc>
          <w:tcPr>
            <w:tcW w:w="751" w:type="pct"/>
            <w:shd w:val="clear" w:color="auto" w:fill="auto"/>
            <w:vAlign w:val="center"/>
          </w:tcPr>
          <w:p w14:paraId="68926EF2"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Afflux de la main d’œuvre </w:t>
            </w:r>
          </w:p>
          <w:p w14:paraId="54B7207D"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Présence du chantier</w:t>
            </w:r>
          </w:p>
          <w:p w14:paraId="10664ECE" w14:textId="77777777" w:rsidR="00F76AC0" w:rsidRPr="00420C1B" w:rsidRDefault="00F76AC0" w:rsidP="00420C1B">
            <w:pPr>
              <w:spacing w:after="0" w:line="240" w:lineRule="auto"/>
              <w:rPr>
                <w:rFonts w:ascii="Times New Roman" w:hAnsi="Times New Roman"/>
                <w:sz w:val="20"/>
                <w:szCs w:val="24"/>
              </w:rPr>
            </w:pPr>
          </w:p>
        </w:tc>
        <w:tc>
          <w:tcPr>
            <w:tcW w:w="708" w:type="pct"/>
            <w:shd w:val="clear" w:color="auto" w:fill="auto"/>
            <w:vAlign w:val="center"/>
          </w:tcPr>
          <w:p w14:paraId="3FE9DDD2"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Accroissement du nombre des femmes victimes d’EAS/HS</w:t>
            </w:r>
          </w:p>
        </w:tc>
        <w:tc>
          <w:tcPr>
            <w:tcW w:w="380" w:type="pct"/>
            <w:shd w:val="clear" w:color="auto" w:fill="auto"/>
            <w:vAlign w:val="center"/>
          </w:tcPr>
          <w:p w14:paraId="09EFA8D8"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Modérée </w:t>
            </w:r>
          </w:p>
        </w:tc>
        <w:tc>
          <w:tcPr>
            <w:tcW w:w="1260" w:type="pct"/>
            <w:shd w:val="clear" w:color="auto" w:fill="auto"/>
            <w:vAlign w:val="center"/>
          </w:tcPr>
          <w:p w14:paraId="4A2D1AFE"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Mettre en place un dispositif pour la réception des allégations des survivantes afin de signaler tous cas d’EAS/HS sur le chantier ou par un employé d’entreprise en charge des travaux sur le chantier ;  </w:t>
            </w:r>
          </w:p>
          <w:p w14:paraId="3F7168C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Faire signer à l’ensemble des travailleurs et personnel du projet le code de bonne conduite ;</w:t>
            </w:r>
          </w:p>
          <w:p w14:paraId="7CCD6059"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Former le personnel sur les risques VBG, le code de conduite et les types de comportement interdit au sein du projet et dans la relation avec la communauté ;</w:t>
            </w:r>
          </w:p>
          <w:p w14:paraId="6DF6302A"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Organiser les campagnes de sensibilisation auprès des communautés sur la prévention des risques VBG, le fonctionnement du MGP y inclus l’EAS/HS, le fonctionnement du circuit de référencement des survivants(es) ;</w:t>
            </w:r>
          </w:p>
          <w:p w14:paraId="18A2A296"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Organisation des campagnes d’éducation pour le changement de comportement (CECC) sur le VBG ;</w:t>
            </w:r>
          </w:p>
          <w:p w14:paraId="32441A8D"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eastAsia="Times New Roman" w:hAnsi="Times New Roman"/>
                <w:sz w:val="20"/>
                <w:szCs w:val="20"/>
                <w:lang w:val="fr-CD" w:eastAsia="fr-FR"/>
              </w:rPr>
            </w:pPr>
            <w:r w:rsidRPr="00420C1B">
              <w:rPr>
                <w:rFonts w:ascii="Times New Roman" w:hAnsi="Times New Roman"/>
                <w:sz w:val="20"/>
                <w:szCs w:val="24"/>
              </w:rPr>
              <w:t>Cartographier les principaux risques VBG dans la zone du projet et les principaux fournisseurs de service de pris en charge des survivants et y appliquer les mesures idoines pour les atténue.</w:t>
            </w:r>
          </w:p>
        </w:tc>
        <w:tc>
          <w:tcPr>
            <w:tcW w:w="795" w:type="pct"/>
            <w:shd w:val="clear" w:color="auto" w:fill="auto"/>
            <w:vAlign w:val="center"/>
          </w:tcPr>
          <w:p w14:paraId="79BB66B1"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Prolifération des cas d’EAS/HS post-projet</w:t>
            </w:r>
          </w:p>
        </w:tc>
        <w:tc>
          <w:tcPr>
            <w:tcW w:w="398" w:type="pct"/>
            <w:shd w:val="clear" w:color="auto" w:fill="auto"/>
            <w:vAlign w:val="center"/>
          </w:tcPr>
          <w:p w14:paraId="255F7B7B"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Mineure </w:t>
            </w:r>
          </w:p>
        </w:tc>
        <w:tc>
          <w:tcPr>
            <w:tcW w:w="708" w:type="pct"/>
            <w:shd w:val="clear" w:color="auto" w:fill="auto"/>
            <w:vAlign w:val="center"/>
          </w:tcPr>
          <w:p w14:paraId="5B10D5CE"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Assurer l’appropriation du MGP sensible aux VBG par la population </w:t>
            </w:r>
          </w:p>
          <w:p w14:paraId="2FE71B8D"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Mettre en place un dispositif de communication post-projet</w:t>
            </w:r>
          </w:p>
        </w:tc>
      </w:tr>
      <w:tr w:rsidR="002C66D7" w:rsidRPr="00420C1B" w14:paraId="54066577" w14:textId="77777777" w:rsidTr="00420C1B">
        <w:trPr>
          <w:jc w:val="center"/>
        </w:trPr>
        <w:tc>
          <w:tcPr>
            <w:tcW w:w="751" w:type="pct"/>
            <w:shd w:val="clear" w:color="auto" w:fill="auto"/>
            <w:vAlign w:val="center"/>
          </w:tcPr>
          <w:p w14:paraId="5E2FC5F9"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Recrutement du personnel (mobilisation du personnel : Afflux de la main d’œuvre et recours à la main d’œuvre étrangère (allochtone) </w:t>
            </w:r>
          </w:p>
        </w:tc>
        <w:tc>
          <w:tcPr>
            <w:tcW w:w="708" w:type="pct"/>
            <w:shd w:val="clear" w:color="auto" w:fill="auto"/>
            <w:vAlign w:val="center"/>
          </w:tcPr>
          <w:p w14:paraId="69CAB90C"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Contamination par les MST/VIH-SIDA</w:t>
            </w:r>
          </w:p>
        </w:tc>
        <w:tc>
          <w:tcPr>
            <w:tcW w:w="380" w:type="pct"/>
            <w:shd w:val="clear" w:color="auto" w:fill="auto"/>
            <w:vAlign w:val="center"/>
          </w:tcPr>
          <w:p w14:paraId="2129E82A"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Majeure</w:t>
            </w:r>
          </w:p>
        </w:tc>
        <w:tc>
          <w:tcPr>
            <w:tcW w:w="1260" w:type="pct"/>
            <w:shd w:val="clear" w:color="auto" w:fill="auto"/>
            <w:vAlign w:val="center"/>
          </w:tcPr>
          <w:p w14:paraId="5FBC4ED3"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Organiser des campagnes de communication et sensibilisation pour le changement des comportements ;</w:t>
            </w:r>
          </w:p>
          <w:p w14:paraId="5628DE0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Former parmi les travailleurs un noyau des pairs éducateurs sur le VIH ;</w:t>
            </w:r>
          </w:p>
          <w:p w14:paraId="78D98EAC"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Organisateur en synergie avec les ONGs locales spécialisées et le PNMLS, des campagnes de dépistage volontaire et de distribution des préservatifs</w:t>
            </w:r>
          </w:p>
          <w:p w14:paraId="4D43532C" w14:textId="77777777" w:rsidR="00F76AC0" w:rsidRPr="00420C1B" w:rsidRDefault="00F76AC0" w:rsidP="00420C1B">
            <w:pPr>
              <w:spacing w:after="0" w:line="240" w:lineRule="auto"/>
              <w:rPr>
                <w:rFonts w:ascii="Times New Roman" w:hAnsi="Times New Roman"/>
                <w:sz w:val="20"/>
                <w:szCs w:val="24"/>
              </w:rPr>
            </w:pPr>
          </w:p>
          <w:p w14:paraId="2ADA8E09" w14:textId="77777777" w:rsidR="00F76AC0" w:rsidRPr="00420C1B" w:rsidRDefault="00F76AC0" w:rsidP="00420C1B">
            <w:pPr>
              <w:spacing w:after="0" w:line="240" w:lineRule="auto"/>
              <w:rPr>
                <w:rFonts w:ascii="Times New Roman" w:hAnsi="Times New Roman"/>
                <w:sz w:val="20"/>
                <w:szCs w:val="24"/>
              </w:rPr>
            </w:pPr>
          </w:p>
        </w:tc>
        <w:tc>
          <w:tcPr>
            <w:tcW w:w="795" w:type="pct"/>
            <w:shd w:val="clear" w:color="auto" w:fill="auto"/>
            <w:vAlign w:val="center"/>
          </w:tcPr>
          <w:p w14:paraId="1D87BAF3"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4"/>
                <w:szCs w:val="24"/>
              </w:rPr>
            </w:pPr>
            <w:r w:rsidRPr="00420C1B">
              <w:rPr>
                <w:rFonts w:ascii="Times New Roman" w:hAnsi="Times New Roman"/>
                <w:sz w:val="20"/>
                <w:szCs w:val="24"/>
              </w:rPr>
              <w:t>Augmentation des arrêts maladie et des absences.</w:t>
            </w:r>
          </w:p>
          <w:p w14:paraId="7B1BC148" w14:textId="77777777" w:rsidR="00F76AC0" w:rsidRPr="00420C1B" w:rsidRDefault="00F76AC0" w:rsidP="00420C1B">
            <w:pPr>
              <w:pStyle w:val="Paragraphedeliste"/>
              <w:numPr>
                <w:ilvl w:val="0"/>
                <w:numId w:val="405"/>
              </w:numPr>
              <w:spacing w:after="0" w:line="240" w:lineRule="auto"/>
              <w:ind w:left="176" w:hanging="260"/>
              <w:contextualSpacing w:val="0"/>
              <w:rPr>
                <w:rFonts w:ascii="Times New Roman" w:hAnsi="Times New Roman"/>
                <w:sz w:val="24"/>
                <w:szCs w:val="24"/>
              </w:rPr>
            </w:pPr>
            <w:r w:rsidRPr="00420C1B">
              <w:rPr>
                <w:rFonts w:ascii="Times New Roman" w:hAnsi="Times New Roman"/>
                <w:sz w:val="20"/>
                <w:szCs w:val="24"/>
              </w:rPr>
              <w:t>Baisse des performances au travail due à l'état de santé de l'employé</w:t>
            </w:r>
          </w:p>
          <w:p w14:paraId="72D2F285" w14:textId="77777777" w:rsidR="00F76AC0" w:rsidRPr="00420C1B" w:rsidRDefault="00F76AC0" w:rsidP="00420C1B">
            <w:pPr>
              <w:pStyle w:val="Paragraphedeliste"/>
              <w:numPr>
                <w:ilvl w:val="0"/>
                <w:numId w:val="405"/>
              </w:numPr>
              <w:spacing w:after="0" w:line="240" w:lineRule="auto"/>
              <w:ind w:left="176" w:hanging="260"/>
              <w:contextualSpacing w:val="0"/>
              <w:rPr>
                <w:rFonts w:ascii="Times New Roman" w:hAnsi="Times New Roman"/>
                <w:sz w:val="24"/>
                <w:szCs w:val="24"/>
              </w:rPr>
            </w:pPr>
            <w:r w:rsidRPr="00420C1B">
              <w:rPr>
                <w:rFonts w:ascii="Times New Roman" w:hAnsi="Times New Roman"/>
                <w:sz w:val="20"/>
                <w:szCs w:val="24"/>
              </w:rPr>
              <w:t>Augmentation des heures supplémentaires et des rémunérations versées aux prestataires extérieurs pour compenser l'absentéisme.</w:t>
            </w:r>
          </w:p>
          <w:p w14:paraId="21AED2D4" w14:textId="77777777" w:rsidR="00F76AC0" w:rsidRPr="00420C1B" w:rsidRDefault="00F76AC0" w:rsidP="00420C1B">
            <w:pPr>
              <w:pStyle w:val="Paragraphedeliste"/>
              <w:numPr>
                <w:ilvl w:val="0"/>
                <w:numId w:val="405"/>
              </w:numPr>
              <w:spacing w:after="0" w:line="240" w:lineRule="auto"/>
              <w:ind w:left="176" w:hanging="260"/>
              <w:contextualSpacing w:val="0"/>
              <w:rPr>
                <w:rFonts w:ascii="Times New Roman" w:hAnsi="Times New Roman"/>
                <w:sz w:val="24"/>
                <w:szCs w:val="24"/>
              </w:rPr>
            </w:pPr>
            <w:r w:rsidRPr="00420C1B">
              <w:rPr>
                <w:rFonts w:ascii="Times New Roman" w:hAnsi="Times New Roman"/>
                <w:sz w:val="20"/>
                <w:szCs w:val="24"/>
              </w:rPr>
              <w:t>Augmentation de l'utilisation des dispensaires ou cliniques de l'entreprise</w:t>
            </w:r>
          </w:p>
          <w:p w14:paraId="4ADAC1E4" w14:textId="77777777" w:rsidR="00F76AC0" w:rsidRPr="00420C1B" w:rsidRDefault="00F76AC0" w:rsidP="00420C1B">
            <w:pPr>
              <w:pStyle w:val="Paragraphedeliste"/>
              <w:numPr>
                <w:ilvl w:val="0"/>
                <w:numId w:val="405"/>
              </w:numPr>
              <w:spacing w:after="0" w:line="240" w:lineRule="auto"/>
              <w:ind w:left="176" w:hanging="260"/>
              <w:contextualSpacing w:val="0"/>
              <w:rPr>
                <w:rFonts w:ascii="Times New Roman" w:hAnsi="Times New Roman"/>
                <w:sz w:val="24"/>
                <w:szCs w:val="24"/>
              </w:rPr>
            </w:pPr>
            <w:r w:rsidRPr="00420C1B">
              <w:rPr>
                <w:rFonts w:ascii="Times New Roman" w:hAnsi="Times New Roman"/>
                <w:sz w:val="20"/>
                <w:szCs w:val="24"/>
              </w:rPr>
              <w:t>Augmentation des prestations versées au titre des assurances de santé.</w:t>
            </w:r>
          </w:p>
        </w:tc>
        <w:tc>
          <w:tcPr>
            <w:tcW w:w="398" w:type="pct"/>
            <w:shd w:val="clear" w:color="auto" w:fill="auto"/>
            <w:vAlign w:val="center"/>
          </w:tcPr>
          <w:p w14:paraId="454D2E7B"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Modérée </w:t>
            </w:r>
          </w:p>
        </w:tc>
        <w:tc>
          <w:tcPr>
            <w:tcW w:w="708" w:type="pct"/>
            <w:shd w:val="clear" w:color="auto" w:fill="auto"/>
            <w:vAlign w:val="center"/>
          </w:tcPr>
          <w:p w14:paraId="3CFCF8AE"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Mettre en place un programme de dépistage des cas </w:t>
            </w:r>
          </w:p>
          <w:p w14:paraId="4FDCF67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Assurer en synergie avec la PNMLS, l’approvisionnement régulier des ARV pour les travailleurs vivant avec le VIH</w:t>
            </w:r>
          </w:p>
          <w:p w14:paraId="6AE70E9C"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Organiser des campagnes de communication et sensibilisation pour le changement des comportements ;</w:t>
            </w:r>
          </w:p>
          <w:p w14:paraId="3D28746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Instaurer les examens médicaux pré-embauches</w:t>
            </w:r>
          </w:p>
        </w:tc>
      </w:tr>
      <w:tr w:rsidR="002C66D7" w:rsidRPr="00420C1B" w14:paraId="52AC40B0" w14:textId="77777777" w:rsidTr="00420C1B">
        <w:trPr>
          <w:trHeight w:val="1629"/>
          <w:jc w:val="center"/>
        </w:trPr>
        <w:tc>
          <w:tcPr>
            <w:tcW w:w="751" w:type="pct"/>
            <w:shd w:val="clear" w:color="auto" w:fill="auto"/>
            <w:vAlign w:val="center"/>
          </w:tcPr>
          <w:p w14:paraId="146F5C1A"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Mobilisation de la main d’œuvre </w:t>
            </w:r>
          </w:p>
          <w:p w14:paraId="0F2D0B12"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Non-respect des mesures barrières contre la COVID-19</w:t>
            </w:r>
          </w:p>
        </w:tc>
        <w:tc>
          <w:tcPr>
            <w:tcW w:w="708" w:type="pct"/>
            <w:shd w:val="clear" w:color="auto" w:fill="auto"/>
            <w:vAlign w:val="center"/>
          </w:tcPr>
          <w:p w14:paraId="4E0E58CD"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Contamination par le COVID-19</w:t>
            </w:r>
          </w:p>
        </w:tc>
        <w:tc>
          <w:tcPr>
            <w:tcW w:w="380" w:type="pct"/>
            <w:shd w:val="clear" w:color="auto" w:fill="auto"/>
            <w:vAlign w:val="center"/>
          </w:tcPr>
          <w:p w14:paraId="17719135"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Moyenne </w:t>
            </w:r>
          </w:p>
        </w:tc>
        <w:tc>
          <w:tcPr>
            <w:tcW w:w="1260" w:type="pct"/>
            <w:shd w:val="clear" w:color="auto" w:fill="auto"/>
            <w:vAlign w:val="center"/>
          </w:tcPr>
          <w:p w14:paraId="7ADC64D5"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Appliquer les mesures barrières prôné par les autorités locales et l’OMS</w:t>
            </w:r>
          </w:p>
          <w:p w14:paraId="741543A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Organiser en collaboration avec les structures médicales habilitées, les campagnes de dépistage contre la COVID-19</w:t>
            </w:r>
          </w:p>
          <w:p w14:paraId="6ED041E4"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Encourager les employés à se faire vacciner </w:t>
            </w:r>
          </w:p>
          <w:p w14:paraId="467CAFE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Organiser des campagnes de communication et sensibilisation pour le changement des comportements.</w:t>
            </w:r>
          </w:p>
        </w:tc>
        <w:tc>
          <w:tcPr>
            <w:tcW w:w="795" w:type="pct"/>
            <w:shd w:val="clear" w:color="auto" w:fill="auto"/>
            <w:vAlign w:val="center"/>
          </w:tcPr>
          <w:p w14:paraId="3875164C" w14:textId="570E92CE"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Montée du nombre des cas de contamination au COVID-19 suite à l’apparition des nouvelles variantes </w:t>
            </w:r>
          </w:p>
        </w:tc>
        <w:tc>
          <w:tcPr>
            <w:tcW w:w="398" w:type="pct"/>
            <w:shd w:val="clear" w:color="auto" w:fill="auto"/>
            <w:vAlign w:val="center"/>
          </w:tcPr>
          <w:p w14:paraId="7EE5323B"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Modérée  </w:t>
            </w:r>
          </w:p>
        </w:tc>
        <w:tc>
          <w:tcPr>
            <w:tcW w:w="708" w:type="pct"/>
            <w:shd w:val="clear" w:color="auto" w:fill="auto"/>
            <w:vAlign w:val="center"/>
          </w:tcPr>
          <w:p w14:paraId="39C4EC5B"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Organisation des campagnes de sensibilisations et de vaccination contre la COVID-19</w:t>
            </w:r>
          </w:p>
        </w:tc>
      </w:tr>
      <w:tr w:rsidR="002C66D7" w:rsidRPr="00420C1B" w14:paraId="370DBB35" w14:textId="77777777" w:rsidTr="00420C1B">
        <w:trPr>
          <w:jc w:val="center"/>
        </w:trPr>
        <w:tc>
          <w:tcPr>
            <w:tcW w:w="751" w:type="pct"/>
            <w:shd w:val="clear" w:color="auto" w:fill="auto"/>
            <w:vAlign w:val="center"/>
          </w:tcPr>
          <w:p w14:paraId="353A93C7" w14:textId="210E41D4"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lang w:val="fr-CD"/>
              </w:rPr>
              <w:t>Entretien du réseau électrique (lignes et cabines)</w:t>
            </w:r>
          </w:p>
        </w:tc>
        <w:tc>
          <w:tcPr>
            <w:tcW w:w="708" w:type="pct"/>
            <w:shd w:val="clear" w:color="auto" w:fill="auto"/>
            <w:vAlign w:val="center"/>
          </w:tcPr>
          <w:p w14:paraId="23440C17"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lang w:val="fr-CD"/>
              </w:rPr>
              <w:t xml:space="preserve">Accident/incident lors des travaux d’entretien des lignes  </w:t>
            </w:r>
          </w:p>
        </w:tc>
        <w:tc>
          <w:tcPr>
            <w:tcW w:w="380" w:type="pct"/>
            <w:shd w:val="clear" w:color="auto" w:fill="auto"/>
            <w:vAlign w:val="center"/>
          </w:tcPr>
          <w:p w14:paraId="04909D2F"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Moyenne </w:t>
            </w:r>
          </w:p>
        </w:tc>
        <w:tc>
          <w:tcPr>
            <w:tcW w:w="1260" w:type="pct"/>
            <w:shd w:val="clear" w:color="auto" w:fill="auto"/>
            <w:vAlign w:val="center"/>
          </w:tcPr>
          <w:p w14:paraId="3AEACAD9"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Elaborer un plan de prévention des risques liés aux travaux en hauteur ;</w:t>
            </w:r>
          </w:p>
          <w:p w14:paraId="5C74B834"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Réglementer l’accès aux sites concernés par l’entretien ; </w:t>
            </w:r>
          </w:p>
          <w:p w14:paraId="04CB86C6"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Assurer une bonne signalisation des travaux ;</w:t>
            </w:r>
          </w:p>
          <w:p w14:paraId="0EFE124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Doter le personnel du chantier en équipement de protection individuelle adaptée (EPI). ;</w:t>
            </w:r>
          </w:p>
          <w:p w14:paraId="440FF80C"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Former de façon continue le personnel du chantier en  travaux en hauteur /HSE.</w:t>
            </w:r>
          </w:p>
        </w:tc>
        <w:tc>
          <w:tcPr>
            <w:tcW w:w="795" w:type="pct"/>
            <w:shd w:val="clear" w:color="auto" w:fill="auto"/>
            <w:vAlign w:val="center"/>
          </w:tcPr>
          <w:p w14:paraId="33ABBE6D" w14:textId="5C5BB2E4"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Recrudescence des accidents liés aux chantiers</w:t>
            </w:r>
          </w:p>
        </w:tc>
        <w:tc>
          <w:tcPr>
            <w:tcW w:w="398" w:type="pct"/>
            <w:shd w:val="clear" w:color="auto" w:fill="auto"/>
            <w:vAlign w:val="center"/>
          </w:tcPr>
          <w:p w14:paraId="5EB51BCF" w14:textId="0BC58C91"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Mineure  </w:t>
            </w:r>
          </w:p>
        </w:tc>
        <w:tc>
          <w:tcPr>
            <w:tcW w:w="708" w:type="pct"/>
            <w:shd w:val="clear" w:color="auto" w:fill="auto"/>
            <w:vAlign w:val="center"/>
          </w:tcPr>
          <w:p w14:paraId="112105A5"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Mettre en place un système d’induction de sécurité</w:t>
            </w:r>
          </w:p>
          <w:p w14:paraId="3AE235E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Renouveler régulièrement la dotation des EPI aux travailleurs</w:t>
            </w:r>
          </w:p>
          <w:p w14:paraId="64F8C796" w14:textId="1339AF4A"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Mettre en œuvre le Plan d’hygiène, sécurité et santé opérationnel</w:t>
            </w:r>
          </w:p>
        </w:tc>
      </w:tr>
      <w:tr w:rsidR="002C66D7" w:rsidRPr="00420C1B" w14:paraId="47581143" w14:textId="77777777" w:rsidTr="00420C1B">
        <w:trPr>
          <w:jc w:val="center"/>
        </w:trPr>
        <w:tc>
          <w:tcPr>
            <w:tcW w:w="751" w:type="pct"/>
            <w:shd w:val="clear" w:color="auto" w:fill="auto"/>
          </w:tcPr>
          <w:p w14:paraId="24D3A172" w14:textId="5A3CA583"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Aléas climatique et désastres naturels  </w:t>
            </w:r>
          </w:p>
        </w:tc>
        <w:tc>
          <w:tcPr>
            <w:tcW w:w="708" w:type="pct"/>
            <w:shd w:val="clear" w:color="auto" w:fill="auto"/>
          </w:tcPr>
          <w:p w14:paraId="65E546F0"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Destruction des infrastructures par les catastrophes naturelles (inondation et érosion des sols)</w:t>
            </w:r>
          </w:p>
        </w:tc>
        <w:tc>
          <w:tcPr>
            <w:tcW w:w="380" w:type="pct"/>
            <w:shd w:val="clear" w:color="auto" w:fill="auto"/>
          </w:tcPr>
          <w:p w14:paraId="27DF4BB1" w14:textId="77777777" w:rsidR="00F76AC0" w:rsidRPr="00420C1B" w:rsidRDefault="00F76AC0" w:rsidP="00420C1B">
            <w:pPr>
              <w:spacing w:after="0" w:line="240" w:lineRule="auto"/>
              <w:rPr>
                <w:rFonts w:ascii="Times New Roman" w:hAnsi="Times New Roman"/>
                <w:sz w:val="20"/>
                <w:szCs w:val="24"/>
              </w:rPr>
            </w:pPr>
            <w:r w:rsidRPr="00420C1B">
              <w:rPr>
                <w:rFonts w:ascii="Times New Roman" w:hAnsi="Times New Roman"/>
                <w:sz w:val="20"/>
                <w:szCs w:val="24"/>
              </w:rPr>
              <w:t xml:space="preserve">Moyenne </w:t>
            </w:r>
          </w:p>
        </w:tc>
        <w:tc>
          <w:tcPr>
            <w:tcW w:w="1260" w:type="pct"/>
            <w:shd w:val="clear" w:color="auto" w:fill="auto"/>
          </w:tcPr>
          <w:p w14:paraId="3C678B5C"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 xml:space="preserve">Maintenir la végétation basse aux pieds des poteaux afin de faciliter l’infiltration des eaux de ruissellement </w:t>
            </w:r>
          </w:p>
          <w:p w14:paraId="6B5A1BE4"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Eviter de maintenir le sol à nu plusieurs mois, limitant ainsi son exposition au vent et à la pluie ;</w:t>
            </w:r>
          </w:p>
          <w:p w14:paraId="7AECE10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Réaliser des relevés topographiques détaillés avant le début des travaux dans les différents sites ;</w:t>
            </w:r>
          </w:p>
          <w:p w14:paraId="6C80C1D8"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Mettre en place un plan de restauration et stabilisation des pentes en vue de minimiser les risques de ruissellements incontrôlés des eaux pluviales ;</w:t>
            </w:r>
          </w:p>
          <w:p w14:paraId="22997D9F"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Adapter la conception des ouvrages à la morphologie du terrain et aux aléas climatiques</w:t>
            </w:r>
          </w:p>
          <w:p w14:paraId="757503DE"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Dimensionner les réseaux en optant pour des solutions qui s’adaptent aux conditions climatiques du milieu et à principales catastrophes comme les inondations et les érosions hydriques ;</w:t>
            </w:r>
          </w:p>
          <w:p w14:paraId="252243F3"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Opter pour les cabines en haut de poteaux lorsque les sites es vulnérables aux inondations saisonnières ;</w:t>
            </w:r>
          </w:p>
          <w:p w14:paraId="2E959520"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Privilégier le réseau électrique aérien afin de prévenir les risques d’électrisation ou d’électrocution ;</w:t>
            </w:r>
          </w:p>
          <w:p w14:paraId="3B86A9EB"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Prévoir des dispositifs antifoudres le long du réseau afin de limiter les dommages des infrastructures privées et les atteintes physiques de la communauté de la zone du projet</w:t>
            </w:r>
          </w:p>
          <w:p w14:paraId="3831662D"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Limiter l’espace d’intervention minimum requis par la règle d’usage et les exigences de sécurité ;</w:t>
            </w:r>
          </w:p>
          <w:p w14:paraId="5A29A2F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Stabiliser le sol aux pieds de poteaux avec du gazon (</w:t>
            </w:r>
            <w:r w:rsidRPr="00420C1B">
              <w:rPr>
                <w:rFonts w:ascii="Times New Roman" w:hAnsi="Times New Roman"/>
                <w:i/>
                <w:sz w:val="20"/>
                <w:szCs w:val="24"/>
              </w:rPr>
              <w:t>Paspalum sp</w:t>
            </w:r>
            <w:r w:rsidRPr="00420C1B">
              <w:rPr>
                <w:rFonts w:ascii="Times New Roman" w:hAnsi="Times New Roman"/>
                <w:sz w:val="20"/>
                <w:szCs w:val="24"/>
              </w:rPr>
              <w:t>.) et vétiver ;</w:t>
            </w:r>
          </w:p>
          <w:p w14:paraId="0A5DB6AD"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Recouvrir de végétation adaptée toutes les surfaces ayant atteint leur profil définitif afin de résister au choc érosif des gouttes de pluies et au ruissellement</w:t>
            </w:r>
          </w:p>
          <w:p w14:paraId="4835AF43"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Protéger rapidement les zones perturbées et anticiper toute interruption des travaux</w:t>
            </w:r>
          </w:p>
          <w:p w14:paraId="4E9181D1"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Contrôler la concentration des eaux sur le chantier quand celle-ci devient inévitable et briser l’énergie des eaux concentrées ;</w:t>
            </w:r>
          </w:p>
          <w:p w14:paraId="3F2E1F05"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Mettre en place des mesures spécifiques liés à la conception des équipements et des installations électriques afin de résister aux catastrophes naturels (inondations, fortes chaleurs et érosions de sols)</w:t>
            </w:r>
          </w:p>
          <w:p w14:paraId="6768D277"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Stabiliser les sols et assurer un bon choix des sites d’installations des poteaux MT/BT</w:t>
            </w:r>
          </w:p>
          <w:p w14:paraId="3B5EFC4B" w14:textId="77777777" w:rsidR="00F76AC0" w:rsidRPr="00420C1B" w:rsidRDefault="00F76AC0" w:rsidP="00420C1B">
            <w:pPr>
              <w:pStyle w:val="Paragraphedeliste"/>
              <w:numPr>
                <w:ilvl w:val="0"/>
                <w:numId w:val="405"/>
              </w:numPr>
              <w:spacing w:after="0" w:line="240" w:lineRule="auto"/>
              <w:ind w:left="176" w:hanging="261"/>
              <w:contextualSpacing w:val="0"/>
              <w:rPr>
                <w:rFonts w:ascii="Times New Roman" w:hAnsi="Times New Roman"/>
                <w:sz w:val="20"/>
                <w:szCs w:val="24"/>
              </w:rPr>
            </w:pPr>
            <w:r w:rsidRPr="00420C1B">
              <w:rPr>
                <w:rFonts w:ascii="Times New Roman" w:hAnsi="Times New Roman"/>
                <w:sz w:val="20"/>
                <w:szCs w:val="24"/>
              </w:rPr>
              <w:t>Favoriser les lignes électriques MT avec câble torsadé afin de prévenir les risques liés aux aléas climatiques.</w:t>
            </w:r>
          </w:p>
        </w:tc>
        <w:tc>
          <w:tcPr>
            <w:tcW w:w="795" w:type="pct"/>
            <w:shd w:val="clear" w:color="auto" w:fill="auto"/>
          </w:tcPr>
          <w:p w14:paraId="460193A6" w14:textId="77777777" w:rsidR="00F76AC0" w:rsidRPr="00420C1B" w:rsidRDefault="00F76AC0" w:rsidP="00420C1B">
            <w:pPr>
              <w:spacing w:after="0" w:line="240" w:lineRule="auto"/>
              <w:rPr>
                <w:rFonts w:ascii="Times New Roman" w:hAnsi="Times New Roman"/>
                <w:sz w:val="20"/>
                <w:szCs w:val="24"/>
              </w:rPr>
            </w:pPr>
          </w:p>
        </w:tc>
        <w:tc>
          <w:tcPr>
            <w:tcW w:w="398" w:type="pct"/>
            <w:shd w:val="clear" w:color="auto" w:fill="auto"/>
          </w:tcPr>
          <w:p w14:paraId="458A2F4E" w14:textId="77777777" w:rsidR="00F76AC0" w:rsidRPr="00420C1B" w:rsidRDefault="00F76AC0" w:rsidP="00420C1B">
            <w:pPr>
              <w:spacing w:after="0" w:line="240" w:lineRule="auto"/>
              <w:rPr>
                <w:rFonts w:ascii="Times New Roman" w:hAnsi="Times New Roman"/>
                <w:sz w:val="20"/>
                <w:szCs w:val="24"/>
              </w:rPr>
            </w:pPr>
          </w:p>
        </w:tc>
        <w:tc>
          <w:tcPr>
            <w:tcW w:w="708" w:type="pct"/>
            <w:shd w:val="clear" w:color="auto" w:fill="auto"/>
          </w:tcPr>
          <w:p w14:paraId="6145A1AB" w14:textId="77777777" w:rsidR="00F76AC0" w:rsidRPr="00420C1B" w:rsidRDefault="00F76AC0" w:rsidP="00420C1B">
            <w:pPr>
              <w:spacing w:after="0" w:line="240" w:lineRule="auto"/>
              <w:rPr>
                <w:rFonts w:ascii="Times New Roman" w:hAnsi="Times New Roman"/>
                <w:sz w:val="20"/>
                <w:szCs w:val="24"/>
              </w:rPr>
            </w:pPr>
          </w:p>
        </w:tc>
      </w:tr>
    </w:tbl>
    <w:p w14:paraId="189AFFA6" w14:textId="77777777" w:rsidR="00F76AC0" w:rsidRPr="00AA04B2" w:rsidRDefault="00F76AC0" w:rsidP="00F76AC0">
      <w:pPr>
        <w:spacing w:before="120" w:after="120"/>
        <w:jc w:val="both"/>
        <w:rPr>
          <w:rFonts w:ascii="Times New Roman" w:hAnsi="Times New Roman"/>
          <w:sz w:val="24"/>
          <w:szCs w:val="24"/>
        </w:rPr>
      </w:pPr>
      <w:r>
        <w:rPr>
          <w:rFonts w:ascii="Times New Roman" w:hAnsi="Times New Roman"/>
          <w:sz w:val="24"/>
          <w:szCs w:val="24"/>
        </w:rPr>
        <w:t xml:space="preserve"> </w:t>
      </w:r>
    </w:p>
    <w:p w14:paraId="3D80066A" w14:textId="2005903A" w:rsidR="00EB6100" w:rsidRPr="00420C1B" w:rsidRDefault="00EB6100">
      <w:pPr>
        <w:rPr>
          <w:rFonts w:ascii="Times New Roman" w:eastAsia="Times New Roman" w:hAnsi="Times New Roman"/>
          <w:b/>
          <w:sz w:val="24"/>
          <w:szCs w:val="24"/>
        </w:rPr>
      </w:pPr>
      <w:bookmarkStart w:id="749" w:name="_Toc70065565"/>
    </w:p>
    <w:p w14:paraId="488FF6F1" w14:textId="77777777" w:rsidR="00F76AC0" w:rsidRDefault="00F76AC0" w:rsidP="00021980">
      <w:pPr>
        <w:pStyle w:val="Titre1"/>
        <w:numPr>
          <w:ilvl w:val="0"/>
          <w:numId w:val="404"/>
        </w:numPr>
        <w:spacing w:before="0" w:line="240" w:lineRule="auto"/>
        <w:ind w:left="357" w:hanging="357"/>
        <w:rPr>
          <w:szCs w:val="24"/>
        </w:rPr>
        <w:sectPr w:rsidR="00F76AC0" w:rsidSect="00A86929">
          <w:pgSz w:w="16838" w:h="11906" w:orient="landscape"/>
          <w:pgMar w:top="1440" w:right="1440" w:bottom="1440" w:left="1440" w:header="709" w:footer="709" w:gutter="0"/>
          <w:cols w:space="708"/>
          <w:docGrid w:linePitch="360"/>
        </w:sectPr>
      </w:pPr>
    </w:p>
    <w:p w14:paraId="7382E3D3" w14:textId="107ABC7E" w:rsidR="00F6371D" w:rsidRPr="00AC5F87" w:rsidRDefault="005F6946" w:rsidP="00215867">
      <w:pPr>
        <w:pStyle w:val="Titre1"/>
        <w:numPr>
          <w:ilvl w:val="0"/>
          <w:numId w:val="54"/>
        </w:numPr>
        <w:spacing w:after="120"/>
        <w:ind w:left="357" w:hanging="357"/>
      </w:pPr>
      <w:bookmarkStart w:id="750" w:name="_Toc103685714"/>
      <w:r w:rsidRPr="007E5A67">
        <w:t>CONSULTATION</w:t>
      </w:r>
      <w:r w:rsidR="00267A83" w:rsidRPr="00B334B1">
        <w:t>S</w:t>
      </w:r>
      <w:r w:rsidRPr="00B334B1">
        <w:t xml:space="preserve"> PUBLIQUE</w:t>
      </w:r>
      <w:r w:rsidR="00267A83" w:rsidRPr="00B334B1">
        <w:t>S</w:t>
      </w:r>
      <w:r w:rsidRPr="00AC5F87">
        <w:t xml:space="preserve"> ET </w:t>
      </w:r>
      <w:r w:rsidR="00F6371D" w:rsidRPr="00AC5F87">
        <w:t>MOBILISATION DES PARTIES PRENANTES</w:t>
      </w:r>
      <w:bookmarkEnd w:id="749"/>
      <w:bookmarkEnd w:id="750"/>
    </w:p>
    <w:p w14:paraId="0ED952FC" w14:textId="73F69062" w:rsidR="00DD1446" w:rsidRPr="00215867" w:rsidRDefault="00DD1446" w:rsidP="00215867">
      <w:pPr>
        <w:pStyle w:val="Titre1"/>
        <w:numPr>
          <w:ilvl w:val="1"/>
          <w:numId w:val="54"/>
        </w:numPr>
        <w:spacing w:before="0" w:after="120"/>
        <w:ind w:left="788" w:hanging="431"/>
      </w:pPr>
      <w:bookmarkStart w:id="751" w:name="_Toc103685715"/>
      <w:r w:rsidRPr="00215867">
        <w:t>Mobilisation des parties prenantes</w:t>
      </w:r>
      <w:bookmarkEnd w:id="751"/>
    </w:p>
    <w:p w14:paraId="7F6B1540" w14:textId="3F1DBACC" w:rsidR="00F6371D" w:rsidRDefault="00F6371D" w:rsidP="00E737B4">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Le plan de mobilisation des parties prenantes (PMPP) préparé en document séparé</w:t>
      </w:r>
      <w:r w:rsidR="00953590">
        <w:rPr>
          <w:rFonts w:ascii="Times New Roman" w:hAnsi="Times New Roman"/>
          <w:sz w:val="24"/>
          <w:szCs w:val="24"/>
          <w:lang w:val="fr-BE"/>
        </w:rPr>
        <w:t xml:space="preserve"> </w:t>
      </w:r>
      <w:r w:rsidRPr="00F219F5">
        <w:rPr>
          <w:rFonts w:ascii="Times New Roman" w:hAnsi="Times New Roman"/>
          <w:sz w:val="24"/>
          <w:szCs w:val="24"/>
          <w:lang w:val="fr-BE"/>
        </w:rPr>
        <w:t>présente le détail du plan de mobilisation, de l’engagement des parties prenantes, les procédures de divulgation de l’information. Ce chapitre présente en outre, le résumé de la consultation des parties prenantes.</w:t>
      </w:r>
    </w:p>
    <w:p w14:paraId="508CEB54" w14:textId="266EB560" w:rsidR="00AF5DFD" w:rsidRPr="00AF5DFD" w:rsidRDefault="00D06FD8" w:rsidP="00AF5DFD">
      <w:pPr>
        <w:spacing w:before="120" w:after="120" w:line="240" w:lineRule="auto"/>
        <w:jc w:val="both"/>
        <w:rPr>
          <w:rFonts w:ascii="Times New Roman" w:hAnsi="Times New Roman"/>
          <w:sz w:val="24"/>
          <w:szCs w:val="24"/>
          <w:lang w:val="fr-BE"/>
        </w:rPr>
      </w:pPr>
      <w:r>
        <w:rPr>
          <w:rFonts w:ascii="Times New Roman" w:hAnsi="Times New Roman"/>
          <w:sz w:val="24"/>
          <w:szCs w:val="24"/>
          <w:lang w:val="fr-BE"/>
        </w:rPr>
        <w:t xml:space="preserve">Ce PMPP </w:t>
      </w:r>
      <w:r w:rsidR="00AF5DFD" w:rsidRPr="00AF5DFD">
        <w:rPr>
          <w:rFonts w:ascii="Times New Roman" w:hAnsi="Times New Roman"/>
          <w:sz w:val="24"/>
          <w:szCs w:val="24"/>
          <w:lang w:val="fr-BE"/>
        </w:rPr>
        <w:t xml:space="preserve">vise à assurer l’acceptabilité sociale du projet à l’échelle communautaire, en mettant tous les acteurs dans un réseau de partage de l’information aussi bien sur l’environnement que sur le projet proprement dit. </w:t>
      </w:r>
    </w:p>
    <w:p w14:paraId="6335BFD0" w14:textId="492CCADC" w:rsidR="00C768A0" w:rsidRPr="00F219F5" w:rsidRDefault="00AF5DFD" w:rsidP="00AF5DFD">
      <w:pPr>
        <w:spacing w:before="120" w:after="120" w:line="240" w:lineRule="auto"/>
        <w:jc w:val="both"/>
        <w:rPr>
          <w:rFonts w:ascii="Times New Roman" w:hAnsi="Times New Roman"/>
          <w:sz w:val="24"/>
          <w:szCs w:val="24"/>
          <w:lang w:val="fr-BE"/>
        </w:rPr>
      </w:pPr>
      <w:r w:rsidRPr="00AF5DFD">
        <w:rPr>
          <w:rFonts w:ascii="Times New Roman" w:hAnsi="Times New Roman"/>
          <w:sz w:val="24"/>
          <w:szCs w:val="24"/>
          <w:lang w:val="fr-BE"/>
        </w:rPr>
        <w:t>Le plan ambitionne d’amener les acteurs à avoir une vision commune et des objectifs partagés des actions entreprises par le projet dans une logique tridimensionnelle : avant le projet (phase d’identification et de préparation) ; en cours de projet (phase d’exécution) ; après le projet (phase de gestion, d’exploitation et d’évaluation finale).</w:t>
      </w:r>
    </w:p>
    <w:p w14:paraId="4A1B4557" w14:textId="6A3F5F56" w:rsidR="00F6371D" w:rsidRPr="00215867" w:rsidRDefault="00F6371D" w:rsidP="00215867">
      <w:pPr>
        <w:pStyle w:val="Titre31"/>
        <w:numPr>
          <w:ilvl w:val="2"/>
          <w:numId w:val="54"/>
        </w:numPr>
        <w:tabs>
          <w:tab w:val="left" w:pos="993"/>
        </w:tabs>
        <w:spacing w:before="120" w:after="120" w:line="20" w:lineRule="atLeast"/>
        <w:ind w:left="993" w:hanging="709"/>
        <w:rPr>
          <w:rFonts w:eastAsia="Calibri"/>
          <w:b w:val="0"/>
          <w:i/>
        </w:rPr>
      </w:pPr>
      <w:bookmarkStart w:id="752" w:name="_Toc70065566"/>
      <w:bookmarkStart w:id="753" w:name="_Toc103685716"/>
      <w:r w:rsidRPr="00215867">
        <w:rPr>
          <w:rFonts w:eastAsia="Calibri"/>
          <w:i/>
          <w:u w:val="none"/>
        </w:rPr>
        <w:t>Plan de mobilisation</w:t>
      </w:r>
      <w:bookmarkEnd w:id="752"/>
      <w:bookmarkEnd w:id="753"/>
    </w:p>
    <w:p w14:paraId="133FF5A5" w14:textId="77777777" w:rsidR="00F6371D" w:rsidRPr="00F219F5" w:rsidRDefault="00F6371D" w:rsidP="00E737B4">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Pour garantir que les informations sont facilement accessibles aux parties prenantes concernées, ainsi qu'une représentation et une participation adéquates des différents groupes dans le processus, l'équipe du projet adoptera différentes méthodes et techniques basées sur une évaluation des besoins des parties prenantes :</w:t>
      </w:r>
    </w:p>
    <w:p w14:paraId="17BF8905"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ateliers communaux de lancement du projet ;</w:t>
      </w:r>
    </w:p>
    <w:p w14:paraId="29F842A2"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publication des documents du projet sur le site Web du projet et site Web de la Banque mondiale ;</w:t>
      </w:r>
    </w:p>
    <w:p w14:paraId="34211512"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 xml:space="preserve">annonces dans les médias (radio locale, journaux, etc.), correspondance par téléphone / e-mail / lettres écrites ; </w:t>
      </w:r>
    </w:p>
    <w:p w14:paraId="743233AB"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utilisation des sites Web officiels des ministères et agences partenaires et d'exécution pour promouvoir diverses informations et mises à jour sur l'ensemble du projet, notamment l'évaluation et la gestion des risques et d'impact associés au projet, le mécanisme de règlement des griefs ;</w:t>
      </w:r>
    </w:p>
    <w:p w14:paraId="44F5290C"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 xml:space="preserve">entretiens individuels et de petits groupes pour solliciter les besoins, les points de vue et les opinions sur les impacts et les mesures d’atténuation </w:t>
      </w:r>
      <w:r w:rsidR="00E5449E" w:rsidRPr="00F219F5">
        <w:rPr>
          <w:rFonts w:ascii="Times New Roman" w:hAnsi="Times New Roman"/>
          <w:sz w:val="24"/>
          <w:szCs w:val="24"/>
          <w:lang w:val="fr-BE"/>
        </w:rPr>
        <w:t>proposée</w:t>
      </w:r>
      <w:r w:rsidRPr="00F219F5">
        <w:rPr>
          <w:rFonts w:ascii="Times New Roman" w:hAnsi="Times New Roman"/>
          <w:sz w:val="24"/>
          <w:szCs w:val="24"/>
          <w:lang w:val="fr-BE"/>
        </w:rPr>
        <w:t xml:space="preserve"> du projet ;</w:t>
      </w:r>
    </w:p>
    <w:p w14:paraId="0C348A01"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enquêtes / évaluations indépendantes pour recueillir les préoccupations, opinions et les points de vue des bénéficiaires sur les interventions du projet ;</w:t>
      </w:r>
    </w:p>
    <w:p w14:paraId="569EF744" w14:textId="77777777" w:rsidR="00F6371D" w:rsidRPr="00F219F5" w:rsidRDefault="00F6371D" w:rsidP="008C79F0">
      <w:pPr>
        <w:numPr>
          <w:ilvl w:val="0"/>
          <w:numId w:val="184"/>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etc.</w:t>
      </w:r>
    </w:p>
    <w:p w14:paraId="2B80E0AB" w14:textId="09628881" w:rsidR="00F6371D" w:rsidRPr="00215867" w:rsidRDefault="00F6371D" w:rsidP="00215867">
      <w:pPr>
        <w:pStyle w:val="Titre31"/>
        <w:numPr>
          <w:ilvl w:val="2"/>
          <w:numId w:val="54"/>
        </w:numPr>
        <w:tabs>
          <w:tab w:val="left" w:pos="993"/>
        </w:tabs>
        <w:spacing w:before="120" w:after="120" w:line="20" w:lineRule="atLeast"/>
        <w:ind w:left="993" w:hanging="709"/>
        <w:rPr>
          <w:rFonts w:eastAsia="Calibri"/>
          <w:b w:val="0"/>
          <w:i/>
        </w:rPr>
      </w:pPr>
      <w:bookmarkStart w:id="754" w:name="_Toc70065567"/>
      <w:bookmarkStart w:id="755" w:name="_Toc103685717"/>
      <w:r w:rsidRPr="00215867">
        <w:rPr>
          <w:rFonts w:eastAsia="Calibri"/>
          <w:i/>
          <w:u w:val="none"/>
        </w:rPr>
        <w:t>Engagement des parties prenantes</w:t>
      </w:r>
      <w:bookmarkEnd w:id="754"/>
      <w:bookmarkEnd w:id="755"/>
    </w:p>
    <w:p w14:paraId="0A37C85B" w14:textId="42B4AC1D" w:rsidR="00F6371D" w:rsidRPr="00F219F5" w:rsidRDefault="00F6371D" w:rsidP="00E737B4">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 xml:space="preserve">Un engagement significatif des parties prenantes sera mené tout au long du cycle de vie du projet. Le projet a tenu diverses consultations pendant la préparation du projet, notamment des consultations avec les ministères en octobre et décembre 2019 et décembre 2020 concernant les activités du projet, des consultations liées aux instruments qui ont été développés, y compris le cadre de la politique de réinstallation et le cadre de gestion environnementale et sociale en décembre 2020. Les mesures mises en place pour limiter la propagation de COVID 19, ont été les suivantes : (i) compte tenu de la pandémie liée à </w:t>
      </w:r>
      <w:r w:rsidR="00DD1446" w:rsidRPr="00F219F5">
        <w:rPr>
          <w:rFonts w:ascii="Times New Roman" w:hAnsi="Times New Roman"/>
          <w:sz w:val="24"/>
          <w:szCs w:val="24"/>
          <w:lang w:val="fr-BE"/>
        </w:rPr>
        <w:t>COVID</w:t>
      </w:r>
      <w:r w:rsidR="00DD1446">
        <w:rPr>
          <w:rFonts w:ascii="Times New Roman" w:hAnsi="Times New Roman"/>
          <w:sz w:val="24"/>
          <w:szCs w:val="24"/>
          <w:lang w:val="fr-BE"/>
        </w:rPr>
        <w:t>-</w:t>
      </w:r>
      <w:r w:rsidRPr="00F219F5">
        <w:rPr>
          <w:rFonts w:ascii="Times New Roman" w:hAnsi="Times New Roman"/>
          <w:sz w:val="24"/>
          <w:szCs w:val="24"/>
          <w:lang w:val="fr-BE"/>
        </w:rPr>
        <w:t xml:space="preserve">19, le projet a fourni des kits COVID pour équiper les participants aux consultations ; (ii) en outre, la plupart des consultants ont opté pour des discussions en petits groupes pendant les consultations plutôt que pour des rassemblements à grande échelle. </w:t>
      </w:r>
    </w:p>
    <w:p w14:paraId="46D8AC3A" w14:textId="77777777" w:rsidR="00DD1446" w:rsidRDefault="00F6371D" w:rsidP="00DD1446">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 xml:space="preserve">Au cours de la mise en œuvre, le projet comportera une série d'activités de consultation publique et d'engagement des parties prenantes comme prévu et engagé. Ces activités comprendront des réunions, des enquêtes sur le terrain et des entretiens individuels avec des représentants du gouvernement, etc. Compte tenu du risque de propagation du virus, le Groupe de la Banque mondiale, en consultation avec le </w:t>
      </w:r>
      <w:r w:rsidR="00AC40BD" w:rsidRPr="00F219F5">
        <w:rPr>
          <w:rFonts w:ascii="Times New Roman" w:hAnsi="Times New Roman"/>
          <w:sz w:val="24"/>
          <w:szCs w:val="24"/>
          <w:lang w:val="fr-BE"/>
        </w:rPr>
        <w:t>gouvernement</w:t>
      </w:r>
      <w:r w:rsidRPr="00F219F5">
        <w:rPr>
          <w:rFonts w:ascii="Times New Roman" w:hAnsi="Times New Roman"/>
          <w:sz w:val="24"/>
          <w:szCs w:val="24"/>
          <w:lang w:val="fr-BE"/>
        </w:rPr>
        <w:t xml:space="preserve">, examinera l'approche et la méthodologie pour mener les consultations et l'engagement des parties prenantes, en tenant compte des restrictions et des avis émis de temps à autre par le gouvernement de l'État. </w:t>
      </w:r>
    </w:p>
    <w:p w14:paraId="190E026F" w14:textId="015401E5" w:rsidR="00EB6100" w:rsidRDefault="00F6371D" w:rsidP="00DD1446">
      <w:pPr>
        <w:spacing w:before="120" w:after="120" w:line="240" w:lineRule="auto"/>
        <w:jc w:val="both"/>
        <w:rPr>
          <w:rFonts w:ascii="Times New Roman" w:hAnsi="Times New Roman"/>
          <w:b/>
          <w:sz w:val="24"/>
          <w:szCs w:val="24"/>
          <w:lang w:val="fr-BE"/>
        </w:rPr>
      </w:pPr>
      <w:r w:rsidRPr="00F219F5">
        <w:rPr>
          <w:rFonts w:ascii="Times New Roman" w:hAnsi="Times New Roman"/>
          <w:sz w:val="24"/>
          <w:szCs w:val="24"/>
          <w:lang w:val="fr-BE"/>
        </w:rPr>
        <w:t xml:space="preserve">Le projet prendra également en compte les lignes directrices élaborées par la Banque mondiale sur la COVID-19 pour entreprendre des consultations afin d'éviter la propagation de la maladie </w:t>
      </w:r>
      <w:r w:rsidRPr="00F219F5">
        <w:rPr>
          <w:rFonts w:ascii="Times New Roman" w:hAnsi="Times New Roman"/>
          <w:b/>
          <w:sz w:val="24"/>
          <w:szCs w:val="24"/>
          <w:lang w:val="fr-BE"/>
        </w:rPr>
        <w:t xml:space="preserve">(voir le lien ici: </w:t>
      </w:r>
    </w:p>
    <w:p w14:paraId="498018B7" w14:textId="46E1E37C" w:rsidR="00F6371D" w:rsidRDefault="004C0F64" w:rsidP="00E737B4">
      <w:pPr>
        <w:spacing w:before="120" w:after="120" w:line="240" w:lineRule="auto"/>
        <w:jc w:val="both"/>
        <w:rPr>
          <w:rFonts w:ascii="Times New Roman" w:hAnsi="Times New Roman"/>
          <w:sz w:val="24"/>
          <w:szCs w:val="24"/>
          <w:lang w:val="fr-BE"/>
        </w:rPr>
      </w:pPr>
      <w:hyperlink r:id="rId54" w:history="1">
        <w:r w:rsidR="00F6371D" w:rsidRPr="00F219F5">
          <w:rPr>
            <w:rStyle w:val="Lienhypertexte"/>
            <w:rFonts w:ascii="Times New Roman" w:hAnsi="Times New Roman"/>
            <w:b/>
            <w:color w:val="auto"/>
            <w:sz w:val="24"/>
            <w:szCs w:val="24"/>
            <w:lang w:val="fr-BE" w:eastAsia="x-none"/>
          </w:rPr>
          <w:t>http://pubdocs.worldbank.org/en/875401606251371090/Fact-Sheet-Citizen- Engagement-et-Consultations-des-parties prenantes-pendant-COVID-19.pdf</w:t>
        </w:r>
      </w:hyperlink>
      <w:r w:rsidR="00F6371D" w:rsidRPr="00F219F5">
        <w:rPr>
          <w:rFonts w:ascii="Times New Roman" w:hAnsi="Times New Roman"/>
          <w:sz w:val="24"/>
          <w:szCs w:val="24"/>
          <w:lang w:val="fr-BE" w:eastAsia="x-none"/>
        </w:rPr>
        <w:t>).</w:t>
      </w:r>
      <w:r w:rsidR="00F6371D" w:rsidRPr="00F219F5">
        <w:rPr>
          <w:rFonts w:ascii="Times New Roman" w:hAnsi="Times New Roman"/>
          <w:sz w:val="24"/>
          <w:szCs w:val="24"/>
          <w:lang w:val="fr-BE"/>
        </w:rPr>
        <w:t xml:space="preserve"> </w:t>
      </w:r>
    </w:p>
    <w:p w14:paraId="3E445205" w14:textId="73B95CD5" w:rsidR="004E1ACD" w:rsidRDefault="00267A83" w:rsidP="00E737B4">
      <w:pPr>
        <w:spacing w:before="120" w:after="120" w:line="240" w:lineRule="auto"/>
        <w:jc w:val="both"/>
        <w:rPr>
          <w:rFonts w:ascii="Times New Roman" w:hAnsi="Times New Roman"/>
          <w:sz w:val="24"/>
          <w:szCs w:val="24"/>
          <w:lang w:val="fr-BE"/>
        </w:rPr>
      </w:pPr>
      <w:r>
        <w:rPr>
          <w:rFonts w:ascii="Times New Roman" w:hAnsi="Times New Roman"/>
          <w:sz w:val="24"/>
          <w:szCs w:val="24"/>
          <w:lang w:val="fr-BE"/>
        </w:rPr>
        <w:t>I</w:t>
      </w:r>
      <w:r w:rsidR="004E1ACD">
        <w:rPr>
          <w:rFonts w:ascii="Times New Roman" w:hAnsi="Times New Roman"/>
          <w:sz w:val="24"/>
          <w:szCs w:val="24"/>
          <w:lang w:val="fr-BE"/>
        </w:rPr>
        <w:t xml:space="preserve">l </w:t>
      </w:r>
      <w:r>
        <w:rPr>
          <w:rFonts w:ascii="Times New Roman" w:hAnsi="Times New Roman"/>
          <w:sz w:val="24"/>
          <w:szCs w:val="24"/>
          <w:lang w:val="fr-BE"/>
        </w:rPr>
        <w:t xml:space="preserve">sied de </w:t>
      </w:r>
      <w:r w:rsidR="004E1ACD">
        <w:rPr>
          <w:rFonts w:ascii="Times New Roman" w:hAnsi="Times New Roman"/>
          <w:sz w:val="24"/>
          <w:szCs w:val="24"/>
          <w:lang w:val="fr-BE"/>
        </w:rPr>
        <w:t>noter que les ministères sectoriels, les différents services techniques de l’Etat, l’administration locale</w:t>
      </w:r>
      <w:r>
        <w:rPr>
          <w:rFonts w:ascii="Times New Roman" w:hAnsi="Times New Roman"/>
          <w:sz w:val="24"/>
          <w:szCs w:val="24"/>
          <w:lang w:val="fr-BE"/>
        </w:rPr>
        <w:t xml:space="preserve">, </w:t>
      </w:r>
      <w:r w:rsidR="004E1ACD">
        <w:rPr>
          <w:rFonts w:ascii="Times New Roman" w:hAnsi="Times New Roman"/>
          <w:sz w:val="24"/>
          <w:szCs w:val="24"/>
          <w:lang w:val="fr-BE"/>
        </w:rPr>
        <w:t xml:space="preserve">les </w:t>
      </w:r>
      <w:r>
        <w:rPr>
          <w:rFonts w:ascii="Times New Roman" w:hAnsi="Times New Roman"/>
          <w:sz w:val="24"/>
          <w:szCs w:val="24"/>
          <w:lang w:val="fr-BE"/>
        </w:rPr>
        <w:t xml:space="preserve">ONG locale et </w:t>
      </w:r>
      <w:r w:rsidR="004E1ACD">
        <w:rPr>
          <w:rFonts w:ascii="Times New Roman" w:hAnsi="Times New Roman"/>
          <w:sz w:val="24"/>
          <w:szCs w:val="24"/>
          <w:lang w:val="fr-BE"/>
        </w:rPr>
        <w:t xml:space="preserve">la société civile ont été </w:t>
      </w:r>
      <w:r>
        <w:rPr>
          <w:rFonts w:ascii="Times New Roman" w:hAnsi="Times New Roman"/>
          <w:sz w:val="24"/>
          <w:szCs w:val="24"/>
          <w:lang w:val="fr-BE"/>
        </w:rPr>
        <w:t>consultés</w:t>
      </w:r>
      <w:r w:rsidR="004E1ACD">
        <w:rPr>
          <w:rFonts w:ascii="Times New Roman" w:hAnsi="Times New Roman"/>
          <w:sz w:val="24"/>
          <w:szCs w:val="24"/>
          <w:lang w:val="fr-BE"/>
        </w:rPr>
        <w:t xml:space="preserve"> conformément au PMPP </w:t>
      </w:r>
      <w:r>
        <w:rPr>
          <w:rFonts w:ascii="Times New Roman" w:hAnsi="Times New Roman"/>
          <w:sz w:val="24"/>
          <w:szCs w:val="24"/>
          <w:lang w:val="fr-BE"/>
        </w:rPr>
        <w:t>d’</w:t>
      </w:r>
      <w:r w:rsidR="004E1ACD">
        <w:rPr>
          <w:rFonts w:ascii="Times New Roman" w:hAnsi="Times New Roman"/>
          <w:sz w:val="24"/>
          <w:szCs w:val="24"/>
          <w:lang w:val="fr-BE"/>
        </w:rPr>
        <w:t>AGREE</w:t>
      </w:r>
      <w:r>
        <w:rPr>
          <w:rFonts w:ascii="Times New Roman" w:hAnsi="Times New Roman"/>
          <w:sz w:val="24"/>
          <w:szCs w:val="24"/>
          <w:lang w:val="fr-BE"/>
        </w:rPr>
        <w:t xml:space="preserve">. Le </w:t>
      </w:r>
      <w:r w:rsidR="004E1ACD">
        <w:rPr>
          <w:rFonts w:ascii="Times New Roman" w:hAnsi="Times New Roman"/>
          <w:sz w:val="24"/>
          <w:szCs w:val="24"/>
          <w:lang w:val="fr-BE"/>
        </w:rPr>
        <w:t>ministère de</w:t>
      </w:r>
      <w:r>
        <w:rPr>
          <w:rFonts w:ascii="Times New Roman" w:hAnsi="Times New Roman"/>
          <w:sz w:val="24"/>
          <w:szCs w:val="24"/>
          <w:lang w:val="fr-BE"/>
        </w:rPr>
        <w:t>s R</w:t>
      </w:r>
      <w:r w:rsidR="004E1ACD">
        <w:rPr>
          <w:rFonts w:ascii="Times New Roman" w:hAnsi="Times New Roman"/>
          <w:sz w:val="24"/>
          <w:szCs w:val="24"/>
          <w:lang w:val="fr-BE"/>
        </w:rPr>
        <w:t>essource</w:t>
      </w:r>
      <w:r>
        <w:rPr>
          <w:rFonts w:ascii="Times New Roman" w:hAnsi="Times New Roman"/>
          <w:sz w:val="24"/>
          <w:szCs w:val="24"/>
          <w:lang w:val="fr-BE"/>
        </w:rPr>
        <w:t>s</w:t>
      </w:r>
      <w:r w:rsidR="004E1ACD">
        <w:rPr>
          <w:rFonts w:ascii="Times New Roman" w:hAnsi="Times New Roman"/>
          <w:sz w:val="24"/>
          <w:szCs w:val="24"/>
          <w:lang w:val="fr-BE"/>
        </w:rPr>
        <w:t xml:space="preserve"> hydraulique</w:t>
      </w:r>
      <w:r>
        <w:rPr>
          <w:rFonts w:ascii="Times New Roman" w:hAnsi="Times New Roman"/>
          <w:sz w:val="24"/>
          <w:szCs w:val="24"/>
          <w:lang w:val="fr-BE"/>
        </w:rPr>
        <w:t>s</w:t>
      </w:r>
      <w:r w:rsidR="004E1ACD">
        <w:rPr>
          <w:rFonts w:ascii="Times New Roman" w:hAnsi="Times New Roman"/>
          <w:sz w:val="24"/>
          <w:szCs w:val="24"/>
          <w:lang w:val="fr-BE"/>
        </w:rPr>
        <w:t xml:space="preserve"> et électricité, le ministère de l’environnement à travers l’ACE, la SNEL</w:t>
      </w:r>
      <w:r w:rsidR="00647FCD">
        <w:rPr>
          <w:rFonts w:ascii="Times New Roman" w:hAnsi="Times New Roman"/>
          <w:sz w:val="24"/>
          <w:szCs w:val="24"/>
          <w:lang w:val="fr-BE"/>
        </w:rPr>
        <w:t>,</w:t>
      </w:r>
      <w:r w:rsidR="004E1ACD">
        <w:rPr>
          <w:rFonts w:ascii="Times New Roman" w:hAnsi="Times New Roman"/>
          <w:sz w:val="24"/>
          <w:szCs w:val="24"/>
          <w:lang w:val="fr-BE"/>
        </w:rPr>
        <w:t xml:space="preserve"> la REGIDESO, les bourgmestres des communes concernées par le Projet</w:t>
      </w:r>
      <w:r>
        <w:rPr>
          <w:rFonts w:ascii="Times New Roman" w:hAnsi="Times New Roman"/>
          <w:sz w:val="24"/>
          <w:szCs w:val="24"/>
          <w:lang w:val="fr-BE"/>
        </w:rPr>
        <w:t>,</w:t>
      </w:r>
      <w:r w:rsidR="004E1ACD">
        <w:rPr>
          <w:rFonts w:ascii="Times New Roman" w:hAnsi="Times New Roman"/>
          <w:sz w:val="24"/>
          <w:szCs w:val="24"/>
          <w:lang w:val="fr-BE"/>
        </w:rPr>
        <w:t xml:space="preserve"> notamment Bandalungwa, Bumbu, Kintambo, Mont</w:t>
      </w:r>
      <w:r w:rsidR="00DD1446">
        <w:rPr>
          <w:rFonts w:ascii="Times New Roman" w:hAnsi="Times New Roman"/>
          <w:sz w:val="24"/>
          <w:szCs w:val="24"/>
          <w:lang w:val="fr-BE"/>
        </w:rPr>
        <w:t>-</w:t>
      </w:r>
      <w:r w:rsidR="004E1ACD">
        <w:rPr>
          <w:rFonts w:ascii="Times New Roman" w:hAnsi="Times New Roman"/>
          <w:sz w:val="24"/>
          <w:szCs w:val="24"/>
          <w:lang w:val="fr-BE"/>
        </w:rPr>
        <w:t>Ngafula, Kalamu, Selembao, Ngiri Ngiri, Makala et Barumbu, les populations riveraines, les personnes vivants avec handicap</w:t>
      </w:r>
      <w:r w:rsidR="001C63C0">
        <w:rPr>
          <w:rFonts w:ascii="Times New Roman" w:hAnsi="Times New Roman"/>
          <w:sz w:val="24"/>
          <w:szCs w:val="24"/>
          <w:lang w:val="fr-BE"/>
        </w:rPr>
        <w:t>,</w:t>
      </w:r>
      <w:r w:rsidR="00DD1446">
        <w:rPr>
          <w:rFonts w:ascii="Times New Roman" w:hAnsi="Times New Roman"/>
          <w:sz w:val="24"/>
          <w:szCs w:val="24"/>
          <w:lang w:val="fr-BE"/>
        </w:rPr>
        <w:t xml:space="preserve"> les femmes et jeunes filles, </w:t>
      </w:r>
      <w:r w:rsidR="001C63C0">
        <w:rPr>
          <w:rFonts w:ascii="Times New Roman" w:hAnsi="Times New Roman"/>
          <w:sz w:val="24"/>
          <w:szCs w:val="24"/>
          <w:lang w:val="fr-BE"/>
        </w:rPr>
        <w:t xml:space="preserve">ont été consultés. La liste des différentes parties prenantes </w:t>
      </w:r>
      <w:r w:rsidR="00DD1446">
        <w:rPr>
          <w:rFonts w:ascii="Times New Roman" w:hAnsi="Times New Roman"/>
          <w:sz w:val="24"/>
          <w:szCs w:val="24"/>
          <w:lang w:val="fr-BE"/>
        </w:rPr>
        <w:t xml:space="preserve">est repris </w:t>
      </w:r>
      <w:r w:rsidR="001C63C0">
        <w:rPr>
          <w:rFonts w:ascii="Times New Roman" w:hAnsi="Times New Roman"/>
          <w:sz w:val="24"/>
          <w:szCs w:val="24"/>
          <w:lang w:val="fr-BE"/>
        </w:rPr>
        <w:t>en annexe du présent rapport.</w:t>
      </w:r>
    </w:p>
    <w:p w14:paraId="52410DC1" w14:textId="61DB5AF6" w:rsidR="00F6371D" w:rsidRPr="00215867" w:rsidRDefault="00F6371D" w:rsidP="00215867">
      <w:pPr>
        <w:pStyle w:val="Titre31"/>
        <w:numPr>
          <w:ilvl w:val="2"/>
          <w:numId w:val="54"/>
        </w:numPr>
        <w:tabs>
          <w:tab w:val="left" w:pos="993"/>
        </w:tabs>
        <w:spacing w:before="120" w:after="120" w:line="20" w:lineRule="atLeast"/>
        <w:ind w:left="993" w:hanging="709"/>
        <w:rPr>
          <w:rFonts w:eastAsia="Calibri"/>
          <w:b w:val="0"/>
          <w:i/>
        </w:rPr>
      </w:pPr>
      <w:bookmarkStart w:id="756" w:name="_Toc70065568"/>
      <w:bookmarkStart w:id="757" w:name="_Toc103685718"/>
      <w:r w:rsidRPr="00215867">
        <w:rPr>
          <w:rFonts w:eastAsia="Calibri"/>
          <w:i/>
          <w:u w:val="none"/>
        </w:rPr>
        <w:t>Stratégie de divulgation de l’information</w:t>
      </w:r>
      <w:bookmarkEnd w:id="756"/>
      <w:bookmarkEnd w:id="757"/>
    </w:p>
    <w:p w14:paraId="24B986D2" w14:textId="77777777" w:rsidR="00F6371D" w:rsidRPr="00F219F5" w:rsidRDefault="00F6371D" w:rsidP="00E737B4">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L'engagement des parties prenantes pour le projet suivra le cycle standard de gestion de projet : (i) phase de préparation et de conception ; (ii) phase de mise en œuvre ; (iii) phase de suivi; et (iv) phase d'achèvement et d'évaluation.</w:t>
      </w:r>
    </w:p>
    <w:p w14:paraId="7C75FABB" w14:textId="77777777" w:rsidR="00F6371D" w:rsidRPr="00F219F5" w:rsidRDefault="00F6371D" w:rsidP="00E737B4">
      <w:pPr>
        <w:spacing w:before="120" w:after="120" w:line="240" w:lineRule="auto"/>
        <w:jc w:val="both"/>
        <w:rPr>
          <w:rFonts w:ascii="Times New Roman" w:hAnsi="Times New Roman"/>
          <w:sz w:val="24"/>
          <w:szCs w:val="24"/>
          <w:lang w:val="fr-BE"/>
        </w:rPr>
      </w:pPr>
      <w:r w:rsidRPr="00F219F5">
        <w:rPr>
          <w:rFonts w:ascii="Times New Roman" w:hAnsi="Times New Roman"/>
          <w:sz w:val="24"/>
          <w:szCs w:val="24"/>
          <w:lang w:val="fr-BE"/>
        </w:rPr>
        <w:t>La stratégie de divulgation de l'information s’articule autour des points suivants :</w:t>
      </w:r>
    </w:p>
    <w:p w14:paraId="5520CCF8"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 groupe de parties prenantes (ministères, agences, bénéficiaires, intermédiaires financiers, etc.);</w:t>
      </w:r>
    </w:p>
    <w:p w14:paraId="66643BCE"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les informations à divulguer (</w:t>
      </w:r>
      <w:r w:rsidR="00B260DF" w:rsidRPr="00F219F5">
        <w:rPr>
          <w:rFonts w:ascii="Times New Roman" w:hAnsi="Times New Roman"/>
          <w:sz w:val="24"/>
          <w:szCs w:val="24"/>
          <w:lang w:val="fr-BE"/>
        </w:rPr>
        <w:t>PGES</w:t>
      </w:r>
      <w:r w:rsidRPr="00F219F5">
        <w:rPr>
          <w:rFonts w:ascii="Times New Roman" w:hAnsi="Times New Roman"/>
          <w:sz w:val="24"/>
          <w:szCs w:val="24"/>
          <w:lang w:val="fr-BE"/>
        </w:rPr>
        <w:t>, rapports trimestriels et annuels, divulgations du processus d'acquisition de parcelles et du  processus du mécanisme de réclamation, etc.) ;</w:t>
      </w:r>
    </w:p>
    <w:p w14:paraId="2E573563"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les méthodes de divulgation (sites Web, ateliers, etc.);</w:t>
      </w:r>
    </w:p>
    <w:p w14:paraId="62A7F1DA"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les thèmes de consultations (santé, sécurité, problèmes d</w:t>
      </w:r>
      <w:r w:rsidR="00AD595E">
        <w:rPr>
          <w:rFonts w:ascii="Times New Roman" w:hAnsi="Times New Roman"/>
          <w:sz w:val="24"/>
          <w:szCs w:val="24"/>
          <w:lang w:val="fr-BE"/>
        </w:rPr>
        <w:t>‘</w:t>
      </w:r>
      <w:r w:rsidRPr="00F219F5">
        <w:rPr>
          <w:rFonts w:ascii="Times New Roman" w:hAnsi="Times New Roman"/>
          <w:sz w:val="24"/>
          <w:szCs w:val="24"/>
          <w:lang w:val="fr-BE"/>
        </w:rPr>
        <w:t>AES/HS et mesures d’atténuation…) ;</w:t>
      </w:r>
    </w:p>
    <w:p w14:paraId="5FF61EB2"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 calendrier de consultations ; et</w:t>
      </w:r>
    </w:p>
    <w:p w14:paraId="00047F17" w14:textId="77777777" w:rsidR="00F6371D" w:rsidRPr="00F219F5" w:rsidRDefault="00F6371D" w:rsidP="008C79F0">
      <w:pPr>
        <w:numPr>
          <w:ilvl w:val="0"/>
          <w:numId w:val="185"/>
        </w:numPr>
        <w:spacing w:after="0" w:line="240" w:lineRule="auto"/>
        <w:ind w:left="567"/>
        <w:jc w:val="both"/>
        <w:rPr>
          <w:rFonts w:ascii="Times New Roman" w:hAnsi="Times New Roman"/>
          <w:sz w:val="24"/>
          <w:szCs w:val="24"/>
          <w:lang w:val="fr-BE"/>
        </w:rPr>
      </w:pPr>
      <w:r w:rsidRPr="00F219F5">
        <w:rPr>
          <w:rFonts w:ascii="Times New Roman" w:hAnsi="Times New Roman"/>
          <w:sz w:val="24"/>
          <w:szCs w:val="24"/>
          <w:lang w:val="fr-BE"/>
        </w:rPr>
        <w:t>les responsabilités de conduite des consultations (Ministères, UCP, intermédiaires financiers, etc.).</w:t>
      </w:r>
    </w:p>
    <w:p w14:paraId="478C4276" w14:textId="77777777" w:rsidR="00F6371D" w:rsidRPr="00F219F5" w:rsidRDefault="00F6371D" w:rsidP="00F219F5">
      <w:pPr>
        <w:spacing w:after="0" w:line="240" w:lineRule="auto"/>
        <w:rPr>
          <w:rFonts w:ascii="Times New Roman" w:hAnsi="Times New Roman"/>
          <w:sz w:val="24"/>
          <w:szCs w:val="24"/>
          <w:lang w:val="fr-BE"/>
        </w:rPr>
      </w:pPr>
    </w:p>
    <w:p w14:paraId="6ADE900B" w14:textId="77777777" w:rsidR="00F6371D" w:rsidRPr="00D75D2E" w:rsidRDefault="00F6371D" w:rsidP="00F6371D">
      <w:pPr>
        <w:rPr>
          <w:highlight w:val="yellow"/>
        </w:rPr>
      </w:pPr>
    </w:p>
    <w:p w14:paraId="7748E244" w14:textId="77777777" w:rsidR="00F6371D" w:rsidRPr="00D75D2E" w:rsidRDefault="00F6371D" w:rsidP="00F6371D">
      <w:pPr>
        <w:rPr>
          <w:highlight w:val="yellow"/>
        </w:rPr>
      </w:pPr>
    </w:p>
    <w:p w14:paraId="421D36AD" w14:textId="77777777" w:rsidR="00F6371D" w:rsidRPr="00D75D2E" w:rsidRDefault="00F6371D" w:rsidP="00F6371D">
      <w:pPr>
        <w:rPr>
          <w:highlight w:val="yellow"/>
        </w:rPr>
      </w:pPr>
    </w:p>
    <w:p w14:paraId="75C75AF1" w14:textId="77777777" w:rsidR="00F6371D" w:rsidRPr="00D75D2E" w:rsidRDefault="00F6371D" w:rsidP="00F6371D">
      <w:pPr>
        <w:rPr>
          <w:highlight w:val="yellow"/>
        </w:rPr>
      </w:pPr>
    </w:p>
    <w:p w14:paraId="7BF8D66B" w14:textId="77777777" w:rsidR="00F6371D" w:rsidRPr="00D75D2E" w:rsidRDefault="00F6371D" w:rsidP="00F6371D">
      <w:pPr>
        <w:rPr>
          <w:highlight w:val="yellow"/>
        </w:rPr>
      </w:pPr>
    </w:p>
    <w:p w14:paraId="7A0AF8C0" w14:textId="6B17720C" w:rsidR="00F219F5" w:rsidRDefault="00F219F5">
      <w:pPr>
        <w:rPr>
          <w:highlight w:val="yellow"/>
        </w:rPr>
      </w:pPr>
    </w:p>
    <w:p w14:paraId="11F5D44A" w14:textId="5B6C04FE" w:rsidR="00ED17F3" w:rsidRPr="00AE473E" w:rsidRDefault="00244161" w:rsidP="00215867">
      <w:pPr>
        <w:pStyle w:val="Titre1"/>
        <w:numPr>
          <w:ilvl w:val="1"/>
          <w:numId w:val="54"/>
        </w:numPr>
        <w:spacing w:before="0" w:after="120"/>
        <w:ind w:left="788" w:hanging="504"/>
      </w:pPr>
      <w:bookmarkStart w:id="758" w:name="_Toc16663528"/>
      <w:bookmarkStart w:id="759" w:name="_Toc16663702"/>
      <w:bookmarkStart w:id="760" w:name="_Toc16664947"/>
      <w:bookmarkStart w:id="761" w:name="_Toc103685719"/>
      <w:r w:rsidRPr="00AE473E">
        <w:t>C</w:t>
      </w:r>
      <w:r w:rsidR="00DD1446" w:rsidRPr="00215867">
        <w:t>onsultations publiques</w:t>
      </w:r>
      <w:bookmarkEnd w:id="758"/>
      <w:bookmarkEnd w:id="759"/>
      <w:bookmarkEnd w:id="760"/>
      <w:bookmarkEnd w:id="761"/>
      <w:r w:rsidR="00DD1446" w:rsidRPr="00215867">
        <w:t xml:space="preserve"> </w:t>
      </w:r>
    </w:p>
    <w:p w14:paraId="1EDDDC26" w14:textId="77FCE168" w:rsidR="00ED17F3" w:rsidRPr="00215867" w:rsidRDefault="00ED17F3" w:rsidP="00215867">
      <w:pPr>
        <w:pStyle w:val="Titre31"/>
        <w:numPr>
          <w:ilvl w:val="2"/>
          <w:numId w:val="54"/>
        </w:numPr>
        <w:tabs>
          <w:tab w:val="left" w:pos="993"/>
        </w:tabs>
        <w:spacing w:before="120" w:after="120" w:line="20" w:lineRule="atLeast"/>
        <w:ind w:left="993" w:hanging="709"/>
        <w:rPr>
          <w:rFonts w:eastAsia="Calibri"/>
          <w:b w:val="0"/>
          <w:i/>
        </w:rPr>
      </w:pPr>
      <w:bookmarkStart w:id="762" w:name="_Toc455230121"/>
      <w:bookmarkStart w:id="763" w:name="_Toc16891457"/>
      <w:bookmarkStart w:id="764" w:name="_Toc103685720"/>
      <w:r w:rsidRPr="00215867">
        <w:rPr>
          <w:rFonts w:eastAsia="Calibri"/>
          <w:i/>
          <w:u w:val="none"/>
        </w:rPr>
        <w:t>Objectifs de la consultation</w:t>
      </w:r>
      <w:bookmarkEnd w:id="762"/>
      <w:bookmarkEnd w:id="763"/>
      <w:r w:rsidRPr="00215867">
        <w:rPr>
          <w:rFonts w:eastAsia="Calibri"/>
          <w:i/>
          <w:u w:val="none"/>
        </w:rPr>
        <w:t xml:space="preserve"> publique</w:t>
      </w:r>
      <w:bookmarkEnd w:id="764"/>
    </w:p>
    <w:p w14:paraId="4053594C" w14:textId="77777777" w:rsidR="00ED17F3" w:rsidRPr="00E737B4" w:rsidRDefault="00ED17F3" w:rsidP="00E737B4">
      <w:pPr>
        <w:spacing w:before="120" w:after="120" w:line="20" w:lineRule="atLeast"/>
        <w:jc w:val="both"/>
        <w:rPr>
          <w:rFonts w:ascii="Times New Roman" w:hAnsi="Times New Roman"/>
          <w:sz w:val="24"/>
          <w:szCs w:val="24"/>
        </w:rPr>
      </w:pPr>
      <w:r w:rsidRPr="00E737B4">
        <w:rPr>
          <w:rFonts w:ascii="Times New Roman" w:hAnsi="Times New Roman"/>
          <w:sz w:val="24"/>
          <w:szCs w:val="24"/>
        </w:rPr>
        <w:t xml:space="preserve">L’objectif général des consultations publiques est d’assurer la participation et l’engagement des populations et des acteurs impliqués dans le projet de manière à favoriser la prise en compte de leurs avis, attentes, préoccupations et recommandations dans le processus de préparation, de mise en œuvre et de suivi. Dans le cadre de ce projet, il s’est agi plus exactement : </w:t>
      </w:r>
    </w:p>
    <w:p w14:paraId="58959AFD" w14:textId="77777777" w:rsidR="00ED17F3" w:rsidRPr="00E737B4" w:rsidRDefault="00ED17F3" w:rsidP="008C79F0">
      <w:pPr>
        <w:pStyle w:val="Paragraphedeliste"/>
        <w:numPr>
          <w:ilvl w:val="0"/>
          <w:numId w:val="67"/>
        </w:numPr>
        <w:suppressAutoHyphens/>
        <w:spacing w:after="120" w:line="276" w:lineRule="auto"/>
        <w:ind w:left="709" w:hanging="447"/>
        <w:jc w:val="both"/>
        <w:rPr>
          <w:rFonts w:ascii="Times New Roman" w:hAnsi="Times New Roman"/>
          <w:sz w:val="24"/>
          <w:szCs w:val="24"/>
        </w:rPr>
      </w:pPr>
      <w:r w:rsidRPr="00E737B4">
        <w:rPr>
          <w:rFonts w:ascii="Times New Roman" w:hAnsi="Times New Roman"/>
          <w:sz w:val="24"/>
          <w:szCs w:val="24"/>
        </w:rPr>
        <w:t>d’informer les populations et les acteurs sur le projet et les actions envisagées;</w:t>
      </w:r>
    </w:p>
    <w:p w14:paraId="7E67C8B4" w14:textId="77777777" w:rsidR="00ED17F3" w:rsidRPr="00E737B4" w:rsidRDefault="00ED17F3" w:rsidP="008C79F0">
      <w:pPr>
        <w:pStyle w:val="Paragraphedeliste"/>
        <w:numPr>
          <w:ilvl w:val="0"/>
          <w:numId w:val="67"/>
        </w:numPr>
        <w:suppressAutoHyphens/>
        <w:spacing w:after="120" w:line="276" w:lineRule="auto"/>
        <w:ind w:left="709" w:hanging="447"/>
        <w:jc w:val="both"/>
        <w:rPr>
          <w:rFonts w:ascii="Times New Roman" w:hAnsi="Times New Roman"/>
          <w:sz w:val="24"/>
          <w:szCs w:val="24"/>
        </w:rPr>
      </w:pPr>
      <w:r w:rsidRPr="00E737B4">
        <w:rPr>
          <w:rFonts w:ascii="Times New Roman" w:hAnsi="Times New Roman"/>
          <w:sz w:val="24"/>
          <w:szCs w:val="24"/>
        </w:rPr>
        <w:t xml:space="preserve">de permettre aux populations et les acteurs de se prononcer sur le projet, </w:t>
      </w:r>
    </w:p>
    <w:p w14:paraId="6E8B97B3" w14:textId="77777777" w:rsidR="00ED17F3" w:rsidRPr="00E737B4" w:rsidRDefault="00ED17F3" w:rsidP="008C79F0">
      <w:pPr>
        <w:pStyle w:val="Paragraphedeliste"/>
        <w:numPr>
          <w:ilvl w:val="0"/>
          <w:numId w:val="67"/>
        </w:numPr>
        <w:suppressAutoHyphens/>
        <w:spacing w:after="120" w:line="276" w:lineRule="auto"/>
        <w:ind w:left="709" w:hanging="447"/>
        <w:jc w:val="both"/>
        <w:rPr>
          <w:rFonts w:ascii="Times New Roman" w:hAnsi="Times New Roman"/>
          <w:sz w:val="24"/>
          <w:szCs w:val="24"/>
        </w:rPr>
      </w:pPr>
      <w:r w:rsidRPr="00E737B4">
        <w:rPr>
          <w:rFonts w:ascii="Times New Roman" w:hAnsi="Times New Roman"/>
          <w:sz w:val="24"/>
          <w:szCs w:val="24"/>
        </w:rPr>
        <w:t>d’émettre leur avis, préoccupations, besoins, attentes, craintes etc. vis-à-vis du projet ;</w:t>
      </w:r>
    </w:p>
    <w:p w14:paraId="7C47A708" w14:textId="77777777" w:rsidR="00ED17F3" w:rsidRPr="00E737B4" w:rsidRDefault="00ED17F3" w:rsidP="008C79F0">
      <w:pPr>
        <w:pStyle w:val="Paragraphedeliste"/>
        <w:numPr>
          <w:ilvl w:val="0"/>
          <w:numId w:val="67"/>
        </w:numPr>
        <w:suppressAutoHyphens/>
        <w:spacing w:after="120" w:line="276" w:lineRule="auto"/>
        <w:ind w:left="709" w:hanging="448"/>
        <w:contextualSpacing w:val="0"/>
        <w:jc w:val="both"/>
        <w:rPr>
          <w:rFonts w:ascii="Times New Roman" w:hAnsi="Times New Roman"/>
          <w:sz w:val="24"/>
          <w:szCs w:val="24"/>
        </w:rPr>
      </w:pPr>
      <w:r w:rsidRPr="00E737B4">
        <w:rPr>
          <w:rFonts w:ascii="Times New Roman" w:hAnsi="Times New Roman"/>
          <w:sz w:val="24"/>
          <w:szCs w:val="24"/>
        </w:rPr>
        <w:t>de recueillir leurs suggestions et recommandations pour le projet.</w:t>
      </w:r>
    </w:p>
    <w:p w14:paraId="63DFEB98" w14:textId="7BA75685" w:rsidR="00ED17F3" w:rsidRPr="00215867" w:rsidRDefault="00ED17F3" w:rsidP="00215867">
      <w:pPr>
        <w:pStyle w:val="Titre31"/>
        <w:numPr>
          <w:ilvl w:val="2"/>
          <w:numId w:val="54"/>
        </w:numPr>
        <w:tabs>
          <w:tab w:val="left" w:pos="993"/>
        </w:tabs>
        <w:spacing w:before="120" w:after="120" w:line="20" w:lineRule="atLeast"/>
        <w:ind w:left="993" w:hanging="709"/>
        <w:rPr>
          <w:rFonts w:eastAsia="Calibri"/>
          <w:b w:val="0"/>
          <w:i/>
        </w:rPr>
      </w:pPr>
      <w:bookmarkStart w:id="765" w:name="_Toc425004213"/>
      <w:bookmarkStart w:id="766" w:name="_Toc418783812"/>
      <w:bookmarkStart w:id="767" w:name="_Toc409777822"/>
      <w:bookmarkStart w:id="768" w:name="_Toc455230122"/>
      <w:bookmarkStart w:id="769" w:name="_Toc16891458"/>
      <w:bookmarkStart w:id="770" w:name="_Toc103685721"/>
      <w:bookmarkEnd w:id="765"/>
      <w:bookmarkEnd w:id="766"/>
      <w:bookmarkEnd w:id="767"/>
      <w:r w:rsidRPr="00215867">
        <w:rPr>
          <w:rFonts w:eastAsia="Calibri"/>
          <w:i/>
          <w:u w:val="none"/>
        </w:rPr>
        <w:t>Méthodologie</w:t>
      </w:r>
      <w:bookmarkEnd w:id="768"/>
      <w:bookmarkEnd w:id="769"/>
      <w:bookmarkEnd w:id="770"/>
    </w:p>
    <w:p w14:paraId="205E12A4" w14:textId="77777777" w:rsidR="00ED17F3" w:rsidRPr="00E737B4" w:rsidRDefault="00ED17F3" w:rsidP="00E737B4">
      <w:pPr>
        <w:spacing w:before="120" w:after="120" w:line="240" w:lineRule="auto"/>
        <w:jc w:val="both"/>
        <w:rPr>
          <w:rFonts w:ascii="Times New Roman" w:hAnsi="Times New Roman"/>
          <w:sz w:val="24"/>
          <w:szCs w:val="24"/>
        </w:rPr>
      </w:pPr>
      <w:r w:rsidRPr="00E737B4">
        <w:rPr>
          <w:rFonts w:ascii="Times New Roman" w:hAnsi="Times New Roman"/>
          <w:sz w:val="24"/>
          <w:szCs w:val="24"/>
        </w:rPr>
        <w:t xml:space="preserve">Pour atteindre les objectifs visés par la participation publique dans le cadre de la présente étude, il a été adopté la méthode de la consultation publique. Les outils méthodologiques mobilisés à cet effet ont été l’entretien semi-structuré pour les rencontres individuelles et le porte à porte pour les échanges avec les ménages impactés sur la base de questionnaires. </w:t>
      </w:r>
    </w:p>
    <w:p w14:paraId="53FDF10C" w14:textId="77777777" w:rsidR="00ED17F3" w:rsidRPr="00E737B4" w:rsidRDefault="00ED17F3" w:rsidP="00E737B4">
      <w:pPr>
        <w:spacing w:before="120" w:after="120" w:line="240" w:lineRule="auto"/>
        <w:jc w:val="both"/>
        <w:rPr>
          <w:rFonts w:ascii="Times New Roman" w:hAnsi="Times New Roman"/>
          <w:sz w:val="24"/>
          <w:szCs w:val="24"/>
        </w:rPr>
      </w:pPr>
      <w:r w:rsidRPr="00E737B4">
        <w:rPr>
          <w:rFonts w:ascii="Times New Roman" w:hAnsi="Times New Roman"/>
          <w:sz w:val="24"/>
          <w:szCs w:val="24"/>
        </w:rPr>
        <w:t xml:space="preserve">Deux étapes ont caractérisé les consultations publiques à savoir : (i) l’organisation des réunions d’information sur le projet et la collecte des données sur le terrain et (ii) des séances de consultation publique (auprès des acteurs lors de la collecte des données). </w:t>
      </w:r>
    </w:p>
    <w:p w14:paraId="50154089" w14:textId="241C3BEB" w:rsidR="00ED17F3" w:rsidRDefault="00ED17F3" w:rsidP="00E737B4">
      <w:pPr>
        <w:spacing w:before="120" w:after="120" w:line="240" w:lineRule="auto"/>
        <w:jc w:val="both"/>
        <w:rPr>
          <w:rFonts w:ascii="Times New Roman" w:hAnsi="Times New Roman"/>
          <w:sz w:val="24"/>
          <w:szCs w:val="24"/>
        </w:rPr>
      </w:pPr>
      <w:bookmarkStart w:id="771" w:name="_Toc425004214"/>
      <w:bookmarkStart w:id="772" w:name="_Toc418783813"/>
      <w:bookmarkStart w:id="773" w:name="_Toc409777823"/>
      <w:bookmarkEnd w:id="771"/>
      <w:bookmarkEnd w:id="772"/>
      <w:bookmarkEnd w:id="773"/>
      <w:r w:rsidRPr="00E737B4">
        <w:rPr>
          <w:rFonts w:ascii="Times New Roman" w:hAnsi="Times New Roman"/>
          <w:sz w:val="24"/>
          <w:szCs w:val="24"/>
        </w:rPr>
        <w:t xml:space="preserve">Les acteurs ciblés concernent, les autorités administratives, les services techniques en charge de l’énergie, l’agriculture, de l’environnement, des infrastructures et travaux publics, habitat et urbanisme, population, hygiène et assainissement, la société civile, les associations et ONG de développement, le projet, etc. </w:t>
      </w:r>
      <w:r w:rsidR="001116B7" w:rsidRPr="00E737B4">
        <w:rPr>
          <w:rFonts w:ascii="Times New Roman" w:hAnsi="Times New Roman"/>
          <w:sz w:val="24"/>
          <w:szCs w:val="24"/>
        </w:rPr>
        <w:t xml:space="preserve">les procès-verbaux et les </w:t>
      </w:r>
      <w:r w:rsidRPr="00E737B4">
        <w:rPr>
          <w:rFonts w:ascii="Times New Roman" w:hAnsi="Times New Roman"/>
          <w:sz w:val="24"/>
          <w:szCs w:val="24"/>
        </w:rPr>
        <w:t>liste</w:t>
      </w:r>
      <w:r w:rsidR="001116B7" w:rsidRPr="00E737B4">
        <w:rPr>
          <w:rFonts w:ascii="Times New Roman" w:hAnsi="Times New Roman"/>
          <w:sz w:val="24"/>
          <w:szCs w:val="24"/>
        </w:rPr>
        <w:t>s</w:t>
      </w:r>
      <w:r w:rsidRPr="00E737B4">
        <w:rPr>
          <w:rFonts w:ascii="Times New Roman" w:hAnsi="Times New Roman"/>
          <w:sz w:val="24"/>
          <w:szCs w:val="24"/>
        </w:rPr>
        <w:t xml:space="preserve"> des personnes rencontrées lors des consultations publiques et de la collecte des données et informations sont annex</w:t>
      </w:r>
      <w:r w:rsidR="001116B7" w:rsidRPr="00E737B4">
        <w:rPr>
          <w:rFonts w:ascii="Times New Roman" w:hAnsi="Times New Roman"/>
          <w:sz w:val="24"/>
          <w:szCs w:val="24"/>
        </w:rPr>
        <w:t>é</w:t>
      </w:r>
      <w:r w:rsidRPr="00E737B4">
        <w:rPr>
          <w:rFonts w:ascii="Times New Roman" w:hAnsi="Times New Roman"/>
          <w:sz w:val="24"/>
          <w:szCs w:val="24"/>
        </w:rPr>
        <w:t xml:space="preserve">s </w:t>
      </w:r>
      <w:r w:rsidR="001116B7" w:rsidRPr="00E737B4">
        <w:rPr>
          <w:rFonts w:ascii="Times New Roman" w:hAnsi="Times New Roman"/>
          <w:sz w:val="24"/>
          <w:szCs w:val="24"/>
        </w:rPr>
        <w:t>au</w:t>
      </w:r>
      <w:r w:rsidRPr="00E737B4">
        <w:rPr>
          <w:rFonts w:ascii="Times New Roman" w:hAnsi="Times New Roman"/>
          <w:sz w:val="24"/>
          <w:szCs w:val="24"/>
        </w:rPr>
        <w:t xml:space="preserve"> présent rapport.</w:t>
      </w:r>
      <w:r w:rsidR="001116B7" w:rsidRPr="00E737B4">
        <w:rPr>
          <w:rFonts w:ascii="Times New Roman" w:hAnsi="Times New Roman"/>
          <w:sz w:val="24"/>
          <w:szCs w:val="24"/>
        </w:rPr>
        <w:t xml:space="preserve"> </w:t>
      </w:r>
      <w:r w:rsidRPr="00E737B4">
        <w:rPr>
          <w:rFonts w:ascii="Times New Roman" w:hAnsi="Times New Roman"/>
          <w:sz w:val="24"/>
          <w:szCs w:val="24"/>
        </w:rPr>
        <w:t>Les photos ci-après illustrent les séances de consultations publiques et d’information avec quelques acteurs.</w:t>
      </w:r>
    </w:p>
    <w:p w14:paraId="6A335A85" w14:textId="441C218E" w:rsidR="00953590" w:rsidRPr="00E737B4" w:rsidRDefault="00953590" w:rsidP="00E737B4">
      <w:pPr>
        <w:spacing w:before="120" w:after="120" w:line="240" w:lineRule="auto"/>
        <w:jc w:val="both"/>
        <w:rPr>
          <w:rFonts w:ascii="Times New Roman" w:hAnsi="Times New Roman"/>
          <w:sz w:val="24"/>
          <w:szCs w:val="24"/>
        </w:rPr>
      </w:pPr>
      <w:r w:rsidRPr="00215867">
        <w:rPr>
          <w:rFonts w:ascii="Times New Roman" w:hAnsi="Times New Roman"/>
          <w:sz w:val="24"/>
          <w:szCs w:val="24"/>
        </w:rPr>
        <w:t xml:space="preserve">En ce qui concerne les femmes, des focus groupes avec les femmes des différentes </w:t>
      </w:r>
      <w:r w:rsidR="00631B75" w:rsidRPr="00215867">
        <w:rPr>
          <w:rFonts w:ascii="Times New Roman" w:hAnsi="Times New Roman"/>
          <w:sz w:val="24"/>
          <w:szCs w:val="24"/>
        </w:rPr>
        <w:t>communes ont</w:t>
      </w:r>
      <w:r w:rsidRPr="00215867">
        <w:rPr>
          <w:rFonts w:ascii="Times New Roman" w:hAnsi="Times New Roman"/>
          <w:sz w:val="24"/>
          <w:szCs w:val="24"/>
        </w:rPr>
        <w:t xml:space="preserve"> été réalisé et  des consultations avec les leaders des organisations de femmes ont été consultées.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4677"/>
      </w:tblGrid>
      <w:tr w:rsidR="00D75D2E" w:rsidRPr="00420C1B" w14:paraId="6CF26003" w14:textId="77777777" w:rsidTr="00420C1B">
        <w:tc>
          <w:tcPr>
            <w:tcW w:w="4503" w:type="dxa"/>
            <w:shd w:val="clear" w:color="auto" w:fill="auto"/>
          </w:tcPr>
          <w:p w14:paraId="3C490775" w14:textId="693872CD" w:rsidR="00775219" w:rsidRPr="00420C1B" w:rsidRDefault="00775219" w:rsidP="00420C1B">
            <w:pPr>
              <w:spacing w:after="0" w:line="240" w:lineRule="auto"/>
              <w:rPr>
                <w:rFonts w:ascii="Times New Roman" w:hAnsi="Times New Roman"/>
                <w:noProof/>
              </w:rPr>
            </w:pPr>
            <w:bookmarkStart w:id="774" w:name="_Toc19782209"/>
            <w:bookmarkStart w:id="775" w:name="_Toc20584553"/>
            <w:bookmarkStart w:id="776" w:name="_Toc80276798"/>
            <w:bookmarkStart w:id="777" w:name="_Toc93050582"/>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7</w:t>
            </w:r>
            <w:r w:rsidRPr="00420C1B">
              <w:rPr>
                <w:rFonts w:ascii="Times New Roman" w:hAnsi="Times New Roman"/>
              </w:rPr>
              <w:fldChar w:fldCharType="end"/>
            </w:r>
            <w:r w:rsidRPr="00420C1B">
              <w:rPr>
                <w:rFonts w:ascii="Times New Roman" w:hAnsi="Times New Roman"/>
              </w:rPr>
              <w:t xml:space="preserve"> : Consultation publique à la communale de </w:t>
            </w:r>
            <w:bookmarkEnd w:id="774"/>
            <w:bookmarkEnd w:id="775"/>
            <w:r w:rsidRPr="00420C1B">
              <w:rPr>
                <w:rFonts w:ascii="Times New Roman" w:hAnsi="Times New Roman"/>
              </w:rPr>
              <w:t>Ngaliema</w:t>
            </w:r>
            <w:bookmarkEnd w:id="776"/>
            <w:bookmarkEnd w:id="777"/>
          </w:p>
        </w:tc>
        <w:tc>
          <w:tcPr>
            <w:tcW w:w="4677" w:type="dxa"/>
            <w:shd w:val="clear" w:color="auto" w:fill="auto"/>
          </w:tcPr>
          <w:p w14:paraId="58AFD7B0" w14:textId="67912854" w:rsidR="00775219" w:rsidRPr="00420C1B" w:rsidRDefault="00775219" w:rsidP="00420C1B">
            <w:pPr>
              <w:spacing w:after="0" w:line="240" w:lineRule="auto"/>
              <w:rPr>
                <w:rFonts w:ascii="Times New Roman" w:hAnsi="Times New Roman"/>
              </w:rPr>
            </w:pPr>
            <w:bookmarkStart w:id="778" w:name="_Toc19782210"/>
            <w:bookmarkStart w:id="779" w:name="_Toc20584554"/>
            <w:bookmarkStart w:id="780" w:name="_Toc80276799"/>
            <w:bookmarkStart w:id="781" w:name="_Toc93050583"/>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8</w:t>
            </w:r>
            <w:r w:rsidRPr="00420C1B">
              <w:rPr>
                <w:rFonts w:ascii="Times New Roman" w:hAnsi="Times New Roman"/>
              </w:rPr>
              <w:fldChar w:fldCharType="end"/>
            </w:r>
            <w:r w:rsidRPr="00420C1B">
              <w:rPr>
                <w:rFonts w:ascii="Times New Roman" w:hAnsi="Times New Roman"/>
              </w:rPr>
              <w:t xml:space="preserve"> : </w:t>
            </w:r>
            <w:bookmarkEnd w:id="778"/>
            <w:bookmarkEnd w:id="779"/>
            <w:r w:rsidRPr="00420C1B">
              <w:rPr>
                <w:rFonts w:ascii="Times New Roman" w:hAnsi="Times New Roman"/>
              </w:rPr>
              <w:t>Photo de famille à l’issue de la consultation publique à la Mairie de Mont-Ngafula</w:t>
            </w:r>
            <w:bookmarkEnd w:id="780"/>
            <w:bookmarkEnd w:id="781"/>
          </w:p>
        </w:tc>
      </w:tr>
      <w:tr w:rsidR="00D75D2E" w:rsidRPr="00420C1B" w14:paraId="71ED76B7" w14:textId="77777777" w:rsidTr="00420C1B">
        <w:tc>
          <w:tcPr>
            <w:tcW w:w="4503" w:type="dxa"/>
            <w:shd w:val="clear" w:color="auto" w:fill="auto"/>
          </w:tcPr>
          <w:p w14:paraId="295A5491" w14:textId="0CC7F865" w:rsidR="00775219" w:rsidRPr="00420C1B" w:rsidRDefault="002C66D7" w:rsidP="00420C1B">
            <w:pPr>
              <w:tabs>
                <w:tab w:val="left" w:pos="2850"/>
              </w:tabs>
              <w:spacing w:after="0" w:line="240" w:lineRule="auto"/>
              <w:rPr>
                <w:rFonts w:ascii="Times New Roman" w:hAnsi="Times New Roman"/>
              </w:rPr>
            </w:pPr>
            <w:r w:rsidRPr="00EC5A8E">
              <w:rPr>
                <w:noProof/>
                <w:lang w:eastAsia="fr-FR"/>
              </w:rPr>
              <w:drawing>
                <wp:inline distT="0" distB="0" distL="0" distR="0" wp14:anchorId="60C6B1BF" wp14:editId="793F4F09">
                  <wp:extent cx="2743200" cy="2057400"/>
                  <wp:effectExtent l="0" t="0" r="0" b="0"/>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096B13B9" w14:textId="77777777" w:rsidR="00775219" w:rsidRPr="00420C1B" w:rsidRDefault="00775219" w:rsidP="00420C1B">
            <w:pPr>
              <w:spacing w:after="0" w:line="240" w:lineRule="auto"/>
              <w:rPr>
                <w:rFonts w:ascii="Times New Roman" w:hAnsi="Times New Roman"/>
              </w:rPr>
            </w:pPr>
            <w:r w:rsidRPr="00420C1B">
              <w:rPr>
                <w:rFonts w:ascii="Times New Roman" w:hAnsi="Times New Roman"/>
                <w:noProof/>
              </w:rPr>
              <w:t xml:space="preserve">Source : A. Kayaya, Juillet 2021 </w:t>
            </w:r>
          </w:p>
        </w:tc>
        <w:tc>
          <w:tcPr>
            <w:tcW w:w="4677" w:type="dxa"/>
            <w:shd w:val="clear" w:color="auto" w:fill="auto"/>
          </w:tcPr>
          <w:p w14:paraId="6BE059E6" w14:textId="05E01E7D" w:rsidR="00775219" w:rsidRPr="00420C1B" w:rsidRDefault="002C66D7" w:rsidP="00420C1B">
            <w:pPr>
              <w:spacing w:after="0" w:line="240" w:lineRule="auto"/>
              <w:rPr>
                <w:rFonts w:ascii="Times New Roman" w:hAnsi="Times New Roman"/>
                <w:noProof/>
                <w:sz w:val="10"/>
                <w:szCs w:val="10"/>
              </w:rPr>
            </w:pPr>
            <w:r w:rsidRPr="00EC5A8E">
              <w:rPr>
                <w:noProof/>
                <w:lang w:eastAsia="fr-FR"/>
              </w:rPr>
              <w:drawing>
                <wp:inline distT="0" distB="0" distL="0" distR="0" wp14:anchorId="3EE3DE38" wp14:editId="39E0F33C">
                  <wp:extent cx="2752725" cy="2057400"/>
                  <wp:effectExtent l="0" t="0" r="9525" b="0"/>
                  <wp:docPr id="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p w14:paraId="18E5C784" w14:textId="77777777" w:rsidR="00775219" w:rsidRPr="00420C1B" w:rsidRDefault="00775219" w:rsidP="00420C1B">
            <w:pPr>
              <w:spacing w:after="0" w:line="240" w:lineRule="auto"/>
              <w:rPr>
                <w:rFonts w:ascii="Times New Roman" w:hAnsi="Times New Roman"/>
                <w:noProof/>
              </w:rPr>
            </w:pPr>
            <w:r w:rsidRPr="00420C1B">
              <w:rPr>
                <w:rFonts w:ascii="Times New Roman" w:hAnsi="Times New Roman"/>
                <w:noProof/>
              </w:rPr>
              <w:t xml:space="preserve">Source : T. NAZALI, Juillet 2021 </w:t>
            </w:r>
          </w:p>
          <w:p w14:paraId="4223C947" w14:textId="77777777" w:rsidR="00775219" w:rsidRPr="00420C1B" w:rsidRDefault="00775219" w:rsidP="00420C1B">
            <w:pPr>
              <w:spacing w:after="0" w:line="240" w:lineRule="auto"/>
              <w:rPr>
                <w:rFonts w:ascii="Times New Roman" w:hAnsi="Times New Roman"/>
                <w:noProof/>
                <w:sz w:val="10"/>
                <w:szCs w:val="10"/>
              </w:rPr>
            </w:pPr>
          </w:p>
        </w:tc>
      </w:tr>
      <w:tr w:rsidR="00D75D2E" w:rsidRPr="00420C1B" w14:paraId="55026865" w14:textId="77777777" w:rsidTr="00420C1B">
        <w:tc>
          <w:tcPr>
            <w:tcW w:w="4503" w:type="dxa"/>
            <w:shd w:val="clear" w:color="auto" w:fill="auto"/>
          </w:tcPr>
          <w:p w14:paraId="3DF04716" w14:textId="7D53EFAC" w:rsidR="00775219" w:rsidRPr="00420C1B" w:rsidRDefault="00775219" w:rsidP="00420C1B">
            <w:pPr>
              <w:tabs>
                <w:tab w:val="left" w:pos="2850"/>
              </w:tabs>
              <w:spacing w:after="0" w:line="240" w:lineRule="auto"/>
              <w:jc w:val="center"/>
              <w:rPr>
                <w:noProof/>
              </w:rPr>
            </w:pPr>
            <w:bookmarkStart w:id="782" w:name="_Toc19782211"/>
            <w:bookmarkStart w:id="783" w:name="_Toc20584555"/>
            <w:bookmarkStart w:id="784" w:name="_Toc80276800"/>
            <w:bookmarkStart w:id="785" w:name="_Toc93050584"/>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9</w:t>
            </w:r>
            <w:r w:rsidRPr="00420C1B">
              <w:rPr>
                <w:rFonts w:ascii="Times New Roman" w:hAnsi="Times New Roman"/>
              </w:rPr>
              <w:fldChar w:fldCharType="end"/>
            </w:r>
            <w:r w:rsidRPr="00420C1B">
              <w:rPr>
                <w:rFonts w:ascii="Times New Roman" w:hAnsi="Times New Roman"/>
              </w:rPr>
              <w:t xml:space="preserve"> : Consultation publique avec les personnes vivant avec un handicap à la Commune de </w:t>
            </w:r>
            <w:bookmarkEnd w:id="782"/>
            <w:bookmarkEnd w:id="783"/>
            <w:r w:rsidRPr="00420C1B">
              <w:rPr>
                <w:rFonts w:ascii="Times New Roman" w:hAnsi="Times New Roman"/>
              </w:rPr>
              <w:t>Ngaliema</w:t>
            </w:r>
            <w:bookmarkEnd w:id="784"/>
            <w:bookmarkEnd w:id="785"/>
          </w:p>
        </w:tc>
        <w:tc>
          <w:tcPr>
            <w:tcW w:w="4677" w:type="dxa"/>
            <w:shd w:val="clear" w:color="auto" w:fill="auto"/>
          </w:tcPr>
          <w:p w14:paraId="45E3F387" w14:textId="65D87BFF" w:rsidR="00775219" w:rsidRPr="00420C1B" w:rsidRDefault="00775219" w:rsidP="00420C1B">
            <w:pPr>
              <w:spacing w:after="0" w:line="240" w:lineRule="auto"/>
              <w:jc w:val="center"/>
              <w:rPr>
                <w:noProof/>
              </w:rPr>
            </w:pPr>
            <w:bookmarkStart w:id="786" w:name="_Toc80276801"/>
            <w:bookmarkStart w:id="787" w:name="_Toc93050585"/>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10</w:t>
            </w:r>
            <w:r w:rsidRPr="00420C1B">
              <w:rPr>
                <w:rFonts w:ascii="Times New Roman" w:hAnsi="Times New Roman"/>
              </w:rPr>
              <w:fldChar w:fldCharType="end"/>
            </w:r>
            <w:r w:rsidRPr="00420C1B">
              <w:rPr>
                <w:rFonts w:ascii="Times New Roman" w:hAnsi="Times New Roman"/>
              </w:rPr>
              <w:t> : Consultation publique à la Commune de Kalamu</w:t>
            </w:r>
            <w:bookmarkEnd w:id="786"/>
            <w:bookmarkEnd w:id="787"/>
          </w:p>
        </w:tc>
      </w:tr>
      <w:tr w:rsidR="00D75D2E" w:rsidRPr="00420C1B" w14:paraId="5C56A29B" w14:textId="77777777" w:rsidTr="00420C1B">
        <w:trPr>
          <w:trHeight w:val="3700"/>
        </w:trPr>
        <w:tc>
          <w:tcPr>
            <w:tcW w:w="4503" w:type="dxa"/>
            <w:shd w:val="clear" w:color="auto" w:fill="auto"/>
          </w:tcPr>
          <w:p w14:paraId="586BC92D" w14:textId="6A7286BD" w:rsidR="00775219" w:rsidRPr="00420C1B" w:rsidRDefault="002C66D7" w:rsidP="00420C1B">
            <w:pPr>
              <w:tabs>
                <w:tab w:val="left" w:pos="2850"/>
              </w:tabs>
              <w:spacing w:after="0" w:line="240" w:lineRule="auto"/>
              <w:rPr>
                <w:noProof/>
              </w:rPr>
            </w:pPr>
            <w:r w:rsidRPr="00EC5A8E">
              <w:rPr>
                <w:noProof/>
                <w:lang w:eastAsia="fr-FR"/>
              </w:rPr>
              <w:drawing>
                <wp:inline distT="0" distB="0" distL="0" distR="0" wp14:anchorId="15E666A6" wp14:editId="14BE7A9D">
                  <wp:extent cx="3019425" cy="2257425"/>
                  <wp:effectExtent l="0" t="0" r="9525" b="9525"/>
                  <wp:docPr id="2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19425" cy="2257425"/>
                          </a:xfrm>
                          <a:prstGeom prst="rect">
                            <a:avLst/>
                          </a:prstGeom>
                          <a:noFill/>
                          <a:ln>
                            <a:noFill/>
                          </a:ln>
                        </pic:spPr>
                      </pic:pic>
                    </a:graphicData>
                  </a:graphic>
                </wp:inline>
              </w:drawing>
            </w:r>
          </w:p>
          <w:p w14:paraId="3A119F10" w14:textId="77777777" w:rsidR="00775219" w:rsidRPr="00420C1B" w:rsidRDefault="00775219" w:rsidP="00420C1B">
            <w:pPr>
              <w:spacing w:after="0" w:line="240" w:lineRule="auto"/>
              <w:rPr>
                <w:noProof/>
              </w:rPr>
            </w:pPr>
            <w:r w:rsidRPr="00420C1B">
              <w:rPr>
                <w:rFonts w:ascii="Times New Roman" w:hAnsi="Times New Roman"/>
                <w:noProof/>
              </w:rPr>
              <w:t xml:space="preserve">Source : C. Tshovo, Juillet 2021 </w:t>
            </w:r>
          </w:p>
        </w:tc>
        <w:tc>
          <w:tcPr>
            <w:tcW w:w="4677" w:type="dxa"/>
            <w:shd w:val="clear" w:color="auto" w:fill="auto"/>
          </w:tcPr>
          <w:p w14:paraId="510FE8E0" w14:textId="153AB2D7" w:rsidR="00775219" w:rsidRPr="00420C1B" w:rsidRDefault="002C66D7" w:rsidP="00420C1B">
            <w:pPr>
              <w:spacing w:after="0" w:line="240" w:lineRule="auto"/>
              <w:rPr>
                <w:rFonts w:ascii="Times New Roman" w:hAnsi="Times New Roman"/>
                <w:noProof/>
              </w:rPr>
            </w:pPr>
            <w:r w:rsidRPr="00EC5A8E">
              <w:rPr>
                <w:noProof/>
                <w:lang w:eastAsia="fr-FR"/>
              </w:rPr>
              <w:drawing>
                <wp:inline distT="0" distB="0" distL="0" distR="0" wp14:anchorId="38735FE1" wp14:editId="32CD9E32">
                  <wp:extent cx="3086100" cy="2314575"/>
                  <wp:effectExtent l="0" t="0" r="0" b="9525"/>
                  <wp:docPr id="2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p>
          <w:p w14:paraId="6A65BED3" w14:textId="77777777" w:rsidR="00775219" w:rsidRPr="00420C1B" w:rsidRDefault="00775219" w:rsidP="00420C1B">
            <w:pPr>
              <w:spacing w:after="0" w:line="240" w:lineRule="auto"/>
              <w:rPr>
                <w:noProof/>
              </w:rPr>
            </w:pPr>
            <w:r w:rsidRPr="00420C1B">
              <w:rPr>
                <w:rFonts w:ascii="Times New Roman" w:hAnsi="Times New Roman"/>
                <w:noProof/>
              </w:rPr>
              <w:t xml:space="preserve">Source : A. Kayaya, Juillet 2021 </w:t>
            </w:r>
          </w:p>
        </w:tc>
      </w:tr>
      <w:tr w:rsidR="00D75D2E" w:rsidRPr="00420C1B" w14:paraId="163925CD" w14:textId="77777777" w:rsidTr="00420C1B">
        <w:tc>
          <w:tcPr>
            <w:tcW w:w="4503" w:type="dxa"/>
            <w:shd w:val="clear" w:color="auto" w:fill="auto"/>
          </w:tcPr>
          <w:p w14:paraId="02A8FB1D" w14:textId="20DBC68C" w:rsidR="00775219" w:rsidRPr="00420C1B" w:rsidRDefault="00775219" w:rsidP="00420C1B">
            <w:pPr>
              <w:tabs>
                <w:tab w:val="left" w:pos="2850"/>
              </w:tabs>
              <w:spacing w:after="0" w:line="240" w:lineRule="auto"/>
              <w:jc w:val="center"/>
              <w:rPr>
                <w:noProof/>
              </w:rPr>
            </w:pPr>
            <w:bookmarkStart w:id="788" w:name="_Toc80276802"/>
            <w:bookmarkStart w:id="789" w:name="_Toc93050586"/>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11</w:t>
            </w:r>
            <w:r w:rsidRPr="00420C1B">
              <w:rPr>
                <w:rFonts w:ascii="Times New Roman" w:hAnsi="Times New Roman"/>
              </w:rPr>
              <w:fldChar w:fldCharType="end"/>
            </w:r>
            <w:r w:rsidRPr="00420C1B">
              <w:rPr>
                <w:rFonts w:ascii="Times New Roman" w:hAnsi="Times New Roman"/>
              </w:rPr>
              <w:t> : Consultation publique à la Commune de Bandalungwa</w:t>
            </w:r>
            <w:bookmarkEnd w:id="788"/>
            <w:bookmarkEnd w:id="789"/>
          </w:p>
        </w:tc>
        <w:tc>
          <w:tcPr>
            <w:tcW w:w="4677" w:type="dxa"/>
            <w:shd w:val="clear" w:color="auto" w:fill="auto"/>
          </w:tcPr>
          <w:p w14:paraId="27B6431B" w14:textId="25DA91F3" w:rsidR="00775219" w:rsidRPr="00420C1B" w:rsidRDefault="00775219" w:rsidP="00420C1B">
            <w:pPr>
              <w:spacing w:after="0" w:line="240" w:lineRule="auto"/>
              <w:jc w:val="center"/>
              <w:rPr>
                <w:noProof/>
              </w:rPr>
            </w:pPr>
            <w:bookmarkStart w:id="790" w:name="_Toc80276803"/>
            <w:bookmarkStart w:id="791" w:name="_Toc93050587"/>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12</w:t>
            </w:r>
            <w:r w:rsidRPr="00420C1B">
              <w:rPr>
                <w:rFonts w:ascii="Times New Roman" w:hAnsi="Times New Roman"/>
              </w:rPr>
              <w:fldChar w:fldCharType="end"/>
            </w:r>
            <w:r w:rsidRPr="00420C1B">
              <w:rPr>
                <w:rFonts w:ascii="Times New Roman" w:hAnsi="Times New Roman"/>
              </w:rPr>
              <w:t> : Consultation publique à la Commune de Barumbu</w:t>
            </w:r>
            <w:bookmarkEnd w:id="790"/>
            <w:bookmarkEnd w:id="791"/>
          </w:p>
        </w:tc>
      </w:tr>
      <w:tr w:rsidR="00D75D2E" w:rsidRPr="00420C1B" w14:paraId="51D821A0" w14:textId="77777777" w:rsidTr="00420C1B">
        <w:tc>
          <w:tcPr>
            <w:tcW w:w="4503" w:type="dxa"/>
            <w:shd w:val="clear" w:color="auto" w:fill="auto"/>
          </w:tcPr>
          <w:p w14:paraId="296BDC6D" w14:textId="77777777" w:rsidR="00775219" w:rsidRPr="00420C1B" w:rsidRDefault="00775219" w:rsidP="00420C1B">
            <w:pPr>
              <w:tabs>
                <w:tab w:val="left" w:pos="2850"/>
              </w:tabs>
              <w:spacing w:after="0" w:line="240" w:lineRule="auto"/>
              <w:rPr>
                <w:noProof/>
              </w:rPr>
            </w:pPr>
          </w:p>
          <w:p w14:paraId="29F408DB" w14:textId="1D008122" w:rsidR="00775219" w:rsidRPr="00420C1B" w:rsidRDefault="002C66D7" w:rsidP="00420C1B">
            <w:pPr>
              <w:tabs>
                <w:tab w:val="left" w:pos="2850"/>
              </w:tabs>
              <w:spacing w:after="0" w:line="240" w:lineRule="auto"/>
              <w:rPr>
                <w:noProof/>
              </w:rPr>
            </w:pPr>
            <w:r w:rsidRPr="00EC5A8E">
              <w:rPr>
                <w:noProof/>
                <w:lang w:eastAsia="fr-FR"/>
              </w:rPr>
              <w:drawing>
                <wp:inline distT="0" distB="0" distL="0" distR="0" wp14:anchorId="79DC513D" wp14:editId="384A7F40">
                  <wp:extent cx="3086100" cy="1752600"/>
                  <wp:effectExtent l="0" t="0" r="0" b="0"/>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rot="10800000" flipV="1">
                            <a:off x="0" y="0"/>
                            <a:ext cx="3086100" cy="1752600"/>
                          </a:xfrm>
                          <a:prstGeom prst="rect">
                            <a:avLst/>
                          </a:prstGeom>
                          <a:noFill/>
                          <a:ln>
                            <a:noFill/>
                          </a:ln>
                        </pic:spPr>
                      </pic:pic>
                    </a:graphicData>
                  </a:graphic>
                </wp:inline>
              </w:drawing>
            </w:r>
          </w:p>
          <w:p w14:paraId="1204896F" w14:textId="77777777" w:rsidR="00775219" w:rsidRPr="00420C1B" w:rsidRDefault="00775219" w:rsidP="00420C1B">
            <w:pPr>
              <w:spacing w:after="0" w:line="240" w:lineRule="auto"/>
              <w:rPr>
                <w:noProof/>
              </w:rPr>
            </w:pPr>
            <w:r w:rsidRPr="00420C1B">
              <w:rPr>
                <w:rFonts w:ascii="Times New Roman" w:hAnsi="Times New Roman"/>
                <w:noProof/>
              </w:rPr>
              <w:t xml:space="preserve">Source : F. Wayalu, Juillet 2021 </w:t>
            </w:r>
          </w:p>
        </w:tc>
        <w:tc>
          <w:tcPr>
            <w:tcW w:w="4677" w:type="dxa"/>
            <w:shd w:val="clear" w:color="auto" w:fill="auto"/>
          </w:tcPr>
          <w:p w14:paraId="531932ED" w14:textId="48007734" w:rsidR="00775219" w:rsidRPr="00420C1B" w:rsidRDefault="002C66D7" w:rsidP="00420C1B">
            <w:pPr>
              <w:spacing w:after="0" w:line="240" w:lineRule="auto"/>
              <w:rPr>
                <w:noProof/>
              </w:rPr>
            </w:pPr>
            <w:r w:rsidRPr="00EC5A8E">
              <w:rPr>
                <w:noProof/>
                <w:lang w:eastAsia="fr-FR"/>
              </w:rPr>
              <w:drawing>
                <wp:inline distT="0" distB="0" distL="0" distR="0" wp14:anchorId="18695966" wp14:editId="67050E3F">
                  <wp:extent cx="3095625" cy="1914525"/>
                  <wp:effectExtent l="0" t="0" r="9525" b="9525"/>
                  <wp:docPr id="2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5625" cy="1914525"/>
                          </a:xfrm>
                          <a:prstGeom prst="rect">
                            <a:avLst/>
                          </a:prstGeom>
                          <a:noFill/>
                          <a:ln>
                            <a:noFill/>
                          </a:ln>
                        </pic:spPr>
                      </pic:pic>
                    </a:graphicData>
                  </a:graphic>
                </wp:inline>
              </w:drawing>
            </w:r>
          </w:p>
          <w:p w14:paraId="08C39281" w14:textId="77777777" w:rsidR="00775219" w:rsidRPr="00420C1B" w:rsidRDefault="00775219" w:rsidP="00420C1B">
            <w:pPr>
              <w:spacing w:after="0" w:line="240" w:lineRule="auto"/>
              <w:rPr>
                <w:noProof/>
              </w:rPr>
            </w:pPr>
            <w:r w:rsidRPr="00420C1B">
              <w:rPr>
                <w:rFonts w:ascii="Times New Roman" w:hAnsi="Times New Roman"/>
                <w:noProof/>
              </w:rPr>
              <w:t xml:space="preserve">Source : F. Wayalu, Juillet 2021 </w:t>
            </w:r>
          </w:p>
        </w:tc>
      </w:tr>
      <w:tr w:rsidR="00D75D2E" w:rsidRPr="00420C1B" w14:paraId="103E78BE" w14:textId="77777777" w:rsidTr="00420C1B">
        <w:tc>
          <w:tcPr>
            <w:tcW w:w="4503" w:type="dxa"/>
            <w:shd w:val="clear" w:color="auto" w:fill="auto"/>
          </w:tcPr>
          <w:p w14:paraId="6B8ECAE4" w14:textId="104B1090" w:rsidR="00775219" w:rsidRPr="00420C1B" w:rsidRDefault="00775219" w:rsidP="00420C1B">
            <w:pPr>
              <w:tabs>
                <w:tab w:val="left" w:pos="2850"/>
              </w:tabs>
              <w:spacing w:after="0" w:line="240" w:lineRule="auto"/>
              <w:rPr>
                <w:noProof/>
              </w:rPr>
            </w:pPr>
            <w:bookmarkStart w:id="792" w:name="_Toc80276804"/>
            <w:bookmarkStart w:id="793" w:name="_Toc93050588"/>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13</w:t>
            </w:r>
            <w:r w:rsidRPr="00420C1B">
              <w:rPr>
                <w:rFonts w:ascii="Times New Roman" w:hAnsi="Times New Roman"/>
              </w:rPr>
              <w:fldChar w:fldCharType="end"/>
            </w:r>
            <w:r w:rsidRPr="00420C1B">
              <w:rPr>
                <w:rFonts w:ascii="Times New Roman" w:hAnsi="Times New Roman"/>
              </w:rPr>
              <w:t> : Consultation publique à la Commune de Kitambo</w:t>
            </w:r>
            <w:bookmarkEnd w:id="792"/>
            <w:bookmarkEnd w:id="793"/>
          </w:p>
        </w:tc>
        <w:tc>
          <w:tcPr>
            <w:tcW w:w="4677" w:type="dxa"/>
            <w:shd w:val="clear" w:color="auto" w:fill="auto"/>
          </w:tcPr>
          <w:p w14:paraId="600A8FE0" w14:textId="6F4A536C" w:rsidR="00775219" w:rsidRPr="00420C1B" w:rsidRDefault="00775219" w:rsidP="00420C1B">
            <w:pPr>
              <w:spacing w:after="0" w:line="240" w:lineRule="auto"/>
              <w:rPr>
                <w:noProof/>
              </w:rPr>
            </w:pPr>
            <w:bookmarkStart w:id="794" w:name="_Toc80276805"/>
            <w:bookmarkStart w:id="795" w:name="_Toc93050589"/>
            <w:r w:rsidRPr="00420C1B">
              <w:rPr>
                <w:rFonts w:ascii="Times New Roman" w:hAnsi="Times New Roman"/>
              </w:rPr>
              <w:t xml:space="preserve">Photo </w:t>
            </w:r>
            <w:r w:rsidRPr="00420C1B">
              <w:rPr>
                <w:rFonts w:ascii="Times New Roman" w:hAnsi="Times New Roman"/>
              </w:rPr>
              <w:fldChar w:fldCharType="begin"/>
            </w:r>
            <w:r w:rsidRPr="00420C1B">
              <w:rPr>
                <w:rFonts w:ascii="Times New Roman" w:hAnsi="Times New Roman"/>
              </w:rPr>
              <w:instrText xml:space="preserve"> SEQ Photo \* ARABIC </w:instrText>
            </w:r>
            <w:r w:rsidRPr="00420C1B">
              <w:rPr>
                <w:rFonts w:ascii="Times New Roman" w:hAnsi="Times New Roman"/>
              </w:rPr>
              <w:fldChar w:fldCharType="separate"/>
            </w:r>
            <w:r w:rsidR="000F2319" w:rsidRPr="00420C1B">
              <w:rPr>
                <w:rFonts w:ascii="Times New Roman" w:hAnsi="Times New Roman"/>
                <w:noProof/>
              </w:rPr>
              <w:t>14</w:t>
            </w:r>
            <w:r w:rsidRPr="00420C1B">
              <w:rPr>
                <w:rFonts w:ascii="Times New Roman" w:hAnsi="Times New Roman"/>
              </w:rPr>
              <w:fldChar w:fldCharType="end"/>
            </w:r>
            <w:r w:rsidRPr="00420C1B">
              <w:rPr>
                <w:rFonts w:ascii="Times New Roman" w:hAnsi="Times New Roman"/>
              </w:rPr>
              <w:t> : Consultation publique à la Commune de Ngiri-Ngiri</w:t>
            </w:r>
            <w:bookmarkEnd w:id="794"/>
            <w:bookmarkEnd w:id="795"/>
          </w:p>
        </w:tc>
      </w:tr>
      <w:tr w:rsidR="008B72F2" w:rsidRPr="00420C1B" w14:paraId="5219D68B" w14:textId="77777777" w:rsidTr="00420C1B">
        <w:tc>
          <w:tcPr>
            <w:tcW w:w="4503" w:type="dxa"/>
            <w:shd w:val="clear" w:color="auto" w:fill="auto"/>
          </w:tcPr>
          <w:p w14:paraId="47AAC7DF" w14:textId="4E899A35" w:rsidR="00775219" w:rsidRPr="00420C1B" w:rsidRDefault="002C66D7" w:rsidP="00420C1B">
            <w:pPr>
              <w:tabs>
                <w:tab w:val="left" w:pos="2850"/>
              </w:tabs>
              <w:spacing w:after="0" w:line="240" w:lineRule="auto"/>
              <w:rPr>
                <w:noProof/>
              </w:rPr>
            </w:pPr>
            <w:r w:rsidRPr="00EC5A8E">
              <w:rPr>
                <w:noProof/>
                <w:lang w:eastAsia="fr-FR"/>
              </w:rPr>
              <w:drawing>
                <wp:inline distT="0" distB="0" distL="0" distR="0" wp14:anchorId="03E48265" wp14:editId="1D07C7D3">
                  <wp:extent cx="3038475" cy="1943100"/>
                  <wp:effectExtent l="0" t="0" r="9525"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38475" cy="1943100"/>
                          </a:xfrm>
                          <a:prstGeom prst="rect">
                            <a:avLst/>
                          </a:prstGeom>
                          <a:noFill/>
                          <a:ln>
                            <a:noFill/>
                          </a:ln>
                        </pic:spPr>
                      </pic:pic>
                    </a:graphicData>
                  </a:graphic>
                </wp:inline>
              </w:drawing>
            </w:r>
          </w:p>
          <w:p w14:paraId="7DC28E59" w14:textId="77777777" w:rsidR="00775219" w:rsidRPr="00420C1B" w:rsidRDefault="00775219" w:rsidP="00420C1B">
            <w:pPr>
              <w:spacing w:after="0" w:line="240" w:lineRule="auto"/>
              <w:rPr>
                <w:noProof/>
              </w:rPr>
            </w:pPr>
            <w:r w:rsidRPr="00420C1B">
              <w:rPr>
                <w:rFonts w:ascii="Times New Roman" w:hAnsi="Times New Roman"/>
                <w:noProof/>
              </w:rPr>
              <w:t xml:space="preserve">Source : F. Wayalu, Juillet 2021 </w:t>
            </w:r>
          </w:p>
        </w:tc>
        <w:tc>
          <w:tcPr>
            <w:tcW w:w="4677" w:type="dxa"/>
            <w:shd w:val="clear" w:color="auto" w:fill="auto"/>
          </w:tcPr>
          <w:p w14:paraId="2BDBF275" w14:textId="7029FF26" w:rsidR="00775219" w:rsidRPr="00420C1B" w:rsidRDefault="002C66D7" w:rsidP="00420C1B">
            <w:pPr>
              <w:spacing w:after="0" w:line="240" w:lineRule="auto"/>
              <w:rPr>
                <w:noProof/>
              </w:rPr>
            </w:pPr>
            <w:r w:rsidRPr="00EC5A8E">
              <w:rPr>
                <w:noProof/>
                <w:lang w:eastAsia="fr-FR"/>
              </w:rPr>
              <w:drawing>
                <wp:inline distT="0" distB="0" distL="0" distR="0" wp14:anchorId="0B62BF7E" wp14:editId="6FECF2C2">
                  <wp:extent cx="3086100" cy="19431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86100" cy="1943100"/>
                          </a:xfrm>
                          <a:prstGeom prst="rect">
                            <a:avLst/>
                          </a:prstGeom>
                          <a:noFill/>
                          <a:ln>
                            <a:noFill/>
                          </a:ln>
                        </pic:spPr>
                      </pic:pic>
                    </a:graphicData>
                  </a:graphic>
                </wp:inline>
              </w:drawing>
            </w:r>
          </w:p>
          <w:p w14:paraId="2FF12B60" w14:textId="77777777" w:rsidR="00775219" w:rsidRPr="00420C1B" w:rsidRDefault="00775219" w:rsidP="00420C1B">
            <w:pPr>
              <w:spacing w:after="0" w:line="240" w:lineRule="auto"/>
              <w:rPr>
                <w:rFonts w:ascii="Times New Roman" w:hAnsi="Times New Roman"/>
                <w:noProof/>
              </w:rPr>
            </w:pPr>
            <w:r w:rsidRPr="00420C1B">
              <w:rPr>
                <w:rFonts w:ascii="Times New Roman" w:hAnsi="Times New Roman"/>
                <w:noProof/>
              </w:rPr>
              <w:t xml:space="preserve">Source : P Makuba, Juillet 2021 </w:t>
            </w:r>
          </w:p>
        </w:tc>
      </w:tr>
    </w:tbl>
    <w:p w14:paraId="44487613" w14:textId="77777777" w:rsidR="00DA5C61" w:rsidRPr="00D75D2E" w:rsidRDefault="00DA5C61" w:rsidP="001E33AE">
      <w:pPr>
        <w:pStyle w:val="Normal0"/>
      </w:pPr>
      <w:bookmarkStart w:id="796" w:name="_Toc425004216"/>
      <w:bookmarkStart w:id="797" w:name="_Toc418783815"/>
      <w:bookmarkStart w:id="798" w:name="_Toc455230124"/>
      <w:bookmarkStart w:id="799" w:name="_Toc489289801"/>
      <w:bookmarkStart w:id="800" w:name="_Toc28552821"/>
      <w:bookmarkStart w:id="801" w:name="_Toc80277151"/>
    </w:p>
    <w:p w14:paraId="2AE6A01A" w14:textId="77777777" w:rsidR="00DA5C61" w:rsidRPr="00D75D2E" w:rsidRDefault="00DA5C61">
      <w:pPr>
        <w:rPr>
          <w:rFonts w:ascii="Times New Roman" w:hAnsi="Times New Roman" w:cs="Calibri"/>
          <w:b/>
          <w:bCs/>
          <w:sz w:val="24"/>
          <w:szCs w:val="24"/>
          <w:lang w:eastAsia="fr-FR"/>
        </w:rPr>
      </w:pPr>
      <w:r w:rsidRPr="00D75D2E">
        <w:br w:type="page"/>
      </w:r>
    </w:p>
    <w:p w14:paraId="6C98E02E" w14:textId="77777777" w:rsidR="00244161" w:rsidRPr="00215867" w:rsidRDefault="00244161" w:rsidP="00215867">
      <w:pPr>
        <w:pStyle w:val="Titre31"/>
        <w:numPr>
          <w:ilvl w:val="2"/>
          <w:numId w:val="54"/>
        </w:numPr>
        <w:tabs>
          <w:tab w:val="left" w:pos="993"/>
        </w:tabs>
        <w:spacing w:before="120" w:after="120" w:line="20" w:lineRule="atLeast"/>
        <w:ind w:left="993" w:hanging="709"/>
        <w:rPr>
          <w:rFonts w:eastAsia="Calibri"/>
          <w:b w:val="0"/>
          <w:i/>
        </w:rPr>
      </w:pPr>
      <w:bookmarkStart w:id="802" w:name="_Toc103685722"/>
      <w:r w:rsidRPr="00215867">
        <w:rPr>
          <w:rFonts w:eastAsia="Calibri"/>
          <w:i/>
          <w:u w:val="none"/>
        </w:rPr>
        <w:t>Avis général sur le projet</w:t>
      </w:r>
      <w:bookmarkEnd w:id="796"/>
      <w:bookmarkEnd w:id="797"/>
      <w:bookmarkEnd w:id="798"/>
      <w:bookmarkEnd w:id="799"/>
      <w:bookmarkEnd w:id="800"/>
      <w:bookmarkEnd w:id="801"/>
      <w:bookmarkEnd w:id="802"/>
      <w:r w:rsidRPr="00215867">
        <w:rPr>
          <w:rFonts w:eastAsia="Calibri"/>
          <w:i/>
          <w:u w:val="none"/>
        </w:rPr>
        <w:t> </w:t>
      </w:r>
    </w:p>
    <w:p w14:paraId="3FDD43A4" w14:textId="77777777" w:rsidR="00244161" w:rsidRPr="00D75D2E" w:rsidRDefault="00244161"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Dans l’ensemble le projet est très bien apprécié par les différents acteurs rencontrés lors des consultations publiques. Tous les acteurs s’accordent pour dire que le projet est le bienvenu car il est attendu depuis très longtemps et contribuera énormément à l’amélioration des conditions de vie des populations à travers :</w:t>
      </w:r>
    </w:p>
    <w:p w14:paraId="2678B908"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la diminution des délestages ;</w:t>
      </w:r>
    </w:p>
    <w:p w14:paraId="005F2234"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la diminution des électrocutions/électrisations ;</w:t>
      </w:r>
    </w:p>
    <w:p w14:paraId="5CAFE481"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le développement des activités socio-économiques ;</w:t>
      </w:r>
    </w:p>
    <w:p w14:paraId="62DE0ADF"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la création d’emploi par l’emploi de la main d’œuvre locale par les entreprises des travaux ;</w:t>
      </w:r>
    </w:p>
    <w:p w14:paraId="7B53E559"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l’augmentation des recettes pour la SNEL et l’Etat ;</w:t>
      </w:r>
    </w:p>
    <w:p w14:paraId="5C928D74" w14:textId="77777777" w:rsidR="00244161" w:rsidRPr="00D75D2E" w:rsidRDefault="00244161" w:rsidP="008C79F0">
      <w:pPr>
        <w:pStyle w:val="Paragraphedeliste"/>
        <w:numPr>
          <w:ilvl w:val="0"/>
          <w:numId w:val="171"/>
        </w:numPr>
        <w:spacing w:after="0" w:line="240" w:lineRule="auto"/>
        <w:jc w:val="both"/>
        <w:rPr>
          <w:rFonts w:ascii="Times New Roman" w:hAnsi="Times New Roman"/>
          <w:sz w:val="24"/>
          <w:szCs w:val="24"/>
        </w:rPr>
      </w:pPr>
      <w:r w:rsidRPr="00D75D2E">
        <w:rPr>
          <w:rFonts w:ascii="Times New Roman" w:hAnsi="Times New Roman"/>
          <w:sz w:val="24"/>
          <w:szCs w:val="24"/>
        </w:rPr>
        <w:t>l’amélioration des conditions sécuritaires pour la population au niveau des poches noires et de l’éclairage des voies publiques, etc.</w:t>
      </w:r>
    </w:p>
    <w:p w14:paraId="7D497A5F" w14:textId="3F6077F8" w:rsidR="00BD5B4B" w:rsidRDefault="00BD5B4B" w:rsidP="00E737B4">
      <w:pPr>
        <w:spacing w:before="120" w:after="120" w:line="240" w:lineRule="auto"/>
        <w:jc w:val="both"/>
        <w:rPr>
          <w:rFonts w:ascii="Times New Roman" w:hAnsi="Times New Roman"/>
          <w:sz w:val="24"/>
          <w:szCs w:val="24"/>
        </w:rPr>
      </w:pPr>
      <w:bookmarkStart w:id="803" w:name="_Toc425004217"/>
      <w:bookmarkStart w:id="804" w:name="_Toc418783816"/>
      <w:bookmarkStart w:id="805" w:name="_Toc425004248"/>
      <w:bookmarkEnd w:id="803"/>
      <w:bookmarkEnd w:id="804"/>
      <w:r>
        <w:rPr>
          <w:rFonts w:ascii="Times New Roman" w:hAnsi="Times New Roman"/>
          <w:sz w:val="24"/>
          <w:szCs w:val="24"/>
        </w:rPr>
        <w:t xml:space="preserve">Le tableau </w:t>
      </w:r>
      <w:r w:rsidR="006B7136">
        <w:rPr>
          <w:rFonts w:ascii="Times New Roman" w:hAnsi="Times New Roman"/>
          <w:sz w:val="24"/>
          <w:szCs w:val="24"/>
        </w:rPr>
        <w:t xml:space="preserve">48 </w:t>
      </w:r>
      <w:r>
        <w:rPr>
          <w:rFonts w:ascii="Times New Roman" w:hAnsi="Times New Roman"/>
          <w:sz w:val="24"/>
          <w:szCs w:val="24"/>
        </w:rPr>
        <w:t>donne le calendrier de  consultation des parties prenantes.</w:t>
      </w:r>
    </w:p>
    <w:p w14:paraId="06E8898C" w14:textId="77777777" w:rsidR="00E300EB" w:rsidRPr="00D75D2E" w:rsidRDefault="00E300EB" w:rsidP="00244161">
      <w:pPr>
        <w:spacing w:after="0" w:line="240" w:lineRule="auto"/>
        <w:contextualSpacing/>
        <w:jc w:val="both"/>
        <w:rPr>
          <w:rFonts w:ascii="Times New Roman" w:hAnsi="Times New Roman"/>
          <w:sz w:val="24"/>
          <w:szCs w:val="24"/>
        </w:rPr>
        <w:sectPr w:rsidR="00E300EB" w:rsidRPr="00D75D2E" w:rsidSect="0062151B">
          <w:pgSz w:w="11906" w:h="16838"/>
          <w:pgMar w:top="1440" w:right="1440" w:bottom="1440" w:left="1440" w:header="709" w:footer="709" w:gutter="0"/>
          <w:cols w:space="708"/>
          <w:docGrid w:linePitch="360"/>
        </w:sectPr>
      </w:pPr>
    </w:p>
    <w:p w14:paraId="21F17D3A" w14:textId="36539651" w:rsidR="00244161" w:rsidRPr="00D75D2E" w:rsidRDefault="00244161" w:rsidP="00244161">
      <w:pPr>
        <w:pStyle w:val="Lgende"/>
        <w:spacing w:after="0"/>
        <w:ind w:right="142"/>
        <w:jc w:val="both"/>
        <w:rPr>
          <w:color w:val="auto"/>
          <w:sz w:val="24"/>
          <w:szCs w:val="24"/>
        </w:rPr>
      </w:pPr>
      <w:bookmarkStart w:id="806" w:name="_Toc80270257"/>
      <w:bookmarkStart w:id="807" w:name="_Toc93050317"/>
      <w:r w:rsidRPr="00D75D2E">
        <w:rPr>
          <w:color w:val="auto"/>
          <w:sz w:val="24"/>
          <w:szCs w:val="24"/>
        </w:rPr>
        <w:t xml:space="preserve">Tableau </w:t>
      </w:r>
      <w:r w:rsidRPr="00D75D2E">
        <w:rPr>
          <w:color w:val="auto"/>
          <w:sz w:val="24"/>
          <w:szCs w:val="24"/>
        </w:rPr>
        <w:fldChar w:fldCharType="begin"/>
      </w:r>
      <w:r w:rsidRPr="00D75D2E">
        <w:rPr>
          <w:color w:val="auto"/>
          <w:sz w:val="24"/>
          <w:szCs w:val="24"/>
        </w:rPr>
        <w:instrText xml:space="preserve"> SEQ Tableau \* ARABIC </w:instrText>
      </w:r>
      <w:r w:rsidRPr="00D75D2E">
        <w:rPr>
          <w:color w:val="auto"/>
          <w:sz w:val="24"/>
          <w:szCs w:val="24"/>
        </w:rPr>
        <w:fldChar w:fldCharType="separate"/>
      </w:r>
      <w:r w:rsidR="00A86929">
        <w:rPr>
          <w:noProof/>
          <w:color w:val="auto"/>
          <w:sz w:val="24"/>
          <w:szCs w:val="24"/>
        </w:rPr>
        <w:t>55</w:t>
      </w:r>
      <w:r w:rsidRPr="00D75D2E">
        <w:rPr>
          <w:noProof/>
          <w:color w:val="auto"/>
          <w:sz w:val="24"/>
          <w:szCs w:val="24"/>
        </w:rPr>
        <w:fldChar w:fldCharType="end"/>
      </w:r>
      <w:r w:rsidRPr="00D75D2E">
        <w:rPr>
          <w:color w:val="auto"/>
          <w:sz w:val="24"/>
          <w:szCs w:val="24"/>
        </w:rPr>
        <w:t> : Calendrier des consultations publiques</w:t>
      </w:r>
      <w:bookmarkEnd w:id="806"/>
      <w:bookmarkEnd w:id="807"/>
    </w:p>
    <w:tbl>
      <w:tblPr>
        <w:tblW w:w="14601"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7"/>
        <w:gridCol w:w="1560"/>
        <w:gridCol w:w="4394"/>
        <w:gridCol w:w="853"/>
        <w:gridCol w:w="993"/>
        <w:gridCol w:w="850"/>
        <w:gridCol w:w="851"/>
        <w:gridCol w:w="992"/>
        <w:gridCol w:w="850"/>
        <w:gridCol w:w="1134"/>
      </w:tblGrid>
      <w:tr w:rsidR="002C66D7" w:rsidRPr="00420C1B" w14:paraId="38B1C134" w14:textId="77777777" w:rsidTr="00420C1B">
        <w:trPr>
          <w:tblHeader/>
        </w:trPr>
        <w:tc>
          <w:tcPr>
            <w:tcW w:w="567" w:type="dxa"/>
            <w:vMerge w:val="restart"/>
            <w:shd w:val="clear" w:color="auto" w:fill="92D050"/>
            <w:vAlign w:val="center"/>
          </w:tcPr>
          <w:p w14:paraId="485DEAD8" w14:textId="77777777" w:rsidR="00244161" w:rsidRPr="00420C1B" w:rsidRDefault="00244161" w:rsidP="00420C1B">
            <w:pPr>
              <w:spacing w:after="0" w:line="240" w:lineRule="auto"/>
              <w:jc w:val="center"/>
              <w:rPr>
                <w:rFonts w:ascii="Times New Roman" w:hAnsi="Times New Roman"/>
                <w:b/>
                <w:sz w:val="20"/>
                <w:szCs w:val="20"/>
              </w:rPr>
            </w:pPr>
            <w:r w:rsidRPr="00420C1B">
              <w:rPr>
                <w:rFonts w:ascii="Times New Roman" w:hAnsi="Times New Roman"/>
                <w:b/>
                <w:sz w:val="20"/>
                <w:szCs w:val="20"/>
              </w:rPr>
              <w:t>N°</w:t>
            </w:r>
          </w:p>
        </w:tc>
        <w:tc>
          <w:tcPr>
            <w:tcW w:w="1557" w:type="dxa"/>
            <w:vMerge w:val="restart"/>
            <w:shd w:val="clear" w:color="auto" w:fill="92D050"/>
            <w:vAlign w:val="center"/>
          </w:tcPr>
          <w:p w14:paraId="560732F7" w14:textId="77777777" w:rsidR="00244161" w:rsidRPr="00420C1B" w:rsidRDefault="00244161" w:rsidP="00420C1B">
            <w:pPr>
              <w:spacing w:after="0" w:line="240" w:lineRule="auto"/>
              <w:jc w:val="center"/>
              <w:rPr>
                <w:rFonts w:ascii="Times New Roman" w:hAnsi="Times New Roman"/>
                <w:b/>
                <w:sz w:val="20"/>
                <w:szCs w:val="20"/>
              </w:rPr>
            </w:pPr>
            <w:r w:rsidRPr="00420C1B">
              <w:rPr>
                <w:rFonts w:ascii="Times New Roman" w:hAnsi="Times New Roman"/>
                <w:b/>
                <w:sz w:val="20"/>
                <w:szCs w:val="20"/>
              </w:rPr>
              <w:t>Communes</w:t>
            </w:r>
          </w:p>
        </w:tc>
        <w:tc>
          <w:tcPr>
            <w:tcW w:w="1560" w:type="dxa"/>
            <w:vMerge w:val="restart"/>
            <w:shd w:val="clear" w:color="auto" w:fill="92D050"/>
            <w:vAlign w:val="center"/>
          </w:tcPr>
          <w:p w14:paraId="6D3B070B" w14:textId="77777777" w:rsidR="00244161" w:rsidRPr="00420C1B" w:rsidRDefault="00244161" w:rsidP="00420C1B">
            <w:pPr>
              <w:spacing w:after="0" w:line="240" w:lineRule="auto"/>
              <w:jc w:val="center"/>
              <w:rPr>
                <w:rFonts w:ascii="Times New Roman" w:hAnsi="Times New Roman"/>
                <w:b/>
                <w:sz w:val="20"/>
                <w:szCs w:val="20"/>
              </w:rPr>
            </w:pPr>
            <w:r w:rsidRPr="00420C1B">
              <w:rPr>
                <w:rFonts w:ascii="Times New Roman" w:hAnsi="Times New Roman"/>
                <w:b/>
                <w:sz w:val="20"/>
                <w:szCs w:val="20"/>
              </w:rPr>
              <w:t>Dates</w:t>
            </w:r>
          </w:p>
        </w:tc>
        <w:tc>
          <w:tcPr>
            <w:tcW w:w="4394" w:type="dxa"/>
            <w:vMerge w:val="restart"/>
            <w:shd w:val="clear" w:color="auto" w:fill="92D050"/>
            <w:vAlign w:val="center"/>
          </w:tcPr>
          <w:p w14:paraId="0C8A1E9F" w14:textId="77777777" w:rsidR="00244161" w:rsidRPr="00420C1B" w:rsidRDefault="00244161" w:rsidP="00420C1B">
            <w:pPr>
              <w:spacing w:after="0" w:line="240" w:lineRule="auto"/>
              <w:jc w:val="center"/>
              <w:rPr>
                <w:rFonts w:ascii="Times New Roman" w:hAnsi="Times New Roman"/>
                <w:b/>
                <w:sz w:val="20"/>
                <w:szCs w:val="20"/>
              </w:rPr>
            </w:pPr>
            <w:r w:rsidRPr="00420C1B">
              <w:rPr>
                <w:rFonts w:ascii="Times New Roman" w:hAnsi="Times New Roman"/>
                <w:b/>
                <w:sz w:val="20"/>
                <w:szCs w:val="20"/>
              </w:rPr>
              <w:t>Focus groupes</w:t>
            </w:r>
          </w:p>
        </w:tc>
        <w:tc>
          <w:tcPr>
            <w:tcW w:w="5389" w:type="dxa"/>
            <w:gridSpan w:val="6"/>
            <w:shd w:val="clear" w:color="auto" w:fill="92D050"/>
          </w:tcPr>
          <w:p w14:paraId="29C56359"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                     Nombre des participants par sexe et âges</w:t>
            </w:r>
          </w:p>
        </w:tc>
        <w:tc>
          <w:tcPr>
            <w:tcW w:w="1134" w:type="dxa"/>
            <w:vMerge w:val="restart"/>
            <w:shd w:val="clear" w:color="auto" w:fill="92D050"/>
          </w:tcPr>
          <w:p w14:paraId="14811FE8" w14:textId="77777777" w:rsidR="00244161" w:rsidRPr="00420C1B" w:rsidRDefault="00244161" w:rsidP="00420C1B">
            <w:pPr>
              <w:spacing w:after="0" w:line="240" w:lineRule="auto"/>
              <w:ind w:right="317"/>
              <w:jc w:val="both"/>
              <w:rPr>
                <w:rFonts w:ascii="Times New Roman" w:hAnsi="Times New Roman"/>
                <w:b/>
                <w:sz w:val="20"/>
                <w:szCs w:val="20"/>
              </w:rPr>
            </w:pPr>
            <w:r w:rsidRPr="00420C1B">
              <w:rPr>
                <w:rFonts w:ascii="Times New Roman" w:hAnsi="Times New Roman"/>
                <w:b/>
                <w:sz w:val="20"/>
                <w:szCs w:val="20"/>
              </w:rPr>
              <w:t>Sous total 1</w:t>
            </w:r>
          </w:p>
        </w:tc>
      </w:tr>
      <w:tr w:rsidR="002C66D7" w:rsidRPr="00420C1B" w14:paraId="29586B40" w14:textId="77777777" w:rsidTr="00420C1B">
        <w:trPr>
          <w:trHeight w:val="268"/>
          <w:tblHeader/>
        </w:trPr>
        <w:tc>
          <w:tcPr>
            <w:tcW w:w="567" w:type="dxa"/>
            <w:vMerge/>
            <w:shd w:val="clear" w:color="auto" w:fill="auto"/>
          </w:tcPr>
          <w:p w14:paraId="164DAB07" w14:textId="77777777" w:rsidR="00244161" w:rsidRPr="00420C1B" w:rsidRDefault="00244161" w:rsidP="00420C1B">
            <w:pPr>
              <w:spacing w:after="0" w:line="240" w:lineRule="auto"/>
              <w:jc w:val="both"/>
              <w:rPr>
                <w:rFonts w:ascii="Times New Roman" w:hAnsi="Times New Roman"/>
                <w:sz w:val="20"/>
                <w:szCs w:val="20"/>
              </w:rPr>
            </w:pPr>
          </w:p>
        </w:tc>
        <w:tc>
          <w:tcPr>
            <w:tcW w:w="1557" w:type="dxa"/>
            <w:vMerge/>
            <w:shd w:val="clear" w:color="auto" w:fill="auto"/>
          </w:tcPr>
          <w:p w14:paraId="3CA6FBCB" w14:textId="77777777" w:rsidR="00244161" w:rsidRPr="00420C1B" w:rsidRDefault="00244161" w:rsidP="00420C1B">
            <w:pPr>
              <w:spacing w:after="0" w:line="240" w:lineRule="auto"/>
              <w:jc w:val="both"/>
              <w:rPr>
                <w:rFonts w:ascii="Times New Roman" w:hAnsi="Times New Roman"/>
                <w:sz w:val="20"/>
                <w:szCs w:val="20"/>
              </w:rPr>
            </w:pPr>
          </w:p>
        </w:tc>
        <w:tc>
          <w:tcPr>
            <w:tcW w:w="1560" w:type="dxa"/>
            <w:vMerge/>
            <w:shd w:val="clear" w:color="auto" w:fill="auto"/>
          </w:tcPr>
          <w:p w14:paraId="6D1662D3" w14:textId="77777777" w:rsidR="00244161" w:rsidRPr="00420C1B" w:rsidRDefault="00244161" w:rsidP="00420C1B">
            <w:pPr>
              <w:spacing w:after="0" w:line="240" w:lineRule="auto"/>
              <w:jc w:val="both"/>
              <w:rPr>
                <w:rFonts w:ascii="Times New Roman" w:hAnsi="Times New Roman"/>
                <w:sz w:val="20"/>
                <w:szCs w:val="20"/>
              </w:rPr>
            </w:pPr>
          </w:p>
        </w:tc>
        <w:tc>
          <w:tcPr>
            <w:tcW w:w="4394" w:type="dxa"/>
            <w:vMerge/>
            <w:shd w:val="clear" w:color="auto" w:fill="auto"/>
          </w:tcPr>
          <w:p w14:paraId="0EDA2ED1" w14:textId="77777777" w:rsidR="00244161" w:rsidRPr="00420C1B" w:rsidRDefault="00244161" w:rsidP="00420C1B">
            <w:pPr>
              <w:spacing w:after="0" w:line="240" w:lineRule="auto"/>
              <w:jc w:val="both"/>
              <w:rPr>
                <w:rFonts w:ascii="Times New Roman" w:hAnsi="Times New Roman"/>
                <w:sz w:val="20"/>
                <w:szCs w:val="20"/>
              </w:rPr>
            </w:pPr>
          </w:p>
        </w:tc>
        <w:tc>
          <w:tcPr>
            <w:tcW w:w="2696" w:type="dxa"/>
            <w:gridSpan w:val="3"/>
            <w:shd w:val="clear" w:color="auto" w:fill="92D050"/>
          </w:tcPr>
          <w:p w14:paraId="6342CCA2"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              Féminin </w:t>
            </w:r>
          </w:p>
        </w:tc>
        <w:tc>
          <w:tcPr>
            <w:tcW w:w="2693" w:type="dxa"/>
            <w:gridSpan w:val="3"/>
            <w:shd w:val="clear" w:color="auto" w:fill="92D050"/>
          </w:tcPr>
          <w:p w14:paraId="14B15259"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               Masculin</w:t>
            </w:r>
          </w:p>
        </w:tc>
        <w:tc>
          <w:tcPr>
            <w:tcW w:w="1134" w:type="dxa"/>
            <w:vMerge/>
            <w:shd w:val="clear" w:color="auto" w:fill="auto"/>
          </w:tcPr>
          <w:p w14:paraId="71B0DE98" w14:textId="77777777" w:rsidR="00244161" w:rsidRPr="00420C1B" w:rsidRDefault="00244161" w:rsidP="00420C1B">
            <w:pPr>
              <w:spacing w:after="0" w:line="240" w:lineRule="auto"/>
              <w:jc w:val="both"/>
              <w:rPr>
                <w:rFonts w:ascii="Times New Roman" w:hAnsi="Times New Roman"/>
                <w:sz w:val="20"/>
                <w:szCs w:val="20"/>
              </w:rPr>
            </w:pPr>
          </w:p>
        </w:tc>
      </w:tr>
      <w:tr w:rsidR="002C66D7" w:rsidRPr="00420C1B" w14:paraId="4DDF9427" w14:textId="77777777" w:rsidTr="00420C1B">
        <w:trPr>
          <w:trHeight w:val="273"/>
          <w:tblHeader/>
        </w:trPr>
        <w:tc>
          <w:tcPr>
            <w:tcW w:w="567" w:type="dxa"/>
            <w:vMerge/>
            <w:tcBorders>
              <w:bottom w:val="single" w:sz="4" w:space="0" w:color="auto"/>
            </w:tcBorders>
            <w:shd w:val="clear" w:color="auto" w:fill="auto"/>
          </w:tcPr>
          <w:p w14:paraId="40173DCF" w14:textId="77777777" w:rsidR="00244161" w:rsidRPr="00420C1B" w:rsidRDefault="00244161" w:rsidP="00420C1B">
            <w:pPr>
              <w:spacing w:after="0" w:line="240" w:lineRule="auto"/>
              <w:jc w:val="both"/>
              <w:rPr>
                <w:rFonts w:ascii="Times New Roman" w:hAnsi="Times New Roman"/>
                <w:sz w:val="20"/>
                <w:szCs w:val="20"/>
              </w:rPr>
            </w:pPr>
          </w:p>
        </w:tc>
        <w:tc>
          <w:tcPr>
            <w:tcW w:w="1557" w:type="dxa"/>
            <w:vMerge/>
            <w:shd w:val="clear" w:color="auto" w:fill="auto"/>
          </w:tcPr>
          <w:p w14:paraId="56AAF395" w14:textId="77777777" w:rsidR="00244161" w:rsidRPr="00420C1B" w:rsidRDefault="00244161" w:rsidP="00420C1B">
            <w:pPr>
              <w:spacing w:after="0" w:line="240" w:lineRule="auto"/>
              <w:jc w:val="both"/>
              <w:rPr>
                <w:rFonts w:ascii="Times New Roman" w:hAnsi="Times New Roman"/>
                <w:sz w:val="20"/>
                <w:szCs w:val="20"/>
              </w:rPr>
            </w:pPr>
          </w:p>
        </w:tc>
        <w:tc>
          <w:tcPr>
            <w:tcW w:w="1560" w:type="dxa"/>
            <w:vMerge/>
            <w:shd w:val="clear" w:color="auto" w:fill="auto"/>
          </w:tcPr>
          <w:p w14:paraId="774F7C9C" w14:textId="77777777" w:rsidR="00244161" w:rsidRPr="00420C1B" w:rsidRDefault="00244161" w:rsidP="00420C1B">
            <w:pPr>
              <w:spacing w:after="0" w:line="240" w:lineRule="auto"/>
              <w:jc w:val="both"/>
              <w:rPr>
                <w:rFonts w:ascii="Times New Roman" w:hAnsi="Times New Roman"/>
                <w:sz w:val="20"/>
                <w:szCs w:val="20"/>
              </w:rPr>
            </w:pPr>
          </w:p>
        </w:tc>
        <w:tc>
          <w:tcPr>
            <w:tcW w:w="4394" w:type="dxa"/>
            <w:vMerge/>
            <w:shd w:val="clear" w:color="auto" w:fill="auto"/>
          </w:tcPr>
          <w:p w14:paraId="3F6C5293" w14:textId="77777777" w:rsidR="00244161" w:rsidRPr="00420C1B" w:rsidRDefault="00244161" w:rsidP="00420C1B">
            <w:pPr>
              <w:spacing w:after="0" w:line="240" w:lineRule="auto"/>
              <w:jc w:val="both"/>
              <w:rPr>
                <w:rFonts w:ascii="Times New Roman" w:hAnsi="Times New Roman"/>
                <w:sz w:val="20"/>
                <w:szCs w:val="20"/>
              </w:rPr>
            </w:pPr>
          </w:p>
        </w:tc>
        <w:tc>
          <w:tcPr>
            <w:tcW w:w="853" w:type="dxa"/>
            <w:shd w:val="clear" w:color="auto" w:fill="92D050"/>
          </w:tcPr>
          <w:p w14:paraId="39A8AC71"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&lt; à 18 ans</w:t>
            </w:r>
          </w:p>
        </w:tc>
        <w:tc>
          <w:tcPr>
            <w:tcW w:w="993" w:type="dxa"/>
            <w:shd w:val="clear" w:color="auto" w:fill="92D050"/>
          </w:tcPr>
          <w:p w14:paraId="16EC3921"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De 18 à 35 ans</w:t>
            </w:r>
          </w:p>
        </w:tc>
        <w:tc>
          <w:tcPr>
            <w:tcW w:w="850" w:type="dxa"/>
            <w:shd w:val="clear" w:color="auto" w:fill="92D050"/>
          </w:tcPr>
          <w:p w14:paraId="7F5864CD"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&gt; à 35 ans</w:t>
            </w:r>
          </w:p>
        </w:tc>
        <w:tc>
          <w:tcPr>
            <w:tcW w:w="851" w:type="dxa"/>
            <w:shd w:val="clear" w:color="auto" w:fill="92D050"/>
          </w:tcPr>
          <w:p w14:paraId="7D20070D"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&lt; à 18 ans</w:t>
            </w:r>
          </w:p>
        </w:tc>
        <w:tc>
          <w:tcPr>
            <w:tcW w:w="992" w:type="dxa"/>
            <w:shd w:val="clear" w:color="auto" w:fill="92D050"/>
          </w:tcPr>
          <w:p w14:paraId="50BB8438"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De 18 à 35 ans</w:t>
            </w:r>
          </w:p>
        </w:tc>
        <w:tc>
          <w:tcPr>
            <w:tcW w:w="850" w:type="dxa"/>
            <w:shd w:val="clear" w:color="auto" w:fill="92D050"/>
          </w:tcPr>
          <w:p w14:paraId="44CC33FB"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&gt; à 35 ans</w:t>
            </w:r>
          </w:p>
        </w:tc>
        <w:tc>
          <w:tcPr>
            <w:tcW w:w="1134" w:type="dxa"/>
            <w:vMerge/>
            <w:shd w:val="clear" w:color="auto" w:fill="auto"/>
          </w:tcPr>
          <w:p w14:paraId="68F303A4" w14:textId="77777777" w:rsidR="00244161" w:rsidRPr="00420C1B" w:rsidRDefault="00244161" w:rsidP="00420C1B">
            <w:pPr>
              <w:spacing w:after="0" w:line="240" w:lineRule="auto"/>
              <w:jc w:val="both"/>
              <w:rPr>
                <w:rFonts w:ascii="Times New Roman" w:hAnsi="Times New Roman"/>
                <w:sz w:val="20"/>
                <w:szCs w:val="20"/>
              </w:rPr>
            </w:pPr>
          </w:p>
        </w:tc>
      </w:tr>
      <w:tr w:rsidR="002C66D7" w:rsidRPr="00420C1B" w14:paraId="7998A87B" w14:textId="77777777" w:rsidTr="00420C1B">
        <w:tc>
          <w:tcPr>
            <w:tcW w:w="567" w:type="dxa"/>
            <w:vMerge w:val="restart"/>
            <w:shd w:val="clear" w:color="auto" w:fill="auto"/>
            <w:vAlign w:val="center"/>
          </w:tcPr>
          <w:p w14:paraId="15437363" w14:textId="77777777" w:rsidR="00EE6526" w:rsidRPr="00420C1B" w:rsidRDefault="00EE6526" w:rsidP="00420C1B">
            <w:pPr>
              <w:spacing w:after="0" w:line="240" w:lineRule="auto"/>
              <w:rPr>
                <w:rFonts w:ascii="Times New Roman" w:hAnsi="Times New Roman"/>
                <w:b/>
                <w:sz w:val="20"/>
                <w:szCs w:val="20"/>
              </w:rPr>
            </w:pPr>
            <w:r w:rsidRPr="00420C1B">
              <w:rPr>
                <w:rFonts w:ascii="Times New Roman" w:hAnsi="Times New Roman"/>
                <w:b/>
                <w:sz w:val="20"/>
                <w:szCs w:val="20"/>
              </w:rPr>
              <w:t>1</w:t>
            </w:r>
          </w:p>
        </w:tc>
        <w:tc>
          <w:tcPr>
            <w:tcW w:w="1557" w:type="dxa"/>
            <w:vMerge w:val="restart"/>
            <w:shd w:val="clear" w:color="auto" w:fill="auto"/>
            <w:vAlign w:val="center"/>
          </w:tcPr>
          <w:p w14:paraId="57AE60EC"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Mont Ngafula</w:t>
            </w:r>
          </w:p>
        </w:tc>
        <w:tc>
          <w:tcPr>
            <w:tcW w:w="1560" w:type="dxa"/>
            <w:shd w:val="clear" w:color="auto" w:fill="auto"/>
            <w:vAlign w:val="center"/>
          </w:tcPr>
          <w:p w14:paraId="57C93445"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17 juin 2021</w:t>
            </w:r>
          </w:p>
        </w:tc>
        <w:tc>
          <w:tcPr>
            <w:tcW w:w="4394" w:type="dxa"/>
            <w:shd w:val="clear" w:color="auto" w:fill="auto"/>
            <w:vAlign w:val="center"/>
          </w:tcPr>
          <w:p w14:paraId="5CE7228A"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Services techniques et les chefs de quartiers</w:t>
            </w:r>
          </w:p>
        </w:tc>
        <w:tc>
          <w:tcPr>
            <w:tcW w:w="853" w:type="dxa"/>
            <w:shd w:val="clear" w:color="auto" w:fill="auto"/>
            <w:vAlign w:val="center"/>
          </w:tcPr>
          <w:p w14:paraId="2A25026B"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68DA8721"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227EE90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1" w:type="dxa"/>
            <w:shd w:val="clear" w:color="auto" w:fill="auto"/>
            <w:vAlign w:val="center"/>
          </w:tcPr>
          <w:p w14:paraId="79BED542"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290840C3"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3CA92F03"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13</w:t>
            </w:r>
          </w:p>
          <w:p w14:paraId="417D6C71" w14:textId="77777777" w:rsidR="00EE6526" w:rsidRPr="00420C1B" w:rsidRDefault="00EE6526" w:rsidP="00420C1B">
            <w:pPr>
              <w:spacing w:after="0" w:line="240" w:lineRule="auto"/>
              <w:jc w:val="both"/>
              <w:rPr>
                <w:rFonts w:ascii="Times New Roman" w:hAnsi="Times New Roman"/>
                <w:sz w:val="20"/>
                <w:szCs w:val="20"/>
              </w:rPr>
            </w:pPr>
          </w:p>
        </w:tc>
        <w:tc>
          <w:tcPr>
            <w:tcW w:w="1134" w:type="dxa"/>
            <w:shd w:val="clear" w:color="auto" w:fill="auto"/>
            <w:vAlign w:val="center"/>
          </w:tcPr>
          <w:p w14:paraId="03B6098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20</w:t>
            </w:r>
          </w:p>
        </w:tc>
      </w:tr>
      <w:tr w:rsidR="002C66D7" w:rsidRPr="00420C1B" w14:paraId="7BE9D45E" w14:textId="77777777" w:rsidTr="00420C1B">
        <w:tc>
          <w:tcPr>
            <w:tcW w:w="567" w:type="dxa"/>
            <w:vMerge/>
            <w:shd w:val="clear" w:color="auto" w:fill="auto"/>
            <w:vAlign w:val="center"/>
          </w:tcPr>
          <w:p w14:paraId="70845D1C"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20F4E0B4" w14:textId="77777777" w:rsidR="00EE6526" w:rsidRPr="00420C1B" w:rsidRDefault="00EE6526" w:rsidP="00420C1B">
            <w:pPr>
              <w:spacing w:after="0" w:line="240" w:lineRule="auto"/>
              <w:rPr>
                <w:rFonts w:ascii="Times New Roman" w:hAnsi="Times New Roman"/>
                <w:sz w:val="20"/>
                <w:szCs w:val="20"/>
              </w:rPr>
            </w:pPr>
          </w:p>
        </w:tc>
        <w:tc>
          <w:tcPr>
            <w:tcW w:w="1560" w:type="dxa"/>
            <w:shd w:val="clear" w:color="auto" w:fill="auto"/>
            <w:vAlign w:val="center"/>
          </w:tcPr>
          <w:p w14:paraId="6D5D11A9"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17 juin 2021</w:t>
            </w:r>
          </w:p>
        </w:tc>
        <w:tc>
          <w:tcPr>
            <w:tcW w:w="4394" w:type="dxa"/>
            <w:shd w:val="clear" w:color="auto" w:fill="auto"/>
            <w:vAlign w:val="center"/>
          </w:tcPr>
          <w:p w14:paraId="267B6A0C"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Les leaders des organisations de femmes et quelques chefs de quartiers</w:t>
            </w:r>
          </w:p>
        </w:tc>
        <w:tc>
          <w:tcPr>
            <w:tcW w:w="853" w:type="dxa"/>
            <w:shd w:val="clear" w:color="auto" w:fill="auto"/>
            <w:vAlign w:val="center"/>
          </w:tcPr>
          <w:p w14:paraId="67A0065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011FB8A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38FBCD56"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7</w:t>
            </w:r>
          </w:p>
        </w:tc>
        <w:tc>
          <w:tcPr>
            <w:tcW w:w="851" w:type="dxa"/>
            <w:shd w:val="clear" w:color="auto" w:fill="auto"/>
            <w:vAlign w:val="center"/>
          </w:tcPr>
          <w:p w14:paraId="2F0140F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5E256E0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5CFA4AB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7</w:t>
            </w:r>
          </w:p>
        </w:tc>
        <w:tc>
          <w:tcPr>
            <w:tcW w:w="1134" w:type="dxa"/>
            <w:shd w:val="clear" w:color="auto" w:fill="auto"/>
            <w:vAlign w:val="center"/>
          </w:tcPr>
          <w:p w14:paraId="091168B0"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16</w:t>
            </w:r>
          </w:p>
        </w:tc>
      </w:tr>
      <w:tr w:rsidR="002C66D7" w:rsidRPr="00420C1B" w14:paraId="21631E98" w14:textId="77777777" w:rsidTr="00420C1B">
        <w:trPr>
          <w:trHeight w:val="56"/>
        </w:trPr>
        <w:tc>
          <w:tcPr>
            <w:tcW w:w="567" w:type="dxa"/>
            <w:vMerge/>
            <w:shd w:val="clear" w:color="auto" w:fill="auto"/>
            <w:vAlign w:val="center"/>
          </w:tcPr>
          <w:p w14:paraId="54850F56"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0FAA3362" w14:textId="77777777" w:rsidR="00EE6526" w:rsidRPr="00420C1B" w:rsidRDefault="00EE6526" w:rsidP="00420C1B">
            <w:pPr>
              <w:spacing w:after="0" w:line="240" w:lineRule="auto"/>
              <w:rPr>
                <w:rFonts w:ascii="Times New Roman" w:hAnsi="Times New Roman"/>
                <w:sz w:val="20"/>
                <w:szCs w:val="20"/>
              </w:rPr>
            </w:pPr>
          </w:p>
        </w:tc>
        <w:tc>
          <w:tcPr>
            <w:tcW w:w="1560" w:type="dxa"/>
            <w:shd w:val="clear" w:color="auto" w:fill="auto"/>
            <w:vAlign w:val="center"/>
          </w:tcPr>
          <w:p w14:paraId="0F81E19D"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18 juin  2021</w:t>
            </w:r>
          </w:p>
        </w:tc>
        <w:tc>
          <w:tcPr>
            <w:tcW w:w="4394" w:type="dxa"/>
            <w:shd w:val="clear" w:color="auto" w:fill="auto"/>
            <w:vAlign w:val="center"/>
          </w:tcPr>
          <w:p w14:paraId="04B9018E"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Les personnes vivant avec handicap</w:t>
            </w:r>
          </w:p>
        </w:tc>
        <w:tc>
          <w:tcPr>
            <w:tcW w:w="853" w:type="dxa"/>
            <w:shd w:val="clear" w:color="auto" w:fill="auto"/>
            <w:vAlign w:val="center"/>
          </w:tcPr>
          <w:p w14:paraId="487D5CE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0C63071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4E13645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9</w:t>
            </w:r>
          </w:p>
        </w:tc>
        <w:tc>
          <w:tcPr>
            <w:tcW w:w="851" w:type="dxa"/>
            <w:shd w:val="clear" w:color="auto" w:fill="auto"/>
            <w:vAlign w:val="center"/>
          </w:tcPr>
          <w:p w14:paraId="58FCD117"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75EE52BE"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52E938B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7</w:t>
            </w:r>
          </w:p>
        </w:tc>
        <w:tc>
          <w:tcPr>
            <w:tcW w:w="1134" w:type="dxa"/>
            <w:shd w:val="clear" w:color="auto" w:fill="auto"/>
            <w:vAlign w:val="center"/>
          </w:tcPr>
          <w:p w14:paraId="58326BE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18</w:t>
            </w:r>
          </w:p>
        </w:tc>
      </w:tr>
      <w:tr w:rsidR="002C66D7" w:rsidRPr="00420C1B" w14:paraId="2A693B8C" w14:textId="77777777" w:rsidTr="00420C1B">
        <w:trPr>
          <w:trHeight w:val="56"/>
        </w:trPr>
        <w:tc>
          <w:tcPr>
            <w:tcW w:w="567" w:type="dxa"/>
            <w:vMerge/>
            <w:shd w:val="clear" w:color="auto" w:fill="auto"/>
            <w:vAlign w:val="center"/>
          </w:tcPr>
          <w:p w14:paraId="7299693C"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02670F99" w14:textId="77777777" w:rsidR="00EE6526" w:rsidRPr="00420C1B" w:rsidRDefault="00EE6526" w:rsidP="00420C1B">
            <w:pPr>
              <w:spacing w:after="0" w:line="240" w:lineRule="auto"/>
              <w:rPr>
                <w:rFonts w:ascii="Times New Roman" w:hAnsi="Times New Roman"/>
                <w:sz w:val="20"/>
                <w:szCs w:val="20"/>
              </w:rPr>
            </w:pPr>
          </w:p>
        </w:tc>
        <w:tc>
          <w:tcPr>
            <w:tcW w:w="1560" w:type="dxa"/>
            <w:shd w:val="clear" w:color="auto" w:fill="auto"/>
            <w:vAlign w:val="center"/>
          </w:tcPr>
          <w:p w14:paraId="46CE0A2B"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18 juin  2021</w:t>
            </w:r>
          </w:p>
        </w:tc>
        <w:tc>
          <w:tcPr>
            <w:tcW w:w="4394" w:type="dxa"/>
            <w:shd w:val="clear" w:color="auto" w:fill="auto"/>
            <w:vAlign w:val="center"/>
          </w:tcPr>
          <w:p w14:paraId="6968E631"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 xml:space="preserve">Les représentants des organisations jeunes </w:t>
            </w:r>
          </w:p>
        </w:tc>
        <w:tc>
          <w:tcPr>
            <w:tcW w:w="853" w:type="dxa"/>
            <w:shd w:val="clear" w:color="auto" w:fill="auto"/>
            <w:vAlign w:val="center"/>
          </w:tcPr>
          <w:p w14:paraId="7853DD1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4455756D"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1D86A7B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9</w:t>
            </w:r>
          </w:p>
        </w:tc>
        <w:tc>
          <w:tcPr>
            <w:tcW w:w="851" w:type="dxa"/>
            <w:shd w:val="clear" w:color="auto" w:fill="auto"/>
            <w:vAlign w:val="center"/>
          </w:tcPr>
          <w:p w14:paraId="51DE195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507FC97E"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5161D64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4</w:t>
            </w:r>
          </w:p>
        </w:tc>
        <w:tc>
          <w:tcPr>
            <w:tcW w:w="1134" w:type="dxa"/>
            <w:shd w:val="clear" w:color="auto" w:fill="auto"/>
            <w:vAlign w:val="center"/>
          </w:tcPr>
          <w:p w14:paraId="3165D35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15</w:t>
            </w:r>
          </w:p>
        </w:tc>
      </w:tr>
      <w:tr w:rsidR="002C66D7" w:rsidRPr="00420C1B" w14:paraId="79B63000" w14:textId="77777777" w:rsidTr="00420C1B">
        <w:trPr>
          <w:trHeight w:val="415"/>
        </w:trPr>
        <w:tc>
          <w:tcPr>
            <w:tcW w:w="567" w:type="dxa"/>
            <w:vMerge/>
            <w:tcBorders>
              <w:bottom w:val="single" w:sz="4" w:space="0" w:color="auto"/>
            </w:tcBorders>
            <w:shd w:val="clear" w:color="auto" w:fill="auto"/>
            <w:vAlign w:val="center"/>
          </w:tcPr>
          <w:p w14:paraId="221E3145"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7B54DB83" w14:textId="77777777" w:rsidR="00EE6526" w:rsidRPr="00420C1B" w:rsidRDefault="00EE6526" w:rsidP="00420C1B">
            <w:pPr>
              <w:spacing w:after="0" w:line="240" w:lineRule="auto"/>
              <w:rPr>
                <w:rFonts w:ascii="Times New Roman" w:hAnsi="Times New Roman"/>
                <w:sz w:val="20"/>
                <w:szCs w:val="20"/>
              </w:rPr>
            </w:pPr>
          </w:p>
        </w:tc>
        <w:tc>
          <w:tcPr>
            <w:tcW w:w="1560" w:type="dxa"/>
            <w:shd w:val="clear" w:color="auto" w:fill="auto"/>
            <w:vAlign w:val="center"/>
          </w:tcPr>
          <w:p w14:paraId="01761A51"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Du 19 au 23 Juin</w:t>
            </w:r>
          </w:p>
        </w:tc>
        <w:tc>
          <w:tcPr>
            <w:tcW w:w="4394" w:type="dxa"/>
            <w:shd w:val="clear" w:color="auto" w:fill="auto"/>
            <w:vAlign w:val="center"/>
          </w:tcPr>
          <w:p w14:paraId="2ADC544B"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19 quartiers (Chefs de quartiers, notables, sociétés civiles, PAP, Jeunes, femmes, PVH)</w:t>
            </w:r>
          </w:p>
        </w:tc>
        <w:tc>
          <w:tcPr>
            <w:tcW w:w="853" w:type="dxa"/>
            <w:shd w:val="clear" w:color="auto" w:fill="auto"/>
            <w:vAlign w:val="center"/>
          </w:tcPr>
          <w:p w14:paraId="619A83E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7FC44020"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20</w:t>
            </w:r>
          </w:p>
        </w:tc>
        <w:tc>
          <w:tcPr>
            <w:tcW w:w="850" w:type="dxa"/>
            <w:shd w:val="clear" w:color="auto" w:fill="auto"/>
            <w:vAlign w:val="center"/>
          </w:tcPr>
          <w:p w14:paraId="26DCFB1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105</w:t>
            </w:r>
          </w:p>
        </w:tc>
        <w:tc>
          <w:tcPr>
            <w:tcW w:w="851" w:type="dxa"/>
            <w:shd w:val="clear" w:color="auto" w:fill="auto"/>
            <w:vAlign w:val="center"/>
          </w:tcPr>
          <w:p w14:paraId="069A928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992" w:type="dxa"/>
            <w:shd w:val="clear" w:color="auto" w:fill="auto"/>
            <w:vAlign w:val="center"/>
          </w:tcPr>
          <w:p w14:paraId="72F41CB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49</w:t>
            </w:r>
          </w:p>
        </w:tc>
        <w:tc>
          <w:tcPr>
            <w:tcW w:w="850" w:type="dxa"/>
            <w:shd w:val="clear" w:color="auto" w:fill="auto"/>
            <w:vAlign w:val="center"/>
          </w:tcPr>
          <w:p w14:paraId="19FE3987" w14:textId="77777777" w:rsidR="00EE6526" w:rsidRPr="00420C1B" w:rsidRDefault="00EE6526" w:rsidP="00420C1B">
            <w:pPr>
              <w:spacing w:after="200" w:line="276" w:lineRule="auto"/>
              <w:rPr>
                <w:rFonts w:ascii="Times New Roman" w:hAnsi="Times New Roman"/>
                <w:sz w:val="20"/>
                <w:szCs w:val="20"/>
              </w:rPr>
            </w:pPr>
            <w:r w:rsidRPr="00420C1B">
              <w:rPr>
                <w:rFonts w:ascii="Times New Roman" w:hAnsi="Times New Roman"/>
                <w:sz w:val="20"/>
                <w:szCs w:val="20"/>
              </w:rPr>
              <w:t>244</w:t>
            </w:r>
          </w:p>
        </w:tc>
        <w:tc>
          <w:tcPr>
            <w:tcW w:w="1134" w:type="dxa"/>
            <w:shd w:val="clear" w:color="auto" w:fill="auto"/>
            <w:vAlign w:val="center"/>
          </w:tcPr>
          <w:p w14:paraId="48F1A791"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418</w:t>
            </w:r>
          </w:p>
        </w:tc>
      </w:tr>
      <w:tr w:rsidR="002C66D7" w:rsidRPr="00420C1B" w14:paraId="130A3B9D" w14:textId="77777777" w:rsidTr="00420C1B">
        <w:trPr>
          <w:trHeight w:val="82"/>
        </w:trPr>
        <w:tc>
          <w:tcPr>
            <w:tcW w:w="567" w:type="dxa"/>
            <w:vMerge w:val="restart"/>
            <w:shd w:val="clear" w:color="auto" w:fill="auto"/>
            <w:vAlign w:val="center"/>
          </w:tcPr>
          <w:p w14:paraId="5D5C7765" w14:textId="77777777" w:rsidR="00EE6526" w:rsidRPr="00420C1B" w:rsidRDefault="00EE6526" w:rsidP="00420C1B">
            <w:pPr>
              <w:spacing w:after="0" w:line="240" w:lineRule="auto"/>
              <w:rPr>
                <w:rFonts w:ascii="Times New Roman" w:hAnsi="Times New Roman"/>
                <w:b/>
                <w:sz w:val="20"/>
                <w:szCs w:val="20"/>
              </w:rPr>
            </w:pPr>
            <w:r w:rsidRPr="00420C1B">
              <w:rPr>
                <w:rFonts w:ascii="Times New Roman" w:hAnsi="Times New Roman"/>
                <w:b/>
                <w:sz w:val="20"/>
                <w:szCs w:val="20"/>
              </w:rPr>
              <w:t>2</w:t>
            </w:r>
          </w:p>
        </w:tc>
        <w:tc>
          <w:tcPr>
            <w:tcW w:w="1557" w:type="dxa"/>
            <w:vMerge w:val="restart"/>
            <w:shd w:val="clear" w:color="auto" w:fill="auto"/>
            <w:vAlign w:val="center"/>
          </w:tcPr>
          <w:p w14:paraId="3F5D4039"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Ngaliema</w:t>
            </w:r>
          </w:p>
        </w:tc>
        <w:tc>
          <w:tcPr>
            <w:tcW w:w="1560" w:type="dxa"/>
            <w:vMerge w:val="restart"/>
            <w:shd w:val="clear" w:color="auto" w:fill="auto"/>
            <w:vAlign w:val="center"/>
          </w:tcPr>
          <w:p w14:paraId="77759F13"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21 Juin 2021</w:t>
            </w:r>
          </w:p>
        </w:tc>
        <w:tc>
          <w:tcPr>
            <w:tcW w:w="4394" w:type="dxa"/>
            <w:shd w:val="clear" w:color="auto" w:fill="auto"/>
            <w:vAlign w:val="center"/>
          </w:tcPr>
          <w:p w14:paraId="766489F8"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Services techniques et les chefs de quartiers</w:t>
            </w:r>
          </w:p>
        </w:tc>
        <w:tc>
          <w:tcPr>
            <w:tcW w:w="853" w:type="dxa"/>
            <w:shd w:val="clear" w:color="auto" w:fill="auto"/>
            <w:vAlign w:val="center"/>
          </w:tcPr>
          <w:p w14:paraId="0A0DE8DB"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52AAD37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7E7FD8D1"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1" w:type="dxa"/>
            <w:shd w:val="clear" w:color="auto" w:fill="auto"/>
            <w:vAlign w:val="center"/>
          </w:tcPr>
          <w:p w14:paraId="09ADC08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69C0364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0DEF8BA7"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15</w:t>
            </w:r>
          </w:p>
        </w:tc>
        <w:tc>
          <w:tcPr>
            <w:tcW w:w="1134" w:type="dxa"/>
            <w:shd w:val="clear" w:color="auto" w:fill="auto"/>
            <w:vAlign w:val="center"/>
          </w:tcPr>
          <w:p w14:paraId="39CD462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23</w:t>
            </w:r>
          </w:p>
        </w:tc>
      </w:tr>
      <w:tr w:rsidR="002C66D7" w:rsidRPr="00420C1B" w14:paraId="1A85FBE1" w14:textId="77777777" w:rsidTr="00420C1B">
        <w:tc>
          <w:tcPr>
            <w:tcW w:w="567" w:type="dxa"/>
            <w:vMerge/>
            <w:shd w:val="clear" w:color="auto" w:fill="auto"/>
            <w:vAlign w:val="center"/>
          </w:tcPr>
          <w:p w14:paraId="0A9DB4E7"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5F31C49A"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13503B1D"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07F881FC"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Les personnes vivant avec handicap</w:t>
            </w:r>
          </w:p>
        </w:tc>
        <w:tc>
          <w:tcPr>
            <w:tcW w:w="853" w:type="dxa"/>
            <w:shd w:val="clear" w:color="auto" w:fill="auto"/>
            <w:vAlign w:val="center"/>
          </w:tcPr>
          <w:p w14:paraId="639F47B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708FD10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58541D8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14</w:t>
            </w:r>
          </w:p>
        </w:tc>
        <w:tc>
          <w:tcPr>
            <w:tcW w:w="851" w:type="dxa"/>
            <w:shd w:val="clear" w:color="auto" w:fill="auto"/>
            <w:vAlign w:val="center"/>
          </w:tcPr>
          <w:p w14:paraId="2DFD2E8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992" w:type="dxa"/>
            <w:shd w:val="clear" w:color="auto" w:fill="auto"/>
            <w:vAlign w:val="center"/>
          </w:tcPr>
          <w:p w14:paraId="64EF38F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4868B3CB"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6</w:t>
            </w:r>
          </w:p>
        </w:tc>
        <w:tc>
          <w:tcPr>
            <w:tcW w:w="1134" w:type="dxa"/>
            <w:shd w:val="clear" w:color="auto" w:fill="auto"/>
            <w:vAlign w:val="center"/>
          </w:tcPr>
          <w:p w14:paraId="73C653B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24</w:t>
            </w:r>
          </w:p>
        </w:tc>
      </w:tr>
      <w:tr w:rsidR="002C66D7" w:rsidRPr="00420C1B" w14:paraId="151F18C7" w14:textId="77777777" w:rsidTr="00420C1B">
        <w:trPr>
          <w:trHeight w:val="290"/>
        </w:trPr>
        <w:tc>
          <w:tcPr>
            <w:tcW w:w="567" w:type="dxa"/>
            <w:vMerge/>
            <w:shd w:val="clear" w:color="auto" w:fill="auto"/>
            <w:vAlign w:val="center"/>
          </w:tcPr>
          <w:p w14:paraId="211CB856"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65D88DA9"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3FBF851B"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31622830"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 xml:space="preserve">Les leaders des organisations de femmes et quelques chefs de quartiers </w:t>
            </w:r>
          </w:p>
        </w:tc>
        <w:tc>
          <w:tcPr>
            <w:tcW w:w="853" w:type="dxa"/>
            <w:shd w:val="clear" w:color="auto" w:fill="auto"/>
            <w:vAlign w:val="center"/>
          </w:tcPr>
          <w:p w14:paraId="1DAC88F0" w14:textId="77777777" w:rsidR="00EE6526" w:rsidRPr="00420C1B" w:rsidRDefault="00EE6526" w:rsidP="00420C1B">
            <w:pPr>
              <w:spacing w:after="0" w:line="240" w:lineRule="auto"/>
              <w:jc w:val="both"/>
              <w:rPr>
                <w:rFonts w:ascii="Times New Roman" w:hAnsi="Times New Roman"/>
                <w:sz w:val="20"/>
                <w:szCs w:val="20"/>
              </w:rPr>
            </w:pPr>
          </w:p>
          <w:p w14:paraId="7F0E2E4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5E1385B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3</w:t>
            </w:r>
          </w:p>
        </w:tc>
        <w:tc>
          <w:tcPr>
            <w:tcW w:w="850" w:type="dxa"/>
            <w:shd w:val="clear" w:color="auto" w:fill="auto"/>
            <w:vAlign w:val="center"/>
          </w:tcPr>
          <w:p w14:paraId="2DFD581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15</w:t>
            </w:r>
          </w:p>
        </w:tc>
        <w:tc>
          <w:tcPr>
            <w:tcW w:w="851" w:type="dxa"/>
            <w:shd w:val="clear" w:color="auto" w:fill="auto"/>
            <w:vAlign w:val="center"/>
          </w:tcPr>
          <w:p w14:paraId="6B28E39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1AB0CA8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0B56D52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1134" w:type="dxa"/>
            <w:shd w:val="clear" w:color="auto" w:fill="auto"/>
            <w:vAlign w:val="center"/>
          </w:tcPr>
          <w:p w14:paraId="1D3BAB1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19</w:t>
            </w:r>
          </w:p>
        </w:tc>
      </w:tr>
      <w:tr w:rsidR="002C66D7" w:rsidRPr="00420C1B" w14:paraId="28520E3F" w14:textId="77777777" w:rsidTr="00420C1B">
        <w:trPr>
          <w:trHeight w:val="339"/>
        </w:trPr>
        <w:tc>
          <w:tcPr>
            <w:tcW w:w="567" w:type="dxa"/>
            <w:vMerge/>
            <w:shd w:val="clear" w:color="auto" w:fill="auto"/>
            <w:vAlign w:val="center"/>
          </w:tcPr>
          <w:p w14:paraId="65063D18"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3B62A167"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51D6C488"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373E86A0"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 xml:space="preserve">Les représentants des organisations jeunes </w:t>
            </w:r>
          </w:p>
        </w:tc>
        <w:tc>
          <w:tcPr>
            <w:tcW w:w="853" w:type="dxa"/>
            <w:shd w:val="clear" w:color="auto" w:fill="auto"/>
            <w:vAlign w:val="center"/>
          </w:tcPr>
          <w:p w14:paraId="74BF6D3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6ECD763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4</w:t>
            </w:r>
          </w:p>
        </w:tc>
        <w:tc>
          <w:tcPr>
            <w:tcW w:w="850" w:type="dxa"/>
            <w:shd w:val="clear" w:color="auto" w:fill="auto"/>
            <w:vAlign w:val="center"/>
          </w:tcPr>
          <w:p w14:paraId="5B3D5F2B"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3</w:t>
            </w:r>
          </w:p>
        </w:tc>
        <w:tc>
          <w:tcPr>
            <w:tcW w:w="851" w:type="dxa"/>
            <w:shd w:val="clear" w:color="auto" w:fill="auto"/>
            <w:vAlign w:val="center"/>
          </w:tcPr>
          <w:p w14:paraId="5C78D53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22980AE7"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0" w:type="dxa"/>
            <w:shd w:val="clear" w:color="auto" w:fill="auto"/>
            <w:vAlign w:val="center"/>
          </w:tcPr>
          <w:p w14:paraId="3DE6FFA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8</w:t>
            </w:r>
          </w:p>
        </w:tc>
        <w:tc>
          <w:tcPr>
            <w:tcW w:w="1134" w:type="dxa"/>
            <w:shd w:val="clear" w:color="auto" w:fill="auto"/>
            <w:vAlign w:val="center"/>
          </w:tcPr>
          <w:p w14:paraId="61EBA627"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20</w:t>
            </w:r>
          </w:p>
        </w:tc>
      </w:tr>
      <w:tr w:rsidR="002C66D7" w:rsidRPr="00420C1B" w14:paraId="547DE59B" w14:textId="77777777" w:rsidTr="00420C1B">
        <w:tc>
          <w:tcPr>
            <w:tcW w:w="567" w:type="dxa"/>
            <w:vMerge/>
            <w:tcBorders>
              <w:bottom w:val="single" w:sz="4" w:space="0" w:color="auto"/>
            </w:tcBorders>
            <w:shd w:val="clear" w:color="auto" w:fill="auto"/>
            <w:vAlign w:val="center"/>
          </w:tcPr>
          <w:p w14:paraId="6EF945D3"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6BF89FAB"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3C12523E"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25E9D663"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8 quartiers (Chefs de quartiers, notables, sociétés civiles, PAP, Jeunes, femmes, PVH)</w:t>
            </w:r>
          </w:p>
        </w:tc>
        <w:tc>
          <w:tcPr>
            <w:tcW w:w="853" w:type="dxa"/>
            <w:shd w:val="clear" w:color="auto" w:fill="auto"/>
            <w:vAlign w:val="center"/>
          </w:tcPr>
          <w:p w14:paraId="16D260D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1FD9FFE2"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9</w:t>
            </w:r>
          </w:p>
        </w:tc>
        <w:tc>
          <w:tcPr>
            <w:tcW w:w="850" w:type="dxa"/>
            <w:shd w:val="clear" w:color="auto" w:fill="auto"/>
            <w:vAlign w:val="center"/>
          </w:tcPr>
          <w:p w14:paraId="093A4A8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22</w:t>
            </w:r>
          </w:p>
        </w:tc>
        <w:tc>
          <w:tcPr>
            <w:tcW w:w="851" w:type="dxa"/>
            <w:shd w:val="clear" w:color="auto" w:fill="auto"/>
            <w:vAlign w:val="center"/>
          </w:tcPr>
          <w:p w14:paraId="1C4A1D8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625C4B0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15</w:t>
            </w:r>
          </w:p>
        </w:tc>
        <w:tc>
          <w:tcPr>
            <w:tcW w:w="850" w:type="dxa"/>
            <w:shd w:val="clear" w:color="auto" w:fill="auto"/>
            <w:vAlign w:val="center"/>
          </w:tcPr>
          <w:p w14:paraId="09B7ADE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80</w:t>
            </w:r>
          </w:p>
        </w:tc>
        <w:tc>
          <w:tcPr>
            <w:tcW w:w="1134" w:type="dxa"/>
            <w:shd w:val="clear" w:color="auto" w:fill="auto"/>
            <w:vAlign w:val="center"/>
          </w:tcPr>
          <w:p w14:paraId="669746A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126</w:t>
            </w:r>
          </w:p>
        </w:tc>
      </w:tr>
      <w:tr w:rsidR="002C66D7" w:rsidRPr="00420C1B" w14:paraId="6E70DDD3" w14:textId="77777777" w:rsidTr="00420C1B">
        <w:trPr>
          <w:trHeight w:val="297"/>
        </w:trPr>
        <w:tc>
          <w:tcPr>
            <w:tcW w:w="567" w:type="dxa"/>
            <w:vMerge w:val="restart"/>
            <w:shd w:val="clear" w:color="auto" w:fill="auto"/>
            <w:vAlign w:val="center"/>
          </w:tcPr>
          <w:p w14:paraId="7CDE57F4" w14:textId="77777777" w:rsidR="00EE6526" w:rsidRPr="00420C1B" w:rsidRDefault="00EE6526" w:rsidP="00420C1B">
            <w:pPr>
              <w:spacing w:after="0" w:line="240" w:lineRule="auto"/>
              <w:rPr>
                <w:rFonts w:ascii="Times New Roman" w:hAnsi="Times New Roman"/>
                <w:b/>
                <w:sz w:val="20"/>
                <w:szCs w:val="20"/>
              </w:rPr>
            </w:pPr>
            <w:r w:rsidRPr="00420C1B">
              <w:rPr>
                <w:rFonts w:ascii="Times New Roman" w:hAnsi="Times New Roman"/>
                <w:b/>
                <w:sz w:val="20"/>
                <w:szCs w:val="20"/>
              </w:rPr>
              <w:t>3</w:t>
            </w:r>
          </w:p>
        </w:tc>
        <w:tc>
          <w:tcPr>
            <w:tcW w:w="1557" w:type="dxa"/>
            <w:vMerge w:val="restart"/>
            <w:shd w:val="clear" w:color="auto" w:fill="auto"/>
            <w:vAlign w:val="center"/>
          </w:tcPr>
          <w:p w14:paraId="78E11403"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Selembao</w:t>
            </w:r>
          </w:p>
        </w:tc>
        <w:tc>
          <w:tcPr>
            <w:tcW w:w="1560" w:type="dxa"/>
            <w:vMerge w:val="restart"/>
            <w:shd w:val="clear" w:color="auto" w:fill="auto"/>
            <w:vAlign w:val="center"/>
          </w:tcPr>
          <w:p w14:paraId="6DC9B857"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14 au 16 juin 2021</w:t>
            </w:r>
          </w:p>
        </w:tc>
        <w:tc>
          <w:tcPr>
            <w:tcW w:w="4394" w:type="dxa"/>
            <w:shd w:val="clear" w:color="auto" w:fill="auto"/>
            <w:vAlign w:val="center"/>
          </w:tcPr>
          <w:p w14:paraId="6EB1C82E"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Services techniques et les chefs de quartiers</w:t>
            </w:r>
          </w:p>
        </w:tc>
        <w:tc>
          <w:tcPr>
            <w:tcW w:w="853" w:type="dxa"/>
            <w:shd w:val="clear" w:color="auto" w:fill="auto"/>
            <w:vAlign w:val="center"/>
          </w:tcPr>
          <w:p w14:paraId="3559802D"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459714BD"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5003810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1" w:type="dxa"/>
            <w:shd w:val="clear" w:color="auto" w:fill="auto"/>
            <w:vAlign w:val="center"/>
          </w:tcPr>
          <w:p w14:paraId="317AF39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54DFCB36"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2883AAE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8</w:t>
            </w:r>
          </w:p>
        </w:tc>
        <w:tc>
          <w:tcPr>
            <w:tcW w:w="1134" w:type="dxa"/>
            <w:shd w:val="clear" w:color="auto" w:fill="auto"/>
            <w:vAlign w:val="center"/>
          </w:tcPr>
          <w:p w14:paraId="5E4093BF"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12</w:t>
            </w:r>
          </w:p>
        </w:tc>
      </w:tr>
      <w:tr w:rsidR="002C66D7" w:rsidRPr="00420C1B" w14:paraId="69BE0470" w14:textId="77777777" w:rsidTr="00420C1B">
        <w:trPr>
          <w:trHeight w:val="349"/>
        </w:trPr>
        <w:tc>
          <w:tcPr>
            <w:tcW w:w="567" w:type="dxa"/>
            <w:vMerge/>
            <w:shd w:val="clear" w:color="auto" w:fill="auto"/>
            <w:vAlign w:val="center"/>
          </w:tcPr>
          <w:p w14:paraId="7AFAE6E1"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06783011"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4BD8A60F"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51677BE5"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Les leaders des organisations de femmes et quelques chefs de quartiers</w:t>
            </w:r>
          </w:p>
        </w:tc>
        <w:tc>
          <w:tcPr>
            <w:tcW w:w="853" w:type="dxa"/>
            <w:shd w:val="clear" w:color="auto" w:fill="auto"/>
            <w:vAlign w:val="center"/>
          </w:tcPr>
          <w:p w14:paraId="0A08CFFE"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0F2007E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6</w:t>
            </w:r>
          </w:p>
        </w:tc>
        <w:tc>
          <w:tcPr>
            <w:tcW w:w="850" w:type="dxa"/>
            <w:shd w:val="clear" w:color="auto" w:fill="auto"/>
            <w:vAlign w:val="center"/>
          </w:tcPr>
          <w:p w14:paraId="5ADC37CE"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8</w:t>
            </w:r>
          </w:p>
        </w:tc>
        <w:tc>
          <w:tcPr>
            <w:tcW w:w="851" w:type="dxa"/>
            <w:shd w:val="clear" w:color="auto" w:fill="auto"/>
            <w:vAlign w:val="center"/>
          </w:tcPr>
          <w:p w14:paraId="4D55C296"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6E16CBC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7B94A8F2"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1134" w:type="dxa"/>
            <w:shd w:val="clear" w:color="auto" w:fill="auto"/>
            <w:vAlign w:val="center"/>
          </w:tcPr>
          <w:p w14:paraId="11223E5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15</w:t>
            </w:r>
          </w:p>
        </w:tc>
      </w:tr>
      <w:tr w:rsidR="002C66D7" w:rsidRPr="00420C1B" w14:paraId="0DEF937C" w14:textId="77777777" w:rsidTr="00420C1B">
        <w:trPr>
          <w:trHeight w:val="322"/>
        </w:trPr>
        <w:tc>
          <w:tcPr>
            <w:tcW w:w="567" w:type="dxa"/>
            <w:vMerge/>
            <w:shd w:val="clear" w:color="auto" w:fill="auto"/>
            <w:vAlign w:val="center"/>
          </w:tcPr>
          <w:p w14:paraId="39BD3A6B"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2B76ECC5"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0C660980"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4187355D"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Les personnes vivant avec handicap</w:t>
            </w:r>
          </w:p>
        </w:tc>
        <w:tc>
          <w:tcPr>
            <w:tcW w:w="853" w:type="dxa"/>
            <w:shd w:val="clear" w:color="auto" w:fill="auto"/>
            <w:vAlign w:val="center"/>
          </w:tcPr>
          <w:p w14:paraId="7B16FDA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3C0E242C"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058E757E"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4</w:t>
            </w:r>
          </w:p>
        </w:tc>
        <w:tc>
          <w:tcPr>
            <w:tcW w:w="851" w:type="dxa"/>
            <w:shd w:val="clear" w:color="auto" w:fill="auto"/>
            <w:vAlign w:val="center"/>
          </w:tcPr>
          <w:p w14:paraId="453E1D84"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7AFF3A60"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9</w:t>
            </w:r>
          </w:p>
        </w:tc>
        <w:tc>
          <w:tcPr>
            <w:tcW w:w="850" w:type="dxa"/>
            <w:shd w:val="clear" w:color="auto" w:fill="auto"/>
            <w:vAlign w:val="center"/>
          </w:tcPr>
          <w:p w14:paraId="2C6F6485"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1134" w:type="dxa"/>
            <w:shd w:val="clear" w:color="auto" w:fill="auto"/>
            <w:vAlign w:val="center"/>
          </w:tcPr>
          <w:p w14:paraId="48700EAB"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20</w:t>
            </w:r>
          </w:p>
        </w:tc>
      </w:tr>
      <w:tr w:rsidR="002C66D7" w:rsidRPr="00420C1B" w14:paraId="1977FE63" w14:textId="77777777" w:rsidTr="00420C1B">
        <w:trPr>
          <w:trHeight w:val="271"/>
        </w:trPr>
        <w:tc>
          <w:tcPr>
            <w:tcW w:w="567" w:type="dxa"/>
            <w:vMerge/>
            <w:shd w:val="clear" w:color="auto" w:fill="auto"/>
            <w:vAlign w:val="center"/>
          </w:tcPr>
          <w:p w14:paraId="3AF9BBF6"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19ACA3E3"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0F17F4F0"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251C5AE1"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 xml:space="preserve">Les représentants des organisations jeunes </w:t>
            </w:r>
          </w:p>
        </w:tc>
        <w:tc>
          <w:tcPr>
            <w:tcW w:w="853" w:type="dxa"/>
            <w:shd w:val="clear" w:color="auto" w:fill="auto"/>
            <w:vAlign w:val="center"/>
          </w:tcPr>
          <w:p w14:paraId="4BD72C5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18CD3E88"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14E4A5F9"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1" w:type="dxa"/>
            <w:shd w:val="clear" w:color="auto" w:fill="auto"/>
            <w:vAlign w:val="center"/>
          </w:tcPr>
          <w:p w14:paraId="22C00EA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3CFE3A2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9</w:t>
            </w:r>
          </w:p>
        </w:tc>
        <w:tc>
          <w:tcPr>
            <w:tcW w:w="850" w:type="dxa"/>
            <w:shd w:val="clear" w:color="auto" w:fill="auto"/>
            <w:vAlign w:val="center"/>
          </w:tcPr>
          <w:p w14:paraId="00093007"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1134" w:type="dxa"/>
            <w:shd w:val="clear" w:color="auto" w:fill="auto"/>
            <w:vAlign w:val="center"/>
          </w:tcPr>
          <w:p w14:paraId="7B8431D0"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12</w:t>
            </w:r>
          </w:p>
        </w:tc>
      </w:tr>
      <w:tr w:rsidR="002C66D7" w:rsidRPr="00420C1B" w14:paraId="179F3294" w14:textId="77777777" w:rsidTr="00420C1B">
        <w:tc>
          <w:tcPr>
            <w:tcW w:w="567" w:type="dxa"/>
            <w:vMerge/>
            <w:tcBorders>
              <w:bottom w:val="single" w:sz="4" w:space="0" w:color="auto"/>
            </w:tcBorders>
            <w:shd w:val="clear" w:color="auto" w:fill="auto"/>
            <w:vAlign w:val="center"/>
          </w:tcPr>
          <w:p w14:paraId="2B66ECF7" w14:textId="77777777" w:rsidR="00EE6526" w:rsidRPr="00420C1B" w:rsidRDefault="00EE6526" w:rsidP="00420C1B">
            <w:pPr>
              <w:spacing w:after="0" w:line="240" w:lineRule="auto"/>
              <w:rPr>
                <w:rFonts w:ascii="Times New Roman" w:hAnsi="Times New Roman"/>
                <w:sz w:val="20"/>
                <w:szCs w:val="20"/>
              </w:rPr>
            </w:pPr>
          </w:p>
        </w:tc>
        <w:tc>
          <w:tcPr>
            <w:tcW w:w="1557" w:type="dxa"/>
            <w:vMerge/>
            <w:shd w:val="clear" w:color="auto" w:fill="auto"/>
            <w:vAlign w:val="center"/>
          </w:tcPr>
          <w:p w14:paraId="269D80C5" w14:textId="77777777" w:rsidR="00EE6526" w:rsidRPr="00420C1B" w:rsidRDefault="00EE6526" w:rsidP="00420C1B">
            <w:pPr>
              <w:spacing w:after="0" w:line="240" w:lineRule="auto"/>
              <w:rPr>
                <w:rFonts w:ascii="Times New Roman" w:hAnsi="Times New Roman"/>
                <w:sz w:val="20"/>
                <w:szCs w:val="20"/>
              </w:rPr>
            </w:pPr>
          </w:p>
        </w:tc>
        <w:tc>
          <w:tcPr>
            <w:tcW w:w="1560" w:type="dxa"/>
            <w:vMerge/>
            <w:shd w:val="clear" w:color="auto" w:fill="auto"/>
            <w:vAlign w:val="center"/>
          </w:tcPr>
          <w:p w14:paraId="0361D286" w14:textId="77777777" w:rsidR="00EE6526" w:rsidRPr="00420C1B" w:rsidRDefault="00EE6526" w:rsidP="00420C1B">
            <w:pPr>
              <w:spacing w:after="0" w:line="240" w:lineRule="auto"/>
              <w:rPr>
                <w:rFonts w:ascii="Times New Roman" w:hAnsi="Times New Roman"/>
                <w:sz w:val="20"/>
                <w:szCs w:val="20"/>
              </w:rPr>
            </w:pPr>
          </w:p>
        </w:tc>
        <w:tc>
          <w:tcPr>
            <w:tcW w:w="4394" w:type="dxa"/>
            <w:shd w:val="clear" w:color="auto" w:fill="auto"/>
            <w:vAlign w:val="center"/>
          </w:tcPr>
          <w:p w14:paraId="5AD600B2" w14:textId="77777777" w:rsidR="00EE6526"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Quartier KALUNGA (Chefs de quartiers, notables, sociétés civiles, PAP, Jeunes, femmes, PVH)</w:t>
            </w:r>
          </w:p>
        </w:tc>
        <w:tc>
          <w:tcPr>
            <w:tcW w:w="853" w:type="dxa"/>
            <w:shd w:val="clear" w:color="auto" w:fill="auto"/>
            <w:vAlign w:val="center"/>
          </w:tcPr>
          <w:p w14:paraId="5EE59856"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2911F5C2"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310DD723"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1" w:type="dxa"/>
            <w:shd w:val="clear" w:color="auto" w:fill="auto"/>
            <w:vAlign w:val="center"/>
          </w:tcPr>
          <w:p w14:paraId="7B033460"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44FD3ED6"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0" w:type="dxa"/>
            <w:shd w:val="clear" w:color="auto" w:fill="auto"/>
            <w:vAlign w:val="center"/>
          </w:tcPr>
          <w:p w14:paraId="42606A3D"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12</w:t>
            </w:r>
          </w:p>
        </w:tc>
        <w:tc>
          <w:tcPr>
            <w:tcW w:w="1134" w:type="dxa"/>
            <w:shd w:val="clear" w:color="auto" w:fill="auto"/>
            <w:vAlign w:val="center"/>
          </w:tcPr>
          <w:p w14:paraId="07D87F7A" w14:textId="77777777" w:rsidR="00EE6526"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19</w:t>
            </w:r>
          </w:p>
        </w:tc>
      </w:tr>
      <w:tr w:rsidR="002C66D7" w:rsidRPr="00420C1B" w14:paraId="4C10835E" w14:textId="77777777" w:rsidTr="00420C1B">
        <w:tc>
          <w:tcPr>
            <w:tcW w:w="567" w:type="dxa"/>
            <w:tcBorders>
              <w:bottom w:val="single" w:sz="4" w:space="0" w:color="auto"/>
            </w:tcBorders>
            <w:shd w:val="clear" w:color="auto" w:fill="auto"/>
          </w:tcPr>
          <w:p w14:paraId="516427A3"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4</w:t>
            </w:r>
          </w:p>
        </w:tc>
        <w:tc>
          <w:tcPr>
            <w:tcW w:w="1557" w:type="dxa"/>
            <w:tcBorders>
              <w:bottom w:val="single" w:sz="4" w:space="0" w:color="auto"/>
            </w:tcBorders>
            <w:shd w:val="clear" w:color="auto" w:fill="auto"/>
          </w:tcPr>
          <w:p w14:paraId="0A518A2F"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Kintambo</w:t>
            </w:r>
          </w:p>
        </w:tc>
        <w:tc>
          <w:tcPr>
            <w:tcW w:w="1560" w:type="dxa"/>
            <w:shd w:val="clear" w:color="auto" w:fill="auto"/>
          </w:tcPr>
          <w:p w14:paraId="752EEB1D" w14:textId="77777777" w:rsidR="00244161" w:rsidRPr="00420C1B" w:rsidRDefault="00EA0201" w:rsidP="00420C1B">
            <w:pPr>
              <w:spacing w:after="0" w:line="240" w:lineRule="auto"/>
              <w:jc w:val="both"/>
              <w:rPr>
                <w:rFonts w:ascii="Times New Roman" w:hAnsi="Times New Roman"/>
                <w:sz w:val="20"/>
                <w:szCs w:val="20"/>
              </w:rPr>
            </w:pPr>
            <w:r w:rsidRPr="00420C1B">
              <w:rPr>
                <w:rFonts w:ascii="Times New Roman" w:hAnsi="Times New Roman"/>
                <w:sz w:val="20"/>
                <w:szCs w:val="20"/>
              </w:rPr>
              <w:t>10 juillet 2021</w:t>
            </w:r>
          </w:p>
        </w:tc>
        <w:tc>
          <w:tcPr>
            <w:tcW w:w="4394" w:type="dxa"/>
            <w:shd w:val="clear" w:color="auto" w:fill="auto"/>
          </w:tcPr>
          <w:p w14:paraId="23FEA0A9"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7A66473C"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40C7D2D1"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4CEF65E1"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1" w:type="dxa"/>
            <w:shd w:val="clear" w:color="auto" w:fill="auto"/>
            <w:vAlign w:val="center"/>
          </w:tcPr>
          <w:p w14:paraId="17244D4B"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66B606F1"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70353D70"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10</w:t>
            </w:r>
          </w:p>
        </w:tc>
        <w:tc>
          <w:tcPr>
            <w:tcW w:w="1134" w:type="dxa"/>
            <w:shd w:val="clear" w:color="auto" w:fill="auto"/>
            <w:vAlign w:val="center"/>
          </w:tcPr>
          <w:p w14:paraId="4582F57D"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18</w:t>
            </w:r>
          </w:p>
        </w:tc>
      </w:tr>
      <w:tr w:rsidR="002C66D7" w:rsidRPr="00420C1B" w14:paraId="5D584623" w14:textId="77777777" w:rsidTr="00420C1B">
        <w:trPr>
          <w:trHeight w:val="357"/>
        </w:trPr>
        <w:tc>
          <w:tcPr>
            <w:tcW w:w="567" w:type="dxa"/>
            <w:tcBorders>
              <w:top w:val="single" w:sz="4" w:space="0" w:color="auto"/>
              <w:bottom w:val="single" w:sz="4" w:space="0" w:color="auto"/>
            </w:tcBorders>
            <w:shd w:val="clear" w:color="auto" w:fill="auto"/>
          </w:tcPr>
          <w:p w14:paraId="308C8783"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5</w:t>
            </w:r>
          </w:p>
        </w:tc>
        <w:tc>
          <w:tcPr>
            <w:tcW w:w="1557" w:type="dxa"/>
            <w:tcBorders>
              <w:top w:val="single" w:sz="4" w:space="0" w:color="auto"/>
              <w:bottom w:val="single" w:sz="4" w:space="0" w:color="auto"/>
            </w:tcBorders>
            <w:shd w:val="clear" w:color="auto" w:fill="auto"/>
          </w:tcPr>
          <w:p w14:paraId="1A3788AE"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Bumbu</w:t>
            </w:r>
          </w:p>
        </w:tc>
        <w:tc>
          <w:tcPr>
            <w:tcW w:w="1560" w:type="dxa"/>
            <w:shd w:val="clear" w:color="auto" w:fill="auto"/>
          </w:tcPr>
          <w:p w14:paraId="5F8337C0" w14:textId="77777777" w:rsidR="00244161" w:rsidRPr="00420C1B" w:rsidRDefault="00EE6526" w:rsidP="00420C1B">
            <w:pPr>
              <w:spacing w:after="0" w:line="240" w:lineRule="auto"/>
              <w:jc w:val="both"/>
              <w:rPr>
                <w:rFonts w:ascii="Times New Roman" w:hAnsi="Times New Roman"/>
                <w:sz w:val="20"/>
                <w:szCs w:val="20"/>
              </w:rPr>
            </w:pPr>
            <w:r w:rsidRPr="00420C1B">
              <w:rPr>
                <w:rFonts w:ascii="Times New Roman" w:hAnsi="Times New Roman"/>
                <w:sz w:val="20"/>
                <w:szCs w:val="20"/>
              </w:rPr>
              <w:t>02 juillet 2021</w:t>
            </w:r>
          </w:p>
        </w:tc>
        <w:tc>
          <w:tcPr>
            <w:tcW w:w="4394" w:type="dxa"/>
            <w:shd w:val="clear" w:color="auto" w:fill="auto"/>
          </w:tcPr>
          <w:p w14:paraId="47FEB7F6"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11E431D6"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7A588D92"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323C0809"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5</w:t>
            </w:r>
          </w:p>
        </w:tc>
        <w:tc>
          <w:tcPr>
            <w:tcW w:w="851" w:type="dxa"/>
            <w:shd w:val="clear" w:color="auto" w:fill="auto"/>
            <w:vAlign w:val="center"/>
          </w:tcPr>
          <w:p w14:paraId="440D0D9F"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43D06A1F"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shd w:val="clear" w:color="auto" w:fill="auto"/>
            <w:vAlign w:val="center"/>
          </w:tcPr>
          <w:p w14:paraId="2D840D8A"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14</w:t>
            </w:r>
          </w:p>
        </w:tc>
        <w:tc>
          <w:tcPr>
            <w:tcW w:w="1134" w:type="dxa"/>
            <w:shd w:val="clear" w:color="auto" w:fill="auto"/>
            <w:vAlign w:val="center"/>
          </w:tcPr>
          <w:p w14:paraId="3E083EA6"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20</w:t>
            </w:r>
          </w:p>
        </w:tc>
      </w:tr>
      <w:tr w:rsidR="002C66D7" w:rsidRPr="00420C1B" w14:paraId="6A5C12EA" w14:textId="77777777" w:rsidTr="00420C1B">
        <w:trPr>
          <w:trHeight w:val="54"/>
        </w:trPr>
        <w:tc>
          <w:tcPr>
            <w:tcW w:w="567" w:type="dxa"/>
            <w:tcBorders>
              <w:top w:val="single" w:sz="4" w:space="0" w:color="auto"/>
              <w:bottom w:val="single" w:sz="4" w:space="0" w:color="auto"/>
            </w:tcBorders>
            <w:shd w:val="clear" w:color="auto" w:fill="auto"/>
            <w:vAlign w:val="center"/>
          </w:tcPr>
          <w:p w14:paraId="1E8792C5" w14:textId="77777777" w:rsidR="00244161" w:rsidRPr="00420C1B" w:rsidRDefault="00244161" w:rsidP="00420C1B">
            <w:pPr>
              <w:spacing w:after="0" w:line="240" w:lineRule="auto"/>
              <w:rPr>
                <w:rFonts w:ascii="Times New Roman" w:hAnsi="Times New Roman"/>
                <w:b/>
                <w:sz w:val="20"/>
                <w:szCs w:val="20"/>
              </w:rPr>
            </w:pPr>
            <w:r w:rsidRPr="00420C1B">
              <w:rPr>
                <w:rFonts w:ascii="Times New Roman" w:hAnsi="Times New Roman"/>
                <w:b/>
                <w:sz w:val="20"/>
                <w:szCs w:val="20"/>
              </w:rPr>
              <w:t>6</w:t>
            </w:r>
          </w:p>
        </w:tc>
        <w:tc>
          <w:tcPr>
            <w:tcW w:w="1557" w:type="dxa"/>
            <w:tcBorders>
              <w:top w:val="single" w:sz="4" w:space="0" w:color="auto"/>
              <w:bottom w:val="single" w:sz="4" w:space="0" w:color="auto"/>
            </w:tcBorders>
            <w:shd w:val="clear" w:color="auto" w:fill="auto"/>
            <w:vAlign w:val="center"/>
          </w:tcPr>
          <w:p w14:paraId="5216522D"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Bandalungwa</w:t>
            </w:r>
          </w:p>
          <w:p w14:paraId="3D5B748B" w14:textId="77777777" w:rsidR="00244161" w:rsidRPr="00420C1B" w:rsidRDefault="00244161" w:rsidP="00420C1B">
            <w:pPr>
              <w:spacing w:after="0" w:line="240" w:lineRule="auto"/>
              <w:rPr>
                <w:rFonts w:ascii="Times New Roman" w:hAnsi="Times New Roman"/>
                <w:sz w:val="20"/>
                <w:szCs w:val="20"/>
              </w:rPr>
            </w:pPr>
          </w:p>
        </w:tc>
        <w:tc>
          <w:tcPr>
            <w:tcW w:w="1560" w:type="dxa"/>
            <w:shd w:val="clear" w:color="auto" w:fill="auto"/>
            <w:vAlign w:val="center"/>
          </w:tcPr>
          <w:p w14:paraId="7892DD6C" w14:textId="77777777" w:rsidR="00244161" w:rsidRPr="00420C1B" w:rsidRDefault="00EA0201" w:rsidP="00420C1B">
            <w:pPr>
              <w:spacing w:after="0" w:line="240" w:lineRule="auto"/>
              <w:rPr>
                <w:rFonts w:ascii="Times New Roman" w:hAnsi="Times New Roman"/>
                <w:sz w:val="20"/>
                <w:szCs w:val="20"/>
              </w:rPr>
            </w:pPr>
            <w:r w:rsidRPr="00420C1B">
              <w:rPr>
                <w:rFonts w:ascii="Times New Roman" w:hAnsi="Times New Roman"/>
                <w:sz w:val="20"/>
                <w:szCs w:val="20"/>
              </w:rPr>
              <w:t>01 juillet 2021</w:t>
            </w:r>
          </w:p>
        </w:tc>
        <w:tc>
          <w:tcPr>
            <w:tcW w:w="4394" w:type="dxa"/>
            <w:shd w:val="clear" w:color="auto" w:fill="auto"/>
          </w:tcPr>
          <w:p w14:paraId="35456BC6"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4344685E"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3264A508"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5A1BF74D"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1" w:type="dxa"/>
            <w:shd w:val="clear" w:color="auto" w:fill="auto"/>
            <w:vAlign w:val="center"/>
          </w:tcPr>
          <w:p w14:paraId="7DEB252D"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40FE383E"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2</w:t>
            </w:r>
          </w:p>
        </w:tc>
        <w:tc>
          <w:tcPr>
            <w:tcW w:w="850" w:type="dxa"/>
            <w:shd w:val="clear" w:color="auto" w:fill="auto"/>
            <w:vAlign w:val="center"/>
          </w:tcPr>
          <w:p w14:paraId="73C076F7"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12</w:t>
            </w:r>
          </w:p>
        </w:tc>
        <w:tc>
          <w:tcPr>
            <w:tcW w:w="1134" w:type="dxa"/>
            <w:shd w:val="clear" w:color="auto" w:fill="auto"/>
            <w:vAlign w:val="center"/>
          </w:tcPr>
          <w:p w14:paraId="39A0D6C5"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18</w:t>
            </w:r>
          </w:p>
        </w:tc>
      </w:tr>
      <w:tr w:rsidR="002C66D7" w:rsidRPr="00420C1B" w14:paraId="3A7522C6" w14:textId="77777777" w:rsidTr="00420C1B">
        <w:trPr>
          <w:trHeight w:val="229"/>
        </w:trPr>
        <w:tc>
          <w:tcPr>
            <w:tcW w:w="567" w:type="dxa"/>
            <w:tcBorders>
              <w:top w:val="single" w:sz="4" w:space="0" w:color="auto"/>
              <w:bottom w:val="single" w:sz="4" w:space="0" w:color="auto"/>
            </w:tcBorders>
            <w:shd w:val="clear" w:color="auto" w:fill="auto"/>
            <w:vAlign w:val="center"/>
          </w:tcPr>
          <w:p w14:paraId="694E828E"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7</w:t>
            </w:r>
          </w:p>
        </w:tc>
        <w:tc>
          <w:tcPr>
            <w:tcW w:w="1557" w:type="dxa"/>
            <w:tcBorders>
              <w:top w:val="single" w:sz="4" w:space="0" w:color="auto"/>
              <w:bottom w:val="single" w:sz="4" w:space="0" w:color="auto"/>
            </w:tcBorders>
            <w:shd w:val="clear" w:color="auto" w:fill="auto"/>
            <w:vAlign w:val="center"/>
          </w:tcPr>
          <w:p w14:paraId="03F382D7"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Ngiri ngiri</w:t>
            </w:r>
          </w:p>
        </w:tc>
        <w:tc>
          <w:tcPr>
            <w:tcW w:w="1560" w:type="dxa"/>
            <w:tcBorders>
              <w:bottom w:val="single" w:sz="4" w:space="0" w:color="auto"/>
            </w:tcBorders>
            <w:shd w:val="clear" w:color="auto" w:fill="auto"/>
            <w:vAlign w:val="center"/>
          </w:tcPr>
          <w:p w14:paraId="2FEF323F" w14:textId="77777777" w:rsidR="00244161" w:rsidRPr="00420C1B" w:rsidRDefault="00EE6526" w:rsidP="00420C1B">
            <w:pPr>
              <w:spacing w:after="0" w:line="240" w:lineRule="auto"/>
              <w:rPr>
                <w:rFonts w:ascii="Times New Roman" w:hAnsi="Times New Roman"/>
                <w:sz w:val="20"/>
                <w:szCs w:val="20"/>
              </w:rPr>
            </w:pPr>
            <w:r w:rsidRPr="00420C1B">
              <w:rPr>
                <w:rFonts w:ascii="Times New Roman" w:hAnsi="Times New Roman"/>
                <w:sz w:val="20"/>
                <w:szCs w:val="20"/>
              </w:rPr>
              <w:t>24 juin 2021</w:t>
            </w:r>
          </w:p>
        </w:tc>
        <w:tc>
          <w:tcPr>
            <w:tcW w:w="4394" w:type="dxa"/>
            <w:tcBorders>
              <w:bottom w:val="single" w:sz="4" w:space="0" w:color="auto"/>
            </w:tcBorders>
            <w:shd w:val="clear" w:color="auto" w:fill="auto"/>
          </w:tcPr>
          <w:p w14:paraId="066760F3"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tcBorders>
              <w:bottom w:val="single" w:sz="4" w:space="0" w:color="auto"/>
            </w:tcBorders>
            <w:shd w:val="clear" w:color="auto" w:fill="auto"/>
            <w:vAlign w:val="center"/>
          </w:tcPr>
          <w:p w14:paraId="46FEF762"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tcBorders>
              <w:bottom w:val="single" w:sz="4" w:space="0" w:color="auto"/>
            </w:tcBorders>
            <w:shd w:val="clear" w:color="auto" w:fill="auto"/>
            <w:vAlign w:val="center"/>
          </w:tcPr>
          <w:p w14:paraId="3E6551C7"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tcBorders>
              <w:bottom w:val="single" w:sz="4" w:space="0" w:color="auto"/>
            </w:tcBorders>
            <w:shd w:val="clear" w:color="auto" w:fill="auto"/>
            <w:vAlign w:val="center"/>
          </w:tcPr>
          <w:p w14:paraId="4FFF1DB4"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7</w:t>
            </w:r>
          </w:p>
        </w:tc>
        <w:tc>
          <w:tcPr>
            <w:tcW w:w="851" w:type="dxa"/>
            <w:tcBorders>
              <w:bottom w:val="single" w:sz="4" w:space="0" w:color="auto"/>
            </w:tcBorders>
            <w:shd w:val="clear" w:color="auto" w:fill="auto"/>
            <w:vAlign w:val="center"/>
          </w:tcPr>
          <w:p w14:paraId="09235723"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tcBorders>
              <w:bottom w:val="single" w:sz="4" w:space="0" w:color="auto"/>
            </w:tcBorders>
            <w:shd w:val="clear" w:color="auto" w:fill="auto"/>
            <w:vAlign w:val="center"/>
          </w:tcPr>
          <w:p w14:paraId="2BD29DE7"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w:t>
            </w:r>
          </w:p>
        </w:tc>
        <w:tc>
          <w:tcPr>
            <w:tcW w:w="850" w:type="dxa"/>
            <w:tcBorders>
              <w:bottom w:val="single" w:sz="4" w:space="0" w:color="auto"/>
            </w:tcBorders>
            <w:shd w:val="clear" w:color="auto" w:fill="auto"/>
            <w:vAlign w:val="center"/>
          </w:tcPr>
          <w:p w14:paraId="4A0065A2"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10</w:t>
            </w:r>
          </w:p>
        </w:tc>
        <w:tc>
          <w:tcPr>
            <w:tcW w:w="1134" w:type="dxa"/>
            <w:tcBorders>
              <w:bottom w:val="single" w:sz="4" w:space="0" w:color="auto"/>
            </w:tcBorders>
            <w:shd w:val="clear" w:color="auto" w:fill="auto"/>
            <w:vAlign w:val="center"/>
          </w:tcPr>
          <w:p w14:paraId="0C47D2F8"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19</w:t>
            </w:r>
          </w:p>
        </w:tc>
      </w:tr>
      <w:tr w:rsidR="002C66D7" w:rsidRPr="00420C1B" w14:paraId="7A399727" w14:textId="77777777" w:rsidTr="00420C1B">
        <w:trPr>
          <w:trHeight w:val="327"/>
        </w:trPr>
        <w:tc>
          <w:tcPr>
            <w:tcW w:w="567" w:type="dxa"/>
            <w:tcBorders>
              <w:top w:val="single" w:sz="4" w:space="0" w:color="auto"/>
              <w:bottom w:val="nil"/>
            </w:tcBorders>
            <w:shd w:val="clear" w:color="auto" w:fill="auto"/>
            <w:vAlign w:val="center"/>
          </w:tcPr>
          <w:p w14:paraId="3AC3E5FD"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8</w:t>
            </w:r>
          </w:p>
        </w:tc>
        <w:tc>
          <w:tcPr>
            <w:tcW w:w="1557" w:type="dxa"/>
            <w:tcBorders>
              <w:top w:val="single" w:sz="4" w:space="0" w:color="auto"/>
            </w:tcBorders>
            <w:shd w:val="clear" w:color="auto" w:fill="auto"/>
            <w:vAlign w:val="center"/>
          </w:tcPr>
          <w:p w14:paraId="085AEF82"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Makala</w:t>
            </w:r>
          </w:p>
        </w:tc>
        <w:tc>
          <w:tcPr>
            <w:tcW w:w="1560" w:type="dxa"/>
            <w:shd w:val="clear" w:color="auto" w:fill="auto"/>
            <w:vAlign w:val="center"/>
          </w:tcPr>
          <w:p w14:paraId="23A3047A" w14:textId="77777777" w:rsidR="00244161" w:rsidRPr="00420C1B" w:rsidRDefault="00EA0201" w:rsidP="00420C1B">
            <w:pPr>
              <w:spacing w:after="0" w:line="240" w:lineRule="auto"/>
              <w:rPr>
                <w:rFonts w:ascii="Times New Roman" w:hAnsi="Times New Roman"/>
                <w:sz w:val="20"/>
                <w:szCs w:val="20"/>
              </w:rPr>
            </w:pPr>
            <w:r w:rsidRPr="00420C1B">
              <w:rPr>
                <w:rFonts w:ascii="Times New Roman" w:hAnsi="Times New Roman"/>
                <w:sz w:val="20"/>
                <w:szCs w:val="20"/>
              </w:rPr>
              <w:t>01 juillet 2021</w:t>
            </w:r>
          </w:p>
        </w:tc>
        <w:tc>
          <w:tcPr>
            <w:tcW w:w="4394" w:type="dxa"/>
            <w:shd w:val="clear" w:color="auto" w:fill="auto"/>
          </w:tcPr>
          <w:p w14:paraId="3FEF8347"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628C1528"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33147B9F"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33D73F4E"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4</w:t>
            </w:r>
          </w:p>
        </w:tc>
        <w:tc>
          <w:tcPr>
            <w:tcW w:w="851" w:type="dxa"/>
            <w:shd w:val="clear" w:color="auto" w:fill="auto"/>
            <w:vAlign w:val="center"/>
          </w:tcPr>
          <w:p w14:paraId="63A4642F"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34A4388A"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1B19DB54"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12</w:t>
            </w:r>
          </w:p>
        </w:tc>
        <w:tc>
          <w:tcPr>
            <w:tcW w:w="1134" w:type="dxa"/>
            <w:shd w:val="clear" w:color="auto" w:fill="auto"/>
            <w:vAlign w:val="center"/>
          </w:tcPr>
          <w:p w14:paraId="49FFED26"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14</w:t>
            </w:r>
          </w:p>
        </w:tc>
      </w:tr>
      <w:tr w:rsidR="002C66D7" w:rsidRPr="00420C1B" w14:paraId="25A7BF87" w14:textId="77777777" w:rsidTr="00420C1B">
        <w:trPr>
          <w:trHeight w:val="207"/>
        </w:trPr>
        <w:tc>
          <w:tcPr>
            <w:tcW w:w="567" w:type="dxa"/>
            <w:tcBorders>
              <w:top w:val="single" w:sz="4" w:space="0" w:color="auto"/>
            </w:tcBorders>
            <w:shd w:val="clear" w:color="auto" w:fill="auto"/>
            <w:vAlign w:val="center"/>
          </w:tcPr>
          <w:p w14:paraId="0E68B6E5"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9</w:t>
            </w:r>
          </w:p>
        </w:tc>
        <w:tc>
          <w:tcPr>
            <w:tcW w:w="1557" w:type="dxa"/>
            <w:tcBorders>
              <w:top w:val="single" w:sz="4" w:space="0" w:color="auto"/>
            </w:tcBorders>
            <w:shd w:val="clear" w:color="auto" w:fill="auto"/>
            <w:vAlign w:val="center"/>
          </w:tcPr>
          <w:p w14:paraId="623D2F41" w14:textId="77777777" w:rsidR="00244161" w:rsidRPr="00420C1B" w:rsidRDefault="00244161" w:rsidP="00420C1B">
            <w:pPr>
              <w:spacing w:after="0" w:line="240" w:lineRule="auto"/>
              <w:rPr>
                <w:rFonts w:ascii="Times New Roman" w:hAnsi="Times New Roman"/>
                <w:sz w:val="20"/>
                <w:szCs w:val="20"/>
              </w:rPr>
            </w:pPr>
            <w:r w:rsidRPr="00420C1B">
              <w:rPr>
                <w:rFonts w:ascii="Times New Roman" w:hAnsi="Times New Roman"/>
                <w:sz w:val="20"/>
                <w:szCs w:val="20"/>
              </w:rPr>
              <w:t>Kalamu</w:t>
            </w:r>
          </w:p>
        </w:tc>
        <w:tc>
          <w:tcPr>
            <w:tcW w:w="1560" w:type="dxa"/>
            <w:shd w:val="clear" w:color="auto" w:fill="auto"/>
            <w:vAlign w:val="center"/>
          </w:tcPr>
          <w:p w14:paraId="604AB611" w14:textId="77777777" w:rsidR="00244161" w:rsidRPr="00420C1B" w:rsidRDefault="00EA0201" w:rsidP="00420C1B">
            <w:pPr>
              <w:spacing w:after="0" w:line="240" w:lineRule="auto"/>
              <w:rPr>
                <w:rFonts w:ascii="Times New Roman" w:hAnsi="Times New Roman"/>
                <w:sz w:val="20"/>
                <w:szCs w:val="20"/>
              </w:rPr>
            </w:pPr>
            <w:r w:rsidRPr="00420C1B">
              <w:rPr>
                <w:rFonts w:ascii="Times New Roman" w:hAnsi="Times New Roman"/>
                <w:sz w:val="20"/>
                <w:szCs w:val="20"/>
              </w:rPr>
              <w:t>01 juin 2021</w:t>
            </w:r>
          </w:p>
        </w:tc>
        <w:tc>
          <w:tcPr>
            <w:tcW w:w="4394" w:type="dxa"/>
            <w:shd w:val="clear" w:color="auto" w:fill="auto"/>
          </w:tcPr>
          <w:p w14:paraId="2D3781C5"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457A2301"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799DBF4B"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33C08999"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6</w:t>
            </w:r>
          </w:p>
        </w:tc>
        <w:tc>
          <w:tcPr>
            <w:tcW w:w="851" w:type="dxa"/>
            <w:shd w:val="clear" w:color="auto" w:fill="auto"/>
            <w:vAlign w:val="center"/>
          </w:tcPr>
          <w:p w14:paraId="7C6B750A"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41760542"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67B47BEE"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10</w:t>
            </w:r>
          </w:p>
        </w:tc>
        <w:tc>
          <w:tcPr>
            <w:tcW w:w="1134" w:type="dxa"/>
            <w:shd w:val="clear" w:color="auto" w:fill="auto"/>
            <w:vAlign w:val="center"/>
          </w:tcPr>
          <w:p w14:paraId="12035A31" w14:textId="77777777" w:rsidR="00244161" w:rsidRPr="00420C1B" w:rsidRDefault="00244161" w:rsidP="00420C1B">
            <w:pPr>
              <w:spacing w:after="0" w:line="240" w:lineRule="auto"/>
              <w:jc w:val="both"/>
              <w:rPr>
                <w:rFonts w:ascii="Times New Roman" w:hAnsi="Times New Roman"/>
                <w:sz w:val="20"/>
                <w:szCs w:val="20"/>
              </w:rPr>
            </w:pPr>
            <w:r w:rsidRPr="00420C1B">
              <w:rPr>
                <w:rFonts w:ascii="Times New Roman" w:hAnsi="Times New Roman"/>
                <w:sz w:val="20"/>
                <w:szCs w:val="20"/>
              </w:rPr>
              <w:t>16</w:t>
            </w:r>
          </w:p>
        </w:tc>
      </w:tr>
      <w:tr w:rsidR="002C66D7" w:rsidRPr="00420C1B" w14:paraId="78D88522" w14:textId="77777777" w:rsidTr="00420C1B">
        <w:trPr>
          <w:trHeight w:val="708"/>
        </w:trPr>
        <w:tc>
          <w:tcPr>
            <w:tcW w:w="567" w:type="dxa"/>
            <w:tcBorders>
              <w:top w:val="single" w:sz="4" w:space="0" w:color="auto"/>
            </w:tcBorders>
            <w:shd w:val="clear" w:color="auto" w:fill="auto"/>
            <w:vAlign w:val="center"/>
          </w:tcPr>
          <w:p w14:paraId="2F6B5A96" w14:textId="77777777" w:rsidR="005F13FF" w:rsidRPr="00420C1B" w:rsidRDefault="005F13FF" w:rsidP="00420C1B">
            <w:pPr>
              <w:spacing w:after="0" w:line="240" w:lineRule="auto"/>
              <w:rPr>
                <w:rFonts w:ascii="Times New Roman" w:hAnsi="Times New Roman"/>
                <w:sz w:val="20"/>
                <w:szCs w:val="20"/>
              </w:rPr>
            </w:pPr>
            <w:r w:rsidRPr="00420C1B">
              <w:rPr>
                <w:rFonts w:ascii="Times New Roman" w:hAnsi="Times New Roman"/>
                <w:sz w:val="20"/>
                <w:szCs w:val="20"/>
              </w:rPr>
              <w:t>10</w:t>
            </w:r>
          </w:p>
        </w:tc>
        <w:tc>
          <w:tcPr>
            <w:tcW w:w="1557" w:type="dxa"/>
            <w:tcBorders>
              <w:top w:val="single" w:sz="4" w:space="0" w:color="auto"/>
            </w:tcBorders>
            <w:shd w:val="clear" w:color="auto" w:fill="auto"/>
            <w:vAlign w:val="center"/>
          </w:tcPr>
          <w:p w14:paraId="447EFD57" w14:textId="77777777" w:rsidR="005F13FF" w:rsidRPr="00420C1B" w:rsidRDefault="005F13FF" w:rsidP="00420C1B">
            <w:pPr>
              <w:spacing w:after="0" w:line="240" w:lineRule="auto"/>
              <w:rPr>
                <w:rFonts w:ascii="Times New Roman" w:hAnsi="Times New Roman"/>
                <w:sz w:val="20"/>
                <w:szCs w:val="20"/>
              </w:rPr>
            </w:pPr>
            <w:r w:rsidRPr="00420C1B">
              <w:rPr>
                <w:rFonts w:ascii="Times New Roman" w:hAnsi="Times New Roman"/>
                <w:sz w:val="20"/>
                <w:szCs w:val="20"/>
              </w:rPr>
              <w:t>Barumbu</w:t>
            </w:r>
          </w:p>
        </w:tc>
        <w:tc>
          <w:tcPr>
            <w:tcW w:w="1560" w:type="dxa"/>
            <w:shd w:val="clear" w:color="auto" w:fill="auto"/>
            <w:vAlign w:val="center"/>
          </w:tcPr>
          <w:p w14:paraId="56C9CC12" w14:textId="77777777" w:rsidR="005F13FF" w:rsidRPr="00420C1B" w:rsidRDefault="005F13FF" w:rsidP="00420C1B">
            <w:pPr>
              <w:spacing w:after="0" w:line="240" w:lineRule="auto"/>
              <w:rPr>
                <w:rFonts w:ascii="Times New Roman" w:hAnsi="Times New Roman"/>
                <w:sz w:val="20"/>
                <w:szCs w:val="20"/>
              </w:rPr>
            </w:pPr>
            <w:r w:rsidRPr="00420C1B">
              <w:rPr>
                <w:rFonts w:ascii="Times New Roman" w:hAnsi="Times New Roman"/>
                <w:sz w:val="20"/>
                <w:szCs w:val="20"/>
              </w:rPr>
              <w:t>07 juillet 2021</w:t>
            </w:r>
          </w:p>
        </w:tc>
        <w:tc>
          <w:tcPr>
            <w:tcW w:w="4394" w:type="dxa"/>
            <w:shd w:val="clear" w:color="auto" w:fill="auto"/>
          </w:tcPr>
          <w:p w14:paraId="16A6A3BC"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Services techniques, les chefs de quartiers, leaders des jeunes, de femmes, des Personnes vivant avec Handicap, et de la société civile</w:t>
            </w:r>
          </w:p>
        </w:tc>
        <w:tc>
          <w:tcPr>
            <w:tcW w:w="853" w:type="dxa"/>
            <w:shd w:val="clear" w:color="auto" w:fill="auto"/>
            <w:vAlign w:val="center"/>
          </w:tcPr>
          <w:p w14:paraId="11E42AEE"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3" w:type="dxa"/>
            <w:shd w:val="clear" w:color="auto" w:fill="auto"/>
            <w:vAlign w:val="center"/>
          </w:tcPr>
          <w:p w14:paraId="794FB8CF"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0271E0ED"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3</w:t>
            </w:r>
          </w:p>
        </w:tc>
        <w:tc>
          <w:tcPr>
            <w:tcW w:w="851" w:type="dxa"/>
            <w:shd w:val="clear" w:color="auto" w:fill="auto"/>
            <w:vAlign w:val="center"/>
          </w:tcPr>
          <w:p w14:paraId="65CEA429"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992" w:type="dxa"/>
            <w:shd w:val="clear" w:color="auto" w:fill="auto"/>
            <w:vAlign w:val="center"/>
          </w:tcPr>
          <w:p w14:paraId="437C9E5A"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0</w:t>
            </w:r>
          </w:p>
        </w:tc>
        <w:tc>
          <w:tcPr>
            <w:tcW w:w="850" w:type="dxa"/>
            <w:shd w:val="clear" w:color="auto" w:fill="auto"/>
            <w:vAlign w:val="center"/>
          </w:tcPr>
          <w:p w14:paraId="1ED3AAEE"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14</w:t>
            </w:r>
          </w:p>
        </w:tc>
        <w:tc>
          <w:tcPr>
            <w:tcW w:w="1134" w:type="dxa"/>
            <w:shd w:val="clear" w:color="auto" w:fill="auto"/>
            <w:vAlign w:val="center"/>
          </w:tcPr>
          <w:p w14:paraId="395123D5" w14:textId="77777777" w:rsidR="005F13FF" w:rsidRPr="00420C1B" w:rsidRDefault="005F13FF" w:rsidP="00420C1B">
            <w:pPr>
              <w:spacing w:after="0" w:line="240" w:lineRule="auto"/>
              <w:jc w:val="both"/>
              <w:rPr>
                <w:rFonts w:ascii="Times New Roman" w:hAnsi="Times New Roman"/>
                <w:sz w:val="20"/>
                <w:szCs w:val="20"/>
              </w:rPr>
            </w:pPr>
            <w:r w:rsidRPr="00420C1B">
              <w:rPr>
                <w:rFonts w:ascii="Times New Roman" w:hAnsi="Times New Roman"/>
                <w:sz w:val="20"/>
                <w:szCs w:val="20"/>
              </w:rPr>
              <w:t>17</w:t>
            </w:r>
          </w:p>
        </w:tc>
      </w:tr>
      <w:tr w:rsidR="00D75D2E" w:rsidRPr="00420C1B" w14:paraId="5E1790B1" w14:textId="77777777" w:rsidTr="00420C1B">
        <w:tc>
          <w:tcPr>
            <w:tcW w:w="13467" w:type="dxa"/>
            <w:gridSpan w:val="10"/>
            <w:shd w:val="clear" w:color="auto" w:fill="auto"/>
          </w:tcPr>
          <w:p w14:paraId="257852A1"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                                  TOTAL </w:t>
            </w:r>
          </w:p>
        </w:tc>
        <w:tc>
          <w:tcPr>
            <w:tcW w:w="1134" w:type="dxa"/>
            <w:shd w:val="clear" w:color="auto" w:fill="auto"/>
          </w:tcPr>
          <w:p w14:paraId="1406A5E9" w14:textId="77777777" w:rsidR="00244161" w:rsidRPr="00420C1B" w:rsidRDefault="00244161" w:rsidP="00420C1B">
            <w:pPr>
              <w:spacing w:after="0" w:line="240" w:lineRule="auto"/>
              <w:jc w:val="both"/>
              <w:rPr>
                <w:rFonts w:ascii="Times New Roman" w:hAnsi="Times New Roman"/>
                <w:b/>
                <w:sz w:val="20"/>
                <w:szCs w:val="20"/>
              </w:rPr>
            </w:pPr>
            <w:r w:rsidRPr="00420C1B">
              <w:rPr>
                <w:rFonts w:ascii="Times New Roman" w:hAnsi="Times New Roman"/>
                <w:b/>
                <w:sz w:val="20"/>
                <w:szCs w:val="20"/>
              </w:rPr>
              <w:t>852</w:t>
            </w:r>
          </w:p>
        </w:tc>
      </w:tr>
    </w:tbl>
    <w:p w14:paraId="4916C738" w14:textId="77777777" w:rsidR="00F16F4B" w:rsidRPr="00E737B4" w:rsidRDefault="00F16F4B" w:rsidP="00E737B4">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09E57EEC" w14:textId="77777777" w:rsidR="00AE61CE" w:rsidRPr="00024B30" w:rsidRDefault="00AE61CE" w:rsidP="00AE61CE">
      <w:pPr>
        <w:spacing w:after="0" w:line="240" w:lineRule="auto"/>
        <w:rPr>
          <w:rFonts w:ascii="Times New Roman" w:hAnsi="Times New Roman"/>
          <w:bCs/>
          <w:i/>
        </w:rPr>
      </w:pPr>
    </w:p>
    <w:p w14:paraId="4442D377" w14:textId="77777777" w:rsidR="00244161" w:rsidRPr="00D75D2E" w:rsidRDefault="00244161" w:rsidP="00244161">
      <w:pPr>
        <w:tabs>
          <w:tab w:val="left" w:pos="426"/>
        </w:tabs>
        <w:spacing w:before="100" w:beforeAutospacing="1" w:after="100" w:afterAutospacing="1" w:line="240" w:lineRule="auto"/>
        <w:jc w:val="both"/>
        <w:rPr>
          <w:rFonts w:ascii="Times New Roman" w:hAnsi="Times New Roman"/>
          <w:sz w:val="24"/>
          <w:szCs w:val="24"/>
        </w:rPr>
        <w:sectPr w:rsidR="00244161" w:rsidRPr="00D75D2E" w:rsidSect="0062151B">
          <w:pgSz w:w="16838" w:h="11906" w:orient="landscape"/>
          <w:pgMar w:top="1440" w:right="1440" w:bottom="1440" w:left="1440" w:header="709" w:footer="709" w:gutter="0"/>
          <w:cols w:space="708"/>
          <w:docGrid w:linePitch="360"/>
        </w:sectPr>
      </w:pPr>
    </w:p>
    <w:p w14:paraId="52B74AC1" w14:textId="676BDE31" w:rsidR="00ED17F3" w:rsidRPr="00215867" w:rsidRDefault="00ED17F3" w:rsidP="00215867">
      <w:pPr>
        <w:pStyle w:val="Titre31"/>
        <w:numPr>
          <w:ilvl w:val="2"/>
          <w:numId w:val="54"/>
        </w:numPr>
        <w:tabs>
          <w:tab w:val="left" w:pos="993"/>
        </w:tabs>
        <w:spacing w:before="120" w:after="120" w:line="20" w:lineRule="atLeast"/>
        <w:ind w:left="993" w:hanging="709"/>
        <w:rPr>
          <w:rFonts w:eastAsia="Calibri"/>
          <w:b w:val="0"/>
          <w:i/>
        </w:rPr>
      </w:pPr>
      <w:bookmarkStart w:id="808" w:name="_Toc16663529"/>
      <w:bookmarkStart w:id="809" w:name="_Toc16663703"/>
      <w:bookmarkStart w:id="810" w:name="_Toc16664948"/>
      <w:bookmarkStart w:id="811" w:name="_Toc103685723"/>
      <w:bookmarkEnd w:id="805"/>
      <w:r w:rsidRPr="00215867">
        <w:rPr>
          <w:rFonts w:eastAsia="Calibri"/>
          <w:i/>
          <w:u w:val="none"/>
        </w:rPr>
        <w:t>Résultats liés aux impacts directs clés du projet</w:t>
      </w:r>
      <w:bookmarkEnd w:id="808"/>
      <w:bookmarkEnd w:id="809"/>
      <w:bookmarkEnd w:id="810"/>
      <w:bookmarkEnd w:id="811"/>
    </w:p>
    <w:p w14:paraId="5CBBB5BD" w14:textId="74E1CEF4" w:rsidR="00ED17F3" w:rsidRPr="00D75D2E" w:rsidRDefault="00ED17F3" w:rsidP="00DE1374">
      <w:pPr>
        <w:spacing w:before="120" w:after="120" w:line="240" w:lineRule="auto"/>
        <w:jc w:val="both"/>
        <w:rPr>
          <w:rFonts w:ascii="Times New Roman" w:hAnsi="Times New Roman"/>
          <w:sz w:val="24"/>
          <w:szCs w:val="24"/>
        </w:rPr>
      </w:pPr>
      <w:r w:rsidRPr="00D75D2E">
        <w:rPr>
          <w:rFonts w:ascii="Times New Roman" w:hAnsi="Times New Roman"/>
          <w:sz w:val="24"/>
          <w:szCs w:val="24"/>
        </w:rPr>
        <w:t xml:space="preserve">Une synthèse de la consultation publique sur les impacts clés du projet est consignée dans le tableau </w:t>
      </w:r>
      <w:r w:rsidR="006B7136">
        <w:rPr>
          <w:rFonts w:ascii="Times New Roman" w:hAnsi="Times New Roman"/>
          <w:sz w:val="24"/>
          <w:szCs w:val="24"/>
        </w:rPr>
        <w:t>49</w:t>
      </w:r>
      <w:r w:rsidRPr="00D75D2E">
        <w:rPr>
          <w:rFonts w:ascii="Times New Roman" w:hAnsi="Times New Roman"/>
          <w:sz w:val="24"/>
          <w:szCs w:val="24"/>
        </w:rPr>
        <w:t xml:space="preserve">. </w:t>
      </w:r>
    </w:p>
    <w:p w14:paraId="2837F585" w14:textId="637CFE4D" w:rsidR="00F844C7" w:rsidRPr="00D75D2E" w:rsidRDefault="00ED17F3" w:rsidP="00DE1374">
      <w:pPr>
        <w:pStyle w:val="Default"/>
        <w:keepNext/>
        <w:spacing w:before="120" w:after="120"/>
        <w:rPr>
          <w:color w:val="auto"/>
          <w:sz w:val="22"/>
          <w:szCs w:val="22"/>
        </w:rPr>
      </w:pPr>
      <w:bookmarkStart w:id="812" w:name="_Toc519048960"/>
      <w:bookmarkStart w:id="813" w:name="_Toc93050318"/>
      <w:r w:rsidRPr="0044616B">
        <w:t xml:space="preserve">Tableau </w:t>
      </w:r>
      <w:r w:rsidR="00E73D66">
        <w:rPr>
          <w:noProof/>
        </w:rPr>
        <w:fldChar w:fldCharType="begin"/>
      </w:r>
      <w:r w:rsidR="00E73D66">
        <w:rPr>
          <w:noProof/>
        </w:rPr>
        <w:instrText xml:space="preserve"> SEQ Tableau \* ARABIC </w:instrText>
      </w:r>
      <w:r w:rsidR="00E73D66">
        <w:rPr>
          <w:noProof/>
        </w:rPr>
        <w:fldChar w:fldCharType="separate"/>
      </w:r>
      <w:r w:rsidR="00A86929">
        <w:rPr>
          <w:noProof/>
        </w:rPr>
        <w:t>56</w:t>
      </w:r>
      <w:r w:rsidR="00E73D66">
        <w:rPr>
          <w:noProof/>
        </w:rPr>
        <w:fldChar w:fldCharType="end"/>
      </w:r>
      <w:r w:rsidRPr="00E737B4">
        <w:t> : Synthèse des réactions et recommandations par rapport aux impacts directs clés du projet lors de la consultation publique</w:t>
      </w:r>
      <w:bookmarkEnd w:id="812"/>
      <w:bookmarkEnd w:id="813"/>
    </w:p>
    <w:tbl>
      <w:tblPr>
        <w:tblW w:w="1488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263"/>
        <w:gridCol w:w="2693"/>
        <w:gridCol w:w="1418"/>
        <w:gridCol w:w="2977"/>
        <w:gridCol w:w="5532"/>
      </w:tblGrid>
      <w:tr w:rsidR="00D75D2E" w:rsidRPr="00420C1B" w14:paraId="4DB6D409" w14:textId="77777777" w:rsidTr="004D65D9">
        <w:trPr>
          <w:tblHeader/>
        </w:trPr>
        <w:tc>
          <w:tcPr>
            <w:tcW w:w="226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14:paraId="05D2AB56" w14:textId="77777777" w:rsidR="00F844C7" w:rsidRPr="00E737B4" w:rsidRDefault="00F844C7" w:rsidP="00F844C7">
            <w:pPr>
              <w:spacing w:after="0" w:line="240" w:lineRule="auto"/>
              <w:rPr>
                <w:rFonts w:ascii="Times New Roman" w:hAnsi="Times New Roman"/>
                <w:b/>
                <w:sz w:val="20"/>
                <w:lang w:eastAsia="fr-FR"/>
              </w:rPr>
            </w:pPr>
            <w:r w:rsidRPr="00E737B4">
              <w:rPr>
                <w:rFonts w:ascii="Times New Roman" w:hAnsi="Times New Roman"/>
                <w:b/>
                <w:sz w:val="20"/>
                <w:lang w:eastAsia="fr-FR"/>
              </w:rPr>
              <w:t>Acteurs/institutions</w:t>
            </w:r>
          </w:p>
        </w:tc>
        <w:tc>
          <w:tcPr>
            <w:tcW w:w="269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14:paraId="7E03C8AC" w14:textId="77777777" w:rsidR="00F844C7" w:rsidRPr="00E737B4" w:rsidRDefault="00F844C7" w:rsidP="00F844C7">
            <w:pPr>
              <w:spacing w:after="0" w:line="240" w:lineRule="auto"/>
              <w:rPr>
                <w:rFonts w:ascii="Times New Roman" w:hAnsi="Times New Roman"/>
                <w:b/>
                <w:sz w:val="20"/>
                <w:lang w:eastAsia="fr-FR"/>
              </w:rPr>
            </w:pPr>
            <w:r w:rsidRPr="00E737B4">
              <w:rPr>
                <w:rFonts w:ascii="Times New Roman" w:hAnsi="Times New Roman"/>
                <w:b/>
                <w:sz w:val="20"/>
                <w:lang w:eastAsia="fr-FR"/>
              </w:rPr>
              <w:t>Points discutés</w:t>
            </w:r>
          </w:p>
        </w:tc>
        <w:tc>
          <w:tcPr>
            <w:tcW w:w="1418"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14:paraId="723664CB" w14:textId="77777777" w:rsidR="00F844C7" w:rsidRPr="00E737B4" w:rsidRDefault="00F844C7" w:rsidP="00F844C7">
            <w:pPr>
              <w:spacing w:after="0" w:line="240" w:lineRule="auto"/>
              <w:ind w:left="360"/>
              <w:rPr>
                <w:rFonts w:ascii="Times New Roman" w:hAnsi="Times New Roman"/>
                <w:b/>
                <w:sz w:val="20"/>
                <w:lang w:eastAsia="fr-FR"/>
              </w:rPr>
            </w:pPr>
            <w:r w:rsidRPr="00E737B4">
              <w:rPr>
                <w:rFonts w:ascii="Times New Roman" w:hAnsi="Times New Roman"/>
                <w:b/>
                <w:sz w:val="20"/>
                <w:lang w:eastAsia="fr-FR"/>
              </w:rPr>
              <w:t>Atouts</w:t>
            </w:r>
          </w:p>
        </w:tc>
        <w:tc>
          <w:tcPr>
            <w:tcW w:w="2977"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14:paraId="2BC5B8C2" w14:textId="77777777" w:rsidR="00F844C7" w:rsidRPr="00E737B4" w:rsidRDefault="00F844C7" w:rsidP="00F844C7">
            <w:pPr>
              <w:spacing w:after="0" w:line="240" w:lineRule="auto"/>
              <w:ind w:left="360"/>
              <w:rPr>
                <w:rFonts w:ascii="Times New Roman" w:hAnsi="Times New Roman"/>
                <w:b/>
                <w:sz w:val="20"/>
              </w:rPr>
            </w:pPr>
            <w:r w:rsidRPr="00E737B4">
              <w:rPr>
                <w:rFonts w:ascii="Times New Roman" w:hAnsi="Times New Roman"/>
                <w:b/>
                <w:sz w:val="20"/>
              </w:rPr>
              <w:t>Préoccupations et craintes</w:t>
            </w:r>
          </w:p>
        </w:tc>
        <w:tc>
          <w:tcPr>
            <w:tcW w:w="5532"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tcPr>
          <w:p w14:paraId="5B4DAB70" w14:textId="77777777" w:rsidR="00F844C7" w:rsidRPr="00E737B4" w:rsidRDefault="00F844C7" w:rsidP="00F844C7">
            <w:pPr>
              <w:spacing w:after="0" w:line="240" w:lineRule="auto"/>
              <w:ind w:left="360"/>
              <w:rPr>
                <w:rFonts w:ascii="Times New Roman" w:hAnsi="Times New Roman"/>
                <w:b/>
                <w:sz w:val="20"/>
              </w:rPr>
            </w:pPr>
            <w:r w:rsidRPr="00E737B4">
              <w:rPr>
                <w:rFonts w:ascii="Times New Roman" w:hAnsi="Times New Roman"/>
                <w:b/>
                <w:sz w:val="20"/>
              </w:rPr>
              <w:t>Suggestions et recommandations</w:t>
            </w:r>
          </w:p>
        </w:tc>
      </w:tr>
      <w:tr w:rsidR="00D75D2E" w:rsidRPr="00420C1B" w14:paraId="20120495" w14:textId="77777777" w:rsidTr="004D65D9">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F129C5" w14:textId="77777777" w:rsidR="00F844C7" w:rsidRPr="00E737B4" w:rsidRDefault="00F844C7" w:rsidP="00F844C7">
            <w:pPr>
              <w:spacing w:after="0" w:line="240" w:lineRule="auto"/>
              <w:jc w:val="both"/>
              <w:rPr>
                <w:rFonts w:ascii="Times New Roman" w:hAnsi="Times New Roman"/>
                <w:b/>
                <w:sz w:val="20"/>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3DC55DD" w14:textId="77777777" w:rsidR="00F844C7" w:rsidRPr="00E737B4" w:rsidRDefault="00F844C7" w:rsidP="00F844C7">
            <w:pPr>
              <w:spacing w:after="0" w:line="240" w:lineRule="auto"/>
              <w:jc w:val="both"/>
              <w:rPr>
                <w:rFonts w:ascii="Times New Roman" w:hAnsi="Times New Roman"/>
                <w:sz w:val="20"/>
                <w:lang w:eastAsia="fr-FR"/>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6D6DD52" w14:textId="77777777" w:rsidR="00F844C7" w:rsidRPr="00E737B4" w:rsidRDefault="00F844C7" w:rsidP="00F844C7">
            <w:pPr>
              <w:spacing w:after="0" w:line="240" w:lineRule="auto"/>
              <w:ind w:left="360"/>
              <w:jc w:val="both"/>
              <w:rPr>
                <w:rFonts w:ascii="Times New Roman" w:hAnsi="Times New Roman"/>
                <w:sz w:val="20"/>
              </w:rPr>
            </w:pP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BF56B0F" w14:textId="77777777" w:rsidR="00F844C7" w:rsidRPr="00E737B4" w:rsidRDefault="00F844C7" w:rsidP="00F844C7">
            <w:pPr>
              <w:spacing w:after="0" w:line="240" w:lineRule="auto"/>
              <w:jc w:val="both"/>
              <w:rPr>
                <w:rFonts w:ascii="Times New Roman" w:hAnsi="Times New Roman"/>
                <w:sz w:val="20"/>
                <w:lang w:eastAsia="fr-FR"/>
              </w:rPr>
            </w:pP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118D0E1" w14:textId="77777777" w:rsidR="00F844C7" w:rsidRPr="00E737B4" w:rsidRDefault="00F844C7" w:rsidP="00F844C7">
            <w:pPr>
              <w:spacing w:after="0" w:line="240" w:lineRule="auto"/>
              <w:jc w:val="both"/>
              <w:rPr>
                <w:rFonts w:ascii="Times New Roman" w:hAnsi="Times New Roman"/>
                <w:sz w:val="20"/>
                <w:lang w:eastAsia="fr-FR"/>
              </w:rPr>
            </w:pPr>
          </w:p>
        </w:tc>
      </w:tr>
      <w:tr w:rsidR="00D75D2E" w:rsidRPr="00420C1B" w14:paraId="16474331" w14:textId="77777777" w:rsidTr="00E737B4">
        <w:trPr>
          <w:trHeight w:val="1880"/>
        </w:trPr>
        <w:tc>
          <w:tcPr>
            <w:tcW w:w="2263" w:type="dxa"/>
            <w:tcBorders>
              <w:top w:val="single" w:sz="4" w:space="0" w:color="00000A"/>
              <w:left w:val="single" w:sz="4" w:space="0" w:color="00000A"/>
              <w:right w:val="single" w:sz="4" w:space="0" w:color="00000A"/>
            </w:tcBorders>
            <w:shd w:val="clear" w:color="auto" w:fill="auto"/>
            <w:tcMar>
              <w:left w:w="108" w:type="dxa"/>
            </w:tcMar>
            <w:vAlign w:val="center"/>
          </w:tcPr>
          <w:p w14:paraId="6E468E7C" w14:textId="77777777" w:rsidR="00F844C7" w:rsidRPr="00E737B4" w:rsidRDefault="00F844C7" w:rsidP="00F844C7">
            <w:pPr>
              <w:spacing w:after="0" w:line="240" w:lineRule="auto"/>
              <w:jc w:val="both"/>
              <w:rPr>
                <w:rFonts w:ascii="Times New Roman" w:hAnsi="Times New Roman"/>
                <w:b/>
                <w:sz w:val="20"/>
                <w:u w:val="single"/>
              </w:rPr>
            </w:pPr>
            <w:r w:rsidRPr="00E737B4">
              <w:rPr>
                <w:rFonts w:ascii="Times New Roman" w:hAnsi="Times New Roman"/>
                <w:b/>
                <w:sz w:val="20"/>
                <w:u w:val="single"/>
              </w:rPr>
              <w:t>Commune de Selembao</w:t>
            </w:r>
          </w:p>
          <w:p w14:paraId="23D51A64" w14:textId="77777777" w:rsidR="00F844C7" w:rsidRPr="00E737B4" w:rsidRDefault="00F844C7" w:rsidP="00F844C7">
            <w:pPr>
              <w:spacing w:after="0" w:line="240" w:lineRule="auto"/>
              <w:jc w:val="both"/>
              <w:rPr>
                <w:rFonts w:ascii="Times New Roman" w:hAnsi="Times New Roman"/>
                <w:b/>
                <w:sz w:val="20"/>
              </w:rPr>
            </w:pPr>
          </w:p>
          <w:p w14:paraId="4162452C" w14:textId="77777777" w:rsidR="00F844C7" w:rsidRPr="00E737B4" w:rsidRDefault="00F844C7" w:rsidP="00F844C7">
            <w:pPr>
              <w:spacing w:after="0" w:line="240" w:lineRule="auto"/>
              <w:jc w:val="both"/>
              <w:rPr>
                <w:rFonts w:ascii="Times New Roman" w:hAnsi="Times New Roman"/>
                <w:b/>
                <w:sz w:val="20"/>
              </w:rPr>
            </w:pPr>
            <w:r w:rsidRPr="00E737B4">
              <w:rPr>
                <w:rFonts w:ascii="Times New Roman" w:hAnsi="Times New Roman"/>
                <w:b/>
                <w:sz w:val="20"/>
              </w:rPr>
              <w:t>Autorités communales, services techniques et administratifs</w:t>
            </w:r>
          </w:p>
          <w:p w14:paraId="72047077" w14:textId="77777777" w:rsidR="00F844C7" w:rsidRPr="00E737B4" w:rsidRDefault="00F844C7" w:rsidP="00F844C7">
            <w:pPr>
              <w:spacing w:after="0" w:line="240" w:lineRule="auto"/>
              <w:jc w:val="both"/>
              <w:rPr>
                <w:rFonts w:ascii="Times New Roman" w:hAnsi="Times New Roman"/>
                <w:b/>
                <w:sz w:val="20"/>
              </w:rPr>
            </w:pPr>
          </w:p>
        </w:tc>
        <w:tc>
          <w:tcPr>
            <w:tcW w:w="2693" w:type="dxa"/>
            <w:tcBorders>
              <w:top w:val="single" w:sz="4" w:space="0" w:color="00000A"/>
              <w:left w:val="single" w:sz="4" w:space="0" w:color="00000A"/>
              <w:right w:val="single" w:sz="4" w:space="0" w:color="00000A"/>
            </w:tcBorders>
            <w:shd w:val="clear" w:color="auto" w:fill="auto"/>
            <w:tcMar>
              <w:left w:w="108" w:type="dxa"/>
            </w:tcMar>
            <w:vAlign w:val="center"/>
          </w:tcPr>
          <w:p w14:paraId="2F5B6A03" w14:textId="77777777" w:rsidR="00F844C7" w:rsidRPr="00E737B4" w:rsidRDefault="00F844C7" w:rsidP="00F844C7">
            <w:pPr>
              <w:spacing w:after="0" w:line="240" w:lineRule="auto"/>
              <w:jc w:val="both"/>
              <w:rPr>
                <w:rFonts w:ascii="Times New Roman" w:hAnsi="Times New Roman"/>
                <w:sz w:val="20"/>
              </w:rPr>
            </w:pPr>
            <w:r w:rsidRPr="00E737B4">
              <w:rPr>
                <w:rFonts w:ascii="Times New Roman" w:hAnsi="Times New Roman"/>
                <w:sz w:val="20"/>
              </w:rPr>
              <w:t>1. présentation du Projet ;</w:t>
            </w:r>
          </w:p>
          <w:p w14:paraId="60FEB467" w14:textId="77777777" w:rsidR="00F844C7" w:rsidRPr="00E737B4" w:rsidRDefault="00F844C7" w:rsidP="00F844C7">
            <w:pPr>
              <w:tabs>
                <w:tab w:val="left" w:pos="360"/>
              </w:tabs>
              <w:autoSpaceDE w:val="0"/>
              <w:autoSpaceDN w:val="0"/>
              <w:adjustRightInd w:val="0"/>
              <w:spacing w:after="0" w:line="240" w:lineRule="auto"/>
              <w:contextualSpacing/>
              <w:jc w:val="both"/>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265BBFEB" w14:textId="77777777" w:rsidR="00F844C7" w:rsidRPr="00E737B4" w:rsidRDefault="00F844C7" w:rsidP="00F844C7">
            <w:pPr>
              <w:spacing w:after="0" w:line="240" w:lineRule="auto"/>
              <w:rPr>
                <w:rFonts w:ascii="Times New Roman" w:hAnsi="Times New Roman"/>
                <w:sz w:val="20"/>
                <w:lang w:eastAsia="fr-FR"/>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p>
        </w:tc>
        <w:tc>
          <w:tcPr>
            <w:tcW w:w="1418" w:type="dxa"/>
            <w:tcBorders>
              <w:top w:val="single" w:sz="4" w:space="0" w:color="00000A"/>
              <w:left w:val="single" w:sz="4" w:space="0" w:color="00000A"/>
              <w:right w:val="single" w:sz="4" w:space="0" w:color="00000A"/>
            </w:tcBorders>
            <w:shd w:val="clear" w:color="auto" w:fill="auto"/>
            <w:tcMar>
              <w:left w:w="108" w:type="dxa"/>
            </w:tcMar>
            <w:vAlign w:val="center"/>
          </w:tcPr>
          <w:p w14:paraId="28DE4E73" w14:textId="77777777" w:rsidR="00F844C7" w:rsidRPr="00E737B4" w:rsidRDefault="00F844C7" w:rsidP="00F844C7">
            <w:pPr>
              <w:spacing w:after="0" w:line="240" w:lineRule="auto"/>
              <w:jc w:val="both"/>
              <w:rPr>
                <w:rFonts w:ascii="Times New Roman" w:hAnsi="Times New Roman"/>
                <w:sz w:val="20"/>
              </w:rPr>
            </w:pPr>
            <w:r w:rsidRPr="00E737B4">
              <w:rPr>
                <w:rFonts w:ascii="Times New Roman" w:hAnsi="Times New Roman"/>
                <w:bCs/>
                <w:sz w:val="20"/>
                <w:lang w:val="fr-MC"/>
              </w:rPr>
              <w:t xml:space="preserve">Les autorités ont promis un soutien total au projet en vue d’une meilleure réussite </w:t>
            </w:r>
          </w:p>
        </w:tc>
        <w:tc>
          <w:tcPr>
            <w:tcW w:w="2977" w:type="dxa"/>
            <w:tcBorders>
              <w:top w:val="single" w:sz="4" w:space="0" w:color="00000A"/>
              <w:left w:val="single" w:sz="4" w:space="0" w:color="00000A"/>
              <w:right w:val="single" w:sz="4" w:space="0" w:color="00000A"/>
            </w:tcBorders>
            <w:shd w:val="clear" w:color="auto" w:fill="auto"/>
            <w:tcMar>
              <w:left w:w="108" w:type="dxa"/>
            </w:tcMar>
            <w:vAlign w:val="center"/>
          </w:tcPr>
          <w:p w14:paraId="73744E77"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L’insuffisance d’information sur l’évolution du processus du projet ;</w:t>
            </w:r>
          </w:p>
          <w:p w14:paraId="4FF33061"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L’insécurité ou vol de matériels pendant les travaux de construction</w:t>
            </w:r>
          </w:p>
          <w:p w14:paraId="3F93CA89" w14:textId="77777777" w:rsidR="00F844C7" w:rsidRPr="00E737B4" w:rsidRDefault="00F844C7" w:rsidP="00E737B4">
            <w:pPr>
              <w:spacing w:after="0" w:line="240" w:lineRule="auto"/>
              <w:ind w:left="176"/>
              <w:rPr>
                <w:rFonts w:ascii="Times New Roman" w:hAnsi="Times New Roman"/>
                <w:sz w:val="20"/>
              </w:rPr>
            </w:pPr>
          </w:p>
        </w:tc>
        <w:tc>
          <w:tcPr>
            <w:tcW w:w="5532" w:type="dxa"/>
            <w:tcBorders>
              <w:top w:val="single" w:sz="4" w:space="0" w:color="00000A"/>
              <w:left w:val="single" w:sz="4" w:space="0" w:color="00000A"/>
              <w:right w:val="single" w:sz="4" w:space="0" w:color="00000A"/>
            </w:tcBorders>
            <w:shd w:val="clear" w:color="auto" w:fill="auto"/>
            <w:tcMar>
              <w:left w:w="108" w:type="dxa"/>
            </w:tcMar>
            <w:vAlign w:val="center"/>
          </w:tcPr>
          <w:p w14:paraId="23CDC6AF"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Informer toutes les parties prenantes du projet sur l’évolution de son processus à travers le comité de suivi et le bourgmestre ;</w:t>
            </w:r>
          </w:p>
          <w:p w14:paraId="284BE40B"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Impliquer le comité de suivi et le comité local d’énergie pour un meilleur suivi et accompagnement du projet ;</w:t>
            </w:r>
          </w:p>
          <w:p w14:paraId="027843E1"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Solliciter le service de sécurité communale pour mieux accompagner le projet pendant les travaux afin d’éviter le vol des matériels ;</w:t>
            </w:r>
          </w:p>
          <w:p w14:paraId="5AD0C5F6"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Assurer une large sensibilisation auprès de la population riveraine</w:t>
            </w:r>
          </w:p>
        </w:tc>
      </w:tr>
      <w:tr w:rsidR="00D75D2E" w:rsidRPr="00420C1B" w14:paraId="151196A4" w14:textId="77777777" w:rsidTr="004D65D9">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6E96A98" w14:textId="77777777" w:rsidR="00F844C7" w:rsidRPr="00E737B4" w:rsidRDefault="00F844C7" w:rsidP="00F844C7">
            <w:pPr>
              <w:spacing w:after="0" w:line="240" w:lineRule="auto"/>
              <w:rPr>
                <w:rFonts w:ascii="Times New Roman" w:hAnsi="Times New Roman"/>
                <w:b/>
                <w:sz w:val="20"/>
              </w:rPr>
            </w:pPr>
            <w:r w:rsidRPr="00E737B4">
              <w:rPr>
                <w:rFonts w:ascii="Times New Roman" w:hAnsi="Times New Roman"/>
                <w:b/>
                <w:sz w:val="20"/>
                <w:lang w:eastAsia="fr-FR"/>
              </w:rPr>
              <w:t xml:space="preserve">Responsables locaux, populations riveraines, associations </w:t>
            </w:r>
            <w:r w:rsidRPr="00E737B4">
              <w:rPr>
                <w:rFonts w:ascii="Times New Roman" w:hAnsi="Times New Roman"/>
                <w:b/>
                <w:sz w:val="20"/>
              </w:rPr>
              <w:t>des jeunes et femmes</w:t>
            </w:r>
          </w:p>
          <w:p w14:paraId="03AB211D" w14:textId="77777777" w:rsidR="00F844C7" w:rsidRPr="00E737B4" w:rsidRDefault="00F844C7" w:rsidP="00F844C7">
            <w:pPr>
              <w:spacing w:after="0" w:line="240" w:lineRule="auto"/>
              <w:jc w:val="both"/>
              <w:rPr>
                <w:rFonts w:ascii="Times New Roman" w:hAnsi="Times New Roman"/>
                <w:b/>
                <w:sz w:val="20"/>
                <w:lang w:eastAsia="fr-FR"/>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7220B7C" w14:textId="77777777" w:rsidR="00F844C7" w:rsidRPr="00E737B4" w:rsidRDefault="00F844C7" w:rsidP="00F844C7">
            <w:pPr>
              <w:spacing w:after="0" w:line="240" w:lineRule="auto"/>
              <w:jc w:val="both"/>
              <w:rPr>
                <w:rFonts w:ascii="Times New Roman" w:hAnsi="Times New Roman"/>
                <w:sz w:val="20"/>
              </w:rPr>
            </w:pPr>
            <w:r w:rsidRPr="00E737B4">
              <w:rPr>
                <w:rFonts w:ascii="Times New Roman" w:hAnsi="Times New Roman"/>
                <w:sz w:val="20"/>
                <w:lang w:eastAsia="fr-FR"/>
              </w:rPr>
              <w:t>1-</w:t>
            </w:r>
            <w:r w:rsidRPr="00E737B4">
              <w:rPr>
                <w:rFonts w:ascii="Times New Roman" w:hAnsi="Times New Roman"/>
                <w:sz w:val="20"/>
              </w:rPr>
              <w:t xml:space="preserve"> présentation du Projet ;</w:t>
            </w:r>
          </w:p>
          <w:p w14:paraId="501F657E" w14:textId="77777777" w:rsidR="00F844C7" w:rsidRPr="00E737B4" w:rsidRDefault="00F844C7" w:rsidP="00F844C7">
            <w:pPr>
              <w:tabs>
                <w:tab w:val="left" w:pos="360"/>
              </w:tabs>
              <w:autoSpaceDE w:val="0"/>
              <w:autoSpaceDN w:val="0"/>
              <w:adjustRightInd w:val="0"/>
              <w:spacing w:after="0" w:line="240" w:lineRule="auto"/>
              <w:contextualSpacing/>
              <w:jc w:val="both"/>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5F857D9F" w14:textId="77777777" w:rsidR="00F844C7" w:rsidRPr="00E737B4" w:rsidRDefault="00F844C7" w:rsidP="00F844C7">
            <w:pPr>
              <w:spacing w:after="0" w:line="240" w:lineRule="auto"/>
              <w:jc w:val="both"/>
              <w:rPr>
                <w:rFonts w:ascii="Times New Roman" w:hAnsi="Times New Roman"/>
                <w:sz w:val="20"/>
                <w:lang w:eastAsia="fr-FR"/>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r w:rsidRPr="00E737B4">
              <w:rPr>
                <w:rFonts w:ascii="Times New Roman" w:hAnsi="Times New Roman"/>
                <w:sz w:val="20"/>
                <w:lang w:eastAsia="fr-FR"/>
              </w:rPr>
              <w:t xml:space="preserve"> </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F31175A" w14:textId="77777777" w:rsidR="00F844C7" w:rsidRPr="00E737B4" w:rsidRDefault="00F844C7" w:rsidP="00F844C7">
            <w:pPr>
              <w:spacing w:after="0" w:line="240" w:lineRule="auto"/>
              <w:jc w:val="both"/>
              <w:rPr>
                <w:rFonts w:ascii="Times New Roman" w:hAnsi="Times New Roman"/>
                <w:sz w:val="20"/>
              </w:rPr>
            </w:pPr>
            <w:r w:rsidRPr="00E737B4">
              <w:rPr>
                <w:rFonts w:ascii="Times New Roman" w:hAnsi="Times New Roman"/>
                <w:sz w:val="20"/>
              </w:rPr>
              <w:t>-La disponibilité de la main d’œuvre locale surtout les jeunes</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959A253"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réclamation des indemnisations par certaines personnes alors qu’elles ne sont pas affectées par le projet ;</w:t>
            </w:r>
          </w:p>
          <w:p w14:paraId="3EB520B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 non emploi de la main d’œuvre locale.</w:t>
            </w: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5B41EA3"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Impliquer le comité local du suivi afin de réaliser le recensement des vraies PAP et éviter d’éventuelle polémique en phase d’indemnisation ;</w:t>
            </w:r>
          </w:p>
          <w:p w14:paraId="2A08221E"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Prévoir le recrutement de la main d’œuvre locale surtout les jeunes lors de la phase des travaux.  </w:t>
            </w:r>
          </w:p>
        </w:tc>
      </w:tr>
      <w:tr w:rsidR="00D75D2E" w:rsidRPr="00420C1B" w14:paraId="0EB277B9" w14:textId="77777777" w:rsidTr="004D65D9">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ECCDED4" w14:textId="77777777" w:rsidR="00F844C7" w:rsidRPr="00E737B4" w:rsidRDefault="00F844C7" w:rsidP="00F844C7">
            <w:pPr>
              <w:spacing w:after="0" w:line="240" w:lineRule="auto"/>
              <w:rPr>
                <w:rFonts w:ascii="Times New Roman" w:hAnsi="Times New Roman"/>
                <w:b/>
                <w:noProof/>
                <w:sz w:val="20"/>
                <w:lang w:eastAsia="fr-FR"/>
              </w:rPr>
            </w:pPr>
          </w:p>
          <w:p w14:paraId="748D4F44" w14:textId="77777777" w:rsidR="00F844C7" w:rsidRPr="00E737B4" w:rsidRDefault="00F844C7" w:rsidP="00F844C7">
            <w:pPr>
              <w:spacing w:after="0" w:line="240" w:lineRule="auto"/>
              <w:rPr>
                <w:rFonts w:ascii="Times New Roman" w:hAnsi="Times New Roman"/>
                <w:b/>
                <w:noProof/>
                <w:sz w:val="20"/>
                <w:lang w:eastAsia="fr-FR"/>
              </w:rPr>
            </w:pPr>
            <w:r w:rsidRPr="00E737B4">
              <w:rPr>
                <w:rFonts w:ascii="Times New Roman" w:hAnsi="Times New Roman"/>
                <w:b/>
                <w:noProof/>
                <w:sz w:val="20"/>
                <w:lang w:eastAsia="fr-FR"/>
              </w:rPr>
              <w:t>Commune de Ngaliema</w:t>
            </w:r>
          </w:p>
          <w:p w14:paraId="6C26E540" w14:textId="77777777" w:rsidR="00F844C7" w:rsidRPr="00E737B4" w:rsidRDefault="00F844C7" w:rsidP="00F844C7">
            <w:pPr>
              <w:spacing w:after="0" w:line="240" w:lineRule="auto"/>
              <w:rPr>
                <w:rFonts w:ascii="Times New Roman" w:hAnsi="Times New Roman"/>
                <w:b/>
                <w:sz w:val="20"/>
                <w:lang w:eastAsia="fr-FR"/>
              </w:rPr>
            </w:pPr>
          </w:p>
          <w:p w14:paraId="2B35CAB4" w14:textId="77777777" w:rsidR="00F844C7" w:rsidRPr="00E737B4" w:rsidRDefault="00F844C7" w:rsidP="00F844C7">
            <w:pPr>
              <w:spacing w:after="0" w:line="240" w:lineRule="auto"/>
              <w:jc w:val="both"/>
              <w:rPr>
                <w:rFonts w:ascii="Times New Roman" w:hAnsi="Times New Roman"/>
                <w:b/>
                <w:sz w:val="20"/>
              </w:rPr>
            </w:pPr>
          </w:p>
          <w:p w14:paraId="49AE1802" w14:textId="77777777" w:rsidR="00F844C7" w:rsidRPr="00E737B4" w:rsidRDefault="00F844C7" w:rsidP="00F844C7">
            <w:pPr>
              <w:spacing w:after="0" w:line="240" w:lineRule="auto"/>
              <w:jc w:val="both"/>
              <w:rPr>
                <w:rFonts w:ascii="Times New Roman" w:hAnsi="Times New Roman"/>
                <w:b/>
                <w:sz w:val="20"/>
              </w:rPr>
            </w:pPr>
            <w:r w:rsidRPr="00E737B4">
              <w:rPr>
                <w:rFonts w:ascii="Times New Roman" w:hAnsi="Times New Roman"/>
                <w:b/>
                <w:sz w:val="20"/>
              </w:rPr>
              <w:t>Autorités communales, services techniques et administratifs</w:t>
            </w:r>
          </w:p>
          <w:p w14:paraId="36DBDC8B" w14:textId="77777777" w:rsidR="00F844C7" w:rsidRPr="00E737B4" w:rsidRDefault="00F844C7" w:rsidP="00F844C7">
            <w:pPr>
              <w:spacing w:after="0" w:line="240" w:lineRule="auto"/>
              <w:jc w:val="both"/>
              <w:rPr>
                <w:rFonts w:ascii="Times New Roman" w:hAnsi="Times New Roman"/>
                <w:b/>
                <w:sz w:val="20"/>
                <w:lang w:eastAsia="fr-FR"/>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BA895D7" w14:textId="77777777" w:rsidR="00F844C7" w:rsidRPr="00E737B4" w:rsidRDefault="00F844C7" w:rsidP="00F844C7">
            <w:pPr>
              <w:spacing w:after="0" w:line="240" w:lineRule="auto"/>
              <w:jc w:val="both"/>
              <w:rPr>
                <w:rFonts w:ascii="Times New Roman" w:hAnsi="Times New Roman"/>
                <w:sz w:val="20"/>
                <w:lang w:eastAsia="fr-FR"/>
              </w:rPr>
            </w:pPr>
          </w:p>
          <w:p w14:paraId="7D892EAC" w14:textId="77777777" w:rsidR="00F844C7" w:rsidRPr="00E737B4" w:rsidRDefault="00F844C7" w:rsidP="00F844C7">
            <w:pPr>
              <w:spacing w:after="0" w:line="240" w:lineRule="auto"/>
              <w:jc w:val="both"/>
              <w:rPr>
                <w:rFonts w:ascii="Times New Roman" w:hAnsi="Times New Roman"/>
                <w:sz w:val="20"/>
              </w:rPr>
            </w:pPr>
            <w:r w:rsidRPr="00E737B4">
              <w:rPr>
                <w:rFonts w:ascii="Times New Roman" w:hAnsi="Times New Roman"/>
                <w:sz w:val="20"/>
                <w:lang w:eastAsia="fr-FR"/>
              </w:rPr>
              <w:t>1-</w:t>
            </w:r>
            <w:r w:rsidRPr="00E737B4">
              <w:rPr>
                <w:rFonts w:ascii="Times New Roman" w:hAnsi="Times New Roman"/>
                <w:sz w:val="20"/>
              </w:rPr>
              <w:t xml:space="preserve"> présentation du Projet ;</w:t>
            </w:r>
          </w:p>
          <w:p w14:paraId="12D066F6" w14:textId="77777777" w:rsidR="00F844C7" w:rsidRPr="00E737B4" w:rsidRDefault="00F844C7" w:rsidP="00F844C7">
            <w:pPr>
              <w:tabs>
                <w:tab w:val="left" w:pos="360"/>
              </w:tabs>
              <w:autoSpaceDE w:val="0"/>
              <w:autoSpaceDN w:val="0"/>
              <w:adjustRightInd w:val="0"/>
              <w:spacing w:after="0" w:line="240" w:lineRule="auto"/>
              <w:contextualSpacing/>
              <w:jc w:val="both"/>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600AA330" w14:textId="77777777" w:rsidR="00F844C7" w:rsidRPr="00E737B4" w:rsidRDefault="00F844C7" w:rsidP="00F844C7">
            <w:pPr>
              <w:spacing w:after="0" w:line="240" w:lineRule="auto"/>
              <w:jc w:val="both"/>
              <w:rPr>
                <w:rFonts w:ascii="Times New Roman" w:hAnsi="Times New Roman"/>
                <w:sz w:val="20"/>
                <w:lang w:eastAsia="fr-FR"/>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r w:rsidRPr="00E737B4">
              <w:rPr>
                <w:rFonts w:ascii="Times New Roman" w:hAnsi="Times New Roman"/>
                <w:sz w:val="20"/>
                <w:lang w:eastAsia="fr-FR"/>
              </w:rPr>
              <w:t xml:space="preserve"> </w:t>
            </w:r>
          </w:p>
          <w:p w14:paraId="13234EA5" w14:textId="77777777" w:rsidR="00F844C7" w:rsidRPr="00E737B4" w:rsidRDefault="00F844C7" w:rsidP="00F844C7">
            <w:pPr>
              <w:spacing w:after="0" w:line="240" w:lineRule="auto"/>
              <w:jc w:val="both"/>
              <w:rPr>
                <w:rFonts w:ascii="Times New Roman" w:hAnsi="Times New Roman"/>
                <w:sz w:val="20"/>
                <w:lang w:eastAsia="fr-FR"/>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C8CBA20" w14:textId="77777777" w:rsidR="00F844C7" w:rsidRPr="00E737B4" w:rsidRDefault="00DE1374" w:rsidP="00F844C7">
            <w:pPr>
              <w:spacing w:after="0" w:line="240" w:lineRule="auto"/>
              <w:jc w:val="both"/>
              <w:rPr>
                <w:rFonts w:ascii="Times New Roman" w:hAnsi="Times New Roman"/>
                <w:sz w:val="20"/>
              </w:rPr>
            </w:pPr>
            <w:r w:rsidRPr="00D45E60">
              <w:rPr>
                <w:rFonts w:ascii="Times New Roman" w:hAnsi="Times New Roman"/>
                <w:bCs/>
                <w:sz w:val="20"/>
                <w:lang w:val="fr-MC"/>
              </w:rPr>
              <w:t>Les autorités ont promis un soutien total au projet en vue d’une meilleure réussite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DCD4194"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L’insuffisance d’implication des acteurs communaux dans les choix des sites des poteaux et des cabines ;</w:t>
            </w:r>
          </w:p>
          <w:p w14:paraId="5659B071"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L’insuffisance de l’électricité dans de nombreux quartiers de la commune ;</w:t>
            </w:r>
          </w:p>
          <w:p w14:paraId="49D2CB8C"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Les accidents d’électrocution et autres  décharges électriques occasionnées par les lignes souterraines surtout les fils torsadés.</w:t>
            </w: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6D7944C"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Impliquer l’ensemble des acteurs locaux pour une meilleure réussite du projet ;</w:t>
            </w:r>
          </w:p>
          <w:p w14:paraId="07610AAB"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Privilégier les lignes électriques aériennes et éviter les lignes souterraines mal faites et qui sont des dangers pour les populations ;</w:t>
            </w:r>
          </w:p>
          <w:p w14:paraId="30E2FA8B"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Informer et sensibiliser les populations sur les risques liés à l’électricité notamment l’électrocution ;</w:t>
            </w:r>
          </w:p>
        </w:tc>
      </w:tr>
      <w:tr w:rsidR="00D75D2E" w:rsidRPr="00420C1B" w14:paraId="114FE2B3" w14:textId="77777777" w:rsidTr="00E737B4">
        <w:trPr>
          <w:trHeight w:val="3854"/>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A7A3C9" w14:textId="77777777" w:rsidR="00F844C7" w:rsidRPr="00E737B4" w:rsidRDefault="00F844C7" w:rsidP="00EE6526">
            <w:pPr>
              <w:spacing w:after="0" w:line="240" w:lineRule="auto"/>
              <w:rPr>
                <w:rFonts w:ascii="Times New Roman" w:hAnsi="Times New Roman"/>
                <w:b/>
                <w:sz w:val="20"/>
                <w:lang w:eastAsia="fr-FR"/>
              </w:rPr>
            </w:pPr>
          </w:p>
          <w:p w14:paraId="0D433CF9" w14:textId="77777777" w:rsidR="00F844C7" w:rsidRPr="00E737B4" w:rsidRDefault="00F844C7" w:rsidP="00E737B4">
            <w:pPr>
              <w:spacing w:after="0" w:line="240" w:lineRule="auto"/>
              <w:rPr>
                <w:rFonts w:ascii="Times New Roman" w:hAnsi="Times New Roman"/>
                <w:sz w:val="20"/>
                <w:lang w:eastAsia="fr-FR"/>
              </w:rPr>
            </w:pPr>
            <w:r w:rsidRPr="00E737B4">
              <w:rPr>
                <w:rFonts w:ascii="Times New Roman" w:hAnsi="Times New Roman"/>
                <w:b/>
                <w:sz w:val="20"/>
                <w:lang w:eastAsia="fr-FR"/>
              </w:rPr>
              <w:t xml:space="preserve">Responsables locaux, populations riveraines, associations </w:t>
            </w:r>
            <w:r w:rsidRPr="00E737B4">
              <w:rPr>
                <w:rFonts w:ascii="Times New Roman" w:hAnsi="Times New Roman"/>
                <w:b/>
                <w:sz w:val="20"/>
              </w:rPr>
              <w:t>des jeunes et femmes</w:t>
            </w: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786E61C" w14:textId="77777777" w:rsidR="00F844C7" w:rsidRPr="00E737B4" w:rsidRDefault="00F844C7" w:rsidP="00E737B4">
            <w:pPr>
              <w:spacing w:after="0" w:line="240" w:lineRule="auto"/>
              <w:rPr>
                <w:rFonts w:ascii="Times New Roman" w:hAnsi="Times New Roman"/>
                <w:sz w:val="20"/>
                <w:lang w:eastAsia="fr-FR"/>
              </w:rPr>
            </w:pPr>
          </w:p>
          <w:p w14:paraId="3D36AF37"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lang w:eastAsia="fr-FR"/>
              </w:rPr>
              <w:t>1-</w:t>
            </w:r>
            <w:r w:rsidRPr="00E737B4">
              <w:rPr>
                <w:rFonts w:ascii="Times New Roman" w:hAnsi="Times New Roman"/>
                <w:sz w:val="20"/>
              </w:rPr>
              <w:t xml:space="preserve"> présentation du Projet ;</w:t>
            </w:r>
          </w:p>
          <w:p w14:paraId="75ECB229" w14:textId="77777777" w:rsidR="00F844C7" w:rsidRPr="00E737B4" w:rsidRDefault="00F844C7" w:rsidP="00E737B4">
            <w:pPr>
              <w:tabs>
                <w:tab w:val="left" w:pos="360"/>
              </w:tabs>
              <w:autoSpaceDE w:val="0"/>
              <w:autoSpaceDN w:val="0"/>
              <w:adjustRightInd w:val="0"/>
              <w:spacing w:after="0" w:line="240" w:lineRule="auto"/>
              <w:contextualSpacing/>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147BBF4A" w14:textId="77777777" w:rsidR="00F844C7" w:rsidRPr="00E737B4" w:rsidRDefault="00F844C7" w:rsidP="00EE6526">
            <w:pPr>
              <w:spacing w:after="0" w:line="240" w:lineRule="auto"/>
              <w:rPr>
                <w:rFonts w:ascii="Times New Roman" w:hAnsi="Times New Roman"/>
                <w:sz w:val="20"/>
                <w:lang w:eastAsia="fr-FR"/>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663F0A" w14:textId="77777777" w:rsidR="00F844C7" w:rsidRPr="00E737B4" w:rsidRDefault="00F844C7" w:rsidP="00E737B4">
            <w:pPr>
              <w:spacing w:after="0" w:line="240" w:lineRule="auto"/>
              <w:rPr>
                <w:rFonts w:ascii="Times New Roman" w:hAnsi="Times New Roman"/>
                <w:sz w:val="20"/>
              </w:rPr>
            </w:pPr>
          </w:p>
          <w:p w14:paraId="6F8D5592"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rPr>
              <w:t>Bonne acceptation du projet</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18B44F" w14:textId="77777777" w:rsidR="00F844C7" w:rsidRPr="00E737B4" w:rsidRDefault="00F844C7" w:rsidP="00E737B4">
            <w:pPr>
              <w:spacing w:after="0" w:line="240" w:lineRule="auto"/>
              <w:rPr>
                <w:rFonts w:ascii="Times New Roman" w:hAnsi="Times New Roman"/>
                <w:sz w:val="20"/>
              </w:rPr>
            </w:pPr>
          </w:p>
          <w:p w14:paraId="7AC9EE5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vétusté des installations électriques ;</w:t>
            </w:r>
          </w:p>
          <w:p w14:paraId="2FC8C5C3"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non-tenue des promesses d’installation de compteurs par les projets antérieurs similaires ;</w:t>
            </w:r>
          </w:p>
          <w:p w14:paraId="44579AFD"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Absence des services de maintenance ;</w:t>
            </w:r>
          </w:p>
          <w:p w14:paraId="6FE1AAE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 non recrutement de la main d’œuvre locale ;</w:t>
            </w:r>
          </w:p>
          <w:p w14:paraId="3F658B2D"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 traitement non conséquent des travailleurs salariés et journaliers ;</w:t>
            </w:r>
          </w:p>
          <w:p w14:paraId="3599068E"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résolution à l’amiable de tout éventuel conflit lié à ce projet.</w:t>
            </w: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9D3AD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Assurer la maintenance, la distribution et le contrôle du réseau pour éviter les raccordements frauduleux et les accidents liés à l’électricité ;</w:t>
            </w:r>
          </w:p>
          <w:p w14:paraId="0CE65DD6"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Impliquer l’ensemble des acteurs (société civile, ONGs, autorité communale) en cas de déplacement des populations ;</w:t>
            </w:r>
          </w:p>
          <w:p w14:paraId="7CAAA285"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Instaurer constamment le dialogue entre le Projet et les populations situées dans l’emprise des infrastructures électriques à construire ;</w:t>
            </w:r>
          </w:p>
          <w:p w14:paraId="3929C8F8"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Faire assister les personnes affectées par le projet (PAP) par de juristes pour leur meilleur encadrement ;</w:t>
            </w:r>
          </w:p>
          <w:p w14:paraId="130FA74A"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 Indemniser à juste valeur les personnes affectées qui perdront des biens ;</w:t>
            </w:r>
          </w:p>
          <w:p w14:paraId="5A918983"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Recruter la main d’œuvre locale lors des travaux et réserver un bon traitement aux ouvriers salariés et journaliers, pour faire bien avancer les travaux et prévenir les vols des matériaux.</w:t>
            </w:r>
          </w:p>
          <w:p w14:paraId="1C55594F" w14:textId="766098F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 Mettre en place un mécanisme de gestion des </w:t>
            </w:r>
            <w:r w:rsidR="00D47F99">
              <w:rPr>
                <w:rFonts w:ascii="Times New Roman" w:hAnsi="Times New Roman"/>
                <w:sz w:val="20"/>
              </w:rPr>
              <w:t xml:space="preserve">plaintes sensible à l’EAS/HS </w:t>
            </w:r>
            <w:r w:rsidRPr="00E737B4">
              <w:rPr>
                <w:rFonts w:ascii="Times New Roman" w:hAnsi="Times New Roman"/>
                <w:sz w:val="20"/>
              </w:rPr>
              <w:t>dans le cadre de ce projet.</w:t>
            </w:r>
          </w:p>
        </w:tc>
      </w:tr>
      <w:tr w:rsidR="00D75D2E" w:rsidRPr="00420C1B" w14:paraId="4FC65D29" w14:textId="77777777" w:rsidTr="00E737B4">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0B8ACF1" w14:textId="77777777" w:rsidR="00F844C7" w:rsidRPr="00E737B4" w:rsidRDefault="00F844C7" w:rsidP="00EE6526">
            <w:pPr>
              <w:spacing w:after="0" w:line="240" w:lineRule="auto"/>
              <w:rPr>
                <w:rFonts w:ascii="Times New Roman" w:hAnsi="Times New Roman"/>
                <w:b/>
                <w:sz w:val="20"/>
                <w:lang w:eastAsia="fr-FR"/>
              </w:rPr>
            </w:pPr>
          </w:p>
          <w:p w14:paraId="07CF7112" w14:textId="77777777" w:rsidR="00F844C7" w:rsidRPr="00E737B4" w:rsidRDefault="00F844C7" w:rsidP="005F13FF">
            <w:pPr>
              <w:spacing w:after="0" w:line="240" w:lineRule="auto"/>
              <w:rPr>
                <w:rFonts w:ascii="Times New Roman" w:hAnsi="Times New Roman"/>
                <w:sz w:val="20"/>
                <w:u w:val="single"/>
              </w:rPr>
            </w:pPr>
            <w:r w:rsidRPr="00E737B4">
              <w:rPr>
                <w:rFonts w:ascii="Times New Roman" w:hAnsi="Times New Roman"/>
                <w:b/>
                <w:sz w:val="20"/>
                <w:u w:val="single"/>
                <w:lang w:eastAsia="fr-FR"/>
              </w:rPr>
              <w:t>Commune de</w:t>
            </w:r>
            <w:r w:rsidRPr="00E737B4">
              <w:rPr>
                <w:rFonts w:ascii="Times New Roman" w:hAnsi="Times New Roman"/>
                <w:b/>
                <w:sz w:val="20"/>
                <w:u w:val="single"/>
              </w:rPr>
              <w:t xml:space="preserve"> Mont-Ngafula</w:t>
            </w:r>
          </w:p>
          <w:p w14:paraId="3C317902" w14:textId="77777777" w:rsidR="00F844C7" w:rsidRPr="00E737B4" w:rsidRDefault="00F844C7" w:rsidP="0038379D">
            <w:pPr>
              <w:spacing w:after="0" w:line="240" w:lineRule="auto"/>
              <w:rPr>
                <w:rFonts w:ascii="Times New Roman" w:hAnsi="Times New Roman"/>
                <w:b/>
                <w:sz w:val="20"/>
                <w:lang w:eastAsia="fr-FR"/>
              </w:rPr>
            </w:pPr>
          </w:p>
          <w:p w14:paraId="50FC27C7" w14:textId="77777777" w:rsidR="00F844C7" w:rsidRPr="00E737B4" w:rsidRDefault="00F844C7" w:rsidP="00E737B4">
            <w:pPr>
              <w:spacing w:after="0" w:line="240" w:lineRule="auto"/>
              <w:rPr>
                <w:rFonts w:ascii="Times New Roman" w:hAnsi="Times New Roman"/>
                <w:b/>
                <w:sz w:val="20"/>
              </w:rPr>
            </w:pPr>
            <w:r w:rsidRPr="00E737B4">
              <w:rPr>
                <w:rFonts w:ascii="Times New Roman" w:hAnsi="Times New Roman"/>
                <w:b/>
                <w:sz w:val="20"/>
              </w:rPr>
              <w:t>Autorités communales, services techniques et administratifs</w:t>
            </w:r>
          </w:p>
          <w:p w14:paraId="748EE644" w14:textId="77777777" w:rsidR="00F844C7" w:rsidRPr="00E737B4" w:rsidRDefault="00F844C7" w:rsidP="00EE6526">
            <w:pPr>
              <w:spacing w:after="0" w:line="240" w:lineRule="auto"/>
              <w:rPr>
                <w:rFonts w:ascii="Times New Roman" w:hAnsi="Times New Roman"/>
                <w:b/>
                <w:sz w:val="20"/>
                <w:lang w:eastAsia="fr-FR"/>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24AAE7" w14:textId="77777777" w:rsidR="00F844C7" w:rsidRPr="00E737B4" w:rsidRDefault="00F844C7" w:rsidP="00E737B4">
            <w:pPr>
              <w:spacing w:after="0" w:line="240" w:lineRule="auto"/>
              <w:rPr>
                <w:rFonts w:ascii="Times New Roman" w:hAnsi="Times New Roman"/>
                <w:sz w:val="20"/>
              </w:rPr>
            </w:pPr>
          </w:p>
          <w:p w14:paraId="7EBD1E7B" w14:textId="77777777" w:rsidR="00F844C7" w:rsidRPr="00E737B4" w:rsidRDefault="00F844C7" w:rsidP="00E737B4">
            <w:pPr>
              <w:spacing w:after="0" w:line="240" w:lineRule="auto"/>
              <w:rPr>
                <w:rFonts w:ascii="Times New Roman" w:hAnsi="Times New Roman"/>
                <w:sz w:val="20"/>
              </w:rPr>
            </w:pPr>
          </w:p>
          <w:p w14:paraId="38474839"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rPr>
              <w:t>1. présentation du Projet ;</w:t>
            </w:r>
          </w:p>
          <w:p w14:paraId="21AA9025" w14:textId="77777777" w:rsidR="00F844C7" w:rsidRPr="00E737B4" w:rsidRDefault="00F844C7" w:rsidP="00E737B4">
            <w:pPr>
              <w:tabs>
                <w:tab w:val="left" w:pos="360"/>
              </w:tabs>
              <w:autoSpaceDE w:val="0"/>
              <w:autoSpaceDN w:val="0"/>
              <w:adjustRightInd w:val="0"/>
              <w:spacing w:after="0" w:line="240" w:lineRule="auto"/>
              <w:contextualSpacing/>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2768A253"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4281D8B" w14:textId="77777777" w:rsidR="00F844C7" w:rsidRPr="00E737B4" w:rsidRDefault="00F844C7" w:rsidP="00E737B4">
            <w:pPr>
              <w:spacing w:after="0" w:line="240" w:lineRule="auto"/>
              <w:rPr>
                <w:rFonts w:ascii="Times New Roman" w:hAnsi="Times New Roman"/>
                <w:sz w:val="20"/>
              </w:rPr>
            </w:pPr>
          </w:p>
          <w:p w14:paraId="42026411" w14:textId="77777777" w:rsidR="00F844C7" w:rsidRPr="00E737B4" w:rsidRDefault="00F844C7" w:rsidP="00E737B4">
            <w:pPr>
              <w:spacing w:after="0" w:line="240" w:lineRule="auto"/>
              <w:rPr>
                <w:rFonts w:ascii="Times New Roman" w:hAnsi="Times New Roman"/>
                <w:sz w:val="20"/>
              </w:rPr>
            </w:pPr>
          </w:p>
          <w:p w14:paraId="70C5C2B4"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rPr>
              <w:t>Les autorités soutiennent le projet et ont promis l’accompagner pour une meilleure réussite</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DCB6E1F"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L’insuffisance d’implication des acteurs locaux dans la mise en œuvre du projet ;</w:t>
            </w:r>
          </w:p>
          <w:p w14:paraId="304C897C"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chute de poteaux électriques ;</w:t>
            </w:r>
          </w:p>
          <w:p w14:paraId="03431505"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problématique de la gestion des déchets au niveau de la commune.</w:t>
            </w:r>
          </w:p>
          <w:p w14:paraId="3F8A126B"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Les risques d’aggravation de l’érosion.</w:t>
            </w: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EF17628"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Impliquer les acteurs locaux dans le suivi de la mise en œuvre du projet ;  </w:t>
            </w:r>
          </w:p>
          <w:p w14:paraId="004E9A80"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Prendre toutes les dispositions nécessaires pour minimiser les risques liés à l’électricité ;</w:t>
            </w:r>
          </w:p>
          <w:p w14:paraId="6289DC4A"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Construire les poteaux électriques en béton armé pour éviter leur chute ;</w:t>
            </w:r>
          </w:p>
          <w:p w14:paraId="5DD50123"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 Renforcer la commune à mieux gérer ses déchets </w:t>
            </w:r>
          </w:p>
          <w:p w14:paraId="4F998669" w14:textId="77777777" w:rsidR="00F844C7" w:rsidRPr="00E737B4" w:rsidRDefault="00F844C7" w:rsidP="00E737B4">
            <w:pPr>
              <w:spacing w:after="0" w:line="240" w:lineRule="auto"/>
              <w:ind w:left="176" w:hanging="284"/>
              <w:contextualSpacing/>
              <w:rPr>
                <w:rFonts w:ascii="Times New Roman" w:hAnsi="Times New Roman"/>
                <w:sz w:val="20"/>
              </w:rPr>
            </w:pPr>
          </w:p>
        </w:tc>
      </w:tr>
      <w:tr w:rsidR="001F4D3E" w:rsidRPr="00420C1B" w14:paraId="3899C5DC" w14:textId="77777777" w:rsidTr="00E737B4">
        <w:trPr>
          <w:trHeight w:val="2248"/>
        </w:trPr>
        <w:tc>
          <w:tcPr>
            <w:tcW w:w="22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F0C0C5" w14:textId="77777777" w:rsidR="00F844C7" w:rsidRPr="00E737B4" w:rsidRDefault="00F844C7" w:rsidP="00EE6526">
            <w:pPr>
              <w:spacing w:after="0" w:line="240" w:lineRule="auto"/>
              <w:rPr>
                <w:rFonts w:ascii="Times New Roman" w:hAnsi="Times New Roman"/>
                <w:b/>
                <w:sz w:val="20"/>
              </w:rPr>
            </w:pPr>
            <w:r w:rsidRPr="00E737B4">
              <w:rPr>
                <w:rFonts w:ascii="Times New Roman" w:hAnsi="Times New Roman"/>
                <w:b/>
                <w:sz w:val="20"/>
                <w:lang w:eastAsia="fr-FR"/>
              </w:rPr>
              <w:t xml:space="preserve">Responsables locaux, populations riveraines, associations </w:t>
            </w:r>
            <w:r w:rsidRPr="00E737B4">
              <w:rPr>
                <w:rFonts w:ascii="Times New Roman" w:hAnsi="Times New Roman"/>
                <w:b/>
                <w:sz w:val="20"/>
              </w:rPr>
              <w:t>des jeunes et femmes</w:t>
            </w:r>
          </w:p>
          <w:p w14:paraId="3A1FF4FF" w14:textId="77777777" w:rsidR="00F844C7" w:rsidRPr="00E737B4" w:rsidRDefault="00F844C7" w:rsidP="00E737B4">
            <w:pPr>
              <w:spacing w:after="0" w:line="240" w:lineRule="auto"/>
              <w:rPr>
                <w:rFonts w:ascii="Times New Roman" w:hAnsi="Times New Roman"/>
                <w:b/>
                <w:sz w:val="20"/>
                <w:lang w:eastAsia="fr-FR"/>
              </w:rPr>
            </w:pPr>
          </w:p>
        </w:tc>
        <w:tc>
          <w:tcPr>
            <w:tcW w:w="26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706B3A6"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rPr>
              <w:t>1. présentation du Projet ;</w:t>
            </w:r>
          </w:p>
          <w:p w14:paraId="5726DF6A" w14:textId="77777777" w:rsidR="00F844C7" w:rsidRPr="00E737B4" w:rsidRDefault="00F844C7" w:rsidP="00E737B4">
            <w:pPr>
              <w:tabs>
                <w:tab w:val="left" w:pos="360"/>
              </w:tabs>
              <w:autoSpaceDE w:val="0"/>
              <w:autoSpaceDN w:val="0"/>
              <w:adjustRightInd w:val="0"/>
              <w:spacing w:after="0" w:line="240" w:lineRule="auto"/>
              <w:contextualSpacing/>
              <w:rPr>
                <w:rFonts w:ascii="Times New Roman" w:eastAsia="Times New Roman" w:hAnsi="Times New Roman"/>
                <w:bCs/>
                <w:sz w:val="20"/>
                <w:lang w:val="fr-MC" w:eastAsia="fr-FR"/>
              </w:rPr>
            </w:pPr>
            <w:r w:rsidRPr="00E737B4">
              <w:rPr>
                <w:rFonts w:ascii="Times New Roman" w:eastAsia="Times New Roman" w:hAnsi="Times New Roman"/>
                <w:bCs/>
                <w:sz w:val="20"/>
                <w:lang w:val="fr-MC" w:eastAsia="fr-FR"/>
              </w:rPr>
              <w:t>2. présentation des potentiels impacts environnementaux et sociaux ;</w:t>
            </w:r>
          </w:p>
          <w:p w14:paraId="0955C5F2" w14:textId="77777777" w:rsidR="00F844C7" w:rsidRPr="00E737B4" w:rsidRDefault="00F844C7" w:rsidP="00E737B4">
            <w:pPr>
              <w:spacing w:after="0" w:line="240" w:lineRule="auto"/>
              <w:rPr>
                <w:rFonts w:ascii="Times New Roman" w:hAnsi="Times New Roman"/>
                <w:sz w:val="20"/>
                <w:lang w:eastAsia="fr-FR"/>
              </w:rPr>
            </w:pPr>
            <w:r w:rsidRPr="00E737B4">
              <w:rPr>
                <w:rFonts w:ascii="Times New Roman" w:hAnsi="Times New Roman"/>
                <w:sz w:val="20"/>
                <w:lang w:eastAsia="fr-FR"/>
              </w:rPr>
              <w:t>3</w:t>
            </w:r>
            <w:r w:rsidRPr="00E737B4">
              <w:rPr>
                <w:rFonts w:ascii="Times New Roman" w:hAnsi="Times New Roman"/>
                <w:sz w:val="20"/>
              </w:rPr>
              <w:t xml:space="preserve">. </w:t>
            </w:r>
            <w:r w:rsidRPr="00E737B4">
              <w:rPr>
                <w:rFonts w:ascii="Times New Roman" w:eastAsia="Times New Roman" w:hAnsi="Times New Roman"/>
                <w:bCs/>
                <w:sz w:val="20"/>
                <w:lang w:eastAsia="fr-FR"/>
              </w:rPr>
              <w:t>recueil des préoccupations /craintes et recommandations</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977FA0" w14:textId="77777777" w:rsidR="00F844C7" w:rsidRPr="00E737B4" w:rsidRDefault="00F844C7" w:rsidP="00E737B4">
            <w:pPr>
              <w:spacing w:after="0" w:line="240" w:lineRule="auto"/>
              <w:rPr>
                <w:rFonts w:ascii="Times New Roman" w:hAnsi="Times New Roman"/>
                <w:sz w:val="20"/>
              </w:rPr>
            </w:pPr>
          </w:p>
          <w:p w14:paraId="6107E521" w14:textId="77777777" w:rsidR="00F844C7" w:rsidRPr="00E737B4" w:rsidRDefault="00F844C7" w:rsidP="00E737B4">
            <w:pPr>
              <w:spacing w:after="0" w:line="240" w:lineRule="auto"/>
              <w:rPr>
                <w:rFonts w:ascii="Times New Roman" w:hAnsi="Times New Roman"/>
                <w:sz w:val="20"/>
              </w:rPr>
            </w:pPr>
            <w:r w:rsidRPr="00E737B4">
              <w:rPr>
                <w:rFonts w:ascii="Times New Roman" w:hAnsi="Times New Roman"/>
                <w:sz w:val="20"/>
              </w:rPr>
              <w:t>Adhésion des populations au projet</w:t>
            </w:r>
          </w:p>
        </w:tc>
        <w:tc>
          <w:tcPr>
            <w:tcW w:w="297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EE1230" w14:textId="77777777" w:rsidR="00F844C7" w:rsidRPr="00E737B4" w:rsidRDefault="00F844C7" w:rsidP="00E737B4">
            <w:pPr>
              <w:spacing w:after="0" w:line="240" w:lineRule="auto"/>
              <w:contextualSpacing/>
              <w:rPr>
                <w:rFonts w:ascii="Times New Roman" w:hAnsi="Times New Roman"/>
                <w:sz w:val="20"/>
              </w:rPr>
            </w:pPr>
            <w:r w:rsidRPr="00E737B4">
              <w:rPr>
                <w:rFonts w:ascii="Times New Roman" w:hAnsi="Times New Roman"/>
                <w:sz w:val="20"/>
              </w:rPr>
              <w:t xml:space="preserve">      </w:t>
            </w:r>
          </w:p>
          <w:p w14:paraId="763C5DD4"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Les risques d’accident liés à l’électricité ;</w:t>
            </w:r>
          </w:p>
          <w:p w14:paraId="04E8762B"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La mauvaise gestion de l’indemnisation des personnes affectées par le projet ;</w:t>
            </w:r>
          </w:p>
          <w:p w14:paraId="650A15AD"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 non-emploi de la main d’œuvre locale ;</w:t>
            </w:r>
          </w:p>
          <w:p w14:paraId="4EEE87AE"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Le manque des caniveaux pour drainer les eaux.</w:t>
            </w:r>
          </w:p>
          <w:p w14:paraId="2FD80563" w14:textId="77777777" w:rsidR="00F844C7" w:rsidRPr="00E737B4" w:rsidRDefault="00F844C7" w:rsidP="00E737B4">
            <w:pPr>
              <w:spacing w:after="0" w:line="240" w:lineRule="auto"/>
              <w:contextualSpacing/>
              <w:rPr>
                <w:rFonts w:ascii="Times New Roman" w:hAnsi="Times New Roman"/>
                <w:sz w:val="20"/>
              </w:rPr>
            </w:pPr>
          </w:p>
        </w:tc>
        <w:tc>
          <w:tcPr>
            <w:tcW w:w="553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538561" w14:textId="77777777" w:rsidR="00F844C7" w:rsidRPr="00E737B4" w:rsidRDefault="00F844C7" w:rsidP="00E737B4">
            <w:pPr>
              <w:spacing w:after="0" w:line="240" w:lineRule="auto"/>
              <w:contextualSpacing/>
              <w:rPr>
                <w:rFonts w:ascii="Times New Roman" w:hAnsi="Times New Roman"/>
                <w:sz w:val="20"/>
              </w:rPr>
            </w:pPr>
          </w:p>
          <w:p w14:paraId="5830889E"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Informer et sensibiliser les populations de la zone du projet sur les risques liés à l’électricité et à l’usage du courant ;</w:t>
            </w:r>
          </w:p>
          <w:p w14:paraId="58F5FFF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Indemniser de manière réelle et effective les personnes affectées par le projet, et à la juste valeur de leurs biens impactés ;</w:t>
            </w:r>
          </w:p>
          <w:p w14:paraId="7068CBFD"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 xml:space="preserve">Recruter la main d’œuvre locale surtout les jeunes et bien les rémunérer ; </w:t>
            </w:r>
          </w:p>
          <w:p w14:paraId="7F66AA62" w14:textId="77777777" w:rsidR="00F844C7" w:rsidRPr="00E737B4" w:rsidRDefault="00F844C7" w:rsidP="008C79F0">
            <w:pPr>
              <w:numPr>
                <w:ilvl w:val="0"/>
                <w:numId w:val="72"/>
              </w:numPr>
              <w:spacing w:after="0" w:line="240" w:lineRule="auto"/>
              <w:ind w:left="176" w:hanging="284"/>
              <w:contextualSpacing/>
              <w:rPr>
                <w:rFonts w:ascii="Times New Roman" w:hAnsi="Times New Roman"/>
                <w:sz w:val="20"/>
              </w:rPr>
            </w:pPr>
            <w:r w:rsidRPr="00E737B4">
              <w:rPr>
                <w:rFonts w:ascii="Times New Roman" w:hAnsi="Times New Roman"/>
                <w:sz w:val="20"/>
              </w:rPr>
              <w:t>Prévoir la construction des caniveaux ;</w:t>
            </w:r>
          </w:p>
          <w:p w14:paraId="20A36D03" w14:textId="77777777" w:rsidR="00F844C7" w:rsidRPr="00E737B4" w:rsidRDefault="00F844C7" w:rsidP="008C79F0">
            <w:pPr>
              <w:numPr>
                <w:ilvl w:val="0"/>
                <w:numId w:val="72"/>
              </w:numPr>
              <w:spacing w:after="0" w:line="240" w:lineRule="auto"/>
              <w:ind w:left="174" w:hanging="142"/>
              <w:contextualSpacing/>
              <w:rPr>
                <w:rFonts w:ascii="Times New Roman" w:hAnsi="Times New Roman"/>
                <w:sz w:val="20"/>
              </w:rPr>
            </w:pPr>
            <w:r w:rsidRPr="00E737B4">
              <w:rPr>
                <w:rFonts w:ascii="Times New Roman" w:hAnsi="Times New Roman"/>
                <w:sz w:val="20"/>
              </w:rPr>
              <w:t>Mettre en place un mécanisme de gestion des conflits, chargé de minimiser d’éventuels conflits liés à ce projet.</w:t>
            </w:r>
          </w:p>
        </w:tc>
      </w:tr>
    </w:tbl>
    <w:p w14:paraId="7E48647B" w14:textId="77777777" w:rsidR="00F16F4B" w:rsidRPr="00E737B4" w:rsidRDefault="00F16F4B" w:rsidP="00E737B4">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3A43C18A" w14:textId="77777777" w:rsidR="00AE61CE" w:rsidRPr="00024B30" w:rsidRDefault="00AE61CE" w:rsidP="00AE61CE">
      <w:pPr>
        <w:spacing w:after="0" w:line="240" w:lineRule="auto"/>
        <w:rPr>
          <w:rFonts w:ascii="Times New Roman" w:hAnsi="Times New Roman"/>
          <w:bCs/>
          <w:i/>
        </w:rPr>
      </w:pPr>
    </w:p>
    <w:p w14:paraId="5464928A" w14:textId="77777777" w:rsidR="00F909A5" w:rsidRPr="00D75D2E" w:rsidRDefault="00F909A5" w:rsidP="00ED17F3">
      <w:pPr>
        <w:jc w:val="both"/>
        <w:rPr>
          <w:rFonts w:ascii="Times New Roman" w:hAnsi="Times New Roman"/>
        </w:rPr>
        <w:sectPr w:rsidR="00F909A5" w:rsidRPr="00D75D2E" w:rsidSect="0082504D">
          <w:pgSz w:w="16838" w:h="11906" w:orient="landscape"/>
          <w:pgMar w:top="1276" w:right="3374" w:bottom="1418" w:left="1418" w:header="709" w:footer="380" w:gutter="0"/>
          <w:cols w:space="708"/>
          <w:docGrid w:linePitch="360"/>
        </w:sectPr>
      </w:pPr>
    </w:p>
    <w:p w14:paraId="315695F2" w14:textId="77777777" w:rsidR="00484856" w:rsidRPr="00D75D2E" w:rsidRDefault="00484856" w:rsidP="008C79F0">
      <w:pPr>
        <w:pStyle w:val="Paragraphedeliste"/>
        <w:numPr>
          <w:ilvl w:val="0"/>
          <w:numId w:val="70"/>
        </w:numPr>
        <w:spacing w:after="120" w:line="240" w:lineRule="auto"/>
        <w:ind w:left="426" w:hanging="357"/>
        <w:contextualSpacing w:val="0"/>
        <w:jc w:val="both"/>
        <w:rPr>
          <w:rFonts w:ascii="Times New Roman" w:hAnsi="Times New Roman"/>
          <w:b/>
          <w:sz w:val="24"/>
        </w:rPr>
      </w:pPr>
      <w:r w:rsidRPr="00D75D2E">
        <w:rPr>
          <w:rFonts w:ascii="Times New Roman" w:hAnsi="Times New Roman"/>
          <w:b/>
          <w:sz w:val="24"/>
        </w:rPr>
        <w:t xml:space="preserve">Synthèse des principales préoccupations : </w:t>
      </w:r>
    </w:p>
    <w:p w14:paraId="61C32846"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L’insuffisance d’implication des acteurs :</w:t>
      </w:r>
    </w:p>
    <w:p w14:paraId="16ECEA96"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l’existence de nombreuses têtes d’érosion ;</w:t>
      </w:r>
    </w:p>
    <w:p w14:paraId="19F03836"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les risques d’insécurité pour les populations riveraines des cabines et des lignes souterraines ;</w:t>
      </w:r>
    </w:p>
    <w:p w14:paraId="2FA9408B"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les risques de branchements anarchiques  et frauduleux ;</w:t>
      </w:r>
    </w:p>
    <w:p w14:paraId="0B1DCE92"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les risques de surcharge des cabines </w:t>
      </w:r>
    </w:p>
    <w:p w14:paraId="118A61C0"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l’insuffisance de suivi des lignes électriques après le projet ;</w:t>
      </w:r>
    </w:p>
    <w:p w14:paraId="04D4CAC3"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 xml:space="preserve">l’absence de routes pour la facilitation des travaux d’exécution et d’entretien des lignes </w:t>
      </w:r>
    </w:p>
    <w:p w14:paraId="72733D4E"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manque d’entretien et de surveillance des lignes électriques existantes ;</w:t>
      </w:r>
    </w:p>
    <w:p w14:paraId="4A03C874"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taux élevé de chômage des jeunes ;</w:t>
      </w:r>
    </w:p>
    <w:p w14:paraId="0E2DF25F"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l’insécurité liée au manque d’éclairage ;</w:t>
      </w:r>
    </w:p>
    <w:p w14:paraId="13B7CD07"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mode de paiement de l’énergie (cartes prépayées ou factures) ;</w:t>
      </w:r>
    </w:p>
    <w:p w14:paraId="0D4146F5"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caractère de bénévolat des membres du comité c’est -à -dire la non rémunération des membres du comité de réinstallation du quartier ;</w:t>
      </w:r>
    </w:p>
    <w:p w14:paraId="1C4BEE70"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 xml:space="preserve">Le mode facturation (compteurs prépayés et compteur par facturation) </w:t>
      </w:r>
    </w:p>
    <w:p w14:paraId="2806F277"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faible niveau de vie des populations ;</w:t>
      </w:r>
    </w:p>
    <w:p w14:paraId="2D90866A"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 risque d’avoir des PAP absents ou inconnus ;</w:t>
      </w:r>
    </w:p>
    <w:p w14:paraId="1C81596A" w14:textId="77777777" w:rsidR="00484856" w:rsidRPr="00D75D2E" w:rsidRDefault="00484856" w:rsidP="008C79F0">
      <w:pPr>
        <w:pStyle w:val="Paragraphedeliste"/>
        <w:numPr>
          <w:ilvl w:val="0"/>
          <w:numId w:val="6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La date du début effectif des travaux </w:t>
      </w:r>
    </w:p>
    <w:p w14:paraId="2950073C" w14:textId="77777777" w:rsidR="00484856" w:rsidRPr="00D75D2E" w:rsidRDefault="00484856" w:rsidP="00484856">
      <w:pPr>
        <w:spacing w:after="0" w:line="276" w:lineRule="auto"/>
        <w:contextualSpacing/>
        <w:jc w:val="both"/>
        <w:rPr>
          <w:rFonts w:ascii="Times New Roman" w:hAnsi="Times New Roman"/>
          <w:sz w:val="24"/>
          <w:szCs w:val="24"/>
        </w:rPr>
      </w:pPr>
    </w:p>
    <w:p w14:paraId="7E324676" w14:textId="77777777" w:rsidR="00484856" w:rsidRPr="00D75D2E" w:rsidRDefault="00484856" w:rsidP="008C79F0">
      <w:pPr>
        <w:pStyle w:val="Paragraphedeliste"/>
        <w:numPr>
          <w:ilvl w:val="0"/>
          <w:numId w:val="70"/>
        </w:numPr>
        <w:spacing w:after="120" w:line="240" w:lineRule="auto"/>
        <w:ind w:left="426" w:hanging="357"/>
        <w:contextualSpacing w:val="0"/>
        <w:jc w:val="both"/>
        <w:rPr>
          <w:rFonts w:ascii="Times New Roman" w:hAnsi="Times New Roman"/>
          <w:b/>
          <w:sz w:val="24"/>
        </w:rPr>
      </w:pPr>
      <w:r w:rsidRPr="00D75D2E">
        <w:rPr>
          <w:rFonts w:ascii="Times New Roman" w:hAnsi="Times New Roman"/>
          <w:b/>
          <w:sz w:val="24"/>
        </w:rPr>
        <w:t>Synthèse des principales recommandations :</w:t>
      </w:r>
    </w:p>
    <w:p w14:paraId="69C60983"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Impliquer suffisamment l’ensemble des acteurs ;</w:t>
      </w:r>
    </w:p>
    <w:p w14:paraId="6D67CF1D"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Appuyer les jeunes volontaires engagés dans la lutte contre l’érosion ;</w:t>
      </w:r>
    </w:p>
    <w:p w14:paraId="42817449"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Mettre en place un système de suivi et contrôle des lignes électriques ;</w:t>
      </w:r>
    </w:p>
    <w:p w14:paraId="7B56EBF5"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Réaliser des routes pour désenclaver et faciliter l’entretien des lignes ;</w:t>
      </w:r>
    </w:p>
    <w:p w14:paraId="50A7153B"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Sécuriser les quartiers par la mise en place d’un système d’éclairage publique ;</w:t>
      </w:r>
    </w:p>
    <w:p w14:paraId="34E662C2"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Privilégier le recrutement de la main d’œuvre locale en phase des travaux ;</w:t>
      </w:r>
    </w:p>
    <w:p w14:paraId="05677CA7"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Prévoir en plus des indemnisations pour la portion de parcelle cédée, une prime pour la présence des cabines dans les parcelles privées ;</w:t>
      </w:r>
    </w:p>
    <w:p w14:paraId="6E25D3C7"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Tenir compte de l’effectif des populations dans l’implantation des cabines ;</w:t>
      </w:r>
    </w:p>
    <w:p w14:paraId="3C3A7394" w14:textId="77777777" w:rsidR="00484856" w:rsidRPr="00D75D2E" w:rsidRDefault="00484856" w:rsidP="008C79F0">
      <w:pPr>
        <w:pStyle w:val="Paragraphedeliste"/>
        <w:numPr>
          <w:ilvl w:val="0"/>
          <w:numId w:val="69"/>
        </w:numPr>
        <w:ind w:left="851" w:hanging="425"/>
        <w:jc w:val="both"/>
        <w:rPr>
          <w:rFonts w:ascii="Times New Roman" w:hAnsi="Times New Roman"/>
          <w:sz w:val="24"/>
          <w:szCs w:val="24"/>
        </w:rPr>
      </w:pPr>
      <w:r w:rsidRPr="00D75D2E">
        <w:rPr>
          <w:rFonts w:ascii="Times New Roman" w:hAnsi="Times New Roman"/>
          <w:sz w:val="24"/>
          <w:szCs w:val="24"/>
        </w:rPr>
        <w:t>Octroyer des primes de motivation aux membres du comité de réinstallation;</w:t>
      </w:r>
    </w:p>
    <w:p w14:paraId="2970B907" w14:textId="77777777" w:rsidR="00484856" w:rsidRPr="00D5312F" w:rsidRDefault="00484856" w:rsidP="008C79F0">
      <w:pPr>
        <w:pStyle w:val="Paragraphedeliste"/>
        <w:numPr>
          <w:ilvl w:val="0"/>
          <w:numId w:val="69"/>
        </w:numPr>
        <w:ind w:left="851" w:hanging="425"/>
        <w:jc w:val="both"/>
        <w:rPr>
          <w:rFonts w:ascii="Times New Roman" w:hAnsi="Times New Roman"/>
          <w:sz w:val="24"/>
          <w:szCs w:val="24"/>
        </w:rPr>
      </w:pPr>
      <w:r w:rsidRPr="00D5312F">
        <w:rPr>
          <w:rFonts w:ascii="Times New Roman" w:hAnsi="Times New Roman"/>
          <w:sz w:val="24"/>
          <w:szCs w:val="24"/>
        </w:rPr>
        <w:t>Prévoir l’installation effective des compteurs prépayés ;</w:t>
      </w:r>
    </w:p>
    <w:p w14:paraId="64770739" w14:textId="77777777" w:rsidR="00484856" w:rsidRDefault="00484856" w:rsidP="008C79F0">
      <w:pPr>
        <w:pStyle w:val="Paragraphedeliste"/>
        <w:numPr>
          <w:ilvl w:val="0"/>
          <w:numId w:val="69"/>
        </w:numPr>
        <w:ind w:left="851" w:hanging="425"/>
        <w:jc w:val="both"/>
        <w:rPr>
          <w:rFonts w:ascii="Times New Roman" w:hAnsi="Times New Roman"/>
          <w:sz w:val="24"/>
          <w:szCs w:val="24"/>
        </w:rPr>
      </w:pPr>
      <w:r w:rsidRPr="00D5312F">
        <w:rPr>
          <w:rFonts w:ascii="Times New Roman" w:hAnsi="Times New Roman"/>
          <w:sz w:val="24"/>
          <w:szCs w:val="24"/>
        </w:rPr>
        <w:t>Indemniser les personnes affectées avant les travaux ;</w:t>
      </w:r>
    </w:p>
    <w:p w14:paraId="6052995D" w14:textId="1F85E709" w:rsidR="002C4071" w:rsidRPr="00D5312F" w:rsidRDefault="002C4071" w:rsidP="008C79F0">
      <w:pPr>
        <w:pStyle w:val="Paragraphedeliste"/>
        <w:numPr>
          <w:ilvl w:val="0"/>
          <w:numId w:val="69"/>
        </w:numPr>
        <w:ind w:left="851" w:hanging="425"/>
        <w:jc w:val="both"/>
        <w:rPr>
          <w:rFonts w:ascii="Times New Roman" w:hAnsi="Times New Roman"/>
          <w:sz w:val="24"/>
          <w:szCs w:val="24"/>
        </w:rPr>
      </w:pPr>
      <w:r w:rsidRPr="00215867">
        <w:rPr>
          <w:rFonts w:ascii="Times New Roman" w:hAnsi="Times New Roman"/>
          <w:sz w:val="24"/>
          <w:szCs w:val="24"/>
        </w:rPr>
        <w:t xml:space="preserve">Préparer un plan de gestion </w:t>
      </w:r>
      <w:r>
        <w:rPr>
          <w:rFonts w:ascii="Times New Roman" w:hAnsi="Times New Roman"/>
          <w:sz w:val="24"/>
          <w:szCs w:val="24"/>
        </w:rPr>
        <w:t xml:space="preserve">de la santé </w:t>
      </w:r>
      <w:r w:rsidRPr="00215867">
        <w:rPr>
          <w:rFonts w:ascii="Times New Roman" w:hAnsi="Times New Roman"/>
          <w:sz w:val="24"/>
          <w:szCs w:val="24"/>
        </w:rPr>
        <w:t xml:space="preserve">et sécurité </w:t>
      </w:r>
      <w:r>
        <w:rPr>
          <w:rFonts w:ascii="Times New Roman" w:hAnsi="Times New Roman"/>
          <w:sz w:val="24"/>
          <w:szCs w:val="24"/>
        </w:rPr>
        <w:t xml:space="preserve">des </w:t>
      </w:r>
      <w:r w:rsidRPr="00215867">
        <w:rPr>
          <w:rFonts w:ascii="Times New Roman" w:hAnsi="Times New Roman"/>
          <w:sz w:val="24"/>
          <w:szCs w:val="24"/>
        </w:rPr>
        <w:t>communaut</w:t>
      </w:r>
      <w:r>
        <w:rPr>
          <w:rFonts w:ascii="Times New Roman" w:hAnsi="Times New Roman"/>
          <w:sz w:val="24"/>
          <w:szCs w:val="24"/>
        </w:rPr>
        <w:t>és ;</w:t>
      </w:r>
    </w:p>
    <w:p w14:paraId="455D1310" w14:textId="77777777" w:rsidR="00484856" w:rsidRPr="00B80123" w:rsidRDefault="00484856" w:rsidP="008C79F0">
      <w:pPr>
        <w:pStyle w:val="Paragraphedeliste"/>
        <w:numPr>
          <w:ilvl w:val="0"/>
          <w:numId w:val="69"/>
        </w:numPr>
        <w:ind w:left="851" w:hanging="425"/>
        <w:jc w:val="both"/>
        <w:rPr>
          <w:rFonts w:ascii="Times New Roman" w:hAnsi="Times New Roman"/>
          <w:sz w:val="24"/>
          <w:szCs w:val="24"/>
        </w:rPr>
      </w:pPr>
      <w:r w:rsidRPr="00B80123">
        <w:rPr>
          <w:rFonts w:ascii="Times New Roman" w:hAnsi="Times New Roman"/>
          <w:sz w:val="24"/>
          <w:szCs w:val="24"/>
        </w:rPr>
        <w:t>faire un plaidoyer  auprès des partenaires pour une  mise en œuvre effective et  rapide des activités du projet </w:t>
      </w:r>
    </w:p>
    <w:p w14:paraId="1EB1223C" w14:textId="77777777" w:rsidR="00484856" w:rsidRPr="00B80123" w:rsidRDefault="00484856" w:rsidP="008C79F0">
      <w:pPr>
        <w:pStyle w:val="Paragraphedeliste"/>
        <w:numPr>
          <w:ilvl w:val="0"/>
          <w:numId w:val="69"/>
        </w:numPr>
        <w:ind w:left="851" w:hanging="425"/>
        <w:jc w:val="both"/>
        <w:rPr>
          <w:rFonts w:ascii="Times New Roman" w:hAnsi="Times New Roman"/>
          <w:sz w:val="24"/>
          <w:szCs w:val="24"/>
        </w:rPr>
      </w:pPr>
      <w:r w:rsidRPr="00B80123">
        <w:rPr>
          <w:rFonts w:ascii="Times New Roman" w:hAnsi="Times New Roman"/>
          <w:sz w:val="24"/>
          <w:szCs w:val="24"/>
        </w:rPr>
        <w:t>sensibiliser les populations sur les biens faits du projet pour le quartier ;</w:t>
      </w:r>
    </w:p>
    <w:p w14:paraId="0C7B0DF9" w14:textId="77777777" w:rsidR="00484856" w:rsidRPr="00AA000C" w:rsidRDefault="00484856" w:rsidP="008C79F0">
      <w:pPr>
        <w:pStyle w:val="Paragraphedeliste"/>
        <w:numPr>
          <w:ilvl w:val="0"/>
          <w:numId w:val="69"/>
        </w:numPr>
        <w:ind w:left="851" w:hanging="425"/>
        <w:jc w:val="both"/>
        <w:rPr>
          <w:rFonts w:ascii="Times New Roman" w:hAnsi="Times New Roman"/>
          <w:sz w:val="24"/>
          <w:szCs w:val="24"/>
        </w:rPr>
      </w:pPr>
      <w:r w:rsidRPr="00AA000C">
        <w:rPr>
          <w:rFonts w:ascii="Times New Roman" w:hAnsi="Times New Roman"/>
          <w:sz w:val="24"/>
          <w:szCs w:val="24"/>
        </w:rPr>
        <w:t>tenir compte du niveau de vie des populations pour la fixation du coût du KW/h ;</w:t>
      </w:r>
    </w:p>
    <w:p w14:paraId="67D3C972" w14:textId="77777777" w:rsidR="00484856" w:rsidRPr="00585D78" w:rsidRDefault="00484856" w:rsidP="008C79F0">
      <w:pPr>
        <w:pStyle w:val="Paragraphedeliste"/>
        <w:numPr>
          <w:ilvl w:val="0"/>
          <w:numId w:val="69"/>
        </w:numPr>
        <w:ind w:left="851" w:hanging="425"/>
        <w:jc w:val="both"/>
        <w:rPr>
          <w:rFonts w:ascii="Times New Roman" w:hAnsi="Times New Roman"/>
          <w:sz w:val="24"/>
          <w:szCs w:val="24"/>
        </w:rPr>
      </w:pPr>
      <w:r w:rsidRPr="00585D78">
        <w:rPr>
          <w:rFonts w:ascii="Times New Roman" w:hAnsi="Times New Roman"/>
          <w:sz w:val="24"/>
          <w:szCs w:val="24"/>
        </w:rPr>
        <w:t>La réalisation effective du projet qui va contribuer à l’amélioration des conditions ;</w:t>
      </w:r>
    </w:p>
    <w:p w14:paraId="42E3F8E6" w14:textId="77777777" w:rsidR="00484856" w:rsidRPr="00E76B8B" w:rsidRDefault="00484856" w:rsidP="008C79F0">
      <w:pPr>
        <w:pStyle w:val="Paragraphedeliste"/>
        <w:numPr>
          <w:ilvl w:val="0"/>
          <w:numId w:val="69"/>
        </w:numPr>
        <w:ind w:left="851" w:hanging="425"/>
        <w:jc w:val="both"/>
        <w:rPr>
          <w:rFonts w:ascii="Times New Roman" w:hAnsi="Times New Roman"/>
          <w:sz w:val="24"/>
          <w:szCs w:val="24"/>
        </w:rPr>
      </w:pPr>
      <w:r w:rsidRPr="00F05618">
        <w:rPr>
          <w:rFonts w:ascii="Times New Roman" w:hAnsi="Times New Roman"/>
          <w:sz w:val="24"/>
          <w:szCs w:val="24"/>
        </w:rPr>
        <w:t>Sensibiliser les populations sur le rôle et les mis</w:t>
      </w:r>
      <w:r w:rsidRPr="00E76B8B">
        <w:rPr>
          <w:rFonts w:ascii="Times New Roman" w:hAnsi="Times New Roman"/>
          <w:sz w:val="24"/>
          <w:szCs w:val="24"/>
        </w:rPr>
        <w:t>sions du comité de réinstallation</w:t>
      </w:r>
    </w:p>
    <w:p w14:paraId="3ED06B44" w14:textId="77777777" w:rsidR="00484856" w:rsidRPr="00E76B8B" w:rsidRDefault="00484856" w:rsidP="008C79F0">
      <w:pPr>
        <w:pStyle w:val="Paragraphedeliste"/>
        <w:numPr>
          <w:ilvl w:val="0"/>
          <w:numId w:val="69"/>
        </w:numPr>
        <w:ind w:left="851" w:hanging="425"/>
        <w:jc w:val="both"/>
        <w:rPr>
          <w:rFonts w:ascii="Times New Roman" w:hAnsi="Times New Roman"/>
          <w:sz w:val="24"/>
          <w:szCs w:val="24"/>
        </w:rPr>
      </w:pPr>
      <w:r w:rsidRPr="00E76B8B">
        <w:rPr>
          <w:rFonts w:ascii="Times New Roman" w:hAnsi="Times New Roman"/>
          <w:sz w:val="24"/>
          <w:szCs w:val="24"/>
        </w:rPr>
        <w:t xml:space="preserve">impliquer les acteurs locaux dans  l’identification des PAP ; </w:t>
      </w:r>
    </w:p>
    <w:p w14:paraId="5CAFF621" w14:textId="77777777" w:rsidR="00484856" w:rsidRPr="00D5312F" w:rsidRDefault="00484856" w:rsidP="008C79F0">
      <w:pPr>
        <w:pStyle w:val="Paragraphedeliste"/>
        <w:numPr>
          <w:ilvl w:val="0"/>
          <w:numId w:val="69"/>
        </w:numPr>
        <w:spacing w:after="120" w:line="240" w:lineRule="auto"/>
        <w:ind w:left="850" w:hanging="425"/>
        <w:contextualSpacing w:val="0"/>
        <w:jc w:val="both"/>
        <w:rPr>
          <w:rFonts w:ascii="Times New Roman" w:hAnsi="Times New Roman"/>
          <w:sz w:val="24"/>
          <w:szCs w:val="24"/>
        </w:rPr>
      </w:pPr>
      <w:r w:rsidRPr="00DE24E2">
        <w:rPr>
          <w:rFonts w:ascii="Times New Roman" w:hAnsi="Times New Roman"/>
          <w:sz w:val="24"/>
          <w:szCs w:val="24"/>
        </w:rPr>
        <w:t>Un démarrage rapide des travaux</w:t>
      </w:r>
      <w:r w:rsidR="00D5312F">
        <w:rPr>
          <w:rFonts w:ascii="Times New Roman" w:hAnsi="Times New Roman"/>
          <w:sz w:val="24"/>
          <w:szCs w:val="24"/>
        </w:rPr>
        <w:t>.</w:t>
      </w:r>
    </w:p>
    <w:p w14:paraId="65823570" w14:textId="77777777" w:rsidR="00ED17F3" w:rsidRPr="00215867" w:rsidRDefault="00484856" w:rsidP="00215867">
      <w:pPr>
        <w:pStyle w:val="Titre31"/>
        <w:numPr>
          <w:ilvl w:val="2"/>
          <w:numId w:val="54"/>
        </w:numPr>
        <w:tabs>
          <w:tab w:val="left" w:pos="993"/>
        </w:tabs>
        <w:spacing w:before="120" w:after="120" w:line="20" w:lineRule="atLeast"/>
        <w:ind w:left="993" w:hanging="709"/>
        <w:rPr>
          <w:rFonts w:eastAsia="Calibri"/>
          <w:b w:val="0"/>
          <w:i/>
        </w:rPr>
      </w:pPr>
      <w:bookmarkStart w:id="814" w:name="_Toc103685724"/>
      <w:r w:rsidRPr="00215867">
        <w:rPr>
          <w:rFonts w:eastAsia="Calibri"/>
          <w:i/>
          <w:u w:val="none"/>
        </w:rPr>
        <w:t xml:space="preserve">Synthèses des réactions et recommandations par </w:t>
      </w:r>
      <w:r w:rsidR="00E65C5C" w:rsidRPr="00215867">
        <w:rPr>
          <w:rFonts w:eastAsia="Calibri"/>
          <w:i/>
          <w:u w:val="none"/>
        </w:rPr>
        <w:t>rapport aux</w:t>
      </w:r>
      <w:r w:rsidRPr="00215867">
        <w:rPr>
          <w:rFonts w:eastAsia="Calibri"/>
          <w:i/>
          <w:u w:val="none"/>
        </w:rPr>
        <w:t xml:space="preserve"> impacts</w:t>
      </w:r>
      <w:bookmarkEnd w:id="814"/>
      <w:r w:rsidRPr="00215867">
        <w:rPr>
          <w:rFonts w:eastAsia="Calibri"/>
          <w:i/>
          <w:u w:val="none"/>
        </w:rPr>
        <w:t xml:space="preserve"> </w:t>
      </w:r>
    </w:p>
    <w:p w14:paraId="4F4907A4" w14:textId="123C18D1" w:rsidR="00ED17F3" w:rsidRPr="00D75D2E" w:rsidRDefault="00ED17F3" w:rsidP="00E737B4">
      <w:pPr>
        <w:spacing w:before="120" w:after="120"/>
        <w:rPr>
          <w:rFonts w:ascii="Times New Roman" w:hAnsi="Times New Roman"/>
          <w:sz w:val="24"/>
          <w:szCs w:val="24"/>
        </w:rPr>
      </w:pPr>
      <w:r w:rsidRPr="00D75D2E">
        <w:rPr>
          <w:rFonts w:ascii="Times New Roman" w:hAnsi="Times New Roman"/>
          <w:sz w:val="24"/>
          <w:szCs w:val="24"/>
        </w:rPr>
        <w:t xml:space="preserve">Le tableau </w:t>
      </w:r>
      <w:r w:rsidR="006B7136">
        <w:rPr>
          <w:rFonts w:ascii="Times New Roman" w:hAnsi="Times New Roman"/>
          <w:sz w:val="24"/>
          <w:szCs w:val="24"/>
        </w:rPr>
        <w:t>50</w:t>
      </w:r>
      <w:r w:rsidR="006B7136" w:rsidRPr="00D75D2E">
        <w:rPr>
          <w:rFonts w:ascii="Times New Roman" w:hAnsi="Times New Roman"/>
          <w:sz w:val="24"/>
          <w:szCs w:val="24"/>
        </w:rPr>
        <w:t xml:space="preserve"> </w:t>
      </w:r>
      <w:r w:rsidRPr="00D75D2E">
        <w:rPr>
          <w:rFonts w:ascii="Times New Roman" w:hAnsi="Times New Roman"/>
          <w:sz w:val="24"/>
          <w:szCs w:val="24"/>
        </w:rPr>
        <w:t>donne la synthèse des préoccupation/craintes et suggestions des consultations publiques réalisées</w:t>
      </w:r>
    </w:p>
    <w:p w14:paraId="3FB70561" w14:textId="77777777" w:rsidR="00040F0E" w:rsidRPr="00D75D2E" w:rsidRDefault="00040F0E" w:rsidP="00215867">
      <w:pPr>
        <w:pStyle w:val="Lgende"/>
        <w:keepNext/>
        <w:spacing w:after="120"/>
        <w:rPr>
          <w:color w:val="auto"/>
        </w:rPr>
        <w:sectPr w:rsidR="00040F0E" w:rsidRPr="00D75D2E" w:rsidSect="0082504D">
          <w:pgSz w:w="11906" w:h="16838"/>
          <w:pgMar w:top="1418" w:right="1418" w:bottom="1418" w:left="1276" w:header="709" w:footer="379" w:gutter="0"/>
          <w:cols w:space="708"/>
          <w:docGrid w:linePitch="360"/>
        </w:sectPr>
      </w:pPr>
      <w:bookmarkStart w:id="815" w:name="_Toc519048961"/>
    </w:p>
    <w:p w14:paraId="6B563C2B" w14:textId="35EEEE31" w:rsidR="00ED17F3" w:rsidRPr="00E737B4" w:rsidRDefault="00ED17F3" w:rsidP="00A86929">
      <w:pPr>
        <w:pStyle w:val="Lgende"/>
        <w:keepNext/>
        <w:rPr>
          <w:color w:val="auto"/>
          <w:sz w:val="24"/>
        </w:rPr>
      </w:pPr>
      <w:bookmarkStart w:id="816" w:name="_Toc93050319"/>
      <w:r w:rsidRPr="00E737B4">
        <w:rPr>
          <w:color w:val="auto"/>
          <w:sz w:val="24"/>
        </w:rPr>
        <w:t xml:space="preserve">Tableau </w:t>
      </w:r>
      <w:r w:rsidRPr="00E737B4">
        <w:rPr>
          <w:noProof/>
          <w:color w:val="auto"/>
          <w:sz w:val="24"/>
        </w:rPr>
        <w:fldChar w:fldCharType="begin"/>
      </w:r>
      <w:r w:rsidRPr="00E737B4">
        <w:rPr>
          <w:noProof/>
          <w:color w:val="auto"/>
          <w:sz w:val="24"/>
        </w:rPr>
        <w:instrText xml:space="preserve"> SEQ Tableau \* ARABIC </w:instrText>
      </w:r>
      <w:r w:rsidRPr="00E737B4">
        <w:rPr>
          <w:noProof/>
          <w:color w:val="auto"/>
          <w:sz w:val="24"/>
        </w:rPr>
        <w:fldChar w:fldCharType="separate"/>
      </w:r>
      <w:r w:rsidR="00A86929">
        <w:rPr>
          <w:noProof/>
          <w:color w:val="auto"/>
          <w:sz w:val="24"/>
        </w:rPr>
        <w:t>57</w:t>
      </w:r>
      <w:r w:rsidRPr="00E737B4">
        <w:rPr>
          <w:noProof/>
          <w:color w:val="auto"/>
          <w:sz w:val="24"/>
        </w:rPr>
        <w:fldChar w:fldCharType="end"/>
      </w:r>
      <w:r w:rsidR="00D5312F">
        <w:rPr>
          <w:noProof/>
          <w:color w:val="auto"/>
          <w:sz w:val="24"/>
        </w:rPr>
        <w:t xml:space="preserve"> </w:t>
      </w:r>
      <w:r w:rsidRPr="00E737B4">
        <w:rPr>
          <w:color w:val="auto"/>
          <w:sz w:val="24"/>
        </w:rPr>
        <w:t>:</w:t>
      </w:r>
      <w:r w:rsidR="00D5312F">
        <w:rPr>
          <w:color w:val="auto"/>
          <w:sz w:val="24"/>
        </w:rPr>
        <w:t xml:space="preserve"> </w:t>
      </w:r>
      <w:r w:rsidRPr="00E737B4">
        <w:rPr>
          <w:color w:val="auto"/>
          <w:sz w:val="24"/>
        </w:rPr>
        <w:t>Synthèse des préoccupations /craintes et suggestions des populations lors des consultations publiques</w:t>
      </w:r>
      <w:bookmarkEnd w:id="815"/>
      <w:bookmarkEnd w:id="816"/>
    </w:p>
    <w:tbl>
      <w:tblPr>
        <w:tblW w:w="1459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1980"/>
        <w:gridCol w:w="5103"/>
        <w:gridCol w:w="7513"/>
      </w:tblGrid>
      <w:tr w:rsidR="00D75D2E" w:rsidRPr="00420C1B" w14:paraId="05908EAA" w14:textId="77777777" w:rsidTr="00E737B4">
        <w:trPr>
          <w:tblHeader/>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664F26F8" w14:textId="77777777" w:rsidR="00484856" w:rsidRPr="00E737B4" w:rsidRDefault="00484856" w:rsidP="00E737B4">
            <w:pPr>
              <w:suppressAutoHyphens/>
              <w:spacing w:after="0" w:line="240" w:lineRule="auto"/>
              <w:jc w:val="center"/>
              <w:rPr>
                <w:rFonts w:ascii="Times New Roman" w:eastAsia="SimSun" w:hAnsi="Times New Roman"/>
                <w:b/>
                <w:sz w:val="20"/>
                <w:lang w:eastAsia="fr-FR"/>
              </w:rPr>
            </w:pPr>
            <w:r w:rsidRPr="00E737B4">
              <w:rPr>
                <w:rFonts w:ascii="Times New Roman" w:eastAsia="SimSun" w:hAnsi="Times New Roman"/>
                <w:b/>
                <w:sz w:val="20"/>
                <w:lang w:eastAsia="fr-FR"/>
              </w:rPr>
              <w:t>Points discutés : impacts négatifs</w:t>
            </w:r>
          </w:p>
        </w:tc>
        <w:tc>
          <w:tcPr>
            <w:tcW w:w="510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0596E0EC" w14:textId="77777777" w:rsidR="00484856" w:rsidRPr="00E737B4" w:rsidRDefault="00484856" w:rsidP="00E737B4">
            <w:pPr>
              <w:suppressAutoHyphens/>
              <w:spacing w:after="0" w:line="240" w:lineRule="auto"/>
              <w:jc w:val="center"/>
              <w:rPr>
                <w:rFonts w:ascii="Times New Roman" w:eastAsia="SimSun" w:hAnsi="Times New Roman"/>
                <w:b/>
                <w:sz w:val="20"/>
              </w:rPr>
            </w:pPr>
            <w:r w:rsidRPr="00E737B4">
              <w:rPr>
                <w:rFonts w:ascii="Times New Roman" w:eastAsia="Times New Roman" w:hAnsi="Times New Roman"/>
                <w:b/>
                <w:sz w:val="20"/>
              </w:rPr>
              <w:t>Réactions par rapport aux impacts du projet</w:t>
            </w:r>
          </w:p>
        </w:tc>
        <w:tc>
          <w:tcPr>
            <w:tcW w:w="7513" w:type="dxa"/>
            <w:tcBorders>
              <w:top w:val="single" w:sz="4" w:space="0" w:color="00000A"/>
              <w:left w:val="single" w:sz="4" w:space="0" w:color="00000A"/>
              <w:bottom w:val="single" w:sz="4" w:space="0" w:color="00000A"/>
              <w:right w:val="single" w:sz="4" w:space="0" w:color="00000A"/>
            </w:tcBorders>
            <w:shd w:val="clear" w:color="auto" w:fill="92D050"/>
            <w:tcMar>
              <w:left w:w="108" w:type="dxa"/>
            </w:tcMar>
            <w:vAlign w:val="center"/>
          </w:tcPr>
          <w:p w14:paraId="083F75A2" w14:textId="77777777" w:rsidR="00484856" w:rsidRPr="00E737B4" w:rsidRDefault="00484856" w:rsidP="00E737B4">
            <w:pPr>
              <w:suppressAutoHyphens/>
              <w:spacing w:after="0" w:line="240" w:lineRule="auto"/>
              <w:jc w:val="center"/>
              <w:rPr>
                <w:rFonts w:ascii="Times New Roman" w:eastAsia="SimSun" w:hAnsi="Times New Roman"/>
                <w:b/>
                <w:sz w:val="20"/>
              </w:rPr>
            </w:pPr>
            <w:r w:rsidRPr="00E737B4">
              <w:rPr>
                <w:rFonts w:ascii="Times New Roman" w:eastAsia="SimSun" w:hAnsi="Times New Roman"/>
                <w:b/>
                <w:sz w:val="20"/>
              </w:rPr>
              <w:t>Recommandations/Actions retenues</w:t>
            </w:r>
          </w:p>
        </w:tc>
      </w:tr>
      <w:tr w:rsidR="00D75D2E" w:rsidRPr="00420C1B" w14:paraId="6F80D779" w14:textId="77777777" w:rsidTr="00E737B4">
        <w:trPr>
          <w:trHeight w:val="699"/>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BDB5D3" w14:textId="77777777" w:rsidR="00484856" w:rsidRPr="00E737B4" w:rsidRDefault="00484856" w:rsidP="00E737B4">
            <w:pPr>
              <w:tabs>
                <w:tab w:val="right" w:pos="1856"/>
              </w:tabs>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Gestion des</w:t>
            </w:r>
            <w:r w:rsidRPr="00E737B4">
              <w:rPr>
                <w:rFonts w:ascii="Times New Roman" w:eastAsia="Times New Roman" w:hAnsi="Times New Roman"/>
                <w:sz w:val="20"/>
              </w:rPr>
              <w:tab/>
              <w:t xml:space="preserve">déchets liquides et solides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9F51D9F"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 xml:space="preserve">Dans la plupart des communes, les ordures ménagères sont jetées soit dans la rue ou dans des caniveaux. Le système de gestion de déchets ménagers est peu développé dans la zone du projet.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B7E188E" w14:textId="77777777" w:rsidR="00484856" w:rsidRPr="00E737B4" w:rsidRDefault="00484856" w:rsidP="00E737B4">
            <w:pPr>
              <w:spacing w:after="0" w:line="240" w:lineRule="auto"/>
              <w:contextualSpacing/>
              <w:rPr>
                <w:rFonts w:ascii="Times New Roman" w:hAnsi="Times New Roman"/>
                <w:sz w:val="20"/>
              </w:rPr>
            </w:pPr>
            <w:r w:rsidRPr="00E737B4">
              <w:rPr>
                <w:rFonts w:ascii="Times New Roman" w:eastAsia="Times New Roman" w:hAnsi="Times New Roman"/>
                <w:sz w:val="20"/>
              </w:rPr>
              <w:t>Sensibiliser les populations sur la gestion des ordures ménagères (collecte, tri, transport et réutilisation des déchets). Renforcer les capacités de différents acteurs locaux dans la gestion de déchets et si possible doter les communes</w:t>
            </w:r>
            <w:r w:rsidRPr="00E737B4">
              <w:rPr>
                <w:rFonts w:ascii="Times New Roman" w:hAnsi="Times New Roman"/>
                <w:sz w:val="20"/>
              </w:rPr>
              <w:t xml:space="preserve"> en moyens adéquats pour la bonne gestion des déchets (bacs à ordure, charrettes). </w:t>
            </w:r>
          </w:p>
        </w:tc>
      </w:tr>
      <w:tr w:rsidR="00D75D2E" w:rsidRPr="00420C1B" w14:paraId="11964FE1" w14:textId="77777777" w:rsidTr="00E737B4">
        <w:trPr>
          <w:trHeight w:val="44"/>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D73FA2" w14:textId="77777777" w:rsidR="00484856" w:rsidRPr="00E737B4" w:rsidRDefault="00484856" w:rsidP="00E737B4">
            <w:pPr>
              <w:tabs>
                <w:tab w:val="right" w:pos="1856"/>
              </w:tabs>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 xml:space="preserve">Pollution des eaux </w:t>
            </w:r>
          </w:p>
          <w:p w14:paraId="28B0FB4D" w14:textId="77777777" w:rsidR="00484856" w:rsidRPr="00E737B4" w:rsidRDefault="00484856" w:rsidP="008E4326">
            <w:pPr>
              <w:rPr>
                <w:rFonts w:ascii="Times New Roman" w:eastAsia="Times New Roman" w:hAnsi="Times New Roman"/>
                <w:sz w:val="20"/>
              </w:rPr>
            </w:pPr>
          </w:p>
          <w:p w14:paraId="28A57D75" w14:textId="77777777" w:rsidR="00484856" w:rsidRPr="00E737B4" w:rsidRDefault="00484856" w:rsidP="00B80123">
            <w:pPr>
              <w:rPr>
                <w:rFonts w:ascii="Times New Roman" w:eastAsia="Times New Roman" w:hAnsi="Times New Roman"/>
                <w:sz w:val="20"/>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FCACC17" w14:textId="77777777" w:rsidR="00484856" w:rsidRPr="00E737B4" w:rsidRDefault="00484856" w:rsidP="00E737B4">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Dans la zone du projet, les fosses septiques sont souvent vidangées en saison pluvieuse dans la nature pour être drainées dans le fleuve Congo. Les eaux usées peuvent également contaminer les nappes phréatiques à travers les latrines peu étanches.</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2047F59"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Construire des fosses septiques étanches en vue d’éviter la contamination des eaux souterraines et de surface. Recueillir les eaux usées issues des latrines et autres fosses septiques puis les traiter avant les évacuer. Mettre un système d’assainissement adéquat dans les différentes communes du projet.</w:t>
            </w:r>
          </w:p>
        </w:tc>
      </w:tr>
      <w:tr w:rsidR="00D75D2E" w:rsidRPr="00420C1B" w14:paraId="6F5FE562" w14:textId="77777777" w:rsidTr="00E737B4">
        <w:trPr>
          <w:trHeight w:val="1153"/>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E831659" w14:textId="77777777" w:rsidR="00484856" w:rsidRPr="00E737B4" w:rsidRDefault="00484856" w:rsidP="00E737B4">
            <w:pPr>
              <w:suppressAutoHyphens/>
              <w:spacing w:after="0" w:line="240" w:lineRule="auto"/>
              <w:rPr>
                <w:rFonts w:ascii="Times New Roman" w:eastAsia="SimSun" w:hAnsi="Times New Roman"/>
                <w:sz w:val="20"/>
              </w:rPr>
            </w:pPr>
            <w:r w:rsidRPr="00E737B4">
              <w:rPr>
                <w:rFonts w:ascii="Times New Roman" w:eastAsia="SimSun" w:hAnsi="Times New Roman"/>
                <w:sz w:val="20"/>
              </w:rPr>
              <w:t xml:space="preserve">Erosion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5FD233C" w14:textId="77777777" w:rsidR="00484856" w:rsidRPr="00E737B4" w:rsidRDefault="00484856" w:rsidP="008E4326">
            <w:pPr>
              <w:suppressAutoHyphens/>
              <w:spacing w:after="8" w:line="240" w:lineRule="auto"/>
              <w:rPr>
                <w:rFonts w:ascii="Times New Roman" w:eastAsia="Times New Roman" w:hAnsi="Times New Roman"/>
                <w:sz w:val="20"/>
              </w:rPr>
            </w:pPr>
            <w:r w:rsidRPr="00E737B4">
              <w:rPr>
                <w:rFonts w:ascii="Times New Roman" w:eastAsia="Times New Roman" w:hAnsi="Times New Roman"/>
                <w:sz w:val="20"/>
              </w:rPr>
              <w:t xml:space="preserve">L’érosion accentuée observée dans les communes concernées par le projet pourrait entraîner la destruction des bâtisses, des actifs agricoles, </w:t>
            </w:r>
            <w:r w:rsidRPr="00E737B4">
              <w:rPr>
                <w:rFonts w:ascii="Times New Roman" w:eastAsia="SimSun" w:hAnsi="Times New Roman"/>
                <w:sz w:val="20"/>
              </w:rPr>
              <w:t>la destruction des ligneux, des voies bitumées et la chute des poteaux électriques, etc</w:t>
            </w:r>
            <w:r w:rsidRPr="00E737B4">
              <w:rPr>
                <w:rFonts w:ascii="Times New Roman" w:eastAsia="Times New Roman" w:hAnsi="Times New Roman"/>
                <w:sz w:val="20"/>
              </w:rPr>
              <w:t>.</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3D728A" w14:textId="77777777" w:rsidR="00484856" w:rsidRPr="00E737B4" w:rsidRDefault="00484856" w:rsidP="00E737B4">
            <w:pPr>
              <w:suppressAutoHyphens/>
              <w:spacing w:after="0" w:line="240" w:lineRule="auto"/>
              <w:rPr>
                <w:rFonts w:ascii="Times New Roman" w:eastAsia="SimSun" w:hAnsi="Times New Roman"/>
                <w:sz w:val="20"/>
              </w:rPr>
            </w:pPr>
            <w:r w:rsidRPr="00E737B4">
              <w:rPr>
                <w:rFonts w:ascii="Times New Roman" w:eastAsia="Times New Roman" w:hAnsi="Times New Roman"/>
                <w:sz w:val="20"/>
              </w:rPr>
              <w:t xml:space="preserve">Faire des aménagements conséquents dans les communes à forte érosion : remblayer et compacter les parois de ravins, stabiliser les aires sensibles par la plantation </w:t>
            </w:r>
            <w:r w:rsidRPr="00E737B4">
              <w:rPr>
                <w:rFonts w:ascii="Times New Roman" w:eastAsia="SimSun" w:hAnsi="Times New Roman"/>
                <w:sz w:val="20"/>
              </w:rPr>
              <w:t xml:space="preserve">des vétivers, des pelouses, placer des digues en sacs remplis des terres, domestiquer les eaux pluviales des parcelles d’habitation, interdire les aires sensibles de toute occupation anthropique, utiliser les déchets biodégradables issus des ménages pour combler les rigoles creusées par le ruissellement. </w:t>
            </w:r>
          </w:p>
        </w:tc>
      </w:tr>
      <w:tr w:rsidR="00D75D2E" w:rsidRPr="00420C1B" w14:paraId="3EA387C6"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CEFC4DB"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Chute des cabines et poteaux électriques</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55FE0E6" w14:textId="77777777" w:rsidR="00484856" w:rsidRPr="00E737B4" w:rsidRDefault="00484856" w:rsidP="00E737B4">
            <w:pPr>
              <w:suppressAutoHyphens/>
              <w:spacing w:after="0" w:line="240" w:lineRule="auto"/>
              <w:ind w:left="2" w:right="58"/>
              <w:rPr>
                <w:rFonts w:ascii="Times New Roman" w:eastAsia="Times New Roman" w:hAnsi="Times New Roman"/>
                <w:sz w:val="20"/>
              </w:rPr>
            </w:pPr>
            <w:r w:rsidRPr="00E737B4">
              <w:rPr>
                <w:rFonts w:ascii="Times New Roman" w:eastAsia="Times New Roman" w:hAnsi="Times New Roman"/>
                <w:sz w:val="20"/>
              </w:rPr>
              <w:t>La zone du projet est marécageuse et sablonneuse, cela peut favoriser la chute des cabines et poteaux électriques.</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A439B23" w14:textId="77777777" w:rsidR="00484856" w:rsidRPr="00E737B4" w:rsidRDefault="00484856" w:rsidP="00E737B4">
            <w:pPr>
              <w:suppressAutoHyphens/>
              <w:spacing w:after="0" w:line="240" w:lineRule="auto"/>
              <w:rPr>
                <w:rFonts w:ascii="Times New Roman" w:eastAsia="SimSun" w:hAnsi="Times New Roman"/>
                <w:sz w:val="20"/>
                <w:lang w:eastAsia="fr-FR"/>
              </w:rPr>
            </w:pPr>
            <w:r w:rsidRPr="00E737B4">
              <w:rPr>
                <w:rFonts w:ascii="Times New Roman" w:eastAsia="Times New Roman" w:hAnsi="Times New Roman"/>
                <w:sz w:val="20"/>
              </w:rPr>
              <w:t>Coffrer les poteaux électriques en béton armé pour éviter leur éventuelle chute et les risques d’accident liés à l’électrocution</w:t>
            </w:r>
            <w:r w:rsidRPr="00E737B4">
              <w:rPr>
                <w:rFonts w:ascii="Times New Roman" w:hAnsi="Times New Roman"/>
                <w:sz w:val="20"/>
              </w:rPr>
              <w:t>. Stabiliser les sites d’implantation des cabines et pylônes électriques.</w:t>
            </w:r>
          </w:p>
        </w:tc>
      </w:tr>
      <w:tr w:rsidR="00D75D2E" w:rsidRPr="00420C1B" w14:paraId="66FD3CF9"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29C8CA6"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Pollution de l’air</w:t>
            </w:r>
          </w:p>
          <w:p w14:paraId="6ACC8E59" w14:textId="77777777" w:rsidR="00484856" w:rsidRPr="00E737B4" w:rsidRDefault="00484856" w:rsidP="00B80123">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47DE890"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Les travaux des fouilles et les déviations de voies peuvent générer de poussière dans l’air</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D4FBC72"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 xml:space="preserve">Prendre de dispositions pour minimiser la pollution de l’air, arroser les voies de déviation, délimiter la vitesse et installer des ralentisseurs. </w:t>
            </w:r>
          </w:p>
        </w:tc>
      </w:tr>
      <w:tr w:rsidR="00D75D2E" w:rsidRPr="00420C1B" w14:paraId="50FC2F40" w14:textId="77777777" w:rsidTr="00E737B4">
        <w:trPr>
          <w:trHeight w:val="156"/>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C191B50" w14:textId="77777777" w:rsidR="00484856" w:rsidRPr="00E737B4" w:rsidRDefault="00484856" w:rsidP="00B80123">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Pertes de couvert végétal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A399366"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Des espèces ligneuses surtout composées d’arbres fruitiers et non-fruitiers sont situées dans l’emprise du projet.</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DD86088" w14:textId="77777777" w:rsidR="00484856" w:rsidRPr="00E737B4" w:rsidRDefault="00484856" w:rsidP="008E4326">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Prévoir un reboisement compensatoire des arbres qui seront abattus surtout les essences locales.</w:t>
            </w:r>
          </w:p>
        </w:tc>
      </w:tr>
      <w:tr w:rsidR="00D75D2E" w:rsidRPr="00420C1B" w14:paraId="013D3A5A"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AD8F07" w14:textId="77777777" w:rsidR="00484856" w:rsidRPr="00E737B4" w:rsidRDefault="00484856" w:rsidP="008E4326">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Pertes de terre d’habitation </w:t>
            </w:r>
          </w:p>
          <w:p w14:paraId="1E54E526" w14:textId="77777777" w:rsidR="00484856" w:rsidRPr="00E737B4" w:rsidRDefault="00484856" w:rsidP="00B80123">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9E7A1F8"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 xml:space="preserve">Des bâtisses à usage d’habitation et autres murs de soutènement situés dans l’emprise du tracé peuvent être détruites lors de la mise en œuvre du projet.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3D85A8"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Négocier et bien indemniser les bâtisses qui seront impactées dans le cadre de ce projet afin de sécuriser le couloir de l’emprise du projet et les sites d’implantation des cabines. Optimiser pour éviter autant que faire se peut la destruction des biens.</w:t>
            </w:r>
          </w:p>
        </w:tc>
      </w:tr>
      <w:tr w:rsidR="00D75D2E" w:rsidRPr="00420C1B" w14:paraId="7351897B"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4F44AA4" w14:textId="77777777" w:rsidR="00484856" w:rsidRPr="00E737B4" w:rsidRDefault="00484856" w:rsidP="00E737B4">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Destruction d’autres infrastructures</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AE0350B"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 xml:space="preserve">Le passage de la ligne électrique et la pose des cabines peuvent endommager un certain nombre d’infrastructures composées des concessionnaires de réseaux et de voies bitumées.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5FC692" w14:textId="77777777" w:rsidR="00484856" w:rsidRPr="00E737B4" w:rsidRDefault="00484856" w:rsidP="008E4326">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L’entreprise en charge des travaux est tenue de remettre en l’état les infrastructures qui se trouvent dans l’emprise du projet.</w:t>
            </w:r>
          </w:p>
        </w:tc>
      </w:tr>
      <w:tr w:rsidR="00D75D2E" w:rsidRPr="00420C1B" w14:paraId="6492ACDE" w14:textId="77777777" w:rsidTr="00E737B4">
        <w:trPr>
          <w:trHeight w:val="64"/>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A14279A"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Occupation anarchique de l’espace public</w:t>
            </w:r>
          </w:p>
          <w:p w14:paraId="123FF26D" w14:textId="77777777" w:rsidR="00484856" w:rsidRPr="00E737B4" w:rsidRDefault="00484856" w:rsidP="00B80123">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A43EAE8" w14:textId="77777777" w:rsidR="00484856" w:rsidRPr="00E737B4" w:rsidRDefault="00484856" w:rsidP="00E737B4">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Certains marchands occupent de manière illicite tout espace réservé en investissant même sur les accotements. Ainsi la pose des poteaux et cabines électriques affectera ces investissements qui sont pour la plupart des terrasses et des hangars</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A979FAB"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Compenser les pertes dues aux travaux et minimiser les désagréments liés à la mise en œuvre du projet ;</w:t>
            </w:r>
          </w:p>
          <w:p w14:paraId="05D557B7" w14:textId="77777777" w:rsidR="00484856" w:rsidRPr="00E737B4" w:rsidRDefault="00484856" w:rsidP="00B80123">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Prévoir la réalisation des travaux pendant la nuit et les dimanches</w:t>
            </w:r>
          </w:p>
        </w:tc>
      </w:tr>
      <w:tr w:rsidR="00D75D2E" w:rsidRPr="00420C1B" w14:paraId="38595A59"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9FEB2FD" w14:textId="77777777" w:rsidR="00484856" w:rsidRPr="00E737B4" w:rsidRDefault="00484856" w:rsidP="008E4326">
            <w:pPr>
              <w:suppressAutoHyphens/>
              <w:spacing w:after="0" w:line="240" w:lineRule="auto"/>
              <w:ind w:left="4"/>
              <w:rPr>
                <w:rFonts w:ascii="Times New Roman" w:eastAsia="Times New Roman" w:hAnsi="Times New Roman"/>
                <w:sz w:val="20"/>
              </w:rPr>
            </w:pPr>
            <w:r w:rsidRPr="00E737B4">
              <w:rPr>
                <w:rFonts w:ascii="Times New Roman" w:eastAsia="Times New Roman" w:hAnsi="Times New Roman"/>
                <w:sz w:val="20"/>
              </w:rPr>
              <w:t xml:space="preserve">Perte de revenus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B2574CA" w14:textId="77777777" w:rsidR="00484856" w:rsidRPr="00E737B4" w:rsidRDefault="00484856" w:rsidP="00E737B4">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 xml:space="preserve">Des activités commerciales se trouvent dans l’emprise du projet.  </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6FE6445" w14:textId="77777777" w:rsidR="00484856" w:rsidRPr="00E737B4" w:rsidRDefault="00484856" w:rsidP="008E4326">
            <w:pPr>
              <w:suppressAutoHyphens/>
              <w:spacing w:after="0" w:line="240" w:lineRule="auto"/>
              <w:ind w:left="2"/>
              <w:rPr>
                <w:rFonts w:ascii="Times New Roman" w:eastAsia="Times New Roman" w:hAnsi="Times New Roman"/>
                <w:sz w:val="20"/>
              </w:rPr>
            </w:pPr>
            <w:r w:rsidRPr="00E737B4">
              <w:rPr>
                <w:rFonts w:ascii="Times New Roman" w:eastAsia="Times New Roman" w:hAnsi="Times New Roman"/>
                <w:sz w:val="20"/>
              </w:rPr>
              <w:t>Accorder un appui pour les pertes éventuelles de revenus</w:t>
            </w:r>
          </w:p>
        </w:tc>
      </w:tr>
      <w:tr w:rsidR="00D75D2E" w:rsidRPr="00420C1B" w14:paraId="42054E84"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6EBD369" w14:textId="77777777" w:rsidR="00484856" w:rsidRPr="00E737B4" w:rsidRDefault="00484856" w:rsidP="008E4326">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 xml:space="preserve">Emploi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01A3D22" w14:textId="77777777" w:rsidR="00484856" w:rsidRPr="00E737B4" w:rsidRDefault="00484856" w:rsidP="00E737B4">
            <w:pPr>
              <w:suppressAutoHyphens/>
              <w:spacing w:after="0" w:line="240" w:lineRule="auto"/>
              <w:rPr>
                <w:rFonts w:ascii="Times New Roman" w:eastAsia="Times New Roman" w:hAnsi="Times New Roman"/>
                <w:sz w:val="20"/>
              </w:rPr>
            </w:pPr>
            <w:r w:rsidRPr="00E737B4">
              <w:rPr>
                <w:rFonts w:ascii="Times New Roman" w:eastAsia="Times New Roman" w:hAnsi="Times New Roman"/>
                <w:sz w:val="20"/>
              </w:rPr>
              <w:t>Les travaux de la mise en œuvre du projet nécessitent la main d’œuvre</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9A820F5" w14:textId="77777777" w:rsidR="00484856" w:rsidRPr="00E737B4" w:rsidRDefault="00484856" w:rsidP="00E737B4">
            <w:pPr>
              <w:spacing w:after="0" w:line="240" w:lineRule="auto"/>
              <w:contextualSpacing/>
              <w:rPr>
                <w:rFonts w:ascii="Times New Roman" w:hAnsi="Times New Roman"/>
                <w:sz w:val="20"/>
              </w:rPr>
            </w:pPr>
            <w:r w:rsidRPr="00E737B4">
              <w:rPr>
                <w:rFonts w:ascii="Times New Roman" w:hAnsi="Times New Roman"/>
                <w:sz w:val="20"/>
              </w:rPr>
              <w:t xml:space="preserve"> Impliquer l’ensemble des acteurs (autorité communale, société civile, ONGs, associations de femmes et de jeunes) dans le suivi de la mise en œuvre du projet pour une meilleure réussite. Recruter la main d’œuvre locale lors des travaux et bien rémunérer les ouvriers surtout les journaliers.</w:t>
            </w:r>
          </w:p>
        </w:tc>
      </w:tr>
      <w:tr w:rsidR="001F4D3E" w:rsidRPr="00420C1B" w14:paraId="28518D5E" w14:textId="77777777" w:rsidTr="00E737B4">
        <w:trPr>
          <w:trHeight w:val="460"/>
          <w:jc w:val="center"/>
        </w:trPr>
        <w:tc>
          <w:tcPr>
            <w:tcW w:w="19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0A1ED00" w14:textId="77777777" w:rsidR="00484856" w:rsidRPr="00E737B4" w:rsidRDefault="00484856" w:rsidP="008E4326">
            <w:pPr>
              <w:suppressAutoHyphens/>
              <w:spacing w:after="0" w:line="236" w:lineRule="auto"/>
              <w:rPr>
                <w:rFonts w:ascii="Times New Roman" w:eastAsia="Times New Roman" w:hAnsi="Times New Roman"/>
                <w:sz w:val="20"/>
              </w:rPr>
            </w:pPr>
            <w:r w:rsidRPr="00E737B4">
              <w:rPr>
                <w:rFonts w:ascii="Times New Roman" w:eastAsia="Times New Roman" w:hAnsi="Times New Roman"/>
                <w:sz w:val="20"/>
              </w:rPr>
              <w:t>Mécanisme de gestion des plaintes</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F0E0B0B" w14:textId="77777777" w:rsidR="00484856" w:rsidRPr="00E737B4" w:rsidRDefault="00484856" w:rsidP="00E737B4">
            <w:pPr>
              <w:suppressAutoHyphens/>
              <w:spacing w:after="0" w:line="276" w:lineRule="auto"/>
              <w:rPr>
                <w:rFonts w:ascii="Times New Roman" w:eastAsia="Times New Roman" w:hAnsi="Times New Roman"/>
                <w:sz w:val="20"/>
              </w:rPr>
            </w:pPr>
            <w:r w:rsidRPr="00E737B4">
              <w:rPr>
                <w:rFonts w:ascii="Times New Roman" w:eastAsia="Times New Roman" w:hAnsi="Times New Roman"/>
                <w:sz w:val="20"/>
              </w:rPr>
              <w:t>Il existe un mécanisme de gestion des plaintes au niveau de chaque commune, chargé de la résolution de tout conflit lié au projet.</w:t>
            </w:r>
          </w:p>
        </w:tc>
        <w:tc>
          <w:tcPr>
            <w:tcW w:w="75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8CA6A02" w14:textId="77777777" w:rsidR="00484856" w:rsidRPr="00E737B4" w:rsidRDefault="00484856" w:rsidP="00E737B4">
            <w:pPr>
              <w:suppressAutoHyphens/>
              <w:spacing w:after="0" w:line="240" w:lineRule="auto"/>
              <w:rPr>
                <w:rFonts w:ascii="Times New Roman" w:hAnsi="Times New Roman"/>
                <w:sz w:val="20"/>
              </w:rPr>
            </w:pPr>
            <w:r w:rsidRPr="00E737B4">
              <w:rPr>
                <w:rFonts w:ascii="Times New Roman" w:hAnsi="Times New Roman"/>
                <w:sz w:val="20"/>
              </w:rPr>
              <w:t>Renforcer les acteurs du mécanisme de gestion des plaintes de chaque commune. Associer les policiers pour sécuriser les travaux.</w:t>
            </w:r>
          </w:p>
        </w:tc>
      </w:tr>
    </w:tbl>
    <w:p w14:paraId="5BA9234B" w14:textId="77777777" w:rsidR="00F16F4B" w:rsidRPr="00E737B4" w:rsidRDefault="00F16F4B" w:rsidP="00E737B4">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w:t>
      </w:r>
      <w:r w:rsidR="00124BDB">
        <w:rPr>
          <w:rFonts w:ascii="Times New Roman" w:hAnsi="Times New Roman"/>
          <w:bCs/>
          <w:i/>
          <w:sz w:val="24"/>
        </w:rPr>
        <w:t xml:space="preserve"> &amp;</w:t>
      </w:r>
      <w:r w:rsidRPr="00E737B4">
        <w:rPr>
          <w:rFonts w:ascii="Times New Roman" w:hAnsi="Times New Roman"/>
          <w:bCs/>
          <w:i/>
          <w:sz w:val="24"/>
        </w:rPr>
        <w:t xml:space="preserve"> DKO</w:t>
      </w:r>
      <w:r w:rsidR="00124BDB">
        <w:rPr>
          <w:rFonts w:ascii="Times New Roman" w:hAnsi="Times New Roman"/>
          <w:bCs/>
          <w:i/>
          <w:sz w:val="24"/>
        </w:rPr>
        <w:t xml:space="preserve">, </w:t>
      </w:r>
      <w:r w:rsidRPr="00E737B4">
        <w:rPr>
          <w:rFonts w:ascii="Times New Roman" w:hAnsi="Times New Roman"/>
          <w:bCs/>
          <w:i/>
          <w:sz w:val="24"/>
        </w:rPr>
        <w:t>juillet 2021</w:t>
      </w:r>
    </w:p>
    <w:p w14:paraId="02BBCD6A" w14:textId="77777777" w:rsidR="00AE61CE" w:rsidRPr="00024B30" w:rsidRDefault="00AE61CE" w:rsidP="00AE61CE">
      <w:pPr>
        <w:spacing w:after="0" w:line="240" w:lineRule="auto"/>
        <w:rPr>
          <w:rFonts w:ascii="Times New Roman" w:hAnsi="Times New Roman"/>
          <w:bCs/>
          <w:i/>
        </w:rPr>
      </w:pPr>
    </w:p>
    <w:p w14:paraId="79C414D3" w14:textId="77777777" w:rsidR="00ED17F3" w:rsidRPr="00D75D2E" w:rsidRDefault="00ED17F3" w:rsidP="00ED17F3">
      <w:pPr>
        <w:spacing w:after="0" w:line="240" w:lineRule="auto"/>
        <w:contextualSpacing/>
        <w:jc w:val="both"/>
        <w:rPr>
          <w:rFonts w:ascii="Times New Roman" w:hAnsi="Times New Roman"/>
          <w:b/>
        </w:rPr>
        <w:sectPr w:rsidR="00ED17F3" w:rsidRPr="00D75D2E" w:rsidSect="0082504D">
          <w:pgSz w:w="16838" w:h="11906" w:orient="landscape"/>
          <w:pgMar w:top="1276" w:right="1418" w:bottom="1418" w:left="1418" w:header="709" w:footer="380" w:gutter="0"/>
          <w:cols w:space="708"/>
          <w:docGrid w:linePitch="360"/>
        </w:sectPr>
      </w:pPr>
    </w:p>
    <w:p w14:paraId="725FE122" w14:textId="77777777" w:rsidR="00244161" w:rsidRPr="00D75D2E" w:rsidRDefault="00244161" w:rsidP="00215867">
      <w:pPr>
        <w:pStyle w:val="Titre1"/>
        <w:numPr>
          <w:ilvl w:val="0"/>
          <w:numId w:val="54"/>
        </w:numPr>
        <w:spacing w:after="120"/>
        <w:ind w:left="357" w:hanging="357"/>
      </w:pPr>
      <w:bookmarkStart w:id="817" w:name="_Toc452538256"/>
      <w:bookmarkStart w:id="818" w:name="_Toc16663517"/>
      <w:bookmarkStart w:id="819" w:name="_Toc16663691"/>
      <w:bookmarkStart w:id="820" w:name="_Toc16664936"/>
      <w:bookmarkStart w:id="821" w:name="_Toc103685725"/>
      <w:bookmarkStart w:id="822" w:name="_Toc16663530"/>
      <w:bookmarkStart w:id="823" w:name="_Toc16663704"/>
      <w:bookmarkStart w:id="824" w:name="_Toc16664949"/>
      <w:r w:rsidRPr="00D75D2E">
        <w:t>PLAN DE GESTION ENVIRONNEMENTALE ET SOCIAL</w:t>
      </w:r>
      <w:bookmarkEnd w:id="817"/>
      <w:r w:rsidRPr="00D75D2E">
        <w:t>E</w:t>
      </w:r>
      <w:bookmarkEnd w:id="818"/>
      <w:bookmarkEnd w:id="819"/>
      <w:bookmarkEnd w:id="820"/>
      <w:bookmarkEnd w:id="821"/>
      <w:r w:rsidRPr="00D75D2E">
        <w:t xml:space="preserve">  </w:t>
      </w:r>
    </w:p>
    <w:p w14:paraId="634CB748" w14:textId="77777777" w:rsidR="00A14871" w:rsidRPr="00D75D2E" w:rsidRDefault="00A14871" w:rsidP="00215867">
      <w:pPr>
        <w:spacing w:before="120" w:after="120" w:line="23" w:lineRule="atLeast"/>
        <w:jc w:val="both"/>
        <w:rPr>
          <w:rFonts w:ascii="Times New Roman" w:hAnsi="Times New Roman"/>
          <w:sz w:val="24"/>
          <w:szCs w:val="24"/>
        </w:rPr>
      </w:pPr>
      <w:r w:rsidRPr="00D75D2E">
        <w:rPr>
          <w:rFonts w:ascii="Times New Roman" w:hAnsi="Times New Roman"/>
          <w:sz w:val="24"/>
          <w:szCs w:val="24"/>
        </w:rPr>
        <w:t xml:space="preserve">Le PGES est un ensemble cohérent d’activités de mise en œuvre des mesures d’atténuation et d’optimisation ainsi que des actions d’accompagnement en faveur de la protection de l’environnement biophysique et humain. </w:t>
      </w:r>
    </w:p>
    <w:p w14:paraId="1AA7D369" w14:textId="77777777" w:rsidR="00A14871" w:rsidRPr="00D75D2E" w:rsidRDefault="00A14871" w:rsidP="00215867">
      <w:pPr>
        <w:spacing w:before="120" w:after="120" w:line="23" w:lineRule="atLeast"/>
        <w:jc w:val="both"/>
        <w:rPr>
          <w:rFonts w:ascii="Times New Roman" w:hAnsi="Times New Roman"/>
          <w:sz w:val="24"/>
          <w:szCs w:val="24"/>
        </w:rPr>
      </w:pPr>
      <w:r w:rsidRPr="00D75D2E">
        <w:rPr>
          <w:rFonts w:ascii="Times New Roman" w:hAnsi="Times New Roman"/>
          <w:sz w:val="24"/>
          <w:szCs w:val="24"/>
        </w:rPr>
        <w:t xml:space="preserve">Le PGES comporte un programme de mise en œuvre des mesures d’atténuation, un programme de surveillance et de suivi environnemental, un plan de renforcement des capacités, d’information et de communication, ainsi qu’un plan de gestion d’urgence ou de gestion des risques. </w:t>
      </w:r>
    </w:p>
    <w:p w14:paraId="723338C1" w14:textId="77777777" w:rsidR="00A14871" w:rsidRPr="00D75D2E" w:rsidRDefault="00A14871" w:rsidP="00215867">
      <w:pPr>
        <w:spacing w:before="120" w:after="120" w:line="23" w:lineRule="atLeast"/>
        <w:jc w:val="both"/>
        <w:rPr>
          <w:rFonts w:ascii="Times New Roman" w:hAnsi="Times New Roman"/>
          <w:sz w:val="24"/>
          <w:szCs w:val="24"/>
        </w:rPr>
      </w:pPr>
      <w:r w:rsidRPr="00D75D2E">
        <w:rPr>
          <w:rFonts w:ascii="Times New Roman" w:hAnsi="Times New Roman"/>
          <w:sz w:val="24"/>
          <w:szCs w:val="24"/>
        </w:rPr>
        <w:t>Le PGES donne pour les différents impacts des travaux identifiés les éléments tels que : l’action environnementale, les objectifs de l’action, les tâches de l’action, les acteurs de mise en œuvre de l’action, les lieux et calendrier de mise en œuvre de l’action, les coûts de mise en œuvre, les indicateurs et les acteurs de suivi de l’efficacité de l’action.</w:t>
      </w:r>
    </w:p>
    <w:p w14:paraId="724447B1" w14:textId="77777777" w:rsidR="00244161" w:rsidRPr="00215867" w:rsidRDefault="00244161" w:rsidP="00215867">
      <w:pPr>
        <w:pStyle w:val="Titre1"/>
        <w:numPr>
          <w:ilvl w:val="1"/>
          <w:numId w:val="54"/>
        </w:numPr>
        <w:spacing w:before="120" w:after="120" w:line="23" w:lineRule="atLeast"/>
        <w:ind w:left="788" w:hanging="431"/>
        <w:rPr>
          <w:b w:val="0"/>
        </w:rPr>
      </w:pPr>
      <w:bookmarkStart w:id="825" w:name="_Toc452538257"/>
      <w:bookmarkStart w:id="826" w:name="_Toc16663518"/>
      <w:bookmarkStart w:id="827" w:name="_Toc16663692"/>
      <w:bookmarkStart w:id="828" w:name="_Toc16664937"/>
      <w:bookmarkStart w:id="829" w:name="_Toc103685726"/>
      <w:r w:rsidRPr="007E5A67">
        <w:t>Mesures de bonification</w:t>
      </w:r>
      <w:bookmarkEnd w:id="825"/>
      <w:bookmarkEnd w:id="826"/>
      <w:bookmarkEnd w:id="827"/>
      <w:bookmarkEnd w:id="828"/>
      <w:bookmarkEnd w:id="829"/>
    </w:p>
    <w:p w14:paraId="6CA6535E" w14:textId="7FF88E47" w:rsidR="00244161" w:rsidRPr="00215867" w:rsidRDefault="00244161" w:rsidP="00A86929">
      <w:pPr>
        <w:pStyle w:val="Default"/>
        <w:keepNext/>
        <w:spacing w:before="120" w:after="120"/>
        <w:rPr>
          <w:color w:val="auto"/>
          <w:szCs w:val="22"/>
        </w:rPr>
      </w:pPr>
      <w:bookmarkStart w:id="830" w:name="_Toc519048953"/>
      <w:bookmarkStart w:id="831" w:name="_Toc93050320"/>
      <w:r w:rsidRPr="00215867">
        <w:rPr>
          <w:color w:val="auto"/>
          <w:szCs w:val="22"/>
        </w:rPr>
        <w:t xml:space="preserve">Tableau </w:t>
      </w:r>
      <w:r w:rsidRPr="00A86929">
        <w:rPr>
          <w:color w:val="auto"/>
          <w:szCs w:val="22"/>
        </w:rPr>
        <w:fldChar w:fldCharType="begin"/>
      </w:r>
      <w:r w:rsidRPr="00215867">
        <w:rPr>
          <w:color w:val="auto"/>
          <w:szCs w:val="22"/>
        </w:rPr>
        <w:instrText xml:space="preserve"> SEQ Tableau \* ARABIC </w:instrText>
      </w:r>
      <w:r w:rsidRPr="00A86929">
        <w:rPr>
          <w:color w:val="auto"/>
          <w:szCs w:val="22"/>
        </w:rPr>
        <w:fldChar w:fldCharType="separate"/>
      </w:r>
      <w:r w:rsidR="00A86929">
        <w:rPr>
          <w:noProof/>
          <w:color w:val="auto"/>
          <w:szCs w:val="22"/>
        </w:rPr>
        <w:t>58</w:t>
      </w:r>
      <w:r w:rsidRPr="00A86929">
        <w:rPr>
          <w:color w:val="auto"/>
          <w:szCs w:val="22"/>
        </w:rPr>
        <w:fldChar w:fldCharType="end"/>
      </w:r>
      <w:r w:rsidRPr="00215867">
        <w:rPr>
          <w:color w:val="auto"/>
          <w:szCs w:val="22"/>
        </w:rPr>
        <w:t> : Matrice de synthèse des mesures de bonification des effets positifs du projet</w:t>
      </w:r>
      <w:bookmarkEnd w:id="830"/>
      <w:bookmarkEnd w:id="831"/>
      <w:r w:rsidRPr="00215867">
        <w:rPr>
          <w:color w:val="auto"/>
          <w:szCs w:val="22"/>
        </w:rPr>
        <w:t xml:space="preserve"> </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701"/>
        <w:gridCol w:w="1559"/>
        <w:gridCol w:w="2977"/>
        <w:gridCol w:w="3256"/>
      </w:tblGrid>
      <w:tr w:rsidR="00D75D2E" w:rsidRPr="00420C1B" w14:paraId="620030A7" w14:textId="77777777" w:rsidTr="00E737B4">
        <w:trPr>
          <w:trHeight w:val="752"/>
          <w:tblHeader/>
          <w:jc w:val="center"/>
        </w:trPr>
        <w:tc>
          <w:tcPr>
            <w:tcW w:w="992" w:type="dxa"/>
            <w:shd w:val="clear" w:color="auto" w:fill="92D050"/>
            <w:vAlign w:val="center"/>
          </w:tcPr>
          <w:p w14:paraId="43D930B0" w14:textId="77777777" w:rsidR="00244161" w:rsidRPr="00420C1B" w:rsidRDefault="00244161" w:rsidP="0062151B">
            <w:pPr>
              <w:spacing w:after="0" w:line="240" w:lineRule="auto"/>
              <w:rPr>
                <w:rFonts w:ascii="Times New Roman" w:hAnsi="Times New Roman"/>
                <w:b/>
                <w:sz w:val="20"/>
                <w:szCs w:val="20"/>
              </w:rPr>
            </w:pPr>
            <w:r w:rsidRPr="00420C1B">
              <w:rPr>
                <w:rFonts w:ascii="Times New Roman" w:hAnsi="Times New Roman"/>
                <w:b/>
                <w:sz w:val="20"/>
                <w:szCs w:val="20"/>
              </w:rPr>
              <w:t>Phase du projet</w:t>
            </w:r>
          </w:p>
        </w:tc>
        <w:tc>
          <w:tcPr>
            <w:tcW w:w="1701" w:type="dxa"/>
            <w:shd w:val="clear" w:color="auto" w:fill="92D050"/>
            <w:vAlign w:val="center"/>
          </w:tcPr>
          <w:p w14:paraId="7E2DAD5F"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Activité source d’impact</w:t>
            </w:r>
          </w:p>
        </w:tc>
        <w:tc>
          <w:tcPr>
            <w:tcW w:w="1559" w:type="dxa"/>
            <w:shd w:val="clear" w:color="auto" w:fill="92D050"/>
            <w:vAlign w:val="center"/>
          </w:tcPr>
          <w:p w14:paraId="396102C2"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Composante du milieu affecté</w:t>
            </w:r>
          </w:p>
        </w:tc>
        <w:tc>
          <w:tcPr>
            <w:tcW w:w="2977" w:type="dxa"/>
            <w:shd w:val="clear" w:color="auto" w:fill="92D050"/>
            <w:vAlign w:val="center"/>
          </w:tcPr>
          <w:p w14:paraId="59B3A005"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Impact potentiel</w:t>
            </w:r>
          </w:p>
        </w:tc>
        <w:tc>
          <w:tcPr>
            <w:tcW w:w="3256" w:type="dxa"/>
            <w:shd w:val="clear" w:color="auto" w:fill="92D050"/>
            <w:vAlign w:val="center"/>
          </w:tcPr>
          <w:p w14:paraId="5B0ECDF6"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Mesures de bonification</w:t>
            </w:r>
          </w:p>
        </w:tc>
      </w:tr>
      <w:tr w:rsidR="00D75D2E" w:rsidRPr="00420C1B" w14:paraId="5B3AC8AF" w14:textId="77777777" w:rsidTr="00E737B4">
        <w:trPr>
          <w:cantSplit/>
          <w:trHeight w:val="796"/>
          <w:jc w:val="center"/>
        </w:trPr>
        <w:tc>
          <w:tcPr>
            <w:tcW w:w="992" w:type="dxa"/>
            <w:vMerge w:val="restart"/>
            <w:textDirection w:val="btLr"/>
            <w:vAlign w:val="center"/>
          </w:tcPr>
          <w:p w14:paraId="3C577226" w14:textId="77777777" w:rsidR="00244161" w:rsidRPr="00420C1B" w:rsidRDefault="00244161"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PREPARATOIRE</w:t>
            </w:r>
          </w:p>
        </w:tc>
        <w:tc>
          <w:tcPr>
            <w:tcW w:w="1701" w:type="dxa"/>
            <w:vAlign w:val="center"/>
          </w:tcPr>
          <w:p w14:paraId="01C302D6"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Indemnisation des biens touchés</w:t>
            </w:r>
          </w:p>
          <w:p w14:paraId="315075D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Libération des emprises</w:t>
            </w:r>
          </w:p>
        </w:tc>
        <w:tc>
          <w:tcPr>
            <w:tcW w:w="1559" w:type="dxa"/>
            <w:vAlign w:val="center"/>
          </w:tcPr>
          <w:p w14:paraId="76C6092E" w14:textId="77777777" w:rsidR="00244161" w:rsidRPr="00420C1B" w:rsidRDefault="00244161" w:rsidP="00E737B4">
            <w:pPr>
              <w:spacing w:after="0" w:line="240" w:lineRule="auto"/>
              <w:rPr>
                <w:rFonts w:ascii="Times New Roman" w:hAnsi="Times New Roman"/>
                <w:sz w:val="20"/>
                <w:szCs w:val="20"/>
              </w:rPr>
            </w:pPr>
            <w:r w:rsidRPr="00420C1B">
              <w:rPr>
                <w:rFonts w:ascii="Times New Roman" w:hAnsi="Times New Roman"/>
                <w:sz w:val="20"/>
                <w:szCs w:val="20"/>
              </w:rPr>
              <w:t>Humain</w:t>
            </w:r>
          </w:p>
        </w:tc>
        <w:tc>
          <w:tcPr>
            <w:tcW w:w="2977" w:type="dxa"/>
            <w:vAlign w:val="center"/>
          </w:tcPr>
          <w:p w14:paraId="265B2A84" w14:textId="77777777" w:rsidR="00244161" w:rsidRPr="00420C1B" w:rsidRDefault="00244161" w:rsidP="008C79F0">
            <w:pPr>
              <w:pStyle w:val="Paragraphedeliste"/>
              <w:numPr>
                <w:ilvl w:val="1"/>
                <w:numId w:val="49"/>
              </w:numPr>
              <w:spacing w:after="0" w:line="240" w:lineRule="auto"/>
              <w:ind w:left="0" w:hanging="99"/>
              <w:jc w:val="both"/>
              <w:rPr>
                <w:rFonts w:ascii="Times New Roman" w:hAnsi="Times New Roman"/>
                <w:sz w:val="20"/>
                <w:szCs w:val="20"/>
              </w:rPr>
            </w:pPr>
            <w:r w:rsidRPr="00420C1B">
              <w:rPr>
                <w:rFonts w:ascii="Times New Roman" w:hAnsi="Times New Roman"/>
                <w:sz w:val="20"/>
                <w:szCs w:val="20"/>
              </w:rPr>
              <w:t>Bonne acceptation sociale du projet ;</w:t>
            </w:r>
          </w:p>
          <w:p w14:paraId="127AC6B9" w14:textId="77777777" w:rsidR="00244161" w:rsidRPr="00420C1B" w:rsidRDefault="00244161" w:rsidP="008C79F0">
            <w:pPr>
              <w:pStyle w:val="Paragraphedeliste"/>
              <w:numPr>
                <w:ilvl w:val="1"/>
                <w:numId w:val="49"/>
              </w:numPr>
              <w:spacing w:after="0" w:line="240" w:lineRule="auto"/>
              <w:ind w:left="0" w:hanging="99"/>
              <w:jc w:val="both"/>
              <w:rPr>
                <w:rFonts w:ascii="Times New Roman" w:hAnsi="Times New Roman"/>
                <w:sz w:val="20"/>
                <w:szCs w:val="20"/>
              </w:rPr>
            </w:pPr>
            <w:r w:rsidRPr="00420C1B">
              <w:rPr>
                <w:rFonts w:ascii="Times New Roman" w:hAnsi="Times New Roman"/>
                <w:sz w:val="20"/>
                <w:szCs w:val="20"/>
              </w:rPr>
              <w:t>Renforcement de la cohésion sociale </w:t>
            </w:r>
          </w:p>
        </w:tc>
        <w:tc>
          <w:tcPr>
            <w:tcW w:w="3256" w:type="dxa"/>
            <w:vAlign w:val="center"/>
          </w:tcPr>
          <w:p w14:paraId="0B26669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Indemniser les propriétaires selon la législation congolaise et la </w:t>
            </w:r>
            <w:r w:rsidR="00C93C99" w:rsidRPr="00420C1B">
              <w:rPr>
                <w:rFonts w:ascii="Times New Roman" w:hAnsi="Times New Roman"/>
                <w:sz w:val="20"/>
                <w:szCs w:val="20"/>
              </w:rPr>
              <w:t>NES n°5</w:t>
            </w:r>
            <w:r w:rsidRPr="00420C1B">
              <w:rPr>
                <w:rFonts w:ascii="Times New Roman" w:hAnsi="Times New Roman"/>
                <w:sz w:val="20"/>
                <w:szCs w:val="20"/>
              </w:rPr>
              <w:t xml:space="preserve"> de la Banque Mondiale</w:t>
            </w:r>
          </w:p>
        </w:tc>
      </w:tr>
      <w:tr w:rsidR="00D75D2E" w:rsidRPr="00420C1B" w14:paraId="2DD805B5" w14:textId="77777777" w:rsidTr="00E737B4">
        <w:trPr>
          <w:cantSplit/>
          <w:trHeight w:val="1015"/>
          <w:jc w:val="center"/>
        </w:trPr>
        <w:tc>
          <w:tcPr>
            <w:tcW w:w="992" w:type="dxa"/>
            <w:vMerge/>
            <w:textDirection w:val="btLr"/>
            <w:vAlign w:val="center"/>
          </w:tcPr>
          <w:p w14:paraId="7931B7E3"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03688943"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Installation du chantier </w:t>
            </w:r>
          </w:p>
        </w:tc>
        <w:tc>
          <w:tcPr>
            <w:tcW w:w="1559" w:type="dxa"/>
            <w:vAlign w:val="center"/>
          </w:tcPr>
          <w:p w14:paraId="5C668450" w14:textId="77777777" w:rsidR="00244161" w:rsidRPr="00420C1B" w:rsidRDefault="00244161" w:rsidP="00E737B4">
            <w:pPr>
              <w:spacing w:after="0" w:line="240" w:lineRule="auto"/>
              <w:rPr>
                <w:rFonts w:ascii="Times New Roman" w:hAnsi="Times New Roman"/>
                <w:sz w:val="20"/>
                <w:szCs w:val="20"/>
              </w:rPr>
            </w:pPr>
            <w:r w:rsidRPr="00420C1B">
              <w:rPr>
                <w:rFonts w:ascii="Times New Roman" w:hAnsi="Times New Roman"/>
                <w:sz w:val="20"/>
                <w:szCs w:val="20"/>
              </w:rPr>
              <w:t xml:space="preserve">Humain </w:t>
            </w:r>
          </w:p>
        </w:tc>
        <w:tc>
          <w:tcPr>
            <w:tcW w:w="2977" w:type="dxa"/>
            <w:vAlign w:val="center"/>
          </w:tcPr>
          <w:p w14:paraId="63EEDB02" w14:textId="77777777" w:rsidR="00244161" w:rsidRPr="00420C1B" w:rsidRDefault="00244161" w:rsidP="008C79F0">
            <w:pPr>
              <w:pStyle w:val="Paragraphedeliste"/>
              <w:numPr>
                <w:ilvl w:val="1"/>
                <w:numId w:val="49"/>
              </w:numPr>
              <w:spacing w:after="0" w:line="240" w:lineRule="auto"/>
              <w:ind w:left="119" w:hanging="119"/>
              <w:jc w:val="both"/>
              <w:rPr>
                <w:rFonts w:ascii="Times New Roman" w:hAnsi="Times New Roman"/>
                <w:sz w:val="20"/>
                <w:szCs w:val="20"/>
              </w:rPr>
            </w:pPr>
            <w:r w:rsidRPr="00420C1B">
              <w:rPr>
                <w:rFonts w:ascii="Times New Roman" w:hAnsi="Times New Roman"/>
                <w:sz w:val="20"/>
                <w:szCs w:val="20"/>
              </w:rPr>
              <w:t>Création d’emplois ;</w:t>
            </w:r>
          </w:p>
          <w:p w14:paraId="5D54D5C9" w14:textId="77777777" w:rsidR="00244161" w:rsidRPr="00420C1B" w:rsidRDefault="00244161" w:rsidP="008C79F0">
            <w:pPr>
              <w:pStyle w:val="Paragraphedeliste"/>
              <w:numPr>
                <w:ilvl w:val="1"/>
                <w:numId w:val="49"/>
              </w:numPr>
              <w:spacing w:after="0" w:line="240" w:lineRule="auto"/>
              <w:ind w:left="119" w:hanging="119"/>
              <w:jc w:val="both"/>
              <w:rPr>
                <w:rFonts w:ascii="Times New Roman" w:hAnsi="Times New Roman"/>
                <w:sz w:val="20"/>
                <w:szCs w:val="20"/>
              </w:rPr>
            </w:pPr>
            <w:r w:rsidRPr="00420C1B">
              <w:rPr>
                <w:rFonts w:ascii="Times New Roman" w:hAnsi="Times New Roman"/>
                <w:sz w:val="20"/>
                <w:szCs w:val="20"/>
              </w:rPr>
              <w:t xml:space="preserve">Opportunités pour les activités génératrices de revenus </w:t>
            </w:r>
          </w:p>
        </w:tc>
        <w:tc>
          <w:tcPr>
            <w:tcW w:w="3256" w:type="dxa"/>
            <w:vAlign w:val="center"/>
          </w:tcPr>
          <w:p w14:paraId="1A9A55BD" w14:textId="33942E0B"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Elaborer un règlement intérieur pour le respect des clauses environnementales </w:t>
            </w:r>
            <w:r w:rsidR="00303487" w:rsidRPr="00420C1B">
              <w:rPr>
                <w:rFonts w:ascii="Times New Roman" w:hAnsi="Times New Roman"/>
                <w:sz w:val="20"/>
                <w:szCs w:val="20"/>
              </w:rPr>
              <w:t xml:space="preserve"> et </w:t>
            </w:r>
            <w:r w:rsidR="00D16CFA" w:rsidRPr="00420C1B">
              <w:rPr>
                <w:rFonts w:ascii="Times New Roman" w:hAnsi="Times New Roman"/>
                <w:sz w:val="20"/>
                <w:szCs w:val="20"/>
              </w:rPr>
              <w:t>sociales du</w:t>
            </w:r>
            <w:r w:rsidRPr="00420C1B">
              <w:rPr>
                <w:rFonts w:ascii="Times New Roman" w:hAnsi="Times New Roman"/>
                <w:sz w:val="20"/>
                <w:szCs w:val="20"/>
              </w:rPr>
              <w:t xml:space="preserve"> chantier par le personnel de l’entreprise</w:t>
            </w:r>
          </w:p>
        </w:tc>
      </w:tr>
      <w:tr w:rsidR="00D75D2E" w:rsidRPr="00420C1B" w14:paraId="5A11E6F3" w14:textId="77777777" w:rsidTr="00E737B4">
        <w:trPr>
          <w:cantSplit/>
          <w:trHeight w:val="1128"/>
          <w:jc w:val="center"/>
        </w:trPr>
        <w:tc>
          <w:tcPr>
            <w:tcW w:w="992" w:type="dxa"/>
            <w:vMerge/>
            <w:textDirection w:val="btLr"/>
            <w:vAlign w:val="center"/>
          </w:tcPr>
          <w:p w14:paraId="535FC69F"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1C53A1B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Démolition quelques bâtisses et abattage, élagage d’arbres dans les emprises des travaux </w:t>
            </w:r>
          </w:p>
        </w:tc>
        <w:tc>
          <w:tcPr>
            <w:tcW w:w="1559" w:type="dxa"/>
            <w:vAlign w:val="center"/>
          </w:tcPr>
          <w:p w14:paraId="4F70EA0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Humain</w:t>
            </w:r>
          </w:p>
        </w:tc>
        <w:tc>
          <w:tcPr>
            <w:tcW w:w="2977" w:type="dxa"/>
            <w:vAlign w:val="center"/>
          </w:tcPr>
          <w:p w14:paraId="39CE55D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Indemnisation des biens touchés ;</w:t>
            </w:r>
          </w:p>
          <w:p w14:paraId="3BBF463C"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Disponibilité du bois de chauffe et de service pour les ménages</w:t>
            </w:r>
            <w:r w:rsidRPr="00420C1B">
              <w:rPr>
                <w:rFonts w:ascii="Times New Roman" w:hAnsi="Times New Roman"/>
                <w:sz w:val="20"/>
                <w:szCs w:val="20"/>
              </w:rPr>
              <w:tab/>
            </w:r>
          </w:p>
        </w:tc>
        <w:tc>
          <w:tcPr>
            <w:tcW w:w="3256" w:type="dxa"/>
            <w:vAlign w:val="center"/>
          </w:tcPr>
          <w:p w14:paraId="33F649AF" w14:textId="77777777" w:rsidR="00244161" w:rsidRPr="00420C1B" w:rsidRDefault="00244161" w:rsidP="0062151B">
            <w:pPr>
              <w:pStyle w:val="Lgende"/>
              <w:spacing w:after="0"/>
              <w:jc w:val="both"/>
              <w:rPr>
                <w:color w:val="auto"/>
                <w:sz w:val="20"/>
                <w:szCs w:val="20"/>
              </w:rPr>
            </w:pPr>
            <w:r w:rsidRPr="00420C1B">
              <w:rPr>
                <w:color w:val="auto"/>
                <w:sz w:val="20"/>
                <w:szCs w:val="20"/>
              </w:rPr>
              <w:t>Permettre à la population de disposer du bois issu d’abattage, d’élagage dans les emprises ;</w:t>
            </w:r>
          </w:p>
          <w:p w14:paraId="0A7588E8" w14:textId="77777777" w:rsidR="00244161" w:rsidRPr="00420C1B" w:rsidRDefault="00244161" w:rsidP="0062151B">
            <w:pPr>
              <w:pStyle w:val="Lgende"/>
              <w:spacing w:after="0"/>
              <w:jc w:val="both"/>
              <w:rPr>
                <w:color w:val="auto"/>
                <w:sz w:val="20"/>
                <w:szCs w:val="20"/>
              </w:rPr>
            </w:pPr>
            <w:r w:rsidRPr="00420C1B">
              <w:rPr>
                <w:color w:val="auto"/>
                <w:sz w:val="20"/>
                <w:szCs w:val="20"/>
              </w:rPr>
              <w:t>Permettre aux PAP de récupérer les accessoires utiles (agglos, toit en tôles, ouvertures, chevrons, Etc.)</w:t>
            </w:r>
          </w:p>
        </w:tc>
      </w:tr>
      <w:tr w:rsidR="00D75D2E" w:rsidRPr="00420C1B" w14:paraId="003DE13A" w14:textId="77777777" w:rsidTr="00E737B4">
        <w:trPr>
          <w:trHeight w:val="1007"/>
          <w:jc w:val="center"/>
        </w:trPr>
        <w:tc>
          <w:tcPr>
            <w:tcW w:w="992" w:type="dxa"/>
            <w:vMerge w:val="restart"/>
            <w:textDirection w:val="btLr"/>
            <w:vAlign w:val="center"/>
          </w:tcPr>
          <w:p w14:paraId="7BD5DABB" w14:textId="77777777" w:rsidR="00BA3368" w:rsidRPr="00420C1B" w:rsidRDefault="00BA3368"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 xml:space="preserve">CONSTRUCTION </w:t>
            </w:r>
          </w:p>
        </w:tc>
        <w:tc>
          <w:tcPr>
            <w:tcW w:w="1701" w:type="dxa"/>
            <w:vAlign w:val="center"/>
          </w:tcPr>
          <w:p w14:paraId="56352BB2"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Terrassement et nettoyage de l’emprise</w:t>
            </w:r>
          </w:p>
        </w:tc>
        <w:tc>
          <w:tcPr>
            <w:tcW w:w="1559" w:type="dxa"/>
            <w:vAlign w:val="center"/>
          </w:tcPr>
          <w:p w14:paraId="50DA3DEE"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Humain</w:t>
            </w:r>
          </w:p>
        </w:tc>
        <w:tc>
          <w:tcPr>
            <w:tcW w:w="2977" w:type="dxa"/>
            <w:vAlign w:val="center"/>
          </w:tcPr>
          <w:p w14:paraId="5F86AD60"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Disponibilité du bois de chauffage et de service chauffe pour les ménages riverains</w:t>
            </w:r>
          </w:p>
        </w:tc>
        <w:tc>
          <w:tcPr>
            <w:tcW w:w="3256" w:type="dxa"/>
            <w:vAlign w:val="center"/>
          </w:tcPr>
          <w:p w14:paraId="4CB61484" w14:textId="77777777" w:rsidR="00BA3368" w:rsidRPr="00420C1B" w:rsidRDefault="00BA3368" w:rsidP="0062151B">
            <w:pPr>
              <w:pStyle w:val="Lgende"/>
              <w:spacing w:after="0"/>
              <w:jc w:val="both"/>
              <w:rPr>
                <w:color w:val="auto"/>
                <w:sz w:val="20"/>
                <w:szCs w:val="20"/>
              </w:rPr>
            </w:pPr>
            <w:r w:rsidRPr="00420C1B">
              <w:rPr>
                <w:color w:val="auto"/>
                <w:sz w:val="20"/>
                <w:szCs w:val="20"/>
              </w:rPr>
              <w:t>Permettre à la population de disposer du bois issu du terrassement et du nettoyage</w:t>
            </w:r>
          </w:p>
        </w:tc>
      </w:tr>
      <w:tr w:rsidR="00D75D2E" w:rsidRPr="00420C1B" w14:paraId="7752FE98" w14:textId="77777777" w:rsidTr="00E737B4">
        <w:trPr>
          <w:trHeight w:val="1007"/>
          <w:jc w:val="center"/>
        </w:trPr>
        <w:tc>
          <w:tcPr>
            <w:tcW w:w="992" w:type="dxa"/>
            <w:vMerge/>
            <w:textDirection w:val="btLr"/>
            <w:vAlign w:val="center"/>
          </w:tcPr>
          <w:p w14:paraId="60F6164E" w14:textId="77777777" w:rsidR="00BA3368" w:rsidRPr="00420C1B" w:rsidRDefault="00BA3368" w:rsidP="0062151B">
            <w:pPr>
              <w:spacing w:after="0" w:line="240" w:lineRule="auto"/>
              <w:ind w:left="113" w:right="113"/>
              <w:jc w:val="center"/>
              <w:rPr>
                <w:rFonts w:ascii="Times New Roman" w:hAnsi="Times New Roman"/>
                <w:b/>
                <w:sz w:val="20"/>
                <w:szCs w:val="20"/>
              </w:rPr>
            </w:pPr>
          </w:p>
        </w:tc>
        <w:tc>
          <w:tcPr>
            <w:tcW w:w="1701" w:type="dxa"/>
            <w:vAlign w:val="center"/>
          </w:tcPr>
          <w:p w14:paraId="5BC29CEE"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Emploi de main d’œuvre pendant les travaux</w:t>
            </w:r>
          </w:p>
        </w:tc>
        <w:tc>
          <w:tcPr>
            <w:tcW w:w="1559" w:type="dxa"/>
            <w:vAlign w:val="center"/>
          </w:tcPr>
          <w:p w14:paraId="540B4295"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Humain</w:t>
            </w:r>
          </w:p>
        </w:tc>
        <w:tc>
          <w:tcPr>
            <w:tcW w:w="2977" w:type="dxa"/>
            <w:vAlign w:val="center"/>
          </w:tcPr>
          <w:p w14:paraId="4F062C17"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Opportunités d’emplois</w:t>
            </w:r>
          </w:p>
          <w:p w14:paraId="3AD63FA7" w14:textId="77777777" w:rsidR="007A769A" w:rsidRPr="00420C1B" w:rsidRDefault="007A769A" w:rsidP="0062151B">
            <w:pPr>
              <w:spacing w:after="0" w:line="240" w:lineRule="auto"/>
              <w:jc w:val="both"/>
              <w:rPr>
                <w:rFonts w:ascii="Times New Roman" w:hAnsi="Times New Roman"/>
                <w:sz w:val="20"/>
                <w:szCs w:val="20"/>
              </w:rPr>
            </w:pPr>
            <w:r w:rsidRPr="00420C1B">
              <w:rPr>
                <w:rFonts w:ascii="Times New Roman" w:hAnsi="Times New Roman"/>
                <w:sz w:val="20"/>
                <w:szCs w:val="20"/>
              </w:rPr>
              <w:t>(150 à 300 ouvriers non qualifiés pour la réalisation des travaux, 75  ouvriers qualifiés)</w:t>
            </w:r>
          </w:p>
        </w:tc>
        <w:tc>
          <w:tcPr>
            <w:tcW w:w="3256" w:type="dxa"/>
            <w:vAlign w:val="center"/>
          </w:tcPr>
          <w:p w14:paraId="4854C694" w14:textId="77777777" w:rsidR="00BA3368" w:rsidRPr="00420C1B" w:rsidRDefault="00BA3368" w:rsidP="0062151B">
            <w:pPr>
              <w:pStyle w:val="Lgende"/>
              <w:spacing w:after="0"/>
              <w:jc w:val="both"/>
              <w:rPr>
                <w:color w:val="auto"/>
                <w:sz w:val="20"/>
                <w:szCs w:val="20"/>
              </w:rPr>
            </w:pPr>
            <w:r w:rsidRPr="00420C1B">
              <w:rPr>
                <w:color w:val="auto"/>
                <w:sz w:val="20"/>
                <w:szCs w:val="20"/>
              </w:rPr>
              <w:t>Priorisation de l’embauche du personnel d’exécution (ouvriers non qualifiés et manœuvres) des communes concernées par le projet</w:t>
            </w:r>
          </w:p>
        </w:tc>
      </w:tr>
      <w:tr w:rsidR="00D75D2E" w:rsidRPr="00420C1B" w14:paraId="483B72E7" w14:textId="77777777" w:rsidTr="00E737B4">
        <w:trPr>
          <w:trHeight w:val="169"/>
          <w:jc w:val="center"/>
        </w:trPr>
        <w:tc>
          <w:tcPr>
            <w:tcW w:w="992" w:type="dxa"/>
            <w:vMerge/>
            <w:textDirection w:val="btLr"/>
            <w:vAlign w:val="center"/>
          </w:tcPr>
          <w:p w14:paraId="45FDFD76" w14:textId="77777777" w:rsidR="00BA3368" w:rsidRPr="00420C1B" w:rsidRDefault="00BA3368" w:rsidP="0062151B">
            <w:pPr>
              <w:spacing w:after="0" w:line="240" w:lineRule="auto"/>
              <w:ind w:left="113" w:right="113"/>
              <w:jc w:val="center"/>
              <w:rPr>
                <w:rFonts w:ascii="Times New Roman" w:hAnsi="Times New Roman"/>
                <w:b/>
                <w:sz w:val="20"/>
                <w:szCs w:val="20"/>
              </w:rPr>
            </w:pPr>
          </w:p>
        </w:tc>
        <w:tc>
          <w:tcPr>
            <w:tcW w:w="1701" w:type="dxa"/>
            <w:vAlign w:val="center"/>
          </w:tcPr>
          <w:p w14:paraId="3BF1759A" w14:textId="77777777" w:rsidR="00BA3368" w:rsidRPr="00420C1B" w:rsidRDefault="00BA3368" w:rsidP="0062151B">
            <w:pPr>
              <w:spacing w:after="0" w:line="240" w:lineRule="auto"/>
              <w:jc w:val="both"/>
              <w:rPr>
                <w:rFonts w:ascii="Times New Roman" w:hAnsi="Times New Roman"/>
                <w:sz w:val="20"/>
                <w:szCs w:val="20"/>
              </w:rPr>
            </w:pPr>
            <w:r w:rsidRPr="00420C1B">
              <w:rPr>
                <w:rFonts w:ascii="Times New Roman" w:hAnsi="Times New Roman"/>
                <w:sz w:val="20"/>
                <w:szCs w:val="20"/>
              </w:rPr>
              <w:t>Plantation d’arbres</w:t>
            </w:r>
          </w:p>
        </w:tc>
        <w:tc>
          <w:tcPr>
            <w:tcW w:w="1559" w:type="dxa"/>
            <w:vAlign w:val="center"/>
          </w:tcPr>
          <w:p w14:paraId="393977B4" w14:textId="77777777" w:rsidR="00BA3368" w:rsidRPr="00420C1B" w:rsidRDefault="00BA3368" w:rsidP="0062151B">
            <w:pPr>
              <w:spacing w:after="0" w:line="240" w:lineRule="auto"/>
              <w:rPr>
                <w:rFonts w:ascii="Times New Roman" w:hAnsi="Times New Roman"/>
                <w:sz w:val="20"/>
                <w:szCs w:val="20"/>
              </w:rPr>
            </w:pPr>
            <w:r w:rsidRPr="00420C1B">
              <w:rPr>
                <w:rFonts w:ascii="Times New Roman" w:hAnsi="Times New Roman"/>
                <w:sz w:val="20"/>
                <w:szCs w:val="20"/>
              </w:rPr>
              <w:t>Végétation</w:t>
            </w:r>
          </w:p>
          <w:p w14:paraId="6CB1F74D" w14:textId="77777777" w:rsidR="00BA3368" w:rsidRPr="00420C1B" w:rsidRDefault="00BA3368" w:rsidP="0062151B">
            <w:pPr>
              <w:spacing w:after="0" w:line="240" w:lineRule="auto"/>
              <w:rPr>
                <w:rFonts w:ascii="Times New Roman" w:hAnsi="Times New Roman"/>
                <w:sz w:val="20"/>
                <w:szCs w:val="20"/>
              </w:rPr>
            </w:pPr>
            <w:r w:rsidRPr="00420C1B">
              <w:rPr>
                <w:rFonts w:ascii="Times New Roman" w:hAnsi="Times New Roman"/>
                <w:sz w:val="20"/>
                <w:szCs w:val="20"/>
              </w:rPr>
              <w:t xml:space="preserve">Eau </w:t>
            </w:r>
          </w:p>
          <w:p w14:paraId="026926AF" w14:textId="77777777" w:rsidR="00BA3368" w:rsidRPr="00420C1B" w:rsidRDefault="00BA3368" w:rsidP="0062151B">
            <w:pPr>
              <w:spacing w:after="0" w:line="240" w:lineRule="auto"/>
              <w:rPr>
                <w:rFonts w:ascii="Times New Roman" w:hAnsi="Times New Roman"/>
                <w:sz w:val="20"/>
                <w:szCs w:val="20"/>
              </w:rPr>
            </w:pPr>
            <w:r w:rsidRPr="00420C1B">
              <w:rPr>
                <w:rFonts w:ascii="Times New Roman" w:hAnsi="Times New Roman"/>
                <w:sz w:val="20"/>
                <w:szCs w:val="20"/>
              </w:rPr>
              <w:t xml:space="preserve">Air </w:t>
            </w:r>
          </w:p>
          <w:p w14:paraId="16FDB5A8" w14:textId="77777777" w:rsidR="00BA3368" w:rsidRPr="00420C1B" w:rsidRDefault="00BA3368" w:rsidP="0062151B">
            <w:pPr>
              <w:spacing w:after="0" w:line="240" w:lineRule="auto"/>
              <w:rPr>
                <w:rFonts w:ascii="Times New Roman" w:hAnsi="Times New Roman"/>
                <w:sz w:val="20"/>
                <w:szCs w:val="20"/>
              </w:rPr>
            </w:pPr>
            <w:r w:rsidRPr="00420C1B">
              <w:rPr>
                <w:rFonts w:ascii="Times New Roman" w:hAnsi="Times New Roman"/>
                <w:sz w:val="20"/>
                <w:szCs w:val="20"/>
              </w:rPr>
              <w:t>Sols</w:t>
            </w:r>
          </w:p>
          <w:p w14:paraId="1E2EBCB6" w14:textId="77777777" w:rsidR="00BA3368" w:rsidRPr="00420C1B" w:rsidRDefault="00BA3368" w:rsidP="0062151B">
            <w:pPr>
              <w:spacing w:after="0" w:line="240" w:lineRule="auto"/>
              <w:jc w:val="both"/>
              <w:rPr>
                <w:rFonts w:ascii="Times New Roman" w:hAnsi="Times New Roman"/>
                <w:sz w:val="20"/>
                <w:szCs w:val="20"/>
              </w:rPr>
            </w:pPr>
          </w:p>
        </w:tc>
        <w:tc>
          <w:tcPr>
            <w:tcW w:w="2977" w:type="dxa"/>
            <w:vAlign w:val="center"/>
          </w:tcPr>
          <w:p w14:paraId="020A51F6" w14:textId="77777777" w:rsidR="00BA3368" w:rsidRPr="00420C1B" w:rsidRDefault="00BA3368" w:rsidP="008C79F0">
            <w:pPr>
              <w:pStyle w:val="Paragraphedeliste"/>
              <w:numPr>
                <w:ilvl w:val="0"/>
                <w:numId w:val="52"/>
              </w:numPr>
              <w:spacing w:after="0" w:line="240" w:lineRule="auto"/>
              <w:ind w:left="173" w:hanging="142"/>
              <w:jc w:val="both"/>
              <w:rPr>
                <w:rFonts w:ascii="Times New Roman" w:hAnsi="Times New Roman"/>
                <w:sz w:val="20"/>
                <w:szCs w:val="20"/>
              </w:rPr>
            </w:pPr>
            <w:r w:rsidRPr="00420C1B">
              <w:rPr>
                <w:rFonts w:ascii="Times New Roman" w:hAnsi="Times New Roman"/>
                <w:sz w:val="20"/>
                <w:szCs w:val="20"/>
              </w:rPr>
              <w:t>Lutte contre l’érosion à travers la diminution de la vitesse d’écoulement des eaux ;</w:t>
            </w:r>
          </w:p>
          <w:p w14:paraId="60F6F48D" w14:textId="77777777" w:rsidR="00BA3368" w:rsidRPr="00420C1B" w:rsidRDefault="00BA3368" w:rsidP="008C79F0">
            <w:pPr>
              <w:pStyle w:val="Paragraphedeliste"/>
              <w:numPr>
                <w:ilvl w:val="0"/>
                <w:numId w:val="52"/>
              </w:numPr>
              <w:spacing w:after="0" w:line="240" w:lineRule="auto"/>
              <w:ind w:left="173" w:hanging="142"/>
              <w:jc w:val="both"/>
              <w:rPr>
                <w:rFonts w:ascii="Times New Roman" w:hAnsi="Times New Roman"/>
                <w:sz w:val="20"/>
                <w:szCs w:val="20"/>
              </w:rPr>
            </w:pPr>
            <w:r w:rsidRPr="00420C1B">
              <w:rPr>
                <w:rFonts w:ascii="Times New Roman" w:hAnsi="Times New Roman"/>
                <w:sz w:val="20"/>
                <w:szCs w:val="20"/>
              </w:rPr>
              <w:t>Protection des berges contre l’érosion hydrique ;</w:t>
            </w:r>
          </w:p>
          <w:p w14:paraId="7D10A92D" w14:textId="77777777" w:rsidR="00BA3368" w:rsidRPr="00420C1B" w:rsidRDefault="00BA3368" w:rsidP="008C79F0">
            <w:pPr>
              <w:pStyle w:val="Paragraphedeliste"/>
              <w:numPr>
                <w:ilvl w:val="0"/>
                <w:numId w:val="52"/>
              </w:numPr>
              <w:spacing w:after="0" w:line="240" w:lineRule="auto"/>
              <w:ind w:left="173" w:hanging="142"/>
              <w:jc w:val="both"/>
              <w:rPr>
                <w:rFonts w:ascii="Times New Roman" w:hAnsi="Times New Roman"/>
                <w:sz w:val="20"/>
                <w:szCs w:val="20"/>
              </w:rPr>
            </w:pPr>
            <w:r w:rsidRPr="00420C1B">
              <w:rPr>
                <w:rFonts w:ascii="Times New Roman" w:hAnsi="Times New Roman"/>
                <w:sz w:val="20"/>
                <w:szCs w:val="20"/>
              </w:rPr>
              <w:t>Atténuation du changement climatique par la séquestration du carbone par la reforestation.</w:t>
            </w:r>
          </w:p>
        </w:tc>
        <w:tc>
          <w:tcPr>
            <w:tcW w:w="3256" w:type="dxa"/>
            <w:vAlign w:val="center"/>
          </w:tcPr>
          <w:p w14:paraId="03372008" w14:textId="77777777" w:rsidR="00BA3368" w:rsidRPr="00420C1B" w:rsidRDefault="00BA3368" w:rsidP="0062151B">
            <w:pPr>
              <w:pStyle w:val="Lgende"/>
              <w:spacing w:after="0"/>
              <w:jc w:val="both"/>
              <w:rPr>
                <w:color w:val="auto"/>
                <w:sz w:val="20"/>
                <w:szCs w:val="20"/>
              </w:rPr>
            </w:pPr>
            <w:r w:rsidRPr="00420C1B">
              <w:rPr>
                <w:color w:val="auto"/>
                <w:sz w:val="20"/>
                <w:szCs w:val="20"/>
              </w:rPr>
              <w:t xml:space="preserve">Achat des plants auprès des pépiniéristes locaux </w:t>
            </w:r>
          </w:p>
          <w:p w14:paraId="74D48FF8" w14:textId="77777777" w:rsidR="00BA3368" w:rsidRPr="00420C1B" w:rsidRDefault="00BA3368" w:rsidP="00243E0E">
            <w:pPr>
              <w:pStyle w:val="Lgende"/>
              <w:spacing w:after="0"/>
              <w:jc w:val="both"/>
              <w:rPr>
                <w:color w:val="auto"/>
                <w:sz w:val="20"/>
                <w:szCs w:val="20"/>
              </w:rPr>
            </w:pPr>
            <w:r w:rsidRPr="00420C1B">
              <w:rPr>
                <w:color w:val="auto"/>
                <w:sz w:val="20"/>
                <w:szCs w:val="20"/>
              </w:rPr>
              <w:t>Programme de reboisement compensatoire</w:t>
            </w:r>
          </w:p>
          <w:p w14:paraId="19A41EBA" w14:textId="77777777" w:rsidR="00BA3368" w:rsidRPr="00420C1B" w:rsidRDefault="00BA3368" w:rsidP="00243E0E">
            <w:pPr>
              <w:pStyle w:val="Lgende"/>
              <w:spacing w:after="0"/>
              <w:jc w:val="both"/>
              <w:rPr>
                <w:color w:val="auto"/>
                <w:sz w:val="20"/>
                <w:szCs w:val="20"/>
              </w:rPr>
            </w:pPr>
            <w:r w:rsidRPr="00420C1B">
              <w:rPr>
                <w:color w:val="auto"/>
                <w:sz w:val="20"/>
                <w:szCs w:val="20"/>
              </w:rPr>
              <w:t>Insérer dans le DAO et respecter les clauses et prescriptions environnementales et sociales durant les travaux d’aménagement et de construction</w:t>
            </w:r>
          </w:p>
        </w:tc>
      </w:tr>
      <w:tr w:rsidR="00D75D2E" w:rsidRPr="00420C1B" w14:paraId="1E07D4E8" w14:textId="77777777" w:rsidTr="00E737B4">
        <w:trPr>
          <w:trHeight w:val="502"/>
          <w:jc w:val="center"/>
        </w:trPr>
        <w:tc>
          <w:tcPr>
            <w:tcW w:w="992" w:type="dxa"/>
            <w:vMerge w:val="restart"/>
            <w:textDirection w:val="btLr"/>
            <w:vAlign w:val="center"/>
          </w:tcPr>
          <w:p w14:paraId="2BB3DDA3" w14:textId="77777777" w:rsidR="00244161" w:rsidRPr="00420C1B" w:rsidRDefault="00244161"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 xml:space="preserve"> EXPLOITATION</w:t>
            </w:r>
          </w:p>
        </w:tc>
        <w:tc>
          <w:tcPr>
            <w:tcW w:w="1701" w:type="dxa"/>
            <w:vAlign w:val="center"/>
          </w:tcPr>
          <w:p w14:paraId="2E4A884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Assainissement du réseau électrique</w:t>
            </w:r>
          </w:p>
        </w:tc>
        <w:tc>
          <w:tcPr>
            <w:tcW w:w="1559" w:type="dxa"/>
            <w:vAlign w:val="center"/>
          </w:tcPr>
          <w:p w14:paraId="7C5A4834" w14:textId="77777777" w:rsidR="00244161" w:rsidRPr="00E737B4" w:rsidRDefault="00244161" w:rsidP="0062151B">
            <w:pPr>
              <w:spacing w:after="0" w:line="240" w:lineRule="auto"/>
              <w:jc w:val="center"/>
              <w:rPr>
                <w:rFonts w:ascii="Times New Roman" w:hAnsi="Times New Roman"/>
                <w:sz w:val="20"/>
                <w:szCs w:val="20"/>
              </w:rPr>
            </w:pPr>
            <w:r w:rsidRPr="00E737B4">
              <w:rPr>
                <w:rFonts w:ascii="Times New Roman" w:hAnsi="Times New Roman"/>
                <w:sz w:val="20"/>
                <w:szCs w:val="20"/>
              </w:rPr>
              <w:t>Santé sécurité</w:t>
            </w:r>
          </w:p>
          <w:p w14:paraId="2E90F93D" w14:textId="77777777" w:rsidR="00244161" w:rsidRPr="00420C1B" w:rsidRDefault="00244161" w:rsidP="0062151B">
            <w:pPr>
              <w:spacing w:after="0" w:line="240" w:lineRule="auto"/>
              <w:jc w:val="both"/>
              <w:rPr>
                <w:rFonts w:ascii="Times New Roman" w:hAnsi="Times New Roman"/>
                <w:sz w:val="20"/>
                <w:szCs w:val="20"/>
              </w:rPr>
            </w:pPr>
          </w:p>
        </w:tc>
        <w:tc>
          <w:tcPr>
            <w:tcW w:w="2977" w:type="dxa"/>
            <w:vAlign w:val="center"/>
          </w:tcPr>
          <w:p w14:paraId="0AB666DD"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Réduction des risques liés aux branchements frauduleux ;</w:t>
            </w:r>
          </w:p>
          <w:p w14:paraId="1294EDA0"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Amélioration de la fourniture en énergie électrique ;</w:t>
            </w:r>
          </w:p>
          <w:p w14:paraId="766CD595"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Amélioration des recettes de la SNEL ;</w:t>
            </w:r>
          </w:p>
          <w:p w14:paraId="484AB9C0"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Réduction des risques d’incendies, d’électrocutions et d’électrisations</w:t>
            </w:r>
          </w:p>
        </w:tc>
        <w:tc>
          <w:tcPr>
            <w:tcW w:w="3256" w:type="dxa"/>
            <w:vAlign w:val="center"/>
          </w:tcPr>
          <w:p w14:paraId="75C4E811" w14:textId="77777777" w:rsidR="00244161" w:rsidRPr="00420C1B" w:rsidRDefault="00244161" w:rsidP="0062151B">
            <w:pPr>
              <w:pStyle w:val="Lgende"/>
              <w:spacing w:after="0"/>
              <w:jc w:val="both"/>
              <w:rPr>
                <w:color w:val="auto"/>
                <w:sz w:val="20"/>
                <w:szCs w:val="20"/>
              </w:rPr>
            </w:pPr>
            <w:r w:rsidRPr="00420C1B">
              <w:rPr>
                <w:color w:val="auto"/>
                <w:sz w:val="20"/>
                <w:szCs w:val="20"/>
              </w:rPr>
              <w:t xml:space="preserve">Faire un forfait accessible aux populations pour les branchements </w:t>
            </w:r>
          </w:p>
        </w:tc>
      </w:tr>
      <w:tr w:rsidR="00D75D2E" w:rsidRPr="00420C1B" w14:paraId="7835C348" w14:textId="77777777" w:rsidTr="00E737B4">
        <w:trPr>
          <w:trHeight w:val="1007"/>
          <w:jc w:val="center"/>
        </w:trPr>
        <w:tc>
          <w:tcPr>
            <w:tcW w:w="992" w:type="dxa"/>
            <w:vMerge/>
            <w:textDirection w:val="btLr"/>
            <w:vAlign w:val="center"/>
          </w:tcPr>
          <w:p w14:paraId="2D7F7E28"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0F178F0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Eclairage public</w:t>
            </w:r>
          </w:p>
        </w:tc>
        <w:tc>
          <w:tcPr>
            <w:tcW w:w="1559" w:type="dxa"/>
            <w:vAlign w:val="center"/>
          </w:tcPr>
          <w:p w14:paraId="15D62EB3" w14:textId="77777777" w:rsidR="00244161" w:rsidRPr="00E737B4" w:rsidRDefault="00244161" w:rsidP="0062151B">
            <w:pPr>
              <w:spacing w:after="0" w:line="240" w:lineRule="auto"/>
              <w:jc w:val="center"/>
              <w:rPr>
                <w:rFonts w:ascii="Times New Roman" w:hAnsi="Times New Roman"/>
                <w:sz w:val="20"/>
                <w:szCs w:val="20"/>
              </w:rPr>
            </w:pPr>
            <w:r w:rsidRPr="00E737B4">
              <w:rPr>
                <w:rFonts w:ascii="Times New Roman" w:hAnsi="Times New Roman"/>
                <w:sz w:val="20"/>
                <w:szCs w:val="20"/>
              </w:rPr>
              <w:t>Sécurité et Activités économiques</w:t>
            </w:r>
          </w:p>
        </w:tc>
        <w:tc>
          <w:tcPr>
            <w:tcW w:w="2977" w:type="dxa"/>
            <w:vAlign w:val="center"/>
          </w:tcPr>
          <w:p w14:paraId="54CA3CE0"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Renforcement de la sécurité des personnes et des biens ;</w:t>
            </w:r>
          </w:p>
          <w:p w14:paraId="6D8E51E3" w14:textId="77777777" w:rsidR="00244161" w:rsidRPr="00420C1B" w:rsidRDefault="00244161" w:rsidP="008C79F0">
            <w:pPr>
              <w:pStyle w:val="Paragraphedeliste"/>
              <w:numPr>
                <w:ilvl w:val="0"/>
                <w:numId w:val="50"/>
              </w:numPr>
              <w:spacing w:after="0" w:line="240" w:lineRule="auto"/>
              <w:ind w:left="119" w:hanging="119"/>
              <w:jc w:val="both"/>
              <w:rPr>
                <w:rFonts w:ascii="Times New Roman" w:hAnsi="Times New Roman"/>
                <w:iCs/>
                <w:sz w:val="20"/>
                <w:szCs w:val="20"/>
              </w:rPr>
            </w:pPr>
            <w:r w:rsidRPr="00420C1B">
              <w:rPr>
                <w:rFonts w:ascii="Times New Roman" w:hAnsi="Times New Roman"/>
                <w:iCs/>
                <w:sz w:val="20"/>
                <w:szCs w:val="20"/>
              </w:rPr>
              <w:t>Amélioration des revenus des commerçants.</w:t>
            </w:r>
          </w:p>
        </w:tc>
        <w:tc>
          <w:tcPr>
            <w:tcW w:w="3256" w:type="dxa"/>
            <w:vAlign w:val="center"/>
          </w:tcPr>
          <w:p w14:paraId="07E85C9E" w14:textId="77777777" w:rsidR="00244161" w:rsidRPr="00420C1B" w:rsidRDefault="00244161" w:rsidP="00243E0E">
            <w:pPr>
              <w:pStyle w:val="Lgende"/>
              <w:spacing w:after="0"/>
              <w:jc w:val="both"/>
              <w:rPr>
                <w:color w:val="auto"/>
                <w:sz w:val="20"/>
                <w:szCs w:val="20"/>
              </w:rPr>
            </w:pPr>
            <w:r w:rsidRPr="00420C1B">
              <w:rPr>
                <w:color w:val="auto"/>
                <w:sz w:val="20"/>
                <w:szCs w:val="20"/>
              </w:rPr>
              <w:t xml:space="preserve">Entretien régulier des lampadaires  </w:t>
            </w:r>
          </w:p>
        </w:tc>
      </w:tr>
      <w:tr w:rsidR="00D75D2E" w:rsidRPr="00420C1B" w14:paraId="1512FFFD" w14:textId="77777777" w:rsidTr="00E737B4">
        <w:trPr>
          <w:trHeight w:val="1007"/>
          <w:jc w:val="center"/>
        </w:trPr>
        <w:tc>
          <w:tcPr>
            <w:tcW w:w="992" w:type="dxa"/>
            <w:vMerge/>
            <w:textDirection w:val="btLr"/>
            <w:vAlign w:val="center"/>
          </w:tcPr>
          <w:p w14:paraId="41918F9A"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083ED6E6"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Installation des compteurs prépayés chez les nouveaux abonnés  </w:t>
            </w:r>
          </w:p>
        </w:tc>
        <w:tc>
          <w:tcPr>
            <w:tcW w:w="1559" w:type="dxa"/>
            <w:vAlign w:val="center"/>
          </w:tcPr>
          <w:p w14:paraId="6DC6E1C3" w14:textId="77777777" w:rsidR="00244161" w:rsidRPr="00E737B4" w:rsidRDefault="00244161" w:rsidP="0062151B">
            <w:pPr>
              <w:spacing w:after="0" w:line="240" w:lineRule="auto"/>
              <w:jc w:val="both"/>
              <w:rPr>
                <w:rFonts w:ascii="Times New Roman" w:hAnsi="Times New Roman"/>
                <w:sz w:val="20"/>
                <w:szCs w:val="20"/>
              </w:rPr>
            </w:pPr>
            <w:r w:rsidRPr="00E737B4">
              <w:rPr>
                <w:rFonts w:ascii="Times New Roman" w:hAnsi="Times New Roman"/>
                <w:sz w:val="20"/>
                <w:szCs w:val="20"/>
              </w:rPr>
              <w:t>Qualité de vie, gestion des investissements électriques</w:t>
            </w:r>
          </w:p>
        </w:tc>
        <w:tc>
          <w:tcPr>
            <w:tcW w:w="2977" w:type="dxa"/>
            <w:vAlign w:val="center"/>
          </w:tcPr>
          <w:p w14:paraId="01CFD620"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Meilleur suivi des bénéficiaires par la SNEL ;</w:t>
            </w:r>
          </w:p>
          <w:p w14:paraId="1D564CD7"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Amélioration des conditions de vie des bénéficiaires ;</w:t>
            </w:r>
          </w:p>
          <w:p w14:paraId="12CE84F7"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Facilitation de la conduite des activités socio-économiques des populations bénéficiaires</w:t>
            </w:r>
          </w:p>
        </w:tc>
        <w:tc>
          <w:tcPr>
            <w:tcW w:w="3256" w:type="dxa"/>
            <w:vAlign w:val="center"/>
          </w:tcPr>
          <w:p w14:paraId="17CFAC55" w14:textId="77777777" w:rsidR="00244161" w:rsidRPr="00420C1B" w:rsidRDefault="00244161" w:rsidP="00243E0E">
            <w:pPr>
              <w:pStyle w:val="Lgende"/>
              <w:spacing w:after="0"/>
              <w:jc w:val="both"/>
              <w:rPr>
                <w:color w:val="auto"/>
                <w:sz w:val="20"/>
                <w:szCs w:val="20"/>
              </w:rPr>
            </w:pPr>
            <w:r w:rsidRPr="00420C1B">
              <w:rPr>
                <w:color w:val="auto"/>
                <w:sz w:val="20"/>
                <w:szCs w:val="20"/>
              </w:rPr>
              <w:t>Accord de subventions aux populations pour les branchements et installation des compteurs.</w:t>
            </w:r>
          </w:p>
        </w:tc>
      </w:tr>
      <w:tr w:rsidR="00D75D2E" w:rsidRPr="00420C1B" w14:paraId="37A71AC8" w14:textId="77777777" w:rsidTr="00E737B4">
        <w:trPr>
          <w:trHeight w:val="1007"/>
          <w:jc w:val="center"/>
        </w:trPr>
        <w:tc>
          <w:tcPr>
            <w:tcW w:w="992" w:type="dxa"/>
            <w:vMerge/>
            <w:textDirection w:val="btLr"/>
            <w:vAlign w:val="center"/>
          </w:tcPr>
          <w:p w14:paraId="14F34EDA"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5524AEAD"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Entretien des équipements du réseau électrique </w:t>
            </w:r>
          </w:p>
        </w:tc>
        <w:tc>
          <w:tcPr>
            <w:tcW w:w="1559" w:type="dxa"/>
            <w:vAlign w:val="center"/>
          </w:tcPr>
          <w:p w14:paraId="7B4E0680" w14:textId="77777777" w:rsidR="00244161" w:rsidRPr="00E737B4" w:rsidRDefault="00244161" w:rsidP="0062151B">
            <w:pPr>
              <w:spacing w:after="0" w:line="240" w:lineRule="auto"/>
              <w:jc w:val="both"/>
              <w:rPr>
                <w:rFonts w:ascii="Times New Roman" w:hAnsi="Times New Roman"/>
                <w:sz w:val="20"/>
                <w:szCs w:val="20"/>
              </w:rPr>
            </w:pPr>
            <w:r w:rsidRPr="00E737B4">
              <w:rPr>
                <w:rFonts w:ascii="Times New Roman" w:hAnsi="Times New Roman"/>
                <w:sz w:val="20"/>
                <w:szCs w:val="20"/>
              </w:rPr>
              <w:t xml:space="preserve">Humain </w:t>
            </w:r>
          </w:p>
        </w:tc>
        <w:tc>
          <w:tcPr>
            <w:tcW w:w="2977" w:type="dxa"/>
            <w:vAlign w:val="center"/>
          </w:tcPr>
          <w:p w14:paraId="7B5C4CAA"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Développement de l’économie informelle locale (artisanat, vente de matériel d’entretien,)</w:t>
            </w:r>
          </w:p>
          <w:p w14:paraId="1EF612D1"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Sécurisation des installations de la SNEL</w:t>
            </w:r>
          </w:p>
          <w:p w14:paraId="613C958B" w14:textId="77777777" w:rsidR="00244161" w:rsidRPr="00420C1B" w:rsidRDefault="00244161" w:rsidP="008C79F0">
            <w:pPr>
              <w:pStyle w:val="Paragraphedeliste"/>
              <w:numPr>
                <w:ilvl w:val="0"/>
                <w:numId w:val="50"/>
              </w:numPr>
              <w:spacing w:after="0" w:line="240" w:lineRule="auto"/>
              <w:ind w:left="93" w:hanging="93"/>
              <w:jc w:val="both"/>
              <w:rPr>
                <w:rFonts w:ascii="Times New Roman" w:hAnsi="Times New Roman"/>
                <w:iCs/>
                <w:sz w:val="20"/>
                <w:szCs w:val="20"/>
              </w:rPr>
            </w:pPr>
            <w:r w:rsidRPr="00420C1B">
              <w:rPr>
                <w:rFonts w:ascii="Times New Roman" w:hAnsi="Times New Roman"/>
                <w:iCs/>
                <w:sz w:val="20"/>
                <w:szCs w:val="20"/>
              </w:rPr>
              <w:t>Libération des emprises et réduction de l’occupation anarchique des espaces.</w:t>
            </w:r>
          </w:p>
        </w:tc>
        <w:tc>
          <w:tcPr>
            <w:tcW w:w="3256" w:type="dxa"/>
            <w:vAlign w:val="center"/>
          </w:tcPr>
          <w:p w14:paraId="6C41E97C" w14:textId="77777777" w:rsidR="00244161" w:rsidRPr="00420C1B" w:rsidRDefault="00244161" w:rsidP="00243E0E">
            <w:pPr>
              <w:pStyle w:val="Lgende"/>
              <w:spacing w:after="0"/>
              <w:jc w:val="both"/>
              <w:rPr>
                <w:color w:val="auto"/>
                <w:sz w:val="20"/>
                <w:szCs w:val="20"/>
              </w:rPr>
            </w:pPr>
            <w:r w:rsidRPr="00420C1B">
              <w:rPr>
                <w:color w:val="auto"/>
                <w:sz w:val="20"/>
                <w:szCs w:val="20"/>
              </w:rPr>
              <w:t xml:space="preserve">Instaurer un système d’alerte pour le cas de disfonctionnement du réseau </w:t>
            </w:r>
          </w:p>
        </w:tc>
      </w:tr>
      <w:tr w:rsidR="00D75D2E" w:rsidRPr="00420C1B" w14:paraId="1622B4FC" w14:textId="77777777" w:rsidTr="00E737B4">
        <w:trPr>
          <w:trHeight w:val="1032"/>
          <w:jc w:val="center"/>
        </w:trPr>
        <w:tc>
          <w:tcPr>
            <w:tcW w:w="992" w:type="dxa"/>
            <w:vMerge/>
            <w:textDirection w:val="btLr"/>
            <w:vAlign w:val="center"/>
          </w:tcPr>
          <w:p w14:paraId="20BB3151"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485FAEE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Gestion de déchets </w:t>
            </w:r>
          </w:p>
        </w:tc>
        <w:tc>
          <w:tcPr>
            <w:tcW w:w="1559" w:type="dxa"/>
            <w:vAlign w:val="center"/>
          </w:tcPr>
          <w:p w14:paraId="19C63395"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Végétation</w:t>
            </w:r>
          </w:p>
          <w:p w14:paraId="63B5962C"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Sols</w:t>
            </w:r>
          </w:p>
          <w:p w14:paraId="484EF4EB"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Air </w:t>
            </w:r>
          </w:p>
          <w:p w14:paraId="1816BA88"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Eau</w:t>
            </w:r>
          </w:p>
          <w:p w14:paraId="3AFEC11C"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Faune</w:t>
            </w:r>
          </w:p>
        </w:tc>
        <w:tc>
          <w:tcPr>
            <w:tcW w:w="2977" w:type="dxa"/>
            <w:vAlign w:val="center"/>
          </w:tcPr>
          <w:p w14:paraId="5A431082"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Réduction de la pollution : la mise en place des bacs à ordures permettra de récupérer les déchets et réduire de façon sensible les pollutions sur le milieu.</w:t>
            </w:r>
          </w:p>
        </w:tc>
        <w:tc>
          <w:tcPr>
            <w:tcW w:w="3256" w:type="dxa"/>
            <w:vAlign w:val="center"/>
          </w:tcPr>
          <w:p w14:paraId="59DD340D" w14:textId="77777777" w:rsidR="00244161" w:rsidRPr="00420C1B" w:rsidRDefault="00244161" w:rsidP="0062151B">
            <w:pPr>
              <w:pStyle w:val="Lgende"/>
              <w:spacing w:after="0"/>
              <w:jc w:val="both"/>
              <w:rPr>
                <w:color w:val="auto"/>
                <w:sz w:val="20"/>
                <w:szCs w:val="20"/>
              </w:rPr>
            </w:pPr>
            <w:r w:rsidRPr="00420C1B">
              <w:rPr>
                <w:color w:val="auto"/>
                <w:sz w:val="20"/>
                <w:szCs w:val="20"/>
              </w:rPr>
              <w:t>Equiper les communes cibles en matériel pour la gestion des déchets.</w:t>
            </w:r>
          </w:p>
        </w:tc>
      </w:tr>
      <w:tr w:rsidR="00244161" w:rsidRPr="00420C1B" w14:paraId="0E4E4510" w14:textId="77777777" w:rsidTr="00E737B4">
        <w:trPr>
          <w:trHeight w:val="1007"/>
          <w:jc w:val="center"/>
        </w:trPr>
        <w:tc>
          <w:tcPr>
            <w:tcW w:w="992" w:type="dxa"/>
            <w:vMerge/>
            <w:textDirection w:val="btLr"/>
            <w:vAlign w:val="center"/>
          </w:tcPr>
          <w:p w14:paraId="4C85EE5B" w14:textId="77777777" w:rsidR="00244161" w:rsidRPr="00420C1B" w:rsidRDefault="00244161" w:rsidP="0062151B">
            <w:pPr>
              <w:spacing w:after="0" w:line="240" w:lineRule="auto"/>
              <w:ind w:left="113" w:right="113"/>
              <w:jc w:val="center"/>
              <w:rPr>
                <w:rFonts w:ascii="Times New Roman" w:hAnsi="Times New Roman"/>
                <w:b/>
                <w:sz w:val="20"/>
                <w:szCs w:val="20"/>
              </w:rPr>
            </w:pPr>
          </w:p>
        </w:tc>
        <w:tc>
          <w:tcPr>
            <w:tcW w:w="1701" w:type="dxa"/>
            <w:vAlign w:val="center"/>
          </w:tcPr>
          <w:p w14:paraId="4915E57C"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Mise en service des lignes et cabines </w:t>
            </w:r>
          </w:p>
        </w:tc>
        <w:tc>
          <w:tcPr>
            <w:tcW w:w="1559" w:type="dxa"/>
            <w:vAlign w:val="center"/>
          </w:tcPr>
          <w:p w14:paraId="6811AA60"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Végétation</w:t>
            </w:r>
          </w:p>
          <w:p w14:paraId="08C20709" w14:textId="77777777" w:rsidR="00244161" w:rsidRPr="00420C1B" w:rsidRDefault="00244161" w:rsidP="0062151B">
            <w:pPr>
              <w:spacing w:after="0" w:line="240" w:lineRule="auto"/>
              <w:rPr>
                <w:rFonts w:ascii="Times New Roman" w:hAnsi="Times New Roman"/>
                <w:sz w:val="20"/>
                <w:szCs w:val="20"/>
              </w:rPr>
            </w:pPr>
          </w:p>
          <w:p w14:paraId="169495CD"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Air </w:t>
            </w:r>
          </w:p>
        </w:tc>
        <w:tc>
          <w:tcPr>
            <w:tcW w:w="2977" w:type="dxa"/>
            <w:vAlign w:val="center"/>
          </w:tcPr>
          <w:p w14:paraId="5D438F6B"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 Lutte contre la pollution de l’air (diminution des émissions de GES) Protection de la végétation en se substituant au charbon de bois et bois de chauffe.</w:t>
            </w:r>
          </w:p>
        </w:tc>
        <w:tc>
          <w:tcPr>
            <w:tcW w:w="3256" w:type="dxa"/>
            <w:vAlign w:val="center"/>
          </w:tcPr>
          <w:p w14:paraId="03E1F3A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Accord de subventions aux populations pour les branchements et installation des compteurs</w:t>
            </w:r>
          </w:p>
        </w:tc>
      </w:tr>
    </w:tbl>
    <w:p w14:paraId="6BBC2B09" w14:textId="77777777" w:rsidR="00F16F4B" w:rsidRPr="00E737B4" w:rsidRDefault="00F16F4B" w:rsidP="00E737B4">
      <w:pPr>
        <w:spacing w:before="120"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2CCBE943" w14:textId="77777777" w:rsidR="00AE61CE" w:rsidRPr="00024B30" w:rsidRDefault="00AE61CE" w:rsidP="00AE61CE">
      <w:pPr>
        <w:spacing w:after="0" w:line="240" w:lineRule="auto"/>
        <w:rPr>
          <w:rFonts w:ascii="Times New Roman" w:hAnsi="Times New Roman"/>
          <w:bCs/>
          <w:i/>
        </w:rPr>
      </w:pPr>
    </w:p>
    <w:p w14:paraId="25C085E2" w14:textId="77777777" w:rsidR="00244161" w:rsidRPr="00D75D2E" w:rsidRDefault="00244161" w:rsidP="00E737B4">
      <w:pPr>
        <w:spacing w:before="120" w:after="120" w:line="240" w:lineRule="auto"/>
        <w:jc w:val="both"/>
        <w:rPr>
          <w:rFonts w:ascii="Times New Roman" w:hAnsi="Times New Roman"/>
          <w:sz w:val="24"/>
          <w:szCs w:val="24"/>
        </w:rPr>
      </w:pPr>
      <w:r w:rsidRPr="00D75D2E">
        <w:rPr>
          <w:rFonts w:ascii="Times New Roman" w:hAnsi="Times New Roman"/>
          <w:sz w:val="24"/>
          <w:szCs w:val="24"/>
        </w:rPr>
        <w:t>Le suivi</w:t>
      </w:r>
      <w:r w:rsidRPr="00D75D2E">
        <w:rPr>
          <w:rFonts w:ascii="Times New Roman" w:hAnsi="Times New Roman"/>
        </w:rPr>
        <w:t>-</w:t>
      </w:r>
      <w:r w:rsidRPr="00D75D2E">
        <w:rPr>
          <w:rFonts w:ascii="Times New Roman" w:hAnsi="Times New Roman"/>
          <w:sz w:val="24"/>
          <w:szCs w:val="24"/>
        </w:rPr>
        <w:t>évaluation environnemental est une mesure de bonification pour capitaliser et monitorer le projet.</w:t>
      </w:r>
    </w:p>
    <w:p w14:paraId="65DD0112" w14:textId="77777777" w:rsidR="00244161" w:rsidRPr="00215867" w:rsidRDefault="00244161" w:rsidP="00215867">
      <w:pPr>
        <w:pStyle w:val="Titre1"/>
        <w:numPr>
          <w:ilvl w:val="1"/>
          <w:numId w:val="54"/>
        </w:numPr>
        <w:spacing w:before="120" w:after="120" w:line="23" w:lineRule="atLeast"/>
        <w:ind w:left="709" w:hanging="567"/>
        <w:rPr>
          <w:b w:val="0"/>
        </w:rPr>
      </w:pPr>
      <w:bookmarkStart w:id="832" w:name="_Toc16663519"/>
      <w:bookmarkStart w:id="833" w:name="_Toc16663693"/>
      <w:bookmarkStart w:id="834" w:name="_Toc16664938"/>
      <w:bookmarkStart w:id="835" w:name="_Toc103685727"/>
      <w:r w:rsidRPr="007E5A67">
        <w:t>Mesures d’atténuation</w:t>
      </w:r>
      <w:bookmarkEnd w:id="832"/>
      <w:bookmarkEnd w:id="833"/>
      <w:bookmarkEnd w:id="834"/>
      <w:bookmarkEnd w:id="835"/>
    </w:p>
    <w:p w14:paraId="6A7F04CD" w14:textId="77777777" w:rsidR="00244161" w:rsidRPr="00D75D2E" w:rsidRDefault="00244161" w:rsidP="00E737B4">
      <w:pPr>
        <w:spacing w:before="120" w:after="120"/>
        <w:rPr>
          <w:rFonts w:ascii="Times New Roman" w:hAnsi="Times New Roman"/>
          <w:sz w:val="24"/>
          <w:szCs w:val="24"/>
        </w:rPr>
      </w:pPr>
      <w:r w:rsidRPr="00D75D2E">
        <w:rPr>
          <w:rFonts w:ascii="Times New Roman" w:hAnsi="Times New Roman"/>
          <w:sz w:val="24"/>
          <w:szCs w:val="24"/>
        </w:rPr>
        <w:t xml:space="preserve"> Les synthèses des mesures d’atténuation sont données dans les tableaux ci-après.</w:t>
      </w:r>
    </w:p>
    <w:p w14:paraId="25E81094" w14:textId="77777777" w:rsidR="00244161" w:rsidRPr="00215867" w:rsidRDefault="00244161" w:rsidP="00215867">
      <w:pPr>
        <w:pStyle w:val="Titre31"/>
        <w:numPr>
          <w:ilvl w:val="2"/>
          <w:numId w:val="54"/>
        </w:numPr>
        <w:tabs>
          <w:tab w:val="left" w:pos="993"/>
        </w:tabs>
        <w:spacing w:before="120" w:after="120" w:line="20" w:lineRule="atLeast"/>
        <w:ind w:left="993" w:hanging="709"/>
        <w:rPr>
          <w:rFonts w:eastAsia="Calibri"/>
          <w:i/>
          <w:u w:val="none"/>
        </w:rPr>
      </w:pPr>
      <w:bookmarkStart w:id="836" w:name="_Toc16663520"/>
      <w:bookmarkStart w:id="837" w:name="_Toc16663694"/>
      <w:bookmarkStart w:id="838" w:name="_Toc16664939"/>
      <w:bookmarkStart w:id="839" w:name="_Toc103685728"/>
      <w:r w:rsidRPr="00215867">
        <w:rPr>
          <w:rFonts w:eastAsia="Calibri"/>
          <w:i/>
          <w:u w:val="none"/>
        </w:rPr>
        <w:t>Mesures d’atténuation des impacts environnementaux négatifs</w:t>
      </w:r>
      <w:bookmarkEnd w:id="836"/>
      <w:bookmarkEnd w:id="837"/>
      <w:bookmarkEnd w:id="838"/>
      <w:bookmarkEnd w:id="839"/>
    </w:p>
    <w:p w14:paraId="52D0CB04" w14:textId="61FE7D20" w:rsidR="00244161" w:rsidRDefault="00244161" w:rsidP="00E737B4">
      <w:pPr>
        <w:spacing w:before="120" w:after="120" w:line="240" w:lineRule="auto"/>
        <w:jc w:val="both"/>
        <w:rPr>
          <w:rFonts w:ascii="Times New Roman" w:hAnsi="Times New Roman"/>
          <w:sz w:val="24"/>
          <w:szCs w:val="24"/>
        </w:rPr>
      </w:pPr>
      <w:bookmarkStart w:id="840" w:name="_Toc452538258"/>
      <w:r w:rsidRPr="00D75D2E">
        <w:rPr>
          <w:rFonts w:ascii="Times New Roman" w:hAnsi="Times New Roman"/>
          <w:sz w:val="24"/>
          <w:szCs w:val="24"/>
        </w:rPr>
        <w:t xml:space="preserve">Le tableau </w:t>
      </w:r>
      <w:r w:rsidR="00A86929">
        <w:rPr>
          <w:rFonts w:ascii="Times New Roman" w:hAnsi="Times New Roman"/>
          <w:sz w:val="24"/>
          <w:szCs w:val="24"/>
        </w:rPr>
        <w:t>59</w:t>
      </w:r>
      <w:r w:rsidR="00A86929" w:rsidRPr="00D75D2E">
        <w:rPr>
          <w:rFonts w:ascii="Times New Roman" w:hAnsi="Times New Roman"/>
          <w:sz w:val="24"/>
          <w:szCs w:val="24"/>
        </w:rPr>
        <w:t xml:space="preserve"> </w:t>
      </w:r>
      <w:r w:rsidRPr="00D75D2E">
        <w:rPr>
          <w:rFonts w:ascii="Times New Roman" w:hAnsi="Times New Roman"/>
          <w:sz w:val="24"/>
          <w:szCs w:val="24"/>
        </w:rPr>
        <w:t>donne la matrice de synthèse des mesures d’atténuation des impacts environnementaux négatifs.</w:t>
      </w:r>
    </w:p>
    <w:p w14:paraId="7AA717DE" w14:textId="77777777" w:rsidR="00C62C2C" w:rsidRDefault="00C62C2C" w:rsidP="00244161">
      <w:pPr>
        <w:spacing w:after="0" w:line="240" w:lineRule="auto"/>
        <w:jc w:val="both"/>
        <w:rPr>
          <w:rFonts w:ascii="Times New Roman" w:hAnsi="Times New Roman"/>
          <w:sz w:val="24"/>
          <w:szCs w:val="24"/>
        </w:rPr>
        <w:sectPr w:rsidR="00C62C2C" w:rsidSect="0082504D">
          <w:pgSz w:w="11906" w:h="16838"/>
          <w:pgMar w:top="1418" w:right="1418" w:bottom="1418" w:left="1418" w:header="709" w:footer="709" w:gutter="0"/>
          <w:cols w:space="708"/>
          <w:docGrid w:linePitch="360"/>
        </w:sectPr>
      </w:pPr>
    </w:p>
    <w:p w14:paraId="106AC6F2" w14:textId="7B130CD0" w:rsidR="00244161" w:rsidRDefault="00244161" w:rsidP="00E737B4">
      <w:pPr>
        <w:pStyle w:val="Default"/>
        <w:keepNext/>
        <w:spacing w:after="120"/>
        <w:rPr>
          <w:color w:val="auto"/>
          <w:szCs w:val="22"/>
        </w:rPr>
      </w:pPr>
      <w:bookmarkStart w:id="841" w:name="_Toc519048954"/>
      <w:bookmarkStart w:id="842" w:name="_Toc93050321"/>
      <w:bookmarkStart w:id="843" w:name="_Toc452538259"/>
      <w:bookmarkEnd w:id="840"/>
      <w:r w:rsidRPr="00E737B4">
        <w:rPr>
          <w:color w:val="auto"/>
          <w:szCs w:val="22"/>
        </w:rPr>
        <w:t xml:space="preserve">Tableau </w:t>
      </w:r>
      <w:r w:rsidRPr="00E737B4">
        <w:rPr>
          <w:color w:val="auto"/>
          <w:szCs w:val="22"/>
        </w:rPr>
        <w:fldChar w:fldCharType="begin"/>
      </w:r>
      <w:r w:rsidRPr="00E737B4">
        <w:rPr>
          <w:color w:val="auto"/>
          <w:szCs w:val="22"/>
        </w:rPr>
        <w:instrText xml:space="preserve"> SEQ Tableau \* ARABIC </w:instrText>
      </w:r>
      <w:r w:rsidRPr="00E737B4">
        <w:rPr>
          <w:color w:val="auto"/>
          <w:szCs w:val="22"/>
        </w:rPr>
        <w:fldChar w:fldCharType="separate"/>
      </w:r>
      <w:r w:rsidR="00A86929">
        <w:rPr>
          <w:noProof/>
          <w:color w:val="auto"/>
          <w:szCs w:val="22"/>
        </w:rPr>
        <w:t>59</w:t>
      </w:r>
      <w:r w:rsidRPr="00E737B4">
        <w:rPr>
          <w:color w:val="auto"/>
          <w:szCs w:val="22"/>
        </w:rPr>
        <w:fldChar w:fldCharType="end"/>
      </w:r>
      <w:r w:rsidRPr="00E737B4">
        <w:rPr>
          <w:color w:val="auto"/>
          <w:szCs w:val="22"/>
        </w:rPr>
        <w:t> : Matrice de synthèse des mesures d’atténuation sur le plan environnemental</w:t>
      </w:r>
      <w:bookmarkEnd w:id="841"/>
      <w:bookmarkEnd w:id="842"/>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6"/>
        <w:gridCol w:w="742"/>
        <w:gridCol w:w="1285"/>
        <w:gridCol w:w="1699"/>
        <w:gridCol w:w="2268"/>
        <w:gridCol w:w="2631"/>
        <w:gridCol w:w="1359"/>
        <w:gridCol w:w="1301"/>
        <w:gridCol w:w="1744"/>
        <w:gridCol w:w="1227"/>
      </w:tblGrid>
      <w:tr w:rsidR="00A9221F" w:rsidRPr="00420C1B" w14:paraId="4F148D6B" w14:textId="11F6E1D0" w:rsidTr="00A9221F">
        <w:trPr>
          <w:trHeight w:val="249"/>
          <w:tblHeader/>
          <w:jc w:val="center"/>
        </w:trPr>
        <w:tc>
          <w:tcPr>
            <w:tcW w:w="562" w:type="pct"/>
            <w:vMerge w:val="restart"/>
            <w:shd w:val="clear" w:color="auto" w:fill="92D050"/>
            <w:vAlign w:val="center"/>
          </w:tcPr>
          <w:p w14:paraId="52F9EBBF"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Activités /Sources d’impact</w:t>
            </w:r>
          </w:p>
        </w:tc>
        <w:tc>
          <w:tcPr>
            <w:tcW w:w="231" w:type="pct"/>
            <w:vMerge w:val="restart"/>
            <w:shd w:val="clear" w:color="auto" w:fill="92D050"/>
          </w:tcPr>
          <w:p w14:paraId="58D5EFC1"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N°</w:t>
            </w:r>
          </w:p>
          <w:p w14:paraId="225B9223"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 xml:space="preserve"> FDI</w:t>
            </w:r>
          </w:p>
        </w:tc>
        <w:tc>
          <w:tcPr>
            <w:tcW w:w="400" w:type="pct"/>
            <w:vMerge w:val="restart"/>
            <w:shd w:val="clear" w:color="auto" w:fill="92D050"/>
            <w:vAlign w:val="center"/>
          </w:tcPr>
          <w:p w14:paraId="2E020615"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Composante du milieu récepteur</w:t>
            </w:r>
          </w:p>
        </w:tc>
        <w:tc>
          <w:tcPr>
            <w:tcW w:w="529" w:type="pct"/>
            <w:vMerge w:val="restart"/>
            <w:shd w:val="clear" w:color="auto" w:fill="92D050"/>
            <w:vAlign w:val="center"/>
          </w:tcPr>
          <w:p w14:paraId="1EB02467"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Impact</w:t>
            </w:r>
          </w:p>
        </w:tc>
        <w:tc>
          <w:tcPr>
            <w:tcW w:w="706" w:type="pct"/>
            <w:vMerge w:val="restart"/>
            <w:shd w:val="clear" w:color="auto" w:fill="92D050"/>
            <w:vAlign w:val="center"/>
          </w:tcPr>
          <w:p w14:paraId="667155E9"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Mesures d’atténuation</w:t>
            </w:r>
          </w:p>
        </w:tc>
        <w:tc>
          <w:tcPr>
            <w:tcW w:w="819" w:type="pct"/>
            <w:vMerge w:val="restart"/>
            <w:shd w:val="clear" w:color="auto" w:fill="92D050"/>
            <w:vAlign w:val="center"/>
          </w:tcPr>
          <w:p w14:paraId="24F9CB53"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Description détaillée de Mesures d’atténuation</w:t>
            </w:r>
          </w:p>
        </w:tc>
        <w:tc>
          <w:tcPr>
            <w:tcW w:w="828" w:type="pct"/>
            <w:gridSpan w:val="2"/>
            <w:shd w:val="clear" w:color="auto" w:fill="92D050"/>
          </w:tcPr>
          <w:p w14:paraId="1DF9F669"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Entité responsable</w:t>
            </w:r>
          </w:p>
        </w:tc>
        <w:tc>
          <w:tcPr>
            <w:tcW w:w="543" w:type="pct"/>
            <w:vMerge w:val="restart"/>
            <w:shd w:val="clear" w:color="auto" w:fill="92D050"/>
          </w:tcPr>
          <w:p w14:paraId="196EEA05" w14:textId="77777777" w:rsidR="00A9221F" w:rsidRPr="00420C1B" w:rsidDel="00C62C2C" w:rsidRDefault="00A9221F" w:rsidP="00C61D9D">
            <w:pPr>
              <w:spacing w:after="0" w:line="240" w:lineRule="auto"/>
              <w:rPr>
                <w:rFonts w:ascii="Times New Roman" w:hAnsi="Times New Roman"/>
                <w:b/>
                <w:sz w:val="20"/>
                <w:szCs w:val="20"/>
              </w:rPr>
            </w:pPr>
            <w:r w:rsidRPr="00420C1B">
              <w:rPr>
                <w:rFonts w:ascii="Times New Roman" w:hAnsi="Times New Roman"/>
                <w:b/>
                <w:sz w:val="20"/>
                <w:szCs w:val="20"/>
              </w:rPr>
              <w:t xml:space="preserve">Indicateur de performance </w:t>
            </w:r>
          </w:p>
        </w:tc>
        <w:tc>
          <w:tcPr>
            <w:tcW w:w="382" w:type="pct"/>
            <w:shd w:val="clear" w:color="auto" w:fill="92D050"/>
          </w:tcPr>
          <w:p w14:paraId="474191EC" w14:textId="77777777" w:rsidR="00A9221F" w:rsidRPr="00420C1B" w:rsidRDefault="00A9221F" w:rsidP="00C61D9D">
            <w:pPr>
              <w:spacing w:after="0" w:line="240" w:lineRule="auto"/>
              <w:rPr>
                <w:rFonts w:ascii="Times New Roman" w:hAnsi="Times New Roman"/>
                <w:b/>
                <w:sz w:val="20"/>
                <w:szCs w:val="20"/>
              </w:rPr>
            </w:pPr>
          </w:p>
        </w:tc>
      </w:tr>
      <w:tr w:rsidR="002C66D7" w:rsidRPr="00420C1B" w14:paraId="704A2797" w14:textId="3987EEC4" w:rsidTr="00420C1B">
        <w:trPr>
          <w:tblHeader/>
          <w:jc w:val="center"/>
        </w:trPr>
        <w:tc>
          <w:tcPr>
            <w:tcW w:w="562" w:type="pct"/>
            <w:vMerge/>
            <w:shd w:val="clear" w:color="auto" w:fill="92D050"/>
            <w:vAlign w:val="center"/>
          </w:tcPr>
          <w:p w14:paraId="3603348E" w14:textId="77777777" w:rsidR="00A9221F" w:rsidRPr="00420C1B" w:rsidRDefault="00A9221F" w:rsidP="00C61D9D">
            <w:pPr>
              <w:spacing w:after="0" w:line="240" w:lineRule="auto"/>
              <w:jc w:val="center"/>
              <w:rPr>
                <w:rFonts w:ascii="Times New Roman" w:hAnsi="Times New Roman"/>
                <w:b/>
                <w:sz w:val="20"/>
                <w:szCs w:val="20"/>
              </w:rPr>
            </w:pPr>
          </w:p>
        </w:tc>
        <w:tc>
          <w:tcPr>
            <w:tcW w:w="231" w:type="pct"/>
            <w:vMerge/>
            <w:shd w:val="clear" w:color="auto" w:fill="92D050"/>
          </w:tcPr>
          <w:p w14:paraId="3403FF5B" w14:textId="77777777" w:rsidR="00A9221F" w:rsidRPr="00420C1B" w:rsidRDefault="00A9221F" w:rsidP="00C61D9D">
            <w:pPr>
              <w:spacing w:after="0" w:line="240" w:lineRule="auto"/>
              <w:jc w:val="center"/>
              <w:rPr>
                <w:rFonts w:ascii="Times New Roman" w:hAnsi="Times New Roman"/>
                <w:b/>
                <w:sz w:val="20"/>
                <w:szCs w:val="20"/>
              </w:rPr>
            </w:pPr>
          </w:p>
        </w:tc>
        <w:tc>
          <w:tcPr>
            <w:tcW w:w="400" w:type="pct"/>
            <w:vMerge/>
            <w:shd w:val="clear" w:color="auto" w:fill="92D050"/>
            <w:vAlign w:val="center"/>
          </w:tcPr>
          <w:p w14:paraId="186822BF" w14:textId="77777777" w:rsidR="00A9221F" w:rsidRPr="00420C1B" w:rsidRDefault="00A9221F" w:rsidP="00C61D9D">
            <w:pPr>
              <w:spacing w:after="0" w:line="240" w:lineRule="auto"/>
              <w:jc w:val="center"/>
              <w:rPr>
                <w:rFonts w:ascii="Times New Roman" w:hAnsi="Times New Roman"/>
                <w:b/>
                <w:sz w:val="20"/>
                <w:szCs w:val="20"/>
              </w:rPr>
            </w:pPr>
          </w:p>
        </w:tc>
        <w:tc>
          <w:tcPr>
            <w:tcW w:w="529" w:type="pct"/>
            <w:vMerge/>
            <w:shd w:val="clear" w:color="auto" w:fill="92D050"/>
            <w:vAlign w:val="center"/>
          </w:tcPr>
          <w:p w14:paraId="6E09C74F" w14:textId="77777777" w:rsidR="00A9221F" w:rsidRPr="00420C1B" w:rsidRDefault="00A9221F" w:rsidP="00C61D9D">
            <w:pPr>
              <w:spacing w:after="0" w:line="240" w:lineRule="auto"/>
              <w:jc w:val="center"/>
              <w:rPr>
                <w:rFonts w:ascii="Times New Roman" w:hAnsi="Times New Roman"/>
                <w:b/>
                <w:sz w:val="20"/>
                <w:szCs w:val="20"/>
              </w:rPr>
            </w:pPr>
          </w:p>
        </w:tc>
        <w:tc>
          <w:tcPr>
            <w:tcW w:w="706" w:type="pct"/>
            <w:vMerge/>
            <w:shd w:val="clear" w:color="auto" w:fill="92D050"/>
            <w:vAlign w:val="center"/>
          </w:tcPr>
          <w:p w14:paraId="08301E4F" w14:textId="77777777" w:rsidR="00A9221F" w:rsidRPr="00420C1B" w:rsidRDefault="00A9221F" w:rsidP="00C61D9D">
            <w:pPr>
              <w:spacing w:after="0" w:line="240" w:lineRule="auto"/>
              <w:jc w:val="center"/>
              <w:rPr>
                <w:rFonts w:ascii="Times New Roman" w:hAnsi="Times New Roman"/>
                <w:b/>
                <w:sz w:val="20"/>
                <w:szCs w:val="20"/>
              </w:rPr>
            </w:pPr>
          </w:p>
        </w:tc>
        <w:tc>
          <w:tcPr>
            <w:tcW w:w="819" w:type="pct"/>
            <w:vMerge/>
            <w:shd w:val="clear" w:color="auto" w:fill="92D050"/>
          </w:tcPr>
          <w:p w14:paraId="390772E0" w14:textId="77777777" w:rsidR="00A9221F" w:rsidRPr="00420C1B" w:rsidRDefault="00A9221F" w:rsidP="00C61D9D">
            <w:pPr>
              <w:spacing w:after="0" w:line="240" w:lineRule="auto"/>
              <w:jc w:val="center"/>
              <w:rPr>
                <w:rFonts w:ascii="Times New Roman" w:hAnsi="Times New Roman"/>
                <w:b/>
                <w:sz w:val="20"/>
                <w:szCs w:val="20"/>
              </w:rPr>
            </w:pPr>
          </w:p>
        </w:tc>
        <w:tc>
          <w:tcPr>
            <w:tcW w:w="423" w:type="pct"/>
            <w:shd w:val="clear" w:color="auto" w:fill="A8D08D"/>
          </w:tcPr>
          <w:p w14:paraId="6DCEBB5C"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Mise en œuvre</w:t>
            </w:r>
          </w:p>
        </w:tc>
        <w:tc>
          <w:tcPr>
            <w:tcW w:w="405" w:type="pct"/>
            <w:shd w:val="clear" w:color="auto" w:fill="A8D08D"/>
          </w:tcPr>
          <w:p w14:paraId="2EF6BD45" w14:textId="77777777"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Surveillance et suivi</w:t>
            </w:r>
          </w:p>
        </w:tc>
        <w:tc>
          <w:tcPr>
            <w:tcW w:w="543" w:type="pct"/>
            <w:vMerge/>
            <w:shd w:val="clear" w:color="auto" w:fill="A8D08D"/>
          </w:tcPr>
          <w:p w14:paraId="4AC7DBDA" w14:textId="77777777" w:rsidR="00A9221F" w:rsidRPr="00420C1B" w:rsidRDefault="00A9221F" w:rsidP="00C61D9D">
            <w:pPr>
              <w:spacing w:after="0" w:line="240" w:lineRule="auto"/>
              <w:jc w:val="center"/>
              <w:rPr>
                <w:rFonts w:ascii="Times New Roman" w:hAnsi="Times New Roman"/>
                <w:b/>
                <w:sz w:val="20"/>
                <w:szCs w:val="20"/>
              </w:rPr>
            </w:pPr>
          </w:p>
        </w:tc>
        <w:tc>
          <w:tcPr>
            <w:tcW w:w="382" w:type="pct"/>
            <w:shd w:val="clear" w:color="auto" w:fill="A8D08D"/>
          </w:tcPr>
          <w:p w14:paraId="2EDF9B7D" w14:textId="5328AC24" w:rsidR="00A9221F" w:rsidRPr="00420C1B" w:rsidRDefault="00A9221F"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 xml:space="preserve">Echéancier </w:t>
            </w:r>
          </w:p>
        </w:tc>
      </w:tr>
      <w:tr w:rsidR="00A9221F" w:rsidRPr="00420C1B" w14:paraId="751E9A5C" w14:textId="6F0677C3" w:rsidTr="00215867">
        <w:trPr>
          <w:trHeight w:val="236"/>
          <w:jc w:val="center"/>
        </w:trPr>
        <w:tc>
          <w:tcPr>
            <w:tcW w:w="5000" w:type="pct"/>
            <w:gridSpan w:val="10"/>
            <w:vAlign w:val="center"/>
          </w:tcPr>
          <w:p w14:paraId="662D6D26" w14:textId="481A9A71" w:rsidR="00A9221F" w:rsidRPr="00A9221F" w:rsidRDefault="00A9221F" w:rsidP="00A9221F">
            <w:pPr>
              <w:pStyle w:val="Lgende"/>
              <w:autoSpaceDE w:val="0"/>
              <w:autoSpaceDN w:val="0"/>
              <w:adjustRightInd w:val="0"/>
              <w:spacing w:after="0"/>
              <w:jc w:val="center"/>
              <w:rPr>
                <w:rFonts w:eastAsia="Times New Roman"/>
                <w:b/>
                <w:color w:val="auto"/>
                <w:sz w:val="20"/>
                <w:szCs w:val="20"/>
                <w:lang w:eastAsia="fr-FR"/>
              </w:rPr>
            </w:pPr>
            <w:r w:rsidRPr="00215867">
              <w:rPr>
                <w:rFonts w:eastAsia="Times New Roman"/>
                <w:b/>
                <w:color w:val="auto"/>
                <w:sz w:val="20"/>
                <w:szCs w:val="20"/>
                <w:lang w:eastAsia="fr-FR"/>
              </w:rPr>
              <w:t>PHASE DE PREPARATION DU PROJET</w:t>
            </w:r>
          </w:p>
        </w:tc>
      </w:tr>
      <w:tr w:rsidR="00A9221F" w:rsidRPr="00420C1B" w14:paraId="6FE90A22" w14:textId="535CCC6C" w:rsidTr="0087475F">
        <w:trPr>
          <w:jc w:val="center"/>
        </w:trPr>
        <w:tc>
          <w:tcPr>
            <w:tcW w:w="562" w:type="pct"/>
            <w:vMerge w:val="restart"/>
            <w:vAlign w:val="center"/>
          </w:tcPr>
          <w:p w14:paraId="3E49E27B"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Abattage des arbres dans les emprises des lignes ou des cabines</w:t>
            </w:r>
          </w:p>
        </w:tc>
        <w:tc>
          <w:tcPr>
            <w:tcW w:w="231" w:type="pct"/>
            <w:vAlign w:val="center"/>
          </w:tcPr>
          <w:p w14:paraId="33824C92"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1 &amp; 8</w:t>
            </w:r>
          </w:p>
        </w:tc>
        <w:tc>
          <w:tcPr>
            <w:tcW w:w="400" w:type="pct"/>
            <w:vAlign w:val="center"/>
          </w:tcPr>
          <w:p w14:paraId="28C0463F"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Végétaux</w:t>
            </w:r>
          </w:p>
          <w:p w14:paraId="7353A41E" w14:textId="77777777" w:rsidR="00A9221F" w:rsidRPr="00420C1B" w:rsidRDefault="00A9221F" w:rsidP="00C61D9D">
            <w:pPr>
              <w:spacing w:after="0" w:line="240" w:lineRule="auto"/>
              <w:jc w:val="center"/>
              <w:rPr>
                <w:rFonts w:ascii="Times New Roman" w:hAnsi="Times New Roman"/>
                <w:sz w:val="20"/>
                <w:szCs w:val="20"/>
              </w:rPr>
            </w:pPr>
          </w:p>
        </w:tc>
        <w:tc>
          <w:tcPr>
            <w:tcW w:w="529" w:type="pct"/>
            <w:vAlign w:val="center"/>
          </w:tcPr>
          <w:p w14:paraId="6ACC0CCE"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Abattage de 1169 dont 354 du domaine public et 815 du domaine privé</w:t>
            </w:r>
          </w:p>
        </w:tc>
        <w:tc>
          <w:tcPr>
            <w:tcW w:w="706" w:type="pct"/>
            <w:vAlign w:val="center"/>
          </w:tcPr>
          <w:p w14:paraId="3114290F"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Mise en place d’un plan de reboisement compensatoire en concertation avec le service provincial de l’environnement</w:t>
            </w:r>
          </w:p>
        </w:tc>
        <w:tc>
          <w:tcPr>
            <w:tcW w:w="819" w:type="pct"/>
          </w:tcPr>
          <w:p w14:paraId="6D77DF6A" w14:textId="77777777" w:rsidR="00A9221F" w:rsidRPr="00954E29" w:rsidRDefault="00A9221F" w:rsidP="00C511D0">
            <w:pPr>
              <w:pStyle w:val="Lgende"/>
              <w:numPr>
                <w:ilvl w:val="0"/>
                <w:numId w:val="14"/>
              </w:numPr>
              <w:autoSpaceDE w:val="0"/>
              <w:autoSpaceDN w:val="0"/>
              <w:adjustRightInd w:val="0"/>
              <w:spacing w:after="0"/>
              <w:jc w:val="both"/>
              <w:rPr>
                <w:rFonts w:eastAsia="Times New Roman"/>
                <w:color w:val="auto"/>
                <w:sz w:val="20"/>
                <w:szCs w:val="20"/>
                <w:lang w:eastAsia="fr-FR"/>
              </w:rPr>
            </w:pPr>
            <w:r w:rsidRPr="00954E29">
              <w:rPr>
                <w:rFonts w:eastAsia="Times New Roman"/>
                <w:color w:val="auto"/>
                <w:sz w:val="20"/>
                <w:szCs w:val="20"/>
                <w:lang w:eastAsia="fr-FR"/>
              </w:rPr>
              <w:t>Comptabiliser les différentes coupes pour les indemnisations ;</w:t>
            </w:r>
          </w:p>
          <w:p w14:paraId="2AC2E3D7" w14:textId="77777777" w:rsidR="00A9221F" w:rsidRPr="00420C1B" w:rsidRDefault="00A9221F" w:rsidP="00C511D0">
            <w:pPr>
              <w:pStyle w:val="Lgende"/>
              <w:numPr>
                <w:ilvl w:val="0"/>
                <w:numId w:val="14"/>
              </w:numPr>
              <w:spacing w:after="0"/>
              <w:jc w:val="both"/>
              <w:rPr>
                <w:bCs/>
                <w:color w:val="auto"/>
                <w:sz w:val="20"/>
                <w:szCs w:val="20"/>
              </w:rPr>
            </w:pPr>
            <w:r w:rsidRPr="00954E29">
              <w:rPr>
                <w:rFonts w:eastAsia="Times New Roman"/>
                <w:color w:val="auto"/>
                <w:sz w:val="20"/>
                <w:szCs w:val="20"/>
                <w:lang w:eastAsia="fr-FR"/>
              </w:rPr>
              <w:t>Réaliser un reboisement compensatoire (dans les zones d’érosion, aux abords des berges et le lo</w:t>
            </w:r>
            <w:r w:rsidRPr="006C03FE">
              <w:rPr>
                <w:rFonts w:eastAsia="Times New Roman"/>
                <w:color w:val="auto"/>
                <w:sz w:val="20"/>
                <w:szCs w:val="20"/>
                <w:lang w:eastAsia="fr-FR"/>
              </w:rPr>
              <w:t>ng des avenues, etc.)</w:t>
            </w:r>
          </w:p>
        </w:tc>
        <w:tc>
          <w:tcPr>
            <w:tcW w:w="423" w:type="pct"/>
          </w:tcPr>
          <w:p w14:paraId="11AB6C06"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Pr>
          <w:p w14:paraId="785BEF81"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Pr>
          <w:p w14:paraId="7A001315"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Au moins 80% de réussite des arbres plantés</w:t>
            </w:r>
          </w:p>
        </w:tc>
        <w:tc>
          <w:tcPr>
            <w:tcW w:w="382" w:type="pct"/>
          </w:tcPr>
          <w:p w14:paraId="2A1B260D" w14:textId="400E092C" w:rsidR="00A9221F" w:rsidRPr="00A9221F" w:rsidRDefault="00A9221F" w:rsidP="00C61D9D">
            <w:pPr>
              <w:pStyle w:val="Lgende"/>
              <w:autoSpaceDE w:val="0"/>
              <w:autoSpaceDN w:val="0"/>
              <w:adjustRightInd w:val="0"/>
              <w:spacing w:after="0"/>
              <w:jc w:val="both"/>
              <w:rPr>
                <w:rFonts w:eastAsia="Times New Roman"/>
                <w:color w:val="auto"/>
                <w:sz w:val="20"/>
                <w:szCs w:val="20"/>
                <w:lang w:eastAsia="fr-FR"/>
              </w:rPr>
            </w:pPr>
            <w:r>
              <w:rPr>
                <w:rFonts w:eastAsia="Times New Roman"/>
                <w:color w:val="auto"/>
                <w:sz w:val="20"/>
                <w:szCs w:val="20"/>
                <w:lang w:eastAsia="fr-FR"/>
              </w:rPr>
              <w:t xml:space="preserve">Avant le début des travaux </w:t>
            </w:r>
          </w:p>
        </w:tc>
      </w:tr>
      <w:tr w:rsidR="00A9221F" w:rsidRPr="00420C1B" w14:paraId="7B4F079F" w14:textId="6E8F79E4" w:rsidTr="0087475F">
        <w:trPr>
          <w:jc w:val="center"/>
        </w:trPr>
        <w:tc>
          <w:tcPr>
            <w:tcW w:w="562" w:type="pct"/>
            <w:vMerge/>
            <w:vAlign w:val="center"/>
          </w:tcPr>
          <w:p w14:paraId="7C4FDCFE" w14:textId="77777777" w:rsidR="00A9221F" w:rsidRPr="00420C1B" w:rsidRDefault="00A9221F" w:rsidP="00C61D9D">
            <w:pPr>
              <w:spacing w:after="0" w:line="240" w:lineRule="auto"/>
              <w:rPr>
                <w:rFonts w:ascii="Times New Roman" w:hAnsi="Times New Roman"/>
                <w:sz w:val="20"/>
                <w:szCs w:val="20"/>
              </w:rPr>
            </w:pPr>
          </w:p>
        </w:tc>
        <w:tc>
          <w:tcPr>
            <w:tcW w:w="231" w:type="pct"/>
            <w:vAlign w:val="center"/>
          </w:tcPr>
          <w:p w14:paraId="1EDDE639"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w:t>
            </w:r>
          </w:p>
        </w:tc>
        <w:tc>
          <w:tcPr>
            <w:tcW w:w="400" w:type="pct"/>
            <w:vAlign w:val="center"/>
          </w:tcPr>
          <w:p w14:paraId="41D5EC67"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 xml:space="preserve">Faune </w:t>
            </w:r>
          </w:p>
        </w:tc>
        <w:tc>
          <w:tcPr>
            <w:tcW w:w="529" w:type="pct"/>
            <w:vAlign w:val="center"/>
          </w:tcPr>
          <w:p w14:paraId="46DB0123"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Destruction des habitats fauniques surtout pour la faune aviaire.     </w:t>
            </w:r>
          </w:p>
        </w:tc>
        <w:tc>
          <w:tcPr>
            <w:tcW w:w="706" w:type="pct"/>
            <w:vAlign w:val="center"/>
          </w:tcPr>
          <w:p w14:paraId="5AC76DC3"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Éviter la perte et ou la délocalisation de la faune</w:t>
            </w:r>
          </w:p>
        </w:tc>
        <w:tc>
          <w:tcPr>
            <w:tcW w:w="819" w:type="pct"/>
          </w:tcPr>
          <w:p w14:paraId="2FCAA7B5" w14:textId="77777777" w:rsidR="00A9221F" w:rsidRPr="003D4DAA" w:rsidRDefault="00A9221F" w:rsidP="00C511D0">
            <w:pPr>
              <w:pStyle w:val="Lgende"/>
              <w:numPr>
                <w:ilvl w:val="0"/>
                <w:numId w:val="14"/>
              </w:numPr>
              <w:autoSpaceDE w:val="0"/>
              <w:autoSpaceDN w:val="0"/>
              <w:adjustRightInd w:val="0"/>
              <w:spacing w:after="0"/>
              <w:rPr>
                <w:rFonts w:eastAsia="Times New Roman"/>
                <w:color w:val="auto"/>
                <w:sz w:val="20"/>
                <w:szCs w:val="20"/>
                <w:lang w:eastAsia="fr-FR"/>
              </w:rPr>
            </w:pPr>
            <w:r w:rsidRPr="003D4DAA">
              <w:rPr>
                <w:rFonts w:eastAsia="Times New Roman"/>
                <w:color w:val="auto"/>
                <w:sz w:val="20"/>
                <w:szCs w:val="20"/>
                <w:lang w:eastAsia="fr-FR"/>
              </w:rPr>
              <w:t xml:space="preserve">Minimiser la perte en couvert végétal en préconisant l’élagage et abattre uniquement les espèces gênantes ; </w:t>
            </w:r>
          </w:p>
          <w:p w14:paraId="0C90AABE" w14:textId="77777777" w:rsidR="00A9221F" w:rsidRPr="003D4DAA" w:rsidRDefault="00A9221F" w:rsidP="00C511D0">
            <w:pPr>
              <w:pStyle w:val="Lgende"/>
              <w:numPr>
                <w:ilvl w:val="0"/>
                <w:numId w:val="14"/>
              </w:numPr>
              <w:autoSpaceDE w:val="0"/>
              <w:autoSpaceDN w:val="0"/>
              <w:adjustRightInd w:val="0"/>
              <w:spacing w:after="0"/>
              <w:rPr>
                <w:rFonts w:eastAsia="Times New Roman"/>
                <w:color w:val="auto"/>
                <w:sz w:val="20"/>
                <w:szCs w:val="20"/>
                <w:lang w:eastAsia="fr-FR"/>
              </w:rPr>
            </w:pPr>
            <w:r w:rsidRPr="003D4DAA">
              <w:rPr>
                <w:rFonts w:eastAsia="Times New Roman"/>
                <w:color w:val="auto"/>
                <w:sz w:val="20"/>
                <w:szCs w:val="20"/>
                <w:lang w:eastAsia="fr-FR"/>
              </w:rPr>
              <w:t xml:space="preserve">Sensibilisation sur l’interdiction de chasse dans la zone des travaux </w:t>
            </w:r>
          </w:p>
          <w:p w14:paraId="24F2E24A" w14:textId="77777777" w:rsidR="00A9221F" w:rsidRPr="003D4DAA" w:rsidRDefault="00A9221F" w:rsidP="00C511D0">
            <w:pPr>
              <w:pStyle w:val="Lgende"/>
              <w:numPr>
                <w:ilvl w:val="0"/>
                <w:numId w:val="14"/>
              </w:numPr>
              <w:autoSpaceDE w:val="0"/>
              <w:autoSpaceDN w:val="0"/>
              <w:adjustRightInd w:val="0"/>
              <w:spacing w:after="0"/>
              <w:rPr>
                <w:rFonts w:eastAsia="Times New Roman"/>
                <w:color w:val="auto"/>
                <w:sz w:val="20"/>
                <w:szCs w:val="20"/>
                <w:lang w:eastAsia="fr-FR"/>
              </w:rPr>
            </w:pPr>
            <w:r w:rsidRPr="003D4DAA">
              <w:rPr>
                <w:rFonts w:eastAsia="Times New Roman"/>
                <w:color w:val="auto"/>
                <w:sz w:val="20"/>
                <w:szCs w:val="20"/>
                <w:lang w:eastAsia="fr-FR"/>
              </w:rPr>
              <w:t>Prévoir un reboisement compensatoire en espèces locales adaptées.</w:t>
            </w:r>
          </w:p>
        </w:tc>
        <w:tc>
          <w:tcPr>
            <w:tcW w:w="423" w:type="pct"/>
          </w:tcPr>
          <w:p w14:paraId="14DFEB41"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Pr>
          <w:p w14:paraId="6D50E331"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Pr>
          <w:p w14:paraId="5328D30C"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08% de taux de reprise de plants reboisés ;</w:t>
            </w:r>
          </w:p>
          <w:p w14:paraId="60356420" w14:textId="77777777" w:rsidR="00A9221F" w:rsidRPr="000B1F83"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5E3249">
              <w:rPr>
                <w:rFonts w:eastAsia="Times New Roman"/>
                <w:color w:val="auto"/>
                <w:sz w:val="20"/>
                <w:szCs w:val="20"/>
                <w:lang w:eastAsia="fr-FR"/>
              </w:rPr>
              <w:t>PV de sensibilisation sur l’interdiction de chasse</w:t>
            </w:r>
            <w:r w:rsidRPr="000B1F83">
              <w:rPr>
                <w:rFonts w:eastAsia="Times New Roman"/>
                <w:color w:val="auto"/>
                <w:sz w:val="20"/>
                <w:szCs w:val="20"/>
                <w:lang w:eastAsia="fr-FR"/>
              </w:rPr>
              <w:t xml:space="preserve"> </w:t>
            </w:r>
          </w:p>
        </w:tc>
        <w:tc>
          <w:tcPr>
            <w:tcW w:w="382" w:type="pct"/>
          </w:tcPr>
          <w:p w14:paraId="11441060" w14:textId="6910D761" w:rsidR="00A9221F" w:rsidRPr="003D4DAA" w:rsidRDefault="00A9221F" w:rsidP="00215867">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Avant et pendant les travaux </w:t>
            </w:r>
          </w:p>
        </w:tc>
      </w:tr>
      <w:tr w:rsidR="00A9221F" w:rsidRPr="00420C1B" w14:paraId="00560F9D" w14:textId="7B34DF9B" w:rsidTr="0087475F">
        <w:trPr>
          <w:trHeight w:val="876"/>
          <w:jc w:val="center"/>
        </w:trPr>
        <w:tc>
          <w:tcPr>
            <w:tcW w:w="562" w:type="pct"/>
            <w:vAlign w:val="center"/>
          </w:tcPr>
          <w:p w14:paraId="51C873B8" w14:textId="462385DF"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Installation de chantier et de la base-vie</w:t>
            </w:r>
          </w:p>
        </w:tc>
        <w:tc>
          <w:tcPr>
            <w:tcW w:w="231" w:type="pct"/>
            <w:vAlign w:val="center"/>
          </w:tcPr>
          <w:p w14:paraId="120C291F"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3</w:t>
            </w:r>
          </w:p>
        </w:tc>
        <w:tc>
          <w:tcPr>
            <w:tcW w:w="400" w:type="pct"/>
            <w:tcBorders>
              <w:top w:val="single" w:sz="4" w:space="0" w:color="auto"/>
              <w:left w:val="single" w:sz="4" w:space="0" w:color="auto"/>
              <w:bottom w:val="single" w:sz="4" w:space="0" w:color="auto"/>
              <w:right w:val="single" w:sz="4" w:space="0" w:color="auto"/>
            </w:tcBorders>
            <w:vAlign w:val="center"/>
          </w:tcPr>
          <w:p w14:paraId="7792447A"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Sol et paysage</w:t>
            </w:r>
          </w:p>
        </w:tc>
        <w:tc>
          <w:tcPr>
            <w:tcW w:w="529" w:type="pct"/>
            <w:tcBorders>
              <w:top w:val="single" w:sz="4" w:space="0" w:color="auto"/>
              <w:left w:val="single" w:sz="4" w:space="0" w:color="auto"/>
              <w:bottom w:val="single" w:sz="4" w:space="0" w:color="auto"/>
              <w:right w:val="single" w:sz="4" w:space="0" w:color="auto"/>
            </w:tcBorders>
            <w:vAlign w:val="center"/>
          </w:tcPr>
          <w:p w14:paraId="415A01B1"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L’installation de la base vie pourrait générer des déchets solides et liquides susceptible de polluer le sol.</w:t>
            </w:r>
          </w:p>
        </w:tc>
        <w:tc>
          <w:tcPr>
            <w:tcW w:w="706" w:type="pct"/>
            <w:tcBorders>
              <w:top w:val="single" w:sz="4" w:space="0" w:color="auto"/>
              <w:left w:val="single" w:sz="4" w:space="0" w:color="auto"/>
              <w:bottom w:val="single" w:sz="4" w:space="0" w:color="auto"/>
              <w:right w:val="single" w:sz="4" w:space="0" w:color="auto"/>
            </w:tcBorders>
            <w:vAlign w:val="center"/>
          </w:tcPr>
          <w:p w14:paraId="34FFC96E" w14:textId="77777777" w:rsidR="00A9221F" w:rsidRPr="00420C1B" w:rsidRDefault="00A9221F" w:rsidP="00C511D0">
            <w:pPr>
              <w:pStyle w:val="Lgende"/>
              <w:numPr>
                <w:ilvl w:val="0"/>
                <w:numId w:val="18"/>
              </w:numPr>
              <w:spacing w:after="0"/>
              <w:ind w:left="176" w:hanging="176"/>
              <w:jc w:val="both"/>
              <w:rPr>
                <w:color w:val="auto"/>
                <w:sz w:val="20"/>
                <w:szCs w:val="20"/>
              </w:rPr>
            </w:pPr>
            <w:r w:rsidRPr="00420C1B">
              <w:rPr>
                <w:color w:val="auto"/>
                <w:sz w:val="20"/>
                <w:szCs w:val="20"/>
              </w:rPr>
              <w:t xml:space="preserve">Mise en œuvre d’un Plan de Gestion et d’Elimination des Déchets (PGED) </w:t>
            </w:r>
          </w:p>
          <w:p w14:paraId="53DF4A8A" w14:textId="77777777" w:rsidR="00A9221F" w:rsidRPr="00420C1B" w:rsidRDefault="00A9221F" w:rsidP="00C511D0">
            <w:pPr>
              <w:pStyle w:val="Lgende"/>
              <w:numPr>
                <w:ilvl w:val="0"/>
                <w:numId w:val="18"/>
              </w:numPr>
              <w:spacing w:after="0"/>
              <w:ind w:left="176" w:hanging="176"/>
              <w:jc w:val="both"/>
              <w:rPr>
                <w:color w:val="auto"/>
                <w:sz w:val="20"/>
                <w:szCs w:val="20"/>
              </w:rPr>
            </w:pPr>
            <w:r w:rsidRPr="00420C1B">
              <w:rPr>
                <w:color w:val="auto"/>
                <w:sz w:val="20"/>
                <w:szCs w:val="20"/>
              </w:rPr>
              <w:t>Mise en place d’un plan d’information Education et Communication</w:t>
            </w:r>
          </w:p>
        </w:tc>
        <w:tc>
          <w:tcPr>
            <w:tcW w:w="819" w:type="pct"/>
          </w:tcPr>
          <w:p w14:paraId="383B7836" w14:textId="77777777" w:rsidR="00A9221F" w:rsidRPr="00420C1B" w:rsidRDefault="00A9221F" w:rsidP="00C511D0">
            <w:pPr>
              <w:pStyle w:val="Lgende"/>
              <w:numPr>
                <w:ilvl w:val="0"/>
                <w:numId w:val="14"/>
              </w:numPr>
              <w:spacing w:after="0"/>
              <w:rPr>
                <w:bCs/>
                <w:color w:val="auto"/>
                <w:sz w:val="20"/>
                <w:szCs w:val="20"/>
              </w:rPr>
            </w:pPr>
            <w:r w:rsidRPr="00420C1B">
              <w:rPr>
                <w:bCs/>
                <w:color w:val="auto"/>
                <w:sz w:val="20"/>
                <w:szCs w:val="20"/>
              </w:rPr>
              <w:t>assurer une gestion appropriée des déchets ;</w:t>
            </w:r>
          </w:p>
          <w:p w14:paraId="5C7F6E8E" w14:textId="77777777" w:rsidR="00A9221F" w:rsidRPr="00420C1B" w:rsidRDefault="00A9221F" w:rsidP="00C511D0">
            <w:pPr>
              <w:pStyle w:val="Lgende"/>
              <w:numPr>
                <w:ilvl w:val="0"/>
                <w:numId w:val="14"/>
              </w:numPr>
              <w:spacing w:after="0"/>
              <w:rPr>
                <w:bCs/>
                <w:color w:val="auto"/>
                <w:sz w:val="20"/>
                <w:szCs w:val="20"/>
              </w:rPr>
            </w:pPr>
            <w:r w:rsidRPr="00420C1B">
              <w:rPr>
                <w:bCs/>
                <w:color w:val="auto"/>
                <w:sz w:val="20"/>
                <w:szCs w:val="20"/>
              </w:rPr>
              <w:t>informer et sensibiliser le personnel de l’entreprise sur la gestion des déchets ;</w:t>
            </w:r>
          </w:p>
          <w:p w14:paraId="1FC12D9B" w14:textId="77777777" w:rsidR="00A9221F" w:rsidRPr="00420C1B" w:rsidRDefault="00A9221F" w:rsidP="00C511D0">
            <w:pPr>
              <w:pStyle w:val="Lgende"/>
              <w:numPr>
                <w:ilvl w:val="0"/>
                <w:numId w:val="14"/>
              </w:numPr>
              <w:spacing w:after="0"/>
              <w:rPr>
                <w:bCs/>
                <w:color w:val="auto"/>
                <w:sz w:val="20"/>
                <w:szCs w:val="20"/>
              </w:rPr>
            </w:pPr>
            <w:r w:rsidRPr="00420C1B">
              <w:rPr>
                <w:bCs/>
                <w:color w:val="auto"/>
                <w:sz w:val="20"/>
                <w:szCs w:val="20"/>
              </w:rPr>
              <w:t>Mettre en place 10 bacs à ordures et transférer périodiquement ces ordures vers des décharges publiques.</w:t>
            </w:r>
          </w:p>
        </w:tc>
        <w:tc>
          <w:tcPr>
            <w:tcW w:w="423" w:type="pct"/>
          </w:tcPr>
          <w:p w14:paraId="50FF5BFD"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Pr>
          <w:p w14:paraId="6F78DA17"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Pr>
          <w:p w14:paraId="0A5394C0"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100% des séances de sensibilisation réalisées ;</w:t>
            </w:r>
          </w:p>
          <w:p w14:paraId="437E4EE9" w14:textId="77777777" w:rsidR="00A9221F" w:rsidRPr="005E3249"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5E3249">
              <w:rPr>
                <w:rFonts w:eastAsia="Times New Roman"/>
                <w:color w:val="auto"/>
                <w:sz w:val="20"/>
                <w:szCs w:val="20"/>
                <w:lang w:eastAsia="fr-FR"/>
              </w:rPr>
              <w:t>Existence de 5 bacs à ordures ;</w:t>
            </w:r>
          </w:p>
          <w:p w14:paraId="5FA60D38" w14:textId="77777777" w:rsidR="00A9221F" w:rsidRPr="000B1F83"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0B1F83">
              <w:rPr>
                <w:rFonts w:eastAsia="Times New Roman"/>
                <w:color w:val="auto"/>
                <w:sz w:val="20"/>
                <w:szCs w:val="20"/>
                <w:lang w:eastAsia="fr-FR"/>
              </w:rPr>
              <w:t>Protocole d’accord pour le transfert des ordures vers des décharges publiques</w:t>
            </w:r>
          </w:p>
        </w:tc>
        <w:tc>
          <w:tcPr>
            <w:tcW w:w="382" w:type="pct"/>
          </w:tcPr>
          <w:p w14:paraId="36732802" w14:textId="2C16901A" w:rsidR="00A9221F" w:rsidRPr="003D4DAA" w:rsidRDefault="00D64FAE" w:rsidP="00215867">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Avant et pendant les travaux </w:t>
            </w:r>
          </w:p>
        </w:tc>
      </w:tr>
      <w:tr w:rsidR="00A9221F" w:rsidRPr="00420C1B" w14:paraId="111A8BF4" w14:textId="77777777" w:rsidTr="00215867">
        <w:trPr>
          <w:trHeight w:val="339"/>
          <w:jc w:val="center"/>
        </w:trPr>
        <w:tc>
          <w:tcPr>
            <w:tcW w:w="5000" w:type="pct"/>
            <w:gridSpan w:val="10"/>
            <w:vAlign w:val="center"/>
          </w:tcPr>
          <w:p w14:paraId="046E28A9" w14:textId="7A930217" w:rsidR="00A9221F" w:rsidRPr="003D4DAA" w:rsidRDefault="00A9221F" w:rsidP="00215867">
            <w:pPr>
              <w:pStyle w:val="Lgende"/>
              <w:autoSpaceDE w:val="0"/>
              <w:autoSpaceDN w:val="0"/>
              <w:adjustRightInd w:val="0"/>
              <w:spacing w:after="0"/>
              <w:jc w:val="center"/>
              <w:rPr>
                <w:rFonts w:eastAsia="Times New Roman"/>
                <w:color w:val="auto"/>
                <w:sz w:val="20"/>
                <w:szCs w:val="20"/>
                <w:lang w:eastAsia="fr-FR"/>
              </w:rPr>
            </w:pPr>
            <w:r w:rsidRPr="003448B0">
              <w:rPr>
                <w:rFonts w:eastAsia="Times New Roman"/>
                <w:b/>
                <w:color w:val="auto"/>
                <w:sz w:val="20"/>
                <w:szCs w:val="20"/>
                <w:lang w:eastAsia="fr-FR"/>
              </w:rPr>
              <w:t xml:space="preserve">PHASE DE </w:t>
            </w:r>
            <w:r>
              <w:rPr>
                <w:rFonts w:eastAsia="Times New Roman"/>
                <w:b/>
                <w:color w:val="auto"/>
                <w:sz w:val="20"/>
                <w:szCs w:val="20"/>
                <w:lang w:eastAsia="fr-FR"/>
              </w:rPr>
              <w:t>TRAVAUX</w:t>
            </w:r>
          </w:p>
        </w:tc>
      </w:tr>
      <w:tr w:rsidR="00A9221F" w:rsidRPr="00420C1B" w14:paraId="61C81FB5" w14:textId="7AD2A160" w:rsidTr="00215867">
        <w:trPr>
          <w:trHeight w:val="647"/>
          <w:jc w:val="center"/>
        </w:trPr>
        <w:tc>
          <w:tcPr>
            <w:tcW w:w="562" w:type="pct"/>
            <w:vAlign w:val="center"/>
          </w:tcPr>
          <w:p w14:paraId="558D2C22"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Excavations dues aux travaux de fouilles et de terrassement, circulation des engins sur le chantier</w:t>
            </w:r>
          </w:p>
        </w:tc>
        <w:tc>
          <w:tcPr>
            <w:tcW w:w="231" w:type="pct"/>
            <w:vAlign w:val="center"/>
          </w:tcPr>
          <w:p w14:paraId="23E2F7FF"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4</w:t>
            </w:r>
          </w:p>
        </w:tc>
        <w:tc>
          <w:tcPr>
            <w:tcW w:w="400" w:type="pct"/>
            <w:vAlign w:val="center"/>
          </w:tcPr>
          <w:p w14:paraId="5550B5D2" w14:textId="77777777" w:rsidR="00A9221F" w:rsidRPr="00420C1B" w:rsidRDefault="00A9221F" w:rsidP="00C61D9D">
            <w:pPr>
              <w:spacing w:after="0" w:line="240" w:lineRule="auto"/>
              <w:jc w:val="center"/>
              <w:rPr>
                <w:rFonts w:ascii="Times New Roman" w:hAnsi="Times New Roman"/>
                <w:sz w:val="20"/>
                <w:szCs w:val="20"/>
              </w:rPr>
            </w:pPr>
            <w:r w:rsidRPr="00954E29">
              <w:rPr>
                <w:rFonts w:ascii="Times New Roman" w:hAnsi="Times New Roman"/>
                <w:sz w:val="20"/>
                <w:szCs w:val="20"/>
              </w:rPr>
              <w:t>Air</w:t>
            </w:r>
          </w:p>
        </w:tc>
        <w:tc>
          <w:tcPr>
            <w:tcW w:w="529" w:type="pct"/>
            <w:vAlign w:val="center"/>
          </w:tcPr>
          <w:p w14:paraId="145C1E5F"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Emission de poussières </w:t>
            </w:r>
          </w:p>
          <w:p w14:paraId="2D05D743"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Emission des gaz d’échappement (CO</w:t>
            </w:r>
            <w:r w:rsidRPr="00215867">
              <w:rPr>
                <w:rFonts w:ascii="Times New Roman" w:hAnsi="Times New Roman"/>
                <w:sz w:val="20"/>
                <w:szCs w:val="20"/>
                <w:vertAlign w:val="subscript"/>
              </w:rPr>
              <w:t>2</w:t>
            </w:r>
            <w:r w:rsidRPr="00420C1B">
              <w:rPr>
                <w:rFonts w:ascii="Times New Roman" w:hAnsi="Times New Roman"/>
                <w:sz w:val="20"/>
                <w:szCs w:val="20"/>
              </w:rPr>
              <w:t>, CO</w:t>
            </w:r>
            <w:r w:rsidRPr="00215867">
              <w:rPr>
                <w:rFonts w:ascii="Times New Roman" w:hAnsi="Times New Roman"/>
                <w:sz w:val="20"/>
                <w:szCs w:val="20"/>
                <w:vertAlign w:val="subscript"/>
              </w:rPr>
              <w:t>X</w:t>
            </w:r>
            <w:r w:rsidRPr="00420C1B">
              <w:rPr>
                <w:rFonts w:ascii="Times New Roman" w:hAnsi="Times New Roman"/>
                <w:sz w:val="20"/>
                <w:szCs w:val="20"/>
              </w:rPr>
              <w:t>, SO</w:t>
            </w:r>
            <w:r w:rsidRPr="00215867">
              <w:rPr>
                <w:rFonts w:ascii="Times New Roman" w:hAnsi="Times New Roman"/>
                <w:sz w:val="20"/>
                <w:szCs w:val="20"/>
                <w:vertAlign w:val="subscript"/>
              </w:rPr>
              <w:t>X</w:t>
            </w:r>
            <w:r w:rsidRPr="00420C1B">
              <w:rPr>
                <w:rFonts w:ascii="Times New Roman" w:hAnsi="Times New Roman"/>
                <w:sz w:val="20"/>
                <w:szCs w:val="20"/>
              </w:rPr>
              <w:t xml:space="preserve">, etc.) </w:t>
            </w:r>
          </w:p>
          <w:p w14:paraId="541FFA62"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Emission du bruit sonore et de vibrations </w:t>
            </w:r>
          </w:p>
        </w:tc>
        <w:tc>
          <w:tcPr>
            <w:tcW w:w="706" w:type="pct"/>
            <w:vAlign w:val="center"/>
          </w:tcPr>
          <w:p w14:paraId="7BEC6043" w14:textId="77777777" w:rsidR="00A9221F" w:rsidRPr="00420C1B" w:rsidRDefault="00A9221F" w:rsidP="00C61D9D">
            <w:pPr>
              <w:pStyle w:val="Lgende"/>
              <w:spacing w:after="0"/>
              <w:jc w:val="both"/>
              <w:rPr>
                <w:color w:val="auto"/>
                <w:sz w:val="20"/>
                <w:szCs w:val="20"/>
              </w:rPr>
            </w:pPr>
            <w:r w:rsidRPr="00420C1B">
              <w:rPr>
                <w:color w:val="auto"/>
                <w:sz w:val="20"/>
                <w:szCs w:val="20"/>
              </w:rPr>
              <w:t>Mise en œuvre d’un Plan de limitation de la pollution de l’air.</w:t>
            </w:r>
          </w:p>
          <w:p w14:paraId="3635E825" w14:textId="77777777" w:rsidR="00983BCF" w:rsidRPr="00420C1B" w:rsidRDefault="00983BCF" w:rsidP="00215867"/>
          <w:p w14:paraId="69D561A8" w14:textId="77777777" w:rsidR="00983BCF" w:rsidRPr="00215867" w:rsidRDefault="00983BCF" w:rsidP="00215867"/>
        </w:tc>
        <w:tc>
          <w:tcPr>
            <w:tcW w:w="819" w:type="pct"/>
          </w:tcPr>
          <w:p w14:paraId="3A1064FD" w14:textId="77777777" w:rsidR="00A9221F" w:rsidRPr="00420C1B" w:rsidRDefault="00A9221F" w:rsidP="00C511D0">
            <w:pPr>
              <w:pStyle w:val="Lgende"/>
              <w:numPr>
                <w:ilvl w:val="0"/>
                <w:numId w:val="18"/>
              </w:numPr>
              <w:spacing w:after="0"/>
              <w:rPr>
                <w:iCs w:val="0"/>
                <w:color w:val="auto"/>
                <w:sz w:val="20"/>
                <w:szCs w:val="20"/>
              </w:rPr>
            </w:pPr>
            <w:r w:rsidRPr="00420C1B">
              <w:rPr>
                <w:iCs w:val="0"/>
                <w:color w:val="auto"/>
                <w:sz w:val="20"/>
                <w:szCs w:val="20"/>
              </w:rPr>
              <w:t>informer et sensibiliser les conducteurs sur la limitation de vitesse</w:t>
            </w:r>
          </w:p>
          <w:p w14:paraId="21FF1A86" w14:textId="77777777" w:rsidR="00A9221F" w:rsidRPr="00420C1B" w:rsidRDefault="00A9221F" w:rsidP="00C511D0">
            <w:pPr>
              <w:pStyle w:val="Lgende"/>
              <w:numPr>
                <w:ilvl w:val="0"/>
                <w:numId w:val="18"/>
              </w:numPr>
              <w:spacing w:after="0"/>
              <w:rPr>
                <w:iCs w:val="0"/>
                <w:color w:val="auto"/>
                <w:sz w:val="20"/>
                <w:szCs w:val="20"/>
              </w:rPr>
            </w:pPr>
            <w:r w:rsidRPr="00420C1B">
              <w:rPr>
                <w:iCs w:val="0"/>
                <w:color w:val="auto"/>
                <w:sz w:val="20"/>
                <w:szCs w:val="20"/>
              </w:rPr>
              <w:t>imposer aux contractuels des travaux de chantiers le bâchage de tous les camions transportant les matériaux (sables, gravillons etc.) de construction;</w:t>
            </w:r>
          </w:p>
          <w:p w14:paraId="52A94DA3" w14:textId="77777777" w:rsidR="00A9221F" w:rsidRPr="00420C1B" w:rsidRDefault="00A9221F" w:rsidP="00C511D0">
            <w:pPr>
              <w:pStyle w:val="Lgende"/>
              <w:numPr>
                <w:ilvl w:val="0"/>
                <w:numId w:val="18"/>
              </w:numPr>
              <w:spacing w:after="0"/>
              <w:rPr>
                <w:iCs w:val="0"/>
                <w:color w:val="auto"/>
                <w:sz w:val="20"/>
                <w:szCs w:val="20"/>
              </w:rPr>
            </w:pPr>
            <w:r w:rsidRPr="00420C1B">
              <w:rPr>
                <w:iCs w:val="0"/>
                <w:color w:val="auto"/>
                <w:sz w:val="20"/>
                <w:szCs w:val="20"/>
              </w:rPr>
              <w:t>éviter le travail de nuit et arrêt des travaux aux heures sensibles ;</w:t>
            </w:r>
          </w:p>
          <w:p w14:paraId="44144094" w14:textId="77777777" w:rsidR="00A9221F" w:rsidRPr="00420C1B" w:rsidRDefault="00A9221F" w:rsidP="00C511D0">
            <w:pPr>
              <w:pStyle w:val="Lgende"/>
              <w:numPr>
                <w:ilvl w:val="0"/>
                <w:numId w:val="18"/>
              </w:numPr>
              <w:spacing w:after="0"/>
              <w:rPr>
                <w:iCs w:val="0"/>
                <w:color w:val="auto"/>
                <w:sz w:val="20"/>
                <w:szCs w:val="20"/>
              </w:rPr>
            </w:pPr>
            <w:r w:rsidRPr="00420C1B">
              <w:rPr>
                <w:iCs w:val="0"/>
                <w:color w:val="auto"/>
                <w:sz w:val="20"/>
                <w:szCs w:val="20"/>
              </w:rPr>
              <w:t>exiger le port des équipements de  protections individuelles (EPI) pour les travailleurs.</w:t>
            </w:r>
          </w:p>
        </w:tc>
        <w:tc>
          <w:tcPr>
            <w:tcW w:w="423" w:type="pct"/>
            <w:vAlign w:val="center"/>
          </w:tcPr>
          <w:p w14:paraId="57FE49DA"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5164131A"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073D9D4C" w14:textId="77777777" w:rsidR="00A9221F" w:rsidRPr="00215867" w:rsidRDefault="00A9221F" w:rsidP="00D64FAE">
            <w:pPr>
              <w:pStyle w:val="Lgende"/>
              <w:autoSpaceDE w:val="0"/>
              <w:autoSpaceDN w:val="0"/>
              <w:adjustRightInd w:val="0"/>
              <w:spacing w:after="0"/>
              <w:rPr>
                <w:rFonts w:eastAsia="Times New Roman"/>
                <w:color w:val="auto"/>
                <w:sz w:val="20"/>
                <w:szCs w:val="20"/>
                <w:lang w:eastAsia="fr-FR"/>
              </w:rPr>
            </w:pPr>
            <w:r w:rsidRPr="003D4DAA">
              <w:rPr>
                <w:rFonts w:eastAsia="Times New Roman"/>
                <w:color w:val="auto"/>
                <w:sz w:val="20"/>
                <w:szCs w:val="20"/>
                <w:lang w:eastAsia="fr-FR"/>
              </w:rPr>
              <w:t>100% de camion-cite</w:t>
            </w:r>
            <w:r w:rsidRPr="005E3249">
              <w:rPr>
                <w:rFonts w:eastAsia="Times New Roman"/>
                <w:color w:val="auto"/>
                <w:sz w:val="20"/>
                <w:szCs w:val="20"/>
                <w:lang w:eastAsia="fr-FR"/>
              </w:rPr>
              <w:t>rne mobilisé sur chantier et opérationnel sur site</w:t>
            </w:r>
          </w:p>
        </w:tc>
        <w:tc>
          <w:tcPr>
            <w:tcW w:w="382" w:type="pct"/>
            <w:vAlign w:val="center"/>
          </w:tcPr>
          <w:p w14:paraId="7D85D91B" w14:textId="115F0FFE" w:rsidR="00A9221F" w:rsidRPr="003D4DAA" w:rsidRDefault="00D64FAE" w:rsidP="001005EB">
            <w:pPr>
              <w:pStyle w:val="Lgende"/>
              <w:autoSpaceDE w:val="0"/>
              <w:autoSpaceDN w:val="0"/>
              <w:adjustRightInd w:val="0"/>
              <w:spacing w:after="0"/>
              <w:rPr>
                <w:rFonts w:eastAsia="Times New Roman"/>
                <w:color w:val="auto"/>
                <w:sz w:val="20"/>
                <w:szCs w:val="20"/>
                <w:lang w:eastAsia="fr-FR"/>
              </w:rPr>
            </w:pPr>
            <w:r>
              <w:rPr>
                <w:rFonts w:eastAsia="Times New Roman"/>
                <w:color w:val="auto"/>
                <w:sz w:val="20"/>
                <w:szCs w:val="20"/>
                <w:lang w:eastAsia="fr-FR"/>
              </w:rPr>
              <w:t xml:space="preserve">Pendant les travaux </w:t>
            </w:r>
          </w:p>
        </w:tc>
      </w:tr>
      <w:tr w:rsidR="00A9221F" w:rsidRPr="00420C1B" w14:paraId="65FD1AAD" w14:textId="12E6DCF8" w:rsidTr="00215867">
        <w:trPr>
          <w:trHeight w:val="2944"/>
          <w:jc w:val="center"/>
        </w:trPr>
        <w:tc>
          <w:tcPr>
            <w:tcW w:w="562" w:type="pct"/>
            <w:vAlign w:val="center"/>
          </w:tcPr>
          <w:p w14:paraId="12AFEAB2"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Approvisionnement, stockage, distribution d’hydrocarbures et mouvement des engins  (déversement  de lubrifiants)</w:t>
            </w:r>
          </w:p>
        </w:tc>
        <w:tc>
          <w:tcPr>
            <w:tcW w:w="231" w:type="pct"/>
            <w:vAlign w:val="center"/>
          </w:tcPr>
          <w:p w14:paraId="01CB7B05"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5 &amp; 9</w:t>
            </w:r>
          </w:p>
        </w:tc>
        <w:tc>
          <w:tcPr>
            <w:tcW w:w="400" w:type="pct"/>
            <w:vAlign w:val="center"/>
          </w:tcPr>
          <w:p w14:paraId="763B25D0"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Sol</w:t>
            </w:r>
          </w:p>
          <w:p w14:paraId="562682D7"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Eau</w:t>
            </w:r>
          </w:p>
        </w:tc>
        <w:tc>
          <w:tcPr>
            <w:tcW w:w="529" w:type="pct"/>
            <w:vAlign w:val="center"/>
          </w:tcPr>
          <w:p w14:paraId="1E7660A1"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Risque de dégradation de la qualité des sols lors du déversement accidentel d’hydrocarbures ou d’huiles de vidange.</w:t>
            </w:r>
          </w:p>
          <w:p w14:paraId="3E65B0E4"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Contamination des eaux de surface et de la nappe phréatique par les hydrocarbures et les huiles de vidange</w:t>
            </w:r>
            <w:r w:rsidRPr="00420C1B">
              <w:rPr>
                <w:rFonts w:ascii="Times New Roman" w:hAnsi="Times New Roman"/>
                <w:sz w:val="20"/>
                <w:szCs w:val="20"/>
              </w:rPr>
              <w:tab/>
            </w:r>
          </w:p>
        </w:tc>
        <w:tc>
          <w:tcPr>
            <w:tcW w:w="706" w:type="pct"/>
            <w:vAlign w:val="center"/>
          </w:tcPr>
          <w:p w14:paraId="5E4001B4" w14:textId="77777777" w:rsidR="00A9221F" w:rsidRPr="00420C1B" w:rsidRDefault="00A9221F" w:rsidP="00C61D9D">
            <w:pPr>
              <w:pStyle w:val="Lgende"/>
              <w:spacing w:after="0"/>
              <w:jc w:val="both"/>
              <w:rPr>
                <w:color w:val="auto"/>
                <w:sz w:val="20"/>
                <w:szCs w:val="20"/>
              </w:rPr>
            </w:pPr>
            <w:r w:rsidRPr="00420C1B">
              <w:rPr>
                <w:color w:val="auto"/>
                <w:sz w:val="20"/>
                <w:szCs w:val="20"/>
              </w:rPr>
              <w:t xml:space="preserve">Mise en œuvre d’un Plan de drainage approprié des eaux de ruissellement de la base-vie et un Plan de gestion écologique des déchets solides et liquides  </w:t>
            </w:r>
          </w:p>
        </w:tc>
        <w:tc>
          <w:tcPr>
            <w:tcW w:w="819" w:type="pct"/>
          </w:tcPr>
          <w:p w14:paraId="588E3F4A"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choisir l’emplacement approprié de la base-vie (à plus de 500 m de cours d’eau,  sur un terrain à pente nulle, etc.) ;</w:t>
            </w:r>
          </w:p>
          <w:p w14:paraId="641EDF1C"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mettre en place un plan de gestion des déchets de chantier (surtout les déchets dangereux) ;</w:t>
            </w:r>
          </w:p>
          <w:p w14:paraId="0F621E3A"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former le personnel de l’entreprise en charge des travaux sur la gestion des déchets ;</w:t>
            </w:r>
          </w:p>
          <w:p w14:paraId="422E3D82"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aménager et stabiliser les aires de vidange afin de les imperméabiliser</w:t>
            </w:r>
          </w:p>
          <w:p w14:paraId="02FA850A"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3D4DAA">
              <w:rPr>
                <w:rFonts w:eastAsia="Times New Roman"/>
                <w:color w:val="auto"/>
                <w:sz w:val="20"/>
                <w:szCs w:val="20"/>
                <w:lang w:eastAsia="fr-FR"/>
              </w:rPr>
              <w:t>recueillir les huiles usées dans des contenants étanches en vue de leur recyclage</w:t>
            </w:r>
            <w:r w:rsidRPr="00420C1B">
              <w:rPr>
                <w:sz w:val="20"/>
                <w:szCs w:val="20"/>
              </w:rPr>
              <w:t xml:space="preserve"> ou réutilisation ;</w:t>
            </w:r>
          </w:p>
          <w:p w14:paraId="5FCE77D2"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interdire formellement aux employés de laver les engins et autres matériels (bétonneuse, brouettes, etc.) dans les cours d’eau ;</w:t>
            </w:r>
          </w:p>
          <w:p w14:paraId="0ED78D0F"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éviter les sources d’eau utilisées par les populations pour les besoins des travaux du chantier</w:t>
            </w:r>
          </w:p>
          <w:p w14:paraId="7E4B33CA" w14:textId="77777777" w:rsidR="00A9221F" w:rsidRPr="00420C1B" w:rsidRDefault="00A9221F" w:rsidP="00C511D0">
            <w:pPr>
              <w:pStyle w:val="Lgende"/>
              <w:numPr>
                <w:ilvl w:val="0"/>
                <w:numId w:val="14"/>
              </w:numPr>
              <w:autoSpaceDE w:val="0"/>
              <w:autoSpaceDN w:val="0"/>
              <w:adjustRightInd w:val="0"/>
              <w:spacing w:after="0"/>
              <w:ind w:left="216" w:hanging="285"/>
              <w:rPr>
                <w:color w:val="auto"/>
                <w:sz w:val="20"/>
                <w:szCs w:val="20"/>
              </w:rPr>
            </w:pPr>
            <w:r w:rsidRPr="003D4DAA">
              <w:rPr>
                <w:rFonts w:eastAsia="Times New Roman"/>
                <w:color w:val="auto"/>
                <w:sz w:val="20"/>
                <w:szCs w:val="20"/>
                <w:lang w:eastAsia="fr-FR"/>
              </w:rPr>
              <w:t>aménager les bassins de rétention pour le stockage des hydrocarbures, conformément aux normes en la matière.</w:t>
            </w:r>
          </w:p>
        </w:tc>
        <w:tc>
          <w:tcPr>
            <w:tcW w:w="423" w:type="pct"/>
            <w:vAlign w:val="center"/>
          </w:tcPr>
          <w:p w14:paraId="260EC731"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1FFC718D"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329D0464" w14:textId="77777777" w:rsidR="00A9221F" w:rsidRPr="003D4DAA" w:rsidRDefault="00A9221F" w:rsidP="00D64FAE">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100% des sols pollués décapés sont stockés dans les récipients en plastiques</w:t>
            </w:r>
          </w:p>
          <w:p w14:paraId="4CBE45D2" w14:textId="77777777" w:rsidR="00A9221F" w:rsidRPr="00EB0E4A" w:rsidRDefault="00A9221F" w:rsidP="001005EB">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5E3249">
              <w:rPr>
                <w:rFonts w:eastAsia="Times New Roman"/>
                <w:color w:val="auto"/>
                <w:sz w:val="20"/>
                <w:szCs w:val="20"/>
                <w:lang w:eastAsia="fr-FR"/>
              </w:rPr>
              <w:t>100%</w:t>
            </w:r>
            <w:r w:rsidRPr="000B1F83">
              <w:rPr>
                <w:rFonts w:eastAsia="Times New Roman"/>
                <w:color w:val="auto"/>
                <w:sz w:val="20"/>
                <w:szCs w:val="20"/>
                <w:lang w:eastAsia="fr-FR"/>
              </w:rPr>
              <w:t xml:space="preserve"> de cas de déversement accidentels enregistrés</w:t>
            </w:r>
          </w:p>
          <w:p w14:paraId="3A896CCB" w14:textId="77777777" w:rsidR="00A9221F" w:rsidRPr="00EB0E4A" w:rsidRDefault="00A9221F" w:rsidP="00215867">
            <w:pPr>
              <w:pStyle w:val="Paragraphedeliste"/>
              <w:numPr>
                <w:ilvl w:val="0"/>
                <w:numId w:val="14"/>
              </w:numPr>
              <w:ind w:left="216" w:hanging="285"/>
              <w:rPr>
                <w:rFonts w:ascii="Times New Roman" w:hAnsi="Times New Roman"/>
                <w:sz w:val="20"/>
                <w:szCs w:val="20"/>
              </w:rPr>
            </w:pPr>
            <w:r w:rsidRPr="00EB0E4A">
              <w:rPr>
                <w:rFonts w:ascii="Times New Roman" w:hAnsi="Times New Roman"/>
                <w:sz w:val="20"/>
                <w:szCs w:val="20"/>
              </w:rPr>
              <w:t>100% des sites visités ne présentent pas de trace d’hydrocarbure ;</w:t>
            </w:r>
          </w:p>
          <w:p w14:paraId="451F89FA" w14:textId="77777777" w:rsidR="00A9221F" w:rsidRPr="00215867" w:rsidRDefault="00A9221F" w:rsidP="00215867">
            <w:pPr>
              <w:pStyle w:val="Paragraphedeliste"/>
              <w:numPr>
                <w:ilvl w:val="0"/>
                <w:numId w:val="14"/>
              </w:numPr>
              <w:ind w:left="216" w:hanging="285"/>
              <w:rPr>
                <w:lang w:eastAsia="fr-FR"/>
              </w:rPr>
            </w:pPr>
            <w:r w:rsidRPr="00B9532B">
              <w:rPr>
                <w:rFonts w:ascii="Times New Roman" w:hAnsi="Times New Roman"/>
                <w:sz w:val="20"/>
                <w:szCs w:val="20"/>
              </w:rPr>
              <w:t>100% des fûts de récupération et de plateforme de stockage prévus sont mis en place</w:t>
            </w:r>
          </w:p>
        </w:tc>
        <w:tc>
          <w:tcPr>
            <w:tcW w:w="382" w:type="pct"/>
            <w:vAlign w:val="center"/>
          </w:tcPr>
          <w:p w14:paraId="3DB7C8D2" w14:textId="12DB3B8C" w:rsidR="00A9221F" w:rsidRPr="003D4DAA" w:rsidRDefault="00D64FAE" w:rsidP="00215867">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Pendant les travaux </w:t>
            </w:r>
          </w:p>
        </w:tc>
      </w:tr>
      <w:tr w:rsidR="00A9221F" w:rsidRPr="00420C1B" w14:paraId="7C6F481A" w14:textId="4E9FF901" w:rsidTr="00215867">
        <w:trPr>
          <w:trHeight w:val="647"/>
          <w:jc w:val="center"/>
        </w:trPr>
        <w:tc>
          <w:tcPr>
            <w:tcW w:w="562" w:type="pct"/>
            <w:vAlign w:val="center"/>
          </w:tcPr>
          <w:p w14:paraId="150D0A3E"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Terrassement (Remblai et déblais) et coulage de béton</w:t>
            </w:r>
          </w:p>
        </w:tc>
        <w:tc>
          <w:tcPr>
            <w:tcW w:w="231" w:type="pct"/>
            <w:vAlign w:val="center"/>
          </w:tcPr>
          <w:p w14:paraId="304EAD7D"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6 &amp; 10</w:t>
            </w:r>
          </w:p>
        </w:tc>
        <w:tc>
          <w:tcPr>
            <w:tcW w:w="400" w:type="pct"/>
            <w:vAlign w:val="center"/>
          </w:tcPr>
          <w:p w14:paraId="55625A64"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Sol et habitat naturel</w:t>
            </w:r>
          </w:p>
        </w:tc>
        <w:tc>
          <w:tcPr>
            <w:tcW w:w="529" w:type="pct"/>
            <w:vAlign w:val="center"/>
          </w:tcPr>
          <w:p w14:paraId="3932A132" w14:textId="77777777" w:rsidR="00A9221F" w:rsidRPr="00420C1B" w:rsidRDefault="00A9221F" w:rsidP="00C61D9D">
            <w:pPr>
              <w:spacing w:after="0" w:line="240" w:lineRule="auto"/>
              <w:jc w:val="both"/>
              <w:rPr>
                <w:rFonts w:ascii="Times New Roman" w:hAnsi="Times New Roman"/>
                <w:sz w:val="20"/>
                <w:szCs w:val="20"/>
              </w:rPr>
            </w:pPr>
            <w:r w:rsidRPr="00420C1B">
              <w:rPr>
                <w:rFonts w:ascii="Times New Roman" w:hAnsi="Times New Roman"/>
                <w:sz w:val="20"/>
                <w:szCs w:val="20"/>
              </w:rPr>
              <w:t>Érosion et déstabilisation des sols.</w:t>
            </w:r>
          </w:p>
        </w:tc>
        <w:tc>
          <w:tcPr>
            <w:tcW w:w="706" w:type="pct"/>
            <w:vAlign w:val="center"/>
          </w:tcPr>
          <w:p w14:paraId="665EC019" w14:textId="77777777" w:rsidR="00A9221F" w:rsidRPr="00420C1B" w:rsidRDefault="00A9221F" w:rsidP="00C61D9D">
            <w:pPr>
              <w:pStyle w:val="Lgende"/>
              <w:spacing w:after="0"/>
              <w:rPr>
                <w:color w:val="auto"/>
                <w:sz w:val="20"/>
                <w:szCs w:val="20"/>
              </w:rPr>
            </w:pPr>
            <w:r w:rsidRPr="00420C1B">
              <w:rPr>
                <w:color w:val="auto"/>
                <w:sz w:val="20"/>
                <w:szCs w:val="20"/>
              </w:rPr>
              <w:t xml:space="preserve">Stabilisation des sols </w:t>
            </w:r>
          </w:p>
        </w:tc>
        <w:tc>
          <w:tcPr>
            <w:tcW w:w="819" w:type="pct"/>
          </w:tcPr>
          <w:p w14:paraId="5BFC5D1E"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420C1B">
              <w:rPr>
                <w:iCs w:val="0"/>
                <w:color w:val="auto"/>
                <w:sz w:val="20"/>
                <w:szCs w:val="20"/>
              </w:rPr>
              <w:t xml:space="preserve">Éviter les travaux de </w:t>
            </w:r>
            <w:r w:rsidRPr="003D4DAA">
              <w:rPr>
                <w:rFonts w:eastAsia="Times New Roman"/>
                <w:color w:val="auto"/>
                <w:sz w:val="20"/>
                <w:szCs w:val="20"/>
                <w:lang w:eastAsia="fr-FR"/>
              </w:rPr>
              <w:t>Terrassement / coulage de béton et de creusage en période pluvieuse ;</w:t>
            </w:r>
          </w:p>
          <w:p w14:paraId="7B8D2029"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Stabiliser le sol mécaniquement pour réduire le risque d’érosion et prévoir la restauration des sites après les travaux ;</w:t>
            </w:r>
          </w:p>
          <w:p w14:paraId="7017C40C"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Limiter la perte du couvert végétal surtout au niveau des berges et dans les zones accidentées ;</w:t>
            </w:r>
          </w:p>
          <w:p w14:paraId="5AC8E3A3" w14:textId="77777777" w:rsidR="00A9221F" w:rsidRPr="00420C1B" w:rsidRDefault="00A9221F" w:rsidP="00C511D0">
            <w:pPr>
              <w:pStyle w:val="Lgende"/>
              <w:numPr>
                <w:ilvl w:val="0"/>
                <w:numId w:val="14"/>
              </w:numPr>
              <w:autoSpaceDE w:val="0"/>
              <w:autoSpaceDN w:val="0"/>
              <w:adjustRightInd w:val="0"/>
              <w:spacing w:after="0"/>
              <w:ind w:left="216" w:hanging="285"/>
              <w:rPr>
                <w:iCs w:val="0"/>
                <w:color w:val="auto"/>
                <w:sz w:val="20"/>
                <w:szCs w:val="20"/>
              </w:rPr>
            </w:pPr>
            <w:r w:rsidRPr="003D4DAA">
              <w:rPr>
                <w:rFonts w:eastAsia="Times New Roman"/>
                <w:color w:val="auto"/>
                <w:sz w:val="20"/>
                <w:szCs w:val="20"/>
                <w:lang w:eastAsia="fr-FR"/>
              </w:rPr>
              <w:t>Eviter les installations de poteaux électriques et de cabines sur des terrains instables (déjà fragilisés par l’érosion).</w:t>
            </w:r>
          </w:p>
        </w:tc>
        <w:tc>
          <w:tcPr>
            <w:tcW w:w="423" w:type="pct"/>
            <w:vAlign w:val="center"/>
          </w:tcPr>
          <w:p w14:paraId="67D1D7FA"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78578402"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50703A09"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420C1B">
              <w:rPr>
                <w:sz w:val="20"/>
                <w:szCs w:val="20"/>
              </w:rPr>
              <w:t>Aucune trace d’érosion observée au niveau des sites d’implantation des poteaux ou des cabines.</w:t>
            </w:r>
          </w:p>
        </w:tc>
        <w:tc>
          <w:tcPr>
            <w:tcW w:w="382" w:type="pct"/>
            <w:vAlign w:val="center"/>
          </w:tcPr>
          <w:p w14:paraId="6A207799" w14:textId="46E8D795" w:rsidR="00A9221F" w:rsidRPr="00420C1B" w:rsidRDefault="00D64FAE" w:rsidP="00215867">
            <w:pPr>
              <w:pStyle w:val="Lgende"/>
              <w:autoSpaceDE w:val="0"/>
              <w:autoSpaceDN w:val="0"/>
              <w:adjustRightInd w:val="0"/>
              <w:spacing w:after="0"/>
              <w:ind w:left="-69"/>
              <w:rPr>
                <w:sz w:val="20"/>
                <w:szCs w:val="20"/>
              </w:rPr>
            </w:pPr>
            <w:r w:rsidRPr="00420C1B">
              <w:rPr>
                <w:sz w:val="20"/>
                <w:szCs w:val="20"/>
              </w:rPr>
              <w:t xml:space="preserve">Avant et pendant les travaux </w:t>
            </w:r>
            <w:r w:rsidR="001005EB" w:rsidRPr="00420C1B">
              <w:rPr>
                <w:sz w:val="20"/>
                <w:szCs w:val="20"/>
              </w:rPr>
              <w:t>+</w:t>
            </w:r>
          </w:p>
        </w:tc>
      </w:tr>
      <w:tr w:rsidR="00A9221F" w:rsidRPr="00420C1B" w14:paraId="31C1A83D" w14:textId="7A99196C" w:rsidTr="00215867">
        <w:trPr>
          <w:trHeight w:val="4078"/>
          <w:jc w:val="center"/>
        </w:trPr>
        <w:tc>
          <w:tcPr>
            <w:tcW w:w="562" w:type="pct"/>
            <w:vAlign w:val="center"/>
          </w:tcPr>
          <w:p w14:paraId="061C077D"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Terrassement et coulage de béton, remblai et déblais, démantèlement des câbles dégradés</w:t>
            </w:r>
          </w:p>
          <w:p w14:paraId="7C57FD41" w14:textId="77777777" w:rsidR="00A9221F" w:rsidRPr="00420C1B" w:rsidRDefault="00A9221F" w:rsidP="00C61D9D">
            <w:pPr>
              <w:spacing w:after="0" w:line="240" w:lineRule="auto"/>
              <w:rPr>
                <w:rFonts w:ascii="Times New Roman" w:hAnsi="Times New Roman"/>
                <w:sz w:val="20"/>
                <w:szCs w:val="20"/>
              </w:rPr>
            </w:pPr>
          </w:p>
        </w:tc>
        <w:tc>
          <w:tcPr>
            <w:tcW w:w="231" w:type="pct"/>
            <w:vAlign w:val="center"/>
          </w:tcPr>
          <w:p w14:paraId="569BA551"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7</w:t>
            </w:r>
          </w:p>
        </w:tc>
        <w:tc>
          <w:tcPr>
            <w:tcW w:w="400" w:type="pct"/>
            <w:vAlign w:val="center"/>
          </w:tcPr>
          <w:p w14:paraId="2C21F443"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 xml:space="preserve">Air </w:t>
            </w:r>
          </w:p>
          <w:p w14:paraId="2DA46E08"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 xml:space="preserve">Eau </w:t>
            </w:r>
          </w:p>
          <w:p w14:paraId="181DEB85"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Sol</w:t>
            </w:r>
          </w:p>
        </w:tc>
        <w:tc>
          <w:tcPr>
            <w:tcW w:w="529" w:type="pct"/>
            <w:vAlign w:val="center"/>
          </w:tcPr>
          <w:p w14:paraId="4EE11326"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 xml:space="preserve">Pollution liés à la gestion des déchets du chantier  </w:t>
            </w:r>
          </w:p>
        </w:tc>
        <w:tc>
          <w:tcPr>
            <w:tcW w:w="706" w:type="pct"/>
            <w:vAlign w:val="center"/>
          </w:tcPr>
          <w:p w14:paraId="2BA87DBC" w14:textId="77777777" w:rsidR="00A9221F" w:rsidRPr="00420C1B" w:rsidRDefault="00A9221F" w:rsidP="00C61D9D">
            <w:pPr>
              <w:pStyle w:val="Lgende"/>
              <w:spacing w:after="0"/>
              <w:jc w:val="both"/>
              <w:rPr>
                <w:color w:val="auto"/>
                <w:sz w:val="20"/>
                <w:szCs w:val="20"/>
              </w:rPr>
            </w:pPr>
            <w:r w:rsidRPr="00420C1B">
              <w:rPr>
                <w:color w:val="auto"/>
                <w:sz w:val="20"/>
                <w:szCs w:val="20"/>
              </w:rPr>
              <w:t>Mise en œuvre d’un Plan de gestion des déchets dans la zone d’évolution des travaux</w:t>
            </w:r>
          </w:p>
        </w:tc>
        <w:tc>
          <w:tcPr>
            <w:tcW w:w="819" w:type="pct"/>
          </w:tcPr>
          <w:p w14:paraId="79EC6278"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420C1B">
              <w:rPr>
                <w:iCs w:val="0"/>
                <w:color w:val="auto"/>
                <w:sz w:val="20"/>
                <w:szCs w:val="20"/>
              </w:rPr>
              <w:t xml:space="preserve">choisir l’emplacement </w:t>
            </w:r>
            <w:r w:rsidRPr="003D4DAA">
              <w:rPr>
                <w:rFonts w:eastAsia="Times New Roman"/>
                <w:color w:val="auto"/>
                <w:sz w:val="20"/>
                <w:szCs w:val="20"/>
                <w:lang w:eastAsia="fr-FR"/>
              </w:rPr>
              <w:t>approprié pour le stockage des déchets (à plus de 500 m de cours d’eau, sur un terrain à pente nulle, etc.) ;</w:t>
            </w:r>
          </w:p>
          <w:p w14:paraId="7C8A993D"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mettre en place un plan de gestion des déchets de chantier (surtout les déchets dangereux) ;</w:t>
            </w:r>
          </w:p>
          <w:p w14:paraId="6C25BEE8" w14:textId="77777777" w:rsidR="00A9221F" w:rsidRPr="003D4DAA" w:rsidRDefault="00A9221F" w:rsidP="00C511D0">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3D4DAA">
              <w:rPr>
                <w:rFonts w:eastAsia="Times New Roman"/>
                <w:color w:val="auto"/>
                <w:sz w:val="20"/>
                <w:szCs w:val="20"/>
                <w:lang w:eastAsia="fr-FR"/>
              </w:rPr>
              <w:t>former le personnel de l’entreprise en charge des travaux sur la gestion des déchets ;</w:t>
            </w:r>
          </w:p>
          <w:p w14:paraId="7F19ACF5" w14:textId="77777777" w:rsidR="00A9221F" w:rsidRPr="00420C1B" w:rsidRDefault="00A9221F" w:rsidP="00C511D0">
            <w:pPr>
              <w:pStyle w:val="Lgende"/>
              <w:numPr>
                <w:ilvl w:val="0"/>
                <w:numId w:val="14"/>
              </w:numPr>
              <w:autoSpaceDE w:val="0"/>
              <w:autoSpaceDN w:val="0"/>
              <w:adjustRightInd w:val="0"/>
              <w:spacing w:after="0"/>
              <w:ind w:left="216" w:hanging="285"/>
              <w:rPr>
                <w:iCs w:val="0"/>
                <w:color w:val="auto"/>
                <w:sz w:val="20"/>
                <w:szCs w:val="20"/>
              </w:rPr>
            </w:pPr>
            <w:r w:rsidRPr="003D4DAA">
              <w:rPr>
                <w:rFonts w:eastAsia="Times New Roman"/>
                <w:color w:val="auto"/>
                <w:sz w:val="20"/>
                <w:szCs w:val="20"/>
                <w:lang w:eastAsia="fr-FR"/>
              </w:rPr>
              <w:t>interdire formellement aux employés de laver les engins et autres matériels (bétonneuse, brouettes</w:t>
            </w:r>
            <w:r w:rsidRPr="00420C1B">
              <w:rPr>
                <w:iCs w:val="0"/>
                <w:color w:val="auto"/>
                <w:sz w:val="20"/>
                <w:szCs w:val="20"/>
              </w:rPr>
              <w:t xml:space="preserve">, etc.) dans les cours d’eau. </w:t>
            </w:r>
          </w:p>
        </w:tc>
        <w:tc>
          <w:tcPr>
            <w:tcW w:w="423" w:type="pct"/>
            <w:vAlign w:val="center"/>
          </w:tcPr>
          <w:p w14:paraId="170D3BC0"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71B9FB41"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06E8E9E6" w14:textId="77777777" w:rsidR="00A9221F" w:rsidRPr="00420C1B" w:rsidRDefault="00A9221F" w:rsidP="00880524">
            <w:pPr>
              <w:pStyle w:val="Lgende"/>
              <w:numPr>
                <w:ilvl w:val="0"/>
                <w:numId w:val="14"/>
              </w:numPr>
              <w:autoSpaceDE w:val="0"/>
              <w:autoSpaceDN w:val="0"/>
              <w:adjustRightInd w:val="0"/>
              <w:spacing w:after="0"/>
              <w:ind w:left="216" w:hanging="285"/>
              <w:rPr>
                <w:sz w:val="20"/>
                <w:szCs w:val="20"/>
              </w:rPr>
            </w:pPr>
            <w:r w:rsidRPr="00420C1B">
              <w:rPr>
                <w:sz w:val="20"/>
                <w:szCs w:val="20"/>
              </w:rPr>
              <w:t>Aucune trace de déchet de chantier observée dans la zone des travaux et dans la base vie ;</w:t>
            </w:r>
          </w:p>
          <w:p w14:paraId="3061C4A5" w14:textId="77777777" w:rsidR="00A9221F" w:rsidRPr="00420C1B" w:rsidRDefault="00A9221F" w:rsidP="0087475F">
            <w:pPr>
              <w:pStyle w:val="Lgende"/>
              <w:numPr>
                <w:ilvl w:val="0"/>
                <w:numId w:val="14"/>
              </w:numPr>
              <w:autoSpaceDE w:val="0"/>
              <w:autoSpaceDN w:val="0"/>
              <w:adjustRightInd w:val="0"/>
              <w:spacing w:after="0"/>
              <w:ind w:left="216" w:hanging="285"/>
              <w:rPr>
                <w:sz w:val="20"/>
                <w:szCs w:val="20"/>
              </w:rPr>
            </w:pPr>
            <w:r w:rsidRPr="00420C1B">
              <w:rPr>
                <w:sz w:val="20"/>
                <w:szCs w:val="20"/>
              </w:rPr>
              <w:t>Présence effective des bacs à ordures sur le chantier et dans la base vie.</w:t>
            </w:r>
          </w:p>
        </w:tc>
        <w:tc>
          <w:tcPr>
            <w:tcW w:w="382" w:type="pct"/>
            <w:vAlign w:val="center"/>
          </w:tcPr>
          <w:p w14:paraId="5E713334" w14:textId="42999C72" w:rsidR="00A9221F" w:rsidRPr="00420C1B" w:rsidRDefault="00880524" w:rsidP="00215867">
            <w:pPr>
              <w:pStyle w:val="Lgende"/>
              <w:autoSpaceDE w:val="0"/>
              <w:autoSpaceDN w:val="0"/>
              <w:adjustRightInd w:val="0"/>
              <w:spacing w:after="0"/>
              <w:ind w:left="-69"/>
              <w:rPr>
                <w:sz w:val="20"/>
                <w:szCs w:val="20"/>
              </w:rPr>
            </w:pPr>
            <w:r w:rsidRPr="00420C1B">
              <w:rPr>
                <w:sz w:val="20"/>
                <w:szCs w:val="20"/>
              </w:rPr>
              <w:t xml:space="preserve">Avant et Pendant les travaux </w:t>
            </w:r>
          </w:p>
        </w:tc>
      </w:tr>
      <w:tr w:rsidR="00A9221F" w:rsidRPr="00420C1B" w14:paraId="068154B2" w14:textId="695B4B94" w:rsidTr="00215867">
        <w:trPr>
          <w:trHeight w:val="296"/>
          <w:jc w:val="center"/>
        </w:trPr>
        <w:tc>
          <w:tcPr>
            <w:tcW w:w="562" w:type="pct"/>
            <w:vAlign w:val="center"/>
          </w:tcPr>
          <w:p w14:paraId="798CC7AA"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Installation de chantier et de base-vie, présence et mouvement des ouvriers et techniciens</w:t>
            </w:r>
          </w:p>
        </w:tc>
        <w:tc>
          <w:tcPr>
            <w:tcW w:w="231" w:type="pct"/>
            <w:vAlign w:val="center"/>
          </w:tcPr>
          <w:p w14:paraId="28D4BF31"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18</w:t>
            </w:r>
          </w:p>
        </w:tc>
        <w:tc>
          <w:tcPr>
            <w:tcW w:w="400" w:type="pct"/>
            <w:vAlign w:val="center"/>
          </w:tcPr>
          <w:p w14:paraId="04B78D00"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 xml:space="preserve">Population </w:t>
            </w:r>
          </w:p>
        </w:tc>
        <w:tc>
          <w:tcPr>
            <w:tcW w:w="529" w:type="pct"/>
            <w:vAlign w:val="center"/>
          </w:tcPr>
          <w:p w14:paraId="10A8F672"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Risques de dépravation des mœurs (violence faite sur les filles mineures et veuves) et de propagation des MST</w:t>
            </w:r>
          </w:p>
        </w:tc>
        <w:tc>
          <w:tcPr>
            <w:tcW w:w="706" w:type="pct"/>
            <w:vAlign w:val="center"/>
          </w:tcPr>
          <w:p w14:paraId="3D0324CB" w14:textId="7FBBC150" w:rsidR="00A9221F" w:rsidRPr="00420C1B" w:rsidRDefault="00880524"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Réaliser </w:t>
            </w:r>
            <w:r w:rsidR="00A9221F" w:rsidRPr="00420C1B">
              <w:rPr>
                <w:sz w:val="20"/>
                <w:szCs w:val="20"/>
              </w:rPr>
              <w:t>des séances de sensibilisation IST/SIDA, contre les risques et conséquences des VBG, y compris l’EAS/HS et d’éducations envers la communauté, et notamment les groupes plus vulnérables à ces risques, ainsi que auprès le personnel du chantier ;</w:t>
            </w:r>
          </w:p>
          <w:p w14:paraId="3CA74E1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identifier les centres de soutien médical, juridique et psychologique disponibles dans la communauté, et y référer les survivantes des VBG, y compris celles d’EAS/HS ;</w:t>
            </w:r>
          </w:p>
          <w:p w14:paraId="796CD4F3"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exiger l’arrêt des travaux en cas d’un constat de violence sur les personnes vulnérables et les autres membres de la communauté et informer immédiatement le Projet.</w:t>
            </w:r>
          </w:p>
        </w:tc>
        <w:tc>
          <w:tcPr>
            <w:tcW w:w="819" w:type="pct"/>
            <w:vAlign w:val="center"/>
          </w:tcPr>
          <w:p w14:paraId="5F325860" w14:textId="77777777" w:rsidR="00A9221F" w:rsidRPr="00420C1B" w:rsidRDefault="00A9221F" w:rsidP="00C511D0">
            <w:pPr>
              <w:pStyle w:val="Lgende"/>
              <w:numPr>
                <w:ilvl w:val="0"/>
                <w:numId w:val="14"/>
              </w:numPr>
              <w:autoSpaceDE w:val="0"/>
              <w:autoSpaceDN w:val="0"/>
              <w:adjustRightInd w:val="0"/>
              <w:spacing w:after="0"/>
              <w:ind w:left="216" w:hanging="285"/>
              <w:rPr>
                <w:iCs w:val="0"/>
                <w:color w:val="auto"/>
                <w:sz w:val="20"/>
                <w:szCs w:val="20"/>
              </w:rPr>
            </w:pPr>
            <w:r w:rsidRPr="00420C1B">
              <w:rPr>
                <w:sz w:val="20"/>
                <w:szCs w:val="20"/>
              </w:rPr>
              <w:t>Mise en œuvre d’un Plan d’information Education et Communication envers la population et les personnes vulnérables</w:t>
            </w:r>
          </w:p>
        </w:tc>
        <w:tc>
          <w:tcPr>
            <w:tcW w:w="423" w:type="pct"/>
            <w:vAlign w:val="center"/>
          </w:tcPr>
          <w:p w14:paraId="29753C82"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119F14B5"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1EEA1030" w14:textId="77777777" w:rsidR="00A9221F" w:rsidRPr="00EB0E4A" w:rsidRDefault="00A9221F" w:rsidP="00C511D0">
            <w:pPr>
              <w:numPr>
                <w:ilvl w:val="0"/>
                <w:numId w:val="14"/>
              </w:numPr>
              <w:spacing w:after="0" w:line="240" w:lineRule="auto"/>
              <w:contextualSpacing/>
              <w:rPr>
                <w:rFonts w:ascii="Times New Roman" w:hAnsi="Times New Roman"/>
                <w:sz w:val="20"/>
                <w:szCs w:val="20"/>
              </w:rPr>
            </w:pPr>
            <w:r w:rsidRPr="003D4DAA">
              <w:rPr>
                <w:rFonts w:ascii="Times New Roman" w:hAnsi="Times New Roman"/>
                <w:sz w:val="20"/>
                <w:szCs w:val="20"/>
              </w:rPr>
              <w:t xml:space="preserve">100% de plaintes enregistrées sur </w:t>
            </w:r>
            <w:r w:rsidRPr="005E3249">
              <w:rPr>
                <w:rFonts w:ascii="Times New Roman" w:hAnsi="Times New Roman"/>
                <w:sz w:val="20"/>
                <w:szCs w:val="20"/>
              </w:rPr>
              <w:t>l’EAS/HS</w:t>
            </w:r>
            <w:r w:rsidRPr="000B1F83">
              <w:rPr>
                <w:rFonts w:ascii="Times New Roman" w:hAnsi="Times New Roman"/>
                <w:sz w:val="20"/>
                <w:szCs w:val="20"/>
              </w:rPr>
              <w:t xml:space="preserve"> et sur les IST/SIDA sont traitées.</w:t>
            </w:r>
          </w:p>
          <w:p w14:paraId="147BD044" w14:textId="77777777" w:rsidR="00A9221F" w:rsidRPr="00B9532B" w:rsidRDefault="00A9221F" w:rsidP="00C511D0">
            <w:pPr>
              <w:numPr>
                <w:ilvl w:val="0"/>
                <w:numId w:val="14"/>
              </w:numPr>
              <w:spacing w:after="0" w:line="240" w:lineRule="auto"/>
              <w:contextualSpacing/>
              <w:rPr>
                <w:rFonts w:ascii="Times New Roman" w:hAnsi="Times New Roman"/>
                <w:sz w:val="20"/>
                <w:szCs w:val="20"/>
              </w:rPr>
            </w:pPr>
            <w:r w:rsidRPr="00EB0E4A">
              <w:rPr>
                <w:rFonts w:ascii="Times New Roman" w:hAnsi="Times New Roman"/>
                <w:sz w:val="20"/>
                <w:szCs w:val="20"/>
              </w:rPr>
              <w:t>100% survivant(e)s ont été prise en charge (médical, p</w:t>
            </w:r>
            <w:r w:rsidRPr="00B9532B">
              <w:rPr>
                <w:rFonts w:ascii="Times New Roman" w:hAnsi="Times New Roman"/>
                <w:sz w:val="20"/>
                <w:szCs w:val="20"/>
              </w:rPr>
              <w:t>sychologique et judicaire/juridique)</w:t>
            </w:r>
          </w:p>
          <w:p w14:paraId="6CF17779" w14:textId="77777777" w:rsidR="00A9221F" w:rsidRPr="00B9532B" w:rsidRDefault="00A9221F" w:rsidP="00C511D0">
            <w:pPr>
              <w:pStyle w:val="Paragraphedeliste"/>
              <w:numPr>
                <w:ilvl w:val="0"/>
                <w:numId w:val="14"/>
              </w:numPr>
              <w:rPr>
                <w:rFonts w:ascii="Times New Roman" w:hAnsi="Times New Roman"/>
                <w:sz w:val="20"/>
                <w:szCs w:val="20"/>
              </w:rPr>
            </w:pPr>
            <w:r w:rsidRPr="00B9532B">
              <w:rPr>
                <w:rFonts w:ascii="Times New Roman" w:hAnsi="Times New Roman"/>
                <w:sz w:val="20"/>
                <w:szCs w:val="20"/>
              </w:rPr>
              <w:t>100% des sensibilisations réalisées</w:t>
            </w:r>
          </w:p>
        </w:tc>
        <w:tc>
          <w:tcPr>
            <w:tcW w:w="382" w:type="pct"/>
            <w:vAlign w:val="center"/>
          </w:tcPr>
          <w:p w14:paraId="6E6F5690" w14:textId="60499EC6" w:rsidR="00A9221F" w:rsidRPr="003D4DAA" w:rsidRDefault="0087475F" w:rsidP="00215867">
            <w:pPr>
              <w:spacing w:after="0" w:line="240" w:lineRule="auto"/>
              <w:contextualSpacing/>
              <w:rPr>
                <w:rFonts w:ascii="Times New Roman" w:hAnsi="Times New Roman"/>
                <w:sz w:val="20"/>
                <w:szCs w:val="20"/>
              </w:rPr>
            </w:pPr>
            <w:r>
              <w:rPr>
                <w:rFonts w:ascii="Times New Roman" w:hAnsi="Times New Roman"/>
                <w:sz w:val="20"/>
                <w:szCs w:val="20"/>
              </w:rPr>
              <w:t xml:space="preserve">Avant et pendant les travaux </w:t>
            </w:r>
          </w:p>
        </w:tc>
      </w:tr>
      <w:tr w:rsidR="00A9221F" w:rsidRPr="00420C1B" w14:paraId="59DBF85A" w14:textId="4058BE6F" w:rsidTr="00215867">
        <w:trPr>
          <w:trHeight w:val="296"/>
          <w:jc w:val="center"/>
        </w:trPr>
        <w:tc>
          <w:tcPr>
            <w:tcW w:w="562" w:type="pct"/>
            <w:vAlign w:val="center"/>
          </w:tcPr>
          <w:p w14:paraId="14B0396C"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Transport et circulation de la machinerie et matériaux, tirage des câbles, fouilles et installation des poteaux</w:t>
            </w:r>
          </w:p>
        </w:tc>
        <w:tc>
          <w:tcPr>
            <w:tcW w:w="231" w:type="pct"/>
            <w:vAlign w:val="center"/>
          </w:tcPr>
          <w:p w14:paraId="4797AE7D"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19</w:t>
            </w:r>
          </w:p>
        </w:tc>
        <w:tc>
          <w:tcPr>
            <w:tcW w:w="400" w:type="pct"/>
            <w:vMerge w:val="restart"/>
            <w:vAlign w:val="center"/>
          </w:tcPr>
          <w:p w14:paraId="210DCB7A" w14:textId="51253A69" w:rsidR="00A9221F" w:rsidRPr="00420C1B" w:rsidRDefault="0087475F" w:rsidP="00C61D9D">
            <w:pPr>
              <w:spacing w:after="0" w:line="240" w:lineRule="auto"/>
              <w:rPr>
                <w:rFonts w:ascii="Times New Roman" w:hAnsi="Times New Roman"/>
                <w:sz w:val="20"/>
                <w:szCs w:val="20"/>
              </w:rPr>
            </w:pPr>
            <w:r w:rsidRPr="00420C1B">
              <w:rPr>
                <w:rFonts w:ascii="Times New Roman" w:hAnsi="Times New Roman"/>
                <w:sz w:val="20"/>
                <w:szCs w:val="20"/>
              </w:rPr>
              <w:t xml:space="preserve">Humain </w:t>
            </w:r>
          </w:p>
        </w:tc>
        <w:tc>
          <w:tcPr>
            <w:tcW w:w="529" w:type="pct"/>
            <w:vAlign w:val="center"/>
          </w:tcPr>
          <w:p w14:paraId="2943C789"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 xml:space="preserve">risque d’accidents  </w:t>
            </w:r>
          </w:p>
        </w:tc>
        <w:tc>
          <w:tcPr>
            <w:tcW w:w="706" w:type="pct"/>
            <w:vAlign w:val="center"/>
          </w:tcPr>
          <w:p w14:paraId="284A9FCC" w14:textId="77777777" w:rsidR="00A9221F" w:rsidRPr="00420C1B" w:rsidRDefault="00A9221F" w:rsidP="0087475F">
            <w:pPr>
              <w:pStyle w:val="Lgende"/>
              <w:numPr>
                <w:ilvl w:val="0"/>
                <w:numId w:val="14"/>
              </w:numPr>
              <w:autoSpaceDE w:val="0"/>
              <w:autoSpaceDN w:val="0"/>
              <w:adjustRightInd w:val="0"/>
              <w:spacing w:after="0"/>
              <w:ind w:left="216" w:hanging="285"/>
              <w:rPr>
                <w:sz w:val="20"/>
                <w:szCs w:val="20"/>
              </w:rPr>
            </w:pPr>
            <w:r w:rsidRPr="00420C1B">
              <w:rPr>
                <w:sz w:val="20"/>
                <w:szCs w:val="20"/>
              </w:rPr>
              <w:t>mettre en place des panneaux de limitation de vitesse et des ralentisseurs à l’entrée et à la sortie des agglomérations</w:t>
            </w:r>
          </w:p>
          <w:p w14:paraId="51E12475" w14:textId="624F3964"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procéder à une IEC en direction des ouvriers et des populations riveraines au site des travaux ;</w:t>
            </w:r>
          </w:p>
          <w:p w14:paraId="4540840E"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Exiger le port des Equipement de Protection Individuelle (EPI).</w:t>
            </w:r>
          </w:p>
        </w:tc>
        <w:tc>
          <w:tcPr>
            <w:tcW w:w="819" w:type="pct"/>
            <w:vAlign w:val="center"/>
          </w:tcPr>
          <w:p w14:paraId="5716E7F9" w14:textId="77777777" w:rsidR="00A9221F" w:rsidRPr="00420C1B" w:rsidRDefault="00A9221F" w:rsidP="00CF7B89">
            <w:pPr>
              <w:pStyle w:val="Lgende"/>
              <w:numPr>
                <w:ilvl w:val="0"/>
                <w:numId w:val="14"/>
              </w:numPr>
              <w:autoSpaceDE w:val="0"/>
              <w:autoSpaceDN w:val="0"/>
              <w:adjustRightInd w:val="0"/>
              <w:spacing w:after="0"/>
              <w:ind w:left="216" w:hanging="285"/>
              <w:rPr>
                <w:iCs w:val="0"/>
                <w:color w:val="auto"/>
                <w:sz w:val="20"/>
                <w:szCs w:val="20"/>
              </w:rPr>
            </w:pPr>
            <w:r w:rsidRPr="00420C1B">
              <w:rPr>
                <w:sz w:val="20"/>
                <w:szCs w:val="20"/>
              </w:rPr>
              <w:t>Mise en œuvre d’un Plan d’Information Education Communication (PIEC) sur les risques d’accident en direction des ouvriers et des populations riveraines au site des travaux. Soumission et mise en œuvre  par les entreprises des plans de circulation incluant les circulations techniques sur les chantiers. Ces plans préciseront : (1) les itinéraires de remplacement de la circulation générale, des transports en commun et des piétons ; (2) les dispositifs de déviation du trafic (barrière, signalisation, etc.) ; (3) les circulations et lieux de stationnement des véhicules sur les chantiers</w:t>
            </w:r>
          </w:p>
        </w:tc>
        <w:tc>
          <w:tcPr>
            <w:tcW w:w="423" w:type="pct"/>
            <w:vAlign w:val="center"/>
          </w:tcPr>
          <w:p w14:paraId="24CE21F6" w14:textId="77777777" w:rsidR="00A9221F" w:rsidRPr="00215867" w:rsidRDefault="00A9221F" w:rsidP="00A6086C">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12F9A06E" w14:textId="77777777" w:rsidR="00A9221F" w:rsidRPr="00215867" w:rsidRDefault="00A9221F" w:rsidP="002A550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0D8C4912" w14:textId="77777777" w:rsidR="00A9221F" w:rsidRPr="00420C1B" w:rsidRDefault="00A9221F" w:rsidP="00EB3757">
            <w:pPr>
              <w:pStyle w:val="Lgende"/>
              <w:numPr>
                <w:ilvl w:val="0"/>
                <w:numId w:val="14"/>
              </w:numPr>
              <w:autoSpaceDE w:val="0"/>
              <w:autoSpaceDN w:val="0"/>
              <w:adjustRightInd w:val="0"/>
              <w:spacing w:after="0"/>
              <w:ind w:left="216" w:hanging="285"/>
              <w:rPr>
                <w:sz w:val="20"/>
                <w:szCs w:val="20"/>
              </w:rPr>
            </w:pPr>
            <w:r w:rsidRPr="00420C1B">
              <w:rPr>
                <w:sz w:val="20"/>
                <w:szCs w:val="20"/>
              </w:rPr>
              <w:t>100% des personnes victimes d’accidents sont prises en charge</w:t>
            </w:r>
          </w:p>
        </w:tc>
        <w:tc>
          <w:tcPr>
            <w:tcW w:w="382" w:type="pct"/>
            <w:vAlign w:val="center"/>
          </w:tcPr>
          <w:p w14:paraId="278E865C" w14:textId="0995A37F" w:rsidR="00A9221F" w:rsidRPr="00420C1B" w:rsidRDefault="0087475F" w:rsidP="00215867">
            <w:pPr>
              <w:pStyle w:val="Lgende"/>
              <w:autoSpaceDE w:val="0"/>
              <w:autoSpaceDN w:val="0"/>
              <w:adjustRightInd w:val="0"/>
              <w:spacing w:after="0"/>
              <w:ind w:left="-69"/>
              <w:rPr>
                <w:sz w:val="20"/>
                <w:szCs w:val="20"/>
              </w:rPr>
            </w:pPr>
            <w:r w:rsidRPr="00420C1B">
              <w:rPr>
                <w:sz w:val="20"/>
                <w:szCs w:val="20"/>
              </w:rPr>
              <w:t>Pendant l’exécution des travaux</w:t>
            </w:r>
          </w:p>
        </w:tc>
      </w:tr>
      <w:tr w:rsidR="00A9221F" w:rsidRPr="00420C1B" w14:paraId="4A204C77" w14:textId="21C54FB1" w:rsidTr="00215867">
        <w:trPr>
          <w:trHeight w:val="296"/>
          <w:jc w:val="center"/>
        </w:trPr>
        <w:tc>
          <w:tcPr>
            <w:tcW w:w="562" w:type="pct"/>
            <w:vAlign w:val="center"/>
          </w:tcPr>
          <w:p w14:paraId="58F3A78D"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Approvisionnement, stockage, distribution et consommation des hydrocarbures (déversement d’hydrocarbure et production de déchet)</w:t>
            </w:r>
          </w:p>
        </w:tc>
        <w:tc>
          <w:tcPr>
            <w:tcW w:w="231" w:type="pct"/>
            <w:vAlign w:val="center"/>
          </w:tcPr>
          <w:p w14:paraId="166FB6C6"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20</w:t>
            </w:r>
          </w:p>
        </w:tc>
        <w:tc>
          <w:tcPr>
            <w:tcW w:w="400" w:type="pct"/>
            <w:vMerge/>
            <w:vAlign w:val="center"/>
          </w:tcPr>
          <w:p w14:paraId="56C388A5" w14:textId="77777777" w:rsidR="00A9221F" w:rsidRPr="00420C1B" w:rsidRDefault="00A9221F" w:rsidP="00C61D9D">
            <w:pPr>
              <w:spacing w:after="0" w:line="240" w:lineRule="auto"/>
              <w:jc w:val="center"/>
              <w:rPr>
                <w:rFonts w:ascii="Times New Roman" w:hAnsi="Times New Roman"/>
                <w:sz w:val="20"/>
                <w:szCs w:val="20"/>
              </w:rPr>
            </w:pPr>
          </w:p>
        </w:tc>
        <w:tc>
          <w:tcPr>
            <w:tcW w:w="529" w:type="pct"/>
            <w:vAlign w:val="center"/>
          </w:tcPr>
          <w:p w14:paraId="265DFD0E"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Risque de maladies </w:t>
            </w:r>
          </w:p>
        </w:tc>
        <w:tc>
          <w:tcPr>
            <w:tcW w:w="706" w:type="pct"/>
            <w:vAlign w:val="center"/>
          </w:tcPr>
          <w:p w14:paraId="7EC1D72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gérer les déchets de chantier surtout les déchets dangereux ;</w:t>
            </w:r>
          </w:p>
          <w:p w14:paraId="6D66ED0B"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aménager et stabiliser les aires de vidange afin de les imperméabiliser ;</w:t>
            </w:r>
          </w:p>
          <w:p w14:paraId="20A0B9F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recueillir les huiles usées dans des contenants étanches en vue de leur recyclage ou réutilisation ;</w:t>
            </w:r>
          </w:p>
          <w:p w14:paraId="510AA254" w14:textId="77777777" w:rsidR="00A9221F" w:rsidRPr="00420C1B" w:rsidRDefault="00A9221F" w:rsidP="00C511D0">
            <w:pPr>
              <w:pStyle w:val="Lgende"/>
              <w:numPr>
                <w:ilvl w:val="0"/>
                <w:numId w:val="14"/>
              </w:numPr>
              <w:autoSpaceDE w:val="0"/>
              <w:autoSpaceDN w:val="0"/>
              <w:adjustRightInd w:val="0"/>
              <w:spacing w:after="0"/>
              <w:ind w:left="216" w:hanging="285"/>
              <w:rPr>
                <w:color w:val="auto"/>
                <w:sz w:val="20"/>
                <w:szCs w:val="20"/>
              </w:rPr>
            </w:pPr>
            <w:r w:rsidRPr="00420C1B">
              <w:rPr>
                <w:sz w:val="20"/>
                <w:szCs w:val="20"/>
              </w:rPr>
              <w:t>aménager les bassins de rétention pour le stockage des hydrocarbures, conformément aux normes en la matière.</w:t>
            </w:r>
          </w:p>
        </w:tc>
        <w:tc>
          <w:tcPr>
            <w:tcW w:w="819" w:type="pct"/>
            <w:vAlign w:val="center"/>
          </w:tcPr>
          <w:p w14:paraId="20023E71" w14:textId="77777777" w:rsidR="00A9221F" w:rsidRPr="00420C1B" w:rsidRDefault="00A9221F" w:rsidP="0087475F">
            <w:pPr>
              <w:pStyle w:val="Lgende"/>
              <w:numPr>
                <w:ilvl w:val="0"/>
                <w:numId w:val="14"/>
              </w:numPr>
              <w:autoSpaceDE w:val="0"/>
              <w:autoSpaceDN w:val="0"/>
              <w:adjustRightInd w:val="0"/>
              <w:spacing w:after="0"/>
              <w:ind w:left="216" w:hanging="285"/>
              <w:rPr>
                <w:iCs w:val="0"/>
                <w:color w:val="auto"/>
                <w:sz w:val="20"/>
                <w:szCs w:val="20"/>
              </w:rPr>
            </w:pPr>
            <w:r w:rsidRPr="00420C1B">
              <w:rPr>
                <w:sz w:val="20"/>
                <w:szCs w:val="20"/>
              </w:rPr>
              <w:t>Mise en œuvre d’un Plan de gestion des déchets solides et liquides</w:t>
            </w:r>
          </w:p>
        </w:tc>
        <w:tc>
          <w:tcPr>
            <w:tcW w:w="423" w:type="pct"/>
            <w:vAlign w:val="center"/>
          </w:tcPr>
          <w:p w14:paraId="11224B4C" w14:textId="77777777" w:rsidR="00A9221F" w:rsidRPr="00215867" w:rsidRDefault="00A9221F" w:rsidP="0087475F">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6BAF58B5" w14:textId="77777777" w:rsidR="00A9221F" w:rsidRPr="00215867" w:rsidRDefault="00A9221F" w:rsidP="00CF7B8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40EAF723"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100% des séances de sensibilisation ont été réalisées </w:t>
            </w:r>
          </w:p>
          <w:p w14:paraId="1117DC66"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100% des travailleurs portent leurs EPI </w:t>
            </w:r>
          </w:p>
          <w:p w14:paraId="5B6EF0FF" w14:textId="77777777" w:rsidR="00A9221F" w:rsidRPr="00420C1B" w:rsidRDefault="00A9221F" w:rsidP="00A6086C">
            <w:pPr>
              <w:pStyle w:val="Lgende"/>
              <w:numPr>
                <w:ilvl w:val="0"/>
                <w:numId w:val="14"/>
              </w:numPr>
              <w:autoSpaceDE w:val="0"/>
              <w:autoSpaceDN w:val="0"/>
              <w:adjustRightInd w:val="0"/>
              <w:spacing w:after="0"/>
              <w:ind w:left="216" w:hanging="285"/>
              <w:rPr>
                <w:sz w:val="20"/>
                <w:szCs w:val="20"/>
              </w:rPr>
            </w:pPr>
            <w:r w:rsidRPr="00420C1B">
              <w:rPr>
                <w:sz w:val="20"/>
                <w:szCs w:val="20"/>
              </w:rPr>
              <w:t>0% plaintes enregistrées</w:t>
            </w:r>
          </w:p>
        </w:tc>
        <w:tc>
          <w:tcPr>
            <w:tcW w:w="382" w:type="pct"/>
            <w:vAlign w:val="center"/>
          </w:tcPr>
          <w:p w14:paraId="298EEBBB" w14:textId="525B8C72" w:rsidR="00A9221F" w:rsidRPr="00420C1B" w:rsidRDefault="0087475F" w:rsidP="00215867">
            <w:pPr>
              <w:pStyle w:val="Lgende"/>
              <w:autoSpaceDE w:val="0"/>
              <w:autoSpaceDN w:val="0"/>
              <w:adjustRightInd w:val="0"/>
              <w:spacing w:after="0"/>
              <w:ind w:left="-69"/>
              <w:rPr>
                <w:sz w:val="20"/>
                <w:szCs w:val="20"/>
              </w:rPr>
            </w:pPr>
            <w:r w:rsidRPr="00420C1B">
              <w:rPr>
                <w:sz w:val="20"/>
                <w:szCs w:val="20"/>
              </w:rPr>
              <w:t xml:space="preserve">Pendant et après les travaux </w:t>
            </w:r>
          </w:p>
        </w:tc>
      </w:tr>
      <w:tr w:rsidR="00A9221F" w:rsidRPr="00420C1B" w14:paraId="493B8E79" w14:textId="6AF621C6" w:rsidTr="00215867">
        <w:trPr>
          <w:trHeight w:val="296"/>
          <w:jc w:val="center"/>
        </w:trPr>
        <w:tc>
          <w:tcPr>
            <w:tcW w:w="562" w:type="pct"/>
            <w:vAlign w:val="center"/>
          </w:tcPr>
          <w:p w14:paraId="41C96D2B"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 xml:space="preserve">Recrutement du personnel du chantier  </w:t>
            </w:r>
          </w:p>
        </w:tc>
        <w:tc>
          <w:tcPr>
            <w:tcW w:w="231" w:type="pct"/>
            <w:vAlign w:val="center"/>
          </w:tcPr>
          <w:p w14:paraId="676DEE6C"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21</w:t>
            </w:r>
          </w:p>
        </w:tc>
        <w:tc>
          <w:tcPr>
            <w:tcW w:w="400" w:type="pct"/>
            <w:vMerge w:val="restart"/>
            <w:vAlign w:val="center"/>
          </w:tcPr>
          <w:p w14:paraId="7F60A356" w14:textId="70F711BF" w:rsidR="00A9221F" w:rsidRPr="00420C1B" w:rsidRDefault="0087475F" w:rsidP="00C61D9D">
            <w:pPr>
              <w:spacing w:after="0" w:line="240" w:lineRule="auto"/>
              <w:rPr>
                <w:rFonts w:ascii="Times New Roman" w:hAnsi="Times New Roman"/>
                <w:sz w:val="20"/>
                <w:szCs w:val="20"/>
              </w:rPr>
            </w:pPr>
            <w:r w:rsidRPr="00420C1B">
              <w:rPr>
                <w:rFonts w:ascii="Times New Roman" w:hAnsi="Times New Roman"/>
                <w:sz w:val="20"/>
                <w:szCs w:val="20"/>
              </w:rPr>
              <w:t xml:space="preserve">Humain </w:t>
            </w:r>
            <w:r w:rsidR="00A9221F" w:rsidRPr="00420C1B">
              <w:rPr>
                <w:rFonts w:ascii="Times New Roman" w:hAnsi="Times New Roman"/>
                <w:sz w:val="20"/>
                <w:szCs w:val="20"/>
              </w:rPr>
              <w:t xml:space="preserve"> </w:t>
            </w:r>
          </w:p>
        </w:tc>
        <w:tc>
          <w:tcPr>
            <w:tcW w:w="529" w:type="pct"/>
            <w:vAlign w:val="center"/>
          </w:tcPr>
          <w:p w14:paraId="39670EFB"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Conflits entre les populations locales et le personnel du chantier</w:t>
            </w:r>
          </w:p>
        </w:tc>
        <w:tc>
          <w:tcPr>
            <w:tcW w:w="706" w:type="pct"/>
            <w:vAlign w:val="center"/>
          </w:tcPr>
          <w:p w14:paraId="41B68CDF" w14:textId="6F3A70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Mise en œuvre d’un Plan de recrutement du personnel et un mécanisme de gestion des </w:t>
            </w:r>
            <w:r w:rsidR="0087475F" w:rsidRPr="00420C1B">
              <w:rPr>
                <w:sz w:val="20"/>
                <w:szCs w:val="20"/>
              </w:rPr>
              <w:t xml:space="preserve">plaintes et </w:t>
            </w:r>
            <w:r w:rsidRPr="00420C1B">
              <w:rPr>
                <w:sz w:val="20"/>
                <w:szCs w:val="20"/>
              </w:rPr>
              <w:t>conflits ;</w:t>
            </w:r>
          </w:p>
          <w:p w14:paraId="1347311D"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Se conformer aux procédures de gestion de la main d’œuvre élaborée dans le cadre du projet.</w:t>
            </w:r>
          </w:p>
        </w:tc>
        <w:tc>
          <w:tcPr>
            <w:tcW w:w="819" w:type="pct"/>
          </w:tcPr>
          <w:p w14:paraId="2D33E0CE"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recruter en priorité la main d’œuvre locale pour les emplois non qualifiés ; </w:t>
            </w:r>
          </w:p>
          <w:p w14:paraId="3A440C5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un système transparent de recrutement ;</w:t>
            </w:r>
          </w:p>
          <w:p w14:paraId="5F992BDB"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informer et sensibiliser les populations locales ;</w:t>
            </w:r>
          </w:p>
          <w:p w14:paraId="123465C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élaborer et mettre en œuvre un mécanisme de gestion des plaintes sensible à l’EAS/HS ;</w:t>
            </w:r>
          </w:p>
          <w:p w14:paraId="7F302D8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sensibiliser le personnel de chantier sur le respect des us et coutumes des populations locales conformément à la loi.</w:t>
            </w:r>
          </w:p>
        </w:tc>
        <w:tc>
          <w:tcPr>
            <w:tcW w:w="423" w:type="pct"/>
            <w:vAlign w:val="center"/>
          </w:tcPr>
          <w:p w14:paraId="764F3F0C" w14:textId="77777777" w:rsidR="00A9221F" w:rsidRPr="00215867" w:rsidRDefault="00A9221F" w:rsidP="0087475F">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vAlign w:val="center"/>
          </w:tcPr>
          <w:p w14:paraId="5932B99A" w14:textId="77777777" w:rsidR="00A9221F" w:rsidRPr="00215867" w:rsidRDefault="00A9221F" w:rsidP="00CF7B8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vAlign w:val="center"/>
          </w:tcPr>
          <w:p w14:paraId="0A0727BC"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100% des ouvriers non qualifiés sont recrutés localement ;</w:t>
            </w:r>
          </w:p>
          <w:p w14:paraId="4F8C0228"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0% plaintes enregistrées en rapport avec le recrutement</w:t>
            </w:r>
          </w:p>
        </w:tc>
        <w:tc>
          <w:tcPr>
            <w:tcW w:w="382" w:type="pct"/>
            <w:vAlign w:val="center"/>
          </w:tcPr>
          <w:p w14:paraId="7F7A95A6" w14:textId="40AC5534" w:rsidR="00A9221F" w:rsidRPr="00420C1B" w:rsidRDefault="0087475F" w:rsidP="00215867">
            <w:pPr>
              <w:pStyle w:val="Lgende"/>
              <w:autoSpaceDE w:val="0"/>
              <w:autoSpaceDN w:val="0"/>
              <w:adjustRightInd w:val="0"/>
              <w:spacing w:after="0"/>
              <w:ind w:left="-69"/>
              <w:rPr>
                <w:sz w:val="20"/>
                <w:szCs w:val="20"/>
              </w:rPr>
            </w:pPr>
            <w:r w:rsidRPr="00420C1B">
              <w:rPr>
                <w:sz w:val="20"/>
                <w:szCs w:val="20"/>
              </w:rPr>
              <w:t xml:space="preserve">Avant et pendant les travaux </w:t>
            </w:r>
          </w:p>
        </w:tc>
      </w:tr>
      <w:tr w:rsidR="00A9221F" w:rsidRPr="00420C1B" w14:paraId="54599541" w14:textId="1CCBF0BA" w:rsidTr="00215867">
        <w:trPr>
          <w:trHeight w:val="4413"/>
          <w:jc w:val="center"/>
        </w:trPr>
        <w:tc>
          <w:tcPr>
            <w:tcW w:w="562" w:type="pct"/>
            <w:tcBorders>
              <w:bottom w:val="single" w:sz="4" w:space="0" w:color="auto"/>
            </w:tcBorders>
            <w:vAlign w:val="center"/>
          </w:tcPr>
          <w:p w14:paraId="7A3E1A25"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 xml:space="preserve">Installation des compteurs prépayés chez les nouveaux abonnés  </w:t>
            </w:r>
          </w:p>
        </w:tc>
        <w:tc>
          <w:tcPr>
            <w:tcW w:w="231" w:type="pct"/>
            <w:tcBorders>
              <w:bottom w:val="single" w:sz="4" w:space="0" w:color="auto"/>
            </w:tcBorders>
            <w:vAlign w:val="center"/>
          </w:tcPr>
          <w:p w14:paraId="3B7E04EA"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22</w:t>
            </w:r>
          </w:p>
        </w:tc>
        <w:tc>
          <w:tcPr>
            <w:tcW w:w="400" w:type="pct"/>
            <w:vMerge/>
            <w:tcBorders>
              <w:bottom w:val="single" w:sz="4" w:space="0" w:color="auto"/>
            </w:tcBorders>
            <w:vAlign w:val="center"/>
          </w:tcPr>
          <w:p w14:paraId="6C8F4811" w14:textId="77777777" w:rsidR="00A9221F" w:rsidRPr="00420C1B" w:rsidRDefault="00A9221F" w:rsidP="00C61D9D">
            <w:pPr>
              <w:spacing w:after="0" w:line="240" w:lineRule="auto"/>
              <w:jc w:val="center"/>
              <w:rPr>
                <w:rFonts w:ascii="Times New Roman" w:hAnsi="Times New Roman"/>
                <w:sz w:val="20"/>
                <w:szCs w:val="20"/>
              </w:rPr>
            </w:pPr>
          </w:p>
        </w:tc>
        <w:tc>
          <w:tcPr>
            <w:tcW w:w="529" w:type="pct"/>
            <w:tcBorders>
              <w:bottom w:val="single" w:sz="4" w:space="0" w:color="auto"/>
            </w:tcBorders>
            <w:vAlign w:val="center"/>
          </w:tcPr>
          <w:p w14:paraId="4FCCA3D1"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Risques d’électrocution</w:t>
            </w:r>
          </w:p>
        </w:tc>
        <w:tc>
          <w:tcPr>
            <w:tcW w:w="706" w:type="pct"/>
            <w:tcBorders>
              <w:bottom w:val="single" w:sz="4" w:space="0" w:color="auto"/>
            </w:tcBorders>
            <w:vAlign w:val="center"/>
          </w:tcPr>
          <w:p w14:paraId="78B57B7D"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des liaisons équipotentielles pour limiter les risques d’électrocution et d’électrisation ;</w:t>
            </w:r>
          </w:p>
          <w:p w14:paraId="654F6032"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Equiper les installations d’un disjoncteur différentiel afin de limiter les risques d’électrisation et d’électrocution ;</w:t>
            </w:r>
          </w:p>
          <w:p w14:paraId="312A4CA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Conseiller aux ménages de disposer d’une mise à la terre appropriée pour leur installation.</w:t>
            </w:r>
          </w:p>
        </w:tc>
        <w:tc>
          <w:tcPr>
            <w:tcW w:w="819" w:type="pct"/>
            <w:tcBorders>
              <w:bottom w:val="single" w:sz="4" w:space="0" w:color="auto"/>
            </w:tcBorders>
          </w:tcPr>
          <w:p w14:paraId="3ECCAC5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sensibiliser la population sur les risques électriques liés aux branchements illicites et vol d’électricité ; </w:t>
            </w:r>
          </w:p>
          <w:p w14:paraId="4CFC6C7B"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élaborer et distribuer aux populations les manuels de bonne utilisation de l’énergie électrique et organiser des séances de sensibilisation sur les bonnes pratiques de l’utilisation du courant électrique ;</w:t>
            </w:r>
          </w:p>
          <w:p w14:paraId="0ADA9396"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enregistrer et prendre en charge des cas d’accidents déclarés liés à l’électricité dans les centres de santé des communes cibles.</w:t>
            </w:r>
          </w:p>
        </w:tc>
        <w:tc>
          <w:tcPr>
            <w:tcW w:w="423" w:type="pct"/>
            <w:tcBorders>
              <w:bottom w:val="single" w:sz="4" w:space="0" w:color="auto"/>
            </w:tcBorders>
            <w:vAlign w:val="center"/>
          </w:tcPr>
          <w:p w14:paraId="7E5CA05B" w14:textId="77777777" w:rsidR="00A9221F" w:rsidRPr="00215867" w:rsidRDefault="00A9221F" w:rsidP="0087475F">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Borders>
              <w:bottom w:val="single" w:sz="4" w:space="0" w:color="auto"/>
            </w:tcBorders>
            <w:vAlign w:val="center"/>
          </w:tcPr>
          <w:p w14:paraId="4280AC1C" w14:textId="77777777" w:rsidR="00A9221F" w:rsidRPr="00215867" w:rsidRDefault="00A9221F" w:rsidP="00CF7B8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Borders>
              <w:bottom w:val="single" w:sz="4" w:space="0" w:color="auto"/>
            </w:tcBorders>
            <w:vAlign w:val="center"/>
          </w:tcPr>
          <w:p w14:paraId="5D577AF9"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100% de manuel de sensibilisation distribués ;  </w:t>
            </w:r>
          </w:p>
          <w:p w14:paraId="00158345" w14:textId="77777777" w:rsidR="00A9221F" w:rsidRPr="00420C1B" w:rsidRDefault="00A9221F" w:rsidP="00CF7B89">
            <w:pPr>
              <w:pStyle w:val="Lgende"/>
              <w:numPr>
                <w:ilvl w:val="0"/>
                <w:numId w:val="14"/>
              </w:numPr>
              <w:autoSpaceDE w:val="0"/>
              <w:autoSpaceDN w:val="0"/>
              <w:adjustRightInd w:val="0"/>
              <w:spacing w:after="0"/>
              <w:ind w:left="216" w:hanging="285"/>
              <w:rPr>
                <w:sz w:val="20"/>
                <w:szCs w:val="20"/>
              </w:rPr>
            </w:pPr>
            <w:r w:rsidRPr="00420C1B">
              <w:rPr>
                <w:sz w:val="20"/>
                <w:szCs w:val="20"/>
              </w:rPr>
              <w:t>0 cas d’électrocution déclarés par trimestre pendant trois (3) ans</w:t>
            </w:r>
          </w:p>
        </w:tc>
        <w:tc>
          <w:tcPr>
            <w:tcW w:w="382" w:type="pct"/>
            <w:tcBorders>
              <w:bottom w:val="single" w:sz="4" w:space="0" w:color="auto"/>
            </w:tcBorders>
            <w:vAlign w:val="center"/>
          </w:tcPr>
          <w:p w14:paraId="56DEC6F1" w14:textId="1130A66B" w:rsidR="00A9221F" w:rsidRPr="00420C1B" w:rsidRDefault="0087475F" w:rsidP="00215867">
            <w:pPr>
              <w:pStyle w:val="Lgende"/>
              <w:autoSpaceDE w:val="0"/>
              <w:autoSpaceDN w:val="0"/>
              <w:adjustRightInd w:val="0"/>
              <w:spacing w:after="0"/>
              <w:ind w:left="-69"/>
              <w:rPr>
                <w:sz w:val="20"/>
                <w:szCs w:val="20"/>
              </w:rPr>
            </w:pPr>
            <w:r w:rsidRPr="00420C1B">
              <w:rPr>
                <w:sz w:val="20"/>
                <w:szCs w:val="20"/>
              </w:rPr>
              <w:t xml:space="preserve">Pendant les travaux </w:t>
            </w:r>
          </w:p>
        </w:tc>
      </w:tr>
      <w:tr w:rsidR="00A9221F" w:rsidRPr="00420C1B" w14:paraId="0D769EC4" w14:textId="3B82EE4F" w:rsidTr="0087475F">
        <w:trPr>
          <w:trHeight w:val="356"/>
          <w:jc w:val="center"/>
        </w:trPr>
        <w:tc>
          <w:tcPr>
            <w:tcW w:w="562" w:type="pct"/>
            <w:tcBorders>
              <w:bottom w:val="single" w:sz="4" w:space="0" w:color="auto"/>
            </w:tcBorders>
            <w:vAlign w:val="center"/>
          </w:tcPr>
          <w:p w14:paraId="55113994"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lang w:val="fr-CD"/>
              </w:rPr>
              <w:t>Libération des emprises du projet</w:t>
            </w:r>
          </w:p>
        </w:tc>
        <w:tc>
          <w:tcPr>
            <w:tcW w:w="231" w:type="pct"/>
            <w:tcBorders>
              <w:bottom w:val="single" w:sz="4" w:space="0" w:color="auto"/>
            </w:tcBorders>
            <w:vAlign w:val="center"/>
          </w:tcPr>
          <w:p w14:paraId="10DAC287"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26</w:t>
            </w:r>
          </w:p>
        </w:tc>
        <w:tc>
          <w:tcPr>
            <w:tcW w:w="400" w:type="pct"/>
            <w:tcBorders>
              <w:bottom w:val="single" w:sz="4" w:space="0" w:color="auto"/>
            </w:tcBorders>
            <w:vAlign w:val="center"/>
          </w:tcPr>
          <w:p w14:paraId="33656DC4" w14:textId="26B187AC" w:rsidR="00A9221F" w:rsidRPr="00420C1B" w:rsidRDefault="0087475F" w:rsidP="00C61D9D">
            <w:pPr>
              <w:spacing w:after="0" w:line="240" w:lineRule="auto"/>
              <w:rPr>
                <w:rFonts w:ascii="Times New Roman" w:hAnsi="Times New Roman"/>
                <w:sz w:val="20"/>
                <w:szCs w:val="20"/>
              </w:rPr>
            </w:pPr>
            <w:r w:rsidRPr="00420C1B">
              <w:rPr>
                <w:rFonts w:ascii="Times New Roman" w:hAnsi="Times New Roman"/>
                <w:sz w:val="20"/>
                <w:szCs w:val="20"/>
              </w:rPr>
              <w:t xml:space="preserve">Humain </w:t>
            </w:r>
            <w:r w:rsidR="00A9221F" w:rsidRPr="00420C1B">
              <w:rPr>
                <w:rFonts w:ascii="Times New Roman" w:hAnsi="Times New Roman"/>
                <w:sz w:val="20"/>
                <w:szCs w:val="20"/>
              </w:rPr>
              <w:t xml:space="preserve"> </w:t>
            </w:r>
          </w:p>
        </w:tc>
        <w:tc>
          <w:tcPr>
            <w:tcW w:w="529" w:type="pct"/>
            <w:tcBorders>
              <w:bottom w:val="single" w:sz="4" w:space="0" w:color="auto"/>
            </w:tcBorders>
            <w:vAlign w:val="center"/>
          </w:tcPr>
          <w:p w14:paraId="5530BEEF"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lang w:val="fr-CD"/>
              </w:rPr>
              <w:t>Perte des revenus potentielle pendant l’implantation des poteaux MT/BT et le tirage des lignes</w:t>
            </w:r>
          </w:p>
        </w:tc>
        <w:tc>
          <w:tcPr>
            <w:tcW w:w="706" w:type="pct"/>
            <w:tcBorders>
              <w:bottom w:val="single" w:sz="4" w:space="0" w:color="auto"/>
            </w:tcBorders>
            <w:vAlign w:val="center"/>
          </w:tcPr>
          <w:p w14:paraId="4A19C2A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rFonts w:eastAsia="Times New Roman"/>
                <w:sz w:val="20"/>
                <w:szCs w:val="20"/>
                <w:lang w:val="fr-CD" w:eastAsia="fr-FR"/>
              </w:rPr>
              <w:t>Mise en œuvre d’un p</w:t>
            </w:r>
            <w:r w:rsidRPr="00420C1B">
              <w:rPr>
                <w:sz w:val="20"/>
                <w:szCs w:val="20"/>
              </w:rPr>
              <w:t>lan de restauration des revenus des ménages impactés par les travaux.</w:t>
            </w:r>
          </w:p>
          <w:p w14:paraId="594D1C64"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Identifier toute les activités de commerces se trouvant sur l’emprise des lignes et des poteaux à </w:t>
            </w:r>
            <w:r w:rsidRPr="00420C1B">
              <w:rPr>
                <w:rFonts w:eastAsia="Times New Roman"/>
                <w:sz w:val="20"/>
                <w:szCs w:val="20"/>
                <w:lang w:val="fr-CD" w:eastAsia="fr-FR"/>
              </w:rPr>
              <w:t>implanter</w:t>
            </w:r>
          </w:p>
        </w:tc>
        <w:tc>
          <w:tcPr>
            <w:tcW w:w="819" w:type="pct"/>
            <w:tcBorders>
              <w:bottom w:val="single" w:sz="4" w:space="0" w:color="auto"/>
            </w:tcBorders>
            <w:vAlign w:val="center"/>
          </w:tcPr>
          <w:p w14:paraId="7E470A1B"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Identifier les ménages concernées par les pertes de revenus ;</w:t>
            </w:r>
          </w:p>
          <w:p w14:paraId="065BAF9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Calculer les pertes de revenus occasionnés par le déplacement temporaire suite aux travaux</w:t>
            </w:r>
          </w:p>
          <w:p w14:paraId="066BD80D"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Indemniser et compenser les pertes</w:t>
            </w:r>
            <w:r w:rsidRPr="00420C1B">
              <w:rPr>
                <w:rFonts w:eastAsia="Times New Roman"/>
                <w:sz w:val="20"/>
                <w:szCs w:val="20"/>
                <w:lang w:val="fr-CD" w:eastAsia="fr-FR"/>
              </w:rPr>
              <w:t xml:space="preserve"> en espèces</w:t>
            </w:r>
          </w:p>
        </w:tc>
        <w:tc>
          <w:tcPr>
            <w:tcW w:w="423" w:type="pct"/>
            <w:tcBorders>
              <w:bottom w:val="single" w:sz="4" w:space="0" w:color="auto"/>
            </w:tcBorders>
            <w:vAlign w:val="center"/>
          </w:tcPr>
          <w:p w14:paraId="724C13EE"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Borders>
              <w:bottom w:val="single" w:sz="4" w:space="0" w:color="auto"/>
            </w:tcBorders>
            <w:vAlign w:val="center"/>
          </w:tcPr>
          <w:p w14:paraId="6BA58DEA"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Borders>
              <w:bottom w:val="single" w:sz="4" w:space="0" w:color="auto"/>
            </w:tcBorders>
            <w:vAlign w:val="center"/>
          </w:tcPr>
          <w:p w14:paraId="49423EF8"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lang w:val="fr-CD"/>
              </w:rPr>
              <w:t>100%  des ménages dont les sources de revenus sont restaurées</w:t>
            </w:r>
          </w:p>
        </w:tc>
        <w:tc>
          <w:tcPr>
            <w:tcW w:w="382" w:type="pct"/>
            <w:tcBorders>
              <w:bottom w:val="single" w:sz="4" w:space="0" w:color="auto"/>
            </w:tcBorders>
          </w:tcPr>
          <w:p w14:paraId="28FD0F9D" w14:textId="3FC718C6" w:rsidR="00A9221F" w:rsidRPr="00420C1B" w:rsidRDefault="0087475F" w:rsidP="00215867">
            <w:pPr>
              <w:pStyle w:val="Lgende"/>
              <w:autoSpaceDE w:val="0"/>
              <w:autoSpaceDN w:val="0"/>
              <w:adjustRightInd w:val="0"/>
              <w:spacing w:after="0"/>
              <w:ind w:left="-69"/>
              <w:rPr>
                <w:sz w:val="20"/>
                <w:szCs w:val="20"/>
                <w:lang w:val="fr-CD"/>
              </w:rPr>
            </w:pPr>
            <w:r w:rsidRPr="00420C1B">
              <w:rPr>
                <w:sz w:val="20"/>
                <w:szCs w:val="20"/>
                <w:lang w:val="fr-CD"/>
              </w:rPr>
              <w:t xml:space="preserve">Avant les travaux </w:t>
            </w:r>
          </w:p>
        </w:tc>
      </w:tr>
      <w:tr w:rsidR="00A9221F" w:rsidRPr="00420C1B" w14:paraId="5E9FB746" w14:textId="0F4CB562" w:rsidTr="00215867">
        <w:trPr>
          <w:trHeight w:val="356"/>
          <w:jc w:val="center"/>
        </w:trPr>
        <w:tc>
          <w:tcPr>
            <w:tcW w:w="562" w:type="pct"/>
            <w:tcBorders>
              <w:bottom w:val="single" w:sz="4" w:space="0" w:color="auto"/>
            </w:tcBorders>
            <w:vAlign w:val="center"/>
          </w:tcPr>
          <w:p w14:paraId="40844A21"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Mobilisation du personnel et déroulement des travaux</w:t>
            </w:r>
          </w:p>
        </w:tc>
        <w:tc>
          <w:tcPr>
            <w:tcW w:w="231" w:type="pct"/>
            <w:tcBorders>
              <w:bottom w:val="single" w:sz="4" w:space="0" w:color="auto"/>
            </w:tcBorders>
            <w:vAlign w:val="center"/>
          </w:tcPr>
          <w:p w14:paraId="2E1CBDA3"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27</w:t>
            </w:r>
          </w:p>
        </w:tc>
        <w:tc>
          <w:tcPr>
            <w:tcW w:w="400" w:type="pct"/>
            <w:tcBorders>
              <w:bottom w:val="single" w:sz="4" w:space="0" w:color="auto"/>
            </w:tcBorders>
            <w:vAlign w:val="center"/>
          </w:tcPr>
          <w:p w14:paraId="1FA3F467" w14:textId="06985C87" w:rsidR="00A9221F" w:rsidRPr="00420C1B" w:rsidRDefault="0087475F" w:rsidP="00C61D9D">
            <w:pPr>
              <w:spacing w:after="0" w:line="240" w:lineRule="auto"/>
              <w:rPr>
                <w:rFonts w:ascii="Times New Roman" w:hAnsi="Times New Roman"/>
                <w:sz w:val="20"/>
                <w:szCs w:val="20"/>
              </w:rPr>
            </w:pPr>
            <w:r w:rsidRPr="00420C1B">
              <w:rPr>
                <w:rFonts w:ascii="Times New Roman" w:hAnsi="Times New Roman"/>
                <w:sz w:val="20"/>
                <w:szCs w:val="20"/>
              </w:rPr>
              <w:t xml:space="preserve">Humain </w:t>
            </w:r>
            <w:r w:rsidR="00A9221F" w:rsidRPr="00420C1B">
              <w:rPr>
                <w:rFonts w:ascii="Times New Roman" w:hAnsi="Times New Roman"/>
                <w:sz w:val="20"/>
                <w:szCs w:val="20"/>
              </w:rPr>
              <w:t xml:space="preserve"> </w:t>
            </w:r>
          </w:p>
        </w:tc>
        <w:tc>
          <w:tcPr>
            <w:tcW w:w="529" w:type="pct"/>
            <w:tcBorders>
              <w:bottom w:val="single" w:sz="4" w:space="0" w:color="auto"/>
            </w:tcBorders>
            <w:vAlign w:val="center"/>
          </w:tcPr>
          <w:p w14:paraId="6FE3D341"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Risque d’incident VBG/EAS/HS</w:t>
            </w:r>
          </w:p>
        </w:tc>
        <w:tc>
          <w:tcPr>
            <w:tcW w:w="706" w:type="pct"/>
            <w:tcBorders>
              <w:bottom w:val="single" w:sz="4" w:space="0" w:color="auto"/>
            </w:tcBorders>
            <w:vAlign w:val="center"/>
          </w:tcPr>
          <w:p w14:paraId="122C5B8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le mécanisme de gestion des plaintes générales incluant les plaintes VBG/EAS/HS</w:t>
            </w:r>
          </w:p>
          <w:p w14:paraId="4AC007B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Faire signer à l’ensemble des travailleurs et personnel du projet le code de bonne conduite </w:t>
            </w:r>
          </w:p>
          <w:p w14:paraId="43F49766"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Former le personnel sur les risques VBG, le code de conduite et les types de comportement interdit au sein du projet et dans la relation avec la communauté</w:t>
            </w:r>
          </w:p>
          <w:p w14:paraId="19610C6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Organiser les campagnes de sensibilisation auprès des communautés sur la prévention des risques VBG, le fonctionnement du MGP y inclus l’EAS/HS, le fonctionnement du circuit de référencement des survivants(es)</w:t>
            </w:r>
          </w:p>
        </w:tc>
        <w:tc>
          <w:tcPr>
            <w:tcW w:w="819" w:type="pct"/>
            <w:tcBorders>
              <w:bottom w:val="single" w:sz="4" w:space="0" w:color="auto"/>
            </w:tcBorders>
            <w:vAlign w:val="center"/>
          </w:tcPr>
          <w:p w14:paraId="3B26B2C6"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Organisation des campagnes d’éducation pour le changement de comportement (CECC) sur le VBG</w:t>
            </w:r>
          </w:p>
          <w:p w14:paraId="56A53576"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Cartographier les principaux risques VBG dans la zone du projet et les principaux fournisseurs de service de pris en charge des survivants et y appliquer les mesures idoines pour les atténuer</w:t>
            </w:r>
          </w:p>
          <w:p w14:paraId="1B00E069"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des mesures et réponses aux risques ponctuels dans la zone du projet</w:t>
            </w:r>
          </w:p>
        </w:tc>
        <w:tc>
          <w:tcPr>
            <w:tcW w:w="423" w:type="pct"/>
            <w:tcBorders>
              <w:bottom w:val="single" w:sz="4" w:space="0" w:color="auto"/>
            </w:tcBorders>
            <w:vAlign w:val="center"/>
          </w:tcPr>
          <w:p w14:paraId="0BADEF3E"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Borders>
              <w:bottom w:val="single" w:sz="4" w:space="0" w:color="auto"/>
            </w:tcBorders>
            <w:vAlign w:val="center"/>
          </w:tcPr>
          <w:p w14:paraId="2ABFE1DC"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Borders>
              <w:bottom w:val="single" w:sz="4" w:space="0" w:color="auto"/>
            </w:tcBorders>
            <w:vAlign w:val="center"/>
          </w:tcPr>
          <w:p w14:paraId="1E488193"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lang w:val="fr-CD"/>
              </w:rPr>
            </w:pPr>
            <w:r w:rsidRPr="00420C1B">
              <w:rPr>
                <w:sz w:val="20"/>
                <w:szCs w:val="20"/>
                <w:lang w:val="fr-CD"/>
              </w:rPr>
              <w:t>0% oiseau ayant percuté les câbles électriques</w:t>
            </w:r>
          </w:p>
        </w:tc>
        <w:tc>
          <w:tcPr>
            <w:tcW w:w="382" w:type="pct"/>
            <w:tcBorders>
              <w:bottom w:val="single" w:sz="4" w:space="0" w:color="auto"/>
            </w:tcBorders>
            <w:vAlign w:val="center"/>
          </w:tcPr>
          <w:p w14:paraId="0CD71EB0" w14:textId="2C5CCBD7" w:rsidR="00A9221F" w:rsidRPr="00420C1B" w:rsidRDefault="0087475F" w:rsidP="00215867">
            <w:pPr>
              <w:pStyle w:val="Lgende"/>
              <w:autoSpaceDE w:val="0"/>
              <w:autoSpaceDN w:val="0"/>
              <w:adjustRightInd w:val="0"/>
              <w:spacing w:after="0"/>
              <w:ind w:left="-69"/>
              <w:rPr>
                <w:sz w:val="20"/>
                <w:szCs w:val="20"/>
                <w:lang w:val="fr-CD"/>
              </w:rPr>
            </w:pPr>
            <w:r w:rsidRPr="00420C1B">
              <w:rPr>
                <w:sz w:val="20"/>
                <w:szCs w:val="20"/>
                <w:lang w:val="fr-CD"/>
              </w:rPr>
              <w:t xml:space="preserve">Avant les travaux </w:t>
            </w:r>
          </w:p>
        </w:tc>
      </w:tr>
      <w:tr w:rsidR="00A9221F" w:rsidRPr="00420C1B" w14:paraId="3B2722A6" w14:textId="33C0EE40" w:rsidTr="00215867">
        <w:trPr>
          <w:trHeight w:val="356"/>
          <w:jc w:val="center"/>
        </w:trPr>
        <w:tc>
          <w:tcPr>
            <w:tcW w:w="562" w:type="pct"/>
            <w:tcBorders>
              <w:bottom w:val="single" w:sz="4" w:space="0" w:color="auto"/>
            </w:tcBorders>
            <w:vAlign w:val="center"/>
          </w:tcPr>
          <w:p w14:paraId="276239B9"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 xml:space="preserve">Mobilisation du personnel et recrutement de la main d’œuvre  </w:t>
            </w:r>
          </w:p>
        </w:tc>
        <w:tc>
          <w:tcPr>
            <w:tcW w:w="231" w:type="pct"/>
            <w:tcBorders>
              <w:bottom w:val="single" w:sz="4" w:space="0" w:color="auto"/>
            </w:tcBorders>
            <w:vAlign w:val="center"/>
          </w:tcPr>
          <w:p w14:paraId="7E4D3FF3"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27</w:t>
            </w:r>
          </w:p>
        </w:tc>
        <w:tc>
          <w:tcPr>
            <w:tcW w:w="400" w:type="pct"/>
            <w:tcBorders>
              <w:bottom w:val="single" w:sz="4" w:space="0" w:color="auto"/>
            </w:tcBorders>
            <w:vAlign w:val="center"/>
          </w:tcPr>
          <w:p w14:paraId="749B53FF" w14:textId="570E5833" w:rsidR="00A9221F" w:rsidRPr="00420C1B" w:rsidRDefault="0087475F" w:rsidP="00C61D9D">
            <w:pPr>
              <w:spacing w:after="0" w:line="240" w:lineRule="auto"/>
              <w:rPr>
                <w:rFonts w:ascii="Times New Roman" w:hAnsi="Times New Roman"/>
                <w:sz w:val="20"/>
                <w:szCs w:val="20"/>
              </w:rPr>
            </w:pPr>
            <w:r w:rsidRPr="00420C1B">
              <w:rPr>
                <w:rFonts w:ascii="Times New Roman" w:hAnsi="Times New Roman"/>
                <w:sz w:val="20"/>
                <w:szCs w:val="20"/>
              </w:rPr>
              <w:t xml:space="preserve">Humain </w:t>
            </w:r>
            <w:r w:rsidR="00A9221F" w:rsidRPr="00420C1B">
              <w:rPr>
                <w:rFonts w:ascii="Times New Roman" w:hAnsi="Times New Roman"/>
                <w:sz w:val="20"/>
                <w:szCs w:val="20"/>
              </w:rPr>
              <w:t xml:space="preserve"> </w:t>
            </w:r>
          </w:p>
        </w:tc>
        <w:tc>
          <w:tcPr>
            <w:tcW w:w="529" w:type="pct"/>
            <w:tcBorders>
              <w:bottom w:val="single" w:sz="4" w:space="0" w:color="auto"/>
            </w:tcBorders>
            <w:vAlign w:val="center"/>
          </w:tcPr>
          <w:p w14:paraId="05F24E1C"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 xml:space="preserve">Perturbation des us et coutume locale suite à l’afflux de la main d’œuvre  </w:t>
            </w:r>
          </w:p>
        </w:tc>
        <w:tc>
          <w:tcPr>
            <w:tcW w:w="706" w:type="pct"/>
            <w:tcBorders>
              <w:bottom w:val="single" w:sz="4" w:space="0" w:color="auto"/>
            </w:tcBorders>
            <w:vAlign w:val="center"/>
          </w:tcPr>
          <w:p w14:paraId="3BAB2E03"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Procéder au recrutement local du personnel et faire largement diffusion des postes et du profil requis pour le poste ;</w:t>
            </w:r>
          </w:p>
          <w:p w14:paraId="3110F884"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Embauché au moins 30% des femmes au sein des entreprises des travaux ;</w:t>
            </w:r>
          </w:p>
          <w:p w14:paraId="731AA81B"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Sensibiliser les travailleurs sur le type de comportement à tenir à l’égard de la communauté </w:t>
            </w:r>
          </w:p>
          <w:p w14:paraId="60B010F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Faire signer à l’ensemble des travailleurs et personnel du projet le code de bonne conduite.</w:t>
            </w:r>
          </w:p>
        </w:tc>
        <w:tc>
          <w:tcPr>
            <w:tcW w:w="819" w:type="pct"/>
            <w:tcBorders>
              <w:bottom w:val="single" w:sz="4" w:space="0" w:color="auto"/>
            </w:tcBorders>
            <w:vAlign w:val="center"/>
          </w:tcPr>
          <w:p w14:paraId="5D86AE1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Mettre en place des mesures spécifiques afin de recruter la main d’œuvre localement </w:t>
            </w:r>
          </w:p>
          <w:p w14:paraId="12D084B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Faire signer à l’ensemble du personnel de chantier le code de bonne conduite</w:t>
            </w:r>
          </w:p>
          <w:p w14:paraId="64801F58"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Sensibilisation la communauté sur le MGP du projet incluant l’EAS/HS</w:t>
            </w:r>
          </w:p>
          <w:p w14:paraId="223F5C0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un programme pour valoriser la main d’œuvre locale et recruter au minimum 30% des femmes pour les travaux</w:t>
            </w:r>
          </w:p>
        </w:tc>
        <w:tc>
          <w:tcPr>
            <w:tcW w:w="423" w:type="pct"/>
            <w:tcBorders>
              <w:bottom w:val="single" w:sz="4" w:space="0" w:color="auto"/>
            </w:tcBorders>
            <w:vAlign w:val="center"/>
          </w:tcPr>
          <w:p w14:paraId="73B9F89D"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Borders>
              <w:bottom w:val="single" w:sz="4" w:space="0" w:color="auto"/>
            </w:tcBorders>
            <w:vAlign w:val="center"/>
          </w:tcPr>
          <w:p w14:paraId="4083A635"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Borders>
              <w:bottom w:val="single" w:sz="4" w:space="0" w:color="auto"/>
            </w:tcBorders>
            <w:vAlign w:val="center"/>
          </w:tcPr>
          <w:p w14:paraId="158C0CC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Nombre de femmes embauchés aux seins des entreprises des travaux</w:t>
            </w:r>
          </w:p>
          <w:p w14:paraId="38D4149A"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des travailleurs ayant signé le code de bonne conduite</w:t>
            </w:r>
          </w:p>
        </w:tc>
        <w:tc>
          <w:tcPr>
            <w:tcW w:w="382" w:type="pct"/>
            <w:tcBorders>
              <w:bottom w:val="single" w:sz="4" w:space="0" w:color="auto"/>
            </w:tcBorders>
            <w:vAlign w:val="center"/>
          </w:tcPr>
          <w:p w14:paraId="0B80DC74" w14:textId="5173E703" w:rsidR="00A9221F" w:rsidRPr="00420C1B" w:rsidRDefault="00CF7B89" w:rsidP="00215867">
            <w:pPr>
              <w:pStyle w:val="Lgende"/>
              <w:autoSpaceDE w:val="0"/>
              <w:autoSpaceDN w:val="0"/>
              <w:adjustRightInd w:val="0"/>
              <w:spacing w:after="0"/>
              <w:ind w:left="-69"/>
              <w:rPr>
                <w:sz w:val="20"/>
                <w:szCs w:val="20"/>
              </w:rPr>
            </w:pPr>
            <w:r w:rsidRPr="00420C1B">
              <w:rPr>
                <w:sz w:val="20"/>
                <w:szCs w:val="20"/>
              </w:rPr>
              <w:t xml:space="preserve">Avant et pendant les travaux </w:t>
            </w:r>
          </w:p>
        </w:tc>
      </w:tr>
      <w:tr w:rsidR="00A9221F" w:rsidRPr="00420C1B" w14:paraId="571B3E28" w14:textId="69960164" w:rsidTr="00215867">
        <w:trPr>
          <w:trHeight w:val="356"/>
          <w:jc w:val="center"/>
        </w:trPr>
        <w:tc>
          <w:tcPr>
            <w:tcW w:w="562" w:type="pct"/>
            <w:tcBorders>
              <w:bottom w:val="single" w:sz="4" w:space="0" w:color="auto"/>
            </w:tcBorders>
            <w:vAlign w:val="center"/>
          </w:tcPr>
          <w:p w14:paraId="45C37AC7"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 xml:space="preserve">Aléas climatique et désastres naturels  </w:t>
            </w:r>
          </w:p>
        </w:tc>
        <w:tc>
          <w:tcPr>
            <w:tcW w:w="231" w:type="pct"/>
            <w:tcBorders>
              <w:bottom w:val="single" w:sz="4" w:space="0" w:color="auto"/>
            </w:tcBorders>
            <w:vAlign w:val="center"/>
          </w:tcPr>
          <w:p w14:paraId="7749F390" w14:textId="77777777" w:rsidR="00A9221F" w:rsidRPr="00420C1B" w:rsidRDefault="00A9221F" w:rsidP="00C61D9D">
            <w:pPr>
              <w:spacing w:after="0" w:line="240" w:lineRule="auto"/>
              <w:rPr>
                <w:rFonts w:ascii="Times New Roman" w:hAnsi="Times New Roman"/>
                <w:sz w:val="20"/>
                <w:szCs w:val="20"/>
              </w:rPr>
            </w:pPr>
          </w:p>
        </w:tc>
        <w:tc>
          <w:tcPr>
            <w:tcW w:w="400" w:type="pct"/>
            <w:tcBorders>
              <w:bottom w:val="single" w:sz="4" w:space="0" w:color="auto"/>
            </w:tcBorders>
            <w:vAlign w:val="center"/>
          </w:tcPr>
          <w:p w14:paraId="6B11E242" w14:textId="77777777" w:rsidR="00A9221F" w:rsidRPr="00420C1B" w:rsidRDefault="00A9221F" w:rsidP="00C61D9D">
            <w:pPr>
              <w:spacing w:after="0" w:line="240" w:lineRule="auto"/>
              <w:rPr>
                <w:rFonts w:ascii="Times New Roman" w:hAnsi="Times New Roman"/>
                <w:sz w:val="20"/>
                <w:szCs w:val="20"/>
              </w:rPr>
            </w:pPr>
          </w:p>
        </w:tc>
        <w:tc>
          <w:tcPr>
            <w:tcW w:w="529" w:type="pct"/>
            <w:tcBorders>
              <w:bottom w:val="single" w:sz="4" w:space="0" w:color="auto"/>
            </w:tcBorders>
            <w:vAlign w:val="center"/>
          </w:tcPr>
          <w:p w14:paraId="2821DD10" w14:textId="77777777" w:rsidR="00A9221F" w:rsidRPr="003D4DAA" w:rsidRDefault="00A9221F" w:rsidP="00C61D9D">
            <w:pPr>
              <w:spacing w:after="0" w:line="240" w:lineRule="auto"/>
              <w:rPr>
                <w:rFonts w:ascii="Times New Roman" w:hAnsi="Times New Roman"/>
                <w:sz w:val="20"/>
                <w:szCs w:val="20"/>
                <w:lang w:val="fr-CD"/>
              </w:rPr>
            </w:pPr>
            <w:r w:rsidRPr="003D4DAA">
              <w:rPr>
                <w:rFonts w:ascii="Times New Roman" w:hAnsi="Times New Roman"/>
                <w:sz w:val="20"/>
                <w:szCs w:val="20"/>
                <w:lang w:val="fr-CD"/>
              </w:rPr>
              <w:t>Destruction des infrastructures par les catastrophes naturelles (risques d’inondation et d’érosion des sols)</w:t>
            </w:r>
          </w:p>
        </w:tc>
        <w:tc>
          <w:tcPr>
            <w:tcW w:w="706" w:type="pct"/>
            <w:tcBorders>
              <w:bottom w:val="single" w:sz="4" w:space="0" w:color="auto"/>
            </w:tcBorders>
          </w:tcPr>
          <w:p w14:paraId="362A759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 xml:space="preserve">Maintenir la végétation basse aux pieds des poteaux afin de faciliter l’infiltration des eaux de ruissellement </w:t>
            </w:r>
          </w:p>
          <w:p w14:paraId="15EF2131"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Eviter de maintenir le sol à nu plusieurs mois, limitant ainsi son exposition au vent et à la pluie ;</w:t>
            </w:r>
          </w:p>
          <w:p w14:paraId="11D912C5"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Réaliser des relevés topographiques détaillés avant le début des travaux dans les différents sites ;</w:t>
            </w:r>
          </w:p>
          <w:p w14:paraId="4FB1CB5C"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Mettre en place un plan de restauration et stabilisation des pentes en vue de minimiser les risques de ruissellements incontrôlés des eaux pluviales ;</w:t>
            </w:r>
          </w:p>
          <w:p w14:paraId="72D3604F"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Adapter la conception des ouvrages à la morphologie du terrain et aux aléas climatiques</w:t>
            </w:r>
          </w:p>
          <w:p w14:paraId="3222B960"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Dimensionner les réseaux en optant pour des solutions qui s’adaptent aux conditions climatiques du milieu et à principales catastrophes comme les inondations et les érosions hydriques ;</w:t>
            </w:r>
          </w:p>
          <w:p w14:paraId="792E6952"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Opter pour les cabines en haut de poteaux lorsque les sites es vulnérables aux inondations saisonnières ;</w:t>
            </w:r>
          </w:p>
          <w:p w14:paraId="048B59A4"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Privilégier le réseau électrique aérien afin de prévenir les risques d’électrisation ou d’électrocution ;</w:t>
            </w:r>
          </w:p>
          <w:p w14:paraId="70FA9CCD"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Prévoir des dispositifs antifoudres le long du réseau afin de limiter les dommages des infrastructures privées et les atteintes physiques de la communauté de la zone du projet</w:t>
            </w:r>
          </w:p>
          <w:p w14:paraId="595E557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Protéger rapidement les zones perturbées et anticiper toute interruption des travaux</w:t>
            </w:r>
          </w:p>
          <w:p w14:paraId="13018CC7"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rPr>
              <w:t>Contrôler la concentration des eaux sur le chantier quand celle-ci devient inévitable et briser l’énergie des eaux concentrées.</w:t>
            </w:r>
          </w:p>
        </w:tc>
        <w:tc>
          <w:tcPr>
            <w:tcW w:w="819" w:type="pct"/>
            <w:tcBorders>
              <w:bottom w:val="single" w:sz="4" w:space="0" w:color="auto"/>
            </w:tcBorders>
            <w:vAlign w:val="center"/>
          </w:tcPr>
          <w:p w14:paraId="3D8259E7" w14:textId="77777777" w:rsidR="00A9221F" w:rsidRPr="00B9532B" w:rsidRDefault="00A9221F" w:rsidP="00C511D0">
            <w:pPr>
              <w:numPr>
                <w:ilvl w:val="0"/>
                <w:numId w:val="14"/>
              </w:numPr>
              <w:autoSpaceDE w:val="0"/>
              <w:autoSpaceDN w:val="0"/>
              <w:adjustRightInd w:val="0"/>
              <w:spacing w:after="0" w:line="240" w:lineRule="auto"/>
              <w:contextualSpacing/>
              <w:jc w:val="both"/>
              <w:rPr>
                <w:rFonts w:ascii="Times New Roman" w:eastAsia="Times New Roman" w:hAnsi="Times New Roman"/>
                <w:sz w:val="20"/>
                <w:szCs w:val="20"/>
                <w:lang w:val="fr-CD" w:eastAsia="fr-FR"/>
              </w:rPr>
            </w:pPr>
            <w:r w:rsidRPr="00B9532B">
              <w:rPr>
                <w:rFonts w:ascii="Times New Roman" w:eastAsia="Times New Roman" w:hAnsi="Times New Roman"/>
                <w:sz w:val="20"/>
                <w:szCs w:val="20"/>
                <w:lang w:val="fr-CD" w:eastAsia="fr-FR"/>
              </w:rPr>
              <w:t>Mettre en place des mesures spécifiques liés à la conception des équipements et des installations électriques afin de résister aux catastrophes naturels (inondations, fortes chaleurs et érosions de sols)</w:t>
            </w:r>
          </w:p>
          <w:p w14:paraId="4CBFC1D1" w14:textId="77777777" w:rsidR="00A9221F" w:rsidRPr="00B9532B" w:rsidRDefault="00A9221F" w:rsidP="00C511D0">
            <w:pPr>
              <w:numPr>
                <w:ilvl w:val="0"/>
                <w:numId w:val="14"/>
              </w:numPr>
              <w:autoSpaceDE w:val="0"/>
              <w:autoSpaceDN w:val="0"/>
              <w:adjustRightInd w:val="0"/>
              <w:spacing w:after="0" w:line="240" w:lineRule="auto"/>
              <w:contextualSpacing/>
              <w:jc w:val="both"/>
              <w:rPr>
                <w:rFonts w:ascii="Times New Roman" w:eastAsia="Times New Roman" w:hAnsi="Times New Roman"/>
                <w:sz w:val="20"/>
                <w:szCs w:val="20"/>
                <w:lang w:val="fr-CD" w:eastAsia="fr-FR"/>
              </w:rPr>
            </w:pPr>
            <w:r w:rsidRPr="00B9532B">
              <w:rPr>
                <w:rFonts w:ascii="Times New Roman" w:eastAsia="Times New Roman" w:hAnsi="Times New Roman"/>
                <w:sz w:val="20"/>
                <w:szCs w:val="20"/>
                <w:lang w:val="fr-CD" w:eastAsia="fr-FR"/>
              </w:rPr>
              <w:t>Stabiliser les sols et assurer un bon choix des sites d’installations des poteaux MT/BT</w:t>
            </w:r>
          </w:p>
          <w:p w14:paraId="737B5307" w14:textId="77777777" w:rsidR="00A9221F" w:rsidRPr="00420C1B" w:rsidRDefault="00A9221F" w:rsidP="00C511D0">
            <w:pPr>
              <w:pStyle w:val="Lgende"/>
              <w:numPr>
                <w:ilvl w:val="0"/>
                <w:numId w:val="14"/>
              </w:numPr>
              <w:autoSpaceDE w:val="0"/>
              <w:autoSpaceDN w:val="0"/>
              <w:adjustRightInd w:val="0"/>
              <w:spacing w:after="0"/>
              <w:rPr>
                <w:sz w:val="20"/>
                <w:szCs w:val="20"/>
              </w:rPr>
            </w:pPr>
            <w:r w:rsidRPr="00420C1B">
              <w:rPr>
                <w:rFonts w:eastAsia="Times New Roman"/>
                <w:sz w:val="20"/>
                <w:szCs w:val="20"/>
                <w:lang w:val="fr-CD" w:eastAsia="fr-FR"/>
              </w:rPr>
              <w:t>Favoriser les lignes électriques MT avec câble torsadé afin de prévenir les risques liés aux aléas climatiques.</w:t>
            </w:r>
          </w:p>
        </w:tc>
        <w:tc>
          <w:tcPr>
            <w:tcW w:w="423" w:type="pct"/>
            <w:tcBorders>
              <w:bottom w:val="single" w:sz="4" w:space="0" w:color="auto"/>
            </w:tcBorders>
            <w:vAlign w:val="center"/>
          </w:tcPr>
          <w:p w14:paraId="5D2D2728"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5" w:type="pct"/>
            <w:tcBorders>
              <w:bottom w:val="single" w:sz="4" w:space="0" w:color="auto"/>
            </w:tcBorders>
            <w:vAlign w:val="center"/>
          </w:tcPr>
          <w:p w14:paraId="28440DDD" w14:textId="77777777" w:rsidR="00A9221F" w:rsidRPr="00215867" w:rsidRDefault="00A9221F"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43" w:type="pct"/>
            <w:tcBorders>
              <w:bottom w:val="single" w:sz="4" w:space="0" w:color="auto"/>
            </w:tcBorders>
            <w:vAlign w:val="center"/>
          </w:tcPr>
          <w:p w14:paraId="55D49314" w14:textId="77777777" w:rsidR="00A9221F" w:rsidRPr="00420C1B" w:rsidRDefault="00A9221F" w:rsidP="00C511D0">
            <w:pPr>
              <w:pStyle w:val="Lgende"/>
              <w:numPr>
                <w:ilvl w:val="0"/>
                <w:numId w:val="14"/>
              </w:numPr>
              <w:autoSpaceDE w:val="0"/>
              <w:autoSpaceDN w:val="0"/>
              <w:adjustRightInd w:val="0"/>
              <w:spacing w:after="0"/>
              <w:ind w:left="216" w:hanging="285"/>
              <w:rPr>
                <w:sz w:val="20"/>
                <w:szCs w:val="20"/>
              </w:rPr>
            </w:pPr>
            <w:r w:rsidRPr="00420C1B">
              <w:rPr>
                <w:sz w:val="20"/>
                <w:szCs w:val="20"/>
                <w:lang w:val="fr-CD"/>
              </w:rPr>
              <w:t>100% des installations résistant aux aléas naturels</w:t>
            </w:r>
          </w:p>
        </w:tc>
        <w:tc>
          <w:tcPr>
            <w:tcW w:w="382" w:type="pct"/>
            <w:tcBorders>
              <w:bottom w:val="single" w:sz="4" w:space="0" w:color="auto"/>
            </w:tcBorders>
            <w:vAlign w:val="center"/>
          </w:tcPr>
          <w:p w14:paraId="3AC03C75" w14:textId="4FF7F30C" w:rsidR="00A9221F" w:rsidRPr="00420C1B" w:rsidRDefault="00CF7B89" w:rsidP="00215867">
            <w:pPr>
              <w:pStyle w:val="Lgende"/>
              <w:autoSpaceDE w:val="0"/>
              <w:autoSpaceDN w:val="0"/>
              <w:adjustRightInd w:val="0"/>
              <w:spacing w:after="0"/>
              <w:ind w:left="-69"/>
              <w:rPr>
                <w:sz w:val="20"/>
                <w:szCs w:val="20"/>
                <w:lang w:val="fr-CD"/>
              </w:rPr>
            </w:pPr>
            <w:r w:rsidRPr="00420C1B">
              <w:rPr>
                <w:sz w:val="20"/>
                <w:szCs w:val="20"/>
                <w:lang w:val="fr-CD"/>
              </w:rPr>
              <w:t xml:space="preserve">Pendant les travaux </w:t>
            </w:r>
          </w:p>
        </w:tc>
      </w:tr>
      <w:tr w:rsidR="00A9221F" w:rsidRPr="00420C1B" w14:paraId="43AD6E3A" w14:textId="77777777" w:rsidTr="00215867">
        <w:trPr>
          <w:cantSplit/>
          <w:trHeight w:val="260"/>
          <w:jc w:val="center"/>
        </w:trPr>
        <w:tc>
          <w:tcPr>
            <w:tcW w:w="5000" w:type="pct"/>
            <w:gridSpan w:val="10"/>
            <w:vAlign w:val="center"/>
          </w:tcPr>
          <w:p w14:paraId="3CD7F3B6" w14:textId="222DEA58" w:rsidR="00A9221F" w:rsidRPr="00215867" w:rsidRDefault="00A9221F" w:rsidP="00215867">
            <w:pPr>
              <w:jc w:val="center"/>
              <w:rPr>
                <w:rFonts w:ascii="Times New Roman" w:hAnsi="Times New Roman"/>
                <w:b/>
                <w:sz w:val="20"/>
                <w:szCs w:val="20"/>
              </w:rPr>
            </w:pPr>
            <w:r w:rsidRPr="00215867">
              <w:rPr>
                <w:rFonts w:ascii="Times New Roman" w:hAnsi="Times New Roman"/>
                <w:b/>
                <w:sz w:val="20"/>
                <w:szCs w:val="20"/>
              </w:rPr>
              <w:t>PHASE D’EXPLOITATION</w:t>
            </w:r>
          </w:p>
        </w:tc>
      </w:tr>
      <w:tr w:rsidR="00A9221F" w:rsidRPr="00420C1B" w14:paraId="5BEC85A1" w14:textId="7BDC3A41" w:rsidTr="00215867">
        <w:trPr>
          <w:cantSplit/>
          <w:trHeight w:val="220"/>
          <w:jc w:val="center"/>
        </w:trPr>
        <w:tc>
          <w:tcPr>
            <w:tcW w:w="562" w:type="pct"/>
            <w:vAlign w:val="center"/>
          </w:tcPr>
          <w:p w14:paraId="008C0FEC" w14:textId="77777777" w:rsidR="00A9221F" w:rsidRPr="00420C1B" w:rsidRDefault="00A9221F" w:rsidP="00C61D9D">
            <w:pPr>
              <w:spacing w:after="0" w:line="240" w:lineRule="auto"/>
              <w:rPr>
                <w:rFonts w:ascii="Times New Roman" w:hAnsi="Times New Roman"/>
                <w:sz w:val="20"/>
                <w:szCs w:val="20"/>
              </w:rPr>
            </w:pPr>
            <w:r w:rsidRPr="00954E29">
              <w:rPr>
                <w:rFonts w:ascii="Times New Roman" w:hAnsi="Times New Roman"/>
                <w:sz w:val="20"/>
                <w:szCs w:val="20"/>
              </w:rPr>
              <w:t>Entretien du réseau électrique (lignes et cabines)</w:t>
            </w:r>
          </w:p>
        </w:tc>
        <w:tc>
          <w:tcPr>
            <w:tcW w:w="231" w:type="pct"/>
            <w:vAlign w:val="center"/>
          </w:tcPr>
          <w:p w14:paraId="184B6EDC"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23</w:t>
            </w:r>
          </w:p>
        </w:tc>
        <w:tc>
          <w:tcPr>
            <w:tcW w:w="400" w:type="pct"/>
            <w:vAlign w:val="center"/>
          </w:tcPr>
          <w:p w14:paraId="20E8A226" w14:textId="35FD1E69" w:rsidR="00A9221F" w:rsidRPr="00954E29" w:rsidRDefault="00CF7B89" w:rsidP="00C61D9D">
            <w:pPr>
              <w:spacing w:after="0" w:line="240" w:lineRule="auto"/>
              <w:rPr>
                <w:rFonts w:ascii="Times New Roman" w:hAnsi="Times New Roman"/>
                <w:sz w:val="20"/>
                <w:szCs w:val="20"/>
              </w:rPr>
            </w:pPr>
            <w:r>
              <w:rPr>
                <w:rFonts w:ascii="Times New Roman" w:hAnsi="Times New Roman"/>
                <w:sz w:val="20"/>
                <w:szCs w:val="20"/>
              </w:rPr>
              <w:t xml:space="preserve">Humain </w:t>
            </w:r>
          </w:p>
        </w:tc>
        <w:tc>
          <w:tcPr>
            <w:tcW w:w="529" w:type="pct"/>
            <w:vAlign w:val="center"/>
          </w:tcPr>
          <w:p w14:paraId="17A161F0" w14:textId="77777777" w:rsidR="00A9221F" w:rsidRPr="00954E29" w:rsidRDefault="00A9221F" w:rsidP="00C61D9D">
            <w:pPr>
              <w:spacing w:after="0" w:line="240" w:lineRule="auto"/>
              <w:jc w:val="both"/>
              <w:rPr>
                <w:rFonts w:ascii="Times New Roman" w:hAnsi="Times New Roman"/>
                <w:sz w:val="20"/>
                <w:szCs w:val="20"/>
              </w:rPr>
            </w:pPr>
            <w:r w:rsidRPr="00954E29">
              <w:rPr>
                <w:rFonts w:ascii="Times New Roman" w:hAnsi="Times New Roman"/>
                <w:sz w:val="20"/>
                <w:szCs w:val="20"/>
              </w:rPr>
              <w:t xml:space="preserve">Accident/incident lors des travaux d’entretien des lignes  </w:t>
            </w:r>
          </w:p>
          <w:p w14:paraId="2536F304" w14:textId="77777777" w:rsidR="00A9221F" w:rsidRPr="00954E29" w:rsidRDefault="00A9221F" w:rsidP="00C61D9D">
            <w:pPr>
              <w:spacing w:after="0" w:line="240" w:lineRule="auto"/>
              <w:jc w:val="both"/>
              <w:rPr>
                <w:rFonts w:ascii="Times New Roman" w:hAnsi="Times New Roman"/>
                <w:iCs/>
                <w:sz w:val="20"/>
                <w:szCs w:val="20"/>
              </w:rPr>
            </w:pPr>
          </w:p>
        </w:tc>
        <w:tc>
          <w:tcPr>
            <w:tcW w:w="706" w:type="pct"/>
            <w:vAlign w:val="center"/>
          </w:tcPr>
          <w:p w14:paraId="4815B2D6" w14:textId="77777777" w:rsidR="00A9221F" w:rsidRPr="00420C1B" w:rsidRDefault="00A9221F" w:rsidP="00C61D9D">
            <w:pPr>
              <w:pStyle w:val="Sansinterligne"/>
              <w:jc w:val="both"/>
              <w:rPr>
                <w:rFonts w:ascii="Times New Roman" w:hAnsi="Times New Roman"/>
                <w:sz w:val="20"/>
                <w:szCs w:val="20"/>
              </w:rPr>
            </w:pPr>
            <w:r w:rsidRPr="006C03FE">
              <w:rPr>
                <w:rFonts w:ascii="Times New Roman" w:hAnsi="Times New Roman"/>
                <w:sz w:val="20"/>
                <w:szCs w:val="20"/>
              </w:rPr>
              <w:t xml:space="preserve">Réduire les risques d’accident    </w:t>
            </w:r>
          </w:p>
        </w:tc>
        <w:tc>
          <w:tcPr>
            <w:tcW w:w="819" w:type="pct"/>
          </w:tcPr>
          <w:p w14:paraId="037A9DCA"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7C5130">
              <w:rPr>
                <w:rFonts w:ascii="Times New Roman" w:hAnsi="Times New Roman"/>
                <w:sz w:val="20"/>
                <w:szCs w:val="20"/>
              </w:rPr>
              <w:t>Elaborer un plan de prévention des risques liés aux travaux en hauteur ;</w:t>
            </w:r>
          </w:p>
          <w:p w14:paraId="120408AE"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7C5130">
              <w:rPr>
                <w:rFonts w:ascii="Times New Roman" w:hAnsi="Times New Roman"/>
                <w:sz w:val="20"/>
                <w:szCs w:val="20"/>
              </w:rPr>
              <w:t xml:space="preserve">Réglementer l’accès aux sites concernés par l’entretien ; </w:t>
            </w:r>
          </w:p>
          <w:p w14:paraId="3FCDBAD3"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7C5130">
              <w:rPr>
                <w:rFonts w:ascii="Times New Roman" w:hAnsi="Times New Roman"/>
                <w:sz w:val="20"/>
                <w:szCs w:val="20"/>
              </w:rPr>
              <w:t>Assurer une bonne signalisation des travaux ;</w:t>
            </w:r>
          </w:p>
          <w:p w14:paraId="528512A8"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7C5130">
              <w:rPr>
                <w:rFonts w:ascii="Times New Roman" w:hAnsi="Times New Roman"/>
                <w:sz w:val="20"/>
                <w:szCs w:val="20"/>
              </w:rPr>
              <w:t>Doter le personnel du chantier en équipement de protection individuelle adaptée (EPI). ;</w:t>
            </w:r>
          </w:p>
          <w:p w14:paraId="5629A759" w14:textId="77777777" w:rsidR="00A9221F" w:rsidRPr="003B1D92" w:rsidRDefault="00A9221F" w:rsidP="00C511D0">
            <w:pPr>
              <w:pStyle w:val="Paragraphedeliste"/>
              <w:numPr>
                <w:ilvl w:val="0"/>
                <w:numId w:val="14"/>
              </w:numPr>
              <w:ind w:left="216" w:hanging="285"/>
              <w:jc w:val="both"/>
              <w:rPr>
                <w:rFonts w:ascii="Times New Roman" w:hAnsi="Times New Roman"/>
                <w:sz w:val="20"/>
                <w:szCs w:val="20"/>
              </w:rPr>
            </w:pPr>
            <w:r w:rsidRPr="00A7302B">
              <w:rPr>
                <w:rFonts w:ascii="Times New Roman" w:hAnsi="Times New Roman"/>
                <w:sz w:val="20"/>
                <w:szCs w:val="20"/>
              </w:rPr>
              <w:t>Former de façon continue</w:t>
            </w:r>
            <w:r w:rsidRPr="003B1D92">
              <w:rPr>
                <w:rFonts w:ascii="Times New Roman" w:hAnsi="Times New Roman"/>
                <w:sz w:val="20"/>
                <w:szCs w:val="20"/>
              </w:rPr>
              <w:t xml:space="preserve"> le personnel du chantier en  travaux en hauteur /HSE.</w:t>
            </w:r>
          </w:p>
        </w:tc>
        <w:tc>
          <w:tcPr>
            <w:tcW w:w="423" w:type="pct"/>
            <w:vAlign w:val="center"/>
          </w:tcPr>
          <w:p w14:paraId="1705E5E3"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SNEL</w:t>
            </w:r>
          </w:p>
        </w:tc>
        <w:tc>
          <w:tcPr>
            <w:tcW w:w="405" w:type="pct"/>
            <w:vAlign w:val="center"/>
          </w:tcPr>
          <w:p w14:paraId="58510629" w14:textId="77777777" w:rsidR="00A9221F" w:rsidRPr="00215867" w:rsidRDefault="00A9221F" w:rsidP="00215867">
            <w:pPr>
              <w:pStyle w:val="Paragraphedeliste"/>
              <w:numPr>
                <w:ilvl w:val="0"/>
                <w:numId w:val="14"/>
              </w:numPr>
              <w:ind w:left="216" w:hanging="285"/>
              <w:rPr>
                <w:rFonts w:ascii="Times New Roman" w:eastAsia="Times New Roman" w:hAnsi="Times New Roman"/>
                <w:iCs/>
                <w:sz w:val="20"/>
                <w:szCs w:val="20"/>
                <w:lang w:eastAsia="fr-FR"/>
              </w:rPr>
            </w:pPr>
            <w:r w:rsidRPr="00215867">
              <w:rPr>
                <w:rFonts w:ascii="Times New Roman" w:eastAsia="Times New Roman" w:hAnsi="Times New Roman"/>
                <w:iCs/>
                <w:sz w:val="20"/>
                <w:szCs w:val="20"/>
                <w:lang w:eastAsia="fr-FR"/>
              </w:rPr>
              <w:t>UGES</w:t>
            </w:r>
          </w:p>
          <w:p w14:paraId="376644C9" w14:textId="77777777" w:rsidR="00A9221F" w:rsidRPr="00215867" w:rsidRDefault="00A9221F" w:rsidP="00215867">
            <w:pPr>
              <w:pStyle w:val="Paragraphedeliste"/>
              <w:numPr>
                <w:ilvl w:val="0"/>
                <w:numId w:val="14"/>
              </w:numPr>
              <w:ind w:left="216" w:hanging="285"/>
              <w:rPr>
                <w:sz w:val="20"/>
                <w:szCs w:val="20"/>
              </w:rPr>
            </w:pPr>
            <w:r w:rsidRPr="00215867">
              <w:rPr>
                <w:rFonts w:ascii="Times New Roman" w:eastAsia="Times New Roman" w:hAnsi="Times New Roman"/>
                <w:iCs/>
                <w:sz w:val="20"/>
                <w:szCs w:val="20"/>
                <w:lang w:eastAsia="fr-FR"/>
              </w:rPr>
              <w:t>ACE</w:t>
            </w:r>
          </w:p>
        </w:tc>
        <w:tc>
          <w:tcPr>
            <w:tcW w:w="543" w:type="pct"/>
            <w:vAlign w:val="center"/>
          </w:tcPr>
          <w:p w14:paraId="6969B074" w14:textId="77777777" w:rsidR="00A9221F" w:rsidRPr="003D4DAA" w:rsidRDefault="00A9221F" w:rsidP="00215867">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100% des cas d’accident enregistré sont prise en charge</w:t>
            </w:r>
          </w:p>
          <w:p w14:paraId="16A33F64" w14:textId="77777777" w:rsidR="00A9221F" w:rsidRPr="005E3249" w:rsidRDefault="00A9221F" w:rsidP="00215867">
            <w:pPr>
              <w:pStyle w:val="Paragraphedeliste"/>
              <w:numPr>
                <w:ilvl w:val="0"/>
                <w:numId w:val="14"/>
              </w:numPr>
              <w:ind w:left="216" w:hanging="285"/>
              <w:rPr>
                <w:rFonts w:ascii="Times New Roman" w:hAnsi="Times New Roman"/>
                <w:sz w:val="20"/>
                <w:szCs w:val="20"/>
              </w:rPr>
            </w:pPr>
            <w:r w:rsidRPr="005E3249">
              <w:rPr>
                <w:rFonts w:ascii="Times New Roman" w:hAnsi="Times New Roman"/>
                <w:sz w:val="20"/>
                <w:szCs w:val="20"/>
              </w:rPr>
              <w:t xml:space="preserve">100% des séances prévues sont réalisées </w:t>
            </w:r>
          </w:p>
          <w:p w14:paraId="0FC38C5D" w14:textId="77777777" w:rsidR="00A9221F" w:rsidRPr="00EB0E4A" w:rsidRDefault="00A9221F" w:rsidP="00215867">
            <w:pPr>
              <w:pStyle w:val="Paragraphedeliste"/>
              <w:numPr>
                <w:ilvl w:val="0"/>
                <w:numId w:val="14"/>
              </w:numPr>
              <w:ind w:left="216" w:hanging="285"/>
              <w:rPr>
                <w:rFonts w:ascii="Times New Roman" w:hAnsi="Times New Roman"/>
                <w:sz w:val="20"/>
                <w:szCs w:val="20"/>
              </w:rPr>
            </w:pPr>
            <w:r w:rsidRPr="000B1F83">
              <w:rPr>
                <w:rFonts w:ascii="Times New Roman" w:hAnsi="Times New Roman"/>
                <w:sz w:val="20"/>
                <w:szCs w:val="20"/>
              </w:rPr>
              <w:t>100 % personnel d’entretien sont équipés en EPI</w:t>
            </w:r>
          </w:p>
        </w:tc>
        <w:tc>
          <w:tcPr>
            <w:tcW w:w="382" w:type="pct"/>
            <w:vAlign w:val="center"/>
          </w:tcPr>
          <w:p w14:paraId="4AB3C314" w14:textId="5413651C" w:rsidR="00A9221F" w:rsidRPr="00215867" w:rsidRDefault="00CF7B89" w:rsidP="00215867">
            <w:pPr>
              <w:ind w:left="-69"/>
              <w:rPr>
                <w:rFonts w:ascii="Times New Roman" w:hAnsi="Times New Roman"/>
                <w:sz w:val="20"/>
                <w:szCs w:val="20"/>
              </w:rPr>
            </w:pPr>
            <w:r>
              <w:rPr>
                <w:rFonts w:ascii="Times New Roman" w:hAnsi="Times New Roman"/>
                <w:sz w:val="20"/>
                <w:szCs w:val="20"/>
              </w:rPr>
              <w:t xml:space="preserve">Avant et durant toute la période d’exploitation  </w:t>
            </w:r>
          </w:p>
        </w:tc>
      </w:tr>
      <w:tr w:rsidR="00A9221F" w:rsidRPr="00420C1B" w14:paraId="0AD9549E" w14:textId="6D4FACA8" w:rsidTr="00215867">
        <w:trPr>
          <w:cantSplit/>
          <w:trHeight w:val="220"/>
          <w:jc w:val="center"/>
        </w:trPr>
        <w:tc>
          <w:tcPr>
            <w:tcW w:w="562" w:type="pct"/>
            <w:vAlign w:val="center"/>
          </w:tcPr>
          <w:p w14:paraId="7BD7182F" w14:textId="77777777" w:rsidR="00A9221F" w:rsidRPr="00B9532B" w:rsidRDefault="00A9221F" w:rsidP="00C61D9D">
            <w:pPr>
              <w:spacing w:after="0" w:line="240" w:lineRule="auto"/>
              <w:rPr>
                <w:rFonts w:ascii="Times New Roman" w:hAnsi="Times New Roman"/>
                <w:sz w:val="20"/>
                <w:szCs w:val="20"/>
              </w:rPr>
            </w:pPr>
            <w:r w:rsidRPr="00B9532B">
              <w:rPr>
                <w:rFonts w:ascii="Times New Roman" w:hAnsi="Times New Roman"/>
                <w:sz w:val="20"/>
                <w:szCs w:val="20"/>
              </w:rPr>
              <w:t>Maintenance du réseau</w:t>
            </w:r>
          </w:p>
        </w:tc>
        <w:tc>
          <w:tcPr>
            <w:tcW w:w="231" w:type="pct"/>
            <w:vAlign w:val="center"/>
          </w:tcPr>
          <w:p w14:paraId="05C7B126"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24</w:t>
            </w:r>
          </w:p>
        </w:tc>
        <w:tc>
          <w:tcPr>
            <w:tcW w:w="400" w:type="pct"/>
            <w:vAlign w:val="center"/>
          </w:tcPr>
          <w:p w14:paraId="58E3ABD6" w14:textId="77777777" w:rsidR="00A9221F" w:rsidRPr="00954E29" w:rsidRDefault="00A9221F" w:rsidP="00C61D9D">
            <w:pPr>
              <w:spacing w:after="0" w:line="240" w:lineRule="auto"/>
              <w:rPr>
                <w:rFonts w:ascii="Times New Roman" w:hAnsi="Times New Roman"/>
                <w:sz w:val="20"/>
                <w:szCs w:val="20"/>
              </w:rPr>
            </w:pPr>
            <w:r w:rsidRPr="00954E29">
              <w:rPr>
                <w:rFonts w:ascii="Times New Roman" w:hAnsi="Times New Roman"/>
                <w:sz w:val="20"/>
                <w:szCs w:val="20"/>
              </w:rPr>
              <w:t>Population (infrastructures)</w:t>
            </w:r>
          </w:p>
        </w:tc>
        <w:tc>
          <w:tcPr>
            <w:tcW w:w="529" w:type="pct"/>
            <w:vAlign w:val="center"/>
          </w:tcPr>
          <w:p w14:paraId="314410F4" w14:textId="77777777" w:rsidR="00A9221F" w:rsidRPr="00954E29" w:rsidRDefault="00A9221F" w:rsidP="00C61D9D">
            <w:pPr>
              <w:spacing w:after="0" w:line="240" w:lineRule="auto"/>
              <w:jc w:val="both"/>
              <w:rPr>
                <w:rFonts w:ascii="Times New Roman" w:hAnsi="Times New Roman"/>
                <w:sz w:val="20"/>
                <w:szCs w:val="20"/>
              </w:rPr>
            </w:pPr>
            <w:r w:rsidRPr="00954E29">
              <w:rPr>
                <w:rFonts w:ascii="Times New Roman" w:hAnsi="Times New Roman"/>
                <w:sz w:val="20"/>
                <w:szCs w:val="20"/>
              </w:rPr>
              <w:t>Coupure intempestive d’électricité</w:t>
            </w:r>
          </w:p>
        </w:tc>
        <w:tc>
          <w:tcPr>
            <w:tcW w:w="706" w:type="pct"/>
            <w:vAlign w:val="center"/>
          </w:tcPr>
          <w:p w14:paraId="1B4B1CD0" w14:textId="77777777" w:rsidR="00A9221F" w:rsidRPr="00954E29" w:rsidRDefault="00A9221F" w:rsidP="00C511D0">
            <w:pPr>
              <w:pStyle w:val="Paragraphedeliste"/>
              <w:numPr>
                <w:ilvl w:val="0"/>
                <w:numId w:val="14"/>
              </w:numPr>
              <w:ind w:left="216" w:hanging="285"/>
              <w:jc w:val="both"/>
              <w:rPr>
                <w:rFonts w:ascii="Times New Roman" w:hAnsi="Times New Roman"/>
                <w:sz w:val="20"/>
                <w:szCs w:val="20"/>
              </w:rPr>
            </w:pPr>
            <w:r w:rsidRPr="00954E29">
              <w:rPr>
                <w:rFonts w:ascii="Times New Roman" w:hAnsi="Times New Roman"/>
                <w:sz w:val="20"/>
                <w:szCs w:val="20"/>
              </w:rPr>
              <w:t>Informer la population au moins 72 heures à l’avance des interventions devant être effectuée sur le réseau, de leur durée et du moment de rétablissement de la fourniture ;</w:t>
            </w:r>
          </w:p>
          <w:p w14:paraId="2B9D0592" w14:textId="77777777" w:rsidR="00A9221F" w:rsidRPr="00954E29" w:rsidRDefault="00A9221F" w:rsidP="00C511D0">
            <w:pPr>
              <w:pStyle w:val="Paragraphedeliste"/>
              <w:numPr>
                <w:ilvl w:val="0"/>
                <w:numId w:val="14"/>
              </w:numPr>
              <w:ind w:left="216" w:hanging="285"/>
              <w:jc w:val="both"/>
              <w:rPr>
                <w:rFonts w:ascii="Times New Roman" w:hAnsi="Times New Roman"/>
                <w:sz w:val="20"/>
                <w:szCs w:val="20"/>
              </w:rPr>
            </w:pPr>
            <w:r w:rsidRPr="00954E29">
              <w:rPr>
                <w:rFonts w:ascii="Times New Roman" w:hAnsi="Times New Roman"/>
                <w:sz w:val="20"/>
                <w:szCs w:val="20"/>
              </w:rPr>
              <w:t>Assurer largement diffusion des communiquer des interventions prévues sur le réseau dans les radios et télévision locales et les réseaux sociaux;</w:t>
            </w:r>
          </w:p>
          <w:p w14:paraId="41EB79BF" w14:textId="77777777" w:rsidR="00A9221F" w:rsidRPr="006C03FE" w:rsidRDefault="00A9221F" w:rsidP="00C511D0">
            <w:pPr>
              <w:pStyle w:val="Paragraphedeliste"/>
              <w:numPr>
                <w:ilvl w:val="0"/>
                <w:numId w:val="14"/>
              </w:numPr>
              <w:spacing w:after="0"/>
              <w:ind w:left="216" w:hanging="284"/>
              <w:contextualSpacing w:val="0"/>
              <w:jc w:val="both"/>
              <w:rPr>
                <w:rFonts w:ascii="Times New Roman" w:hAnsi="Times New Roman"/>
                <w:sz w:val="20"/>
                <w:szCs w:val="20"/>
              </w:rPr>
            </w:pPr>
            <w:r w:rsidRPr="00954E29">
              <w:rPr>
                <w:rFonts w:ascii="Times New Roman" w:hAnsi="Times New Roman"/>
                <w:sz w:val="20"/>
                <w:szCs w:val="20"/>
              </w:rPr>
              <w:t>Programmer les entretiens périodiques des installations et du réseau.</w:t>
            </w:r>
          </w:p>
        </w:tc>
        <w:tc>
          <w:tcPr>
            <w:tcW w:w="819" w:type="pct"/>
          </w:tcPr>
          <w:p w14:paraId="01AA67B6"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6C03FE">
              <w:rPr>
                <w:rFonts w:ascii="Times New Roman" w:hAnsi="Times New Roman"/>
                <w:sz w:val="20"/>
                <w:szCs w:val="20"/>
              </w:rPr>
              <w:t>Réduire aux minimum voir supprimer des coupures intempestives d’électricité</w:t>
            </w:r>
          </w:p>
          <w:p w14:paraId="015963FF" w14:textId="77777777" w:rsidR="00A9221F" w:rsidRPr="007C5130" w:rsidRDefault="00A9221F" w:rsidP="00C511D0">
            <w:pPr>
              <w:pStyle w:val="Paragraphedeliste"/>
              <w:numPr>
                <w:ilvl w:val="0"/>
                <w:numId w:val="14"/>
              </w:numPr>
              <w:ind w:left="216" w:hanging="285"/>
              <w:jc w:val="both"/>
              <w:rPr>
                <w:rFonts w:ascii="Times New Roman" w:hAnsi="Times New Roman"/>
                <w:sz w:val="20"/>
                <w:szCs w:val="20"/>
              </w:rPr>
            </w:pPr>
            <w:r w:rsidRPr="007C5130">
              <w:rPr>
                <w:rFonts w:ascii="Times New Roman" w:hAnsi="Times New Roman"/>
                <w:sz w:val="20"/>
                <w:szCs w:val="20"/>
              </w:rPr>
              <w:t>Mettre en place un programme de maintenance préventive du réseau et de ses composantes (cabines : entretien du transformateur et disjoncteur ; poteaux : vérification de l’état des poteaux ; lignes : vérification des états des isolateurs et des câbles électriques)</w:t>
            </w:r>
          </w:p>
        </w:tc>
        <w:tc>
          <w:tcPr>
            <w:tcW w:w="423" w:type="pct"/>
            <w:vAlign w:val="center"/>
          </w:tcPr>
          <w:p w14:paraId="5D5DEDED" w14:textId="77777777" w:rsidR="00A9221F" w:rsidRPr="00215867" w:rsidRDefault="00A9221F"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SNEL</w:t>
            </w:r>
          </w:p>
        </w:tc>
        <w:tc>
          <w:tcPr>
            <w:tcW w:w="405" w:type="pct"/>
            <w:vAlign w:val="center"/>
          </w:tcPr>
          <w:p w14:paraId="777D8816" w14:textId="77777777" w:rsidR="00A9221F" w:rsidRPr="00215867" w:rsidRDefault="00A9221F" w:rsidP="00215867">
            <w:pPr>
              <w:pStyle w:val="Paragraphedeliste"/>
              <w:numPr>
                <w:ilvl w:val="0"/>
                <w:numId w:val="14"/>
              </w:numPr>
              <w:ind w:left="216" w:hanging="285"/>
              <w:rPr>
                <w:rFonts w:ascii="Times New Roman" w:eastAsia="Times New Roman" w:hAnsi="Times New Roman"/>
                <w:iCs/>
                <w:sz w:val="20"/>
                <w:szCs w:val="20"/>
                <w:lang w:eastAsia="fr-FR"/>
              </w:rPr>
            </w:pPr>
            <w:r w:rsidRPr="00215867">
              <w:rPr>
                <w:rFonts w:ascii="Times New Roman" w:eastAsia="Times New Roman" w:hAnsi="Times New Roman"/>
                <w:iCs/>
                <w:sz w:val="20"/>
                <w:szCs w:val="20"/>
                <w:lang w:eastAsia="fr-FR"/>
              </w:rPr>
              <w:t>UGES</w:t>
            </w:r>
          </w:p>
          <w:p w14:paraId="25DAAFC7" w14:textId="77777777" w:rsidR="00A9221F" w:rsidRPr="00215867" w:rsidRDefault="00A9221F" w:rsidP="00215867">
            <w:pPr>
              <w:pStyle w:val="Paragraphedeliste"/>
              <w:numPr>
                <w:ilvl w:val="0"/>
                <w:numId w:val="14"/>
              </w:numPr>
              <w:ind w:left="216" w:hanging="285"/>
              <w:rPr>
                <w:sz w:val="20"/>
                <w:szCs w:val="20"/>
              </w:rPr>
            </w:pPr>
            <w:r w:rsidRPr="00215867">
              <w:rPr>
                <w:rFonts w:ascii="Times New Roman" w:eastAsia="Times New Roman" w:hAnsi="Times New Roman"/>
                <w:iCs/>
                <w:sz w:val="20"/>
                <w:szCs w:val="20"/>
                <w:lang w:eastAsia="fr-FR"/>
              </w:rPr>
              <w:t>ACE</w:t>
            </w:r>
          </w:p>
        </w:tc>
        <w:tc>
          <w:tcPr>
            <w:tcW w:w="543" w:type="pct"/>
            <w:vAlign w:val="center"/>
          </w:tcPr>
          <w:p w14:paraId="51961B77" w14:textId="77777777" w:rsidR="00A9221F" w:rsidRPr="003D4DAA" w:rsidRDefault="00A9221F" w:rsidP="00215867">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 xml:space="preserve">100% de cas de coupures sont signalées </w:t>
            </w:r>
          </w:p>
          <w:p w14:paraId="06A88A96" w14:textId="77777777" w:rsidR="00A9221F" w:rsidRPr="000B1F83" w:rsidRDefault="00A9221F" w:rsidP="00215867">
            <w:pPr>
              <w:pStyle w:val="Paragraphedeliste"/>
              <w:numPr>
                <w:ilvl w:val="0"/>
                <w:numId w:val="14"/>
              </w:numPr>
              <w:ind w:left="216" w:hanging="285"/>
              <w:rPr>
                <w:rFonts w:ascii="Times New Roman" w:hAnsi="Times New Roman"/>
                <w:sz w:val="20"/>
                <w:szCs w:val="20"/>
              </w:rPr>
            </w:pPr>
            <w:r w:rsidRPr="005E3249">
              <w:rPr>
                <w:rFonts w:ascii="Times New Roman" w:hAnsi="Times New Roman"/>
                <w:sz w:val="20"/>
                <w:szCs w:val="20"/>
              </w:rPr>
              <w:t>Entretien préventif du réseau est programmé</w:t>
            </w:r>
          </w:p>
        </w:tc>
        <w:tc>
          <w:tcPr>
            <w:tcW w:w="382" w:type="pct"/>
            <w:vAlign w:val="center"/>
          </w:tcPr>
          <w:p w14:paraId="249F936E" w14:textId="08420AE6" w:rsidR="00A9221F" w:rsidRPr="00215867" w:rsidRDefault="00CF7B89" w:rsidP="00215867">
            <w:pPr>
              <w:ind w:left="-69"/>
              <w:rPr>
                <w:rFonts w:ascii="Times New Roman" w:hAnsi="Times New Roman"/>
                <w:sz w:val="20"/>
                <w:szCs w:val="20"/>
              </w:rPr>
            </w:pPr>
            <w:r>
              <w:rPr>
                <w:rFonts w:ascii="Times New Roman" w:hAnsi="Times New Roman"/>
                <w:sz w:val="20"/>
                <w:szCs w:val="20"/>
              </w:rPr>
              <w:t xml:space="preserve">Avant les travaux d’entretien </w:t>
            </w:r>
          </w:p>
        </w:tc>
      </w:tr>
      <w:tr w:rsidR="00A9221F" w:rsidRPr="00420C1B" w14:paraId="0AEC8A8B" w14:textId="18E7BA1B" w:rsidTr="00215867">
        <w:trPr>
          <w:cantSplit/>
          <w:trHeight w:val="1527"/>
          <w:jc w:val="center"/>
        </w:trPr>
        <w:tc>
          <w:tcPr>
            <w:tcW w:w="562" w:type="pct"/>
            <w:vMerge w:val="restart"/>
            <w:vAlign w:val="center"/>
          </w:tcPr>
          <w:p w14:paraId="019413D1"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Elagage des arbres dans l’emprise des lignes</w:t>
            </w:r>
          </w:p>
        </w:tc>
        <w:tc>
          <w:tcPr>
            <w:tcW w:w="231" w:type="pct"/>
            <w:vAlign w:val="center"/>
          </w:tcPr>
          <w:p w14:paraId="28C8F804" w14:textId="77777777" w:rsidR="00A9221F" w:rsidRPr="00420C1B" w:rsidRDefault="00A9221F" w:rsidP="00C61D9D">
            <w:pPr>
              <w:spacing w:after="0" w:line="240" w:lineRule="auto"/>
              <w:rPr>
                <w:rFonts w:ascii="Times New Roman" w:hAnsi="Times New Roman"/>
                <w:sz w:val="20"/>
                <w:szCs w:val="20"/>
              </w:rPr>
            </w:pPr>
            <w:r w:rsidRPr="00420C1B">
              <w:rPr>
                <w:rFonts w:ascii="Times New Roman" w:hAnsi="Times New Roman"/>
                <w:sz w:val="20"/>
                <w:szCs w:val="20"/>
              </w:rPr>
              <w:t>8</w:t>
            </w:r>
          </w:p>
        </w:tc>
        <w:tc>
          <w:tcPr>
            <w:tcW w:w="400" w:type="pct"/>
            <w:vAlign w:val="center"/>
          </w:tcPr>
          <w:p w14:paraId="40DF890C"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Flore</w:t>
            </w:r>
          </w:p>
        </w:tc>
        <w:tc>
          <w:tcPr>
            <w:tcW w:w="529" w:type="pct"/>
            <w:vAlign w:val="center"/>
          </w:tcPr>
          <w:p w14:paraId="5A995D4C" w14:textId="77777777" w:rsidR="00A9221F" w:rsidRPr="003D4DAA" w:rsidRDefault="00A9221F" w:rsidP="00C61D9D">
            <w:pPr>
              <w:spacing w:after="0" w:line="240" w:lineRule="auto"/>
              <w:rPr>
                <w:rFonts w:ascii="Times New Roman" w:hAnsi="Times New Roman"/>
                <w:iCs/>
                <w:sz w:val="20"/>
                <w:szCs w:val="20"/>
              </w:rPr>
            </w:pPr>
            <w:r w:rsidRPr="003D4DAA">
              <w:rPr>
                <w:rFonts w:ascii="Times New Roman" w:hAnsi="Times New Roman"/>
                <w:iCs/>
                <w:sz w:val="20"/>
                <w:szCs w:val="20"/>
              </w:rPr>
              <w:t>Perte de couvert végétal</w:t>
            </w:r>
          </w:p>
        </w:tc>
        <w:tc>
          <w:tcPr>
            <w:tcW w:w="706" w:type="pct"/>
            <w:vMerge w:val="restart"/>
            <w:vAlign w:val="center"/>
          </w:tcPr>
          <w:p w14:paraId="489D1D3A" w14:textId="05A19912" w:rsidR="00A9221F" w:rsidRPr="00420C1B" w:rsidRDefault="00A9221F" w:rsidP="00C61D9D">
            <w:pPr>
              <w:pStyle w:val="Sansinterligne"/>
              <w:rPr>
                <w:rFonts w:ascii="Times New Roman" w:hAnsi="Times New Roman"/>
                <w:sz w:val="20"/>
                <w:szCs w:val="20"/>
              </w:rPr>
            </w:pPr>
            <w:r w:rsidRPr="00420C1B">
              <w:rPr>
                <w:rFonts w:ascii="Times New Roman" w:hAnsi="Times New Roman"/>
                <w:sz w:val="20"/>
                <w:szCs w:val="20"/>
              </w:rPr>
              <w:t>Suivi régulier des lignes él</w:t>
            </w:r>
            <w:r w:rsidR="00CF7B89" w:rsidRPr="00420C1B">
              <w:rPr>
                <w:rFonts w:ascii="Times New Roman" w:hAnsi="Times New Roman"/>
                <w:sz w:val="20"/>
                <w:szCs w:val="20"/>
              </w:rPr>
              <w:t>ectriques pour la sécurisation d</w:t>
            </w:r>
            <w:r w:rsidRPr="00420C1B">
              <w:rPr>
                <w:rFonts w:ascii="Times New Roman" w:hAnsi="Times New Roman"/>
                <w:sz w:val="20"/>
                <w:szCs w:val="20"/>
              </w:rPr>
              <w:t>es installations</w:t>
            </w:r>
          </w:p>
        </w:tc>
        <w:tc>
          <w:tcPr>
            <w:tcW w:w="819" w:type="pct"/>
            <w:vAlign w:val="center"/>
          </w:tcPr>
          <w:p w14:paraId="4E771422" w14:textId="77777777" w:rsidR="00A9221F" w:rsidRPr="003D4DAA" w:rsidRDefault="00A9221F" w:rsidP="00C511D0">
            <w:pPr>
              <w:pStyle w:val="Paragraphedeliste"/>
              <w:numPr>
                <w:ilvl w:val="0"/>
                <w:numId w:val="14"/>
              </w:numPr>
              <w:ind w:left="216" w:hanging="285"/>
              <w:jc w:val="both"/>
              <w:rPr>
                <w:rFonts w:ascii="Times New Roman" w:hAnsi="Times New Roman"/>
                <w:sz w:val="20"/>
                <w:szCs w:val="20"/>
              </w:rPr>
            </w:pPr>
            <w:r w:rsidRPr="003D4DAA">
              <w:rPr>
                <w:rFonts w:ascii="Times New Roman" w:hAnsi="Times New Roman"/>
                <w:sz w:val="20"/>
                <w:szCs w:val="20"/>
              </w:rPr>
              <w:t>Elagage des arbres pour éviter l’enchevêtrement des lignes électriques par la végétation</w:t>
            </w:r>
          </w:p>
        </w:tc>
        <w:tc>
          <w:tcPr>
            <w:tcW w:w="423" w:type="pct"/>
            <w:vAlign w:val="center"/>
          </w:tcPr>
          <w:p w14:paraId="494C42EE" w14:textId="77777777" w:rsidR="00A9221F" w:rsidRPr="00215867" w:rsidRDefault="00A9221F" w:rsidP="00CF7B8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SNEL</w:t>
            </w:r>
          </w:p>
        </w:tc>
        <w:tc>
          <w:tcPr>
            <w:tcW w:w="405" w:type="pct"/>
            <w:vAlign w:val="center"/>
          </w:tcPr>
          <w:p w14:paraId="0DB0717E" w14:textId="77777777" w:rsidR="00A9221F" w:rsidRPr="00215867" w:rsidRDefault="00A9221F" w:rsidP="00CF7B89">
            <w:pPr>
              <w:pStyle w:val="Paragraphedeliste"/>
              <w:numPr>
                <w:ilvl w:val="0"/>
                <w:numId w:val="14"/>
              </w:numPr>
              <w:ind w:left="216" w:hanging="285"/>
              <w:rPr>
                <w:rFonts w:ascii="Times New Roman" w:eastAsia="Times New Roman" w:hAnsi="Times New Roman"/>
                <w:iCs/>
                <w:sz w:val="20"/>
                <w:szCs w:val="20"/>
                <w:lang w:eastAsia="fr-FR"/>
              </w:rPr>
            </w:pPr>
            <w:r w:rsidRPr="00215867">
              <w:rPr>
                <w:rFonts w:ascii="Times New Roman" w:eastAsia="Times New Roman" w:hAnsi="Times New Roman"/>
                <w:iCs/>
                <w:sz w:val="20"/>
                <w:szCs w:val="20"/>
                <w:lang w:eastAsia="fr-FR"/>
              </w:rPr>
              <w:t>UGES</w:t>
            </w:r>
          </w:p>
          <w:p w14:paraId="44FE97C2" w14:textId="77777777" w:rsidR="00A9221F" w:rsidRPr="00215867" w:rsidRDefault="00A9221F" w:rsidP="00CF7B89">
            <w:pPr>
              <w:pStyle w:val="Paragraphedeliste"/>
              <w:numPr>
                <w:ilvl w:val="0"/>
                <w:numId w:val="14"/>
              </w:numPr>
              <w:ind w:left="216" w:hanging="285"/>
              <w:rPr>
                <w:sz w:val="20"/>
                <w:szCs w:val="20"/>
              </w:rPr>
            </w:pPr>
            <w:r w:rsidRPr="00215867">
              <w:rPr>
                <w:rFonts w:ascii="Times New Roman" w:eastAsia="Times New Roman" w:hAnsi="Times New Roman"/>
                <w:iCs/>
                <w:sz w:val="20"/>
                <w:szCs w:val="20"/>
                <w:lang w:eastAsia="fr-FR"/>
              </w:rPr>
              <w:t>ACE</w:t>
            </w:r>
          </w:p>
        </w:tc>
        <w:tc>
          <w:tcPr>
            <w:tcW w:w="543" w:type="pct"/>
            <w:vMerge w:val="restart"/>
            <w:vAlign w:val="center"/>
          </w:tcPr>
          <w:p w14:paraId="7610D506" w14:textId="77777777" w:rsidR="00A9221F" w:rsidRPr="00EB0E4A" w:rsidRDefault="00A9221F" w:rsidP="00CF7B89">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F</w:t>
            </w:r>
            <w:r w:rsidRPr="001629FF">
              <w:rPr>
                <w:rFonts w:ascii="Times New Roman" w:hAnsi="Times New Roman"/>
                <w:sz w:val="20"/>
                <w:szCs w:val="20"/>
              </w:rPr>
              <w:t xml:space="preserve">réquence de suivi régulier des </w:t>
            </w:r>
            <w:r w:rsidRPr="005E3249">
              <w:rPr>
                <w:rFonts w:ascii="Times New Roman" w:hAnsi="Times New Roman"/>
                <w:sz w:val="20"/>
                <w:szCs w:val="20"/>
              </w:rPr>
              <w:t>lignes (tous les 6 mois), en ra</w:t>
            </w:r>
            <w:r w:rsidRPr="000B1F83">
              <w:rPr>
                <w:rFonts w:ascii="Times New Roman" w:hAnsi="Times New Roman"/>
                <w:sz w:val="20"/>
                <w:szCs w:val="20"/>
              </w:rPr>
              <w:t xml:space="preserve">ison de </w:t>
            </w:r>
            <w:r w:rsidRPr="00EB0E4A">
              <w:rPr>
                <w:rFonts w:ascii="Times New Roman" w:hAnsi="Times New Roman"/>
                <w:sz w:val="20"/>
                <w:szCs w:val="20"/>
              </w:rPr>
              <w:t xml:space="preserve">2 suivis par an ; </w:t>
            </w:r>
          </w:p>
          <w:p w14:paraId="7EC9486D" w14:textId="77777777" w:rsidR="00A9221F" w:rsidRPr="00215867" w:rsidRDefault="00A9221F" w:rsidP="00A6086C">
            <w:pPr>
              <w:pStyle w:val="Paragraphedeliste"/>
              <w:numPr>
                <w:ilvl w:val="0"/>
                <w:numId w:val="14"/>
              </w:numPr>
              <w:spacing w:after="0" w:line="240" w:lineRule="auto"/>
              <w:ind w:left="216" w:hanging="284"/>
              <w:contextualSpacing w:val="0"/>
              <w:rPr>
                <w:rFonts w:eastAsia="Times New Roman"/>
                <w:sz w:val="20"/>
                <w:szCs w:val="20"/>
                <w:lang w:eastAsia="fr-FR"/>
              </w:rPr>
            </w:pPr>
            <w:r w:rsidRPr="00EB0E4A">
              <w:rPr>
                <w:rFonts w:ascii="Times New Roman" w:hAnsi="Times New Roman"/>
                <w:sz w:val="20"/>
                <w:szCs w:val="20"/>
              </w:rPr>
              <w:t>Nombres d’arbres élagués</w:t>
            </w:r>
          </w:p>
        </w:tc>
        <w:tc>
          <w:tcPr>
            <w:tcW w:w="382" w:type="pct"/>
            <w:vAlign w:val="center"/>
          </w:tcPr>
          <w:p w14:paraId="0CDB5ACE" w14:textId="4DA7AD13" w:rsidR="00A9221F" w:rsidRPr="00215867" w:rsidRDefault="00CF7B89" w:rsidP="00215867">
            <w:pPr>
              <w:ind w:left="-68"/>
              <w:rPr>
                <w:rFonts w:ascii="Times New Roman" w:hAnsi="Times New Roman"/>
                <w:sz w:val="20"/>
                <w:szCs w:val="20"/>
              </w:rPr>
            </w:pPr>
            <w:r>
              <w:rPr>
                <w:rFonts w:ascii="Times New Roman" w:hAnsi="Times New Roman"/>
                <w:sz w:val="20"/>
                <w:szCs w:val="20"/>
              </w:rPr>
              <w:t xml:space="preserve">Durant toute la période d’exploitation </w:t>
            </w:r>
          </w:p>
        </w:tc>
      </w:tr>
      <w:tr w:rsidR="00A9221F" w:rsidRPr="00420C1B" w14:paraId="6C9A56A2" w14:textId="56373EC4" w:rsidTr="0087475F">
        <w:trPr>
          <w:cantSplit/>
          <w:trHeight w:val="454"/>
          <w:jc w:val="center"/>
        </w:trPr>
        <w:tc>
          <w:tcPr>
            <w:tcW w:w="562" w:type="pct"/>
            <w:vMerge/>
            <w:vAlign w:val="center"/>
          </w:tcPr>
          <w:p w14:paraId="1A1BDD1E" w14:textId="77777777" w:rsidR="00A9221F" w:rsidRPr="00420C1B" w:rsidRDefault="00A9221F" w:rsidP="00C61D9D">
            <w:pPr>
              <w:spacing w:after="0" w:line="240" w:lineRule="auto"/>
              <w:rPr>
                <w:rFonts w:ascii="Times New Roman" w:hAnsi="Times New Roman"/>
                <w:sz w:val="20"/>
                <w:szCs w:val="20"/>
              </w:rPr>
            </w:pPr>
          </w:p>
        </w:tc>
        <w:tc>
          <w:tcPr>
            <w:tcW w:w="231" w:type="pct"/>
            <w:vAlign w:val="center"/>
          </w:tcPr>
          <w:p w14:paraId="39FE84F7" w14:textId="77777777" w:rsidR="00A9221F" w:rsidRPr="00420C1B" w:rsidRDefault="00A9221F" w:rsidP="00C61D9D">
            <w:pPr>
              <w:spacing w:after="0" w:line="240" w:lineRule="auto"/>
              <w:jc w:val="center"/>
              <w:rPr>
                <w:rFonts w:ascii="Times New Roman" w:hAnsi="Times New Roman"/>
                <w:sz w:val="20"/>
                <w:szCs w:val="20"/>
              </w:rPr>
            </w:pPr>
            <w:r w:rsidRPr="00420C1B">
              <w:rPr>
                <w:rFonts w:ascii="Times New Roman" w:hAnsi="Times New Roman"/>
                <w:sz w:val="20"/>
                <w:szCs w:val="20"/>
              </w:rPr>
              <w:t>9</w:t>
            </w:r>
          </w:p>
        </w:tc>
        <w:tc>
          <w:tcPr>
            <w:tcW w:w="400" w:type="pct"/>
            <w:vAlign w:val="center"/>
          </w:tcPr>
          <w:p w14:paraId="743FD2FE"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 xml:space="preserve">Faune </w:t>
            </w:r>
          </w:p>
        </w:tc>
        <w:tc>
          <w:tcPr>
            <w:tcW w:w="529" w:type="pct"/>
            <w:vAlign w:val="center"/>
          </w:tcPr>
          <w:p w14:paraId="4F8E3D41" w14:textId="77777777" w:rsidR="00A9221F" w:rsidRPr="003D4DAA" w:rsidRDefault="00A9221F" w:rsidP="00C61D9D">
            <w:pPr>
              <w:spacing w:after="0" w:line="240" w:lineRule="auto"/>
              <w:jc w:val="both"/>
              <w:rPr>
                <w:rFonts w:ascii="Times New Roman" w:hAnsi="Times New Roman"/>
                <w:iCs/>
                <w:sz w:val="20"/>
                <w:szCs w:val="20"/>
              </w:rPr>
            </w:pPr>
            <w:r w:rsidRPr="003D4DAA">
              <w:rPr>
                <w:rFonts w:ascii="Times New Roman" w:hAnsi="Times New Roman"/>
                <w:iCs/>
                <w:sz w:val="20"/>
                <w:szCs w:val="20"/>
              </w:rPr>
              <w:t xml:space="preserve">Perturbation des habitats fauniques (nids des oiseaux) </w:t>
            </w:r>
          </w:p>
          <w:p w14:paraId="1ED0BE82" w14:textId="77777777" w:rsidR="00A9221F" w:rsidRPr="003D4DAA" w:rsidRDefault="00A9221F" w:rsidP="00C61D9D">
            <w:pPr>
              <w:spacing w:after="0" w:line="240" w:lineRule="auto"/>
              <w:ind w:left="360"/>
              <w:jc w:val="both"/>
              <w:rPr>
                <w:rFonts w:ascii="Times New Roman" w:hAnsi="Times New Roman"/>
                <w:iCs/>
                <w:sz w:val="20"/>
                <w:szCs w:val="20"/>
              </w:rPr>
            </w:pPr>
          </w:p>
        </w:tc>
        <w:tc>
          <w:tcPr>
            <w:tcW w:w="706" w:type="pct"/>
            <w:vMerge/>
            <w:vAlign w:val="center"/>
          </w:tcPr>
          <w:p w14:paraId="4929372D" w14:textId="77777777" w:rsidR="00A9221F" w:rsidRPr="00420C1B" w:rsidRDefault="00A9221F" w:rsidP="00C61D9D">
            <w:pPr>
              <w:pStyle w:val="Sansinterligne"/>
              <w:jc w:val="both"/>
              <w:rPr>
                <w:rFonts w:ascii="Times New Roman" w:hAnsi="Times New Roman"/>
                <w:sz w:val="20"/>
                <w:szCs w:val="20"/>
              </w:rPr>
            </w:pPr>
          </w:p>
        </w:tc>
        <w:tc>
          <w:tcPr>
            <w:tcW w:w="819" w:type="pct"/>
          </w:tcPr>
          <w:p w14:paraId="4D368ACB"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Minimiser la perte du couvert végétal lors travaux d’entretien des installations</w:t>
            </w:r>
          </w:p>
          <w:p w14:paraId="40777898" w14:textId="77777777" w:rsidR="00A9221F" w:rsidRPr="003D4DAA" w:rsidRDefault="00A9221F" w:rsidP="00C511D0">
            <w:pPr>
              <w:pStyle w:val="Paragraphedeliste"/>
              <w:numPr>
                <w:ilvl w:val="0"/>
                <w:numId w:val="14"/>
              </w:numPr>
              <w:spacing w:after="0"/>
              <w:ind w:left="216" w:hanging="284"/>
              <w:contextualSpacing w:val="0"/>
              <w:rPr>
                <w:rFonts w:ascii="Times New Roman" w:hAnsi="Times New Roman"/>
                <w:sz w:val="20"/>
                <w:szCs w:val="20"/>
              </w:rPr>
            </w:pPr>
            <w:r w:rsidRPr="003D4DAA">
              <w:rPr>
                <w:rFonts w:ascii="Times New Roman" w:hAnsi="Times New Roman"/>
                <w:sz w:val="20"/>
                <w:szCs w:val="20"/>
              </w:rPr>
              <w:t>Sensibiliser l’équipe d’entretien sur l’interdiction de la chasse dans la zone d’étude</w:t>
            </w:r>
          </w:p>
        </w:tc>
        <w:tc>
          <w:tcPr>
            <w:tcW w:w="423" w:type="pct"/>
          </w:tcPr>
          <w:p w14:paraId="425A39CF" w14:textId="77777777" w:rsidR="00A9221F" w:rsidRPr="00215867" w:rsidRDefault="00A9221F"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SNEL</w:t>
            </w:r>
          </w:p>
        </w:tc>
        <w:tc>
          <w:tcPr>
            <w:tcW w:w="405" w:type="pct"/>
          </w:tcPr>
          <w:p w14:paraId="1A6884D5" w14:textId="77777777" w:rsidR="00A9221F" w:rsidRPr="00215867" w:rsidRDefault="00A9221F" w:rsidP="00C511D0">
            <w:pPr>
              <w:pStyle w:val="Paragraphedeliste"/>
              <w:numPr>
                <w:ilvl w:val="0"/>
                <w:numId w:val="14"/>
              </w:numPr>
              <w:ind w:left="216" w:hanging="285"/>
              <w:jc w:val="both"/>
              <w:rPr>
                <w:rFonts w:ascii="Times New Roman" w:eastAsia="Times New Roman" w:hAnsi="Times New Roman"/>
                <w:iCs/>
                <w:sz w:val="20"/>
                <w:szCs w:val="20"/>
                <w:lang w:eastAsia="fr-FR"/>
              </w:rPr>
            </w:pPr>
            <w:r w:rsidRPr="00215867">
              <w:rPr>
                <w:rFonts w:ascii="Times New Roman" w:eastAsia="Times New Roman" w:hAnsi="Times New Roman"/>
                <w:iCs/>
                <w:sz w:val="20"/>
                <w:szCs w:val="20"/>
                <w:lang w:eastAsia="fr-FR"/>
              </w:rPr>
              <w:t>UGES</w:t>
            </w:r>
          </w:p>
          <w:p w14:paraId="36BC8F8F" w14:textId="77777777" w:rsidR="00A9221F" w:rsidRPr="00215867" w:rsidRDefault="00A9221F" w:rsidP="00C511D0">
            <w:pPr>
              <w:pStyle w:val="Paragraphedeliste"/>
              <w:numPr>
                <w:ilvl w:val="0"/>
                <w:numId w:val="14"/>
              </w:numPr>
              <w:ind w:left="216" w:hanging="285"/>
              <w:jc w:val="both"/>
              <w:rPr>
                <w:sz w:val="20"/>
                <w:szCs w:val="20"/>
              </w:rPr>
            </w:pPr>
            <w:r w:rsidRPr="00215867">
              <w:rPr>
                <w:rFonts w:ascii="Times New Roman" w:eastAsia="Times New Roman" w:hAnsi="Times New Roman"/>
                <w:iCs/>
                <w:sz w:val="20"/>
                <w:szCs w:val="20"/>
                <w:lang w:eastAsia="fr-FR"/>
              </w:rPr>
              <w:t>ACE</w:t>
            </w:r>
          </w:p>
        </w:tc>
        <w:tc>
          <w:tcPr>
            <w:tcW w:w="543" w:type="pct"/>
            <w:vMerge/>
          </w:tcPr>
          <w:p w14:paraId="7ADC32EB" w14:textId="77777777" w:rsidR="00A9221F" w:rsidRPr="00215867" w:rsidRDefault="00A9221F" w:rsidP="00C61D9D">
            <w:pPr>
              <w:pStyle w:val="Lgende"/>
              <w:autoSpaceDE w:val="0"/>
              <w:autoSpaceDN w:val="0"/>
              <w:adjustRightInd w:val="0"/>
              <w:spacing w:after="0" w:line="276" w:lineRule="auto"/>
              <w:jc w:val="both"/>
              <w:rPr>
                <w:rFonts w:eastAsia="Times New Roman"/>
                <w:color w:val="auto"/>
                <w:sz w:val="20"/>
                <w:szCs w:val="20"/>
                <w:lang w:eastAsia="fr-FR"/>
              </w:rPr>
            </w:pPr>
          </w:p>
        </w:tc>
        <w:tc>
          <w:tcPr>
            <w:tcW w:w="382" w:type="pct"/>
          </w:tcPr>
          <w:p w14:paraId="206FCC4F" w14:textId="77777777" w:rsidR="00A9221F" w:rsidRPr="00A9221F" w:rsidRDefault="00A9221F" w:rsidP="00C61D9D">
            <w:pPr>
              <w:pStyle w:val="Lgende"/>
              <w:autoSpaceDE w:val="0"/>
              <w:autoSpaceDN w:val="0"/>
              <w:adjustRightInd w:val="0"/>
              <w:spacing w:after="0" w:line="276" w:lineRule="auto"/>
              <w:jc w:val="both"/>
              <w:rPr>
                <w:rFonts w:eastAsia="Times New Roman"/>
                <w:color w:val="auto"/>
                <w:sz w:val="20"/>
                <w:szCs w:val="20"/>
                <w:lang w:eastAsia="fr-FR"/>
              </w:rPr>
            </w:pPr>
          </w:p>
        </w:tc>
      </w:tr>
      <w:tr w:rsidR="00A9221F" w:rsidRPr="00420C1B" w14:paraId="0E0C231B" w14:textId="7BFDA3C6" w:rsidTr="00215867">
        <w:trPr>
          <w:cantSplit/>
          <w:trHeight w:val="454"/>
          <w:jc w:val="center"/>
        </w:trPr>
        <w:tc>
          <w:tcPr>
            <w:tcW w:w="562" w:type="pct"/>
            <w:vAlign w:val="center"/>
          </w:tcPr>
          <w:p w14:paraId="5C9C2C33" w14:textId="77777777" w:rsidR="00A9221F" w:rsidRPr="00420C1B"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Mise en service des transformateurs</w:t>
            </w:r>
          </w:p>
        </w:tc>
        <w:tc>
          <w:tcPr>
            <w:tcW w:w="231" w:type="pct"/>
            <w:vAlign w:val="center"/>
          </w:tcPr>
          <w:p w14:paraId="6E5887B3" w14:textId="77777777" w:rsidR="00A9221F" w:rsidRPr="00420C1B" w:rsidRDefault="00A9221F" w:rsidP="00C61D9D">
            <w:pPr>
              <w:spacing w:after="0" w:line="240" w:lineRule="auto"/>
              <w:jc w:val="center"/>
              <w:rPr>
                <w:rFonts w:ascii="Times New Roman" w:hAnsi="Times New Roman"/>
                <w:sz w:val="20"/>
                <w:szCs w:val="20"/>
              </w:rPr>
            </w:pPr>
            <w:r w:rsidRPr="003D4DAA">
              <w:rPr>
                <w:rFonts w:ascii="Times New Roman" w:hAnsi="Times New Roman"/>
                <w:sz w:val="20"/>
                <w:szCs w:val="20"/>
              </w:rPr>
              <w:t>10</w:t>
            </w:r>
          </w:p>
        </w:tc>
        <w:tc>
          <w:tcPr>
            <w:tcW w:w="400" w:type="pct"/>
            <w:vAlign w:val="center"/>
          </w:tcPr>
          <w:p w14:paraId="555AE2CD"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Sols, Eau, habitat naturels</w:t>
            </w:r>
          </w:p>
        </w:tc>
        <w:tc>
          <w:tcPr>
            <w:tcW w:w="529" w:type="pct"/>
            <w:vAlign w:val="center"/>
          </w:tcPr>
          <w:p w14:paraId="1ABBA738" w14:textId="77777777" w:rsidR="00A9221F" w:rsidRPr="003D4DAA" w:rsidRDefault="00A9221F" w:rsidP="00C61D9D">
            <w:pPr>
              <w:rPr>
                <w:rFonts w:ascii="Times New Roman" w:hAnsi="Times New Roman"/>
                <w:sz w:val="20"/>
                <w:szCs w:val="20"/>
              </w:rPr>
            </w:pPr>
            <w:r w:rsidRPr="003D4DAA">
              <w:rPr>
                <w:rFonts w:ascii="Times New Roman" w:hAnsi="Times New Roman"/>
                <w:sz w:val="20"/>
                <w:szCs w:val="20"/>
              </w:rPr>
              <w:t>Pollution du sol, des eaux et des habitats : risque de dégradation de la qualité des sols des eaux et destruction des habitats des microorganismes due aux fuites ou déversement accidentel des huiles avariés ou des fuites</w:t>
            </w:r>
          </w:p>
        </w:tc>
        <w:tc>
          <w:tcPr>
            <w:tcW w:w="706" w:type="pct"/>
            <w:vAlign w:val="center"/>
          </w:tcPr>
          <w:p w14:paraId="2C0AD388"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 xml:space="preserve">Mise en œuvre d’un Plan de de gestion des déchets Dangereux  </w:t>
            </w:r>
          </w:p>
        </w:tc>
        <w:tc>
          <w:tcPr>
            <w:tcW w:w="819" w:type="pct"/>
            <w:vAlign w:val="center"/>
          </w:tcPr>
          <w:p w14:paraId="3661C71F"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Prévoir une fosse étanche ou cuve ouvertes  pour recueillir les fuites en cas d’avarie ou de fuite ou d’usure du poste de transformateur;</w:t>
            </w:r>
          </w:p>
          <w:p w14:paraId="6020CB5F"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Prévoir des pompes et des futs adaptés pour recueillir les huiles qui arrivent dans les fosses ;</w:t>
            </w:r>
          </w:p>
          <w:p w14:paraId="6526F6EB"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 Transférer les fûts dans les sites de recyclage ou de destruction</w:t>
            </w:r>
          </w:p>
        </w:tc>
        <w:tc>
          <w:tcPr>
            <w:tcW w:w="423" w:type="pct"/>
            <w:vAlign w:val="center"/>
          </w:tcPr>
          <w:p w14:paraId="22DB756E" w14:textId="77777777" w:rsidR="00A9221F" w:rsidRPr="003D4DAA" w:rsidRDefault="00A9221F" w:rsidP="00CF7B89">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SNEL</w:t>
            </w:r>
          </w:p>
        </w:tc>
        <w:tc>
          <w:tcPr>
            <w:tcW w:w="405" w:type="pct"/>
            <w:vAlign w:val="center"/>
          </w:tcPr>
          <w:p w14:paraId="5834D18E" w14:textId="77777777" w:rsidR="00A9221F" w:rsidRPr="003D4DAA" w:rsidRDefault="00A9221F" w:rsidP="00CF7B89">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UGES</w:t>
            </w:r>
          </w:p>
          <w:p w14:paraId="7D581132" w14:textId="77777777" w:rsidR="00A9221F" w:rsidRPr="003D4DAA" w:rsidRDefault="00A9221F" w:rsidP="00CF7B89">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ACE</w:t>
            </w:r>
          </w:p>
        </w:tc>
        <w:tc>
          <w:tcPr>
            <w:tcW w:w="543" w:type="pct"/>
            <w:vAlign w:val="center"/>
          </w:tcPr>
          <w:p w14:paraId="3698987C" w14:textId="77777777" w:rsidR="00A9221F" w:rsidRPr="003D4DAA" w:rsidRDefault="00A9221F" w:rsidP="00CF7B89">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100% des sites visités ne présentent pas de trace d’huiles ;</w:t>
            </w:r>
          </w:p>
          <w:p w14:paraId="171EA77D" w14:textId="77777777" w:rsidR="00A9221F" w:rsidRPr="003D4DAA" w:rsidRDefault="00A9221F" w:rsidP="00A6086C">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100% des cuves ouvertes  de récupération sont transférés dans fosses étanches</w:t>
            </w:r>
          </w:p>
        </w:tc>
        <w:tc>
          <w:tcPr>
            <w:tcW w:w="382" w:type="pct"/>
            <w:vAlign w:val="center"/>
          </w:tcPr>
          <w:p w14:paraId="4C80E228" w14:textId="43934751" w:rsidR="00A9221F" w:rsidRPr="00215867" w:rsidRDefault="00CF7B89" w:rsidP="00215867">
            <w:pPr>
              <w:ind w:left="-69"/>
              <w:rPr>
                <w:rFonts w:ascii="Times New Roman" w:hAnsi="Times New Roman"/>
                <w:sz w:val="20"/>
                <w:szCs w:val="20"/>
              </w:rPr>
            </w:pPr>
            <w:r>
              <w:rPr>
                <w:rFonts w:ascii="Times New Roman" w:hAnsi="Times New Roman"/>
                <w:sz w:val="20"/>
                <w:szCs w:val="20"/>
              </w:rPr>
              <w:t xml:space="preserve">Pendant les travaux et courant la période d’exploitation </w:t>
            </w:r>
          </w:p>
        </w:tc>
      </w:tr>
      <w:tr w:rsidR="00A9221F" w:rsidRPr="00420C1B" w14:paraId="2398F837" w14:textId="077102B5" w:rsidTr="00215867">
        <w:trPr>
          <w:cantSplit/>
          <w:trHeight w:val="454"/>
          <w:jc w:val="center"/>
        </w:trPr>
        <w:tc>
          <w:tcPr>
            <w:tcW w:w="562" w:type="pct"/>
            <w:vAlign w:val="center"/>
          </w:tcPr>
          <w:p w14:paraId="07A357A9" w14:textId="77777777" w:rsidR="00A9221F" w:rsidRPr="003D4DAA" w:rsidRDefault="00A9221F" w:rsidP="00C61D9D">
            <w:pPr>
              <w:spacing w:after="0" w:line="240" w:lineRule="auto"/>
              <w:rPr>
                <w:rFonts w:ascii="Times New Roman" w:hAnsi="Times New Roman"/>
                <w:sz w:val="20"/>
                <w:szCs w:val="20"/>
              </w:rPr>
            </w:pPr>
          </w:p>
        </w:tc>
        <w:tc>
          <w:tcPr>
            <w:tcW w:w="231" w:type="pct"/>
            <w:vAlign w:val="center"/>
          </w:tcPr>
          <w:p w14:paraId="20669DFB" w14:textId="77777777" w:rsidR="00A9221F" w:rsidRPr="003D4DAA" w:rsidRDefault="00A9221F" w:rsidP="00C61D9D">
            <w:pPr>
              <w:spacing w:after="0" w:line="240" w:lineRule="auto"/>
              <w:jc w:val="center"/>
              <w:rPr>
                <w:rFonts w:ascii="Times New Roman" w:hAnsi="Times New Roman"/>
                <w:sz w:val="20"/>
                <w:szCs w:val="20"/>
              </w:rPr>
            </w:pPr>
            <w:r w:rsidRPr="003D4DAA">
              <w:rPr>
                <w:rFonts w:ascii="Times New Roman" w:hAnsi="Times New Roman"/>
                <w:sz w:val="20"/>
                <w:szCs w:val="20"/>
              </w:rPr>
              <w:t>11</w:t>
            </w:r>
          </w:p>
        </w:tc>
        <w:tc>
          <w:tcPr>
            <w:tcW w:w="400" w:type="pct"/>
            <w:vAlign w:val="center"/>
          </w:tcPr>
          <w:p w14:paraId="1BC75768"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 xml:space="preserve">Avifaune </w:t>
            </w:r>
          </w:p>
        </w:tc>
        <w:tc>
          <w:tcPr>
            <w:tcW w:w="529" w:type="pct"/>
            <w:vAlign w:val="center"/>
          </w:tcPr>
          <w:p w14:paraId="4970E1F9" w14:textId="77777777" w:rsidR="00A9221F" w:rsidRPr="003D4DAA" w:rsidRDefault="00A9221F" w:rsidP="00C511D0">
            <w:pPr>
              <w:pStyle w:val="Paragraphedeliste"/>
              <w:numPr>
                <w:ilvl w:val="0"/>
                <w:numId w:val="14"/>
              </w:numPr>
              <w:ind w:left="216" w:hanging="285"/>
              <w:jc w:val="both"/>
              <w:rPr>
                <w:rFonts w:ascii="Times New Roman" w:hAnsi="Times New Roman"/>
                <w:sz w:val="20"/>
                <w:szCs w:val="20"/>
              </w:rPr>
            </w:pPr>
            <w:r w:rsidRPr="003D4DAA">
              <w:rPr>
                <w:rFonts w:ascii="Times New Roman" w:hAnsi="Times New Roman"/>
                <w:sz w:val="20"/>
                <w:szCs w:val="20"/>
              </w:rPr>
              <w:t>Perte de l’habitat et migration des espèces de l’avifaune</w:t>
            </w:r>
          </w:p>
          <w:p w14:paraId="0A99DD99" w14:textId="77777777" w:rsidR="00A9221F" w:rsidRPr="003D4DAA" w:rsidRDefault="00A9221F" w:rsidP="00C511D0">
            <w:pPr>
              <w:pStyle w:val="Paragraphedeliste"/>
              <w:numPr>
                <w:ilvl w:val="0"/>
                <w:numId w:val="14"/>
              </w:numPr>
              <w:spacing w:after="0" w:line="240" w:lineRule="auto"/>
              <w:ind w:left="216" w:hanging="284"/>
              <w:contextualSpacing w:val="0"/>
              <w:jc w:val="both"/>
              <w:rPr>
                <w:rFonts w:ascii="Times New Roman" w:hAnsi="Times New Roman"/>
                <w:sz w:val="20"/>
                <w:szCs w:val="20"/>
              </w:rPr>
            </w:pPr>
            <w:r w:rsidRPr="003D4DAA">
              <w:rPr>
                <w:rFonts w:ascii="Times New Roman" w:hAnsi="Times New Roman"/>
                <w:sz w:val="20"/>
                <w:szCs w:val="20"/>
              </w:rPr>
              <w:t>Perte des espèces de l’avifaune suite à la percussion d’un câble électrique moyenne-tension aériens nus</w:t>
            </w:r>
          </w:p>
        </w:tc>
        <w:tc>
          <w:tcPr>
            <w:tcW w:w="706" w:type="pct"/>
            <w:vAlign w:val="center"/>
          </w:tcPr>
          <w:p w14:paraId="4BD6E111"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Identifier avant le début des travaux, les principales espèces de l’avifaune et les arbres constituants leur habitat</w:t>
            </w:r>
          </w:p>
          <w:p w14:paraId="0D8522A5"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Faire un inventaire de l’avifaune avant le début des travaux</w:t>
            </w:r>
          </w:p>
          <w:p w14:paraId="478EC2C5"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Prendre en compte la sécurité de la faune aviaire dans la conception des infrastructures électriques à déployer dans le cadre du projet.</w:t>
            </w:r>
          </w:p>
        </w:tc>
        <w:tc>
          <w:tcPr>
            <w:tcW w:w="819" w:type="pct"/>
          </w:tcPr>
          <w:p w14:paraId="4AD2ED90"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Optimiser le projet afin de minimiser la perte de végétation et de préserver la couverture végétale urbaine ;</w:t>
            </w:r>
          </w:p>
          <w:p w14:paraId="18F079AB"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Diminuer ou éviter d’effectuer des travaux durant les périodes de naissances, de nidifications et de migration des espèces ;</w:t>
            </w:r>
          </w:p>
          <w:p w14:paraId="5C784C1E"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Installer le système d'avertissement visuel (spirales blanches et rouges alternées fixées sur les câbles aériens nus pour le rendre plus visibles) ;</w:t>
            </w:r>
          </w:p>
          <w:p w14:paraId="0E0D012E"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Limiter la coupe d’arbre, l’élagage, le débroussaillage et désherbage qu’aux arbres servant d’obstacles aux travaux, notamment ceux comptabiliser dans le cadre du projet</w:t>
            </w:r>
          </w:p>
        </w:tc>
        <w:tc>
          <w:tcPr>
            <w:tcW w:w="423" w:type="pct"/>
            <w:vAlign w:val="center"/>
          </w:tcPr>
          <w:p w14:paraId="23F2F2DE"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SNEL</w:t>
            </w:r>
          </w:p>
        </w:tc>
        <w:tc>
          <w:tcPr>
            <w:tcW w:w="405" w:type="pct"/>
            <w:vAlign w:val="center"/>
          </w:tcPr>
          <w:p w14:paraId="3A5BE81E"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UGES</w:t>
            </w:r>
          </w:p>
          <w:p w14:paraId="72E4ACF3"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ACE</w:t>
            </w:r>
          </w:p>
        </w:tc>
        <w:tc>
          <w:tcPr>
            <w:tcW w:w="543" w:type="pct"/>
            <w:vAlign w:val="center"/>
          </w:tcPr>
          <w:p w14:paraId="49CBCF40"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 xml:space="preserve">Nombre d’oiseau ayant percuté les câbles électriques nus </w:t>
            </w:r>
          </w:p>
          <w:p w14:paraId="2ADAB686" w14:textId="77777777" w:rsidR="00A9221F" w:rsidRPr="003D4DAA" w:rsidRDefault="00A9221F" w:rsidP="00215867">
            <w:pPr>
              <w:pStyle w:val="Paragraphedeliste"/>
              <w:numPr>
                <w:ilvl w:val="0"/>
                <w:numId w:val="14"/>
              </w:numPr>
              <w:ind w:left="162" w:hanging="196"/>
              <w:rPr>
                <w:rFonts w:ascii="Times New Roman" w:hAnsi="Times New Roman"/>
                <w:sz w:val="20"/>
                <w:szCs w:val="20"/>
              </w:rPr>
            </w:pPr>
            <w:r w:rsidRPr="003D4DAA">
              <w:rPr>
                <w:rFonts w:ascii="Times New Roman" w:hAnsi="Times New Roman"/>
                <w:sz w:val="20"/>
                <w:szCs w:val="20"/>
              </w:rPr>
              <w:t>Dispositifs de protection de l’avifaune opérationnels</w:t>
            </w:r>
          </w:p>
        </w:tc>
        <w:tc>
          <w:tcPr>
            <w:tcW w:w="382" w:type="pct"/>
            <w:vAlign w:val="center"/>
          </w:tcPr>
          <w:p w14:paraId="15819BFE" w14:textId="5D4BFDBD" w:rsidR="00A9221F" w:rsidRPr="00215867" w:rsidRDefault="00CF7B89" w:rsidP="00215867">
            <w:pPr>
              <w:ind w:left="-69"/>
              <w:rPr>
                <w:rFonts w:ascii="Times New Roman" w:hAnsi="Times New Roman"/>
                <w:sz w:val="20"/>
                <w:szCs w:val="20"/>
              </w:rPr>
            </w:pPr>
            <w:r>
              <w:rPr>
                <w:rFonts w:ascii="Times New Roman" w:hAnsi="Times New Roman"/>
                <w:sz w:val="20"/>
                <w:szCs w:val="20"/>
              </w:rPr>
              <w:t>Avant les travaux d’entretien du réseau</w:t>
            </w:r>
          </w:p>
        </w:tc>
      </w:tr>
      <w:tr w:rsidR="00A9221F" w:rsidRPr="00420C1B" w14:paraId="63DBBDC5" w14:textId="284A28A1" w:rsidTr="00215867">
        <w:trPr>
          <w:cantSplit/>
          <w:trHeight w:val="454"/>
          <w:jc w:val="center"/>
        </w:trPr>
        <w:tc>
          <w:tcPr>
            <w:tcW w:w="562" w:type="pct"/>
            <w:vAlign w:val="center"/>
          </w:tcPr>
          <w:p w14:paraId="7AEE79ED"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Maintenance du réseau</w:t>
            </w:r>
          </w:p>
        </w:tc>
        <w:tc>
          <w:tcPr>
            <w:tcW w:w="231" w:type="pct"/>
            <w:vAlign w:val="center"/>
          </w:tcPr>
          <w:p w14:paraId="29C87B40"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24</w:t>
            </w:r>
          </w:p>
        </w:tc>
        <w:tc>
          <w:tcPr>
            <w:tcW w:w="400" w:type="pct"/>
            <w:vAlign w:val="center"/>
          </w:tcPr>
          <w:p w14:paraId="0B2D0D5C" w14:textId="77777777" w:rsidR="00A9221F" w:rsidRPr="003D4DAA" w:rsidRDefault="00A9221F" w:rsidP="00C61D9D">
            <w:pPr>
              <w:spacing w:after="0" w:line="240" w:lineRule="auto"/>
              <w:rPr>
                <w:rFonts w:ascii="Times New Roman" w:hAnsi="Times New Roman"/>
                <w:sz w:val="20"/>
                <w:szCs w:val="20"/>
              </w:rPr>
            </w:pPr>
            <w:r w:rsidRPr="003D4DAA">
              <w:rPr>
                <w:rFonts w:ascii="Times New Roman" w:hAnsi="Times New Roman"/>
                <w:sz w:val="20"/>
                <w:szCs w:val="20"/>
              </w:rPr>
              <w:t>Population (infrastructures)</w:t>
            </w:r>
          </w:p>
        </w:tc>
        <w:tc>
          <w:tcPr>
            <w:tcW w:w="529" w:type="pct"/>
            <w:vAlign w:val="center"/>
          </w:tcPr>
          <w:p w14:paraId="5A66445C" w14:textId="77777777" w:rsidR="00A9221F" w:rsidRPr="003D4DAA" w:rsidRDefault="00A9221F" w:rsidP="00C61D9D">
            <w:pPr>
              <w:rPr>
                <w:rFonts w:ascii="Times New Roman" w:hAnsi="Times New Roman"/>
                <w:sz w:val="20"/>
                <w:szCs w:val="20"/>
              </w:rPr>
            </w:pPr>
            <w:r w:rsidRPr="003D4DAA">
              <w:rPr>
                <w:rFonts w:ascii="Times New Roman" w:hAnsi="Times New Roman"/>
                <w:sz w:val="20"/>
                <w:szCs w:val="20"/>
              </w:rPr>
              <w:t>Coupure intempestive d’électricité</w:t>
            </w:r>
          </w:p>
        </w:tc>
        <w:tc>
          <w:tcPr>
            <w:tcW w:w="706" w:type="pct"/>
            <w:vAlign w:val="center"/>
          </w:tcPr>
          <w:p w14:paraId="20595145"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Informer la population au moins 72 heures à l’avance des interventions devant être effectuée sur le réseau, de leur durée et du moment de rétablissement de la fourniture ;</w:t>
            </w:r>
          </w:p>
          <w:p w14:paraId="1D8F815C"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Assurer largement diffusion des communiquer des interventions prévues sur le réseau dans les radios et télévision locales et les réseaux sociaux;</w:t>
            </w:r>
          </w:p>
          <w:p w14:paraId="2562703A"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Programmer les entretiens périodiques des installations et du réseau.</w:t>
            </w:r>
          </w:p>
        </w:tc>
        <w:tc>
          <w:tcPr>
            <w:tcW w:w="819" w:type="pct"/>
            <w:vAlign w:val="center"/>
          </w:tcPr>
          <w:p w14:paraId="4C7837B0"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Réduire aux minimum voir supprimer des coupures intempestives d’électricité</w:t>
            </w:r>
          </w:p>
          <w:p w14:paraId="3AFD33E1"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Mettre en place un programme de maintenance préventive du réseau et de ses composantes (cabines : entretien du transformateur et disjoncteur ; poteaux : vérification de l’état des poteaux ; lignes : vérification des états des isolateurs et des câbles électriques)</w:t>
            </w:r>
          </w:p>
        </w:tc>
        <w:tc>
          <w:tcPr>
            <w:tcW w:w="423" w:type="pct"/>
            <w:vAlign w:val="center"/>
          </w:tcPr>
          <w:p w14:paraId="1EBC0985"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SNEL</w:t>
            </w:r>
          </w:p>
        </w:tc>
        <w:tc>
          <w:tcPr>
            <w:tcW w:w="405" w:type="pct"/>
            <w:vAlign w:val="center"/>
          </w:tcPr>
          <w:p w14:paraId="2EC5F16F"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UGES</w:t>
            </w:r>
          </w:p>
          <w:p w14:paraId="7ACBF90D"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ACE</w:t>
            </w:r>
          </w:p>
        </w:tc>
        <w:tc>
          <w:tcPr>
            <w:tcW w:w="543" w:type="pct"/>
            <w:vAlign w:val="center"/>
          </w:tcPr>
          <w:p w14:paraId="7E1E5DBB"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 xml:space="preserve">100% de cas coupures signalés </w:t>
            </w:r>
          </w:p>
          <w:p w14:paraId="6DFED26E" w14:textId="77777777" w:rsidR="00A9221F" w:rsidRPr="003D4DAA" w:rsidRDefault="00A9221F" w:rsidP="00C511D0">
            <w:pPr>
              <w:pStyle w:val="Paragraphedeliste"/>
              <w:numPr>
                <w:ilvl w:val="0"/>
                <w:numId w:val="14"/>
              </w:numPr>
              <w:ind w:left="216" w:hanging="285"/>
              <w:rPr>
                <w:rFonts w:ascii="Times New Roman" w:hAnsi="Times New Roman"/>
                <w:sz w:val="20"/>
                <w:szCs w:val="20"/>
              </w:rPr>
            </w:pPr>
            <w:r w:rsidRPr="003D4DAA">
              <w:rPr>
                <w:rFonts w:ascii="Times New Roman" w:hAnsi="Times New Roman"/>
                <w:sz w:val="20"/>
                <w:szCs w:val="20"/>
              </w:rPr>
              <w:t>Programme d’entretien préventif du réseau</w:t>
            </w:r>
          </w:p>
        </w:tc>
        <w:tc>
          <w:tcPr>
            <w:tcW w:w="382" w:type="pct"/>
            <w:vAlign w:val="center"/>
          </w:tcPr>
          <w:p w14:paraId="40057BA9" w14:textId="56C5042D" w:rsidR="00A9221F" w:rsidRPr="00215867" w:rsidRDefault="00CF7B89" w:rsidP="00215867">
            <w:pPr>
              <w:ind w:left="-69"/>
              <w:rPr>
                <w:rFonts w:ascii="Times New Roman" w:hAnsi="Times New Roman"/>
                <w:sz w:val="20"/>
                <w:szCs w:val="20"/>
              </w:rPr>
            </w:pPr>
            <w:r>
              <w:rPr>
                <w:rFonts w:ascii="Times New Roman" w:hAnsi="Times New Roman"/>
                <w:sz w:val="20"/>
                <w:szCs w:val="20"/>
              </w:rPr>
              <w:t xml:space="preserve">Avant les travaux et  à chaque fois </w:t>
            </w:r>
            <w:r w:rsidR="00EA2AA7">
              <w:rPr>
                <w:rFonts w:ascii="Times New Roman" w:hAnsi="Times New Roman"/>
                <w:sz w:val="20"/>
                <w:szCs w:val="20"/>
              </w:rPr>
              <w:t xml:space="preserve">que </w:t>
            </w:r>
            <w:r>
              <w:rPr>
                <w:rFonts w:ascii="Times New Roman" w:hAnsi="Times New Roman"/>
                <w:sz w:val="20"/>
                <w:szCs w:val="20"/>
              </w:rPr>
              <w:t>c</w:t>
            </w:r>
            <w:r w:rsidR="00EA2AA7">
              <w:rPr>
                <w:rFonts w:ascii="Times New Roman" w:hAnsi="Times New Roman"/>
                <w:sz w:val="20"/>
                <w:szCs w:val="20"/>
              </w:rPr>
              <w:t>’est nécessaire</w:t>
            </w:r>
          </w:p>
        </w:tc>
      </w:tr>
    </w:tbl>
    <w:p w14:paraId="67452CC2" w14:textId="77777777" w:rsidR="00F16F4B" w:rsidRPr="00024B30" w:rsidRDefault="00F16F4B" w:rsidP="00E737B4">
      <w:pPr>
        <w:spacing w:after="0" w:line="240" w:lineRule="auto"/>
        <w:jc w:val="center"/>
        <w:rPr>
          <w:rFonts w:ascii="Times New Roman" w:hAnsi="Times New Roman"/>
          <w:bCs/>
          <w:i/>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63D2FB32" w14:textId="77777777" w:rsidR="00AE61CE" w:rsidRPr="00024B30" w:rsidRDefault="00AE61CE" w:rsidP="00AE61CE">
      <w:pPr>
        <w:spacing w:after="0" w:line="240" w:lineRule="auto"/>
        <w:rPr>
          <w:rFonts w:ascii="Times New Roman" w:hAnsi="Times New Roman"/>
          <w:bCs/>
          <w:i/>
        </w:rPr>
      </w:pPr>
    </w:p>
    <w:p w14:paraId="2FFB9C82" w14:textId="77777777" w:rsidR="00244161" w:rsidRPr="00D75D2E" w:rsidRDefault="00244161" w:rsidP="00244161">
      <w:pPr>
        <w:spacing w:after="0" w:line="240" w:lineRule="auto"/>
        <w:rPr>
          <w:rFonts w:ascii="Times New Roman" w:hAnsi="Times New Roman"/>
        </w:rPr>
      </w:pPr>
      <w:r w:rsidRPr="00D75D2E">
        <w:rPr>
          <w:rFonts w:ascii="Times New Roman" w:hAnsi="Times New Roman"/>
        </w:rPr>
        <w:br w:type="page"/>
      </w:r>
    </w:p>
    <w:p w14:paraId="62AFFDEB" w14:textId="77777777" w:rsidR="00244161" w:rsidRPr="00215867" w:rsidRDefault="00244161" w:rsidP="00215867">
      <w:pPr>
        <w:pStyle w:val="Titre31"/>
        <w:numPr>
          <w:ilvl w:val="2"/>
          <w:numId w:val="54"/>
        </w:numPr>
        <w:tabs>
          <w:tab w:val="left" w:pos="993"/>
        </w:tabs>
        <w:spacing w:before="120" w:after="120" w:line="20" w:lineRule="atLeast"/>
        <w:ind w:left="993" w:hanging="709"/>
        <w:rPr>
          <w:rFonts w:eastAsia="Calibri"/>
          <w:i/>
          <w:u w:val="none"/>
        </w:rPr>
      </w:pPr>
      <w:bookmarkStart w:id="844" w:name="_Toc16663521"/>
      <w:bookmarkStart w:id="845" w:name="_Toc16663695"/>
      <w:bookmarkStart w:id="846" w:name="_Toc16664940"/>
      <w:bookmarkStart w:id="847" w:name="_Toc103685729"/>
      <w:r w:rsidRPr="00215867">
        <w:rPr>
          <w:rFonts w:eastAsia="Calibri"/>
          <w:i/>
          <w:u w:val="none"/>
        </w:rPr>
        <w:t>Mesure d’atténuation des impacts sociaux négatifs</w:t>
      </w:r>
      <w:bookmarkEnd w:id="843"/>
      <w:bookmarkEnd w:id="844"/>
      <w:bookmarkEnd w:id="845"/>
      <w:bookmarkEnd w:id="846"/>
      <w:bookmarkEnd w:id="847"/>
    </w:p>
    <w:p w14:paraId="14AD0048" w14:textId="24DF7FC0" w:rsidR="00244161" w:rsidRPr="00D75D2E" w:rsidRDefault="00244161" w:rsidP="00E737B4">
      <w:pPr>
        <w:pStyle w:val="Default"/>
        <w:keepNext/>
        <w:spacing w:before="120" w:after="120"/>
        <w:rPr>
          <w:color w:val="auto"/>
          <w:sz w:val="22"/>
          <w:szCs w:val="22"/>
        </w:rPr>
      </w:pPr>
      <w:bookmarkStart w:id="848" w:name="_Toc452467387"/>
      <w:bookmarkStart w:id="849" w:name="_Toc466809079"/>
      <w:bookmarkStart w:id="850" w:name="_Toc519048955"/>
      <w:bookmarkStart w:id="851" w:name="_Toc93050322"/>
      <w:r w:rsidRPr="00E737B4">
        <w:rPr>
          <w:color w:val="auto"/>
          <w:szCs w:val="22"/>
        </w:rPr>
        <w:t xml:space="preserve">Tableau </w:t>
      </w:r>
      <w:r w:rsidRPr="00E737B4">
        <w:rPr>
          <w:color w:val="auto"/>
          <w:szCs w:val="22"/>
        </w:rPr>
        <w:fldChar w:fldCharType="begin"/>
      </w:r>
      <w:r w:rsidRPr="00E737B4">
        <w:rPr>
          <w:color w:val="auto"/>
          <w:szCs w:val="22"/>
        </w:rPr>
        <w:instrText xml:space="preserve"> SEQ Tableau \* ARABIC </w:instrText>
      </w:r>
      <w:r w:rsidRPr="00E737B4">
        <w:rPr>
          <w:color w:val="auto"/>
          <w:szCs w:val="22"/>
        </w:rPr>
        <w:fldChar w:fldCharType="separate"/>
      </w:r>
      <w:r w:rsidR="00A86929">
        <w:rPr>
          <w:noProof/>
          <w:color w:val="auto"/>
          <w:szCs w:val="22"/>
        </w:rPr>
        <w:t>60</w:t>
      </w:r>
      <w:r w:rsidRPr="00E737B4">
        <w:rPr>
          <w:color w:val="auto"/>
          <w:szCs w:val="22"/>
        </w:rPr>
        <w:fldChar w:fldCharType="end"/>
      </w:r>
      <w:r w:rsidRPr="00E737B4">
        <w:rPr>
          <w:color w:val="auto"/>
          <w:szCs w:val="22"/>
        </w:rPr>
        <w:t> : Matrice de synthèse des mesures d’atténuation des aspects sociaux</w:t>
      </w:r>
      <w:bookmarkEnd w:id="848"/>
      <w:bookmarkEnd w:id="849"/>
      <w:r w:rsidRPr="00E737B4">
        <w:rPr>
          <w:color w:val="auto"/>
          <w:szCs w:val="22"/>
        </w:rPr>
        <w:t xml:space="preserve"> négatifs</w:t>
      </w:r>
      <w:bookmarkEnd w:id="850"/>
      <w:bookmarkEnd w:id="851"/>
    </w:p>
    <w:tbl>
      <w:tblPr>
        <w:tblW w:w="5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65"/>
        <w:gridCol w:w="743"/>
        <w:gridCol w:w="1386"/>
        <w:gridCol w:w="1701"/>
        <w:gridCol w:w="2269"/>
        <w:gridCol w:w="2630"/>
        <w:gridCol w:w="1360"/>
        <w:gridCol w:w="1299"/>
        <w:gridCol w:w="1750"/>
        <w:gridCol w:w="1286"/>
      </w:tblGrid>
      <w:tr w:rsidR="00A6086C" w:rsidRPr="00420C1B" w:rsidDel="00C62C2C" w14:paraId="1570B7D1" w14:textId="6E6BBD34" w:rsidTr="00215867">
        <w:trPr>
          <w:trHeight w:val="249"/>
          <w:tblHeader/>
          <w:jc w:val="center"/>
        </w:trPr>
        <w:tc>
          <w:tcPr>
            <w:tcW w:w="557" w:type="pct"/>
            <w:gridSpan w:val="2"/>
            <w:vMerge w:val="restart"/>
            <w:shd w:val="clear" w:color="auto" w:fill="92D050"/>
            <w:vAlign w:val="center"/>
          </w:tcPr>
          <w:p w14:paraId="4F51BB6D"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Activités /Sources d’impact</w:t>
            </w:r>
          </w:p>
        </w:tc>
        <w:tc>
          <w:tcPr>
            <w:tcW w:w="229" w:type="pct"/>
            <w:vMerge w:val="restart"/>
            <w:shd w:val="clear" w:color="auto" w:fill="92D050"/>
          </w:tcPr>
          <w:p w14:paraId="0D901CF1"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N°</w:t>
            </w:r>
          </w:p>
          <w:p w14:paraId="6CB302F2"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 xml:space="preserve"> FDI</w:t>
            </w:r>
          </w:p>
        </w:tc>
        <w:tc>
          <w:tcPr>
            <w:tcW w:w="427" w:type="pct"/>
            <w:vMerge w:val="restart"/>
            <w:shd w:val="clear" w:color="auto" w:fill="92D050"/>
            <w:vAlign w:val="center"/>
          </w:tcPr>
          <w:p w14:paraId="2A84DD00"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Composante du milieu récepteur</w:t>
            </w:r>
          </w:p>
        </w:tc>
        <w:tc>
          <w:tcPr>
            <w:tcW w:w="524" w:type="pct"/>
            <w:vMerge w:val="restart"/>
            <w:shd w:val="clear" w:color="auto" w:fill="92D050"/>
            <w:vAlign w:val="center"/>
          </w:tcPr>
          <w:p w14:paraId="461F0FCF"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Impact</w:t>
            </w:r>
          </w:p>
        </w:tc>
        <w:tc>
          <w:tcPr>
            <w:tcW w:w="699" w:type="pct"/>
            <w:vMerge w:val="restart"/>
            <w:shd w:val="clear" w:color="auto" w:fill="92D050"/>
            <w:vAlign w:val="center"/>
          </w:tcPr>
          <w:p w14:paraId="30AE44A1"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Mesures d’atténuation</w:t>
            </w:r>
          </w:p>
        </w:tc>
        <w:tc>
          <w:tcPr>
            <w:tcW w:w="810" w:type="pct"/>
            <w:vMerge w:val="restart"/>
            <w:shd w:val="clear" w:color="auto" w:fill="92D050"/>
            <w:vAlign w:val="center"/>
          </w:tcPr>
          <w:p w14:paraId="288B9275"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Description détaillée de Mesures d’atténuation</w:t>
            </w:r>
          </w:p>
        </w:tc>
        <w:tc>
          <w:tcPr>
            <w:tcW w:w="819" w:type="pct"/>
            <w:gridSpan w:val="2"/>
            <w:shd w:val="clear" w:color="auto" w:fill="92D050"/>
          </w:tcPr>
          <w:p w14:paraId="0D7E4E4D"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Entité responsable</w:t>
            </w:r>
          </w:p>
        </w:tc>
        <w:tc>
          <w:tcPr>
            <w:tcW w:w="539" w:type="pct"/>
            <w:vMerge w:val="restart"/>
            <w:shd w:val="clear" w:color="auto" w:fill="92D050"/>
          </w:tcPr>
          <w:p w14:paraId="418E9180" w14:textId="77777777" w:rsidR="00A6086C" w:rsidRPr="00420C1B" w:rsidDel="00C62C2C" w:rsidRDefault="00A6086C" w:rsidP="00C61D9D">
            <w:pPr>
              <w:spacing w:after="0" w:line="240" w:lineRule="auto"/>
              <w:rPr>
                <w:rFonts w:ascii="Times New Roman" w:hAnsi="Times New Roman"/>
                <w:b/>
                <w:sz w:val="20"/>
                <w:szCs w:val="20"/>
              </w:rPr>
            </w:pPr>
            <w:r w:rsidRPr="00420C1B">
              <w:rPr>
                <w:rFonts w:ascii="Times New Roman" w:hAnsi="Times New Roman"/>
                <w:b/>
                <w:sz w:val="20"/>
                <w:szCs w:val="20"/>
              </w:rPr>
              <w:t xml:space="preserve">Indicateur de performance </w:t>
            </w:r>
          </w:p>
        </w:tc>
        <w:tc>
          <w:tcPr>
            <w:tcW w:w="396" w:type="pct"/>
            <w:shd w:val="clear" w:color="auto" w:fill="92D050"/>
          </w:tcPr>
          <w:p w14:paraId="3646590B" w14:textId="77777777" w:rsidR="00A6086C" w:rsidRPr="00420C1B" w:rsidRDefault="00A6086C" w:rsidP="00C61D9D">
            <w:pPr>
              <w:spacing w:after="0" w:line="240" w:lineRule="auto"/>
              <w:rPr>
                <w:rFonts w:ascii="Times New Roman" w:hAnsi="Times New Roman"/>
                <w:b/>
                <w:sz w:val="20"/>
                <w:szCs w:val="20"/>
              </w:rPr>
            </w:pPr>
          </w:p>
        </w:tc>
      </w:tr>
      <w:tr w:rsidR="002C66D7" w:rsidRPr="00420C1B" w14:paraId="23F2C966" w14:textId="43D2DD14" w:rsidTr="00420C1B">
        <w:trPr>
          <w:tblHeader/>
          <w:jc w:val="center"/>
        </w:trPr>
        <w:tc>
          <w:tcPr>
            <w:tcW w:w="557" w:type="pct"/>
            <w:gridSpan w:val="2"/>
            <w:vMerge/>
            <w:shd w:val="clear" w:color="auto" w:fill="92D050"/>
            <w:vAlign w:val="center"/>
          </w:tcPr>
          <w:p w14:paraId="1730CF94" w14:textId="77777777" w:rsidR="00A6086C" w:rsidRPr="00420C1B" w:rsidRDefault="00A6086C" w:rsidP="00C61D9D">
            <w:pPr>
              <w:spacing w:after="0" w:line="240" w:lineRule="auto"/>
              <w:jc w:val="center"/>
              <w:rPr>
                <w:rFonts w:ascii="Times New Roman" w:hAnsi="Times New Roman"/>
                <w:b/>
                <w:sz w:val="20"/>
                <w:szCs w:val="20"/>
              </w:rPr>
            </w:pPr>
          </w:p>
        </w:tc>
        <w:tc>
          <w:tcPr>
            <w:tcW w:w="229" w:type="pct"/>
            <w:vMerge/>
            <w:shd w:val="clear" w:color="auto" w:fill="92D050"/>
          </w:tcPr>
          <w:p w14:paraId="469814FE" w14:textId="77777777" w:rsidR="00A6086C" w:rsidRPr="00420C1B" w:rsidRDefault="00A6086C" w:rsidP="00C61D9D">
            <w:pPr>
              <w:spacing w:after="0" w:line="240" w:lineRule="auto"/>
              <w:jc w:val="center"/>
              <w:rPr>
                <w:rFonts w:ascii="Times New Roman" w:hAnsi="Times New Roman"/>
                <w:b/>
                <w:sz w:val="20"/>
                <w:szCs w:val="20"/>
              </w:rPr>
            </w:pPr>
          </w:p>
        </w:tc>
        <w:tc>
          <w:tcPr>
            <w:tcW w:w="427" w:type="pct"/>
            <w:vMerge/>
            <w:shd w:val="clear" w:color="auto" w:fill="92D050"/>
            <w:vAlign w:val="center"/>
          </w:tcPr>
          <w:p w14:paraId="536A1EE7" w14:textId="77777777" w:rsidR="00A6086C" w:rsidRPr="00420C1B" w:rsidRDefault="00A6086C" w:rsidP="00C61D9D">
            <w:pPr>
              <w:spacing w:after="0" w:line="240" w:lineRule="auto"/>
              <w:jc w:val="center"/>
              <w:rPr>
                <w:rFonts w:ascii="Times New Roman" w:hAnsi="Times New Roman"/>
                <w:b/>
                <w:sz w:val="20"/>
                <w:szCs w:val="20"/>
              </w:rPr>
            </w:pPr>
          </w:p>
        </w:tc>
        <w:tc>
          <w:tcPr>
            <w:tcW w:w="524" w:type="pct"/>
            <w:vMerge/>
            <w:shd w:val="clear" w:color="auto" w:fill="92D050"/>
            <w:vAlign w:val="center"/>
          </w:tcPr>
          <w:p w14:paraId="29305A76" w14:textId="77777777" w:rsidR="00A6086C" w:rsidRPr="00420C1B" w:rsidRDefault="00A6086C" w:rsidP="00C61D9D">
            <w:pPr>
              <w:spacing w:after="0" w:line="240" w:lineRule="auto"/>
              <w:jc w:val="center"/>
              <w:rPr>
                <w:rFonts w:ascii="Times New Roman" w:hAnsi="Times New Roman"/>
                <w:b/>
                <w:sz w:val="20"/>
                <w:szCs w:val="20"/>
              </w:rPr>
            </w:pPr>
          </w:p>
        </w:tc>
        <w:tc>
          <w:tcPr>
            <w:tcW w:w="699" w:type="pct"/>
            <w:vMerge/>
            <w:shd w:val="clear" w:color="auto" w:fill="92D050"/>
            <w:vAlign w:val="center"/>
          </w:tcPr>
          <w:p w14:paraId="3F0B32D7" w14:textId="77777777" w:rsidR="00A6086C" w:rsidRPr="00420C1B" w:rsidRDefault="00A6086C" w:rsidP="00C61D9D">
            <w:pPr>
              <w:spacing w:after="0" w:line="240" w:lineRule="auto"/>
              <w:jc w:val="center"/>
              <w:rPr>
                <w:rFonts w:ascii="Times New Roman" w:hAnsi="Times New Roman"/>
                <w:b/>
                <w:sz w:val="20"/>
                <w:szCs w:val="20"/>
              </w:rPr>
            </w:pPr>
          </w:p>
        </w:tc>
        <w:tc>
          <w:tcPr>
            <w:tcW w:w="810" w:type="pct"/>
            <w:vMerge/>
            <w:shd w:val="clear" w:color="auto" w:fill="92D050"/>
          </w:tcPr>
          <w:p w14:paraId="2BAA3102" w14:textId="77777777" w:rsidR="00A6086C" w:rsidRPr="00420C1B" w:rsidRDefault="00A6086C" w:rsidP="00C61D9D">
            <w:pPr>
              <w:spacing w:after="0" w:line="240" w:lineRule="auto"/>
              <w:jc w:val="center"/>
              <w:rPr>
                <w:rFonts w:ascii="Times New Roman" w:hAnsi="Times New Roman"/>
                <w:b/>
                <w:sz w:val="20"/>
                <w:szCs w:val="20"/>
              </w:rPr>
            </w:pPr>
          </w:p>
        </w:tc>
        <w:tc>
          <w:tcPr>
            <w:tcW w:w="419" w:type="pct"/>
            <w:shd w:val="clear" w:color="auto" w:fill="A8D08D"/>
          </w:tcPr>
          <w:p w14:paraId="3B26D778"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Mise en œuvre</w:t>
            </w:r>
          </w:p>
        </w:tc>
        <w:tc>
          <w:tcPr>
            <w:tcW w:w="400" w:type="pct"/>
            <w:shd w:val="clear" w:color="auto" w:fill="A8D08D"/>
          </w:tcPr>
          <w:p w14:paraId="5C24E3D8" w14:textId="77777777"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Surveillance et suivi</w:t>
            </w:r>
          </w:p>
        </w:tc>
        <w:tc>
          <w:tcPr>
            <w:tcW w:w="539" w:type="pct"/>
            <w:vMerge/>
            <w:shd w:val="clear" w:color="auto" w:fill="A8D08D"/>
          </w:tcPr>
          <w:p w14:paraId="0E45B9BA" w14:textId="77777777" w:rsidR="00A6086C" w:rsidRPr="00420C1B" w:rsidRDefault="00A6086C" w:rsidP="00C61D9D">
            <w:pPr>
              <w:spacing w:after="0" w:line="240" w:lineRule="auto"/>
              <w:jc w:val="center"/>
              <w:rPr>
                <w:rFonts w:ascii="Times New Roman" w:hAnsi="Times New Roman"/>
                <w:b/>
                <w:sz w:val="20"/>
                <w:szCs w:val="20"/>
              </w:rPr>
            </w:pPr>
          </w:p>
        </w:tc>
        <w:tc>
          <w:tcPr>
            <w:tcW w:w="396" w:type="pct"/>
            <w:shd w:val="clear" w:color="auto" w:fill="A8D08D"/>
          </w:tcPr>
          <w:p w14:paraId="0B781931" w14:textId="3FFD342F" w:rsidR="00A6086C" w:rsidRPr="00420C1B" w:rsidRDefault="00A6086C" w:rsidP="00C61D9D">
            <w:pPr>
              <w:spacing w:after="0" w:line="240" w:lineRule="auto"/>
              <w:jc w:val="center"/>
              <w:rPr>
                <w:rFonts w:ascii="Times New Roman" w:hAnsi="Times New Roman"/>
                <w:b/>
                <w:sz w:val="20"/>
                <w:szCs w:val="20"/>
              </w:rPr>
            </w:pPr>
            <w:r w:rsidRPr="00420C1B">
              <w:rPr>
                <w:rFonts w:ascii="Times New Roman" w:hAnsi="Times New Roman"/>
                <w:b/>
                <w:sz w:val="20"/>
                <w:szCs w:val="20"/>
              </w:rPr>
              <w:t xml:space="preserve">Echéancier </w:t>
            </w:r>
          </w:p>
        </w:tc>
      </w:tr>
      <w:tr w:rsidR="00A6086C" w:rsidRPr="00420C1B" w14:paraId="26FF2F15" w14:textId="196B26DF" w:rsidTr="00215867">
        <w:trPr>
          <w:jc w:val="center"/>
        </w:trPr>
        <w:tc>
          <w:tcPr>
            <w:tcW w:w="4604" w:type="pct"/>
            <w:gridSpan w:val="10"/>
            <w:vAlign w:val="center"/>
          </w:tcPr>
          <w:p w14:paraId="594429A9" w14:textId="4B768588" w:rsidR="00A6086C" w:rsidRPr="00215867" w:rsidRDefault="00A6086C" w:rsidP="00215867">
            <w:pPr>
              <w:pStyle w:val="Lgende"/>
              <w:autoSpaceDE w:val="0"/>
              <w:autoSpaceDN w:val="0"/>
              <w:adjustRightInd w:val="0"/>
              <w:spacing w:after="0"/>
              <w:jc w:val="center"/>
              <w:rPr>
                <w:rFonts w:eastAsia="Times New Roman"/>
                <w:b/>
                <w:color w:val="auto"/>
                <w:sz w:val="20"/>
                <w:szCs w:val="20"/>
                <w:lang w:eastAsia="fr-FR"/>
              </w:rPr>
            </w:pPr>
            <w:r w:rsidRPr="00215867">
              <w:rPr>
                <w:rFonts w:eastAsia="Times New Roman"/>
                <w:b/>
                <w:color w:val="auto"/>
                <w:sz w:val="20"/>
                <w:szCs w:val="20"/>
                <w:lang w:eastAsia="fr-FR"/>
              </w:rPr>
              <w:t>PHASE DE PREPARATION</w:t>
            </w:r>
          </w:p>
        </w:tc>
        <w:tc>
          <w:tcPr>
            <w:tcW w:w="396" w:type="pct"/>
          </w:tcPr>
          <w:p w14:paraId="3EBF0A16" w14:textId="77777777" w:rsidR="00A6086C" w:rsidRPr="00A6086C" w:rsidRDefault="00A6086C" w:rsidP="00EA2AA7">
            <w:pPr>
              <w:pStyle w:val="Lgende"/>
              <w:autoSpaceDE w:val="0"/>
              <w:autoSpaceDN w:val="0"/>
              <w:adjustRightInd w:val="0"/>
              <w:spacing w:after="0"/>
              <w:jc w:val="center"/>
              <w:rPr>
                <w:rFonts w:eastAsia="Times New Roman"/>
                <w:b/>
                <w:color w:val="auto"/>
                <w:sz w:val="20"/>
                <w:szCs w:val="20"/>
                <w:lang w:eastAsia="fr-FR"/>
              </w:rPr>
            </w:pPr>
          </w:p>
        </w:tc>
      </w:tr>
      <w:tr w:rsidR="00A6086C" w:rsidRPr="00420C1B" w14:paraId="096ACD25" w14:textId="41F2B600" w:rsidTr="00215867">
        <w:trPr>
          <w:jc w:val="center"/>
        </w:trPr>
        <w:tc>
          <w:tcPr>
            <w:tcW w:w="557" w:type="pct"/>
            <w:gridSpan w:val="2"/>
            <w:vAlign w:val="center"/>
          </w:tcPr>
          <w:p w14:paraId="0B0BEC55" w14:textId="77777777" w:rsidR="00A6086C" w:rsidRPr="00420C1B" w:rsidRDefault="00A6086C" w:rsidP="00C61D9D">
            <w:pPr>
              <w:spacing w:after="0" w:line="240" w:lineRule="auto"/>
              <w:rPr>
                <w:rFonts w:ascii="Times New Roman" w:hAnsi="Times New Roman"/>
                <w:sz w:val="20"/>
                <w:szCs w:val="20"/>
              </w:rPr>
            </w:pPr>
            <w:r w:rsidRPr="008E4326">
              <w:rPr>
                <w:rFonts w:ascii="Times New Roman" w:hAnsi="Times New Roman"/>
                <w:sz w:val="20"/>
                <w:szCs w:val="20"/>
              </w:rPr>
              <w:t>Démolition des bâtisses</w:t>
            </w:r>
          </w:p>
        </w:tc>
        <w:tc>
          <w:tcPr>
            <w:tcW w:w="229" w:type="pct"/>
            <w:vAlign w:val="center"/>
          </w:tcPr>
          <w:p w14:paraId="6376277C" w14:textId="77777777" w:rsidR="00A6086C" w:rsidRPr="00420C1B" w:rsidRDefault="00A6086C" w:rsidP="00C61D9D">
            <w:pPr>
              <w:spacing w:after="0" w:line="240" w:lineRule="auto"/>
              <w:rPr>
                <w:rFonts w:ascii="Times New Roman" w:hAnsi="Times New Roman"/>
                <w:sz w:val="20"/>
                <w:szCs w:val="20"/>
              </w:rPr>
            </w:pPr>
            <w:r w:rsidRPr="00420C1B">
              <w:rPr>
                <w:rFonts w:ascii="Times New Roman" w:hAnsi="Times New Roman"/>
                <w:sz w:val="20"/>
                <w:szCs w:val="20"/>
              </w:rPr>
              <w:t>18</w:t>
            </w:r>
          </w:p>
        </w:tc>
        <w:tc>
          <w:tcPr>
            <w:tcW w:w="427" w:type="pct"/>
            <w:vAlign w:val="center"/>
          </w:tcPr>
          <w:p w14:paraId="46D59923" w14:textId="5D766891" w:rsidR="00A6086C" w:rsidRPr="00420C1B" w:rsidRDefault="00A6086C" w:rsidP="00C61D9D">
            <w:pPr>
              <w:spacing w:after="0" w:line="240" w:lineRule="auto"/>
              <w:rPr>
                <w:rFonts w:ascii="Times New Roman" w:hAnsi="Times New Roman"/>
                <w:sz w:val="20"/>
                <w:szCs w:val="20"/>
              </w:rPr>
            </w:pPr>
            <w:r w:rsidRPr="008E4326">
              <w:rPr>
                <w:rFonts w:ascii="Times New Roman" w:hAnsi="Times New Roman"/>
                <w:sz w:val="20"/>
                <w:szCs w:val="20"/>
              </w:rPr>
              <w:t>Humain</w:t>
            </w:r>
            <w:r>
              <w:rPr>
                <w:rFonts w:ascii="Times New Roman" w:hAnsi="Times New Roman"/>
                <w:sz w:val="20"/>
                <w:szCs w:val="20"/>
              </w:rPr>
              <w:t xml:space="preserve"> : Population </w:t>
            </w:r>
          </w:p>
        </w:tc>
        <w:tc>
          <w:tcPr>
            <w:tcW w:w="524" w:type="pct"/>
            <w:vAlign w:val="center"/>
          </w:tcPr>
          <w:p w14:paraId="0B60AC6F" w14:textId="77777777" w:rsidR="00A6086C" w:rsidRPr="00420C1B" w:rsidRDefault="00A6086C" w:rsidP="00C61D9D">
            <w:pPr>
              <w:spacing w:after="0" w:line="240" w:lineRule="auto"/>
              <w:rPr>
                <w:rFonts w:ascii="Times New Roman" w:hAnsi="Times New Roman"/>
                <w:sz w:val="20"/>
                <w:szCs w:val="20"/>
                <w:highlight w:val="yellow"/>
              </w:rPr>
            </w:pPr>
            <w:r w:rsidRPr="00420C1B">
              <w:rPr>
                <w:rFonts w:ascii="Times New Roman" w:hAnsi="Times New Roman"/>
                <w:sz w:val="20"/>
                <w:szCs w:val="20"/>
              </w:rPr>
              <w:t xml:space="preserve">Perte foncière et de bâtisses  </w:t>
            </w:r>
            <w:r w:rsidRPr="00420C1B">
              <w:rPr>
                <w:rFonts w:ascii="Times New Roman" w:hAnsi="Times New Roman"/>
                <w:sz w:val="20"/>
                <w:szCs w:val="20"/>
                <w:highlight w:val="yellow"/>
              </w:rPr>
              <w:t xml:space="preserve"> </w:t>
            </w:r>
          </w:p>
        </w:tc>
        <w:tc>
          <w:tcPr>
            <w:tcW w:w="699" w:type="pct"/>
            <w:vAlign w:val="center"/>
          </w:tcPr>
          <w:p w14:paraId="16C3D433" w14:textId="2E6936C3" w:rsidR="00A6086C" w:rsidRPr="00420C1B" w:rsidRDefault="00A6086C" w:rsidP="008C1316">
            <w:pPr>
              <w:pStyle w:val="Lgende"/>
              <w:spacing w:after="0"/>
              <w:rPr>
                <w:color w:val="auto"/>
                <w:sz w:val="20"/>
                <w:szCs w:val="20"/>
              </w:rPr>
            </w:pPr>
            <w:r w:rsidRPr="00420C1B">
              <w:rPr>
                <w:color w:val="auto"/>
                <w:sz w:val="20"/>
                <w:szCs w:val="20"/>
              </w:rPr>
              <w:t xml:space="preserve">Mise en œuvre d’un plan d’action de réinstallation incluant un plan de restauration </w:t>
            </w:r>
            <w:r w:rsidRPr="00215867">
              <w:rPr>
                <w:color w:val="auto"/>
                <w:sz w:val="20"/>
                <w:szCs w:val="20"/>
              </w:rPr>
              <w:t>des moyens de subsistance afin de compenser la perte des activités génératrices de revenus (AGR)</w:t>
            </w:r>
          </w:p>
        </w:tc>
        <w:tc>
          <w:tcPr>
            <w:tcW w:w="810" w:type="pct"/>
            <w:vAlign w:val="center"/>
          </w:tcPr>
          <w:p w14:paraId="71B07301" w14:textId="77777777" w:rsidR="00A6086C" w:rsidRPr="00420C1B" w:rsidRDefault="00A6086C"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Inventorier et évaluer les bâtisses ;</w:t>
            </w:r>
          </w:p>
          <w:p w14:paraId="1938DC56" w14:textId="77777777" w:rsidR="00A6086C" w:rsidRPr="00420C1B" w:rsidRDefault="00A6086C"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Négocier les PV d’accord ;</w:t>
            </w:r>
          </w:p>
          <w:p w14:paraId="3569832B" w14:textId="77777777" w:rsidR="00A6086C" w:rsidRPr="00420C1B" w:rsidRDefault="00A6086C"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Procéder au dédommagement des pertes</w:t>
            </w:r>
          </w:p>
          <w:p w14:paraId="2BD9DDBE" w14:textId="77777777" w:rsidR="00A6086C" w:rsidRPr="00420C1B" w:rsidRDefault="00A6086C"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 xml:space="preserve">S’accorder avec la population sur les modalités relatives à l’évaluation des biens et respecter les engagements de cet accord. </w:t>
            </w:r>
          </w:p>
          <w:p w14:paraId="601C82AF" w14:textId="77777777" w:rsidR="00A6086C" w:rsidRPr="00420C1B" w:rsidRDefault="00A6086C"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Développer et mettre en œuvre un plan de compensation pour s’assurer que l’indemnisation s’effectue équitablement et dans la transparence au profit des PAP.</w:t>
            </w:r>
          </w:p>
        </w:tc>
        <w:tc>
          <w:tcPr>
            <w:tcW w:w="419" w:type="pct"/>
            <w:vAlign w:val="center"/>
          </w:tcPr>
          <w:p w14:paraId="40CE6A69" w14:textId="77777777" w:rsidR="00A6086C" w:rsidRPr="00215867" w:rsidRDefault="00A6086C"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49D51B21" w14:textId="77777777" w:rsidR="00A6086C" w:rsidRPr="00215867" w:rsidRDefault="00A6086C"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0F7EAACA" w14:textId="77777777" w:rsidR="00A6086C" w:rsidRPr="00215867" w:rsidRDefault="00A6086C"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 xml:space="preserve">100% de PAP sont indemnisés </w:t>
            </w:r>
          </w:p>
        </w:tc>
        <w:tc>
          <w:tcPr>
            <w:tcW w:w="396" w:type="pct"/>
            <w:vAlign w:val="center"/>
          </w:tcPr>
          <w:p w14:paraId="173CE6D5" w14:textId="63C5BC30" w:rsidR="00A6086C" w:rsidRPr="00A6086C" w:rsidRDefault="00A6086C" w:rsidP="00A6086C">
            <w:pPr>
              <w:pStyle w:val="Lgende"/>
              <w:autoSpaceDE w:val="0"/>
              <w:autoSpaceDN w:val="0"/>
              <w:adjustRightInd w:val="0"/>
              <w:spacing w:after="0"/>
              <w:rPr>
                <w:rFonts w:eastAsia="Times New Roman"/>
                <w:color w:val="auto"/>
                <w:sz w:val="20"/>
                <w:szCs w:val="20"/>
                <w:lang w:eastAsia="fr-FR"/>
              </w:rPr>
            </w:pPr>
            <w:r>
              <w:rPr>
                <w:rFonts w:eastAsia="Times New Roman"/>
                <w:color w:val="auto"/>
                <w:sz w:val="20"/>
                <w:szCs w:val="20"/>
                <w:lang w:eastAsia="fr-FR"/>
              </w:rPr>
              <w:t xml:space="preserve">Avant le démarrage des travaux </w:t>
            </w:r>
          </w:p>
        </w:tc>
      </w:tr>
      <w:tr w:rsidR="002A5509" w:rsidRPr="00420C1B" w14:paraId="57672753" w14:textId="16704223" w:rsidTr="00215867">
        <w:trPr>
          <w:jc w:val="center"/>
        </w:trPr>
        <w:tc>
          <w:tcPr>
            <w:tcW w:w="557" w:type="pct"/>
            <w:gridSpan w:val="2"/>
            <w:vAlign w:val="center"/>
          </w:tcPr>
          <w:p w14:paraId="57D69CEE"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Abatage des arbres</w:t>
            </w:r>
          </w:p>
        </w:tc>
        <w:tc>
          <w:tcPr>
            <w:tcW w:w="229" w:type="pct"/>
            <w:vAlign w:val="center"/>
          </w:tcPr>
          <w:p w14:paraId="5F4F335F"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12</w:t>
            </w:r>
          </w:p>
        </w:tc>
        <w:tc>
          <w:tcPr>
            <w:tcW w:w="427" w:type="pct"/>
            <w:vAlign w:val="center"/>
          </w:tcPr>
          <w:p w14:paraId="7C72A657" w14:textId="77777777" w:rsidR="002A5509" w:rsidRPr="00B80123" w:rsidRDefault="002A5509" w:rsidP="00C61D9D">
            <w:pPr>
              <w:spacing w:after="0" w:line="240" w:lineRule="auto"/>
              <w:jc w:val="both"/>
              <w:rPr>
                <w:rFonts w:ascii="Times New Roman" w:hAnsi="Times New Roman"/>
                <w:sz w:val="20"/>
                <w:szCs w:val="20"/>
              </w:rPr>
            </w:pPr>
            <w:r>
              <w:rPr>
                <w:rFonts w:ascii="Times New Roman" w:hAnsi="Times New Roman"/>
                <w:sz w:val="20"/>
                <w:szCs w:val="20"/>
              </w:rPr>
              <w:t xml:space="preserve">Biophysique : </w:t>
            </w:r>
            <w:r w:rsidRPr="00B80123">
              <w:rPr>
                <w:rFonts w:ascii="Times New Roman" w:hAnsi="Times New Roman"/>
                <w:sz w:val="20"/>
                <w:szCs w:val="20"/>
              </w:rPr>
              <w:t>Végétation</w:t>
            </w:r>
          </w:p>
        </w:tc>
        <w:tc>
          <w:tcPr>
            <w:tcW w:w="524" w:type="pct"/>
            <w:vAlign w:val="center"/>
          </w:tcPr>
          <w:p w14:paraId="556447D9" w14:textId="77777777" w:rsidR="002A5509" w:rsidRPr="00420C1B" w:rsidRDefault="002A5509" w:rsidP="00C61D9D">
            <w:pPr>
              <w:spacing w:after="0" w:line="240" w:lineRule="auto"/>
              <w:jc w:val="both"/>
              <w:rPr>
                <w:rFonts w:ascii="Times New Roman" w:hAnsi="Times New Roman"/>
                <w:sz w:val="20"/>
                <w:szCs w:val="20"/>
                <w:highlight w:val="yellow"/>
              </w:rPr>
            </w:pPr>
            <w:r w:rsidRPr="00420C1B">
              <w:rPr>
                <w:rFonts w:ascii="Times New Roman" w:hAnsi="Times New Roman"/>
                <w:sz w:val="20"/>
                <w:szCs w:val="20"/>
              </w:rPr>
              <w:t>Abattage de 815 arbres privés dans l’emprise des travaux ce qui entravera la cueillette des fruits avec pour conséquence une perte des revenus des ménages</w:t>
            </w:r>
          </w:p>
        </w:tc>
        <w:tc>
          <w:tcPr>
            <w:tcW w:w="699" w:type="pct"/>
            <w:vAlign w:val="center"/>
          </w:tcPr>
          <w:p w14:paraId="03252D92" w14:textId="77777777" w:rsidR="002A5509" w:rsidRPr="00420C1B" w:rsidRDefault="002A5509" w:rsidP="00C61D9D">
            <w:pPr>
              <w:pStyle w:val="Lgende"/>
              <w:spacing w:after="0"/>
              <w:jc w:val="both"/>
              <w:rPr>
                <w:color w:val="auto"/>
                <w:sz w:val="20"/>
                <w:szCs w:val="20"/>
              </w:rPr>
            </w:pPr>
            <w:r w:rsidRPr="00420C1B">
              <w:rPr>
                <w:color w:val="auto"/>
                <w:sz w:val="20"/>
                <w:szCs w:val="20"/>
              </w:rPr>
              <w:t xml:space="preserve">Indemniser les pertes d’arbres privés  </w:t>
            </w:r>
          </w:p>
        </w:tc>
        <w:tc>
          <w:tcPr>
            <w:tcW w:w="810" w:type="pct"/>
            <w:vAlign w:val="center"/>
          </w:tcPr>
          <w:p w14:paraId="4451F66E" w14:textId="77777777" w:rsidR="002A5509" w:rsidRPr="00420C1B" w:rsidRDefault="002A5509" w:rsidP="00C61D9D">
            <w:pPr>
              <w:numPr>
                <w:ilvl w:val="0"/>
                <w:numId w:val="31"/>
              </w:numPr>
              <w:autoSpaceDE w:val="0"/>
              <w:autoSpaceDN w:val="0"/>
              <w:adjustRightInd w:val="0"/>
              <w:spacing w:after="0" w:line="240" w:lineRule="auto"/>
              <w:ind w:left="172" w:hanging="218"/>
              <w:contextualSpacing/>
              <w:jc w:val="both"/>
              <w:rPr>
                <w:sz w:val="20"/>
                <w:szCs w:val="20"/>
              </w:rPr>
            </w:pPr>
            <w:r w:rsidRPr="00E737B4">
              <w:rPr>
                <w:rFonts w:ascii="Times New Roman" w:hAnsi="Times New Roman"/>
                <w:sz w:val="20"/>
                <w:szCs w:val="20"/>
              </w:rPr>
              <w:t>Comptabiliser les différentes coupes pour les indemnisations</w:t>
            </w:r>
            <w:r>
              <w:rPr>
                <w:rFonts w:ascii="Times New Roman" w:hAnsi="Times New Roman"/>
                <w:sz w:val="20"/>
                <w:szCs w:val="20"/>
              </w:rPr>
              <w:t> ;</w:t>
            </w:r>
          </w:p>
          <w:p w14:paraId="1767C33E" w14:textId="77777777" w:rsidR="002A5509" w:rsidRPr="00420C1B" w:rsidRDefault="002A5509" w:rsidP="00C61D9D">
            <w:pPr>
              <w:numPr>
                <w:ilvl w:val="0"/>
                <w:numId w:val="31"/>
              </w:numPr>
              <w:autoSpaceDE w:val="0"/>
              <w:autoSpaceDN w:val="0"/>
              <w:adjustRightInd w:val="0"/>
              <w:spacing w:after="0" w:line="240" w:lineRule="auto"/>
              <w:ind w:left="172" w:hanging="218"/>
              <w:contextualSpacing/>
              <w:jc w:val="both"/>
              <w:rPr>
                <w:sz w:val="20"/>
                <w:szCs w:val="20"/>
              </w:rPr>
            </w:pPr>
            <w:r w:rsidRPr="00E737B4">
              <w:rPr>
                <w:rFonts w:ascii="Times New Roman" w:hAnsi="Times New Roman"/>
                <w:sz w:val="20"/>
                <w:szCs w:val="20"/>
              </w:rPr>
              <w:t>Dédommager les pertes d’arbres conformément à la réglementation Congolaise et au principe de la NES n°5 de la Banque mondiale.</w:t>
            </w:r>
          </w:p>
        </w:tc>
        <w:tc>
          <w:tcPr>
            <w:tcW w:w="419" w:type="pct"/>
            <w:vAlign w:val="center"/>
          </w:tcPr>
          <w:p w14:paraId="02B9CD83" w14:textId="77777777" w:rsidR="002A5509" w:rsidRPr="00215867" w:rsidRDefault="002A5509"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2D0DBF9B" w14:textId="77777777" w:rsidR="002A5509" w:rsidRPr="00215867" w:rsidRDefault="002A5509"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037C6CD0" w14:textId="77777777" w:rsidR="002A5509" w:rsidRPr="00C61D9D" w:rsidRDefault="002A5509" w:rsidP="00C61D9D">
            <w:pPr>
              <w:pStyle w:val="Lgende"/>
              <w:autoSpaceDE w:val="0"/>
              <w:autoSpaceDN w:val="0"/>
              <w:adjustRightInd w:val="0"/>
              <w:spacing w:after="0"/>
              <w:jc w:val="both"/>
              <w:rPr>
                <w:rFonts w:eastAsia="Times New Roman"/>
                <w:color w:val="auto"/>
                <w:sz w:val="20"/>
                <w:szCs w:val="20"/>
                <w:lang w:eastAsia="fr-FR"/>
              </w:rPr>
            </w:pPr>
            <w:r w:rsidRPr="00215867">
              <w:rPr>
                <w:rFonts w:eastAsia="Times New Roman"/>
                <w:color w:val="auto"/>
                <w:sz w:val="20"/>
                <w:szCs w:val="20"/>
                <w:lang w:eastAsia="fr-FR"/>
              </w:rPr>
              <w:t>100% de PAP sont indemnisés</w:t>
            </w:r>
          </w:p>
        </w:tc>
        <w:tc>
          <w:tcPr>
            <w:tcW w:w="396" w:type="pct"/>
            <w:vAlign w:val="center"/>
          </w:tcPr>
          <w:p w14:paraId="6BA5FA80" w14:textId="63A2F18D" w:rsidR="002A5509" w:rsidRPr="00A6086C" w:rsidRDefault="002A5509" w:rsidP="00215867">
            <w:pPr>
              <w:pStyle w:val="Lgende"/>
              <w:autoSpaceDE w:val="0"/>
              <w:autoSpaceDN w:val="0"/>
              <w:adjustRightInd w:val="0"/>
              <w:spacing w:after="0"/>
              <w:rPr>
                <w:rFonts w:eastAsia="Times New Roman"/>
                <w:color w:val="auto"/>
                <w:sz w:val="20"/>
                <w:szCs w:val="20"/>
                <w:lang w:eastAsia="fr-FR"/>
              </w:rPr>
            </w:pPr>
            <w:r>
              <w:rPr>
                <w:rFonts w:eastAsia="Times New Roman"/>
                <w:color w:val="auto"/>
                <w:sz w:val="20"/>
                <w:szCs w:val="20"/>
                <w:lang w:eastAsia="fr-FR"/>
              </w:rPr>
              <w:t xml:space="preserve">Avant le démarrage des travaux </w:t>
            </w:r>
          </w:p>
        </w:tc>
      </w:tr>
      <w:tr w:rsidR="002A5509" w:rsidRPr="00420C1B" w14:paraId="1E9BD260" w14:textId="5987ECC5" w:rsidTr="00215867">
        <w:trPr>
          <w:jc w:val="center"/>
        </w:trPr>
        <w:tc>
          <w:tcPr>
            <w:tcW w:w="557" w:type="pct"/>
            <w:gridSpan w:val="2"/>
            <w:vAlign w:val="center"/>
          </w:tcPr>
          <w:p w14:paraId="1850FFCC"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Installation de chantier et de base-vie, présence et mouvement des ouvriers et techniciens</w:t>
            </w:r>
          </w:p>
        </w:tc>
        <w:tc>
          <w:tcPr>
            <w:tcW w:w="229" w:type="pct"/>
            <w:vAlign w:val="center"/>
          </w:tcPr>
          <w:p w14:paraId="7671F40C"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13</w:t>
            </w:r>
          </w:p>
        </w:tc>
        <w:tc>
          <w:tcPr>
            <w:tcW w:w="427" w:type="pct"/>
            <w:vAlign w:val="center"/>
          </w:tcPr>
          <w:p w14:paraId="0CAC6061"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Socio économie : Culture  </w:t>
            </w:r>
          </w:p>
          <w:p w14:paraId="4BFA31FE"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Santé humaine</w:t>
            </w:r>
          </w:p>
        </w:tc>
        <w:tc>
          <w:tcPr>
            <w:tcW w:w="524" w:type="pct"/>
            <w:vAlign w:val="center"/>
          </w:tcPr>
          <w:p w14:paraId="585CC56C" w14:textId="77777777" w:rsidR="002A5509" w:rsidRPr="00585D78" w:rsidRDefault="002A5509" w:rsidP="00C61D9D">
            <w:pPr>
              <w:spacing w:after="0" w:line="240" w:lineRule="auto"/>
              <w:jc w:val="both"/>
              <w:rPr>
                <w:rFonts w:ascii="Times New Roman" w:hAnsi="Times New Roman"/>
                <w:iCs/>
                <w:sz w:val="20"/>
                <w:szCs w:val="20"/>
              </w:rPr>
            </w:pPr>
            <w:r w:rsidRPr="00585D78">
              <w:rPr>
                <w:rFonts w:ascii="Times New Roman" w:hAnsi="Times New Roman"/>
                <w:iCs/>
                <w:sz w:val="20"/>
                <w:szCs w:val="20"/>
              </w:rPr>
              <w:t xml:space="preserve">Risque de Violences sexuelles sur les groupes vulnérables (veuves, les mineures). Augmentera la prévalence des MST/SIDA dans la zone du projet. </w:t>
            </w:r>
          </w:p>
          <w:p w14:paraId="7A0EAC81" w14:textId="77777777" w:rsidR="002A5509" w:rsidRPr="00420C1B" w:rsidRDefault="002A5509" w:rsidP="00C61D9D">
            <w:pPr>
              <w:spacing w:after="0" w:line="240" w:lineRule="auto"/>
              <w:jc w:val="both"/>
              <w:rPr>
                <w:rFonts w:ascii="Times New Roman" w:hAnsi="Times New Roman"/>
                <w:sz w:val="20"/>
                <w:szCs w:val="20"/>
              </w:rPr>
            </w:pPr>
            <w:r w:rsidRPr="00420C1B">
              <w:rPr>
                <w:rFonts w:ascii="Times New Roman" w:hAnsi="Times New Roman"/>
                <w:sz w:val="20"/>
                <w:szCs w:val="20"/>
              </w:rPr>
              <w:t>Risque de contamination de la COVID-19</w:t>
            </w:r>
          </w:p>
          <w:p w14:paraId="1FFCBCC3" w14:textId="77777777" w:rsidR="002A5509" w:rsidRPr="00420C1B" w:rsidRDefault="002A5509" w:rsidP="00C61D9D">
            <w:pPr>
              <w:spacing w:after="0" w:line="240" w:lineRule="auto"/>
              <w:jc w:val="both"/>
              <w:rPr>
                <w:rFonts w:ascii="Times New Roman" w:hAnsi="Times New Roman"/>
                <w:sz w:val="20"/>
                <w:szCs w:val="20"/>
              </w:rPr>
            </w:pPr>
          </w:p>
          <w:p w14:paraId="3DE24DE5" w14:textId="77777777" w:rsidR="002A5509" w:rsidRPr="008E4326" w:rsidRDefault="002A5509" w:rsidP="00C61D9D">
            <w:pPr>
              <w:spacing w:after="0" w:line="240" w:lineRule="auto"/>
              <w:jc w:val="both"/>
              <w:rPr>
                <w:rFonts w:ascii="Times New Roman" w:hAnsi="Times New Roman"/>
                <w:iCs/>
                <w:sz w:val="20"/>
                <w:szCs w:val="20"/>
              </w:rPr>
            </w:pPr>
            <w:r w:rsidRPr="00420C1B">
              <w:rPr>
                <w:rFonts w:ascii="Times New Roman" w:hAnsi="Times New Roman"/>
                <w:sz w:val="20"/>
                <w:szCs w:val="20"/>
              </w:rPr>
              <w:t>Risques d’EAS/HS</w:t>
            </w:r>
          </w:p>
          <w:p w14:paraId="2DD327DA" w14:textId="77777777" w:rsidR="002A5509" w:rsidRPr="008E4326" w:rsidRDefault="002A5509" w:rsidP="00C61D9D">
            <w:pPr>
              <w:spacing w:after="0" w:line="240" w:lineRule="auto"/>
              <w:jc w:val="both"/>
              <w:rPr>
                <w:rFonts w:ascii="Times New Roman" w:hAnsi="Times New Roman"/>
                <w:iCs/>
                <w:sz w:val="20"/>
                <w:szCs w:val="20"/>
              </w:rPr>
            </w:pPr>
          </w:p>
        </w:tc>
        <w:tc>
          <w:tcPr>
            <w:tcW w:w="699" w:type="pct"/>
            <w:vAlign w:val="center"/>
          </w:tcPr>
          <w:p w14:paraId="18ACB1FC" w14:textId="77777777" w:rsidR="002A5509" w:rsidRPr="00420C1B" w:rsidRDefault="002A5509" w:rsidP="00C61D9D">
            <w:pPr>
              <w:pStyle w:val="Lgende"/>
              <w:spacing w:after="0"/>
              <w:jc w:val="both"/>
              <w:rPr>
                <w:color w:val="auto"/>
                <w:sz w:val="20"/>
                <w:szCs w:val="20"/>
              </w:rPr>
            </w:pPr>
            <w:r w:rsidRPr="00420C1B">
              <w:rPr>
                <w:color w:val="auto"/>
                <w:sz w:val="20"/>
                <w:szCs w:val="20"/>
              </w:rPr>
              <w:t>Mise en œuvre d’un Plan d’information Education et Communication envers la population et les personnes vulnérables</w:t>
            </w:r>
          </w:p>
          <w:p w14:paraId="3434D794" w14:textId="77777777" w:rsidR="002A5509" w:rsidRPr="00420C1B" w:rsidRDefault="002A5509" w:rsidP="00C61D9D">
            <w:pPr>
              <w:pStyle w:val="Lgende"/>
              <w:spacing w:after="0"/>
              <w:ind w:left="360"/>
              <w:jc w:val="both"/>
              <w:rPr>
                <w:color w:val="auto"/>
                <w:sz w:val="20"/>
                <w:szCs w:val="20"/>
              </w:rPr>
            </w:pPr>
          </w:p>
        </w:tc>
        <w:tc>
          <w:tcPr>
            <w:tcW w:w="810" w:type="pct"/>
            <w:vAlign w:val="center"/>
          </w:tcPr>
          <w:p w14:paraId="6A3F2A18" w14:textId="77777777" w:rsidR="002A5509" w:rsidRPr="00420C1B"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6C6A48">
              <w:rPr>
                <w:rFonts w:ascii="Times New Roman" w:hAnsi="Times New Roman"/>
                <w:sz w:val="20"/>
                <w:szCs w:val="20"/>
              </w:rPr>
              <w:t>Mise en œuvre un Plan d’action de prévention, atténuation et réponse contre l’EAS/HS, y compris :</w:t>
            </w:r>
          </w:p>
          <w:p w14:paraId="143ED90D" w14:textId="77777777" w:rsidR="002A5509" w:rsidRPr="00E737B4" w:rsidRDefault="002A5509" w:rsidP="00215867">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Réaliser des séances de sensibilisation et d’éducations les populations</w:t>
            </w:r>
            <w:r>
              <w:rPr>
                <w:rFonts w:ascii="Times New Roman" w:hAnsi="Times New Roman"/>
                <w:sz w:val="20"/>
                <w:szCs w:val="20"/>
              </w:rPr>
              <w:t>, notamment les groupes plus vulnérables à ces risques</w:t>
            </w:r>
            <w:r w:rsidRPr="00E737B4">
              <w:rPr>
                <w:rFonts w:ascii="Times New Roman" w:hAnsi="Times New Roman"/>
                <w:sz w:val="20"/>
                <w:szCs w:val="20"/>
              </w:rPr>
              <w:t xml:space="preserve"> et le personnel </w:t>
            </w:r>
            <w:r>
              <w:rPr>
                <w:rFonts w:ascii="Times New Roman" w:hAnsi="Times New Roman"/>
                <w:sz w:val="20"/>
                <w:szCs w:val="20"/>
              </w:rPr>
              <w:t>contractualisé</w:t>
            </w:r>
            <w:r w:rsidRPr="00E737B4">
              <w:rPr>
                <w:rFonts w:ascii="Times New Roman" w:hAnsi="Times New Roman"/>
                <w:sz w:val="20"/>
                <w:szCs w:val="20"/>
              </w:rPr>
              <w:t xml:space="preserve"> </w:t>
            </w:r>
          </w:p>
          <w:p w14:paraId="4A1984A4" w14:textId="77777777" w:rsidR="002A5509" w:rsidRPr="00E737B4" w:rsidRDefault="002A5509" w:rsidP="00215867">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 xml:space="preserve">Identifier les centres de soutien médical, juridique et psychologique disponibles dans la communauté, et y référer les </w:t>
            </w:r>
            <w:r>
              <w:rPr>
                <w:rFonts w:ascii="Times New Roman" w:hAnsi="Times New Roman"/>
                <w:sz w:val="20"/>
                <w:szCs w:val="20"/>
              </w:rPr>
              <w:t>survivantes d’EAS/HS, y compris l’élaboration de circuit de référencement pour les survivantes</w:t>
            </w:r>
            <w:r w:rsidRPr="00E737B4">
              <w:rPr>
                <w:rFonts w:ascii="Times New Roman" w:hAnsi="Times New Roman"/>
                <w:sz w:val="20"/>
                <w:szCs w:val="20"/>
              </w:rPr>
              <w:t xml:space="preserve"> ;</w:t>
            </w:r>
          </w:p>
          <w:p w14:paraId="500254E7" w14:textId="77777777" w:rsidR="002A5509" w:rsidRPr="00420C1B"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6C6A48">
              <w:rPr>
                <w:rFonts w:ascii="Times New Roman" w:hAnsi="Times New Roman"/>
                <w:sz w:val="20"/>
                <w:szCs w:val="20"/>
              </w:rPr>
              <w:t>Exiger l’arrêt des travaux en cas d’un constat de violence sur les personnes vulnérables.</w:t>
            </w:r>
          </w:p>
          <w:p w14:paraId="04800D25" w14:textId="77777777" w:rsidR="002A5509" w:rsidRPr="00420C1B"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6C6A48">
              <w:rPr>
                <w:rFonts w:ascii="Times New Roman" w:hAnsi="Times New Roman"/>
                <w:sz w:val="20"/>
                <w:szCs w:val="20"/>
              </w:rPr>
              <w:t>Développement et Mise en œuvre d’un Plan de prévention contre la COVID-19</w:t>
            </w:r>
          </w:p>
          <w:p w14:paraId="3F84F525" w14:textId="77777777" w:rsidR="002A5509" w:rsidRPr="00215867" w:rsidRDefault="002A5509" w:rsidP="00215867">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Réaliser des séances de sensibilisation et d’éducations envers les travailleurs et les riverains sur la lutte contre les EAS/HS</w:t>
            </w:r>
          </w:p>
          <w:p w14:paraId="6ABD68D3" w14:textId="77777777" w:rsidR="002A5509" w:rsidRPr="00E737B4" w:rsidRDefault="002A5509" w:rsidP="00215867">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Signature du CdC</w:t>
            </w:r>
            <w:r>
              <w:rPr>
                <w:rFonts w:ascii="Times New Roman" w:hAnsi="Times New Roman"/>
                <w:sz w:val="20"/>
                <w:szCs w:val="20"/>
              </w:rPr>
              <w:t xml:space="preserve"> interdisant les comportements d’EAS/HS, et les sanctions en cas de non-respect</w:t>
            </w:r>
          </w:p>
        </w:tc>
        <w:tc>
          <w:tcPr>
            <w:tcW w:w="419" w:type="pct"/>
            <w:vAlign w:val="center"/>
          </w:tcPr>
          <w:p w14:paraId="7F6B656D" w14:textId="77777777" w:rsidR="002A5509" w:rsidRPr="00215867" w:rsidRDefault="002A5509"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561F13B0" w14:textId="77777777" w:rsidR="002A5509" w:rsidRPr="00215867" w:rsidRDefault="002A5509" w:rsidP="0021586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014321FB" w14:textId="77777777" w:rsidR="002A5509" w:rsidRPr="00191C8E" w:rsidRDefault="002A5509" w:rsidP="00215867">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C61D9D">
              <w:rPr>
                <w:rFonts w:ascii="Times New Roman" w:hAnsi="Times New Roman"/>
                <w:sz w:val="20"/>
                <w:szCs w:val="20"/>
              </w:rPr>
              <w:t xml:space="preserve">100% de la population et de travailleurs </w:t>
            </w:r>
            <w:r w:rsidRPr="00191C8E">
              <w:rPr>
                <w:rFonts w:ascii="Times New Roman" w:hAnsi="Times New Roman"/>
                <w:sz w:val="20"/>
                <w:szCs w:val="20"/>
              </w:rPr>
              <w:t>sont sensibilisés et formés sur les EAS/HS</w:t>
            </w:r>
          </w:p>
          <w:p w14:paraId="077B41E6" w14:textId="77777777" w:rsidR="002A5509" w:rsidRPr="00420C1B" w:rsidRDefault="002A5509" w:rsidP="00215867">
            <w:pPr>
              <w:numPr>
                <w:ilvl w:val="0"/>
                <w:numId w:val="31"/>
              </w:numPr>
              <w:autoSpaceDE w:val="0"/>
              <w:autoSpaceDN w:val="0"/>
              <w:adjustRightInd w:val="0"/>
              <w:spacing w:after="0" w:line="240" w:lineRule="auto"/>
              <w:ind w:left="172" w:hanging="218"/>
              <w:contextualSpacing/>
              <w:rPr>
                <w:lang w:eastAsia="fr-FR"/>
              </w:rPr>
            </w:pPr>
            <w:r w:rsidRPr="006C6A48">
              <w:rPr>
                <w:rFonts w:ascii="Times New Roman" w:hAnsi="Times New Roman"/>
                <w:sz w:val="20"/>
                <w:szCs w:val="20"/>
              </w:rPr>
              <w:t>100% des travailleurs ont signés le CdC et sont sensib</w:t>
            </w:r>
            <w:r w:rsidRPr="00420C1B">
              <w:rPr>
                <w:rFonts w:eastAsia="Times New Roman"/>
                <w:sz w:val="20"/>
                <w:szCs w:val="20"/>
                <w:lang w:eastAsia="fr-FR"/>
              </w:rPr>
              <w:t>ilisés</w:t>
            </w:r>
            <w:r w:rsidRPr="00420C1B">
              <w:rPr>
                <w:lang w:eastAsia="fr-FR"/>
              </w:rPr>
              <w:t xml:space="preserve"> </w:t>
            </w:r>
          </w:p>
        </w:tc>
        <w:tc>
          <w:tcPr>
            <w:tcW w:w="396" w:type="pct"/>
            <w:vAlign w:val="center"/>
          </w:tcPr>
          <w:p w14:paraId="4E932D8A" w14:textId="2495F68F" w:rsidR="002A5509" w:rsidRPr="00C61D9D" w:rsidRDefault="002A5509" w:rsidP="00215867">
            <w:pPr>
              <w:autoSpaceDE w:val="0"/>
              <w:autoSpaceDN w:val="0"/>
              <w:adjustRightInd w:val="0"/>
              <w:spacing w:after="0" w:line="240" w:lineRule="auto"/>
              <w:ind w:left="-46"/>
              <w:contextualSpacing/>
              <w:rPr>
                <w:rFonts w:ascii="Times New Roman" w:hAnsi="Times New Roman"/>
                <w:sz w:val="20"/>
                <w:szCs w:val="20"/>
              </w:rPr>
            </w:pPr>
            <w:r>
              <w:rPr>
                <w:rFonts w:ascii="Times New Roman" w:hAnsi="Times New Roman"/>
                <w:sz w:val="20"/>
                <w:szCs w:val="20"/>
              </w:rPr>
              <w:t xml:space="preserve">Avant, pendant et tous au long de l’exécution des travaux </w:t>
            </w:r>
          </w:p>
        </w:tc>
      </w:tr>
      <w:tr w:rsidR="002A5509" w:rsidRPr="00420C1B" w14:paraId="25033C3E" w14:textId="7F46D727" w:rsidTr="00215867">
        <w:trPr>
          <w:jc w:val="center"/>
        </w:trPr>
        <w:tc>
          <w:tcPr>
            <w:tcW w:w="4604" w:type="pct"/>
            <w:gridSpan w:val="10"/>
            <w:vAlign w:val="center"/>
          </w:tcPr>
          <w:p w14:paraId="1667BE7B" w14:textId="704B2D06" w:rsidR="002A5509" w:rsidRPr="00215867" w:rsidRDefault="002A5509" w:rsidP="00215867">
            <w:pPr>
              <w:pStyle w:val="Lgende"/>
              <w:autoSpaceDE w:val="0"/>
              <w:autoSpaceDN w:val="0"/>
              <w:adjustRightInd w:val="0"/>
              <w:spacing w:after="0"/>
              <w:jc w:val="center"/>
              <w:rPr>
                <w:b/>
                <w:sz w:val="20"/>
                <w:szCs w:val="20"/>
              </w:rPr>
            </w:pPr>
            <w:r w:rsidRPr="00215867">
              <w:rPr>
                <w:b/>
                <w:sz w:val="20"/>
                <w:szCs w:val="20"/>
              </w:rPr>
              <w:t>PHASE DE CONSTRUCTION</w:t>
            </w:r>
          </w:p>
        </w:tc>
        <w:tc>
          <w:tcPr>
            <w:tcW w:w="396" w:type="pct"/>
          </w:tcPr>
          <w:p w14:paraId="5BB8F312" w14:textId="77777777" w:rsidR="002A5509" w:rsidRPr="00420C1B" w:rsidRDefault="002A5509" w:rsidP="00EA2AA7">
            <w:pPr>
              <w:pStyle w:val="Lgende"/>
              <w:autoSpaceDE w:val="0"/>
              <w:autoSpaceDN w:val="0"/>
              <w:adjustRightInd w:val="0"/>
              <w:spacing w:after="0"/>
              <w:jc w:val="center"/>
              <w:rPr>
                <w:b/>
                <w:sz w:val="20"/>
                <w:szCs w:val="20"/>
              </w:rPr>
            </w:pPr>
          </w:p>
        </w:tc>
      </w:tr>
      <w:tr w:rsidR="002A5509" w:rsidRPr="00420C1B" w14:paraId="5330444F" w14:textId="6151D5C6" w:rsidTr="00215867">
        <w:trPr>
          <w:jc w:val="center"/>
        </w:trPr>
        <w:tc>
          <w:tcPr>
            <w:tcW w:w="557" w:type="pct"/>
            <w:gridSpan w:val="2"/>
            <w:vAlign w:val="center"/>
          </w:tcPr>
          <w:p w14:paraId="22A722B0" w14:textId="00104756" w:rsidR="002A5509" w:rsidRPr="00420C1B" w:rsidRDefault="002A5509" w:rsidP="00191C8E">
            <w:pPr>
              <w:spacing w:after="0" w:line="240" w:lineRule="auto"/>
              <w:rPr>
                <w:rFonts w:ascii="Times New Roman" w:hAnsi="Times New Roman"/>
                <w:sz w:val="20"/>
                <w:szCs w:val="20"/>
              </w:rPr>
            </w:pPr>
            <w:r w:rsidRPr="00420C1B">
              <w:rPr>
                <w:rFonts w:ascii="Times New Roman" w:hAnsi="Times New Roman"/>
                <w:sz w:val="20"/>
                <w:szCs w:val="20"/>
              </w:rPr>
              <w:t xml:space="preserve">Libération des emprises des travaux  </w:t>
            </w:r>
          </w:p>
        </w:tc>
        <w:tc>
          <w:tcPr>
            <w:tcW w:w="229" w:type="pct"/>
            <w:vAlign w:val="center"/>
          </w:tcPr>
          <w:p w14:paraId="00EA8B3D" w14:textId="0B8D5A9A" w:rsidR="002A5509" w:rsidRPr="00420C1B" w:rsidRDefault="002A5509" w:rsidP="00191C8E">
            <w:pPr>
              <w:spacing w:after="0" w:line="240" w:lineRule="auto"/>
              <w:rPr>
                <w:rFonts w:ascii="Times New Roman" w:hAnsi="Times New Roman"/>
                <w:sz w:val="20"/>
                <w:szCs w:val="20"/>
              </w:rPr>
            </w:pPr>
            <w:r w:rsidRPr="00420C1B">
              <w:rPr>
                <w:rFonts w:ascii="Times New Roman" w:hAnsi="Times New Roman"/>
                <w:sz w:val="20"/>
                <w:szCs w:val="20"/>
              </w:rPr>
              <w:t>16</w:t>
            </w:r>
          </w:p>
        </w:tc>
        <w:tc>
          <w:tcPr>
            <w:tcW w:w="427" w:type="pct"/>
            <w:vMerge w:val="restart"/>
            <w:vAlign w:val="center"/>
          </w:tcPr>
          <w:p w14:paraId="40EC59B5" w14:textId="552693D5" w:rsidR="002A5509" w:rsidRPr="00420C1B" w:rsidRDefault="002A5509" w:rsidP="00191C8E">
            <w:pPr>
              <w:spacing w:after="0" w:line="240" w:lineRule="auto"/>
              <w:rPr>
                <w:rFonts w:ascii="Times New Roman" w:hAnsi="Times New Roman"/>
                <w:sz w:val="20"/>
                <w:szCs w:val="20"/>
              </w:rPr>
            </w:pPr>
            <w:r w:rsidRPr="00420C1B">
              <w:rPr>
                <w:rFonts w:ascii="Times New Roman" w:hAnsi="Times New Roman"/>
                <w:sz w:val="20"/>
                <w:szCs w:val="20"/>
              </w:rPr>
              <w:t xml:space="preserve">Humain </w:t>
            </w:r>
          </w:p>
        </w:tc>
        <w:tc>
          <w:tcPr>
            <w:tcW w:w="524" w:type="pct"/>
            <w:vAlign w:val="center"/>
          </w:tcPr>
          <w:p w14:paraId="463A5796" w14:textId="5D21E062" w:rsidR="002A5509" w:rsidRPr="00420C1B" w:rsidRDefault="002A5509" w:rsidP="00191C8E">
            <w:pPr>
              <w:spacing w:after="0" w:line="240" w:lineRule="auto"/>
              <w:rPr>
                <w:rFonts w:ascii="Times New Roman" w:hAnsi="Times New Roman"/>
                <w:sz w:val="20"/>
                <w:szCs w:val="20"/>
              </w:rPr>
            </w:pPr>
            <w:r w:rsidRPr="00420C1B">
              <w:rPr>
                <w:rFonts w:ascii="Times New Roman" w:hAnsi="Times New Roman"/>
                <w:sz w:val="20"/>
                <w:szCs w:val="20"/>
              </w:rPr>
              <w:t>Perte foncière et de bâtisses </w:t>
            </w:r>
          </w:p>
        </w:tc>
        <w:tc>
          <w:tcPr>
            <w:tcW w:w="699" w:type="pct"/>
            <w:vAlign w:val="center"/>
          </w:tcPr>
          <w:p w14:paraId="77AA0157" w14:textId="77777777" w:rsidR="002A5509" w:rsidRPr="00215867"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215867">
              <w:rPr>
                <w:rFonts w:ascii="Times New Roman" w:hAnsi="Times New Roman"/>
                <w:sz w:val="20"/>
                <w:szCs w:val="20"/>
              </w:rPr>
              <w:t>inventorier et évaluer les bâtis ;</w:t>
            </w:r>
          </w:p>
          <w:p w14:paraId="50025C78" w14:textId="77777777" w:rsidR="002A5509" w:rsidRPr="00215867"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215867">
              <w:rPr>
                <w:rFonts w:ascii="Times New Roman" w:hAnsi="Times New Roman"/>
                <w:sz w:val="20"/>
                <w:szCs w:val="20"/>
              </w:rPr>
              <w:t>négocier les PV d’accord ;</w:t>
            </w:r>
          </w:p>
          <w:p w14:paraId="473EEAD6" w14:textId="05A236CC" w:rsidR="002A5509" w:rsidRPr="007E5A67" w:rsidRDefault="002A5509" w:rsidP="00215867">
            <w:pPr>
              <w:numPr>
                <w:ilvl w:val="0"/>
                <w:numId w:val="31"/>
              </w:numPr>
              <w:autoSpaceDE w:val="0"/>
              <w:autoSpaceDN w:val="0"/>
              <w:adjustRightInd w:val="0"/>
              <w:spacing w:after="0" w:line="240" w:lineRule="auto"/>
              <w:ind w:left="172" w:hanging="218"/>
              <w:contextualSpacing/>
              <w:rPr>
                <w:sz w:val="20"/>
                <w:szCs w:val="20"/>
              </w:rPr>
            </w:pPr>
            <w:r w:rsidRPr="00215867">
              <w:rPr>
                <w:rFonts w:ascii="Times New Roman" w:hAnsi="Times New Roman"/>
                <w:sz w:val="20"/>
                <w:szCs w:val="20"/>
              </w:rPr>
              <w:t>procéder au dédommagement des pertes</w:t>
            </w:r>
          </w:p>
        </w:tc>
        <w:tc>
          <w:tcPr>
            <w:tcW w:w="810" w:type="pct"/>
            <w:vAlign w:val="center"/>
          </w:tcPr>
          <w:p w14:paraId="53C3E94F" w14:textId="1B1428BF" w:rsidR="002A5509" w:rsidRPr="00E737B4" w:rsidRDefault="002A5509" w:rsidP="001629FF">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215867">
              <w:rPr>
                <w:rFonts w:ascii="Times New Roman" w:hAnsi="Times New Roman"/>
                <w:sz w:val="20"/>
                <w:szCs w:val="20"/>
              </w:rPr>
              <w:t>Mise en œuvre d’un plan d’action de réinstallation et d’indemnisation</w:t>
            </w:r>
            <w:r>
              <w:rPr>
                <w:rFonts w:ascii="Times New Roman" w:hAnsi="Times New Roman"/>
                <w:sz w:val="20"/>
                <w:szCs w:val="20"/>
              </w:rPr>
              <w:t xml:space="preserve"> </w:t>
            </w:r>
            <w:r w:rsidRPr="00215867">
              <w:rPr>
                <w:rFonts w:ascii="Times New Roman" w:hAnsi="Times New Roman"/>
                <w:sz w:val="20"/>
                <w:szCs w:val="20"/>
              </w:rPr>
              <w:t>incluant le plan de restauration des moyens de subsistance afin de compenser la perte des activités génératrices de revenus (AGR)</w:t>
            </w:r>
          </w:p>
        </w:tc>
        <w:tc>
          <w:tcPr>
            <w:tcW w:w="419" w:type="pct"/>
            <w:vAlign w:val="center"/>
          </w:tcPr>
          <w:p w14:paraId="1DDA662D" w14:textId="5E4B238D" w:rsidR="002A5509" w:rsidRPr="00191C8E" w:rsidRDefault="002A5509" w:rsidP="001629FF">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5E8E8418" w14:textId="039FBDFB" w:rsidR="002A5509" w:rsidRPr="00191C8E" w:rsidRDefault="002A5509" w:rsidP="002A5509">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2247ECEC" w14:textId="77777777" w:rsidR="002A5509" w:rsidRPr="00420C1B" w:rsidRDefault="002A5509" w:rsidP="002A5509">
            <w:pPr>
              <w:pStyle w:val="Lgende"/>
              <w:numPr>
                <w:ilvl w:val="0"/>
                <w:numId w:val="14"/>
              </w:numPr>
              <w:autoSpaceDE w:val="0"/>
              <w:autoSpaceDN w:val="0"/>
              <w:adjustRightInd w:val="0"/>
              <w:spacing w:after="0"/>
              <w:ind w:left="216" w:hanging="285"/>
              <w:rPr>
                <w:sz w:val="20"/>
                <w:szCs w:val="20"/>
              </w:rPr>
            </w:pPr>
            <w:r w:rsidRPr="00420C1B">
              <w:rPr>
                <w:sz w:val="20"/>
                <w:szCs w:val="20"/>
              </w:rPr>
              <w:t>0% de plaintes enregistrées</w:t>
            </w:r>
          </w:p>
          <w:p w14:paraId="1C6E6BF5" w14:textId="3C58F00D" w:rsidR="002A5509" w:rsidRPr="00191C8E" w:rsidRDefault="002A5509" w:rsidP="00215867">
            <w:pPr>
              <w:pStyle w:val="Lgende"/>
              <w:numPr>
                <w:ilvl w:val="0"/>
                <w:numId w:val="14"/>
              </w:numPr>
              <w:autoSpaceDE w:val="0"/>
              <w:autoSpaceDN w:val="0"/>
              <w:adjustRightInd w:val="0"/>
              <w:spacing w:after="0"/>
              <w:ind w:left="216" w:hanging="285"/>
              <w:rPr>
                <w:rFonts w:eastAsia="Times New Roman"/>
                <w:color w:val="auto"/>
                <w:sz w:val="20"/>
                <w:szCs w:val="20"/>
                <w:lang w:eastAsia="fr-FR"/>
              </w:rPr>
            </w:pPr>
            <w:r w:rsidRPr="00420C1B">
              <w:rPr>
                <w:sz w:val="20"/>
                <w:szCs w:val="20"/>
              </w:rPr>
              <w:t>100% des PAP indemnisées</w:t>
            </w:r>
          </w:p>
        </w:tc>
        <w:tc>
          <w:tcPr>
            <w:tcW w:w="396" w:type="pct"/>
            <w:vAlign w:val="center"/>
          </w:tcPr>
          <w:p w14:paraId="1B82FDC6" w14:textId="5A06B7D6" w:rsidR="002A5509" w:rsidRPr="00420C1B" w:rsidRDefault="004E039E" w:rsidP="00215867">
            <w:pPr>
              <w:pStyle w:val="Lgende"/>
              <w:autoSpaceDE w:val="0"/>
              <w:autoSpaceDN w:val="0"/>
              <w:adjustRightInd w:val="0"/>
              <w:spacing w:after="0"/>
              <w:rPr>
                <w:sz w:val="20"/>
                <w:szCs w:val="20"/>
              </w:rPr>
            </w:pPr>
            <w:r w:rsidRPr="00420C1B">
              <w:rPr>
                <w:sz w:val="20"/>
                <w:szCs w:val="20"/>
              </w:rPr>
              <w:t xml:space="preserve">Avant le démarrage des travaux </w:t>
            </w:r>
          </w:p>
        </w:tc>
      </w:tr>
      <w:tr w:rsidR="004E039E" w:rsidRPr="00420C1B" w14:paraId="539D8B1B" w14:textId="0B4E5D8A" w:rsidTr="00215867">
        <w:trPr>
          <w:jc w:val="center"/>
        </w:trPr>
        <w:tc>
          <w:tcPr>
            <w:tcW w:w="557" w:type="pct"/>
            <w:gridSpan w:val="2"/>
            <w:vAlign w:val="center"/>
          </w:tcPr>
          <w:p w14:paraId="735E2718" w14:textId="77777777" w:rsidR="004E039E" w:rsidRPr="00420C1B" w:rsidRDefault="004E039E" w:rsidP="00191C8E">
            <w:pPr>
              <w:spacing w:after="0" w:line="240" w:lineRule="auto"/>
              <w:rPr>
                <w:rFonts w:ascii="Times New Roman" w:hAnsi="Times New Roman"/>
                <w:sz w:val="20"/>
                <w:szCs w:val="20"/>
              </w:rPr>
            </w:pPr>
          </w:p>
        </w:tc>
        <w:tc>
          <w:tcPr>
            <w:tcW w:w="229" w:type="pct"/>
            <w:vAlign w:val="center"/>
          </w:tcPr>
          <w:p w14:paraId="7E0EB7B4" w14:textId="3AFE0627" w:rsidR="004E039E" w:rsidRPr="00420C1B" w:rsidRDefault="004E039E" w:rsidP="00191C8E">
            <w:pPr>
              <w:spacing w:after="0" w:line="240" w:lineRule="auto"/>
              <w:rPr>
                <w:rFonts w:ascii="Times New Roman" w:hAnsi="Times New Roman"/>
                <w:sz w:val="20"/>
                <w:szCs w:val="20"/>
              </w:rPr>
            </w:pPr>
            <w:r w:rsidRPr="00420C1B">
              <w:rPr>
                <w:rFonts w:ascii="Times New Roman" w:hAnsi="Times New Roman"/>
                <w:sz w:val="20"/>
                <w:szCs w:val="20"/>
              </w:rPr>
              <w:t>17</w:t>
            </w:r>
          </w:p>
        </w:tc>
        <w:tc>
          <w:tcPr>
            <w:tcW w:w="427" w:type="pct"/>
            <w:vMerge/>
            <w:vAlign w:val="center"/>
          </w:tcPr>
          <w:p w14:paraId="15AA7B7D" w14:textId="77777777" w:rsidR="004E039E" w:rsidRPr="00420C1B" w:rsidRDefault="004E039E" w:rsidP="00191C8E">
            <w:pPr>
              <w:spacing w:after="0" w:line="240" w:lineRule="auto"/>
              <w:rPr>
                <w:rFonts w:ascii="Times New Roman" w:hAnsi="Times New Roman"/>
                <w:sz w:val="20"/>
                <w:szCs w:val="20"/>
              </w:rPr>
            </w:pPr>
          </w:p>
        </w:tc>
        <w:tc>
          <w:tcPr>
            <w:tcW w:w="524" w:type="pct"/>
            <w:vAlign w:val="center"/>
          </w:tcPr>
          <w:p w14:paraId="48503111" w14:textId="3E3EE16E" w:rsidR="004E039E" w:rsidRPr="00420C1B" w:rsidRDefault="004E039E" w:rsidP="00191C8E">
            <w:pPr>
              <w:spacing w:after="0" w:line="240" w:lineRule="auto"/>
              <w:rPr>
                <w:rFonts w:ascii="Times New Roman" w:hAnsi="Times New Roman"/>
                <w:sz w:val="20"/>
                <w:szCs w:val="20"/>
              </w:rPr>
            </w:pPr>
            <w:r w:rsidRPr="00857867">
              <w:rPr>
                <w:rFonts w:ascii="Times New Roman" w:hAnsi="Times New Roman"/>
                <w:sz w:val="20"/>
                <w:szCs w:val="20"/>
              </w:rPr>
              <w:t>Abattage de</w:t>
            </w:r>
            <w:r w:rsidRPr="00857867">
              <w:rPr>
                <w:rFonts w:ascii="Times New Roman" w:eastAsia="Times New Roman" w:hAnsi="Times New Roman"/>
                <w:sz w:val="20"/>
                <w:szCs w:val="20"/>
                <w:lang w:eastAsia="fr-FR"/>
              </w:rPr>
              <w:t xml:space="preserve"> 815 arbres du domaine privé</w:t>
            </w:r>
          </w:p>
        </w:tc>
        <w:tc>
          <w:tcPr>
            <w:tcW w:w="699" w:type="pct"/>
            <w:vAlign w:val="center"/>
          </w:tcPr>
          <w:p w14:paraId="0D5B1BF2" w14:textId="77777777" w:rsidR="004E039E" w:rsidRPr="00215867" w:rsidRDefault="004E039E" w:rsidP="00215867">
            <w:pPr>
              <w:numPr>
                <w:ilvl w:val="0"/>
                <w:numId w:val="31"/>
              </w:numPr>
              <w:autoSpaceDE w:val="0"/>
              <w:autoSpaceDN w:val="0"/>
              <w:adjustRightInd w:val="0"/>
              <w:spacing w:after="0" w:line="240" w:lineRule="auto"/>
              <w:ind w:left="172" w:hanging="218"/>
              <w:contextualSpacing/>
              <w:rPr>
                <w:sz w:val="20"/>
                <w:szCs w:val="20"/>
              </w:rPr>
            </w:pPr>
            <w:r w:rsidRPr="00215867">
              <w:rPr>
                <w:rFonts w:ascii="Times New Roman" w:hAnsi="Times New Roman"/>
                <w:sz w:val="20"/>
                <w:szCs w:val="20"/>
              </w:rPr>
              <w:t>comptabiliser les différentes coupes pour les indemnisations ;</w:t>
            </w:r>
          </w:p>
          <w:p w14:paraId="47773E07" w14:textId="7B4BC45D" w:rsidR="004E039E" w:rsidRPr="007E5A67" w:rsidRDefault="004E039E" w:rsidP="00215867">
            <w:pPr>
              <w:numPr>
                <w:ilvl w:val="0"/>
                <w:numId w:val="31"/>
              </w:numPr>
              <w:autoSpaceDE w:val="0"/>
              <w:autoSpaceDN w:val="0"/>
              <w:adjustRightInd w:val="0"/>
              <w:spacing w:after="0" w:line="240" w:lineRule="auto"/>
              <w:ind w:left="172" w:hanging="218"/>
              <w:contextualSpacing/>
              <w:rPr>
                <w:sz w:val="20"/>
                <w:szCs w:val="20"/>
              </w:rPr>
            </w:pPr>
            <w:r w:rsidRPr="00215867">
              <w:rPr>
                <w:rFonts w:ascii="Times New Roman" w:hAnsi="Times New Roman"/>
                <w:sz w:val="20"/>
                <w:szCs w:val="20"/>
              </w:rPr>
              <w:t>dédommager les pertes d’arbres conformément à la réglementation Congolaise et au à la NES n°5</w:t>
            </w:r>
          </w:p>
        </w:tc>
        <w:tc>
          <w:tcPr>
            <w:tcW w:w="810" w:type="pct"/>
            <w:vAlign w:val="center"/>
          </w:tcPr>
          <w:p w14:paraId="44937F1D" w14:textId="24B91F7E" w:rsidR="004E039E" w:rsidRPr="00E737B4" w:rsidRDefault="004E039E" w:rsidP="00191C8E">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215867">
              <w:rPr>
                <w:rFonts w:ascii="Times New Roman" w:hAnsi="Times New Roman"/>
                <w:sz w:val="20"/>
                <w:szCs w:val="20"/>
              </w:rPr>
              <w:t xml:space="preserve">Indemniser les pertes d’arbres privés  </w:t>
            </w:r>
          </w:p>
        </w:tc>
        <w:tc>
          <w:tcPr>
            <w:tcW w:w="419" w:type="pct"/>
            <w:vAlign w:val="center"/>
          </w:tcPr>
          <w:p w14:paraId="69805CF1" w14:textId="6CF9FA6A" w:rsidR="004E039E" w:rsidRPr="00191C8E" w:rsidRDefault="004E039E" w:rsidP="00191C8E">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7C7A687B" w14:textId="4D08A5F3" w:rsidR="004E039E" w:rsidRPr="00191C8E" w:rsidRDefault="004E039E" w:rsidP="00191C8E">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7F073C34" w14:textId="5FD3356A" w:rsidR="004E039E" w:rsidRPr="00191C8E" w:rsidRDefault="004E039E" w:rsidP="00191C8E">
            <w:pPr>
              <w:pStyle w:val="Lgende"/>
              <w:autoSpaceDE w:val="0"/>
              <w:autoSpaceDN w:val="0"/>
              <w:adjustRightInd w:val="0"/>
              <w:spacing w:after="0"/>
              <w:ind w:left="-69"/>
              <w:rPr>
                <w:rFonts w:eastAsia="Times New Roman"/>
                <w:color w:val="auto"/>
                <w:sz w:val="20"/>
                <w:szCs w:val="20"/>
                <w:lang w:eastAsia="fr-FR"/>
              </w:rPr>
            </w:pPr>
            <w:r w:rsidRPr="00420C1B">
              <w:rPr>
                <w:sz w:val="20"/>
                <w:szCs w:val="20"/>
              </w:rPr>
              <w:t>100% des arbres privés coupés ou élagués sont indemnisés.</w:t>
            </w:r>
          </w:p>
        </w:tc>
        <w:tc>
          <w:tcPr>
            <w:tcW w:w="396" w:type="pct"/>
            <w:vAlign w:val="center"/>
          </w:tcPr>
          <w:p w14:paraId="58672AFB" w14:textId="723F4165" w:rsidR="004E039E" w:rsidRPr="00420C1B" w:rsidRDefault="004E039E" w:rsidP="00191C8E">
            <w:pPr>
              <w:pStyle w:val="Lgende"/>
              <w:autoSpaceDE w:val="0"/>
              <w:autoSpaceDN w:val="0"/>
              <w:adjustRightInd w:val="0"/>
              <w:spacing w:after="0"/>
              <w:ind w:left="-69"/>
              <w:rPr>
                <w:sz w:val="20"/>
                <w:szCs w:val="20"/>
              </w:rPr>
            </w:pPr>
            <w:r w:rsidRPr="00420C1B">
              <w:rPr>
                <w:sz w:val="20"/>
                <w:szCs w:val="20"/>
              </w:rPr>
              <w:t xml:space="preserve">Avant le démarrage des travaux </w:t>
            </w:r>
          </w:p>
        </w:tc>
      </w:tr>
      <w:tr w:rsidR="004E039E" w:rsidRPr="00420C1B" w14:paraId="4A4C0B42" w14:textId="08E8D3B3" w:rsidTr="00215867">
        <w:trPr>
          <w:jc w:val="center"/>
        </w:trPr>
        <w:tc>
          <w:tcPr>
            <w:tcW w:w="557" w:type="pct"/>
            <w:gridSpan w:val="2"/>
            <w:vAlign w:val="center"/>
          </w:tcPr>
          <w:p w14:paraId="3A78D437"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Transport et circulation de la machinerie et matériaux, tirage des câbles, fouilles et installation des poteaux</w:t>
            </w:r>
          </w:p>
        </w:tc>
        <w:tc>
          <w:tcPr>
            <w:tcW w:w="229" w:type="pct"/>
            <w:vAlign w:val="center"/>
          </w:tcPr>
          <w:p w14:paraId="48721DFE"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14</w:t>
            </w:r>
          </w:p>
        </w:tc>
        <w:tc>
          <w:tcPr>
            <w:tcW w:w="427" w:type="pct"/>
            <w:vAlign w:val="center"/>
          </w:tcPr>
          <w:p w14:paraId="5CF57536"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Socio économie : Santé publique et sécurité</w:t>
            </w:r>
          </w:p>
        </w:tc>
        <w:tc>
          <w:tcPr>
            <w:tcW w:w="524" w:type="pct"/>
            <w:vAlign w:val="center"/>
          </w:tcPr>
          <w:p w14:paraId="4F9E6D96"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Risque d’accident</w:t>
            </w:r>
          </w:p>
        </w:tc>
        <w:tc>
          <w:tcPr>
            <w:tcW w:w="699" w:type="pct"/>
            <w:vAlign w:val="center"/>
          </w:tcPr>
          <w:p w14:paraId="0BDEEC96" w14:textId="77777777" w:rsidR="004E039E" w:rsidRPr="00420C1B" w:rsidRDefault="004E039E" w:rsidP="00C61D9D">
            <w:pPr>
              <w:pStyle w:val="Lgende"/>
              <w:spacing w:after="0"/>
              <w:rPr>
                <w:color w:val="auto"/>
                <w:sz w:val="20"/>
                <w:szCs w:val="20"/>
              </w:rPr>
            </w:pPr>
            <w:r w:rsidRPr="00420C1B">
              <w:rPr>
                <w:color w:val="auto"/>
                <w:sz w:val="20"/>
                <w:szCs w:val="20"/>
              </w:rPr>
              <w:t xml:space="preserve">Mise en œuvre d’un Plan d’Information Education Communication (PIEC) en direction des ouvriers et des populations riveraines au site des travaux </w:t>
            </w:r>
          </w:p>
          <w:p w14:paraId="0226E8D9" w14:textId="77777777" w:rsidR="004E039E" w:rsidRPr="00420C1B" w:rsidRDefault="004E039E" w:rsidP="00C61D9D">
            <w:r w:rsidRPr="00420C1B">
              <w:rPr>
                <w:sz w:val="20"/>
                <w:szCs w:val="20"/>
              </w:rPr>
              <w:t>Mise en œuvre d’un plan de circulation</w:t>
            </w:r>
          </w:p>
        </w:tc>
        <w:tc>
          <w:tcPr>
            <w:tcW w:w="810" w:type="pct"/>
            <w:vAlign w:val="center"/>
          </w:tcPr>
          <w:p w14:paraId="29BF82B5"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mettre en place des panneaux de limitation de vitesse et des ralentisseurs à l’entrée et à la sortie des agglomérations</w:t>
            </w:r>
          </w:p>
          <w:p w14:paraId="3306243C"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 xml:space="preserve">procéder à une IEC en direction des ouvriers et des populations riveraines au site des travaux ; </w:t>
            </w:r>
          </w:p>
          <w:p w14:paraId="0DA8F169"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Exiger le port des Equipement de Protection Individuelle (EPI)</w:t>
            </w:r>
          </w:p>
        </w:tc>
        <w:tc>
          <w:tcPr>
            <w:tcW w:w="419" w:type="pct"/>
            <w:vAlign w:val="center"/>
          </w:tcPr>
          <w:p w14:paraId="2541F3EE"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6E37C06F"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6BDE4D65" w14:textId="77777777" w:rsidR="004E039E" w:rsidRPr="00191C8E" w:rsidRDefault="004E039E" w:rsidP="00C61D9D">
            <w:pPr>
              <w:pStyle w:val="Lgende"/>
              <w:autoSpaceDE w:val="0"/>
              <w:autoSpaceDN w:val="0"/>
              <w:adjustRightInd w:val="0"/>
              <w:spacing w:after="0"/>
              <w:ind w:left="-69"/>
              <w:rPr>
                <w:rFonts w:eastAsia="Times New Roman"/>
                <w:color w:val="auto"/>
                <w:sz w:val="20"/>
                <w:szCs w:val="20"/>
                <w:lang w:eastAsia="fr-FR"/>
              </w:rPr>
            </w:pPr>
            <w:r w:rsidRPr="00215867">
              <w:rPr>
                <w:rFonts w:eastAsia="Times New Roman"/>
                <w:color w:val="auto"/>
                <w:sz w:val="20"/>
                <w:szCs w:val="20"/>
                <w:lang w:eastAsia="fr-FR"/>
              </w:rPr>
              <w:t xml:space="preserve">100% de </w:t>
            </w:r>
            <w:r w:rsidRPr="00C61D9D">
              <w:rPr>
                <w:rFonts w:eastAsia="Times New Roman"/>
                <w:color w:val="auto"/>
                <w:sz w:val="20"/>
                <w:szCs w:val="20"/>
                <w:lang w:eastAsia="fr-FR"/>
              </w:rPr>
              <w:t>travailleurs sont sensibilisés et équipés en EP</w:t>
            </w:r>
            <w:r w:rsidRPr="00191C8E">
              <w:rPr>
                <w:rFonts w:eastAsia="Times New Roman"/>
                <w:color w:val="auto"/>
                <w:sz w:val="20"/>
                <w:szCs w:val="20"/>
                <w:lang w:eastAsia="fr-FR"/>
              </w:rPr>
              <w:t>I</w:t>
            </w:r>
          </w:p>
        </w:tc>
        <w:tc>
          <w:tcPr>
            <w:tcW w:w="396" w:type="pct"/>
            <w:vAlign w:val="center"/>
          </w:tcPr>
          <w:p w14:paraId="670E3ECF" w14:textId="009BAF2D" w:rsidR="004E039E" w:rsidRPr="00A6086C" w:rsidRDefault="00A66266" w:rsidP="00A66266">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Pendant les travaux </w:t>
            </w:r>
          </w:p>
        </w:tc>
      </w:tr>
      <w:tr w:rsidR="004E039E" w:rsidRPr="00420C1B" w14:paraId="7C30D02B" w14:textId="288C81AA" w:rsidTr="00215867">
        <w:trPr>
          <w:trHeight w:val="231"/>
          <w:jc w:val="center"/>
        </w:trPr>
        <w:tc>
          <w:tcPr>
            <w:tcW w:w="557" w:type="pct"/>
            <w:gridSpan w:val="2"/>
            <w:vAlign w:val="center"/>
          </w:tcPr>
          <w:p w14:paraId="03FC90D2"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Approvisionnement, stockage, distribution et consommation des hydrocarbures (déversement d’hydrocarbure et production de déchet)</w:t>
            </w:r>
          </w:p>
        </w:tc>
        <w:tc>
          <w:tcPr>
            <w:tcW w:w="229" w:type="pct"/>
            <w:vAlign w:val="center"/>
          </w:tcPr>
          <w:p w14:paraId="0B4C8BF4"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15</w:t>
            </w:r>
          </w:p>
        </w:tc>
        <w:tc>
          <w:tcPr>
            <w:tcW w:w="427" w:type="pct"/>
            <w:vAlign w:val="center"/>
          </w:tcPr>
          <w:p w14:paraId="12A1C3F2"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Socio  économie </w:t>
            </w:r>
            <w:r w:rsidRPr="008E4326">
              <w:rPr>
                <w:rFonts w:ascii="Times New Roman" w:hAnsi="Times New Roman"/>
                <w:sz w:val="20"/>
                <w:szCs w:val="20"/>
              </w:rPr>
              <w:t xml:space="preserve"> </w:t>
            </w:r>
            <w:r>
              <w:rPr>
                <w:rFonts w:ascii="Times New Roman" w:hAnsi="Times New Roman"/>
                <w:sz w:val="20"/>
                <w:szCs w:val="20"/>
              </w:rPr>
              <w:t xml:space="preserve"> : </w:t>
            </w:r>
            <w:r w:rsidRPr="008E4326">
              <w:rPr>
                <w:rFonts w:ascii="Times New Roman" w:hAnsi="Times New Roman"/>
                <w:sz w:val="20"/>
                <w:szCs w:val="20"/>
              </w:rPr>
              <w:t>Santé publique et sécurité</w:t>
            </w:r>
          </w:p>
        </w:tc>
        <w:tc>
          <w:tcPr>
            <w:tcW w:w="524" w:type="pct"/>
            <w:vAlign w:val="center"/>
          </w:tcPr>
          <w:p w14:paraId="62E6C625"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Pollution des eaux avec un corollaire de risque sanitaire</w:t>
            </w:r>
          </w:p>
        </w:tc>
        <w:tc>
          <w:tcPr>
            <w:tcW w:w="699" w:type="pct"/>
            <w:vAlign w:val="center"/>
          </w:tcPr>
          <w:p w14:paraId="4A4C723A"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iCs/>
                <w:sz w:val="20"/>
                <w:szCs w:val="20"/>
              </w:rPr>
              <w:t>Mise en œuvre d’un Plan de gestion des déchets solides et liquides</w:t>
            </w:r>
          </w:p>
        </w:tc>
        <w:tc>
          <w:tcPr>
            <w:tcW w:w="810" w:type="pct"/>
            <w:vAlign w:val="center"/>
          </w:tcPr>
          <w:p w14:paraId="71C6ED6A" w14:textId="77777777" w:rsidR="004E039E" w:rsidRPr="008E4326"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8E4326">
              <w:rPr>
                <w:rFonts w:ascii="Times New Roman" w:hAnsi="Times New Roman"/>
                <w:sz w:val="20"/>
                <w:szCs w:val="20"/>
              </w:rPr>
              <w:t>gérer les déchets de chantier surtout les déchets dangereux ;</w:t>
            </w:r>
          </w:p>
          <w:p w14:paraId="778EED3F" w14:textId="77777777" w:rsidR="004E039E" w:rsidRPr="008E4326"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8E4326">
              <w:rPr>
                <w:rFonts w:ascii="Times New Roman" w:hAnsi="Times New Roman"/>
                <w:sz w:val="20"/>
                <w:szCs w:val="20"/>
              </w:rPr>
              <w:t>aménager et stabiliser les aires de vidange afin de les imperméabiliser ;</w:t>
            </w:r>
          </w:p>
          <w:p w14:paraId="41307FE6" w14:textId="77777777" w:rsidR="004E039E" w:rsidRPr="008E4326"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8E4326">
              <w:rPr>
                <w:rFonts w:ascii="Times New Roman" w:hAnsi="Times New Roman"/>
                <w:sz w:val="20"/>
                <w:szCs w:val="20"/>
              </w:rPr>
              <w:t>recueillir les huiles usées dans des contenants étanches en vue de leur recyclage ou réutilisation ;</w:t>
            </w:r>
          </w:p>
          <w:p w14:paraId="7CA777B0" w14:textId="77777777" w:rsidR="004E039E" w:rsidRPr="008E4326"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Pr>
                <w:rFonts w:ascii="Times New Roman" w:hAnsi="Times New Roman"/>
                <w:sz w:val="20"/>
                <w:szCs w:val="20"/>
              </w:rPr>
              <w:t>a</w:t>
            </w:r>
            <w:r w:rsidRPr="008E4326">
              <w:rPr>
                <w:rFonts w:ascii="Times New Roman" w:hAnsi="Times New Roman"/>
                <w:sz w:val="20"/>
                <w:szCs w:val="20"/>
              </w:rPr>
              <w:t>ménager les bassins de rétention pour le stockage des hydrocarbures, conformément aux normes en la matière.</w:t>
            </w:r>
          </w:p>
        </w:tc>
        <w:tc>
          <w:tcPr>
            <w:tcW w:w="419" w:type="pct"/>
            <w:vAlign w:val="center"/>
          </w:tcPr>
          <w:p w14:paraId="3FA792AC"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1AB2B484"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54C3F23C" w14:textId="77777777" w:rsidR="004E039E" w:rsidRPr="006C6A48" w:rsidRDefault="004E039E" w:rsidP="00C61D9D">
            <w:pPr>
              <w:pStyle w:val="Lgende"/>
              <w:autoSpaceDE w:val="0"/>
              <w:autoSpaceDN w:val="0"/>
              <w:adjustRightInd w:val="0"/>
              <w:spacing w:after="0"/>
              <w:ind w:left="-69"/>
              <w:rPr>
                <w:rFonts w:eastAsia="Times New Roman"/>
                <w:color w:val="auto"/>
                <w:sz w:val="20"/>
                <w:szCs w:val="20"/>
                <w:lang w:eastAsia="fr-FR"/>
              </w:rPr>
            </w:pPr>
            <w:r w:rsidRPr="00C61D9D">
              <w:rPr>
                <w:rFonts w:eastAsia="Times New Roman"/>
                <w:color w:val="auto"/>
                <w:sz w:val="20"/>
                <w:szCs w:val="20"/>
                <w:lang w:eastAsia="fr-FR"/>
              </w:rPr>
              <w:t xml:space="preserve">Tous </w:t>
            </w:r>
            <w:r w:rsidRPr="00191C8E">
              <w:rPr>
                <w:rFonts w:eastAsia="Times New Roman"/>
                <w:color w:val="auto"/>
                <w:sz w:val="20"/>
                <w:szCs w:val="20"/>
                <w:lang w:eastAsia="fr-FR"/>
              </w:rPr>
              <w:t>les sites disposent de bacs de ré</w:t>
            </w:r>
            <w:r w:rsidRPr="006C6A48">
              <w:rPr>
                <w:rFonts w:eastAsia="Times New Roman"/>
                <w:color w:val="auto"/>
                <w:sz w:val="20"/>
                <w:szCs w:val="20"/>
                <w:lang w:eastAsia="fr-FR"/>
              </w:rPr>
              <w:t>cupérations d’huiles et des produits absorbant pour pallier à la pollution des eaux</w:t>
            </w:r>
          </w:p>
        </w:tc>
        <w:tc>
          <w:tcPr>
            <w:tcW w:w="396" w:type="pct"/>
            <w:vAlign w:val="center"/>
          </w:tcPr>
          <w:p w14:paraId="315710E7" w14:textId="15110DBE" w:rsidR="004E039E" w:rsidRPr="00C61D9D" w:rsidRDefault="00A66266" w:rsidP="00A66266">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Pendant les travaux </w:t>
            </w:r>
          </w:p>
        </w:tc>
      </w:tr>
      <w:tr w:rsidR="004E039E" w:rsidRPr="00420C1B" w14:paraId="216267B9" w14:textId="743045F5" w:rsidTr="00215867">
        <w:trPr>
          <w:trHeight w:val="231"/>
          <w:jc w:val="center"/>
        </w:trPr>
        <w:tc>
          <w:tcPr>
            <w:tcW w:w="557" w:type="pct"/>
            <w:gridSpan w:val="2"/>
            <w:vAlign w:val="center"/>
          </w:tcPr>
          <w:p w14:paraId="100B2BA5"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Recrutement des employés et ouvriers</w:t>
            </w:r>
          </w:p>
        </w:tc>
        <w:tc>
          <w:tcPr>
            <w:tcW w:w="229" w:type="pct"/>
            <w:vAlign w:val="center"/>
          </w:tcPr>
          <w:p w14:paraId="17962333" w14:textId="77777777" w:rsidR="004E039E" w:rsidRPr="00420C1B" w:rsidRDefault="004E039E" w:rsidP="00C61D9D">
            <w:pPr>
              <w:spacing w:after="0" w:line="240" w:lineRule="auto"/>
              <w:jc w:val="center"/>
              <w:rPr>
                <w:rFonts w:ascii="Times New Roman" w:hAnsi="Times New Roman"/>
                <w:sz w:val="20"/>
                <w:szCs w:val="20"/>
              </w:rPr>
            </w:pPr>
            <w:r w:rsidRPr="00420C1B">
              <w:rPr>
                <w:rFonts w:ascii="Times New Roman" w:hAnsi="Times New Roman"/>
                <w:sz w:val="20"/>
                <w:szCs w:val="20"/>
              </w:rPr>
              <w:t>16</w:t>
            </w:r>
          </w:p>
        </w:tc>
        <w:tc>
          <w:tcPr>
            <w:tcW w:w="427" w:type="pct"/>
            <w:vAlign w:val="center"/>
          </w:tcPr>
          <w:p w14:paraId="75D10F3A"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Humain</w:t>
            </w:r>
          </w:p>
        </w:tc>
        <w:tc>
          <w:tcPr>
            <w:tcW w:w="524" w:type="pct"/>
            <w:vAlign w:val="center"/>
          </w:tcPr>
          <w:p w14:paraId="70420AA5"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Risque de conflit</w:t>
            </w:r>
          </w:p>
        </w:tc>
        <w:tc>
          <w:tcPr>
            <w:tcW w:w="699" w:type="pct"/>
            <w:vAlign w:val="center"/>
          </w:tcPr>
          <w:p w14:paraId="309F4F68" w14:textId="77777777" w:rsidR="004E039E" w:rsidRPr="00420C1B" w:rsidRDefault="004E039E" w:rsidP="00C61D9D">
            <w:pPr>
              <w:pStyle w:val="Lgende"/>
              <w:spacing w:after="0"/>
              <w:rPr>
                <w:color w:val="auto"/>
                <w:sz w:val="20"/>
                <w:szCs w:val="20"/>
              </w:rPr>
            </w:pPr>
            <w:r w:rsidRPr="00420C1B">
              <w:rPr>
                <w:color w:val="auto"/>
                <w:sz w:val="20"/>
                <w:szCs w:val="20"/>
              </w:rPr>
              <w:t>Mise en œuvre d’un Plan de recrutement du personnel et un mécanisme de prévention et de gestion des plaintes sensibles à l’EAS/HS</w:t>
            </w:r>
          </w:p>
        </w:tc>
        <w:tc>
          <w:tcPr>
            <w:tcW w:w="810" w:type="pct"/>
            <w:vAlign w:val="center"/>
          </w:tcPr>
          <w:p w14:paraId="6AB61F2C"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 xml:space="preserve">recruter en priorité la main d’œuvre locale pour les emplois non qualifiés ; </w:t>
            </w:r>
          </w:p>
          <w:p w14:paraId="67D6C561"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mettre en place un système transparent de recrutement ;</w:t>
            </w:r>
          </w:p>
          <w:p w14:paraId="355F17BF"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informer et sensibiliser les populations locales ;</w:t>
            </w:r>
          </w:p>
          <w:p w14:paraId="1C1EB762" w14:textId="77777777" w:rsidR="004E039E" w:rsidRPr="00E737B4" w:rsidRDefault="004E039E" w:rsidP="00C61D9D">
            <w:pPr>
              <w:numPr>
                <w:ilvl w:val="0"/>
                <w:numId w:val="31"/>
              </w:numPr>
              <w:autoSpaceDE w:val="0"/>
              <w:autoSpaceDN w:val="0"/>
              <w:adjustRightInd w:val="0"/>
              <w:spacing w:after="0" w:line="240" w:lineRule="auto"/>
              <w:ind w:left="172" w:hanging="218"/>
              <w:contextualSpacing/>
              <w:rPr>
                <w:rFonts w:ascii="Times New Roman" w:hAnsi="Times New Roman"/>
                <w:sz w:val="20"/>
                <w:szCs w:val="20"/>
              </w:rPr>
            </w:pPr>
            <w:r w:rsidRPr="00E737B4">
              <w:rPr>
                <w:rFonts w:ascii="Times New Roman" w:hAnsi="Times New Roman"/>
                <w:sz w:val="20"/>
                <w:szCs w:val="20"/>
              </w:rPr>
              <w:t>élaborer et mettre en œuvre un mécanisme de gestion des plaintes</w:t>
            </w:r>
            <w:r>
              <w:rPr>
                <w:rFonts w:ascii="Times New Roman" w:hAnsi="Times New Roman"/>
                <w:sz w:val="20"/>
                <w:szCs w:val="20"/>
              </w:rPr>
              <w:t xml:space="preserve"> sensible à l’EAS/HS</w:t>
            </w:r>
            <w:r w:rsidRPr="00E737B4">
              <w:rPr>
                <w:rFonts w:ascii="Times New Roman" w:hAnsi="Times New Roman"/>
                <w:sz w:val="20"/>
                <w:szCs w:val="20"/>
              </w:rPr>
              <w:t xml:space="preserve"> ;</w:t>
            </w:r>
          </w:p>
          <w:p w14:paraId="616DD888" w14:textId="77777777" w:rsidR="004E039E" w:rsidRPr="00E737B4" w:rsidRDefault="004E039E" w:rsidP="00C61D9D">
            <w:pPr>
              <w:pStyle w:val="Lgende"/>
              <w:numPr>
                <w:ilvl w:val="0"/>
                <w:numId w:val="31"/>
              </w:numPr>
              <w:spacing w:after="0"/>
              <w:ind w:left="172" w:hanging="218"/>
              <w:contextualSpacing/>
              <w:rPr>
                <w:iCs w:val="0"/>
                <w:color w:val="auto"/>
                <w:sz w:val="20"/>
                <w:szCs w:val="20"/>
              </w:rPr>
            </w:pPr>
            <w:r w:rsidRPr="00E737B4">
              <w:rPr>
                <w:iCs w:val="0"/>
                <w:color w:val="auto"/>
                <w:sz w:val="20"/>
                <w:szCs w:val="20"/>
              </w:rPr>
              <w:t>Sensibiliser le personnel de chantier sur le respect des us et coutumes des populations locales</w:t>
            </w:r>
            <w:r>
              <w:rPr>
                <w:iCs w:val="0"/>
                <w:color w:val="auto"/>
                <w:sz w:val="20"/>
                <w:szCs w:val="20"/>
              </w:rPr>
              <w:t xml:space="preserve"> selon la loi</w:t>
            </w:r>
          </w:p>
        </w:tc>
        <w:tc>
          <w:tcPr>
            <w:tcW w:w="419" w:type="pct"/>
            <w:vAlign w:val="center"/>
          </w:tcPr>
          <w:p w14:paraId="4E18C082"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269E12AB"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193F02FD" w14:textId="77777777" w:rsidR="004E039E" w:rsidRPr="00191C8E" w:rsidRDefault="004E039E" w:rsidP="00C61D9D">
            <w:pPr>
              <w:pStyle w:val="Lgende"/>
              <w:autoSpaceDE w:val="0"/>
              <w:autoSpaceDN w:val="0"/>
              <w:adjustRightInd w:val="0"/>
              <w:spacing w:after="0"/>
              <w:ind w:left="-69"/>
              <w:rPr>
                <w:rFonts w:eastAsia="Times New Roman"/>
                <w:color w:val="auto"/>
                <w:sz w:val="20"/>
                <w:szCs w:val="20"/>
                <w:lang w:eastAsia="fr-FR"/>
              </w:rPr>
            </w:pPr>
            <w:r w:rsidRPr="00215867">
              <w:rPr>
                <w:rFonts w:eastAsia="Times New Roman"/>
                <w:color w:val="auto"/>
                <w:sz w:val="20"/>
                <w:szCs w:val="20"/>
                <w:lang w:eastAsia="fr-FR"/>
              </w:rPr>
              <w:t xml:space="preserve">60% </w:t>
            </w:r>
            <w:r w:rsidRPr="00C61D9D">
              <w:rPr>
                <w:rFonts w:eastAsia="Times New Roman"/>
                <w:color w:val="auto"/>
                <w:sz w:val="20"/>
                <w:szCs w:val="20"/>
                <w:lang w:eastAsia="fr-FR"/>
              </w:rPr>
              <w:t>du personnel de l</w:t>
            </w:r>
            <w:r w:rsidRPr="00191C8E">
              <w:rPr>
                <w:rFonts w:eastAsia="Times New Roman"/>
                <w:color w:val="auto"/>
                <w:sz w:val="20"/>
                <w:szCs w:val="20"/>
                <w:lang w:eastAsia="fr-FR"/>
              </w:rPr>
              <w:t xml:space="preserve">’employeur proviennent de la communauté locale </w:t>
            </w:r>
          </w:p>
        </w:tc>
        <w:tc>
          <w:tcPr>
            <w:tcW w:w="396" w:type="pct"/>
            <w:vAlign w:val="center"/>
          </w:tcPr>
          <w:p w14:paraId="7AF8B240" w14:textId="0831EF0E" w:rsidR="004E039E" w:rsidRPr="00A6086C" w:rsidRDefault="00A66266" w:rsidP="00A66266">
            <w:pPr>
              <w:pStyle w:val="Lgende"/>
              <w:autoSpaceDE w:val="0"/>
              <w:autoSpaceDN w:val="0"/>
              <w:adjustRightInd w:val="0"/>
              <w:spacing w:after="0"/>
              <w:ind w:left="-69"/>
              <w:rPr>
                <w:rFonts w:eastAsia="Times New Roman"/>
                <w:color w:val="auto"/>
                <w:sz w:val="20"/>
                <w:szCs w:val="20"/>
                <w:lang w:eastAsia="fr-FR"/>
              </w:rPr>
            </w:pPr>
            <w:r>
              <w:rPr>
                <w:rFonts w:eastAsia="Times New Roman"/>
                <w:color w:val="auto"/>
                <w:sz w:val="20"/>
                <w:szCs w:val="20"/>
                <w:lang w:eastAsia="fr-FR"/>
              </w:rPr>
              <w:t xml:space="preserve">Avant et pendant l’exécution des travaux </w:t>
            </w:r>
          </w:p>
        </w:tc>
      </w:tr>
      <w:tr w:rsidR="004E039E" w:rsidRPr="00420C1B" w14:paraId="1D06E7E7" w14:textId="3408F073" w:rsidTr="00215867">
        <w:trPr>
          <w:trHeight w:val="415"/>
          <w:jc w:val="center"/>
        </w:trPr>
        <w:tc>
          <w:tcPr>
            <w:tcW w:w="537" w:type="pct"/>
          </w:tcPr>
          <w:p w14:paraId="40ECAD99" w14:textId="77777777" w:rsidR="004E039E" w:rsidRDefault="004E039E" w:rsidP="00EA2AA7">
            <w:pPr>
              <w:spacing w:after="0"/>
              <w:jc w:val="center"/>
              <w:rPr>
                <w:rFonts w:ascii="Times New Roman" w:hAnsi="Times New Roman"/>
                <w:sz w:val="20"/>
                <w:szCs w:val="20"/>
              </w:rPr>
            </w:pPr>
          </w:p>
        </w:tc>
        <w:tc>
          <w:tcPr>
            <w:tcW w:w="4463" w:type="pct"/>
            <w:gridSpan w:val="10"/>
            <w:vAlign w:val="center"/>
          </w:tcPr>
          <w:p w14:paraId="55FD2B3E" w14:textId="31DB30D2" w:rsidR="004E039E" w:rsidRPr="00C61D9D" w:rsidRDefault="004E039E" w:rsidP="00EA2AA7">
            <w:pPr>
              <w:spacing w:after="0"/>
              <w:jc w:val="center"/>
              <w:rPr>
                <w:rFonts w:ascii="Times New Roman" w:hAnsi="Times New Roman"/>
                <w:sz w:val="20"/>
                <w:szCs w:val="20"/>
              </w:rPr>
            </w:pPr>
            <w:r>
              <w:rPr>
                <w:rFonts w:ascii="Times New Roman" w:hAnsi="Times New Roman"/>
                <w:sz w:val="20"/>
                <w:szCs w:val="20"/>
              </w:rPr>
              <w:t>PH</w:t>
            </w:r>
            <w:r w:rsidRPr="00215867">
              <w:rPr>
                <w:rFonts w:ascii="Times New Roman" w:hAnsi="Times New Roman"/>
                <w:b/>
                <w:sz w:val="20"/>
                <w:szCs w:val="20"/>
              </w:rPr>
              <w:t>ASE D’EXPLOITATION</w:t>
            </w:r>
          </w:p>
        </w:tc>
      </w:tr>
      <w:tr w:rsidR="004E039E" w:rsidRPr="00420C1B" w14:paraId="70575025" w14:textId="52CCA118" w:rsidTr="00215867">
        <w:trPr>
          <w:jc w:val="center"/>
        </w:trPr>
        <w:tc>
          <w:tcPr>
            <w:tcW w:w="557" w:type="pct"/>
            <w:gridSpan w:val="2"/>
            <w:vAlign w:val="center"/>
          </w:tcPr>
          <w:p w14:paraId="30626CC5" w14:textId="77777777" w:rsidR="004E039E" w:rsidRPr="00420C1B" w:rsidRDefault="004E039E"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Installation des compteurs prépayés chez les nouveaux abonnés  </w:t>
            </w:r>
          </w:p>
        </w:tc>
        <w:tc>
          <w:tcPr>
            <w:tcW w:w="229" w:type="pct"/>
            <w:vAlign w:val="center"/>
          </w:tcPr>
          <w:p w14:paraId="4AF394BD" w14:textId="77777777" w:rsidR="004E039E" w:rsidRPr="00420C1B" w:rsidRDefault="004E039E" w:rsidP="00C61D9D">
            <w:pPr>
              <w:spacing w:after="0" w:line="240" w:lineRule="auto"/>
              <w:jc w:val="center"/>
              <w:rPr>
                <w:rFonts w:ascii="Times New Roman" w:hAnsi="Times New Roman"/>
                <w:sz w:val="20"/>
                <w:szCs w:val="20"/>
              </w:rPr>
            </w:pPr>
            <w:r w:rsidRPr="00420C1B">
              <w:rPr>
                <w:rFonts w:ascii="Times New Roman" w:hAnsi="Times New Roman"/>
                <w:sz w:val="20"/>
                <w:szCs w:val="20"/>
              </w:rPr>
              <w:t>17</w:t>
            </w:r>
          </w:p>
        </w:tc>
        <w:tc>
          <w:tcPr>
            <w:tcW w:w="427" w:type="pct"/>
            <w:vAlign w:val="center"/>
          </w:tcPr>
          <w:p w14:paraId="7D9DE1F6"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Socio économie : Santé humaine</w:t>
            </w:r>
          </w:p>
        </w:tc>
        <w:tc>
          <w:tcPr>
            <w:tcW w:w="524" w:type="pct"/>
            <w:vAlign w:val="center"/>
          </w:tcPr>
          <w:p w14:paraId="2CF28943"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Risques d’incendies et d’électrocutions suites à la fixation des compteurs prépayés sans dispositif de sécurité</w:t>
            </w:r>
          </w:p>
          <w:p w14:paraId="6F88A295"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Méconnaissance des risques liés à l’électricité</w:t>
            </w:r>
          </w:p>
        </w:tc>
        <w:tc>
          <w:tcPr>
            <w:tcW w:w="699" w:type="pct"/>
            <w:vAlign w:val="center"/>
          </w:tcPr>
          <w:p w14:paraId="67D226C3" w14:textId="77777777" w:rsidR="004E039E" w:rsidRPr="00420C1B" w:rsidRDefault="004E039E" w:rsidP="00C61D9D">
            <w:pPr>
              <w:pStyle w:val="Lgende"/>
              <w:spacing w:after="0"/>
              <w:rPr>
                <w:color w:val="auto"/>
                <w:sz w:val="20"/>
                <w:szCs w:val="20"/>
              </w:rPr>
            </w:pPr>
            <w:r w:rsidRPr="00420C1B">
              <w:rPr>
                <w:color w:val="auto"/>
                <w:sz w:val="20"/>
                <w:szCs w:val="20"/>
              </w:rPr>
              <w:t>Renforcer la capacité des nouveaux ménages à réduire les risques d’incendie et d’électrocution</w:t>
            </w:r>
          </w:p>
        </w:tc>
        <w:tc>
          <w:tcPr>
            <w:tcW w:w="810" w:type="pct"/>
            <w:vAlign w:val="center"/>
          </w:tcPr>
          <w:p w14:paraId="0425F1C4" w14:textId="77777777" w:rsidR="004E039E" w:rsidRPr="00420C1B" w:rsidRDefault="004E039E"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Sensibiliser la population sur les risques électriques liés aux mau</w:t>
            </w:r>
            <w:r>
              <w:rPr>
                <w:rFonts w:ascii="Times New Roman" w:hAnsi="Times New Roman"/>
                <w:sz w:val="20"/>
                <w:szCs w:val="20"/>
              </w:rPr>
              <w:t>vais branchements domestiques </w:t>
            </w:r>
          </w:p>
          <w:p w14:paraId="3EB8A766" w14:textId="77777777" w:rsidR="004E039E" w:rsidRPr="00420C1B" w:rsidRDefault="004E039E"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Elaborer et distribuer des manuels de sensibilisation sur les bonnes pratiques de l’utilisation du courant électrique ;</w:t>
            </w:r>
          </w:p>
          <w:p w14:paraId="4CFABA90" w14:textId="77777777" w:rsidR="004E039E" w:rsidRPr="00420C1B" w:rsidRDefault="004E039E"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 xml:space="preserve">Inciter les bénéficiaires à construire des emplacements adaptés pour l’installation des compteurs prépayés ; </w:t>
            </w:r>
          </w:p>
          <w:p w14:paraId="49D3FD3B" w14:textId="2D34A9B7" w:rsidR="004E039E" w:rsidRPr="00420C1B" w:rsidRDefault="004E039E" w:rsidP="00C61D9D">
            <w:pPr>
              <w:numPr>
                <w:ilvl w:val="0"/>
                <w:numId w:val="31"/>
              </w:numPr>
              <w:autoSpaceDE w:val="0"/>
              <w:autoSpaceDN w:val="0"/>
              <w:adjustRightInd w:val="0"/>
              <w:spacing w:after="0" w:line="240" w:lineRule="auto"/>
              <w:ind w:left="172" w:hanging="218"/>
              <w:contextualSpacing/>
              <w:rPr>
                <w:sz w:val="20"/>
                <w:szCs w:val="20"/>
              </w:rPr>
            </w:pPr>
            <w:r w:rsidRPr="00E737B4">
              <w:rPr>
                <w:rFonts w:ascii="Times New Roman" w:hAnsi="Times New Roman"/>
                <w:sz w:val="20"/>
                <w:szCs w:val="20"/>
              </w:rPr>
              <w:t xml:space="preserve">Enregistrer et prendre en charge des cas d’accidents déclarés liés à l’électricité dans les centres de santé des communes cibles. </w:t>
            </w:r>
          </w:p>
        </w:tc>
        <w:tc>
          <w:tcPr>
            <w:tcW w:w="419" w:type="pct"/>
            <w:vAlign w:val="center"/>
          </w:tcPr>
          <w:p w14:paraId="64A68EE2" w14:textId="77777777" w:rsidR="004E039E" w:rsidRPr="00215867" w:rsidRDefault="004E039E" w:rsidP="00A66266">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64C454C2" w14:textId="77777777" w:rsidR="004E039E" w:rsidRPr="00215867" w:rsidRDefault="004E039E" w:rsidP="00EB3757">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5AF47C74" w14:textId="77777777" w:rsidR="004E039E" w:rsidRPr="00191C8E" w:rsidRDefault="004E039E" w:rsidP="000E62EE">
            <w:pPr>
              <w:rPr>
                <w:rFonts w:ascii="Times New Roman" w:hAnsi="Times New Roman"/>
                <w:sz w:val="20"/>
                <w:szCs w:val="20"/>
              </w:rPr>
            </w:pPr>
            <w:r w:rsidRPr="00C61D9D">
              <w:rPr>
                <w:rFonts w:ascii="Times New Roman" w:hAnsi="Times New Roman"/>
                <w:sz w:val="20"/>
                <w:szCs w:val="20"/>
              </w:rPr>
              <w:t xml:space="preserve">100% de </w:t>
            </w:r>
            <w:r w:rsidRPr="00191C8E">
              <w:rPr>
                <w:rFonts w:ascii="Times New Roman" w:hAnsi="Times New Roman"/>
                <w:sz w:val="20"/>
                <w:szCs w:val="20"/>
              </w:rPr>
              <w:t>la population sensibilisées</w:t>
            </w:r>
          </w:p>
        </w:tc>
        <w:tc>
          <w:tcPr>
            <w:tcW w:w="396" w:type="pct"/>
            <w:vAlign w:val="center"/>
          </w:tcPr>
          <w:p w14:paraId="0F4CFFBF" w14:textId="4E70EE34" w:rsidR="004E039E" w:rsidRPr="00C61D9D" w:rsidRDefault="00B77979">
            <w:pPr>
              <w:rPr>
                <w:rFonts w:ascii="Times New Roman" w:hAnsi="Times New Roman"/>
                <w:sz w:val="20"/>
                <w:szCs w:val="20"/>
              </w:rPr>
            </w:pPr>
            <w:r>
              <w:rPr>
                <w:rFonts w:ascii="Times New Roman" w:hAnsi="Times New Roman"/>
                <w:sz w:val="20"/>
                <w:szCs w:val="20"/>
              </w:rPr>
              <w:t>Pendant toute la période d’exploitation et entretien des installations</w:t>
            </w:r>
          </w:p>
        </w:tc>
      </w:tr>
      <w:tr w:rsidR="004E039E" w:rsidRPr="00420C1B" w14:paraId="0F0CA040" w14:textId="17FBF6B0" w:rsidTr="00215867">
        <w:trPr>
          <w:jc w:val="center"/>
        </w:trPr>
        <w:tc>
          <w:tcPr>
            <w:tcW w:w="557" w:type="pct"/>
            <w:gridSpan w:val="2"/>
            <w:vAlign w:val="center"/>
          </w:tcPr>
          <w:p w14:paraId="09C0761C" w14:textId="77777777" w:rsidR="004E039E" w:rsidRPr="00420C1B" w:rsidRDefault="004E039E" w:rsidP="00C61D9D">
            <w:pPr>
              <w:spacing w:after="0" w:line="240" w:lineRule="auto"/>
              <w:jc w:val="both"/>
              <w:rPr>
                <w:rFonts w:ascii="Times New Roman" w:hAnsi="Times New Roman"/>
                <w:sz w:val="20"/>
                <w:szCs w:val="20"/>
              </w:rPr>
            </w:pPr>
            <w:r w:rsidRPr="00420C1B">
              <w:rPr>
                <w:rFonts w:ascii="Times New Roman" w:hAnsi="Times New Roman"/>
                <w:sz w:val="20"/>
                <w:szCs w:val="20"/>
              </w:rPr>
              <w:t xml:space="preserve">Entretien du réseau électrique (lignes et cabines) </w:t>
            </w:r>
          </w:p>
        </w:tc>
        <w:tc>
          <w:tcPr>
            <w:tcW w:w="229" w:type="pct"/>
            <w:vAlign w:val="center"/>
          </w:tcPr>
          <w:p w14:paraId="377FC17A" w14:textId="77777777" w:rsidR="004E039E" w:rsidRPr="00420C1B" w:rsidRDefault="004E039E" w:rsidP="00C61D9D">
            <w:pPr>
              <w:spacing w:after="0" w:line="240" w:lineRule="auto"/>
              <w:jc w:val="center"/>
              <w:rPr>
                <w:rFonts w:ascii="Times New Roman" w:hAnsi="Times New Roman"/>
                <w:sz w:val="20"/>
                <w:szCs w:val="20"/>
              </w:rPr>
            </w:pPr>
            <w:r w:rsidRPr="00420C1B">
              <w:rPr>
                <w:rFonts w:ascii="Times New Roman" w:hAnsi="Times New Roman"/>
                <w:sz w:val="20"/>
                <w:szCs w:val="20"/>
              </w:rPr>
              <w:t>18</w:t>
            </w:r>
          </w:p>
        </w:tc>
        <w:tc>
          <w:tcPr>
            <w:tcW w:w="427" w:type="pct"/>
            <w:vAlign w:val="center"/>
          </w:tcPr>
          <w:p w14:paraId="3B2E2CBA" w14:textId="77777777" w:rsidR="004E039E" w:rsidRPr="00420C1B" w:rsidRDefault="004E039E" w:rsidP="00C61D9D">
            <w:pPr>
              <w:spacing w:after="0" w:line="240" w:lineRule="auto"/>
              <w:rPr>
                <w:rFonts w:ascii="Times New Roman" w:hAnsi="Times New Roman"/>
                <w:sz w:val="20"/>
                <w:szCs w:val="20"/>
              </w:rPr>
            </w:pPr>
            <w:r w:rsidRPr="00420C1B">
              <w:rPr>
                <w:rFonts w:ascii="Times New Roman" w:hAnsi="Times New Roman"/>
                <w:sz w:val="20"/>
                <w:szCs w:val="20"/>
              </w:rPr>
              <w:t xml:space="preserve">Socio économie : Santé humaine </w:t>
            </w:r>
          </w:p>
        </w:tc>
        <w:tc>
          <w:tcPr>
            <w:tcW w:w="524" w:type="pct"/>
            <w:vAlign w:val="center"/>
          </w:tcPr>
          <w:p w14:paraId="7576B961" w14:textId="77777777" w:rsidR="004E039E" w:rsidRPr="00420C1B" w:rsidRDefault="004E039E" w:rsidP="00C61D9D">
            <w:pPr>
              <w:spacing w:after="0" w:line="240" w:lineRule="auto"/>
              <w:jc w:val="both"/>
              <w:rPr>
                <w:rFonts w:ascii="Times New Roman" w:hAnsi="Times New Roman"/>
                <w:sz w:val="20"/>
                <w:szCs w:val="20"/>
              </w:rPr>
            </w:pPr>
            <w:r w:rsidRPr="00420C1B">
              <w:rPr>
                <w:rFonts w:ascii="Times New Roman" w:hAnsi="Times New Roman"/>
                <w:sz w:val="20"/>
                <w:szCs w:val="20"/>
              </w:rPr>
              <w:t>Risque d’accidents (chute, électrocution, etc.)</w:t>
            </w:r>
          </w:p>
        </w:tc>
        <w:tc>
          <w:tcPr>
            <w:tcW w:w="699" w:type="pct"/>
            <w:vAlign w:val="center"/>
          </w:tcPr>
          <w:p w14:paraId="66B2A7F6" w14:textId="77777777" w:rsidR="004E039E" w:rsidRPr="00420C1B" w:rsidRDefault="004E039E" w:rsidP="00C61D9D">
            <w:pPr>
              <w:pStyle w:val="Lgende"/>
              <w:spacing w:after="0"/>
              <w:rPr>
                <w:color w:val="auto"/>
                <w:sz w:val="20"/>
                <w:szCs w:val="20"/>
              </w:rPr>
            </w:pPr>
            <w:r w:rsidRPr="00420C1B">
              <w:rPr>
                <w:color w:val="auto"/>
                <w:sz w:val="20"/>
                <w:szCs w:val="20"/>
              </w:rPr>
              <w:t xml:space="preserve">Réduire les risques d’accident  </w:t>
            </w:r>
          </w:p>
        </w:tc>
        <w:tc>
          <w:tcPr>
            <w:tcW w:w="810" w:type="pct"/>
          </w:tcPr>
          <w:p w14:paraId="6EE26D98" w14:textId="77777777" w:rsidR="004E039E" w:rsidRPr="00E737B4" w:rsidRDefault="004E039E" w:rsidP="00C61D9D">
            <w:pPr>
              <w:numPr>
                <w:ilvl w:val="0"/>
                <w:numId w:val="31"/>
              </w:numPr>
              <w:autoSpaceDE w:val="0"/>
              <w:autoSpaceDN w:val="0"/>
              <w:adjustRightInd w:val="0"/>
              <w:spacing w:after="0" w:line="240" w:lineRule="auto"/>
              <w:ind w:left="172" w:hanging="218"/>
              <w:contextualSpacing/>
              <w:jc w:val="both"/>
              <w:rPr>
                <w:rFonts w:ascii="Times New Roman" w:hAnsi="Times New Roman"/>
                <w:sz w:val="20"/>
                <w:szCs w:val="20"/>
              </w:rPr>
            </w:pPr>
            <w:r w:rsidRPr="00E737B4">
              <w:rPr>
                <w:rFonts w:ascii="Times New Roman" w:hAnsi="Times New Roman"/>
                <w:sz w:val="20"/>
                <w:szCs w:val="20"/>
              </w:rPr>
              <w:t xml:space="preserve">Autoriser uniquement les opérateurs formés et habilités à installer le matériel électrique (postes, raccordements, lanternes, etc.) ; </w:t>
            </w:r>
          </w:p>
          <w:p w14:paraId="7F934944" w14:textId="77777777" w:rsidR="004E039E" w:rsidRPr="00E737B4" w:rsidRDefault="004E039E" w:rsidP="00C61D9D">
            <w:pPr>
              <w:numPr>
                <w:ilvl w:val="0"/>
                <w:numId w:val="31"/>
              </w:numPr>
              <w:autoSpaceDE w:val="0"/>
              <w:autoSpaceDN w:val="0"/>
              <w:adjustRightInd w:val="0"/>
              <w:spacing w:after="0" w:line="240" w:lineRule="auto"/>
              <w:ind w:left="172" w:hanging="218"/>
              <w:contextualSpacing/>
              <w:jc w:val="both"/>
              <w:rPr>
                <w:rFonts w:ascii="Times New Roman" w:hAnsi="Times New Roman"/>
                <w:sz w:val="20"/>
                <w:szCs w:val="20"/>
              </w:rPr>
            </w:pPr>
            <w:r w:rsidRPr="00E737B4">
              <w:rPr>
                <w:rFonts w:ascii="Times New Roman" w:hAnsi="Times New Roman"/>
                <w:sz w:val="20"/>
                <w:szCs w:val="20"/>
              </w:rPr>
              <w:t xml:space="preserve">Réglementer l’accès aux sites concernés par l’entretien ; </w:t>
            </w:r>
          </w:p>
          <w:p w14:paraId="506EA904" w14:textId="77777777" w:rsidR="004E039E" w:rsidRPr="00E737B4" w:rsidRDefault="004E039E" w:rsidP="00C61D9D">
            <w:pPr>
              <w:numPr>
                <w:ilvl w:val="0"/>
                <w:numId w:val="31"/>
              </w:numPr>
              <w:autoSpaceDE w:val="0"/>
              <w:autoSpaceDN w:val="0"/>
              <w:adjustRightInd w:val="0"/>
              <w:spacing w:after="0" w:line="240" w:lineRule="auto"/>
              <w:ind w:left="172" w:hanging="218"/>
              <w:contextualSpacing/>
              <w:jc w:val="both"/>
              <w:rPr>
                <w:rFonts w:ascii="Times New Roman" w:hAnsi="Times New Roman"/>
                <w:sz w:val="20"/>
                <w:szCs w:val="20"/>
              </w:rPr>
            </w:pPr>
            <w:r w:rsidRPr="00E737B4">
              <w:rPr>
                <w:rFonts w:ascii="Times New Roman" w:hAnsi="Times New Roman"/>
                <w:sz w:val="20"/>
                <w:szCs w:val="20"/>
              </w:rPr>
              <w:t>Assurer une bonne signalisation des travaux ;</w:t>
            </w:r>
          </w:p>
          <w:p w14:paraId="4056ED46" w14:textId="77777777" w:rsidR="004E039E" w:rsidRPr="00E737B4" w:rsidRDefault="004E039E" w:rsidP="00C61D9D">
            <w:pPr>
              <w:numPr>
                <w:ilvl w:val="0"/>
                <w:numId w:val="31"/>
              </w:numPr>
              <w:autoSpaceDE w:val="0"/>
              <w:autoSpaceDN w:val="0"/>
              <w:adjustRightInd w:val="0"/>
              <w:spacing w:after="0" w:line="240" w:lineRule="auto"/>
              <w:ind w:left="172" w:hanging="218"/>
              <w:contextualSpacing/>
              <w:jc w:val="both"/>
              <w:rPr>
                <w:rFonts w:ascii="Times New Roman" w:hAnsi="Times New Roman"/>
                <w:sz w:val="20"/>
                <w:szCs w:val="20"/>
              </w:rPr>
            </w:pPr>
            <w:r w:rsidRPr="00E737B4">
              <w:rPr>
                <w:rFonts w:ascii="Times New Roman" w:hAnsi="Times New Roman"/>
                <w:sz w:val="20"/>
                <w:szCs w:val="20"/>
              </w:rPr>
              <w:t xml:space="preserve">Doter le personnel du chantier en équipement de protection individuel adapté (EPI). </w:t>
            </w:r>
          </w:p>
        </w:tc>
        <w:tc>
          <w:tcPr>
            <w:tcW w:w="419" w:type="pct"/>
            <w:vAlign w:val="center"/>
          </w:tcPr>
          <w:p w14:paraId="61D962B4"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Entrepreneur,  Mission de Contrôle et autres prestataires de service</w:t>
            </w:r>
          </w:p>
        </w:tc>
        <w:tc>
          <w:tcPr>
            <w:tcW w:w="400" w:type="pct"/>
            <w:vAlign w:val="center"/>
          </w:tcPr>
          <w:p w14:paraId="6BAC9025" w14:textId="77777777" w:rsidR="004E039E" w:rsidRPr="00215867" w:rsidRDefault="004E039E" w:rsidP="00C61D9D">
            <w:pPr>
              <w:pStyle w:val="Lgende"/>
              <w:autoSpaceDE w:val="0"/>
              <w:autoSpaceDN w:val="0"/>
              <w:adjustRightInd w:val="0"/>
              <w:spacing w:after="0"/>
              <w:rPr>
                <w:rFonts w:eastAsia="Times New Roman"/>
                <w:color w:val="auto"/>
                <w:sz w:val="20"/>
                <w:szCs w:val="20"/>
                <w:lang w:eastAsia="fr-FR"/>
              </w:rPr>
            </w:pPr>
            <w:r w:rsidRPr="00215867">
              <w:rPr>
                <w:rFonts w:eastAsia="Times New Roman"/>
                <w:color w:val="auto"/>
                <w:sz w:val="20"/>
                <w:szCs w:val="20"/>
                <w:lang w:eastAsia="fr-FR"/>
              </w:rPr>
              <w:t>UGES-SNEL, UCM et ACE</w:t>
            </w:r>
          </w:p>
        </w:tc>
        <w:tc>
          <w:tcPr>
            <w:tcW w:w="539" w:type="pct"/>
            <w:vAlign w:val="center"/>
          </w:tcPr>
          <w:p w14:paraId="5622C5D7" w14:textId="77777777" w:rsidR="004E039E" w:rsidRPr="00191C8E" w:rsidRDefault="004E039E" w:rsidP="00B77979">
            <w:pPr>
              <w:rPr>
                <w:rFonts w:ascii="Times New Roman" w:hAnsi="Times New Roman"/>
                <w:sz w:val="20"/>
                <w:szCs w:val="20"/>
              </w:rPr>
            </w:pPr>
            <w:r w:rsidRPr="00C61D9D">
              <w:rPr>
                <w:rFonts w:ascii="Times New Roman" w:hAnsi="Times New Roman"/>
                <w:sz w:val="20"/>
                <w:szCs w:val="20"/>
              </w:rPr>
              <w:t>100% de</w:t>
            </w:r>
            <w:r w:rsidRPr="00191C8E">
              <w:rPr>
                <w:rFonts w:ascii="Times New Roman" w:hAnsi="Times New Roman"/>
                <w:sz w:val="20"/>
                <w:szCs w:val="20"/>
              </w:rPr>
              <w:t>s opérateurs ont des habilitations en électricité et montages des lignes et lampadaires</w:t>
            </w:r>
          </w:p>
        </w:tc>
        <w:tc>
          <w:tcPr>
            <w:tcW w:w="396" w:type="pct"/>
            <w:vAlign w:val="center"/>
          </w:tcPr>
          <w:p w14:paraId="38338F89" w14:textId="1890FDC6" w:rsidR="004E039E" w:rsidRPr="00C61D9D" w:rsidRDefault="00B77979" w:rsidP="00B77979">
            <w:pPr>
              <w:rPr>
                <w:rFonts w:ascii="Times New Roman" w:hAnsi="Times New Roman"/>
                <w:sz w:val="20"/>
                <w:szCs w:val="20"/>
              </w:rPr>
            </w:pPr>
            <w:r>
              <w:rPr>
                <w:rFonts w:ascii="Times New Roman" w:hAnsi="Times New Roman"/>
                <w:sz w:val="20"/>
                <w:szCs w:val="20"/>
              </w:rPr>
              <w:t>Pendant les entretiens des installations</w:t>
            </w:r>
          </w:p>
        </w:tc>
      </w:tr>
    </w:tbl>
    <w:p w14:paraId="43AF5738" w14:textId="77777777" w:rsidR="00AE61CE" w:rsidRDefault="00AE61CE" w:rsidP="00215867">
      <w:pPr>
        <w:spacing w:before="120" w:after="12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w:t>
      </w:r>
      <w:r w:rsidR="00FB3D81" w:rsidRPr="00E737B4">
        <w:rPr>
          <w:rFonts w:ascii="Times New Roman" w:hAnsi="Times New Roman"/>
          <w:bCs/>
          <w:i/>
          <w:sz w:val="24"/>
        </w:rPr>
        <w:t>d</w:t>
      </w:r>
      <w:r w:rsidRPr="00E737B4">
        <w:rPr>
          <w:rFonts w:ascii="Times New Roman" w:hAnsi="Times New Roman"/>
          <w:bCs/>
          <w:i/>
          <w:sz w:val="24"/>
        </w:rPr>
        <w:t xml:space="preserve">’élaboration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38B1D8A9" w14:textId="77777777" w:rsidR="006B2C61" w:rsidRPr="00215867" w:rsidRDefault="006B2C61" w:rsidP="00215867">
      <w:pPr>
        <w:pStyle w:val="Titre31"/>
        <w:numPr>
          <w:ilvl w:val="2"/>
          <w:numId w:val="54"/>
        </w:numPr>
        <w:tabs>
          <w:tab w:val="left" w:pos="993"/>
        </w:tabs>
        <w:spacing w:before="120" w:after="120" w:line="20" w:lineRule="atLeast"/>
        <w:ind w:left="993" w:hanging="709"/>
        <w:rPr>
          <w:rFonts w:eastAsia="Calibri"/>
          <w:i/>
          <w:u w:val="none"/>
        </w:rPr>
      </w:pPr>
      <w:bookmarkStart w:id="852" w:name="_Toc103685730"/>
      <w:bookmarkStart w:id="853" w:name="_Toc476569557"/>
      <w:bookmarkStart w:id="854" w:name="_Toc16663522"/>
      <w:bookmarkStart w:id="855" w:name="_Toc16663696"/>
      <w:bookmarkStart w:id="856" w:name="_Toc16664941"/>
      <w:r w:rsidRPr="00215867">
        <w:rPr>
          <w:rFonts w:eastAsia="Calibri"/>
          <w:i/>
          <w:u w:val="none"/>
        </w:rPr>
        <w:t>Mesures d’atténuation des impacts cumulatifs</w:t>
      </w:r>
      <w:bookmarkEnd w:id="852"/>
    </w:p>
    <w:p w14:paraId="19D192A7" w14:textId="585F9776" w:rsidR="006B2C61" w:rsidRPr="00E737B4" w:rsidRDefault="006B2C61" w:rsidP="00E737B4">
      <w:pPr>
        <w:shd w:val="clear" w:color="auto" w:fill="FFFFFF"/>
        <w:spacing w:before="120" w:after="120" w:line="240" w:lineRule="auto"/>
        <w:rPr>
          <w:rFonts w:ascii="Times New Roman" w:hAnsi="Times New Roman"/>
          <w:sz w:val="24"/>
          <w:szCs w:val="24"/>
        </w:rPr>
      </w:pPr>
      <w:r w:rsidRPr="00E737B4">
        <w:rPr>
          <w:rFonts w:ascii="Times New Roman" w:hAnsi="Times New Roman"/>
          <w:sz w:val="24"/>
          <w:szCs w:val="24"/>
        </w:rPr>
        <w:t xml:space="preserve">Ces mesures sont consignées dans le tableau </w:t>
      </w:r>
      <w:r w:rsidR="00A83865">
        <w:rPr>
          <w:rFonts w:ascii="Times New Roman" w:hAnsi="Times New Roman"/>
          <w:sz w:val="24"/>
          <w:szCs w:val="24"/>
        </w:rPr>
        <w:t>61</w:t>
      </w:r>
      <w:r w:rsidRPr="00E737B4">
        <w:rPr>
          <w:rFonts w:ascii="Times New Roman" w:hAnsi="Times New Roman"/>
          <w:sz w:val="24"/>
          <w:szCs w:val="24"/>
        </w:rPr>
        <w:t>.</w:t>
      </w:r>
    </w:p>
    <w:p w14:paraId="17F3E08B" w14:textId="66427CBB" w:rsidR="006B2C61" w:rsidRPr="00E737B4" w:rsidRDefault="006B2C61" w:rsidP="00E737B4">
      <w:pPr>
        <w:pStyle w:val="Lgende"/>
        <w:keepNext/>
        <w:spacing w:before="120" w:after="120"/>
        <w:rPr>
          <w:b/>
          <w:bCs/>
          <w:sz w:val="24"/>
          <w:szCs w:val="24"/>
        </w:rPr>
      </w:pPr>
      <w:bookmarkStart w:id="857" w:name="_Toc61868272"/>
      <w:bookmarkStart w:id="858" w:name="_Toc77775202"/>
      <w:bookmarkStart w:id="859" w:name="_Toc93050323"/>
      <w:r w:rsidRPr="00E737B4">
        <w:rPr>
          <w:sz w:val="24"/>
          <w:szCs w:val="24"/>
        </w:rPr>
        <w:t xml:space="preserve">Tableau </w:t>
      </w:r>
      <w:r w:rsidRPr="00E737B4">
        <w:rPr>
          <w:sz w:val="24"/>
          <w:szCs w:val="24"/>
        </w:rPr>
        <w:fldChar w:fldCharType="begin"/>
      </w:r>
      <w:r w:rsidRPr="00E737B4">
        <w:rPr>
          <w:sz w:val="24"/>
          <w:szCs w:val="24"/>
        </w:rPr>
        <w:instrText xml:space="preserve"> SEQ Tableau \* ARABIC </w:instrText>
      </w:r>
      <w:r w:rsidRPr="00E737B4">
        <w:rPr>
          <w:sz w:val="24"/>
          <w:szCs w:val="24"/>
        </w:rPr>
        <w:fldChar w:fldCharType="separate"/>
      </w:r>
      <w:r w:rsidR="00A86929">
        <w:rPr>
          <w:noProof/>
          <w:sz w:val="24"/>
          <w:szCs w:val="24"/>
        </w:rPr>
        <w:t>61</w:t>
      </w:r>
      <w:r w:rsidRPr="00E737B4">
        <w:rPr>
          <w:noProof/>
          <w:sz w:val="24"/>
          <w:szCs w:val="24"/>
        </w:rPr>
        <w:fldChar w:fldCharType="end"/>
      </w:r>
      <w:r w:rsidRPr="00E737B4">
        <w:rPr>
          <w:sz w:val="24"/>
          <w:szCs w:val="24"/>
        </w:rPr>
        <w:t xml:space="preserve">. </w:t>
      </w:r>
      <w:bookmarkEnd w:id="857"/>
      <w:r w:rsidRPr="00E737B4">
        <w:rPr>
          <w:sz w:val="24"/>
          <w:szCs w:val="24"/>
        </w:rPr>
        <w:t>Mesures d’atténuation des impacts négatifs cumulatifs génériques</w:t>
      </w:r>
      <w:bookmarkEnd w:id="858"/>
      <w:bookmarkEnd w:id="859"/>
    </w:p>
    <w:tbl>
      <w:tblPr>
        <w:tblW w:w="16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
        <w:gridCol w:w="1896"/>
        <w:gridCol w:w="2992"/>
        <w:gridCol w:w="3891"/>
        <w:gridCol w:w="2018"/>
        <w:gridCol w:w="1840"/>
        <w:gridCol w:w="1546"/>
        <w:gridCol w:w="1546"/>
      </w:tblGrid>
      <w:tr w:rsidR="003B5AD1" w:rsidRPr="00420C1B" w14:paraId="77113D18" w14:textId="5F24801A" w:rsidTr="00215867">
        <w:trPr>
          <w:trHeight w:val="231"/>
          <w:tblHeader/>
          <w:jc w:val="center"/>
        </w:trPr>
        <w:tc>
          <w:tcPr>
            <w:tcW w:w="424" w:type="dxa"/>
            <w:vMerge w:val="restart"/>
            <w:tcBorders>
              <w:top w:val="single" w:sz="4" w:space="0" w:color="auto"/>
              <w:left w:val="single" w:sz="4" w:space="0" w:color="auto"/>
              <w:right w:val="single" w:sz="4" w:space="0" w:color="auto"/>
            </w:tcBorders>
            <w:shd w:val="clear" w:color="auto" w:fill="92D050"/>
            <w:vAlign w:val="center"/>
            <w:hideMark/>
          </w:tcPr>
          <w:p w14:paraId="01FA001A" w14:textId="77777777" w:rsidR="003B5AD1" w:rsidRPr="00420C1B" w:rsidRDefault="003B5AD1" w:rsidP="00215867">
            <w:pPr>
              <w:spacing w:after="0" w:line="240" w:lineRule="auto"/>
              <w:jc w:val="center"/>
              <w:rPr>
                <w:b/>
                <w:sz w:val="20"/>
              </w:rPr>
            </w:pPr>
            <w:r w:rsidRPr="00420C1B">
              <w:rPr>
                <w:b/>
                <w:sz w:val="20"/>
              </w:rPr>
              <w:t>N°</w:t>
            </w:r>
          </w:p>
        </w:tc>
        <w:tc>
          <w:tcPr>
            <w:tcW w:w="1896" w:type="dxa"/>
            <w:vMerge w:val="restart"/>
            <w:tcBorders>
              <w:top w:val="single" w:sz="4" w:space="0" w:color="auto"/>
              <w:left w:val="single" w:sz="4" w:space="0" w:color="auto"/>
              <w:right w:val="single" w:sz="4" w:space="0" w:color="auto"/>
            </w:tcBorders>
            <w:shd w:val="clear" w:color="auto" w:fill="92D050"/>
            <w:vAlign w:val="center"/>
            <w:hideMark/>
          </w:tcPr>
          <w:p w14:paraId="6EE2A37C" w14:textId="77777777" w:rsidR="003B5AD1" w:rsidRPr="00420C1B" w:rsidRDefault="003B5AD1" w:rsidP="00215867">
            <w:pPr>
              <w:spacing w:after="0" w:line="240" w:lineRule="auto"/>
              <w:jc w:val="center"/>
              <w:rPr>
                <w:b/>
                <w:sz w:val="20"/>
              </w:rPr>
            </w:pPr>
            <w:r w:rsidRPr="00420C1B">
              <w:rPr>
                <w:b/>
                <w:sz w:val="20"/>
              </w:rPr>
              <w:t>Cas de figure</w:t>
            </w:r>
          </w:p>
        </w:tc>
        <w:tc>
          <w:tcPr>
            <w:tcW w:w="2992" w:type="dxa"/>
            <w:vMerge w:val="restart"/>
            <w:tcBorders>
              <w:top w:val="single" w:sz="4" w:space="0" w:color="auto"/>
              <w:left w:val="single" w:sz="4" w:space="0" w:color="auto"/>
              <w:right w:val="single" w:sz="4" w:space="0" w:color="auto"/>
            </w:tcBorders>
            <w:shd w:val="clear" w:color="auto" w:fill="92D050"/>
            <w:vAlign w:val="center"/>
            <w:hideMark/>
          </w:tcPr>
          <w:p w14:paraId="07A6B52D" w14:textId="77777777" w:rsidR="003B5AD1" w:rsidRPr="00420C1B" w:rsidRDefault="003B5AD1" w:rsidP="00215867">
            <w:pPr>
              <w:spacing w:after="0" w:line="240" w:lineRule="auto"/>
              <w:jc w:val="center"/>
              <w:rPr>
                <w:b/>
                <w:sz w:val="20"/>
              </w:rPr>
            </w:pPr>
            <w:r w:rsidRPr="00420C1B">
              <w:rPr>
                <w:b/>
                <w:sz w:val="20"/>
              </w:rPr>
              <w:t>Impacts négatifs cumulatifs</w:t>
            </w:r>
          </w:p>
        </w:tc>
        <w:tc>
          <w:tcPr>
            <w:tcW w:w="3891" w:type="dxa"/>
            <w:vMerge w:val="restart"/>
            <w:tcBorders>
              <w:top w:val="single" w:sz="4" w:space="0" w:color="auto"/>
              <w:left w:val="single" w:sz="4" w:space="0" w:color="auto"/>
              <w:right w:val="single" w:sz="4" w:space="0" w:color="auto"/>
            </w:tcBorders>
            <w:shd w:val="clear" w:color="auto" w:fill="92D050"/>
            <w:vAlign w:val="center"/>
          </w:tcPr>
          <w:p w14:paraId="218143C2" w14:textId="77777777" w:rsidR="003B5AD1" w:rsidRPr="00420C1B" w:rsidRDefault="003B5AD1" w:rsidP="00215867">
            <w:pPr>
              <w:spacing w:after="0" w:line="240" w:lineRule="auto"/>
              <w:jc w:val="center"/>
              <w:rPr>
                <w:b/>
                <w:sz w:val="20"/>
              </w:rPr>
            </w:pPr>
            <w:r w:rsidRPr="00420C1B">
              <w:rPr>
                <w:b/>
                <w:sz w:val="20"/>
              </w:rPr>
              <w:t>Mesures d’atténuations</w:t>
            </w:r>
          </w:p>
        </w:tc>
        <w:tc>
          <w:tcPr>
            <w:tcW w:w="385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CA7C70D" w14:textId="470207C7" w:rsidR="003B5AD1" w:rsidRPr="00420C1B" w:rsidRDefault="003B5AD1" w:rsidP="00215867">
            <w:pPr>
              <w:spacing w:after="0" w:line="240" w:lineRule="auto"/>
              <w:jc w:val="center"/>
              <w:rPr>
                <w:b/>
                <w:sz w:val="20"/>
              </w:rPr>
            </w:pPr>
            <w:r w:rsidRPr="00420C1B">
              <w:rPr>
                <w:rFonts w:ascii="Times New Roman" w:hAnsi="Times New Roman"/>
                <w:b/>
                <w:sz w:val="20"/>
                <w:szCs w:val="20"/>
              </w:rPr>
              <w:t>Entité responsable</w:t>
            </w:r>
          </w:p>
        </w:tc>
        <w:tc>
          <w:tcPr>
            <w:tcW w:w="1546" w:type="dxa"/>
            <w:vMerge w:val="restart"/>
            <w:tcBorders>
              <w:top w:val="single" w:sz="4" w:space="0" w:color="auto"/>
              <w:left w:val="single" w:sz="4" w:space="0" w:color="auto"/>
              <w:right w:val="single" w:sz="4" w:space="0" w:color="auto"/>
            </w:tcBorders>
            <w:shd w:val="clear" w:color="auto" w:fill="92D050"/>
            <w:vAlign w:val="center"/>
          </w:tcPr>
          <w:p w14:paraId="6EC5DD36" w14:textId="1E82E737" w:rsidR="003B5AD1" w:rsidRPr="00420C1B" w:rsidRDefault="003B5AD1" w:rsidP="00215867">
            <w:pPr>
              <w:spacing w:after="0" w:line="240" w:lineRule="auto"/>
              <w:jc w:val="center"/>
              <w:rPr>
                <w:b/>
                <w:sz w:val="20"/>
              </w:rPr>
            </w:pPr>
            <w:r w:rsidRPr="00420C1B">
              <w:rPr>
                <w:rFonts w:ascii="Times New Roman" w:hAnsi="Times New Roman"/>
                <w:b/>
                <w:sz w:val="20"/>
                <w:szCs w:val="20"/>
              </w:rPr>
              <w:t>Indicateur de performance</w:t>
            </w:r>
          </w:p>
        </w:tc>
        <w:tc>
          <w:tcPr>
            <w:tcW w:w="1546" w:type="dxa"/>
            <w:vMerge w:val="restart"/>
            <w:tcBorders>
              <w:top w:val="single" w:sz="4" w:space="0" w:color="auto"/>
              <w:left w:val="single" w:sz="4" w:space="0" w:color="auto"/>
              <w:right w:val="single" w:sz="4" w:space="0" w:color="auto"/>
            </w:tcBorders>
            <w:shd w:val="clear" w:color="auto" w:fill="92D050"/>
            <w:vAlign w:val="center"/>
          </w:tcPr>
          <w:p w14:paraId="16534E33" w14:textId="1EECDA49" w:rsidR="003B5AD1" w:rsidRPr="00420C1B" w:rsidRDefault="003B5AD1" w:rsidP="003B5AD1">
            <w:pPr>
              <w:spacing w:after="0" w:line="240" w:lineRule="auto"/>
              <w:jc w:val="center"/>
              <w:rPr>
                <w:rFonts w:ascii="Times New Roman" w:hAnsi="Times New Roman"/>
                <w:b/>
                <w:sz w:val="20"/>
                <w:szCs w:val="20"/>
              </w:rPr>
            </w:pPr>
            <w:r w:rsidRPr="00420C1B">
              <w:rPr>
                <w:rFonts w:ascii="Times New Roman" w:hAnsi="Times New Roman"/>
                <w:b/>
                <w:sz w:val="20"/>
                <w:szCs w:val="20"/>
              </w:rPr>
              <w:t>Echéancier</w:t>
            </w:r>
          </w:p>
        </w:tc>
      </w:tr>
      <w:tr w:rsidR="003B5AD1" w:rsidRPr="00420C1B" w14:paraId="5A69224F" w14:textId="14EBAB75" w:rsidTr="00227FCF">
        <w:trPr>
          <w:trHeight w:val="348"/>
          <w:tblHeader/>
          <w:jc w:val="center"/>
        </w:trPr>
        <w:tc>
          <w:tcPr>
            <w:tcW w:w="424" w:type="dxa"/>
            <w:vMerge/>
            <w:tcBorders>
              <w:left w:val="single" w:sz="4" w:space="0" w:color="auto"/>
              <w:bottom w:val="single" w:sz="4" w:space="0" w:color="auto"/>
              <w:right w:val="single" w:sz="4" w:space="0" w:color="auto"/>
            </w:tcBorders>
            <w:shd w:val="clear" w:color="auto" w:fill="92D050"/>
          </w:tcPr>
          <w:p w14:paraId="0BC67429" w14:textId="77777777" w:rsidR="003B5AD1" w:rsidRPr="00420C1B" w:rsidRDefault="003B5AD1" w:rsidP="003178A5">
            <w:pPr>
              <w:rPr>
                <w:b/>
                <w:sz w:val="20"/>
              </w:rPr>
            </w:pPr>
          </w:p>
        </w:tc>
        <w:tc>
          <w:tcPr>
            <w:tcW w:w="1896" w:type="dxa"/>
            <w:vMerge/>
            <w:tcBorders>
              <w:left w:val="single" w:sz="4" w:space="0" w:color="auto"/>
              <w:bottom w:val="single" w:sz="4" w:space="0" w:color="auto"/>
              <w:right w:val="single" w:sz="4" w:space="0" w:color="auto"/>
            </w:tcBorders>
            <w:shd w:val="clear" w:color="auto" w:fill="92D050"/>
          </w:tcPr>
          <w:p w14:paraId="5762FEB1" w14:textId="77777777" w:rsidR="003B5AD1" w:rsidRPr="00420C1B" w:rsidRDefault="003B5AD1" w:rsidP="003178A5">
            <w:pPr>
              <w:rPr>
                <w:b/>
                <w:sz w:val="20"/>
              </w:rPr>
            </w:pPr>
          </w:p>
        </w:tc>
        <w:tc>
          <w:tcPr>
            <w:tcW w:w="2992" w:type="dxa"/>
            <w:vMerge/>
            <w:tcBorders>
              <w:left w:val="single" w:sz="4" w:space="0" w:color="auto"/>
              <w:bottom w:val="single" w:sz="4" w:space="0" w:color="auto"/>
              <w:right w:val="single" w:sz="4" w:space="0" w:color="auto"/>
            </w:tcBorders>
            <w:shd w:val="clear" w:color="auto" w:fill="92D050"/>
          </w:tcPr>
          <w:p w14:paraId="0BD1B62E" w14:textId="77777777" w:rsidR="003B5AD1" w:rsidRPr="00420C1B" w:rsidRDefault="003B5AD1" w:rsidP="003178A5">
            <w:pPr>
              <w:rPr>
                <w:b/>
                <w:sz w:val="20"/>
              </w:rPr>
            </w:pPr>
          </w:p>
        </w:tc>
        <w:tc>
          <w:tcPr>
            <w:tcW w:w="3891" w:type="dxa"/>
            <w:vMerge/>
            <w:tcBorders>
              <w:left w:val="single" w:sz="4" w:space="0" w:color="auto"/>
              <w:bottom w:val="single" w:sz="4" w:space="0" w:color="auto"/>
              <w:right w:val="single" w:sz="4" w:space="0" w:color="auto"/>
            </w:tcBorders>
            <w:shd w:val="clear" w:color="auto" w:fill="92D050"/>
          </w:tcPr>
          <w:p w14:paraId="0746A914" w14:textId="77777777" w:rsidR="003B5AD1" w:rsidRPr="00420C1B" w:rsidRDefault="003B5AD1" w:rsidP="003178A5">
            <w:pPr>
              <w:rPr>
                <w:b/>
                <w:sz w:val="20"/>
              </w:rPr>
            </w:pPr>
          </w:p>
        </w:tc>
        <w:tc>
          <w:tcPr>
            <w:tcW w:w="2018" w:type="dxa"/>
            <w:tcBorders>
              <w:top w:val="single" w:sz="4" w:space="0" w:color="auto"/>
              <w:left w:val="single" w:sz="4" w:space="0" w:color="auto"/>
              <w:bottom w:val="single" w:sz="4" w:space="0" w:color="auto"/>
              <w:right w:val="single" w:sz="4" w:space="0" w:color="auto"/>
            </w:tcBorders>
            <w:shd w:val="clear" w:color="auto" w:fill="92D050"/>
            <w:vAlign w:val="center"/>
          </w:tcPr>
          <w:p w14:paraId="3CD117BE" w14:textId="33F13675" w:rsidR="003B5AD1" w:rsidRPr="00420C1B" w:rsidRDefault="003B5AD1" w:rsidP="00215867">
            <w:pPr>
              <w:spacing w:after="0"/>
              <w:jc w:val="center"/>
              <w:rPr>
                <w:b/>
                <w:sz w:val="20"/>
              </w:rPr>
            </w:pPr>
            <w:r w:rsidRPr="00420C1B">
              <w:rPr>
                <w:rFonts w:ascii="Times New Roman" w:hAnsi="Times New Roman"/>
                <w:b/>
                <w:sz w:val="20"/>
                <w:szCs w:val="20"/>
              </w:rPr>
              <w:t>Mise en œuvre</w:t>
            </w:r>
          </w:p>
        </w:tc>
        <w:tc>
          <w:tcPr>
            <w:tcW w:w="1840" w:type="dxa"/>
            <w:tcBorders>
              <w:top w:val="single" w:sz="4" w:space="0" w:color="auto"/>
              <w:left w:val="single" w:sz="4" w:space="0" w:color="auto"/>
              <w:bottom w:val="single" w:sz="4" w:space="0" w:color="auto"/>
              <w:right w:val="single" w:sz="4" w:space="0" w:color="auto"/>
            </w:tcBorders>
            <w:shd w:val="clear" w:color="auto" w:fill="92D050"/>
            <w:vAlign w:val="center"/>
          </w:tcPr>
          <w:p w14:paraId="3C88A5B2" w14:textId="1FD1378E" w:rsidR="003B5AD1" w:rsidRPr="00420C1B" w:rsidRDefault="003B5AD1" w:rsidP="00215867">
            <w:pPr>
              <w:spacing w:after="0"/>
              <w:jc w:val="center"/>
              <w:rPr>
                <w:b/>
                <w:sz w:val="20"/>
              </w:rPr>
            </w:pPr>
            <w:r w:rsidRPr="00420C1B">
              <w:rPr>
                <w:rFonts w:ascii="Times New Roman" w:hAnsi="Times New Roman"/>
                <w:b/>
                <w:sz w:val="20"/>
                <w:szCs w:val="20"/>
              </w:rPr>
              <w:t>Mise en œuvre</w:t>
            </w:r>
          </w:p>
        </w:tc>
        <w:tc>
          <w:tcPr>
            <w:tcW w:w="1546" w:type="dxa"/>
            <w:vMerge/>
            <w:tcBorders>
              <w:left w:val="single" w:sz="4" w:space="0" w:color="auto"/>
              <w:bottom w:val="single" w:sz="4" w:space="0" w:color="auto"/>
              <w:right w:val="single" w:sz="4" w:space="0" w:color="auto"/>
            </w:tcBorders>
            <w:shd w:val="clear" w:color="auto" w:fill="92D050"/>
          </w:tcPr>
          <w:p w14:paraId="6149770D" w14:textId="77777777" w:rsidR="003B5AD1" w:rsidRPr="00420C1B" w:rsidRDefault="003B5AD1" w:rsidP="003178A5">
            <w:pPr>
              <w:rPr>
                <w:b/>
                <w:sz w:val="20"/>
              </w:rPr>
            </w:pPr>
          </w:p>
        </w:tc>
        <w:tc>
          <w:tcPr>
            <w:tcW w:w="1546" w:type="dxa"/>
            <w:vMerge/>
            <w:tcBorders>
              <w:left w:val="single" w:sz="4" w:space="0" w:color="auto"/>
              <w:bottom w:val="single" w:sz="4" w:space="0" w:color="auto"/>
              <w:right w:val="single" w:sz="4" w:space="0" w:color="auto"/>
            </w:tcBorders>
            <w:shd w:val="clear" w:color="auto" w:fill="92D050"/>
          </w:tcPr>
          <w:p w14:paraId="301D726F" w14:textId="77777777" w:rsidR="003B5AD1" w:rsidRPr="00420C1B" w:rsidRDefault="003B5AD1" w:rsidP="003178A5">
            <w:pPr>
              <w:rPr>
                <w:b/>
                <w:sz w:val="20"/>
              </w:rPr>
            </w:pPr>
          </w:p>
        </w:tc>
      </w:tr>
      <w:tr w:rsidR="003B5AD1" w:rsidRPr="00420C1B" w14:paraId="4511D4F0" w14:textId="74BBD860" w:rsidTr="00215867">
        <w:trPr>
          <w:jc w:val="center"/>
        </w:trPr>
        <w:tc>
          <w:tcPr>
            <w:tcW w:w="424" w:type="dxa"/>
            <w:tcBorders>
              <w:top w:val="single" w:sz="4" w:space="0" w:color="auto"/>
              <w:left w:val="single" w:sz="4" w:space="0" w:color="auto"/>
              <w:bottom w:val="single" w:sz="4" w:space="0" w:color="auto"/>
              <w:right w:val="single" w:sz="4" w:space="0" w:color="auto"/>
            </w:tcBorders>
            <w:vAlign w:val="center"/>
            <w:hideMark/>
          </w:tcPr>
          <w:p w14:paraId="6B61B6D4" w14:textId="77777777" w:rsidR="003B5AD1" w:rsidRPr="00420C1B" w:rsidRDefault="003B5AD1" w:rsidP="001629FF">
            <w:pPr>
              <w:rPr>
                <w:sz w:val="20"/>
              </w:rPr>
            </w:pPr>
            <w:r w:rsidRPr="00420C1B">
              <w:rPr>
                <w:sz w:val="20"/>
              </w:rPr>
              <w:t>1</w:t>
            </w:r>
          </w:p>
        </w:tc>
        <w:tc>
          <w:tcPr>
            <w:tcW w:w="1896" w:type="dxa"/>
            <w:tcBorders>
              <w:top w:val="single" w:sz="4" w:space="0" w:color="auto"/>
              <w:left w:val="single" w:sz="4" w:space="0" w:color="auto"/>
              <w:bottom w:val="single" w:sz="4" w:space="0" w:color="auto"/>
              <w:right w:val="single" w:sz="4" w:space="0" w:color="auto"/>
            </w:tcBorders>
            <w:vAlign w:val="center"/>
            <w:hideMark/>
          </w:tcPr>
          <w:p w14:paraId="1EAFDFA0" w14:textId="1FB7FD3C" w:rsidR="003B5AD1" w:rsidRPr="00420C1B" w:rsidRDefault="003B5AD1" w:rsidP="001629FF">
            <w:pPr>
              <w:rPr>
                <w:rFonts w:ascii="Times New Roman" w:hAnsi="Times New Roman"/>
                <w:bCs/>
                <w:sz w:val="20"/>
              </w:rPr>
            </w:pPr>
            <w:r w:rsidRPr="00420C1B">
              <w:rPr>
                <w:rFonts w:ascii="Times New Roman" w:hAnsi="Times New Roman"/>
                <w:sz w:val="20"/>
              </w:rPr>
              <w:t>Le présent sous</w:t>
            </w:r>
            <w:r w:rsidR="00A15456" w:rsidRPr="00420C1B">
              <w:rPr>
                <w:rFonts w:ascii="Times New Roman" w:hAnsi="Times New Roman"/>
                <w:sz w:val="20"/>
              </w:rPr>
              <w:t>-</w:t>
            </w:r>
            <w:r w:rsidRPr="00420C1B">
              <w:rPr>
                <w:rFonts w:ascii="Times New Roman" w:hAnsi="Times New Roman"/>
                <w:sz w:val="20"/>
              </w:rPr>
              <w:t xml:space="preserve"> projet qui s’exécute en même temps que des sous</w:t>
            </w:r>
            <w:r w:rsidR="00A15456" w:rsidRPr="00420C1B">
              <w:rPr>
                <w:rFonts w:ascii="Times New Roman" w:hAnsi="Times New Roman"/>
                <w:sz w:val="20"/>
              </w:rPr>
              <w:t>-</w:t>
            </w:r>
            <w:r w:rsidRPr="00420C1B">
              <w:rPr>
                <w:rFonts w:ascii="Times New Roman" w:hAnsi="Times New Roman"/>
                <w:sz w:val="20"/>
              </w:rPr>
              <w:t xml:space="preserve">projets de </w:t>
            </w:r>
            <w:r w:rsidRPr="00420C1B">
              <w:rPr>
                <w:rFonts w:ascii="Times New Roman" w:hAnsi="Times New Roman"/>
                <w:bCs/>
                <w:sz w:val="20"/>
              </w:rPr>
              <w:t>KIN BOPETO et KIN ELENDA</w:t>
            </w:r>
          </w:p>
          <w:p w14:paraId="5C22B34C" w14:textId="77777777" w:rsidR="003B5AD1" w:rsidRPr="00420C1B" w:rsidRDefault="003B5AD1" w:rsidP="001629FF">
            <w:pPr>
              <w:jc w:val="both"/>
              <w:rPr>
                <w:rFonts w:ascii="Times New Roman" w:hAnsi="Times New Roman"/>
                <w:sz w:val="20"/>
              </w:rPr>
            </w:pPr>
          </w:p>
        </w:tc>
        <w:tc>
          <w:tcPr>
            <w:tcW w:w="2992" w:type="dxa"/>
            <w:tcBorders>
              <w:top w:val="single" w:sz="4" w:space="0" w:color="auto"/>
              <w:left w:val="single" w:sz="4" w:space="0" w:color="auto"/>
              <w:bottom w:val="single" w:sz="4" w:space="0" w:color="auto"/>
              <w:right w:val="single" w:sz="4" w:space="0" w:color="auto"/>
            </w:tcBorders>
            <w:hideMark/>
          </w:tcPr>
          <w:p w14:paraId="3A4550F6"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Augmentation des pollutions et nuisances (production de déchets, bruit, etc.)</w:t>
            </w:r>
          </w:p>
          <w:p w14:paraId="103FCBDB"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Augmentation des contraintes liées à la mobilité des personnes</w:t>
            </w:r>
          </w:p>
          <w:p w14:paraId="7A7C45E8"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Augmentation des risques d’accidents avec l’ouverture simultanée des chantiers et des installations associées</w:t>
            </w:r>
          </w:p>
          <w:p w14:paraId="0C92BBB6"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Augmentation des risques de conflits sociaux, y compris les risques liés à l’EAS/HS</w:t>
            </w:r>
          </w:p>
        </w:tc>
        <w:tc>
          <w:tcPr>
            <w:tcW w:w="3891" w:type="dxa"/>
            <w:tcBorders>
              <w:top w:val="single" w:sz="4" w:space="0" w:color="auto"/>
              <w:left w:val="single" w:sz="4" w:space="0" w:color="auto"/>
              <w:bottom w:val="single" w:sz="4" w:space="0" w:color="auto"/>
              <w:right w:val="single" w:sz="4" w:space="0" w:color="auto"/>
            </w:tcBorders>
          </w:tcPr>
          <w:p w14:paraId="7437F447" w14:textId="707A9E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 xml:space="preserve">Prévision d’un mécanisme de concertation permanent entre UCM, KIN BOPETO et </w:t>
            </w:r>
          </w:p>
          <w:p w14:paraId="21A34CB8" w14:textId="77777777" w:rsidR="003B5AD1" w:rsidRPr="00420C1B" w:rsidRDefault="003B5AD1" w:rsidP="00215867">
            <w:pPr>
              <w:spacing w:after="0" w:line="240" w:lineRule="auto"/>
              <w:ind w:left="360"/>
              <w:jc w:val="both"/>
              <w:rPr>
                <w:rFonts w:ascii="Times New Roman" w:hAnsi="Times New Roman"/>
                <w:sz w:val="20"/>
              </w:rPr>
            </w:pPr>
            <w:r w:rsidRPr="00420C1B">
              <w:rPr>
                <w:rFonts w:ascii="Times New Roman" w:hAnsi="Times New Roman"/>
                <w:sz w:val="20"/>
              </w:rPr>
              <w:t>KIN ELENDA</w:t>
            </w:r>
          </w:p>
          <w:p w14:paraId="10C2EB50"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 xml:space="preserve">Renforcement des moyens de gestion des déchets, </w:t>
            </w:r>
          </w:p>
          <w:p w14:paraId="20CA25F2"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Renforcement des moyens d’amélioration de la circulation des biens et des personnes</w:t>
            </w:r>
          </w:p>
          <w:p w14:paraId="061E6C24"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Renforcement des moyens de prévention et de gestion des accidents de chantier</w:t>
            </w:r>
          </w:p>
          <w:p w14:paraId="58274F88"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Sensibilisation des populations locales et signalisation des travaux et des voies de déviation proposées</w:t>
            </w:r>
          </w:p>
          <w:p w14:paraId="772305EB"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Sensibilisation des communautés sur les mécanismes mis à disposition par le projet pour la prévention et réponse à l’EAS/HS</w:t>
            </w:r>
          </w:p>
          <w:p w14:paraId="15A70FB2" w14:textId="77777777" w:rsidR="003B5AD1" w:rsidRPr="00420C1B" w:rsidRDefault="003B5AD1" w:rsidP="001629FF">
            <w:pPr>
              <w:numPr>
                <w:ilvl w:val="0"/>
                <w:numId w:val="213"/>
              </w:numPr>
              <w:spacing w:after="0" w:line="240" w:lineRule="auto"/>
              <w:jc w:val="both"/>
              <w:rPr>
                <w:rFonts w:ascii="Times New Roman" w:hAnsi="Times New Roman"/>
                <w:sz w:val="20"/>
              </w:rPr>
            </w:pPr>
            <w:r w:rsidRPr="00420C1B">
              <w:rPr>
                <w:rFonts w:ascii="Times New Roman" w:hAnsi="Times New Roman"/>
                <w:sz w:val="20"/>
              </w:rPr>
              <w:t>Coordination et suivi des travaux et du respect des délais de réalisation</w:t>
            </w:r>
          </w:p>
        </w:tc>
        <w:tc>
          <w:tcPr>
            <w:tcW w:w="2018" w:type="dxa"/>
            <w:tcBorders>
              <w:top w:val="single" w:sz="4" w:space="0" w:color="auto"/>
              <w:left w:val="single" w:sz="4" w:space="0" w:color="auto"/>
              <w:bottom w:val="single" w:sz="4" w:space="0" w:color="auto"/>
              <w:right w:val="single" w:sz="4" w:space="0" w:color="auto"/>
            </w:tcBorders>
            <w:vAlign w:val="center"/>
          </w:tcPr>
          <w:p w14:paraId="2B7AE2C8" w14:textId="382FCF56" w:rsidR="003B5AD1" w:rsidRPr="00420C1B" w:rsidRDefault="003B5AD1" w:rsidP="00215867">
            <w:pPr>
              <w:spacing w:after="0" w:line="240" w:lineRule="auto"/>
              <w:rPr>
                <w:rFonts w:ascii="Times New Roman" w:hAnsi="Times New Roman"/>
                <w:sz w:val="20"/>
              </w:rPr>
            </w:pPr>
            <w:r w:rsidRPr="00215867">
              <w:rPr>
                <w:rFonts w:ascii="Times New Roman" w:hAnsi="Times New Roman"/>
                <w:sz w:val="20"/>
              </w:rPr>
              <w:t>Entrepreneur,  Mission de Contrôle et autres prestataires de service</w:t>
            </w:r>
          </w:p>
        </w:tc>
        <w:tc>
          <w:tcPr>
            <w:tcW w:w="1840" w:type="dxa"/>
            <w:tcBorders>
              <w:top w:val="single" w:sz="4" w:space="0" w:color="auto"/>
              <w:left w:val="single" w:sz="4" w:space="0" w:color="auto"/>
              <w:bottom w:val="single" w:sz="4" w:space="0" w:color="auto"/>
              <w:right w:val="single" w:sz="4" w:space="0" w:color="auto"/>
            </w:tcBorders>
            <w:vAlign w:val="center"/>
          </w:tcPr>
          <w:p w14:paraId="0ADACE28" w14:textId="5D2541D8" w:rsidR="003B5AD1" w:rsidRPr="00420C1B" w:rsidRDefault="003B5AD1" w:rsidP="00215867">
            <w:pPr>
              <w:spacing w:after="0" w:line="240" w:lineRule="auto"/>
              <w:rPr>
                <w:rFonts w:ascii="Times New Roman" w:hAnsi="Times New Roman"/>
                <w:sz w:val="20"/>
              </w:rPr>
            </w:pPr>
            <w:r w:rsidRPr="00215867">
              <w:rPr>
                <w:rFonts w:ascii="Times New Roman" w:hAnsi="Times New Roman"/>
                <w:sz w:val="20"/>
              </w:rPr>
              <w:t>UGES-SNEL, UCM, CI, CDUK, CPE et ACE</w:t>
            </w:r>
          </w:p>
        </w:tc>
        <w:tc>
          <w:tcPr>
            <w:tcW w:w="1546" w:type="dxa"/>
            <w:tcBorders>
              <w:top w:val="single" w:sz="4" w:space="0" w:color="auto"/>
              <w:left w:val="single" w:sz="4" w:space="0" w:color="auto"/>
              <w:bottom w:val="single" w:sz="4" w:space="0" w:color="auto"/>
              <w:right w:val="single" w:sz="4" w:space="0" w:color="auto"/>
            </w:tcBorders>
            <w:vAlign w:val="center"/>
          </w:tcPr>
          <w:p w14:paraId="0735936E" w14:textId="77777777" w:rsidR="003B5AD1" w:rsidRPr="00420C1B" w:rsidRDefault="003B5AD1" w:rsidP="00215867">
            <w:pPr>
              <w:numPr>
                <w:ilvl w:val="0"/>
                <w:numId w:val="213"/>
              </w:numPr>
              <w:spacing w:after="0" w:line="240" w:lineRule="auto"/>
              <w:ind w:left="125" w:hanging="235"/>
              <w:rPr>
                <w:rFonts w:ascii="Times New Roman" w:hAnsi="Times New Roman"/>
                <w:sz w:val="20"/>
              </w:rPr>
            </w:pPr>
            <w:r w:rsidRPr="00420C1B">
              <w:rPr>
                <w:rFonts w:ascii="Times New Roman" w:hAnsi="Times New Roman"/>
                <w:sz w:val="20"/>
              </w:rPr>
              <w:t>Mécanisme de concertation opérationnel</w:t>
            </w:r>
          </w:p>
          <w:p w14:paraId="00A12E0C" w14:textId="1482624A" w:rsidR="003B5AD1" w:rsidRPr="00420C1B" w:rsidRDefault="003B5AD1" w:rsidP="00215867">
            <w:pPr>
              <w:numPr>
                <w:ilvl w:val="0"/>
                <w:numId w:val="213"/>
              </w:numPr>
              <w:spacing w:after="0" w:line="240" w:lineRule="auto"/>
              <w:ind w:left="125" w:hanging="235"/>
              <w:rPr>
                <w:rFonts w:ascii="Times New Roman" w:hAnsi="Times New Roman"/>
                <w:sz w:val="20"/>
              </w:rPr>
            </w:pPr>
            <w:r w:rsidRPr="00420C1B">
              <w:rPr>
                <w:rFonts w:ascii="Times New Roman" w:hAnsi="Times New Roman"/>
                <w:sz w:val="20"/>
              </w:rPr>
              <w:t xml:space="preserve">Programme d’éducation pour le changement de comportement (ECC) opérationnel </w:t>
            </w:r>
          </w:p>
        </w:tc>
        <w:tc>
          <w:tcPr>
            <w:tcW w:w="1546" w:type="dxa"/>
            <w:tcBorders>
              <w:top w:val="single" w:sz="4" w:space="0" w:color="auto"/>
              <w:left w:val="single" w:sz="4" w:space="0" w:color="auto"/>
              <w:bottom w:val="single" w:sz="4" w:space="0" w:color="auto"/>
              <w:right w:val="single" w:sz="4" w:space="0" w:color="auto"/>
            </w:tcBorders>
            <w:vAlign w:val="center"/>
          </w:tcPr>
          <w:p w14:paraId="6568C2B9" w14:textId="43F47D21" w:rsidR="003B5AD1" w:rsidRPr="00420C1B" w:rsidRDefault="00A6086C" w:rsidP="00215867">
            <w:pPr>
              <w:spacing w:after="0" w:line="240" w:lineRule="auto"/>
              <w:ind w:left="-110"/>
              <w:rPr>
                <w:rFonts w:ascii="Times New Roman" w:hAnsi="Times New Roman"/>
                <w:sz w:val="20"/>
              </w:rPr>
            </w:pPr>
            <w:r w:rsidRPr="00420C1B">
              <w:rPr>
                <w:rFonts w:ascii="Times New Roman" w:hAnsi="Times New Roman"/>
                <w:sz w:val="20"/>
              </w:rPr>
              <w:t xml:space="preserve">Avant le démarrage des travaux </w:t>
            </w:r>
          </w:p>
        </w:tc>
      </w:tr>
    </w:tbl>
    <w:p w14:paraId="5822DAA5" w14:textId="1EE4777C" w:rsidR="00F16F4B" w:rsidRPr="00E737B4" w:rsidRDefault="00F16F4B" w:rsidP="00E737B4">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4C2AD584" w14:textId="291CA8D8" w:rsidR="006B2C61" w:rsidRDefault="006B2C61" w:rsidP="006B2C61">
      <w:pPr>
        <w:rPr>
          <w:i/>
          <w:sz w:val="20"/>
        </w:rPr>
      </w:pPr>
      <w:r w:rsidRPr="00EB2FA2">
        <w:rPr>
          <w:i/>
          <w:sz w:val="20"/>
        </w:rPr>
        <w:t xml:space="preserve"> </w:t>
      </w:r>
    </w:p>
    <w:p w14:paraId="5487FEB7" w14:textId="77777777" w:rsidR="00EB0E4A" w:rsidRDefault="00EB0E4A" w:rsidP="00021980">
      <w:pPr>
        <w:pStyle w:val="Paragraphedeliste"/>
        <w:keepNext/>
        <w:keepLines/>
        <w:numPr>
          <w:ilvl w:val="1"/>
          <w:numId w:val="404"/>
        </w:numPr>
        <w:tabs>
          <w:tab w:val="left" w:pos="851"/>
        </w:tabs>
        <w:spacing w:after="0" w:line="240" w:lineRule="auto"/>
        <w:outlineLvl w:val="1"/>
        <w:rPr>
          <w:rFonts w:ascii="Times New Roman" w:hAnsi="Times New Roman"/>
        </w:rPr>
        <w:sectPr w:rsidR="00EB0E4A" w:rsidSect="00C62C2C">
          <w:pgSz w:w="16840" w:h="11907" w:orient="landscape" w:code="9"/>
          <w:pgMar w:top="1417" w:right="1417" w:bottom="1417" w:left="1417" w:header="720" w:footer="720" w:gutter="0"/>
          <w:cols w:space="720"/>
          <w:titlePg/>
          <w:docGrid w:linePitch="360"/>
        </w:sectPr>
      </w:pPr>
    </w:p>
    <w:p w14:paraId="224E002C" w14:textId="77777777" w:rsidR="000705BE" w:rsidRPr="00215867" w:rsidRDefault="000705BE" w:rsidP="00215867">
      <w:pPr>
        <w:pStyle w:val="Titre1"/>
        <w:numPr>
          <w:ilvl w:val="1"/>
          <w:numId w:val="54"/>
        </w:numPr>
        <w:spacing w:before="120" w:after="120" w:line="23" w:lineRule="atLeast"/>
        <w:ind w:left="709" w:hanging="567"/>
        <w:rPr>
          <w:b w:val="0"/>
        </w:rPr>
      </w:pPr>
      <w:bookmarkStart w:id="860" w:name="_Toc78602043"/>
      <w:bookmarkStart w:id="861" w:name="_Toc103685731"/>
      <w:r w:rsidRPr="007E5A67">
        <w:t>Plan de gestion d’urgence ou de gestion des Risques</w:t>
      </w:r>
      <w:bookmarkEnd w:id="860"/>
      <w:bookmarkEnd w:id="861"/>
    </w:p>
    <w:p w14:paraId="0D986F2D" w14:textId="786E4E2C" w:rsidR="00F334CB" w:rsidRPr="00215867" w:rsidRDefault="004A374B" w:rsidP="00215867">
      <w:pPr>
        <w:pStyle w:val="Titre31"/>
        <w:numPr>
          <w:ilvl w:val="2"/>
          <w:numId w:val="54"/>
        </w:numPr>
        <w:tabs>
          <w:tab w:val="left" w:pos="993"/>
        </w:tabs>
        <w:spacing w:before="120" w:after="120" w:line="20" w:lineRule="atLeast"/>
        <w:ind w:left="993" w:hanging="709"/>
        <w:rPr>
          <w:rFonts w:eastAsia="Calibri"/>
          <w:i/>
        </w:rPr>
      </w:pPr>
      <w:bookmarkStart w:id="862" w:name="_Toc103685732"/>
      <w:r w:rsidRPr="00215867">
        <w:rPr>
          <w:rFonts w:eastAsia="Calibri"/>
          <w:i/>
          <w:u w:val="none"/>
        </w:rPr>
        <w:t>Rappel des r</w:t>
      </w:r>
      <w:r w:rsidR="00F334CB" w:rsidRPr="00215867">
        <w:rPr>
          <w:rFonts w:eastAsia="Calibri"/>
          <w:i/>
          <w:u w:val="none"/>
        </w:rPr>
        <w:t>isques</w:t>
      </w:r>
      <w:bookmarkEnd w:id="862"/>
      <w:r w:rsidR="00F334CB" w:rsidRPr="00215867">
        <w:rPr>
          <w:rFonts w:eastAsia="Calibri"/>
          <w:i/>
          <w:u w:val="none"/>
        </w:rPr>
        <w:t xml:space="preserve"> </w:t>
      </w:r>
    </w:p>
    <w:p w14:paraId="383F7155" w14:textId="7951B82E" w:rsidR="00090DD6" w:rsidRPr="00215867" w:rsidRDefault="00090DD6" w:rsidP="00EB0E4A">
      <w:pPr>
        <w:pStyle w:val="Paragraphedeliste"/>
        <w:numPr>
          <w:ilvl w:val="0"/>
          <w:numId w:val="330"/>
        </w:numPr>
        <w:ind w:left="1134" w:hanging="425"/>
        <w:rPr>
          <w:rFonts w:ascii="Times New Roman" w:hAnsi="Times New Roman"/>
          <w:sz w:val="24"/>
          <w:lang w:eastAsia="fr-FR"/>
        </w:rPr>
      </w:pPr>
      <w:r w:rsidRPr="00215867">
        <w:rPr>
          <w:rFonts w:ascii="Times New Roman" w:hAnsi="Times New Roman"/>
          <w:sz w:val="24"/>
          <w:lang w:eastAsia="fr-FR"/>
        </w:rPr>
        <w:t xml:space="preserve">Risques technologiques </w:t>
      </w:r>
    </w:p>
    <w:p w14:paraId="52EA68F6" w14:textId="79823A0F" w:rsidR="00090DD6" w:rsidRDefault="00691EF5" w:rsidP="00215867">
      <w:pPr>
        <w:pStyle w:val="Paragraphedeliste1"/>
        <w:suppressAutoHyphens w:val="0"/>
        <w:ind w:left="0"/>
        <w:jc w:val="both"/>
        <w:rPr>
          <w:sz w:val="24"/>
        </w:rPr>
      </w:pPr>
      <w:r>
        <w:rPr>
          <w:sz w:val="24"/>
        </w:rPr>
        <w:t>Les risques technologiques ont été développés dans le paragraphe analyse des risques. Le</w:t>
      </w:r>
      <w:r w:rsidR="00EB0E4A">
        <w:rPr>
          <w:sz w:val="24"/>
        </w:rPr>
        <w:t xml:space="preserve"> </w:t>
      </w:r>
      <w:r>
        <w:rPr>
          <w:sz w:val="24"/>
        </w:rPr>
        <w:t xml:space="preserve">tableau </w:t>
      </w:r>
      <w:r w:rsidR="00A86929">
        <w:rPr>
          <w:sz w:val="24"/>
        </w:rPr>
        <w:t xml:space="preserve">62 </w:t>
      </w:r>
      <w:r>
        <w:rPr>
          <w:sz w:val="24"/>
        </w:rPr>
        <w:t>fait une synthèse de l’analyse de ces risques.</w:t>
      </w:r>
    </w:p>
    <w:p w14:paraId="6E071A32" w14:textId="13FA5C4B" w:rsidR="00691EF5" w:rsidRPr="005E3249" w:rsidRDefault="00691EF5" w:rsidP="00A86929">
      <w:pPr>
        <w:pStyle w:val="Lgende"/>
        <w:keepNext/>
        <w:spacing w:before="120" w:after="120"/>
        <w:rPr>
          <w:sz w:val="24"/>
          <w:szCs w:val="24"/>
        </w:rPr>
      </w:pPr>
      <w:bookmarkStart w:id="863" w:name="_Toc93050324"/>
      <w:r w:rsidRPr="00215867">
        <w:rPr>
          <w:sz w:val="24"/>
          <w:szCs w:val="24"/>
        </w:rPr>
        <w:t xml:space="preserve">Tableau </w:t>
      </w:r>
      <w:r w:rsidR="005B724A" w:rsidRPr="00A86929">
        <w:rPr>
          <w:sz w:val="24"/>
          <w:szCs w:val="24"/>
        </w:rPr>
        <w:fldChar w:fldCharType="begin"/>
      </w:r>
      <w:r w:rsidR="005B724A" w:rsidRPr="00215867">
        <w:rPr>
          <w:sz w:val="24"/>
          <w:szCs w:val="24"/>
        </w:rPr>
        <w:instrText xml:space="preserve"> SEQ Tableau \* ARABIC </w:instrText>
      </w:r>
      <w:r w:rsidR="005B724A" w:rsidRPr="00A86929">
        <w:rPr>
          <w:sz w:val="24"/>
          <w:szCs w:val="24"/>
        </w:rPr>
        <w:fldChar w:fldCharType="separate"/>
      </w:r>
      <w:r w:rsidR="00A86929">
        <w:rPr>
          <w:noProof/>
          <w:sz w:val="24"/>
          <w:szCs w:val="24"/>
        </w:rPr>
        <w:t>62</w:t>
      </w:r>
      <w:r w:rsidR="005B724A" w:rsidRPr="00A86929">
        <w:rPr>
          <w:sz w:val="24"/>
          <w:szCs w:val="24"/>
        </w:rPr>
        <w:fldChar w:fldCharType="end"/>
      </w:r>
      <w:r w:rsidRPr="00215867">
        <w:rPr>
          <w:sz w:val="24"/>
          <w:szCs w:val="24"/>
        </w:rPr>
        <w:t> : Matrice d’analyse des risques technologiques</w:t>
      </w:r>
      <w:bookmarkEnd w:id="863"/>
    </w:p>
    <w:tbl>
      <w:tblPr>
        <w:tblW w:w="5145"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A0" w:firstRow="1" w:lastRow="0" w:firstColumn="1" w:lastColumn="0" w:noHBand="0" w:noVBand="1"/>
      </w:tblPr>
      <w:tblGrid>
        <w:gridCol w:w="2321"/>
        <w:gridCol w:w="2313"/>
        <w:gridCol w:w="4924"/>
      </w:tblGrid>
      <w:tr w:rsidR="00691EF5" w:rsidRPr="00420C1B" w14:paraId="3865B83F" w14:textId="77777777" w:rsidTr="00215867">
        <w:trPr>
          <w:trHeight w:val="308"/>
          <w:tblHeader/>
          <w:jc w:val="center"/>
        </w:trPr>
        <w:tc>
          <w:tcPr>
            <w:tcW w:w="1214" w:type="pct"/>
            <w:tcBorders>
              <w:top w:val="single" w:sz="4" w:space="0" w:color="00000A"/>
              <w:left w:val="single" w:sz="4" w:space="0" w:color="00000A"/>
              <w:bottom w:val="single" w:sz="4" w:space="0" w:color="00000A"/>
              <w:right w:val="single" w:sz="4" w:space="0" w:color="00000A"/>
            </w:tcBorders>
            <w:shd w:val="clear" w:color="auto" w:fill="92D050"/>
            <w:vAlign w:val="center"/>
            <w:hideMark/>
          </w:tcPr>
          <w:p w14:paraId="0F6F5B99" w14:textId="77777777" w:rsidR="00691EF5" w:rsidRPr="00420C1B" w:rsidRDefault="00691EF5" w:rsidP="00215867">
            <w:pPr>
              <w:widowControl w:val="0"/>
              <w:spacing w:after="0" w:line="240" w:lineRule="auto"/>
              <w:ind w:right="-193"/>
              <w:jc w:val="center"/>
              <w:rPr>
                <w:rFonts w:ascii="Times New Roman" w:hAnsi="Times New Roman"/>
                <w:b/>
                <w:sz w:val="20"/>
                <w:szCs w:val="20"/>
              </w:rPr>
            </w:pPr>
            <w:r w:rsidRPr="00420C1B">
              <w:rPr>
                <w:rFonts w:ascii="Times New Roman" w:hAnsi="Times New Roman"/>
                <w:b/>
                <w:sz w:val="20"/>
                <w:szCs w:val="20"/>
              </w:rPr>
              <w:t>Source de</w:t>
            </w:r>
          </w:p>
          <w:p w14:paraId="3E19B78D" w14:textId="77777777" w:rsidR="00691EF5" w:rsidRPr="00420C1B" w:rsidRDefault="00691EF5" w:rsidP="00215867">
            <w:pPr>
              <w:spacing w:after="0" w:line="240" w:lineRule="auto"/>
              <w:jc w:val="center"/>
              <w:rPr>
                <w:rFonts w:ascii="Times New Roman" w:hAnsi="Times New Roman"/>
                <w:b/>
                <w:sz w:val="20"/>
                <w:szCs w:val="20"/>
              </w:rPr>
            </w:pPr>
            <w:r w:rsidRPr="00420C1B">
              <w:rPr>
                <w:rFonts w:ascii="Times New Roman" w:hAnsi="Times New Roman"/>
                <w:b/>
                <w:sz w:val="20"/>
                <w:szCs w:val="20"/>
              </w:rPr>
              <w:t>Dangers</w:t>
            </w:r>
          </w:p>
        </w:tc>
        <w:tc>
          <w:tcPr>
            <w:tcW w:w="1210" w:type="pct"/>
            <w:tcBorders>
              <w:top w:val="single" w:sz="4" w:space="0" w:color="00000A"/>
              <w:left w:val="single" w:sz="4" w:space="0" w:color="00000A"/>
              <w:bottom w:val="single" w:sz="4" w:space="0" w:color="00000A"/>
              <w:right w:val="single" w:sz="4" w:space="0" w:color="00000A"/>
            </w:tcBorders>
            <w:shd w:val="clear" w:color="auto" w:fill="92D050"/>
            <w:vAlign w:val="center"/>
            <w:hideMark/>
          </w:tcPr>
          <w:p w14:paraId="7BA3742F" w14:textId="77777777" w:rsidR="00691EF5" w:rsidRPr="00420C1B" w:rsidRDefault="00691EF5" w:rsidP="00215867">
            <w:pPr>
              <w:spacing w:after="0" w:line="240" w:lineRule="auto"/>
              <w:jc w:val="center"/>
              <w:rPr>
                <w:rFonts w:ascii="Times New Roman" w:hAnsi="Times New Roman"/>
                <w:b/>
                <w:sz w:val="20"/>
                <w:szCs w:val="20"/>
              </w:rPr>
            </w:pPr>
            <w:r w:rsidRPr="00420C1B">
              <w:rPr>
                <w:rFonts w:ascii="Times New Roman" w:hAnsi="Times New Roman"/>
                <w:b/>
                <w:sz w:val="20"/>
                <w:szCs w:val="20"/>
              </w:rPr>
              <w:t>Risque</w:t>
            </w:r>
          </w:p>
        </w:tc>
        <w:tc>
          <w:tcPr>
            <w:tcW w:w="2576" w:type="pct"/>
            <w:tcBorders>
              <w:top w:val="single" w:sz="4" w:space="0" w:color="00000A"/>
              <w:left w:val="single" w:sz="4" w:space="0" w:color="00000A"/>
              <w:bottom w:val="single" w:sz="4" w:space="0" w:color="00000A"/>
              <w:right w:val="single" w:sz="4" w:space="0" w:color="00000A"/>
            </w:tcBorders>
            <w:shd w:val="clear" w:color="auto" w:fill="92D050"/>
            <w:vAlign w:val="center"/>
            <w:hideMark/>
          </w:tcPr>
          <w:p w14:paraId="48AD38B8" w14:textId="77777777" w:rsidR="00691EF5" w:rsidRPr="00420C1B" w:rsidRDefault="00691EF5" w:rsidP="00215867">
            <w:pPr>
              <w:spacing w:after="0" w:line="240" w:lineRule="auto"/>
              <w:jc w:val="center"/>
              <w:rPr>
                <w:rFonts w:ascii="Times New Roman" w:hAnsi="Times New Roman"/>
                <w:b/>
                <w:sz w:val="20"/>
                <w:szCs w:val="20"/>
              </w:rPr>
            </w:pPr>
            <w:r w:rsidRPr="00420C1B">
              <w:rPr>
                <w:rFonts w:ascii="Times New Roman" w:hAnsi="Times New Roman"/>
                <w:b/>
                <w:sz w:val="20"/>
                <w:szCs w:val="20"/>
              </w:rPr>
              <w:t>Mesures de prévention ou d’atténuation</w:t>
            </w:r>
          </w:p>
        </w:tc>
      </w:tr>
      <w:tr w:rsidR="00691EF5" w:rsidRPr="00420C1B" w14:paraId="1E93C95C" w14:textId="77777777" w:rsidTr="00215867">
        <w:trPr>
          <w:jc w:val="center"/>
        </w:trPr>
        <w:tc>
          <w:tcPr>
            <w:tcW w:w="2424" w:type="pct"/>
            <w:gridSpan w:val="2"/>
            <w:tcBorders>
              <w:top w:val="single" w:sz="4" w:space="0" w:color="00000A"/>
              <w:left w:val="single" w:sz="4" w:space="0" w:color="00000A"/>
              <w:bottom w:val="single" w:sz="4" w:space="0" w:color="00000A"/>
              <w:right w:val="single" w:sz="4" w:space="0" w:color="00000A"/>
            </w:tcBorders>
            <w:shd w:val="clear" w:color="auto" w:fill="FFC000"/>
            <w:vAlign w:val="center"/>
            <w:hideMark/>
          </w:tcPr>
          <w:p w14:paraId="315A14B7" w14:textId="77777777" w:rsidR="00691EF5" w:rsidRPr="00420C1B" w:rsidRDefault="00691EF5" w:rsidP="00931D29">
            <w:pPr>
              <w:widowControl w:val="0"/>
              <w:spacing w:after="0" w:line="240" w:lineRule="auto"/>
              <w:ind w:left="97" w:right="34" w:hanging="61"/>
              <w:jc w:val="both"/>
              <w:rPr>
                <w:rFonts w:ascii="Times New Roman" w:hAnsi="Times New Roman"/>
              </w:rPr>
            </w:pPr>
            <w:r w:rsidRPr="00420C1B">
              <w:rPr>
                <w:rFonts w:ascii="Times New Roman" w:hAnsi="Times New Roman"/>
                <w:b/>
                <w:sz w:val="20"/>
                <w:szCs w:val="20"/>
              </w:rPr>
              <w:t>PHASE DE CONSTRUCTION</w:t>
            </w:r>
          </w:p>
        </w:tc>
        <w:tc>
          <w:tcPr>
            <w:tcW w:w="2576" w:type="pct"/>
            <w:tcBorders>
              <w:top w:val="single" w:sz="4" w:space="0" w:color="00000A"/>
              <w:left w:val="single" w:sz="4" w:space="0" w:color="00000A"/>
              <w:bottom w:val="single" w:sz="4" w:space="0" w:color="00000A"/>
              <w:right w:val="single" w:sz="4" w:space="0" w:color="00000A"/>
            </w:tcBorders>
            <w:shd w:val="clear" w:color="auto" w:fill="FFC000"/>
            <w:vAlign w:val="center"/>
          </w:tcPr>
          <w:p w14:paraId="67D9836D" w14:textId="77777777" w:rsidR="00691EF5" w:rsidRPr="00420C1B" w:rsidRDefault="00691EF5" w:rsidP="00931D29">
            <w:pPr>
              <w:widowControl w:val="0"/>
              <w:spacing w:after="0" w:line="240" w:lineRule="auto"/>
              <w:ind w:right="-193"/>
              <w:jc w:val="both"/>
              <w:rPr>
                <w:rFonts w:ascii="Times New Roman" w:hAnsi="Times New Roman"/>
              </w:rPr>
            </w:pPr>
          </w:p>
        </w:tc>
      </w:tr>
      <w:tr w:rsidR="00691EF5" w:rsidRPr="00420C1B" w14:paraId="401C1919" w14:textId="77777777" w:rsidTr="00215867">
        <w:trPr>
          <w:trHeight w:val="312"/>
          <w:jc w:val="center"/>
        </w:trPr>
        <w:tc>
          <w:tcPr>
            <w:tcW w:w="1214" w:type="pct"/>
            <w:tcBorders>
              <w:top w:val="single" w:sz="4" w:space="0" w:color="00000A"/>
              <w:left w:val="single" w:sz="4" w:space="0" w:color="00000A"/>
              <w:bottom w:val="single" w:sz="4" w:space="0" w:color="00000A"/>
              <w:right w:val="single" w:sz="4" w:space="0" w:color="00000A"/>
            </w:tcBorders>
            <w:vAlign w:val="center"/>
            <w:hideMark/>
          </w:tcPr>
          <w:p w14:paraId="26A0A351" w14:textId="06B3730E" w:rsidR="00691EF5" w:rsidRPr="00420C1B" w:rsidRDefault="00691EF5" w:rsidP="00EB0E4A">
            <w:pPr>
              <w:widowControl w:val="0"/>
              <w:spacing w:after="0" w:line="240" w:lineRule="auto"/>
              <w:ind w:right="34" w:hanging="7"/>
              <w:rPr>
                <w:rFonts w:ascii="Times New Roman" w:hAnsi="Times New Roman"/>
              </w:rPr>
            </w:pPr>
            <w:r w:rsidRPr="00420C1B">
              <w:rPr>
                <w:rFonts w:ascii="Times New Roman" w:hAnsi="Times New Roman"/>
              </w:rPr>
              <w:t>Fourniture et entreposage des</w:t>
            </w:r>
            <w:r w:rsidR="00933DE2" w:rsidRPr="00420C1B">
              <w:rPr>
                <w:rFonts w:ascii="Times New Roman" w:hAnsi="Times New Roman"/>
              </w:rPr>
              <w:t xml:space="preserve"> </w:t>
            </w:r>
            <w:r w:rsidRPr="00420C1B">
              <w:rPr>
                <w:rFonts w:ascii="Times New Roman" w:hAnsi="Times New Roman"/>
              </w:rPr>
              <w:t>équipements et de matériaux</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14512F9B" w14:textId="2D1B328C"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Chute ou</w:t>
            </w:r>
            <w:r w:rsidR="00933DE2" w:rsidRPr="00420C1B">
              <w:rPr>
                <w:rFonts w:ascii="Times New Roman" w:hAnsi="Times New Roman"/>
              </w:rPr>
              <w:t xml:space="preserve"> </w:t>
            </w:r>
            <w:r w:rsidRPr="00420C1B">
              <w:rPr>
                <w:rFonts w:ascii="Times New Roman" w:hAnsi="Times New Roman"/>
              </w:rPr>
              <w:t>glissement de matériel</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099BFBEB" w14:textId="77777777" w:rsidR="00691EF5" w:rsidRPr="00420C1B" w:rsidRDefault="00691EF5" w:rsidP="00931D29">
            <w:pPr>
              <w:widowControl w:val="0"/>
              <w:spacing w:after="0" w:line="240" w:lineRule="auto"/>
              <w:ind w:right="-193"/>
              <w:rPr>
                <w:rFonts w:ascii="Times New Roman" w:hAnsi="Times New Roman"/>
              </w:rPr>
            </w:pPr>
            <w:r w:rsidRPr="00420C1B">
              <w:rPr>
                <w:rFonts w:ascii="Times New Roman" w:hAnsi="Times New Roman"/>
              </w:rPr>
              <w:t>Sensibiliser les ouvriers</w:t>
            </w:r>
          </w:p>
        </w:tc>
      </w:tr>
      <w:tr w:rsidR="00691EF5" w:rsidRPr="00420C1B" w14:paraId="03034E2C" w14:textId="77777777" w:rsidTr="00215867">
        <w:trPr>
          <w:jc w:val="center"/>
        </w:trPr>
        <w:tc>
          <w:tcPr>
            <w:tcW w:w="1214" w:type="pct"/>
            <w:vMerge w:val="restart"/>
            <w:tcBorders>
              <w:top w:val="single" w:sz="4" w:space="0" w:color="00000A"/>
              <w:left w:val="single" w:sz="4" w:space="0" w:color="00000A"/>
              <w:bottom w:val="single" w:sz="4" w:space="0" w:color="00000A"/>
              <w:right w:val="single" w:sz="4" w:space="0" w:color="00000A"/>
            </w:tcBorders>
            <w:vAlign w:val="center"/>
            <w:hideMark/>
          </w:tcPr>
          <w:p w14:paraId="10FBACCD"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Circulation et fonctionnement des engins lourds</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2220EA59"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Dommages dues aux vibrations</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63CB22CF" w14:textId="77777777" w:rsidR="00691EF5" w:rsidRPr="00420C1B" w:rsidRDefault="00691EF5" w:rsidP="00931D29">
            <w:pPr>
              <w:spacing w:after="0" w:line="240" w:lineRule="auto"/>
              <w:rPr>
                <w:rFonts w:ascii="Times New Roman" w:hAnsi="Times New Roman"/>
              </w:rPr>
            </w:pPr>
            <w:r w:rsidRPr="00420C1B">
              <w:rPr>
                <w:rFonts w:ascii="Times New Roman" w:hAnsi="Times New Roman"/>
              </w:rPr>
              <w:t>Faire fonctionner les engins  lourds en dehors des heures de repos</w:t>
            </w:r>
          </w:p>
        </w:tc>
      </w:tr>
      <w:tr w:rsidR="00691EF5" w:rsidRPr="00420C1B" w14:paraId="58F4B3D2" w14:textId="77777777" w:rsidTr="00215867">
        <w:trPr>
          <w:jc w:val="center"/>
        </w:trPr>
        <w:tc>
          <w:tcPr>
            <w:tcW w:w="1214" w:type="pct"/>
            <w:vMerge/>
            <w:tcBorders>
              <w:top w:val="single" w:sz="4" w:space="0" w:color="00000A"/>
              <w:left w:val="single" w:sz="4" w:space="0" w:color="00000A"/>
              <w:bottom w:val="single" w:sz="4" w:space="0" w:color="00000A"/>
              <w:right w:val="single" w:sz="4" w:space="0" w:color="00000A"/>
            </w:tcBorders>
            <w:vAlign w:val="center"/>
            <w:hideMark/>
          </w:tcPr>
          <w:p w14:paraId="30DAA1D6" w14:textId="77777777" w:rsidR="00691EF5" w:rsidRPr="00420C1B" w:rsidRDefault="00691EF5" w:rsidP="00215867">
            <w:pPr>
              <w:widowControl w:val="0"/>
              <w:spacing w:after="0" w:line="240" w:lineRule="auto"/>
              <w:ind w:right="34" w:hanging="7"/>
              <w:rPr>
                <w:rFonts w:ascii="Times New Roman" w:hAnsi="Times New Roman"/>
              </w:rPr>
            </w:pP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4E7F5CE5"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Blessures ou pertes de vie dues aux accidents (accident de la circulation, éboulement, rupture de pont)</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071B98FB" w14:textId="77777777" w:rsidR="00691EF5" w:rsidRPr="00420C1B" w:rsidRDefault="00691EF5" w:rsidP="00931D29">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Sensibiliser les travailleurs et faire les visites techniques périodiques</w:t>
            </w:r>
          </w:p>
          <w:p w14:paraId="48C89C37" w14:textId="77777777" w:rsidR="00691EF5" w:rsidRPr="00420C1B" w:rsidRDefault="00691EF5" w:rsidP="00931D29">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Former le personnel à la sécurité pour le poste de travail ;</w:t>
            </w:r>
          </w:p>
          <w:p w14:paraId="531DCB50" w14:textId="77777777" w:rsidR="00691EF5" w:rsidRPr="00420C1B" w:rsidRDefault="00691EF5" w:rsidP="00931D29">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Etablir des fiches de procédure d’utilisation des machines ;</w:t>
            </w:r>
          </w:p>
          <w:p w14:paraId="390D9407" w14:textId="77777777" w:rsidR="00691EF5" w:rsidRPr="00420C1B" w:rsidRDefault="00691EF5" w:rsidP="00931D29">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Veiller au port des équipements de protection individuelle (EPI) : casques, botte de sécurité, gants appropriés, etc.</w:t>
            </w:r>
          </w:p>
        </w:tc>
      </w:tr>
      <w:tr w:rsidR="00691EF5" w:rsidRPr="00420C1B" w14:paraId="37EE97F2" w14:textId="77777777" w:rsidTr="00215867">
        <w:trPr>
          <w:jc w:val="center"/>
        </w:trPr>
        <w:tc>
          <w:tcPr>
            <w:tcW w:w="1214" w:type="pct"/>
            <w:vMerge/>
            <w:tcBorders>
              <w:top w:val="single" w:sz="4" w:space="0" w:color="00000A"/>
              <w:left w:val="single" w:sz="4" w:space="0" w:color="00000A"/>
              <w:bottom w:val="single" w:sz="4" w:space="0" w:color="00000A"/>
              <w:right w:val="single" w:sz="4" w:space="0" w:color="00000A"/>
            </w:tcBorders>
            <w:vAlign w:val="center"/>
            <w:hideMark/>
          </w:tcPr>
          <w:p w14:paraId="3EA372FB" w14:textId="77777777" w:rsidR="00691EF5" w:rsidRPr="00420C1B" w:rsidRDefault="00691EF5" w:rsidP="00215867">
            <w:pPr>
              <w:widowControl w:val="0"/>
              <w:spacing w:after="0" w:line="240" w:lineRule="auto"/>
              <w:ind w:right="34" w:hanging="7"/>
              <w:rPr>
                <w:rFonts w:ascii="Times New Roman" w:hAnsi="Times New Roman"/>
              </w:rPr>
            </w:pP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1F7ECC0C"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Trouble de la quiétude des riverains</w:t>
            </w:r>
          </w:p>
        </w:tc>
        <w:tc>
          <w:tcPr>
            <w:tcW w:w="2576" w:type="pct"/>
            <w:tcBorders>
              <w:top w:val="single" w:sz="4" w:space="0" w:color="00000A"/>
              <w:left w:val="single" w:sz="4" w:space="0" w:color="00000A"/>
              <w:bottom w:val="single" w:sz="4" w:space="0" w:color="00000A"/>
              <w:right w:val="single" w:sz="4" w:space="0" w:color="00000A"/>
            </w:tcBorders>
            <w:vAlign w:val="center"/>
          </w:tcPr>
          <w:p w14:paraId="5E669910" w14:textId="77777777" w:rsidR="00691EF5" w:rsidRPr="00420C1B" w:rsidRDefault="00691EF5" w:rsidP="00931D29">
            <w:pPr>
              <w:spacing w:after="0" w:line="240" w:lineRule="auto"/>
              <w:ind w:left="97" w:right="-195" w:hanging="61"/>
              <w:rPr>
                <w:rFonts w:ascii="Times New Roman" w:hAnsi="Times New Roman"/>
              </w:rPr>
            </w:pPr>
            <w:r w:rsidRPr="00420C1B">
              <w:rPr>
                <w:rFonts w:ascii="Times New Roman" w:hAnsi="Times New Roman"/>
              </w:rPr>
              <w:t xml:space="preserve">Faire fonctionner les engins </w:t>
            </w:r>
          </w:p>
          <w:p w14:paraId="210AD734" w14:textId="77777777" w:rsidR="00691EF5" w:rsidRPr="00420C1B" w:rsidRDefault="00691EF5" w:rsidP="00931D29">
            <w:pPr>
              <w:spacing w:after="0" w:line="240" w:lineRule="auto"/>
              <w:ind w:left="97" w:right="-195" w:hanging="61"/>
              <w:rPr>
                <w:rFonts w:ascii="Times New Roman" w:hAnsi="Times New Roman"/>
              </w:rPr>
            </w:pPr>
            <w:r w:rsidRPr="00420C1B">
              <w:rPr>
                <w:rFonts w:ascii="Times New Roman" w:hAnsi="Times New Roman"/>
              </w:rPr>
              <w:t>lourds en dehors des heures de repos</w:t>
            </w:r>
          </w:p>
        </w:tc>
      </w:tr>
      <w:tr w:rsidR="00691EF5" w:rsidRPr="00420C1B" w14:paraId="76A45A80" w14:textId="77777777" w:rsidTr="00215867">
        <w:trPr>
          <w:jc w:val="center"/>
        </w:trPr>
        <w:tc>
          <w:tcPr>
            <w:tcW w:w="1214" w:type="pct"/>
            <w:tcBorders>
              <w:top w:val="single" w:sz="4" w:space="0" w:color="00000A"/>
              <w:left w:val="single" w:sz="4" w:space="0" w:color="00000A"/>
              <w:bottom w:val="single" w:sz="4" w:space="0" w:color="00000A"/>
              <w:right w:val="single" w:sz="4" w:space="0" w:color="00000A"/>
            </w:tcBorders>
            <w:vAlign w:val="center"/>
            <w:hideMark/>
          </w:tcPr>
          <w:p w14:paraId="5747DF47"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Mauvaise signalisation des fouilles</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7B4D81C1"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Trébuchements et glissades</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6777B695" w14:textId="77777777" w:rsidR="00691EF5" w:rsidRPr="00420C1B" w:rsidRDefault="00691EF5" w:rsidP="00931D29">
            <w:pPr>
              <w:spacing w:after="0" w:line="240" w:lineRule="auto"/>
              <w:ind w:right="-195" w:firstLine="9"/>
              <w:rPr>
                <w:rFonts w:ascii="Times New Roman" w:hAnsi="Times New Roman"/>
              </w:rPr>
            </w:pPr>
            <w:r w:rsidRPr="00420C1B">
              <w:rPr>
                <w:rFonts w:ascii="Times New Roman" w:hAnsi="Times New Roman"/>
              </w:rPr>
              <w:t>Refermer aussitôt les fouilles ou mettre des balises de  signalisation visible</w:t>
            </w:r>
          </w:p>
        </w:tc>
      </w:tr>
      <w:tr w:rsidR="00691EF5" w:rsidRPr="00420C1B" w14:paraId="57EA51C0" w14:textId="77777777" w:rsidTr="00215867">
        <w:trPr>
          <w:jc w:val="center"/>
        </w:trPr>
        <w:tc>
          <w:tcPr>
            <w:tcW w:w="1214" w:type="pct"/>
            <w:tcBorders>
              <w:top w:val="single" w:sz="4" w:space="0" w:color="00000A"/>
              <w:left w:val="single" w:sz="4" w:space="0" w:color="00000A"/>
              <w:bottom w:val="single" w:sz="4" w:space="0" w:color="00000A"/>
              <w:right w:val="single" w:sz="4" w:space="0" w:color="00000A"/>
            </w:tcBorders>
            <w:vAlign w:val="center"/>
            <w:hideMark/>
          </w:tcPr>
          <w:p w14:paraId="1A30E1AE"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Absence d’équipement de protection et d’outils adéquats</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604E8961"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Blessures corporelles</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3FF93EC8" w14:textId="77777777" w:rsidR="00691EF5" w:rsidRPr="00420C1B" w:rsidRDefault="00691EF5" w:rsidP="00931D29">
            <w:pPr>
              <w:spacing w:after="0" w:line="240" w:lineRule="auto"/>
              <w:ind w:left="97" w:right="34" w:hanging="61"/>
              <w:rPr>
                <w:rFonts w:ascii="Times New Roman" w:hAnsi="Times New Roman"/>
              </w:rPr>
            </w:pPr>
            <w:r w:rsidRPr="00420C1B">
              <w:rPr>
                <w:rFonts w:ascii="Times New Roman" w:hAnsi="Times New Roman"/>
              </w:rPr>
              <w:t>Exiger le port des EPI</w:t>
            </w:r>
          </w:p>
        </w:tc>
      </w:tr>
      <w:tr w:rsidR="00691EF5" w:rsidRPr="00420C1B" w14:paraId="00C82291" w14:textId="77777777" w:rsidTr="00215867">
        <w:trPr>
          <w:jc w:val="center"/>
        </w:trPr>
        <w:tc>
          <w:tcPr>
            <w:tcW w:w="1214" w:type="pct"/>
            <w:vMerge w:val="restart"/>
            <w:tcBorders>
              <w:top w:val="single" w:sz="4" w:space="0" w:color="00000A"/>
              <w:left w:val="single" w:sz="4" w:space="0" w:color="00000A"/>
              <w:bottom w:val="single" w:sz="4" w:space="0" w:color="00000A"/>
              <w:right w:val="single" w:sz="4" w:space="0" w:color="00000A"/>
            </w:tcBorders>
            <w:vAlign w:val="center"/>
            <w:hideMark/>
          </w:tcPr>
          <w:p w14:paraId="534F1D72"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Stockage / utilisation des produits pétroliers (carburants)</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1D29916E" w14:textId="77777777" w:rsidR="00691EF5" w:rsidRPr="00420C1B" w:rsidRDefault="00691EF5" w:rsidP="00931D29">
            <w:pPr>
              <w:widowControl w:val="0"/>
              <w:spacing w:after="0" w:line="240" w:lineRule="auto"/>
              <w:ind w:left="97" w:right="34" w:hanging="61"/>
              <w:jc w:val="both"/>
              <w:rPr>
                <w:rFonts w:ascii="Times New Roman" w:hAnsi="Times New Roman"/>
              </w:rPr>
            </w:pPr>
            <w:r w:rsidRPr="00420C1B">
              <w:rPr>
                <w:rFonts w:ascii="Times New Roman" w:hAnsi="Times New Roman"/>
              </w:rPr>
              <w:t>Incendie</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5EBCFBD5"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Elaborer et mettre en œuvre un PHSS</w:t>
            </w:r>
          </w:p>
          <w:p w14:paraId="1315F02D"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Organiser les stockages (Prévoir des lieux de stockage séparés pour le gasoil) à des distances réglementaires par rapport au bureau, base-vie et habitations.</w:t>
            </w:r>
          </w:p>
          <w:p w14:paraId="4BABA100"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Mettre en place des moyens de détection de fumée, d’incendie, (système d’alarme).</w:t>
            </w:r>
          </w:p>
          <w:p w14:paraId="124C4EC0"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Etablir des plans d’intervention et d’évacuation</w:t>
            </w:r>
          </w:p>
          <w:p w14:paraId="1475D5BF"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Disposer sur le chantier de moyens d’extinction (extincteurs, bacs à sable, émulseurs et moyens de pompage) suffisants pour venir très rapidement à bout d’un feu avant qu’il ne se développe ; et équiper les véhicules et les engins d’extincteurs fonctionnels ;</w:t>
            </w:r>
          </w:p>
          <w:p w14:paraId="0795CA7F"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Placer les extincteurs de façon visible et accessible à tous (les chemins menant à leur accès doivent être dégagés de tout obstacle)</w:t>
            </w:r>
          </w:p>
          <w:p w14:paraId="18860FE7"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Former le personnel et l’entraîner en extinction incendie</w:t>
            </w:r>
          </w:p>
          <w:p w14:paraId="6A1CD95F"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Interdiction de fumer à des endroits bien spécifiés (près des zones de stockage par exemple).</w:t>
            </w:r>
          </w:p>
          <w:p w14:paraId="6FCC0426"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Renforcer les mesures de surveillance</w:t>
            </w:r>
          </w:p>
        </w:tc>
      </w:tr>
      <w:tr w:rsidR="00691EF5" w:rsidRPr="00420C1B" w14:paraId="1064FDC0" w14:textId="77777777" w:rsidTr="00215867">
        <w:trPr>
          <w:jc w:val="center"/>
        </w:trPr>
        <w:tc>
          <w:tcPr>
            <w:tcW w:w="1214" w:type="pct"/>
            <w:vMerge/>
            <w:tcBorders>
              <w:top w:val="single" w:sz="4" w:space="0" w:color="00000A"/>
              <w:left w:val="single" w:sz="4" w:space="0" w:color="00000A"/>
              <w:bottom w:val="single" w:sz="4" w:space="0" w:color="00000A"/>
              <w:right w:val="single" w:sz="4" w:space="0" w:color="00000A"/>
            </w:tcBorders>
            <w:vAlign w:val="center"/>
            <w:hideMark/>
          </w:tcPr>
          <w:p w14:paraId="18E2B26D" w14:textId="77777777" w:rsidR="00691EF5" w:rsidRPr="00420C1B" w:rsidRDefault="00691EF5" w:rsidP="00931D29">
            <w:pPr>
              <w:spacing w:after="0"/>
              <w:rPr>
                <w:rFonts w:ascii="Times New Roman" w:hAnsi="Times New Roman"/>
              </w:rPr>
            </w:pP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4BE3B758" w14:textId="77777777" w:rsidR="00691EF5" w:rsidRPr="00420C1B" w:rsidRDefault="00691EF5" w:rsidP="00931D29">
            <w:pPr>
              <w:widowControl w:val="0"/>
              <w:spacing w:after="0" w:line="240" w:lineRule="auto"/>
              <w:ind w:left="97" w:right="34" w:hanging="61"/>
              <w:jc w:val="both"/>
              <w:rPr>
                <w:rFonts w:ascii="Times New Roman" w:hAnsi="Times New Roman"/>
              </w:rPr>
            </w:pPr>
            <w:r w:rsidRPr="00420C1B">
              <w:rPr>
                <w:rFonts w:ascii="Times New Roman" w:hAnsi="Times New Roman"/>
              </w:rPr>
              <w:t>Pollution chimique</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79FD95B3" w14:textId="77777777" w:rsidR="00691EF5" w:rsidRPr="00420C1B" w:rsidRDefault="00691EF5" w:rsidP="00931D29">
            <w:pPr>
              <w:spacing w:after="0" w:line="240" w:lineRule="auto"/>
              <w:ind w:left="-35" w:right="33" w:firstLine="9"/>
              <w:jc w:val="both"/>
              <w:rPr>
                <w:rFonts w:ascii="Times New Roman" w:hAnsi="Times New Roman"/>
              </w:rPr>
            </w:pPr>
            <w:r w:rsidRPr="00420C1B">
              <w:rPr>
                <w:rFonts w:ascii="Times New Roman" w:hAnsi="Times New Roman"/>
              </w:rPr>
              <w:t>Mettre en place bassins de rétention et des bacs de récupération</w:t>
            </w:r>
          </w:p>
        </w:tc>
      </w:tr>
      <w:tr w:rsidR="00691EF5" w:rsidRPr="00420C1B" w14:paraId="16FDB64A" w14:textId="77777777" w:rsidTr="00215867">
        <w:trPr>
          <w:jc w:val="center"/>
        </w:trPr>
        <w:tc>
          <w:tcPr>
            <w:tcW w:w="2424" w:type="pct"/>
            <w:gridSpan w:val="2"/>
            <w:tcBorders>
              <w:top w:val="single" w:sz="4" w:space="0" w:color="00000A"/>
              <w:left w:val="single" w:sz="4" w:space="0" w:color="00000A"/>
              <w:bottom w:val="single" w:sz="4" w:space="0" w:color="00000A"/>
              <w:right w:val="single" w:sz="4" w:space="0" w:color="00000A"/>
            </w:tcBorders>
            <w:shd w:val="clear" w:color="auto" w:fill="FFC000"/>
            <w:vAlign w:val="center"/>
            <w:hideMark/>
          </w:tcPr>
          <w:p w14:paraId="0D675CD6" w14:textId="77777777" w:rsidR="00691EF5" w:rsidRPr="00420C1B" w:rsidRDefault="00691EF5" w:rsidP="00931D29">
            <w:pPr>
              <w:widowControl w:val="0"/>
              <w:spacing w:after="0" w:line="240" w:lineRule="auto"/>
              <w:ind w:left="97" w:right="34" w:hanging="61"/>
              <w:jc w:val="both"/>
              <w:rPr>
                <w:rFonts w:ascii="Times New Roman" w:hAnsi="Times New Roman"/>
              </w:rPr>
            </w:pPr>
            <w:r w:rsidRPr="00420C1B">
              <w:rPr>
                <w:rFonts w:ascii="Times New Roman" w:hAnsi="Times New Roman"/>
                <w:b/>
                <w:sz w:val="20"/>
                <w:szCs w:val="20"/>
              </w:rPr>
              <w:t>PHASE D’EXPLOITATION</w:t>
            </w:r>
          </w:p>
        </w:tc>
        <w:tc>
          <w:tcPr>
            <w:tcW w:w="2576" w:type="pct"/>
            <w:tcBorders>
              <w:top w:val="single" w:sz="4" w:space="0" w:color="00000A"/>
              <w:left w:val="single" w:sz="4" w:space="0" w:color="00000A"/>
              <w:bottom w:val="single" w:sz="4" w:space="0" w:color="00000A"/>
              <w:right w:val="single" w:sz="4" w:space="0" w:color="00000A"/>
            </w:tcBorders>
            <w:shd w:val="clear" w:color="auto" w:fill="FFC000"/>
            <w:vAlign w:val="center"/>
          </w:tcPr>
          <w:p w14:paraId="5161260E" w14:textId="77777777" w:rsidR="00691EF5" w:rsidRPr="00420C1B" w:rsidRDefault="00691EF5" w:rsidP="00931D29">
            <w:pPr>
              <w:widowControl w:val="0"/>
              <w:spacing w:after="0" w:line="240" w:lineRule="auto"/>
              <w:ind w:left="97" w:right="34" w:hanging="61"/>
              <w:jc w:val="both"/>
              <w:rPr>
                <w:rFonts w:ascii="Times New Roman" w:hAnsi="Times New Roman"/>
              </w:rPr>
            </w:pPr>
          </w:p>
        </w:tc>
      </w:tr>
      <w:tr w:rsidR="00691EF5" w:rsidRPr="00420C1B" w14:paraId="68F9D974" w14:textId="77777777" w:rsidTr="00215867">
        <w:trPr>
          <w:jc w:val="center"/>
        </w:trPr>
        <w:tc>
          <w:tcPr>
            <w:tcW w:w="1214" w:type="pct"/>
            <w:tcBorders>
              <w:top w:val="single" w:sz="4" w:space="0" w:color="00000A"/>
              <w:left w:val="single" w:sz="4" w:space="0" w:color="00000A"/>
              <w:bottom w:val="single" w:sz="4" w:space="0" w:color="00000A"/>
              <w:right w:val="single" w:sz="4" w:space="0" w:color="00000A"/>
            </w:tcBorders>
            <w:vAlign w:val="center"/>
            <w:hideMark/>
          </w:tcPr>
          <w:p w14:paraId="1E46E823"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Augmentation de vitesse</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2144437C"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 xml:space="preserve">Accidents (perte en vie humaine et animale) </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52DDAB6F"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Mettre en place une signalisation verticale appropriée (virages ; limitation de vitesse ; etc.)</w:t>
            </w:r>
          </w:p>
          <w:p w14:paraId="1D06B4CB"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Sensibiliser les usagers de la route et les populations de la zone sur la sécurité routière</w:t>
            </w:r>
          </w:p>
          <w:p w14:paraId="25527FB4"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Mettre en place des balises et des ralentisseurs</w:t>
            </w:r>
          </w:p>
        </w:tc>
      </w:tr>
      <w:tr w:rsidR="00691EF5" w:rsidRPr="00420C1B" w14:paraId="55D5A891" w14:textId="77777777" w:rsidTr="00215867">
        <w:trPr>
          <w:trHeight w:val="326"/>
          <w:jc w:val="center"/>
        </w:trPr>
        <w:tc>
          <w:tcPr>
            <w:tcW w:w="1214" w:type="pct"/>
            <w:tcBorders>
              <w:top w:val="single" w:sz="4" w:space="0" w:color="00000A"/>
              <w:left w:val="single" w:sz="4" w:space="0" w:color="00000A"/>
              <w:bottom w:val="single" w:sz="4" w:space="0" w:color="00000A"/>
              <w:right w:val="single" w:sz="4" w:space="0" w:color="00000A"/>
            </w:tcBorders>
            <w:vAlign w:val="center"/>
            <w:hideMark/>
          </w:tcPr>
          <w:p w14:paraId="541838C4"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 xml:space="preserve">Eboulement </w:t>
            </w:r>
          </w:p>
        </w:tc>
        <w:tc>
          <w:tcPr>
            <w:tcW w:w="1210" w:type="pct"/>
            <w:tcBorders>
              <w:top w:val="single" w:sz="4" w:space="0" w:color="00000A"/>
              <w:left w:val="single" w:sz="4" w:space="0" w:color="00000A"/>
              <w:bottom w:val="single" w:sz="4" w:space="0" w:color="00000A"/>
              <w:right w:val="single" w:sz="4" w:space="0" w:color="00000A"/>
            </w:tcBorders>
            <w:vAlign w:val="center"/>
            <w:hideMark/>
          </w:tcPr>
          <w:p w14:paraId="40469A2F" w14:textId="77777777" w:rsidR="00691EF5" w:rsidRPr="00420C1B" w:rsidRDefault="00691EF5" w:rsidP="00215867">
            <w:pPr>
              <w:widowControl w:val="0"/>
              <w:spacing w:after="0" w:line="240" w:lineRule="auto"/>
              <w:ind w:right="34" w:hanging="7"/>
              <w:rPr>
                <w:rFonts w:ascii="Times New Roman" w:hAnsi="Times New Roman"/>
              </w:rPr>
            </w:pPr>
            <w:r w:rsidRPr="00420C1B">
              <w:rPr>
                <w:rFonts w:ascii="Times New Roman" w:hAnsi="Times New Roman"/>
              </w:rPr>
              <w:t>Accidents (Perte de vie humaine)</w:t>
            </w:r>
          </w:p>
        </w:tc>
        <w:tc>
          <w:tcPr>
            <w:tcW w:w="2576" w:type="pct"/>
            <w:tcBorders>
              <w:top w:val="single" w:sz="4" w:space="0" w:color="00000A"/>
              <w:left w:val="single" w:sz="4" w:space="0" w:color="00000A"/>
              <w:bottom w:val="single" w:sz="4" w:space="0" w:color="00000A"/>
              <w:right w:val="single" w:sz="4" w:space="0" w:color="00000A"/>
            </w:tcBorders>
            <w:vAlign w:val="center"/>
            <w:hideMark/>
          </w:tcPr>
          <w:p w14:paraId="6F95D4E3"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Mettre en place une signalisation verticale pour avertir des risques d’éboulement</w:t>
            </w:r>
          </w:p>
          <w:p w14:paraId="6215042B"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Régalage des saillies lors des travaux</w:t>
            </w:r>
          </w:p>
          <w:p w14:paraId="5B4DE1A0" w14:textId="77777777" w:rsidR="00691EF5" w:rsidRPr="00420C1B" w:rsidRDefault="00691EF5" w:rsidP="00215867">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Surveiller régulièrement les points sensibles à risque de chute</w:t>
            </w:r>
          </w:p>
        </w:tc>
      </w:tr>
    </w:tbl>
    <w:p w14:paraId="04D817E3" w14:textId="77777777" w:rsidR="00691EF5" w:rsidRDefault="00691EF5" w:rsidP="00090DD6">
      <w:pPr>
        <w:pStyle w:val="Paragraphedeliste1"/>
        <w:suppressAutoHyphens w:val="0"/>
        <w:jc w:val="both"/>
        <w:rPr>
          <w:sz w:val="24"/>
        </w:rPr>
      </w:pPr>
    </w:p>
    <w:p w14:paraId="1AC4CA1E" w14:textId="77777777" w:rsidR="00090DD6" w:rsidRDefault="00090DD6" w:rsidP="00AE31F1">
      <w:pPr>
        <w:pStyle w:val="Paragraphedeliste1"/>
        <w:suppressAutoHyphens w:val="0"/>
        <w:jc w:val="both"/>
        <w:rPr>
          <w:sz w:val="24"/>
        </w:rPr>
      </w:pPr>
    </w:p>
    <w:p w14:paraId="3C8F45AA" w14:textId="77777777" w:rsidR="00EB0E4A" w:rsidRPr="00420C1B" w:rsidRDefault="00EB0E4A" w:rsidP="00AE31F1">
      <w:pPr>
        <w:pStyle w:val="Paragraphedeliste"/>
        <w:numPr>
          <w:ilvl w:val="0"/>
          <w:numId w:val="330"/>
        </w:numPr>
        <w:spacing w:after="0" w:line="240" w:lineRule="auto"/>
        <w:jc w:val="both"/>
        <w:rPr>
          <w:rFonts w:ascii="Times New Roman" w:hAnsi="Times New Roman"/>
          <w:b/>
          <w:iCs/>
          <w:color w:val="000000"/>
          <w:sz w:val="24"/>
        </w:rPr>
        <w:sectPr w:rsidR="00EB0E4A" w:rsidRPr="00420C1B" w:rsidSect="00EB0E4A">
          <w:footerReference w:type="even" r:id="rId63"/>
          <w:footerReference w:type="default" r:id="rId64"/>
          <w:footerReference w:type="first" r:id="rId65"/>
          <w:pgSz w:w="11907" w:h="16840" w:code="9"/>
          <w:pgMar w:top="1417" w:right="1417" w:bottom="1417" w:left="1417" w:header="720" w:footer="720" w:gutter="0"/>
          <w:cols w:space="720"/>
          <w:titlePg/>
          <w:docGrid w:linePitch="360"/>
        </w:sectPr>
      </w:pPr>
    </w:p>
    <w:p w14:paraId="223C0EB1" w14:textId="15717481" w:rsidR="00F334CB" w:rsidRPr="00215867" w:rsidRDefault="00F334CB" w:rsidP="00AE31F1">
      <w:pPr>
        <w:pStyle w:val="Paragraphedeliste"/>
        <w:numPr>
          <w:ilvl w:val="0"/>
          <w:numId w:val="330"/>
        </w:numPr>
        <w:spacing w:after="0" w:line="240" w:lineRule="auto"/>
        <w:jc w:val="both"/>
        <w:rPr>
          <w:rFonts w:ascii="Times New Roman" w:hAnsi="Times New Roman"/>
          <w:b/>
          <w:iCs/>
          <w:color w:val="000000"/>
          <w:sz w:val="24"/>
        </w:rPr>
      </w:pPr>
      <w:r w:rsidRPr="00215867">
        <w:rPr>
          <w:rFonts w:ascii="Times New Roman" w:hAnsi="Times New Roman"/>
          <w:b/>
          <w:iCs/>
          <w:color w:val="000000"/>
          <w:sz w:val="24"/>
        </w:rPr>
        <w:t xml:space="preserve">Risques naturels </w:t>
      </w:r>
    </w:p>
    <w:p w14:paraId="6CFA8B85" w14:textId="076EEFA4" w:rsidR="00F334CB" w:rsidRPr="00215867" w:rsidRDefault="008E1B24" w:rsidP="008C79F0">
      <w:pPr>
        <w:numPr>
          <w:ilvl w:val="0"/>
          <w:numId w:val="236"/>
        </w:numPr>
        <w:shd w:val="clear" w:color="auto" w:fill="FFFFFF"/>
        <w:spacing w:before="100" w:beforeAutospacing="1" w:after="100" w:afterAutospacing="1" w:line="240" w:lineRule="auto"/>
        <w:rPr>
          <w:rFonts w:ascii="Times New Roman" w:hAnsi="Times New Roman"/>
          <w:iCs/>
          <w:color w:val="000000"/>
          <w:sz w:val="24"/>
        </w:rPr>
      </w:pPr>
      <w:r w:rsidRPr="00215867">
        <w:rPr>
          <w:rFonts w:ascii="Times New Roman" w:hAnsi="Times New Roman"/>
          <w:iCs/>
          <w:color w:val="000000"/>
          <w:sz w:val="24"/>
        </w:rPr>
        <w:t xml:space="preserve">Les risques naturels sont </w:t>
      </w:r>
      <w:r w:rsidR="001F4D97" w:rsidRPr="00215867">
        <w:rPr>
          <w:rFonts w:ascii="Times New Roman" w:hAnsi="Times New Roman"/>
          <w:iCs/>
          <w:color w:val="000000"/>
          <w:sz w:val="24"/>
        </w:rPr>
        <w:t>analysés</w:t>
      </w:r>
      <w:r w:rsidRPr="00215867">
        <w:rPr>
          <w:rFonts w:ascii="Times New Roman" w:hAnsi="Times New Roman"/>
          <w:iCs/>
          <w:color w:val="000000"/>
          <w:sz w:val="24"/>
        </w:rPr>
        <w:t xml:space="preserve"> dans le tableau </w:t>
      </w:r>
      <w:r w:rsidR="00A34342" w:rsidRPr="00420C1B">
        <w:rPr>
          <w:rFonts w:ascii="Times New Roman" w:hAnsi="Times New Roman"/>
          <w:iCs/>
          <w:color w:val="000000"/>
          <w:sz w:val="24"/>
        </w:rPr>
        <w:t>63</w:t>
      </w:r>
    </w:p>
    <w:p w14:paraId="483F17DF" w14:textId="45EC24B2" w:rsidR="008E1B24" w:rsidRPr="00215867" w:rsidRDefault="008E1B24" w:rsidP="008E1B24">
      <w:pPr>
        <w:pStyle w:val="Lgende"/>
        <w:rPr>
          <w:sz w:val="24"/>
          <w:szCs w:val="22"/>
        </w:rPr>
      </w:pPr>
      <w:bookmarkStart w:id="864" w:name="_Toc93050325"/>
      <w:bookmarkStart w:id="865" w:name="_Hlk84063658"/>
      <w:r w:rsidRPr="00215867">
        <w:rPr>
          <w:sz w:val="24"/>
          <w:szCs w:val="22"/>
        </w:rPr>
        <w:t xml:space="preserve">Tableau </w:t>
      </w:r>
      <w:r w:rsidRPr="00A86929">
        <w:rPr>
          <w:sz w:val="24"/>
          <w:szCs w:val="22"/>
        </w:rPr>
        <w:fldChar w:fldCharType="begin"/>
      </w:r>
      <w:r w:rsidRPr="00A86929">
        <w:rPr>
          <w:sz w:val="24"/>
          <w:szCs w:val="22"/>
        </w:rPr>
        <w:instrText xml:space="preserve"> SEQ Tableau \* ARABIC </w:instrText>
      </w:r>
      <w:r w:rsidRPr="00A86929">
        <w:rPr>
          <w:sz w:val="24"/>
          <w:szCs w:val="22"/>
        </w:rPr>
        <w:fldChar w:fldCharType="separate"/>
      </w:r>
      <w:r w:rsidR="00A86929">
        <w:rPr>
          <w:noProof/>
          <w:sz w:val="24"/>
          <w:szCs w:val="22"/>
        </w:rPr>
        <w:t>63</w:t>
      </w:r>
      <w:r w:rsidRPr="00A86929">
        <w:rPr>
          <w:sz w:val="24"/>
          <w:szCs w:val="22"/>
        </w:rPr>
        <w:fldChar w:fldCharType="end"/>
      </w:r>
      <w:r w:rsidRPr="00215867">
        <w:rPr>
          <w:sz w:val="24"/>
          <w:szCs w:val="22"/>
        </w:rPr>
        <w:t> : Matrice d’analyse des risques naturels</w:t>
      </w:r>
      <w:bookmarkEnd w:id="864"/>
    </w:p>
    <w:tbl>
      <w:tblPr>
        <w:tblW w:w="55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833"/>
        <w:gridCol w:w="3292"/>
        <w:gridCol w:w="2946"/>
        <w:gridCol w:w="4507"/>
      </w:tblGrid>
      <w:tr w:rsidR="002C66D7" w:rsidRPr="00420C1B" w14:paraId="31F27B93" w14:textId="77777777" w:rsidTr="00420C1B">
        <w:trPr>
          <w:tblHeader/>
          <w:jc w:val="center"/>
        </w:trPr>
        <w:tc>
          <w:tcPr>
            <w:tcW w:w="677" w:type="pct"/>
            <w:shd w:val="clear" w:color="auto" w:fill="92D050"/>
            <w:vAlign w:val="center"/>
          </w:tcPr>
          <w:p w14:paraId="386AEB30" w14:textId="565E6434" w:rsidR="00967ED9" w:rsidRPr="00420C1B" w:rsidRDefault="00967ED9" w:rsidP="00420C1B">
            <w:pPr>
              <w:spacing w:after="0"/>
              <w:jc w:val="center"/>
              <w:rPr>
                <w:rFonts w:ascii="Times New Roman" w:hAnsi="Times New Roman"/>
              </w:rPr>
            </w:pPr>
            <w:r w:rsidRPr="00420C1B">
              <w:rPr>
                <w:rFonts w:ascii="Times New Roman" w:eastAsia="Arial" w:hAnsi="Times New Roman"/>
                <w:b/>
              </w:rPr>
              <w:t>Typologie du risque</w:t>
            </w:r>
          </w:p>
          <w:p w14:paraId="78CD52D2" w14:textId="7E37028B" w:rsidR="00967ED9" w:rsidRPr="00420C1B" w:rsidRDefault="00967ED9" w:rsidP="00420C1B">
            <w:pPr>
              <w:spacing w:after="0" w:line="240" w:lineRule="auto"/>
              <w:jc w:val="center"/>
              <w:rPr>
                <w:rFonts w:ascii="Times New Roman" w:hAnsi="Times New Roman"/>
              </w:rPr>
            </w:pPr>
            <w:r w:rsidRPr="00420C1B">
              <w:rPr>
                <w:rFonts w:ascii="Times New Roman" w:eastAsia="Arial" w:hAnsi="Times New Roman"/>
                <w:b/>
              </w:rPr>
              <w:t>et phénomène de catastrophes</w:t>
            </w:r>
          </w:p>
        </w:tc>
        <w:tc>
          <w:tcPr>
            <w:tcW w:w="902" w:type="pct"/>
            <w:shd w:val="clear" w:color="auto" w:fill="92D050"/>
            <w:vAlign w:val="center"/>
          </w:tcPr>
          <w:p w14:paraId="77EF3FF1" w14:textId="77777777" w:rsidR="00967ED9" w:rsidRPr="00420C1B" w:rsidRDefault="00967ED9" w:rsidP="00420C1B">
            <w:pPr>
              <w:spacing w:after="0" w:line="240" w:lineRule="auto"/>
              <w:jc w:val="center"/>
              <w:rPr>
                <w:rFonts w:ascii="Times New Roman" w:hAnsi="Times New Roman"/>
              </w:rPr>
            </w:pPr>
            <w:r w:rsidRPr="00420C1B">
              <w:rPr>
                <w:rFonts w:ascii="Times New Roman" w:eastAsia="Arial" w:hAnsi="Times New Roman"/>
                <w:b/>
              </w:rPr>
              <w:t>Facteurs d’influence</w:t>
            </w:r>
          </w:p>
        </w:tc>
        <w:tc>
          <w:tcPr>
            <w:tcW w:w="1048" w:type="pct"/>
            <w:shd w:val="clear" w:color="auto" w:fill="92D050"/>
            <w:vAlign w:val="center"/>
          </w:tcPr>
          <w:p w14:paraId="3074F1EB" w14:textId="77777777" w:rsidR="00967ED9" w:rsidRPr="00420C1B" w:rsidRDefault="00967ED9" w:rsidP="00420C1B">
            <w:pPr>
              <w:spacing w:after="0" w:line="240" w:lineRule="auto"/>
              <w:jc w:val="center"/>
              <w:rPr>
                <w:rFonts w:ascii="Times New Roman" w:hAnsi="Times New Roman"/>
              </w:rPr>
            </w:pPr>
            <w:r w:rsidRPr="00420C1B">
              <w:rPr>
                <w:rFonts w:ascii="Times New Roman" w:eastAsia="Arial" w:hAnsi="Times New Roman"/>
                <w:b/>
              </w:rPr>
              <w:t>Impacts</w:t>
            </w:r>
          </w:p>
        </w:tc>
        <w:tc>
          <w:tcPr>
            <w:tcW w:w="938" w:type="pct"/>
            <w:shd w:val="clear" w:color="auto" w:fill="92D050"/>
          </w:tcPr>
          <w:p w14:paraId="11719778" w14:textId="1F697EAB" w:rsidR="00967ED9" w:rsidRPr="00420C1B" w:rsidRDefault="00967ED9" w:rsidP="00420C1B">
            <w:pPr>
              <w:spacing w:after="0"/>
              <w:jc w:val="center"/>
              <w:rPr>
                <w:rFonts w:ascii="Times New Roman" w:hAnsi="Times New Roman"/>
              </w:rPr>
            </w:pPr>
            <w:r w:rsidRPr="00420C1B">
              <w:rPr>
                <w:rFonts w:ascii="Times New Roman" w:eastAsia="Arial" w:hAnsi="Times New Roman"/>
                <w:b/>
              </w:rPr>
              <w:t>Appréciations du risques /</w:t>
            </w:r>
          </w:p>
          <w:p w14:paraId="4DCC9AEE" w14:textId="2D2D1674" w:rsidR="00967ED9" w:rsidRPr="00420C1B" w:rsidRDefault="00967ED9" w:rsidP="00420C1B">
            <w:pPr>
              <w:spacing w:after="0"/>
              <w:ind w:left="50"/>
              <w:jc w:val="center"/>
              <w:rPr>
                <w:rFonts w:ascii="Times New Roman" w:hAnsi="Times New Roman"/>
              </w:rPr>
            </w:pPr>
            <w:r w:rsidRPr="00420C1B">
              <w:rPr>
                <w:rFonts w:ascii="Times New Roman" w:eastAsia="Arial" w:hAnsi="Times New Roman"/>
                <w:b/>
              </w:rPr>
              <w:t>phénomène de</w:t>
            </w:r>
          </w:p>
          <w:p w14:paraId="3D60691D" w14:textId="35C319B0" w:rsidR="00967ED9" w:rsidRPr="00420C1B" w:rsidRDefault="00967ED9" w:rsidP="00420C1B">
            <w:pPr>
              <w:spacing w:after="0" w:line="240" w:lineRule="auto"/>
              <w:jc w:val="center"/>
              <w:rPr>
                <w:rFonts w:ascii="Times New Roman" w:hAnsi="Times New Roman"/>
              </w:rPr>
            </w:pPr>
            <w:r w:rsidRPr="00420C1B">
              <w:rPr>
                <w:rFonts w:ascii="Times New Roman" w:eastAsia="Arial" w:hAnsi="Times New Roman"/>
                <w:b/>
              </w:rPr>
              <w:t>catastrophe</w:t>
            </w:r>
          </w:p>
        </w:tc>
        <w:tc>
          <w:tcPr>
            <w:tcW w:w="1435" w:type="pct"/>
            <w:shd w:val="clear" w:color="auto" w:fill="92D050"/>
            <w:vAlign w:val="center"/>
          </w:tcPr>
          <w:p w14:paraId="36AD5068" w14:textId="77777777" w:rsidR="00967ED9" w:rsidRPr="00420C1B" w:rsidRDefault="00967ED9" w:rsidP="00420C1B">
            <w:pPr>
              <w:spacing w:after="0" w:line="240" w:lineRule="auto"/>
              <w:jc w:val="center"/>
              <w:rPr>
                <w:rFonts w:ascii="Times New Roman" w:hAnsi="Times New Roman"/>
              </w:rPr>
            </w:pPr>
            <w:r w:rsidRPr="00420C1B">
              <w:rPr>
                <w:rFonts w:ascii="Times New Roman" w:eastAsia="Arial" w:hAnsi="Times New Roman"/>
                <w:b/>
              </w:rPr>
              <w:t>Mesures d’atténuation ou Moyen de prévention</w:t>
            </w:r>
          </w:p>
        </w:tc>
      </w:tr>
      <w:tr w:rsidR="002C66D7" w:rsidRPr="00420C1B" w14:paraId="7462AE9B" w14:textId="77777777" w:rsidTr="00420C1B">
        <w:trPr>
          <w:jc w:val="center"/>
        </w:trPr>
        <w:tc>
          <w:tcPr>
            <w:tcW w:w="677" w:type="pct"/>
            <w:shd w:val="clear" w:color="auto" w:fill="auto"/>
          </w:tcPr>
          <w:p w14:paraId="3E7B8F6B" w14:textId="77777777" w:rsidR="00967ED9" w:rsidRPr="00420C1B" w:rsidRDefault="00967ED9" w:rsidP="00420C1B">
            <w:pPr>
              <w:spacing w:after="0" w:line="240" w:lineRule="auto"/>
              <w:jc w:val="both"/>
              <w:rPr>
                <w:rFonts w:ascii="Times New Roman" w:hAnsi="Times New Roman"/>
              </w:rPr>
            </w:pPr>
          </w:p>
          <w:p w14:paraId="2539CD9F" w14:textId="77777777" w:rsidR="00967ED9" w:rsidRPr="00420C1B" w:rsidRDefault="00967ED9" w:rsidP="00420C1B">
            <w:pPr>
              <w:spacing w:after="0" w:line="240" w:lineRule="auto"/>
              <w:jc w:val="both"/>
              <w:rPr>
                <w:rFonts w:ascii="Times New Roman" w:hAnsi="Times New Roman"/>
              </w:rPr>
            </w:pPr>
          </w:p>
          <w:p w14:paraId="359206C2" w14:textId="77777777" w:rsidR="00967ED9" w:rsidRPr="00420C1B" w:rsidRDefault="00967ED9" w:rsidP="00420C1B">
            <w:pPr>
              <w:spacing w:after="0" w:line="240" w:lineRule="auto"/>
              <w:jc w:val="both"/>
              <w:rPr>
                <w:rFonts w:ascii="Times New Roman" w:hAnsi="Times New Roman"/>
              </w:rPr>
            </w:pPr>
          </w:p>
          <w:p w14:paraId="3E1A0A95" w14:textId="77777777" w:rsidR="00967ED9" w:rsidRPr="00420C1B" w:rsidRDefault="00967ED9" w:rsidP="00420C1B">
            <w:pPr>
              <w:spacing w:after="0" w:line="240" w:lineRule="auto"/>
              <w:jc w:val="both"/>
              <w:rPr>
                <w:rFonts w:ascii="Times New Roman" w:hAnsi="Times New Roman"/>
              </w:rPr>
            </w:pPr>
          </w:p>
          <w:p w14:paraId="0814C243" w14:textId="77777777" w:rsidR="00967ED9" w:rsidRPr="00420C1B" w:rsidRDefault="00967ED9" w:rsidP="00420C1B">
            <w:pPr>
              <w:spacing w:after="0" w:line="240" w:lineRule="auto"/>
              <w:jc w:val="both"/>
              <w:rPr>
                <w:rFonts w:ascii="Times New Roman" w:hAnsi="Times New Roman"/>
              </w:rPr>
            </w:pPr>
          </w:p>
          <w:p w14:paraId="1F6D266F" w14:textId="77777777" w:rsidR="00967ED9" w:rsidRPr="00420C1B" w:rsidRDefault="00967ED9" w:rsidP="00420C1B">
            <w:pPr>
              <w:spacing w:after="0" w:line="240" w:lineRule="auto"/>
              <w:jc w:val="both"/>
              <w:rPr>
                <w:rFonts w:ascii="Times New Roman" w:hAnsi="Times New Roman"/>
              </w:rPr>
            </w:pPr>
          </w:p>
          <w:p w14:paraId="39683C9A" w14:textId="77777777" w:rsidR="00967ED9" w:rsidRPr="00420C1B" w:rsidRDefault="00967ED9" w:rsidP="00420C1B">
            <w:pPr>
              <w:spacing w:after="0" w:line="240" w:lineRule="auto"/>
              <w:jc w:val="both"/>
              <w:rPr>
                <w:rFonts w:ascii="Times New Roman" w:hAnsi="Times New Roman"/>
              </w:rPr>
            </w:pPr>
          </w:p>
          <w:p w14:paraId="6EE9B656" w14:textId="77777777" w:rsidR="00967ED9" w:rsidRPr="00420C1B" w:rsidRDefault="00967ED9" w:rsidP="00420C1B">
            <w:pPr>
              <w:spacing w:after="0" w:line="240" w:lineRule="auto"/>
              <w:jc w:val="both"/>
              <w:rPr>
                <w:rFonts w:ascii="Times New Roman" w:hAnsi="Times New Roman"/>
              </w:rPr>
            </w:pPr>
          </w:p>
          <w:p w14:paraId="1704EBA5" w14:textId="77777777" w:rsidR="00967ED9" w:rsidRPr="00420C1B" w:rsidRDefault="00967ED9" w:rsidP="00420C1B">
            <w:pPr>
              <w:spacing w:after="0" w:line="240" w:lineRule="auto"/>
              <w:jc w:val="both"/>
              <w:rPr>
                <w:rFonts w:ascii="Times New Roman" w:hAnsi="Times New Roman"/>
              </w:rPr>
            </w:pPr>
            <w:r w:rsidRPr="00420C1B">
              <w:rPr>
                <w:rFonts w:ascii="Times New Roman" w:hAnsi="Times New Roman"/>
              </w:rPr>
              <w:t>Inondations</w:t>
            </w:r>
          </w:p>
        </w:tc>
        <w:tc>
          <w:tcPr>
            <w:tcW w:w="902" w:type="pct"/>
            <w:shd w:val="clear" w:color="auto" w:fill="auto"/>
          </w:tcPr>
          <w:p w14:paraId="32D0C9B9"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Changement climatique ; </w:t>
            </w:r>
          </w:p>
          <w:p w14:paraId="0ED77B34"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p>
          <w:p w14:paraId="7B9E27D2"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Durées et intensité des pluies ; </w:t>
            </w:r>
          </w:p>
          <w:p w14:paraId="7D6A8A63"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Relief accidenté ; </w:t>
            </w:r>
          </w:p>
          <w:p w14:paraId="7B4BF5C4"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Imperméabilité des sols ;</w:t>
            </w:r>
          </w:p>
          <w:p w14:paraId="2C205F82"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p>
          <w:p w14:paraId="375778CD"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Encombrement des chemins de l’eau ou absence d’assainissement ;</w:t>
            </w:r>
          </w:p>
          <w:p w14:paraId="31C215EF" w14:textId="77777777" w:rsidR="008E317D" w:rsidRPr="00420C1B" w:rsidRDefault="008E317D" w:rsidP="00420C1B">
            <w:pPr>
              <w:numPr>
                <w:ilvl w:val="0"/>
                <w:numId w:val="173"/>
              </w:numPr>
              <w:tabs>
                <w:tab w:val="clear" w:pos="502"/>
                <w:tab w:val="num" w:pos="720"/>
              </w:tabs>
              <w:suppressAutoHyphens/>
              <w:spacing w:after="0" w:line="240" w:lineRule="auto"/>
              <w:ind w:left="248" w:hanging="248"/>
              <w:rPr>
                <w:rFonts w:ascii="Times New Roman" w:hAnsi="Times New Roman"/>
              </w:rPr>
            </w:pPr>
          </w:p>
          <w:p w14:paraId="70FCC914" w14:textId="7FA2A9B2" w:rsidR="008E317D" w:rsidRPr="00420C1B" w:rsidRDefault="008E317D"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Modifications de l’environnement et l’utilisation des terres</w:t>
            </w:r>
          </w:p>
        </w:tc>
        <w:tc>
          <w:tcPr>
            <w:tcW w:w="1048" w:type="pct"/>
            <w:shd w:val="clear" w:color="auto" w:fill="auto"/>
          </w:tcPr>
          <w:p w14:paraId="2CBAEFB7"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Avarie de centrales et postes électriques, chute des poteaux et électrocutions des populations </w:t>
            </w:r>
          </w:p>
          <w:p w14:paraId="1A8B053E"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Destruction des routes, des ponts des habitations et autres infrastructures </w:t>
            </w:r>
          </w:p>
          <w:p w14:paraId="6254D31E"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Destruction de dossiers ou de documents très importants au niveau des services publics ou privés</w:t>
            </w:r>
          </w:p>
          <w:p w14:paraId="6B341D8E" w14:textId="6CF21456"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Dysfonctionnements des services électricité avec des poches noires avec comme corollaires le développement du banditisme</w:t>
            </w:r>
          </w:p>
        </w:tc>
        <w:tc>
          <w:tcPr>
            <w:tcW w:w="938" w:type="pct"/>
            <w:shd w:val="clear" w:color="auto" w:fill="auto"/>
          </w:tcPr>
          <w:p w14:paraId="495ED3DC" w14:textId="77777777" w:rsidR="00967ED9" w:rsidRPr="00420C1B" w:rsidRDefault="00967ED9" w:rsidP="00420C1B">
            <w:pPr>
              <w:spacing w:after="0" w:line="243" w:lineRule="auto"/>
              <w:ind w:left="108" w:right="52"/>
              <w:rPr>
                <w:rFonts w:ascii="Times New Roman" w:eastAsia="Arial" w:hAnsi="Times New Roman"/>
                <w:b/>
              </w:rPr>
            </w:pPr>
          </w:p>
          <w:p w14:paraId="55F281C0" w14:textId="77777777" w:rsidR="00967ED9" w:rsidRPr="00420C1B" w:rsidRDefault="00967ED9" w:rsidP="00420C1B">
            <w:pPr>
              <w:spacing w:after="0" w:line="243" w:lineRule="auto"/>
              <w:ind w:right="52"/>
              <w:rPr>
                <w:rFonts w:ascii="Times New Roman" w:hAnsi="Times New Roman"/>
              </w:rPr>
            </w:pPr>
            <w:r w:rsidRPr="00420C1B">
              <w:rPr>
                <w:rFonts w:ascii="Times New Roman" w:eastAsia="Arial" w:hAnsi="Times New Roman"/>
                <w:b/>
              </w:rPr>
              <w:t xml:space="preserve">Gravité : Elevé </w:t>
            </w:r>
            <w:r w:rsidRPr="00420C1B">
              <w:rPr>
                <w:rFonts w:ascii="Times New Roman" w:hAnsi="Times New Roman"/>
              </w:rPr>
              <w:t>car les inondations sont très</w:t>
            </w:r>
            <w:r w:rsidRPr="00420C1B">
              <w:rPr>
                <w:rFonts w:ascii="Times New Roman" w:eastAsia="Arial" w:hAnsi="Times New Roman"/>
                <w:b/>
              </w:rPr>
              <w:t xml:space="preserve"> </w:t>
            </w:r>
            <w:r w:rsidRPr="00420C1B">
              <w:rPr>
                <w:rFonts w:ascii="Times New Roman" w:hAnsi="Times New Roman"/>
              </w:rPr>
              <w:t xml:space="preserve">régulières dans la zone du projet et depuis une dizaine </w:t>
            </w:r>
            <w:r w:rsidRPr="00420C1B">
              <w:rPr>
                <w:rFonts w:ascii="Times New Roman" w:eastAsia="Arial" w:hAnsi="Times New Roman"/>
              </w:rPr>
              <w:t xml:space="preserve">d’année leurs effets sont plus </w:t>
            </w:r>
            <w:r w:rsidRPr="00420C1B">
              <w:rPr>
                <w:rFonts w:ascii="Times New Roman" w:hAnsi="Times New Roman"/>
              </w:rPr>
              <w:t xml:space="preserve">dévastateurs </w:t>
            </w:r>
          </w:p>
          <w:p w14:paraId="536892FE" w14:textId="77777777" w:rsidR="00967ED9" w:rsidRPr="00420C1B" w:rsidRDefault="00967ED9" w:rsidP="00420C1B">
            <w:pPr>
              <w:spacing w:after="0" w:line="243" w:lineRule="auto"/>
              <w:ind w:right="52"/>
              <w:rPr>
                <w:rFonts w:ascii="Times New Roman" w:hAnsi="Times New Roman"/>
              </w:rPr>
            </w:pPr>
          </w:p>
          <w:p w14:paraId="6DDBF7DB" w14:textId="77777777" w:rsidR="00967ED9" w:rsidRPr="00420C1B" w:rsidRDefault="00967ED9" w:rsidP="00420C1B">
            <w:pPr>
              <w:spacing w:after="0" w:line="243" w:lineRule="auto"/>
              <w:ind w:right="52"/>
              <w:rPr>
                <w:rFonts w:ascii="Times New Roman" w:hAnsi="Times New Roman"/>
              </w:rPr>
            </w:pPr>
            <w:r w:rsidRPr="00420C1B">
              <w:rPr>
                <w:rFonts w:ascii="Times New Roman" w:eastAsia="Arial" w:hAnsi="Times New Roman"/>
                <w:b/>
              </w:rPr>
              <w:t>Probabilité d’occurrence :</w:t>
            </w:r>
            <w:r w:rsidRPr="00420C1B">
              <w:rPr>
                <w:rFonts w:ascii="Times New Roman" w:hAnsi="Times New Roman"/>
              </w:rPr>
              <w:t xml:space="preserve"> certaine </w:t>
            </w:r>
          </w:p>
          <w:p w14:paraId="2AC087BE" w14:textId="77777777" w:rsidR="00967ED9" w:rsidRPr="00420C1B" w:rsidRDefault="00967ED9" w:rsidP="00420C1B">
            <w:pPr>
              <w:spacing w:after="0" w:line="243" w:lineRule="auto"/>
              <w:ind w:right="52"/>
              <w:rPr>
                <w:rFonts w:ascii="Times New Roman" w:hAnsi="Times New Roman"/>
              </w:rPr>
            </w:pPr>
            <w:r w:rsidRPr="00420C1B">
              <w:rPr>
                <w:rFonts w:ascii="Times New Roman" w:eastAsia="Arial" w:hAnsi="Times New Roman"/>
                <w:b/>
              </w:rPr>
              <w:t>Etendue :</w:t>
            </w:r>
            <w:r w:rsidRPr="00420C1B">
              <w:rPr>
                <w:rFonts w:ascii="Times New Roman" w:hAnsi="Times New Roman"/>
              </w:rPr>
              <w:t xml:space="preserve"> toute la zone du projet</w:t>
            </w:r>
          </w:p>
        </w:tc>
        <w:tc>
          <w:tcPr>
            <w:tcW w:w="1435" w:type="pct"/>
            <w:shd w:val="clear" w:color="auto" w:fill="auto"/>
          </w:tcPr>
          <w:p w14:paraId="37244F2D"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Evacuer les personnes des sites marécageux pour un lieu sécurisé ;</w:t>
            </w:r>
          </w:p>
          <w:p w14:paraId="65A855D2"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Déclarer zones non habitables les zones régulièrement inondées, sensibiliser les populations, élaborer un plan d’urgence en rapport avec la Protection Civile ;</w:t>
            </w:r>
          </w:p>
          <w:p w14:paraId="15C3F6CE"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Organiser des exercices de simulation grandeur nature avec les Sapeurs-Pompiers ;</w:t>
            </w:r>
          </w:p>
          <w:p w14:paraId="19DFECF1" w14:textId="77777777" w:rsidR="00967ED9" w:rsidRPr="00420C1B" w:rsidRDefault="00967ED9"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Prendre des mesures techniques de protection des infrastructures existantes ;</w:t>
            </w:r>
          </w:p>
          <w:p w14:paraId="1862399C" w14:textId="77777777" w:rsidR="002334A7" w:rsidRPr="00420C1B" w:rsidRDefault="00967ED9"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 xml:space="preserve"> Prendre des mesures prévisionnelles dans l’installation des nouveaux ouvrages et équipements dans la zone du Projet.</w:t>
            </w:r>
          </w:p>
          <w:p w14:paraId="4DF10593" w14:textId="4B90EB58" w:rsidR="00763A05" w:rsidRPr="00420C1B" w:rsidRDefault="00763A05"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Identifier les systèmes d’alerte précoce (SAP) qui pourrait exister dans la zone du projet</w:t>
            </w:r>
            <w:r w:rsidR="0064099A" w:rsidRPr="00420C1B">
              <w:rPr>
                <w:rFonts w:ascii="Times New Roman" w:hAnsi="Times New Roman"/>
              </w:rPr>
              <w:t> ;</w:t>
            </w:r>
          </w:p>
          <w:p w14:paraId="1A5E1165" w14:textId="7C131E56" w:rsidR="0064099A" w:rsidRPr="00420C1B" w:rsidRDefault="00D01F9B"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 xml:space="preserve">Tenir compte </w:t>
            </w:r>
            <w:r w:rsidR="005B3590" w:rsidRPr="00420C1B">
              <w:rPr>
                <w:rFonts w:ascii="Times New Roman" w:hAnsi="Times New Roman"/>
              </w:rPr>
              <w:t xml:space="preserve">du risque d’inondation dans la planification </w:t>
            </w:r>
            <w:r w:rsidR="009E45F8" w:rsidRPr="00420C1B">
              <w:rPr>
                <w:rFonts w:ascii="Times New Roman" w:hAnsi="Times New Roman"/>
              </w:rPr>
              <w:t>du projet</w:t>
            </w:r>
            <w:r w:rsidR="0064099A" w:rsidRPr="00420C1B">
              <w:rPr>
                <w:rFonts w:ascii="Times New Roman" w:hAnsi="Times New Roman"/>
              </w:rPr>
              <w:t> ;</w:t>
            </w:r>
          </w:p>
          <w:p w14:paraId="1EEFEFDE" w14:textId="5B852FF0" w:rsidR="0064099A" w:rsidRPr="00420C1B" w:rsidRDefault="0064099A"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Élaborez des procédures qui déterminent les actions à mener en cas d’alerte. Selon le degré de sophistication du système, il peut s’avérer nécessaire de définir un ensemble de protocoles pour déterminer les interventions en fonction des différents niveaux d’alerte ;</w:t>
            </w:r>
            <w:r w:rsidR="009E123F" w:rsidRPr="00420C1B">
              <w:rPr>
                <w:rFonts w:ascii="Times New Roman" w:hAnsi="Times New Roman"/>
              </w:rPr>
              <w:t xml:space="preserve"> </w:t>
            </w:r>
          </w:p>
          <w:p w14:paraId="3E91A48E" w14:textId="5EA69359" w:rsidR="00763A05" w:rsidRPr="00420C1B" w:rsidRDefault="0064099A"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Veillez à ce que le personnel sache qu’il existe un système d’alerte précoce, soit informé du temps dont il dispose pour réagir en cas d’alerte, et connaisse les procédures.</w:t>
            </w:r>
            <w:r w:rsidR="009E123F" w:rsidRPr="00420C1B">
              <w:rPr>
                <w:rFonts w:ascii="Times New Roman" w:hAnsi="Times New Roman"/>
              </w:rPr>
              <w:t xml:space="preserve">     </w:t>
            </w:r>
          </w:p>
        </w:tc>
      </w:tr>
      <w:tr w:rsidR="002C66D7" w:rsidRPr="00420C1B" w14:paraId="7C3C7250" w14:textId="77777777" w:rsidTr="00420C1B">
        <w:trPr>
          <w:trHeight w:val="3412"/>
          <w:jc w:val="center"/>
        </w:trPr>
        <w:tc>
          <w:tcPr>
            <w:tcW w:w="677" w:type="pct"/>
            <w:shd w:val="clear" w:color="auto" w:fill="auto"/>
          </w:tcPr>
          <w:p w14:paraId="08D1540B" w14:textId="326FAC40" w:rsidR="00967ED9" w:rsidRPr="00420C1B" w:rsidRDefault="00967ED9" w:rsidP="00420C1B">
            <w:pPr>
              <w:shd w:val="clear" w:color="auto" w:fill="FFFFFF"/>
              <w:spacing w:before="100" w:beforeAutospacing="1" w:after="100" w:afterAutospacing="1" w:line="240" w:lineRule="auto"/>
              <w:rPr>
                <w:rFonts w:ascii="Times New Roman" w:eastAsia="Times New Roman" w:hAnsi="Times New Roman"/>
                <w:color w:val="333333"/>
              </w:rPr>
            </w:pPr>
          </w:p>
          <w:p w14:paraId="32914C26" w14:textId="7A88ACAC" w:rsidR="00967ED9" w:rsidRPr="00420C1B" w:rsidRDefault="00991CCF" w:rsidP="00420C1B">
            <w:pPr>
              <w:shd w:val="clear" w:color="auto" w:fill="FFFFFF"/>
              <w:spacing w:before="100" w:beforeAutospacing="1" w:after="100" w:afterAutospacing="1" w:line="240" w:lineRule="auto"/>
              <w:rPr>
                <w:rFonts w:ascii="Times New Roman" w:hAnsi="Times New Roman"/>
              </w:rPr>
            </w:pPr>
            <w:r w:rsidRPr="00420C1B">
              <w:rPr>
                <w:rFonts w:ascii="Times New Roman" w:eastAsia="Times New Roman" w:hAnsi="Times New Roman"/>
                <w:color w:val="333333"/>
              </w:rPr>
              <w:t xml:space="preserve">fortes chaleurs </w:t>
            </w:r>
          </w:p>
        </w:tc>
        <w:tc>
          <w:tcPr>
            <w:tcW w:w="902" w:type="pct"/>
            <w:shd w:val="clear" w:color="auto" w:fill="auto"/>
          </w:tcPr>
          <w:p w14:paraId="5E027EA1" w14:textId="6855386B" w:rsidR="00967ED9" w:rsidRPr="00420C1B" w:rsidRDefault="00967ED9" w:rsidP="00420C1B">
            <w:pPr>
              <w:spacing w:after="0" w:line="241" w:lineRule="auto"/>
              <w:ind w:left="19"/>
              <w:rPr>
                <w:rFonts w:ascii="Times New Roman" w:hAnsi="Times New Roman"/>
              </w:rPr>
            </w:pPr>
            <w:r w:rsidRPr="00420C1B">
              <w:rPr>
                <w:rFonts w:ascii="Times New Roman" w:hAnsi="Times New Roman"/>
              </w:rPr>
              <w:t xml:space="preserve">Variation des conditions météorologiques et climatiques </w:t>
            </w:r>
          </w:p>
        </w:tc>
        <w:tc>
          <w:tcPr>
            <w:tcW w:w="1048" w:type="pct"/>
            <w:shd w:val="clear" w:color="auto" w:fill="auto"/>
          </w:tcPr>
          <w:p w14:paraId="4C66A08F" w14:textId="3A773C16" w:rsidR="00967ED9" w:rsidRPr="00420C1B" w:rsidRDefault="00057AA9" w:rsidP="00420C1B">
            <w:pPr>
              <w:shd w:val="clear" w:color="auto" w:fill="FFFFFF"/>
              <w:spacing w:before="100" w:beforeAutospacing="1" w:after="100" w:afterAutospacing="1" w:line="240" w:lineRule="auto"/>
              <w:rPr>
                <w:rFonts w:ascii="Times New Roman" w:hAnsi="Times New Roman"/>
              </w:rPr>
            </w:pPr>
            <w:r w:rsidRPr="00420C1B">
              <w:rPr>
                <w:rFonts w:ascii="Times New Roman" w:eastAsia="Arial" w:hAnsi="Times New Roman"/>
              </w:rPr>
              <w:t>La forte chaleur provoque fatigue et baisse de la vigilance. Elle peut causer des maux de tête, nausées, vertiges, crampes, tachycardie et des malaises liés à la déshydratation. Le coup de chaleur (lorsque la température corporelle dépasse les 40,6 °C) est une urgence vitale. Les symptômes vont de la fatigue et des anomalies du comportement aux nausées et vomissements.</w:t>
            </w:r>
          </w:p>
        </w:tc>
        <w:tc>
          <w:tcPr>
            <w:tcW w:w="938" w:type="pct"/>
            <w:shd w:val="clear" w:color="auto" w:fill="auto"/>
          </w:tcPr>
          <w:p w14:paraId="182A6DC9" w14:textId="0B48EBB1" w:rsidR="00967ED9" w:rsidRPr="00420C1B" w:rsidRDefault="00967ED9" w:rsidP="00420C1B">
            <w:pPr>
              <w:spacing w:after="0" w:line="241" w:lineRule="auto"/>
              <w:rPr>
                <w:rFonts w:ascii="Times New Roman" w:hAnsi="Times New Roman"/>
              </w:rPr>
            </w:pPr>
            <w:r w:rsidRPr="00420C1B">
              <w:rPr>
                <w:rFonts w:ascii="Times New Roman" w:eastAsia="Arial" w:hAnsi="Times New Roman"/>
                <w:b/>
              </w:rPr>
              <w:t xml:space="preserve">Gravité : </w:t>
            </w:r>
            <w:r w:rsidR="00C47538" w:rsidRPr="00420C1B">
              <w:rPr>
                <w:rFonts w:ascii="Times New Roman" w:eastAsia="Arial" w:hAnsi="Times New Roman"/>
                <w:b/>
              </w:rPr>
              <w:t>Modéré</w:t>
            </w:r>
            <w:r w:rsidRPr="00420C1B">
              <w:rPr>
                <w:rFonts w:ascii="Times New Roman" w:hAnsi="Times New Roman"/>
              </w:rPr>
              <w:t xml:space="preserve">, car régulier et soumis aux aléas climatiques  </w:t>
            </w:r>
          </w:p>
          <w:p w14:paraId="2EC2832D" w14:textId="77777777" w:rsidR="00967ED9" w:rsidRPr="00420C1B" w:rsidRDefault="00967ED9" w:rsidP="00420C1B">
            <w:pPr>
              <w:spacing w:after="143"/>
              <w:ind w:left="108"/>
              <w:rPr>
                <w:rFonts w:ascii="Times New Roman" w:hAnsi="Times New Roman"/>
              </w:rPr>
            </w:pPr>
            <w:r w:rsidRPr="00420C1B">
              <w:rPr>
                <w:rFonts w:ascii="Times New Roman" w:hAnsi="Times New Roman"/>
              </w:rPr>
              <w:t xml:space="preserve"> </w:t>
            </w:r>
          </w:p>
          <w:p w14:paraId="772F0FF0" w14:textId="77777777" w:rsidR="00967ED9" w:rsidRPr="00420C1B" w:rsidRDefault="00967ED9" w:rsidP="00420C1B">
            <w:pPr>
              <w:spacing w:after="0" w:line="247" w:lineRule="auto"/>
              <w:rPr>
                <w:rFonts w:ascii="Times New Roman" w:hAnsi="Times New Roman"/>
              </w:rPr>
            </w:pPr>
            <w:r w:rsidRPr="00420C1B">
              <w:rPr>
                <w:rFonts w:ascii="Times New Roman" w:eastAsia="Arial" w:hAnsi="Times New Roman"/>
                <w:b/>
              </w:rPr>
              <w:t>Probabilité d’occurrence :</w:t>
            </w:r>
            <w:r w:rsidRPr="00420C1B">
              <w:rPr>
                <w:rFonts w:ascii="Times New Roman" w:hAnsi="Times New Roman"/>
              </w:rPr>
              <w:t xml:space="preserve"> certaine </w:t>
            </w:r>
          </w:p>
          <w:p w14:paraId="63836C09" w14:textId="078694A9" w:rsidR="00967ED9" w:rsidRPr="00420C1B" w:rsidRDefault="00967ED9" w:rsidP="00420C1B">
            <w:pPr>
              <w:spacing w:after="0" w:line="240" w:lineRule="auto"/>
              <w:jc w:val="both"/>
              <w:rPr>
                <w:rFonts w:ascii="Times New Roman" w:hAnsi="Times New Roman"/>
              </w:rPr>
            </w:pPr>
            <w:r w:rsidRPr="00420C1B">
              <w:rPr>
                <w:rFonts w:ascii="Times New Roman" w:eastAsia="Arial" w:hAnsi="Times New Roman"/>
                <w:b/>
              </w:rPr>
              <w:t>Etendue :</w:t>
            </w:r>
            <w:r w:rsidRPr="00420C1B">
              <w:rPr>
                <w:rFonts w:ascii="Times New Roman" w:hAnsi="Times New Roman"/>
              </w:rPr>
              <w:t xml:space="preserve"> toute la zone du projet</w:t>
            </w:r>
          </w:p>
        </w:tc>
        <w:tc>
          <w:tcPr>
            <w:tcW w:w="1435" w:type="pct"/>
            <w:shd w:val="clear" w:color="auto" w:fill="auto"/>
          </w:tcPr>
          <w:p w14:paraId="0A1DBDE9" w14:textId="5101C314" w:rsidR="00967ED9" w:rsidRPr="00420C1B" w:rsidRDefault="008C19A5"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Adapter les méthodes de travail pour réduire le risque d’exposition des travailleurs ;</w:t>
            </w:r>
          </w:p>
          <w:p w14:paraId="500B646D" w14:textId="4BA5AC22" w:rsidR="004C1E0B" w:rsidRPr="00420C1B" w:rsidRDefault="004C1E0B"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Evaluer la vulnérabilité de votre projet à la chaleur extrême et à déterminer s’il faut envisager une évaluation plus détaillée et/ou une intervention ;</w:t>
            </w:r>
          </w:p>
          <w:p w14:paraId="688A33D3" w14:textId="7EFA4B42" w:rsidR="00C47538" w:rsidRPr="00420C1B" w:rsidRDefault="00C47538"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Se renseignez-vous sur la disponibilité de cartes thermiques locales tenant notamment compte du phénomène des îlots de chaleur ;</w:t>
            </w:r>
          </w:p>
          <w:p w14:paraId="7284E221" w14:textId="7E8B5634" w:rsidR="006A2C55" w:rsidRPr="00420C1B" w:rsidRDefault="006A2C55"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Recourir à un indicateur fondé sur le concept des degrés-jours de réfrigération ;</w:t>
            </w:r>
          </w:p>
          <w:p w14:paraId="0DE6104D" w14:textId="77777777" w:rsidR="00243AC1" w:rsidRPr="00420C1B" w:rsidRDefault="00243AC1"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Evaluer la vulnérabilité du projet à la chaleur extrême et déterminer s’il faut envisager une évaluation plus détaillée</w:t>
            </w:r>
          </w:p>
          <w:p w14:paraId="73897AE4" w14:textId="77777777" w:rsidR="00967ED9" w:rsidRPr="00420C1B" w:rsidRDefault="00967ED9" w:rsidP="00420C1B">
            <w:pPr>
              <w:numPr>
                <w:ilvl w:val="0"/>
                <w:numId w:val="173"/>
              </w:numPr>
              <w:tabs>
                <w:tab w:val="clear" w:pos="502"/>
                <w:tab w:val="num" w:pos="720"/>
              </w:tabs>
              <w:suppressAutoHyphens/>
              <w:spacing w:after="0" w:line="240" w:lineRule="auto"/>
              <w:ind w:left="248" w:hanging="248"/>
              <w:jc w:val="both"/>
              <w:rPr>
                <w:rFonts w:ascii="Times New Roman" w:hAnsi="Times New Roman"/>
              </w:rPr>
            </w:pPr>
            <w:r w:rsidRPr="00420C1B">
              <w:rPr>
                <w:rFonts w:ascii="Times New Roman" w:hAnsi="Times New Roman"/>
              </w:rPr>
              <w:t>Rendre performantes, les mesures et les prévisions météorologiques, diffuser les prévisions.</w:t>
            </w:r>
          </w:p>
        </w:tc>
      </w:tr>
      <w:tr w:rsidR="002C66D7" w:rsidRPr="00420C1B" w14:paraId="76E00DA6" w14:textId="77777777" w:rsidTr="00420C1B">
        <w:trPr>
          <w:trHeight w:val="822"/>
          <w:jc w:val="center"/>
        </w:trPr>
        <w:tc>
          <w:tcPr>
            <w:tcW w:w="677" w:type="pct"/>
            <w:shd w:val="clear" w:color="auto" w:fill="auto"/>
          </w:tcPr>
          <w:p w14:paraId="7302EFF3" w14:textId="77777777" w:rsidR="00967ED9" w:rsidRPr="00420C1B" w:rsidRDefault="00967ED9" w:rsidP="00420C1B">
            <w:pPr>
              <w:spacing w:after="0" w:line="240" w:lineRule="auto"/>
              <w:jc w:val="both"/>
              <w:rPr>
                <w:rFonts w:ascii="Times New Roman" w:hAnsi="Times New Roman"/>
              </w:rPr>
            </w:pPr>
          </w:p>
          <w:p w14:paraId="52BC34B6" w14:textId="77777777" w:rsidR="00967ED9" w:rsidRPr="00420C1B" w:rsidRDefault="00967ED9" w:rsidP="00420C1B">
            <w:pPr>
              <w:spacing w:after="0" w:line="240" w:lineRule="auto"/>
              <w:jc w:val="both"/>
              <w:rPr>
                <w:rFonts w:ascii="Times New Roman" w:hAnsi="Times New Roman"/>
              </w:rPr>
            </w:pPr>
          </w:p>
          <w:p w14:paraId="193F18A4" w14:textId="77777777" w:rsidR="00967ED9" w:rsidRPr="00420C1B" w:rsidRDefault="00967ED9" w:rsidP="00420C1B">
            <w:pPr>
              <w:spacing w:after="0" w:line="240" w:lineRule="auto"/>
              <w:jc w:val="both"/>
              <w:rPr>
                <w:rFonts w:ascii="Times New Roman" w:hAnsi="Times New Roman"/>
              </w:rPr>
            </w:pPr>
          </w:p>
          <w:p w14:paraId="24A0FBFC" w14:textId="77777777" w:rsidR="00967ED9" w:rsidRPr="00420C1B" w:rsidRDefault="00967ED9" w:rsidP="00420C1B">
            <w:pPr>
              <w:spacing w:after="0" w:line="240" w:lineRule="auto"/>
              <w:jc w:val="both"/>
              <w:rPr>
                <w:rFonts w:ascii="Times New Roman" w:hAnsi="Times New Roman"/>
              </w:rPr>
            </w:pPr>
          </w:p>
          <w:p w14:paraId="4EEFB30F" w14:textId="77777777" w:rsidR="00967ED9" w:rsidRPr="00420C1B" w:rsidRDefault="00967ED9" w:rsidP="00420C1B">
            <w:pPr>
              <w:spacing w:after="0" w:line="240" w:lineRule="auto"/>
              <w:jc w:val="both"/>
              <w:rPr>
                <w:rFonts w:ascii="Times New Roman" w:hAnsi="Times New Roman"/>
              </w:rPr>
            </w:pPr>
            <w:r w:rsidRPr="00420C1B">
              <w:rPr>
                <w:rFonts w:ascii="Times New Roman" w:hAnsi="Times New Roman"/>
              </w:rPr>
              <w:t>Pandémie COVID et autres pandémie</w:t>
            </w:r>
          </w:p>
        </w:tc>
        <w:tc>
          <w:tcPr>
            <w:tcW w:w="902" w:type="pct"/>
            <w:shd w:val="clear" w:color="auto" w:fill="auto"/>
          </w:tcPr>
          <w:p w14:paraId="5CB52F59" w14:textId="77777777" w:rsidR="00967ED9" w:rsidRPr="00420C1B" w:rsidRDefault="00967ED9" w:rsidP="00420C1B">
            <w:pPr>
              <w:spacing w:after="41" w:line="240" w:lineRule="auto"/>
              <w:jc w:val="both"/>
              <w:rPr>
                <w:rFonts w:ascii="Times New Roman" w:hAnsi="Times New Roman"/>
              </w:rPr>
            </w:pPr>
            <w:r w:rsidRPr="00420C1B">
              <w:rPr>
                <w:rFonts w:ascii="Times New Roman" w:hAnsi="Times New Roman"/>
              </w:rPr>
              <w:t xml:space="preserve">Afflux des travailleurs en </w:t>
            </w:r>
            <w:r w:rsidRPr="00420C1B">
              <w:rPr>
                <w:rFonts w:ascii="Times New Roman" w:eastAsia="Arial" w:hAnsi="Times New Roman"/>
              </w:rPr>
              <w:t>quête d’emplois</w:t>
            </w:r>
            <w:r w:rsidRPr="00420C1B">
              <w:rPr>
                <w:rFonts w:ascii="Times New Roman" w:hAnsi="Times New Roman"/>
              </w:rPr>
              <w:t xml:space="preserve"> </w:t>
            </w:r>
          </w:p>
          <w:p w14:paraId="2DE64E90" w14:textId="77777777" w:rsidR="00967ED9" w:rsidRPr="00420C1B" w:rsidRDefault="00967ED9" w:rsidP="00420C1B">
            <w:pPr>
              <w:spacing w:after="44" w:line="238" w:lineRule="auto"/>
              <w:jc w:val="both"/>
              <w:rPr>
                <w:rFonts w:ascii="Times New Roman" w:hAnsi="Times New Roman"/>
              </w:rPr>
            </w:pPr>
          </w:p>
          <w:p w14:paraId="7760ACFF" w14:textId="77777777" w:rsidR="00967ED9" w:rsidRPr="00420C1B" w:rsidRDefault="00967ED9" w:rsidP="00420C1B">
            <w:pPr>
              <w:spacing w:after="44" w:line="238" w:lineRule="auto"/>
              <w:jc w:val="both"/>
              <w:rPr>
                <w:rFonts w:ascii="Times New Roman" w:hAnsi="Times New Roman"/>
              </w:rPr>
            </w:pPr>
            <w:r w:rsidRPr="00420C1B">
              <w:rPr>
                <w:rFonts w:ascii="Times New Roman" w:hAnsi="Times New Roman"/>
              </w:rPr>
              <w:t xml:space="preserve">Déplacement des personnes contaminées  </w:t>
            </w:r>
          </w:p>
          <w:p w14:paraId="52D9A5CD" w14:textId="77777777" w:rsidR="00967ED9" w:rsidRPr="00420C1B" w:rsidRDefault="00967ED9" w:rsidP="00420C1B">
            <w:pPr>
              <w:spacing w:after="0" w:line="240" w:lineRule="auto"/>
              <w:jc w:val="both"/>
              <w:rPr>
                <w:rFonts w:ascii="Times New Roman" w:hAnsi="Times New Roman"/>
              </w:rPr>
            </w:pPr>
            <w:r w:rsidRPr="00420C1B">
              <w:rPr>
                <w:rFonts w:ascii="Times New Roman" w:hAnsi="Times New Roman"/>
              </w:rPr>
              <w:t>Mobilisation des parties prenantes</w:t>
            </w:r>
          </w:p>
        </w:tc>
        <w:tc>
          <w:tcPr>
            <w:tcW w:w="1048" w:type="pct"/>
            <w:shd w:val="clear" w:color="auto" w:fill="auto"/>
          </w:tcPr>
          <w:p w14:paraId="02BA8A5C" w14:textId="77777777" w:rsidR="00967ED9" w:rsidRPr="00420C1B" w:rsidRDefault="00967ED9" w:rsidP="00420C1B">
            <w:pPr>
              <w:spacing w:after="0" w:line="240" w:lineRule="auto"/>
              <w:jc w:val="both"/>
              <w:rPr>
                <w:rFonts w:ascii="Times New Roman" w:hAnsi="Times New Roman"/>
              </w:rPr>
            </w:pPr>
          </w:p>
          <w:p w14:paraId="495A9994"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Maladies et décès</w:t>
            </w:r>
          </w:p>
          <w:p w14:paraId="4B5DD63A"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Réduction des activités socio-économiques ;</w:t>
            </w:r>
          </w:p>
          <w:p w14:paraId="196D97D4" w14:textId="2480D4DF" w:rsidR="00967ED9" w:rsidRPr="00420C1B" w:rsidRDefault="00967ED9" w:rsidP="00420C1B">
            <w:pPr>
              <w:shd w:val="clear" w:color="auto" w:fill="FFFFFF"/>
              <w:spacing w:before="100" w:beforeAutospacing="1" w:after="100" w:afterAutospacing="1" w:line="240" w:lineRule="auto"/>
              <w:rPr>
                <w:rFonts w:ascii="Times New Roman" w:hAnsi="Times New Roman"/>
              </w:rPr>
            </w:pPr>
            <w:r w:rsidRPr="00420C1B">
              <w:rPr>
                <w:rFonts w:ascii="Times New Roman" w:hAnsi="Times New Roman"/>
              </w:rPr>
              <w:t>Baisse de la croissance économique, réduction du PIB </w:t>
            </w:r>
          </w:p>
        </w:tc>
        <w:tc>
          <w:tcPr>
            <w:tcW w:w="938" w:type="pct"/>
            <w:shd w:val="clear" w:color="auto" w:fill="auto"/>
          </w:tcPr>
          <w:p w14:paraId="1C666806" w14:textId="77777777" w:rsidR="00967ED9" w:rsidRPr="00420C1B" w:rsidRDefault="00967ED9" w:rsidP="00420C1B">
            <w:pPr>
              <w:spacing w:after="22" w:line="239" w:lineRule="auto"/>
              <w:ind w:right="53"/>
              <w:rPr>
                <w:rFonts w:ascii="Times New Roman" w:hAnsi="Times New Roman"/>
              </w:rPr>
            </w:pPr>
            <w:r w:rsidRPr="00420C1B">
              <w:rPr>
                <w:rFonts w:ascii="Times New Roman" w:eastAsia="Arial" w:hAnsi="Times New Roman"/>
                <w:b/>
              </w:rPr>
              <w:t xml:space="preserve">Gravité : élevé - </w:t>
            </w:r>
            <w:r w:rsidRPr="00420C1B">
              <w:rPr>
                <w:rFonts w:ascii="Times New Roman" w:hAnsi="Times New Roman"/>
              </w:rPr>
              <w:t xml:space="preserve">cette pandémie </w:t>
            </w:r>
            <w:r w:rsidRPr="00420C1B">
              <w:rPr>
                <w:rFonts w:ascii="Times New Roman" w:eastAsia="Arial" w:hAnsi="Times New Roman"/>
              </w:rPr>
              <w:t>est à l’origine d’innombrables</w:t>
            </w:r>
            <w:r w:rsidRPr="00420C1B">
              <w:rPr>
                <w:rFonts w:ascii="Times New Roman" w:eastAsia="Arial" w:hAnsi="Times New Roman"/>
                <w:b/>
              </w:rPr>
              <w:t xml:space="preserve"> </w:t>
            </w:r>
            <w:r w:rsidRPr="00420C1B">
              <w:rPr>
                <w:rFonts w:ascii="Times New Roman" w:hAnsi="Times New Roman"/>
              </w:rPr>
              <w:t xml:space="preserve">décès </w:t>
            </w:r>
            <w:r w:rsidRPr="00420C1B">
              <w:rPr>
                <w:rFonts w:ascii="Times New Roman" w:eastAsia="Arial" w:hAnsi="Times New Roman"/>
              </w:rPr>
              <w:t>dans la zone du projet</w:t>
            </w:r>
            <w:r w:rsidRPr="00420C1B">
              <w:rPr>
                <w:rFonts w:ascii="Times New Roman" w:hAnsi="Times New Roman"/>
              </w:rPr>
              <w:t xml:space="preserve"> </w:t>
            </w:r>
          </w:p>
          <w:p w14:paraId="1FB17703" w14:textId="77777777" w:rsidR="00967ED9" w:rsidRPr="00420C1B" w:rsidRDefault="00967ED9" w:rsidP="00420C1B">
            <w:pPr>
              <w:spacing w:after="0" w:line="247" w:lineRule="auto"/>
              <w:rPr>
                <w:rFonts w:ascii="Times New Roman" w:hAnsi="Times New Roman"/>
              </w:rPr>
            </w:pPr>
            <w:r w:rsidRPr="00420C1B">
              <w:rPr>
                <w:rFonts w:ascii="Times New Roman" w:eastAsia="Arial" w:hAnsi="Times New Roman"/>
                <w:b/>
              </w:rPr>
              <w:t>Probabilité d’occurrence</w:t>
            </w:r>
            <w:r w:rsidRPr="00420C1B">
              <w:rPr>
                <w:rFonts w:ascii="Times New Roman" w:hAnsi="Times New Roman"/>
              </w:rPr>
              <w:t xml:space="preserve"> : certaine </w:t>
            </w:r>
          </w:p>
          <w:p w14:paraId="762F76D8" w14:textId="77777777" w:rsidR="00967ED9" w:rsidRPr="00420C1B" w:rsidRDefault="00967ED9" w:rsidP="00420C1B">
            <w:pPr>
              <w:spacing w:after="0" w:line="240" w:lineRule="auto"/>
              <w:jc w:val="both"/>
              <w:rPr>
                <w:rFonts w:ascii="Times New Roman" w:hAnsi="Times New Roman"/>
              </w:rPr>
            </w:pPr>
            <w:r w:rsidRPr="00420C1B">
              <w:rPr>
                <w:rFonts w:ascii="Times New Roman" w:eastAsia="Arial" w:hAnsi="Times New Roman"/>
                <w:b/>
              </w:rPr>
              <w:t>Etendue :</w:t>
            </w:r>
            <w:r w:rsidRPr="00420C1B">
              <w:rPr>
                <w:rFonts w:ascii="Times New Roman" w:hAnsi="Times New Roman"/>
              </w:rPr>
              <w:t xml:space="preserve"> zones du projet</w:t>
            </w:r>
            <w:r w:rsidRPr="00420C1B">
              <w:rPr>
                <w:rFonts w:ascii="Times New Roman" w:eastAsia="Arial" w:hAnsi="Times New Roman"/>
                <w:b/>
              </w:rPr>
              <w:t xml:space="preserve"> </w:t>
            </w:r>
          </w:p>
        </w:tc>
        <w:tc>
          <w:tcPr>
            <w:tcW w:w="1435" w:type="pct"/>
            <w:shd w:val="clear" w:color="auto" w:fill="auto"/>
          </w:tcPr>
          <w:p w14:paraId="15EF249F" w14:textId="7D732961"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Organiser </w:t>
            </w:r>
            <w:r w:rsidRPr="00420C1B">
              <w:rPr>
                <w:rFonts w:ascii="Times New Roman" w:hAnsi="Times New Roman"/>
              </w:rPr>
              <w:tab/>
              <w:t xml:space="preserve">des </w:t>
            </w:r>
            <w:r w:rsidRPr="00420C1B">
              <w:rPr>
                <w:rFonts w:ascii="Times New Roman" w:hAnsi="Times New Roman"/>
              </w:rPr>
              <w:tab/>
              <w:t xml:space="preserve">séances de sensibilisations </w:t>
            </w:r>
          </w:p>
          <w:p w14:paraId="125CADD3"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Mettre à la disposition du personnel et des visiteurs des équipements de prévention  </w:t>
            </w:r>
          </w:p>
          <w:p w14:paraId="088524C3" w14:textId="77777777" w:rsidR="00967ED9" w:rsidRPr="00420C1B" w:rsidRDefault="00967ED9" w:rsidP="00420C1B">
            <w:pPr>
              <w:numPr>
                <w:ilvl w:val="0"/>
                <w:numId w:val="173"/>
              </w:numPr>
              <w:tabs>
                <w:tab w:val="clear" w:pos="502"/>
                <w:tab w:val="num" w:pos="720"/>
              </w:tabs>
              <w:suppressAutoHyphens/>
              <w:spacing w:after="0" w:line="240" w:lineRule="auto"/>
              <w:ind w:left="248" w:hanging="248"/>
              <w:rPr>
                <w:rFonts w:ascii="Times New Roman" w:hAnsi="Times New Roman"/>
              </w:rPr>
            </w:pPr>
            <w:r w:rsidRPr="00420C1B">
              <w:rPr>
                <w:rFonts w:ascii="Times New Roman" w:hAnsi="Times New Roman"/>
              </w:rPr>
              <w:t xml:space="preserve">Elaborer et mettre en œuvre un plan de lutte contre la COVID-19 </w:t>
            </w:r>
          </w:p>
        </w:tc>
      </w:tr>
      <w:bookmarkEnd w:id="865"/>
    </w:tbl>
    <w:p w14:paraId="50141FEA" w14:textId="77777777" w:rsidR="00EB0E4A" w:rsidRDefault="00EB0E4A" w:rsidP="00021980">
      <w:pPr>
        <w:pStyle w:val="Titre1"/>
        <w:numPr>
          <w:ilvl w:val="2"/>
          <w:numId w:val="404"/>
        </w:numPr>
        <w:spacing w:before="120" w:after="120" w:line="20" w:lineRule="atLeast"/>
        <w:jc w:val="both"/>
        <w:rPr>
          <w:szCs w:val="24"/>
          <w:lang w:eastAsia="fr-FR"/>
        </w:rPr>
        <w:sectPr w:rsidR="00EB0E4A" w:rsidSect="00EB0E4A">
          <w:pgSz w:w="16840" w:h="11907" w:orient="landscape" w:code="9"/>
          <w:pgMar w:top="1417" w:right="1417" w:bottom="1417" w:left="1417" w:header="720" w:footer="720" w:gutter="0"/>
          <w:cols w:space="720"/>
          <w:titlePg/>
          <w:docGrid w:linePitch="360"/>
        </w:sectPr>
      </w:pPr>
    </w:p>
    <w:p w14:paraId="480C5CDC" w14:textId="5D4C382E" w:rsidR="00090DD6" w:rsidRPr="00215867" w:rsidRDefault="00BE6675" w:rsidP="00215867">
      <w:pPr>
        <w:pStyle w:val="Titre31"/>
        <w:numPr>
          <w:ilvl w:val="2"/>
          <w:numId w:val="54"/>
        </w:numPr>
        <w:tabs>
          <w:tab w:val="left" w:pos="993"/>
        </w:tabs>
        <w:spacing w:before="120" w:after="120" w:line="20" w:lineRule="atLeast"/>
        <w:ind w:left="993" w:hanging="709"/>
        <w:rPr>
          <w:rFonts w:eastAsia="Calibri"/>
          <w:i/>
        </w:rPr>
      </w:pPr>
      <w:bookmarkStart w:id="866" w:name="_Toc103685733"/>
      <w:r w:rsidRPr="00215867">
        <w:rPr>
          <w:rFonts w:eastAsia="Calibri"/>
          <w:i/>
          <w:u w:val="none"/>
        </w:rPr>
        <w:t xml:space="preserve">Stratégie de </w:t>
      </w:r>
      <w:r w:rsidR="001F4D97" w:rsidRPr="00215867">
        <w:rPr>
          <w:rFonts w:eastAsia="Calibri"/>
          <w:i/>
          <w:u w:val="none"/>
        </w:rPr>
        <w:t>réponse</w:t>
      </w:r>
      <w:bookmarkEnd w:id="866"/>
      <w:r w:rsidRPr="00215867">
        <w:rPr>
          <w:rFonts w:eastAsia="Calibri"/>
          <w:i/>
          <w:u w:val="none"/>
        </w:rPr>
        <w:t xml:space="preserve"> </w:t>
      </w:r>
    </w:p>
    <w:p w14:paraId="3705DF15" w14:textId="46075B2F" w:rsidR="003641E4" w:rsidRPr="007E5A67" w:rsidRDefault="003641E4" w:rsidP="00215867">
      <w:pPr>
        <w:pStyle w:val="Titre4"/>
        <w:numPr>
          <w:ilvl w:val="3"/>
          <w:numId w:val="54"/>
        </w:numPr>
        <w:spacing w:before="120" w:after="120" w:line="20" w:lineRule="atLeast"/>
        <w:ind w:left="1276" w:hanging="851"/>
        <w:rPr>
          <w:szCs w:val="24"/>
        </w:rPr>
      </w:pPr>
      <w:bookmarkStart w:id="867" w:name="_Toc103685734"/>
      <w:r w:rsidRPr="00215867">
        <w:rPr>
          <w:color w:val="auto"/>
          <w:szCs w:val="24"/>
        </w:rPr>
        <w:t>Disposition générale</w:t>
      </w:r>
      <w:bookmarkEnd w:id="867"/>
    </w:p>
    <w:p w14:paraId="774BF68D" w14:textId="77777777" w:rsidR="003641E4" w:rsidRPr="00366C55" w:rsidRDefault="003641E4" w:rsidP="003641E4">
      <w:pPr>
        <w:spacing w:after="0" w:line="240" w:lineRule="auto"/>
        <w:ind w:left="7" w:right="14"/>
        <w:jc w:val="both"/>
        <w:rPr>
          <w:rFonts w:ascii="Times New Roman" w:hAnsi="Times New Roman"/>
          <w:sz w:val="24"/>
          <w:szCs w:val="24"/>
        </w:rPr>
      </w:pPr>
      <w:r w:rsidRPr="00366C55">
        <w:rPr>
          <w:rFonts w:ascii="Times New Roman" w:eastAsia="Arial" w:hAnsi="Times New Roman"/>
          <w:sz w:val="24"/>
          <w:szCs w:val="24"/>
        </w:rPr>
        <w:t>La  st</w:t>
      </w:r>
      <w:r w:rsidRPr="00215867">
        <w:rPr>
          <w:rFonts w:ascii="Times New Roman" w:eastAsia="Arial" w:hAnsi="Times New Roman"/>
          <w:szCs w:val="24"/>
        </w:rPr>
        <w:t>raté</w:t>
      </w:r>
      <w:r w:rsidRPr="00366C55">
        <w:rPr>
          <w:rFonts w:ascii="Times New Roman" w:eastAsia="Arial" w:hAnsi="Times New Roman"/>
          <w:sz w:val="24"/>
          <w:szCs w:val="24"/>
        </w:rPr>
        <w:t xml:space="preserve">gie de réponse  en situation d’urgence repose autour de </w:t>
      </w:r>
      <w:r w:rsidRPr="00366C55">
        <w:rPr>
          <w:rFonts w:ascii="Times New Roman" w:hAnsi="Times New Roman"/>
          <w:sz w:val="24"/>
          <w:szCs w:val="24"/>
        </w:rPr>
        <w:t xml:space="preserve">trois  (03) approches à savoir: </w:t>
      </w:r>
    </w:p>
    <w:p w14:paraId="383E7BD4" w14:textId="77777777" w:rsidR="003641E4" w:rsidRPr="00366C55" w:rsidRDefault="003641E4" w:rsidP="00215867">
      <w:pPr>
        <w:spacing w:before="120" w:after="120" w:line="240" w:lineRule="auto"/>
        <w:ind w:left="-6" w:right="11"/>
        <w:jc w:val="both"/>
        <w:rPr>
          <w:rFonts w:ascii="Times New Roman" w:hAnsi="Times New Roman"/>
          <w:sz w:val="24"/>
          <w:szCs w:val="24"/>
        </w:rPr>
      </w:pPr>
      <w:r w:rsidRPr="00366C55">
        <w:rPr>
          <w:rFonts w:ascii="Times New Roman" w:eastAsia="Arial" w:hAnsi="Times New Roman"/>
          <w:b/>
          <w:sz w:val="24"/>
          <w:szCs w:val="24"/>
        </w:rPr>
        <w:t xml:space="preserve">Approche 1 : Avant : </w:t>
      </w:r>
      <w:r w:rsidRPr="00366C55">
        <w:rPr>
          <w:rFonts w:ascii="Times New Roman" w:hAnsi="Times New Roman"/>
          <w:sz w:val="24"/>
          <w:szCs w:val="24"/>
        </w:rPr>
        <w:t xml:space="preserve">Les activités liées à la prévention et à la préparation passent par : </w:t>
      </w:r>
    </w:p>
    <w:p w14:paraId="5021508D" w14:textId="77777777" w:rsidR="003641E4" w:rsidRPr="00366C55" w:rsidRDefault="003641E4" w:rsidP="00954E29">
      <w:pPr>
        <w:numPr>
          <w:ilvl w:val="0"/>
          <w:numId w:val="307"/>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promotion de la prévention par l'information du public ; </w:t>
      </w:r>
    </w:p>
    <w:p w14:paraId="291C1794" w14:textId="62ADFB7A" w:rsidR="003641E4" w:rsidRPr="00366C55" w:rsidRDefault="003641E4" w:rsidP="00954E29">
      <w:pPr>
        <w:numPr>
          <w:ilvl w:val="0"/>
          <w:numId w:val="307"/>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sensibilisation et l'éducation des employés et de </w:t>
      </w:r>
      <w:r w:rsidR="001E2063">
        <w:rPr>
          <w:rFonts w:ascii="Times New Roman" w:hAnsi="Times New Roman"/>
          <w:sz w:val="24"/>
          <w:szCs w:val="24"/>
        </w:rPr>
        <w:t>populations des</w:t>
      </w:r>
      <w:r w:rsidRPr="00366C55">
        <w:rPr>
          <w:rFonts w:ascii="Times New Roman" w:hAnsi="Times New Roman"/>
          <w:sz w:val="24"/>
          <w:szCs w:val="24"/>
        </w:rPr>
        <w:t xml:space="preserve"> quartiers  avoisinants ; </w:t>
      </w:r>
    </w:p>
    <w:p w14:paraId="35C140E3" w14:textId="45BF5421" w:rsidR="003641E4" w:rsidRPr="00366C55" w:rsidRDefault="003641E4" w:rsidP="00954E29">
      <w:pPr>
        <w:numPr>
          <w:ilvl w:val="0"/>
          <w:numId w:val="307"/>
        </w:numPr>
        <w:spacing w:after="0" w:line="240" w:lineRule="auto"/>
        <w:ind w:left="567" w:right="14" w:hanging="425"/>
        <w:jc w:val="both"/>
        <w:rPr>
          <w:rFonts w:ascii="Times New Roman" w:hAnsi="Times New Roman"/>
          <w:sz w:val="24"/>
          <w:szCs w:val="24"/>
        </w:rPr>
      </w:pPr>
      <w:r w:rsidRPr="00366C55">
        <w:rPr>
          <w:rFonts w:ascii="Times New Roman" w:eastAsia="Arial" w:hAnsi="Times New Roman"/>
          <w:sz w:val="24"/>
          <w:szCs w:val="24"/>
        </w:rPr>
        <w:t>L’élaboration des plans d’urgence et de secours</w:t>
      </w:r>
      <w:r w:rsidR="001E2063">
        <w:rPr>
          <w:rFonts w:ascii="Times New Roman" w:eastAsia="Arial" w:hAnsi="Times New Roman"/>
          <w:sz w:val="24"/>
          <w:szCs w:val="24"/>
        </w:rPr>
        <w:t>,</w:t>
      </w:r>
      <w:r w:rsidRPr="00366C55">
        <w:rPr>
          <w:rFonts w:ascii="Times New Roman" w:eastAsia="Arial" w:hAnsi="Times New Roman"/>
          <w:sz w:val="24"/>
          <w:szCs w:val="24"/>
        </w:rPr>
        <w:t xml:space="preserve"> et l’organisation d’opérations blanches.</w:t>
      </w:r>
      <w:r w:rsidRPr="00366C55">
        <w:rPr>
          <w:rFonts w:ascii="Times New Roman" w:hAnsi="Times New Roman"/>
          <w:sz w:val="24"/>
          <w:szCs w:val="24"/>
        </w:rPr>
        <w:t xml:space="preserve"> </w:t>
      </w:r>
    </w:p>
    <w:p w14:paraId="51E3202D" w14:textId="77777777" w:rsidR="003641E4" w:rsidRPr="00366C55" w:rsidRDefault="003641E4" w:rsidP="00215867">
      <w:pPr>
        <w:spacing w:before="120" w:after="120" w:line="240" w:lineRule="auto"/>
        <w:ind w:left="-6" w:right="11"/>
        <w:jc w:val="both"/>
        <w:rPr>
          <w:rFonts w:ascii="Times New Roman" w:hAnsi="Times New Roman"/>
          <w:sz w:val="24"/>
          <w:szCs w:val="24"/>
        </w:rPr>
      </w:pPr>
      <w:r w:rsidRPr="00366C55">
        <w:rPr>
          <w:rFonts w:ascii="Times New Roman" w:eastAsia="Arial" w:hAnsi="Times New Roman"/>
          <w:b/>
          <w:sz w:val="24"/>
          <w:szCs w:val="24"/>
        </w:rPr>
        <w:t xml:space="preserve">Approche 2 : Pendant : </w:t>
      </w:r>
      <w:r w:rsidRPr="00366C55">
        <w:rPr>
          <w:rFonts w:ascii="Times New Roman" w:hAnsi="Times New Roman"/>
          <w:sz w:val="24"/>
          <w:szCs w:val="24"/>
        </w:rPr>
        <w:t>les activi</w:t>
      </w:r>
      <w:r w:rsidRPr="00366C55">
        <w:rPr>
          <w:rFonts w:ascii="Times New Roman" w:eastAsia="Arial" w:hAnsi="Times New Roman"/>
          <w:sz w:val="24"/>
          <w:szCs w:val="24"/>
        </w:rPr>
        <w:t xml:space="preserve">tés liées à l’intervention. </w:t>
      </w:r>
      <w:r w:rsidRPr="00366C55">
        <w:rPr>
          <w:rFonts w:ascii="Times New Roman" w:hAnsi="Times New Roman"/>
          <w:sz w:val="24"/>
          <w:szCs w:val="24"/>
        </w:rPr>
        <w:t xml:space="preserve"> </w:t>
      </w:r>
    </w:p>
    <w:p w14:paraId="115644C7" w14:textId="77777777" w:rsidR="003641E4" w:rsidRPr="00366C55" w:rsidRDefault="003641E4" w:rsidP="003641E4">
      <w:pPr>
        <w:spacing w:after="0" w:line="240" w:lineRule="auto"/>
        <w:ind w:left="7" w:right="14"/>
        <w:jc w:val="both"/>
        <w:rPr>
          <w:rFonts w:ascii="Times New Roman" w:hAnsi="Times New Roman"/>
          <w:sz w:val="24"/>
          <w:szCs w:val="24"/>
        </w:rPr>
      </w:pPr>
      <w:r w:rsidRPr="00366C55">
        <w:rPr>
          <w:rFonts w:ascii="Times New Roman" w:eastAsia="Arial" w:hAnsi="Times New Roman"/>
          <w:sz w:val="24"/>
          <w:szCs w:val="24"/>
        </w:rPr>
        <w:t>L’action porte sur la mise en œuvre de plans</w:t>
      </w:r>
      <w:r w:rsidRPr="00366C55">
        <w:rPr>
          <w:rFonts w:ascii="Times New Roman" w:eastAsia="Arial" w:hAnsi="Times New Roman"/>
          <w:b/>
          <w:sz w:val="24"/>
          <w:szCs w:val="24"/>
        </w:rPr>
        <w:t xml:space="preserve"> </w:t>
      </w:r>
      <w:r w:rsidRPr="00366C55">
        <w:rPr>
          <w:rFonts w:ascii="Times New Roman" w:eastAsia="Arial" w:hAnsi="Times New Roman"/>
          <w:sz w:val="24"/>
          <w:szCs w:val="24"/>
        </w:rPr>
        <w:t xml:space="preserve">d’urgence et de secours destinés à assurer la couverture </w:t>
      </w:r>
      <w:r w:rsidRPr="00366C55">
        <w:rPr>
          <w:rFonts w:ascii="Times New Roman" w:hAnsi="Times New Roman"/>
          <w:sz w:val="24"/>
          <w:szCs w:val="24"/>
        </w:rPr>
        <w:t xml:space="preserve">efficiente des risques. </w:t>
      </w:r>
    </w:p>
    <w:p w14:paraId="35994562"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b/>
          <w:sz w:val="24"/>
          <w:szCs w:val="24"/>
        </w:rPr>
        <w:t xml:space="preserve">Approche 3 : Après : </w:t>
      </w:r>
      <w:r w:rsidRPr="00366C55">
        <w:rPr>
          <w:rFonts w:ascii="Times New Roman" w:hAnsi="Times New Roman"/>
          <w:sz w:val="24"/>
          <w:szCs w:val="24"/>
        </w:rPr>
        <w:t>les activités liées à la réhabilitation.</w:t>
      </w:r>
      <w:r w:rsidRPr="00366C55">
        <w:rPr>
          <w:rFonts w:ascii="Times New Roman" w:eastAsia="Arial" w:hAnsi="Times New Roman"/>
          <w:b/>
          <w:sz w:val="24"/>
          <w:szCs w:val="24"/>
        </w:rPr>
        <w:t xml:space="preserve"> </w:t>
      </w:r>
      <w:r w:rsidRPr="00366C55">
        <w:rPr>
          <w:rFonts w:ascii="Times New Roman" w:eastAsia="Arial" w:hAnsi="Times New Roman"/>
          <w:sz w:val="24"/>
          <w:szCs w:val="24"/>
        </w:rPr>
        <w:t>Il s’agit de</w:t>
      </w:r>
      <w:r w:rsidRPr="00366C55">
        <w:rPr>
          <w:rFonts w:ascii="Times New Roman" w:eastAsia="Arial" w:hAnsi="Times New Roman"/>
          <w:b/>
          <w:sz w:val="24"/>
          <w:szCs w:val="24"/>
        </w:rPr>
        <w:t xml:space="preserve"> </w:t>
      </w:r>
      <w:r w:rsidRPr="00366C55">
        <w:rPr>
          <w:rFonts w:ascii="Times New Roman" w:hAnsi="Times New Roman"/>
          <w:sz w:val="24"/>
          <w:szCs w:val="24"/>
        </w:rPr>
        <w:t>l'adoption et l'exécution des mesures de</w:t>
      </w:r>
      <w:r w:rsidRPr="00366C55">
        <w:rPr>
          <w:rFonts w:ascii="Times New Roman" w:eastAsia="Arial" w:hAnsi="Times New Roman"/>
          <w:b/>
          <w:sz w:val="24"/>
          <w:szCs w:val="24"/>
        </w:rPr>
        <w:t xml:space="preserve"> </w:t>
      </w:r>
      <w:r w:rsidRPr="00366C55">
        <w:rPr>
          <w:rFonts w:ascii="Times New Roman" w:eastAsia="Arial" w:hAnsi="Times New Roman"/>
          <w:sz w:val="24"/>
          <w:szCs w:val="24"/>
        </w:rPr>
        <w:t xml:space="preserve">prise en charge et d’accompagnement des victimes, visant également à les rétablir dans leurs droits </w:t>
      </w:r>
      <w:r w:rsidRPr="00366C55">
        <w:rPr>
          <w:rFonts w:ascii="Times New Roman" w:hAnsi="Times New Roman"/>
          <w:sz w:val="24"/>
          <w:szCs w:val="24"/>
        </w:rPr>
        <w:t xml:space="preserve">et leurs moyens ainsi que la réhabilitation des infrastructures. </w:t>
      </w:r>
    </w:p>
    <w:p w14:paraId="54079831" w14:textId="77777777" w:rsidR="003641E4" w:rsidRPr="00215867" w:rsidRDefault="003641E4" w:rsidP="00215867">
      <w:pPr>
        <w:pStyle w:val="Paragraphedeliste"/>
        <w:numPr>
          <w:ilvl w:val="1"/>
          <w:numId w:val="389"/>
        </w:numPr>
        <w:spacing w:before="120" w:after="120" w:line="240" w:lineRule="auto"/>
        <w:ind w:left="567" w:hanging="425"/>
        <w:contextualSpacing w:val="0"/>
        <w:rPr>
          <w:rFonts w:ascii="Times New Roman" w:eastAsia="Arial" w:hAnsi="Times New Roman"/>
          <w:i/>
          <w:sz w:val="24"/>
          <w:szCs w:val="24"/>
        </w:rPr>
      </w:pPr>
      <w:r w:rsidRPr="00215867">
        <w:rPr>
          <w:rFonts w:ascii="Times New Roman" w:eastAsia="Arial" w:hAnsi="Times New Roman"/>
          <w:i/>
          <w:sz w:val="24"/>
          <w:szCs w:val="24"/>
        </w:rPr>
        <w:t xml:space="preserve">Mécanismes de prévention et de préparation </w:t>
      </w:r>
    </w:p>
    <w:p w14:paraId="4266769A" w14:textId="131BB8BB" w:rsidR="003641E4" w:rsidRPr="00215867" w:rsidRDefault="003641E4" w:rsidP="00215867">
      <w:pPr>
        <w:spacing w:before="120" w:after="120" w:line="276" w:lineRule="auto"/>
        <w:ind w:left="-6" w:right="11"/>
        <w:jc w:val="both"/>
        <w:rPr>
          <w:rFonts w:ascii="Times New Roman" w:eastAsia="Arial" w:hAnsi="Times New Roman"/>
          <w:sz w:val="24"/>
          <w:szCs w:val="24"/>
        </w:rPr>
      </w:pPr>
      <w:r w:rsidRPr="00215867">
        <w:rPr>
          <w:rFonts w:ascii="Times New Roman" w:eastAsia="Arial" w:hAnsi="Times New Roman"/>
          <w:sz w:val="24"/>
          <w:szCs w:val="24"/>
        </w:rPr>
        <w:t>Les échanges avec les responsables du projet appellent le</w:t>
      </w:r>
      <w:r w:rsidRPr="00366C55">
        <w:rPr>
          <w:rFonts w:ascii="Times New Roman" w:eastAsia="Arial" w:hAnsi="Times New Roman"/>
          <w:sz w:val="24"/>
          <w:szCs w:val="24"/>
        </w:rPr>
        <w:t xml:space="preserve"> besoin de </w:t>
      </w:r>
      <w:r w:rsidRPr="00215867">
        <w:rPr>
          <w:rFonts w:ascii="Times New Roman" w:eastAsia="Arial" w:hAnsi="Times New Roman"/>
          <w:sz w:val="24"/>
          <w:szCs w:val="24"/>
        </w:rPr>
        <w:t>renforcer des capacités des acteurs pendant</w:t>
      </w:r>
      <w:r w:rsidRPr="00366C55">
        <w:rPr>
          <w:rFonts w:ascii="Times New Roman" w:eastAsia="Arial" w:hAnsi="Times New Roman"/>
          <w:sz w:val="24"/>
          <w:szCs w:val="24"/>
        </w:rPr>
        <w:t xml:space="preserve"> le chantier par l’organisation « a minima » d’une campagne annuell</w:t>
      </w:r>
      <w:r w:rsidRPr="00215867">
        <w:rPr>
          <w:rFonts w:ascii="Times New Roman" w:eastAsia="Arial" w:hAnsi="Times New Roman"/>
          <w:sz w:val="24"/>
          <w:szCs w:val="24"/>
        </w:rPr>
        <w:t xml:space="preserve">e IEC (Information Education et Sensibilisation), concernant les risques liés au chantier et aux sites. Elle comprendra des opérations : (i) </w:t>
      </w:r>
      <w:r w:rsidRPr="00366C55">
        <w:rPr>
          <w:rFonts w:ascii="Times New Roman" w:eastAsia="Arial" w:hAnsi="Times New Roman"/>
          <w:sz w:val="24"/>
          <w:szCs w:val="24"/>
        </w:rPr>
        <w:t xml:space="preserve">d’information générale, </w:t>
      </w:r>
      <w:r w:rsidRPr="00215867">
        <w:rPr>
          <w:rFonts w:ascii="Times New Roman" w:eastAsia="Arial" w:hAnsi="Times New Roman"/>
          <w:sz w:val="24"/>
          <w:szCs w:val="24"/>
        </w:rPr>
        <w:t xml:space="preserve">(ii) de sensibilisation des populations, (iii) </w:t>
      </w:r>
      <w:r w:rsidRPr="00366C55">
        <w:rPr>
          <w:rFonts w:ascii="Times New Roman" w:eastAsia="Arial" w:hAnsi="Times New Roman"/>
          <w:sz w:val="24"/>
          <w:szCs w:val="24"/>
        </w:rPr>
        <w:t>d’éducation des employés</w:t>
      </w:r>
      <w:r w:rsidRPr="00215867">
        <w:rPr>
          <w:rFonts w:ascii="Times New Roman" w:eastAsia="Arial" w:hAnsi="Times New Roman"/>
          <w:sz w:val="24"/>
          <w:szCs w:val="24"/>
        </w:rPr>
        <w:t xml:space="preserve">, (iv) la formation des parties prenantes, </w:t>
      </w:r>
      <w:r w:rsidRPr="00366C55">
        <w:rPr>
          <w:rFonts w:ascii="Times New Roman" w:eastAsia="Arial" w:hAnsi="Times New Roman"/>
          <w:sz w:val="24"/>
          <w:szCs w:val="24"/>
        </w:rPr>
        <w:t>(v) l’élaboration de plan</w:t>
      </w:r>
      <w:r w:rsidRPr="00215867">
        <w:rPr>
          <w:rFonts w:ascii="Times New Roman" w:eastAsia="Arial" w:hAnsi="Times New Roman"/>
          <w:sz w:val="24"/>
          <w:szCs w:val="24"/>
        </w:rPr>
        <w:t xml:space="preserve"> de communication et de préparation aux risques et (vi) les tests desdits plans à travers des exercices de simulation. </w:t>
      </w:r>
    </w:p>
    <w:p w14:paraId="6FE0D3E0" w14:textId="23E468CC" w:rsidR="003641E4" w:rsidRPr="00215867" w:rsidRDefault="003641E4" w:rsidP="00215867">
      <w:pPr>
        <w:pStyle w:val="Paragraphedeliste"/>
        <w:numPr>
          <w:ilvl w:val="1"/>
          <w:numId w:val="389"/>
        </w:numPr>
        <w:spacing w:before="120" w:after="120" w:line="240" w:lineRule="auto"/>
        <w:ind w:left="567" w:hanging="425"/>
        <w:contextualSpacing w:val="0"/>
        <w:rPr>
          <w:rFonts w:ascii="Times New Roman" w:eastAsia="Arial" w:hAnsi="Times New Roman"/>
          <w:i/>
          <w:sz w:val="24"/>
          <w:szCs w:val="24"/>
        </w:rPr>
      </w:pPr>
      <w:r w:rsidRPr="00215867">
        <w:rPr>
          <w:rFonts w:ascii="Times New Roman" w:eastAsia="Arial" w:hAnsi="Times New Roman"/>
          <w:i/>
          <w:sz w:val="24"/>
          <w:szCs w:val="24"/>
        </w:rPr>
        <w:t xml:space="preserve">Dispositif local de surveillance </w:t>
      </w:r>
    </w:p>
    <w:p w14:paraId="1F2D21BA" w14:textId="77777777" w:rsidR="003641E4" w:rsidRPr="00215867" w:rsidRDefault="003641E4" w:rsidP="00215867">
      <w:pPr>
        <w:spacing w:before="120" w:after="120" w:line="276" w:lineRule="auto"/>
        <w:ind w:left="-6" w:right="11"/>
        <w:jc w:val="both"/>
        <w:rPr>
          <w:rFonts w:ascii="Times New Roman" w:eastAsia="Arial" w:hAnsi="Times New Roman"/>
          <w:sz w:val="24"/>
          <w:szCs w:val="24"/>
        </w:rPr>
      </w:pPr>
      <w:r w:rsidRPr="00215867">
        <w:rPr>
          <w:rFonts w:ascii="Times New Roman" w:eastAsia="Arial" w:hAnsi="Times New Roman"/>
          <w:sz w:val="24"/>
          <w:szCs w:val="24"/>
        </w:rPr>
        <w:t xml:space="preserve">Le Projet devrait mettre en place un dispositif local de surveillance  en impliquant la SNEL,  les parties prenantes au Projet et les entrepreneurs. Ses missions sont les suivantes : </w:t>
      </w:r>
    </w:p>
    <w:p w14:paraId="21739F09"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collecte de toutes les informations relatives aux risques naturels, sanitaires et     anthropiques ; </w:t>
      </w:r>
    </w:p>
    <w:p w14:paraId="6BA8D42A"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eastAsia="Arial" w:hAnsi="Times New Roman"/>
          <w:sz w:val="24"/>
          <w:szCs w:val="24"/>
        </w:rPr>
        <w:t>L’échange d’informations entre les divers intervenants ;</w:t>
      </w:r>
      <w:r w:rsidRPr="00366C55">
        <w:rPr>
          <w:rFonts w:ascii="Times New Roman" w:hAnsi="Times New Roman"/>
          <w:sz w:val="24"/>
          <w:szCs w:val="24"/>
        </w:rPr>
        <w:t xml:space="preserve"> </w:t>
      </w:r>
    </w:p>
    <w:p w14:paraId="46E03C6E"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eastAsia="Arial" w:hAnsi="Times New Roman"/>
          <w:sz w:val="24"/>
          <w:szCs w:val="24"/>
        </w:rPr>
        <w:t>L’analyse, le traitement et la diffusion des inform</w:t>
      </w:r>
      <w:r w:rsidRPr="00366C55">
        <w:rPr>
          <w:rFonts w:ascii="Times New Roman" w:hAnsi="Times New Roman"/>
          <w:sz w:val="24"/>
          <w:szCs w:val="24"/>
        </w:rPr>
        <w:t xml:space="preserve">ations relatives auxdits risques ; </w:t>
      </w:r>
    </w:p>
    <w:p w14:paraId="237B1477"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gestion des enseignements issus de chaque catastrophe en vue de prévenir les risques futurs ; </w:t>
      </w:r>
    </w:p>
    <w:p w14:paraId="43CCDE2A"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décentralisation par la création des sites sentinelles périphériques de collecte des informations et des indicateurs de suivi ; </w:t>
      </w:r>
    </w:p>
    <w:p w14:paraId="2573CF4B"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hAnsi="Times New Roman"/>
          <w:sz w:val="24"/>
          <w:szCs w:val="24"/>
        </w:rPr>
        <w:t xml:space="preserve">La mise à disposition des mesures préventives ; </w:t>
      </w:r>
    </w:p>
    <w:p w14:paraId="66E44882" w14:textId="77777777" w:rsidR="003641E4" w:rsidRPr="00366C55" w:rsidRDefault="003641E4" w:rsidP="00B9532B">
      <w:pPr>
        <w:numPr>
          <w:ilvl w:val="0"/>
          <w:numId w:val="308"/>
        </w:numPr>
        <w:spacing w:after="0" w:line="240" w:lineRule="auto"/>
        <w:ind w:left="567" w:right="14" w:hanging="425"/>
        <w:jc w:val="both"/>
        <w:rPr>
          <w:rFonts w:ascii="Times New Roman" w:hAnsi="Times New Roman"/>
          <w:sz w:val="24"/>
          <w:szCs w:val="24"/>
        </w:rPr>
      </w:pPr>
      <w:r w:rsidRPr="00366C55">
        <w:rPr>
          <w:rFonts w:ascii="Times New Roman" w:eastAsia="Arial" w:hAnsi="Times New Roman"/>
          <w:sz w:val="24"/>
          <w:szCs w:val="24"/>
        </w:rPr>
        <w:t>La publication d’un bulletin conjoncturel des risques.</w:t>
      </w:r>
      <w:r w:rsidRPr="00366C55">
        <w:rPr>
          <w:rFonts w:ascii="Times New Roman" w:hAnsi="Times New Roman"/>
          <w:sz w:val="24"/>
          <w:szCs w:val="24"/>
        </w:rPr>
        <w:t xml:space="preserve"> </w:t>
      </w:r>
    </w:p>
    <w:p w14:paraId="4DAC7189" w14:textId="77777777" w:rsidR="00CE7E29"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Tout fait ou évènement marquant susceptible de générer une situation de crise ayant des conséquences </w:t>
      </w:r>
      <w:r w:rsidRPr="00366C55">
        <w:rPr>
          <w:rFonts w:ascii="Times New Roman" w:eastAsia="Arial" w:hAnsi="Times New Roman"/>
          <w:sz w:val="24"/>
          <w:szCs w:val="24"/>
        </w:rPr>
        <w:t xml:space="preserve">sur les personnes, les biens, l’environnement, l’activité économique, doit faire l’objet d’une information </w:t>
      </w:r>
      <w:r w:rsidRPr="00366C55">
        <w:rPr>
          <w:rFonts w:ascii="Times New Roman" w:hAnsi="Times New Roman"/>
          <w:sz w:val="24"/>
          <w:szCs w:val="24"/>
        </w:rPr>
        <w:t>à l’UCM par le biais des parties prenantes du Projet.</w:t>
      </w:r>
    </w:p>
    <w:p w14:paraId="256634E1" w14:textId="77777777" w:rsidR="00954E29" w:rsidRDefault="00954E29" w:rsidP="00215867">
      <w:pPr>
        <w:spacing w:before="120" w:after="120" w:line="276" w:lineRule="auto"/>
        <w:ind w:left="-6" w:right="11"/>
        <w:jc w:val="both"/>
        <w:rPr>
          <w:rFonts w:ascii="Times New Roman" w:hAnsi="Times New Roman"/>
          <w:sz w:val="24"/>
          <w:szCs w:val="24"/>
        </w:rPr>
      </w:pPr>
    </w:p>
    <w:p w14:paraId="5EBEA261" w14:textId="6B1632EC" w:rsidR="003641E4" w:rsidRPr="00366C55" w:rsidRDefault="003641E4" w:rsidP="003641E4">
      <w:pPr>
        <w:spacing w:after="0" w:line="240" w:lineRule="auto"/>
        <w:ind w:left="-3" w:right="14"/>
        <w:jc w:val="both"/>
        <w:rPr>
          <w:rFonts w:ascii="Times New Roman" w:hAnsi="Times New Roman"/>
          <w:sz w:val="24"/>
          <w:szCs w:val="24"/>
        </w:rPr>
      </w:pPr>
      <w:r w:rsidRPr="00366C55">
        <w:rPr>
          <w:rFonts w:ascii="Times New Roman" w:hAnsi="Times New Roman"/>
          <w:sz w:val="24"/>
          <w:szCs w:val="24"/>
        </w:rPr>
        <w:t xml:space="preserve">  </w:t>
      </w:r>
    </w:p>
    <w:p w14:paraId="52684671" w14:textId="77777777" w:rsidR="003641E4" w:rsidRPr="007E5A67" w:rsidRDefault="003641E4" w:rsidP="00215867">
      <w:pPr>
        <w:pStyle w:val="Titre4"/>
        <w:numPr>
          <w:ilvl w:val="3"/>
          <w:numId w:val="54"/>
        </w:numPr>
        <w:spacing w:before="120" w:after="120" w:line="20" w:lineRule="atLeast"/>
        <w:ind w:left="1276" w:hanging="851"/>
        <w:rPr>
          <w:szCs w:val="24"/>
        </w:rPr>
      </w:pPr>
      <w:bookmarkStart w:id="868" w:name="_Toc103685735"/>
      <w:r w:rsidRPr="00215867">
        <w:rPr>
          <w:color w:val="auto"/>
          <w:szCs w:val="24"/>
        </w:rPr>
        <w:t>Mécanisme d’intervention</w:t>
      </w:r>
      <w:bookmarkEnd w:id="868"/>
    </w:p>
    <w:p w14:paraId="056349C7" w14:textId="63DF8BF4"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Le mécanisme d’intervention décrit le processus à mettre en œuvre pour mieux gérer une crise/situation critique. Il s’articule autour de la gestion de l’information, la mise en œuvre du plan d’urgence, le </w:t>
      </w:r>
      <w:r w:rsidRPr="00366C55">
        <w:rPr>
          <w:rFonts w:ascii="Times New Roman" w:hAnsi="Times New Roman"/>
          <w:sz w:val="24"/>
          <w:szCs w:val="24"/>
        </w:rPr>
        <w:t>suivi/</w:t>
      </w:r>
      <w:r w:rsidRPr="00215867">
        <w:rPr>
          <w:rFonts w:ascii="Times New Roman" w:eastAsia="Arial" w:hAnsi="Times New Roman"/>
          <w:sz w:val="24"/>
          <w:szCs w:val="24"/>
        </w:rPr>
        <w:t>évaluation</w:t>
      </w:r>
      <w:r w:rsidRPr="00366C55">
        <w:rPr>
          <w:rFonts w:ascii="Times New Roman" w:hAnsi="Times New Roman"/>
          <w:sz w:val="24"/>
          <w:szCs w:val="24"/>
        </w:rPr>
        <w:t xml:space="preserve"> et le rapport de clôture. </w:t>
      </w:r>
    </w:p>
    <w:p w14:paraId="4D11F9E9" w14:textId="72353A8A" w:rsidR="003641E4" w:rsidRPr="00215867" w:rsidRDefault="008B7F9D" w:rsidP="00215867">
      <w:pPr>
        <w:pStyle w:val="Paragraphedeliste"/>
        <w:numPr>
          <w:ilvl w:val="0"/>
          <w:numId w:val="390"/>
        </w:numPr>
        <w:spacing w:before="120"/>
        <w:ind w:left="714" w:hanging="357"/>
        <w:contextualSpacing w:val="0"/>
        <w:rPr>
          <w:rFonts w:ascii="Times New Roman" w:hAnsi="Times New Roman"/>
          <w:sz w:val="24"/>
          <w:szCs w:val="24"/>
        </w:rPr>
      </w:pPr>
      <w:r w:rsidRPr="00215867">
        <w:rPr>
          <w:rFonts w:ascii="Times New Roman" w:hAnsi="Times New Roman"/>
          <w:sz w:val="24"/>
          <w:szCs w:val="24"/>
        </w:rPr>
        <w:t>G</w:t>
      </w:r>
      <w:r w:rsidR="003641E4" w:rsidRPr="00215867">
        <w:rPr>
          <w:rFonts w:ascii="Times New Roman" w:hAnsi="Times New Roman"/>
          <w:sz w:val="24"/>
          <w:szCs w:val="24"/>
        </w:rPr>
        <w:t xml:space="preserve">estion de l’information (communication) </w:t>
      </w:r>
    </w:p>
    <w:p w14:paraId="45AD3656" w14:textId="2414ABE8" w:rsidR="003641E4"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Le partage des informations par les acteurs du Projet est un principe nécessaire. La stratégie de plaidoyer et de </w:t>
      </w:r>
      <w:r w:rsidRPr="00215867">
        <w:rPr>
          <w:rFonts w:ascii="Times New Roman" w:eastAsia="Arial" w:hAnsi="Times New Roman"/>
          <w:sz w:val="24"/>
          <w:szCs w:val="24"/>
        </w:rPr>
        <w:t>communication</w:t>
      </w:r>
      <w:r w:rsidRPr="00366C55">
        <w:rPr>
          <w:rFonts w:ascii="Times New Roman" w:hAnsi="Times New Roman"/>
          <w:sz w:val="24"/>
          <w:szCs w:val="24"/>
        </w:rPr>
        <w:t xml:space="preserve"> vers les médias locaux et nationaux sera commune et validée par les autorités. Le plaidoyer pour la mobilisation des ressources sera commun et placé sous la responsabilité </w:t>
      </w:r>
      <w:r w:rsidRPr="00366C55">
        <w:rPr>
          <w:rFonts w:ascii="Times New Roman" w:eastAsia="Arial" w:hAnsi="Times New Roman"/>
          <w:sz w:val="24"/>
          <w:szCs w:val="24"/>
        </w:rPr>
        <w:t>du Maitre d’Ouvrage.</w:t>
      </w:r>
      <w:r w:rsidRPr="00366C55">
        <w:rPr>
          <w:rFonts w:ascii="Times New Roman" w:hAnsi="Times New Roman"/>
          <w:sz w:val="24"/>
          <w:szCs w:val="24"/>
        </w:rPr>
        <w:t xml:space="preserve"> </w:t>
      </w:r>
    </w:p>
    <w:p w14:paraId="210A6127" w14:textId="30A10ADC" w:rsidR="003641E4"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De manière opérationnelle, l</w:t>
      </w:r>
      <w:r w:rsidRPr="00366C55">
        <w:rPr>
          <w:rFonts w:ascii="Times New Roman" w:eastAsia="Arial" w:hAnsi="Times New Roman"/>
          <w:sz w:val="24"/>
          <w:szCs w:val="24"/>
        </w:rPr>
        <w:t xml:space="preserve">a gestion de l’information des populations devra se faire en considérant la </w:t>
      </w:r>
      <w:r w:rsidRPr="00366C55">
        <w:rPr>
          <w:rFonts w:ascii="Times New Roman" w:hAnsi="Times New Roman"/>
          <w:sz w:val="24"/>
          <w:szCs w:val="24"/>
        </w:rPr>
        <w:t xml:space="preserve">réalisation des actions suivantes : </w:t>
      </w:r>
    </w:p>
    <w:p w14:paraId="263DDBD4"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Activation du système d’alerte ;</w:t>
      </w:r>
      <w:r w:rsidRPr="00215867">
        <w:rPr>
          <w:rFonts w:ascii="Times New Roman" w:eastAsia="Arial" w:hAnsi="Times New Roman"/>
          <w:sz w:val="24"/>
          <w:szCs w:val="24"/>
        </w:rPr>
        <w:t xml:space="preserve"> </w:t>
      </w:r>
    </w:p>
    <w:p w14:paraId="2E271282"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Diffusion de l’alerte (Autorités administratives et Techniques</w:t>
      </w:r>
      <w:r w:rsidRPr="00215867">
        <w:rPr>
          <w:rFonts w:ascii="Times New Roman" w:eastAsia="Arial" w:hAnsi="Times New Roman"/>
          <w:sz w:val="24"/>
          <w:szCs w:val="24"/>
        </w:rPr>
        <w:t xml:space="preserve">) ; </w:t>
      </w:r>
    </w:p>
    <w:p w14:paraId="2BFDCB70"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Communication avec les acteurs du Projet ; </w:t>
      </w:r>
    </w:p>
    <w:p w14:paraId="427242BB"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Diffusion de l’information;</w:t>
      </w:r>
      <w:r w:rsidRPr="00215867">
        <w:rPr>
          <w:rFonts w:ascii="Times New Roman" w:eastAsia="Arial" w:hAnsi="Times New Roman"/>
          <w:sz w:val="24"/>
          <w:szCs w:val="24"/>
        </w:rPr>
        <w:t xml:space="preserve"> </w:t>
      </w:r>
    </w:p>
    <w:p w14:paraId="3476DEDE"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Diffusion de l’information vers l’autorité administrat</w:t>
      </w:r>
      <w:r w:rsidRPr="00215867">
        <w:rPr>
          <w:rFonts w:ascii="Times New Roman" w:eastAsia="Arial" w:hAnsi="Times New Roman"/>
          <w:sz w:val="24"/>
          <w:szCs w:val="24"/>
        </w:rPr>
        <w:t xml:space="preserve">ive compétente ; </w:t>
      </w:r>
    </w:p>
    <w:p w14:paraId="4F50C9CF"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Elaboration d’un plan média ;</w:t>
      </w:r>
      <w:r w:rsidRPr="00215867">
        <w:rPr>
          <w:rFonts w:ascii="Times New Roman" w:eastAsia="Arial" w:hAnsi="Times New Roman"/>
          <w:sz w:val="24"/>
          <w:szCs w:val="24"/>
        </w:rPr>
        <w:t xml:space="preserve"> </w:t>
      </w:r>
    </w:p>
    <w:p w14:paraId="695AD7E6"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Communication avec les médias ; </w:t>
      </w:r>
    </w:p>
    <w:p w14:paraId="5D197A41"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Diffusion de l’information vers les partenaires ;</w:t>
      </w:r>
      <w:r w:rsidRPr="00215867">
        <w:rPr>
          <w:rFonts w:ascii="Times New Roman" w:eastAsia="Arial" w:hAnsi="Times New Roman"/>
          <w:sz w:val="24"/>
          <w:szCs w:val="24"/>
        </w:rPr>
        <w:t xml:space="preserve"> </w:t>
      </w:r>
    </w:p>
    <w:p w14:paraId="3573F870"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Mise en place d’une banque de données ;</w:t>
      </w:r>
    </w:p>
    <w:p w14:paraId="3D0EBEF3"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Diffusion de l’information vers la population ;</w:t>
      </w:r>
      <w:r w:rsidRPr="00215867">
        <w:rPr>
          <w:rFonts w:ascii="Times New Roman" w:eastAsia="Arial" w:hAnsi="Times New Roman"/>
          <w:sz w:val="24"/>
          <w:szCs w:val="24"/>
        </w:rPr>
        <w:t xml:space="preserve"> </w:t>
      </w:r>
    </w:p>
    <w:p w14:paraId="79C03715" w14:textId="77777777" w:rsidR="003641E4" w:rsidRPr="00215867" w:rsidRDefault="003641E4" w:rsidP="00215867">
      <w:pPr>
        <w:numPr>
          <w:ilvl w:val="0"/>
          <w:numId w:val="308"/>
        </w:numPr>
        <w:spacing w:after="120" w:line="240" w:lineRule="auto"/>
        <w:ind w:left="567" w:right="11" w:hanging="425"/>
        <w:jc w:val="both"/>
        <w:rPr>
          <w:rFonts w:ascii="Times New Roman" w:eastAsia="Arial" w:hAnsi="Times New Roman"/>
          <w:sz w:val="24"/>
          <w:szCs w:val="24"/>
        </w:rPr>
      </w:pPr>
      <w:r w:rsidRPr="00215867">
        <w:rPr>
          <w:rFonts w:ascii="Times New Roman" w:eastAsia="Arial" w:hAnsi="Times New Roman"/>
          <w:sz w:val="24"/>
          <w:szCs w:val="24"/>
        </w:rPr>
        <w:t xml:space="preserve">Suivi-évaluation de la communication. </w:t>
      </w:r>
    </w:p>
    <w:p w14:paraId="5D0BD433" w14:textId="77777777" w:rsidR="003641E4" w:rsidRPr="00366C55" w:rsidRDefault="003641E4" w:rsidP="00215867">
      <w:pPr>
        <w:pStyle w:val="Paragraphedeliste"/>
        <w:numPr>
          <w:ilvl w:val="0"/>
          <w:numId w:val="390"/>
        </w:numPr>
        <w:spacing w:before="120"/>
        <w:ind w:left="714" w:hanging="357"/>
        <w:contextualSpacing w:val="0"/>
        <w:rPr>
          <w:rFonts w:ascii="Times New Roman" w:hAnsi="Times New Roman"/>
          <w:sz w:val="24"/>
          <w:szCs w:val="24"/>
        </w:rPr>
      </w:pPr>
      <w:r w:rsidRPr="00366C55">
        <w:rPr>
          <w:rFonts w:ascii="Times New Roman" w:hAnsi="Times New Roman"/>
          <w:sz w:val="24"/>
          <w:szCs w:val="24"/>
        </w:rPr>
        <w:t xml:space="preserve"> Mise en œuvre du Plan d’urgence </w:t>
      </w:r>
    </w:p>
    <w:p w14:paraId="29D88AAF" w14:textId="47955A86" w:rsidR="003641E4" w:rsidRPr="00366C55" w:rsidRDefault="003641E4" w:rsidP="00215867">
      <w:pPr>
        <w:pStyle w:val="Normal12"/>
        <w:numPr>
          <w:ilvl w:val="0"/>
          <w:numId w:val="392"/>
        </w:numPr>
        <w:ind w:left="1276" w:hanging="425"/>
      </w:pPr>
      <w:bookmarkStart w:id="869" w:name="_Toc84078407"/>
      <w:r w:rsidRPr="00366C55">
        <w:rPr>
          <w:rFonts w:eastAsia="Arial"/>
        </w:rPr>
        <w:t>Soins médicaux</w:t>
      </w:r>
      <w:bookmarkEnd w:id="869"/>
      <w:r w:rsidRPr="00366C55">
        <w:rPr>
          <w:rFonts w:eastAsia="Arial"/>
        </w:rPr>
        <w:t xml:space="preserve"> </w:t>
      </w:r>
    </w:p>
    <w:p w14:paraId="734D3376"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Il sera envisagé un </w:t>
      </w:r>
      <w:r w:rsidRPr="00215867">
        <w:rPr>
          <w:rFonts w:ascii="Times New Roman" w:hAnsi="Times New Roman"/>
          <w:sz w:val="24"/>
          <w:szCs w:val="24"/>
        </w:rPr>
        <w:t>déclenchement</w:t>
      </w:r>
      <w:r w:rsidRPr="00366C55">
        <w:rPr>
          <w:rFonts w:ascii="Times New Roman" w:eastAsia="Arial" w:hAnsi="Times New Roman"/>
          <w:sz w:val="24"/>
          <w:szCs w:val="24"/>
        </w:rPr>
        <w:t xml:space="preserve"> d’une chaîne médicale de secours et de soins au niveau des </w:t>
      </w:r>
      <w:r w:rsidRPr="00366C55">
        <w:rPr>
          <w:rFonts w:ascii="Times New Roman" w:hAnsi="Times New Roman"/>
          <w:sz w:val="24"/>
          <w:szCs w:val="24"/>
        </w:rPr>
        <w:t xml:space="preserve">structures opérationnelles spécialisées qui permettra ainsi : </w:t>
      </w:r>
    </w:p>
    <w:p w14:paraId="73BC388A"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D’apporter les secours et les soins aux victimes ;</w:t>
      </w:r>
      <w:r w:rsidRPr="00215867">
        <w:rPr>
          <w:rFonts w:ascii="Times New Roman" w:eastAsia="Arial" w:hAnsi="Times New Roman"/>
          <w:sz w:val="24"/>
          <w:szCs w:val="24"/>
        </w:rPr>
        <w:t xml:space="preserve"> </w:t>
      </w:r>
    </w:p>
    <w:p w14:paraId="16D1FDF2"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De prévenir les épidémies ; </w:t>
      </w:r>
    </w:p>
    <w:p w14:paraId="1107F17A"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D’améliorer les structures sanitaires dégradées.</w:t>
      </w:r>
      <w:r w:rsidRPr="00215867">
        <w:rPr>
          <w:rFonts w:ascii="Times New Roman" w:eastAsia="Arial" w:hAnsi="Times New Roman"/>
          <w:sz w:val="24"/>
          <w:szCs w:val="24"/>
        </w:rPr>
        <w:t xml:space="preserve"> </w:t>
      </w:r>
    </w:p>
    <w:p w14:paraId="78C79083" w14:textId="79F53F65" w:rsidR="003641E4" w:rsidRPr="00215867" w:rsidRDefault="003641E4" w:rsidP="00215867">
      <w:pPr>
        <w:pStyle w:val="Normal12"/>
        <w:numPr>
          <w:ilvl w:val="0"/>
          <w:numId w:val="392"/>
        </w:numPr>
        <w:ind w:left="1276" w:hanging="425"/>
        <w:rPr>
          <w:rFonts w:eastAsia="Arial"/>
        </w:rPr>
      </w:pPr>
      <w:bookmarkStart w:id="870" w:name="_Toc84078408"/>
      <w:r w:rsidRPr="00215867">
        <w:rPr>
          <w:rFonts w:eastAsia="Arial"/>
        </w:rPr>
        <w:t>Hébergement d’urgence</w:t>
      </w:r>
      <w:bookmarkEnd w:id="870"/>
      <w:r w:rsidRPr="00215867">
        <w:rPr>
          <w:rFonts w:eastAsia="Arial"/>
        </w:rPr>
        <w:t xml:space="preserve"> </w:t>
      </w:r>
    </w:p>
    <w:p w14:paraId="1AFFDE77"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L’hébergement est réalisé soit dans des structures déjà aménagées, repérées ou préparées </w:t>
      </w:r>
      <w:r w:rsidRPr="00366C55">
        <w:rPr>
          <w:rFonts w:ascii="Times New Roman" w:hAnsi="Times New Roman"/>
          <w:sz w:val="24"/>
          <w:szCs w:val="24"/>
        </w:rPr>
        <w:t xml:space="preserve">au préalable </w:t>
      </w:r>
      <w:r w:rsidRPr="00366C55">
        <w:rPr>
          <w:rFonts w:ascii="Times New Roman" w:eastAsia="Arial" w:hAnsi="Times New Roman"/>
          <w:sz w:val="24"/>
          <w:szCs w:val="24"/>
        </w:rPr>
        <w:t>soit dans des édifices ou bâtiments susceptibles d’être réaménagés à cet effet, soit dans des campements mobilisables à travers l’aide humanitaire (avec des relations préalables à établir).</w:t>
      </w:r>
      <w:r w:rsidRPr="00366C55">
        <w:rPr>
          <w:rFonts w:ascii="Times New Roman" w:hAnsi="Times New Roman"/>
          <w:sz w:val="24"/>
          <w:szCs w:val="24"/>
        </w:rPr>
        <w:t xml:space="preserve"> </w:t>
      </w:r>
    </w:p>
    <w:p w14:paraId="65062BDB" w14:textId="508E02BF" w:rsidR="003641E4" w:rsidRPr="00215867" w:rsidRDefault="003641E4" w:rsidP="00215867">
      <w:pPr>
        <w:pStyle w:val="Normal12"/>
        <w:numPr>
          <w:ilvl w:val="0"/>
          <w:numId w:val="392"/>
        </w:numPr>
        <w:ind w:left="1276" w:hanging="425"/>
        <w:rPr>
          <w:rFonts w:eastAsia="Arial"/>
        </w:rPr>
      </w:pPr>
      <w:r w:rsidRPr="00215867">
        <w:rPr>
          <w:rFonts w:eastAsia="Arial"/>
        </w:rPr>
        <w:t xml:space="preserve"> Accès à l’eau et à l’alimentation </w:t>
      </w:r>
    </w:p>
    <w:p w14:paraId="38CD6C57" w14:textId="77777777" w:rsidR="003641E4"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Le ravitaillement de la population en nourriture et eau potable devra être assuré. Il est indispensable à </w:t>
      </w:r>
      <w:r w:rsidRPr="00366C55">
        <w:rPr>
          <w:rFonts w:ascii="Times New Roman" w:eastAsia="Arial" w:hAnsi="Times New Roman"/>
          <w:sz w:val="24"/>
          <w:szCs w:val="24"/>
        </w:rPr>
        <w:t xml:space="preserve">cet égard d’entretenir une base de données des fournisseurs des intrants alimentaires. Les populations </w:t>
      </w:r>
      <w:r w:rsidRPr="00366C55">
        <w:rPr>
          <w:rFonts w:ascii="Times New Roman" w:hAnsi="Times New Roman"/>
          <w:sz w:val="24"/>
          <w:szCs w:val="24"/>
        </w:rPr>
        <w:t>doivent être informées des possi</w:t>
      </w:r>
      <w:r w:rsidRPr="00366C55">
        <w:rPr>
          <w:rFonts w:ascii="Times New Roman" w:eastAsia="Arial" w:hAnsi="Times New Roman"/>
          <w:sz w:val="24"/>
          <w:szCs w:val="24"/>
        </w:rPr>
        <w:t>bilités et des procédures d’accès à l’eau potable</w:t>
      </w:r>
      <w:r w:rsidRPr="00366C55">
        <w:rPr>
          <w:rFonts w:ascii="Times New Roman" w:hAnsi="Times New Roman"/>
          <w:sz w:val="24"/>
          <w:szCs w:val="24"/>
        </w:rPr>
        <w:t xml:space="preserve">.   </w:t>
      </w:r>
    </w:p>
    <w:p w14:paraId="5C864509" w14:textId="77777777" w:rsidR="00954E29" w:rsidRPr="00366C55" w:rsidRDefault="00954E29" w:rsidP="00215867">
      <w:pPr>
        <w:spacing w:before="120" w:after="120" w:line="276" w:lineRule="auto"/>
        <w:ind w:left="-6" w:right="11"/>
        <w:jc w:val="both"/>
        <w:rPr>
          <w:rFonts w:ascii="Times New Roman" w:hAnsi="Times New Roman"/>
          <w:sz w:val="24"/>
          <w:szCs w:val="24"/>
        </w:rPr>
      </w:pPr>
    </w:p>
    <w:p w14:paraId="3BC22224" w14:textId="730C395E" w:rsidR="003641E4" w:rsidRPr="00215867" w:rsidRDefault="003641E4" w:rsidP="00215867">
      <w:pPr>
        <w:pStyle w:val="Normal12"/>
        <w:numPr>
          <w:ilvl w:val="0"/>
          <w:numId w:val="392"/>
        </w:numPr>
        <w:ind w:left="1276" w:hanging="425"/>
        <w:rPr>
          <w:rFonts w:eastAsia="Arial"/>
        </w:rPr>
      </w:pPr>
      <w:bookmarkStart w:id="871" w:name="_Toc84078409"/>
      <w:r w:rsidRPr="00954E29">
        <w:rPr>
          <w:rFonts w:eastAsia="Arial"/>
        </w:rPr>
        <w:t>Personnes séparées</w:t>
      </w:r>
      <w:bookmarkEnd w:id="871"/>
      <w:r w:rsidRPr="00954E29">
        <w:rPr>
          <w:rFonts w:eastAsia="Arial"/>
        </w:rPr>
        <w:t xml:space="preserve"> </w:t>
      </w:r>
    </w:p>
    <w:p w14:paraId="21A4A56F"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Il sera question de mettre en place un dispositif de gestion des personnes séparées de leur famille en particulier (i) les enfants non accompagnés et (ii) les personnes décédées. </w:t>
      </w:r>
    </w:p>
    <w:p w14:paraId="446B4B72"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La gestion des personnes décédées sera rigoureusement encadrée à travers les autorités à mobiliser. </w:t>
      </w:r>
      <w:r w:rsidRPr="00366C55">
        <w:rPr>
          <w:rFonts w:ascii="Times New Roman" w:eastAsia="Arial" w:hAnsi="Times New Roman"/>
          <w:sz w:val="24"/>
          <w:szCs w:val="24"/>
        </w:rPr>
        <w:t>Des procédures mises en place seront observées pour organiser l’identification et la conservation des corps, les autopsies, l’établissement des act</w:t>
      </w:r>
      <w:r w:rsidRPr="00366C55">
        <w:rPr>
          <w:rFonts w:ascii="Times New Roman" w:hAnsi="Times New Roman"/>
          <w:sz w:val="24"/>
          <w:szCs w:val="24"/>
        </w:rPr>
        <w:t xml:space="preserve">es de décès à des fins médico-légales. Dans certaines circonstances, le traitement des corps sera décidé par la structure de coordination. </w:t>
      </w:r>
    </w:p>
    <w:p w14:paraId="633A3020" w14:textId="3701BF23" w:rsidR="003641E4" w:rsidRPr="00215867" w:rsidRDefault="003641E4" w:rsidP="00215867">
      <w:pPr>
        <w:pStyle w:val="Normal12"/>
        <w:numPr>
          <w:ilvl w:val="0"/>
          <w:numId w:val="392"/>
        </w:numPr>
        <w:ind w:left="1276" w:hanging="425"/>
        <w:rPr>
          <w:rFonts w:eastAsia="Arial"/>
        </w:rPr>
      </w:pPr>
      <w:r w:rsidRPr="00215867">
        <w:rPr>
          <w:rFonts w:eastAsia="Arial"/>
        </w:rPr>
        <w:t xml:space="preserve">Rétablissement des réseaux d’eau et d’électricité </w:t>
      </w:r>
    </w:p>
    <w:p w14:paraId="4A55220D"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Il s’agira de prévoir la mise en place des mesures d’exploitation qui permettent d’assurer un relatif équilibre entre l’offre en situation dégradée et la demande. Des conventions seront signées à cet égard </w:t>
      </w:r>
      <w:r w:rsidRPr="00366C55">
        <w:rPr>
          <w:rFonts w:ascii="Times New Roman" w:hAnsi="Times New Roman"/>
          <w:sz w:val="24"/>
          <w:szCs w:val="24"/>
        </w:rPr>
        <w:t xml:space="preserve">avec les opérateurs publics ou privés intervenant dans ces secteurs. </w:t>
      </w:r>
    </w:p>
    <w:p w14:paraId="3F08322D" w14:textId="590E8272" w:rsidR="003641E4" w:rsidRPr="00215867" w:rsidRDefault="003641E4" w:rsidP="00215867">
      <w:pPr>
        <w:pStyle w:val="Normal12"/>
        <w:numPr>
          <w:ilvl w:val="0"/>
          <w:numId w:val="392"/>
        </w:numPr>
        <w:ind w:left="1276" w:hanging="425"/>
        <w:rPr>
          <w:rFonts w:eastAsia="Arial"/>
        </w:rPr>
      </w:pPr>
      <w:r w:rsidRPr="00215867">
        <w:rPr>
          <w:rFonts w:eastAsia="Arial"/>
        </w:rPr>
        <w:t xml:space="preserve">Approvisionnement en hydrocarbures </w:t>
      </w:r>
    </w:p>
    <w:p w14:paraId="3879BFF1"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Il s’agira </w:t>
      </w:r>
      <w:r w:rsidRPr="00366C55">
        <w:rPr>
          <w:rFonts w:ascii="Times New Roman" w:hAnsi="Times New Roman"/>
          <w:sz w:val="24"/>
          <w:szCs w:val="24"/>
        </w:rPr>
        <w:t xml:space="preserve">ici de mettre en place des mesures de restriction de la consommation en vue de </w:t>
      </w:r>
      <w:r w:rsidRPr="00366C55">
        <w:rPr>
          <w:rFonts w:ascii="Times New Roman" w:eastAsia="Arial" w:hAnsi="Times New Roman"/>
          <w:sz w:val="24"/>
          <w:szCs w:val="24"/>
        </w:rPr>
        <w:t xml:space="preserve">l’approvisionnement des véhicules prioritaires. Des conventions seront signées à cet égard avec les </w:t>
      </w:r>
      <w:r w:rsidRPr="00366C55">
        <w:rPr>
          <w:rFonts w:ascii="Times New Roman" w:hAnsi="Times New Roman"/>
          <w:sz w:val="24"/>
          <w:szCs w:val="24"/>
        </w:rPr>
        <w:t xml:space="preserve">Opérateurs </w:t>
      </w:r>
      <w:r w:rsidRPr="00215867">
        <w:rPr>
          <w:rFonts w:ascii="Times New Roman" w:eastAsia="Arial" w:hAnsi="Times New Roman"/>
          <w:sz w:val="24"/>
          <w:szCs w:val="24"/>
        </w:rPr>
        <w:t>publics</w:t>
      </w:r>
      <w:r w:rsidRPr="00366C55">
        <w:rPr>
          <w:rFonts w:ascii="Times New Roman" w:hAnsi="Times New Roman"/>
          <w:sz w:val="24"/>
          <w:szCs w:val="24"/>
        </w:rPr>
        <w:t xml:space="preserve"> ou privés intervenant dans ces secteurs. </w:t>
      </w:r>
    </w:p>
    <w:p w14:paraId="31C540FE" w14:textId="1CAF3C5D" w:rsidR="003641E4" w:rsidRPr="00215867" w:rsidRDefault="003641E4" w:rsidP="00215867">
      <w:pPr>
        <w:pStyle w:val="Normal12"/>
        <w:numPr>
          <w:ilvl w:val="0"/>
          <w:numId w:val="392"/>
        </w:numPr>
        <w:ind w:left="1276" w:hanging="425"/>
        <w:rPr>
          <w:rFonts w:eastAsia="Arial"/>
        </w:rPr>
      </w:pPr>
      <w:r w:rsidRPr="00215867">
        <w:rPr>
          <w:rFonts w:eastAsia="Arial"/>
        </w:rPr>
        <w:t xml:space="preserve"> Aspects financiers </w:t>
      </w:r>
    </w:p>
    <w:p w14:paraId="775B0BD7"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Un fonds d’urgence sera mis en place pour répondre rapidement aux besoins de la phase d’intervention d’urgence. Des procédures de réquisition des ressources matérielles et logistiques seront m</w:t>
      </w:r>
      <w:r w:rsidRPr="00366C55">
        <w:rPr>
          <w:rFonts w:ascii="Times New Roman" w:hAnsi="Times New Roman"/>
          <w:sz w:val="24"/>
          <w:szCs w:val="24"/>
        </w:rPr>
        <w:t xml:space="preserve">ises en place et diffusées. Les procédures de mobilisation des ressources auprès des partenaires doivent être connues. </w:t>
      </w:r>
    </w:p>
    <w:p w14:paraId="7AE22074" w14:textId="09AB7350" w:rsidR="003641E4" w:rsidRPr="00215867" w:rsidRDefault="003641E4" w:rsidP="00215867">
      <w:pPr>
        <w:pStyle w:val="Normal12"/>
        <w:numPr>
          <w:ilvl w:val="0"/>
          <w:numId w:val="392"/>
        </w:numPr>
        <w:ind w:left="1276" w:hanging="425"/>
        <w:rPr>
          <w:rFonts w:eastAsia="Arial"/>
        </w:rPr>
      </w:pPr>
      <w:r w:rsidRPr="00215867">
        <w:rPr>
          <w:rFonts w:eastAsia="Arial"/>
        </w:rPr>
        <w:t xml:space="preserve">Aspects juridiques </w:t>
      </w:r>
    </w:p>
    <w:p w14:paraId="5003EAF7"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Il faudra mobiliser le cadre réglementaire des enquêtes visant à déterminer les causes et à établir les diverses responsabilités. </w:t>
      </w:r>
      <w:r w:rsidRPr="00366C55">
        <w:rPr>
          <w:rFonts w:ascii="Times New Roman" w:eastAsia="Arial" w:hAnsi="Times New Roman"/>
          <w:sz w:val="24"/>
          <w:szCs w:val="24"/>
        </w:rPr>
        <w:t>Il sera question d’orga</w:t>
      </w:r>
      <w:r w:rsidRPr="00366C55">
        <w:rPr>
          <w:rFonts w:ascii="Times New Roman" w:hAnsi="Times New Roman"/>
          <w:sz w:val="24"/>
          <w:szCs w:val="24"/>
        </w:rPr>
        <w:t xml:space="preserve">niser les procédures de dédommagement, </w:t>
      </w:r>
      <w:r w:rsidRPr="00366C55">
        <w:rPr>
          <w:rFonts w:ascii="Times New Roman" w:eastAsia="Arial" w:hAnsi="Times New Roman"/>
          <w:sz w:val="24"/>
          <w:szCs w:val="24"/>
        </w:rPr>
        <w:t>d’indemnisation, etc. La documentation disponible sur les précautions prises dans le cadre du Projet, sera sauvegardée pour cela sur format numérique, au niveau d’un clo</w:t>
      </w:r>
      <w:r w:rsidRPr="00366C55">
        <w:rPr>
          <w:rFonts w:ascii="Times New Roman" w:hAnsi="Times New Roman"/>
          <w:sz w:val="24"/>
          <w:szCs w:val="24"/>
        </w:rPr>
        <w:t xml:space="preserve">ud dédié et mise à disposition de façon ad-hoc aux autorités. </w:t>
      </w:r>
    </w:p>
    <w:p w14:paraId="4159E411" w14:textId="11736808" w:rsidR="003641E4" w:rsidRPr="00366C55" w:rsidRDefault="003641E4" w:rsidP="00215867">
      <w:pPr>
        <w:pStyle w:val="Normal12"/>
        <w:numPr>
          <w:ilvl w:val="0"/>
          <w:numId w:val="392"/>
        </w:numPr>
        <w:ind w:left="1276" w:hanging="425"/>
        <w:rPr>
          <w:szCs w:val="24"/>
        </w:rPr>
      </w:pPr>
      <w:r w:rsidRPr="00215867">
        <w:rPr>
          <w:rFonts w:eastAsia="Arial"/>
        </w:rPr>
        <w:t xml:space="preserve">Modalités de réception de l’aide extérieure </w:t>
      </w:r>
    </w:p>
    <w:p w14:paraId="308F2DF4"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Le principe à suivre </w:t>
      </w:r>
      <w:r w:rsidRPr="00215867">
        <w:rPr>
          <w:rFonts w:ascii="Times New Roman" w:eastAsia="Arial" w:hAnsi="Times New Roman"/>
          <w:sz w:val="24"/>
          <w:szCs w:val="24"/>
        </w:rPr>
        <w:t>consistera</w:t>
      </w:r>
      <w:r w:rsidRPr="00366C55">
        <w:rPr>
          <w:rFonts w:ascii="Times New Roman" w:hAnsi="Times New Roman"/>
          <w:sz w:val="24"/>
          <w:szCs w:val="24"/>
        </w:rPr>
        <w:t xml:space="preserve"> de mettre en place et diffuser au préalable auprès des autorités et </w:t>
      </w:r>
      <w:r w:rsidRPr="00366C55">
        <w:rPr>
          <w:rFonts w:ascii="Times New Roman" w:eastAsia="Arial" w:hAnsi="Times New Roman"/>
          <w:sz w:val="24"/>
          <w:szCs w:val="24"/>
        </w:rPr>
        <w:t>d’ONGs :</w:t>
      </w:r>
      <w:r w:rsidRPr="00366C55">
        <w:rPr>
          <w:rFonts w:ascii="Times New Roman" w:hAnsi="Times New Roman"/>
          <w:sz w:val="24"/>
          <w:szCs w:val="24"/>
        </w:rPr>
        <w:t xml:space="preserve"> </w:t>
      </w:r>
    </w:p>
    <w:p w14:paraId="7FE2B1F1" w14:textId="7FC4AADB"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Les procédures </w:t>
      </w:r>
      <w:r w:rsidRPr="00366C55">
        <w:rPr>
          <w:rFonts w:ascii="Times New Roman" w:eastAsia="Arial" w:hAnsi="Times New Roman"/>
          <w:sz w:val="24"/>
          <w:szCs w:val="24"/>
        </w:rPr>
        <w:t xml:space="preserve">simplifiées d’exonération des ressources provenant des aides extérieures </w:t>
      </w:r>
    </w:p>
    <w:p w14:paraId="36D1759E"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Les procédures de « laissez passer humanitaire » pour les caravanes et convois humanitaires ; </w:t>
      </w:r>
    </w:p>
    <w:p w14:paraId="1C9A0D09"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Les procédures de réception des aéronefs transportant les aides dans les aéroports.</w:t>
      </w:r>
    </w:p>
    <w:p w14:paraId="5CF2D58E" w14:textId="36DB8753" w:rsidR="003641E4" w:rsidRPr="00215867" w:rsidRDefault="003641E4" w:rsidP="00215867">
      <w:pPr>
        <w:pStyle w:val="Normal12"/>
        <w:numPr>
          <w:ilvl w:val="0"/>
          <w:numId w:val="392"/>
        </w:numPr>
        <w:spacing w:before="120" w:after="120"/>
        <w:ind w:left="1276" w:hanging="425"/>
        <w:rPr>
          <w:rFonts w:eastAsia="Arial"/>
        </w:rPr>
      </w:pPr>
      <w:r w:rsidRPr="00215867">
        <w:rPr>
          <w:rFonts w:eastAsia="Arial"/>
        </w:rPr>
        <w:t xml:space="preserve">Besoins </w:t>
      </w:r>
    </w:p>
    <w:p w14:paraId="6AF786C5"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La prévention passe </w:t>
      </w:r>
      <w:r w:rsidRPr="00215867">
        <w:rPr>
          <w:rFonts w:ascii="Times New Roman" w:eastAsia="Arial" w:hAnsi="Times New Roman"/>
          <w:sz w:val="24"/>
          <w:szCs w:val="24"/>
        </w:rPr>
        <w:t>par</w:t>
      </w:r>
      <w:r w:rsidRPr="00366C55">
        <w:rPr>
          <w:rFonts w:ascii="Times New Roman" w:hAnsi="Times New Roman"/>
          <w:sz w:val="24"/>
          <w:szCs w:val="24"/>
        </w:rPr>
        <w:t xml:space="preserve"> la préparation des aspects suivants : </w:t>
      </w:r>
    </w:p>
    <w:p w14:paraId="34FA19C5"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Cartographie des zones à risque du Projet. </w:t>
      </w:r>
    </w:p>
    <w:p w14:paraId="79BB6B1C"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Matériel de communication, de transmission et roulants pour les services compétents ; </w:t>
      </w:r>
    </w:p>
    <w:p w14:paraId="26091B7E"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Signalisation sonore : réseau de </w:t>
      </w:r>
      <w:r w:rsidRPr="00366C55">
        <w:rPr>
          <w:rFonts w:ascii="Times New Roman" w:eastAsia="Arial" w:hAnsi="Times New Roman"/>
          <w:sz w:val="24"/>
          <w:szCs w:val="24"/>
        </w:rPr>
        <w:t xml:space="preserve">sirènes, équipement des collectivités par des outils d’alerte </w:t>
      </w:r>
      <w:r w:rsidRPr="00215867">
        <w:rPr>
          <w:rFonts w:ascii="Times New Roman" w:eastAsia="Arial" w:hAnsi="Times New Roman"/>
          <w:sz w:val="24"/>
          <w:szCs w:val="24"/>
        </w:rPr>
        <w:t xml:space="preserve">sonore ; </w:t>
      </w:r>
    </w:p>
    <w:p w14:paraId="4670703D"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Création de numéros d’urgence gratuits, de numéros verts en cas de crise ;</w:t>
      </w:r>
      <w:r w:rsidRPr="00215867">
        <w:rPr>
          <w:rFonts w:ascii="Times New Roman" w:eastAsia="Arial" w:hAnsi="Times New Roman"/>
          <w:sz w:val="24"/>
          <w:szCs w:val="24"/>
        </w:rPr>
        <w:t xml:space="preserve"> </w:t>
      </w:r>
    </w:p>
    <w:p w14:paraId="628EA83A"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Messages de consignes essentielles de sécurité préenregistrés dans les médias ; </w:t>
      </w:r>
    </w:p>
    <w:p w14:paraId="15D8B1A2"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Mise en place d’un système communautaire de surveillance et d‘alerte ;</w:t>
      </w:r>
      <w:r w:rsidRPr="00215867">
        <w:rPr>
          <w:rFonts w:ascii="Times New Roman" w:eastAsia="Arial" w:hAnsi="Times New Roman"/>
          <w:sz w:val="24"/>
          <w:szCs w:val="24"/>
        </w:rPr>
        <w:t xml:space="preserve"> </w:t>
      </w:r>
    </w:p>
    <w:p w14:paraId="3523514B"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Développement d’un partenariat avec les fournisseurs de téléphonie mobile pour faciliter la circulation de l’information en temps de crise ;</w:t>
      </w:r>
      <w:r w:rsidRPr="00215867">
        <w:rPr>
          <w:rFonts w:ascii="Times New Roman" w:eastAsia="Arial" w:hAnsi="Times New Roman"/>
          <w:sz w:val="24"/>
          <w:szCs w:val="24"/>
        </w:rPr>
        <w:t xml:space="preserve"> </w:t>
      </w:r>
    </w:p>
    <w:p w14:paraId="26F281FD"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Prévision des dispositifs de communication par satellite et de prise en charge des victimes à distance ; </w:t>
      </w:r>
    </w:p>
    <w:p w14:paraId="40719549"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Formation des acteurs du Projet et des autres sectoriels ; </w:t>
      </w:r>
    </w:p>
    <w:p w14:paraId="6078EB35"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Formation d’une masse critique de ressources humaines capables d’int</w:t>
      </w:r>
      <w:r w:rsidRPr="00215867">
        <w:rPr>
          <w:rFonts w:ascii="Times New Roman" w:eastAsia="Arial" w:hAnsi="Times New Roman"/>
          <w:sz w:val="24"/>
          <w:szCs w:val="24"/>
        </w:rPr>
        <w:t xml:space="preserve">ervenir en situation </w:t>
      </w:r>
      <w:r w:rsidRPr="00366C55">
        <w:rPr>
          <w:rFonts w:ascii="Times New Roman" w:eastAsia="Arial" w:hAnsi="Times New Roman"/>
          <w:sz w:val="24"/>
          <w:szCs w:val="24"/>
        </w:rPr>
        <w:t>d’urgence</w:t>
      </w:r>
      <w:r w:rsidRPr="00215867">
        <w:rPr>
          <w:rFonts w:ascii="Times New Roman" w:eastAsia="Arial" w:hAnsi="Times New Roman"/>
          <w:sz w:val="24"/>
          <w:szCs w:val="24"/>
        </w:rPr>
        <w:t xml:space="preserve"> ; </w:t>
      </w:r>
    </w:p>
    <w:p w14:paraId="639F7053" w14:textId="1EE3470F" w:rsidR="003641E4" w:rsidRPr="007C5130" w:rsidRDefault="003641E4" w:rsidP="00215867">
      <w:pPr>
        <w:numPr>
          <w:ilvl w:val="0"/>
          <w:numId w:val="308"/>
        </w:numPr>
        <w:spacing w:after="0" w:line="240" w:lineRule="auto"/>
        <w:ind w:left="567" w:right="14" w:hanging="425"/>
        <w:jc w:val="both"/>
        <w:rPr>
          <w:rFonts w:ascii="Times New Roman" w:hAnsi="Times New Roman"/>
          <w:sz w:val="24"/>
          <w:szCs w:val="24"/>
        </w:rPr>
      </w:pPr>
      <w:r w:rsidRPr="00215867">
        <w:rPr>
          <w:rFonts w:ascii="Times New Roman" w:eastAsia="Arial" w:hAnsi="Times New Roman"/>
          <w:sz w:val="24"/>
          <w:szCs w:val="24"/>
        </w:rPr>
        <w:t xml:space="preserve">Programme de sensibilisation des zones à risques. </w:t>
      </w:r>
    </w:p>
    <w:p w14:paraId="76A513FD" w14:textId="1029BE01" w:rsidR="003641E4" w:rsidRPr="00215867" w:rsidRDefault="003641E4" w:rsidP="00215867">
      <w:pPr>
        <w:pStyle w:val="Normal12"/>
        <w:numPr>
          <w:ilvl w:val="0"/>
          <w:numId w:val="392"/>
        </w:numPr>
        <w:spacing w:before="120" w:after="120"/>
        <w:ind w:left="1276" w:hanging="425"/>
        <w:rPr>
          <w:rFonts w:eastAsia="Arial"/>
        </w:rPr>
      </w:pPr>
      <w:r w:rsidRPr="00215867">
        <w:rPr>
          <w:rFonts w:eastAsia="Arial"/>
        </w:rPr>
        <w:t xml:space="preserve">Ressources matérielles et logistiques </w:t>
      </w:r>
    </w:p>
    <w:p w14:paraId="35FCCA12"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Il s’agit </w:t>
      </w:r>
      <w:r w:rsidRPr="00215867">
        <w:rPr>
          <w:rFonts w:ascii="Times New Roman" w:hAnsi="Times New Roman"/>
          <w:sz w:val="24"/>
          <w:szCs w:val="24"/>
        </w:rPr>
        <w:t>d’assurer</w:t>
      </w:r>
      <w:r w:rsidRPr="00366C55">
        <w:rPr>
          <w:rFonts w:ascii="Times New Roman" w:eastAsia="Arial" w:hAnsi="Times New Roman"/>
          <w:sz w:val="24"/>
          <w:szCs w:val="24"/>
        </w:rPr>
        <w:t xml:space="preserve"> au préalable la disponibilité de moyens pour permettre de réagit en temps de crise.</w:t>
      </w:r>
      <w:r w:rsidRPr="00366C55">
        <w:rPr>
          <w:rFonts w:ascii="Times New Roman" w:hAnsi="Times New Roman"/>
          <w:sz w:val="24"/>
          <w:szCs w:val="24"/>
        </w:rPr>
        <w:t xml:space="preserve"> </w:t>
      </w:r>
    </w:p>
    <w:p w14:paraId="3DE0E370"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A cet effet il faut : </w:t>
      </w:r>
    </w:p>
    <w:p w14:paraId="778223CA"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Prévoir des hangars et entrepôts au niveau des communes et de points stratégiques (principales </w:t>
      </w:r>
      <w:r w:rsidRPr="00366C55">
        <w:rPr>
          <w:rFonts w:ascii="Times New Roman" w:eastAsia="Arial" w:hAnsi="Times New Roman"/>
          <w:sz w:val="24"/>
          <w:szCs w:val="24"/>
        </w:rPr>
        <w:t>localités et marchés…) dans la zone d’intervention du projet</w:t>
      </w:r>
      <w:r w:rsidRPr="00215867">
        <w:rPr>
          <w:rFonts w:ascii="Times New Roman" w:eastAsia="Arial" w:hAnsi="Times New Roman"/>
          <w:sz w:val="24"/>
          <w:szCs w:val="24"/>
        </w:rPr>
        <w:t xml:space="preserve"> ; </w:t>
      </w:r>
    </w:p>
    <w:p w14:paraId="56A3EFFF"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Préparer pour chaque localité affectée des lots/stocks de protection civile, disposés en lots palettisables afin de faciliter le transport dans les zones sinistrées. Ces lots seront constitués des matériels suivants : groupes électrogènes, matériel de désincarcération, tentes, </w:t>
      </w:r>
      <w:r w:rsidRPr="00366C55">
        <w:rPr>
          <w:rFonts w:ascii="Times New Roman" w:eastAsia="Arial" w:hAnsi="Times New Roman"/>
          <w:sz w:val="24"/>
          <w:szCs w:val="24"/>
        </w:rPr>
        <w:t xml:space="preserve">chapiteaux, couvertures, eau, stocks d’aliments non périssables, stocks de médicaments et </w:t>
      </w:r>
      <w:r w:rsidRPr="00215867">
        <w:rPr>
          <w:rFonts w:ascii="Times New Roman" w:eastAsia="Arial" w:hAnsi="Times New Roman"/>
          <w:sz w:val="24"/>
          <w:szCs w:val="24"/>
        </w:rPr>
        <w:t>vaccins, matériel de traitement des corps, matériel de protection, matériel de brancardage, kits de pr</w:t>
      </w:r>
      <w:r w:rsidRPr="00366C55">
        <w:rPr>
          <w:rFonts w:ascii="Times New Roman" w:eastAsia="Arial" w:hAnsi="Times New Roman"/>
          <w:sz w:val="24"/>
          <w:szCs w:val="24"/>
        </w:rPr>
        <w:t>emiers secours, kits d’urgence, etc.</w:t>
      </w:r>
      <w:r w:rsidRPr="00215867">
        <w:rPr>
          <w:rFonts w:ascii="Times New Roman" w:eastAsia="Arial" w:hAnsi="Times New Roman"/>
          <w:sz w:val="24"/>
          <w:szCs w:val="24"/>
        </w:rPr>
        <w:t xml:space="preserve"> ; </w:t>
      </w:r>
    </w:p>
    <w:p w14:paraId="6A3AEDF7"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Conserver des stocks de sécurité dans les secteurs sensibles (alimentation, eau, hydrocarbures) ; </w:t>
      </w:r>
    </w:p>
    <w:p w14:paraId="71C7FEE2"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Acquérir les moyens de transmission dans les conditions de dégradation des réseaux conventionnels ; (stations radio, téléphones satellitaires, etc.) ; </w:t>
      </w:r>
    </w:p>
    <w:p w14:paraId="208A225C"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Acquérir le matériel roulant : camions/conteneurs pour le transport des matériels, moyens </w:t>
      </w:r>
      <w:r w:rsidRPr="00366C55">
        <w:rPr>
          <w:rFonts w:ascii="Times New Roman" w:eastAsia="Arial" w:hAnsi="Times New Roman"/>
          <w:sz w:val="24"/>
          <w:szCs w:val="24"/>
        </w:rPr>
        <w:t>de transport des équipes d’intervention, des victimes.</w:t>
      </w:r>
      <w:r w:rsidRPr="00215867">
        <w:rPr>
          <w:rFonts w:ascii="Times New Roman" w:eastAsia="Arial" w:hAnsi="Times New Roman"/>
          <w:sz w:val="24"/>
          <w:szCs w:val="24"/>
        </w:rPr>
        <w:t xml:space="preserve"> </w:t>
      </w:r>
    </w:p>
    <w:p w14:paraId="4826C2D4" w14:textId="2C6ADEA4" w:rsidR="003641E4" w:rsidRPr="00215867" w:rsidRDefault="007C5130" w:rsidP="00215867">
      <w:pPr>
        <w:pStyle w:val="Normal12"/>
        <w:numPr>
          <w:ilvl w:val="0"/>
          <w:numId w:val="392"/>
        </w:numPr>
        <w:spacing w:before="120" w:after="120"/>
        <w:ind w:left="1276" w:hanging="425"/>
        <w:rPr>
          <w:rFonts w:eastAsia="Arial"/>
        </w:rPr>
      </w:pPr>
      <w:r>
        <w:rPr>
          <w:rFonts w:eastAsia="Arial"/>
        </w:rPr>
        <w:t xml:space="preserve"> </w:t>
      </w:r>
      <w:r w:rsidR="003641E4" w:rsidRPr="00215867">
        <w:rPr>
          <w:rFonts w:eastAsia="Arial"/>
        </w:rPr>
        <w:t xml:space="preserve">Ressources humaines </w:t>
      </w:r>
    </w:p>
    <w:p w14:paraId="120D25BF"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366C55">
        <w:rPr>
          <w:rFonts w:ascii="Times New Roman" w:eastAsia="Arial" w:hAnsi="Times New Roman"/>
          <w:sz w:val="24"/>
          <w:szCs w:val="24"/>
        </w:rPr>
        <w:t xml:space="preserve">Former les acteurs dans les différents domaines d’intervention (secours, santé, eau, assainissement, </w:t>
      </w:r>
      <w:r w:rsidRPr="00215867">
        <w:rPr>
          <w:rFonts w:ascii="Times New Roman" w:eastAsia="Arial" w:hAnsi="Times New Roman"/>
          <w:sz w:val="24"/>
          <w:szCs w:val="24"/>
        </w:rPr>
        <w:t xml:space="preserve">prise en charge psycho-sociale des victimes ; </w:t>
      </w:r>
    </w:p>
    <w:p w14:paraId="1D6DC4FD" w14:textId="77777777" w:rsidR="003641E4" w:rsidRPr="00215867" w:rsidRDefault="003641E4" w:rsidP="00215867">
      <w:pPr>
        <w:numPr>
          <w:ilvl w:val="0"/>
          <w:numId w:val="308"/>
        </w:numPr>
        <w:spacing w:after="0" w:line="240" w:lineRule="auto"/>
        <w:ind w:left="567" w:right="14" w:hanging="425"/>
        <w:jc w:val="both"/>
        <w:rPr>
          <w:rFonts w:ascii="Times New Roman" w:eastAsia="Arial" w:hAnsi="Times New Roman"/>
          <w:sz w:val="24"/>
          <w:szCs w:val="24"/>
        </w:rPr>
      </w:pPr>
      <w:r w:rsidRPr="00215867">
        <w:rPr>
          <w:rFonts w:ascii="Times New Roman" w:eastAsia="Arial" w:hAnsi="Times New Roman"/>
          <w:sz w:val="24"/>
          <w:szCs w:val="24"/>
        </w:rPr>
        <w:t xml:space="preserve">Etablir et mettre à jour régulièrement une liste des ONGs et spécialistes </w:t>
      </w:r>
      <w:r w:rsidRPr="00366C55">
        <w:rPr>
          <w:rFonts w:ascii="Times New Roman" w:eastAsia="Arial" w:hAnsi="Times New Roman"/>
          <w:sz w:val="24"/>
          <w:szCs w:val="24"/>
        </w:rPr>
        <w:t>en situation d’urgence dans les</w:t>
      </w:r>
      <w:r w:rsidRPr="00215867">
        <w:rPr>
          <w:rFonts w:ascii="Times New Roman" w:eastAsia="Arial" w:hAnsi="Times New Roman"/>
          <w:sz w:val="24"/>
          <w:szCs w:val="24"/>
        </w:rPr>
        <w:t xml:space="preserve"> zones/localités à risque et au niveau national. </w:t>
      </w:r>
    </w:p>
    <w:p w14:paraId="172AE505" w14:textId="77777777" w:rsidR="003641E4" w:rsidRPr="00366C55" w:rsidRDefault="003641E4" w:rsidP="003641E4">
      <w:pPr>
        <w:spacing w:after="0" w:line="240" w:lineRule="auto"/>
        <w:ind w:left="-3" w:right="14"/>
        <w:jc w:val="both"/>
        <w:rPr>
          <w:rFonts w:ascii="Times New Roman" w:hAnsi="Times New Roman"/>
          <w:sz w:val="24"/>
          <w:szCs w:val="24"/>
        </w:rPr>
      </w:pPr>
    </w:p>
    <w:p w14:paraId="63A0B2C0" w14:textId="77777777" w:rsidR="003641E4" w:rsidRPr="00366C55" w:rsidRDefault="003641E4" w:rsidP="00215867">
      <w:pPr>
        <w:pStyle w:val="Paragraphedeliste"/>
        <w:numPr>
          <w:ilvl w:val="0"/>
          <w:numId w:val="390"/>
        </w:numPr>
        <w:rPr>
          <w:rFonts w:ascii="Times New Roman" w:hAnsi="Times New Roman"/>
          <w:sz w:val="24"/>
          <w:szCs w:val="24"/>
        </w:rPr>
      </w:pPr>
      <w:r w:rsidRPr="00366C55">
        <w:rPr>
          <w:rFonts w:ascii="Times New Roman" w:hAnsi="Times New Roman"/>
          <w:sz w:val="24"/>
          <w:szCs w:val="24"/>
        </w:rPr>
        <w:t xml:space="preserve">Suivi et évaluation </w:t>
      </w:r>
    </w:p>
    <w:p w14:paraId="26F669F6"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Le suivi et l’évaluation restent le maillon faible des stratégies de réponse dans le cadre de la gestion des </w:t>
      </w:r>
      <w:r w:rsidRPr="00366C55">
        <w:rPr>
          <w:rFonts w:ascii="Times New Roman" w:hAnsi="Times New Roman"/>
          <w:sz w:val="24"/>
          <w:szCs w:val="24"/>
        </w:rPr>
        <w:t xml:space="preserve">catastrophes.  </w:t>
      </w:r>
    </w:p>
    <w:p w14:paraId="564BBFA8" w14:textId="77777777" w:rsidR="003641E4" w:rsidRPr="00366C55" w:rsidRDefault="003641E4" w:rsidP="003641E4">
      <w:pPr>
        <w:spacing w:after="0" w:line="240" w:lineRule="auto"/>
        <w:ind w:left="-3" w:right="14"/>
        <w:jc w:val="both"/>
        <w:rPr>
          <w:rFonts w:ascii="Times New Roman" w:hAnsi="Times New Roman"/>
          <w:sz w:val="24"/>
          <w:szCs w:val="24"/>
        </w:rPr>
      </w:pPr>
      <w:r w:rsidRPr="00366C55">
        <w:rPr>
          <w:rFonts w:ascii="Times New Roman" w:eastAsia="Arial" w:hAnsi="Times New Roman"/>
          <w:sz w:val="24"/>
          <w:szCs w:val="24"/>
        </w:rPr>
        <w:t>Le suivi et l’évaluation globale de la mise en œuvre du Projet est de la responsabilité du coordonnateur du projet, des experts environnementaux et sociaux</w:t>
      </w:r>
      <w:r w:rsidRPr="00366C55">
        <w:rPr>
          <w:rFonts w:ascii="Times New Roman" w:hAnsi="Times New Roman"/>
          <w:sz w:val="24"/>
          <w:szCs w:val="24"/>
        </w:rPr>
        <w:t xml:space="preserve">. Au niveau local, ils sont de la responsabilité des communes et des chefs de quartiers.  </w:t>
      </w:r>
    </w:p>
    <w:p w14:paraId="33048033"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Le suivi sera une activité permanente tout au long du processus de mise en œuvre du Projet, avec un niveau élevé de concentration lors d’une crise où il devra être quotidien. Il repose à la fois sur la </w:t>
      </w:r>
      <w:r w:rsidRPr="00366C55">
        <w:rPr>
          <w:rFonts w:ascii="Times New Roman" w:hAnsi="Times New Roman"/>
          <w:sz w:val="24"/>
          <w:szCs w:val="24"/>
        </w:rPr>
        <w:t>surveillance du contexte de risques par le biais du dis</w:t>
      </w:r>
      <w:r w:rsidRPr="00366C55">
        <w:rPr>
          <w:rFonts w:ascii="Times New Roman" w:eastAsia="Arial" w:hAnsi="Times New Roman"/>
          <w:sz w:val="24"/>
          <w:szCs w:val="24"/>
        </w:rPr>
        <w:t xml:space="preserve">positif de suivi et d’alerte précoce prévu, et la </w:t>
      </w:r>
      <w:r w:rsidRPr="00215867">
        <w:rPr>
          <w:rFonts w:ascii="Times New Roman" w:hAnsi="Times New Roman"/>
          <w:sz w:val="24"/>
          <w:szCs w:val="24"/>
        </w:rPr>
        <w:t xml:space="preserve">revue régulière des dispositions opérationnelles. L’organisation d’exercices de simulation réguliers contribuera </w:t>
      </w:r>
      <w:r w:rsidRPr="00366C55">
        <w:rPr>
          <w:rFonts w:ascii="Times New Roman" w:hAnsi="Times New Roman"/>
          <w:sz w:val="24"/>
          <w:szCs w:val="24"/>
        </w:rPr>
        <w:t xml:space="preserve">également à la revue et à la mise à jour du plan.  </w:t>
      </w:r>
      <w:r w:rsidRPr="00215867">
        <w:rPr>
          <w:rFonts w:ascii="Times New Roman" w:hAnsi="Times New Roman"/>
          <w:sz w:val="24"/>
          <w:szCs w:val="24"/>
        </w:rPr>
        <w:t xml:space="preserve"> </w:t>
      </w:r>
    </w:p>
    <w:p w14:paraId="4EB6FB25"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Le suivi </w:t>
      </w:r>
      <w:r w:rsidRPr="00215867">
        <w:rPr>
          <w:rFonts w:ascii="Times New Roman" w:hAnsi="Times New Roman"/>
          <w:sz w:val="24"/>
          <w:szCs w:val="24"/>
        </w:rPr>
        <w:t xml:space="preserve"> se traduira par des </w:t>
      </w:r>
      <w:r w:rsidRPr="00366C55">
        <w:rPr>
          <w:rFonts w:ascii="Times New Roman" w:hAnsi="Times New Roman"/>
          <w:sz w:val="24"/>
          <w:szCs w:val="24"/>
        </w:rPr>
        <w:t xml:space="preserve">rapports dont la périodicité souhaitée est le trimestre en situation normale, le mois en saison de pluie et la semaine en situation pré crise ou de crise. Le suivi se fera sur la base des indicateurs de performance </w:t>
      </w:r>
      <w:r w:rsidRPr="00215867">
        <w:rPr>
          <w:rFonts w:ascii="Times New Roman" w:hAnsi="Times New Roman"/>
          <w:sz w:val="24"/>
          <w:szCs w:val="24"/>
        </w:rPr>
        <w:t xml:space="preserve">préétablis, un format harmonisé d’analyse des données et un canevas unique de rapportage. </w:t>
      </w:r>
      <w:r w:rsidRPr="00366C55">
        <w:rPr>
          <w:rFonts w:ascii="Times New Roman" w:hAnsi="Times New Roman"/>
          <w:sz w:val="24"/>
          <w:szCs w:val="24"/>
        </w:rPr>
        <w:t xml:space="preserve"> </w:t>
      </w:r>
    </w:p>
    <w:p w14:paraId="5CCD9361" w14:textId="5AB205ED" w:rsidR="003641E4" w:rsidRPr="00366C55" w:rsidRDefault="003641E4" w:rsidP="00215867">
      <w:pPr>
        <w:spacing w:before="120" w:after="120" w:line="276" w:lineRule="auto"/>
        <w:ind w:left="-6" w:right="11"/>
        <w:jc w:val="both"/>
        <w:rPr>
          <w:rFonts w:ascii="Times New Roman" w:hAnsi="Times New Roman"/>
          <w:sz w:val="24"/>
          <w:szCs w:val="24"/>
        </w:rPr>
      </w:pPr>
      <w:r w:rsidRPr="00215867">
        <w:rPr>
          <w:rFonts w:ascii="Times New Roman" w:hAnsi="Times New Roman"/>
          <w:sz w:val="24"/>
          <w:szCs w:val="24"/>
        </w:rPr>
        <w:t>Contrairement au suivi, l’évaluation aura un caractèr</w:t>
      </w:r>
      <w:r w:rsidRPr="00366C55">
        <w:rPr>
          <w:rFonts w:ascii="Times New Roman" w:hAnsi="Times New Roman"/>
          <w:sz w:val="24"/>
          <w:szCs w:val="24"/>
        </w:rPr>
        <w:t>e ponctuel. Elle se traduira en interne par une évaluation globale et des évaluations sectorielles annuelles en situation normale. Tenant compte du contexte de la zone du projet, principalement en ce qui concerne la disponibilité des ressources, il sera mis en place un cadre de concertation pluri</w:t>
      </w:r>
      <w:r w:rsidR="007C5130">
        <w:rPr>
          <w:rFonts w:ascii="Times New Roman" w:hAnsi="Times New Roman"/>
          <w:sz w:val="24"/>
          <w:szCs w:val="24"/>
        </w:rPr>
        <w:t>-</w:t>
      </w:r>
      <w:r w:rsidRPr="00366C55">
        <w:rPr>
          <w:rFonts w:ascii="Times New Roman" w:hAnsi="Times New Roman"/>
          <w:sz w:val="24"/>
          <w:szCs w:val="24"/>
        </w:rPr>
        <w:t xml:space="preserve">acteurs qui se réunira annuellement en atelier de deux jours </w:t>
      </w:r>
      <w:r w:rsidRPr="00215867">
        <w:rPr>
          <w:rFonts w:ascii="Times New Roman" w:hAnsi="Times New Roman"/>
          <w:sz w:val="24"/>
          <w:szCs w:val="24"/>
        </w:rPr>
        <w:t xml:space="preserve">pour faire le point des différentes informations relatives à la mise en œuvre du Projet, l’évolution des </w:t>
      </w:r>
      <w:r w:rsidRPr="00366C55">
        <w:rPr>
          <w:rFonts w:ascii="Times New Roman" w:hAnsi="Times New Roman"/>
          <w:sz w:val="24"/>
          <w:szCs w:val="24"/>
        </w:rPr>
        <w:t xml:space="preserve">risques et du contexte national de gestion des catastrophes.  </w:t>
      </w:r>
    </w:p>
    <w:p w14:paraId="559BE161"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215867">
        <w:rPr>
          <w:rFonts w:ascii="Times New Roman" w:hAnsi="Times New Roman"/>
          <w:sz w:val="24"/>
          <w:szCs w:val="24"/>
        </w:rPr>
        <w:t>Toutefois, en situation de crise, outre ces évaluations classiques</w:t>
      </w:r>
      <w:r w:rsidRPr="00366C55">
        <w:rPr>
          <w:rFonts w:ascii="Times New Roman" w:eastAsia="Arial" w:hAnsi="Times New Roman"/>
          <w:sz w:val="24"/>
          <w:szCs w:val="24"/>
        </w:rPr>
        <w:t xml:space="preserve">, d’autres seront réalisées à la fin de chaque réponse. Un rapport d’évaluation sanctionnera chaque processus. </w:t>
      </w:r>
      <w:r w:rsidRPr="00366C55">
        <w:rPr>
          <w:rFonts w:ascii="Times New Roman" w:hAnsi="Times New Roman"/>
          <w:sz w:val="24"/>
          <w:szCs w:val="24"/>
        </w:rPr>
        <w:t xml:space="preserve"> </w:t>
      </w:r>
    </w:p>
    <w:p w14:paraId="31CD9E93" w14:textId="77777777" w:rsidR="003641E4" w:rsidRPr="007E5A67" w:rsidRDefault="003641E4" w:rsidP="00215867">
      <w:pPr>
        <w:pStyle w:val="Titre4"/>
        <w:numPr>
          <w:ilvl w:val="3"/>
          <w:numId w:val="54"/>
        </w:numPr>
        <w:spacing w:before="120" w:after="120" w:line="20" w:lineRule="atLeast"/>
        <w:ind w:left="1276" w:hanging="851"/>
        <w:rPr>
          <w:szCs w:val="24"/>
        </w:rPr>
      </w:pPr>
      <w:bookmarkStart w:id="872" w:name="_Toc103685736"/>
      <w:r w:rsidRPr="00215867">
        <w:rPr>
          <w:color w:val="auto"/>
          <w:szCs w:val="24"/>
        </w:rPr>
        <w:t>Mécanisme de réhabilitation</w:t>
      </w:r>
      <w:bookmarkEnd w:id="872"/>
    </w:p>
    <w:p w14:paraId="38493D0D"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La réhabilitation </w:t>
      </w:r>
      <w:r w:rsidRPr="00366C55">
        <w:rPr>
          <w:rFonts w:ascii="Times New Roman" w:eastAsia="Arial" w:hAnsi="Times New Roman"/>
          <w:sz w:val="24"/>
          <w:szCs w:val="24"/>
        </w:rPr>
        <w:t>intervient théoriquement après l’urgence et se traduit par des actions de retour à une situation de normalité. Elle consistera à entreprendre pendant la phase d’urgence des actions de relèvement dans la perspective d’encourager les initiatives locales de r</w:t>
      </w:r>
      <w:r w:rsidRPr="00366C55">
        <w:rPr>
          <w:rFonts w:ascii="Times New Roman" w:hAnsi="Times New Roman"/>
          <w:sz w:val="24"/>
          <w:szCs w:val="24"/>
        </w:rPr>
        <w:t xml:space="preserve">etour rapide à une situation normale, notamment en ce qui concerne le fonctionnement des services sociaux de bases, la gouvernance des institutions et la reconstitution des moyens de subsistance des populations sinistrées. </w:t>
      </w:r>
      <w:r w:rsidRPr="00366C55">
        <w:rPr>
          <w:rFonts w:ascii="Times New Roman" w:eastAsia="Arial" w:hAnsi="Times New Roman"/>
          <w:sz w:val="24"/>
          <w:szCs w:val="24"/>
        </w:rPr>
        <w:t xml:space="preserve">Cette phase intègrera l’évaluation des besoins post catastrophe indispensable à la formulation d’un cadre </w:t>
      </w:r>
      <w:r w:rsidRPr="00366C55">
        <w:rPr>
          <w:rFonts w:ascii="Times New Roman" w:hAnsi="Times New Roman"/>
          <w:sz w:val="24"/>
          <w:szCs w:val="24"/>
        </w:rPr>
        <w:t>de relèvement à moyen et long terme.</w:t>
      </w:r>
      <w:r w:rsidRPr="00366C55">
        <w:rPr>
          <w:rFonts w:ascii="Times New Roman" w:eastAsia="Arial" w:hAnsi="Times New Roman"/>
          <w:b/>
          <w:sz w:val="24"/>
          <w:szCs w:val="24"/>
        </w:rPr>
        <w:t xml:space="preserve"> </w:t>
      </w:r>
    </w:p>
    <w:p w14:paraId="6CB7F8C8" w14:textId="1AEC0ED9" w:rsidR="003641E4" w:rsidRPr="00366C55" w:rsidRDefault="003641E4" w:rsidP="00215867">
      <w:pPr>
        <w:pStyle w:val="Paragraphedeliste"/>
        <w:numPr>
          <w:ilvl w:val="0"/>
          <w:numId w:val="393"/>
        </w:numPr>
        <w:rPr>
          <w:rFonts w:ascii="Times New Roman" w:hAnsi="Times New Roman"/>
          <w:sz w:val="24"/>
          <w:szCs w:val="24"/>
        </w:rPr>
      </w:pPr>
      <w:r w:rsidRPr="00366C55">
        <w:rPr>
          <w:rFonts w:ascii="Times New Roman" w:hAnsi="Times New Roman"/>
          <w:sz w:val="24"/>
          <w:szCs w:val="24"/>
        </w:rPr>
        <w:t xml:space="preserve">Au plan environnemental </w:t>
      </w:r>
    </w:p>
    <w:p w14:paraId="68D0016C" w14:textId="77777777"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hAnsi="Times New Roman"/>
          <w:sz w:val="24"/>
          <w:szCs w:val="24"/>
        </w:rPr>
        <w:t xml:space="preserve">Déterminer et mettre en place les moyens techniques pour évaluer et prendre en charge les conséquences en termes de manifestations, de gravité et de durée. </w:t>
      </w:r>
    </w:p>
    <w:p w14:paraId="0ED37450" w14:textId="77777777" w:rsidR="003641E4" w:rsidRPr="00366C55" w:rsidRDefault="003641E4" w:rsidP="00215867">
      <w:pPr>
        <w:pStyle w:val="Paragraphedeliste"/>
        <w:numPr>
          <w:ilvl w:val="0"/>
          <w:numId w:val="393"/>
        </w:numPr>
        <w:rPr>
          <w:rFonts w:ascii="Times New Roman" w:hAnsi="Times New Roman"/>
          <w:sz w:val="24"/>
          <w:szCs w:val="24"/>
        </w:rPr>
      </w:pPr>
      <w:r w:rsidRPr="00366C55">
        <w:rPr>
          <w:rFonts w:ascii="Times New Roman" w:hAnsi="Times New Roman"/>
          <w:sz w:val="24"/>
          <w:szCs w:val="24"/>
        </w:rPr>
        <w:t xml:space="preserve">Au plan sanitaire et social </w:t>
      </w:r>
    </w:p>
    <w:p w14:paraId="6121E000" w14:textId="77777777" w:rsidR="003641E4" w:rsidRPr="00366C55" w:rsidRDefault="003641E4" w:rsidP="003641E4">
      <w:pPr>
        <w:numPr>
          <w:ilvl w:val="1"/>
          <w:numId w:val="314"/>
        </w:numPr>
        <w:spacing w:after="0" w:line="240" w:lineRule="auto"/>
        <w:ind w:right="14" w:hanging="360"/>
        <w:jc w:val="both"/>
        <w:rPr>
          <w:rFonts w:ascii="Times New Roman" w:hAnsi="Times New Roman"/>
          <w:sz w:val="24"/>
          <w:szCs w:val="24"/>
        </w:rPr>
      </w:pPr>
      <w:r w:rsidRPr="00366C55">
        <w:rPr>
          <w:rFonts w:ascii="Times New Roman" w:hAnsi="Times New Roman"/>
          <w:sz w:val="24"/>
          <w:szCs w:val="24"/>
        </w:rPr>
        <w:t xml:space="preserve">Identifier les répercussions sanitaires et sociales et mettre en place les procédures de suivi et les moyens de subsistance. </w:t>
      </w:r>
    </w:p>
    <w:p w14:paraId="6B9B5004" w14:textId="77777777" w:rsidR="003641E4" w:rsidRPr="00366C55" w:rsidRDefault="003641E4" w:rsidP="00215867">
      <w:pPr>
        <w:numPr>
          <w:ilvl w:val="1"/>
          <w:numId w:val="314"/>
        </w:numPr>
        <w:spacing w:after="120" w:line="240" w:lineRule="auto"/>
        <w:ind w:left="1066" w:right="11" w:hanging="357"/>
        <w:jc w:val="both"/>
        <w:rPr>
          <w:rFonts w:ascii="Times New Roman" w:hAnsi="Times New Roman"/>
          <w:sz w:val="24"/>
          <w:szCs w:val="24"/>
        </w:rPr>
      </w:pPr>
      <w:r w:rsidRPr="00366C55">
        <w:rPr>
          <w:rFonts w:ascii="Times New Roman" w:hAnsi="Times New Roman"/>
          <w:sz w:val="24"/>
          <w:szCs w:val="24"/>
        </w:rPr>
        <w:t xml:space="preserve">Assurer le suivi psychologique des impliqués et des acteurs. </w:t>
      </w:r>
    </w:p>
    <w:p w14:paraId="4059987F" w14:textId="77777777" w:rsidR="003641E4" w:rsidRPr="00366C55" w:rsidRDefault="003641E4" w:rsidP="00215867">
      <w:pPr>
        <w:pStyle w:val="Paragraphedeliste"/>
        <w:numPr>
          <w:ilvl w:val="0"/>
          <w:numId w:val="393"/>
        </w:numPr>
        <w:rPr>
          <w:rFonts w:ascii="Times New Roman" w:hAnsi="Times New Roman"/>
          <w:sz w:val="24"/>
          <w:szCs w:val="24"/>
        </w:rPr>
      </w:pPr>
      <w:r w:rsidRPr="00366C55">
        <w:rPr>
          <w:rFonts w:ascii="Times New Roman" w:hAnsi="Times New Roman"/>
          <w:sz w:val="24"/>
          <w:szCs w:val="24"/>
        </w:rPr>
        <w:t xml:space="preserve">Au plan économique </w:t>
      </w:r>
    </w:p>
    <w:p w14:paraId="483C2178" w14:textId="6D02696E" w:rsidR="003641E4" w:rsidRPr="00366C55" w:rsidRDefault="003641E4" w:rsidP="00215867">
      <w:pPr>
        <w:spacing w:before="120" w:after="120" w:line="276" w:lineRule="auto"/>
        <w:ind w:left="-6" w:right="11"/>
        <w:jc w:val="both"/>
        <w:rPr>
          <w:rFonts w:ascii="Times New Roman" w:hAnsi="Times New Roman"/>
          <w:sz w:val="24"/>
          <w:szCs w:val="24"/>
        </w:rPr>
      </w:pPr>
      <w:r w:rsidRPr="00366C55">
        <w:rPr>
          <w:rFonts w:ascii="Times New Roman" w:eastAsia="Arial" w:hAnsi="Times New Roman"/>
          <w:sz w:val="24"/>
          <w:szCs w:val="24"/>
        </w:rPr>
        <w:t xml:space="preserve">Prendre </w:t>
      </w:r>
      <w:r w:rsidRPr="00215867">
        <w:rPr>
          <w:rFonts w:ascii="Times New Roman" w:hAnsi="Times New Roman"/>
          <w:sz w:val="24"/>
          <w:szCs w:val="24"/>
        </w:rPr>
        <w:t>en</w:t>
      </w:r>
      <w:r w:rsidRPr="00366C55">
        <w:rPr>
          <w:rFonts w:ascii="Times New Roman" w:eastAsia="Arial" w:hAnsi="Times New Roman"/>
          <w:sz w:val="24"/>
          <w:szCs w:val="24"/>
        </w:rPr>
        <w:t xml:space="preserve"> charge les répercussions en termes de perte d’emploi, destruction du tissu </w:t>
      </w:r>
      <w:r w:rsidRPr="00366C55">
        <w:rPr>
          <w:rFonts w:ascii="Times New Roman" w:hAnsi="Times New Roman"/>
          <w:sz w:val="24"/>
          <w:szCs w:val="24"/>
        </w:rPr>
        <w:t xml:space="preserve">économique, revenus ; </w:t>
      </w:r>
    </w:p>
    <w:p w14:paraId="45DCD08F" w14:textId="77777777" w:rsidR="003641E4" w:rsidRPr="00366C55" w:rsidRDefault="003641E4" w:rsidP="003641E4">
      <w:pPr>
        <w:numPr>
          <w:ilvl w:val="1"/>
          <w:numId w:val="314"/>
        </w:numPr>
        <w:spacing w:after="0" w:line="240" w:lineRule="auto"/>
        <w:ind w:right="14" w:hanging="360"/>
        <w:jc w:val="both"/>
        <w:rPr>
          <w:rFonts w:ascii="Times New Roman" w:hAnsi="Times New Roman"/>
          <w:sz w:val="24"/>
          <w:szCs w:val="24"/>
        </w:rPr>
      </w:pPr>
      <w:r w:rsidRPr="00366C55">
        <w:rPr>
          <w:rFonts w:ascii="Times New Roman" w:hAnsi="Times New Roman"/>
          <w:sz w:val="24"/>
          <w:szCs w:val="24"/>
        </w:rPr>
        <w:t xml:space="preserve">Remettre en état les habitations, les sites et les infrastructures dégradés. </w:t>
      </w:r>
    </w:p>
    <w:p w14:paraId="4339E13B" w14:textId="77777777" w:rsidR="003641E4" w:rsidRPr="00366C55" w:rsidRDefault="003641E4" w:rsidP="003641E4">
      <w:pPr>
        <w:jc w:val="both"/>
        <w:rPr>
          <w:rFonts w:ascii="Times New Roman" w:hAnsi="Times New Roman"/>
          <w:sz w:val="24"/>
          <w:szCs w:val="24"/>
        </w:rPr>
      </w:pPr>
    </w:p>
    <w:p w14:paraId="2DE3905A" w14:textId="77777777" w:rsidR="00707BB2" w:rsidRPr="00215867" w:rsidRDefault="00707BB2" w:rsidP="00215867">
      <w:pPr>
        <w:pStyle w:val="Titre31"/>
        <w:numPr>
          <w:ilvl w:val="2"/>
          <w:numId w:val="54"/>
        </w:numPr>
        <w:tabs>
          <w:tab w:val="left" w:pos="993"/>
        </w:tabs>
        <w:spacing w:before="120" w:after="120" w:line="20" w:lineRule="atLeast"/>
        <w:ind w:left="993" w:hanging="709"/>
        <w:rPr>
          <w:rFonts w:eastAsia="Calibri"/>
          <w:i/>
        </w:rPr>
      </w:pPr>
      <w:bookmarkStart w:id="873" w:name="_Toc103685737"/>
      <w:bookmarkStart w:id="874" w:name="_Toc43948"/>
      <w:r w:rsidRPr="00215867">
        <w:rPr>
          <w:rFonts w:eastAsia="Calibri"/>
          <w:i/>
          <w:u w:val="none"/>
        </w:rPr>
        <w:t>Acteurs de mise en œuvre</w:t>
      </w:r>
      <w:bookmarkEnd w:id="873"/>
      <w:r w:rsidRPr="00215867">
        <w:rPr>
          <w:rFonts w:eastAsia="Calibri"/>
          <w:i/>
          <w:u w:val="none"/>
        </w:rPr>
        <w:t xml:space="preserve">  </w:t>
      </w:r>
      <w:bookmarkEnd w:id="874"/>
    </w:p>
    <w:p w14:paraId="54322CDE" w14:textId="77777777" w:rsidR="00707BB2" w:rsidRPr="007E5A67" w:rsidRDefault="00707BB2" w:rsidP="00215867">
      <w:pPr>
        <w:pStyle w:val="Titre4"/>
        <w:numPr>
          <w:ilvl w:val="3"/>
          <w:numId w:val="54"/>
        </w:numPr>
        <w:spacing w:before="120" w:after="120" w:line="20" w:lineRule="atLeast"/>
        <w:ind w:left="1276" w:hanging="851"/>
        <w:rPr>
          <w:szCs w:val="24"/>
        </w:rPr>
      </w:pPr>
      <w:bookmarkStart w:id="875" w:name="_Toc103685738"/>
      <w:r w:rsidRPr="00215867">
        <w:rPr>
          <w:color w:val="auto"/>
          <w:szCs w:val="24"/>
        </w:rPr>
        <w:t>Identification des acteurs</w:t>
      </w:r>
      <w:bookmarkEnd w:id="875"/>
      <w:r w:rsidRPr="00215867">
        <w:rPr>
          <w:color w:val="auto"/>
          <w:szCs w:val="24"/>
        </w:rPr>
        <w:t xml:space="preserve"> </w:t>
      </w:r>
    </w:p>
    <w:p w14:paraId="23F02FC5" w14:textId="77777777" w:rsidR="00707BB2" w:rsidRPr="00981E01" w:rsidRDefault="00707BB2" w:rsidP="00215867">
      <w:pPr>
        <w:spacing w:before="120" w:after="120" w:line="276" w:lineRule="auto"/>
        <w:ind w:left="-6" w:right="11"/>
        <w:jc w:val="both"/>
        <w:rPr>
          <w:rFonts w:ascii="Times New Roman" w:hAnsi="Times New Roman"/>
          <w:sz w:val="24"/>
          <w:szCs w:val="24"/>
        </w:rPr>
      </w:pPr>
      <w:r w:rsidRPr="00981E01">
        <w:rPr>
          <w:rFonts w:ascii="Times New Roman" w:eastAsia="Arial" w:hAnsi="Times New Roman"/>
          <w:sz w:val="24"/>
          <w:szCs w:val="24"/>
        </w:rPr>
        <w:t>Les acteurs de la mise en œuvre du Projet sont constitués par tous les intervenants de la protection civile, de même que l’équipe des</w:t>
      </w:r>
      <w:r w:rsidRPr="00981E01">
        <w:rPr>
          <w:rFonts w:ascii="Times New Roman" w:hAnsi="Times New Roman"/>
          <w:sz w:val="24"/>
          <w:szCs w:val="24"/>
        </w:rPr>
        <w:t xml:space="preserve"> spécialistes de sauvegarde environnementale et sociale du Projet, les Responsables habilités des Entreprises Adjudicatrices et les Représentants des communautés riveraines et des comités locaux de gestion des risques et catastrophe. A cet égard, chacun doit :</w:t>
      </w:r>
    </w:p>
    <w:p w14:paraId="50655A5A" w14:textId="77777777" w:rsidR="00707BB2" w:rsidRPr="00981E01" w:rsidRDefault="00707BB2" w:rsidP="00707BB2">
      <w:pPr>
        <w:pStyle w:val="Paragraphedeliste"/>
        <w:numPr>
          <w:ilvl w:val="0"/>
          <w:numId w:val="338"/>
        </w:numPr>
        <w:spacing w:after="0" w:line="240" w:lineRule="auto"/>
        <w:ind w:right="14"/>
        <w:jc w:val="both"/>
        <w:rPr>
          <w:rFonts w:ascii="Times New Roman" w:hAnsi="Times New Roman"/>
          <w:sz w:val="24"/>
          <w:szCs w:val="24"/>
        </w:rPr>
      </w:pPr>
      <w:r w:rsidRPr="00981E01">
        <w:rPr>
          <w:rFonts w:ascii="Times New Roman" w:hAnsi="Times New Roman"/>
          <w:sz w:val="24"/>
          <w:szCs w:val="24"/>
        </w:rPr>
        <w:t>Et</w:t>
      </w:r>
      <w:r w:rsidRPr="00981E01">
        <w:rPr>
          <w:rFonts w:ascii="Times New Roman" w:eastAsia="Arial" w:hAnsi="Times New Roman"/>
          <w:sz w:val="24"/>
          <w:szCs w:val="24"/>
        </w:rPr>
        <w:t>re capable d’assur</w:t>
      </w:r>
      <w:r w:rsidRPr="00981E01">
        <w:rPr>
          <w:rFonts w:ascii="Times New Roman" w:hAnsi="Times New Roman"/>
          <w:sz w:val="24"/>
          <w:szCs w:val="24"/>
        </w:rPr>
        <w:t xml:space="preserve">er les missions qui leur sont dévolues avant, pendant et après les situations de </w:t>
      </w:r>
      <w:r w:rsidRPr="00981E01">
        <w:rPr>
          <w:rFonts w:ascii="Times New Roman" w:eastAsia="Arial" w:hAnsi="Times New Roman"/>
          <w:sz w:val="24"/>
          <w:szCs w:val="24"/>
        </w:rPr>
        <w:t xml:space="preserve">critique. A ce titre, un système de surveillance et d’alerte fonctionnant 24 h/24 sera mis en place auprès </w:t>
      </w:r>
      <w:r w:rsidRPr="00981E01">
        <w:rPr>
          <w:rFonts w:ascii="Times New Roman" w:hAnsi="Times New Roman"/>
          <w:sz w:val="24"/>
          <w:szCs w:val="24"/>
        </w:rPr>
        <w:t xml:space="preserve">des entreprises des travaux. </w:t>
      </w:r>
    </w:p>
    <w:p w14:paraId="5B481AF7" w14:textId="77777777" w:rsidR="00707BB2" w:rsidRPr="00981E01" w:rsidRDefault="00707BB2" w:rsidP="00215867">
      <w:pPr>
        <w:pStyle w:val="Paragraphedeliste"/>
        <w:numPr>
          <w:ilvl w:val="0"/>
          <w:numId w:val="338"/>
        </w:numPr>
        <w:spacing w:after="120" w:line="240" w:lineRule="auto"/>
        <w:ind w:left="714" w:right="11" w:hanging="357"/>
        <w:contextualSpacing w:val="0"/>
        <w:jc w:val="both"/>
        <w:rPr>
          <w:rFonts w:ascii="Times New Roman" w:hAnsi="Times New Roman"/>
          <w:sz w:val="24"/>
          <w:szCs w:val="24"/>
        </w:rPr>
      </w:pPr>
      <w:r w:rsidRPr="00981E01">
        <w:rPr>
          <w:rFonts w:ascii="Times New Roman" w:hAnsi="Times New Roman"/>
          <w:sz w:val="24"/>
          <w:szCs w:val="24"/>
        </w:rPr>
        <w:t>Pour chaque entreprise, préparer et dif</w:t>
      </w:r>
      <w:r w:rsidRPr="00981E01">
        <w:rPr>
          <w:rFonts w:ascii="Times New Roman" w:eastAsia="Arial" w:hAnsi="Times New Roman"/>
          <w:sz w:val="24"/>
          <w:szCs w:val="24"/>
        </w:rPr>
        <w:t xml:space="preserve">fuser son propre plan d’urgence au niveau du dispositif local de </w:t>
      </w:r>
      <w:r w:rsidRPr="00981E01">
        <w:rPr>
          <w:rFonts w:ascii="Times New Roman" w:hAnsi="Times New Roman"/>
          <w:sz w:val="24"/>
          <w:szCs w:val="24"/>
        </w:rPr>
        <w:t xml:space="preserve">coordination du Projet. Ces acteurs sont : </w:t>
      </w:r>
    </w:p>
    <w:p w14:paraId="783F61A0" w14:textId="77777777"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215867">
        <w:rPr>
          <w:rFonts w:ascii="Times New Roman" w:hAnsi="Times New Roman"/>
          <w:sz w:val="24"/>
          <w:szCs w:val="24"/>
        </w:rPr>
        <w:t xml:space="preserve">les communes ; </w:t>
      </w:r>
    </w:p>
    <w:p w14:paraId="3291268B" w14:textId="77777777"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981E01">
        <w:rPr>
          <w:rFonts w:ascii="Times New Roman" w:hAnsi="Times New Roman"/>
          <w:sz w:val="24"/>
          <w:szCs w:val="24"/>
        </w:rPr>
        <w:t>les organismes publics et para publics ;</w:t>
      </w:r>
      <w:r w:rsidRPr="00215867">
        <w:rPr>
          <w:rFonts w:ascii="Times New Roman" w:hAnsi="Times New Roman"/>
          <w:sz w:val="24"/>
          <w:szCs w:val="24"/>
        </w:rPr>
        <w:t xml:space="preserve"> </w:t>
      </w:r>
    </w:p>
    <w:p w14:paraId="0580803C" w14:textId="77777777"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981E01">
        <w:rPr>
          <w:rFonts w:ascii="Times New Roman" w:hAnsi="Times New Roman"/>
          <w:sz w:val="24"/>
          <w:szCs w:val="24"/>
        </w:rPr>
        <w:t>les organismes internationaux ;</w:t>
      </w:r>
      <w:r w:rsidRPr="00215867">
        <w:rPr>
          <w:rFonts w:ascii="Times New Roman" w:hAnsi="Times New Roman"/>
          <w:sz w:val="24"/>
          <w:szCs w:val="24"/>
        </w:rPr>
        <w:t xml:space="preserve"> </w:t>
      </w:r>
    </w:p>
    <w:p w14:paraId="2DC43A31" w14:textId="77777777"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981E01">
        <w:rPr>
          <w:rFonts w:ascii="Times New Roman" w:hAnsi="Times New Roman"/>
          <w:sz w:val="24"/>
          <w:szCs w:val="24"/>
        </w:rPr>
        <w:t xml:space="preserve">les représentants du </w:t>
      </w:r>
      <w:r w:rsidRPr="00215867">
        <w:rPr>
          <w:rFonts w:ascii="Times New Roman" w:hAnsi="Times New Roman"/>
          <w:sz w:val="24"/>
          <w:szCs w:val="24"/>
        </w:rPr>
        <w:t>Maitrise d’Ouvrage</w:t>
      </w:r>
      <w:r w:rsidRPr="00981E01">
        <w:rPr>
          <w:rFonts w:ascii="Times New Roman" w:hAnsi="Times New Roman"/>
          <w:sz w:val="24"/>
          <w:szCs w:val="24"/>
        </w:rPr>
        <w:t xml:space="preserve"> </w:t>
      </w:r>
      <w:r w:rsidRPr="00215867">
        <w:rPr>
          <w:rFonts w:ascii="Times New Roman" w:hAnsi="Times New Roman"/>
          <w:sz w:val="24"/>
          <w:szCs w:val="24"/>
        </w:rPr>
        <w:t>et de l’Agence d’exécution du projet</w:t>
      </w:r>
      <w:r w:rsidRPr="00981E01">
        <w:rPr>
          <w:rFonts w:ascii="Times New Roman" w:hAnsi="Times New Roman"/>
          <w:sz w:val="24"/>
          <w:szCs w:val="24"/>
        </w:rPr>
        <w:t xml:space="preserve"> ;</w:t>
      </w:r>
      <w:r w:rsidRPr="00215867">
        <w:rPr>
          <w:rFonts w:ascii="Times New Roman" w:hAnsi="Times New Roman"/>
          <w:sz w:val="24"/>
          <w:szCs w:val="24"/>
        </w:rPr>
        <w:t xml:space="preserve"> </w:t>
      </w:r>
    </w:p>
    <w:p w14:paraId="5BF92CB6" w14:textId="7169831A"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981E01">
        <w:rPr>
          <w:rFonts w:ascii="Times New Roman" w:hAnsi="Times New Roman"/>
          <w:sz w:val="24"/>
          <w:szCs w:val="24"/>
        </w:rPr>
        <w:t>les r</w:t>
      </w:r>
      <w:r w:rsidRPr="00215867">
        <w:rPr>
          <w:rFonts w:ascii="Times New Roman" w:hAnsi="Times New Roman"/>
          <w:sz w:val="24"/>
          <w:szCs w:val="24"/>
        </w:rPr>
        <w:t>esponsable</w:t>
      </w:r>
      <w:r w:rsidR="00370918">
        <w:rPr>
          <w:rFonts w:ascii="Times New Roman" w:hAnsi="Times New Roman"/>
          <w:sz w:val="24"/>
          <w:szCs w:val="24"/>
        </w:rPr>
        <w:t>s</w:t>
      </w:r>
      <w:r w:rsidRPr="00215867">
        <w:rPr>
          <w:rFonts w:ascii="Times New Roman" w:hAnsi="Times New Roman"/>
          <w:sz w:val="24"/>
          <w:szCs w:val="24"/>
        </w:rPr>
        <w:t xml:space="preserve"> d’Entreprises Adjudicatrices ; </w:t>
      </w:r>
    </w:p>
    <w:p w14:paraId="013523D4" w14:textId="45C37760" w:rsidR="00707BB2" w:rsidRPr="00981E01" w:rsidRDefault="00707BB2" w:rsidP="00215867">
      <w:pPr>
        <w:numPr>
          <w:ilvl w:val="1"/>
          <w:numId w:val="314"/>
        </w:numPr>
        <w:spacing w:after="0" w:line="240" w:lineRule="auto"/>
        <w:ind w:left="1066" w:right="11" w:hanging="357"/>
        <w:jc w:val="both"/>
        <w:rPr>
          <w:rFonts w:ascii="Times New Roman" w:hAnsi="Times New Roman"/>
          <w:sz w:val="24"/>
          <w:szCs w:val="24"/>
        </w:rPr>
      </w:pPr>
      <w:r w:rsidRPr="00981E01">
        <w:rPr>
          <w:rFonts w:ascii="Times New Roman" w:hAnsi="Times New Roman"/>
          <w:sz w:val="24"/>
          <w:szCs w:val="24"/>
        </w:rPr>
        <w:t>les OSC/ONGs ;</w:t>
      </w:r>
      <w:r w:rsidRPr="00215867">
        <w:rPr>
          <w:rFonts w:ascii="Times New Roman" w:hAnsi="Times New Roman"/>
          <w:sz w:val="24"/>
          <w:szCs w:val="24"/>
        </w:rPr>
        <w:t xml:space="preserve"> </w:t>
      </w:r>
    </w:p>
    <w:p w14:paraId="02BC0DB8" w14:textId="10938F8F" w:rsidR="00527780" w:rsidRPr="00981E01" w:rsidRDefault="00707BB2" w:rsidP="00215867">
      <w:pPr>
        <w:spacing w:after="0" w:line="240" w:lineRule="auto"/>
        <w:ind w:left="1066" w:right="11"/>
        <w:jc w:val="both"/>
        <w:rPr>
          <w:rFonts w:ascii="Times New Roman" w:hAnsi="Times New Roman"/>
          <w:sz w:val="24"/>
          <w:szCs w:val="24"/>
        </w:rPr>
      </w:pPr>
      <w:r w:rsidRPr="00981E01">
        <w:rPr>
          <w:rFonts w:ascii="Times New Roman" w:hAnsi="Times New Roman"/>
          <w:sz w:val="24"/>
          <w:szCs w:val="24"/>
        </w:rPr>
        <w:t>les Représentants des communautés riveraines.</w:t>
      </w:r>
      <w:r w:rsidRPr="00215867">
        <w:rPr>
          <w:rFonts w:ascii="Times New Roman" w:hAnsi="Times New Roman"/>
          <w:sz w:val="24"/>
          <w:szCs w:val="24"/>
        </w:rPr>
        <w:t xml:space="preserve"> </w:t>
      </w:r>
    </w:p>
    <w:p w14:paraId="5DD7CFC2" w14:textId="1A0272CC" w:rsidR="00707BB2" w:rsidRPr="007E5A67" w:rsidRDefault="00527780" w:rsidP="00215867">
      <w:pPr>
        <w:spacing w:before="120" w:after="120" w:line="276" w:lineRule="auto"/>
        <w:ind w:left="-6" w:right="11"/>
        <w:jc w:val="both"/>
        <w:rPr>
          <w:rFonts w:ascii="Times New Roman" w:hAnsi="Times New Roman"/>
          <w:szCs w:val="24"/>
        </w:rPr>
      </w:pPr>
      <w:bookmarkStart w:id="876" w:name="_Toc43950"/>
      <w:r w:rsidRPr="00215867">
        <w:rPr>
          <w:rFonts w:ascii="Times New Roman" w:hAnsi="Times New Roman"/>
          <w:sz w:val="24"/>
          <w:szCs w:val="24"/>
        </w:rPr>
        <w:t>La mise en œuvre du plan d’urgence est de la responsabilité des entreprises en charge des travaux pendant la phase de travaux et de l’opérateur SNEL durant la phase d’exploitation des cabines et d</w:t>
      </w:r>
      <w:r w:rsidR="00F0053B" w:rsidRPr="00215867">
        <w:rPr>
          <w:rFonts w:ascii="Times New Roman" w:hAnsi="Times New Roman"/>
          <w:sz w:val="24"/>
          <w:szCs w:val="24"/>
        </w:rPr>
        <w:t>e</w:t>
      </w:r>
      <w:r w:rsidRPr="00215867">
        <w:rPr>
          <w:rFonts w:ascii="Times New Roman" w:hAnsi="Times New Roman"/>
          <w:sz w:val="24"/>
          <w:szCs w:val="24"/>
        </w:rPr>
        <w:t xml:space="preserve"> nouveau réseaux.</w:t>
      </w:r>
    </w:p>
    <w:p w14:paraId="285FF2E4" w14:textId="1AB09875" w:rsidR="006512E2" w:rsidRPr="007E5A67" w:rsidRDefault="006512E2" w:rsidP="00215867">
      <w:pPr>
        <w:spacing w:before="120" w:after="120" w:line="276" w:lineRule="auto"/>
        <w:ind w:left="-6" w:right="11"/>
        <w:jc w:val="both"/>
        <w:rPr>
          <w:rFonts w:ascii="Times New Roman" w:hAnsi="Times New Roman"/>
          <w:szCs w:val="24"/>
        </w:rPr>
      </w:pPr>
      <w:r w:rsidRPr="00215867">
        <w:rPr>
          <w:rFonts w:ascii="Times New Roman" w:hAnsi="Times New Roman"/>
          <w:sz w:val="24"/>
          <w:szCs w:val="24"/>
        </w:rPr>
        <w:t>Le suivi sera assuré par UCM, UGES/SNEL, ACE, services communaux de l’environnement et le CPE durant la phase des travaux. La mission de contrôle assure la surveillance et la validation du Plan d’urgence. En phase d’exploitation, le suivi est assuré par l’ACE et le CPE. La surveillance est assurée par UGES/SNEL.</w:t>
      </w:r>
    </w:p>
    <w:p w14:paraId="3B4A2037" w14:textId="77777777" w:rsidR="00707BB2" w:rsidRPr="007E5A67" w:rsidRDefault="00707BB2" w:rsidP="00215867">
      <w:pPr>
        <w:pStyle w:val="Titre4"/>
        <w:numPr>
          <w:ilvl w:val="3"/>
          <w:numId w:val="54"/>
        </w:numPr>
        <w:spacing w:before="120" w:after="120" w:line="20" w:lineRule="atLeast"/>
        <w:ind w:left="1276" w:hanging="851"/>
        <w:rPr>
          <w:szCs w:val="24"/>
        </w:rPr>
      </w:pPr>
      <w:bookmarkStart w:id="877" w:name="_Toc103685739"/>
      <w:r w:rsidRPr="00215867">
        <w:rPr>
          <w:color w:val="auto"/>
          <w:szCs w:val="24"/>
        </w:rPr>
        <w:t>Renforcement des capacités des acteurs</w:t>
      </w:r>
      <w:bookmarkEnd w:id="877"/>
      <w:r w:rsidRPr="00215867">
        <w:rPr>
          <w:color w:val="auto"/>
          <w:szCs w:val="24"/>
        </w:rPr>
        <w:t xml:space="preserve"> </w:t>
      </w:r>
      <w:bookmarkEnd w:id="876"/>
    </w:p>
    <w:p w14:paraId="25C2B68C" w14:textId="07F71853" w:rsidR="00707BB2" w:rsidRPr="00981E01" w:rsidRDefault="00707BB2" w:rsidP="00215867">
      <w:pPr>
        <w:spacing w:before="120" w:after="120" w:line="276" w:lineRule="auto"/>
        <w:ind w:left="-6" w:right="11"/>
        <w:jc w:val="both"/>
        <w:rPr>
          <w:rFonts w:ascii="Times New Roman" w:hAnsi="Times New Roman"/>
          <w:sz w:val="24"/>
          <w:szCs w:val="24"/>
        </w:rPr>
      </w:pPr>
      <w:r w:rsidRPr="00981E01">
        <w:rPr>
          <w:rFonts w:ascii="Times New Roman" w:hAnsi="Times New Roman"/>
          <w:sz w:val="24"/>
          <w:szCs w:val="24"/>
        </w:rPr>
        <w:t>Le renforcement des capacités vise à donner à chaque acteur une plus-</w:t>
      </w:r>
      <w:r w:rsidRPr="00981E01">
        <w:rPr>
          <w:rFonts w:ascii="Times New Roman" w:eastAsia="Arial" w:hAnsi="Times New Roman"/>
          <w:sz w:val="24"/>
          <w:szCs w:val="24"/>
        </w:rPr>
        <w:t>value d’aptitudes lui</w:t>
      </w:r>
      <w:r w:rsidR="00527780">
        <w:rPr>
          <w:rFonts w:ascii="Times New Roman" w:eastAsia="Arial" w:hAnsi="Times New Roman"/>
          <w:sz w:val="24"/>
          <w:szCs w:val="24"/>
        </w:rPr>
        <w:t xml:space="preserve"> </w:t>
      </w:r>
      <w:r w:rsidRPr="00981E01">
        <w:rPr>
          <w:rFonts w:ascii="Times New Roman" w:eastAsia="Arial" w:hAnsi="Times New Roman"/>
          <w:sz w:val="24"/>
          <w:szCs w:val="24"/>
        </w:rPr>
        <w:t xml:space="preserve">permettant </w:t>
      </w:r>
      <w:r w:rsidRPr="00981E01">
        <w:rPr>
          <w:rFonts w:ascii="Times New Roman" w:hAnsi="Times New Roman"/>
          <w:sz w:val="24"/>
          <w:szCs w:val="24"/>
        </w:rPr>
        <w:t xml:space="preserve">de jouer efficacement le rôle qui est le sien. Cela passe entre autres par : </w:t>
      </w:r>
    </w:p>
    <w:p w14:paraId="39E1E729" w14:textId="2D6CE48C" w:rsidR="00707BB2" w:rsidRPr="00981E01" w:rsidRDefault="00707BB2"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981E01">
        <w:rPr>
          <w:rFonts w:ascii="Times New Roman" w:hAnsi="Times New Roman"/>
          <w:sz w:val="24"/>
          <w:szCs w:val="24"/>
        </w:rPr>
        <w:t>Exercices de simulations ;</w:t>
      </w:r>
      <w:r w:rsidRPr="00215867">
        <w:rPr>
          <w:rFonts w:ascii="Times New Roman" w:hAnsi="Times New Roman"/>
          <w:sz w:val="24"/>
          <w:szCs w:val="24"/>
        </w:rPr>
        <w:t xml:space="preserve"> </w:t>
      </w:r>
    </w:p>
    <w:p w14:paraId="2A6DE29E" w14:textId="458891C5" w:rsidR="00707BB2" w:rsidRPr="00981E01" w:rsidRDefault="00707BB2"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981E01">
        <w:rPr>
          <w:rFonts w:ascii="Times New Roman" w:hAnsi="Times New Roman"/>
          <w:sz w:val="24"/>
          <w:szCs w:val="24"/>
        </w:rPr>
        <w:t>Gestes de premiers secours ;</w:t>
      </w:r>
      <w:r w:rsidRPr="00215867">
        <w:rPr>
          <w:rFonts w:ascii="Times New Roman" w:hAnsi="Times New Roman"/>
          <w:sz w:val="24"/>
          <w:szCs w:val="24"/>
        </w:rPr>
        <w:t xml:space="preserve"> </w:t>
      </w:r>
    </w:p>
    <w:p w14:paraId="549B8F41" w14:textId="234D1446" w:rsidR="00707BB2" w:rsidRPr="00981E01" w:rsidRDefault="00707BB2"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 xml:space="preserve">Soins d’urgence ; </w:t>
      </w:r>
    </w:p>
    <w:p w14:paraId="6ED391DE" w14:textId="77777777" w:rsidR="00707BB2" w:rsidRPr="00215867" w:rsidRDefault="00707BB2"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981E01">
        <w:rPr>
          <w:rFonts w:ascii="Times New Roman" w:hAnsi="Times New Roman"/>
          <w:sz w:val="24"/>
          <w:szCs w:val="24"/>
        </w:rPr>
        <w:t>Communication en situation de crise ;</w:t>
      </w:r>
      <w:r w:rsidRPr="00215867">
        <w:rPr>
          <w:rFonts w:ascii="Times New Roman" w:hAnsi="Times New Roman"/>
          <w:sz w:val="24"/>
          <w:szCs w:val="24"/>
        </w:rPr>
        <w:t xml:space="preserve"> </w:t>
      </w:r>
    </w:p>
    <w:p w14:paraId="458FE902" w14:textId="77777777" w:rsidR="00707BB2" w:rsidRPr="00981E01" w:rsidRDefault="00707BB2"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981E01">
        <w:rPr>
          <w:rFonts w:ascii="Times New Roman" w:hAnsi="Times New Roman"/>
          <w:sz w:val="24"/>
          <w:szCs w:val="24"/>
        </w:rPr>
        <w:t>Principes de planification.</w:t>
      </w:r>
      <w:r w:rsidRPr="00215867">
        <w:rPr>
          <w:rFonts w:ascii="Times New Roman" w:hAnsi="Times New Roman"/>
          <w:sz w:val="24"/>
          <w:szCs w:val="24"/>
        </w:rPr>
        <w:t xml:space="preserve"> </w:t>
      </w:r>
    </w:p>
    <w:p w14:paraId="189B73D0" w14:textId="5F0F95DF" w:rsidR="00707BB2" w:rsidRPr="00981E01" w:rsidRDefault="00707BB2" w:rsidP="00215867">
      <w:pPr>
        <w:spacing w:before="120" w:after="120" w:line="276" w:lineRule="auto"/>
        <w:ind w:left="-6" w:right="11"/>
        <w:jc w:val="both"/>
        <w:rPr>
          <w:rFonts w:ascii="Times New Roman" w:hAnsi="Times New Roman"/>
          <w:sz w:val="24"/>
          <w:szCs w:val="24"/>
        </w:rPr>
      </w:pPr>
      <w:r w:rsidRPr="00981E01">
        <w:rPr>
          <w:rFonts w:ascii="Times New Roman" w:eastAsia="Arial" w:hAnsi="Times New Roman"/>
          <w:sz w:val="24"/>
          <w:szCs w:val="24"/>
        </w:rPr>
        <w:t xml:space="preserve">Dans  le cadre du Projet, le déclenchement du plan d’urgence en cas de catastrophe ou d’un risque majeur se fera par les bourgmestres des </w:t>
      </w:r>
      <w:r w:rsidRPr="00215867">
        <w:rPr>
          <w:rFonts w:ascii="Times New Roman" w:hAnsi="Times New Roman"/>
          <w:sz w:val="24"/>
          <w:szCs w:val="24"/>
        </w:rPr>
        <w:t>communes</w:t>
      </w:r>
      <w:r w:rsidRPr="00981E01">
        <w:rPr>
          <w:rFonts w:ascii="Times New Roman" w:eastAsia="Arial" w:hAnsi="Times New Roman"/>
          <w:sz w:val="24"/>
          <w:szCs w:val="24"/>
        </w:rPr>
        <w:t xml:space="preserve"> de la zone du projet</w:t>
      </w:r>
      <w:r w:rsidRPr="00981E01">
        <w:rPr>
          <w:rFonts w:ascii="Times New Roman" w:hAnsi="Times New Roman"/>
          <w:sz w:val="24"/>
          <w:szCs w:val="24"/>
        </w:rPr>
        <w:t xml:space="preserve">, qui </w:t>
      </w:r>
      <w:r w:rsidRPr="00981E01">
        <w:rPr>
          <w:rFonts w:ascii="Times New Roman" w:eastAsia="Arial" w:hAnsi="Times New Roman"/>
          <w:sz w:val="24"/>
          <w:szCs w:val="24"/>
        </w:rPr>
        <w:t xml:space="preserve">sont les principaux relais de </w:t>
      </w:r>
      <w:r w:rsidRPr="00215867">
        <w:rPr>
          <w:rFonts w:ascii="Times New Roman" w:hAnsi="Times New Roman"/>
          <w:sz w:val="24"/>
          <w:szCs w:val="24"/>
        </w:rPr>
        <w:t>l’information et organisateur</w:t>
      </w:r>
      <w:r w:rsidRPr="00981E01">
        <w:rPr>
          <w:rFonts w:ascii="Times New Roman" w:hAnsi="Times New Roman"/>
          <w:sz w:val="24"/>
          <w:szCs w:val="24"/>
        </w:rPr>
        <w:t xml:space="preserve">s des opérations sur terrain. </w:t>
      </w:r>
    </w:p>
    <w:p w14:paraId="55F92316" w14:textId="2D26DFC7" w:rsidR="000705BE" w:rsidRPr="00D75D2E" w:rsidRDefault="000705BE" w:rsidP="00215867">
      <w:pPr>
        <w:spacing w:before="120" w:after="120" w:line="276" w:lineRule="auto"/>
        <w:ind w:left="-6" w:right="11"/>
        <w:jc w:val="both"/>
        <w:rPr>
          <w:rFonts w:ascii="Times New Roman" w:hAnsi="Times New Roman"/>
          <w:sz w:val="24"/>
          <w:szCs w:val="24"/>
        </w:rPr>
      </w:pPr>
      <w:r w:rsidRPr="00D75D2E">
        <w:rPr>
          <w:rFonts w:ascii="Times New Roman" w:hAnsi="Times New Roman"/>
          <w:sz w:val="24"/>
          <w:szCs w:val="24"/>
        </w:rPr>
        <w:t>L’entreprise devra respecter et appliquer les lois et règlements sur l’environnement en vigueur en RDC et les NES de la Banque mondiale. Dans l’organisation journalière de son chantier, elle doit prendre toutes les mesures appropriées en vue de minimiser les atteintes à l’environnement en appliquant les prescriptions du contrat et veiller à ce que son personnel les respecte et les applique également.</w:t>
      </w:r>
    </w:p>
    <w:p w14:paraId="6406D183" w14:textId="77777777" w:rsidR="000705BE" w:rsidRPr="00D75D2E" w:rsidRDefault="000705BE" w:rsidP="00215867">
      <w:pPr>
        <w:spacing w:before="120" w:after="120" w:line="276" w:lineRule="auto"/>
        <w:ind w:left="-6" w:right="11"/>
        <w:jc w:val="both"/>
        <w:rPr>
          <w:rFonts w:ascii="Times New Roman" w:hAnsi="Times New Roman"/>
          <w:sz w:val="24"/>
          <w:szCs w:val="24"/>
        </w:rPr>
      </w:pPr>
      <w:r w:rsidRPr="00D75D2E">
        <w:rPr>
          <w:rFonts w:ascii="Times New Roman" w:hAnsi="Times New Roman"/>
          <w:sz w:val="24"/>
          <w:szCs w:val="24"/>
        </w:rPr>
        <w:t>Un règlement interne au niveau du chantier doit mentionner spécifiquement :</w:t>
      </w:r>
    </w:p>
    <w:p w14:paraId="74A07936" w14:textId="77777777" w:rsidR="000705BE" w:rsidRPr="00D75D2E"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D75D2E">
        <w:rPr>
          <w:rFonts w:ascii="Times New Roman" w:hAnsi="Times New Roman"/>
          <w:sz w:val="24"/>
          <w:szCs w:val="24"/>
        </w:rPr>
        <w:t>le rappel sommaire des bonnes pratiques et comportements sur le chantier (ce qu’il faut faire et ce qu’il ne faut pas faire sur le chantier en matière de protection de l’environnement, les règles d’hygiène et de gestion des déchets, les mesures de sécurité et de protection, les dispositions en cas d’urgence etc.) ;</w:t>
      </w:r>
    </w:p>
    <w:p w14:paraId="4B56F8AA" w14:textId="77777777" w:rsidR="000705BE" w:rsidRPr="00D75D2E"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D75D2E">
        <w:rPr>
          <w:rFonts w:ascii="Times New Roman" w:hAnsi="Times New Roman"/>
          <w:sz w:val="24"/>
          <w:szCs w:val="24"/>
        </w:rPr>
        <w:t>les règles de sécurité (signalisation du chantier, limitation de vitesse des véhicules à 40Km/h en agglomération) ;</w:t>
      </w:r>
    </w:p>
    <w:p w14:paraId="628E68E6" w14:textId="77777777" w:rsidR="000705BE" w:rsidRPr="00D75D2E"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D75D2E">
        <w:rPr>
          <w:rFonts w:ascii="Times New Roman" w:hAnsi="Times New Roman"/>
          <w:sz w:val="24"/>
          <w:szCs w:val="24"/>
        </w:rPr>
        <w:t>des séances d’information et de sensibilisation sont à tenir régulièrement.</w:t>
      </w:r>
    </w:p>
    <w:p w14:paraId="6690EEF3" w14:textId="77777777" w:rsidR="001B0BF1" w:rsidRDefault="000705BE" w:rsidP="00215867">
      <w:pPr>
        <w:pStyle w:val="Paragraphedeliste"/>
        <w:numPr>
          <w:ilvl w:val="0"/>
          <w:numId w:val="338"/>
        </w:numPr>
        <w:spacing w:after="120" w:line="240" w:lineRule="auto"/>
        <w:ind w:left="714" w:right="11" w:hanging="357"/>
        <w:contextualSpacing w:val="0"/>
        <w:jc w:val="both"/>
        <w:rPr>
          <w:rFonts w:ascii="Times New Roman" w:hAnsi="Times New Roman"/>
          <w:sz w:val="24"/>
          <w:szCs w:val="24"/>
        </w:rPr>
      </w:pPr>
      <w:r w:rsidRPr="00D75D2E">
        <w:rPr>
          <w:rFonts w:ascii="Times New Roman" w:hAnsi="Times New Roman"/>
          <w:sz w:val="24"/>
          <w:szCs w:val="24"/>
        </w:rPr>
        <w:t xml:space="preserve">De façon spécifique, le plan d’urgence ou de gestion des risques </w:t>
      </w:r>
      <w:r w:rsidR="00BD5B4B">
        <w:rPr>
          <w:rFonts w:ascii="Times New Roman" w:hAnsi="Times New Roman"/>
          <w:sz w:val="24"/>
          <w:szCs w:val="24"/>
        </w:rPr>
        <w:t>est présenté dans le tableau 50</w:t>
      </w:r>
      <w:r w:rsidR="00370918">
        <w:rPr>
          <w:rFonts w:ascii="Times New Roman" w:hAnsi="Times New Roman"/>
          <w:sz w:val="24"/>
          <w:szCs w:val="24"/>
        </w:rPr>
        <w:t>.</w:t>
      </w:r>
    </w:p>
    <w:p w14:paraId="28D044B1" w14:textId="77777777" w:rsidR="002D02AF" w:rsidRPr="00DB2C31" w:rsidRDefault="002D02AF" w:rsidP="002D02AF">
      <w:pPr>
        <w:rPr>
          <w:rFonts w:ascii="Times New Roman" w:hAnsi="Times New Roman"/>
          <w:b/>
          <w:sz w:val="24"/>
          <w:szCs w:val="24"/>
        </w:rPr>
      </w:pPr>
      <w:r w:rsidRPr="00DB2C31">
        <w:rPr>
          <w:rFonts w:ascii="Times New Roman" w:hAnsi="Times New Roman"/>
          <w:b/>
          <w:sz w:val="24"/>
          <w:szCs w:val="24"/>
        </w:rPr>
        <w:t>8.3.4. Organigramme de fonctionnement du plan d’urgence</w:t>
      </w:r>
    </w:p>
    <w:p w14:paraId="58E7F651" w14:textId="77777777" w:rsidR="002D02AF" w:rsidRPr="00DB2C31" w:rsidRDefault="002D02AF" w:rsidP="002D02AF">
      <w:pPr>
        <w:jc w:val="center"/>
        <w:rPr>
          <w:rFonts w:ascii="Times New Roman" w:hAnsi="Times New Roman"/>
          <w:b/>
          <w:sz w:val="24"/>
          <w:szCs w:val="24"/>
        </w:rPr>
      </w:pPr>
      <w:r w:rsidRPr="00DB2C31">
        <w:rPr>
          <w:rFonts w:ascii="Times New Roman" w:hAnsi="Times New Roman"/>
          <w:b/>
          <w:sz w:val="24"/>
          <w:szCs w:val="24"/>
        </w:rPr>
        <w:t>Organigramme de fonctionnement du Plan d’urgence</w:t>
      </w:r>
    </w:p>
    <w:p w14:paraId="55E16E38" w14:textId="6A7284A1" w:rsidR="002D02AF" w:rsidRPr="00DB2C31" w:rsidRDefault="002D02AF" w:rsidP="002D02AF">
      <w:pPr>
        <w:rPr>
          <w:rFonts w:ascii="Times New Roman" w:hAnsi="Times New Roman"/>
          <w:sz w:val="24"/>
          <w:szCs w:val="24"/>
        </w:rPr>
      </w:pP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002C66D7">
        <w:rPr>
          <w:noProof/>
          <w:lang w:eastAsia="fr-FR"/>
        </w:rPr>
        <mc:AlternateContent>
          <mc:Choice Requires="wpg">
            <w:drawing>
              <wp:anchor distT="0" distB="0" distL="114300" distR="114300" simplePos="0" relativeHeight="251670016" behindDoc="0" locked="0" layoutInCell="1" allowOverlap="1" wp14:anchorId="22A0FD83" wp14:editId="33DAC2DE">
                <wp:simplePos x="0" y="0"/>
                <wp:positionH relativeFrom="column">
                  <wp:posOffset>33655</wp:posOffset>
                </wp:positionH>
                <wp:positionV relativeFrom="paragraph">
                  <wp:posOffset>20320</wp:posOffset>
                </wp:positionV>
                <wp:extent cx="4676775" cy="2924175"/>
                <wp:effectExtent l="0" t="0" r="28575" b="28575"/>
                <wp:wrapNone/>
                <wp:docPr id="3" name="Groupe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6775" cy="2924175"/>
                          <a:chOff x="0" y="0"/>
                          <a:chExt cx="4676775" cy="2924175"/>
                        </a:xfrm>
                      </wpg:grpSpPr>
                      <wpg:grpSp>
                        <wpg:cNvPr id="4" name="Groupe 47"/>
                        <wpg:cNvGrpSpPr/>
                        <wpg:grpSpPr>
                          <a:xfrm>
                            <a:off x="0" y="0"/>
                            <a:ext cx="4676775" cy="2924175"/>
                            <a:chOff x="0" y="0"/>
                            <a:chExt cx="4676775" cy="2924175"/>
                          </a:xfrm>
                        </wpg:grpSpPr>
                        <wps:wsp>
                          <wps:cNvPr id="5" name="Zone de texte 48"/>
                          <wps:cNvSpPr txBox="1"/>
                          <wps:spPr>
                            <a:xfrm>
                              <a:off x="1657350" y="0"/>
                              <a:ext cx="1514475" cy="257175"/>
                            </a:xfrm>
                            <a:prstGeom prst="rect">
                              <a:avLst/>
                            </a:prstGeom>
                            <a:solidFill>
                              <a:sysClr val="window" lastClr="FFFFFF"/>
                            </a:solidFill>
                            <a:ln w="6350">
                              <a:solidFill>
                                <a:prstClr val="black"/>
                              </a:solidFill>
                            </a:ln>
                            <a:effectLst/>
                          </wps:spPr>
                          <wps:txbx>
                            <w:txbxContent>
                              <w:p w14:paraId="2DFCDFF6" w14:textId="77777777" w:rsidR="0075784E" w:rsidRDefault="0075784E" w:rsidP="002D02AF">
                                <w:r w:rsidRPr="000E1A6D">
                                  <w:rPr>
                                    <w:rFonts w:ascii="Times New Roman" w:hAnsi="Times New Roman"/>
                                    <w:b/>
                                  </w:rPr>
                                  <w:t>Directeur des travaux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Zone de texte 49"/>
                          <wps:cNvSpPr txBox="1"/>
                          <wps:spPr>
                            <a:xfrm>
                              <a:off x="0" y="790575"/>
                              <a:ext cx="1266825" cy="361950"/>
                            </a:xfrm>
                            <a:prstGeom prst="rect">
                              <a:avLst/>
                            </a:prstGeom>
                            <a:solidFill>
                              <a:sysClr val="window" lastClr="FFFFFF"/>
                            </a:solidFill>
                            <a:ln w="6350">
                              <a:solidFill>
                                <a:prstClr val="black"/>
                              </a:solidFill>
                            </a:ln>
                            <a:effectLst/>
                          </wps:spPr>
                          <wps:txbx>
                            <w:txbxContent>
                              <w:p w14:paraId="08F286A6" w14:textId="77777777" w:rsidR="0075784E" w:rsidRDefault="0075784E" w:rsidP="002D02AF">
                                <w:r>
                                  <w:rPr>
                                    <w:rFonts w:ascii="Times New Roman" w:hAnsi="Times New Roman"/>
                                    <w:b/>
                                  </w:rPr>
                                  <w:t>Responsable HSE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Zone de texte 50"/>
                          <wps:cNvSpPr txBox="1"/>
                          <wps:spPr>
                            <a:xfrm>
                              <a:off x="1724025" y="790575"/>
                              <a:ext cx="1257300" cy="295275"/>
                            </a:xfrm>
                            <a:prstGeom prst="rect">
                              <a:avLst/>
                            </a:prstGeom>
                            <a:solidFill>
                              <a:sysClr val="window" lastClr="FFFFFF"/>
                            </a:solidFill>
                            <a:ln w="6350">
                              <a:solidFill>
                                <a:prstClr val="black"/>
                              </a:solidFill>
                            </a:ln>
                            <a:effectLst/>
                          </wps:spPr>
                          <wps:txbx>
                            <w:txbxContent>
                              <w:p w14:paraId="174A5ADC" w14:textId="77777777" w:rsidR="0075784E" w:rsidRDefault="0075784E" w:rsidP="002D02AF">
                                <w:r>
                                  <w:rPr>
                                    <w:rFonts w:ascii="Times New Roman" w:hAnsi="Times New Roman"/>
                                    <w:b/>
                                  </w:rPr>
                                  <w:t>Chefs de chantier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Zone de texte 51"/>
                          <wps:cNvSpPr txBox="1"/>
                          <wps:spPr>
                            <a:xfrm>
                              <a:off x="3419475" y="790575"/>
                              <a:ext cx="1257300" cy="419100"/>
                            </a:xfrm>
                            <a:prstGeom prst="rect">
                              <a:avLst/>
                            </a:prstGeom>
                            <a:solidFill>
                              <a:sysClr val="window" lastClr="FFFFFF"/>
                            </a:solidFill>
                            <a:ln w="6350">
                              <a:solidFill>
                                <a:prstClr val="black"/>
                              </a:solidFill>
                            </a:ln>
                            <a:effectLst/>
                          </wps:spPr>
                          <wps:txbx>
                            <w:txbxContent>
                              <w:p w14:paraId="171B75E4" w14:textId="77777777" w:rsidR="0075784E" w:rsidRDefault="0075784E" w:rsidP="002D02AF">
                                <w:r>
                                  <w:rPr>
                                    <w:rFonts w:ascii="Times New Roman" w:hAnsi="Times New Roman"/>
                                    <w:b/>
                                  </w:rPr>
                                  <w:t>Responsable Administratif et financier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Zone de texte 52"/>
                          <wps:cNvSpPr txBox="1"/>
                          <wps:spPr>
                            <a:xfrm>
                              <a:off x="1724025" y="1781175"/>
                              <a:ext cx="1143000" cy="257175"/>
                            </a:xfrm>
                            <a:prstGeom prst="rect">
                              <a:avLst/>
                            </a:prstGeom>
                            <a:solidFill>
                              <a:sysClr val="window" lastClr="FFFFFF"/>
                            </a:solidFill>
                            <a:ln w="6350">
                              <a:solidFill>
                                <a:prstClr val="black"/>
                              </a:solidFill>
                            </a:ln>
                            <a:effectLst/>
                          </wps:spPr>
                          <wps:txbx>
                            <w:txbxContent>
                              <w:p w14:paraId="27DA444A" w14:textId="77777777" w:rsidR="0075784E" w:rsidRDefault="0075784E" w:rsidP="002D02AF">
                                <w:r>
                                  <w:rPr>
                                    <w:rFonts w:ascii="Times New Roman" w:hAnsi="Times New Roman"/>
                                    <w:b/>
                                  </w:rPr>
                                  <w:t>Chefs d’équipe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Zone de texte 53"/>
                          <wps:cNvSpPr txBox="1"/>
                          <wps:spPr>
                            <a:xfrm>
                              <a:off x="3495675" y="1771650"/>
                              <a:ext cx="1066800" cy="447675"/>
                            </a:xfrm>
                            <a:prstGeom prst="rect">
                              <a:avLst/>
                            </a:prstGeom>
                            <a:solidFill>
                              <a:sysClr val="window" lastClr="FFFFFF"/>
                            </a:solidFill>
                            <a:ln w="6350">
                              <a:solidFill>
                                <a:prstClr val="black"/>
                              </a:solidFill>
                            </a:ln>
                            <a:effectLst/>
                          </wps:spPr>
                          <wps:txbx>
                            <w:txbxContent>
                              <w:p w14:paraId="29F74B6D" w14:textId="77777777" w:rsidR="0075784E" w:rsidRDefault="0075784E" w:rsidP="002D02AF">
                                <w:r>
                                  <w:rPr>
                                    <w:rFonts w:ascii="Times New Roman" w:hAnsi="Times New Roman"/>
                                    <w:b/>
                                  </w:rPr>
                                  <w:t xml:space="preserve">Chargé de charroi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Zone de texte 54"/>
                          <wps:cNvSpPr txBox="1"/>
                          <wps:spPr>
                            <a:xfrm>
                              <a:off x="3495675" y="2476500"/>
                              <a:ext cx="1066800" cy="447675"/>
                            </a:xfrm>
                            <a:prstGeom prst="rect">
                              <a:avLst/>
                            </a:prstGeom>
                            <a:solidFill>
                              <a:sysClr val="window" lastClr="FFFFFF"/>
                            </a:solidFill>
                            <a:ln w="6350">
                              <a:solidFill>
                                <a:prstClr val="black"/>
                              </a:solidFill>
                            </a:ln>
                            <a:effectLst/>
                          </wps:spPr>
                          <wps:txbx>
                            <w:txbxContent>
                              <w:p w14:paraId="40D6776B" w14:textId="77777777" w:rsidR="0075784E" w:rsidRDefault="0075784E" w:rsidP="002D02AF">
                                <w:r>
                                  <w:rPr>
                                    <w:rFonts w:ascii="Times New Roman" w:hAnsi="Times New Roman"/>
                                    <w:b/>
                                  </w:rPr>
                                  <w:t xml:space="preserve">Responsable magasin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Zone de texte 55"/>
                          <wps:cNvSpPr txBox="1"/>
                          <wps:spPr>
                            <a:xfrm>
                              <a:off x="1905000" y="2466975"/>
                              <a:ext cx="800100" cy="304800"/>
                            </a:xfrm>
                            <a:prstGeom prst="rect">
                              <a:avLst/>
                            </a:prstGeom>
                            <a:solidFill>
                              <a:sysClr val="window" lastClr="FFFFFF"/>
                            </a:solidFill>
                            <a:ln w="6350">
                              <a:solidFill>
                                <a:prstClr val="black"/>
                              </a:solidFill>
                            </a:ln>
                            <a:effectLst/>
                          </wps:spPr>
                          <wps:txbx>
                            <w:txbxContent>
                              <w:p w14:paraId="4229468D" w14:textId="77777777" w:rsidR="0075784E" w:rsidRDefault="0075784E" w:rsidP="002D02AF">
                                <w:r>
                                  <w:rPr>
                                    <w:rFonts w:ascii="Times New Roman" w:hAnsi="Times New Roman"/>
                                    <w:b/>
                                  </w:rPr>
                                  <w:t xml:space="preserve">Ouvriers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onnecteur droit avec flèche 56"/>
                          <wps:cNvCnPr/>
                          <wps:spPr>
                            <a:xfrm>
                              <a:off x="2295525" y="257175"/>
                              <a:ext cx="0" cy="533400"/>
                            </a:xfrm>
                            <a:prstGeom prst="straightConnector1">
                              <a:avLst/>
                            </a:prstGeom>
                            <a:noFill/>
                            <a:ln w="6350" cap="flat" cmpd="sng" algn="ctr">
                              <a:solidFill>
                                <a:srgbClr val="5B9BD5"/>
                              </a:solidFill>
                              <a:prstDash val="solid"/>
                              <a:miter lim="800000"/>
                              <a:tailEnd type="arrow"/>
                            </a:ln>
                            <a:effectLst/>
                          </wps:spPr>
                          <wps:bodyPr/>
                        </wps:wsp>
                        <wps:wsp>
                          <wps:cNvPr id="57" name="Connecteur droit avec flèche 57"/>
                          <wps:cNvCnPr/>
                          <wps:spPr>
                            <a:xfrm>
                              <a:off x="2305050" y="1085850"/>
                              <a:ext cx="0" cy="695325"/>
                            </a:xfrm>
                            <a:prstGeom prst="straightConnector1">
                              <a:avLst/>
                            </a:prstGeom>
                            <a:noFill/>
                            <a:ln w="6350" cap="flat" cmpd="sng" algn="ctr">
                              <a:solidFill>
                                <a:srgbClr val="5B9BD5"/>
                              </a:solidFill>
                              <a:prstDash val="solid"/>
                              <a:miter lim="800000"/>
                              <a:tailEnd type="arrow"/>
                            </a:ln>
                            <a:effectLst/>
                          </wps:spPr>
                          <wps:bodyPr/>
                        </wps:wsp>
                        <wps:wsp>
                          <wps:cNvPr id="58" name="Connecteur droit avec flèche 58"/>
                          <wps:cNvCnPr/>
                          <wps:spPr>
                            <a:xfrm>
                              <a:off x="2305050" y="2038350"/>
                              <a:ext cx="0" cy="428625"/>
                            </a:xfrm>
                            <a:prstGeom prst="straightConnector1">
                              <a:avLst/>
                            </a:prstGeom>
                            <a:noFill/>
                            <a:ln w="6350" cap="flat" cmpd="sng" algn="ctr">
                              <a:solidFill>
                                <a:srgbClr val="5B9BD5"/>
                              </a:solidFill>
                              <a:prstDash val="solid"/>
                              <a:miter lim="800000"/>
                              <a:tailEnd type="arrow"/>
                            </a:ln>
                            <a:effectLst/>
                          </wps:spPr>
                          <wps:bodyPr/>
                        </wps:wsp>
                        <wps:wsp>
                          <wps:cNvPr id="59" name="Connecteur en angle 59"/>
                          <wps:cNvCnPr/>
                          <wps:spPr>
                            <a:xfrm flipH="1">
                              <a:off x="1266825" y="257175"/>
                              <a:ext cx="781050" cy="733425"/>
                            </a:xfrm>
                            <a:prstGeom prst="bentConnector3">
                              <a:avLst/>
                            </a:prstGeom>
                            <a:noFill/>
                            <a:ln w="6350" cap="flat" cmpd="sng" algn="ctr">
                              <a:solidFill>
                                <a:srgbClr val="5B9BD5"/>
                              </a:solidFill>
                              <a:prstDash val="solid"/>
                              <a:miter lim="800000"/>
                              <a:tailEnd type="arrow"/>
                            </a:ln>
                            <a:effectLst/>
                          </wps:spPr>
                          <wps:bodyPr/>
                        </wps:wsp>
                        <wps:wsp>
                          <wps:cNvPr id="61" name="Connecteur en angle 61"/>
                          <wps:cNvCnPr/>
                          <wps:spPr>
                            <a:xfrm>
                              <a:off x="3095625" y="257175"/>
                              <a:ext cx="323850" cy="733425"/>
                            </a:xfrm>
                            <a:prstGeom prst="bentConnector3">
                              <a:avLst/>
                            </a:prstGeom>
                            <a:noFill/>
                            <a:ln w="6350" cap="flat" cmpd="sng" algn="ctr">
                              <a:solidFill>
                                <a:srgbClr val="5B9BD5"/>
                              </a:solidFill>
                              <a:prstDash val="solid"/>
                              <a:miter lim="800000"/>
                              <a:tailEnd type="arrow"/>
                            </a:ln>
                            <a:effectLst/>
                          </wps:spPr>
                          <wps:bodyPr/>
                        </wps:wsp>
                        <wps:wsp>
                          <wps:cNvPr id="62" name="Connecteur droit avec flèche 62"/>
                          <wps:cNvCnPr/>
                          <wps:spPr>
                            <a:xfrm>
                              <a:off x="4019550" y="1209675"/>
                              <a:ext cx="0" cy="571500"/>
                            </a:xfrm>
                            <a:prstGeom prst="straightConnector1">
                              <a:avLst/>
                            </a:prstGeom>
                            <a:noFill/>
                            <a:ln w="6350" cap="flat" cmpd="sng" algn="ctr">
                              <a:solidFill>
                                <a:srgbClr val="5B9BD5"/>
                              </a:solidFill>
                              <a:prstDash val="solid"/>
                              <a:miter lim="800000"/>
                              <a:tailEnd type="arrow"/>
                            </a:ln>
                            <a:effectLst/>
                          </wps:spPr>
                          <wps:bodyPr/>
                        </wps:wsp>
                        <wps:wsp>
                          <wps:cNvPr id="63" name="Connecteur droit avec flèche 63"/>
                          <wps:cNvCnPr/>
                          <wps:spPr>
                            <a:xfrm>
                              <a:off x="4019550" y="2228850"/>
                              <a:ext cx="0" cy="257175"/>
                            </a:xfrm>
                            <a:prstGeom prst="straightConnector1">
                              <a:avLst/>
                            </a:prstGeom>
                            <a:noFill/>
                            <a:ln w="6350" cap="flat" cmpd="sng" algn="ctr">
                              <a:solidFill>
                                <a:srgbClr val="5B9BD5"/>
                              </a:solidFill>
                              <a:prstDash val="solid"/>
                              <a:miter lim="800000"/>
                              <a:tailEnd type="arrow"/>
                            </a:ln>
                            <a:effectLst/>
                          </wps:spPr>
                          <wps:bodyPr/>
                        </wps:wsp>
                      </wpg:grpSp>
                      <wps:wsp>
                        <wps:cNvPr id="512" name="Connecteur en angle 512"/>
                        <wps:cNvCnPr/>
                        <wps:spPr>
                          <a:xfrm flipV="1">
                            <a:off x="933450" y="1085850"/>
                            <a:ext cx="790575" cy="66675"/>
                          </a:xfrm>
                          <a:prstGeom prst="bentConnector3">
                            <a:avLst/>
                          </a:prstGeom>
                          <a:noFill/>
                          <a:ln w="6350" cap="flat" cmpd="sng" algn="ctr">
                            <a:solidFill>
                              <a:srgbClr val="5B9BD5"/>
                            </a:solidFill>
                            <a:prstDash val="solid"/>
                            <a:miter lim="800000"/>
                            <a:tailEnd type="arrow"/>
                          </a:ln>
                          <a:effectLst/>
                        </wps:spPr>
                        <wps:bodyPr/>
                      </wps:wsp>
                      <wps:wsp>
                        <wps:cNvPr id="513" name="Connecteur en angle 513"/>
                        <wps:cNvCnPr/>
                        <wps:spPr>
                          <a:xfrm>
                            <a:off x="2981325" y="990600"/>
                            <a:ext cx="438150" cy="161925"/>
                          </a:xfrm>
                          <a:prstGeom prst="bentConnector3">
                            <a:avLst/>
                          </a:prstGeom>
                          <a:noFill/>
                          <a:ln w="6350" cap="flat" cmpd="sng" algn="ctr">
                            <a:solidFill>
                              <a:srgbClr val="5B9BD5"/>
                            </a:solidFill>
                            <a:prstDash val="solid"/>
                            <a:miter lim="800000"/>
                            <a:tailEnd type="arrow"/>
                          </a:ln>
                          <a:effectLst/>
                        </wps:spPr>
                        <wps:bodyPr/>
                      </wps:wsp>
                      <wps:wsp>
                        <wps:cNvPr id="514" name="Connecteur en angle 514"/>
                        <wps:cNvCnPr/>
                        <wps:spPr>
                          <a:xfrm>
                            <a:off x="1095375" y="1152525"/>
                            <a:ext cx="628650" cy="771525"/>
                          </a:xfrm>
                          <a:prstGeom prst="bentConnector3">
                            <a:avLst>
                              <a:gd name="adj1" fmla="val -71212"/>
                            </a:avLst>
                          </a:prstGeom>
                          <a:noFill/>
                          <a:ln w="6350" cap="flat" cmpd="sng" algn="ctr">
                            <a:solidFill>
                              <a:srgbClr val="5B9BD5"/>
                            </a:solidFill>
                            <a:prstDash val="solid"/>
                            <a:miter lim="800000"/>
                            <a:tailEnd type="arrow"/>
                          </a:ln>
                          <a:effectLst/>
                        </wps:spPr>
                        <wps:bodyPr/>
                      </wps:wsp>
                      <wps:wsp>
                        <wps:cNvPr id="516" name="Connecteur en angle 516"/>
                        <wps:cNvCnPr/>
                        <wps:spPr>
                          <a:xfrm>
                            <a:off x="1419225" y="1924050"/>
                            <a:ext cx="485775" cy="723900"/>
                          </a:xfrm>
                          <a:prstGeom prst="bentConnector3">
                            <a:avLst>
                              <a:gd name="adj1" fmla="val -89216"/>
                            </a:avLst>
                          </a:prstGeom>
                          <a:noFill/>
                          <a:ln w="6350" cap="flat" cmpd="sng" algn="ctr">
                            <a:solidFill>
                              <a:srgbClr val="5B9BD5"/>
                            </a:solidFill>
                            <a:prstDash val="solid"/>
                            <a:miter lim="800000"/>
                            <a:tailEnd type="arrow"/>
                          </a:ln>
                          <a:effectLst/>
                        </wps:spPr>
                        <wps:bodyPr/>
                      </wps:wsp>
                      <wps:wsp>
                        <wps:cNvPr id="517" name="Connecteur droit avec flèche 517"/>
                        <wps:cNvCnPr/>
                        <wps:spPr>
                          <a:xfrm>
                            <a:off x="2867025" y="1924050"/>
                            <a:ext cx="628650" cy="0"/>
                          </a:xfrm>
                          <a:prstGeom prst="straightConnector1">
                            <a:avLst/>
                          </a:prstGeom>
                          <a:noFill/>
                          <a:ln w="6350" cap="flat" cmpd="sng" algn="ctr">
                            <a:solidFill>
                              <a:srgbClr val="5B9BD5"/>
                            </a:solidFill>
                            <a:prstDash val="solid"/>
                            <a:miter lim="800000"/>
                            <a:tailEnd type="arrow"/>
                          </a:ln>
                          <a:effectLst/>
                        </wps:spPr>
                        <wps:bodyPr/>
                      </wps:wsp>
                      <wps:wsp>
                        <wps:cNvPr id="518" name="Connecteur droit avec flèche 518"/>
                        <wps:cNvCnPr/>
                        <wps:spPr>
                          <a:xfrm>
                            <a:off x="2705100" y="2647950"/>
                            <a:ext cx="790575" cy="0"/>
                          </a:xfrm>
                          <a:prstGeom prst="straightConnector1">
                            <a:avLst/>
                          </a:prstGeom>
                          <a:noFill/>
                          <a:ln w="6350" cap="flat" cmpd="sng" algn="ctr">
                            <a:solidFill>
                              <a:srgbClr val="5B9BD5"/>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22A0FD83" id="Groupe 46" o:spid="_x0000_s1030" style="position:absolute;margin-left:2.65pt;margin-top:1.6pt;width:368.25pt;height:230.25pt;z-index:251670016" coordsize="46767,29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">
                <v:group id="Groupe 47" o:spid="_x0000_s1031" style="position:absolute;width:46767;height:29241" coordsize="46767,29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Zone de texte 48" o:spid="_x0000_s1032" type="#_x0000_t202" style="position:absolute;left:16573;width:15145;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14:paraId="2DFCDFF6" w14:textId="77777777" w:rsidR="0075784E" w:rsidRDefault="0075784E" w:rsidP="002D02AF">
                          <w:r w:rsidRPr="000E1A6D">
                            <w:rPr>
                              <w:rFonts w:ascii="Times New Roman" w:hAnsi="Times New Roman"/>
                              <w:b/>
                            </w:rPr>
                            <w:t>Directeur des travaux</w:t>
                          </w:r>
                        </w:p>
                      </w:txbxContent>
                    </v:textbox>
                  </v:shape>
                  <v:shape id="Zone de texte 49" o:spid="_x0000_s1033" type="#_x0000_t202" style="position:absolute;top:7905;width:12668;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14:paraId="08F286A6" w14:textId="77777777" w:rsidR="0075784E" w:rsidRDefault="0075784E" w:rsidP="002D02AF">
                          <w:r>
                            <w:rPr>
                              <w:rFonts w:ascii="Times New Roman" w:hAnsi="Times New Roman"/>
                              <w:b/>
                            </w:rPr>
                            <w:t>Responsable HSE</w:t>
                          </w:r>
                        </w:p>
                      </w:txbxContent>
                    </v:textbox>
                  </v:shape>
                  <v:shape id="Zone de texte 50" o:spid="_x0000_s1034" type="#_x0000_t202" style="position:absolute;left:17240;top:7905;width:125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14:paraId="174A5ADC" w14:textId="77777777" w:rsidR="0075784E" w:rsidRDefault="0075784E" w:rsidP="002D02AF">
                          <w:r>
                            <w:rPr>
                              <w:rFonts w:ascii="Times New Roman" w:hAnsi="Times New Roman"/>
                              <w:b/>
                            </w:rPr>
                            <w:t>Chefs de chantier</w:t>
                          </w:r>
                        </w:p>
                      </w:txbxContent>
                    </v:textbox>
                  </v:shape>
                  <v:shape id="Zone de texte 51" o:spid="_x0000_s1035" type="#_x0000_t202" style="position:absolute;left:34194;top:7905;width:12573;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xbcMA&#10;AADbAAAADwAAAGRycy9kb3ducmV2LnhtbESPQWvCQBSE70L/w/IKvelGo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xbcMAAADbAAAADwAAAAAAAAAAAAAAAACYAgAAZHJzL2Rv&#10;d25yZXYueG1sUEsFBgAAAAAEAAQA9QAAAIgDAAAAAA==&#10;" fillcolor="window" strokeweight=".5pt">
                    <v:textbox>
                      <w:txbxContent>
                        <w:p w14:paraId="171B75E4" w14:textId="77777777" w:rsidR="0075784E" w:rsidRDefault="0075784E" w:rsidP="002D02AF">
                          <w:r>
                            <w:rPr>
                              <w:rFonts w:ascii="Times New Roman" w:hAnsi="Times New Roman"/>
                              <w:b/>
                            </w:rPr>
                            <w:t>Responsable Administratif et financier</w:t>
                          </w:r>
                        </w:p>
                      </w:txbxContent>
                    </v:textbox>
                  </v:shape>
                  <v:shape id="Zone de texte 52" o:spid="_x0000_s1036" type="#_x0000_t202" style="position:absolute;left:17240;top:17811;width:11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vGsMA&#10;AADbAAAADwAAAGRycy9kb3ducmV2LnhtbESPQWvCQBSE70L/w/IK3nRTo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vGsMAAADbAAAADwAAAAAAAAAAAAAAAACYAgAAZHJzL2Rv&#10;d25yZXYueG1sUEsFBgAAAAAEAAQA9QAAAIgDAAAAAA==&#10;" fillcolor="window" strokeweight=".5pt">
                    <v:textbox>
                      <w:txbxContent>
                        <w:p w14:paraId="27DA444A" w14:textId="77777777" w:rsidR="0075784E" w:rsidRDefault="0075784E" w:rsidP="002D02AF">
                          <w:r>
                            <w:rPr>
                              <w:rFonts w:ascii="Times New Roman" w:hAnsi="Times New Roman"/>
                              <w:b/>
                            </w:rPr>
                            <w:t>Chefs d’équipe</w:t>
                          </w:r>
                        </w:p>
                      </w:txbxContent>
                    </v:textbox>
                  </v:shape>
                  <v:shape id="Zone de texte 53" o:spid="_x0000_s1037" type="#_x0000_t202" style="position:absolute;left:34956;top:17716;width:10668;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KgcMA&#10;AADbAAAADwAAAGRycy9kb3ducmV2LnhtbESPQWsCMRSE74X+h/AKvdWsLZZ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KKgcMAAADbAAAADwAAAAAAAAAAAAAAAACYAgAAZHJzL2Rv&#10;d25yZXYueG1sUEsFBgAAAAAEAAQA9QAAAIgDAAAAAA==&#10;" fillcolor="window" strokeweight=".5pt">
                    <v:textbox>
                      <w:txbxContent>
                        <w:p w14:paraId="29F74B6D" w14:textId="77777777" w:rsidR="0075784E" w:rsidRDefault="0075784E" w:rsidP="002D02AF">
                          <w:r>
                            <w:rPr>
                              <w:rFonts w:ascii="Times New Roman" w:hAnsi="Times New Roman"/>
                              <w:b/>
                            </w:rPr>
                            <w:t xml:space="preserve">Chargé de charroi </w:t>
                          </w:r>
                        </w:p>
                      </w:txbxContent>
                    </v:textbox>
                  </v:shape>
                  <v:shape id="Zone de texte 54" o:spid="_x0000_s1038" type="#_x0000_t202" style="position:absolute;left:34956;top:24765;width:10668;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S9cMA&#10;AADbAAAADwAAAGRycy9kb3ducmV2LnhtbESPQWsCMRSE74X+h/AKvdWspZZ1NYoIhV6KdPWgt0fy&#10;3I1uXpZNum799Y0g9DjMzDfMfDm4RvTUBetZwXiUgSDW3liuFOy2Hy85iBCRDTaeScEvBVguHh/m&#10;WBh/4W/qy1iJBOFQoII6xraQMuiaHIaRb4mTd/Sdw5hkV0nT4SXBXSNfs+xdOrScFmpsaV2TPpc/&#10;ToHhvWd9sF9Xy6W20+smP+leqeenYTUDEWmI/+F7+9MomLz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sS9cMAAADbAAAADwAAAAAAAAAAAAAAAACYAgAAZHJzL2Rv&#10;d25yZXYueG1sUEsFBgAAAAAEAAQA9QAAAIgDAAAAAA==&#10;" fillcolor="window" strokeweight=".5pt">
                    <v:textbox>
                      <w:txbxContent>
                        <w:p w14:paraId="40D6776B" w14:textId="77777777" w:rsidR="0075784E" w:rsidRDefault="0075784E" w:rsidP="002D02AF">
                          <w:r>
                            <w:rPr>
                              <w:rFonts w:ascii="Times New Roman" w:hAnsi="Times New Roman"/>
                              <w:b/>
                            </w:rPr>
                            <w:t xml:space="preserve">Responsable magasin  </w:t>
                          </w:r>
                        </w:p>
                      </w:txbxContent>
                    </v:textbox>
                  </v:shape>
                  <v:shape id="Zone de texte 55" o:spid="_x0000_s1039" type="#_x0000_t202" style="position:absolute;left:19050;top:24669;width:8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3bsMA&#10;AADbAAAADwAAAGRycy9kb3ducmV2LnhtbESPQWvCQBSE7wX/w/KE3uqmgkWjm1AEoZciTXuot8fu&#10;M1nNvg3ZNab+erdQ6HGYmW+YTTm6VgzUB+tZwfMsA0GsvbFcK/j63D0tQYSIbLD1TAp+KEBZTB42&#10;mBt/5Q8aqliLBOGQo4Imxi6XMuiGHIaZ74iTd/S9w5hkX0vT4zXBXSvnWfYiHVpOCw12tG1In6uL&#10;U2D427M+2Peb5Urb1W2/POlBqcfp+LoGEWmM/+G/9ptRsFjA75f0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3bsMAAADbAAAADwAAAAAAAAAAAAAAAACYAgAAZHJzL2Rv&#10;d25yZXYueG1sUEsFBgAAAAAEAAQA9QAAAIgDAAAAAA==&#10;" fillcolor="window" strokeweight=".5pt">
                    <v:textbox>
                      <w:txbxContent>
                        <w:p w14:paraId="4229468D" w14:textId="77777777" w:rsidR="0075784E" w:rsidRDefault="0075784E" w:rsidP="002D02AF">
                          <w:r>
                            <w:rPr>
                              <w:rFonts w:ascii="Times New Roman" w:hAnsi="Times New Roman"/>
                              <w:b/>
                            </w:rPr>
                            <w:t xml:space="preserve">Ouvriers </w:t>
                          </w:r>
                        </w:p>
                      </w:txbxContent>
                    </v:textbox>
                  </v:shape>
                  <v:shapetype id="_x0000_t32" coordsize="21600,21600" o:spt="32" o:oned="t" path="m,l21600,21600e" filled="f">
                    <v:path arrowok="t" fillok="f" o:connecttype="none"/>
                    <o:lock v:ext="edit" shapetype="t"/>
                  </v:shapetype>
                  <v:shape id="Connecteur droit avec flèche 56" o:spid="_x0000_s1040" type="#_x0000_t32" style="position:absolute;left:22955;top:2571;width:0;height:5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LpFcMAAADbAAAADwAAAGRycy9kb3ducmV2LnhtbESPT4vCMBTE74LfITzBm6YWFLcaRRRB&#10;EHHXevD4aF7/YPNSmqj1228WhD0OM/MbZrnuTC2e1LrKsoLJOAJBnFldcaHgmu5HcxDOI2usLZOC&#10;NzlYr/q9JSbavviHnhdfiABhl6CC0vsmkdJlJRl0Y9sQBy+3rUEfZFtI3eIrwE0t4yiaSYMVh4US&#10;G9qWlN0vD6NgTvk5Pe2+4k3q8/odfx9OxfGm1HDQbRYgPHX+P/xpH7SC6Qz+vo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C6RXDAAAA2wAAAA8AAAAAAAAAAAAA&#10;AAAAoQIAAGRycy9kb3ducmV2LnhtbFBLBQYAAAAABAAEAPkAAACRAwAAAAA=&#10;" strokecolor="#5b9bd5" strokeweight=".5pt">
                    <v:stroke endarrow="open" joinstyle="miter"/>
                  </v:shape>
                  <v:shape id="Connecteur droit avec flèche 57" o:spid="_x0000_s1041" type="#_x0000_t32" style="position:absolute;left:23050;top:10858;width:0;height:6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5MjsQAAADbAAAADwAAAGRycy9kb3ducmV2LnhtbESPT4vCMBTE74LfITxhb5pa2FWrUURZ&#10;EBZx13rw+Ghe/2DzUpqs1m9vBMHjMDO/YRarztTiSq2rLCsYjyIQxJnVFRcKTun3cArCeWSNtWVS&#10;cCcHq2W/t8BE2xv/0fXoCxEg7BJUUHrfJFK6rCSDbmQb4uDltjXog2wLqVu8BbipZRxFX9JgxWGh&#10;xIY2JWWX479RMKX8kO63s3id+ry+x7+7ffFzVupj0K3nIDx1/h1+tXdawecEnl/C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DkyOxAAAANsAAAAPAAAAAAAAAAAA&#10;AAAAAKECAABkcnMvZG93bnJldi54bWxQSwUGAAAAAAQABAD5AAAAkgMAAAAA&#10;" strokecolor="#5b9bd5" strokeweight=".5pt">
                    <v:stroke endarrow="open" joinstyle="miter"/>
                  </v:shape>
                  <v:shape id="Connecteur droit avec flèche 58" o:spid="_x0000_s1042" type="#_x0000_t32" style="position:absolute;left:23050;top:20383;width:0;height:4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Y/MEAAADbAAAADwAAAGRycy9kb3ducmV2LnhtbERPy4rCMBTdD8w/hCu4G1MLI1qNpYwI&#10;goijdeHy0tw+sLkpTUbr35uFMMvDea/SwbTiTr1rLCuYTiIQxIXVDVcKLvn2aw7CeWSNrWVS8CQH&#10;6frzY4WJtg8+0f3sKxFC2CWooPa+S6R0RU0G3cR2xIErbW/QB9hXUvf4COGmlXEUzaTBhkNDjR39&#10;1FTczn9GwZzKY37YLOIs92X7jH93h2p/VWo8GrIlCE+D/xe/3Tut4DuMDV/C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dj8wQAAANsAAAAPAAAAAAAAAAAAAAAA&#10;AKECAABkcnMvZG93bnJldi54bWxQSwUGAAAAAAQABAD5AAAAjwMAAAAA&#10;" strokecolor="#5b9bd5"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9" o:spid="_x0000_s1043" type="#_x0000_t34" style="position:absolute;left:12668;top:2571;width:7810;height:733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EeKcQAAADbAAAADwAAAGRycy9kb3ducmV2LnhtbESPQWvCQBSE70L/w/IK3nTTUsVGN6EU&#10;Coo9WFPo9Zl9ZkOzb9PsGuO/7wqCx2FmvmFW+WAb0VPna8cKnqYJCOLS6ZorBd/Fx2QBwgdkjY1j&#10;UnAhD3n2MFphqt2Zv6jfh0pECPsUFZgQ2lRKXxqy6KeuJY7e0XUWQ5RdJXWH5wi3jXxOkrm0WHNc&#10;MNjSu6Hyd3+yChbFIRSHrS3av9r8+P7zxew2a6XGj8PbEkSgIdzDt/ZaK5i9wvVL/AE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sR4pxAAAANsAAAAPAAAAAAAAAAAA&#10;AAAAAKECAABkcnMvZG93bnJldi54bWxQSwUGAAAAAAQABAD5AAAAkgMAAAAA&#10;" strokecolor="#5b9bd5" strokeweight=".5pt">
                    <v:stroke endarrow="open"/>
                  </v:shape>
                  <v:shape id="Connecteur en angle 61" o:spid="_x0000_s1044" type="#_x0000_t34" style="position:absolute;left:30956;top:2571;width:3238;height:733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j48IAAADbAAAADwAAAGRycy9kb3ducmV2LnhtbESPwWrDMBBE74X8g9hAb41sH9LiRgkh&#10;ECikFJr0AxZrY5tYK+NVLLtfXxUKPQ4z84bZ7CbXqZEGaT0byFcZKOLK25ZrA1+X49MLKAnIFjvP&#10;ZGAmgd128bDB0vrInzSeQ60ShKVEA00Ifam1VA05lJXviZN39YPDkORQaztgTHDX6SLL1tphy2mh&#10;wZ4ODVW3890ZkFg8F/H78i5z/SFz1KeAcjLmcTntX0EFmsJ/+K/9Zg2sc/j9kn6A3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dj48IAAADbAAAADwAAAAAAAAAAAAAA&#10;AAChAgAAZHJzL2Rvd25yZXYueG1sUEsFBgAAAAAEAAQA+QAAAJADAAAAAA==&#10;" strokecolor="#5b9bd5" strokeweight=".5pt">
                    <v:stroke endarrow="open"/>
                  </v:shape>
                  <v:shape id="Connecteur droit avec flèche 62" o:spid="_x0000_s1045" type="#_x0000_t32" style="position:absolute;left:40195;top:12096;width:0;height:5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lq8QAAADbAAAADwAAAGRycy9kb3ducmV2LnhtbESPT2vCQBTE7wW/w/IK3uqmOQQbXUWU&#10;giChrfHg8ZF9+YPZtyG7Ncm37wpCj8PM/IZZb0fTijv1rrGs4H0RgSAurG64UnDJP9+WIJxH1tha&#10;JgUTOdhuZi9rTLUd+IfuZ1+JAGGXooLa+y6V0hU1GXQL2xEHr7S9QR9kX0nd4xDgppVxFCXSYMNh&#10;ocaO9jUVt/OvUbCk8ivPDh/xLvdlO8Xfx6w6XZWav467FQhPo/8PP9tHrSCJ4fEl/AC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FSWrxAAAANsAAAAPAAAAAAAAAAAA&#10;AAAAAKECAABkcnMvZG93bnJldi54bWxQSwUGAAAAAAQABAD5AAAAkgMAAAAA&#10;" strokecolor="#5b9bd5" strokeweight=".5pt">
                    <v:stroke endarrow="open" joinstyle="miter"/>
                  </v:shape>
                  <v:shape id="Connecteur droit avec flèche 63" o:spid="_x0000_s1046" type="#_x0000_t32" style="position:absolute;left:40195;top:22288;width:0;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AMMMAAADbAAAADwAAAGRycy9kb3ducmV2LnhtbESPT4vCMBTE74LfITzBm6ZWELcaRRRB&#10;EHHXevD4aF7/YPNSmqj1228WhD0OM/MbZrnuTC2e1LrKsoLJOAJBnFldcaHgmu5HcxDOI2usLZOC&#10;NzlYr/q9JSbavviHnhdfiABhl6CC0vsmkdJlJRl0Y9sQBy+3rUEfZFtI3eIrwE0t4yiaSYMVh4US&#10;G9qWlN0vD6NgTvk5Pe2+4k3q8/odfx9OxfGm1HDQbRYgPHX+P/xpH7SC2RT+voQf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ZgDDDAAAA2wAAAA8AAAAAAAAAAAAA&#10;AAAAoQIAAGRycy9kb3ducmV2LnhtbFBLBQYAAAAABAAEAPkAAACRAwAAAAA=&#10;" strokecolor="#5b9bd5" strokeweight=".5pt">
                    <v:stroke endarrow="open" joinstyle="miter"/>
                  </v:shape>
                </v:group>
                <v:shape id="Connecteur en angle 512" o:spid="_x0000_s1047" type="#_x0000_t34" style="position:absolute;left:9334;top:10858;width:7906;height:66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NmcQAAADcAAAADwAAAGRycy9kb3ducmV2LnhtbESPQWvCQBSE70L/w/IKvelGqSKpq5SC&#10;oOhBTaHXZ/aZDWbfxuwa4793BaHHYWa+YWaLzlaipcaXjhUMBwkI4tzpkgsFv9myPwXhA7LGyjEp&#10;uJOHxfytN8NUuxvvqT2EQkQI+xQVmBDqVEqfG7LoB64mjt7JNRZDlE0hdYO3CLeVHCXJRFosOS4Y&#10;rOnHUH4+XK2CaXYM2XFjs/pSmj/fbj/Nbr1S6uO9+/4CEagL/+FXe6UVjIcjeJ6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Q02ZxAAAANwAAAAPAAAAAAAAAAAA&#10;AAAAAKECAABkcnMvZG93bnJldi54bWxQSwUGAAAAAAQABAD5AAAAkgMAAAAA&#10;" strokecolor="#5b9bd5" strokeweight=".5pt">
                  <v:stroke endarrow="open"/>
                </v:shape>
                <v:shape id="Connecteur en angle 513" o:spid="_x0000_s1048" type="#_x0000_t34" style="position:absolute;left:29813;top:9906;width:4381;height:161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GU0MMAAADcAAAADwAAAGRycy9kb3ducmV2LnhtbESPUWvCQBCE3wv+h2OFvtWLKa0SPUUK&#10;gmApVP0BS25Ngrm9kL16SX99r1Do4zAz3zDr7eBadadeGs8G5rMMFHHpbcOVgct5/7QEJQHZYuuZ&#10;DIwksN1MHtZYWB/5k+6nUKkEYSnQQB1CV2gtZU0OZeY74uRdfe8wJNlX2vYYE9y1Os+yV+2w4bRQ&#10;Y0dvNZW305czIDFf5PH7/C5j9SFj1MeAcjTmcTrsVqACDeE//Nc+WAMv82f4PZOOgN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xlNDDAAAA3AAAAA8AAAAAAAAAAAAA&#10;AAAAoQIAAGRycy9kb3ducmV2LnhtbFBLBQYAAAAABAAEAPkAAACRAwAAAAA=&#10;" strokecolor="#5b9bd5" strokeweight=".5pt">
                  <v:stroke endarrow="open"/>
                </v:shape>
                <v:shape id="Connecteur en angle 514" o:spid="_x0000_s1049" type="#_x0000_t34" style="position:absolute;left:10953;top:11525;width:6287;height:7715;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Tfu8YAAADcAAAADwAAAGRycy9kb3ducmV2LnhtbESP0WrCQBRE34X+w3ILvohulNpKdBWr&#10;FKR9aRI/4Jq9JqHZuyG7xvj3bkHwcZiZM8xq05tadNS6yrKC6SQCQZxbXXGh4Jh9jRcgnEfWWFsm&#10;BTdysFm/DFYYa3vlhLrUFyJA2MWooPS+iaV0eUkG3cQ2xME729agD7ItpG7xGuCmlrMoepcGKw4L&#10;JTa0Kyn/Sy9Gwcco9VmXfKfb0+FndNqdk33/+6nU8LXfLkF46v0z/GgftIL59A3+z4Qj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37vGAAAA3AAAAA8AAAAAAAAA&#10;AAAAAAAAoQIAAGRycy9kb3ducmV2LnhtbFBLBQYAAAAABAAEAPkAAACUAwAAAAA=&#10;" adj="-15382" strokecolor="#5b9bd5" strokeweight=".5pt">
                  <v:stroke endarrow="open"/>
                </v:shape>
                <v:shape id="Connecteur en angle 516" o:spid="_x0000_s1050" type="#_x0000_t34" style="position:absolute;left:14192;top:19240;width:4858;height:723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53EsMAAADcAAAADwAAAGRycy9kb3ducmV2LnhtbESP3YrCMBSE7xd8h3CEvVtThRWppqUI&#10;gnjh4s8DHJtjW21OahNtffuNIHg5zMw3zCLtTS0e1LrKsoLxKAJBnFtdcaHgeFj9zEA4j6yxtkwK&#10;nuQgTQZfC4y17XhHj70vRICwi1FB6X0TS+nykgy6kW2Ig3e2rUEfZFtI3WIX4KaWkyiaSoMVh4US&#10;G1qWlF/3d6Ogt5PDM6JZvvk7Xk5dds22N50p9T3sszkIT73/hN/ttVbwO57C60w4Aj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OdxLDAAAA3AAAAA8AAAAAAAAAAAAA&#10;AAAAoQIAAGRycy9kb3ducmV2LnhtbFBLBQYAAAAABAAEAPkAAACRAwAAAAA=&#10;" adj="-19271" strokecolor="#5b9bd5" strokeweight=".5pt">
                  <v:stroke endarrow="open"/>
                </v:shape>
                <v:shape id="Connecteur droit avec flèche 517" o:spid="_x0000_s1051" type="#_x0000_t32" style="position:absolute;left:28670;top:19240;width:6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218YAAADcAAAADwAAAGRycy9kb3ducmV2LnhtbESPT2vCQBTE70K/w/IK3urGgDZNXSW0&#10;FAIitUkPPT6yL39o9m3IbjV+e1coeBxm5jfMZjeZXpxodJ1lBctFBIK4srrjRsF3+fGUgHAeWWNv&#10;mRRcyMFu+zDbYKrtmb/oVPhGBAi7FBW03g+plK5qyaBb2IE4eLUdDfogx0bqEc8BbnoZR9FaGuw4&#10;LLQ40FtL1W/xZxQkVH+Wh/eXOCt93V/iY35o9j9KzR+n7BWEp8nfw//tXCtYLZ/hdiYcAb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0dtfGAAAA3AAAAA8AAAAAAAAA&#10;AAAAAAAAoQIAAGRycy9kb3ducmV2LnhtbFBLBQYAAAAABAAEAPkAAACUAwAAAAA=&#10;" strokecolor="#5b9bd5" strokeweight=".5pt">
                  <v:stroke endarrow="open" joinstyle="miter"/>
                </v:shape>
                <v:shape id="Connecteur droit avec flèche 518" o:spid="_x0000_s1052" type="#_x0000_t32" style="position:absolute;left:27051;top:26479;width:7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ipcMAAADcAAAADwAAAGRycy9kb3ducmV2LnhtbERPz2vCMBS+C/sfwhN207SFDdcZi2wM&#10;hCFTu8OOj+a1KTYvpcna+t8vh4HHj+/3tphtJ0YafOtYQbpOQBBXTrfcKPguP1YbED4ga+wck4Ib&#10;eSh2D4st5tpNfKbxEhoRQ9jnqMCE0OdS+sqQRb92PXHkajdYDBEOjdQDTjHcdjJLkmdpseXYYLCn&#10;N0PV9fJrFWyo/iqP7y/Zvgx1d8tOh2Pz+aPU43Lev4IINIe7+N990Aqe0rg2nolH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r4qXDAAAA3AAAAA8AAAAAAAAAAAAA&#10;AAAAoQIAAGRycy9kb3ducmV2LnhtbFBLBQYAAAAABAAEAPkAAACRAwAAAAA=&#10;" strokecolor="#5b9bd5" strokeweight=".5pt">
                  <v:stroke endarrow="open" joinstyle="miter"/>
                </v:shape>
              </v:group>
            </w:pict>
          </mc:Fallback>
        </mc:AlternateContent>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sidRPr="00DB2C31">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B2C31">
        <w:rPr>
          <w:rFonts w:ascii="Times New Roman" w:hAnsi="Times New Roman"/>
          <w:sz w:val="24"/>
          <w:szCs w:val="24"/>
        </w:rPr>
        <w:tab/>
      </w:r>
      <w:r w:rsidRPr="00DB2C31">
        <w:rPr>
          <w:rFonts w:ascii="Times New Roman" w:hAnsi="Times New Roman"/>
          <w:sz w:val="24"/>
          <w:szCs w:val="24"/>
        </w:rPr>
        <w:tab/>
      </w:r>
      <w:r w:rsidRPr="00DB2C31">
        <w:rPr>
          <w:rFonts w:ascii="Times New Roman" w:hAnsi="Times New Roman"/>
          <w:sz w:val="24"/>
          <w:szCs w:val="24"/>
        </w:rPr>
        <w:tab/>
      </w:r>
      <w:r w:rsidRPr="00DB2C31">
        <w:rPr>
          <w:rFonts w:ascii="Times New Roman" w:hAnsi="Times New Roman"/>
          <w:sz w:val="24"/>
          <w:szCs w:val="24"/>
        </w:rPr>
        <w:tab/>
      </w:r>
    </w:p>
    <w:p w14:paraId="444E50A8" w14:textId="77777777" w:rsidR="002D02AF" w:rsidRPr="00DB2C31" w:rsidRDefault="002D02AF" w:rsidP="002D02AF">
      <w:pPr>
        <w:rPr>
          <w:rFonts w:ascii="Times New Roman" w:hAnsi="Times New Roman"/>
          <w:b/>
          <w:sz w:val="24"/>
          <w:szCs w:val="24"/>
        </w:rPr>
      </w:pPr>
      <w:r>
        <w:rPr>
          <w:rFonts w:ascii="Times New Roman" w:hAnsi="Times New Roman"/>
          <w:b/>
          <w:sz w:val="24"/>
          <w:szCs w:val="24"/>
        </w:rPr>
        <w:t>8.3.5.</w:t>
      </w:r>
      <w:r w:rsidRPr="00DB2C31">
        <w:rPr>
          <w:rFonts w:ascii="Times New Roman" w:hAnsi="Times New Roman"/>
          <w:b/>
          <w:sz w:val="24"/>
          <w:szCs w:val="24"/>
        </w:rPr>
        <w:t xml:space="preserve"> </w:t>
      </w:r>
      <w:r>
        <w:rPr>
          <w:rFonts w:ascii="Times New Roman" w:hAnsi="Times New Roman"/>
          <w:b/>
          <w:sz w:val="24"/>
          <w:szCs w:val="24"/>
        </w:rPr>
        <w:t xml:space="preserve"> </w:t>
      </w:r>
      <w:r w:rsidRPr="00DB2C31">
        <w:rPr>
          <w:rFonts w:ascii="Times New Roman" w:hAnsi="Times New Roman"/>
          <w:b/>
          <w:sz w:val="24"/>
          <w:szCs w:val="24"/>
        </w:rPr>
        <w:t xml:space="preserve">Mesures préventives </w:t>
      </w:r>
    </w:p>
    <w:p w14:paraId="0B790F9B" w14:textId="2C649EEC"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En plus des mesures préalables et essentielles, il faut, de toute évidence, adopter </w:t>
      </w:r>
      <w:r w:rsidR="00097BE8">
        <w:rPr>
          <w:rFonts w:ascii="Times New Roman" w:hAnsi="Times New Roman"/>
          <w:sz w:val="24"/>
          <w:szCs w:val="24"/>
        </w:rPr>
        <w:t>8</w:t>
      </w:r>
      <w:r w:rsidRPr="00DB2C31">
        <w:rPr>
          <w:rFonts w:ascii="Times New Roman" w:hAnsi="Times New Roman"/>
          <w:sz w:val="24"/>
          <w:szCs w:val="24"/>
        </w:rPr>
        <w:t xml:space="preserve">. Ces mesures impliquent l’installation d’équipements de sécurité, le développement de moyens de communication efficaces et la mise au point de procédures d’inspection et d’évacuation des lieux. </w:t>
      </w:r>
    </w:p>
    <w:p w14:paraId="3E58673B" w14:textId="77777777" w:rsidR="002D02AF" w:rsidRPr="00DB2C31" w:rsidRDefault="002D02AF" w:rsidP="002D02AF">
      <w:pPr>
        <w:jc w:val="both"/>
        <w:rPr>
          <w:rFonts w:ascii="Times New Roman" w:hAnsi="Times New Roman"/>
          <w:b/>
          <w:sz w:val="24"/>
          <w:szCs w:val="24"/>
        </w:rPr>
      </w:pPr>
      <w:r w:rsidRPr="00DB2C31">
        <w:rPr>
          <w:rFonts w:ascii="Times New Roman" w:hAnsi="Times New Roman"/>
          <w:b/>
          <w:sz w:val="24"/>
          <w:szCs w:val="24"/>
        </w:rPr>
        <w:t xml:space="preserve">8.3.5.1.  Équipements de sécurité </w:t>
      </w:r>
    </w:p>
    <w:p w14:paraId="607D0591"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Les premières mesures qu’il importe de mettre en place sont l'installation ou la vérification des équipements qui assurent la sécurité des personnes et ensuite celles qui permettent de protéger les matériels et les équipements de chantier, et les édifices dans toute la mesure du possible. Tous ces équipements doivent figurer sur un plan précis, affiché clairement à différents endroits stratégiques. </w:t>
      </w:r>
    </w:p>
    <w:p w14:paraId="374B824A" w14:textId="77777777" w:rsidR="002D02AF" w:rsidRPr="00DB2C31" w:rsidRDefault="002D02AF" w:rsidP="002D02AF">
      <w:pPr>
        <w:pStyle w:val="Paragraphedeliste"/>
        <w:numPr>
          <w:ilvl w:val="0"/>
          <w:numId w:val="399"/>
        </w:numPr>
        <w:spacing w:after="200" w:line="276" w:lineRule="auto"/>
        <w:jc w:val="both"/>
        <w:rPr>
          <w:rFonts w:ascii="Times New Roman" w:hAnsi="Times New Roman"/>
          <w:sz w:val="24"/>
          <w:szCs w:val="24"/>
        </w:rPr>
      </w:pPr>
      <w:r w:rsidRPr="00DB2C31">
        <w:rPr>
          <w:rFonts w:ascii="Times New Roman" w:hAnsi="Times New Roman"/>
          <w:sz w:val="24"/>
          <w:szCs w:val="24"/>
        </w:rPr>
        <w:t>Équipements de sécurité relatifs aux personnes et aux installations</w:t>
      </w:r>
    </w:p>
    <w:p w14:paraId="66D218F6"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Parmi les équipements normalement utilisés à ces fins, il faut absolument retenir les suivants : </w:t>
      </w:r>
    </w:p>
    <w:p w14:paraId="25148B88"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 les avertisseurs manuels d’incendie: placés aux endroits stratégiques sur chaque étage, ils doivent être facilement repérables lorsque le besoin l’exige ; </w:t>
      </w:r>
    </w:p>
    <w:p w14:paraId="2039A50B"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 les tuyaux d’incendie: la localisation de ces tuyaux doit être conforme au Code du bâtiment et répondre aux exigences des polices d'assurance. Il faut noter cependant que le maniement de cet équipement nécessite une bonne expérience ; </w:t>
      </w:r>
    </w:p>
    <w:p w14:paraId="5E7D5928"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 les extincteurs portatifs: ces extincteurs doivent combattre efficacement les feux de bois et de papier, les feux de produits pétroliers et les feux d’origine électrique. Ces types de feux correspondent aux classes A, B et C inscrites sur les extincteurs. Les extincteurs chargés au gaz Halon 1211 peuvent répondre à ces besoins. </w:t>
      </w:r>
    </w:p>
    <w:p w14:paraId="09D23C49"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Il faut donc faire un choix selon des critères rigoureux : - efficacité pour chaque type de combustible ; - facilité d’utilisation ; - toxicité du produit utilisé et compatibilité avec l’environnement ; - mode de fonctionnement et coût d’entretien ; - coût d’achat et d’installation. </w:t>
      </w:r>
    </w:p>
    <w:p w14:paraId="615F6D72"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Pour garantir l’efficacité des extincteurs, les entreprises devraient appliquer les règles suivantes : - les faire vérifier régulièrement pour s’assurer qu’ils sont chargés et en bon état de marche ; - placer les instructions relatives au fonctionnement sur le devant de l’extincteur et enlever toute autre information ; - les placer dans des endroits faciles d’accès, bien visibles, près des voies de circulation ou des sorties d’urgence; on peut également les remiser sur des étagères appropriées dans des armoires bien signalées et non verrouillées afin de les protéger des déplacements et des chocs accidentels. - des trousses de premiers soins doivent être réparties à certains endroits désignés d'avance, bien visibles et faciles d’accès. Leur contenu doit correspondre aux normes minimales de premiers secours et de premiers soins. Il faut en vérifier périodiquement l’inventaire et s'assurer que la date d’expiration des médicaments n'est pas échue. Des employés doivent être désignés pour recevoir une formation de secouristes. - enfin, dans chaque chantier, on doit trouver des équipements d’intervention rapide pour affronter certains sinistres, tels les dégâts d’eau, les pannes d’électricité, et bien d’autres. À cette fin, elle doit contenir les objets suivants :</w:t>
      </w:r>
    </w:p>
    <w:p w14:paraId="24F69FB5"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résumé du plan d’urgence </w:t>
      </w:r>
    </w:p>
    <w:p w14:paraId="2459AECF"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appareil de photographie </w:t>
      </w:r>
    </w:p>
    <w:p w14:paraId="1F93FCB0"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balayeuse industrielle de 45 litres (pour aspirer l’eau) </w:t>
      </w:r>
    </w:p>
    <w:p w14:paraId="0B51BC57"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ventilateur </w:t>
      </w:r>
    </w:p>
    <w:p w14:paraId="59B30542"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rallonges électriques de 25 m à fiche tripolaire </w:t>
      </w:r>
    </w:p>
    <w:p w14:paraId="43DDA2E5"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vadrouille </w:t>
      </w:r>
    </w:p>
    <w:p w14:paraId="28BF16F1"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balai industriel </w:t>
      </w:r>
    </w:p>
    <w:p w14:paraId="45DFD6AB"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éponges commerciales </w:t>
      </w:r>
    </w:p>
    <w:p w14:paraId="373B4406"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raclette de caoutchouc avec manche </w:t>
      </w:r>
    </w:p>
    <w:p w14:paraId="77AD7537"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15 boîtes de plastique (du genre « caisse à lait ») </w:t>
      </w:r>
    </w:p>
    <w:p w14:paraId="5476B36B"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seaux de 22 litres </w:t>
      </w:r>
    </w:p>
    <w:p w14:paraId="68CDF433"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petite trousse d’outils de base, dans un coffret métallique </w:t>
      </w:r>
    </w:p>
    <w:p w14:paraId="401E2AAF"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lampes de poche </w:t>
      </w:r>
    </w:p>
    <w:p w14:paraId="60585377"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paires de bottes en caoutchouc de taille moyenne et grande </w:t>
      </w:r>
    </w:p>
    <w:p w14:paraId="3786D88B"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2 paires de gants de travail en coton</w:t>
      </w:r>
    </w:p>
    <w:p w14:paraId="4B2E1DF1"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paire de ciseaux </w:t>
      </w:r>
    </w:p>
    <w:p w14:paraId="433F9166"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2 paires de gants de travail en caoutchouc</w:t>
      </w:r>
    </w:p>
    <w:p w14:paraId="78B9D0A4"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masques contre la poussière </w:t>
      </w:r>
    </w:p>
    <w:p w14:paraId="0B861493"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chapeaux protecteurs </w:t>
      </w:r>
    </w:p>
    <w:p w14:paraId="31CFFB95"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2 manteaux de pluie en plastique </w:t>
      </w:r>
    </w:p>
    <w:p w14:paraId="12F3551B"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fusil à ruban gommé </w:t>
      </w:r>
    </w:p>
    <w:p w14:paraId="1C149559"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rouleau de ficelle </w:t>
      </w:r>
    </w:p>
    <w:p w14:paraId="5CB23512"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crayon feutre noir indélébile </w:t>
      </w:r>
    </w:p>
    <w:p w14:paraId="3BAAE727"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ruban adhésif pour conduite d’eau </w:t>
      </w:r>
    </w:p>
    <w:p w14:paraId="2672A76D"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boîte de papier ciré (papier à congélation) </w:t>
      </w:r>
    </w:p>
    <w:p w14:paraId="178DB56D"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boîte de 10 sacs à ordures de grand format </w:t>
      </w:r>
    </w:p>
    <w:p w14:paraId="3275CC3F"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4 rouleaux d’essuie-tout </w:t>
      </w:r>
    </w:p>
    <w:p w14:paraId="6C2968D2"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1 rouleau de pellicule plastique polyéthylène d’un minimum de 30 m de long et de 30 cm de large </w:t>
      </w:r>
    </w:p>
    <w:p w14:paraId="0BA73BA0" w14:textId="77777777" w:rsidR="002D02AF" w:rsidRPr="00DB2C31" w:rsidRDefault="002D02AF" w:rsidP="002D02AF">
      <w:pPr>
        <w:pStyle w:val="Paragraphedeliste"/>
        <w:numPr>
          <w:ilvl w:val="0"/>
          <w:numId w:val="398"/>
        </w:numPr>
        <w:spacing w:after="200" w:line="276" w:lineRule="auto"/>
        <w:ind w:left="714" w:hanging="357"/>
        <w:contextualSpacing w:val="0"/>
        <w:jc w:val="both"/>
        <w:rPr>
          <w:rFonts w:ascii="Times New Roman" w:hAnsi="Times New Roman"/>
          <w:sz w:val="24"/>
          <w:szCs w:val="24"/>
        </w:rPr>
      </w:pPr>
      <w:r w:rsidRPr="00DB2C31">
        <w:rPr>
          <w:rFonts w:ascii="Times New Roman" w:hAnsi="Times New Roman"/>
          <w:sz w:val="24"/>
          <w:szCs w:val="24"/>
        </w:rPr>
        <w:t>2 litres de nettoyeur liquide</w:t>
      </w:r>
    </w:p>
    <w:p w14:paraId="29A71C01" w14:textId="77777777" w:rsidR="002D02AF" w:rsidRPr="00DB2C31" w:rsidRDefault="002D02AF" w:rsidP="002D02AF">
      <w:pPr>
        <w:pStyle w:val="Paragraphedeliste"/>
        <w:numPr>
          <w:ilvl w:val="0"/>
          <w:numId w:val="399"/>
        </w:numPr>
        <w:spacing w:before="120" w:after="120" w:line="276" w:lineRule="auto"/>
        <w:ind w:left="714" w:hanging="357"/>
        <w:contextualSpacing w:val="0"/>
        <w:jc w:val="both"/>
        <w:rPr>
          <w:rFonts w:ascii="Times New Roman" w:hAnsi="Times New Roman"/>
          <w:sz w:val="24"/>
          <w:szCs w:val="24"/>
        </w:rPr>
      </w:pPr>
      <w:r w:rsidRPr="00DB2C31">
        <w:rPr>
          <w:rFonts w:ascii="Times New Roman" w:hAnsi="Times New Roman"/>
          <w:sz w:val="24"/>
          <w:szCs w:val="24"/>
        </w:rPr>
        <w:t xml:space="preserve">Équipements de sécurité relatifs aux édifices </w:t>
      </w:r>
    </w:p>
    <w:p w14:paraId="0AEA12A8"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Les équipements essentiels sont habituellement reliés à une console située au bureau central de la sécurité de l’établissement et au poste d’incendie municipal. Le lieu du déclenchement du signal s’affiche alors sur un tableau pour un repérage précis et instantané. Ces équipements comprennent : </w:t>
      </w:r>
    </w:p>
    <w:p w14:paraId="50DA64A9"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les détecteurs de fumée et de chaleur qui, en fait, sont aussi importants pour la protection des personnes que pour celle des édifices ; </w:t>
      </w:r>
    </w:p>
    <w:p w14:paraId="655498FC"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les gicleurs automatiques: installés dans tout l’édifice, ils déclenchent une alerte immédiate lorsque la chaleur atteint un degré élevé dans une pièce. Il existe deux types de gicleurs automatiques: un système à pression sous vide et un autre, plus conventionnel, à l'eau. </w:t>
      </w:r>
    </w:p>
    <w:p w14:paraId="797DE378"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 xml:space="preserve">les détecteurs d’eau: installés à des endroits particulièrement vulnérables, ils assurent une bonne protection des installations, puisqu’ils permettent une intervention rapide. </w:t>
      </w:r>
    </w:p>
    <w:p w14:paraId="6D8C7052" w14:textId="77777777" w:rsidR="002D02AF" w:rsidRPr="00DB2C31" w:rsidRDefault="002D02AF" w:rsidP="002D02AF">
      <w:pPr>
        <w:pStyle w:val="Paragraphedeliste"/>
        <w:numPr>
          <w:ilvl w:val="0"/>
          <w:numId w:val="398"/>
        </w:numPr>
        <w:spacing w:after="200" w:line="276" w:lineRule="auto"/>
        <w:jc w:val="both"/>
        <w:rPr>
          <w:rFonts w:ascii="Times New Roman" w:hAnsi="Times New Roman"/>
          <w:sz w:val="24"/>
          <w:szCs w:val="24"/>
        </w:rPr>
      </w:pPr>
      <w:r w:rsidRPr="00DB2C31">
        <w:rPr>
          <w:rFonts w:ascii="Times New Roman" w:hAnsi="Times New Roman"/>
          <w:sz w:val="24"/>
          <w:szCs w:val="24"/>
        </w:rPr>
        <w:t>la signalisation : claire et bien visible, elle permet de localiser les équipements de sécurité et les sorties. Elle facilite une rapide orientation vers des lieux sûrs.</w:t>
      </w:r>
    </w:p>
    <w:p w14:paraId="3FBDF233" w14:textId="77777777" w:rsidR="002D02AF" w:rsidRPr="00DB2C31" w:rsidRDefault="002D02AF" w:rsidP="002D02AF">
      <w:pPr>
        <w:rPr>
          <w:rFonts w:ascii="Times New Roman" w:hAnsi="Times New Roman"/>
          <w:b/>
          <w:sz w:val="24"/>
          <w:szCs w:val="24"/>
        </w:rPr>
      </w:pPr>
      <w:r>
        <w:rPr>
          <w:rFonts w:ascii="Times New Roman" w:hAnsi="Times New Roman"/>
          <w:b/>
          <w:sz w:val="24"/>
          <w:szCs w:val="24"/>
        </w:rPr>
        <w:t>8.3.5.2</w:t>
      </w:r>
      <w:r w:rsidRPr="00DB2C31">
        <w:rPr>
          <w:rFonts w:ascii="Times New Roman" w:hAnsi="Times New Roman"/>
          <w:b/>
          <w:sz w:val="24"/>
          <w:szCs w:val="24"/>
        </w:rPr>
        <w:t xml:space="preserve">.  Assurances </w:t>
      </w:r>
    </w:p>
    <w:p w14:paraId="75016478" w14:textId="2B319D6D" w:rsidR="002D02AF" w:rsidRDefault="002D02AF" w:rsidP="002D02AF">
      <w:pPr>
        <w:jc w:val="both"/>
        <w:rPr>
          <w:rFonts w:ascii="Times New Roman" w:hAnsi="Times New Roman"/>
          <w:sz w:val="24"/>
          <w:szCs w:val="24"/>
        </w:rPr>
      </w:pPr>
      <w:r w:rsidRPr="00DB2C31">
        <w:rPr>
          <w:rFonts w:ascii="Times New Roman" w:hAnsi="Times New Roman"/>
          <w:sz w:val="24"/>
          <w:szCs w:val="24"/>
        </w:rPr>
        <w:t xml:space="preserve">Les informations relatives à la taille du chantier et à la valeur de ces installations et l’inventaire des équipements et matériels de chantier doivent être </w:t>
      </w:r>
      <w:r w:rsidR="000C3546" w:rsidRPr="00DB2C31">
        <w:rPr>
          <w:rFonts w:ascii="Times New Roman" w:hAnsi="Times New Roman"/>
          <w:sz w:val="24"/>
          <w:szCs w:val="24"/>
        </w:rPr>
        <w:t>conservés</w:t>
      </w:r>
      <w:r w:rsidRPr="00DB2C31">
        <w:rPr>
          <w:rFonts w:ascii="Times New Roman" w:hAnsi="Times New Roman"/>
          <w:sz w:val="24"/>
          <w:szCs w:val="24"/>
        </w:rPr>
        <w:t xml:space="preserve"> dans un lieu sûr et tenus à jour pour faciliter les réclamations auprès des compagnies d’assurances. Ces réclamations tiendront compte non seulement du coût de remplacement ou de restauration des installations et des équipements, mais aussi, du types de matériels et équipements. </w:t>
      </w:r>
    </w:p>
    <w:p w14:paraId="7597A703" w14:textId="77777777" w:rsidR="000C3546" w:rsidRDefault="000C3546" w:rsidP="002D02AF">
      <w:pPr>
        <w:jc w:val="both"/>
        <w:rPr>
          <w:rFonts w:ascii="Times New Roman" w:hAnsi="Times New Roman"/>
          <w:sz w:val="24"/>
          <w:szCs w:val="24"/>
        </w:rPr>
      </w:pPr>
    </w:p>
    <w:p w14:paraId="55EF227D" w14:textId="77777777" w:rsidR="000C3546" w:rsidRPr="00DB2C31" w:rsidRDefault="000C3546" w:rsidP="002D02AF">
      <w:pPr>
        <w:jc w:val="both"/>
        <w:rPr>
          <w:rFonts w:ascii="Times New Roman" w:hAnsi="Times New Roman"/>
          <w:sz w:val="24"/>
          <w:szCs w:val="24"/>
        </w:rPr>
      </w:pPr>
    </w:p>
    <w:p w14:paraId="5178368B" w14:textId="77777777" w:rsidR="002D02AF" w:rsidRPr="00DB2C31" w:rsidRDefault="002D02AF" w:rsidP="002D02AF">
      <w:pPr>
        <w:rPr>
          <w:rFonts w:ascii="Times New Roman" w:hAnsi="Times New Roman"/>
          <w:b/>
          <w:sz w:val="24"/>
          <w:szCs w:val="24"/>
        </w:rPr>
      </w:pPr>
      <w:r>
        <w:rPr>
          <w:rFonts w:ascii="Times New Roman" w:hAnsi="Times New Roman"/>
          <w:b/>
          <w:sz w:val="24"/>
          <w:szCs w:val="24"/>
        </w:rPr>
        <w:t>8.3.5.3</w:t>
      </w:r>
      <w:r w:rsidRPr="00DB2C31">
        <w:rPr>
          <w:rFonts w:ascii="Times New Roman" w:hAnsi="Times New Roman"/>
          <w:b/>
          <w:sz w:val="24"/>
          <w:szCs w:val="24"/>
        </w:rPr>
        <w:t xml:space="preserve">.  Évacuation des lieux </w:t>
      </w:r>
    </w:p>
    <w:p w14:paraId="0BD16284" w14:textId="77777777" w:rsidR="002D02AF" w:rsidRPr="00DB2C31" w:rsidRDefault="002D02AF" w:rsidP="002D02AF">
      <w:pPr>
        <w:rPr>
          <w:rFonts w:ascii="Times New Roman" w:hAnsi="Times New Roman"/>
          <w:sz w:val="24"/>
          <w:szCs w:val="24"/>
        </w:rPr>
      </w:pPr>
      <w:r w:rsidRPr="00DB2C31">
        <w:rPr>
          <w:rFonts w:ascii="Times New Roman" w:hAnsi="Times New Roman"/>
          <w:sz w:val="24"/>
          <w:szCs w:val="24"/>
        </w:rPr>
        <w:t>L’évacuation du site et des installations peut se révéler utile, voire nécessaire pour assurer la sécurité des personnes. La décision sera prise par le Directeur des travaux, habituellement en consultation avec le responsable HSE et les chefs de chantier.  Les lieux de rassemblement sur site seront balisés et les travailleurs sensibiliser le cas échéant.</w:t>
      </w:r>
    </w:p>
    <w:p w14:paraId="7ABD2AA1" w14:textId="77777777" w:rsidR="002D02AF" w:rsidRPr="00DB2C31" w:rsidRDefault="002D02AF" w:rsidP="002D02AF">
      <w:pPr>
        <w:rPr>
          <w:rFonts w:ascii="Times New Roman" w:hAnsi="Times New Roman"/>
          <w:b/>
          <w:sz w:val="24"/>
          <w:szCs w:val="24"/>
        </w:rPr>
      </w:pPr>
      <w:r>
        <w:rPr>
          <w:rFonts w:ascii="Times New Roman" w:hAnsi="Times New Roman"/>
          <w:b/>
          <w:sz w:val="24"/>
          <w:szCs w:val="24"/>
        </w:rPr>
        <w:t>8.3.5.4</w:t>
      </w:r>
      <w:r w:rsidRPr="00DB2C31">
        <w:rPr>
          <w:rFonts w:ascii="Times New Roman" w:hAnsi="Times New Roman"/>
          <w:b/>
          <w:sz w:val="24"/>
          <w:szCs w:val="24"/>
        </w:rPr>
        <w:t xml:space="preserve">.  Plan d’évacuation des lieux </w:t>
      </w:r>
    </w:p>
    <w:p w14:paraId="46196A09" w14:textId="77777777" w:rsidR="002D02AF" w:rsidRPr="00DB2C31" w:rsidRDefault="002D02AF" w:rsidP="002D02AF">
      <w:pPr>
        <w:rPr>
          <w:rFonts w:ascii="Times New Roman" w:hAnsi="Times New Roman"/>
          <w:sz w:val="24"/>
          <w:szCs w:val="24"/>
        </w:rPr>
      </w:pPr>
      <w:r w:rsidRPr="00DB2C31">
        <w:rPr>
          <w:rFonts w:ascii="Times New Roman" w:hAnsi="Times New Roman"/>
          <w:sz w:val="24"/>
          <w:szCs w:val="24"/>
        </w:rPr>
        <w:t>Ce plan est essentiel pour assurer à la fois la sécurité des personnes et la bonne marche des opérations en situation d’urgence. Il doit indiquer, la distribution des locaux et la localisation précise des sorties d’urgence. Il doit aussi donner le nom de la personne responsable de l’évacuation et des chefs de chantier. Enfin, ce plan doit être annexé au plan des mesures d’urgence.</w:t>
      </w:r>
    </w:p>
    <w:p w14:paraId="5805A55F" w14:textId="77777777" w:rsidR="002D02AF" w:rsidRPr="00DB2C31" w:rsidRDefault="002D02AF" w:rsidP="002D02AF">
      <w:pPr>
        <w:rPr>
          <w:rFonts w:ascii="Times New Roman" w:hAnsi="Times New Roman"/>
          <w:b/>
          <w:sz w:val="24"/>
          <w:szCs w:val="24"/>
        </w:rPr>
      </w:pPr>
      <w:r>
        <w:rPr>
          <w:rFonts w:ascii="Times New Roman" w:hAnsi="Times New Roman"/>
          <w:b/>
          <w:sz w:val="24"/>
          <w:szCs w:val="24"/>
        </w:rPr>
        <w:t>8.3.5.5</w:t>
      </w:r>
      <w:r w:rsidRPr="00DB2C31">
        <w:rPr>
          <w:rFonts w:ascii="Times New Roman" w:hAnsi="Times New Roman"/>
          <w:b/>
          <w:sz w:val="24"/>
          <w:szCs w:val="24"/>
        </w:rPr>
        <w:t xml:space="preserve">.  Accessibilité des ressources internes et locales </w:t>
      </w:r>
    </w:p>
    <w:p w14:paraId="6BA62000"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Le responsable du plan d’urgence doit prévoir des mécanismes d’accès aux ressources requises, tant humaines que matérielles, pour effectuer les opérations de récupération après un sinistre. Pour accélérer et faciliter le travail, les ressources internes du chantier doivent être clairement recensées. Ainsi, il est important de connaître les locaux, les équipements, les services et les personnes ressources aptes à répondre aux besoins. Une liste des personnes qui doivent être informées en cas de sinistre doit être établie et accessible à l’ensemble du personnel et au responsable HSE, afin d’assurer une intervention rapide et efficace. </w:t>
      </w:r>
    </w:p>
    <w:p w14:paraId="5F268ED1"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Il faut également dresser une liste des principaux fournisseurs de biens et services ainsi que des établissements voisins qui peuvent apporter une collaboration, ce qui présuppose une entente déjà négociée avec chaque fournisseur et chaque établissement afin d’éviter des délais inutiles. </w:t>
      </w:r>
    </w:p>
    <w:p w14:paraId="6541DAA4"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Toutes ces listes doivent être annexées au plan des mesures d’urgence et être tenues à jour. </w:t>
      </w:r>
    </w:p>
    <w:p w14:paraId="2A6DA2F1" w14:textId="77777777" w:rsidR="002D02AF" w:rsidRPr="00DB2C31" w:rsidRDefault="002D02AF" w:rsidP="002D02AF">
      <w:pPr>
        <w:jc w:val="both"/>
        <w:rPr>
          <w:rFonts w:ascii="Times New Roman" w:hAnsi="Times New Roman"/>
          <w:b/>
          <w:sz w:val="24"/>
          <w:szCs w:val="24"/>
        </w:rPr>
      </w:pPr>
      <w:r>
        <w:rPr>
          <w:rFonts w:ascii="Times New Roman" w:hAnsi="Times New Roman"/>
          <w:b/>
          <w:sz w:val="24"/>
          <w:szCs w:val="24"/>
        </w:rPr>
        <w:t>8.3.5.6</w:t>
      </w:r>
      <w:r w:rsidRPr="00DB2C31">
        <w:rPr>
          <w:rFonts w:ascii="Times New Roman" w:hAnsi="Times New Roman"/>
          <w:b/>
          <w:sz w:val="24"/>
          <w:szCs w:val="24"/>
        </w:rPr>
        <w:t xml:space="preserve">.  Moyens de communication </w:t>
      </w:r>
    </w:p>
    <w:p w14:paraId="4B10B777"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Divers moyens peuvent être utilisés pour assurer une plus grande efficacité lors d'un sinistre: le téléphone régulier ou le téléphone d’urgence, le talkie-walkie, le mégaphone, etc. Tout utilisateur entre immédiatement en communication avec ce service, qui peut, à son tour, établir la liaison avec les personnes ressources, selon la nature de l’urgence. </w:t>
      </w:r>
    </w:p>
    <w:p w14:paraId="5B5B27BF"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Enfin, la radio permet d’informer le personnel et le public des mesures requises par la situation.</w:t>
      </w:r>
    </w:p>
    <w:p w14:paraId="5310AA38" w14:textId="77777777" w:rsidR="002D02AF" w:rsidRPr="00DB2C31" w:rsidRDefault="002D02AF" w:rsidP="002D02AF">
      <w:pPr>
        <w:jc w:val="both"/>
        <w:rPr>
          <w:rFonts w:ascii="Times New Roman" w:hAnsi="Times New Roman"/>
          <w:b/>
          <w:sz w:val="24"/>
          <w:szCs w:val="24"/>
        </w:rPr>
      </w:pPr>
      <w:r>
        <w:rPr>
          <w:rFonts w:ascii="Times New Roman" w:hAnsi="Times New Roman"/>
          <w:b/>
          <w:sz w:val="24"/>
          <w:szCs w:val="24"/>
        </w:rPr>
        <w:t>8.3.6.</w:t>
      </w:r>
      <w:r w:rsidRPr="00DB2C31">
        <w:rPr>
          <w:rFonts w:ascii="Times New Roman" w:hAnsi="Times New Roman"/>
          <w:b/>
          <w:sz w:val="24"/>
          <w:szCs w:val="24"/>
        </w:rPr>
        <w:t xml:space="preserve"> Mesures d</w:t>
      </w:r>
      <w:r>
        <w:rPr>
          <w:rFonts w:ascii="Times New Roman" w:hAnsi="Times New Roman"/>
          <w:b/>
          <w:sz w:val="24"/>
          <w:szCs w:val="24"/>
        </w:rPr>
        <w:t xml:space="preserve">e protection </w:t>
      </w:r>
      <w:r w:rsidRPr="00DB2C31">
        <w:rPr>
          <w:rFonts w:ascii="Times New Roman" w:hAnsi="Times New Roman"/>
          <w:b/>
          <w:sz w:val="24"/>
          <w:szCs w:val="24"/>
        </w:rPr>
        <w:t xml:space="preserve"> </w:t>
      </w:r>
    </w:p>
    <w:p w14:paraId="415F0C65" w14:textId="77777777" w:rsidR="002D02AF" w:rsidRPr="00DB2C31" w:rsidRDefault="002D02AF" w:rsidP="002D02AF">
      <w:pPr>
        <w:rPr>
          <w:rFonts w:ascii="Times New Roman" w:hAnsi="Times New Roman"/>
          <w:sz w:val="24"/>
          <w:szCs w:val="24"/>
        </w:rPr>
      </w:pPr>
      <w:r>
        <w:rPr>
          <w:rFonts w:ascii="Times New Roman" w:hAnsi="Times New Roman"/>
          <w:b/>
          <w:sz w:val="24"/>
          <w:szCs w:val="24"/>
        </w:rPr>
        <w:t>8.3.6.1</w:t>
      </w:r>
      <w:r w:rsidRPr="00DB2C31">
        <w:rPr>
          <w:rFonts w:ascii="Times New Roman" w:hAnsi="Times New Roman"/>
          <w:b/>
          <w:sz w:val="24"/>
          <w:szCs w:val="24"/>
        </w:rPr>
        <w:t>.  Incendie</w:t>
      </w:r>
      <w:r w:rsidRPr="00DB2C31">
        <w:rPr>
          <w:rFonts w:ascii="Times New Roman" w:hAnsi="Times New Roman"/>
          <w:sz w:val="24"/>
          <w:szCs w:val="24"/>
        </w:rPr>
        <w:t xml:space="preserve"> </w:t>
      </w:r>
    </w:p>
    <w:p w14:paraId="766B67AA" w14:textId="77777777" w:rsidR="002D02AF" w:rsidRPr="00DB2C31" w:rsidRDefault="002D02AF" w:rsidP="002D02AF">
      <w:pPr>
        <w:rPr>
          <w:rFonts w:ascii="Times New Roman" w:hAnsi="Times New Roman"/>
          <w:sz w:val="24"/>
          <w:szCs w:val="24"/>
        </w:rPr>
      </w:pPr>
      <w:r w:rsidRPr="00DB2C31">
        <w:rPr>
          <w:rFonts w:ascii="Times New Roman" w:hAnsi="Times New Roman"/>
          <w:sz w:val="24"/>
          <w:szCs w:val="24"/>
        </w:rPr>
        <w:t xml:space="preserve">En cas d’incendie, il faut actionner immédiatement le dispositif d’alarme. Et en tout premier lieu, il faut assurer la protection des personnes et des membres du personnel </w:t>
      </w:r>
    </w:p>
    <w:p w14:paraId="1174D0F5" w14:textId="77777777" w:rsidR="002D02AF" w:rsidRPr="00DB2C31" w:rsidRDefault="002D02AF" w:rsidP="002D02AF">
      <w:pPr>
        <w:rPr>
          <w:rFonts w:ascii="Times New Roman" w:hAnsi="Times New Roman"/>
          <w:sz w:val="24"/>
          <w:szCs w:val="24"/>
        </w:rPr>
      </w:pPr>
      <w:r>
        <w:rPr>
          <w:rFonts w:ascii="Times New Roman" w:hAnsi="Times New Roman"/>
          <w:sz w:val="24"/>
          <w:szCs w:val="24"/>
        </w:rPr>
        <w:t xml:space="preserve">a) </w:t>
      </w:r>
      <w:r w:rsidRPr="00DB2C31">
        <w:rPr>
          <w:rFonts w:ascii="Times New Roman" w:hAnsi="Times New Roman"/>
          <w:sz w:val="24"/>
          <w:szCs w:val="24"/>
        </w:rPr>
        <w:t xml:space="preserve"> Protection des personnes </w:t>
      </w:r>
    </w:p>
    <w:p w14:paraId="49810592" w14:textId="77777777" w:rsidR="002D02AF" w:rsidRPr="00DB2C31" w:rsidRDefault="002D02AF" w:rsidP="002D02AF">
      <w:pPr>
        <w:ind w:left="709" w:hanging="425"/>
        <w:rPr>
          <w:rFonts w:ascii="Times New Roman" w:hAnsi="Times New Roman"/>
          <w:sz w:val="24"/>
          <w:szCs w:val="24"/>
        </w:rPr>
      </w:pPr>
      <w:r>
        <w:rPr>
          <w:rFonts w:ascii="Times New Roman" w:hAnsi="Times New Roman"/>
          <w:sz w:val="24"/>
          <w:szCs w:val="24"/>
        </w:rPr>
        <w:t xml:space="preserve">(i) </w:t>
      </w:r>
      <w:r w:rsidRPr="00DB2C31">
        <w:rPr>
          <w:rFonts w:ascii="Times New Roman" w:hAnsi="Times New Roman"/>
          <w:sz w:val="24"/>
          <w:szCs w:val="24"/>
        </w:rPr>
        <w:t xml:space="preserve">Responsable HSE </w:t>
      </w:r>
    </w:p>
    <w:p w14:paraId="75BF7F36"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Dès que l’alerte a été donnée, ce responsable doit procéder à l’évacuation des personnes qui se trouvent dans le chantier. Il doit : - collaborer avec le Service de sécurité, le Service anti-incendie et celui de la police. - maintenir le contact avec les chefs d’équipe et les responsables charroi et de magasin, et veiller à ce qu’ils suivent précisément les instructions. </w:t>
      </w:r>
    </w:p>
    <w:p w14:paraId="4E803E44" w14:textId="77777777" w:rsidR="002D02AF" w:rsidRPr="00DB2C31" w:rsidRDefault="002D02AF" w:rsidP="002D02AF">
      <w:pPr>
        <w:ind w:left="284"/>
        <w:jc w:val="both"/>
        <w:rPr>
          <w:rFonts w:ascii="Times New Roman" w:hAnsi="Times New Roman"/>
          <w:sz w:val="24"/>
          <w:szCs w:val="24"/>
        </w:rPr>
      </w:pPr>
      <w:r>
        <w:rPr>
          <w:rFonts w:ascii="Times New Roman" w:hAnsi="Times New Roman"/>
          <w:sz w:val="24"/>
          <w:szCs w:val="24"/>
        </w:rPr>
        <w:t xml:space="preserve">(ii) </w:t>
      </w:r>
      <w:r w:rsidRPr="00DB2C31">
        <w:rPr>
          <w:rFonts w:ascii="Times New Roman" w:hAnsi="Times New Roman"/>
          <w:sz w:val="24"/>
          <w:szCs w:val="24"/>
        </w:rPr>
        <w:t xml:space="preserve">Chefs de chantier </w:t>
      </w:r>
    </w:p>
    <w:p w14:paraId="28E19617"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En collaboration avec le responsable HSE chargé de l’évacuation, les chefs de chantier et leurs chefs d’équipe doivent s’assurer que toutes les personnes présentes dans leur secteur quittent les lieux calmement mais rapidement, dès le déclenchement de l’alarme. Ils doivent : - coordonner l’évacuation rapide et ordonnée des personnes présentes dans le chantier ; - porter une assistance spéciale aux personnes qui ont besoin d’aide; s’assurer que le contrôle visuel des installations de chantier s'effectue dès que le système antivol a cessé de fonctionner ; - vérifier tous les locaux pour s’assurer qu’il ne reste personne, puis laisser les lumières allumées, et fermer les portes et les fenêtres de tous les locaux ; - être les derniers à quitter le lieu et prendre bien soin que personne ne revienne sur les lieux sans autorisation préalable ; - enfin, se présenter au responsable de l’évacuation et signaler les faits.</w:t>
      </w:r>
    </w:p>
    <w:p w14:paraId="7147AC98" w14:textId="77777777" w:rsidR="002D02AF" w:rsidRPr="00DB2C31" w:rsidRDefault="002D02AF" w:rsidP="002D02AF">
      <w:pPr>
        <w:jc w:val="both"/>
        <w:rPr>
          <w:rFonts w:ascii="Times New Roman" w:hAnsi="Times New Roman"/>
          <w:b/>
          <w:sz w:val="24"/>
          <w:szCs w:val="24"/>
        </w:rPr>
      </w:pPr>
      <w:r>
        <w:rPr>
          <w:rFonts w:ascii="Times New Roman" w:hAnsi="Times New Roman"/>
          <w:b/>
          <w:sz w:val="24"/>
          <w:szCs w:val="24"/>
        </w:rPr>
        <w:t>8.3.6.2</w:t>
      </w:r>
      <w:r w:rsidRPr="00DB2C31">
        <w:rPr>
          <w:rFonts w:ascii="Times New Roman" w:hAnsi="Times New Roman"/>
          <w:b/>
          <w:sz w:val="24"/>
          <w:szCs w:val="24"/>
        </w:rPr>
        <w:t xml:space="preserve">.  </w:t>
      </w:r>
      <w:r>
        <w:rPr>
          <w:rFonts w:ascii="Times New Roman" w:hAnsi="Times New Roman"/>
          <w:b/>
          <w:sz w:val="24"/>
          <w:szCs w:val="24"/>
        </w:rPr>
        <w:t>R</w:t>
      </w:r>
      <w:r w:rsidRPr="00DB2C31">
        <w:rPr>
          <w:rFonts w:ascii="Times New Roman" w:hAnsi="Times New Roman"/>
          <w:b/>
          <w:sz w:val="24"/>
          <w:szCs w:val="24"/>
        </w:rPr>
        <w:t xml:space="preserve">esponsables charroi et de magasin  </w:t>
      </w:r>
    </w:p>
    <w:p w14:paraId="65B544EB"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Lorsqu'un incendie se déclare, les responsables charroi et magasin doivent : - procéder à l’évacuation rapide et ordonnée des personnes vers les sorties d’urgence les plus rapprochées ; - vérifier systématiquement tous les locaux et, une fois cette opération terminée, laisser les lumières allumées en prenant soin de fermer toutes les portes et les fenêtres (sanitaires, salles de conférences ou de cours, bureaux, etc.) ; - se présenter au responsable et signaler les faits à qui de droit.</w:t>
      </w:r>
    </w:p>
    <w:p w14:paraId="7621D564" w14:textId="77777777" w:rsidR="002D02AF" w:rsidRPr="00DB2C31" w:rsidRDefault="002D02AF" w:rsidP="002D02AF">
      <w:pPr>
        <w:ind w:left="709" w:hanging="425"/>
        <w:jc w:val="both"/>
        <w:rPr>
          <w:rFonts w:ascii="Times New Roman" w:hAnsi="Times New Roman"/>
          <w:b/>
          <w:sz w:val="24"/>
          <w:szCs w:val="24"/>
        </w:rPr>
      </w:pPr>
      <w:r>
        <w:rPr>
          <w:rFonts w:ascii="Times New Roman" w:hAnsi="Times New Roman"/>
          <w:b/>
          <w:sz w:val="24"/>
          <w:szCs w:val="24"/>
        </w:rPr>
        <w:t xml:space="preserve">(i)  </w:t>
      </w:r>
      <w:r w:rsidRPr="00DB2C31">
        <w:rPr>
          <w:rFonts w:ascii="Times New Roman" w:hAnsi="Times New Roman"/>
          <w:b/>
          <w:sz w:val="24"/>
          <w:szCs w:val="24"/>
        </w:rPr>
        <w:t>Ouvriers</w:t>
      </w:r>
    </w:p>
    <w:p w14:paraId="0B045E5C"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Au moment du sinistre, les ouvriers et visiteurs au chantier doivent : - demeurer calmes et éviter la panique ; - se diriger rapidement vers la sortie la plus rapprochée en empruntant les escaliers si nécessaire ; - éviter de perdre du temps en voulant récupérer les objets personnels ; - suivre les directives données par les chefs de chantier, chefs d’équipe et responsable magasin et par le Service de sécurité ; - demeurer hors des lieux tant qu’une autorisation de retour n’a pas été donnée.</w:t>
      </w:r>
    </w:p>
    <w:p w14:paraId="41A49ACE" w14:textId="77777777" w:rsidR="002D02AF" w:rsidRPr="00DB2C31" w:rsidRDefault="002D02AF" w:rsidP="002D02AF">
      <w:pPr>
        <w:ind w:left="709" w:hanging="425"/>
        <w:jc w:val="both"/>
        <w:rPr>
          <w:rFonts w:ascii="Times New Roman" w:hAnsi="Times New Roman"/>
          <w:b/>
          <w:sz w:val="24"/>
          <w:szCs w:val="24"/>
        </w:rPr>
      </w:pPr>
      <w:r>
        <w:rPr>
          <w:rFonts w:ascii="Times New Roman" w:hAnsi="Times New Roman"/>
          <w:b/>
          <w:sz w:val="24"/>
          <w:szCs w:val="24"/>
        </w:rPr>
        <w:t xml:space="preserve">(ii)  </w:t>
      </w:r>
      <w:r w:rsidRPr="00DB2C31">
        <w:rPr>
          <w:rFonts w:ascii="Times New Roman" w:hAnsi="Times New Roman"/>
          <w:b/>
          <w:sz w:val="24"/>
          <w:szCs w:val="24"/>
        </w:rPr>
        <w:t xml:space="preserve">Protection des équipements </w:t>
      </w:r>
    </w:p>
    <w:p w14:paraId="62D3B131"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Il est recommandé, dès le début du sinistre, de désactiver le système antivol et de fermer les ordinateurs et les autres appareils électroniques ou électriques.</w:t>
      </w:r>
    </w:p>
    <w:p w14:paraId="6E419544" w14:textId="77777777" w:rsidR="002D02AF" w:rsidRPr="00DB2C31" w:rsidRDefault="002D02AF" w:rsidP="002D02AF">
      <w:pPr>
        <w:ind w:left="709" w:hanging="425"/>
        <w:jc w:val="both"/>
        <w:rPr>
          <w:rFonts w:ascii="Times New Roman" w:hAnsi="Times New Roman"/>
          <w:b/>
          <w:sz w:val="24"/>
          <w:szCs w:val="24"/>
        </w:rPr>
      </w:pPr>
      <w:r>
        <w:rPr>
          <w:rFonts w:ascii="Times New Roman" w:hAnsi="Times New Roman"/>
          <w:b/>
          <w:sz w:val="24"/>
          <w:szCs w:val="24"/>
        </w:rPr>
        <w:t xml:space="preserve">(iii) </w:t>
      </w:r>
      <w:r w:rsidRPr="00DB2C31">
        <w:rPr>
          <w:rFonts w:ascii="Times New Roman" w:hAnsi="Times New Roman"/>
          <w:b/>
          <w:sz w:val="24"/>
          <w:szCs w:val="24"/>
        </w:rPr>
        <w:t xml:space="preserve">Vandalisme et vol </w:t>
      </w:r>
    </w:p>
    <w:p w14:paraId="65084431"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Lorsqu’un membre du personnel est témoin d’un vol ou d’un acte de vandalisme, il faut : - rester calme et de ne pas affronter l’auteur du vol ou du vandalisme ; - aviser le Service de sécurité le plus tôt possible ; - signaler les faits à qui de droit.</w:t>
      </w:r>
    </w:p>
    <w:p w14:paraId="092CFAA0" w14:textId="77777777" w:rsidR="002D02AF" w:rsidRPr="00DB2C31" w:rsidRDefault="002D02AF" w:rsidP="002D02AF">
      <w:pPr>
        <w:ind w:left="709" w:hanging="425"/>
        <w:jc w:val="both"/>
        <w:rPr>
          <w:rFonts w:ascii="Times New Roman" w:hAnsi="Times New Roman"/>
          <w:b/>
          <w:sz w:val="24"/>
          <w:szCs w:val="24"/>
        </w:rPr>
      </w:pPr>
      <w:r>
        <w:rPr>
          <w:rFonts w:ascii="Times New Roman" w:hAnsi="Times New Roman"/>
          <w:b/>
          <w:sz w:val="24"/>
          <w:szCs w:val="24"/>
        </w:rPr>
        <w:t xml:space="preserve">(iv)  </w:t>
      </w:r>
      <w:r w:rsidRPr="00DB2C31">
        <w:rPr>
          <w:rFonts w:ascii="Times New Roman" w:hAnsi="Times New Roman"/>
          <w:b/>
          <w:sz w:val="24"/>
          <w:szCs w:val="24"/>
        </w:rPr>
        <w:t xml:space="preserve">Fumée et odeur suspectes </w:t>
      </w:r>
    </w:p>
    <w:p w14:paraId="1D97720B"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Lorsque de la fumée ou une odeur suspecte est décelée au chantier, il faut : - éloigner les membres du personnel et établir un périmètre de sécurité ; - aviser aussitôt le responsable HSE ou le directeur des travaux et suivre ses directives.</w:t>
      </w:r>
    </w:p>
    <w:p w14:paraId="55FEC006"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Si la fumée ou l’odeur a incommodé une personne, il faut : - la diriger vers un endroit sûr ; - demander l’aide d’un secouriste ; - signaler les faits à qui de droit.</w:t>
      </w:r>
    </w:p>
    <w:p w14:paraId="29199094" w14:textId="77777777" w:rsidR="002D02AF" w:rsidRPr="00DB2C31" w:rsidRDefault="002D02AF" w:rsidP="002D02AF">
      <w:pPr>
        <w:ind w:left="709" w:hanging="425"/>
        <w:jc w:val="both"/>
        <w:rPr>
          <w:sz w:val="24"/>
          <w:szCs w:val="24"/>
        </w:rPr>
      </w:pPr>
      <w:r>
        <w:rPr>
          <w:rFonts w:ascii="Times New Roman" w:hAnsi="Times New Roman"/>
          <w:b/>
          <w:sz w:val="24"/>
          <w:szCs w:val="24"/>
        </w:rPr>
        <w:t xml:space="preserve">(v)  </w:t>
      </w:r>
      <w:r w:rsidRPr="00DB2C31">
        <w:rPr>
          <w:rFonts w:ascii="Times New Roman" w:hAnsi="Times New Roman"/>
          <w:b/>
          <w:sz w:val="24"/>
          <w:szCs w:val="24"/>
        </w:rPr>
        <w:t>Drogues et alcool</w:t>
      </w:r>
      <w:r w:rsidRPr="00DB2C31">
        <w:rPr>
          <w:sz w:val="24"/>
          <w:szCs w:val="24"/>
        </w:rPr>
        <w:t xml:space="preserve"> </w:t>
      </w:r>
    </w:p>
    <w:p w14:paraId="54CC54E8"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Lorsqu’une personne se présente au chantier et qu’elle semble être sous l’effet d’une drogue ou de l’alcool, il faut : - rester calme et éviter de l'affronter ; - prévenir immédiatement le chef d’équipe ou le chef de chantier ; - signaler les faits à qui de droit.</w:t>
      </w:r>
    </w:p>
    <w:p w14:paraId="3DE22BA3" w14:textId="77777777" w:rsidR="002D02AF" w:rsidRPr="00DB2C31" w:rsidRDefault="002D02AF" w:rsidP="002D02AF">
      <w:pPr>
        <w:ind w:left="709" w:hanging="425"/>
        <w:jc w:val="both"/>
        <w:rPr>
          <w:rFonts w:ascii="Times New Roman" w:hAnsi="Times New Roman"/>
          <w:b/>
          <w:sz w:val="24"/>
          <w:szCs w:val="24"/>
        </w:rPr>
      </w:pPr>
      <w:r>
        <w:rPr>
          <w:rFonts w:ascii="Times New Roman" w:hAnsi="Times New Roman"/>
          <w:b/>
          <w:sz w:val="24"/>
          <w:szCs w:val="24"/>
        </w:rPr>
        <w:t xml:space="preserve">(vi)  </w:t>
      </w:r>
      <w:r w:rsidRPr="00DB2C31">
        <w:rPr>
          <w:rFonts w:ascii="Times New Roman" w:hAnsi="Times New Roman"/>
          <w:b/>
          <w:sz w:val="24"/>
          <w:szCs w:val="24"/>
        </w:rPr>
        <w:t>Agressions et harcèlement</w:t>
      </w:r>
    </w:p>
    <w:p w14:paraId="28B0E083" w14:textId="77777777" w:rsidR="002D02AF" w:rsidRPr="006830BD" w:rsidRDefault="002D02AF" w:rsidP="002D02AF">
      <w:pPr>
        <w:pStyle w:val="Paragraphedeliste"/>
        <w:numPr>
          <w:ilvl w:val="0"/>
          <w:numId w:val="400"/>
        </w:numPr>
        <w:spacing w:after="200" w:line="276" w:lineRule="auto"/>
        <w:jc w:val="both"/>
        <w:rPr>
          <w:sz w:val="24"/>
          <w:szCs w:val="24"/>
        </w:rPr>
      </w:pPr>
      <w:r w:rsidRPr="006830BD">
        <w:rPr>
          <w:sz w:val="24"/>
          <w:szCs w:val="24"/>
        </w:rPr>
        <w:t xml:space="preserve">Agression physique </w:t>
      </w:r>
    </w:p>
    <w:p w14:paraId="24A1C254"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En cas d’agression physique il faut : - éviter d’intervenir directement mais appeler plutôt un agent de sécurité et lui apporter la collaboration requise ; - si l’état de la victime l’exige, appeler un secouriste ; - signaler les faits à qui de droit. </w:t>
      </w:r>
    </w:p>
    <w:p w14:paraId="6CA8E7F4" w14:textId="77777777" w:rsidR="002D02AF" w:rsidRPr="00DB2C31" w:rsidRDefault="002D02AF" w:rsidP="002D02AF">
      <w:pPr>
        <w:pStyle w:val="Paragraphedeliste"/>
        <w:numPr>
          <w:ilvl w:val="0"/>
          <w:numId w:val="400"/>
        </w:numPr>
        <w:spacing w:after="200" w:line="276" w:lineRule="auto"/>
        <w:jc w:val="both"/>
        <w:rPr>
          <w:rFonts w:ascii="Times New Roman" w:hAnsi="Times New Roman"/>
          <w:sz w:val="24"/>
          <w:szCs w:val="24"/>
        </w:rPr>
      </w:pPr>
      <w:r w:rsidRPr="00DB2C31">
        <w:rPr>
          <w:rFonts w:ascii="Times New Roman" w:hAnsi="Times New Roman"/>
          <w:sz w:val="24"/>
          <w:szCs w:val="24"/>
        </w:rPr>
        <w:t xml:space="preserve">Agression sexuelle et harcèlement </w:t>
      </w:r>
    </w:p>
    <w:p w14:paraId="26D77ADF" w14:textId="77777777" w:rsidR="002D02AF" w:rsidRPr="00DB2C31" w:rsidRDefault="002D02AF" w:rsidP="002D02AF">
      <w:pPr>
        <w:jc w:val="both"/>
        <w:rPr>
          <w:rFonts w:ascii="Times New Roman" w:hAnsi="Times New Roman"/>
          <w:sz w:val="24"/>
          <w:szCs w:val="24"/>
        </w:rPr>
      </w:pPr>
      <w:r w:rsidRPr="00DB2C31">
        <w:rPr>
          <w:rFonts w:ascii="Times New Roman" w:hAnsi="Times New Roman"/>
          <w:sz w:val="24"/>
          <w:szCs w:val="24"/>
        </w:rPr>
        <w:t xml:space="preserve">- le plus tôt possible, informer les autorités et, surtout dans le cas d’une agression, prévenir le point focal de l’entreprise ou contracter l’ONG spécialisée ; - demeurer sur place jusqu’à l’arrivée d'un point focal et lui apporter toute la collaboration requise ; - signaler les faits à qui de droit. </w:t>
      </w:r>
    </w:p>
    <w:p w14:paraId="339180F9" w14:textId="77777777" w:rsidR="002D02AF" w:rsidRPr="00DB2C31" w:rsidRDefault="002D02AF" w:rsidP="002D02AF">
      <w:pPr>
        <w:pStyle w:val="Paragraphedeliste"/>
        <w:numPr>
          <w:ilvl w:val="0"/>
          <w:numId w:val="400"/>
        </w:numPr>
        <w:spacing w:after="200" w:line="276" w:lineRule="auto"/>
        <w:jc w:val="both"/>
        <w:rPr>
          <w:rFonts w:ascii="Times New Roman" w:hAnsi="Times New Roman"/>
          <w:sz w:val="24"/>
          <w:szCs w:val="24"/>
        </w:rPr>
      </w:pPr>
      <w:r w:rsidRPr="00DB2C31">
        <w:rPr>
          <w:rFonts w:ascii="Times New Roman" w:hAnsi="Times New Roman"/>
          <w:sz w:val="24"/>
          <w:szCs w:val="24"/>
        </w:rPr>
        <w:t xml:space="preserve">Agression verbale </w:t>
      </w:r>
    </w:p>
    <w:p w14:paraId="0C5B22EA" w14:textId="29712256" w:rsidR="000705BE" w:rsidRPr="00215867" w:rsidRDefault="002D02AF" w:rsidP="00215867">
      <w:pPr>
        <w:jc w:val="both"/>
        <w:rPr>
          <w:rFonts w:ascii="Times New Roman" w:hAnsi="Times New Roman"/>
          <w:sz w:val="24"/>
          <w:szCs w:val="24"/>
        </w:rPr>
      </w:pPr>
      <w:r w:rsidRPr="00DB2C31">
        <w:rPr>
          <w:rFonts w:ascii="Times New Roman" w:hAnsi="Times New Roman"/>
          <w:sz w:val="24"/>
          <w:szCs w:val="24"/>
        </w:rPr>
        <w:t>Dans un tel cas, il faut : - demander du responsable HSE et lui fournir les renseignements utiles ; - signaler les faits à qui de droit.</w:t>
      </w:r>
    </w:p>
    <w:p w14:paraId="1CA6F011" w14:textId="77777777" w:rsidR="000705BE" w:rsidRPr="00215867" w:rsidRDefault="000705BE" w:rsidP="00215867">
      <w:pPr>
        <w:pStyle w:val="Titre1"/>
        <w:numPr>
          <w:ilvl w:val="1"/>
          <w:numId w:val="54"/>
        </w:numPr>
        <w:spacing w:before="120" w:after="120" w:line="23" w:lineRule="atLeast"/>
        <w:ind w:left="709" w:hanging="567"/>
        <w:rPr>
          <w:b w:val="0"/>
        </w:rPr>
      </w:pPr>
      <w:bookmarkStart w:id="878" w:name="_Toc425004194"/>
      <w:bookmarkStart w:id="879" w:name="_Toc421133537"/>
      <w:bookmarkStart w:id="880" w:name="_Toc78602044"/>
      <w:bookmarkStart w:id="881" w:name="_Toc103685740"/>
      <w:bookmarkStart w:id="882" w:name="_Toc291319283"/>
      <w:bookmarkStart w:id="883" w:name="_Toc295896605"/>
      <w:bookmarkStart w:id="884" w:name="_Toc295899295"/>
      <w:bookmarkStart w:id="885" w:name="_Toc295900140"/>
      <w:bookmarkStart w:id="886" w:name="_Toc295900985"/>
      <w:bookmarkStart w:id="887" w:name="_Toc295912479"/>
      <w:bookmarkStart w:id="888" w:name="_Toc328897713"/>
      <w:bookmarkStart w:id="889" w:name="_Toc481497153"/>
      <w:bookmarkStart w:id="890" w:name="_Toc533610464"/>
      <w:bookmarkEnd w:id="878"/>
      <w:bookmarkEnd w:id="879"/>
      <w:r w:rsidRPr="007E5A67">
        <w:t xml:space="preserve">Gestion des </w:t>
      </w:r>
      <w:r w:rsidRPr="00B334B1">
        <w:t>déchets</w:t>
      </w:r>
      <w:bookmarkEnd w:id="880"/>
      <w:bookmarkEnd w:id="881"/>
      <w:r w:rsidRPr="00B334B1">
        <w:t xml:space="preserve"> </w:t>
      </w:r>
      <w:bookmarkEnd w:id="882"/>
      <w:bookmarkEnd w:id="883"/>
      <w:bookmarkEnd w:id="884"/>
      <w:bookmarkEnd w:id="885"/>
      <w:bookmarkEnd w:id="886"/>
      <w:bookmarkEnd w:id="887"/>
      <w:bookmarkEnd w:id="888"/>
      <w:bookmarkEnd w:id="889"/>
      <w:bookmarkEnd w:id="890"/>
    </w:p>
    <w:p w14:paraId="4B54738C"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891" w:name="_Toc78602045"/>
      <w:bookmarkStart w:id="892" w:name="_Toc103685741"/>
      <w:r w:rsidRPr="00215867">
        <w:rPr>
          <w:rFonts w:eastAsia="Calibri"/>
          <w:i/>
          <w:u w:val="none"/>
        </w:rPr>
        <w:t>Gestion des déchets banals</w:t>
      </w:r>
      <w:bookmarkEnd w:id="891"/>
      <w:bookmarkEnd w:id="892"/>
    </w:p>
    <w:p w14:paraId="01E1A49E" w14:textId="77777777" w:rsidR="000705BE" w:rsidRPr="00D75D2E" w:rsidRDefault="000705BE" w:rsidP="00215867">
      <w:pPr>
        <w:spacing w:before="120" w:after="120" w:line="276" w:lineRule="auto"/>
        <w:ind w:left="-6" w:right="11"/>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chantier générera divers déchets, dont des résidus de bois, métaux, des déchets «domestiques», </w:t>
      </w:r>
      <w:r w:rsidR="00AE08B0" w:rsidRPr="00D75D2E">
        <w:rPr>
          <w:rFonts w:ascii="Times New Roman" w:eastAsia="Times New Roman" w:hAnsi="Times New Roman"/>
          <w:sz w:val="24"/>
          <w:szCs w:val="24"/>
          <w:lang w:eastAsia="fr-FR"/>
        </w:rPr>
        <w:t xml:space="preserve">les débris de câbles électriques, </w:t>
      </w:r>
      <w:r w:rsidRPr="00D75D2E">
        <w:rPr>
          <w:rFonts w:ascii="Times New Roman" w:eastAsia="Times New Roman" w:hAnsi="Times New Roman"/>
          <w:sz w:val="24"/>
          <w:szCs w:val="24"/>
          <w:lang w:eastAsia="fr-FR"/>
        </w:rPr>
        <w:t xml:space="preserve">papiers, cartons, sacs de ciment, ferrailles, huiles et lubrifiants, huile </w:t>
      </w:r>
      <w:r w:rsidRPr="00215867">
        <w:rPr>
          <w:rFonts w:ascii="Times New Roman" w:hAnsi="Times New Roman"/>
          <w:sz w:val="24"/>
          <w:szCs w:val="24"/>
        </w:rPr>
        <w:t>usées</w:t>
      </w:r>
      <w:r w:rsidRPr="00D75D2E">
        <w:rPr>
          <w:rFonts w:ascii="Times New Roman" w:eastAsia="Times New Roman" w:hAnsi="Times New Roman"/>
          <w:sz w:val="24"/>
          <w:szCs w:val="24"/>
          <w:lang w:eastAsia="fr-FR"/>
        </w:rPr>
        <w:t>, pneus usés, batteries usées, etc. Le Plan de gestion des déchets du chantier sera conforme aux principes des 4RVE (</w:t>
      </w:r>
      <w:r w:rsidRPr="00D75D2E">
        <w:rPr>
          <w:rFonts w:ascii="Times New Roman" w:eastAsia="Times New Roman" w:hAnsi="Times New Roman"/>
          <w:i/>
          <w:sz w:val="24"/>
          <w:szCs w:val="24"/>
          <w:lang w:eastAsia="fr-FR"/>
        </w:rPr>
        <w:t>récupération, réutilisation, réduction, recyclage, valorisation et élimination</w:t>
      </w:r>
      <w:r w:rsidRPr="00D75D2E">
        <w:rPr>
          <w:rFonts w:ascii="Times New Roman" w:eastAsia="Times New Roman" w:hAnsi="Times New Roman"/>
          <w:sz w:val="24"/>
          <w:szCs w:val="24"/>
          <w:lang w:eastAsia="fr-FR"/>
        </w:rPr>
        <w:t xml:space="preserve">). Pour ce faire, </w:t>
      </w:r>
      <w:r w:rsidR="005F5746" w:rsidRPr="00D75D2E">
        <w:rPr>
          <w:rFonts w:ascii="Times New Roman" w:eastAsia="Times New Roman" w:hAnsi="Times New Roman"/>
          <w:sz w:val="24"/>
          <w:szCs w:val="24"/>
          <w:lang w:eastAsia="fr-FR"/>
        </w:rPr>
        <w:t>l’UCM</w:t>
      </w:r>
      <w:r w:rsidRPr="00D75D2E">
        <w:rPr>
          <w:rFonts w:ascii="Times New Roman" w:eastAsia="Times New Roman" w:hAnsi="Times New Roman"/>
          <w:sz w:val="24"/>
          <w:szCs w:val="24"/>
          <w:lang w:eastAsia="fr-FR"/>
        </w:rPr>
        <w:t xml:space="preserve"> devra donc s’assurer de :</w:t>
      </w:r>
    </w:p>
    <w:p w14:paraId="4875044F"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 xml:space="preserve">la bonne gestion des matières résiduelles en fournissant aux entrepreneurs ou en demandant à chaque entrepreneur de fournir des conteneurs appropriés en quantité suffisante pour assurer la ségrégation des matières résiduelles et rencontrer les besoins du plan de gestion des matières résiduelles selon qu’elles sont récupérables, réutilisables, recyclables ou qu’elles peuvent être valorisées ; </w:t>
      </w:r>
    </w:p>
    <w:p w14:paraId="4C332C68"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l’élimination des matières résiduelles sur des sites autorisés ;</w:t>
      </w:r>
    </w:p>
    <w:p w14:paraId="623B7D3A"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la collecte et l’entreposage des déchets domestiques dans des conteneurs fermés pour éviter d’attirer les animaux et l’élimination régulière de ces déchets ;</w:t>
      </w:r>
    </w:p>
    <w:p w14:paraId="1F40060B"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l’élimination des déchets dangereux (hydrocarbures) par des entreprises autorisées ;</w:t>
      </w:r>
    </w:p>
    <w:p w14:paraId="7634A404"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l’information rapportée concernant toute découverte fortuite de sols présentant des indices visuels ou olfactifs de contamination ;</w:t>
      </w:r>
    </w:p>
    <w:p w14:paraId="5C852D5B"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la gestion adéquate de tout sol contaminé découvert fortuitement, celui-ci devant être entreposé temporairement sur une plate-forme étanche, caractérisé et disposé en conformité avec les règlements et politiques en vigueur,</w:t>
      </w:r>
    </w:p>
    <w:p w14:paraId="7C29D84B"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sidRPr="00215867">
        <w:rPr>
          <w:rFonts w:ascii="Times New Roman" w:hAnsi="Times New Roman"/>
          <w:sz w:val="24"/>
          <w:szCs w:val="24"/>
        </w:rPr>
        <w:t>le traitement des sols contaminés accidentellement par décapage immédiat et bio génération.</w:t>
      </w:r>
    </w:p>
    <w:p w14:paraId="6C5BA616" w14:textId="77777777" w:rsidR="000705BE" w:rsidRPr="00215867" w:rsidRDefault="00BD60DA" w:rsidP="00215867">
      <w:pPr>
        <w:pStyle w:val="Titre31"/>
        <w:numPr>
          <w:ilvl w:val="2"/>
          <w:numId w:val="54"/>
        </w:numPr>
        <w:tabs>
          <w:tab w:val="left" w:pos="993"/>
        </w:tabs>
        <w:spacing w:before="120" w:after="120" w:line="20" w:lineRule="atLeast"/>
        <w:ind w:left="993" w:hanging="709"/>
        <w:rPr>
          <w:rFonts w:eastAsia="Calibri"/>
          <w:i/>
        </w:rPr>
      </w:pPr>
      <w:bookmarkStart w:id="893" w:name="_Toc291319284"/>
      <w:bookmarkStart w:id="894" w:name="_Toc295896606"/>
      <w:bookmarkStart w:id="895" w:name="_Toc295899296"/>
      <w:bookmarkStart w:id="896" w:name="_Toc295900141"/>
      <w:bookmarkStart w:id="897" w:name="_Toc295900986"/>
      <w:bookmarkStart w:id="898" w:name="_Toc295912480"/>
      <w:bookmarkStart w:id="899" w:name="_Toc328897714"/>
      <w:bookmarkStart w:id="900" w:name="_Toc481497154"/>
      <w:bookmarkStart w:id="901" w:name="_Toc533610465"/>
      <w:bookmarkStart w:id="902" w:name="_Toc78602046"/>
      <w:r w:rsidRPr="00215867">
        <w:rPr>
          <w:rFonts w:eastAsia="Calibri"/>
          <w:i/>
          <w:u w:val="none"/>
        </w:rPr>
        <w:t xml:space="preserve">   </w:t>
      </w:r>
      <w:bookmarkStart w:id="903" w:name="_Toc103685742"/>
      <w:r w:rsidR="000705BE" w:rsidRPr="00215867">
        <w:rPr>
          <w:rFonts w:eastAsia="Calibri"/>
          <w:i/>
          <w:u w:val="none"/>
        </w:rPr>
        <w:t>Gestion des matières dangereuses</w:t>
      </w:r>
      <w:bookmarkEnd w:id="893"/>
      <w:bookmarkEnd w:id="894"/>
      <w:bookmarkEnd w:id="895"/>
      <w:bookmarkEnd w:id="896"/>
      <w:bookmarkEnd w:id="897"/>
      <w:bookmarkEnd w:id="898"/>
      <w:bookmarkEnd w:id="899"/>
      <w:bookmarkEnd w:id="900"/>
      <w:bookmarkEnd w:id="901"/>
      <w:bookmarkEnd w:id="902"/>
      <w:bookmarkEnd w:id="903"/>
    </w:p>
    <w:p w14:paraId="12FF891D" w14:textId="743EF882" w:rsidR="000705BE" w:rsidRDefault="000705BE" w:rsidP="00E737B4">
      <w:pPr>
        <w:autoSpaceDE w:val="0"/>
        <w:autoSpaceDN w:val="0"/>
        <w:adjustRightInd w:val="0"/>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Plan de gestion des déchets </w:t>
      </w:r>
      <w:r w:rsidR="00386C76">
        <w:rPr>
          <w:rFonts w:ascii="Times New Roman" w:eastAsia="Times New Roman" w:hAnsi="Times New Roman"/>
          <w:sz w:val="24"/>
          <w:szCs w:val="24"/>
          <w:lang w:eastAsia="fr-FR"/>
        </w:rPr>
        <w:t xml:space="preserve">des boues, amiante, huiles diélectriques contenant du PCB, </w:t>
      </w:r>
      <w:r w:rsidR="00097BE8">
        <w:rPr>
          <w:rFonts w:ascii="Times New Roman" w:eastAsia="Times New Roman" w:hAnsi="Times New Roman"/>
          <w:sz w:val="24"/>
          <w:szCs w:val="24"/>
          <w:lang w:eastAsia="fr-FR"/>
        </w:rPr>
        <w:t>sulfure</w:t>
      </w:r>
      <w:r w:rsidR="00386C76">
        <w:rPr>
          <w:rFonts w:ascii="Times New Roman" w:eastAsia="Times New Roman" w:hAnsi="Times New Roman"/>
          <w:sz w:val="24"/>
          <w:szCs w:val="24"/>
          <w:lang w:eastAsia="fr-FR"/>
        </w:rPr>
        <w:t xml:space="preserve"> hexafluoride (SF6), </w:t>
      </w:r>
      <w:r w:rsidRPr="00D75D2E">
        <w:rPr>
          <w:rFonts w:ascii="Times New Roman" w:eastAsia="Times New Roman" w:hAnsi="Times New Roman"/>
          <w:sz w:val="24"/>
          <w:szCs w:val="24"/>
          <w:lang w:eastAsia="fr-FR"/>
        </w:rPr>
        <w:t xml:space="preserve">des produits chimiques, carburants et matières dangereuses </w:t>
      </w:r>
      <w:r w:rsidR="00386C76">
        <w:rPr>
          <w:rFonts w:ascii="Times New Roman" w:eastAsia="Times New Roman" w:hAnsi="Times New Roman"/>
          <w:sz w:val="24"/>
          <w:szCs w:val="24"/>
          <w:lang w:eastAsia="fr-FR"/>
        </w:rPr>
        <w:t>(</w:t>
      </w:r>
      <w:r w:rsidR="00D836D3" w:rsidRPr="00D75D2E">
        <w:rPr>
          <w:rFonts w:ascii="Times New Roman" w:eastAsia="Times New Roman" w:hAnsi="Times New Roman"/>
          <w:sz w:val="24"/>
          <w:szCs w:val="24"/>
          <w:lang w:eastAsia="fr-FR"/>
        </w:rPr>
        <w:t>lors des travaux et surtout à la base vie des entreprises</w:t>
      </w:r>
      <w:r w:rsidRPr="00D75D2E">
        <w:rPr>
          <w:rFonts w:ascii="Times New Roman" w:eastAsia="Times New Roman" w:hAnsi="Times New Roman"/>
          <w:sz w:val="24"/>
          <w:szCs w:val="24"/>
          <w:lang w:eastAsia="fr-FR"/>
        </w:rPr>
        <w:t xml:space="preserve"> a pour objectif principal de faciliter la gestion, l’approvisionnement, l’entreposage, la manipulation et l’élimination de ces produits en toute sécurité et d’empêcher tout rejet non contrôlé dans le milieu environnant. Une bonne gestion minimise les risques de contamination en cas de déversement accidentel. Le projet doit disposer d’un Plan de gestion des déchets et veillera donc à s’assurer que les actions suivantes inscrites dans ledit plan sont bien réalisées :</w:t>
      </w:r>
    </w:p>
    <w:p w14:paraId="703BDF65" w14:textId="77777777" w:rsidR="000705BE"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04" w:name="_Toc328897715"/>
      <w:bookmarkStart w:id="905" w:name="_Toc413397619"/>
      <w:r w:rsidRPr="00215867">
        <w:rPr>
          <w:rFonts w:ascii="Times New Roman" w:hAnsi="Times New Roman"/>
          <w:sz w:val="24"/>
          <w:szCs w:val="24"/>
        </w:rPr>
        <w:t>Les liquides inflammables et les combustibles, ainsi que les matières dangereuses, sont entreposés et manipulés conformément aux normes applicables ;</w:t>
      </w:r>
      <w:bookmarkEnd w:id="904"/>
      <w:bookmarkEnd w:id="905"/>
    </w:p>
    <w:p w14:paraId="73A75A22" w14:textId="328D7A64" w:rsidR="00386C76" w:rsidRDefault="00E02417"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Les transformateurs ou disjoncteurs à bain d’huile à base du PCB devr</w:t>
      </w:r>
      <w:r w:rsidR="00097BE8">
        <w:rPr>
          <w:rFonts w:ascii="Times New Roman" w:hAnsi="Times New Roman"/>
          <w:sz w:val="24"/>
          <w:szCs w:val="24"/>
        </w:rPr>
        <w:t>ont</w:t>
      </w:r>
      <w:r>
        <w:rPr>
          <w:rFonts w:ascii="Times New Roman" w:hAnsi="Times New Roman"/>
          <w:sz w:val="24"/>
          <w:szCs w:val="24"/>
        </w:rPr>
        <w:t xml:space="preserve"> être signalé</w:t>
      </w:r>
      <w:r w:rsidR="00097BE8">
        <w:rPr>
          <w:rFonts w:ascii="Times New Roman" w:hAnsi="Times New Roman"/>
          <w:sz w:val="24"/>
          <w:szCs w:val="24"/>
        </w:rPr>
        <w:t>s</w:t>
      </w:r>
      <w:r>
        <w:rPr>
          <w:rFonts w:ascii="Times New Roman" w:hAnsi="Times New Roman"/>
          <w:sz w:val="24"/>
          <w:szCs w:val="24"/>
        </w:rPr>
        <w:t>, démont</w:t>
      </w:r>
      <w:r w:rsidR="00097BE8">
        <w:rPr>
          <w:rFonts w:ascii="Times New Roman" w:hAnsi="Times New Roman"/>
          <w:sz w:val="24"/>
          <w:szCs w:val="24"/>
        </w:rPr>
        <w:t>és</w:t>
      </w:r>
      <w:r>
        <w:rPr>
          <w:rFonts w:ascii="Times New Roman" w:hAnsi="Times New Roman"/>
          <w:sz w:val="24"/>
          <w:szCs w:val="24"/>
        </w:rPr>
        <w:t>r et remplac</w:t>
      </w:r>
      <w:r w:rsidR="00097BE8">
        <w:rPr>
          <w:rFonts w:ascii="Times New Roman" w:hAnsi="Times New Roman"/>
          <w:sz w:val="24"/>
          <w:szCs w:val="24"/>
        </w:rPr>
        <w:t>és</w:t>
      </w:r>
      <w:r w:rsidR="008F20DB">
        <w:rPr>
          <w:rFonts w:ascii="Times New Roman" w:hAnsi="Times New Roman"/>
          <w:sz w:val="24"/>
          <w:szCs w:val="24"/>
        </w:rPr>
        <w:t xml:space="preserve"> par </w:t>
      </w:r>
      <w:r w:rsidR="00097BE8">
        <w:rPr>
          <w:rFonts w:ascii="Times New Roman" w:hAnsi="Times New Roman"/>
          <w:sz w:val="24"/>
          <w:szCs w:val="24"/>
        </w:rPr>
        <w:t>des</w:t>
      </w:r>
      <w:r w:rsidR="008F20DB">
        <w:rPr>
          <w:rFonts w:ascii="Times New Roman" w:hAnsi="Times New Roman"/>
          <w:sz w:val="24"/>
          <w:szCs w:val="24"/>
        </w:rPr>
        <w:t xml:space="preserve"> transformateur</w:t>
      </w:r>
      <w:r w:rsidR="00097BE8">
        <w:rPr>
          <w:rFonts w:ascii="Times New Roman" w:hAnsi="Times New Roman"/>
          <w:sz w:val="24"/>
          <w:szCs w:val="24"/>
        </w:rPr>
        <w:t>s</w:t>
      </w:r>
      <w:r w:rsidR="008F20DB">
        <w:rPr>
          <w:rFonts w:ascii="Times New Roman" w:hAnsi="Times New Roman"/>
          <w:sz w:val="24"/>
          <w:szCs w:val="24"/>
        </w:rPr>
        <w:t xml:space="preserve"> à huile minérale. Les connections avec le système de conditionnement d’air doit être obturé et une signalisation PCB doit être effective sur l’appareil, dans le local et à l’extérieur du local</w:t>
      </w:r>
      <w:r w:rsidR="00227FCF">
        <w:rPr>
          <w:rFonts w:ascii="Times New Roman" w:hAnsi="Times New Roman"/>
          <w:sz w:val="24"/>
          <w:szCs w:val="24"/>
        </w:rPr>
        <w:t> ;</w:t>
      </w:r>
    </w:p>
    <w:p w14:paraId="12587904" w14:textId="789D234B" w:rsidR="00227FCF" w:rsidRDefault="00227FCF"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Proscrire tout rejet des appareils ou récipient</w:t>
      </w:r>
      <w:r w:rsidR="003D0015">
        <w:rPr>
          <w:rFonts w:ascii="Times New Roman" w:hAnsi="Times New Roman"/>
          <w:sz w:val="24"/>
          <w:szCs w:val="24"/>
        </w:rPr>
        <w:t>s</w:t>
      </w:r>
      <w:r>
        <w:rPr>
          <w:rFonts w:ascii="Times New Roman" w:hAnsi="Times New Roman"/>
          <w:sz w:val="24"/>
          <w:szCs w:val="24"/>
        </w:rPr>
        <w:t xml:space="preserve"> contenant du SF6 dans les eaux de surface, car le SF6 s’hydrolyse facilement au contact de l’eau en fluorure de thionyle et fluorure d’hydrogène présentant des effets toxiques pour la santé humaine et animale ;</w:t>
      </w:r>
    </w:p>
    <w:p w14:paraId="6E509994" w14:textId="12E5C0F9" w:rsidR="000E62EE" w:rsidRDefault="00227FCF"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 xml:space="preserve">Les locaux contenant des réservoirs de SF6 doivent être suffisamment ventilés </w:t>
      </w:r>
      <w:r w:rsidR="000E62EE">
        <w:rPr>
          <w:rFonts w:ascii="Times New Roman" w:hAnsi="Times New Roman"/>
          <w:sz w:val="24"/>
          <w:szCs w:val="24"/>
        </w:rPr>
        <w:t>et étiqueté</w:t>
      </w:r>
      <w:r w:rsidR="003D0015">
        <w:rPr>
          <w:rFonts w:ascii="Times New Roman" w:hAnsi="Times New Roman"/>
          <w:sz w:val="24"/>
          <w:szCs w:val="24"/>
        </w:rPr>
        <w:t>s</w:t>
      </w:r>
      <w:r w:rsidR="00F40128">
        <w:rPr>
          <w:rFonts w:ascii="Times New Roman" w:hAnsi="Times New Roman"/>
          <w:sz w:val="24"/>
          <w:szCs w:val="24"/>
        </w:rPr>
        <w:t> ;</w:t>
      </w:r>
    </w:p>
    <w:p w14:paraId="210A3ACA" w14:textId="3F5FF3B3" w:rsidR="00227FCF" w:rsidRDefault="000E62E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Informer les travailleurs des risques présent</w:t>
      </w:r>
      <w:r w:rsidR="003D0015">
        <w:rPr>
          <w:rFonts w:ascii="Times New Roman" w:hAnsi="Times New Roman"/>
          <w:sz w:val="24"/>
          <w:szCs w:val="24"/>
        </w:rPr>
        <w:t xml:space="preserve">és par </w:t>
      </w:r>
      <w:r>
        <w:rPr>
          <w:rFonts w:ascii="Times New Roman" w:hAnsi="Times New Roman"/>
          <w:sz w:val="24"/>
          <w:szCs w:val="24"/>
        </w:rPr>
        <w:t xml:space="preserve"> le SF6, des précautions à observer, des mesures d’hygiène à mettre en place ainsi que des mesures d’urgence à prendre en cas d’accident, également à la manipulation des moyens d’extinction (extincteurs, robinet d’incendie armé, …)</w:t>
      </w:r>
      <w:r w:rsidR="00F40128">
        <w:rPr>
          <w:rFonts w:ascii="Times New Roman" w:hAnsi="Times New Roman"/>
          <w:sz w:val="24"/>
          <w:szCs w:val="24"/>
        </w:rPr>
        <w:t> ;</w:t>
      </w:r>
    </w:p>
    <w:p w14:paraId="53DA363F" w14:textId="75F20177" w:rsidR="000E62EE" w:rsidRDefault="000E62E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Se référer à la fiche des données de sécurité</w:t>
      </w:r>
      <w:r w:rsidR="002222D6">
        <w:rPr>
          <w:rFonts w:ascii="Times New Roman" w:hAnsi="Times New Roman"/>
          <w:sz w:val="24"/>
          <w:szCs w:val="24"/>
        </w:rPr>
        <w:t xml:space="preserve"> (FDS)</w:t>
      </w:r>
      <w:r>
        <w:rPr>
          <w:rFonts w:ascii="Times New Roman" w:hAnsi="Times New Roman"/>
          <w:sz w:val="24"/>
          <w:szCs w:val="24"/>
        </w:rPr>
        <w:t xml:space="preserve"> sur l’emploi et </w:t>
      </w:r>
      <w:r w:rsidR="00931FD8">
        <w:rPr>
          <w:rFonts w:ascii="Times New Roman" w:hAnsi="Times New Roman"/>
          <w:sz w:val="24"/>
          <w:szCs w:val="24"/>
        </w:rPr>
        <w:t xml:space="preserve">la </w:t>
      </w:r>
      <w:r>
        <w:rPr>
          <w:rFonts w:ascii="Times New Roman" w:hAnsi="Times New Roman"/>
          <w:sz w:val="24"/>
          <w:szCs w:val="24"/>
        </w:rPr>
        <w:t>manipulation des bouteilles de gaz SF6</w:t>
      </w:r>
      <w:r w:rsidR="00F40128">
        <w:rPr>
          <w:rFonts w:ascii="Times New Roman" w:hAnsi="Times New Roman"/>
          <w:sz w:val="24"/>
          <w:szCs w:val="24"/>
        </w:rPr>
        <w:t> ;</w:t>
      </w:r>
    </w:p>
    <w:p w14:paraId="75CA631D" w14:textId="41B41F22" w:rsidR="00B8234D" w:rsidRDefault="00B8234D"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r>
        <w:rPr>
          <w:rFonts w:ascii="Times New Roman" w:hAnsi="Times New Roman"/>
          <w:sz w:val="24"/>
          <w:szCs w:val="24"/>
        </w:rPr>
        <w:t>L’amiante et les autres produits chimiques seront stock</w:t>
      </w:r>
      <w:r w:rsidR="003D0015">
        <w:rPr>
          <w:rFonts w:ascii="Times New Roman" w:hAnsi="Times New Roman"/>
          <w:sz w:val="24"/>
          <w:szCs w:val="24"/>
        </w:rPr>
        <w:t>és</w:t>
      </w:r>
      <w:r>
        <w:rPr>
          <w:rFonts w:ascii="Times New Roman" w:hAnsi="Times New Roman"/>
          <w:sz w:val="24"/>
          <w:szCs w:val="24"/>
        </w:rPr>
        <w:t xml:space="preserve"> dans un conteneur et étiquet</w:t>
      </w:r>
      <w:r w:rsidR="003D0015">
        <w:rPr>
          <w:rFonts w:ascii="Times New Roman" w:hAnsi="Times New Roman"/>
          <w:sz w:val="24"/>
          <w:szCs w:val="24"/>
        </w:rPr>
        <w:t>és</w:t>
      </w:r>
      <w:r>
        <w:rPr>
          <w:rFonts w:ascii="Times New Roman" w:hAnsi="Times New Roman"/>
          <w:sz w:val="24"/>
          <w:szCs w:val="24"/>
        </w:rPr>
        <w:t xml:space="preserve"> à l’intérieur tout comme à l’extérieur</w:t>
      </w:r>
      <w:r w:rsidR="002222D6">
        <w:rPr>
          <w:rFonts w:ascii="Times New Roman" w:hAnsi="Times New Roman"/>
          <w:sz w:val="24"/>
          <w:szCs w:val="24"/>
        </w:rPr>
        <w:t xml:space="preserve">. L’entrepreneur prendra les dispositions nécessaires pour sensibiliser ses travailleurs sur les risques liés à l’amiante et </w:t>
      </w:r>
      <w:r w:rsidR="003D0015">
        <w:rPr>
          <w:rFonts w:ascii="Times New Roman" w:hAnsi="Times New Roman"/>
          <w:sz w:val="24"/>
          <w:szCs w:val="24"/>
        </w:rPr>
        <w:t xml:space="preserve">aux </w:t>
      </w:r>
      <w:r w:rsidR="002222D6">
        <w:rPr>
          <w:rFonts w:ascii="Times New Roman" w:hAnsi="Times New Roman"/>
          <w:sz w:val="24"/>
          <w:szCs w:val="24"/>
        </w:rPr>
        <w:t>produits chimiques sur le chantier. Des FDS  sur les mesures préventive</w:t>
      </w:r>
      <w:r w:rsidR="003D0015">
        <w:rPr>
          <w:rFonts w:ascii="Times New Roman" w:hAnsi="Times New Roman"/>
          <w:sz w:val="24"/>
          <w:szCs w:val="24"/>
        </w:rPr>
        <w:t>s</w:t>
      </w:r>
      <w:r w:rsidR="002222D6">
        <w:rPr>
          <w:rFonts w:ascii="Times New Roman" w:hAnsi="Times New Roman"/>
          <w:sz w:val="24"/>
          <w:szCs w:val="24"/>
        </w:rPr>
        <w:t xml:space="preserve"> et de protection contre l’amiante seront affichés sur le chantier, et ceci sera d’application également pour les  autres substances chimiques</w:t>
      </w:r>
      <w:r w:rsidR="00F40128">
        <w:rPr>
          <w:rFonts w:ascii="Times New Roman" w:hAnsi="Times New Roman"/>
          <w:sz w:val="24"/>
          <w:szCs w:val="24"/>
        </w:rPr>
        <w:t> ;</w:t>
      </w:r>
    </w:p>
    <w:p w14:paraId="43F618EE"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06" w:name="_Toc328897716"/>
      <w:bookmarkStart w:id="907" w:name="_Toc413397620"/>
      <w:r w:rsidRPr="00215867">
        <w:rPr>
          <w:rFonts w:ascii="Times New Roman" w:hAnsi="Times New Roman"/>
          <w:sz w:val="24"/>
          <w:szCs w:val="24"/>
        </w:rPr>
        <w:t>Aucun produit chimique n’est déversé ni rejeté dans le milieu environnant ;</w:t>
      </w:r>
      <w:bookmarkEnd w:id="906"/>
      <w:bookmarkEnd w:id="907"/>
    </w:p>
    <w:p w14:paraId="53274A63"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08" w:name="_Toc328897720"/>
      <w:bookmarkStart w:id="909" w:name="_Toc413397624"/>
      <w:r w:rsidRPr="00215867">
        <w:rPr>
          <w:rFonts w:ascii="Times New Roman" w:hAnsi="Times New Roman"/>
          <w:sz w:val="24"/>
          <w:szCs w:val="24"/>
        </w:rPr>
        <w:t>Tout déversement est nettoyé immédiatement ; les eaux de ruissellement contaminées et le sol contaminé devront aussi être collectés et traités ou éliminés selon une méthode approuvée par la CI et le MEDD ;</w:t>
      </w:r>
      <w:bookmarkEnd w:id="908"/>
      <w:bookmarkEnd w:id="909"/>
    </w:p>
    <w:p w14:paraId="255D8F55"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10" w:name="_Toc328897721"/>
      <w:bookmarkStart w:id="911" w:name="_Toc413397625"/>
      <w:r w:rsidRPr="00215867">
        <w:rPr>
          <w:rFonts w:ascii="Times New Roman" w:hAnsi="Times New Roman"/>
          <w:sz w:val="24"/>
          <w:szCs w:val="24"/>
        </w:rPr>
        <w:t>Le Plan d’urgence exige la disponibilité de l’équipement d’urgence utilisable en cas de déversement accidentel ; les ouvriers devront être formés à la mise en application du plan d’urgence au chantier ;</w:t>
      </w:r>
      <w:bookmarkEnd w:id="910"/>
      <w:bookmarkEnd w:id="911"/>
    </w:p>
    <w:p w14:paraId="115081C7"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12" w:name="_Toc328897722"/>
      <w:bookmarkStart w:id="913" w:name="_Toc413397626"/>
      <w:r w:rsidRPr="00215867">
        <w:rPr>
          <w:rFonts w:ascii="Times New Roman" w:hAnsi="Times New Roman"/>
          <w:sz w:val="24"/>
          <w:szCs w:val="24"/>
        </w:rPr>
        <w:t>Les mesures de surveillance et de contrôle sont mises en place pour le transbordement, la manipulation et l’entreposage des matières dangereuses au chantier ;</w:t>
      </w:r>
      <w:bookmarkEnd w:id="912"/>
      <w:bookmarkEnd w:id="913"/>
    </w:p>
    <w:p w14:paraId="588F7739"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14" w:name="_Toc328897723"/>
      <w:bookmarkStart w:id="915" w:name="_Toc413397627"/>
      <w:r w:rsidRPr="00215867">
        <w:rPr>
          <w:rFonts w:ascii="Times New Roman" w:hAnsi="Times New Roman"/>
          <w:sz w:val="24"/>
          <w:szCs w:val="24"/>
        </w:rPr>
        <w:t>Des systèmes de protection incendie et des moyens de confinement secondaires pour les installations d’entreposage sont fournis afin d’empêcher les incendies ou le rejet de matières dangereuses dans l’environnement ;</w:t>
      </w:r>
      <w:bookmarkEnd w:id="914"/>
      <w:bookmarkEnd w:id="915"/>
    </w:p>
    <w:p w14:paraId="12DDADEF"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16" w:name="_Toc328897724"/>
      <w:bookmarkStart w:id="917" w:name="_Toc413397628"/>
      <w:r w:rsidRPr="00215867">
        <w:rPr>
          <w:rFonts w:ascii="Times New Roman" w:hAnsi="Times New Roman"/>
          <w:sz w:val="24"/>
          <w:szCs w:val="24"/>
        </w:rPr>
        <w:t>Le personnel est dûment formé aux pratiques de manipulation, d’entreposage et de confinement des produits chimiques et des matières dangereuses, en tenant compte des postes occupés ; cette formation fera partie du processus d’admission au chantier et de formation ;</w:t>
      </w:r>
      <w:bookmarkEnd w:id="916"/>
      <w:bookmarkEnd w:id="917"/>
    </w:p>
    <w:p w14:paraId="5D6676B3"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18" w:name="_Toc328897725"/>
      <w:bookmarkStart w:id="919" w:name="_Toc413397629"/>
      <w:r w:rsidRPr="00215867">
        <w:rPr>
          <w:rFonts w:ascii="Times New Roman" w:hAnsi="Times New Roman"/>
          <w:sz w:val="24"/>
          <w:szCs w:val="24"/>
        </w:rPr>
        <w:t>Le ravitaillement en carburant des véhicules et générateurs de construction/réhabilitation devra se faire dans des aires prévues à cet effet et en dehors des sites des travaux ;</w:t>
      </w:r>
      <w:bookmarkEnd w:id="918"/>
      <w:bookmarkEnd w:id="919"/>
    </w:p>
    <w:p w14:paraId="3EE498CE"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20" w:name="_Toc328897726"/>
      <w:bookmarkStart w:id="921" w:name="_Toc413397630"/>
      <w:r w:rsidRPr="00215867">
        <w:rPr>
          <w:rFonts w:ascii="Times New Roman" w:hAnsi="Times New Roman"/>
          <w:sz w:val="24"/>
          <w:szCs w:val="24"/>
        </w:rPr>
        <w:t>Les eaux pluviales susceptibles d’être contaminées devront aussi faire l’objet d’une surveillance, pour déterminer les possibilités d’élimination ;</w:t>
      </w:r>
      <w:bookmarkEnd w:id="920"/>
      <w:bookmarkEnd w:id="921"/>
    </w:p>
    <w:p w14:paraId="62C6E044"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22" w:name="_Toc328897727"/>
      <w:bookmarkStart w:id="923" w:name="_Toc413397631"/>
      <w:r w:rsidRPr="00215867">
        <w:rPr>
          <w:rFonts w:ascii="Times New Roman" w:hAnsi="Times New Roman"/>
          <w:sz w:val="24"/>
          <w:szCs w:val="24"/>
        </w:rPr>
        <w:t xml:space="preserve">Tout déversement est rapporté immédiatement à </w:t>
      </w:r>
      <w:r w:rsidR="00B531E2" w:rsidRPr="00215867">
        <w:rPr>
          <w:rFonts w:ascii="Times New Roman" w:hAnsi="Times New Roman"/>
          <w:sz w:val="24"/>
          <w:szCs w:val="24"/>
        </w:rPr>
        <w:t>l’UCM</w:t>
      </w:r>
      <w:r w:rsidRPr="00215867">
        <w:rPr>
          <w:rFonts w:ascii="Times New Roman" w:hAnsi="Times New Roman"/>
          <w:sz w:val="24"/>
          <w:szCs w:val="24"/>
        </w:rPr>
        <w:t xml:space="preserve"> ainsi que les actions entreprises pour en minimiser les impacts ;</w:t>
      </w:r>
      <w:bookmarkEnd w:id="922"/>
      <w:bookmarkEnd w:id="923"/>
    </w:p>
    <w:p w14:paraId="02966AD9" w14:textId="77777777" w:rsidR="000705BE" w:rsidRPr="00215867" w:rsidRDefault="000705BE" w:rsidP="00215867">
      <w:pPr>
        <w:pStyle w:val="Paragraphedeliste"/>
        <w:numPr>
          <w:ilvl w:val="0"/>
          <w:numId w:val="338"/>
        </w:numPr>
        <w:spacing w:after="0" w:line="240" w:lineRule="auto"/>
        <w:ind w:left="714" w:right="11" w:hanging="357"/>
        <w:contextualSpacing w:val="0"/>
        <w:jc w:val="both"/>
        <w:rPr>
          <w:rFonts w:ascii="Times New Roman" w:hAnsi="Times New Roman"/>
          <w:sz w:val="24"/>
          <w:szCs w:val="24"/>
        </w:rPr>
      </w:pPr>
      <w:bookmarkStart w:id="924" w:name="_Toc328897728"/>
      <w:bookmarkStart w:id="925" w:name="_Toc413397632"/>
      <w:r w:rsidRPr="00215867">
        <w:rPr>
          <w:rFonts w:ascii="Times New Roman" w:hAnsi="Times New Roman"/>
          <w:sz w:val="24"/>
          <w:szCs w:val="24"/>
        </w:rPr>
        <w:t>En cas de déversement, le plan d’urgence environnemental sur les sites est déclenché.</w:t>
      </w:r>
      <w:bookmarkEnd w:id="924"/>
      <w:bookmarkEnd w:id="925"/>
    </w:p>
    <w:p w14:paraId="5F8DA7A6" w14:textId="77777777" w:rsidR="000705BE" w:rsidRPr="00D75D2E" w:rsidRDefault="000705BE" w:rsidP="000705BE">
      <w:pPr>
        <w:widowControl w:val="0"/>
        <w:spacing w:after="0" w:line="240" w:lineRule="auto"/>
        <w:jc w:val="both"/>
        <w:rPr>
          <w:rFonts w:ascii="Times New Roman" w:eastAsia="SimSun" w:hAnsi="Times New Roman"/>
          <w:sz w:val="24"/>
          <w:szCs w:val="24"/>
        </w:rPr>
      </w:pPr>
    </w:p>
    <w:p w14:paraId="58657A93" w14:textId="77777777" w:rsidR="000705BE" w:rsidRPr="00215867" w:rsidRDefault="000705BE" w:rsidP="00215867">
      <w:pPr>
        <w:pStyle w:val="Titre1"/>
        <w:numPr>
          <w:ilvl w:val="1"/>
          <w:numId w:val="54"/>
        </w:numPr>
        <w:spacing w:before="120" w:after="120" w:line="23" w:lineRule="atLeast"/>
        <w:ind w:left="709" w:hanging="567"/>
      </w:pPr>
      <w:bookmarkStart w:id="926" w:name="_Toc425004196"/>
      <w:bookmarkStart w:id="927" w:name="_Toc403988270"/>
      <w:bookmarkStart w:id="928" w:name="_Toc349032042"/>
      <w:bookmarkStart w:id="929" w:name="_Toc425004197"/>
      <w:bookmarkStart w:id="930" w:name="_Toc418783804"/>
      <w:bookmarkStart w:id="931" w:name="_Toc393561355"/>
      <w:bookmarkStart w:id="932" w:name="_Toc331867875"/>
      <w:bookmarkStart w:id="933" w:name="_Toc425004199"/>
      <w:bookmarkStart w:id="934" w:name="_Toc425004200"/>
      <w:bookmarkStart w:id="935" w:name="_Toc78602047"/>
      <w:bookmarkStart w:id="936" w:name="_Toc41310030"/>
      <w:bookmarkStart w:id="937" w:name="_Toc103685743"/>
      <w:bookmarkEnd w:id="926"/>
      <w:bookmarkEnd w:id="927"/>
      <w:bookmarkEnd w:id="928"/>
      <w:bookmarkEnd w:id="929"/>
      <w:bookmarkEnd w:id="930"/>
      <w:bookmarkEnd w:id="931"/>
      <w:bookmarkEnd w:id="932"/>
      <w:bookmarkEnd w:id="933"/>
      <w:bookmarkEnd w:id="934"/>
      <w:r w:rsidRPr="00215867">
        <w:t>Politique de sécurité de l’entreprise</w:t>
      </w:r>
      <w:bookmarkEnd w:id="935"/>
      <w:bookmarkEnd w:id="936"/>
      <w:bookmarkEnd w:id="937"/>
    </w:p>
    <w:p w14:paraId="481C4021" w14:textId="77777777" w:rsidR="000705BE" w:rsidRPr="00D75D2E" w:rsidRDefault="000705BE" w:rsidP="00E737B4">
      <w:pPr>
        <w:widowControl w:val="0"/>
        <w:tabs>
          <w:tab w:val="left" w:pos="0"/>
        </w:tabs>
        <w:spacing w:before="120" w:after="120" w:line="240" w:lineRule="auto"/>
        <w:ind w:right="133"/>
        <w:jc w:val="both"/>
        <w:rPr>
          <w:rFonts w:ascii="Times New Roman" w:hAnsi="Times New Roman"/>
          <w:sz w:val="24"/>
          <w:szCs w:val="24"/>
        </w:rPr>
      </w:pPr>
      <w:r w:rsidRPr="00D75D2E">
        <w:rPr>
          <w:rFonts w:ascii="Times New Roman" w:hAnsi="Times New Roman"/>
          <w:spacing w:val="-1"/>
          <w:sz w:val="24"/>
          <w:szCs w:val="24"/>
        </w:rPr>
        <w:t>Toutes</w:t>
      </w:r>
      <w:r w:rsidRPr="00D75D2E">
        <w:rPr>
          <w:rFonts w:ascii="Times New Roman" w:hAnsi="Times New Roman"/>
          <w:sz w:val="24"/>
          <w:szCs w:val="24"/>
        </w:rPr>
        <w:t xml:space="preserve"> les mesu</w:t>
      </w:r>
      <w:r w:rsidRPr="00D75D2E">
        <w:rPr>
          <w:rFonts w:ascii="Times New Roman" w:hAnsi="Times New Roman"/>
          <w:spacing w:val="-1"/>
          <w:sz w:val="24"/>
          <w:szCs w:val="24"/>
        </w:rPr>
        <w:t>re</w:t>
      </w:r>
      <w:r w:rsidRPr="00D75D2E">
        <w:rPr>
          <w:rFonts w:ascii="Times New Roman" w:hAnsi="Times New Roman"/>
          <w:sz w:val="24"/>
          <w:szCs w:val="24"/>
        </w:rPr>
        <w:t>s r</w:t>
      </w:r>
      <w:r w:rsidRPr="00D75D2E">
        <w:rPr>
          <w:rFonts w:ascii="Times New Roman" w:hAnsi="Times New Roman"/>
          <w:spacing w:val="1"/>
          <w:sz w:val="24"/>
          <w:szCs w:val="24"/>
        </w:rPr>
        <w:t>é</w:t>
      </w:r>
      <w:r w:rsidRPr="00D75D2E">
        <w:rPr>
          <w:rFonts w:ascii="Times New Roman" w:hAnsi="Times New Roman"/>
          <w:spacing w:val="-2"/>
          <w:sz w:val="24"/>
          <w:szCs w:val="24"/>
        </w:rPr>
        <w:t>g</w:t>
      </w:r>
      <w:r w:rsidRPr="00D75D2E">
        <w:rPr>
          <w:rFonts w:ascii="Times New Roman" w:hAnsi="Times New Roman"/>
          <w:spacing w:val="3"/>
          <w:sz w:val="24"/>
          <w:szCs w:val="24"/>
        </w:rPr>
        <w:t>l</w:t>
      </w:r>
      <w:r w:rsidRPr="00D75D2E">
        <w:rPr>
          <w:rFonts w:ascii="Times New Roman" w:hAnsi="Times New Roman"/>
          <w:spacing w:val="2"/>
          <w:sz w:val="24"/>
          <w:szCs w:val="24"/>
        </w:rPr>
        <w:t>e</w:t>
      </w:r>
      <w:r w:rsidRPr="00D75D2E">
        <w:rPr>
          <w:rFonts w:ascii="Times New Roman" w:hAnsi="Times New Roman"/>
          <w:sz w:val="24"/>
          <w:szCs w:val="24"/>
        </w:rPr>
        <w:t>ment</w:t>
      </w:r>
      <w:r w:rsidRPr="00D75D2E">
        <w:rPr>
          <w:rFonts w:ascii="Times New Roman" w:hAnsi="Times New Roman"/>
          <w:spacing w:val="-1"/>
          <w:sz w:val="24"/>
          <w:szCs w:val="24"/>
        </w:rPr>
        <w:t>a</w:t>
      </w:r>
      <w:r w:rsidRPr="00D75D2E">
        <w:rPr>
          <w:rFonts w:ascii="Times New Roman" w:hAnsi="Times New Roman"/>
          <w:sz w:val="24"/>
          <w:szCs w:val="24"/>
        </w:rPr>
        <w:t>i</w:t>
      </w:r>
      <w:r w:rsidRPr="00D75D2E">
        <w:rPr>
          <w:rFonts w:ascii="Times New Roman" w:hAnsi="Times New Roman"/>
          <w:spacing w:val="-1"/>
          <w:sz w:val="24"/>
          <w:szCs w:val="24"/>
        </w:rPr>
        <w:t>re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t tou</w:t>
      </w:r>
      <w:r w:rsidRPr="00D75D2E">
        <w:rPr>
          <w:rFonts w:ascii="Times New Roman" w:hAnsi="Times New Roman"/>
          <w:spacing w:val="-1"/>
          <w:sz w:val="24"/>
          <w:szCs w:val="24"/>
        </w:rPr>
        <w:t>t</w:t>
      </w:r>
      <w:r w:rsidRPr="00D75D2E">
        <w:rPr>
          <w:rFonts w:ascii="Times New Roman" w:hAnsi="Times New Roman"/>
          <w:sz w:val="24"/>
          <w:szCs w:val="24"/>
        </w:rPr>
        <w:t xml:space="preserve">es les </w:t>
      </w:r>
      <w:r w:rsidRPr="00D75D2E">
        <w:rPr>
          <w:rFonts w:ascii="Times New Roman" w:hAnsi="Times New Roman"/>
          <w:spacing w:val="3"/>
          <w:sz w:val="24"/>
          <w:szCs w:val="24"/>
        </w:rPr>
        <w:t>p</w:t>
      </w:r>
      <w:r w:rsidRPr="00D75D2E">
        <w:rPr>
          <w:rFonts w:ascii="Times New Roman" w:hAnsi="Times New Roman"/>
          <w:spacing w:val="2"/>
          <w:sz w:val="24"/>
          <w:szCs w:val="24"/>
        </w:rPr>
        <w:t>r</w:t>
      </w:r>
      <w:r w:rsidRPr="00D75D2E">
        <w:rPr>
          <w:rFonts w:ascii="Times New Roman" w:hAnsi="Times New Roman"/>
          <w:spacing w:val="-1"/>
          <w:sz w:val="24"/>
          <w:szCs w:val="24"/>
        </w:rPr>
        <w:t>éca</w:t>
      </w:r>
      <w:r w:rsidRPr="00D75D2E">
        <w:rPr>
          <w:rFonts w:ascii="Times New Roman" w:hAnsi="Times New Roman"/>
          <w:sz w:val="24"/>
          <w:szCs w:val="24"/>
        </w:rPr>
        <w:t>utions r</w:t>
      </w:r>
      <w:r w:rsidRPr="00D75D2E">
        <w:rPr>
          <w:rFonts w:ascii="Times New Roman" w:hAnsi="Times New Roman"/>
          <w:spacing w:val="-3"/>
          <w:sz w:val="24"/>
          <w:szCs w:val="24"/>
        </w:rPr>
        <w:t>a</w:t>
      </w:r>
      <w:r w:rsidRPr="00D75D2E">
        <w:rPr>
          <w:rFonts w:ascii="Times New Roman" w:hAnsi="Times New Roman"/>
          <w:spacing w:val="5"/>
          <w:sz w:val="24"/>
          <w:szCs w:val="24"/>
        </w:rPr>
        <w:t>i</w:t>
      </w:r>
      <w:r w:rsidRPr="00D75D2E">
        <w:rPr>
          <w:rFonts w:ascii="Times New Roman" w:hAnsi="Times New Roman"/>
          <w:sz w:val="24"/>
          <w:szCs w:val="24"/>
        </w:rPr>
        <w:t>sonn</w:t>
      </w:r>
      <w:r w:rsidRPr="00D75D2E">
        <w:rPr>
          <w:rFonts w:ascii="Times New Roman" w:hAnsi="Times New Roman"/>
          <w:spacing w:val="-1"/>
          <w:sz w:val="24"/>
          <w:szCs w:val="24"/>
        </w:rPr>
        <w:t>a</w:t>
      </w:r>
      <w:r w:rsidRPr="00D75D2E">
        <w:rPr>
          <w:rFonts w:ascii="Times New Roman" w:hAnsi="Times New Roman"/>
          <w:sz w:val="24"/>
          <w:szCs w:val="24"/>
        </w:rPr>
        <w:t>b</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z w:val="24"/>
          <w:szCs w:val="24"/>
        </w:rPr>
        <w:t>nt p</w:t>
      </w:r>
      <w:r w:rsidRPr="00D75D2E">
        <w:rPr>
          <w:rFonts w:ascii="Times New Roman" w:hAnsi="Times New Roman"/>
          <w:spacing w:val="-3"/>
          <w:sz w:val="24"/>
          <w:szCs w:val="24"/>
        </w:rPr>
        <w:t>r</w:t>
      </w:r>
      <w:r w:rsidRPr="00D75D2E">
        <w:rPr>
          <w:rFonts w:ascii="Times New Roman" w:hAnsi="Times New Roman"/>
          <w:sz w:val="24"/>
          <w:szCs w:val="24"/>
        </w:rPr>
        <w:t>at</w:t>
      </w:r>
      <w:r w:rsidRPr="00D75D2E">
        <w:rPr>
          <w:rFonts w:ascii="Times New Roman" w:hAnsi="Times New Roman"/>
          <w:spacing w:val="-1"/>
          <w:sz w:val="24"/>
          <w:szCs w:val="24"/>
        </w:rPr>
        <w:t>ic</w:t>
      </w:r>
      <w:r w:rsidRPr="00D75D2E">
        <w:rPr>
          <w:rFonts w:ascii="Times New Roman" w:hAnsi="Times New Roman"/>
          <w:sz w:val="24"/>
          <w:szCs w:val="24"/>
        </w:rPr>
        <w:t>a</w:t>
      </w:r>
      <w:r w:rsidRPr="00D75D2E">
        <w:rPr>
          <w:rFonts w:ascii="Times New Roman" w:hAnsi="Times New Roman"/>
          <w:spacing w:val="3"/>
          <w:sz w:val="24"/>
          <w:szCs w:val="24"/>
        </w:rPr>
        <w:t>b</w:t>
      </w:r>
      <w:r w:rsidRPr="00D75D2E">
        <w:rPr>
          <w:rFonts w:ascii="Times New Roman" w:hAnsi="Times New Roman"/>
          <w:spacing w:val="-1"/>
          <w:sz w:val="24"/>
          <w:szCs w:val="24"/>
        </w:rPr>
        <w:t>l</w:t>
      </w:r>
      <w:r w:rsidRPr="00D75D2E">
        <w:rPr>
          <w:rFonts w:ascii="Times New Roman" w:hAnsi="Times New Roman"/>
          <w:sz w:val="24"/>
          <w:szCs w:val="24"/>
        </w:rPr>
        <w:t xml:space="preserve">es </w:t>
      </w:r>
      <w:r w:rsidRPr="00D75D2E">
        <w:rPr>
          <w:rFonts w:ascii="Times New Roman" w:hAnsi="Times New Roman"/>
          <w:spacing w:val="1"/>
          <w:sz w:val="24"/>
          <w:szCs w:val="24"/>
        </w:rPr>
        <w:t>s</w:t>
      </w:r>
      <w:r w:rsidRPr="00D75D2E">
        <w:rPr>
          <w:rFonts w:ascii="Times New Roman" w:hAnsi="Times New Roman"/>
          <w:spacing w:val="-1"/>
          <w:sz w:val="24"/>
          <w:szCs w:val="24"/>
        </w:rPr>
        <w:t>e</w:t>
      </w:r>
      <w:r w:rsidRPr="00D75D2E">
        <w:rPr>
          <w:rFonts w:ascii="Times New Roman" w:hAnsi="Times New Roman"/>
          <w:sz w:val="24"/>
          <w:szCs w:val="24"/>
        </w:rPr>
        <w:t>ro</w:t>
      </w:r>
      <w:r w:rsidRPr="00D75D2E">
        <w:rPr>
          <w:rFonts w:ascii="Times New Roman" w:hAnsi="Times New Roman"/>
          <w:spacing w:val="1"/>
          <w:sz w:val="24"/>
          <w:szCs w:val="24"/>
        </w:rPr>
        <w:t>n</w:t>
      </w:r>
      <w:r w:rsidRPr="00D75D2E">
        <w:rPr>
          <w:rFonts w:ascii="Times New Roman" w:hAnsi="Times New Roman"/>
          <w:sz w:val="24"/>
          <w:szCs w:val="24"/>
        </w:rPr>
        <w:t>t pris</w:t>
      </w:r>
      <w:r w:rsidRPr="00D75D2E">
        <w:rPr>
          <w:rFonts w:ascii="Times New Roman" w:hAnsi="Times New Roman"/>
          <w:spacing w:val="-1"/>
          <w:sz w:val="24"/>
          <w:szCs w:val="24"/>
        </w:rPr>
        <w:t>e</w:t>
      </w:r>
      <w:r w:rsidRPr="00D75D2E">
        <w:rPr>
          <w:rFonts w:ascii="Times New Roman" w:hAnsi="Times New Roman"/>
          <w:sz w:val="24"/>
          <w:szCs w:val="24"/>
        </w:rPr>
        <w:t xml:space="preserve">s pour </w:t>
      </w:r>
      <w:r w:rsidRPr="00D75D2E">
        <w:rPr>
          <w:rFonts w:ascii="Times New Roman" w:hAnsi="Times New Roman"/>
          <w:spacing w:val="-1"/>
          <w:sz w:val="24"/>
          <w:szCs w:val="24"/>
        </w:rPr>
        <w:t>é</w:t>
      </w:r>
      <w:r w:rsidRPr="00D75D2E">
        <w:rPr>
          <w:rFonts w:ascii="Times New Roman" w:hAnsi="Times New Roman"/>
          <w:sz w:val="24"/>
          <w:szCs w:val="24"/>
        </w:rPr>
        <w:t>vit</w:t>
      </w:r>
      <w:r w:rsidRPr="00D75D2E">
        <w:rPr>
          <w:rFonts w:ascii="Times New Roman" w:hAnsi="Times New Roman"/>
          <w:spacing w:val="-1"/>
          <w:sz w:val="24"/>
          <w:szCs w:val="24"/>
        </w:rPr>
        <w:t>e</w:t>
      </w:r>
      <w:r w:rsidRPr="00D75D2E">
        <w:rPr>
          <w:rFonts w:ascii="Times New Roman" w:hAnsi="Times New Roman"/>
          <w:sz w:val="24"/>
          <w:szCs w:val="24"/>
        </w:rPr>
        <w:t xml:space="preserve">r tout </w:t>
      </w:r>
      <w:r w:rsidRPr="00D75D2E">
        <w:rPr>
          <w:rFonts w:ascii="Times New Roman" w:hAnsi="Times New Roman"/>
          <w:spacing w:val="-1"/>
          <w:sz w:val="24"/>
          <w:szCs w:val="24"/>
        </w:rPr>
        <w:t>r</w:t>
      </w:r>
      <w:r w:rsidRPr="00D75D2E">
        <w:rPr>
          <w:rFonts w:ascii="Times New Roman" w:hAnsi="Times New Roman"/>
          <w:sz w:val="24"/>
          <w:szCs w:val="24"/>
        </w:rPr>
        <w:t>i</w:t>
      </w:r>
      <w:r w:rsidRPr="00D75D2E">
        <w:rPr>
          <w:rFonts w:ascii="Times New Roman" w:hAnsi="Times New Roman"/>
          <w:spacing w:val="3"/>
          <w:sz w:val="24"/>
          <w:szCs w:val="24"/>
        </w:rPr>
        <w:t>s</w:t>
      </w:r>
      <w:r w:rsidRPr="00D75D2E">
        <w:rPr>
          <w:rFonts w:ascii="Times New Roman" w:hAnsi="Times New Roman"/>
          <w:sz w:val="24"/>
          <w:szCs w:val="24"/>
        </w:rPr>
        <w:t xml:space="preserve">que </w:t>
      </w:r>
      <w:r w:rsidRPr="00D75D2E">
        <w:rPr>
          <w:rFonts w:ascii="Times New Roman" w:hAnsi="Times New Roman"/>
          <w:spacing w:val="-1"/>
          <w:sz w:val="24"/>
          <w:szCs w:val="24"/>
        </w:rPr>
        <w:t>a</w:t>
      </w:r>
      <w:r w:rsidRPr="00D75D2E">
        <w:rPr>
          <w:rFonts w:ascii="Times New Roman" w:hAnsi="Times New Roman"/>
          <w:sz w:val="24"/>
          <w:szCs w:val="24"/>
        </w:rPr>
        <w:t xml:space="preserve">ux </w:t>
      </w:r>
      <w:r w:rsidRPr="00D75D2E">
        <w:rPr>
          <w:rFonts w:ascii="Times New Roman" w:hAnsi="Times New Roman"/>
          <w:spacing w:val="-1"/>
          <w:sz w:val="24"/>
          <w:szCs w:val="24"/>
        </w:rPr>
        <w:t>e</w:t>
      </w:r>
      <w:r w:rsidRPr="00D75D2E">
        <w:rPr>
          <w:rFonts w:ascii="Times New Roman" w:hAnsi="Times New Roman"/>
          <w:sz w:val="24"/>
          <w:szCs w:val="24"/>
        </w:rPr>
        <w:t>mpl</w:t>
      </w:r>
      <w:r w:rsidRPr="00D75D2E">
        <w:rPr>
          <w:rFonts w:ascii="Times New Roman" w:hAnsi="Times New Roman"/>
          <w:spacing w:val="7"/>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é</w:t>
      </w:r>
      <w:r w:rsidRPr="00D75D2E">
        <w:rPr>
          <w:rFonts w:ascii="Times New Roman" w:hAnsi="Times New Roman"/>
          <w:sz w:val="24"/>
          <w:szCs w:val="24"/>
        </w:rPr>
        <w:t xml:space="preserve">s ou à </w:t>
      </w:r>
      <w:r w:rsidRPr="00D75D2E">
        <w:rPr>
          <w:rFonts w:ascii="Times New Roman" w:hAnsi="Times New Roman"/>
          <w:spacing w:val="5"/>
          <w:sz w:val="24"/>
          <w:szCs w:val="24"/>
        </w:rPr>
        <w:t>t</w:t>
      </w:r>
      <w:r w:rsidRPr="00D75D2E">
        <w:rPr>
          <w:rFonts w:ascii="Times New Roman" w:hAnsi="Times New Roman"/>
          <w:sz w:val="24"/>
          <w:szCs w:val="24"/>
        </w:rPr>
        <w:t xml:space="preserve">oute </w:t>
      </w:r>
      <w:r w:rsidRPr="00D75D2E">
        <w:rPr>
          <w:rFonts w:ascii="Times New Roman" w:hAnsi="Times New Roman"/>
          <w:spacing w:val="-1"/>
          <w:sz w:val="24"/>
          <w:szCs w:val="24"/>
        </w:rPr>
        <w:t>a</w:t>
      </w:r>
      <w:r w:rsidRPr="00D75D2E">
        <w:rPr>
          <w:rFonts w:ascii="Times New Roman" w:hAnsi="Times New Roman"/>
          <w:sz w:val="24"/>
          <w:szCs w:val="24"/>
        </w:rPr>
        <w:t xml:space="preserve">utre </w:t>
      </w:r>
      <w:r w:rsidRPr="00D75D2E">
        <w:rPr>
          <w:rFonts w:ascii="Times New Roman" w:hAnsi="Times New Roman"/>
          <w:spacing w:val="3"/>
          <w:sz w:val="24"/>
          <w:szCs w:val="24"/>
        </w:rPr>
        <w:t>p</w:t>
      </w:r>
      <w:r w:rsidRPr="00D75D2E">
        <w:rPr>
          <w:rFonts w:ascii="Times New Roman" w:hAnsi="Times New Roman"/>
          <w:spacing w:val="-1"/>
          <w:sz w:val="24"/>
          <w:szCs w:val="24"/>
        </w:rPr>
        <w:t>er</w:t>
      </w:r>
      <w:r w:rsidRPr="00D75D2E">
        <w:rPr>
          <w:rFonts w:ascii="Times New Roman" w:hAnsi="Times New Roman"/>
          <w:spacing w:val="5"/>
          <w:sz w:val="24"/>
          <w:szCs w:val="24"/>
        </w:rPr>
        <w:t>s</w:t>
      </w:r>
      <w:r w:rsidRPr="00D75D2E">
        <w:rPr>
          <w:rFonts w:ascii="Times New Roman" w:hAnsi="Times New Roman"/>
          <w:sz w:val="24"/>
          <w:szCs w:val="24"/>
        </w:rPr>
        <w:t>on</w:t>
      </w:r>
      <w:r w:rsidRPr="00D75D2E">
        <w:rPr>
          <w:rFonts w:ascii="Times New Roman" w:hAnsi="Times New Roman"/>
          <w:spacing w:val="2"/>
          <w:sz w:val="24"/>
          <w:szCs w:val="24"/>
        </w:rPr>
        <w:t>n</w:t>
      </w:r>
      <w:r w:rsidRPr="00D75D2E">
        <w:rPr>
          <w:rFonts w:ascii="Times New Roman" w:hAnsi="Times New Roman"/>
          <w:sz w:val="24"/>
          <w:szCs w:val="24"/>
        </w:rPr>
        <w:t xml:space="preserve">e qui </w:t>
      </w:r>
      <w:r w:rsidRPr="00D75D2E">
        <w:rPr>
          <w:rFonts w:ascii="Times New Roman" w:hAnsi="Times New Roman"/>
          <w:spacing w:val="2"/>
          <w:sz w:val="24"/>
          <w:szCs w:val="24"/>
        </w:rPr>
        <w:t>p</w:t>
      </w:r>
      <w:r w:rsidRPr="00D75D2E">
        <w:rPr>
          <w:rFonts w:ascii="Times New Roman" w:hAnsi="Times New Roman"/>
          <w:sz w:val="24"/>
          <w:szCs w:val="24"/>
        </w:rPr>
        <w:t>our</w:t>
      </w:r>
      <w:r w:rsidRPr="00D75D2E">
        <w:rPr>
          <w:rFonts w:ascii="Times New Roman" w:hAnsi="Times New Roman"/>
          <w:spacing w:val="-1"/>
          <w:sz w:val="24"/>
          <w:szCs w:val="24"/>
        </w:rPr>
        <w:t>ra</w:t>
      </w:r>
      <w:r w:rsidRPr="00D75D2E">
        <w:rPr>
          <w:rFonts w:ascii="Times New Roman" w:hAnsi="Times New Roman"/>
          <w:sz w:val="24"/>
          <w:szCs w:val="24"/>
        </w:rPr>
        <w:t xml:space="preserve">it </w:t>
      </w:r>
      <w:r w:rsidRPr="00D75D2E">
        <w:rPr>
          <w:rFonts w:ascii="Times New Roman" w:hAnsi="Times New Roman"/>
          <w:spacing w:val="-1"/>
          <w:sz w:val="24"/>
          <w:szCs w:val="24"/>
        </w:rPr>
        <w:t>ê</w:t>
      </w:r>
      <w:r w:rsidRPr="00D75D2E">
        <w:rPr>
          <w:rFonts w:ascii="Times New Roman" w:hAnsi="Times New Roman"/>
          <w:sz w:val="24"/>
          <w:szCs w:val="24"/>
        </w:rPr>
        <w:t xml:space="preserve">tre </w:t>
      </w:r>
      <w:r w:rsidRPr="00D75D2E">
        <w:rPr>
          <w:rFonts w:ascii="Times New Roman" w:hAnsi="Times New Roman"/>
          <w:spacing w:val="-1"/>
          <w:sz w:val="24"/>
          <w:szCs w:val="24"/>
        </w:rPr>
        <w:t>a</w:t>
      </w:r>
      <w:r w:rsidRPr="00D75D2E">
        <w:rPr>
          <w:rFonts w:ascii="Times New Roman" w:hAnsi="Times New Roman"/>
          <w:sz w:val="24"/>
          <w:szCs w:val="24"/>
        </w:rPr>
        <w:t>tt</w:t>
      </w:r>
      <w:r w:rsidRPr="00D75D2E">
        <w:rPr>
          <w:rFonts w:ascii="Times New Roman" w:hAnsi="Times New Roman"/>
          <w:spacing w:val="-1"/>
          <w:sz w:val="24"/>
          <w:szCs w:val="24"/>
        </w:rPr>
        <w:t>e</w:t>
      </w:r>
      <w:r w:rsidRPr="00D75D2E">
        <w:rPr>
          <w:rFonts w:ascii="Times New Roman" w:hAnsi="Times New Roman"/>
          <w:sz w:val="24"/>
          <w:szCs w:val="24"/>
        </w:rPr>
        <w:t>int</w:t>
      </w:r>
      <w:r w:rsidRPr="00D75D2E">
        <w:rPr>
          <w:rFonts w:ascii="Times New Roman" w:hAnsi="Times New Roman"/>
          <w:spacing w:val="-1"/>
          <w:sz w:val="24"/>
          <w:szCs w:val="24"/>
        </w:rPr>
        <w:t xml:space="preserve">e. </w:t>
      </w:r>
      <w:r w:rsidRPr="00D75D2E">
        <w:rPr>
          <w:rFonts w:ascii="Times New Roman" w:hAnsi="Times New Roman"/>
          <w:sz w:val="24"/>
          <w:szCs w:val="24"/>
        </w:rPr>
        <w:t>M</w:t>
      </w:r>
      <w:r w:rsidRPr="00D75D2E">
        <w:rPr>
          <w:rFonts w:ascii="Times New Roman" w:hAnsi="Times New Roman"/>
          <w:spacing w:val="-1"/>
          <w:sz w:val="24"/>
          <w:szCs w:val="24"/>
        </w:rPr>
        <w:t>a</w:t>
      </w:r>
      <w:r w:rsidRPr="00D75D2E">
        <w:rPr>
          <w:rFonts w:ascii="Times New Roman" w:hAnsi="Times New Roman"/>
          <w:sz w:val="24"/>
          <w:szCs w:val="24"/>
        </w:rPr>
        <w:t xml:space="preserve">is, tout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b</w:t>
      </w:r>
      <w:r w:rsidRPr="00D75D2E">
        <w:rPr>
          <w:rFonts w:ascii="Times New Roman" w:hAnsi="Times New Roman"/>
          <w:spacing w:val="2"/>
          <w:sz w:val="24"/>
          <w:szCs w:val="24"/>
        </w:rPr>
        <w:t>o</w:t>
      </w:r>
      <w:r w:rsidRPr="00D75D2E">
        <w:rPr>
          <w:rFonts w:ascii="Times New Roman" w:hAnsi="Times New Roman"/>
          <w:sz w:val="24"/>
          <w:szCs w:val="24"/>
        </w:rPr>
        <w:t xml:space="preserve">rd il </w:t>
      </w:r>
      <w:r w:rsidRPr="00D75D2E">
        <w:rPr>
          <w:rFonts w:ascii="Times New Roman" w:hAnsi="Times New Roman"/>
          <w:spacing w:val="-1"/>
          <w:sz w:val="24"/>
          <w:szCs w:val="24"/>
        </w:rPr>
        <w:t>e</w:t>
      </w:r>
      <w:r w:rsidRPr="00D75D2E">
        <w:rPr>
          <w:rFonts w:ascii="Times New Roman" w:hAnsi="Times New Roman"/>
          <w:sz w:val="24"/>
          <w:szCs w:val="24"/>
        </w:rPr>
        <w:t xml:space="preserve">st </w:t>
      </w:r>
      <w:r w:rsidRPr="00D75D2E">
        <w:rPr>
          <w:rFonts w:ascii="Times New Roman" w:hAnsi="Times New Roman"/>
          <w:spacing w:val="2"/>
          <w:sz w:val="24"/>
          <w:szCs w:val="24"/>
        </w:rPr>
        <w:t>e</w:t>
      </w:r>
      <w:r w:rsidRPr="00D75D2E">
        <w:rPr>
          <w:rFonts w:ascii="Times New Roman" w:hAnsi="Times New Roman"/>
          <w:sz w:val="24"/>
          <w:szCs w:val="24"/>
        </w:rPr>
        <w:t xml:space="preserve">ssentiel de </w:t>
      </w:r>
      <w:r w:rsidRPr="00D75D2E">
        <w:rPr>
          <w:rFonts w:ascii="Times New Roman" w:hAnsi="Times New Roman"/>
          <w:spacing w:val="2"/>
          <w:sz w:val="24"/>
          <w:szCs w:val="24"/>
        </w:rPr>
        <w:t>r</w:t>
      </w:r>
      <w:r w:rsidRPr="00D75D2E">
        <w:rPr>
          <w:rFonts w:ascii="Times New Roman" w:hAnsi="Times New Roman"/>
          <w:spacing w:val="-3"/>
          <w:sz w:val="24"/>
          <w:szCs w:val="24"/>
        </w:rPr>
        <w:t>a</w:t>
      </w:r>
      <w:r w:rsidRPr="00D75D2E">
        <w:rPr>
          <w:rFonts w:ascii="Times New Roman" w:hAnsi="Times New Roman"/>
          <w:sz w:val="24"/>
          <w:szCs w:val="24"/>
        </w:rPr>
        <w:t>p</w:t>
      </w:r>
      <w:r w:rsidRPr="00D75D2E">
        <w:rPr>
          <w:rFonts w:ascii="Times New Roman" w:hAnsi="Times New Roman"/>
          <w:spacing w:val="2"/>
          <w:sz w:val="24"/>
          <w:szCs w:val="24"/>
        </w:rPr>
        <w:t>p</w:t>
      </w:r>
      <w:r w:rsidRPr="00D75D2E">
        <w:rPr>
          <w:rFonts w:ascii="Times New Roman" w:hAnsi="Times New Roman"/>
          <w:spacing w:val="-1"/>
          <w:sz w:val="24"/>
          <w:szCs w:val="24"/>
        </w:rPr>
        <w:t>e</w:t>
      </w:r>
      <w:r w:rsidRPr="00D75D2E">
        <w:rPr>
          <w:rFonts w:ascii="Times New Roman" w:hAnsi="Times New Roman"/>
          <w:sz w:val="24"/>
          <w:szCs w:val="24"/>
        </w:rPr>
        <w:t>ler q</w:t>
      </w:r>
      <w:r w:rsidRPr="00D75D2E">
        <w:rPr>
          <w:rFonts w:ascii="Times New Roman" w:hAnsi="Times New Roman"/>
          <w:spacing w:val="2"/>
          <w:sz w:val="24"/>
          <w:szCs w:val="24"/>
        </w:rPr>
        <w:t>u</w:t>
      </w:r>
      <w:r w:rsidRPr="00D75D2E">
        <w:rPr>
          <w:rFonts w:ascii="Times New Roman" w:hAnsi="Times New Roman"/>
          <w:sz w:val="24"/>
          <w:szCs w:val="24"/>
        </w:rPr>
        <w:t xml:space="preserve">e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que s</w:t>
      </w:r>
      <w:r w:rsidRPr="00D75D2E">
        <w:rPr>
          <w:rFonts w:ascii="Times New Roman" w:hAnsi="Times New Roman"/>
          <w:spacing w:val="-1"/>
          <w:sz w:val="24"/>
          <w:szCs w:val="24"/>
        </w:rPr>
        <w:t>a</w:t>
      </w:r>
      <w:r w:rsidRPr="00D75D2E">
        <w:rPr>
          <w:rFonts w:ascii="Times New Roman" w:hAnsi="Times New Roman"/>
          <w:sz w:val="24"/>
          <w:szCs w:val="24"/>
        </w:rPr>
        <w:t>l</w:t>
      </w:r>
      <w:r w:rsidRPr="00D75D2E">
        <w:rPr>
          <w:rFonts w:ascii="Times New Roman" w:hAnsi="Times New Roman"/>
          <w:spacing w:val="1"/>
          <w:sz w:val="24"/>
          <w:szCs w:val="24"/>
        </w:rPr>
        <w:t>a</w:t>
      </w:r>
      <w:r w:rsidRPr="00D75D2E">
        <w:rPr>
          <w:rFonts w:ascii="Times New Roman" w:hAnsi="Times New Roman"/>
          <w:sz w:val="24"/>
          <w:szCs w:val="24"/>
        </w:rPr>
        <w:t xml:space="preserve">rié </w:t>
      </w:r>
      <w:r w:rsidRPr="00D75D2E">
        <w:rPr>
          <w:rFonts w:ascii="Times New Roman" w:hAnsi="Times New Roman"/>
          <w:spacing w:val="-1"/>
          <w:sz w:val="24"/>
          <w:szCs w:val="24"/>
        </w:rPr>
        <w:t>e</w:t>
      </w:r>
      <w:r w:rsidRPr="00D75D2E">
        <w:rPr>
          <w:rFonts w:ascii="Times New Roman" w:hAnsi="Times New Roman"/>
          <w:sz w:val="24"/>
          <w:szCs w:val="24"/>
        </w:rPr>
        <w:t xml:space="preserve">st </w:t>
      </w:r>
      <w:r w:rsidRPr="00D75D2E">
        <w:rPr>
          <w:rFonts w:ascii="Times New Roman" w:hAnsi="Times New Roman"/>
          <w:spacing w:val="-1"/>
          <w:sz w:val="24"/>
          <w:szCs w:val="24"/>
        </w:rPr>
        <w:t>ac</w:t>
      </w:r>
      <w:r w:rsidRPr="00D75D2E">
        <w:rPr>
          <w:rFonts w:ascii="Times New Roman" w:hAnsi="Times New Roman"/>
          <w:sz w:val="24"/>
          <w:szCs w:val="24"/>
        </w:rPr>
        <w:t>te</w:t>
      </w:r>
      <w:r w:rsidRPr="00D75D2E">
        <w:rPr>
          <w:rFonts w:ascii="Times New Roman" w:hAnsi="Times New Roman"/>
          <w:spacing w:val="2"/>
          <w:sz w:val="24"/>
          <w:szCs w:val="24"/>
        </w:rPr>
        <w:t>u</w:t>
      </w:r>
      <w:r w:rsidRPr="00D75D2E">
        <w:rPr>
          <w:rFonts w:ascii="Times New Roman" w:hAnsi="Times New Roman"/>
          <w:sz w:val="24"/>
          <w:szCs w:val="24"/>
        </w:rPr>
        <w:t xml:space="preserve">r </w:t>
      </w:r>
      <w:r w:rsidRPr="00D75D2E">
        <w:rPr>
          <w:rFonts w:ascii="Times New Roman" w:hAnsi="Times New Roman"/>
          <w:spacing w:val="7"/>
          <w:sz w:val="24"/>
          <w:szCs w:val="24"/>
        </w:rPr>
        <w:t>d</w:t>
      </w:r>
      <w:r w:rsidRPr="00D75D2E">
        <w:rPr>
          <w:rFonts w:ascii="Times New Roman" w:hAnsi="Times New Roman"/>
          <w:sz w:val="24"/>
          <w:szCs w:val="24"/>
        </w:rPr>
        <w:t>e sa pro</w:t>
      </w:r>
      <w:r w:rsidRPr="00D75D2E">
        <w:rPr>
          <w:rFonts w:ascii="Times New Roman" w:hAnsi="Times New Roman"/>
          <w:spacing w:val="2"/>
          <w:sz w:val="24"/>
          <w:szCs w:val="24"/>
        </w:rPr>
        <w:t>p</w:t>
      </w:r>
      <w:r w:rsidRPr="00D75D2E">
        <w:rPr>
          <w:rFonts w:ascii="Times New Roman" w:hAnsi="Times New Roman"/>
          <w:spacing w:val="-1"/>
          <w:sz w:val="24"/>
          <w:szCs w:val="24"/>
        </w:rPr>
        <w:t>r</w:t>
      </w:r>
      <w:r w:rsidRPr="00D75D2E">
        <w:rPr>
          <w:rFonts w:ascii="Times New Roman" w:hAnsi="Times New Roman"/>
          <w:sz w:val="24"/>
          <w:szCs w:val="24"/>
        </w:rPr>
        <w:t>e s</w:t>
      </w:r>
      <w:r w:rsidRPr="00D75D2E">
        <w:rPr>
          <w:rFonts w:ascii="Times New Roman" w:hAnsi="Times New Roman"/>
          <w:spacing w:val="-1"/>
          <w:sz w:val="24"/>
          <w:szCs w:val="24"/>
        </w:rPr>
        <w:t>éc</w:t>
      </w:r>
      <w:r w:rsidRPr="00D75D2E">
        <w:rPr>
          <w:rFonts w:ascii="Times New Roman" w:hAnsi="Times New Roman"/>
          <w:spacing w:val="2"/>
          <w:sz w:val="24"/>
          <w:szCs w:val="24"/>
        </w:rPr>
        <w:t>u</w:t>
      </w:r>
      <w:r w:rsidRPr="00D75D2E">
        <w:rPr>
          <w:rFonts w:ascii="Times New Roman" w:hAnsi="Times New Roman"/>
          <w:sz w:val="24"/>
          <w:szCs w:val="24"/>
        </w:rPr>
        <w:t>rit</w:t>
      </w:r>
      <w:r w:rsidRPr="00D75D2E">
        <w:rPr>
          <w:rFonts w:ascii="Times New Roman" w:hAnsi="Times New Roman"/>
          <w:spacing w:val="1"/>
          <w:sz w:val="24"/>
          <w:szCs w:val="24"/>
        </w:rPr>
        <w:t>é</w:t>
      </w:r>
      <w:r w:rsidRPr="00D75D2E">
        <w:rPr>
          <w:rFonts w:ascii="Times New Roman" w:hAnsi="Times New Roman"/>
          <w:sz w:val="24"/>
          <w:szCs w:val="24"/>
        </w:rPr>
        <w:t xml:space="preserve">, de </w:t>
      </w:r>
      <w:r w:rsidRPr="00D75D2E">
        <w:rPr>
          <w:rFonts w:ascii="Times New Roman" w:hAnsi="Times New Roman"/>
          <w:spacing w:val="-1"/>
          <w:sz w:val="24"/>
          <w:szCs w:val="24"/>
        </w:rPr>
        <w:t>ce</w:t>
      </w:r>
      <w:r w:rsidRPr="00D75D2E">
        <w:rPr>
          <w:rFonts w:ascii="Times New Roman" w:hAnsi="Times New Roman"/>
          <w:sz w:val="24"/>
          <w:szCs w:val="24"/>
        </w:rPr>
        <w:t xml:space="preserve">lle </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utr</w:t>
      </w:r>
      <w:r w:rsidRPr="00D75D2E">
        <w:rPr>
          <w:rFonts w:ascii="Times New Roman" w:hAnsi="Times New Roman"/>
          <w:spacing w:val="-1"/>
          <w:sz w:val="24"/>
          <w:szCs w:val="24"/>
        </w:rPr>
        <w:t>e</w:t>
      </w:r>
      <w:r w:rsidRPr="00D75D2E">
        <w:rPr>
          <w:rFonts w:ascii="Times New Roman" w:hAnsi="Times New Roman"/>
          <w:sz w:val="24"/>
          <w:szCs w:val="24"/>
        </w:rPr>
        <w:t>s,</w:t>
      </w:r>
      <w:r w:rsidRPr="00D75D2E">
        <w:rPr>
          <w:rFonts w:ascii="Times New Roman" w:hAnsi="Times New Roman"/>
          <w:spacing w:val="-1"/>
          <w:sz w:val="24"/>
          <w:szCs w:val="24"/>
        </w:rPr>
        <w:t xml:space="preserve"> </w:t>
      </w:r>
      <w:r w:rsidRPr="00D75D2E">
        <w:rPr>
          <w:rFonts w:ascii="Times New Roman" w:hAnsi="Times New Roman"/>
          <w:sz w:val="24"/>
          <w:szCs w:val="24"/>
        </w:rPr>
        <w:t>ai</w:t>
      </w:r>
      <w:r w:rsidRPr="00D75D2E">
        <w:rPr>
          <w:rFonts w:ascii="Times New Roman" w:hAnsi="Times New Roman"/>
          <w:spacing w:val="1"/>
          <w:sz w:val="24"/>
          <w:szCs w:val="24"/>
        </w:rPr>
        <w:t>n</w:t>
      </w:r>
      <w:r w:rsidRPr="00D75D2E">
        <w:rPr>
          <w:rFonts w:ascii="Times New Roman" w:hAnsi="Times New Roman"/>
          <w:sz w:val="24"/>
          <w:szCs w:val="24"/>
        </w:rPr>
        <w:t xml:space="preserve">si que de la </w:t>
      </w:r>
      <w:r w:rsidRPr="00D75D2E">
        <w:rPr>
          <w:rFonts w:ascii="Times New Roman" w:hAnsi="Times New Roman"/>
          <w:spacing w:val="2"/>
          <w:sz w:val="24"/>
          <w:szCs w:val="24"/>
        </w:rPr>
        <w:t>p</w:t>
      </w:r>
      <w:r w:rsidRPr="00D75D2E">
        <w:rPr>
          <w:rFonts w:ascii="Times New Roman" w:hAnsi="Times New Roman"/>
          <w:spacing w:val="-1"/>
          <w:sz w:val="24"/>
          <w:szCs w:val="24"/>
        </w:rPr>
        <w:t>ré</w:t>
      </w:r>
      <w:r w:rsidRPr="00D75D2E">
        <w:rPr>
          <w:rFonts w:ascii="Times New Roman" w:hAnsi="Times New Roman"/>
          <w:sz w:val="24"/>
          <w:szCs w:val="24"/>
        </w:rPr>
        <w:t>s</w:t>
      </w:r>
      <w:r w:rsidRPr="00D75D2E">
        <w:rPr>
          <w:rFonts w:ascii="Times New Roman" w:hAnsi="Times New Roman"/>
          <w:spacing w:val="-1"/>
          <w:sz w:val="24"/>
          <w:szCs w:val="24"/>
        </w:rPr>
        <w:t>e</w:t>
      </w:r>
      <w:r w:rsidRPr="00D75D2E">
        <w:rPr>
          <w:rFonts w:ascii="Times New Roman" w:hAnsi="Times New Roman"/>
          <w:spacing w:val="2"/>
          <w:sz w:val="24"/>
          <w:szCs w:val="24"/>
        </w:rPr>
        <w:t>r</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tion d</w:t>
      </w:r>
      <w:r w:rsidRPr="00D75D2E">
        <w:rPr>
          <w:rFonts w:ascii="Times New Roman" w:hAnsi="Times New Roman"/>
          <w:spacing w:val="-1"/>
          <w:sz w:val="24"/>
          <w:szCs w:val="24"/>
        </w:rPr>
        <w:t>e</w:t>
      </w:r>
      <w:r w:rsidRPr="00D75D2E">
        <w:rPr>
          <w:rFonts w:ascii="Times New Roman" w:hAnsi="Times New Roman"/>
          <w:sz w:val="24"/>
          <w:szCs w:val="24"/>
        </w:rPr>
        <w:t>s in</w:t>
      </w:r>
      <w:r w:rsidRPr="00D75D2E">
        <w:rPr>
          <w:rFonts w:ascii="Times New Roman" w:hAnsi="Times New Roman"/>
          <w:spacing w:val="1"/>
          <w:sz w:val="24"/>
          <w:szCs w:val="24"/>
        </w:rPr>
        <w:t>s</w:t>
      </w:r>
      <w:r w:rsidRPr="00D75D2E">
        <w:rPr>
          <w:rFonts w:ascii="Times New Roman" w:hAnsi="Times New Roman"/>
          <w:sz w:val="24"/>
          <w:szCs w:val="24"/>
        </w:rPr>
        <w:t>t</w:t>
      </w:r>
      <w:r w:rsidRPr="00D75D2E">
        <w:rPr>
          <w:rFonts w:ascii="Times New Roman" w:hAnsi="Times New Roman"/>
          <w:spacing w:val="-1"/>
          <w:sz w:val="24"/>
          <w:szCs w:val="24"/>
        </w:rPr>
        <w:t>a</w:t>
      </w:r>
      <w:r w:rsidRPr="00D75D2E">
        <w:rPr>
          <w:rFonts w:ascii="Times New Roman" w:hAnsi="Times New Roman"/>
          <w:sz w:val="24"/>
          <w:szCs w:val="24"/>
        </w:rPr>
        <w:t>ll</w:t>
      </w:r>
      <w:r w:rsidRPr="00D75D2E">
        <w:rPr>
          <w:rFonts w:ascii="Times New Roman" w:hAnsi="Times New Roman"/>
          <w:spacing w:val="-1"/>
          <w:sz w:val="24"/>
          <w:szCs w:val="24"/>
        </w:rPr>
        <w:t>a</w:t>
      </w:r>
      <w:r w:rsidRPr="00D75D2E">
        <w:rPr>
          <w:rFonts w:ascii="Times New Roman" w:hAnsi="Times New Roman"/>
          <w:sz w:val="24"/>
          <w:szCs w:val="24"/>
        </w:rPr>
        <w:t>tions.</w:t>
      </w:r>
    </w:p>
    <w:p w14:paraId="7ED50CF3" w14:textId="77777777" w:rsidR="000705BE" w:rsidRPr="00D75D2E" w:rsidRDefault="000705BE" w:rsidP="00E737B4">
      <w:pPr>
        <w:widowControl w:val="0"/>
        <w:tabs>
          <w:tab w:val="left" w:pos="0"/>
        </w:tabs>
        <w:spacing w:before="120" w:after="120" w:line="240" w:lineRule="auto"/>
        <w:ind w:right="133"/>
        <w:jc w:val="both"/>
        <w:rPr>
          <w:rFonts w:ascii="Times New Roman" w:hAnsi="Times New Roman"/>
          <w:sz w:val="24"/>
          <w:szCs w:val="24"/>
        </w:rPr>
      </w:pP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 xml:space="preserve">sponsabilité </w:t>
      </w:r>
      <w:r w:rsidRPr="00D75D2E">
        <w:rPr>
          <w:rFonts w:ascii="Times New Roman" w:hAnsi="Times New Roman"/>
          <w:spacing w:val="-1"/>
          <w:sz w:val="24"/>
          <w:szCs w:val="24"/>
        </w:rPr>
        <w:t>e</w:t>
      </w:r>
      <w:r w:rsidRPr="00D75D2E">
        <w:rPr>
          <w:rFonts w:ascii="Times New Roman" w:hAnsi="Times New Roman"/>
          <w:sz w:val="24"/>
          <w:szCs w:val="24"/>
        </w:rPr>
        <w:t>n mati</w:t>
      </w:r>
      <w:r w:rsidRPr="00D75D2E">
        <w:rPr>
          <w:rFonts w:ascii="Times New Roman" w:hAnsi="Times New Roman"/>
          <w:spacing w:val="1"/>
          <w:sz w:val="24"/>
          <w:szCs w:val="24"/>
        </w:rPr>
        <w:t>è</w:t>
      </w:r>
      <w:r w:rsidRPr="00D75D2E">
        <w:rPr>
          <w:rFonts w:ascii="Times New Roman" w:hAnsi="Times New Roman"/>
          <w:spacing w:val="-1"/>
          <w:sz w:val="24"/>
          <w:szCs w:val="24"/>
        </w:rPr>
        <w:t>r</w:t>
      </w:r>
      <w:r w:rsidRPr="00D75D2E">
        <w:rPr>
          <w:rFonts w:ascii="Times New Roman" w:hAnsi="Times New Roman"/>
          <w:sz w:val="24"/>
          <w:szCs w:val="24"/>
        </w:rPr>
        <w:t>e de s</w:t>
      </w:r>
      <w:r w:rsidRPr="00D75D2E">
        <w:rPr>
          <w:rFonts w:ascii="Times New Roman" w:hAnsi="Times New Roman"/>
          <w:spacing w:val="-1"/>
          <w:sz w:val="24"/>
          <w:szCs w:val="24"/>
        </w:rPr>
        <w:t>éc</w:t>
      </w:r>
      <w:r w:rsidRPr="00D75D2E">
        <w:rPr>
          <w:rFonts w:ascii="Times New Roman" w:hAnsi="Times New Roman"/>
          <w:spacing w:val="2"/>
          <w:sz w:val="24"/>
          <w:szCs w:val="24"/>
        </w:rPr>
        <w:t>u</w:t>
      </w:r>
      <w:r w:rsidRPr="00D75D2E">
        <w:rPr>
          <w:rFonts w:ascii="Times New Roman" w:hAnsi="Times New Roman"/>
          <w:sz w:val="24"/>
          <w:szCs w:val="24"/>
        </w:rPr>
        <w:t xml:space="preserve">rité doit </w:t>
      </w:r>
      <w:r w:rsidRPr="00D75D2E">
        <w:rPr>
          <w:rFonts w:ascii="Times New Roman" w:hAnsi="Times New Roman"/>
          <w:spacing w:val="-1"/>
          <w:sz w:val="24"/>
          <w:szCs w:val="24"/>
        </w:rPr>
        <w:t>ê</w:t>
      </w:r>
      <w:r w:rsidRPr="00D75D2E">
        <w:rPr>
          <w:rFonts w:ascii="Times New Roman" w:hAnsi="Times New Roman"/>
          <w:sz w:val="24"/>
          <w:szCs w:val="24"/>
        </w:rPr>
        <w:t>tre p</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inem</w:t>
      </w:r>
      <w:r w:rsidRPr="00D75D2E">
        <w:rPr>
          <w:rFonts w:ascii="Times New Roman" w:hAnsi="Times New Roman"/>
          <w:spacing w:val="-1"/>
          <w:sz w:val="24"/>
          <w:szCs w:val="24"/>
        </w:rPr>
        <w:t>e</w:t>
      </w:r>
      <w:r w:rsidRPr="00D75D2E">
        <w:rPr>
          <w:rFonts w:ascii="Times New Roman" w:hAnsi="Times New Roman"/>
          <w:sz w:val="24"/>
          <w:szCs w:val="24"/>
        </w:rPr>
        <w:t xml:space="preserve">nt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pacing w:val="-1"/>
          <w:sz w:val="24"/>
          <w:szCs w:val="24"/>
        </w:rPr>
        <w:t>c</w:t>
      </w:r>
      <w:r w:rsidRPr="00D75D2E">
        <w:rPr>
          <w:rFonts w:ascii="Times New Roman" w:hAnsi="Times New Roman"/>
          <w:sz w:val="24"/>
          <w:szCs w:val="24"/>
        </w:rPr>
        <w:t>onn</w:t>
      </w:r>
      <w:r w:rsidRPr="00D75D2E">
        <w:rPr>
          <w:rFonts w:ascii="Times New Roman" w:hAnsi="Times New Roman"/>
          <w:spacing w:val="2"/>
          <w:sz w:val="24"/>
          <w:szCs w:val="24"/>
        </w:rPr>
        <w:t>u</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pacing w:val="-1"/>
          <w:sz w:val="24"/>
          <w:szCs w:val="24"/>
        </w:rPr>
        <w:t>r</w:t>
      </w:r>
      <w:r w:rsidRPr="00D75D2E">
        <w:rPr>
          <w:rFonts w:ascii="Times New Roman" w:hAnsi="Times New Roman"/>
          <w:spacing w:val="2"/>
          <w:sz w:val="24"/>
          <w:szCs w:val="24"/>
        </w:rPr>
        <w:t>f</w:t>
      </w:r>
      <w:r w:rsidRPr="00D75D2E">
        <w:rPr>
          <w:rFonts w:ascii="Times New Roman" w:hAnsi="Times New Roman"/>
          <w:spacing w:val="-3"/>
          <w:sz w:val="24"/>
          <w:szCs w:val="24"/>
        </w:rPr>
        <w:t>a</w:t>
      </w:r>
      <w:r w:rsidRPr="00D75D2E">
        <w:rPr>
          <w:rFonts w:ascii="Times New Roman" w:hAnsi="Times New Roman"/>
          <w:sz w:val="24"/>
          <w:szCs w:val="24"/>
        </w:rPr>
        <w:t>i</w:t>
      </w:r>
      <w:r w:rsidRPr="00D75D2E">
        <w:rPr>
          <w:rFonts w:ascii="Times New Roman" w:hAnsi="Times New Roman"/>
          <w:spacing w:val="1"/>
          <w:sz w:val="24"/>
          <w:szCs w:val="24"/>
        </w:rPr>
        <w:t>t</w:t>
      </w:r>
      <w:r w:rsidRPr="00D75D2E">
        <w:rPr>
          <w:rFonts w:ascii="Times New Roman" w:hAnsi="Times New Roman"/>
          <w:spacing w:val="-1"/>
          <w:sz w:val="24"/>
          <w:szCs w:val="24"/>
        </w:rPr>
        <w:t>e</w:t>
      </w:r>
      <w:r w:rsidRPr="00D75D2E">
        <w:rPr>
          <w:rFonts w:ascii="Times New Roman" w:hAnsi="Times New Roman"/>
          <w:sz w:val="24"/>
          <w:szCs w:val="24"/>
        </w:rPr>
        <w:t>ment d</w:t>
      </w:r>
      <w:r w:rsidRPr="00D75D2E">
        <w:rPr>
          <w:rFonts w:ascii="Times New Roman" w:hAnsi="Times New Roman"/>
          <w:spacing w:val="-1"/>
          <w:sz w:val="24"/>
          <w:szCs w:val="24"/>
        </w:rPr>
        <w:t>é</w:t>
      </w:r>
      <w:r w:rsidRPr="00D75D2E">
        <w:rPr>
          <w:rFonts w:ascii="Times New Roman" w:hAnsi="Times New Roman"/>
          <w:sz w:val="24"/>
          <w:szCs w:val="24"/>
        </w:rPr>
        <w:t>finie à tous les nive</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xml:space="preserve">. En </w:t>
      </w:r>
      <w:r w:rsidRPr="00D75D2E">
        <w:rPr>
          <w:rFonts w:ascii="Times New Roman" w:hAnsi="Times New Roman"/>
          <w:spacing w:val="1"/>
          <w:sz w:val="24"/>
          <w:szCs w:val="24"/>
        </w:rPr>
        <w:t>e</w:t>
      </w:r>
      <w:r w:rsidRPr="00D75D2E">
        <w:rPr>
          <w:rFonts w:ascii="Times New Roman" w:hAnsi="Times New Roman"/>
          <w:spacing w:val="-1"/>
          <w:sz w:val="24"/>
          <w:szCs w:val="24"/>
        </w:rPr>
        <w:t>f</w:t>
      </w:r>
      <w:r w:rsidRPr="00D75D2E">
        <w:rPr>
          <w:rFonts w:ascii="Times New Roman" w:hAnsi="Times New Roman"/>
          <w:spacing w:val="2"/>
          <w:sz w:val="24"/>
          <w:szCs w:val="24"/>
        </w:rPr>
        <w:t>f</w:t>
      </w:r>
      <w:r w:rsidRPr="00D75D2E">
        <w:rPr>
          <w:rFonts w:ascii="Times New Roman" w:hAnsi="Times New Roman"/>
          <w:spacing w:val="-1"/>
          <w:sz w:val="24"/>
          <w:szCs w:val="24"/>
        </w:rPr>
        <w:t>e</w:t>
      </w:r>
      <w:r w:rsidRPr="00D75D2E">
        <w:rPr>
          <w:rFonts w:ascii="Times New Roman" w:hAnsi="Times New Roman"/>
          <w:sz w:val="24"/>
          <w:szCs w:val="24"/>
        </w:rPr>
        <w:t>t, l'ent</w:t>
      </w:r>
      <w:r w:rsidRPr="00D75D2E">
        <w:rPr>
          <w:rFonts w:ascii="Times New Roman" w:hAnsi="Times New Roman"/>
          <w:spacing w:val="-1"/>
          <w:sz w:val="24"/>
          <w:szCs w:val="24"/>
        </w:rPr>
        <w:t>re</w:t>
      </w:r>
      <w:r w:rsidRPr="00D75D2E">
        <w:rPr>
          <w:rFonts w:ascii="Times New Roman" w:hAnsi="Times New Roman"/>
          <w:sz w:val="24"/>
          <w:szCs w:val="24"/>
        </w:rPr>
        <w:t xml:space="preserve">prise </w:t>
      </w:r>
      <w:r w:rsidRPr="00D75D2E">
        <w:rPr>
          <w:rFonts w:ascii="Times New Roman" w:hAnsi="Times New Roman"/>
          <w:spacing w:val="-1"/>
          <w:sz w:val="24"/>
          <w:szCs w:val="24"/>
        </w:rPr>
        <w:t>e</w:t>
      </w:r>
      <w:r w:rsidRPr="00D75D2E">
        <w:rPr>
          <w:rFonts w:ascii="Times New Roman" w:hAnsi="Times New Roman"/>
          <w:sz w:val="24"/>
          <w:szCs w:val="24"/>
        </w:rPr>
        <w:t xml:space="preserve">st </w:t>
      </w:r>
      <w:r w:rsidRPr="00D75D2E">
        <w:rPr>
          <w:rFonts w:ascii="Times New Roman" w:hAnsi="Times New Roman"/>
          <w:spacing w:val="-1"/>
          <w:sz w:val="24"/>
          <w:szCs w:val="24"/>
        </w:rPr>
        <w:t>e</w:t>
      </w:r>
      <w:r w:rsidRPr="00D75D2E">
        <w:rPr>
          <w:rFonts w:ascii="Times New Roman" w:hAnsi="Times New Roman"/>
          <w:spacing w:val="5"/>
          <w:sz w:val="24"/>
          <w:szCs w:val="24"/>
        </w:rPr>
        <w:t>n</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z w:val="24"/>
          <w:szCs w:val="24"/>
        </w:rPr>
        <w:t>g</w:t>
      </w:r>
      <w:r w:rsidRPr="00D75D2E">
        <w:rPr>
          <w:rFonts w:ascii="Times New Roman" w:hAnsi="Times New Roman"/>
          <w:spacing w:val="-1"/>
          <w:sz w:val="24"/>
          <w:szCs w:val="24"/>
        </w:rPr>
        <w:t>é</w:t>
      </w:r>
      <w:r w:rsidRPr="00D75D2E">
        <w:rPr>
          <w:rFonts w:ascii="Times New Roman" w:hAnsi="Times New Roman"/>
          <w:sz w:val="24"/>
          <w:szCs w:val="24"/>
        </w:rPr>
        <w:t xml:space="preserve">e </w:t>
      </w:r>
      <w:r w:rsidRPr="00D75D2E">
        <w:rPr>
          <w:rFonts w:ascii="Times New Roman" w:hAnsi="Times New Roman"/>
          <w:spacing w:val="1"/>
          <w:sz w:val="24"/>
          <w:szCs w:val="24"/>
        </w:rPr>
        <w:t>d</w:t>
      </w:r>
      <w:r w:rsidRPr="00D75D2E">
        <w:rPr>
          <w:rFonts w:ascii="Times New Roman" w:hAnsi="Times New Roman"/>
          <w:spacing w:val="-1"/>
          <w:sz w:val="24"/>
          <w:szCs w:val="24"/>
        </w:rPr>
        <w:t>a</w:t>
      </w:r>
      <w:r w:rsidRPr="00D75D2E">
        <w:rPr>
          <w:rFonts w:ascii="Times New Roman" w:hAnsi="Times New Roman"/>
          <w:sz w:val="24"/>
          <w:szCs w:val="24"/>
        </w:rPr>
        <w:t>ns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pacing w:val="2"/>
          <w:sz w:val="24"/>
          <w:szCs w:val="24"/>
        </w:rPr>
        <w:t>f</w:t>
      </w:r>
      <w:r w:rsidRPr="00D75D2E">
        <w:rPr>
          <w:rFonts w:ascii="Times New Roman" w:hAnsi="Times New Roman"/>
          <w:spacing w:val="-1"/>
          <w:sz w:val="24"/>
          <w:szCs w:val="24"/>
        </w:rPr>
        <w:t>f</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z w:val="24"/>
          <w:szCs w:val="24"/>
        </w:rPr>
        <w:t xml:space="preserve">ts </w:t>
      </w:r>
      <w:r w:rsidRPr="00D75D2E">
        <w:rPr>
          <w:rFonts w:ascii="Times New Roman" w:hAnsi="Times New Roman"/>
          <w:spacing w:val="-1"/>
          <w:sz w:val="24"/>
          <w:szCs w:val="24"/>
        </w:rPr>
        <w:t>c</w:t>
      </w:r>
      <w:r w:rsidRPr="00D75D2E">
        <w:rPr>
          <w:rFonts w:ascii="Times New Roman" w:hAnsi="Times New Roman"/>
          <w:sz w:val="24"/>
          <w:szCs w:val="24"/>
        </w:rPr>
        <w:t>ont</w:t>
      </w:r>
      <w:r w:rsidRPr="00D75D2E">
        <w:rPr>
          <w:rFonts w:ascii="Times New Roman" w:hAnsi="Times New Roman"/>
          <w:spacing w:val="3"/>
          <w:sz w:val="24"/>
          <w:szCs w:val="24"/>
        </w:rPr>
        <w:t>i</w:t>
      </w:r>
      <w:r w:rsidRPr="00D75D2E">
        <w:rPr>
          <w:rFonts w:ascii="Times New Roman" w:hAnsi="Times New Roman"/>
          <w:sz w:val="24"/>
          <w:szCs w:val="24"/>
        </w:rPr>
        <w:t>nus pour identifi</w:t>
      </w:r>
      <w:r w:rsidRPr="00D75D2E">
        <w:rPr>
          <w:rFonts w:ascii="Times New Roman" w:hAnsi="Times New Roman"/>
          <w:spacing w:val="-1"/>
          <w:sz w:val="24"/>
          <w:szCs w:val="24"/>
        </w:rPr>
        <w:t>e</w:t>
      </w:r>
      <w:r w:rsidRPr="00D75D2E">
        <w:rPr>
          <w:rFonts w:ascii="Times New Roman" w:hAnsi="Times New Roman"/>
          <w:spacing w:val="4"/>
          <w:sz w:val="24"/>
          <w:szCs w:val="24"/>
        </w:rPr>
        <w:t>r</w:t>
      </w:r>
      <w:r w:rsidRPr="00D75D2E">
        <w:rPr>
          <w:rFonts w:ascii="Times New Roman" w:hAnsi="Times New Roman"/>
          <w:sz w:val="24"/>
          <w:szCs w:val="24"/>
        </w:rPr>
        <w:t xml:space="preserve">, </w:t>
      </w:r>
      <w:r w:rsidRPr="00D75D2E">
        <w:rPr>
          <w:rFonts w:ascii="Times New Roman" w:hAnsi="Times New Roman"/>
          <w:spacing w:val="-1"/>
          <w:sz w:val="24"/>
          <w:szCs w:val="24"/>
        </w:rPr>
        <w:t>é</w:t>
      </w:r>
      <w:r w:rsidRPr="00D75D2E">
        <w:rPr>
          <w:rFonts w:ascii="Times New Roman" w:hAnsi="Times New Roman"/>
          <w:sz w:val="24"/>
          <w:szCs w:val="24"/>
        </w:rPr>
        <w:t>limin</w:t>
      </w:r>
      <w:r w:rsidRPr="00D75D2E">
        <w:rPr>
          <w:rFonts w:ascii="Times New Roman" w:hAnsi="Times New Roman"/>
          <w:spacing w:val="-1"/>
          <w:sz w:val="24"/>
          <w:szCs w:val="24"/>
        </w:rPr>
        <w:t>e</w:t>
      </w:r>
      <w:r w:rsidRPr="00D75D2E">
        <w:rPr>
          <w:rFonts w:ascii="Times New Roman" w:hAnsi="Times New Roman"/>
          <w:sz w:val="24"/>
          <w:szCs w:val="24"/>
        </w:rPr>
        <w:t xml:space="preserve">r ou </w:t>
      </w:r>
      <w:r w:rsidRPr="00D75D2E">
        <w:rPr>
          <w:rFonts w:ascii="Times New Roman" w:hAnsi="Times New Roman"/>
          <w:spacing w:val="-2"/>
          <w:sz w:val="24"/>
          <w:szCs w:val="24"/>
        </w:rPr>
        <w:t>g</w:t>
      </w:r>
      <w:r w:rsidRPr="00D75D2E">
        <w:rPr>
          <w:rFonts w:ascii="Times New Roman" w:hAnsi="Times New Roman"/>
          <w:spacing w:val="-1"/>
          <w:sz w:val="24"/>
          <w:szCs w:val="24"/>
        </w:rPr>
        <w:t>ére</w:t>
      </w:r>
      <w:r w:rsidRPr="00D75D2E">
        <w:rPr>
          <w:rFonts w:ascii="Times New Roman" w:hAnsi="Times New Roman"/>
          <w:sz w:val="24"/>
          <w:szCs w:val="24"/>
        </w:rPr>
        <w:t>r les r</w:t>
      </w:r>
      <w:r w:rsidRPr="00D75D2E">
        <w:rPr>
          <w:rFonts w:ascii="Times New Roman" w:hAnsi="Times New Roman"/>
          <w:spacing w:val="2"/>
          <w:sz w:val="24"/>
          <w:szCs w:val="24"/>
        </w:rPr>
        <w:t>i</w:t>
      </w:r>
      <w:r w:rsidRPr="00D75D2E">
        <w:rPr>
          <w:rFonts w:ascii="Times New Roman" w:hAnsi="Times New Roman"/>
          <w:sz w:val="24"/>
          <w:szCs w:val="24"/>
        </w:rPr>
        <w:t>sq</w:t>
      </w:r>
      <w:r w:rsidRPr="00D75D2E">
        <w:rPr>
          <w:rFonts w:ascii="Times New Roman" w:hAnsi="Times New Roman"/>
          <w:spacing w:val="1"/>
          <w:sz w:val="24"/>
          <w:szCs w:val="24"/>
        </w:rPr>
        <w:t>u</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ssoci</w:t>
      </w:r>
      <w:r w:rsidRPr="00D75D2E">
        <w:rPr>
          <w:rFonts w:ascii="Times New Roman" w:hAnsi="Times New Roman"/>
          <w:spacing w:val="-1"/>
          <w:sz w:val="24"/>
          <w:szCs w:val="24"/>
        </w:rPr>
        <w:t>é</w:t>
      </w:r>
      <w:r w:rsidRPr="00D75D2E">
        <w:rPr>
          <w:rFonts w:ascii="Times New Roman" w:hAnsi="Times New Roman"/>
          <w:sz w:val="24"/>
          <w:szCs w:val="24"/>
        </w:rPr>
        <w:t>s à s</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w:t>
      </w:r>
      <w:r w:rsidRPr="00D75D2E">
        <w:rPr>
          <w:rFonts w:ascii="Times New Roman" w:hAnsi="Times New Roman"/>
          <w:spacing w:val="3"/>
          <w:sz w:val="24"/>
          <w:szCs w:val="24"/>
        </w:rPr>
        <w:t>t</w:t>
      </w:r>
      <w:r w:rsidRPr="00D75D2E">
        <w:rPr>
          <w:rFonts w:ascii="Times New Roman" w:hAnsi="Times New Roman"/>
          <w:sz w:val="24"/>
          <w:szCs w:val="24"/>
        </w:rPr>
        <w:t xml:space="preserve">ivités. Elle </w:t>
      </w:r>
      <w:r w:rsidRPr="00D75D2E">
        <w:rPr>
          <w:rFonts w:ascii="Times New Roman" w:hAnsi="Times New Roman"/>
          <w:spacing w:val="3"/>
          <w:sz w:val="24"/>
          <w:szCs w:val="24"/>
        </w:rPr>
        <w:t>s</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1"/>
          <w:sz w:val="24"/>
          <w:szCs w:val="24"/>
        </w:rPr>
        <w:t>ff</w:t>
      </w:r>
      <w:r w:rsidRPr="00D75D2E">
        <w:rPr>
          <w:rFonts w:ascii="Times New Roman" w:hAnsi="Times New Roman"/>
          <w:sz w:val="24"/>
          <w:szCs w:val="24"/>
        </w:rPr>
        <w:t>o</w:t>
      </w:r>
      <w:r w:rsidRPr="00D75D2E">
        <w:rPr>
          <w:rFonts w:ascii="Times New Roman" w:hAnsi="Times New Roman"/>
          <w:spacing w:val="-1"/>
          <w:sz w:val="24"/>
          <w:szCs w:val="24"/>
        </w:rPr>
        <w:t>rc</w:t>
      </w:r>
      <w:r w:rsidRPr="00D75D2E">
        <w:rPr>
          <w:rFonts w:ascii="Times New Roman" w:hAnsi="Times New Roman"/>
          <w:spacing w:val="1"/>
          <w:sz w:val="24"/>
          <w:szCs w:val="24"/>
        </w:rPr>
        <w:t>e</w:t>
      </w:r>
      <w:r w:rsidRPr="00D75D2E">
        <w:rPr>
          <w:rFonts w:ascii="Times New Roman" w:hAnsi="Times New Roman"/>
          <w:spacing w:val="-1"/>
          <w:sz w:val="24"/>
          <w:szCs w:val="24"/>
        </w:rPr>
        <w:t>r</w:t>
      </w:r>
      <w:r w:rsidRPr="00D75D2E">
        <w:rPr>
          <w:rFonts w:ascii="Times New Roman" w:hAnsi="Times New Roman"/>
          <w:sz w:val="24"/>
          <w:szCs w:val="24"/>
        </w:rPr>
        <w:t xml:space="preserve">a </w:t>
      </w:r>
      <w:r w:rsidRPr="00D75D2E">
        <w:rPr>
          <w:rFonts w:ascii="Times New Roman" w:hAnsi="Times New Roman"/>
          <w:spacing w:val="2"/>
          <w:sz w:val="24"/>
          <w:szCs w:val="24"/>
        </w:rPr>
        <w:t>d</w:t>
      </w:r>
      <w:r w:rsidRPr="00D75D2E">
        <w:rPr>
          <w:rFonts w:ascii="Times New Roman" w:hAnsi="Times New Roman"/>
          <w:sz w:val="24"/>
          <w:szCs w:val="24"/>
        </w:rPr>
        <w:t>e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nir tous les </w:t>
      </w:r>
      <w:r w:rsidRPr="00D75D2E">
        <w:rPr>
          <w:rFonts w:ascii="Times New Roman" w:hAnsi="Times New Roman"/>
          <w:spacing w:val="-1"/>
          <w:sz w:val="24"/>
          <w:szCs w:val="24"/>
        </w:rPr>
        <w:t>acc</w:t>
      </w:r>
      <w:r w:rsidRPr="00D75D2E">
        <w:rPr>
          <w:rFonts w:ascii="Times New Roman" w:hAnsi="Times New Roman"/>
          <w:sz w:val="24"/>
          <w:szCs w:val="24"/>
        </w:rPr>
        <w:t>idents, blessu</w:t>
      </w:r>
      <w:r w:rsidRPr="00D75D2E">
        <w:rPr>
          <w:rFonts w:ascii="Times New Roman" w:hAnsi="Times New Roman"/>
          <w:spacing w:val="-1"/>
          <w:sz w:val="24"/>
          <w:szCs w:val="24"/>
        </w:rPr>
        <w:t>re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t mal</w:t>
      </w:r>
      <w:r w:rsidRPr="00D75D2E">
        <w:rPr>
          <w:rFonts w:ascii="Times New Roman" w:hAnsi="Times New Roman"/>
          <w:spacing w:val="-1"/>
          <w:sz w:val="24"/>
          <w:szCs w:val="24"/>
        </w:rPr>
        <w:t>a</w:t>
      </w:r>
      <w:r w:rsidRPr="00D75D2E">
        <w:rPr>
          <w:rFonts w:ascii="Times New Roman" w:hAnsi="Times New Roman"/>
          <w:sz w:val="24"/>
          <w:szCs w:val="24"/>
        </w:rPr>
        <w:t>dies pr</w:t>
      </w:r>
      <w:r w:rsidRPr="00D75D2E">
        <w:rPr>
          <w:rFonts w:ascii="Times New Roman" w:hAnsi="Times New Roman"/>
          <w:spacing w:val="2"/>
          <w:sz w:val="24"/>
          <w:szCs w:val="24"/>
        </w:rPr>
        <w:t>o</w:t>
      </w:r>
      <w:r w:rsidRPr="00D75D2E">
        <w:rPr>
          <w:rFonts w:ascii="Times New Roman" w:hAnsi="Times New Roman"/>
          <w:spacing w:val="-1"/>
          <w:sz w:val="24"/>
          <w:szCs w:val="24"/>
        </w:rPr>
        <w:t>f</w:t>
      </w:r>
      <w:r w:rsidRPr="00D75D2E">
        <w:rPr>
          <w:rFonts w:ascii="Times New Roman" w:hAnsi="Times New Roman"/>
          <w:spacing w:val="-3"/>
          <w:sz w:val="24"/>
          <w:szCs w:val="24"/>
        </w:rPr>
        <w:t>e</w:t>
      </w:r>
      <w:r w:rsidRPr="00D75D2E">
        <w:rPr>
          <w:rFonts w:ascii="Times New Roman" w:hAnsi="Times New Roman"/>
          <w:sz w:val="24"/>
          <w:szCs w:val="24"/>
        </w:rPr>
        <w:t>ssionn</w:t>
      </w:r>
      <w:r w:rsidRPr="00D75D2E">
        <w:rPr>
          <w:rFonts w:ascii="Times New Roman" w:hAnsi="Times New Roman"/>
          <w:spacing w:val="-1"/>
          <w:sz w:val="24"/>
          <w:szCs w:val="24"/>
        </w:rPr>
        <w:t>e</w:t>
      </w:r>
      <w:r w:rsidRPr="00D75D2E">
        <w:rPr>
          <w:rFonts w:ascii="Times New Roman" w:hAnsi="Times New Roman"/>
          <w:sz w:val="24"/>
          <w:szCs w:val="24"/>
        </w:rPr>
        <w:t>l</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s à t</w:t>
      </w:r>
      <w:r w:rsidRPr="00D75D2E">
        <w:rPr>
          <w:rFonts w:ascii="Times New Roman" w:hAnsi="Times New Roman"/>
          <w:spacing w:val="2"/>
          <w:sz w:val="24"/>
          <w:szCs w:val="24"/>
        </w:rPr>
        <w: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rs </w:t>
      </w:r>
      <w:r w:rsidRPr="00D75D2E">
        <w:rPr>
          <w:rFonts w:ascii="Times New Roman" w:hAnsi="Times New Roman"/>
          <w:spacing w:val="5"/>
          <w:sz w:val="24"/>
          <w:szCs w:val="24"/>
        </w:rPr>
        <w:t>l</w:t>
      </w:r>
      <w:r w:rsidRPr="00D75D2E">
        <w:rPr>
          <w:rFonts w:ascii="Times New Roman" w:hAnsi="Times New Roman"/>
          <w:spacing w:val="-5"/>
          <w:sz w:val="24"/>
          <w:szCs w:val="24"/>
        </w:rPr>
        <w:t>'</w:t>
      </w:r>
      <w:r w:rsidRPr="00D75D2E">
        <w:rPr>
          <w:rFonts w:ascii="Times New Roman" w:hAnsi="Times New Roman"/>
          <w:sz w:val="24"/>
          <w:szCs w:val="24"/>
        </w:rPr>
        <w:t>impli</w:t>
      </w:r>
      <w:r w:rsidRPr="00D75D2E">
        <w:rPr>
          <w:rFonts w:ascii="Times New Roman" w:hAnsi="Times New Roman"/>
          <w:spacing w:val="-1"/>
          <w:sz w:val="24"/>
          <w:szCs w:val="24"/>
        </w:rPr>
        <w:t>ca</w:t>
      </w:r>
      <w:r w:rsidRPr="00D75D2E">
        <w:rPr>
          <w:rFonts w:ascii="Times New Roman" w:hAnsi="Times New Roman"/>
          <w:sz w:val="24"/>
          <w:szCs w:val="24"/>
        </w:rPr>
        <w:t xml:space="preserve">tion </w:t>
      </w:r>
      <w:r w:rsidRPr="00D75D2E">
        <w:rPr>
          <w:rFonts w:ascii="Times New Roman" w:hAnsi="Times New Roman"/>
          <w:spacing w:val="-1"/>
          <w:sz w:val="24"/>
          <w:szCs w:val="24"/>
        </w:rPr>
        <w:t>a</w:t>
      </w:r>
      <w:r w:rsidRPr="00D75D2E">
        <w:rPr>
          <w:rFonts w:ascii="Times New Roman" w:hAnsi="Times New Roman"/>
          <w:sz w:val="24"/>
          <w:szCs w:val="24"/>
        </w:rPr>
        <w:t xml:space="preserve">ctive de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q</w:t>
      </w:r>
      <w:r w:rsidRPr="00D75D2E">
        <w:rPr>
          <w:rFonts w:ascii="Times New Roman" w:hAnsi="Times New Roman"/>
          <w:spacing w:val="5"/>
          <w:sz w:val="24"/>
          <w:szCs w:val="24"/>
        </w:rPr>
        <w:t>u</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mpl</w:t>
      </w:r>
      <w:r w:rsidRPr="00D75D2E">
        <w:rPr>
          <w:rFonts w:ascii="Times New Roman" w:hAnsi="Times New Roman"/>
          <w:spacing w:val="5"/>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é</w:t>
      </w:r>
      <w:r w:rsidRPr="00D75D2E">
        <w:rPr>
          <w:rFonts w:ascii="Times New Roman" w:hAnsi="Times New Roman"/>
          <w:sz w:val="24"/>
          <w:szCs w:val="24"/>
        </w:rPr>
        <w:t xml:space="preserve">,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3"/>
          <w:sz w:val="24"/>
          <w:szCs w:val="24"/>
        </w:rPr>
        <w:t>s</w:t>
      </w:r>
      <w:r w:rsidRPr="00D75D2E">
        <w:rPr>
          <w:rFonts w:ascii="Times New Roman" w:hAnsi="Times New Roman"/>
          <w:spacing w:val="-2"/>
          <w:sz w:val="24"/>
          <w:szCs w:val="24"/>
        </w:rPr>
        <w:t>'</w:t>
      </w:r>
      <w:r w:rsidRPr="00D75D2E">
        <w:rPr>
          <w:rFonts w:ascii="Times New Roman" w:hAnsi="Times New Roman"/>
          <w:spacing w:val="-1"/>
          <w:sz w:val="24"/>
          <w:szCs w:val="24"/>
        </w:rPr>
        <w:t>eff</w:t>
      </w:r>
      <w:r w:rsidRPr="00D75D2E">
        <w:rPr>
          <w:rFonts w:ascii="Times New Roman" w:hAnsi="Times New Roman"/>
          <w:spacing w:val="2"/>
          <w:sz w:val="24"/>
          <w:szCs w:val="24"/>
        </w:rPr>
        <w:t>o</w:t>
      </w:r>
      <w:r w:rsidRPr="00D75D2E">
        <w:rPr>
          <w:rFonts w:ascii="Times New Roman" w:hAnsi="Times New Roman"/>
          <w:spacing w:val="-1"/>
          <w:sz w:val="24"/>
          <w:szCs w:val="24"/>
        </w:rPr>
        <w:t>rce</w:t>
      </w:r>
      <w:r w:rsidRPr="00D75D2E">
        <w:rPr>
          <w:rFonts w:ascii="Times New Roman" w:hAnsi="Times New Roman"/>
          <w:spacing w:val="4"/>
          <w:sz w:val="24"/>
          <w:szCs w:val="24"/>
        </w:rPr>
        <w:t>r</w:t>
      </w:r>
      <w:r w:rsidRPr="00D75D2E">
        <w:rPr>
          <w:rFonts w:ascii="Times New Roman" w:hAnsi="Times New Roman"/>
          <w:sz w:val="24"/>
          <w:szCs w:val="24"/>
        </w:rPr>
        <w:t xml:space="preserve">a </w:t>
      </w:r>
      <w:r w:rsidRPr="00D75D2E">
        <w:rPr>
          <w:rFonts w:ascii="Times New Roman" w:hAnsi="Times New Roman"/>
          <w:spacing w:val="3"/>
          <w:sz w:val="24"/>
          <w:szCs w:val="24"/>
        </w:rPr>
        <w:t>s</w:t>
      </w:r>
      <w:r w:rsidRPr="00D75D2E">
        <w:rPr>
          <w:rFonts w:ascii="Times New Roman" w:hAnsi="Times New Roman"/>
          <w:spacing w:val="2"/>
          <w:sz w:val="24"/>
          <w:szCs w:val="24"/>
        </w:rPr>
        <w:t>a</w:t>
      </w:r>
      <w:r w:rsidRPr="00D75D2E">
        <w:rPr>
          <w:rFonts w:ascii="Times New Roman" w:hAnsi="Times New Roman"/>
          <w:sz w:val="24"/>
          <w:szCs w:val="24"/>
        </w:rPr>
        <w:t xml:space="preserve">ns </w:t>
      </w:r>
      <w:r w:rsidRPr="00D75D2E">
        <w:rPr>
          <w:rFonts w:ascii="Times New Roman" w:hAnsi="Times New Roman"/>
          <w:spacing w:val="-1"/>
          <w:sz w:val="24"/>
          <w:szCs w:val="24"/>
        </w:rPr>
        <w:t>ce</w:t>
      </w:r>
      <w:r w:rsidRPr="00D75D2E">
        <w:rPr>
          <w:rFonts w:ascii="Times New Roman" w:hAnsi="Times New Roman"/>
          <w:sz w:val="24"/>
          <w:szCs w:val="24"/>
        </w:rPr>
        <w:t xml:space="preserve">sse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f</w:t>
      </w:r>
      <w:r w:rsidRPr="00D75D2E">
        <w:rPr>
          <w:rFonts w:ascii="Times New Roman" w:hAnsi="Times New Roman"/>
          <w:sz w:val="24"/>
          <w:szCs w:val="24"/>
        </w:rPr>
        <w:t>ournir d</w:t>
      </w:r>
      <w:r w:rsidRPr="00D75D2E">
        <w:rPr>
          <w:rFonts w:ascii="Times New Roman" w:hAnsi="Times New Roman"/>
          <w:spacing w:val="-1"/>
          <w:sz w:val="24"/>
          <w:szCs w:val="24"/>
        </w:rPr>
        <w:t>e</w:t>
      </w:r>
      <w:r w:rsidRPr="00D75D2E">
        <w:rPr>
          <w:rFonts w:ascii="Times New Roman" w:hAnsi="Times New Roman"/>
          <w:sz w:val="24"/>
          <w:szCs w:val="24"/>
        </w:rPr>
        <w:t>s li</w:t>
      </w:r>
      <w:r w:rsidRPr="00D75D2E">
        <w:rPr>
          <w:rFonts w:ascii="Times New Roman" w:hAnsi="Times New Roman"/>
          <w:spacing w:val="1"/>
          <w:sz w:val="24"/>
          <w:szCs w:val="24"/>
        </w:rPr>
        <w:t>e</w:t>
      </w:r>
      <w:r w:rsidRPr="00D75D2E">
        <w:rPr>
          <w:rFonts w:ascii="Times New Roman" w:hAnsi="Times New Roman"/>
          <w:sz w:val="24"/>
          <w:szCs w:val="24"/>
        </w:rPr>
        <w:t>ux de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il,</w:t>
      </w:r>
      <w:r w:rsidRPr="00D75D2E">
        <w:rPr>
          <w:rFonts w:ascii="Times New Roman" w:hAnsi="Times New Roman"/>
          <w:spacing w:val="2"/>
          <w:sz w:val="24"/>
          <w:szCs w:val="24"/>
        </w:rPr>
        <w:t xml:space="preserve"> </w:t>
      </w:r>
      <w:r w:rsidRPr="00D75D2E">
        <w:rPr>
          <w:rFonts w:ascii="Times New Roman" w:hAnsi="Times New Roman"/>
          <w:spacing w:val="-1"/>
          <w:sz w:val="24"/>
          <w:szCs w:val="24"/>
        </w:rPr>
        <w:t>d</w:t>
      </w:r>
      <w:r w:rsidRPr="00D75D2E">
        <w:rPr>
          <w:rFonts w:ascii="Times New Roman" w:hAnsi="Times New Roman"/>
          <w:sz w:val="24"/>
          <w:szCs w:val="24"/>
        </w:rPr>
        <w:t xml:space="preserve">es </w:t>
      </w:r>
      <w:r w:rsidRPr="00D75D2E">
        <w:rPr>
          <w:rFonts w:ascii="Times New Roman" w:hAnsi="Times New Roman"/>
          <w:spacing w:val="7"/>
          <w:sz w:val="24"/>
          <w:szCs w:val="24"/>
        </w:rPr>
        <w:t>s</w:t>
      </w:r>
      <w:r w:rsidRPr="00D75D2E">
        <w:rPr>
          <w:rFonts w:ascii="Times New Roman" w:hAnsi="Times New Roman"/>
          <w:spacing w:val="-10"/>
          <w:sz w:val="24"/>
          <w:szCs w:val="24"/>
        </w:rPr>
        <w:t>y</w:t>
      </w:r>
      <w:r w:rsidRPr="00D75D2E">
        <w:rPr>
          <w:rFonts w:ascii="Times New Roman" w:hAnsi="Times New Roman"/>
          <w:sz w:val="24"/>
          <w:szCs w:val="24"/>
        </w:rPr>
        <w:t>stèm</w:t>
      </w:r>
      <w:r w:rsidRPr="00D75D2E">
        <w:rPr>
          <w:rFonts w:ascii="Times New Roman" w:hAnsi="Times New Roman"/>
          <w:spacing w:val="1"/>
          <w:sz w:val="24"/>
          <w:szCs w:val="24"/>
        </w:rPr>
        <w:t>e</w:t>
      </w:r>
      <w:r w:rsidRPr="00D75D2E">
        <w:rPr>
          <w:rFonts w:ascii="Times New Roman" w:hAnsi="Times New Roman"/>
          <w:sz w:val="24"/>
          <w:szCs w:val="24"/>
        </w:rPr>
        <w:t>s et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3"/>
          <w:sz w:val="24"/>
          <w:szCs w:val="24"/>
        </w:rPr>
        <w:t>c</w:t>
      </w:r>
      <w:r w:rsidRPr="00D75D2E">
        <w:rPr>
          <w:rFonts w:ascii="Times New Roman" w:hAnsi="Times New Roman"/>
          <w:spacing w:val="-1"/>
          <w:sz w:val="24"/>
          <w:szCs w:val="24"/>
        </w:rPr>
        <w:t>é</w:t>
      </w:r>
      <w:r w:rsidRPr="00D75D2E">
        <w:rPr>
          <w:rFonts w:ascii="Times New Roman" w:hAnsi="Times New Roman"/>
          <w:sz w:val="24"/>
          <w:szCs w:val="24"/>
        </w:rPr>
        <w:t>d</w:t>
      </w:r>
      <w:r w:rsidRPr="00D75D2E">
        <w:rPr>
          <w:rFonts w:ascii="Times New Roman" w:hAnsi="Times New Roman"/>
          <w:spacing w:val="2"/>
          <w:sz w:val="24"/>
          <w:szCs w:val="24"/>
        </w:rPr>
        <w:t>u</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 xml:space="preserve">s sûres, </w:t>
      </w:r>
      <w:r w:rsidRPr="00D75D2E">
        <w:rPr>
          <w:rFonts w:ascii="Times New Roman" w:hAnsi="Times New Roman"/>
          <w:spacing w:val="-1"/>
          <w:sz w:val="24"/>
          <w:szCs w:val="24"/>
        </w:rPr>
        <w:t>a</w:t>
      </w:r>
      <w:r w:rsidRPr="00D75D2E">
        <w:rPr>
          <w:rFonts w:ascii="Times New Roman" w:hAnsi="Times New Roman"/>
          <w:sz w:val="24"/>
          <w:szCs w:val="24"/>
        </w:rPr>
        <w:t xml:space="preserve">fin </w:t>
      </w:r>
      <w:r w:rsidRPr="00D75D2E">
        <w:rPr>
          <w:rFonts w:ascii="Times New Roman" w:hAnsi="Times New Roman"/>
          <w:spacing w:val="5"/>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é</w:t>
      </w:r>
      <w:r w:rsidRPr="00D75D2E">
        <w:rPr>
          <w:rFonts w:ascii="Times New Roman" w:hAnsi="Times New Roman"/>
          <w:sz w:val="24"/>
          <w:szCs w:val="24"/>
        </w:rPr>
        <w:t>vit</w:t>
      </w:r>
      <w:r w:rsidRPr="00D75D2E">
        <w:rPr>
          <w:rFonts w:ascii="Times New Roman" w:hAnsi="Times New Roman"/>
          <w:spacing w:val="-1"/>
          <w:sz w:val="24"/>
          <w:szCs w:val="24"/>
        </w:rPr>
        <w:t>e</w:t>
      </w:r>
      <w:r w:rsidRPr="00D75D2E">
        <w:rPr>
          <w:rFonts w:ascii="Times New Roman" w:hAnsi="Times New Roman"/>
          <w:sz w:val="24"/>
          <w:szCs w:val="24"/>
        </w:rPr>
        <w:t xml:space="preserve">r tout </w:t>
      </w:r>
      <w:r w:rsidRPr="00D75D2E">
        <w:rPr>
          <w:rFonts w:ascii="Times New Roman" w:hAnsi="Times New Roman"/>
          <w:spacing w:val="-1"/>
          <w:sz w:val="24"/>
          <w:szCs w:val="24"/>
        </w:rPr>
        <w:t>r</w:t>
      </w:r>
      <w:r w:rsidRPr="00D75D2E">
        <w:rPr>
          <w:rFonts w:ascii="Times New Roman" w:hAnsi="Times New Roman"/>
          <w:sz w:val="24"/>
          <w:szCs w:val="24"/>
        </w:rPr>
        <w:t>i</w:t>
      </w:r>
      <w:r w:rsidRPr="00D75D2E">
        <w:rPr>
          <w:rFonts w:ascii="Times New Roman" w:hAnsi="Times New Roman"/>
          <w:spacing w:val="6"/>
          <w:sz w:val="24"/>
          <w:szCs w:val="24"/>
        </w:rPr>
        <w:t>s</w:t>
      </w:r>
      <w:r w:rsidRPr="00D75D2E">
        <w:rPr>
          <w:rFonts w:ascii="Times New Roman" w:hAnsi="Times New Roman"/>
          <w:sz w:val="24"/>
          <w:szCs w:val="24"/>
        </w:rPr>
        <w:t>que d</w:t>
      </w:r>
      <w:r w:rsidRPr="00D75D2E">
        <w:rPr>
          <w:rFonts w:ascii="Times New Roman" w:hAnsi="Times New Roman"/>
          <w:spacing w:val="-2"/>
          <w:sz w:val="24"/>
          <w:szCs w:val="24"/>
        </w:rPr>
        <w:t>'</w:t>
      </w:r>
      <w:r w:rsidRPr="00D75D2E">
        <w:rPr>
          <w:rFonts w:ascii="Times New Roman" w:hAnsi="Times New Roman"/>
          <w:spacing w:val="1"/>
          <w:sz w:val="24"/>
          <w:szCs w:val="24"/>
        </w:rPr>
        <w:t>a</w:t>
      </w:r>
      <w:r w:rsidRPr="00D75D2E">
        <w:rPr>
          <w:rFonts w:ascii="Times New Roman" w:hAnsi="Times New Roman"/>
          <w:spacing w:val="-1"/>
          <w:sz w:val="24"/>
          <w:szCs w:val="24"/>
        </w:rPr>
        <w:t>cc</w:t>
      </w:r>
      <w:r w:rsidRPr="00D75D2E">
        <w:rPr>
          <w:rFonts w:ascii="Times New Roman" w:hAnsi="Times New Roman"/>
          <w:sz w:val="24"/>
          <w:szCs w:val="24"/>
        </w:rPr>
        <w:t>ident du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il ou tout risq</w:t>
      </w:r>
      <w:r w:rsidRPr="00D75D2E">
        <w:rPr>
          <w:rFonts w:ascii="Times New Roman" w:hAnsi="Times New Roman"/>
          <w:spacing w:val="5"/>
          <w:sz w:val="24"/>
          <w:szCs w:val="24"/>
        </w:rPr>
        <w:t>u</w:t>
      </w:r>
      <w:r w:rsidRPr="00D75D2E">
        <w:rPr>
          <w:rFonts w:ascii="Times New Roman" w:hAnsi="Times New Roman"/>
          <w:sz w:val="24"/>
          <w:szCs w:val="24"/>
        </w:rPr>
        <w:t>e pour la</w:t>
      </w:r>
      <w:r w:rsidRPr="00D75D2E">
        <w:rPr>
          <w:rFonts w:ascii="Times New Roman" w:hAnsi="Times New Roman"/>
          <w:spacing w:val="1"/>
          <w:sz w:val="24"/>
          <w:szCs w:val="24"/>
        </w:rPr>
        <w:t xml:space="preserve"> sé</w:t>
      </w:r>
      <w:r w:rsidRPr="00D75D2E">
        <w:rPr>
          <w:rFonts w:ascii="Times New Roman" w:hAnsi="Times New Roman"/>
          <w:spacing w:val="-1"/>
          <w:sz w:val="24"/>
          <w:szCs w:val="24"/>
        </w:rPr>
        <w:t>c</w:t>
      </w:r>
      <w:r w:rsidRPr="00D75D2E">
        <w:rPr>
          <w:rFonts w:ascii="Times New Roman" w:hAnsi="Times New Roman"/>
          <w:sz w:val="24"/>
          <w:szCs w:val="24"/>
        </w:rPr>
        <w:t xml:space="preserve">urité </w:t>
      </w:r>
      <w:r w:rsidRPr="00D75D2E">
        <w:rPr>
          <w:rFonts w:ascii="Times New Roman" w:hAnsi="Times New Roman"/>
          <w:spacing w:val="-1"/>
          <w:sz w:val="24"/>
          <w:szCs w:val="24"/>
        </w:rPr>
        <w:t>e</w:t>
      </w:r>
      <w:r w:rsidRPr="00D75D2E">
        <w:rPr>
          <w:rFonts w:ascii="Times New Roman" w:hAnsi="Times New Roman"/>
          <w:sz w:val="24"/>
          <w:szCs w:val="24"/>
        </w:rPr>
        <w:t>t la s</w:t>
      </w:r>
      <w:r w:rsidRPr="00D75D2E">
        <w:rPr>
          <w:rFonts w:ascii="Times New Roman" w:hAnsi="Times New Roman"/>
          <w:spacing w:val="-1"/>
          <w:sz w:val="24"/>
          <w:szCs w:val="24"/>
        </w:rPr>
        <w:t>a</w:t>
      </w:r>
      <w:r w:rsidRPr="00D75D2E">
        <w:rPr>
          <w:rFonts w:ascii="Times New Roman" w:hAnsi="Times New Roman"/>
          <w:sz w:val="24"/>
          <w:szCs w:val="24"/>
        </w:rPr>
        <w:t>nté</w:t>
      </w:r>
      <w:r w:rsidRPr="00D75D2E">
        <w:rPr>
          <w:rFonts w:ascii="Times New Roman" w:hAnsi="Times New Roman"/>
          <w:spacing w:val="2"/>
          <w:sz w:val="24"/>
          <w:szCs w:val="24"/>
        </w:rPr>
        <w:t xml:space="preserve"> </w:t>
      </w:r>
      <w:r w:rsidRPr="00D75D2E">
        <w:rPr>
          <w:rFonts w:ascii="Times New Roman" w:hAnsi="Times New Roman"/>
          <w:sz w:val="24"/>
          <w:szCs w:val="24"/>
        </w:rPr>
        <w:t>de s</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mpl</w:t>
      </w:r>
      <w:r w:rsidRPr="00D75D2E">
        <w:rPr>
          <w:rFonts w:ascii="Times New Roman" w:hAnsi="Times New Roman"/>
          <w:spacing w:val="5"/>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é</w:t>
      </w:r>
      <w:r w:rsidRPr="00D75D2E">
        <w:rPr>
          <w:rFonts w:ascii="Times New Roman" w:hAnsi="Times New Roman"/>
          <w:sz w:val="24"/>
          <w:szCs w:val="24"/>
        </w:rPr>
        <w:t>s.</w:t>
      </w:r>
    </w:p>
    <w:p w14:paraId="4E5EB3BF" w14:textId="77777777" w:rsidR="000705BE" w:rsidRPr="00D75D2E" w:rsidRDefault="000705BE" w:rsidP="00E737B4">
      <w:pPr>
        <w:widowControl w:val="0"/>
        <w:tabs>
          <w:tab w:val="left" w:pos="0"/>
        </w:tabs>
        <w:spacing w:before="120" w:after="120" w:line="240" w:lineRule="auto"/>
        <w:ind w:right="136"/>
        <w:jc w:val="both"/>
        <w:rPr>
          <w:rFonts w:ascii="Times New Roman" w:hAnsi="Times New Roman"/>
          <w:sz w:val="24"/>
          <w:szCs w:val="24"/>
        </w:rPr>
      </w:pPr>
      <w:r w:rsidRPr="00D75D2E">
        <w:rPr>
          <w:rFonts w:ascii="Times New Roman" w:hAnsi="Times New Roman"/>
          <w:spacing w:val="1"/>
          <w:sz w:val="24"/>
          <w:szCs w:val="24"/>
        </w:rPr>
        <w:t>P</w:t>
      </w:r>
      <w:r w:rsidRPr="00D75D2E">
        <w:rPr>
          <w:rFonts w:ascii="Times New Roman" w:hAnsi="Times New Roman"/>
          <w:sz w:val="24"/>
          <w:szCs w:val="24"/>
        </w:rPr>
        <w:t xml:space="preserve">our </w:t>
      </w:r>
      <w:r w:rsidRPr="00D75D2E">
        <w:rPr>
          <w:rFonts w:ascii="Times New Roman" w:hAnsi="Times New Roman"/>
          <w:spacing w:val="-1"/>
          <w:sz w:val="24"/>
          <w:szCs w:val="24"/>
        </w:rPr>
        <w:t>c</w:t>
      </w:r>
      <w:r w:rsidRPr="00D75D2E">
        <w:rPr>
          <w:rFonts w:ascii="Times New Roman" w:hAnsi="Times New Roman"/>
          <w:sz w:val="24"/>
          <w:szCs w:val="24"/>
        </w:rPr>
        <w:t>ontribu</w:t>
      </w:r>
      <w:r w:rsidRPr="00D75D2E">
        <w:rPr>
          <w:rFonts w:ascii="Times New Roman" w:hAnsi="Times New Roman"/>
          <w:spacing w:val="-1"/>
          <w:sz w:val="24"/>
          <w:szCs w:val="24"/>
        </w:rPr>
        <w:t>e</w:t>
      </w:r>
      <w:r w:rsidRPr="00D75D2E">
        <w:rPr>
          <w:rFonts w:ascii="Times New Roman" w:hAnsi="Times New Roman"/>
          <w:sz w:val="24"/>
          <w:szCs w:val="24"/>
        </w:rPr>
        <w:t xml:space="preserve">r à </w:t>
      </w:r>
      <w:r w:rsidRPr="00D75D2E">
        <w:rPr>
          <w:rFonts w:ascii="Times New Roman" w:hAnsi="Times New Roman"/>
          <w:spacing w:val="3"/>
          <w:sz w:val="24"/>
          <w:szCs w:val="24"/>
        </w:rPr>
        <w:t>l</w:t>
      </w:r>
      <w:r w:rsidRPr="00D75D2E">
        <w:rPr>
          <w:rFonts w:ascii="Times New Roman" w:hAnsi="Times New Roman"/>
          <w:spacing w:val="-2"/>
          <w:sz w:val="24"/>
          <w:szCs w:val="24"/>
        </w:rPr>
        <w:t>'</w:t>
      </w:r>
      <w:r w:rsidRPr="00D75D2E">
        <w:rPr>
          <w:rFonts w:ascii="Times New Roman" w:hAnsi="Times New Roman"/>
          <w:spacing w:val="-1"/>
          <w:sz w:val="24"/>
          <w:szCs w:val="24"/>
        </w:rPr>
        <w:t>a</w:t>
      </w:r>
      <w:r w:rsidRPr="00D75D2E">
        <w:rPr>
          <w:rFonts w:ascii="Times New Roman" w:hAnsi="Times New Roman"/>
          <w:spacing w:val="1"/>
          <w:sz w:val="24"/>
          <w:szCs w:val="24"/>
        </w:rPr>
        <w:t>m</w:t>
      </w:r>
      <w:r w:rsidRPr="00D75D2E">
        <w:rPr>
          <w:rFonts w:ascii="Times New Roman" w:hAnsi="Times New Roman"/>
          <w:spacing w:val="-1"/>
          <w:sz w:val="24"/>
          <w:szCs w:val="24"/>
        </w:rPr>
        <w:t>é</w:t>
      </w:r>
      <w:r w:rsidRPr="00D75D2E">
        <w:rPr>
          <w:rFonts w:ascii="Times New Roman" w:hAnsi="Times New Roman"/>
          <w:sz w:val="24"/>
          <w:szCs w:val="24"/>
        </w:rPr>
        <w:t>l</w:t>
      </w:r>
      <w:r w:rsidRPr="00D75D2E">
        <w:rPr>
          <w:rFonts w:ascii="Times New Roman" w:hAnsi="Times New Roman"/>
          <w:spacing w:val="3"/>
          <w:sz w:val="24"/>
          <w:szCs w:val="24"/>
        </w:rPr>
        <w:t>i</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pacing w:val="-3"/>
          <w:sz w:val="24"/>
          <w:szCs w:val="24"/>
        </w:rPr>
        <w:t>a</w:t>
      </w:r>
      <w:r w:rsidRPr="00D75D2E">
        <w:rPr>
          <w:rFonts w:ascii="Times New Roman" w:hAnsi="Times New Roman"/>
          <w:sz w:val="24"/>
          <w:szCs w:val="24"/>
        </w:rPr>
        <w:t xml:space="preserve">tion de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3"/>
          <w:sz w:val="24"/>
          <w:szCs w:val="24"/>
        </w:rPr>
        <w:t>s</w:t>
      </w:r>
      <w:r w:rsidRPr="00D75D2E">
        <w:rPr>
          <w:rFonts w:ascii="Times New Roman" w:hAnsi="Times New Roman"/>
          <w:spacing w:val="-1"/>
          <w:sz w:val="24"/>
          <w:szCs w:val="24"/>
        </w:rPr>
        <w:t>éc</w:t>
      </w:r>
      <w:r w:rsidRPr="00D75D2E">
        <w:rPr>
          <w:rFonts w:ascii="Times New Roman" w:hAnsi="Times New Roman"/>
          <w:sz w:val="24"/>
          <w:szCs w:val="24"/>
        </w:rPr>
        <w:t>urit</w:t>
      </w:r>
      <w:r w:rsidRPr="00D75D2E">
        <w:rPr>
          <w:rFonts w:ascii="Times New Roman" w:hAnsi="Times New Roman"/>
          <w:spacing w:val="-1"/>
          <w:sz w:val="24"/>
          <w:szCs w:val="24"/>
        </w:rPr>
        <w:t>é</w:t>
      </w:r>
      <w:r w:rsidRPr="00D75D2E">
        <w:rPr>
          <w:rFonts w:ascii="Times New Roman" w:hAnsi="Times New Roman"/>
          <w:sz w:val="24"/>
          <w:szCs w:val="24"/>
        </w:rPr>
        <w:t>, la Dir</w:t>
      </w:r>
      <w:r w:rsidRPr="00D75D2E">
        <w:rPr>
          <w:rFonts w:ascii="Times New Roman" w:hAnsi="Times New Roman"/>
          <w:spacing w:val="-3"/>
          <w:sz w:val="24"/>
          <w:szCs w:val="24"/>
        </w:rPr>
        <w:t>e</w:t>
      </w:r>
      <w:r w:rsidRPr="00D75D2E">
        <w:rPr>
          <w:rFonts w:ascii="Times New Roman" w:hAnsi="Times New Roman"/>
          <w:spacing w:val="-1"/>
          <w:sz w:val="24"/>
          <w:szCs w:val="24"/>
        </w:rPr>
        <w:t>c</w:t>
      </w:r>
      <w:r w:rsidRPr="00D75D2E">
        <w:rPr>
          <w:rFonts w:ascii="Times New Roman" w:hAnsi="Times New Roman"/>
          <w:sz w:val="24"/>
          <w:szCs w:val="24"/>
        </w:rPr>
        <w:t>tion</w:t>
      </w:r>
      <w:r w:rsidRPr="00D75D2E">
        <w:rPr>
          <w:rFonts w:ascii="Times New Roman" w:hAnsi="Times New Roman"/>
          <w:spacing w:val="4"/>
          <w:sz w:val="24"/>
          <w:szCs w:val="24"/>
        </w:rPr>
        <w:t xml:space="preserve"> G</w:t>
      </w:r>
      <w:r w:rsidRPr="00D75D2E">
        <w:rPr>
          <w:rFonts w:ascii="Times New Roman" w:hAnsi="Times New Roman"/>
          <w:spacing w:val="-1"/>
          <w:sz w:val="24"/>
          <w:szCs w:val="24"/>
        </w:rPr>
        <w:t>é</w:t>
      </w:r>
      <w:r w:rsidRPr="00D75D2E">
        <w:rPr>
          <w:rFonts w:ascii="Times New Roman" w:hAnsi="Times New Roman"/>
          <w:spacing w:val="2"/>
          <w:sz w:val="24"/>
          <w:szCs w:val="24"/>
        </w:rPr>
        <w:t>n</w:t>
      </w:r>
      <w:r w:rsidRPr="00D75D2E">
        <w:rPr>
          <w:rFonts w:ascii="Times New Roman" w:hAnsi="Times New Roman"/>
          <w:spacing w:val="-1"/>
          <w:sz w:val="24"/>
          <w:szCs w:val="24"/>
        </w:rPr>
        <w:t>ér</w:t>
      </w:r>
      <w:r w:rsidRPr="00D75D2E">
        <w:rPr>
          <w:rFonts w:ascii="Times New Roman" w:hAnsi="Times New Roman"/>
          <w:spacing w:val="-3"/>
          <w:sz w:val="24"/>
          <w:szCs w:val="24"/>
        </w:rPr>
        <w:t>a</w:t>
      </w:r>
      <w:r w:rsidRPr="00D75D2E">
        <w:rPr>
          <w:rFonts w:ascii="Times New Roman" w:hAnsi="Times New Roman"/>
          <w:spacing w:val="5"/>
          <w:sz w:val="24"/>
          <w:szCs w:val="24"/>
        </w:rPr>
        <w:t>l</w:t>
      </w:r>
      <w:r w:rsidRPr="00D75D2E">
        <w:rPr>
          <w:rFonts w:ascii="Times New Roman" w:hAnsi="Times New Roman"/>
          <w:sz w:val="24"/>
          <w:szCs w:val="24"/>
        </w:rPr>
        <w:t>e de</w:t>
      </w:r>
      <w:r w:rsidRPr="00D75D2E">
        <w:rPr>
          <w:rFonts w:ascii="Times New Roman" w:hAnsi="Times New Roman"/>
          <w:spacing w:val="5"/>
          <w:sz w:val="24"/>
          <w:szCs w:val="24"/>
        </w:rPr>
        <w:t xml:space="preserve"> </w:t>
      </w:r>
      <w:r w:rsidRPr="00D75D2E">
        <w:rPr>
          <w:rFonts w:ascii="Times New Roman" w:hAnsi="Times New Roman"/>
          <w:spacing w:val="-2"/>
          <w:sz w:val="24"/>
          <w:szCs w:val="24"/>
        </w:rPr>
        <w:t>l</w:t>
      </w:r>
      <w:r w:rsidRPr="00D75D2E">
        <w:rPr>
          <w:rFonts w:ascii="Times New Roman" w:hAnsi="Times New Roman"/>
          <w:spacing w:val="1"/>
          <w:sz w:val="24"/>
          <w:szCs w:val="24"/>
        </w:rPr>
        <w:t>’</w:t>
      </w:r>
      <w:r w:rsidRPr="00D75D2E">
        <w:rPr>
          <w:rFonts w:ascii="Times New Roman" w:hAnsi="Times New Roman"/>
          <w:sz w:val="24"/>
          <w:szCs w:val="24"/>
        </w:rPr>
        <w:t>ent</w:t>
      </w:r>
      <w:r w:rsidRPr="00D75D2E">
        <w:rPr>
          <w:rFonts w:ascii="Times New Roman" w:hAnsi="Times New Roman"/>
          <w:spacing w:val="-1"/>
          <w:sz w:val="24"/>
          <w:szCs w:val="24"/>
        </w:rPr>
        <w:t>r</w:t>
      </w:r>
      <w:r w:rsidRPr="00D75D2E">
        <w:rPr>
          <w:rFonts w:ascii="Times New Roman" w:hAnsi="Times New Roman"/>
          <w:sz w:val="24"/>
          <w:szCs w:val="24"/>
        </w:rPr>
        <w:t xml:space="preserve">eprise </w:t>
      </w:r>
      <w:r w:rsidRPr="00D75D2E">
        <w:rPr>
          <w:rFonts w:ascii="Times New Roman" w:hAnsi="Times New Roman"/>
          <w:spacing w:val="3"/>
          <w:sz w:val="24"/>
          <w:szCs w:val="24"/>
        </w:rPr>
        <w:t>d</w:t>
      </w:r>
      <w:r w:rsidRPr="00D75D2E">
        <w:rPr>
          <w:rFonts w:ascii="Times New Roman" w:hAnsi="Times New Roman"/>
          <w:spacing w:val="-1"/>
          <w:sz w:val="24"/>
          <w:szCs w:val="24"/>
        </w:rPr>
        <w:t>é</w:t>
      </w:r>
      <w:r w:rsidRPr="00D75D2E">
        <w:rPr>
          <w:rFonts w:ascii="Times New Roman" w:hAnsi="Times New Roman"/>
          <w:sz w:val="24"/>
          <w:szCs w:val="24"/>
        </w:rPr>
        <w:t xml:space="preserve">finit les </w:t>
      </w:r>
      <w:r w:rsidRPr="00D75D2E">
        <w:rPr>
          <w:rFonts w:ascii="Times New Roman" w:hAnsi="Times New Roman"/>
          <w:spacing w:val="-1"/>
          <w:sz w:val="24"/>
          <w:szCs w:val="24"/>
        </w:rPr>
        <w:t>a</w:t>
      </w:r>
      <w:r w:rsidRPr="00D75D2E">
        <w:rPr>
          <w:rFonts w:ascii="Times New Roman" w:hAnsi="Times New Roman"/>
          <w:spacing w:val="2"/>
          <w:sz w:val="24"/>
          <w:szCs w:val="24"/>
        </w:rPr>
        <w:t>x</w:t>
      </w:r>
      <w:r w:rsidRPr="00D75D2E">
        <w:rPr>
          <w:rFonts w:ascii="Times New Roman" w:hAnsi="Times New Roman"/>
          <w:spacing w:val="-1"/>
          <w:sz w:val="24"/>
          <w:szCs w:val="24"/>
        </w:rPr>
        <w:t>e</w:t>
      </w:r>
      <w:r w:rsidRPr="00D75D2E">
        <w:rPr>
          <w:rFonts w:ascii="Times New Roman" w:hAnsi="Times New Roman"/>
          <w:sz w:val="24"/>
          <w:szCs w:val="24"/>
        </w:rPr>
        <w:t>s de p</w:t>
      </w:r>
      <w:r w:rsidRPr="00D75D2E">
        <w:rPr>
          <w:rFonts w:ascii="Times New Roman" w:hAnsi="Times New Roman"/>
          <w:spacing w:val="-1"/>
          <w:sz w:val="24"/>
          <w:szCs w:val="24"/>
        </w:rPr>
        <w:t>r</w:t>
      </w:r>
      <w:r w:rsidRPr="00D75D2E">
        <w:rPr>
          <w:rFonts w:ascii="Times New Roman" w:hAnsi="Times New Roman"/>
          <w:sz w:val="24"/>
          <w:szCs w:val="24"/>
        </w:rPr>
        <w:t>og</w:t>
      </w:r>
      <w:r w:rsidRPr="00D75D2E">
        <w:rPr>
          <w:rFonts w:ascii="Times New Roman" w:hAnsi="Times New Roman"/>
          <w:spacing w:val="-1"/>
          <w:sz w:val="24"/>
          <w:szCs w:val="24"/>
        </w:rPr>
        <w:t>r</w:t>
      </w:r>
      <w:r w:rsidRPr="00D75D2E">
        <w:rPr>
          <w:rFonts w:ascii="Times New Roman" w:hAnsi="Times New Roman"/>
          <w:spacing w:val="-3"/>
          <w:sz w:val="24"/>
          <w:szCs w:val="24"/>
        </w:rPr>
        <w:t>è</w:t>
      </w:r>
      <w:r w:rsidRPr="00D75D2E">
        <w:rPr>
          <w:rFonts w:ascii="Times New Roman" w:hAnsi="Times New Roman"/>
          <w:sz w:val="24"/>
          <w:szCs w:val="24"/>
        </w:rPr>
        <w:t>s suiv</w:t>
      </w:r>
      <w:r w:rsidRPr="00D75D2E">
        <w:rPr>
          <w:rFonts w:ascii="Times New Roman" w:hAnsi="Times New Roman"/>
          <w:spacing w:val="-1"/>
          <w:sz w:val="24"/>
          <w:szCs w:val="24"/>
        </w:rPr>
        <w:t>a</w:t>
      </w:r>
      <w:r w:rsidRPr="00D75D2E">
        <w:rPr>
          <w:rFonts w:ascii="Times New Roman" w:hAnsi="Times New Roman"/>
          <w:sz w:val="24"/>
          <w:szCs w:val="24"/>
        </w:rPr>
        <w:t>nts :</w:t>
      </w:r>
    </w:p>
    <w:p w14:paraId="22228EC4"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pacing w:val="1"/>
          <w:sz w:val="24"/>
          <w:szCs w:val="24"/>
        </w:rPr>
        <w:t>R</w:t>
      </w:r>
      <w:r w:rsidRPr="00D75D2E">
        <w:rPr>
          <w:rFonts w:ascii="Times New Roman" w:hAnsi="Times New Roman"/>
          <w:spacing w:val="-1"/>
          <w:sz w:val="24"/>
          <w:szCs w:val="24"/>
        </w:rPr>
        <w:t>e</w:t>
      </w:r>
      <w:r w:rsidRPr="00D75D2E">
        <w:rPr>
          <w:rFonts w:ascii="Times New Roman" w:hAnsi="Times New Roman"/>
          <w:sz w:val="24"/>
          <w:szCs w:val="24"/>
        </w:rPr>
        <w:t>nf</w:t>
      </w:r>
      <w:r w:rsidRPr="00D75D2E">
        <w:rPr>
          <w:rFonts w:ascii="Times New Roman" w:hAnsi="Times New Roman"/>
          <w:spacing w:val="-1"/>
          <w:sz w:val="24"/>
          <w:szCs w:val="24"/>
        </w:rPr>
        <w:t>orce</w:t>
      </w:r>
      <w:r w:rsidRPr="00D75D2E">
        <w:rPr>
          <w:rFonts w:ascii="Times New Roman" w:hAnsi="Times New Roman"/>
          <w:sz w:val="24"/>
          <w:szCs w:val="24"/>
        </w:rPr>
        <w:t xml:space="preserve">r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c</w:t>
      </w:r>
      <w:r w:rsidRPr="00D75D2E">
        <w:rPr>
          <w:rFonts w:ascii="Times New Roman" w:hAnsi="Times New Roman"/>
          <w:sz w:val="24"/>
          <w:szCs w:val="24"/>
        </w:rPr>
        <w:t>ommuni</w:t>
      </w:r>
      <w:r w:rsidRPr="00D75D2E">
        <w:rPr>
          <w:rFonts w:ascii="Times New Roman" w:hAnsi="Times New Roman"/>
          <w:spacing w:val="2"/>
          <w:sz w:val="24"/>
          <w:szCs w:val="24"/>
        </w:rPr>
        <w:t>ca</w:t>
      </w:r>
      <w:r w:rsidRPr="00D75D2E">
        <w:rPr>
          <w:rFonts w:ascii="Times New Roman" w:hAnsi="Times New Roman"/>
          <w:sz w:val="24"/>
          <w:szCs w:val="24"/>
        </w:rPr>
        <w:t xml:space="preserve">tion sur la </w:t>
      </w:r>
      <w:r w:rsidRPr="00D75D2E">
        <w:rPr>
          <w:rFonts w:ascii="Times New Roman" w:hAnsi="Times New Roman"/>
          <w:spacing w:val="2"/>
          <w:sz w:val="24"/>
          <w:szCs w:val="24"/>
        </w:rPr>
        <w:t>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pacing w:val="2"/>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ntion </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s risqu</w:t>
      </w:r>
      <w:r w:rsidRPr="00D75D2E">
        <w:rPr>
          <w:rFonts w:ascii="Times New Roman" w:hAnsi="Times New Roman"/>
          <w:spacing w:val="-1"/>
          <w:sz w:val="24"/>
          <w:szCs w:val="24"/>
        </w:rPr>
        <w:t>e</w:t>
      </w:r>
      <w:r w:rsidRPr="00D75D2E">
        <w:rPr>
          <w:rFonts w:ascii="Times New Roman" w:hAnsi="Times New Roman"/>
          <w:sz w:val="24"/>
          <w:szCs w:val="24"/>
        </w:rPr>
        <w:t xml:space="preserve">s, les </w:t>
      </w:r>
      <w:r w:rsidRPr="00D75D2E">
        <w:rPr>
          <w:rFonts w:ascii="Times New Roman" w:hAnsi="Times New Roman"/>
          <w:spacing w:val="-1"/>
          <w:sz w:val="24"/>
          <w:szCs w:val="24"/>
        </w:rPr>
        <w:t>c</w:t>
      </w:r>
      <w:r w:rsidRPr="00D75D2E">
        <w:rPr>
          <w:rFonts w:ascii="Times New Roman" w:hAnsi="Times New Roman"/>
          <w:sz w:val="24"/>
          <w:szCs w:val="24"/>
        </w:rPr>
        <w:t xml:space="preserve">ontrôles </w:t>
      </w:r>
      <w:r w:rsidRPr="00D75D2E">
        <w:rPr>
          <w:rFonts w:ascii="Times New Roman" w:hAnsi="Times New Roman"/>
          <w:spacing w:val="-1"/>
          <w:sz w:val="24"/>
          <w:szCs w:val="24"/>
        </w:rPr>
        <w:t>ré</w:t>
      </w:r>
      <w:r w:rsidRPr="00D75D2E">
        <w:rPr>
          <w:rFonts w:ascii="Times New Roman" w:hAnsi="Times New Roman"/>
          <w:spacing w:val="-2"/>
          <w:sz w:val="24"/>
          <w:szCs w:val="24"/>
        </w:rPr>
        <w:t>g</w:t>
      </w:r>
      <w:r w:rsidRPr="00D75D2E">
        <w:rPr>
          <w:rFonts w:ascii="Times New Roman" w:hAnsi="Times New Roman"/>
          <w:sz w:val="24"/>
          <w:szCs w:val="24"/>
        </w:rPr>
        <w:t>lem</w:t>
      </w:r>
      <w:r w:rsidRPr="00D75D2E">
        <w:rPr>
          <w:rFonts w:ascii="Times New Roman" w:hAnsi="Times New Roman"/>
          <w:spacing w:val="-1"/>
          <w:sz w:val="24"/>
          <w:szCs w:val="24"/>
        </w:rPr>
        <w:t>e</w:t>
      </w:r>
      <w:r w:rsidRPr="00D75D2E">
        <w:rPr>
          <w:rFonts w:ascii="Times New Roman" w:hAnsi="Times New Roman"/>
          <w:spacing w:val="7"/>
          <w:sz w:val="24"/>
          <w:szCs w:val="24"/>
        </w:rPr>
        <w:t>n</w:t>
      </w:r>
      <w:r w:rsidRPr="00D75D2E">
        <w:rPr>
          <w:rFonts w:ascii="Times New Roman" w:hAnsi="Times New Roman"/>
          <w:sz w:val="24"/>
          <w:szCs w:val="24"/>
        </w:rPr>
        <w:t>tai</w:t>
      </w:r>
      <w:r w:rsidRPr="00D75D2E">
        <w:rPr>
          <w:rFonts w:ascii="Times New Roman" w:hAnsi="Times New Roman"/>
          <w:spacing w:val="-1"/>
          <w:sz w:val="24"/>
          <w:szCs w:val="24"/>
        </w:rPr>
        <w:t>re</w:t>
      </w:r>
      <w:r w:rsidRPr="00D75D2E">
        <w:rPr>
          <w:rFonts w:ascii="Times New Roman" w:hAnsi="Times New Roman"/>
          <w:sz w:val="24"/>
          <w:szCs w:val="24"/>
        </w:rPr>
        <w:t xml:space="preserve">s, les </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su</w:t>
      </w:r>
      <w:r w:rsidRPr="00D75D2E">
        <w:rPr>
          <w:rFonts w:ascii="Times New Roman" w:hAnsi="Times New Roman"/>
          <w:spacing w:val="1"/>
          <w:sz w:val="24"/>
          <w:szCs w:val="24"/>
        </w:rPr>
        <w:t>l</w:t>
      </w:r>
      <w:r w:rsidRPr="00D75D2E">
        <w:rPr>
          <w:rFonts w:ascii="Times New Roman" w:hAnsi="Times New Roman"/>
          <w:sz w:val="24"/>
          <w:szCs w:val="24"/>
        </w:rPr>
        <w:t>t</w:t>
      </w:r>
      <w:r w:rsidRPr="00D75D2E">
        <w:rPr>
          <w:rFonts w:ascii="Times New Roman" w:hAnsi="Times New Roman"/>
          <w:spacing w:val="-1"/>
          <w:sz w:val="24"/>
          <w:szCs w:val="24"/>
        </w:rPr>
        <w:t>a</w:t>
      </w:r>
      <w:r w:rsidRPr="00D75D2E">
        <w:rPr>
          <w:rFonts w:ascii="Times New Roman" w:hAnsi="Times New Roman"/>
          <w:sz w:val="24"/>
          <w:szCs w:val="24"/>
        </w:rPr>
        <w:t>ts s</w:t>
      </w:r>
      <w:r w:rsidRPr="00D75D2E">
        <w:rPr>
          <w:rFonts w:ascii="Times New Roman" w:hAnsi="Times New Roman"/>
          <w:spacing w:val="-1"/>
          <w:sz w:val="24"/>
          <w:szCs w:val="24"/>
        </w:rPr>
        <w:t>éc</w:t>
      </w:r>
      <w:r w:rsidRPr="00D75D2E">
        <w:rPr>
          <w:rFonts w:ascii="Times New Roman" w:hAnsi="Times New Roman"/>
          <w:sz w:val="24"/>
          <w:szCs w:val="24"/>
        </w:rPr>
        <w:t>urité </w:t>
      </w:r>
      <w:r w:rsidRPr="00D75D2E">
        <w:rPr>
          <w:rFonts w:ascii="Times New Roman" w:hAnsi="Times New Roman"/>
          <w:spacing w:val="-1"/>
          <w:sz w:val="24"/>
          <w:szCs w:val="24"/>
        </w:rPr>
        <w:t>;</w:t>
      </w:r>
    </w:p>
    <w:p w14:paraId="22CBA9A8"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z w:val="24"/>
          <w:szCs w:val="24"/>
        </w:rPr>
        <w:t>D</w:t>
      </w:r>
      <w:r w:rsidRPr="00D75D2E">
        <w:rPr>
          <w:rFonts w:ascii="Times New Roman" w:hAnsi="Times New Roman"/>
          <w:spacing w:val="-1"/>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lopper</w:t>
      </w:r>
      <w:r w:rsidRPr="00D75D2E">
        <w:rPr>
          <w:rFonts w:ascii="Times New Roman" w:hAnsi="Times New Roman"/>
          <w:spacing w:val="3"/>
          <w:sz w:val="24"/>
          <w:szCs w:val="24"/>
        </w:rPr>
        <w:t xml:space="preserve"> </w:t>
      </w:r>
      <w:r w:rsidRPr="00D75D2E">
        <w:rPr>
          <w:rFonts w:ascii="Times New Roman" w:hAnsi="Times New Roman"/>
          <w:spacing w:val="-1"/>
          <w:sz w:val="24"/>
          <w:szCs w:val="24"/>
        </w:rPr>
        <w:t>l</w:t>
      </w:r>
      <w:r w:rsidRPr="00D75D2E">
        <w:rPr>
          <w:rFonts w:ascii="Times New Roman" w:hAnsi="Times New Roman"/>
          <w:sz w:val="24"/>
          <w:szCs w:val="24"/>
        </w:rPr>
        <w:t>es vis</w:t>
      </w:r>
      <w:r w:rsidRPr="00D75D2E">
        <w:rPr>
          <w:rFonts w:ascii="Times New Roman" w:hAnsi="Times New Roman"/>
          <w:spacing w:val="1"/>
          <w:sz w:val="24"/>
          <w:szCs w:val="24"/>
        </w:rPr>
        <w:t>i</w:t>
      </w:r>
      <w:r w:rsidRPr="00D75D2E">
        <w:rPr>
          <w:rFonts w:ascii="Times New Roman" w:hAnsi="Times New Roman"/>
          <w:sz w:val="24"/>
          <w:szCs w:val="24"/>
        </w:rPr>
        <w:t>t</w:t>
      </w:r>
      <w:r w:rsidRPr="00D75D2E">
        <w:rPr>
          <w:rFonts w:ascii="Times New Roman" w:hAnsi="Times New Roman"/>
          <w:spacing w:val="-1"/>
          <w:sz w:val="24"/>
          <w:szCs w:val="24"/>
        </w:rPr>
        <w:t>e</w:t>
      </w:r>
      <w:r w:rsidRPr="00D75D2E">
        <w:rPr>
          <w:rFonts w:ascii="Times New Roman" w:hAnsi="Times New Roman"/>
          <w:sz w:val="24"/>
          <w:szCs w:val="24"/>
        </w:rPr>
        <w:t>s de s</w:t>
      </w:r>
      <w:r w:rsidRPr="00D75D2E">
        <w:rPr>
          <w:rFonts w:ascii="Times New Roman" w:hAnsi="Times New Roman"/>
          <w:spacing w:val="-1"/>
          <w:sz w:val="24"/>
          <w:szCs w:val="24"/>
        </w:rPr>
        <w:t>éc</w:t>
      </w:r>
      <w:r w:rsidRPr="00D75D2E">
        <w:rPr>
          <w:rFonts w:ascii="Times New Roman" w:hAnsi="Times New Roman"/>
          <w:sz w:val="24"/>
          <w:szCs w:val="24"/>
        </w:rPr>
        <w:t>urité</w:t>
      </w:r>
      <w:r w:rsidRPr="00D75D2E">
        <w:rPr>
          <w:rFonts w:ascii="Times New Roman" w:hAnsi="Times New Roman"/>
          <w:spacing w:val="-1"/>
          <w:sz w:val="24"/>
          <w:szCs w:val="24"/>
        </w:rPr>
        <w:t xml:space="preserve"> e</w:t>
      </w:r>
      <w:r w:rsidRPr="00D75D2E">
        <w:rPr>
          <w:rFonts w:ascii="Times New Roman" w:hAnsi="Times New Roman"/>
          <w:sz w:val="24"/>
          <w:szCs w:val="24"/>
        </w:rPr>
        <w:t xml:space="preserve">t </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udits i</w:t>
      </w:r>
      <w:r w:rsidRPr="00D75D2E">
        <w:rPr>
          <w:rFonts w:ascii="Times New Roman" w:hAnsi="Times New Roman"/>
          <w:spacing w:val="1"/>
          <w:sz w:val="24"/>
          <w:szCs w:val="24"/>
        </w:rPr>
        <w:t>n</w:t>
      </w:r>
      <w:r w:rsidRPr="00D75D2E">
        <w:rPr>
          <w:rFonts w:ascii="Times New Roman" w:hAnsi="Times New Roman"/>
          <w:sz w:val="24"/>
          <w:szCs w:val="24"/>
        </w:rPr>
        <w:t>t</w:t>
      </w:r>
      <w:r w:rsidRPr="00D75D2E">
        <w:rPr>
          <w:rFonts w:ascii="Times New Roman" w:hAnsi="Times New Roman"/>
          <w:spacing w:val="-3"/>
          <w:sz w:val="24"/>
          <w:szCs w:val="24"/>
        </w:rPr>
        <w:t>e</w:t>
      </w:r>
      <w:r w:rsidRPr="00D75D2E">
        <w:rPr>
          <w:rFonts w:ascii="Times New Roman" w:hAnsi="Times New Roman"/>
          <w:spacing w:val="-1"/>
          <w:sz w:val="24"/>
          <w:szCs w:val="24"/>
        </w:rPr>
        <w:t>r</w:t>
      </w:r>
      <w:r w:rsidRPr="00D75D2E">
        <w:rPr>
          <w:rFonts w:ascii="Times New Roman" w:hAnsi="Times New Roman"/>
          <w:sz w:val="24"/>
          <w:szCs w:val="24"/>
        </w:rPr>
        <w:t>n</w:t>
      </w:r>
      <w:r w:rsidRPr="00D75D2E">
        <w:rPr>
          <w:rFonts w:ascii="Times New Roman" w:hAnsi="Times New Roman"/>
          <w:spacing w:val="-3"/>
          <w:sz w:val="24"/>
          <w:szCs w:val="24"/>
        </w:rPr>
        <w:t>e</w:t>
      </w:r>
      <w:r w:rsidRPr="00D75D2E">
        <w:rPr>
          <w:rFonts w:ascii="Times New Roman" w:hAnsi="Times New Roman"/>
          <w:sz w:val="24"/>
          <w:szCs w:val="24"/>
        </w:rPr>
        <w:t xml:space="preserve">s du </w:t>
      </w:r>
      <w:r w:rsidRPr="00D75D2E">
        <w:rPr>
          <w:rFonts w:ascii="Times New Roman" w:hAnsi="Times New Roman"/>
          <w:spacing w:val="1"/>
          <w:sz w:val="24"/>
          <w:szCs w:val="24"/>
        </w:rPr>
        <w:t>S</w:t>
      </w:r>
      <w:r w:rsidRPr="00D75D2E">
        <w:rPr>
          <w:rFonts w:ascii="Times New Roman" w:hAnsi="Times New Roman"/>
          <w:sz w:val="24"/>
          <w:szCs w:val="24"/>
        </w:rPr>
        <w:t>ME ;</w:t>
      </w:r>
    </w:p>
    <w:p w14:paraId="7A384B33"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pacing w:val="1"/>
          <w:sz w:val="24"/>
          <w:szCs w:val="24"/>
        </w:rPr>
        <w:t>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3"/>
          <w:sz w:val="24"/>
          <w:szCs w:val="24"/>
        </w:rPr>
        <w:t>c</w:t>
      </w:r>
      <w:r w:rsidRPr="00D75D2E">
        <w:rPr>
          <w:rFonts w:ascii="Times New Roman" w:hAnsi="Times New Roman"/>
          <w:spacing w:val="-1"/>
          <w:sz w:val="24"/>
          <w:szCs w:val="24"/>
        </w:rPr>
        <w:t>é</w:t>
      </w:r>
      <w:r w:rsidRPr="00D75D2E">
        <w:rPr>
          <w:rFonts w:ascii="Times New Roman" w:hAnsi="Times New Roman"/>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7"/>
          <w:sz w:val="24"/>
          <w:szCs w:val="24"/>
        </w:rPr>
        <w:t>s</w:t>
      </w:r>
      <w:r w:rsidRPr="00D75D2E">
        <w:rPr>
          <w:rFonts w:ascii="Times New Roman" w:hAnsi="Times New Roman"/>
          <w:spacing w:val="-10"/>
          <w:sz w:val="24"/>
          <w:szCs w:val="24"/>
        </w:rPr>
        <w:t>y</w:t>
      </w:r>
      <w:r w:rsidRPr="00D75D2E">
        <w:rPr>
          <w:rFonts w:ascii="Times New Roman" w:hAnsi="Times New Roman"/>
          <w:sz w:val="24"/>
          <w:szCs w:val="24"/>
        </w:rPr>
        <w:t>s</w:t>
      </w:r>
      <w:r w:rsidRPr="00D75D2E">
        <w:rPr>
          <w:rFonts w:ascii="Times New Roman" w:hAnsi="Times New Roman"/>
          <w:spacing w:val="3"/>
          <w:sz w:val="24"/>
          <w:szCs w:val="24"/>
        </w:rPr>
        <w:t>t</w:t>
      </w:r>
      <w:r w:rsidRPr="00D75D2E">
        <w:rPr>
          <w:rFonts w:ascii="Times New Roman" w:hAnsi="Times New Roman"/>
          <w:spacing w:val="-1"/>
          <w:sz w:val="24"/>
          <w:szCs w:val="24"/>
        </w:rPr>
        <w:t>é</w:t>
      </w:r>
      <w:r w:rsidRPr="00D75D2E">
        <w:rPr>
          <w:rFonts w:ascii="Times New Roman" w:hAnsi="Times New Roman"/>
          <w:spacing w:val="1"/>
          <w:sz w:val="24"/>
          <w:szCs w:val="24"/>
        </w:rPr>
        <w:t>m</w:t>
      </w:r>
      <w:r w:rsidRPr="00D75D2E">
        <w:rPr>
          <w:rFonts w:ascii="Times New Roman" w:hAnsi="Times New Roman"/>
          <w:spacing w:val="-1"/>
          <w:sz w:val="24"/>
          <w:szCs w:val="24"/>
        </w:rPr>
        <w:t>a</w:t>
      </w:r>
      <w:r w:rsidRPr="00D75D2E">
        <w:rPr>
          <w:rFonts w:ascii="Times New Roman" w:hAnsi="Times New Roman"/>
          <w:sz w:val="24"/>
          <w:szCs w:val="24"/>
        </w:rPr>
        <w:t>t</w:t>
      </w:r>
      <w:r w:rsidRPr="00D75D2E">
        <w:rPr>
          <w:rFonts w:ascii="Times New Roman" w:hAnsi="Times New Roman"/>
          <w:spacing w:val="3"/>
          <w:sz w:val="24"/>
          <w:szCs w:val="24"/>
        </w:rPr>
        <w:t>i</w:t>
      </w:r>
      <w:r w:rsidRPr="00D75D2E">
        <w:rPr>
          <w:rFonts w:ascii="Times New Roman" w:hAnsi="Times New Roman"/>
          <w:sz w:val="24"/>
          <w:szCs w:val="24"/>
        </w:rPr>
        <w:t>qu</w:t>
      </w:r>
      <w:r w:rsidRPr="00D75D2E">
        <w:rPr>
          <w:rFonts w:ascii="Times New Roman" w:hAnsi="Times New Roman"/>
          <w:spacing w:val="-1"/>
          <w:sz w:val="24"/>
          <w:szCs w:val="24"/>
        </w:rPr>
        <w:t>e</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z w:val="24"/>
          <w:szCs w:val="24"/>
        </w:rPr>
        <w:t>nt à</w:t>
      </w:r>
      <w:r w:rsidRPr="00D75D2E">
        <w:rPr>
          <w:rFonts w:ascii="Times New Roman" w:hAnsi="Times New Roman"/>
          <w:spacing w:val="1"/>
          <w:sz w:val="24"/>
          <w:szCs w:val="24"/>
        </w:rPr>
        <w:t xml:space="preserve"> l</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pacing w:val="-1"/>
          <w:sz w:val="24"/>
          <w:szCs w:val="24"/>
        </w:rPr>
        <w:t>a</w:t>
      </w:r>
      <w:r w:rsidRPr="00D75D2E">
        <w:rPr>
          <w:rFonts w:ascii="Times New Roman" w:hAnsi="Times New Roman"/>
          <w:spacing w:val="8"/>
          <w:sz w:val="24"/>
          <w:szCs w:val="24"/>
        </w:rPr>
        <w:t>l</w:t>
      </w:r>
      <w:r w:rsidRPr="00D75D2E">
        <w:rPr>
          <w:rFonts w:ascii="Times New Roman" w:hAnsi="Times New Roman"/>
          <w:spacing w:val="-12"/>
          <w:sz w:val="24"/>
          <w:szCs w:val="24"/>
        </w:rPr>
        <w:t>y</w:t>
      </w:r>
      <w:r w:rsidRPr="00D75D2E">
        <w:rPr>
          <w:rFonts w:ascii="Times New Roman" w:hAnsi="Times New Roman"/>
          <w:spacing w:val="5"/>
          <w:sz w:val="24"/>
          <w:szCs w:val="24"/>
        </w:rPr>
        <w:t>s</w:t>
      </w:r>
      <w:r w:rsidRPr="00D75D2E">
        <w:rPr>
          <w:rFonts w:ascii="Times New Roman" w:hAnsi="Times New Roman"/>
          <w:sz w:val="24"/>
          <w:szCs w:val="24"/>
        </w:rPr>
        <w:t>e</w:t>
      </w:r>
      <w:r w:rsidRPr="00D75D2E">
        <w:rPr>
          <w:rFonts w:ascii="Times New Roman" w:hAnsi="Times New Roman"/>
          <w:spacing w:val="2"/>
          <w:sz w:val="24"/>
          <w:szCs w:val="24"/>
        </w:rPr>
        <w:t xml:space="preserve"> </w:t>
      </w:r>
      <w:r w:rsidRPr="00D75D2E">
        <w:rPr>
          <w:rFonts w:ascii="Times New Roman" w:hAnsi="Times New Roman"/>
          <w:sz w:val="24"/>
          <w:szCs w:val="24"/>
        </w:rPr>
        <w:t>p</w:t>
      </w:r>
      <w:r w:rsidRPr="00D75D2E">
        <w:rPr>
          <w:rFonts w:ascii="Times New Roman" w:hAnsi="Times New Roman"/>
          <w:spacing w:val="-3"/>
          <w:sz w:val="24"/>
          <w:szCs w:val="24"/>
        </w:rPr>
        <w:t>r</w:t>
      </w:r>
      <w:r w:rsidRPr="00D75D2E">
        <w:rPr>
          <w:rFonts w:ascii="Times New Roman" w:hAnsi="Times New Roman"/>
          <w:sz w:val="24"/>
          <w:szCs w:val="24"/>
        </w:rPr>
        <w:t>élimi</w:t>
      </w:r>
      <w:r w:rsidRPr="00D75D2E">
        <w:rPr>
          <w:rFonts w:ascii="Times New Roman" w:hAnsi="Times New Roman"/>
          <w:spacing w:val="-1"/>
          <w:sz w:val="24"/>
          <w:szCs w:val="24"/>
        </w:rPr>
        <w:t>n</w:t>
      </w:r>
      <w:r w:rsidRPr="00D75D2E">
        <w:rPr>
          <w:rFonts w:ascii="Times New Roman" w:hAnsi="Times New Roman"/>
          <w:spacing w:val="3"/>
          <w:sz w:val="24"/>
          <w:szCs w:val="24"/>
        </w:rPr>
        <w:t>a</w:t>
      </w:r>
      <w:r w:rsidRPr="00D75D2E">
        <w:rPr>
          <w:rFonts w:ascii="Times New Roman" w:hAnsi="Times New Roman"/>
          <w:sz w:val="24"/>
          <w:szCs w:val="24"/>
        </w:rPr>
        <w:t xml:space="preserve">ire </w:t>
      </w:r>
      <w:r w:rsidRPr="00D75D2E">
        <w:rPr>
          <w:rFonts w:ascii="Times New Roman" w:hAnsi="Times New Roman"/>
          <w:spacing w:val="1"/>
          <w:sz w:val="24"/>
          <w:szCs w:val="24"/>
        </w:rPr>
        <w:t>d</w:t>
      </w:r>
      <w:r w:rsidRPr="00D75D2E">
        <w:rPr>
          <w:rFonts w:ascii="Times New Roman" w:hAnsi="Times New Roman"/>
          <w:spacing w:val="-1"/>
          <w:sz w:val="24"/>
          <w:szCs w:val="24"/>
        </w:rPr>
        <w:t>e</w:t>
      </w:r>
      <w:r w:rsidRPr="00D75D2E">
        <w:rPr>
          <w:rFonts w:ascii="Times New Roman" w:hAnsi="Times New Roman"/>
          <w:sz w:val="24"/>
          <w:szCs w:val="24"/>
        </w:rPr>
        <w:t>s risqu</w:t>
      </w:r>
      <w:r w:rsidRPr="00D75D2E">
        <w:rPr>
          <w:rFonts w:ascii="Times New Roman" w:hAnsi="Times New Roman"/>
          <w:spacing w:val="-1"/>
          <w:sz w:val="24"/>
          <w:szCs w:val="24"/>
        </w:rPr>
        <w:t>e</w:t>
      </w:r>
      <w:r w:rsidRPr="00D75D2E">
        <w:rPr>
          <w:rFonts w:ascii="Times New Roman" w:hAnsi="Times New Roman"/>
          <w:sz w:val="24"/>
          <w:szCs w:val="24"/>
        </w:rPr>
        <w:t xml:space="preserve">s sur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q</w:t>
      </w:r>
      <w:r w:rsidRPr="00D75D2E">
        <w:rPr>
          <w:rFonts w:ascii="Times New Roman" w:hAnsi="Times New Roman"/>
          <w:spacing w:val="5"/>
          <w:sz w:val="24"/>
          <w:szCs w:val="24"/>
        </w:rPr>
        <w:t>u</w:t>
      </w:r>
      <w:r w:rsidRPr="00D75D2E">
        <w:rPr>
          <w:rFonts w:ascii="Times New Roman" w:hAnsi="Times New Roman"/>
          <w:sz w:val="24"/>
          <w:szCs w:val="24"/>
        </w:rPr>
        <w:t>e poste de t</w:t>
      </w:r>
      <w:r w:rsidRPr="00D75D2E">
        <w:rPr>
          <w:rFonts w:ascii="Times New Roman" w:hAnsi="Times New Roman"/>
          <w:spacing w:val="1"/>
          <w:sz w:val="24"/>
          <w:szCs w:val="24"/>
        </w:rPr>
        <w: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il </w:t>
      </w:r>
      <w:r w:rsidRPr="00D75D2E">
        <w:rPr>
          <w:rFonts w:ascii="Times New Roman" w:hAnsi="Times New Roman"/>
          <w:spacing w:val="-1"/>
          <w:sz w:val="24"/>
          <w:szCs w:val="24"/>
        </w:rPr>
        <w:t>e</w:t>
      </w:r>
      <w:r w:rsidRPr="00D75D2E">
        <w:rPr>
          <w:rFonts w:ascii="Times New Roman" w:hAnsi="Times New Roman"/>
          <w:sz w:val="24"/>
          <w:szCs w:val="24"/>
        </w:rPr>
        <w:t>t pour toute nouv</w:t>
      </w:r>
      <w:r w:rsidRPr="00D75D2E">
        <w:rPr>
          <w:rFonts w:ascii="Times New Roman" w:hAnsi="Times New Roman"/>
          <w:spacing w:val="-1"/>
          <w:sz w:val="24"/>
          <w:szCs w:val="24"/>
        </w:rPr>
        <w:t>e</w:t>
      </w:r>
      <w:r w:rsidRPr="00D75D2E">
        <w:rPr>
          <w:rFonts w:ascii="Times New Roman" w:hAnsi="Times New Roman"/>
          <w:sz w:val="24"/>
          <w:szCs w:val="24"/>
        </w:rPr>
        <w:t xml:space="preserve">lle installation </w:t>
      </w:r>
      <w:r w:rsidRPr="00D75D2E">
        <w:rPr>
          <w:rFonts w:ascii="Times New Roman" w:hAnsi="Times New Roman"/>
          <w:spacing w:val="-1"/>
          <w:sz w:val="24"/>
          <w:szCs w:val="24"/>
        </w:rPr>
        <w:t>e</w:t>
      </w:r>
      <w:r w:rsidRPr="00D75D2E">
        <w:rPr>
          <w:rFonts w:ascii="Times New Roman" w:hAnsi="Times New Roman"/>
          <w:sz w:val="24"/>
          <w:szCs w:val="24"/>
        </w:rPr>
        <w:t>t modifi</w:t>
      </w:r>
      <w:r w:rsidRPr="00D75D2E">
        <w:rPr>
          <w:rFonts w:ascii="Times New Roman" w:hAnsi="Times New Roman"/>
          <w:spacing w:val="-1"/>
          <w:sz w:val="24"/>
          <w:szCs w:val="24"/>
        </w:rPr>
        <w:t>ca</w:t>
      </w:r>
      <w:r w:rsidRPr="00D75D2E">
        <w:rPr>
          <w:rFonts w:ascii="Times New Roman" w:hAnsi="Times New Roman"/>
          <w:sz w:val="24"/>
          <w:szCs w:val="24"/>
        </w:rPr>
        <w:t>tion d</w:t>
      </w:r>
      <w:r w:rsidRPr="00D75D2E">
        <w:rPr>
          <w:rFonts w:ascii="Times New Roman" w:hAnsi="Times New Roman"/>
          <w:spacing w:val="-5"/>
          <w:sz w:val="24"/>
          <w:szCs w:val="24"/>
        </w:rPr>
        <w:t>'</w:t>
      </w:r>
      <w:r w:rsidRPr="00D75D2E">
        <w:rPr>
          <w:rFonts w:ascii="Times New Roman" w:hAnsi="Times New Roman"/>
          <w:spacing w:val="5"/>
          <w:sz w:val="24"/>
          <w:szCs w:val="24"/>
        </w:rPr>
        <w:t>i</w:t>
      </w:r>
      <w:r w:rsidRPr="00D75D2E">
        <w:rPr>
          <w:rFonts w:ascii="Times New Roman" w:hAnsi="Times New Roman"/>
          <w:sz w:val="24"/>
          <w:szCs w:val="24"/>
        </w:rPr>
        <w:t>nstallation ;</w:t>
      </w:r>
    </w:p>
    <w:p w14:paraId="5CA9D411" w14:textId="361B21B6"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pacing w:val="1"/>
          <w:sz w:val="24"/>
          <w:szCs w:val="24"/>
        </w:rPr>
        <w:t>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3"/>
          <w:sz w:val="24"/>
          <w:szCs w:val="24"/>
        </w:rPr>
        <w:t>c</w:t>
      </w:r>
      <w:r w:rsidRPr="00D75D2E">
        <w:rPr>
          <w:rFonts w:ascii="Times New Roman" w:hAnsi="Times New Roman"/>
          <w:spacing w:val="-1"/>
          <w:sz w:val="24"/>
          <w:szCs w:val="24"/>
        </w:rPr>
        <w:t>é</w:t>
      </w:r>
      <w:r w:rsidRPr="00D75D2E">
        <w:rPr>
          <w:rFonts w:ascii="Times New Roman" w:hAnsi="Times New Roman"/>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10"/>
          <w:sz w:val="24"/>
          <w:szCs w:val="24"/>
        </w:rPr>
        <w:t>s</w:t>
      </w:r>
      <w:r w:rsidRPr="00D75D2E">
        <w:rPr>
          <w:rFonts w:ascii="Times New Roman" w:hAnsi="Times New Roman"/>
          <w:spacing w:val="-12"/>
          <w:sz w:val="24"/>
          <w:szCs w:val="24"/>
        </w:rPr>
        <w:t>y</w:t>
      </w:r>
      <w:r w:rsidRPr="00D75D2E">
        <w:rPr>
          <w:rFonts w:ascii="Times New Roman" w:hAnsi="Times New Roman"/>
          <w:sz w:val="24"/>
          <w:szCs w:val="24"/>
        </w:rPr>
        <w:t>s</w:t>
      </w:r>
      <w:r w:rsidRPr="00D75D2E">
        <w:rPr>
          <w:rFonts w:ascii="Times New Roman" w:hAnsi="Times New Roman"/>
          <w:spacing w:val="3"/>
          <w:sz w:val="24"/>
          <w:szCs w:val="24"/>
        </w:rPr>
        <w:t>t</w:t>
      </w:r>
      <w:r w:rsidRPr="00D75D2E">
        <w:rPr>
          <w:rFonts w:ascii="Times New Roman" w:hAnsi="Times New Roman"/>
          <w:spacing w:val="-1"/>
          <w:sz w:val="24"/>
          <w:szCs w:val="24"/>
        </w:rPr>
        <w:t>é</w:t>
      </w:r>
      <w:r w:rsidRPr="00D75D2E">
        <w:rPr>
          <w:rFonts w:ascii="Times New Roman" w:hAnsi="Times New Roman"/>
          <w:sz w:val="24"/>
          <w:szCs w:val="24"/>
        </w:rPr>
        <w:t>matique</w:t>
      </w:r>
      <w:r w:rsidRPr="00D75D2E">
        <w:rPr>
          <w:rFonts w:ascii="Times New Roman" w:hAnsi="Times New Roman"/>
          <w:spacing w:val="6"/>
          <w:sz w:val="24"/>
          <w:szCs w:val="24"/>
        </w:rPr>
        <w:t>m</w:t>
      </w:r>
      <w:r w:rsidRPr="00D75D2E">
        <w:rPr>
          <w:rFonts w:ascii="Times New Roman" w:hAnsi="Times New Roman"/>
          <w:spacing w:val="-1"/>
          <w:sz w:val="24"/>
          <w:szCs w:val="24"/>
        </w:rPr>
        <w:t>e</w:t>
      </w:r>
      <w:r w:rsidRPr="00D75D2E">
        <w:rPr>
          <w:rFonts w:ascii="Times New Roman" w:hAnsi="Times New Roman"/>
          <w:sz w:val="24"/>
          <w:szCs w:val="24"/>
        </w:rPr>
        <w:t xml:space="preserve">nt à </w:t>
      </w:r>
      <w:r w:rsidRPr="00D75D2E">
        <w:rPr>
          <w:rFonts w:ascii="Times New Roman" w:hAnsi="Times New Roman"/>
          <w:spacing w:val="3"/>
          <w:sz w:val="24"/>
          <w:szCs w:val="24"/>
        </w:rPr>
        <w:t>l</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pacing w:val="-1"/>
          <w:sz w:val="24"/>
          <w:szCs w:val="24"/>
        </w:rPr>
        <w:t>a</w:t>
      </w:r>
      <w:r w:rsidRPr="00D75D2E">
        <w:rPr>
          <w:rFonts w:ascii="Times New Roman" w:hAnsi="Times New Roman"/>
          <w:spacing w:val="8"/>
          <w:sz w:val="24"/>
          <w:szCs w:val="24"/>
        </w:rPr>
        <w:t>l</w:t>
      </w:r>
      <w:r w:rsidRPr="00D75D2E">
        <w:rPr>
          <w:rFonts w:ascii="Times New Roman" w:hAnsi="Times New Roman"/>
          <w:spacing w:val="-10"/>
          <w:sz w:val="24"/>
          <w:szCs w:val="24"/>
        </w:rPr>
        <w:t>y</w:t>
      </w:r>
      <w:r w:rsidRPr="00D75D2E">
        <w:rPr>
          <w:rFonts w:ascii="Times New Roman" w:hAnsi="Times New Roman"/>
          <w:spacing w:val="3"/>
          <w:sz w:val="24"/>
          <w:szCs w:val="24"/>
        </w:rPr>
        <w:t>s</w:t>
      </w:r>
      <w:r w:rsidRPr="00D75D2E">
        <w:rPr>
          <w:rFonts w:ascii="Times New Roman" w:hAnsi="Times New Roman"/>
          <w:sz w:val="24"/>
          <w:szCs w:val="24"/>
        </w:rPr>
        <w:t>e d</w:t>
      </w:r>
      <w:r w:rsidRPr="00D75D2E">
        <w:rPr>
          <w:rFonts w:ascii="Times New Roman" w:hAnsi="Times New Roman"/>
          <w:spacing w:val="-1"/>
          <w:sz w:val="24"/>
          <w:szCs w:val="24"/>
        </w:rPr>
        <w:t>e</w:t>
      </w:r>
      <w:r w:rsidRPr="00D75D2E">
        <w:rPr>
          <w:rFonts w:ascii="Times New Roman" w:hAnsi="Times New Roman"/>
          <w:sz w:val="24"/>
          <w:szCs w:val="24"/>
        </w:rPr>
        <w:t>s si</w:t>
      </w:r>
      <w:r w:rsidRPr="00D75D2E">
        <w:rPr>
          <w:rFonts w:ascii="Times New Roman" w:hAnsi="Times New Roman"/>
          <w:spacing w:val="3"/>
          <w:sz w:val="24"/>
          <w:szCs w:val="24"/>
        </w:rPr>
        <w:t>t</w:t>
      </w:r>
      <w:r w:rsidRPr="00D75D2E">
        <w:rPr>
          <w:rFonts w:ascii="Times New Roman" w:hAnsi="Times New Roman"/>
          <w:sz w:val="24"/>
          <w:szCs w:val="24"/>
        </w:rPr>
        <w:t>u</w:t>
      </w:r>
      <w:r w:rsidRPr="00D75D2E">
        <w:rPr>
          <w:rFonts w:ascii="Times New Roman" w:hAnsi="Times New Roman"/>
          <w:spacing w:val="-1"/>
          <w:sz w:val="24"/>
          <w:szCs w:val="24"/>
        </w:rPr>
        <w:t>a</w:t>
      </w:r>
      <w:r w:rsidRPr="00D75D2E">
        <w:rPr>
          <w:rFonts w:ascii="Times New Roman" w:hAnsi="Times New Roman"/>
          <w:sz w:val="24"/>
          <w:szCs w:val="24"/>
        </w:rPr>
        <w:t>tions d</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pacing w:val="-2"/>
          <w:sz w:val="24"/>
          <w:szCs w:val="24"/>
        </w:rPr>
        <w:t>g</w:t>
      </w:r>
      <w:r w:rsidRPr="00D75D2E">
        <w:rPr>
          <w:rFonts w:ascii="Times New Roman" w:hAnsi="Times New Roman"/>
          <w:spacing w:val="-1"/>
          <w:sz w:val="24"/>
          <w:szCs w:val="24"/>
        </w:rPr>
        <w:t>ere</w:t>
      </w:r>
      <w:r w:rsidRPr="00D75D2E">
        <w:rPr>
          <w:rFonts w:ascii="Times New Roman" w:hAnsi="Times New Roman"/>
          <w:sz w:val="24"/>
          <w:szCs w:val="24"/>
        </w:rPr>
        <w:t>us</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7"/>
          <w:sz w:val="24"/>
          <w:szCs w:val="24"/>
        </w:rPr>
        <w:t>d</w:t>
      </w:r>
      <w:r w:rsidRPr="00D75D2E">
        <w:rPr>
          <w:rFonts w:ascii="Times New Roman" w:hAnsi="Times New Roman"/>
          <w:spacing w:val="-1"/>
          <w:sz w:val="24"/>
          <w:szCs w:val="24"/>
        </w:rPr>
        <w:t>e</w:t>
      </w:r>
      <w:r w:rsidRPr="00D75D2E">
        <w:rPr>
          <w:rFonts w:ascii="Times New Roman" w:hAnsi="Times New Roman"/>
          <w:sz w:val="24"/>
          <w:szCs w:val="24"/>
        </w:rPr>
        <w:t>s inci</w:t>
      </w:r>
      <w:r w:rsidRPr="00D75D2E">
        <w:rPr>
          <w:rFonts w:ascii="Times New Roman" w:hAnsi="Times New Roman"/>
          <w:spacing w:val="1"/>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nts </w:t>
      </w:r>
      <w:r w:rsidRPr="00D75D2E">
        <w:rPr>
          <w:rFonts w:ascii="Times New Roman" w:hAnsi="Times New Roman"/>
          <w:spacing w:val="-1"/>
          <w:sz w:val="24"/>
          <w:szCs w:val="24"/>
        </w:rPr>
        <w:t>e</w:t>
      </w:r>
      <w:r w:rsidRPr="00D75D2E">
        <w:rPr>
          <w:rFonts w:ascii="Times New Roman" w:hAnsi="Times New Roman"/>
          <w:sz w:val="24"/>
          <w:szCs w:val="24"/>
        </w:rPr>
        <w:t>t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acc</w:t>
      </w:r>
      <w:r w:rsidRPr="00D75D2E">
        <w:rPr>
          <w:rFonts w:ascii="Times New Roman" w:hAnsi="Times New Roman"/>
          <w:sz w:val="24"/>
          <w:szCs w:val="24"/>
        </w:rPr>
        <w:t xml:space="preserve">idents, </w:t>
      </w:r>
      <w:r w:rsidRPr="00D75D2E">
        <w:rPr>
          <w:rFonts w:ascii="Times New Roman" w:hAnsi="Times New Roman"/>
          <w:spacing w:val="-1"/>
          <w:sz w:val="24"/>
          <w:szCs w:val="24"/>
        </w:rPr>
        <w:t>a</w:t>
      </w:r>
      <w:r w:rsidRPr="00D75D2E">
        <w:rPr>
          <w:rFonts w:ascii="Times New Roman" w:hAnsi="Times New Roman"/>
          <w:sz w:val="24"/>
          <w:szCs w:val="24"/>
        </w:rPr>
        <w:t xml:space="preserve">fin de mettre </w:t>
      </w:r>
      <w:r w:rsidRPr="00D75D2E">
        <w:rPr>
          <w:rFonts w:ascii="Times New Roman" w:hAnsi="Times New Roman"/>
          <w:spacing w:val="-1"/>
          <w:sz w:val="24"/>
          <w:szCs w:val="24"/>
        </w:rPr>
        <w:t>e</w:t>
      </w:r>
      <w:r w:rsidRPr="00D75D2E">
        <w:rPr>
          <w:rFonts w:ascii="Times New Roman" w:hAnsi="Times New Roman"/>
          <w:sz w:val="24"/>
          <w:szCs w:val="24"/>
        </w:rPr>
        <w:t>n œuv</w:t>
      </w:r>
      <w:r w:rsidRPr="00D75D2E">
        <w:rPr>
          <w:rFonts w:ascii="Times New Roman" w:hAnsi="Times New Roman"/>
          <w:spacing w:val="-1"/>
          <w:sz w:val="24"/>
          <w:szCs w:val="24"/>
        </w:rPr>
        <w:t>r</w:t>
      </w:r>
      <w:r w:rsidRPr="00D75D2E">
        <w:rPr>
          <w:rFonts w:ascii="Times New Roman" w:hAnsi="Times New Roman"/>
          <w:sz w:val="24"/>
          <w:szCs w:val="24"/>
        </w:rPr>
        <w:t xml:space="preserve">e les </w:t>
      </w:r>
      <w:r w:rsidRPr="00D75D2E">
        <w:rPr>
          <w:rFonts w:ascii="Times New Roman" w:hAnsi="Times New Roman"/>
          <w:spacing w:val="-1"/>
          <w:sz w:val="24"/>
          <w:szCs w:val="24"/>
        </w:rPr>
        <w:t>ac</w:t>
      </w:r>
      <w:r w:rsidRPr="00D75D2E">
        <w:rPr>
          <w:rFonts w:ascii="Times New Roman" w:hAnsi="Times New Roman"/>
          <w:sz w:val="24"/>
          <w:szCs w:val="24"/>
        </w:rPr>
        <w:t xml:space="preserve">tions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2"/>
          <w:sz w:val="24"/>
          <w:szCs w:val="24"/>
        </w:rPr>
        <w:t>rr</w:t>
      </w:r>
      <w:r w:rsidRPr="00D75D2E">
        <w:rPr>
          <w:rFonts w:ascii="Times New Roman" w:hAnsi="Times New Roman"/>
          <w:spacing w:val="-1"/>
          <w:sz w:val="24"/>
          <w:szCs w:val="24"/>
        </w:rPr>
        <w:t>ec</w:t>
      </w:r>
      <w:r w:rsidRPr="00D75D2E">
        <w:rPr>
          <w:rFonts w:ascii="Times New Roman" w:hAnsi="Times New Roman"/>
          <w:sz w:val="24"/>
          <w:szCs w:val="24"/>
        </w:rPr>
        <w:t>tiv</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t p</w:t>
      </w:r>
      <w:r w:rsidRPr="00D75D2E">
        <w:rPr>
          <w:rFonts w:ascii="Times New Roman" w:hAnsi="Times New Roman"/>
          <w:spacing w:val="2"/>
          <w:sz w:val="24"/>
          <w:szCs w:val="24"/>
        </w:rPr>
        <w:t>r</w:t>
      </w:r>
      <w:r w:rsidRPr="00D75D2E">
        <w:rPr>
          <w:rFonts w:ascii="Times New Roman" w:hAnsi="Times New Roman"/>
          <w:spacing w:val="-1"/>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ntiv</w:t>
      </w:r>
      <w:r w:rsidRPr="00D75D2E">
        <w:rPr>
          <w:rFonts w:ascii="Times New Roman" w:hAnsi="Times New Roman"/>
          <w:spacing w:val="-1"/>
          <w:sz w:val="24"/>
          <w:szCs w:val="24"/>
        </w:rPr>
        <w:t>e</w:t>
      </w:r>
      <w:r w:rsidRPr="00D75D2E">
        <w:rPr>
          <w:rFonts w:ascii="Times New Roman" w:hAnsi="Times New Roman"/>
          <w:sz w:val="24"/>
          <w:szCs w:val="24"/>
        </w:rPr>
        <w:t xml:space="preserve">s qui </w:t>
      </w:r>
      <w:r w:rsidRPr="00D75D2E">
        <w:rPr>
          <w:rFonts w:ascii="Times New Roman" w:hAnsi="Times New Roman"/>
          <w:spacing w:val="-5"/>
          <w:sz w:val="24"/>
          <w:szCs w:val="24"/>
        </w:rPr>
        <w:t>s</w:t>
      </w:r>
      <w:r w:rsidRPr="00D75D2E">
        <w:rPr>
          <w:rFonts w:ascii="Times New Roman" w:hAnsi="Times New Roman"/>
          <w:sz w:val="24"/>
          <w:szCs w:val="24"/>
        </w:rPr>
        <w:t>’</w:t>
      </w:r>
      <w:r w:rsidRPr="00D75D2E">
        <w:rPr>
          <w:rFonts w:ascii="Times New Roman" w:hAnsi="Times New Roman"/>
          <w:spacing w:val="1"/>
          <w:sz w:val="24"/>
          <w:szCs w:val="24"/>
        </w:rPr>
        <w:t>i</w:t>
      </w:r>
      <w:r w:rsidRPr="00D75D2E">
        <w:rPr>
          <w:rFonts w:ascii="Times New Roman" w:hAnsi="Times New Roman"/>
          <w:sz w:val="24"/>
          <w:szCs w:val="24"/>
        </w:rPr>
        <w:t>mpo</w:t>
      </w:r>
      <w:r w:rsidRPr="00D75D2E">
        <w:rPr>
          <w:rFonts w:ascii="Times New Roman" w:hAnsi="Times New Roman"/>
          <w:spacing w:val="-1"/>
          <w:sz w:val="24"/>
          <w:szCs w:val="24"/>
        </w:rPr>
        <w:t>s</w:t>
      </w:r>
      <w:r w:rsidRPr="00D75D2E">
        <w:rPr>
          <w:rFonts w:ascii="Times New Roman" w:hAnsi="Times New Roman"/>
          <w:sz w:val="24"/>
          <w:szCs w:val="24"/>
        </w:rPr>
        <w:t>ent</w:t>
      </w:r>
      <w:r w:rsidR="001E2063">
        <w:rPr>
          <w:rFonts w:ascii="Times New Roman" w:hAnsi="Times New Roman"/>
          <w:sz w:val="24"/>
          <w:szCs w:val="24"/>
        </w:rPr>
        <w:t> ;</w:t>
      </w:r>
    </w:p>
    <w:p w14:paraId="7A3989C8"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z w:val="24"/>
          <w:szCs w:val="24"/>
        </w:rPr>
        <w:t>Asso</w:t>
      </w:r>
      <w:r w:rsidRPr="00D75D2E">
        <w:rPr>
          <w:rFonts w:ascii="Times New Roman" w:hAnsi="Times New Roman"/>
          <w:spacing w:val="-1"/>
          <w:sz w:val="24"/>
          <w:szCs w:val="24"/>
        </w:rPr>
        <w:t>c</w:t>
      </w:r>
      <w:r w:rsidRPr="00D75D2E">
        <w:rPr>
          <w:rFonts w:ascii="Times New Roman" w:hAnsi="Times New Roman"/>
          <w:sz w:val="24"/>
          <w:szCs w:val="24"/>
        </w:rPr>
        <w:t>ier plei</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ment les entr</w:t>
      </w:r>
      <w:r w:rsidRPr="00D75D2E">
        <w:rPr>
          <w:rFonts w:ascii="Times New Roman" w:hAnsi="Times New Roman"/>
          <w:spacing w:val="-1"/>
          <w:sz w:val="24"/>
          <w:szCs w:val="24"/>
        </w:rPr>
        <w:t>e</w:t>
      </w:r>
      <w:r w:rsidRPr="00D75D2E">
        <w:rPr>
          <w:rFonts w:ascii="Times New Roman" w:hAnsi="Times New Roman"/>
          <w:sz w:val="24"/>
          <w:szCs w:val="24"/>
        </w:rPr>
        <w:t>p</w:t>
      </w:r>
      <w:r w:rsidRPr="00D75D2E">
        <w:rPr>
          <w:rFonts w:ascii="Times New Roman" w:hAnsi="Times New Roman"/>
          <w:spacing w:val="-1"/>
          <w:sz w:val="24"/>
          <w:szCs w:val="24"/>
        </w:rPr>
        <w:t>r</w:t>
      </w:r>
      <w:r w:rsidRPr="00D75D2E">
        <w:rPr>
          <w:rFonts w:ascii="Times New Roman" w:hAnsi="Times New Roman"/>
          <w:sz w:val="24"/>
          <w:szCs w:val="24"/>
        </w:rPr>
        <w:t>is</w:t>
      </w:r>
      <w:r w:rsidRPr="00D75D2E">
        <w:rPr>
          <w:rFonts w:ascii="Times New Roman" w:hAnsi="Times New Roman"/>
          <w:spacing w:val="-1"/>
          <w:sz w:val="24"/>
          <w:szCs w:val="24"/>
        </w:rPr>
        <w:t xml:space="preserve">es </w:t>
      </w:r>
      <w:r w:rsidRPr="00D75D2E">
        <w:rPr>
          <w:rFonts w:ascii="Times New Roman" w:hAnsi="Times New Roman"/>
          <w:sz w:val="24"/>
          <w:szCs w:val="24"/>
        </w:rPr>
        <w:t>sous-t</w:t>
      </w:r>
      <w:r w:rsidRPr="00D75D2E">
        <w:rPr>
          <w:rFonts w:ascii="Times New Roman" w:hAnsi="Times New Roman"/>
          <w:spacing w:val="-1"/>
          <w:sz w:val="24"/>
          <w:szCs w:val="24"/>
        </w:rPr>
        <w:t>ra</w:t>
      </w:r>
      <w:r w:rsidRPr="00D75D2E">
        <w:rPr>
          <w:rFonts w:ascii="Times New Roman" w:hAnsi="Times New Roman"/>
          <w:sz w:val="24"/>
          <w:szCs w:val="24"/>
        </w:rPr>
        <w:t>it</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3"/>
          <w:sz w:val="24"/>
          <w:szCs w:val="24"/>
        </w:rPr>
        <w:t>t</w:t>
      </w:r>
      <w:r w:rsidRPr="00D75D2E">
        <w:rPr>
          <w:rFonts w:ascii="Times New Roman" w:hAnsi="Times New Roman"/>
          <w:spacing w:val="-1"/>
          <w:sz w:val="24"/>
          <w:szCs w:val="24"/>
        </w:rPr>
        <w:t>e</w:t>
      </w:r>
      <w:r w:rsidRPr="00D75D2E">
        <w:rPr>
          <w:rFonts w:ascii="Times New Roman" w:hAnsi="Times New Roman"/>
          <w:sz w:val="24"/>
          <w:szCs w:val="24"/>
        </w:rPr>
        <w:t xml:space="preserve">s à </w:t>
      </w:r>
      <w:r w:rsidRPr="00D75D2E">
        <w:rPr>
          <w:rFonts w:ascii="Times New Roman" w:hAnsi="Times New Roman"/>
          <w:spacing w:val="3"/>
          <w:sz w:val="24"/>
          <w:szCs w:val="24"/>
        </w:rPr>
        <w:t>l</w:t>
      </w:r>
      <w:r w:rsidRPr="00D75D2E">
        <w:rPr>
          <w:rFonts w:ascii="Times New Roman" w:hAnsi="Times New Roman"/>
          <w:sz w:val="24"/>
          <w:szCs w:val="24"/>
        </w:rPr>
        <w:t>a d</w:t>
      </w:r>
      <w:r w:rsidRPr="00D75D2E">
        <w:rPr>
          <w:rFonts w:ascii="Times New Roman" w:hAnsi="Times New Roman"/>
          <w:spacing w:val="-1"/>
          <w:sz w:val="24"/>
          <w:szCs w:val="24"/>
        </w:rPr>
        <w:t>é</w:t>
      </w:r>
      <w:r w:rsidRPr="00D75D2E">
        <w:rPr>
          <w:rFonts w:ascii="Times New Roman" w:hAnsi="Times New Roman"/>
          <w:sz w:val="24"/>
          <w:szCs w:val="24"/>
        </w:rPr>
        <w:t>m</w:t>
      </w:r>
      <w:r w:rsidRPr="00D75D2E">
        <w:rPr>
          <w:rFonts w:ascii="Times New Roman" w:hAnsi="Times New Roman"/>
          <w:spacing w:val="1"/>
          <w:sz w:val="24"/>
          <w:szCs w:val="24"/>
        </w:rPr>
        <w:t>a</w:t>
      </w:r>
      <w:r w:rsidRPr="00D75D2E">
        <w:rPr>
          <w:rFonts w:ascii="Times New Roman" w:hAnsi="Times New Roman"/>
          <w:spacing w:val="-1"/>
          <w:sz w:val="24"/>
          <w:szCs w:val="24"/>
        </w:rPr>
        <w:t>r</w:t>
      </w:r>
      <w:r w:rsidRPr="00D75D2E">
        <w:rPr>
          <w:rFonts w:ascii="Times New Roman" w:hAnsi="Times New Roman"/>
          <w:spacing w:val="-3"/>
          <w:sz w:val="24"/>
          <w:szCs w:val="24"/>
        </w:rPr>
        <w:t>c</w:t>
      </w:r>
      <w:r w:rsidRPr="00D75D2E">
        <w:rPr>
          <w:rFonts w:ascii="Times New Roman" w:hAnsi="Times New Roman"/>
          <w:sz w:val="24"/>
          <w:szCs w:val="24"/>
        </w:rPr>
        <w:t>h</w:t>
      </w:r>
      <w:r w:rsidRPr="00D75D2E">
        <w:rPr>
          <w:rFonts w:ascii="Times New Roman" w:hAnsi="Times New Roman"/>
          <w:spacing w:val="-1"/>
          <w:sz w:val="24"/>
          <w:szCs w:val="24"/>
        </w:rPr>
        <w:t>e</w:t>
      </w:r>
      <w:r w:rsidRPr="00D75D2E">
        <w:rPr>
          <w:rFonts w:ascii="Times New Roman" w:hAnsi="Times New Roman"/>
          <w:sz w:val="24"/>
          <w:szCs w:val="24"/>
        </w:rPr>
        <w:t>.</w:t>
      </w:r>
      <w:r w:rsidRPr="00D75D2E">
        <w:rPr>
          <w:rFonts w:ascii="Times New Roman" w:hAnsi="Times New Roman"/>
          <w:spacing w:val="-5"/>
          <w:sz w:val="24"/>
          <w:szCs w:val="24"/>
        </w:rPr>
        <w:t xml:space="preserve"> L</w:t>
      </w:r>
      <w:r w:rsidRPr="00D75D2E">
        <w:rPr>
          <w:rFonts w:ascii="Times New Roman" w:hAnsi="Times New Roman"/>
          <w:spacing w:val="-1"/>
          <w:sz w:val="24"/>
          <w:szCs w:val="24"/>
        </w:rPr>
        <w:t>e</w:t>
      </w:r>
      <w:r w:rsidRPr="00D75D2E">
        <w:rPr>
          <w:rFonts w:ascii="Times New Roman" w:hAnsi="Times New Roman"/>
          <w:spacing w:val="2"/>
          <w:sz w:val="24"/>
          <w:szCs w:val="24"/>
        </w:rPr>
        <w:t>u</w:t>
      </w:r>
      <w:r w:rsidRPr="00D75D2E">
        <w:rPr>
          <w:rFonts w:ascii="Times New Roman" w:hAnsi="Times New Roman"/>
          <w:sz w:val="24"/>
          <w:szCs w:val="24"/>
        </w:rPr>
        <w:t>r d</w:t>
      </w:r>
      <w:r w:rsidRPr="00D75D2E">
        <w:rPr>
          <w:rFonts w:ascii="Times New Roman" w:hAnsi="Times New Roman"/>
          <w:spacing w:val="-1"/>
          <w:sz w:val="24"/>
          <w:szCs w:val="24"/>
        </w:rPr>
        <w:t>e</w:t>
      </w:r>
      <w:r w:rsidRPr="00D75D2E">
        <w:rPr>
          <w:rFonts w:ascii="Times New Roman" w:hAnsi="Times New Roman"/>
          <w:sz w:val="24"/>
          <w:szCs w:val="24"/>
        </w:rPr>
        <w:t xml:space="preserve">gré </w:t>
      </w:r>
      <w:r w:rsidRPr="00D75D2E">
        <w:rPr>
          <w:rFonts w:ascii="Times New Roman" w:hAnsi="Times New Roman"/>
          <w:spacing w:val="5"/>
          <w:sz w:val="24"/>
          <w:szCs w:val="24"/>
        </w:rPr>
        <w:t>d</w:t>
      </w:r>
      <w:r w:rsidRPr="00D75D2E">
        <w:rPr>
          <w:rFonts w:ascii="Times New Roman" w:hAnsi="Times New Roman"/>
          <w:spacing w:val="-4"/>
          <w:sz w:val="24"/>
          <w:szCs w:val="24"/>
        </w:rPr>
        <w:t>'</w:t>
      </w:r>
      <w:r w:rsidRPr="00D75D2E">
        <w:rPr>
          <w:rFonts w:ascii="Times New Roman" w:hAnsi="Times New Roman"/>
          <w:sz w:val="24"/>
          <w:szCs w:val="24"/>
        </w:rPr>
        <w:t>impli</w:t>
      </w:r>
      <w:r w:rsidRPr="00D75D2E">
        <w:rPr>
          <w:rFonts w:ascii="Times New Roman" w:hAnsi="Times New Roman"/>
          <w:spacing w:val="-1"/>
          <w:sz w:val="24"/>
          <w:szCs w:val="24"/>
        </w:rPr>
        <w:t>ca</w:t>
      </w:r>
      <w:r w:rsidRPr="00D75D2E">
        <w:rPr>
          <w:rFonts w:ascii="Times New Roman" w:hAnsi="Times New Roman"/>
          <w:sz w:val="24"/>
          <w:szCs w:val="24"/>
        </w:rPr>
        <w:t>tion d</w:t>
      </w:r>
      <w:r w:rsidRPr="00D75D2E">
        <w:rPr>
          <w:rFonts w:ascii="Times New Roman" w:hAnsi="Times New Roman"/>
          <w:spacing w:val="-1"/>
          <w:sz w:val="24"/>
          <w:szCs w:val="24"/>
        </w:rPr>
        <w:t>a</w:t>
      </w:r>
      <w:r w:rsidRPr="00D75D2E">
        <w:rPr>
          <w:rFonts w:ascii="Times New Roman" w:hAnsi="Times New Roman"/>
          <w:sz w:val="24"/>
          <w:szCs w:val="24"/>
        </w:rPr>
        <w:t>ns la d</w:t>
      </w:r>
      <w:r w:rsidRPr="00D75D2E">
        <w:rPr>
          <w:rFonts w:ascii="Times New Roman" w:hAnsi="Times New Roman"/>
          <w:spacing w:val="-1"/>
          <w:sz w:val="24"/>
          <w:szCs w:val="24"/>
        </w:rPr>
        <w:t>é</w:t>
      </w:r>
      <w:r w:rsidRPr="00D75D2E">
        <w:rPr>
          <w:rFonts w:ascii="Times New Roman" w:hAnsi="Times New Roman"/>
          <w:sz w:val="24"/>
          <w:szCs w:val="24"/>
        </w:rPr>
        <w:t>m</w:t>
      </w:r>
      <w:r w:rsidRPr="00D75D2E">
        <w:rPr>
          <w:rFonts w:ascii="Times New Roman" w:hAnsi="Times New Roman"/>
          <w:spacing w:val="-1"/>
          <w:sz w:val="24"/>
          <w:szCs w:val="24"/>
        </w:rPr>
        <w:t>arc</w:t>
      </w:r>
      <w:r w:rsidRPr="00D75D2E">
        <w:rPr>
          <w:rFonts w:ascii="Times New Roman" w:hAnsi="Times New Roman"/>
          <w:spacing w:val="2"/>
          <w:sz w:val="24"/>
          <w:szCs w:val="24"/>
        </w:rPr>
        <w:t>h</w:t>
      </w:r>
      <w:r w:rsidRPr="00D75D2E">
        <w:rPr>
          <w:rFonts w:ascii="Times New Roman" w:hAnsi="Times New Roman"/>
          <w:sz w:val="24"/>
          <w:szCs w:val="24"/>
        </w:rPr>
        <w:t>e s</w:t>
      </w:r>
      <w:r w:rsidRPr="00D75D2E">
        <w:rPr>
          <w:rFonts w:ascii="Times New Roman" w:hAnsi="Times New Roman"/>
          <w:spacing w:val="-1"/>
          <w:sz w:val="24"/>
          <w:szCs w:val="24"/>
        </w:rPr>
        <w:t>éc</w:t>
      </w:r>
      <w:r w:rsidRPr="00D75D2E">
        <w:rPr>
          <w:rFonts w:ascii="Times New Roman" w:hAnsi="Times New Roman"/>
          <w:spacing w:val="2"/>
          <w:sz w:val="24"/>
          <w:szCs w:val="24"/>
        </w:rPr>
        <w:t>u</w:t>
      </w:r>
      <w:r w:rsidRPr="00D75D2E">
        <w:rPr>
          <w:rFonts w:ascii="Times New Roman" w:hAnsi="Times New Roman"/>
          <w:sz w:val="24"/>
          <w:szCs w:val="24"/>
        </w:rPr>
        <w:t>ri</w:t>
      </w:r>
      <w:r w:rsidRPr="00D75D2E">
        <w:rPr>
          <w:rFonts w:ascii="Times New Roman" w:hAnsi="Times New Roman"/>
          <w:spacing w:val="3"/>
          <w:sz w:val="24"/>
          <w:szCs w:val="24"/>
        </w:rPr>
        <w:t>t</w:t>
      </w:r>
      <w:r w:rsidRPr="00D75D2E">
        <w:rPr>
          <w:rFonts w:ascii="Times New Roman" w:hAnsi="Times New Roman"/>
          <w:sz w:val="24"/>
          <w:szCs w:val="24"/>
        </w:rPr>
        <w:t xml:space="preserve">é de </w:t>
      </w:r>
      <w:r w:rsidRPr="00D75D2E">
        <w:rPr>
          <w:rFonts w:ascii="Times New Roman" w:hAnsi="Times New Roman"/>
          <w:spacing w:val="6"/>
          <w:sz w:val="24"/>
          <w:szCs w:val="24"/>
        </w:rPr>
        <w:t>l</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z w:val="24"/>
          <w:szCs w:val="24"/>
        </w:rPr>
        <w:t>ntr</w:t>
      </w:r>
      <w:r w:rsidRPr="00D75D2E">
        <w:rPr>
          <w:rFonts w:ascii="Times New Roman" w:hAnsi="Times New Roman"/>
          <w:spacing w:val="-1"/>
          <w:sz w:val="24"/>
          <w:szCs w:val="24"/>
        </w:rPr>
        <w:t>e</w:t>
      </w:r>
      <w:r w:rsidRPr="00D75D2E">
        <w:rPr>
          <w:rFonts w:ascii="Times New Roman" w:hAnsi="Times New Roman"/>
          <w:spacing w:val="2"/>
          <w:sz w:val="24"/>
          <w:szCs w:val="24"/>
        </w:rPr>
        <w:t>p</w:t>
      </w:r>
      <w:r w:rsidRPr="00D75D2E">
        <w:rPr>
          <w:rFonts w:ascii="Times New Roman" w:hAnsi="Times New Roman"/>
          <w:sz w:val="24"/>
          <w:szCs w:val="24"/>
        </w:rPr>
        <w:t>rise doit de</w:t>
      </w:r>
      <w:r w:rsidRPr="00D75D2E">
        <w:rPr>
          <w:rFonts w:ascii="Times New Roman" w:hAnsi="Times New Roman"/>
          <w:spacing w:val="-1"/>
          <w:sz w:val="24"/>
          <w:szCs w:val="24"/>
        </w:rPr>
        <w:t>v</w:t>
      </w:r>
      <w:r w:rsidRPr="00D75D2E">
        <w:rPr>
          <w:rFonts w:ascii="Times New Roman" w:hAnsi="Times New Roman"/>
          <w:sz w:val="24"/>
          <w:szCs w:val="24"/>
        </w:rPr>
        <w:t>e</w:t>
      </w:r>
      <w:r w:rsidRPr="00D75D2E">
        <w:rPr>
          <w:rFonts w:ascii="Times New Roman" w:hAnsi="Times New Roman"/>
          <w:spacing w:val="1"/>
          <w:sz w:val="24"/>
          <w:szCs w:val="24"/>
        </w:rPr>
        <w:t>n</w:t>
      </w:r>
      <w:r w:rsidRPr="00D75D2E">
        <w:rPr>
          <w:rFonts w:ascii="Times New Roman" w:hAnsi="Times New Roman"/>
          <w:sz w:val="24"/>
          <w:szCs w:val="24"/>
        </w:rPr>
        <w:t xml:space="preserve">ir </w:t>
      </w:r>
      <w:r w:rsidRPr="00D75D2E">
        <w:rPr>
          <w:rFonts w:ascii="Times New Roman" w:hAnsi="Times New Roman"/>
          <w:spacing w:val="2"/>
          <w:sz w:val="24"/>
          <w:szCs w:val="24"/>
        </w:rPr>
        <w:t>u</w:t>
      </w:r>
      <w:r w:rsidRPr="00D75D2E">
        <w:rPr>
          <w:rFonts w:ascii="Times New Roman" w:hAnsi="Times New Roman"/>
          <w:sz w:val="24"/>
          <w:szCs w:val="24"/>
        </w:rPr>
        <w:t xml:space="preserve">n </w:t>
      </w:r>
      <w:r w:rsidRPr="00D75D2E">
        <w:rPr>
          <w:rFonts w:ascii="Times New Roman" w:hAnsi="Times New Roman"/>
          <w:spacing w:val="-1"/>
          <w:sz w:val="24"/>
          <w:szCs w:val="24"/>
        </w:rPr>
        <w:t>c</w:t>
      </w:r>
      <w:r w:rsidRPr="00D75D2E">
        <w:rPr>
          <w:rFonts w:ascii="Times New Roman" w:hAnsi="Times New Roman"/>
          <w:sz w:val="24"/>
          <w:szCs w:val="24"/>
        </w:rPr>
        <w:t>rit</w:t>
      </w:r>
      <w:r w:rsidRPr="00D75D2E">
        <w:rPr>
          <w:rFonts w:ascii="Times New Roman" w:hAnsi="Times New Roman"/>
          <w:spacing w:val="-1"/>
          <w:sz w:val="24"/>
          <w:szCs w:val="24"/>
        </w:rPr>
        <w:t>èr</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e s</w:t>
      </w:r>
      <w:r w:rsidRPr="00D75D2E">
        <w:rPr>
          <w:rFonts w:ascii="Times New Roman" w:hAnsi="Times New Roman"/>
          <w:spacing w:val="-1"/>
          <w:sz w:val="24"/>
          <w:szCs w:val="24"/>
        </w:rPr>
        <w:t>é</w:t>
      </w:r>
      <w:r w:rsidRPr="00D75D2E">
        <w:rPr>
          <w:rFonts w:ascii="Times New Roman" w:hAnsi="Times New Roman"/>
          <w:sz w:val="24"/>
          <w:szCs w:val="24"/>
        </w:rPr>
        <w:t>l</w:t>
      </w:r>
      <w:r w:rsidRPr="00D75D2E">
        <w:rPr>
          <w:rFonts w:ascii="Times New Roman" w:hAnsi="Times New Roman"/>
          <w:spacing w:val="1"/>
          <w:sz w:val="24"/>
          <w:szCs w:val="24"/>
        </w:rPr>
        <w:t>e</w:t>
      </w:r>
      <w:r w:rsidRPr="00D75D2E">
        <w:rPr>
          <w:rFonts w:ascii="Times New Roman" w:hAnsi="Times New Roman"/>
          <w:spacing w:val="-1"/>
          <w:sz w:val="24"/>
          <w:szCs w:val="24"/>
        </w:rPr>
        <w:t>c</w:t>
      </w:r>
      <w:r w:rsidRPr="00D75D2E">
        <w:rPr>
          <w:rFonts w:ascii="Times New Roman" w:hAnsi="Times New Roman"/>
          <w:sz w:val="24"/>
          <w:szCs w:val="24"/>
        </w:rPr>
        <w:t>tion d</w:t>
      </w:r>
      <w:r w:rsidRPr="00D75D2E">
        <w:rPr>
          <w:rFonts w:ascii="Times New Roman" w:hAnsi="Times New Roman"/>
          <w:spacing w:val="-1"/>
          <w:sz w:val="24"/>
          <w:szCs w:val="24"/>
        </w:rPr>
        <w:t>é</w:t>
      </w:r>
      <w:r w:rsidRPr="00D75D2E">
        <w:rPr>
          <w:rFonts w:ascii="Times New Roman" w:hAnsi="Times New Roman"/>
          <w:sz w:val="24"/>
          <w:szCs w:val="24"/>
        </w:rPr>
        <w:t>t</w:t>
      </w:r>
      <w:r w:rsidRPr="00D75D2E">
        <w:rPr>
          <w:rFonts w:ascii="Times New Roman" w:hAnsi="Times New Roman"/>
          <w:spacing w:val="-1"/>
          <w:sz w:val="24"/>
          <w:szCs w:val="24"/>
        </w:rPr>
        <w:t>er</w:t>
      </w:r>
      <w:r w:rsidRPr="00D75D2E">
        <w:rPr>
          <w:rFonts w:ascii="Times New Roman" w:hAnsi="Times New Roman"/>
          <w:spacing w:val="1"/>
          <w:sz w:val="24"/>
          <w:szCs w:val="24"/>
        </w:rPr>
        <w:t>m</w:t>
      </w:r>
      <w:r w:rsidRPr="00D75D2E">
        <w:rPr>
          <w:rFonts w:ascii="Times New Roman" w:hAnsi="Times New Roman"/>
          <w:sz w:val="24"/>
          <w:szCs w:val="24"/>
        </w:rPr>
        <w:t>in</w:t>
      </w:r>
      <w:r w:rsidRPr="00D75D2E">
        <w:rPr>
          <w:rFonts w:ascii="Times New Roman" w:hAnsi="Times New Roman"/>
          <w:spacing w:val="-1"/>
          <w:sz w:val="24"/>
          <w:szCs w:val="24"/>
        </w:rPr>
        <w:t>a</w:t>
      </w:r>
      <w:r w:rsidRPr="00D75D2E">
        <w:rPr>
          <w:rFonts w:ascii="Times New Roman" w:hAnsi="Times New Roman"/>
          <w:sz w:val="24"/>
          <w:szCs w:val="24"/>
        </w:rPr>
        <w:t xml:space="preserve">nt que le </w:t>
      </w:r>
      <w:r w:rsidRPr="00D75D2E">
        <w:rPr>
          <w:rFonts w:ascii="Times New Roman" w:hAnsi="Times New Roman"/>
          <w:spacing w:val="-1"/>
          <w:sz w:val="24"/>
          <w:szCs w:val="24"/>
        </w:rPr>
        <w:t>c</w:t>
      </w:r>
      <w:r w:rsidRPr="00D75D2E">
        <w:rPr>
          <w:rFonts w:ascii="Times New Roman" w:hAnsi="Times New Roman"/>
          <w:sz w:val="24"/>
          <w:szCs w:val="24"/>
        </w:rPr>
        <w:t>oût ou la qu</w:t>
      </w:r>
      <w:r w:rsidRPr="00D75D2E">
        <w:rPr>
          <w:rFonts w:ascii="Times New Roman" w:hAnsi="Times New Roman"/>
          <w:spacing w:val="-1"/>
          <w:sz w:val="24"/>
          <w:szCs w:val="24"/>
        </w:rPr>
        <w:t>a</w:t>
      </w:r>
      <w:r w:rsidRPr="00D75D2E">
        <w:rPr>
          <w:rFonts w:ascii="Times New Roman" w:hAnsi="Times New Roman"/>
          <w:sz w:val="24"/>
          <w:szCs w:val="24"/>
        </w:rPr>
        <w:t>lité de la p</w:t>
      </w:r>
      <w:r w:rsidRPr="00D75D2E">
        <w:rPr>
          <w:rFonts w:ascii="Times New Roman" w:hAnsi="Times New Roman"/>
          <w:spacing w:val="-1"/>
          <w:sz w:val="24"/>
          <w:szCs w:val="24"/>
        </w:rPr>
        <w:t>re</w:t>
      </w:r>
      <w:r w:rsidRPr="00D75D2E">
        <w:rPr>
          <w:rFonts w:ascii="Times New Roman" w:hAnsi="Times New Roman"/>
          <w:sz w:val="24"/>
          <w:szCs w:val="24"/>
        </w:rPr>
        <w:t>sta</w:t>
      </w:r>
      <w:r w:rsidRPr="00D75D2E">
        <w:rPr>
          <w:rFonts w:ascii="Times New Roman" w:hAnsi="Times New Roman"/>
          <w:spacing w:val="2"/>
          <w:sz w:val="24"/>
          <w:szCs w:val="24"/>
        </w:rPr>
        <w:t>t</w:t>
      </w:r>
      <w:r w:rsidRPr="00D75D2E">
        <w:rPr>
          <w:rFonts w:ascii="Times New Roman" w:hAnsi="Times New Roman"/>
          <w:sz w:val="24"/>
          <w:szCs w:val="24"/>
        </w:rPr>
        <w:t>ion fo</w:t>
      </w:r>
      <w:r w:rsidRPr="00D75D2E">
        <w:rPr>
          <w:rFonts w:ascii="Times New Roman" w:hAnsi="Times New Roman"/>
          <w:spacing w:val="1"/>
          <w:sz w:val="24"/>
          <w:szCs w:val="24"/>
        </w:rPr>
        <w:t>u</w:t>
      </w:r>
      <w:r w:rsidRPr="00D75D2E">
        <w:rPr>
          <w:rFonts w:ascii="Times New Roman" w:hAnsi="Times New Roman"/>
          <w:spacing w:val="-1"/>
          <w:sz w:val="24"/>
          <w:szCs w:val="24"/>
        </w:rPr>
        <w:t>r</w:t>
      </w:r>
      <w:r w:rsidRPr="00D75D2E">
        <w:rPr>
          <w:rFonts w:ascii="Times New Roman" w:hAnsi="Times New Roman"/>
          <w:sz w:val="24"/>
          <w:szCs w:val="24"/>
        </w:rPr>
        <w:t>nie ;</w:t>
      </w:r>
    </w:p>
    <w:p w14:paraId="0C67B64B"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z w:val="24"/>
          <w:szCs w:val="24"/>
        </w:rPr>
        <w:t>Au</w:t>
      </w:r>
      <w:r w:rsidRPr="00D75D2E">
        <w:rPr>
          <w:rFonts w:ascii="Times New Roman" w:hAnsi="Times New Roman"/>
          <w:spacing w:val="-1"/>
          <w:sz w:val="24"/>
          <w:szCs w:val="24"/>
        </w:rPr>
        <w:t>c</w:t>
      </w:r>
      <w:r w:rsidRPr="00D75D2E">
        <w:rPr>
          <w:rFonts w:ascii="Times New Roman" w:hAnsi="Times New Roman"/>
          <w:sz w:val="24"/>
          <w:szCs w:val="24"/>
        </w:rPr>
        <w:t>une s</w:t>
      </w:r>
      <w:r w:rsidRPr="00D75D2E">
        <w:rPr>
          <w:rFonts w:ascii="Times New Roman" w:hAnsi="Times New Roman"/>
          <w:spacing w:val="1"/>
          <w:sz w:val="24"/>
          <w:szCs w:val="24"/>
        </w:rPr>
        <w:t>i</w:t>
      </w:r>
      <w:r w:rsidRPr="00D75D2E">
        <w:rPr>
          <w:rFonts w:ascii="Times New Roman" w:hAnsi="Times New Roman"/>
          <w:sz w:val="24"/>
          <w:szCs w:val="24"/>
        </w:rPr>
        <w:t>tu</w:t>
      </w:r>
      <w:r w:rsidRPr="00D75D2E">
        <w:rPr>
          <w:rFonts w:ascii="Times New Roman" w:hAnsi="Times New Roman"/>
          <w:spacing w:val="-1"/>
          <w:sz w:val="24"/>
          <w:szCs w:val="24"/>
        </w:rPr>
        <w:t>a</w:t>
      </w:r>
      <w:r w:rsidRPr="00D75D2E">
        <w:rPr>
          <w:rFonts w:ascii="Times New Roman" w:hAnsi="Times New Roman"/>
          <w:sz w:val="24"/>
          <w:szCs w:val="24"/>
        </w:rPr>
        <w:t>tion à ris</w:t>
      </w:r>
      <w:r w:rsidRPr="00D75D2E">
        <w:rPr>
          <w:rFonts w:ascii="Times New Roman" w:hAnsi="Times New Roman"/>
          <w:spacing w:val="2"/>
          <w:sz w:val="24"/>
          <w:szCs w:val="24"/>
        </w:rPr>
        <w:t>q</w:t>
      </w:r>
      <w:r w:rsidRPr="00D75D2E">
        <w:rPr>
          <w:rFonts w:ascii="Times New Roman" w:hAnsi="Times New Roman"/>
          <w:sz w:val="24"/>
          <w:szCs w:val="24"/>
        </w:rPr>
        <w:t xml:space="preserve">ue ne doit </w:t>
      </w:r>
      <w:r w:rsidRPr="00D75D2E">
        <w:rPr>
          <w:rFonts w:ascii="Times New Roman" w:hAnsi="Times New Roman"/>
          <w:spacing w:val="-1"/>
          <w:sz w:val="24"/>
          <w:szCs w:val="24"/>
        </w:rPr>
        <w:t>ê</w:t>
      </w:r>
      <w:r w:rsidRPr="00D75D2E">
        <w:rPr>
          <w:rFonts w:ascii="Times New Roman" w:hAnsi="Times New Roman"/>
          <w:sz w:val="24"/>
          <w:szCs w:val="24"/>
        </w:rPr>
        <w:t>t</w:t>
      </w:r>
      <w:r w:rsidRPr="00D75D2E">
        <w:rPr>
          <w:rFonts w:ascii="Times New Roman" w:hAnsi="Times New Roman"/>
          <w:spacing w:val="2"/>
          <w:sz w:val="24"/>
          <w:szCs w:val="24"/>
        </w:rPr>
        <w:t>r</w:t>
      </w:r>
      <w:r w:rsidRPr="00D75D2E">
        <w:rPr>
          <w:rFonts w:ascii="Times New Roman" w:hAnsi="Times New Roman"/>
          <w:sz w:val="24"/>
          <w:szCs w:val="24"/>
        </w:rPr>
        <w:t xml:space="preserve">e </w:t>
      </w:r>
      <w:r w:rsidRPr="00D75D2E">
        <w:rPr>
          <w:rFonts w:ascii="Times New Roman" w:hAnsi="Times New Roman"/>
          <w:spacing w:val="3"/>
          <w:sz w:val="24"/>
          <w:szCs w:val="24"/>
        </w:rPr>
        <w:t>n</w:t>
      </w:r>
      <w:r w:rsidRPr="00D75D2E">
        <w:rPr>
          <w:rFonts w:ascii="Times New Roman" w:hAnsi="Times New Roman"/>
          <w:spacing w:val="-1"/>
          <w:sz w:val="24"/>
          <w:szCs w:val="24"/>
        </w:rPr>
        <w:t>é</w:t>
      </w:r>
      <w:r w:rsidRPr="00D75D2E">
        <w:rPr>
          <w:rFonts w:ascii="Times New Roman" w:hAnsi="Times New Roman"/>
          <w:spacing w:val="-2"/>
          <w:sz w:val="24"/>
          <w:szCs w:val="24"/>
        </w:rPr>
        <w:t>g</w:t>
      </w:r>
      <w:r w:rsidRPr="00D75D2E">
        <w:rPr>
          <w:rFonts w:ascii="Times New Roman" w:hAnsi="Times New Roman"/>
          <w:sz w:val="24"/>
          <w:szCs w:val="24"/>
        </w:rPr>
        <w:t>l</w:t>
      </w:r>
      <w:r w:rsidRPr="00D75D2E">
        <w:rPr>
          <w:rFonts w:ascii="Times New Roman" w:hAnsi="Times New Roman"/>
          <w:spacing w:val="3"/>
          <w:sz w:val="24"/>
          <w:szCs w:val="24"/>
        </w:rPr>
        <w:t>i</w:t>
      </w:r>
      <w:r w:rsidRPr="00D75D2E">
        <w:rPr>
          <w:rFonts w:ascii="Times New Roman" w:hAnsi="Times New Roman"/>
          <w:sz w:val="24"/>
          <w:szCs w:val="24"/>
        </w:rPr>
        <w:t>g</w:t>
      </w:r>
      <w:r w:rsidRPr="00D75D2E">
        <w:rPr>
          <w:rFonts w:ascii="Times New Roman" w:hAnsi="Times New Roman"/>
          <w:spacing w:val="-1"/>
          <w:sz w:val="24"/>
          <w:szCs w:val="24"/>
        </w:rPr>
        <w:t>é</w:t>
      </w:r>
      <w:r w:rsidRPr="00D75D2E">
        <w:rPr>
          <w:rFonts w:ascii="Times New Roman" w:hAnsi="Times New Roman"/>
          <w:sz w:val="24"/>
          <w:szCs w:val="24"/>
        </w:rPr>
        <w:t xml:space="preserve">e </w:t>
      </w:r>
      <w:r w:rsidRPr="00D75D2E">
        <w:rPr>
          <w:rFonts w:ascii="Times New Roman" w:hAnsi="Times New Roman"/>
          <w:spacing w:val="-1"/>
          <w:sz w:val="24"/>
          <w:szCs w:val="24"/>
        </w:rPr>
        <w:t>ca</w:t>
      </w:r>
      <w:r w:rsidRPr="00D75D2E">
        <w:rPr>
          <w:rFonts w:ascii="Times New Roman" w:hAnsi="Times New Roman"/>
          <w:sz w:val="24"/>
          <w:szCs w:val="24"/>
        </w:rPr>
        <w:t xml:space="preserve">r un </w:t>
      </w:r>
      <w:r w:rsidRPr="00D75D2E">
        <w:rPr>
          <w:rFonts w:ascii="Times New Roman" w:hAnsi="Times New Roman"/>
          <w:spacing w:val="-1"/>
          <w:sz w:val="24"/>
          <w:szCs w:val="24"/>
        </w:rPr>
        <w:t>acc</w:t>
      </w:r>
      <w:r w:rsidRPr="00D75D2E">
        <w:rPr>
          <w:rFonts w:ascii="Times New Roman" w:hAnsi="Times New Roman"/>
          <w:sz w:val="24"/>
          <w:szCs w:val="24"/>
        </w:rPr>
        <w:t xml:space="preserve">ident </w:t>
      </w:r>
      <w:r w:rsidRPr="00D75D2E">
        <w:rPr>
          <w:rFonts w:ascii="Times New Roman" w:hAnsi="Times New Roman"/>
          <w:spacing w:val="5"/>
          <w:sz w:val="24"/>
          <w:szCs w:val="24"/>
        </w:rPr>
        <w:t>n</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z w:val="24"/>
          <w:szCs w:val="24"/>
        </w:rPr>
        <w:t xml:space="preserve">st </w:t>
      </w:r>
      <w:r w:rsidRPr="00D75D2E">
        <w:rPr>
          <w:rFonts w:ascii="Times New Roman" w:hAnsi="Times New Roman"/>
          <w:spacing w:val="5"/>
          <w:sz w:val="24"/>
          <w:szCs w:val="24"/>
        </w:rPr>
        <w:t>p</w:t>
      </w:r>
      <w:r w:rsidRPr="00D75D2E">
        <w:rPr>
          <w:rFonts w:ascii="Times New Roman" w:hAnsi="Times New Roman"/>
          <w:spacing w:val="-1"/>
          <w:sz w:val="24"/>
          <w:szCs w:val="24"/>
        </w:rPr>
        <w:t>a</w:t>
      </w:r>
      <w:r w:rsidRPr="00D75D2E">
        <w:rPr>
          <w:rFonts w:ascii="Times New Roman" w:hAnsi="Times New Roman"/>
          <w:sz w:val="24"/>
          <w:szCs w:val="24"/>
        </w:rPr>
        <w:t xml:space="preserve">s une </w:t>
      </w:r>
      <w:r w:rsidRPr="00D75D2E">
        <w:rPr>
          <w:rFonts w:ascii="Times New Roman" w:hAnsi="Times New Roman"/>
          <w:spacing w:val="-1"/>
          <w:sz w:val="24"/>
          <w:szCs w:val="24"/>
        </w:rPr>
        <w:t>fa</w:t>
      </w:r>
      <w:r w:rsidRPr="00D75D2E">
        <w:rPr>
          <w:rFonts w:ascii="Times New Roman" w:hAnsi="Times New Roman"/>
          <w:spacing w:val="3"/>
          <w:sz w:val="24"/>
          <w:szCs w:val="24"/>
        </w:rPr>
        <w:t>t</w:t>
      </w:r>
      <w:r w:rsidRPr="00D75D2E">
        <w:rPr>
          <w:rFonts w:ascii="Times New Roman" w:hAnsi="Times New Roman"/>
          <w:spacing w:val="-1"/>
          <w:sz w:val="24"/>
          <w:szCs w:val="24"/>
        </w:rPr>
        <w:t>a</w:t>
      </w:r>
      <w:r w:rsidRPr="00D75D2E">
        <w:rPr>
          <w:rFonts w:ascii="Times New Roman" w:hAnsi="Times New Roman"/>
          <w:sz w:val="24"/>
          <w:szCs w:val="24"/>
        </w:rPr>
        <w:t>l</w:t>
      </w:r>
      <w:r w:rsidRPr="00D75D2E">
        <w:rPr>
          <w:rFonts w:ascii="Times New Roman" w:hAnsi="Times New Roman"/>
          <w:spacing w:val="1"/>
          <w:sz w:val="24"/>
          <w:szCs w:val="24"/>
        </w:rPr>
        <w:t>i</w:t>
      </w:r>
      <w:r w:rsidRPr="00D75D2E">
        <w:rPr>
          <w:rFonts w:ascii="Times New Roman" w:hAnsi="Times New Roman"/>
          <w:sz w:val="24"/>
          <w:szCs w:val="24"/>
        </w:rPr>
        <w:t>t</w:t>
      </w:r>
      <w:r w:rsidRPr="00D75D2E">
        <w:rPr>
          <w:rFonts w:ascii="Times New Roman" w:hAnsi="Times New Roman"/>
          <w:spacing w:val="-1"/>
          <w:sz w:val="24"/>
          <w:szCs w:val="24"/>
        </w:rPr>
        <w:t>é</w:t>
      </w:r>
      <w:r w:rsidRPr="00D75D2E">
        <w:rPr>
          <w:rFonts w:ascii="Times New Roman" w:hAnsi="Times New Roman"/>
          <w:sz w:val="24"/>
          <w:szCs w:val="24"/>
        </w:rPr>
        <w:t xml:space="preserve">. </w:t>
      </w:r>
      <w:r w:rsidRPr="00D75D2E">
        <w:rPr>
          <w:rFonts w:ascii="Times New Roman" w:hAnsi="Times New Roman"/>
          <w:spacing w:val="-7"/>
          <w:sz w:val="24"/>
          <w:szCs w:val="24"/>
        </w:rPr>
        <w:t>L</w:t>
      </w:r>
      <w:r w:rsidRPr="00D75D2E">
        <w:rPr>
          <w:rFonts w:ascii="Times New Roman" w:hAnsi="Times New Roman"/>
          <w:sz w:val="24"/>
          <w:szCs w:val="24"/>
        </w:rPr>
        <w:t>e pr</w:t>
      </w:r>
      <w:r w:rsidRPr="00D75D2E">
        <w:rPr>
          <w:rFonts w:ascii="Times New Roman" w:hAnsi="Times New Roman"/>
          <w:spacing w:val="-1"/>
          <w:sz w:val="24"/>
          <w:szCs w:val="24"/>
        </w:rPr>
        <w:t>ofe</w:t>
      </w:r>
      <w:r w:rsidRPr="00D75D2E">
        <w:rPr>
          <w:rFonts w:ascii="Times New Roman" w:hAnsi="Times New Roman"/>
          <w:sz w:val="24"/>
          <w:szCs w:val="24"/>
        </w:rPr>
        <w:t>ssionn</w:t>
      </w:r>
      <w:r w:rsidRPr="00D75D2E">
        <w:rPr>
          <w:rFonts w:ascii="Times New Roman" w:hAnsi="Times New Roman"/>
          <w:spacing w:val="-1"/>
          <w:sz w:val="24"/>
          <w:szCs w:val="24"/>
        </w:rPr>
        <w:t>a</w:t>
      </w:r>
      <w:r w:rsidRPr="00D75D2E">
        <w:rPr>
          <w:rFonts w:ascii="Times New Roman" w:hAnsi="Times New Roman"/>
          <w:sz w:val="24"/>
          <w:szCs w:val="24"/>
        </w:rPr>
        <w:t>lisme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3"/>
          <w:sz w:val="24"/>
          <w:szCs w:val="24"/>
        </w:rPr>
        <w:t>m</w:t>
      </w:r>
      <w:r w:rsidRPr="00D75D2E">
        <w:rPr>
          <w:rFonts w:ascii="Times New Roman" w:hAnsi="Times New Roman"/>
          <w:spacing w:val="-1"/>
          <w:sz w:val="24"/>
          <w:szCs w:val="24"/>
        </w:rPr>
        <w:t>é</w:t>
      </w:r>
      <w:r w:rsidRPr="00D75D2E">
        <w:rPr>
          <w:rFonts w:ascii="Times New Roman" w:hAnsi="Times New Roman"/>
          <w:sz w:val="24"/>
          <w:szCs w:val="24"/>
        </w:rPr>
        <w:t>ti</w:t>
      </w:r>
      <w:r w:rsidRPr="00D75D2E">
        <w:rPr>
          <w:rFonts w:ascii="Times New Roman" w:hAnsi="Times New Roman"/>
          <w:spacing w:val="-1"/>
          <w:sz w:val="24"/>
          <w:szCs w:val="24"/>
        </w:rPr>
        <w:t>e</w:t>
      </w:r>
      <w:r w:rsidRPr="00D75D2E">
        <w:rPr>
          <w:rFonts w:ascii="Times New Roman" w:hAnsi="Times New Roman"/>
          <w:sz w:val="24"/>
          <w:szCs w:val="24"/>
        </w:rPr>
        <w:t xml:space="preserve">rs de </w:t>
      </w:r>
      <w:r w:rsidRPr="00D75D2E">
        <w:rPr>
          <w:rFonts w:ascii="Times New Roman" w:hAnsi="Times New Roman"/>
          <w:spacing w:val="3"/>
          <w:sz w:val="24"/>
          <w:szCs w:val="24"/>
        </w:rPr>
        <w:t>l</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z w:val="24"/>
          <w:szCs w:val="24"/>
        </w:rPr>
        <w:t>ntr</w:t>
      </w:r>
      <w:r w:rsidRPr="00D75D2E">
        <w:rPr>
          <w:rFonts w:ascii="Times New Roman" w:hAnsi="Times New Roman"/>
          <w:spacing w:val="-1"/>
          <w:sz w:val="24"/>
          <w:szCs w:val="24"/>
        </w:rPr>
        <w:t>e</w:t>
      </w:r>
      <w:r w:rsidRPr="00D75D2E">
        <w:rPr>
          <w:rFonts w:ascii="Times New Roman" w:hAnsi="Times New Roman"/>
          <w:sz w:val="24"/>
          <w:szCs w:val="24"/>
        </w:rPr>
        <w:t>prise doit inté</w:t>
      </w:r>
      <w:r w:rsidRPr="00D75D2E">
        <w:rPr>
          <w:rFonts w:ascii="Times New Roman" w:hAnsi="Times New Roman"/>
          <w:spacing w:val="-1"/>
          <w:sz w:val="24"/>
          <w:szCs w:val="24"/>
        </w:rPr>
        <w:t>g</w:t>
      </w:r>
      <w:r w:rsidRPr="00D75D2E">
        <w:rPr>
          <w:rFonts w:ascii="Times New Roman" w:hAnsi="Times New Roman"/>
          <w:spacing w:val="-2"/>
          <w:sz w:val="24"/>
          <w:szCs w:val="24"/>
        </w:rPr>
        <w:t>r</w:t>
      </w:r>
      <w:r w:rsidRPr="00D75D2E">
        <w:rPr>
          <w:rFonts w:ascii="Times New Roman" w:hAnsi="Times New Roman"/>
          <w:spacing w:val="-1"/>
          <w:sz w:val="24"/>
          <w:szCs w:val="24"/>
        </w:rPr>
        <w:t>er</w:t>
      </w:r>
      <w:r w:rsidRPr="00D75D2E">
        <w:rPr>
          <w:rFonts w:ascii="Times New Roman" w:hAnsi="Times New Roman"/>
          <w:sz w:val="24"/>
          <w:szCs w:val="24"/>
        </w:rPr>
        <w:t xml:space="preserve"> </w:t>
      </w:r>
      <w:r w:rsidRPr="00D75D2E">
        <w:rPr>
          <w:rFonts w:ascii="Times New Roman" w:hAnsi="Times New Roman"/>
          <w:spacing w:val="-1"/>
          <w:sz w:val="24"/>
          <w:szCs w:val="24"/>
        </w:rPr>
        <w:t>e</w:t>
      </w:r>
      <w:r w:rsidRPr="00D75D2E">
        <w:rPr>
          <w:rFonts w:ascii="Times New Roman" w:hAnsi="Times New Roman"/>
          <w:sz w:val="24"/>
          <w:szCs w:val="24"/>
        </w:rPr>
        <w:t>n p</w:t>
      </w:r>
      <w:r w:rsidRPr="00D75D2E">
        <w:rPr>
          <w:rFonts w:ascii="Times New Roman" w:hAnsi="Times New Roman"/>
          <w:spacing w:val="1"/>
          <w:sz w:val="24"/>
          <w:szCs w:val="24"/>
        </w:rPr>
        <w:t>e</w:t>
      </w:r>
      <w:r w:rsidRPr="00D75D2E">
        <w:rPr>
          <w:rFonts w:ascii="Times New Roman" w:hAnsi="Times New Roman"/>
          <w:spacing w:val="-1"/>
          <w:sz w:val="24"/>
          <w:szCs w:val="24"/>
        </w:rPr>
        <w:t>r</w:t>
      </w:r>
      <w:r w:rsidRPr="00D75D2E">
        <w:rPr>
          <w:rFonts w:ascii="Times New Roman" w:hAnsi="Times New Roman"/>
          <w:spacing w:val="3"/>
          <w:sz w:val="24"/>
          <w:szCs w:val="24"/>
        </w:rPr>
        <w:t>m</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4"/>
          <w:sz w:val="24"/>
          <w:szCs w:val="24"/>
        </w:rPr>
        <w:t>c</w:t>
      </w:r>
      <w:r w:rsidRPr="00D75D2E">
        <w:rPr>
          <w:rFonts w:ascii="Times New Roman" w:hAnsi="Times New Roman"/>
          <w:sz w:val="24"/>
          <w:szCs w:val="24"/>
        </w:rPr>
        <w:t xml:space="preserve">e </w:t>
      </w:r>
      <w:r w:rsidRPr="00D75D2E">
        <w:rPr>
          <w:rFonts w:ascii="Times New Roman" w:hAnsi="Times New Roman"/>
          <w:spacing w:val="5"/>
          <w:sz w:val="24"/>
          <w:szCs w:val="24"/>
        </w:rPr>
        <w:t>l</w:t>
      </w:r>
      <w:r w:rsidRPr="00D75D2E">
        <w:rPr>
          <w:rFonts w:ascii="Times New Roman" w:hAnsi="Times New Roman"/>
          <w:sz w:val="24"/>
          <w:szCs w:val="24"/>
        </w:rPr>
        <w:t>a no</w:t>
      </w:r>
      <w:r w:rsidRPr="00D75D2E">
        <w:rPr>
          <w:rFonts w:ascii="Times New Roman" w:hAnsi="Times New Roman"/>
          <w:spacing w:val="1"/>
          <w:sz w:val="24"/>
          <w:szCs w:val="24"/>
        </w:rPr>
        <w:t>t</w:t>
      </w:r>
      <w:r w:rsidRPr="00D75D2E">
        <w:rPr>
          <w:rFonts w:ascii="Times New Roman" w:hAnsi="Times New Roman"/>
          <w:sz w:val="24"/>
          <w:szCs w:val="24"/>
        </w:rPr>
        <w:t>ion de maîtrise de risqu</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ne </w:t>
      </w:r>
      <w:r w:rsidRPr="00D75D2E">
        <w:rPr>
          <w:rFonts w:ascii="Times New Roman" w:hAnsi="Times New Roman"/>
          <w:spacing w:val="2"/>
          <w:sz w:val="24"/>
          <w:szCs w:val="24"/>
        </w:rPr>
        <w:t>p</w:t>
      </w:r>
      <w:r w:rsidRPr="00D75D2E">
        <w:rPr>
          <w:rFonts w:ascii="Times New Roman" w:hAnsi="Times New Roman"/>
          <w:spacing w:val="-1"/>
          <w:sz w:val="24"/>
          <w:szCs w:val="24"/>
        </w:rPr>
        <w:t>e</w:t>
      </w:r>
      <w:r w:rsidRPr="00D75D2E">
        <w:rPr>
          <w:rFonts w:ascii="Times New Roman" w:hAnsi="Times New Roman"/>
          <w:sz w:val="24"/>
          <w:szCs w:val="24"/>
        </w:rPr>
        <w:t>ut a</w:t>
      </w:r>
      <w:r w:rsidRPr="00D75D2E">
        <w:rPr>
          <w:rFonts w:ascii="Times New Roman" w:hAnsi="Times New Roman"/>
          <w:spacing w:val="-1"/>
          <w:sz w:val="24"/>
          <w:szCs w:val="24"/>
        </w:rPr>
        <w:t>c</w:t>
      </w:r>
      <w:r w:rsidRPr="00D75D2E">
        <w:rPr>
          <w:rFonts w:ascii="Times New Roman" w:hAnsi="Times New Roman"/>
          <w:spacing w:val="1"/>
          <w:sz w:val="24"/>
          <w:szCs w:val="24"/>
        </w:rPr>
        <w:t>c</w:t>
      </w:r>
      <w:r w:rsidRPr="00D75D2E">
        <w:rPr>
          <w:rFonts w:ascii="Times New Roman" w:hAnsi="Times New Roman"/>
          <w:spacing w:val="2"/>
          <w:sz w:val="24"/>
          <w:szCs w:val="24"/>
        </w:rPr>
        <w:t>e</w:t>
      </w:r>
      <w:r w:rsidRPr="00D75D2E">
        <w:rPr>
          <w:rFonts w:ascii="Times New Roman" w:hAnsi="Times New Roman"/>
          <w:sz w:val="24"/>
          <w:szCs w:val="24"/>
        </w:rPr>
        <w:t>pter la mise</w:t>
      </w:r>
      <w:r w:rsidRPr="00D75D2E">
        <w:rPr>
          <w:rFonts w:ascii="Times New Roman" w:hAnsi="Times New Roman"/>
          <w:spacing w:val="-1"/>
          <w:sz w:val="24"/>
          <w:szCs w:val="24"/>
        </w:rPr>
        <w:t xml:space="preserve"> e</w:t>
      </w:r>
      <w:r w:rsidRPr="00D75D2E">
        <w:rPr>
          <w:rFonts w:ascii="Times New Roman" w:hAnsi="Times New Roman"/>
          <w:sz w:val="24"/>
          <w:szCs w:val="24"/>
        </w:rPr>
        <w:t>n d</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z w:val="24"/>
          <w:szCs w:val="24"/>
        </w:rPr>
        <w:t>g</w:t>
      </w:r>
      <w:r w:rsidRPr="00D75D2E">
        <w:rPr>
          <w:rFonts w:ascii="Times New Roman" w:hAnsi="Times New Roman"/>
          <w:spacing w:val="-1"/>
          <w:sz w:val="24"/>
          <w:szCs w:val="24"/>
        </w:rPr>
        <w:t>e</w:t>
      </w:r>
      <w:r w:rsidRPr="00D75D2E">
        <w:rPr>
          <w:rFonts w:ascii="Times New Roman" w:hAnsi="Times New Roman"/>
          <w:sz w:val="24"/>
          <w:szCs w:val="24"/>
        </w:rPr>
        <w:t>r de quiconqu</w:t>
      </w:r>
      <w:r w:rsidRPr="00D75D2E">
        <w:rPr>
          <w:rFonts w:ascii="Times New Roman" w:hAnsi="Times New Roman"/>
          <w:spacing w:val="-1"/>
          <w:sz w:val="24"/>
          <w:szCs w:val="24"/>
        </w:rPr>
        <w:t>e </w:t>
      </w:r>
      <w:r w:rsidRPr="00D75D2E">
        <w:rPr>
          <w:rFonts w:ascii="Times New Roman" w:hAnsi="Times New Roman"/>
          <w:sz w:val="24"/>
          <w:szCs w:val="24"/>
        </w:rPr>
        <w:t>;</w:t>
      </w:r>
    </w:p>
    <w:p w14:paraId="01C91FCF" w14:textId="77777777" w:rsidR="000705BE" w:rsidRPr="00D75D2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z w:val="24"/>
          <w:szCs w:val="24"/>
        </w:rPr>
        <w:t>D</w:t>
      </w:r>
      <w:r w:rsidRPr="00D75D2E">
        <w:rPr>
          <w:rFonts w:ascii="Times New Roman" w:hAnsi="Times New Roman"/>
          <w:spacing w:val="-1"/>
          <w:sz w:val="24"/>
          <w:szCs w:val="24"/>
        </w:rPr>
        <w:t>a</w:t>
      </w:r>
      <w:r w:rsidRPr="00D75D2E">
        <w:rPr>
          <w:rFonts w:ascii="Times New Roman" w:hAnsi="Times New Roman"/>
          <w:sz w:val="24"/>
          <w:szCs w:val="24"/>
        </w:rPr>
        <w:t xml:space="preserve">ns nos </w:t>
      </w:r>
      <w:r w:rsidRPr="00D75D2E">
        <w:rPr>
          <w:rFonts w:ascii="Times New Roman" w:hAnsi="Times New Roman"/>
          <w:spacing w:val="-1"/>
          <w:sz w:val="24"/>
          <w:szCs w:val="24"/>
        </w:rPr>
        <w:t>re</w:t>
      </w:r>
      <w:r w:rsidRPr="00D75D2E">
        <w:rPr>
          <w:rFonts w:ascii="Times New Roman" w:hAnsi="Times New Roman"/>
          <w:sz w:val="24"/>
          <w:szCs w:val="24"/>
        </w:rPr>
        <w:t>lations pr</w:t>
      </w:r>
      <w:r w:rsidRPr="00D75D2E">
        <w:rPr>
          <w:rFonts w:ascii="Times New Roman" w:hAnsi="Times New Roman"/>
          <w:spacing w:val="-1"/>
          <w:sz w:val="24"/>
          <w:szCs w:val="24"/>
        </w:rPr>
        <w:t>o</w:t>
      </w:r>
      <w:r w:rsidRPr="00D75D2E">
        <w:rPr>
          <w:rFonts w:ascii="Times New Roman" w:hAnsi="Times New Roman"/>
          <w:spacing w:val="2"/>
          <w:sz w:val="24"/>
          <w:szCs w:val="24"/>
        </w:rPr>
        <w:t>fe</w:t>
      </w:r>
      <w:r w:rsidRPr="00D75D2E">
        <w:rPr>
          <w:rFonts w:ascii="Times New Roman" w:hAnsi="Times New Roman"/>
          <w:sz w:val="24"/>
          <w:szCs w:val="24"/>
        </w:rPr>
        <w:t>ssionn</w:t>
      </w:r>
      <w:r w:rsidRPr="00D75D2E">
        <w:rPr>
          <w:rFonts w:ascii="Times New Roman" w:hAnsi="Times New Roman"/>
          <w:spacing w:val="-1"/>
          <w:sz w:val="24"/>
          <w:szCs w:val="24"/>
        </w:rPr>
        <w:t>e</w:t>
      </w:r>
      <w:r w:rsidRPr="00D75D2E">
        <w:rPr>
          <w:rFonts w:ascii="Times New Roman" w:hAnsi="Times New Roman"/>
          <w:sz w:val="24"/>
          <w:szCs w:val="24"/>
        </w:rPr>
        <w:t>ll</w:t>
      </w:r>
      <w:r w:rsidRPr="00D75D2E">
        <w:rPr>
          <w:rFonts w:ascii="Times New Roman" w:hAnsi="Times New Roman"/>
          <w:spacing w:val="-1"/>
          <w:sz w:val="24"/>
          <w:szCs w:val="24"/>
        </w:rPr>
        <w:t>e</w:t>
      </w:r>
      <w:r w:rsidRPr="00D75D2E">
        <w:rPr>
          <w:rFonts w:ascii="Times New Roman" w:hAnsi="Times New Roman"/>
          <w:sz w:val="24"/>
          <w:szCs w:val="24"/>
        </w:rPr>
        <w:t>s,</w:t>
      </w:r>
      <w:r w:rsidRPr="00D75D2E">
        <w:rPr>
          <w:rFonts w:ascii="Times New Roman" w:hAnsi="Times New Roman"/>
          <w:spacing w:val="3"/>
          <w:sz w:val="24"/>
          <w:szCs w:val="24"/>
        </w:rPr>
        <w:t xml:space="preserve"> l</w:t>
      </w:r>
      <w:r w:rsidRPr="00D75D2E">
        <w:rPr>
          <w:rFonts w:ascii="Times New Roman" w:hAnsi="Times New Roman"/>
          <w:sz w:val="24"/>
          <w:szCs w:val="24"/>
        </w:rPr>
        <w:t xml:space="preserve">a </w:t>
      </w:r>
      <w:r w:rsidRPr="00D75D2E">
        <w:rPr>
          <w:rFonts w:ascii="Times New Roman" w:hAnsi="Times New Roman"/>
          <w:spacing w:val="1"/>
          <w:sz w:val="24"/>
          <w:szCs w:val="24"/>
        </w:rPr>
        <w:t>d</w:t>
      </w:r>
      <w:r w:rsidRPr="00D75D2E">
        <w:rPr>
          <w:rFonts w:ascii="Times New Roman" w:hAnsi="Times New Roman"/>
          <w:spacing w:val="-1"/>
          <w:sz w:val="24"/>
          <w:szCs w:val="24"/>
        </w:rPr>
        <w:t>é</w:t>
      </w:r>
      <w:r w:rsidRPr="00D75D2E">
        <w:rPr>
          <w:rFonts w:ascii="Times New Roman" w:hAnsi="Times New Roman"/>
          <w:sz w:val="24"/>
          <w:szCs w:val="24"/>
        </w:rPr>
        <w:t>m</w:t>
      </w:r>
      <w:r w:rsidRPr="00D75D2E">
        <w:rPr>
          <w:rFonts w:ascii="Times New Roman" w:hAnsi="Times New Roman"/>
          <w:spacing w:val="6"/>
          <w:sz w:val="24"/>
          <w:szCs w:val="24"/>
        </w:rPr>
        <w:t>a</w:t>
      </w:r>
      <w:r w:rsidRPr="00D75D2E">
        <w:rPr>
          <w:rFonts w:ascii="Times New Roman" w:hAnsi="Times New Roman"/>
          <w:spacing w:val="-1"/>
          <w:sz w:val="24"/>
          <w:szCs w:val="24"/>
        </w:rPr>
        <w:t>r</w:t>
      </w:r>
      <w:r w:rsidRPr="00D75D2E">
        <w:rPr>
          <w:rFonts w:ascii="Times New Roman" w:hAnsi="Times New Roman"/>
          <w:spacing w:val="-3"/>
          <w:sz w:val="24"/>
          <w:szCs w:val="24"/>
        </w:rPr>
        <w:t>c</w:t>
      </w:r>
      <w:r w:rsidRPr="00D75D2E">
        <w:rPr>
          <w:rFonts w:ascii="Times New Roman" w:hAnsi="Times New Roman"/>
          <w:spacing w:val="2"/>
          <w:sz w:val="24"/>
          <w:szCs w:val="24"/>
        </w:rPr>
        <w:t>h</w:t>
      </w:r>
      <w:r w:rsidRPr="00D75D2E">
        <w:rPr>
          <w:rFonts w:ascii="Times New Roman" w:hAnsi="Times New Roman"/>
          <w:sz w:val="24"/>
          <w:szCs w:val="24"/>
        </w:rPr>
        <w:t>e s</w:t>
      </w:r>
      <w:r w:rsidRPr="00D75D2E">
        <w:rPr>
          <w:rFonts w:ascii="Times New Roman" w:hAnsi="Times New Roman"/>
          <w:spacing w:val="-1"/>
          <w:sz w:val="24"/>
          <w:szCs w:val="24"/>
        </w:rPr>
        <w:t>éc</w:t>
      </w:r>
      <w:r w:rsidRPr="00D75D2E">
        <w:rPr>
          <w:rFonts w:ascii="Times New Roman" w:hAnsi="Times New Roman"/>
          <w:spacing w:val="2"/>
          <w:sz w:val="24"/>
          <w:szCs w:val="24"/>
        </w:rPr>
        <w:t>u</w:t>
      </w:r>
      <w:r w:rsidRPr="00D75D2E">
        <w:rPr>
          <w:rFonts w:ascii="Times New Roman" w:hAnsi="Times New Roman"/>
          <w:sz w:val="24"/>
          <w:szCs w:val="24"/>
        </w:rPr>
        <w:t xml:space="preserve">rité se </w:t>
      </w:r>
      <w:r w:rsidRPr="00D75D2E">
        <w:rPr>
          <w:rFonts w:ascii="Times New Roman" w:hAnsi="Times New Roman"/>
          <w:spacing w:val="5"/>
          <w:sz w:val="24"/>
          <w:szCs w:val="24"/>
        </w:rPr>
        <w:t>d</w:t>
      </w:r>
      <w:r w:rsidRPr="00D75D2E">
        <w:rPr>
          <w:rFonts w:ascii="Times New Roman" w:hAnsi="Times New Roman"/>
          <w:spacing w:val="-1"/>
          <w:sz w:val="24"/>
          <w:szCs w:val="24"/>
        </w:rPr>
        <w:t>éc</w:t>
      </w:r>
      <w:r w:rsidRPr="00D75D2E">
        <w:rPr>
          <w:rFonts w:ascii="Times New Roman" w:hAnsi="Times New Roman"/>
          <w:spacing w:val="1"/>
          <w:sz w:val="24"/>
          <w:szCs w:val="24"/>
        </w:rPr>
        <w:t>l</w:t>
      </w:r>
      <w:r w:rsidRPr="00D75D2E">
        <w:rPr>
          <w:rFonts w:ascii="Times New Roman" w:hAnsi="Times New Roman"/>
          <w:sz w:val="24"/>
          <w:szCs w:val="24"/>
        </w:rPr>
        <w:t xml:space="preserve">inera </w:t>
      </w:r>
      <w:r w:rsidRPr="00D75D2E">
        <w:rPr>
          <w:rFonts w:ascii="Times New Roman" w:hAnsi="Times New Roman"/>
          <w:spacing w:val="-1"/>
          <w:sz w:val="24"/>
          <w:szCs w:val="24"/>
        </w:rPr>
        <w:t>a</w:t>
      </w:r>
      <w:r w:rsidRPr="00D75D2E">
        <w:rPr>
          <w:rFonts w:ascii="Times New Roman" w:hAnsi="Times New Roman"/>
          <w:sz w:val="24"/>
          <w:szCs w:val="24"/>
        </w:rPr>
        <w:t xml:space="preserve">u quotidien pour soi </w:t>
      </w:r>
      <w:r w:rsidRPr="00D75D2E">
        <w:rPr>
          <w:rFonts w:ascii="Times New Roman" w:hAnsi="Times New Roman"/>
          <w:spacing w:val="-1"/>
          <w:sz w:val="24"/>
          <w:szCs w:val="24"/>
        </w:rPr>
        <w:t>e</w:t>
      </w:r>
      <w:r w:rsidRPr="00D75D2E">
        <w:rPr>
          <w:rFonts w:ascii="Times New Roman" w:hAnsi="Times New Roman"/>
          <w:sz w:val="24"/>
          <w:szCs w:val="24"/>
        </w:rPr>
        <w:t xml:space="preserve">t pour les </w:t>
      </w:r>
      <w:r w:rsidRPr="00D75D2E">
        <w:rPr>
          <w:rFonts w:ascii="Times New Roman" w:hAnsi="Times New Roman"/>
          <w:spacing w:val="-1"/>
          <w:sz w:val="24"/>
          <w:szCs w:val="24"/>
        </w:rPr>
        <w:t>a</w:t>
      </w:r>
      <w:r w:rsidRPr="00D75D2E">
        <w:rPr>
          <w:rFonts w:ascii="Times New Roman" w:hAnsi="Times New Roman"/>
          <w:sz w:val="24"/>
          <w:szCs w:val="24"/>
        </w:rPr>
        <w:t>ut</w:t>
      </w:r>
      <w:r w:rsidRPr="00D75D2E">
        <w:rPr>
          <w:rFonts w:ascii="Times New Roman" w:hAnsi="Times New Roman"/>
          <w:spacing w:val="5"/>
          <w:sz w:val="24"/>
          <w:szCs w:val="24"/>
        </w:rPr>
        <w:t>r</w:t>
      </w:r>
      <w:r w:rsidRPr="00D75D2E">
        <w:rPr>
          <w:rFonts w:ascii="Times New Roman" w:hAnsi="Times New Roman"/>
          <w:spacing w:val="-1"/>
          <w:sz w:val="24"/>
          <w:szCs w:val="24"/>
        </w:rPr>
        <w:t>e</w:t>
      </w:r>
      <w:r w:rsidRPr="00D75D2E">
        <w:rPr>
          <w:rFonts w:ascii="Times New Roman" w:hAnsi="Times New Roman"/>
          <w:sz w:val="24"/>
          <w:szCs w:val="24"/>
        </w:rPr>
        <w:t>s d</w:t>
      </w:r>
      <w:r w:rsidRPr="00D75D2E">
        <w:rPr>
          <w:rFonts w:ascii="Times New Roman" w:hAnsi="Times New Roman"/>
          <w:spacing w:val="-1"/>
          <w:sz w:val="24"/>
          <w:szCs w:val="24"/>
        </w:rPr>
        <w:t>a</w:t>
      </w:r>
      <w:r w:rsidRPr="00D75D2E">
        <w:rPr>
          <w:rFonts w:ascii="Times New Roman" w:hAnsi="Times New Roman"/>
          <w:sz w:val="24"/>
          <w:szCs w:val="24"/>
        </w:rPr>
        <w:t xml:space="preserve">ns un </w:t>
      </w:r>
      <w:r w:rsidRPr="00D75D2E">
        <w:rPr>
          <w:rFonts w:ascii="Times New Roman" w:hAnsi="Times New Roman"/>
          <w:spacing w:val="-1"/>
          <w:sz w:val="24"/>
          <w:szCs w:val="24"/>
        </w:rPr>
        <w:t>c</w:t>
      </w:r>
      <w:r w:rsidRPr="00D75D2E">
        <w:rPr>
          <w:rFonts w:ascii="Times New Roman" w:hAnsi="Times New Roman"/>
          <w:sz w:val="24"/>
          <w:szCs w:val="24"/>
        </w:rPr>
        <w:t>omport</w:t>
      </w:r>
      <w:r w:rsidRPr="00D75D2E">
        <w:rPr>
          <w:rFonts w:ascii="Times New Roman" w:hAnsi="Times New Roman"/>
          <w:spacing w:val="-1"/>
          <w:sz w:val="24"/>
          <w:szCs w:val="24"/>
        </w:rPr>
        <w:t>e</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pacing w:val="5"/>
          <w:sz w:val="24"/>
          <w:szCs w:val="24"/>
        </w:rPr>
        <w:t>n</w:t>
      </w:r>
      <w:r w:rsidRPr="00D75D2E">
        <w:rPr>
          <w:rFonts w:ascii="Times New Roman" w:hAnsi="Times New Roman"/>
          <w:sz w:val="24"/>
          <w:szCs w:val="24"/>
        </w:rPr>
        <w:t xml:space="preserve">t </w:t>
      </w:r>
      <w:r w:rsidRPr="00D75D2E">
        <w:rPr>
          <w:rFonts w:ascii="Times New Roman" w:hAnsi="Times New Roman"/>
          <w:spacing w:val="-2"/>
          <w:sz w:val="24"/>
          <w:szCs w:val="24"/>
        </w:rPr>
        <w:t>g</w:t>
      </w:r>
      <w:r w:rsidRPr="00D75D2E">
        <w:rPr>
          <w:rFonts w:ascii="Times New Roman" w:hAnsi="Times New Roman"/>
          <w:spacing w:val="-1"/>
          <w:sz w:val="24"/>
          <w:szCs w:val="24"/>
        </w:rPr>
        <w:t>é</w:t>
      </w:r>
      <w:r w:rsidRPr="00D75D2E">
        <w:rPr>
          <w:rFonts w:ascii="Times New Roman" w:hAnsi="Times New Roman"/>
          <w:spacing w:val="2"/>
          <w:sz w:val="24"/>
          <w:szCs w:val="24"/>
        </w:rPr>
        <w:t>n</w:t>
      </w:r>
      <w:r w:rsidRPr="00D75D2E">
        <w:rPr>
          <w:rFonts w:ascii="Times New Roman" w:hAnsi="Times New Roman"/>
          <w:spacing w:val="-1"/>
          <w:sz w:val="24"/>
          <w:szCs w:val="24"/>
        </w:rPr>
        <w:t>ér</w:t>
      </w:r>
      <w:r w:rsidRPr="00D75D2E">
        <w:rPr>
          <w:rFonts w:ascii="Times New Roman" w:hAnsi="Times New Roman"/>
          <w:spacing w:val="-3"/>
          <w:sz w:val="24"/>
          <w:szCs w:val="24"/>
        </w:rPr>
        <w:t>a</w:t>
      </w:r>
      <w:r w:rsidRPr="00D75D2E">
        <w:rPr>
          <w:rFonts w:ascii="Times New Roman" w:hAnsi="Times New Roman"/>
          <w:sz w:val="24"/>
          <w:szCs w:val="24"/>
        </w:rPr>
        <w:t xml:space="preserve">l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s</w:t>
      </w:r>
      <w:r w:rsidRPr="00D75D2E">
        <w:rPr>
          <w:rFonts w:ascii="Times New Roman" w:hAnsi="Times New Roman"/>
          <w:spacing w:val="-1"/>
          <w:sz w:val="24"/>
          <w:szCs w:val="24"/>
        </w:rPr>
        <w:t>e</w:t>
      </w:r>
      <w:r w:rsidRPr="00D75D2E">
        <w:rPr>
          <w:rFonts w:ascii="Times New Roman" w:hAnsi="Times New Roman"/>
          <w:sz w:val="24"/>
          <w:szCs w:val="24"/>
        </w:rPr>
        <w:t>nsi</w:t>
      </w:r>
      <w:r w:rsidRPr="00D75D2E">
        <w:rPr>
          <w:rFonts w:ascii="Times New Roman" w:hAnsi="Times New Roman"/>
          <w:spacing w:val="1"/>
          <w:sz w:val="24"/>
          <w:szCs w:val="24"/>
        </w:rPr>
        <w:t>b</w:t>
      </w:r>
      <w:r w:rsidRPr="00D75D2E">
        <w:rPr>
          <w:rFonts w:ascii="Times New Roman" w:hAnsi="Times New Roman"/>
          <w:sz w:val="24"/>
          <w:szCs w:val="24"/>
        </w:rPr>
        <w:t>ilis</w:t>
      </w:r>
      <w:r w:rsidRPr="00D75D2E">
        <w:rPr>
          <w:rFonts w:ascii="Times New Roman" w:hAnsi="Times New Roman"/>
          <w:spacing w:val="-1"/>
          <w:sz w:val="24"/>
          <w:szCs w:val="24"/>
        </w:rPr>
        <w:t>a</w:t>
      </w:r>
      <w:r w:rsidRPr="00D75D2E">
        <w:rPr>
          <w:rFonts w:ascii="Times New Roman" w:hAnsi="Times New Roman"/>
          <w:sz w:val="24"/>
          <w:szCs w:val="24"/>
        </w:rPr>
        <w:t>ti</w:t>
      </w:r>
      <w:r w:rsidRPr="00D75D2E">
        <w:rPr>
          <w:rFonts w:ascii="Times New Roman" w:hAnsi="Times New Roman"/>
          <w:spacing w:val="5"/>
          <w:sz w:val="24"/>
          <w:szCs w:val="24"/>
        </w:rPr>
        <w:t>o</w:t>
      </w:r>
      <w:r w:rsidRPr="00D75D2E">
        <w:rPr>
          <w:rFonts w:ascii="Times New Roman" w:hAnsi="Times New Roman"/>
          <w:sz w:val="24"/>
          <w:szCs w:val="24"/>
        </w:rPr>
        <w:t xml:space="preserve">n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2"/>
          <w:sz w:val="24"/>
          <w:szCs w:val="24"/>
        </w:rPr>
        <w:t>d</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pacing w:val="2"/>
          <w:sz w:val="24"/>
          <w:szCs w:val="24"/>
        </w:rPr>
        <w:t>n</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pacing w:val="-1"/>
          <w:sz w:val="24"/>
          <w:szCs w:val="24"/>
        </w:rPr>
        <w:t>e</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z w:val="24"/>
          <w:szCs w:val="24"/>
        </w:rPr>
        <w:t xml:space="preserve">nt </w:t>
      </w:r>
      <w:r w:rsidRPr="00D75D2E">
        <w:rPr>
          <w:rFonts w:ascii="Times New Roman" w:hAnsi="Times New Roman"/>
          <w:spacing w:val="-1"/>
          <w:sz w:val="24"/>
          <w:szCs w:val="24"/>
        </w:rPr>
        <w:t>ac</w:t>
      </w:r>
      <w:r w:rsidRPr="00D75D2E">
        <w:rPr>
          <w:rFonts w:ascii="Times New Roman" w:hAnsi="Times New Roman"/>
          <w:sz w:val="24"/>
          <w:szCs w:val="24"/>
        </w:rPr>
        <w:t>quis, notamment, à t</w:t>
      </w:r>
      <w:r w:rsidRPr="00D75D2E">
        <w:rPr>
          <w:rFonts w:ascii="Times New Roman" w:hAnsi="Times New Roman"/>
          <w:spacing w:val="-1"/>
          <w:sz w:val="24"/>
          <w:szCs w:val="24"/>
        </w:rPr>
        <w:t>ra</w:t>
      </w:r>
      <w:r w:rsidRPr="00D75D2E">
        <w:rPr>
          <w:rFonts w:ascii="Times New Roman" w:hAnsi="Times New Roman"/>
          <w:spacing w:val="1"/>
          <w:sz w:val="24"/>
          <w:szCs w:val="24"/>
        </w:rPr>
        <w:t>v</w:t>
      </w:r>
      <w:r w:rsidRPr="00D75D2E">
        <w:rPr>
          <w:rFonts w:ascii="Times New Roman" w:hAnsi="Times New Roman"/>
          <w:spacing w:val="-1"/>
          <w:sz w:val="24"/>
          <w:szCs w:val="24"/>
        </w:rPr>
        <w:t>e</w:t>
      </w:r>
      <w:r w:rsidRPr="00D75D2E">
        <w:rPr>
          <w:rFonts w:ascii="Times New Roman" w:hAnsi="Times New Roman"/>
          <w:sz w:val="24"/>
          <w:szCs w:val="24"/>
        </w:rPr>
        <w:t>rs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w:t>
      </w:r>
      <w:r w:rsidRPr="00D75D2E">
        <w:rPr>
          <w:rFonts w:ascii="Times New Roman" w:hAnsi="Times New Roman"/>
          <w:sz w:val="24"/>
          <w:szCs w:val="24"/>
        </w:rPr>
        <w:t xml:space="preserve">tions </w:t>
      </w:r>
      <w:r w:rsidRPr="00D75D2E">
        <w:rPr>
          <w:rFonts w:ascii="Times New Roman" w:hAnsi="Times New Roman"/>
          <w:spacing w:val="3"/>
          <w:sz w:val="24"/>
          <w:szCs w:val="24"/>
        </w:rPr>
        <w:t>d</w:t>
      </w:r>
      <w:r w:rsidRPr="00D75D2E">
        <w:rPr>
          <w:rFonts w:ascii="Times New Roman" w:hAnsi="Times New Roman"/>
          <w:spacing w:val="-5"/>
          <w:sz w:val="24"/>
          <w:szCs w:val="24"/>
        </w:rPr>
        <w:t>'</w:t>
      </w:r>
      <w:r w:rsidRPr="00D75D2E">
        <w:rPr>
          <w:rFonts w:ascii="Times New Roman" w:hAnsi="Times New Roman"/>
          <w:sz w:val="24"/>
          <w:szCs w:val="24"/>
        </w:rPr>
        <w:t>inf</w:t>
      </w:r>
      <w:r w:rsidRPr="00D75D2E">
        <w:rPr>
          <w:rFonts w:ascii="Times New Roman" w:hAnsi="Times New Roman"/>
          <w:spacing w:val="2"/>
          <w:sz w:val="24"/>
          <w:szCs w:val="24"/>
        </w:rPr>
        <w:t>o</w:t>
      </w:r>
      <w:r w:rsidRPr="00D75D2E">
        <w:rPr>
          <w:rFonts w:ascii="Times New Roman" w:hAnsi="Times New Roman"/>
          <w:spacing w:val="-1"/>
          <w:sz w:val="24"/>
          <w:szCs w:val="24"/>
        </w:rPr>
        <w:t>r</w:t>
      </w:r>
      <w:r w:rsidRPr="00D75D2E">
        <w:rPr>
          <w:rFonts w:ascii="Times New Roman" w:hAnsi="Times New Roman"/>
          <w:spacing w:val="3"/>
          <w:sz w:val="24"/>
          <w:szCs w:val="24"/>
        </w:rPr>
        <w:t>m</w:t>
      </w:r>
      <w:r w:rsidRPr="00D75D2E">
        <w:rPr>
          <w:rFonts w:ascii="Times New Roman" w:hAnsi="Times New Roman"/>
          <w:spacing w:val="-1"/>
          <w:sz w:val="24"/>
          <w:szCs w:val="24"/>
        </w:rPr>
        <w:t>a</w:t>
      </w:r>
      <w:r w:rsidRPr="00D75D2E">
        <w:rPr>
          <w:rFonts w:ascii="Times New Roman" w:hAnsi="Times New Roman"/>
          <w:sz w:val="24"/>
          <w:szCs w:val="24"/>
        </w:rPr>
        <w:t>t</w:t>
      </w:r>
      <w:r w:rsidRPr="00D75D2E">
        <w:rPr>
          <w:rFonts w:ascii="Times New Roman" w:hAnsi="Times New Roman"/>
          <w:spacing w:val="1"/>
          <w:sz w:val="24"/>
          <w:szCs w:val="24"/>
        </w:rPr>
        <w:t>i</w:t>
      </w:r>
      <w:r w:rsidRPr="00D75D2E">
        <w:rPr>
          <w:rFonts w:ascii="Times New Roman" w:hAnsi="Times New Roman"/>
          <w:sz w:val="24"/>
          <w:szCs w:val="24"/>
        </w:rPr>
        <w:t>on, de</w:t>
      </w:r>
      <w:r w:rsidRPr="00D75D2E">
        <w:rPr>
          <w:rFonts w:ascii="Times New Roman" w:hAnsi="Times New Roman"/>
          <w:spacing w:val="-1"/>
          <w:sz w:val="24"/>
          <w:szCs w:val="24"/>
        </w:rPr>
        <w:t xml:space="preserve"> f</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z w:val="24"/>
          <w:szCs w:val="24"/>
        </w:rPr>
        <w:t>mation et d</w:t>
      </w:r>
      <w:r w:rsidRPr="00D75D2E">
        <w:rPr>
          <w:rFonts w:ascii="Times New Roman" w:hAnsi="Times New Roman"/>
          <w:spacing w:val="-1"/>
          <w:sz w:val="24"/>
          <w:szCs w:val="24"/>
        </w:rPr>
        <w:t>e</w:t>
      </w:r>
      <w:r w:rsidRPr="00D75D2E">
        <w:rPr>
          <w:rFonts w:ascii="Times New Roman" w:hAnsi="Times New Roman"/>
          <w:sz w:val="24"/>
          <w:szCs w:val="24"/>
        </w:rPr>
        <w:t>s h</w:t>
      </w:r>
      <w:r w:rsidRPr="00D75D2E">
        <w:rPr>
          <w:rFonts w:ascii="Times New Roman" w:hAnsi="Times New Roman"/>
          <w:spacing w:val="-1"/>
          <w:sz w:val="24"/>
          <w:szCs w:val="24"/>
        </w:rPr>
        <w:t>a</w:t>
      </w:r>
      <w:r w:rsidRPr="00D75D2E">
        <w:rPr>
          <w:rFonts w:ascii="Times New Roman" w:hAnsi="Times New Roman"/>
          <w:spacing w:val="1"/>
          <w:sz w:val="24"/>
          <w:szCs w:val="24"/>
        </w:rPr>
        <w:t>b</w:t>
      </w:r>
      <w:r w:rsidRPr="00D75D2E">
        <w:rPr>
          <w:rFonts w:ascii="Times New Roman" w:hAnsi="Times New Roman"/>
          <w:sz w:val="24"/>
          <w:szCs w:val="24"/>
        </w:rPr>
        <w:t>ilit</w:t>
      </w:r>
      <w:r w:rsidRPr="00D75D2E">
        <w:rPr>
          <w:rFonts w:ascii="Times New Roman" w:hAnsi="Times New Roman"/>
          <w:spacing w:val="-1"/>
          <w:sz w:val="24"/>
          <w:szCs w:val="24"/>
        </w:rPr>
        <w:t>a</w:t>
      </w:r>
      <w:r w:rsidRPr="00D75D2E">
        <w:rPr>
          <w:rFonts w:ascii="Times New Roman" w:hAnsi="Times New Roman"/>
          <w:sz w:val="24"/>
          <w:szCs w:val="24"/>
        </w:rPr>
        <w:t>tions ;</w:t>
      </w:r>
    </w:p>
    <w:p w14:paraId="1BD60365" w14:textId="77777777" w:rsidR="000705BE" w:rsidRDefault="000705BE"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sidRPr="00D75D2E">
        <w:rPr>
          <w:rFonts w:ascii="Times New Roman" w:hAnsi="Times New Roman"/>
          <w:spacing w:val="-5"/>
          <w:sz w:val="24"/>
          <w:szCs w:val="24"/>
        </w:rPr>
        <w:t>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z w:val="24"/>
          <w:szCs w:val="24"/>
        </w:rPr>
        <w:t>m</w:t>
      </w:r>
      <w:r w:rsidRPr="00D75D2E">
        <w:rPr>
          <w:rFonts w:ascii="Times New Roman" w:hAnsi="Times New Roman"/>
          <w:spacing w:val="1"/>
          <w:sz w:val="24"/>
          <w:szCs w:val="24"/>
        </w:rPr>
        <w:t>b</w:t>
      </w:r>
      <w:r w:rsidRPr="00D75D2E">
        <w:rPr>
          <w:rFonts w:ascii="Times New Roman" w:hAnsi="Times New Roman"/>
          <w:spacing w:val="-1"/>
          <w:sz w:val="24"/>
          <w:szCs w:val="24"/>
        </w:rPr>
        <w:t>re</w:t>
      </w:r>
      <w:r w:rsidRPr="00D75D2E">
        <w:rPr>
          <w:rFonts w:ascii="Times New Roman" w:hAnsi="Times New Roman"/>
          <w:sz w:val="24"/>
          <w:szCs w:val="24"/>
        </w:rPr>
        <w:t>s de</w:t>
      </w:r>
      <w:r w:rsidRPr="00D75D2E">
        <w:rPr>
          <w:rFonts w:ascii="Times New Roman" w:hAnsi="Times New Roman"/>
          <w:spacing w:val="3"/>
          <w:sz w:val="24"/>
          <w:szCs w:val="24"/>
        </w:rPr>
        <w:t xml:space="preserve"> l</w:t>
      </w:r>
      <w:r w:rsidRPr="00D75D2E">
        <w:rPr>
          <w:rFonts w:ascii="Times New Roman" w:hAnsi="Times New Roman"/>
          <w:sz w:val="24"/>
          <w:szCs w:val="24"/>
        </w:rPr>
        <w:t>'</w:t>
      </w:r>
      <w:r w:rsidRPr="00D75D2E">
        <w:rPr>
          <w:rFonts w:ascii="Times New Roman" w:hAnsi="Times New Roman"/>
          <w:spacing w:val="-1"/>
          <w:sz w:val="24"/>
          <w:szCs w:val="24"/>
        </w:rPr>
        <w:t>é</w:t>
      </w:r>
      <w:r w:rsidRPr="00D75D2E">
        <w:rPr>
          <w:rFonts w:ascii="Times New Roman" w:hAnsi="Times New Roman"/>
          <w:sz w:val="24"/>
          <w:szCs w:val="24"/>
        </w:rPr>
        <w:t>quipe de g</w:t>
      </w:r>
      <w:r w:rsidRPr="00D75D2E">
        <w:rPr>
          <w:rFonts w:ascii="Times New Roman" w:hAnsi="Times New Roman"/>
          <w:spacing w:val="-1"/>
          <w:sz w:val="24"/>
          <w:szCs w:val="24"/>
        </w:rPr>
        <w:t>e</w:t>
      </w:r>
      <w:r w:rsidRPr="00D75D2E">
        <w:rPr>
          <w:rFonts w:ascii="Times New Roman" w:hAnsi="Times New Roman"/>
          <w:sz w:val="24"/>
          <w:szCs w:val="24"/>
        </w:rPr>
        <w:t xml:space="preserve">stion </w:t>
      </w:r>
      <w:r w:rsidRPr="00D75D2E">
        <w:rPr>
          <w:rFonts w:ascii="Times New Roman" w:hAnsi="Times New Roman"/>
          <w:spacing w:val="-1"/>
          <w:sz w:val="24"/>
          <w:szCs w:val="24"/>
        </w:rPr>
        <w:t>e</w:t>
      </w:r>
      <w:r w:rsidRPr="00D75D2E">
        <w:rPr>
          <w:rFonts w:ascii="Times New Roman" w:hAnsi="Times New Roman"/>
          <w:sz w:val="24"/>
          <w:szCs w:val="24"/>
        </w:rPr>
        <w:t>t de sup</w:t>
      </w:r>
      <w:r w:rsidRPr="00D75D2E">
        <w:rPr>
          <w:rFonts w:ascii="Times New Roman" w:hAnsi="Times New Roman"/>
          <w:spacing w:val="-1"/>
          <w:sz w:val="24"/>
          <w:szCs w:val="24"/>
        </w:rPr>
        <w:t>er</w:t>
      </w:r>
      <w:r w:rsidRPr="00D75D2E">
        <w:rPr>
          <w:rFonts w:ascii="Times New Roman" w:hAnsi="Times New Roman"/>
          <w:sz w:val="24"/>
          <w:szCs w:val="24"/>
        </w:rPr>
        <w:t>v</w:t>
      </w:r>
      <w:r w:rsidRPr="00D75D2E">
        <w:rPr>
          <w:rFonts w:ascii="Times New Roman" w:hAnsi="Times New Roman"/>
          <w:spacing w:val="5"/>
          <w:sz w:val="24"/>
          <w:szCs w:val="24"/>
        </w:rPr>
        <w:t>i</w:t>
      </w:r>
      <w:r w:rsidRPr="00D75D2E">
        <w:rPr>
          <w:rFonts w:ascii="Times New Roman" w:hAnsi="Times New Roman"/>
          <w:sz w:val="24"/>
          <w:szCs w:val="24"/>
        </w:rPr>
        <w:t xml:space="preserve">sion de </w:t>
      </w:r>
      <w:r w:rsidRPr="00D75D2E">
        <w:rPr>
          <w:rFonts w:ascii="Times New Roman" w:hAnsi="Times New Roman"/>
          <w:spacing w:val="3"/>
          <w:sz w:val="24"/>
          <w:szCs w:val="24"/>
        </w:rPr>
        <w:t>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z w:val="24"/>
          <w:szCs w:val="24"/>
        </w:rPr>
        <w:t>nt</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pacing w:val="2"/>
          <w:sz w:val="24"/>
          <w:szCs w:val="24"/>
        </w:rPr>
        <w:t>p</w:t>
      </w:r>
      <w:r w:rsidRPr="00D75D2E">
        <w:rPr>
          <w:rFonts w:ascii="Times New Roman" w:hAnsi="Times New Roman"/>
          <w:sz w:val="24"/>
          <w:szCs w:val="24"/>
        </w:rPr>
        <w:t xml:space="preserve">rise ont </w:t>
      </w:r>
      <w:r w:rsidRPr="00D75D2E">
        <w:rPr>
          <w:rFonts w:ascii="Times New Roman" w:hAnsi="Times New Roman"/>
          <w:spacing w:val="5"/>
          <w:sz w:val="24"/>
          <w:szCs w:val="24"/>
        </w:rPr>
        <w:t>l</w:t>
      </w:r>
      <w:r w:rsidRPr="00D75D2E">
        <w:rPr>
          <w:rFonts w:ascii="Times New Roman" w:hAnsi="Times New Roman"/>
          <w:sz w:val="24"/>
          <w:szCs w:val="24"/>
        </w:rPr>
        <w:t>a r</w:t>
      </w:r>
      <w:r w:rsidRPr="00D75D2E">
        <w:rPr>
          <w:rFonts w:ascii="Times New Roman" w:hAnsi="Times New Roman"/>
          <w:spacing w:val="-3"/>
          <w:sz w:val="24"/>
          <w:szCs w:val="24"/>
        </w:rPr>
        <w:t>e</w:t>
      </w:r>
      <w:r w:rsidRPr="00D75D2E">
        <w:rPr>
          <w:rFonts w:ascii="Times New Roman" w:hAnsi="Times New Roman"/>
          <w:sz w:val="24"/>
          <w:szCs w:val="24"/>
        </w:rPr>
        <w:t>spon</w:t>
      </w:r>
      <w:r w:rsidRPr="00D75D2E">
        <w:rPr>
          <w:rFonts w:ascii="Times New Roman" w:hAnsi="Times New Roman"/>
          <w:spacing w:val="3"/>
          <w:sz w:val="24"/>
          <w:szCs w:val="24"/>
        </w:rPr>
        <w:t>s</w:t>
      </w:r>
      <w:r w:rsidRPr="00D75D2E">
        <w:rPr>
          <w:rFonts w:ascii="Times New Roman" w:hAnsi="Times New Roman"/>
          <w:spacing w:val="-1"/>
          <w:sz w:val="24"/>
          <w:szCs w:val="24"/>
        </w:rPr>
        <w:t>a</w:t>
      </w:r>
      <w:r w:rsidRPr="00D75D2E">
        <w:rPr>
          <w:rFonts w:ascii="Times New Roman" w:hAnsi="Times New Roman"/>
          <w:sz w:val="24"/>
          <w:szCs w:val="24"/>
        </w:rPr>
        <w:t>bili</w:t>
      </w:r>
      <w:r w:rsidRPr="00D75D2E">
        <w:rPr>
          <w:rFonts w:ascii="Times New Roman" w:hAnsi="Times New Roman"/>
          <w:spacing w:val="3"/>
          <w:sz w:val="24"/>
          <w:szCs w:val="24"/>
        </w:rPr>
        <w:t>t</w:t>
      </w:r>
      <w:r w:rsidRPr="00D75D2E">
        <w:rPr>
          <w:rFonts w:ascii="Times New Roman" w:hAnsi="Times New Roman"/>
          <w:sz w:val="24"/>
          <w:szCs w:val="24"/>
        </w:rPr>
        <w:t>é de l</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ppl</w:t>
      </w:r>
      <w:r w:rsidRPr="00D75D2E">
        <w:rPr>
          <w:rFonts w:ascii="Times New Roman" w:hAnsi="Times New Roman"/>
          <w:spacing w:val="3"/>
          <w:sz w:val="24"/>
          <w:szCs w:val="24"/>
        </w:rPr>
        <w:t>i</w:t>
      </w:r>
      <w:r w:rsidRPr="00D75D2E">
        <w:rPr>
          <w:rFonts w:ascii="Times New Roman" w:hAnsi="Times New Roman"/>
          <w:spacing w:val="-1"/>
          <w:sz w:val="24"/>
          <w:szCs w:val="24"/>
        </w:rPr>
        <w:t>ca</w:t>
      </w:r>
      <w:r w:rsidRPr="00D75D2E">
        <w:rPr>
          <w:rFonts w:ascii="Times New Roman" w:hAnsi="Times New Roman"/>
          <w:sz w:val="24"/>
          <w:szCs w:val="24"/>
        </w:rPr>
        <w:t xml:space="preserve">tion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ce</w:t>
      </w:r>
      <w:r w:rsidRPr="00D75D2E">
        <w:rPr>
          <w:rFonts w:ascii="Times New Roman" w:hAnsi="Times New Roman"/>
          <w:sz w:val="24"/>
          <w:szCs w:val="24"/>
        </w:rPr>
        <w:t>tte po</w:t>
      </w:r>
      <w:r w:rsidRPr="00D75D2E">
        <w:rPr>
          <w:rFonts w:ascii="Times New Roman" w:hAnsi="Times New Roman"/>
          <w:spacing w:val="3"/>
          <w:sz w:val="24"/>
          <w:szCs w:val="24"/>
        </w:rPr>
        <w:t>l</w:t>
      </w:r>
      <w:r w:rsidRPr="00D75D2E">
        <w:rPr>
          <w:rFonts w:ascii="Times New Roman" w:hAnsi="Times New Roman"/>
          <w:sz w:val="24"/>
          <w:szCs w:val="24"/>
        </w:rPr>
        <w:t xml:space="preserve">itique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 xml:space="preserve">in </w:t>
      </w:r>
      <w:r w:rsidRPr="00D75D2E">
        <w:rPr>
          <w:rFonts w:ascii="Times New Roman" w:hAnsi="Times New Roman"/>
          <w:spacing w:val="2"/>
          <w:sz w:val="24"/>
          <w:szCs w:val="24"/>
        </w:rPr>
        <w:t>d</w:t>
      </w:r>
      <w:r w:rsidRPr="00D75D2E">
        <w:rPr>
          <w:rFonts w:ascii="Times New Roman" w:hAnsi="Times New Roman"/>
          <w:sz w:val="24"/>
          <w:szCs w:val="24"/>
        </w:rPr>
        <w:t xml:space="preserve">e la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3"/>
          <w:sz w:val="24"/>
          <w:szCs w:val="24"/>
        </w:rPr>
        <w:t>m</w:t>
      </w:r>
      <w:r w:rsidRPr="00D75D2E">
        <w:rPr>
          <w:rFonts w:ascii="Times New Roman" w:hAnsi="Times New Roman"/>
          <w:sz w:val="24"/>
          <w:szCs w:val="24"/>
        </w:rPr>
        <w:t>p</w:t>
      </w:r>
      <w:r w:rsidRPr="00D75D2E">
        <w:rPr>
          <w:rFonts w:ascii="Times New Roman" w:hAnsi="Times New Roman"/>
          <w:spacing w:val="4"/>
          <w:sz w:val="24"/>
          <w:szCs w:val="24"/>
        </w:rPr>
        <w:t>a</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3"/>
          <w:sz w:val="24"/>
          <w:szCs w:val="24"/>
        </w:rPr>
        <w:t>i</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 xml:space="preserve">t doivent </w:t>
      </w:r>
      <w:r w:rsidRPr="00D75D2E">
        <w:rPr>
          <w:rFonts w:ascii="Times New Roman" w:hAnsi="Times New Roman"/>
          <w:spacing w:val="3"/>
          <w:sz w:val="24"/>
          <w:szCs w:val="24"/>
        </w:rPr>
        <w:t>s</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ssu</w:t>
      </w:r>
      <w:r w:rsidRPr="00D75D2E">
        <w:rPr>
          <w:rFonts w:ascii="Times New Roman" w:hAnsi="Times New Roman"/>
          <w:spacing w:val="4"/>
          <w:sz w:val="24"/>
          <w:szCs w:val="24"/>
        </w:rPr>
        <w:t>r</w:t>
      </w:r>
      <w:r w:rsidRPr="00D75D2E">
        <w:rPr>
          <w:rFonts w:ascii="Times New Roman" w:hAnsi="Times New Roman"/>
          <w:spacing w:val="-1"/>
          <w:sz w:val="24"/>
          <w:szCs w:val="24"/>
        </w:rPr>
        <w:t>e</w:t>
      </w:r>
      <w:r w:rsidRPr="00D75D2E">
        <w:rPr>
          <w:rFonts w:ascii="Times New Roman" w:hAnsi="Times New Roman"/>
          <w:sz w:val="24"/>
          <w:szCs w:val="24"/>
        </w:rPr>
        <w:t>r que la prio</w:t>
      </w:r>
      <w:r w:rsidRPr="00D75D2E">
        <w:rPr>
          <w:rFonts w:ascii="Times New Roman" w:hAnsi="Times New Roman"/>
          <w:spacing w:val="-1"/>
          <w:sz w:val="24"/>
          <w:szCs w:val="24"/>
        </w:rPr>
        <w:t>r</w:t>
      </w:r>
      <w:r w:rsidRPr="00D75D2E">
        <w:rPr>
          <w:rFonts w:ascii="Times New Roman" w:hAnsi="Times New Roman"/>
          <w:sz w:val="24"/>
          <w:szCs w:val="24"/>
        </w:rPr>
        <w:t xml:space="preserve">ité </w:t>
      </w:r>
      <w:r w:rsidRPr="00D75D2E">
        <w:rPr>
          <w:rFonts w:ascii="Times New Roman" w:hAnsi="Times New Roman"/>
          <w:spacing w:val="-1"/>
          <w:sz w:val="24"/>
          <w:szCs w:val="24"/>
        </w:rPr>
        <w:t>e</w:t>
      </w:r>
      <w:r w:rsidRPr="00D75D2E">
        <w:rPr>
          <w:rFonts w:ascii="Times New Roman" w:hAnsi="Times New Roman"/>
          <w:spacing w:val="2"/>
          <w:sz w:val="24"/>
          <w:szCs w:val="24"/>
        </w:rPr>
        <w:t>s</w:t>
      </w:r>
      <w:r w:rsidRPr="00D75D2E">
        <w:rPr>
          <w:rFonts w:ascii="Times New Roman" w:hAnsi="Times New Roman"/>
          <w:sz w:val="24"/>
          <w:szCs w:val="24"/>
        </w:rPr>
        <w:t>t tou</w:t>
      </w:r>
      <w:r w:rsidRPr="00D75D2E">
        <w:rPr>
          <w:rFonts w:ascii="Times New Roman" w:hAnsi="Times New Roman"/>
          <w:spacing w:val="1"/>
          <w:sz w:val="24"/>
          <w:szCs w:val="24"/>
        </w:rPr>
        <w:t>j</w:t>
      </w:r>
      <w:r w:rsidRPr="00D75D2E">
        <w:rPr>
          <w:rFonts w:ascii="Times New Roman" w:hAnsi="Times New Roman"/>
          <w:sz w:val="24"/>
          <w:szCs w:val="24"/>
        </w:rPr>
        <w:t>ours donn</w:t>
      </w:r>
      <w:r w:rsidRPr="00D75D2E">
        <w:rPr>
          <w:rFonts w:ascii="Times New Roman" w:hAnsi="Times New Roman"/>
          <w:spacing w:val="-1"/>
          <w:sz w:val="24"/>
          <w:szCs w:val="24"/>
        </w:rPr>
        <w:t>é</w:t>
      </w:r>
      <w:r w:rsidRPr="00D75D2E">
        <w:rPr>
          <w:rFonts w:ascii="Times New Roman" w:hAnsi="Times New Roman"/>
          <w:sz w:val="24"/>
          <w:szCs w:val="24"/>
        </w:rPr>
        <w:t xml:space="preserve">e </w:t>
      </w:r>
      <w:r w:rsidRPr="00D75D2E">
        <w:rPr>
          <w:rFonts w:ascii="Times New Roman" w:hAnsi="Times New Roman"/>
          <w:spacing w:val="-1"/>
          <w:sz w:val="24"/>
          <w:szCs w:val="24"/>
        </w:rPr>
        <w:t>a</w:t>
      </w:r>
      <w:r w:rsidRPr="00D75D2E">
        <w:rPr>
          <w:rFonts w:ascii="Times New Roman" w:hAnsi="Times New Roman"/>
          <w:sz w:val="24"/>
          <w:szCs w:val="24"/>
        </w:rPr>
        <w:t xml:space="preserve">ux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2"/>
          <w:sz w:val="24"/>
          <w:szCs w:val="24"/>
        </w:rPr>
        <w:t>n</w:t>
      </w:r>
      <w:r w:rsidRPr="00D75D2E">
        <w:rPr>
          <w:rFonts w:ascii="Times New Roman" w:hAnsi="Times New Roman"/>
          <w:sz w:val="24"/>
          <w:szCs w:val="24"/>
        </w:rPr>
        <w:t>si</w:t>
      </w:r>
      <w:r w:rsidRPr="00D75D2E">
        <w:rPr>
          <w:rFonts w:ascii="Times New Roman" w:hAnsi="Times New Roman"/>
          <w:spacing w:val="1"/>
          <w:sz w:val="24"/>
          <w:szCs w:val="24"/>
        </w:rPr>
        <w:t>d</w:t>
      </w:r>
      <w:r w:rsidRPr="00D75D2E">
        <w:rPr>
          <w:rFonts w:ascii="Times New Roman" w:hAnsi="Times New Roman"/>
          <w:spacing w:val="-1"/>
          <w:sz w:val="24"/>
          <w:szCs w:val="24"/>
        </w:rPr>
        <w:t>ér</w:t>
      </w:r>
      <w:r w:rsidRPr="00D75D2E">
        <w:rPr>
          <w:rFonts w:ascii="Times New Roman" w:hAnsi="Times New Roman"/>
          <w:spacing w:val="-3"/>
          <w:sz w:val="24"/>
          <w:szCs w:val="24"/>
        </w:rPr>
        <w:t>a</w:t>
      </w:r>
      <w:r w:rsidRPr="00D75D2E">
        <w:rPr>
          <w:rFonts w:ascii="Times New Roman" w:hAnsi="Times New Roman"/>
          <w:sz w:val="24"/>
          <w:szCs w:val="24"/>
        </w:rPr>
        <w:t>tions de</w:t>
      </w:r>
      <w:r w:rsidRPr="00D75D2E">
        <w:rPr>
          <w:rFonts w:ascii="Times New Roman" w:hAnsi="Times New Roman"/>
          <w:spacing w:val="1"/>
          <w:sz w:val="24"/>
          <w:szCs w:val="24"/>
        </w:rPr>
        <w:t xml:space="preserve"> S</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5"/>
          <w:sz w:val="24"/>
          <w:szCs w:val="24"/>
        </w:rPr>
        <w:t>t</w:t>
      </w:r>
      <w:r w:rsidRPr="00D75D2E">
        <w:rPr>
          <w:rFonts w:ascii="Times New Roman" w:hAnsi="Times New Roman"/>
          <w:sz w:val="24"/>
          <w:szCs w:val="24"/>
        </w:rPr>
        <w:t xml:space="preserve">é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5"/>
          <w:sz w:val="24"/>
          <w:szCs w:val="24"/>
        </w:rPr>
        <w:t>d</w:t>
      </w:r>
      <w:r w:rsidRPr="00D75D2E">
        <w:rPr>
          <w:rFonts w:ascii="Times New Roman" w:hAnsi="Times New Roman"/>
          <w:sz w:val="24"/>
          <w:szCs w:val="24"/>
        </w:rPr>
        <w:t>e</w:t>
      </w:r>
      <w:r w:rsidRPr="00D75D2E">
        <w:rPr>
          <w:rFonts w:ascii="Times New Roman" w:hAnsi="Times New Roman"/>
          <w:spacing w:val="1"/>
          <w:sz w:val="24"/>
          <w:szCs w:val="24"/>
        </w:rPr>
        <w:t xml:space="preserve"> S</w:t>
      </w:r>
      <w:r w:rsidRPr="00D75D2E">
        <w:rPr>
          <w:rFonts w:ascii="Times New Roman" w:hAnsi="Times New Roman"/>
          <w:spacing w:val="-1"/>
          <w:sz w:val="24"/>
          <w:szCs w:val="24"/>
        </w:rPr>
        <w:t>éc</w:t>
      </w:r>
      <w:r w:rsidRPr="00D75D2E">
        <w:rPr>
          <w:rFonts w:ascii="Times New Roman" w:hAnsi="Times New Roman"/>
          <w:sz w:val="24"/>
          <w:szCs w:val="24"/>
        </w:rPr>
        <w:t>urité d</w:t>
      </w:r>
      <w:r w:rsidRPr="00D75D2E">
        <w:rPr>
          <w:rFonts w:ascii="Times New Roman" w:hAnsi="Times New Roman"/>
          <w:spacing w:val="-1"/>
          <w:sz w:val="24"/>
          <w:szCs w:val="24"/>
        </w:rPr>
        <w:t>a</w:t>
      </w:r>
      <w:r w:rsidRPr="00D75D2E">
        <w:rPr>
          <w:rFonts w:ascii="Times New Roman" w:hAnsi="Times New Roman"/>
          <w:sz w:val="24"/>
          <w:szCs w:val="24"/>
        </w:rPr>
        <w:t xml:space="preserve">ns </w:t>
      </w:r>
      <w:r w:rsidRPr="00D75D2E">
        <w:rPr>
          <w:rFonts w:ascii="Times New Roman" w:hAnsi="Times New Roman"/>
          <w:spacing w:val="5"/>
          <w:sz w:val="24"/>
          <w:szCs w:val="24"/>
        </w:rPr>
        <w:t>l</w:t>
      </w:r>
      <w:r w:rsidRPr="00D75D2E">
        <w:rPr>
          <w:rFonts w:ascii="Times New Roman" w:hAnsi="Times New Roman"/>
          <w:spacing w:val="-5"/>
          <w:sz w:val="24"/>
          <w:szCs w:val="24"/>
        </w:rPr>
        <w:t>'</w:t>
      </w:r>
      <w:r w:rsidRPr="00D75D2E">
        <w:rPr>
          <w:rFonts w:ascii="Times New Roman" w:hAnsi="Times New Roman"/>
          <w:spacing w:val="2"/>
          <w:sz w:val="24"/>
          <w:szCs w:val="24"/>
        </w:rPr>
        <w:t>o</w:t>
      </w:r>
      <w:r w:rsidRPr="00D75D2E">
        <w:rPr>
          <w:rFonts w:ascii="Times New Roman" w:hAnsi="Times New Roman"/>
          <w:spacing w:val="-1"/>
          <w:sz w:val="24"/>
          <w:szCs w:val="24"/>
        </w:rPr>
        <w:t>r</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z w:val="24"/>
          <w:szCs w:val="24"/>
        </w:rPr>
        <w:t>ni</w:t>
      </w:r>
      <w:r w:rsidRPr="00D75D2E">
        <w:rPr>
          <w:rFonts w:ascii="Times New Roman" w:hAnsi="Times New Roman"/>
          <w:spacing w:val="5"/>
          <w:sz w:val="24"/>
          <w:szCs w:val="24"/>
        </w:rPr>
        <w:t>s</w:t>
      </w:r>
      <w:r w:rsidRPr="00D75D2E">
        <w:rPr>
          <w:rFonts w:ascii="Times New Roman" w:hAnsi="Times New Roman"/>
          <w:spacing w:val="-1"/>
          <w:sz w:val="24"/>
          <w:szCs w:val="24"/>
        </w:rPr>
        <w:t>a</w:t>
      </w:r>
      <w:r w:rsidRPr="00D75D2E">
        <w:rPr>
          <w:rFonts w:ascii="Times New Roman" w:hAnsi="Times New Roman"/>
          <w:sz w:val="24"/>
          <w:szCs w:val="24"/>
        </w:rPr>
        <w:t>tion de le</w:t>
      </w:r>
      <w:r w:rsidRPr="00D75D2E">
        <w:rPr>
          <w:rFonts w:ascii="Times New Roman" w:hAnsi="Times New Roman"/>
          <w:spacing w:val="2"/>
          <w:sz w:val="24"/>
          <w:szCs w:val="24"/>
        </w:rPr>
        <w:t>u</w:t>
      </w:r>
      <w:r w:rsidRPr="00D75D2E">
        <w:rPr>
          <w:rFonts w:ascii="Times New Roman" w:hAnsi="Times New Roman"/>
          <w:sz w:val="24"/>
          <w:szCs w:val="24"/>
        </w:rPr>
        <w:t xml:space="preserve">rs </w:t>
      </w:r>
      <w:r w:rsidRPr="00D75D2E">
        <w:rPr>
          <w:rFonts w:ascii="Times New Roman" w:hAnsi="Times New Roman"/>
          <w:spacing w:val="3"/>
          <w:sz w:val="24"/>
          <w:szCs w:val="24"/>
        </w:rPr>
        <w:t>t</w:t>
      </w:r>
      <w:r w:rsidRPr="00D75D2E">
        <w:rPr>
          <w:rFonts w:ascii="Times New Roman" w:hAnsi="Times New Roman"/>
          <w:sz w:val="24"/>
          <w:szCs w:val="24"/>
        </w:rPr>
        <w:t>â</w:t>
      </w:r>
      <w:r w:rsidRPr="00D75D2E">
        <w:rPr>
          <w:rFonts w:ascii="Times New Roman" w:hAnsi="Times New Roman"/>
          <w:spacing w:val="-1"/>
          <w:sz w:val="24"/>
          <w:szCs w:val="24"/>
        </w:rPr>
        <w:t>c</w:t>
      </w:r>
      <w:r w:rsidRPr="00D75D2E">
        <w:rPr>
          <w:rFonts w:ascii="Times New Roman" w:hAnsi="Times New Roman"/>
          <w:spacing w:val="2"/>
          <w:sz w:val="24"/>
          <w:szCs w:val="24"/>
        </w:rPr>
        <w:t>h</w:t>
      </w:r>
      <w:r w:rsidRPr="00D75D2E">
        <w:rPr>
          <w:rFonts w:ascii="Times New Roman" w:hAnsi="Times New Roman"/>
          <w:spacing w:val="-1"/>
          <w:sz w:val="24"/>
          <w:szCs w:val="24"/>
        </w:rPr>
        <w:t>e</w:t>
      </w:r>
      <w:r w:rsidRPr="00D75D2E">
        <w:rPr>
          <w:rFonts w:ascii="Times New Roman" w:hAnsi="Times New Roman"/>
          <w:sz w:val="24"/>
          <w:szCs w:val="24"/>
        </w:rPr>
        <w:t>s quotidien</w:t>
      </w:r>
      <w:r w:rsidRPr="00D75D2E">
        <w:rPr>
          <w:rFonts w:ascii="Times New Roman" w:hAnsi="Times New Roman"/>
          <w:spacing w:val="-1"/>
          <w:sz w:val="24"/>
          <w:szCs w:val="24"/>
        </w:rPr>
        <w:t>ne</w:t>
      </w:r>
      <w:r w:rsidRPr="00D75D2E">
        <w:rPr>
          <w:rFonts w:ascii="Times New Roman" w:hAnsi="Times New Roman"/>
          <w:sz w:val="24"/>
          <w:szCs w:val="24"/>
        </w:rPr>
        <w:t>s.</w:t>
      </w:r>
    </w:p>
    <w:p w14:paraId="2A2FA637" w14:textId="0D82B428" w:rsidR="009C0A0B" w:rsidRPr="00D75D2E" w:rsidRDefault="009C0A0B" w:rsidP="008C79F0">
      <w:pPr>
        <w:widowControl w:val="0"/>
        <w:numPr>
          <w:ilvl w:val="0"/>
          <w:numId w:val="175"/>
        </w:numPr>
        <w:tabs>
          <w:tab w:val="left" w:pos="0"/>
        </w:tabs>
        <w:suppressAutoHyphens/>
        <w:spacing w:after="0" w:line="240" w:lineRule="auto"/>
        <w:ind w:left="567" w:right="136" w:hanging="357"/>
        <w:jc w:val="both"/>
        <w:rPr>
          <w:rFonts w:ascii="Times New Roman" w:hAnsi="Times New Roman"/>
          <w:sz w:val="24"/>
          <w:szCs w:val="24"/>
        </w:rPr>
      </w:pPr>
      <w:r>
        <w:rPr>
          <w:rFonts w:ascii="Times New Roman" w:hAnsi="Times New Roman"/>
          <w:sz w:val="24"/>
          <w:szCs w:val="24"/>
        </w:rPr>
        <w:t xml:space="preserve">L’entrepreneur devra </w:t>
      </w:r>
      <w:r w:rsidR="006A40F1">
        <w:rPr>
          <w:rFonts w:ascii="Times New Roman" w:hAnsi="Times New Roman"/>
          <w:sz w:val="24"/>
          <w:szCs w:val="24"/>
        </w:rPr>
        <w:t>élaborer un plan de gestion s</w:t>
      </w:r>
      <w:r w:rsidR="00EE1ABC">
        <w:rPr>
          <w:rFonts w:ascii="Times New Roman" w:hAnsi="Times New Roman"/>
          <w:sz w:val="24"/>
          <w:szCs w:val="24"/>
        </w:rPr>
        <w:t>é</w:t>
      </w:r>
      <w:r w:rsidR="006A40F1">
        <w:rPr>
          <w:rFonts w:ascii="Times New Roman" w:hAnsi="Times New Roman"/>
          <w:sz w:val="24"/>
          <w:szCs w:val="24"/>
        </w:rPr>
        <w:t xml:space="preserve">curitaire qui devra inclure </w:t>
      </w:r>
      <w:r w:rsidR="004F0117">
        <w:rPr>
          <w:rFonts w:ascii="Times New Roman" w:hAnsi="Times New Roman"/>
          <w:sz w:val="24"/>
          <w:szCs w:val="24"/>
        </w:rPr>
        <w:t xml:space="preserve">un aperçu de la situation en matière de sécurité sur le site du projet, </w:t>
      </w:r>
      <w:r w:rsidR="00501B86">
        <w:rPr>
          <w:rFonts w:ascii="Times New Roman" w:hAnsi="Times New Roman"/>
          <w:sz w:val="24"/>
          <w:szCs w:val="24"/>
        </w:rPr>
        <w:t xml:space="preserve">les normes et bonnes pratiques internationales en matière de sécurité, les principaux risques et menaces en matière de sécurité, </w:t>
      </w:r>
      <w:r w:rsidR="006A40F1">
        <w:rPr>
          <w:rFonts w:ascii="Times New Roman" w:hAnsi="Times New Roman"/>
          <w:sz w:val="24"/>
          <w:szCs w:val="24"/>
        </w:rPr>
        <w:t>les mesures nécessaires pour atténuer les risques liés à la sécurité des différents sites,</w:t>
      </w:r>
      <w:r w:rsidR="006814A8">
        <w:rPr>
          <w:rFonts w:ascii="Times New Roman" w:hAnsi="Times New Roman"/>
          <w:sz w:val="24"/>
          <w:szCs w:val="24"/>
        </w:rPr>
        <w:t xml:space="preserve"> les consignes de sécurité pour les travailleurs,</w:t>
      </w:r>
      <w:r w:rsidR="006A40F1">
        <w:rPr>
          <w:rFonts w:ascii="Times New Roman" w:hAnsi="Times New Roman"/>
          <w:sz w:val="24"/>
          <w:szCs w:val="24"/>
        </w:rPr>
        <w:t xml:space="preserve"> l’utilisation du personnel de sécurité comme gardes, leur </w:t>
      </w:r>
      <w:r w:rsidR="006814A8">
        <w:rPr>
          <w:rFonts w:ascii="Times New Roman" w:hAnsi="Times New Roman"/>
          <w:sz w:val="24"/>
          <w:szCs w:val="24"/>
        </w:rPr>
        <w:t xml:space="preserve">gestion et </w:t>
      </w:r>
      <w:r w:rsidR="006A40F1">
        <w:rPr>
          <w:rFonts w:ascii="Times New Roman" w:hAnsi="Times New Roman"/>
          <w:sz w:val="24"/>
          <w:szCs w:val="24"/>
        </w:rPr>
        <w:t>formation</w:t>
      </w:r>
      <w:r w:rsidR="006814A8">
        <w:rPr>
          <w:rFonts w:ascii="Times New Roman" w:hAnsi="Times New Roman"/>
          <w:sz w:val="24"/>
          <w:szCs w:val="24"/>
        </w:rPr>
        <w:t xml:space="preserve"> en matière de sécurité des personnes et de leur bien et le respect de droit de l’homme</w:t>
      </w:r>
      <w:r w:rsidR="00EE1ABC">
        <w:rPr>
          <w:rFonts w:ascii="Times New Roman" w:hAnsi="Times New Roman"/>
          <w:sz w:val="24"/>
          <w:szCs w:val="24"/>
        </w:rPr>
        <w:t xml:space="preserve">, </w:t>
      </w:r>
      <w:r w:rsidR="006814A8">
        <w:rPr>
          <w:rFonts w:ascii="Times New Roman" w:hAnsi="Times New Roman"/>
          <w:sz w:val="24"/>
          <w:szCs w:val="24"/>
        </w:rPr>
        <w:t xml:space="preserve">la gestion des plaintes, les engagements des parties </w:t>
      </w:r>
      <w:r w:rsidR="008C50AC">
        <w:rPr>
          <w:rFonts w:ascii="Times New Roman" w:hAnsi="Times New Roman"/>
          <w:sz w:val="24"/>
          <w:szCs w:val="24"/>
        </w:rPr>
        <w:t>prenantes</w:t>
      </w:r>
      <w:r w:rsidR="006814A8">
        <w:rPr>
          <w:rFonts w:ascii="Times New Roman" w:hAnsi="Times New Roman"/>
          <w:sz w:val="24"/>
          <w:szCs w:val="24"/>
        </w:rPr>
        <w:t xml:space="preserve"> et le budget estimatif de mise en œuvre du plan de gestion de sécurité.</w:t>
      </w:r>
      <w:r w:rsidR="00EE1ABC">
        <w:rPr>
          <w:rFonts w:ascii="Times New Roman" w:hAnsi="Times New Roman"/>
          <w:sz w:val="24"/>
          <w:szCs w:val="24"/>
        </w:rPr>
        <w:t>.</w:t>
      </w:r>
    </w:p>
    <w:p w14:paraId="7C4D0033" w14:textId="77777777" w:rsidR="000705BE" w:rsidRDefault="000705BE" w:rsidP="00E737B4">
      <w:pPr>
        <w:widowControl w:val="0"/>
        <w:tabs>
          <w:tab w:val="left" w:pos="0"/>
        </w:tabs>
        <w:spacing w:before="120" w:after="120" w:line="240" w:lineRule="auto"/>
        <w:ind w:right="133"/>
        <w:jc w:val="both"/>
        <w:rPr>
          <w:rFonts w:ascii="Times New Roman" w:hAnsi="Times New Roman"/>
          <w:sz w:val="24"/>
          <w:szCs w:val="24"/>
        </w:rPr>
      </w:pPr>
      <w:r w:rsidRPr="00D75D2E">
        <w:rPr>
          <w:rFonts w:ascii="Times New Roman" w:hAnsi="Times New Roman"/>
          <w:spacing w:val="-6"/>
          <w:sz w:val="24"/>
          <w:szCs w:val="24"/>
        </w:rPr>
        <w:t>I</w:t>
      </w:r>
      <w:r w:rsidRPr="00D75D2E">
        <w:rPr>
          <w:rFonts w:ascii="Times New Roman" w:hAnsi="Times New Roman"/>
          <w:sz w:val="24"/>
          <w:szCs w:val="24"/>
        </w:rPr>
        <w:t xml:space="preserve">l </w:t>
      </w:r>
      <w:r w:rsidRPr="00D75D2E">
        <w:rPr>
          <w:rFonts w:ascii="Times New Roman" w:hAnsi="Times New Roman"/>
          <w:spacing w:val="-1"/>
          <w:sz w:val="24"/>
          <w:szCs w:val="24"/>
        </w:rPr>
        <w:t>e</w:t>
      </w:r>
      <w:r w:rsidRPr="00D75D2E">
        <w:rPr>
          <w:rFonts w:ascii="Times New Roman" w:hAnsi="Times New Roman"/>
          <w:sz w:val="24"/>
          <w:szCs w:val="24"/>
        </w:rPr>
        <w:t>st d</w:t>
      </w:r>
      <w:r w:rsidRPr="00D75D2E">
        <w:rPr>
          <w:rFonts w:ascii="Times New Roman" w:hAnsi="Times New Roman"/>
          <w:spacing w:val="-1"/>
          <w:sz w:val="24"/>
          <w:szCs w:val="24"/>
        </w:rPr>
        <w:t>e</w:t>
      </w:r>
      <w:r w:rsidRPr="00D75D2E">
        <w:rPr>
          <w:rFonts w:ascii="Times New Roman" w:hAnsi="Times New Roman"/>
          <w:sz w:val="24"/>
          <w:szCs w:val="24"/>
        </w:rPr>
        <w:t>man</w:t>
      </w:r>
      <w:r w:rsidRPr="00D75D2E">
        <w:rPr>
          <w:rFonts w:ascii="Times New Roman" w:hAnsi="Times New Roman"/>
          <w:spacing w:val="2"/>
          <w:sz w:val="24"/>
          <w:szCs w:val="24"/>
        </w:rPr>
        <w:t>d</w:t>
      </w:r>
      <w:r w:rsidRPr="00D75D2E">
        <w:rPr>
          <w:rFonts w:ascii="Times New Roman" w:hAnsi="Times New Roman"/>
          <w:sz w:val="24"/>
          <w:szCs w:val="24"/>
        </w:rPr>
        <w:t xml:space="preserve">é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1"/>
          <w:sz w:val="24"/>
          <w:szCs w:val="24"/>
        </w:rPr>
        <w:t>a</w:t>
      </w:r>
      <w:r w:rsidRPr="00D75D2E">
        <w:rPr>
          <w:rFonts w:ascii="Times New Roman" w:hAnsi="Times New Roman"/>
          <w:sz w:val="24"/>
          <w:szCs w:val="24"/>
        </w:rPr>
        <w:t>tt</w:t>
      </w:r>
      <w:r w:rsidRPr="00D75D2E">
        <w:rPr>
          <w:rFonts w:ascii="Times New Roman" w:hAnsi="Times New Roman"/>
          <w:spacing w:val="-1"/>
          <w:sz w:val="24"/>
          <w:szCs w:val="24"/>
        </w:rPr>
        <w:t>e</w:t>
      </w:r>
      <w:r w:rsidRPr="00D75D2E">
        <w:rPr>
          <w:rFonts w:ascii="Times New Roman" w:hAnsi="Times New Roman"/>
          <w:sz w:val="24"/>
          <w:szCs w:val="24"/>
        </w:rPr>
        <w:t xml:space="preserve">ndu de tous les </w:t>
      </w:r>
      <w:r w:rsidRPr="00D75D2E">
        <w:rPr>
          <w:rFonts w:ascii="Times New Roman" w:hAnsi="Times New Roman"/>
          <w:spacing w:val="-1"/>
          <w:sz w:val="24"/>
          <w:szCs w:val="24"/>
        </w:rPr>
        <w:t>e</w:t>
      </w:r>
      <w:r w:rsidRPr="00D75D2E">
        <w:rPr>
          <w:rFonts w:ascii="Times New Roman" w:hAnsi="Times New Roman"/>
          <w:sz w:val="24"/>
          <w:szCs w:val="24"/>
        </w:rPr>
        <w:t>mpl</w:t>
      </w:r>
      <w:r w:rsidRPr="00D75D2E">
        <w:rPr>
          <w:rFonts w:ascii="Times New Roman" w:hAnsi="Times New Roman"/>
          <w:spacing w:val="7"/>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2"/>
          <w:sz w:val="24"/>
          <w:szCs w:val="24"/>
        </w:rPr>
        <w:t>d</w:t>
      </w:r>
      <w:r w:rsidRPr="00D75D2E">
        <w:rPr>
          <w:rFonts w:ascii="Times New Roman" w:hAnsi="Times New Roman"/>
          <w:sz w:val="24"/>
          <w:szCs w:val="24"/>
        </w:rPr>
        <w:t>e tous les sou</w:t>
      </w:r>
      <w:r w:rsidRPr="00D75D2E">
        <w:rPr>
          <w:rFonts w:ascii="Times New Roman" w:hAnsi="Times New Roman"/>
          <w:spacing w:val="3"/>
          <w:sz w:val="24"/>
          <w:szCs w:val="24"/>
        </w:rPr>
        <w:t>s</w:t>
      </w:r>
      <w:r w:rsidRPr="00D75D2E">
        <w:rPr>
          <w:rFonts w:ascii="Times New Roman" w:hAnsi="Times New Roman"/>
          <w:spacing w:val="-1"/>
          <w:sz w:val="24"/>
          <w:szCs w:val="24"/>
        </w:rPr>
        <w:t>-</w:t>
      </w:r>
      <w:r w:rsidRPr="00D75D2E">
        <w:rPr>
          <w:rFonts w:ascii="Times New Roman" w:hAnsi="Times New Roman"/>
          <w:sz w:val="24"/>
          <w:szCs w:val="24"/>
        </w:rPr>
        <w:t>t</w:t>
      </w:r>
      <w:r w:rsidRPr="00D75D2E">
        <w:rPr>
          <w:rFonts w:ascii="Times New Roman" w:hAnsi="Times New Roman"/>
          <w:spacing w:val="-1"/>
          <w:sz w:val="24"/>
          <w:szCs w:val="24"/>
        </w:rPr>
        <w:t>ra</w:t>
      </w:r>
      <w:r w:rsidRPr="00D75D2E">
        <w:rPr>
          <w:rFonts w:ascii="Times New Roman" w:hAnsi="Times New Roman"/>
          <w:sz w:val="24"/>
          <w:szCs w:val="24"/>
        </w:rPr>
        <w:t>it</w:t>
      </w:r>
      <w:r w:rsidRPr="00D75D2E">
        <w:rPr>
          <w:rFonts w:ascii="Times New Roman" w:hAnsi="Times New Roman"/>
          <w:spacing w:val="-1"/>
          <w:sz w:val="24"/>
          <w:szCs w:val="24"/>
        </w:rPr>
        <w:t>a</w:t>
      </w:r>
      <w:r w:rsidRPr="00D75D2E">
        <w:rPr>
          <w:rFonts w:ascii="Times New Roman" w:hAnsi="Times New Roman"/>
          <w:sz w:val="24"/>
          <w:szCs w:val="24"/>
        </w:rPr>
        <w:t xml:space="preserve">nts </w:t>
      </w:r>
      <w:r w:rsidRPr="00D75D2E">
        <w:rPr>
          <w:rFonts w:ascii="Times New Roman" w:hAnsi="Times New Roman"/>
          <w:spacing w:val="2"/>
          <w:sz w:val="24"/>
          <w:szCs w:val="24"/>
        </w:rPr>
        <w:t xml:space="preserve">des entreprises </w:t>
      </w:r>
      <w:r w:rsidRPr="00D75D2E">
        <w:rPr>
          <w:rFonts w:ascii="Times New Roman" w:hAnsi="Times New Roman"/>
          <w:sz w:val="24"/>
          <w:szCs w:val="24"/>
        </w:rPr>
        <w:t xml:space="preserve">une </w:t>
      </w:r>
      <w:r w:rsidRPr="00D75D2E">
        <w:rPr>
          <w:rFonts w:ascii="Times New Roman" w:hAnsi="Times New Roman"/>
          <w:spacing w:val="-1"/>
          <w:sz w:val="24"/>
          <w:szCs w:val="24"/>
        </w:rPr>
        <w:t>e</w:t>
      </w:r>
      <w:r w:rsidRPr="00D75D2E">
        <w:rPr>
          <w:rFonts w:ascii="Times New Roman" w:hAnsi="Times New Roman"/>
          <w:sz w:val="24"/>
          <w:szCs w:val="24"/>
        </w:rPr>
        <w:t>nti</w:t>
      </w:r>
      <w:r w:rsidRPr="00D75D2E">
        <w:rPr>
          <w:rFonts w:ascii="Times New Roman" w:hAnsi="Times New Roman"/>
          <w:spacing w:val="1"/>
          <w:sz w:val="24"/>
          <w:szCs w:val="24"/>
        </w:rPr>
        <w:t>è</w:t>
      </w:r>
      <w:r w:rsidRPr="00D75D2E">
        <w:rPr>
          <w:rFonts w:ascii="Times New Roman" w:hAnsi="Times New Roman"/>
          <w:sz w:val="24"/>
          <w:szCs w:val="24"/>
        </w:rPr>
        <w:t xml:space="preserve">re </w:t>
      </w:r>
      <w:r w:rsidRPr="00D75D2E">
        <w:rPr>
          <w:rFonts w:ascii="Times New Roman" w:hAnsi="Times New Roman"/>
          <w:spacing w:val="-1"/>
          <w:sz w:val="24"/>
          <w:szCs w:val="24"/>
        </w:rPr>
        <w:t>c</w:t>
      </w:r>
      <w:r w:rsidRPr="00D75D2E">
        <w:rPr>
          <w:rFonts w:ascii="Times New Roman" w:hAnsi="Times New Roman"/>
          <w:sz w:val="24"/>
          <w:szCs w:val="24"/>
        </w:rPr>
        <w:t>oop</w:t>
      </w:r>
      <w:r w:rsidRPr="00D75D2E">
        <w:rPr>
          <w:rFonts w:ascii="Times New Roman" w:hAnsi="Times New Roman"/>
          <w:spacing w:val="-1"/>
          <w:sz w:val="24"/>
          <w:szCs w:val="24"/>
        </w:rPr>
        <w:t>ér</w:t>
      </w:r>
      <w:r w:rsidRPr="00D75D2E">
        <w:rPr>
          <w:rFonts w:ascii="Times New Roman" w:hAnsi="Times New Roman"/>
          <w:spacing w:val="-3"/>
          <w:sz w:val="24"/>
          <w:szCs w:val="24"/>
        </w:rPr>
        <w:t>a</w:t>
      </w:r>
      <w:r w:rsidRPr="00D75D2E">
        <w:rPr>
          <w:rFonts w:ascii="Times New Roman" w:hAnsi="Times New Roman"/>
          <w:sz w:val="24"/>
          <w:szCs w:val="24"/>
        </w:rPr>
        <w:t>tion d</w:t>
      </w:r>
      <w:r w:rsidRPr="00D75D2E">
        <w:rPr>
          <w:rFonts w:ascii="Times New Roman" w:hAnsi="Times New Roman"/>
          <w:spacing w:val="-1"/>
          <w:sz w:val="24"/>
          <w:szCs w:val="24"/>
        </w:rPr>
        <w:t>a</w:t>
      </w:r>
      <w:r w:rsidRPr="00D75D2E">
        <w:rPr>
          <w:rFonts w:ascii="Times New Roman" w:hAnsi="Times New Roman"/>
          <w:sz w:val="24"/>
          <w:szCs w:val="24"/>
        </w:rPr>
        <w:t xml:space="preserve">ns la mise </w:t>
      </w:r>
      <w:r w:rsidRPr="00D75D2E">
        <w:rPr>
          <w:rFonts w:ascii="Times New Roman" w:hAnsi="Times New Roman"/>
          <w:spacing w:val="-1"/>
          <w:sz w:val="24"/>
          <w:szCs w:val="24"/>
        </w:rPr>
        <w:t>e</w:t>
      </w:r>
      <w:r w:rsidRPr="00D75D2E">
        <w:rPr>
          <w:rFonts w:ascii="Times New Roman" w:hAnsi="Times New Roman"/>
          <w:sz w:val="24"/>
          <w:szCs w:val="24"/>
        </w:rPr>
        <w:t>n œuv</w:t>
      </w:r>
      <w:r w:rsidRPr="00D75D2E">
        <w:rPr>
          <w:rFonts w:ascii="Times New Roman" w:hAnsi="Times New Roman"/>
          <w:spacing w:val="2"/>
          <w:sz w:val="24"/>
          <w:szCs w:val="24"/>
        </w:rPr>
        <w:t>r</w:t>
      </w:r>
      <w:r w:rsidRPr="00D75D2E">
        <w:rPr>
          <w:rFonts w:ascii="Times New Roman" w:hAnsi="Times New Roman"/>
          <w:sz w:val="24"/>
          <w:szCs w:val="24"/>
        </w:rPr>
        <w:t xml:space="preserve">e de </w:t>
      </w:r>
      <w:r w:rsidRPr="00D75D2E">
        <w:rPr>
          <w:rFonts w:ascii="Times New Roman" w:hAnsi="Times New Roman"/>
          <w:spacing w:val="-1"/>
          <w:sz w:val="24"/>
          <w:szCs w:val="24"/>
        </w:rPr>
        <w:t>ce</w:t>
      </w:r>
      <w:r w:rsidRPr="00D75D2E">
        <w:rPr>
          <w:rFonts w:ascii="Times New Roman" w:hAnsi="Times New Roman"/>
          <w:sz w:val="24"/>
          <w:szCs w:val="24"/>
        </w:rPr>
        <w:t>t</w:t>
      </w:r>
      <w:r w:rsidRPr="00D75D2E">
        <w:rPr>
          <w:rFonts w:ascii="Times New Roman" w:hAnsi="Times New Roman"/>
          <w:spacing w:val="3"/>
          <w:sz w:val="24"/>
          <w:szCs w:val="24"/>
        </w:rPr>
        <w:t>t</w:t>
      </w:r>
      <w:r w:rsidRPr="00D75D2E">
        <w:rPr>
          <w:rFonts w:ascii="Times New Roman" w:hAnsi="Times New Roman"/>
          <w:sz w:val="24"/>
          <w:szCs w:val="24"/>
        </w:rPr>
        <w:t xml:space="preserve">e </w:t>
      </w:r>
      <w:r w:rsidRPr="00D75D2E">
        <w:rPr>
          <w:rFonts w:ascii="Times New Roman" w:hAnsi="Times New Roman"/>
          <w:spacing w:val="1"/>
          <w:sz w:val="24"/>
          <w:szCs w:val="24"/>
        </w:rPr>
        <w:t>P</w:t>
      </w:r>
      <w:r w:rsidRPr="00D75D2E">
        <w:rPr>
          <w:rFonts w:ascii="Times New Roman" w:hAnsi="Times New Roman"/>
          <w:sz w:val="24"/>
          <w:szCs w:val="24"/>
        </w:rPr>
        <w:t>oliti</w:t>
      </w:r>
      <w:r w:rsidRPr="00D75D2E">
        <w:rPr>
          <w:rFonts w:ascii="Times New Roman" w:hAnsi="Times New Roman"/>
          <w:spacing w:val="5"/>
          <w:sz w:val="24"/>
          <w:szCs w:val="24"/>
        </w:rPr>
        <w:t>q</w:t>
      </w:r>
      <w:r w:rsidRPr="00D75D2E">
        <w:rPr>
          <w:rFonts w:ascii="Times New Roman" w:hAnsi="Times New Roman"/>
          <w:sz w:val="24"/>
          <w:szCs w:val="24"/>
        </w:rPr>
        <w:t xml:space="preserve">ue </w:t>
      </w:r>
      <w:r w:rsidRPr="00D75D2E">
        <w:rPr>
          <w:rFonts w:ascii="Times New Roman" w:hAnsi="Times New Roman"/>
          <w:spacing w:val="-1"/>
          <w:sz w:val="24"/>
          <w:szCs w:val="24"/>
        </w:rPr>
        <w:t>e</w:t>
      </w:r>
      <w:r w:rsidRPr="00D75D2E">
        <w:rPr>
          <w:rFonts w:ascii="Times New Roman" w:hAnsi="Times New Roman"/>
          <w:sz w:val="24"/>
          <w:szCs w:val="24"/>
        </w:rPr>
        <w:t>t ils doivent s</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ssu</w:t>
      </w:r>
      <w:r w:rsidRPr="00D75D2E">
        <w:rPr>
          <w:rFonts w:ascii="Times New Roman" w:hAnsi="Times New Roman"/>
          <w:spacing w:val="4"/>
          <w:sz w:val="24"/>
          <w:szCs w:val="24"/>
        </w:rPr>
        <w:t>r</w:t>
      </w:r>
      <w:r w:rsidRPr="00D75D2E">
        <w:rPr>
          <w:rFonts w:ascii="Times New Roman" w:hAnsi="Times New Roman"/>
          <w:spacing w:val="-1"/>
          <w:sz w:val="24"/>
          <w:szCs w:val="24"/>
        </w:rPr>
        <w:t>e</w:t>
      </w:r>
      <w:r w:rsidRPr="00D75D2E">
        <w:rPr>
          <w:rFonts w:ascii="Times New Roman" w:hAnsi="Times New Roman"/>
          <w:sz w:val="24"/>
          <w:szCs w:val="24"/>
        </w:rPr>
        <w:t xml:space="preserve">r que leur </w:t>
      </w:r>
      <w:r w:rsidRPr="00D75D2E">
        <w:rPr>
          <w:rFonts w:ascii="Times New Roman" w:hAnsi="Times New Roman"/>
          <w:spacing w:val="2"/>
          <w:sz w:val="24"/>
          <w:szCs w:val="24"/>
        </w:rPr>
        <w:t>p</w:t>
      </w:r>
      <w:r w:rsidRPr="00D75D2E">
        <w:rPr>
          <w:rFonts w:ascii="Times New Roman" w:hAnsi="Times New Roman"/>
          <w:sz w:val="24"/>
          <w:szCs w:val="24"/>
        </w:rPr>
        <w:t>rop</w:t>
      </w:r>
      <w:r w:rsidRPr="00D75D2E">
        <w:rPr>
          <w:rFonts w:ascii="Times New Roman" w:hAnsi="Times New Roman"/>
          <w:spacing w:val="1"/>
          <w:sz w:val="24"/>
          <w:szCs w:val="24"/>
        </w:rPr>
        <w:t>r</w:t>
      </w:r>
      <w:r w:rsidRPr="00D75D2E">
        <w:rPr>
          <w:rFonts w:ascii="Times New Roman" w:hAnsi="Times New Roman"/>
          <w:sz w:val="24"/>
          <w:szCs w:val="24"/>
        </w:rPr>
        <w:t>e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il se d</w:t>
      </w:r>
      <w:r w:rsidRPr="00D75D2E">
        <w:rPr>
          <w:rFonts w:ascii="Times New Roman" w:hAnsi="Times New Roman"/>
          <w:spacing w:val="-1"/>
          <w:sz w:val="24"/>
          <w:szCs w:val="24"/>
        </w:rPr>
        <w:t>é</w:t>
      </w:r>
      <w:r w:rsidRPr="00D75D2E">
        <w:rPr>
          <w:rFonts w:ascii="Times New Roman" w:hAnsi="Times New Roman"/>
          <w:sz w:val="24"/>
          <w:szCs w:val="24"/>
        </w:rPr>
        <w:t>ro</w:t>
      </w:r>
      <w:r w:rsidRPr="00D75D2E">
        <w:rPr>
          <w:rFonts w:ascii="Times New Roman" w:hAnsi="Times New Roman"/>
          <w:spacing w:val="-1"/>
          <w:sz w:val="24"/>
          <w:szCs w:val="24"/>
        </w:rPr>
        <w:t>u</w:t>
      </w:r>
      <w:r w:rsidRPr="00D75D2E">
        <w:rPr>
          <w:rFonts w:ascii="Times New Roman" w:hAnsi="Times New Roman"/>
          <w:spacing w:val="3"/>
          <w:sz w:val="24"/>
          <w:szCs w:val="24"/>
        </w:rPr>
        <w:t>l</w:t>
      </w:r>
      <w:r w:rsidRPr="00D75D2E">
        <w:rPr>
          <w:rFonts w:ascii="Times New Roman" w:hAnsi="Times New Roman"/>
          <w:sz w:val="24"/>
          <w:szCs w:val="24"/>
        </w:rPr>
        <w:t>e s</w:t>
      </w:r>
      <w:r w:rsidRPr="00D75D2E">
        <w:rPr>
          <w:rFonts w:ascii="Times New Roman" w:hAnsi="Times New Roman"/>
          <w:spacing w:val="-1"/>
          <w:sz w:val="24"/>
          <w:szCs w:val="24"/>
        </w:rPr>
        <w:t>a</w:t>
      </w:r>
      <w:r w:rsidRPr="00D75D2E">
        <w:rPr>
          <w:rFonts w:ascii="Times New Roman" w:hAnsi="Times New Roman"/>
          <w:sz w:val="24"/>
          <w:szCs w:val="24"/>
        </w:rPr>
        <w:t>ns ri</w:t>
      </w:r>
      <w:r w:rsidRPr="00D75D2E">
        <w:rPr>
          <w:rFonts w:ascii="Times New Roman" w:hAnsi="Times New Roman"/>
          <w:spacing w:val="1"/>
          <w:sz w:val="24"/>
          <w:szCs w:val="24"/>
        </w:rPr>
        <w:t>s</w:t>
      </w:r>
      <w:r w:rsidRPr="00D75D2E">
        <w:rPr>
          <w:rFonts w:ascii="Times New Roman" w:hAnsi="Times New Roman"/>
          <w:sz w:val="24"/>
          <w:szCs w:val="24"/>
        </w:rPr>
        <w:t>que pour</w:t>
      </w:r>
      <w:r w:rsidRPr="00D75D2E">
        <w:rPr>
          <w:rFonts w:ascii="Times New Roman" w:hAnsi="Times New Roman"/>
          <w:spacing w:val="-1"/>
          <w:sz w:val="24"/>
          <w:szCs w:val="24"/>
        </w:rPr>
        <w:t xml:space="preserve"> e</w:t>
      </w:r>
      <w:r w:rsidRPr="00D75D2E">
        <w:rPr>
          <w:rFonts w:ascii="Times New Roman" w:hAnsi="Times New Roman"/>
          <w:sz w:val="24"/>
          <w:szCs w:val="24"/>
        </w:rPr>
        <w:t>u</w:t>
      </w:r>
      <w:r w:rsidRPr="00D75D2E">
        <w:rPr>
          <w:rFonts w:ascii="Times New Roman" w:hAnsi="Times New Roman"/>
          <w:spacing w:val="5"/>
          <w:sz w:val="24"/>
          <w:szCs w:val="24"/>
        </w:rPr>
        <w:t>x</w:t>
      </w:r>
      <w:r w:rsidRPr="00D75D2E">
        <w:rPr>
          <w:rFonts w:ascii="Times New Roman" w:hAnsi="Times New Roman"/>
          <w:spacing w:val="-1"/>
          <w:sz w:val="24"/>
          <w:szCs w:val="24"/>
        </w:rPr>
        <w:t>-</w:t>
      </w:r>
      <w:r w:rsidRPr="00D75D2E">
        <w:rPr>
          <w:rFonts w:ascii="Times New Roman" w:hAnsi="Times New Roman"/>
          <w:sz w:val="24"/>
          <w:szCs w:val="24"/>
        </w:rPr>
        <w:t>mêm</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t pour 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utr</w:t>
      </w:r>
      <w:r w:rsidRPr="00D75D2E">
        <w:rPr>
          <w:rFonts w:ascii="Times New Roman" w:hAnsi="Times New Roman"/>
          <w:spacing w:val="-1"/>
          <w:sz w:val="24"/>
          <w:szCs w:val="24"/>
        </w:rPr>
        <w:t>e</w:t>
      </w:r>
      <w:r w:rsidRPr="00D75D2E">
        <w:rPr>
          <w:rFonts w:ascii="Times New Roman" w:hAnsi="Times New Roman"/>
          <w:sz w:val="24"/>
          <w:szCs w:val="24"/>
        </w:rPr>
        <w:t>s.</w:t>
      </w:r>
    </w:p>
    <w:p w14:paraId="310D9273"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938" w:name="_Toc41310031"/>
      <w:bookmarkStart w:id="939" w:name="_Toc78602048"/>
      <w:bookmarkStart w:id="940" w:name="_Toc103685744"/>
      <w:r w:rsidRPr="00215867">
        <w:rPr>
          <w:rFonts w:eastAsia="Calibri"/>
          <w:i/>
          <w:u w:val="none"/>
        </w:rPr>
        <w:t>Planification de la politique</w:t>
      </w:r>
      <w:bookmarkEnd w:id="938"/>
      <w:bookmarkEnd w:id="939"/>
      <w:bookmarkEnd w:id="940"/>
    </w:p>
    <w:p w14:paraId="70B80B3C" w14:textId="77777777" w:rsidR="000705BE" w:rsidRPr="00D75D2E" w:rsidRDefault="000705BE" w:rsidP="00E737B4">
      <w:pPr>
        <w:widowControl w:val="0"/>
        <w:tabs>
          <w:tab w:val="left" w:pos="0"/>
        </w:tabs>
        <w:spacing w:before="120" w:after="120" w:line="240" w:lineRule="auto"/>
        <w:ind w:right="133"/>
        <w:jc w:val="both"/>
        <w:rPr>
          <w:rFonts w:ascii="Times New Roman" w:hAnsi="Times New Roman"/>
          <w:sz w:val="24"/>
          <w:szCs w:val="24"/>
        </w:rPr>
      </w:pPr>
      <w:r w:rsidRPr="00D75D2E">
        <w:rPr>
          <w:rFonts w:ascii="Times New Roman" w:hAnsi="Times New Roman"/>
          <w:spacing w:val="1"/>
          <w:sz w:val="24"/>
          <w:szCs w:val="24"/>
        </w:rPr>
        <w:t>R</w:t>
      </w:r>
      <w:r w:rsidRPr="00D75D2E">
        <w:rPr>
          <w:rFonts w:ascii="Times New Roman" w:hAnsi="Times New Roman"/>
          <w:spacing w:val="-1"/>
          <w:sz w:val="24"/>
          <w:szCs w:val="24"/>
        </w:rPr>
        <w:t>e</w:t>
      </w:r>
      <w:r w:rsidRPr="00D75D2E">
        <w:rPr>
          <w:rFonts w:ascii="Times New Roman" w:hAnsi="Times New Roman"/>
          <w:sz w:val="24"/>
          <w:szCs w:val="24"/>
        </w:rPr>
        <w:t>lativem</w:t>
      </w:r>
      <w:r w:rsidRPr="00D75D2E">
        <w:rPr>
          <w:rFonts w:ascii="Times New Roman" w:hAnsi="Times New Roman"/>
          <w:spacing w:val="-1"/>
          <w:sz w:val="24"/>
          <w:szCs w:val="24"/>
        </w:rPr>
        <w:t>e</w:t>
      </w:r>
      <w:r w:rsidRPr="00D75D2E">
        <w:rPr>
          <w:rFonts w:ascii="Times New Roman" w:hAnsi="Times New Roman"/>
          <w:sz w:val="24"/>
          <w:szCs w:val="24"/>
        </w:rPr>
        <w:t xml:space="preserve">nt au </w:t>
      </w:r>
      <w:r w:rsidRPr="00D75D2E">
        <w:rPr>
          <w:rFonts w:ascii="Times New Roman" w:hAnsi="Times New Roman"/>
          <w:spacing w:val="1"/>
          <w:sz w:val="24"/>
          <w:szCs w:val="24"/>
        </w:rPr>
        <w:t>P</w:t>
      </w:r>
      <w:r w:rsidRPr="00D75D2E">
        <w:rPr>
          <w:rFonts w:ascii="Times New Roman" w:hAnsi="Times New Roman"/>
          <w:sz w:val="24"/>
          <w:szCs w:val="24"/>
        </w:rPr>
        <w:t xml:space="preserve">GES - Chantier, les </w:t>
      </w:r>
      <w:r w:rsidRPr="00D75D2E">
        <w:rPr>
          <w:rFonts w:ascii="Times New Roman" w:hAnsi="Times New Roman"/>
          <w:spacing w:val="-1"/>
          <w:sz w:val="24"/>
          <w:szCs w:val="24"/>
        </w:rPr>
        <w:t>ac</w:t>
      </w:r>
      <w:r w:rsidRPr="00D75D2E">
        <w:rPr>
          <w:rFonts w:ascii="Times New Roman" w:hAnsi="Times New Roman"/>
          <w:sz w:val="24"/>
          <w:szCs w:val="24"/>
        </w:rPr>
        <w:t>tivit</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5"/>
          <w:sz w:val="24"/>
          <w:szCs w:val="24"/>
        </w:rPr>
        <w:t>q</w:t>
      </w:r>
      <w:r w:rsidRPr="00D75D2E">
        <w:rPr>
          <w:rFonts w:ascii="Times New Roman" w:hAnsi="Times New Roman"/>
          <w:sz w:val="24"/>
          <w:szCs w:val="24"/>
        </w:rPr>
        <w:t>ui se d</w:t>
      </w:r>
      <w:r w:rsidRPr="00D75D2E">
        <w:rPr>
          <w:rFonts w:ascii="Times New Roman" w:hAnsi="Times New Roman"/>
          <w:spacing w:val="1"/>
          <w:sz w:val="24"/>
          <w:szCs w:val="24"/>
        </w:rPr>
        <w:t>é</w:t>
      </w:r>
      <w:r w:rsidRPr="00D75D2E">
        <w:rPr>
          <w:rFonts w:ascii="Times New Roman" w:hAnsi="Times New Roman"/>
          <w:sz w:val="24"/>
          <w:szCs w:val="24"/>
        </w:rPr>
        <w:t>ro</w:t>
      </w:r>
      <w:r w:rsidRPr="00D75D2E">
        <w:rPr>
          <w:rFonts w:ascii="Times New Roman" w:hAnsi="Times New Roman"/>
          <w:spacing w:val="-1"/>
          <w:sz w:val="24"/>
          <w:szCs w:val="24"/>
        </w:rPr>
        <w:t>u</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ront d</w:t>
      </w:r>
      <w:r w:rsidRPr="00D75D2E">
        <w:rPr>
          <w:rFonts w:ascii="Times New Roman" w:hAnsi="Times New Roman"/>
          <w:spacing w:val="-1"/>
          <w:sz w:val="24"/>
          <w:szCs w:val="24"/>
        </w:rPr>
        <w:t>a</w:t>
      </w:r>
      <w:r w:rsidRPr="00D75D2E">
        <w:rPr>
          <w:rFonts w:ascii="Times New Roman" w:hAnsi="Times New Roman"/>
          <w:sz w:val="24"/>
          <w:szCs w:val="24"/>
        </w:rPr>
        <w:t>ns 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1"/>
          <w:sz w:val="24"/>
          <w:szCs w:val="24"/>
        </w:rPr>
        <w:t>m</w:t>
      </w:r>
      <w:r w:rsidRPr="00D75D2E">
        <w:rPr>
          <w:rFonts w:ascii="Times New Roman" w:hAnsi="Times New Roman"/>
          <w:spacing w:val="5"/>
          <w:sz w:val="24"/>
          <w:szCs w:val="24"/>
        </w:rPr>
        <w:t>p</w:t>
      </w:r>
      <w:r w:rsidRPr="00D75D2E">
        <w:rPr>
          <w:rFonts w:ascii="Times New Roman" w:hAnsi="Times New Roman"/>
          <w:spacing w:val="-1"/>
          <w:sz w:val="24"/>
          <w:szCs w:val="24"/>
        </w:rPr>
        <w:t>r</w:t>
      </w:r>
      <w:r w:rsidRPr="00D75D2E">
        <w:rPr>
          <w:rFonts w:ascii="Times New Roman" w:hAnsi="Times New Roman"/>
          <w:sz w:val="24"/>
          <w:szCs w:val="24"/>
        </w:rPr>
        <w:t>i</w:t>
      </w:r>
      <w:r w:rsidRPr="00D75D2E">
        <w:rPr>
          <w:rFonts w:ascii="Times New Roman" w:hAnsi="Times New Roman"/>
          <w:spacing w:val="7"/>
          <w:sz w:val="24"/>
          <w:szCs w:val="24"/>
        </w:rPr>
        <w:t>s</w:t>
      </w:r>
      <w:r w:rsidRPr="00D75D2E">
        <w:rPr>
          <w:rFonts w:ascii="Times New Roman" w:hAnsi="Times New Roman"/>
          <w:sz w:val="24"/>
          <w:szCs w:val="24"/>
        </w:rPr>
        <w:t xml:space="preserve">e du </w:t>
      </w:r>
      <w:r w:rsidR="003C1922" w:rsidRPr="00D75D2E">
        <w:rPr>
          <w:rFonts w:ascii="Times New Roman" w:hAnsi="Times New Roman"/>
          <w:sz w:val="24"/>
          <w:szCs w:val="24"/>
        </w:rPr>
        <w:t>sous</w:t>
      </w:r>
      <w:r w:rsidR="00BD60DA">
        <w:rPr>
          <w:rFonts w:ascii="Times New Roman" w:hAnsi="Times New Roman"/>
          <w:sz w:val="24"/>
          <w:szCs w:val="24"/>
        </w:rPr>
        <w:t>-</w:t>
      </w:r>
      <w:r w:rsidRPr="00D75D2E">
        <w:rPr>
          <w:rFonts w:ascii="Times New Roman" w:hAnsi="Times New Roman"/>
          <w:sz w:val="24"/>
          <w:szCs w:val="24"/>
        </w:rPr>
        <w:t>pr</w:t>
      </w:r>
      <w:r w:rsidRPr="00D75D2E">
        <w:rPr>
          <w:rFonts w:ascii="Times New Roman" w:hAnsi="Times New Roman"/>
          <w:spacing w:val="-1"/>
          <w:sz w:val="24"/>
          <w:szCs w:val="24"/>
        </w:rPr>
        <w:t>o</w:t>
      </w:r>
      <w:r w:rsidRPr="00D75D2E">
        <w:rPr>
          <w:rFonts w:ascii="Times New Roman" w:hAnsi="Times New Roman"/>
          <w:spacing w:val="3"/>
          <w:sz w:val="24"/>
          <w:szCs w:val="24"/>
        </w:rPr>
        <w:t>j</w:t>
      </w:r>
      <w:r w:rsidRPr="00D75D2E">
        <w:rPr>
          <w:rFonts w:ascii="Times New Roman" w:hAnsi="Times New Roman"/>
          <w:spacing w:val="-1"/>
          <w:sz w:val="24"/>
          <w:szCs w:val="24"/>
        </w:rPr>
        <w:t>e</w:t>
      </w:r>
      <w:r w:rsidRPr="00D75D2E">
        <w:rPr>
          <w:rFonts w:ascii="Times New Roman" w:hAnsi="Times New Roman"/>
          <w:sz w:val="24"/>
          <w:szCs w:val="24"/>
        </w:rPr>
        <w:t>t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s</w:t>
      </w:r>
      <w:r w:rsidRPr="00D75D2E">
        <w:rPr>
          <w:rFonts w:ascii="Times New Roman" w:hAnsi="Times New Roman"/>
          <w:spacing w:val="-1"/>
          <w:sz w:val="24"/>
          <w:szCs w:val="24"/>
        </w:rPr>
        <w:t>e</w:t>
      </w:r>
      <w:r w:rsidRPr="00D75D2E">
        <w:rPr>
          <w:rFonts w:ascii="Times New Roman" w:hAnsi="Times New Roman"/>
          <w:sz w:val="24"/>
          <w:szCs w:val="24"/>
        </w:rPr>
        <w:t>ntent div</w:t>
      </w:r>
      <w:r w:rsidRPr="00D75D2E">
        <w:rPr>
          <w:rFonts w:ascii="Times New Roman" w:hAnsi="Times New Roman"/>
          <w:spacing w:val="-1"/>
          <w:sz w:val="24"/>
          <w:szCs w:val="24"/>
        </w:rPr>
        <w:t>er</w:t>
      </w:r>
      <w:r w:rsidRPr="00D75D2E">
        <w:rPr>
          <w:rFonts w:ascii="Times New Roman" w:hAnsi="Times New Roman"/>
          <w:sz w:val="24"/>
          <w:szCs w:val="24"/>
        </w:rPr>
        <w:t>s risqu</w:t>
      </w:r>
      <w:r w:rsidRPr="00D75D2E">
        <w:rPr>
          <w:rFonts w:ascii="Times New Roman" w:hAnsi="Times New Roman"/>
          <w:spacing w:val="-1"/>
          <w:sz w:val="24"/>
          <w:szCs w:val="24"/>
        </w:rPr>
        <w:t>e</w:t>
      </w:r>
      <w:r w:rsidRPr="00D75D2E">
        <w:rPr>
          <w:rFonts w:ascii="Times New Roman" w:hAnsi="Times New Roman"/>
          <w:sz w:val="24"/>
          <w:szCs w:val="24"/>
        </w:rPr>
        <w:t>s pour :</w:t>
      </w:r>
    </w:p>
    <w:p w14:paraId="5F93E53F" w14:textId="77777777" w:rsidR="000705BE" w:rsidRPr="00D75D2E" w:rsidRDefault="000705BE" w:rsidP="00BD60DA">
      <w:pPr>
        <w:widowControl w:val="0"/>
        <w:tabs>
          <w:tab w:val="left" w:pos="0"/>
        </w:tabs>
        <w:spacing w:after="0" w:line="240" w:lineRule="auto"/>
        <w:ind w:left="476" w:hanging="334"/>
        <w:jc w:val="both"/>
        <w:rPr>
          <w:rFonts w:ascii="Times New Roman" w:hAnsi="Times New Roman"/>
          <w:sz w:val="24"/>
          <w:szCs w:val="24"/>
        </w:rPr>
      </w:pPr>
      <w:r w:rsidRPr="00D75D2E">
        <w:rPr>
          <w:rFonts w:ascii="Times New Roman" w:hAnsi="Times New Roman"/>
          <w:sz w:val="24"/>
          <w:szCs w:val="24"/>
        </w:rPr>
        <w:t>-   la s</w:t>
      </w:r>
      <w:r w:rsidRPr="00D75D2E">
        <w:rPr>
          <w:rFonts w:ascii="Times New Roman" w:hAnsi="Times New Roman"/>
          <w:spacing w:val="-1"/>
          <w:sz w:val="24"/>
          <w:szCs w:val="24"/>
        </w:rPr>
        <w:t>a</w:t>
      </w:r>
      <w:r w:rsidRPr="00D75D2E">
        <w:rPr>
          <w:rFonts w:ascii="Times New Roman" w:hAnsi="Times New Roman"/>
          <w:sz w:val="24"/>
          <w:szCs w:val="24"/>
        </w:rPr>
        <w:t>nté du p</w:t>
      </w:r>
      <w:r w:rsidRPr="00D75D2E">
        <w:rPr>
          <w:rFonts w:ascii="Times New Roman" w:hAnsi="Times New Roman"/>
          <w:spacing w:val="-1"/>
          <w:sz w:val="24"/>
          <w:szCs w:val="24"/>
        </w:rPr>
        <w:t>e</w:t>
      </w:r>
      <w:r w:rsidRPr="00D75D2E">
        <w:rPr>
          <w:rFonts w:ascii="Times New Roman" w:hAnsi="Times New Roman"/>
          <w:sz w:val="24"/>
          <w:szCs w:val="24"/>
        </w:rPr>
        <w:t>rson</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l ;</w:t>
      </w:r>
    </w:p>
    <w:p w14:paraId="47CE83D1" w14:textId="77777777" w:rsidR="000705BE" w:rsidRPr="00D75D2E" w:rsidRDefault="000705BE" w:rsidP="00BD60DA">
      <w:pPr>
        <w:widowControl w:val="0"/>
        <w:tabs>
          <w:tab w:val="left" w:pos="0"/>
        </w:tabs>
        <w:spacing w:after="0" w:line="240" w:lineRule="auto"/>
        <w:ind w:left="476" w:hanging="334"/>
        <w:jc w:val="both"/>
        <w:rPr>
          <w:rFonts w:ascii="Times New Roman" w:hAnsi="Times New Roman"/>
          <w:sz w:val="24"/>
          <w:szCs w:val="24"/>
        </w:rPr>
      </w:pPr>
      <w:r w:rsidRPr="00D75D2E">
        <w:rPr>
          <w:rFonts w:ascii="Times New Roman" w:hAnsi="Times New Roman"/>
          <w:sz w:val="24"/>
          <w:szCs w:val="24"/>
        </w:rPr>
        <w:t xml:space="preserve">-   les </w:t>
      </w:r>
      <w:r w:rsidRPr="00D75D2E">
        <w:rPr>
          <w:rFonts w:ascii="Times New Roman" w:hAnsi="Times New Roman"/>
          <w:spacing w:val="-1"/>
          <w:sz w:val="24"/>
          <w:szCs w:val="24"/>
        </w:rPr>
        <w:t>acc</w:t>
      </w:r>
      <w:r w:rsidRPr="00D75D2E">
        <w:rPr>
          <w:rFonts w:ascii="Times New Roman" w:hAnsi="Times New Roman"/>
          <w:sz w:val="24"/>
          <w:szCs w:val="24"/>
        </w:rPr>
        <w:t xml:space="preserve">idents </w:t>
      </w:r>
      <w:r w:rsidRPr="00D75D2E">
        <w:rPr>
          <w:rFonts w:ascii="Times New Roman" w:hAnsi="Times New Roman"/>
          <w:spacing w:val="2"/>
          <w:sz w:val="24"/>
          <w:szCs w:val="24"/>
        </w:rPr>
        <w:t>d</w:t>
      </w:r>
      <w:r w:rsidRPr="00D75D2E">
        <w:rPr>
          <w:rFonts w:ascii="Times New Roman" w:hAnsi="Times New Roman"/>
          <w:sz w:val="24"/>
          <w:szCs w:val="24"/>
        </w:rPr>
        <w:t>e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3"/>
          <w:sz w:val="24"/>
          <w:szCs w:val="24"/>
        </w:rPr>
        <w:t>a</w:t>
      </w:r>
      <w:r w:rsidRPr="00D75D2E">
        <w:rPr>
          <w:rFonts w:ascii="Times New Roman" w:hAnsi="Times New Roman"/>
          <w:sz w:val="24"/>
          <w:szCs w:val="24"/>
        </w:rPr>
        <w:t>il ;</w:t>
      </w:r>
    </w:p>
    <w:p w14:paraId="58A3D246" w14:textId="77777777" w:rsidR="000705BE" w:rsidRPr="00D75D2E" w:rsidRDefault="000705BE" w:rsidP="00BD60DA">
      <w:pPr>
        <w:widowControl w:val="0"/>
        <w:tabs>
          <w:tab w:val="left" w:pos="0"/>
        </w:tabs>
        <w:spacing w:after="0" w:line="240" w:lineRule="auto"/>
        <w:ind w:left="476" w:hanging="334"/>
        <w:jc w:val="both"/>
        <w:rPr>
          <w:rFonts w:ascii="Times New Roman" w:hAnsi="Times New Roman"/>
          <w:sz w:val="24"/>
          <w:szCs w:val="24"/>
        </w:rPr>
      </w:pPr>
      <w:r w:rsidRPr="00D75D2E">
        <w:rPr>
          <w:rFonts w:ascii="Times New Roman" w:hAnsi="Times New Roman"/>
          <w:sz w:val="24"/>
          <w:szCs w:val="24"/>
        </w:rPr>
        <w:t xml:space="preserve">-   les </w:t>
      </w:r>
      <w:r w:rsidRPr="00D75D2E">
        <w:rPr>
          <w:rFonts w:ascii="Times New Roman" w:hAnsi="Times New Roman"/>
          <w:spacing w:val="-1"/>
          <w:sz w:val="24"/>
          <w:szCs w:val="24"/>
        </w:rPr>
        <w:t>r</w:t>
      </w:r>
      <w:r w:rsidRPr="00D75D2E">
        <w:rPr>
          <w:rFonts w:ascii="Times New Roman" w:hAnsi="Times New Roman"/>
          <w:sz w:val="24"/>
          <w:szCs w:val="24"/>
        </w:rPr>
        <w:t>isques d</w:t>
      </w:r>
      <w:r w:rsidRPr="00D75D2E">
        <w:rPr>
          <w:rFonts w:ascii="Times New Roman" w:hAnsi="Times New Roman"/>
          <w:spacing w:val="-5"/>
          <w:sz w:val="24"/>
          <w:szCs w:val="24"/>
        </w:rPr>
        <w:t>'</w:t>
      </w:r>
      <w:r w:rsidRPr="00D75D2E">
        <w:rPr>
          <w:rFonts w:ascii="Times New Roman" w:hAnsi="Times New Roman"/>
          <w:sz w:val="24"/>
          <w:szCs w:val="24"/>
        </w:rPr>
        <w:t>i</w:t>
      </w:r>
      <w:r w:rsidRPr="00D75D2E">
        <w:rPr>
          <w:rFonts w:ascii="Times New Roman" w:hAnsi="Times New Roman"/>
          <w:spacing w:val="2"/>
          <w:sz w:val="24"/>
          <w:szCs w:val="24"/>
        </w:rPr>
        <w:t>n</w:t>
      </w:r>
      <w:r w:rsidRPr="00D75D2E">
        <w:rPr>
          <w:rFonts w:ascii="Times New Roman" w:hAnsi="Times New Roman"/>
          <w:spacing w:val="-1"/>
          <w:sz w:val="24"/>
          <w:szCs w:val="24"/>
        </w:rPr>
        <w:t>ce</w:t>
      </w:r>
      <w:r w:rsidRPr="00D75D2E">
        <w:rPr>
          <w:rFonts w:ascii="Times New Roman" w:hAnsi="Times New Roman"/>
          <w:sz w:val="24"/>
          <w:szCs w:val="24"/>
        </w:rPr>
        <w:t>ndi</w:t>
      </w:r>
      <w:r w:rsidRPr="00D75D2E">
        <w:rPr>
          <w:rFonts w:ascii="Times New Roman" w:hAnsi="Times New Roman"/>
          <w:spacing w:val="2"/>
          <w:sz w:val="24"/>
          <w:szCs w:val="24"/>
        </w:rPr>
        <w:t>e</w:t>
      </w:r>
      <w:r w:rsidRPr="00D75D2E">
        <w:rPr>
          <w:rFonts w:ascii="Times New Roman" w:hAnsi="Times New Roman"/>
          <w:sz w:val="24"/>
          <w:szCs w:val="24"/>
        </w:rPr>
        <w:t>s ;</w:t>
      </w:r>
    </w:p>
    <w:p w14:paraId="1FC6B01B" w14:textId="77777777" w:rsidR="000705BE" w:rsidRPr="00D75D2E" w:rsidRDefault="000705BE" w:rsidP="00E737B4">
      <w:pPr>
        <w:widowControl w:val="0"/>
        <w:tabs>
          <w:tab w:val="left" w:pos="0"/>
        </w:tabs>
        <w:spacing w:before="120" w:after="120" w:line="240" w:lineRule="auto"/>
        <w:ind w:right="133"/>
        <w:jc w:val="both"/>
        <w:rPr>
          <w:rFonts w:ascii="Times New Roman" w:hAnsi="Times New Roman"/>
          <w:sz w:val="24"/>
          <w:szCs w:val="24"/>
        </w:rPr>
      </w:pPr>
      <w:r w:rsidRPr="00D75D2E">
        <w:rPr>
          <w:rFonts w:ascii="Times New Roman" w:hAnsi="Times New Roman"/>
          <w:spacing w:val="-5"/>
          <w:sz w:val="24"/>
          <w:szCs w:val="24"/>
        </w:rPr>
        <w:t>L</w:t>
      </w:r>
      <w:r w:rsidRPr="00D75D2E">
        <w:rPr>
          <w:rFonts w:ascii="Times New Roman" w:hAnsi="Times New Roman"/>
          <w:sz w:val="24"/>
          <w:szCs w:val="24"/>
        </w:rPr>
        <w:t>a plani</w:t>
      </w:r>
      <w:r w:rsidRPr="00D75D2E">
        <w:rPr>
          <w:rFonts w:ascii="Times New Roman" w:hAnsi="Times New Roman"/>
          <w:spacing w:val="-1"/>
          <w:sz w:val="24"/>
          <w:szCs w:val="24"/>
        </w:rPr>
        <w:t>f</w:t>
      </w:r>
      <w:r w:rsidRPr="00D75D2E">
        <w:rPr>
          <w:rFonts w:ascii="Times New Roman" w:hAnsi="Times New Roman"/>
          <w:sz w:val="24"/>
          <w:szCs w:val="24"/>
        </w:rPr>
        <w:t>i</w:t>
      </w:r>
      <w:r w:rsidRPr="00D75D2E">
        <w:rPr>
          <w:rFonts w:ascii="Times New Roman" w:hAnsi="Times New Roman"/>
          <w:spacing w:val="-1"/>
          <w:sz w:val="24"/>
          <w:szCs w:val="24"/>
        </w:rPr>
        <w:t>ca</w:t>
      </w:r>
      <w:r w:rsidRPr="00D75D2E">
        <w:rPr>
          <w:rFonts w:ascii="Times New Roman" w:hAnsi="Times New Roman"/>
          <w:sz w:val="24"/>
          <w:szCs w:val="24"/>
        </w:rPr>
        <w:t xml:space="preserve">tion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2"/>
          <w:sz w:val="24"/>
          <w:szCs w:val="24"/>
        </w:rPr>
        <w:t>g</w:t>
      </w:r>
      <w:r w:rsidRPr="00D75D2E">
        <w:rPr>
          <w:rFonts w:ascii="Times New Roman" w:hAnsi="Times New Roman"/>
          <w:spacing w:val="-1"/>
          <w:sz w:val="24"/>
          <w:szCs w:val="24"/>
        </w:rPr>
        <w:t>e</w:t>
      </w:r>
      <w:r w:rsidRPr="00D75D2E">
        <w:rPr>
          <w:rFonts w:ascii="Times New Roman" w:hAnsi="Times New Roman"/>
          <w:spacing w:val="1"/>
          <w:sz w:val="24"/>
          <w:szCs w:val="24"/>
        </w:rPr>
        <w:t>s</w:t>
      </w:r>
      <w:r w:rsidRPr="00D75D2E">
        <w:rPr>
          <w:rFonts w:ascii="Times New Roman" w:hAnsi="Times New Roman"/>
          <w:spacing w:val="3"/>
          <w:sz w:val="24"/>
          <w:szCs w:val="24"/>
        </w:rPr>
        <w:t>t</w:t>
      </w:r>
      <w:r w:rsidRPr="00D75D2E">
        <w:rPr>
          <w:rFonts w:ascii="Times New Roman" w:hAnsi="Times New Roman"/>
          <w:sz w:val="24"/>
          <w:szCs w:val="24"/>
        </w:rPr>
        <w:t>ion d</w:t>
      </w:r>
      <w:r w:rsidRPr="00D75D2E">
        <w:rPr>
          <w:rFonts w:ascii="Times New Roman" w:hAnsi="Times New Roman"/>
          <w:spacing w:val="-1"/>
          <w:sz w:val="24"/>
          <w:szCs w:val="24"/>
        </w:rPr>
        <w:t>e</w:t>
      </w:r>
      <w:r w:rsidRPr="00D75D2E">
        <w:rPr>
          <w:rFonts w:ascii="Times New Roman" w:hAnsi="Times New Roman"/>
          <w:sz w:val="24"/>
          <w:szCs w:val="24"/>
        </w:rPr>
        <w:t>s qu</w:t>
      </w:r>
      <w:r w:rsidRPr="00D75D2E">
        <w:rPr>
          <w:rFonts w:ascii="Times New Roman" w:hAnsi="Times New Roman"/>
          <w:spacing w:val="-1"/>
          <w:sz w:val="24"/>
          <w:szCs w:val="24"/>
        </w:rPr>
        <w:t>e</w:t>
      </w:r>
      <w:r w:rsidRPr="00D75D2E">
        <w:rPr>
          <w:rFonts w:ascii="Times New Roman" w:hAnsi="Times New Roman"/>
          <w:sz w:val="24"/>
          <w:szCs w:val="24"/>
        </w:rPr>
        <w:t>stions s</w:t>
      </w:r>
      <w:r w:rsidRPr="00D75D2E">
        <w:rPr>
          <w:rFonts w:ascii="Times New Roman" w:hAnsi="Times New Roman"/>
          <w:spacing w:val="-1"/>
          <w:sz w:val="24"/>
          <w:szCs w:val="24"/>
        </w:rPr>
        <w:t>éc</w:t>
      </w:r>
      <w:r w:rsidRPr="00D75D2E">
        <w:rPr>
          <w:rFonts w:ascii="Times New Roman" w:hAnsi="Times New Roman"/>
          <w:sz w:val="24"/>
          <w:szCs w:val="24"/>
        </w:rPr>
        <w:t>urit</w:t>
      </w:r>
      <w:r w:rsidRPr="00D75D2E">
        <w:rPr>
          <w:rFonts w:ascii="Times New Roman" w:hAnsi="Times New Roman"/>
          <w:spacing w:val="1"/>
          <w:sz w:val="24"/>
          <w:szCs w:val="24"/>
        </w:rPr>
        <w:t>a</w:t>
      </w:r>
      <w:r w:rsidRPr="00D75D2E">
        <w:rPr>
          <w:rFonts w:ascii="Times New Roman" w:hAnsi="Times New Roman"/>
          <w:sz w:val="24"/>
          <w:szCs w:val="24"/>
        </w:rPr>
        <w:t>ir</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pacing w:val="10"/>
          <w:sz w:val="24"/>
          <w:szCs w:val="24"/>
        </w:rPr>
        <w:t>h</w:t>
      </w:r>
      <w:r w:rsidRPr="00D75D2E">
        <w:rPr>
          <w:rFonts w:ascii="Times New Roman" w:hAnsi="Times New Roman"/>
          <w:spacing w:val="-10"/>
          <w:sz w:val="24"/>
          <w:szCs w:val="24"/>
        </w:rPr>
        <w:t>y</w:t>
      </w:r>
      <w:r w:rsidRPr="00D75D2E">
        <w:rPr>
          <w:rFonts w:ascii="Times New Roman" w:hAnsi="Times New Roman"/>
          <w:spacing w:val="-2"/>
          <w:sz w:val="24"/>
          <w:szCs w:val="24"/>
        </w:rPr>
        <w:t>g</w:t>
      </w:r>
      <w:r w:rsidRPr="00D75D2E">
        <w:rPr>
          <w:rFonts w:ascii="Times New Roman" w:hAnsi="Times New Roman"/>
          <w:spacing w:val="3"/>
          <w:sz w:val="24"/>
          <w:szCs w:val="24"/>
        </w:rPr>
        <w:t>i</w:t>
      </w:r>
      <w:r w:rsidRPr="00D75D2E">
        <w:rPr>
          <w:rFonts w:ascii="Times New Roman" w:hAnsi="Times New Roman"/>
          <w:spacing w:val="-1"/>
          <w:sz w:val="24"/>
          <w:szCs w:val="24"/>
        </w:rPr>
        <w:t>è</w:t>
      </w:r>
      <w:r w:rsidRPr="00D75D2E">
        <w:rPr>
          <w:rFonts w:ascii="Times New Roman" w:hAnsi="Times New Roman"/>
          <w:spacing w:val="2"/>
          <w:sz w:val="24"/>
          <w:szCs w:val="24"/>
        </w:rPr>
        <w:t>n</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5"/>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z w:val="24"/>
          <w:szCs w:val="24"/>
        </w:rPr>
        <w:t>nvir</w:t>
      </w:r>
      <w:r w:rsidRPr="00D75D2E">
        <w:rPr>
          <w:rFonts w:ascii="Times New Roman" w:hAnsi="Times New Roman"/>
          <w:spacing w:val="2"/>
          <w:sz w:val="24"/>
          <w:szCs w:val="24"/>
        </w:rPr>
        <w:t>o</w:t>
      </w:r>
      <w:r w:rsidRPr="00D75D2E">
        <w:rPr>
          <w:rFonts w:ascii="Times New Roman" w:hAnsi="Times New Roman"/>
          <w:sz w:val="24"/>
          <w:szCs w:val="24"/>
        </w:rPr>
        <w:t>n</w:t>
      </w:r>
      <w:r w:rsidRPr="00D75D2E">
        <w:rPr>
          <w:rFonts w:ascii="Times New Roman" w:hAnsi="Times New Roman"/>
          <w:spacing w:val="1"/>
          <w:sz w:val="24"/>
          <w:szCs w:val="24"/>
        </w:rPr>
        <w:t>n</w:t>
      </w:r>
      <w:r w:rsidRPr="00D75D2E">
        <w:rPr>
          <w:rFonts w:ascii="Times New Roman" w:hAnsi="Times New Roman"/>
          <w:spacing w:val="-1"/>
          <w:sz w:val="24"/>
          <w:szCs w:val="24"/>
        </w:rPr>
        <w:t>e</w:t>
      </w:r>
      <w:r w:rsidRPr="00D75D2E">
        <w:rPr>
          <w:rFonts w:ascii="Times New Roman" w:hAnsi="Times New Roman"/>
          <w:sz w:val="24"/>
          <w:szCs w:val="24"/>
        </w:rPr>
        <w:t>ment vise d</w:t>
      </w:r>
      <w:r w:rsidRPr="00D75D2E">
        <w:rPr>
          <w:rFonts w:ascii="Times New Roman" w:hAnsi="Times New Roman"/>
          <w:spacing w:val="-1"/>
          <w:sz w:val="24"/>
          <w:szCs w:val="24"/>
        </w:rPr>
        <w:t>a</w:t>
      </w:r>
      <w:r w:rsidRPr="00D75D2E">
        <w:rPr>
          <w:rFonts w:ascii="Times New Roman" w:hAnsi="Times New Roman"/>
          <w:sz w:val="24"/>
          <w:szCs w:val="24"/>
        </w:rPr>
        <w:t>ns 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mble dive</w:t>
      </w:r>
      <w:r w:rsidRPr="00D75D2E">
        <w:rPr>
          <w:rFonts w:ascii="Times New Roman" w:hAnsi="Times New Roman"/>
          <w:spacing w:val="-1"/>
          <w:sz w:val="24"/>
          <w:szCs w:val="24"/>
        </w:rPr>
        <w:t>r</w:t>
      </w:r>
      <w:r w:rsidRPr="00D75D2E">
        <w:rPr>
          <w:rFonts w:ascii="Times New Roman" w:hAnsi="Times New Roman"/>
          <w:sz w:val="24"/>
          <w:szCs w:val="24"/>
        </w:rPr>
        <w:t>s obje</w:t>
      </w:r>
      <w:r w:rsidRPr="00D75D2E">
        <w:rPr>
          <w:rFonts w:ascii="Times New Roman" w:hAnsi="Times New Roman"/>
          <w:spacing w:val="-1"/>
          <w:sz w:val="24"/>
          <w:szCs w:val="24"/>
        </w:rPr>
        <w:t>c</w:t>
      </w:r>
      <w:r w:rsidRPr="00D75D2E">
        <w:rPr>
          <w:rFonts w:ascii="Times New Roman" w:hAnsi="Times New Roman"/>
          <w:sz w:val="24"/>
          <w:szCs w:val="24"/>
        </w:rPr>
        <w:t>t</w:t>
      </w:r>
      <w:r w:rsidRPr="00D75D2E">
        <w:rPr>
          <w:rFonts w:ascii="Times New Roman" w:hAnsi="Times New Roman"/>
          <w:spacing w:val="3"/>
          <w:sz w:val="24"/>
          <w:szCs w:val="24"/>
        </w:rPr>
        <w:t>i</w:t>
      </w:r>
      <w:r w:rsidRPr="00D75D2E">
        <w:rPr>
          <w:rFonts w:ascii="Times New Roman" w:hAnsi="Times New Roman"/>
          <w:spacing w:val="2"/>
          <w:sz w:val="24"/>
          <w:szCs w:val="24"/>
        </w:rPr>
        <w:t>f</w:t>
      </w:r>
      <w:r w:rsidRPr="00D75D2E">
        <w:rPr>
          <w:rFonts w:ascii="Times New Roman" w:hAnsi="Times New Roman"/>
          <w:sz w:val="24"/>
          <w:szCs w:val="24"/>
        </w:rPr>
        <w:t>s, à s</w:t>
      </w:r>
      <w:r w:rsidRPr="00D75D2E">
        <w:rPr>
          <w:rFonts w:ascii="Times New Roman" w:hAnsi="Times New Roman"/>
          <w:spacing w:val="-1"/>
          <w:sz w:val="24"/>
          <w:szCs w:val="24"/>
        </w:rPr>
        <w:t>a</w:t>
      </w:r>
      <w:r w:rsidRPr="00D75D2E">
        <w:rPr>
          <w:rFonts w:ascii="Times New Roman" w:hAnsi="Times New Roman"/>
          <w:sz w:val="24"/>
          <w:szCs w:val="24"/>
        </w:rPr>
        <w:t>voir :</w:t>
      </w:r>
    </w:p>
    <w:p w14:paraId="245ECC22" w14:textId="77777777" w:rsidR="000705BE" w:rsidRPr="00D75D2E" w:rsidRDefault="000705BE" w:rsidP="00BD60DA">
      <w:pPr>
        <w:widowControl w:val="0"/>
        <w:tabs>
          <w:tab w:val="left" w:pos="0"/>
          <w:tab w:val="left" w:pos="567"/>
        </w:tabs>
        <w:spacing w:after="0" w:line="240" w:lineRule="auto"/>
        <w:ind w:left="426" w:right="784" w:hanging="360"/>
        <w:jc w:val="both"/>
        <w:rPr>
          <w:rFonts w:ascii="Times New Roman" w:hAnsi="Times New Roman"/>
          <w:sz w:val="24"/>
          <w:szCs w:val="24"/>
        </w:rPr>
      </w:pPr>
      <w:r w:rsidRPr="00D75D2E">
        <w:rPr>
          <w:rFonts w:ascii="Times New Roman" w:hAnsi="Times New Roman"/>
          <w:sz w:val="24"/>
          <w:szCs w:val="24"/>
        </w:rPr>
        <w:t>-</w:t>
      </w:r>
      <w:r w:rsidRPr="00D75D2E">
        <w:rPr>
          <w:rFonts w:ascii="Times New Roman" w:hAnsi="Times New Roman"/>
          <w:sz w:val="24"/>
          <w:szCs w:val="24"/>
        </w:rPr>
        <w:tab/>
        <w:t>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nir </w:t>
      </w:r>
      <w:r w:rsidRPr="00D75D2E">
        <w:rPr>
          <w:rFonts w:ascii="Times New Roman" w:hAnsi="Times New Roman"/>
          <w:spacing w:val="-1"/>
          <w:sz w:val="24"/>
          <w:szCs w:val="24"/>
        </w:rPr>
        <w:t>e</w:t>
      </w:r>
      <w:r w:rsidRPr="00D75D2E">
        <w:rPr>
          <w:rFonts w:ascii="Times New Roman" w:hAnsi="Times New Roman"/>
          <w:sz w:val="24"/>
          <w:szCs w:val="24"/>
        </w:rPr>
        <w:t>t maitri</w:t>
      </w:r>
      <w:r w:rsidRPr="00D75D2E">
        <w:rPr>
          <w:rFonts w:ascii="Times New Roman" w:hAnsi="Times New Roman"/>
          <w:spacing w:val="1"/>
          <w:sz w:val="24"/>
          <w:szCs w:val="24"/>
        </w:rPr>
        <w:t>se</w:t>
      </w:r>
      <w:r w:rsidRPr="00D75D2E">
        <w:rPr>
          <w:rFonts w:ascii="Times New Roman" w:hAnsi="Times New Roman"/>
          <w:sz w:val="24"/>
          <w:szCs w:val="24"/>
        </w:rPr>
        <w:t xml:space="preserve">r </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s risqu</w:t>
      </w:r>
      <w:r w:rsidRPr="00D75D2E">
        <w:rPr>
          <w:rFonts w:ascii="Times New Roman" w:hAnsi="Times New Roman"/>
          <w:spacing w:val="-1"/>
          <w:sz w:val="24"/>
          <w:szCs w:val="24"/>
        </w:rPr>
        <w:t>e</w:t>
      </w:r>
      <w:r w:rsidRPr="00D75D2E">
        <w:rPr>
          <w:rFonts w:ascii="Times New Roman" w:hAnsi="Times New Roman"/>
          <w:sz w:val="24"/>
          <w:szCs w:val="24"/>
        </w:rPr>
        <w:t>s s</w:t>
      </w:r>
      <w:r w:rsidRPr="00D75D2E">
        <w:rPr>
          <w:rFonts w:ascii="Times New Roman" w:hAnsi="Times New Roman"/>
          <w:spacing w:val="-1"/>
          <w:sz w:val="24"/>
          <w:szCs w:val="24"/>
        </w:rPr>
        <w:t>éc</w:t>
      </w:r>
      <w:r w:rsidRPr="00D75D2E">
        <w:rPr>
          <w:rFonts w:ascii="Times New Roman" w:hAnsi="Times New Roman"/>
          <w:sz w:val="24"/>
          <w:szCs w:val="24"/>
        </w:rPr>
        <w:t>urit</w:t>
      </w:r>
      <w:r w:rsidRPr="00D75D2E">
        <w:rPr>
          <w:rFonts w:ascii="Times New Roman" w:hAnsi="Times New Roman"/>
          <w:spacing w:val="-1"/>
          <w:sz w:val="24"/>
          <w:szCs w:val="24"/>
        </w:rPr>
        <w:t>a</w:t>
      </w:r>
      <w:r w:rsidRPr="00D75D2E">
        <w:rPr>
          <w:rFonts w:ascii="Times New Roman" w:hAnsi="Times New Roman"/>
          <w:sz w:val="24"/>
          <w:szCs w:val="24"/>
        </w:rPr>
        <w:t>i</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w:t>
      </w:r>
      <w:r w:rsidRPr="00D75D2E">
        <w:rPr>
          <w:rFonts w:ascii="Times New Roman" w:hAnsi="Times New Roman"/>
          <w:sz w:val="24"/>
          <w:szCs w:val="24"/>
        </w:rPr>
        <w:t>s</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3"/>
          <w:sz w:val="24"/>
          <w:szCs w:val="24"/>
        </w:rPr>
        <w:t>t</w:t>
      </w:r>
      <w:r w:rsidRPr="00D75D2E">
        <w:rPr>
          <w:rFonts w:ascii="Times New Roman" w:hAnsi="Times New Roman"/>
          <w:sz w:val="24"/>
          <w:szCs w:val="24"/>
        </w:rPr>
        <w:t xml:space="preserve">é </w:t>
      </w:r>
      <w:r w:rsidRPr="00D75D2E">
        <w:rPr>
          <w:rFonts w:ascii="Times New Roman" w:hAnsi="Times New Roman"/>
          <w:spacing w:val="-1"/>
          <w:sz w:val="24"/>
          <w:szCs w:val="24"/>
        </w:rPr>
        <w:t>e</w:t>
      </w:r>
      <w:r w:rsidRPr="00D75D2E">
        <w:rPr>
          <w:rFonts w:ascii="Times New Roman" w:hAnsi="Times New Roman"/>
          <w:sz w:val="24"/>
          <w:szCs w:val="24"/>
        </w:rPr>
        <w:t>t s</w:t>
      </w:r>
      <w:r w:rsidRPr="00D75D2E">
        <w:rPr>
          <w:rFonts w:ascii="Times New Roman" w:hAnsi="Times New Roman"/>
          <w:spacing w:val="-1"/>
          <w:sz w:val="24"/>
          <w:szCs w:val="24"/>
        </w:rPr>
        <w:t>éc</w:t>
      </w:r>
      <w:r w:rsidRPr="00D75D2E">
        <w:rPr>
          <w:rFonts w:ascii="Times New Roman" w:hAnsi="Times New Roman"/>
          <w:sz w:val="24"/>
          <w:szCs w:val="24"/>
        </w:rPr>
        <w:t>urité du p</w:t>
      </w:r>
      <w:r w:rsidRPr="00D75D2E">
        <w:rPr>
          <w:rFonts w:ascii="Times New Roman" w:hAnsi="Times New Roman"/>
          <w:spacing w:val="-1"/>
          <w:sz w:val="24"/>
          <w:szCs w:val="24"/>
        </w:rPr>
        <w:t>e</w:t>
      </w:r>
      <w:r w:rsidRPr="00D75D2E">
        <w:rPr>
          <w:rFonts w:ascii="Times New Roman" w:hAnsi="Times New Roman"/>
          <w:sz w:val="24"/>
          <w:szCs w:val="24"/>
        </w:rPr>
        <w:t>rson</w:t>
      </w:r>
      <w:r w:rsidRPr="00D75D2E">
        <w:rPr>
          <w:rFonts w:ascii="Times New Roman" w:hAnsi="Times New Roman"/>
          <w:spacing w:val="5"/>
          <w:sz w:val="24"/>
          <w:szCs w:val="24"/>
        </w:rPr>
        <w:t>n</w:t>
      </w:r>
      <w:r w:rsidRPr="00D75D2E">
        <w:rPr>
          <w:rFonts w:ascii="Times New Roman" w:hAnsi="Times New Roman"/>
          <w:spacing w:val="-1"/>
          <w:sz w:val="24"/>
          <w:szCs w:val="24"/>
        </w:rPr>
        <w:t>e</w:t>
      </w:r>
      <w:r w:rsidRPr="00D75D2E">
        <w:rPr>
          <w:rFonts w:ascii="Times New Roman" w:hAnsi="Times New Roman"/>
          <w:sz w:val="24"/>
          <w:szCs w:val="24"/>
        </w:rPr>
        <w:t>l) li</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ux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ux ;</w:t>
      </w:r>
    </w:p>
    <w:p w14:paraId="63CA0366" w14:textId="77777777" w:rsidR="000705BE" w:rsidRPr="00D75D2E" w:rsidRDefault="000705BE" w:rsidP="00E737B4">
      <w:pPr>
        <w:widowControl w:val="0"/>
        <w:tabs>
          <w:tab w:val="left" w:pos="0"/>
          <w:tab w:val="left" w:pos="567"/>
        </w:tabs>
        <w:spacing w:after="0" w:line="240" w:lineRule="auto"/>
        <w:ind w:left="426" w:right="784" w:hanging="360"/>
        <w:jc w:val="both"/>
        <w:rPr>
          <w:rFonts w:ascii="Times New Roman" w:hAnsi="Times New Roman"/>
          <w:sz w:val="24"/>
          <w:szCs w:val="24"/>
        </w:rPr>
      </w:pPr>
      <w:r w:rsidRPr="00D75D2E">
        <w:rPr>
          <w:rFonts w:ascii="Times New Roman" w:hAnsi="Times New Roman"/>
          <w:sz w:val="24"/>
          <w:szCs w:val="24"/>
        </w:rPr>
        <w:t xml:space="preserve">-   </w:t>
      </w:r>
      <w:r w:rsidR="00BD60DA">
        <w:rPr>
          <w:rFonts w:ascii="Times New Roman" w:hAnsi="Times New Roman"/>
          <w:sz w:val="24"/>
          <w:szCs w:val="24"/>
        </w:rPr>
        <w:t xml:space="preserve">  </w:t>
      </w:r>
      <w:r w:rsidRPr="00D75D2E">
        <w:rPr>
          <w:rFonts w:ascii="Times New Roman" w:hAnsi="Times New Roman"/>
          <w:sz w:val="24"/>
          <w:szCs w:val="24"/>
        </w:rPr>
        <w:t>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nir </w:t>
      </w:r>
      <w:r w:rsidRPr="00D75D2E">
        <w:rPr>
          <w:rFonts w:ascii="Times New Roman" w:hAnsi="Times New Roman"/>
          <w:spacing w:val="-1"/>
          <w:sz w:val="24"/>
          <w:szCs w:val="24"/>
        </w:rPr>
        <w:t>e</w:t>
      </w:r>
      <w:r w:rsidRPr="00D75D2E">
        <w:rPr>
          <w:rFonts w:ascii="Times New Roman" w:hAnsi="Times New Roman"/>
          <w:sz w:val="24"/>
          <w:szCs w:val="24"/>
        </w:rPr>
        <w:t>t m</w:t>
      </w:r>
      <w:r w:rsidRPr="00D75D2E">
        <w:rPr>
          <w:rFonts w:ascii="Times New Roman" w:hAnsi="Times New Roman"/>
          <w:spacing w:val="-1"/>
          <w:sz w:val="24"/>
          <w:szCs w:val="24"/>
        </w:rPr>
        <w:t>a</w:t>
      </w:r>
      <w:r w:rsidRPr="00D75D2E">
        <w:rPr>
          <w:rFonts w:ascii="Times New Roman" w:hAnsi="Times New Roman"/>
          <w:sz w:val="24"/>
          <w:szCs w:val="24"/>
        </w:rPr>
        <w:t>itri</w:t>
      </w:r>
      <w:r w:rsidRPr="00D75D2E">
        <w:rPr>
          <w:rFonts w:ascii="Times New Roman" w:hAnsi="Times New Roman"/>
          <w:spacing w:val="1"/>
          <w:sz w:val="24"/>
          <w:szCs w:val="24"/>
        </w:rPr>
        <w:t>s</w:t>
      </w:r>
      <w:r w:rsidRPr="00D75D2E">
        <w:rPr>
          <w:rFonts w:ascii="Times New Roman" w:hAnsi="Times New Roman"/>
          <w:spacing w:val="-1"/>
          <w:sz w:val="24"/>
          <w:szCs w:val="24"/>
        </w:rPr>
        <w:t>e</w:t>
      </w:r>
      <w:r w:rsidRPr="00D75D2E">
        <w:rPr>
          <w:rFonts w:ascii="Times New Roman" w:hAnsi="Times New Roman"/>
          <w:sz w:val="24"/>
          <w:szCs w:val="24"/>
        </w:rPr>
        <w:t xml:space="preserve">r les </w:t>
      </w:r>
      <w:r w:rsidRPr="00D75D2E">
        <w:rPr>
          <w:rFonts w:ascii="Times New Roman" w:hAnsi="Times New Roman"/>
          <w:spacing w:val="-1"/>
          <w:sz w:val="24"/>
          <w:szCs w:val="24"/>
        </w:rPr>
        <w:t>r</w:t>
      </w:r>
      <w:r w:rsidRPr="00D75D2E">
        <w:rPr>
          <w:rFonts w:ascii="Times New Roman" w:hAnsi="Times New Roman"/>
          <w:sz w:val="24"/>
          <w:szCs w:val="24"/>
        </w:rPr>
        <w:t xml:space="preserve">isques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z w:val="24"/>
          <w:szCs w:val="24"/>
        </w:rPr>
        <w:t>in</w:t>
      </w:r>
      <w:r w:rsidRPr="00D75D2E">
        <w:rPr>
          <w:rFonts w:ascii="Times New Roman" w:hAnsi="Times New Roman"/>
          <w:spacing w:val="1"/>
          <w:sz w:val="24"/>
          <w:szCs w:val="24"/>
        </w:rPr>
        <w:t>c</w:t>
      </w:r>
      <w:r w:rsidRPr="00D75D2E">
        <w:rPr>
          <w:rFonts w:ascii="Times New Roman" w:hAnsi="Times New Roman"/>
          <w:spacing w:val="-1"/>
          <w:sz w:val="24"/>
          <w:szCs w:val="24"/>
        </w:rPr>
        <w:t>e</w:t>
      </w:r>
      <w:r w:rsidRPr="00D75D2E">
        <w:rPr>
          <w:rFonts w:ascii="Times New Roman" w:hAnsi="Times New Roman"/>
          <w:sz w:val="24"/>
          <w:szCs w:val="24"/>
        </w:rPr>
        <w:t>ndies s</w:t>
      </w:r>
      <w:r w:rsidRPr="00D75D2E">
        <w:rPr>
          <w:rFonts w:ascii="Times New Roman" w:hAnsi="Times New Roman"/>
          <w:spacing w:val="2"/>
          <w:sz w:val="24"/>
          <w:szCs w:val="24"/>
        </w:rPr>
        <w:t>u</w:t>
      </w:r>
      <w:r w:rsidRPr="00D75D2E">
        <w:rPr>
          <w:rFonts w:ascii="Times New Roman" w:hAnsi="Times New Roman"/>
          <w:sz w:val="24"/>
          <w:szCs w:val="24"/>
        </w:rPr>
        <w:t xml:space="preserve">r le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w:t>
      </w:r>
      <w:r w:rsidRPr="00D75D2E">
        <w:rPr>
          <w:rFonts w:ascii="Times New Roman" w:hAnsi="Times New Roman"/>
          <w:sz w:val="24"/>
          <w:szCs w:val="24"/>
        </w:rPr>
        <w:t>r.</w:t>
      </w:r>
    </w:p>
    <w:p w14:paraId="57F15218" w14:textId="49E90C19" w:rsidR="000705BE" w:rsidRPr="00D75D2E" w:rsidRDefault="000705BE" w:rsidP="00E737B4">
      <w:pPr>
        <w:widowControl w:val="0"/>
        <w:tabs>
          <w:tab w:val="left" w:pos="0"/>
        </w:tabs>
        <w:spacing w:before="120" w:after="120" w:line="240" w:lineRule="auto"/>
        <w:ind w:right="130"/>
        <w:jc w:val="both"/>
        <w:rPr>
          <w:rFonts w:ascii="Times New Roman" w:hAnsi="Times New Roman"/>
          <w:lang w:eastAsia="fr-FR"/>
        </w:rPr>
      </w:pPr>
      <w:r w:rsidRPr="00D75D2E">
        <w:rPr>
          <w:rFonts w:ascii="Times New Roman" w:hAnsi="Times New Roman"/>
          <w:sz w:val="24"/>
          <w:szCs w:val="24"/>
        </w:rPr>
        <w:t xml:space="preserve">Le tableau </w:t>
      </w:r>
      <w:r w:rsidR="00A67850">
        <w:rPr>
          <w:rFonts w:ascii="Times New Roman" w:hAnsi="Times New Roman"/>
          <w:sz w:val="24"/>
          <w:szCs w:val="24"/>
        </w:rPr>
        <w:t>64</w:t>
      </w:r>
      <w:r w:rsidR="006B7136">
        <w:rPr>
          <w:rFonts w:ascii="Times New Roman" w:hAnsi="Times New Roman"/>
          <w:sz w:val="24"/>
          <w:szCs w:val="24"/>
        </w:rPr>
        <w:t xml:space="preserve"> </w:t>
      </w:r>
      <w:r w:rsidRPr="00D75D2E">
        <w:rPr>
          <w:rFonts w:ascii="Times New Roman" w:hAnsi="Times New Roman"/>
          <w:sz w:val="24"/>
          <w:szCs w:val="24"/>
        </w:rPr>
        <w:t>sera établi pour le suivi des indicateurs clés retenus.</w:t>
      </w:r>
    </w:p>
    <w:p w14:paraId="5FE74E17" w14:textId="0C81F1C7" w:rsidR="000705BE" w:rsidRPr="00BD60DA" w:rsidRDefault="000705BE" w:rsidP="00E737B4">
      <w:pPr>
        <w:tabs>
          <w:tab w:val="left" w:pos="2115"/>
        </w:tabs>
        <w:jc w:val="center"/>
        <w:rPr>
          <w:rFonts w:ascii="Times New Roman" w:hAnsi="Times New Roman"/>
          <w:sz w:val="24"/>
          <w:szCs w:val="24"/>
        </w:rPr>
      </w:pPr>
      <w:bookmarkStart w:id="941" w:name="_Toc41310879"/>
      <w:bookmarkStart w:id="942" w:name="_Toc78602910"/>
      <w:bookmarkStart w:id="943" w:name="_Toc93050326"/>
      <w:r w:rsidRPr="00BD60DA">
        <w:rPr>
          <w:rFonts w:ascii="Times New Roman" w:hAnsi="Times New Roman"/>
          <w:sz w:val="24"/>
          <w:szCs w:val="24"/>
        </w:rPr>
        <w:t xml:space="preserve">Tableau </w:t>
      </w:r>
      <w:r w:rsidRPr="00E737B4">
        <w:rPr>
          <w:sz w:val="24"/>
          <w:szCs w:val="24"/>
        </w:rPr>
        <w:fldChar w:fldCharType="begin"/>
      </w:r>
      <w:r w:rsidRPr="00BD60DA">
        <w:rPr>
          <w:rFonts w:ascii="Times New Roman" w:hAnsi="Times New Roman"/>
          <w:sz w:val="24"/>
          <w:szCs w:val="24"/>
        </w:rPr>
        <w:instrText>SEQ Tableau \* ARABIC</w:instrText>
      </w:r>
      <w:r w:rsidRPr="00E737B4">
        <w:rPr>
          <w:sz w:val="24"/>
          <w:szCs w:val="24"/>
        </w:rPr>
        <w:fldChar w:fldCharType="separate"/>
      </w:r>
      <w:r w:rsidR="00A86929">
        <w:rPr>
          <w:rFonts w:ascii="Times New Roman" w:hAnsi="Times New Roman"/>
          <w:noProof/>
          <w:sz w:val="24"/>
          <w:szCs w:val="24"/>
        </w:rPr>
        <w:t>64</w:t>
      </w:r>
      <w:r w:rsidRPr="00E737B4">
        <w:rPr>
          <w:sz w:val="24"/>
          <w:szCs w:val="24"/>
        </w:rPr>
        <w:fldChar w:fldCharType="end"/>
      </w:r>
      <w:r w:rsidRPr="00BD60DA">
        <w:rPr>
          <w:rFonts w:ascii="Times New Roman" w:hAnsi="Times New Roman"/>
          <w:sz w:val="24"/>
          <w:szCs w:val="24"/>
        </w:rPr>
        <w:t xml:space="preserve"> : suivi des indicateurs clés retenus</w:t>
      </w:r>
      <w:bookmarkEnd w:id="941"/>
      <w:bookmarkEnd w:id="942"/>
      <w:bookmarkEnd w:id="943"/>
    </w:p>
    <w:tbl>
      <w:tblPr>
        <w:tblW w:w="9219" w:type="dxa"/>
        <w:tblLayout w:type="fixed"/>
        <w:tblCellMar>
          <w:left w:w="5" w:type="dxa"/>
          <w:right w:w="5" w:type="dxa"/>
        </w:tblCellMar>
        <w:tblLook w:val="04A0" w:firstRow="1" w:lastRow="0" w:firstColumn="1" w:lastColumn="0" w:noHBand="0" w:noVBand="1"/>
      </w:tblPr>
      <w:tblGrid>
        <w:gridCol w:w="468"/>
        <w:gridCol w:w="2656"/>
        <w:gridCol w:w="1276"/>
        <w:gridCol w:w="4819"/>
      </w:tblGrid>
      <w:tr w:rsidR="00BD5B4B" w:rsidRPr="00420C1B" w14:paraId="1C933193" w14:textId="77777777" w:rsidTr="00215867">
        <w:trPr>
          <w:trHeight w:hRule="exact" w:val="475"/>
          <w:tblHeader/>
        </w:trPr>
        <w:tc>
          <w:tcPr>
            <w:tcW w:w="468"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47ABAD5C" w14:textId="77777777" w:rsidR="00BD5B4B" w:rsidRPr="00420C1B" w:rsidRDefault="00BD5B4B" w:rsidP="00215867">
            <w:pPr>
              <w:widowControl w:val="0"/>
              <w:tabs>
                <w:tab w:val="left" w:pos="0"/>
              </w:tabs>
              <w:spacing w:after="0"/>
              <w:ind w:left="109"/>
              <w:jc w:val="center"/>
              <w:rPr>
                <w:rFonts w:ascii="Times New Roman" w:hAnsi="Times New Roman"/>
                <w:sz w:val="20"/>
                <w:szCs w:val="20"/>
              </w:rPr>
            </w:pPr>
            <w:r w:rsidRPr="00420C1B">
              <w:rPr>
                <w:rFonts w:ascii="Times New Roman" w:hAnsi="Times New Roman"/>
                <w:b/>
                <w:bCs/>
                <w:spacing w:val="-1"/>
                <w:sz w:val="20"/>
                <w:szCs w:val="20"/>
              </w:rPr>
              <w:t>N°</w:t>
            </w:r>
          </w:p>
        </w:tc>
        <w:tc>
          <w:tcPr>
            <w:tcW w:w="2656"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20267692" w14:textId="77777777" w:rsidR="00BD5B4B" w:rsidRPr="00420C1B" w:rsidRDefault="00BD5B4B" w:rsidP="00215867">
            <w:pPr>
              <w:widowControl w:val="0"/>
              <w:tabs>
                <w:tab w:val="left" w:pos="0"/>
              </w:tabs>
              <w:spacing w:after="0"/>
              <w:jc w:val="center"/>
              <w:rPr>
                <w:rFonts w:ascii="Times New Roman" w:hAnsi="Times New Roman"/>
                <w:sz w:val="20"/>
                <w:szCs w:val="20"/>
              </w:rPr>
            </w:pPr>
            <w:r w:rsidRPr="00420C1B">
              <w:rPr>
                <w:rFonts w:ascii="Times New Roman" w:hAnsi="Times New Roman"/>
                <w:b/>
                <w:bCs/>
                <w:spacing w:val="1"/>
                <w:sz w:val="20"/>
                <w:szCs w:val="20"/>
              </w:rPr>
              <w:t>O</w:t>
            </w:r>
            <w:r w:rsidRPr="00420C1B">
              <w:rPr>
                <w:rFonts w:ascii="Times New Roman" w:hAnsi="Times New Roman"/>
                <w:b/>
                <w:bCs/>
                <w:sz w:val="20"/>
                <w:szCs w:val="20"/>
              </w:rPr>
              <w:t>b</w:t>
            </w:r>
            <w:r w:rsidRPr="00420C1B">
              <w:rPr>
                <w:rFonts w:ascii="Times New Roman" w:hAnsi="Times New Roman"/>
                <w:b/>
                <w:bCs/>
                <w:spacing w:val="1"/>
                <w:sz w:val="20"/>
                <w:szCs w:val="20"/>
              </w:rPr>
              <w:t>j</w:t>
            </w:r>
            <w:r w:rsidRPr="00420C1B">
              <w:rPr>
                <w:rFonts w:ascii="Times New Roman" w:hAnsi="Times New Roman"/>
                <w:b/>
                <w:bCs/>
                <w:spacing w:val="-2"/>
                <w:sz w:val="20"/>
                <w:szCs w:val="20"/>
              </w:rPr>
              <w:t>ect</w:t>
            </w:r>
            <w:r w:rsidRPr="00420C1B">
              <w:rPr>
                <w:rFonts w:ascii="Times New Roman" w:hAnsi="Times New Roman"/>
                <w:b/>
                <w:bCs/>
                <w:spacing w:val="-1"/>
                <w:sz w:val="20"/>
                <w:szCs w:val="20"/>
              </w:rPr>
              <w:t>i</w:t>
            </w:r>
            <w:r w:rsidRPr="00420C1B">
              <w:rPr>
                <w:rFonts w:ascii="Times New Roman" w:hAnsi="Times New Roman"/>
                <w:b/>
                <w:bCs/>
                <w:spacing w:val="3"/>
                <w:sz w:val="20"/>
                <w:szCs w:val="20"/>
              </w:rPr>
              <w:t>f</w:t>
            </w:r>
            <w:r w:rsidRPr="00420C1B">
              <w:rPr>
                <w:rFonts w:ascii="Times New Roman" w:hAnsi="Times New Roman"/>
                <w:b/>
                <w:bCs/>
                <w:sz w:val="20"/>
                <w:szCs w:val="20"/>
              </w:rPr>
              <w:t>s</w:t>
            </w:r>
          </w:p>
        </w:tc>
        <w:tc>
          <w:tcPr>
            <w:tcW w:w="1276"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7E9F71D6" w14:textId="77777777" w:rsidR="00BD5B4B" w:rsidRPr="00420C1B" w:rsidRDefault="00BD5B4B" w:rsidP="00215867">
            <w:pPr>
              <w:widowControl w:val="0"/>
              <w:tabs>
                <w:tab w:val="left" w:pos="0"/>
              </w:tabs>
              <w:spacing w:after="0"/>
              <w:ind w:right="609"/>
              <w:jc w:val="center"/>
              <w:rPr>
                <w:rFonts w:ascii="Times New Roman" w:hAnsi="Times New Roman"/>
                <w:sz w:val="20"/>
                <w:szCs w:val="20"/>
              </w:rPr>
            </w:pPr>
            <w:r w:rsidRPr="00420C1B">
              <w:rPr>
                <w:rFonts w:ascii="Times New Roman" w:hAnsi="Times New Roman"/>
                <w:b/>
                <w:bCs/>
                <w:spacing w:val="-1"/>
                <w:sz w:val="20"/>
                <w:szCs w:val="20"/>
              </w:rPr>
              <w:t>C</w:t>
            </w:r>
            <w:r w:rsidRPr="00420C1B">
              <w:rPr>
                <w:rFonts w:ascii="Times New Roman" w:hAnsi="Times New Roman"/>
                <w:b/>
                <w:bCs/>
                <w:spacing w:val="1"/>
                <w:sz w:val="20"/>
                <w:szCs w:val="20"/>
              </w:rPr>
              <w:t>i</w:t>
            </w:r>
            <w:r w:rsidRPr="00420C1B">
              <w:rPr>
                <w:rFonts w:ascii="Times New Roman" w:hAnsi="Times New Roman"/>
                <w:b/>
                <w:bCs/>
                <w:sz w:val="20"/>
                <w:szCs w:val="20"/>
              </w:rPr>
              <w:t>b</w:t>
            </w:r>
            <w:r w:rsidRPr="00420C1B">
              <w:rPr>
                <w:rFonts w:ascii="Times New Roman" w:hAnsi="Times New Roman"/>
                <w:b/>
                <w:bCs/>
                <w:spacing w:val="-1"/>
                <w:sz w:val="20"/>
                <w:szCs w:val="20"/>
              </w:rPr>
              <w:t>l</w:t>
            </w:r>
            <w:r w:rsidRPr="00420C1B">
              <w:rPr>
                <w:rFonts w:ascii="Times New Roman" w:hAnsi="Times New Roman"/>
                <w:b/>
                <w:bCs/>
                <w:sz w:val="20"/>
                <w:szCs w:val="20"/>
              </w:rPr>
              <w:t>es</w:t>
            </w:r>
          </w:p>
        </w:tc>
        <w:tc>
          <w:tcPr>
            <w:tcW w:w="4819" w:type="dxa"/>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45DF24CA" w14:textId="77777777" w:rsidR="00BD5B4B" w:rsidRPr="00420C1B" w:rsidRDefault="00BD5B4B" w:rsidP="00215867">
            <w:pPr>
              <w:widowControl w:val="0"/>
              <w:tabs>
                <w:tab w:val="left" w:pos="0"/>
              </w:tabs>
              <w:spacing w:after="0"/>
              <w:ind w:left="1012"/>
              <w:jc w:val="center"/>
              <w:rPr>
                <w:rFonts w:ascii="Times New Roman" w:hAnsi="Times New Roman"/>
                <w:sz w:val="20"/>
                <w:szCs w:val="20"/>
              </w:rPr>
            </w:pPr>
            <w:r w:rsidRPr="00420C1B">
              <w:rPr>
                <w:rFonts w:ascii="Times New Roman" w:hAnsi="Times New Roman"/>
                <w:b/>
                <w:bCs/>
                <w:sz w:val="20"/>
                <w:szCs w:val="20"/>
              </w:rPr>
              <w:t>Ind</w:t>
            </w:r>
            <w:r w:rsidRPr="00420C1B">
              <w:rPr>
                <w:rFonts w:ascii="Times New Roman" w:hAnsi="Times New Roman"/>
                <w:b/>
                <w:bCs/>
                <w:spacing w:val="1"/>
                <w:sz w:val="20"/>
                <w:szCs w:val="20"/>
              </w:rPr>
              <w:t>i</w:t>
            </w:r>
            <w:r w:rsidRPr="00420C1B">
              <w:rPr>
                <w:rFonts w:ascii="Times New Roman" w:hAnsi="Times New Roman"/>
                <w:b/>
                <w:bCs/>
                <w:sz w:val="20"/>
                <w:szCs w:val="20"/>
              </w:rPr>
              <w:t>c</w:t>
            </w:r>
            <w:r w:rsidRPr="00420C1B">
              <w:rPr>
                <w:rFonts w:ascii="Times New Roman" w:hAnsi="Times New Roman"/>
                <w:b/>
                <w:bCs/>
                <w:spacing w:val="-2"/>
                <w:sz w:val="20"/>
                <w:szCs w:val="20"/>
              </w:rPr>
              <w:t>a</w:t>
            </w:r>
            <w:r w:rsidRPr="00420C1B">
              <w:rPr>
                <w:rFonts w:ascii="Times New Roman" w:hAnsi="Times New Roman"/>
                <w:b/>
                <w:bCs/>
                <w:spacing w:val="1"/>
                <w:sz w:val="20"/>
                <w:szCs w:val="20"/>
              </w:rPr>
              <w:t>t</w:t>
            </w:r>
            <w:r w:rsidRPr="00420C1B">
              <w:rPr>
                <w:rFonts w:ascii="Times New Roman" w:hAnsi="Times New Roman"/>
                <w:b/>
                <w:bCs/>
                <w:sz w:val="20"/>
                <w:szCs w:val="20"/>
              </w:rPr>
              <w:t>eu</w:t>
            </w:r>
            <w:r w:rsidRPr="00420C1B">
              <w:rPr>
                <w:rFonts w:ascii="Times New Roman" w:hAnsi="Times New Roman"/>
                <w:b/>
                <w:bCs/>
                <w:spacing w:val="-4"/>
                <w:sz w:val="20"/>
                <w:szCs w:val="20"/>
              </w:rPr>
              <w:t>r</w:t>
            </w:r>
            <w:r w:rsidRPr="00420C1B">
              <w:rPr>
                <w:rFonts w:ascii="Times New Roman" w:hAnsi="Times New Roman"/>
                <w:b/>
                <w:bCs/>
                <w:sz w:val="20"/>
                <w:szCs w:val="20"/>
              </w:rPr>
              <w:t>s</w:t>
            </w:r>
          </w:p>
        </w:tc>
      </w:tr>
      <w:tr w:rsidR="00D75D2E" w:rsidRPr="00420C1B" w14:paraId="007DDF42" w14:textId="77777777" w:rsidTr="00215867">
        <w:trPr>
          <w:trHeight w:hRule="exact" w:val="283"/>
        </w:trPr>
        <w:tc>
          <w:tcPr>
            <w:tcW w:w="468" w:type="dxa"/>
            <w:tcBorders>
              <w:top w:val="single" w:sz="4" w:space="0" w:color="000000"/>
              <w:left w:val="single" w:sz="4" w:space="0" w:color="000000"/>
              <w:bottom w:val="single" w:sz="4" w:space="0" w:color="000000"/>
              <w:right w:val="single" w:sz="4" w:space="0" w:color="000000"/>
            </w:tcBorders>
          </w:tcPr>
          <w:p w14:paraId="55E1A639"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w:t>
            </w:r>
          </w:p>
        </w:tc>
        <w:tc>
          <w:tcPr>
            <w:tcW w:w="8751" w:type="dxa"/>
            <w:gridSpan w:val="3"/>
            <w:tcBorders>
              <w:top w:val="single" w:sz="4" w:space="0" w:color="000000"/>
              <w:left w:val="single" w:sz="4" w:space="0" w:color="000000"/>
              <w:bottom w:val="single" w:sz="4" w:space="0" w:color="000000"/>
              <w:right w:val="single" w:sz="4" w:space="0" w:color="000000"/>
            </w:tcBorders>
            <w:hideMark/>
          </w:tcPr>
          <w:p w14:paraId="4CB2C008" w14:textId="77777777" w:rsidR="000705BE" w:rsidRPr="00420C1B" w:rsidRDefault="000705BE">
            <w:pPr>
              <w:widowControl w:val="0"/>
              <w:tabs>
                <w:tab w:val="left" w:pos="0"/>
              </w:tabs>
              <w:spacing w:after="0"/>
              <w:ind w:left="3777" w:right="3770"/>
              <w:jc w:val="both"/>
              <w:rPr>
                <w:rFonts w:ascii="Times New Roman" w:hAnsi="Times New Roman"/>
                <w:sz w:val="20"/>
                <w:szCs w:val="20"/>
              </w:rPr>
            </w:pPr>
            <w:r w:rsidRPr="00420C1B">
              <w:rPr>
                <w:rFonts w:ascii="Times New Roman" w:hAnsi="Times New Roman"/>
                <w:b/>
                <w:bCs/>
                <w:sz w:val="20"/>
                <w:szCs w:val="20"/>
              </w:rPr>
              <w:t>San</w:t>
            </w:r>
            <w:r w:rsidRPr="00420C1B">
              <w:rPr>
                <w:rFonts w:ascii="Times New Roman" w:hAnsi="Times New Roman"/>
                <w:b/>
                <w:bCs/>
                <w:spacing w:val="1"/>
                <w:sz w:val="20"/>
                <w:szCs w:val="20"/>
              </w:rPr>
              <w:t>t</w:t>
            </w:r>
            <w:r w:rsidRPr="00420C1B">
              <w:rPr>
                <w:rFonts w:ascii="Times New Roman" w:hAnsi="Times New Roman"/>
                <w:b/>
                <w:bCs/>
                <w:sz w:val="20"/>
                <w:szCs w:val="20"/>
              </w:rPr>
              <w:t xml:space="preserve">é </w:t>
            </w:r>
            <w:r w:rsidRPr="00420C1B">
              <w:rPr>
                <w:rFonts w:ascii="Times New Roman" w:hAnsi="Times New Roman"/>
                <w:b/>
                <w:bCs/>
                <w:spacing w:val="-4"/>
                <w:sz w:val="20"/>
                <w:szCs w:val="20"/>
              </w:rPr>
              <w:t>e</w:t>
            </w:r>
            <w:r w:rsidRPr="00420C1B">
              <w:rPr>
                <w:rFonts w:ascii="Times New Roman" w:hAnsi="Times New Roman"/>
                <w:b/>
                <w:bCs/>
                <w:sz w:val="20"/>
                <w:szCs w:val="20"/>
              </w:rPr>
              <w:t xml:space="preserve">t </w:t>
            </w:r>
            <w:r w:rsidRPr="00420C1B">
              <w:rPr>
                <w:rFonts w:ascii="Times New Roman" w:hAnsi="Times New Roman"/>
                <w:b/>
                <w:bCs/>
                <w:spacing w:val="-2"/>
                <w:sz w:val="20"/>
                <w:szCs w:val="20"/>
              </w:rPr>
              <w:t>s</w:t>
            </w:r>
            <w:r w:rsidRPr="00420C1B">
              <w:rPr>
                <w:rFonts w:ascii="Times New Roman" w:hAnsi="Times New Roman"/>
                <w:b/>
                <w:bCs/>
                <w:sz w:val="20"/>
                <w:szCs w:val="20"/>
              </w:rPr>
              <w:t>écu</w:t>
            </w:r>
            <w:r w:rsidRPr="00420C1B">
              <w:rPr>
                <w:rFonts w:ascii="Times New Roman" w:hAnsi="Times New Roman"/>
                <w:b/>
                <w:bCs/>
                <w:spacing w:val="-2"/>
                <w:sz w:val="20"/>
                <w:szCs w:val="20"/>
              </w:rPr>
              <w:t>r</w:t>
            </w:r>
            <w:r w:rsidRPr="00420C1B">
              <w:rPr>
                <w:rFonts w:ascii="Times New Roman" w:hAnsi="Times New Roman"/>
                <w:b/>
                <w:bCs/>
                <w:spacing w:val="-1"/>
                <w:sz w:val="20"/>
                <w:szCs w:val="20"/>
              </w:rPr>
              <w:t>i</w:t>
            </w:r>
            <w:r w:rsidRPr="00420C1B">
              <w:rPr>
                <w:rFonts w:ascii="Times New Roman" w:hAnsi="Times New Roman"/>
                <w:b/>
                <w:bCs/>
                <w:spacing w:val="-2"/>
                <w:sz w:val="20"/>
                <w:szCs w:val="20"/>
              </w:rPr>
              <w:t>t</w:t>
            </w:r>
            <w:r w:rsidRPr="00420C1B">
              <w:rPr>
                <w:rFonts w:ascii="Times New Roman" w:hAnsi="Times New Roman"/>
                <w:b/>
                <w:bCs/>
                <w:sz w:val="20"/>
                <w:szCs w:val="20"/>
              </w:rPr>
              <w:t>é</w:t>
            </w:r>
          </w:p>
        </w:tc>
      </w:tr>
      <w:tr w:rsidR="00D75D2E" w:rsidRPr="00420C1B" w14:paraId="0E09E6C2" w14:textId="77777777" w:rsidTr="00215867">
        <w:trPr>
          <w:trHeight w:hRule="exact" w:val="548"/>
        </w:trPr>
        <w:tc>
          <w:tcPr>
            <w:tcW w:w="468" w:type="dxa"/>
            <w:tcBorders>
              <w:top w:val="single" w:sz="4" w:space="0" w:color="000000"/>
              <w:left w:val="single" w:sz="4" w:space="0" w:color="000000"/>
              <w:bottom w:val="single" w:sz="4" w:space="0" w:color="000000"/>
              <w:right w:val="single" w:sz="4" w:space="0" w:color="000000"/>
            </w:tcBorders>
          </w:tcPr>
          <w:p w14:paraId="77EA8D1D"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1.1</w:t>
            </w:r>
          </w:p>
        </w:tc>
        <w:tc>
          <w:tcPr>
            <w:tcW w:w="2656" w:type="dxa"/>
            <w:tcBorders>
              <w:top w:val="single" w:sz="4" w:space="0" w:color="000000"/>
              <w:left w:val="single" w:sz="4" w:space="0" w:color="000000"/>
              <w:bottom w:val="single" w:sz="4" w:space="0" w:color="000000"/>
              <w:right w:val="single" w:sz="4" w:space="0" w:color="000000"/>
            </w:tcBorders>
            <w:hideMark/>
          </w:tcPr>
          <w:p w14:paraId="7C347CD5"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z w:val="20"/>
                <w:szCs w:val="20"/>
              </w:rPr>
              <w:t>e d</w:t>
            </w:r>
            <w:r w:rsidRPr="00420C1B">
              <w:rPr>
                <w:rFonts w:ascii="Times New Roman" w:hAnsi="Times New Roman"/>
                <w:spacing w:val="-2"/>
                <w:sz w:val="20"/>
                <w:szCs w:val="20"/>
              </w:rPr>
              <w:t>e</w:t>
            </w:r>
            <w:r w:rsidRPr="00420C1B">
              <w:rPr>
                <w:rFonts w:ascii="Times New Roman" w:hAnsi="Times New Roman"/>
                <w:sz w:val="20"/>
                <w:szCs w:val="20"/>
              </w:rPr>
              <w:t xml:space="preserve">s </w:t>
            </w:r>
            <w:r w:rsidRPr="00420C1B">
              <w:rPr>
                <w:rFonts w:ascii="Times New Roman" w:hAnsi="Times New Roman"/>
                <w:spacing w:val="1"/>
                <w:sz w:val="20"/>
                <w:szCs w:val="20"/>
              </w:rPr>
              <w:t>i</w:t>
            </w:r>
            <w:r w:rsidRPr="00420C1B">
              <w:rPr>
                <w:rFonts w:ascii="Times New Roman" w:hAnsi="Times New Roman"/>
                <w:spacing w:val="-2"/>
                <w:sz w:val="20"/>
                <w:szCs w:val="20"/>
              </w:rPr>
              <w:t>n</w:t>
            </w:r>
            <w:r w:rsidRPr="00420C1B">
              <w:rPr>
                <w:rFonts w:ascii="Times New Roman" w:hAnsi="Times New Roman"/>
                <w:spacing w:val="1"/>
                <w:sz w:val="20"/>
                <w:szCs w:val="20"/>
              </w:rPr>
              <w:t>f</w:t>
            </w:r>
            <w:r w:rsidRPr="00420C1B">
              <w:rPr>
                <w:rFonts w:ascii="Times New Roman" w:hAnsi="Times New Roman"/>
                <w:sz w:val="20"/>
                <w:szCs w:val="20"/>
              </w:rPr>
              <w:t>e</w:t>
            </w:r>
            <w:r w:rsidRPr="00420C1B">
              <w:rPr>
                <w:rFonts w:ascii="Times New Roman" w:hAnsi="Times New Roman"/>
                <w:spacing w:val="-2"/>
                <w:sz w:val="20"/>
                <w:szCs w:val="20"/>
              </w:rPr>
              <w:t>c</w:t>
            </w:r>
            <w:r w:rsidRPr="00420C1B">
              <w:rPr>
                <w:rFonts w:ascii="Times New Roman" w:hAnsi="Times New Roman"/>
                <w:spacing w:val="-1"/>
                <w:sz w:val="20"/>
                <w:szCs w:val="20"/>
              </w:rPr>
              <w:t>t</w:t>
            </w:r>
            <w:r w:rsidRPr="00420C1B">
              <w:rPr>
                <w:rFonts w:ascii="Times New Roman" w:hAnsi="Times New Roman"/>
                <w:spacing w:val="1"/>
                <w:sz w:val="20"/>
                <w:szCs w:val="20"/>
              </w:rPr>
              <w:t>i</w:t>
            </w:r>
            <w:r w:rsidRPr="00420C1B">
              <w:rPr>
                <w:rFonts w:ascii="Times New Roman" w:hAnsi="Times New Roman"/>
                <w:spacing w:val="-2"/>
                <w:sz w:val="20"/>
                <w:szCs w:val="20"/>
              </w:rPr>
              <w:t>o</w:t>
            </w:r>
            <w:r w:rsidRPr="00420C1B">
              <w:rPr>
                <w:rFonts w:ascii="Times New Roman" w:hAnsi="Times New Roman"/>
                <w:sz w:val="20"/>
                <w:szCs w:val="20"/>
              </w:rPr>
              <w:t xml:space="preserve">ns </w:t>
            </w:r>
            <w:r w:rsidRPr="00420C1B">
              <w:rPr>
                <w:rFonts w:ascii="Times New Roman" w:hAnsi="Times New Roman"/>
                <w:spacing w:val="1"/>
                <w:sz w:val="20"/>
                <w:szCs w:val="20"/>
              </w:rPr>
              <w:t>r</w:t>
            </w:r>
            <w:r w:rsidRPr="00420C1B">
              <w:rPr>
                <w:rFonts w:ascii="Times New Roman" w:hAnsi="Times New Roman"/>
                <w:sz w:val="20"/>
                <w:szCs w:val="20"/>
              </w:rPr>
              <w:t>e</w:t>
            </w:r>
            <w:r w:rsidRPr="00420C1B">
              <w:rPr>
                <w:rFonts w:ascii="Times New Roman" w:hAnsi="Times New Roman"/>
                <w:spacing w:val="1"/>
                <w:sz w:val="20"/>
                <w:szCs w:val="20"/>
              </w:rPr>
              <w:t>s</w:t>
            </w:r>
            <w:r w:rsidRPr="00420C1B">
              <w:rPr>
                <w:rFonts w:ascii="Times New Roman" w:hAnsi="Times New Roman"/>
                <w:spacing w:val="-5"/>
                <w:sz w:val="20"/>
                <w:szCs w:val="20"/>
              </w:rPr>
              <w:t>p</w:t>
            </w:r>
            <w:r w:rsidRPr="00420C1B">
              <w:rPr>
                <w:rFonts w:ascii="Times New Roman" w:hAnsi="Times New Roman"/>
                <w:spacing w:val="1"/>
                <w:sz w:val="20"/>
                <w:szCs w:val="20"/>
              </w:rPr>
              <w:t>ir</w:t>
            </w:r>
            <w:r w:rsidRPr="00420C1B">
              <w:rPr>
                <w:rFonts w:ascii="Times New Roman" w:hAnsi="Times New Roman"/>
                <w:spacing w:val="-2"/>
                <w:sz w:val="20"/>
                <w:szCs w:val="20"/>
              </w:rPr>
              <w:t>a</w:t>
            </w:r>
            <w:r w:rsidRPr="00420C1B">
              <w:rPr>
                <w:rFonts w:ascii="Times New Roman" w:hAnsi="Times New Roman"/>
                <w:spacing w:val="1"/>
                <w:sz w:val="20"/>
                <w:szCs w:val="20"/>
              </w:rPr>
              <w:t>t</w:t>
            </w:r>
            <w:r w:rsidRPr="00420C1B">
              <w:rPr>
                <w:rFonts w:ascii="Times New Roman" w:hAnsi="Times New Roman"/>
                <w:spacing w:val="-2"/>
                <w:sz w:val="20"/>
                <w:szCs w:val="20"/>
              </w:rPr>
              <w:t>o</w:t>
            </w:r>
            <w:r w:rsidRPr="00420C1B">
              <w:rPr>
                <w:rFonts w:ascii="Times New Roman" w:hAnsi="Times New Roman"/>
                <w:spacing w:val="1"/>
                <w:sz w:val="20"/>
                <w:szCs w:val="20"/>
              </w:rPr>
              <w:t>ir</w:t>
            </w:r>
            <w:r w:rsidRPr="00420C1B">
              <w:rPr>
                <w:rFonts w:ascii="Times New Roman" w:hAnsi="Times New Roman"/>
                <w:spacing w:val="-2"/>
                <w:sz w:val="20"/>
                <w:szCs w:val="20"/>
              </w:rPr>
              <w:t>e</w:t>
            </w:r>
            <w:r w:rsidRPr="00420C1B">
              <w:rPr>
                <w:rFonts w:ascii="Times New Roman" w:hAnsi="Times New Roman"/>
                <w:sz w:val="20"/>
                <w:szCs w:val="20"/>
              </w:rPr>
              <w:t xml:space="preserve">s </w:t>
            </w:r>
            <w:r w:rsidRPr="00420C1B">
              <w:rPr>
                <w:rFonts w:ascii="Times New Roman" w:hAnsi="Times New Roman"/>
                <w:spacing w:val="1"/>
                <w:sz w:val="20"/>
                <w:szCs w:val="20"/>
              </w:rPr>
              <w:t>l</w:t>
            </w:r>
            <w:r w:rsidRPr="00420C1B">
              <w:rPr>
                <w:rFonts w:ascii="Times New Roman" w:hAnsi="Times New Roman"/>
                <w:spacing w:val="-1"/>
                <w:sz w:val="20"/>
                <w:szCs w:val="20"/>
              </w:rPr>
              <w:t>i</w:t>
            </w:r>
            <w:r w:rsidRPr="00420C1B">
              <w:rPr>
                <w:rFonts w:ascii="Times New Roman" w:hAnsi="Times New Roman"/>
                <w:sz w:val="20"/>
                <w:szCs w:val="20"/>
              </w:rPr>
              <w:t>é</w:t>
            </w:r>
            <w:r w:rsidRPr="00420C1B">
              <w:rPr>
                <w:rFonts w:ascii="Times New Roman" w:hAnsi="Times New Roman"/>
                <w:spacing w:val="-2"/>
                <w:sz w:val="20"/>
                <w:szCs w:val="20"/>
              </w:rPr>
              <w:t>e</w:t>
            </w:r>
            <w:r w:rsidRPr="00420C1B">
              <w:rPr>
                <w:rFonts w:ascii="Times New Roman" w:hAnsi="Times New Roman"/>
                <w:sz w:val="20"/>
                <w:szCs w:val="20"/>
              </w:rPr>
              <w:t>s aux po</w:t>
            </w:r>
            <w:r w:rsidRPr="00420C1B">
              <w:rPr>
                <w:rFonts w:ascii="Times New Roman" w:hAnsi="Times New Roman"/>
                <w:spacing w:val="-2"/>
                <w:sz w:val="20"/>
                <w:szCs w:val="20"/>
              </w:rPr>
              <w:t>u</w:t>
            </w:r>
            <w:r w:rsidRPr="00420C1B">
              <w:rPr>
                <w:rFonts w:ascii="Times New Roman" w:hAnsi="Times New Roman"/>
                <w:spacing w:val="1"/>
                <w:sz w:val="20"/>
                <w:szCs w:val="20"/>
              </w:rPr>
              <w:t>s</w:t>
            </w:r>
            <w:r w:rsidRPr="00420C1B">
              <w:rPr>
                <w:rFonts w:ascii="Times New Roman" w:hAnsi="Times New Roman"/>
                <w:spacing w:val="-2"/>
                <w:sz w:val="20"/>
                <w:szCs w:val="20"/>
              </w:rPr>
              <w:t>s</w:t>
            </w:r>
            <w:r w:rsidRPr="00420C1B">
              <w:rPr>
                <w:rFonts w:ascii="Times New Roman" w:hAnsi="Times New Roman"/>
                <w:spacing w:val="-1"/>
                <w:sz w:val="20"/>
                <w:szCs w:val="20"/>
              </w:rPr>
              <w:t>i</w:t>
            </w:r>
            <w:r w:rsidRPr="00420C1B">
              <w:rPr>
                <w:rFonts w:ascii="Times New Roman" w:hAnsi="Times New Roman"/>
                <w:sz w:val="20"/>
                <w:szCs w:val="20"/>
              </w:rPr>
              <w:t>è</w:t>
            </w:r>
            <w:r w:rsidRPr="00420C1B">
              <w:rPr>
                <w:rFonts w:ascii="Times New Roman" w:hAnsi="Times New Roman"/>
                <w:spacing w:val="1"/>
                <w:sz w:val="20"/>
                <w:szCs w:val="20"/>
              </w:rPr>
              <w:t>r</w:t>
            </w:r>
            <w:r w:rsidRPr="00420C1B">
              <w:rPr>
                <w:rFonts w:ascii="Times New Roman" w:hAnsi="Times New Roman"/>
                <w:spacing w:val="-2"/>
                <w:sz w:val="20"/>
                <w:szCs w:val="20"/>
              </w:rPr>
              <w:t>e</w:t>
            </w:r>
            <w:r w:rsidRPr="00420C1B">
              <w:rPr>
                <w:rFonts w:ascii="Times New Roman" w:hAnsi="Times New Roman"/>
                <w:sz w:val="20"/>
                <w:szCs w:val="20"/>
              </w:rPr>
              <w:t>s</w:t>
            </w:r>
          </w:p>
        </w:tc>
        <w:tc>
          <w:tcPr>
            <w:tcW w:w="1276" w:type="dxa"/>
            <w:tcBorders>
              <w:top w:val="single" w:sz="4" w:space="0" w:color="000000"/>
              <w:left w:val="single" w:sz="4" w:space="0" w:color="000000"/>
              <w:bottom w:val="single" w:sz="4" w:space="0" w:color="000000"/>
              <w:right w:val="single" w:sz="4" w:space="0" w:color="000000"/>
            </w:tcBorders>
            <w:hideMark/>
          </w:tcPr>
          <w:p w14:paraId="04A5E0F5"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4819" w:type="dxa"/>
            <w:tcBorders>
              <w:top w:val="single" w:sz="4" w:space="0" w:color="000000"/>
              <w:left w:val="single" w:sz="4" w:space="0" w:color="000000"/>
              <w:bottom w:val="single" w:sz="4" w:space="0" w:color="000000"/>
              <w:right w:val="single" w:sz="4" w:space="0" w:color="000000"/>
            </w:tcBorders>
            <w:hideMark/>
          </w:tcPr>
          <w:p w14:paraId="6AB3C7EE"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p</w:t>
            </w:r>
            <w:r w:rsidRPr="00420C1B">
              <w:rPr>
                <w:rFonts w:ascii="Times New Roman" w:hAnsi="Times New Roman"/>
                <w:spacing w:val="1"/>
                <w:sz w:val="20"/>
                <w:szCs w:val="20"/>
              </w:rPr>
              <w:t>e</w:t>
            </w:r>
            <w:r w:rsidRPr="00420C1B">
              <w:rPr>
                <w:rFonts w:ascii="Times New Roman" w:hAnsi="Times New Roman"/>
                <w:sz w:val="20"/>
                <w:szCs w:val="20"/>
              </w:rPr>
              <w:t>rs</w:t>
            </w:r>
            <w:r w:rsidRPr="00420C1B">
              <w:rPr>
                <w:rFonts w:ascii="Times New Roman" w:hAnsi="Times New Roman"/>
                <w:spacing w:val="-2"/>
                <w:sz w:val="20"/>
                <w:szCs w:val="20"/>
              </w:rPr>
              <w:t>o</w:t>
            </w:r>
            <w:r w:rsidRPr="00420C1B">
              <w:rPr>
                <w:rFonts w:ascii="Times New Roman" w:hAnsi="Times New Roman"/>
                <w:sz w:val="20"/>
                <w:szCs w:val="20"/>
              </w:rPr>
              <w:t>n</w:t>
            </w:r>
            <w:r w:rsidRPr="00420C1B">
              <w:rPr>
                <w:rFonts w:ascii="Times New Roman" w:hAnsi="Times New Roman"/>
                <w:spacing w:val="-2"/>
                <w:sz w:val="20"/>
                <w:szCs w:val="20"/>
              </w:rPr>
              <w:t>n</w:t>
            </w:r>
            <w:r w:rsidRPr="00420C1B">
              <w:rPr>
                <w:rFonts w:ascii="Times New Roman" w:hAnsi="Times New Roman"/>
                <w:sz w:val="20"/>
                <w:szCs w:val="20"/>
              </w:rPr>
              <w:t>es</w:t>
            </w:r>
            <w:r w:rsidRPr="00420C1B">
              <w:rPr>
                <w:rFonts w:ascii="Times New Roman" w:hAnsi="Times New Roman"/>
                <w:spacing w:val="1"/>
                <w:sz w:val="20"/>
                <w:szCs w:val="20"/>
              </w:rPr>
              <w:t xml:space="preserve"> i</w:t>
            </w:r>
            <w:r w:rsidRPr="00420C1B">
              <w:rPr>
                <w:rFonts w:ascii="Times New Roman" w:hAnsi="Times New Roman"/>
                <w:spacing w:val="-2"/>
                <w:sz w:val="20"/>
                <w:szCs w:val="20"/>
              </w:rPr>
              <w:t>nf</w:t>
            </w:r>
            <w:r w:rsidRPr="00420C1B">
              <w:rPr>
                <w:rFonts w:ascii="Times New Roman" w:hAnsi="Times New Roman"/>
                <w:sz w:val="20"/>
                <w:szCs w:val="20"/>
              </w:rPr>
              <w:t>e</w:t>
            </w:r>
            <w:r w:rsidRPr="00420C1B">
              <w:rPr>
                <w:rFonts w:ascii="Times New Roman" w:hAnsi="Times New Roman"/>
                <w:spacing w:val="-4"/>
                <w:sz w:val="20"/>
                <w:szCs w:val="20"/>
              </w:rPr>
              <w:t>c</w:t>
            </w:r>
            <w:r w:rsidRPr="00420C1B">
              <w:rPr>
                <w:rFonts w:ascii="Times New Roman" w:hAnsi="Times New Roman"/>
                <w:spacing w:val="1"/>
                <w:sz w:val="20"/>
                <w:szCs w:val="20"/>
              </w:rPr>
              <w:t>t</w:t>
            </w:r>
            <w:r w:rsidRPr="00420C1B">
              <w:rPr>
                <w:rFonts w:ascii="Times New Roman" w:hAnsi="Times New Roman"/>
                <w:sz w:val="20"/>
                <w:szCs w:val="20"/>
              </w:rPr>
              <w:t xml:space="preserve">ées par </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z w:val="20"/>
                <w:szCs w:val="20"/>
              </w:rPr>
              <w:t>s</w:t>
            </w:r>
          </w:p>
        </w:tc>
      </w:tr>
      <w:tr w:rsidR="00D75D2E" w:rsidRPr="00420C1B" w14:paraId="090B3902" w14:textId="77777777" w:rsidTr="00215867">
        <w:trPr>
          <w:trHeight w:hRule="exact" w:val="583"/>
        </w:trPr>
        <w:tc>
          <w:tcPr>
            <w:tcW w:w="468" w:type="dxa"/>
            <w:tcBorders>
              <w:top w:val="single" w:sz="4" w:space="0" w:color="000000"/>
              <w:left w:val="single" w:sz="4" w:space="0" w:color="000000"/>
              <w:bottom w:val="single" w:sz="4" w:space="0" w:color="000000"/>
              <w:right w:val="single" w:sz="4" w:space="0" w:color="000000"/>
            </w:tcBorders>
          </w:tcPr>
          <w:p w14:paraId="2CE6462B"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1.2</w:t>
            </w:r>
          </w:p>
        </w:tc>
        <w:tc>
          <w:tcPr>
            <w:tcW w:w="2656" w:type="dxa"/>
            <w:tcBorders>
              <w:top w:val="single" w:sz="4" w:space="0" w:color="000000"/>
              <w:left w:val="single" w:sz="4" w:space="0" w:color="000000"/>
              <w:bottom w:val="single" w:sz="4" w:space="0" w:color="000000"/>
              <w:right w:val="single" w:sz="4" w:space="0" w:color="000000"/>
            </w:tcBorders>
            <w:hideMark/>
          </w:tcPr>
          <w:p w14:paraId="191EA11C"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z w:val="20"/>
                <w:szCs w:val="20"/>
              </w:rPr>
              <w:t xml:space="preserve">e </w:t>
            </w:r>
            <w:r w:rsidRPr="00420C1B">
              <w:rPr>
                <w:rFonts w:ascii="Times New Roman" w:hAnsi="Times New Roman"/>
                <w:spacing w:val="-2"/>
                <w:sz w:val="20"/>
                <w:szCs w:val="20"/>
              </w:rPr>
              <w:t>d</w:t>
            </w:r>
            <w:r w:rsidRPr="00420C1B">
              <w:rPr>
                <w:rFonts w:ascii="Times New Roman" w:hAnsi="Times New Roman"/>
                <w:sz w:val="20"/>
                <w:szCs w:val="20"/>
              </w:rPr>
              <w:t>es</w:t>
            </w:r>
            <w:r w:rsidRPr="00420C1B">
              <w:rPr>
                <w:rFonts w:ascii="Times New Roman" w:hAnsi="Times New Roman"/>
                <w:spacing w:val="-2"/>
                <w:sz w:val="20"/>
                <w:szCs w:val="20"/>
              </w:rPr>
              <w:t xml:space="preserve"> r</w:t>
            </w:r>
            <w:r w:rsidRPr="00420C1B">
              <w:rPr>
                <w:rFonts w:ascii="Times New Roman" w:hAnsi="Times New Roman"/>
                <w:spacing w:val="1"/>
                <w:sz w:val="20"/>
                <w:szCs w:val="20"/>
              </w:rPr>
              <w:t>i</w:t>
            </w:r>
            <w:r w:rsidRPr="00420C1B">
              <w:rPr>
                <w:rFonts w:ascii="Times New Roman" w:hAnsi="Times New Roman"/>
                <w:sz w:val="20"/>
                <w:szCs w:val="20"/>
              </w:rPr>
              <w:t>sq</w:t>
            </w:r>
            <w:r w:rsidRPr="00420C1B">
              <w:rPr>
                <w:rFonts w:ascii="Times New Roman" w:hAnsi="Times New Roman"/>
                <w:spacing w:val="-2"/>
                <w:sz w:val="20"/>
                <w:szCs w:val="20"/>
              </w:rPr>
              <w:t>ue</w:t>
            </w:r>
            <w:r w:rsidRPr="00420C1B">
              <w:rPr>
                <w:rFonts w:ascii="Times New Roman" w:hAnsi="Times New Roman"/>
                <w:sz w:val="20"/>
                <w:szCs w:val="20"/>
              </w:rPr>
              <w:t>s c</w:t>
            </w:r>
            <w:r w:rsidRPr="00420C1B">
              <w:rPr>
                <w:rFonts w:ascii="Times New Roman" w:hAnsi="Times New Roman"/>
                <w:spacing w:val="-2"/>
                <w:sz w:val="20"/>
                <w:szCs w:val="20"/>
              </w:rPr>
              <w:t>h</w:t>
            </w:r>
            <w:r w:rsidRPr="00420C1B">
              <w:rPr>
                <w:rFonts w:ascii="Times New Roman" w:hAnsi="Times New Roman"/>
                <w:spacing w:val="1"/>
                <w:sz w:val="20"/>
                <w:szCs w:val="20"/>
              </w:rPr>
              <w:t>i</w:t>
            </w:r>
            <w:r w:rsidRPr="00420C1B">
              <w:rPr>
                <w:rFonts w:ascii="Times New Roman" w:hAnsi="Times New Roman"/>
                <w:spacing w:val="-9"/>
                <w:sz w:val="20"/>
                <w:szCs w:val="20"/>
              </w:rPr>
              <w:t>m</w:t>
            </w:r>
            <w:r w:rsidRPr="00420C1B">
              <w:rPr>
                <w:rFonts w:ascii="Times New Roman" w:hAnsi="Times New Roman"/>
                <w:spacing w:val="1"/>
                <w:sz w:val="20"/>
                <w:szCs w:val="20"/>
              </w:rPr>
              <w:t>i</w:t>
            </w:r>
            <w:r w:rsidRPr="00420C1B">
              <w:rPr>
                <w:rFonts w:ascii="Times New Roman" w:hAnsi="Times New Roman"/>
                <w:sz w:val="20"/>
                <w:szCs w:val="20"/>
              </w:rPr>
              <w:t xml:space="preserve">ques </w:t>
            </w:r>
            <w:r w:rsidRPr="00420C1B">
              <w:rPr>
                <w:rFonts w:ascii="Times New Roman" w:hAnsi="Times New Roman"/>
                <w:spacing w:val="-1"/>
                <w:sz w:val="20"/>
                <w:szCs w:val="20"/>
              </w:rPr>
              <w:t>l</w:t>
            </w:r>
            <w:r w:rsidRPr="00420C1B">
              <w:rPr>
                <w:rFonts w:ascii="Times New Roman" w:hAnsi="Times New Roman"/>
                <w:spacing w:val="1"/>
                <w:sz w:val="20"/>
                <w:szCs w:val="20"/>
              </w:rPr>
              <w:t>i</w:t>
            </w:r>
            <w:r w:rsidRPr="00420C1B">
              <w:rPr>
                <w:rFonts w:ascii="Times New Roman" w:hAnsi="Times New Roman"/>
                <w:spacing w:val="-2"/>
                <w:sz w:val="20"/>
                <w:szCs w:val="20"/>
              </w:rPr>
              <w:t>é</w:t>
            </w:r>
            <w:r w:rsidRPr="00420C1B">
              <w:rPr>
                <w:rFonts w:ascii="Times New Roman" w:hAnsi="Times New Roman"/>
                <w:sz w:val="20"/>
                <w:szCs w:val="20"/>
              </w:rPr>
              <w:t>s aux p</w:t>
            </w:r>
            <w:r w:rsidRPr="00420C1B">
              <w:rPr>
                <w:rFonts w:ascii="Times New Roman" w:hAnsi="Times New Roman"/>
                <w:spacing w:val="1"/>
                <w:sz w:val="20"/>
                <w:szCs w:val="20"/>
              </w:rPr>
              <w:t>r</w:t>
            </w:r>
            <w:r w:rsidRPr="00420C1B">
              <w:rPr>
                <w:rFonts w:ascii="Times New Roman" w:hAnsi="Times New Roman"/>
                <w:sz w:val="20"/>
                <w:szCs w:val="20"/>
              </w:rPr>
              <w:t>od</w:t>
            </w:r>
            <w:r w:rsidRPr="00420C1B">
              <w:rPr>
                <w:rFonts w:ascii="Times New Roman" w:hAnsi="Times New Roman"/>
                <w:spacing w:val="-2"/>
                <w:sz w:val="20"/>
                <w:szCs w:val="20"/>
              </w:rPr>
              <w:t>u</w:t>
            </w:r>
            <w:r w:rsidRPr="00420C1B">
              <w:rPr>
                <w:rFonts w:ascii="Times New Roman" w:hAnsi="Times New Roman"/>
                <w:spacing w:val="-1"/>
                <w:sz w:val="20"/>
                <w:szCs w:val="20"/>
              </w:rPr>
              <w:t>i</w:t>
            </w:r>
            <w:r w:rsidRPr="00420C1B">
              <w:rPr>
                <w:rFonts w:ascii="Times New Roman" w:hAnsi="Times New Roman"/>
                <w:spacing w:val="1"/>
                <w:sz w:val="20"/>
                <w:szCs w:val="20"/>
              </w:rPr>
              <w:t>t</w:t>
            </w:r>
            <w:r w:rsidRPr="00420C1B">
              <w:rPr>
                <w:rFonts w:ascii="Times New Roman" w:hAnsi="Times New Roman"/>
                <w:sz w:val="20"/>
                <w:szCs w:val="20"/>
              </w:rPr>
              <w:t xml:space="preserve">s </w:t>
            </w:r>
            <w:r w:rsidRPr="00420C1B">
              <w:rPr>
                <w:rFonts w:ascii="Times New Roman" w:hAnsi="Times New Roman"/>
                <w:spacing w:val="-6"/>
                <w:sz w:val="20"/>
                <w:szCs w:val="20"/>
              </w:rPr>
              <w:t>m</w:t>
            </w:r>
            <w:r w:rsidRPr="00420C1B">
              <w:rPr>
                <w:rFonts w:ascii="Times New Roman" w:hAnsi="Times New Roman"/>
                <w:sz w:val="20"/>
                <w:szCs w:val="20"/>
              </w:rPr>
              <w:t>an</w:t>
            </w:r>
            <w:r w:rsidRPr="00420C1B">
              <w:rPr>
                <w:rFonts w:ascii="Times New Roman" w:hAnsi="Times New Roman"/>
                <w:spacing w:val="1"/>
                <w:sz w:val="20"/>
                <w:szCs w:val="20"/>
              </w:rPr>
              <w:t>i</w:t>
            </w:r>
            <w:r w:rsidRPr="00420C1B">
              <w:rPr>
                <w:rFonts w:ascii="Times New Roman" w:hAnsi="Times New Roman"/>
                <w:sz w:val="20"/>
                <w:szCs w:val="20"/>
              </w:rPr>
              <w:t>pu</w:t>
            </w:r>
            <w:r w:rsidRPr="00420C1B">
              <w:rPr>
                <w:rFonts w:ascii="Times New Roman" w:hAnsi="Times New Roman"/>
                <w:spacing w:val="1"/>
                <w:sz w:val="20"/>
                <w:szCs w:val="20"/>
              </w:rPr>
              <w:t>l</w:t>
            </w:r>
            <w:r w:rsidRPr="00420C1B">
              <w:rPr>
                <w:rFonts w:ascii="Times New Roman" w:hAnsi="Times New Roman"/>
                <w:spacing w:val="-2"/>
                <w:sz w:val="20"/>
                <w:szCs w:val="20"/>
              </w:rPr>
              <w:t>é</w:t>
            </w:r>
            <w:r w:rsidRPr="00420C1B">
              <w:rPr>
                <w:rFonts w:ascii="Times New Roman" w:hAnsi="Times New Roman"/>
                <w:sz w:val="20"/>
                <w:szCs w:val="20"/>
              </w:rPr>
              <w:t>s</w:t>
            </w:r>
          </w:p>
        </w:tc>
        <w:tc>
          <w:tcPr>
            <w:tcW w:w="1276" w:type="dxa"/>
            <w:tcBorders>
              <w:top w:val="single" w:sz="4" w:space="0" w:color="000000"/>
              <w:left w:val="single" w:sz="4" w:space="0" w:color="000000"/>
              <w:bottom w:val="single" w:sz="4" w:space="0" w:color="000000"/>
              <w:right w:val="single" w:sz="4" w:space="0" w:color="000000"/>
            </w:tcBorders>
            <w:hideMark/>
          </w:tcPr>
          <w:p w14:paraId="47177F92"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4819" w:type="dxa"/>
            <w:tcBorders>
              <w:top w:val="single" w:sz="4" w:space="0" w:color="000000"/>
              <w:left w:val="single" w:sz="4" w:space="0" w:color="000000"/>
              <w:bottom w:val="single" w:sz="4" w:space="0" w:color="000000"/>
              <w:right w:val="single" w:sz="4" w:space="0" w:color="000000"/>
            </w:tcBorders>
            <w:hideMark/>
          </w:tcPr>
          <w:p w14:paraId="6B85DA0E"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p</w:t>
            </w:r>
            <w:r w:rsidRPr="00420C1B">
              <w:rPr>
                <w:rFonts w:ascii="Times New Roman" w:hAnsi="Times New Roman"/>
                <w:spacing w:val="1"/>
                <w:sz w:val="20"/>
                <w:szCs w:val="20"/>
              </w:rPr>
              <w:t>e</w:t>
            </w:r>
            <w:r w:rsidRPr="00420C1B">
              <w:rPr>
                <w:rFonts w:ascii="Times New Roman" w:hAnsi="Times New Roman"/>
                <w:sz w:val="20"/>
                <w:szCs w:val="20"/>
              </w:rPr>
              <w:t>rs</w:t>
            </w:r>
            <w:r w:rsidRPr="00420C1B">
              <w:rPr>
                <w:rFonts w:ascii="Times New Roman" w:hAnsi="Times New Roman"/>
                <w:spacing w:val="-2"/>
                <w:sz w:val="20"/>
                <w:szCs w:val="20"/>
              </w:rPr>
              <w:t>o</w:t>
            </w:r>
            <w:r w:rsidRPr="00420C1B">
              <w:rPr>
                <w:rFonts w:ascii="Times New Roman" w:hAnsi="Times New Roman"/>
                <w:sz w:val="20"/>
                <w:szCs w:val="20"/>
              </w:rPr>
              <w:t>n</w:t>
            </w:r>
            <w:r w:rsidRPr="00420C1B">
              <w:rPr>
                <w:rFonts w:ascii="Times New Roman" w:hAnsi="Times New Roman"/>
                <w:spacing w:val="-2"/>
                <w:sz w:val="20"/>
                <w:szCs w:val="20"/>
              </w:rPr>
              <w:t>n</w:t>
            </w:r>
            <w:r w:rsidRPr="00420C1B">
              <w:rPr>
                <w:rFonts w:ascii="Times New Roman" w:hAnsi="Times New Roman"/>
                <w:sz w:val="20"/>
                <w:szCs w:val="20"/>
              </w:rPr>
              <w:t>es</w:t>
            </w:r>
            <w:r w:rsidRPr="00420C1B">
              <w:rPr>
                <w:rFonts w:ascii="Times New Roman" w:hAnsi="Times New Roman"/>
                <w:spacing w:val="1"/>
                <w:sz w:val="20"/>
                <w:szCs w:val="20"/>
              </w:rPr>
              <w:t xml:space="preserve"> i</w:t>
            </w:r>
            <w:r w:rsidRPr="00420C1B">
              <w:rPr>
                <w:rFonts w:ascii="Times New Roman" w:hAnsi="Times New Roman"/>
                <w:spacing w:val="-2"/>
                <w:sz w:val="20"/>
                <w:szCs w:val="20"/>
              </w:rPr>
              <w:t>nf</w:t>
            </w:r>
            <w:r w:rsidRPr="00420C1B">
              <w:rPr>
                <w:rFonts w:ascii="Times New Roman" w:hAnsi="Times New Roman"/>
                <w:sz w:val="20"/>
                <w:szCs w:val="20"/>
              </w:rPr>
              <w:t>e</w:t>
            </w:r>
            <w:r w:rsidRPr="00420C1B">
              <w:rPr>
                <w:rFonts w:ascii="Times New Roman" w:hAnsi="Times New Roman"/>
                <w:spacing w:val="-4"/>
                <w:sz w:val="20"/>
                <w:szCs w:val="20"/>
              </w:rPr>
              <w:t>c</w:t>
            </w:r>
            <w:r w:rsidRPr="00420C1B">
              <w:rPr>
                <w:rFonts w:ascii="Times New Roman" w:hAnsi="Times New Roman"/>
                <w:spacing w:val="1"/>
                <w:sz w:val="20"/>
                <w:szCs w:val="20"/>
              </w:rPr>
              <w:t>t</w:t>
            </w:r>
            <w:r w:rsidRPr="00420C1B">
              <w:rPr>
                <w:rFonts w:ascii="Times New Roman" w:hAnsi="Times New Roman"/>
                <w:sz w:val="20"/>
                <w:szCs w:val="20"/>
              </w:rPr>
              <w:t xml:space="preserve">ées par </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z w:val="20"/>
                <w:szCs w:val="20"/>
              </w:rPr>
              <w:t>s</w:t>
            </w:r>
          </w:p>
        </w:tc>
      </w:tr>
      <w:tr w:rsidR="00D75D2E" w:rsidRPr="00420C1B" w14:paraId="5AEA3437" w14:textId="77777777" w:rsidTr="00215867">
        <w:trPr>
          <w:trHeight w:hRule="exact" w:val="564"/>
        </w:trPr>
        <w:tc>
          <w:tcPr>
            <w:tcW w:w="468" w:type="dxa"/>
            <w:tcBorders>
              <w:top w:val="single" w:sz="4" w:space="0" w:color="000000"/>
              <w:left w:val="single" w:sz="4" w:space="0" w:color="000000"/>
              <w:bottom w:val="single" w:sz="4" w:space="0" w:color="000000"/>
              <w:right w:val="single" w:sz="4" w:space="0" w:color="000000"/>
            </w:tcBorders>
          </w:tcPr>
          <w:p w14:paraId="0E96C730"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1.3</w:t>
            </w:r>
          </w:p>
        </w:tc>
        <w:tc>
          <w:tcPr>
            <w:tcW w:w="2656" w:type="dxa"/>
            <w:tcBorders>
              <w:top w:val="single" w:sz="4" w:space="0" w:color="000000"/>
              <w:left w:val="single" w:sz="4" w:space="0" w:color="000000"/>
              <w:bottom w:val="single" w:sz="4" w:space="0" w:color="000000"/>
              <w:right w:val="single" w:sz="4" w:space="0" w:color="000000"/>
            </w:tcBorders>
            <w:hideMark/>
          </w:tcPr>
          <w:p w14:paraId="49643E86"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r</w:t>
            </w:r>
            <w:r w:rsidRPr="00420C1B">
              <w:rPr>
                <w:rFonts w:ascii="Times New Roman" w:hAnsi="Times New Roman"/>
                <w:sz w:val="20"/>
                <w:szCs w:val="20"/>
              </w:rPr>
              <w:t>é</w:t>
            </w:r>
            <w:r w:rsidRPr="00420C1B">
              <w:rPr>
                <w:rFonts w:ascii="Times New Roman" w:hAnsi="Times New Roman"/>
                <w:spacing w:val="-5"/>
                <w:sz w:val="20"/>
                <w:szCs w:val="20"/>
              </w:rPr>
              <w:t>v</w:t>
            </w:r>
            <w:r w:rsidRPr="00420C1B">
              <w:rPr>
                <w:rFonts w:ascii="Times New Roman" w:hAnsi="Times New Roman"/>
                <w:sz w:val="20"/>
                <w:szCs w:val="20"/>
              </w:rPr>
              <w:t>en</w:t>
            </w:r>
            <w:r w:rsidRPr="00420C1B">
              <w:rPr>
                <w:rFonts w:ascii="Times New Roman" w:hAnsi="Times New Roman"/>
                <w:spacing w:val="1"/>
                <w:sz w:val="20"/>
                <w:szCs w:val="20"/>
              </w:rPr>
              <w:t>ti</w:t>
            </w:r>
            <w:r w:rsidRPr="00420C1B">
              <w:rPr>
                <w:rFonts w:ascii="Times New Roman" w:hAnsi="Times New Roman"/>
                <w:sz w:val="20"/>
                <w:szCs w:val="20"/>
              </w:rPr>
              <w:t xml:space="preserve">on </w:t>
            </w:r>
            <w:r w:rsidRPr="00420C1B">
              <w:rPr>
                <w:rFonts w:ascii="Times New Roman" w:hAnsi="Times New Roman"/>
                <w:spacing w:val="-2"/>
                <w:sz w:val="20"/>
                <w:szCs w:val="20"/>
              </w:rPr>
              <w:t>d</w:t>
            </w:r>
            <w:r w:rsidRPr="00420C1B">
              <w:rPr>
                <w:rFonts w:ascii="Times New Roman" w:hAnsi="Times New Roman"/>
                <w:sz w:val="20"/>
                <w:szCs w:val="20"/>
              </w:rPr>
              <w:t xml:space="preserve">e </w:t>
            </w:r>
            <w:r w:rsidRPr="00420C1B">
              <w:rPr>
                <w:rFonts w:ascii="Times New Roman" w:hAnsi="Times New Roman"/>
                <w:spacing w:val="1"/>
                <w:sz w:val="20"/>
                <w:szCs w:val="20"/>
              </w:rPr>
              <w:t>l</w:t>
            </w:r>
            <w:r w:rsidRPr="00420C1B">
              <w:rPr>
                <w:rFonts w:ascii="Times New Roman" w:hAnsi="Times New Roman"/>
                <w:sz w:val="20"/>
                <w:szCs w:val="20"/>
              </w:rPr>
              <w:t>a p</w:t>
            </w:r>
            <w:r w:rsidRPr="00420C1B">
              <w:rPr>
                <w:rFonts w:ascii="Times New Roman" w:hAnsi="Times New Roman"/>
                <w:spacing w:val="1"/>
                <w:sz w:val="20"/>
                <w:szCs w:val="20"/>
              </w:rPr>
              <w:t>r</w:t>
            </w:r>
            <w:r w:rsidRPr="00420C1B">
              <w:rPr>
                <w:rFonts w:ascii="Times New Roman" w:hAnsi="Times New Roman"/>
                <w:spacing w:val="-2"/>
                <w:sz w:val="20"/>
                <w:szCs w:val="20"/>
              </w:rPr>
              <w:t>o</w:t>
            </w:r>
            <w:r w:rsidRPr="00420C1B">
              <w:rPr>
                <w:rFonts w:ascii="Times New Roman" w:hAnsi="Times New Roman"/>
                <w:spacing w:val="-1"/>
                <w:sz w:val="20"/>
                <w:szCs w:val="20"/>
              </w:rPr>
              <w:t>l</w:t>
            </w:r>
            <w:r w:rsidRPr="00420C1B">
              <w:rPr>
                <w:rFonts w:ascii="Times New Roman" w:hAnsi="Times New Roman"/>
                <w:spacing w:val="1"/>
                <w:sz w:val="20"/>
                <w:szCs w:val="20"/>
              </w:rPr>
              <w:t>i</w:t>
            </w:r>
            <w:r w:rsidRPr="00420C1B">
              <w:rPr>
                <w:rFonts w:ascii="Times New Roman" w:hAnsi="Times New Roman"/>
                <w:spacing w:val="-2"/>
                <w:sz w:val="20"/>
                <w:szCs w:val="20"/>
              </w:rPr>
              <w:t>fé</w:t>
            </w:r>
            <w:r w:rsidRPr="00420C1B">
              <w:rPr>
                <w:rFonts w:ascii="Times New Roman" w:hAnsi="Times New Roman"/>
                <w:spacing w:val="1"/>
                <w:sz w:val="20"/>
                <w:szCs w:val="20"/>
              </w:rPr>
              <w:t>r</w:t>
            </w:r>
            <w:r w:rsidRPr="00420C1B">
              <w:rPr>
                <w:rFonts w:ascii="Times New Roman" w:hAnsi="Times New Roman"/>
                <w:spacing w:val="-2"/>
                <w:sz w:val="20"/>
                <w:szCs w:val="20"/>
              </w:rPr>
              <w:t>a</w:t>
            </w:r>
            <w:r w:rsidRPr="00420C1B">
              <w:rPr>
                <w:rFonts w:ascii="Times New Roman" w:hAnsi="Times New Roman"/>
                <w:spacing w:val="-1"/>
                <w:sz w:val="20"/>
                <w:szCs w:val="20"/>
              </w:rPr>
              <w:t>ti</w:t>
            </w:r>
            <w:r w:rsidRPr="00420C1B">
              <w:rPr>
                <w:rFonts w:ascii="Times New Roman" w:hAnsi="Times New Roman"/>
                <w:sz w:val="20"/>
                <w:szCs w:val="20"/>
              </w:rPr>
              <w:t>on des</w:t>
            </w:r>
            <w:r w:rsidRPr="00420C1B">
              <w:rPr>
                <w:rFonts w:ascii="Times New Roman" w:hAnsi="Times New Roman"/>
                <w:spacing w:val="-1"/>
                <w:sz w:val="20"/>
                <w:szCs w:val="20"/>
              </w:rPr>
              <w:t xml:space="preserve"> i</w:t>
            </w:r>
            <w:r w:rsidRPr="00420C1B">
              <w:rPr>
                <w:rFonts w:ascii="Times New Roman" w:hAnsi="Times New Roman"/>
                <w:sz w:val="20"/>
                <w:szCs w:val="20"/>
              </w:rPr>
              <w:t>n</w:t>
            </w:r>
            <w:r w:rsidRPr="00420C1B">
              <w:rPr>
                <w:rFonts w:ascii="Times New Roman" w:hAnsi="Times New Roman"/>
                <w:spacing w:val="-2"/>
                <w:sz w:val="20"/>
                <w:szCs w:val="20"/>
              </w:rPr>
              <w:t>f</w:t>
            </w:r>
            <w:r w:rsidRPr="00420C1B">
              <w:rPr>
                <w:rFonts w:ascii="Times New Roman" w:hAnsi="Times New Roman"/>
                <w:sz w:val="20"/>
                <w:szCs w:val="20"/>
              </w:rPr>
              <w:t>e</w:t>
            </w:r>
            <w:r w:rsidRPr="00420C1B">
              <w:rPr>
                <w:rFonts w:ascii="Times New Roman" w:hAnsi="Times New Roman"/>
                <w:spacing w:val="-2"/>
                <w:sz w:val="20"/>
                <w:szCs w:val="20"/>
              </w:rPr>
              <w:t>c</w:t>
            </w:r>
            <w:r w:rsidRPr="00420C1B">
              <w:rPr>
                <w:rFonts w:ascii="Times New Roman" w:hAnsi="Times New Roman"/>
                <w:spacing w:val="-1"/>
                <w:sz w:val="20"/>
                <w:szCs w:val="20"/>
              </w:rPr>
              <w:t>t</w:t>
            </w:r>
            <w:r w:rsidRPr="00420C1B">
              <w:rPr>
                <w:rFonts w:ascii="Times New Roman" w:hAnsi="Times New Roman"/>
                <w:spacing w:val="1"/>
                <w:sz w:val="20"/>
                <w:szCs w:val="20"/>
              </w:rPr>
              <w:t>i</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s</w:t>
            </w:r>
          </w:p>
          <w:p w14:paraId="25BF7C77"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pacing w:val="1"/>
                <w:sz w:val="20"/>
                <w:szCs w:val="20"/>
              </w:rPr>
              <w:t>V</w:t>
            </w:r>
            <w:r w:rsidRPr="00420C1B">
              <w:rPr>
                <w:rFonts w:ascii="Times New Roman" w:hAnsi="Times New Roman"/>
                <w:spacing w:val="-9"/>
                <w:sz w:val="20"/>
                <w:szCs w:val="20"/>
              </w:rPr>
              <w:t>I</w:t>
            </w:r>
            <w:r w:rsidRPr="00420C1B">
              <w:rPr>
                <w:rFonts w:ascii="Times New Roman" w:hAnsi="Times New Roman"/>
                <w:spacing w:val="-1"/>
                <w:sz w:val="20"/>
                <w:szCs w:val="20"/>
              </w:rPr>
              <w:t>H</w:t>
            </w:r>
            <w:r w:rsidRPr="00420C1B">
              <w:rPr>
                <w:rFonts w:ascii="Times New Roman" w:hAnsi="Times New Roman"/>
                <w:spacing w:val="1"/>
                <w:sz w:val="20"/>
                <w:szCs w:val="20"/>
              </w:rPr>
              <w:t>/</w:t>
            </w:r>
            <w:r w:rsidRPr="00420C1B">
              <w:rPr>
                <w:rFonts w:ascii="Times New Roman" w:hAnsi="Times New Roman"/>
                <w:spacing w:val="4"/>
                <w:sz w:val="20"/>
                <w:szCs w:val="20"/>
              </w:rPr>
              <w:t>S</w:t>
            </w:r>
            <w:r w:rsidRPr="00420C1B">
              <w:rPr>
                <w:rFonts w:ascii="Times New Roman" w:hAnsi="Times New Roman"/>
                <w:spacing w:val="-6"/>
                <w:sz w:val="20"/>
                <w:szCs w:val="20"/>
              </w:rPr>
              <w:t>I</w:t>
            </w:r>
            <w:r w:rsidRPr="00420C1B">
              <w:rPr>
                <w:rFonts w:ascii="Times New Roman" w:hAnsi="Times New Roman"/>
                <w:spacing w:val="-1"/>
                <w:sz w:val="20"/>
                <w:szCs w:val="20"/>
              </w:rPr>
              <w:t>D</w:t>
            </w:r>
            <w:r w:rsidRPr="00420C1B">
              <w:rPr>
                <w:rFonts w:ascii="Times New Roman" w:hAnsi="Times New Roman"/>
                <w:sz w:val="20"/>
                <w:szCs w:val="20"/>
              </w:rPr>
              <w:t xml:space="preserve">A sur et à </w:t>
            </w:r>
            <w:r w:rsidRPr="00420C1B">
              <w:rPr>
                <w:rFonts w:ascii="Times New Roman" w:hAnsi="Times New Roman"/>
                <w:spacing w:val="-2"/>
                <w:sz w:val="20"/>
                <w:szCs w:val="20"/>
              </w:rPr>
              <w:t>pa</w:t>
            </w:r>
            <w:r w:rsidRPr="00420C1B">
              <w:rPr>
                <w:rFonts w:ascii="Times New Roman" w:hAnsi="Times New Roman"/>
                <w:spacing w:val="1"/>
                <w:sz w:val="20"/>
                <w:szCs w:val="20"/>
              </w:rPr>
              <w:t>r</w:t>
            </w:r>
            <w:r w:rsidRPr="00420C1B">
              <w:rPr>
                <w:rFonts w:ascii="Times New Roman" w:hAnsi="Times New Roman"/>
                <w:spacing w:val="-1"/>
                <w:sz w:val="20"/>
                <w:szCs w:val="20"/>
              </w:rPr>
              <w:t>ti</w:t>
            </w:r>
            <w:r w:rsidRPr="00420C1B">
              <w:rPr>
                <w:rFonts w:ascii="Times New Roman" w:hAnsi="Times New Roman"/>
                <w:sz w:val="20"/>
                <w:szCs w:val="20"/>
              </w:rPr>
              <w:t xml:space="preserve">r </w:t>
            </w:r>
            <w:r w:rsidRPr="00420C1B">
              <w:rPr>
                <w:rFonts w:ascii="Times New Roman" w:hAnsi="Times New Roman"/>
                <w:spacing w:val="-2"/>
                <w:sz w:val="20"/>
                <w:szCs w:val="20"/>
              </w:rPr>
              <w:t>d</w:t>
            </w:r>
            <w:r w:rsidRPr="00420C1B">
              <w:rPr>
                <w:rFonts w:ascii="Times New Roman" w:hAnsi="Times New Roman"/>
                <w:sz w:val="20"/>
                <w:szCs w:val="20"/>
              </w:rPr>
              <w:t xml:space="preserve">u </w:t>
            </w:r>
            <w:r w:rsidRPr="00420C1B">
              <w:rPr>
                <w:rFonts w:ascii="Times New Roman" w:hAnsi="Times New Roman"/>
                <w:spacing w:val="1"/>
                <w:sz w:val="20"/>
                <w:szCs w:val="20"/>
              </w:rPr>
              <w:t>si</w:t>
            </w:r>
            <w:r w:rsidRPr="00420C1B">
              <w:rPr>
                <w:rFonts w:ascii="Times New Roman" w:hAnsi="Times New Roman"/>
                <w:spacing w:val="-1"/>
                <w:sz w:val="20"/>
                <w:szCs w:val="20"/>
              </w:rPr>
              <w:t>t</w:t>
            </w:r>
            <w:r w:rsidRPr="00420C1B">
              <w:rPr>
                <w:rFonts w:ascii="Times New Roman" w:hAnsi="Times New Roman"/>
                <w:sz w:val="20"/>
                <w:szCs w:val="20"/>
              </w:rPr>
              <w:t>e</w:t>
            </w:r>
          </w:p>
        </w:tc>
        <w:tc>
          <w:tcPr>
            <w:tcW w:w="1276" w:type="dxa"/>
            <w:tcBorders>
              <w:top w:val="single" w:sz="4" w:space="0" w:color="000000"/>
              <w:left w:val="single" w:sz="4" w:space="0" w:color="000000"/>
              <w:bottom w:val="single" w:sz="4" w:space="0" w:color="000000"/>
              <w:right w:val="single" w:sz="4" w:space="0" w:color="000000"/>
            </w:tcBorders>
            <w:hideMark/>
          </w:tcPr>
          <w:p w14:paraId="3E169648"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4819" w:type="dxa"/>
            <w:tcBorders>
              <w:top w:val="single" w:sz="4" w:space="0" w:color="000000"/>
              <w:left w:val="single" w:sz="4" w:space="0" w:color="000000"/>
              <w:bottom w:val="single" w:sz="4" w:space="0" w:color="000000"/>
              <w:right w:val="single" w:sz="4" w:space="0" w:color="000000"/>
            </w:tcBorders>
          </w:tcPr>
          <w:p w14:paraId="039012B7" w14:textId="77777777" w:rsidR="000705BE" w:rsidRPr="00420C1B" w:rsidRDefault="000705BE">
            <w:pPr>
              <w:widowControl w:val="0"/>
              <w:tabs>
                <w:tab w:val="left" w:pos="0"/>
              </w:tabs>
              <w:spacing w:after="0"/>
              <w:ind w:left="105" w:right="986"/>
              <w:jc w:val="both"/>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 xml:space="preserve">e de </w:t>
            </w:r>
            <w:r w:rsidRPr="00420C1B">
              <w:rPr>
                <w:rFonts w:ascii="Times New Roman" w:hAnsi="Times New Roman"/>
                <w:spacing w:val="1"/>
                <w:sz w:val="20"/>
                <w:szCs w:val="20"/>
              </w:rPr>
              <w:t>s</w:t>
            </w:r>
            <w:r w:rsidRPr="00420C1B">
              <w:rPr>
                <w:rFonts w:ascii="Times New Roman" w:hAnsi="Times New Roman"/>
                <w:sz w:val="20"/>
                <w:szCs w:val="20"/>
              </w:rPr>
              <w:t>éa</w:t>
            </w:r>
            <w:r w:rsidRPr="00420C1B">
              <w:rPr>
                <w:rFonts w:ascii="Times New Roman" w:hAnsi="Times New Roman"/>
                <w:spacing w:val="-2"/>
                <w:sz w:val="20"/>
                <w:szCs w:val="20"/>
              </w:rPr>
              <w:t>n</w:t>
            </w:r>
            <w:r w:rsidRPr="00420C1B">
              <w:rPr>
                <w:rFonts w:ascii="Times New Roman" w:hAnsi="Times New Roman"/>
                <w:sz w:val="20"/>
                <w:szCs w:val="20"/>
              </w:rPr>
              <w:t xml:space="preserve">ces de </w:t>
            </w:r>
            <w:r w:rsidRPr="00420C1B">
              <w:rPr>
                <w:rFonts w:ascii="Times New Roman" w:hAnsi="Times New Roman"/>
                <w:spacing w:val="1"/>
                <w:sz w:val="20"/>
                <w:szCs w:val="20"/>
              </w:rPr>
              <w:t>s</w:t>
            </w:r>
            <w:r w:rsidRPr="00420C1B">
              <w:rPr>
                <w:rFonts w:ascii="Times New Roman" w:hAnsi="Times New Roman"/>
                <w:sz w:val="20"/>
                <w:szCs w:val="20"/>
              </w:rPr>
              <w:t>en</w:t>
            </w:r>
            <w:r w:rsidRPr="00420C1B">
              <w:rPr>
                <w:rFonts w:ascii="Times New Roman" w:hAnsi="Times New Roman"/>
                <w:spacing w:val="-2"/>
                <w:sz w:val="20"/>
                <w:szCs w:val="20"/>
              </w:rPr>
              <w:t>s</w:t>
            </w:r>
            <w:r w:rsidRPr="00420C1B">
              <w:rPr>
                <w:rFonts w:ascii="Times New Roman" w:hAnsi="Times New Roman"/>
                <w:spacing w:val="1"/>
                <w:sz w:val="20"/>
                <w:szCs w:val="20"/>
              </w:rPr>
              <w:t>i</w:t>
            </w:r>
            <w:r w:rsidRPr="00420C1B">
              <w:rPr>
                <w:rFonts w:ascii="Times New Roman" w:hAnsi="Times New Roman"/>
                <w:spacing w:val="-2"/>
                <w:sz w:val="20"/>
                <w:szCs w:val="20"/>
              </w:rPr>
              <w:t>b</w:t>
            </w:r>
            <w:r w:rsidRPr="00420C1B">
              <w:rPr>
                <w:rFonts w:ascii="Times New Roman" w:hAnsi="Times New Roman"/>
                <w:spacing w:val="1"/>
                <w:sz w:val="20"/>
                <w:szCs w:val="20"/>
              </w:rPr>
              <w:t>i</w:t>
            </w:r>
            <w:r w:rsidRPr="00420C1B">
              <w:rPr>
                <w:rFonts w:ascii="Times New Roman" w:hAnsi="Times New Roman"/>
                <w:spacing w:val="-1"/>
                <w:sz w:val="20"/>
                <w:szCs w:val="20"/>
              </w:rPr>
              <w:t>l</w:t>
            </w:r>
            <w:r w:rsidRPr="00420C1B">
              <w:rPr>
                <w:rFonts w:ascii="Times New Roman" w:hAnsi="Times New Roman"/>
                <w:spacing w:val="1"/>
                <w:sz w:val="20"/>
                <w:szCs w:val="20"/>
              </w:rPr>
              <w:t>is</w:t>
            </w:r>
            <w:r w:rsidRPr="00420C1B">
              <w:rPr>
                <w:rFonts w:ascii="Times New Roman" w:hAnsi="Times New Roman"/>
                <w:spacing w:val="-1"/>
                <w:sz w:val="20"/>
                <w:szCs w:val="20"/>
              </w:rPr>
              <w:t>at</w:t>
            </w:r>
            <w:r w:rsidRPr="00420C1B">
              <w:rPr>
                <w:rFonts w:ascii="Times New Roman" w:hAnsi="Times New Roman"/>
                <w:spacing w:val="1"/>
                <w:sz w:val="20"/>
                <w:szCs w:val="20"/>
              </w:rPr>
              <w:t>i</w:t>
            </w:r>
            <w:r w:rsidRPr="00420C1B">
              <w:rPr>
                <w:rFonts w:ascii="Times New Roman" w:hAnsi="Times New Roman"/>
                <w:sz w:val="20"/>
                <w:szCs w:val="20"/>
              </w:rPr>
              <w:t>on</w:t>
            </w:r>
          </w:p>
          <w:p w14:paraId="492A9FB1" w14:textId="77777777" w:rsidR="000705BE" w:rsidRPr="00420C1B" w:rsidRDefault="000705BE">
            <w:pPr>
              <w:widowControl w:val="0"/>
              <w:tabs>
                <w:tab w:val="left" w:pos="0"/>
              </w:tabs>
              <w:spacing w:after="0"/>
              <w:ind w:left="105" w:right="986"/>
              <w:jc w:val="both"/>
              <w:rPr>
                <w:rFonts w:ascii="Times New Roman" w:hAnsi="Times New Roman"/>
                <w:sz w:val="20"/>
                <w:szCs w:val="20"/>
              </w:rPr>
            </w:pPr>
          </w:p>
          <w:p w14:paraId="033D1F66" w14:textId="77777777" w:rsidR="000705BE" w:rsidRPr="00420C1B" w:rsidRDefault="000705BE">
            <w:pPr>
              <w:widowControl w:val="0"/>
              <w:tabs>
                <w:tab w:val="left" w:pos="0"/>
              </w:tabs>
              <w:spacing w:after="0"/>
              <w:ind w:left="105" w:right="986"/>
              <w:jc w:val="both"/>
              <w:rPr>
                <w:rFonts w:ascii="Times New Roman" w:hAnsi="Times New Roman"/>
                <w:sz w:val="20"/>
                <w:szCs w:val="20"/>
              </w:rPr>
            </w:pPr>
          </w:p>
        </w:tc>
      </w:tr>
      <w:tr w:rsidR="00D75D2E" w:rsidRPr="00420C1B" w14:paraId="05835D5E" w14:textId="77777777" w:rsidTr="00215867">
        <w:trPr>
          <w:trHeight w:hRule="exact" w:val="314"/>
        </w:trPr>
        <w:tc>
          <w:tcPr>
            <w:tcW w:w="468" w:type="dxa"/>
            <w:tcBorders>
              <w:top w:val="single" w:sz="4" w:space="0" w:color="000000"/>
              <w:left w:val="single" w:sz="4" w:space="0" w:color="000000"/>
              <w:bottom w:val="single" w:sz="4" w:space="0" w:color="000000"/>
              <w:right w:val="single" w:sz="4" w:space="0" w:color="000000"/>
            </w:tcBorders>
          </w:tcPr>
          <w:p w14:paraId="65E2099B"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1.4</w:t>
            </w:r>
          </w:p>
        </w:tc>
        <w:tc>
          <w:tcPr>
            <w:tcW w:w="2656" w:type="dxa"/>
            <w:tcBorders>
              <w:top w:val="single" w:sz="4" w:space="0" w:color="000000"/>
              <w:left w:val="single" w:sz="4" w:space="0" w:color="000000"/>
              <w:bottom w:val="single" w:sz="4" w:space="0" w:color="000000"/>
              <w:right w:val="single" w:sz="4" w:space="0" w:color="000000"/>
            </w:tcBorders>
            <w:hideMark/>
          </w:tcPr>
          <w:p w14:paraId="2B97782B"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z w:val="20"/>
                <w:szCs w:val="20"/>
              </w:rPr>
              <w:t>Prévention de la contamination de la Covid-19</w:t>
            </w:r>
          </w:p>
        </w:tc>
        <w:tc>
          <w:tcPr>
            <w:tcW w:w="1276" w:type="dxa"/>
            <w:tcBorders>
              <w:top w:val="single" w:sz="4" w:space="0" w:color="000000"/>
              <w:left w:val="single" w:sz="4" w:space="0" w:color="000000"/>
              <w:bottom w:val="single" w:sz="4" w:space="0" w:color="000000"/>
              <w:right w:val="single" w:sz="4" w:space="0" w:color="000000"/>
            </w:tcBorders>
            <w:hideMark/>
          </w:tcPr>
          <w:p w14:paraId="6CE9E2EF"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Personnel</w:t>
            </w:r>
          </w:p>
        </w:tc>
        <w:tc>
          <w:tcPr>
            <w:tcW w:w="4819" w:type="dxa"/>
            <w:tcBorders>
              <w:top w:val="single" w:sz="4" w:space="0" w:color="000000"/>
              <w:left w:val="single" w:sz="4" w:space="0" w:color="000000"/>
              <w:bottom w:val="single" w:sz="4" w:space="0" w:color="000000"/>
              <w:right w:val="single" w:sz="4" w:space="0" w:color="000000"/>
            </w:tcBorders>
            <w:hideMark/>
          </w:tcPr>
          <w:p w14:paraId="63B3D871" w14:textId="77777777" w:rsidR="000705BE" w:rsidRPr="00420C1B" w:rsidRDefault="000705BE">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Nombre d’EPI disponible</w:t>
            </w:r>
          </w:p>
        </w:tc>
      </w:tr>
      <w:tr w:rsidR="00D75D2E" w:rsidRPr="00420C1B" w14:paraId="5249C888" w14:textId="77777777" w:rsidTr="00215867">
        <w:trPr>
          <w:trHeight w:hRule="exact" w:val="2009"/>
        </w:trPr>
        <w:tc>
          <w:tcPr>
            <w:tcW w:w="468" w:type="dxa"/>
            <w:tcBorders>
              <w:top w:val="single" w:sz="4" w:space="0" w:color="000000"/>
              <w:left w:val="single" w:sz="4" w:space="0" w:color="000000"/>
              <w:bottom w:val="single" w:sz="4" w:space="0" w:color="000000"/>
              <w:right w:val="single" w:sz="4" w:space="0" w:color="000000"/>
            </w:tcBorders>
          </w:tcPr>
          <w:p w14:paraId="1BA18B5C"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1.5</w:t>
            </w:r>
          </w:p>
        </w:tc>
        <w:tc>
          <w:tcPr>
            <w:tcW w:w="2656" w:type="dxa"/>
            <w:tcBorders>
              <w:top w:val="single" w:sz="4" w:space="0" w:color="000000"/>
              <w:left w:val="single" w:sz="4" w:space="0" w:color="000000"/>
              <w:bottom w:val="single" w:sz="4" w:space="0" w:color="000000"/>
              <w:right w:val="single" w:sz="4" w:space="0" w:color="000000"/>
            </w:tcBorders>
            <w:hideMark/>
          </w:tcPr>
          <w:p w14:paraId="1F6C0258" w14:textId="77777777" w:rsidR="000705BE" w:rsidRPr="00420C1B" w:rsidRDefault="004E5302">
            <w:pPr>
              <w:widowControl w:val="0"/>
              <w:tabs>
                <w:tab w:val="left" w:pos="0"/>
              </w:tabs>
              <w:spacing w:after="0"/>
              <w:ind w:left="105"/>
              <w:jc w:val="both"/>
              <w:rPr>
                <w:rFonts w:ascii="Times New Roman" w:hAnsi="Times New Roman"/>
                <w:sz w:val="20"/>
                <w:szCs w:val="20"/>
              </w:rPr>
            </w:pPr>
            <w:r w:rsidRPr="00420C1B">
              <w:rPr>
                <w:rFonts w:ascii="Times New Roman" w:hAnsi="Times New Roman"/>
                <w:sz w:val="20"/>
                <w:szCs w:val="20"/>
              </w:rPr>
              <w:t>Prévention</w:t>
            </w:r>
            <w:r w:rsidR="000705BE" w:rsidRPr="00420C1B">
              <w:rPr>
                <w:rFonts w:ascii="Times New Roman" w:hAnsi="Times New Roman"/>
                <w:sz w:val="20"/>
                <w:szCs w:val="20"/>
              </w:rPr>
              <w:t xml:space="preserve"> contre les EAS / HS</w:t>
            </w:r>
          </w:p>
        </w:tc>
        <w:tc>
          <w:tcPr>
            <w:tcW w:w="1276" w:type="dxa"/>
            <w:tcBorders>
              <w:top w:val="single" w:sz="4" w:space="0" w:color="000000"/>
              <w:left w:val="single" w:sz="4" w:space="0" w:color="000000"/>
              <w:bottom w:val="single" w:sz="4" w:space="0" w:color="000000"/>
              <w:right w:val="single" w:sz="4" w:space="0" w:color="000000"/>
            </w:tcBorders>
            <w:hideMark/>
          </w:tcPr>
          <w:p w14:paraId="0DA2AD1C"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Personnel</w:t>
            </w:r>
          </w:p>
        </w:tc>
        <w:tc>
          <w:tcPr>
            <w:tcW w:w="4819" w:type="dxa"/>
            <w:tcBorders>
              <w:top w:val="single" w:sz="4" w:space="0" w:color="000000"/>
              <w:left w:val="single" w:sz="4" w:space="0" w:color="000000"/>
              <w:bottom w:val="single" w:sz="4" w:space="0" w:color="000000"/>
              <w:right w:val="single" w:sz="4" w:space="0" w:color="000000"/>
            </w:tcBorders>
            <w:hideMark/>
          </w:tcPr>
          <w:p w14:paraId="3682D463" w14:textId="3D94BF89" w:rsidR="00B21A3B"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%travailleurs signant un code de bonne conduite</w:t>
            </w:r>
          </w:p>
          <w:p w14:paraId="0E84C9EF" w14:textId="27E53113" w:rsidR="00B21A3B"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%travailleurs ayant bénéficié d’une formation en matière d’EAS/HS</w:t>
            </w:r>
          </w:p>
          <w:p w14:paraId="1E987089" w14:textId="43F19633" w:rsidR="00B21A3B"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%population sensibilisée</w:t>
            </w:r>
          </w:p>
          <w:p w14:paraId="261BF746" w14:textId="57D36C6F" w:rsidR="00B21A3B"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%population consultée</w:t>
            </w:r>
          </w:p>
          <w:p w14:paraId="289B4149" w14:textId="221BF5A8" w:rsidR="000705BE"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 plaintes EAS/SH reçues</w:t>
            </w:r>
          </w:p>
          <w:p w14:paraId="34D7B50F" w14:textId="5E0BA925" w:rsidR="00B21A3B" w:rsidRPr="00420C1B" w:rsidRDefault="00B21A3B">
            <w:pPr>
              <w:widowControl w:val="0"/>
              <w:tabs>
                <w:tab w:val="left" w:pos="0"/>
              </w:tabs>
              <w:spacing w:after="0"/>
              <w:ind w:left="105" w:right="986"/>
              <w:jc w:val="both"/>
              <w:rPr>
                <w:rFonts w:ascii="Times New Roman" w:hAnsi="Times New Roman"/>
                <w:spacing w:val="-1"/>
                <w:sz w:val="20"/>
                <w:szCs w:val="20"/>
              </w:rPr>
            </w:pPr>
            <w:r w:rsidRPr="00420C1B">
              <w:rPr>
                <w:rFonts w:ascii="Times New Roman" w:hAnsi="Times New Roman"/>
                <w:spacing w:val="-1"/>
                <w:sz w:val="20"/>
                <w:szCs w:val="20"/>
              </w:rPr>
              <w:t>% survivantes ayant bénéficiés d’une prise en charge</w:t>
            </w:r>
          </w:p>
        </w:tc>
      </w:tr>
      <w:tr w:rsidR="009C4331" w:rsidRPr="00420C1B" w14:paraId="69A972D5" w14:textId="77777777" w:rsidTr="00215867">
        <w:trPr>
          <w:trHeight w:hRule="exact" w:val="711"/>
        </w:trPr>
        <w:tc>
          <w:tcPr>
            <w:tcW w:w="468" w:type="dxa"/>
            <w:tcBorders>
              <w:top w:val="single" w:sz="4" w:space="0" w:color="000000"/>
              <w:left w:val="single" w:sz="4" w:space="0" w:color="000000"/>
              <w:bottom w:val="single" w:sz="4" w:space="0" w:color="000000"/>
              <w:right w:val="single" w:sz="4" w:space="0" w:color="000000"/>
            </w:tcBorders>
          </w:tcPr>
          <w:p w14:paraId="739ED934" w14:textId="77777777" w:rsidR="000705BE" w:rsidRPr="00420C1B" w:rsidRDefault="00BD5B4B">
            <w:pPr>
              <w:widowControl w:val="0"/>
              <w:tabs>
                <w:tab w:val="left" w:pos="0"/>
              </w:tabs>
              <w:spacing w:after="0"/>
              <w:jc w:val="both"/>
              <w:rPr>
                <w:rFonts w:ascii="Times New Roman" w:hAnsi="Times New Roman"/>
                <w:sz w:val="20"/>
                <w:szCs w:val="20"/>
              </w:rPr>
            </w:pPr>
            <w:r w:rsidRPr="00420C1B">
              <w:rPr>
                <w:rFonts w:ascii="Times New Roman" w:hAnsi="Times New Roman"/>
                <w:sz w:val="20"/>
                <w:szCs w:val="20"/>
              </w:rPr>
              <w:t>1.6</w:t>
            </w:r>
          </w:p>
        </w:tc>
        <w:tc>
          <w:tcPr>
            <w:tcW w:w="2656" w:type="dxa"/>
            <w:tcBorders>
              <w:top w:val="single" w:sz="4" w:space="0" w:color="000000"/>
              <w:left w:val="single" w:sz="4" w:space="0" w:color="000000"/>
              <w:bottom w:val="single" w:sz="4" w:space="0" w:color="000000"/>
              <w:right w:val="single" w:sz="4" w:space="0" w:color="000000"/>
            </w:tcBorders>
            <w:hideMark/>
          </w:tcPr>
          <w:p w14:paraId="2FFF8AE4" w14:textId="77777777" w:rsidR="000705BE" w:rsidRPr="00420C1B" w:rsidRDefault="000705BE">
            <w:pPr>
              <w:widowControl w:val="0"/>
              <w:tabs>
                <w:tab w:val="left" w:pos="0"/>
              </w:tabs>
              <w:spacing w:after="0"/>
              <w:ind w:left="105" w:right="902"/>
              <w:jc w:val="both"/>
              <w:rPr>
                <w:rFonts w:ascii="Times New Roman" w:hAnsi="Times New Roman"/>
                <w:sz w:val="20"/>
                <w:szCs w:val="20"/>
              </w:rPr>
            </w:pPr>
            <w:r w:rsidRPr="00420C1B">
              <w:rPr>
                <w:rFonts w:ascii="Times New Roman" w:hAnsi="Times New Roman"/>
                <w:sz w:val="20"/>
                <w:szCs w:val="20"/>
              </w:rPr>
              <w:t>Sen</w:t>
            </w:r>
            <w:r w:rsidRPr="00420C1B">
              <w:rPr>
                <w:rFonts w:ascii="Times New Roman" w:hAnsi="Times New Roman"/>
                <w:spacing w:val="-2"/>
                <w:sz w:val="20"/>
                <w:szCs w:val="20"/>
              </w:rPr>
              <w:t>s</w:t>
            </w:r>
            <w:r w:rsidRPr="00420C1B">
              <w:rPr>
                <w:rFonts w:ascii="Times New Roman" w:hAnsi="Times New Roman"/>
                <w:spacing w:val="1"/>
                <w:sz w:val="20"/>
                <w:szCs w:val="20"/>
              </w:rPr>
              <w:t>i</w:t>
            </w:r>
            <w:r w:rsidRPr="00420C1B">
              <w:rPr>
                <w:rFonts w:ascii="Times New Roman" w:hAnsi="Times New Roman"/>
                <w:spacing w:val="-2"/>
                <w:sz w:val="20"/>
                <w:szCs w:val="20"/>
              </w:rPr>
              <w:t>b</w:t>
            </w:r>
            <w:r w:rsidRPr="00420C1B">
              <w:rPr>
                <w:rFonts w:ascii="Times New Roman" w:hAnsi="Times New Roman"/>
                <w:spacing w:val="1"/>
                <w:sz w:val="20"/>
                <w:szCs w:val="20"/>
              </w:rPr>
              <w:t>ili</w:t>
            </w:r>
            <w:r w:rsidRPr="00420C1B">
              <w:rPr>
                <w:rFonts w:ascii="Times New Roman" w:hAnsi="Times New Roman"/>
                <w:spacing w:val="-4"/>
                <w:sz w:val="20"/>
                <w:szCs w:val="20"/>
              </w:rPr>
              <w:t>s</w:t>
            </w:r>
            <w:r w:rsidRPr="00420C1B">
              <w:rPr>
                <w:rFonts w:ascii="Times New Roman" w:hAnsi="Times New Roman"/>
                <w:spacing w:val="-2"/>
                <w:sz w:val="20"/>
                <w:szCs w:val="20"/>
              </w:rPr>
              <w:t>a</w:t>
            </w:r>
            <w:r w:rsidRPr="00420C1B">
              <w:rPr>
                <w:rFonts w:ascii="Times New Roman" w:hAnsi="Times New Roman"/>
                <w:spacing w:val="1"/>
                <w:sz w:val="20"/>
                <w:szCs w:val="20"/>
              </w:rPr>
              <w:t>ti</w:t>
            </w:r>
            <w:r w:rsidRPr="00420C1B">
              <w:rPr>
                <w:rFonts w:ascii="Times New Roman" w:hAnsi="Times New Roman"/>
                <w:sz w:val="20"/>
                <w:szCs w:val="20"/>
              </w:rPr>
              <w:t xml:space="preserve">on </w:t>
            </w:r>
            <w:r w:rsidRPr="00420C1B">
              <w:rPr>
                <w:rFonts w:ascii="Times New Roman" w:hAnsi="Times New Roman"/>
                <w:spacing w:val="-2"/>
                <w:sz w:val="20"/>
                <w:szCs w:val="20"/>
              </w:rPr>
              <w:t>d</w:t>
            </w:r>
            <w:r w:rsidRPr="00420C1B">
              <w:rPr>
                <w:rFonts w:ascii="Times New Roman" w:hAnsi="Times New Roman"/>
                <w:sz w:val="20"/>
                <w:szCs w:val="20"/>
              </w:rPr>
              <w:t xml:space="preserve">u </w:t>
            </w:r>
            <w:r w:rsidRPr="00420C1B">
              <w:rPr>
                <w:rFonts w:ascii="Times New Roman" w:hAnsi="Times New Roman"/>
                <w:spacing w:val="-2"/>
                <w:sz w:val="20"/>
                <w:szCs w:val="20"/>
              </w:rPr>
              <w:t>p</w:t>
            </w:r>
            <w:r w:rsidRPr="00420C1B">
              <w:rPr>
                <w:rFonts w:ascii="Times New Roman" w:hAnsi="Times New Roman"/>
                <w:spacing w:val="-1"/>
                <w:sz w:val="20"/>
                <w:szCs w:val="20"/>
              </w:rPr>
              <w:t>e</w:t>
            </w:r>
            <w:r w:rsidRPr="00420C1B">
              <w:rPr>
                <w:rFonts w:ascii="Times New Roman" w:hAnsi="Times New Roman"/>
                <w:spacing w:val="1"/>
                <w:sz w:val="20"/>
                <w:szCs w:val="20"/>
              </w:rPr>
              <w:t>r</w:t>
            </w:r>
            <w:r w:rsidRPr="00420C1B">
              <w:rPr>
                <w:rFonts w:ascii="Times New Roman" w:hAnsi="Times New Roman"/>
                <w:sz w:val="20"/>
                <w:szCs w:val="20"/>
              </w:rPr>
              <w:t>so</w:t>
            </w:r>
            <w:r w:rsidRPr="00420C1B">
              <w:rPr>
                <w:rFonts w:ascii="Times New Roman" w:hAnsi="Times New Roman"/>
                <w:spacing w:val="1"/>
                <w:sz w:val="20"/>
                <w:szCs w:val="20"/>
              </w:rPr>
              <w:t>n</w:t>
            </w:r>
            <w:r w:rsidRPr="00420C1B">
              <w:rPr>
                <w:rFonts w:ascii="Times New Roman" w:hAnsi="Times New Roman"/>
                <w:spacing w:val="-2"/>
                <w:sz w:val="20"/>
                <w:szCs w:val="20"/>
              </w:rPr>
              <w:t>n</w:t>
            </w:r>
            <w:r w:rsidRPr="00420C1B">
              <w:rPr>
                <w:rFonts w:ascii="Times New Roman" w:hAnsi="Times New Roman"/>
                <w:spacing w:val="-4"/>
                <w:sz w:val="20"/>
                <w:szCs w:val="20"/>
              </w:rPr>
              <w:t>e</w:t>
            </w:r>
            <w:r w:rsidRPr="00420C1B">
              <w:rPr>
                <w:rFonts w:ascii="Times New Roman" w:hAnsi="Times New Roman"/>
                <w:sz w:val="20"/>
                <w:szCs w:val="20"/>
              </w:rPr>
              <w:t>l</w:t>
            </w:r>
            <w:r w:rsidRPr="00420C1B">
              <w:rPr>
                <w:rFonts w:ascii="Times New Roman" w:hAnsi="Times New Roman"/>
                <w:spacing w:val="1"/>
                <w:sz w:val="20"/>
                <w:szCs w:val="20"/>
              </w:rPr>
              <w:t xml:space="preserve"> s</w:t>
            </w:r>
            <w:r w:rsidRPr="00420C1B">
              <w:rPr>
                <w:rFonts w:ascii="Times New Roman" w:hAnsi="Times New Roman"/>
                <w:spacing w:val="-2"/>
                <w:sz w:val="20"/>
                <w:szCs w:val="20"/>
              </w:rPr>
              <w:t>u</w:t>
            </w:r>
            <w:r w:rsidRPr="00420C1B">
              <w:rPr>
                <w:rFonts w:ascii="Times New Roman" w:hAnsi="Times New Roman"/>
                <w:sz w:val="20"/>
                <w:szCs w:val="20"/>
              </w:rPr>
              <w:t>r</w:t>
            </w:r>
            <w:r w:rsidRPr="00420C1B">
              <w:rPr>
                <w:rFonts w:ascii="Times New Roman" w:hAnsi="Times New Roman"/>
                <w:spacing w:val="1"/>
                <w:sz w:val="20"/>
                <w:szCs w:val="20"/>
              </w:rPr>
              <w:t xml:space="preserve"> l</w:t>
            </w:r>
            <w:r w:rsidRPr="00420C1B">
              <w:rPr>
                <w:rFonts w:ascii="Times New Roman" w:hAnsi="Times New Roman"/>
                <w:spacing w:val="-2"/>
                <w:sz w:val="20"/>
                <w:szCs w:val="20"/>
              </w:rPr>
              <w:t>e</w:t>
            </w:r>
            <w:r w:rsidRPr="00420C1B">
              <w:rPr>
                <w:rFonts w:ascii="Times New Roman" w:hAnsi="Times New Roman"/>
                <w:sz w:val="20"/>
                <w:szCs w:val="20"/>
              </w:rPr>
              <w:t>s que</w:t>
            </w:r>
            <w:r w:rsidRPr="00420C1B">
              <w:rPr>
                <w:rFonts w:ascii="Times New Roman" w:hAnsi="Times New Roman"/>
                <w:spacing w:val="1"/>
                <w:sz w:val="20"/>
                <w:szCs w:val="20"/>
              </w:rPr>
              <w:t>s</w:t>
            </w:r>
            <w:r w:rsidRPr="00420C1B">
              <w:rPr>
                <w:rFonts w:ascii="Times New Roman" w:hAnsi="Times New Roman"/>
                <w:spacing w:val="-1"/>
                <w:sz w:val="20"/>
                <w:szCs w:val="20"/>
              </w:rPr>
              <w:t>t</w:t>
            </w:r>
            <w:r w:rsidRPr="00420C1B">
              <w:rPr>
                <w:rFonts w:ascii="Times New Roman" w:hAnsi="Times New Roman"/>
                <w:spacing w:val="1"/>
                <w:sz w:val="20"/>
                <w:szCs w:val="20"/>
              </w:rPr>
              <w:t>i</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s</w:t>
            </w:r>
            <w:r w:rsidRPr="00420C1B">
              <w:rPr>
                <w:rFonts w:ascii="Times New Roman" w:hAnsi="Times New Roman"/>
                <w:spacing w:val="1"/>
                <w:sz w:val="20"/>
                <w:szCs w:val="20"/>
              </w:rPr>
              <w:t xml:space="preserve"> s</w:t>
            </w:r>
            <w:r w:rsidRPr="00420C1B">
              <w:rPr>
                <w:rFonts w:ascii="Times New Roman" w:hAnsi="Times New Roman"/>
                <w:spacing w:val="-2"/>
                <w:sz w:val="20"/>
                <w:szCs w:val="20"/>
              </w:rPr>
              <w:t>an</w:t>
            </w:r>
            <w:r w:rsidRPr="00420C1B">
              <w:rPr>
                <w:rFonts w:ascii="Times New Roman" w:hAnsi="Times New Roman"/>
                <w:spacing w:val="1"/>
                <w:sz w:val="20"/>
                <w:szCs w:val="20"/>
              </w:rPr>
              <w:t>i</w:t>
            </w:r>
            <w:r w:rsidRPr="00420C1B">
              <w:rPr>
                <w:rFonts w:ascii="Times New Roman" w:hAnsi="Times New Roman"/>
                <w:spacing w:val="-1"/>
                <w:sz w:val="20"/>
                <w:szCs w:val="20"/>
              </w:rPr>
              <w:t>t</w:t>
            </w:r>
            <w:r w:rsidRPr="00420C1B">
              <w:rPr>
                <w:rFonts w:ascii="Times New Roman" w:hAnsi="Times New Roman"/>
                <w:spacing w:val="-2"/>
                <w:sz w:val="20"/>
                <w:szCs w:val="20"/>
              </w:rPr>
              <w:t>a</w:t>
            </w:r>
            <w:r w:rsidRPr="00420C1B">
              <w:rPr>
                <w:rFonts w:ascii="Times New Roman" w:hAnsi="Times New Roman"/>
                <w:spacing w:val="1"/>
                <w:sz w:val="20"/>
                <w:szCs w:val="20"/>
              </w:rPr>
              <w:t>ir</w:t>
            </w:r>
            <w:r w:rsidRPr="00420C1B">
              <w:rPr>
                <w:rFonts w:ascii="Times New Roman" w:hAnsi="Times New Roman"/>
                <w:spacing w:val="-2"/>
                <w:sz w:val="20"/>
                <w:szCs w:val="20"/>
              </w:rPr>
              <w:t>e</w:t>
            </w:r>
            <w:r w:rsidRPr="00420C1B">
              <w:rPr>
                <w:rFonts w:ascii="Times New Roman" w:hAnsi="Times New Roman"/>
                <w:sz w:val="20"/>
                <w:szCs w:val="20"/>
              </w:rPr>
              <w:t xml:space="preserve">s </w:t>
            </w:r>
            <w:r w:rsidRPr="00420C1B">
              <w:rPr>
                <w:rFonts w:ascii="Times New Roman" w:hAnsi="Times New Roman"/>
                <w:spacing w:val="-1"/>
                <w:sz w:val="20"/>
                <w:szCs w:val="20"/>
              </w:rPr>
              <w:t>e</w:t>
            </w:r>
            <w:r w:rsidRPr="00420C1B">
              <w:rPr>
                <w:rFonts w:ascii="Times New Roman" w:hAnsi="Times New Roman"/>
                <w:sz w:val="20"/>
                <w:szCs w:val="20"/>
              </w:rPr>
              <w:t xml:space="preserve">t </w:t>
            </w:r>
            <w:r w:rsidRPr="00420C1B">
              <w:rPr>
                <w:rFonts w:ascii="Times New Roman" w:hAnsi="Times New Roman"/>
                <w:spacing w:val="1"/>
                <w:sz w:val="20"/>
                <w:szCs w:val="20"/>
              </w:rPr>
              <w:t>s</w:t>
            </w:r>
            <w:r w:rsidRPr="00420C1B">
              <w:rPr>
                <w:rFonts w:ascii="Times New Roman" w:hAnsi="Times New Roman"/>
                <w:spacing w:val="-2"/>
                <w:sz w:val="20"/>
                <w:szCs w:val="20"/>
              </w:rPr>
              <w:t>é</w:t>
            </w:r>
            <w:r w:rsidRPr="00420C1B">
              <w:rPr>
                <w:rFonts w:ascii="Times New Roman" w:hAnsi="Times New Roman"/>
                <w:sz w:val="20"/>
                <w:szCs w:val="20"/>
              </w:rPr>
              <w:t>c</w:t>
            </w:r>
            <w:r w:rsidRPr="00420C1B">
              <w:rPr>
                <w:rFonts w:ascii="Times New Roman" w:hAnsi="Times New Roman"/>
                <w:spacing w:val="-2"/>
                <w:sz w:val="20"/>
                <w:szCs w:val="20"/>
              </w:rPr>
              <w:t>ur</w:t>
            </w:r>
            <w:r w:rsidRPr="00420C1B">
              <w:rPr>
                <w:rFonts w:ascii="Times New Roman" w:hAnsi="Times New Roman"/>
                <w:spacing w:val="1"/>
                <w:sz w:val="20"/>
                <w:szCs w:val="20"/>
              </w:rPr>
              <w:t>it</w:t>
            </w:r>
            <w:r w:rsidRPr="00420C1B">
              <w:rPr>
                <w:rFonts w:ascii="Times New Roman" w:hAnsi="Times New Roman"/>
                <w:spacing w:val="-2"/>
                <w:sz w:val="20"/>
                <w:szCs w:val="20"/>
              </w:rPr>
              <w:t>a</w:t>
            </w:r>
            <w:r w:rsidRPr="00420C1B">
              <w:rPr>
                <w:rFonts w:ascii="Times New Roman" w:hAnsi="Times New Roman"/>
                <w:spacing w:val="1"/>
                <w:sz w:val="20"/>
                <w:szCs w:val="20"/>
              </w:rPr>
              <w:t>i</w:t>
            </w:r>
            <w:r w:rsidRPr="00420C1B">
              <w:rPr>
                <w:rFonts w:ascii="Times New Roman" w:hAnsi="Times New Roman"/>
                <w:spacing w:val="-2"/>
                <w:sz w:val="20"/>
                <w:szCs w:val="20"/>
              </w:rPr>
              <w:t>r</w:t>
            </w:r>
            <w:r w:rsidRPr="00420C1B">
              <w:rPr>
                <w:rFonts w:ascii="Times New Roman" w:hAnsi="Times New Roman"/>
                <w:sz w:val="20"/>
                <w:szCs w:val="20"/>
              </w:rPr>
              <w:t>es</w:t>
            </w:r>
          </w:p>
        </w:tc>
        <w:tc>
          <w:tcPr>
            <w:tcW w:w="1276" w:type="dxa"/>
            <w:tcBorders>
              <w:top w:val="single" w:sz="4" w:space="0" w:color="000000"/>
              <w:left w:val="single" w:sz="4" w:space="0" w:color="000000"/>
              <w:bottom w:val="single" w:sz="4" w:space="0" w:color="000000"/>
              <w:right w:val="single" w:sz="4" w:space="0" w:color="000000"/>
            </w:tcBorders>
            <w:hideMark/>
          </w:tcPr>
          <w:p w14:paraId="79800EFD" w14:textId="77777777" w:rsidR="000705BE" w:rsidRPr="00420C1B" w:rsidRDefault="000705BE">
            <w:pPr>
              <w:widowControl w:val="0"/>
              <w:tabs>
                <w:tab w:val="left" w:pos="0"/>
              </w:tabs>
              <w:spacing w:after="0"/>
              <w:ind w:left="102"/>
              <w:jc w:val="both"/>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4819" w:type="dxa"/>
            <w:tcBorders>
              <w:top w:val="single" w:sz="4" w:space="0" w:color="000000"/>
              <w:left w:val="single" w:sz="4" w:space="0" w:color="000000"/>
              <w:bottom w:val="single" w:sz="4" w:space="0" w:color="000000"/>
              <w:right w:val="single" w:sz="4" w:space="0" w:color="000000"/>
            </w:tcBorders>
            <w:hideMark/>
          </w:tcPr>
          <w:p w14:paraId="40CBE8A9" w14:textId="77777777" w:rsidR="000705BE" w:rsidRPr="00420C1B" w:rsidRDefault="000705BE">
            <w:pPr>
              <w:widowControl w:val="0"/>
              <w:tabs>
                <w:tab w:val="left" w:pos="0"/>
              </w:tabs>
              <w:spacing w:after="0"/>
              <w:ind w:left="105"/>
              <w:jc w:val="both"/>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 xml:space="preserve">e de </w:t>
            </w:r>
            <w:r w:rsidRPr="00420C1B">
              <w:rPr>
                <w:rFonts w:ascii="Times New Roman" w:hAnsi="Times New Roman"/>
                <w:spacing w:val="1"/>
                <w:sz w:val="20"/>
                <w:szCs w:val="20"/>
              </w:rPr>
              <w:t>s</w:t>
            </w:r>
            <w:r w:rsidRPr="00420C1B">
              <w:rPr>
                <w:rFonts w:ascii="Times New Roman" w:hAnsi="Times New Roman"/>
                <w:sz w:val="20"/>
                <w:szCs w:val="20"/>
              </w:rPr>
              <w:t>en</w:t>
            </w:r>
            <w:r w:rsidRPr="00420C1B">
              <w:rPr>
                <w:rFonts w:ascii="Times New Roman" w:hAnsi="Times New Roman"/>
                <w:spacing w:val="-2"/>
                <w:sz w:val="20"/>
                <w:szCs w:val="20"/>
              </w:rPr>
              <w:t>s</w:t>
            </w:r>
            <w:r w:rsidRPr="00420C1B">
              <w:rPr>
                <w:rFonts w:ascii="Times New Roman" w:hAnsi="Times New Roman"/>
                <w:spacing w:val="1"/>
                <w:sz w:val="20"/>
                <w:szCs w:val="20"/>
              </w:rPr>
              <w:t>i</w:t>
            </w:r>
            <w:r w:rsidRPr="00420C1B">
              <w:rPr>
                <w:rFonts w:ascii="Times New Roman" w:hAnsi="Times New Roman"/>
                <w:spacing w:val="-2"/>
                <w:sz w:val="20"/>
                <w:szCs w:val="20"/>
              </w:rPr>
              <w:t>b</w:t>
            </w:r>
            <w:r w:rsidRPr="00420C1B">
              <w:rPr>
                <w:rFonts w:ascii="Times New Roman" w:hAnsi="Times New Roman"/>
                <w:spacing w:val="1"/>
                <w:sz w:val="20"/>
                <w:szCs w:val="20"/>
              </w:rPr>
              <w:t>il</w:t>
            </w:r>
            <w:r w:rsidRPr="00420C1B">
              <w:rPr>
                <w:rFonts w:ascii="Times New Roman" w:hAnsi="Times New Roman"/>
                <w:spacing w:val="-1"/>
                <w:sz w:val="20"/>
                <w:szCs w:val="20"/>
              </w:rPr>
              <w:t>i</w:t>
            </w:r>
            <w:r w:rsidRPr="00420C1B">
              <w:rPr>
                <w:rFonts w:ascii="Times New Roman" w:hAnsi="Times New Roman"/>
                <w:spacing w:val="1"/>
                <w:sz w:val="20"/>
                <w:szCs w:val="20"/>
              </w:rPr>
              <w:t>s</w:t>
            </w:r>
            <w:r w:rsidRPr="00420C1B">
              <w:rPr>
                <w:rFonts w:ascii="Times New Roman" w:hAnsi="Times New Roman"/>
                <w:spacing w:val="-2"/>
                <w:sz w:val="20"/>
                <w:szCs w:val="20"/>
              </w:rPr>
              <w:t>a</w:t>
            </w:r>
            <w:r w:rsidRPr="00420C1B">
              <w:rPr>
                <w:rFonts w:ascii="Times New Roman" w:hAnsi="Times New Roman"/>
                <w:spacing w:val="1"/>
                <w:sz w:val="20"/>
                <w:szCs w:val="20"/>
              </w:rPr>
              <w:t>ti</w:t>
            </w:r>
            <w:r w:rsidRPr="00420C1B">
              <w:rPr>
                <w:rFonts w:ascii="Times New Roman" w:hAnsi="Times New Roman"/>
                <w:spacing w:val="-2"/>
                <w:sz w:val="20"/>
                <w:szCs w:val="20"/>
              </w:rPr>
              <w:t>o</w:t>
            </w:r>
            <w:r w:rsidRPr="00420C1B">
              <w:rPr>
                <w:rFonts w:ascii="Times New Roman" w:hAnsi="Times New Roman"/>
                <w:spacing w:val="2"/>
                <w:sz w:val="20"/>
                <w:szCs w:val="20"/>
              </w:rPr>
              <w:t>n</w:t>
            </w:r>
            <w:r w:rsidRPr="00420C1B">
              <w:rPr>
                <w:rFonts w:ascii="Times New Roman" w:hAnsi="Times New Roman"/>
                <w:spacing w:val="-4"/>
                <w:sz w:val="20"/>
                <w:szCs w:val="20"/>
              </w:rPr>
              <w:t>s</w:t>
            </w:r>
            <w:r w:rsidRPr="00420C1B">
              <w:rPr>
                <w:rFonts w:ascii="Times New Roman" w:hAnsi="Times New Roman"/>
                <w:spacing w:val="-1"/>
                <w:sz w:val="20"/>
                <w:szCs w:val="20"/>
              </w:rPr>
              <w:t>/</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z w:val="20"/>
                <w:szCs w:val="20"/>
              </w:rPr>
              <w:t>s</w:t>
            </w:r>
          </w:p>
        </w:tc>
      </w:tr>
    </w:tbl>
    <w:p w14:paraId="24A7549C" w14:textId="77777777" w:rsidR="000705BE" w:rsidRPr="00D75D2E" w:rsidRDefault="000705BE" w:rsidP="000705BE">
      <w:pPr>
        <w:widowControl w:val="0"/>
        <w:tabs>
          <w:tab w:val="left" w:pos="0"/>
        </w:tabs>
        <w:spacing w:before="12" w:after="0"/>
        <w:jc w:val="both"/>
        <w:rPr>
          <w:rFonts w:ascii="Times New Roman" w:hAnsi="Times New Roman" w:cs="Calibri"/>
        </w:rPr>
      </w:pPr>
    </w:p>
    <w:tbl>
      <w:tblPr>
        <w:tblW w:w="9219" w:type="dxa"/>
        <w:tblLayout w:type="fixed"/>
        <w:tblCellMar>
          <w:left w:w="5" w:type="dxa"/>
          <w:right w:w="5" w:type="dxa"/>
        </w:tblCellMar>
        <w:tblLook w:val="04A0" w:firstRow="1" w:lastRow="0" w:firstColumn="1" w:lastColumn="0" w:noHBand="0" w:noVBand="1"/>
      </w:tblPr>
      <w:tblGrid>
        <w:gridCol w:w="471"/>
        <w:gridCol w:w="3929"/>
        <w:gridCol w:w="1134"/>
        <w:gridCol w:w="3685"/>
      </w:tblGrid>
      <w:tr w:rsidR="00D75D2E" w:rsidRPr="00420C1B" w14:paraId="233D3CE0"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shd w:val="clear" w:color="auto" w:fill="70AD47"/>
          </w:tcPr>
          <w:p w14:paraId="4265A87B" w14:textId="77777777" w:rsidR="000705BE" w:rsidRPr="00420C1B" w:rsidRDefault="000705BE">
            <w:pPr>
              <w:widowControl w:val="0"/>
              <w:tabs>
                <w:tab w:val="left" w:pos="0"/>
              </w:tabs>
              <w:spacing w:after="0"/>
              <w:jc w:val="both"/>
              <w:rPr>
                <w:rFonts w:ascii="Times New Roman" w:hAnsi="Times New Roman"/>
                <w:sz w:val="20"/>
                <w:szCs w:val="20"/>
              </w:rPr>
            </w:pPr>
          </w:p>
        </w:tc>
        <w:tc>
          <w:tcPr>
            <w:tcW w:w="8748" w:type="dxa"/>
            <w:gridSpan w:val="3"/>
            <w:tcBorders>
              <w:top w:val="single" w:sz="4" w:space="0" w:color="000000"/>
              <w:left w:val="single" w:sz="4" w:space="0" w:color="000000"/>
              <w:bottom w:val="single" w:sz="4" w:space="0" w:color="000000"/>
              <w:right w:val="single" w:sz="4" w:space="0" w:color="000000"/>
            </w:tcBorders>
            <w:shd w:val="clear" w:color="auto" w:fill="70AD47"/>
            <w:hideMark/>
          </w:tcPr>
          <w:p w14:paraId="50FD5F48" w14:textId="77777777" w:rsidR="000705BE" w:rsidRPr="00420C1B" w:rsidRDefault="000705BE" w:rsidP="00E737B4">
            <w:pPr>
              <w:widowControl w:val="0"/>
              <w:tabs>
                <w:tab w:val="left" w:pos="0"/>
              </w:tabs>
              <w:spacing w:after="0"/>
              <w:ind w:right="3736"/>
              <w:rPr>
                <w:rFonts w:ascii="Times New Roman" w:hAnsi="Times New Roman"/>
                <w:sz w:val="20"/>
                <w:szCs w:val="20"/>
              </w:rPr>
            </w:pPr>
            <w:r w:rsidRPr="00420C1B">
              <w:rPr>
                <w:rFonts w:ascii="Times New Roman" w:hAnsi="Times New Roman"/>
                <w:b/>
                <w:bCs/>
                <w:sz w:val="20"/>
                <w:szCs w:val="20"/>
              </w:rPr>
              <w:t>Sécu</w:t>
            </w:r>
            <w:r w:rsidRPr="00420C1B">
              <w:rPr>
                <w:rFonts w:ascii="Times New Roman" w:hAnsi="Times New Roman"/>
                <w:b/>
                <w:bCs/>
                <w:spacing w:val="-2"/>
                <w:sz w:val="20"/>
                <w:szCs w:val="20"/>
              </w:rPr>
              <w:t>r</w:t>
            </w:r>
            <w:r w:rsidRPr="00420C1B">
              <w:rPr>
                <w:rFonts w:ascii="Times New Roman" w:hAnsi="Times New Roman"/>
                <w:b/>
                <w:bCs/>
                <w:spacing w:val="1"/>
                <w:sz w:val="20"/>
                <w:szCs w:val="20"/>
              </w:rPr>
              <w:t>it</w:t>
            </w:r>
            <w:r w:rsidRPr="00420C1B">
              <w:rPr>
                <w:rFonts w:ascii="Times New Roman" w:hAnsi="Times New Roman"/>
                <w:b/>
                <w:bCs/>
                <w:sz w:val="20"/>
                <w:szCs w:val="20"/>
              </w:rPr>
              <w:t>é</w:t>
            </w:r>
            <w:r w:rsidRPr="00420C1B">
              <w:rPr>
                <w:rFonts w:ascii="Times New Roman" w:hAnsi="Times New Roman"/>
                <w:b/>
                <w:bCs/>
                <w:spacing w:val="1"/>
                <w:sz w:val="20"/>
                <w:szCs w:val="20"/>
              </w:rPr>
              <w:t xml:space="preserve"> </w:t>
            </w:r>
            <w:r w:rsidRPr="00420C1B">
              <w:rPr>
                <w:rFonts w:ascii="Times New Roman" w:hAnsi="Times New Roman"/>
                <w:b/>
                <w:bCs/>
                <w:sz w:val="20"/>
                <w:szCs w:val="20"/>
              </w:rPr>
              <w:t>i</w:t>
            </w:r>
            <w:r w:rsidRPr="00420C1B">
              <w:rPr>
                <w:rFonts w:ascii="Times New Roman" w:hAnsi="Times New Roman"/>
                <w:b/>
                <w:bCs/>
                <w:spacing w:val="-4"/>
                <w:sz w:val="20"/>
                <w:szCs w:val="20"/>
              </w:rPr>
              <w:t>n</w:t>
            </w:r>
            <w:r w:rsidRPr="00420C1B">
              <w:rPr>
                <w:rFonts w:ascii="Times New Roman" w:hAnsi="Times New Roman"/>
                <w:b/>
                <w:bCs/>
                <w:sz w:val="20"/>
                <w:szCs w:val="20"/>
              </w:rPr>
              <w:t>cen</w:t>
            </w:r>
            <w:r w:rsidRPr="00420C1B">
              <w:rPr>
                <w:rFonts w:ascii="Times New Roman" w:hAnsi="Times New Roman"/>
                <w:b/>
                <w:bCs/>
                <w:spacing w:val="-2"/>
                <w:sz w:val="20"/>
                <w:szCs w:val="20"/>
              </w:rPr>
              <w:t>d</w:t>
            </w:r>
            <w:r w:rsidRPr="00420C1B">
              <w:rPr>
                <w:rFonts w:ascii="Times New Roman" w:hAnsi="Times New Roman"/>
                <w:b/>
                <w:bCs/>
                <w:sz w:val="20"/>
                <w:szCs w:val="20"/>
              </w:rPr>
              <w:t>ie</w:t>
            </w:r>
          </w:p>
        </w:tc>
      </w:tr>
      <w:tr w:rsidR="00D75D2E" w:rsidRPr="00420C1B" w14:paraId="2D5FFCC0"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7F55308B"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1.7</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0234362B"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A</w:t>
            </w:r>
            <w:r w:rsidRPr="00420C1B">
              <w:rPr>
                <w:rFonts w:ascii="Times New Roman" w:hAnsi="Times New Roman"/>
                <w:spacing w:val="1"/>
                <w:sz w:val="20"/>
                <w:szCs w:val="20"/>
              </w:rPr>
              <w:t>ss</w:t>
            </w:r>
            <w:r w:rsidRPr="00420C1B">
              <w:rPr>
                <w:rFonts w:ascii="Times New Roman" w:hAnsi="Times New Roman"/>
                <w:sz w:val="20"/>
                <w:szCs w:val="20"/>
              </w:rPr>
              <w:t>u</w:t>
            </w:r>
            <w:r w:rsidRPr="00420C1B">
              <w:rPr>
                <w:rFonts w:ascii="Times New Roman" w:hAnsi="Times New Roman"/>
                <w:spacing w:val="1"/>
                <w:sz w:val="20"/>
                <w:szCs w:val="20"/>
              </w:rPr>
              <w:t>r</w:t>
            </w:r>
            <w:r w:rsidRPr="00420C1B">
              <w:rPr>
                <w:rFonts w:ascii="Times New Roman" w:hAnsi="Times New Roman"/>
                <w:spacing w:val="-2"/>
                <w:sz w:val="20"/>
                <w:szCs w:val="20"/>
              </w:rPr>
              <w:t>e</w:t>
            </w:r>
            <w:r w:rsidRPr="00420C1B">
              <w:rPr>
                <w:rFonts w:ascii="Times New Roman" w:hAnsi="Times New Roman"/>
                <w:sz w:val="20"/>
                <w:szCs w:val="20"/>
              </w:rPr>
              <w:t>r un</w:t>
            </w:r>
            <w:r w:rsidRPr="00420C1B">
              <w:rPr>
                <w:rFonts w:ascii="Times New Roman" w:hAnsi="Times New Roman"/>
                <w:spacing w:val="-2"/>
                <w:sz w:val="20"/>
                <w:szCs w:val="20"/>
              </w:rPr>
              <w:t xml:space="preserve"> c</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pacing w:val="1"/>
                <w:sz w:val="20"/>
                <w:szCs w:val="20"/>
              </w:rPr>
              <w:t>tr</w:t>
            </w:r>
            <w:r w:rsidRPr="00420C1B">
              <w:rPr>
                <w:rFonts w:ascii="Times New Roman" w:hAnsi="Times New Roman"/>
                <w:spacing w:val="-2"/>
                <w:sz w:val="20"/>
                <w:szCs w:val="20"/>
              </w:rPr>
              <w:t>ô</w:t>
            </w:r>
            <w:r w:rsidRPr="00420C1B">
              <w:rPr>
                <w:rFonts w:ascii="Times New Roman" w:hAnsi="Times New Roman"/>
                <w:spacing w:val="1"/>
                <w:sz w:val="20"/>
                <w:szCs w:val="20"/>
              </w:rPr>
              <w:t>l</w:t>
            </w:r>
            <w:r w:rsidRPr="00420C1B">
              <w:rPr>
                <w:rFonts w:ascii="Times New Roman" w:hAnsi="Times New Roman"/>
                <w:sz w:val="20"/>
                <w:szCs w:val="20"/>
              </w:rPr>
              <w:t xml:space="preserve">e </w:t>
            </w:r>
            <w:r w:rsidRPr="00420C1B">
              <w:rPr>
                <w:rFonts w:ascii="Times New Roman" w:hAnsi="Times New Roman"/>
                <w:spacing w:val="-2"/>
                <w:sz w:val="20"/>
                <w:szCs w:val="20"/>
              </w:rPr>
              <w:t>r</w:t>
            </w:r>
            <w:r w:rsidRPr="00420C1B">
              <w:rPr>
                <w:rFonts w:ascii="Times New Roman" w:hAnsi="Times New Roman"/>
                <w:sz w:val="20"/>
                <w:szCs w:val="20"/>
              </w:rPr>
              <w:t>é</w:t>
            </w:r>
            <w:r w:rsidRPr="00420C1B">
              <w:rPr>
                <w:rFonts w:ascii="Times New Roman" w:hAnsi="Times New Roman"/>
                <w:spacing w:val="-5"/>
                <w:sz w:val="20"/>
                <w:szCs w:val="20"/>
              </w:rPr>
              <w:t>g</w:t>
            </w:r>
            <w:r w:rsidRPr="00420C1B">
              <w:rPr>
                <w:rFonts w:ascii="Times New Roman" w:hAnsi="Times New Roman"/>
                <w:sz w:val="20"/>
                <w:szCs w:val="20"/>
              </w:rPr>
              <w:t>u</w:t>
            </w:r>
            <w:r w:rsidRPr="00420C1B">
              <w:rPr>
                <w:rFonts w:ascii="Times New Roman" w:hAnsi="Times New Roman"/>
                <w:spacing w:val="1"/>
                <w:sz w:val="20"/>
                <w:szCs w:val="20"/>
              </w:rPr>
              <w:t>li</w:t>
            </w:r>
            <w:r w:rsidRPr="00420C1B">
              <w:rPr>
                <w:rFonts w:ascii="Times New Roman" w:hAnsi="Times New Roman"/>
                <w:spacing w:val="-4"/>
                <w:sz w:val="20"/>
                <w:szCs w:val="20"/>
              </w:rPr>
              <w:t>e</w:t>
            </w:r>
            <w:r w:rsidRPr="00420C1B">
              <w:rPr>
                <w:rFonts w:ascii="Times New Roman" w:hAnsi="Times New Roman"/>
                <w:sz w:val="20"/>
                <w:szCs w:val="20"/>
              </w:rPr>
              <w:t>r des infrastructures hydrauliques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80EB1DD" w14:textId="77777777" w:rsidR="000705BE" w:rsidRPr="00420C1B" w:rsidRDefault="000705BE" w:rsidP="00215867">
            <w:pPr>
              <w:widowControl w:val="0"/>
              <w:tabs>
                <w:tab w:val="left" w:pos="0"/>
              </w:tabs>
              <w:spacing w:after="0"/>
              <w:ind w:left="105"/>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6CA4580"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con</w:t>
            </w:r>
            <w:r w:rsidRPr="00420C1B">
              <w:rPr>
                <w:rFonts w:ascii="Times New Roman" w:hAnsi="Times New Roman"/>
                <w:spacing w:val="1"/>
                <w:sz w:val="20"/>
                <w:szCs w:val="20"/>
              </w:rPr>
              <w:t>tr</w:t>
            </w:r>
            <w:r w:rsidRPr="00420C1B">
              <w:rPr>
                <w:rFonts w:ascii="Times New Roman" w:hAnsi="Times New Roman"/>
                <w:spacing w:val="-2"/>
                <w:sz w:val="20"/>
                <w:szCs w:val="20"/>
              </w:rPr>
              <w:t>ô</w:t>
            </w:r>
            <w:r w:rsidRPr="00420C1B">
              <w:rPr>
                <w:rFonts w:ascii="Times New Roman" w:hAnsi="Times New Roman"/>
                <w:spacing w:val="-1"/>
                <w:sz w:val="20"/>
                <w:szCs w:val="20"/>
              </w:rPr>
              <w:t>l</w:t>
            </w:r>
            <w:r w:rsidRPr="00420C1B">
              <w:rPr>
                <w:rFonts w:ascii="Times New Roman" w:hAnsi="Times New Roman"/>
                <w:sz w:val="20"/>
                <w:szCs w:val="20"/>
              </w:rPr>
              <w:t>es</w:t>
            </w:r>
          </w:p>
          <w:p w14:paraId="28D924A8"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Bi</w:t>
            </w:r>
            <w:r w:rsidRPr="00420C1B">
              <w:rPr>
                <w:rFonts w:ascii="Times New Roman" w:hAnsi="Times New Roman"/>
                <w:spacing w:val="-9"/>
                <w:sz w:val="20"/>
                <w:szCs w:val="20"/>
              </w:rPr>
              <w:t>m</w:t>
            </w:r>
            <w:r w:rsidRPr="00420C1B">
              <w:rPr>
                <w:rFonts w:ascii="Times New Roman" w:hAnsi="Times New Roman"/>
                <w:sz w:val="20"/>
                <w:szCs w:val="20"/>
              </w:rPr>
              <w:t>ensu</w:t>
            </w:r>
            <w:r w:rsidRPr="00420C1B">
              <w:rPr>
                <w:rFonts w:ascii="Times New Roman" w:hAnsi="Times New Roman"/>
                <w:spacing w:val="1"/>
                <w:sz w:val="20"/>
                <w:szCs w:val="20"/>
              </w:rPr>
              <w:t>e</w:t>
            </w:r>
            <w:r w:rsidRPr="00420C1B">
              <w:rPr>
                <w:rFonts w:ascii="Times New Roman" w:hAnsi="Times New Roman"/>
                <w:spacing w:val="-1"/>
                <w:sz w:val="20"/>
                <w:szCs w:val="20"/>
              </w:rPr>
              <w:t>l</w:t>
            </w:r>
            <w:r w:rsidRPr="00420C1B">
              <w:rPr>
                <w:rFonts w:ascii="Times New Roman" w:hAnsi="Times New Roman"/>
                <w:sz w:val="20"/>
                <w:szCs w:val="20"/>
              </w:rPr>
              <w:t>s</w:t>
            </w:r>
          </w:p>
        </w:tc>
      </w:tr>
      <w:tr w:rsidR="00D75D2E" w:rsidRPr="00420C1B" w14:paraId="135019EF"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567022AC"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1.8</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26EF00EB"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z w:val="20"/>
                <w:szCs w:val="20"/>
              </w:rPr>
              <w:t xml:space="preserve">e </w:t>
            </w:r>
            <w:r w:rsidRPr="00420C1B">
              <w:rPr>
                <w:rFonts w:ascii="Times New Roman" w:hAnsi="Times New Roman"/>
                <w:spacing w:val="-2"/>
                <w:sz w:val="20"/>
                <w:szCs w:val="20"/>
              </w:rPr>
              <w:t>d</w:t>
            </w:r>
            <w:r w:rsidRPr="00420C1B">
              <w:rPr>
                <w:rFonts w:ascii="Times New Roman" w:hAnsi="Times New Roman"/>
                <w:sz w:val="20"/>
                <w:szCs w:val="20"/>
              </w:rPr>
              <w:t>es</w:t>
            </w:r>
            <w:r w:rsidRPr="00420C1B">
              <w:rPr>
                <w:rFonts w:ascii="Times New Roman" w:hAnsi="Times New Roman"/>
                <w:spacing w:val="-2"/>
                <w:sz w:val="20"/>
                <w:szCs w:val="20"/>
              </w:rPr>
              <w:t xml:space="preserve"> r</w:t>
            </w:r>
            <w:r w:rsidRPr="00420C1B">
              <w:rPr>
                <w:rFonts w:ascii="Times New Roman" w:hAnsi="Times New Roman"/>
                <w:spacing w:val="1"/>
                <w:sz w:val="20"/>
                <w:szCs w:val="20"/>
              </w:rPr>
              <w:t>i</w:t>
            </w:r>
            <w:r w:rsidRPr="00420C1B">
              <w:rPr>
                <w:rFonts w:ascii="Times New Roman" w:hAnsi="Times New Roman"/>
                <w:sz w:val="20"/>
                <w:szCs w:val="20"/>
              </w:rPr>
              <w:t>sq</w:t>
            </w:r>
            <w:r w:rsidRPr="00420C1B">
              <w:rPr>
                <w:rFonts w:ascii="Times New Roman" w:hAnsi="Times New Roman"/>
                <w:spacing w:val="-2"/>
                <w:sz w:val="20"/>
                <w:szCs w:val="20"/>
              </w:rPr>
              <w:t>ue</w:t>
            </w:r>
            <w:r w:rsidRPr="00420C1B">
              <w:rPr>
                <w:rFonts w:ascii="Times New Roman" w:hAnsi="Times New Roman"/>
                <w:sz w:val="20"/>
                <w:szCs w:val="20"/>
              </w:rPr>
              <w:t xml:space="preserve">s </w:t>
            </w:r>
            <w:r w:rsidRPr="00420C1B">
              <w:rPr>
                <w:rFonts w:ascii="Times New Roman" w:hAnsi="Times New Roman"/>
                <w:spacing w:val="-1"/>
                <w:sz w:val="20"/>
                <w:szCs w:val="20"/>
              </w:rPr>
              <w:t>l</w:t>
            </w:r>
            <w:r w:rsidRPr="00420C1B">
              <w:rPr>
                <w:rFonts w:ascii="Times New Roman" w:hAnsi="Times New Roman"/>
                <w:spacing w:val="1"/>
                <w:sz w:val="20"/>
                <w:szCs w:val="20"/>
              </w:rPr>
              <w:t>i</w:t>
            </w:r>
            <w:r w:rsidRPr="00420C1B">
              <w:rPr>
                <w:rFonts w:ascii="Times New Roman" w:hAnsi="Times New Roman"/>
                <w:spacing w:val="-2"/>
                <w:sz w:val="20"/>
                <w:szCs w:val="20"/>
              </w:rPr>
              <w:t>é</w:t>
            </w:r>
            <w:r w:rsidRPr="00420C1B">
              <w:rPr>
                <w:rFonts w:ascii="Times New Roman" w:hAnsi="Times New Roman"/>
                <w:sz w:val="20"/>
                <w:szCs w:val="20"/>
              </w:rPr>
              <w:t xml:space="preserve">s </w:t>
            </w:r>
            <w:r w:rsidRPr="00420C1B">
              <w:rPr>
                <w:rFonts w:ascii="Times New Roman" w:hAnsi="Times New Roman"/>
                <w:spacing w:val="-2"/>
                <w:sz w:val="20"/>
                <w:szCs w:val="20"/>
              </w:rPr>
              <w:t>a</w:t>
            </w:r>
            <w:r w:rsidRPr="00420C1B">
              <w:rPr>
                <w:rFonts w:ascii="Times New Roman" w:hAnsi="Times New Roman"/>
                <w:sz w:val="20"/>
                <w:szCs w:val="20"/>
              </w:rPr>
              <w:t>ux</w:t>
            </w:r>
          </w:p>
          <w:p w14:paraId="3A030872" w14:textId="77777777" w:rsidR="000705BE" w:rsidRPr="00420C1B" w:rsidRDefault="000705BE"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 xml:space="preserve">Installations hydrauliques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167C56C" w14:textId="77777777" w:rsidR="000705BE" w:rsidRPr="00420C1B" w:rsidRDefault="000705BE" w:rsidP="00215867">
            <w:pPr>
              <w:widowControl w:val="0"/>
              <w:tabs>
                <w:tab w:val="left" w:pos="0"/>
              </w:tabs>
              <w:spacing w:after="0"/>
              <w:ind w:left="105"/>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50D8911"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ca</w:t>
            </w:r>
            <w:r w:rsidRPr="00420C1B">
              <w:rPr>
                <w:rFonts w:ascii="Times New Roman" w:hAnsi="Times New Roman"/>
                <w:spacing w:val="-2"/>
                <w:sz w:val="20"/>
                <w:szCs w:val="20"/>
              </w:rPr>
              <w:t>s</w:t>
            </w:r>
            <w:r w:rsidRPr="00420C1B">
              <w:rPr>
                <w:rFonts w:ascii="Times New Roman" w:hAnsi="Times New Roman"/>
                <w:spacing w:val="1"/>
                <w:sz w:val="20"/>
                <w:szCs w:val="20"/>
              </w:rPr>
              <w:t>/</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pacing w:val="3"/>
                <w:sz w:val="20"/>
                <w:szCs w:val="20"/>
              </w:rPr>
              <w:t>s</w:t>
            </w:r>
            <w:r w:rsidRPr="00420C1B">
              <w:rPr>
                <w:rFonts w:ascii="Times New Roman" w:hAnsi="Times New Roman"/>
                <w:sz w:val="20"/>
                <w:szCs w:val="20"/>
              </w:rPr>
              <w:t xml:space="preserve">, </w:t>
            </w: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1"/>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 xml:space="preserve">e </w:t>
            </w:r>
            <w:r w:rsidRPr="00420C1B">
              <w:rPr>
                <w:rFonts w:ascii="Times New Roman" w:hAnsi="Times New Roman"/>
                <w:spacing w:val="2"/>
                <w:sz w:val="20"/>
                <w:szCs w:val="20"/>
              </w:rPr>
              <w:t>d</w:t>
            </w:r>
            <w:r w:rsidRPr="00420C1B">
              <w:rPr>
                <w:rFonts w:ascii="Times New Roman" w:hAnsi="Times New Roman"/>
                <w:spacing w:val="-9"/>
                <w:sz w:val="20"/>
                <w:szCs w:val="20"/>
              </w:rPr>
              <w:t>'</w:t>
            </w:r>
            <w:r w:rsidRPr="00420C1B">
              <w:rPr>
                <w:rFonts w:ascii="Times New Roman" w:hAnsi="Times New Roman"/>
                <w:sz w:val="20"/>
                <w:szCs w:val="20"/>
              </w:rPr>
              <w:t>en</w:t>
            </w:r>
            <w:r w:rsidRPr="00420C1B">
              <w:rPr>
                <w:rFonts w:ascii="Times New Roman" w:hAnsi="Times New Roman"/>
                <w:spacing w:val="1"/>
                <w:sz w:val="20"/>
                <w:szCs w:val="20"/>
              </w:rPr>
              <w:t>tr</w:t>
            </w:r>
            <w:r w:rsidRPr="00420C1B">
              <w:rPr>
                <w:rFonts w:ascii="Times New Roman" w:hAnsi="Times New Roman"/>
                <w:sz w:val="20"/>
                <w:szCs w:val="20"/>
              </w:rPr>
              <w:t>e</w:t>
            </w:r>
            <w:r w:rsidRPr="00420C1B">
              <w:rPr>
                <w:rFonts w:ascii="Times New Roman" w:hAnsi="Times New Roman"/>
                <w:spacing w:val="1"/>
                <w:sz w:val="20"/>
                <w:szCs w:val="20"/>
              </w:rPr>
              <w:t>t</w:t>
            </w:r>
            <w:r w:rsidRPr="00420C1B">
              <w:rPr>
                <w:rFonts w:ascii="Times New Roman" w:hAnsi="Times New Roman"/>
                <w:spacing w:val="-1"/>
                <w:sz w:val="20"/>
                <w:szCs w:val="20"/>
              </w:rPr>
              <w:t>i</w:t>
            </w:r>
            <w:r w:rsidRPr="00420C1B">
              <w:rPr>
                <w:rFonts w:ascii="Times New Roman" w:hAnsi="Times New Roman"/>
                <w:spacing w:val="1"/>
                <w:sz w:val="20"/>
                <w:szCs w:val="20"/>
              </w:rPr>
              <w:t>e</w:t>
            </w:r>
            <w:r w:rsidRPr="00420C1B">
              <w:rPr>
                <w:rFonts w:ascii="Times New Roman" w:hAnsi="Times New Roman"/>
                <w:spacing w:val="2"/>
                <w:sz w:val="20"/>
                <w:szCs w:val="20"/>
              </w:rPr>
              <w:t xml:space="preserve">n </w:t>
            </w:r>
            <w:r w:rsidRPr="00420C1B">
              <w:rPr>
                <w:rFonts w:ascii="Times New Roman" w:hAnsi="Times New Roman"/>
                <w:spacing w:val="-9"/>
                <w:sz w:val="20"/>
                <w:szCs w:val="20"/>
              </w:rPr>
              <w:t>m</w:t>
            </w:r>
            <w:r w:rsidRPr="00420C1B">
              <w:rPr>
                <w:rFonts w:ascii="Times New Roman" w:hAnsi="Times New Roman"/>
                <w:sz w:val="20"/>
                <w:szCs w:val="20"/>
              </w:rPr>
              <w:t>éca</w:t>
            </w:r>
            <w:r w:rsidRPr="00420C1B">
              <w:rPr>
                <w:rFonts w:ascii="Times New Roman" w:hAnsi="Times New Roman"/>
                <w:spacing w:val="-2"/>
                <w:sz w:val="20"/>
                <w:szCs w:val="20"/>
              </w:rPr>
              <w:t>n</w:t>
            </w:r>
            <w:r w:rsidRPr="00420C1B">
              <w:rPr>
                <w:rFonts w:ascii="Times New Roman" w:hAnsi="Times New Roman"/>
                <w:spacing w:val="1"/>
                <w:sz w:val="20"/>
                <w:szCs w:val="20"/>
              </w:rPr>
              <w:t>i</w:t>
            </w:r>
            <w:r w:rsidRPr="00420C1B">
              <w:rPr>
                <w:rFonts w:ascii="Times New Roman" w:hAnsi="Times New Roman"/>
                <w:sz w:val="20"/>
                <w:szCs w:val="20"/>
              </w:rPr>
              <w:t xml:space="preserve">que </w:t>
            </w:r>
            <w:r w:rsidR="00B80123" w:rsidRPr="00420C1B">
              <w:rPr>
                <w:rFonts w:ascii="Times New Roman" w:hAnsi="Times New Roman"/>
                <w:spacing w:val="-9"/>
                <w:sz w:val="20"/>
                <w:szCs w:val="20"/>
              </w:rPr>
              <w:t>m</w:t>
            </w:r>
            <w:r w:rsidR="00B80123" w:rsidRPr="00420C1B">
              <w:rPr>
                <w:rFonts w:ascii="Times New Roman" w:hAnsi="Times New Roman"/>
                <w:sz w:val="20"/>
                <w:szCs w:val="20"/>
              </w:rPr>
              <w:t>en</w:t>
            </w:r>
            <w:r w:rsidR="00B80123" w:rsidRPr="00420C1B">
              <w:rPr>
                <w:rFonts w:ascii="Times New Roman" w:hAnsi="Times New Roman"/>
                <w:spacing w:val="1"/>
                <w:sz w:val="20"/>
                <w:szCs w:val="20"/>
              </w:rPr>
              <w:t>s</w:t>
            </w:r>
            <w:r w:rsidR="00B80123" w:rsidRPr="00420C1B">
              <w:rPr>
                <w:rFonts w:ascii="Times New Roman" w:hAnsi="Times New Roman"/>
                <w:sz w:val="20"/>
                <w:szCs w:val="20"/>
              </w:rPr>
              <w:t>ue</w:t>
            </w:r>
            <w:r w:rsidR="00B80123" w:rsidRPr="00420C1B">
              <w:rPr>
                <w:rFonts w:ascii="Times New Roman" w:hAnsi="Times New Roman"/>
                <w:spacing w:val="3"/>
                <w:sz w:val="20"/>
                <w:szCs w:val="20"/>
              </w:rPr>
              <w:t>l</w:t>
            </w:r>
          </w:p>
        </w:tc>
      </w:tr>
      <w:tr w:rsidR="00D75D2E" w:rsidRPr="00420C1B" w14:paraId="67419956"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02FFA79E"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1.9</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24CDF7F2"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z w:val="20"/>
                <w:szCs w:val="20"/>
              </w:rPr>
              <w:t xml:space="preserve">e </w:t>
            </w:r>
            <w:r w:rsidRPr="00420C1B">
              <w:rPr>
                <w:rFonts w:ascii="Times New Roman" w:hAnsi="Times New Roman"/>
                <w:spacing w:val="-2"/>
                <w:sz w:val="20"/>
                <w:szCs w:val="20"/>
              </w:rPr>
              <w:t>d</w:t>
            </w:r>
            <w:r w:rsidRPr="00420C1B">
              <w:rPr>
                <w:rFonts w:ascii="Times New Roman" w:hAnsi="Times New Roman"/>
                <w:sz w:val="20"/>
                <w:szCs w:val="20"/>
              </w:rPr>
              <w:t>es</w:t>
            </w:r>
            <w:r w:rsidRPr="00420C1B">
              <w:rPr>
                <w:rFonts w:ascii="Times New Roman" w:hAnsi="Times New Roman"/>
                <w:spacing w:val="-2"/>
                <w:sz w:val="20"/>
                <w:szCs w:val="20"/>
              </w:rPr>
              <w:t xml:space="preserve"> r</w:t>
            </w:r>
            <w:r w:rsidRPr="00420C1B">
              <w:rPr>
                <w:rFonts w:ascii="Times New Roman" w:hAnsi="Times New Roman"/>
                <w:spacing w:val="1"/>
                <w:sz w:val="20"/>
                <w:szCs w:val="20"/>
              </w:rPr>
              <w:t>i</w:t>
            </w:r>
            <w:r w:rsidRPr="00420C1B">
              <w:rPr>
                <w:rFonts w:ascii="Times New Roman" w:hAnsi="Times New Roman"/>
                <w:sz w:val="20"/>
                <w:szCs w:val="20"/>
              </w:rPr>
              <w:t>sq</w:t>
            </w:r>
            <w:r w:rsidRPr="00420C1B">
              <w:rPr>
                <w:rFonts w:ascii="Times New Roman" w:hAnsi="Times New Roman"/>
                <w:spacing w:val="-2"/>
                <w:sz w:val="20"/>
                <w:szCs w:val="20"/>
              </w:rPr>
              <w:t>ue</w:t>
            </w:r>
            <w:r w:rsidRPr="00420C1B">
              <w:rPr>
                <w:rFonts w:ascii="Times New Roman" w:hAnsi="Times New Roman"/>
                <w:sz w:val="20"/>
                <w:szCs w:val="20"/>
              </w:rPr>
              <w:t xml:space="preserve">s </w:t>
            </w:r>
            <w:r w:rsidRPr="00420C1B">
              <w:rPr>
                <w:rFonts w:ascii="Times New Roman" w:hAnsi="Times New Roman"/>
                <w:spacing w:val="1"/>
                <w:sz w:val="20"/>
                <w:szCs w:val="20"/>
              </w:rPr>
              <w:t>d</w:t>
            </w:r>
            <w:r w:rsidRPr="00420C1B">
              <w:rPr>
                <w:rFonts w:ascii="Times New Roman" w:hAnsi="Times New Roman"/>
                <w:spacing w:val="-6"/>
                <w:sz w:val="20"/>
                <w:szCs w:val="20"/>
              </w:rPr>
              <w:t>'</w:t>
            </w:r>
            <w:r w:rsidRPr="00420C1B">
              <w:rPr>
                <w:rFonts w:ascii="Times New Roman" w:hAnsi="Times New Roman"/>
                <w:spacing w:val="1"/>
                <w:sz w:val="20"/>
                <w:szCs w:val="20"/>
              </w:rPr>
              <w:t>i</w:t>
            </w:r>
            <w:r w:rsidRPr="00420C1B">
              <w:rPr>
                <w:rFonts w:ascii="Times New Roman" w:hAnsi="Times New Roman"/>
                <w:sz w:val="20"/>
                <w:szCs w:val="20"/>
              </w:rPr>
              <w:t>nc</w:t>
            </w:r>
            <w:r w:rsidRPr="00420C1B">
              <w:rPr>
                <w:rFonts w:ascii="Times New Roman" w:hAnsi="Times New Roman"/>
                <w:spacing w:val="1"/>
                <w:sz w:val="20"/>
                <w:szCs w:val="20"/>
              </w:rPr>
              <w:t>e</w:t>
            </w:r>
            <w:r w:rsidRPr="00420C1B">
              <w:rPr>
                <w:rFonts w:ascii="Times New Roman" w:hAnsi="Times New Roman"/>
                <w:spacing w:val="-5"/>
                <w:sz w:val="20"/>
                <w:szCs w:val="20"/>
              </w:rPr>
              <w:t>n</w:t>
            </w:r>
            <w:r w:rsidRPr="00420C1B">
              <w:rPr>
                <w:rFonts w:ascii="Times New Roman" w:hAnsi="Times New Roman"/>
                <w:sz w:val="20"/>
                <w:szCs w:val="20"/>
              </w:rPr>
              <w:t>d</w:t>
            </w:r>
            <w:r w:rsidRPr="00420C1B">
              <w:rPr>
                <w:rFonts w:ascii="Times New Roman" w:hAnsi="Times New Roman"/>
                <w:spacing w:val="1"/>
                <w:sz w:val="20"/>
                <w:szCs w:val="20"/>
              </w:rPr>
              <w:t>i</w:t>
            </w:r>
            <w:r w:rsidRPr="00420C1B">
              <w:rPr>
                <w:rFonts w:ascii="Times New Roman" w:hAnsi="Times New Roman"/>
                <w:sz w:val="20"/>
                <w:szCs w:val="20"/>
              </w:rPr>
              <w:t xml:space="preserve">e </w:t>
            </w:r>
            <w:r w:rsidRPr="00420C1B">
              <w:rPr>
                <w:rFonts w:ascii="Times New Roman" w:hAnsi="Times New Roman"/>
                <w:spacing w:val="1"/>
                <w:sz w:val="20"/>
                <w:szCs w:val="20"/>
              </w:rPr>
              <w:t>li</w:t>
            </w:r>
            <w:r w:rsidRPr="00420C1B">
              <w:rPr>
                <w:rFonts w:ascii="Times New Roman" w:hAnsi="Times New Roman"/>
                <w:spacing w:val="-2"/>
                <w:sz w:val="20"/>
                <w:szCs w:val="20"/>
              </w:rPr>
              <w:t>é</w:t>
            </w:r>
            <w:r w:rsidRPr="00420C1B">
              <w:rPr>
                <w:rFonts w:ascii="Times New Roman" w:hAnsi="Times New Roman"/>
                <w:sz w:val="20"/>
                <w:szCs w:val="20"/>
              </w:rPr>
              <w:t xml:space="preserve">s à </w:t>
            </w:r>
            <w:r w:rsidRPr="00420C1B">
              <w:rPr>
                <w:rFonts w:ascii="Times New Roman" w:hAnsi="Times New Roman"/>
                <w:spacing w:val="3"/>
                <w:sz w:val="20"/>
                <w:szCs w:val="20"/>
              </w:rPr>
              <w:t>l</w:t>
            </w:r>
            <w:r w:rsidRPr="00420C1B">
              <w:rPr>
                <w:rFonts w:ascii="Times New Roman" w:hAnsi="Times New Roman"/>
                <w:spacing w:val="-9"/>
                <w:sz w:val="20"/>
                <w:szCs w:val="20"/>
              </w:rPr>
              <w:t>'</w:t>
            </w:r>
            <w:r w:rsidRPr="00420C1B">
              <w:rPr>
                <w:rFonts w:ascii="Times New Roman" w:hAnsi="Times New Roman"/>
                <w:sz w:val="20"/>
                <w:szCs w:val="20"/>
              </w:rPr>
              <w:t>app</w:t>
            </w:r>
            <w:r w:rsidRPr="00420C1B">
              <w:rPr>
                <w:rFonts w:ascii="Times New Roman" w:hAnsi="Times New Roman"/>
                <w:spacing w:val="1"/>
                <w:sz w:val="20"/>
                <w:szCs w:val="20"/>
              </w:rPr>
              <w:t>r</w:t>
            </w:r>
            <w:r w:rsidRPr="00420C1B">
              <w:rPr>
                <w:rFonts w:ascii="Times New Roman" w:hAnsi="Times New Roman"/>
                <w:sz w:val="20"/>
                <w:szCs w:val="20"/>
              </w:rPr>
              <w:t>o</w:t>
            </w:r>
            <w:r w:rsidRPr="00420C1B">
              <w:rPr>
                <w:rFonts w:ascii="Times New Roman" w:hAnsi="Times New Roman"/>
                <w:spacing w:val="-5"/>
                <w:sz w:val="20"/>
                <w:szCs w:val="20"/>
              </w:rPr>
              <w:t>v</w:t>
            </w:r>
            <w:r w:rsidRPr="00420C1B">
              <w:rPr>
                <w:rFonts w:ascii="Times New Roman" w:hAnsi="Times New Roman"/>
                <w:spacing w:val="1"/>
                <w:sz w:val="20"/>
                <w:szCs w:val="20"/>
              </w:rPr>
              <w:t>isi</w:t>
            </w:r>
            <w:r w:rsidRPr="00420C1B">
              <w:rPr>
                <w:rFonts w:ascii="Times New Roman" w:hAnsi="Times New Roman"/>
                <w:sz w:val="20"/>
                <w:szCs w:val="20"/>
              </w:rPr>
              <w:t>on</w:t>
            </w:r>
            <w:r w:rsidRPr="00420C1B">
              <w:rPr>
                <w:rFonts w:ascii="Times New Roman" w:hAnsi="Times New Roman"/>
                <w:spacing w:val="-2"/>
                <w:sz w:val="20"/>
                <w:szCs w:val="20"/>
              </w:rPr>
              <w:t>n</w:t>
            </w:r>
            <w:r w:rsidRPr="00420C1B">
              <w:rPr>
                <w:rFonts w:ascii="Times New Roman" w:hAnsi="Times New Roman"/>
                <w:sz w:val="20"/>
                <w:szCs w:val="20"/>
              </w:rPr>
              <w:t>e</w:t>
            </w:r>
            <w:r w:rsidRPr="00420C1B">
              <w:rPr>
                <w:rFonts w:ascii="Times New Roman" w:hAnsi="Times New Roman"/>
                <w:spacing w:val="-6"/>
                <w:sz w:val="20"/>
                <w:szCs w:val="20"/>
              </w:rPr>
              <w:t>m</w:t>
            </w:r>
            <w:r w:rsidRPr="00420C1B">
              <w:rPr>
                <w:rFonts w:ascii="Times New Roman" w:hAnsi="Times New Roman"/>
                <w:sz w:val="20"/>
                <w:szCs w:val="20"/>
              </w:rPr>
              <w:t xml:space="preserve">ent du </w:t>
            </w:r>
            <w:r w:rsidRPr="00420C1B">
              <w:rPr>
                <w:rFonts w:ascii="Times New Roman" w:hAnsi="Times New Roman"/>
                <w:spacing w:val="-2"/>
                <w:sz w:val="20"/>
                <w:szCs w:val="20"/>
              </w:rPr>
              <w:t>s</w:t>
            </w:r>
            <w:r w:rsidRPr="00420C1B">
              <w:rPr>
                <w:rFonts w:ascii="Times New Roman" w:hAnsi="Times New Roman"/>
                <w:spacing w:val="-1"/>
                <w:sz w:val="20"/>
                <w:szCs w:val="20"/>
              </w:rPr>
              <w:t>i</w:t>
            </w:r>
            <w:r w:rsidRPr="00420C1B">
              <w:rPr>
                <w:rFonts w:ascii="Times New Roman" w:hAnsi="Times New Roman"/>
                <w:spacing w:val="1"/>
                <w:sz w:val="20"/>
                <w:szCs w:val="20"/>
              </w:rPr>
              <w:t>t</w:t>
            </w:r>
            <w:r w:rsidRPr="00420C1B">
              <w:rPr>
                <w:rFonts w:ascii="Times New Roman" w:hAnsi="Times New Roman"/>
                <w:sz w:val="20"/>
                <w:szCs w:val="20"/>
              </w:rPr>
              <w:t xml:space="preserve">e en </w:t>
            </w:r>
            <w:r w:rsidRPr="00420C1B">
              <w:rPr>
                <w:rFonts w:ascii="Times New Roman" w:hAnsi="Times New Roman"/>
                <w:spacing w:val="1"/>
                <w:sz w:val="20"/>
                <w:szCs w:val="20"/>
              </w:rPr>
              <w:t>c</w:t>
            </w:r>
            <w:r w:rsidRPr="00420C1B">
              <w:rPr>
                <w:rFonts w:ascii="Times New Roman" w:hAnsi="Times New Roman"/>
                <w:spacing w:val="-2"/>
                <w:sz w:val="20"/>
                <w:szCs w:val="20"/>
              </w:rPr>
              <w:t>a</w:t>
            </w:r>
            <w:r w:rsidRPr="00420C1B">
              <w:rPr>
                <w:rFonts w:ascii="Times New Roman" w:hAnsi="Times New Roman"/>
                <w:spacing w:val="1"/>
                <w:sz w:val="20"/>
                <w:szCs w:val="20"/>
              </w:rPr>
              <w:t>r</w:t>
            </w:r>
            <w:r w:rsidRPr="00420C1B">
              <w:rPr>
                <w:rFonts w:ascii="Times New Roman" w:hAnsi="Times New Roman"/>
                <w:sz w:val="20"/>
                <w:szCs w:val="20"/>
              </w:rPr>
              <w:t>b</w:t>
            </w:r>
            <w:r w:rsidRPr="00420C1B">
              <w:rPr>
                <w:rFonts w:ascii="Times New Roman" w:hAnsi="Times New Roman"/>
                <w:spacing w:val="-2"/>
                <w:sz w:val="20"/>
                <w:szCs w:val="20"/>
              </w:rPr>
              <w:t>ur</w:t>
            </w:r>
            <w:r w:rsidRPr="00420C1B">
              <w:rPr>
                <w:rFonts w:ascii="Times New Roman" w:hAnsi="Times New Roman"/>
                <w:sz w:val="20"/>
                <w:szCs w:val="20"/>
              </w:rPr>
              <w:t>a</w:t>
            </w:r>
            <w:r w:rsidRPr="00420C1B">
              <w:rPr>
                <w:rFonts w:ascii="Times New Roman" w:hAnsi="Times New Roman"/>
                <w:spacing w:val="-2"/>
                <w:sz w:val="20"/>
                <w:szCs w:val="20"/>
              </w:rPr>
              <w:t>n</w:t>
            </w:r>
            <w:r w:rsidRPr="00420C1B">
              <w:rPr>
                <w:rFonts w:ascii="Times New Roman" w:hAnsi="Times New Roman"/>
                <w:sz w:val="20"/>
                <w:szCs w:val="20"/>
              </w:rPr>
              <w:t>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ADC474" w14:textId="77777777" w:rsidR="000705BE" w:rsidRPr="00420C1B" w:rsidRDefault="000705BE" w:rsidP="00215867">
            <w:pPr>
              <w:widowControl w:val="0"/>
              <w:tabs>
                <w:tab w:val="left" w:pos="0"/>
              </w:tabs>
              <w:spacing w:after="0"/>
              <w:ind w:left="105"/>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1564FD7"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cas</w:t>
            </w:r>
            <w:r w:rsidRPr="00420C1B">
              <w:rPr>
                <w:rFonts w:ascii="Times New Roman" w:hAnsi="Times New Roman"/>
                <w:spacing w:val="-1"/>
                <w:sz w:val="20"/>
                <w:szCs w:val="20"/>
              </w:rPr>
              <w:t xml:space="preserve"> </w:t>
            </w:r>
            <w:r w:rsidRPr="00420C1B">
              <w:rPr>
                <w:rFonts w:ascii="Times New Roman" w:hAnsi="Times New Roman"/>
                <w:spacing w:val="1"/>
                <w:sz w:val="20"/>
                <w:szCs w:val="20"/>
              </w:rPr>
              <w:t>Tr</w:t>
            </w:r>
            <w:r w:rsidRPr="00420C1B">
              <w:rPr>
                <w:rFonts w:ascii="Times New Roman" w:hAnsi="Times New Roman"/>
                <w:spacing w:val="-9"/>
                <w:sz w:val="20"/>
                <w:szCs w:val="20"/>
              </w:rPr>
              <w:t>i</w:t>
            </w:r>
            <w:r w:rsidRPr="00420C1B">
              <w:rPr>
                <w:rFonts w:ascii="Times New Roman" w:hAnsi="Times New Roman"/>
                <w:sz w:val="20"/>
                <w:szCs w:val="20"/>
              </w:rPr>
              <w:t>m</w:t>
            </w:r>
            <w:r w:rsidRPr="00420C1B">
              <w:rPr>
                <w:rFonts w:ascii="Times New Roman" w:hAnsi="Times New Roman"/>
                <w:spacing w:val="1"/>
                <w:sz w:val="20"/>
                <w:szCs w:val="20"/>
              </w:rPr>
              <w:t>estr</w:t>
            </w:r>
            <w:r w:rsidRPr="00420C1B">
              <w:rPr>
                <w:rFonts w:ascii="Times New Roman" w:hAnsi="Times New Roman"/>
                <w:spacing w:val="-2"/>
                <w:sz w:val="20"/>
                <w:szCs w:val="20"/>
              </w:rPr>
              <w:t>i</w:t>
            </w:r>
            <w:r w:rsidRPr="00420C1B">
              <w:rPr>
                <w:rFonts w:ascii="Times New Roman" w:hAnsi="Times New Roman"/>
                <w:sz w:val="20"/>
                <w:szCs w:val="20"/>
              </w:rPr>
              <w:t>els</w:t>
            </w:r>
          </w:p>
        </w:tc>
      </w:tr>
      <w:tr w:rsidR="00D75D2E" w:rsidRPr="00420C1B" w14:paraId="707FB463"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5AA454DA"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1.10</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6D5827FA" w14:textId="77777777" w:rsidR="000705BE" w:rsidRPr="00420C1B" w:rsidRDefault="000705BE" w:rsidP="00215867">
            <w:pPr>
              <w:widowControl w:val="0"/>
              <w:tabs>
                <w:tab w:val="left" w:pos="0"/>
              </w:tabs>
              <w:spacing w:after="0"/>
              <w:ind w:left="102" w:right="285"/>
              <w:rPr>
                <w:rFonts w:ascii="Times New Roman" w:hAnsi="Times New Roman"/>
                <w:sz w:val="20"/>
                <w:szCs w:val="20"/>
              </w:rPr>
            </w:pPr>
            <w:r w:rsidRPr="00420C1B">
              <w:rPr>
                <w:rFonts w:ascii="Times New Roman" w:hAnsi="Times New Roman"/>
                <w:spacing w:val="-1"/>
                <w:sz w:val="20"/>
                <w:szCs w:val="20"/>
              </w:rPr>
              <w:t>D</w:t>
            </w:r>
            <w:r w:rsidRPr="00420C1B">
              <w:rPr>
                <w:rFonts w:ascii="Times New Roman" w:hAnsi="Times New Roman"/>
                <w:spacing w:val="1"/>
                <w:sz w:val="20"/>
                <w:szCs w:val="20"/>
              </w:rPr>
              <w:t>i</w:t>
            </w:r>
            <w:r w:rsidRPr="00420C1B">
              <w:rPr>
                <w:rFonts w:ascii="Times New Roman" w:hAnsi="Times New Roman"/>
                <w:sz w:val="20"/>
                <w:szCs w:val="20"/>
              </w:rPr>
              <w:t>sp</w:t>
            </w:r>
            <w:r w:rsidRPr="00420C1B">
              <w:rPr>
                <w:rFonts w:ascii="Times New Roman" w:hAnsi="Times New Roman"/>
                <w:spacing w:val="-2"/>
                <w:sz w:val="20"/>
                <w:szCs w:val="20"/>
              </w:rPr>
              <w:t>o</w:t>
            </w:r>
            <w:r w:rsidRPr="00420C1B">
              <w:rPr>
                <w:rFonts w:ascii="Times New Roman" w:hAnsi="Times New Roman"/>
                <w:spacing w:val="1"/>
                <w:sz w:val="20"/>
                <w:szCs w:val="20"/>
              </w:rPr>
              <w:t>s</w:t>
            </w:r>
            <w:r w:rsidRPr="00420C1B">
              <w:rPr>
                <w:rFonts w:ascii="Times New Roman" w:hAnsi="Times New Roman"/>
                <w:spacing w:val="-2"/>
                <w:sz w:val="20"/>
                <w:szCs w:val="20"/>
              </w:rPr>
              <w:t>e</w:t>
            </w:r>
            <w:r w:rsidRPr="00420C1B">
              <w:rPr>
                <w:rFonts w:ascii="Times New Roman" w:hAnsi="Times New Roman"/>
                <w:sz w:val="20"/>
                <w:szCs w:val="20"/>
              </w:rPr>
              <w:t xml:space="preserve">r </w:t>
            </w:r>
            <w:r w:rsidRPr="00420C1B">
              <w:rPr>
                <w:rFonts w:ascii="Times New Roman" w:hAnsi="Times New Roman"/>
                <w:spacing w:val="-2"/>
                <w:sz w:val="20"/>
                <w:szCs w:val="20"/>
              </w:rPr>
              <w:t>d</w:t>
            </w:r>
            <w:r w:rsidRPr="00420C1B">
              <w:rPr>
                <w:rFonts w:ascii="Times New Roman" w:hAnsi="Times New Roman"/>
                <w:sz w:val="20"/>
                <w:szCs w:val="20"/>
              </w:rPr>
              <w:t>e</w:t>
            </w:r>
            <w:r w:rsidRPr="00420C1B">
              <w:rPr>
                <w:rFonts w:ascii="Times New Roman" w:hAnsi="Times New Roman"/>
                <w:spacing w:val="-6"/>
                <w:sz w:val="20"/>
                <w:szCs w:val="20"/>
              </w:rPr>
              <w:t xml:space="preserve"> </w:t>
            </w:r>
            <w:r w:rsidRPr="00420C1B">
              <w:rPr>
                <w:rFonts w:ascii="Times New Roman" w:hAnsi="Times New Roman"/>
                <w:sz w:val="20"/>
                <w:szCs w:val="20"/>
              </w:rPr>
              <w:t>m</w:t>
            </w:r>
            <w:r w:rsidRPr="00420C1B">
              <w:rPr>
                <w:rFonts w:ascii="Times New Roman" w:hAnsi="Times New Roman"/>
                <w:spacing w:val="1"/>
                <w:sz w:val="20"/>
                <w:szCs w:val="20"/>
              </w:rPr>
              <w:t>a</w:t>
            </w:r>
            <w:r w:rsidRPr="00420C1B">
              <w:rPr>
                <w:rFonts w:ascii="Times New Roman" w:hAnsi="Times New Roman"/>
                <w:sz w:val="20"/>
                <w:szCs w:val="20"/>
              </w:rPr>
              <w:t>t</w:t>
            </w:r>
            <w:r w:rsidRPr="00420C1B">
              <w:rPr>
                <w:rFonts w:ascii="Times New Roman" w:hAnsi="Times New Roman"/>
                <w:spacing w:val="1"/>
                <w:sz w:val="20"/>
                <w:szCs w:val="20"/>
              </w:rPr>
              <w:t>é</w:t>
            </w:r>
            <w:r w:rsidRPr="00420C1B">
              <w:rPr>
                <w:rFonts w:ascii="Times New Roman" w:hAnsi="Times New Roman"/>
                <w:spacing w:val="-1"/>
                <w:sz w:val="20"/>
                <w:szCs w:val="20"/>
              </w:rPr>
              <w:t>r</w:t>
            </w:r>
            <w:r w:rsidRPr="00420C1B">
              <w:rPr>
                <w:rFonts w:ascii="Times New Roman" w:hAnsi="Times New Roman"/>
                <w:sz w:val="20"/>
                <w:szCs w:val="20"/>
              </w:rPr>
              <w:t>i</w:t>
            </w:r>
            <w:r w:rsidRPr="00420C1B">
              <w:rPr>
                <w:rFonts w:ascii="Times New Roman" w:hAnsi="Times New Roman"/>
                <w:spacing w:val="-1"/>
                <w:sz w:val="20"/>
                <w:szCs w:val="20"/>
              </w:rPr>
              <w:t>e</w:t>
            </w:r>
            <w:r w:rsidRPr="00420C1B">
              <w:rPr>
                <w:rFonts w:ascii="Times New Roman" w:hAnsi="Times New Roman"/>
                <w:sz w:val="20"/>
                <w:szCs w:val="20"/>
              </w:rPr>
              <w:t xml:space="preserve">ls </w:t>
            </w:r>
            <w:r w:rsidRPr="00420C1B">
              <w:rPr>
                <w:rFonts w:ascii="Times New Roman" w:hAnsi="Times New Roman"/>
                <w:spacing w:val="1"/>
                <w:sz w:val="20"/>
                <w:szCs w:val="20"/>
              </w:rPr>
              <w:t>d</w:t>
            </w:r>
            <w:r w:rsidRPr="00420C1B">
              <w:rPr>
                <w:rFonts w:ascii="Times New Roman" w:hAnsi="Times New Roman"/>
                <w:spacing w:val="-6"/>
                <w:sz w:val="20"/>
                <w:szCs w:val="20"/>
              </w:rPr>
              <w:t>'</w:t>
            </w:r>
            <w:r w:rsidRPr="00420C1B">
              <w:rPr>
                <w:rFonts w:ascii="Times New Roman" w:hAnsi="Times New Roman"/>
                <w:spacing w:val="1"/>
                <w:sz w:val="20"/>
                <w:szCs w:val="20"/>
              </w:rPr>
              <w:t>i</w:t>
            </w:r>
            <w:r w:rsidRPr="00420C1B">
              <w:rPr>
                <w:rFonts w:ascii="Times New Roman" w:hAnsi="Times New Roman"/>
                <w:sz w:val="20"/>
                <w:szCs w:val="20"/>
              </w:rPr>
              <w:t>n</w:t>
            </w:r>
            <w:r w:rsidRPr="00420C1B">
              <w:rPr>
                <w:rFonts w:ascii="Times New Roman" w:hAnsi="Times New Roman"/>
                <w:spacing w:val="1"/>
                <w:sz w:val="20"/>
                <w:szCs w:val="20"/>
              </w:rPr>
              <w:t>t</w:t>
            </w:r>
            <w:r w:rsidRPr="00420C1B">
              <w:rPr>
                <w:rFonts w:ascii="Times New Roman" w:hAnsi="Times New Roman"/>
                <w:spacing w:val="-2"/>
                <w:sz w:val="20"/>
                <w:szCs w:val="20"/>
              </w:rPr>
              <w:t>e</w:t>
            </w:r>
            <w:r w:rsidRPr="00420C1B">
              <w:rPr>
                <w:rFonts w:ascii="Times New Roman" w:hAnsi="Times New Roman"/>
                <w:spacing w:val="3"/>
                <w:sz w:val="20"/>
                <w:szCs w:val="20"/>
              </w:rPr>
              <w:t>r</w:t>
            </w:r>
            <w:r w:rsidRPr="00420C1B">
              <w:rPr>
                <w:rFonts w:ascii="Times New Roman" w:hAnsi="Times New Roman"/>
                <w:spacing w:val="-5"/>
                <w:sz w:val="20"/>
                <w:szCs w:val="20"/>
              </w:rPr>
              <w:t>v</w:t>
            </w:r>
            <w:r w:rsidRPr="00420C1B">
              <w:rPr>
                <w:rFonts w:ascii="Times New Roman" w:hAnsi="Times New Roman"/>
                <w:sz w:val="20"/>
                <w:szCs w:val="20"/>
              </w:rPr>
              <w:t>en</w:t>
            </w:r>
            <w:r w:rsidRPr="00420C1B">
              <w:rPr>
                <w:rFonts w:ascii="Times New Roman" w:hAnsi="Times New Roman"/>
                <w:spacing w:val="1"/>
                <w:sz w:val="20"/>
                <w:szCs w:val="20"/>
              </w:rPr>
              <w:t>ti</w:t>
            </w:r>
            <w:r w:rsidRPr="00420C1B">
              <w:rPr>
                <w:rFonts w:ascii="Times New Roman" w:hAnsi="Times New Roman"/>
                <w:sz w:val="20"/>
                <w:szCs w:val="20"/>
              </w:rPr>
              <w:t>on e</w:t>
            </w:r>
            <w:r w:rsidRPr="00420C1B">
              <w:rPr>
                <w:rFonts w:ascii="Times New Roman" w:hAnsi="Times New Roman"/>
                <w:spacing w:val="-4"/>
                <w:sz w:val="20"/>
                <w:szCs w:val="20"/>
              </w:rPr>
              <w:t xml:space="preserve">n </w:t>
            </w:r>
            <w:r w:rsidRPr="00420C1B">
              <w:rPr>
                <w:rFonts w:ascii="Times New Roman" w:hAnsi="Times New Roman"/>
                <w:sz w:val="20"/>
                <w:szCs w:val="20"/>
              </w:rPr>
              <w:t xml:space="preserve">cas </w:t>
            </w:r>
            <w:r w:rsidRPr="00420C1B">
              <w:rPr>
                <w:rFonts w:ascii="Times New Roman" w:hAnsi="Times New Roman"/>
                <w:spacing w:val="2"/>
                <w:sz w:val="20"/>
                <w:szCs w:val="20"/>
              </w:rPr>
              <w:t>d</w:t>
            </w:r>
            <w:r w:rsidRPr="00420C1B">
              <w:rPr>
                <w:rFonts w:ascii="Times New Roman" w:hAnsi="Times New Roman"/>
                <w:spacing w:val="-9"/>
                <w:sz w:val="20"/>
                <w:szCs w:val="20"/>
              </w:rPr>
              <w:t>'</w:t>
            </w:r>
            <w:r w:rsidRPr="00420C1B">
              <w:rPr>
                <w:rFonts w:ascii="Times New Roman" w:hAnsi="Times New Roman"/>
                <w:spacing w:val="1"/>
                <w:sz w:val="20"/>
                <w:szCs w:val="20"/>
              </w:rPr>
              <w:t>i</w:t>
            </w:r>
            <w:r w:rsidRPr="00420C1B">
              <w:rPr>
                <w:rFonts w:ascii="Times New Roman" w:hAnsi="Times New Roman"/>
                <w:sz w:val="20"/>
                <w:szCs w:val="20"/>
              </w:rPr>
              <w:t>ncend</w:t>
            </w:r>
            <w:r w:rsidRPr="00420C1B">
              <w:rPr>
                <w:rFonts w:ascii="Times New Roman" w:hAnsi="Times New Roman"/>
                <w:spacing w:val="1"/>
                <w:sz w:val="20"/>
                <w:szCs w:val="20"/>
              </w:rPr>
              <w:t>i</w:t>
            </w:r>
            <w:r w:rsidRPr="00420C1B">
              <w:rPr>
                <w:rFonts w:ascii="Times New Roman" w:hAnsi="Times New Roman"/>
                <w:sz w:val="20"/>
                <w:szCs w:val="20"/>
              </w:rPr>
              <w:t xml:space="preserve">es </w:t>
            </w:r>
            <w:r w:rsidRPr="00420C1B">
              <w:rPr>
                <w:rFonts w:ascii="Times New Roman" w:hAnsi="Times New Roman"/>
                <w:spacing w:val="1"/>
                <w:sz w:val="20"/>
                <w:szCs w:val="20"/>
              </w:rPr>
              <w:t>(</w:t>
            </w:r>
            <w:r w:rsidRPr="00420C1B">
              <w:rPr>
                <w:rFonts w:ascii="Times New Roman" w:hAnsi="Times New Roman"/>
                <w:sz w:val="20"/>
                <w:szCs w:val="20"/>
              </w:rPr>
              <w:t>e</w:t>
            </w:r>
            <w:r w:rsidRPr="00420C1B">
              <w:rPr>
                <w:rFonts w:ascii="Times New Roman" w:hAnsi="Times New Roman"/>
                <w:spacing w:val="-5"/>
                <w:sz w:val="20"/>
                <w:szCs w:val="20"/>
              </w:rPr>
              <w:t>x</w:t>
            </w:r>
            <w:r w:rsidRPr="00420C1B">
              <w:rPr>
                <w:rFonts w:ascii="Times New Roman" w:hAnsi="Times New Roman"/>
                <w:spacing w:val="1"/>
                <w:sz w:val="20"/>
                <w:szCs w:val="20"/>
              </w:rPr>
              <w:t>ti</w:t>
            </w:r>
            <w:r w:rsidRPr="00420C1B">
              <w:rPr>
                <w:rFonts w:ascii="Times New Roman" w:hAnsi="Times New Roman"/>
                <w:spacing w:val="-2"/>
                <w:sz w:val="20"/>
                <w:szCs w:val="20"/>
              </w:rPr>
              <w:t>nc</w:t>
            </w:r>
            <w:r w:rsidRPr="00420C1B">
              <w:rPr>
                <w:rFonts w:ascii="Times New Roman" w:hAnsi="Times New Roman"/>
                <w:spacing w:val="1"/>
                <w:sz w:val="20"/>
                <w:szCs w:val="20"/>
              </w:rPr>
              <w:t>t</w:t>
            </w:r>
            <w:r w:rsidRPr="00420C1B">
              <w:rPr>
                <w:rFonts w:ascii="Times New Roman" w:hAnsi="Times New Roman"/>
                <w:sz w:val="20"/>
                <w:szCs w:val="20"/>
              </w:rPr>
              <w:t>e</w:t>
            </w:r>
            <w:r w:rsidRPr="00420C1B">
              <w:rPr>
                <w:rFonts w:ascii="Times New Roman" w:hAnsi="Times New Roman"/>
                <w:spacing w:val="-2"/>
                <w:sz w:val="20"/>
                <w:szCs w:val="20"/>
              </w:rPr>
              <w:t>u</w:t>
            </w:r>
            <w:r w:rsidRPr="00420C1B">
              <w:rPr>
                <w:rFonts w:ascii="Times New Roman" w:hAnsi="Times New Roman"/>
                <w:spacing w:val="1"/>
                <w:sz w:val="20"/>
                <w:szCs w:val="20"/>
              </w:rPr>
              <w:t>r</w:t>
            </w:r>
            <w:r w:rsidRPr="00420C1B">
              <w:rPr>
                <w:rFonts w:ascii="Times New Roman" w:hAnsi="Times New Roman"/>
                <w:sz w:val="20"/>
                <w:szCs w:val="20"/>
              </w:rPr>
              <w:t xml:space="preserve">s, </w:t>
            </w:r>
            <w:r w:rsidRPr="00420C1B">
              <w:rPr>
                <w:rFonts w:ascii="Times New Roman" w:hAnsi="Times New Roman"/>
                <w:spacing w:val="-4"/>
                <w:sz w:val="20"/>
                <w:szCs w:val="20"/>
              </w:rPr>
              <w:t>b</w:t>
            </w:r>
            <w:r w:rsidRPr="00420C1B">
              <w:rPr>
                <w:rFonts w:ascii="Times New Roman" w:hAnsi="Times New Roman"/>
                <w:sz w:val="20"/>
                <w:szCs w:val="20"/>
              </w:rPr>
              <w:t xml:space="preserve">acs à </w:t>
            </w:r>
            <w:r w:rsidRPr="00420C1B">
              <w:rPr>
                <w:rFonts w:ascii="Times New Roman" w:hAnsi="Times New Roman"/>
                <w:spacing w:val="-2"/>
                <w:sz w:val="20"/>
                <w:szCs w:val="20"/>
              </w:rPr>
              <w:t>s</w:t>
            </w:r>
            <w:r w:rsidRPr="00420C1B">
              <w:rPr>
                <w:rFonts w:ascii="Times New Roman" w:hAnsi="Times New Roman"/>
                <w:sz w:val="20"/>
                <w:szCs w:val="20"/>
              </w:rPr>
              <w:t>a</w:t>
            </w:r>
            <w:r w:rsidRPr="00420C1B">
              <w:rPr>
                <w:rFonts w:ascii="Times New Roman" w:hAnsi="Times New Roman"/>
                <w:spacing w:val="-2"/>
                <w:sz w:val="20"/>
                <w:szCs w:val="20"/>
              </w:rPr>
              <w:t>b</w:t>
            </w:r>
            <w:r w:rsidRPr="00420C1B">
              <w:rPr>
                <w:rFonts w:ascii="Times New Roman" w:hAnsi="Times New Roman"/>
                <w:spacing w:val="-1"/>
                <w:sz w:val="20"/>
                <w:szCs w:val="20"/>
              </w:rPr>
              <w:t>l</w:t>
            </w:r>
            <w:r w:rsidRPr="00420C1B">
              <w:rPr>
                <w:rFonts w:ascii="Times New Roman" w:hAnsi="Times New Roman"/>
                <w:sz w:val="20"/>
                <w:szCs w:val="20"/>
              </w:rPr>
              <w:t xml:space="preserve">e, </w:t>
            </w:r>
            <w:r w:rsidRPr="00420C1B">
              <w:rPr>
                <w:rFonts w:ascii="Times New Roman" w:hAnsi="Times New Roman"/>
                <w:spacing w:val="-2"/>
                <w:sz w:val="20"/>
                <w:szCs w:val="20"/>
              </w:rPr>
              <w:t>e</w:t>
            </w:r>
            <w:r w:rsidRPr="00420C1B">
              <w:rPr>
                <w:rFonts w:ascii="Times New Roman" w:hAnsi="Times New Roman"/>
                <w:spacing w:val="1"/>
                <w:sz w:val="20"/>
                <w:szCs w:val="20"/>
              </w:rPr>
              <w:t>t</w:t>
            </w:r>
            <w:r w:rsidRPr="00420C1B">
              <w:rPr>
                <w:rFonts w:ascii="Times New Roman" w:hAnsi="Times New Roman"/>
                <w:sz w:val="20"/>
                <w:szCs w:val="20"/>
              </w:rPr>
              <w:t>c</w:t>
            </w:r>
            <w:r w:rsidRPr="00420C1B">
              <w:rPr>
                <w:rFonts w:ascii="Times New Roman" w:hAnsi="Times New Roman"/>
                <w:spacing w:val="-5"/>
                <w:sz w:val="20"/>
                <w:szCs w:val="20"/>
              </w:rPr>
              <w:t>.</w:t>
            </w:r>
            <w:r w:rsidRPr="00420C1B">
              <w:rPr>
                <w:rFonts w:ascii="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029A87" w14:textId="77777777" w:rsidR="000705BE" w:rsidRPr="00420C1B" w:rsidRDefault="000705BE" w:rsidP="00215867">
            <w:pPr>
              <w:widowControl w:val="0"/>
              <w:tabs>
                <w:tab w:val="left" w:pos="0"/>
              </w:tabs>
              <w:spacing w:after="0"/>
              <w:ind w:left="105"/>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00EF1EDD" w14:textId="77777777" w:rsidR="000705BE" w:rsidRPr="00420C1B" w:rsidRDefault="000705BE" w:rsidP="00215867">
            <w:pPr>
              <w:widowControl w:val="0"/>
              <w:tabs>
                <w:tab w:val="left" w:pos="0"/>
              </w:tabs>
              <w:spacing w:after="0"/>
              <w:ind w:left="102" w:right="854"/>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 xml:space="preserve">e </w:t>
            </w:r>
            <w:r w:rsidRPr="00420C1B">
              <w:rPr>
                <w:rFonts w:ascii="Times New Roman" w:hAnsi="Times New Roman"/>
                <w:spacing w:val="5"/>
                <w:sz w:val="20"/>
                <w:szCs w:val="20"/>
              </w:rPr>
              <w:t>d</w:t>
            </w:r>
            <w:r w:rsidRPr="00420C1B">
              <w:rPr>
                <w:rFonts w:ascii="Times New Roman" w:hAnsi="Times New Roman"/>
                <w:spacing w:val="-9"/>
                <w:sz w:val="20"/>
                <w:szCs w:val="20"/>
              </w:rPr>
              <w:t>'</w:t>
            </w:r>
            <w:r w:rsidRPr="00420C1B">
              <w:rPr>
                <w:rFonts w:ascii="Times New Roman" w:hAnsi="Times New Roman"/>
                <w:sz w:val="20"/>
                <w:szCs w:val="20"/>
              </w:rPr>
              <w:t>équ</w:t>
            </w:r>
            <w:r w:rsidRPr="00420C1B">
              <w:rPr>
                <w:rFonts w:ascii="Times New Roman" w:hAnsi="Times New Roman"/>
                <w:spacing w:val="1"/>
                <w:sz w:val="20"/>
                <w:szCs w:val="20"/>
              </w:rPr>
              <w:t>i</w:t>
            </w:r>
            <w:r w:rsidRPr="00420C1B">
              <w:rPr>
                <w:rFonts w:ascii="Times New Roman" w:hAnsi="Times New Roman"/>
                <w:sz w:val="20"/>
                <w:szCs w:val="20"/>
              </w:rPr>
              <w:t>pe</w:t>
            </w:r>
            <w:r w:rsidRPr="00420C1B">
              <w:rPr>
                <w:rFonts w:ascii="Times New Roman" w:hAnsi="Times New Roman"/>
                <w:spacing w:val="-6"/>
                <w:sz w:val="20"/>
                <w:szCs w:val="20"/>
              </w:rPr>
              <w:t>m</w:t>
            </w:r>
            <w:r w:rsidRPr="00420C1B">
              <w:rPr>
                <w:rFonts w:ascii="Times New Roman" w:hAnsi="Times New Roman"/>
                <w:sz w:val="20"/>
                <w:szCs w:val="20"/>
              </w:rPr>
              <w:t>en</w:t>
            </w:r>
            <w:r w:rsidRPr="00420C1B">
              <w:rPr>
                <w:rFonts w:ascii="Times New Roman" w:hAnsi="Times New Roman"/>
                <w:spacing w:val="1"/>
                <w:sz w:val="20"/>
                <w:szCs w:val="20"/>
              </w:rPr>
              <w:t>t</w:t>
            </w:r>
            <w:r w:rsidRPr="00420C1B">
              <w:rPr>
                <w:rFonts w:ascii="Times New Roman" w:hAnsi="Times New Roman"/>
                <w:sz w:val="20"/>
                <w:szCs w:val="20"/>
              </w:rPr>
              <w:t>s d</w:t>
            </w:r>
            <w:r w:rsidRPr="00420C1B">
              <w:rPr>
                <w:rFonts w:ascii="Times New Roman" w:hAnsi="Times New Roman"/>
                <w:spacing w:val="1"/>
                <w:sz w:val="20"/>
                <w:szCs w:val="20"/>
              </w:rPr>
              <w:t>is</w:t>
            </w:r>
            <w:r w:rsidRPr="00420C1B">
              <w:rPr>
                <w:rFonts w:ascii="Times New Roman" w:hAnsi="Times New Roman"/>
                <w:sz w:val="20"/>
                <w:szCs w:val="20"/>
              </w:rPr>
              <w:t>p</w:t>
            </w:r>
            <w:r w:rsidRPr="00420C1B">
              <w:rPr>
                <w:rFonts w:ascii="Times New Roman" w:hAnsi="Times New Roman"/>
                <w:spacing w:val="-2"/>
                <w:sz w:val="20"/>
                <w:szCs w:val="20"/>
              </w:rPr>
              <w:t>o</w:t>
            </w:r>
            <w:r w:rsidRPr="00420C1B">
              <w:rPr>
                <w:rFonts w:ascii="Times New Roman" w:hAnsi="Times New Roman"/>
                <w:sz w:val="20"/>
                <w:szCs w:val="20"/>
              </w:rPr>
              <w:t>n</w:t>
            </w:r>
            <w:r w:rsidRPr="00420C1B">
              <w:rPr>
                <w:rFonts w:ascii="Times New Roman" w:hAnsi="Times New Roman"/>
                <w:spacing w:val="1"/>
                <w:sz w:val="20"/>
                <w:szCs w:val="20"/>
              </w:rPr>
              <w:t>i</w:t>
            </w:r>
            <w:r w:rsidRPr="00420C1B">
              <w:rPr>
                <w:rFonts w:ascii="Times New Roman" w:hAnsi="Times New Roman"/>
                <w:spacing w:val="-2"/>
                <w:sz w:val="20"/>
                <w:szCs w:val="20"/>
              </w:rPr>
              <w:t>b</w:t>
            </w:r>
            <w:r w:rsidRPr="00420C1B">
              <w:rPr>
                <w:rFonts w:ascii="Times New Roman" w:hAnsi="Times New Roman"/>
                <w:spacing w:val="2"/>
                <w:sz w:val="20"/>
                <w:szCs w:val="20"/>
              </w:rPr>
              <w:t>l</w:t>
            </w:r>
            <w:r w:rsidRPr="00420C1B">
              <w:rPr>
                <w:rFonts w:ascii="Times New Roman" w:hAnsi="Times New Roman"/>
                <w:spacing w:val="-2"/>
                <w:sz w:val="20"/>
                <w:szCs w:val="20"/>
              </w:rPr>
              <w:t>es</w:t>
            </w:r>
          </w:p>
        </w:tc>
      </w:tr>
      <w:tr w:rsidR="00D75D2E" w:rsidRPr="00420C1B" w14:paraId="1C38C3A1"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6E382B54"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1.11</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7BE33A83"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For</w:t>
            </w:r>
            <w:r w:rsidRPr="00420C1B">
              <w:rPr>
                <w:rFonts w:ascii="Times New Roman" w:hAnsi="Times New Roman"/>
                <w:spacing w:val="-6"/>
                <w:sz w:val="20"/>
                <w:szCs w:val="20"/>
              </w:rPr>
              <w:t>m</w:t>
            </w:r>
            <w:r w:rsidRPr="00420C1B">
              <w:rPr>
                <w:rFonts w:ascii="Times New Roman" w:hAnsi="Times New Roman"/>
                <w:sz w:val="20"/>
                <w:szCs w:val="20"/>
              </w:rPr>
              <w:t>a</w:t>
            </w:r>
            <w:r w:rsidRPr="00420C1B">
              <w:rPr>
                <w:rFonts w:ascii="Times New Roman" w:hAnsi="Times New Roman"/>
                <w:spacing w:val="1"/>
                <w:sz w:val="20"/>
                <w:szCs w:val="20"/>
              </w:rPr>
              <w:t>ti</w:t>
            </w:r>
            <w:r w:rsidRPr="00420C1B">
              <w:rPr>
                <w:rFonts w:ascii="Times New Roman" w:hAnsi="Times New Roman"/>
                <w:sz w:val="20"/>
                <w:szCs w:val="20"/>
              </w:rPr>
              <w:t xml:space="preserve">on </w:t>
            </w:r>
            <w:r w:rsidRPr="00420C1B">
              <w:rPr>
                <w:rFonts w:ascii="Times New Roman" w:hAnsi="Times New Roman"/>
                <w:spacing w:val="-2"/>
                <w:sz w:val="20"/>
                <w:szCs w:val="20"/>
              </w:rPr>
              <w:t>d</w:t>
            </w:r>
            <w:r w:rsidRPr="00420C1B">
              <w:rPr>
                <w:rFonts w:ascii="Times New Roman" w:hAnsi="Times New Roman"/>
                <w:sz w:val="20"/>
                <w:szCs w:val="20"/>
              </w:rPr>
              <w:t xml:space="preserve">es </w:t>
            </w:r>
            <w:r w:rsidRPr="00420C1B">
              <w:rPr>
                <w:rFonts w:ascii="Times New Roman" w:hAnsi="Times New Roman"/>
                <w:spacing w:val="-5"/>
                <w:sz w:val="20"/>
                <w:szCs w:val="20"/>
              </w:rPr>
              <w:t>a</w:t>
            </w:r>
            <w:r w:rsidRPr="00420C1B">
              <w:rPr>
                <w:rFonts w:ascii="Times New Roman" w:hAnsi="Times New Roman"/>
                <w:sz w:val="20"/>
                <w:szCs w:val="20"/>
              </w:rPr>
              <w:t>g</w:t>
            </w:r>
            <w:r w:rsidRPr="00420C1B">
              <w:rPr>
                <w:rFonts w:ascii="Times New Roman" w:hAnsi="Times New Roman"/>
                <w:spacing w:val="-2"/>
                <w:sz w:val="20"/>
                <w:szCs w:val="20"/>
              </w:rPr>
              <w:t>e</w:t>
            </w:r>
            <w:r w:rsidRPr="00420C1B">
              <w:rPr>
                <w:rFonts w:ascii="Times New Roman" w:hAnsi="Times New Roman"/>
                <w:spacing w:val="2"/>
                <w:sz w:val="20"/>
                <w:szCs w:val="20"/>
              </w:rPr>
              <w:t>n</w:t>
            </w:r>
            <w:r w:rsidRPr="00420C1B">
              <w:rPr>
                <w:rFonts w:ascii="Times New Roman" w:hAnsi="Times New Roman"/>
                <w:sz w:val="20"/>
                <w:szCs w:val="20"/>
              </w:rPr>
              <w:t>ts</w:t>
            </w:r>
            <w:r w:rsidRPr="00420C1B">
              <w:rPr>
                <w:rFonts w:ascii="Times New Roman" w:hAnsi="Times New Roman"/>
                <w:spacing w:val="1"/>
                <w:sz w:val="20"/>
                <w:szCs w:val="20"/>
              </w:rPr>
              <w:t xml:space="preserve"> s</w:t>
            </w:r>
            <w:r w:rsidRPr="00420C1B">
              <w:rPr>
                <w:rFonts w:ascii="Times New Roman" w:hAnsi="Times New Roman"/>
                <w:spacing w:val="-2"/>
                <w:sz w:val="20"/>
                <w:szCs w:val="20"/>
              </w:rPr>
              <w:t>u</w:t>
            </w:r>
            <w:r w:rsidRPr="00420C1B">
              <w:rPr>
                <w:rFonts w:ascii="Times New Roman" w:hAnsi="Times New Roman"/>
                <w:sz w:val="20"/>
                <w:szCs w:val="20"/>
              </w:rPr>
              <w:t xml:space="preserve">r </w:t>
            </w:r>
            <w:r w:rsidRPr="00420C1B">
              <w:rPr>
                <w:rFonts w:ascii="Times New Roman" w:hAnsi="Times New Roman"/>
                <w:spacing w:val="1"/>
                <w:sz w:val="20"/>
                <w:szCs w:val="20"/>
              </w:rPr>
              <w:t>l</w:t>
            </w:r>
            <w:r w:rsidRPr="00420C1B">
              <w:rPr>
                <w:rFonts w:ascii="Times New Roman" w:hAnsi="Times New Roman"/>
                <w:spacing w:val="-4"/>
                <w:sz w:val="20"/>
                <w:szCs w:val="20"/>
              </w:rPr>
              <w:t>e</w:t>
            </w:r>
            <w:r w:rsidRPr="00420C1B">
              <w:rPr>
                <w:rFonts w:ascii="Times New Roman" w:hAnsi="Times New Roman"/>
                <w:sz w:val="20"/>
                <w:szCs w:val="20"/>
              </w:rPr>
              <w:t xml:space="preserve">s </w:t>
            </w:r>
            <w:r w:rsidRPr="00420C1B">
              <w:rPr>
                <w:rFonts w:ascii="Times New Roman" w:hAnsi="Times New Roman"/>
                <w:spacing w:val="-6"/>
                <w:sz w:val="20"/>
                <w:szCs w:val="20"/>
              </w:rPr>
              <w:t>m</w:t>
            </w:r>
            <w:r w:rsidRPr="00420C1B">
              <w:rPr>
                <w:rFonts w:ascii="Times New Roman" w:hAnsi="Times New Roman"/>
                <w:sz w:val="20"/>
                <w:szCs w:val="20"/>
              </w:rPr>
              <w:t>e</w:t>
            </w:r>
            <w:r w:rsidRPr="00420C1B">
              <w:rPr>
                <w:rFonts w:ascii="Times New Roman" w:hAnsi="Times New Roman"/>
                <w:spacing w:val="1"/>
                <w:sz w:val="20"/>
                <w:szCs w:val="20"/>
              </w:rPr>
              <w:t>s</w:t>
            </w:r>
            <w:r w:rsidRPr="00420C1B">
              <w:rPr>
                <w:rFonts w:ascii="Times New Roman" w:hAnsi="Times New Roman"/>
                <w:sz w:val="20"/>
                <w:szCs w:val="20"/>
              </w:rPr>
              <w:t>u</w:t>
            </w:r>
            <w:r w:rsidRPr="00420C1B">
              <w:rPr>
                <w:rFonts w:ascii="Times New Roman" w:hAnsi="Times New Roman"/>
                <w:spacing w:val="1"/>
                <w:sz w:val="20"/>
                <w:szCs w:val="20"/>
              </w:rPr>
              <w:t>r</w:t>
            </w:r>
            <w:r w:rsidRPr="00420C1B">
              <w:rPr>
                <w:rFonts w:ascii="Times New Roman" w:hAnsi="Times New Roman"/>
                <w:sz w:val="20"/>
                <w:szCs w:val="20"/>
              </w:rPr>
              <w:t>es</w:t>
            </w:r>
          </w:p>
          <w:p w14:paraId="57489D50"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Séc</w:t>
            </w:r>
            <w:r w:rsidRPr="00420C1B">
              <w:rPr>
                <w:rFonts w:ascii="Times New Roman" w:hAnsi="Times New Roman"/>
                <w:spacing w:val="-2"/>
                <w:sz w:val="20"/>
                <w:szCs w:val="20"/>
              </w:rPr>
              <w:t>ur</w:t>
            </w:r>
            <w:r w:rsidRPr="00420C1B">
              <w:rPr>
                <w:rFonts w:ascii="Times New Roman" w:hAnsi="Times New Roman"/>
                <w:spacing w:val="1"/>
                <w:sz w:val="20"/>
                <w:szCs w:val="20"/>
              </w:rPr>
              <w:t>it</w:t>
            </w:r>
            <w:r w:rsidRPr="00420C1B">
              <w:rPr>
                <w:rFonts w:ascii="Times New Roman" w:hAnsi="Times New Roman"/>
                <w:spacing w:val="-2"/>
                <w:sz w:val="20"/>
                <w:szCs w:val="20"/>
              </w:rPr>
              <w:t>a</w:t>
            </w:r>
            <w:r w:rsidRPr="00420C1B">
              <w:rPr>
                <w:rFonts w:ascii="Times New Roman" w:hAnsi="Times New Roman"/>
                <w:spacing w:val="1"/>
                <w:sz w:val="20"/>
                <w:szCs w:val="20"/>
              </w:rPr>
              <w:t>ir</w:t>
            </w:r>
            <w:r w:rsidRPr="00420C1B">
              <w:rPr>
                <w:rFonts w:ascii="Times New Roman" w:hAnsi="Times New Roman"/>
                <w:spacing w:val="-2"/>
                <w:sz w:val="20"/>
                <w:szCs w:val="20"/>
              </w:rPr>
              <w:t>e</w:t>
            </w:r>
            <w:r w:rsidRPr="00420C1B">
              <w:rPr>
                <w:rFonts w:ascii="Times New Roman" w:hAnsi="Times New Roman"/>
                <w:sz w:val="20"/>
                <w:szCs w:val="20"/>
              </w:rPr>
              <w:t>s</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7C7EB4B" w14:textId="77777777" w:rsidR="000705BE" w:rsidRPr="00420C1B" w:rsidRDefault="000705BE" w:rsidP="00215867">
            <w:pPr>
              <w:widowControl w:val="0"/>
              <w:tabs>
                <w:tab w:val="left" w:pos="0"/>
              </w:tabs>
              <w:spacing w:after="0"/>
              <w:ind w:left="105"/>
              <w:rPr>
                <w:rFonts w:ascii="Times New Roman" w:hAnsi="Times New Roman"/>
                <w:sz w:val="20"/>
                <w:szCs w:val="20"/>
              </w:rPr>
            </w:pPr>
            <w:r w:rsidRPr="00420C1B">
              <w:rPr>
                <w:rFonts w:ascii="Times New Roman" w:hAnsi="Times New Roman"/>
                <w:sz w:val="20"/>
                <w:szCs w:val="20"/>
              </w:rPr>
              <w:t>P</w:t>
            </w:r>
            <w:r w:rsidRPr="00420C1B">
              <w:rPr>
                <w:rFonts w:ascii="Times New Roman" w:hAnsi="Times New Roman"/>
                <w:spacing w:val="1"/>
                <w:sz w:val="20"/>
                <w:szCs w:val="20"/>
              </w:rPr>
              <w:t>ers</w:t>
            </w:r>
            <w:r w:rsidRPr="00420C1B">
              <w:rPr>
                <w:rFonts w:ascii="Times New Roman" w:hAnsi="Times New Roman"/>
                <w:sz w:val="20"/>
                <w:szCs w:val="20"/>
              </w:rPr>
              <w:t>o</w:t>
            </w:r>
            <w:r w:rsidRPr="00420C1B">
              <w:rPr>
                <w:rFonts w:ascii="Times New Roman" w:hAnsi="Times New Roman"/>
                <w:spacing w:val="-2"/>
                <w:sz w:val="20"/>
                <w:szCs w:val="20"/>
              </w:rPr>
              <w:t>n</w:t>
            </w:r>
            <w:r w:rsidRPr="00420C1B">
              <w:rPr>
                <w:rFonts w:ascii="Times New Roman" w:hAnsi="Times New Roman"/>
                <w:sz w:val="20"/>
                <w:szCs w:val="20"/>
              </w:rPr>
              <w:t>n</w:t>
            </w:r>
            <w:r w:rsidRPr="00420C1B">
              <w:rPr>
                <w:rFonts w:ascii="Times New Roman" w:hAnsi="Times New Roman"/>
                <w:spacing w:val="-2"/>
                <w:sz w:val="20"/>
                <w:szCs w:val="20"/>
              </w:rPr>
              <w:t>e</w:t>
            </w:r>
            <w:r w:rsidRPr="00420C1B">
              <w:rPr>
                <w:rFonts w:ascii="Times New Roman" w:hAnsi="Times New Roman"/>
                <w:sz w:val="20"/>
                <w:szCs w:val="20"/>
              </w:rPr>
              <w:t>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9A5EEE"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p</w:t>
            </w:r>
            <w:r w:rsidRPr="00420C1B">
              <w:rPr>
                <w:rFonts w:ascii="Times New Roman" w:hAnsi="Times New Roman"/>
                <w:spacing w:val="1"/>
                <w:sz w:val="20"/>
                <w:szCs w:val="20"/>
              </w:rPr>
              <w:t>e</w:t>
            </w:r>
            <w:r w:rsidRPr="00420C1B">
              <w:rPr>
                <w:rFonts w:ascii="Times New Roman" w:hAnsi="Times New Roman"/>
                <w:sz w:val="20"/>
                <w:szCs w:val="20"/>
              </w:rPr>
              <w:t>rs</w:t>
            </w:r>
            <w:r w:rsidRPr="00420C1B">
              <w:rPr>
                <w:rFonts w:ascii="Times New Roman" w:hAnsi="Times New Roman"/>
                <w:spacing w:val="-2"/>
                <w:sz w:val="20"/>
                <w:szCs w:val="20"/>
              </w:rPr>
              <w:t>o</w:t>
            </w:r>
            <w:r w:rsidRPr="00420C1B">
              <w:rPr>
                <w:rFonts w:ascii="Times New Roman" w:hAnsi="Times New Roman"/>
                <w:sz w:val="20"/>
                <w:szCs w:val="20"/>
              </w:rPr>
              <w:t>n</w:t>
            </w:r>
            <w:r w:rsidRPr="00420C1B">
              <w:rPr>
                <w:rFonts w:ascii="Times New Roman" w:hAnsi="Times New Roman"/>
                <w:spacing w:val="-2"/>
                <w:sz w:val="20"/>
                <w:szCs w:val="20"/>
              </w:rPr>
              <w:t>n</w:t>
            </w:r>
            <w:r w:rsidRPr="00420C1B">
              <w:rPr>
                <w:rFonts w:ascii="Times New Roman" w:hAnsi="Times New Roman"/>
                <w:sz w:val="20"/>
                <w:szCs w:val="20"/>
              </w:rPr>
              <w:t>es fo</w:t>
            </w:r>
            <w:r w:rsidRPr="00420C1B">
              <w:rPr>
                <w:rFonts w:ascii="Times New Roman" w:hAnsi="Times New Roman"/>
                <w:spacing w:val="1"/>
                <w:sz w:val="20"/>
                <w:szCs w:val="20"/>
              </w:rPr>
              <w:t>r</w:t>
            </w:r>
            <w:r w:rsidRPr="00420C1B">
              <w:rPr>
                <w:rFonts w:ascii="Times New Roman" w:hAnsi="Times New Roman"/>
                <w:spacing w:val="-9"/>
                <w:sz w:val="20"/>
                <w:szCs w:val="20"/>
              </w:rPr>
              <w:t>m</w:t>
            </w:r>
            <w:r w:rsidRPr="00420C1B">
              <w:rPr>
                <w:rFonts w:ascii="Times New Roman" w:hAnsi="Times New Roman"/>
                <w:sz w:val="20"/>
                <w:szCs w:val="20"/>
              </w:rPr>
              <w:t>ées</w:t>
            </w:r>
          </w:p>
        </w:tc>
      </w:tr>
      <w:tr w:rsidR="00D75D2E" w:rsidRPr="00420C1B" w14:paraId="6AD40587"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8B5B202"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2</w:t>
            </w:r>
          </w:p>
        </w:tc>
        <w:tc>
          <w:tcPr>
            <w:tcW w:w="8748" w:type="dxa"/>
            <w:gridSpan w:val="3"/>
            <w:tcBorders>
              <w:top w:val="single" w:sz="4" w:space="0" w:color="000000"/>
              <w:left w:val="single" w:sz="4" w:space="0" w:color="000000"/>
              <w:bottom w:val="single" w:sz="4" w:space="0" w:color="000000"/>
              <w:right w:val="single" w:sz="4" w:space="0" w:color="000000"/>
            </w:tcBorders>
            <w:shd w:val="clear" w:color="auto" w:fill="70AD47"/>
            <w:vAlign w:val="center"/>
            <w:hideMark/>
          </w:tcPr>
          <w:p w14:paraId="7D7ACB3E" w14:textId="77777777" w:rsidR="000705BE" w:rsidRPr="00420C1B" w:rsidRDefault="000705BE" w:rsidP="00215867">
            <w:pPr>
              <w:widowControl w:val="0"/>
              <w:tabs>
                <w:tab w:val="left" w:pos="0"/>
              </w:tabs>
              <w:spacing w:after="0"/>
              <w:ind w:right="3809"/>
              <w:rPr>
                <w:rFonts w:ascii="Times New Roman" w:hAnsi="Times New Roman"/>
                <w:sz w:val="20"/>
                <w:szCs w:val="20"/>
              </w:rPr>
            </w:pPr>
            <w:r w:rsidRPr="00420C1B">
              <w:rPr>
                <w:rFonts w:ascii="Times New Roman" w:hAnsi="Times New Roman"/>
                <w:b/>
                <w:bCs/>
                <w:spacing w:val="-1"/>
                <w:sz w:val="20"/>
                <w:szCs w:val="20"/>
              </w:rPr>
              <w:t>E</w:t>
            </w:r>
            <w:r w:rsidRPr="00420C1B">
              <w:rPr>
                <w:rFonts w:ascii="Times New Roman" w:hAnsi="Times New Roman"/>
                <w:b/>
                <w:bCs/>
                <w:sz w:val="20"/>
                <w:szCs w:val="20"/>
              </w:rPr>
              <w:t>nv</w:t>
            </w:r>
            <w:r w:rsidRPr="00420C1B">
              <w:rPr>
                <w:rFonts w:ascii="Times New Roman" w:hAnsi="Times New Roman"/>
                <w:b/>
                <w:bCs/>
                <w:spacing w:val="1"/>
                <w:sz w:val="20"/>
                <w:szCs w:val="20"/>
              </w:rPr>
              <w:t>i</w:t>
            </w:r>
            <w:r w:rsidRPr="00420C1B">
              <w:rPr>
                <w:rFonts w:ascii="Times New Roman" w:hAnsi="Times New Roman"/>
                <w:b/>
                <w:bCs/>
                <w:sz w:val="20"/>
                <w:szCs w:val="20"/>
              </w:rPr>
              <w:t>ron</w:t>
            </w:r>
            <w:r w:rsidRPr="00420C1B">
              <w:rPr>
                <w:rFonts w:ascii="Times New Roman" w:hAnsi="Times New Roman"/>
                <w:b/>
                <w:bCs/>
                <w:spacing w:val="-3"/>
                <w:sz w:val="20"/>
                <w:szCs w:val="20"/>
              </w:rPr>
              <w:t>n</w:t>
            </w:r>
            <w:r w:rsidRPr="00420C1B">
              <w:rPr>
                <w:rFonts w:ascii="Times New Roman" w:hAnsi="Times New Roman"/>
                <w:b/>
                <w:bCs/>
                <w:spacing w:val="-2"/>
                <w:sz w:val="20"/>
                <w:szCs w:val="20"/>
              </w:rPr>
              <w:t>e</w:t>
            </w:r>
            <w:r w:rsidRPr="00420C1B">
              <w:rPr>
                <w:rFonts w:ascii="Times New Roman" w:hAnsi="Times New Roman"/>
                <w:b/>
                <w:bCs/>
                <w:spacing w:val="1"/>
                <w:sz w:val="20"/>
                <w:szCs w:val="20"/>
              </w:rPr>
              <w:t>m</w:t>
            </w:r>
            <w:r w:rsidRPr="00420C1B">
              <w:rPr>
                <w:rFonts w:ascii="Times New Roman" w:hAnsi="Times New Roman"/>
                <w:b/>
                <w:bCs/>
                <w:sz w:val="20"/>
                <w:szCs w:val="20"/>
              </w:rPr>
              <w:t>e</w:t>
            </w:r>
            <w:r w:rsidRPr="00420C1B">
              <w:rPr>
                <w:rFonts w:ascii="Times New Roman" w:hAnsi="Times New Roman"/>
                <w:b/>
                <w:bCs/>
                <w:spacing w:val="-3"/>
                <w:sz w:val="20"/>
                <w:szCs w:val="20"/>
              </w:rPr>
              <w:t>n</w:t>
            </w:r>
            <w:r w:rsidRPr="00420C1B">
              <w:rPr>
                <w:rFonts w:ascii="Times New Roman" w:hAnsi="Times New Roman"/>
                <w:b/>
                <w:bCs/>
                <w:sz w:val="20"/>
                <w:szCs w:val="20"/>
              </w:rPr>
              <w:t>t</w:t>
            </w:r>
          </w:p>
        </w:tc>
      </w:tr>
      <w:tr w:rsidR="00D75D2E" w:rsidRPr="00420C1B" w14:paraId="04C81304"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62E4FD8F"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2.1</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05E037FC"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pacing w:val="-4"/>
                <w:sz w:val="20"/>
                <w:szCs w:val="20"/>
              </w:rPr>
              <w:t>e</w:t>
            </w:r>
            <w:r w:rsidRPr="00420C1B">
              <w:rPr>
                <w:rFonts w:ascii="Times New Roman" w:hAnsi="Times New Roman"/>
                <w:sz w:val="20"/>
                <w:szCs w:val="20"/>
              </w:rPr>
              <w:t xml:space="preserve">r </w:t>
            </w:r>
            <w:r w:rsidRPr="00420C1B">
              <w:rPr>
                <w:rFonts w:ascii="Times New Roman" w:hAnsi="Times New Roman"/>
                <w:spacing w:val="1"/>
                <w:sz w:val="20"/>
                <w:szCs w:val="20"/>
              </w:rPr>
              <w:t>l</w:t>
            </w:r>
            <w:r w:rsidRPr="00420C1B">
              <w:rPr>
                <w:rFonts w:ascii="Times New Roman" w:hAnsi="Times New Roman"/>
                <w:sz w:val="20"/>
                <w:szCs w:val="20"/>
              </w:rPr>
              <w:t xml:space="preserve">es </w:t>
            </w:r>
            <w:r w:rsidRPr="00420C1B">
              <w:rPr>
                <w:rFonts w:ascii="Times New Roman" w:hAnsi="Times New Roman"/>
                <w:spacing w:val="-2"/>
                <w:sz w:val="20"/>
                <w:szCs w:val="20"/>
              </w:rPr>
              <w:t>po</w:t>
            </w:r>
            <w:r w:rsidRPr="00420C1B">
              <w:rPr>
                <w:rFonts w:ascii="Times New Roman" w:hAnsi="Times New Roman"/>
                <w:spacing w:val="1"/>
                <w:sz w:val="20"/>
                <w:szCs w:val="20"/>
              </w:rPr>
              <w:t>l</w:t>
            </w:r>
            <w:r w:rsidRPr="00420C1B">
              <w:rPr>
                <w:rFonts w:ascii="Times New Roman" w:hAnsi="Times New Roman"/>
                <w:spacing w:val="-1"/>
                <w:sz w:val="20"/>
                <w:szCs w:val="20"/>
              </w:rPr>
              <w:t>l</w:t>
            </w:r>
            <w:r w:rsidRPr="00420C1B">
              <w:rPr>
                <w:rFonts w:ascii="Times New Roman" w:hAnsi="Times New Roman"/>
                <w:sz w:val="20"/>
                <w:szCs w:val="20"/>
              </w:rPr>
              <w:t>u</w:t>
            </w:r>
            <w:r w:rsidRPr="00420C1B">
              <w:rPr>
                <w:rFonts w:ascii="Times New Roman" w:hAnsi="Times New Roman"/>
                <w:spacing w:val="-1"/>
                <w:sz w:val="20"/>
                <w:szCs w:val="20"/>
              </w:rPr>
              <w:t>t</w:t>
            </w:r>
            <w:r w:rsidRPr="00420C1B">
              <w:rPr>
                <w:rFonts w:ascii="Times New Roman" w:hAnsi="Times New Roman"/>
                <w:spacing w:val="1"/>
                <w:sz w:val="20"/>
                <w:szCs w:val="20"/>
              </w:rPr>
              <w:t>io</w:t>
            </w:r>
            <w:r w:rsidRPr="00420C1B">
              <w:rPr>
                <w:rFonts w:ascii="Times New Roman" w:hAnsi="Times New Roman"/>
                <w:spacing w:val="-2"/>
                <w:sz w:val="20"/>
                <w:szCs w:val="20"/>
              </w:rPr>
              <w:t>n</w:t>
            </w:r>
            <w:r w:rsidRPr="00420C1B">
              <w:rPr>
                <w:rFonts w:ascii="Times New Roman" w:hAnsi="Times New Roman"/>
                <w:sz w:val="20"/>
                <w:szCs w:val="20"/>
              </w:rPr>
              <w:t>s a</w:t>
            </w:r>
            <w:r w:rsidRPr="00420C1B">
              <w:rPr>
                <w:rFonts w:ascii="Times New Roman" w:hAnsi="Times New Roman"/>
                <w:spacing w:val="-2"/>
                <w:sz w:val="20"/>
                <w:szCs w:val="20"/>
              </w:rPr>
              <w:t>cc</w:t>
            </w:r>
            <w:r w:rsidRPr="00420C1B">
              <w:rPr>
                <w:rFonts w:ascii="Times New Roman" w:hAnsi="Times New Roman"/>
                <w:spacing w:val="-1"/>
                <w:sz w:val="20"/>
                <w:szCs w:val="20"/>
              </w:rPr>
              <w:t>i</w:t>
            </w:r>
            <w:r w:rsidRPr="00420C1B">
              <w:rPr>
                <w:rFonts w:ascii="Times New Roman" w:hAnsi="Times New Roman"/>
                <w:sz w:val="20"/>
                <w:szCs w:val="20"/>
              </w:rPr>
              <w:t>den</w:t>
            </w:r>
            <w:r w:rsidRPr="00420C1B">
              <w:rPr>
                <w:rFonts w:ascii="Times New Roman" w:hAnsi="Times New Roman"/>
                <w:spacing w:val="1"/>
                <w:sz w:val="20"/>
                <w:szCs w:val="20"/>
              </w:rPr>
              <w:t>t</w:t>
            </w:r>
            <w:r w:rsidRPr="00420C1B">
              <w:rPr>
                <w:rFonts w:ascii="Times New Roman" w:hAnsi="Times New Roman"/>
                <w:spacing w:val="-4"/>
                <w:sz w:val="20"/>
                <w:szCs w:val="20"/>
              </w:rPr>
              <w:t>e</w:t>
            </w:r>
            <w:r w:rsidRPr="00420C1B">
              <w:rPr>
                <w:rFonts w:ascii="Times New Roman" w:hAnsi="Times New Roman"/>
                <w:spacing w:val="1"/>
                <w:sz w:val="20"/>
                <w:szCs w:val="20"/>
              </w:rPr>
              <w:t>ll</w:t>
            </w:r>
            <w:r w:rsidRPr="00420C1B">
              <w:rPr>
                <w:rFonts w:ascii="Times New Roman" w:hAnsi="Times New Roman"/>
                <w:spacing w:val="-2"/>
                <w:sz w:val="20"/>
                <w:szCs w:val="20"/>
              </w:rPr>
              <w:t>e</w:t>
            </w:r>
            <w:r w:rsidRPr="00420C1B">
              <w:rPr>
                <w:rFonts w:ascii="Times New Roman" w:hAnsi="Times New Roman"/>
                <w:sz w:val="20"/>
                <w:szCs w:val="20"/>
              </w:rPr>
              <w:t xml:space="preserve">s </w:t>
            </w:r>
            <w:r w:rsidRPr="00420C1B">
              <w:rPr>
                <w:rFonts w:ascii="Times New Roman" w:hAnsi="Times New Roman"/>
                <w:spacing w:val="-2"/>
                <w:sz w:val="20"/>
                <w:szCs w:val="20"/>
              </w:rPr>
              <w:t>d</w:t>
            </w:r>
            <w:r w:rsidRPr="00420C1B">
              <w:rPr>
                <w:rFonts w:ascii="Times New Roman" w:hAnsi="Times New Roman"/>
                <w:sz w:val="20"/>
                <w:szCs w:val="20"/>
              </w:rPr>
              <w:t xml:space="preserve">u </w:t>
            </w:r>
            <w:r w:rsidRPr="00420C1B">
              <w:rPr>
                <w:rFonts w:ascii="Times New Roman" w:hAnsi="Times New Roman"/>
                <w:spacing w:val="1"/>
                <w:sz w:val="20"/>
                <w:szCs w:val="20"/>
              </w:rPr>
              <w:t>s</w:t>
            </w:r>
            <w:r w:rsidRPr="00420C1B">
              <w:rPr>
                <w:rFonts w:ascii="Times New Roman" w:hAnsi="Times New Roman"/>
                <w:spacing w:val="-2"/>
                <w:sz w:val="20"/>
                <w:szCs w:val="20"/>
              </w:rPr>
              <w:t>o</w:t>
            </w:r>
            <w:r w:rsidRPr="00420C1B">
              <w:rPr>
                <w:rFonts w:ascii="Times New Roman" w:hAnsi="Times New Roman"/>
                <w:sz w:val="20"/>
                <w:szCs w:val="20"/>
              </w:rPr>
              <w:t xml:space="preserve">l par </w:t>
            </w:r>
            <w:r w:rsidRPr="00420C1B">
              <w:rPr>
                <w:rFonts w:ascii="Times New Roman" w:hAnsi="Times New Roman"/>
                <w:spacing w:val="1"/>
                <w:sz w:val="20"/>
                <w:szCs w:val="20"/>
              </w:rPr>
              <w:t>l</w:t>
            </w:r>
            <w:r w:rsidRPr="00420C1B">
              <w:rPr>
                <w:rFonts w:ascii="Times New Roman" w:hAnsi="Times New Roman"/>
                <w:sz w:val="20"/>
                <w:szCs w:val="20"/>
              </w:rPr>
              <w:t xml:space="preserve">es </w:t>
            </w:r>
            <w:r w:rsidRPr="00420C1B">
              <w:rPr>
                <w:rFonts w:ascii="Times New Roman" w:hAnsi="Times New Roman"/>
                <w:spacing w:val="-2"/>
                <w:sz w:val="20"/>
                <w:szCs w:val="20"/>
              </w:rPr>
              <w:t>p</w:t>
            </w:r>
            <w:r w:rsidRPr="00420C1B">
              <w:rPr>
                <w:rFonts w:ascii="Times New Roman" w:hAnsi="Times New Roman"/>
                <w:spacing w:val="1"/>
                <w:sz w:val="20"/>
                <w:szCs w:val="20"/>
              </w:rPr>
              <w:t>r</w:t>
            </w:r>
            <w:r w:rsidRPr="00420C1B">
              <w:rPr>
                <w:rFonts w:ascii="Times New Roman" w:hAnsi="Times New Roman"/>
                <w:sz w:val="20"/>
                <w:szCs w:val="20"/>
              </w:rPr>
              <w:t>od</w:t>
            </w:r>
            <w:r w:rsidRPr="00420C1B">
              <w:rPr>
                <w:rFonts w:ascii="Times New Roman" w:hAnsi="Times New Roman"/>
                <w:spacing w:val="-2"/>
                <w:sz w:val="20"/>
                <w:szCs w:val="20"/>
              </w:rPr>
              <w:t>u</w:t>
            </w:r>
            <w:r w:rsidRPr="00420C1B">
              <w:rPr>
                <w:rFonts w:ascii="Times New Roman" w:hAnsi="Times New Roman"/>
                <w:spacing w:val="-1"/>
                <w:sz w:val="20"/>
                <w:szCs w:val="20"/>
              </w:rPr>
              <w:t>it</w:t>
            </w:r>
            <w:r w:rsidRPr="00420C1B">
              <w:rPr>
                <w:rFonts w:ascii="Times New Roman" w:hAnsi="Times New Roman"/>
                <w:sz w:val="20"/>
                <w:szCs w:val="20"/>
              </w:rPr>
              <w:t xml:space="preserve">s </w:t>
            </w:r>
            <w:r w:rsidRPr="00420C1B">
              <w:rPr>
                <w:rFonts w:ascii="Times New Roman" w:hAnsi="Times New Roman"/>
                <w:spacing w:val="1"/>
                <w:sz w:val="20"/>
                <w:szCs w:val="20"/>
              </w:rPr>
              <w:t>p</w:t>
            </w:r>
            <w:r w:rsidRPr="00420C1B">
              <w:rPr>
                <w:rFonts w:ascii="Times New Roman" w:hAnsi="Times New Roman"/>
                <w:spacing w:val="-2"/>
                <w:sz w:val="20"/>
                <w:szCs w:val="20"/>
              </w:rPr>
              <w:t>é</w:t>
            </w:r>
            <w:r w:rsidRPr="00420C1B">
              <w:rPr>
                <w:rFonts w:ascii="Times New Roman" w:hAnsi="Times New Roman"/>
                <w:spacing w:val="1"/>
                <w:sz w:val="20"/>
                <w:szCs w:val="20"/>
              </w:rPr>
              <w:t>t</w:t>
            </w:r>
            <w:r w:rsidRPr="00420C1B">
              <w:rPr>
                <w:rFonts w:ascii="Times New Roman" w:hAnsi="Times New Roman"/>
                <w:spacing w:val="-4"/>
                <w:sz w:val="20"/>
                <w:szCs w:val="20"/>
              </w:rPr>
              <w:t>r</w:t>
            </w:r>
            <w:r w:rsidRPr="00420C1B">
              <w:rPr>
                <w:rFonts w:ascii="Times New Roman" w:hAnsi="Times New Roman"/>
                <w:spacing w:val="-2"/>
                <w:sz w:val="20"/>
                <w:szCs w:val="20"/>
              </w:rPr>
              <w:t>o</w:t>
            </w:r>
            <w:r w:rsidRPr="00420C1B">
              <w:rPr>
                <w:rFonts w:ascii="Times New Roman" w:hAnsi="Times New Roman"/>
                <w:spacing w:val="1"/>
                <w:sz w:val="20"/>
                <w:szCs w:val="20"/>
              </w:rPr>
              <w:t>li</w:t>
            </w:r>
            <w:r w:rsidRPr="00420C1B">
              <w:rPr>
                <w:rFonts w:ascii="Times New Roman" w:hAnsi="Times New Roman"/>
                <w:spacing w:val="-2"/>
                <w:sz w:val="20"/>
                <w:szCs w:val="20"/>
              </w:rPr>
              <w:t>e</w:t>
            </w:r>
            <w:r w:rsidRPr="00420C1B">
              <w:rPr>
                <w:rFonts w:ascii="Times New Roman" w:hAnsi="Times New Roman"/>
                <w:spacing w:val="1"/>
                <w:sz w:val="20"/>
                <w:szCs w:val="20"/>
              </w:rPr>
              <w:t>r</w:t>
            </w:r>
            <w:r w:rsidRPr="00420C1B">
              <w:rPr>
                <w:rFonts w:ascii="Times New Roman" w:hAnsi="Times New Roman"/>
                <w:sz w:val="20"/>
                <w:szCs w:val="20"/>
              </w:rPr>
              <w:t>s</w:t>
            </w:r>
            <w:r w:rsidRPr="00420C1B">
              <w:rPr>
                <w:rFonts w:ascii="Times New Roman" w:hAnsi="Times New Roman"/>
                <w:spacing w:val="-2"/>
                <w:sz w:val="20"/>
                <w:szCs w:val="20"/>
              </w:rPr>
              <w:t xml:space="preserve"> (</w:t>
            </w:r>
            <w:r w:rsidRPr="00420C1B">
              <w:rPr>
                <w:rFonts w:ascii="Times New Roman" w:hAnsi="Times New Roman"/>
                <w:sz w:val="20"/>
                <w:szCs w:val="20"/>
              </w:rPr>
              <w:t>ca</w:t>
            </w:r>
            <w:r w:rsidRPr="00420C1B">
              <w:rPr>
                <w:rFonts w:ascii="Times New Roman" w:hAnsi="Times New Roman"/>
                <w:spacing w:val="1"/>
                <w:sz w:val="20"/>
                <w:szCs w:val="20"/>
              </w:rPr>
              <w:t>r</w:t>
            </w:r>
            <w:r w:rsidRPr="00420C1B">
              <w:rPr>
                <w:rFonts w:ascii="Times New Roman" w:hAnsi="Times New Roman"/>
                <w:sz w:val="20"/>
                <w:szCs w:val="20"/>
              </w:rPr>
              <w:t>b</w:t>
            </w:r>
            <w:r w:rsidRPr="00420C1B">
              <w:rPr>
                <w:rFonts w:ascii="Times New Roman" w:hAnsi="Times New Roman"/>
                <w:spacing w:val="-2"/>
                <w:sz w:val="20"/>
                <w:szCs w:val="20"/>
              </w:rPr>
              <w:t>u</w:t>
            </w:r>
            <w:r w:rsidRPr="00420C1B">
              <w:rPr>
                <w:rFonts w:ascii="Times New Roman" w:hAnsi="Times New Roman"/>
                <w:spacing w:val="1"/>
                <w:sz w:val="20"/>
                <w:szCs w:val="20"/>
              </w:rPr>
              <w:t>r</w:t>
            </w:r>
            <w:r w:rsidRPr="00420C1B">
              <w:rPr>
                <w:rFonts w:ascii="Times New Roman" w:hAnsi="Times New Roman"/>
                <w:sz w:val="20"/>
                <w:szCs w:val="20"/>
              </w:rPr>
              <w:t>a</w:t>
            </w:r>
            <w:r w:rsidRPr="00420C1B">
              <w:rPr>
                <w:rFonts w:ascii="Times New Roman" w:hAnsi="Times New Roman"/>
                <w:spacing w:val="-2"/>
                <w:sz w:val="20"/>
                <w:szCs w:val="20"/>
              </w:rPr>
              <w:t>n</w:t>
            </w:r>
            <w:r w:rsidRPr="00420C1B">
              <w:rPr>
                <w:rFonts w:ascii="Times New Roman" w:hAnsi="Times New Roman"/>
                <w:spacing w:val="-1"/>
                <w:sz w:val="20"/>
                <w:szCs w:val="20"/>
              </w:rPr>
              <w:t>t</w:t>
            </w:r>
            <w:r w:rsidRPr="00420C1B">
              <w:rPr>
                <w:rFonts w:ascii="Times New Roman" w:hAnsi="Times New Roman"/>
                <w:sz w:val="20"/>
                <w:szCs w:val="20"/>
              </w:rPr>
              <w:t xml:space="preserve">s </w:t>
            </w:r>
            <w:r w:rsidRPr="00420C1B">
              <w:rPr>
                <w:rFonts w:ascii="Times New Roman" w:hAnsi="Times New Roman"/>
                <w:spacing w:val="1"/>
                <w:sz w:val="20"/>
                <w:szCs w:val="20"/>
              </w:rPr>
              <w:t>s</w:t>
            </w:r>
            <w:r w:rsidRPr="00420C1B">
              <w:rPr>
                <w:rFonts w:ascii="Times New Roman" w:hAnsi="Times New Roman"/>
                <w:sz w:val="20"/>
                <w:szCs w:val="20"/>
              </w:rPr>
              <w:t>o</w:t>
            </w:r>
            <w:r w:rsidRPr="00420C1B">
              <w:rPr>
                <w:rFonts w:ascii="Times New Roman" w:hAnsi="Times New Roman"/>
                <w:spacing w:val="1"/>
                <w:sz w:val="20"/>
                <w:szCs w:val="20"/>
              </w:rPr>
              <w:t>l</w:t>
            </w:r>
            <w:r w:rsidRPr="00420C1B">
              <w:rPr>
                <w:rFonts w:ascii="Times New Roman" w:hAnsi="Times New Roman"/>
                <w:spacing w:val="-5"/>
                <w:sz w:val="20"/>
                <w:szCs w:val="20"/>
              </w:rPr>
              <w:t>v</w:t>
            </w:r>
            <w:r w:rsidRPr="00420C1B">
              <w:rPr>
                <w:rFonts w:ascii="Times New Roman" w:hAnsi="Times New Roman"/>
                <w:sz w:val="20"/>
                <w:szCs w:val="20"/>
              </w:rPr>
              <w:t>an</w:t>
            </w:r>
            <w:r w:rsidRPr="00420C1B">
              <w:rPr>
                <w:rFonts w:ascii="Times New Roman" w:hAnsi="Times New Roman"/>
                <w:spacing w:val="1"/>
                <w:sz w:val="20"/>
                <w:szCs w:val="20"/>
              </w:rPr>
              <w:t>t</w:t>
            </w:r>
            <w:r w:rsidRPr="00420C1B">
              <w:rPr>
                <w:rFonts w:ascii="Times New Roman" w:hAnsi="Times New Roman"/>
                <w:sz w:val="20"/>
                <w:szCs w:val="20"/>
              </w:rPr>
              <w:t xml:space="preserve">s, </w:t>
            </w:r>
            <w:r w:rsidRPr="00420C1B">
              <w:rPr>
                <w:rFonts w:ascii="Times New Roman" w:hAnsi="Times New Roman"/>
                <w:spacing w:val="-2"/>
                <w:sz w:val="20"/>
                <w:szCs w:val="20"/>
              </w:rPr>
              <w:t>h</w:t>
            </w:r>
            <w:r w:rsidRPr="00420C1B">
              <w:rPr>
                <w:rFonts w:ascii="Times New Roman" w:hAnsi="Times New Roman"/>
                <w:spacing w:val="1"/>
                <w:sz w:val="20"/>
                <w:szCs w:val="20"/>
              </w:rPr>
              <w:t>ui</w:t>
            </w:r>
            <w:r w:rsidRPr="00420C1B">
              <w:rPr>
                <w:rFonts w:ascii="Times New Roman" w:hAnsi="Times New Roman"/>
                <w:spacing w:val="-2"/>
                <w:sz w:val="20"/>
                <w:szCs w:val="20"/>
              </w:rPr>
              <w:t>l</w:t>
            </w:r>
            <w:r w:rsidRPr="00420C1B">
              <w:rPr>
                <w:rFonts w:ascii="Times New Roman" w:hAnsi="Times New Roman"/>
                <w:sz w:val="20"/>
                <w:szCs w:val="20"/>
              </w:rPr>
              <w:t>es,</w:t>
            </w:r>
            <w:r w:rsidRPr="00420C1B">
              <w:rPr>
                <w:rFonts w:ascii="Times New Roman" w:hAnsi="Times New Roman"/>
                <w:spacing w:val="-2"/>
                <w:sz w:val="20"/>
                <w:szCs w:val="20"/>
              </w:rPr>
              <w:t xml:space="preserve"> e</w:t>
            </w:r>
            <w:r w:rsidRPr="00420C1B">
              <w:rPr>
                <w:rFonts w:ascii="Times New Roman" w:hAnsi="Times New Roman"/>
                <w:spacing w:val="1"/>
                <w:sz w:val="20"/>
                <w:szCs w:val="20"/>
              </w:rPr>
              <w:t>t</w:t>
            </w:r>
            <w:r w:rsidRPr="00420C1B">
              <w:rPr>
                <w:rFonts w:ascii="Times New Roman" w:hAnsi="Times New Roman"/>
                <w:sz w:val="20"/>
                <w:szCs w:val="20"/>
              </w:rPr>
              <w:t>c</w:t>
            </w:r>
            <w:r w:rsidRPr="00420C1B">
              <w:rPr>
                <w:rFonts w:ascii="Times New Roman" w:hAnsi="Times New Roman"/>
                <w:spacing w:val="-2"/>
                <w:sz w:val="20"/>
                <w:szCs w:val="20"/>
              </w:rPr>
              <w:t>.</w:t>
            </w:r>
            <w:r w:rsidRPr="00420C1B">
              <w:rPr>
                <w:rFonts w:ascii="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D07AA5" w14:textId="77777777" w:rsidR="000705BE" w:rsidRPr="00215867" w:rsidRDefault="000705BE" w:rsidP="00215867">
            <w:pPr>
              <w:widowControl w:val="0"/>
              <w:tabs>
                <w:tab w:val="left" w:pos="0"/>
              </w:tabs>
              <w:spacing w:after="0"/>
              <w:ind w:left="105"/>
              <w:rPr>
                <w:rFonts w:ascii="Times New Roman" w:hAnsi="Times New Roman"/>
                <w:spacing w:val="1"/>
                <w:sz w:val="20"/>
                <w:szCs w:val="20"/>
              </w:rPr>
            </w:pPr>
            <w:r w:rsidRPr="00215867">
              <w:rPr>
                <w:rFonts w:ascii="Times New Roman" w:hAnsi="Times New Roman"/>
                <w:spacing w:val="1"/>
                <w:sz w:val="20"/>
                <w:szCs w:val="20"/>
              </w:rPr>
              <w:t>Pe</w:t>
            </w:r>
            <w:r w:rsidRPr="00420C1B">
              <w:rPr>
                <w:rFonts w:ascii="Times New Roman" w:hAnsi="Times New Roman"/>
                <w:spacing w:val="1"/>
                <w:sz w:val="20"/>
                <w:szCs w:val="20"/>
              </w:rPr>
              <w:t>rs</w:t>
            </w:r>
            <w:r w:rsidRPr="00215867">
              <w:rPr>
                <w:rFonts w:ascii="Times New Roman" w:hAnsi="Times New Roman"/>
                <w:spacing w:val="1"/>
                <w:sz w:val="20"/>
                <w:szCs w:val="20"/>
              </w:rPr>
              <w:t>onnel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29FDB2FB"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Q</w:t>
            </w:r>
            <w:r w:rsidRPr="00420C1B">
              <w:rPr>
                <w:rFonts w:ascii="Times New Roman" w:hAnsi="Times New Roman"/>
                <w:sz w:val="20"/>
                <w:szCs w:val="20"/>
              </w:rPr>
              <w:t>uan</w:t>
            </w:r>
            <w:r w:rsidRPr="00420C1B">
              <w:rPr>
                <w:rFonts w:ascii="Times New Roman" w:hAnsi="Times New Roman"/>
                <w:spacing w:val="-1"/>
                <w:sz w:val="20"/>
                <w:szCs w:val="20"/>
              </w:rPr>
              <w:t>t</w:t>
            </w:r>
            <w:r w:rsidRPr="00420C1B">
              <w:rPr>
                <w:rFonts w:ascii="Times New Roman" w:hAnsi="Times New Roman"/>
                <w:spacing w:val="1"/>
                <w:sz w:val="20"/>
                <w:szCs w:val="20"/>
              </w:rPr>
              <w:t>it</w:t>
            </w:r>
            <w:r w:rsidRPr="00420C1B">
              <w:rPr>
                <w:rFonts w:ascii="Times New Roman" w:hAnsi="Times New Roman"/>
                <w:sz w:val="20"/>
                <w:szCs w:val="20"/>
              </w:rPr>
              <w:t>é</w:t>
            </w:r>
            <w:r w:rsidRPr="00420C1B">
              <w:rPr>
                <w:rFonts w:ascii="Times New Roman" w:hAnsi="Times New Roman"/>
                <w:spacing w:val="-2"/>
                <w:sz w:val="20"/>
                <w:szCs w:val="20"/>
              </w:rPr>
              <w:t xml:space="preserve"> </w:t>
            </w:r>
            <w:r w:rsidRPr="00420C1B">
              <w:rPr>
                <w:rFonts w:ascii="Times New Roman" w:hAnsi="Times New Roman"/>
                <w:sz w:val="20"/>
                <w:szCs w:val="20"/>
              </w:rPr>
              <w:t xml:space="preserve">ou </w:t>
            </w:r>
            <w:r w:rsidRPr="00420C1B">
              <w:rPr>
                <w:rFonts w:ascii="Times New Roman" w:hAnsi="Times New Roman"/>
                <w:spacing w:val="1"/>
                <w:sz w:val="20"/>
                <w:szCs w:val="20"/>
              </w:rPr>
              <w:t>s</w:t>
            </w:r>
            <w:r w:rsidRPr="00420C1B">
              <w:rPr>
                <w:rFonts w:ascii="Times New Roman" w:hAnsi="Times New Roman"/>
                <w:spacing w:val="-2"/>
                <w:sz w:val="20"/>
                <w:szCs w:val="20"/>
              </w:rPr>
              <w:t>u</w:t>
            </w:r>
            <w:r w:rsidRPr="00420C1B">
              <w:rPr>
                <w:rFonts w:ascii="Times New Roman" w:hAnsi="Times New Roman"/>
                <w:spacing w:val="1"/>
                <w:sz w:val="20"/>
                <w:szCs w:val="20"/>
              </w:rPr>
              <w:t>r</w:t>
            </w:r>
            <w:r w:rsidRPr="00420C1B">
              <w:rPr>
                <w:rFonts w:ascii="Times New Roman" w:hAnsi="Times New Roman"/>
                <w:spacing w:val="-4"/>
                <w:sz w:val="20"/>
                <w:szCs w:val="20"/>
              </w:rPr>
              <w:t>f</w:t>
            </w:r>
            <w:r w:rsidRPr="00420C1B">
              <w:rPr>
                <w:rFonts w:ascii="Times New Roman" w:hAnsi="Times New Roman"/>
                <w:sz w:val="20"/>
                <w:szCs w:val="20"/>
              </w:rPr>
              <w:t>ace</w:t>
            </w:r>
            <w:r w:rsidRPr="00420C1B">
              <w:rPr>
                <w:rFonts w:ascii="Times New Roman" w:hAnsi="Times New Roman"/>
                <w:spacing w:val="-5"/>
                <w:sz w:val="20"/>
                <w:szCs w:val="20"/>
              </w:rPr>
              <w:t xml:space="preserve"> </w:t>
            </w:r>
            <w:r w:rsidRPr="00420C1B">
              <w:rPr>
                <w:rFonts w:ascii="Times New Roman" w:hAnsi="Times New Roman"/>
                <w:sz w:val="20"/>
                <w:szCs w:val="20"/>
              </w:rPr>
              <w:t>de</w:t>
            </w:r>
            <w:r w:rsidRPr="00420C1B">
              <w:rPr>
                <w:rFonts w:ascii="Times New Roman" w:hAnsi="Times New Roman"/>
                <w:spacing w:val="1"/>
                <w:sz w:val="20"/>
                <w:szCs w:val="20"/>
              </w:rPr>
              <w:t xml:space="preserve"> s</w:t>
            </w:r>
            <w:r w:rsidRPr="00420C1B">
              <w:rPr>
                <w:rFonts w:ascii="Times New Roman" w:hAnsi="Times New Roman"/>
                <w:spacing w:val="-2"/>
                <w:sz w:val="20"/>
                <w:szCs w:val="20"/>
              </w:rPr>
              <w:t>o</w:t>
            </w:r>
            <w:r w:rsidRPr="00420C1B">
              <w:rPr>
                <w:rFonts w:ascii="Times New Roman" w:hAnsi="Times New Roman"/>
                <w:sz w:val="20"/>
                <w:szCs w:val="20"/>
              </w:rPr>
              <w:t>l con</w:t>
            </w:r>
            <w:r w:rsidRPr="00420C1B">
              <w:rPr>
                <w:rFonts w:ascii="Times New Roman" w:hAnsi="Times New Roman"/>
                <w:spacing w:val="1"/>
                <w:sz w:val="20"/>
                <w:szCs w:val="20"/>
              </w:rPr>
              <w:t>t</w:t>
            </w:r>
            <w:r w:rsidRPr="00420C1B">
              <w:rPr>
                <w:rFonts w:ascii="Times New Roman" w:hAnsi="Times New Roman"/>
                <w:sz w:val="20"/>
                <w:szCs w:val="20"/>
              </w:rPr>
              <w:t>a</w:t>
            </w:r>
            <w:r w:rsidRPr="00420C1B">
              <w:rPr>
                <w:rFonts w:ascii="Times New Roman" w:hAnsi="Times New Roman"/>
                <w:spacing w:val="-6"/>
                <w:sz w:val="20"/>
                <w:szCs w:val="20"/>
              </w:rPr>
              <w:t>m</w:t>
            </w:r>
            <w:r w:rsidRPr="00420C1B">
              <w:rPr>
                <w:rFonts w:ascii="Times New Roman" w:hAnsi="Times New Roman"/>
                <w:spacing w:val="1"/>
                <w:sz w:val="20"/>
                <w:szCs w:val="20"/>
              </w:rPr>
              <w:t>i</w:t>
            </w:r>
            <w:r w:rsidRPr="00420C1B">
              <w:rPr>
                <w:rFonts w:ascii="Times New Roman" w:hAnsi="Times New Roman"/>
                <w:sz w:val="20"/>
                <w:szCs w:val="20"/>
              </w:rPr>
              <w:t xml:space="preserve">né </w:t>
            </w:r>
            <w:r w:rsidRPr="00420C1B">
              <w:rPr>
                <w:rFonts w:ascii="Times New Roman" w:hAnsi="Times New Roman"/>
                <w:spacing w:val="-2"/>
                <w:sz w:val="20"/>
                <w:szCs w:val="20"/>
              </w:rPr>
              <w:t>p</w:t>
            </w:r>
            <w:r w:rsidRPr="00420C1B">
              <w:rPr>
                <w:rFonts w:ascii="Times New Roman" w:hAnsi="Times New Roman"/>
                <w:sz w:val="20"/>
                <w:szCs w:val="20"/>
              </w:rPr>
              <w:t xml:space="preserve">ar </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z w:val="20"/>
                <w:szCs w:val="20"/>
              </w:rPr>
              <w:t>s</w:t>
            </w:r>
            <w:r w:rsidRPr="00420C1B">
              <w:rPr>
                <w:rFonts w:ascii="Times New Roman" w:hAnsi="Times New Roman"/>
                <w:spacing w:val="1"/>
                <w:sz w:val="20"/>
                <w:szCs w:val="20"/>
              </w:rPr>
              <w:t xml:space="preserve"> /</w:t>
            </w:r>
            <w:r w:rsidRPr="00420C1B">
              <w:rPr>
                <w:rFonts w:ascii="Times New Roman" w:hAnsi="Times New Roman"/>
                <w:spacing w:val="-1"/>
                <w:sz w:val="20"/>
                <w:szCs w:val="20"/>
              </w:rPr>
              <w:t>N</w:t>
            </w:r>
            <w:r w:rsidRPr="00420C1B">
              <w:rPr>
                <w:rFonts w:ascii="Times New Roman" w:hAnsi="Times New Roman"/>
                <w:sz w:val="20"/>
                <w:szCs w:val="20"/>
              </w:rPr>
              <w:t>o</w:t>
            </w:r>
            <w:r w:rsidRPr="00420C1B">
              <w:rPr>
                <w:rFonts w:ascii="Times New Roman" w:hAnsi="Times New Roman"/>
                <w:spacing w:val="-9"/>
                <w:sz w:val="20"/>
                <w:szCs w:val="20"/>
              </w:rPr>
              <w:t>m</w:t>
            </w:r>
            <w:r w:rsidRPr="00420C1B">
              <w:rPr>
                <w:rFonts w:ascii="Times New Roman" w:hAnsi="Times New Roman"/>
                <w:spacing w:val="2"/>
                <w:sz w:val="20"/>
                <w:szCs w:val="20"/>
              </w:rPr>
              <w:t>b</w:t>
            </w:r>
            <w:r w:rsidRPr="00420C1B">
              <w:rPr>
                <w:rFonts w:ascii="Times New Roman" w:hAnsi="Times New Roman"/>
                <w:spacing w:val="1"/>
                <w:sz w:val="20"/>
                <w:szCs w:val="20"/>
              </w:rPr>
              <w:t>r</w:t>
            </w:r>
            <w:r w:rsidRPr="00420C1B">
              <w:rPr>
                <w:rFonts w:ascii="Times New Roman" w:hAnsi="Times New Roman"/>
                <w:sz w:val="20"/>
                <w:szCs w:val="20"/>
              </w:rPr>
              <w:t>e de d</w:t>
            </w:r>
            <w:r w:rsidRPr="00420C1B">
              <w:rPr>
                <w:rFonts w:ascii="Times New Roman" w:hAnsi="Times New Roman"/>
                <w:spacing w:val="1"/>
                <w:sz w:val="20"/>
                <w:szCs w:val="20"/>
              </w:rPr>
              <w:t>é</w:t>
            </w:r>
            <w:r w:rsidRPr="00420C1B">
              <w:rPr>
                <w:rFonts w:ascii="Times New Roman" w:hAnsi="Times New Roman"/>
                <w:spacing w:val="-5"/>
                <w:sz w:val="20"/>
                <w:szCs w:val="20"/>
              </w:rPr>
              <w:t>v</w:t>
            </w:r>
            <w:r w:rsidRPr="00420C1B">
              <w:rPr>
                <w:rFonts w:ascii="Times New Roman" w:hAnsi="Times New Roman"/>
                <w:sz w:val="20"/>
                <w:szCs w:val="20"/>
              </w:rPr>
              <w:t>e</w:t>
            </w:r>
            <w:r w:rsidRPr="00420C1B">
              <w:rPr>
                <w:rFonts w:ascii="Times New Roman" w:hAnsi="Times New Roman"/>
                <w:spacing w:val="1"/>
                <w:sz w:val="20"/>
                <w:szCs w:val="20"/>
              </w:rPr>
              <w:t>r</w:t>
            </w:r>
            <w:r w:rsidRPr="00420C1B">
              <w:rPr>
                <w:rFonts w:ascii="Times New Roman" w:hAnsi="Times New Roman"/>
                <w:spacing w:val="-1"/>
                <w:sz w:val="20"/>
                <w:szCs w:val="20"/>
              </w:rPr>
              <w:t>s</w:t>
            </w:r>
            <w:r w:rsidRPr="00420C1B">
              <w:rPr>
                <w:rFonts w:ascii="Times New Roman" w:hAnsi="Times New Roman"/>
                <w:sz w:val="20"/>
                <w:szCs w:val="20"/>
              </w:rPr>
              <w:t>e</w:t>
            </w:r>
            <w:r w:rsidRPr="00420C1B">
              <w:rPr>
                <w:rFonts w:ascii="Times New Roman" w:hAnsi="Times New Roman"/>
                <w:spacing w:val="-6"/>
                <w:sz w:val="20"/>
                <w:szCs w:val="20"/>
              </w:rPr>
              <w:t>m</w:t>
            </w:r>
            <w:r w:rsidRPr="00420C1B">
              <w:rPr>
                <w:rFonts w:ascii="Times New Roman" w:hAnsi="Times New Roman"/>
                <w:sz w:val="20"/>
                <w:szCs w:val="20"/>
              </w:rPr>
              <w:t>en</w:t>
            </w:r>
            <w:r w:rsidRPr="00420C1B">
              <w:rPr>
                <w:rFonts w:ascii="Times New Roman" w:hAnsi="Times New Roman"/>
                <w:spacing w:val="1"/>
                <w:sz w:val="20"/>
                <w:szCs w:val="20"/>
              </w:rPr>
              <w:t>t</w:t>
            </w:r>
            <w:r w:rsidRPr="00420C1B">
              <w:rPr>
                <w:rFonts w:ascii="Times New Roman" w:hAnsi="Times New Roman"/>
                <w:sz w:val="20"/>
                <w:szCs w:val="20"/>
              </w:rPr>
              <w:t>s a</w:t>
            </w:r>
            <w:r w:rsidRPr="00420C1B">
              <w:rPr>
                <w:rFonts w:ascii="Times New Roman" w:hAnsi="Times New Roman"/>
                <w:spacing w:val="-2"/>
                <w:sz w:val="20"/>
                <w:szCs w:val="20"/>
              </w:rPr>
              <w:t>c</w:t>
            </w:r>
            <w:r w:rsidRPr="00420C1B">
              <w:rPr>
                <w:rFonts w:ascii="Times New Roman" w:hAnsi="Times New Roman"/>
                <w:sz w:val="20"/>
                <w:szCs w:val="20"/>
              </w:rPr>
              <w:t>c</w:t>
            </w:r>
            <w:r w:rsidRPr="00420C1B">
              <w:rPr>
                <w:rFonts w:ascii="Times New Roman" w:hAnsi="Times New Roman"/>
                <w:spacing w:val="1"/>
                <w:sz w:val="20"/>
                <w:szCs w:val="20"/>
              </w:rPr>
              <w:t>i</w:t>
            </w:r>
            <w:r w:rsidRPr="00420C1B">
              <w:rPr>
                <w:rFonts w:ascii="Times New Roman" w:hAnsi="Times New Roman"/>
                <w:spacing w:val="-2"/>
                <w:sz w:val="20"/>
                <w:szCs w:val="20"/>
              </w:rPr>
              <w:t>d</w:t>
            </w:r>
            <w:r w:rsidRPr="00420C1B">
              <w:rPr>
                <w:rFonts w:ascii="Times New Roman" w:hAnsi="Times New Roman"/>
                <w:sz w:val="20"/>
                <w:szCs w:val="20"/>
              </w:rPr>
              <w:t>e</w:t>
            </w:r>
            <w:r w:rsidRPr="00420C1B">
              <w:rPr>
                <w:rFonts w:ascii="Times New Roman" w:hAnsi="Times New Roman"/>
                <w:spacing w:val="-2"/>
                <w:sz w:val="20"/>
                <w:szCs w:val="20"/>
              </w:rPr>
              <w:t>n</w:t>
            </w:r>
            <w:r w:rsidRPr="00420C1B">
              <w:rPr>
                <w:rFonts w:ascii="Times New Roman" w:hAnsi="Times New Roman"/>
                <w:spacing w:val="-1"/>
                <w:sz w:val="20"/>
                <w:szCs w:val="20"/>
              </w:rPr>
              <w:t>t</w:t>
            </w:r>
            <w:r w:rsidRPr="00420C1B">
              <w:rPr>
                <w:rFonts w:ascii="Times New Roman" w:hAnsi="Times New Roman"/>
                <w:spacing w:val="-2"/>
                <w:sz w:val="20"/>
                <w:szCs w:val="20"/>
              </w:rPr>
              <w:t>e</w:t>
            </w:r>
            <w:r w:rsidRPr="00420C1B">
              <w:rPr>
                <w:rFonts w:ascii="Times New Roman" w:hAnsi="Times New Roman"/>
                <w:spacing w:val="-1"/>
                <w:sz w:val="20"/>
                <w:szCs w:val="20"/>
              </w:rPr>
              <w:t>l</w:t>
            </w:r>
            <w:r w:rsidRPr="00420C1B">
              <w:rPr>
                <w:rFonts w:ascii="Times New Roman" w:hAnsi="Times New Roman"/>
                <w:sz w:val="20"/>
                <w:szCs w:val="20"/>
              </w:rPr>
              <w:t xml:space="preserve">s par </w:t>
            </w:r>
            <w:r w:rsidRPr="00420C1B">
              <w:rPr>
                <w:rFonts w:ascii="Times New Roman" w:hAnsi="Times New Roman"/>
                <w:spacing w:val="-9"/>
                <w:sz w:val="20"/>
                <w:szCs w:val="20"/>
              </w:rPr>
              <w:t>m</w:t>
            </w:r>
            <w:r w:rsidRPr="00420C1B">
              <w:rPr>
                <w:rFonts w:ascii="Times New Roman" w:hAnsi="Times New Roman"/>
                <w:sz w:val="20"/>
                <w:szCs w:val="20"/>
              </w:rPr>
              <w:t>o</w:t>
            </w:r>
            <w:r w:rsidRPr="00420C1B">
              <w:rPr>
                <w:rFonts w:ascii="Times New Roman" w:hAnsi="Times New Roman"/>
                <w:spacing w:val="1"/>
                <w:sz w:val="20"/>
                <w:szCs w:val="20"/>
              </w:rPr>
              <w:t>i</w:t>
            </w:r>
            <w:r w:rsidRPr="00420C1B">
              <w:rPr>
                <w:rFonts w:ascii="Times New Roman" w:hAnsi="Times New Roman"/>
                <w:sz w:val="20"/>
                <w:szCs w:val="20"/>
              </w:rPr>
              <w:t>s</w:t>
            </w:r>
          </w:p>
        </w:tc>
      </w:tr>
      <w:tr w:rsidR="00D75D2E" w:rsidRPr="00420C1B" w14:paraId="4628C4F3" w14:textId="77777777" w:rsidTr="00215867">
        <w:trPr>
          <w:trHeight w:val="20"/>
        </w:trPr>
        <w:tc>
          <w:tcPr>
            <w:tcW w:w="471" w:type="dxa"/>
            <w:tcBorders>
              <w:top w:val="single" w:sz="4" w:space="0" w:color="000000"/>
              <w:left w:val="single" w:sz="4" w:space="0" w:color="000000"/>
              <w:bottom w:val="single" w:sz="4" w:space="0" w:color="000000"/>
              <w:right w:val="single" w:sz="4" w:space="0" w:color="000000"/>
            </w:tcBorders>
            <w:vAlign w:val="center"/>
          </w:tcPr>
          <w:p w14:paraId="0A8E2D0A" w14:textId="77777777" w:rsidR="000705BE" w:rsidRPr="00420C1B" w:rsidRDefault="00BD5B4B" w:rsidP="00215867">
            <w:pPr>
              <w:widowControl w:val="0"/>
              <w:tabs>
                <w:tab w:val="left" w:pos="0"/>
              </w:tabs>
              <w:spacing w:after="0"/>
              <w:rPr>
                <w:rFonts w:ascii="Times New Roman" w:hAnsi="Times New Roman"/>
                <w:sz w:val="20"/>
                <w:szCs w:val="20"/>
              </w:rPr>
            </w:pPr>
            <w:r w:rsidRPr="00420C1B">
              <w:rPr>
                <w:rFonts w:ascii="Times New Roman" w:hAnsi="Times New Roman"/>
                <w:sz w:val="20"/>
                <w:szCs w:val="20"/>
              </w:rPr>
              <w:t>2.2</w:t>
            </w:r>
          </w:p>
        </w:tc>
        <w:tc>
          <w:tcPr>
            <w:tcW w:w="3929" w:type="dxa"/>
            <w:tcBorders>
              <w:top w:val="single" w:sz="4" w:space="0" w:color="000000"/>
              <w:left w:val="single" w:sz="4" w:space="0" w:color="000000"/>
              <w:bottom w:val="single" w:sz="4" w:space="0" w:color="000000"/>
              <w:right w:val="single" w:sz="4" w:space="0" w:color="000000"/>
            </w:tcBorders>
            <w:vAlign w:val="center"/>
            <w:hideMark/>
          </w:tcPr>
          <w:p w14:paraId="0B628F09"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z w:val="20"/>
                <w:szCs w:val="20"/>
              </w:rPr>
              <w:t>Ma</w:t>
            </w:r>
            <w:r w:rsidRPr="00420C1B">
              <w:rPr>
                <w:rFonts w:ascii="Times New Roman" w:hAnsi="Times New Roman"/>
                <w:spacing w:val="1"/>
                <w:sz w:val="20"/>
                <w:szCs w:val="20"/>
              </w:rPr>
              <w:t>î</w:t>
            </w:r>
            <w:r w:rsidRPr="00420C1B">
              <w:rPr>
                <w:rFonts w:ascii="Times New Roman" w:hAnsi="Times New Roman"/>
                <w:spacing w:val="-1"/>
                <w:sz w:val="20"/>
                <w:szCs w:val="20"/>
              </w:rPr>
              <w:t>t</w:t>
            </w:r>
            <w:r w:rsidRPr="00420C1B">
              <w:rPr>
                <w:rFonts w:ascii="Times New Roman" w:hAnsi="Times New Roman"/>
                <w:spacing w:val="-2"/>
                <w:sz w:val="20"/>
                <w:szCs w:val="20"/>
              </w:rPr>
              <w:t>r</w:t>
            </w:r>
            <w:r w:rsidRPr="00420C1B">
              <w:rPr>
                <w:rFonts w:ascii="Times New Roman" w:hAnsi="Times New Roman"/>
                <w:spacing w:val="1"/>
                <w:sz w:val="20"/>
                <w:szCs w:val="20"/>
              </w:rPr>
              <w:t>is</w:t>
            </w:r>
            <w:r w:rsidRPr="00420C1B">
              <w:rPr>
                <w:rFonts w:ascii="Times New Roman" w:hAnsi="Times New Roman"/>
                <w:sz w:val="20"/>
                <w:szCs w:val="20"/>
              </w:rPr>
              <w:t xml:space="preserve">e de </w:t>
            </w:r>
            <w:r w:rsidRPr="00420C1B">
              <w:rPr>
                <w:rFonts w:ascii="Times New Roman" w:hAnsi="Times New Roman"/>
                <w:spacing w:val="-1"/>
                <w:sz w:val="20"/>
                <w:szCs w:val="20"/>
              </w:rPr>
              <w:t>l</w:t>
            </w:r>
            <w:r w:rsidRPr="00420C1B">
              <w:rPr>
                <w:rFonts w:ascii="Times New Roman" w:hAnsi="Times New Roman"/>
                <w:sz w:val="20"/>
                <w:szCs w:val="20"/>
              </w:rPr>
              <w:t xml:space="preserve">a </w:t>
            </w:r>
            <w:r w:rsidRPr="00420C1B">
              <w:rPr>
                <w:rFonts w:ascii="Times New Roman" w:hAnsi="Times New Roman"/>
                <w:spacing w:val="-5"/>
                <w:sz w:val="20"/>
                <w:szCs w:val="20"/>
              </w:rPr>
              <w:t>g</w:t>
            </w:r>
            <w:r w:rsidRPr="00420C1B">
              <w:rPr>
                <w:rFonts w:ascii="Times New Roman" w:hAnsi="Times New Roman"/>
                <w:sz w:val="20"/>
                <w:szCs w:val="20"/>
              </w:rPr>
              <w:t>e</w:t>
            </w:r>
            <w:r w:rsidRPr="00420C1B">
              <w:rPr>
                <w:rFonts w:ascii="Times New Roman" w:hAnsi="Times New Roman"/>
                <w:spacing w:val="1"/>
                <w:sz w:val="20"/>
                <w:szCs w:val="20"/>
              </w:rPr>
              <w:t>sti</w:t>
            </w:r>
            <w:r w:rsidRPr="00420C1B">
              <w:rPr>
                <w:rFonts w:ascii="Times New Roman" w:hAnsi="Times New Roman"/>
                <w:sz w:val="20"/>
                <w:szCs w:val="20"/>
              </w:rPr>
              <w:t>on</w:t>
            </w:r>
            <w:r w:rsidRPr="00420C1B">
              <w:rPr>
                <w:rFonts w:ascii="Times New Roman" w:hAnsi="Times New Roman"/>
                <w:spacing w:val="-2"/>
                <w:sz w:val="20"/>
                <w:szCs w:val="20"/>
              </w:rPr>
              <w:t xml:space="preserve"> d</w:t>
            </w:r>
            <w:r w:rsidRPr="00420C1B">
              <w:rPr>
                <w:rFonts w:ascii="Times New Roman" w:hAnsi="Times New Roman"/>
                <w:sz w:val="20"/>
                <w:szCs w:val="20"/>
              </w:rPr>
              <w:t xml:space="preserve">es </w:t>
            </w:r>
            <w:r w:rsidRPr="00420C1B">
              <w:rPr>
                <w:rFonts w:ascii="Times New Roman" w:hAnsi="Times New Roman"/>
                <w:spacing w:val="-5"/>
                <w:sz w:val="20"/>
                <w:szCs w:val="20"/>
              </w:rPr>
              <w:t>d</w:t>
            </w:r>
            <w:r w:rsidRPr="00420C1B">
              <w:rPr>
                <w:rFonts w:ascii="Times New Roman" w:hAnsi="Times New Roman"/>
                <w:sz w:val="20"/>
                <w:szCs w:val="20"/>
              </w:rPr>
              <w:t>éch</w:t>
            </w:r>
            <w:r w:rsidRPr="00420C1B">
              <w:rPr>
                <w:rFonts w:ascii="Times New Roman" w:hAnsi="Times New Roman"/>
                <w:spacing w:val="-2"/>
                <w:sz w:val="20"/>
                <w:szCs w:val="20"/>
              </w:rPr>
              <w:t>e</w:t>
            </w:r>
            <w:r w:rsidRPr="00420C1B">
              <w:rPr>
                <w:rFonts w:ascii="Times New Roman" w:hAnsi="Times New Roman"/>
                <w:spacing w:val="1"/>
                <w:sz w:val="20"/>
                <w:szCs w:val="20"/>
              </w:rPr>
              <w:t>t</w:t>
            </w:r>
            <w:r w:rsidRPr="00420C1B">
              <w:rPr>
                <w:rFonts w:ascii="Times New Roman" w:hAnsi="Times New Roman"/>
                <w:sz w:val="20"/>
                <w:szCs w:val="20"/>
              </w:rPr>
              <w:t xml:space="preserve">s </w:t>
            </w:r>
            <w:r w:rsidRPr="00420C1B">
              <w:rPr>
                <w:rFonts w:ascii="Times New Roman" w:hAnsi="Times New Roman"/>
                <w:spacing w:val="-5"/>
                <w:sz w:val="20"/>
                <w:szCs w:val="20"/>
              </w:rPr>
              <w:t>d</w:t>
            </w:r>
            <w:r w:rsidRPr="00420C1B">
              <w:rPr>
                <w:rFonts w:ascii="Times New Roman" w:hAnsi="Times New Roman"/>
                <w:sz w:val="20"/>
                <w:szCs w:val="20"/>
              </w:rPr>
              <w:t>an</w:t>
            </w:r>
            <w:r w:rsidRPr="00420C1B">
              <w:rPr>
                <w:rFonts w:ascii="Times New Roman" w:hAnsi="Times New Roman"/>
                <w:spacing w:val="-5"/>
                <w:sz w:val="20"/>
                <w:szCs w:val="20"/>
              </w:rPr>
              <w:t>g</w:t>
            </w:r>
            <w:r w:rsidRPr="00420C1B">
              <w:rPr>
                <w:rFonts w:ascii="Times New Roman" w:hAnsi="Times New Roman"/>
                <w:sz w:val="20"/>
                <w:szCs w:val="20"/>
              </w:rPr>
              <w:t>e</w:t>
            </w:r>
            <w:r w:rsidRPr="00420C1B">
              <w:rPr>
                <w:rFonts w:ascii="Times New Roman" w:hAnsi="Times New Roman"/>
                <w:spacing w:val="1"/>
                <w:sz w:val="20"/>
                <w:szCs w:val="20"/>
              </w:rPr>
              <w:t>r</w:t>
            </w:r>
            <w:r w:rsidRPr="00420C1B">
              <w:rPr>
                <w:rFonts w:ascii="Times New Roman" w:hAnsi="Times New Roman"/>
                <w:sz w:val="20"/>
                <w:szCs w:val="20"/>
              </w:rPr>
              <w:t>eux</w:t>
            </w:r>
          </w:p>
          <w:p w14:paraId="5F15FACC"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w:t>
            </w:r>
            <w:r w:rsidRPr="00420C1B">
              <w:rPr>
                <w:rFonts w:ascii="Times New Roman" w:hAnsi="Times New Roman"/>
                <w:sz w:val="20"/>
                <w:szCs w:val="20"/>
              </w:rPr>
              <w:t>Huiles u</w:t>
            </w:r>
            <w:r w:rsidRPr="00420C1B">
              <w:rPr>
                <w:rFonts w:ascii="Times New Roman" w:hAnsi="Times New Roman"/>
                <w:spacing w:val="1"/>
                <w:sz w:val="20"/>
                <w:szCs w:val="20"/>
              </w:rPr>
              <w:t>s</w:t>
            </w:r>
            <w:r w:rsidRPr="00420C1B">
              <w:rPr>
                <w:rFonts w:ascii="Times New Roman" w:hAnsi="Times New Roman"/>
                <w:sz w:val="20"/>
                <w:szCs w:val="20"/>
              </w:rPr>
              <w:t>a</w:t>
            </w:r>
            <w:r w:rsidRPr="00420C1B">
              <w:rPr>
                <w:rFonts w:ascii="Times New Roman" w:hAnsi="Times New Roman"/>
                <w:spacing w:val="-5"/>
                <w:sz w:val="20"/>
                <w:szCs w:val="20"/>
              </w:rPr>
              <w:t>g</w:t>
            </w:r>
            <w:r w:rsidRPr="00420C1B">
              <w:rPr>
                <w:rFonts w:ascii="Times New Roman" w:hAnsi="Times New Roman"/>
                <w:sz w:val="20"/>
                <w:szCs w:val="20"/>
              </w:rPr>
              <w:t>ée</w:t>
            </w:r>
            <w:r w:rsidRPr="00420C1B">
              <w:rPr>
                <w:rFonts w:ascii="Times New Roman" w:hAnsi="Times New Roman"/>
                <w:spacing w:val="-2"/>
                <w:sz w:val="20"/>
                <w:szCs w:val="20"/>
              </w:rPr>
              <w:t>s</w:t>
            </w:r>
            <w:r w:rsidRPr="00420C1B">
              <w:rPr>
                <w:rFonts w:ascii="Times New Roman" w:hAnsi="Times New Roman"/>
                <w:sz w:val="20"/>
                <w:szCs w:val="20"/>
              </w:rPr>
              <w:t xml:space="preserve">, </w:t>
            </w:r>
            <w:r w:rsidRPr="00420C1B">
              <w:rPr>
                <w:rFonts w:ascii="Times New Roman" w:hAnsi="Times New Roman"/>
                <w:spacing w:val="-2"/>
                <w:sz w:val="20"/>
                <w:szCs w:val="20"/>
              </w:rPr>
              <w:t>e</w:t>
            </w:r>
            <w:r w:rsidRPr="00420C1B">
              <w:rPr>
                <w:rFonts w:ascii="Times New Roman" w:hAnsi="Times New Roman"/>
                <w:spacing w:val="1"/>
                <w:sz w:val="20"/>
                <w:szCs w:val="20"/>
              </w:rPr>
              <w:t>t</w:t>
            </w:r>
            <w:r w:rsidRPr="00420C1B">
              <w:rPr>
                <w:rFonts w:ascii="Times New Roman" w:hAnsi="Times New Roman"/>
                <w:spacing w:val="-2"/>
                <w:sz w:val="20"/>
                <w:szCs w:val="20"/>
              </w:rPr>
              <w:t>c</w:t>
            </w:r>
            <w:r w:rsidRPr="00420C1B">
              <w:rPr>
                <w:rFonts w:ascii="Times New Roman" w:hAnsi="Times New Roman"/>
                <w:sz w:val="20"/>
                <w:szCs w:val="20"/>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9435C98" w14:textId="77777777" w:rsidR="000705BE" w:rsidRPr="00215867" w:rsidRDefault="000705BE" w:rsidP="00215867">
            <w:pPr>
              <w:widowControl w:val="0"/>
              <w:tabs>
                <w:tab w:val="left" w:pos="0"/>
              </w:tabs>
              <w:spacing w:after="0"/>
              <w:ind w:left="105"/>
              <w:rPr>
                <w:rFonts w:ascii="Times New Roman" w:hAnsi="Times New Roman"/>
                <w:spacing w:val="1"/>
                <w:sz w:val="20"/>
                <w:szCs w:val="20"/>
              </w:rPr>
            </w:pPr>
            <w:r w:rsidRPr="00215867">
              <w:rPr>
                <w:rFonts w:ascii="Times New Roman" w:hAnsi="Times New Roman"/>
                <w:spacing w:val="1"/>
                <w:sz w:val="20"/>
                <w:szCs w:val="20"/>
              </w:rPr>
              <w:t>Pe</w:t>
            </w:r>
            <w:r w:rsidRPr="00420C1B">
              <w:rPr>
                <w:rFonts w:ascii="Times New Roman" w:hAnsi="Times New Roman"/>
                <w:spacing w:val="1"/>
                <w:sz w:val="20"/>
                <w:szCs w:val="20"/>
              </w:rPr>
              <w:t>rs</w:t>
            </w:r>
            <w:r w:rsidRPr="00215867">
              <w:rPr>
                <w:rFonts w:ascii="Times New Roman" w:hAnsi="Times New Roman"/>
                <w:spacing w:val="1"/>
                <w:sz w:val="20"/>
                <w:szCs w:val="20"/>
              </w:rPr>
              <w:t>onnel</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844100E" w14:textId="77777777" w:rsidR="000705BE" w:rsidRPr="00420C1B" w:rsidRDefault="000705BE" w:rsidP="00215867">
            <w:pPr>
              <w:widowControl w:val="0"/>
              <w:tabs>
                <w:tab w:val="left" w:pos="0"/>
              </w:tabs>
              <w:spacing w:after="0"/>
              <w:ind w:left="102"/>
              <w:rPr>
                <w:rFonts w:ascii="Times New Roman" w:hAnsi="Times New Roman"/>
                <w:sz w:val="20"/>
                <w:szCs w:val="20"/>
              </w:rPr>
            </w:pPr>
            <w:r w:rsidRPr="00420C1B">
              <w:rPr>
                <w:rFonts w:ascii="Times New Roman" w:hAnsi="Times New Roman"/>
                <w:spacing w:val="-1"/>
                <w:sz w:val="20"/>
                <w:szCs w:val="20"/>
              </w:rPr>
              <w:t>Q</w:t>
            </w:r>
            <w:r w:rsidRPr="00420C1B">
              <w:rPr>
                <w:rFonts w:ascii="Times New Roman" w:hAnsi="Times New Roman"/>
                <w:sz w:val="20"/>
                <w:szCs w:val="20"/>
              </w:rPr>
              <w:t>uan</w:t>
            </w:r>
            <w:r w:rsidRPr="00420C1B">
              <w:rPr>
                <w:rFonts w:ascii="Times New Roman" w:hAnsi="Times New Roman"/>
                <w:spacing w:val="-1"/>
                <w:sz w:val="20"/>
                <w:szCs w:val="20"/>
              </w:rPr>
              <w:t>t</w:t>
            </w:r>
            <w:r w:rsidRPr="00420C1B">
              <w:rPr>
                <w:rFonts w:ascii="Times New Roman" w:hAnsi="Times New Roman"/>
                <w:spacing w:val="1"/>
                <w:sz w:val="20"/>
                <w:szCs w:val="20"/>
              </w:rPr>
              <w:t>it</w:t>
            </w:r>
            <w:r w:rsidRPr="00420C1B">
              <w:rPr>
                <w:rFonts w:ascii="Times New Roman" w:hAnsi="Times New Roman"/>
                <w:spacing w:val="-2"/>
                <w:sz w:val="20"/>
                <w:szCs w:val="20"/>
              </w:rPr>
              <w:t>é</w:t>
            </w:r>
            <w:r w:rsidRPr="00420C1B">
              <w:rPr>
                <w:rFonts w:ascii="Times New Roman" w:hAnsi="Times New Roman"/>
                <w:sz w:val="20"/>
                <w:szCs w:val="20"/>
              </w:rPr>
              <w:t>s</w:t>
            </w:r>
            <w:r w:rsidRPr="00420C1B">
              <w:rPr>
                <w:rFonts w:ascii="Times New Roman" w:hAnsi="Times New Roman"/>
                <w:spacing w:val="-2"/>
                <w:sz w:val="20"/>
                <w:szCs w:val="20"/>
              </w:rPr>
              <w:t xml:space="preserve"> p</w:t>
            </w:r>
            <w:r w:rsidRPr="00420C1B">
              <w:rPr>
                <w:rFonts w:ascii="Times New Roman" w:hAnsi="Times New Roman"/>
                <w:sz w:val="20"/>
                <w:szCs w:val="20"/>
              </w:rPr>
              <w:t>ro</w:t>
            </w:r>
            <w:r w:rsidRPr="00420C1B">
              <w:rPr>
                <w:rFonts w:ascii="Times New Roman" w:hAnsi="Times New Roman"/>
                <w:spacing w:val="-2"/>
                <w:sz w:val="20"/>
                <w:szCs w:val="20"/>
              </w:rPr>
              <w:t>d</w:t>
            </w:r>
            <w:r w:rsidRPr="00420C1B">
              <w:rPr>
                <w:rFonts w:ascii="Times New Roman" w:hAnsi="Times New Roman"/>
                <w:spacing w:val="1"/>
                <w:sz w:val="20"/>
                <w:szCs w:val="20"/>
              </w:rPr>
              <w:t>ui</w:t>
            </w:r>
            <w:r w:rsidRPr="00420C1B">
              <w:rPr>
                <w:rFonts w:ascii="Times New Roman" w:hAnsi="Times New Roman"/>
                <w:spacing w:val="-4"/>
                <w:sz w:val="20"/>
                <w:szCs w:val="20"/>
              </w:rPr>
              <w:t>t</w:t>
            </w:r>
            <w:r w:rsidRPr="00420C1B">
              <w:rPr>
                <w:rFonts w:ascii="Times New Roman" w:hAnsi="Times New Roman"/>
                <w:spacing w:val="1"/>
                <w:sz w:val="20"/>
                <w:szCs w:val="20"/>
              </w:rPr>
              <w:t>es/</w:t>
            </w:r>
            <w:r w:rsidRPr="00420C1B">
              <w:rPr>
                <w:rFonts w:ascii="Times New Roman" w:hAnsi="Times New Roman"/>
                <w:sz w:val="20"/>
                <w:szCs w:val="20"/>
              </w:rPr>
              <w:t>qua</w:t>
            </w:r>
            <w:r w:rsidRPr="00420C1B">
              <w:rPr>
                <w:rFonts w:ascii="Times New Roman" w:hAnsi="Times New Roman"/>
                <w:spacing w:val="-2"/>
                <w:sz w:val="20"/>
                <w:szCs w:val="20"/>
              </w:rPr>
              <w:t>n</w:t>
            </w:r>
            <w:r w:rsidRPr="00420C1B">
              <w:rPr>
                <w:rFonts w:ascii="Times New Roman" w:hAnsi="Times New Roman"/>
                <w:spacing w:val="1"/>
                <w:sz w:val="20"/>
                <w:szCs w:val="20"/>
              </w:rPr>
              <w:t>t</w:t>
            </w:r>
            <w:r w:rsidRPr="00420C1B">
              <w:rPr>
                <w:rFonts w:ascii="Times New Roman" w:hAnsi="Times New Roman"/>
                <w:spacing w:val="-1"/>
                <w:sz w:val="20"/>
                <w:szCs w:val="20"/>
              </w:rPr>
              <w:t>i</w:t>
            </w:r>
            <w:r w:rsidRPr="00420C1B">
              <w:rPr>
                <w:rFonts w:ascii="Times New Roman" w:hAnsi="Times New Roman"/>
                <w:spacing w:val="1"/>
                <w:sz w:val="20"/>
                <w:szCs w:val="20"/>
              </w:rPr>
              <w:t>t</w:t>
            </w:r>
            <w:r w:rsidRPr="00420C1B">
              <w:rPr>
                <w:rFonts w:ascii="Times New Roman" w:hAnsi="Times New Roman"/>
                <w:sz w:val="20"/>
                <w:szCs w:val="20"/>
              </w:rPr>
              <w:t xml:space="preserve">és </w:t>
            </w:r>
            <w:r w:rsidRPr="00420C1B">
              <w:rPr>
                <w:rFonts w:ascii="Times New Roman" w:hAnsi="Times New Roman"/>
                <w:spacing w:val="-2"/>
                <w:sz w:val="20"/>
                <w:szCs w:val="20"/>
              </w:rPr>
              <w:t>r</w:t>
            </w:r>
            <w:r w:rsidRPr="00420C1B">
              <w:rPr>
                <w:rFonts w:ascii="Times New Roman" w:hAnsi="Times New Roman"/>
                <w:sz w:val="20"/>
                <w:szCs w:val="20"/>
              </w:rPr>
              <w:t>éc</w:t>
            </w:r>
            <w:r w:rsidRPr="00420C1B">
              <w:rPr>
                <w:rFonts w:ascii="Times New Roman" w:hAnsi="Times New Roman"/>
                <w:spacing w:val="-2"/>
                <w:sz w:val="20"/>
                <w:szCs w:val="20"/>
              </w:rPr>
              <w:t>up</w:t>
            </w:r>
            <w:r w:rsidRPr="00420C1B">
              <w:rPr>
                <w:rFonts w:ascii="Times New Roman" w:hAnsi="Times New Roman"/>
                <w:sz w:val="20"/>
                <w:szCs w:val="20"/>
              </w:rPr>
              <w:t>é</w:t>
            </w:r>
            <w:r w:rsidRPr="00420C1B">
              <w:rPr>
                <w:rFonts w:ascii="Times New Roman" w:hAnsi="Times New Roman"/>
                <w:spacing w:val="-2"/>
                <w:sz w:val="20"/>
                <w:szCs w:val="20"/>
              </w:rPr>
              <w:t>r</w:t>
            </w:r>
            <w:r w:rsidRPr="00420C1B">
              <w:rPr>
                <w:rFonts w:ascii="Times New Roman" w:hAnsi="Times New Roman"/>
                <w:sz w:val="20"/>
                <w:szCs w:val="20"/>
              </w:rPr>
              <w:t xml:space="preserve">ées </w:t>
            </w:r>
            <w:r w:rsidRPr="00420C1B">
              <w:rPr>
                <w:rFonts w:ascii="Times New Roman" w:hAnsi="Times New Roman"/>
                <w:spacing w:val="-5"/>
                <w:sz w:val="20"/>
                <w:szCs w:val="20"/>
              </w:rPr>
              <w:t>p</w:t>
            </w:r>
            <w:r w:rsidRPr="00420C1B">
              <w:rPr>
                <w:rFonts w:ascii="Times New Roman" w:hAnsi="Times New Roman"/>
                <w:sz w:val="20"/>
                <w:szCs w:val="20"/>
              </w:rPr>
              <w:t>ar une structure a</w:t>
            </w:r>
            <w:r w:rsidRPr="00420C1B">
              <w:rPr>
                <w:rFonts w:ascii="Times New Roman" w:hAnsi="Times New Roman"/>
                <w:spacing w:val="-5"/>
                <w:sz w:val="20"/>
                <w:szCs w:val="20"/>
              </w:rPr>
              <w:t>g</w:t>
            </w:r>
            <w:r w:rsidRPr="00420C1B">
              <w:rPr>
                <w:rFonts w:ascii="Times New Roman" w:hAnsi="Times New Roman"/>
                <w:spacing w:val="1"/>
                <w:sz w:val="20"/>
                <w:szCs w:val="20"/>
              </w:rPr>
              <w:t>r</w:t>
            </w:r>
            <w:r w:rsidRPr="00420C1B">
              <w:rPr>
                <w:rFonts w:ascii="Times New Roman" w:hAnsi="Times New Roman"/>
                <w:spacing w:val="-2"/>
                <w:sz w:val="20"/>
                <w:szCs w:val="20"/>
              </w:rPr>
              <w:t>é</w:t>
            </w:r>
            <w:r w:rsidRPr="00420C1B">
              <w:rPr>
                <w:rFonts w:ascii="Times New Roman" w:hAnsi="Times New Roman"/>
                <w:sz w:val="20"/>
                <w:szCs w:val="20"/>
              </w:rPr>
              <w:t xml:space="preserve">ée </w:t>
            </w:r>
          </w:p>
        </w:tc>
      </w:tr>
    </w:tbl>
    <w:p w14:paraId="25186C48" w14:textId="77777777" w:rsidR="00F16F4B" w:rsidRPr="00E737B4" w:rsidRDefault="00F16F4B" w:rsidP="00E737B4">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124BDB">
        <w:rPr>
          <w:rFonts w:ascii="Times New Roman" w:hAnsi="Times New Roman"/>
          <w:bCs/>
          <w:i/>
          <w:sz w:val="24"/>
        </w:rPr>
        <w:t xml:space="preserve">, </w:t>
      </w:r>
      <w:r w:rsidRPr="00E737B4">
        <w:rPr>
          <w:rFonts w:ascii="Times New Roman" w:hAnsi="Times New Roman"/>
          <w:bCs/>
          <w:i/>
          <w:sz w:val="24"/>
        </w:rPr>
        <w:t>juillet 2021</w:t>
      </w:r>
    </w:p>
    <w:p w14:paraId="34FEBD01" w14:textId="77777777" w:rsidR="000705BE" w:rsidRPr="00D75D2E" w:rsidRDefault="000705BE" w:rsidP="00E737B4">
      <w:pPr>
        <w:spacing w:before="120" w:after="120" w:line="20" w:lineRule="atLeast"/>
        <w:jc w:val="both"/>
        <w:rPr>
          <w:rFonts w:ascii="Times New Roman" w:hAnsi="Times New Roman"/>
          <w:sz w:val="24"/>
          <w:szCs w:val="24"/>
          <w:lang w:eastAsia="fr-FR"/>
        </w:rPr>
      </w:pPr>
      <w:r w:rsidRPr="00D75D2E">
        <w:rPr>
          <w:rFonts w:ascii="Times New Roman" w:hAnsi="Times New Roman"/>
          <w:sz w:val="24"/>
          <w:szCs w:val="24"/>
          <w:lang w:eastAsia="fr-FR"/>
        </w:rPr>
        <w:t>Le tableau des indicateurs de performance sont complétés avec les indicateurs sur (i) les risques électriques, (ii) les indicateurs sur les accidents de trafic, (iii) les indicateurs sur les risques des travaux en hauteur, (iv)  les sessions de sensibilisation HSE organisée, (v) le calcul des performance HSE  (TG, IF, TF, nombre des cas d’accidents de travail avec arrêt de plus de 03 jours, nombre des cas d’hospitalisation, nombres des cas de premier secours, nombre d’incident avec dommage, nombre d’incident environnemental, nombre de cas d’accident évité de justesse, nombre d’accident de trafic, nombre d’inspection HSE organisées et documentées,  nombre d’audits HSE organisés nombre d’exercice de simulation des situations d’urgence organisée, etc.).</w:t>
      </w:r>
    </w:p>
    <w:p w14:paraId="2BA5A7B5" w14:textId="77777777" w:rsidR="000705BE" w:rsidRPr="00215867" w:rsidRDefault="00B80123" w:rsidP="00215867">
      <w:pPr>
        <w:pStyle w:val="Titre31"/>
        <w:numPr>
          <w:ilvl w:val="2"/>
          <w:numId w:val="54"/>
        </w:numPr>
        <w:tabs>
          <w:tab w:val="left" w:pos="993"/>
        </w:tabs>
        <w:spacing w:before="120" w:after="120" w:line="20" w:lineRule="atLeast"/>
        <w:ind w:left="993" w:hanging="709"/>
        <w:rPr>
          <w:rFonts w:eastAsia="Calibri"/>
          <w:i/>
        </w:rPr>
      </w:pPr>
      <w:bookmarkStart w:id="944" w:name="_Toc41310032"/>
      <w:bookmarkStart w:id="945" w:name="_Toc78602049"/>
      <w:r w:rsidRPr="00215867">
        <w:rPr>
          <w:rFonts w:eastAsia="Calibri"/>
          <w:i/>
          <w:u w:val="none"/>
        </w:rPr>
        <w:t xml:space="preserve">  </w:t>
      </w:r>
      <w:bookmarkStart w:id="946" w:name="_Toc103685745"/>
      <w:r w:rsidR="000705BE" w:rsidRPr="00215867">
        <w:rPr>
          <w:rFonts w:eastAsia="Calibri"/>
          <w:i/>
          <w:u w:val="none"/>
        </w:rPr>
        <w:t>Mise en œuvre de la politique de l’entreprise</w:t>
      </w:r>
      <w:bookmarkEnd w:id="944"/>
      <w:bookmarkEnd w:id="945"/>
      <w:bookmarkEnd w:id="946"/>
    </w:p>
    <w:p w14:paraId="0D1F8427" w14:textId="25AC00D4" w:rsidR="000705BE" w:rsidRPr="00D75D2E" w:rsidRDefault="000705BE" w:rsidP="00E737B4">
      <w:pPr>
        <w:widowControl w:val="0"/>
        <w:tabs>
          <w:tab w:val="left" w:pos="0"/>
        </w:tabs>
        <w:spacing w:before="120" w:after="120" w:line="20" w:lineRule="atLeast"/>
        <w:ind w:left="116" w:right="136"/>
        <w:jc w:val="both"/>
        <w:rPr>
          <w:rFonts w:ascii="Times New Roman" w:hAnsi="Times New Roman"/>
          <w:spacing w:val="-1"/>
          <w:sz w:val="24"/>
          <w:szCs w:val="24"/>
        </w:rPr>
      </w:pPr>
      <w:r w:rsidRPr="00D75D2E">
        <w:rPr>
          <w:rFonts w:ascii="Times New Roman" w:hAnsi="Times New Roman"/>
          <w:spacing w:val="-5"/>
          <w:sz w:val="24"/>
          <w:szCs w:val="24"/>
        </w:rPr>
        <w:t>L</w:t>
      </w:r>
      <w:r w:rsidRPr="00D75D2E">
        <w:rPr>
          <w:rFonts w:ascii="Times New Roman" w:hAnsi="Times New Roman"/>
          <w:sz w:val="24"/>
          <w:szCs w:val="24"/>
        </w:rPr>
        <w:t>a Dir</w:t>
      </w:r>
      <w:r w:rsidRPr="00D75D2E">
        <w:rPr>
          <w:rFonts w:ascii="Times New Roman" w:hAnsi="Times New Roman"/>
          <w:spacing w:val="-2"/>
          <w:sz w:val="24"/>
          <w:szCs w:val="24"/>
        </w:rPr>
        <w:t>e</w:t>
      </w:r>
      <w:r w:rsidRPr="00D75D2E">
        <w:rPr>
          <w:rFonts w:ascii="Times New Roman" w:hAnsi="Times New Roman"/>
          <w:spacing w:val="-1"/>
          <w:sz w:val="24"/>
          <w:szCs w:val="24"/>
        </w:rPr>
        <w:t>c</w:t>
      </w:r>
      <w:r w:rsidRPr="00D75D2E">
        <w:rPr>
          <w:rFonts w:ascii="Times New Roman" w:hAnsi="Times New Roman"/>
          <w:sz w:val="24"/>
          <w:szCs w:val="24"/>
        </w:rPr>
        <w:t>tion G</w:t>
      </w:r>
      <w:r w:rsidRPr="00D75D2E">
        <w:rPr>
          <w:rFonts w:ascii="Times New Roman" w:hAnsi="Times New Roman"/>
          <w:spacing w:val="-1"/>
          <w:sz w:val="24"/>
          <w:szCs w:val="24"/>
        </w:rPr>
        <w:t>é</w:t>
      </w:r>
      <w:r w:rsidRPr="00D75D2E">
        <w:rPr>
          <w:rFonts w:ascii="Times New Roman" w:hAnsi="Times New Roman"/>
          <w:spacing w:val="2"/>
          <w:sz w:val="24"/>
          <w:szCs w:val="24"/>
        </w:rPr>
        <w:t>n</w:t>
      </w:r>
      <w:r w:rsidRPr="00D75D2E">
        <w:rPr>
          <w:rFonts w:ascii="Times New Roman" w:hAnsi="Times New Roman"/>
          <w:spacing w:val="-1"/>
          <w:sz w:val="24"/>
          <w:szCs w:val="24"/>
        </w:rPr>
        <w:t>é</w:t>
      </w:r>
      <w:r w:rsidRPr="00D75D2E">
        <w:rPr>
          <w:rFonts w:ascii="Times New Roman" w:hAnsi="Times New Roman"/>
          <w:spacing w:val="2"/>
          <w:sz w:val="24"/>
          <w:szCs w:val="24"/>
        </w:rPr>
        <w:t>r</w:t>
      </w:r>
      <w:r w:rsidRPr="00D75D2E">
        <w:rPr>
          <w:rFonts w:ascii="Times New Roman" w:hAnsi="Times New Roman"/>
          <w:spacing w:val="-3"/>
          <w:sz w:val="24"/>
          <w:szCs w:val="24"/>
        </w:rPr>
        <w:t>a</w:t>
      </w:r>
      <w:r w:rsidRPr="00D75D2E">
        <w:rPr>
          <w:rFonts w:ascii="Times New Roman" w:hAnsi="Times New Roman"/>
          <w:spacing w:val="3"/>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e l</w:t>
      </w:r>
      <w:r w:rsidRPr="00D75D2E">
        <w:rPr>
          <w:rFonts w:ascii="Times New Roman" w:hAnsi="Times New Roman"/>
          <w:spacing w:val="-1"/>
          <w:sz w:val="24"/>
          <w:szCs w:val="24"/>
        </w:rPr>
        <w:t>’e</w:t>
      </w:r>
      <w:r w:rsidRPr="00D75D2E">
        <w:rPr>
          <w:rFonts w:ascii="Times New Roman" w:hAnsi="Times New Roman"/>
          <w:sz w:val="24"/>
          <w:szCs w:val="24"/>
        </w:rPr>
        <w:t>ntr</w:t>
      </w:r>
      <w:r w:rsidRPr="00D75D2E">
        <w:rPr>
          <w:rFonts w:ascii="Times New Roman" w:hAnsi="Times New Roman"/>
          <w:spacing w:val="-1"/>
          <w:sz w:val="24"/>
          <w:szCs w:val="24"/>
        </w:rPr>
        <w:t>e</w:t>
      </w:r>
      <w:r w:rsidRPr="00D75D2E">
        <w:rPr>
          <w:rFonts w:ascii="Times New Roman" w:hAnsi="Times New Roman"/>
          <w:spacing w:val="2"/>
          <w:sz w:val="24"/>
          <w:szCs w:val="24"/>
        </w:rPr>
        <w:t>p</w:t>
      </w:r>
      <w:r w:rsidRPr="00D75D2E">
        <w:rPr>
          <w:rFonts w:ascii="Times New Roman" w:hAnsi="Times New Roman"/>
          <w:sz w:val="24"/>
          <w:szCs w:val="24"/>
        </w:rPr>
        <w:t xml:space="preserve">rise a </w:t>
      </w:r>
      <w:r w:rsidRPr="00D75D2E">
        <w:rPr>
          <w:rFonts w:ascii="Times New Roman" w:hAnsi="Times New Roman"/>
          <w:spacing w:val="5"/>
          <w:sz w:val="24"/>
          <w:szCs w:val="24"/>
        </w:rPr>
        <w:t>l</w:t>
      </w:r>
      <w:r w:rsidRPr="00D75D2E">
        <w:rPr>
          <w:rFonts w:ascii="Times New Roman" w:hAnsi="Times New Roman"/>
          <w:sz w:val="24"/>
          <w:szCs w:val="24"/>
        </w:rPr>
        <w:t>a</w:t>
      </w:r>
      <w:r w:rsidRPr="00D75D2E">
        <w:rPr>
          <w:rFonts w:ascii="Times New Roman" w:hAnsi="Times New Roman"/>
          <w:spacing w:val="2"/>
          <w:sz w:val="24"/>
          <w:szCs w:val="24"/>
        </w:rPr>
        <w:t xml:space="preserve"> r</w:t>
      </w:r>
      <w:r w:rsidRPr="00D75D2E">
        <w:rPr>
          <w:rFonts w:ascii="Times New Roman" w:hAnsi="Times New Roman"/>
          <w:spacing w:val="-1"/>
          <w:sz w:val="24"/>
          <w:szCs w:val="24"/>
        </w:rPr>
        <w:t>e</w:t>
      </w:r>
      <w:r w:rsidRPr="00D75D2E">
        <w:rPr>
          <w:rFonts w:ascii="Times New Roman" w:hAnsi="Times New Roman"/>
          <w:sz w:val="24"/>
          <w:szCs w:val="24"/>
        </w:rPr>
        <w:t xml:space="preserve">sponsabilité de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g</w:t>
      </w:r>
      <w:r w:rsidRPr="00D75D2E">
        <w:rPr>
          <w:rFonts w:ascii="Times New Roman" w:hAnsi="Times New Roman"/>
          <w:sz w:val="24"/>
          <w:szCs w:val="24"/>
        </w:rPr>
        <w:t>est</w:t>
      </w:r>
      <w:r w:rsidRPr="00D75D2E">
        <w:rPr>
          <w:rFonts w:ascii="Times New Roman" w:hAnsi="Times New Roman"/>
          <w:spacing w:val="2"/>
          <w:sz w:val="24"/>
          <w:szCs w:val="24"/>
        </w:rPr>
        <w:t>i</w:t>
      </w:r>
      <w:r w:rsidRPr="00D75D2E">
        <w:rPr>
          <w:rFonts w:ascii="Times New Roman" w:hAnsi="Times New Roman"/>
          <w:sz w:val="24"/>
          <w:szCs w:val="24"/>
        </w:rPr>
        <w:t>on</w:t>
      </w:r>
      <w:r w:rsidRPr="00D75D2E">
        <w:rPr>
          <w:rFonts w:ascii="Times New Roman" w:hAnsi="Times New Roman"/>
          <w:spacing w:val="1"/>
          <w:sz w:val="24"/>
          <w:szCs w:val="24"/>
        </w:rPr>
        <w:t xml:space="preserve">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acc</w:t>
      </w:r>
      <w:r w:rsidRPr="00D75D2E">
        <w:rPr>
          <w:rFonts w:ascii="Times New Roman" w:hAnsi="Times New Roman"/>
          <w:sz w:val="24"/>
          <w:szCs w:val="24"/>
        </w:rPr>
        <w:t>idents,</w:t>
      </w:r>
      <w:r w:rsidRPr="00D75D2E">
        <w:rPr>
          <w:rFonts w:ascii="Times New Roman" w:hAnsi="Times New Roman"/>
          <w:spacing w:val="5"/>
          <w:sz w:val="24"/>
          <w:szCs w:val="24"/>
        </w:rPr>
        <w:t xml:space="preserve"> </w:t>
      </w:r>
      <w:r w:rsidRPr="00D75D2E">
        <w:rPr>
          <w:rFonts w:ascii="Times New Roman" w:hAnsi="Times New Roman"/>
          <w:sz w:val="24"/>
          <w:szCs w:val="24"/>
        </w:rPr>
        <w:t>de la s</w:t>
      </w:r>
      <w:r w:rsidRPr="00D75D2E">
        <w:rPr>
          <w:rFonts w:ascii="Times New Roman" w:hAnsi="Times New Roman"/>
          <w:spacing w:val="-1"/>
          <w:sz w:val="24"/>
          <w:szCs w:val="24"/>
        </w:rPr>
        <w:t>a</w:t>
      </w:r>
      <w:r w:rsidRPr="00D75D2E">
        <w:rPr>
          <w:rFonts w:ascii="Times New Roman" w:hAnsi="Times New Roman"/>
          <w:sz w:val="24"/>
          <w:szCs w:val="24"/>
        </w:rPr>
        <w:t xml:space="preserve">nté </w:t>
      </w:r>
      <w:r w:rsidRPr="00D75D2E">
        <w:rPr>
          <w:rFonts w:ascii="Times New Roman" w:hAnsi="Times New Roman"/>
          <w:spacing w:val="-1"/>
          <w:sz w:val="24"/>
          <w:szCs w:val="24"/>
        </w:rPr>
        <w:t>e</w:t>
      </w:r>
      <w:r w:rsidRPr="00D75D2E">
        <w:rPr>
          <w:rFonts w:ascii="Times New Roman" w:hAnsi="Times New Roman"/>
          <w:sz w:val="24"/>
          <w:szCs w:val="24"/>
        </w:rPr>
        <w:t xml:space="preserve">t de </w:t>
      </w:r>
      <w:r w:rsidRPr="00D75D2E">
        <w:rPr>
          <w:rFonts w:ascii="Times New Roman" w:hAnsi="Times New Roman"/>
          <w:spacing w:val="3"/>
          <w:sz w:val="24"/>
          <w:szCs w:val="24"/>
        </w:rPr>
        <w:t>l</w:t>
      </w:r>
      <w:r w:rsidRPr="00D75D2E">
        <w:rPr>
          <w:rFonts w:ascii="Times New Roman" w:hAnsi="Times New Roman"/>
          <w:spacing w:val="-5"/>
          <w:sz w:val="24"/>
          <w:szCs w:val="24"/>
        </w:rPr>
        <w:t>'</w:t>
      </w:r>
      <w:r w:rsidRPr="00D75D2E">
        <w:rPr>
          <w:rFonts w:ascii="Times New Roman" w:hAnsi="Times New Roman"/>
          <w:spacing w:val="10"/>
          <w:sz w:val="24"/>
          <w:szCs w:val="24"/>
        </w:rPr>
        <w:t>h</w:t>
      </w:r>
      <w:r w:rsidRPr="00D75D2E">
        <w:rPr>
          <w:rFonts w:ascii="Times New Roman" w:hAnsi="Times New Roman"/>
          <w:spacing w:val="-10"/>
          <w:sz w:val="24"/>
          <w:szCs w:val="24"/>
        </w:rPr>
        <w:t>y</w:t>
      </w:r>
      <w:r w:rsidRPr="00D75D2E">
        <w:rPr>
          <w:rFonts w:ascii="Times New Roman" w:hAnsi="Times New Roman"/>
          <w:sz w:val="24"/>
          <w:szCs w:val="24"/>
        </w:rPr>
        <w:t>g</w:t>
      </w:r>
      <w:r w:rsidRPr="00D75D2E">
        <w:rPr>
          <w:rFonts w:ascii="Times New Roman" w:hAnsi="Times New Roman"/>
          <w:spacing w:val="3"/>
          <w:sz w:val="24"/>
          <w:szCs w:val="24"/>
        </w:rPr>
        <w:t>i</w:t>
      </w:r>
      <w:r w:rsidRPr="00D75D2E">
        <w:rPr>
          <w:rFonts w:ascii="Times New Roman" w:hAnsi="Times New Roman"/>
          <w:spacing w:val="-1"/>
          <w:sz w:val="24"/>
          <w:szCs w:val="24"/>
        </w:rPr>
        <w:t>è</w:t>
      </w:r>
      <w:r w:rsidRPr="00D75D2E">
        <w:rPr>
          <w:rFonts w:ascii="Times New Roman" w:hAnsi="Times New Roman"/>
          <w:spacing w:val="2"/>
          <w:sz w:val="24"/>
          <w:szCs w:val="24"/>
        </w:rPr>
        <w:t>n</w:t>
      </w:r>
      <w:r w:rsidRPr="00D75D2E">
        <w:rPr>
          <w:rFonts w:ascii="Times New Roman" w:hAnsi="Times New Roman"/>
          <w:sz w:val="24"/>
          <w:szCs w:val="24"/>
        </w:rPr>
        <w:t xml:space="preserve">e </w:t>
      </w:r>
      <w:r w:rsidRPr="00D75D2E">
        <w:rPr>
          <w:rFonts w:ascii="Times New Roman" w:hAnsi="Times New Roman"/>
          <w:spacing w:val="3"/>
          <w:sz w:val="24"/>
          <w:szCs w:val="24"/>
        </w:rPr>
        <w:t>s</w:t>
      </w:r>
      <w:r w:rsidRPr="00D75D2E">
        <w:rPr>
          <w:rFonts w:ascii="Times New Roman" w:hAnsi="Times New Roman"/>
          <w:sz w:val="24"/>
          <w:szCs w:val="24"/>
        </w:rPr>
        <w:t xml:space="preserve">ur le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er</w:t>
      </w:r>
      <w:r w:rsidRPr="00D75D2E">
        <w:rPr>
          <w:rFonts w:ascii="Times New Roman" w:hAnsi="Times New Roman"/>
          <w:sz w:val="24"/>
          <w:szCs w:val="24"/>
        </w:rPr>
        <w:t>.</w:t>
      </w:r>
      <w:r w:rsidRPr="00D75D2E">
        <w:rPr>
          <w:rFonts w:ascii="Times New Roman" w:hAnsi="Times New Roman"/>
          <w:spacing w:val="-5"/>
          <w:sz w:val="24"/>
          <w:szCs w:val="24"/>
        </w:rPr>
        <w:t xml:space="preserve"> L</w:t>
      </w:r>
      <w:r w:rsidRPr="00D75D2E">
        <w:rPr>
          <w:rFonts w:ascii="Times New Roman" w:hAnsi="Times New Roman"/>
          <w:sz w:val="24"/>
          <w:szCs w:val="24"/>
        </w:rPr>
        <w:t xml:space="preserve">a </w:t>
      </w:r>
      <w:r w:rsidRPr="00D75D2E">
        <w:rPr>
          <w:rFonts w:ascii="Times New Roman" w:hAnsi="Times New Roman"/>
          <w:spacing w:val="2"/>
          <w:sz w:val="24"/>
          <w:szCs w:val="24"/>
        </w:rPr>
        <w:t>r</w:t>
      </w:r>
      <w:r w:rsidRPr="00D75D2E">
        <w:rPr>
          <w:rFonts w:ascii="Times New Roman" w:hAnsi="Times New Roman"/>
          <w:spacing w:val="-3"/>
          <w:sz w:val="24"/>
          <w:szCs w:val="24"/>
        </w:rPr>
        <w:t>é</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z w:val="24"/>
          <w:szCs w:val="24"/>
        </w:rPr>
        <w:t>rti</w:t>
      </w:r>
      <w:r w:rsidRPr="00D75D2E">
        <w:rPr>
          <w:rFonts w:ascii="Times New Roman" w:hAnsi="Times New Roman"/>
          <w:spacing w:val="1"/>
          <w:sz w:val="24"/>
          <w:szCs w:val="24"/>
        </w:rPr>
        <w:t>t</w:t>
      </w:r>
      <w:r w:rsidRPr="00D75D2E">
        <w:rPr>
          <w:rFonts w:ascii="Times New Roman" w:hAnsi="Times New Roman"/>
          <w:sz w:val="24"/>
          <w:szCs w:val="24"/>
        </w:rPr>
        <w:t>ion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 xml:space="preserve">sponsabilités du </w:t>
      </w:r>
      <w:r w:rsidRPr="00D75D2E">
        <w:rPr>
          <w:rFonts w:ascii="Times New Roman" w:hAnsi="Times New Roman"/>
          <w:spacing w:val="2"/>
          <w:sz w:val="24"/>
          <w:szCs w:val="24"/>
        </w:rPr>
        <w:t>p</w:t>
      </w:r>
      <w:r w:rsidRPr="00D75D2E">
        <w:rPr>
          <w:rFonts w:ascii="Times New Roman" w:hAnsi="Times New Roman"/>
          <w:spacing w:val="-1"/>
          <w:sz w:val="24"/>
          <w:szCs w:val="24"/>
        </w:rPr>
        <w:t>e</w:t>
      </w:r>
      <w:r w:rsidRPr="00D75D2E">
        <w:rPr>
          <w:rFonts w:ascii="Times New Roman" w:hAnsi="Times New Roman"/>
          <w:sz w:val="24"/>
          <w:szCs w:val="24"/>
        </w:rPr>
        <w:t>rsonn</w:t>
      </w:r>
      <w:r w:rsidRPr="00D75D2E">
        <w:rPr>
          <w:rFonts w:ascii="Times New Roman" w:hAnsi="Times New Roman"/>
          <w:spacing w:val="-1"/>
          <w:sz w:val="24"/>
          <w:szCs w:val="24"/>
        </w:rPr>
        <w:t>e</w:t>
      </w:r>
      <w:r w:rsidRPr="00D75D2E">
        <w:rPr>
          <w:rFonts w:ascii="Times New Roman" w:hAnsi="Times New Roman"/>
          <w:sz w:val="24"/>
          <w:szCs w:val="24"/>
        </w:rPr>
        <w:t xml:space="preserve">l </w:t>
      </w:r>
      <w:r w:rsidRPr="00D75D2E">
        <w:rPr>
          <w:rFonts w:ascii="Times New Roman" w:hAnsi="Times New Roman"/>
          <w:spacing w:val="-1"/>
          <w:sz w:val="24"/>
          <w:szCs w:val="24"/>
        </w:rPr>
        <w:t>ca</w:t>
      </w:r>
      <w:r w:rsidRPr="00D75D2E">
        <w:rPr>
          <w:rFonts w:ascii="Times New Roman" w:hAnsi="Times New Roman"/>
          <w:sz w:val="24"/>
          <w:szCs w:val="24"/>
        </w:rPr>
        <w:t>d</w:t>
      </w:r>
      <w:r w:rsidRPr="00D75D2E">
        <w:rPr>
          <w:rFonts w:ascii="Times New Roman" w:hAnsi="Times New Roman"/>
          <w:spacing w:val="1"/>
          <w:sz w:val="24"/>
          <w:szCs w:val="24"/>
        </w:rPr>
        <w:t>r</w:t>
      </w:r>
      <w:r w:rsidRPr="00D75D2E">
        <w:rPr>
          <w:rFonts w:ascii="Times New Roman" w:hAnsi="Times New Roman"/>
          <w:sz w:val="24"/>
          <w:szCs w:val="24"/>
        </w:rPr>
        <w:t>e pour la mise</w:t>
      </w:r>
      <w:r w:rsidRPr="00D75D2E">
        <w:rPr>
          <w:rFonts w:ascii="Times New Roman" w:hAnsi="Times New Roman"/>
          <w:spacing w:val="-1"/>
          <w:sz w:val="24"/>
          <w:szCs w:val="24"/>
        </w:rPr>
        <w:t xml:space="preserve"> e</w:t>
      </w:r>
      <w:r w:rsidRPr="00D75D2E">
        <w:rPr>
          <w:rFonts w:ascii="Times New Roman" w:hAnsi="Times New Roman"/>
          <w:sz w:val="24"/>
          <w:szCs w:val="24"/>
        </w:rPr>
        <w:t>n œuv</w:t>
      </w:r>
      <w:r w:rsidRPr="00D75D2E">
        <w:rPr>
          <w:rFonts w:ascii="Times New Roman" w:hAnsi="Times New Roman"/>
          <w:spacing w:val="-1"/>
          <w:sz w:val="24"/>
          <w:szCs w:val="24"/>
        </w:rPr>
        <w:t>r</w:t>
      </w:r>
      <w:r w:rsidRPr="00D75D2E">
        <w:rPr>
          <w:rFonts w:ascii="Times New Roman" w:hAnsi="Times New Roman"/>
          <w:sz w:val="24"/>
          <w:szCs w:val="24"/>
        </w:rPr>
        <w:t xml:space="preserve">e du </w:t>
      </w:r>
      <w:r w:rsidRPr="00D75D2E">
        <w:rPr>
          <w:rFonts w:ascii="Times New Roman" w:hAnsi="Times New Roman"/>
          <w:spacing w:val="1"/>
          <w:sz w:val="24"/>
          <w:szCs w:val="24"/>
        </w:rPr>
        <w:t xml:space="preserve">PHSS </w:t>
      </w:r>
      <w:r w:rsidRPr="00D75D2E">
        <w:rPr>
          <w:rFonts w:ascii="Times New Roman" w:hAnsi="Times New Roman"/>
          <w:spacing w:val="-1"/>
          <w:sz w:val="24"/>
          <w:szCs w:val="24"/>
        </w:rPr>
        <w:t xml:space="preserve">se présente dans le tableau </w:t>
      </w:r>
      <w:r w:rsidR="006B7136">
        <w:rPr>
          <w:rFonts w:ascii="Times New Roman" w:hAnsi="Times New Roman"/>
          <w:spacing w:val="-1"/>
          <w:sz w:val="24"/>
          <w:szCs w:val="24"/>
        </w:rPr>
        <w:t>58</w:t>
      </w:r>
      <w:r w:rsidRPr="00D75D2E">
        <w:rPr>
          <w:rFonts w:ascii="Times New Roman" w:hAnsi="Times New Roman"/>
          <w:spacing w:val="-1"/>
          <w:sz w:val="24"/>
          <w:szCs w:val="24"/>
        </w:rPr>
        <w:t> :</w:t>
      </w:r>
    </w:p>
    <w:p w14:paraId="0D1D84E4" w14:textId="702518D6" w:rsidR="000705BE" w:rsidRPr="00D75D2E" w:rsidRDefault="000705BE" w:rsidP="00E737B4">
      <w:pPr>
        <w:tabs>
          <w:tab w:val="left" w:pos="2115"/>
        </w:tabs>
        <w:spacing w:before="120" w:after="120" w:line="20" w:lineRule="atLeast"/>
        <w:jc w:val="both"/>
        <w:rPr>
          <w:rFonts w:ascii="Times New Roman" w:hAnsi="Times New Roman"/>
          <w:sz w:val="24"/>
          <w:szCs w:val="24"/>
        </w:rPr>
      </w:pPr>
      <w:bookmarkStart w:id="947" w:name="_Toc41310880"/>
      <w:bookmarkStart w:id="948" w:name="_Toc78602911"/>
      <w:bookmarkStart w:id="949" w:name="_Toc93050327"/>
      <w:r w:rsidRPr="00D75D2E">
        <w:rPr>
          <w:rFonts w:ascii="Times New Roman" w:hAnsi="Times New Roman"/>
          <w:sz w:val="24"/>
          <w:szCs w:val="24"/>
        </w:rPr>
        <w:t xml:space="preserve">Tableau </w:t>
      </w:r>
      <w:r w:rsidRPr="00D75D2E">
        <w:fldChar w:fldCharType="begin"/>
      </w:r>
      <w:r w:rsidRPr="00D75D2E">
        <w:rPr>
          <w:rFonts w:ascii="Times New Roman" w:hAnsi="Times New Roman"/>
          <w:sz w:val="24"/>
          <w:szCs w:val="24"/>
        </w:rPr>
        <w:instrText>SEQ Tableau \* ARABIC</w:instrText>
      </w:r>
      <w:r w:rsidRPr="00D75D2E">
        <w:fldChar w:fldCharType="separate"/>
      </w:r>
      <w:r w:rsidR="00A86929">
        <w:rPr>
          <w:rFonts w:ascii="Times New Roman" w:hAnsi="Times New Roman"/>
          <w:noProof/>
          <w:sz w:val="24"/>
          <w:szCs w:val="24"/>
        </w:rPr>
        <w:t>65</w:t>
      </w:r>
      <w:r w:rsidRPr="00D75D2E">
        <w:fldChar w:fldCharType="end"/>
      </w:r>
      <w:r w:rsidRPr="00D75D2E">
        <w:rPr>
          <w:rFonts w:ascii="Times New Roman" w:hAnsi="Times New Roman"/>
          <w:sz w:val="24"/>
          <w:szCs w:val="24"/>
        </w:rPr>
        <w:t xml:space="preserve"> : Répartition des responsabilités dans le PHSS</w:t>
      </w:r>
      <w:bookmarkEnd w:id="947"/>
      <w:bookmarkEnd w:id="948"/>
      <w:bookmarkEnd w:id="949"/>
    </w:p>
    <w:tbl>
      <w:tblPr>
        <w:tblW w:w="9073" w:type="dxa"/>
        <w:jc w:val="center"/>
        <w:tblCellMar>
          <w:left w:w="6" w:type="dxa"/>
          <w:right w:w="6" w:type="dxa"/>
        </w:tblCellMar>
        <w:tblLook w:val="04A0" w:firstRow="1" w:lastRow="0" w:firstColumn="1" w:lastColumn="0" w:noHBand="0" w:noVBand="1"/>
      </w:tblPr>
      <w:tblGrid>
        <w:gridCol w:w="627"/>
        <w:gridCol w:w="2208"/>
        <w:gridCol w:w="6238"/>
      </w:tblGrid>
      <w:tr w:rsidR="00D75D2E" w:rsidRPr="00420C1B" w14:paraId="42DFCB3C" w14:textId="77777777" w:rsidTr="00215867">
        <w:trPr>
          <w:trHeight w:val="20"/>
          <w:tblHeader/>
          <w:jc w:val="center"/>
        </w:trPr>
        <w:tc>
          <w:tcPr>
            <w:tcW w:w="627" w:type="dxa"/>
            <w:tcBorders>
              <w:top w:val="single" w:sz="4" w:space="0" w:color="000000"/>
              <w:left w:val="single" w:sz="4" w:space="0" w:color="000000"/>
              <w:bottom w:val="single" w:sz="4" w:space="0" w:color="000000"/>
              <w:right w:val="single" w:sz="4" w:space="0" w:color="000000"/>
            </w:tcBorders>
            <w:shd w:val="clear" w:color="auto" w:fill="70AD47"/>
            <w:hideMark/>
          </w:tcPr>
          <w:p w14:paraId="407FE590" w14:textId="77777777" w:rsidR="000705BE" w:rsidRPr="00420C1B" w:rsidRDefault="000705BE">
            <w:pPr>
              <w:widowControl w:val="0"/>
              <w:tabs>
                <w:tab w:val="left" w:pos="0"/>
              </w:tabs>
              <w:spacing w:after="0"/>
              <w:ind w:left="227"/>
              <w:jc w:val="both"/>
              <w:rPr>
                <w:rFonts w:ascii="Times New Roman" w:hAnsi="Times New Roman"/>
              </w:rPr>
            </w:pPr>
            <w:r w:rsidRPr="00420C1B">
              <w:rPr>
                <w:rFonts w:ascii="Times New Roman" w:hAnsi="Times New Roman"/>
                <w:b/>
                <w:bCs/>
                <w:spacing w:val="-1"/>
              </w:rPr>
              <w:t>N°</w:t>
            </w:r>
          </w:p>
        </w:tc>
        <w:tc>
          <w:tcPr>
            <w:tcW w:w="2208" w:type="dxa"/>
            <w:tcBorders>
              <w:top w:val="single" w:sz="4" w:space="0" w:color="000000"/>
              <w:left w:val="single" w:sz="4" w:space="0" w:color="000000"/>
              <w:bottom w:val="single" w:sz="4" w:space="0" w:color="000000"/>
              <w:right w:val="single" w:sz="4" w:space="0" w:color="000000"/>
            </w:tcBorders>
            <w:shd w:val="clear" w:color="auto" w:fill="70AD47"/>
            <w:hideMark/>
          </w:tcPr>
          <w:p w14:paraId="05968AC6" w14:textId="77777777" w:rsidR="000705BE" w:rsidRPr="00420C1B" w:rsidRDefault="000705BE">
            <w:pPr>
              <w:widowControl w:val="0"/>
              <w:tabs>
                <w:tab w:val="left" w:pos="0"/>
              </w:tabs>
              <w:spacing w:after="0"/>
              <w:ind w:left="107"/>
              <w:jc w:val="both"/>
              <w:rPr>
                <w:rFonts w:ascii="Times New Roman" w:hAnsi="Times New Roman"/>
              </w:rPr>
            </w:pPr>
            <w:r w:rsidRPr="00420C1B">
              <w:rPr>
                <w:rFonts w:ascii="Times New Roman" w:hAnsi="Times New Roman"/>
                <w:b/>
                <w:bCs/>
                <w:spacing w:val="-1"/>
              </w:rPr>
              <w:t>N</w:t>
            </w:r>
            <w:r w:rsidRPr="00420C1B">
              <w:rPr>
                <w:rFonts w:ascii="Times New Roman" w:hAnsi="Times New Roman"/>
                <w:b/>
                <w:bCs/>
                <w:spacing w:val="1"/>
              </w:rPr>
              <w:t>i</w:t>
            </w:r>
            <w:r w:rsidRPr="00420C1B">
              <w:rPr>
                <w:rFonts w:ascii="Times New Roman" w:hAnsi="Times New Roman"/>
                <w:b/>
                <w:bCs/>
              </w:rPr>
              <w:t>veau de r</w:t>
            </w:r>
            <w:r w:rsidRPr="00420C1B">
              <w:rPr>
                <w:rFonts w:ascii="Times New Roman" w:hAnsi="Times New Roman"/>
                <w:b/>
                <w:bCs/>
                <w:spacing w:val="1"/>
              </w:rPr>
              <w:t>e</w:t>
            </w:r>
            <w:r w:rsidRPr="00420C1B">
              <w:rPr>
                <w:rFonts w:ascii="Times New Roman" w:hAnsi="Times New Roman"/>
                <w:b/>
                <w:bCs/>
                <w:spacing w:val="-3"/>
              </w:rPr>
              <w:t>s</w:t>
            </w:r>
            <w:r w:rsidRPr="00420C1B">
              <w:rPr>
                <w:rFonts w:ascii="Times New Roman" w:hAnsi="Times New Roman"/>
                <w:b/>
                <w:bCs/>
              </w:rPr>
              <w:t>p</w:t>
            </w:r>
            <w:r w:rsidRPr="00420C1B">
              <w:rPr>
                <w:rFonts w:ascii="Times New Roman" w:hAnsi="Times New Roman"/>
                <w:b/>
                <w:bCs/>
                <w:spacing w:val="-3"/>
              </w:rPr>
              <w:t>o</w:t>
            </w:r>
            <w:r w:rsidRPr="00420C1B">
              <w:rPr>
                <w:rFonts w:ascii="Times New Roman" w:hAnsi="Times New Roman"/>
                <w:b/>
                <w:bCs/>
              </w:rPr>
              <w:t>n</w:t>
            </w:r>
            <w:r w:rsidRPr="00420C1B">
              <w:rPr>
                <w:rFonts w:ascii="Times New Roman" w:hAnsi="Times New Roman"/>
                <w:b/>
                <w:bCs/>
                <w:spacing w:val="1"/>
              </w:rPr>
              <w:t>s</w:t>
            </w:r>
            <w:r w:rsidRPr="00420C1B">
              <w:rPr>
                <w:rFonts w:ascii="Times New Roman" w:hAnsi="Times New Roman"/>
                <w:b/>
                <w:bCs/>
                <w:spacing w:val="-3"/>
              </w:rPr>
              <w:t>a</w:t>
            </w:r>
            <w:r w:rsidRPr="00420C1B">
              <w:rPr>
                <w:rFonts w:ascii="Times New Roman" w:hAnsi="Times New Roman"/>
                <w:b/>
                <w:bCs/>
                <w:spacing w:val="-1"/>
              </w:rPr>
              <w:t>b</w:t>
            </w:r>
            <w:r w:rsidRPr="00420C1B">
              <w:rPr>
                <w:rFonts w:ascii="Times New Roman" w:hAnsi="Times New Roman"/>
                <w:b/>
                <w:bCs/>
                <w:spacing w:val="1"/>
              </w:rPr>
              <w:t>il</w:t>
            </w:r>
            <w:r w:rsidRPr="00420C1B">
              <w:rPr>
                <w:rFonts w:ascii="Times New Roman" w:hAnsi="Times New Roman"/>
                <w:b/>
                <w:bCs/>
                <w:spacing w:val="-2"/>
              </w:rPr>
              <w:t>i</w:t>
            </w:r>
            <w:r w:rsidRPr="00420C1B">
              <w:rPr>
                <w:rFonts w:ascii="Times New Roman" w:hAnsi="Times New Roman"/>
                <w:b/>
                <w:bCs/>
              </w:rPr>
              <w:t>té</w:t>
            </w:r>
          </w:p>
        </w:tc>
        <w:tc>
          <w:tcPr>
            <w:tcW w:w="6238" w:type="dxa"/>
            <w:tcBorders>
              <w:top w:val="single" w:sz="4" w:space="0" w:color="000000"/>
              <w:left w:val="single" w:sz="4" w:space="0" w:color="000000"/>
              <w:bottom w:val="single" w:sz="4" w:space="0" w:color="000000"/>
              <w:right w:val="single" w:sz="4" w:space="0" w:color="000000"/>
            </w:tcBorders>
            <w:shd w:val="clear" w:color="auto" w:fill="70AD47"/>
            <w:hideMark/>
          </w:tcPr>
          <w:p w14:paraId="7B569003" w14:textId="77777777" w:rsidR="000705BE" w:rsidRPr="00420C1B" w:rsidRDefault="000705BE">
            <w:pPr>
              <w:widowControl w:val="0"/>
              <w:tabs>
                <w:tab w:val="left" w:pos="0"/>
              </w:tabs>
              <w:spacing w:after="0"/>
              <w:ind w:left="102"/>
              <w:jc w:val="both"/>
              <w:rPr>
                <w:rFonts w:ascii="Times New Roman" w:hAnsi="Times New Roman"/>
              </w:rPr>
            </w:pPr>
            <w:r w:rsidRPr="00420C1B">
              <w:rPr>
                <w:rFonts w:ascii="Times New Roman" w:hAnsi="Times New Roman"/>
                <w:b/>
                <w:bCs/>
                <w:spacing w:val="2"/>
              </w:rPr>
              <w:t>F</w:t>
            </w:r>
            <w:r w:rsidRPr="00420C1B">
              <w:rPr>
                <w:rFonts w:ascii="Times New Roman" w:hAnsi="Times New Roman"/>
                <w:b/>
                <w:bCs/>
              </w:rPr>
              <w:t>on</w:t>
            </w:r>
            <w:r w:rsidRPr="00420C1B">
              <w:rPr>
                <w:rFonts w:ascii="Times New Roman" w:hAnsi="Times New Roman"/>
                <w:b/>
                <w:bCs/>
                <w:spacing w:val="-2"/>
              </w:rPr>
              <w:t>c</w:t>
            </w:r>
            <w:r w:rsidRPr="00420C1B">
              <w:rPr>
                <w:rFonts w:ascii="Times New Roman" w:hAnsi="Times New Roman"/>
                <w:b/>
                <w:bCs/>
                <w:spacing w:val="1"/>
              </w:rPr>
              <w:t>t</w:t>
            </w:r>
            <w:r w:rsidRPr="00420C1B">
              <w:rPr>
                <w:rFonts w:ascii="Times New Roman" w:hAnsi="Times New Roman"/>
                <w:b/>
                <w:bCs/>
                <w:spacing w:val="-1"/>
              </w:rPr>
              <w:t>i</w:t>
            </w:r>
            <w:r w:rsidRPr="00420C1B">
              <w:rPr>
                <w:rFonts w:ascii="Times New Roman" w:hAnsi="Times New Roman"/>
                <w:b/>
                <w:bCs/>
              </w:rPr>
              <w:t>on/R</w:t>
            </w:r>
            <w:r w:rsidRPr="00420C1B">
              <w:rPr>
                <w:rFonts w:ascii="Times New Roman" w:hAnsi="Times New Roman"/>
                <w:b/>
                <w:bCs/>
                <w:spacing w:val="-2"/>
              </w:rPr>
              <w:t>e</w:t>
            </w:r>
            <w:r w:rsidRPr="00420C1B">
              <w:rPr>
                <w:rFonts w:ascii="Times New Roman" w:hAnsi="Times New Roman"/>
                <w:b/>
                <w:bCs/>
              </w:rPr>
              <w:t>s</w:t>
            </w:r>
            <w:r w:rsidRPr="00420C1B">
              <w:rPr>
                <w:rFonts w:ascii="Times New Roman" w:hAnsi="Times New Roman"/>
                <w:b/>
                <w:bCs/>
                <w:spacing w:val="-2"/>
              </w:rPr>
              <w:t>p</w:t>
            </w:r>
            <w:r w:rsidRPr="00420C1B">
              <w:rPr>
                <w:rFonts w:ascii="Times New Roman" w:hAnsi="Times New Roman"/>
                <w:b/>
                <w:bCs/>
              </w:rPr>
              <w:t>onsa</w:t>
            </w:r>
            <w:r w:rsidRPr="00420C1B">
              <w:rPr>
                <w:rFonts w:ascii="Times New Roman" w:hAnsi="Times New Roman"/>
                <w:b/>
                <w:bCs/>
                <w:spacing w:val="-3"/>
              </w:rPr>
              <w:t>b</w:t>
            </w:r>
            <w:r w:rsidRPr="00420C1B">
              <w:rPr>
                <w:rFonts w:ascii="Times New Roman" w:hAnsi="Times New Roman"/>
                <w:b/>
                <w:bCs/>
                <w:spacing w:val="-1"/>
              </w:rPr>
              <w:t>i</w:t>
            </w:r>
            <w:r w:rsidRPr="00420C1B">
              <w:rPr>
                <w:rFonts w:ascii="Times New Roman" w:hAnsi="Times New Roman"/>
                <w:b/>
                <w:bCs/>
                <w:spacing w:val="1"/>
              </w:rPr>
              <w:t>li</w:t>
            </w:r>
            <w:r w:rsidRPr="00420C1B">
              <w:rPr>
                <w:rFonts w:ascii="Times New Roman" w:hAnsi="Times New Roman"/>
                <w:b/>
                <w:bCs/>
                <w:spacing w:val="-4"/>
              </w:rPr>
              <w:t>t</w:t>
            </w:r>
            <w:r w:rsidRPr="00420C1B">
              <w:rPr>
                <w:rFonts w:ascii="Times New Roman" w:hAnsi="Times New Roman"/>
                <w:b/>
                <w:bCs/>
              </w:rPr>
              <w:t>é</w:t>
            </w:r>
          </w:p>
        </w:tc>
      </w:tr>
      <w:tr w:rsidR="00D75D2E" w:rsidRPr="00420C1B" w14:paraId="62E160E3" w14:textId="77777777" w:rsidTr="00215867">
        <w:trPr>
          <w:trHeight w:val="20"/>
          <w:jc w:val="center"/>
        </w:trPr>
        <w:tc>
          <w:tcPr>
            <w:tcW w:w="627" w:type="dxa"/>
            <w:tcBorders>
              <w:top w:val="single" w:sz="4" w:space="0" w:color="000000"/>
              <w:left w:val="single" w:sz="4" w:space="0" w:color="000000"/>
              <w:bottom w:val="single" w:sz="4" w:space="0" w:color="000000"/>
              <w:right w:val="single" w:sz="4" w:space="0" w:color="000000"/>
            </w:tcBorders>
            <w:hideMark/>
          </w:tcPr>
          <w:p w14:paraId="1E849849" w14:textId="77777777" w:rsidR="000705BE" w:rsidRPr="00420C1B" w:rsidRDefault="000705BE">
            <w:pPr>
              <w:widowControl w:val="0"/>
              <w:tabs>
                <w:tab w:val="left" w:pos="0"/>
              </w:tabs>
              <w:spacing w:after="0"/>
              <w:ind w:left="255" w:right="250"/>
              <w:jc w:val="both"/>
              <w:rPr>
                <w:rFonts w:ascii="Times New Roman" w:hAnsi="Times New Roman"/>
              </w:rPr>
            </w:pPr>
            <w:r w:rsidRPr="00420C1B">
              <w:rPr>
                <w:rFonts w:ascii="Times New Roman" w:hAnsi="Times New Roman"/>
              </w:rPr>
              <w:t>1</w:t>
            </w:r>
          </w:p>
        </w:tc>
        <w:tc>
          <w:tcPr>
            <w:tcW w:w="2208" w:type="dxa"/>
            <w:tcBorders>
              <w:top w:val="single" w:sz="4" w:space="0" w:color="000000"/>
              <w:left w:val="single" w:sz="4" w:space="0" w:color="000000"/>
              <w:bottom w:val="single" w:sz="4" w:space="0" w:color="000000"/>
              <w:right w:val="single" w:sz="4" w:space="0" w:color="000000"/>
            </w:tcBorders>
            <w:vAlign w:val="center"/>
            <w:hideMark/>
          </w:tcPr>
          <w:p w14:paraId="5FD2FA0A" w14:textId="77777777" w:rsidR="000705BE" w:rsidRPr="00420C1B" w:rsidRDefault="000705BE">
            <w:pPr>
              <w:widowControl w:val="0"/>
              <w:tabs>
                <w:tab w:val="left" w:pos="0"/>
              </w:tabs>
              <w:spacing w:after="0"/>
              <w:ind w:left="107"/>
              <w:jc w:val="both"/>
              <w:rPr>
                <w:rFonts w:ascii="Times New Roman" w:hAnsi="Times New Roman"/>
              </w:rPr>
            </w:pPr>
            <w:r w:rsidRPr="00420C1B">
              <w:rPr>
                <w:rFonts w:ascii="Times New Roman" w:hAnsi="Times New Roman"/>
                <w:spacing w:val="-1"/>
              </w:rPr>
              <w:t>D</w:t>
            </w:r>
            <w:r w:rsidRPr="00420C1B">
              <w:rPr>
                <w:rFonts w:ascii="Times New Roman" w:hAnsi="Times New Roman"/>
                <w:spacing w:val="1"/>
              </w:rPr>
              <w:t>ir</w:t>
            </w:r>
            <w:r w:rsidRPr="00420C1B">
              <w:rPr>
                <w:rFonts w:ascii="Times New Roman" w:hAnsi="Times New Roman"/>
              </w:rPr>
              <w:t>e</w:t>
            </w:r>
            <w:r w:rsidRPr="00420C1B">
              <w:rPr>
                <w:rFonts w:ascii="Times New Roman" w:hAnsi="Times New Roman"/>
                <w:spacing w:val="-2"/>
              </w:rPr>
              <w:t>c</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5"/>
              </w:rPr>
              <w:t>u</w:t>
            </w:r>
            <w:r w:rsidRPr="00420C1B">
              <w:rPr>
                <w:rFonts w:ascii="Times New Roman" w:hAnsi="Times New Roman"/>
              </w:rPr>
              <w:t>r d</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1"/>
              </w:rPr>
              <w:t>tr</w:t>
            </w:r>
            <w:r w:rsidRPr="00420C1B">
              <w:rPr>
                <w:rFonts w:ascii="Times New Roman" w:hAnsi="Times New Roman"/>
              </w:rPr>
              <w:t>a</w:t>
            </w:r>
            <w:r w:rsidRPr="00420C1B">
              <w:rPr>
                <w:rFonts w:ascii="Times New Roman" w:hAnsi="Times New Roman"/>
                <w:spacing w:val="-4"/>
              </w:rPr>
              <w:t>v</w:t>
            </w:r>
            <w:r w:rsidRPr="00420C1B">
              <w:rPr>
                <w:rFonts w:ascii="Times New Roman" w:hAnsi="Times New Roman"/>
              </w:rPr>
              <w:t>aux / P</w:t>
            </w:r>
            <w:r w:rsidRPr="00420C1B">
              <w:rPr>
                <w:rFonts w:ascii="Times New Roman" w:hAnsi="Times New Roman"/>
                <w:spacing w:val="1"/>
              </w:rPr>
              <w:t>r</w:t>
            </w:r>
            <w:r w:rsidRPr="00420C1B">
              <w:rPr>
                <w:rFonts w:ascii="Times New Roman" w:hAnsi="Times New Roman"/>
                <w:spacing w:val="-4"/>
              </w:rPr>
              <w:t>e</w:t>
            </w:r>
            <w:r w:rsidRPr="00420C1B">
              <w:rPr>
                <w:rFonts w:ascii="Times New Roman" w:hAnsi="Times New Roman"/>
                <w:spacing w:val="-6"/>
              </w:rPr>
              <w:t>m</w:t>
            </w:r>
            <w:r w:rsidRPr="00420C1B">
              <w:rPr>
                <w:rFonts w:ascii="Times New Roman" w:hAnsi="Times New Roman"/>
                <w:spacing w:val="1"/>
              </w:rPr>
              <w:t>i</w:t>
            </w:r>
            <w:r w:rsidRPr="00420C1B">
              <w:rPr>
                <w:rFonts w:ascii="Times New Roman" w:hAnsi="Times New Roman"/>
              </w:rPr>
              <w:t xml:space="preserve">er </w:t>
            </w:r>
            <w:r w:rsidRPr="00420C1B">
              <w:rPr>
                <w:rFonts w:ascii="Times New Roman" w:hAnsi="Times New Roman"/>
                <w:spacing w:val="1"/>
              </w:rPr>
              <w:t>r</w:t>
            </w:r>
            <w:r w:rsidRPr="00420C1B">
              <w:rPr>
                <w:rFonts w:ascii="Times New Roman" w:hAnsi="Times New Roman"/>
              </w:rPr>
              <w:t>e</w:t>
            </w:r>
            <w:r w:rsidRPr="00420C1B">
              <w:rPr>
                <w:rFonts w:ascii="Times New Roman" w:hAnsi="Times New Roman"/>
                <w:spacing w:val="1"/>
              </w:rPr>
              <w:t>s</w:t>
            </w:r>
            <w:r w:rsidRPr="00420C1B">
              <w:rPr>
                <w:rFonts w:ascii="Times New Roman" w:hAnsi="Times New Roman"/>
                <w:spacing w:val="-2"/>
              </w:rPr>
              <w:t>p</w:t>
            </w:r>
            <w:r w:rsidRPr="00420C1B">
              <w:rPr>
                <w:rFonts w:ascii="Times New Roman" w:hAnsi="Times New Roman"/>
              </w:rPr>
              <w:t>on</w:t>
            </w:r>
            <w:r w:rsidRPr="00420C1B">
              <w:rPr>
                <w:rFonts w:ascii="Times New Roman" w:hAnsi="Times New Roman"/>
                <w:spacing w:val="1"/>
              </w:rPr>
              <w:t>s</w:t>
            </w:r>
            <w:r w:rsidRPr="00420C1B">
              <w:rPr>
                <w:rFonts w:ascii="Times New Roman" w:hAnsi="Times New Roman"/>
              </w:rPr>
              <w:t>a</w:t>
            </w:r>
            <w:r w:rsidRPr="00420C1B">
              <w:rPr>
                <w:rFonts w:ascii="Times New Roman" w:hAnsi="Times New Roman"/>
                <w:spacing w:val="-2"/>
              </w:rPr>
              <w:t>b</w:t>
            </w:r>
            <w:r w:rsidRPr="00420C1B">
              <w:rPr>
                <w:rFonts w:ascii="Times New Roman" w:hAnsi="Times New Roman"/>
                <w:spacing w:val="3"/>
              </w:rPr>
              <w:t>l</w:t>
            </w:r>
            <w:r w:rsidRPr="00420C1B">
              <w:rPr>
                <w:rFonts w:ascii="Times New Roman" w:hAnsi="Times New Roman"/>
              </w:rPr>
              <w:t xml:space="preserve">e de </w:t>
            </w:r>
            <w:r w:rsidRPr="00420C1B">
              <w:rPr>
                <w:rFonts w:ascii="Times New Roman" w:hAnsi="Times New Roman"/>
                <w:spacing w:val="1"/>
              </w:rPr>
              <w:t>l</w:t>
            </w:r>
            <w:r w:rsidRPr="00420C1B">
              <w:rPr>
                <w:rFonts w:ascii="Times New Roman" w:hAnsi="Times New Roman"/>
              </w:rPr>
              <w:t xml:space="preserve">a </w:t>
            </w:r>
            <w:r w:rsidRPr="00420C1B">
              <w:rPr>
                <w:rFonts w:ascii="Times New Roman" w:hAnsi="Times New Roman"/>
                <w:spacing w:val="1"/>
              </w:rPr>
              <w:t>s</w:t>
            </w:r>
            <w:r w:rsidRPr="00420C1B">
              <w:rPr>
                <w:rFonts w:ascii="Times New Roman" w:hAnsi="Times New Roman"/>
              </w:rPr>
              <w:t>é</w:t>
            </w:r>
            <w:r w:rsidRPr="00420C1B">
              <w:rPr>
                <w:rFonts w:ascii="Times New Roman" w:hAnsi="Times New Roman"/>
                <w:spacing w:val="-2"/>
              </w:rPr>
              <w:t>c</w:t>
            </w:r>
            <w:r w:rsidRPr="00420C1B">
              <w:rPr>
                <w:rFonts w:ascii="Times New Roman" w:hAnsi="Times New Roman"/>
              </w:rPr>
              <w:t>u</w:t>
            </w:r>
            <w:r w:rsidRPr="00420C1B">
              <w:rPr>
                <w:rFonts w:ascii="Times New Roman" w:hAnsi="Times New Roman"/>
                <w:spacing w:val="-2"/>
              </w:rPr>
              <w:t>r</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 xml:space="preserve">é et </w:t>
            </w:r>
            <w:r w:rsidRPr="00420C1B">
              <w:rPr>
                <w:rFonts w:ascii="Times New Roman" w:hAnsi="Times New Roman"/>
                <w:spacing w:val="-2"/>
              </w:rPr>
              <w:t>d</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 xml:space="preserve">a </w:t>
            </w:r>
            <w:r w:rsidRPr="00420C1B">
              <w:rPr>
                <w:rFonts w:ascii="Times New Roman" w:hAnsi="Times New Roman"/>
                <w:spacing w:val="-2"/>
              </w:rPr>
              <w:t>s</w:t>
            </w:r>
            <w:r w:rsidRPr="00420C1B">
              <w:rPr>
                <w:rFonts w:ascii="Times New Roman" w:hAnsi="Times New Roman"/>
              </w:rPr>
              <w:t>a</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rPr>
              <w:t xml:space="preserve">é au </w:t>
            </w:r>
            <w:r w:rsidRPr="00420C1B">
              <w:rPr>
                <w:rFonts w:ascii="Times New Roman" w:hAnsi="Times New Roman"/>
                <w:spacing w:val="1"/>
              </w:rPr>
              <w:t>tr</w:t>
            </w:r>
            <w:r w:rsidRPr="00420C1B">
              <w:rPr>
                <w:rFonts w:ascii="Times New Roman" w:hAnsi="Times New Roman"/>
              </w:rPr>
              <w:t>a</w:t>
            </w:r>
            <w:r w:rsidRPr="00420C1B">
              <w:rPr>
                <w:rFonts w:ascii="Times New Roman" w:hAnsi="Times New Roman"/>
                <w:spacing w:val="-5"/>
              </w:rPr>
              <w:t>v</w:t>
            </w:r>
            <w:r w:rsidRPr="00420C1B">
              <w:rPr>
                <w:rFonts w:ascii="Times New Roman" w:hAnsi="Times New Roman"/>
              </w:rPr>
              <w:t>a</w:t>
            </w:r>
            <w:r w:rsidRPr="00420C1B">
              <w:rPr>
                <w:rFonts w:ascii="Times New Roman" w:hAnsi="Times New Roman"/>
                <w:spacing w:val="1"/>
              </w:rPr>
              <w:t>i</w:t>
            </w:r>
            <w:r w:rsidRPr="00420C1B">
              <w:rPr>
                <w:rFonts w:ascii="Times New Roman" w:hAnsi="Times New Roman"/>
              </w:rPr>
              <w:t xml:space="preserve">l sur </w:t>
            </w:r>
            <w:r w:rsidRPr="00420C1B">
              <w:rPr>
                <w:rFonts w:ascii="Times New Roman" w:hAnsi="Times New Roman"/>
                <w:spacing w:val="-1"/>
              </w:rPr>
              <w:t>l</w:t>
            </w:r>
            <w:r w:rsidRPr="00420C1B">
              <w:rPr>
                <w:rFonts w:ascii="Times New Roman" w:hAnsi="Times New Roman"/>
              </w:rPr>
              <w:t>e cha</w:t>
            </w:r>
            <w:r w:rsidRPr="00420C1B">
              <w:rPr>
                <w:rFonts w:ascii="Times New Roman" w:hAnsi="Times New Roman"/>
                <w:spacing w:val="-2"/>
              </w:rPr>
              <w:t>n</w:t>
            </w:r>
            <w:r w:rsidRPr="00420C1B">
              <w:rPr>
                <w:rFonts w:ascii="Times New Roman" w:hAnsi="Times New Roman"/>
                <w:spacing w:val="1"/>
              </w:rPr>
              <w:t>ti</w:t>
            </w:r>
            <w:r w:rsidRPr="00420C1B">
              <w:rPr>
                <w:rFonts w:ascii="Times New Roman" w:hAnsi="Times New Roman"/>
                <w:spacing w:val="-4"/>
              </w:rPr>
              <w:t>e</w:t>
            </w:r>
            <w:r w:rsidRPr="00420C1B">
              <w:rPr>
                <w:rFonts w:ascii="Times New Roman" w:hAnsi="Times New Roman"/>
              </w:rPr>
              <w:t>r</w:t>
            </w:r>
          </w:p>
        </w:tc>
        <w:tc>
          <w:tcPr>
            <w:tcW w:w="6238" w:type="dxa"/>
            <w:tcBorders>
              <w:top w:val="single" w:sz="4" w:space="0" w:color="000000"/>
              <w:left w:val="single" w:sz="4" w:space="0" w:color="000000"/>
              <w:bottom w:val="single" w:sz="4" w:space="0" w:color="000000"/>
              <w:right w:val="single" w:sz="4" w:space="0" w:color="000000"/>
            </w:tcBorders>
            <w:hideMark/>
          </w:tcPr>
          <w:p w14:paraId="3BCF4373" w14:textId="77777777" w:rsidR="000705BE" w:rsidRPr="00420C1B" w:rsidRDefault="000705BE" w:rsidP="008C79F0">
            <w:pPr>
              <w:pStyle w:val="Paragraphedeliste"/>
              <w:widowControl w:val="0"/>
              <w:numPr>
                <w:ilvl w:val="0"/>
                <w:numId w:val="176"/>
              </w:numPr>
              <w:tabs>
                <w:tab w:val="left" w:pos="0"/>
              </w:tabs>
              <w:suppressAutoHyphens/>
              <w:spacing w:after="0" w:line="276" w:lineRule="auto"/>
              <w:ind w:left="473" w:right="358"/>
              <w:jc w:val="both"/>
              <w:rPr>
                <w:rFonts w:ascii="Times New Roman" w:hAnsi="Times New Roman"/>
              </w:rPr>
            </w:pPr>
            <w:r w:rsidRPr="00420C1B">
              <w:rPr>
                <w:rFonts w:ascii="Times New Roman" w:hAnsi="Times New Roman"/>
                <w:spacing w:val="-9"/>
              </w:rPr>
              <w:t>I</w:t>
            </w:r>
            <w:r w:rsidRPr="00420C1B">
              <w:rPr>
                <w:rFonts w:ascii="Times New Roman" w:hAnsi="Times New Roman"/>
              </w:rPr>
              <w:t>l a</w:t>
            </w:r>
            <w:r w:rsidRPr="00420C1B">
              <w:rPr>
                <w:rFonts w:ascii="Times New Roman" w:hAnsi="Times New Roman"/>
                <w:spacing w:val="1"/>
              </w:rPr>
              <w:t>ss</w:t>
            </w:r>
            <w:r w:rsidRPr="00420C1B">
              <w:rPr>
                <w:rFonts w:ascii="Times New Roman" w:hAnsi="Times New Roman"/>
              </w:rPr>
              <w:t>u</w:t>
            </w:r>
            <w:r w:rsidRPr="00420C1B">
              <w:rPr>
                <w:rFonts w:ascii="Times New Roman" w:hAnsi="Times New Roman"/>
                <w:spacing w:val="1"/>
              </w:rPr>
              <w:t>r</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 xml:space="preserve">a </w:t>
            </w:r>
            <w:r w:rsidRPr="00420C1B">
              <w:rPr>
                <w:rFonts w:ascii="Times New Roman" w:hAnsi="Times New Roman"/>
                <w:spacing w:val="-2"/>
              </w:rPr>
              <w:t>p</w:t>
            </w:r>
            <w:r w:rsidRPr="00420C1B">
              <w:rPr>
                <w:rFonts w:ascii="Times New Roman" w:hAnsi="Times New Roman"/>
                <w:spacing w:val="1"/>
              </w:rPr>
              <w:t>r</w:t>
            </w:r>
            <w:r w:rsidRPr="00420C1B">
              <w:rPr>
                <w:rFonts w:ascii="Times New Roman" w:hAnsi="Times New Roman"/>
              </w:rPr>
              <w:t>é</w:t>
            </w:r>
            <w:r w:rsidRPr="00420C1B">
              <w:rPr>
                <w:rFonts w:ascii="Times New Roman" w:hAnsi="Times New Roman"/>
                <w:spacing w:val="-5"/>
              </w:rPr>
              <w:t>v</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spacing w:val="1"/>
              </w:rPr>
              <w:t>ti</w:t>
            </w:r>
            <w:r w:rsidRPr="00420C1B">
              <w:rPr>
                <w:rFonts w:ascii="Times New Roman" w:hAnsi="Times New Roman"/>
              </w:rPr>
              <w:t xml:space="preserve">on </w:t>
            </w:r>
            <w:r w:rsidRPr="00420C1B">
              <w:rPr>
                <w:rFonts w:ascii="Times New Roman" w:hAnsi="Times New Roman"/>
                <w:spacing w:val="-2"/>
              </w:rPr>
              <w:t>de</w:t>
            </w:r>
            <w:r w:rsidRPr="00420C1B">
              <w:rPr>
                <w:rFonts w:ascii="Times New Roman" w:hAnsi="Times New Roman"/>
              </w:rPr>
              <w:t xml:space="preserve">s </w:t>
            </w:r>
            <w:r w:rsidRPr="00420C1B">
              <w:rPr>
                <w:rFonts w:ascii="Times New Roman" w:hAnsi="Times New Roman"/>
                <w:spacing w:val="-4"/>
              </w:rPr>
              <w:t>a</w:t>
            </w:r>
            <w:r w:rsidRPr="00420C1B">
              <w:rPr>
                <w:rFonts w:ascii="Times New Roman" w:hAnsi="Times New Roman"/>
              </w:rPr>
              <w:t>cc</w:t>
            </w:r>
            <w:r w:rsidRPr="00420C1B">
              <w:rPr>
                <w:rFonts w:ascii="Times New Roman" w:hAnsi="Times New Roman"/>
                <w:spacing w:val="1"/>
              </w:rPr>
              <w:t>i</w:t>
            </w:r>
            <w:r w:rsidRPr="00420C1B">
              <w:rPr>
                <w:rFonts w:ascii="Times New Roman" w:hAnsi="Times New Roman"/>
                <w:spacing w:val="-2"/>
              </w:rPr>
              <w:t>d</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rPr>
              <w:t>s du</w:t>
            </w:r>
            <w:r w:rsidRPr="00420C1B">
              <w:rPr>
                <w:rFonts w:ascii="Times New Roman" w:hAnsi="Times New Roman"/>
                <w:spacing w:val="1"/>
              </w:rPr>
              <w:t xml:space="preserve"> t</w:t>
            </w:r>
            <w:r w:rsidRPr="00420C1B">
              <w:rPr>
                <w:rFonts w:ascii="Times New Roman" w:hAnsi="Times New Roman"/>
              </w:rPr>
              <w:t>r</w:t>
            </w:r>
            <w:r w:rsidRPr="00420C1B">
              <w:rPr>
                <w:rFonts w:ascii="Times New Roman" w:hAnsi="Times New Roman"/>
                <w:spacing w:val="-5"/>
              </w:rPr>
              <w:t>a</w:t>
            </w:r>
            <w:r w:rsidRPr="00420C1B">
              <w:rPr>
                <w:rFonts w:ascii="Times New Roman" w:hAnsi="Times New Roman"/>
                <w:spacing w:val="-2"/>
              </w:rPr>
              <w:t>v</w:t>
            </w:r>
            <w:r w:rsidRPr="00420C1B">
              <w:rPr>
                <w:rFonts w:ascii="Times New Roman" w:hAnsi="Times New Roman"/>
                <w:spacing w:val="1"/>
              </w:rPr>
              <w:t>ail</w:t>
            </w:r>
            <w:r w:rsidRPr="00420C1B">
              <w:rPr>
                <w:rFonts w:ascii="Times New Roman" w:hAnsi="Times New Roman"/>
              </w:rPr>
              <w:t>, des do</w:t>
            </w:r>
            <w:r w:rsidRPr="00420C1B">
              <w:rPr>
                <w:rFonts w:ascii="Times New Roman" w:hAnsi="Times New Roman"/>
                <w:spacing w:val="-6"/>
              </w:rPr>
              <w:t>m</w:t>
            </w:r>
            <w:r w:rsidRPr="00420C1B">
              <w:rPr>
                <w:rFonts w:ascii="Times New Roman" w:hAnsi="Times New Roman"/>
                <w:spacing w:val="-9"/>
              </w:rPr>
              <w:t>m</w:t>
            </w:r>
            <w:r w:rsidRPr="00420C1B">
              <w:rPr>
                <w:rFonts w:ascii="Times New Roman" w:hAnsi="Times New Roman"/>
                <w:spacing w:val="5"/>
              </w:rPr>
              <w:t>a</w:t>
            </w:r>
            <w:r w:rsidRPr="00420C1B">
              <w:rPr>
                <w:rFonts w:ascii="Times New Roman" w:hAnsi="Times New Roman"/>
                <w:spacing w:val="-5"/>
              </w:rPr>
              <w:t>g</w:t>
            </w:r>
            <w:r w:rsidRPr="00420C1B">
              <w:rPr>
                <w:rFonts w:ascii="Times New Roman" w:hAnsi="Times New Roman"/>
              </w:rPr>
              <w:t>e</w:t>
            </w:r>
            <w:r w:rsidRPr="00420C1B">
              <w:rPr>
                <w:rFonts w:ascii="Times New Roman" w:hAnsi="Times New Roman"/>
                <w:spacing w:val="1"/>
              </w:rPr>
              <w:t>s</w:t>
            </w:r>
            <w:r w:rsidRPr="00420C1B">
              <w:rPr>
                <w:rFonts w:ascii="Times New Roman" w:hAnsi="Times New Roman"/>
              </w:rPr>
              <w:t>, des dé</w:t>
            </w:r>
            <w:r w:rsidRPr="00420C1B">
              <w:rPr>
                <w:rFonts w:ascii="Times New Roman" w:hAnsi="Times New Roman"/>
                <w:spacing w:val="-5"/>
              </w:rPr>
              <w:t>g</w:t>
            </w:r>
            <w:r w:rsidRPr="00420C1B">
              <w:rPr>
                <w:rFonts w:ascii="Times New Roman" w:hAnsi="Times New Roman"/>
              </w:rPr>
              <w:t>â</w:t>
            </w:r>
            <w:r w:rsidRPr="00420C1B">
              <w:rPr>
                <w:rFonts w:ascii="Times New Roman" w:hAnsi="Times New Roman"/>
                <w:spacing w:val="1"/>
              </w:rPr>
              <w:t>t</w:t>
            </w:r>
            <w:r w:rsidRPr="00420C1B">
              <w:rPr>
                <w:rFonts w:ascii="Times New Roman" w:hAnsi="Times New Roman"/>
              </w:rPr>
              <w:t>s ou</w:t>
            </w:r>
            <w:r w:rsidRPr="00420C1B">
              <w:rPr>
                <w:rFonts w:ascii="Times New Roman" w:hAnsi="Times New Roman"/>
                <w:spacing w:val="1"/>
              </w:rPr>
              <w:t xml:space="preserve"> r</w:t>
            </w:r>
            <w:r w:rsidRPr="00420C1B">
              <w:rPr>
                <w:rFonts w:ascii="Times New Roman" w:hAnsi="Times New Roman"/>
                <w:spacing w:val="-1"/>
              </w:rPr>
              <w:t>i</w:t>
            </w:r>
            <w:r w:rsidRPr="00420C1B">
              <w:rPr>
                <w:rFonts w:ascii="Times New Roman" w:hAnsi="Times New Roman"/>
              </w:rPr>
              <w:t>sq</w:t>
            </w:r>
            <w:r w:rsidRPr="00420C1B">
              <w:rPr>
                <w:rFonts w:ascii="Times New Roman" w:hAnsi="Times New Roman"/>
                <w:spacing w:val="1"/>
              </w:rPr>
              <w:t>u</w:t>
            </w:r>
            <w:r w:rsidRPr="00420C1B">
              <w:rPr>
                <w:rFonts w:ascii="Times New Roman" w:hAnsi="Times New Roman"/>
                <w:spacing w:val="-4"/>
              </w:rPr>
              <w:t>e</w:t>
            </w:r>
            <w:r w:rsidRPr="00420C1B">
              <w:rPr>
                <w:rFonts w:ascii="Times New Roman" w:hAnsi="Times New Roman"/>
              </w:rPr>
              <w:t>s po</w:t>
            </w:r>
            <w:r w:rsidRPr="00420C1B">
              <w:rPr>
                <w:rFonts w:ascii="Times New Roman" w:hAnsi="Times New Roman"/>
                <w:spacing w:val="-5"/>
              </w:rPr>
              <w:t>u</w:t>
            </w:r>
            <w:r w:rsidRPr="00420C1B">
              <w:rPr>
                <w:rFonts w:ascii="Times New Roman" w:hAnsi="Times New Roman"/>
              </w:rPr>
              <w:t>r</w:t>
            </w:r>
            <w:r w:rsidRPr="00420C1B">
              <w:rPr>
                <w:rFonts w:ascii="Times New Roman" w:hAnsi="Times New Roman"/>
                <w:spacing w:val="1"/>
              </w:rPr>
              <w:t xml:space="preserve"> l</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1"/>
              </w:rPr>
              <w:t>i</w:t>
            </w:r>
            <w:r w:rsidRPr="00420C1B">
              <w:rPr>
                <w:rFonts w:ascii="Times New Roman" w:hAnsi="Times New Roman"/>
              </w:rPr>
              <w:t>nd</w:t>
            </w:r>
            <w:r w:rsidRPr="00420C1B">
              <w:rPr>
                <w:rFonts w:ascii="Times New Roman" w:hAnsi="Times New Roman"/>
                <w:spacing w:val="1"/>
              </w:rPr>
              <w:t>i</w:t>
            </w:r>
            <w:r w:rsidRPr="00420C1B">
              <w:rPr>
                <w:rFonts w:ascii="Times New Roman" w:hAnsi="Times New Roman"/>
                <w:spacing w:val="-5"/>
              </w:rPr>
              <w:t>v</w:t>
            </w:r>
            <w:r w:rsidRPr="00420C1B">
              <w:rPr>
                <w:rFonts w:ascii="Times New Roman" w:hAnsi="Times New Roman"/>
                <w:spacing w:val="1"/>
              </w:rPr>
              <w:t>i</w:t>
            </w:r>
            <w:r w:rsidRPr="00420C1B">
              <w:rPr>
                <w:rFonts w:ascii="Times New Roman" w:hAnsi="Times New Roman"/>
              </w:rPr>
              <w:t>d</w:t>
            </w:r>
            <w:r w:rsidRPr="00420C1B">
              <w:rPr>
                <w:rFonts w:ascii="Times New Roman" w:hAnsi="Times New Roman"/>
                <w:spacing w:val="-2"/>
              </w:rPr>
              <w:t>u</w:t>
            </w:r>
            <w:r w:rsidRPr="00420C1B">
              <w:rPr>
                <w:rFonts w:ascii="Times New Roman" w:hAnsi="Times New Roman"/>
              </w:rPr>
              <w:t>s</w:t>
            </w:r>
          </w:p>
          <w:p w14:paraId="195B693F" w14:textId="77777777" w:rsidR="000705BE" w:rsidRPr="00420C1B" w:rsidRDefault="000705BE" w:rsidP="008C79F0">
            <w:pPr>
              <w:pStyle w:val="Paragraphedeliste"/>
              <w:widowControl w:val="0"/>
              <w:numPr>
                <w:ilvl w:val="0"/>
                <w:numId w:val="176"/>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 xml:space="preserve">l </w:t>
            </w:r>
            <w:r w:rsidRPr="00420C1B">
              <w:rPr>
                <w:rFonts w:ascii="Times New Roman" w:hAnsi="Times New Roman"/>
                <w:spacing w:val="1"/>
              </w:rPr>
              <w:t>f</w:t>
            </w:r>
            <w:r w:rsidRPr="00420C1B">
              <w:rPr>
                <w:rFonts w:ascii="Times New Roman" w:hAnsi="Times New Roman"/>
              </w:rPr>
              <w:t>a</w:t>
            </w:r>
            <w:r w:rsidRPr="00420C1B">
              <w:rPr>
                <w:rFonts w:ascii="Times New Roman" w:hAnsi="Times New Roman"/>
                <w:spacing w:val="1"/>
              </w:rPr>
              <w:t>i</w:t>
            </w:r>
            <w:r w:rsidRPr="00420C1B">
              <w:rPr>
                <w:rFonts w:ascii="Times New Roman" w:hAnsi="Times New Roman"/>
              </w:rPr>
              <w:t xml:space="preserve">t </w:t>
            </w:r>
            <w:r w:rsidRPr="00420C1B">
              <w:rPr>
                <w:rFonts w:ascii="Times New Roman" w:hAnsi="Times New Roman"/>
                <w:spacing w:val="-2"/>
              </w:rPr>
              <w:t>r</w:t>
            </w:r>
            <w:r w:rsidRPr="00420C1B">
              <w:rPr>
                <w:rFonts w:ascii="Times New Roman" w:hAnsi="Times New Roman"/>
              </w:rPr>
              <w:t>e</w:t>
            </w:r>
            <w:r w:rsidRPr="00420C1B">
              <w:rPr>
                <w:rFonts w:ascii="Times New Roman" w:hAnsi="Times New Roman"/>
                <w:spacing w:val="1"/>
              </w:rPr>
              <w:t>s</w:t>
            </w:r>
            <w:r w:rsidRPr="00420C1B">
              <w:rPr>
                <w:rFonts w:ascii="Times New Roman" w:hAnsi="Times New Roman"/>
                <w:spacing w:val="-2"/>
              </w:rPr>
              <w:t>p</w:t>
            </w:r>
            <w:r w:rsidRPr="00420C1B">
              <w:rPr>
                <w:rFonts w:ascii="Times New Roman" w:hAnsi="Times New Roman"/>
              </w:rPr>
              <w:t>e</w:t>
            </w:r>
            <w:r w:rsidRPr="00420C1B">
              <w:rPr>
                <w:rFonts w:ascii="Times New Roman" w:hAnsi="Times New Roman"/>
                <w:spacing w:val="-2"/>
              </w:rPr>
              <w:t>c</w:t>
            </w:r>
            <w:r w:rsidRPr="00420C1B">
              <w:rPr>
                <w:rFonts w:ascii="Times New Roman" w:hAnsi="Times New Roman"/>
                <w:spacing w:val="1"/>
              </w:rPr>
              <w:t>t</w:t>
            </w:r>
            <w:r w:rsidRPr="00420C1B">
              <w:rPr>
                <w:rFonts w:ascii="Times New Roman" w:hAnsi="Times New Roman"/>
                <w:spacing w:val="-2"/>
              </w:rPr>
              <w:t>e</w:t>
            </w:r>
            <w:r w:rsidRPr="00420C1B">
              <w:rPr>
                <w:rFonts w:ascii="Times New Roman" w:hAnsi="Times New Roman"/>
              </w:rPr>
              <w:t xml:space="preserve">r </w:t>
            </w:r>
            <w:r w:rsidRPr="00420C1B">
              <w:rPr>
                <w:rFonts w:ascii="Times New Roman" w:hAnsi="Times New Roman"/>
                <w:spacing w:val="-1"/>
              </w:rPr>
              <w:t>l</w:t>
            </w:r>
            <w:r w:rsidRPr="00420C1B">
              <w:rPr>
                <w:rFonts w:ascii="Times New Roman" w:hAnsi="Times New Roman"/>
              </w:rPr>
              <w:t xml:space="preserve">e PHSS </w:t>
            </w:r>
            <w:r w:rsidRPr="00420C1B">
              <w:rPr>
                <w:rFonts w:ascii="Times New Roman" w:hAnsi="Times New Roman"/>
                <w:spacing w:val="-5"/>
              </w:rPr>
              <w:t>p</w:t>
            </w:r>
            <w:r w:rsidRPr="00420C1B">
              <w:rPr>
                <w:rFonts w:ascii="Times New Roman" w:hAnsi="Times New Roman"/>
              </w:rPr>
              <w:t xml:space="preserve">ar </w:t>
            </w:r>
            <w:r w:rsidRPr="00420C1B">
              <w:rPr>
                <w:rFonts w:ascii="Times New Roman" w:hAnsi="Times New Roman"/>
                <w:spacing w:val="-1"/>
              </w:rPr>
              <w:t>t</w:t>
            </w:r>
            <w:r w:rsidRPr="00420C1B">
              <w:rPr>
                <w:rFonts w:ascii="Times New Roman" w:hAnsi="Times New Roman"/>
              </w:rPr>
              <w:t xml:space="preserve">ous </w:t>
            </w:r>
            <w:r w:rsidRPr="00420C1B">
              <w:rPr>
                <w:rFonts w:ascii="Times New Roman" w:hAnsi="Times New Roman"/>
                <w:spacing w:val="1"/>
              </w:rPr>
              <w:t>l</w:t>
            </w:r>
            <w:r w:rsidRPr="00420C1B">
              <w:rPr>
                <w:rFonts w:ascii="Times New Roman" w:hAnsi="Times New Roman"/>
                <w:spacing w:val="-2"/>
              </w:rPr>
              <w:t>e</w:t>
            </w:r>
            <w:r w:rsidRPr="00420C1B">
              <w:rPr>
                <w:rFonts w:ascii="Times New Roman" w:hAnsi="Times New Roman"/>
              </w:rPr>
              <w:t>s e</w:t>
            </w:r>
            <w:r w:rsidRPr="00420C1B">
              <w:rPr>
                <w:rFonts w:ascii="Times New Roman" w:hAnsi="Times New Roman"/>
                <w:spacing w:val="-6"/>
              </w:rPr>
              <w:t>m</w:t>
            </w:r>
            <w:r w:rsidRPr="00420C1B">
              <w:rPr>
                <w:rFonts w:ascii="Times New Roman" w:hAnsi="Times New Roman"/>
              </w:rPr>
              <w:t>p</w:t>
            </w:r>
            <w:r w:rsidRPr="00420C1B">
              <w:rPr>
                <w:rFonts w:ascii="Times New Roman" w:hAnsi="Times New Roman"/>
                <w:spacing w:val="1"/>
              </w:rPr>
              <w:t>l</w:t>
            </w:r>
            <w:r w:rsidRPr="00420C1B">
              <w:rPr>
                <w:rFonts w:ascii="Times New Roman" w:hAnsi="Times New Roman"/>
              </w:rPr>
              <w:t>o</w:t>
            </w:r>
            <w:r w:rsidRPr="00420C1B">
              <w:rPr>
                <w:rFonts w:ascii="Times New Roman" w:hAnsi="Times New Roman"/>
                <w:spacing w:val="-2"/>
              </w:rPr>
              <w:t>y</w:t>
            </w:r>
            <w:r w:rsidRPr="00420C1B">
              <w:rPr>
                <w:rFonts w:ascii="Times New Roman" w:hAnsi="Times New Roman"/>
              </w:rPr>
              <w:t>és</w:t>
            </w:r>
          </w:p>
        </w:tc>
      </w:tr>
      <w:tr w:rsidR="00D75D2E" w:rsidRPr="00420C1B" w14:paraId="224D7F57" w14:textId="77777777" w:rsidTr="00215867">
        <w:trPr>
          <w:trHeight w:val="20"/>
          <w:jc w:val="center"/>
        </w:trPr>
        <w:tc>
          <w:tcPr>
            <w:tcW w:w="627" w:type="dxa"/>
            <w:vMerge w:val="restart"/>
            <w:tcBorders>
              <w:top w:val="single" w:sz="4" w:space="0" w:color="000000"/>
              <w:left w:val="single" w:sz="4" w:space="0" w:color="000000"/>
              <w:bottom w:val="single" w:sz="4" w:space="0" w:color="000000"/>
              <w:right w:val="single" w:sz="4" w:space="0" w:color="000000"/>
            </w:tcBorders>
            <w:hideMark/>
          </w:tcPr>
          <w:p w14:paraId="7B4EDDD8" w14:textId="77777777" w:rsidR="000705BE" w:rsidRPr="00420C1B" w:rsidRDefault="000705BE">
            <w:pPr>
              <w:widowControl w:val="0"/>
              <w:tabs>
                <w:tab w:val="left" w:pos="0"/>
              </w:tabs>
              <w:spacing w:after="0"/>
              <w:ind w:left="255" w:right="250"/>
              <w:jc w:val="both"/>
              <w:rPr>
                <w:rFonts w:ascii="Times New Roman" w:hAnsi="Times New Roman"/>
              </w:rPr>
            </w:pPr>
            <w:r w:rsidRPr="00420C1B">
              <w:rPr>
                <w:rFonts w:ascii="Times New Roman" w:hAnsi="Times New Roman"/>
              </w:rPr>
              <w:t>2</w:t>
            </w:r>
          </w:p>
        </w:tc>
        <w:tc>
          <w:tcPr>
            <w:tcW w:w="2208" w:type="dxa"/>
            <w:vMerge w:val="restart"/>
            <w:tcBorders>
              <w:top w:val="single" w:sz="4" w:space="0" w:color="000000"/>
              <w:left w:val="single" w:sz="4" w:space="0" w:color="000000"/>
              <w:bottom w:val="single" w:sz="4" w:space="0" w:color="000000"/>
              <w:right w:val="single" w:sz="4" w:space="0" w:color="000000"/>
            </w:tcBorders>
            <w:vAlign w:val="center"/>
          </w:tcPr>
          <w:p w14:paraId="1BA1B190" w14:textId="77777777" w:rsidR="000705BE" w:rsidRPr="00420C1B" w:rsidRDefault="000705BE">
            <w:pPr>
              <w:widowControl w:val="0"/>
              <w:tabs>
                <w:tab w:val="left" w:pos="0"/>
              </w:tabs>
              <w:spacing w:after="0"/>
              <w:ind w:left="107"/>
              <w:jc w:val="both"/>
              <w:rPr>
                <w:rFonts w:ascii="Times New Roman" w:hAnsi="Times New Roman"/>
              </w:rPr>
            </w:pPr>
            <w:r w:rsidRPr="00420C1B">
              <w:rPr>
                <w:rFonts w:ascii="Times New Roman" w:hAnsi="Times New Roman"/>
                <w:spacing w:val="-1"/>
              </w:rPr>
              <w:t>R</w:t>
            </w:r>
            <w:r w:rsidRPr="00420C1B">
              <w:rPr>
                <w:rFonts w:ascii="Times New Roman" w:hAnsi="Times New Roman"/>
              </w:rPr>
              <w:t>e</w:t>
            </w:r>
            <w:r w:rsidRPr="00420C1B">
              <w:rPr>
                <w:rFonts w:ascii="Times New Roman" w:hAnsi="Times New Roman"/>
                <w:spacing w:val="1"/>
              </w:rPr>
              <w:t>s</w:t>
            </w:r>
            <w:r w:rsidRPr="00420C1B">
              <w:rPr>
                <w:rFonts w:ascii="Times New Roman" w:hAnsi="Times New Roman"/>
              </w:rPr>
              <w:t>pon</w:t>
            </w:r>
            <w:r w:rsidRPr="00420C1B">
              <w:rPr>
                <w:rFonts w:ascii="Times New Roman" w:hAnsi="Times New Roman"/>
                <w:spacing w:val="-2"/>
              </w:rPr>
              <w:t>sab</w:t>
            </w:r>
            <w:r w:rsidRPr="00420C1B">
              <w:rPr>
                <w:rFonts w:ascii="Times New Roman" w:hAnsi="Times New Roman"/>
                <w:spacing w:val="1"/>
              </w:rPr>
              <w:t>l</w:t>
            </w:r>
            <w:r w:rsidRPr="00420C1B">
              <w:rPr>
                <w:rFonts w:ascii="Times New Roman" w:hAnsi="Times New Roman"/>
              </w:rPr>
              <w:t xml:space="preserve">e </w:t>
            </w:r>
            <w:r w:rsidRPr="00420C1B">
              <w:rPr>
                <w:rFonts w:ascii="Times New Roman" w:hAnsi="Times New Roman"/>
                <w:spacing w:val="-1"/>
              </w:rPr>
              <w:t>H</w:t>
            </w:r>
            <w:r w:rsidRPr="00420C1B">
              <w:rPr>
                <w:rFonts w:ascii="Times New Roman" w:hAnsi="Times New Roman"/>
                <w:spacing w:val="-5"/>
              </w:rPr>
              <w:t>yg</w:t>
            </w:r>
            <w:r w:rsidRPr="00420C1B">
              <w:rPr>
                <w:rFonts w:ascii="Times New Roman" w:hAnsi="Times New Roman"/>
                <w:spacing w:val="2"/>
              </w:rPr>
              <w:t>i</w:t>
            </w:r>
            <w:r w:rsidRPr="00420C1B">
              <w:rPr>
                <w:rFonts w:ascii="Times New Roman" w:hAnsi="Times New Roman"/>
              </w:rPr>
              <w:t>ène</w:t>
            </w:r>
            <w:r w:rsidRPr="00420C1B">
              <w:rPr>
                <w:rFonts w:ascii="Times New Roman" w:hAnsi="Times New Roman"/>
                <w:spacing w:val="1"/>
              </w:rPr>
              <w:t>-</w:t>
            </w:r>
            <w:r w:rsidRPr="00420C1B">
              <w:rPr>
                <w:rFonts w:ascii="Times New Roman" w:hAnsi="Times New Roman"/>
              </w:rPr>
              <w:t>Séc</w:t>
            </w:r>
            <w:r w:rsidRPr="00420C1B">
              <w:rPr>
                <w:rFonts w:ascii="Times New Roman" w:hAnsi="Times New Roman"/>
                <w:spacing w:val="-2"/>
              </w:rPr>
              <w:t>u</w:t>
            </w:r>
            <w:r w:rsidRPr="00420C1B">
              <w:rPr>
                <w:rFonts w:ascii="Times New Roman" w:hAnsi="Times New Roman"/>
                <w:spacing w:val="1"/>
              </w:rPr>
              <w:t>ri</w:t>
            </w:r>
            <w:r w:rsidRPr="00420C1B">
              <w:rPr>
                <w:rFonts w:ascii="Times New Roman" w:hAnsi="Times New Roman"/>
                <w:spacing w:val="-1"/>
              </w:rPr>
              <w:t>t</w:t>
            </w:r>
            <w:r w:rsidRPr="00420C1B">
              <w:rPr>
                <w:rFonts w:ascii="Times New Roman" w:hAnsi="Times New Roman"/>
                <w:spacing w:val="3"/>
              </w:rPr>
              <w:t>é</w:t>
            </w:r>
            <w:r w:rsidRPr="00420C1B">
              <w:rPr>
                <w:rFonts w:ascii="Times New Roman" w:hAnsi="Times New Roman"/>
              </w:rPr>
              <w:t>-</w:t>
            </w:r>
          </w:p>
          <w:p w14:paraId="2525B229" w14:textId="77777777" w:rsidR="000705BE" w:rsidRPr="00420C1B" w:rsidRDefault="000705BE">
            <w:pPr>
              <w:widowControl w:val="0"/>
              <w:tabs>
                <w:tab w:val="left" w:pos="0"/>
              </w:tabs>
              <w:spacing w:after="0"/>
              <w:ind w:left="107"/>
              <w:jc w:val="both"/>
              <w:rPr>
                <w:rFonts w:ascii="Times New Roman" w:hAnsi="Times New Roman"/>
              </w:rPr>
            </w:pPr>
            <w:r w:rsidRPr="00420C1B">
              <w:rPr>
                <w:rFonts w:ascii="Times New Roman" w:hAnsi="Times New Roman"/>
                <w:spacing w:val="-1"/>
              </w:rPr>
              <w:t>E</w:t>
            </w:r>
            <w:r w:rsidRPr="00420C1B">
              <w:rPr>
                <w:rFonts w:ascii="Times New Roman" w:hAnsi="Times New Roman"/>
              </w:rPr>
              <w:t>n</w:t>
            </w:r>
            <w:r w:rsidRPr="00420C1B">
              <w:rPr>
                <w:rFonts w:ascii="Times New Roman" w:hAnsi="Times New Roman"/>
                <w:spacing w:val="-5"/>
              </w:rPr>
              <w:t>v</w:t>
            </w:r>
            <w:r w:rsidRPr="00420C1B">
              <w:rPr>
                <w:rFonts w:ascii="Times New Roman" w:hAnsi="Times New Roman"/>
                <w:spacing w:val="1"/>
              </w:rPr>
              <w:t>ir</w:t>
            </w:r>
            <w:r w:rsidRPr="00420C1B">
              <w:rPr>
                <w:rFonts w:ascii="Times New Roman" w:hAnsi="Times New Roman"/>
              </w:rPr>
              <w:t>onne</w:t>
            </w:r>
            <w:r w:rsidRPr="00420C1B">
              <w:rPr>
                <w:rFonts w:ascii="Times New Roman" w:hAnsi="Times New Roman"/>
                <w:spacing w:val="-6"/>
              </w:rPr>
              <w:t>m</w:t>
            </w:r>
            <w:r w:rsidRPr="00420C1B">
              <w:rPr>
                <w:rFonts w:ascii="Times New Roman" w:hAnsi="Times New Roman"/>
              </w:rPr>
              <w:t>ent/ assistant environnementaliste</w:t>
            </w:r>
          </w:p>
          <w:p w14:paraId="3230A85C" w14:textId="77777777" w:rsidR="000705BE" w:rsidRPr="00420C1B" w:rsidRDefault="000705BE">
            <w:pPr>
              <w:widowControl w:val="0"/>
              <w:tabs>
                <w:tab w:val="left" w:pos="0"/>
              </w:tabs>
              <w:spacing w:after="0"/>
              <w:ind w:left="107"/>
              <w:jc w:val="both"/>
              <w:rPr>
                <w:rFonts w:ascii="Times New Roman" w:hAnsi="Times New Roman"/>
              </w:rPr>
            </w:pPr>
          </w:p>
        </w:tc>
        <w:tc>
          <w:tcPr>
            <w:tcW w:w="6238" w:type="dxa"/>
            <w:tcBorders>
              <w:top w:val="single" w:sz="4" w:space="0" w:color="000000"/>
              <w:left w:val="single" w:sz="4" w:space="0" w:color="000000"/>
              <w:bottom w:val="single" w:sz="4" w:space="0" w:color="000000"/>
              <w:right w:val="single" w:sz="4" w:space="0" w:color="000000"/>
            </w:tcBorders>
            <w:hideMark/>
          </w:tcPr>
          <w:p w14:paraId="0FB7A69E" w14:textId="77777777" w:rsidR="000705BE" w:rsidRPr="00420C1B" w:rsidRDefault="000705BE" w:rsidP="008C79F0">
            <w:pPr>
              <w:pStyle w:val="Paragraphedeliste"/>
              <w:widowControl w:val="0"/>
              <w:numPr>
                <w:ilvl w:val="0"/>
                <w:numId w:val="177"/>
              </w:numPr>
              <w:tabs>
                <w:tab w:val="left" w:pos="0"/>
              </w:tabs>
              <w:suppressAutoHyphens/>
              <w:spacing w:after="0" w:line="276" w:lineRule="auto"/>
              <w:ind w:left="473" w:right="210"/>
              <w:jc w:val="both"/>
              <w:rPr>
                <w:rFonts w:ascii="Times New Roman" w:hAnsi="Times New Roman"/>
                <w:spacing w:val="-1"/>
              </w:rPr>
            </w:pPr>
            <w:r w:rsidRPr="00420C1B">
              <w:rPr>
                <w:rFonts w:ascii="Times New Roman" w:hAnsi="Times New Roman"/>
              </w:rPr>
              <w:t>Re</w:t>
            </w:r>
            <w:r w:rsidRPr="00420C1B">
              <w:rPr>
                <w:rFonts w:ascii="Times New Roman" w:hAnsi="Times New Roman"/>
                <w:spacing w:val="-2"/>
              </w:rPr>
              <w:t>s</w:t>
            </w:r>
            <w:r w:rsidRPr="00420C1B">
              <w:rPr>
                <w:rFonts w:ascii="Times New Roman" w:hAnsi="Times New Roman"/>
              </w:rPr>
              <w:t>pon</w:t>
            </w:r>
            <w:r w:rsidRPr="00420C1B">
              <w:rPr>
                <w:rFonts w:ascii="Times New Roman" w:hAnsi="Times New Roman"/>
                <w:spacing w:val="-2"/>
              </w:rPr>
              <w:t>s</w:t>
            </w:r>
            <w:r w:rsidRPr="00420C1B">
              <w:rPr>
                <w:rFonts w:ascii="Times New Roman" w:hAnsi="Times New Roman"/>
              </w:rPr>
              <w:t>a</w:t>
            </w:r>
            <w:r w:rsidRPr="00420C1B">
              <w:rPr>
                <w:rFonts w:ascii="Times New Roman" w:hAnsi="Times New Roman"/>
                <w:spacing w:val="-2"/>
              </w:rPr>
              <w:t>b</w:t>
            </w:r>
            <w:r w:rsidRPr="00420C1B">
              <w:rPr>
                <w:rFonts w:ascii="Times New Roman" w:hAnsi="Times New Roman"/>
                <w:spacing w:val="-1"/>
              </w:rPr>
              <w:t>l</w:t>
            </w:r>
            <w:r w:rsidRPr="00420C1B">
              <w:rPr>
                <w:rFonts w:ascii="Times New Roman" w:hAnsi="Times New Roman"/>
              </w:rPr>
              <w:t>e de</w:t>
            </w:r>
            <w:r w:rsidRPr="00420C1B">
              <w:rPr>
                <w:rFonts w:ascii="Times New Roman" w:hAnsi="Times New Roman"/>
                <w:spacing w:val="-1"/>
              </w:rPr>
              <w:t xml:space="preserve"> l</w:t>
            </w:r>
            <w:r w:rsidRPr="00420C1B">
              <w:rPr>
                <w:rFonts w:ascii="Times New Roman" w:hAnsi="Times New Roman"/>
              </w:rPr>
              <w:t xml:space="preserve">a </w:t>
            </w:r>
            <w:r w:rsidRPr="00420C1B">
              <w:rPr>
                <w:rFonts w:ascii="Times New Roman" w:hAnsi="Times New Roman"/>
                <w:spacing w:val="-6"/>
              </w:rPr>
              <w:t>m</w:t>
            </w:r>
            <w:r w:rsidRPr="00420C1B">
              <w:rPr>
                <w:rFonts w:ascii="Times New Roman" w:hAnsi="Times New Roman"/>
                <w:spacing w:val="1"/>
              </w:rPr>
              <w:t>i</w:t>
            </w:r>
            <w:r w:rsidRPr="00420C1B">
              <w:rPr>
                <w:rFonts w:ascii="Times New Roman" w:hAnsi="Times New Roman"/>
                <w:spacing w:val="-2"/>
              </w:rPr>
              <w:t>s</w:t>
            </w:r>
            <w:r w:rsidRPr="00420C1B">
              <w:rPr>
                <w:rFonts w:ascii="Times New Roman" w:hAnsi="Times New Roman"/>
              </w:rPr>
              <w:t>e en œ</w:t>
            </w:r>
            <w:r w:rsidRPr="00420C1B">
              <w:rPr>
                <w:rFonts w:ascii="Times New Roman" w:hAnsi="Times New Roman"/>
                <w:spacing w:val="-1"/>
              </w:rPr>
              <w:t>u</w:t>
            </w:r>
            <w:r w:rsidRPr="00420C1B">
              <w:rPr>
                <w:rFonts w:ascii="Times New Roman" w:hAnsi="Times New Roman"/>
                <w:spacing w:val="-5"/>
              </w:rPr>
              <w:t>v</w:t>
            </w:r>
            <w:r w:rsidRPr="00420C1B">
              <w:rPr>
                <w:rFonts w:ascii="Times New Roman" w:hAnsi="Times New Roman"/>
                <w:spacing w:val="1"/>
              </w:rPr>
              <w:t>r</w:t>
            </w:r>
            <w:r w:rsidRPr="00420C1B">
              <w:rPr>
                <w:rFonts w:ascii="Times New Roman" w:hAnsi="Times New Roman"/>
              </w:rPr>
              <w:t xml:space="preserve">e du PHSS et </w:t>
            </w:r>
            <w:r w:rsidRPr="00420C1B">
              <w:rPr>
                <w:rFonts w:ascii="Times New Roman" w:hAnsi="Times New Roman"/>
                <w:spacing w:val="-2"/>
              </w:rPr>
              <w:t>s</w:t>
            </w:r>
            <w:r w:rsidRPr="00420C1B">
              <w:rPr>
                <w:rFonts w:ascii="Times New Roman" w:hAnsi="Times New Roman"/>
                <w:spacing w:val="1"/>
              </w:rPr>
              <w:t>’</w:t>
            </w:r>
            <w:r w:rsidRPr="00420C1B">
              <w:rPr>
                <w:rFonts w:ascii="Times New Roman" w:hAnsi="Times New Roman"/>
                <w:spacing w:val="-2"/>
              </w:rPr>
              <w:t>a</w:t>
            </w:r>
            <w:r w:rsidRPr="00420C1B">
              <w:rPr>
                <w:rFonts w:ascii="Times New Roman" w:hAnsi="Times New Roman"/>
                <w:spacing w:val="1"/>
              </w:rPr>
              <w:t>ss</w:t>
            </w:r>
            <w:r w:rsidRPr="00420C1B">
              <w:rPr>
                <w:rFonts w:ascii="Times New Roman" w:hAnsi="Times New Roman"/>
                <w:spacing w:val="-2"/>
              </w:rPr>
              <w:t>ur</w:t>
            </w:r>
            <w:r w:rsidRPr="00420C1B">
              <w:rPr>
                <w:rFonts w:ascii="Times New Roman" w:hAnsi="Times New Roman"/>
              </w:rPr>
              <w:t xml:space="preserve">e </w:t>
            </w:r>
            <w:r w:rsidRPr="00420C1B">
              <w:rPr>
                <w:rFonts w:ascii="Times New Roman" w:hAnsi="Times New Roman"/>
                <w:spacing w:val="1"/>
              </w:rPr>
              <w:t>q</w:t>
            </w:r>
            <w:r w:rsidRPr="00420C1B">
              <w:rPr>
                <w:rFonts w:ascii="Times New Roman" w:hAnsi="Times New Roman"/>
                <w:spacing w:val="-5"/>
              </w:rPr>
              <w:t>u</w:t>
            </w:r>
            <w:r w:rsidRPr="00420C1B">
              <w:rPr>
                <w:rFonts w:ascii="Times New Roman" w:hAnsi="Times New Roman"/>
              </w:rPr>
              <w:t xml:space="preserve">e </w:t>
            </w:r>
            <w:r w:rsidRPr="00420C1B">
              <w:rPr>
                <w:rFonts w:ascii="Times New Roman" w:hAnsi="Times New Roman"/>
                <w:spacing w:val="1"/>
              </w:rPr>
              <w:t>c</w:t>
            </w:r>
            <w:r w:rsidRPr="00420C1B">
              <w:rPr>
                <w:rFonts w:ascii="Times New Roman" w:hAnsi="Times New Roman"/>
                <w:spacing w:val="-2"/>
              </w:rPr>
              <w:t>e</w:t>
            </w:r>
            <w:r w:rsidRPr="00420C1B">
              <w:rPr>
                <w:rFonts w:ascii="Times New Roman" w:hAnsi="Times New Roman"/>
                <w:spacing w:val="-1"/>
              </w:rPr>
              <w:t>l</w:t>
            </w:r>
            <w:r w:rsidRPr="00420C1B">
              <w:rPr>
                <w:rFonts w:ascii="Times New Roman" w:hAnsi="Times New Roman"/>
                <w:spacing w:val="1"/>
              </w:rPr>
              <w:t>l</w:t>
            </w:r>
            <w:r w:rsidRPr="00420C1B">
              <w:rPr>
                <w:rFonts w:ascii="Times New Roman" w:hAnsi="Times New Roman"/>
                <w:spacing w:val="-2"/>
              </w:rPr>
              <w:t>e</w:t>
            </w:r>
            <w:r w:rsidRPr="00420C1B">
              <w:rPr>
                <w:rFonts w:ascii="Times New Roman" w:hAnsi="Times New Roman"/>
                <w:spacing w:val="-6"/>
              </w:rPr>
              <w:t>-</w:t>
            </w:r>
            <w:r w:rsidRPr="00420C1B">
              <w:rPr>
                <w:rFonts w:ascii="Times New Roman" w:hAnsi="Times New Roman"/>
              </w:rPr>
              <w:t>ci e</w:t>
            </w:r>
            <w:r w:rsidRPr="00420C1B">
              <w:rPr>
                <w:rFonts w:ascii="Times New Roman" w:hAnsi="Times New Roman"/>
                <w:spacing w:val="1"/>
              </w:rPr>
              <w:t>s</w:t>
            </w:r>
            <w:r w:rsidRPr="00420C1B">
              <w:rPr>
                <w:rFonts w:ascii="Times New Roman" w:hAnsi="Times New Roman"/>
              </w:rPr>
              <w:t>t b</w:t>
            </w:r>
            <w:r w:rsidRPr="00420C1B">
              <w:rPr>
                <w:rFonts w:ascii="Times New Roman" w:hAnsi="Times New Roman"/>
                <w:spacing w:val="1"/>
              </w:rPr>
              <w:t>i</w:t>
            </w:r>
            <w:r w:rsidRPr="00420C1B">
              <w:rPr>
                <w:rFonts w:ascii="Times New Roman" w:hAnsi="Times New Roman"/>
                <w:spacing w:val="-2"/>
              </w:rPr>
              <w:t>e</w:t>
            </w:r>
            <w:r w:rsidRPr="00420C1B">
              <w:rPr>
                <w:rFonts w:ascii="Times New Roman" w:hAnsi="Times New Roman"/>
              </w:rPr>
              <w:t xml:space="preserve">n </w:t>
            </w:r>
            <w:r w:rsidRPr="00420C1B">
              <w:rPr>
                <w:rFonts w:ascii="Times New Roman" w:hAnsi="Times New Roman"/>
                <w:spacing w:val="1"/>
              </w:rPr>
              <w:t>r</w:t>
            </w:r>
            <w:r w:rsidRPr="00420C1B">
              <w:rPr>
                <w:rFonts w:ascii="Times New Roman" w:hAnsi="Times New Roman"/>
              </w:rPr>
              <w:t>ép</w:t>
            </w:r>
            <w:r w:rsidRPr="00420C1B">
              <w:rPr>
                <w:rFonts w:ascii="Times New Roman" w:hAnsi="Times New Roman"/>
                <w:spacing w:val="-2"/>
              </w:rPr>
              <w:t>e</w:t>
            </w:r>
            <w:r w:rsidRPr="00420C1B">
              <w:rPr>
                <w:rFonts w:ascii="Times New Roman" w:hAnsi="Times New Roman"/>
                <w:spacing w:val="1"/>
              </w:rPr>
              <w:t>r</w:t>
            </w:r>
            <w:r w:rsidRPr="00420C1B">
              <w:rPr>
                <w:rFonts w:ascii="Times New Roman" w:hAnsi="Times New Roman"/>
              </w:rPr>
              <w:t>c</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spacing w:val="-2"/>
              </w:rPr>
              <w:t>é</w:t>
            </w:r>
            <w:r w:rsidRPr="00420C1B">
              <w:rPr>
                <w:rFonts w:ascii="Times New Roman" w:hAnsi="Times New Roman"/>
              </w:rPr>
              <w:t>e au</w:t>
            </w:r>
            <w:r w:rsidRPr="00420C1B">
              <w:rPr>
                <w:rFonts w:ascii="Times New Roman" w:hAnsi="Times New Roman"/>
                <w:spacing w:val="-2"/>
              </w:rPr>
              <w:t>pr</w:t>
            </w:r>
            <w:r w:rsidRPr="00420C1B">
              <w:rPr>
                <w:rFonts w:ascii="Times New Roman" w:hAnsi="Times New Roman"/>
              </w:rPr>
              <w:t xml:space="preserve">ès </w:t>
            </w:r>
            <w:r w:rsidRPr="00420C1B">
              <w:rPr>
                <w:rFonts w:ascii="Times New Roman" w:hAnsi="Times New Roman"/>
                <w:spacing w:val="-2"/>
              </w:rPr>
              <w:t>d</w:t>
            </w:r>
            <w:r w:rsidRPr="00420C1B">
              <w:rPr>
                <w:rFonts w:ascii="Times New Roman" w:hAnsi="Times New Roman"/>
              </w:rPr>
              <w:t>e l’e</w:t>
            </w:r>
            <w:r w:rsidRPr="00420C1B">
              <w:rPr>
                <w:rFonts w:ascii="Times New Roman" w:hAnsi="Times New Roman"/>
                <w:spacing w:val="1"/>
              </w:rPr>
              <w:t>n</w:t>
            </w:r>
            <w:r w:rsidRPr="00420C1B">
              <w:rPr>
                <w:rFonts w:ascii="Times New Roman" w:hAnsi="Times New Roman"/>
                <w:spacing w:val="-2"/>
              </w:rPr>
              <w:t>s</w:t>
            </w:r>
            <w:r w:rsidRPr="00420C1B">
              <w:rPr>
                <w:rFonts w:ascii="Times New Roman" w:hAnsi="Times New Roman"/>
                <w:spacing w:val="-9"/>
              </w:rPr>
              <w:t>e</w:t>
            </w:r>
            <w:r w:rsidRPr="00420C1B">
              <w:rPr>
                <w:rFonts w:ascii="Times New Roman" w:hAnsi="Times New Roman"/>
              </w:rPr>
              <w:t>m</w:t>
            </w:r>
            <w:r w:rsidRPr="00420C1B">
              <w:rPr>
                <w:rFonts w:ascii="Times New Roman" w:hAnsi="Times New Roman"/>
                <w:spacing w:val="1"/>
              </w:rPr>
              <w:t>b</w:t>
            </w:r>
            <w:r w:rsidRPr="00420C1B">
              <w:rPr>
                <w:rFonts w:ascii="Times New Roman" w:hAnsi="Times New Roman"/>
              </w:rPr>
              <w:t>le du pe</w:t>
            </w:r>
            <w:r w:rsidRPr="00420C1B">
              <w:rPr>
                <w:rFonts w:ascii="Times New Roman" w:hAnsi="Times New Roman"/>
                <w:spacing w:val="1"/>
              </w:rPr>
              <w:t>rs</w:t>
            </w:r>
            <w:r w:rsidRPr="00420C1B">
              <w:rPr>
                <w:rFonts w:ascii="Times New Roman" w:hAnsi="Times New Roman"/>
                <w:spacing w:val="-2"/>
              </w:rPr>
              <w:t>o</w:t>
            </w:r>
            <w:r w:rsidRPr="00420C1B">
              <w:rPr>
                <w:rFonts w:ascii="Times New Roman" w:hAnsi="Times New Roman"/>
              </w:rPr>
              <w:t>nn</w:t>
            </w:r>
            <w:r w:rsidRPr="00420C1B">
              <w:rPr>
                <w:rFonts w:ascii="Times New Roman" w:hAnsi="Times New Roman"/>
                <w:spacing w:val="-2"/>
              </w:rPr>
              <w:t>el</w:t>
            </w:r>
          </w:p>
          <w:p w14:paraId="137FC308" w14:textId="77777777" w:rsidR="000705BE" w:rsidRPr="00420C1B" w:rsidRDefault="000705BE" w:rsidP="008C79F0">
            <w:pPr>
              <w:pStyle w:val="Paragraphedeliste"/>
              <w:widowControl w:val="0"/>
              <w:numPr>
                <w:ilvl w:val="0"/>
                <w:numId w:val="177"/>
              </w:numPr>
              <w:tabs>
                <w:tab w:val="left" w:pos="0"/>
              </w:tabs>
              <w:suppressAutoHyphens/>
              <w:spacing w:after="0" w:line="276" w:lineRule="auto"/>
              <w:ind w:left="473" w:right="210"/>
              <w:jc w:val="both"/>
              <w:rPr>
                <w:rFonts w:ascii="Times New Roman" w:hAnsi="Times New Roman"/>
                <w:spacing w:val="1"/>
              </w:rPr>
            </w:pPr>
            <w:r w:rsidRPr="00420C1B">
              <w:rPr>
                <w:rFonts w:ascii="Times New Roman" w:hAnsi="Times New Roman"/>
                <w:spacing w:val="1"/>
              </w:rPr>
              <w:t xml:space="preserve">Rend </w:t>
            </w:r>
            <w:r w:rsidRPr="00420C1B">
              <w:rPr>
                <w:rFonts w:ascii="Times New Roman" w:hAnsi="Times New Roman"/>
              </w:rPr>
              <w:t>ob</w:t>
            </w:r>
            <w:r w:rsidRPr="00420C1B">
              <w:rPr>
                <w:rFonts w:ascii="Times New Roman" w:hAnsi="Times New Roman"/>
                <w:spacing w:val="1"/>
              </w:rPr>
              <w:t>li</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spacing w:val="-2"/>
              </w:rPr>
              <w:t>o</w:t>
            </w:r>
            <w:r w:rsidRPr="00420C1B">
              <w:rPr>
                <w:rFonts w:ascii="Times New Roman" w:hAnsi="Times New Roman"/>
                <w:spacing w:val="1"/>
              </w:rPr>
              <w:t>ir</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 xml:space="preserve">e </w:t>
            </w:r>
            <w:r w:rsidRPr="00420C1B">
              <w:rPr>
                <w:rFonts w:ascii="Times New Roman" w:hAnsi="Times New Roman"/>
                <w:spacing w:val="1"/>
              </w:rPr>
              <w:t>p</w:t>
            </w:r>
            <w:r w:rsidRPr="00420C1B">
              <w:rPr>
                <w:rFonts w:ascii="Times New Roman" w:hAnsi="Times New Roman"/>
                <w:spacing w:val="-2"/>
              </w:rPr>
              <w:t>o</w:t>
            </w:r>
            <w:r w:rsidRPr="00420C1B">
              <w:rPr>
                <w:rFonts w:ascii="Times New Roman" w:hAnsi="Times New Roman"/>
                <w:spacing w:val="1"/>
              </w:rPr>
              <w:t>r</w:t>
            </w:r>
            <w:r w:rsidRPr="00420C1B">
              <w:rPr>
                <w:rFonts w:ascii="Times New Roman" w:hAnsi="Times New Roman"/>
              </w:rPr>
              <w:t xml:space="preserve">t </w:t>
            </w:r>
            <w:r w:rsidRPr="00420C1B">
              <w:rPr>
                <w:rFonts w:ascii="Times New Roman" w:hAnsi="Times New Roman"/>
                <w:spacing w:val="-5"/>
              </w:rPr>
              <w:t>d</w:t>
            </w:r>
            <w:r w:rsidRPr="00420C1B">
              <w:rPr>
                <w:rFonts w:ascii="Times New Roman" w:hAnsi="Times New Roman"/>
              </w:rPr>
              <w:t>es équ</w:t>
            </w:r>
            <w:r w:rsidRPr="00420C1B">
              <w:rPr>
                <w:rFonts w:ascii="Times New Roman" w:hAnsi="Times New Roman"/>
                <w:spacing w:val="1"/>
              </w:rPr>
              <w:t>i</w:t>
            </w:r>
            <w:r w:rsidRPr="00420C1B">
              <w:rPr>
                <w:rFonts w:ascii="Times New Roman" w:hAnsi="Times New Roman"/>
                <w:spacing w:val="-2"/>
              </w:rPr>
              <w:t>p</w:t>
            </w:r>
            <w:r w:rsidRPr="00420C1B">
              <w:rPr>
                <w:rFonts w:ascii="Times New Roman" w:hAnsi="Times New Roman"/>
              </w:rPr>
              <w:t>e</w:t>
            </w:r>
            <w:r w:rsidRPr="00420C1B">
              <w:rPr>
                <w:rFonts w:ascii="Times New Roman" w:hAnsi="Times New Roman"/>
                <w:spacing w:val="-6"/>
              </w:rPr>
              <w:t>m</w:t>
            </w:r>
            <w:r w:rsidRPr="00420C1B">
              <w:rPr>
                <w:rFonts w:ascii="Times New Roman" w:hAnsi="Times New Roman"/>
              </w:rPr>
              <w:t>en</w:t>
            </w:r>
            <w:r w:rsidRPr="00420C1B">
              <w:rPr>
                <w:rFonts w:ascii="Times New Roman" w:hAnsi="Times New Roman"/>
                <w:spacing w:val="1"/>
              </w:rPr>
              <w:t>t</w:t>
            </w:r>
            <w:r w:rsidRPr="00420C1B">
              <w:rPr>
                <w:rFonts w:ascii="Times New Roman" w:hAnsi="Times New Roman"/>
              </w:rPr>
              <w:t xml:space="preserve">s de </w:t>
            </w:r>
            <w:r w:rsidRPr="00420C1B">
              <w:rPr>
                <w:rFonts w:ascii="Times New Roman" w:hAnsi="Times New Roman"/>
                <w:spacing w:val="-2"/>
              </w:rPr>
              <w:t>p</w:t>
            </w:r>
            <w:r w:rsidRPr="00420C1B">
              <w:rPr>
                <w:rFonts w:ascii="Times New Roman" w:hAnsi="Times New Roman"/>
                <w:spacing w:val="1"/>
              </w:rPr>
              <w:t>r</w:t>
            </w:r>
            <w:r w:rsidRPr="00420C1B">
              <w:rPr>
                <w:rFonts w:ascii="Times New Roman" w:hAnsi="Times New Roman"/>
                <w:spacing w:val="-2"/>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2"/>
              </w:rPr>
              <w:t>c</w:t>
            </w:r>
            <w:r w:rsidRPr="00420C1B">
              <w:rPr>
                <w:rFonts w:ascii="Times New Roman" w:hAnsi="Times New Roman"/>
                <w:spacing w:val="1"/>
              </w:rPr>
              <w:t>ti</w:t>
            </w:r>
            <w:r w:rsidRPr="00420C1B">
              <w:rPr>
                <w:rFonts w:ascii="Times New Roman" w:hAnsi="Times New Roman"/>
                <w:spacing w:val="-2"/>
              </w:rPr>
              <w:t>o</w:t>
            </w:r>
            <w:r w:rsidRPr="00420C1B">
              <w:rPr>
                <w:rFonts w:ascii="Times New Roman" w:hAnsi="Times New Roman"/>
              </w:rPr>
              <w:t xml:space="preserve">n par </w:t>
            </w:r>
            <w:r w:rsidRPr="00420C1B">
              <w:rPr>
                <w:rFonts w:ascii="Times New Roman" w:hAnsi="Times New Roman"/>
                <w:spacing w:val="1"/>
              </w:rPr>
              <w:t>l</w:t>
            </w:r>
            <w:r w:rsidRPr="00420C1B">
              <w:rPr>
                <w:rFonts w:ascii="Times New Roman" w:hAnsi="Times New Roman"/>
              </w:rPr>
              <w:t>es e</w:t>
            </w:r>
            <w:r w:rsidRPr="00420C1B">
              <w:rPr>
                <w:rFonts w:ascii="Times New Roman" w:hAnsi="Times New Roman"/>
                <w:spacing w:val="-6"/>
              </w:rPr>
              <w:t>m</w:t>
            </w:r>
            <w:r w:rsidRPr="00420C1B">
              <w:rPr>
                <w:rFonts w:ascii="Times New Roman" w:hAnsi="Times New Roman"/>
              </w:rPr>
              <w:t>p</w:t>
            </w:r>
            <w:r w:rsidRPr="00420C1B">
              <w:rPr>
                <w:rFonts w:ascii="Times New Roman" w:hAnsi="Times New Roman"/>
                <w:spacing w:val="1"/>
              </w:rPr>
              <w:t>l</w:t>
            </w:r>
            <w:r w:rsidRPr="00420C1B">
              <w:rPr>
                <w:rFonts w:ascii="Times New Roman" w:hAnsi="Times New Roman"/>
              </w:rPr>
              <w:t>o</w:t>
            </w:r>
            <w:r w:rsidRPr="00420C1B">
              <w:rPr>
                <w:rFonts w:ascii="Times New Roman" w:hAnsi="Times New Roman"/>
                <w:spacing w:val="-5"/>
              </w:rPr>
              <w:t>y</w:t>
            </w:r>
            <w:r w:rsidRPr="00420C1B">
              <w:rPr>
                <w:rFonts w:ascii="Times New Roman" w:hAnsi="Times New Roman"/>
              </w:rPr>
              <w:t>és de ch</w:t>
            </w:r>
            <w:r w:rsidRPr="00420C1B">
              <w:rPr>
                <w:rFonts w:ascii="Times New Roman" w:hAnsi="Times New Roman"/>
                <w:spacing w:val="1"/>
              </w:rPr>
              <w:t>a</w:t>
            </w:r>
            <w:r w:rsidRPr="00420C1B">
              <w:rPr>
                <w:rFonts w:ascii="Times New Roman" w:hAnsi="Times New Roman"/>
                <w:spacing w:val="-2"/>
              </w:rPr>
              <w:t>n</w:t>
            </w:r>
            <w:r w:rsidRPr="00420C1B">
              <w:rPr>
                <w:rFonts w:ascii="Times New Roman" w:hAnsi="Times New Roman"/>
                <w:spacing w:val="1"/>
              </w:rPr>
              <w:t>ti</w:t>
            </w:r>
            <w:r w:rsidRPr="00420C1B">
              <w:rPr>
                <w:rFonts w:ascii="Times New Roman" w:hAnsi="Times New Roman"/>
                <w:spacing w:val="-2"/>
              </w:rPr>
              <w:t>e</w:t>
            </w:r>
            <w:r w:rsidRPr="00420C1B">
              <w:rPr>
                <w:rFonts w:ascii="Times New Roman" w:hAnsi="Times New Roman"/>
              </w:rPr>
              <w:t xml:space="preserve">r </w:t>
            </w:r>
            <w:r w:rsidRPr="00420C1B">
              <w:rPr>
                <w:rFonts w:ascii="Times New Roman" w:hAnsi="Times New Roman"/>
                <w:spacing w:val="-2"/>
              </w:rPr>
              <w:t>e</w:t>
            </w:r>
            <w:r w:rsidRPr="00420C1B">
              <w:rPr>
                <w:rFonts w:ascii="Times New Roman" w:hAnsi="Times New Roman"/>
              </w:rPr>
              <w:t>t</w:t>
            </w:r>
            <w:r w:rsidRPr="00420C1B">
              <w:rPr>
                <w:rFonts w:ascii="Times New Roman" w:hAnsi="Times New Roman"/>
                <w:spacing w:val="1"/>
              </w:rPr>
              <w:t xml:space="preserve"> i</w:t>
            </w:r>
            <w:r w:rsidRPr="00420C1B">
              <w:rPr>
                <w:rFonts w:ascii="Times New Roman" w:hAnsi="Times New Roman"/>
                <w:spacing w:val="-5"/>
              </w:rPr>
              <w:t>n</w:t>
            </w:r>
            <w:r w:rsidRPr="00420C1B">
              <w:rPr>
                <w:rFonts w:ascii="Times New Roman" w:hAnsi="Times New Roman"/>
                <w:spacing w:val="1"/>
              </w:rPr>
              <w:t>fli</w:t>
            </w:r>
            <w:r w:rsidRPr="00420C1B">
              <w:rPr>
                <w:rFonts w:ascii="Times New Roman" w:hAnsi="Times New Roman"/>
                <w:spacing w:val="-5"/>
              </w:rPr>
              <w:t>g</w:t>
            </w:r>
            <w:r w:rsidRPr="00420C1B">
              <w:rPr>
                <w:rFonts w:ascii="Times New Roman" w:hAnsi="Times New Roman"/>
              </w:rPr>
              <w:t xml:space="preserve">e des </w:t>
            </w:r>
            <w:r w:rsidRPr="00420C1B">
              <w:rPr>
                <w:rFonts w:ascii="Times New Roman" w:hAnsi="Times New Roman"/>
                <w:spacing w:val="1"/>
              </w:rPr>
              <w:t>s</w:t>
            </w:r>
            <w:r w:rsidRPr="00420C1B">
              <w:rPr>
                <w:rFonts w:ascii="Times New Roman" w:hAnsi="Times New Roman"/>
              </w:rPr>
              <w:t>an</w:t>
            </w:r>
            <w:r w:rsidRPr="00420C1B">
              <w:rPr>
                <w:rFonts w:ascii="Times New Roman" w:hAnsi="Times New Roman"/>
                <w:spacing w:val="-2"/>
              </w:rPr>
              <w:t>c</w:t>
            </w:r>
            <w:r w:rsidRPr="00420C1B">
              <w:rPr>
                <w:rFonts w:ascii="Times New Roman" w:hAnsi="Times New Roman"/>
                <w:spacing w:val="1"/>
              </w:rPr>
              <w:t>ti</w:t>
            </w:r>
            <w:r w:rsidRPr="00420C1B">
              <w:rPr>
                <w:rFonts w:ascii="Times New Roman" w:hAnsi="Times New Roman"/>
              </w:rPr>
              <w:t>o</w:t>
            </w:r>
            <w:r w:rsidRPr="00420C1B">
              <w:rPr>
                <w:rFonts w:ascii="Times New Roman" w:hAnsi="Times New Roman"/>
                <w:spacing w:val="-2"/>
              </w:rPr>
              <w:t>n</w:t>
            </w:r>
            <w:r w:rsidRPr="00420C1B">
              <w:rPr>
                <w:rFonts w:ascii="Times New Roman" w:hAnsi="Times New Roman"/>
              </w:rPr>
              <w:t>s a</w:t>
            </w:r>
            <w:r w:rsidRPr="00420C1B">
              <w:rPr>
                <w:rFonts w:ascii="Times New Roman" w:hAnsi="Times New Roman"/>
                <w:spacing w:val="-2"/>
              </w:rPr>
              <w:t>u</w:t>
            </w:r>
            <w:r w:rsidRPr="00420C1B">
              <w:rPr>
                <w:rFonts w:ascii="Times New Roman" w:hAnsi="Times New Roman"/>
              </w:rPr>
              <w:t>x co</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spacing w:val="-4"/>
              </w:rPr>
              <w:t>r</w:t>
            </w:r>
            <w:r w:rsidRPr="00420C1B">
              <w:rPr>
                <w:rFonts w:ascii="Times New Roman" w:hAnsi="Times New Roman"/>
                <w:spacing w:val="1"/>
              </w:rPr>
              <w:t>e</w:t>
            </w:r>
            <w:r w:rsidRPr="00420C1B">
              <w:rPr>
                <w:rFonts w:ascii="Times New Roman" w:hAnsi="Times New Roman"/>
                <w:spacing w:val="-5"/>
              </w:rPr>
              <w:t>v</w:t>
            </w:r>
            <w:r w:rsidRPr="00420C1B">
              <w:rPr>
                <w:rFonts w:ascii="Times New Roman" w:hAnsi="Times New Roman"/>
              </w:rPr>
              <w:t>ena</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spacing w:val="1"/>
              </w:rPr>
              <w:t>s</w:t>
            </w:r>
          </w:p>
          <w:p w14:paraId="2769D643" w14:textId="77777777" w:rsidR="000705BE" w:rsidRPr="00420C1B" w:rsidRDefault="000705BE" w:rsidP="008C79F0">
            <w:pPr>
              <w:pStyle w:val="Paragraphedeliste"/>
              <w:widowControl w:val="0"/>
              <w:numPr>
                <w:ilvl w:val="0"/>
                <w:numId w:val="177"/>
              </w:numPr>
              <w:tabs>
                <w:tab w:val="left" w:pos="0"/>
              </w:tabs>
              <w:suppressAutoHyphens/>
              <w:spacing w:after="0" w:line="276" w:lineRule="auto"/>
              <w:ind w:left="473" w:right="210"/>
              <w:jc w:val="both"/>
              <w:rPr>
                <w:rFonts w:ascii="Times New Roman" w:hAnsi="Times New Roman"/>
              </w:rPr>
            </w:pPr>
            <w:r w:rsidRPr="00420C1B">
              <w:rPr>
                <w:rFonts w:ascii="Times New Roman" w:hAnsi="Times New Roman"/>
                <w:spacing w:val="1"/>
              </w:rPr>
              <w:t>S’assure</w:t>
            </w:r>
            <w:r w:rsidRPr="00420C1B">
              <w:rPr>
                <w:rFonts w:ascii="Times New Roman" w:hAnsi="Times New Roman"/>
              </w:rPr>
              <w:t xml:space="preserve"> q</w:t>
            </w:r>
            <w:r w:rsidRPr="00420C1B">
              <w:rPr>
                <w:rFonts w:ascii="Times New Roman" w:hAnsi="Times New Roman"/>
                <w:spacing w:val="-2"/>
              </w:rPr>
              <w:t>u</w:t>
            </w:r>
            <w:r w:rsidRPr="00420C1B">
              <w:rPr>
                <w:rFonts w:ascii="Times New Roman" w:hAnsi="Times New Roman"/>
              </w:rPr>
              <w:t xml:space="preserve">e </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rPr>
              <w:t>s</w:t>
            </w:r>
            <w:r w:rsidRPr="00420C1B">
              <w:rPr>
                <w:rFonts w:ascii="Times New Roman" w:hAnsi="Times New Roman"/>
                <w:spacing w:val="-1"/>
              </w:rPr>
              <w:t xml:space="preserve"> l</w:t>
            </w:r>
            <w:r w:rsidRPr="00420C1B">
              <w:rPr>
                <w:rFonts w:ascii="Times New Roman" w:hAnsi="Times New Roman"/>
              </w:rPr>
              <w:t xml:space="preserve">es </w:t>
            </w:r>
            <w:r w:rsidRPr="00420C1B">
              <w:rPr>
                <w:rFonts w:ascii="Times New Roman" w:hAnsi="Times New Roman"/>
                <w:spacing w:val="-2"/>
              </w:rPr>
              <w:t>s</w:t>
            </w:r>
            <w:r w:rsidRPr="00420C1B">
              <w:rPr>
                <w:rFonts w:ascii="Times New Roman" w:hAnsi="Times New Roman"/>
              </w:rPr>
              <w:t>up</w:t>
            </w:r>
            <w:r w:rsidRPr="00420C1B">
              <w:rPr>
                <w:rFonts w:ascii="Times New Roman" w:hAnsi="Times New Roman"/>
                <w:spacing w:val="-2"/>
              </w:rPr>
              <w:t>e</w:t>
            </w:r>
            <w:r w:rsidRPr="00420C1B">
              <w:rPr>
                <w:rFonts w:ascii="Times New Roman" w:hAnsi="Times New Roman"/>
                <w:spacing w:val="1"/>
              </w:rPr>
              <w:t>r</w:t>
            </w:r>
            <w:r w:rsidRPr="00420C1B">
              <w:rPr>
                <w:rFonts w:ascii="Times New Roman" w:hAnsi="Times New Roman"/>
                <w:spacing w:val="-5"/>
              </w:rPr>
              <w:t>v</w:t>
            </w:r>
            <w:r w:rsidRPr="00420C1B">
              <w:rPr>
                <w:rFonts w:ascii="Times New Roman" w:hAnsi="Times New Roman"/>
                <w:spacing w:val="1"/>
              </w:rPr>
              <w:t>is</w:t>
            </w:r>
            <w:r w:rsidRPr="00420C1B">
              <w:rPr>
                <w:rFonts w:ascii="Times New Roman" w:hAnsi="Times New Roman"/>
              </w:rPr>
              <w:t>eu</w:t>
            </w:r>
            <w:r w:rsidRPr="00420C1B">
              <w:rPr>
                <w:rFonts w:ascii="Times New Roman" w:hAnsi="Times New Roman"/>
                <w:spacing w:val="-2"/>
              </w:rPr>
              <w:t>r</w:t>
            </w:r>
            <w:r w:rsidRPr="00420C1B">
              <w:rPr>
                <w:rFonts w:ascii="Times New Roman" w:hAnsi="Times New Roman"/>
              </w:rPr>
              <w:t>s et opé</w:t>
            </w:r>
            <w:r w:rsidRPr="00420C1B">
              <w:rPr>
                <w:rFonts w:ascii="Times New Roman" w:hAnsi="Times New Roman"/>
                <w:spacing w:val="1"/>
              </w:rPr>
              <w:t>r</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2"/>
              </w:rPr>
              <w:t>ur</w:t>
            </w:r>
            <w:r w:rsidRPr="00420C1B">
              <w:rPr>
                <w:rFonts w:ascii="Times New Roman" w:hAnsi="Times New Roman"/>
              </w:rPr>
              <w:t>s so</w:t>
            </w:r>
            <w:r w:rsidRPr="00420C1B">
              <w:rPr>
                <w:rFonts w:ascii="Times New Roman" w:hAnsi="Times New Roman"/>
                <w:spacing w:val="-2"/>
              </w:rPr>
              <w:t>u</w:t>
            </w:r>
            <w:r w:rsidRPr="00420C1B">
              <w:rPr>
                <w:rFonts w:ascii="Times New Roman" w:hAnsi="Times New Roman"/>
              </w:rPr>
              <w:t xml:space="preserve">s son </w:t>
            </w:r>
            <w:r w:rsidRPr="00420C1B">
              <w:rPr>
                <w:rFonts w:ascii="Times New Roman" w:hAnsi="Times New Roman"/>
                <w:spacing w:val="-2"/>
              </w:rPr>
              <w:t>c</w:t>
            </w:r>
            <w:r w:rsidRPr="00420C1B">
              <w:rPr>
                <w:rFonts w:ascii="Times New Roman" w:hAnsi="Times New Roman"/>
              </w:rPr>
              <w:t>o</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spacing w:val="-2"/>
              </w:rPr>
              <w:t>r</w:t>
            </w:r>
            <w:r w:rsidRPr="00420C1B">
              <w:rPr>
                <w:rFonts w:ascii="Times New Roman" w:hAnsi="Times New Roman"/>
              </w:rPr>
              <w:t>ô</w:t>
            </w:r>
            <w:r w:rsidRPr="00420C1B">
              <w:rPr>
                <w:rFonts w:ascii="Times New Roman" w:hAnsi="Times New Roman"/>
                <w:spacing w:val="-1"/>
              </w:rPr>
              <w:t>l</w:t>
            </w:r>
            <w:r w:rsidRPr="00420C1B">
              <w:rPr>
                <w:rFonts w:ascii="Times New Roman" w:hAnsi="Times New Roman"/>
              </w:rPr>
              <w:t xml:space="preserve">e, </w:t>
            </w:r>
            <w:r w:rsidRPr="00420C1B">
              <w:rPr>
                <w:rFonts w:ascii="Times New Roman" w:hAnsi="Times New Roman"/>
                <w:spacing w:val="1"/>
              </w:rPr>
              <w:t>s</w:t>
            </w:r>
            <w:r w:rsidRPr="00420C1B">
              <w:rPr>
                <w:rFonts w:ascii="Times New Roman" w:hAnsi="Times New Roman"/>
              </w:rPr>
              <w:t>o</w:t>
            </w:r>
            <w:r w:rsidRPr="00420C1B">
              <w:rPr>
                <w:rFonts w:ascii="Times New Roman" w:hAnsi="Times New Roman"/>
                <w:spacing w:val="-2"/>
              </w:rPr>
              <w:t>n</w:t>
            </w:r>
            <w:r w:rsidRPr="00420C1B">
              <w:rPr>
                <w:rFonts w:ascii="Times New Roman" w:hAnsi="Times New Roman"/>
              </w:rPr>
              <w:t>t a</w:t>
            </w:r>
            <w:r w:rsidRPr="00420C1B">
              <w:rPr>
                <w:rFonts w:ascii="Times New Roman" w:hAnsi="Times New Roman"/>
                <w:spacing w:val="-5"/>
              </w:rPr>
              <w:t>v</w:t>
            </w:r>
            <w:r w:rsidRPr="00420C1B">
              <w:rPr>
                <w:rFonts w:ascii="Times New Roman" w:hAnsi="Times New Roman"/>
              </w:rPr>
              <w:t>e</w:t>
            </w:r>
            <w:r w:rsidRPr="00420C1B">
              <w:rPr>
                <w:rFonts w:ascii="Times New Roman" w:hAnsi="Times New Roman"/>
                <w:spacing w:val="1"/>
              </w:rPr>
              <w:t>rt</w:t>
            </w:r>
            <w:r w:rsidRPr="00420C1B">
              <w:rPr>
                <w:rFonts w:ascii="Times New Roman" w:hAnsi="Times New Roman"/>
                <w:spacing w:val="-1"/>
              </w:rPr>
              <w:t>i</w:t>
            </w:r>
            <w:r w:rsidRPr="00420C1B">
              <w:rPr>
                <w:rFonts w:ascii="Times New Roman" w:hAnsi="Times New Roman"/>
              </w:rPr>
              <w:t>s et c</w:t>
            </w:r>
            <w:r w:rsidRPr="00420C1B">
              <w:rPr>
                <w:rFonts w:ascii="Times New Roman" w:hAnsi="Times New Roman"/>
                <w:spacing w:val="-2"/>
              </w:rPr>
              <w:t>o</w:t>
            </w:r>
            <w:r w:rsidRPr="00420C1B">
              <w:rPr>
                <w:rFonts w:ascii="Times New Roman" w:hAnsi="Times New Roman"/>
              </w:rPr>
              <w:t>n</w:t>
            </w:r>
            <w:r w:rsidRPr="00420C1B">
              <w:rPr>
                <w:rFonts w:ascii="Times New Roman" w:hAnsi="Times New Roman"/>
                <w:spacing w:val="1"/>
              </w:rPr>
              <w:t>s</w:t>
            </w:r>
            <w:r w:rsidRPr="00420C1B">
              <w:rPr>
                <w:rFonts w:ascii="Times New Roman" w:hAnsi="Times New Roman"/>
                <w:spacing w:val="-2"/>
              </w:rPr>
              <w:t>c</w:t>
            </w:r>
            <w:r w:rsidRPr="00420C1B">
              <w:rPr>
                <w:rFonts w:ascii="Times New Roman" w:hAnsi="Times New Roman"/>
                <w:spacing w:val="1"/>
              </w:rPr>
              <w:t>i</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rPr>
              <w:t xml:space="preserve">s </w:t>
            </w:r>
            <w:r w:rsidRPr="00420C1B">
              <w:rPr>
                <w:rFonts w:ascii="Times New Roman" w:hAnsi="Times New Roman"/>
                <w:spacing w:val="-2"/>
              </w:rPr>
              <w:t>d</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e</w:t>
            </w:r>
            <w:r w:rsidRPr="00420C1B">
              <w:rPr>
                <w:rFonts w:ascii="Times New Roman" w:hAnsi="Times New Roman"/>
                <w:spacing w:val="1"/>
              </w:rPr>
              <w:t>ur</w:t>
            </w:r>
            <w:r w:rsidRPr="00420C1B">
              <w:rPr>
                <w:rFonts w:ascii="Times New Roman" w:hAnsi="Times New Roman"/>
              </w:rPr>
              <w:t xml:space="preserve">s </w:t>
            </w:r>
            <w:r w:rsidRPr="00420C1B">
              <w:rPr>
                <w:rFonts w:ascii="Times New Roman" w:hAnsi="Times New Roman"/>
                <w:spacing w:val="-2"/>
              </w:rPr>
              <w:t>re</w:t>
            </w:r>
            <w:r w:rsidRPr="00420C1B">
              <w:rPr>
                <w:rFonts w:ascii="Times New Roman" w:hAnsi="Times New Roman"/>
                <w:spacing w:val="1"/>
              </w:rPr>
              <w:t>s</w:t>
            </w:r>
            <w:r w:rsidRPr="00420C1B">
              <w:rPr>
                <w:rFonts w:ascii="Times New Roman" w:hAnsi="Times New Roman"/>
                <w:spacing w:val="-2"/>
              </w:rPr>
              <w:t>po</w:t>
            </w:r>
            <w:r w:rsidRPr="00420C1B">
              <w:rPr>
                <w:rFonts w:ascii="Times New Roman" w:hAnsi="Times New Roman"/>
              </w:rPr>
              <w:t>n</w:t>
            </w:r>
            <w:r w:rsidRPr="00420C1B">
              <w:rPr>
                <w:rFonts w:ascii="Times New Roman" w:hAnsi="Times New Roman"/>
                <w:spacing w:val="1"/>
              </w:rPr>
              <w:t>s</w:t>
            </w:r>
            <w:r w:rsidRPr="00420C1B">
              <w:rPr>
                <w:rFonts w:ascii="Times New Roman" w:hAnsi="Times New Roman"/>
              </w:rPr>
              <w:t>ab</w:t>
            </w:r>
            <w:r w:rsidRPr="00420C1B">
              <w:rPr>
                <w:rFonts w:ascii="Times New Roman" w:hAnsi="Times New Roman"/>
                <w:spacing w:val="-1"/>
              </w:rPr>
              <w:t>il</w:t>
            </w:r>
            <w:r w:rsidRPr="00420C1B">
              <w:rPr>
                <w:rFonts w:ascii="Times New Roman" w:hAnsi="Times New Roman"/>
                <w:spacing w:val="1"/>
              </w:rPr>
              <w:t>it</w:t>
            </w:r>
            <w:r w:rsidRPr="00420C1B">
              <w:rPr>
                <w:rFonts w:ascii="Times New Roman" w:hAnsi="Times New Roman"/>
                <w:spacing w:val="-2"/>
              </w:rPr>
              <w:t>é</w:t>
            </w:r>
            <w:r w:rsidRPr="00420C1B">
              <w:rPr>
                <w:rFonts w:ascii="Times New Roman" w:hAnsi="Times New Roman"/>
              </w:rPr>
              <w:t xml:space="preserve">s en </w:t>
            </w:r>
            <w:r w:rsidRPr="00420C1B">
              <w:rPr>
                <w:rFonts w:ascii="Times New Roman" w:hAnsi="Times New Roman"/>
                <w:spacing w:val="-9"/>
              </w:rPr>
              <w:t>m</w:t>
            </w:r>
            <w:r w:rsidRPr="00420C1B">
              <w:rPr>
                <w:rFonts w:ascii="Times New Roman" w:hAnsi="Times New Roman"/>
              </w:rPr>
              <w:t>a</w:t>
            </w:r>
            <w:r w:rsidRPr="00420C1B">
              <w:rPr>
                <w:rFonts w:ascii="Times New Roman" w:hAnsi="Times New Roman"/>
                <w:spacing w:val="1"/>
              </w:rPr>
              <w:t>ti</w:t>
            </w:r>
            <w:r w:rsidRPr="00420C1B">
              <w:rPr>
                <w:rFonts w:ascii="Times New Roman" w:hAnsi="Times New Roman"/>
              </w:rPr>
              <w:t>è</w:t>
            </w:r>
            <w:r w:rsidRPr="00420C1B">
              <w:rPr>
                <w:rFonts w:ascii="Times New Roman" w:hAnsi="Times New Roman"/>
                <w:spacing w:val="3"/>
              </w:rPr>
              <w:t>r</w:t>
            </w:r>
            <w:r w:rsidRPr="00420C1B">
              <w:rPr>
                <w:rFonts w:ascii="Times New Roman" w:hAnsi="Times New Roman"/>
              </w:rPr>
              <w:t xml:space="preserve">e </w:t>
            </w:r>
            <w:r w:rsidRPr="00420C1B">
              <w:rPr>
                <w:rFonts w:ascii="Times New Roman" w:hAnsi="Times New Roman"/>
                <w:spacing w:val="-2"/>
              </w:rPr>
              <w:t>d</w:t>
            </w:r>
            <w:r w:rsidRPr="00420C1B">
              <w:rPr>
                <w:rFonts w:ascii="Times New Roman" w:hAnsi="Times New Roman"/>
              </w:rPr>
              <w:t>e</w:t>
            </w:r>
            <w:r w:rsidRPr="00420C1B">
              <w:rPr>
                <w:rFonts w:ascii="Times New Roman" w:hAnsi="Times New Roman"/>
                <w:spacing w:val="1"/>
              </w:rPr>
              <w:t xml:space="preserve"> s</w:t>
            </w:r>
            <w:r w:rsidRPr="00420C1B">
              <w:rPr>
                <w:rFonts w:ascii="Times New Roman" w:hAnsi="Times New Roman"/>
                <w:spacing w:val="-2"/>
              </w:rPr>
              <w:t>a</w:t>
            </w:r>
            <w:r w:rsidRPr="00420C1B">
              <w:rPr>
                <w:rFonts w:ascii="Times New Roman" w:hAnsi="Times New Roman"/>
              </w:rPr>
              <w:t>n</w:t>
            </w:r>
            <w:r w:rsidRPr="00420C1B">
              <w:rPr>
                <w:rFonts w:ascii="Times New Roman" w:hAnsi="Times New Roman"/>
                <w:spacing w:val="1"/>
              </w:rPr>
              <w:t>t</w:t>
            </w:r>
            <w:r w:rsidRPr="00420C1B">
              <w:rPr>
                <w:rFonts w:ascii="Times New Roman" w:hAnsi="Times New Roman"/>
                <w:spacing w:val="-2"/>
              </w:rPr>
              <w:t>é</w:t>
            </w:r>
            <w:r w:rsidRPr="00420C1B">
              <w:rPr>
                <w:rFonts w:ascii="Times New Roman" w:hAnsi="Times New Roman"/>
              </w:rPr>
              <w:t>, d</w:t>
            </w:r>
            <w:r w:rsidRPr="00420C1B">
              <w:rPr>
                <w:rFonts w:ascii="Times New Roman" w:hAnsi="Times New Roman"/>
                <w:spacing w:val="-9"/>
              </w:rPr>
              <w:t>'</w:t>
            </w:r>
            <w:r w:rsidRPr="00420C1B">
              <w:rPr>
                <w:rFonts w:ascii="Times New Roman" w:hAnsi="Times New Roman"/>
              </w:rPr>
              <w:t>h</w:t>
            </w:r>
            <w:r w:rsidRPr="00420C1B">
              <w:rPr>
                <w:rFonts w:ascii="Times New Roman" w:hAnsi="Times New Roman"/>
                <w:spacing w:val="1"/>
              </w:rPr>
              <w:t>y</w:t>
            </w:r>
            <w:r w:rsidRPr="00420C1B">
              <w:rPr>
                <w:rFonts w:ascii="Times New Roman" w:hAnsi="Times New Roman"/>
                <w:spacing w:val="-5"/>
              </w:rPr>
              <w:t>g</w:t>
            </w:r>
            <w:r w:rsidRPr="00420C1B">
              <w:rPr>
                <w:rFonts w:ascii="Times New Roman" w:hAnsi="Times New Roman"/>
                <w:spacing w:val="1"/>
              </w:rPr>
              <w:t>i</w:t>
            </w:r>
            <w:r w:rsidRPr="00420C1B">
              <w:rPr>
                <w:rFonts w:ascii="Times New Roman" w:hAnsi="Times New Roman"/>
              </w:rPr>
              <w:t xml:space="preserve">ène et de </w:t>
            </w:r>
            <w:r w:rsidRPr="00420C1B">
              <w:rPr>
                <w:rFonts w:ascii="Times New Roman" w:hAnsi="Times New Roman"/>
                <w:spacing w:val="1"/>
              </w:rPr>
              <w:t>s</w:t>
            </w:r>
            <w:r w:rsidRPr="00420C1B">
              <w:rPr>
                <w:rFonts w:ascii="Times New Roman" w:hAnsi="Times New Roman"/>
              </w:rPr>
              <w:t>éc</w:t>
            </w:r>
            <w:r w:rsidRPr="00420C1B">
              <w:rPr>
                <w:rFonts w:ascii="Times New Roman" w:hAnsi="Times New Roman"/>
                <w:spacing w:val="-2"/>
              </w:rPr>
              <w:t>ur</w:t>
            </w:r>
            <w:r w:rsidRPr="00420C1B">
              <w:rPr>
                <w:rFonts w:ascii="Times New Roman" w:hAnsi="Times New Roman"/>
                <w:spacing w:val="1"/>
              </w:rPr>
              <w:t>it</w:t>
            </w:r>
            <w:r w:rsidRPr="00420C1B">
              <w:rPr>
                <w:rFonts w:ascii="Times New Roman" w:hAnsi="Times New Roman"/>
              </w:rPr>
              <w:t xml:space="preserve">é </w:t>
            </w:r>
            <w:r w:rsidRPr="00420C1B">
              <w:rPr>
                <w:rFonts w:ascii="Times New Roman" w:hAnsi="Times New Roman"/>
                <w:spacing w:val="-4"/>
              </w:rPr>
              <w:t>e</w:t>
            </w:r>
            <w:r w:rsidRPr="00420C1B">
              <w:rPr>
                <w:rFonts w:ascii="Times New Roman" w:hAnsi="Times New Roman"/>
              </w:rPr>
              <w:t>t ne p</w:t>
            </w:r>
            <w:r w:rsidRPr="00420C1B">
              <w:rPr>
                <w:rFonts w:ascii="Times New Roman" w:hAnsi="Times New Roman"/>
                <w:spacing w:val="1"/>
              </w:rPr>
              <w:t>r</w:t>
            </w:r>
            <w:r w:rsidRPr="00420C1B">
              <w:rPr>
                <w:rFonts w:ascii="Times New Roman" w:hAnsi="Times New Roman"/>
                <w:spacing w:val="-2"/>
              </w:rPr>
              <w:t>e</w:t>
            </w:r>
            <w:r w:rsidRPr="00420C1B">
              <w:rPr>
                <w:rFonts w:ascii="Times New Roman" w:hAnsi="Times New Roman"/>
              </w:rPr>
              <w:t>n</w:t>
            </w:r>
            <w:r w:rsidRPr="00420C1B">
              <w:rPr>
                <w:rFonts w:ascii="Times New Roman" w:hAnsi="Times New Roman"/>
                <w:spacing w:val="-2"/>
              </w:rPr>
              <w:t>n</w:t>
            </w:r>
            <w:r w:rsidRPr="00420C1B">
              <w:rPr>
                <w:rFonts w:ascii="Times New Roman" w:hAnsi="Times New Roman"/>
                <w:spacing w:val="1"/>
              </w:rPr>
              <w:t>e</w:t>
            </w:r>
            <w:r w:rsidRPr="00420C1B">
              <w:rPr>
                <w:rFonts w:ascii="Times New Roman" w:hAnsi="Times New Roman"/>
                <w:spacing w:val="-2"/>
              </w:rPr>
              <w:t>n</w:t>
            </w:r>
            <w:r w:rsidRPr="00420C1B">
              <w:rPr>
                <w:rFonts w:ascii="Times New Roman" w:hAnsi="Times New Roman"/>
              </w:rPr>
              <w:t>t a</w:t>
            </w:r>
            <w:r w:rsidRPr="00420C1B">
              <w:rPr>
                <w:rFonts w:ascii="Times New Roman" w:hAnsi="Times New Roman"/>
                <w:spacing w:val="-5"/>
              </w:rPr>
              <w:t>u</w:t>
            </w:r>
            <w:r w:rsidRPr="00420C1B">
              <w:rPr>
                <w:rFonts w:ascii="Times New Roman" w:hAnsi="Times New Roman"/>
              </w:rPr>
              <w:t>c</w:t>
            </w:r>
            <w:r w:rsidRPr="00420C1B">
              <w:rPr>
                <w:rFonts w:ascii="Times New Roman" w:hAnsi="Times New Roman"/>
                <w:spacing w:val="-5"/>
              </w:rPr>
              <w:t>u</w:t>
            </w:r>
            <w:r w:rsidRPr="00420C1B">
              <w:rPr>
                <w:rFonts w:ascii="Times New Roman" w:hAnsi="Times New Roman"/>
              </w:rPr>
              <w:t xml:space="preserve">n </w:t>
            </w:r>
            <w:r w:rsidRPr="00420C1B">
              <w:rPr>
                <w:rFonts w:ascii="Times New Roman" w:hAnsi="Times New Roman"/>
                <w:spacing w:val="1"/>
              </w:rPr>
              <w:t>r</w:t>
            </w:r>
            <w:r w:rsidRPr="00420C1B">
              <w:rPr>
                <w:rFonts w:ascii="Times New Roman" w:hAnsi="Times New Roman"/>
                <w:spacing w:val="-1"/>
              </w:rPr>
              <w:t>i</w:t>
            </w:r>
            <w:r w:rsidRPr="00420C1B">
              <w:rPr>
                <w:rFonts w:ascii="Times New Roman" w:hAnsi="Times New Roman"/>
              </w:rPr>
              <w:t xml:space="preserve">sque </w:t>
            </w:r>
            <w:r w:rsidRPr="00420C1B">
              <w:rPr>
                <w:rFonts w:ascii="Times New Roman" w:hAnsi="Times New Roman"/>
                <w:spacing w:val="1"/>
              </w:rPr>
              <w:t>i</w:t>
            </w:r>
            <w:r w:rsidRPr="00420C1B">
              <w:rPr>
                <w:rFonts w:ascii="Times New Roman" w:hAnsi="Times New Roman"/>
              </w:rPr>
              <w:t>nu</w:t>
            </w:r>
            <w:r w:rsidRPr="00420C1B">
              <w:rPr>
                <w:rFonts w:ascii="Times New Roman" w:hAnsi="Times New Roman"/>
                <w:spacing w:val="1"/>
              </w:rPr>
              <w:t>t</w:t>
            </w:r>
            <w:r w:rsidRPr="00420C1B">
              <w:rPr>
                <w:rFonts w:ascii="Times New Roman" w:hAnsi="Times New Roman"/>
                <w:spacing w:val="-1"/>
              </w:rPr>
              <w:t>il</w:t>
            </w:r>
            <w:r w:rsidRPr="00420C1B">
              <w:rPr>
                <w:rFonts w:ascii="Times New Roman" w:hAnsi="Times New Roman"/>
              </w:rPr>
              <w:t>e.</w:t>
            </w:r>
          </w:p>
        </w:tc>
      </w:tr>
      <w:tr w:rsidR="00D75D2E" w:rsidRPr="00420C1B" w14:paraId="08F009A0" w14:textId="77777777" w:rsidTr="00215867">
        <w:trPr>
          <w:trHeight w:val="4492"/>
          <w:jc w:val="center"/>
        </w:trPr>
        <w:tc>
          <w:tcPr>
            <w:tcW w:w="627" w:type="dxa"/>
            <w:vMerge/>
            <w:tcBorders>
              <w:top w:val="single" w:sz="4" w:space="0" w:color="000000"/>
              <w:left w:val="single" w:sz="4" w:space="0" w:color="000000"/>
              <w:bottom w:val="single" w:sz="4" w:space="0" w:color="000000"/>
              <w:right w:val="single" w:sz="4" w:space="0" w:color="000000"/>
            </w:tcBorders>
            <w:vAlign w:val="center"/>
            <w:hideMark/>
          </w:tcPr>
          <w:p w14:paraId="121AEC86" w14:textId="77777777" w:rsidR="000705BE" w:rsidRPr="00420C1B" w:rsidRDefault="000705BE">
            <w:pPr>
              <w:spacing w:after="0"/>
              <w:rPr>
                <w:rFonts w:ascii="Times New Roman" w:hAnsi="Times New Roman"/>
              </w:rPr>
            </w:pPr>
          </w:p>
        </w:tc>
        <w:tc>
          <w:tcPr>
            <w:tcW w:w="2208" w:type="dxa"/>
            <w:vMerge/>
            <w:tcBorders>
              <w:top w:val="single" w:sz="4" w:space="0" w:color="000000"/>
              <w:left w:val="single" w:sz="4" w:space="0" w:color="000000"/>
              <w:bottom w:val="single" w:sz="4" w:space="0" w:color="000000"/>
              <w:right w:val="single" w:sz="4" w:space="0" w:color="000000"/>
            </w:tcBorders>
            <w:vAlign w:val="center"/>
            <w:hideMark/>
          </w:tcPr>
          <w:p w14:paraId="2DF081D6" w14:textId="77777777" w:rsidR="000705BE" w:rsidRPr="00420C1B" w:rsidRDefault="000705BE">
            <w:pPr>
              <w:spacing w:after="0"/>
              <w:rPr>
                <w:rFonts w:ascii="Times New Roman" w:hAnsi="Times New Roman"/>
              </w:rPr>
            </w:pPr>
          </w:p>
        </w:tc>
        <w:tc>
          <w:tcPr>
            <w:tcW w:w="6238" w:type="dxa"/>
            <w:tcBorders>
              <w:top w:val="single" w:sz="4" w:space="0" w:color="000000"/>
              <w:left w:val="single" w:sz="4" w:space="0" w:color="000000"/>
              <w:bottom w:val="single" w:sz="4" w:space="0" w:color="000000"/>
              <w:right w:val="single" w:sz="4" w:space="0" w:color="000000"/>
            </w:tcBorders>
            <w:hideMark/>
          </w:tcPr>
          <w:p w14:paraId="7EB1A835"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 xml:space="preserve">l </w:t>
            </w:r>
            <w:r w:rsidRPr="00420C1B">
              <w:rPr>
                <w:rFonts w:ascii="Times New Roman" w:hAnsi="Times New Roman"/>
                <w:spacing w:val="1"/>
              </w:rPr>
              <w:t>o</w:t>
            </w:r>
            <w:r w:rsidRPr="00420C1B">
              <w:rPr>
                <w:rFonts w:ascii="Times New Roman" w:hAnsi="Times New Roman"/>
                <w:spacing w:val="-5"/>
              </w:rPr>
              <w:t>r</w:t>
            </w:r>
            <w:r w:rsidRPr="00420C1B">
              <w:rPr>
                <w:rFonts w:ascii="Times New Roman" w:hAnsi="Times New Roman"/>
              </w:rPr>
              <w:t>ga</w:t>
            </w:r>
            <w:r w:rsidRPr="00420C1B">
              <w:rPr>
                <w:rFonts w:ascii="Times New Roman" w:hAnsi="Times New Roman"/>
                <w:spacing w:val="1"/>
              </w:rPr>
              <w:t>ni</w:t>
            </w:r>
            <w:r w:rsidRPr="00420C1B">
              <w:rPr>
                <w:rFonts w:ascii="Times New Roman" w:hAnsi="Times New Roman"/>
              </w:rPr>
              <w:t>se</w:t>
            </w:r>
            <w:r w:rsidRPr="00420C1B">
              <w:rPr>
                <w:rFonts w:ascii="Times New Roman" w:hAnsi="Times New Roman"/>
                <w:spacing w:val="1"/>
              </w:rPr>
              <w:t xml:space="preserve"> l</w:t>
            </w:r>
            <w:r w:rsidRPr="00420C1B">
              <w:rPr>
                <w:rFonts w:ascii="Times New Roman" w:hAnsi="Times New Roman"/>
              </w:rPr>
              <w:t>e ch</w:t>
            </w:r>
            <w:r w:rsidRPr="00420C1B">
              <w:rPr>
                <w:rFonts w:ascii="Times New Roman" w:hAnsi="Times New Roman"/>
                <w:spacing w:val="1"/>
              </w:rPr>
              <w:t>a</w:t>
            </w:r>
            <w:r w:rsidRPr="00420C1B">
              <w:rPr>
                <w:rFonts w:ascii="Times New Roman" w:hAnsi="Times New Roman"/>
                <w:spacing w:val="-5"/>
              </w:rPr>
              <w:t>n</w:t>
            </w:r>
            <w:r w:rsidRPr="00420C1B">
              <w:rPr>
                <w:rFonts w:ascii="Times New Roman" w:hAnsi="Times New Roman"/>
                <w:spacing w:val="1"/>
              </w:rPr>
              <w:t>t</w:t>
            </w:r>
            <w:r w:rsidRPr="00420C1B">
              <w:rPr>
                <w:rFonts w:ascii="Times New Roman" w:hAnsi="Times New Roman"/>
                <w:spacing w:val="2"/>
              </w:rPr>
              <w:t>i</w:t>
            </w:r>
            <w:r w:rsidRPr="00420C1B">
              <w:rPr>
                <w:rFonts w:ascii="Times New Roman" w:hAnsi="Times New Roman"/>
                <w:spacing w:val="-2"/>
              </w:rPr>
              <w:t>e</w:t>
            </w:r>
            <w:r w:rsidRPr="00420C1B">
              <w:rPr>
                <w:rFonts w:ascii="Times New Roman" w:hAnsi="Times New Roman"/>
              </w:rPr>
              <w:t xml:space="preserve">r de </w:t>
            </w:r>
            <w:r w:rsidRPr="00420C1B">
              <w:rPr>
                <w:rFonts w:ascii="Times New Roman" w:hAnsi="Times New Roman"/>
                <w:spacing w:val="-6"/>
              </w:rPr>
              <w:t>m</w:t>
            </w:r>
            <w:r w:rsidRPr="00420C1B">
              <w:rPr>
                <w:rFonts w:ascii="Times New Roman" w:hAnsi="Times New Roman"/>
              </w:rPr>
              <w:t>an</w:t>
            </w:r>
            <w:r w:rsidRPr="00420C1B">
              <w:rPr>
                <w:rFonts w:ascii="Times New Roman" w:hAnsi="Times New Roman"/>
                <w:spacing w:val="1"/>
              </w:rPr>
              <w:t>i</w:t>
            </w:r>
            <w:r w:rsidRPr="00420C1B">
              <w:rPr>
                <w:rFonts w:ascii="Times New Roman" w:hAnsi="Times New Roman"/>
                <w:spacing w:val="-2"/>
              </w:rPr>
              <w:t>è</w:t>
            </w:r>
            <w:r w:rsidRPr="00420C1B">
              <w:rPr>
                <w:rFonts w:ascii="Times New Roman" w:hAnsi="Times New Roman"/>
                <w:spacing w:val="3"/>
              </w:rPr>
              <w:t>r</w:t>
            </w:r>
            <w:r w:rsidRPr="00420C1B">
              <w:rPr>
                <w:rFonts w:ascii="Times New Roman" w:hAnsi="Times New Roman"/>
              </w:rPr>
              <w:t xml:space="preserve">e à </w:t>
            </w:r>
            <w:r w:rsidRPr="00420C1B">
              <w:rPr>
                <w:rFonts w:ascii="Times New Roman" w:hAnsi="Times New Roman"/>
                <w:spacing w:val="-2"/>
              </w:rPr>
              <w:t>c</w:t>
            </w:r>
            <w:r w:rsidRPr="00420C1B">
              <w:rPr>
                <w:rFonts w:ascii="Times New Roman" w:hAnsi="Times New Roman"/>
              </w:rPr>
              <w:t>e que</w:t>
            </w:r>
            <w:r w:rsidRPr="00420C1B">
              <w:rPr>
                <w:rFonts w:ascii="Times New Roman" w:hAnsi="Times New Roman"/>
                <w:spacing w:val="1"/>
              </w:rPr>
              <w:t xml:space="preserve"> t</w:t>
            </w:r>
            <w:r w:rsidRPr="00420C1B">
              <w:rPr>
                <w:rFonts w:ascii="Times New Roman" w:hAnsi="Times New Roman"/>
                <w:spacing w:val="-2"/>
              </w:rPr>
              <w:t>o</w:t>
            </w:r>
            <w:r w:rsidRPr="00420C1B">
              <w:rPr>
                <w:rFonts w:ascii="Times New Roman" w:hAnsi="Times New Roman"/>
              </w:rPr>
              <w:t xml:space="preserve">us </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1"/>
              </w:rPr>
              <w:t>t</w:t>
            </w:r>
            <w:r w:rsidRPr="00420C1B">
              <w:rPr>
                <w:rFonts w:ascii="Times New Roman" w:hAnsi="Times New Roman"/>
                <w:spacing w:val="-4"/>
              </w:rPr>
              <w:t>r</w:t>
            </w:r>
            <w:r w:rsidRPr="00420C1B">
              <w:rPr>
                <w:rFonts w:ascii="Times New Roman" w:hAnsi="Times New Roman"/>
              </w:rPr>
              <w:t>a</w:t>
            </w:r>
            <w:r w:rsidRPr="00420C1B">
              <w:rPr>
                <w:rFonts w:ascii="Times New Roman" w:hAnsi="Times New Roman"/>
                <w:spacing w:val="-5"/>
              </w:rPr>
              <w:t>v</w:t>
            </w:r>
            <w:r w:rsidRPr="00420C1B">
              <w:rPr>
                <w:rFonts w:ascii="Times New Roman" w:hAnsi="Times New Roman"/>
              </w:rPr>
              <w:t>aux à e</w:t>
            </w:r>
            <w:r w:rsidRPr="00420C1B">
              <w:rPr>
                <w:rFonts w:ascii="Times New Roman" w:hAnsi="Times New Roman"/>
                <w:spacing w:val="-2"/>
              </w:rPr>
              <w:t>x</w:t>
            </w:r>
            <w:r w:rsidRPr="00420C1B">
              <w:rPr>
                <w:rFonts w:ascii="Times New Roman" w:hAnsi="Times New Roman"/>
              </w:rPr>
              <w:t>é</w:t>
            </w:r>
            <w:r w:rsidRPr="00420C1B">
              <w:rPr>
                <w:rFonts w:ascii="Times New Roman" w:hAnsi="Times New Roman"/>
                <w:spacing w:val="-4"/>
              </w:rPr>
              <w:t>c</w:t>
            </w:r>
            <w:r w:rsidRPr="00420C1B">
              <w:rPr>
                <w:rFonts w:ascii="Times New Roman" w:hAnsi="Times New Roman"/>
              </w:rPr>
              <w:t>u</w:t>
            </w:r>
            <w:r w:rsidRPr="00420C1B">
              <w:rPr>
                <w:rFonts w:ascii="Times New Roman" w:hAnsi="Times New Roman"/>
                <w:spacing w:val="1"/>
              </w:rPr>
              <w:t>t</w:t>
            </w:r>
            <w:r w:rsidRPr="00420C1B">
              <w:rPr>
                <w:rFonts w:ascii="Times New Roman" w:hAnsi="Times New Roman"/>
              </w:rPr>
              <w:t>er p</w:t>
            </w:r>
            <w:r w:rsidRPr="00420C1B">
              <w:rPr>
                <w:rFonts w:ascii="Times New Roman" w:hAnsi="Times New Roman"/>
                <w:spacing w:val="1"/>
              </w:rPr>
              <w:t>r</w:t>
            </w:r>
            <w:r w:rsidRPr="00420C1B">
              <w:rPr>
                <w:rFonts w:ascii="Times New Roman" w:hAnsi="Times New Roman"/>
              </w:rPr>
              <w:t>é</w:t>
            </w:r>
            <w:r w:rsidRPr="00420C1B">
              <w:rPr>
                <w:rFonts w:ascii="Times New Roman" w:hAnsi="Times New Roman"/>
                <w:spacing w:val="-2"/>
              </w:rPr>
              <w:t>s</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spacing w:val="-2"/>
              </w:rPr>
              <w:t>e</w:t>
            </w:r>
            <w:r w:rsidRPr="00420C1B">
              <w:rPr>
                <w:rFonts w:ascii="Times New Roman" w:hAnsi="Times New Roman"/>
              </w:rPr>
              <w:t xml:space="preserve">nt </w:t>
            </w:r>
            <w:r w:rsidRPr="00420C1B">
              <w:rPr>
                <w:rFonts w:ascii="Times New Roman" w:hAnsi="Times New Roman"/>
                <w:spacing w:val="1"/>
              </w:rPr>
              <w:t>l</w:t>
            </w:r>
            <w:r w:rsidRPr="00420C1B">
              <w:rPr>
                <w:rFonts w:ascii="Times New Roman" w:hAnsi="Times New Roman"/>
              </w:rPr>
              <w:t xml:space="preserve">e </w:t>
            </w:r>
            <w:r w:rsidRPr="00420C1B">
              <w:rPr>
                <w:rFonts w:ascii="Times New Roman" w:hAnsi="Times New Roman"/>
                <w:spacing w:val="-6"/>
              </w:rPr>
              <w:t>m</w:t>
            </w:r>
            <w:r w:rsidRPr="00420C1B">
              <w:rPr>
                <w:rFonts w:ascii="Times New Roman" w:hAnsi="Times New Roman"/>
                <w:spacing w:val="1"/>
              </w:rPr>
              <w:t>i</w:t>
            </w:r>
            <w:r w:rsidRPr="00420C1B">
              <w:rPr>
                <w:rFonts w:ascii="Times New Roman" w:hAnsi="Times New Roman"/>
              </w:rPr>
              <w:t>n</w:t>
            </w:r>
            <w:r w:rsidRPr="00420C1B">
              <w:rPr>
                <w:rFonts w:ascii="Times New Roman" w:hAnsi="Times New Roman"/>
                <w:spacing w:val="1"/>
              </w:rPr>
              <w:t>i</w:t>
            </w:r>
            <w:r w:rsidRPr="00420C1B">
              <w:rPr>
                <w:rFonts w:ascii="Times New Roman" w:hAnsi="Times New Roman"/>
                <w:spacing w:val="-8"/>
              </w:rPr>
              <w:t>m</w:t>
            </w:r>
            <w:r w:rsidRPr="00420C1B">
              <w:rPr>
                <w:rFonts w:ascii="Times New Roman" w:hAnsi="Times New Roman"/>
                <w:spacing w:val="2"/>
              </w:rPr>
              <w:t>u</w:t>
            </w:r>
            <w:r w:rsidRPr="00420C1B">
              <w:rPr>
                <w:rFonts w:ascii="Times New Roman" w:hAnsi="Times New Roman"/>
              </w:rPr>
              <w:t>m de</w:t>
            </w:r>
            <w:r w:rsidRPr="00420C1B">
              <w:rPr>
                <w:rFonts w:ascii="Times New Roman" w:hAnsi="Times New Roman"/>
                <w:spacing w:val="1"/>
              </w:rPr>
              <w:t xml:space="preserve"> ri</w:t>
            </w:r>
            <w:r w:rsidRPr="00420C1B">
              <w:rPr>
                <w:rFonts w:ascii="Times New Roman" w:hAnsi="Times New Roman"/>
              </w:rPr>
              <w:t>sq</w:t>
            </w:r>
            <w:r w:rsidRPr="00420C1B">
              <w:rPr>
                <w:rFonts w:ascii="Times New Roman" w:hAnsi="Times New Roman"/>
                <w:spacing w:val="1"/>
              </w:rPr>
              <w:t>u</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2"/>
              </w:rPr>
              <w:t>p</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rPr>
              <w:t xml:space="preserve">r </w:t>
            </w:r>
            <w:r w:rsidRPr="00420C1B">
              <w:rPr>
                <w:rFonts w:ascii="Times New Roman" w:hAnsi="Times New Roman"/>
                <w:spacing w:val="1"/>
              </w:rPr>
              <w:t>l</w:t>
            </w:r>
            <w:r w:rsidRPr="00420C1B">
              <w:rPr>
                <w:rFonts w:ascii="Times New Roman" w:hAnsi="Times New Roman"/>
              </w:rPr>
              <w:t>es e</w:t>
            </w:r>
            <w:r w:rsidRPr="00420C1B">
              <w:rPr>
                <w:rFonts w:ascii="Times New Roman" w:hAnsi="Times New Roman"/>
                <w:spacing w:val="-6"/>
              </w:rPr>
              <w:t>m</w:t>
            </w:r>
            <w:r w:rsidRPr="00420C1B">
              <w:rPr>
                <w:rFonts w:ascii="Times New Roman" w:hAnsi="Times New Roman"/>
              </w:rPr>
              <w:t>p</w:t>
            </w:r>
            <w:r w:rsidRPr="00420C1B">
              <w:rPr>
                <w:rFonts w:ascii="Times New Roman" w:hAnsi="Times New Roman"/>
                <w:spacing w:val="1"/>
              </w:rPr>
              <w:t>l</w:t>
            </w:r>
            <w:r w:rsidRPr="00420C1B">
              <w:rPr>
                <w:rFonts w:ascii="Times New Roman" w:hAnsi="Times New Roman"/>
              </w:rPr>
              <w:t>o</w:t>
            </w:r>
            <w:r w:rsidRPr="00420C1B">
              <w:rPr>
                <w:rFonts w:ascii="Times New Roman" w:hAnsi="Times New Roman"/>
                <w:spacing w:val="-5"/>
              </w:rPr>
              <w:t>y</w:t>
            </w:r>
            <w:r w:rsidRPr="00420C1B">
              <w:rPr>
                <w:rFonts w:ascii="Times New Roman" w:hAnsi="Times New Roman"/>
              </w:rPr>
              <w:t>é</w:t>
            </w:r>
            <w:r w:rsidRPr="00420C1B">
              <w:rPr>
                <w:rFonts w:ascii="Times New Roman" w:hAnsi="Times New Roman"/>
                <w:spacing w:val="1"/>
              </w:rPr>
              <w:t>s</w:t>
            </w:r>
            <w:r w:rsidRPr="00420C1B">
              <w:rPr>
                <w:rFonts w:ascii="Times New Roman" w:hAnsi="Times New Roman"/>
              </w:rPr>
              <w:t xml:space="preserve">, </w:t>
            </w:r>
            <w:r w:rsidRPr="00420C1B">
              <w:rPr>
                <w:rFonts w:ascii="Times New Roman" w:hAnsi="Times New Roman"/>
                <w:spacing w:val="1"/>
              </w:rPr>
              <w:t>l</w:t>
            </w:r>
            <w:r w:rsidRPr="00420C1B">
              <w:rPr>
                <w:rFonts w:ascii="Times New Roman" w:hAnsi="Times New Roman"/>
              </w:rPr>
              <w:t>es a</w:t>
            </w:r>
            <w:r w:rsidRPr="00420C1B">
              <w:rPr>
                <w:rFonts w:ascii="Times New Roman" w:hAnsi="Times New Roman"/>
                <w:spacing w:val="-2"/>
              </w:rPr>
              <w:t>u</w:t>
            </w:r>
            <w:r w:rsidRPr="00420C1B">
              <w:rPr>
                <w:rFonts w:ascii="Times New Roman" w:hAnsi="Times New Roman"/>
                <w:spacing w:val="1"/>
              </w:rPr>
              <w:t>tr</w:t>
            </w:r>
            <w:r w:rsidRPr="00420C1B">
              <w:rPr>
                <w:rFonts w:ascii="Times New Roman" w:hAnsi="Times New Roman"/>
                <w:spacing w:val="-2"/>
              </w:rPr>
              <w:t>e</w:t>
            </w:r>
            <w:r w:rsidRPr="00420C1B">
              <w:rPr>
                <w:rFonts w:ascii="Times New Roman" w:hAnsi="Times New Roman"/>
              </w:rPr>
              <w:t>s</w:t>
            </w:r>
            <w:r w:rsidRPr="00420C1B">
              <w:rPr>
                <w:rFonts w:ascii="Times New Roman" w:hAnsi="Times New Roman"/>
                <w:spacing w:val="1"/>
              </w:rPr>
              <w:t xml:space="preserve"> i</w:t>
            </w:r>
            <w:r w:rsidRPr="00420C1B">
              <w:rPr>
                <w:rFonts w:ascii="Times New Roman" w:hAnsi="Times New Roman"/>
                <w:spacing w:val="-5"/>
              </w:rPr>
              <w:t>n</w:t>
            </w:r>
            <w:r w:rsidRPr="00420C1B">
              <w:rPr>
                <w:rFonts w:ascii="Times New Roman" w:hAnsi="Times New Roman"/>
                <w:spacing w:val="1"/>
              </w:rPr>
              <w:t>t</w:t>
            </w:r>
            <w:r w:rsidRPr="00420C1B">
              <w:rPr>
                <w:rFonts w:ascii="Times New Roman" w:hAnsi="Times New Roman"/>
                <w:spacing w:val="-2"/>
              </w:rPr>
              <w:t>e</w:t>
            </w:r>
            <w:r w:rsidRPr="00420C1B">
              <w:rPr>
                <w:rFonts w:ascii="Times New Roman" w:hAnsi="Times New Roman"/>
                <w:spacing w:val="1"/>
              </w:rPr>
              <w:t>r</w:t>
            </w:r>
            <w:r w:rsidRPr="00420C1B">
              <w:rPr>
                <w:rFonts w:ascii="Times New Roman" w:hAnsi="Times New Roman"/>
                <w:spacing w:val="-5"/>
              </w:rPr>
              <w:t>v</w:t>
            </w:r>
            <w:r w:rsidRPr="00420C1B">
              <w:rPr>
                <w:rFonts w:ascii="Times New Roman" w:hAnsi="Times New Roman"/>
              </w:rPr>
              <w:t>enan</w:t>
            </w:r>
            <w:r w:rsidRPr="00420C1B">
              <w:rPr>
                <w:rFonts w:ascii="Times New Roman" w:hAnsi="Times New Roman"/>
                <w:spacing w:val="1"/>
              </w:rPr>
              <w:t>t</w:t>
            </w:r>
            <w:r w:rsidRPr="00420C1B">
              <w:rPr>
                <w:rFonts w:ascii="Times New Roman" w:hAnsi="Times New Roman"/>
              </w:rPr>
              <w:t xml:space="preserve">s, </w:t>
            </w:r>
            <w:r w:rsidRPr="00420C1B">
              <w:rPr>
                <w:rFonts w:ascii="Times New Roman" w:hAnsi="Times New Roman"/>
                <w:spacing w:val="-1"/>
              </w:rPr>
              <w:t>l</w:t>
            </w:r>
            <w:r w:rsidRPr="00420C1B">
              <w:rPr>
                <w:rFonts w:ascii="Times New Roman" w:hAnsi="Times New Roman"/>
              </w:rPr>
              <w:t>e pub</w:t>
            </w:r>
            <w:r w:rsidRPr="00420C1B">
              <w:rPr>
                <w:rFonts w:ascii="Times New Roman" w:hAnsi="Times New Roman"/>
                <w:spacing w:val="-1"/>
              </w:rPr>
              <w:t>l</w:t>
            </w:r>
            <w:r w:rsidRPr="00420C1B">
              <w:rPr>
                <w:rFonts w:ascii="Times New Roman" w:hAnsi="Times New Roman"/>
                <w:spacing w:val="1"/>
              </w:rPr>
              <w:t>i</w:t>
            </w:r>
            <w:r w:rsidRPr="00420C1B">
              <w:rPr>
                <w:rFonts w:ascii="Times New Roman" w:hAnsi="Times New Roman"/>
              </w:rPr>
              <w:t xml:space="preserve">c, </w:t>
            </w:r>
            <w:r w:rsidRPr="00420C1B">
              <w:rPr>
                <w:rFonts w:ascii="Times New Roman" w:hAnsi="Times New Roman"/>
                <w:spacing w:val="1"/>
              </w:rPr>
              <w:t>l</w:t>
            </w:r>
            <w:r w:rsidRPr="00420C1B">
              <w:rPr>
                <w:rFonts w:ascii="Times New Roman" w:hAnsi="Times New Roman"/>
                <w:spacing w:val="-9"/>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rPr>
              <w:t xml:space="preserve">ent ou </w:t>
            </w:r>
            <w:r w:rsidRPr="00420C1B">
              <w:rPr>
                <w:rFonts w:ascii="Times New Roman" w:hAnsi="Times New Roman"/>
                <w:spacing w:val="-1"/>
              </w:rPr>
              <w:t>l</w:t>
            </w:r>
            <w:r w:rsidRPr="00420C1B">
              <w:rPr>
                <w:rFonts w:ascii="Times New Roman" w:hAnsi="Times New Roman"/>
              </w:rPr>
              <w:t xml:space="preserve">e </w:t>
            </w:r>
            <w:r w:rsidRPr="00420C1B">
              <w:rPr>
                <w:rFonts w:ascii="Times New Roman" w:hAnsi="Times New Roman"/>
                <w:spacing w:val="-6"/>
              </w:rPr>
              <w:t>m</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rPr>
              <w:t>é</w:t>
            </w:r>
            <w:r w:rsidRPr="00420C1B">
              <w:rPr>
                <w:rFonts w:ascii="Times New Roman" w:hAnsi="Times New Roman"/>
                <w:spacing w:val="1"/>
              </w:rPr>
              <w:t>ri</w:t>
            </w:r>
            <w:r w:rsidRPr="00420C1B">
              <w:rPr>
                <w:rFonts w:ascii="Times New Roman" w:hAnsi="Times New Roman"/>
                <w:spacing w:val="-2"/>
              </w:rPr>
              <w:t>e</w:t>
            </w:r>
            <w:r w:rsidRPr="00420C1B">
              <w:rPr>
                <w:rFonts w:ascii="Times New Roman" w:hAnsi="Times New Roman"/>
                <w:spacing w:val="1"/>
              </w:rPr>
              <w:t>l</w:t>
            </w:r>
            <w:r w:rsidRPr="00420C1B">
              <w:rPr>
                <w:rFonts w:ascii="Times New Roman" w:hAnsi="Times New Roman"/>
              </w:rPr>
              <w:t>.</w:t>
            </w:r>
          </w:p>
          <w:p w14:paraId="008F05AC"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 xml:space="preserve">l </w:t>
            </w:r>
            <w:r w:rsidRPr="00420C1B">
              <w:rPr>
                <w:rFonts w:ascii="Times New Roman" w:hAnsi="Times New Roman"/>
                <w:spacing w:val="-6"/>
              </w:rPr>
              <w:t>m</w:t>
            </w:r>
            <w:r w:rsidRPr="00420C1B">
              <w:rPr>
                <w:rFonts w:ascii="Times New Roman" w:hAnsi="Times New Roman"/>
              </w:rPr>
              <w:t>et en p</w:t>
            </w:r>
            <w:r w:rsidRPr="00420C1B">
              <w:rPr>
                <w:rFonts w:ascii="Times New Roman" w:hAnsi="Times New Roman"/>
                <w:spacing w:val="1"/>
              </w:rPr>
              <w:t>l</w:t>
            </w:r>
            <w:r w:rsidRPr="00420C1B">
              <w:rPr>
                <w:rFonts w:ascii="Times New Roman" w:hAnsi="Times New Roman"/>
                <w:spacing w:val="-2"/>
              </w:rPr>
              <w:t>a</w:t>
            </w:r>
            <w:r w:rsidRPr="00420C1B">
              <w:rPr>
                <w:rFonts w:ascii="Times New Roman" w:hAnsi="Times New Roman"/>
              </w:rPr>
              <w:t>ce u</w:t>
            </w:r>
            <w:r w:rsidRPr="00420C1B">
              <w:rPr>
                <w:rFonts w:ascii="Times New Roman" w:hAnsi="Times New Roman"/>
                <w:spacing w:val="-2"/>
              </w:rPr>
              <w:t>n</w:t>
            </w:r>
            <w:r w:rsidRPr="00420C1B">
              <w:rPr>
                <w:rFonts w:ascii="Times New Roman" w:hAnsi="Times New Roman"/>
              </w:rPr>
              <w:t xml:space="preserve">e </w:t>
            </w:r>
            <w:r w:rsidRPr="00420C1B">
              <w:rPr>
                <w:rFonts w:ascii="Times New Roman" w:hAnsi="Times New Roman"/>
                <w:spacing w:val="1"/>
              </w:rPr>
              <w:t>or</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2"/>
              </w:rPr>
              <w:t>n</w:t>
            </w:r>
            <w:r w:rsidRPr="00420C1B">
              <w:rPr>
                <w:rFonts w:ascii="Times New Roman" w:hAnsi="Times New Roman"/>
                <w:spacing w:val="1"/>
              </w:rPr>
              <w:t>i</w:t>
            </w:r>
            <w:r w:rsidRPr="00420C1B">
              <w:rPr>
                <w:rFonts w:ascii="Times New Roman" w:hAnsi="Times New Roman"/>
                <w:spacing w:val="-4"/>
              </w:rPr>
              <w:t>s</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spacing w:val="-1"/>
              </w:rPr>
              <w:t>i</w:t>
            </w:r>
            <w:r w:rsidRPr="00420C1B">
              <w:rPr>
                <w:rFonts w:ascii="Times New Roman" w:hAnsi="Times New Roman"/>
              </w:rPr>
              <w:t>on a</w:t>
            </w:r>
            <w:r w:rsidRPr="00420C1B">
              <w:rPr>
                <w:rFonts w:ascii="Times New Roman" w:hAnsi="Times New Roman"/>
                <w:spacing w:val="-5"/>
              </w:rPr>
              <w:t>v</w:t>
            </w:r>
            <w:r w:rsidRPr="00420C1B">
              <w:rPr>
                <w:rFonts w:ascii="Times New Roman" w:hAnsi="Times New Roman"/>
              </w:rPr>
              <w:t xml:space="preserve">ec </w:t>
            </w:r>
            <w:r w:rsidRPr="00420C1B">
              <w:rPr>
                <w:rFonts w:ascii="Times New Roman" w:hAnsi="Times New Roman"/>
                <w:spacing w:val="-1"/>
              </w:rPr>
              <w:t>l</w:t>
            </w:r>
            <w:r w:rsidRPr="00420C1B">
              <w:rPr>
                <w:rFonts w:ascii="Times New Roman" w:hAnsi="Times New Roman"/>
              </w:rPr>
              <w:t>es p</w:t>
            </w:r>
            <w:r w:rsidRPr="00420C1B">
              <w:rPr>
                <w:rFonts w:ascii="Times New Roman" w:hAnsi="Times New Roman"/>
                <w:spacing w:val="1"/>
              </w:rPr>
              <w:t>r</w:t>
            </w:r>
            <w:r w:rsidRPr="00420C1B">
              <w:rPr>
                <w:rFonts w:ascii="Times New Roman" w:hAnsi="Times New Roman"/>
              </w:rPr>
              <w:t>e</w:t>
            </w:r>
            <w:r w:rsidRPr="00420C1B">
              <w:rPr>
                <w:rFonts w:ascii="Times New Roman" w:hAnsi="Times New Roman"/>
                <w:spacing w:val="-2"/>
              </w:rPr>
              <w:t>s</w:t>
            </w:r>
            <w:r w:rsidRPr="00420C1B">
              <w:rPr>
                <w:rFonts w:ascii="Times New Roman" w:hAnsi="Times New Roman"/>
                <w:spacing w:val="1"/>
              </w:rPr>
              <w:t>t</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spacing w:val="-2"/>
              </w:rPr>
              <w:t>a</w:t>
            </w:r>
            <w:r w:rsidRPr="00420C1B">
              <w:rPr>
                <w:rFonts w:ascii="Times New Roman" w:hAnsi="Times New Roman"/>
                <w:spacing w:val="1"/>
              </w:rPr>
              <w:t>i</w:t>
            </w:r>
            <w:r w:rsidRPr="00420C1B">
              <w:rPr>
                <w:rFonts w:ascii="Times New Roman" w:hAnsi="Times New Roman"/>
                <w:spacing w:val="-2"/>
              </w:rPr>
              <w:t>re</w:t>
            </w:r>
            <w:r w:rsidRPr="00420C1B">
              <w:rPr>
                <w:rFonts w:ascii="Times New Roman" w:hAnsi="Times New Roman"/>
              </w:rPr>
              <w:t xml:space="preserve">s de </w:t>
            </w:r>
            <w:r w:rsidRPr="00420C1B">
              <w:rPr>
                <w:rFonts w:ascii="Times New Roman" w:hAnsi="Times New Roman"/>
                <w:spacing w:val="1"/>
              </w:rPr>
              <w:t>s</w:t>
            </w:r>
            <w:r w:rsidRPr="00420C1B">
              <w:rPr>
                <w:rFonts w:ascii="Times New Roman" w:hAnsi="Times New Roman"/>
                <w:spacing w:val="3"/>
              </w:rPr>
              <w:t>e</w:t>
            </w:r>
            <w:r w:rsidRPr="00420C1B">
              <w:rPr>
                <w:rFonts w:ascii="Times New Roman" w:hAnsi="Times New Roman"/>
                <w:spacing w:val="1"/>
              </w:rPr>
              <w:t>r</w:t>
            </w:r>
            <w:r w:rsidRPr="00420C1B">
              <w:rPr>
                <w:rFonts w:ascii="Times New Roman" w:hAnsi="Times New Roman"/>
                <w:spacing w:val="-5"/>
              </w:rPr>
              <w:t>v</w:t>
            </w:r>
            <w:r w:rsidRPr="00420C1B">
              <w:rPr>
                <w:rFonts w:ascii="Times New Roman" w:hAnsi="Times New Roman"/>
                <w:spacing w:val="2"/>
              </w:rPr>
              <w:t>i</w:t>
            </w:r>
            <w:r w:rsidRPr="00420C1B">
              <w:rPr>
                <w:rFonts w:ascii="Times New Roman" w:hAnsi="Times New Roman"/>
                <w:spacing w:val="-2"/>
              </w:rPr>
              <w:t>c</w:t>
            </w:r>
            <w:r w:rsidRPr="00420C1B">
              <w:rPr>
                <w:rFonts w:ascii="Times New Roman" w:hAnsi="Times New Roman"/>
              </w:rPr>
              <w:t xml:space="preserve">e </w:t>
            </w:r>
            <w:r w:rsidRPr="00420C1B">
              <w:rPr>
                <w:rFonts w:ascii="Times New Roman" w:hAnsi="Times New Roman"/>
                <w:spacing w:val="-2"/>
              </w:rPr>
              <w:t>e</w:t>
            </w:r>
            <w:r w:rsidRPr="00420C1B">
              <w:rPr>
                <w:rFonts w:ascii="Times New Roman" w:hAnsi="Times New Roman"/>
              </w:rPr>
              <w:t>t a</w:t>
            </w:r>
            <w:r w:rsidRPr="00420C1B">
              <w:rPr>
                <w:rFonts w:ascii="Times New Roman" w:hAnsi="Times New Roman"/>
                <w:spacing w:val="-5"/>
              </w:rPr>
              <w:t>u</w:t>
            </w:r>
            <w:r w:rsidRPr="00420C1B">
              <w:rPr>
                <w:rFonts w:ascii="Times New Roman" w:hAnsi="Times New Roman"/>
                <w:spacing w:val="1"/>
              </w:rPr>
              <w:t>tr</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1"/>
              </w:rPr>
              <w:t>i</w:t>
            </w:r>
            <w:r w:rsidRPr="00420C1B">
              <w:rPr>
                <w:rFonts w:ascii="Times New Roman" w:hAnsi="Times New Roman"/>
              </w:rPr>
              <w:t>n</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r</w:t>
            </w:r>
            <w:r w:rsidRPr="00420C1B">
              <w:rPr>
                <w:rFonts w:ascii="Times New Roman" w:hAnsi="Times New Roman"/>
                <w:spacing w:val="-5"/>
              </w:rPr>
              <w:t>v</w:t>
            </w:r>
            <w:r w:rsidRPr="00420C1B">
              <w:rPr>
                <w:rFonts w:ascii="Times New Roman" w:hAnsi="Times New Roman"/>
              </w:rPr>
              <w:t>en</w:t>
            </w:r>
            <w:r w:rsidRPr="00420C1B">
              <w:rPr>
                <w:rFonts w:ascii="Times New Roman" w:hAnsi="Times New Roman"/>
                <w:spacing w:val="1"/>
              </w:rPr>
              <w:t>a</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rPr>
              <w:t xml:space="preserve"> </w:t>
            </w:r>
            <w:r w:rsidRPr="00420C1B">
              <w:rPr>
                <w:rFonts w:ascii="Times New Roman" w:hAnsi="Times New Roman"/>
                <w:spacing w:val="-5"/>
              </w:rPr>
              <w:t>v</w:t>
            </w:r>
            <w:r w:rsidRPr="00420C1B">
              <w:rPr>
                <w:rFonts w:ascii="Times New Roman" w:hAnsi="Times New Roman"/>
                <w:spacing w:val="1"/>
              </w:rPr>
              <w:t>is</w:t>
            </w:r>
            <w:r w:rsidRPr="00420C1B">
              <w:rPr>
                <w:rFonts w:ascii="Times New Roman" w:hAnsi="Times New Roman"/>
                <w:spacing w:val="-2"/>
              </w:rPr>
              <w:t>a</w:t>
            </w:r>
            <w:r w:rsidRPr="00420C1B">
              <w:rPr>
                <w:rFonts w:ascii="Times New Roman" w:hAnsi="Times New Roman"/>
              </w:rPr>
              <w:t xml:space="preserve">nt à </w:t>
            </w:r>
            <w:r w:rsidRPr="00420C1B">
              <w:rPr>
                <w:rFonts w:ascii="Times New Roman" w:hAnsi="Times New Roman"/>
                <w:spacing w:val="3"/>
              </w:rPr>
              <w:t>é</w:t>
            </w:r>
            <w:r w:rsidRPr="00420C1B">
              <w:rPr>
                <w:rFonts w:ascii="Times New Roman" w:hAnsi="Times New Roman"/>
                <w:spacing w:val="-5"/>
              </w:rPr>
              <w:t>v</w:t>
            </w:r>
            <w:r w:rsidRPr="00420C1B">
              <w:rPr>
                <w:rFonts w:ascii="Times New Roman" w:hAnsi="Times New Roman"/>
                <w:spacing w:val="1"/>
              </w:rPr>
              <w:t>it</w:t>
            </w:r>
            <w:r w:rsidRPr="00420C1B">
              <w:rPr>
                <w:rFonts w:ascii="Times New Roman" w:hAnsi="Times New Roman"/>
                <w:spacing w:val="-2"/>
              </w:rPr>
              <w:t>e</w:t>
            </w:r>
            <w:r w:rsidRPr="00420C1B">
              <w:rPr>
                <w:rFonts w:ascii="Times New Roman" w:hAnsi="Times New Roman"/>
              </w:rPr>
              <w:t xml:space="preserve">r </w:t>
            </w:r>
            <w:r w:rsidRPr="00420C1B">
              <w:rPr>
                <w:rFonts w:ascii="Times New Roman" w:hAnsi="Times New Roman"/>
                <w:spacing w:val="1"/>
              </w:rPr>
              <w:t>t</w:t>
            </w:r>
            <w:r w:rsidRPr="00420C1B">
              <w:rPr>
                <w:rFonts w:ascii="Times New Roman" w:hAnsi="Times New Roman"/>
              </w:rPr>
              <w:t>ou</w:t>
            </w:r>
            <w:r w:rsidRPr="00420C1B">
              <w:rPr>
                <w:rFonts w:ascii="Times New Roman" w:hAnsi="Times New Roman"/>
                <w:spacing w:val="-1"/>
              </w:rPr>
              <w:t>t</w:t>
            </w:r>
            <w:r w:rsidRPr="00420C1B">
              <w:rPr>
                <w:rFonts w:ascii="Times New Roman" w:hAnsi="Times New Roman"/>
              </w:rPr>
              <w:t>e con</w:t>
            </w:r>
            <w:r w:rsidRPr="00420C1B">
              <w:rPr>
                <w:rFonts w:ascii="Times New Roman" w:hAnsi="Times New Roman"/>
                <w:spacing w:val="1"/>
              </w:rPr>
              <w:t>f</w:t>
            </w:r>
            <w:r w:rsidRPr="00420C1B">
              <w:rPr>
                <w:rFonts w:ascii="Times New Roman" w:hAnsi="Times New Roman"/>
                <w:spacing w:val="-2"/>
              </w:rPr>
              <w:t>u</w:t>
            </w:r>
            <w:r w:rsidRPr="00420C1B">
              <w:rPr>
                <w:rFonts w:ascii="Times New Roman" w:hAnsi="Times New Roman"/>
                <w:spacing w:val="1"/>
              </w:rPr>
              <w:t>si</w:t>
            </w:r>
            <w:r w:rsidRPr="00420C1B">
              <w:rPr>
                <w:rFonts w:ascii="Times New Roman" w:hAnsi="Times New Roman"/>
              </w:rPr>
              <w:t>on des do</w:t>
            </w:r>
            <w:r w:rsidRPr="00420C1B">
              <w:rPr>
                <w:rFonts w:ascii="Times New Roman" w:hAnsi="Times New Roman"/>
                <w:spacing w:val="-9"/>
              </w:rPr>
              <w:t>m</w:t>
            </w:r>
            <w:r w:rsidRPr="00420C1B">
              <w:rPr>
                <w:rFonts w:ascii="Times New Roman" w:hAnsi="Times New Roman"/>
                <w:spacing w:val="1"/>
              </w:rPr>
              <w:t>ai</w:t>
            </w:r>
            <w:r w:rsidRPr="00420C1B">
              <w:rPr>
                <w:rFonts w:ascii="Times New Roman" w:hAnsi="Times New Roman"/>
              </w:rPr>
              <w:t xml:space="preserve">nes </w:t>
            </w:r>
            <w:r w:rsidRPr="00420C1B">
              <w:rPr>
                <w:rFonts w:ascii="Times New Roman" w:hAnsi="Times New Roman"/>
                <w:spacing w:val="-2"/>
              </w:rPr>
              <w:t>d</w:t>
            </w:r>
            <w:r w:rsidRPr="00420C1B">
              <w:rPr>
                <w:rFonts w:ascii="Times New Roman" w:hAnsi="Times New Roman"/>
              </w:rPr>
              <w:t>e co</w:t>
            </w:r>
            <w:r w:rsidRPr="00420C1B">
              <w:rPr>
                <w:rFonts w:ascii="Times New Roman" w:hAnsi="Times New Roman"/>
                <w:spacing w:val="-6"/>
              </w:rPr>
              <w:t>m</w:t>
            </w:r>
            <w:r w:rsidRPr="00420C1B">
              <w:rPr>
                <w:rFonts w:ascii="Times New Roman" w:hAnsi="Times New Roman"/>
              </w:rPr>
              <w:t>pé</w:t>
            </w:r>
            <w:r w:rsidRPr="00420C1B">
              <w:rPr>
                <w:rFonts w:ascii="Times New Roman" w:hAnsi="Times New Roman"/>
                <w:spacing w:val="1"/>
              </w:rPr>
              <w:t>t</w:t>
            </w:r>
            <w:r w:rsidRPr="00420C1B">
              <w:rPr>
                <w:rFonts w:ascii="Times New Roman" w:hAnsi="Times New Roman"/>
              </w:rPr>
              <w:t xml:space="preserve">ence en </w:t>
            </w:r>
            <w:r w:rsidRPr="00420C1B">
              <w:rPr>
                <w:rFonts w:ascii="Times New Roman" w:hAnsi="Times New Roman"/>
                <w:spacing w:val="-6"/>
              </w:rPr>
              <w:t>m</w:t>
            </w:r>
            <w:r w:rsidRPr="00420C1B">
              <w:rPr>
                <w:rFonts w:ascii="Times New Roman" w:hAnsi="Times New Roman"/>
              </w:rPr>
              <w:t>a</w:t>
            </w:r>
            <w:r w:rsidRPr="00420C1B">
              <w:rPr>
                <w:rFonts w:ascii="Times New Roman" w:hAnsi="Times New Roman"/>
                <w:spacing w:val="1"/>
              </w:rPr>
              <w:t>ti</w:t>
            </w:r>
            <w:r w:rsidRPr="00420C1B">
              <w:rPr>
                <w:rFonts w:ascii="Times New Roman" w:hAnsi="Times New Roman"/>
              </w:rPr>
              <w:t>è</w:t>
            </w:r>
            <w:r w:rsidRPr="00420C1B">
              <w:rPr>
                <w:rFonts w:ascii="Times New Roman" w:hAnsi="Times New Roman"/>
                <w:spacing w:val="-2"/>
              </w:rPr>
              <w:t>r</w:t>
            </w:r>
            <w:r w:rsidRPr="00420C1B">
              <w:rPr>
                <w:rFonts w:ascii="Times New Roman" w:hAnsi="Times New Roman"/>
              </w:rPr>
              <w:t xml:space="preserve">e de </w:t>
            </w:r>
            <w:r w:rsidRPr="00420C1B">
              <w:rPr>
                <w:rFonts w:ascii="Times New Roman" w:hAnsi="Times New Roman"/>
                <w:spacing w:val="-3"/>
              </w:rPr>
              <w:t>S</w:t>
            </w:r>
            <w:r w:rsidRPr="00420C1B">
              <w:rPr>
                <w:rFonts w:ascii="Times New Roman" w:hAnsi="Times New Roman"/>
                <w:spacing w:val="-2"/>
              </w:rPr>
              <w:t>a</w:t>
            </w:r>
            <w:r w:rsidRPr="00420C1B">
              <w:rPr>
                <w:rFonts w:ascii="Times New Roman" w:hAnsi="Times New Roman"/>
              </w:rPr>
              <w:t>n</w:t>
            </w:r>
            <w:r w:rsidRPr="00420C1B">
              <w:rPr>
                <w:rFonts w:ascii="Times New Roman" w:hAnsi="Times New Roman"/>
                <w:spacing w:val="-1"/>
              </w:rPr>
              <w:t>t</w:t>
            </w:r>
            <w:r w:rsidRPr="00420C1B">
              <w:rPr>
                <w:rFonts w:ascii="Times New Roman" w:hAnsi="Times New Roman"/>
              </w:rPr>
              <w:t>é, H</w:t>
            </w:r>
            <w:r w:rsidRPr="00420C1B">
              <w:rPr>
                <w:rFonts w:ascii="Times New Roman" w:hAnsi="Times New Roman"/>
                <w:spacing w:val="-5"/>
              </w:rPr>
              <w:t>yg</w:t>
            </w:r>
            <w:r w:rsidRPr="00420C1B">
              <w:rPr>
                <w:rFonts w:ascii="Times New Roman" w:hAnsi="Times New Roman"/>
                <w:spacing w:val="1"/>
              </w:rPr>
              <w:t>i</w:t>
            </w:r>
            <w:r w:rsidRPr="00420C1B">
              <w:rPr>
                <w:rFonts w:ascii="Times New Roman" w:hAnsi="Times New Roman"/>
              </w:rPr>
              <w:t>ène et Séc</w:t>
            </w:r>
            <w:r w:rsidRPr="00420C1B">
              <w:rPr>
                <w:rFonts w:ascii="Times New Roman" w:hAnsi="Times New Roman"/>
                <w:spacing w:val="-2"/>
              </w:rPr>
              <w:t>u</w:t>
            </w:r>
            <w:r w:rsidRPr="00420C1B">
              <w:rPr>
                <w:rFonts w:ascii="Times New Roman" w:hAnsi="Times New Roman"/>
                <w:spacing w:val="1"/>
              </w:rPr>
              <w:t>r</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é.</w:t>
            </w:r>
          </w:p>
          <w:p w14:paraId="09D95A40"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l</w:t>
            </w:r>
            <w:r w:rsidRPr="00420C1B">
              <w:rPr>
                <w:rFonts w:ascii="Times New Roman" w:hAnsi="Times New Roman"/>
                <w:spacing w:val="1"/>
              </w:rPr>
              <w:t xml:space="preserve"> s’</w:t>
            </w:r>
            <w:r w:rsidRPr="00420C1B">
              <w:rPr>
                <w:rFonts w:ascii="Times New Roman" w:hAnsi="Times New Roman"/>
              </w:rPr>
              <w:t>a</w:t>
            </w:r>
            <w:r w:rsidRPr="00420C1B">
              <w:rPr>
                <w:rFonts w:ascii="Times New Roman" w:hAnsi="Times New Roman"/>
                <w:spacing w:val="1"/>
              </w:rPr>
              <w:t>ss</w:t>
            </w:r>
            <w:r w:rsidRPr="00420C1B">
              <w:rPr>
                <w:rFonts w:ascii="Times New Roman" w:hAnsi="Times New Roman"/>
              </w:rPr>
              <w:t>u</w:t>
            </w:r>
            <w:r w:rsidRPr="00420C1B">
              <w:rPr>
                <w:rFonts w:ascii="Times New Roman" w:hAnsi="Times New Roman"/>
                <w:spacing w:val="-2"/>
              </w:rPr>
              <w:t>r</w:t>
            </w:r>
            <w:r w:rsidRPr="00420C1B">
              <w:rPr>
                <w:rFonts w:ascii="Times New Roman" w:hAnsi="Times New Roman"/>
              </w:rPr>
              <w:t>e q</w:t>
            </w:r>
            <w:r w:rsidRPr="00420C1B">
              <w:rPr>
                <w:rFonts w:ascii="Times New Roman" w:hAnsi="Times New Roman"/>
                <w:spacing w:val="-2"/>
              </w:rPr>
              <w:t>u</w:t>
            </w:r>
            <w:r w:rsidRPr="00420C1B">
              <w:rPr>
                <w:rFonts w:ascii="Times New Roman" w:hAnsi="Times New Roman"/>
              </w:rPr>
              <w:t xml:space="preserve">e des </w:t>
            </w:r>
            <w:r w:rsidRPr="00420C1B">
              <w:rPr>
                <w:rFonts w:ascii="Times New Roman" w:hAnsi="Times New Roman"/>
                <w:spacing w:val="1"/>
              </w:rPr>
              <w:t>d</w:t>
            </w:r>
            <w:r w:rsidRPr="00420C1B">
              <w:rPr>
                <w:rFonts w:ascii="Times New Roman" w:hAnsi="Times New Roman"/>
                <w:spacing w:val="-1"/>
              </w:rPr>
              <w:t>i</w:t>
            </w:r>
            <w:r w:rsidRPr="00420C1B">
              <w:rPr>
                <w:rFonts w:ascii="Times New Roman" w:hAnsi="Times New Roman"/>
                <w:spacing w:val="-2"/>
              </w:rPr>
              <w:t>s</w:t>
            </w:r>
            <w:r w:rsidRPr="00420C1B">
              <w:rPr>
                <w:rFonts w:ascii="Times New Roman" w:hAnsi="Times New Roman"/>
              </w:rPr>
              <w:t>po</w:t>
            </w:r>
            <w:r w:rsidRPr="00420C1B">
              <w:rPr>
                <w:rFonts w:ascii="Times New Roman" w:hAnsi="Times New Roman"/>
                <w:spacing w:val="-2"/>
              </w:rPr>
              <w:t>s</w:t>
            </w:r>
            <w:r w:rsidRPr="00420C1B">
              <w:rPr>
                <w:rFonts w:ascii="Times New Roman" w:hAnsi="Times New Roman"/>
                <w:spacing w:val="-1"/>
              </w:rPr>
              <w:t>it</w:t>
            </w:r>
            <w:r w:rsidRPr="00420C1B">
              <w:rPr>
                <w:rFonts w:ascii="Times New Roman" w:hAnsi="Times New Roman"/>
                <w:spacing w:val="1"/>
              </w:rPr>
              <w:t>i</w:t>
            </w:r>
            <w:r w:rsidRPr="00420C1B">
              <w:rPr>
                <w:rFonts w:ascii="Times New Roman" w:hAnsi="Times New Roman"/>
              </w:rPr>
              <w:t>ons adéqu</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spacing w:val="-2"/>
              </w:rPr>
              <w:t>e</w:t>
            </w:r>
            <w:r w:rsidRPr="00420C1B">
              <w:rPr>
                <w:rFonts w:ascii="Times New Roman" w:hAnsi="Times New Roman"/>
              </w:rPr>
              <w:t>s</w:t>
            </w:r>
            <w:r w:rsidRPr="00420C1B">
              <w:rPr>
                <w:rFonts w:ascii="Times New Roman" w:hAnsi="Times New Roman"/>
                <w:spacing w:val="1"/>
              </w:rPr>
              <w:t xml:space="preserve"> s</w:t>
            </w:r>
            <w:r w:rsidRPr="00420C1B">
              <w:rPr>
                <w:rFonts w:ascii="Times New Roman" w:hAnsi="Times New Roman"/>
              </w:rPr>
              <w:t>o</w:t>
            </w:r>
            <w:r w:rsidRPr="00420C1B">
              <w:rPr>
                <w:rFonts w:ascii="Times New Roman" w:hAnsi="Times New Roman"/>
                <w:spacing w:val="-5"/>
              </w:rPr>
              <w:t>n</w:t>
            </w:r>
            <w:r w:rsidRPr="00420C1B">
              <w:rPr>
                <w:rFonts w:ascii="Times New Roman" w:hAnsi="Times New Roman"/>
              </w:rPr>
              <w:t xml:space="preserve">t </w:t>
            </w:r>
            <w:r w:rsidRPr="00420C1B">
              <w:rPr>
                <w:rFonts w:ascii="Times New Roman" w:hAnsi="Times New Roman"/>
                <w:spacing w:val="-2"/>
              </w:rPr>
              <w:t>p</w:t>
            </w:r>
            <w:r w:rsidRPr="00420C1B">
              <w:rPr>
                <w:rFonts w:ascii="Times New Roman" w:hAnsi="Times New Roman"/>
                <w:spacing w:val="1"/>
              </w:rPr>
              <w:t>ri</w:t>
            </w:r>
            <w:r w:rsidRPr="00420C1B">
              <w:rPr>
                <w:rFonts w:ascii="Times New Roman" w:hAnsi="Times New Roman"/>
                <w:spacing w:val="-2"/>
              </w:rPr>
              <w:t>s</w:t>
            </w:r>
            <w:r w:rsidRPr="00420C1B">
              <w:rPr>
                <w:rFonts w:ascii="Times New Roman" w:hAnsi="Times New Roman"/>
              </w:rPr>
              <w:t>es da</w:t>
            </w:r>
            <w:r w:rsidRPr="00420C1B">
              <w:rPr>
                <w:rFonts w:ascii="Times New Roman" w:hAnsi="Times New Roman"/>
                <w:spacing w:val="-2"/>
              </w:rPr>
              <w:t>n</w:t>
            </w:r>
            <w:r w:rsidRPr="00420C1B">
              <w:rPr>
                <w:rFonts w:ascii="Times New Roman" w:hAnsi="Times New Roman"/>
              </w:rPr>
              <w:t xml:space="preserve">s </w:t>
            </w:r>
            <w:r w:rsidRPr="00420C1B">
              <w:rPr>
                <w:rFonts w:ascii="Times New Roman" w:hAnsi="Times New Roman"/>
                <w:spacing w:val="-1"/>
              </w:rPr>
              <w:t>l</w:t>
            </w:r>
            <w:r w:rsidRPr="00420C1B">
              <w:rPr>
                <w:rFonts w:ascii="Times New Roman" w:hAnsi="Times New Roman"/>
              </w:rPr>
              <w:t>e c</w:t>
            </w:r>
            <w:r w:rsidRPr="00420C1B">
              <w:rPr>
                <w:rFonts w:ascii="Times New Roman" w:hAnsi="Times New Roman"/>
                <w:spacing w:val="1"/>
              </w:rPr>
              <w:t>a</w:t>
            </w:r>
            <w:r w:rsidRPr="00420C1B">
              <w:rPr>
                <w:rFonts w:ascii="Times New Roman" w:hAnsi="Times New Roman"/>
                <w:spacing w:val="-2"/>
              </w:rPr>
              <w:t>d</w:t>
            </w:r>
            <w:r w:rsidRPr="00420C1B">
              <w:rPr>
                <w:rFonts w:ascii="Times New Roman" w:hAnsi="Times New Roman"/>
                <w:spacing w:val="1"/>
              </w:rPr>
              <w:t>r</w:t>
            </w:r>
            <w:r w:rsidRPr="00420C1B">
              <w:rPr>
                <w:rFonts w:ascii="Times New Roman" w:hAnsi="Times New Roman"/>
              </w:rPr>
              <w:t xml:space="preserve">e </w:t>
            </w:r>
            <w:r w:rsidRPr="00420C1B">
              <w:rPr>
                <w:rFonts w:ascii="Times New Roman" w:hAnsi="Times New Roman"/>
                <w:spacing w:val="-5"/>
              </w:rPr>
              <w:t>d</w:t>
            </w:r>
            <w:r w:rsidRPr="00420C1B">
              <w:rPr>
                <w:rFonts w:ascii="Times New Roman" w:hAnsi="Times New Roman"/>
              </w:rPr>
              <w:t>e</w:t>
            </w:r>
            <w:r w:rsidRPr="00420C1B">
              <w:rPr>
                <w:rFonts w:ascii="Times New Roman" w:hAnsi="Times New Roman"/>
                <w:spacing w:val="1"/>
              </w:rPr>
              <w:t xml:space="preserve"> l</w:t>
            </w:r>
            <w:r w:rsidRPr="00420C1B">
              <w:rPr>
                <w:rFonts w:ascii="Times New Roman" w:hAnsi="Times New Roman"/>
              </w:rPr>
              <w:t>a p</w:t>
            </w:r>
            <w:r w:rsidRPr="00420C1B">
              <w:rPr>
                <w:rFonts w:ascii="Times New Roman" w:hAnsi="Times New Roman"/>
                <w:spacing w:val="1"/>
              </w:rPr>
              <w:t>r</w:t>
            </w:r>
            <w:r w:rsidRPr="00420C1B">
              <w:rPr>
                <w:rFonts w:ascii="Times New Roman" w:hAnsi="Times New Roman"/>
              </w:rPr>
              <w:t>é</w:t>
            </w:r>
            <w:r w:rsidRPr="00420C1B">
              <w:rPr>
                <w:rFonts w:ascii="Times New Roman" w:hAnsi="Times New Roman"/>
                <w:spacing w:val="-5"/>
              </w:rPr>
              <w:t>v</w:t>
            </w:r>
            <w:r w:rsidRPr="00420C1B">
              <w:rPr>
                <w:rFonts w:ascii="Times New Roman" w:hAnsi="Times New Roman"/>
              </w:rPr>
              <w:t>en</w:t>
            </w:r>
            <w:r w:rsidRPr="00420C1B">
              <w:rPr>
                <w:rFonts w:ascii="Times New Roman" w:hAnsi="Times New Roman"/>
                <w:spacing w:val="1"/>
              </w:rPr>
              <w:t>ti</w:t>
            </w:r>
            <w:r w:rsidRPr="00420C1B">
              <w:rPr>
                <w:rFonts w:ascii="Times New Roman" w:hAnsi="Times New Roman"/>
              </w:rPr>
              <w:t xml:space="preserve">on </w:t>
            </w:r>
            <w:r w:rsidRPr="00420C1B">
              <w:rPr>
                <w:rFonts w:ascii="Times New Roman" w:hAnsi="Times New Roman"/>
                <w:spacing w:val="-5"/>
              </w:rPr>
              <w:t>d</w:t>
            </w:r>
            <w:r w:rsidRPr="00420C1B">
              <w:rPr>
                <w:rFonts w:ascii="Times New Roman" w:hAnsi="Times New Roman"/>
              </w:rPr>
              <w:t xml:space="preserve">es </w:t>
            </w:r>
            <w:r w:rsidRPr="00420C1B">
              <w:rPr>
                <w:rFonts w:ascii="Times New Roman" w:hAnsi="Times New Roman"/>
                <w:spacing w:val="1"/>
              </w:rPr>
              <w:t>i</w:t>
            </w:r>
            <w:r w:rsidRPr="00420C1B">
              <w:rPr>
                <w:rFonts w:ascii="Times New Roman" w:hAnsi="Times New Roman"/>
              </w:rPr>
              <w:t>nc</w:t>
            </w:r>
            <w:r w:rsidRPr="00420C1B">
              <w:rPr>
                <w:rFonts w:ascii="Times New Roman" w:hAnsi="Times New Roman"/>
                <w:spacing w:val="1"/>
              </w:rPr>
              <w:t>e</w:t>
            </w:r>
            <w:r w:rsidRPr="00420C1B">
              <w:rPr>
                <w:rFonts w:ascii="Times New Roman" w:hAnsi="Times New Roman"/>
                <w:spacing w:val="-4"/>
              </w:rPr>
              <w:t>n</w:t>
            </w:r>
            <w:r w:rsidRPr="00420C1B">
              <w:rPr>
                <w:rFonts w:ascii="Times New Roman" w:hAnsi="Times New Roman"/>
              </w:rPr>
              <w:t>d</w:t>
            </w:r>
            <w:r w:rsidRPr="00420C1B">
              <w:rPr>
                <w:rFonts w:ascii="Times New Roman" w:hAnsi="Times New Roman"/>
                <w:spacing w:val="1"/>
              </w:rPr>
              <w:t>i</w:t>
            </w:r>
            <w:r w:rsidRPr="00420C1B">
              <w:rPr>
                <w:rFonts w:ascii="Times New Roman" w:hAnsi="Times New Roman"/>
                <w:spacing w:val="-2"/>
              </w:rPr>
              <w:t>e</w:t>
            </w:r>
            <w:r w:rsidRPr="00420C1B">
              <w:rPr>
                <w:rFonts w:ascii="Times New Roman" w:hAnsi="Times New Roman"/>
              </w:rPr>
              <w:t>s</w:t>
            </w:r>
            <w:r w:rsidRPr="00420C1B">
              <w:rPr>
                <w:rFonts w:ascii="Times New Roman" w:hAnsi="Times New Roman"/>
                <w:spacing w:val="1"/>
              </w:rPr>
              <w:t xml:space="preserve"> s</w:t>
            </w:r>
            <w:r w:rsidRPr="00420C1B">
              <w:rPr>
                <w:rFonts w:ascii="Times New Roman" w:hAnsi="Times New Roman"/>
                <w:spacing w:val="-5"/>
              </w:rPr>
              <w:t>u</w:t>
            </w:r>
            <w:r w:rsidRPr="00420C1B">
              <w:rPr>
                <w:rFonts w:ascii="Times New Roman" w:hAnsi="Times New Roman"/>
              </w:rPr>
              <w:t>r</w:t>
            </w:r>
            <w:r w:rsidRPr="00420C1B">
              <w:rPr>
                <w:rFonts w:ascii="Times New Roman" w:hAnsi="Times New Roman"/>
                <w:spacing w:val="1"/>
              </w:rPr>
              <w:t xml:space="preserve"> 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spacing w:val="-2"/>
              </w:rPr>
              <w:t>e</w:t>
            </w:r>
            <w:r w:rsidRPr="00420C1B">
              <w:rPr>
                <w:rFonts w:ascii="Times New Roman" w:hAnsi="Times New Roman"/>
              </w:rPr>
              <w:t>s</w:t>
            </w:r>
            <w:r w:rsidRPr="00420C1B">
              <w:rPr>
                <w:rFonts w:ascii="Times New Roman" w:hAnsi="Times New Roman"/>
                <w:spacing w:val="1"/>
              </w:rPr>
              <w:t xml:space="preserve"> l</w:t>
            </w:r>
            <w:r w:rsidRPr="00420C1B">
              <w:rPr>
                <w:rFonts w:ascii="Times New Roman" w:hAnsi="Times New Roman"/>
                <w:spacing w:val="-4"/>
              </w:rPr>
              <w:t>e</w:t>
            </w:r>
            <w:r w:rsidRPr="00420C1B">
              <w:rPr>
                <w:rFonts w:ascii="Times New Roman" w:hAnsi="Times New Roman"/>
              </w:rPr>
              <w:t xml:space="preserve">s </w:t>
            </w:r>
            <w:r w:rsidRPr="00420C1B">
              <w:rPr>
                <w:rFonts w:ascii="Times New Roman" w:hAnsi="Times New Roman"/>
                <w:spacing w:val="1"/>
              </w:rPr>
              <w:t>i</w:t>
            </w:r>
            <w:r w:rsidRPr="00420C1B">
              <w:rPr>
                <w:rFonts w:ascii="Times New Roman" w:hAnsi="Times New Roman"/>
              </w:rPr>
              <w:t>n</w:t>
            </w:r>
            <w:r w:rsidRPr="00420C1B">
              <w:rPr>
                <w:rFonts w:ascii="Times New Roman" w:hAnsi="Times New Roman"/>
                <w:spacing w:val="-2"/>
              </w:rPr>
              <w:t>s</w:t>
            </w:r>
            <w:r w:rsidRPr="00420C1B">
              <w:rPr>
                <w:rFonts w:ascii="Times New Roman" w:hAnsi="Times New Roman"/>
                <w:spacing w:val="1"/>
              </w:rPr>
              <w:t>t</w:t>
            </w:r>
            <w:r w:rsidRPr="00420C1B">
              <w:rPr>
                <w:rFonts w:ascii="Times New Roman" w:hAnsi="Times New Roman"/>
                <w:spacing w:val="-2"/>
              </w:rPr>
              <w:t>a</w:t>
            </w:r>
            <w:r w:rsidRPr="00420C1B">
              <w:rPr>
                <w:rFonts w:ascii="Times New Roman" w:hAnsi="Times New Roman"/>
                <w:spacing w:val="1"/>
              </w:rPr>
              <w:t>ll</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spacing w:val="3"/>
              </w:rPr>
              <w:t>i</w:t>
            </w:r>
            <w:r w:rsidRPr="00420C1B">
              <w:rPr>
                <w:rFonts w:ascii="Times New Roman" w:hAnsi="Times New Roman"/>
                <w:spacing w:val="-2"/>
              </w:rPr>
              <w:t>o</w:t>
            </w:r>
            <w:r w:rsidRPr="00420C1B">
              <w:rPr>
                <w:rFonts w:ascii="Times New Roman" w:hAnsi="Times New Roman"/>
              </w:rPr>
              <w:t>ns de son c</w:t>
            </w:r>
            <w:r w:rsidRPr="00420C1B">
              <w:rPr>
                <w:rFonts w:ascii="Times New Roman" w:hAnsi="Times New Roman"/>
                <w:spacing w:val="-2"/>
              </w:rPr>
              <w:t>h</w:t>
            </w:r>
            <w:r w:rsidRPr="00420C1B">
              <w:rPr>
                <w:rFonts w:ascii="Times New Roman" w:hAnsi="Times New Roman"/>
              </w:rPr>
              <w:t>a</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spacing w:val="1"/>
              </w:rPr>
              <w:t>i</w:t>
            </w:r>
            <w:r w:rsidRPr="00420C1B">
              <w:rPr>
                <w:rFonts w:ascii="Times New Roman" w:hAnsi="Times New Roman"/>
                <w:spacing w:val="-2"/>
              </w:rPr>
              <w:t>er</w:t>
            </w:r>
            <w:r w:rsidRPr="00420C1B">
              <w:rPr>
                <w:rFonts w:ascii="Times New Roman" w:hAnsi="Times New Roman"/>
              </w:rPr>
              <w:t>.</w:t>
            </w:r>
          </w:p>
          <w:p w14:paraId="7267F6A8"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l</w:t>
            </w:r>
            <w:r w:rsidRPr="00420C1B">
              <w:rPr>
                <w:rFonts w:ascii="Times New Roman" w:hAnsi="Times New Roman"/>
                <w:spacing w:val="1"/>
              </w:rPr>
              <w:t xml:space="preserve"> s’</w:t>
            </w:r>
            <w:r w:rsidRPr="00420C1B">
              <w:rPr>
                <w:rFonts w:ascii="Times New Roman" w:hAnsi="Times New Roman"/>
              </w:rPr>
              <w:t>a</w:t>
            </w:r>
            <w:r w:rsidRPr="00420C1B">
              <w:rPr>
                <w:rFonts w:ascii="Times New Roman" w:hAnsi="Times New Roman"/>
                <w:spacing w:val="1"/>
              </w:rPr>
              <w:t>ss</w:t>
            </w:r>
            <w:r w:rsidRPr="00420C1B">
              <w:rPr>
                <w:rFonts w:ascii="Times New Roman" w:hAnsi="Times New Roman"/>
                <w:spacing w:val="-2"/>
              </w:rPr>
              <w:t>u</w:t>
            </w:r>
            <w:r w:rsidRPr="00420C1B">
              <w:rPr>
                <w:rFonts w:ascii="Times New Roman" w:hAnsi="Times New Roman"/>
                <w:spacing w:val="1"/>
              </w:rPr>
              <w:t>r</w:t>
            </w:r>
            <w:r w:rsidRPr="00420C1B">
              <w:rPr>
                <w:rFonts w:ascii="Times New Roman" w:hAnsi="Times New Roman"/>
              </w:rPr>
              <w:t>e q</w:t>
            </w:r>
            <w:r w:rsidRPr="00420C1B">
              <w:rPr>
                <w:rFonts w:ascii="Times New Roman" w:hAnsi="Times New Roman"/>
                <w:spacing w:val="-2"/>
              </w:rPr>
              <w:t>u</w:t>
            </w:r>
            <w:r w:rsidRPr="00420C1B">
              <w:rPr>
                <w:rFonts w:ascii="Times New Roman" w:hAnsi="Times New Roman"/>
              </w:rPr>
              <w:t>e ch</w:t>
            </w:r>
            <w:r w:rsidRPr="00420C1B">
              <w:rPr>
                <w:rFonts w:ascii="Times New Roman" w:hAnsi="Times New Roman"/>
                <w:spacing w:val="-2"/>
              </w:rPr>
              <w:t>aq</w:t>
            </w:r>
            <w:r w:rsidRPr="00420C1B">
              <w:rPr>
                <w:rFonts w:ascii="Times New Roman" w:hAnsi="Times New Roman"/>
              </w:rPr>
              <w:t xml:space="preserve">ue </w:t>
            </w:r>
            <w:r w:rsidRPr="00420C1B">
              <w:rPr>
                <w:rFonts w:ascii="Times New Roman" w:hAnsi="Times New Roman"/>
                <w:spacing w:val="-2"/>
              </w:rPr>
              <w:t>a</w:t>
            </w:r>
            <w:r w:rsidRPr="00420C1B">
              <w:rPr>
                <w:rFonts w:ascii="Times New Roman" w:hAnsi="Times New Roman"/>
              </w:rPr>
              <w:t>c</w:t>
            </w:r>
            <w:r w:rsidRPr="00420C1B">
              <w:rPr>
                <w:rFonts w:ascii="Times New Roman" w:hAnsi="Times New Roman"/>
                <w:spacing w:val="-4"/>
              </w:rPr>
              <w:t>c</w:t>
            </w:r>
            <w:r w:rsidRPr="00420C1B">
              <w:rPr>
                <w:rFonts w:ascii="Times New Roman" w:hAnsi="Times New Roman"/>
                <w:spacing w:val="1"/>
              </w:rPr>
              <w:t>i</w:t>
            </w:r>
            <w:r w:rsidRPr="00420C1B">
              <w:rPr>
                <w:rFonts w:ascii="Times New Roman" w:hAnsi="Times New Roman"/>
                <w:spacing w:val="-2"/>
              </w:rPr>
              <w:t>d</w:t>
            </w:r>
            <w:r w:rsidRPr="00420C1B">
              <w:rPr>
                <w:rFonts w:ascii="Times New Roman" w:hAnsi="Times New Roman"/>
              </w:rPr>
              <w:t xml:space="preserve">ent </w:t>
            </w:r>
            <w:r w:rsidRPr="00420C1B">
              <w:rPr>
                <w:rFonts w:ascii="Times New Roman" w:hAnsi="Times New Roman"/>
                <w:spacing w:val="-2"/>
              </w:rPr>
              <w:t>qu</w:t>
            </w:r>
            <w:r w:rsidRPr="00420C1B">
              <w:rPr>
                <w:rFonts w:ascii="Times New Roman" w:hAnsi="Times New Roman"/>
              </w:rPr>
              <w:t xml:space="preserve">i </w:t>
            </w:r>
            <w:r w:rsidRPr="00420C1B">
              <w:rPr>
                <w:rFonts w:ascii="Times New Roman" w:hAnsi="Times New Roman"/>
                <w:spacing w:val="1"/>
              </w:rPr>
              <w:t>s</w:t>
            </w:r>
            <w:r w:rsidRPr="00420C1B">
              <w:rPr>
                <w:rFonts w:ascii="Times New Roman" w:hAnsi="Times New Roman"/>
              </w:rPr>
              <w:t>u</w:t>
            </w:r>
            <w:r w:rsidRPr="00420C1B">
              <w:rPr>
                <w:rFonts w:ascii="Times New Roman" w:hAnsi="Times New Roman"/>
                <w:spacing w:val="1"/>
              </w:rPr>
              <w:t>r</w:t>
            </w:r>
            <w:r w:rsidRPr="00420C1B">
              <w:rPr>
                <w:rFonts w:ascii="Times New Roman" w:hAnsi="Times New Roman"/>
                <w:spacing w:val="-5"/>
              </w:rPr>
              <w:t>v</w:t>
            </w:r>
            <w:r w:rsidRPr="00420C1B">
              <w:rPr>
                <w:rFonts w:ascii="Times New Roman" w:hAnsi="Times New Roman"/>
                <w:spacing w:val="1"/>
              </w:rPr>
              <w:t>i</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rPr>
              <w:t>t</w:t>
            </w:r>
            <w:r w:rsidRPr="00420C1B">
              <w:rPr>
                <w:rFonts w:ascii="Times New Roman" w:hAnsi="Times New Roman"/>
                <w:spacing w:val="1"/>
              </w:rPr>
              <w:t xml:space="preserve"> s</w:t>
            </w:r>
            <w:r w:rsidRPr="00420C1B">
              <w:rPr>
                <w:rFonts w:ascii="Times New Roman" w:hAnsi="Times New Roman"/>
                <w:spacing w:val="-2"/>
              </w:rPr>
              <w:t>u</w:t>
            </w:r>
            <w:r w:rsidRPr="00420C1B">
              <w:rPr>
                <w:rFonts w:ascii="Times New Roman" w:hAnsi="Times New Roman"/>
              </w:rPr>
              <w:t>r n</w:t>
            </w:r>
            <w:r w:rsidRPr="00420C1B">
              <w:rPr>
                <w:rFonts w:ascii="Times New Roman" w:hAnsi="Times New Roman"/>
                <w:spacing w:val="-2"/>
              </w:rPr>
              <w:t>’</w:t>
            </w:r>
            <w:r w:rsidRPr="00420C1B">
              <w:rPr>
                <w:rFonts w:ascii="Times New Roman" w:hAnsi="Times New Roman"/>
                <w:spacing w:val="1"/>
              </w:rPr>
              <w:t>i</w:t>
            </w:r>
            <w:r w:rsidRPr="00420C1B">
              <w:rPr>
                <w:rFonts w:ascii="Times New Roman" w:hAnsi="Times New Roman"/>
                <w:spacing w:val="-9"/>
              </w:rPr>
              <w:t>m</w:t>
            </w:r>
            <w:r w:rsidRPr="00420C1B">
              <w:rPr>
                <w:rFonts w:ascii="Times New Roman" w:hAnsi="Times New Roman"/>
              </w:rPr>
              <w:t>po</w:t>
            </w:r>
            <w:r w:rsidRPr="00420C1B">
              <w:rPr>
                <w:rFonts w:ascii="Times New Roman" w:hAnsi="Times New Roman"/>
                <w:spacing w:val="1"/>
              </w:rPr>
              <w:t>r</w:t>
            </w:r>
            <w:r w:rsidRPr="00420C1B">
              <w:rPr>
                <w:rFonts w:ascii="Times New Roman" w:hAnsi="Times New Roman"/>
                <w:spacing w:val="2"/>
              </w:rPr>
              <w:t>t</w:t>
            </w:r>
            <w:r w:rsidRPr="00420C1B">
              <w:rPr>
                <w:rFonts w:ascii="Times New Roman" w:hAnsi="Times New Roman"/>
              </w:rPr>
              <w:t>e qu</w:t>
            </w:r>
            <w:r w:rsidRPr="00420C1B">
              <w:rPr>
                <w:rFonts w:ascii="Times New Roman" w:hAnsi="Times New Roman"/>
                <w:spacing w:val="-2"/>
              </w:rPr>
              <w:t>e</w:t>
            </w:r>
            <w:r w:rsidRPr="00420C1B">
              <w:rPr>
                <w:rFonts w:ascii="Times New Roman" w:hAnsi="Times New Roman"/>
                <w:spacing w:val="-1"/>
              </w:rPr>
              <w:t>ll</w:t>
            </w:r>
            <w:r w:rsidRPr="00420C1B">
              <w:rPr>
                <w:rFonts w:ascii="Times New Roman" w:hAnsi="Times New Roman"/>
              </w:rPr>
              <w:t>e</w:t>
            </w:r>
            <w:r w:rsidRPr="00420C1B">
              <w:rPr>
                <w:rFonts w:ascii="Times New Roman" w:hAnsi="Times New Roman"/>
                <w:spacing w:val="1"/>
              </w:rPr>
              <w:t xml:space="preserve"> i</w:t>
            </w:r>
            <w:r w:rsidRPr="00420C1B">
              <w:rPr>
                <w:rFonts w:ascii="Times New Roman" w:hAnsi="Times New Roman"/>
              </w:rPr>
              <w:t>n</w:t>
            </w:r>
            <w:r w:rsidRPr="00420C1B">
              <w:rPr>
                <w:rFonts w:ascii="Times New Roman" w:hAnsi="Times New Roman"/>
                <w:spacing w:val="-2"/>
              </w:rPr>
              <w:t>s</w:t>
            </w:r>
            <w:r w:rsidRPr="00420C1B">
              <w:rPr>
                <w:rFonts w:ascii="Times New Roman" w:hAnsi="Times New Roman"/>
                <w:spacing w:val="1"/>
              </w:rPr>
              <w:t>t</w:t>
            </w:r>
            <w:r w:rsidRPr="00420C1B">
              <w:rPr>
                <w:rFonts w:ascii="Times New Roman" w:hAnsi="Times New Roman"/>
                <w:spacing w:val="-2"/>
              </w:rPr>
              <w:t>a</w:t>
            </w:r>
            <w:r w:rsidRPr="00420C1B">
              <w:rPr>
                <w:rFonts w:ascii="Times New Roman" w:hAnsi="Times New Roman"/>
                <w:spacing w:val="-1"/>
              </w:rPr>
              <w:t>l</w:t>
            </w:r>
            <w:r w:rsidRPr="00420C1B">
              <w:rPr>
                <w:rFonts w:ascii="Times New Roman" w:hAnsi="Times New Roman"/>
                <w:spacing w:val="1"/>
              </w:rPr>
              <w:t>l</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spacing w:val="1"/>
              </w:rPr>
              <w:t>i</w:t>
            </w:r>
            <w:r w:rsidRPr="00420C1B">
              <w:rPr>
                <w:rFonts w:ascii="Times New Roman" w:hAnsi="Times New Roman"/>
              </w:rPr>
              <w:t>on e</w:t>
            </w:r>
            <w:r w:rsidRPr="00420C1B">
              <w:rPr>
                <w:rFonts w:ascii="Times New Roman" w:hAnsi="Times New Roman"/>
                <w:spacing w:val="1"/>
              </w:rPr>
              <w:t>s</w:t>
            </w:r>
            <w:r w:rsidRPr="00420C1B">
              <w:rPr>
                <w:rFonts w:ascii="Times New Roman" w:hAnsi="Times New Roman"/>
              </w:rPr>
              <w:t>t app</w:t>
            </w:r>
            <w:r w:rsidRPr="00420C1B">
              <w:rPr>
                <w:rFonts w:ascii="Times New Roman" w:hAnsi="Times New Roman"/>
                <w:spacing w:val="-2"/>
              </w:rPr>
              <w:t>o</w:t>
            </w:r>
            <w:r w:rsidRPr="00420C1B">
              <w:rPr>
                <w:rFonts w:ascii="Times New Roman" w:hAnsi="Times New Roman"/>
                <w:spacing w:val="1"/>
              </w:rPr>
              <w:t>rt</w:t>
            </w:r>
            <w:r w:rsidRPr="00420C1B">
              <w:rPr>
                <w:rFonts w:ascii="Times New Roman" w:hAnsi="Times New Roman"/>
              </w:rPr>
              <w:t>é co</w:t>
            </w:r>
            <w:r w:rsidRPr="00420C1B">
              <w:rPr>
                <w:rFonts w:ascii="Times New Roman" w:hAnsi="Times New Roman"/>
                <w:spacing w:val="-2"/>
              </w:rPr>
              <w:t>n</w:t>
            </w:r>
            <w:r w:rsidRPr="00420C1B">
              <w:rPr>
                <w:rFonts w:ascii="Times New Roman" w:hAnsi="Times New Roman"/>
                <w:spacing w:val="1"/>
              </w:rPr>
              <w:t>f</w:t>
            </w:r>
            <w:r w:rsidRPr="00420C1B">
              <w:rPr>
                <w:rFonts w:ascii="Times New Roman" w:hAnsi="Times New Roman"/>
              </w:rPr>
              <w:t>o</w:t>
            </w:r>
            <w:r w:rsidRPr="00420C1B">
              <w:rPr>
                <w:rFonts w:ascii="Times New Roman" w:hAnsi="Times New Roman"/>
                <w:spacing w:val="1"/>
              </w:rPr>
              <w:t>r</w:t>
            </w:r>
            <w:r w:rsidRPr="00420C1B">
              <w:rPr>
                <w:rFonts w:ascii="Times New Roman" w:hAnsi="Times New Roman"/>
                <w:spacing w:val="-8"/>
              </w:rPr>
              <w:t>m</w:t>
            </w:r>
            <w:r w:rsidRPr="00420C1B">
              <w:rPr>
                <w:rFonts w:ascii="Times New Roman" w:hAnsi="Times New Roman"/>
              </w:rPr>
              <w:t>é</w:t>
            </w:r>
            <w:r w:rsidRPr="00420C1B">
              <w:rPr>
                <w:rFonts w:ascii="Times New Roman" w:hAnsi="Times New Roman"/>
                <w:spacing w:val="-6"/>
              </w:rPr>
              <w:t>m</w:t>
            </w:r>
            <w:r w:rsidRPr="00420C1B">
              <w:rPr>
                <w:rFonts w:ascii="Times New Roman" w:hAnsi="Times New Roman"/>
              </w:rPr>
              <w:t>ent aux ex</w:t>
            </w:r>
            <w:r w:rsidRPr="00420C1B">
              <w:rPr>
                <w:rFonts w:ascii="Times New Roman" w:hAnsi="Times New Roman"/>
                <w:spacing w:val="1"/>
              </w:rPr>
              <w:t>i</w:t>
            </w:r>
            <w:r w:rsidRPr="00420C1B">
              <w:rPr>
                <w:rFonts w:ascii="Times New Roman" w:hAnsi="Times New Roman"/>
                <w:spacing w:val="-5"/>
              </w:rPr>
              <w:t>g</w:t>
            </w:r>
            <w:r w:rsidRPr="00420C1B">
              <w:rPr>
                <w:rFonts w:ascii="Times New Roman" w:hAnsi="Times New Roman"/>
              </w:rPr>
              <w:t>en</w:t>
            </w:r>
            <w:r w:rsidRPr="00420C1B">
              <w:rPr>
                <w:rFonts w:ascii="Times New Roman" w:hAnsi="Times New Roman"/>
                <w:spacing w:val="-2"/>
              </w:rPr>
              <w:t>c</w:t>
            </w:r>
            <w:r w:rsidRPr="00420C1B">
              <w:rPr>
                <w:rFonts w:ascii="Times New Roman" w:hAnsi="Times New Roman"/>
              </w:rPr>
              <w:t>es co</w:t>
            </w:r>
            <w:r w:rsidRPr="00420C1B">
              <w:rPr>
                <w:rFonts w:ascii="Times New Roman" w:hAnsi="Times New Roman"/>
                <w:spacing w:val="-2"/>
              </w:rPr>
              <w:t>n</w:t>
            </w:r>
            <w:r w:rsidRPr="00420C1B">
              <w:rPr>
                <w:rFonts w:ascii="Times New Roman" w:hAnsi="Times New Roman"/>
                <w:spacing w:val="1"/>
              </w:rPr>
              <w:t>tr</w:t>
            </w:r>
            <w:r w:rsidRPr="00420C1B">
              <w:rPr>
                <w:rFonts w:ascii="Times New Roman" w:hAnsi="Times New Roman"/>
              </w:rPr>
              <w:t>a</w:t>
            </w:r>
            <w:r w:rsidRPr="00420C1B">
              <w:rPr>
                <w:rFonts w:ascii="Times New Roman" w:hAnsi="Times New Roman"/>
                <w:spacing w:val="-2"/>
              </w:rPr>
              <w:t>c</w:t>
            </w:r>
            <w:r w:rsidRPr="00420C1B">
              <w:rPr>
                <w:rFonts w:ascii="Times New Roman" w:hAnsi="Times New Roman"/>
                <w:spacing w:val="1"/>
              </w:rPr>
              <w:t>t</w:t>
            </w:r>
            <w:r w:rsidRPr="00420C1B">
              <w:rPr>
                <w:rFonts w:ascii="Times New Roman" w:hAnsi="Times New Roman"/>
                <w:spacing w:val="-2"/>
              </w:rPr>
              <w:t>ue</w:t>
            </w:r>
            <w:r w:rsidRPr="00420C1B">
              <w:rPr>
                <w:rFonts w:ascii="Times New Roman" w:hAnsi="Times New Roman"/>
                <w:spacing w:val="-1"/>
              </w:rPr>
              <w:t>l</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4"/>
              </w:rPr>
              <w:t>e</w:t>
            </w:r>
            <w:r w:rsidRPr="00420C1B">
              <w:rPr>
                <w:rFonts w:ascii="Times New Roman" w:hAnsi="Times New Roman"/>
              </w:rPr>
              <w:t>t au P</w:t>
            </w:r>
            <w:r w:rsidRPr="00420C1B">
              <w:rPr>
                <w:rFonts w:ascii="Times New Roman" w:hAnsi="Times New Roman"/>
                <w:spacing w:val="-1"/>
              </w:rPr>
              <w:t>l</w:t>
            </w:r>
            <w:r w:rsidRPr="00420C1B">
              <w:rPr>
                <w:rFonts w:ascii="Times New Roman" w:hAnsi="Times New Roman"/>
              </w:rPr>
              <w:t xml:space="preserve">an </w:t>
            </w:r>
            <w:r w:rsidRPr="00420C1B">
              <w:rPr>
                <w:rFonts w:ascii="Times New Roman" w:hAnsi="Times New Roman"/>
                <w:spacing w:val="-3"/>
              </w:rPr>
              <w:t>H</w:t>
            </w:r>
            <w:r w:rsidRPr="00420C1B">
              <w:rPr>
                <w:rFonts w:ascii="Times New Roman" w:hAnsi="Times New Roman"/>
              </w:rPr>
              <w:t>y</w:t>
            </w:r>
            <w:r w:rsidRPr="00420C1B">
              <w:rPr>
                <w:rFonts w:ascii="Times New Roman" w:hAnsi="Times New Roman"/>
                <w:spacing w:val="-5"/>
              </w:rPr>
              <w:t>g</w:t>
            </w:r>
            <w:r w:rsidRPr="00420C1B">
              <w:rPr>
                <w:rFonts w:ascii="Times New Roman" w:hAnsi="Times New Roman"/>
                <w:spacing w:val="1"/>
              </w:rPr>
              <w:t>i</w:t>
            </w:r>
            <w:r w:rsidRPr="00420C1B">
              <w:rPr>
                <w:rFonts w:ascii="Times New Roman" w:hAnsi="Times New Roman"/>
              </w:rPr>
              <w:t xml:space="preserve">ène </w:t>
            </w:r>
            <w:r w:rsidRPr="00420C1B">
              <w:rPr>
                <w:rFonts w:ascii="Times New Roman" w:hAnsi="Times New Roman"/>
                <w:spacing w:val="-2"/>
              </w:rPr>
              <w:t>e</w:t>
            </w:r>
            <w:r w:rsidRPr="00420C1B">
              <w:rPr>
                <w:rFonts w:ascii="Times New Roman" w:hAnsi="Times New Roman"/>
              </w:rPr>
              <w:t>t Séc</w:t>
            </w:r>
            <w:r w:rsidRPr="00420C1B">
              <w:rPr>
                <w:rFonts w:ascii="Times New Roman" w:hAnsi="Times New Roman"/>
                <w:spacing w:val="-2"/>
              </w:rPr>
              <w:t>u</w:t>
            </w:r>
            <w:r w:rsidRPr="00420C1B">
              <w:rPr>
                <w:rFonts w:ascii="Times New Roman" w:hAnsi="Times New Roman"/>
                <w:spacing w:val="1"/>
              </w:rPr>
              <w:t>r</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 xml:space="preserve">é </w:t>
            </w:r>
            <w:r w:rsidRPr="00420C1B">
              <w:rPr>
                <w:rFonts w:ascii="Times New Roman" w:hAnsi="Times New Roman"/>
                <w:spacing w:val="-4"/>
              </w:rPr>
              <w:t>e</w:t>
            </w:r>
            <w:r w:rsidRPr="00420C1B">
              <w:rPr>
                <w:rFonts w:ascii="Times New Roman" w:hAnsi="Times New Roman"/>
              </w:rPr>
              <w:t xml:space="preserve">t de </w:t>
            </w:r>
            <w:r w:rsidRPr="00420C1B">
              <w:rPr>
                <w:rFonts w:ascii="Times New Roman" w:hAnsi="Times New Roman"/>
                <w:spacing w:val="1"/>
              </w:rPr>
              <w:t>s</w:t>
            </w:r>
            <w:r w:rsidRPr="00420C1B">
              <w:rPr>
                <w:rFonts w:ascii="Times New Roman" w:hAnsi="Times New Roman"/>
              </w:rPr>
              <w:t>a</w:t>
            </w:r>
            <w:r w:rsidRPr="00420C1B">
              <w:rPr>
                <w:rFonts w:ascii="Times New Roman" w:hAnsi="Times New Roman"/>
                <w:spacing w:val="-2"/>
              </w:rPr>
              <w:t>n</w:t>
            </w:r>
            <w:r w:rsidRPr="00420C1B">
              <w:rPr>
                <w:rFonts w:ascii="Times New Roman" w:hAnsi="Times New Roman"/>
                <w:spacing w:val="-1"/>
              </w:rPr>
              <w:t>t</w:t>
            </w:r>
            <w:r w:rsidRPr="00420C1B">
              <w:rPr>
                <w:rFonts w:ascii="Times New Roman" w:hAnsi="Times New Roman"/>
              </w:rPr>
              <w:t>é.</w:t>
            </w:r>
          </w:p>
          <w:p w14:paraId="196E7339"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rPr>
              <w:t xml:space="preserve">Le </w:t>
            </w:r>
            <w:r w:rsidRPr="00420C1B">
              <w:rPr>
                <w:rFonts w:ascii="Times New Roman" w:hAnsi="Times New Roman"/>
                <w:spacing w:val="1"/>
              </w:rPr>
              <w:t>r</w:t>
            </w:r>
            <w:r w:rsidRPr="00420C1B">
              <w:rPr>
                <w:rFonts w:ascii="Times New Roman" w:hAnsi="Times New Roman"/>
                <w:spacing w:val="-4"/>
              </w:rPr>
              <w:t>e</w:t>
            </w:r>
            <w:r w:rsidRPr="00420C1B">
              <w:rPr>
                <w:rFonts w:ascii="Times New Roman" w:hAnsi="Times New Roman"/>
              </w:rPr>
              <w:t>spo</w:t>
            </w:r>
            <w:r w:rsidRPr="00420C1B">
              <w:rPr>
                <w:rFonts w:ascii="Times New Roman" w:hAnsi="Times New Roman"/>
                <w:spacing w:val="-2"/>
              </w:rPr>
              <w:t>n</w:t>
            </w:r>
            <w:r w:rsidRPr="00420C1B">
              <w:rPr>
                <w:rFonts w:ascii="Times New Roman" w:hAnsi="Times New Roman"/>
                <w:spacing w:val="1"/>
              </w:rPr>
              <w:t>s</w:t>
            </w:r>
            <w:r w:rsidRPr="00420C1B">
              <w:rPr>
                <w:rFonts w:ascii="Times New Roman" w:hAnsi="Times New Roman"/>
              </w:rPr>
              <w:t>a</w:t>
            </w:r>
            <w:r w:rsidRPr="00420C1B">
              <w:rPr>
                <w:rFonts w:ascii="Times New Roman" w:hAnsi="Times New Roman"/>
                <w:spacing w:val="-2"/>
              </w:rPr>
              <w:t>b</w:t>
            </w:r>
            <w:r w:rsidRPr="00420C1B">
              <w:rPr>
                <w:rFonts w:ascii="Times New Roman" w:hAnsi="Times New Roman"/>
                <w:spacing w:val="-1"/>
              </w:rPr>
              <w:t>l</w:t>
            </w:r>
            <w:r w:rsidRPr="00420C1B">
              <w:rPr>
                <w:rFonts w:ascii="Times New Roman" w:hAnsi="Times New Roman"/>
              </w:rPr>
              <w:t>e</w:t>
            </w:r>
            <w:r w:rsidRPr="00420C1B">
              <w:rPr>
                <w:rFonts w:ascii="Times New Roman" w:hAnsi="Times New Roman"/>
                <w:spacing w:val="1"/>
              </w:rPr>
              <w:t xml:space="preserve"> s</w:t>
            </w:r>
            <w:r w:rsidRPr="00420C1B">
              <w:rPr>
                <w:rFonts w:ascii="Times New Roman" w:hAnsi="Times New Roman"/>
                <w:spacing w:val="-2"/>
              </w:rPr>
              <w:t>éc</w:t>
            </w:r>
            <w:r w:rsidRPr="00420C1B">
              <w:rPr>
                <w:rFonts w:ascii="Times New Roman" w:hAnsi="Times New Roman"/>
                <w:spacing w:val="1"/>
              </w:rPr>
              <w:t>ur</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é</w:t>
            </w:r>
            <w:r w:rsidRPr="00420C1B">
              <w:rPr>
                <w:rFonts w:ascii="Times New Roman" w:hAnsi="Times New Roman"/>
                <w:spacing w:val="-2"/>
              </w:rPr>
              <w:t xml:space="preserve"> r</w:t>
            </w:r>
            <w:r w:rsidRPr="00420C1B">
              <w:rPr>
                <w:rFonts w:ascii="Times New Roman" w:hAnsi="Times New Roman"/>
              </w:rPr>
              <w:t>a</w:t>
            </w:r>
            <w:r w:rsidRPr="00420C1B">
              <w:rPr>
                <w:rFonts w:ascii="Times New Roman" w:hAnsi="Times New Roman"/>
                <w:spacing w:val="-2"/>
              </w:rPr>
              <w:t>p</w:t>
            </w:r>
            <w:r w:rsidRPr="00420C1B">
              <w:rPr>
                <w:rFonts w:ascii="Times New Roman" w:hAnsi="Times New Roman"/>
              </w:rPr>
              <w:t>po</w:t>
            </w:r>
            <w:r w:rsidRPr="00420C1B">
              <w:rPr>
                <w:rFonts w:ascii="Times New Roman" w:hAnsi="Times New Roman"/>
                <w:spacing w:val="-2"/>
              </w:rPr>
              <w:t>r</w:t>
            </w:r>
            <w:r w:rsidRPr="00420C1B">
              <w:rPr>
                <w:rFonts w:ascii="Times New Roman" w:hAnsi="Times New Roman"/>
                <w:spacing w:val="1"/>
              </w:rPr>
              <w:t>t</w:t>
            </w:r>
            <w:r w:rsidRPr="00420C1B">
              <w:rPr>
                <w:rFonts w:ascii="Times New Roman" w:hAnsi="Times New Roman"/>
              </w:rPr>
              <w:t>e d</w:t>
            </w:r>
            <w:r w:rsidRPr="00420C1B">
              <w:rPr>
                <w:rFonts w:ascii="Times New Roman" w:hAnsi="Times New Roman"/>
                <w:spacing w:val="1"/>
              </w:rPr>
              <w:t>ir</w:t>
            </w:r>
            <w:r w:rsidRPr="00420C1B">
              <w:rPr>
                <w:rFonts w:ascii="Times New Roman" w:hAnsi="Times New Roman"/>
                <w:spacing w:val="-2"/>
              </w:rPr>
              <w:t>ec</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6"/>
              </w:rPr>
              <w:t>m</w:t>
            </w:r>
            <w:r w:rsidRPr="00420C1B">
              <w:rPr>
                <w:rFonts w:ascii="Times New Roman" w:hAnsi="Times New Roman"/>
              </w:rPr>
              <w:t>ent au C</w:t>
            </w:r>
            <w:r w:rsidRPr="00420C1B">
              <w:rPr>
                <w:rFonts w:ascii="Times New Roman" w:hAnsi="Times New Roman"/>
                <w:spacing w:val="-3"/>
              </w:rPr>
              <w:t>h</w:t>
            </w:r>
            <w:r w:rsidRPr="00420C1B">
              <w:rPr>
                <w:rFonts w:ascii="Times New Roman" w:hAnsi="Times New Roman"/>
                <w:spacing w:val="-2"/>
              </w:rPr>
              <w:t>e</w:t>
            </w:r>
            <w:r w:rsidRPr="00420C1B">
              <w:rPr>
                <w:rFonts w:ascii="Times New Roman" w:hAnsi="Times New Roman"/>
              </w:rPr>
              <w:t xml:space="preserve">f de </w:t>
            </w:r>
            <w:r w:rsidRPr="00420C1B">
              <w:rPr>
                <w:rFonts w:ascii="Times New Roman" w:hAnsi="Times New Roman"/>
                <w:spacing w:val="-3"/>
              </w:rPr>
              <w:t>P</w:t>
            </w:r>
            <w:r w:rsidRPr="00420C1B">
              <w:rPr>
                <w:rFonts w:ascii="Times New Roman" w:hAnsi="Times New Roman"/>
                <w:spacing w:val="1"/>
              </w:rPr>
              <w:t>r</w:t>
            </w:r>
            <w:r w:rsidRPr="00420C1B">
              <w:rPr>
                <w:rFonts w:ascii="Times New Roman" w:hAnsi="Times New Roman"/>
                <w:spacing w:val="-5"/>
              </w:rPr>
              <w:t>o</w:t>
            </w:r>
            <w:r w:rsidRPr="00420C1B">
              <w:rPr>
                <w:rFonts w:ascii="Times New Roman" w:hAnsi="Times New Roman"/>
                <w:spacing w:val="3"/>
              </w:rPr>
              <w:t>j</w:t>
            </w:r>
            <w:r w:rsidRPr="00420C1B">
              <w:rPr>
                <w:rFonts w:ascii="Times New Roman" w:hAnsi="Times New Roman"/>
                <w:spacing w:val="-2"/>
              </w:rPr>
              <w:t>et</w:t>
            </w:r>
          </w:p>
          <w:p w14:paraId="3D470808"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spacing w:val="-1"/>
              </w:rPr>
            </w:pPr>
            <w:r w:rsidRPr="00420C1B">
              <w:rPr>
                <w:rFonts w:ascii="Times New Roman" w:hAnsi="Times New Roman"/>
                <w:spacing w:val="-9"/>
              </w:rPr>
              <w:t>I</w:t>
            </w:r>
            <w:r w:rsidRPr="00420C1B">
              <w:rPr>
                <w:rFonts w:ascii="Times New Roman" w:hAnsi="Times New Roman"/>
              </w:rPr>
              <w:t>l an</w:t>
            </w:r>
            <w:r w:rsidRPr="00420C1B">
              <w:rPr>
                <w:rFonts w:ascii="Times New Roman" w:hAnsi="Times New Roman"/>
                <w:spacing w:val="3"/>
              </w:rPr>
              <w:t>i</w:t>
            </w:r>
            <w:r w:rsidRPr="00420C1B">
              <w:rPr>
                <w:rFonts w:ascii="Times New Roman" w:hAnsi="Times New Roman"/>
                <w:spacing w:val="-9"/>
              </w:rPr>
              <w:t>m</w:t>
            </w:r>
            <w:r w:rsidRPr="00420C1B">
              <w:rPr>
                <w:rFonts w:ascii="Times New Roman" w:hAnsi="Times New Roman"/>
              </w:rPr>
              <w:t>e</w:t>
            </w:r>
            <w:r w:rsidRPr="00420C1B">
              <w:rPr>
                <w:rFonts w:ascii="Times New Roman" w:hAnsi="Times New Roman"/>
                <w:spacing w:val="1"/>
              </w:rPr>
              <w:t xml:space="preserve"> l</w:t>
            </w:r>
            <w:r w:rsidRPr="00420C1B">
              <w:rPr>
                <w:rFonts w:ascii="Times New Roman" w:hAnsi="Times New Roman"/>
              </w:rPr>
              <w:t>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5"/>
              </w:rPr>
              <w:t>g</w:t>
            </w:r>
            <w:r w:rsidRPr="00420C1B">
              <w:rPr>
                <w:rFonts w:ascii="Times New Roman" w:hAnsi="Times New Roman"/>
                <w:spacing w:val="1"/>
              </w:rPr>
              <w:t>r</w:t>
            </w:r>
            <w:r w:rsidRPr="00420C1B">
              <w:rPr>
                <w:rFonts w:ascii="Times New Roman" w:hAnsi="Times New Roman"/>
              </w:rPr>
              <w:t>a</w:t>
            </w:r>
            <w:r w:rsidRPr="00420C1B">
              <w:rPr>
                <w:rFonts w:ascii="Times New Roman" w:hAnsi="Times New Roman"/>
                <w:spacing w:val="-1"/>
              </w:rPr>
              <w:t>m</w:t>
            </w:r>
            <w:r w:rsidRPr="00420C1B">
              <w:rPr>
                <w:rFonts w:ascii="Times New Roman" w:hAnsi="Times New Roman"/>
                <w:spacing w:val="-9"/>
              </w:rPr>
              <w:t>m</w:t>
            </w:r>
            <w:r w:rsidRPr="00420C1B">
              <w:rPr>
                <w:rFonts w:ascii="Times New Roman" w:hAnsi="Times New Roman"/>
              </w:rPr>
              <w:t>e</w:t>
            </w:r>
            <w:r w:rsidRPr="00420C1B">
              <w:rPr>
                <w:rFonts w:ascii="Times New Roman" w:hAnsi="Times New Roman"/>
                <w:spacing w:val="1"/>
              </w:rPr>
              <w:t xml:space="preserve"> s</w:t>
            </w:r>
            <w:r w:rsidRPr="00420C1B">
              <w:rPr>
                <w:rFonts w:ascii="Times New Roman" w:hAnsi="Times New Roman"/>
              </w:rPr>
              <w:t>éc</w:t>
            </w:r>
            <w:r w:rsidRPr="00420C1B">
              <w:rPr>
                <w:rFonts w:ascii="Times New Roman" w:hAnsi="Times New Roman"/>
                <w:spacing w:val="-2"/>
              </w:rPr>
              <w:t>u</w:t>
            </w:r>
            <w:r w:rsidRPr="00420C1B">
              <w:rPr>
                <w:rFonts w:ascii="Times New Roman" w:hAnsi="Times New Roman"/>
                <w:spacing w:val="1"/>
              </w:rPr>
              <w:t>rit</w:t>
            </w:r>
            <w:r w:rsidRPr="00420C1B">
              <w:rPr>
                <w:rFonts w:ascii="Times New Roman" w:hAnsi="Times New Roman"/>
              </w:rPr>
              <w:t xml:space="preserve">é </w:t>
            </w:r>
            <w:r w:rsidRPr="00420C1B">
              <w:rPr>
                <w:rFonts w:ascii="Times New Roman" w:hAnsi="Times New Roman"/>
                <w:spacing w:val="-2"/>
              </w:rPr>
              <w:t>e</w:t>
            </w:r>
            <w:r w:rsidRPr="00420C1B">
              <w:rPr>
                <w:rFonts w:ascii="Times New Roman" w:hAnsi="Times New Roman"/>
              </w:rPr>
              <w:t>t con</w:t>
            </w:r>
            <w:r w:rsidRPr="00420C1B">
              <w:rPr>
                <w:rFonts w:ascii="Times New Roman" w:hAnsi="Times New Roman"/>
                <w:spacing w:val="1"/>
              </w:rPr>
              <w:t>s</w:t>
            </w:r>
            <w:r w:rsidRPr="00420C1B">
              <w:rPr>
                <w:rFonts w:ascii="Times New Roman" w:hAnsi="Times New Roman"/>
                <w:spacing w:val="-2"/>
              </w:rPr>
              <w:t>e</w:t>
            </w:r>
            <w:r w:rsidRPr="00420C1B">
              <w:rPr>
                <w:rFonts w:ascii="Times New Roman" w:hAnsi="Times New Roman"/>
                <w:spacing w:val="-1"/>
              </w:rPr>
              <w:t>i</w:t>
            </w:r>
            <w:r w:rsidRPr="00420C1B">
              <w:rPr>
                <w:rFonts w:ascii="Times New Roman" w:hAnsi="Times New Roman"/>
                <w:spacing w:val="1"/>
              </w:rPr>
              <w:t>ll</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2"/>
              </w:rPr>
              <w:t>re</w:t>
            </w:r>
            <w:r w:rsidRPr="00420C1B">
              <w:rPr>
                <w:rFonts w:ascii="Times New Roman" w:hAnsi="Times New Roman"/>
              </w:rPr>
              <w:t>spo</w:t>
            </w:r>
            <w:r w:rsidRPr="00420C1B">
              <w:rPr>
                <w:rFonts w:ascii="Times New Roman" w:hAnsi="Times New Roman"/>
                <w:spacing w:val="-1"/>
              </w:rPr>
              <w:t>n</w:t>
            </w:r>
            <w:r w:rsidRPr="00420C1B">
              <w:rPr>
                <w:rFonts w:ascii="Times New Roman" w:hAnsi="Times New Roman"/>
                <w:spacing w:val="1"/>
              </w:rPr>
              <w:t>s</w:t>
            </w:r>
            <w:r w:rsidRPr="00420C1B">
              <w:rPr>
                <w:rFonts w:ascii="Times New Roman" w:hAnsi="Times New Roman"/>
                <w:spacing w:val="-2"/>
              </w:rPr>
              <w:t>ab</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4"/>
              </w:rPr>
              <w:t>s</w:t>
            </w:r>
            <w:r w:rsidRPr="00420C1B">
              <w:rPr>
                <w:rFonts w:ascii="Times New Roman" w:hAnsi="Times New Roman"/>
              </w:rPr>
              <w:t xml:space="preserve">ur </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2"/>
              </w:rPr>
              <w:t>s</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 xml:space="preserve">es qui </w:t>
            </w:r>
            <w:r w:rsidRPr="00420C1B">
              <w:rPr>
                <w:rFonts w:ascii="Times New Roman" w:hAnsi="Times New Roman"/>
                <w:spacing w:val="-2"/>
              </w:rPr>
              <w:t>r</w:t>
            </w:r>
            <w:r w:rsidRPr="00420C1B">
              <w:rPr>
                <w:rFonts w:ascii="Times New Roman" w:hAnsi="Times New Roman"/>
              </w:rPr>
              <w:t>e</w:t>
            </w:r>
            <w:r w:rsidRPr="00420C1B">
              <w:rPr>
                <w:rFonts w:ascii="Times New Roman" w:hAnsi="Times New Roman"/>
                <w:spacing w:val="-2"/>
              </w:rPr>
              <w:t>s</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2"/>
              </w:rPr>
              <w:t>n</w:t>
            </w:r>
            <w:r w:rsidRPr="00420C1B">
              <w:rPr>
                <w:rFonts w:ascii="Times New Roman" w:hAnsi="Times New Roman"/>
              </w:rPr>
              <w:t>t</w:t>
            </w:r>
            <w:r w:rsidRPr="00420C1B">
              <w:rPr>
                <w:rFonts w:ascii="Times New Roman" w:hAnsi="Times New Roman"/>
                <w:spacing w:val="1"/>
              </w:rPr>
              <w:t xml:space="preserve"> r</w:t>
            </w:r>
            <w:r w:rsidRPr="00420C1B">
              <w:rPr>
                <w:rFonts w:ascii="Times New Roman" w:hAnsi="Times New Roman"/>
                <w:spacing w:val="-2"/>
              </w:rPr>
              <w:t>es</w:t>
            </w:r>
            <w:r w:rsidRPr="00420C1B">
              <w:rPr>
                <w:rFonts w:ascii="Times New Roman" w:hAnsi="Times New Roman"/>
              </w:rPr>
              <w:t>po</w:t>
            </w:r>
            <w:r w:rsidRPr="00420C1B">
              <w:rPr>
                <w:rFonts w:ascii="Times New Roman" w:hAnsi="Times New Roman"/>
                <w:spacing w:val="-2"/>
              </w:rPr>
              <w:t>n</w:t>
            </w:r>
            <w:r w:rsidRPr="00420C1B">
              <w:rPr>
                <w:rFonts w:ascii="Times New Roman" w:hAnsi="Times New Roman"/>
                <w:spacing w:val="1"/>
              </w:rPr>
              <w:t>sa</w:t>
            </w:r>
            <w:r w:rsidRPr="00420C1B">
              <w:rPr>
                <w:rFonts w:ascii="Times New Roman" w:hAnsi="Times New Roman"/>
                <w:spacing w:val="-2"/>
              </w:rPr>
              <w:t>b</w:t>
            </w:r>
            <w:r w:rsidRPr="00420C1B">
              <w:rPr>
                <w:rFonts w:ascii="Times New Roman" w:hAnsi="Times New Roman"/>
                <w:spacing w:val="1"/>
              </w:rPr>
              <w:t>l</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2"/>
              </w:rPr>
              <w:t>d</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 xml:space="preserve">a </w:t>
            </w:r>
            <w:r w:rsidRPr="00420C1B">
              <w:rPr>
                <w:rFonts w:ascii="Times New Roman" w:hAnsi="Times New Roman"/>
                <w:spacing w:val="-2"/>
              </w:rPr>
              <w:t>s</w:t>
            </w:r>
            <w:r w:rsidRPr="00420C1B">
              <w:rPr>
                <w:rFonts w:ascii="Times New Roman" w:hAnsi="Times New Roman"/>
              </w:rPr>
              <w:t>éc</w:t>
            </w:r>
            <w:r w:rsidRPr="00420C1B">
              <w:rPr>
                <w:rFonts w:ascii="Times New Roman" w:hAnsi="Times New Roman"/>
                <w:spacing w:val="-2"/>
              </w:rPr>
              <w:t>ur</w:t>
            </w:r>
            <w:r w:rsidRPr="00420C1B">
              <w:rPr>
                <w:rFonts w:ascii="Times New Roman" w:hAnsi="Times New Roman"/>
                <w:spacing w:val="1"/>
              </w:rPr>
              <w:t>i</w:t>
            </w:r>
            <w:r w:rsidRPr="00420C1B">
              <w:rPr>
                <w:rFonts w:ascii="Times New Roman" w:hAnsi="Times New Roman"/>
                <w:spacing w:val="-1"/>
              </w:rPr>
              <w:t>t</w:t>
            </w:r>
            <w:r w:rsidRPr="00420C1B">
              <w:rPr>
                <w:rFonts w:ascii="Times New Roman" w:hAnsi="Times New Roman"/>
              </w:rPr>
              <w:t xml:space="preserve">é de </w:t>
            </w:r>
            <w:r w:rsidRPr="00420C1B">
              <w:rPr>
                <w:rFonts w:ascii="Times New Roman" w:hAnsi="Times New Roman"/>
                <w:spacing w:val="1"/>
              </w:rPr>
              <w:t>l</w:t>
            </w:r>
            <w:r w:rsidRPr="00420C1B">
              <w:rPr>
                <w:rFonts w:ascii="Times New Roman" w:hAnsi="Times New Roman"/>
              </w:rPr>
              <w:t>eur p</w:t>
            </w:r>
            <w:r w:rsidRPr="00420C1B">
              <w:rPr>
                <w:rFonts w:ascii="Times New Roman" w:hAnsi="Times New Roman"/>
                <w:spacing w:val="-2"/>
              </w:rPr>
              <w:t>e</w:t>
            </w:r>
            <w:r w:rsidRPr="00420C1B">
              <w:rPr>
                <w:rFonts w:ascii="Times New Roman" w:hAnsi="Times New Roman"/>
                <w:spacing w:val="1"/>
              </w:rPr>
              <w:t>r</w:t>
            </w:r>
            <w:r w:rsidRPr="00420C1B">
              <w:rPr>
                <w:rFonts w:ascii="Times New Roman" w:hAnsi="Times New Roman"/>
              </w:rPr>
              <w:t>s</w:t>
            </w:r>
            <w:r w:rsidRPr="00420C1B">
              <w:rPr>
                <w:rFonts w:ascii="Times New Roman" w:hAnsi="Times New Roman"/>
                <w:spacing w:val="-2"/>
              </w:rPr>
              <w:t>o</w:t>
            </w:r>
            <w:r w:rsidRPr="00420C1B">
              <w:rPr>
                <w:rFonts w:ascii="Times New Roman" w:hAnsi="Times New Roman"/>
              </w:rPr>
              <w:t>n</w:t>
            </w:r>
            <w:r w:rsidRPr="00420C1B">
              <w:rPr>
                <w:rFonts w:ascii="Times New Roman" w:hAnsi="Times New Roman"/>
                <w:spacing w:val="-2"/>
              </w:rPr>
              <w:t>n</w:t>
            </w:r>
            <w:r w:rsidRPr="00420C1B">
              <w:rPr>
                <w:rFonts w:ascii="Times New Roman" w:hAnsi="Times New Roman"/>
              </w:rPr>
              <w:t>el s</w:t>
            </w:r>
            <w:r w:rsidRPr="00420C1B">
              <w:rPr>
                <w:rFonts w:ascii="Times New Roman" w:hAnsi="Times New Roman"/>
                <w:spacing w:val="-2"/>
              </w:rPr>
              <w:t>u</w:t>
            </w:r>
            <w:r w:rsidRPr="00420C1B">
              <w:rPr>
                <w:rFonts w:ascii="Times New Roman" w:hAnsi="Times New Roman"/>
              </w:rPr>
              <w:t xml:space="preserve">r </w:t>
            </w:r>
            <w:r w:rsidRPr="00420C1B">
              <w:rPr>
                <w:rFonts w:ascii="Times New Roman" w:hAnsi="Times New Roman"/>
                <w:spacing w:val="-1"/>
              </w:rPr>
              <w:t>l</w:t>
            </w:r>
            <w:r w:rsidRPr="00420C1B">
              <w:rPr>
                <w:rFonts w:ascii="Times New Roman" w:hAnsi="Times New Roman"/>
              </w:rPr>
              <w:t>e ch</w:t>
            </w:r>
            <w:r w:rsidRPr="00420C1B">
              <w:rPr>
                <w:rFonts w:ascii="Times New Roman" w:hAnsi="Times New Roman"/>
                <w:spacing w:val="1"/>
              </w:rPr>
              <w:t>a</w:t>
            </w:r>
            <w:r w:rsidRPr="00420C1B">
              <w:rPr>
                <w:rFonts w:ascii="Times New Roman" w:hAnsi="Times New Roman"/>
                <w:spacing w:val="-5"/>
              </w:rPr>
              <w:t>n</w:t>
            </w:r>
            <w:r w:rsidRPr="00420C1B">
              <w:rPr>
                <w:rFonts w:ascii="Times New Roman" w:hAnsi="Times New Roman"/>
                <w:spacing w:val="-1"/>
              </w:rPr>
              <w:t>tier</w:t>
            </w:r>
          </w:p>
          <w:p w14:paraId="690BE8D4"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w:t>
            </w:r>
            <w:r w:rsidRPr="00420C1B">
              <w:rPr>
                <w:rFonts w:ascii="Times New Roman" w:hAnsi="Times New Roman"/>
              </w:rPr>
              <w:t xml:space="preserve">l </w:t>
            </w:r>
            <w:r w:rsidRPr="00420C1B">
              <w:rPr>
                <w:rFonts w:ascii="Times New Roman" w:hAnsi="Times New Roman"/>
                <w:spacing w:val="-5"/>
              </w:rPr>
              <w:t>v</w:t>
            </w:r>
            <w:r w:rsidRPr="00420C1B">
              <w:rPr>
                <w:rFonts w:ascii="Times New Roman" w:hAnsi="Times New Roman"/>
              </w:rPr>
              <w:t>é</w:t>
            </w:r>
            <w:r w:rsidRPr="00420C1B">
              <w:rPr>
                <w:rFonts w:ascii="Times New Roman" w:hAnsi="Times New Roman"/>
                <w:spacing w:val="1"/>
              </w:rPr>
              <w:t>ri</w:t>
            </w:r>
            <w:r w:rsidRPr="00420C1B">
              <w:rPr>
                <w:rFonts w:ascii="Times New Roman" w:hAnsi="Times New Roman"/>
                <w:spacing w:val="-2"/>
              </w:rPr>
              <w:t>f</w:t>
            </w:r>
            <w:r w:rsidRPr="00420C1B">
              <w:rPr>
                <w:rFonts w:ascii="Times New Roman" w:hAnsi="Times New Roman"/>
                <w:spacing w:val="1"/>
              </w:rPr>
              <w:t>i</w:t>
            </w:r>
            <w:r w:rsidRPr="00420C1B">
              <w:rPr>
                <w:rFonts w:ascii="Times New Roman" w:hAnsi="Times New Roman"/>
              </w:rPr>
              <w:t xml:space="preserve">e </w:t>
            </w:r>
            <w:r w:rsidRPr="00420C1B">
              <w:rPr>
                <w:rFonts w:ascii="Times New Roman" w:hAnsi="Times New Roman"/>
                <w:spacing w:val="-2"/>
              </w:rPr>
              <w:t>e</w:t>
            </w:r>
            <w:r w:rsidRPr="00420C1B">
              <w:rPr>
                <w:rFonts w:ascii="Times New Roman" w:hAnsi="Times New Roman"/>
              </w:rPr>
              <w:t xml:space="preserve">t </w:t>
            </w:r>
            <w:r w:rsidRPr="00420C1B">
              <w:rPr>
                <w:rFonts w:ascii="Times New Roman" w:hAnsi="Times New Roman"/>
                <w:spacing w:val="-2"/>
              </w:rPr>
              <w:t>r</w:t>
            </w:r>
            <w:r w:rsidRPr="00420C1B">
              <w:rPr>
                <w:rFonts w:ascii="Times New Roman" w:hAnsi="Times New Roman"/>
              </w:rPr>
              <w:t xml:space="preserve">end </w:t>
            </w:r>
            <w:r w:rsidRPr="00420C1B">
              <w:rPr>
                <w:rFonts w:ascii="Times New Roman" w:hAnsi="Times New Roman"/>
                <w:spacing w:val="-2"/>
              </w:rPr>
              <w:t>c</w:t>
            </w:r>
            <w:r w:rsidRPr="00420C1B">
              <w:rPr>
                <w:rFonts w:ascii="Times New Roman" w:hAnsi="Times New Roman"/>
              </w:rPr>
              <w:t>o</w:t>
            </w:r>
            <w:r w:rsidRPr="00420C1B">
              <w:rPr>
                <w:rFonts w:ascii="Times New Roman" w:hAnsi="Times New Roman"/>
                <w:spacing w:val="-8"/>
              </w:rPr>
              <w:t>m</w:t>
            </w:r>
            <w:r w:rsidRPr="00420C1B">
              <w:rPr>
                <w:rFonts w:ascii="Times New Roman" w:hAnsi="Times New Roman"/>
              </w:rPr>
              <w:t>p</w:t>
            </w:r>
            <w:r w:rsidRPr="00420C1B">
              <w:rPr>
                <w:rFonts w:ascii="Times New Roman" w:hAnsi="Times New Roman"/>
                <w:spacing w:val="1"/>
              </w:rPr>
              <w:t>t</w:t>
            </w:r>
            <w:r w:rsidRPr="00420C1B">
              <w:rPr>
                <w:rFonts w:ascii="Times New Roman" w:hAnsi="Times New Roman"/>
              </w:rPr>
              <w:t>e de l</w:t>
            </w:r>
            <w:r w:rsidRPr="00420C1B">
              <w:rPr>
                <w:rFonts w:ascii="Times New Roman" w:hAnsi="Times New Roman"/>
                <w:spacing w:val="1"/>
              </w:rPr>
              <w:t>’</w:t>
            </w:r>
            <w:r w:rsidRPr="00420C1B">
              <w:rPr>
                <w:rFonts w:ascii="Times New Roman" w:hAnsi="Times New Roman"/>
              </w:rPr>
              <w:t>e</w:t>
            </w:r>
            <w:r w:rsidRPr="00420C1B">
              <w:rPr>
                <w:rFonts w:ascii="Times New Roman" w:hAnsi="Times New Roman"/>
                <w:spacing w:val="1"/>
              </w:rPr>
              <w:t>ffi</w:t>
            </w:r>
            <w:r w:rsidRPr="00420C1B">
              <w:rPr>
                <w:rFonts w:ascii="Times New Roman" w:hAnsi="Times New Roman"/>
              </w:rPr>
              <w:t>c</w:t>
            </w:r>
            <w:r w:rsidRPr="00420C1B">
              <w:rPr>
                <w:rFonts w:ascii="Times New Roman" w:hAnsi="Times New Roman"/>
                <w:spacing w:val="-2"/>
              </w:rPr>
              <w:t>ac</w:t>
            </w:r>
            <w:r w:rsidRPr="00420C1B">
              <w:rPr>
                <w:rFonts w:ascii="Times New Roman" w:hAnsi="Times New Roman"/>
                <w:spacing w:val="1"/>
              </w:rPr>
              <w:t>it</w:t>
            </w:r>
            <w:r w:rsidRPr="00420C1B">
              <w:rPr>
                <w:rFonts w:ascii="Times New Roman" w:hAnsi="Times New Roman"/>
              </w:rPr>
              <w:t>é des é</w:t>
            </w:r>
            <w:r w:rsidRPr="00420C1B">
              <w:rPr>
                <w:rFonts w:ascii="Times New Roman" w:hAnsi="Times New Roman"/>
                <w:spacing w:val="-2"/>
              </w:rPr>
              <w:t>q</w:t>
            </w:r>
            <w:r w:rsidRPr="00420C1B">
              <w:rPr>
                <w:rFonts w:ascii="Times New Roman" w:hAnsi="Times New Roman"/>
              </w:rPr>
              <w:t>u</w:t>
            </w:r>
            <w:r w:rsidRPr="00420C1B">
              <w:rPr>
                <w:rFonts w:ascii="Times New Roman" w:hAnsi="Times New Roman"/>
                <w:spacing w:val="1"/>
              </w:rPr>
              <w:t>i</w:t>
            </w:r>
            <w:r w:rsidRPr="00420C1B">
              <w:rPr>
                <w:rFonts w:ascii="Times New Roman" w:hAnsi="Times New Roman"/>
                <w:spacing w:val="-2"/>
              </w:rPr>
              <w:t>p</w:t>
            </w:r>
            <w:r w:rsidRPr="00420C1B">
              <w:rPr>
                <w:rFonts w:ascii="Times New Roman" w:hAnsi="Times New Roman"/>
              </w:rPr>
              <w:t>e</w:t>
            </w:r>
            <w:r w:rsidRPr="00420C1B">
              <w:rPr>
                <w:rFonts w:ascii="Times New Roman" w:hAnsi="Times New Roman"/>
                <w:spacing w:val="-6"/>
              </w:rPr>
              <w:t>m</w:t>
            </w:r>
            <w:r w:rsidRPr="00420C1B">
              <w:rPr>
                <w:rFonts w:ascii="Times New Roman" w:hAnsi="Times New Roman"/>
              </w:rPr>
              <w:t>en</w:t>
            </w:r>
            <w:r w:rsidRPr="00420C1B">
              <w:rPr>
                <w:rFonts w:ascii="Times New Roman" w:hAnsi="Times New Roman"/>
                <w:spacing w:val="1"/>
              </w:rPr>
              <w:t>t</w:t>
            </w:r>
            <w:r w:rsidRPr="00420C1B">
              <w:rPr>
                <w:rFonts w:ascii="Times New Roman" w:hAnsi="Times New Roman"/>
              </w:rPr>
              <w:t xml:space="preserve">s </w:t>
            </w:r>
            <w:r w:rsidRPr="00420C1B">
              <w:rPr>
                <w:rFonts w:ascii="Times New Roman" w:hAnsi="Times New Roman"/>
                <w:spacing w:val="-2"/>
              </w:rPr>
              <w:t>e</w:t>
            </w:r>
            <w:r w:rsidRPr="00420C1B">
              <w:rPr>
                <w:rFonts w:ascii="Times New Roman" w:hAnsi="Times New Roman"/>
              </w:rPr>
              <w:t xml:space="preserve">t </w:t>
            </w:r>
            <w:r w:rsidRPr="00420C1B">
              <w:rPr>
                <w:rFonts w:ascii="Times New Roman" w:hAnsi="Times New Roman"/>
                <w:spacing w:val="-2"/>
              </w:rPr>
              <w:t>d</w:t>
            </w:r>
            <w:r w:rsidRPr="00420C1B">
              <w:rPr>
                <w:rFonts w:ascii="Times New Roman" w:hAnsi="Times New Roman"/>
              </w:rPr>
              <w:t>es p</w:t>
            </w:r>
            <w:r w:rsidRPr="00420C1B">
              <w:rPr>
                <w:rFonts w:ascii="Times New Roman" w:hAnsi="Times New Roman"/>
                <w:spacing w:val="1"/>
              </w:rPr>
              <w:t>r</w:t>
            </w:r>
            <w:r w:rsidRPr="00420C1B">
              <w:rPr>
                <w:rFonts w:ascii="Times New Roman" w:hAnsi="Times New Roman"/>
                <w:spacing w:val="-5"/>
              </w:rPr>
              <w:t>o</w:t>
            </w:r>
            <w:r w:rsidRPr="00420C1B">
              <w:rPr>
                <w:rFonts w:ascii="Times New Roman" w:hAnsi="Times New Roman"/>
              </w:rPr>
              <w:t>cédu</w:t>
            </w:r>
            <w:r w:rsidRPr="00420C1B">
              <w:rPr>
                <w:rFonts w:ascii="Times New Roman" w:hAnsi="Times New Roman"/>
                <w:spacing w:val="-4"/>
              </w:rPr>
              <w:t>r</w:t>
            </w:r>
            <w:r w:rsidRPr="00420C1B">
              <w:rPr>
                <w:rFonts w:ascii="Times New Roman" w:hAnsi="Times New Roman"/>
              </w:rPr>
              <w:t>es é</w:t>
            </w:r>
            <w:r w:rsidRPr="00420C1B">
              <w:rPr>
                <w:rFonts w:ascii="Times New Roman" w:hAnsi="Times New Roman"/>
                <w:spacing w:val="1"/>
              </w:rPr>
              <w:t>t</w:t>
            </w:r>
            <w:r w:rsidRPr="00420C1B">
              <w:rPr>
                <w:rFonts w:ascii="Times New Roman" w:hAnsi="Times New Roman"/>
              </w:rPr>
              <w:t>a</w:t>
            </w:r>
            <w:r w:rsidRPr="00420C1B">
              <w:rPr>
                <w:rFonts w:ascii="Times New Roman" w:hAnsi="Times New Roman"/>
                <w:spacing w:val="-2"/>
              </w:rPr>
              <w:t>b</w:t>
            </w:r>
            <w:r w:rsidRPr="00420C1B">
              <w:rPr>
                <w:rFonts w:ascii="Times New Roman" w:hAnsi="Times New Roman"/>
                <w:spacing w:val="-1"/>
              </w:rPr>
              <w:t>l</w:t>
            </w:r>
            <w:r w:rsidRPr="00420C1B">
              <w:rPr>
                <w:rFonts w:ascii="Times New Roman" w:hAnsi="Times New Roman"/>
                <w:spacing w:val="1"/>
              </w:rPr>
              <w:t>i</w:t>
            </w:r>
            <w:r w:rsidRPr="00420C1B">
              <w:rPr>
                <w:rFonts w:ascii="Times New Roman" w:hAnsi="Times New Roman"/>
              </w:rPr>
              <w:t>es p</w:t>
            </w:r>
            <w:r w:rsidRPr="00420C1B">
              <w:rPr>
                <w:rFonts w:ascii="Times New Roman" w:hAnsi="Times New Roman"/>
                <w:spacing w:val="-2"/>
              </w:rPr>
              <w:t>ou</w:t>
            </w:r>
            <w:r w:rsidRPr="00420C1B">
              <w:rPr>
                <w:rFonts w:ascii="Times New Roman" w:hAnsi="Times New Roman"/>
              </w:rPr>
              <w:t xml:space="preserve">r </w:t>
            </w:r>
            <w:r w:rsidRPr="00420C1B">
              <w:rPr>
                <w:rFonts w:ascii="Times New Roman" w:hAnsi="Times New Roman"/>
                <w:spacing w:val="1"/>
              </w:rPr>
              <w:t>f</w:t>
            </w:r>
            <w:r w:rsidRPr="00420C1B">
              <w:rPr>
                <w:rFonts w:ascii="Times New Roman" w:hAnsi="Times New Roman"/>
                <w:spacing w:val="-2"/>
              </w:rPr>
              <w:t>a</w:t>
            </w:r>
            <w:r w:rsidRPr="00420C1B">
              <w:rPr>
                <w:rFonts w:ascii="Times New Roman" w:hAnsi="Times New Roman"/>
                <w:spacing w:val="1"/>
              </w:rPr>
              <w:t>ir</w:t>
            </w:r>
            <w:r w:rsidRPr="00420C1B">
              <w:rPr>
                <w:rFonts w:ascii="Times New Roman" w:hAnsi="Times New Roman"/>
              </w:rPr>
              <w:t>e</w:t>
            </w:r>
            <w:r w:rsidRPr="00420C1B">
              <w:rPr>
                <w:rFonts w:ascii="Times New Roman" w:hAnsi="Times New Roman"/>
                <w:spacing w:val="-2"/>
              </w:rPr>
              <w:t xml:space="preserve"> f</w:t>
            </w:r>
            <w:r w:rsidRPr="00420C1B">
              <w:rPr>
                <w:rFonts w:ascii="Times New Roman" w:hAnsi="Times New Roman"/>
                <w:spacing w:val="1"/>
              </w:rPr>
              <w:t>a</w:t>
            </w:r>
            <w:r w:rsidRPr="00420C1B">
              <w:rPr>
                <w:rFonts w:ascii="Times New Roman" w:hAnsi="Times New Roman"/>
                <w:spacing w:val="-2"/>
              </w:rPr>
              <w:t>c</w:t>
            </w:r>
            <w:r w:rsidRPr="00420C1B">
              <w:rPr>
                <w:rFonts w:ascii="Times New Roman" w:hAnsi="Times New Roman"/>
              </w:rPr>
              <w:t xml:space="preserve">e aux </w:t>
            </w:r>
            <w:r w:rsidRPr="00420C1B">
              <w:rPr>
                <w:rFonts w:ascii="Times New Roman" w:hAnsi="Times New Roman"/>
                <w:spacing w:val="1"/>
              </w:rPr>
              <w:t>i</w:t>
            </w:r>
            <w:r w:rsidRPr="00420C1B">
              <w:rPr>
                <w:rFonts w:ascii="Times New Roman" w:hAnsi="Times New Roman"/>
              </w:rPr>
              <w:t>nc</w:t>
            </w:r>
            <w:r w:rsidRPr="00420C1B">
              <w:rPr>
                <w:rFonts w:ascii="Times New Roman" w:hAnsi="Times New Roman"/>
                <w:spacing w:val="1"/>
              </w:rPr>
              <w:t>e</w:t>
            </w:r>
            <w:r w:rsidRPr="00420C1B">
              <w:rPr>
                <w:rFonts w:ascii="Times New Roman" w:hAnsi="Times New Roman"/>
                <w:spacing w:val="-2"/>
              </w:rPr>
              <w:t>n</w:t>
            </w:r>
            <w:r w:rsidRPr="00420C1B">
              <w:rPr>
                <w:rFonts w:ascii="Times New Roman" w:hAnsi="Times New Roman"/>
              </w:rPr>
              <w:t>d</w:t>
            </w:r>
            <w:r w:rsidRPr="00420C1B">
              <w:rPr>
                <w:rFonts w:ascii="Times New Roman" w:hAnsi="Times New Roman"/>
                <w:spacing w:val="1"/>
              </w:rPr>
              <w:t>i</w:t>
            </w:r>
            <w:r w:rsidRPr="00420C1B">
              <w:rPr>
                <w:rFonts w:ascii="Times New Roman" w:hAnsi="Times New Roman"/>
                <w:spacing w:val="-4"/>
              </w:rPr>
              <w:t>e</w:t>
            </w:r>
            <w:r w:rsidRPr="00420C1B">
              <w:rPr>
                <w:rFonts w:ascii="Times New Roman" w:hAnsi="Times New Roman"/>
              </w:rPr>
              <w:t>s ou à</w:t>
            </w:r>
            <w:r w:rsidRPr="00420C1B">
              <w:rPr>
                <w:rFonts w:ascii="Times New Roman" w:hAnsi="Times New Roman"/>
                <w:spacing w:val="1"/>
              </w:rPr>
              <w:t xml:space="preserve"> 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rPr>
              <w:t>t a</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spacing w:val="-2"/>
              </w:rPr>
              <w:t>r</w:t>
            </w:r>
            <w:r w:rsidRPr="00420C1B">
              <w:rPr>
                <w:rFonts w:ascii="Times New Roman" w:hAnsi="Times New Roman"/>
              </w:rPr>
              <w:t xml:space="preserve">e </w:t>
            </w:r>
            <w:r w:rsidRPr="00420C1B">
              <w:rPr>
                <w:rFonts w:ascii="Times New Roman" w:hAnsi="Times New Roman"/>
                <w:spacing w:val="-2"/>
              </w:rPr>
              <w:t>s</w:t>
            </w:r>
            <w:r w:rsidRPr="00420C1B">
              <w:rPr>
                <w:rFonts w:ascii="Times New Roman" w:hAnsi="Times New Roman"/>
                <w:spacing w:val="1"/>
              </w:rPr>
              <w:t>i</w:t>
            </w:r>
            <w:r w:rsidRPr="00420C1B">
              <w:rPr>
                <w:rFonts w:ascii="Times New Roman" w:hAnsi="Times New Roman"/>
                <w:spacing w:val="-2"/>
              </w:rPr>
              <w:t>n</w:t>
            </w:r>
            <w:r w:rsidRPr="00420C1B">
              <w:rPr>
                <w:rFonts w:ascii="Times New Roman" w:hAnsi="Times New Roman"/>
                <w:spacing w:val="-1"/>
              </w:rPr>
              <w:t>i</w:t>
            </w:r>
            <w:r w:rsidRPr="00420C1B">
              <w:rPr>
                <w:rFonts w:ascii="Times New Roman" w:hAnsi="Times New Roman"/>
                <w:spacing w:val="-2"/>
              </w:rPr>
              <w:t>s</w:t>
            </w:r>
            <w:r w:rsidRPr="00420C1B">
              <w:rPr>
                <w:rFonts w:ascii="Times New Roman" w:hAnsi="Times New Roman"/>
                <w:spacing w:val="1"/>
              </w:rPr>
              <w:t>tr</w:t>
            </w:r>
            <w:r w:rsidRPr="00420C1B">
              <w:rPr>
                <w:rFonts w:ascii="Times New Roman" w:hAnsi="Times New Roman"/>
              </w:rPr>
              <w:t>e.</w:t>
            </w:r>
          </w:p>
        </w:tc>
      </w:tr>
      <w:tr w:rsidR="00D75D2E" w:rsidRPr="00420C1B" w14:paraId="3165F636" w14:textId="77777777" w:rsidTr="00215867">
        <w:trPr>
          <w:trHeight w:val="20"/>
          <w:jc w:val="center"/>
        </w:trPr>
        <w:tc>
          <w:tcPr>
            <w:tcW w:w="627" w:type="dxa"/>
            <w:tcBorders>
              <w:top w:val="single" w:sz="4" w:space="0" w:color="000000"/>
              <w:left w:val="single" w:sz="4" w:space="0" w:color="000000"/>
              <w:bottom w:val="single" w:sz="4" w:space="0" w:color="000000"/>
              <w:right w:val="single" w:sz="4" w:space="0" w:color="000000"/>
            </w:tcBorders>
            <w:hideMark/>
          </w:tcPr>
          <w:p w14:paraId="7BADF538" w14:textId="77777777" w:rsidR="000705BE" w:rsidRPr="00420C1B" w:rsidRDefault="000705BE">
            <w:pPr>
              <w:widowControl w:val="0"/>
              <w:tabs>
                <w:tab w:val="left" w:pos="0"/>
              </w:tabs>
              <w:spacing w:after="0"/>
              <w:ind w:left="255" w:right="250"/>
              <w:jc w:val="both"/>
              <w:rPr>
                <w:rFonts w:ascii="Times New Roman" w:hAnsi="Times New Roman"/>
              </w:rPr>
            </w:pPr>
            <w:r w:rsidRPr="00420C1B">
              <w:rPr>
                <w:rFonts w:ascii="Times New Roman" w:hAnsi="Times New Roman"/>
              </w:rPr>
              <w:t>3</w:t>
            </w:r>
          </w:p>
        </w:tc>
        <w:tc>
          <w:tcPr>
            <w:tcW w:w="2208" w:type="dxa"/>
            <w:tcBorders>
              <w:top w:val="single" w:sz="4" w:space="0" w:color="000000"/>
              <w:left w:val="single" w:sz="4" w:space="0" w:color="000000"/>
              <w:bottom w:val="single" w:sz="4" w:space="0" w:color="000000"/>
              <w:right w:val="single" w:sz="4" w:space="0" w:color="000000"/>
            </w:tcBorders>
            <w:vAlign w:val="center"/>
          </w:tcPr>
          <w:p w14:paraId="5BA56B17" w14:textId="77777777" w:rsidR="000705BE" w:rsidRPr="00420C1B" w:rsidRDefault="000705BE">
            <w:pPr>
              <w:widowControl w:val="0"/>
              <w:tabs>
                <w:tab w:val="left" w:pos="0"/>
              </w:tabs>
              <w:spacing w:after="0"/>
              <w:jc w:val="both"/>
              <w:rPr>
                <w:rFonts w:ascii="Times New Roman" w:hAnsi="Times New Roman"/>
              </w:rPr>
            </w:pPr>
            <w:r w:rsidRPr="00420C1B">
              <w:rPr>
                <w:rFonts w:ascii="Times New Roman" w:hAnsi="Times New Roman"/>
              </w:rPr>
              <w:t>Chefs d’équipes/Chefs chantiers</w:t>
            </w:r>
          </w:p>
          <w:p w14:paraId="740A3408" w14:textId="77777777" w:rsidR="000705BE" w:rsidRPr="00420C1B" w:rsidRDefault="000705BE">
            <w:pPr>
              <w:widowControl w:val="0"/>
              <w:tabs>
                <w:tab w:val="left" w:pos="0"/>
              </w:tabs>
              <w:spacing w:after="0"/>
              <w:jc w:val="both"/>
              <w:rPr>
                <w:rFonts w:ascii="Times New Roman" w:hAnsi="Times New Roman"/>
              </w:rPr>
            </w:pPr>
          </w:p>
        </w:tc>
        <w:tc>
          <w:tcPr>
            <w:tcW w:w="6238" w:type="dxa"/>
            <w:tcBorders>
              <w:top w:val="single" w:sz="4" w:space="0" w:color="000000"/>
              <w:left w:val="single" w:sz="4" w:space="0" w:color="000000"/>
              <w:bottom w:val="single" w:sz="4" w:space="0" w:color="000000"/>
              <w:right w:val="single" w:sz="4" w:space="0" w:color="000000"/>
            </w:tcBorders>
            <w:hideMark/>
          </w:tcPr>
          <w:p w14:paraId="467B1F93"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spacing w:val="-9"/>
              </w:rPr>
            </w:pPr>
            <w:r w:rsidRPr="00420C1B">
              <w:rPr>
                <w:rFonts w:ascii="Times New Roman" w:hAnsi="Times New Roman"/>
                <w:spacing w:val="-9"/>
              </w:rPr>
              <w:t>Ils exécutent tous les travaux en accord avec les procédures d’Hygiène, sanitaires, sécuritaires et environnementales établies dans le présent PHSS ;</w:t>
            </w:r>
          </w:p>
          <w:p w14:paraId="7C77303A"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spacing w:val="-9"/>
              </w:rPr>
            </w:pPr>
            <w:r w:rsidRPr="00420C1B">
              <w:rPr>
                <w:rFonts w:ascii="Times New Roman" w:hAnsi="Times New Roman"/>
                <w:spacing w:val="-9"/>
              </w:rPr>
              <w:t>Ils organisent des échanges avec leurs équipes de façon à leur rappeler les règles, les méthodes de travail et les conseils sur toutes les précautions à prendre.</w:t>
            </w:r>
          </w:p>
          <w:p w14:paraId="03821B82" w14:textId="77777777" w:rsidR="000705BE" w:rsidRPr="00420C1B" w:rsidRDefault="000705BE" w:rsidP="008C79F0">
            <w:pPr>
              <w:pStyle w:val="Paragraphedeliste"/>
              <w:widowControl w:val="0"/>
              <w:numPr>
                <w:ilvl w:val="0"/>
                <w:numId w:val="178"/>
              </w:numPr>
              <w:tabs>
                <w:tab w:val="left" w:pos="0"/>
              </w:tabs>
              <w:suppressAutoHyphens/>
              <w:spacing w:after="0" w:line="276" w:lineRule="auto"/>
              <w:ind w:left="473"/>
              <w:jc w:val="both"/>
              <w:rPr>
                <w:rFonts w:ascii="Times New Roman" w:hAnsi="Times New Roman"/>
              </w:rPr>
            </w:pPr>
            <w:r w:rsidRPr="00420C1B">
              <w:rPr>
                <w:rFonts w:ascii="Times New Roman" w:hAnsi="Times New Roman"/>
                <w:spacing w:val="-9"/>
              </w:rPr>
              <w:t>Ils amènent les sous-traitants travaillant avec eux à se conformer à la politique hygiène, sécurité et santé de l'entreprise</w:t>
            </w:r>
            <w:r w:rsidRPr="00420C1B">
              <w:rPr>
                <w:rFonts w:ascii="Times New Roman" w:hAnsi="Times New Roman"/>
              </w:rPr>
              <w:t>.</w:t>
            </w:r>
          </w:p>
        </w:tc>
      </w:tr>
      <w:tr w:rsidR="001111A2" w:rsidRPr="00420C1B" w14:paraId="6E1B710C" w14:textId="77777777" w:rsidTr="00215867">
        <w:trPr>
          <w:trHeight w:val="20"/>
          <w:jc w:val="center"/>
        </w:trPr>
        <w:tc>
          <w:tcPr>
            <w:tcW w:w="627" w:type="dxa"/>
            <w:tcBorders>
              <w:top w:val="single" w:sz="4" w:space="0" w:color="000000"/>
              <w:left w:val="single" w:sz="4" w:space="0" w:color="000000"/>
              <w:bottom w:val="single" w:sz="4" w:space="0" w:color="000000"/>
              <w:right w:val="single" w:sz="4" w:space="0" w:color="000000"/>
            </w:tcBorders>
            <w:hideMark/>
          </w:tcPr>
          <w:p w14:paraId="2FA340FF" w14:textId="77777777" w:rsidR="000705BE" w:rsidRPr="00420C1B" w:rsidRDefault="000705BE">
            <w:pPr>
              <w:widowControl w:val="0"/>
              <w:tabs>
                <w:tab w:val="left" w:pos="0"/>
              </w:tabs>
              <w:spacing w:after="0"/>
              <w:ind w:left="255" w:right="250"/>
              <w:jc w:val="both"/>
              <w:rPr>
                <w:rFonts w:ascii="Times New Roman" w:hAnsi="Times New Roman"/>
              </w:rPr>
            </w:pPr>
            <w:r w:rsidRPr="00420C1B">
              <w:rPr>
                <w:rFonts w:ascii="Times New Roman" w:hAnsi="Times New Roman"/>
              </w:rPr>
              <w:t>4</w:t>
            </w:r>
          </w:p>
        </w:tc>
        <w:tc>
          <w:tcPr>
            <w:tcW w:w="2208" w:type="dxa"/>
            <w:tcBorders>
              <w:top w:val="single" w:sz="4" w:space="0" w:color="000000"/>
              <w:left w:val="single" w:sz="4" w:space="0" w:color="000000"/>
              <w:bottom w:val="single" w:sz="4" w:space="0" w:color="000000"/>
              <w:right w:val="single" w:sz="4" w:space="0" w:color="000000"/>
            </w:tcBorders>
            <w:vAlign w:val="center"/>
          </w:tcPr>
          <w:p w14:paraId="25014623" w14:textId="77777777" w:rsidR="000705BE" w:rsidRPr="00420C1B" w:rsidRDefault="000705BE">
            <w:pPr>
              <w:widowControl w:val="0"/>
              <w:tabs>
                <w:tab w:val="left" w:pos="0"/>
              </w:tabs>
              <w:spacing w:after="0"/>
              <w:jc w:val="both"/>
              <w:rPr>
                <w:rFonts w:ascii="Times New Roman" w:hAnsi="Times New Roman"/>
                <w:bCs/>
              </w:rPr>
            </w:pPr>
            <w:r w:rsidRPr="00420C1B">
              <w:rPr>
                <w:rFonts w:ascii="Times New Roman" w:hAnsi="Times New Roman"/>
                <w:bCs/>
              </w:rPr>
              <w:t>Sous-traitants</w:t>
            </w:r>
          </w:p>
          <w:p w14:paraId="3CEC7BD7" w14:textId="77777777" w:rsidR="000705BE" w:rsidRPr="00420C1B" w:rsidRDefault="000705BE">
            <w:pPr>
              <w:widowControl w:val="0"/>
              <w:tabs>
                <w:tab w:val="left" w:pos="0"/>
              </w:tabs>
              <w:spacing w:after="0"/>
              <w:jc w:val="both"/>
              <w:rPr>
                <w:rFonts w:ascii="Times New Roman" w:hAnsi="Times New Roman"/>
                <w:bCs/>
              </w:rPr>
            </w:pPr>
          </w:p>
          <w:p w14:paraId="5757B9C0" w14:textId="77777777" w:rsidR="000705BE" w:rsidRPr="00420C1B" w:rsidRDefault="000705BE">
            <w:pPr>
              <w:widowControl w:val="0"/>
              <w:tabs>
                <w:tab w:val="left" w:pos="0"/>
              </w:tabs>
              <w:spacing w:after="0"/>
              <w:jc w:val="both"/>
              <w:rPr>
                <w:rFonts w:ascii="Times New Roman" w:hAnsi="Times New Roman"/>
                <w:bCs/>
              </w:rPr>
            </w:pPr>
          </w:p>
          <w:p w14:paraId="5B7DE200" w14:textId="77777777" w:rsidR="000705BE" w:rsidRPr="00420C1B" w:rsidRDefault="000705BE">
            <w:pPr>
              <w:widowControl w:val="0"/>
              <w:tabs>
                <w:tab w:val="left" w:pos="0"/>
              </w:tabs>
              <w:spacing w:after="0"/>
              <w:jc w:val="both"/>
              <w:rPr>
                <w:rFonts w:ascii="Times New Roman" w:hAnsi="Times New Roman"/>
                <w:bCs/>
              </w:rPr>
            </w:pPr>
          </w:p>
          <w:p w14:paraId="0753FF62" w14:textId="77777777" w:rsidR="000705BE" w:rsidRPr="00420C1B" w:rsidRDefault="000705BE">
            <w:pPr>
              <w:widowControl w:val="0"/>
              <w:tabs>
                <w:tab w:val="left" w:pos="0"/>
              </w:tabs>
              <w:spacing w:after="0"/>
              <w:jc w:val="both"/>
              <w:rPr>
                <w:rFonts w:ascii="Times New Roman" w:hAnsi="Times New Roman"/>
                <w:bCs/>
              </w:rPr>
            </w:pPr>
          </w:p>
          <w:p w14:paraId="3C78FCDD" w14:textId="77777777" w:rsidR="000705BE" w:rsidRPr="00420C1B" w:rsidRDefault="000705BE">
            <w:pPr>
              <w:widowControl w:val="0"/>
              <w:tabs>
                <w:tab w:val="left" w:pos="0"/>
              </w:tabs>
              <w:spacing w:after="0"/>
              <w:jc w:val="both"/>
              <w:rPr>
                <w:rFonts w:ascii="Times New Roman" w:hAnsi="Times New Roman"/>
                <w:bCs/>
              </w:rPr>
            </w:pPr>
          </w:p>
          <w:p w14:paraId="08896ED9" w14:textId="77777777" w:rsidR="000705BE" w:rsidRPr="00420C1B" w:rsidRDefault="000705BE">
            <w:pPr>
              <w:widowControl w:val="0"/>
              <w:tabs>
                <w:tab w:val="left" w:pos="0"/>
              </w:tabs>
              <w:spacing w:after="0"/>
              <w:jc w:val="both"/>
              <w:rPr>
                <w:rFonts w:ascii="Times New Roman" w:hAnsi="Times New Roman"/>
              </w:rPr>
            </w:pPr>
          </w:p>
        </w:tc>
        <w:tc>
          <w:tcPr>
            <w:tcW w:w="6238" w:type="dxa"/>
            <w:tcBorders>
              <w:top w:val="single" w:sz="4" w:space="0" w:color="000000"/>
              <w:left w:val="single" w:sz="4" w:space="0" w:color="000000"/>
              <w:bottom w:val="single" w:sz="4" w:space="0" w:color="000000"/>
              <w:right w:val="single" w:sz="4" w:space="0" w:color="000000"/>
            </w:tcBorders>
          </w:tcPr>
          <w:p w14:paraId="1B6E3607" w14:textId="283C7C3E" w:rsidR="000705BE" w:rsidRPr="00420C1B" w:rsidRDefault="000705BE">
            <w:pPr>
              <w:widowControl w:val="0"/>
              <w:tabs>
                <w:tab w:val="left" w:pos="0"/>
              </w:tabs>
              <w:spacing w:after="0"/>
              <w:ind w:right="-63"/>
              <w:jc w:val="both"/>
              <w:rPr>
                <w:rFonts w:ascii="Times New Roman" w:hAnsi="Times New Roman"/>
                <w:bCs/>
              </w:rPr>
            </w:pPr>
            <w:r w:rsidRPr="00420C1B">
              <w:rPr>
                <w:rFonts w:ascii="Times New Roman" w:hAnsi="Times New Roman"/>
                <w:bCs/>
              </w:rPr>
              <w:t>Les sous-traitant</w:t>
            </w:r>
            <w:r w:rsidR="004E5302" w:rsidRPr="00420C1B">
              <w:rPr>
                <w:rFonts w:ascii="Times New Roman" w:hAnsi="Times New Roman"/>
                <w:bCs/>
              </w:rPr>
              <w:t>s</w:t>
            </w:r>
            <w:r w:rsidRPr="00420C1B">
              <w:rPr>
                <w:rFonts w:ascii="Times New Roman" w:hAnsi="Times New Roman"/>
                <w:bCs/>
              </w:rPr>
              <w:t xml:space="preserve"> travaillant sous le contrôle des entreprises s’engagent à respecter toutes les mesures de protections concernant la santé la sécurité et l’environnement</w:t>
            </w:r>
            <w:r w:rsidR="001400F9" w:rsidRPr="00420C1B">
              <w:rPr>
                <w:rFonts w:ascii="Times New Roman" w:hAnsi="Times New Roman"/>
                <w:bCs/>
              </w:rPr>
              <w:t>, y compris les aspects sociaux et ces liés à l’EAS/HS</w:t>
            </w:r>
            <w:r w:rsidRPr="00420C1B">
              <w:rPr>
                <w:rFonts w:ascii="Times New Roman" w:hAnsi="Times New Roman"/>
                <w:bCs/>
              </w:rPr>
              <w:t xml:space="preserve">  Le respect de ces normes est une composante indispensable à la collaboration avec l’entreprise. Tous les sous-traitant</w:t>
            </w:r>
            <w:r w:rsidR="004E5302" w:rsidRPr="00420C1B">
              <w:rPr>
                <w:rFonts w:ascii="Times New Roman" w:hAnsi="Times New Roman"/>
                <w:bCs/>
              </w:rPr>
              <w:t>s</w:t>
            </w:r>
            <w:r w:rsidRPr="00420C1B">
              <w:rPr>
                <w:rFonts w:ascii="Times New Roman" w:hAnsi="Times New Roman"/>
                <w:bCs/>
              </w:rPr>
              <w:t xml:space="preserve"> ne respectant pas les dispositions et règles en matière de HSSE sur le site verront leur contrat de sous-traitance résiliés. Les sous-traitants sont évalués par l’entreprise en fonction de leur degré d’implication dans le respect des mesures HSSE.</w:t>
            </w:r>
          </w:p>
        </w:tc>
      </w:tr>
    </w:tbl>
    <w:p w14:paraId="2DCCD6A4" w14:textId="77777777" w:rsidR="00F16F4B" w:rsidRPr="00024B30" w:rsidRDefault="00F16F4B" w:rsidP="00E737B4">
      <w:pPr>
        <w:spacing w:before="80" w:after="0" w:line="240" w:lineRule="auto"/>
        <w:jc w:val="center"/>
        <w:rPr>
          <w:rFonts w:ascii="Times New Roman" w:hAnsi="Times New Roman"/>
          <w:bCs/>
          <w:i/>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124BDB">
        <w:rPr>
          <w:rFonts w:ascii="Times New Roman" w:hAnsi="Times New Roman"/>
          <w:bCs/>
          <w:i/>
          <w:sz w:val="24"/>
        </w:rPr>
        <w:t xml:space="preserve">&amp; </w:t>
      </w:r>
      <w:r w:rsidRPr="00E737B4">
        <w:rPr>
          <w:rFonts w:ascii="Times New Roman" w:hAnsi="Times New Roman"/>
          <w:bCs/>
          <w:i/>
          <w:sz w:val="24"/>
        </w:rPr>
        <w:t>DKO</w:t>
      </w:r>
      <w:r w:rsidR="00EE6526">
        <w:rPr>
          <w:rFonts w:ascii="Times New Roman" w:hAnsi="Times New Roman"/>
          <w:bCs/>
          <w:i/>
          <w:sz w:val="24"/>
        </w:rPr>
        <w:t>,</w:t>
      </w:r>
      <w:r w:rsidRPr="00E737B4">
        <w:rPr>
          <w:rFonts w:ascii="Times New Roman" w:hAnsi="Times New Roman"/>
          <w:bCs/>
          <w:i/>
          <w:sz w:val="24"/>
        </w:rPr>
        <w:t xml:space="preserve"> juillet 2021</w:t>
      </w:r>
    </w:p>
    <w:p w14:paraId="5635C381"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950" w:name="_Toc12288110"/>
      <w:bookmarkStart w:id="951" w:name="_Toc41310033"/>
      <w:bookmarkStart w:id="952" w:name="_Toc78602050"/>
      <w:bookmarkStart w:id="953" w:name="_Toc103685746"/>
      <w:r w:rsidRPr="00215867">
        <w:rPr>
          <w:rFonts w:eastAsia="Calibri"/>
          <w:i/>
          <w:u w:val="none"/>
        </w:rPr>
        <w:t>Dispositions en matière de secours et d’évacuation généralement prises par l’entrepris</w:t>
      </w:r>
      <w:bookmarkEnd w:id="950"/>
      <w:r w:rsidRPr="00215867">
        <w:rPr>
          <w:rFonts w:eastAsia="Calibri"/>
          <w:i/>
          <w:u w:val="none"/>
        </w:rPr>
        <w:t>e</w:t>
      </w:r>
      <w:bookmarkEnd w:id="951"/>
      <w:bookmarkEnd w:id="952"/>
      <w:bookmarkEnd w:id="953"/>
    </w:p>
    <w:p w14:paraId="679A0DDE" w14:textId="77777777" w:rsidR="000705BE" w:rsidRPr="00D75D2E" w:rsidRDefault="000705BE" w:rsidP="00E737B4">
      <w:pPr>
        <w:widowControl w:val="0"/>
        <w:tabs>
          <w:tab w:val="left" w:pos="0"/>
        </w:tabs>
        <w:spacing w:after="120" w:line="20" w:lineRule="atLeast"/>
        <w:ind w:left="116" w:right="152"/>
        <w:jc w:val="both"/>
        <w:rPr>
          <w:rFonts w:ascii="Times New Roman" w:hAnsi="Times New Roman"/>
          <w:sz w:val="24"/>
          <w:szCs w:val="24"/>
        </w:rPr>
      </w:pPr>
      <w:r w:rsidRPr="00D75D2E">
        <w:rPr>
          <w:rFonts w:ascii="Times New Roman" w:hAnsi="Times New Roman"/>
          <w:spacing w:val="-5"/>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p</w:t>
      </w:r>
      <w:r w:rsidRPr="00D75D2E">
        <w:rPr>
          <w:rFonts w:ascii="Times New Roman" w:hAnsi="Times New Roman"/>
          <w:spacing w:val="3"/>
          <w:sz w:val="24"/>
          <w:szCs w:val="24"/>
        </w:rPr>
        <w:t>l</w:t>
      </w:r>
      <w:r w:rsidRPr="00D75D2E">
        <w:rPr>
          <w:rFonts w:ascii="Times New Roman" w:hAnsi="Times New Roman"/>
          <w:spacing w:val="-1"/>
          <w:sz w:val="24"/>
          <w:szCs w:val="24"/>
        </w:rPr>
        <w:t>a</w:t>
      </w:r>
      <w:r w:rsidRPr="00D75D2E">
        <w:rPr>
          <w:rFonts w:ascii="Times New Roman" w:hAnsi="Times New Roman"/>
          <w:sz w:val="24"/>
          <w:szCs w:val="24"/>
        </w:rPr>
        <w:t>n de s</w:t>
      </w:r>
      <w:r w:rsidRPr="00D75D2E">
        <w:rPr>
          <w:rFonts w:ascii="Times New Roman" w:hAnsi="Times New Roman"/>
          <w:spacing w:val="-1"/>
          <w:sz w:val="24"/>
          <w:szCs w:val="24"/>
        </w:rPr>
        <w:t>éc</w:t>
      </w:r>
      <w:r w:rsidRPr="00D75D2E">
        <w:rPr>
          <w:rFonts w:ascii="Times New Roman" w:hAnsi="Times New Roman"/>
          <w:spacing w:val="2"/>
          <w:sz w:val="24"/>
          <w:szCs w:val="24"/>
        </w:rPr>
        <w:t>u</w:t>
      </w:r>
      <w:r w:rsidRPr="00D75D2E">
        <w:rPr>
          <w:rFonts w:ascii="Times New Roman" w:hAnsi="Times New Roman"/>
          <w:sz w:val="24"/>
          <w:szCs w:val="24"/>
        </w:rPr>
        <w:t xml:space="preserve">rité se </w:t>
      </w:r>
      <w:r w:rsidRPr="00D75D2E">
        <w:rPr>
          <w:rFonts w:ascii="Times New Roman" w:hAnsi="Times New Roman"/>
          <w:spacing w:val="-1"/>
          <w:sz w:val="24"/>
          <w:szCs w:val="24"/>
        </w:rPr>
        <w:t>f</w:t>
      </w:r>
      <w:r w:rsidRPr="00D75D2E">
        <w:rPr>
          <w:rFonts w:ascii="Times New Roman" w:hAnsi="Times New Roman"/>
          <w:spacing w:val="2"/>
          <w:sz w:val="24"/>
          <w:szCs w:val="24"/>
        </w:rPr>
        <w:t>o</w:t>
      </w:r>
      <w:r w:rsidRPr="00D75D2E">
        <w:rPr>
          <w:rFonts w:ascii="Times New Roman" w:hAnsi="Times New Roman"/>
          <w:spacing w:val="1"/>
          <w:sz w:val="24"/>
          <w:szCs w:val="24"/>
        </w:rPr>
        <w:t>n</w:t>
      </w:r>
      <w:r w:rsidRPr="00D75D2E">
        <w:rPr>
          <w:rFonts w:ascii="Times New Roman" w:hAnsi="Times New Roman"/>
          <w:sz w:val="24"/>
          <w:szCs w:val="24"/>
        </w:rPr>
        <w:t xml:space="preserve">de sur les </w:t>
      </w:r>
      <w:r w:rsidRPr="00D75D2E">
        <w:rPr>
          <w:rFonts w:ascii="Times New Roman" w:hAnsi="Times New Roman"/>
          <w:spacing w:val="-1"/>
          <w:sz w:val="24"/>
          <w:szCs w:val="24"/>
        </w:rPr>
        <w:t>c</w:t>
      </w:r>
      <w:r w:rsidRPr="00D75D2E">
        <w:rPr>
          <w:rFonts w:ascii="Times New Roman" w:hAnsi="Times New Roman"/>
          <w:sz w:val="24"/>
          <w:szCs w:val="24"/>
        </w:rPr>
        <w:t>ons</w:t>
      </w:r>
      <w:r w:rsidRPr="00D75D2E">
        <w:rPr>
          <w:rFonts w:ascii="Times New Roman" w:hAnsi="Times New Roman"/>
          <w:spacing w:val="1"/>
          <w:sz w:val="24"/>
          <w:szCs w:val="24"/>
        </w:rPr>
        <w:t>i</w:t>
      </w:r>
      <w:r w:rsidRPr="00D75D2E">
        <w:rPr>
          <w:rFonts w:ascii="Times New Roman" w:hAnsi="Times New Roman"/>
          <w:spacing w:val="-2"/>
          <w:sz w:val="24"/>
          <w:szCs w:val="24"/>
        </w:rPr>
        <w:t>g</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s de p</w:t>
      </w:r>
      <w:r w:rsidRPr="00D75D2E">
        <w:rPr>
          <w:rFonts w:ascii="Times New Roman" w:hAnsi="Times New Roman"/>
          <w:spacing w:val="2"/>
          <w:sz w:val="24"/>
          <w:szCs w:val="24"/>
        </w:rPr>
        <w:t>r</w:t>
      </w:r>
      <w:r w:rsidRPr="00D75D2E">
        <w:rPr>
          <w:rFonts w:ascii="Times New Roman" w:hAnsi="Times New Roman"/>
          <w:spacing w:val="-1"/>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ntion p</w:t>
      </w:r>
      <w:r w:rsidRPr="00D75D2E">
        <w:rPr>
          <w:rFonts w:ascii="Times New Roman" w:hAnsi="Times New Roman"/>
          <w:spacing w:val="-1"/>
          <w:sz w:val="24"/>
          <w:szCs w:val="24"/>
        </w:rPr>
        <w:t>e</w:t>
      </w:r>
      <w:r w:rsidRPr="00D75D2E">
        <w:rPr>
          <w:rFonts w:ascii="Times New Roman" w:hAnsi="Times New Roman"/>
          <w:sz w:val="24"/>
          <w:szCs w:val="24"/>
        </w:rPr>
        <w:t>nd</w:t>
      </w:r>
      <w:r w:rsidRPr="00D75D2E">
        <w:rPr>
          <w:rFonts w:ascii="Times New Roman" w:hAnsi="Times New Roman"/>
          <w:spacing w:val="-1"/>
          <w:sz w:val="24"/>
          <w:szCs w:val="24"/>
        </w:rPr>
        <w:t>a</w:t>
      </w:r>
      <w:r w:rsidRPr="00D75D2E">
        <w:rPr>
          <w:rFonts w:ascii="Times New Roman" w:hAnsi="Times New Roman"/>
          <w:sz w:val="24"/>
          <w:szCs w:val="24"/>
        </w:rPr>
        <w:t>nt l</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pacing w:val="2"/>
          <w:sz w:val="24"/>
          <w:szCs w:val="24"/>
        </w:rPr>
        <w:t>x</w:t>
      </w:r>
      <w:r w:rsidRPr="00D75D2E">
        <w:rPr>
          <w:rFonts w:ascii="Times New Roman" w:hAnsi="Times New Roman"/>
          <w:spacing w:val="1"/>
          <w:sz w:val="24"/>
          <w:szCs w:val="24"/>
        </w:rPr>
        <w:t>é</w:t>
      </w:r>
      <w:r w:rsidRPr="00D75D2E">
        <w:rPr>
          <w:rFonts w:ascii="Times New Roman" w:hAnsi="Times New Roman"/>
          <w:spacing w:val="-1"/>
          <w:sz w:val="24"/>
          <w:szCs w:val="24"/>
        </w:rPr>
        <w:t>c</w:t>
      </w:r>
      <w:r w:rsidRPr="00D75D2E">
        <w:rPr>
          <w:rFonts w:ascii="Times New Roman" w:hAnsi="Times New Roman"/>
          <w:sz w:val="24"/>
          <w:szCs w:val="24"/>
        </w:rPr>
        <w:t>ution d</w:t>
      </w:r>
      <w:r w:rsidRPr="00D75D2E">
        <w:rPr>
          <w:rFonts w:ascii="Times New Roman" w:hAnsi="Times New Roman"/>
          <w:spacing w:val="-1"/>
          <w:sz w:val="24"/>
          <w:szCs w:val="24"/>
        </w:rPr>
        <w:t>e</w:t>
      </w:r>
      <w:r w:rsidRPr="00D75D2E">
        <w:rPr>
          <w:rFonts w:ascii="Times New Roman" w:hAnsi="Times New Roman"/>
          <w:sz w:val="24"/>
          <w:szCs w:val="24"/>
        </w:rPr>
        <w:t>s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ux </w:t>
      </w:r>
      <w:r w:rsidRPr="00D75D2E">
        <w:rPr>
          <w:rFonts w:ascii="Times New Roman" w:hAnsi="Times New Roman"/>
          <w:spacing w:val="-3"/>
          <w:sz w:val="24"/>
          <w:szCs w:val="24"/>
        </w:rPr>
        <w:t>a</w:t>
      </w:r>
      <w:r w:rsidRPr="00D75D2E">
        <w:rPr>
          <w:rFonts w:ascii="Times New Roman" w:hAnsi="Times New Roman"/>
          <w:sz w:val="24"/>
          <w:szCs w:val="24"/>
        </w:rPr>
        <w:t>u nive</w:t>
      </w:r>
      <w:r w:rsidRPr="00D75D2E">
        <w:rPr>
          <w:rFonts w:ascii="Times New Roman" w:hAnsi="Times New Roman"/>
          <w:spacing w:val="-1"/>
          <w:sz w:val="24"/>
          <w:szCs w:val="24"/>
        </w:rPr>
        <w:t>a</w:t>
      </w:r>
      <w:r w:rsidRPr="00D75D2E">
        <w:rPr>
          <w:rFonts w:ascii="Times New Roman" w:hAnsi="Times New Roman"/>
          <w:sz w:val="24"/>
          <w:szCs w:val="24"/>
        </w:rPr>
        <w:t xml:space="preserve">u de </w:t>
      </w:r>
      <w:r w:rsidRPr="00D75D2E">
        <w:rPr>
          <w:rFonts w:ascii="Times New Roman" w:hAnsi="Times New Roman"/>
          <w:spacing w:val="-1"/>
          <w:sz w:val="24"/>
          <w:szCs w:val="24"/>
        </w:rPr>
        <w:t>c</w:t>
      </w:r>
      <w:r w:rsidRPr="00D75D2E">
        <w:rPr>
          <w:rFonts w:ascii="Times New Roman" w:hAnsi="Times New Roman"/>
          <w:spacing w:val="2"/>
          <w:sz w:val="24"/>
          <w:szCs w:val="24"/>
        </w:rPr>
        <w:t>h</w:t>
      </w:r>
      <w:r w:rsidRPr="00D75D2E">
        <w:rPr>
          <w:rFonts w:ascii="Times New Roman" w:hAnsi="Times New Roman"/>
          <w:spacing w:val="-1"/>
          <w:sz w:val="24"/>
          <w:szCs w:val="24"/>
        </w:rPr>
        <w:t>a</w:t>
      </w:r>
      <w:r w:rsidRPr="00D75D2E">
        <w:rPr>
          <w:rFonts w:ascii="Times New Roman" w:hAnsi="Times New Roman"/>
          <w:sz w:val="24"/>
          <w:szCs w:val="24"/>
        </w:rPr>
        <w:t xml:space="preserve">que poste </w:t>
      </w:r>
      <w:r w:rsidRPr="00D75D2E">
        <w:rPr>
          <w:rFonts w:ascii="Times New Roman" w:hAnsi="Times New Roman"/>
          <w:spacing w:val="5"/>
          <w:sz w:val="24"/>
          <w:szCs w:val="24"/>
        </w:rPr>
        <w:t>d</w:t>
      </w:r>
      <w:r w:rsidRPr="00D75D2E">
        <w:rPr>
          <w:rFonts w:ascii="Times New Roman" w:hAnsi="Times New Roman"/>
          <w:sz w:val="24"/>
          <w:szCs w:val="24"/>
        </w:rPr>
        <w:t>e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il. </w:t>
      </w:r>
      <w:r w:rsidRPr="00D75D2E">
        <w:rPr>
          <w:rFonts w:ascii="Times New Roman" w:hAnsi="Times New Roman"/>
          <w:spacing w:val="2"/>
          <w:sz w:val="24"/>
          <w:szCs w:val="24"/>
        </w:rPr>
        <w:t>N</w:t>
      </w:r>
      <w:r w:rsidRPr="00D75D2E">
        <w:rPr>
          <w:rFonts w:ascii="Times New Roman" w:hAnsi="Times New Roman"/>
          <w:spacing w:val="-1"/>
          <w:sz w:val="24"/>
          <w:szCs w:val="24"/>
        </w:rPr>
        <w:t>éa</w:t>
      </w:r>
      <w:r w:rsidRPr="00D75D2E">
        <w:rPr>
          <w:rFonts w:ascii="Times New Roman" w:hAnsi="Times New Roman"/>
          <w:sz w:val="24"/>
          <w:szCs w:val="24"/>
        </w:rPr>
        <w:t>nmoins, n</w:t>
      </w:r>
      <w:r w:rsidRPr="00D75D2E">
        <w:rPr>
          <w:rFonts w:ascii="Times New Roman" w:hAnsi="Times New Roman"/>
          <w:spacing w:val="2"/>
          <w:sz w:val="24"/>
          <w:szCs w:val="24"/>
        </w:rPr>
        <w:t>o</w:t>
      </w:r>
      <w:r w:rsidRPr="00D75D2E">
        <w:rPr>
          <w:rFonts w:ascii="Times New Roman" w:hAnsi="Times New Roman"/>
          <w:sz w:val="24"/>
          <w:szCs w:val="24"/>
        </w:rPr>
        <w:t>us si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a</w:t>
      </w:r>
      <w:r w:rsidRPr="00D75D2E">
        <w:rPr>
          <w:rFonts w:ascii="Times New Roman" w:hAnsi="Times New Roman"/>
          <w:sz w:val="24"/>
          <w:szCs w:val="24"/>
        </w:rPr>
        <w:t xml:space="preserve">lons que </w:t>
      </w:r>
      <w:r w:rsidRPr="00D75D2E">
        <w:rPr>
          <w:rFonts w:ascii="Times New Roman" w:hAnsi="Times New Roman"/>
          <w:spacing w:val="7"/>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5"/>
          <w:sz w:val="24"/>
          <w:szCs w:val="24"/>
        </w:rPr>
        <w:t>n</w:t>
      </w:r>
      <w:r w:rsidRPr="00D75D2E">
        <w:rPr>
          <w:rFonts w:ascii="Times New Roman" w:hAnsi="Times New Roman"/>
          <w:sz w:val="24"/>
          <w:szCs w:val="24"/>
        </w:rPr>
        <w:t>si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e</w:t>
      </w:r>
      <w:r w:rsidRPr="00D75D2E">
        <w:rPr>
          <w:rFonts w:ascii="Times New Roman" w:hAnsi="Times New Roman"/>
          <w:sz w:val="24"/>
          <w:szCs w:val="24"/>
        </w:rPr>
        <w:t>s p</w:t>
      </w:r>
      <w:r w:rsidRPr="00D75D2E">
        <w:rPr>
          <w:rFonts w:ascii="Times New Roman" w:hAnsi="Times New Roman"/>
          <w:spacing w:val="-1"/>
          <w:sz w:val="24"/>
          <w:szCs w:val="24"/>
        </w:rPr>
        <w:t>e</w:t>
      </w:r>
      <w:r w:rsidRPr="00D75D2E">
        <w:rPr>
          <w:rFonts w:ascii="Times New Roman" w:hAnsi="Times New Roman"/>
          <w:sz w:val="24"/>
          <w:szCs w:val="24"/>
        </w:rPr>
        <w:t>u</w:t>
      </w:r>
      <w:r w:rsidRPr="00D75D2E">
        <w:rPr>
          <w:rFonts w:ascii="Times New Roman" w:hAnsi="Times New Roman"/>
          <w:spacing w:val="2"/>
          <w:sz w:val="24"/>
          <w:szCs w:val="24"/>
        </w:rPr>
        <w:t>v</w:t>
      </w:r>
      <w:r w:rsidRPr="00D75D2E">
        <w:rPr>
          <w:rFonts w:ascii="Times New Roman" w:hAnsi="Times New Roman"/>
          <w:spacing w:val="-1"/>
          <w:sz w:val="24"/>
          <w:szCs w:val="24"/>
        </w:rPr>
        <w:t>e</w:t>
      </w:r>
      <w:r w:rsidRPr="00D75D2E">
        <w:rPr>
          <w:rFonts w:ascii="Times New Roman" w:hAnsi="Times New Roman"/>
          <w:sz w:val="24"/>
          <w:szCs w:val="24"/>
        </w:rPr>
        <w:t xml:space="preserve">nt </w:t>
      </w:r>
      <w:r w:rsidRPr="00D75D2E">
        <w:rPr>
          <w:rFonts w:ascii="Times New Roman" w:hAnsi="Times New Roman"/>
          <w:spacing w:val="-1"/>
          <w:sz w:val="24"/>
          <w:szCs w:val="24"/>
        </w:rPr>
        <w:t>ê</w:t>
      </w:r>
      <w:r w:rsidRPr="00D75D2E">
        <w:rPr>
          <w:rFonts w:ascii="Times New Roman" w:hAnsi="Times New Roman"/>
          <w:sz w:val="24"/>
          <w:szCs w:val="24"/>
        </w:rPr>
        <w:t>t</w:t>
      </w:r>
      <w:r w:rsidRPr="00D75D2E">
        <w:rPr>
          <w:rFonts w:ascii="Times New Roman" w:hAnsi="Times New Roman"/>
          <w:spacing w:val="2"/>
          <w:sz w:val="24"/>
          <w:szCs w:val="24"/>
        </w:rPr>
        <w:t>r</w:t>
      </w:r>
      <w:r w:rsidRPr="00D75D2E">
        <w:rPr>
          <w:rFonts w:ascii="Times New Roman" w:hAnsi="Times New Roman"/>
          <w:sz w:val="24"/>
          <w:szCs w:val="24"/>
        </w:rPr>
        <w:t xml:space="preserve">e </w:t>
      </w:r>
      <w:r w:rsidRPr="00D75D2E">
        <w:rPr>
          <w:rFonts w:ascii="Times New Roman" w:hAnsi="Times New Roman"/>
          <w:spacing w:val="-1"/>
          <w:sz w:val="24"/>
          <w:szCs w:val="24"/>
        </w:rPr>
        <w:t>c</w:t>
      </w:r>
      <w:r w:rsidRPr="00D75D2E">
        <w:rPr>
          <w:rFonts w:ascii="Times New Roman" w:hAnsi="Times New Roman"/>
          <w:sz w:val="24"/>
          <w:szCs w:val="24"/>
        </w:rPr>
        <w:t>ommun</w:t>
      </w:r>
      <w:r w:rsidRPr="00D75D2E">
        <w:rPr>
          <w:rFonts w:ascii="Times New Roman" w:hAnsi="Times New Roman"/>
          <w:spacing w:val="-1"/>
          <w:sz w:val="24"/>
          <w:szCs w:val="24"/>
        </w:rPr>
        <w:t>e</w:t>
      </w:r>
      <w:r w:rsidRPr="00D75D2E">
        <w:rPr>
          <w:rFonts w:ascii="Times New Roman" w:hAnsi="Times New Roman"/>
          <w:sz w:val="24"/>
          <w:szCs w:val="24"/>
        </w:rPr>
        <w:t>s à plu</w:t>
      </w:r>
      <w:r w:rsidRPr="00D75D2E">
        <w:rPr>
          <w:rFonts w:ascii="Times New Roman" w:hAnsi="Times New Roman"/>
          <w:spacing w:val="1"/>
          <w:sz w:val="24"/>
          <w:szCs w:val="24"/>
        </w:rPr>
        <w:t>s</w:t>
      </w:r>
      <w:r w:rsidRPr="00D75D2E">
        <w:rPr>
          <w:rFonts w:ascii="Times New Roman" w:hAnsi="Times New Roman"/>
          <w:sz w:val="24"/>
          <w:szCs w:val="24"/>
        </w:rPr>
        <w:t>i</w:t>
      </w:r>
      <w:r w:rsidRPr="00D75D2E">
        <w:rPr>
          <w:rFonts w:ascii="Times New Roman" w:hAnsi="Times New Roman"/>
          <w:spacing w:val="-1"/>
          <w:sz w:val="24"/>
          <w:szCs w:val="24"/>
        </w:rPr>
        <w:t>e</w:t>
      </w:r>
      <w:r w:rsidRPr="00D75D2E">
        <w:rPr>
          <w:rFonts w:ascii="Times New Roman" w:hAnsi="Times New Roman"/>
          <w:sz w:val="24"/>
          <w:szCs w:val="24"/>
        </w:rPr>
        <w:t>urs p</w:t>
      </w:r>
      <w:r w:rsidRPr="00D75D2E">
        <w:rPr>
          <w:rFonts w:ascii="Times New Roman" w:hAnsi="Times New Roman"/>
          <w:spacing w:val="3"/>
          <w:sz w:val="24"/>
          <w:szCs w:val="24"/>
        </w:rPr>
        <w:t>o</w:t>
      </w:r>
      <w:r w:rsidRPr="00D75D2E">
        <w:rPr>
          <w:rFonts w:ascii="Times New Roman" w:hAnsi="Times New Roman"/>
          <w:sz w:val="24"/>
          <w:szCs w:val="24"/>
        </w:rPr>
        <w:t>stes.</w:t>
      </w:r>
    </w:p>
    <w:p w14:paraId="1C12EDF8"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954" w:name="_Toc12288111"/>
      <w:bookmarkStart w:id="955" w:name="_Toc31276798"/>
      <w:bookmarkStart w:id="956" w:name="_Toc41310034"/>
      <w:bookmarkStart w:id="957" w:name="_Toc78602051"/>
      <w:bookmarkStart w:id="958" w:name="_Toc103685747"/>
      <w:r w:rsidRPr="00215867">
        <w:rPr>
          <w:rFonts w:eastAsia="Calibri"/>
          <w:i/>
          <w:u w:val="none"/>
        </w:rPr>
        <w:t>Mise en conformité</w:t>
      </w:r>
      <w:bookmarkEnd w:id="954"/>
      <w:bookmarkEnd w:id="955"/>
      <w:bookmarkEnd w:id="956"/>
      <w:bookmarkEnd w:id="957"/>
      <w:bookmarkEnd w:id="958"/>
    </w:p>
    <w:p w14:paraId="1D400149" w14:textId="77777777" w:rsidR="000705BE" w:rsidRPr="00D75D2E" w:rsidRDefault="000705BE" w:rsidP="00E737B4">
      <w:pPr>
        <w:widowControl w:val="0"/>
        <w:tabs>
          <w:tab w:val="left" w:pos="0"/>
        </w:tabs>
        <w:spacing w:after="120" w:line="20" w:lineRule="atLeast"/>
        <w:ind w:left="116" w:right="154"/>
        <w:jc w:val="both"/>
        <w:rPr>
          <w:rFonts w:ascii="Times New Roman" w:hAnsi="Times New Roman"/>
          <w:sz w:val="24"/>
          <w:szCs w:val="24"/>
        </w:rPr>
      </w:pPr>
      <w:r w:rsidRPr="00D75D2E">
        <w:rPr>
          <w:rFonts w:ascii="Times New Roman" w:hAnsi="Times New Roman"/>
          <w:sz w:val="24"/>
          <w:szCs w:val="24"/>
        </w:rPr>
        <w:t xml:space="preserve">Elle </w:t>
      </w:r>
      <w:r w:rsidRPr="00D75D2E">
        <w:rPr>
          <w:rFonts w:ascii="Times New Roman" w:hAnsi="Times New Roman"/>
          <w:spacing w:val="-1"/>
          <w:sz w:val="24"/>
          <w:szCs w:val="24"/>
        </w:rPr>
        <w:t>c</w:t>
      </w:r>
      <w:r w:rsidRPr="00D75D2E">
        <w:rPr>
          <w:rFonts w:ascii="Times New Roman" w:hAnsi="Times New Roman"/>
          <w:sz w:val="24"/>
          <w:szCs w:val="24"/>
        </w:rPr>
        <w:t xml:space="preserve">onsiste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1"/>
          <w:sz w:val="24"/>
          <w:szCs w:val="24"/>
        </w:rPr>
        <w:t>c</w:t>
      </w:r>
      <w:r w:rsidRPr="00D75D2E">
        <w:rPr>
          <w:rFonts w:ascii="Times New Roman" w:hAnsi="Times New Roman"/>
          <w:sz w:val="24"/>
          <w:szCs w:val="24"/>
        </w:rPr>
        <w:t>ontrô</w:t>
      </w:r>
      <w:r w:rsidRPr="00D75D2E">
        <w:rPr>
          <w:rFonts w:ascii="Times New Roman" w:hAnsi="Times New Roman"/>
          <w:spacing w:val="2"/>
          <w:sz w:val="24"/>
          <w:szCs w:val="24"/>
        </w:rPr>
        <w:t>l</w:t>
      </w:r>
      <w:r w:rsidRPr="00D75D2E">
        <w:rPr>
          <w:rFonts w:ascii="Times New Roman" w:hAnsi="Times New Roman"/>
          <w:spacing w:val="1"/>
          <w:sz w:val="24"/>
          <w:szCs w:val="24"/>
        </w:rPr>
        <w:t>e</w:t>
      </w:r>
      <w:r w:rsidRPr="00D75D2E">
        <w:rPr>
          <w:rFonts w:ascii="Times New Roman" w:hAnsi="Times New Roman"/>
          <w:sz w:val="24"/>
          <w:szCs w:val="24"/>
        </w:rPr>
        <w:t>, à la v</w:t>
      </w:r>
      <w:r w:rsidRPr="00D75D2E">
        <w:rPr>
          <w:rFonts w:ascii="Times New Roman" w:hAnsi="Times New Roman"/>
          <w:spacing w:val="-1"/>
          <w:sz w:val="24"/>
          <w:szCs w:val="24"/>
        </w:rPr>
        <w:t>ér</w:t>
      </w:r>
      <w:r w:rsidRPr="00D75D2E">
        <w:rPr>
          <w:rFonts w:ascii="Times New Roman" w:hAnsi="Times New Roman"/>
          <w:sz w:val="24"/>
          <w:szCs w:val="24"/>
        </w:rPr>
        <w:t>i</w:t>
      </w:r>
      <w:r w:rsidRPr="00D75D2E">
        <w:rPr>
          <w:rFonts w:ascii="Times New Roman" w:hAnsi="Times New Roman"/>
          <w:spacing w:val="-1"/>
          <w:sz w:val="24"/>
          <w:szCs w:val="24"/>
        </w:rPr>
        <w:t>f</w:t>
      </w:r>
      <w:r w:rsidRPr="00D75D2E">
        <w:rPr>
          <w:rFonts w:ascii="Times New Roman" w:hAnsi="Times New Roman"/>
          <w:sz w:val="24"/>
          <w:szCs w:val="24"/>
        </w:rPr>
        <w:t>i</w:t>
      </w:r>
      <w:r w:rsidRPr="00D75D2E">
        <w:rPr>
          <w:rFonts w:ascii="Times New Roman" w:hAnsi="Times New Roman"/>
          <w:spacing w:val="-1"/>
          <w:sz w:val="24"/>
          <w:szCs w:val="24"/>
        </w:rPr>
        <w:t>ca</w:t>
      </w:r>
      <w:r w:rsidRPr="00D75D2E">
        <w:rPr>
          <w:rFonts w:ascii="Times New Roman" w:hAnsi="Times New Roman"/>
          <w:sz w:val="24"/>
          <w:szCs w:val="24"/>
        </w:rPr>
        <w:t>tion t</w:t>
      </w:r>
      <w:r w:rsidRPr="00D75D2E">
        <w:rPr>
          <w:rFonts w:ascii="Times New Roman" w:hAnsi="Times New Roman"/>
          <w:spacing w:val="-1"/>
          <w:sz w:val="24"/>
          <w:szCs w:val="24"/>
        </w:rPr>
        <w:t>ec</w:t>
      </w:r>
      <w:r w:rsidRPr="00D75D2E">
        <w:rPr>
          <w:rFonts w:ascii="Times New Roman" w:hAnsi="Times New Roman"/>
          <w:sz w:val="24"/>
          <w:szCs w:val="24"/>
        </w:rPr>
        <w:t>hnique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2"/>
          <w:sz w:val="24"/>
          <w:szCs w:val="24"/>
        </w:rPr>
        <w:t>g</w:t>
      </w:r>
      <w:r w:rsidRPr="00D75D2E">
        <w:rPr>
          <w:rFonts w:ascii="Times New Roman" w:hAnsi="Times New Roman"/>
          <w:sz w:val="24"/>
          <w:szCs w:val="24"/>
        </w:rPr>
        <w:t>ins, du mat</w:t>
      </w:r>
      <w:r w:rsidRPr="00D75D2E">
        <w:rPr>
          <w:rFonts w:ascii="Times New Roman" w:hAnsi="Times New Roman"/>
          <w:spacing w:val="-1"/>
          <w:sz w:val="24"/>
          <w:szCs w:val="24"/>
        </w:rPr>
        <w:t>é</w:t>
      </w:r>
      <w:r w:rsidRPr="00D75D2E">
        <w:rPr>
          <w:rFonts w:ascii="Times New Roman" w:hAnsi="Times New Roman"/>
          <w:spacing w:val="2"/>
          <w:sz w:val="24"/>
          <w:szCs w:val="24"/>
        </w:rPr>
        <w:t>r</w:t>
      </w:r>
      <w:r w:rsidRPr="00D75D2E">
        <w:rPr>
          <w:rFonts w:ascii="Times New Roman" w:hAnsi="Times New Roman"/>
          <w:spacing w:val="3"/>
          <w:sz w:val="24"/>
          <w:szCs w:val="24"/>
        </w:rPr>
        <w:t>i</w:t>
      </w:r>
      <w:r w:rsidRPr="00D75D2E">
        <w:rPr>
          <w:rFonts w:ascii="Times New Roman" w:hAnsi="Times New Roman"/>
          <w:spacing w:val="-1"/>
          <w:sz w:val="24"/>
          <w:szCs w:val="24"/>
        </w:rPr>
        <w:t>e</w:t>
      </w:r>
      <w:r w:rsidRPr="00D75D2E">
        <w:rPr>
          <w:rFonts w:ascii="Times New Roman" w:hAnsi="Times New Roman"/>
          <w:sz w:val="24"/>
          <w:szCs w:val="24"/>
        </w:rPr>
        <w:t>l de tr</w:t>
      </w:r>
      <w:r w:rsidRPr="00D75D2E">
        <w:rPr>
          <w:rFonts w:ascii="Times New Roman" w:hAnsi="Times New Roman"/>
          <w:spacing w:val="-1"/>
          <w:sz w:val="24"/>
          <w:szCs w:val="24"/>
        </w:rPr>
        <w:t>a</w:t>
      </w:r>
      <w:r w:rsidRPr="00D75D2E">
        <w:rPr>
          <w:rFonts w:ascii="Times New Roman" w:hAnsi="Times New Roman"/>
          <w:sz w:val="24"/>
          <w:szCs w:val="24"/>
        </w:rPr>
        <w:t>nsport,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pp</w:t>
      </w:r>
      <w:r w:rsidRPr="00D75D2E">
        <w:rPr>
          <w:rFonts w:ascii="Times New Roman" w:hAnsi="Times New Roman"/>
          <w:spacing w:val="-1"/>
          <w:sz w:val="24"/>
          <w:szCs w:val="24"/>
        </w:rPr>
        <w:t>ar</w:t>
      </w:r>
      <w:r w:rsidRPr="00D75D2E">
        <w:rPr>
          <w:rFonts w:ascii="Times New Roman" w:hAnsi="Times New Roman"/>
          <w:spacing w:val="-3"/>
          <w:sz w:val="24"/>
          <w:szCs w:val="24"/>
        </w:rPr>
        <w:t>e</w:t>
      </w:r>
      <w:r w:rsidRPr="00D75D2E">
        <w:rPr>
          <w:rFonts w:ascii="Times New Roman" w:hAnsi="Times New Roman"/>
          <w:sz w:val="24"/>
          <w:szCs w:val="24"/>
        </w:rPr>
        <w:t xml:space="preserve">ils de </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t l</w:t>
      </w:r>
      <w:r w:rsidRPr="00D75D2E">
        <w:rPr>
          <w:rFonts w:ascii="Times New Roman" w:hAnsi="Times New Roman"/>
          <w:spacing w:val="1"/>
          <w:sz w:val="24"/>
          <w:szCs w:val="24"/>
        </w:rPr>
        <w:t>e</w:t>
      </w:r>
      <w:r w:rsidRPr="00D75D2E">
        <w:rPr>
          <w:rFonts w:ascii="Times New Roman" w:hAnsi="Times New Roman"/>
          <w:spacing w:val="3"/>
          <w:sz w:val="24"/>
          <w:szCs w:val="24"/>
        </w:rPr>
        <w:t>u</w:t>
      </w:r>
      <w:r w:rsidRPr="00D75D2E">
        <w:rPr>
          <w:rFonts w:ascii="Times New Roman" w:hAnsi="Times New Roman"/>
          <w:sz w:val="24"/>
          <w:szCs w:val="24"/>
        </w:rPr>
        <w:t xml:space="preserve">rs </w:t>
      </w:r>
      <w:r w:rsidRPr="00D75D2E">
        <w:rPr>
          <w:rFonts w:ascii="Times New Roman" w:hAnsi="Times New Roman"/>
          <w:spacing w:val="-1"/>
          <w:sz w:val="24"/>
          <w:szCs w:val="24"/>
        </w:rPr>
        <w:t>acce</w:t>
      </w:r>
      <w:r w:rsidRPr="00D75D2E">
        <w:rPr>
          <w:rFonts w:ascii="Times New Roman" w:hAnsi="Times New Roman"/>
          <w:sz w:val="24"/>
          <w:szCs w:val="24"/>
        </w:rPr>
        <w:t>ssoi</w:t>
      </w:r>
      <w:r w:rsidRPr="00D75D2E">
        <w:rPr>
          <w:rFonts w:ascii="Times New Roman" w:hAnsi="Times New Roman"/>
          <w:spacing w:val="-1"/>
          <w:sz w:val="24"/>
          <w:szCs w:val="24"/>
        </w:rPr>
        <w:t>re</w:t>
      </w:r>
      <w:r w:rsidRPr="00D75D2E">
        <w:rPr>
          <w:rFonts w:ascii="Times New Roman" w:hAnsi="Times New Roman"/>
          <w:sz w:val="24"/>
          <w:szCs w:val="24"/>
        </w:rPr>
        <w:t xml:space="preserve">s, </w:t>
      </w:r>
      <w:r w:rsidRPr="00D75D2E">
        <w:rPr>
          <w:rFonts w:ascii="Times New Roman" w:hAnsi="Times New Roman"/>
          <w:spacing w:val="-1"/>
          <w:sz w:val="24"/>
          <w:szCs w:val="24"/>
        </w:rPr>
        <w:t>d</w:t>
      </w:r>
      <w:r w:rsidRPr="00D75D2E">
        <w:rPr>
          <w:rFonts w:ascii="Times New Roman" w:hAnsi="Times New Roman"/>
          <w:sz w:val="24"/>
          <w:szCs w:val="24"/>
        </w:rPr>
        <w:t xml:space="preserve">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 xml:space="preserve">nts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3"/>
          <w:sz w:val="24"/>
          <w:szCs w:val="24"/>
        </w:rPr>
        <w:t>m</w:t>
      </w:r>
      <w:r w:rsidRPr="00D75D2E">
        <w:rPr>
          <w:rFonts w:ascii="Times New Roman" w:hAnsi="Times New Roman"/>
          <w:spacing w:val="-1"/>
          <w:sz w:val="24"/>
          <w:szCs w:val="24"/>
        </w:rPr>
        <w:t>a</w:t>
      </w:r>
      <w:r w:rsidRPr="00D75D2E">
        <w:rPr>
          <w:rFonts w:ascii="Times New Roman" w:hAnsi="Times New Roman"/>
          <w:spacing w:val="1"/>
          <w:sz w:val="24"/>
          <w:szCs w:val="24"/>
        </w:rPr>
        <w:t>t</w:t>
      </w:r>
      <w:r w:rsidRPr="00D75D2E">
        <w:rPr>
          <w:rFonts w:ascii="Times New Roman" w:hAnsi="Times New Roman"/>
          <w:spacing w:val="-1"/>
          <w:sz w:val="24"/>
          <w:szCs w:val="24"/>
        </w:rPr>
        <w:t>ér</w:t>
      </w:r>
      <w:r w:rsidRPr="00D75D2E">
        <w:rPr>
          <w:rFonts w:ascii="Times New Roman" w:hAnsi="Times New Roman"/>
          <w:sz w:val="24"/>
          <w:szCs w:val="24"/>
        </w:rPr>
        <w:t>i</w:t>
      </w:r>
      <w:r w:rsidRPr="00D75D2E">
        <w:rPr>
          <w:rFonts w:ascii="Times New Roman" w:hAnsi="Times New Roman"/>
          <w:spacing w:val="-1"/>
          <w:sz w:val="24"/>
          <w:szCs w:val="24"/>
        </w:rPr>
        <w:t>e</w:t>
      </w:r>
      <w:r w:rsidRPr="00D75D2E">
        <w:rPr>
          <w:rFonts w:ascii="Times New Roman" w:hAnsi="Times New Roman"/>
          <w:sz w:val="24"/>
          <w:szCs w:val="24"/>
        </w:rPr>
        <w:t>ls lou</w:t>
      </w:r>
      <w:r w:rsidRPr="00D75D2E">
        <w:rPr>
          <w:rFonts w:ascii="Times New Roman" w:hAnsi="Times New Roman"/>
          <w:spacing w:val="2"/>
          <w:sz w:val="24"/>
          <w:szCs w:val="24"/>
        </w:rPr>
        <w:t>r</w:t>
      </w:r>
      <w:r w:rsidRPr="00D75D2E">
        <w:rPr>
          <w:rFonts w:ascii="Times New Roman" w:hAnsi="Times New Roman"/>
          <w:sz w:val="24"/>
          <w:szCs w:val="24"/>
        </w:rPr>
        <w:t xml:space="preserve">ds </w:t>
      </w:r>
      <w:r w:rsidRPr="00D75D2E">
        <w:rPr>
          <w:rFonts w:ascii="Times New Roman" w:hAnsi="Times New Roman"/>
          <w:spacing w:val="5"/>
          <w:sz w:val="24"/>
          <w:szCs w:val="24"/>
        </w:rPr>
        <w:t>o</w:t>
      </w:r>
      <w:r w:rsidRPr="00D75D2E">
        <w:rPr>
          <w:rFonts w:ascii="Times New Roman" w:hAnsi="Times New Roman"/>
          <w:sz w:val="24"/>
          <w:szCs w:val="24"/>
        </w:rPr>
        <w:t>u l</w:t>
      </w:r>
      <w:r w:rsidRPr="00D75D2E">
        <w:rPr>
          <w:rFonts w:ascii="Times New Roman" w:hAnsi="Times New Roman"/>
          <w:spacing w:val="-1"/>
          <w:sz w:val="24"/>
          <w:szCs w:val="24"/>
        </w:rPr>
        <w:t>é</w:t>
      </w:r>
      <w:r w:rsidRPr="00D75D2E">
        <w:rPr>
          <w:rFonts w:ascii="Times New Roman" w:hAnsi="Times New Roman"/>
          <w:spacing w:val="-2"/>
          <w:sz w:val="24"/>
          <w:szCs w:val="24"/>
        </w:rPr>
        <w:t>g</w:t>
      </w:r>
      <w:r w:rsidRPr="00D75D2E">
        <w:rPr>
          <w:rFonts w:ascii="Times New Roman" w:hAnsi="Times New Roman"/>
          <w:spacing w:val="-1"/>
          <w:sz w:val="24"/>
          <w:szCs w:val="24"/>
        </w:rPr>
        <w:t>e</w:t>
      </w:r>
      <w:r w:rsidRPr="00D75D2E">
        <w:rPr>
          <w:rFonts w:ascii="Times New Roman" w:hAnsi="Times New Roman"/>
          <w:sz w:val="24"/>
          <w:szCs w:val="24"/>
        </w:rPr>
        <w:t>rs</w:t>
      </w:r>
      <w:r w:rsidRPr="00D75D2E">
        <w:rPr>
          <w:rFonts w:ascii="Times New Roman" w:hAnsi="Times New Roman"/>
          <w:spacing w:val="1"/>
          <w:sz w:val="24"/>
          <w:szCs w:val="24"/>
        </w:rPr>
        <w:t xml:space="preserve"> a</w:t>
      </w:r>
      <w:r w:rsidRPr="00D75D2E">
        <w:rPr>
          <w:rFonts w:ascii="Times New Roman" w:hAnsi="Times New Roman"/>
          <w:spacing w:val="-1"/>
          <w:sz w:val="24"/>
          <w:szCs w:val="24"/>
        </w:rPr>
        <w:t>f</w:t>
      </w:r>
      <w:r w:rsidRPr="00D75D2E">
        <w:rPr>
          <w:rFonts w:ascii="Times New Roman" w:hAnsi="Times New Roman"/>
          <w:spacing w:val="2"/>
          <w:sz w:val="24"/>
          <w:szCs w:val="24"/>
        </w:rPr>
        <w:t>f</w:t>
      </w:r>
      <w:r w:rsidRPr="00D75D2E">
        <w:rPr>
          <w:rFonts w:ascii="Times New Roman" w:hAnsi="Times New Roman"/>
          <w:spacing w:val="-1"/>
          <w:sz w:val="24"/>
          <w:szCs w:val="24"/>
        </w:rPr>
        <w:t>ec</w:t>
      </w:r>
      <w:r w:rsidRPr="00D75D2E">
        <w:rPr>
          <w:rFonts w:ascii="Times New Roman" w:hAnsi="Times New Roman"/>
          <w:sz w:val="24"/>
          <w:szCs w:val="24"/>
        </w:rPr>
        <w:t xml:space="preserve">tés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w:t>
      </w:r>
      <w:r w:rsidRPr="00D75D2E">
        <w:rPr>
          <w:rFonts w:ascii="Times New Roman" w:hAnsi="Times New Roman"/>
          <w:sz w:val="24"/>
          <w:szCs w:val="24"/>
        </w:rPr>
        <w:t>r</w:t>
      </w:r>
      <w:r w:rsidRPr="00D75D2E">
        <w:rPr>
          <w:rFonts w:ascii="Times New Roman" w:hAnsi="Times New Roman"/>
          <w:spacing w:val="-1"/>
          <w:sz w:val="24"/>
          <w:szCs w:val="24"/>
        </w:rPr>
        <w:t xml:space="preserve"> c</w:t>
      </w:r>
      <w:r w:rsidRPr="00D75D2E">
        <w:rPr>
          <w:rFonts w:ascii="Times New Roman" w:hAnsi="Times New Roman"/>
          <w:sz w:val="24"/>
          <w:szCs w:val="24"/>
        </w:rPr>
        <w:t>onf</w:t>
      </w:r>
      <w:r w:rsidRPr="00D75D2E">
        <w:rPr>
          <w:rFonts w:ascii="Times New Roman" w:hAnsi="Times New Roman"/>
          <w:spacing w:val="-1"/>
          <w:sz w:val="24"/>
          <w:szCs w:val="24"/>
        </w:rPr>
        <w:t>or</w:t>
      </w:r>
      <w:r w:rsidRPr="00D75D2E">
        <w:rPr>
          <w:rFonts w:ascii="Times New Roman" w:hAnsi="Times New Roman"/>
          <w:spacing w:val="3"/>
          <w:sz w:val="24"/>
          <w:szCs w:val="24"/>
        </w:rPr>
        <w:t>m</w:t>
      </w:r>
      <w:r w:rsidRPr="00D75D2E">
        <w:rPr>
          <w:rFonts w:ascii="Times New Roman" w:hAnsi="Times New Roman"/>
          <w:spacing w:val="-1"/>
          <w:sz w:val="24"/>
          <w:szCs w:val="24"/>
        </w:rPr>
        <w:t>é</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pacing w:val="5"/>
          <w:sz w:val="24"/>
          <w:szCs w:val="24"/>
        </w:rPr>
        <w:t>n</w:t>
      </w:r>
      <w:r w:rsidRPr="00D75D2E">
        <w:rPr>
          <w:rFonts w:ascii="Times New Roman" w:hAnsi="Times New Roman"/>
          <w:sz w:val="24"/>
          <w:szCs w:val="24"/>
        </w:rPr>
        <w:t>t à la l</w:t>
      </w:r>
      <w:r w:rsidRPr="00D75D2E">
        <w:rPr>
          <w:rFonts w:ascii="Times New Roman" w:hAnsi="Times New Roman"/>
          <w:spacing w:val="1"/>
          <w:sz w:val="24"/>
          <w:szCs w:val="24"/>
        </w:rPr>
        <w:t>é</w:t>
      </w:r>
      <w:r w:rsidRPr="00D75D2E">
        <w:rPr>
          <w:rFonts w:ascii="Times New Roman" w:hAnsi="Times New Roman"/>
          <w:spacing w:val="-2"/>
          <w:sz w:val="24"/>
          <w:szCs w:val="24"/>
        </w:rPr>
        <w:t>g</w:t>
      </w:r>
      <w:r w:rsidRPr="00D75D2E">
        <w:rPr>
          <w:rFonts w:ascii="Times New Roman" w:hAnsi="Times New Roman"/>
          <w:sz w:val="24"/>
          <w:szCs w:val="24"/>
        </w:rPr>
        <w:t>isl</w:t>
      </w:r>
      <w:r w:rsidRPr="00D75D2E">
        <w:rPr>
          <w:rFonts w:ascii="Times New Roman" w:hAnsi="Times New Roman"/>
          <w:spacing w:val="-1"/>
          <w:sz w:val="24"/>
          <w:szCs w:val="24"/>
        </w:rPr>
        <w:t>a</w:t>
      </w:r>
      <w:r w:rsidRPr="00D75D2E">
        <w:rPr>
          <w:rFonts w:ascii="Times New Roman" w:hAnsi="Times New Roman"/>
          <w:sz w:val="24"/>
          <w:szCs w:val="24"/>
        </w:rPr>
        <w:t xml:space="preserve">tion </w:t>
      </w:r>
      <w:r w:rsidRPr="00D75D2E">
        <w:rPr>
          <w:rFonts w:ascii="Times New Roman" w:hAnsi="Times New Roman"/>
          <w:spacing w:val="-1"/>
          <w:sz w:val="24"/>
          <w:szCs w:val="24"/>
        </w:rPr>
        <w:t>e</w:t>
      </w:r>
      <w:r w:rsidRPr="00D75D2E">
        <w:rPr>
          <w:rFonts w:ascii="Times New Roman" w:hAnsi="Times New Roman"/>
          <w:sz w:val="24"/>
          <w:szCs w:val="24"/>
        </w:rPr>
        <w:t>n vi</w:t>
      </w:r>
      <w:r w:rsidRPr="00D75D2E">
        <w:rPr>
          <w:rFonts w:ascii="Times New Roman" w:hAnsi="Times New Roman"/>
          <w:spacing w:val="-2"/>
          <w:sz w:val="24"/>
          <w:szCs w:val="24"/>
        </w:rPr>
        <w:t>g</w:t>
      </w:r>
      <w:r w:rsidRPr="00D75D2E">
        <w:rPr>
          <w:rFonts w:ascii="Times New Roman" w:hAnsi="Times New Roman"/>
          <w:spacing w:val="2"/>
          <w:sz w:val="24"/>
          <w:szCs w:val="24"/>
        </w:rPr>
        <w:t>u</w:t>
      </w:r>
      <w:r w:rsidRPr="00D75D2E">
        <w:rPr>
          <w:rFonts w:ascii="Times New Roman" w:hAnsi="Times New Roman"/>
          <w:spacing w:val="1"/>
          <w:sz w:val="24"/>
          <w:szCs w:val="24"/>
        </w:rPr>
        <w:t>e</w:t>
      </w:r>
      <w:r w:rsidRPr="00D75D2E">
        <w:rPr>
          <w:rFonts w:ascii="Times New Roman" w:hAnsi="Times New Roman"/>
          <w:sz w:val="24"/>
          <w:szCs w:val="24"/>
        </w:rPr>
        <w:t xml:space="preserve">ur. Elle </w:t>
      </w:r>
      <w:r w:rsidRPr="00D75D2E">
        <w:rPr>
          <w:rFonts w:ascii="Times New Roman" w:hAnsi="Times New Roman"/>
          <w:spacing w:val="-1"/>
          <w:sz w:val="24"/>
          <w:szCs w:val="24"/>
        </w:rPr>
        <w:t>c</w:t>
      </w:r>
      <w:r w:rsidRPr="00D75D2E">
        <w:rPr>
          <w:rFonts w:ascii="Times New Roman" w:hAnsi="Times New Roman"/>
          <w:sz w:val="24"/>
          <w:szCs w:val="24"/>
        </w:rPr>
        <w:t xml:space="preserve">onsiste </w:t>
      </w:r>
      <w:r w:rsidRPr="00D75D2E">
        <w:rPr>
          <w:rFonts w:ascii="Times New Roman" w:hAnsi="Times New Roman"/>
          <w:spacing w:val="-1"/>
          <w:sz w:val="24"/>
          <w:szCs w:val="24"/>
        </w:rPr>
        <w:t>a</w:t>
      </w:r>
      <w:r w:rsidRPr="00D75D2E">
        <w:rPr>
          <w:rFonts w:ascii="Times New Roman" w:hAnsi="Times New Roman"/>
          <w:sz w:val="24"/>
          <w:szCs w:val="24"/>
        </w:rPr>
        <w:t>ussi à l</w:t>
      </w:r>
      <w:r w:rsidRPr="00D75D2E">
        <w:rPr>
          <w:rFonts w:ascii="Times New Roman" w:hAnsi="Times New Roman"/>
          <w:spacing w:val="-5"/>
          <w:sz w:val="24"/>
          <w:szCs w:val="24"/>
        </w:rPr>
        <w:t>'</w:t>
      </w:r>
      <w:r w:rsidRPr="00D75D2E">
        <w:rPr>
          <w:rFonts w:ascii="Times New Roman" w:hAnsi="Times New Roman"/>
          <w:sz w:val="24"/>
          <w:szCs w:val="24"/>
        </w:rPr>
        <w:t>in</w:t>
      </w:r>
      <w:r w:rsidRPr="00D75D2E">
        <w:rPr>
          <w:rFonts w:ascii="Times New Roman" w:hAnsi="Times New Roman"/>
          <w:spacing w:val="1"/>
          <w:sz w:val="24"/>
          <w:szCs w:val="24"/>
        </w:rPr>
        <w:t>s</w:t>
      </w:r>
      <w:r w:rsidRPr="00D75D2E">
        <w:rPr>
          <w:rFonts w:ascii="Times New Roman" w:hAnsi="Times New Roman"/>
          <w:spacing w:val="5"/>
          <w:sz w:val="24"/>
          <w:szCs w:val="24"/>
        </w:rPr>
        <w:t>t</w:t>
      </w:r>
      <w:r w:rsidRPr="00D75D2E">
        <w:rPr>
          <w:rFonts w:ascii="Times New Roman" w:hAnsi="Times New Roman"/>
          <w:spacing w:val="-1"/>
          <w:sz w:val="24"/>
          <w:szCs w:val="24"/>
        </w:rPr>
        <w:t>a</w:t>
      </w:r>
      <w:r w:rsidRPr="00D75D2E">
        <w:rPr>
          <w:rFonts w:ascii="Times New Roman" w:hAnsi="Times New Roman"/>
          <w:sz w:val="24"/>
          <w:szCs w:val="24"/>
        </w:rPr>
        <w:t>ll</w:t>
      </w:r>
      <w:r w:rsidRPr="00D75D2E">
        <w:rPr>
          <w:rFonts w:ascii="Times New Roman" w:hAnsi="Times New Roman"/>
          <w:spacing w:val="-1"/>
          <w:sz w:val="24"/>
          <w:szCs w:val="24"/>
        </w:rPr>
        <w:t>a</w:t>
      </w:r>
      <w:r w:rsidRPr="00D75D2E">
        <w:rPr>
          <w:rFonts w:ascii="Times New Roman" w:hAnsi="Times New Roman"/>
          <w:sz w:val="24"/>
          <w:szCs w:val="24"/>
        </w:rPr>
        <w:t xml:space="preserve">tion </w:t>
      </w:r>
      <w:r w:rsidRPr="00D75D2E">
        <w:rPr>
          <w:rFonts w:ascii="Times New Roman" w:hAnsi="Times New Roman"/>
          <w:spacing w:val="-1"/>
          <w:sz w:val="24"/>
          <w:szCs w:val="24"/>
        </w:rPr>
        <w:t>e</w:t>
      </w:r>
      <w:r w:rsidRPr="00D75D2E">
        <w:rPr>
          <w:rFonts w:ascii="Times New Roman" w:hAnsi="Times New Roman"/>
          <w:sz w:val="24"/>
          <w:szCs w:val="24"/>
        </w:rPr>
        <w:t>t à l</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z w:val="24"/>
          <w:szCs w:val="24"/>
        </w:rPr>
        <w:t>ntr</w:t>
      </w:r>
      <w:r w:rsidRPr="00D75D2E">
        <w:rPr>
          <w:rFonts w:ascii="Times New Roman" w:hAnsi="Times New Roman"/>
          <w:spacing w:val="-1"/>
          <w:sz w:val="24"/>
          <w:szCs w:val="24"/>
        </w:rPr>
        <w:t>e</w:t>
      </w:r>
      <w:r w:rsidRPr="00D75D2E">
        <w:rPr>
          <w:rFonts w:ascii="Times New Roman" w:hAnsi="Times New Roman"/>
          <w:sz w:val="24"/>
          <w:szCs w:val="24"/>
        </w:rPr>
        <w:t>ti</w:t>
      </w:r>
      <w:r w:rsidRPr="00D75D2E">
        <w:rPr>
          <w:rFonts w:ascii="Times New Roman" w:hAnsi="Times New Roman"/>
          <w:spacing w:val="-1"/>
          <w:sz w:val="24"/>
          <w:szCs w:val="24"/>
        </w:rPr>
        <w:t>e</w:t>
      </w:r>
      <w:r w:rsidRPr="00D75D2E">
        <w:rPr>
          <w:rFonts w:ascii="Times New Roman" w:hAnsi="Times New Roman"/>
          <w:sz w:val="24"/>
          <w:szCs w:val="24"/>
        </w:rPr>
        <w:t xml:space="preserve">n </w:t>
      </w:r>
      <w:r w:rsidRPr="00D75D2E">
        <w:rPr>
          <w:rFonts w:ascii="Times New Roman" w:hAnsi="Times New Roman"/>
          <w:spacing w:val="5"/>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 xml:space="preserve">nts et </w:t>
      </w:r>
      <w:r w:rsidRPr="00D75D2E">
        <w:rPr>
          <w:rFonts w:ascii="Times New Roman" w:hAnsi="Times New Roman"/>
          <w:spacing w:val="2"/>
          <w:sz w:val="24"/>
          <w:szCs w:val="24"/>
        </w:rPr>
        <w:t>d</w:t>
      </w:r>
      <w:r w:rsidRPr="00D75D2E">
        <w:rPr>
          <w:rFonts w:ascii="Times New Roman" w:hAnsi="Times New Roman"/>
          <w:sz w:val="24"/>
          <w:szCs w:val="24"/>
        </w:rPr>
        <w:t>isp</w:t>
      </w:r>
      <w:r w:rsidRPr="00D75D2E">
        <w:rPr>
          <w:rFonts w:ascii="Times New Roman" w:hAnsi="Times New Roman"/>
          <w:spacing w:val="1"/>
          <w:sz w:val="24"/>
          <w:szCs w:val="24"/>
        </w:rPr>
        <w:t>o</w:t>
      </w:r>
      <w:r w:rsidRPr="00D75D2E">
        <w:rPr>
          <w:rFonts w:ascii="Times New Roman" w:hAnsi="Times New Roman"/>
          <w:sz w:val="24"/>
          <w:szCs w:val="24"/>
        </w:rPr>
        <w:t>sitifs de s</w:t>
      </w:r>
      <w:r w:rsidRPr="00D75D2E">
        <w:rPr>
          <w:rFonts w:ascii="Times New Roman" w:hAnsi="Times New Roman"/>
          <w:spacing w:val="-1"/>
          <w:sz w:val="24"/>
          <w:szCs w:val="24"/>
        </w:rPr>
        <w:t>éc</w:t>
      </w:r>
      <w:r w:rsidRPr="00D75D2E">
        <w:rPr>
          <w:rFonts w:ascii="Times New Roman" w:hAnsi="Times New Roman"/>
          <w:sz w:val="24"/>
          <w:szCs w:val="24"/>
        </w:rPr>
        <w:t>urit</w:t>
      </w:r>
      <w:r w:rsidRPr="00D75D2E">
        <w:rPr>
          <w:rFonts w:ascii="Times New Roman" w:hAnsi="Times New Roman"/>
          <w:spacing w:val="-1"/>
          <w:sz w:val="24"/>
          <w:szCs w:val="24"/>
        </w:rPr>
        <w:t>é</w:t>
      </w:r>
      <w:r w:rsidRPr="00D75D2E">
        <w:rPr>
          <w:rFonts w:ascii="Times New Roman" w:hAnsi="Times New Roman"/>
          <w:sz w:val="24"/>
          <w:szCs w:val="24"/>
        </w:rPr>
        <w:t>.</w:t>
      </w:r>
    </w:p>
    <w:p w14:paraId="3B7E1E38"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959" w:name="_Toc12288113"/>
      <w:bookmarkStart w:id="960" w:name="_Toc31276799"/>
      <w:r w:rsidRPr="00215867">
        <w:rPr>
          <w:rFonts w:eastAsia="Calibri"/>
          <w:i/>
          <w:u w:val="none"/>
        </w:rPr>
        <w:t xml:space="preserve"> </w:t>
      </w:r>
      <w:bookmarkStart w:id="961" w:name="_Toc41310035"/>
      <w:bookmarkStart w:id="962" w:name="_Toc78602052"/>
      <w:bookmarkStart w:id="963" w:name="_Toc103685748"/>
      <w:r w:rsidRPr="00215867">
        <w:rPr>
          <w:rFonts w:eastAsia="Calibri"/>
          <w:i/>
          <w:u w:val="none"/>
        </w:rPr>
        <w:t>Protection individuelle : Equipements de Protection Individuelle (EPI)</w:t>
      </w:r>
      <w:bookmarkEnd w:id="959"/>
      <w:bookmarkEnd w:id="960"/>
      <w:bookmarkEnd w:id="961"/>
      <w:bookmarkEnd w:id="962"/>
      <w:bookmarkEnd w:id="963"/>
    </w:p>
    <w:p w14:paraId="705A15DE" w14:textId="77777777" w:rsidR="000705BE" w:rsidRPr="00D75D2E" w:rsidRDefault="000705BE" w:rsidP="00E737B4">
      <w:pPr>
        <w:widowControl w:val="0"/>
        <w:tabs>
          <w:tab w:val="left" w:pos="0"/>
        </w:tabs>
        <w:spacing w:before="120" w:after="120" w:line="20" w:lineRule="atLeast"/>
        <w:ind w:left="113" w:right="159"/>
        <w:jc w:val="both"/>
        <w:rPr>
          <w:rFonts w:ascii="Times New Roman" w:hAnsi="Times New Roman"/>
          <w:sz w:val="24"/>
          <w:szCs w:val="24"/>
        </w:rPr>
      </w:pPr>
      <w:r w:rsidRPr="00D75D2E">
        <w:rPr>
          <w:rFonts w:ascii="Times New Roman" w:hAnsi="Times New Roman"/>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nts de pro</w:t>
      </w:r>
      <w:r w:rsidRPr="00D75D2E">
        <w:rPr>
          <w:rFonts w:ascii="Times New Roman" w:hAnsi="Times New Roman"/>
          <w:spacing w:val="-3"/>
          <w:sz w:val="24"/>
          <w:szCs w:val="24"/>
        </w:rPr>
        <w:t>t</w:t>
      </w:r>
      <w:r w:rsidRPr="00D75D2E">
        <w:rPr>
          <w:rFonts w:ascii="Times New Roman" w:hAnsi="Times New Roman"/>
          <w:sz w:val="24"/>
          <w:szCs w:val="24"/>
        </w:rPr>
        <w:t>e</w:t>
      </w:r>
      <w:r w:rsidRPr="00D75D2E">
        <w:rPr>
          <w:rFonts w:ascii="Times New Roman" w:hAnsi="Times New Roman"/>
          <w:spacing w:val="-1"/>
          <w:sz w:val="24"/>
          <w:szCs w:val="24"/>
        </w:rPr>
        <w:t>c</w:t>
      </w:r>
      <w:r w:rsidRPr="00D75D2E">
        <w:rPr>
          <w:rFonts w:ascii="Times New Roman" w:hAnsi="Times New Roman"/>
          <w:sz w:val="24"/>
          <w:szCs w:val="24"/>
        </w:rPr>
        <w:t xml:space="preserve">tion individuelle </w:t>
      </w:r>
      <w:r w:rsidRPr="00D75D2E">
        <w:rPr>
          <w:rFonts w:ascii="Times New Roman" w:hAnsi="Times New Roman"/>
          <w:spacing w:val="-1"/>
          <w:sz w:val="24"/>
          <w:szCs w:val="24"/>
        </w:rPr>
        <w:t>(</w:t>
      </w:r>
      <w:r w:rsidRPr="00D75D2E">
        <w:rPr>
          <w:rFonts w:ascii="Times New Roman" w:hAnsi="Times New Roman"/>
          <w:sz w:val="24"/>
          <w:szCs w:val="24"/>
        </w:rPr>
        <w:t>E</w:t>
      </w:r>
      <w:r w:rsidRPr="00D75D2E">
        <w:rPr>
          <w:rFonts w:ascii="Times New Roman" w:hAnsi="Times New Roman"/>
          <w:spacing w:val="6"/>
          <w:sz w:val="24"/>
          <w:szCs w:val="24"/>
        </w:rPr>
        <w:t>P</w:t>
      </w:r>
      <w:r w:rsidRPr="00D75D2E">
        <w:rPr>
          <w:rFonts w:ascii="Times New Roman" w:hAnsi="Times New Roman"/>
          <w:spacing w:val="-10"/>
          <w:sz w:val="24"/>
          <w:szCs w:val="24"/>
        </w:rPr>
        <w:t>I</w:t>
      </w:r>
      <w:r w:rsidRPr="00D75D2E">
        <w:rPr>
          <w:rFonts w:ascii="Times New Roman" w:hAnsi="Times New Roman"/>
          <w:sz w:val="24"/>
          <w:szCs w:val="24"/>
        </w:rPr>
        <w:t>) sont mis à la disp</w:t>
      </w:r>
      <w:r w:rsidRPr="00D75D2E">
        <w:rPr>
          <w:rFonts w:ascii="Times New Roman" w:hAnsi="Times New Roman"/>
          <w:spacing w:val="1"/>
          <w:sz w:val="24"/>
          <w:szCs w:val="24"/>
        </w:rPr>
        <w:t>o</w:t>
      </w:r>
      <w:r w:rsidRPr="00D75D2E">
        <w:rPr>
          <w:rFonts w:ascii="Times New Roman" w:hAnsi="Times New Roman"/>
          <w:spacing w:val="-2"/>
          <w:sz w:val="24"/>
          <w:szCs w:val="24"/>
        </w:rPr>
        <w:t>s</w:t>
      </w:r>
      <w:r w:rsidRPr="00D75D2E">
        <w:rPr>
          <w:rFonts w:ascii="Times New Roman" w:hAnsi="Times New Roman"/>
          <w:sz w:val="24"/>
          <w:szCs w:val="24"/>
        </w:rPr>
        <w:t xml:space="preserve">ition </w:t>
      </w:r>
      <w:r w:rsidRPr="00D75D2E">
        <w:rPr>
          <w:rFonts w:ascii="Times New Roman" w:hAnsi="Times New Roman"/>
          <w:spacing w:val="-2"/>
          <w:sz w:val="24"/>
          <w:szCs w:val="24"/>
        </w:rPr>
        <w:t>d</w:t>
      </w:r>
      <w:r w:rsidRPr="00D75D2E">
        <w:rPr>
          <w:rFonts w:ascii="Times New Roman" w:hAnsi="Times New Roman"/>
          <w:sz w:val="24"/>
          <w:szCs w:val="24"/>
        </w:rPr>
        <w:t>u personn</w:t>
      </w:r>
      <w:r w:rsidRPr="00D75D2E">
        <w:rPr>
          <w:rFonts w:ascii="Times New Roman" w:hAnsi="Times New Roman"/>
          <w:spacing w:val="-1"/>
          <w:sz w:val="24"/>
          <w:szCs w:val="24"/>
        </w:rPr>
        <w:t>e</w:t>
      </w:r>
      <w:r w:rsidRPr="00D75D2E">
        <w:rPr>
          <w:rFonts w:ascii="Times New Roman" w:hAnsi="Times New Roman"/>
          <w:sz w:val="24"/>
          <w:szCs w:val="24"/>
        </w:rPr>
        <w:t xml:space="preserve">l. </w:t>
      </w:r>
      <w:r w:rsidRPr="00D75D2E">
        <w:rPr>
          <w:rFonts w:ascii="Times New Roman" w:hAnsi="Times New Roman"/>
          <w:spacing w:val="-13"/>
          <w:sz w:val="24"/>
          <w:szCs w:val="24"/>
        </w:rPr>
        <w:t>I</w:t>
      </w:r>
      <w:r w:rsidRPr="00D75D2E">
        <w:rPr>
          <w:rFonts w:ascii="Times New Roman" w:hAnsi="Times New Roman"/>
          <w:sz w:val="24"/>
          <w:szCs w:val="24"/>
        </w:rPr>
        <w:t xml:space="preserve">l </w:t>
      </w:r>
      <w:r w:rsidRPr="00D75D2E">
        <w:rPr>
          <w:rFonts w:ascii="Times New Roman" w:hAnsi="Times New Roman"/>
          <w:spacing w:val="5"/>
          <w:sz w:val="24"/>
          <w:szCs w:val="24"/>
        </w:rPr>
        <w:t>s</w:t>
      </w:r>
      <w:r w:rsidRPr="00D75D2E">
        <w:rPr>
          <w:rFonts w:ascii="Times New Roman" w:hAnsi="Times New Roman"/>
          <w:spacing w:val="-2"/>
          <w:sz w:val="24"/>
          <w:szCs w:val="24"/>
        </w:rPr>
        <w:t>'</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z w:val="24"/>
          <w:szCs w:val="24"/>
        </w:rPr>
        <w:t xml:space="preserve">it </w:t>
      </w:r>
      <w:r w:rsidRPr="00D75D2E">
        <w:rPr>
          <w:rFonts w:ascii="Times New Roman" w:hAnsi="Times New Roman"/>
          <w:spacing w:val="-1"/>
          <w:sz w:val="24"/>
          <w:szCs w:val="24"/>
        </w:rPr>
        <w:t>e</w:t>
      </w:r>
      <w:r w:rsidRPr="00D75D2E">
        <w:rPr>
          <w:rFonts w:ascii="Times New Roman" w:hAnsi="Times New Roman"/>
          <w:sz w:val="24"/>
          <w:szCs w:val="24"/>
        </w:rPr>
        <w:t>ntre</w:t>
      </w:r>
      <w:r w:rsidRPr="00D75D2E">
        <w:rPr>
          <w:rFonts w:ascii="Times New Roman" w:hAnsi="Times New Roman"/>
          <w:spacing w:val="-1"/>
          <w:sz w:val="24"/>
          <w:szCs w:val="24"/>
        </w:rPr>
        <w:t xml:space="preserve"> a</w:t>
      </w:r>
      <w:r w:rsidRPr="00D75D2E">
        <w:rPr>
          <w:rFonts w:ascii="Times New Roman" w:hAnsi="Times New Roman"/>
          <w:sz w:val="24"/>
          <w:szCs w:val="24"/>
        </w:rPr>
        <w:t>ut</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 :</w:t>
      </w:r>
    </w:p>
    <w:p w14:paraId="3CD9A7BC" w14:textId="77777777" w:rsidR="000705BE" w:rsidRPr="00D75D2E" w:rsidRDefault="000705BE" w:rsidP="008C79F0">
      <w:pPr>
        <w:widowControl w:val="0"/>
        <w:numPr>
          <w:ilvl w:val="0"/>
          <w:numId w:val="179"/>
        </w:numPr>
        <w:tabs>
          <w:tab w:val="left" w:pos="0"/>
        </w:tabs>
        <w:suppressAutoHyphens/>
        <w:spacing w:after="0" w:line="240" w:lineRule="auto"/>
        <w:jc w:val="both"/>
        <w:rPr>
          <w:rFonts w:ascii="Times New Roman" w:hAnsi="Times New Roman"/>
          <w:sz w:val="24"/>
          <w:szCs w:val="24"/>
        </w:rPr>
      </w:pPr>
      <w:r w:rsidRPr="00D75D2E">
        <w:rPr>
          <w:rFonts w:ascii="Times New Roman" w:hAnsi="Times New Roman"/>
          <w:sz w:val="24"/>
          <w:szCs w:val="24"/>
        </w:rPr>
        <w:t>Des</w:t>
      </w:r>
      <w:r w:rsidRPr="00D75D2E">
        <w:rPr>
          <w:rFonts w:ascii="Times New Roman" w:hAnsi="Times New Roman"/>
          <w:spacing w:val="-2"/>
          <w:sz w:val="24"/>
          <w:szCs w:val="24"/>
        </w:rPr>
        <w:t xml:space="preserve"> </w:t>
      </w:r>
      <w:r w:rsidRPr="00D75D2E">
        <w:rPr>
          <w:rFonts w:ascii="Times New Roman" w:hAnsi="Times New Roman"/>
          <w:sz w:val="24"/>
          <w:szCs w:val="24"/>
        </w:rPr>
        <w:t>gi</w:t>
      </w:r>
      <w:r w:rsidRPr="00D75D2E">
        <w:rPr>
          <w:rFonts w:ascii="Times New Roman" w:hAnsi="Times New Roman"/>
          <w:spacing w:val="-1"/>
          <w:sz w:val="24"/>
          <w:szCs w:val="24"/>
        </w:rPr>
        <w:t>l</w:t>
      </w:r>
      <w:r w:rsidRPr="00D75D2E">
        <w:rPr>
          <w:rFonts w:ascii="Times New Roman" w:hAnsi="Times New Roman"/>
          <w:sz w:val="24"/>
          <w:szCs w:val="24"/>
        </w:rPr>
        <w:t>ets fluo</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w:t>
      </w:r>
      <w:r w:rsidRPr="00D75D2E">
        <w:rPr>
          <w:rFonts w:ascii="Times New Roman" w:hAnsi="Times New Roman"/>
          <w:spacing w:val="-1"/>
          <w:sz w:val="24"/>
          <w:szCs w:val="24"/>
        </w:rPr>
        <w:t>c</w:t>
      </w:r>
      <w:r w:rsidRPr="00D75D2E">
        <w:rPr>
          <w:rFonts w:ascii="Times New Roman" w:hAnsi="Times New Roman"/>
          <w:sz w:val="24"/>
          <w:szCs w:val="24"/>
        </w:rPr>
        <w:t>en</w:t>
      </w:r>
      <w:r w:rsidRPr="00D75D2E">
        <w:rPr>
          <w:rFonts w:ascii="Times New Roman" w:hAnsi="Times New Roman"/>
          <w:spacing w:val="-2"/>
          <w:sz w:val="24"/>
          <w:szCs w:val="24"/>
        </w:rPr>
        <w:t>t</w:t>
      </w:r>
      <w:r w:rsidRPr="00D75D2E">
        <w:rPr>
          <w:rFonts w:ascii="Times New Roman" w:hAnsi="Times New Roman"/>
          <w:sz w:val="24"/>
          <w:szCs w:val="24"/>
        </w:rPr>
        <w:t>s ;</w:t>
      </w:r>
    </w:p>
    <w:p w14:paraId="0504B1AA" w14:textId="77777777" w:rsidR="000705BE" w:rsidRPr="00D75D2E" w:rsidRDefault="000705BE" w:rsidP="008C79F0">
      <w:pPr>
        <w:widowControl w:val="0"/>
        <w:numPr>
          <w:ilvl w:val="0"/>
          <w:numId w:val="179"/>
        </w:numPr>
        <w:tabs>
          <w:tab w:val="left" w:pos="0"/>
        </w:tabs>
        <w:suppressAutoHyphens/>
        <w:spacing w:after="0" w:line="240" w:lineRule="auto"/>
        <w:jc w:val="both"/>
        <w:rPr>
          <w:rFonts w:ascii="Times New Roman" w:hAnsi="Times New Roman"/>
          <w:sz w:val="24"/>
          <w:szCs w:val="24"/>
        </w:rPr>
      </w:pPr>
      <w:r w:rsidRPr="00D75D2E">
        <w:rPr>
          <w:rFonts w:ascii="Times New Roman" w:hAnsi="Times New Roman"/>
          <w:sz w:val="24"/>
          <w:szCs w:val="24"/>
        </w:rPr>
        <w:t>Des</w:t>
      </w:r>
      <w:r w:rsidRPr="00D75D2E">
        <w:rPr>
          <w:rFonts w:ascii="Times New Roman" w:hAnsi="Times New Roman"/>
          <w:spacing w:val="-1"/>
          <w:sz w:val="24"/>
          <w:szCs w:val="24"/>
        </w:rPr>
        <w:t xml:space="preserve"> </w:t>
      </w:r>
      <w:r w:rsidRPr="00D75D2E">
        <w:rPr>
          <w:rFonts w:ascii="Times New Roman" w:hAnsi="Times New Roman"/>
          <w:sz w:val="24"/>
          <w:szCs w:val="24"/>
        </w:rPr>
        <w:t>équipe</w:t>
      </w:r>
      <w:r w:rsidRPr="00D75D2E">
        <w:rPr>
          <w:rFonts w:ascii="Times New Roman" w:hAnsi="Times New Roman"/>
          <w:spacing w:val="-1"/>
          <w:sz w:val="24"/>
          <w:szCs w:val="24"/>
        </w:rPr>
        <w:t>m</w:t>
      </w:r>
      <w:r w:rsidRPr="00D75D2E">
        <w:rPr>
          <w:rFonts w:ascii="Times New Roman" w:hAnsi="Times New Roman"/>
          <w:sz w:val="24"/>
          <w:szCs w:val="24"/>
        </w:rPr>
        <w:t xml:space="preserve">ents de </w:t>
      </w:r>
      <w:r w:rsidRPr="00D75D2E">
        <w:rPr>
          <w:rFonts w:ascii="Times New Roman" w:hAnsi="Times New Roman"/>
          <w:spacing w:val="-2"/>
          <w:sz w:val="24"/>
          <w:szCs w:val="24"/>
        </w:rPr>
        <w:t>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3"/>
          <w:sz w:val="24"/>
          <w:szCs w:val="24"/>
        </w:rPr>
        <w:t>t</w:t>
      </w:r>
      <w:r w:rsidRPr="00D75D2E">
        <w:rPr>
          <w:rFonts w:ascii="Times New Roman" w:hAnsi="Times New Roman"/>
          <w:spacing w:val="-1"/>
          <w:sz w:val="24"/>
          <w:szCs w:val="24"/>
        </w:rPr>
        <w:t>ec</w:t>
      </w:r>
      <w:r w:rsidRPr="00D75D2E">
        <w:rPr>
          <w:rFonts w:ascii="Times New Roman" w:hAnsi="Times New Roman"/>
          <w:spacing w:val="3"/>
          <w:sz w:val="24"/>
          <w:szCs w:val="24"/>
        </w:rPr>
        <w:t>t</w:t>
      </w:r>
      <w:r w:rsidRPr="00D75D2E">
        <w:rPr>
          <w:rFonts w:ascii="Times New Roman" w:hAnsi="Times New Roman"/>
          <w:sz w:val="24"/>
          <w:szCs w:val="24"/>
        </w:rPr>
        <w:t>ion de la tête ;</w:t>
      </w:r>
    </w:p>
    <w:p w14:paraId="20207C7C" w14:textId="77777777" w:rsidR="000705BE" w:rsidRPr="00D75D2E" w:rsidRDefault="000705BE" w:rsidP="008C79F0">
      <w:pPr>
        <w:widowControl w:val="0"/>
        <w:numPr>
          <w:ilvl w:val="0"/>
          <w:numId w:val="179"/>
        </w:numPr>
        <w:tabs>
          <w:tab w:val="left" w:pos="0"/>
        </w:tabs>
        <w:suppressAutoHyphens/>
        <w:spacing w:after="0" w:line="240" w:lineRule="auto"/>
        <w:jc w:val="both"/>
        <w:rPr>
          <w:rFonts w:ascii="Times New Roman" w:hAnsi="Times New Roman"/>
          <w:sz w:val="24"/>
          <w:szCs w:val="24"/>
        </w:rPr>
      </w:pPr>
      <w:r w:rsidRPr="00D75D2E">
        <w:rPr>
          <w:rFonts w:ascii="Times New Roman" w:hAnsi="Times New Roman"/>
          <w:sz w:val="24"/>
          <w:szCs w:val="24"/>
        </w:rPr>
        <w:t xml:space="preserve">Des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nts de pro</w:t>
      </w:r>
      <w:r w:rsidRPr="00D75D2E">
        <w:rPr>
          <w:rFonts w:ascii="Times New Roman" w:hAnsi="Times New Roman"/>
          <w:spacing w:val="2"/>
          <w:sz w:val="24"/>
          <w:szCs w:val="24"/>
        </w:rPr>
        <w:t>t</w:t>
      </w:r>
      <w:r w:rsidRPr="00D75D2E">
        <w:rPr>
          <w:rFonts w:ascii="Times New Roman" w:hAnsi="Times New Roman"/>
          <w:spacing w:val="-1"/>
          <w:sz w:val="24"/>
          <w:szCs w:val="24"/>
        </w:rPr>
        <w:t>ec</w:t>
      </w:r>
      <w:r w:rsidRPr="00D75D2E">
        <w:rPr>
          <w:rFonts w:ascii="Times New Roman" w:hAnsi="Times New Roman"/>
          <w:sz w:val="24"/>
          <w:szCs w:val="24"/>
        </w:rPr>
        <w:t>tion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2"/>
          <w:sz w:val="24"/>
          <w:szCs w:val="24"/>
        </w:rPr>
        <w:t>y</w:t>
      </w:r>
      <w:r w:rsidRPr="00D75D2E">
        <w:rPr>
          <w:rFonts w:ascii="Times New Roman" w:hAnsi="Times New Roman"/>
          <w:spacing w:val="-1"/>
          <w:sz w:val="24"/>
          <w:szCs w:val="24"/>
        </w:rPr>
        <w:t>e</w:t>
      </w:r>
      <w:r w:rsidRPr="00D75D2E">
        <w:rPr>
          <w:rFonts w:ascii="Times New Roman" w:hAnsi="Times New Roman"/>
          <w:sz w:val="24"/>
          <w:szCs w:val="24"/>
        </w:rPr>
        <w:t xml:space="preserve">ux </w:t>
      </w:r>
      <w:r w:rsidRPr="00D75D2E">
        <w:rPr>
          <w:rFonts w:ascii="Times New Roman" w:hAnsi="Times New Roman"/>
          <w:spacing w:val="-1"/>
          <w:sz w:val="24"/>
          <w:szCs w:val="24"/>
        </w:rPr>
        <w:t>e</w:t>
      </w:r>
      <w:r w:rsidRPr="00D75D2E">
        <w:rPr>
          <w:rFonts w:ascii="Times New Roman" w:hAnsi="Times New Roman"/>
          <w:sz w:val="24"/>
          <w:szCs w:val="24"/>
        </w:rPr>
        <w:t>t du vis</w:t>
      </w:r>
      <w:r w:rsidRPr="00D75D2E">
        <w:rPr>
          <w:rFonts w:ascii="Times New Roman" w:hAnsi="Times New Roman"/>
          <w:spacing w:val="-1"/>
          <w:sz w:val="24"/>
          <w:szCs w:val="24"/>
        </w:rPr>
        <w:t>a</w:t>
      </w:r>
      <w:r w:rsidRPr="00D75D2E">
        <w:rPr>
          <w:rFonts w:ascii="Times New Roman" w:hAnsi="Times New Roman"/>
          <w:sz w:val="24"/>
          <w:szCs w:val="24"/>
        </w:rPr>
        <w:t>ge : lunettes de s</w:t>
      </w:r>
      <w:r w:rsidRPr="00D75D2E">
        <w:rPr>
          <w:rFonts w:ascii="Times New Roman" w:hAnsi="Times New Roman"/>
          <w:spacing w:val="-1"/>
          <w:sz w:val="24"/>
          <w:szCs w:val="24"/>
        </w:rPr>
        <w:t>éc</w:t>
      </w:r>
      <w:r w:rsidRPr="00D75D2E">
        <w:rPr>
          <w:rFonts w:ascii="Times New Roman" w:hAnsi="Times New Roman"/>
          <w:sz w:val="24"/>
          <w:szCs w:val="24"/>
        </w:rPr>
        <w:t>uri</w:t>
      </w:r>
      <w:r w:rsidRPr="00D75D2E">
        <w:rPr>
          <w:rFonts w:ascii="Times New Roman" w:hAnsi="Times New Roman"/>
          <w:spacing w:val="1"/>
          <w:sz w:val="24"/>
          <w:szCs w:val="24"/>
        </w:rPr>
        <w:t>t</w:t>
      </w:r>
      <w:r w:rsidRPr="00D75D2E">
        <w:rPr>
          <w:rFonts w:ascii="Times New Roman" w:hAnsi="Times New Roman"/>
          <w:spacing w:val="-1"/>
          <w:sz w:val="24"/>
          <w:szCs w:val="24"/>
        </w:rPr>
        <w:t>é</w:t>
      </w:r>
      <w:r w:rsidRPr="00D75D2E">
        <w:rPr>
          <w:rFonts w:ascii="Times New Roman" w:hAnsi="Times New Roman"/>
          <w:sz w:val="24"/>
          <w:szCs w:val="24"/>
        </w:rPr>
        <w:t>, masqu</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1"/>
          <w:sz w:val="24"/>
          <w:szCs w:val="24"/>
        </w:rPr>
        <w:t>écr</w:t>
      </w:r>
      <w:r w:rsidRPr="00D75D2E">
        <w:rPr>
          <w:rFonts w:ascii="Times New Roman" w:hAnsi="Times New Roman"/>
          <w:spacing w:val="-3"/>
          <w:sz w:val="24"/>
          <w:szCs w:val="24"/>
        </w:rPr>
        <w:t>a</w:t>
      </w:r>
      <w:r w:rsidRPr="00D75D2E">
        <w:rPr>
          <w:rFonts w:ascii="Times New Roman" w:hAnsi="Times New Roman"/>
          <w:sz w:val="24"/>
          <w:szCs w:val="24"/>
        </w:rPr>
        <w:t xml:space="preserve">ns </w:t>
      </w:r>
      <w:r w:rsidRPr="00D75D2E">
        <w:rPr>
          <w:rFonts w:ascii="Times New Roman" w:hAnsi="Times New Roman"/>
          <w:spacing w:val="2"/>
          <w:sz w:val="24"/>
          <w:szCs w:val="24"/>
        </w:rPr>
        <w:t>d</w:t>
      </w:r>
      <w:r w:rsidRPr="00D75D2E">
        <w:rPr>
          <w:rFonts w:ascii="Times New Roman" w:hAnsi="Times New Roman"/>
          <w:sz w:val="24"/>
          <w:szCs w:val="24"/>
        </w:rPr>
        <w:t>e sou</w:t>
      </w:r>
      <w:r w:rsidRPr="00D75D2E">
        <w:rPr>
          <w:rFonts w:ascii="Times New Roman" w:hAnsi="Times New Roman"/>
          <w:spacing w:val="-1"/>
          <w:sz w:val="24"/>
          <w:szCs w:val="24"/>
        </w:rPr>
        <w:t>d</w:t>
      </w:r>
      <w:r w:rsidRPr="00D75D2E">
        <w:rPr>
          <w:rFonts w:ascii="Times New Roman" w:hAnsi="Times New Roman"/>
          <w:sz w:val="24"/>
          <w:szCs w:val="24"/>
        </w:rPr>
        <w:t xml:space="preserve">eur, </w:t>
      </w:r>
      <w:r w:rsidRPr="00D75D2E">
        <w:rPr>
          <w:rFonts w:ascii="Times New Roman" w:hAnsi="Times New Roman"/>
          <w:spacing w:val="3"/>
          <w:sz w:val="24"/>
          <w:szCs w:val="24"/>
        </w:rPr>
        <w:t>m</w:t>
      </w:r>
      <w:r w:rsidRPr="00D75D2E">
        <w:rPr>
          <w:rFonts w:ascii="Times New Roman" w:hAnsi="Times New Roman"/>
          <w:spacing w:val="-1"/>
          <w:sz w:val="24"/>
          <w:szCs w:val="24"/>
        </w:rPr>
        <w:t>a</w:t>
      </w:r>
      <w:r w:rsidRPr="00D75D2E">
        <w:rPr>
          <w:rFonts w:ascii="Times New Roman" w:hAnsi="Times New Roman"/>
          <w:sz w:val="24"/>
          <w:szCs w:val="24"/>
        </w:rPr>
        <w:t>s</w:t>
      </w:r>
      <w:r w:rsidRPr="00D75D2E">
        <w:rPr>
          <w:rFonts w:ascii="Times New Roman" w:hAnsi="Times New Roman"/>
          <w:spacing w:val="2"/>
          <w:sz w:val="24"/>
          <w:szCs w:val="24"/>
        </w:rPr>
        <w:t>q</w:t>
      </w:r>
      <w:r w:rsidRPr="00D75D2E">
        <w:rPr>
          <w:rFonts w:ascii="Times New Roman" w:hAnsi="Times New Roman"/>
          <w:sz w:val="24"/>
          <w:szCs w:val="24"/>
        </w:rPr>
        <w:t>u</w:t>
      </w:r>
      <w:r w:rsidRPr="00D75D2E">
        <w:rPr>
          <w:rFonts w:ascii="Times New Roman" w:hAnsi="Times New Roman"/>
          <w:spacing w:val="-1"/>
          <w:sz w:val="24"/>
          <w:szCs w:val="24"/>
        </w:rPr>
        <w:t>e</w:t>
      </w:r>
      <w:r w:rsidRPr="00D75D2E">
        <w:rPr>
          <w:rFonts w:ascii="Times New Roman" w:hAnsi="Times New Roman"/>
          <w:sz w:val="24"/>
          <w:szCs w:val="24"/>
        </w:rPr>
        <w:t>s de pro</w:t>
      </w:r>
      <w:r w:rsidRPr="00D75D2E">
        <w:rPr>
          <w:rFonts w:ascii="Times New Roman" w:hAnsi="Times New Roman"/>
          <w:spacing w:val="-1"/>
          <w:sz w:val="24"/>
          <w:szCs w:val="24"/>
        </w:rPr>
        <w:t>te</w:t>
      </w:r>
      <w:r w:rsidRPr="00D75D2E">
        <w:rPr>
          <w:rFonts w:ascii="Times New Roman" w:hAnsi="Times New Roman"/>
          <w:sz w:val="24"/>
          <w:szCs w:val="24"/>
        </w:rPr>
        <w:t>ction ;</w:t>
      </w:r>
    </w:p>
    <w:p w14:paraId="19545D97" w14:textId="77777777" w:rsidR="000705BE" w:rsidRPr="00D75D2E" w:rsidRDefault="000705BE" w:rsidP="008C79F0">
      <w:pPr>
        <w:widowControl w:val="0"/>
        <w:numPr>
          <w:ilvl w:val="0"/>
          <w:numId w:val="179"/>
        </w:numPr>
        <w:tabs>
          <w:tab w:val="left" w:pos="0"/>
        </w:tabs>
        <w:suppressAutoHyphens/>
        <w:spacing w:after="0" w:line="240" w:lineRule="auto"/>
        <w:jc w:val="both"/>
        <w:rPr>
          <w:rFonts w:ascii="Times New Roman" w:hAnsi="Times New Roman"/>
          <w:sz w:val="24"/>
          <w:szCs w:val="24"/>
        </w:rPr>
      </w:pPr>
      <w:r w:rsidRPr="00D75D2E">
        <w:rPr>
          <w:rFonts w:ascii="Times New Roman" w:hAnsi="Times New Roman"/>
          <w:sz w:val="24"/>
          <w:szCs w:val="24"/>
        </w:rPr>
        <w:t xml:space="preserve">Des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nts de pro</w:t>
      </w:r>
      <w:r w:rsidRPr="00D75D2E">
        <w:rPr>
          <w:rFonts w:ascii="Times New Roman" w:hAnsi="Times New Roman"/>
          <w:spacing w:val="2"/>
          <w:sz w:val="24"/>
          <w:szCs w:val="24"/>
        </w:rPr>
        <w:t>t</w:t>
      </w:r>
      <w:r w:rsidRPr="00D75D2E">
        <w:rPr>
          <w:rFonts w:ascii="Times New Roman" w:hAnsi="Times New Roman"/>
          <w:spacing w:val="-1"/>
          <w:sz w:val="24"/>
          <w:szCs w:val="24"/>
        </w:rPr>
        <w:t>ec</w:t>
      </w:r>
      <w:r w:rsidRPr="00D75D2E">
        <w:rPr>
          <w:rFonts w:ascii="Times New Roman" w:hAnsi="Times New Roman"/>
          <w:sz w:val="24"/>
          <w:szCs w:val="24"/>
        </w:rPr>
        <w:t xml:space="preserve">tion </w:t>
      </w:r>
      <w:r w:rsidRPr="00D75D2E">
        <w:rPr>
          <w:rFonts w:ascii="Times New Roman" w:hAnsi="Times New Roman"/>
          <w:spacing w:val="-1"/>
          <w:sz w:val="24"/>
          <w:szCs w:val="24"/>
        </w:rPr>
        <w:t>a</w:t>
      </w:r>
      <w:r w:rsidRPr="00D75D2E">
        <w:rPr>
          <w:rFonts w:ascii="Times New Roman" w:hAnsi="Times New Roman"/>
          <w:sz w:val="24"/>
          <w:szCs w:val="24"/>
        </w:rPr>
        <w:t>uditive : bou</w:t>
      </w:r>
      <w:r w:rsidRPr="00D75D2E">
        <w:rPr>
          <w:rFonts w:ascii="Times New Roman" w:hAnsi="Times New Roman"/>
          <w:spacing w:val="-1"/>
          <w:sz w:val="24"/>
          <w:szCs w:val="24"/>
        </w:rPr>
        <w:t>c</w:t>
      </w:r>
      <w:r w:rsidRPr="00D75D2E">
        <w:rPr>
          <w:rFonts w:ascii="Times New Roman" w:hAnsi="Times New Roman"/>
          <w:sz w:val="24"/>
          <w:szCs w:val="24"/>
        </w:rPr>
        <w:t>hons de prot</w:t>
      </w:r>
      <w:r w:rsidRPr="00D75D2E">
        <w:rPr>
          <w:rFonts w:ascii="Times New Roman" w:hAnsi="Times New Roman"/>
          <w:spacing w:val="-1"/>
          <w:sz w:val="24"/>
          <w:szCs w:val="24"/>
        </w:rPr>
        <w:t>ec</w:t>
      </w:r>
      <w:r w:rsidRPr="00D75D2E">
        <w:rPr>
          <w:rFonts w:ascii="Times New Roman" w:hAnsi="Times New Roman"/>
          <w:sz w:val="24"/>
          <w:szCs w:val="24"/>
        </w:rPr>
        <w:t xml:space="preserve">tion </w:t>
      </w:r>
      <w:r w:rsidRPr="00D75D2E">
        <w:rPr>
          <w:rFonts w:ascii="Times New Roman" w:hAnsi="Times New Roman"/>
          <w:spacing w:val="-1"/>
          <w:sz w:val="24"/>
          <w:szCs w:val="24"/>
        </w:rPr>
        <w:t>a</w:t>
      </w:r>
      <w:r w:rsidRPr="00D75D2E">
        <w:rPr>
          <w:rFonts w:ascii="Times New Roman" w:hAnsi="Times New Roman"/>
          <w:sz w:val="24"/>
          <w:szCs w:val="24"/>
        </w:rPr>
        <w:t>ud</w:t>
      </w:r>
      <w:r w:rsidRPr="00D75D2E">
        <w:rPr>
          <w:rFonts w:ascii="Times New Roman" w:hAnsi="Times New Roman"/>
          <w:spacing w:val="1"/>
          <w:sz w:val="24"/>
          <w:szCs w:val="24"/>
        </w:rPr>
        <w:t>i</w:t>
      </w:r>
      <w:r w:rsidRPr="00D75D2E">
        <w:rPr>
          <w:rFonts w:ascii="Times New Roman" w:hAnsi="Times New Roman"/>
          <w:sz w:val="24"/>
          <w:szCs w:val="24"/>
        </w:rPr>
        <w:t>tive n</w:t>
      </w:r>
      <w:r w:rsidRPr="00D75D2E">
        <w:rPr>
          <w:rFonts w:ascii="Times New Roman" w:hAnsi="Times New Roman"/>
          <w:spacing w:val="-1"/>
          <w:sz w:val="24"/>
          <w:szCs w:val="24"/>
        </w:rPr>
        <w:t>éce</w:t>
      </w:r>
      <w:r w:rsidRPr="00D75D2E">
        <w:rPr>
          <w:rFonts w:ascii="Times New Roman" w:hAnsi="Times New Roman"/>
          <w:sz w:val="24"/>
          <w:szCs w:val="24"/>
        </w:rPr>
        <w:t>ssai</w:t>
      </w:r>
      <w:r w:rsidRPr="00D75D2E">
        <w:rPr>
          <w:rFonts w:ascii="Times New Roman" w:hAnsi="Times New Roman"/>
          <w:spacing w:val="-1"/>
          <w:sz w:val="24"/>
          <w:szCs w:val="24"/>
        </w:rPr>
        <w:t>re</w:t>
      </w:r>
      <w:r w:rsidRPr="00D75D2E">
        <w:rPr>
          <w:rFonts w:ascii="Times New Roman" w:hAnsi="Times New Roman"/>
          <w:sz w:val="24"/>
          <w:szCs w:val="24"/>
        </w:rPr>
        <w:t xml:space="preserve">s sur </w:t>
      </w:r>
      <w:r w:rsidRPr="00D75D2E">
        <w:rPr>
          <w:rFonts w:ascii="Times New Roman" w:hAnsi="Times New Roman"/>
          <w:spacing w:val="-1"/>
          <w:sz w:val="24"/>
          <w:szCs w:val="24"/>
        </w:rPr>
        <w:t>e</w:t>
      </w:r>
      <w:r w:rsidRPr="00D75D2E">
        <w:rPr>
          <w:rFonts w:ascii="Times New Roman" w:hAnsi="Times New Roman"/>
          <w:sz w:val="24"/>
          <w:szCs w:val="24"/>
        </w:rPr>
        <w:t>t aux</w:t>
      </w:r>
      <w:r w:rsidRPr="00D75D2E">
        <w:rPr>
          <w:rFonts w:ascii="Times New Roman" w:hAnsi="Times New Roman"/>
          <w:spacing w:val="-1"/>
          <w:sz w:val="24"/>
          <w:szCs w:val="24"/>
        </w:rPr>
        <w:t xml:space="preserve"> </w:t>
      </w:r>
      <w:r w:rsidRPr="00D75D2E">
        <w:rPr>
          <w:rFonts w:ascii="Times New Roman" w:hAnsi="Times New Roman"/>
          <w:sz w:val="24"/>
          <w:szCs w:val="24"/>
        </w:rPr>
        <w:t>alent</w:t>
      </w:r>
      <w:r w:rsidRPr="00D75D2E">
        <w:rPr>
          <w:rFonts w:ascii="Times New Roman" w:hAnsi="Times New Roman"/>
          <w:spacing w:val="1"/>
          <w:sz w:val="24"/>
          <w:szCs w:val="24"/>
        </w:rPr>
        <w:t>o</w:t>
      </w:r>
      <w:r w:rsidRPr="00D75D2E">
        <w:rPr>
          <w:rFonts w:ascii="Times New Roman" w:hAnsi="Times New Roman"/>
          <w:spacing w:val="-1"/>
          <w:sz w:val="24"/>
          <w:szCs w:val="24"/>
        </w:rPr>
        <w:t>u</w:t>
      </w:r>
      <w:r w:rsidRPr="00D75D2E">
        <w:rPr>
          <w:rFonts w:ascii="Times New Roman" w:hAnsi="Times New Roman"/>
          <w:sz w:val="24"/>
          <w:szCs w:val="24"/>
        </w:rPr>
        <w:t>rs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z</w:t>
      </w:r>
      <w:r w:rsidRPr="00D75D2E">
        <w:rPr>
          <w:rFonts w:ascii="Times New Roman" w:hAnsi="Times New Roman"/>
          <w:sz w:val="24"/>
          <w:szCs w:val="24"/>
        </w:rPr>
        <w:t>on</w:t>
      </w:r>
      <w:r w:rsidRPr="00D75D2E">
        <w:rPr>
          <w:rFonts w:ascii="Times New Roman" w:hAnsi="Times New Roman"/>
          <w:spacing w:val="-1"/>
          <w:sz w:val="24"/>
          <w:szCs w:val="24"/>
        </w:rPr>
        <w:t>e</w:t>
      </w:r>
      <w:r w:rsidRPr="00D75D2E">
        <w:rPr>
          <w:rFonts w:ascii="Times New Roman" w:hAnsi="Times New Roman"/>
          <w:sz w:val="24"/>
          <w:szCs w:val="24"/>
        </w:rPr>
        <w:t>s de t</w:t>
      </w:r>
      <w:r w:rsidRPr="00D75D2E">
        <w:rPr>
          <w:rFonts w:ascii="Times New Roman" w:hAnsi="Times New Roman"/>
          <w:spacing w:val="-1"/>
          <w:sz w:val="24"/>
          <w:szCs w:val="24"/>
        </w:rPr>
        <w:t>ra</w:t>
      </w:r>
      <w:r w:rsidRPr="00D75D2E">
        <w:rPr>
          <w:rFonts w:ascii="Times New Roman" w:hAnsi="Times New Roman"/>
          <w:spacing w:val="2"/>
          <w:sz w:val="24"/>
          <w:szCs w:val="24"/>
        </w:rPr>
        <w:t>v</w:t>
      </w:r>
      <w:r w:rsidRPr="00D75D2E">
        <w:rPr>
          <w:rFonts w:ascii="Times New Roman" w:hAnsi="Times New Roman"/>
          <w:spacing w:val="-1"/>
          <w:sz w:val="24"/>
          <w:szCs w:val="24"/>
        </w:rPr>
        <w:t>a</w:t>
      </w:r>
      <w:r w:rsidRPr="00D75D2E">
        <w:rPr>
          <w:rFonts w:ascii="Times New Roman" w:hAnsi="Times New Roman"/>
          <w:sz w:val="24"/>
          <w:szCs w:val="24"/>
        </w:rPr>
        <w:t>ux ju</w:t>
      </w:r>
      <w:r w:rsidRPr="00D75D2E">
        <w:rPr>
          <w:rFonts w:ascii="Times New Roman" w:hAnsi="Times New Roman"/>
          <w:spacing w:val="-2"/>
          <w:sz w:val="24"/>
          <w:szCs w:val="24"/>
        </w:rPr>
        <w:t>g</w:t>
      </w:r>
      <w:r w:rsidRPr="00D75D2E">
        <w:rPr>
          <w:rFonts w:ascii="Times New Roman" w:hAnsi="Times New Roman"/>
          <w:spacing w:val="-1"/>
          <w:sz w:val="24"/>
          <w:szCs w:val="24"/>
        </w:rPr>
        <w:t>é</w:t>
      </w:r>
      <w:r w:rsidRPr="00D75D2E">
        <w:rPr>
          <w:rFonts w:ascii="Times New Roman" w:hAnsi="Times New Roman"/>
          <w:sz w:val="24"/>
          <w:szCs w:val="24"/>
        </w:rPr>
        <w:t>s tr</w:t>
      </w:r>
      <w:r w:rsidRPr="00D75D2E">
        <w:rPr>
          <w:rFonts w:ascii="Times New Roman" w:hAnsi="Times New Roman"/>
          <w:spacing w:val="-1"/>
          <w:sz w:val="24"/>
          <w:szCs w:val="24"/>
        </w:rPr>
        <w:t>è</w:t>
      </w:r>
      <w:r w:rsidRPr="00D75D2E">
        <w:rPr>
          <w:rFonts w:ascii="Times New Roman" w:hAnsi="Times New Roman"/>
          <w:sz w:val="24"/>
          <w:szCs w:val="24"/>
        </w:rPr>
        <w:t>s br</w:t>
      </w:r>
      <w:r w:rsidRPr="00D75D2E">
        <w:rPr>
          <w:rFonts w:ascii="Times New Roman" w:hAnsi="Times New Roman"/>
          <w:spacing w:val="5"/>
          <w:sz w:val="24"/>
          <w:szCs w:val="24"/>
        </w:rPr>
        <w:t>u</w:t>
      </w:r>
      <w:r w:rsidRPr="00D75D2E">
        <w:rPr>
          <w:rFonts w:ascii="Times New Roman" w:hAnsi="Times New Roman"/>
          <w:spacing w:val="-10"/>
          <w:sz w:val="24"/>
          <w:szCs w:val="24"/>
        </w:rPr>
        <w:t>y</w:t>
      </w:r>
      <w:r w:rsidRPr="00D75D2E">
        <w:rPr>
          <w:rFonts w:ascii="Times New Roman" w:hAnsi="Times New Roman"/>
          <w:spacing w:val="1"/>
          <w:sz w:val="24"/>
          <w:szCs w:val="24"/>
        </w:rPr>
        <w:t>a</w:t>
      </w:r>
      <w:r w:rsidRPr="00D75D2E">
        <w:rPr>
          <w:rFonts w:ascii="Times New Roman" w:hAnsi="Times New Roman"/>
          <w:sz w:val="24"/>
          <w:szCs w:val="24"/>
        </w:rPr>
        <w:t>nts ;</w:t>
      </w:r>
    </w:p>
    <w:p w14:paraId="54973AB4" w14:textId="77777777" w:rsidR="000705BE" w:rsidRPr="00D75D2E" w:rsidRDefault="000705BE" w:rsidP="008C79F0">
      <w:pPr>
        <w:widowControl w:val="0"/>
        <w:numPr>
          <w:ilvl w:val="0"/>
          <w:numId w:val="179"/>
        </w:numPr>
        <w:tabs>
          <w:tab w:val="left" w:pos="0"/>
        </w:tabs>
        <w:suppressAutoHyphens/>
        <w:spacing w:after="0" w:line="240" w:lineRule="auto"/>
        <w:jc w:val="both"/>
        <w:rPr>
          <w:rFonts w:ascii="Times New Roman" w:hAnsi="Times New Roman"/>
          <w:sz w:val="24"/>
          <w:szCs w:val="24"/>
        </w:rPr>
      </w:pPr>
      <w:r w:rsidRPr="00D75D2E">
        <w:rPr>
          <w:rFonts w:ascii="Times New Roman" w:hAnsi="Times New Roman"/>
          <w:sz w:val="24"/>
          <w:szCs w:val="24"/>
        </w:rPr>
        <w:t>Des</w:t>
      </w:r>
      <w:r w:rsidRPr="00D75D2E">
        <w:rPr>
          <w:rFonts w:ascii="Times New Roman" w:hAnsi="Times New Roman"/>
          <w:spacing w:val="-1"/>
          <w:sz w:val="24"/>
          <w:szCs w:val="24"/>
        </w:rPr>
        <w:t xml:space="preserve"> </w:t>
      </w:r>
      <w:r w:rsidRPr="00D75D2E">
        <w:rPr>
          <w:rFonts w:ascii="Times New Roman" w:hAnsi="Times New Roman"/>
          <w:sz w:val="24"/>
          <w:szCs w:val="24"/>
        </w:rPr>
        <w:t>c</w:t>
      </w:r>
      <w:r w:rsidRPr="00D75D2E">
        <w:rPr>
          <w:rFonts w:ascii="Times New Roman" w:hAnsi="Times New Roman"/>
          <w:spacing w:val="-1"/>
          <w:sz w:val="24"/>
          <w:szCs w:val="24"/>
        </w:rPr>
        <w:t>h</w:t>
      </w:r>
      <w:r w:rsidRPr="00D75D2E">
        <w:rPr>
          <w:rFonts w:ascii="Times New Roman" w:hAnsi="Times New Roman"/>
          <w:sz w:val="24"/>
          <w:szCs w:val="24"/>
        </w:rPr>
        <w:t>auss</w:t>
      </w:r>
      <w:r w:rsidRPr="00D75D2E">
        <w:rPr>
          <w:rFonts w:ascii="Times New Roman" w:hAnsi="Times New Roman"/>
          <w:spacing w:val="2"/>
          <w:sz w:val="24"/>
          <w:szCs w:val="24"/>
        </w:rPr>
        <w:t>u</w:t>
      </w:r>
      <w:r w:rsidRPr="00D75D2E">
        <w:rPr>
          <w:rFonts w:ascii="Times New Roman" w:hAnsi="Times New Roman"/>
          <w:spacing w:val="-1"/>
          <w:sz w:val="24"/>
          <w:szCs w:val="24"/>
        </w:rPr>
        <w:t>r</w:t>
      </w:r>
      <w:r w:rsidRPr="00D75D2E">
        <w:rPr>
          <w:rFonts w:ascii="Times New Roman" w:hAnsi="Times New Roman"/>
          <w:sz w:val="24"/>
          <w:szCs w:val="24"/>
        </w:rPr>
        <w:t>es de s</w:t>
      </w:r>
      <w:r w:rsidRPr="00D75D2E">
        <w:rPr>
          <w:rFonts w:ascii="Times New Roman" w:hAnsi="Times New Roman"/>
          <w:spacing w:val="-1"/>
          <w:sz w:val="24"/>
          <w:szCs w:val="24"/>
        </w:rPr>
        <w:t>éc</w:t>
      </w:r>
      <w:r w:rsidRPr="00D75D2E">
        <w:rPr>
          <w:rFonts w:ascii="Times New Roman" w:hAnsi="Times New Roman"/>
          <w:sz w:val="24"/>
          <w:szCs w:val="24"/>
        </w:rPr>
        <w:t>uri</w:t>
      </w:r>
      <w:r w:rsidRPr="00D75D2E">
        <w:rPr>
          <w:rFonts w:ascii="Times New Roman" w:hAnsi="Times New Roman"/>
          <w:spacing w:val="3"/>
          <w:sz w:val="24"/>
          <w:szCs w:val="24"/>
        </w:rPr>
        <w:t>t</w:t>
      </w:r>
      <w:r w:rsidRPr="00D75D2E">
        <w:rPr>
          <w:rFonts w:ascii="Times New Roman" w:hAnsi="Times New Roman"/>
          <w:sz w:val="24"/>
          <w:szCs w:val="24"/>
        </w:rPr>
        <w:t>é ;</w:t>
      </w:r>
    </w:p>
    <w:p w14:paraId="48B3E4DB" w14:textId="77777777" w:rsidR="000705BE" w:rsidRPr="00D75D2E" w:rsidRDefault="000705BE" w:rsidP="008C79F0">
      <w:pPr>
        <w:widowControl w:val="0"/>
        <w:numPr>
          <w:ilvl w:val="0"/>
          <w:numId w:val="179"/>
        </w:numPr>
        <w:tabs>
          <w:tab w:val="left" w:pos="0"/>
        </w:tabs>
        <w:suppressAutoHyphens/>
        <w:spacing w:after="0" w:line="240" w:lineRule="auto"/>
        <w:ind w:right="148"/>
        <w:jc w:val="both"/>
        <w:rPr>
          <w:rFonts w:ascii="Times New Roman" w:hAnsi="Times New Roman"/>
          <w:sz w:val="24"/>
          <w:szCs w:val="24"/>
        </w:rPr>
      </w:pPr>
      <w:r w:rsidRPr="00D75D2E">
        <w:rPr>
          <w:rFonts w:ascii="Times New Roman" w:hAnsi="Times New Roman"/>
          <w:sz w:val="24"/>
          <w:szCs w:val="24"/>
        </w:rPr>
        <w:t>Des bottes ;</w:t>
      </w:r>
    </w:p>
    <w:p w14:paraId="385F7AC1" w14:textId="77777777" w:rsidR="000705BE" w:rsidRPr="00D75D2E" w:rsidRDefault="000705BE" w:rsidP="008C79F0">
      <w:pPr>
        <w:widowControl w:val="0"/>
        <w:numPr>
          <w:ilvl w:val="0"/>
          <w:numId w:val="179"/>
        </w:numPr>
        <w:tabs>
          <w:tab w:val="left" w:pos="0"/>
        </w:tabs>
        <w:suppressAutoHyphens/>
        <w:spacing w:after="0" w:line="240" w:lineRule="auto"/>
        <w:ind w:right="148"/>
        <w:jc w:val="both"/>
        <w:rPr>
          <w:rFonts w:ascii="Times New Roman" w:hAnsi="Times New Roman"/>
          <w:sz w:val="24"/>
          <w:szCs w:val="24"/>
        </w:rPr>
      </w:pPr>
      <w:r w:rsidRPr="00D75D2E">
        <w:rPr>
          <w:rFonts w:ascii="Times New Roman" w:hAnsi="Times New Roman"/>
          <w:sz w:val="24"/>
          <w:szCs w:val="24"/>
        </w:rPr>
        <w:t xml:space="preserve">Des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 xml:space="preserve">nts de </w:t>
      </w:r>
      <w:r w:rsidRPr="00D75D2E">
        <w:rPr>
          <w:rFonts w:ascii="Times New Roman" w:hAnsi="Times New Roman"/>
          <w:spacing w:val="2"/>
          <w:sz w:val="24"/>
          <w:szCs w:val="24"/>
        </w:rPr>
        <w:t>p</w:t>
      </w:r>
      <w:r w:rsidRPr="00D75D2E">
        <w:rPr>
          <w:rFonts w:ascii="Times New Roman" w:hAnsi="Times New Roman"/>
          <w:sz w:val="24"/>
          <w:szCs w:val="24"/>
        </w:rPr>
        <w:t>rot</w:t>
      </w:r>
      <w:r w:rsidRPr="00D75D2E">
        <w:rPr>
          <w:rFonts w:ascii="Times New Roman" w:hAnsi="Times New Roman"/>
          <w:spacing w:val="-1"/>
          <w:sz w:val="24"/>
          <w:szCs w:val="24"/>
        </w:rPr>
        <w:t>ec</w:t>
      </w:r>
      <w:r w:rsidRPr="00D75D2E">
        <w:rPr>
          <w:rFonts w:ascii="Times New Roman" w:hAnsi="Times New Roman"/>
          <w:sz w:val="24"/>
          <w:szCs w:val="24"/>
        </w:rPr>
        <w:t>tion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3"/>
          <w:sz w:val="24"/>
          <w:szCs w:val="24"/>
        </w:rPr>
        <w:t>m</w:t>
      </w:r>
      <w:r w:rsidRPr="00D75D2E">
        <w:rPr>
          <w:rFonts w:ascii="Times New Roman" w:hAnsi="Times New Roman"/>
          <w:spacing w:val="-1"/>
          <w:sz w:val="24"/>
          <w:szCs w:val="24"/>
        </w:rPr>
        <w:t>a</w:t>
      </w:r>
      <w:r w:rsidRPr="00D75D2E">
        <w:rPr>
          <w:rFonts w:ascii="Times New Roman" w:hAnsi="Times New Roman"/>
          <w:sz w:val="24"/>
          <w:szCs w:val="24"/>
        </w:rPr>
        <w:t xml:space="preserve">ins tels que les </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z w:val="24"/>
          <w:szCs w:val="24"/>
        </w:rPr>
        <w:t xml:space="preserve">nts </w:t>
      </w:r>
      <w:r w:rsidRPr="00D75D2E">
        <w:rPr>
          <w:rFonts w:ascii="Times New Roman" w:hAnsi="Times New Roman"/>
          <w:spacing w:val="2"/>
          <w:sz w:val="24"/>
          <w:szCs w:val="24"/>
        </w:rPr>
        <w:t>q</w:t>
      </w:r>
      <w:r w:rsidRPr="00D75D2E">
        <w:rPr>
          <w:rFonts w:ascii="Times New Roman" w:hAnsi="Times New Roman"/>
          <w:spacing w:val="5"/>
          <w:sz w:val="24"/>
          <w:szCs w:val="24"/>
        </w:rPr>
        <w:t>u</w:t>
      </w:r>
      <w:r w:rsidRPr="00D75D2E">
        <w:rPr>
          <w:rFonts w:ascii="Times New Roman" w:hAnsi="Times New Roman"/>
          <w:sz w:val="24"/>
          <w:szCs w:val="24"/>
        </w:rPr>
        <w:t>i sont n</w:t>
      </w:r>
      <w:r w:rsidRPr="00D75D2E">
        <w:rPr>
          <w:rFonts w:ascii="Times New Roman" w:hAnsi="Times New Roman"/>
          <w:spacing w:val="2"/>
          <w:sz w:val="24"/>
          <w:szCs w:val="24"/>
        </w:rPr>
        <w:t>é</w:t>
      </w:r>
      <w:r w:rsidRPr="00D75D2E">
        <w:rPr>
          <w:rFonts w:ascii="Times New Roman" w:hAnsi="Times New Roman"/>
          <w:spacing w:val="-1"/>
          <w:sz w:val="24"/>
          <w:szCs w:val="24"/>
        </w:rPr>
        <w:t>ce</w:t>
      </w:r>
      <w:r w:rsidRPr="00D75D2E">
        <w:rPr>
          <w:rFonts w:ascii="Times New Roman" w:hAnsi="Times New Roman"/>
          <w:spacing w:val="3"/>
          <w:sz w:val="24"/>
          <w:szCs w:val="24"/>
        </w:rPr>
        <w:t>ss</w:t>
      </w:r>
      <w:r w:rsidRPr="00D75D2E">
        <w:rPr>
          <w:rFonts w:ascii="Times New Roman" w:hAnsi="Times New Roman"/>
          <w:spacing w:val="-1"/>
          <w:sz w:val="24"/>
          <w:szCs w:val="24"/>
        </w:rPr>
        <w:t>a</w:t>
      </w:r>
      <w:r w:rsidRPr="00D75D2E">
        <w:rPr>
          <w:rFonts w:ascii="Times New Roman" w:hAnsi="Times New Roman"/>
          <w:sz w:val="24"/>
          <w:szCs w:val="24"/>
        </w:rPr>
        <w:t>i</w:t>
      </w:r>
      <w:r w:rsidRPr="00D75D2E">
        <w:rPr>
          <w:rFonts w:ascii="Times New Roman" w:hAnsi="Times New Roman"/>
          <w:spacing w:val="-1"/>
          <w:sz w:val="24"/>
          <w:szCs w:val="24"/>
        </w:rPr>
        <w:t>re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n </w:t>
      </w:r>
      <w:r w:rsidRPr="00D75D2E">
        <w:rPr>
          <w:rFonts w:ascii="Times New Roman" w:hAnsi="Times New Roman"/>
          <w:spacing w:val="-1"/>
          <w:sz w:val="24"/>
          <w:szCs w:val="24"/>
        </w:rPr>
        <w:t>ca</w:t>
      </w:r>
      <w:r w:rsidRPr="00D75D2E">
        <w:rPr>
          <w:rFonts w:ascii="Times New Roman" w:hAnsi="Times New Roman"/>
          <w:sz w:val="24"/>
          <w:szCs w:val="24"/>
        </w:rPr>
        <w:t>s de manipulation de pro</w:t>
      </w:r>
      <w:r w:rsidRPr="00D75D2E">
        <w:rPr>
          <w:rFonts w:ascii="Times New Roman" w:hAnsi="Times New Roman"/>
          <w:spacing w:val="-1"/>
          <w:sz w:val="24"/>
          <w:szCs w:val="24"/>
        </w:rPr>
        <w:t>d</w:t>
      </w:r>
      <w:r w:rsidRPr="00D75D2E">
        <w:rPr>
          <w:rFonts w:ascii="Times New Roman" w:hAnsi="Times New Roman"/>
          <w:sz w:val="24"/>
          <w:szCs w:val="24"/>
        </w:rPr>
        <w:t>uits ou mat</w:t>
      </w:r>
      <w:r w:rsidRPr="00D75D2E">
        <w:rPr>
          <w:rFonts w:ascii="Times New Roman" w:hAnsi="Times New Roman"/>
          <w:spacing w:val="-1"/>
          <w:sz w:val="24"/>
          <w:szCs w:val="24"/>
        </w:rPr>
        <w:t>ér</w:t>
      </w:r>
      <w:r w:rsidRPr="00D75D2E">
        <w:rPr>
          <w:rFonts w:ascii="Times New Roman" w:hAnsi="Times New Roman"/>
          <w:sz w:val="24"/>
          <w:szCs w:val="24"/>
        </w:rPr>
        <w:t>i</w:t>
      </w:r>
      <w:r w:rsidRPr="00D75D2E">
        <w:rPr>
          <w:rFonts w:ascii="Times New Roman" w:hAnsi="Times New Roman"/>
          <w:spacing w:val="-1"/>
          <w:sz w:val="24"/>
          <w:szCs w:val="24"/>
        </w:rPr>
        <w:t>e</w:t>
      </w:r>
      <w:r w:rsidRPr="00D75D2E">
        <w:rPr>
          <w:rFonts w:ascii="Times New Roman" w:hAnsi="Times New Roman"/>
          <w:sz w:val="24"/>
          <w:szCs w:val="24"/>
        </w:rPr>
        <w:t>ls qui p</w:t>
      </w:r>
      <w:r w:rsidRPr="00D75D2E">
        <w:rPr>
          <w:rFonts w:ascii="Times New Roman" w:hAnsi="Times New Roman"/>
          <w:spacing w:val="-1"/>
          <w:sz w:val="24"/>
          <w:szCs w:val="24"/>
        </w:rPr>
        <w:t>e</w:t>
      </w:r>
      <w:r w:rsidRPr="00D75D2E">
        <w:rPr>
          <w:rFonts w:ascii="Times New Roman" w:hAnsi="Times New Roman"/>
          <w:sz w:val="24"/>
          <w:szCs w:val="24"/>
        </w:rPr>
        <w:t>uv</w:t>
      </w:r>
      <w:r w:rsidRPr="00D75D2E">
        <w:rPr>
          <w:rFonts w:ascii="Times New Roman" w:hAnsi="Times New Roman"/>
          <w:spacing w:val="-1"/>
          <w:sz w:val="24"/>
          <w:szCs w:val="24"/>
        </w:rPr>
        <w:t>e</w:t>
      </w:r>
      <w:r w:rsidRPr="00D75D2E">
        <w:rPr>
          <w:rFonts w:ascii="Times New Roman" w:hAnsi="Times New Roman"/>
          <w:sz w:val="24"/>
          <w:szCs w:val="24"/>
        </w:rPr>
        <w:t>nt brul</w:t>
      </w:r>
      <w:r w:rsidRPr="00D75D2E">
        <w:rPr>
          <w:rFonts w:ascii="Times New Roman" w:hAnsi="Times New Roman"/>
          <w:spacing w:val="-1"/>
          <w:sz w:val="24"/>
          <w:szCs w:val="24"/>
        </w:rPr>
        <w:t>er</w:t>
      </w:r>
      <w:r w:rsidRPr="00D75D2E">
        <w:rPr>
          <w:rFonts w:ascii="Times New Roman" w:hAnsi="Times New Roman"/>
          <w:sz w:val="24"/>
          <w:szCs w:val="24"/>
        </w:rPr>
        <w:t xml:space="preserve">, </w:t>
      </w:r>
      <w:r w:rsidRPr="00D75D2E">
        <w:rPr>
          <w:rFonts w:ascii="Times New Roman" w:hAnsi="Times New Roman"/>
          <w:spacing w:val="-1"/>
          <w:sz w:val="24"/>
          <w:szCs w:val="24"/>
        </w:rPr>
        <w:t>c</w:t>
      </w:r>
      <w:r w:rsidRPr="00D75D2E">
        <w:rPr>
          <w:rFonts w:ascii="Times New Roman" w:hAnsi="Times New Roman"/>
          <w:sz w:val="24"/>
          <w:szCs w:val="24"/>
        </w:rPr>
        <w:t>oup</w:t>
      </w:r>
      <w:r w:rsidRPr="00D75D2E">
        <w:rPr>
          <w:rFonts w:ascii="Times New Roman" w:hAnsi="Times New Roman"/>
          <w:spacing w:val="-1"/>
          <w:sz w:val="24"/>
          <w:szCs w:val="24"/>
        </w:rPr>
        <w:t>er</w:t>
      </w:r>
      <w:r w:rsidRPr="00D75D2E">
        <w:rPr>
          <w:rFonts w:ascii="Times New Roman" w:hAnsi="Times New Roman"/>
          <w:sz w:val="24"/>
          <w:szCs w:val="24"/>
        </w:rPr>
        <w:t>, d</w:t>
      </w:r>
      <w:r w:rsidRPr="00D75D2E">
        <w:rPr>
          <w:rFonts w:ascii="Times New Roman" w:hAnsi="Times New Roman"/>
          <w:spacing w:val="-1"/>
          <w:sz w:val="24"/>
          <w:szCs w:val="24"/>
        </w:rPr>
        <w:t>é</w:t>
      </w:r>
      <w:r w:rsidRPr="00D75D2E">
        <w:rPr>
          <w:rFonts w:ascii="Times New Roman" w:hAnsi="Times New Roman"/>
          <w:sz w:val="24"/>
          <w:szCs w:val="24"/>
        </w:rPr>
        <w:t>chi</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r ou b</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sser la p</w:t>
      </w:r>
      <w:r w:rsidRPr="00D75D2E">
        <w:rPr>
          <w:rFonts w:ascii="Times New Roman" w:hAnsi="Times New Roman"/>
          <w:spacing w:val="-1"/>
          <w:sz w:val="24"/>
          <w:szCs w:val="24"/>
        </w:rPr>
        <w:t>ea</w:t>
      </w:r>
      <w:r w:rsidRPr="00D75D2E">
        <w:rPr>
          <w:rFonts w:ascii="Times New Roman" w:hAnsi="Times New Roman"/>
          <w:sz w:val="24"/>
          <w:szCs w:val="24"/>
        </w:rPr>
        <w:t>u.</w:t>
      </w:r>
    </w:p>
    <w:p w14:paraId="41F505BF" w14:textId="6FA48954" w:rsidR="000705BE" w:rsidRPr="00D75D2E" w:rsidRDefault="000705BE" w:rsidP="008C79F0">
      <w:pPr>
        <w:widowControl w:val="0"/>
        <w:numPr>
          <w:ilvl w:val="0"/>
          <w:numId w:val="179"/>
        </w:numPr>
        <w:tabs>
          <w:tab w:val="left" w:pos="0"/>
        </w:tabs>
        <w:suppressAutoHyphens/>
        <w:spacing w:after="0" w:line="240" w:lineRule="auto"/>
        <w:ind w:right="148"/>
        <w:jc w:val="both"/>
        <w:rPr>
          <w:rFonts w:ascii="Times New Roman" w:hAnsi="Times New Roman"/>
          <w:sz w:val="24"/>
          <w:szCs w:val="24"/>
        </w:rPr>
      </w:pPr>
      <w:r w:rsidRPr="00D75D2E">
        <w:rPr>
          <w:rFonts w:ascii="Times New Roman" w:hAnsi="Times New Roman"/>
          <w:sz w:val="24"/>
          <w:szCs w:val="24"/>
        </w:rPr>
        <w:t>Harnais antichute do</w:t>
      </w:r>
      <w:r w:rsidR="003F72AC">
        <w:rPr>
          <w:rFonts w:ascii="Times New Roman" w:hAnsi="Times New Roman"/>
          <w:sz w:val="24"/>
          <w:szCs w:val="24"/>
        </w:rPr>
        <w:t>u</w:t>
      </w:r>
      <w:r w:rsidRPr="00D75D2E">
        <w:rPr>
          <w:rFonts w:ascii="Times New Roman" w:hAnsi="Times New Roman"/>
          <w:sz w:val="24"/>
          <w:szCs w:val="24"/>
        </w:rPr>
        <w:t>ble longe avec absorbeur d’énergie.</w:t>
      </w:r>
    </w:p>
    <w:p w14:paraId="0828FC06" w14:textId="77777777" w:rsidR="000705BE" w:rsidRPr="00D75D2E" w:rsidRDefault="000705BE" w:rsidP="00B80123">
      <w:pPr>
        <w:widowControl w:val="0"/>
        <w:tabs>
          <w:tab w:val="left" w:pos="0"/>
        </w:tabs>
        <w:spacing w:before="120" w:after="120" w:line="240" w:lineRule="auto"/>
        <w:ind w:right="150"/>
        <w:jc w:val="both"/>
        <w:rPr>
          <w:rFonts w:ascii="Times New Roman" w:hAnsi="Times New Roman"/>
          <w:sz w:val="24"/>
          <w:szCs w:val="24"/>
        </w:rPr>
      </w:pPr>
      <w:r w:rsidRPr="00D75D2E">
        <w:rPr>
          <w:rFonts w:ascii="Times New Roman" w:hAnsi="Times New Roman"/>
          <w:spacing w:val="-5"/>
          <w:sz w:val="24"/>
          <w:szCs w:val="24"/>
        </w:rPr>
        <w:t>L</w:t>
      </w:r>
      <w:r w:rsidRPr="00D75D2E">
        <w:rPr>
          <w:rFonts w:ascii="Times New Roman" w:hAnsi="Times New Roman"/>
          <w:sz w:val="24"/>
          <w:szCs w:val="24"/>
        </w:rPr>
        <w:t xml:space="preserve">e port de </w:t>
      </w:r>
      <w:r w:rsidRPr="00D75D2E">
        <w:rPr>
          <w:rFonts w:ascii="Times New Roman" w:hAnsi="Times New Roman"/>
          <w:spacing w:val="-1"/>
          <w:sz w:val="24"/>
          <w:szCs w:val="24"/>
        </w:rPr>
        <w:t>ce</w:t>
      </w:r>
      <w:r w:rsidRPr="00D75D2E">
        <w:rPr>
          <w:rFonts w:ascii="Times New Roman" w:hAnsi="Times New Roman"/>
          <w:sz w:val="24"/>
          <w:szCs w:val="24"/>
        </w:rPr>
        <w:t xml:space="preserv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pacing w:val="3"/>
          <w:sz w:val="24"/>
          <w:szCs w:val="24"/>
        </w:rPr>
        <w:t>n</w:t>
      </w:r>
      <w:r w:rsidRPr="00D75D2E">
        <w:rPr>
          <w:rFonts w:ascii="Times New Roman" w:hAnsi="Times New Roman"/>
          <w:sz w:val="24"/>
          <w:szCs w:val="24"/>
        </w:rPr>
        <w:t>ts s</w:t>
      </w:r>
      <w:r w:rsidRPr="00D75D2E">
        <w:rPr>
          <w:rFonts w:ascii="Times New Roman" w:hAnsi="Times New Roman"/>
          <w:spacing w:val="-1"/>
          <w:sz w:val="24"/>
          <w:szCs w:val="24"/>
        </w:rPr>
        <w:t>er</w:t>
      </w:r>
      <w:r w:rsidRPr="00D75D2E">
        <w:rPr>
          <w:rFonts w:ascii="Times New Roman" w:hAnsi="Times New Roman"/>
          <w:sz w:val="24"/>
          <w:szCs w:val="24"/>
        </w:rPr>
        <w:t xml:space="preserve">a </w:t>
      </w:r>
      <w:r w:rsidRPr="00D75D2E">
        <w:rPr>
          <w:rFonts w:ascii="Times New Roman" w:hAnsi="Times New Roman"/>
          <w:spacing w:val="-1"/>
          <w:sz w:val="24"/>
          <w:szCs w:val="24"/>
        </w:rPr>
        <w:t>re</w:t>
      </w:r>
      <w:r w:rsidRPr="00D75D2E">
        <w:rPr>
          <w:rFonts w:ascii="Times New Roman" w:hAnsi="Times New Roman"/>
          <w:sz w:val="24"/>
          <w:szCs w:val="24"/>
        </w:rPr>
        <w:t>ndu oblig</w:t>
      </w:r>
      <w:r w:rsidRPr="00D75D2E">
        <w:rPr>
          <w:rFonts w:ascii="Times New Roman" w:hAnsi="Times New Roman"/>
          <w:spacing w:val="-1"/>
          <w:sz w:val="24"/>
          <w:szCs w:val="24"/>
        </w:rPr>
        <w:t>a</w:t>
      </w:r>
      <w:r w:rsidRPr="00D75D2E">
        <w:rPr>
          <w:rFonts w:ascii="Times New Roman" w:hAnsi="Times New Roman"/>
          <w:sz w:val="24"/>
          <w:szCs w:val="24"/>
        </w:rPr>
        <w:t>toi</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3"/>
          <w:sz w:val="24"/>
          <w:szCs w:val="24"/>
        </w:rPr>
        <w:t>s</w:t>
      </w:r>
      <w:r w:rsidRPr="00D75D2E">
        <w:rPr>
          <w:rFonts w:ascii="Times New Roman" w:hAnsi="Times New Roman"/>
          <w:sz w:val="24"/>
          <w:szCs w:val="24"/>
        </w:rPr>
        <w:t>ur le</w:t>
      </w:r>
      <w:r w:rsidRPr="00D75D2E">
        <w:rPr>
          <w:rFonts w:ascii="Times New Roman" w:hAnsi="Times New Roman"/>
          <w:spacing w:val="-1"/>
          <w:sz w:val="24"/>
          <w:szCs w:val="24"/>
        </w:rPr>
        <w:t xml:space="preserve"> c</w:t>
      </w:r>
      <w:r w:rsidRPr="00D75D2E">
        <w:rPr>
          <w:rFonts w:ascii="Times New Roman" w:hAnsi="Times New Roman"/>
          <w:spacing w:val="2"/>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1"/>
          <w:sz w:val="24"/>
          <w:szCs w:val="24"/>
        </w:rPr>
        <w:t>e</w:t>
      </w:r>
      <w:r w:rsidRPr="00D75D2E">
        <w:rPr>
          <w:rFonts w:ascii="Times New Roman" w:hAnsi="Times New Roman"/>
          <w:sz w:val="24"/>
          <w:szCs w:val="24"/>
        </w:rPr>
        <w:t>t d</w:t>
      </w:r>
      <w:r w:rsidRPr="00D75D2E">
        <w:rPr>
          <w:rFonts w:ascii="Times New Roman" w:hAnsi="Times New Roman"/>
          <w:spacing w:val="2"/>
          <w:sz w:val="24"/>
          <w:szCs w:val="24"/>
        </w:rPr>
        <w:t>u</w:t>
      </w:r>
      <w:r w:rsidRPr="00D75D2E">
        <w:rPr>
          <w:rFonts w:ascii="Times New Roman" w:hAnsi="Times New Roman"/>
          <w:spacing w:val="-1"/>
          <w:sz w:val="24"/>
          <w:szCs w:val="24"/>
        </w:rPr>
        <w:t>r</w:t>
      </w:r>
      <w:r w:rsidRPr="00D75D2E">
        <w:rPr>
          <w:rFonts w:ascii="Times New Roman" w:hAnsi="Times New Roman"/>
          <w:spacing w:val="-3"/>
          <w:sz w:val="24"/>
          <w:szCs w:val="24"/>
        </w:rPr>
        <w:t>a</w:t>
      </w:r>
      <w:r w:rsidRPr="00D75D2E">
        <w:rPr>
          <w:rFonts w:ascii="Times New Roman" w:hAnsi="Times New Roman"/>
          <w:sz w:val="24"/>
          <w:szCs w:val="24"/>
        </w:rPr>
        <w:t>nt l</w:t>
      </w:r>
      <w:r w:rsidRPr="00D75D2E">
        <w:rPr>
          <w:rFonts w:ascii="Times New Roman" w:hAnsi="Times New Roman"/>
          <w:spacing w:val="1"/>
          <w:sz w:val="24"/>
          <w:szCs w:val="24"/>
        </w:rPr>
        <w:t>e</w:t>
      </w:r>
      <w:r w:rsidRPr="00D75D2E">
        <w:rPr>
          <w:rFonts w:ascii="Times New Roman" w:hAnsi="Times New Roman"/>
          <w:sz w:val="24"/>
          <w:szCs w:val="24"/>
        </w:rPr>
        <w:t>s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ux pour tout </w:t>
      </w:r>
      <w:r w:rsidRPr="00D75D2E">
        <w:rPr>
          <w:rFonts w:ascii="Times New Roman" w:hAnsi="Times New Roman"/>
          <w:spacing w:val="-1"/>
          <w:sz w:val="24"/>
          <w:szCs w:val="24"/>
        </w:rPr>
        <w:t>e</w:t>
      </w:r>
      <w:r w:rsidRPr="00D75D2E">
        <w:rPr>
          <w:rFonts w:ascii="Times New Roman" w:hAnsi="Times New Roman"/>
          <w:sz w:val="24"/>
          <w:szCs w:val="24"/>
        </w:rPr>
        <w:t>mpl</w:t>
      </w:r>
      <w:r w:rsidRPr="00D75D2E">
        <w:rPr>
          <w:rFonts w:ascii="Times New Roman" w:hAnsi="Times New Roman"/>
          <w:spacing w:val="5"/>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é</w:t>
      </w:r>
      <w:r w:rsidRPr="00D75D2E">
        <w:rPr>
          <w:rFonts w:ascii="Times New Roman" w:hAnsi="Times New Roman"/>
          <w:sz w:val="24"/>
          <w:szCs w:val="24"/>
        </w:rPr>
        <w:t xml:space="preserve">. En </w:t>
      </w:r>
      <w:r w:rsidRPr="00D75D2E">
        <w:rPr>
          <w:rFonts w:ascii="Times New Roman" w:hAnsi="Times New Roman"/>
          <w:spacing w:val="-1"/>
          <w:sz w:val="24"/>
          <w:szCs w:val="24"/>
        </w:rPr>
        <w:t>ca</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 non</w:t>
      </w:r>
      <w:r w:rsidRPr="00D75D2E">
        <w:rPr>
          <w:rFonts w:ascii="Times New Roman" w:hAnsi="Times New Roman"/>
          <w:spacing w:val="-1"/>
          <w:sz w:val="24"/>
          <w:szCs w:val="24"/>
        </w:rPr>
        <w:t>-</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sp</w:t>
      </w:r>
      <w:r w:rsidRPr="00D75D2E">
        <w:rPr>
          <w:rFonts w:ascii="Times New Roman" w:hAnsi="Times New Roman"/>
          <w:spacing w:val="-1"/>
          <w:sz w:val="24"/>
          <w:szCs w:val="24"/>
        </w:rPr>
        <w:t>ec</w:t>
      </w:r>
      <w:r w:rsidRPr="00D75D2E">
        <w:rPr>
          <w:rFonts w:ascii="Times New Roman" w:hAnsi="Times New Roman"/>
          <w:sz w:val="24"/>
          <w:szCs w:val="24"/>
        </w:rPr>
        <w:t xml:space="preserve">t, </w:t>
      </w:r>
      <w:r w:rsidRPr="00D75D2E">
        <w:rPr>
          <w:rFonts w:ascii="Times New Roman" w:hAnsi="Times New Roman"/>
          <w:spacing w:val="3"/>
          <w:sz w:val="24"/>
          <w:szCs w:val="24"/>
        </w:rPr>
        <w:t>l</w:t>
      </w:r>
      <w:r w:rsidRPr="00D75D2E">
        <w:rPr>
          <w:rFonts w:ascii="Times New Roman" w:hAnsi="Times New Roman"/>
          <w:sz w:val="24"/>
          <w:szCs w:val="24"/>
        </w:rPr>
        <w:t>e</w:t>
      </w:r>
      <w:r w:rsidRPr="00D75D2E">
        <w:rPr>
          <w:rFonts w:ascii="Times New Roman" w:hAnsi="Times New Roman"/>
          <w:spacing w:val="-1"/>
          <w:sz w:val="24"/>
          <w:szCs w:val="24"/>
        </w:rPr>
        <w:t xml:space="preserve"> fa</w:t>
      </w:r>
      <w:r w:rsidRPr="00D75D2E">
        <w:rPr>
          <w:rFonts w:ascii="Times New Roman" w:hAnsi="Times New Roman"/>
          <w:sz w:val="24"/>
          <w:szCs w:val="24"/>
        </w:rPr>
        <w:t>utif s</w:t>
      </w:r>
      <w:r w:rsidRPr="00D75D2E">
        <w:rPr>
          <w:rFonts w:ascii="Times New Roman" w:hAnsi="Times New Roman"/>
          <w:spacing w:val="-1"/>
          <w:sz w:val="24"/>
          <w:szCs w:val="24"/>
        </w:rPr>
        <w:t>er</w:t>
      </w:r>
      <w:r w:rsidRPr="00D75D2E">
        <w:rPr>
          <w:rFonts w:ascii="Times New Roman" w:hAnsi="Times New Roman"/>
          <w:sz w:val="24"/>
          <w:szCs w:val="24"/>
        </w:rPr>
        <w:t>a s</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1"/>
          <w:sz w:val="24"/>
          <w:szCs w:val="24"/>
        </w:rPr>
        <w:t>c</w:t>
      </w:r>
      <w:r w:rsidRPr="00D75D2E">
        <w:rPr>
          <w:rFonts w:ascii="Times New Roman" w:hAnsi="Times New Roman"/>
          <w:sz w:val="24"/>
          <w:szCs w:val="24"/>
        </w:rPr>
        <w:t>t</w:t>
      </w:r>
      <w:r w:rsidRPr="00D75D2E">
        <w:rPr>
          <w:rFonts w:ascii="Times New Roman" w:hAnsi="Times New Roman"/>
          <w:spacing w:val="1"/>
          <w:sz w:val="24"/>
          <w:szCs w:val="24"/>
        </w:rPr>
        <w:t>i</w:t>
      </w:r>
      <w:r w:rsidRPr="00D75D2E">
        <w:rPr>
          <w:rFonts w:ascii="Times New Roman" w:hAnsi="Times New Roman"/>
          <w:sz w:val="24"/>
          <w:szCs w:val="24"/>
        </w:rPr>
        <w:t>onné p</w:t>
      </w:r>
      <w:r w:rsidRPr="00D75D2E">
        <w:rPr>
          <w:rFonts w:ascii="Times New Roman" w:hAnsi="Times New Roman"/>
          <w:spacing w:val="-1"/>
          <w:sz w:val="24"/>
          <w:szCs w:val="24"/>
        </w:rPr>
        <w:t>a</w:t>
      </w:r>
      <w:r w:rsidRPr="00D75D2E">
        <w:rPr>
          <w:rFonts w:ascii="Times New Roman" w:hAnsi="Times New Roman"/>
          <w:sz w:val="24"/>
          <w:szCs w:val="24"/>
        </w:rPr>
        <w:t>r s</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sponsab</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s.</w:t>
      </w:r>
    </w:p>
    <w:p w14:paraId="2759323F" w14:textId="77777777" w:rsidR="000705BE" w:rsidRPr="00D75D2E" w:rsidRDefault="000705BE" w:rsidP="00B80123">
      <w:pPr>
        <w:widowControl w:val="0"/>
        <w:tabs>
          <w:tab w:val="left" w:pos="0"/>
        </w:tabs>
        <w:spacing w:before="120" w:after="120" w:line="240" w:lineRule="auto"/>
        <w:ind w:right="150"/>
        <w:jc w:val="both"/>
        <w:rPr>
          <w:rFonts w:ascii="Times New Roman" w:hAnsi="Times New Roman"/>
          <w:sz w:val="24"/>
          <w:szCs w:val="24"/>
        </w:rPr>
      </w:pPr>
      <w:r w:rsidRPr="00D75D2E">
        <w:rPr>
          <w:rFonts w:ascii="Times New Roman" w:hAnsi="Times New Roman"/>
          <w:sz w:val="24"/>
          <w:szCs w:val="24"/>
        </w:rPr>
        <w:t>Tous les E</w:t>
      </w:r>
      <w:r w:rsidRPr="00D75D2E">
        <w:rPr>
          <w:rFonts w:ascii="Times New Roman" w:hAnsi="Times New Roman"/>
          <w:spacing w:val="6"/>
          <w:sz w:val="24"/>
          <w:szCs w:val="24"/>
        </w:rPr>
        <w:t>P</w:t>
      </w:r>
      <w:r w:rsidRPr="00D75D2E">
        <w:rPr>
          <w:rFonts w:ascii="Times New Roman" w:hAnsi="Times New Roman"/>
          <w:sz w:val="24"/>
          <w:szCs w:val="24"/>
        </w:rPr>
        <w:t xml:space="preserve">I </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ront in</w:t>
      </w:r>
      <w:r w:rsidRPr="00D75D2E">
        <w:rPr>
          <w:rFonts w:ascii="Times New Roman" w:hAnsi="Times New Roman"/>
          <w:spacing w:val="6"/>
          <w:sz w:val="24"/>
          <w:szCs w:val="24"/>
        </w:rPr>
        <w:t>s</w:t>
      </w:r>
      <w:r w:rsidRPr="00D75D2E">
        <w:rPr>
          <w:rFonts w:ascii="Times New Roman" w:hAnsi="Times New Roman"/>
          <w:sz w:val="24"/>
          <w:szCs w:val="24"/>
        </w:rPr>
        <w:t>p</w:t>
      </w:r>
      <w:r w:rsidRPr="00D75D2E">
        <w:rPr>
          <w:rFonts w:ascii="Times New Roman" w:hAnsi="Times New Roman"/>
          <w:spacing w:val="-1"/>
          <w:sz w:val="24"/>
          <w:szCs w:val="24"/>
        </w:rPr>
        <w:t>ec</w:t>
      </w:r>
      <w:r w:rsidRPr="00D75D2E">
        <w:rPr>
          <w:rFonts w:ascii="Times New Roman" w:hAnsi="Times New Roman"/>
          <w:sz w:val="24"/>
          <w:szCs w:val="24"/>
        </w:rPr>
        <w:t>t</w:t>
      </w:r>
      <w:r w:rsidRPr="00D75D2E">
        <w:rPr>
          <w:rFonts w:ascii="Times New Roman" w:hAnsi="Times New Roman"/>
          <w:spacing w:val="-1"/>
          <w:sz w:val="24"/>
          <w:szCs w:val="24"/>
        </w:rPr>
        <w:t>ée</w:t>
      </w:r>
      <w:r w:rsidRPr="00D75D2E">
        <w:rPr>
          <w:rFonts w:ascii="Times New Roman" w:hAnsi="Times New Roman"/>
          <w:sz w:val="24"/>
          <w:szCs w:val="24"/>
        </w:rPr>
        <w:t>s, utilis</w:t>
      </w:r>
      <w:r w:rsidRPr="00D75D2E">
        <w:rPr>
          <w:rFonts w:ascii="Times New Roman" w:hAnsi="Times New Roman"/>
          <w:spacing w:val="-1"/>
          <w:sz w:val="24"/>
          <w:szCs w:val="24"/>
        </w:rPr>
        <w:t>é</w:t>
      </w:r>
      <w:r w:rsidRPr="00D75D2E">
        <w:rPr>
          <w:rFonts w:ascii="Times New Roman" w:hAnsi="Times New Roman"/>
          <w:sz w:val="24"/>
          <w:szCs w:val="24"/>
        </w:rPr>
        <w:t>s, stock</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1"/>
          <w:sz w:val="24"/>
          <w:szCs w:val="24"/>
        </w:rPr>
        <w:t>e</w:t>
      </w:r>
      <w:r w:rsidRPr="00D75D2E">
        <w:rPr>
          <w:rFonts w:ascii="Times New Roman" w:hAnsi="Times New Roman"/>
          <w:spacing w:val="-2"/>
          <w:sz w:val="24"/>
          <w:szCs w:val="24"/>
        </w:rPr>
        <w:t>n</w:t>
      </w:r>
      <w:r w:rsidRPr="00D75D2E">
        <w:rPr>
          <w:rFonts w:ascii="Times New Roman" w:hAnsi="Times New Roman"/>
          <w:sz w:val="24"/>
          <w:szCs w:val="24"/>
        </w:rPr>
        <w:t>tr</w:t>
      </w:r>
      <w:r w:rsidRPr="00D75D2E">
        <w:rPr>
          <w:rFonts w:ascii="Times New Roman" w:hAnsi="Times New Roman"/>
          <w:spacing w:val="-1"/>
          <w:sz w:val="24"/>
          <w:szCs w:val="24"/>
        </w:rPr>
        <w:t>e</w:t>
      </w:r>
      <w:r w:rsidRPr="00D75D2E">
        <w:rPr>
          <w:rFonts w:ascii="Times New Roman" w:hAnsi="Times New Roman"/>
          <w:sz w:val="24"/>
          <w:szCs w:val="24"/>
        </w:rPr>
        <w:t>t</w:t>
      </w:r>
      <w:r w:rsidRPr="00D75D2E">
        <w:rPr>
          <w:rFonts w:ascii="Times New Roman" w:hAnsi="Times New Roman"/>
          <w:spacing w:val="-1"/>
          <w:sz w:val="24"/>
          <w:szCs w:val="24"/>
        </w:rPr>
        <w:t>e</w:t>
      </w:r>
      <w:r w:rsidRPr="00D75D2E">
        <w:rPr>
          <w:rFonts w:ascii="Times New Roman" w:hAnsi="Times New Roman"/>
          <w:spacing w:val="5"/>
          <w:sz w:val="24"/>
          <w:szCs w:val="24"/>
        </w:rPr>
        <w:t>n</w:t>
      </w:r>
      <w:r w:rsidRPr="00D75D2E">
        <w:rPr>
          <w:rFonts w:ascii="Times New Roman" w:hAnsi="Times New Roman"/>
          <w:sz w:val="24"/>
          <w:szCs w:val="24"/>
        </w:rPr>
        <w:t xml:space="preserve">us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1"/>
          <w:sz w:val="24"/>
          <w:szCs w:val="24"/>
        </w:rPr>
        <w:t>rr</w:t>
      </w:r>
      <w:r w:rsidRPr="00D75D2E">
        <w:rPr>
          <w:rFonts w:ascii="Times New Roman" w:hAnsi="Times New Roman"/>
          <w:spacing w:val="-3"/>
          <w:sz w:val="24"/>
          <w:szCs w:val="24"/>
        </w:rPr>
        <w:t>e</w:t>
      </w:r>
      <w:r w:rsidRPr="00D75D2E">
        <w:rPr>
          <w:rFonts w:ascii="Times New Roman" w:hAnsi="Times New Roman"/>
          <w:spacing w:val="-1"/>
          <w:sz w:val="24"/>
          <w:szCs w:val="24"/>
        </w:rPr>
        <w:t>c</w:t>
      </w:r>
      <w:r w:rsidRPr="00D75D2E">
        <w:rPr>
          <w:rFonts w:ascii="Times New Roman" w:hAnsi="Times New Roman"/>
          <w:spacing w:val="3"/>
          <w:sz w:val="24"/>
          <w:szCs w:val="24"/>
        </w:rPr>
        <w:t>t</w:t>
      </w:r>
      <w:r w:rsidRPr="00D75D2E">
        <w:rPr>
          <w:rFonts w:ascii="Times New Roman" w:hAnsi="Times New Roman"/>
          <w:spacing w:val="-1"/>
          <w:sz w:val="24"/>
          <w:szCs w:val="24"/>
        </w:rPr>
        <w:t>e</w:t>
      </w:r>
      <w:r w:rsidRPr="00D75D2E">
        <w:rPr>
          <w:rFonts w:ascii="Times New Roman" w:hAnsi="Times New Roman"/>
          <w:sz w:val="24"/>
          <w:szCs w:val="24"/>
        </w:rPr>
        <w:t>ment.</w:t>
      </w:r>
      <w:r w:rsidRPr="00D75D2E">
        <w:rPr>
          <w:rFonts w:ascii="Times New Roman" w:hAnsi="Times New Roman"/>
          <w:spacing w:val="1"/>
          <w:sz w:val="24"/>
          <w:szCs w:val="24"/>
        </w:rPr>
        <w:t xml:space="preserve"> </w:t>
      </w:r>
      <w:r w:rsidRPr="00D75D2E">
        <w:rPr>
          <w:rFonts w:ascii="Times New Roman" w:hAnsi="Times New Roman"/>
          <w:sz w:val="24"/>
          <w:szCs w:val="24"/>
        </w:rPr>
        <w:t>Si un EPI</w:t>
      </w:r>
      <w:r w:rsidRPr="00D75D2E">
        <w:rPr>
          <w:rFonts w:ascii="Times New Roman" w:hAnsi="Times New Roman"/>
          <w:spacing w:val="8"/>
          <w:sz w:val="24"/>
          <w:szCs w:val="24"/>
        </w:rPr>
        <w:t xml:space="preserve"> </w:t>
      </w:r>
      <w:r w:rsidRPr="00D75D2E">
        <w:rPr>
          <w:rFonts w:ascii="Times New Roman" w:hAnsi="Times New Roman"/>
          <w:spacing w:val="5"/>
          <w:sz w:val="24"/>
          <w:szCs w:val="24"/>
        </w:rPr>
        <w:t>n</w:t>
      </w:r>
      <w:r w:rsidRPr="00D75D2E">
        <w:rPr>
          <w:rFonts w:ascii="Times New Roman" w:hAnsi="Times New Roman"/>
          <w:sz w:val="24"/>
          <w:szCs w:val="24"/>
        </w:rPr>
        <w:t>e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s</w:t>
      </w:r>
      <w:r w:rsidRPr="00D75D2E">
        <w:rPr>
          <w:rFonts w:ascii="Times New Roman" w:hAnsi="Times New Roman"/>
          <w:spacing w:val="-1"/>
          <w:sz w:val="24"/>
          <w:szCs w:val="24"/>
        </w:rPr>
        <w:t>e</w:t>
      </w:r>
      <w:r w:rsidRPr="00D75D2E">
        <w:rPr>
          <w:rFonts w:ascii="Times New Roman" w:hAnsi="Times New Roman"/>
          <w:sz w:val="24"/>
          <w:szCs w:val="24"/>
        </w:rPr>
        <w:t>nte plus le nive</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3"/>
          <w:sz w:val="24"/>
          <w:szCs w:val="24"/>
        </w:rPr>
        <w:t>d</w:t>
      </w:r>
      <w:r w:rsidRPr="00D75D2E">
        <w:rPr>
          <w:rFonts w:ascii="Times New Roman" w:hAnsi="Times New Roman"/>
          <w:sz w:val="24"/>
          <w:szCs w:val="24"/>
        </w:rPr>
        <w:t>e prot</w:t>
      </w:r>
      <w:r w:rsidRPr="00D75D2E">
        <w:rPr>
          <w:rFonts w:ascii="Times New Roman" w:hAnsi="Times New Roman"/>
          <w:spacing w:val="-1"/>
          <w:sz w:val="24"/>
          <w:szCs w:val="24"/>
        </w:rPr>
        <w:t>ec</w:t>
      </w:r>
      <w:r w:rsidRPr="00D75D2E">
        <w:rPr>
          <w:rFonts w:ascii="Times New Roman" w:hAnsi="Times New Roman"/>
          <w:sz w:val="24"/>
          <w:szCs w:val="24"/>
        </w:rPr>
        <w:t xml:space="preserve">tion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quis, il s</w:t>
      </w:r>
      <w:r w:rsidRPr="00D75D2E">
        <w:rPr>
          <w:rFonts w:ascii="Times New Roman" w:hAnsi="Times New Roman"/>
          <w:spacing w:val="-1"/>
          <w:sz w:val="24"/>
          <w:szCs w:val="24"/>
        </w:rPr>
        <w:t>e</w:t>
      </w:r>
      <w:r w:rsidRPr="00D75D2E">
        <w:rPr>
          <w:rFonts w:ascii="Times New Roman" w:hAnsi="Times New Roman"/>
          <w:spacing w:val="2"/>
          <w:sz w:val="24"/>
          <w:szCs w:val="24"/>
        </w:rPr>
        <w:t>r</w:t>
      </w:r>
      <w:r w:rsidRPr="00D75D2E">
        <w:rPr>
          <w:rFonts w:ascii="Times New Roman" w:hAnsi="Times New Roman"/>
          <w:sz w:val="24"/>
          <w:szCs w:val="24"/>
        </w:rPr>
        <w:t>a r</w:t>
      </w:r>
      <w:r w:rsidRPr="00D75D2E">
        <w:rPr>
          <w:rFonts w:ascii="Times New Roman" w:hAnsi="Times New Roman"/>
          <w:spacing w:val="-3"/>
          <w:sz w:val="24"/>
          <w:szCs w:val="24"/>
        </w:rPr>
        <w:t>é</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pacing w:val="-1"/>
          <w:sz w:val="24"/>
          <w:szCs w:val="24"/>
        </w:rPr>
        <w:t>r</w:t>
      </w:r>
      <w:r w:rsidRPr="00D75D2E">
        <w:rPr>
          <w:rFonts w:ascii="Times New Roman" w:hAnsi="Times New Roman"/>
          <w:sz w:val="24"/>
          <w:szCs w:val="24"/>
        </w:rPr>
        <w:t xml:space="preserve">é ou </w:t>
      </w:r>
      <w:r w:rsidRPr="00D75D2E">
        <w:rPr>
          <w:rFonts w:ascii="Times New Roman" w:hAnsi="Times New Roman"/>
          <w:spacing w:val="-1"/>
          <w:sz w:val="24"/>
          <w:szCs w:val="24"/>
        </w:rPr>
        <w:t>re</w:t>
      </w:r>
      <w:r w:rsidRPr="00D75D2E">
        <w:rPr>
          <w:rFonts w:ascii="Times New Roman" w:hAnsi="Times New Roman"/>
          <w:sz w:val="24"/>
          <w:szCs w:val="24"/>
        </w:rPr>
        <w:t>mpl</w:t>
      </w:r>
      <w:r w:rsidRPr="00D75D2E">
        <w:rPr>
          <w:rFonts w:ascii="Times New Roman" w:hAnsi="Times New Roman"/>
          <w:spacing w:val="-1"/>
          <w:sz w:val="24"/>
          <w:szCs w:val="24"/>
        </w:rPr>
        <w:t>a</w:t>
      </w:r>
      <w:r w:rsidRPr="00D75D2E">
        <w:rPr>
          <w:rFonts w:ascii="Times New Roman" w:hAnsi="Times New Roman"/>
          <w:spacing w:val="1"/>
          <w:sz w:val="24"/>
          <w:szCs w:val="24"/>
        </w:rPr>
        <w:t>c</w:t>
      </w:r>
      <w:r w:rsidRPr="00D75D2E">
        <w:rPr>
          <w:rFonts w:ascii="Times New Roman" w:hAnsi="Times New Roman"/>
          <w:sz w:val="24"/>
          <w:szCs w:val="24"/>
        </w:rPr>
        <w:t>é i</w:t>
      </w:r>
      <w:r w:rsidRPr="00D75D2E">
        <w:rPr>
          <w:rFonts w:ascii="Times New Roman" w:hAnsi="Times New Roman"/>
          <w:spacing w:val="5"/>
          <w:sz w:val="24"/>
          <w:szCs w:val="24"/>
        </w:rPr>
        <w:t>m</w:t>
      </w:r>
      <w:r w:rsidRPr="00D75D2E">
        <w:rPr>
          <w:rFonts w:ascii="Times New Roman" w:hAnsi="Times New Roman"/>
          <w:sz w:val="24"/>
          <w:szCs w:val="24"/>
        </w:rPr>
        <w:t>méd</w:t>
      </w:r>
      <w:r w:rsidRPr="00D75D2E">
        <w:rPr>
          <w:rFonts w:ascii="Times New Roman" w:hAnsi="Times New Roman"/>
          <w:spacing w:val="1"/>
          <w:sz w:val="24"/>
          <w:szCs w:val="24"/>
        </w:rPr>
        <w:t>i</w:t>
      </w:r>
      <w:r w:rsidRPr="00D75D2E">
        <w:rPr>
          <w:rFonts w:ascii="Times New Roman" w:hAnsi="Times New Roman"/>
          <w:spacing w:val="-1"/>
          <w:sz w:val="24"/>
          <w:szCs w:val="24"/>
        </w:rPr>
        <w:t>a</w:t>
      </w:r>
      <w:r w:rsidRPr="00D75D2E">
        <w:rPr>
          <w:rFonts w:ascii="Times New Roman" w:hAnsi="Times New Roman"/>
          <w:sz w:val="24"/>
          <w:szCs w:val="24"/>
        </w:rPr>
        <w:t>tem</w:t>
      </w:r>
      <w:r w:rsidRPr="00D75D2E">
        <w:rPr>
          <w:rFonts w:ascii="Times New Roman" w:hAnsi="Times New Roman"/>
          <w:spacing w:val="-1"/>
          <w:sz w:val="24"/>
          <w:szCs w:val="24"/>
        </w:rPr>
        <w:t>e</w:t>
      </w:r>
      <w:r w:rsidRPr="00D75D2E">
        <w:rPr>
          <w:rFonts w:ascii="Times New Roman" w:hAnsi="Times New Roman"/>
          <w:sz w:val="24"/>
          <w:szCs w:val="24"/>
        </w:rPr>
        <w:t>nt. Un EPI qui n</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z w:val="24"/>
          <w:szCs w:val="24"/>
        </w:rPr>
        <w:t>st plus utili</w:t>
      </w:r>
      <w:r w:rsidRPr="00D75D2E">
        <w:rPr>
          <w:rFonts w:ascii="Times New Roman" w:hAnsi="Times New Roman"/>
          <w:spacing w:val="2"/>
          <w:sz w:val="24"/>
          <w:szCs w:val="24"/>
        </w:rPr>
        <w:t>s</w:t>
      </w:r>
      <w:r w:rsidRPr="00D75D2E">
        <w:rPr>
          <w:rFonts w:ascii="Times New Roman" w:hAnsi="Times New Roman"/>
          <w:spacing w:val="-1"/>
          <w:sz w:val="24"/>
          <w:szCs w:val="24"/>
        </w:rPr>
        <w:t>a</w:t>
      </w:r>
      <w:r w:rsidRPr="00D75D2E">
        <w:rPr>
          <w:rFonts w:ascii="Times New Roman" w:hAnsi="Times New Roman"/>
          <w:sz w:val="24"/>
          <w:szCs w:val="24"/>
        </w:rPr>
        <w:t xml:space="preserve">ble, doit </w:t>
      </w:r>
      <w:r w:rsidRPr="00D75D2E">
        <w:rPr>
          <w:rFonts w:ascii="Times New Roman" w:hAnsi="Times New Roman"/>
          <w:spacing w:val="-1"/>
          <w:sz w:val="24"/>
          <w:szCs w:val="24"/>
        </w:rPr>
        <w:t>ê</w:t>
      </w:r>
      <w:r w:rsidRPr="00D75D2E">
        <w:rPr>
          <w:rFonts w:ascii="Times New Roman" w:hAnsi="Times New Roman"/>
          <w:sz w:val="24"/>
          <w:szCs w:val="24"/>
        </w:rPr>
        <w:t>t</w:t>
      </w:r>
      <w:r w:rsidRPr="00D75D2E">
        <w:rPr>
          <w:rFonts w:ascii="Times New Roman" w:hAnsi="Times New Roman"/>
          <w:spacing w:val="-1"/>
          <w:sz w:val="24"/>
          <w:szCs w:val="24"/>
        </w:rPr>
        <w:t>r</w:t>
      </w:r>
      <w:r w:rsidRPr="00D75D2E">
        <w:rPr>
          <w:rFonts w:ascii="Times New Roman" w:hAnsi="Times New Roman"/>
          <w:sz w:val="24"/>
          <w:szCs w:val="24"/>
        </w:rPr>
        <w:t>e d</w:t>
      </w:r>
      <w:r w:rsidRPr="00D75D2E">
        <w:rPr>
          <w:rFonts w:ascii="Times New Roman" w:hAnsi="Times New Roman"/>
          <w:spacing w:val="-1"/>
          <w:sz w:val="24"/>
          <w:szCs w:val="24"/>
        </w:rPr>
        <w:t>é</w:t>
      </w:r>
      <w:r w:rsidRPr="00D75D2E">
        <w:rPr>
          <w:rFonts w:ascii="Times New Roman" w:hAnsi="Times New Roman"/>
          <w:sz w:val="24"/>
          <w:szCs w:val="24"/>
        </w:rPr>
        <w:t xml:space="preserve">truite </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nt d</w:t>
      </w:r>
      <w:r w:rsidRPr="00D75D2E">
        <w:rPr>
          <w:rFonts w:ascii="Times New Roman" w:hAnsi="Times New Roman"/>
          <w:spacing w:val="-5"/>
          <w:sz w:val="24"/>
          <w:szCs w:val="24"/>
        </w:rPr>
        <w:t>'</w:t>
      </w:r>
      <w:r w:rsidRPr="00D75D2E">
        <w:rPr>
          <w:rFonts w:ascii="Times New Roman" w:hAnsi="Times New Roman"/>
          <w:spacing w:val="-1"/>
          <w:sz w:val="24"/>
          <w:szCs w:val="24"/>
        </w:rPr>
        <w:t>ê</w:t>
      </w:r>
      <w:r w:rsidRPr="00D75D2E">
        <w:rPr>
          <w:rFonts w:ascii="Times New Roman" w:hAnsi="Times New Roman"/>
          <w:sz w:val="24"/>
          <w:szCs w:val="24"/>
        </w:rPr>
        <w:t>t</w:t>
      </w:r>
      <w:r w:rsidRPr="00D75D2E">
        <w:rPr>
          <w:rFonts w:ascii="Times New Roman" w:hAnsi="Times New Roman"/>
          <w:spacing w:val="4"/>
          <w:sz w:val="24"/>
          <w:szCs w:val="24"/>
        </w:rPr>
        <w:t>r</w:t>
      </w:r>
      <w:r w:rsidRPr="00D75D2E">
        <w:rPr>
          <w:rFonts w:ascii="Times New Roman" w:hAnsi="Times New Roman"/>
          <w:sz w:val="24"/>
          <w:szCs w:val="24"/>
        </w:rPr>
        <w:t>e jet</w:t>
      </w:r>
      <w:r w:rsidRPr="00D75D2E">
        <w:rPr>
          <w:rFonts w:ascii="Times New Roman" w:hAnsi="Times New Roman"/>
          <w:spacing w:val="-1"/>
          <w:sz w:val="24"/>
          <w:szCs w:val="24"/>
        </w:rPr>
        <w:t>é</w:t>
      </w:r>
      <w:r w:rsidRPr="00D75D2E">
        <w:rPr>
          <w:rFonts w:ascii="Times New Roman" w:hAnsi="Times New Roman"/>
          <w:sz w:val="24"/>
          <w:szCs w:val="24"/>
        </w:rPr>
        <w:t xml:space="preserve">. </w:t>
      </w:r>
      <w:r w:rsidRPr="00D75D2E">
        <w:rPr>
          <w:rFonts w:ascii="Times New Roman" w:hAnsi="Times New Roman"/>
          <w:spacing w:val="-5"/>
          <w:sz w:val="24"/>
          <w:szCs w:val="24"/>
        </w:rPr>
        <w:t>L</w:t>
      </w:r>
      <w:r w:rsidRPr="00D75D2E">
        <w:rPr>
          <w:rFonts w:ascii="Times New Roman" w:hAnsi="Times New Roman"/>
          <w:spacing w:val="-1"/>
          <w:sz w:val="24"/>
          <w:szCs w:val="24"/>
        </w:rPr>
        <w:t>e</w:t>
      </w:r>
      <w:r w:rsidRPr="00D75D2E">
        <w:rPr>
          <w:rFonts w:ascii="Times New Roman" w:hAnsi="Times New Roman"/>
          <w:sz w:val="24"/>
          <w:szCs w:val="24"/>
        </w:rPr>
        <w:t>s Equip</w:t>
      </w:r>
      <w:r w:rsidRPr="00D75D2E">
        <w:rPr>
          <w:rFonts w:ascii="Times New Roman" w:hAnsi="Times New Roman"/>
          <w:spacing w:val="1"/>
          <w:sz w:val="24"/>
          <w:szCs w:val="24"/>
        </w:rPr>
        <w:t>e</w:t>
      </w:r>
      <w:r w:rsidRPr="00D75D2E">
        <w:rPr>
          <w:rFonts w:ascii="Times New Roman" w:hAnsi="Times New Roman"/>
          <w:sz w:val="24"/>
          <w:szCs w:val="24"/>
        </w:rPr>
        <w:t xml:space="preserve">ments de </w:t>
      </w:r>
      <w:r w:rsidRPr="00D75D2E">
        <w:rPr>
          <w:rFonts w:ascii="Times New Roman" w:hAnsi="Times New Roman"/>
          <w:spacing w:val="1"/>
          <w:sz w:val="24"/>
          <w:szCs w:val="24"/>
        </w:rPr>
        <w:t>P</w:t>
      </w:r>
      <w:r w:rsidRPr="00D75D2E">
        <w:rPr>
          <w:rFonts w:ascii="Times New Roman" w:hAnsi="Times New Roman"/>
          <w:sz w:val="24"/>
          <w:szCs w:val="24"/>
        </w:rPr>
        <w:t>rot</w:t>
      </w:r>
      <w:r w:rsidRPr="00D75D2E">
        <w:rPr>
          <w:rFonts w:ascii="Times New Roman" w:hAnsi="Times New Roman"/>
          <w:spacing w:val="-1"/>
          <w:sz w:val="24"/>
          <w:szCs w:val="24"/>
        </w:rPr>
        <w:t>ec</w:t>
      </w:r>
      <w:r w:rsidRPr="00D75D2E">
        <w:rPr>
          <w:rFonts w:ascii="Times New Roman" w:hAnsi="Times New Roman"/>
          <w:sz w:val="24"/>
          <w:szCs w:val="24"/>
        </w:rPr>
        <w:t xml:space="preserve">tion </w:t>
      </w:r>
      <w:r w:rsidRPr="00D75D2E">
        <w:rPr>
          <w:rFonts w:ascii="Times New Roman" w:hAnsi="Times New Roman"/>
          <w:spacing w:val="-6"/>
          <w:sz w:val="24"/>
          <w:szCs w:val="24"/>
        </w:rPr>
        <w:t>I</w:t>
      </w:r>
      <w:r w:rsidRPr="00D75D2E">
        <w:rPr>
          <w:rFonts w:ascii="Times New Roman" w:hAnsi="Times New Roman"/>
          <w:sz w:val="24"/>
          <w:szCs w:val="24"/>
        </w:rPr>
        <w:t>ndividu</w:t>
      </w:r>
      <w:r w:rsidRPr="00D75D2E">
        <w:rPr>
          <w:rFonts w:ascii="Times New Roman" w:hAnsi="Times New Roman"/>
          <w:spacing w:val="-1"/>
          <w:sz w:val="24"/>
          <w:szCs w:val="24"/>
        </w:rPr>
        <w:t>e</w:t>
      </w:r>
      <w:r w:rsidRPr="00D75D2E">
        <w:rPr>
          <w:rFonts w:ascii="Times New Roman" w:hAnsi="Times New Roman"/>
          <w:sz w:val="24"/>
          <w:szCs w:val="24"/>
        </w:rPr>
        <w:t xml:space="preserve">lle </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ront v</w:t>
      </w:r>
      <w:r w:rsidRPr="00D75D2E">
        <w:rPr>
          <w:rFonts w:ascii="Times New Roman" w:hAnsi="Times New Roman"/>
          <w:spacing w:val="-1"/>
          <w:sz w:val="24"/>
          <w:szCs w:val="24"/>
        </w:rPr>
        <w:t>ér</w:t>
      </w:r>
      <w:r w:rsidRPr="00D75D2E">
        <w:rPr>
          <w:rFonts w:ascii="Times New Roman" w:hAnsi="Times New Roman"/>
          <w:sz w:val="24"/>
          <w:szCs w:val="24"/>
        </w:rPr>
        <w:t>i</w:t>
      </w:r>
      <w:r w:rsidRPr="00D75D2E">
        <w:rPr>
          <w:rFonts w:ascii="Times New Roman" w:hAnsi="Times New Roman"/>
          <w:spacing w:val="-1"/>
          <w:sz w:val="24"/>
          <w:szCs w:val="24"/>
        </w:rPr>
        <w:t>f</w:t>
      </w:r>
      <w:r w:rsidRPr="00D75D2E">
        <w:rPr>
          <w:rFonts w:ascii="Times New Roman" w:hAnsi="Times New Roman"/>
          <w:spacing w:val="6"/>
          <w:sz w:val="24"/>
          <w:szCs w:val="24"/>
        </w:rPr>
        <w:t>i</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1"/>
          <w:sz w:val="24"/>
          <w:szCs w:val="24"/>
        </w:rPr>
        <w:t>c</w:t>
      </w:r>
      <w:r w:rsidRPr="00D75D2E">
        <w:rPr>
          <w:rFonts w:ascii="Times New Roman" w:hAnsi="Times New Roman"/>
          <w:sz w:val="24"/>
          <w:szCs w:val="24"/>
        </w:rPr>
        <w:t>ou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s i</w:t>
      </w:r>
      <w:r w:rsidRPr="00D75D2E">
        <w:rPr>
          <w:rFonts w:ascii="Times New Roman" w:hAnsi="Times New Roman"/>
          <w:spacing w:val="1"/>
          <w:sz w:val="24"/>
          <w:szCs w:val="24"/>
        </w:rPr>
        <w:t>n</w:t>
      </w:r>
      <w:r w:rsidRPr="00D75D2E">
        <w:rPr>
          <w:rFonts w:ascii="Times New Roman" w:hAnsi="Times New Roman"/>
          <w:sz w:val="24"/>
          <w:szCs w:val="24"/>
        </w:rPr>
        <w:t>sp</w:t>
      </w:r>
      <w:r w:rsidRPr="00D75D2E">
        <w:rPr>
          <w:rFonts w:ascii="Times New Roman" w:hAnsi="Times New Roman"/>
          <w:spacing w:val="-1"/>
          <w:sz w:val="24"/>
          <w:szCs w:val="24"/>
        </w:rPr>
        <w:t>ec</w:t>
      </w:r>
      <w:r w:rsidRPr="00D75D2E">
        <w:rPr>
          <w:rFonts w:ascii="Times New Roman" w:hAnsi="Times New Roman"/>
          <w:sz w:val="24"/>
          <w:szCs w:val="24"/>
        </w:rPr>
        <w:t>ti</w:t>
      </w:r>
      <w:r w:rsidRPr="00D75D2E">
        <w:rPr>
          <w:rFonts w:ascii="Times New Roman" w:hAnsi="Times New Roman"/>
          <w:spacing w:val="2"/>
          <w:sz w:val="24"/>
          <w:szCs w:val="24"/>
        </w:rPr>
        <w:t>o</w:t>
      </w:r>
      <w:r w:rsidRPr="00D75D2E">
        <w:rPr>
          <w:rFonts w:ascii="Times New Roman" w:hAnsi="Times New Roman"/>
          <w:sz w:val="24"/>
          <w:szCs w:val="24"/>
        </w:rPr>
        <w:t>ns.</w:t>
      </w:r>
    </w:p>
    <w:p w14:paraId="23E959FA" w14:textId="77777777" w:rsidR="000705BE" w:rsidRDefault="000705BE" w:rsidP="00B80123">
      <w:pPr>
        <w:widowControl w:val="0"/>
        <w:tabs>
          <w:tab w:val="left" w:pos="0"/>
        </w:tabs>
        <w:spacing w:before="120" w:after="120" w:line="240" w:lineRule="auto"/>
        <w:ind w:right="150"/>
        <w:jc w:val="both"/>
        <w:rPr>
          <w:rFonts w:ascii="Times New Roman" w:hAnsi="Times New Roman"/>
          <w:sz w:val="24"/>
          <w:szCs w:val="24"/>
        </w:rPr>
      </w:pPr>
      <w:r w:rsidRPr="00D75D2E">
        <w:rPr>
          <w:rFonts w:ascii="Times New Roman" w:hAnsi="Times New Roman"/>
          <w:sz w:val="24"/>
          <w:szCs w:val="24"/>
        </w:rPr>
        <w:t>Une liste d</w:t>
      </w:r>
      <w:r w:rsidRPr="00D75D2E">
        <w:rPr>
          <w:rFonts w:ascii="Times New Roman" w:hAnsi="Times New Roman"/>
          <w:spacing w:val="-1"/>
          <w:sz w:val="24"/>
          <w:szCs w:val="24"/>
        </w:rPr>
        <w:t>e</w:t>
      </w:r>
      <w:r w:rsidRPr="00D75D2E">
        <w:rPr>
          <w:rFonts w:ascii="Times New Roman" w:hAnsi="Times New Roman"/>
          <w:sz w:val="24"/>
          <w:szCs w:val="24"/>
        </w:rPr>
        <w:t>s dif</w:t>
      </w:r>
      <w:r w:rsidRPr="00D75D2E">
        <w:rPr>
          <w:rFonts w:ascii="Times New Roman" w:hAnsi="Times New Roman"/>
          <w:spacing w:val="-1"/>
          <w:sz w:val="24"/>
          <w:szCs w:val="24"/>
        </w:rPr>
        <w:t>fér</w:t>
      </w:r>
      <w:r w:rsidRPr="00D75D2E">
        <w:rPr>
          <w:rFonts w:ascii="Times New Roman" w:hAnsi="Times New Roman"/>
          <w:spacing w:val="-3"/>
          <w:sz w:val="24"/>
          <w:szCs w:val="24"/>
        </w:rPr>
        <w:t>e</w:t>
      </w:r>
      <w:r w:rsidRPr="00D75D2E">
        <w:rPr>
          <w:rFonts w:ascii="Times New Roman" w:hAnsi="Times New Roman"/>
          <w:sz w:val="24"/>
          <w:szCs w:val="24"/>
        </w:rPr>
        <w:t xml:space="preserve">nts </w:t>
      </w:r>
      <w:r w:rsidRPr="00D75D2E">
        <w:rPr>
          <w:rFonts w:ascii="Times New Roman" w:hAnsi="Times New Roman"/>
          <w:spacing w:val="5"/>
          <w:sz w:val="24"/>
          <w:szCs w:val="24"/>
        </w:rPr>
        <w:t>E</w:t>
      </w:r>
      <w:r w:rsidRPr="00D75D2E">
        <w:rPr>
          <w:rFonts w:ascii="Times New Roman" w:hAnsi="Times New Roman"/>
          <w:spacing w:val="6"/>
          <w:sz w:val="24"/>
          <w:szCs w:val="24"/>
        </w:rPr>
        <w:t>P</w:t>
      </w:r>
      <w:r w:rsidRPr="00D75D2E">
        <w:rPr>
          <w:rFonts w:ascii="Times New Roman" w:hAnsi="Times New Roman"/>
          <w:sz w:val="24"/>
          <w:szCs w:val="24"/>
        </w:rPr>
        <w:t>I f</w:t>
      </w:r>
      <w:r w:rsidRPr="00D75D2E">
        <w:rPr>
          <w:rFonts w:ascii="Times New Roman" w:hAnsi="Times New Roman"/>
          <w:spacing w:val="-1"/>
          <w:sz w:val="24"/>
          <w:szCs w:val="24"/>
        </w:rPr>
        <w:t>ou</w:t>
      </w:r>
      <w:r w:rsidRPr="00D75D2E">
        <w:rPr>
          <w:rFonts w:ascii="Times New Roman" w:hAnsi="Times New Roman"/>
          <w:sz w:val="24"/>
          <w:szCs w:val="24"/>
        </w:rPr>
        <w:t xml:space="preserve">rnis </w:t>
      </w:r>
      <w:r w:rsidRPr="00D75D2E">
        <w:rPr>
          <w:rFonts w:ascii="Times New Roman" w:hAnsi="Times New Roman"/>
          <w:spacing w:val="-1"/>
          <w:sz w:val="24"/>
          <w:szCs w:val="24"/>
        </w:rPr>
        <w:t>a</w:t>
      </w:r>
      <w:r w:rsidRPr="00D75D2E">
        <w:rPr>
          <w:rFonts w:ascii="Times New Roman" w:hAnsi="Times New Roman"/>
          <w:sz w:val="24"/>
          <w:szCs w:val="24"/>
        </w:rPr>
        <w:t>u p</w:t>
      </w:r>
      <w:r w:rsidRPr="00D75D2E">
        <w:rPr>
          <w:rFonts w:ascii="Times New Roman" w:hAnsi="Times New Roman"/>
          <w:spacing w:val="-1"/>
          <w:sz w:val="24"/>
          <w:szCs w:val="24"/>
        </w:rPr>
        <w:t>e</w:t>
      </w:r>
      <w:r w:rsidRPr="00D75D2E">
        <w:rPr>
          <w:rFonts w:ascii="Times New Roman" w:hAnsi="Times New Roman"/>
          <w:sz w:val="24"/>
          <w:szCs w:val="24"/>
        </w:rPr>
        <w:t>rson</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l s</w:t>
      </w:r>
      <w:r w:rsidRPr="00D75D2E">
        <w:rPr>
          <w:rFonts w:ascii="Times New Roman" w:hAnsi="Times New Roman"/>
          <w:spacing w:val="-1"/>
          <w:sz w:val="24"/>
          <w:szCs w:val="24"/>
        </w:rPr>
        <w:t>er</w:t>
      </w:r>
      <w:r w:rsidRPr="00D75D2E">
        <w:rPr>
          <w:rFonts w:ascii="Times New Roman" w:hAnsi="Times New Roman"/>
          <w:sz w:val="24"/>
          <w:szCs w:val="24"/>
        </w:rPr>
        <w:t xml:space="preserve">a tenue </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z w:val="24"/>
          <w:szCs w:val="24"/>
        </w:rPr>
        <w:t>r l</w:t>
      </w:r>
      <w:r w:rsidRPr="00D75D2E">
        <w:rPr>
          <w:rFonts w:ascii="Times New Roman" w:hAnsi="Times New Roman"/>
          <w:spacing w:val="-1"/>
          <w:sz w:val="24"/>
          <w:szCs w:val="24"/>
        </w:rPr>
        <w:t>e (</w:t>
      </w:r>
      <w:r w:rsidRPr="00D75D2E">
        <w:rPr>
          <w:rFonts w:ascii="Times New Roman" w:hAnsi="Times New Roman"/>
          <w:sz w:val="24"/>
          <w:szCs w:val="24"/>
        </w:rPr>
        <w:t>s) m</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z w:val="24"/>
          <w:szCs w:val="24"/>
        </w:rPr>
        <w:t>s</w:t>
      </w:r>
      <w:r w:rsidRPr="00D75D2E">
        <w:rPr>
          <w:rFonts w:ascii="Times New Roman" w:hAnsi="Times New Roman"/>
          <w:spacing w:val="5"/>
          <w:sz w:val="24"/>
          <w:szCs w:val="24"/>
        </w:rPr>
        <w:t>i</w:t>
      </w:r>
      <w:r w:rsidRPr="00D75D2E">
        <w:rPr>
          <w:rFonts w:ascii="Times New Roman" w:hAnsi="Times New Roman"/>
          <w:sz w:val="24"/>
          <w:szCs w:val="24"/>
        </w:rPr>
        <w:t>nie</w:t>
      </w:r>
      <w:r w:rsidRPr="00D75D2E">
        <w:rPr>
          <w:rFonts w:ascii="Times New Roman" w:hAnsi="Times New Roman"/>
          <w:spacing w:val="-1"/>
          <w:sz w:val="24"/>
          <w:szCs w:val="24"/>
        </w:rPr>
        <w:t xml:space="preserve">r </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n sp</w:t>
      </w:r>
      <w:r w:rsidRPr="00D75D2E">
        <w:rPr>
          <w:rFonts w:ascii="Times New Roman" w:hAnsi="Times New Roman"/>
          <w:spacing w:val="-1"/>
          <w:sz w:val="24"/>
          <w:szCs w:val="24"/>
        </w:rPr>
        <w:t>éc</w:t>
      </w:r>
      <w:r w:rsidRPr="00D75D2E">
        <w:rPr>
          <w:rFonts w:ascii="Times New Roman" w:hAnsi="Times New Roman"/>
          <w:spacing w:val="3"/>
          <w:sz w:val="24"/>
          <w:szCs w:val="24"/>
        </w:rPr>
        <w:t>i</w:t>
      </w:r>
      <w:r w:rsidRPr="00D75D2E">
        <w:rPr>
          <w:rFonts w:ascii="Times New Roman" w:hAnsi="Times New Roman"/>
          <w:spacing w:val="-1"/>
          <w:sz w:val="24"/>
          <w:szCs w:val="24"/>
        </w:rPr>
        <w:t>f</w:t>
      </w:r>
      <w:r w:rsidRPr="00D75D2E">
        <w:rPr>
          <w:rFonts w:ascii="Times New Roman" w:hAnsi="Times New Roman"/>
          <w:sz w:val="24"/>
          <w:szCs w:val="24"/>
        </w:rPr>
        <w:t>i</w:t>
      </w:r>
      <w:r w:rsidRPr="00D75D2E">
        <w:rPr>
          <w:rFonts w:ascii="Times New Roman" w:hAnsi="Times New Roman"/>
          <w:spacing w:val="-1"/>
          <w:sz w:val="24"/>
          <w:szCs w:val="24"/>
        </w:rPr>
        <w:t>a</w:t>
      </w:r>
      <w:r w:rsidRPr="00D75D2E">
        <w:rPr>
          <w:rFonts w:ascii="Times New Roman" w:hAnsi="Times New Roman"/>
          <w:sz w:val="24"/>
          <w:szCs w:val="24"/>
        </w:rPr>
        <w:t xml:space="preserve">nt le </w:t>
      </w:r>
      <w:r w:rsidRPr="00D75D2E">
        <w:rPr>
          <w:rFonts w:ascii="Times New Roman" w:hAnsi="Times New Roman"/>
          <w:spacing w:val="5"/>
          <w:sz w:val="24"/>
          <w:szCs w:val="24"/>
        </w:rPr>
        <w:t>t</w:t>
      </w:r>
      <w:r w:rsidRPr="00D75D2E">
        <w:rPr>
          <w:rFonts w:ascii="Times New Roman" w:hAnsi="Times New Roman"/>
          <w:spacing w:val="-10"/>
          <w:sz w:val="24"/>
          <w:szCs w:val="24"/>
        </w:rPr>
        <w:t>y</w:t>
      </w:r>
      <w:r w:rsidRPr="00D75D2E">
        <w:rPr>
          <w:rFonts w:ascii="Times New Roman" w:hAnsi="Times New Roman"/>
          <w:spacing w:val="2"/>
          <w:sz w:val="24"/>
          <w:szCs w:val="24"/>
        </w:rPr>
        <w:t>p</w:t>
      </w:r>
      <w:r w:rsidRPr="00D75D2E">
        <w:rPr>
          <w:rFonts w:ascii="Times New Roman" w:hAnsi="Times New Roman"/>
          <w:sz w:val="24"/>
          <w:szCs w:val="24"/>
        </w:rPr>
        <w:t xml:space="preserve">e </w:t>
      </w:r>
      <w:r w:rsidRPr="00D75D2E">
        <w:rPr>
          <w:rFonts w:ascii="Times New Roman" w:hAnsi="Times New Roman"/>
          <w:spacing w:val="5"/>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é</w:t>
      </w:r>
      <w:r w:rsidRPr="00D75D2E">
        <w:rPr>
          <w:rFonts w:ascii="Times New Roman" w:hAnsi="Times New Roman"/>
          <w:sz w:val="24"/>
          <w:szCs w:val="24"/>
        </w:rPr>
        <w:t>quipe</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z w:val="24"/>
          <w:szCs w:val="24"/>
        </w:rPr>
        <w:t>nt d</w:t>
      </w:r>
      <w:r w:rsidRPr="00D75D2E">
        <w:rPr>
          <w:rFonts w:ascii="Times New Roman" w:hAnsi="Times New Roman"/>
          <w:spacing w:val="-1"/>
          <w:sz w:val="24"/>
          <w:szCs w:val="24"/>
        </w:rPr>
        <w:t>é</w:t>
      </w:r>
      <w:r w:rsidRPr="00D75D2E">
        <w:rPr>
          <w:rFonts w:ascii="Times New Roman" w:hAnsi="Times New Roman"/>
          <w:sz w:val="24"/>
          <w:szCs w:val="24"/>
        </w:rPr>
        <w:t>l</w:t>
      </w:r>
      <w:r w:rsidRPr="00D75D2E">
        <w:rPr>
          <w:rFonts w:ascii="Times New Roman" w:hAnsi="Times New Roman"/>
          <w:spacing w:val="3"/>
          <w:sz w:val="24"/>
          <w:szCs w:val="24"/>
        </w:rPr>
        <w:t>i</w:t>
      </w:r>
      <w:r w:rsidRPr="00D75D2E">
        <w:rPr>
          <w:rFonts w:ascii="Times New Roman" w:hAnsi="Times New Roman"/>
          <w:sz w:val="24"/>
          <w:szCs w:val="24"/>
        </w:rPr>
        <w:t>vr</w:t>
      </w:r>
      <w:r w:rsidRPr="00D75D2E">
        <w:rPr>
          <w:rFonts w:ascii="Times New Roman" w:hAnsi="Times New Roman"/>
          <w:spacing w:val="-2"/>
          <w:sz w:val="24"/>
          <w:szCs w:val="24"/>
        </w:rPr>
        <w:t>é</w:t>
      </w:r>
      <w:r w:rsidRPr="00D75D2E">
        <w:rPr>
          <w:rFonts w:ascii="Times New Roman" w:hAnsi="Times New Roman"/>
          <w:sz w:val="24"/>
          <w:szCs w:val="24"/>
        </w:rPr>
        <w:t>, la d</w:t>
      </w:r>
      <w:r w:rsidRPr="00D75D2E">
        <w:rPr>
          <w:rFonts w:ascii="Times New Roman" w:hAnsi="Times New Roman"/>
          <w:spacing w:val="-1"/>
          <w:sz w:val="24"/>
          <w:szCs w:val="24"/>
        </w:rPr>
        <w:t>a</w:t>
      </w:r>
      <w:r w:rsidRPr="00D75D2E">
        <w:rPr>
          <w:rFonts w:ascii="Times New Roman" w:hAnsi="Times New Roman"/>
          <w:sz w:val="24"/>
          <w:szCs w:val="24"/>
        </w:rPr>
        <w:t xml:space="preserve">te </w:t>
      </w:r>
      <w:r w:rsidRPr="00D75D2E">
        <w:rPr>
          <w:rFonts w:ascii="Times New Roman" w:hAnsi="Times New Roman"/>
          <w:spacing w:val="-1"/>
          <w:sz w:val="24"/>
          <w:szCs w:val="24"/>
        </w:rPr>
        <w:t>e</w:t>
      </w:r>
      <w:r w:rsidRPr="00D75D2E">
        <w:rPr>
          <w:rFonts w:ascii="Times New Roman" w:hAnsi="Times New Roman"/>
          <w:sz w:val="24"/>
          <w:szCs w:val="24"/>
        </w:rPr>
        <w:t xml:space="preserve">t le nom de </w:t>
      </w:r>
      <w:r w:rsidRPr="00D75D2E">
        <w:rPr>
          <w:rFonts w:ascii="Times New Roman" w:hAnsi="Times New Roman"/>
          <w:spacing w:val="3"/>
          <w:sz w:val="24"/>
          <w:szCs w:val="24"/>
        </w:rPr>
        <w:t>l</w:t>
      </w:r>
      <w:r w:rsidRPr="00D75D2E">
        <w:rPr>
          <w:rFonts w:ascii="Times New Roman" w:hAnsi="Times New Roman"/>
          <w:sz w:val="24"/>
          <w:szCs w:val="24"/>
        </w:rPr>
        <w:t>a p</w:t>
      </w:r>
      <w:r w:rsidRPr="00D75D2E">
        <w:rPr>
          <w:rFonts w:ascii="Times New Roman" w:hAnsi="Times New Roman"/>
          <w:spacing w:val="-1"/>
          <w:sz w:val="24"/>
          <w:szCs w:val="24"/>
        </w:rPr>
        <w:t>e</w:t>
      </w:r>
      <w:r w:rsidRPr="00D75D2E">
        <w:rPr>
          <w:rFonts w:ascii="Times New Roman" w:hAnsi="Times New Roman"/>
          <w:sz w:val="24"/>
          <w:szCs w:val="24"/>
        </w:rPr>
        <w:t>rsonn</w:t>
      </w:r>
      <w:r w:rsidRPr="00D75D2E">
        <w:rPr>
          <w:rFonts w:ascii="Times New Roman" w:hAnsi="Times New Roman"/>
          <w:spacing w:val="-1"/>
          <w:sz w:val="24"/>
          <w:szCs w:val="24"/>
        </w:rPr>
        <w:t>e</w:t>
      </w:r>
      <w:r w:rsidRPr="00D75D2E">
        <w:rPr>
          <w:rFonts w:ascii="Times New Roman" w:hAnsi="Times New Roman"/>
          <w:sz w:val="24"/>
          <w:szCs w:val="24"/>
        </w:rPr>
        <w:t xml:space="preserve">. </w:t>
      </w:r>
      <w:r w:rsidRPr="00D75D2E">
        <w:rPr>
          <w:rFonts w:ascii="Times New Roman" w:hAnsi="Times New Roman"/>
          <w:spacing w:val="-5"/>
          <w:sz w:val="24"/>
          <w:szCs w:val="24"/>
        </w:rPr>
        <w:t>L</w:t>
      </w:r>
      <w:r w:rsidRPr="00D75D2E">
        <w:rPr>
          <w:rFonts w:ascii="Times New Roman" w:hAnsi="Times New Roman"/>
          <w:sz w:val="24"/>
          <w:szCs w:val="24"/>
        </w:rPr>
        <w:t>e tabl</w:t>
      </w:r>
      <w:r w:rsidRPr="00D75D2E">
        <w:rPr>
          <w:rFonts w:ascii="Times New Roman" w:hAnsi="Times New Roman"/>
          <w:spacing w:val="-1"/>
          <w:sz w:val="24"/>
          <w:szCs w:val="24"/>
        </w:rPr>
        <w:t>ea</w:t>
      </w:r>
      <w:r w:rsidRPr="00D75D2E">
        <w:rPr>
          <w:rFonts w:ascii="Times New Roman" w:hAnsi="Times New Roman"/>
          <w:sz w:val="24"/>
          <w:szCs w:val="24"/>
        </w:rPr>
        <w:t xml:space="preserve">u </w:t>
      </w:r>
      <w:r w:rsidRPr="00D75D2E">
        <w:rPr>
          <w:rFonts w:ascii="Times New Roman" w:hAnsi="Times New Roman"/>
          <w:spacing w:val="-1"/>
          <w:sz w:val="24"/>
          <w:szCs w:val="24"/>
        </w:rPr>
        <w:t>c</w:t>
      </w:r>
      <w:r w:rsidRPr="00D75D2E">
        <w:rPr>
          <w:rFonts w:ascii="Times New Roman" w:hAnsi="Times New Roman"/>
          <w:spacing w:val="3"/>
          <w:sz w:val="24"/>
          <w:szCs w:val="24"/>
        </w:rPr>
        <w:t>i</w:t>
      </w:r>
      <w:r w:rsidRPr="00D75D2E">
        <w:rPr>
          <w:rFonts w:ascii="Times New Roman" w:hAnsi="Times New Roman"/>
          <w:spacing w:val="2"/>
          <w:sz w:val="24"/>
          <w:szCs w:val="24"/>
        </w:rPr>
        <w:t>-</w:t>
      </w:r>
      <w:r w:rsidRPr="00D75D2E">
        <w:rPr>
          <w:rFonts w:ascii="Times New Roman" w:hAnsi="Times New Roman"/>
          <w:sz w:val="24"/>
          <w:szCs w:val="24"/>
        </w:rPr>
        <w:t>d</w:t>
      </w:r>
      <w:r w:rsidRPr="00D75D2E">
        <w:rPr>
          <w:rFonts w:ascii="Times New Roman" w:hAnsi="Times New Roman"/>
          <w:spacing w:val="-1"/>
          <w:sz w:val="24"/>
          <w:szCs w:val="24"/>
        </w:rPr>
        <w:t>e</w:t>
      </w:r>
      <w:r w:rsidRPr="00D75D2E">
        <w:rPr>
          <w:rFonts w:ascii="Times New Roman" w:hAnsi="Times New Roman"/>
          <w:sz w:val="24"/>
          <w:szCs w:val="24"/>
        </w:rPr>
        <w:t>ssous indique les E</w:t>
      </w:r>
      <w:r w:rsidRPr="00D75D2E">
        <w:rPr>
          <w:rFonts w:ascii="Times New Roman" w:hAnsi="Times New Roman"/>
          <w:spacing w:val="6"/>
          <w:sz w:val="24"/>
          <w:szCs w:val="24"/>
        </w:rPr>
        <w:t>P</w:t>
      </w:r>
      <w:r w:rsidRPr="00D75D2E">
        <w:rPr>
          <w:rFonts w:ascii="Times New Roman" w:hAnsi="Times New Roman"/>
          <w:sz w:val="24"/>
          <w:szCs w:val="24"/>
        </w:rPr>
        <w:t xml:space="preserve">I </w:t>
      </w:r>
      <w:r w:rsidRPr="00D75D2E">
        <w:rPr>
          <w:rFonts w:ascii="Times New Roman" w:hAnsi="Times New Roman"/>
          <w:spacing w:val="2"/>
          <w:sz w:val="24"/>
          <w:szCs w:val="24"/>
        </w:rPr>
        <w:t>n</w:t>
      </w:r>
      <w:r w:rsidRPr="00D75D2E">
        <w:rPr>
          <w:rFonts w:ascii="Times New Roman" w:hAnsi="Times New Roman"/>
          <w:spacing w:val="-1"/>
          <w:sz w:val="24"/>
          <w:szCs w:val="24"/>
        </w:rPr>
        <w:t>éce</w:t>
      </w:r>
      <w:r w:rsidRPr="00D75D2E">
        <w:rPr>
          <w:rFonts w:ascii="Times New Roman" w:hAnsi="Times New Roman"/>
          <w:sz w:val="24"/>
          <w:szCs w:val="24"/>
        </w:rPr>
        <w:t>ssai</w:t>
      </w:r>
      <w:r w:rsidRPr="00D75D2E">
        <w:rPr>
          <w:rFonts w:ascii="Times New Roman" w:hAnsi="Times New Roman"/>
          <w:spacing w:val="-1"/>
          <w:sz w:val="24"/>
          <w:szCs w:val="24"/>
        </w:rPr>
        <w:t>re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w:t>
      </w:r>
      <w:r w:rsidRPr="00D75D2E">
        <w:rPr>
          <w:rFonts w:ascii="Times New Roman" w:hAnsi="Times New Roman"/>
          <w:spacing w:val="6"/>
          <w:sz w:val="24"/>
          <w:szCs w:val="24"/>
        </w:rPr>
        <w:t>i</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3"/>
          <w:sz w:val="24"/>
          <w:szCs w:val="24"/>
        </w:rPr>
        <w:t>e</w:t>
      </w:r>
      <w:r w:rsidRPr="00D75D2E">
        <w:rPr>
          <w:rFonts w:ascii="Times New Roman" w:hAnsi="Times New Roman"/>
          <w:sz w:val="24"/>
          <w:szCs w:val="24"/>
        </w:rPr>
        <w:t xml:space="preserve">t aux </w:t>
      </w:r>
      <w:r w:rsidRPr="00D75D2E">
        <w:rPr>
          <w:rFonts w:ascii="Times New Roman" w:hAnsi="Times New Roman"/>
          <w:spacing w:val="8"/>
          <w:sz w:val="24"/>
          <w:szCs w:val="24"/>
        </w:rPr>
        <w:t>t</w:t>
      </w:r>
      <w:r w:rsidRPr="00D75D2E">
        <w:rPr>
          <w:rFonts w:ascii="Times New Roman" w:hAnsi="Times New Roman"/>
          <w:spacing w:val="-10"/>
          <w:sz w:val="24"/>
          <w:szCs w:val="24"/>
        </w:rPr>
        <w:t>y</w:t>
      </w:r>
      <w:r w:rsidRPr="00D75D2E">
        <w:rPr>
          <w:rFonts w:ascii="Times New Roman" w:hAnsi="Times New Roman"/>
          <w:spacing w:val="2"/>
          <w:sz w:val="24"/>
          <w:szCs w:val="24"/>
        </w:rPr>
        <w:t>p</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 t</w:t>
      </w:r>
      <w:r w:rsidRPr="00D75D2E">
        <w:rPr>
          <w:rFonts w:ascii="Times New Roman" w:hAnsi="Times New Roman"/>
          <w:spacing w:val="-1"/>
          <w:sz w:val="24"/>
          <w:szCs w:val="24"/>
        </w:rPr>
        <w:t>ra</w:t>
      </w:r>
      <w:r w:rsidRPr="00D75D2E">
        <w:rPr>
          <w:rFonts w:ascii="Times New Roman" w:hAnsi="Times New Roman"/>
          <w:spacing w:val="2"/>
          <w:sz w:val="24"/>
          <w:szCs w:val="24"/>
        </w:rPr>
        <w:t>v</w:t>
      </w:r>
      <w:r w:rsidRPr="00D75D2E">
        <w:rPr>
          <w:rFonts w:ascii="Times New Roman" w:hAnsi="Times New Roman"/>
          <w:spacing w:val="-1"/>
          <w:sz w:val="24"/>
          <w:szCs w:val="24"/>
        </w:rPr>
        <w:t>a</w:t>
      </w:r>
      <w:r w:rsidRPr="00D75D2E">
        <w:rPr>
          <w:rFonts w:ascii="Times New Roman" w:hAnsi="Times New Roman"/>
          <w:spacing w:val="2"/>
          <w:sz w:val="24"/>
          <w:szCs w:val="24"/>
        </w:rPr>
        <w:t>ux</w:t>
      </w:r>
      <w:r w:rsidRPr="00D75D2E">
        <w:rPr>
          <w:rFonts w:ascii="Times New Roman" w:hAnsi="Times New Roman"/>
          <w:sz w:val="24"/>
          <w:szCs w:val="24"/>
        </w:rPr>
        <w:t xml:space="preserve">. </w:t>
      </w:r>
    </w:p>
    <w:p w14:paraId="1F77A794" w14:textId="5A36B6C3" w:rsidR="000705BE" w:rsidRPr="00D75D2E" w:rsidRDefault="000705BE" w:rsidP="00EE6526">
      <w:pPr>
        <w:tabs>
          <w:tab w:val="left" w:pos="2115"/>
        </w:tabs>
        <w:spacing w:after="0" w:line="240" w:lineRule="auto"/>
        <w:jc w:val="both"/>
        <w:rPr>
          <w:rFonts w:ascii="Times New Roman" w:hAnsi="Times New Roman"/>
          <w:sz w:val="24"/>
          <w:szCs w:val="24"/>
        </w:rPr>
      </w:pPr>
      <w:bookmarkStart w:id="964" w:name="_Toc41310881"/>
      <w:bookmarkStart w:id="965" w:name="_Toc78602912"/>
      <w:bookmarkStart w:id="966" w:name="_Toc93050328"/>
      <w:r w:rsidRPr="00D75D2E">
        <w:rPr>
          <w:rFonts w:ascii="Times New Roman" w:hAnsi="Times New Roman"/>
          <w:sz w:val="24"/>
          <w:szCs w:val="24"/>
        </w:rPr>
        <w:t xml:space="preserve">Tableau </w:t>
      </w:r>
      <w:r w:rsidRPr="00D75D2E">
        <w:fldChar w:fldCharType="begin"/>
      </w:r>
      <w:r w:rsidRPr="00D75D2E">
        <w:rPr>
          <w:rFonts w:ascii="Times New Roman" w:hAnsi="Times New Roman"/>
          <w:sz w:val="24"/>
          <w:szCs w:val="24"/>
        </w:rPr>
        <w:instrText>SEQ Tableau \* ARABIC</w:instrText>
      </w:r>
      <w:r w:rsidRPr="00D75D2E">
        <w:fldChar w:fldCharType="separate"/>
      </w:r>
      <w:r w:rsidR="00A86929">
        <w:rPr>
          <w:rFonts w:ascii="Times New Roman" w:hAnsi="Times New Roman"/>
          <w:noProof/>
          <w:sz w:val="24"/>
          <w:szCs w:val="24"/>
        </w:rPr>
        <w:t>66</w:t>
      </w:r>
      <w:r w:rsidRPr="00D75D2E">
        <w:fldChar w:fldCharType="end"/>
      </w:r>
      <w:r w:rsidRPr="00D75D2E">
        <w:rPr>
          <w:rFonts w:ascii="Times New Roman" w:hAnsi="Times New Roman"/>
          <w:sz w:val="24"/>
          <w:szCs w:val="24"/>
        </w:rPr>
        <w:t>: EPI nécessaires au chantier et aux types de travaux</w:t>
      </w:r>
      <w:bookmarkEnd w:id="964"/>
      <w:bookmarkEnd w:id="965"/>
      <w:bookmarkEnd w:id="966"/>
    </w:p>
    <w:p w14:paraId="4C649DC6" w14:textId="77777777" w:rsidR="000705BE" w:rsidRPr="00D75D2E" w:rsidRDefault="000705BE" w:rsidP="00F27714">
      <w:pPr>
        <w:widowControl w:val="0"/>
        <w:tabs>
          <w:tab w:val="left" w:pos="0"/>
        </w:tabs>
        <w:spacing w:after="0" w:line="240" w:lineRule="auto"/>
        <w:jc w:val="both"/>
        <w:rPr>
          <w:rFonts w:ascii="Times New Roman" w:hAnsi="Times New Roman"/>
          <w:sz w:val="9"/>
          <w:szCs w:val="9"/>
        </w:rPr>
      </w:pPr>
    </w:p>
    <w:tbl>
      <w:tblPr>
        <w:tblW w:w="8937" w:type="dxa"/>
        <w:tblCellMar>
          <w:left w:w="6" w:type="dxa"/>
          <w:right w:w="6" w:type="dxa"/>
        </w:tblCellMar>
        <w:tblLook w:val="04A0" w:firstRow="1" w:lastRow="0" w:firstColumn="1" w:lastColumn="0" w:noHBand="0" w:noVBand="1"/>
      </w:tblPr>
      <w:tblGrid>
        <w:gridCol w:w="1984"/>
        <w:gridCol w:w="3409"/>
        <w:gridCol w:w="3544"/>
      </w:tblGrid>
      <w:tr w:rsidR="00D75D2E" w:rsidRPr="00420C1B" w14:paraId="789C9BA8" w14:textId="77777777" w:rsidTr="00420C1B">
        <w:trPr>
          <w:trHeight w:hRule="exact" w:val="377"/>
          <w:tblHeader/>
        </w:trPr>
        <w:tc>
          <w:tcPr>
            <w:tcW w:w="1984" w:type="dxa"/>
            <w:tcBorders>
              <w:top w:val="single" w:sz="4" w:space="0" w:color="000000"/>
              <w:left w:val="single" w:sz="4" w:space="0" w:color="000000"/>
              <w:bottom w:val="single" w:sz="4" w:space="0" w:color="000000"/>
              <w:right w:val="single" w:sz="4" w:space="0" w:color="000000"/>
            </w:tcBorders>
            <w:shd w:val="clear" w:color="auto" w:fill="70AD47"/>
            <w:hideMark/>
          </w:tcPr>
          <w:p w14:paraId="4B0599EF" w14:textId="77777777" w:rsidR="000705BE" w:rsidRPr="00420C1B" w:rsidRDefault="000705BE" w:rsidP="00F27714">
            <w:pPr>
              <w:widowControl w:val="0"/>
              <w:tabs>
                <w:tab w:val="left" w:pos="0"/>
              </w:tabs>
              <w:spacing w:after="0" w:line="240" w:lineRule="auto"/>
              <w:ind w:left="198"/>
              <w:jc w:val="both"/>
              <w:rPr>
                <w:rFonts w:ascii="Times New Roman" w:hAnsi="Times New Roman"/>
                <w:sz w:val="24"/>
                <w:szCs w:val="24"/>
              </w:rPr>
            </w:pPr>
            <w:r w:rsidRPr="00420C1B">
              <w:rPr>
                <w:rFonts w:ascii="Times New Roman" w:hAnsi="Times New Roman"/>
                <w:b/>
                <w:bCs/>
                <w:spacing w:val="1"/>
                <w:sz w:val="24"/>
                <w:szCs w:val="24"/>
              </w:rPr>
              <w:t>S</w:t>
            </w:r>
            <w:r w:rsidRPr="00420C1B">
              <w:rPr>
                <w:rFonts w:ascii="Times New Roman" w:hAnsi="Times New Roman"/>
                <w:b/>
                <w:bCs/>
                <w:sz w:val="24"/>
                <w:szCs w:val="24"/>
              </w:rPr>
              <w:t>y</w:t>
            </w:r>
            <w:r w:rsidRPr="00420C1B">
              <w:rPr>
                <w:rFonts w:ascii="Times New Roman" w:hAnsi="Times New Roman"/>
                <w:b/>
                <w:bCs/>
                <w:spacing w:val="-6"/>
                <w:sz w:val="24"/>
                <w:szCs w:val="24"/>
              </w:rPr>
              <w:t>m</w:t>
            </w:r>
            <w:r w:rsidRPr="00420C1B">
              <w:rPr>
                <w:rFonts w:ascii="Times New Roman" w:hAnsi="Times New Roman"/>
                <w:b/>
                <w:bCs/>
                <w:spacing w:val="1"/>
                <w:sz w:val="24"/>
                <w:szCs w:val="24"/>
              </w:rPr>
              <w:t>b</w:t>
            </w:r>
            <w:r w:rsidRPr="00420C1B">
              <w:rPr>
                <w:rFonts w:ascii="Times New Roman" w:hAnsi="Times New Roman"/>
                <w:b/>
                <w:bCs/>
                <w:sz w:val="24"/>
                <w:szCs w:val="24"/>
              </w:rPr>
              <w:t>oles E</w:t>
            </w:r>
            <w:r w:rsidRPr="00420C1B">
              <w:rPr>
                <w:rFonts w:ascii="Times New Roman" w:hAnsi="Times New Roman"/>
                <w:b/>
                <w:bCs/>
                <w:spacing w:val="-3"/>
                <w:sz w:val="24"/>
                <w:szCs w:val="24"/>
              </w:rPr>
              <w:t>P</w:t>
            </w:r>
            <w:r w:rsidRPr="00420C1B">
              <w:rPr>
                <w:rFonts w:ascii="Times New Roman" w:hAnsi="Times New Roman"/>
                <w:b/>
                <w:bCs/>
                <w:sz w:val="24"/>
                <w:szCs w:val="24"/>
              </w:rPr>
              <w:t>I</w:t>
            </w:r>
          </w:p>
        </w:tc>
        <w:tc>
          <w:tcPr>
            <w:tcW w:w="3409" w:type="dxa"/>
            <w:tcBorders>
              <w:top w:val="single" w:sz="4" w:space="0" w:color="000000"/>
              <w:left w:val="single" w:sz="4" w:space="0" w:color="000000"/>
              <w:bottom w:val="single" w:sz="4" w:space="0" w:color="000000"/>
              <w:right w:val="single" w:sz="4" w:space="0" w:color="000000"/>
            </w:tcBorders>
            <w:shd w:val="clear" w:color="auto" w:fill="70AD47"/>
            <w:hideMark/>
          </w:tcPr>
          <w:p w14:paraId="30EF39F8" w14:textId="77777777" w:rsidR="000705BE" w:rsidRPr="00420C1B" w:rsidRDefault="000705BE" w:rsidP="00F27714">
            <w:pPr>
              <w:widowControl w:val="0"/>
              <w:tabs>
                <w:tab w:val="left" w:pos="0"/>
              </w:tabs>
              <w:spacing w:after="0" w:line="240" w:lineRule="auto"/>
              <w:ind w:left="1135" w:right="1130"/>
              <w:jc w:val="both"/>
              <w:rPr>
                <w:rFonts w:ascii="Times New Roman" w:hAnsi="Times New Roman"/>
                <w:sz w:val="24"/>
                <w:szCs w:val="24"/>
              </w:rPr>
            </w:pPr>
            <w:r w:rsidRPr="00420C1B">
              <w:rPr>
                <w:rFonts w:ascii="Times New Roman" w:hAnsi="Times New Roman"/>
                <w:b/>
                <w:bCs/>
                <w:sz w:val="24"/>
                <w:szCs w:val="24"/>
              </w:rPr>
              <w:t>Consi</w:t>
            </w:r>
            <w:r w:rsidRPr="00420C1B">
              <w:rPr>
                <w:rFonts w:ascii="Times New Roman" w:hAnsi="Times New Roman"/>
                <w:b/>
                <w:bCs/>
                <w:spacing w:val="1"/>
                <w:sz w:val="24"/>
                <w:szCs w:val="24"/>
              </w:rPr>
              <w:t>gn</w:t>
            </w:r>
            <w:r w:rsidRPr="00420C1B">
              <w:rPr>
                <w:rFonts w:ascii="Times New Roman" w:hAnsi="Times New Roman"/>
                <w:b/>
                <w:bCs/>
                <w:spacing w:val="-1"/>
                <w:sz w:val="24"/>
                <w:szCs w:val="24"/>
              </w:rPr>
              <w:t>e</w:t>
            </w:r>
            <w:r w:rsidRPr="00420C1B">
              <w:rPr>
                <w:rFonts w:ascii="Times New Roman" w:hAnsi="Times New Roman"/>
                <w:b/>
                <w:bCs/>
                <w:sz w:val="24"/>
                <w:szCs w:val="24"/>
              </w:rPr>
              <w:t>s</w:t>
            </w:r>
          </w:p>
        </w:tc>
        <w:tc>
          <w:tcPr>
            <w:tcW w:w="3544" w:type="dxa"/>
            <w:tcBorders>
              <w:top w:val="single" w:sz="4" w:space="0" w:color="000000"/>
              <w:left w:val="single" w:sz="4" w:space="0" w:color="000000"/>
              <w:bottom w:val="single" w:sz="4" w:space="0" w:color="000000"/>
              <w:right w:val="single" w:sz="4" w:space="0" w:color="000000"/>
            </w:tcBorders>
            <w:shd w:val="clear" w:color="auto" w:fill="70AD47"/>
            <w:hideMark/>
          </w:tcPr>
          <w:p w14:paraId="648FB842" w14:textId="77777777" w:rsidR="000705BE" w:rsidRPr="00420C1B" w:rsidRDefault="000705BE" w:rsidP="00F27714">
            <w:pPr>
              <w:widowControl w:val="0"/>
              <w:tabs>
                <w:tab w:val="left" w:pos="0"/>
              </w:tabs>
              <w:spacing w:after="0" w:line="240" w:lineRule="auto"/>
              <w:ind w:left="402"/>
              <w:jc w:val="both"/>
              <w:rPr>
                <w:rFonts w:ascii="Times New Roman" w:hAnsi="Times New Roman"/>
                <w:sz w:val="24"/>
                <w:szCs w:val="24"/>
              </w:rPr>
            </w:pPr>
            <w:r w:rsidRPr="00420C1B">
              <w:rPr>
                <w:rFonts w:ascii="Times New Roman" w:hAnsi="Times New Roman"/>
                <w:b/>
                <w:bCs/>
                <w:spacing w:val="1"/>
                <w:sz w:val="24"/>
                <w:szCs w:val="24"/>
              </w:rPr>
              <w:t>T</w:t>
            </w:r>
            <w:r w:rsidRPr="00420C1B">
              <w:rPr>
                <w:rFonts w:ascii="Times New Roman" w:hAnsi="Times New Roman"/>
                <w:b/>
                <w:bCs/>
                <w:sz w:val="24"/>
                <w:szCs w:val="24"/>
              </w:rPr>
              <w:t>y</w:t>
            </w:r>
            <w:r w:rsidRPr="00420C1B">
              <w:rPr>
                <w:rFonts w:ascii="Times New Roman" w:hAnsi="Times New Roman"/>
                <w:b/>
                <w:bCs/>
                <w:spacing w:val="1"/>
                <w:sz w:val="24"/>
                <w:szCs w:val="24"/>
              </w:rPr>
              <w:t>p</w:t>
            </w:r>
            <w:r w:rsidRPr="00420C1B">
              <w:rPr>
                <w:rFonts w:ascii="Times New Roman" w:hAnsi="Times New Roman"/>
                <w:b/>
                <w:bCs/>
                <w:spacing w:val="-1"/>
                <w:sz w:val="24"/>
                <w:szCs w:val="24"/>
              </w:rPr>
              <w:t>e</w:t>
            </w:r>
            <w:r w:rsidRPr="00420C1B">
              <w:rPr>
                <w:rFonts w:ascii="Times New Roman" w:hAnsi="Times New Roman"/>
                <w:b/>
                <w:bCs/>
                <w:sz w:val="24"/>
                <w:szCs w:val="24"/>
              </w:rPr>
              <w:t xml:space="preserve">s </w:t>
            </w:r>
            <w:r w:rsidRPr="00420C1B">
              <w:rPr>
                <w:rFonts w:ascii="Times New Roman" w:hAnsi="Times New Roman"/>
                <w:b/>
                <w:bCs/>
                <w:spacing w:val="1"/>
                <w:sz w:val="24"/>
                <w:szCs w:val="24"/>
              </w:rPr>
              <w:t>d</w:t>
            </w:r>
            <w:r w:rsidRPr="00420C1B">
              <w:rPr>
                <w:rFonts w:ascii="Times New Roman" w:hAnsi="Times New Roman"/>
                <w:b/>
                <w:bCs/>
                <w:spacing w:val="-1"/>
                <w:sz w:val="24"/>
                <w:szCs w:val="24"/>
              </w:rPr>
              <w:t>e</w:t>
            </w:r>
            <w:r w:rsidRPr="00420C1B">
              <w:rPr>
                <w:rFonts w:ascii="Times New Roman" w:hAnsi="Times New Roman"/>
                <w:b/>
                <w:bCs/>
                <w:sz w:val="24"/>
                <w:szCs w:val="24"/>
              </w:rPr>
              <w:t>s t</w:t>
            </w:r>
            <w:r w:rsidRPr="00420C1B">
              <w:rPr>
                <w:rFonts w:ascii="Times New Roman" w:hAnsi="Times New Roman"/>
                <w:b/>
                <w:bCs/>
                <w:spacing w:val="-1"/>
                <w:sz w:val="24"/>
                <w:szCs w:val="24"/>
              </w:rPr>
              <w:t>r</w:t>
            </w:r>
            <w:r w:rsidRPr="00420C1B">
              <w:rPr>
                <w:rFonts w:ascii="Times New Roman" w:hAnsi="Times New Roman"/>
                <w:b/>
                <w:bCs/>
                <w:sz w:val="24"/>
                <w:szCs w:val="24"/>
              </w:rPr>
              <w:t>ava</w:t>
            </w:r>
            <w:r w:rsidRPr="00420C1B">
              <w:rPr>
                <w:rFonts w:ascii="Times New Roman" w:hAnsi="Times New Roman"/>
                <w:b/>
                <w:bCs/>
                <w:spacing w:val="1"/>
                <w:sz w:val="24"/>
                <w:szCs w:val="24"/>
              </w:rPr>
              <w:t>u</w:t>
            </w:r>
            <w:r w:rsidRPr="00420C1B">
              <w:rPr>
                <w:rFonts w:ascii="Times New Roman" w:hAnsi="Times New Roman"/>
                <w:b/>
                <w:bCs/>
                <w:sz w:val="24"/>
                <w:szCs w:val="24"/>
              </w:rPr>
              <w:t>x ou</w:t>
            </w:r>
            <w:r w:rsidRPr="00420C1B">
              <w:rPr>
                <w:rFonts w:ascii="Times New Roman" w:hAnsi="Times New Roman"/>
                <w:b/>
                <w:bCs/>
                <w:spacing w:val="-1"/>
                <w:sz w:val="24"/>
                <w:szCs w:val="24"/>
              </w:rPr>
              <w:t xml:space="preserve"> </w:t>
            </w:r>
            <w:r w:rsidRPr="00420C1B">
              <w:rPr>
                <w:rFonts w:ascii="Times New Roman" w:hAnsi="Times New Roman"/>
                <w:b/>
                <w:bCs/>
                <w:sz w:val="24"/>
                <w:szCs w:val="24"/>
              </w:rPr>
              <w:t>t</w:t>
            </w:r>
            <w:r w:rsidRPr="00420C1B">
              <w:rPr>
                <w:rFonts w:ascii="Times New Roman" w:hAnsi="Times New Roman"/>
                <w:b/>
                <w:bCs/>
                <w:spacing w:val="-3"/>
                <w:sz w:val="24"/>
                <w:szCs w:val="24"/>
              </w:rPr>
              <w:t>â</w:t>
            </w:r>
            <w:r w:rsidRPr="00420C1B">
              <w:rPr>
                <w:rFonts w:ascii="Times New Roman" w:hAnsi="Times New Roman"/>
                <w:b/>
                <w:bCs/>
                <w:spacing w:val="1"/>
                <w:sz w:val="24"/>
                <w:szCs w:val="24"/>
              </w:rPr>
              <w:t>c</w:t>
            </w:r>
            <w:r w:rsidRPr="00420C1B">
              <w:rPr>
                <w:rFonts w:ascii="Times New Roman" w:hAnsi="Times New Roman"/>
                <w:b/>
                <w:bCs/>
                <w:spacing w:val="-1"/>
                <w:sz w:val="24"/>
                <w:szCs w:val="24"/>
              </w:rPr>
              <w:t>h</w:t>
            </w:r>
            <w:r w:rsidRPr="00420C1B">
              <w:rPr>
                <w:rFonts w:ascii="Times New Roman" w:hAnsi="Times New Roman"/>
                <w:b/>
                <w:bCs/>
                <w:sz w:val="24"/>
                <w:szCs w:val="24"/>
              </w:rPr>
              <w:t>es</w:t>
            </w:r>
          </w:p>
        </w:tc>
      </w:tr>
      <w:tr w:rsidR="00D75D2E" w:rsidRPr="00420C1B" w14:paraId="514AA6A0" w14:textId="77777777" w:rsidTr="00E737B4">
        <w:trPr>
          <w:trHeight w:hRule="exact" w:val="1133"/>
        </w:trPr>
        <w:tc>
          <w:tcPr>
            <w:tcW w:w="1984" w:type="dxa"/>
            <w:tcBorders>
              <w:top w:val="single" w:sz="4" w:space="0" w:color="000000"/>
              <w:left w:val="single" w:sz="4" w:space="0" w:color="000000"/>
              <w:bottom w:val="single" w:sz="4" w:space="0" w:color="000000"/>
              <w:right w:val="single" w:sz="4" w:space="0" w:color="000000"/>
            </w:tcBorders>
          </w:tcPr>
          <w:p w14:paraId="2B0C7A83" w14:textId="77777777" w:rsidR="000705BE" w:rsidRPr="00420C1B" w:rsidRDefault="000705BE" w:rsidP="00F27714">
            <w:pPr>
              <w:widowControl w:val="0"/>
              <w:tabs>
                <w:tab w:val="left" w:pos="0"/>
              </w:tabs>
              <w:spacing w:after="0" w:line="240" w:lineRule="auto"/>
              <w:jc w:val="both"/>
              <w:rPr>
                <w:rFonts w:ascii="Times New Roman" w:hAnsi="Times New Roman"/>
                <w:sz w:val="12"/>
                <w:szCs w:val="12"/>
              </w:rPr>
            </w:pPr>
          </w:p>
          <w:p w14:paraId="18C4BE72" w14:textId="69BEE0A1" w:rsidR="000705BE" w:rsidRPr="00420C1B" w:rsidRDefault="002C66D7" w:rsidP="00F27714">
            <w:pPr>
              <w:widowControl w:val="0"/>
              <w:tabs>
                <w:tab w:val="left" w:pos="0"/>
              </w:tabs>
              <w:spacing w:after="0" w:line="240" w:lineRule="auto"/>
              <w:ind w:left="246"/>
              <w:jc w:val="both"/>
              <w:rPr>
                <w:rFonts w:ascii="Times New Roman" w:hAnsi="Times New Roman"/>
                <w:sz w:val="20"/>
                <w:szCs w:val="20"/>
              </w:rPr>
            </w:pPr>
            <w:r w:rsidRPr="00EC5A8E">
              <w:rPr>
                <w:noProof/>
                <w:lang w:eastAsia="fr-FR"/>
              </w:rPr>
              <w:drawing>
                <wp:inline distT="0" distB="0" distL="0" distR="0" wp14:anchorId="5C291F78" wp14:editId="3DC5D666">
                  <wp:extent cx="695325" cy="609600"/>
                  <wp:effectExtent l="0" t="0" r="9525" b="0"/>
                  <wp:docPr id="2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p>
          <w:p w14:paraId="4ECAE07F" w14:textId="77777777" w:rsidR="000705BE" w:rsidRPr="00420C1B" w:rsidRDefault="000705BE" w:rsidP="00F27714">
            <w:pPr>
              <w:widowControl w:val="0"/>
              <w:tabs>
                <w:tab w:val="left" w:pos="0"/>
              </w:tabs>
              <w:spacing w:after="0" w:line="240" w:lineRule="auto"/>
              <w:jc w:val="both"/>
              <w:rPr>
                <w:rFonts w:ascii="Times New Roman" w:hAnsi="Times New Roman"/>
                <w:sz w:val="10"/>
                <w:szCs w:val="10"/>
              </w:rPr>
            </w:pPr>
          </w:p>
          <w:p w14:paraId="5813541B"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788E8631"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 xml:space="preserve">Port </w:t>
            </w:r>
            <w:r w:rsidRPr="00420C1B">
              <w:rPr>
                <w:rFonts w:ascii="Times New Roman" w:hAnsi="Times New Roman"/>
                <w:spacing w:val="-5"/>
              </w:rPr>
              <w:t>o</w:t>
            </w:r>
            <w:r w:rsidRPr="00420C1B">
              <w:rPr>
                <w:rFonts w:ascii="Times New Roman" w:hAnsi="Times New Roman"/>
                <w:spacing w:val="-2"/>
              </w:rPr>
              <w:t>b</w:t>
            </w:r>
            <w:r w:rsidRPr="00420C1B">
              <w:rPr>
                <w:rFonts w:ascii="Times New Roman" w:hAnsi="Times New Roman"/>
                <w:spacing w:val="1"/>
              </w:rPr>
              <w:t>li</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r</w:t>
            </w:r>
            <w:r w:rsidRPr="00420C1B">
              <w:rPr>
                <w:rFonts w:ascii="Times New Roman" w:hAnsi="Times New Roman"/>
              </w:rPr>
              <w:t xml:space="preserve">e </w:t>
            </w:r>
            <w:r w:rsidRPr="00420C1B">
              <w:rPr>
                <w:rFonts w:ascii="Times New Roman" w:hAnsi="Times New Roman"/>
                <w:spacing w:val="-5"/>
              </w:rPr>
              <w:t>g</w:t>
            </w:r>
            <w:r w:rsidRPr="00420C1B">
              <w:rPr>
                <w:rFonts w:ascii="Times New Roman" w:hAnsi="Times New Roman"/>
                <w:spacing w:val="1"/>
              </w:rPr>
              <w:t>il</w:t>
            </w:r>
            <w:r w:rsidRPr="00420C1B">
              <w:rPr>
                <w:rFonts w:ascii="Times New Roman" w:hAnsi="Times New Roman"/>
                <w:spacing w:val="-2"/>
              </w:rPr>
              <w:t>e</w:t>
            </w:r>
            <w:r w:rsidRPr="00420C1B">
              <w:rPr>
                <w:rFonts w:ascii="Times New Roman" w:hAnsi="Times New Roman"/>
              </w:rPr>
              <w:t>t ha</w:t>
            </w:r>
            <w:r w:rsidRPr="00420C1B">
              <w:rPr>
                <w:rFonts w:ascii="Times New Roman" w:hAnsi="Times New Roman"/>
                <w:spacing w:val="-5"/>
              </w:rPr>
              <w:t>u</w:t>
            </w:r>
            <w:r w:rsidRPr="00420C1B">
              <w:rPr>
                <w:rFonts w:ascii="Times New Roman" w:hAnsi="Times New Roman"/>
                <w:spacing w:val="1"/>
              </w:rPr>
              <w:t>t</w:t>
            </w:r>
            <w:r w:rsidRPr="00420C1B">
              <w:rPr>
                <w:rFonts w:ascii="Times New Roman" w:hAnsi="Times New Roman"/>
              </w:rPr>
              <w:t xml:space="preserve">e </w:t>
            </w:r>
            <w:r w:rsidRPr="00420C1B">
              <w:rPr>
                <w:rFonts w:ascii="Times New Roman" w:hAnsi="Times New Roman"/>
                <w:spacing w:val="-5"/>
              </w:rPr>
              <w:t>v</w:t>
            </w:r>
            <w:r w:rsidRPr="00420C1B">
              <w:rPr>
                <w:rFonts w:ascii="Times New Roman" w:hAnsi="Times New Roman"/>
                <w:spacing w:val="1"/>
              </w:rPr>
              <w:t>isi</w:t>
            </w:r>
            <w:r w:rsidRPr="00420C1B">
              <w:rPr>
                <w:rFonts w:ascii="Times New Roman" w:hAnsi="Times New Roman"/>
              </w:rPr>
              <w:t>b</w:t>
            </w:r>
            <w:r w:rsidRPr="00420C1B">
              <w:rPr>
                <w:rFonts w:ascii="Times New Roman" w:hAnsi="Times New Roman"/>
                <w:spacing w:val="1"/>
              </w:rPr>
              <w:t>i</w:t>
            </w:r>
            <w:r w:rsidRPr="00420C1B">
              <w:rPr>
                <w:rFonts w:ascii="Times New Roman" w:hAnsi="Times New Roman"/>
                <w:spacing w:val="-1"/>
              </w:rPr>
              <w:t>l</w:t>
            </w:r>
            <w:r w:rsidRPr="00420C1B">
              <w:rPr>
                <w:rFonts w:ascii="Times New Roman" w:hAnsi="Times New Roman"/>
                <w:spacing w:val="1"/>
              </w:rPr>
              <w:t>it</w:t>
            </w:r>
            <w:r w:rsidRPr="00420C1B">
              <w:rPr>
                <w:rFonts w:ascii="Times New Roman" w:hAnsi="Times New Roman"/>
              </w:rPr>
              <w:t>é</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0EBF05B5"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spacing w:val="2"/>
              </w:rPr>
              <w:t>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rPr>
              <w:t xml:space="preserve">es </w:t>
            </w:r>
            <w:r w:rsidRPr="00420C1B">
              <w:rPr>
                <w:rFonts w:ascii="Times New Roman" w:hAnsi="Times New Roman"/>
                <w:spacing w:val="1"/>
              </w:rPr>
              <w:t>l</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1"/>
              </w:rPr>
              <w:t>t</w:t>
            </w:r>
            <w:r w:rsidRPr="00420C1B">
              <w:rPr>
                <w:rFonts w:ascii="Times New Roman" w:hAnsi="Times New Roman"/>
                <w:spacing w:val="-2"/>
              </w:rPr>
              <w:t>â</w:t>
            </w:r>
            <w:r w:rsidRPr="00420C1B">
              <w:rPr>
                <w:rFonts w:ascii="Times New Roman" w:hAnsi="Times New Roman"/>
              </w:rPr>
              <w:t>ch</w:t>
            </w:r>
            <w:r w:rsidRPr="00420C1B">
              <w:rPr>
                <w:rFonts w:ascii="Times New Roman" w:hAnsi="Times New Roman"/>
                <w:spacing w:val="-4"/>
              </w:rPr>
              <w:t>e</w:t>
            </w:r>
            <w:r w:rsidRPr="00420C1B">
              <w:rPr>
                <w:rFonts w:ascii="Times New Roman" w:hAnsi="Times New Roman"/>
              </w:rPr>
              <w:t>s y co</w:t>
            </w:r>
            <w:r w:rsidRPr="00420C1B">
              <w:rPr>
                <w:rFonts w:ascii="Times New Roman" w:hAnsi="Times New Roman"/>
                <w:spacing w:val="-6"/>
              </w:rPr>
              <w:t>m</w:t>
            </w:r>
            <w:r w:rsidRPr="00420C1B">
              <w:rPr>
                <w:rFonts w:ascii="Times New Roman" w:hAnsi="Times New Roman"/>
                <w:spacing w:val="1"/>
              </w:rPr>
              <w:t>pri</w:t>
            </w:r>
            <w:r w:rsidRPr="00420C1B">
              <w:rPr>
                <w:rFonts w:ascii="Times New Roman" w:hAnsi="Times New Roman"/>
              </w:rPr>
              <w:t xml:space="preserve">s </w:t>
            </w:r>
            <w:r w:rsidRPr="00420C1B">
              <w:rPr>
                <w:rFonts w:ascii="Times New Roman" w:hAnsi="Times New Roman"/>
                <w:spacing w:val="1"/>
              </w:rPr>
              <w:t>l</w:t>
            </w:r>
            <w:r w:rsidRPr="00420C1B">
              <w:rPr>
                <w:rFonts w:ascii="Times New Roman" w:hAnsi="Times New Roman"/>
              </w:rPr>
              <w:t xml:space="preserve">es </w:t>
            </w:r>
            <w:r w:rsidRPr="00420C1B">
              <w:rPr>
                <w:rFonts w:ascii="Times New Roman" w:hAnsi="Times New Roman"/>
                <w:spacing w:val="-5"/>
              </w:rPr>
              <w:t>v</w:t>
            </w:r>
            <w:r w:rsidRPr="00420C1B">
              <w:rPr>
                <w:rFonts w:ascii="Times New Roman" w:hAnsi="Times New Roman"/>
                <w:spacing w:val="1"/>
              </w:rPr>
              <w:t>i</w:t>
            </w:r>
            <w:r w:rsidRPr="00420C1B">
              <w:rPr>
                <w:rFonts w:ascii="Times New Roman" w:hAnsi="Times New Roman"/>
                <w:spacing w:val="-2"/>
              </w:rPr>
              <w:t>s</w:t>
            </w:r>
            <w:r w:rsidRPr="00420C1B">
              <w:rPr>
                <w:rFonts w:ascii="Times New Roman" w:hAnsi="Times New Roman"/>
                <w:spacing w:val="1"/>
              </w:rPr>
              <w:t>it</w:t>
            </w:r>
            <w:r w:rsidRPr="00420C1B">
              <w:rPr>
                <w:rFonts w:ascii="Times New Roman" w:hAnsi="Times New Roman"/>
              </w:rPr>
              <w:t>es de ch</w:t>
            </w:r>
            <w:r w:rsidRPr="00420C1B">
              <w:rPr>
                <w:rFonts w:ascii="Times New Roman" w:hAnsi="Times New Roman"/>
                <w:spacing w:val="-2"/>
              </w:rPr>
              <w:t>an</w:t>
            </w:r>
            <w:r w:rsidRPr="00420C1B">
              <w:rPr>
                <w:rFonts w:ascii="Times New Roman" w:hAnsi="Times New Roman"/>
                <w:spacing w:val="1"/>
              </w:rPr>
              <w:t>t</w:t>
            </w:r>
            <w:r w:rsidRPr="00420C1B">
              <w:rPr>
                <w:rFonts w:ascii="Times New Roman" w:hAnsi="Times New Roman"/>
                <w:spacing w:val="-1"/>
              </w:rPr>
              <w:t>i</w:t>
            </w:r>
            <w:r w:rsidRPr="00420C1B">
              <w:rPr>
                <w:rFonts w:ascii="Times New Roman" w:hAnsi="Times New Roman"/>
              </w:rPr>
              <w:t>er</w:t>
            </w:r>
          </w:p>
        </w:tc>
      </w:tr>
      <w:tr w:rsidR="00D75D2E" w:rsidRPr="00420C1B" w14:paraId="7ACC06F2" w14:textId="77777777" w:rsidTr="00E737B4">
        <w:trPr>
          <w:trHeight w:hRule="exact" w:val="1277"/>
        </w:trPr>
        <w:tc>
          <w:tcPr>
            <w:tcW w:w="1984" w:type="dxa"/>
            <w:tcBorders>
              <w:top w:val="single" w:sz="4" w:space="0" w:color="000000"/>
              <w:left w:val="single" w:sz="4" w:space="0" w:color="000000"/>
              <w:bottom w:val="single" w:sz="4" w:space="0" w:color="000000"/>
              <w:right w:val="single" w:sz="4" w:space="0" w:color="000000"/>
            </w:tcBorders>
          </w:tcPr>
          <w:p w14:paraId="37E738F8" w14:textId="77777777" w:rsidR="000705BE" w:rsidRPr="00420C1B" w:rsidRDefault="000705BE" w:rsidP="00F27714">
            <w:pPr>
              <w:widowControl w:val="0"/>
              <w:tabs>
                <w:tab w:val="left" w:pos="0"/>
              </w:tabs>
              <w:spacing w:after="0" w:line="240" w:lineRule="auto"/>
              <w:jc w:val="both"/>
              <w:rPr>
                <w:rFonts w:ascii="Times New Roman" w:hAnsi="Times New Roman"/>
                <w:sz w:val="14"/>
                <w:szCs w:val="14"/>
              </w:rPr>
            </w:pPr>
          </w:p>
          <w:p w14:paraId="3C814AB3" w14:textId="36D1CAB4" w:rsidR="000705BE" w:rsidRPr="00420C1B" w:rsidRDefault="002C66D7" w:rsidP="00F27714">
            <w:pPr>
              <w:widowControl w:val="0"/>
              <w:tabs>
                <w:tab w:val="left" w:pos="0"/>
              </w:tabs>
              <w:spacing w:after="0" w:line="240" w:lineRule="auto"/>
              <w:ind w:left="330"/>
              <w:jc w:val="both"/>
              <w:rPr>
                <w:rFonts w:ascii="Times New Roman" w:hAnsi="Times New Roman"/>
                <w:sz w:val="20"/>
                <w:szCs w:val="20"/>
              </w:rPr>
            </w:pPr>
            <w:r w:rsidRPr="00EC5A8E">
              <w:rPr>
                <w:noProof/>
                <w:lang w:eastAsia="fr-FR"/>
              </w:rPr>
              <w:drawing>
                <wp:inline distT="0" distB="0" distL="0" distR="0" wp14:anchorId="0D210BA7" wp14:editId="69C7F368">
                  <wp:extent cx="657225" cy="647700"/>
                  <wp:effectExtent l="0" t="0" r="9525" b="0"/>
                  <wp:docPr id="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7225" cy="647700"/>
                          </a:xfrm>
                          <a:prstGeom prst="rect">
                            <a:avLst/>
                          </a:prstGeom>
                          <a:noFill/>
                          <a:ln>
                            <a:noFill/>
                          </a:ln>
                        </pic:spPr>
                      </pic:pic>
                    </a:graphicData>
                  </a:graphic>
                </wp:inline>
              </w:drawing>
            </w:r>
          </w:p>
          <w:p w14:paraId="471B8F3E"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07530BAD"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 xml:space="preserve">Port </w:t>
            </w:r>
            <w:r w:rsidRPr="00420C1B">
              <w:rPr>
                <w:rFonts w:ascii="Times New Roman" w:hAnsi="Times New Roman"/>
                <w:spacing w:val="-5"/>
              </w:rPr>
              <w:t>o</w:t>
            </w:r>
            <w:r w:rsidRPr="00420C1B">
              <w:rPr>
                <w:rFonts w:ascii="Times New Roman" w:hAnsi="Times New Roman"/>
                <w:spacing w:val="-2"/>
              </w:rPr>
              <w:t>b</w:t>
            </w:r>
            <w:r w:rsidRPr="00420C1B">
              <w:rPr>
                <w:rFonts w:ascii="Times New Roman" w:hAnsi="Times New Roman"/>
                <w:spacing w:val="1"/>
              </w:rPr>
              <w:t>li</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r</w:t>
            </w:r>
            <w:r w:rsidRPr="00420C1B">
              <w:rPr>
                <w:rFonts w:ascii="Times New Roman" w:hAnsi="Times New Roman"/>
              </w:rPr>
              <w:t xml:space="preserve">e </w:t>
            </w:r>
            <w:r w:rsidRPr="00420C1B">
              <w:rPr>
                <w:rFonts w:ascii="Times New Roman" w:hAnsi="Times New Roman"/>
                <w:spacing w:val="-2"/>
              </w:rPr>
              <w:t>d</w:t>
            </w:r>
            <w:r w:rsidRPr="00420C1B">
              <w:rPr>
                <w:rFonts w:ascii="Times New Roman" w:hAnsi="Times New Roman"/>
                <w:spacing w:val="1"/>
              </w:rPr>
              <w:t>’</w:t>
            </w:r>
            <w:r w:rsidRPr="00420C1B">
              <w:rPr>
                <w:rFonts w:ascii="Times New Roman" w:hAnsi="Times New Roman"/>
              </w:rPr>
              <w:t>é</w:t>
            </w:r>
            <w:r w:rsidRPr="00420C1B">
              <w:rPr>
                <w:rFonts w:ascii="Times New Roman" w:hAnsi="Times New Roman"/>
                <w:spacing w:val="-2"/>
              </w:rPr>
              <w:t>q</w:t>
            </w:r>
            <w:r w:rsidRPr="00420C1B">
              <w:rPr>
                <w:rFonts w:ascii="Times New Roman" w:hAnsi="Times New Roman"/>
              </w:rPr>
              <w:t>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rPr>
              <w:t xml:space="preserve">ent </w:t>
            </w:r>
            <w:r w:rsidRPr="00420C1B">
              <w:rPr>
                <w:rFonts w:ascii="Times New Roman" w:hAnsi="Times New Roman"/>
                <w:spacing w:val="-2"/>
              </w:rPr>
              <w:t>d</w:t>
            </w:r>
            <w:r w:rsidRPr="00420C1B">
              <w:rPr>
                <w:rFonts w:ascii="Times New Roman" w:hAnsi="Times New Roman"/>
              </w:rPr>
              <w:t>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w:t>
            </w:r>
            <w:r w:rsidRPr="00420C1B">
              <w:rPr>
                <w:rFonts w:ascii="Times New Roman" w:hAnsi="Times New Roman"/>
                <w:spacing w:val="-2"/>
              </w:rPr>
              <w:t xml:space="preserve"> d</w:t>
            </w:r>
            <w:r w:rsidRPr="00420C1B">
              <w:rPr>
                <w:rFonts w:ascii="Times New Roman" w:hAnsi="Times New Roman"/>
              </w:rPr>
              <w:t xml:space="preserve">e </w:t>
            </w:r>
            <w:r w:rsidRPr="00420C1B">
              <w:rPr>
                <w:rFonts w:ascii="Times New Roman" w:hAnsi="Times New Roman"/>
                <w:spacing w:val="1"/>
              </w:rPr>
              <w:t>la t</w:t>
            </w:r>
            <w:r w:rsidRPr="00420C1B">
              <w:rPr>
                <w:rFonts w:ascii="Times New Roman" w:hAnsi="Times New Roman"/>
                <w:spacing w:val="-2"/>
              </w:rPr>
              <w:t>ê</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 xml:space="preserve"> (</w:t>
            </w:r>
            <w:r w:rsidRPr="00420C1B">
              <w:rPr>
                <w:rFonts w:ascii="Times New Roman" w:hAnsi="Times New Roman"/>
                <w:spacing w:val="-2"/>
              </w:rPr>
              <w:t>c</w:t>
            </w:r>
            <w:r w:rsidRPr="00420C1B">
              <w:rPr>
                <w:rFonts w:ascii="Times New Roman" w:hAnsi="Times New Roman"/>
              </w:rPr>
              <w:t>a</w:t>
            </w:r>
            <w:r w:rsidRPr="00420C1B">
              <w:rPr>
                <w:rFonts w:ascii="Times New Roman" w:hAnsi="Times New Roman"/>
                <w:spacing w:val="1"/>
              </w:rPr>
              <w:t>s</w:t>
            </w:r>
            <w:r w:rsidRPr="00420C1B">
              <w:rPr>
                <w:rFonts w:ascii="Times New Roman" w:hAnsi="Times New Roman"/>
              </w:rPr>
              <w:t>q</w:t>
            </w:r>
            <w:r w:rsidRPr="00420C1B">
              <w:rPr>
                <w:rFonts w:ascii="Times New Roman" w:hAnsi="Times New Roman"/>
                <w:spacing w:val="-5"/>
              </w:rPr>
              <w:t>u</w:t>
            </w:r>
            <w:r w:rsidRPr="00420C1B">
              <w:rPr>
                <w:rFonts w:ascii="Times New Roman" w:hAnsi="Times New Roman"/>
              </w:rPr>
              <w:t>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17F3B0A2"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spacing w:val="2"/>
              </w:rPr>
              <w:t>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rPr>
              <w:t xml:space="preserve">es </w:t>
            </w:r>
            <w:r w:rsidRPr="00420C1B">
              <w:rPr>
                <w:rFonts w:ascii="Times New Roman" w:hAnsi="Times New Roman"/>
                <w:spacing w:val="1"/>
              </w:rPr>
              <w:t>t</w:t>
            </w:r>
            <w:r w:rsidRPr="00420C1B">
              <w:rPr>
                <w:rFonts w:ascii="Times New Roman" w:hAnsi="Times New Roman"/>
                <w:spacing w:val="-2"/>
              </w:rPr>
              <w:t>â</w:t>
            </w:r>
            <w:r w:rsidRPr="00420C1B">
              <w:rPr>
                <w:rFonts w:ascii="Times New Roman" w:hAnsi="Times New Roman"/>
              </w:rPr>
              <w:t>ch</w:t>
            </w:r>
            <w:r w:rsidRPr="00420C1B">
              <w:rPr>
                <w:rFonts w:ascii="Times New Roman" w:hAnsi="Times New Roman"/>
                <w:spacing w:val="-4"/>
              </w:rPr>
              <w:t>e</w:t>
            </w:r>
            <w:r w:rsidRPr="00420C1B">
              <w:rPr>
                <w:rFonts w:ascii="Times New Roman" w:hAnsi="Times New Roman"/>
              </w:rPr>
              <w:t>s</w:t>
            </w:r>
            <w:r w:rsidRPr="00420C1B">
              <w:rPr>
                <w:rFonts w:ascii="Times New Roman" w:hAnsi="Times New Roman"/>
                <w:spacing w:val="1"/>
              </w:rPr>
              <w:t xml:space="preserve"> s</w:t>
            </w:r>
            <w:r w:rsidRPr="00420C1B">
              <w:rPr>
                <w:rFonts w:ascii="Times New Roman" w:hAnsi="Times New Roman"/>
                <w:spacing w:val="-2"/>
              </w:rPr>
              <w:t>u</w:t>
            </w:r>
            <w:r w:rsidRPr="00420C1B">
              <w:rPr>
                <w:rFonts w:ascii="Times New Roman" w:hAnsi="Times New Roman"/>
              </w:rPr>
              <w:t>r</w:t>
            </w:r>
            <w:r w:rsidRPr="00420C1B">
              <w:rPr>
                <w:rFonts w:ascii="Times New Roman" w:hAnsi="Times New Roman"/>
                <w:spacing w:val="1"/>
              </w:rPr>
              <w:t xml:space="preserve"> l</w:t>
            </w:r>
            <w:r w:rsidRPr="00420C1B">
              <w:rPr>
                <w:rFonts w:ascii="Times New Roman" w:hAnsi="Times New Roman"/>
              </w:rPr>
              <w:t>e ch</w:t>
            </w:r>
            <w:r w:rsidRPr="00420C1B">
              <w:rPr>
                <w:rFonts w:ascii="Times New Roman" w:hAnsi="Times New Roman"/>
                <w:spacing w:val="-2"/>
              </w:rPr>
              <w:t>an</w:t>
            </w:r>
            <w:r w:rsidRPr="00420C1B">
              <w:rPr>
                <w:rFonts w:ascii="Times New Roman" w:hAnsi="Times New Roman"/>
                <w:spacing w:val="1"/>
              </w:rPr>
              <w:t>ti</w:t>
            </w:r>
            <w:r w:rsidRPr="00420C1B">
              <w:rPr>
                <w:rFonts w:ascii="Times New Roman" w:hAnsi="Times New Roman"/>
                <w:spacing w:val="-4"/>
              </w:rPr>
              <w:t>e</w:t>
            </w:r>
            <w:r w:rsidRPr="00420C1B">
              <w:rPr>
                <w:rFonts w:ascii="Times New Roman" w:hAnsi="Times New Roman"/>
              </w:rPr>
              <w:t>r</w:t>
            </w:r>
          </w:p>
        </w:tc>
      </w:tr>
      <w:tr w:rsidR="00D75D2E" w:rsidRPr="00420C1B" w14:paraId="638B5075" w14:textId="77777777" w:rsidTr="00E737B4">
        <w:trPr>
          <w:trHeight w:hRule="exact" w:val="1337"/>
        </w:trPr>
        <w:tc>
          <w:tcPr>
            <w:tcW w:w="1984" w:type="dxa"/>
            <w:tcBorders>
              <w:top w:val="single" w:sz="4" w:space="0" w:color="000000"/>
              <w:left w:val="single" w:sz="4" w:space="0" w:color="000000"/>
              <w:bottom w:val="single" w:sz="4" w:space="0" w:color="000000"/>
              <w:right w:val="single" w:sz="4" w:space="0" w:color="000000"/>
            </w:tcBorders>
          </w:tcPr>
          <w:p w14:paraId="003378CA" w14:textId="77777777" w:rsidR="000705BE" w:rsidRPr="00420C1B" w:rsidRDefault="000705BE" w:rsidP="00F27714">
            <w:pPr>
              <w:widowControl w:val="0"/>
              <w:tabs>
                <w:tab w:val="left" w:pos="0"/>
              </w:tabs>
              <w:spacing w:after="0" w:line="240" w:lineRule="auto"/>
              <w:jc w:val="both"/>
              <w:rPr>
                <w:rFonts w:ascii="Times New Roman" w:hAnsi="Times New Roman"/>
                <w:sz w:val="17"/>
                <w:szCs w:val="17"/>
              </w:rPr>
            </w:pPr>
          </w:p>
          <w:p w14:paraId="51AD8F0F" w14:textId="48C43AFB" w:rsidR="000705BE" w:rsidRPr="00420C1B" w:rsidRDefault="002C66D7" w:rsidP="00F27714">
            <w:pPr>
              <w:widowControl w:val="0"/>
              <w:tabs>
                <w:tab w:val="left" w:pos="0"/>
              </w:tabs>
              <w:spacing w:after="0" w:line="240" w:lineRule="auto"/>
              <w:ind w:left="390"/>
              <w:jc w:val="both"/>
              <w:rPr>
                <w:rFonts w:ascii="Times New Roman" w:hAnsi="Times New Roman"/>
                <w:sz w:val="20"/>
                <w:szCs w:val="20"/>
              </w:rPr>
            </w:pPr>
            <w:r w:rsidRPr="00EC5A8E">
              <w:rPr>
                <w:noProof/>
                <w:lang w:eastAsia="fr-FR"/>
              </w:rPr>
              <w:drawing>
                <wp:inline distT="0" distB="0" distL="0" distR="0" wp14:anchorId="3661660B" wp14:editId="4EB67570">
                  <wp:extent cx="657225" cy="657225"/>
                  <wp:effectExtent l="0" t="0" r="9525" b="9525"/>
                  <wp:docPr id="2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0A561CB4"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2497D69F"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 xml:space="preserve">Port </w:t>
            </w:r>
            <w:r w:rsidRPr="00420C1B">
              <w:rPr>
                <w:rFonts w:ascii="Times New Roman" w:hAnsi="Times New Roman"/>
                <w:spacing w:val="-5"/>
              </w:rPr>
              <w:t>d</w:t>
            </w:r>
            <w:r w:rsidRPr="00420C1B">
              <w:rPr>
                <w:rFonts w:ascii="Times New Roman" w:hAnsi="Times New Roman"/>
              </w:rPr>
              <w:t xml:space="preserve">es </w:t>
            </w:r>
            <w:r w:rsidRPr="00420C1B">
              <w:rPr>
                <w:rFonts w:ascii="Times New Roman" w:hAnsi="Times New Roman"/>
                <w:spacing w:val="-2"/>
              </w:rPr>
              <w:t>c</w:t>
            </w:r>
            <w:r w:rsidRPr="00420C1B">
              <w:rPr>
                <w:rFonts w:ascii="Times New Roman" w:hAnsi="Times New Roman"/>
              </w:rPr>
              <w:t>h</w:t>
            </w:r>
            <w:r w:rsidRPr="00420C1B">
              <w:rPr>
                <w:rFonts w:ascii="Times New Roman" w:hAnsi="Times New Roman"/>
                <w:spacing w:val="-2"/>
              </w:rPr>
              <w:t>a</w:t>
            </w:r>
            <w:r w:rsidRPr="00420C1B">
              <w:rPr>
                <w:rFonts w:ascii="Times New Roman" w:hAnsi="Times New Roman"/>
              </w:rPr>
              <w:t>u</w:t>
            </w:r>
            <w:r w:rsidRPr="00420C1B">
              <w:rPr>
                <w:rFonts w:ascii="Times New Roman" w:hAnsi="Times New Roman"/>
                <w:spacing w:val="-2"/>
              </w:rPr>
              <w:t>s</w:t>
            </w:r>
            <w:r w:rsidRPr="00420C1B">
              <w:rPr>
                <w:rFonts w:ascii="Times New Roman" w:hAnsi="Times New Roman"/>
                <w:spacing w:val="1"/>
              </w:rPr>
              <w:t>s</w:t>
            </w:r>
            <w:r w:rsidRPr="00420C1B">
              <w:rPr>
                <w:rFonts w:ascii="Times New Roman" w:hAnsi="Times New Roman"/>
                <w:spacing w:val="-2"/>
              </w:rPr>
              <w:t>u</w:t>
            </w:r>
            <w:r w:rsidRPr="00420C1B">
              <w:rPr>
                <w:rFonts w:ascii="Times New Roman" w:hAnsi="Times New Roman"/>
                <w:spacing w:val="1"/>
              </w:rPr>
              <w:t>r</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2"/>
              </w:rPr>
              <w:t>d</w:t>
            </w:r>
            <w:r w:rsidRPr="00420C1B">
              <w:rPr>
                <w:rFonts w:ascii="Times New Roman" w:hAnsi="Times New Roman"/>
              </w:rPr>
              <w:t>e</w:t>
            </w:r>
            <w:r w:rsidRPr="00420C1B">
              <w:rPr>
                <w:rFonts w:ascii="Times New Roman" w:hAnsi="Times New Roman"/>
                <w:spacing w:val="1"/>
              </w:rPr>
              <w:t xml:space="preserve"> s</w:t>
            </w:r>
            <w:r w:rsidRPr="00420C1B">
              <w:rPr>
                <w:rFonts w:ascii="Times New Roman" w:hAnsi="Times New Roman"/>
                <w:spacing w:val="-2"/>
              </w:rPr>
              <w:t>é</w:t>
            </w:r>
            <w:r w:rsidRPr="00420C1B">
              <w:rPr>
                <w:rFonts w:ascii="Times New Roman" w:hAnsi="Times New Roman"/>
              </w:rPr>
              <w:t>c</w:t>
            </w:r>
            <w:r w:rsidRPr="00420C1B">
              <w:rPr>
                <w:rFonts w:ascii="Times New Roman" w:hAnsi="Times New Roman"/>
                <w:spacing w:val="-5"/>
              </w:rPr>
              <w:t>u</w:t>
            </w:r>
            <w:r w:rsidRPr="00420C1B">
              <w:rPr>
                <w:rFonts w:ascii="Times New Roman" w:hAnsi="Times New Roman"/>
                <w:spacing w:val="1"/>
              </w:rPr>
              <w:t>rit</w:t>
            </w:r>
            <w:r w:rsidRPr="00420C1B">
              <w:rPr>
                <w:rFonts w:ascii="Times New Roman" w:hAnsi="Times New Roman"/>
              </w:rPr>
              <w:t>é</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0115233"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spacing w:val="2"/>
              </w:rPr>
              <w:t>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rPr>
              <w:t xml:space="preserve">es </w:t>
            </w:r>
            <w:r w:rsidRPr="00420C1B">
              <w:rPr>
                <w:rFonts w:ascii="Times New Roman" w:hAnsi="Times New Roman"/>
                <w:spacing w:val="1"/>
              </w:rPr>
              <w:t>t</w:t>
            </w:r>
            <w:r w:rsidRPr="00420C1B">
              <w:rPr>
                <w:rFonts w:ascii="Times New Roman" w:hAnsi="Times New Roman"/>
                <w:spacing w:val="-2"/>
              </w:rPr>
              <w:t>â</w:t>
            </w:r>
            <w:r w:rsidRPr="00420C1B">
              <w:rPr>
                <w:rFonts w:ascii="Times New Roman" w:hAnsi="Times New Roman"/>
              </w:rPr>
              <w:t>ch</w:t>
            </w:r>
            <w:r w:rsidRPr="00420C1B">
              <w:rPr>
                <w:rFonts w:ascii="Times New Roman" w:hAnsi="Times New Roman"/>
                <w:spacing w:val="-4"/>
              </w:rPr>
              <w:t>e</w:t>
            </w:r>
            <w:r w:rsidRPr="00420C1B">
              <w:rPr>
                <w:rFonts w:ascii="Times New Roman" w:hAnsi="Times New Roman"/>
              </w:rPr>
              <w:t>s</w:t>
            </w:r>
            <w:r w:rsidRPr="00420C1B">
              <w:rPr>
                <w:rFonts w:ascii="Times New Roman" w:hAnsi="Times New Roman"/>
                <w:spacing w:val="1"/>
              </w:rPr>
              <w:t xml:space="preserve"> s</w:t>
            </w:r>
            <w:r w:rsidRPr="00420C1B">
              <w:rPr>
                <w:rFonts w:ascii="Times New Roman" w:hAnsi="Times New Roman"/>
                <w:spacing w:val="-2"/>
              </w:rPr>
              <w:t>u</w:t>
            </w:r>
            <w:r w:rsidRPr="00420C1B">
              <w:rPr>
                <w:rFonts w:ascii="Times New Roman" w:hAnsi="Times New Roman"/>
              </w:rPr>
              <w:t>r</w:t>
            </w:r>
            <w:r w:rsidRPr="00420C1B">
              <w:rPr>
                <w:rFonts w:ascii="Times New Roman" w:hAnsi="Times New Roman"/>
                <w:spacing w:val="1"/>
              </w:rPr>
              <w:t xml:space="preserve"> l</w:t>
            </w:r>
            <w:r w:rsidRPr="00420C1B">
              <w:rPr>
                <w:rFonts w:ascii="Times New Roman" w:hAnsi="Times New Roman"/>
              </w:rPr>
              <w:t>e ch</w:t>
            </w:r>
            <w:r w:rsidRPr="00420C1B">
              <w:rPr>
                <w:rFonts w:ascii="Times New Roman" w:hAnsi="Times New Roman"/>
                <w:spacing w:val="-2"/>
              </w:rPr>
              <w:t>an</w:t>
            </w:r>
            <w:r w:rsidRPr="00420C1B">
              <w:rPr>
                <w:rFonts w:ascii="Times New Roman" w:hAnsi="Times New Roman"/>
                <w:spacing w:val="1"/>
              </w:rPr>
              <w:t>ti</w:t>
            </w:r>
            <w:r w:rsidRPr="00420C1B">
              <w:rPr>
                <w:rFonts w:ascii="Times New Roman" w:hAnsi="Times New Roman"/>
                <w:spacing w:val="-4"/>
              </w:rPr>
              <w:t>e</w:t>
            </w:r>
            <w:r w:rsidRPr="00420C1B">
              <w:rPr>
                <w:rFonts w:ascii="Times New Roman" w:hAnsi="Times New Roman"/>
              </w:rPr>
              <w:t>r</w:t>
            </w:r>
          </w:p>
        </w:tc>
      </w:tr>
      <w:tr w:rsidR="00D75D2E" w:rsidRPr="00420C1B" w14:paraId="4BD52D29" w14:textId="77777777" w:rsidTr="00E737B4">
        <w:trPr>
          <w:trHeight w:hRule="exact" w:val="1074"/>
        </w:trPr>
        <w:tc>
          <w:tcPr>
            <w:tcW w:w="1984" w:type="dxa"/>
            <w:tcBorders>
              <w:top w:val="single" w:sz="4" w:space="0" w:color="000000"/>
              <w:left w:val="single" w:sz="4" w:space="0" w:color="000000"/>
              <w:bottom w:val="single" w:sz="4" w:space="0" w:color="000000"/>
              <w:right w:val="single" w:sz="4" w:space="0" w:color="000000"/>
            </w:tcBorders>
          </w:tcPr>
          <w:p w14:paraId="729A81ED" w14:textId="6BEA8F47" w:rsidR="000705BE" w:rsidRPr="00420C1B" w:rsidRDefault="002C66D7" w:rsidP="00F27714">
            <w:pPr>
              <w:widowControl w:val="0"/>
              <w:tabs>
                <w:tab w:val="left" w:pos="0"/>
              </w:tabs>
              <w:spacing w:after="0" w:line="240" w:lineRule="auto"/>
              <w:ind w:left="433"/>
              <w:jc w:val="both"/>
              <w:rPr>
                <w:rFonts w:ascii="Times New Roman" w:hAnsi="Times New Roman"/>
                <w:sz w:val="20"/>
                <w:szCs w:val="20"/>
              </w:rPr>
            </w:pPr>
            <w:r w:rsidRPr="00EC5A8E">
              <w:rPr>
                <w:noProof/>
                <w:lang w:eastAsia="fr-FR"/>
              </w:rPr>
              <w:drawing>
                <wp:inline distT="0" distB="0" distL="0" distR="0" wp14:anchorId="646F0C3A" wp14:editId="043B2441">
                  <wp:extent cx="647700" cy="647700"/>
                  <wp:effectExtent l="0" t="0" r="0" b="0"/>
                  <wp:docPr id="1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2C7750BE" w14:textId="77777777" w:rsidR="000705BE" w:rsidRPr="00420C1B" w:rsidRDefault="000705BE" w:rsidP="00F27714">
            <w:pPr>
              <w:widowControl w:val="0"/>
              <w:tabs>
                <w:tab w:val="left" w:pos="0"/>
              </w:tabs>
              <w:spacing w:after="0" w:line="240" w:lineRule="auto"/>
              <w:jc w:val="both"/>
              <w:rPr>
                <w:rFonts w:ascii="Times New Roman" w:hAnsi="Times New Roman"/>
                <w:sz w:val="10"/>
                <w:szCs w:val="10"/>
              </w:rPr>
            </w:pPr>
          </w:p>
          <w:p w14:paraId="7861555F"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4915213C"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Port</w:t>
            </w:r>
            <w:r w:rsidRPr="00420C1B">
              <w:rPr>
                <w:rFonts w:ascii="Times New Roman" w:hAnsi="Times New Roman"/>
                <w:spacing w:val="-2"/>
              </w:rPr>
              <w:t xml:space="preserve"> o</w:t>
            </w:r>
            <w:r w:rsidRPr="00420C1B">
              <w:rPr>
                <w:rFonts w:ascii="Times New Roman" w:hAnsi="Times New Roman"/>
                <w:spacing w:val="1"/>
              </w:rPr>
              <w:t>bl</w:t>
            </w:r>
            <w:r w:rsidRPr="00420C1B">
              <w:rPr>
                <w:rFonts w:ascii="Times New Roman" w:hAnsi="Times New Roman"/>
                <w:spacing w:val="-5"/>
              </w:rPr>
              <w:t>i</w:t>
            </w:r>
            <w:r w:rsidRPr="00420C1B">
              <w:rPr>
                <w:rFonts w:ascii="Times New Roman" w:hAnsi="Times New Roman"/>
              </w:rPr>
              <w:t>g</w:t>
            </w:r>
            <w:r w:rsidRPr="00420C1B">
              <w:rPr>
                <w:rFonts w:ascii="Times New Roman" w:hAnsi="Times New Roman"/>
                <w:spacing w:val="1"/>
              </w:rPr>
              <w:t>a</w:t>
            </w:r>
            <w:r w:rsidRPr="00420C1B">
              <w:rPr>
                <w:rFonts w:ascii="Times New Roman" w:hAnsi="Times New Roman"/>
                <w:spacing w:val="-2"/>
              </w:rPr>
              <w:t>t</w:t>
            </w:r>
            <w:r w:rsidRPr="00420C1B">
              <w:rPr>
                <w:rFonts w:ascii="Times New Roman" w:hAnsi="Times New Roman"/>
                <w:spacing w:val="1"/>
              </w:rPr>
              <w:t>oi</w:t>
            </w:r>
            <w:r w:rsidRPr="00420C1B">
              <w:rPr>
                <w:rFonts w:ascii="Times New Roman" w:hAnsi="Times New Roman"/>
              </w:rPr>
              <w:t>re d</w:t>
            </w:r>
            <w:r w:rsidRPr="00420C1B">
              <w:rPr>
                <w:rFonts w:ascii="Times New Roman" w:hAnsi="Times New Roman"/>
                <w:spacing w:val="-6"/>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spacing w:val="-2"/>
              </w:rPr>
              <w:t>e</w:t>
            </w:r>
            <w:r w:rsidRPr="00420C1B">
              <w:rPr>
                <w:rFonts w:ascii="Times New Roman" w:hAnsi="Times New Roman"/>
              </w:rPr>
              <w:t>nt de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w:t>
            </w:r>
            <w:r w:rsidRPr="00420C1B">
              <w:rPr>
                <w:rFonts w:ascii="Times New Roman" w:hAnsi="Times New Roman"/>
                <w:spacing w:val="-2"/>
              </w:rPr>
              <w:t xml:space="preserve"> d</w:t>
            </w:r>
            <w:r w:rsidRPr="00420C1B">
              <w:rPr>
                <w:rFonts w:ascii="Times New Roman" w:hAnsi="Times New Roman"/>
              </w:rPr>
              <w:t xml:space="preserve">es </w:t>
            </w:r>
            <w:r w:rsidRPr="00420C1B">
              <w:rPr>
                <w:rFonts w:ascii="Times New Roman" w:hAnsi="Times New Roman"/>
                <w:spacing w:val="-9"/>
              </w:rPr>
              <w:t>m</w:t>
            </w:r>
            <w:r w:rsidRPr="00420C1B">
              <w:rPr>
                <w:rFonts w:ascii="Times New Roman" w:hAnsi="Times New Roman"/>
              </w:rPr>
              <w:t>a</w:t>
            </w:r>
            <w:r w:rsidRPr="00420C1B">
              <w:rPr>
                <w:rFonts w:ascii="Times New Roman" w:hAnsi="Times New Roman"/>
                <w:spacing w:val="1"/>
              </w:rPr>
              <w:t>i</w:t>
            </w:r>
            <w:r w:rsidRPr="00420C1B">
              <w:rPr>
                <w:rFonts w:ascii="Times New Roman" w:hAnsi="Times New Roman"/>
              </w:rPr>
              <w:t>ns</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4AA8E139"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spacing w:val="2"/>
              </w:rPr>
              <w:t>T</w:t>
            </w:r>
            <w:r w:rsidRPr="00420C1B">
              <w:rPr>
                <w:rFonts w:ascii="Times New Roman" w:hAnsi="Times New Roman"/>
              </w:rPr>
              <w:t>o</w:t>
            </w:r>
            <w:r w:rsidRPr="00420C1B">
              <w:rPr>
                <w:rFonts w:ascii="Times New Roman" w:hAnsi="Times New Roman"/>
                <w:spacing w:val="-2"/>
              </w:rPr>
              <w:t>u</w:t>
            </w:r>
            <w:r w:rsidRPr="00420C1B">
              <w:rPr>
                <w:rFonts w:ascii="Times New Roman" w:hAnsi="Times New Roman"/>
                <w:spacing w:val="1"/>
              </w:rPr>
              <w:t>t</w:t>
            </w:r>
            <w:r w:rsidRPr="00420C1B">
              <w:rPr>
                <w:rFonts w:ascii="Times New Roman" w:hAnsi="Times New Roman"/>
              </w:rPr>
              <w:t xml:space="preserve">es </w:t>
            </w:r>
            <w:r w:rsidRPr="00420C1B">
              <w:rPr>
                <w:rFonts w:ascii="Times New Roman" w:hAnsi="Times New Roman"/>
                <w:spacing w:val="1"/>
              </w:rPr>
              <w:t>t</w:t>
            </w:r>
            <w:r w:rsidRPr="00420C1B">
              <w:rPr>
                <w:rFonts w:ascii="Times New Roman" w:hAnsi="Times New Roman"/>
                <w:spacing w:val="-2"/>
              </w:rPr>
              <w:t>â</w:t>
            </w:r>
            <w:r w:rsidRPr="00420C1B">
              <w:rPr>
                <w:rFonts w:ascii="Times New Roman" w:hAnsi="Times New Roman"/>
              </w:rPr>
              <w:t>ch</w:t>
            </w:r>
            <w:r w:rsidRPr="00420C1B">
              <w:rPr>
                <w:rFonts w:ascii="Times New Roman" w:hAnsi="Times New Roman"/>
                <w:spacing w:val="-4"/>
              </w:rPr>
              <w:t>e</w:t>
            </w:r>
            <w:r w:rsidRPr="00420C1B">
              <w:rPr>
                <w:rFonts w:ascii="Times New Roman" w:hAnsi="Times New Roman"/>
              </w:rPr>
              <w:t>s</w:t>
            </w:r>
            <w:r w:rsidRPr="00420C1B">
              <w:rPr>
                <w:rFonts w:ascii="Times New Roman" w:hAnsi="Times New Roman"/>
                <w:spacing w:val="1"/>
              </w:rPr>
              <w:t xml:space="preserve"> s</w:t>
            </w:r>
            <w:r w:rsidRPr="00420C1B">
              <w:rPr>
                <w:rFonts w:ascii="Times New Roman" w:hAnsi="Times New Roman"/>
                <w:spacing w:val="-2"/>
              </w:rPr>
              <w:t>u</w:t>
            </w:r>
            <w:r w:rsidRPr="00420C1B">
              <w:rPr>
                <w:rFonts w:ascii="Times New Roman" w:hAnsi="Times New Roman"/>
              </w:rPr>
              <w:t>r</w:t>
            </w:r>
            <w:r w:rsidRPr="00420C1B">
              <w:rPr>
                <w:rFonts w:ascii="Times New Roman" w:hAnsi="Times New Roman"/>
                <w:spacing w:val="1"/>
              </w:rPr>
              <w:t xml:space="preserve"> l</w:t>
            </w:r>
            <w:r w:rsidRPr="00420C1B">
              <w:rPr>
                <w:rFonts w:ascii="Times New Roman" w:hAnsi="Times New Roman"/>
              </w:rPr>
              <w:t>e ch</w:t>
            </w:r>
            <w:r w:rsidRPr="00420C1B">
              <w:rPr>
                <w:rFonts w:ascii="Times New Roman" w:hAnsi="Times New Roman"/>
                <w:spacing w:val="-2"/>
              </w:rPr>
              <w:t>an</w:t>
            </w:r>
            <w:r w:rsidRPr="00420C1B">
              <w:rPr>
                <w:rFonts w:ascii="Times New Roman" w:hAnsi="Times New Roman"/>
                <w:spacing w:val="1"/>
              </w:rPr>
              <w:t>ti</w:t>
            </w:r>
            <w:r w:rsidRPr="00420C1B">
              <w:rPr>
                <w:rFonts w:ascii="Times New Roman" w:hAnsi="Times New Roman"/>
                <w:spacing w:val="-4"/>
              </w:rPr>
              <w:t>e</w:t>
            </w:r>
            <w:r w:rsidRPr="00420C1B">
              <w:rPr>
                <w:rFonts w:ascii="Times New Roman" w:hAnsi="Times New Roman"/>
              </w:rPr>
              <w:t>r</w:t>
            </w:r>
          </w:p>
        </w:tc>
      </w:tr>
      <w:tr w:rsidR="00D75D2E" w:rsidRPr="00420C1B" w14:paraId="423166DC" w14:textId="77777777" w:rsidTr="00215867">
        <w:trPr>
          <w:trHeight w:hRule="exact" w:val="1178"/>
        </w:trPr>
        <w:tc>
          <w:tcPr>
            <w:tcW w:w="1984" w:type="dxa"/>
            <w:tcBorders>
              <w:top w:val="single" w:sz="4" w:space="0" w:color="000000"/>
              <w:left w:val="single" w:sz="4" w:space="0" w:color="000000"/>
              <w:bottom w:val="single" w:sz="4" w:space="0" w:color="000000"/>
              <w:right w:val="single" w:sz="4" w:space="0" w:color="000000"/>
            </w:tcBorders>
          </w:tcPr>
          <w:p w14:paraId="4C32557C" w14:textId="2B2683EE" w:rsidR="000705BE" w:rsidRPr="00420C1B" w:rsidRDefault="002C66D7" w:rsidP="00F27714">
            <w:pPr>
              <w:widowControl w:val="0"/>
              <w:tabs>
                <w:tab w:val="left" w:pos="0"/>
              </w:tabs>
              <w:spacing w:after="0" w:line="240" w:lineRule="auto"/>
              <w:ind w:left="438"/>
              <w:jc w:val="both"/>
              <w:rPr>
                <w:rFonts w:ascii="Times New Roman" w:hAnsi="Times New Roman"/>
                <w:sz w:val="20"/>
                <w:szCs w:val="20"/>
              </w:rPr>
            </w:pPr>
            <w:r w:rsidRPr="00EC5A8E">
              <w:rPr>
                <w:noProof/>
                <w:lang w:eastAsia="fr-FR"/>
              </w:rPr>
              <w:drawing>
                <wp:inline distT="0" distB="0" distL="0" distR="0" wp14:anchorId="11FF4A4E" wp14:editId="6A4D1B8B">
                  <wp:extent cx="647700" cy="647700"/>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42065CD9"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0924D2C4"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 xml:space="preserve">Port </w:t>
            </w:r>
            <w:r w:rsidRPr="00420C1B">
              <w:rPr>
                <w:rFonts w:ascii="Times New Roman" w:hAnsi="Times New Roman"/>
                <w:spacing w:val="-5"/>
              </w:rPr>
              <w:t>o</w:t>
            </w:r>
            <w:r w:rsidRPr="00420C1B">
              <w:rPr>
                <w:rFonts w:ascii="Times New Roman" w:hAnsi="Times New Roman"/>
                <w:spacing w:val="-2"/>
              </w:rPr>
              <w:t>b</w:t>
            </w:r>
            <w:r w:rsidRPr="00420C1B">
              <w:rPr>
                <w:rFonts w:ascii="Times New Roman" w:hAnsi="Times New Roman"/>
                <w:spacing w:val="1"/>
              </w:rPr>
              <w:t>li</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r</w:t>
            </w:r>
            <w:r w:rsidRPr="00420C1B">
              <w:rPr>
                <w:rFonts w:ascii="Times New Roman" w:hAnsi="Times New Roman"/>
              </w:rPr>
              <w:t>e d</w:t>
            </w:r>
            <w:r w:rsidRPr="00420C1B">
              <w:rPr>
                <w:rFonts w:ascii="Times New Roman" w:hAnsi="Times New Roman"/>
                <w:spacing w:val="-6"/>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spacing w:val="-2"/>
              </w:rPr>
              <w:t>e</w:t>
            </w:r>
            <w:r w:rsidRPr="00420C1B">
              <w:rPr>
                <w:rFonts w:ascii="Times New Roman" w:hAnsi="Times New Roman"/>
              </w:rPr>
              <w:t>nt de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w:t>
            </w:r>
            <w:r w:rsidRPr="00420C1B">
              <w:rPr>
                <w:rFonts w:ascii="Times New Roman" w:hAnsi="Times New Roman"/>
                <w:spacing w:val="-2"/>
              </w:rPr>
              <w:t xml:space="preserve"> d</w:t>
            </w:r>
            <w:r w:rsidRPr="00420C1B">
              <w:rPr>
                <w:rFonts w:ascii="Times New Roman" w:hAnsi="Times New Roman"/>
              </w:rPr>
              <w:t xml:space="preserve">es </w:t>
            </w:r>
            <w:r w:rsidRPr="00420C1B">
              <w:rPr>
                <w:rFonts w:ascii="Times New Roman" w:hAnsi="Times New Roman"/>
                <w:spacing w:val="-5"/>
              </w:rPr>
              <w:t>v</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2"/>
              </w:rPr>
              <w:t>r</w:t>
            </w:r>
            <w:r w:rsidRPr="00420C1B">
              <w:rPr>
                <w:rFonts w:ascii="Times New Roman" w:hAnsi="Times New Roman"/>
              </w:rPr>
              <w:t>e</w:t>
            </w:r>
            <w:r w:rsidRPr="00420C1B">
              <w:rPr>
                <w:rFonts w:ascii="Times New Roman" w:hAnsi="Times New Roman"/>
                <w:spacing w:val="1"/>
              </w:rPr>
              <w:t>s</w:t>
            </w:r>
            <w:r w:rsidRPr="00420C1B">
              <w:rPr>
                <w:rFonts w:ascii="Times New Roman" w:hAnsi="Times New Roman"/>
                <w:spacing w:val="-2"/>
              </w:rPr>
              <w:t>p</w:t>
            </w:r>
            <w:r w:rsidRPr="00420C1B">
              <w:rPr>
                <w:rFonts w:ascii="Times New Roman" w:hAnsi="Times New Roman"/>
                <w:spacing w:val="1"/>
              </w:rPr>
              <w:t>ir</w:t>
            </w:r>
            <w:r w:rsidRPr="00420C1B">
              <w:rPr>
                <w:rFonts w:ascii="Times New Roman" w:hAnsi="Times New Roman"/>
                <w:spacing w:val="-4"/>
              </w:rPr>
              <w:t>a</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r</w:t>
            </w:r>
            <w:r w:rsidRPr="00420C1B">
              <w:rPr>
                <w:rFonts w:ascii="Times New Roman" w:hAnsi="Times New Roman"/>
              </w:rPr>
              <w:t>es</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4B66C30" w14:textId="77777777" w:rsidR="000705BE" w:rsidRPr="00420C1B" w:rsidRDefault="000705BE" w:rsidP="00E737B4">
            <w:pPr>
              <w:widowControl w:val="0"/>
              <w:tabs>
                <w:tab w:val="left" w:pos="0"/>
              </w:tabs>
              <w:spacing w:after="0" w:line="240" w:lineRule="auto"/>
              <w:ind w:left="105"/>
              <w:rPr>
                <w:rFonts w:ascii="Times New Roman" w:hAnsi="Times New Roman"/>
              </w:rPr>
            </w:pPr>
            <w:r w:rsidRPr="00420C1B">
              <w:rPr>
                <w:rFonts w:ascii="Times New Roman" w:hAnsi="Times New Roman"/>
              </w:rPr>
              <w:t>Fou</w:t>
            </w:r>
            <w:r w:rsidRPr="00420C1B">
              <w:rPr>
                <w:rFonts w:ascii="Times New Roman" w:hAnsi="Times New Roman"/>
                <w:spacing w:val="-2"/>
              </w:rPr>
              <w:t>i</w:t>
            </w:r>
            <w:r w:rsidRPr="00420C1B">
              <w:rPr>
                <w:rFonts w:ascii="Times New Roman" w:hAnsi="Times New Roman"/>
                <w:spacing w:val="1"/>
              </w:rPr>
              <w:t>ll</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2"/>
              </w:rPr>
              <w:t>e</w:t>
            </w:r>
            <w:r w:rsidRPr="00420C1B">
              <w:rPr>
                <w:rFonts w:ascii="Times New Roman" w:hAnsi="Times New Roman"/>
              </w:rPr>
              <w:t xml:space="preserve">t </w:t>
            </w:r>
            <w:r w:rsidRPr="00420C1B">
              <w:rPr>
                <w:rFonts w:ascii="Times New Roman" w:hAnsi="Times New Roman"/>
                <w:spacing w:val="-9"/>
              </w:rPr>
              <w:t>m</w:t>
            </w:r>
            <w:r w:rsidRPr="00420C1B">
              <w:rPr>
                <w:rFonts w:ascii="Times New Roman" w:hAnsi="Times New Roman"/>
              </w:rPr>
              <w:t>an</w:t>
            </w:r>
            <w:r w:rsidRPr="00420C1B">
              <w:rPr>
                <w:rFonts w:ascii="Times New Roman" w:hAnsi="Times New Roman"/>
                <w:spacing w:val="1"/>
              </w:rPr>
              <w:t>i</w:t>
            </w:r>
            <w:r w:rsidRPr="00420C1B">
              <w:rPr>
                <w:rFonts w:ascii="Times New Roman" w:hAnsi="Times New Roman"/>
              </w:rPr>
              <w:t>pu</w:t>
            </w:r>
            <w:r w:rsidRPr="00420C1B">
              <w:rPr>
                <w:rFonts w:ascii="Times New Roman" w:hAnsi="Times New Roman"/>
                <w:spacing w:val="1"/>
              </w:rPr>
              <w:t>l</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spacing w:val="1"/>
              </w:rPr>
              <w:t>i</w:t>
            </w:r>
            <w:r w:rsidRPr="00420C1B">
              <w:rPr>
                <w:rFonts w:ascii="Times New Roman" w:hAnsi="Times New Roman"/>
              </w:rPr>
              <w:t xml:space="preserve">on </w:t>
            </w:r>
            <w:r w:rsidRPr="00420C1B">
              <w:rPr>
                <w:rFonts w:ascii="Times New Roman" w:hAnsi="Times New Roman"/>
                <w:spacing w:val="1"/>
              </w:rPr>
              <w:t>d</w:t>
            </w:r>
            <w:r w:rsidRPr="00420C1B">
              <w:rPr>
                <w:rFonts w:ascii="Times New Roman" w:hAnsi="Times New Roman"/>
                <w:spacing w:val="-4"/>
              </w:rPr>
              <w:t>e</w:t>
            </w:r>
            <w:r w:rsidRPr="00420C1B">
              <w:rPr>
                <w:rFonts w:ascii="Times New Roman" w:hAnsi="Times New Roman"/>
              </w:rPr>
              <w:t xml:space="preserve">s </w:t>
            </w:r>
            <w:r w:rsidRPr="00420C1B">
              <w:rPr>
                <w:rFonts w:ascii="Times New Roman" w:hAnsi="Times New Roman"/>
                <w:spacing w:val="1"/>
              </w:rPr>
              <w:t>pr</w:t>
            </w:r>
            <w:r w:rsidRPr="00420C1B">
              <w:rPr>
                <w:rFonts w:ascii="Times New Roman" w:hAnsi="Times New Roman"/>
              </w:rPr>
              <w:t>o</w:t>
            </w:r>
            <w:r w:rsidRPr="00420C1B">
              <w:rPr>
                <w:rFonts w:ascii="Times New Roman" w:hAnsi="Times New Roman"/>
                <w:spacing w:val="-2"/>
              </w:rPr>
              <w:t>du</w:t>
            </w:r>
            <w:r w:rsidRPr="00420C1B">
              <w:rPr>
                <w:rFonts w:ascii="Times New Roman" w:hAnsi="Times New Roman"/>
                <w:spacing w:val="1"/>
              </w:rPr>
              <w:t xml:space="preserve">its </w:t>
            </w:r>
            <w:r w:rsidRPr="00420C1B">
              <w:rPr>
                <w:rFonts w:ascii="Times New Roman" w:hAnsi="Times New Roman"/>
              </w:rPr>
              <w:t>no</w:t>
            </w:r>
            <w:r w:rsidRPr="00420C1B">
              <w:rPr>
                <w:rFonts w:ascii="Times New Roman" w:hAnsi="Times New Roman"/>
                <w:spacing w:val="-2"/>
              </w:rPr>
              <w:t>c</w:t>
            </w:r>
            <w:r w:rsidRPr="00420C1B">
              <w:rPr>
                <w:rFonts w:ascii="Times New Roman" w:hAnsi="Times New Roman"/>
                <w:spacing w:val="1"/>
              </w:rPr>
              <w:t>if</w:t>
            </w:r>
            <w:r w:rsidRPr="00420C1B">
              <w:rPr>
                <w:rFonts w:ascii="Times New Roman" w:hAnsi="Times New Roman"/>
              </w:rPr>
              <w:t>s;</w:t>
            </w:r>
          </w:p>
          <w:p w14:paraId="4561561D" w14:textId="77777777" w:rsidR="000705BE" w:rsidRPr="00420C1B" w:rsidRDefault="000705BE" w:rsidP="00E737B4">
            <w:pPr>
              <w:widowControl w:val="0"/>
              <w:tabs>
                <w:tab w:val="left" w:pos="0"/>
              </w:tabs>
              <w:spacing w:after="0" w:line="240" w:lineRule="auto"/>
              <w:ind w:left="105" w:right="813"/>
              <w:rPr>
                <w:rFonts w:ascii="Times New Roman" w:hAnsi="Times New Roman"/>
                <w:sz w:val="24"/>
                <w:szCs w:val="24"/>
              </w:rPr>
            </w:pPr>
            <w:r w:rsidRPr="00420C1B">
              <w:rPr>
                <w:rFonts w:ascii="Times New Roman" w:hAnsi="Times New Roman"/>
                <w:spacing w:val="-1"/>
              </w:rPr>
              <w:t>C</w:t>
            </w:r>
            <w:r w:rsidRPr="00420C1B">
              <w:rPr>
                <w:rFonts w:ascii="Times New Roman" w:hAnsi="Times New Roman"/>
              </w:rPr>
              <w:t>ha</w:t>
            </w:r>
            <w:r w:rsidRPr="00420C1B">
              <w:rPr>
                <w:rFonts w:ascii="Times New Roman" w:hAnsi="Times New Roman"/>
                <w:spacing w:val="1"/>
              </w:rPr>
              <w:t>r</w:t>
            </w:r>
            <w:r w:rsidRPr="00420C1B">
              <w:rPr>
                <w:rFonts w:ascii="Times New Roman" w:hAnsi="Times New Roman"/>
                <w:spacing w:val="-5"/>
              </w:rPr>
              <w:t>g</w:t>
            </w:r>
            <w:r w:rsidRPr="00420C1B">
              <w:rPr>
                <w:rFonts w:ascii="Times New Roman" w:hAnsi="Times New Roman"/>
              </w:rPr>
              <w:t>e</w:t>
            </w:r>
            <w:r w:rsidRPr="00420C1B">
              <w:rPr>
                <w:rFonts w:ascii="Times New Roman" w:hAnsi="Times New Roman"/>
                <w:spacing w:val="-6"/>
              </w:rPr>
              <w:t>m</w:t>
            </w:r>
            <w:r w:rsidRPr="00420C1B">
              <w:rPr>
                <w:rFonts w:ascii="Times New Roman" w:hAnsi="Times New Roman"/>
              </w:rPr>
              <w:t xml:space="preserve">ent des </w:t>
            </w:r>
            <w:r w:rsidRPr="00420C1B">
              <w:rPr>
                <w:rFonts w:ascii="Times New Roman" w:hAnsi="Times New Roman"/>
                <w:spacing w:val="-5"/>
              </w:rPr>
              <w:t>g</w:t>
            </w:r>
            <w:r w:rsidRPr="00420C1B">
              <w:rPr>
                <w:rFonts w:ascii="Times New Roman" w:hAnsi="Times New Roman"/>
                <w:spacing w:val="1"/>
              </w:rPr>
              <w:t>r</w:t>
            </w:r>
            <w:r w:rsidRPr="00420C1B">
              <w:rPr>
                <w:rFonts w:ascii="Times New Roman" w:hAnsi="Times New Roman"/>
              </w:rPr>
              <w:t>a</w:t>
            </w:r>
            <w:r w:rsidRPr="00420C1B">
              <w:rPr>
                <w:rFonts w:ascii="Times New Roman" w:hAnsi="Times New Roman"/>
                <w:spacing w:val="-5"/>
              </w:rPr>
              <w:t>v</w:t>
            </w:r>
            <w:r w:rsidRPr="00420C1B">
              <w:rPr>
                <w:rFonts w:ascii="Times New Roman" w:hAnsi="Times New Roman"/>
                <w:spacing w:val="1"/>
              </w:rPr>
              <w:t>i</w:t>
            </w:r>
            <w:r w:rsidRPr="00420C1B">
              <w:rPr>
                <w:rFonts w:ascii="Times New Roman" w:hAnsi="Times New Roman"/>
              </w:rPr>
              <w:t>e</w:t>
            </w:r>
            <w:r w:rsidRPr="00420C1B">
              <w:rPr>
                <w:rFonts w:ascii="Times New Roman" w:hAnsi="Times New Roman"/>
                <w:spacing w:val="1"/>
              </w:rPr>
              <w:t>r</w:t>
            </w:r>
            <w:r w:rsidRPr="00420C1B">
              <w:rPr>
                <w:rFonts w:ascii="Times New Roman" w:hAnsi="Times New Roman"/>
              </w:rPr>
              <w:t xml:space="preserve">s </w:t>
            </w:r>
            <w:r w:rsidRPr="00420C1B">
              <w:rPr>
                <w:rFonts w:ascii="Times New Roman" w:hAnsi="Times New Roman"/>
                <w:spacing w:val="-2"/>
              </w:rPr>
              <w:t>e</w:t>
            </w:r>
            <w:r w:rsidRPr="00420C1B">
              <w:rPr>
                <w:rFonts w:ascii="Times New Roman" w:hAnsi="Times New Roman"/>
              </w:rPr>
              <w:t>t déch</w:t>
            </w:r>
            <w:r w:rsidRPr="00420C1B">
              <w:rPr>
                <w:rFonts w:ascii="Times New Roman" w:hAnsi="Times New Roman"/>
                <w:spacing w:val="-2"/>
              </w:rPr>
              <w:t>a</w:t>
            </w:r>
            <w:r w:rsidRPr="00420C1B">
              <w:rPr>
                <w:rFonts w:ascii="Times New Roman" w:hAnsi="Times New Roman"/>
                <w:spacing w:val="1"/>
              </w:rPr>
              <w:t>r</w:t>
            </w:r>
            <w:r w:rsidRPr="00420C1B">
              <w:rPr>
                <w:rFonts w:ascii="Times New Roman" w:hAnsi="Times New Roman"/>
                <w:spacing w:val="-5"/>
              </w:rPr>
              <w:t>g</w:t>
            </w:r>
            <w:r w:rsidRPr="00420C1B">
              <w:rPr>
                <w:rFonts w:ascii="Times New Roman" w:hAnsi="Times New Roman"/>
              </w:rPr>
              <w:t>e</w:t>
            </w:r>
            <w:r w:rsidRPr="00420C1B">
              <w:rPr>
                <w:rFonts w:ascii="Times New Roman" w:hAnsi="Times New Roman"/>
                <w:spacing w:val="-6"/>
              </w:rPr>
              <w:t>m</w:t>
            </w:r>
            <w:r w:rsidRPr="00420C1B">
              <w:rPr>
                <w:rFonts w:ascii="Times New Roman" w:hAnsi="Times New Roman"/>
              </w:rPr>
              <w:t>ent et d</w:t>
            </w:r>
            <w:r w:rsidRPr="00420C1B">
              <w:rPr>
                <w:rFonts w:ascii="Times New Roman" w:hAnsi="Times New Roman"/>
                <w:spacing w:val="-2"/>
              </w:rPr>
              <w:t>e</w:t>
            </w:r>
            <w:r w:rsidRPr="00420C1B">
              <w:rPr>
                <w:rFonts w:ascii="Times New Roman" w:hAnsi="Times New Roman"/>
              </w:rPr>
              <w:t xml:space="preserve">s </w:t>
            </w:r>
            <w:r w:rsidRPr="00420C1B">
              <w:rPr>
                <w:rFonts w:ascii="Times New Roman" w:hAnsi="Times New Roman"/>
                <w:spacing w:val="-6"/>
              </w:rPr>
              <w:t>m</w:t>
            </w:r>
            <w:r w:rsidRPr="00420C1B">
              <w:rPr>
                <w:rFonts w:ascii="Times New Roman" w:hAnsi="Times New Roman"/>
              </w:rPr>
              <w:t>a</w:t>
            </w:r>
            <w:r w:rsidRPr="00420C1B">
              <w:rPr>
                <w:rFonts w:ascii="Times New Roman" w:hAnsi="Times New Roman"/>
                <w:spacing w:val="2"/>
              </w:rPr>
              <w:t>t</w:t>
            </w:r>
            <w:r w:rsidRPr="00420C1B">
              <w:rPr>
                <w:rFonts w:ascii="Times New Roman" w:hAnsi="Times New Roman"/>
                <w:spacing w:val="-2"/>
              </w:rPr>
              <w:t>é</w:t>
            </w:r>
            <w:r w:rsidRPr="00420C1B">
              <w:rPr>
                <w:rFonts w:ascii="Times New Roman" w:hAnsi="Times New Roman"/>
                <w:spacing w:val="1"/>
              </w:rPr>
              <w:t>r</w:t>
            </w:r>
            <w:r w:rsidRPr="00420C1B">
              <w:rPr>
                <w:rFonts w:ascii="Times New Roman" w:hAnsi="Times New Roman"/>
                <w:spacing w:val="-1"/>
              </w:rPr>
              <w:t>i</w:t>
            </w:r>
            <w:r w:rsidRPr="00420C1B">
              <w:rPr>
                <w:rFonts w:ascii="Times New Roman" w:hAnsi="Times New Roman"/>
              </w:rPr>
              <w:t>aux</w:t>
            </w:r>
          </w:p>
        </w:tc>
      </w:tr>
      <w:tr w:rsidR="00D75D2E" w:rsidRPr="00420C1B" w14:paraId="27224E6A" w14:textId="77777777" w:rsidTr="00E737B4">
        <w:trPr>
          <w:trHeight w:hRule="exact" w:val="1136"/>
        </w:trPr>
        <w:tc>
          <w:tcPr>
            <w:tcW w:w="1984" w:type="dxa"/>
            <w:tcBorders>
              <w:top w:val="single" w:sz="4" w:space="0" w:color="000000"/>
              <w:left w:val="single" w:sz="4" w:space="0" w:color="000000"/>
              <w:bottom w:val="single" w:sz="4" w:space="0" w:color="000000"/>
              <w:right w:val="single" w:sz="4" w:space="0" w:color="000000"/>
            </w:tcBorders>
          </w:tcPr>
          <w:p w14:paraId="7C43D4F8" w14:textId="77777777" w:rsidR="000705BE" w:rsidRPr="00420C1B" w:rsidRDefault="000705BE" w:rsidP="00F27714">
            <w:pPr>
              <w:widowControl w:val="0"/>
              <w:tabs>
                <w:tab w:val="left" w:pos="0"/>
              </w:tabs>
              <w:spacing w:after="0" w:line="240" w:lineRule="auto"/>
              <w:jc w:val="both"/>
              <w:rPr>
                <w:rFonts w:ascii="Times New Roman" w:hAnsi="Times New Roman"/>
                <w:sz w:val="14"/>
                <w:szCs w:val="14"/>
              </w:rPr>
            </w:pPr>
          </w:p>
          <w:p w14:paraId="514E2022" w14:textId="5501D222" w:rsidR="000705BE" w:rsidRPr="00420C1B" w:rsidRDefault="002C66D7" w:rsidP="00F27714">
            <w:pPr>
              <w:widowControl w:val="0"/>
              <w:tabs>
                <w:tab w:val="left" w:pos="0"/>
              </w:tabs>
              <w:spacing w:after="0" w:line="240" w:lineRule="auto"/>
              <w:ind w:left="315"/>
              <w:jc w:val="both"/>
              <w:rPr>
                <w:rFonts w:ascii="Times New Roman" w:hAnsi="Times New Roman"/>
                <w:sz w:val="20"/>
                <w:szCs w:val="20"/>
              </w:rPr>
            </w:pPr>
            <w:r w:rsidRPr="00EC5A8E">
              <w:rPr>
                <w:noProof/>
                <w:lang w:eastAsia="fr-FR"/>
              </w:rPr>
              <w:drawing>
                <wp:inline distT="0" distB="0" distL="0" distR="0" wp14:anchorId="0160546B" wp14:editId="144C7A70">
                  <wp:extent cx="590550" cy="628650"/>
                  <wp:effectExtent l="0" t="0" r="0" b="0"/>
                  <wp:docPr id="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14:paraId="3D33A3E0"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012294F5"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 xml:space="preserve">Port </w:t>
            </w:r>
            <w:r w:rsidRPr="00420C1B">
              <w:rPr>
                <w:rFonts w:ascii="Times New Roman" w:hAnsi="Times New Roman"/>
                <w:spacing w:val="-5"/>
              </w:rPr>
              <w:t>o</w:t>
            </w:r>
            <w:r w:rsidRPr="00420C1B">
              <w:rPr>
                <w:rFonts w:ascii="Times New Roman" w:hAnsi="Times New Roman"/>
                <w:spacing w:val="-2"/>
              </w:rPr>
              <w:t>b</w:t>
            </w:r>
            <w:r w:rsidRPr="00420C1B">
              <w:rPr>
                <w:rFonts w:ascii="Times New Roman" w:hAnsi="Times New Roman"/>
                <w:spacing w:val="1"/>
              </w:rPr>
              <w:t>li</w:t>
            </w:r>
            <w:r w:rsidRPr="00420C1B">
              <w:rPr>
                <w:rFonts w:ascii="Times New Roman" w:hAnsi="Times New Roman"/>
                <w:spacing w:val="-5"/>
              </w:rPr>
              <w:t>g</w:t>
            </w:r>
            <w:r w:rsidRPr="00420C1B">
              <w:rPr>
                <w:rFonts w:ascii="Times New Roman" w:hAnsi="Times New Roman"/>
              </w:rPr>
              <w:t>a</w:t>
            </w:r>
            <w:r w:rsidRPr="00420C1B">
              <w:rPr>
                <w:rFonts w:ascii="Times New Roman" w:hAnsi="Times New Roman"/>
                <w:spacing w:val="1"/>
              </w:rPr>
              <w:t>t</w:t>
            </w:r>
            <w:r w:rsidRPr="00420C1B">
              <w:rPr>
                <w:rFonts w:ascii="Times New Roman" w:hAnsi="Times New Roman"/>
              </w:rPr>
              <w:t>o</w:t>
            </w:r>
            <w:r w:rsidRPr="00420C1B">
              <w:rPr>
                <w:rFonts w:ascii="Times New Roman" w:hAnsi="Times New Roman"/>
                <w:spacing w:val="1"/>
              </w:rPr>
              <w:t>i</w:t>
            </w:r>
            <w:r w:rsidRPr="00420C1B">
              <w:rPr>
                <w:rFonts w:ascii="Times New Roman" w:hAnsi="Times New Roman"/>
                <w:spacing w:val="-2"/>
              </w:rPr>
              <w:t>r</w:t>
            </w:r>
            <w:r w:rsidRPr="00420C1B">
              <w:rPr>
                <w:rFonts w:ascii="Times New Roman" w:hAnsi="Times New Roman"/>
              </w:rPr>
              <w:t>e d</w:t>
            </w:r>
            <w:r w:rsidRPr="00420C1B">
              <w:rPr>
                <w:rFonts w:ascii="Times New Roman" w:hAnsi="Times New Roman"/>
                <w:spacing w:val="-6"/>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spacing w:val="-2"/>
              </w:rPr>
              <w:t>e</w:t>
            </w:r>
            <w:r w:rsidRPr="00420C1B">
              <w:rPr>
                <w:rFonts w:ascii="Times New Roman" w:hAnsi="Times New Roman"/>
              </w:rPr>
              <w:t>nt de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w:t>
            </w:r>
            <w:r w:rsidRPr="00420C1B">
              <w:rPr>
                <w:rFonts w:ascii="Times New Roman" w:hAnsi="Times New Roman"/>
                <w:spacing w:val="-2"/>
              </w:rPr>
              <w:t xml:space="preserve"> d</w:t>
            </w:r>
            <w:r w:rsidRPr="00420C1B">
              <w:rPr>
                <w:rFonts w:ascii="Times New Roman" w:hAnsi="Times New Roman"/>
              </w:rPr>
              <w:t xml:space="preserve">es </w:t>
            </w:r>
            <w:r w:rsidRPr="00420C1B">
              <w:rPr>
                <w:rFonts w:ascii="Times New Roman" w:hAnsi="Times New Roman"/>
                <w:spacing w:val="-5"/>
              </w:rPr>
              <w:t>y</w:t>
            </w:r>
            <w:r w:rsidRPr="00420C1B">
              <w:rPr>
                <w:rFonts w:ascii="Times New Roman" w:hAnsi="Times New Roman"/>
              </w:rPr>
              <w:t>eux</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26B9208B"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rPr>
              <w:t>Fou</w:t>
            </w:r>
            <w:r w:rsidRPr="00420C1B">
              <w:rPr>
                <w:rFonts w:ascii="Times New Roman" w:hAnsi="Times New Roman"/>
                <w:spacing w:val="-2"/>
              </w:rPr>
              <w:t>i</w:t>
            </w:r>
            <w:r w:rsidRPr="00420C1B">
              <w:rPr>
                <w:rFonts w:ascii="Times New Roman" w:hAnsi="Times New Roman"/>
                <w:spacing w:val="1"/>
              </w:rPr>
              <w:t>ll</w:t>
            </w:r>
            <w:r w:rsidRPr="00420C1B">
              <w:rPr>
                <w:rFonts w:ascii="Times New Roman" w:hAnsi="Times New Roman"/>
                <w:spacing w:val="-2"/>
              </w:rPr>
              <w:t>e</w:t>
            </w:r>
            <w:r w:rsidRPr="00420C1B">
              <w:rPr>
                <w:rFonts w:ascii="Times New Roman" w:hAnsi="Times New Roman"/>
              </w:rPr>
              <w:t>s,</w:t>
            </w:r>
            <w:r w:rsidRPr="00420C1B">
              <w:rPr>
                <w:rFonts w:ascii="Times New Roman" w:hAnsi="Times New Roman"/>
                <w:spacing w:val="-6"/>
              </w:rPr>
              <w:t xml:space="preserve"> </w:t>
            </w:r>
            <w:r w:rsidRPr="00420C1B">
              <w:rPr>
                <w:rFonts w:ascii="Times New Roman" w:hAnsi="Times New Roman"/>
              </w:rPr>
              <w:t>ma</w:t>
            </w:r>
            <w:r w:rsidRPr="00420C1B">
              <w:rPr>
                <w:rFonts w:ascii="Times New Roman" w:hAnsi="Times New Roman"/>
                <w:spacing w:val="1"/>
              </w:rPr>
              <w:t>n</w:t>
            </w:r>
            <w:r w:rsidRPr="00420C1B">
              <w:rPr>
                <w:rFonts w:ascii="Times New Roman" w:hAnsi="Times New Roman"/>
              </w:rPr>
              <w:t>ip</w:t>
            </w:r>
            <w:r w:rsidRPr="00420C1B">
              <w:rPr>
                <w:rFonts w:ascii="Times New Roman" w:hAnsi="Times New Roman"/>
                <w:spacing w:val="-1"/>
              </w:rPr>
              <w:t>u</w:t>
            </w:r>
            <w:r w:rsidRPr="00420C1B">
              <w:rPr>
                <w:rFonts w:ascii="Times New Roman" w:hAnsi="Times New Roman"/>
                <w:spacing w:val="-2"/>
              </w:rPr>
              <w:t>l</w:t>
            </w:r>
            <w:r w:rsidRPr="00420C1B">
              <w:rPr>
                <w:rFonts w:ascii="Times New Roman" w:hAnsi="Times New Roman"/>
                <w:spacing w:val="1"/>
              </w:rPr>
              <w:t>at</w:t>
            </w:r>
            <w:r w:rsidRPr="00420C1B">
              <w:rPr>
                <w:rFonts w:ascii="Times New Roman" w:hAnsi="Times New Roman"/>
              </w:rPr>
              <w:t xml:space="preserve">ion </w:t>
            </w:r>
            <w:r w:rsidRPr="00420C1B">
              <w:rPr>
                <w:rFonts w:ascii="Times New Roman" w:hAnsi="Times New Roman"/>
                <w:spacing w:val="-2"/>
              </w:rPr>
              <w:t>de</w:t>
            </w:r>
            <w:r w:rsidRPr="00420C1B">
              <w:rPr>
                <w:rFonts w:ascii="Times New Roman" w:hAnsi="Times New Roman"/>
              </w:rPr>
              <w:t xml:space="preserve">s </w:t>
            </w:r>
            <w:r w:rsidRPr="00420C1B">
              <w:rPr>
                <w:rFonts w:ascii="Times New Roman" w:hAnsi="Times New Roman"/>
                <w:spacing w:val="1"/>
              </w:rPr>
              <w:t>p</w:t>
            </w:r>
            <w:r w:rsidRPr="00420C1B">
              <w:rPr>
                <w:rFonts w:ascii="Times New Roman" w:hAnsi="Times New Roman"/>
              </w:rPr>
              <w:t>ro</w:t>
            </w:r>
            <w:r w:rsidRPr="00420C1B">
              <w:rPr>
                <w:rFonts w:ascii="Times New Roman" w:hAnsi="Times New Roman"/>
                <w:spacing w:val="-2"/>
              </w:rPr>
              <w:t>d</w:t>
            </w:r>
            <w:r w:rsidRPr="00420C1B">
              <w:rPr>
                <w:rFonts w:ascii="Times New Roman" w:hAnsi="Times New Roman"/>
                <w:spacing w:val="-1"/>
              </w:rPr>
              <w:t>u</w:t>
            </w:r>
            <w:r w:rsidRPr="00420C1B">
              <w:rPr>
                <w:rFonts w:ascii="Times New Roman" w:hAnsi="Times New Roman"/>
                <w:spacing w:val="1"/>
              </w:rPr>
              <w:t>i</w:t>
            </w:r>
            <w:r w:rsidRPr="00420C1B">
              <w:rPr>
                <w:rFonts w:ascii="Times New Roman" w:hAnsi="Times New Roman"/>
              </w:rPr>
              <w:t>ts no</w:t>
            </w:r>
            <w:r w:rsidRPr="00420C1B">
              <w:rPr>
                <w:rFonts w:ascii="Times New Roman" w:hAnsi="Times New Roman"/>
                <w:spacing w:val="-2"/>
              </w:rPr>
              <w:t>c</w:t>
            </w:r>
            <w:r w:rsidRPr="00420C1B">
              <w:rPr>
                <w:rFonts w:ascii="Times New Roman" w:hAnsi="Times New Roman"/>
                <w:spacing w:val="1"/>
              </w:rPr>
              <w:t xml:space="preserve">ifs, travaux de repiquage des surfaces, travaux de soudure, </w:t>
            </w:r>
          </w:p>
        </w:tc>
      </w:tr>
      <w:tr w:rsidR="00D75D2E" w:rsidRPr="00420C1B" w14:paraId="32363DD1" w14:textId="77777777" w:rsidTr="00E737B4">
        <w:trPr>
          <w:trHeight w:hRule="exact" w:val="1124"/>
        </w:trPr>
        <w:tc>
          <w:tcPr>
            <w:tcW w:w="1984" w:type="dxa"/>
            <w:tcBorders>
              <w:top w:val="single" w:sz="4" w:space="0" w:color="000000"/>
              <w:left w:val="single" w:sz="4" w:space="0" w:color="000000"/>
              <w:bottom w:val="single" w:sz="4" w:space="0" w:color="000000"/>
              <w:right w:val="single" w:sz="4" w:space="0" w:color="000000"/>
            </w:tcBorders>
          </w:tcPr>
          <w:p w14:paraId="6A26F649" w14:textId="77777777" w:rsidR="000705BE" w:rsidRPr="00420C1B" w:rsidRDefault="000705BE" w:rsidP="00F27714">
            <w:pPr>
              <w:widowControl w:val="0"/>
              <w:tabs>
                <w:tab w:val="left" w:pos="0"/>
              </w:tabs>
              <w:spacing w:after="0" w:line="240" w:lineRule="auto"/>
              <w:jc w:val="both"/>
              <w:rPr>
                <w:rFonts w:ascii="Times New Roman" w:hAnsi="Times New Roman"/>
                <w:sz w:val="10"/>
                <w:szCs w:val="10"/>
              </w:rPr>
            </w:pPr>
          </w:p>
          <w:p w14:paraId="73C3326F" w14:textId="570365B9" w:rsidR="000705BE" w:rsidRPr="00420C1B" w:rsidRDefault="002C66D7" w:rsidP="00F27714">
            <w:pPr>
              <w:widowControl w:val="0"/>
              <w:tabs>
                <w:tab w:val="left" w:pos="0"/>
              </w:tabs>
              <w:spacing w:after="0" w:line="240" w:lineRule="auto"/>
              <w:ind w:left="344"/>
              <w:jc w:val="both"/>
              <w:rPr>
                <w:rFonts w:ascii="Times New Roman" w:hAnsi="Times New Roman"/>
                <w:sz w:val="20"/>
                <w:szCs w:val="20"/>
              </w:rPr>
            </w:pPr>
            <w:r w:rsidRPr="00EC5A8E">
              <w:rPr>
                <w:noProof/>
                <w:lang w:eastAsia="fr-FR"/>
              </w:rPr>
              <w:drawing>
                <wp:inline distT="0" distB="0" distL="0" distR="0" wp14:anchorId="48679514" wp14:editId="1C8C8CD4">
                  <wp:extent cx="647700" cy="657225"/>
                  <wp:effectExtent l="0" t="0" r="0" b="9525"/>
                  <wp:docPr id="1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p w14:paraId="2272C1AA"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277C5B9E"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Port</w:t>
            </w:r>
            <w:r w:rsidRPr="00420C1B">
              <w:rPr>
                <w:rFonts w:ascii="Times New Roman" w:hAnsi="Times New Roman"/>
                <w:spacing w:val="-5"/>
              </w:rPr>
              <w:t xml:space="preserve"> </w:t>
            </w:r>
            <w:r w:rsidRPr="00420C1B">
              <w:rPr>
                <w:rFonts w:ascii="Times New Roman" w:hAnsi="Times New Roman"/>
                <w:spacing w:val="-2"/>
              </w:rPr>
              <w:t>o</w:t>
            </w:r>
            <w:r w:rsidRPr="00420C1B">
              <w:rPr>
                <w:rFonts w:ascii="Times New Roman" w:hAnsi="Times New Roman"/>
                <w:spacing w:val="1"/>
              </w:rPr>
              <w:t>b</w:t>
            </w:r>
            <w:r w:rsidRPr="00420C1B">
              <w:rPr>
                <w:rFonts w:ascii="Times New Roman" w:hAnsi="Times New Roman"/>
                <w:spacing w:val="3"/>
              </w:rPr>
              <w:t>l</w:t>
            </w:r>
            <w:r w:rsidRPr="00420C1B">
              <w:rPr>
                <w:rFonts w:ascii="Times New Roman" w:hAnsi="Times New Roman"/>
                <w:spacing w:val="-5"/>
              </w:rPr>
              <w:t>i</w:t>
            </w:r>
            <w:r w:rsidRPr="00420C1B">
              <w:rPr>
                <w:rFonts w:ascii="Times New Roman" w:hAnsi="Times New Roman"/>
              </w:rPr>
              <w:t>g</w:t>
            </w:r>
            <w:r w:rsidRPr="00420C1B">
              <w:rPr>
                <w:rFonts w:ascii="Times New Roman" w:hAnsi="Times New Roman"/>
                <w:spacing w:val="1"/>
              </w:rPr>
              <w:t>a</w:t>
            </w:r>
            <w:r w:rsidRPr="00420C1B">
              <w:rPr>
                <w:rFonts w:ascii="Times New Roman" w:hAnsi="Times New Roman"/>
                <w:spacing w:val="-2"/>
              </w:rPr>
              <w:t>t</w:t>
            </w:r>
            <w:r w:rsidRPr="00420C1B">
              <w:rPr>
                <w:rFonts w:ascii="Times New Roman" w:hAnsi="Times New Roman"/>
                <w:spacing w:val="1"/>
              </w:rPr>
              <w:t>oi</w:t>
            </w:r>
            <w:r w:rsidRPr="00420C1B">
              <w:rPr>
                <w:rFonts w:ascii="Times New Roman" w:hAnsi="Times New Roman"/>
              </w:rPr>
              <w:t>re d</w:t>
            </w:r>
            <w:r w:rsidRPr="00420C1B">
              <w:rPr>
                <w:rFonts w:ascii="Times New Roman" w:hAnsi="Times New Roman"/>
                <w:spacing w:val="-6"/>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spacing w:val="-2"/>
              </w:rPr>
              <w:t>e</w:t>
            </w:r>
            <w:r w:rsidRPr="00420C1B">
              <w:rPr>
                <w:rFonts w:ascii="Times New Roman" w:hAnsi="Times New Roman"/>
              </w:rPr>
              <w:t>nt de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w:t>
            </w:r>
            <w:r w:rsidRPr="00420C1B">
              <w:rPr>
                <w:rFonts w:ascii="Times New Roman" w:hAnsi="Times New Roman"/>
                <w:spacing w:val="-2"/>
              </w:rPr>
              <w:t xml:space="preserve"> p</w:t>
            </w:r>
            <w:r w:rsidRPr="00420C1B">
              <w:rPr>
                <w:rFonts w:ascii="Times New Roman" w:hAnsi="Times New Roman"/>
              </w:rPr>
              <w:t>our p</w:t>
            </w:r>
            <w:r w:rsidRPr="00420C1B">
              <w:rPr>
                <w:rFonts w:ascii="Times New Roman" w:hAnsi="Times New Roman"/>
                <w:spacing w:val="-1"/>
              </w:rPr>
              <w:t>i</w:t>
            </w:r>
            <w:r w:rsidRPr="00420C1B">
              <w:rPr>
                <w:rFonts w:ascii="Times New Roman" w:hAnsi="Times New Roman"/>
                <w:spacing w:val="-2"/>
              </w:rPr>
              <w:t>é</w:t>
            </w:r>
            <w:r w:rsidRPr="00420C1B">
              <w:rPr>
                <w:rFonts w:ascii="Times New Roman" w:hAnsi="Times New Roman"/>
                <w:spacing w:val="1"/>
              </w:rPr>
              <w:t>t</w:t>
            </w:r>
            <w:r w:rsidRPr="00420C1B">
              <w:rPr>
                <w:rFonts w:ascii="Times New Roman" w:hAnsi="Times New Roman"/>
              </w:rPr>
              <w:t>on</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68D39377" w14:textId="77777777" w:rsidR="000705BE" w:rsidRPr="00420C1B" w:rsidRDefault="000705BE" w:rsidP="00E737B4">
            <w:pPr>
              <w:widowControl w:val="0"/>
              <w:tabs>
                <w:tab w:val="left" w:pos="0"/>
              </w:tabs>
              <w:spacing w:after="0" w:line="240" w:lineRule="auto"/>
              <w:ind w:left="105"/>
              <w:rPr>
                <w:rFonts w:ascii="Times New Roman" w:hAnsi="Times New Roman"/>
              </w:rPr>
            </w:pPr>
            <w:r w:rsidRPr="00420C1B">
              <w:rPr>
                <w:rFonts w:ascii="Times New Roman" w:hAnsi="Times New Roman"/>
                <w:spacing w:val="-1"/>
              </w:rPr>
              <w:t>C</w:t>
            </w:r>
            <w:r w:rsidRPr="00420C1B">
              <w:rPr>
                <w:rFonts w:ascii="Times New Roman" w:hAnsi="Times New Roman"/>
              </w:rPr>
              <w:t>ou</w:t>
            </w:r>
            <w:r w:rsidRPr="00420C1B">
              <w:rPr>
                <w:rFonts w:ascii="Times New Roman" w:hAnsi="Times New Roman"/>
                <w:spacing w:val="1"/>
              </w:rPr>
              <w:t>l</w:t>
            </w:r>
            <w:r w:rsidRPr="00420C1B">
              <w:rPr>
                <w:rFonts w:ascii="Times New Roman" w:hAnsi="Times New Roman"/>
                <w:spacing w:val="-2"/>
              </w:rPr>
              <w:t>o</w:t>
            </w:r>
            <w:r w:rsidRPr="00420C1B">
              <w:rPr>
                <w:rFonts w:ascii="Times New Roman" w:hAnsi="Times New Roman"/>
                <w:spacing w:val="1"/>
              </w:rPr>
              <w:t>i</w:t>
            </w:r>
            <w:r w:rsidRPr="00420C1B">
              <w:rPr>
                <w:rFonts w:ascii="Times New Roman" w:hAnsi="Times New Roman"/>
              </w:rPr>
              <w:t xml:space="preserve">r </w:t>
            </w:r>
            <w:r w:rsidRPr="00420C1B">
              <w:rPr>
                <w:rFonts w:ascii="Times New Roman" w:hAnsi="Times New Roman"/>
                <w:spacing w:val="-2"/>
              </w:rPr>
              <w:t>p</w:t>
            </w:r>
            <w:r w:rsidRPr="00420C1B">
              <w:rPr>
                <w:rFonts w:ascii="Times New Roman" w:hAnsi="Times New Roman"/>
                <w:spacing w:val="1"/>
              </w:rPr>
              <w:t>i</w:t>
            </w:r>
            <w:r w:rsidRPr="00420C1B">
              <w:rPr>
                <w:rFonts w:ascii="Times New Roman" w:hAnsi="Times New Roman"/>
                <w:spacing w:val="-2"/>
              </w:rPr>
              <w:t>é</w:t>
            </w:r>
            <w:r w:rsidRPr="00420C1B">
              <w:rPr>
                <w:rFonts w:ascii="Times New Roman" w:hAnsi="Times New Roman"/>
                <w:spacing w:val="1"/>
              </w:rPr>
              <w:t>t</w:t>
            </w:r>
            <w:r w:rsidRPr="00420C1B">
              <w:rPr>
                <w:rFonts w:ascii="Times New Roman" w:hAnsi="Times New Roman"/>
                <w:spacing w:val="-2"/>
              </w:rPr>
              <w:t>o</w:t>
            </w:r>
            <w:r w:rsidRPr="00420C1B">
              <w:rPr>
                <w:rFonts w:ascii="Times New Roman" w:hAnsi="Times New Roman"/>
              </w:rPr>
              <w:t xml:space="preserve">n </w:t>
            </w:r>
            <w:r w:rsidRPr="00420C1B">
              <w:rPr>
                <w:rFonts w:ascii="Times New Roman" w:hAnsi="Times New Roman"/>
                <w:spacing w:val="1"/>
              </w:rPr>
              <w:t>l</w:t>
            </w:r>
            <w:r w:rsidRPr="00420C1B">
              <w:rPr>
                <w:rFonts w:ascii="Times New Roman" w:hAnsi="Times New Roman"/>
              </w:rPr>
              <w:t>o</w:t>
            </w:r>
            <w:r w:rsidRPr="00420C1B">
              <w:rPr>
                <w:rFonts w:ascii="Times New Roman" w:hAnsi="Times New Roman"/>
                <w:spacing w:val="1"/>
              </w:rPr>
              <w:t>r</w:t>
            </w:r>
            <w:r w:rsidRPr="00420C1B">
              <w:rPr>
                <w:rFonts w:ascii="Times New Roman" w:hAnsi="Times New Roman"/>
              </w:rPr>
              <w:t>s</w:t>
            </w:r>
            <w:r w:rsidRPr="00420C1B">
              <w:rPr>
                <w:rFonts w:ascii="Times New Roman" w:hAnsi="Times New Roman"/>
                <w:spacing w:val="-2"/>
              </w:rPr>
              <w:t xml:space="preserve"> d</w:t>
            </w:r>
            <w:r w:rsidRPr="00420C1B">
              <w:rPr>
                <w:rFonts w:ascii="Times New Roman" w:hAnsi="Times New Roman"/>
              </w:rPr>
              <w:t xml:space="preserve">e </w:t>
            </w:r>
            <w:r w:rsidRPr="00420C1B">
              <w:rPr>
                <w:rFonts w:ascii="Times New Roman" w:hAnsi="Times New Roman"/>
                <w:spacing w:val="1"/>
              </w:rPr>
              <w:t>l</w:t>
            </w:r>
            <w:r w:rsidRPr="00420C1B">
              <w:rPr>
                <w:rFonts w:ascii="Times New Roman" w:hAnsi="Times New Roman"/>
              </w:rPr>
              <w:t>a</w:t>
            </w:r>
            <w:r w:rsidRPr="00420C1B">
              <w:rPr>
                <w:rFonts w:ascii="Times New Roman" w:hAnsi="Times New Roman"/>
                <w:spacing w:val="-5"/>
              </w:rPr>
              <w:t xml:space="preserve"> </w:t>
            </w:r>
            <w:r w:rsidRPr="00420C1B">
              <w:rPr>
                <w:rFonts w:ascii="Times New Roman" w:hAnsi="Times New Roman"/>
                <w:spacing w:val="1"/>
              </w:rPr>
              <w:t>v</w:t>
            </w:r>
            <w:r w:rsidRPr="00420C1B">
              <w:rPr>
                <w:rFonts w:ascii="Times New Roman" w:hAnsi="Times New Roman"/>
                <w:spacing w:val="-2"/>
              </w:rPr>
              <w:t>i</w:t>
            </w:r>
            <w:r w:rsidRPr="00420C1B">
              <w:rPr>
                <w:rFonts w:ascii="Times New Roman" w:hAnsi="Times New Roman"/>
                <w:spacing w:val="1"/>
              </w:rPr>
              <w:t>si</w:t>
            </w:r>
            <w:r w:rsidRPr="00420C1B">
              <w:rPr>
                <w:rFonts w:ascii="Times New Roman" w:hAnsi="Times New Roman"/>
              </w:rPr>
              <w:t>te du</w:t>
            </w:r>
          </w:p>
          <w:p w14:paraId="17CD189F"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rPr>
              <w:t>Cha</w:t>
            </w:r>
            <w:r w:rsidRPr="00420C1B">
              <w:rPr>
                <w:rFonts w:ascii="Times New Roman" w:hAnsi="Times New Roman"/>
                <w:spacing w:val="-2"/>
              </w:rPr>
              <w:t>n</w:t>
            </w:r>
            <w:r w:rsidRPr="00420C1B">
              <w:rPr>
                <w:rFonts w:ascii="Times New Roman" w:hAnsi="Times New Roman"/>
                <w:spacing w:val="1"/>
              </w:rPr>
              <w:t>ti</w:t>
            </w:r>
            <w:r w:rsidRPr="00420C1B">
              <w:rPr>
                <w:rFonts w:ascii="Times New Roman" w:hAnsi="Times New Roman"/>
                <w:spacing w:val="-4"/>
              </w:rPr>
              <w:t>e</w:t>
            </w:r>
            <w:r w:rsidRPr="00420C1B">
              <w:rPr>
                <w:rFonts w:ascii="Times New Roman" w:hAnsi="Times New Roman"/>
              </w:rPr>
              <w:t>r</w:t>
            </w:r>
          </w:p>
        </w:tc>
      </w:tr>
      <w:tr w:rsidR="000705BE" w:rsidRPr="00420C1B" w14:paraId="68F0CC07" w14:textId="77777777" w:rsidTr="00215867">
        <w:trPr>
          <w:trHeight w:hRule="exact" w:val="1030"/>
        </w:trPr>
        <w:tc>
          <w:tcPr>
            <w:tcW w:w="1984" w:type="dxa"/>
            <w:tcBorders>
              <w:top w:val="single" w:sz="4" w:space="0" w:color="000000"/>
              <w:left w:val="single" w:sz="4" w:space="0" w:color="000000"/>
              <w:bottom w:val="single" w:sz="4" w:space="0" w:color="000000"/>
              <w:right w:val="single" w:sz="4" w:space="0" w:color="000000"/>
            </w:tcBorders>
          </w:tcPr>
          <w:p w14:paraId="65EE3B4A" w14:textId="511E346F" w:rsidR="000705BE" w:rsidRPr="00420C1B" w:rsidRDefault="002C66D7" w:rsidP="00F27714">
            <w:pPr>
              <w:widowControl w:val="0"/>
              <w:tabs>
                <w:tab w:val="left" w:pos="0"/>
              </w:tabs>
              <w:spacing w:after="0" w:line="240" w:lineRule="auto"/>
              <w:ind w:left="361"/>
              <w:jc w:val="both"/>
              <w:rPr>
                <w:rFonts w:ascii="Times New Roman" w:hAnsi="Times New Roman"/>
                <w:sz w:val="20"/>
                <w:szCs w:val="20"/>
              </w:rPr>
            </w:pPr>
            <w:r w:rsidRPr="00EC5A8E">
              <w:rPr>
                <w:noProof/>
                <w:lang w:eastAsia="fr-FR"/>
              </w:rPr>
              <w:drawing>
                <wp:inline distT="0" distB="0" distL="0" distR="0" wp14:anchorId="795E827C" wp14:editId="60986316">
                  <wp:extent cx="628650" cy="590550"/>
                  <wp:effectExtent l="0" t="0" r="0" b="0"/>
                  <wp:docPr id="1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7F6560D8" w14:textId="77777777" w:rsidR="000705BE" w:rsidRPr="00420C1B" w:rsidRDefault="000705BE" w:rsidP="00F27714">
            <w:pPr>
              <w:widowControl w:val="0"/>
              <w:tabs>
                <w:tab w:val="left" w:pos="0"/>
              </w:tabs>
              <w:spacing w:after="0" w:line="240" w:lineRule="auto"/>
              <w:jc w:val="both"/>
              <w:rPr>
                <w:rFonts w:ascii="Times New Roman" w:hAnsi="Times New Roman"/>
                <w:sz w:val="24"/>
                <w:szCs w:val="24"/>
              </w:rPr>
            </w:pPr>
          </w:p>
        </w:tc>
        <w:tc>
          <w:tcPr>
            <w:tcW w:w="3409" w:type="dxa"/>
            <w:tcBorders>
              <w:top w:val="single" w:sz="4" w:space="0" w:color="000000"/>
              <w:left w:val="single" w:sz="4" w:space="0" w:color="000000"/>
              <w:bottom w:val="single" w:sz="4" w:space="0" w:color="000000"/>
              <w:right w:val="single" w:sz="4" w:space="0" w:color="000000"/>
            </w:tcBorders>
            <w:vAlign w:val="center"/>
            <w:hideMark/>
          </w:tcPr>
          <w:p w14:paraId="6F412BF0" w14:textId="77777777" w:rsidR="000705BE" w:rsidRPr="00420C1B" w:rsidRDefault="000705BE" w:rsidP="00E737B4">
            <w:pPr>
              <w:widowControl w:val="0"/>
              <w:tabs>
                <w:tab w:val="left" w:pos="0"/>
              </w:tabs>
              <w:spacing w:after="0" w:line="240" w:lineRule="auto"/>
              <w:ind w:left="102"/>
              <w:rPr>
                <w:rFonts w:ascii="Times New Roman" w:hAnsi="Times New Roman"/>
                <w:sz w:val="24"/>
                <w:szCs w:val="24"/>
              </w:rPr>
            </w:pPr>
            <w:r w:rsidRPr="00420C1B">
              <w:rPr>
                <w:rFonts w:ascii="Times New Roman" w:hAnsi="Times New Roman"/>
              </w:rPr>
              <w:t>Port</w:t>
            </w:r>
            <w:r w:rsidRPr="00420C1B">
              <w:rPr>
                <w:rFonts w:ascii="Times New Roman" w:hAnsi="Times New Roman"/>
                <w:spacing w:val="-5"/>
              </w:rPr>
              <w:t xml:space="preserve"> </w:t>
            </w:r>
            <w:r w:rsidRPr="00420C1B">
              <w:rPr>
                <w:rFonts w:ascii="Times New Roman" w:hAnsi="Times New Roman"/>
                <w:spacing w:val="-2"/>
              </w:rPr>
              <w:t>o</w:t>
            </w:r>
            <w:r w:rsidRPr="00420C1B">
              <w:rPr>
                <w:rFonts w:ascii="Times New Roman" w:hAnsi="Times New Roman"/>
                <w:spacing w:val="1"/>
              </w:rPr>
              <w:t>bl</w:t>
            </w:r>
            <w:r w:rsidRPr="00420C1B">
              <w:rPr>
                <w:rFonts w:ascii="Times New Roman" w:hAnsi="Times New Roman"/>
                <w:spacing w:val="-5"/>
              </w:rPr>
              <w:t>i</w:t>
            </w:r>
            <w:r w:rsidRPr="00420C1B">
              <w:rPr>
                <w:rFonts w:ascii="Times New Roman" w:hAnsi="Times New Roman"/>
              </w:rPr>
              <w:t>g</w:t>
            </w:r>
            <w:r w:rsidRPr="00420C1B">
              <w:rPr>
                <w:rFonts w:ascii="Times New Roman" w:hAnsi="Times New Roman"/>
                <w:spacing w:val="1"/>
              </w:rPr>
              <w:t>a</w:t>
            </w:r>
            <w:r w:rsidRPr="00420C1B">
              <w:rPr>
                <w:rFonts w:ascii="Times New Roman" w:hAnsi="Times New Roman"/>
              </w:rPr>
              <w:t>t</w:t>
            </w:r>
            <w:r w:rsidRPr="00420C1B">
              <w:rPr>
                <w:rFonts w:ascii="Times New Roman" w:hAnsi="Times New Roman"/>
                <w:spacing w:val="1"/>
              </w:rPr>
              <w:t>o</w:t>
            </w:r>
            <w:r w:rsidRPr="00420C1B">
              <w:rPr>
                <w:rFonts w:ascii="Times New Roman" w:hAnsi="Times New Roman"/>
                <w:spacing w:val="-2"/>
              </w:rPr>
              <w:t>i</w:t>
            </w:r>
            <w:r w:rsidRPr="00420C1B">
              <w:rPr>
                <w:rFonts w:ascii="Times New Roman" w:hAnsi="Times New Roman"/>
              </w:rPr>
              <w:t>re d</w:t>
            </w:r>
            <w:r w:rsidRPr="00420C1B">
              <w:rPr>
                <w:rFonts w:ascii="Times New Roman" w:hAnsi="Times New Roman"/>
                <w:spacing w:val="-6"/>
              </w:rPr>
              <w:t>'</w:t>
            </w:r>
            <w:r w:rsidRPr="00420C1B">
              <w:rPr>
                <w:rFonts w:ascii="Times New Roman" w:hAnsi="Times New Roman"/>
              </w:rPr>
              <w:t>équ</w:t>
            </w:r>
            <w:r w:rsidRPr="00420C1B">
              <w:rPr>
                <w:rFonts w:ascii="Times New Roman" w:hAnsi="Times New Roman"/>
                <w:spacing w:val="1"/>
              </w:rPr>
              <w:t>i</w:t>
            </w:r>
            <w:r w:rsidRPr="00420C1B">
              <w:rPr>
                <w:rFonts w:ascii="Times New Roman" w:hAnsi="Times New Roman"/>
              </w:rPr>
              <w:t>pe</w:t>
            </w:r>
            <w:r w:rsidRPr="00420C1B">
              <w:rPr>
                <w:rFonts w:ascii="Times New Roman" w:hAnsi="Times New Roman"/>
                <w:spacing w:val="-6"/>
              </w:rPr>
              <w:t>m</w:t>
            </w:r>
            <w:r w:rsidRPr="00420C1B">
              <w:rPr>
                <w:rFonts w:ascii="Times New Roman" w:hAnsi="Times New Roman"/>
                <w:spacing w:val="-2"/>
              </w:rPr>
              <w:t>e</w:t>
            </w:r>
            <w:r w:rsidRPr="00420C1B">
              <w:rPr>
                <w:rFonts w:ascii="Times New Roman" w:hAnsi="Times New Roman"/>
              </w:rPr>
              <w:t>nt de p</w:t>
            </w:r>
            <w:r w:rsidRPr="00420C1B">
              <w:rPr>
                <w:rFonts w:ascii="Times New Roman" w:hAnsi="Times New Roman"/>
                <w:spacing w:val="1"/>
              </w:rPr>
              <w:t>r</w:t>
            </w:r>
            <w:r w:rsidRPr="00420C1B">
              <w:rPr>
                <w:rFonts w:ascii="Times New Roman" w:hAnsi="Times New Roman"/>
              </w:rPr>
              <w:t>o</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1"/>
              </w:rPr>
              <w:t>c</w:t>
            </w:r>
            <w:r w:rsidRPr="00420C1B">
              <w:rPr>
                <w:rFonts w:ascii="Times New Roman" w:hAnsi="Times New Roman"/>
                <w:spacing w:val="1"/>
              </w:rPr>
              <w:t>ti</w:t>
            </w:r>
            <w:r w:rsidRPr="00420C1B">
              <w:rPr>
                <w:rFonts w:ascii="Times New Roman" w:hAnsi="Times New Roman"/>
              </w:rPr>
              <w:t>on au</w:t>
            </w:r>
            <w:r w:rsidRPr="00420C1B">
              <w:rPr>
                <w:rFonts w:ascii="Times New Roman" w:hAnsi="Times New Roman"/>
                <w:spacing w:val="-2"/>
              </w:rPr>
              <w:t>d</w:t>
            </w:r>
            <w:r w:rsidRPr="00420C1B">
              <w:rPr>
                <w:rFonts w:ascii="Times New Roman" w:hAnsi="Times New Roman"/>
                <w:spacing w:val="-1"/>
              </w:rPr>
              <w:t>i</w:t>
            </w:r>
            <w:r w:rsidRPr="00420C1B">
              <w:rPr>
                <w:rFonts w:ascii="Times New Roman" w:hAnsi="Times New Roman"/>
                <w:spacing w:val="1"/>
              </w:rPr>
              <w:t>ti</w:t>
            </w:r>
            <w:r w:rsidRPr="00420C1B">
              <w:rPr>
                <w:rFonts w:ascii="Times New Roman" w:hAnsi="Times New Roman"/>
                <w:spacing w:val="-5"/>
              </w:rPr>
              <w:t>v</w:t>
            </w:r>
            <w:r w:rsidRPr="00420C1B">
              <w:rPr>
                <w:rFonts w:ascii="Times New Roman" w:hAnsi="Times New Roman"/>
              </w:rPr>
              <w:t>e</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23F7E90" w14:textId="77777777" w:rsidR="000705BE" w:rsidRPr="00420C1B" w:rsidRDefault="000705BE" w:rsidP="00E737B4">
            <w:pPr>
              <w:widowControl w:val="0"/>
              <w:tabs>
                <w:tab w:val="left" w:pos="0"/>
              </w:tabs>
              <w:spacing w:after="0" w:line="240" w:lineRule="auto"/>
              <w:ind w:left="105"/>
              <w:rPr>
                <w:rFonts w:ascii="Times New Roman" w:hAnsi="Times New Roman"/>
              </w:rPr>
            </w:pPr>
            <w:r w:rsidRPr="00420C1B">
              <w:rPr>
                <w:rFonts w:ascii="Times New Roman" w:hAnsi="Times New Roman"/>
                <w:spacing w:val="-1"/>
              </w:rPr>
              <w:t>U</w:t>
            </w:r>
            <w:r w:rsidRPr="00420C1B">
              <w:rPr>
                <w:rFonts w:ascii="Times New Roman" w:hAnsi="Times New Roman"/>
                <w:spacing w:val="1"/>
              </w:rPr>
              <w:t>til</w:t>
            </w:r>
            <w:r w:rsidRPr="00420C1B">
              <w:rPr>
                <w:rFonts w:ascii="Times New Roman" w:hAnsi="Times New Roman"/>
                <w:spacing w:val="-1"/>
              </w:rPr>
              <w:t>i</w:t>
            </w:r>
            <w:r w:rsidRPr="00420C1B">
              <w:rPr>
                <w:rFonts w:ascii="Times New Roman" w:hAnsi="Times New Roman"/>
                <w:spacing w:val="-2"/>
              </w:rPr>
              <w:t>sa</w:t>
            </w:r>
            <w:r w:rsidRPr="00420C1B">
              <w:rPr>
                <w:rFonts w:ascii="Times New Roman" w:hAnsi="Times New Roman"/>
                <w:spacing w:val="1"/>
              </w:rPr>
              <w:t>ti</w:t>
            </w:r>
            <w:r w:rsidRPr="00420C1B">
              <w:rPr>
                <w:rFonts w:ascii="Times New Roman" w:hAnsi="Times New Roman"/>
              </w:rPr>
              <w:t xml:space="preserve">on du </w:t>
            </w:r>
            <w:r w:rsidRPr="00420C1B">
              <w:rPr>
                <w:rFonts w:ascii="Times New Roman" w:hAnsi="Times New Roman"/>
                <w:spacing w:val="-9"/>
              </w:rPr>
              <w:t>m</w:t>
            </w:r>
            <w:r w:rsidRPr="00420C1B">
              <w:rPr>
                <w:rFonts w:ascii="Times New Roman" w:hAnsi="Times New Roman"/>
              </w:rPr>
              <w:t>a</w:t>
            </w:r>
            <w:r w:rsidRPr="00420C1B">
              <w:rPr>
                <w:rFonts w:ascii="Times New Roman" w:hAnsi="Times New Roman"/>
                <w:spacing w:val="1"/>
              </w:rPr>
              <w:t>rt</w:t>
            </w:r>
            <w:r w:rsidRPr="00420C1B">
              <w:rPr>
                <w:rFonts w:ascii="Times New Roman" w:hAnsi="Times New Roman"/>
              </w:rPr>
              <w:t xml:space="preserve">eau </w:t>
            </w:r>
            <w:r w:rsidRPr="00420C1B">
              <w:rPr>
                <w:rFonts w:ascii="Times New Roman" w:hAnsi="Times New Roman"/>
                <w:spacing w:val="-2"/>
              </w:rPr>
              <w:t>p</w:t>
            </w:r>
            <w:r w:rsidRPr="00420C1B">
              <w:rPr>
                <w:rFonts w:ascii="Times New Roman" w:hAnsi="Times New Roman"/>
                <w:spacing w:val="-1"/>
              </w:rPr>
              <w:t>i</w:t>
            </w:r>
            <w:r w:rsidRPr="00420C1B">
              <w:rPr>
                <w:rFonts w:ascii="Times New Roman" w:hAnsi="Times New Roman"/>
              </w:rPr>
              <w:t>q</w:t>
            </w:r>
            <w:r w:rsidRPr="00420C1B">
              <w:rPr>
                <w:rFonts w:ascii="Times New Roman" w:hAnsi="Times New Roman"/>
                <w:spacing w:val="-5"/>
              </w:rPr>
              <w:t>u</w:t>
            </w:r>
            <w:r w:rsidRPr="00420C1B">
              <w:rPr>
                <w:rFonts w:ascii="Times New Roman" w:hAnsi="Times New Roman"/>
              </w:rPr>
              <w:t>eur</w:t>
            </w:r>
          </w:p>
          <w:p w14:paraId="48E73533" w14:textId="77777777" w:rsidR="000705BE" w:rsidRPr="00420C1B" w:rsidRDefault="000705BE" w:rsidP="00E737B4">
            <w:pPr>
              <w:widowControl w:val="0"/>
              <w:tabs>
                <w:tab w:val="left" w:pos="0"/>
              </w:tabs>
              <w:spacing w:after="0" w:line="240" w:lineRule="auto"/>
              <w:ind w:left="105"/>
              <w:rPr>
                <w:rFonts w:ascii="Times New Roman" w:hAnsi="Times New Roman"/>
                <w:sz w:val="24"/>
                <w:szCs w:val="24"/>
              </w:rPr>
            </w:pPr>
            <w:r w:rsidRPr="00420C1B">
              <w:rPr>
                <w:rFonts w:ascii="Times New Roman" w:hAnsi="Times New Roman"/>
                <w:spacing w:val="1"/>
              </w:rPr>
              <w:t>/</w:t>
            </w:r>
            <w:r w:rsidRPr="00420C1B">
              <w:rPr>
                <w:rFonts w:ascii="Times New Roman" w:hAnsi="Times New Roman"/>
              </w:rPr>
              <w:t>pe</w:t>
            </w:r>
            <w:r w:rsidRPr="00420C1B">
              <w:rPr>
                <w:rFonts w:ascii="Times New Roman" w:hAnsi="Times New Roman"/>
                <w:spacing w:val="-2"/>
              </w:rPr>
              <w:t>r</w:t>
            </w:r>
            <w:r w:rsidRPr="00420C1B">
              <w:rPr>
                <w:rFonts w:ascii="Times New Roman" w:hAnsi="Times New Roman"/>
                <w:spacing w:val="1"/>
              </w:rPr>
              <w:t>f</w:t>
            </w:r>
            <w:r w:rsidRPr="00420C1B">
              <w:rPr>
                <w:rFonts w:ascii="Times New Roman" w:hAnsi="Times New Roman"/>
                <w:spacing w:val="-2"/>
              </w:rPr>
              <w:t>o</w:t>
            </w:r>
            <w:r w:rsidRPr="00420C1B">
              <w:rPr>
                <w:rFonts w:ascii="Times New Roman" w:hAnsi="Times New Roman"/>
                <w:spacing w:val="1"/>
              </w:rPr>
              <w:t>r</w:t>
            </w:r>
            <w:r w:rsidRPr="00420C1B">
              <w:rPr>
                <w:rFonts w:ascii="Times New Roman" w:hAnsi="Times New Roman"/>
                <w:spacing w:val="-2"/>
              </w:rPr>
              <w:t>a</w:t>
            </w:r>
            <w:r w:rsidRPr="00420C1B">
              <w:rPr>
                <w:rFonts w:ascii="Times New Roman" w:hAnsi="Times New Roman"/>
                <w:spacing w:val="1"/>
              </w:rPr>
              <w:t>t</w:t>
            </w:r>
            <w:r w:rsidRPr="00420C1B">
              <w:rPr>
                <w:rFonts w:ascii="Times New Roman" w:hAnsi="Times New Roman"/>
              </w:rPr>
              <w:t>e</w:t>
            </w:r>
            <w:r w:rsidRPr="00420C1B">
              <w:rPr>
                <w:rFonts w:ascii="Times New Roman" w:hAnsi="Times New Roman"/>
                <w:spacing w:val="-2"/>
              </w:rPr>
              <w:t>u</w:t>
            </w:r>
            <w:r w:rsidRPr="00420C1B">
              <w:rPr>
                <w:rFonts w:ascii="Times New Roman" w:hAnsi="Times New Roman"/>
              </w:rPr>
              <w:t>r/ bétonnière</w:t>
            </w:r>
          </w:p>
        </w:tc>
      </w:tr>
    </w:tbl>
    <w:p w14:paraId="78D014F6" w14:textId="77777777" w:rsidR="00F16F4B" w:rsidRPr="00E737B4" w:rsidRDefault="00F16F4B">
      <w:pPr>
        <w:spacing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w:t>
      </w:r>
      <w:r w:rsidR="00EE6526">
        <w:rPr>
          <w:rFonts w:ascii="Times New Roman" w:hAnsi="Times New Roman"/>
          <w:bCs/>
          <w:i/>
          <w:sz w:val="24"/>
        </w:rPr>
        <w:t xml:space="preserve"> &amp;</w:t>
      </w:r>
      <w:r w:rsidRPr="00E737B4">
        <w:rPr>
          <w:rFonts w:ascii="Times New Roman" w:hAnsi="Times New Roman"/>
          <w:bCs/>
          <w:i/>
          <w:sz w:val="24"/>
        </w:rPr>
        <w:t xml:space="preserve"> DKO</w:t>
      </w:r>
      <w:r w:rsidR="00EE6526">
        <w:rPr>
          <w:rFonts w:ascii="Times New Roman" w:hAnsi="Times New Roman"/>
          <w:bCs/>
          <w:i/>
          <w:sz w:val="24"/>
        </w:rPr>
        <w:t xml:space="preserve">, </w:t>
      </w:r>
      <w:r w:rsidRPr="00E737B4">
        <w:rPr>
          <w:rFonts w:ascii="Times New Roman" w:hAnsi="Times New Roman"/>
          <w:bCs/>
          <w:i/>
          <w:sz w:val="24"/>
        </w:rPr>
        <w:t>juillet 2021</w:t>
      </w:r>
    </w:p>
    <w:p w14:paraId="61C11B33" w14:textId="77777777" w:rsidR="00AE61CE" w:rsidRPr="00024B30" w:rsidRDefault="00AE61CE" w:rsidP="00AE61CE">
      <w:pPr>
        <w:spacing w:after="0" w:line="240" w:lineRule="auto"/>
        <w:rPr>
          <w:rFonts w:ascii="Times New Roman" w:hAnsi="Times New Roman"/>
          <w:bCs/>
          <w:i/>
        </w:rPr>
      </w:pPr>
    </w:p>
    <w:p w14:paraId="483D5ADA" w14:textId="77777777" w:rsidR="000705BE" w:rsidRPr="00215867" w:rsidRDefault="000705BE" w:rsidP="00215867">
      <w:pPr>
        <w:pStyle w:val="Titre31"/>
        <w:numPr>
          <w:ilvl w:val="2"/>
          <w:numId w:val="54"/>
        </w:numPr>
        <w:tabs>
          <w:tab w:val="left" w:pos="993"/>
        </w:tabs>
        <w:spacing w:before="120" w:after="120" w:line="20" w:lineRule="atLeast"/>
        <w:ind w:left="993" w:hanging="709"/>
        <w:rPr>
          <w:rFonts w:eastAsia="Calibri"/>
          <w:i/>
        </w:rPr>
      </w:pPr>
      <w:bookmarkStart w:id="967" w:name="_Toc12288117"/>
      <w:bookmarkStart w:id="968" w:name="_Toc31276800"/>
      <w:bookmarkStart w:id="969" w:name="_Toc41310036"/>
      <w:bookmarkStart w:id="970" w:name="_Toc78602053"/>
      <w:bookmarkStart w:id="971" w:name="_Toc103685749"/>
      <w:r w:rsidRPr="00215867">
        <w:rPr>
          <w:rFonts w:eastAsia="Calibri"/>
          <w:i/>
          <w:u w:val="none"/>
        </w:rPr>
        <w:t>Formation sécurité</w:t>
      </w:r>
      <w:bookmarkEnd w:id="967"/>
      <w:bookmarkEnd w:id="968"/>
      <w:bookmarkEnd w:id="969"/>
      <w:bookmarkEnd w:id="970"/>
      <w:bookmarkEnd w:id="971"/>
    </w:p>
    <w:p w14:paraId="74D3498A" w14:textId="77777777" w:rsidR="000705BE" w:rsidRPr="00D75D2E" w:rsidRDefault="000705BE" w:rsidP="00E737B4">
      <w:pPr>
        <w:widowControl w:val="0"/>
        <w:tabs>
          <w:tab w:val="left" w:pos="0"/>
        </w:tabs>
        <w:spacing w:before="120" w:after="120"/>
        <w:ind w:left="116" w:right="74"/>
        <w:jc w:val="both"/>
        <w:rPr>
          <w:rFonts w:ascii="Times New Roman" w:eastAsia="SimSun" w:hAnsi="Times New Roman" w:cs="Calibri"/>
          <w:sz w:val="24"/>
          <w:szCs w:val="24"/>
        </w:rPr>
      </w:pPr>
      <w:r w:rsidRPr="00D75D2E">
        <w:rPr>
          <w:rFonts w:ascii="Times New Roman" w:hAnsi="Times New Roman"/>
          <w:spacing w:val="-1"/>
          <w:sz w:val="24"/>
          <w:szCs w:val="24"/>
        </w:rPr>
        <w:t>Ce</w:t>
      </w:r>
      <w:r w:rsidRPr="00D75D2E">
        <w:rPr>
          <w:rFonts w:ascii="Times New Roman" w:hAnsi="Times New Roman"/>
          <w:sz w:val="24"/>
          <w:szCs w:val="24"/>
        </w:rPr>
        <w:t>tte</w:t>
      </w:r>
      <w:r w:rsidRPr="00D75D2E">
        <w:rPr>
          <w:rFonts w:ascii="Times New Roman" w:hAnsi="Times New Roman"/>
          <w:spacing w:val="-1"/>
          <w:sz w:val="24"/>
          <w:szCs w:val="24"/>
        </w:rPr>
        <w:t xml:space="preserve"> f</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z w:val="24"/>
          <w:szCs w:val="24"/>
        </w:rPr>
        <w:t>m</w:t>
      </w:r>
      <w:r w:rsidRPr="00D75D2E">
        <w:rPr>
          <w:rFonts w:ascii="Times New Roman" w:hAnsi="Times New Roman"/>
          <w:spacing w:val="4"/>
          <w:sz w:val="24"/>
          <w:szCs w:val="24"/>
        </w:rPr>
        <w:t>a</w:t>
      </w:r>
      <w:r w:rsidRPr="00D75D2E">
        <w:rPr>
          <w:rFonts w:ascii="Times New Roman" w:hAnsi="Times New Roman"/>
          <w:sz w:val="24"/>
          <w:szCs w:val="24"/>
        </w:rPr>
        <w:t>t</w:t>
      </w:r>
      <w:r w:rsidRPr="00D75D2E">
        <w:rPr>
          <w:rFonts w:ascii="Times New Roman" w:hAnsi="Times New Roman"/>
          <w:spacing w:val="1"/>
          <w:sz w:val="24"/>
          <w:szCs w:val="24"/>
        </w:rPr>
        <w:t>i</w:t>
      </w:r>
      <w:r w:rsidRPr="00D75D2E">
        <w:rPr>
          <w:rFonts w:ascii="Times New Roman" w:hAnsi="Times New Roman"/>
          <w:sz w:val="24"/>
          <w:szCs w:val="24"/>
        </w:rPr>
        <w:t>on p</w:t>
      </w:r>
      <w:r w:rsidRPr="00D75D2E">
        <w:rPr>
          <w:rFonts w:ascii="Times New Roman" w:hAnsi="Times New Roman"/>
          <w:spacing w:val="-1"/>
          <w:sz w:val="24"/>
          <w:szCs w:val="24"/>
        </w:rPr>
        <w:t>er</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z w:val="24"/>
          <w:szCs w:val="24"/>
        </w:rPr>
        <w:t>t aux in</w:t>
      </w:r>
      <w:r w:rsidRPr="00D75D2E">
        <w:rPr>
          <w:rFonts w:ascii="Times New Roman" w:hAnsi="Times New Roman"/>
          <w:spacing w:val="-1"/>
          <w:sz w:val="24"/>
          <w:szCs w:val="24"/>
        </w:rPr>
        <w:t>te</w:t>
      </w:r>
      <w:r w:rsidRPr="00D75D2E">
        <w:rPr>
          <w:rFonts w:ascii="Times New Roman" w:hAnsi="Times New Roman"/>
          <w:sz w:val="24"/>
          <w:szCs w:val="24"/>
        </w:rPr>
        <w:t>r</w:t>
      </w:r>
      <w:r w:rsidRPr="00D75D2E">
        <w:rPr>
          <w:rFonts w:ascii="Times New Roman" w:hAnsi="Times New Roman"/>
          <w:spacing w:val="-3"/>
          <w:sz w:val="24"/>
          <w:szCs w:val="24"/>
        </w:rPr>
        <w:t>v</w:t>
      </w:r>
      <w:r w:rsidRPr="00D75D2E">
        <w:rPr>
          <w:rFonts w:ascii="Times New Roman" w:hAnsi="Times New Roman"/>
          <w:spacing w:val="2"/>
          <w:sz w:val="24"/>
          <w:szCs w:val="24"/>
        </w:rPr>
        <w:t>e</w:t>
      </w:r>
      <w:r w:rsidRPr="00D75D2E">
        <w:rPr>
          <w:rFonts w:ascii="Times New Roman" w:hAnsi="Times New Roman"/>
          <w:spacing w:val="-1"/>
          <w:sz w:val="24"/>
          <w:szCs w:val="24"/>
        </w:rPr>
        <w:t>n</w:t>
      </w:r>
      <w:r w:rsidRPr="00D75D2E">
        <w:rPr>
          <w:rFonts w:ascii="Times New Roman" w:hAnsi="Times New Roman"/>
          <w:sz w:val="24"/>
          <w:szCs w:val="24"/>
        </w:rPr>
        <w:t>ants de :</w:t>
      </w:r>
    </w:p>
    <w:p w14:paraId="68B925FF" w14:textId="77777777" w:rsidR="000705BE" w:rsidRPr="00D75D2E" w:rsidRDefault="000705BE" w:rsidP="008C79F0">
      <w:pPr>
        <w:widowControl w:val="0"/>
        <w:numPr>
          <w:ilvl w:val="0"/>
          <w:numId w:val="180"/>
        </w:numPr>
        <w:tabs>
          <w:tab w:val="left" w:pos="0"/>
          <w:tab w:val="left" w:pos="820"/>
        </w:tabs>
        <w:suppressAutoHyphens/>
        <w:spacing w:after="0" w:line="240" w:lineRule="auto"/>
        <w:ind w:left="714" w:right="79" w:hanging="357"/>
        <w:jc w:val="both"/>
        <w:rPr>
          <w:rFonts w:ascii="Times New Roman" w:hAnsi="Times New Roman"/>
          <w:sz w:val="24"/>
          <w:szCs w:val="24"/>
        </w:rPr>
      </w:pPr>
      <w:r w:rsidRPr="00D75D2E">
        <w:rPr>
          <w:rFonts w:ascii="Times New Roman" w:hAnsi="Times New Roman"/>
          <w:spacing w:val="-1"/>
          <w:sz w:val="24"/>
          <w:szCs w:val="24"/>
        </w:rPr>
        <w:t xml:space="preserve">Comprendre </w:t>
      </w:r>
      <w:r w:rsidRPr="00D75D2E">
        <w:rPr>
          <w:rFonts w:ascii="Times New Roman" w:hAnsi="Times New Roman"/>
          <w:sz w:val="24"/>
          <w:szCs w:val="24"/>
        </w:rPr>
        <w:t xml:space="preserve">les </w:t>
      </w:r>
      <w:r w:rsidRPr="00D75D2E">
        <w:rPr>
          <w:rFonts w:ascii="Times New Roman" w:hAnsi="Times New Roman"/>
          <w:spacing w:val="-1"/>
          <w:sz w:val="24"/>
          <w:szCs w:val="24"/>
        </w:rPr>
        <w:t>e</w:t>
      </w:r>
      <w:r w:rsidRPr="00D75D2E">
        <w:rPr>
          <w:rFonts w:ascii="Times New Roman" w:hAnsi="Times New Roman"/>
          <w:sz w:val="24"/>
          <w:szCs w:val="24"/>
        </w:rPr>
        <w:t>nje</w:t>
      </w:r>
      <w:r w:rsidRPr="00D75D2E">
        <w:rPr>
          <w:rFonts w:ascii="Times New Roman" w:hAnsi="Times New Roman"/>
          <w:spacing w:val="5"/>
          <w:sz w:val="24"/>
          <w:szCs w:val="24"/>
        </w:rPr>
        <w:t>u</w:t>
      </w:r>
      <w:r w:rsidRPr="00D75D2E">
        <w:rPr>
          <w:rFonts w:ascii="Times New Roman" w:hAnsi="Times New Roman"/>
          <w:sz w:val="24"/>
          <w:szCs w:val="24"/>
        </w:rPr>
        <w:t xml:space="preserve">x de la prise </w:t>
      </w:r>
      <w:r w:rsidRPr="00D75D2E">
        <w:rPr>
          <w:rFonts w:ascii="Times New Roman" w:hAnsi="Times New Roman"/>
          <w:spacing w:val="-1"/>
          <w:sz w:val="24"/>
          <w:szCs w:val="24"/>
        </w:rPr>
        <w:t>e</w:t>
      </w:r>
      <w:r w:rsidRPr="00D75D2E">
        <w:rPr>
          <w:rFonts w:ascii="Times New Roman" w:hAnsi="Times New Roman"/>
          <w:sz w:val="24"/>
          <w:szCs w:val="24"/>
        </w:rPr>
        <w:t xml:space="preserve">n </w:t>
      </w:r>
      <w:r w:rsidRPr="00D75D2E">
        <w:rPr>
          <w:rFonts w:ascii="Times New Roman" w:hAnsi="Times New Roman"/>
          <w:spacing w:val="-1"/>
          <w:sz w:val="24"/>
          <w:szCs w:val="24"/>
        </w:rPr>
        <w:t>c</w:t>
      </w:r>
      <w:r w:rsidRPr="00D75D2E">
        <w:rPr>
          <w:rFonts w:ascii="Times New Roman" w:hAnsi="Times New Roman"/>
          <w:sz w:val="24"/>
          <w:szCs w:val="24"/>
        </w:rPr>
        <w:t>om</w:t>
      </w:r>
      <w:r w:rsidRPr="00D75D2E">
        <w:rPr>
          <w:rFonts w:ascii="Times New Roman" w:hAnsi="Times New Roman"/>
          <w:spacing w:val="1"/>
          <w:sz w:val="24"/>
          <w:szCs w:val="24"/>
        </w:rPr>
        <w:t>p</w:t>
      </w:r>
      <w:r w:rsidRPr="00D75D2E">
        <w:rPr>
          <w:rFonts w:ascii="Times New Roman" w:hAnsi="Times New Roman"/>
          <w:sz w:val="24"/>
          <w:szCs w:val="24"/>
        </w:rPr>
        <w:t>te d</w:t>
      </w:r>
      <w:r w:rsidRPr="00D75D2E">
        <w:rPr>
          <w:rFonts w:ascii="Times New Roman" w:hAnsi="Times New Roman"/>
          <w:spacing w:val="-1"/>
          <w:sz w:val="24"/>
          <w:szCs w:val="24"/>
        </w:rPr>
        <w:t>e</w:t>
      </w:r>
      <w:r w:rsidRPr="00D75D2E">
        <w:rPr>
          <w:rFonts w:ascii="Times New Roman" w:hAnsi="Times New Roman"/>
          <w:sz w:val="24"/>
          <w:szCs w:val="24"/>
        </w:rPr>
        <w:t>s risqu</w:t>
      </w:r>
      <w:r w:rsidRPr="00D75D2E">
        <w:rPr>
          <w:rFonts w:ascii="Times New Roman" w:hAnsi="Times New Roman"/>
          <w:spacing w:val="-1"/>
          <w:sz w:val="24"/>
          <w:szCs w:val="24"/>
        </w:rPr>
        <w:t>e</w:t>
      </w:r>
      <w:r w:rsidRPr="00D75D2E">
        <w:rPr>
          <w:rFonts w:ascii="Times New Roman" w:hAnsi="Times New Roman"/>
          <w:sz w:val="24"/>
          <w:szCs w:val="24"/>
        </w:rPr>
        <w:t>s de s</w:t>
      </w:r>
      <w:r w:rsidRPr="00D75D2E">
        <w:rPr>
          <w:rFonts w:ascii="Times New Roman" w:hAnsi="Times New Roman"/>
          <w:spacing w:val="-1"/>
          <w:sz w:val="24"/>
          <w:szCs w:val="24"/>
        </w:rPr>
        <w:t>éc</w:t>
      </w:r>
      <w:r w:rsidRPr="00D75D2E">
        <w:rPr>
          <w:rFonts w:ascii="Times New Roman" w:hAnsi="Times New Roman"/>
          <w:sz w:val="24"/>
          <w:szCs w:val="24"/>
        </w:rPr>
        <w:t xml:space="preserve">urité </w:t>
      </w:r>
      <w:r w:rsidRPr="00D75D2E">
        <w:rPr>
          <w:rFonts w:ascii="Times New Roman" w:hAnsi="Times New Roman"/>
          <w:spacing w:val="-1"/>
          <w:sz w:val="24"/>
          <w:szCs w:val="24"/>
        </w:rPr>
        <w:t>e</w:t>
      </w:r>
      <w:r w:rsidRPr="00D75D2E">
        <w:rPr>
          <w:rFonts w:ascii="Times New Roman" w:hAnsi="Times New Roman"/>
          <w:sz w:val="24"/>
          <w:szCs w:val="24"/>
        </w:rPr>
        <w:t>t de s</w:t>
      </w:r>
      <w:r w:rsidRPr="00D75D2E">
        <w:rPr>
          <w:rFonts w:ascii="Times New Roman" w:hAnsi="Times New Roman"/>
          <w:spacing w:val="-1"/>
          <w:sz w:val="24"/>
          <w:szCs w:val="24"/>
        </w:rPr>
        <w:t>a</w:t>
      </w:r>
      <w:r w:rsidRPr="00D75D2E">
        <w:rPr>
          <w:rFonts w:ascii="Times New Roman" w:hAnsi="Times New Roman"/>
          <w:sz w:val="24"/>
          <w:szCs w:val="24"/>
        </w:rPr>
        <w:t xml:space="preserve">nté </w:t>
      </w:r>
      <w:r w:rsidRPr="00D75D2E">
        <w:rPr>
          <w:rFonts w:ascii="Times New Roman" w:hAnsi="Times New Roman"/>
          <w:spacing w:val="-1"/>
          <w:sz w:val="24"/>
          <w:szCs w:val="24"/>
        </w:rPr>
        <w:t>a</w:t>
      </w:r>
      <w:r w:rsidRPr="00D75D2E">
        <w:rPr>
          <w:rFonts w:ascii="Times New Roman" w:hAnsi="Times New Roman"/>
          <w:sz w:val="24"/>
          <w:szCs w:val="24"/>
        </w:rPr>
        <w:t>u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il,</w:t>
      </w:r>
    </w:p>
    <w:p w14:paraId="21F39303" w14:textId="77777777" w:rsidR="000705BE" w:rsidRPr="00D75D2E" w:rsidRDefault="000705BE" w:rsidP="008C79F0">
      <w:pPr>
        <w:widowControl w:val="0"/>
        <w:numPr>
          <w:ilvl w:val="0"/>
          <w:numId w:val="180"/>
        </w:numPr>
        <w:tabs>
          <w:tab w:val="left" w:pos="0"/>
          <w:tab w:val="left" w:pos="820"/>
        </w:tabs>
        <w:suppressAutoHyphens/>
        <w:spacing w:after="0" w:line="240" w:lineRule="auto"/>
        <w:ind w:left="714" w:right="79" w:hanging="357"/>
        <w:jc w:val="both"/>
        <w:rPr>
          <w:rFonts w:ascii="Times New Roman" w:hAnsi="Times New Roman"/>
          <w:sz w:val="24"/>
          <w:szCs w:val="24"/>
        </w:rPr>
      </w:pPr>
      <w:r w:rsidRPr="00D75D2E">
        <w:rPr>
          <w:rFonts w:ascii="Times New Roman" w:hAnsi="Times New Roman"/>
          <w:sz w:val="24"/>
          <w:szCs w:val="24"/>
        </w:rPr>
        <w:t xml:space="preserve">Accroitre le </w:t>
      </w:r>
      <w:r w:rsidRPr="00D75D2E">
        <w:rPr>
          <w:rFonts w:ascii="Times New Roman" w:hAnsi="Times New Roman"/>
          <w:spacing w:val="1"/>
          <w:sz w:val="24"/>
          <w:szCs w:val="24"/>
        </w:rPr>
        <w:t>niveau</w:t>
      </w:r>
      <w:r w:rsidRPr="00D75D2E">
        <w:rPr>
          <w:rFonts w:ascii="Times New Roman" w:hAnsi="Times New Roman"/>
          <w:sz w:val="24"/>
          <w:szCs w:val="24"/>
        </w:rPr>
        <w:t xml:space="preserve"> de </w:t>
      </w:r>
      <w:r w:rsidRPr="00D75D2E">
        <w:rPr>
          <w:rFonts w:ascii="Times New Roman" w:hAnsi="Times New Roman"/>
          <w:spacing w:val="1"/>
          <w:sz w:val="24"/>
          <w:szCs w:val="24"/>
        </w:rPr>
        <w:t>perception</w:t>
      </w:r>
      <w:r w:rsidRPr="00D75D2E">
        <w:rPr>
          <w:rFonts w:ascii="Times New Roman" w:hAnsi="Times New Roman"/>
          <w:sz w:val="24"/>
          <w:szCs w:val="24"/>
        </w:rPr>
        <w:t xml:space="preserve"> du risque, </w:t>
      </w:r>
      <w:r w:rsidRPr="00D75D2E">
        <w:rPr>
          <w:rFonts w:ascii="Times New Roman" w:hAnsi="Times New Roman"/>
          <w:spacing w:val="5"/>
          <w:sz w:val="24"/>
          <w:szCs w:val="24"/>
        </w:rPr>
        <w:t>ce</w:t>
      </w:r>
      <w:r w:rsidRPr="00D75D2E">
        <w:rPr>
          <w:rFonts w:ascii="Times New Roman" w:hAnsi="Times New Roman"/>
          <w:sz w:val="24"/>
          <w:szCs w:val="24"/>
        </w:rPr>
        <w:t xml:space="preserve"> qui facilitera le cho</w:t>
      </w:r>
      <w:r w:rsidRPr="00D75D2E">
        <w:rPr>
          <w:rFonts w:ascii="Times New Roman" w:hAnsi="Times New Roman"/>
          <w:spacing w:val="5"/>
          <w:sz w:val="24"/>
          <w:szCs w:val="24"/>
        </w:rPr>
        <w:t>i</w:t>
      </w:r>
      <w:r w:rsidRPr="00D75D2E">
        <w:rPr>
          <w:rFonts w:ascii="Times New Roman" w:hAnsi="Times New Roman"/>
          <w:sz w:val="24"/>
          <w:szCs w:val="24"/>
        </w:rPr>
        <w:t xml:space="preserve">x </w:t>
      </w:r>
      <w:r w:rsidRPr="00D75D2E">
        <w:rPr>
          <w:rFonts w:ascii="Times New Roman" w:hAnsi="Times New Roman"/>
          <w:spacing w:val="2"/>
          <w:sz w:val="24"/>
          <w:szCs w:val="24"/>
        </w:rPr>
        <w:t>correct</w:t>
      </w:r>
      <w:r w:rsidRPr="00D75D2E">
        <w:rPr>
          <w:rFonts w:ascii="Times New Roman" w:hAnsi="Times New Roman"/>
          <w:sz w:val="24"/>
          <w:szCs w:val="24"/>
        </w:rPr>
        <w:t xml:space="preserve"> et </w:t>
      </w:r>
      <w:r w:rsidRPr="00D75D2E">
        <w:rPr>
          <w:rFonts w:ascii="Times New Roman" w:hAnsi="Times New Roman"/>
          <w:spacing w:val="-1"/>
          <w:sz w:val="24"/>
          <w:szCs w:val="24"/>
        </w:rPr>
        <w:t>c</w:t>
      </w:r>
      <w:r w:rsidRPr="00D75D2E">
        <w:rPr>
          <w:rFonts w:ascii="Times New Roman" w:hAnsi="Times New Roman"/>
          <w:sz w:val="24"/>
          <w:szCs w:val="24"/>
        </w:rPr>
        <w:t>onf</w:t>
      </w:r>
      <w:r w:rsidRPr="00D75D2E">
        <w:rPr>
          <w:rFonts w:ascii="Times New Roman" w:hAnsi="Times New Roman"/>
          <w:spacing w:val="-1"/>
          <w:sz w:val="24"/>
          <w:szCs w:val="24"/>
        </w:rPr>
        <w:t>or</w:t>
      </w:r>
      <w:r w:rsidRPr="00D75D2E">
        <w:rPr>
          <w:rFonts w:ascii="Times New Roman" w:hAnsi="Times New Roman"/>
          <w:sz w:val="24"/>
          <w:szCs w:val="24"/>
        </w:rPr>
        <w:t>me d</w:t>
      </w:r>
      <w:r w:rsidRPr="00D75D2E">
        <w:rPr>
          <w:rFonts w:ascii="Times New Roman" w:hAnsi="Times New Roman"/>
          <w:spacing w:val="-1"/>
          <w:sz w:val="24"/>
          <w:szCs w:val="24"/>
        </w:rPr>
        <w:t>e</w:t>
      </w:r>
      <w:r w:rsidRPr="00D75D2E">
        <w:rPr>
          <w:rFonts w:ascii="Times New Roman" w:hAnsi="Times New Roman"/>
          <w:sz w:val="24"/>
          <w:szCs w:val="24"/>
        </w:rPr>
        <w:t>s sol</w:t>
      </w:r>
      <w:r w:rsidRPr="00D75D2E">
        <w:rPr>
          <w:rFonts w:ascii="Times New Roman" w:hAnsi="Times New Roman"/>
          <w:spacing w:val="2"/>
          <w:sz w:val="24"/>
          <w:szCs w:val="24"/>
        </w:rPr>
        <w:t>u</w:t>
      </w:r>
      <w:r w:rsidRPr="00D75D2E">
        <w:rPr>
          <w:rFonts w:ascii="Times New Roman" w:hAnsi="Times New Roman"/>
          <w:sz w:val="24"/>
          <w:szCs w:val="24"/>
        </w:rPr>
        <w:t xml:space="preserve">tions à </w:t>
      </w:r>
      <w:r w:rsidRPr="00D75D2E">
        <w:rPr>
          <w:rFonts w:ascii="Times New Roman" w:hAnsi="Times New Roman"/>
          <w:spacing w:val="-1"/>
          <w:sz w:val="24"/>
          <w:szCs w:val="24"/>
        </w:rPr>
        <w:t>a</w:t>
      </w:r>
      <w:r w:rsidRPr="00D75D2E">
        <w:rPr>
          <w:rFonts w:ascii="Times New Roman" w:hAnsi="Times New Roman"/>
          <w:sz w:val="24"/>
          <w:szCs w:val="24"/>
        </w:rPr>
        <w:t xml:space="preserve">dopter </w:t>
      </w:r>
      <w:r w:rsidRPr="00D75D2E">
        <w:rPr>
          <w:rFonts w:ascii="Times New Roman" w:hAnsi="Times New Roman"/>
          <w:spacing w:val="-1"/>
          <w:sz w:val="24"/>
          <w:szCs w:val="24"/>
        </w:rPr>
        <w:t>e</w:t>
      </w:r>
      <w:r w:rsidRPr="00D75D2E">
        <w:rPr>
          <w:rFonts w:ascii="Times New Roman" w:hAnsi="Times New Roman"/>
          <w:sz w:val="24"/>
          <w:szCs w:val="24"/>
        </w:rPr>
        <w:t>t</w:t>
      </w:r>
      <w:r w:rsidRPr="00D75D2E">
        <w:rPr>
          <w:rFonts w:ascii="Times New Roman" w:hAnsi="Times New Roman"/>
          <w:spacing w:val="2"/>
          <w:sz w:val="24"/>
          <w:szCs w:val="24"/>
        </w:rPr>
        <w:t xml:space="preserve"> p</w:t>
      </w:r>
      <w:r w:rsidRPr="00D75D2E">
        <w:rPr>
          <w:rFonts w:ascii="Times New Roman" w:hAnsi="Times New Roman"/>
          <w:spacing w:val="-1"/>
          <w:sz w:val="24"/>
          <w:szCs w:val="24"/>
        </w:rPr>
        <w:t>er</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z w:val="24"/>
          <w:szCs w:val="24"/>
        </w:rPr>
        <w:t>t</w:t>
      </w:r>
      <w:r w:rsidRPr="00D75D2E">
        <w:rPr>
          <w:rFonts w:ascii="Times New Roman" w:hAnsi="Times New Roman"/>
          <w:spacing w:val="1"/>
          <w:sz w:val="24"/>
          <w:szCs w:val="24"/>
        </w:rPr>
        <w:t>t</w:t>
      </w:r>
      <w:r w:rsidRPr="00D75D2E">
        <w:rPr>
          <w:rFonts w:ascii="Times New Roman" w:hAnsi="Times New Roman"/>
          <w:sz w:val="24"/>
          <w:szCs w:val="24"/>
        </w:rPr>
        <w:t xml:space="preserve">ra </w:t>
      </w:r>
      <w:r w:rsidRPr="00D75D2E">
        <w:rPr>
          <w:rFonts w:ascii="Times New Roman" w:hAnsi="Times New Roman"/>
          <w:spacing w:val="5"/>
          <w:sz w:val="24"/>
          <w:szCs w:val="24"/>
        </w:rPr>
        <w:t>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5"/>
          <w:sz w:val="24"/>
          <w:szCs w:val="24"/>
        </w:rPr>
        <w:t>x</w:t>
      </w:r>
      <w:r w:rsidRPr="00D75D2E">
        <w:rPr>
          <w:rFonts w:ascii="Times New Roman" w:hAnsi="Times New Roman"/>
          <w:spacing w:val="-1"/>
          <w:sz w:val="24"/>
          <w:szCs w:val="24"/>
        </w:rPr>
        <w:t>éc</w:t>
      </w:r>
      <w:r w:rsidRPr="00D75D2E">
        <w:rPr>
          <w:rFonts w:ascii="Times New Roman" w:hAnsi="Times New Roman"/>
          <w:sz w:val="24"/>
          <w:szCs w:val="24"/>
        </w:rPr>
        <w:t>ution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3"/>
          <w:sz w:val="24"/>
          <w:szCs w:val="24"/>
        </w:rPr>
        <w:t>t</w:t>
      </w:r>
      <w:r w:rsidRPr="00D75D2E">
        <w:rPr>
          <w:rFonts w:ascii="Times New Roman" w:hAnsi="Times New Roman"/>
          <w:spacing w:val="-1"/>
          <w:sz w:val="24"/>
          <w:szCs w:val="24"/>
        </w:rPr>
        <w:t>r</w:t>
      </w:r>
      <w:r w:rsidRPr="00D75D2E">
        <w:rPr>
          <w:rFonts w:ascii="Times New Roman" w:hAnsi="Times New Roman"/>
          <w:spacing w:val="-3"/>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ux qui </w:t>
      </w:r>
      <w:r w:rsidRPr="00D75D2E">
        <w:rPr>
          <w:rFonts w:ascii="Times New Roman" w:hAnsi="Times New Roman"/>
          <w:spacing w:val="5"/>
          <w:sz w:val="24"/>
          <w:szCs w:val="24"/>
        </w:rPr>
        <w:t>i</w:t>
      </w:r>
      <w:r w:rsidRPr="00D75D2E">
        <w:rPr>
          <w:rFonts w:ascii="Times New Roman" w:hAnsi="Times New Roman"/>
          <w:sz w:val="24"/>
          <w:szCs w:val="24"/>
        </w:rPr>
        <w:t>n</w:t>
      </w:r>
      <w:r w:rsidRPr="00D75D2E">
        <w:rPr>
          <w:rFonts w:ascii="Times New Roman" w:hAnsi="Times New Roman"/>
          <w:spacing w:val="-1"/>
          <w:sz w:val="24"/>
          <w:szCs w:val="24"/>
        </w:rPr>
        <w:t>c</w:t>
      </w:r>
      <w:r w:rsidRPr="00D75D2E">
        <w:rPr>
          <w:rFonts w:ascii="Times New Roman" w:hAnsi="Times New Roman"/>
          <w:sz w:val="24"/>
          <w:szCs w:val="24"/>
        </w:rPr>
        <w:t xml:space="preserve">ombent à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ac</w:t>
      </w:r>
      <w:r w:rsidRPr="00D75D2E">
        <w:rPr>
          <w:rFonts w:ascii="Times New Roman" w:hAnsi="Times New Roman"/>
          <w:sz w:val="24"/>
          <w:szCs w:val="24"/>
        </w:rPr>
        <w:t>un,</w:t>
      </w:r>
    </w:p>
    <w:p w14:paraId="185B98BC" w14:textId="77777777" w:rsidR="000705BE" w:rsidRPr="00D75D2E" w:rsidRDefault="000705BE" w:rsidP="008C79F0">
      <w:pPr>
        <w:widowControl w:val="0"/>
        <w:numPr>
          <w:ilvl w:val="0"/>
          <w:numId w:val="180"/>
        </w:numPr>
        <w:tabs>
          <w:tab w:val="left" w:pos="0"/>
          <w:tab w:val="left" w:pos="820"/>
        </w:tabs>
        <w:suppressAutoHyphens/>
        <w:spacing w:after="0" w:line="240" w:lineRule="auto"/>
        <w:ind w:left="714" w:right="79" w:hanging="357"/>
        <w:jc w:val="both"/>
        <w:rPr>
          <w:rFonts w:ascii="Times New Roman" w:hAnsi="Times New Roman"/>
          <w:sz w:val="24"/>
          <w:szCs w:val="24"/>
        </w:rPr>
      </w:pPr>
      <w:r w:rsidRPr="00D75D2E">
        <w:rPr>
          <w:rFonts w:ascii="Times New Roman" w:hAnsi="Times New Roman"/>
          <w:sz w:val="24"/>
          <w:szCs w:val="24"/>
        </w:rPr>
        <w:t>Secourir un employé en cas d’accident</w:t>
      </w:r>
    </w:p>
    <w:p w14:paraId="3065626E" w14:textId="77777777" w:rsidR="000705BE" w:rsidRPr="00D75D2E" w:rsidRDefault="000705BE" w:rsidP="00E737B4">
      <w:pPr>
        <w:widowControl w:val="0"/>
        <w:tabs>
          <w:tab w:val="left" w:pos="0"/>
        </w:tabs>
        <w:spacing w:before="120" w:after="120" w:line="20" w:lineRule="atLeast"/>
        <w:ind w:left="116" w:right="69"/>
        <w:jc w:val="both"/>
        <w:rPr>
          <w:rFonts w:ascii="Times New Roman" w:hAnsi="Times New Roman"/>
          <w:sz w:val="24"/>
          <w:szCs w:val="24"/>
        </w:rPr>
      </w:pPr>
      <w:r w:rsidRPr="00D75D2E">
        <w:rPr>
          <w:rFonts w:ascii="Times New Roman" w:hAnsi="Times New Roman"/>
          <w:spacing w:val="1"/>
          <w:sz w:val="24"/>
          <w:szCs w:val="24"/>
        </w:rPr>
        <w:t>C</w:t>
      </w:r>
      <w:r w:rsidRPr="00D75D2E">
        <w:rPr>
          <w:rFonts w:ascii="Times New Roman" w:hAnsi="Times New Roman"/>
          <w:spacing w:val="-1"/>
          <w:sz w:val="24"/>
          <w:szCs w:val="24"/>
        </w:rPr>
        <w:t>e</w:t>
      </w:r>
      <w:r w:rsidRPr="00D75D2E">
        <w:rPr>
          <w:rFonts w:ascii="Times New Roman" w:hAnsi="Times New Roman"/>
          <w:sz w:val="24"/>
          <w:szCs w:val="24"/>
        </w:rPr>
        <w:t>tte qu</w:t>
      </w:r>
      <w:r w:rsidRPr="00D75D2E">
        <w:rPr>
          <w:rFonts w:ascii="Times New Roman" w:hAnsi="Times New Roman"/>
          <w:spacing w:val="-1"/>
          <w:sz w:val="24"/>
          <w:szCs w:val="24"/>
        </w:rPr>
        <w:t>a</w:t>
      </w:r>
      <w:r w:rsidRPr="00D75D2E">
        <w:rPr>
          <w:rFonts w:ascii="Times New Roman" w:hAnsi="Times New Roman"/>
          <w:sz w:val="24"/>
          <w:szCs w:val="24"/>
        </w:rPr>
        <w:t>li</w:t>
      </w:r>
      <w:r w:rsidRPr="00D75D2E">
        <w:rPr>
          <w:rFonts w:ascii="Times New Roman" w:hAnsi="Times New Roman"/>
          <w:spacing w:val="-1"/>
          <w:sz w:val="24"/>
          <w:szCs w:val="24"/>
        </w:rPr>
        <w:t>f</w:t>
      </w:r>
      <w:r w:rsidRPr="00D75D2E">
        <w:rPr>
          <w:rFonts w:ascii="Times New Roman" w:hAnsi="Times New Roman"/>
          <w:sz w:val="24"/>
          <w:szCs w:val="24"/>
        </w:rPr>
        <w:t>i</w:t>
      </w:r>
      <w:r w:rsidRPr="00D75D2E">
        <w:rPr>
          <w:rFonts w:ascii="Times New Roman" w:hAnsi="Times New Roman"/>
          <w:spacing w:val="-1"/>
          <w:sz w:val="24"/>
          <w:szCs w:val="24"/>
        </w:rPr>
        <w:t>ca</w:t>
      </w:r>
      <w:r w:rsidRPr="00D75D2E">
        <w:rPr>
          <w:rFonts w:ascii="Times New Roman" w:hAnsi="Times New Roman"/>
          <w:sz w:val="24"/>
          <w:szCs w:val="24"/>
        </w:rPr>
        <w:t>tion p</w:t>
      </w:r>
      <w:r w:rsidRPr="00D75D2E">
        <w:rPr>
          <w:rFonts w:ascii="Times New Roman" w:hAnsi="Times New Roman"/>
          <w:spacing w:val="-1"/>
          <w:sz w:val="24"/>
          <w:szCs w:val="24"/>
        </w:rPr>
        <w:t>er</w:t>
      </w:r>
      <w:r w:rsidRPr="00D75D2E">
        <w:rPr>
          <w:rFonts w:ascii="Times New Roman" w:hAnsi="Times New Roman"/>
          <w:spacing w:val="3"/>
          <w:sz w:val="24"/>
          <w:szCs w:val="24"/>
        </w:rPr>
        <w:t>m</w:t>
      </w:r>
      <w:r w:rsidRPr="00D75D2E">
        <w:rPr>
          <w:rFonts w:ascii="Times New Roman" w:hAnsi="Times New Roman"/>
          <w:sz w:val="24"/>
          <w:szCs w:val="24"/>
        </w:rPr>
        <w:t xml:space="preserve">ettra </w:t>
      </w:r>
      <w:r w:rsidRPr="00D75D2E">
        <w:rPr>
          <w:rFonts w:ascii="Times New Roman" w:hAnsi="Times New Roman"/>
          <w:spacing w:val="2"/>
          <w:sz w:val="24"/>
          <w:szCs w:val="24"/>
        </w:rPr>
        <w:t>d</w:t>
      </w:r>
      <w:r w:rsidRPr="00D75D2E">
        <w:rPr>
          <w:rFonts w:ascii="Times New Roman" w:hAnsi="Times New Roman"/>
          <w:spacing w:val="-2"/>
          <w:sz w:val="24"/>
          <w:szCs w:val="24"/>
        </w:rPr>
        <w:t>'</w:t>
      </w:r>
      <w:r w:rsidRPr="00D75D2E">
        <w:rPr>
          <w:rFonts w:ascii="Times New Roman" w:hAnsi="Times New Roman"/>
          <w:spacing w:val="-1"/>
          <w:sz w:val="24"/>
          <w:szCs w:val="24"/>
        </w:rPr>
        <w:t>a</w:t>
      </w:r>
      <w:r w:rsidRPr="00D75D2E">
        <w:rPr>
          <w:rFonts w:ascii="Times New Roman" w:hAnsi="Times New Roman"/>
          <w:sz w:val="24"/>
          <w:szCs w:val="24"/>
        </w:rPr>
        <w:t>voir d</w:t>
      </w:r>
      <w:r w:rsidRPr="00D75D2E">
        <w:rPr>
          <w:rFonts w:ascii="Times New Roman" w:hAnsi="Times New Roman"/>
          <w:spacing w:val="-1"/>
          <w:sz w:val="24"/>
          <w:szCs w:val="24"/>
        </w:rPr>
        <w:t>e</w:t>
      </w:r>
      <w:r w:rsidRPr="00D75D2E">
        <w:rPr>
          <w:rFonts w:ascii="Times New Roman" w:hAnsi="Times New Roman"/>
          <w:sz w:val="24"/>
          <w:szCs w:val="24"/>
        </w:rPr>
        <w:t>s imp</w:t>
      </w:r>
      <w:r w:rsidRPr="00D75D2E">
        <w:rPr>
          <w:rFonts w:ascii="Times New Roman" w:hAnsi="Times New Roman"/>
          <w:spacing w:val="-1"/>
          <w:sz w:val="24"/>
          <w:szCs w:val="24"/>
        </w:rPr>
        <w:t>ac</w:t>
      </w:r>
      <w:r w:rsidRPr="00D75D2E">
        <w:rPr>
          <w:rFonts w:ascii="Times New Roman" w:hAnsi="Times New Roman"/>
          <w:sz w:val="24"/>
          <w:szCs w:val="24"/>
        </w:rPr>
        <w:t xml:space="preserve">ts </w:t>
      </w:r>
      <w:r w:rsidRPr="00D75D2E">
        <w:rPr>
          <w:rFonts w:ascii="Times New Roman" w:hAnsi="Times New Roman"/>
          <w:spacing w:val="2"/>
          <w:sz w:val="24"/>
          <w:szCs w:val="24"/>
        </w:rPr>
        <w:t>p</w:t>
      </w:r>
      <w:r w:rsidRPr="00D75D2E">
        <w:rPr>
          <w:rFonts w:ascii="Times New Roman" w:hAnsi="Times New Roman"/>
          <w:sz w:val="24"/>
          <w:szCs w:val="24"/>
        </w:rPr>
        <w:t>os</w:t>
      </w:r>
      <w:r w:rsidRPr="00D75D2E">
        <w:rPr>
          <w:rFonts w:ascii="Times New Roman" w:hAnsi="Times New Roman"/>
          <w:spacing w:val="1"/>
          <w:sz w:val="24"/>
          <w:szCs w:val="24"/>
        </w:rPr>
        <w:t>i</w:t>
      </w:r>
      <w:r w:rsidRPr="00D75D2E">
        <w:rPr>
          <w:rFonts w:ascii="Times New Roman" w:hAnsi="Times New Roman"/>
          <w:sz w:val="24"/>
          <w:szCs w:val="24"/>
        </w:rPr>
        <w:t>tifs sur la qu</w:t>
      </w:r>
      <w:r w:rsidRPr="00D75D2E">
        <w:rPr>
          <w:rFonts w:ascii="Times New Roman" w:hAnsi="Times New Roman"/>
          <w:spacing w:val="-1"/>
          <w:sz w:val="24"/>
          <w:szCs w:val="24"/>
        </w:rPr>
        <w:t>a</w:t>
      </w:r>
      <w:r w:rsidRPr="00D75D2E">
        <w:rPr>
          <w:rFonts w:ascii="Times New Roman" w:hAnsi="Times New Roman"/>
          <w:sz w:val="24"/>
          <w:szCs w:val="24"/>
        </w:rPr>
        <w:t>lité du t</w:t>
      </w:r>
      <w:r w:rsidRPr="00D75D2E">
        <w:rPr>
          <w:rFonts w:ascii="Times New Roman" w:hAnsi="Times New Roman"/>
          <w:spacing w:val="2"/>
          <w:sz w:val="24"/>
          <w:szCs w:val="24"/>
        </w:rPr>
        <w:t>r</w:t>
      </w:r>
      <w:r w:rsidRPr="00D75D2E">
        <w:rPr>
          <w:rFonts w:ascii="Times New Roman" w:hAnsi="Times New Roman"/>
          <w:spacing w:val="-1"/>
          <w:sz w:val="24"/>
          <w:szCs w:val="24"/>
        </w:rPr>
        <w:t>a</w:t>
      </w:r>
      <w:r w:rsidRPr="00D75D2E">
        <w:rPr>
          <w:rFonts w:ascii="Times New Roman" w:hAnsi="Times New Roman"/>
          <w:spacing w:val="1"/>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il, les </w:t>
      </w:r>
      <w:r w:rsidRPr="00D75D2E">
        <w:rPr>
          <w:rFonts w:ascii="Times New Roman" w:hAnsi="Times New Roman"/>
          <w:spacing w:val="7"/>
          <w:sz w:val="24"/>
          <w:szCs w:val="24"/>
        </w:rPr>
        <w:t>d</w:t>
      </w:r>
      <w:r w:rsidRPr="00D75D2E">
        <w:rPr>
          <w:rFonts w:ascii="Times New Roman" w:hAnsi="Times New Roman"/>
          <w:spacing w:val="-1"/>
          <w:sz w:val="24"/>
          <w:szCs w:val="24"/>
        </w:rPr>
        <w:t>é</w:t>
      </w:r>
      <w:r w:rsidRPr="00D75D2E">
        <w:rPr>
          <w:rFonts w:ascii="Times New Roman" w:hAnsi="Times New Roman"/>
          <w:sz w:val="24"/>
          <w:szCs w:val="24"/>
        </w:rPr>
        <w:t xml:space="preserve">lais, le </w:t>
      </w:r>
      <w:r w:rsidRPr="00D75D2E">
        <w:rPr>
          <w:rFonts w:ascii="Times New Roman" w:hAnsi="Times New Roman"/>
          <w:spacing w:val="-1"/>
          <w:sz w:val="24"/>
          <w:szCs w:val="24"/>
        </w:rPr>
        <w:t>c</w:t>
      </w:r>
      <w:r w:rsidRPr="00D75D2E">
        <w:rPr>
          <w:rFonts w:ascii="Times New Roman" w:hAnsi="Times New Roman"/>
          <w:sz w:val="24"/>
          <w:szCs w:val="24"/>
        </w:rPr>
        <w:t>limat so</w:t>
      </w:r>
      <w:r w:rsidRPr="00D75D2E">
        <w:rPr>
          <w:rFonts w:ascii="Times New Roman" w:hAnsi="Times New Roman"/>
          <w:spacing w:val="-1"/>
          <w:sz w:val="24"/>
          <w:szCs w:val="24"/>
        </w:rPr>
        <w:t>c</w:t>
      </w:r>
      <w:r w:rsidRPr="00D75D2E">
        <w:rPr>
          <w:rFonts w:ascii="Times New Roman" w:hAnsi="Times New Roman"/>
          <w:sz w:val="24"/>
          <w:szCs w:val="24"/>
        </w:rPr>
        <w:t xml:space="preserve">ial. </w:t>
      </w:r>
      <w:r w:rsidRPr="00D75D2E">
        <w:rPr>
          <w:rFonts w:ascii="Times New Roman" w:hAnsi="Times New Roman"/>
          <w:spacing w:val="-7"/>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f</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z w:val="24"/>
          <w:szCs w:val="24"/>
        </w:rPr>
        <w:t>mat</w:t>
      </w:r>
      <w:r w:rsidRPr="00D75D2E">
        <w:rPr>
          <w:rFonts w:ascii="Times New Roman" w:hAnsi="Times New Roman"/>
          <w:spacing w:val="6"/>
          <w:sz w:val="24"/>
          <w:szCs w:val="24"/>
        </w:rPr>
        <w:t>i</w:t>
      </w:r>
      <w:r w:rsidRPr="00D75D2E">
        <w:rPr>
          <w:rFonts w:ascii="Times New Roman" w:hAnsi="Times New Roman"/>
          <w:sz w:val="24"/>
          <w:szCs w:val="24"/>
        </w:rPr>
        <w:t>on s</w:t>
      </w:r>
      <w:r w:rsidRPr="00D75D2E">
        <w:rPr>
          <w:rFonts w:ascii="Times New Roman" w:hAnsi="Times New Roman"/>
          <w:spacing w:val="-1"/>
          <w:sz w:val="24"/>
          <w:szCs w:val="24"/>
        </w:rPr>
        <w:t>er</w:t>
      </w:r>
      <w:r w:rsidRPr="00D75D2E">
        <w:rPr>
          <w:rFonts w:ascii="Times New Roman" w:hAnsi="Times New Roman"/>
          <w:sz w:val="24"/>
          <w:szCs w:val="24"/>
        </w:rPr>
        <w:t xml:space="preserve">a </w:t>
      </w:r>
      <w:r w:rsidRPr="00D75D2E">
        <w:rPr>
          <w:rFonts w:ascii="Times New Roman" w:hAnsi="Times New Roman"/>
          <w:spacing w:val="-1"/>
          <w:sz w:val="24"/>
          <w:szCs w:val="24"/>
        </w:rPr>
        <w:t>a</w:t>
      </w:r>
      <w:r w:rsidRPr="00D75D2E">
        <w:rPr>
          <w:rFonts w:ascii="Times New Roman" w:hAnsi="Times New Roman"/>
          <w:sz w:val="24"/>
          <w:szCs w:val="24"/>
        </w:rPr>
        <w:t>ss</w:t>
      </w:r>
      <w:r w:rsidRPr="00D75D2E">
        <w:rPr>
          <w:rFonts w:ascii="Times New Roman" w:hAnsi="Times New Roman"/>
          <w:spacing w:val="2"/>
          <w:sz w:val="24"/>
          <w:szCs w:val="24"/>
        </w:rPr>
        <w:t>ur</w:t>
      </w:r>
      <w:r w:rsidRPr="00D75D2E">
        <w:rPr>
          <w:rFonts w:ascii="Times New Roman" w:hAnsi="Times New Roman"/>
          <w:spacing w:val="-3"/>
          <w:sz w:val="24"/>
          <w:szCs w:val="24"/>
        </w:rPr>
        <w:t>é</w:t>
      </w:r>
      <w:r w:rsidRPr="00D75D2E">
        <w:rPr>
          <w:rFonts w:ascii="Times New Roman" w:hAnsi="Times New Roman"/>
          <w:sz w:val="24"/>
          <w:szCs w:val="24"/>
        </w:rPr>
        <w:t xml:space="preserve">e </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z w:val="24"/>
          <w:szCs w:val="24"/>
        </w:rPr>
        <w:t>r un o</w:t>
      </w:r>
      <w:r w:rsidRPr="00D75D2E">
        <w:rPr>
          <w:rFonts w:ascii="Times New Roman" w:hAnsi="Times New Roman"/>
          <w:spacing w:val="2"/>
          <w:sz w:val="24"/>
          <w:szCs w:val="24"/>
        </w:rPr>
        <w:t>r</w:t>
      </w:r>
      <w:r w:rsidRPr="00D75D2E">
        <w:rPr>
          <w:rFonts w:ascii="Times New Roman" w:hAnsi="Times New Roman"/>
          <w:spacing w:val="-2"/>
          <w:sz w:val="24"/>
          <w:szCs w:val="24"/>
        </w:rPr>
        <w:t>g</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z w:val="24"/>
          <w:szCs w:val="24"/>
        </w:rPr>
        <w:t>isme q</w:t>
      </w:r>
      <w:r w:rsidRPr="00D75D2E">
        <w:rPr>
          <w:rFonts w:ascii="Times New Roman" w:hAnsi="Times New Roman"/>
          <w:spacing w:val="2"/>
          <w:sz w:val="24"/>
          <w:szCs w:val="24"/>
        </w:rPr>
        <w:t>u</w:t>
      </w:r>
      <w:r w:rsidRPr="00D75D2E">
        <w:rPr>
          <w:rFonts w:ascii="Times New Roman" w:hAnsi="Times New Roman"/>
          <w:spacing w:val="-1"/>
          <w:sz w:val="24"/>
          <w:szCs w:val="24"/>
        </w:rPr>
        <w:t>a</w:t>
      </w:r>
      <w:r w:rsidRPr="00D75D2E">
        <w:rPr>
          <w:rFonts w:ascii="Times New Roman" w:hAnsi="Times New Roman"/>
          <w:sz w:val="24"/>
          <w:szCs w:val="24"/>
        </w:rPr>
        <w:t xml:space="preserve">lifié </w:t>
      </w:r>
      <w:r w:rsidRPr="00D75D2E">
        <w:rPr>
          <w:rFonts w:ascii="Times New Roman" w:hAnsi="Times New Roman"/>
          <w:spacing w:val="-1"/>
          <w:sz w:val="24"/>
          <w:szCs w:val="24"/>
        </w:rPr>
        <w:t>a</w:t>
      </w:r>
      <w:r w:rsidRPr="00D75D2E">
        <w:rPr>
          <w:rFonts w:ascii="Times New Roman" w:hAnsi="Times New Roman"/>
          <w:sz w:val="24"/>
          <w:szCs w:val="24"/>
        </w:rPr>
        <w:t>g</w:t>
      </w:r>
      <w:r w:rsidRPr="00D75D2E">
        <w:rPr>
          <w:rFonts w:ascii="Times New Roman" w:hAnsi="Times New Roman"/>
          <w:spacing w:val="-1"/>
          <w:sz w:val="24"/>
          <w:szCs w:val="24"/>
        </w:rPr>
        <w:t>ré</w:t>
      </w:r>
      <w:r w:rsidRPr="00D75D2E">
        <w:rPr>
          <w:rFonts w:ascii="Times New Roman" w:hAnsi="Times New Roman"/>
          <w:sz w:val="24"/>
          <w:szCs w:val="24"/>
        </w:rPr>
        <w:t xml:space="preserve">é </w:t>
      </w:r>
      <w:r w:rsidRPr="00D75D2E">
        <w:rPr>
          <w:rFonts w:ascii="Times New Roman" w:hAnsi="Times New Roman"/>
          <w:spacing w:val="-3"/>
          <w:sz w:val="24"/>
          <w:szCs w:val="24"/>
        </w:rPr>
        <w:t>a</w:t>
      </w:r>
      <w:r w:rsidRPr="00D75D2E">
        <w:rPr>
          <w:rFonts w:ascii="Times New Roman" w:hAnsi="Times New Roman"/>
          <w:sz w:val="24"/>
          <w:szCs w:val="24"/>
        </w:rPr>
        <w:t xml:space="preserve">u </w:t>
      </w:r>
      <w:r w:rsidRPr="00D75D2E">
        <w:rPr>
          <w:rFonts w:ascii="Times New Roman" w:hAnsi="Times New Roman"/>
          <w:spacing w:val="-2"/>
          <w:sz w:val="24"/>
          <w:szCs w:val="24"/>
        </w:rPr>
        <w:t>m</w:t>
      </w:r>
      <w:r w:rsidRPr="00D75D2E">
        <w:rPr>
          <w:rFonts w:ascii="Times New Roman" w:hAnsi="Times New Roman"/>
          <w:sz w:val="24"/>
          <w:szCs w:val="24"/>
        </w:rPr>
        <w:t>o</w:t>
      </w:r>
      <w:r w:rsidRPr="00D75D2E">
        <w:rPr>
          <w:rFonts w:ascii="Times New Roman" w:hAnsi="Times New Roman"/>
          <w:spacing w:val="-2"/>
          <w:sz w:val="24"/>
          <w:szCs w:val="24"/>
        </w:rPr>
        <w:t>i</w:t>
      </w:r>
      <w:r w:rsidRPr="00D75D2E">
        <w:rPr>
          <w:rFonts w:ascii="Times New Roman" w:hAnsi="Times New Roman"/>
          <w:sz w:val="24"/>
          <w:szCs w:val="24"/>
        </w:rPr>
        <w:t>ns d</w:t>
      </w:r>
      <w:r w:rsidRPr="00D75D2E">
        <w:rPr>
          <w:rFonts w:ascii="Times New Roman" w:hAnsi="Times New Roman"/>
          <w:spacing w:val="-1"/>
          <w:sz w:val="24"/>
          <w:szCs w:val="24"/>
        </w:rPr>
        <w:t>e</w:t>
      </w:r>
      <w:r w:rsidRPr="00D75D2E">
        <w:rPr>
          <w:rFonts w:ascii="Times New Roman" w:hAnsi="Times New Roman"/>
          <w:sz w:val="24"/>
          <w:szCs w:val="24"/>
        </w:rPr>
        <w:t xml:space="preserve">ux </w:t>
      </w:r>
      <w:r w:rsidRPr="00D75D2E">
        <w:rPr>
          <w:rFonts w:ascii="Times New Roman" w:hAnsi="Times New Roman"/>
          <w:spacing w:val="-3"/>
          <w:sz w:val="24"/>
          <w:szCs w:val="24"/>
        </w:rPr>
        <w:t>f</w:t>
      </w:r>
      <w:r w:rsidRPr="00D75D2E">
        <w:rPr>
          <w:rFonts w:ascii="Times New Roman" w:hAnsi="Times New Roman"/>
          <w:sz w:val="24"/>
          <w:szCs w:val="24"/>
        </w:rPr>
        <w:t>o</w:t>
      </w:r>
      <w:r w:rsidRPr="00D75D2E">
        <w:rPr>
          <w:rFonts w:ascii="Times New Roman" w:hAnsi="Times New Roman"/>
          <w:spacing w:val="-2"/>
          <w:sz w:val="24"/>
          <w:szCs w:val="24"/>
        </w:rPr>
        <w:t>i</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 xml:space="preserve">u </w:t>
      </w:r>
      <w:r w:rsidRPr="00D75D2E">
        <w:rPr>
          <w:rFonts w:ascii="Times New Roman" w:hAnsi="Times New Roman"/>
          <w:spacing w:val="-3"/>
          <w:sz w:val="24"/>
          <w:szCs w:val="24"/>
        </w:rPr>
        <w:t>c</w:t>
      </w:r>
      <w:r w:rsidRPr="00D75D2E">
        <w:rPr>
          <w:rFonts w:ascii="Times New Roman" w:hAnsi="Times New Roman"/>
          <w:sz w:val="24"/>
          <w:szCs w:val="24"/>
        </w:rPr>
        <w:t>ours du pr</w:t>
      </w:r>
      <w:r w:rsidRPr="00D75D2E">
        <w:rPr>
          <w:rFonts w:ascii="Times New Roman" w:hAnsi="Times New Roman"/>
          <w:spacing w:val="-3"/>
          <w:sz w:val="24"/>
          <w:szCs w:val="24"/>
        </w:rPr>
        <w:t>o</w:t>
      </w:r>
      <w:r w:rsidRPr="00D75D2E">
        <w:rPr>
          <w:rFonts w:ascii="Times New Roman" w:hAnsi="Times New Roman"/>
          <w:sz w:val="24"/>
          <w:szCs w:val="24"/>
        </w:rPr>
        <w:t xml:space="preserve">jet </w:t>
      </w:r>
      <w:r w:rsidRPr="00D75D2E">
        <w:rPr>
          <w:rFonts w:ascii="Times New Roman" w:hAnsi="Times New Roman"/>
          <w:spacing w:val="-3"/>
          <w:sz w:val="24"/>
          <w:szCs w:val="24"/>
        </w:rPr>
        <w:t>a</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c d</w:t>
      </w:r>
      <w:r w:rsidRPr="00D75D2E">
        <w:rPr>
          <w:rFonts w:ascii="Times New Roman" w:hAnsi="Times New Roman"/>
          <w:spacing w:val="-3"/>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t</w:t>
      </w:r>
      <w:r w:rsidRPr="00D75D2E">
        <w:rPr>
          <w:rFonts w:ascii="Times New Roman" w:hAnsi="Times New Roman"/>
          <w:sz w:val="24"/>
          <w:szCs w:val="24"/>
        </w:rPr>
        <w:t>h</w:t>
      </w:r>
      <w:r w:rsidRPr="00D75D2E">
        <w:rPr>
          <w:rFonts w:ascii="Times New Roman" w:hAnsi="Times New Roman"/>
          <w:spacing w:val="-1"/>
          <w:sz w:val="24"/>
          <w:szCs w:val="24"/>
        </w:rPr>
        <w:t>è</w:t>
      </w:r>
      <w:r w:rsidRPr="00D75D2E">
        <w:rPr>
          <w:rFonts w:ascii="Times New Roman" w:hAnsi="Times New Roman"/>
          <w:sz w:val="24"/>
          <w:szCs w:val="24"/>
        </w:rPr>
        <w:t>m</w:t>
      </w:r>
      <w:r w:rsidRPr="00D75D2E">
        <w:rPr>
          <w:rFonts w:ascii="Times New Roman" w:hAnsi="Times New Roman"/>
          <w:spacing w:val="-3"/>
          <w:sz w:val="24"/>
          <w:szCs w:val="24"/>
        </w:rPr>
        <w:t>e</w:t>
      </w:r>
      <w:r w:rsidRPr="00D75D2E">
        <w:rPr>
          <w:rFonts w:ascii="Times New Roman" w:hAnsi="Times New Roman"/>
          <w:sz w:val="24"/>
          <w:szCs w:val="24"/>
        </w:rPr>
        <w:t>s sp</w:t>
      </w:r>
      <w:r w:rsidRPr="00D75D2E">
        <w:rPr>
          <w:rFonts w:ascii="Times New Roman" w:hAnsi="Times New Roman"/>
          <w:spacing w:val="-1"/>
          <w:sz w:val="24"/>
          <w:szCs w:val="24"/>
        </w:rPr>
        <w:t>é</w:t>
      </w:r>
      <w:r w:rsidRPr="00D75D2E">
        <w:rPr>
          <w:rFonts w:ascii="Times New Roman" w:hAnsi="Times New Roman"/>
          <w:spacing w:val="-3"/>
          <w:sz w:val="24"/>
          <w:szCs w:val="24"/>
        </w:rPr>
        <w:t>c</w:t>
      </w:r>
      <w:r w:rsidRPr="00D75D2E">
        <w:rPr>
          <w:rFonts w:ascii="Times New Roman" w:hAnsi="Times New Roman"/>
          <w:sz w:val="24"/>
          <w:szCs w:val="24"/>
        </w:rPr>
        <w:t>if</w:t>
      </w:r>
      <w:r w:rsidRPr="00D75D2E">
        <w:rPr>
          <w:rFonts w:ascii="Times New Roman" w:hAnsi="Times New Roman"/>
          <w:spacing w:val="-2"/>
          <w:sz w:val="24"/>
          <w:szCs w:val="24"/>
        </w:rPr>
        <w:t>i</w:t>
      </w:r>
      <w:r w:rsidRPr="00D75D2E">
        <w:rPr>
          <w:rFonts w:ascii="Times New Roman" w:hAnsi="Times New Roman"/>
          <w:sz w:val="24"/>
          <w:szCs w:val="24"/>
        </w:rPr>
        <w:t>qu</w:t>
      </w:r>
      <w:r w:rsidRPr="00D75D2E">
        <w:rPr>
          <w:rFonts w:ascii="Times New Roman" w:hAnsi="Times New Roman"/>
          <w:spacing w:val="-3"/>
          <w:sz w:val="24"/>
          <w:szCs w:val="24"/>
        </w:rPr>
        <w:t>e</w:t>
      </w:r>
      <w:r w:rsidRPr="00D75D2E">
        <w:rPr>
          <w:rFonts w:ascii="Times New Roman" w:hAnsi="Times New Roman"/>
          <w:sz w:val="24"/>
          <w:szCs w:val="24"/>
        </w:rPr>
        <w:t>s.</w:t>
      </w:r>
    </w:p>
    <w:p w14:paraId="3C7DF5A5" w14:textId="000E3BC6" w:rsidR="000705BE" w:rsidRPr="00D75D2E" w:rsidRDefault="00DD1DA7" w:rsidP="00215867">
      <w:pPr>
        <w:pStyle w:val="Titre31"/>
        <w:numPr>
          <w:ilvl w:val="2"/>
          <w:numId w:val="54"/>
        </w:numPr>
        <w:tabs>
          <w:tab w:val="left" w:pos="993"/>
        </w:tabs>
        <w:spacing w:before="120" w:after="120" w:line="20" w:lineRule="atLeast"/>
        <w:ind w:left="993" w:hanging="709"/>
      </w:pPr>
      <w:bookmarkStart w:id="972" w:name="_Toc12288120"/>
      <w:bookmarkStart w:id="973" w:name="_Toc31276801"/>
      <w:bookmarkStart w:id="974" w:name="_Toc41310037"/>
      <w:bookmarkStart w:id="975" w:name="_Toc78602054"/>
      <w:bookmarkStart w:id="976" w:name="_Toc103685750"/>
      <w:r w:rsidRPr="00215867">
        <w:rPr>
          <w:rFonts w:eastAsia="Calibri"/>
          <w:i/>
          <w:u w:val="none"/>
        </w:rPr>
        <w:t>M</w:t>
      </w:r>
      <w:r w:rsidR="000705BE" w:rsidRPr="00215867">
        <w:rPr>
          <w:rFonts w:eastAsia="Calibri"/>
          <w:i/>
          <w:u w:val="none"/>
        </w:rPr>
        <w:t>éthodes de suivi et de contrôle</w:t>
      </w:r>
      <w:bookmarkEnd w:id="972"/>
      <w:bookmarkEnd w:id="973"/>
      <w:bookmarkEnd w:id="974"/>
      <w:bookmarkEnd w:id="975"/>
      <w:bookmarkEnd w:id="976"/>
    </w:p>
    <w:p w14:paraId="4745930F" w14:textId="77777777" w:rsidR="000705BE" w:rsidRPr="00D75D2E" w:rsidRDefault="000705BE" w:rsidP="008C79F0">
      <w:pPr>
        <w:pStyle w:val="Paragraphedeliste"/>
        <w:widowControl w:val="0"/>
        <w:numPr>
          <w:ilvl w:val="0"/>
          <w:numId w:val="181"/>
        </w:numPr>
        <w:tabs>
          <w:tab w:val="left" w:pos="0"/>
        </w:tabs>
        <w:suppressAutoHyphens/>
        <w:spacing w:before="120" w:after="120" w:line="20" w:lineRule="atLeast"/>
        <w:ind w:right="77"/>
        <w:contextualSpacing w:val="0"/>
        <w:jc w:val="both"/>
        <w:rPr>
          <w:rFonts w:ascii="Times New Roman" w:eastAsia="SimSun" w:hAnsi="Times New Roman" w:cs="Calibri"/>
          <w:sz w:val="24"/>
          <w:szCs w:val="24"/>
        </w:rPr>
      </w:pPr>
      <w:r w:rsidRPr="00D75D2E">
        <w:rPr>
          <w:rFonts w:ascii="Times New Roman" w:hAnsi="Times New Roman"/>
          <w:sz w:val="24"/>
          <w:szCs w:val="24"/>
        </w:rPr>
        <w:t>Les inspections</w:t>
      </w:r>
    </w:p>
    <w:p w14:paraId="5327714D" w14:textId="77777777" w:rsidR="000705BE" w:rsidRPr="00D75D2E" w:rsidRDefault="000705BE" w:rsidP="00E737B4">
      <w:pPr>
        <w:widowControl w:val="0"/>
        <w:tabs>
          <w:tab w:val="left" w:pos="0"/>
        </w:tabs>
        <w:spacing w:before="120" w:after="120" w:line="20" w:lineRule="atLeast"/>
        <w:ind w:left="116" w:right="77"/>
        <w:jc w:val="both"/>
        <w:rPr>
          <w:rFonts w:ascii="Times New Roman" w:hAnsi="Times New Roman"/>
          <w:sz w:val="24"/>
          <w:szCs w:val="24"/>
        </w:rPr>
      </w:pPr>
      <w:r w:rsidRPr="00D75D2E">
        <w:rPr>
          <w:rFonts w:ascii="Times New Roman" w:hAnsi="Times New Roman"/>
          <w:sz w:val="24"/>
          <w:szCs w:val="24"/>
        </w:rPr>
        <w:t>Elles s</w:t>
      </w:r>
      <w:r w:rsidRPr="00D75D2E">
        <w:rPr>
          <w:rFonts w:ascii="Times New Roman" w:hAnsi="Times New Roman"/>
          <w:spacing w:val="-1"/>
          <w:sz w:val="24"/>
          <w:szCs w:val="24"/>
        </w:rPr>
        <w:t>e</w:t>
      </w:r>
      <w:r w:rsidRPr="00D75D2E">
        <w:rPr>
          <w:rFonts w:ascii="Times New Roman" w:hAnsi="Times New Roman"/>
          <w:sz w:val="24"/>
          <w:szCs w:val="24"/>
        </w:rPr>
        <w:t>ront m</w:t>
      </w:r>
      <w:r w:rsidRPr="00D75D2E">
        <w:rPr>
          <w:rFonts w:ascii="Times New Roman" w:hAnsi="Times New Roman"/>
          <w:spacing w:val="-1"/>
          <w:sz w:val="24"/>
          <w:szCs w:val="24"/>
        </w:rPr>
        <w:t>e</w:t>
      </w:r>
      <w:r w:rsidRPr="00D75D2E">
        <w:rPr>
          <w:rFonts w:ascii="Times New Roman" w:hAnsi="Times New Roman"/>
          <w:spacing w:val="2"/>
          <w:sz w:val="24"/>
          <w:szCs w:val="24"/>
        </w:rPr>
        <w:t>n</w:t>
      </w:r>
      <w:r w:rsidRPr="00D75D2E">
        <w:rPr>
          <w:rFonts w:ascii="Times New Roman" w:hAnsi="Times New Roman"/>
          <w:spacing w:val="-1"/>
          <w:sz w:val="24"/>
          <w:szCs w:val="24"/>
        </w:rPr>
        <w:t>ée</w:t>
      </w:r>
      <w:r w:rsidRPr="00D75D2E">
        <w:rPr>
          <w:rFonts w:ascii="Times New Roman" w:hAnsi="Times New Roman"/>
          <w:sz w:val="24"/>
          <w:szCs w:val="24"/>
        </w:rPr>
        <w:t>s qu</w:t>
      </w:r>
      <w:r w:rsidRPr="00D75D2E">
        <w:rPr>
          <w:rFonts w:ascii="Times New Roman" w:hAnsi="Times New Roman"/>
          <w:spacing w:val="-2"/>
          <w:sz w:val="24"/>
          <w:szCs w:val="24"/>
        </w:rPr>
        <w:t>o</w:t>
      </w:r>
      <w:r w:rsidRPr="00D75D2E">
        <w:rPr>
          <w:rFonts w:ascii="Times New Roman" w:hAnsi="Times New Roman"/>
          <w:spacing w:val="-1"/>
          <w:sz w:val="24"/>
          <w:szCs w:val="24"/>
        </w:rPr>
        <w:t>t</w:t>
      </w:r>
      <w:r w:rsidRPr="00D75D2E">
        <w:rPr>
          <w:rFonts w:ascii="Times New Roman" w:hAnsi="Times New Roman"/>
          <w:spacing w:val="3"/>
          <w:sz w:val="24"/>
          <w:szCs w:val="24"/>
        </w:rPr>
        <w:t>i</w:t>
      </w:r>
      <w:r w:rsidRPr="00D75D2E">
        <w:rPr>
          <w:rFonts w:ascii="Times New Roman" w:hAnsi="Times New Roman"/>
          <w:sz w:val="24"/>
          <w:szCs w:val="24"/>
        </w:rPr>
        <w:t>dienn</w:t>
      </w:r>
      <w:r w:rsidRPr="00D75D2E">
        <w:rPr>
          <w:rFonts w:ascii="Times New Roman" w:hAnsi="Times New Roman"/>
          <w:spacing w:val="-1"/>
          <w:sz w:val="24"/>
          <w:szCs w:val="24"/>
        </w:rPr>
        <w:t>e</w:t>
      </w:r>
      <w:r w:rsidRPr="00D75D2E">
        <w:rPr>
          <w:rFonts w:ascii="Times New Roman" w:hAnsi="Times New Roman"/>
          <w:sz w:val="24"/>
          <w:szCs w:val="24"/>
        </w:rPr>
        <w:t xml:space="preserve">ment sur </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i</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 de t</w:t>
      </w:r>
      <w:r w:rsidRPr="00D75D2E">
        <w:rPr>
          <w:rFonts w:ascii="Times New Roman" w:hAnsi="Times New Roman"/>
          <w:spacing w:val="-1"/>
          <w:sz w:val="24"/>
          <w:szCs w:val="24"/>
        </w:rPr>
        <w:t>ra</w:t>
      </w:r>
      <w:r w:rsidRPr="00D75D2E">
        <w:rPr>
          <w:rFonts w:ascii="Times New Roman" w:hAnsi="Times New Roman"/>
          <w:spacing w:val="2"/>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ux </w:t>
      </w:r>
      <w:r w:rsidRPr="00D75D2E">
        <w:rPr>
          <w:rFonts w:ascii="Times New Roman" w:hAnsi="Times New Roman"/>
          <w:spacing w:val="-1"/>
          <w:sz w:val="24"/>
          <w:szCs w:val="24"/>
        </w:rPr>
        <w:t>e</w:t>
      </w:r>
      <w:r w:rsidRPr="00D75D2E">
        <w:rPr>
          <w:rFonts w:ascii="Times New Roman" w:hAnsi="Times New Roman"/>
          <w:sz w:val="24"/>
          <w:szCs w:val="24"/>
        </w:rPr>
        <w:t>t d</w:t>
      </w:r>
      <w:r w:rsidRPr="00D75D2E">
        <w:rPr>
          <w:rFonts w:ascii="Times New Roman" w:hAnsi="Times New Roman"/>
          <w:spacing w:val="-1"/>
          <w:sz w:val="24"/>
          <w:szCs w:val="24"/>
        </w:rPr>
        <w:t>a</w:t>
      </w:r>
      <w:r w:rsidRPr="00D75D2E">
        <w:rPr>
          <w:rFonts w:ascii="Times New Roman" w:hAnsi="Times New Roman"/>
          <w:sz w:val="24"/>
          <w:szCs w:val="24"/>
        </w:rPr>
        <w:t xml:space="preserve">ns les </w:t>
      </w:r>
      <w:r w:rsidRPr="00D75D2E">
        <w:rPr>
          <w:rFonts w:ascii="Times New Roman" w:hAnsi="Times New Roman"/>
          <w:spacing w:val="1"/>
          <w:sz w:val="24"/>
          <w:szCs w:val="24"/>
        </w:rPr>
        <w:t>z</w:t>
      </w:r>
      <w:r w:rsidRPr="00D75D2E">
        <w:rPr>
          <w:rFonts w:ascii="Times New Roman" w:hAnsi="Times New Roman"/>
          <w:spacing w:val="-2"/>
          <w:sz w:val="24"/>
          <w:szCs w:val="24"/>
        </w:rPr>
        <w:t>o</w:t>
      </w:r>
      <w:r w:rsidRPr="00D75D2E">
        <w:rPr>
          <w:rFonts w:ascii="Times New Roman" w:hAnsi="Times New Roman"/>
          <w:sz w:val="24"/>
          <w:szCs w:val="24"/>
        </w:rPr>
        <w:t>n</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z w:val="24"/>
          <w:szCs w:val="24"/>
        </w:rPr>
        <w:t>in</w:t>
      </w:r>
      <w:r w:rsidRPr="00D75D2E">
        <w:rPr>
          <w:rFonts w:ascii="Times New Roman" w:hAnsi="Times New Roman"/>
          <w:spacing w:val="1"/>
          <w:sz w:val="24"/>
          <w:szCs w:val="24"/>
        </w:rPr>
        <w:t>s</w:t>
      </w:r>
      <w:r w:rsidRPr="00D75D2E">
        <w:rPr>
          <w:rFonts w:ascii="Times New Roman" w:hAnsi="Times New Roman"/>
          <w:sz w:val="24"/>
          <w:szCs w:val="24"/>
        </w:rPr>
        <w:t>t</w:t>
      </w:r>
      <w:r w:rsidRPr="00D75D2E">
        <w:rPr>
          <w:rFonts w:ascii="Times New Roman" w:hAnsi="Times New Roman"/>
          <w:spacing w:val="-1"/>
          <w:sz w:val="24"/>
          <w:szCs w:val="24"/>
        </w:rPr>
        <w:t>a</w:t>
      </w:r>
      <w:r w:rsidRPr="00D75D2E">
        <w:rPr>
          <w:rFonts w:ascii="Times New Roman" w:hAnsi="Times New Roman"/>
          <w:sz w:val="24"/>
          <w:szCs w:val="24"/>
        </w:rPr>
        <w:t>ll</w:t>
      </w:r>
      <w:r w:rsidRPr="00D75D2E">
        <w:rPr>
          <w:rFonts w:ascii="Times New Roman" w:hAnsi="Times New Roman"/>
          <w:spacing w:val="-1"/>
          <w:sz w:val="24"/>
          <w:szCs w:val="24"/>
        </w:rPr>
        <w:t>a</w:t>
      </w:r>
      <w:r w:rsidRPr="00D75D2E">
        <w:rPr>
          <w:rFonts w:ascii="Times New Roman" w:hAnsi="Times New Roman"/>
          <w:sz w:val="24"/>
          <w:szCs w:val="24"/>
        </w:rPr>
        <w:t xml:space="preserve">tion du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b</w:t>
      </w:r>
      <w:r w:rsidRPr="00D75D2E">
        <w:rPr>
          <w:rFonts w:ascii="Times New Roman" w:hAnsi="Times New Roman"/>
          <w:spacing w:val="2"/>
          <w:sz w:val="24"/>
          <w:szCs w:val="24"/>
        </w:rPr>
        <w:t>o</w:t>
      </w:r>
      <w:r w:rsidRPr="00D75D2E">
        <w:rPr>
          <w:rFonts w:ascii="Times New Roman" w:hAnsi="Times New Roman"/>
          <w:sz w:val="24"/>
          <w:szCs w:val="24"/>
        </w:rPr>
        <w:t xml:space="preserve">rd </w:t>
      </w:r>
      <w:r w:rsidRPr="00D75D2E">
        <w:rPr>
          <w:rFonts w:ascii="Times New Roman" w:hAnsi="Times New Roman"/>
          <w:spacing w:val="-1"/>
          <w:sz w:val="24"/>
          <w:szCs w:val="24"/>
        </w:rPr>
        <w:t>pa</w:t>
      </w:r>
      <w:r w:rsidRPr="00D75D2E">
        <w:rPr>
          <w:rFonts w:ascii="Times New Roman" w:hAnsi="Times New Roman"/>
          <w:sz w:val="24"/>
          <w:szCs w:val="24"/>
        </w:rPr>
        <w:t xml:space="preserve">r </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s dif</w:t>
      </w:r>
      <w:r w:rsidRPr="00D75D2E">
        <w:rPr>
          <w:rFonts w:ascii="Times New Roman" w:hAnsi="Times New Roman"/>
          <w:spacing w:val="-1"/>
          <w:sz w:val="24"/>
          <w:szCs w:val="24"/>
        </w:rPr>
        <w:t>fér</w:t>
      </w:r>
      <w:r w:rsidRPr="00D75D2E">
        <w:rPr>
          <w:rFonts w:ascii="Times New Roman" w:hAnsi="Times New Roman"/>
          <w:spacing w:val="-3"/>
          <w:sz w:val="24"/>
          <w:szCs w:val="24"/>
        </w:rPr>
        <w:t>e</w:t>
      </w:r>
      <w:r w:rsidRPr="00D75D2E">
        <w:rPr>
          <w:rFonts w:ascii="Times New Roman" w:hAnsi="Times New Roman"/>
          <w:sz w:val="24"/>
          <w:szCs w:val="24"/>
        </w:rPr>
        <w:t xml:space="preserve">nts </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sponsabl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xml:space="preserve">, </w:t>
      </w:r>
      <w:r w:rsidRPr="00D75D2E">
        <w:rPr>
          <w:rFonts w:ascii="Times New Roman" w:hAnsi="Times New Roman"/>
          <w:spacing w:val="-1"/>
          <w:sz w:val="24"/>
          <w:szCs w:val="24"/>
        </w:rPr>
        <w:t>e</w:t>
      </w:r>
      <w:r w:rsidRPr="00D75D2E">
        <w:rPr>
          <w:rFonts w:ascii="Times New Roman" w:hAnsi="Times New Roman"/>
          <w:sz w:val="24"/>
          <w:szCs w:val="24"/>
        </w:rPr>
        <w:t>t ensuite p</w:t>
      </w:r>
      <w:r w:rsidRPr="00D75D2E">
        <w:rPr>
          <w:rFonts w:ascii="Times New Roman" w:hAnsi="Times New Roman"/>
          <w:spacing w:val="-1"/>
          <w:sz w:val="24"/>
          <w:szCs w:val="24"/>
        </w:rPr>
        <w:t>a</w:t>
      </w:r>
      <w:r w:rsidRPr="00D75D2E">
        <w:rPr>
          <w:rFonts w:ascii="Times New Roman" w:hAnsi="Times New Roman"/>
          <w:sz w:val="24"/>
          <w:szCs w:val="24"/>
        </w:rPr>
        <w:t>r le</w:t>
      </w:r>
      <w:r w:rsidRPr="00D75D2E">
        <w:rPr>
          <w:rFonts w:ascii="Times New Roman" w:hAnsi="Times New Roman"/>
          <w:spacing w:val="-1"/>
          <w:sz w:val="24"/>
          <w:szCs w:val="24"/>
        </w:rPr>
        <w:t xml:space="preserve"> r</w:t>
      </w:r>
      <w:r w:rsidRPr="00D75D2E">
        <w:rPr>
          <w:rFonts w:ascii="Times New Roman" w:hAnsi="Times New Roman"/>
          <w:spacing w:val="-3"/>
          <w:sz w:val="24"/>
          <w:szCs w:val="24"/>
        </w:rPr>
        <w:t>e</w:t>
      </w:r>
      <w:r w:rsidRPr="00D75D2E">
        <w:rPr>
          <w:rFonts w:ascii="Times New Roman" w:hAnsi="Times New Roman"/>
          <w:sz w:val="24"/>
          <w:szCs w:val="24"/>
        </w:rPr>
        <w:t>sponsable HSSE.</w:t>
      </w:r>
    </w:p>
    <w:p w14:paraId="2B32826C" w14:textId="77777777" w:rsidR="000705BE" w:rsidRPr="00D75D2E" w:rsidRDefault="000705BE" w:rsidP="00E737B4">
      <w:pPr>
        <w:widowControl w:val="0"/>
        <w:tabs>
          <w:tab w:val="left" w:pos="0"/>
        </w:tabs>
        <w:spacing w:before="120" w:after="120" w:line="20" w:lineRule="atLeast"/>
        <w:ind w:left="116" w:right="74"/>
        <w:jc w:val="both"/>
        <w:rPr>
          <w:rFonts w:ascii="Times New Roman" w:hAnsi="Times New Roman"/>
          <w:sz w:val="24"/>
          <w:szCs w:val="24"/>
        </w:rPr>
      </w:pPr>
      <w:r w:rsidRPr="00D75D2E">
        <w:rPr>
          <w:rFonts w:ascii="Times New Roman" w:hAnsi="Times New Roman"/>
          <w:sz w:val="24"/>
          <w:szCs w:val="24"/>
        </w:rPr>
        <w:t>Elles p</w:t>
      </w:r>
      <w:r w:rsidRPr="00D75D2E">
        <w:rPr>
          <w:rFonts w:ascii="Times New Roman" w:hAnsi="Times New Roman"/>
          <w:spacing w:val="-1"/>
          <w:sz w:val="24"/>
          <w:szCs w:val="24"/>
        </w:rPr>
        <w:t>er</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z w:val="24"/>
          <w:szCs w:val="24"/>
        </w:rPr>
        <w:t xml:space="preserve">ttront de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2"/>
          <w:sz w:val="24"/>
          <w:szCs w:val="24"/>
        </w:rPr>
        <w:t>r</w:t>
      </w:r>
      <w:r w:rsidRPr="00D75D2E">
        <w:rPr>
          <w:rFonts w:ascii="Times New Roman" w:hAnsi="Times New Roman"/>
          <w:spacing w:val="-1"/>
          <w:sz w:val="24"/>
          <w:szCs w:val="24"/>
        </w:rPr>
        <w:t>r</w:t>
      </w:r>
      <w:r w:rsidRPr="00D75D2E">
        <w:rPr>
          <w:rFonts w:ascii="Times New Roman" w:hAnsi="Times New Roman"/>
          <w:sz w:val="24"/>
          <w:szCs w:val="24"/>
        </w:rPr>
        <w:t>i</w:t>
      </w:r>
      <w:r w:rsidRPr="00D75D2E">
        <w:rPr>
          <w:rFonts w:ascii="Times New Roman" w:hAnsi="Times New Roman"/>
          <w:spacing w:val="-2"/>
          <w:sz w:val="24"/>
          <w:szCs w:val="24"/>
        </w:rPr>
        <w:t>g</w:t>
      </w:r>
      <w:r w:rsidRPr="00D75D2E">
        <w:rPr>
          <w:rFonts w:ascii="Times New Roman" w:hAnsi="Times New Roman"/>
          <w:spacing w:val="-1"/>
          <w:sz w:val="24"/>
          <w:szCs w:val="24"/>
        </w:rPr>
        <w:t>e</w:t>
      </w:r>
      <w:r w:rsidRPr="00D75D2E">
        <w:rPr>
          <w:rFonts w:ascii="Times New Roman" w:hAnsi="Times New Roman"/>
          <w:sz w:val="24"/>
          <w:szCs w:val="24"/>
        </w:rPr>
        <w:t xml:space="preserve">r </w:t>
      </w:r>
      <w:r w:rsidRPr="00D75D2E">
        <w:rPr>
          <w:rFonts w:ascii="Times New Roman" w:hAnsi="Times New Roman"/>
          <w:spacing w:val="-1"/>
          <w:sz w:val="24"/>
          <w:szCs w:val="24"/>
        </w:rPr>
        <w:t>ra</w:t>
      </w:r>
      <w:r w:rsidRPr="00D75D2E">
        <w:rPr>
          <w:rFonts w:ascii="Times New Roman" w:hAnsi="Times New Roman"/>
          <w:sz w:val="24"/>
          <w:szCs w:val="24"/>
        </w:rPr>
        <w:t>pidem</w:t>
      </w:r>
      <w:r w:rsidRPr="00D75D2E">
        <w:rPr>
          <w:rFonts w:ascii="Times New Roman" w:hAnsi="Times New Roman"/>
          <w:spacing w:val="-1"/>
          <w:sz w:val="24"/>
          <w:szCs w:val="24"/>
        </w:rPr>
        <w:t>e</w:t>
      </w:r>
      <w:r w:rsidRPr="00D75D2E">
        <w:rPr>
          <w:rFonts w:ascii="Times New Roman" w:hAnsi="Times New Roman"/>
          <w:spacing w:val="2"/>
          <w:sz w:val="24"/>
          <w:szCs w:val="24"/>
        </w:rPr>
        <w:t>n</w:t>
      </w:r>
      <w:r w:rsidRPr="00D75D2E">
        <w:rPr>
          <w:rFonts w:ascii="Times New Roman" w:hAnsi="Times New Roman"/>
          <w:sz w:val="24"/>
          <w:szCs w:val="24"/>
        </w:rPr>
        <w:t>t tou</w:t>
      </w:r>
      <w:r w:rsidRPr="00D75D2E">
        <w:rPr>
          <w:rFonts w:ascii="Times New Roman" w:hAnsi="Times New Roman"/>
          <w:spacing w:val="3"/>
          <w:sz w:val="24"/>
          <w:szCs w:val="24"/>
        </w:rPr>
        <w:t>t</w:t>
      </w:r>
      <w:r w:rsidRPr="00D75D2E">
        <w:rPr>
          <w:rFonts w:ascii="Times New Roman" w:hAnsi="Times New Roman"/>
          <w:sz w:val="24"/>
          <w:szCs w:val="24"/>
        </w:rPr>
        <w:t xml:space="preserve">e </w:t>
      </w:r>
      <w:r w:rsidRPr="00D75D2E">
        <w:rPr>
          <w:rFonts w:ascii="Times New Roman" w:hAnsi="Times New Roman"/>
          <w:spacing w:val="5"/>
          <w:sz w:val="24"/>
          <w:szCs w:val="24"/>
        </w:rPr>
        <w:t>i</w:t>
      </w:r>
      <w:r w:rsidRPr="00D75D2E">
        <w:rPr>
          <w:rFonts w:ascii="Times New Roman" w:hAnsi="Times New Roman"/>
          <w:sz w:val="24"/>
          <w:szCs w:val="24"/>
        </w:rPr>
        <w:t>nfr</w:t>
      </w:r>
      <w:r w:rsidRPr="00D75D2E">
        <w:rPr>
          <w:rFonts w:ascii="Times New Roman" w:hAnsi="Times New Roman"/>
          <w:spacing w:val="-2"/>
          <w:sz w:val="24"/>
          <w:szCs w:val="24"/>
        </w:rPr>
        <w:t>a</w:t>
      </w:r>
      <w:r w:rsidRPr="00D75D2E">
        <w:rPr>
          <w:rFonts w:ascii="Times New Roman" w:hAnsi="Times New Roman"/>
          <w:spacing w:val="-1"/>
          <w:sz w:val="24"/>
          <w:szCs w:val="24"/>
        </w:rPr>
        <w:t>c</w:t>
      </w:r>
      <w:r w:rsidRPr="00D75D2E">
        <w:rPr>
          <w:rFonts w:ascii="Times New Roman" w:hAnsi="Times New Roman"/>
          <w:sz w:val="24"/>
          <w:szCs w:val="24"/>
        </w:rPr>
        <w:t xml:space="preserve">tion </w:t>
      </w:r>
      <w:r w:rsidRPr="00D75D2E">
        <w:rPr>
          <w:rFonts w:ascii="Times New Roman" w:hAnsi="Times New Roman"/>
          <w:spacing w:val="-1"/>
          <w:sz w:val="24"/>
          <w:szCs w:val="24"/>
        </w:rPr>
        <w:t>a</w:t>
      </w:r>
      <w:r w:rsidRPr="00D75D2E">
        <w:rPr>
          <w:rFonts w:ascii="Times New Roman" w:hAnsi="Times New Roman"/>
          <w:sz w:val="24"/>
          <w:szCs w:val="24"/>
        </w:rPr>
        <w:t xml:space="preserve">ux </w:t>
      </w:r>
      <w:r w:rsidRPr="00D75D2E">
        <w:rPr>
          <w:rFonts w:ascii="Times New Roman" w:hAnsi="Times New Roman"/>
          <w:spacing w:val="-1"/>
          <w:sz w:val="24"/>
          <w:szCs w:val="24"/>
        </w:rPr>
        <w:t>r</w:t>
      </w:r>
      <w:r w:rsidRPr="00D75D2E">
        <w:rPr>
          <w:rFonts w:ascii="Times New Roman" w:hAnsi="Times New Roman"/>
          <w:spacing w:val="1"/>
          <w:sz w:val="24"/>
          <w:szCs w:val="24"/>
        </w:rPr>
        <w:t>è</w:t>
      </w:r>
      <w:r w:rsidRPr="00D75D2E">
        <w:rPr>
          <w:rFonts w:ascii="Times New Roman" w:hAnsi="Times New Roman"/>
          <w:spacing w:val="-2"/>
          <w:sz w:val="24"/>
          <w:szCs w:val="24"/>
        </w:rPr>
        <w:t>g</w:t>
      </w:r>
      <w:r w:rsidRPr="00D75D2E">
        <w:rPr>
          <w:rFonts w:ascii="Times New Roman" w:hAnsi="Times New Roman"/>
          <w:sz w:val="24"/>
          <w:szCs w:val="24"/>
        </w:rPr>
        <w:t xml:space="preserve">les </w:t>
      </w:r>
      <w:r w:rsidRPr="00D75D2E">
        <w:rPr>
          <w:rFonts w:ascii="Times New Roman" w:hAnsi="Times New Roman"/>
          <w:spacing w:val="2"/>
          <w:sz w:val="24"/>
          <w:szCs w:val="24"/>
        </w:rPr>
        <w:t>d</w:t>
      </w:r>
      <w:r w:rsidRPr="00D75D2E">
        <w:rPr>
          <w:rFonts w:ascii="Times New Roman" w:hAnsi="Times New Roman"/>
          <w:sz w:val="24"/>
          <w:szCs w:val="24"/>
        </w:rPr>
        <w:t>e s</w:t>
      </w:r>
      <w:r w:rsidRPr="00D75D2E">
        <w:rPr>
          <w:rFonts w:ascii="Times New Roman" w:hAnsi="Times New Roman"/>
          <w:spacing w:val="-1"/>
          <w:sz w:val="24"/>
          <w:szCs w:val="24"/>
        </w:rPr>
        <w:t>éc</w:t>
      </w:r>
      <w:r w:rsidRPr="00D75D2E">
        <w:rPr>
          <w:rFonts w:ascii="Times New Roman" w:hAnsi="Times New Roman"/>
          <w:sz w:val="24"/>
          <w:szCs w:val="24"/>
        </w:rPr>
        <w:t xml:space="preserve">urité ou </w:t>
      </w:r>
      <w:r w:rsidRPr="00D75D2E">
        <w:rPr>
          <w:rFonts w:ascii="Times New Roman" w:hAnsi="Times New Roman"/>
          <w:spacing w:val="5"/>
          <w:sz w:val="24"/>
          <w:szCs w:val="24"/>
        </w:rPr>
        <w:t>d</w:t>
      </w:r>
      <w:r w:rsidRPr="00D75D2E">
        <w:rPr>
          <w:rFonts w:ascii="Times New Roman" w:hAnsi="Times New Roman"/>
          <w:spacing w:val="-2"/>
          <w:sz w:val="24"/>
          <w:szCs w:val="24"/>
        </w:rPr>
        <w:t>'</w:t>
      </w:r>
      <w:r w:rsidRPr="00D75D2E">
        <w:rPr>
          <w:rFonts w:ascii="Times New Roman" w:hAnsi="Times New Roman"/>
          <w:spacing w:val="-1"/>
          <w:sz w:val="24"/>
          <w:szCs w:val="24"/>
        </w:rPr>
        <w:t>a</w:t>
      </w:r>
      <w:r w:rsidRPr="00D75D2E">
        <w:rPr>
          <w:rFonts w:ascii="Times New Roman" w:hAnsi="Times New Roman"/>
          <w:spacing w:val="2"/>
          <w:sz w:val="24"/>
          <w:szCs w:val="24"/>
        </w:rPr>
        <w:t>r</w:t>
      </w:r>
      <w:r w:rsidRPr="00D75D2E">
        <w:rPr>
          <w:rFonts w:ascii="Times New Roman" w:hAnsi="Times New Roman"/>
          <w:spacing w:val="-1"/>
          <w:sz w:val="24"/>
          <w:szCs w:val="24"/>
        </w:rPr>
        <w:t>rê</w:t>
      </w:r>
      <w:r w:rsidRPr="00D75D2E">
        <w:rPr>
          <w:rFonts w:ascii="Times New Roman" w:hAnsi="Times New Roman"/>
          <w:sz w:val="24"/>
          <w:szCs w:val="24"/>
        </w:rPr>
        <w:t>t</w:t>
      </w:r>
      <w:r w:rsidRPr="00D75D2E">
        <w:rPr>
          <w:rFonts w:ascii="Times New Roman" w:hAnsi="Times New Roman"/>
          <w:spacing w:val="2"/>
          <w:sz w:val="24"/>
          <w:szCs w:val="24"/>
        </w:rPr>
        <w:t>e</w:t>
      </w:r>
      <w:r w:rsidRPr="00D75D2E">
        <w:rPr>
          <w:rFonts w:ascii="Times New Roman" w:hAnsi="Times New Roman"/>
          <w:sz w:val="24"/>
          <w:szCs w:val="24"/>
        </w:rPr>
        <w:t>r jusq</w:t>
      </w:r>
      <w:r w:rsidRPr="00D75D2E">
        <w:rPr>
          <w:rFonts w:ascii="Times New Roman" w:hAnsi="Times New Roman"/>
          <w:spacing w:val="1"/>
          <w:sz w:val="24"/>
          <w:szCs w:val="24"/>
        </w:rPr>
        <w:t>u</w:t>
      </w:r>
      <w:r w:rsidRPr="00D75D2E">
        <w:rPr>
          <w:rFonts w:ascii="Times New Roman" w:hAnsi="Times New Roman"/>
          <w:spacing w:val="-5"/>
          <w:sz w:val="24"/>
          <w:szCs w:val="24"/>
        </w:rPr>
        <w:t>'</w:t>
      </w:r>
      <w:r w:rsidRPr="00D75D2E">
        <w:rPr>
          <w:rFonts w:ascii="Times New Roman" w:hAnsi="Times New Roman"/>
          <w:sz w:val="24"/>
          <w:szCs w:val="24"/>
        </w:rPr>
        <w:t xml:space="preserve">à </w:t>
      </w:r>
      <w:r w:rsidRPr="00D75D2E">
        <w:rPr>
          <w:rFonts w:ascii="Times New Roman" w:hAnsi="Times New Roman"/>
          <w:spacing w:val="-1"/>
          <w:sz w:val="24"/>
          <w:szCs w:val="24"/>
        </w:rPr>
        <w:t>c</w:t>
      </w:r>
      <w:r w:rsidRPr="00D75D2E">
        <w:rPr>
          <w:rFonts w:ascii="Times New Roman" w:hAnsi="Times New Roman"/>
          <w:spacing w:val="2"/>
          <w:sz w:val="24"/>
          <w:szCs w:val="24"/>
        </w:rPr>
        <w:t>o</w:t>
      </w:r>
      <w:r w:rsidRPr="00D75D2E">
        <w:rPr>
          <w:rFonts w:ascii="Times New Roman" w:hAnsi="Times New Roman"/>
          <w:spacing w:val="-1"/>
          <w:sz w:val="24"/>
          <w:szCs w:val="24"/>
        </w:rPr>
        <w:t>r</w:t>
      </w:r>
      <w:r w:rsidRPr="00D75D2E">
        <w:rPr>
          <w:rFonts w:ascii="Times New Roman" w:hAnsi="Times New Roman"/>
          <w:spacing w:val="2"/>
          <w:sz w:val="24"/>
          <w:szCs w:val="24"/>
        </w:rPr>
        <w:t>r</w:t>
      </w:r>
      <w:r w:rsidRPr="00D75D2E">
        <w:rPr>
          <w:rFonts w:ascii="Times New Roman" w:hAnsi="Times New Roman"/>
          <w:spacing w:val="-3"/>
          <w:sz w:val="24"/>
          <w:szCs w:val="24"/>
        </w:rPr>
        <w:t>e</w:t>
      </w:r>
      <w:r w:rsidRPr="00D75D2E">
        <w:rPr>
          <w:rFonts w:ascii="Times New Roman" w:hAnsi="Times New Roman"/>
          <w:spacing w:val="-1"/>
          <w:sz w:val="24"/>
          <w:szCs w:val="24"/>
        </w:rPr>
        <w:t>c</w:t>
      </w:r>
      <w:r w:rsidRPr="00D75D2E">
        <w:rPr>
          <w:rFonts w:ascii="Times New Roman" w:hAnsi="Times New Roman"/>
          <w:sz w:val="24"/>
          <w:szCs w:val="24"/>
        </w:rPr>
        <w:t xml:space="preserve">tion, toute </w:t>
      </w:r>
      <w:r w:rsidRPr="00D75D2E">
        <w:rPr>
          <w:rFonts w:ascii="Times New Roman" w:hAnsi="Times New Roman"/>
          <w:spacing w:val="-1"/>
          <w:sz w:val="24"/>
          <w:szCs w:val="24"/>
        </w:rPr>
        <w:t>ac</w:t>
      </w:r>
      <w:r w:rsidRPr="00D75D2E">
        <w:rPr>
          <w:rFonts w:ascii="Times New Roman" w:hAnsi="Times New Roman"/>
          <w:sz w:val="24"/>
          <w:szCs w:val="24"/>
        </w:rPr>
        <w:t xml:space="preserve">tion </w:t>
      </w:r>
      <w:r w:rsidRPr="00D75D2E">
        <w:rPr>
          <w:rFonts w:ascii="Times New Roman" w:hAnsi="Times New Roman"/>
          <w:spacing w:val="-1"/>
          <w:sz w:val="24"/>
          <w:szCs w:val="24"/>
        </w:rPr>
        <w:t>e</w:t>
      </w:r>
      <w:r w:rsidRPr="00D75D2E">
        <w:rPr>
          <w:rFonts w:ascii="Times New Roman" w:hAnsi="Times New Roman"/>
          <w:spacing w:val="2"/>
          <w:sz w:val="24"/>
          <w:szCs w:val="24"/>
        </w:rPr>
        <w:t>x</w:t>
      </w:r>
      <w:r w:rsidRPr="00D75D2E">
        <w:rPr>
          <w:rFonts w:ascii="Times New Roman" w:hAnsi="Times New Roman"/>
          <w:sz w:val="24"/>
          <w:szCs w:val="24"/>
        </w:rPr>
        <w:t>pos</w:t>
      </w:r>
      <w:r w:rsidRPr="00D75D2E">
        <w:rPr>
          <w:rFonts w:ascii="Times New Roman" w:hAnsi="Times New Roman"/>
          <w:spacing w:val="-1"/>
          <w:sz w:val="24"/>
          <w:szCs w:val="24"/>
        </w:rPr>
        <w:t>a</w:t>
      </w:r>
      <w:r w:rsidRPr="00D75D2E">
        <w:rPr>
          <w:rFonts w:ascii="Times New Roman" w:hAnsi="Times New Roman"/>
          <w:sz w:val="24"/>
          <w:szCs w:val="24"/>
        </w:rPr>
        <w:t>nt leu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ut</w:t>
      </w:r>
      <w:r w:rsidRPr="00D75D2E">
        <w:rPr>
          <w:rFonts w:ascii="Times New Roman" w:hAnsi="Times New Roman"/>
          <w:spacing w:val="-1"/>
          <w:sz w:val="24"/>
          <w:szCs w:val="24"/>
        </w:rPr>
        <w:t>e</w:t>
      </w:r>
      <w:r w:rsidRPr="00D75D2E">
        <w:rPr>
          <w:rFonts w:ascii="Times New Roman" w:hAnsi="Times New Roman"/>
          <w:sz w:val="24"/>
          <w:szCs w:val="24"/>
        </w:rPr>
        <w:t>urs ou les ti</w:t>
      </w:r>
      <w:r w:rsidRPr="00D75D2E">
        <w:rPr>
          <w:rFonts w:ascii="Times New Roman" w:hAnsi="Times New Roman"/>
          <w:spacing w:val="-1"/>
          <w:sz w:val="24"/>
          <w:szCs w:val="24"/>
        </w:rPr>
        <w:t>e</w:t>
      </w:r>
      <w:r w:rsidRPr="00D75D2E">
        <w:rPr>
          <w:rFonts w:ascii="Times New Roman" w:hAnsi="Times New Roman"/>
          <w:sz w:val="24"/>
          <w:szCs w:val="24"/>
        </w:rPr>
        <w:t>rs à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r</w:t>
      </w:r>
      <w:r w:rsidRPr="00D75D2E">
        <w:rPr>
          <w:rFonts w:ascii="Times New Roman" w:hAnsi="Times New Roman"/>
          <w:sz w:val="24"/>
          <w:szCs w:val="24"/>
        </w:rPr>
        <w:t xml:space="preserve">isques </w:t>
      </w:r>
      <w:r w:rsidRPr="00D75D2E">
        <w:rPr>
          <w:rFonts w:ascii="Times New Roman" w:hAnsi="Times New Roman"/>
          <w:spacing w:val="7"/>
          <w:sz w:val="24"/>
          <w:szCs w:val="24"/>
        </w:rPr>
        <w:t>d</w:t>
      </w:r>
      <w:r w:rsidRPr="00D75D2E">
        <w:rPr>
          <w:rFonts w:ascii="Times New Roman" w:hAnsi="Times New Roman"/>
          <w:spacing w:val="-5"/>
          <w:sz w:val="24"/>
          <w:szCs w:val="24"/>
        </w:rPr>
        <w:t>'</w:t>
      </w:r>
      <w:r w:rsidRPr="00D75D2E">
        <w:rPr>
          <w:rFonts w:ascii="Times New Roman" w:hAnsi="Times New Roman"/>
          <w:sz w:val="24"/>
          <w:szCs w:val="24"/>
        </w:rPr>
        <w:t>incid</w:t>
      </w:r>
      <w:r w:rsidRPr="00D75D2E">
        <w:rPr>
          <w:rFonts w:ascii="Times New Roman" w:hAnsi="Times New Roman"/>
          <w:spacing w:val="-1"/>
          <w:sz w:val="24"/>
          <w:szCs w:val="24"/>
        </w:rPr>
        <w:t>e</w:t>
      </w:r>
      <w:r w:rsidRPr="00D75D2E">
        <w:rPr>
          <w:rFonts w:ascii="Times New Roman" w:hAnsi="Times New Roman"/>
          <w:sz w:val="24"/>
          <w:szCs w:val="24"/>
        </w:rPr>
        <w:t>nts ou d</w:t>
      </w:r>
      <w:r w:rsidRPr="00D75D2E">
        <w:rPr>
          <w:rFonts w:ascii="Times New Roman" w:hAnsi="Times New Roman"/>
          <w:spacing w:val="-2"/>
          <w:sz w:val="24"/>
          <w:szCs w:val="24"/>
        </w:rPr>
        <w:t>'</w:t>
      </w:r>
      <w:r w:rsidRPr="00D75D2E">
        <w:rPr>
          <w:rFonts w:ascii="Times New Roman" w:hAnsi="Times New Roman"/>
          <w:spacing w:val="-1"/>
          <w:sz w:val="24"/>
          <w:szCs w:val="24"/>
        </w:rPr>
        <w:t>acc</w:t>
      </w:r>
      <w:r w:rsidRPr="00D75D2E">
        <w:rPr>
          <w:rFonts w:ascii="Times New Roman" w:hAnsi="Times New Roman"/>
          <w:sz w:val="24"/>
          <w:szCs w:val="24"/>
        </w:rPr>
        <w:t xml:space="preserve">idents. </w:t>
      </w:r>
      <w:r w:rsidRPr="00D75D2E">
        <w:rPr>
          <w:rFonts w:ascii="Times New Roman" w:hAnsi="Times New Roman"/>
          <w:spacing w:val="-5"/>
          <w:sz w:val="24"/>
          <w:szCs w:val="24"/>
        </w:rPr>
        <w:t>L</w:t>
      </w:r>
      <w:r w:rsidRPr="00D75D2E">
        <w:rPr>
          <w:rFonts w:ascii="Times New Roman" w:hAnsi="Times New Roman"/>
          <w:spacing w:val="1"/>
          <w:sz w:val="24"/>
          <w:szCs w:val="24"/>
        </w:rPr>
        <w:t>e</w:t>
      </w:r>
      <w:r w:rsidRPr="00D75D2E">
        <w:rPr>
          <w:rFonts w:ascii="Times New Roman" w:hAnsi="Times New Roman"/>
          <w:sz w:val="24"/>
          <w:szCs w:val="24"/>
        </w:rPr>
        <w:t>s inspe</w:t>
      </w:r>
      <w:r w:rsidRPr="00D75D2E">
        <w:rPr>
          <w:rFonts w:ascii="Times New Roman" w:hAnsi="Times New Roman"/>
          <w:spacing w:val="-1"/>
          <w:sz w:val="24"/>
          <w:szCs w:val="24"/>
        </w:rPr>
        <w:t>c</w:t>
      </w:r>
      <w:r w:rsidRPr="00D75D2E">
        <w:rPr>
          <w:rFonts w:ascii="Times New Roman" w:hAnsi="Times New Roman"/>
          <w:sz w:val="24"/>
          <w:szCs w:val="24"/>
        </w:rPr>
        <w:t>t</w:t>
      </w:r>
      <w:r w:rsidRPr="00D75D2E">
        <w:rPr>
          <w:rFonts w:ascii="Times New Roman" w:hAnsi="Times New Roman"/>
          <w:spacing w:val="6"/>
          <w:sz w:val="24"/>
          <w:szCs w:val="24"/>
        </w:rPr>
        <w:t>i</w:t>
      </w:r>
      <w:r w:rsidRPr="00D75D2E">
        <w:rPr>
          <w:rFonts w:ascii="Times New Roman" w:hAnsi="Times New Roman"/>
          <w:sz w:val="24"/>
          <w:szCs w:val="24"/>
        </w:rPr>
        <w:t>ons port</w:t>
      </w:r>
      <w:r w:rsidRPr="00D75D2E">
        <w:rPr>
          <w:rFonts w:ascii="Times New Roman" w:hAnsi="Times New Roman"/>
          <w:spacing w:val="-1"/>
          <w:sz w:val="24"/>
          <w:szCs w:val="24"/>
        </w:rPr>
        <w:t>e</w:t>
      </w:r>
      <w:r w:rsidRPr="00D75D2E">
        <w:rPr>
          <w:rFonts w:ascii="Times New Roman" w:hAnsi="Times New Roman"/>
          <w:sz w:val="24"/>
          <w:szCs w:val="24"/>
        </w:rPr>
        <w:t xml:space="preserve">ront tant sur les </w:t>
      </w:r>
      <w:r w:rsidRPr="00D75D2E">
        <w:rPr>
          <w:rFonts w:ascii="Times New Roman" w:hAnsi="Times New Roman"/>
          <w:spacing w:val="-1"/>
          <w:sz w:val="24"/>
          <w:szCs w:val="24"/>
        </w:rPr>
        <w:t>é</w:t>
      </w:r>
      <w:r w:rsidRPr="00D75D2E">
        <w:rPr>
          <w:rFonts w:ascii="Times New Roman" w:hAnsi="Times New Roman"/>
          <w:sz w:val="24"/>
          <w:szCs w:val="24"/>
        </w:rPr>
        <w:t>quipem</w:t>
      </w:r>
      <w:r w:rsidRPr="00D75D2E">
        <w:rPr>
          <w:rFonts w:ascii="Times New Roman" w:hAnsi="Times New Roman"/>
          <w:spacing w:val="-1"/>
          <w:sz w:val="24"/>
          <w:szCs w:val="24"/>
        </w:rPr>
        <w:t>e</w:t>
      </w:r>
      <w:r w:rsidRPr="00D75D2E">
        <w:rPr>
          <w:rFonts w:ascii="Times New Roman" w:hAnsi="Times New Roman"/>
          <w:sz w:val="24"/>
          <w:szCs w:val="24"/>
        </w:rPr>
        <w:t>nts de prot</w:t>
      </w:r>
      <w:r w:rsidRPr="00D75D2E">
        <w:rPr>
          <w:rFonts w:ascii="Times New Roman" w:hAnsi="Times New Roman"/>
          <w:spacing w:val="-1"/>
          <w:sz w:val="24"/>
          <w:szCs w:val="24"/>
        </w:rPr>
        <w:t>ec</w:t>
      </w:r>
      <w:r w:rsidRPr="00D75D2E">
        <w:rPr>
          <w:rFonts w:ascii="Times New Roman" w:hAnsi="Times New Roman"/>
          <w:sz w:val="24"/>
          <w:szCs w:val="24"/>
        </w:rPr>
        <w:t>t</w:t>
      </w:r>
      <w:r w:rsidRPr="00D75D2E">
        <w:rPr>
          <w:rFonts w:ascii="Times New Roman" w:hAnsi="Times New Roman"/>
          <w:spacing w:val="5"/>
          <w:sz w:val="24"/>
          <w:szCs w:val="24"/>
        </w:rPr>
        <w:t>i</w:t>
      </w:r>
      <w:r w:rsidRPr="00D75D2E">
        <w:rPr>
          <w:rFonts w:ascii="Times New Roman" w:hAnsi="Times New Roman"/>
          <w:sz w:val="24"/>
          <w:szCs w:val="24"/>
        </w:rPr>
        <w:t>on in</w:t>
      </w:r>
      <w:r w:rsidRPr="00D75D2E">
        <w:rPr>
          <w:rFonts w:ascii="Times New Roman" w:hAnsi="Times New Roman"/>
          <w:spacing w:val="1"/>
          <w:sz w:val="24"/>
          <w:szCs w:val="24"/>
        </w:rPr>
        <w:t>d</w:t>
      </w:r>
      <w:r w:rsidRPr="00D75D2E">
        <w:rPr>
          <w:rFonts w:ascii="Times New Roman" w:hAnsi="Times New Roman"/>
          <w:sz w:val="24"/>
          <w:szCs w:val="24"/>
        </w:rPr>
        <w:t>ividuelle que sur les méthod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5"/>
          <w:sz w:val="24"/>
          <w:szCs w:val="24"/>
        </w:rPr>
        <w:t>d</w:t>
      </w:r>
      <w:r w:rsidRPr="00D75D2E">
        <w:rPr>
          <w:rFonts w:ascii="Times New Roman" w:hAnsi="Times New Roman"/>
          <w:sz w:val="24"/>
          <w:szCs w:val="24"/>
        </w:rPr>
        <w:t>e t</w:t>
      </w:r>
      <w:r w:rsidRPr="00D75D2E">
        <w:rPr>
          <w:rFonts w:ascii="Times New Roman" w:hAnsi="Times New Roman"/>
          <w:spacing w:val="4"/>
          <w:sz w:val="24"/>
          <w:szCs w:val="24"/>
        </w:rPr>
        <w:t>r</w:t>
      </w:r>
      <w:r w:rsidRPr="00D75D2E">
        <w:rPr>
          <w:rFonts w:ascii="Times New Roman" w:hAnsi="Times New Roman"/>
          <w:spacing w:val="-1"/>
          <w:sz w:val="24"/>
          <w:szCs w:val="24"/>
        </w:rPr>
        <w:t>a</w:t>
      </w:r>
      <w:r w:rsidRPr="00D75D2E">
        <w:rPr>
          <w:rFonts w:ascii="Times New Roman" w:hAnsi="Times New Roman"/>
          <w:sz w:val="24"/>
          <w:szCs w:val="24"/>
        </w:rPr>
        <w:t xml:space="preserve">vail. </w:t>
      </w:r>
      <w:r w:rsidRPr="00D75D2E">
        <w:rPr>
          <w:rFonts w:ascii="Times New Roman" w:hAnsi="Times New Roman"/>
          <w:spacing w:val="1"/>
          <w:sz w:val="24"/>
          <w:szCs w:val="24"/>
        </w:rPr>
        <w:t>P</w:t>
      </w:r>
      <w:r w:rsidRPr="00D75D2E">
        <w:rPr>
          <w:rFonts w:ascii="Times New Roman" w:hAnsi="Times New Roman"/>
          <w:sz w:val="24"/>
          <w:szCs w:val="24"/>
        </w:rPr>
        <w:t xml:space="preserve">our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q</w:t>
      </w:r>
      <w:r w:rsidRPr="00D75D2E">
        <w:rPr>
          <w:rFonts w:ascii="Times New Roman" w:hAnsi="Times New Roman"/>
          <w:spacing w:val="2"/>
          <w:sz w:val="24"/>
          <w:szCs w:val="24"/>
        </w:rPr>
        <w:t>u</w:t>
      </w:r>
      <w:r w:rsidRPr="00D75D2E">
        <w:rPr>
          <w:rFonts w:ascii="Times New Roman" w:hAnsi="Times New Roman"/>
          <w:sz w:val="24"/>
          <w:szCs w:val="24"/>
        </w:rPr>
        <w:t>e in</w:t>
      </w:r>
      <w:r w:rsidRPr="00D75D2E">
        <w:rPr>
          <w:rFonts w:ascii="Times New Roman" w:hAnsi="Times New Roman"/>
          <w:spacing w:val="2"/>
          <w:sz w:val="24"/>
          <w:szCs w:val="24"/>
        </w:rPr>
        <w:t>f</w:t>
      </w:r>
      <w:r w:rsidRPr="00D75D2E">
        <w:rPr>
          <w:rFonts w:ascii="Times New Roman" w:hAnsi="Times New Roman"/>
          <w:spacing w:val="-1"/>
          <w:sz w:val="24"/>
          <w:szCs w:val="24"/>
        </w:rPr>
        <w:t>r</w:t>
      </w:r>
      <w:r w:rsidRPr="00D75D2E">
        <w:rPr>
          <w:rFonts w:ascii="Times New Roman" w:hAnsi="Times New Roman"/>
          <w:spacing w:val="1"/>
          <w:sz w:val="24"/>
          <w:szCs w:val="24"/>
        </w:rPr>
        <w:t>a</w:t>
      </w:r>
      <w:r w:rsidRPr="00D75D2E">
        <w:rPr>
          <w:rFonts w:ascii="Times New Roman" w:hAnsi="Times New Roman"/>
          <w:spacing w:val="-1"/>
          <w:sz w:val="24"/>
          <w:szCs w:val="24"/>
        </w:rPr>
        <w:t>c</w:t>
      </w:r>
      <w:r w:rsidRPr="00D75D2E">
        <w:rPr>
          <w:rFonts w:ascii="Times New Roman" w:hAnsi="Times New Roman"/>
          <w:sz w:val="24"/>
          <w:szCs w:val="24"/>
        </w:rPr>
        <w:t xml:space="preserve">tion </w:t>
      </w:r>
      <w:r w:rsidRPr="00D75D2E">
        <w:rPr>
          <w:rFonts w:ascii="Times New Roman" w:hAnsi="Times New Roman"/>
          <w:spacing w:val="-1"/>
          <w:sz w:val="24"/>
          <w:szCs w:val="24"/>
        </w:rPr>
        <w:t>c</w:t>
      </w:r>
      <w:r w:rsidRPr="00D75D2E">
        <w:rPr>
          <w:rFonts w:ascii="Times New Roman" w:hAnsi="Times New Roman"/>
          <w:sz w:val="24"/>
          <w:szCs w:val="24"/>
        </w:rPr>
        <w:t>ons</w:t>
      </w:r>
      <w:r w:rsidRPr="00D75D2E">
        <w:rPr>
          <w:rFonts w:ascii="Times New Roman" w:hAnsi="Times New Roman"/>
          <w:spacing w:val="1"/>
          <w:sz w:val="24"/>
          <w:szCs w:val="24"/>
        </w:rPr>
        <w:t>t</w:t>
      </w:r>
      <w:r w:rsidRPr="00D75D2E">
        <w:rPr>
          <w:rFonts w:ascii="Times New Roman" w:hAnsi="Times New Roman"/>
          <w:spacing w:val="-1"/>
          <w:sz w:val="24"/>
          <w:szCs w:val="24"/>
        </w:rPr>
        <w:t>a</w:t>
      </w:r>
      <w:r w:rsidRPr="00D75D2E">
        <w:rPr>
          <w:rFonts w:ascii="Times New Roman" w:hAnsi="Times New Roman"/>
          <w:sz w:val="24"/>
          <w:szCs w:val="24"/>
        </w:rPr>
        <w:t xml:space="preserve">tée </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z w:val="24"/>
          <w:szCs w:val="24"/>
        </w:rPr>
        <w:t xml:space="preserve">r le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pacing w:val="3"/>
          <w:sz w:val="24"/>
          <w:szCs w:val="24"/>
        </w:rPr>
        <w:t>s</w:t>
      </w:r>
      <w:r w:rsidRPr="00D75D2E">
        <w:rPr>
          <w:rFonts w:ascii="Times New Roman" w:hAnsi="Times New Roman"/>
          <w:sz w:val="24"/>
          <w:szCs w:val="24"/>
        </w:rPr>
        <w:t>pons</w:t>
      </w:r>
      <w:r w:rsidRPr="00D75D2E">
        <w:rPr>
          <w:rFonts w:ascii="Times New Roman" w:hAnsi="Times New Roman"/>
          <w:spacing w:val="1"/>
          <w:sz w:val="24"/>
          <w:szCs w:val="24"/>
        </w:rPr>
        <w:t>a</w:t>
      </w:r>
      <w:r w:rsidRPr="00D75D2E">
        <w:rPr>
          <w:rFonts w:ascii="Times New Roman" w:hAnsi="Times New Roman"/>
          <w:sz w:val="24"/>
          <w:szCs w:val="24"/>
        </w:rPr>
        <w:t>ble HSSE,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w:t>
      </w:r>
      <w:r w:rsidRPr="00D75D2E">
        <w:rPr>
          <w:rFonts w:ascii="Times New Roman" w:hAnsi="Times New Roman"/>
          <w:sz w:val="24"/>
          <w:szCs w:val="24"/>
        </w:rPr>
        <w:t xml:space="preserve">tions de </w:t>
      </w:r>
      <w:r w:rsidRPr="00D75D2E">
        <w:rPr>
          <w:rFonts w:ascii="Times New Roman" w:hAnsi="Times New Roman"/>
          <w:spacing w:val="-1"/>
          <w:sz w:val="24"/>
          <w:szCs w:val="24"/>
        </w:rPr>
        <w:t>c</w:t>
      </w:r>
      <w:r w:rsidRPr="00D75D2E">
        <w:rPr>
          <w:rFonts w:ascii="Times New Roman" w:hAnsi="Times New Roman"/>
          <w:sz w:val="24"/>
          <w:szCs w:val="24"/>
        </w:rPr>
        <w:t>o</w:t>
      </w:r>
      <w:r w:rsidRPr="00D75D2E">
        <w:rPr>
          <w:rFonts w:ascii="Times New Roman" w:hAnsi="Times New Roman"/>
          <w:spacing w:val="-1"/>
          <w:sz w:val="24"/>
          <w:szCs w:val="24"/>
        </w:rPr>
        <w:t>rrec</w:t>
      </w:r>
      <w:r w:rsidRPr="00D75D2E">
        <w:rPr>
          <w:rFonts w:ascii="Times New Roman" w:hAnsi="Times New Roman"/>
          <w:sz w:val="24"/>
          <w:szCs w:val="24"/>
        </w:rPr>
        <w:t>tion s</w:t>
      </w:r>
      <w:r w:rsidRPr="00D75D2E">
        <w:rPr>
          <w:rFonts w:ascii="Times New Roman" w:hAnsi="Times New Roman"/>
          <w:spacing w:val="-1"/>
          <w:sz w:val="24"/>
          <w:szCs w:val="24"/>
        </w:rPr>
        <w:t>e</w:t>
      </w:r>
      <w:r w:rsidRPr="00D75D2E">
        <w:rPr>
          <w:rFonts w:ascii="Times New Roman" w:hAnsi="Times New Roman"/>
          <w:sz w:val="24"/>
          <w:szCs w:val="24"/>
        </w:rPr>
        <w:t>ront p</w:t>
      </w:r>
      <w:r w:rsidRPr="00D75D2E">
        <w:rPr>
          <w:rFonts w:ascii="Times New Roman" w:hAnsi="Times New Roman"/>
          <w:spacing w:val="2"/>
          <w:sz w:val="24"/>
          <w:szCs w:val="24"/>
        </w:rPr>
        <w:t>r</w:t>
      </w:r>
      <w:r w:rsidRPr="00D75D2E">
        <w:rPr>
          <w:rFonts w:ascii="Times New Roman" w:hAnsi="Times New Roman"/>
          <w:spacing w:val="-3"/>
          <w:sz w:val="24"/>
          <w:szCs w:val="24"/>
        </w:rPr>
        <w:t>é</w:t>
      </w:r>
      <w:r w:rsidRPr="00D75D2E">
        <w:rPr>
          <w:rFonts w:ascii="Times New Roman" w:hAnsi="Times New Roman"/>
          <w:spacing w:val="2"/>
          <w:sz w:val="24"/>
          <w:szCs w:val="24"/>
        </w:rPr>
        <w:t>c</w:t>
      </w:r>
      <w:r w:rsidRPr="00D75D2E">
        <w:rPr>
          <w:rFonts w:ascii="Times New Roman" w:hAnsi="Times New Roman"/>
          <w:sz w:val="24"/>
          <w:szCs w:val="24"/>
        </w:rPr>
        <w:t>onisé</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les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sponsa</w:t>
      </w:r>
      <w:r w:rsidRPr="00D75D2E">
        <w:rPr>
          <w:rFonts w:ascii="Times New Roman" w:hAnsi="Times New Roman"/>
          <w:spacing w:val="2"/>
          <w:sz w:val="24"/>
          <w:szCs w:val="24"/>
        </w:rPr>
        <w:t>b</w:t>
      </w:r>
      <w:r w:rsidRPr="00D75D2E">
        <w:rPr>
          <w:rFonts w:ascii="Times New Roman" w:hAnsi="Times New Roman"/>
          <w:sz w:val="24"/>
          <w:szCs w:val="24"/>
        </w:rPr>
        <w:t>l</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ar</w:t>
      </w:r>
      <w:r w:rsidRPr="00D75D2E">
        <w:rPr>
          <w:rFonts w:ascii="Times New Roman" w:hAnsi="Times New Roman"/>
          <w:spacing w:val="-2"/>
          <w:sz w:val="24"/>
          <w:szCs w:val="24"/>
        </w:rPr>
        <w:t>g</w:t>
      </w:r>
      <w:r w:rsidRPr="00D75D2E">
        <w:rPr>
          <w:rFonts w:ascii="Times New Roman" w:hAnsi="Times New Roman"/>
          <w:spacing w:val="-1"/>
          <w:sz w:val="24"/>
          <w:szCs w:val="24"/>
        </w:rPr>
        <w:t>é</w:t>
      </w:r>
      <w:r w:rsidRPr="00D75D2E">
        <w:rPr>
          <w:rFonts w:ascii="Times New Roman" w:hAnsi="Times New Roman"/>
          <w:sz w:val="24"/>
          <w:szCs w:val="24"/>
        </w:rPr>
        <w:t>s de le</w:t>
      </w:r>
      <w:r w:rsidRPr="00D75D2E">
        <w:rPr>
          <w:rFonts w:ascii="Times New Roman" w:hAnsi="Times New Roman"/>
          <w:spacing w:val="2"/>
          <w:sz w:val="24"/>
          <w:szCs w:val="24"/>
        </w:rPr>
        <w:t>u</w:t>
      </w:r>
      <w:r w:rsidRPr="00D75D2E">
        <w:rPr>
          <w:rFonts w:ascii="Times New Roman" w:hAnsi="Times New Roman"/>
          <w:sz w:val="24"/>
          <w:szCs w:val="24"/>
        </w:rPr>
        <w:t>r suivi n</w:t>
      </w:r>
      <w:r w:rsidRPr="00D75D2E">
        <w:rPr>
          <w:rFonts w:ascii="Times New Roman" w:hAnsi="Times New Roman"/>
          <w:spacing w:val="-2"/>
          <w:sz w:val="24"/>
          <w:szCs w:val="24"/>
        </w:rPr>
        <w:t>om</w:t>
      </w:r>
      <w:r w:rsidRPr="00D75D2E">
        <w:rPr>
          <w:rFonts w:ascii="Times New Roman" w:hAnsi="Times New Roman"/>
          <w:sz w:val="24"/>
          <w:szCs w:val="24"/>
        </w:rPr>
        <w:t>mé</w:t>
      </w:r>
      <w:r w:rsidRPr="00D75D2E">
        <w:rPr>
          <w:rFonts w:ascii="Times New Roman" w:hAnsi="Times New Roman"/>
          <w:spacing w:val="1"/>
          <w:sz w:val="24"/>
          <w:szCs w:val="24"/>
        </w:rPr>
        <w:t>m</w:t>
      </w:r>
      <w:r w:rsidRPr="00D75D2E">
        <w:rPr>
          <w:rFonts w:ascii="Times New Roman" w:hAnsi="Times New Roman"/>
          <w:spacing w:val="-1"/>
          <w:sz w:val="24"/>
          <w:szCs w:val="24"/>
        </w:rPr>
        <w:t>e</w:t>
      </w:r>
      <w:r w:rsidRPr="00D75D2E">
        <w:rPr>
          <w:rFonts w:ascii="Times New Roman" w:hAnsi="Times New Roman"/>
          <w:sz w:val="24"/>
          <w:szCs w:val="24"/>
        </w:rPr>
        <w:t>nt indiqu</w:t>
      </w:r>
      <w:r w:rsidRPr="00D75D2E">
        <w:rPr>
          <w:rFonts w:ascii="Times New Roman" w:hAnsi="Times New Roman"/>
          <w:spacing w:val="-1"/>
          <w:sz w:val="24"/>
          <w:szCs w:val="24"/>
        </w:rPr>
        <w:t>é</w:t>
      </w:r>
      <w:r w:rsidRPr="00D75D2E">
        <w:rPr>
          <w:rFonts w:ascii="Times New Roman" w:hAnsi="Times New Roman"/>
          <w:sz w:val="24"/>
          <w:szCs w:val="24"/>
        </w:rPr>
        <w:t xml:space="preserve">s. Un </w:t>
      </w:r>
      <w:r w:rsidRPr="00D75D2E">
        <w:rPr>
          <w:rFonts w:ascii="Times New Roman" w:hAnsi="Times New Roman"/>
          <w:spacing w:val="-1"/>
          <w:sz w:val="24"/>
          <w:szCs w:val="24"/>
        </w:rPr>
        <w:t>ar</w:t>
      </w:r>
      <w:r w:rsidRPr="00D75D2E">
        <w:rPr>
          <w:rFonts w:ascii="Times New Roman" w:hAnsi="Times New Roman"/>
          <w:spacing w:val="-3"/>
          <w:sz w:val="24"/>
          <w:szCs w:val="24"/>
        </w:rPr>
        <w:t>c</w:t>
      </w:r>
      <w:r w:rsidRPr="00D75D2E">
        <w:rPr>
          <w:rFonts w:ascii="Times New Roman" w:hAnsi="Times New Roman"/>
          <w:sz w:val="24"/>
          <w:szCs w:val="24"/>
        </w:rPr>
        <w:t>hiv</w:t>
      </w:r>
      <w:r w:rsidRPr="00D75D2E">
        <w:rPr>
          <w:rFonts w:ascii="Times New Roman" w:hAnsi="Times New Roman"/>
          <w:spacing w:val="1"/>
          <w:sz w:val="24"/>
          <w:szCs w:val="24"/>
        </w:rPr>
        <w:t>a</w:t>
      </w:r>
      <w:r w:rsidRPr="00D75D2E">
        <w:rPr>
          <w:rFonts w:ascii="Times New Roman" w:hAnsi="Times New Roman"/>
          <w:sz w:val="24"/>
          <w:szCs w:val="24"/>
        </w:rPr>
        <w:t xml:space="preserve">ge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1"/>
          <w:sz w:val="24"/>
          <w:szCs w:val="24"/>
        </w:rPr>
        <w:t xml:space="preserve"> ce</w:t>
      </w:r>
      <w:r w:rsidRPr="00D75D2E">
        <w:rPr>
          <w:rFonts w:ascii="Times New Roman" w:hAnsi="Times New Roman"/>
          <w:sz w:val="24"/>
          <w:szCs w:val="24"/>
        </w:rPr>
        <w:t>tte o</w:t>
      </w:r>
      <w:r w:rsidRPr="00D75D2E">
        <w:rPr>
          <w:rFonts w:ascii="Times New Roman" w:hAnsi="Times New Roman"/>
          <w:spacing w:val="5"/>
          <w:sz w:val="24"/>
          <w:szCs w:val="24"/>
        </w:rPr>
        <w:t>p</w:t>
      </w:r>
      <w:r w:rsidRPr="00D75D2E">
        <w:rPr>
          <w:rFonts w:ascii="Times New Roman" w:hAnsi="Times New Roman"/>
          <w:spacing w:val="-1"/>
          <w:sz w:val="24"/>
          <w:szCs w:val="24"/>
        </w:rPr>
        <w:t>ér</w:t>
      </w:r>
      <w:r w:rsidRPr="00D75D2E">
        <w:rPr>
          <w:rFonts w:ascii="Times New Roman" w:hAnsi="Times New Roman"/>
          <w:spacing w:val="-3"/>
          <w:sz w:val="24"/>
          <w:szCs w:val="24"/>
        </w:rPr>
        <w:t>a</w:t>
      </w:r>
      <w:r w:rsidRPr="00D75D2E">
        <w:rPr>
          <w:rFonts w:ascii="Times New Roman" w:hAnsi="Times New Roman"/>
          <w:sz w:val="24"/>
          <w:szCs w:val="24"/>
        </w:rPr>
        <w:t>tion s</w:t>
      </w:r>
      <w:r w:rsidRPr="00D75D2E">
        <w:rPr>
          <w:rFonts w:ascii="Times New Roman" w:hAnsi="Times New Roman"/>
          <w:spacing w:val="-1"/>
          <w:sz w:val="24"/>
          <w:szCs w:val="24"/>
        </w:rPr>
        <w:t>e</w:t>
      </w:r>
      <w:r w:rsidRPr="00D75D2E">
        <w:rPr>
          <w:rFonts w:ascii="Times New Roman" w:hAnsi="Times New Roman"/>
          <w:spacing w:val="2"/>
          <w:sz w:val="24"/>
          <w:szCs w:val="24"/>
        </w:rPr>
        <w:t>r</w:t>
      </w:r>
      <w:r w:rsidRPr="00D75D2E">
        <w:rPr>
          <w:rFonts w:ascii="Times New Roman" w:hAnsi="Times New Roman"/>
          <w:sz w:val="24"/>
          <w:szCs w:val="24"/>
        </w:rPr>
        <w:t>a</w:t>
      </w:r>
      <w:r w:rsidRPr="00D75D2E">
        <w:rPr>
          <w:rFonts w:ascii="Times New Roman" w:hAnsi="Times New Roman"/>
          <w:spacing w:val="-1"/>
          <w:sz w:val="24"/>
          <w:szCs w:val="24"/>
        </w:rPr>
        <w:t xml:space="preserve"> e</w:t>
      </w:r>
      <w:r w:rsidRPr="00D75D2E">
        <w:rPr>
          <w:rFonts w:ascii="Times New Roman" w:hAnsi="Times New Roman"/>
          <w:spacing w:val="2"/>
          <w:sz w:val="24"/>
          <w:szCs w:val="24"/>
        </w:rPr>
        <w:t>f</w:t>
      </w:r>
      <w:r w:rsidRPr="00D75D2E">
        <w:rPr>
          <w:rFonts w:ascii="Times New Roman" w:hAnsi="Times New Roman"/>
          <w:spacing w:val="-1"/>
          <w:sz w:val="24"/>
          <w:szCs w:val="24"/>
        </w:rPr>
        <w:t>fec</w:t>
      </w:r>
      <w:r w:rsidRPr="00D75D2E">
        <w:rPr>
          <w:rFonts w:ascii="Times New Roman" w:hAnsi="Times New Roman"/>
          <w:sz w:val="24"/>
          <w:szCs w:val="24"/>
        </w:rPr>
        <w:t>tué.</w:t>
      </w:r>
    </w:p>
    <w:p w14:paraId="4BC22ED8" w14:textId="77777777" w:rsidR="000705BE" w:rsidRPr="00D75D2E" w:rsidRDefault="00B80123" w:rsidP="00215867">
      <w:pPr>
        <w:pStyle w:val="Titre31"/>
        <w:numPr>
          <w:ilvl w:val="2"/>
          <w:numId w:val="54"/>
        </w:numPr>
        <w:tabs>
          <w:tab w:val="left" w:pos="993"/>
        </w:tabs>
        <w:spacing w:before="120" w:after="120" w:line="20" w:lineRule="atLeast"/>
        <w:ind w:left="993" w:hanging="709"/>
      </w:pPr>
      <w:bookmarkStart w:id="977" w:name="_Toc12288121"/>
      <w:bookmarkStart w:id="978" w:name="_Toc31276802"/>
      <w:bookmarkStart w:id="979" w:name="_Toc41310038"/>
      <w:bookmarkStart w:id="980" w:name="_Toc78602055"/>
      <w:r>
        <w:rPr>
          <w:rFonts w:cs="Times New Roman"/>
        </w:rPr>
        <w:t xml:space="preserve"> </w:t>
      </w:r>
      <w:bookmarkStart w:id="981" w:name="_Toc103685751"/>
      <w:r w:rsidR="000705BE" w:rsidRPr="00215867">
        <w:rPr>
          <w:rFonts w:eastAsia="Calibri"/>
          <w:i/>
          <w:u w:val="none"/>
        </w:rPr>
        <w:t>Gestion de la circulation routière sur et aux alentours du chantier</w:t>
      </w:r>
      <w:bookmarkEnd w:id="977"/>
      <w:bookmarkEnd w:id="978"/>
      <w:bookmarkEnd w:id="979"/>
      <w:bookmarkEnd w:id="980"/>
      <w:bookmarkEnd w:id="981"/>
    </w:p>
    <w:p w14:paraId="738BE47D" w14:textId="77777777" w:rsidR="000705BE" w:rsidRPr="00D75D2E" w:rsidRDefault="000705BE" w:rsidP="00B80123">
      <w:pPr>
        <w:widowControl w:val="0"/>
        <w:tabs>
          <w:tab w:val="left" w:pos="0"/>
        </w:tabs>
        <w:spacing w:before="120" w:after="120" w:line="20" w:lineRule="atLeast"/>
        <w:ind w:left="116" w:right="68"/>
        <w:jc w:val="both"/>
        <w:rPr>
          <w:rFonts w:ascii="Times New Roman" w:eastAsia="SimSun" w:hAnsi="Times New Roman" w:cs="Calibri"/>
          <w:sz w:val="24"/>
          <w:szCs w:val="24"/>
        </w:rPr>
      </w:pPr>
      <w:r w:rsidRPr="00D75D2E">
        <w:rPr>
          <w:rFonts w:ascii="Times New Roman" w:hAnsi="Times New Roman"/>
          <w:sz w:val="24"/>
          <w:szCs w:val="24"/>
        </w:rPr>
        <w:t xml:space="preserve"> Une </w:t>
      </w:r>
      <w:r w:rsidRPr="00D75D2E">
        <w:rPr>
          <w:rFonts w:ascii="Times New Roman" w:hAnsi="Times New Roman"/>
          <w:spacing w:val="-2"/>
          <w:sz w:val="24"/>
          <w:szCs w:val="24"/>
        </w:rPr>
        <w:t>g</w:t>
      </w:r>
      <w:r w:rsidRPr="00D75D2E">
        <w:rPr>
          <w:rFonts w:ascii="Times New Roman" w:hAnsi="Times New Roman"/>
          <w:spacing w:val="-1"/>
          <w:sz w:val="24"/>
          <w:szCs w:val="24"/>
        </w:rPr>
        <w:t>r</w:t>
      </w:r>
      <w:r w:rsidRPr="00D75D2E">
        <w:rPr>
          <w:rFonts w:ascii="Times New Roman" w:hAnsi="Times New Roman"/>
          <w:spacing w:val="-3"/>
          <w:sz w:val="24"/>
          <w:szCs w:val="24"/>
        </w:rPr>
        <w:t>a</w:t>
      </w:r>
      <w:r w:rsidRPr="00D75D2E">
        <w:rPr>
          <w:rFonts w:ascii="Times New Roman" w:hAnsi="Times New Roman"/>
          <w:spacing w:val="5"/>
          <w:sz w:val="24"/>
          <w:szCs w:val="24"/>
        </w:rPr>
        <w:t>n</w:t>
      </w:r>
      <w:r w:rsidRPr="00D75D2E">
        <w:rPr>
          <w:rFonts w:ascii="Times New Roman" w:hAnsi="Times New Roman"/>
          <w:sz w:val="24"/>
          <w:szCs w:val="24"/>
        </w:rPr>
        <w:t>de prio</w:t>
      </w:r>
      <w:r w:rsidRPr="00D75D2E">
        <w:rPr>
          <w:rFonts w:ascii="Times New Roman" w:hAnsi="Times New Roman"/>
          <w:spacing w:val="-1"/>
          <w:sz w:val="24"/>
          <w:szCs w:val="24"/>
        </w:rPr>
        <w:t>r</w:t>
      </w:r>
      <w:r w:rsidRPr="00D75D2E">
        <w:rPr>
          <w:rFonts w:ascii="Times New Roman" w:hAnsi="Times New Roman"/>
          <w:sz w:val="24"/>
          <w:szCs w:val="24"/>
        </w:rPr>
        <w:t xml:space="preserve">ité </w:t>
      </w:r>
      <w:r w:rsidRPr="00D75D2E">
        <w:rPr>
          <w:rFonts w:ascii="Times New Roman" w:hAnsi="Times New Roman"/>
          <w:spacing w:val="3"/>
          <w:sz w:val="24"/>
          <w:szCs w:val="24"/>
        </w:rPr>
        <w:t>s</w:t>
      </w:r>
      <w:r w:rsidRPr="00D75D2E">
        <w:rPr>
          <w:rFonts w:ascii="Times New Roman" w:hAnsi="Times New Roman"/>
          <w:spacing w:val="-1"/>
          <w:sz w:val="24"/>
          <w:szCs w:val="24"/>
        </w:rPr>
        <w:t>er</w:t>
      </w:r>
      <w:r w:rsidRPr="00D75D2E">
        <w:rPr>
          <w:rFonts w:ascii="Times New Roman" w:hAnsi="Times New Roman"/>
          <w:sz w:val="24"/>
          <w:szCs w:val="24"/>
        </w:rPr>
        <w:t xml:space="preserve">a </w:t>
      </w:r>
      <w:r w:rsidRPr="00D75D2E">
        <w:rPr>
          <w:rFonts w:ascii="Times New Roman" w:hAnsi="Times New Roman"/>
          <w:spacing w:val="1"/>
          <w:sz w:val="24"/>
          <w:szCs w:val="24"/>
        </w:rPr>
        <w:t>a</w:t>
      </w:r>
      <w:r w:rsidRPr="00D75D2E">
        <w:rPr>
          <w:rFonts w:ascii="Times New Roman" w:hAnsi="Times New Roman"/>
          <w:spacing w:val="-1"/>
          <w:sz w:val="24"/>
          <w:szCs w:val="24"/>
        </w:rPr>
        <w:t>cc</w:t>
      </w:r>
      <w:r w:rsidRPr="00D75D2E">
        <w:rPr>
          <w:rFonts w:ascii="Times New Roman" w:hAnsi="Times New Roman"/>
          <w:sz w:val="24"/>
          <w:szCs w:val="24"/>
        </w:rPr>
        <w:t>or</w:t>
      </w:r>
      <w:r w:rsidRPr="00D75D2E">
        <w:rPr>
          <w:rFonts w:ascii="Times New Roman" w:hAnsi="Times New Roman"/>
          <w:spacing w:val="1"/>
          <w:sz w:val="24"/>
          <w:szCs w:val="24"/>
        </w:rPr>
        <w:t>d</w:t>
      </w:r>
      <w:r w:rsidRPr="00D75D2E">
        <w:rPr>
          <w:rFonts w:ascii="Times New Roman" w:hAnsi="Times New Roman"/>
          <w:spacing w:val="-1"/>
          <w:sz w:val="24"/>
          <w:szCs w:val="24"/>
        </w:rPr>
        <w:t>é</w:t>
      </w:r>
      <w:r w:rsidRPr="00D75D2E">
        <w:rPr>
          <w:rFonts w:ascii="Times New Roman" w:hAnsi="Times New Roman"/>
          <w:sz w:val="24"/>
          <w:szCs w:val="24"/>
        </w:rPr>
        <w:t>e à la</w:t>
      </w:r>
      <w:r w:rsidRPr="00D75D2E">
        <w:rPr>
          <w:rFonts w:ascii="Times New Roman" w:hAnsi="Times New Roman"/>
          <w:spacing w:val="-1"/>
          <w:sz w:val="24"/>
          <w:szCs w:val="24"/>
        </w:rPr>
        <w:t xml:space="preserve"> </w:t>
      </w:r>
      <w:r w:rsidRPr="00D75D2E">
        <w:rPr>
          <w:rFonts w:ascii="Times New Roman" w:hAnsi="Times New Roman"/>
          <w:spacing w:val="3"/>
          <w:sz w:val="24"/>
          <w:szCs w:val="24"/>
        </w:rPr>
        <w:t>c</w:t>
      </w:r>
      <w:r w:rsidRPr="00D75D2E">
        <w:rPr>
          <w:rFonts w:ascii="Times New Roman" w:hAnsi="Times New Roman"/>
          <w:spacing w:val="2"/>
          <w:sz w:val="24"/>
          <w:szCs w:val="24"/>
        </w:rPr>
        <w:t>i</w:t>
      </w:r>
      <w:r w:rsidRPr="00D75D2E">
        <w:rPr>
          <w:rFonts w:ascii="Times New Roman" w:hAnsi="Times New Roman"/>
          <w:spacing w:val="-3"/>
          <w:sz w:val="24"/>
          <w:szCs w:val="24"/>
        </w:rPr>
        <w:t>r</w:t>
      </w:r>
      <w:r w:rsidRPr="00D75D2E">
        <w:rPr>
          <w:rFonts w:ascii="Times New Roman" w:hAnsi="Times New Roman"/>
          <w:sz w:val="24"/>
          <w:szCs w:val="24"/>
        </w:rPr>
        <w:t xml:space="preserve">culation </w:t>
      </w:r>
      <w:r w:rsidRPr="00D75D2E">
        <w:rPr>
          <w:rFonts w:ascii="Times New Roman" w:hAnsi="Times New Roman"/>
          <w:spacing w:val="-1"/>
          <w:sz w:val="24"/>
          <w:szCs w:val="24"/>
        </w:rPr>
        <w:t xml:space="preserve">et </w:t>
      </w:r>
      <w:r w:rsidRPr="00D75D2E">
        <w:rPr>
          <w:rFonts w:ascii="Times New Roman" w:hAnsi="Times New Roman"/>
          <w:sz w:val="24"/>
          <w:szCs w:val="24"/>
        </w:rPr>
        <w:t>à la si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a</w:t>
      </w:r>
      <w:r w:rsidRPr="00D75D2E">
        <w:rPr>
          <w:rFonts w:ascii="Times New Roman" w:hAnsi="Times New Roman"/>
          <w:sz w:val="24"/>
          <w:szCs w:val="24"/>
        </w:rPr>
        <w:t>tion p</w:t>
      </w:r>
      <w:r w:rsidRPr="00D75D2E">
        <w:rPr>
          <w:rFonts w:ascii="Times New Roman" w:hAnsi="Times New Roman"/>
          <w:spacing w:val="-1"/>
          <w:sz w:val="24"/>
          <w:szCs w:val="24"/>
        </w:rPr>
        <w:t>e</w:t>
      </w:r>
      <w:r w:rsidRPr="00D75D2E">
        <w:rPr>
          <w:rFonts w:ascii="Times New Roman" w:hAnsi="Times New Roman"/>
          <w:sz w:val="24"/>
          <w:szCs w:val="24"/>
        </w:rPr>
        <w:t>nd</w:t>
      </w:r>
      <w:r w:rsidRPr="00D75D2E">
        <w:rPr>
          <w:rFonts w:ascii="Times New Roman" w:hAnsi="Times New Roman"/>
          <w:spacing w:val="-1"/>
          <w:sz w:val="24"/>
          <w:szCs w:val="24"/>
        </w:rPr>
        <w:t>a</w:t>
      </w:r>
      <w:r w:rsidRPr="00D75D2E">
        <w:rPr>
          <w:rFonts w:ascii="Times New Roman" w:hAnsi="Times New Roman"/>
          <w:sz w:val="24"/>
          <w:szCs w:val="24"/>
        </w:rPr>
        <w:t>nt les t</w:t>
      </w:r>
      <w:r w:rsidRPr="00D75D2E">
        <w:rPr>
          <w:rFonts w:ascii="Times New Roman" w:hAnsi="Times New Roman"/>
          <w:spacing w:val="2"/>
          <w:sz w:val="24"/>
          <w:szCs w:val="24"/>
        </w:rPr>
        <w: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xml:space="preserve">. </w:t>
      </w:r>
      <w:r w:rsidRPr="00D75D2E">
        <w:rPr>
          <w:rFonts w:ascii="Times New Roman" w:hAnsi="Times New Roman"/>
          <w:spacing w:val="-7"/>
          <w:sz w:val="24"/>
          <w:szCs w:val="24"/>
        </w:rPr>
        <w:t>L</w:t>
      </w:r>
      <w:r w:rsidRPr="00D75D2E">
        <w:rPr>
          <w:rFonts w:ascii="Times New Roman" w:hAnsi="Times New Roman"/>
          <w:sz w:val="24"/>
          <w:szCs w:val="24"/>
        </w:rPr>
        <w:t>e</w:t>
      </w:r>
      <w:r w:rsidRPr="00D75D2E">
        <w:rPr>
          <w:rFonts w:ascii="Times New Roman" w:hAnsi="Times New Roman"/>
          <w:spacing w:val="-1"/>
          <w:sz w:val="24"/>
          <w:szCs w:val="24"/>
        </w:rPr>
        <w:t xml:space="preserve"> </w:t>
      </w:r>
      <w:r w:rsidRPr="00D75D2E">
        <w:rPr>
          <w:rFonts w:ascii="Times New Roman" w:hAnsi="Times New Roman"/>
          <w:spacing w:val="2"/>
          <w:sz w:val="24"/>
          <w:szCs w:val="24"/>
        </w:rPr>
        <w:t>c</w:t>
      </w:r>
      <w:r w:rsidRPr="00D75D2E">
        <w:rPr>
          <w:rFonts w:ascii="Times New Roman" w:hAnsi="Times New Roman"/>
          <w:spacing w:val="-1"/>
          <w:sz w:val="24"/>
          <w:szCs w:val="24"/>
        </w:rPr>
        <w:t>h</w:t>
      </w:r>
      <w:r w:rsidRPr="00D75D2E">
        <w:rPr>
          <w:rFonts w:ascii="Times New Roman" w:hAnsi="Times New Roman"/>
          <w:sz w:val="24"/>
          <w:szCs w:val="24"/>
        </w:rPr>
        <w:t>an</w:t>
      </w:r>
      <w:r w:rsidRPr="00D75D2E">
        <w:rPr>
          <w:rFonts w:ascii="Times New Roman" w:hAnsi="Times New Roman"/>
          <w:spacing w:val="3"/>
          <w:sz w:val="24"/>
          <w:szCs w:val="24"/>
        </w:rPr>
        <w:t>t</w:t>
      </w:r>
      <w:r w:rsidRPr="00D75D2E">
        <w:rPr>
          <w:rFonts w:ascii="Times New Roman" w:hAnsi="Times New Roman"/>
          <w:spacing w:val="-1"/>
          <w:sz w:val="24"/>
          <w:szCs w:val="24"/>
        </w:rPr>
        <w:t>i</w:t>
      </w:r>
      <w:r w:rsidRPr="00D75D2E">
        <w:rPr>
          <w:rFonts w:ascii="Times New Roman" w:hAnsi="Times New Roman"/>
          <w:sz w:val="24"/>
          <w:szCs w:val="24"/>
        </w:rPr>
        <w:t>er s</w:t>
      </w:r>
      <w:r w:rsidRPr="00D75D2E">
        <w:rPr>
          <w:rFonts w:ascii="Times New Roman" w:hAnsi="Times New Roman"/>
          <w:spacing w:val="-1"/>
          <w:sz w:val="24"/>
          <w:szCs w:val="24"/>
        </w:rPr>
        <w:t>er</w:t>
      </w:r>
      <w:r w:rsidRPr="00D75D2E">
        <w:rPr>
          <w:rFonts w:ascii="Times New Roman" w:hAnsi="Times New Roman"/>
          <w:sz w:val="24"/>
          <w:szCs w:val="24"/>
        </w:rPr>
        <w:t xml:space="preserve">a </w:t>
      </w:r>
      <w:r w:rsidRPr="00D75D2E">
        <w:rPr>
          <w:rFonts w:ascii="Times New Roman" w:hAnsi="Times New Roman"/>
          <w:spacing w:val="-1"/>
          <w:sz w:val="24"/>
          <w:szCs w:val="24"/>
        </w:rPr>
        <w:t>c</w:t>
      </w:r>
      <w:r w:rsidRPr="00D75D2E">
        <w:rPr>
          <w:rFonts w:ascii="Times New Roman" w:hAnsi="Times New Roman"/>
          <w:sz w:val="24"/>
          <w:szCs w:val="24"/>
        </w:rPr>
        <w:t xml:space="preserve">lôturé </w:t>
      </w:r>
      <w:r w:rsidRPr="00D75D2E">
        <w:rPr>
          <w:rFonts w:ascii="Times New Roman" w:hAnsi="Times New Roman"/>
          <w:spacing w:val="-1"/>
          <w:sz w:val="24"/>
          <w:szCs w:val="24"/>
        </w:rPr>
        <w:t>e</w:t>
      </w:r>
      <w:r w:rsidRPr="00D75D2E">
        <w:rPr>
          <w:rFonts w:ascii="Times New Roman" w:hAnsi="Times New Roman"/>
          <w:sz w:val="24"/>
          <w:szCs w:val="24"/>
        </w:rPr>
        <w:t>t int</w:t>
      </w:r>
      <w:r w:rsidRPr="00D75D2E">
        <w:rPr>
          <w:rFonts w:ascii="Times New Roman" w:hAnsi="Times New Roman"/>
          <w:spacing w:val="-1"/>
          <w:sz w:val="24"/>
          <w:szCs w:val="24"/>
        </w:rPr>
        <w:t>e</w:t>
      </w:r>
      <w:r w:rsidRPr="00D75D2E">
        <w:rPr>
          <w:rFonts w:ascii="Times New Roman" w:hAnsi="Times New Roman"/>
          <w:spacing w:val="2"/>
          <w:sz w:val="24"/>
          <w:szCs w:val="24"/>
        </w:rPr>
        <w:t>r</w:t>
      </w:r>
      <w:r w:rsidRPr="00D75D2E">
        <w:rPr>
          <w:rFonts w:ascii="Times New Roman" w:hAnsi="Times New Roman"/>
          <w:sz w:val="24"/>
          <w:szCs w:val="24"/>
        </w:rPr>
        <w:t xml:space="preserve">dit </w:t>
      </w:r>
      <w:r w:rsidRPr="00D75D2E">
        <w:rPr>
          <w:rFonts w:ascii="Times New Roman" w:hAnsi="Times New Roman"/>
          <w:spacing w:val="-1"/>
          <w:sz w:val="24"/>
          <w:szCs w:val="24"/>
        </w:rPr>
        <w:t>a</w:t>
      </w:r>
      <w:r w:rsidRPr="00D75D2E">
        <w:rPr>
          <w:rFonts w:ascii="Times New Roman" w:hAnsi="Times New Roman"/>
          <w:sz w:val="24"/>
          <w:szCs w:val="24"/>
        </w:rPr>
        <w:t>u publ</w:t>
      </w:r>
      <w:r w:rsidRPr="00D75D2E">
        <w:rPr>
          <w:rFonts w:ascii="Times New Roman" w:hAnsi="Times New Roman"/>
          <w:spacing w:val="4"/>
          <w:sz w:val="24"/>
          <w:szCs w:val="24"/>
        </w:rPr>
        <w:t>ic</w:t>
      </w:r>
      <w:r w:rsidRPr="00D75D2E">
        <w:rPr>
          <w:rFonts w:ascii="Times New Roman" w:hAnsi="Times New Roman"/>
          <w:sz w:val="24"/>
          <w:szCs w:val="24"/>
        </w:rPr>
        <w:t>. Une si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a</w:t>
      </w:r>
      <w:r w:rsidRPr="00D75D2E">
        <w:rPr>
          <w:rFonts w:ascii="Times New Roman" w:hAnsi="Times New Roman"/>
          <w:sz w:val="24"/>
          <w:szCs w:val="24"/>
        </w:rPr>
        <w:t xml:space="preserve">tion </w:t>
      </w:r>
      <w:r w:rsidRPr="00D75D2E">
        <w:rPr>
          <w:rFonts w:ascii="Times New Roman" w:hAnsi="Times New Roman"/>
          <w:spacing w:val="-1"/>
          <w:sz w:val="24"/>
          <w:szCs w:val="24"/>
        </w:rPr>
        <w:t>a</w:t>
      </w:r>
      <w:r w:rsidRPr="00D75D2E">
        <w:rPr>
          <w:rFonts w:ascii="Times New Roman" w:hAnsi="Times New Roman"/>
          <w:sz w:val="24"/>
          <w:szCs w:val="24"/>
        </w:rPr>
        <w:t>d</w:t>
      </w:r>
      <w:r w:rsidRPr="00D75D2E">
        <w:rPr>
          <w:rFonts w:ascii="Times New Roman" w:hAnsi="Times New Roman"/>
          <w:spacing w:val="-1"/>
          <w:sz w:val="24"/>
          <w:szCs w:val="24"/>
        </w:rPr>
        <w:t>é</w:t>
      </w:r>
      <w:r w:rsidRPr="00D75D2E">
        <w:rPr>
          <w:rFonts w:ascii="Times New Roman" w:hAnsi="Times New Roman"/>
          <w:sz w:val="24"/>
          <w:szCs w:val="24"/>
        </w:rPr>
        <w:t>q</w:t>
      </w:r>
      <w:r w:rsidRPr="00D75D2E">
        <w:rPr>
          <w:rFonts w:ascii="Times New Roman" w:hAnsi="Times New Roman"/>
          <w:spacing w:val="2"/>
          <w:sz w:val="24"/>
          <w:szCs w:val="24"/>
        </w:rPr>
        <w:t>u</w:t>
      </w:r>
      <w:r w:rsidRPr="00D75D2E">
        <w:rPr>
          <w:rFonts w:ascii="Times New Roman" w:hAnsi="Times New Roman"/>
          <w:spacing w:val="-1"/>
          <w:sz w:val="24"/>
          <w:szCs w:val="24"/>
        </w:rPr>
        <w:t>a</w:t>
      </w:r>
      <w:r w:rsidRPr="00D75D2E">
        <w:rPr>
          <w:rFonts w:ascii="Times New Roman" w:hAnsi="Times New Roman"/>
          <w:sz w:val="24"/>
          <w:szCs w:val="24"/>
        </w:rPr>
        <w:t xml:space="preserve">te sera </w:t>
      </w:r>
      <w:r w:rsidRPr="00D75D2E">
        <w:rPr>
          <w:rFonts w:ascii="Times New Roman" w:hAnsi="Times New Roman"/>
          <w:spacing w:val="1"/>
          <w:sz w:val="24"/>
          <w:szCs w:val="24"/>
        </w:rPr>
        <w:t>m</w:t>
      </w:r>
      <w:r w:rsidRPr="00D75D2E">
        <w:rPr>
          <w:rFonts w:ascii="Times New Roman" w:hAnsi="Times New Roman"/>
          <w:sz w:val="24"/>
          <w:szCs w:val="24"/>
        </w:rPr>
        <w:t xml:space="preserve">ise </w:t>
      </w:r>
      <w:r w:rsidRPr="00D75D2E">
        <w:rPr>
          <w:rFonts w:ascii="Times New Roman" w:hAnsi="Times New Roman"/>
          <w:spacing w:val="-1"/>
          <w:sz w:val="24"/>
          <w:szCs w:val="24"/>
        </w:rPr>
        <w:t>a</w:t>
      </w:r>
      <w:r w:rsidRPr="00D75D2E">
        <w:rPr>
          <w:rFonts w:ascii="Times New Roman" w:hAnsi="Times New Roman"/>
          <w:sz w:val="24"/>
          <w:szCs w:val="24"/>
        </w:rPr>
        <w:t>u voi</w:t>
      </w:r>
      <w:r w:rsidRPr="00D75D2E">
        <w:rPr>
          <w:rFonts w:ascii="Times New Roman" w:hAnsi="Times New Roman"/>
          <w:spacing w:val="1"/>
          <w:sz w:val="24"/>
          <w:szCs w:val="24"/>
        </w:rPr>
        <w:t>s</w:t>
      </w:r>
      <w:r w:rsidRPr="00D75D2E">
        <w:rPr>
          <w:rFonts w:ascii="Times New Roman" w:hAnsi="Times New Roman"/>
          <w:sz w:val="24"/>
          <w:szCs w:val="24"/>
        </w:rPr>
        <w:t>in</w:t>
      </w:r>
      <w:r w:rsidRPr="00D75D2E">
        <w:rPr>
          <w:rFonts w:ascii="Times New Roman" w:hAnsi="Times New Roman"/>
          <w:spacing w:val="-1"/>
          <w:sz w:val="24"/>
          <w:szCs w:val="24"/>
        </w:rPr>
        <w:t>a</w:t>
      </w:r>
      <w:r w:rsidRPr="00D75D2E">
        <w:rPr>
          <w:rFonts w:ascii="Times New Roman" w:hAnsi="Times New Roman"/>
          <w:sz w:val="24"/>
          <w:szCs w:val="24"/>
        </w:rPr>
        <w:t>ge du s</w:t>
      </w:r>
      <w:r w:rsidRPr="00D75D2E">
        <w:rPr>
          <w:rFonts w:ascii="Times New Roman" w:hAnsi="Times New Roman"/>
          <w:spacing w:val="1"/>
          <w:sz w:val="24"/>
          <w:szCs w:val="24"/>
        </w:rPr>
        <w:t>i</w:t>
      </w:r>
      <w:r w:rsidRPr="00D75D2E">
        <w:rPr>
          <w:rFonts w:ascii="Times New Roman" w:hAnsi="Times New Roman"/>
          <w:sz w:val="24"/>
          <w:szCs w:val="24"/>
        </w:rPr>
        <w:t>te d</w:t>
      </w:r>
      <w:r w:rsidRPr="00D75D2E">
        <w:rPr>
          <w:rFonts w:ascii="Times New Roman" w:hAnsi="Times New Roman"/>
          <w:spacing w:val="-1"/>
          <w:sz w:val="24"/>
          <w:szCs w:val="24"/>
        </w:rPr>
        <w:t>e</w:t>
      </w:r>
      <w:r w:rsidRPr="00D75D2E">
        <w:rPr>
          <w:rFonts w:ascii="Times New Roman" w:hAnsi="Times New Roman"/>
          <w:sz w:val="24"/>
          <w:szCs w:val="24"/>
        </w:rPr>
        <w:t>s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 xml:space="preserve">ux pour </w:t>
      </w:r>
      <w:r w:rsidRPr="00D75D2E">
        <w:rPr>
          <w:rFonts w:ascii="Times New Roman" w:hAnsi="Times New Roman"/>
          <w:spacing w:val="-1"/>
          <w:sz w:val="24"/>
          <w:szCs w:val="24"/>
        </w:rPr>
        <w:t>é</w:t>
      </w:r>
      <w:r w:rsidRPr="00D75D2E">
        <w:rPr>
          <w:rFonts w:ascii="Times New Roman" w:hAnsi="Times New Roman"/>
          <w:sz w:val="24"/>
          <w:szCs w:val="24"/>
        </w:rPr>
        <w:t>v</w:t>
      </w:r>
      <w:r w:rsidRPr="00D75D2E">
        <w:rPr>
          <w:rFonts w:ascii="Times New Roman" w:hAnsi="Times New Roman"/>
          <w:spacing w:val="3"/>
          <w:sz w:val="24"/>
          <w:szCs w:val="24"/>
        </w:rPr>
        <w:t>i</w:t>
      </w:r>
      <w:r w:rsidRPr="00D75D2E">
        <w:rPr>
          <w:rFonts w:ascii="Times New Roman" w:hAnsi="Times New Roman"/>
          <w:sz w:val="24"/>
          <w:szCs w:val="24"/>
        </w:rPr>
        <w:t xml:space="preserve">ter les </w:t>
      </w:r>
      <w:r w:rsidRPr="00D75D2E">
        <w:rPr>
          <w:rFonts w:ascii="Times New Roman" w:hAnsi="Times New Roman"/>
          <w:spacing w:val="-1"/>
          <w:sz w:val="24"/>
          <w:szCs w:val="24"/>
        </w:rPr>
        <w:t>c</w:t>
      </w:r>
      <w:r w:rsidRPr="00D75D2E">
        <w:rPr>
          <w:rFonts w:ascii="Times New Roman" w:hAnsi="Times New Roman"/>
          <w:sz w:val="24"/>
          <w:szCs w:val="24"/>
        </w:rPr>
        <w:t xml:space="preserve">ollisions </w:t>
      </w:r>
      <w:r w:rsidRPr="00D75D2E">
        <w:rPr>
          <w:rFonts w:ascii="Times New Roman" w:hAnsi="Times New Roman"/>
          <w:spacing w:val="2"/>
          <w:sz w:val="24"/>
          <w:szCs w:val="24"/>
        </w:rPr>
        <w:t>d</w:t>
      </w:r>
      <w:r w:rsidRPr="00D75D2E">
        <w:rPr>
          <w:rFonts w:ascii="Times New Roman" w:hAnsi="Times New Roman"/>
          <w:sz w:val="24"/>
          <w:szCs w:val="24"/>
        </w:rPr>
        <w:t>e v</w:t>
      </w:r>
      <w:r w:rsidRPr="00D75D2E">
        <w:rPr>
          <w:rFonts w:ascii="Times New Roman" w:hAnsi="Times New Roman"/>
          <w:spacing w:val="-1"/>
          <w:sz w:val="24"/>
          <w:szCs w:val="24"/>
        </w:rPr>
        <w:t>é</w:t>
      </w:r>
      <w:r w:rsidRPr="00D75D2E">
        <w:rPr>
          <w:rFonts w:ascii="Times New Roman" w:hAnsi="Times New Roman"/>
          <w:sz w:val="24"/>
          <w:szCs w:val="24"/>
        </w:rPr>
        <w:t>hicul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7"/>
          <w:sz w:val="24"/>
          <w:szCs w:val="24"/>
        </w:rPr>
        <w:t>L</w:t>
      </w:r>
      <w:r w:rsidRPr="00D75D2E">
        <w:rPr>
          <w:rFonts w:ascii="Times New Roman" w:hAnsi="Times New Roman"/>
          <w:spacing w:val="-1"/>
          <w:sz w:val="24"/>
          <w:szCs w:val="24"/>
        </w:rPr>
        <w:t>e</w:t>
      </w:r>
      <w:r w:rsidRPr="00D75D2E">
        <w:rPr>
          <w:rFonts w:ascii="Times New Roman" w:hAnsi="Times New Roman"/>
          <w:sz w:val="24"/>
          <w:szCs w:val="24"/>
        </w:rPr>
        <w:t>s si</w:t>
      </w:r>
      <w:r w:rsidRPr="00D75D2E">
        <w:rPr>
          <w:rFonts w:ascii="Times New Roman" w:hAnsi="Times New Roman"/>
          <w:spacing w:val="-2"/>
          <w:sz w:val="24"/>
          <w:szCs w:val="24"/>
        </w:rPr>
        <w:t>g</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5"/>
          <w:sz w:val="24"/>
          <w:szCs w:val="24"/>
        </w:rPr>
        <w:t>s</w:t>
      </w:r>
      <w:r w:rsidRPr="00D75D2E">
        <w:rPr>
          <w:rFonts w:ascii="Times New Roman" w:hAnsi="Times New Roman"/>
          <w:spacing w:val="-12"/>
          <w:sz w:val="24"/>
          <w:szCs w:val="24"/>
        </w:rPr>
        <w:t>y</w:t>
      </w:r>
      <w:r w:rsidRPr="00D75D2E">
        <w:rPr>
          <w:rFonts w:ascii="Times New Roman" w:hAnsi="Times New Roman"/>
          <w:sz w:val="24"/>
          <w:szCs w:val="24"/>
        </w:rPr>
        <w:t>mb</w:t>
      </w:r>
      <w:r w:rsidRPr="00D75D2E">
        <w:rPr>
          <w:rFonts w:ascii="Times New Roman" w:hAnsi="Times New Roman"/>
          <w:spacing w:val="3"/>
          <w:sz w:val="24"/>
          <w:szCs w:val="24"/>
        </w:rPr>
        <w:t>o</w:t>
      </w:r>
      <w:r w:rsidRPr="00D75D2E">
        <w:rPr>
          <w:rFonts w:ascii="Times New Roman" w:hAnsi="Times New Roman"/>
          <w:sz w:val="24"/>
          <w:szCs w:val="24"/>
        </w:rPr>
        <w:t>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n</w:t>
      </w:r>
      <w:r w:rsidRPr="00D75D2E">
        <w:rPr>
          <w:rFonts w:ascii="Times New Roman" w:hAnsi="Times New Roman"/>
          <w:spacing w:val="-1"/>
          <w:sz w:val="24"/>
          <w:szCs w:val="24"/>
        </w:rPr>
        <w:t>éce</w:t>
      </w:r>
      <w:r w:rsidRPr="00D75D2E">
        <w:rPr>
          <w:rFonts w:ascii="Times New Roman" w:hAnsi="Times New Roman"/>
          <w:sz w:val="24"/>
          <w:szCs w:val="24"/>
        </w:rPr>
        <w:t>ss</w:t>
      </w:r>
      <w:r w:rsidRPr="00D75D2E">
        <w:rPr>
          <w:rFonts w:ascii="Times New Roman" w:hAnsi="Times New Roman"/>
          <w:spacing w:val="-1"/>
          <w:sz w:val="24"/>
          <w:szCs w:val="24"/>
        </w:rPr>
        <w:t>a</w:t>
      </w:r>
      <w:r w:rsidRPr="00D75D2E">
        <w:rPr>
          <w:rFonts w:ascii="Times New Roman" w:hAnsi="Times New Roman"/>
          <w:spacing w:val="3"/>
          <w:sz w:val="24"/>
          <w:szCs w:val="24"/>
        </w:rPr>
        <w:t>i</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s à</w:t>
      </w:r>
      <w:r w:rsidRPr="00D75D2E">
        <w:rPr>
          <w:rFonts w:ascii="Times New Roman" w:hAnsi="Times New Roman"/>
          <w:spacing w:val="5"/>
          <w:sz w:val="24"/>
          <w:szCs w:val="24"/>
        </w:rPr>
        <w:t xml:space="preserve"> l</w:t>
      </w:r>
      <w:r w:rsidRPr="00D75D2E">
        <w:rPr>
          <w:rFonts w:ascii="Times New Roman" w:hAnsi="Times New Roman"/>
          <w:sz w:val="24"/>
          <w:szCs w:val="24"/>
        </w:rPr>
        <w:t>a pr</w:t>
      </w:r>
      <w:r w:rsidRPr="00D75D2E">
        <w:rPr>
          <w:rFonts w:ascii="Times New Roman" w:hAnsi="Times New Roman"/>
          <w:spacing w:val="-3"/>
          <w:sz w:val="24"/>
          <w:szCs w:val="24"/>
        </w:rPr>
        <w:t>é</w:t>
      </w:r>
      <w:r w:rsidRPr="00D75D2E">
        <w:rPr>
          <w:rFonts w:ascii="Times New Roman" w:hAnsi="Times New Roman"/>
          <w:spacing w:val="2"/>
          <w:sz w:val="24"/>
          <w:szCs w:val="24"/>
        </w:rPr>
        <w:t>v</w:t>
      </w:r>
      <w:r w:rsidRPr="00D75D2E">
        <w:rPr>
          <w:rFonts w:ascii="Times New Roman" w:hAnsi="Times New Roman"/>
          <w:spacing w:val="-1"/>
          <w:sz w:val="24"/>
          <w:szCs w:val="24"/>
        </w:rPr>
        <w:t>e</w:t>
      </w:r>
      <w:r w:rsidRPr="00D75D2E">
        <w:rPr>
          <w:rFonts w:ascii="Times New Roman" w:hAnsi="Times New Roman"/>
          <w:sz w:val="24"/>
          <w:szCs w:val="24"/>
        </w:rPr>
        <w:t>ntion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acc</w:t>
      </w:r>
      <w:r w:rsidRPr="00D75D2E">
        <w:rPr>
          <w:rFonts w:ascii="Times New Roman" w:hAnsi="Times New Roman"/>
          <w:sz w:val="24"/>
          <w:szCs w:val="24"/>
        </w:rPr>
        <w:t>ide</w:t>
      </w:r>
      <w:r w:rsidRPr="00D75D2E">
        <w:rPr>
          <w:rFonts w:ascii="Times New Roman" w:hAnsi="Times New Roman"/>
          <w:spacing w:val="5"/>
          <w:sz w:val="24"/>
          <w:szCs w:val="24"/>
        </w:rPr>
        <w:t>n</w:t>
      </w:r>
      <w:r w:rsidRPr="00D75D2E">
        <w:rPr>
          <w:rFonts w:ascii="Times New Roman" w:hAnsi="Times New Roman"/>
          <w:sz w:val="24"/>
          <w:szCs w:val="24"/>
        </w:rPr>
        <w:t>ts s</w:t>
      </w:r>
      <w:r w:rsidRPr="00D75D2E">
        <w:rPr>
          <w:rFonts w:ascii="Times New Roman" w:hAnsi="Times New Roman"/>
          <w:spacing w:val="-1"/>
          <w:sz w:val="24"/>
          <w:szCs w:val="24"/>
        </w:rPr>
        <w:t>e</w:t>
      </w:r>
      <w:r w:rsidRPr="00D75D2E">
        <w:rPr>
          <w:rFonts w:ascii="Times New Roman" w:hAnsi="Times New Roman"/>
          <w:sz w:val="24"/>
          <w:szCs w:val="24"/>
        </w:rPr>
        <w:t>ront pl</w:t>
      </w:r>
      <w:r w:rsidRPr="00D75D2E">
        <w:rPr>
          <w:rFonts w:ascii="Times New Roman" w:hAnsi="Times New Roman"/>
          <w:spacing w:val="2"/>
          <w:sz w:val="24"/>
          <w:szCs w:val="24"/>
        </w:rPr>
        <w:t>a</w:t>
      </w:r>
      <w:r w:rsidRPr="00D75D2E">
        <w:rPr>
          <w:rFonts w:ascii="Times New Roman" w:hAnsi="Times New Roman"/>
          <w:spacing w:val="-1"/>
          <w:sz w:val="24"/>
          <w:szCs w:val="24"/>
        </w:rPr>
        <w:t>cé</w:t>
      </w:r>
      <w:r w:rsidRPr="00D75D2E">
        <w:rPr>
          <w:rFonts w:ascii="Times New Roman" w:hAnsi="Times New Roman"/>
          <w:sz w:val="24"/>
          <w:szCs w:val="24"/>
        </w:rPr>
        <w:t>s de mani</w:t>
      </w:r>
      <w:r w:rsidRPr="00D75D2E">
        <w:rPr>
          <w:rFonts w:ascii="Times New Roman" w:hAnsi="Times New Roman"/>
          <w:spacing w:val="-1"/>
          <w:sz w:val="24"/>
          <w:szCs w:val="24"/>
        </w:rPr>
        <w:t>è</w:t>
      </w:r>
      <w:r w:rsidRPr="00D75D2E">
        <w:rPr>
          <w:rFonts w:ascii="Times New Roman" w:hAnsi="Times New Roman"/>
          <w:sz w:val="24"/>
          <w:szCs w:val="24"/>
        </w:rPr>
        <w:t>re vi</w:t>
      </w:r>
      <w:r w:rsidRPr="00D75D2E">
        <w:rPr>
          <w:rFonts w:ascii="Times New Roman" w:hAnsi="Times New Roman"/>
          <w:spacing w:val="1"/>
          <w:sz w:val="24"/>
          <w:szCs w:val="24"/>
        </w:rPr>
        <w:t>s</w:t>
      </w:r>
      <w:r w:rsidRPr="00D75D2E">
        <w:rPr>
          <w:rFonts w:ascii="Times New Roman" w:hAnsi="Times New Roman"/>
          <w:sz w:val="24"/>
          <w:szCs w:val="24"/>
        </w:rPr>
        <w:t xml:space="preserve">ible à tout </w:t>
      </w:r>
      <w:r w:rsidRPr="00D75D2E">
        <w:rPr>
          <w:rFonts w:ascii="Times New Roman" w:hAnsi="Times New Roman"/>
          <w:spacing w:val="3"/>
          <w:sz w:val="24"/>
          <w:szCs w:val="24"/>
        </w:rPr>
        <w:t>m</w:t>
      </w:r>
      <w:r w:rsidRPr="00D75D2E">
        <w:rPr>
          <w:rFonts w:ascii="Times New Roman" w:hAnsi="Times New Roman"/>
          <w:spacing w:val="1"/>
          <w:sz w:val="24"/>
          <w:szCs w:val="24"/>
        </w:rPr>
        <w:t>o</w:t>
      </w:r>
      <w:r w:rsidRPr="00D75D2E">
        <w:rPr>
          <w:rFonts w:ascii="Times New Roman" w:hAnsi="Times New Roman"/>
          <w:sz w:val="24"/>
          <w:szCs w:val="24"/>
        </w:rPr>
        <w:t>m</w:t>
      </w:r>
      <w:r w:rsidRPr="00D75D2E">
        <w:rPr>
          <w:rFonts w:ascii="Times New Roman" w:hAnsi="Times New Roman"/>
          <w:spacing w:val="-1"/>
          <w:sz w:val="24"/>
          <w:szCs w:val="24"/>
        </w:rPr>
        <w:t>e</w:t>
      </w:r>
      <w:r w:rsidRPr="00D75D2E">
        <w:rPr>
          <w:rFonts w:ascii="Times New Roman" w:hAnsi="Times New Roman"/>
          <w:sz w:val="24"/>
          <w:szCs w:val="24"/>
        </w:rPr>
        <w:t xml:space="preserve">nt lors de </w:t>
      </w:r>
      <w:r w:rsidRPr="00D75D2E">
        <w:rPr>
          <w:rFonts w:ascii="Times New Roman" w:hAnsi="Times New Roman"/>
          <w:spacing w:val="3"/>
          <w:sz w:val="24"/>
          <w:szCs w:val="24"/>
        </w:rPr>
        <w:t>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2"/>
          <w:sz w:val="24"/>
          <w:szCs w:val="24"/>
        </w:rPr>
        <w:t>x</w:t>
      </w:r>
      <w:r w:rsidRPr="00D75D2E">
        <w:rPr>
          <w:rFonts w:ascii="Times New Roman" w:hAnsi="Times New Roman"/>
          <w:spacing w:val="-1"/>
          <w:sz w:val="24"/>
          <w:szCs w:val="24"/>
        </w:rPr>
        <w:t>éc</w:t>
      </w:r>
      <w:r w:rsidRPr="00D75D2E">
        <w:rPr>
          <w:rFonts w:ascii="Times New Roman" w:hAnsi="Times New Roman"/>
          <w:sz w:val="24"/>
          <w:szCs w:val="24"/>
        </w:rPr>
        <w:t>uti</w:t>
      </w:r>
      <w:r w:rsidRPr="00D75D2E">
        <w:rPr>
          <w:rFonts w:ascii="Times New Roman" w:hAnsi="Times New Roman"/>
          <w:spacing w:val="2"/>
          <w:sz w:val="24"/>
          <w:szCs w:val="24"/>
        </w:rPr>
        <w:t>o</w:t>
      </w:r>
      <w:r w:rsidRPr="00D75D2E">
        <w:rPr>
          <w:rFonts w:ascii="Times New Roman" w:hAnsi="Times New Roman"/>
          <w:sz w:val="24"/>
          <w:szCs w:val="24"/>
        </w:rPr>
        <w:t>n d</w:t>
      </w:r>
      <w:r w:rsidRPr="00D75D2E">
        <w:rPr>
          <w:rFonts w:ascii="Times New Roman" w:hAnsi="Times New Roman"/>
          <w:spacing w:val="-1"/>
          <w:sz w:val="24"/>
          <w:szCs w:val="24"/>
        </w:rPr>
        <w:t>e</w:t>
      </w:r>
      <w:r w:rsidRPr="00D75D2E">
        <w:rPr>
          <w:rFonts w:ascii="Times New Roman" w:hAnsi="Times New Roman"/>
          <w:sz w:val="24"/>
          <w:szCs w:val="24"/>
        </w:rPr>
        <w:t>s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7"/>
          <w:sz w:val="24"/>
          <w:szCs w:val="24"/>
        </w:rPr>
        <w:t>x</w:t>
      </w:r>
      <w:r w:rsidRPr="00D75D2E">
        <w:rPr>
          <w:rFonts w:ascii="Times New Roman" w:hAnsi="Times New Roman"/>
          <w:sz w:val="24"/>
          <w:szCs w:val="24"/>
        </w:rPr>
        <w:t>. D</w:t>
      </w:r>
      <w:r w:rsidRPr="00D75D2E">
        <w:rPr>
          <w:rFonts w:ascii="Times New Roman" w:hAnsi="Times New Roman"/>
          <w:spacing w:val="-1"/>
          <w:sz w:val="24"/>
          <w:szCs w:val="24"/>
        </w:rPr>
        <w:t>e</w:t>
      </w:r>
      <w:r w:rsidRPr="00D75D2E">
        <w:rPr>
          <w:rFonts w:ascii="Times New Roman" w:hAnsi="Times New Roman"/>
          <w:sz w:val="24"/>
          <w:szCs w:val="24"/>
        </w:rPr>
        <w:t>s p</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2"/>
          <w:sz w:val="24"/>
          <w:szCs w:val="24"/>
        </w:rPr>
        <w:t>n</w:t>
      </w:r>
      <w:r w:rsidRPr="00D75D2E">
        <w:rPr>
          <w:rFonts w:ascii="Times New Roman" w:hAnsi="Times New Roman"/>
          <w:spacing w:val="-1"/>
          <w:sz w:val="24"/>
          <w:szCs w:val="24"/>
        </w:rPr>
        <w:t>ea</w:t>
      </w:r>
      <w:r w:rsidRPr="00D75D2E">
        <w:rPr>
          <w:rFonts w:ascii="Times New Roman" w:hAnsi="Times New Roman"/>
          <w:sz w:val="24"/>
          <w:szCs w:val="24"/>
        </w:rPr>
        <w:t>ux indiqu</w:t>
      </w:r>
      <w:r w:rsidRPr="00D75D2E">
        <w:rPr>
          <w:rFonts w:ascii="Times New Roman" w:hAnsi="Times New Roman"/>
          <w:spacing w:val="-1"/>
          <w:sz w:val="24"/>
          <w:szCs w:val="24"/>
        </w:rPr>
        <w:t>a</w:t>
      </w:r>
      <w:r w:rsidRPr="00D75D2E">
        <w:rPr>
          <w:rFonts w:ascii="Times New Roman" w:hAnsi="Times New Roman"/>
          <w:sz w:val="24"/>
          <w:szCs w:val="24"/>
        </w:rPr>
        <w:t xml:space="preserve">nt </w:t>
      </w:r>
      <w:r w:rsidRPr="00D75D2E">
        <w:rPr>
          <w:rFonts w:ascii="Times New Roman" w:hAnsi="Times New Roman"/>
          <w:spacing w:val="-1"/>
          <w:sz w:val="24"/>
          <w:szCs w:val="24"/>
        </w:rPr>
        <w:t>a</w:t>
      </w:r>
      <w:r w:rsidRPr="00D75D2E">
        <w:rPr>
          <w:rFonts w:ascii="Times New Roman" w:hAnsi="Times New Roman"/>
          <w:sz w:val="24"/>
          <w:szCs w:val="24"/>
        </w:rPr>
        <w:t>ux riv</w:t>
      </w:r>
      <w:r w:rsidRPr="00D75D2E">
        <w:rPr>
          <w:rFonts w:ascii="Times New Roman" w:hAnsi="Times New Roman"/>
          <w:spacing w:val="-1"/>
          <w:sz w:val="24"/>
          <w:szCs w:val="24"/>
        </w:rPr>
        <w:t>er</w:t>
      </w:r>
      <w:r w:rsidRPr="00D75D2E">
        <w:rPr>
          <w:rFonts w:ascii="Times New Roman" w:hAnsi="Times New Roman"/>
          <w:spacing w:val="-3"/>
          <w:sz w:val="24"/>
          <w:szCs w:val="24"/>
        </w:rPr>
        <w:t>a</w:t>
      </w:r>
      <w:r w:rsidRPr="00D75D2E">
        <w:rPr>
          <w:rFonts w:ascii="Times New Roman" w:hAnsi="Times New Roman"/>
          <w:sz w:val="24"/>
          <w:szCs w:val="24"/>
        </w:rPr>
        <w:t>ins la di</w:t>
      </w:r>
      <w:r w:rsidRPr="00D75D2E">
        <w:rPr>
          <w:rFonts w:ascii="Times New Roman" w:hAnsi="Times New Roman"/>
          <w:spacing w:val="2"/>
          <w:sz w:val="24"/>
          <w:szCs w:val="24"/>
        </w:rPr>
        <w:t>r</w:t>
      </w:r>
      <w:r w:rsidRPr="00D75D2E">
        <w:rPr>
          <w:rFonts w:ascii="Times New Roman" w:hAnsi="Times New Roman"/>
          <w:spacing w:val="-1"/>
          <w:sz w:val="24"/>
          <w:szCs w:val="24"/>
        </w:rPr>
        <w:t>ec</w:t>
      </w:r>
      <w:r w:rsidRPr="00D75D2E">
        <w:rPr>
          <w:rFonts w:ascii="Times New Roman" w:hAnsi="Times New Roman"/>
          <w:sz w:val="24"/>
          <w:szCs w:val="24"/>
        </w:rPr>
        <w:t xml:space="preserve">tion de </w:t>
      </w:r>
      <w:r w:rsidRPr="00D75D2E">
        <w:rPr>
          <w:rFonts w:ascii="Times New Roman" w:hAnsi="Times New Roman"/>
          <w:spacing w:val="6"/>
          <w:sz w:val="24"/>
          <w:szCs w:val="24"/>
        </w:rPr>
        <w:t>l</w:t>
      </w:r>
      <w:r w:rsidRPr="00D75D2E">
        <w:rPr>
          <w:rFonts w:ascii="Times New Roman" w:hAnsi="Times New Roman"/>
          <w:sz w:val="24"/>
          <w:szCs w:val="24"/>
        </w:rPr>
        <w:t>a d</w:t>
      </w:r>
      <w:r w:rsidRPr="00D75D2E">
        <w:rPr>
          <w:rFonts w:ascii="Times New Roman" w:hAnsi="Times New Roman"/>
          <w:spacing w:val="-1"/>
          <w:sz w:val="24"/>
          <w:szCs w:val="24"/>
        </w:rPr>
        <w:t>é</w:t>
      </w:r>
      <w:r w:rsidRPr="00D75D2E">
        <w:rPr>
          <w:rFonts w:ascii="Times New Roman" w:hAnsi="Times New Roman"/>
          <w:sz w:val="24"/>
          <w:szCs w:val="24"/>
        </w:rPr>
        <w:t>viation s</w:t>
      </w:r>
      <w:r w:rsidRPr="00D75D2E">
        <w:rPr>
          <w:rFonts w:ascii="Times New Roman" w:hAnsi="Times New Roman"/>
          <w:spacing w:val="-1"/>
          <w:sz w:val="24"/>
          <w:szCs w:val="24"/>
        </w:rPr>
        <w:t>e</w:t>
      </w:r>
      <w:r w:rsidRPr="00D75D2E">
        <w:rPr>
          <w:rFonts w:ascii="Times New Roman" w:hAnsi="Times New Roman"/>
          <w:sz w:val="24"/>
          <w:szCs w:val="24"/>
        </w:rPr>
        <w:t>ront bien m</w:t>
      </w:r>
      <w:r w:rsidRPr="00D75D2E">
        <w:rPr>
          <w:rFonts w:ascii="Times New Roman" w:hAnsi="Times New Roman"/>
          <w:spacing w:val="1"/>
          <w:sz w:val="24"/>
          <w:szCs w:val="24"/>
        </w:rPr>
        <w:t>i</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n pla</w:t>
      </w:r>
      <w:r w:rsidRPr="00D75D2E">
        <w:rPr>
          <w:rFonts w:ascii="Times New Roman" w:hAnsi="Times New Roman"/>
          <w:spacing w:val="-1"/>
          <w:sz w:val="24"/>
          <w:szCs w:val="24"/>
        </w:rPr>
        <w:t>ce</w:t>
      </w:r>
      <w:r w:rsidRPr="00D75D2E">
        <w:rPr>
          <w:rFonts w:ascii="Times New Roman" w:hAnsi="Times New Roman"/>
          <w:sz w:val="24"/>
          <w:szCs w:val="24"/>
        </w:rPr>
        <w:t>.</w:t>
      </w:r>
      <w:r w:rsidRPr="00D75D2E">
        <w:rPr>
          <w:rFonts w:ascii="Times New Roman" w:hAnsi="Times New Roman"/>
          <w:spacing w:val="3"/>
          <w:sz w:val="24"/>
          <w:szCs w:val="24"/>
        </w:rPr>
        <w:t xml:space="preserve"> </w:t>
      </w:r>
      <w:r w:rsidRPr="00D75D2E">
        <w:rPr>
          <w:rFonts w:ascii="Times New Roman" w:hAnsi="Times New Roman"/>
          <w:spacing w:val="-1"/>
          <w:sz w:val="24"/>
          <w:szCs w:val="24"/>
        </w:rPr>
        <w:t>Ce</w:t>
      </w:r>
      <w:r w:rsidRPr="00D75D2E">
        <w:rPr>
          <w:rFonts w:ascii="Times New Roman" w:hAnsi="Times New Roman"/>
          <w:sz w:val="24"/>
          <w:szCs w:val="24"/>
        </w:rPr>
        <w:t xml:space="preserve">ci va limiter </w:t>
      </w:r>
      <w:r w:rsidRPr="00D75D2E">
        <w:rPr>
          <w:rFonts w:ascii="Times New Roman" w:hAnsi="Times New Roman"/>
          <w:spacing w:val="-1"/>
          <w:sz w:val="24"/>
          <w:szCs w:val="24"/>
        </w:rPr>
        <w:t>a</w:t>
      </w:r>
      <w:r w:rsidRPr="00D75D2E">
        <w:rPr>
          <w:rFonts w:ascii="Times New Roman" w:hAnsi="Times New Roman"/>
          <w:sz w:val="24"/>
          <w:szCs w:val="24"/>
        </w:rPr>
        <w:t>u minimum les d</w:t>
      </w:r>
      <w:r w:rsidRPr="00D75D2E">
        <w:rPr>
          <w:rFonts w:ascii="Times New Roman" w:hAnsi="Times New Roman"/>
          <w:spacing w:val="-1"/>
          <w:sz w:val="24"/>
          <w:szCs w:val="24"/>
        </w:rPr>
        <w:t>é</w:t>
      </w:r>
      <w:r w:rsidRPr="00D75D2E">
        <w:rPr>
          <w:rFonts w:ascii="Times New Roman" w:hAnsi="Times New Roman"/>
          <w:sz w:val="24"/>
          <w:szCs w:val="24"/>
        </w:rPr>
        <w:t>s</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pacing w:val="2"/>
          <w:sz w:val="24"/>
          <w:szCs w:val="24"/>
        </w:rPr>
        <w:t>r</w:t>
      </w:r>
      <w:r w:rsidRPr="00D75D2E">
        <w:rPr>
          <w:rFonts w:ascii="Times New Roman" w:hAnsi="Times New Roman"/>
          <w:spacing w:val="-3"/>
          <w:sz w:val="24"/>
          <w:szCs w:val="24"/>
        </w:rPr>
        <w:t>é</w:t>
      </w:r>
      <w:r w:rsidRPr="00D75D2E">
        <w:rPr>
          <w:rFonts w:ascii="Times New Roman" w:hAnsi="Times New Roman"/>
          <w:spacing w:val="3"/>
          <w:sz w:val="24"/>
          <w:szCs w:val="24"/>
        </w:rPr>
        <w:t>m</w:t>
      </w:r>
      <w:r w:rsidRPr="00D75D2E">
        <w:rPr>
          <w:rFonts w:ascii="Times New Roman" w:hAnsi="Times New Roman"/>
          <w:spacing w:val="-1"/>
          <w:sz w:val="24"/>
          <w:szCs w:val="24"/>
        </w:rPr>
        <w:t>e</w:t>
      </w:r>
      <w:r w:rsidRPr="00D75D2E">
        <w:rPr>
          <w:rFonts w:ascii="Times New Roman" w:hAnsi="Times New Roman"/>
          <w:sz w:val="24"/>
          <w:szCs w:val="24"/>
        </w:rPr>
        <w:t>nts c</w:t>
      </w:r>
      <w:r w:rsidRPr="00D75D2E">
        <w:rPr>
          <w:rFonts w:ascii="Times New Roman" w:hAnsi="Times New Roman"/>
          <w:spacing w:val="-1"/>
          <w:sz w:val="24"/>
          <w:szCs w:val="24"/>
        </w:rPr>
        <w:t>a</w:t>
      </w:r>
      <w:r w:rsidRPr="00D75D2E">
        <w:rPr>
          <w:rFonts w:ascii="Times New Roman" w:hAnsi="Times New Roman"/>
          <w:sz w:val="24"/>
          <w:szCs w:val="24"/>
        </w:rPr>
        <w:t>us</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ux riv</w:t>
      </w:r>
      <w:r w:rsidRPr="00D75D2E">
        <w:rPr>
          <w:rFonts w:ascii="Times New Roman" w:hAnsi="Times New Roman"/>
          <w:spacing w:val="-1"/>
          <w:sz w:val="24"/>
          <w:szCs w:val="24"/>
        </w:rPr>
        <w:t>er</w:t>
      </w:r>
      <w:r w:rsidRPr="00D75D2E">
        <w:rPr>
          <w:rFonts w:ascii="Times New Roman" w:hAnsi="Times New Roman"/>
          <w:spacing w:val="-3"/>
          <w:sz w:val="24"/>
          <w:szCs w:val="24"/>
        </w:rPr>
        <w:t>a</w:t>
      </w:r>
      <w:r w:rsidRPr="00D75D2E">
        <w:rPr>
          <w:rFonts w:ascii="Times New Roman" w:hAnsi="Times New Roman"/>
          <w:sz w:val="24"/>
          <w:szCs w:val="24"/>
        </w:rPr>
        <w:t>ins.</w:t>
      </w:r>
    </w:p>
    <w:p w14:paraId="58C98F50" w14:textId="77777777" w:rsidR="000705BE" w:rsidRPr="00D75D2E" w:rsidRDefault="000705BE" w:rsidP="008C79F0">
      <w:pPr>
        <w:widowControl w:val="0"/>
        <w:numPr>
          <w:ilvl w:val="0"/>
          <w:numId w:val="182"/>
        </w:numPr>
        <w:tabs>
          <w:tab w:val="left" w:pos="0"/>
        </w:tabs>
        <w:suppressAutoHyphens/>
        <w:spacing w:before="120" w:after="120" w:line="20" w:lineRule="atLeast"/>
        <w:ind w:right="4418"/>
        <w:jc w:val="both"/>
        <w:rPr>
          <w:rFonts w:ascii="Times New Roman" w:hAnsi="Times New Roman"/>
          <w:sz w:val="24"/>
          <w:szCs w:val="24"/>
        </w:rPr>
      </w:pPr>
      <w:r w:rsidRPr="00D75D2E">
        <w:rPr>
          <w:rFonts w:ascii="Times New Roman" w:hAnsi="Times New Roman"/>
          <w:b/>
          <w:bCs/>
          <w:spacing w:val="-1"/>
          <w:sz w:val="24"/>
          <w:szCs w:val="24"/>
        </w:rPr>
        <w:t>P</w:t>
      </w:r>
      <w:r w:rsidRPr="00D75D2E">
        <w:rPr>
          <w:rFonts w:ascii="Times New Roman" w:hAnsi="Times New Roman"/>
          <w:b/>
          <w:bCs/>
          <w:spacing w:val="-2"/>
          <w:sz w:val="24"/>
          <w:szCs w:val="24"/>
        </w:rPr>
        <w:t>l</w:t>
      </w:r>
      <w:r w:rsidRPr="00D75D2E">
        <w:rPr>
          <w:rFonts w:ascii="Times New Roman" w:hAnsi="Times New Roman"/>
          <w:b/>
          <w:bCs/>
          <w:sz w:val="24"/>
          <w:szCs w:val="24"/>
        </w:rPr>
        <w:t xml:space="preserve">an </w:t>
      </w:r>
      <w:r w:rsidRPr="00D75D2E">
        <w:rPr>
          <w:rFonts w:ascii="Times New Roman" w:hAnsi="Times New Roman"/>
          <w:b/>
          <w:bCs/>
          <w:spacing w:val="1"/>
          <w:sz w:val="24"/>
          <w:szCs w:val="24"/>
        </w:rPr>
        <w:t>d</w:t>
      </w:r>
      <w:r w:rsidRPr="00D75D2E">
        <w:rPr>
          <w:rFonts w:ascii="Times New Roman" w:hAnsi="Times New Roman"/>
          <w:b/>
          <w:bCs/>
          <w:sz w:val="24"/>
          <w:szCs w:val="24"/>
        </w:rPr>
        <w:t>e</w:t>
      </w:r>
      <w:r w:rsidRPr="00D75D2E">
        <w:rPr>
          <w:rFonts w:ascii="Times New Roman" w:hAnsi="Times New Roman"/>
          <w:b/>
          <w:bCs/>
          <w:spacing w:val="-1"/>
          <w:sz w:val="24"/>
          <w:szCs w:val="24"/>
        </w:rPr>
        <w:t xml:space="preserve"> c</w:t>
      </w:r>
      <w:r w:rsidRPr="00D75D2E">
        <w:rPr>
          <w:rFonts w:ascii="Times New Roman" w:hAnsi="Times New Roman"/>
          <w:b/>
          <w:bCs/>
          <w:spacing w:val="3"/>
          <w:sz w:val="24"/>
          <w:szCs w:val="24"/>
        </w:rPr>
        <w:t>i</w:t>
      </w:r>
      <w:r w:rsidRPr="00D75D2E">
        <w:rPr>
          <w:rFonts w:ascii="Times New Roman" w:hAnsi="Times New Roman"/>
          <w:b/>
          <w:bCs/>
          <w:spacing w:val="-1"/>
          <w:sz w:val="24"/>
          <w:szCs w:val="24"/>
        </w:rPr>
        <w:t>rc</w:t>
      </w:r>
      <w:r w:rsidRPr="00D75D2E">
        <w:rPr>
          <w:rFonts w:ascii="Times New Roman" w:hAnsi="Times New Roman"/>
          <w:b/>
          <w:bCs/>
          <w:spacing w:val="1"/>
          <w:sz w:val="24"/>
          <w:szCs w:val="24"/>
        </w:rPr>
        <w:t>u</w:t>
      </w:r>
      <w:r w:rsidRPr="00D75D2E">
        <w:rPr>
          <w:rFonts w:ascii="Times New Roman" w:hAnsi="Times New Roman"/>
          <w:b/>
          <w:bCs/>
          <w:sz w:val="24"/>
          <w:szCs w:val="24"/>
        </w:rPr>
        <w:t>lation</w:t>
      </w:r>
    </w:p>
    <w:p w14:paraId="478BCC4D" w14:textId="77777777" w:rsidR="000705BE" w:rsidRPr="00D75D2E" w:rsidRDefault="000705BE" w:rsidP="00B80123">
      <w:pPr>
        <w:widowControl w:val="0"/>
        <w:tabs>
          <w:tab w:val="left" w:pos="0"/>
        </w:tabs>
        <w:spacing w:before="120" w:after="120" w:line="20" w:lineRule="atLeast"/>
        <w:ind w:left="116" w:right="71"/>
        <w:jc w:val="both"/>
        <w:rPr>
          <w:rFonts w:ascii="Times New Roman" w:hAnsi="Times New Roman"/>
          <w:sz w:val="24"/>
          <w:szCs w:val="24"/>
        </w:rPr>
      </w:pPr>
      <w:r w:rsidRPr="00D75D2E">
        <w:rPr>
          <w:rFonts w:ascii="Times New Roman" w:hAnsi="Times New Roman"/>
          <w:spacing w:val="1"/>
          <w:sz w:val="24"/>
          <w:szCs w:val="24"/>
        </w:rPr>
        <w:t>P</w:t>
      </w:r>
      <w:r w:rsidRPr="00D75D2E">
        <w:rPr>
          <w:rFonts w:ascii="Times New Roman" w:hAnsi="Times New Roman"/>
          <w:spacing w:val="-1"/>
          <w:sz w:val="24"/>
          <w:szCs w:val="24"/>
        </w:rPr>
        <w:t>e</w:t>
      </w:r>
      <w:r w:rsidRPr="00D75D2E">
        <w:rPr>
          <w:rFonts w:ascii="Times New Roman" w:hAnsi="Times New Roman"/>
          <w:sz w:val="24"/>
          <w:szCs w:val="24"/>
        </w:rPr>
        <w:t>nd</w:t>
      </w:r>
      <w:r w:rsidRPr="00D75D2E">
        <w:rPr>
          <w:rFonts w:ascii="Times New Roman" w:hAnsi="Times New Roman"/>
          <w:spacing w:val="-1"/>
          <w:sz w:val="24"/>
          <w:szCs w:val="24"/>
        </w:rPr>
        <w:t>a</w:t>
      </w:r>
      <w:r w:rsidRPr="00D75D2E">
        <w:rPr>
          <w:rFonts w:ascii="Times New Roman" w:hAnsi="Times New Roman"/>
          <w:sz w:val="24"/>
          <w:szCs w:val="24"/>
        </w:rPr>
        <w:t>nt les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la</w:t>
      </w:r>
      <w:r w:rsidRPr="00D75D2E">
        <w:rPr>
          <w:rFonts w:ascii="Times New Roman" w:hAnsi="Times New Roman"/>
          <w:spacing w:val="-1"/>
          <w:sz w:val="24"/>
          <w:szCs w:val="24"/>
        </w:rPr>
        <w:t xml:space="preserve"> c</w:t>
      </w:r>
      <w:r w:rsidRPr="00D75D2E">
        <w:rPr>
          <w:rFonts w:ascii="Times New Roman" w:hAnsi="Times New Roman"/>
          <w:spacing w:val="3"/>
          <w:sz w:val="24"/>
          <w:szCs w:val="24"/>
        </w:rPr>
        <w:t>i</w:t>
      </w:r>
      <w:r w:rsidRPr="00D75D2E">
        <w:rPr>
          <w:rFonts w:ascii="Times New Roman" w:hAnsi="Times New Roman"/>
          <w:spacing w:val="-1"/>
          <w:sz w:val="24"/>
          <w:szCs w:val="24"/>
        </w:rPr>
        <w:t>r</w:t>
      </w:r>
      <w:r w:rsidRPr="00D75D2E">
        <w:rPr>
          <w:rFonts w:ascii="Times New Roman" w:hAnsi="Times New Roman"/>
          <w:spacing w:val="-3"/>
          <w:sz w:val="24"/>
          <w:szCs w:val="24"/>
        </w:rPr>
        <w:t>c</w:t>
      </w:r>
      <w:r w:rsidRPr="00D75D2E">
        <w:rPr>
          <w:rFonts w:ascii="Times New Roman" w:hAnsi="Times New Roman"/>
          <w:sz w:val="24"/>
          <w:szCs w:val="24"/>
        </w:rPr>
        <w:t xml:space="preserve">ulation </w:t>
      </w:r>
      <w:r w:rsidRPr="00D75D2E">
        <w:rPr>
          <w:rFonts w:ascii="Times New Roman" w:hAnsi="Times New Roman"/>
          <w:spacing w:val="-1"/>
          <w:sz w:val="24"/>
          <w:szCs w:val="24"/>
        </w:rPr>
        <w:t>a</w:t>
      </w:r>
      <w:r w:rsidRPr="00D75D2E">
        <w:rPr>
          <w:rFonts w:ascii="Times New Roman" w:hAnsi="Times New Roman"/>
          <w:sz w:val="24"/>
          <w:szCs w:val="24"/>
        </w:rPr>
        <w:t>utomobile</w:t>
      </w:r>
      <w:r w:rsidRPr="00D75D2E">
        <w:rPr>
          <w:rFonts w:ascii="Times New Roman" w:hAnsi="Times New Roman"/>
          <w:spacing w:val="-1"/>
          <w:sz w:val="24"/>
          <w:szCs w:val="24"/>
        </w:rPr>
        <w:t xml:space="preserve"> e</w:t>
      </w:r>
      <w:r w:rsidRPr="00D75D2E">
        <w:rPr>
          <w:rFonts w:ascii="Times New Roman" w:hAnsi="Times New Roman"/>
          <w:sz w:val="24"/>
          <w:szCs w:val="24"/>
        </w:rPr>
        <w:t xml:space="preserve">t </w:t>
      </w:r>
      <w:r w:rsidRPr="00D75D2E">
        <w:rPr>
          <w:rFonts w:ascii="Times New Roman" w:hAnsi="Times New Roman"/>
          <w:spacing w:val="5"/>
          <w:sz w:val="24"/>
          <w:szCs w:val="24"/>
        </w:rPr>
        <w:t>p</w:t>
      </w:r>
      <w:r w:rsidRPr="00D75D2E">
        <w:rPr>
          <w:rFonts w:ascii="Times New Roman" w:hAnsi="Times New Roman"/>
          <w:sz w:val="24"/>
          <w:szCs w:val="24"/>
        </w:rPr>
        <w:t>iétonne s</w:t>
      </w:r>
      <w:r w:rsidRPr="00D75D2E">
        <w:rPr>
          <w:rFonts w:ascii="Times New Roman" w:hAnsi="Times New Roman"/>
          <w:spacing w:val="-1"/>
          <w:sz w:val="24"/>
          <w:szCs w:val="24"/>
        </w:rPr>
        <w:t>e</w:t>
      </w:r>
      <w:r w:rsidRPr="00D75D2E">
        <w:rPr>
          <w:rFonts w:ascii="Times New Roman" w:hAnsi="Times New Roman"/>
          <w:spacing w:val="2"/>
          <w:sz w:val="24"/>
          <w:szCs w:val="24"/>
        </w:rPr>
        <w:t>r</w:t>
      </w:r>
      <w:r w:rsidRPr="00D75D2E">
        <w:rPr>
          <w:rFonts w:ascii="Times New Roman" w:hAnsi="Times New Roman"/>
          <w:sz w:val="24"/>
          <w:szCs w:val="24"/>
        </w:rPr>
        <w:t>a mainten</w:t>
      </w:r>
      <w:r w:rsidRPr="00D75D2E">
        <w:rPr>
          <w:rFonts w:ascii="Times New Roman" w:hAnsi="Times New Roman"/>
          <w:spacing w:val="2"/>
          <w:sz w:val="24"/>
          <w:szCs w:val="24"/>
        </w:rPr>
        <w:t>u</w:t>
      </w:r>
      <w:r w:rsidRPr="00D75D2E">
        <w:rPr>
          <w:rFonts w:ascii="Times New Roman" w:hAnsi="Times New Roman"/>
          <w:sz w:val="24"/>
          <w:szCs w:val="24"/>
        </w:rPr>
        <w:t xml:space="preserve">e </w:t>
      </w:r>
      <w:r w:rsidRPr="00D75D2E">
        <w:rPr>
          <w:rFonts w:ascii="Times New Roman" w:hAnsi="Times New Roman"/>
          <w:spacing w:val="1"/>
          <w:sz w:val="24"/>
          <w:szCs w:val="24"/>
        </w:rPr>
        <w:t>c</w:t>
      </w:r>
      <w:r w:rsidRPr="00D75D2E">
        <w:rPr>
          <w:rFonts w:ascii="Times New Roman" w:hAnsi="Times New Roman"/>
          <w:spacing w:val="-1"/>
          <w:sz w:val="24"/>
          <w:szCs w:val="24"/>
        </w:rPr>
        <w:t>a</w:t>
      </w:r>
      <w:r w:rsidRPr="00D75D2E">
        <w:rPr>
          <w:rFonts w:ascii="Times New Roman" w:hAnsi="Times New Roman"/>
          <w:sz w:val="24"/>
          <w:szCs w:val="24"/>
        </w:rPr>
        <w:t>r les t</w:t>
      </w:r>
      <w:r w:rsidRPr="00D75D2E">
        <w:rPr>
          <w:rFonts w:ascii="Times New Roman" w:hAnsi="Times New Roman"/>
          <w:spacing w:val="2"/>
          <w:sz w:val="24"/>
          <w:szCs w:val="24"/>
        </w:rPr>
        <w: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ux s</w:t>
      </w:r>
      <w:r w:rsidRPr="00D75D2E">
        <w:rPr>
          <w:rFonts w:ascii="Times New Roman" w:hAnsi="Times New Roman"/>
          <w:spacing w:val="-1"/>
          <w:sz w:val="24"/>
          <w:szCs w:val="24"/>
        </w:rPr>
        <w:t>e</w:t>
      </w:r>
      <w:r w:rsidRPr="00D75D2E">
        <w:rPr>
          <w:rFonts w:ascii="Times New Roman" w:hAnsi="Times New Roman"/>
          <w:sz w:val="24"/>
          <w:szCs w:val="24"/>
        </w:rPr>
        <w:t xml:space="preserve">ront </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n d</w:t>
      </w:r>
      <w:r w:rsidRPr="00D75D2E">
        <w:rPr>
          <w:rFonts w:ascii="Times New Roman" w:hAnsi="Times New Roman"/>
          <w:spacing w:val="-1"/>
          <w:sz w:val="24"/>
          <w:szCs w:val="24"/>
        </w:rPr>
        <w:t>e</w:t>
      </w:r>
      <w:r w:rsidRPr="00D75D2E">
        <w:rPr>
          <w:rFonts w:ascii="Times New Roman" w:hAnsi="Times New Roman"/>
          <w:sz w:val="24"/>
          <w:szCs w:val="24"/>
        </w:rPr>
        <w:t xml:space="preserve">mie </w:t>
      </w:r>
      <w:r w:rsidRPr="00D75D2E">
        <w:rPr>
          <w:rFonts w:ascii="Times New Roman" w:hAnsi="Times New Roman"/>
          <w:spacing w:val="-1"/>
          <w:sz w:val="24"/>
          <w:szCs w:val="24"/>
        </w:rPr>
        <w:t>c</w:t>
      </w:r>
      <w:r w:rsidRPr="00D75D2E">
        <w:rPr>
          <w:rFonts w:ascii="Times New Roman" w:hAnsi="Times New Roman"/>
          <w:spacing w:val="2"/>
          <w:sz w:val="24"/>
          <w:szCs w:val="24"/>
        </w:rPr>
        <w:t>h</w:t>
      </w:r>
      <w:r w:rsidRPr="00D75D2E">
        <w:rPr>
          <w:rFonts w:ascii="Times New Roman" w:hAnsi="Times New Roman"/>
          <w:spacing w:val="-1"/>
          <w:sz w:val="24"/>
          <w:szCs w:val="24"/>
        </w:rPr>
        <w:t>a</w:t>
      </w:r>
      <w:r w:rsidRPr="00D75D2E">
        <w:rPr>
          <w:rFonts w:ascii="Times New Roman" w:hAnsi="Times New Roman"/>
          <w:sz w:val="24"/>
          <w:szCs w:val="24"/>
        </w:rPr>
        <w:t>ussé</w:t>
      </w:r>
      <w:r w:rsidRPr="00D75D2E">
        <w:rPr>
          <w:rFonts w:ascii="Times New Roman" w:hAnsi="Times New Roman"/>
          <w:spacing w:val="-1"/>
          <w:sz w:val="24"/>
          <w:szCs w:val="24"/>
        </w:rPr>
        <w:t>e</w:t>
      </w:r>
      <w:r w:rsidRPr="00D75D2E">
        <w:rPr>
          <w:rFonts w:ascii="Times New Roman" w:hAnsi="Times New Roman"/>
          <w:sz w:val="24"/>
          <w:szCs w:val="24"/>
        </w:rPr>
        <w:t>. Tou</w:t>
      </w:r>
      <w:r w:rsidRPr="00D75D2E">
        <w:rPr>
          <w:rFonts w:ascii="Times New Roman" w:hAnsi="Times New Roman"/>
          <w:spacing w:val="-1"/>
          <w:sz w:val="24"/>
          <w:szCs w:val="24"/>
        </w:rPr>
        <w:t>t</w:t>
      </w:r>
      <w:r w:rsidRPr="00D75D2E">
        <w:rPr>
          <w:rFonts w:ascii="Times New Roman" w:hAnsi="Times New Roman"/>
          <w:sz w:val="24"/>
          <w:szCs w:val="24"/>
        </w:rPr>
        <w:t xml:space="preserve">efois, la </w:t>
      </w:r>
      <w:r w:rsidRPr="00D75D2E">
        <w:rPr>
          <w:rFonts w:ascii="Times New Roman" w:hAnsi="Times New Roman"/>
          <w:spacing w:val="-1"/>
          <w:sz w:val="24"/>
          <w:szCs w:val="24"/>
        </w:rPr>
        <w:t>c</w:t>
      </w:r>
      <w:r w:rsidRPr="00D75D2E">
        <w:rPr>
          <w:rFonts w:ascii="Times New Roman" w:hAnsi="Times New Roman"/>
          <w:sz w:val="24"/>
          <w:szCs w:val="24"/>
        </w:rPr>
        <w:t>i</w:t>
      </w:r>
      <w:r w:rsidRPr="00D75D2E">
        <w:rPr>
          <w:rFonts w:ascii="Times New Roman" w:hAnsi="Times New Roman"/>
          <w:spacing w:val="-1"/>
          <w:sz w:val="24"/>
          <w:szCs w:val="24"/>
        </w:rPr>
        <w:t>rc</w:t>
      </w:r>
      <w:r w:rsidRPr="00D75D2E">
        <w:rPr>
          <w:rFonts w:ascii="Times New Roman" w:hAnsi="Times New Roman"/>
          <w:sz w:val="24"/>
          <w:szCs w:val="24"/>
        </w:rPr>
        <w:t>u</w:t>
      </w:r>
      <w:r w:rsidRPr="00D75D2E">
        <w:rPr>
          <w:rFonts w:ascii="Times New Roman" w:hAnsi="Times New Roman"/>
          <w:spacing w:val="3"/>
          <w:sz w:val="24"/>
          <w:szCs w:val="24"/>
        </w:rPr>
        <w:t>l</w:t>
      </w:r>
      <w:r w:rsidRPr="00D75D2E">
        <w:rPr>
          <w:rFonts w:ascii="Times New Roman" w:hAnsi="Times New Roman"/>
          <w:spacing w:val="-1"/>
          <w:sz w:val="24"/>
          <w:szCs w:val="24"/>
        </w:rPr>
        <w:t>a</w:t>
      </w:r>
      <w:r w:rsidRPr="00D75D2E">
        <w:rPr>
          <w:rFonts w:ascii="Times New Roman" w:hAnsi="Times New Roman"/>
          <w:sz w:val="24"/>
          <w:szCs w:val="24"/>
        </w:rPr>
        <w:t>t</w:t>
      </w:r>
      <w:r w:rsidRPr="00D75D2E">
        <w:rPr>
          <w:rFonts w:ascii="Times New Roman" w:hAnsi="Times New Roman"/>
          <w:spacing w:val="1"/>
          <w:sz w:val="24"/>
          <w:szCs w:val="24"/>
        </w:rPr>
        <w:t>i</w:t>
      </w:r>
      <w:r w:rsidRPr="00D75D2E">
        <w:rPr>
          <w:rFonts w:ascii="Times New Roman" w:hAnsi="Times New Roman"/>
          <w:sz w:val="24"/>
          <w:szCs w:val="24"/>
        </w:rPr>
        <w:t xml:space="preserve">on </w:t>
      </w:r>
      <w:r w:rsidRPr="00D75D2E">
        <w:rPr>
          <w:rFonts w:ascii="Times New Roman" w:hAnsi="Times New Roman"/>
          <w:spacing w:val="-1"/>
          <w:sz w:val="24"/>
          <w:szCs w:val="24"/>
        </w:rPr>
        <w:t>a</w:t>
      </w:r>
      <w:r w:rsidRPr="00D75D2E">
        <w:rPr>
          <w:rFonts w:ascii="Times New Roman" w:hAnsi="Times New Roman"/>
          <w:sz w:val="24"/>
          <w:szCs w:val="24"/>
        </w:rPr>
        <w:t>utomo</w:t>
      </w:r>
      <w:r w:rsidRPr="00D75D2E">
        <w:rPr>
          <w:rFonts w:ascii="Times New Roman" w:hAnsi="Times New Roman"/>
          <w:spacing w:val="5"/>
          <w:sz w:val="24"/>
          <w:szCs w:val="24"/>
        </w:rPr>
        <w:t>b</w:t>
      </w:r>
      <w:r w:rsidRPr="00D75D2E">
        <w:rPr>
          <w:rFonts w:ascii="Times New Roman" w:hAnsi="Times New Roman"/>
          <w:sz w:val="24"/>
          <w:szCs w:val="24"/>
        </w:rPr>
        <w:t xml:space="preserve">ile </w:t>
      </w:r>
      <w:r w:rsidRPr="00D75D2E">
        <w:rPr>
          <w:rFonts w:ascii="Times New Roman" w:hAnsi="Times New Roman"/>
          <w:spacing w:val="-1"/>
          <w:sz w:val="24"/>
          <w:szCs w:val="24"/>
        </w:rPr>
        <w:t>e</w:t>
      </w:r>
      <w:r w:rsidRPr="00D75D2E">
        <w:rPr>
          <w:rFonts w:ascii="Times New Roman" w:hAnsi="Times New Roman"/>
          <w:sz w:val="24"/>
          <w:szCs w:val="24"/>
        </w:rPr>
        <w:t>t pié</w:t>
      </w:r>
      <w:r w:rsidRPr="00D75D2E">
        <w:rPr>
          <w:rFonts w:ascii="Times New Roman" w:hAnsi="Times New Roman"/>
          <w:spacing w:val="-4"/>
          <w:sz w:val="24"/>
          <w:szCs w:val="24"/>
        </w:rPr>
        <w:t>t</w:t>
      </w:r>
      <w:r w:rsidRPr="00D75D2E">
        <w:rPr>
          <w:rFonts w:ascii="Times New Roman" w:hAnsi="Times New Roman"/>
          <w:sz w:val="24"/>
          <w:szCs w:val="24"/>
        </w:rPr>
        <w:t>onne s</w:t>
      </w:r>
      <w:r w:rsidRPr="00D75D2E">
        <w:rPr>
          <w:rFonts w:ascii="Times New Roman" w:hAnsi="Times New Roman"/>
          <w:spacing w:val="-1"/>
          <w:sz w:val="24"/>
          <w:szCs w:val="24"/>
        </w:rPr>
        <w:t>e</w:t>
      </w:r>
      <w:r w:rsidRPr="00D75D2E">
        <w:rPr>
          <w:rFonts w:ascii="Times New Roman" w:hAnsi="Times New Roman"/>
          <w:spacing w:val="1"/>
          <w:sz w:val="24"/>
          <w:szCs w:val="24"/>
        </w:rPr>
        <w:t>r</w:t>
      </w:r>
      <w:r w:rsidRPr="00D75D2E">
        <w:rPr>
          <w:rFonts w:ascii="Times New Roman" w:hAnsi="Times New Roman"/>
          <w:sz w:val="24"/>
          <w:szCs w:val="24"/>
        </w:rPr>
        <w:t>a fo</w:t>
      </w:r>
      <w:r w:rsidRPr="00D75D2E">
        <w:rPr>
          <w:rFonts w:ascii="Times New Roman" w:hAnsi="Times New Roman"/>
          <w:spacing w:val="-1"/>
          <w:sz w:val="24"/>
          <w:szCs w:val="24"/>
        </w:rPr>
        <w:t>r</w:t>
      </w:r>
      <w:r w:rsidRPr="00D75D2E">
        <w:rPr>
          <w:rFonts w:ascii="Times New Roman" w:hAnsi="Times New Roman"/>
          <w:spacing w:val="3"/>
          <w:sz w:val="24"/>
          <w:szCs w:val="24"/>
        </w:rPr>
        <w:t>t</w:t>
      </w:r>
      <w:r w:rsidRPr="00D75D2E">
        <w:rPr>
          <w:rFonts w:ascii="Times New Roman" w:hAnsi="Times New Roman"/>
          <w:spacing w:val="-1"/>
          <w:sz w:val="24"/>
          <w:szCs w:val="24"/>
        </w:rPr>
        <w:t>e</w:t>
      </w:r>
      <w:r w:rsidRPr="00D75D2E">
        <w:rPr>
          <w:rFonts w:ascii="Times New Roman" w:hAnsi="Times New Roman"/>
          <w:sz w:val="24"/>
          <w:szCs w:val="24"/>
        </w:rPr>
        <w:t>me</w:t>
      </w:r>
      <w:r w:rsidRPr="00D75D2E">
        <w:rPr>
          <w:rFonts w:ascii="Times New Roman" w:hAnsi="Times New Roman"/>
          <w:spacing w:val="2"/>
          <w:sz w:val="24"/>
          <w:szCs w:val="24"/>
        </w:rPr>
        <w:t>n</w:t>
      </w:r>
      <w:r w:rsidRPr="00D75D2E">
        <w:rPr>
          <w:rFonts w:ascii="Times New Roman" w:hAnsi="Times New Roman"/>
          <w:sz w:val="24"/>
          <w:szCs w:val="24"/>
        </w:rPr>
        <w:t>t p</w:t>
      </w:r>
      <w:r w:rsidRPr="00D75D2E">
        <w:rPr>
          <w:rFonts w:ascii="Times New Roman" w:hAnsi="Times New Roman"/>
          <w:spacing w:val="-1"/>
          <w:sz w:val="24"/>
          <w:szCs w:val="24"/>
        </w:rPr>
        <w:t>e</w:t>
      </w:r>
      <w:r w:rsidRPr="00D75D2E">
        <w:rPr>
          <w:rFonts w:ascii="Times New Roman" w:hAnsi="Times New Roman"/>
          <w:sz w:val="24"/>
          <w:szCs w:val="24"/>
        </w:rPr>
        <w:t>rtu</w:t>
      </w:r>
      <w:r w:rsidRPr="00D75D2E">
        <w:rPr>
          <w:rFonts w:ascii="Times New Roman" w:hAnsi="Times New Roman"/>
          <w:spacing w:val="-1"/>
          <w:sz w:val="24"/>
          <w:szCs w:val="24"/>
        </w:rPr>
        <w:t>r</w:t>
      </w:r>
      <w:r w:rsidRPr="00D75D2E">
        <w:rPr>
          <w:rFonts w:ascii="Times New Roman" w:hAnsi="Times New Roman"/>
          <w:sz w:val="24"/>
          <w:szCs w:val="24"/>
        </w:rPr>
        <w:t>b</w:t>
      </w:r>
      <w:r w:rsidRPr="00D75D2E">
        <w:rPr>
          <w:rFonts w:ascii="Times New Roman" w:hAnsi="Times New Roman"/>
          <w:spacing w:val="-1"/>
          <w:sz w:val="24"/>
          <w:szCs w:val="24"/>
        </w:rPr>
        <w:t>ée</w:t>
      </w:r>
      <w:r w:rsidRPr="00D75D2E">
        <w:rPr>
          <w:rFonts w:ascii="Times New Roman" w:hAnsi="Times New Roman"/>
          <w:sz w:val="24"/>
          <w:szCs w:val="24"/>
        </w:rPr>
        <w:t xml:space="preserve">. Aussi, pour </w:t>
      </w:r>
      <w:r w:rsidRPr="00D75D2E">
        <w:rPr>
          <w:rFonts w:ascii="Times New Roman" w:hAnsi="Times New Roman"/>
          <w:spacing w:val="-1"/>
          <w:sz w:val="24"/>
          <w:szCs w:val="24"/>
        </w:rPr>
        <w:t>é</w:t>
      </w:r>
      <w:r w:rsidRPr="00D75D2E">
        <w:rPr>
          <w:rFonts w:ascii="Times New Roman" w:hAnsi="Times New Roman"/>
          <w:spacing w:val="3"/>
          <w:sz w:val="24"/>
          <w:szCs w:val="24"/>
        </w:rPr>
        <w:t>v</w:t>
      </w:r>
      <w:r w:rsidRPr="00D75D2E">
        <w:rPr>
          <w:rFonts w:ascii="Times New Roman" w:hAnsi="Times New Roman"/>
          <w:sz w:val="24"/>
          <w:szCs w:val="24"/>
        </w:rPr>
        <w:t>it</w:t>
      </w:r>
      <w:r w:rsidRPr="00D75D2E">
        <w:rPr>
          <w:rFonts w:ascii="Times New Roman" w:hAnsi="Times New Roman"/>
          <w:spacing w:val="-1"/>
          <w:sz w:val="24"/>
          <w:szCs w:val="24"/>
        </w:rPr>
        <w:t>e</w:t>
      </w:r>
      <w:r w:rsidRPr="00D75D2E">
        <w:rPr>
          <w:rFonts w:ascii="Times New Roman" w:hAnsi="Times New Roman"/>
          <w:sz w:val="24"/>
          <w:szCs w:val="24"/>
        </w:rPr>
        <w:t>r tout risque d</w:t>
      </w:r>
      <w:r w:rsidRPr="00D75D2E">
        <w:rPr>
          <w:rFonts w:ascii="Times New Roman" w:hAnsi="Times New Roman"/>
          <w:spacing w:val="-2"/>
          <w:sz w:val="24"/>
          <w:szCs w:val="24"/>
        </w:rPr>
        <w:t>'</w:t>
      </w:r>
      <w:r w:rsidRPr="00D75D2E">
        <w:rPr>
          <w:rFonts w:ascii="Times New Roman" w:hAnsi="Times New Roman"/>
          <w:spacing w:val="-1"/>
          <w:sz w:val="24"/>
          <w:szCs w:val="24"/>
        </w:rPr>
        <w:t>acc</w:t>
      </w:r>
      <w:r w:rsidRPr="00D75D2E">
        <w:rPr>
          <w:rFonts w:ascii="Times New Roman" w:hAnsi="Times New Roman"/>
          <w:sz w:val="24"/>
          <w:szCs w:val="24"/>
        </w:rPr>
        <w:t>ident d</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z w:val="24"/>
          <w:szCs w:val="24"/>
        </w:rPr>
        <w:t xml:space="preserve">s les </w:t>
      </w:r>
      <w:r w:rsidRPr="00D75D2E">
        <w:rPr>
          <w:rFonts w:ascii="Times New Roman" w:hAnsi="Times New Roman"/>
          <w:spacing w:val="1"/>
          <w:sz w:val="24"/>
          <w:szCs w:val="24"/>
        </w:rPr>
        <w:t>z</w:t>
      </w:r>
      <w:r w:rsidRPr="00D75D2E">
        <w:rPr>
          <w:rFonts w:ascii="Times New Roman" w:hAnsi="Times New Roman"/>
          <w:sz w:val="24"/>
          <w:szCs w:val="24"/>
        </w:rPr>
        <w:t>on</w:t>
      </w:r>
      <w:r w:rsidRPr="00D75D2E">
        <w:rPr>
          <w:rFonts w:ascii="Times New Roman" w:hAnsi="Times New Roman"/>
          <w:spacing w:val="-1"/>
          <w:sz w:val="24"/>
          <w:szCs w:val="24"/>
        </w:rPr>
        <w:t>e</w:t>
      </w:r>
      <w:r w:rsidRPr="00D75D2E">
        <w:rPr>
          <w:rFonts w:ascii="Times New Roman" w:hAnsi="Times New Roman"/>
          <w:sz w:val="24"/>
          <w:szCs w:val="24"/>
        </w:rPr>
        <w:t>s d</w:t>
      </w:r>
      <w:r w:rsidRPr="00D75D2E">
        <w:rPr>
          <w:rFonts w:ascii="Times New Roman" w:hAnsi="Times New Roman"/>
          <w:spacing w:val="-1"/>
          <w:sz w:val="24"/>
          <w:szCs w:val="24"/>
        </w:rPr>
        <w:t>e</w:t>
      </w:r>
      <w:r w:rsidRPr="00D75D2E">
        <w:rPr>
          <w:rFonts w:ascii="Times New Roman" w:hAnsi="Times New Roman"/>
          <w:sz w:val="24"/>
          <w:szCs w:val="24"/>
        </w:rPr>
        <w:t>s t</w:t>
      </w:r>
      <w:r w:rsidRPr="00D75D2E">
        <w:rPr>
          <w:rFonts w:ascii="Times New Roman" w:hAnsi="Times New Roman"/>
          <w:spacing w:val="-1"/>
          <w:sz w:val="24"/>
          <w:szCs w:val="24"/>
        </w:rPr>
        <w:t>ra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xml:space="preserve">, </w:t>
      </w:r>
      <w:r w:rsidRPr="00D75D2E">
        <w:rPr>
          <w:rFonts w:ascii="Times New Roman" w:hAnsi="Times New Roman"/>
          <w:spacing w:val="1"/>
          <w:sz w:val="24"/>
          <w:szCs w:val="24"/>
        </w:rPr>
        <w:t xml:space="preserve">l’Entreprise </w:t>
      </w:r>
      <w:r w:rsidRPr="00D75D2E">
        <w:rPr>
          <w:rFonts w:ascii="Times New Roman" w:hAnsi="Times New Roman"/>
          <w:sz w:val="24"/>
          <w:szCs w:val="24"/>
        </w:rPr>
        <w:t>info</w:t>
      </w:r>
      <w:r w:rsidRPr="00D75D2E">
        <w:rPr>
          <w:rFonts w:ascii="Times New Roman" w:hAnsi="Times New Roman"/>
          <w:spacing w:val="-1"/>
          <w:sz w:val="24"/>
          <w:szCs w:val="24"/>
        </w:rPr>
        <w:t>r</w:t>
      </w:r>
      <w:r w:rsidRPr="00D75D2E">
        <w:rPr>
          <w:rFonts w:ascii="Times New Roman" w:hAnsi="Times New Roman"/>
          <w:sz w:val="24"/>
          <w:szCs w:val="24"/>
        </w:rPr>
        <w:t>m</w:t>
      </w:r>
      <w:r w:rsidRPr="00D75D2E">
        <w:rPr>
          <w:rFonts w:ascii="Times New Roman" w:hAnsi="Times New Roman"/>
          <w:spacing w:val="-1"/>
          <w:sz w:val="24"/>
          <w:szCs w:val="24"/>
        </w:rPr>
        <w:t>er</w:t>
      </w:r>
      <w:r w:rsidRPr="00D75D2E">
        <w:rPr>
          <w:rFonts w:ascii="Times New Roman" w:hAnsi="Times New Roman"/>
          <w:sz w:val="24"/>
          <w:szCs w:val="24"/>
        </w:rPr>
        <w:t>a l</w:t>
      </w:r>
      <w:r w:rsidRPr="00D75D2E">
        <w:rPr>
          <w:rFonts w:ascii="Times New Roman" w:hAnsi="Times New Roman"/>
          <w:spacing w:val="-1"/>
          <w:sz w:val="24"/>
          <w:szCs w:val="24"/>
        </w:rPr>
        <w:t>ar</w:t>
      </w:r>
      <w:r w:rsidRPr="00D75D2E">
        <w:rPr>
          <w:rFonts w:ascii="Times New Roman" w:hAnsi="Times New Roman"/>
          <w:sz w:val="24"/>
          <w:szCs w:val="24"/>
        </w:rPr>
        <w:t>g</w:t>
      </w:r>
      <w:r w:rsidRPr="00D75D2E">
        <w:rPr>
          <w:rFonts w:ascii="Times New Roman" w:hAnsi="Times New Roman"/>
          <w:spacing w:val="-1"/>
          <w:sz w:val="24"/>
          <w:szCs w:val="24"/>
        </w:rPr>
        <w:t>e</w:t>
      </w:r>
      <w:r w:rsidRPr="00D75D2E">
        <w:rPr>
          <w:rFonts w:ascii="Times New Roman" w:hAnsi="Times New Roman"/>
          <w:sz w:val="24"/>
          <w:szCs w:val="24"/>
        </w:rPr>
        <w:t>ment les us</w:t>
      </w:r>
      <w:r w:rsidRPr="00D75D2E">
        <w:rPr>
          <w:rFonts w:ascii="Times New Roman" w:hAnsi="Times New Roman"/>
          <w:spacing w:val="-1"/>
          <w:sz w:val="24"/>
          <w:szCs w:val="24"/>
        </w:rPr>
        <w:t>a</w:t>
      </w:r>
      <w:r w:rsidRPr="00D75D2E">
        <w:rPr>
          <w:rFonts w:ascii="Times New Roman" w:hAnsi="Times New Roman"/>
          <w:sz w:val="24"/>
          <w:szCs w:val="24"/>
        </w:rPr>
        <w:t>g</w:t>
      </w:r>
      <w:r w:rsidRPr="00D75D2E">
        <w:rPr>
          <w:rFonts w:ascii="Times New Roman" w:hAnsi="Times New Roman"/>
          <w:spacing w:val="-1"/>
          <w:sz w:val="24"/>
          <w:szCs w:val="24"/>
        </w:rPr>
        <w:t>e</w:t>
      </w:r>
      <w:r w:rsidRPr="00D75D2E">
        <w:rPr>
          <w:rFonts w:ascii="Times New Roman" w:hAnsi="Times New Roman"/>
          <w:sz w:val="24"/>
          <w:szCs w:val="24"/>
        </w:rPr>
        <w:t xml:space="preserve">rs </w:t>
      </w:r>
      <w:r w:rsidRPr="00D75D2E">
        <w:rPr>
          <w:rFonts w:ascii="Times New Roman" w:hAnsi="Times New Roman"/>
          <w:spacing w:val="3"/>
          <w:sz w:val="24"/>
          <w:szCs w:val="24"/>
        </w:rPr>
        <w:t>s</w:t>
      </w:r>
      <w:r w:rsidRPr="00D75D2E">
        <w:rPr>
          <w:rFonts w:ascii="Times New Roman" w:hAnsi="Times New Roman"/>
          <w:sz w:val="24"/>
          <w:szCs w:val="24"/>
        </w:rPr>
        <w:t>ur les mo</w:t>
      </w:r>
      <w:r w:rsidRPr="00D75D2E">
        <w:rPr>
          <w:rFonts w:ascii="Times New Roman" w:hAnsi="Times New Roman"/>
          <w:spacing w:val="1"/>
          <w:sz w:val="24"/>
          <w:szCs w:val="24"/>
        </w:rPr>
        <w:t>d</w:t>
      </w:r>
      <w:r w:rsidRPr="00D75D2E">
        <w:rPr>
          <w:rFonts w:ascii="Times New Roman" w:hAnsi="Times New Roman"/>
          <w:sz w:val="24"/>
          <w:szCs w:val="24"/>
        </w:rPr>
        <w:t>i</w:t>
      </w:r>
      <w:r w:rsidRPr="00D75D2E">
        <w:rPr>
          <w:rFonts w:ascii="Times New Roman" w:hAnsi="Times New Roman"/>
          <w:spacing w:val="-1"/>
          <w:sz w:val="24"/>
          <w:szCs w:val="24"/>
        </w:rPr>
        <w:t>f</w:t>
      </w:r>
      <w:r w:rsidRPr="00D75D2E">
        <w:rPr>
          <w:rFonts w:ascii="Times New Roman" w:hAnsi="Times New Roman"/>
          <w:sz w:val="24"/>
          <w:szCs w:val="24"/>
        </w:rPr>
        <w:t>i</w:t>
      </w:r>
      <w:r w:rsidRPr="00D75D2E">
        <w:rPr>
          <w:rFonts w:ascii="Times New Roman" w:hAnsi="Times New Roman"/>
          <w:spacing w:val="-1"/>
          <w:sz w:val="24"/>
          <w:szCs w:val="24"/>
        </w:rPr>
        <w:t>ca</w:t>
      </w:r>
      <w:r w:rsidRPr="00D75D2E">
        <w:rPr>
          <w:rFonts w:ascii="Times New Roman" w:hAnsi="Times New Roman"/>
          <w:sz w:val="24"/>
          <w:szCs w:val="24"/>
        </w:rPr>
        <w:t>tions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c</w:t>
      </w:r>
      <w:r w:rsidRPr="00D75D2E">
        <w:rPr>
          <w:rFonts w:ascii="Times New Roman" w:hAnsi="Times New Roman"/>
          <w:sz w:val="24"/>
          <w:szCs w:val="24"/>
        </w:rPr>
        <w:t xml:space="preserve">onditions de </w:t>
      </w:r>
      <w:r w:rsidRPr="00D75D2E">
        <w:rPr>
          <w:rFonts w:ascii="Times New Roman" w:hAnsi="Times New Roman"/>
          <w:spacing w:val="-1"/>
          <w:sz w:val="24"/>
          <w:szCs w:val="24"/>
        </w:rPr>
        <w:t>c</w:t>
      </w:r>
      <w:r w:rsidRPr="00D75D2E">
        <w:rPr>
          <w:rFonts w:ascii="Times New Roman" w:hAnsi="Times New Roman"/>
          <w:sz w:val="24"/>
          <w:szCs w:val="24"/>
        </w:rPr>
        <w:t>i</w:t>
      </w:r>
      <w:r w:rsidRPr="00D75D2E">
        <w:rPr>
          <w:rFonts w:ascii="Times New Roman" w:hAnsi="Times New Roman"/>
          <w:spacing w:val="-1"/>
          <w:sz w:val="24"/>
          <w:szCs w:val="24"/>
        </w:rPr>
        <w:t>rc</w:t>
      </w:r>
      <w:r w:rsidRPr="00D75D2E">
        <w:rPr>
          <w:rFonts w:ascii="Times New Roman" w:hAnsi="Times New Roman"/>
          <w:sz w:val="24"/>
          <w:szCs w:val="24"/>
        </w:rPr>
        <w:t>ulat</w:t>
      </w:r>
      <w:r w:rsidRPr="00D75D2E">
        <w:rPr>
          <w:rFonts w:ascii="Times New Roman" w:hAnsi="Times New Roman"/>
          <w:spacing w:val="3"/>
          <w:sz w:val="24"/>
          <w:szCs w:val="24"/>
        </w:rPr>
        <w:t>i</w:t>
      </w:r>
      <w:r w:rsidRPr="00D75D2E">
        <w:rPr>
          <w:rFonts w:ascii="Times New Roman" w:hAnsi="Times New Roman"/>
          <w:sz w:val="24"/>
          <w:szCs w:val="24"/>
        </w:rPr>
        <w:t>on p</w:t>
      </w:r>
      <w:r w:rsidRPr="00D75D2E">
        <w:rPr>
          <w:rFonts w:ascii="Times New Roman" w:hAnsi="Times New Roman"/>
          <w:spacing w:val="4"/>
          <w:sz w:val="24"/>
          <w:szCs w:val="24"/>
        </w:rPr>
        <w:t>a</w:t>
      </w:r>
      <w:r w:rsidRPr="00D75D2E">
        <w:rPr>
          <w:rFonts w:ascii="Times New Roman" w:hAnsi="Times New Roman"/>
          <w:sz w:val="24"/>
          <w:szCs w:val="24"/>
        </w:rPr>
        <w:t xml:space="preserve">r les </w:t>
      </w:r>
      <w:r w:rsidRPr="00D75D2E">
        <w:rPr>
          <w:rFonts w:ascii="Times New Roman" w:hAnsi="Times New Roman"/>
          <w:spacing w:val="1"/>
          <w:sz w:val="24"/>
          <w:szCs w:val="24"/>
        </w:rPr>
        <w:t>m</w:t>
      </w:r>
      <w:r w:rsidRPr="00D75D2E">
        <w:rPr>
          <w:rFonts w:ascii="Times New Roman" w:hAnsi="Times New Roman"/>
          <w:spacing w:val="7"/>
          <w:sz w:val="24"/>
          <w:szCs w:val="24"/>
        </w:rPr>
        <w:t>o</w:t>
      </w:r>
      <w:r w:rsidRPr="00D75D2E">
        <w:rPr>
          <w:rFonts w:ascii="Times New Roman" w:hAnsi="Times New Roman"/>
          <w:spacing w:val="-10"/>
          <w:sz w:val="24"/>
          <w:szCs w:val="24"/>
        </w:rPr>
        <w:t>y</w:t>
      </w:r>
      <w:r w:rsidRPr="00D75D2E">
        <w:rPr>
          <w:rFonts w:ascii="Times New Roman" w:hAnsi="Times New Roman"/>
          <w:spacing w:val="-1"/>
          <w:sz w:val="24"/>
          <w:szCs w:val="24"/>
        </w:rPr>
        <w:t>e</w:t>
      </w:r>
      <w:r w:rsidRPr="00D75D2E">
        <w:rPr>
          <w:rFonts w:ascii="Times New Roman" w:hAnsi="Times New Roman"/>
          <w:spacing w:val="2"/>
          <w:sz w:val="24"/>
          <w:szCs w:val="24"/>
        </w:rPr>
        <w:t>n</w:t>
      </w:r>
      <w:r w:rsidRPr="00D75D2E">
        <w:rPr>
          <w:rFonts w:ascii="Times New Roman" w:hAnsi="Times New Roman"/>
          <w:sz w:val="24"/>
          <w:szCs w:val="24"/>
        </w:rPr>
        <w:t>s h</w:t>
      </w:r>
      <w:r w:rsidRPr="00D75D2E">
        <w:rPr>
          <w:rFonts w:ascii="Times New Roman" w:hAnsi="Times New Roman"/>
          <w:spacing w:val="-1"/>
          <w:sz w:val="24"/>
          <w:szCs w:val="24"/>
        </w:rPr>
        <w:t>a</w:t>
      </w:r>
      <w:r w:rsidRPr="00D75D2E">
        <w:rPr>
          <w:rFonts w:ascii="Times New Roman" w:hAnsi="Times New Roman"/>
          <w:sz w:val="24"/>
          <w:szCs w:val="24"/>
        </w:rPr>
        <w:t>bitu</w:t>
      </w:r>
      <w:r w:rsidRPr="00D75D2E">
        <w:rPr>
          <w:rFonts w:ascii="Times New Roman" w:hAnsi="Times New Roman"/>
          <w:spacing w:val="-1"/>
          <w:sz w:val="24"/>
          <w:szCs w:val="24"/>
        </w:rPr>
        <w:t>e</w:t>
      </w:r>
      <w:r w:rsidRPr="00D75D2E">
        <w:rPr>
          <w:rFonts w:ascii="Times New Roman" w:hAnsi="Times New Roman"/>
          <w:sz w:val="24"/>
          <w:szCs w:val="24"/>
        </w:rPr>
        <w:t>ls (p</w:t>
      </w:r>
      <w:r w:rsidRPr="00D75D2E">
        <w:rPr>
          <w:rFonts w:ascii="Times New Roman" w:hAnsi="Times New Roman"/>
          <w:spacing w:val="-1"/>
          <w:sz w:val="24"/>
          <w:szCs w:val="24"/>
        </w:rPr>
        <w:t>a</w:t>
      </w:r>
      <w:r w:rsidRPr="00D75D2E">
        <w:rPr>
          <w:rFonts w:ascii="Times New Roman" w:hAnsi="Times New Roman"/>
          <w:sz w:val="24"/>
          <w:szCs w:val="24"/>
        </w:rPr>
        <w:t>nn</w:t>
      </w:r>
      <w:r w:rsidRPr="00D75D2E">
        <w:rPr>
          <w:rFonts w:ascii="Times New Roman" w:hAnsi="Times New Roman"/>
          <w:spacing w:val="-1"/>
          <w:sz w:val="24"/>
          <w:szCs w:val="24"/>
        </w:rPr>
        <w:t>ea</w:t>
      </w:r>
      <w:r w:rsidRPr="00D75D2E">
        <w:rPr>
          <w:rFonts w:ascii="Times New Roman" w:hAnsi="Times New Roman"/>
          <w:sz w:val="24"/>
          <w:szCs w:val="24"/>
        </w:rPr>
        <w:t>ux de s</w:t>
      </w:r>
      <w:r w:rsidRPr="00D75D2E">
        <w:rPr>
          <w:rFonts w:ascii="Times New Roman" w:hAnsi="Times New Roman"/>
          <w:spacing w:val="1"/>
          <w:sz w:val="24"/>
          <w:szCs w:val="24"/>
        </w:rPr>
        <w:t>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a</w:t>
      </w:r>
      <w:r w:rsidRPr="00D75D2E">
        <w:rPr>
          <w:rFonts w:ascii="Times New Roman" w:hAnsi="Times New Roman"/>
          <w:sz w:val="24"/>
          <w:szCs w:val="24"/>
        </w:rPr>
        <w:t>tion, l</w:t>
      </w:r>
      <w:r w:rsidRPr="00D75D2E">
        <w:rPr>
          <w:rFonts w:ascii="Times New Roman" w:hAnsi="Times New Roman"/>
          <w:spacing w:val="-1"/>
          <w:sz w:val="24"/>
          <w:szCs w:val="24"/>
        </w:rPr>
        <w:t>ea</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rs lo</w:t>
      </w:r>
      <w:r w:rsidRPr="00D75D2E">
        <w:rPr>
          <w:rFonts w:ascii="Times New Roman" w:hAnsi="Times New Roman"/>
          <w:spacing w:val="-1"/>
          <w:sz w:val="24"/>
          <w:szCs w:val="24"/>
        </w:rPr>
        <w:t>ca</w:t>
      </w:r>
      <w:r w:rsidRPr="00D75D2E">
        <w:rPr>
          <w:rFonts w:ascii="Times New Roman" w:hAnsi="Times New Roman"/>
          <w:spacing w:val="5"/>
          <w:sz w:val="24"/>
          <w:szCs w:val="24"/>
        </w:rPr>
        <w:t>u</w:t>
      </w:r>
      <w:r w:rsidRPr="00D75D2E">
        <w:rPr>
          <w:rFonts w:ascii="Times New Roman" w:hAnsi="Times New Roman"/>
          <w:spacing w:val="3"/>
          <w:sz w:val="24"/>
          <w:szCs w:val="24"/>
        </w:rPr>
        <w:t>x</w:t>
      </w:r>
      <w:r w:rsidRPr="00D75D2E">
        <w:rPr>
          <w:rFonts w:ascii="Times New Roman" w:hAnsi="Times New Roman"/>
          <w:sz w:val="24"/>
          <w:szCs w:val="24"/>
        </w:rPr>
        <w:t xml:space="preserve">, </w:t>
      </w:r>
      <w:r w:rsidRPr="00D75D2E">
        <w:rPr>
          <w:rFonts w:ascii="Times New Roman" w:hAnsi="Times New Roman"/>
          <w:spacing w:val="-1"/>
          <w:sz w:val="24"/>
          <w:szCs w:val="24"/>
        </w:rPr>
        <w:t>e</w:t>
      </w:r>
      <w:r w:rsidRPr="00D75D2E">
        <w:rPr>
          <w:rFonts w:ascii="Times New Roman" w:hAnsi="Times New Roman"/>
          <w:sz w:val="24"/>
          <w:szCs w:val="24"/>
        </w:rPr>
        <w:t>tc.</w:t>
      </w:r>
      <w:r w:rsidRPr="00D75D2E">
        <w:rPr>
          <w:rFonts w:ascii="Times New Roman" w:hAnsi="Times New Roman"/>
          <w:spacing w:val="-1"/>
          <w:sz w:val="24"/>
          <w:szCs w:val="24"/>
        </w:rPr>
        <w:t>)</w:t>
      </w:r>
      <w:r w:rsidRPr="00D75D2E">
        <w:rPr>
          <w:rFonts w:ascii="Times New Roman" w:hAnsi="Times New Roman"/>
          <w:sz w:val="24"/>
          <w:szCs w:val="24"/>
        </w:rPr>
        <w:t>.</w:t>
      </w:r>
    </w:p>
    <w:p w14:paraId="59297073" w14:textId="77777777" w:rsidR="000705BE" w:rsidRPr="00D75D2E" w:rsidRDefault="000705BE" w:rsidP="00B80123">
      <w:pPr>
        <w:widowControl w:val="0"/>
        <w:tabs>
          <w:tab w:val="left" w:pos="0"/>
        </w:tabs>
        <w:spacing w:before="120" w:after="120" w:line="20" w:lineRule="atLeast"/>
        <w:ind w:left="116" w:right="75"/>
        <w:jc w:val="both"/>
        <w:rPr>
          <w:rFonts w:ascii="Times New Roman" w:hAnsi="Times New Roman"/>
          <w:sz w:val="24"/>
          <w:szCs w:val="24"/>
        </w:rPr>
      </w:pPr>
      <w:r w:rsidRPr="00D75D2E">
        <w:rPr>
          <w:rFonts w:ascii="Times New Roman" w:hAnsi="Times New Roman"/>
          <w:sz w:val="24"/>
          <w:szCs w:val="24"/>
        </w:rPr>
        <w:t>Elle d</w:t>
      </w:r>
      <w:r w:rsidRPr="00D75D2E">
        <w:rPr>
          <w:rFonts w:ascii="Times New Roman" w:hAnsi="Times New Roman"/>
          <w:spacing w:val="-1"/>
          <w:sz w:val="24"/>
          <w:szCs w:val="24"/>
        </w:rPr>
        <w:t>é</w:t>
      </w:r>
      <w:r w:rsidRPr="00D75D2E">
        <w:rPr>
          <w:rFonts w:ascii="Times New Roman" w:hAnsi="Times New Roman"/>
          <w:sz w:val="24"/>
          <w:szCs w:val="24"/>
        </w:rPr>
        <w:t xml:space="preserve">finira </w:t>
      </w:r>
      <w:r w:rsidRPr="00D75D2E">
        <w:rPr>
          <w:rFonts w:ascii="Times New Roman" w:hAnsi="Times New Roman"/>
          <w:spacing w:val="-1"/>
          <w:sz w:val="24"/>
          <w:szCs w:val="24"/>
        </w:rPr>
        <w:t>e</w:t>
      </w:r>
      <w:r w:rsidRPr="00D75D2E">
        <w:rPr>
          <w:rFonts w:ascii="Times New Roman" w:hAnsi="Times New Roman"/>
          <w:sz w:val="24"/>
          <w:szCs w:val="24"/>
        </w:rPr>
        <w:t xml:space="preserve">t mettra </w:t>
      </w:r>
      <w:r w:rsidRPr="00D75D2E">
        <w:rPr>
          <w:rFonts w:ascii="Times New Roman" w:hAnsi="Times New Roman"/>
          <w:spacing w:val="-1"/>
          <w:sz w:val="24"/>
          <w:szCs w:val="24"/>
        </w:rPr>
        <w:t>e</w:t>
      </w:r>
      <w:r w:rsidRPr="00D75D2E">
        <w:rPr>
          <w:rFonts w:ascii="Times New Roman" w:hAnsi="Times New Roman"/>
          <w:sz w:val="24"/>
          <w:szCs w:val="24"/>
        </w:rPr>
        <w:t xml:space="preserve">n ouvre un </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 xml:space="preserve">mble </w:t>
      </w:r>
      <w:r w:rsidRPr="00D75D2E">
        <w:rPr>
          <w:rFonts w:ascii="Times New Roman" w:hAnsi="Times New Roman"/>
          <w:spacing w:val="2"/>
          <w:sz w:val="24"/>
          <w:szCs w:val="24"/>
        </w:rPr>
        <w:t>d</w:t>
      </w:r>
      <w:r w:rsidRPr="00D75D2E">
        <w:rPr>
          <w:rFonts w:ascii="Times New Roman" w:hAnsi="Times New Roman"/>
          <w:sz w:val="24"/>
          <w:szCs w:val="24"/>
        </w:rPr>
        <w:t>e mesu</w:t>
      </w:r>
      <w:r w:rsidRPr="00D75D2E">
        <w:rPr>
          <w:rFonts w:ascii="Times New Roman" w:hAnsi="Times New Roman"/>
          <w:spacing w:val="-1"/>
          <w:sz w:val="24"/>
          <w:szCs w:val="24"/>
        </w:rPr>
        <w:t>re</w:t>
      </w:r>
      <w:r w:rsidRPr="00D75D2E">
        <w:rPr>
          <w:rFonts w:ascii="Times New Roman" w:hAnsi="Times New Roman"/>
          <w:sz w:val="24"/>
          <w:szCs w:val="24"/>
        </w:rPr>
        <w:t>s pr</w:t>
      </w:r>
      <w:r w:rsidRPr="00D75D2E">
        <w:rPr>
          <w:rFonts w:ascii="Times New Roman" w:hAnsi="Times New Roman"/>
          <w:spacing w:val="-1"/>
          <w:sz w:val="24"/>
          <w:szCs w:val="24"/>
        </w:rPr>
        <w:t>o</w:t>
      </w:r>
      <w:r w:rsidRPr="00D75D2E">
        <w:rPr>
          <w:rFonts w:ascii="Times New Roman" w:hAnsi="Times New Roman"/>
          <w:sz w:val="24"/>
          <w:szCs w:val="24"/>
        </w:rPr>
        <w:t>p</w:t>
      </w:r>
      <w:r w:rsidRPr="00D75D2E">
        <w:rPr>
          <w:rFonts w:ascii="Times New Roman" w:hAnsi="Times New Roman"/>
          <w:spacing w:val="2"/>
          <w:sz w:val="24"/>
          <w:szCs w:val="24"/>
        </w:rPr>
        <w:t>r</w:t>
      </w:r>
      <w:r w:rsidRPr="00D75D2E">
        <w:rPr>
          <w:rFonts w:ascii="Times New Roman" w:hAnsi="Times New Roman"/>
          <w:spacing w:val="-3"/>
          <w:sz w:val="24"/>
          <w:szCs w:val="24"/>
        </w:rPr>
        <w:t xml:space="preserve">es </w:t>
      </w:r>
      <w:r w:rsidRPr="00D75D2E">
        <w:rPr>
          <w:rFonts w:ascii="Times New Roman" w:hAnsi="Times New Roman"/>
          <w:sz w:val="24"/>
          <w:szCs w:val="24"/>
        </w:rPr>
        <w:t xml:space="preserve">à </w:t>
      </w:r>
      <w:r w:rsidRPr="00D75D2E">
        <w:rPr>
          <w:rFonts w:ascii="Times New Roman" w:hAnsi="Times New Roman"/>
          <w:spacing w:val="-1"/>
          <w:sz w:val="24"/>
          <w:szCs w:val="24"/>
        </w:rPr>
        <w:t>a</w:t>
      </w:r>
      <w:r w:rsidRPr="00D75D2E">
        <w:rPr>
          <w:rFonts w:ascii="Times New Roman" w:hAnsi="Times New Roman"/>
          <w:sz w:val="24"/>
          <w:szCs w:val="24"/>
        </w:rPr>
        <w:t>ssu</w:t>
      </w:r>
      <w:r w:rsidRPr="00D75D2E">
        <w:rPr>
          <w:rFonts w:ascii="Times New Roman" w:hAnsi="Times New Roman"/>
          <w:spacing w:val="2"/>
          <w:sz w:val="24"/>
          <w:szCs w:val="24"/>
        </w:rPr>
        <w:t>r</w:t>
      </w:r>
      <w:r w:rsidRPr="00D75D2E">
        <w:rPr>
          <w:rFonts w:ascii="Times New Roman" w:hAnsi="Times New Roman"/>
          <w:spacing w:val="1"/>
          <w:sz w:val="24"/>
          <w:szCs w:val="24"/>
        </w:rPr>
        <w:t>e</w:t>
      </w:r>
      <w:r w:rsidRPr="00D75D2E">
        <w:rPr>
          <w:rFonts w:ascii="Times New Roman" w:hAnsi="Times New Roman"/>
          <w:sz w:val="24"/>
          <w:szCs w:val="24"/>
        </w:rPr>
        <w:t>r la</w:t>
      </w:r>
      <w:r w:rsidRPr="00D75D2E">
        <w:rPr>
          <w:rFonts w:ascii="Times New Roman" w:hAnsi="Times New Roman"/>
          <w:spacing w:val="2"/>
          <w:sz w:val="24"/>
          <w:szCs w:val="24"/>
        </w:rPr>
        <w:t xml:space="preserve"> p</w:t>
      </w:r>
      <w:r w:rsidRPr="00D75D2E">
        <w:rPr>
          <w:rFonts w:ascii="Times New Roman" w:hAnsi="Times New Roman"/>
          <w:sz w:val="24"/>
          <w:szCs w:val="24"/>
        </w:rPr>
        <w:t>rot</w:t>
      </w:r>
      <w:r w:rsidRPr="00D75D2E">
        <w:rPr>
          <w:rFonts w:ascii="Times New Roman" w:hAnsi="Times New Roman"/>
          <w:spacing w:val="-1"/>
          <w:sz w:val="24"/>
          <w:szCs w:val="24"/>
        </w:rPr>
        <w:t>ec</w:t>
      </w:r>
      <w:r w:rsidRPr="00D75D2E">
        <w:rPr>
          <w:rFonts w:ascii="Times New Roman" w:hAnsi="Times New Roman"/>
          <w:sz w:val="24"/>
          <w:szCs w:val="24"/>
        </w:rPr>
        <w:t>tion</w:t>
      </w:r>
      <w:r w:rsidRPr="00D75D2E">
        <w:rPr>
          <w:rFonts w:ascii="Times New Roman" w:hAnsi="Times New Roman"/>
          <w:spacing w:val="2"/>
          <w:sz w:val="24"/>
          <w:szCs w:val="24"/>
        </w:rPr>
        <w:t xml:space="preserve"> </w:t>
      </w:r>
      <w:r w:rsidRPr="00D75D2E">
        <w:rPr>
          <w:rFonts w:ascii="Times New Roman" w:hAnsi="Times New Roman"/>
          <w:sz w:val="24"/>
          <w:szCs w:val="24"/>
        </w:rPr>
        <w:t xml:space="preserve">de la population </w:t>
      </w:r>
      <w:r w:rsidRPr="00D75D2E">
        <w:rPr>
          <w:rFonts w:ascii="Times New Roman" w:hAnsi="Times New Roman"/>
          <w:spacing w:val="-1"/>
          <w:sz w:val="24"/>
          <w:szCs w:val="24"/>
        </w:rPr>
        <w:t>e</w:t>
      </w:r>
      <w:r w:rsidRPr="00D75D2E">
        <w:rPr>
          <w:rFonts w:ascii="Times New Roman" w:hAnsi="Times New Roman"/>
          <w:sz w:val="24"/>
          <w:szCs w:val="24"/>
        </w:rPr>
        <w:t>t de son environn</w:t>
      </w:r>
      <w:r w:rsidRPr="00D75D2E">
        <w:rPr>
          <w:rFonts w:ascii="Times New Roman" w:hAnsi="Times New Roman"/>
          <w:spacing w:val="-1"/>
          <w:sz w:val="24"/>
          <w:szCs w:val="24"/>
        </w:rPr>
        <w:t>e</w:t>
      </w:r>
      <w:r w:rsidRPr="00D75D2E">
        <w:rPr>
          <w:rFonts w:ascii="Times New Roman" w:hAnsi="Times New Roman"/>
          <w:sz w:val="24"/>
          <w:szCs w:val="24"/>
        </w:rPr>
        <w:t xml:space="preserve">ment </w:t>
      </w:r>
      <w:r w:rsidRPr="00D75D2E">
        <w:rPr>
          <w:rFonts w:ascii="Times New Roman" w:hAnsi="Times New Roman"/>
          <w:spacing w:val="-1"/>
          <w:sz w:val="24"/>
          <w:szCs w:val="24"/>
        </w:rPr>
        <w:t>c</w:t>
      </w:r>
      <w:r w:rsidRPr="00D75D2E">
        <w:rPr>
          <w:rFonts w:ascii="Times New Roman" w:hAnsi="Times New Roman"/>
          <w:sz w:val="24"/>
          <w:szCs w:val="24"/>
        </w:rPr>
        <w:t xml:space="preserve">ontre </w:t>
      </w:r>
      <w:r w:rsidRPr="00D75D2E">
        <w:rPr>
          <w:rFonts w:ascii="Times New Roman" w:hAnsi="Times New Roman"/>
          <w:spacing w:val="1"/>
          <w:sz w:val="24"/>
          <w:szCs w:val="24"/>
        </w:rPr>
        <w:t>le</w:t>
      </w:r>
      <w:r w:rsidRPr="00D75D2E">
        <w:rPr>
          <w:rFonts w:ascii="Times New Roman" w:hAnsi="Times New Roman"/>
          <w:sz w:val="24"/>
          <w:szCs w:val="24"/>
        </w:rPr>
        <w:t xml:space="preserve">s </w:t>
      </w:r>
      <w:r w:rsidRPr="00D75D2E">
        <w:rPr>
          <w:rFonts w:ascii="Times New Roman" w:hAnsi="Times New Roman"/>
          <w:spacing w:val="-1"/>
          <w:sz w:val="24"/>
          <w:szCs w:val="24"/>
        </w:rPr>
        <w:t>acc</w:t>
      </w:r>
      <w:r w:rsidRPr="00D75D2E">
        <w:rPr>
          <w:rFonts w:ascii="Times New Roman" w:hAnsi="Times New Roman"/>
          <w:sz w:val="24"/>
          <w:szCs w:val="24"/>
        </w:rPr>
        <w:t>idents q</w:t>
      </w:r>
      <w:r w:rsidRPr="00D75D2E">
        <w:rPr>
          <w:rFonts w:ascii="Times New Roman" w:hAnsi="Times New Roman"/>
          <w:spacing w:val="-2"/>
          <w:sz w:val="24"/>
          <w:szCs w:val="24"/>
        </w:rPr>
        <w:t>u</w:t>
      </w:r>
      <w:r w:rsidRPr="00D75D2E">
        <w:rPr>
          <w:rFonts w:ascii="Times New Roman" w:hAnsi="Times New Roman"/>
          <w:sz w:val="24"/>
          <w:szCs w:val="24"/>
        </w:rPr>
        <w:t xml:space="preserve">i </w:t>
      </w:r>
      <w:r w:rsidRPr="00D75D2E">
        <w:rPr>
          <w:rFonts w:ascii="Times New Roman" w:hAnsi="Times New Roman"/>
          <w:spacing w:val="-1"/>
          <w:sz w:val="24"/>
          <w:szCs w:val="24"/>
        </w:rPr>
        <w:t>p</w:t>
      </w:r>
      <w:r w:rsidRPr="00D75D2E">
        <w:rPr>
          <w:rFonts w:ascii="Times New Roman" w:hAnsi="Times New Roman"/>
          <w:sz w:val="24"/>
          <w:szCs w:val="24"/>
        </w:rPr>
        <w:t>eu</w:t>
      </w:r>
      <w:r w:rsidRPr="00D75D2E">
        <w:rPr>
          <w:rFonts w:ascii="Times New Roman" w:hAnsi="Times New Roman"/>
          <w:spacing w:val="-1"/>
          <w:sz w:val="24"/>
          <w:szCs w:val="24"/>
        </w:rPr>
        <w:t>v</w:t>
      </w:r>
      <w:r w:rsidRPr="00D75D2E">
        <w:rPr>
          <w:rFonts w:ascii="Times New Roman" w:hAnsi="Times New Roman"/>
          <w:sz w:val="24"/>
          <w:szCs w:val="24"/>
        </w:rPr>
        <w:t>ent surv</w:t>
      </w:r>
      <w:r w:rsidRPr="00D75D2E">
        <w:rPr>
          <w:rFonts w:ascii="Times New Roman" w:hAnsi="Times New Roman"/>
          <w:spacing w:val="-1"/>
          <w:sz w:val="24"/>
          <w:szCs w:val="24"/>
        </w:rPr>
        <w:t>e</w:t>
      </w:r>
      <w:r w:rsidRPr="00D75D2E">
        <w:rPr>
          <w:rFonts w:ascii="Times New Roman" w:hAnsi="Times New Roman"/>
          <w:sz w:val="24"/>
          <w:szCs w:val="24"/>
        </w:rPr>
        <w:t>nir p</w:t>
      </w:r>
      <w:r w:rsidRPr="00D75D2E">
        <w:rPr>
          <w:rFonts w:ascii="Times New Roman" w:hAnsi="Times New Roman"/>
          <w:spacing w:val="-1"/>
          <w:sz w:val="24"/>
          <w:szCs w:val="24"/>
        </w:rPr>
        <w:t>e</w:t>
      </w:r>
      <w:r w:rsidRPr="00D75D2E">
        <w:rPr>
          <w:rFonts w:ascii="Times New Roman" w:hAnsi="Times New Roman"/>
          <w:sz w:val="24"/>
          <w:szCs w:val="24"/>
        </w:rPr>
        <w:t>nd</w:t>
      </w:r>
      <w:r w:rsidRPr="00D75D2E">
        <w:rPr>
          <w:rFonts w:ascii="Times New Roman" w:hAnsi="Times New Roman"/>
          <w:spacing w:val="-1"/>
          <w:sz w:val="24"/>
          <w:szCs w:val="24"/>
        </w:rPr>
        <w:t>a</w:t>
      </w:r>
      <w:r w:rsidRPr="00D75D2E">
        <w:rPr>
          <w:rFonts w:ascii="Times New Roman" w:hAnsi="Times New Roman"/>
          <w:sz w:val="24"/>
          <w:szCs w:val="24"/>
        </w:rPr>
        <w:t>nt l</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2"/>
          <w:sz w:val="24"/>
          <w:szCs w:val="24"/>
        </w:rPr>
        <w:t>x</w:t>
      </w:r>
      <w:r w:rsidRPr="00D75D2E">
        <w:rPr>
          <w:rFonts w:ascii="Times New Roman" w:hAnsi="Times New Roman"/>
          <w:spacing w:val="-1"/>
          <w:sz w:val="24"/>
          <w:szCs w:val="24"/>
        </w:rPr>
        <w:t>éc</w:t>
      </w:r>
      <w:r w:rsidRPr="00D75D2E">
        <w:rPr>
          <w:rFonts w:ascii="Times New Roman" w:hAnsi="Times New Roman"/>
          <w:sz w:val="24"/>
          <w:szCs w:val="24"/>
        </w:rPr>
        <w:t>ution d</w:t>
      </w:r>
      <w:r w:rsidRPr="00D75D2E">
        <w:rPr>
          <w:rFonts w:ascii="Times New Roman" w:hAnsi="Times New Roman"/>
          <w:spacing w:val="-1"/>
          <w:sz w:val="24"/>
          <w:szCs w:val="24"/>
        </w:rPr>
        <w:t>e</w:t>
      </w:r>
      <w:r w:rsidRPr="00D75D2E">
        <w:rPr>
          <w:rFonts w:ascii="Times New Roman" w:hAnsi="Times New Roman"/>
          <w:sz w:val="24"/>
          <w:szCs w:val="24"/>
        </w:rPr>
        <w:t>s tr</w:t>
      </w:r>
      <w:r w:rsidRPr="00D75D2E">
        <w:rPr>
          <w:rFonts w:ascii="Times New Roman" w:hAnsi="Times New Roman"/>
          <w:spacing w:val="-1"/>
          <w:sz w:val="24"/>
          <w:szCs w:val="24"/>
        </w:rPr>
        <w:t>a</w:t>
      </w:r>
      <w:r w:rsidRPr="00D75D2E">
        <w:rPr>
          <w:rFonts w:ascii="Times New Roman" w:hAnsi="Times New Roman"/>
          <w:spacing w:val="2"/>
          <w:sz w:val="24"/>
          <w:szCs w:val="24"/>
        </w:rPr>
        <w:t>v</w:t>
      </w:r>
      <w:r w:rsidRPr="00D75D2E">
        <w:rPr>
          <w:rFonts w:ascii="Times New Roman" w:hAnsi="Times New Roman"/>
          <w:spacing w:val="-1"/>
          <w:sz w:val="24"/>
          <w:szCs w:val="24"/>
        </w:rPr>
        <w:t>a</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w:t>
      </w:r>
    </w:p>
    <w:p w14:paraId="25CBDAC0" w14:textId="77777777" w:rsidR="000705BE" w:rsidRPr="00D75D2E" w:rsidRDefault="000705BE" w:rsidP="00B80123">
      <w:pPr>
        <w:widowControl w:val="0"/>
        <w:tabs>
          <w:tab w:val="left" w:pos="0"/>
        </w:tabs>
        <w:spacing w:before="120" w:after="120" w:line="20" w:lineRule="atLeast"/>
        <w:ind w:left="116" w:right="72"/>
        <w:jc w:val="both"/>
        <w:rPr>
          <w:rFonts w:ascii="Times New Roman" w:hAnsi="Times New Roman"/>
          <w:spacing w:val="-1"/>
          <w:sz w:val="24"/>
          <w:szCs w:val="24"/>
        </w:rPr>
      </w:pPr>
      <w:r w:rsidRPr="00D75D2E">
        <w:rPr>
          <w:rFonts w:ascii="Times New Roman" w:hAnsi="Times New Roman"/>
          <w:spacing w:val="1"/>
          <w:sz w:val="24"/>
          <w:szCs w:val="24"/>
        </w:rPr>
        <w:t>C</w:t>
      </w:r>
      <w:r w:rsidRPr="00D75D2E">
        <w:rPr>
          <w:rFonts w:ascii="Times New Roman" w:hAnsi="Times New Roman"/>
          <w:spacing w:val="-1"/>
          <w:sz w:val="24"/>
          <w:szCs w:val="24"/>
        </w:rPr>
        <w:t>e</w:t>
      </w:r>
      <w:r w:rsidRPr="00D75D2E">
        <w:rPr>
          <w:rFonts w:ascii="Times New Roman" w:hAnsi="Times New Roman"/>
          <w:sz w:val="24"/>
          <w:szCs w:val="24"/>
        </w:rPr>
        <w:t>s mesu</w:t>
      </w:r>
      <w:r w:rsidRPr="00D75D2E">
        <w:rPr>
          <w:rFonts w:ascii="Times New Roman" w:hAnsi="Times New Roman"/>
          <w:spacing w:val="-1"/>
          <w:sz w:val="24"/>
          <w:szCs w:val="24"/>
        </w:rPr>
        <w:t>re</w:t>
      </w:r>
      <w:r w:rsidRPr="00D75D2E">
        <w:rPr>
          <w:rFonts w:ascii="Times New Roman" w:hAnsi="Times New Roman"/>
          <w:sz w:val="24"/>
          <w:szCs w:val="24"/>
        </w:rPr>
        <w:t>s v</w:t>
      </w:r>
      <w:r w:rsidRPr="00D75D2E">
        <w:rPr>
          <w:rFonts w:ascii="Times New Roman" w:hAnsi="Times New Roman"/>
          <w:spacing w:val="-2"/>
          <w:sz w:val="24"/>
          <w:szCs w:val="24"/>
        </w:rPr>
        <w:t>i</w:t>
      </w:r>
      <w:r w:rsidRPr="00D75D2E">
        <w:rPr>
          <w:rFonts w:ascii="Times New Roman" w:hAnsi="Times New Roman"/>
          <w:sz w:val="24"/>
          <w:szCs w:val="24"/>
        </w:rPr>
        <w:t>s</w:t>
      </w:r>
      <w:r w:rsidRPr="00D75D2E">
        <w:rPr>
          <w:rFonts w:ascii="Times New Roman" w:hAnsi="Times New Roman"/>
          <w:spacing w:val="-1"/>
          <w:sz w:val="24"/>
          <w:szCs w:val="24"/>
        </w:rPr>
        <w:t>e</w:t>
      </w:r>
      <w:r w:rsidRPr="00D75D2E">
        <w:rPr>
          <w:rFonts w:ascii="Times New Roman" w:hAnsi="Times New Roman"/>
          <w:sz w:val="24"/>
          <w:szCs w:val="24"/>
        </w:rPr>
        <w:t>nt à</w:t>
      </w:r>
      <w:r w:rsidRPr="00D75D2E">
        <w:rPr>
          <w:rFonts w:ascii="Times New Roman" w:hAnsi="Times New Roman"/>
          <w:spacing w:val="2"/>
          <w:sz w:val="24"/>
          <w:szCs w:val="24"/>
        </w:rPr>
        <w:t xml:space="preserve"> ré</w:t>
      </w:r>
      <w:r w:rsidRPr="00D75D2E">
        <w:rPr>
          <w:rFonts w:ascii="Times New Roman" w:hAnsi="Times New Roman"/>
          <w:sz w:val="24"/>
          <w:szCs w:val="24"/>
        </w:rPr>
        <w:t xml:space="preserve">duire ou limiter à </w:t>
      </w:r>
      <w:r w:rsidRPr="00D75D2E">
        <w:rPr>
          <w:rFonts w:ascii="Times New Roman" w:hAnsi="Times New Roman"/>
          <w:spacing w:val="5"/>
          <w:sz w:val="24"/>
          <w:szCs w:val="24"/>
        </w:rPr>
        <w:t>l</w:t>
      </w:r>
      <w:r w:rsidRPr="00D75D2E">
        <w:rPr>
          <w:rFonts w:ascii="Times New Roman" w:hAnsi="Times New Roman"/>
          <w:sz w:val="24"/>
          <w:szCs w:val="24"/>
        </w:rPr>
        <w:t>a s</w:t>
      </w:r>
      <w:r w:rsidRPr="00D75D2E">
        <w:rPr>
          <w:rFonts w:ascii="Times New Roman" w:hAnsi="Times New Roman"/>
          <w:spacing w:val="2"/>
          <w:sz w:val="24"/>
          <w:szCs w:val="24"/>
        </w:rPr>
        <w:t>o</w:t>
      </w:r>
      <w:r w:rsidRPr="00D75D2E">
        <w:rPr>
          <w:rFonts w:ascii="Times New Roman" w:hAnsi="Times New Roman"/>
          <w:sz w:val="24"/>
          <w:szCs w:val="24"/>
        </w:rPr>
        <w:t>ur</w:t>
      </w:r>
      <w:r w:rsidRPr="00D75D2E">
        <w:rPr>
          <w:rFonts w:ascii="Times New Roman" w:hAnsi="Times New Roman"/>
          <w:spacing w:val="-3"/>
          <w:sz w:val="24"/>
          <w:szCs w:val="24"/>
        </w:rPr>
        <w:t>c</w:t>
      </w:r>
      <w:r w:rsidRPr="00D75D2E">
        <w:rPr>
          <w:rFonts w:ascii="Times New Roman" w:hAnsi="Times New Roman"/>
          <w:sz w:val="24"/>
          <w:szCs w:val="24"/>
        </w:rPr>
        <w:t xml:space="preserve">e les </w:t>
      </w:r>
      <w:r w:rsidRPr="00D75D2E">
        <w:rPr>
          <w:rFonts w:ascii="Times New Roman" w:hAnsi="Times New Roman"/>
          <w:spacing w:val="2"/>
          <w:sz w:val="24"/>
          <w:szCs w:val="24"/>
        </w:rPr>
        <w:t>d</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pacing w:val="-2"/>
          <w:sz w:val="24"/>
          <w:szCs w:val="24"/>
        </w:rPr>
        <w:t>g</w:t>
      </w:r>
      <w:r w:rsidRPr="00D75D2E">
        <w:rPr>
          <w:rFonts w:ascii="Times New Roman" w:hAnsi="Times New Roman"/>
          <w:spacing w:val="-1"/>
          <w:sz w:val="24"/>
          <w:szCs w:val="24"/>
        </w:rPr>
        <w:t>er</w:t>
      </w:r>
      <w:r w:rsidRPr="00D75D2E">
        <w:rPr>
          <w:rFonts w:ascii="Times New Roman" w:hAnsi="Times New Roman"/>
          <w:sz w:val="24"/>
          <w:szCs w:val="24"/>
        </w:rPr>
        <w:t>s potent</w:t>
      </w:r>
      <w:r w:rsidRPr="00D75D2E">
        <w:rPr>
          <w:rFonts w:ascii="Times New Roman" w:hAnsi="Times New Roman"/>
          <w:spacing w:val="3"/>
          <w:sz w:val="24"/>
          <w:szCs w:val="24"/>
        </w:rPr>
        <w:t>i</w:t>
      </w:r>
      <w:r w:rsidRPr="00D75D2E">
        <w:rPr>
          <w:rFonts w:ascii="Times New Roman" w:hAnsi="Times New Roman"/>
          <w:spacing w:val="-1"/>
          <w:sz w:val="24"/>
          <w:szCs w:val="24"/>
        </w:rPr>
        <w:t>e</w:t>
      </w:r>
      <w:r w:rsidRPr="00D75D2E">
        <w:rPr>
          <w:rFonts w:ascii="Times New Roman" w:hAnsi="Times New Roman"/>
          <w:sz w:val="24"/>
          <w:szCs w:val="24"/>
        </w:rPr>
        <w:t>ls voire à i</w:t>
      </w:r>
      <w:r w:rsidRPr="00D75D2E">
        <w:rPr>
          <w:rFonts w:ascii="Times New Roman" w:hAnsi="Times New Roman"/>
          <w:spacing w:val="1"/>
          <w:sz w:val="24"/>
          <w:szCs w:val="24"/>
        </w:rPr>
        <w:t>n</w:t>
      </w:r>
      <w:r w:rsidRPr="00D75D2E">
        <w:rPr>
          <w:rFonts w:ascii="Times New Roman" w:hAnsi="Times New Roman"/>
          <w:spacing w:val="3"/>
          <w:sz w:val="24"/>
          <w:szCs w:val="24"/>
        </w:rPr>
        <w:t>t</w:t>
      </w:r>
      <w:r w:rsidRPr="00D75D2E">
        <w:rPr>
          <w:rFonts w:ascii="Times New Roman" w:hAnsi="Times New Roman"/>
          <w:spacing w:val="-1"/>
          <w:sz w:val="24"/>
          <w:szCs w:val="24"/>
        </w:rPr>
        <w:t>e</w:t>
      </w:r>
      <w:r w:rsidRPr="00D75D2E">
        <w:rPr>
          <w:rFonts w:ascii="Times New Roman" w:hAnsi="Times New Roman"/>
          <w:sz w:val="24"/>
          <w:szCs w:val="24"/>
        </w:rPr>
        <w:t>rdi</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1"/>
          <w:sz w:val="24"/>
          <w:szCs w:val="24"/>
        </w:rPr>
        <w:t>cer</w:t>
      </w:r>
      <w:r w:rsidRPr="00D75D2E">
        <w:rPr>
          <w:rFonts w:ascii="Times New Roman" w:hAnsi="Times New Roman"/>
          <w:sz w:val="24"/>
          <w:szCs w:val="24"/>
        </w:rPr>
        <w:t>t</w:t>
      </w:r>
      <w:r w:rsidRPr="00D75D2E">
        <w:rPr>
          <w:rFonts w:ascii="Times New Roman" w:hAnsi="Times New Roman"/>
          <w:spacing w:val="-1"/>
          <w:sz w:val="24"/>
          <w:szCs w:val="24"/>
        </w:rPr>
        <w:t>a</w:t>
      </w:r>
      <w:r w:rsidRPr="00D75D2E">
        <w:rPr>
          <w:rFonts w:ascii="Times New Roman" w:hAnsi="Times New Roman"/>
          <w:sz w:val="24"/>
          <w:szCs w:val="24"/>
        </w:rPr>
        <w:t xml:space="preserve">ines </w:t>
      </w:r>
      <w:r w:rsidRPr="00D75D2E">
        <w:rPr>
          <w:rFonts w:ascii="Times New Roman" w:hAnsi="Times New Roman"/>
          <w:spacing w:val="-1"/>
          <w:sz w:val="24"/>
          <w:szCs w:val="24"/>
        </w:rPr>
        <w:t>ac</w:t>
      </w:r>
      <w:r w:rsidRPr="00D75D2E">
        <w:rPr>
          <w:rFonts w:ascii="Times New Roman" w:hAnsi="Times New Roman"/>
          <w:sz w:val="24"/>
          <w:szCs w:val="24"/>
        </w:rPr>
        <w:t>tivit</w:t>
      </w:r>
      <w:r w:rsidRPr="00D75D2E">
        <w:rPr>
          <w:rFonts w:ascii="Times New Roman" w:hAnsi="Times New Roman"/>
          <w:spacing w:val="-1"/>
          <w:sz w:val="24"/>
          <w:szCs w:val="24"/>
        </w:rPr>
        <w:t>é</w:t>
      </w:r>
      <w:r w:rsidRPr="00D75D2E">
        <w:rPr>
          <w:rFonts w:ascii="Times New Roman" w:hAnsi="Times New Roman"/>
          <w:sz w:val="24"/>
          <w:szCs w:val="24"/>
        </w:rPr>
        <w:t>s jug</w:t>
      </w:r>
      <w:r w:rsidRPr="00D75D2E">
        <w:rPr>
          <w:rFonts w:ascii="Times New Roman" w:hAnsi="Times New Roman"/>
          <w:spacing w:val="-1"/>
          <w:sz w:val="24"/>
          <w:szCs w:val="24"/>
        </w:rPr>
        <w:t>ée</w:t>
      </w:r>
      <w:r w:rsidRPr="00D75D2E">
        <w:rPr>
          <w:rFonts w:ascii="Times New Roman" w:hAnsi="Times New Roman"/>
          <w:sz w:val="24"/>
          <w:szCs w:val="24"/>
        </w:rPr>
        <w:t>s d</w:t>
      </w:r>
      <w:r w:rsidRPr="00D75D2E">
        <w:rPr>
          <w:rFonts w:ascii="Times New Roman" w:hAnsi="Times New Roman"/>
          <w:spacing w:val="-1"/>
          <w:sz w:val="24"/>
          <w:szCs w:val="24"/>
        </w:rPr>
        <w:t>a</w:t>
      </w:r>
      <w:r w:rsidRPr="00D75D2E">
        <w:rPr>
          <w:rFonts w:ascii="Times New Roman" w:hAnsi="Times New Roman"/>
          <w:sz w:val="24"/>
          <w:szCs w:val="24"/>
        </w:rPr>
        <w:t>ng</w:t>
      </w:r>
      <w:r w:rsidRPr="00D75D2E">
        <w:rPr>
          <w:rFonts w:ascii="Times New Roman" w:hAnsi="Times New Roman"/>
          <w:spacing w:val="-1"/>
          <w:sz w:val="24"/>
          <w:szCs w:val="24"/>
        </w:rPr>
        <w:t>ere</w:t>
      </w:r>
      <w:r w:rsidRPr="00D75D2E">
        <w:rPr>
          <w:rFonts w:ascii="Times New Roman" w:hAnsi="Times New Roman"/>
          <w:sz w:val="24"/>
          <w:szCs w:val="24"/>
        </w:rPr>
        <w:t>us</w:t>
      </w:r>
      <w:r w:rsidRPr="00D75D2E">
        <w:rPr>
          <w:rFonts w:ascii="Times New Roman" w:hAnsi="Times New Roman"/>
          <w:spacing w:val="-1"/>
          <w:sz w:val="24"/>
          <w:szCs w:val="24"/>
        </w:rPr>
        <w:t>e</w:t>
      </w:r>
      <w:r w:rsidRPr="00D75D2E">
        <w:rPr>
          <w:rFonts w:ascii="Times New Roman" w:hAnsi="Times New Roman"/>
          <w:sz w:val="24"/>
          <w:szCs w:val="24"/>
        </w:rPr>
        <w:t xml:space="preserve">s ; à </w:t>
      </w:r>
      <w:r w:rsidRPr="00D75D2E">
        <w:rPr>
          <w:rFonts w:ascii="Times New Roman" w:hAnsi="Times New Roman"/>
          <w:spacing w:val="-1"/>
          <w:sz w:val="24"/>
          <w:szCs w:val="24"/>
        </w:rPr>
        <w:t>e</w:t>
      </w:r>
      <w:r w:rsidRPr="00D75D2E">
        <w:rPr>
          <w:rFonts w:ascii="Times New Roman" w:hAnsi="Times New Roman"/>
          <w:sz w:val="24"/>
          <w:szCs w:val="24"/>
        </w:rPr>
        <w:t>mpê</w:t>
      </w:r>
      <w:r w:rsidRPr="00D75D2E">
        <w:rPr>
          <w:rFonts w:ascii="Times New Roman" w:hAnsi="Times New Roman"/>
          <w:spacing w:val="-1"/>
          <w:sz w:val="24"/>
          <w:szCs w:val="24"/>
        </w:rPr>
        <w:t>c</w:t>
      </w:r>
      <w:r w:rsidRPr="00D75D2E">
        <w:rPr>
          <w:rFonts w:ascii="Times New Roman" w:hAnsi="Times New Roman"/>
          <w:spacing w:val="2"/>
          <w:sz w:val="24"/>
          <w:szCs w:val="24"/>
        </w:rPr>
        <w:t>h</w:t>
      </w:r>
      <w:r w:rsidRPr="00D75D2E">
        <w:rPr>
          <w:rFonts w:ascii="Times New Roman" w:hAnsi="Times New Roman"/>
          <w:spacing w:val="-1"/>
          <w:sz w:val="24"/>
          <w:szCs w:val="24"/>
        </w:rPr>
        <w:t>e</w:t>
      </w:r>
      <w:r w:rsidRPr="00D75D2E">
        <w:rPr>
          <w:rFonts w:ascii="Times New Roman" w:hAnsi="Times New Roman"/>
          <w:sz w:val="24"/>
          <w:szCs w:val="24"/>
        </w:rPr>
        <w:t xml:space="preserve">r les </w:t>
      </w:r>
      <w:r w:rsidRPr="00D75D2E">
        <w:rPr>
          <w:rFonts w:ascii="Times New Roman" w:hAnsi="Times New Roman"/>
          <w:spacing w:val="-1"/>
          <w:sz w:val="24"/>
          <w:szCs w:val="24"/>
        </w:rPr>
        <w:t>acc</w:t>
      </w:r>
      <w:r w:rsidRPr="00D75D2E">
        <w:rPr>
          <w:rFonts w:ascii="Times New Roman" w:hAnsi="Times New Roman"/>
          <w:sz w:val="24"/>
          <w:szCs w:val="24"/>
        </w:rPr>
        <w:t>idents maj</w:t>
      </w:r>
      <w:r w:rsidRPr="00D75D2E">
        <w:rPr>
          <w:rFonts w:ascii="Times New Roman" w:hAnsi="Times New Roman"/>
          <w:spacing w:val="-1"/>
          <w:sz w:val="24"/>
          <w:szCs w:val="24"/>
        </w:rPr>
        <w:t>e</w:t>
      </w:r>
      <w:r w:rsidRPr="00D75D2E">
        <w:rPr>
          <w:rFonts w:ascii="Times New Roman" w:hAnsi="Times New Roman"/>
          <w:spacing w:val="2"/>
          <w:sz w:val="24"/>
          <w:szCs w:val="24"/>
        </w:rPr>
        <w:t>u</w:t>
      </w:r>
      <w:r w:rsidRPr="00D75D2E">
        <w:rPr>
          <w:rFonts w:ascii="Times New Roman" w:hAnsi="Times New Roman"/>
          <w:spacing w:val="-1"/>
          <w:sz w:val="24"/>
          <w:szCs w:val="24"/>
        </w:rPr>
        <w:t>r</w:t>
      </w:r>
      <w:r w:rsidRPr="00D75D2E">
        <w:rPr>
          <w:rFonts w:ascii="Times New Roman" w:hAnsi="Times New Roman"/>
          <w:sz w:val="24"/>
          <w:szCs w:val="24"/>
        </w:rPr>
        <w:t>s p</w:t>
      </w:r>
      <w:r w:rsidRPr="00D75D2E">
        <w:rPr>
          <w:rFonts w:ascii="Times New Roman" w:hAnsi="Times New Roman"/>
          <w:spacing w:val="-1"/>
          <w:sz w:val="24"/>
          <w:szCs w:val="24"/>
        </w:rPr>
        <w:t>a</w:t>
      </w:r>
      <w:r w:rsidRPr="00D75D2E">
        <w:rPr>
          <w:rFonts w:ascii="Times New Roman" w:hAnsi="Times New Roman"/>
          <w:sz w:val="24"/>
          <w:szCs w:val="24"/>
        </w:rPr>
        <w:t xml:space="preserve">r la </w:t>
      </w:r>
      <w:r w:rsidRPr="00D75D2E">
        <w:rPr>
          <w:rFonts w:ascii="Times New Roman" w:hAnsi="Times New Roman"/>
          <w:spacing w:val="2"/>
          <w:sz w:val="24"/>
          <w:szCs w:val="24"/>
        </w:rPr>
        <w:t>m</w:t>
      </w:r>
      <w:r w:rsidRPr="00D75D2E">
        <w:rPr>
          <w:rFonts w:ascii="Times New Roman" w:hAnsi="Times New Roman"/>
          <w:sz w:val="24"/>
          <w:szCs w:val="24"/>
        </w:rPr>
        <w:t>i</w:t>
      </w:r>
      <w:r w:rsidRPr="00D75D2E">
        <w:rPr>
          <w:rFonts w:ascii="Times New Roman" w:hAnsi="Times New Roman"/>
          <w:spacing w:val="2"/>
          <w:sz w:val="24"/>
          <w:szCs w:val="24"/>
        </w:rPr>
        <w:t>s</w:t>
      </w:r>
      <w:r w:rsidRPr="00D75D2E">
        <w:rPr>
          <w:rFonts w:ascii="Times New Roman" w:hAnsi="Times New Roman"/>
          <w:sz w:val="24"/>
          <w:szCs w:val="24"/>
        </w:rPr>
        <w:t xml:space="preserve">e </w:t>
      </w:r>
      <w:r w:rsidRPr="00D75D2E">
        <w:rPr>
          <w:rFonts w:ascii="Times New Roman" w:hAnsi="Times New Roman"/>
          <w:spacing w:val="-1"/>
          <w:sz w:val="24"/>
          <w:szCs w:val="24"/>
        </w:rPr>
        <w:t>e</w:t>
      </w:r>
      <w:r w:rsidRPr="00D75D2E">
        <w:rPr>
          <w:rFonts w:ascii="Times New Roman" w:hAnsi="Times New Roman"/>
          <w:sz w:val="24"/>
          <w:szCs w:val="24"/>
        </w:rPr>
        <w:t>n p</w:t>
      </w:r>
      <w:r w:rsidRPr="00D75D2E">
        <w:rPr>
          <w:rFonts w:ascii="Times New Roman" w:hAnsi="Times New Roman"/>
          <w:spacing w:val="3"/>
          <w:sz w:val="24"/>
          <w:szCs w:val="24"/>
        </w:rPr>
        <w:t>l</w:t>
      </w:r>
      <w:r w:rsidRPr="00D75D2E">
        <w:rPr>
          <w:rFonts w:ascii="Times New Roman" w:hAnsi="Times New Roman"/>
          <w:spacing w:val="-1"/>
          <w:sz w:val="24"/>
          <w:szCs w:val="24"/>
        </w:rPr>
        <w:t>ac</w:t>
      </w:r>
      <w:r w:rsidRPr="00D75D2E">
        <w:rPr>
          <w:rFonts w:ascii="Times New Roman" w:hAnsi="Times New Roman"/>
          <w:sz w:val="24"/>
          <w:szCs w:val="24"/>
        </w:rPr>
        <w:t>e de dispos</w:t>
      </w:r>
      <w:r w:rsidRPr="00D75D2E">
        <w:rPr>
          <w:rFonts w:ascii="Times New Roman" w:hAnsi="Times New Roman"/>
          <w:spacing w:val="1"/>
          <w:sz w:val="24"/>
          <w:szCs w:val="24"/>
        </w:rPr>
        <w:t>i</w:t>
      </w:r>
      <w:r w:rsidRPr="00D75D2E">
        <w:rPr>
          <w:rFonts w:ascii="Times New Roman" w:hAnsi="Times New Roman"/>
          <w:sz w:val="24"/>
          <w:szCs w:val="24"/>
        </w:rPr>
        <w:t>tifs s</w:t>
      </w:r>
      <w:r w:rsidRPr="00D75D2E">
        <w:rPr>
          <w:rFonts w:ascii="Times New Roman" w:hAnsi="Times New Roman"/>
          <w:spacing w:val="-1"/>
          <w:sz w:val="24"/>
          <w:szCs w:val="24"/>
        </w:rPr>
        <w:t>éc</w:t>
      </w:r>
      <w:r w:rsidRPr="00D75D2E">
        <w:rPr>
          <w:rFonts w:ascii="Times New Roman" w:hAnsi="Times New Roman"/>
          <w:sz w:val="24"/>
          <w:szCs w:val="24"/>
        </w:rPr>
        <w:t>urit</w:t>
      </w:r>
      <w:r w:rsidRPr="00D75D2E">
        <w:rPr>
          <w:rFonts w:ascii="Times New Roman" w:hAnsi="Times New Roman"/>
          <w:spacing w:val="-1"/>
          <w:sz w:val="24"/>
          <w:szCs w:val="24"/>
        </w:rPr>
        <w:t>a</w:t>
      </w:r>
      <w:r w:rsidRPr="00D75D2E">
        <w:rPr>
          <w:rFonts w:ascii="Times New Roman" w:hAnsi="Times New Roman"/>
          <w:sz w:val="24"/>
          <w:szCs w:val="24"/>
        </w:rPr>
        <w:t>i</w:t>
      </w:r>
      <w:r w:rsidRPr="00D75D2E">
        <w:rPr>
          <w:rFonts w:ascii="Times New Roman" w:hAnsi="Times New Roman"/>
          <w:spacing w:val="-1"/>
          <w:sz w:val="24"/>
          <w:szCs w:val="24"/>
        </w:rPr>
        <w:t>r</w:t>
      </w:r>
      <w:r w:rsidRPr="00D75D2E">
        <w:rPr>
          <w:rFonts w:ascii="Times New Roman" w:hAnsi="Times New Roman"/>
          <w:spacing w:val="2"/>
          <w:sz w:val="24"/>
          <w:szCs w:val="24"/>
        </w:rPr>
        <w:t>e</w:t>
      </w:r>
      <w:r w:rsidRPr="00D75D2E">
        <w:rPr>
          <w:rFonts w:ascii="Times New Roman" w:hAnsi="Times New Roman"/>
          <w:sz w:val="24"/>
          <w:szCs w:val="24"/>
        </w:rPr>
        <w:t>s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z w:val="24"/>
          <w:szCs w:val="24"/>
        </w:rPr>
        <w:t>v</w:t>
      </w:r>
      <w:r w:rsidRPr="00D75D2E">
        <w:rPr>
          <w:rFonts w:ascii="Times New Roman" w:hAnsi="Times New Roman"/>
          <w:spacing w:val="-1"/>
          <w:sz w:val="24"/>
          <w:szCs w:val="24"/>
        </w:rPr>
        <w:t>e</w:t>
      </w:r>
      <w:r w:rsidRPr="00D75D2E">
        <w:rPr>
          <w:rFonts w:ascii="Times New Roman" w:hAnsi="Times New Roman"/>
          <w:sz w:val="24"/>
          <w:szCs w:val="24"/>
        </w:rPr>
        <w:t>nt</w:t>
      </w:r>
      <w:r w:rsidRPr="00D75D2E">
        <w:rPr>
          <w:rFonts w:ascii="Times New Roman" w:hAnsi="Times New Roman"/>
          <w:spacing w:val="3"/>
          <w:sz w:val="24"/>
          <w:szCs w:val="24"/>
        </w:rPr>
        <w:t>i</w:t>
      </w:r>
      <w:r w:rsidRPr="00D75D2E">
        <w:rPr>
          <w:rFonts w:ascii="Times New Roman" w:hAnsi="Times New Roman"/>
          <w:spacing w:val="-1"/>
          <w:sz w:val="24"/>
          <w:szCs w:val="24"/>
        </w:rPr>
        <w:t>f</w:t>
      </w:r>
      <w:r w:rsidRPr="00D75D2E">
        <w:rPr>
          <w:rFonts w:ascii="Times New Roman" w:hAnsi="Times New Roman"/>
          <w:sz w:val="24"/>
          <w:szCs w:val="24"/>
        </w:rPr>
        <w:t>s qui</w:t>
      </w:r>
      <w:r w:rsidRPr="00D75D2E">
        <w:rPr>
          <w:rFonts w:ascii="Times New Roman" w:hAnsi="Times New Roman"/>
          <w:spacing w:val="1"/>
          <w:sz w:val="24"/>
          <w:szCs w:val="24"/>
        </w:rPr>
        <w:t xml:space="preserve"> </w:t>
      </w:r>
      <w:r w:rsidRPr="00D75D2E">
        <w:rPr>
          <w:rFonts w:ascii="Times New Roman" w:hAnsi="Times New Roman"/>
          <w:sz w:val="24"/>
          <w:szCs w:val="24"/>
        </w:rPr>
        <w:t>contri</w:t>
      </w:r>
      <w:r w:rsidRPr="00D75D2E">
        <w:rPr>
          <w:rFonts w:ascii="Times New Roman" w:hAnsi="Times New Roman"/>
          <w:spacing w:val="3"/>
          <w:sz w:val="24"/>
          <w:szCs w:val="24"/>
        </w:rPr>
        <w:t>b</w:t>
      </w:r>
      <w:r w:rsidRPr="00D75D2E">
        <w:rPr>
          <w:rFonts w:ascii="Times New Roman" w:hAnsi="Times New Roman"/>
          <w:spacing w:val="-1"/>
          <w:sz w:val="24"/>
          <w:szCs w:val="24"/>
        </w:rPr>
        <w:t>u</w:t>
      </w:r>
      <w:r w:rsidRPr="00D75D2E">
        <w:rPr>
          <w:rFonts w:ascii="Times New Roman" w:hAnsi="Times New Roman"/>
          <w:sz w:val="24"/>
          <w:szCs w:val="24"/>
        </w:rPr>
        <w:t>ent à la sûr</w:t>
      </w:r>
      <w:r w:rsidRPr="00D75D2E">
        <w:rPr>
          <w:rFonts w:ascii="Times New Roman" w:hAnsi="Times New Roman"/>
          <w:spacing w:val="-1"/>
          <w:sz w:val="24"/>
          <w:szCs w:val="24"/>
        </w:rPr>
        <w:t>e</w:t>
      </w:r>
      <w:r w:rsidRPr="00D75D2E">
        <w:rPr>
          <w:rFonts w:ascii="Times New Roman" w:hAnsi="Times New Roman"/>
          <w:sz w:val="24"/>
          <w:szCs w:val="24"/>
        </w:rPr>
        <w:t>té du</w:t>
      </w:r>
      <w:r w:rsidRPr="00D75D2E">
        <w:rPr>
          <w:rFonts w:ascii="Times New Roman" w:hAnsi="Times New Roman"/>
          <w:spacing w:val="-1"/>
          <w:sz w:val="24"/>
          <w:szCs w:val="24"/>
        </w:rPr>
        <w:t xml:space="preserve"> cha</w:t>
      </w:r>
      <w:r w:rsidRPr="00D75D2E">
        <w:rPr>
          <w:rFonts w:ascii="Times New Roman" w:hAnsi="Times New Roman"/>
          <w:sz w:val="24"/>
          <w:szCs w:val="24"/>
        </w:rPr>
        <w:t>nt</w:t>
      </w:r>
      <w:r w:rsidRPr="00D75D2E">
        <w:rPr>
          <w:rFonts w:ascii="Times New Roman" w:hAnsi="Times New Roman"/>
          <w:spacing w:val="5"/>
          <w:sz w:val="24"/>
          <w:szCs w:val="24"/>
        </w:rPr>
        <w:t>i</w:t>
      </w:r>
      <w:r w:rsidRPr="00D75D2E">
        <w:rPr>
          <w:rFonts w:ascii="Times New Roman" w:hAnsi="Times New Roman"/>
          <w:spacing w:val="-1"/>
          <w:sz w:val="24"/>
          <w:szCs w:val="24"/>
        </w:rPr>
        <w:t>e</w:t>
      </w:r>
      <w:r w:rsidRPr="00D75D2E">
        <w:rPr>
          <w:rFonts w:ascii="Times New Roman" w:hAnsi="Times New Roman"/>
          <w:sz w:val="24"/>
          <w:szCs w:val="24"/>
        </w:rPr>
        <w:t xml:space="preserve">r ; </w:t>
      </w:r>
      <w:r w:rsidRPr="00D75D2E">
        <w:rPr>
          <w:rFonts w:ascii="Times New Roman" w:hAnsi="Times New Roman"/>
          <w:spacing w:val="-1"/>
          <w:sz w:val="24"/>
          <w:szCs w:val="24"/>
        </w:rPr>
        <w:t>e</w:t>
      </w:r>
      <w:r w:rsidRPr="00D75D2E">
        <w:rPr>
          <w:rFonts w:ascii="Times New Roman" w:hAnsi="Times New Roman"/>
          <w:sz w:val="24"/>
          <w:szCs w:val="24"/>
        </w:rPr>
        <w:t>t à</w:t>
      </w:r>
      <w:r w:rsidRPr="00D75D2E">
        <w:rPr>
          <w:rFonts w:ascii="Times New Roman" w:hAnsi="Times New Roman"/>
          <w:spacing w:val="1"/>
          <w:sz w:val="24"/>
          <w:szCs w:val="24"/>
        </w:rPr>
        <w:t xml:space="preserve"> l</w:t>
      </w:r>
      <w:r w:rsidRPr="00D75D2E">
        <w:rPr>
          <w:rFonts w:ascii="Times New Roman" w:hAnsi="Times New Roman"/>
          <w:sz w:val="24"/>
          <w:szCs w:val="24"/>
        </w:rPr>
        <w:t xml:space="preserve">imiter les </w:t>
      </w:r>
      <w:r w:rsidRPr="00D75D2E">
        <w:rPr>
          <w:rFonts w:ascii="Times New Roman" w:hAnsi="Times New Roman"/>
          <w:spacing w:val="-1"/>
          <w:sz w:val="24"/>
          <w:szCs w:val="24"/>
        </w:rPr>
        <w:t>c</w:t>
      </w:r>
      <w:r w:rsidRPr="00D75D2E">
        <w:rPr>
          <w:rFonts w:ascii="Times New Roman" w:hAnsi="Times New Roman"/>
          <w:sz w:val="24"/>
          <w:szCs w:val="24"/>
        </w:rPr>
        <w:t>ons</w:t>
      </w:r>
      <w:r w:rsidRPr="00D75D2E">
        <w:rPr>
          <w:rFonts w:ascii="Times New Roman" w:hAnsi="Times New Roman"/>
          <w:spacing w:val="-1"/>
          <w:sz w:val="24"/>
          <w:szCs w:val="24"/>
        </w:rPr>
        <w:t>é</w:t>
      </w:r>
      <w:r w:rsidRPr="00D75D2E">
        <w:rPr>
          <w:rFonts w:ascii="Times New Roman" w:hAnsi="Times New Roman"/>
          <w:sz w:val="24"/>
          <w:szCs w:val="24"/>
        </w:rPr>
        <w:t>qu</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1"/>
          <w:sz w:val="24"/>
          <w:szCs w:val="24"/>
        </w:rPr>
        <w:t>ce</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acc</w:t>
      </w:r>
      <w:r w:rsidRPr="00D75D2E">
        <w:rPr>
          <w:rFonts w:ascii="Times New Roman" w:hAnsi="Times New Roman"/>
          <w:sz w:val="24"/>
          <w:szCs w:val="24"/>
        </w:rPr>
        <w:t>i</w:t>
      </w:r>
      <w:r w:rsidRPr="00D75D2E">
        <w:rPr>
          <w:rFonts w:ascii="Times New Roman" w:hAnsi="Times New Roman"/>
          <w:spacing w:val="5"/>
          <w:sz w:val="24"/>
          <w:szCs w:val="24"/>
        </w:rPr>
        <w:t>d</w:t>
      </w:r>
      <w:r w:rsidRPr="00D75D2E">
        <w:rPr>
          <w:rFonts w:ascii="Times New Roman" w:hAnsi="Times New Roman"/>
          <w:spacing w:val="-1"/>
          <w:sz w:val="24"/>
          <w:szCs w:val="24"/>
        </w:rPr>
        <w:t>e</w:t>
      </w:r>
      <w:r w:rsidRPr="00D75D2E">
        <w:rPr>
          <w:rFonts w:ascii="Times New Roman" w:hAnsi="Times New Roman"/>
          <w:sz w:val="24"/>
          <w:szCs w:val="24"/>
        </w:rPr>
        <w:t>nts maj</w:t>
      </w:r>
      <w:r w:rsidRPr="00D75D2E">
        <w:rPr>
          <w:rFonts w:ascii="Times New Roman" w:hAnsi="Times New Roman"/>
          <w:spacing w:val="-1"/>
          <w:sz w:val="24"/>
          <w:szCs w:val="24"/>
        </w:rPr>
        <w:t>e</w:t>
      </w:r>
      <w:r w:rsidRPr="00D75D2E">
        <w:rPr>
          <w:rFonts w:ascii="Times New Roman" w:hAnsi="Times New Roman"/>
          <w:sz w:val="24"/>
          <w:szCs w:val="24"/>
        </w:rPr>
        <w:t xml:space="preserve">urs si </w:t>
      </w:r>
      <w:r w:rsidRPr="00D75D2E">
        <w:rPr>
          <w:rFonts w:ascii="Times New Roman" w:hAnsi="Times New Roman"/>
          <w:spacing w:val="-1"/>
          <w:sz w:val="24"/>
          <w:szCs w:val="24"/>
        </w:rPr>
        <w:t>ce</w:t>
      </w:r>
      <w:r w:rsidRPr="00D75D2E">
        <w:rPr>
          <w:rFonts w:ascii="Times New Roman" w:hAnsi="Times New Roman"/>
          <w:sz w:val="24"/>
          <w:szCs w:val="24"/>
        </w:rPr>
        <w:t>u</w:t>
      </w:r>
      <w:r w:rsidRPr="00D75D2E">
        <w:rPr>
          <w:rFonts w:ascii="Times New Roman" w:hAnsi="Times New Roman"/>
          <w:spacing w:val="5"/>
          <w:sz w:val="24"/>
          <w:szCs w:val="24"/>
        </w:rPr>
        <w:t>x</w:t>
      </w:r>
      <w:r w:rsidRPr="00D75D2E">
        <w:rPr>
          <w:rFonts w:ascii="Times New Roman" w:hAnsi="Times New Roman"/>
          <w:sz w:val="24"/>
          <w:szCs w:val="24"/>
        </w:rPr>
        <w:t xml:space="preserve">- </w:t>
      </w:r>
      <w:r w:rsidRPr="00D75D2E">
        <w:rPr>
          <w:rFonts w:ascii="Times New Roman" w:hAnsi="Times New Roman"/>
          <w:spacing w:val="-1"/>
          <w:sz w:val="24"/>
          <w:szCs w:val="24"/>
        </w:rPr>
        <w:t>c</w:t>
      </w:r>
      <w:r w:rsidRPr="00D75D2E">
        <w:rPr>
          <w:rFonts w:ascii="Times New Roman" w:hAnsi="Times New Roman"/>
          <w:sz w:val="24"/>
          <w:szCs w:val="24"/>
        </w:rPr>
        <w:t>i n</w:t>
      </w:r>
      <w:r w:rsidRPr="00D75D2E">
        <w:rPr>
          <w:rFonts w:ascii="Times New Roman" w:hAnsi="Times New Roman"/>
          <w:spacing w:val="-5"/>
          <w:sz w:val="24"/>
          <w:szCs w:val="24"/>
        </w:rPr>
        <w:t>'</w:t>
      </w:r>
      <w:r w:rsidRPr="00D75D2E">
        <w:rPr>
          <w:rFonts w:ascii="Times New Roman" w:hAnsi="Times New Roman"/>
          <w:sz w:val="24"/>
          <w:szCs w:val="24"/>
        </w:rPr>
        <w:t xml:space="preserve">ont pu </w:t>
      </w:r>
      <w:r w:rsidRPr="00D75D2E">
        <w:rPr>
          <w:rFonts w:ascii="Times New Roman" w:hAnsi="Times New Roman"/>
          <w:spacing w:val="-1"/>
          <w:sz w:val="24"/>
          <w:szCs w:val="24"/>
        </w:rPr>
        <w:t>ê</w:t>
      </w:r>
      <w:r w:rsidRPr="00D75D2E">
        <w:rPr>
          <w:rFonts w:ascii="Times New Roman" w:hAnsi="Times New Roman"/>
          <w:spacing w:val="5"/>
          <w:sz w:val="24"/>
          <w:szCs w:val="24"/>
        </w:rPr>
        <w:t>t</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1"/>
          <w:sz w:val="24"/>
          <w:szCs w:val="24"/>
        </w:rPr>
        <w:t>é</w:t>
      </w:r>
      <w:r w:rsidRPr="00D75D2E">
        <w:rPr>
          <w:rFonts w:ascii="Times New Roman" w:hAnsi="Times New Roman"/>
          <w:sz w:val="24"/>
          <w:szCs w:val="24"/>
        </w:rPr>
        <w:t>vit</w:t>
      </w:r>
      <w:r w:rsidRPr="00D75D2E">
        <w:rPr>
          <w:rFonts w:ascii="Times New Roman" w:hAnsi="Times New Roman"/>
          <w:spacing w:val="-1"/>
          <w:sz w:val="24"/>
          <w:szCs w:val="24"/>
        </w:rPr>
        <w:t>é</w:t>
      </w:r>
      <w:r w:rsidRPr="00D75D2E">
        <w:rPr>
          <w:rFonts w:ascii="Times New Roman" w:hAnsi="Times New Roman"/>
          <w:sz w:val="24"/>
          <w:szCs w:val="24"/>
        </w:rPr>
        <w:t>s, g</w:t>
      </w:r>
      <w:r w:rsidRPr="00D75D2E">
        <w:rPr>
          <w:rFonts w:ascii="Times New Roman" w:hAnsi="Times New Roman"/>
          <w:spacing w:val="2"/>
          <w:sz w:val="24"/>
          <w:szCs w:val="24"/>
        </w:rPr>
        <w:t>r</w:t>
      </w:r>
      <w:r w:rsidRPr="00D75D2E">
        <w:rPr>
          <w:rFonts w:ascii="Times New Roman" w:hAnsi="Times New Roman"/>
          <w:spacing w:val="-1"/>
          <w:sz w:val="24"/>
          <w:szCs w:val="24"/>
        </w:rPr>
        <w:t>âc</w:t>
      </w:r>
      <w:r w:rsidRPr="00D75D2E">
        <w:rPr>
          <w:rFonts w:ascii="Times New Roman" w:hAnsi="Times New Roman"/>
          <w:sz w:val="24"/>
          <w:szCs w:val="24"/>
        </w:rPr>
        <w:t xml:space="preserve">e à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3"/>
          <w:sz w:val="24"/>
          <w:szCs w:val="24"/>
        </w:rPr>
        <w:t>d</w:t>
      </w:r>
      <w:r w:rsidRPr="00D75D2E">
        <w:rPr>
          <w:rFonts w:ascii="Times New Roman" w:hAnsi="Times New Roman"/>
          <w:spacing w:val="-1"/>
          <w:sz w:val="24"/>
          <w:szCs w:val="24"/>
        </w:rPr>
        <w:t>é</w:t>
      </w:r>
      <w:r w:rsidRPr="00D75D2E">
        <w:rPr>
          <w:rFonts w:ascii="Times New Roman" w:hAnsi="Times New Roman"/>
          <w:sz w:val="24"/>
          <w:szCs w:val="24"/>
        </w:rPr>
        <w:t>fin</w:t>
      </w:r>
      <w:r w:rsidRPr="00D75D2E">
        <w:rPr>
          <w:rFonts w:ascii="Times New Roman" w:hAnsi="Times New Roman"/>
          <w:spacing w:val="5"/>
          <w:sz w:val="24"/>
          <w:szCs w:val="24"/>
        </w:rPr>
        <w:t>i</w:t>
      </w:r>
      <w:r w:rsidRPr="00D75D2E">
        <w:rPr>
          <w:rFonts w:ascii="Times New Roman" w:hAnsi="Times New Roman"/>
          <w:sz w:val="24"/>
          <w:szCs w:val="24"/>
        </w:rPr>
        <w:t>tion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pacing w:val="-1"/>
          <w:sz w:val="24"/>
          <w:szCs w:val="24"/>
        </w:rPr>
        <w:t>a</w:t>
      </w:r>
      <w:r w:rsidRPr="00D75D2E">
        <w:rPr>
          <w:rFonts w:ascii="Times New Roman" w:hAnsi="Times New Roman"/>
          <w:sz w:val="24"/>
          <w:szCs w:val="24"/>
        </w:rPr>
        <w:t xml:space="preserve">lable </w:t>
      </w:r>
      <w:r w:rsidRPr="00D75D2E">
        <w:rPr>
          <w:rFonts w:ascii="Times New Roman" w:hAnsi="Times New Roman"/>
          <w:spacing w:val="5"/>
          <w:sz w:val="24"/>
          <w:szCs w:val="24"/>
        </w:rPr>
        <w:t>d</w:t>
      </w:r>
      <w:r w:rsidRPr="00D75D2E">
        <w:rPr>
          <w:rFonts w:ascii="Times New Roman" w:hAnsi="Times New Roman"/>
          <w:spacing w:val="-5"/>
          <w:sz w:val="24"/>
          <w:szCs w:val="24"/>
        </w:rPr>
        <w:t>'</w:t>
      </w:r>
      <w:r w:rsidRPr="00D75D2E">
        <w:rPr>
          <w:rFonts w:ascii="Times New Roman" w:hAnsi="Times New Roman"/>
          <w:sz w:val="24"/>
          <w:szCs w:val="24"/>
        </w:rPr>
        <w:t>un p</w:t>
      </w:r>
      <w:r w:rsidRPr="00D75D2E">
        <w:rPr>
          <w:rFonts w:ascii="Times New Roman" w:hAnsi="Times New Roman"/>
          <w:spacing w:val="3"/>
          <w:sz w:val="24"/>
          <w:szCs w:val="24"/>
        </w:rPr>
        <w:t>l</w:t>
      </w:r>
      <w:r w:rsidRPr="00D75D2E">
        <w:rPr>
          <w:rFonts w:ascii="Times New Roman" w:hAnsi="Times New Roman"/>
          <w:spacing w:val="-1"/>
          <w:sz w:val="24"/>
          <w:szCs w:val="24"/>
        </w:rPr>
        <w:t>a</w:t>
      </w:r>
      <w:r w:rsidRPr="00D75D2E">
        <w:rPr>
          <w:rFonts w:ascii="Times New Roman" w:hAnsi="Times New Roman"/>
          <w:sz w:val="24"/>
          <w:szCs w:val="24"/>
        </w:rPr>
        <w:t>n de</w:t>
      </w:r>
      <w:r w:rsidRPr="00D75D2E">
        <w:rPr>
          <w:rFonts w:ascii="Times New Roman" w:hAnsi="Times New Roman"/>
          <w:spacing w:val="-1"/>
          <w:sz w:val="24"/>
          <w:szCs w:val="24"/>
        </w:rPr>
        <w:t xml:space="preserve"> c</w:t>
      </w:r>
      <w:r w:rsidRPr="00D75D2E">
        <w:rPr>
          <w:rFonts w:ascii="Times New Roman" w:hAnsi="Times New Roman"/>
          <w:spacing w:val="5"/>
          <w:sz w:val="24"/>
          <w:szCs w:val="24"/>
        </w:rPr>
        <w:t>i</w:t>
      </w:r>
      <w:r w:rsidRPr="00D75D2E">
        <w:rPr>
          <w:rFonts w:ascii="Times New Roman" w:hAnsi="Times New Roman"/>
          <w:spacing w:val="2"/>
          <w:sz w:val="24"/>
          <w:szCs w:val="24"/>
        </w:rPr>
        <w:t>r</w:t>
      </w:r>
      <w:r w:rsidRPr="00D75D2E">
        <w:rPr>
          <w:rFonts w:ascii="Times New Roman" w:hAnsi="Times New Roman"/>
          <w:spacing w:val="-1"/>
          <w:sz w:val="24"/>
          <w:szCs w:val="24"/>
        </w:rPr>
        <w:t>c</w:t>
      </w:r>
      <w:r w:rsidRPr="00D75D2E">
        <w:rPr>
          <w:rFonts w:ascii="Times New Roman" w:hAnsi="Times New Roman"/>
          <w:sz w:val="24"/>
          <w:szCs w:val="24"/>
        </w:rPr>
        <w:t xml:space="preserve">ulation sur le </w:t>
      </w:r>
      <w:r w:rsidRPr="00D75D2E">
        <w:rPr>
          <w:rFonts w:ascii="Times New Roman" w:hAnsi="Times New Roman"/>
          <w:spacing w:val="-1"/>
          <w:sz w:val="24"/>
          <w:szCs w:val="24"/>
        </w:rPr>
        <w:t>c</w:t>
      </w:r>
      <w:r w:rsidRPr="00D75D2E">
        <w:rPr>
          <w:rFonts w:ascii="Times New Roman" w:hAnsi="Times New Roman"/>
          <w:sz w:val="24"/>
          <w:szCs w:val="24"/>
        </w:rPr>
        <w:t>h</w:t>
      </w:r>
      <w:r w:rsidRPr="00D75D2E">
        <w:rPr>
          <w:rFonts w:ascii="Times New Roman" w:hAnsi="Times New Roman"/>
          <w:spacing w:val="-1"/>
          <w:sz w:val="24"/>
          <w:szCs w:val="24"/>
        </w:rPr>
        <w:t>a</w:t>
      </w:r>
      <w:r w:rsidRPr="00D75D2E">
        <w:rPr>
          <w:rFonts w:ascii="Times New Roman" w:hAnsi="Times New Roman"/>
          <w:sz w:val="24"/>
          <w:szCs w:val="24"/>
        </w:rPr>
        <w:t>nti</w:t>
      </w:r>
      <w:r w:rsidRPr="00D75D2E">
        <w:rPr>
          <w:rFonts w:ascii="Times New Roman" w:hAnsi="Times New Roman"/>
          <w:spacing w:val="-1"/>
          <w:sz w:val="24"/>
          <w:szCs w:val="24"/>
        </w:rPr>
        <w:t>er.</w:t>
      </w:r>
    </w:p>
    <w:p w14:paraId="1893AB9A" w14:textId="77777777" w:rsidR="000705BE" w:rsidRPr="00D75D2E" w:rsidRDefault="000705BE" w:rsidP="008C79F0">
      <w:pPr>
        <w:widowControl w:val="0"/>
        <w:numPr>
          <w:ilvl w:val="0"/>
          <w:numId w:val="182"/>
        </w:numPr>
        <w:tabs>
          <w:tab w:val="left" w:pos="0"/>
        </w:tabs>
        <w:suppressAutoHyphens/>
        <w:spacing w:before="120" w:after="120" w:line="240" w:lineRule="auto"/>
        <w:ind w:left="714" w:hanging="357"/>
        <w:jc w:val="both"/>
        <w:rPr>
          <w:rFonts w:ascii="Times New Roman" w:hAnsi="Times New Roman"/>
          <w:sz w:val="24"/>
          <w:szCs w:val="24"/>
        </w:rPr>
      </w:pPr>
      <w:r w:rsidRPr="00D75D2E">
        <w:rPr>
          <w:rFonts w:ascii="Times New Roman" w:hAnsi="Times New Roman"/>
          <w:b/>
          <w:bCs/>
          <w:spacing w:val="-1"/>
          <w:sz w:val="24"/>
          <w:szCs w:val="24"/>
        </w:rPr>
        <w:t>M</w:t>
      </w:r>
      <w:r w:rsidRPr="00D75D2E">
        <w:rPr>
          <w:rFonts w:ascii="Times New Roman" w:hAnsi="Times New Roman"/>
          <w:b/>
          <w:bCs/>
          <w:sz w:val="24"/>
          <w:szCs w:val="24"/>
        </w:rPr>
        <w:t xml:space="preserve">ise </w:t>
      </w:r>
      <w:r w:rsidRPr="00D75D2E">
        <w:rPr>
          <w:rFonts w:ascii="Times New Roman" w:hAnsi="Times New Roman"/>
          <w:b/>
          <w:bCs/>
          <w:spacing w:val="-1"/>
          <w:sz w:val="24"/>
          <w:szCs w:val="24"/>
        </w:rPr>
        <w:t>e</w:t>
      </w:r>
      <w:r w:rsidRPr="00D75D2E">
        <w:rPr>
          <w:rFonts w:ascii="Times New Roman" w:hAnsi="Times New Roman"/>
          <w:b/>
          <w:bCs/>
          <w:sz w:val="24"/>
          <w:szCs w:val="24"/>
        </w:rPr>
        <w:t>n</w:t>
      </w:r>
      <w:r w:rsidRPr="00D75D2E">
        <w:rPr>
          <w:rFonts w:ascii="Times New Roman" w:hAnsi="Times New Roman"/>
          <w:b/>
          <w:bCs/>
          <w:spacing w:val="1"/>
          <w:sz w:val="24"/>
          <w:szCs w:val="24"/>
        </w:rPr>
        <w:t xml:space="preserve"> p</w:t>
      </w:r>
      <w:r w:rsidRPr="00D75D2E">
        <w:rPr>
          <w:rFonts w:ascii="Times New Roman" w:hAnsi="Times New Roman"/>
          <w:b/>
          <w:bCs/>
          <w:sz w:val="24"/>
          <w:szCs w:val="24"/>
        </w:rPr>
        <w:t xml:space="preserve">lace </w:t>
      </w:r>
      <w:r w:rsidRPr="00D75D2E">
        <w:rPr>
          <w:rFonts w:ascii="Times New Roman" w:hAnsi="Times New Roman"/>
          <w:b/>
          <w:bCs/>
          <w:spacing w:val="1"/>
          <w:sz w:val="24"/>
          <w:szCs w:val="24"/>
        </w:rPr>
        <w:t>d</w:t>
      </w:r>
      <w:r w:rsidRPr="00D75D2E">
        <w:rPr>
          <w:rFonts w:ascii="Times New Roman" w:hAnsi="Times New Roman"/>
          <w:b/>
          <w:bCs/>
          <w:sz w:val="24"/>
          <w:szCs w:val="24"/>
        </w:rPr>
        <w:t xml:space="preserve">e </w:t>
      </w:r>
      <w:r w:rsidRPr="00D75D2E">
        <w:rPr>
          <w:rFonts w:ascii="Times New Roman" w:hAnsi="Times New Roman"/>
          <w:b/>
          <w:bCs/>
          <w:spacing w:val="2"/>
          <w:sz w:val="24"/>
          <w:szCs w:val="24"/>
        </w:rPr>
        <w:t>p</w:t>
      </w:r>
      <w:r w:rsidRPr="00D75D2E">
        <w:rPr>
          <w:rFonts w:ascii="Times New Roman" w:hAnsi="Times New Roman"/>
          <w:b/>
          <w:bCs/>
          <w:sz w:val="24"/>
          <w:szCs w:val="24"/>
        </w:rPr>
        <w:t>a</w:t>
      </w:r>
      <w:r w:rsidRPr="00D75D2E">
        <w:rPr>
          <w:rFonts w:ascii="Times New Roman" w:hAnsi="Times New Roman"/>
          <w:b/>
          <w:bCs/>
          <w:spacing w:val="1"/>
          <w:sz w:val="24"/>
          <w:szCs w:val="24"/>
        </w:rPr>
        <w:t>nn</w:t>
      </w:r>
      <w:r w:rsidRPr="00D75D2E">
        <w:rPr>
          <w:rFonts w:ascii="Times New Roman" w:hAnsi="Times New Roman"/>
          <w:b/>
          <w:bCs/>
          <w:spacing w:val="-1"/>
          <w:sz w:val="24"/>
          <w:szCs w:val="24"/>
        </w:rPr>
        <w:t>e</w:t>
      </w:r>
      <w:r w:rsidRPr="00D75D2E">
        <w:rPr>
          <w:rFonts w:ascii="Times New Roman" w:hAnsi="Times New Roman"/>
          <w:b/>
          <w:bCs/>
          <w:sz w:val="24"/>
          <w:szCs w:val="24"/>
        </w:rPr>
        <w:t>a</w:t>
      </w:r>
      <w:r w:rsidRPr="00D75D2E">
        <w:rPr>
          <w:rFonts w:ascii="Times New Roman" w:hAnsi="Times New Roman"/>
          <w:b/>
          <w:bCs/>
          <w:spacing w:val="1"/>
          <w:sz w:val="24"/>
          <w:szCs w:val="24"/>
        </w:rPr>
        <w:t>u</w:t>
      </w:r>
      <w:r w:rsidRPr="00D75D2E">
        <w:rPr>
          <w:rFonts w:ascii="Times New Roman" w:hAnsi="Times New Roman"/>
          <w:b/>
          <w:bCs/>
          <w:sz w:val="24"/>
          <w:szCs w:val="24"/>
        </w:rPr>
        <w:t xml:space="preserve">x </w:t>
      </w:r>
      <w:r w:rsidRPr="00D75D2E">
        <w:rPr>
          <w:rFonts w:ascii="Times New Roman" w:hAnsi="Times New Roman"/>
          <w:b/>
          <w:bCs/>
          <w:spacing w:val="1"/>
          <w:sz w:val="24"/>
          <w:szCs w:val="24"/>
        </w:rPr>
        <w:t>d</w:t>
      </w:r>
      <w:r w:rsidRPr="00D75D2E">
        <w:rPr>
          <w:rFonts w:ascii="Times New Roman" w:hAnsi="Times New Roman"/>
          <w:b/>
          <w:bCs/>
          <w:sz w:val="24"/>
          <w:szCs w:val="24"/>
        </w:rPr>
        <w:t>e si</w:t>
      </w:r>
      <w:r w:rsidRPr="00D75D2E">
        <w:rPr>
          <w:rFonts w:ascii="Times New Roman" w:hAnsi="Times New Roman"/>
          <w:b/>
          <w:bCs/>
          <w:spacing w:val="1"/>
          <w:sz w:val="24"/>
          <w:szCs w:val="24"/>
        </w:rPr>
        <w:t>gn</w:t>
      </w:r>
      <w:r w:rsidRPr="00D75D2E">
        <w:rPr>
          <w:rFonts w:ascii="Times New Roman" w:hAnsi="Times New Roman"/>
          <w:b/>
          <w:bCs/>
          <w:spacing w:val="-2"/>
          <w:sz w:val="24"/>
          <w:szCs w:val="24"/>
        </w:rPr>
        <w:t>a</w:t>
      </w:r>
      <w:r w:rsidRPr="00D75D2E">
        <w:rPr>
          <w:rFonts w:ascii="Times New Roman" w:hAnsi="Times New Roman"/>
          <w:b/>
          <w:bCs/>
          <w:sz w:val="24"/>
          <w:szCs w:val="24"/>
        </w:rPr>
        <w:t>lisati</w:t>
      </w:r>
      <w:r w:rsidRPr="00D75D2E">
        <w:rPr>
          <w:rFonts w:ascii="Times New Roman" w:hAnsi="Times New Roman"/>
          <w:b/>
          <w:bCs/>
          <w:spacing w:val="-2"/>
          <w:sz w:val="24"/>
          <w:szCs w:val="24"/>
        </w:rPr>
        <w:t>o</w:t>
      </w:r>
      <w:r w:rsidRPr="00D75D2E">
        <w:rPr>
          <w:rFonts w:ascii="Times New Roman" w:hAnsi="Times New Roman"/>
          <w:b/>
          <w:bCs/>
          <w:sz w:val="24"/>
          <w:szCs w:val="24"/>
        </w:rPr>
        <w:t>n</w:t>
      </w:r>
    </w:p>
    <w:p w14:paraId="742B0118" w14:textId="77777777" w:rsidR="000705BE" w:rsidRPr="00D75D2E" w:rsidRDefault="000705BE" w:rsidP="000705BE">
      <w:pPr>
        <w:widowControl w:val="0"/>
        <w:tabs>
          <w:tab w:val="left" w:pos="0"/>
        </w:tabs>
        <w:spacing w:after="0"/>
        <w:ind w:left="116" w:right="72"/>
        <w:jc w:val="both"/>
        <w:rPr>
          <w:rFonts w:ascii="Times New Roman" w:hAnsi="Times New Roman"/>
          <w:sz w:val="24"/>
          <w:szCs w:val="24"/>
        </w:rPr>
      </w:pPr>
      <w:r w:rsidRPr="00D75D2E">
        <w:rPr>
          <w:rFonts w:ascii="Times New Roman" w:hAnsi="Times New Roman"/>
          <w:spacing w:val="-5"/>
          <w:sz w:val="24"/>
          <w:szCs w:val="24"/>
        </w:rPr>
        <w:t>L</w:t>
      </w:r>
      <w:r w:rsidRPr="00D75D2E">
        <w:rPr>
          <w:rFonts w:ascii="Times New Roman" w:hAnsi="Times New Roman"/>
          <w:sz w:val="24"/>
          <w:szCs w:val="24"/>
        </w:rPr>
        <w:t>e p</w:t>
      </w:r>
      <w:r w:rsidRPr="00D75D2E">
        <w:rPr>
          <w:rFonts w:ascii="Times New Roman" w:hAnsi="Times New Roman"/>
          <w:spacing w:val="3"/>
          <w:sz w:val="24"/>
          <w:szCs w:val="24"/>
        </w:rPr>
        <w:t>l</w:t>
      </w:r>
      <w:r w:rsidRPr="00D75D2E">
        <w:rPr>
          <w:rFonts w:ascii="Times New Roman" w:hAnsi="Times New Roman"/>
          <w:spacing w:val="-1"/>
          <w:sz w:val="24"/>
          <w:szCs w:val="24"/>
        </w:rPr>
        <w:t>a</w:t>
      </w:r>
      <w:r w:rsidRPr="00D75D2E">
        <w:rPr>
          <w:rFonts w:ascii="Times New Roman" w:hAnsi="Times New Roman"/>
          <w:sz w:val="24"/>
          <w:szCs w:val="24"/>
        </w:rPr>
        <w:t xml:space="preserve">n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c</w:t>
      </w:r>
      <w:r w:rsidRPr="00D75D2E">
        <w:rPr>
          <w:rFonts w:ascii="Times New Roman" w:hAnsi="Times New Roman"/>
          <w:sz w:val="24"/>
          <w:szCs w:val="24"/>
        </w:rPr>
        <w:t>i</w:t>
      </w:r>
      <w:r w:rsidRPr="00D75D2E">
        <w:rPr>
          <w:rFonts w:ascii="Times New Roman" w:hAnsi="Times New Roman"/>
          <w:spacing w:val="-1"/>
          <w:sz w:val="24"/>
          <w:szCs w:val="24"/>
        </w:rPr>
        <w:t>rc</w:t>
      </w:r>
      <w:r w:rsidRPr="00D75D2E">
        <w:rPr>
          <w:rFonts w:ascii="Times New Roman" w:hAnsi="Times New Roman"/>
          <w:sz w:val="24"/>
          <w:szCs w:val="24"/>
        </w:rPr>
        <w:t xml:space="preserve">ulation </w:t>
      </w:r>
      <w:r w:rsidRPr="00D75D2E">
        <w:rPr>
          <w:rFonts w:ascii="Times New Roman" w:hAnsi="Times New Roman"/>
          <w:spacing w:val="-1"/>
          <w:sz w:val="24"/>
          <w:szCs w:val="24"/>
        </w:rPr>
        <w:t>e</w:t>
      </w:r>
      <w:r w:rsidRPr="00D75D2E">
        <w:rPr>
          <w:rFonts w:ascii="Times New Roman" w:hAnsi="Times New Roman"/>
          <w:spacing w:val="3"/>
          <w:sz w:val="24"/>
          <w:szCs w:val="24"/>
        </w:rPr>
        <w:t>s</w:t>
      </w:r>
      <w:r w:rsidRPr="00D75D2E">
        <w:rPr>
          <w:rFonts w:ascii="Times New Roman" w:hAnsi="Times New Roman"/>
          <w:sz w:val="24"/>
          <w:szCs w:val="24"/>
        </w:rPr>
        <w:t>t sou</w:t>
      </w:r>
      <w:r w:rsidRPr="00D75D2E">
        <w:rPr>
          <w:rFonts w:ascii="Times New Roman" w:hAnsi="Times New Roman"/>
          <w:spacing w:val="1"/>
          <w:sz w:val="24"/>
          <w:szCs w:val="24"/>
        </w:rPr>
        <w:t>t</w:t>
      </w:r>
      <w:r w:rsidRPr="00D75D2E">
        <w:rPr>
          <w:rFonts w:ascii="Times New Roman" w:hAnsi="Times New Roman"/>
          <w:spacing w:val="-1"/>
          <w:sz w:val="24"/>
          <w:szCs w:val="24"/>
        </w:rPr>
        <w:t>e</w:t>
      </w:r>
      <w:r w:rsidRPr="00D75D2E">
        <w:rPr>
          <w:rFonts w:ascii="Times New Roman" w:hAnsi="Times New Roman"/>
          <w:sz w:val="24"/>
          <w:szCs w:val="24"/>
        </w:rPr>
        <w:t>nu p</w:t>
      </w:r>
      <w:r w:rsidRPr="00D75D2E">
        <w:rPr>
          <w:rFonts w:ascii="Times New Roman" w:hAnsi="Times New Roman"/>
          <w:spacing w:val="-1"/>
          <w:sz w:val="24"/>
          <w:szCs w:val="24"/>
        </w:rPr>
        <w:t>a</w:t>
      </w:r>
      <w:r w:rsidRPr="00D75D2E">
        <w:rPr>
          <w:rFonts w:ascii="Times New Roman" w:hAnsi="Times New Roman"/>
          <w:sz w:val="24"/>
          <w:szCs w:val="24"/>
        </w:rPr>
        <w:t xml:space="preserve">r la mise </w:t>
      </w:r>
      <w:r w:rsidRPr="00D75D2E">
        <w:rPr>
          <w:rFonts w:ascii="Times New Roman" w:hAnsi="Times New Roman"/>
          <w:spacing w:val="-1"/>
          <w:sz w:val="24"/>
          <w:szCs w:val="24"/>
        </w:rPr>
        <w:t>e</w:t>
      </w:r>
      <w:r w:rsidRPr="00D75D2E">
        <w:rPr>
          <w:rFonts w:ascii="Times New Roman" w:hAnsi="Times New Roman"/>
          <w:sz w:val="24"/>
          <w:szCs w:val="24"/>
        </w:rPr>
        <w:t>n pla</w:t>
      </w:r>
      <w:r w:rsidRPr="00D75D2E">
        <w:rPr>
          <w:rFonts w:ascii="Times New Roman" w:hAnsi="Times New Roman"/>
          <w:spacing w:val="-1"/>
          <w:sz w:val="24"/>
          <w:szCs w:val="24"/>
        </w:rPr>
        <w:t>c</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e d</w:t>
      </w:r>
      <w:r w:rsidRPr="00D75D2E">
        <w:rPr>
          <w:rFonts w:ascii="Times New Roman" w:hAnsi="Times New Roman"/>
          <w:spacing w:val="8"/>
          <w:sz w:val="24"/>
          <w:szCs w:val="24"/>
        </w:rPr>
        <w:t>i</w:t>
      </w:r>
      <w:r w:rsidRPr="00D75D2E">
        <w:rPr>
          <w:rFonts w:ascii="Times New Roman" w:hAnsi="Times New Roman"/>
          <w:sz w:val="24"/>
          <w:szCs w:val="24"/>
        </w:rPr>
        <w:t>v</w:t>
      </w:r>
      <w:r w:rsidRPr="00D75D2E">
        <w:rPr>
          <w:rFonts w:ascii="Times New Roman" w:hAnsi="Times New Roman"/>
          <w:spacing w:val="-1"/>
          <w:sz w:val="24"/>
          <w:szCs w:val="24"/>
        </w:rPr>
        <w:t>er</w:t>
      </w:r>
      <w:r w:rsidRPr="00D75D2E">
        <w:rPr>
          <w:rFonts w:ascii="Times New Roman" w:hAnsi="Times New Roman"/>
          <w:sz w:val="24"/>
          <w:szCs w:val="24"/>
        </w:rPr>
        <w:t>s p</w:t>
      </w:r>
      <w:r w:rsidRPr="00D75D2E">
        <w:rPr>
          <w:rFonts w:ascii="Times New Roman" w:hAnsi="Times New Roman"/>
          <w:spacing w:val="-1"/>
          <w:sz w:val="24"/>
          <w:szCs w:val="24"/>
        </w:rPr>
        <w:t>a</w:t>
      </w:r>
      <w:r w:rsidRPr="00D75D2E">
        <w:rPr>
          <w:rFonts w:ascii="Times New Roman" w:hAnsi="Times New Roman"/>
          <w:sz w:val="24"/>
          <w:szCs w:val="24"/>
        </w:rPr>
        <w:t>n</w:t>
      </w:r>
      <w:r w:rsidRPr="00D75D2E">
        <w:rPr>
          <w:rFonts w:ascii="Times New Roman" w:hAnsi="Times New Roman"/>
          <w:spacing w:val="2"/>
          <w:sz w:val="24"/>
          <w:szCs w:val="24"/>
        </w:rPr>
        <w:t>n</w:t>
      </w:r>
      <w:r w:rsidRPr="00D75D2E">
        <w:rPr>
          <w:rFonts w:ascii="Times New Roman" w:hAnsi="Times New Roman"/>
          <w:spacing w:val="-1"/>
          <w:sz w:val="24"/>
          <w:szCs w:val="24"/>
        </w:rPr>
        <w:t>ea</w:t>
      </w:r>
      <w:r w:rsidRPr="00D75D2E">
        <w:rPr>
          <w:rFonts w:ascii="Times New Roman" w:hAnsi="Times New Roman"/>
          <w:sz w:val="24"/>
          <w:szCs w:val="24"/>
        </w:rPr>
        <w:t xml:space="preserve">ux de </w:t>
      </w:r>
      <w:r w:rsidRPr="00D75D2E">
        <w:rPr>
          <w:rFonts w:ascii="Times New Roman" w:hAnsi="Times New Roman"/>
          <w:spacing w:val="1"/>
          <w:sz w:val="24"/>
          <w:szCs w:val="24"/>
        </w:rPr>
        <w:t>s</w:t>
      </w:r>
      <w:r w:rsidRPr="00D75D2E">
        <w:rPr>
          <w:rFonts w:ascii="Times New Roman" w:hAnsi="Times New Roman"/>
          <w:spacing w:val="3"/>
          <w:sz w:val="24"/>
          <w:szCs w:val="24"/>
        </w:rPr>
        <w:t>i</w:t>
      </w:r>
      <w:r w:rsidRPr="00D75D2E">
        <w:rPr>
          <w:rFonts w:ascii="Times New Roman" w:hAnsi="Times New Roman"/>
          <w:spacing w:val="-2"/>
          <w:sz w:val="24"/>
          <w:szCs w:val="24"/>
        </w:rPr>
        <w:t>g</w:t>
      </w:r>
      <w:r w:rsidRPr="00D75D2E">
        <w:rPr>
          <w:rFonts w:ascii="Times New Roman" w:hAnsi="Times New Roman"/>
          <w:sz w:val="24"/>
          <w:szCs w:val="24"/>
        </w:rPr>
        <w:t>n</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a</w:t>
      </w:r>
      <w:r w:rsidRPr="00D75D2E">
        <w:rPr>
          <w:rFonts w:ascii="Times New Roman" w:hAnsi="Times New Roman"/>
          <w:sz w:val="24"/>
          <w:szCs w:val="24"/>
        </w:rPr>
        <w:t xml:space="preserve">tion </w:t>
      </w:r>
      <w:r w:rsidRPr="00D75D2E">
        <w:rPr>
          <w:rFonts w:ascii="Times New Roman" w:hAnsi="Times New Roman"/>
          <w:spacing w:val="-1"/>
          <w:sz w:val="24"/>
          <w:szCs w:val="24"/>
        </w:rPr>
        <w:t>e</w:t>
      </w:r>
      <w:r w:rsidRPr="00D75D2E">
        <w:rPr>
          <w:rFonts w:ascii="Times New Roman" w:hAnsi="Times New Roman"/>
          <w:sz w:val="24"/>
          <w:szCs w:val="24"/>
        </w:rPr>
        <w:t xml:space="preserve">t de </w:t>
      </w:r>
      <w:r w:rsidRPr="00D75D2E">
        <w:rPr>
          <w:rFonts w:ascii="Times New Roman" w:hAnsi="Times New Roman"/>
          <w:spacing w:val="-1"/>
          <w:sz w:val="24"/>
          <w:szCs w:val="24"/>
        </w:rPr>
        <w:t>b</w:t>
      </w:r>
      <w:r w:rsidRPr="00D75D2E">
        <w:rPr>
          <w:rFonts w:ascii="Times New Roman" w:hAnsi="Times New Roman"/>
          <w:sz w:val="24"/>
          <w:szCs w:val="24"/>
        </w:rPr>
        <w:t>ali</w:t>
      </w:r>
      <w:r w:rsidRPr="00D75D2E">
        <w:rPr>
          <w:rFonts w:ascii="Times New Roman" w:hAnsi="Times New Roman"/>
          <w:spacing w:val="-1"/>
          <w:sz w:val="24"/>
          <w:szCs w:val="24"/>
        </w:rPr>
        <w:t>s</w:t>
      </w:r>
      <w:r w:rsidRPr="00D75D2E">
        <w:rPr>
          <w:rFonts w:ascii="Times New Roman" w:hAnsi="Times New Roman"/>
          <w:sz w:val="24"/>
          <w:szCs w:val="24"/>
        </w:rPr>
        <w:t xml:space="preserve">es </w:t>
      </w:r>
      <w:r w:rsidRPr="00D75D2E">
        <w:rPr>
          <w:rFonts w:ascii="Times New Roman" w:hAnsi="Times New Roman"/>
          <w:spacing w:val="-1"/>
          <w:sz w:val="24"/>
          <w:szCs w:val="24"/>
        </w:rPr>
        <w:t>e</w:t>
      </w:r>
      <w:r w:rsidRPr="00D75D2E">
        <w:rPr>
          <w:rFonts w:ascii="Times New Roman" w:hAnsi="Times New Roman"/>
          <w:sz w:val="24"/>
          <w:szCs w:val="24"/>
        </w:rPr>
        <w:t>n r</w:t>
      </w:r>
      <w:r w:rsidRPr="00D75D2E">
        <w:rPr>
          <w:rFonts w:ascii="Times New Roman" w:hAnsi="Times New Roman"/>
          <w:spacing w:val="-1"/>
          <w:sz w:val="24"/>
          <w:szCs w:val="24"/>
        </w:rPr>
        <w:t>u</w:t>
      </w:r>
      <w:r w:rsidRPr="00D75D2E">
        <w:rPr>
          <w:rFonts w:ascii="Times New Roman" w:hAnsi="Times New Roman"/>
          <w:sz w:val="24"/>
          <w:szCs w:val="24"/>
        </w:rPr>
        <w:t>b</w:t>
      </w:r>
      <w:r w:rsidRPr="00D75D2E">
        <w:rPr>
          <w:rFonts w:ascii="Times New Roman" w:hAnsi="Times New Roman"/>
          <w:spacing w:val="-1"/>
          <w:sz w:val="24"/>
          <w:szCs w:val="24"/>
        </w:rPr>
        <w:t>a</w:t>
      </w:r>
      <w:r w:rsidRPr="00D75D2E">
        <w:rPr>
          <w:rFonts w:ascii="Times New Roman" w:hAnsi="Times New Roman"/>
          <w:sz w:val="24"/>
          <w:szCs w:val="24"/>
        </w:rPr>
        <w:t>n d</w:t>
      </w:r>
      <w:r w:rsidRPr="00D75D2E">
        <w:rPr>
          <w:rFonts w:ascii="Times New Roman" w:hAnsi="Times New Roman"/>
          <w:spacing w:val="-1"/>
          <w:sz w:val="24"/>
          <w:szCs w:val="24"/>
        </w:rPr>
        <w:t>a</w:t>
      </w:r>
      <w:r w:rsidRPr="00D75D2E">
        <w:rPr>
          <w:rFonts w:ascii="Times New Roman" w:hAnsi="Times New Roman"/>
          <w:sz w:val="24"/>
          <w:szCs w:val="24"/>
        </w:rPr>
        <w:t xml:space="preserve">ns les </w:t>
      </w:r>
      <w:r w:rsidRPr="00D75D2E">
        <w:rPr>
          <w:rFonts w:ascii="Times New Roman" w:hAnsi="Times New Roman"/>
          <w:spacing w:val="1"/>
          <w:sz w:val="24"/>
          <w:szCs w:val="24"/>
        </w:rPr>
        <w:t>z</w:t>
      </w:r>
      <w:r w:rsidRPr="00D75D2E">
        <w:rPr>
          <w:rFonts w:ascii="Times New Roman" w:hAnsi="Times New Roman"/>
          <w:sz w:val="24"/>
          <w:szCs w:val="24"/>
        </w:rPr>
        <w:t>on</w:t>
      </w:r>
      <w:r w:rsidRPr="00D75D2E">
        <w:rPr>
          <w:rFonts w:ascii="Times New Roman" w:hAnsi="Times New Roman"/>
          <w:spacing w:val="-1"/>
          <w:sz w:val="24"/>
          <w:szCs w:val="24"/>
        </w:rPr>
        <w:t>e</w:t>
      </w:r>
      <w:r w:rsidRPr="00D75D2E">
        <w:rPr>
          <w:rFonts w:ascii="Times New Roman" w:hAnsi="Times New Roman"/>
          <w:sz w:val="24"/>
          <w:szCs w:val="24"/>
        </w:rPr>
        <w:t>s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ux</w:t>
      </w:r>
      <w:r w:rsidRPr="00D75D2E">
        <w:rPr>
          <w:rFonts w:ascii="Times New Roman" w:hAnsi="Times New Roman"/>
          <w:spacing w:val="-1"/>
          <w:sz w:val="24"/>
          <w:szCs w:val="24"/>
        </w:rPr>
        <w:t xml:space="preserve"> </w:t>
      </w:r>
      <w:r w:rsidRPr="00D75D2E">
        <w:rPr>
          <w:rFonts w:ascii="Times New Roman" w:hAnsi="Times New Roman"/>
          <w:sz w:val="24"/>
          <w:szCs w:val="24"/>
        </w:rPr>
        <w:t>en vue de :</w:t>
      </w:r>
    </w:p>
    <w:p w14:paraId="30D5E0DE" w14:textId="77777777" w:rsidR="000705BE" w:rsidRPr="00D75D2E" w:rsidRDefault="000705BE" w:rsidP="000705BE">
      <w:pPr>
        <w:widowControl w:val="0"/>
        <w:tabs>
          <w:tab w:val="left" w:pos="0"/>
        </w:tabs>
        <w:spacing w:after="0"/>
        <w:ind w:left="116" w:right="72"/>
        <w:jc w:val="both"/>
        <w:rPr>
          <w:rFonts w:ascii="Times New Roman" w:hAnsi="Times New Roman"/>
          <w:sz w:val="8"/>
          <w:szCs w:val="24"/>
        </w:rPr>
      </w:pPr>
    </w:p>
    <w:p w14:paraId="182074E6" w14:textId="77777777" w:rsidR="000705BE" w:rsidRPr="00D75D2E" w:rsidRDefault="000705BE" w:rsidP="00215867">
      <w:pPr>
        <w:widowControl w:val="0"/>
        <w:numPr>
          <w:ilvl w:val="0"/>
          <w:numId w:val="183"/>
        </w:numPr>
        <w:tabs>
          <w:tab w:val="left" w:pos="0"/>
          <w:tab w:val="left" w:pos="820"/>
        </w:tabs>
        <w:suppressAutoHyphens/>
        <w:spacing w:after="0" w:line="240" w:lineRule="auto"/>
        <w:ind w:left="714" w:right="153" w:hanging="357"/>
        <w:jc w:val="both"/>
        <w:rPr>
          <w:rFonts w:ascii="Times New Roman" w:hAnsi="Times New Roman"/>
          <w:sz w:val="24"/>
          <w:szCs w:val="24"/>
        </w:rPr>
      </w:pPr>
      <w:r w:rsidRPr="00D75D2E">
        <w:rPr>
          <w:rFonts w:ascii="Times New Roman" w:hAnsi="Times New Roman"/>
          <w:spacing w:val="-1"/>
          <w:sz w:val="24"/>
          <w:szCs w:val="24"/>
        </w:rPr>
        <w:t xml:space="preserve">Faciliter </w:t>
      </w:r>
      <w:r w:rsidRPr="00D75D2E">
        <w:rPr>
          <w:rFonts w:ascii="Times New Roman" w:hAnsi="Times New Roman"/>
          <w:sz w:val="24"/>
          <w:szCs w:val="24"/>
        </w:rPr>
        <w:t>la lo</w:t>
      </w:r>
      <w:r w:rsidRPr="00D75D2E">
        <w:rPr>
          <w:rFonts w:ascii="Times New Roman" w:hAnsi="Times New Roman"/>
          <w:spacing w:val="-1"/>
          <w:sz w:val="24"/>
          <w:szCs w:val="24"/>
        </w:rPr>
        <w:t>c</w:t>
      </w:r>
      <w:r w:rsidRPr="00D75D2E">
        <w:rPr>
          <w:rFonts w:ascii="Times New Roman" w:hAnsi="Times New Roman"/>
          <w:sz w:val="24"/>
          <w:szCs w:val="24"/>
        </w:rPr>
        <w:t xml:space="preserve">alisation </w:t>
      </w:r>
      <w:r w:rsidRPr="00D75D2E">
        <w:rPr>
          <w:rFonts w:ascii="Times New Roman" w:hAnsi="Times New Roman"/>
          <w:spacing w:val="-1"/>
          <w:sz w:val="24"/>
          <w:szCs w:val="24"/>
        </w:rPr>
        <w:t>e</w:t>
      </w:r>
      <w:r w:rsidRPr="00D75D2E">
        <w:rPr>
          <w:rFonts w:ascii="Times New Roman" w:hAnsi="Times New Roman"/>
          <w:sz w:val="24"/>
          <w:szCs w:val="24"/>
        </w:rPr>
        <w:t>t l</w:t>
      </w:r>
      <w:r w:rsidRPr="00D75D2E">
        <w:rPr>
          <w:rFonts w:ascii="Times New Roman" w:hAnsi="Times New Roman"/>
          <w:spacing w:val="-5"/>
          <w:sz w:val="24"/>
          <w:szCs w:val="24"/>
        </w:rPr>
        <w:t>'</w:t>
      </w:r>
      <w:r w:rsidRPr="00D75D2E">
        <w:rPr>
          <w:rFonts w:ascii="Times New Roman" w:hAnsi="Times New Roman"/>
          <w:spacing w:val="-1"/>
          <w:sz w:val="24"/>
          <w:szCs w:val="24"/>
        </w:rPr>
        <w:t>a</w:t>
      </w:r>
      <w:r w:rsidRPr="00D75D2E">
        <w:rPr>
          <w:rFonts w:ascii="Times New Roman" w:hAnsi="Times New Roman"/>
          <w:sz w:val="24"/>
          <w:szCs w:val="24"/>
        </w:rPr>
        <w:t>m</w:t>
      </w:r>
      <w:r w:rsidRPr="00D75D2E">
        <w:rPr>
          <w:rFonts w:ascii="Times New Roman" w:hAnsi="Times New Roman"/>
          <w:spacing w:val="-1"/>
          <w:sz w:val="24"/>
          <w:szCs w:val="24"/>
        </w:rPr>
        <w:t>é</w:t>
      </w:r>
      <w:r w:rsidRPr="00D75D2E">
        <w:rPr>
          <w:rFonts w:ascii="Times New Roman" w:hAnsi="Times New Roman"/>
          <w:spacing w:val="5"/>
          <w:sz w:val="24"/>
          <w:szCs w:val="24"/>
        </w:rPr>
        <w:t>n</w:t>
      </w:r>
      <w:r w:rsidRPr="00D75D2E">
        <w:rPr>
          <w:rFonts w:ascii="Times New Roman" w:hAnsi="Times New Roman"/>
          <w:spacing w:val="-1"/>
          <w:sz w:val="24"/>
          <w:szCs w:val="24"/>
        </w:rPr>
        <w:t>a</w:t>
      </w:r>
      <w:r w:rsidRPr="00D75D2E">
        <w:rPr>
          <w:rFonts w:ascii="Times New Roman" w:hAnsi="Times New Roman"/>
          <w:spacing w:val="-2"/>
          <w:sz w:val="24"/>
          <w:szCs w:val="24"/>
        </w:rPr>
        <w:t>g</w:t>
      </w:r>
      <w:r w:rsidRPr="00D75D2E">
        <w:rPr>
          <w:rFonts w:ascii="Times New Roman" w:hAnsi="Times New Roman"/>
          <w:spacing w:val="-1"/>
          <w:sz w:val="24"/>
          <w:szCs w:val="24"/>
        </w:rPr>
        <w:t>e</w:t>
      </w:r>
      <w:r w:rsidRPr="00D75D2E">
        <w:rPr>
          <w:rFonts w:ascii="Times New Roman" w:hAnsi="Times New Roman"/>
          <w:sz w:val="24"/>
          <w:szCs w:val="24"/>
        </w:rPr>
        <w:t xml:space="preserve">ment </w:t>
      </w:r>
      <w:r w:rsidRPr="00D75D2E">
        <w:rPr>
          <w:rFonts w:ascii="Times New Roman" w:hAnsi="Times New Roman"/>
          <w:spacing w:val="2"/>
          <w:sz w:val="24"/>
          <w:szCs w:val="24"/>
        </w:rPr>
        <w:t>d</w:t>
      </w:r>
      <w:r w:rsidRPr="00D75D2E">
        <w:rPr>
          <w:rFonts w:ascii="Times New Roman" w:hAnsi="Times New Roman"/>
          <w:spacing w:val="-1"/>
          <w:sz w:val="24"/>
          <w:szCs w:val="24"/>
        </w:rPr>
        <w:t>e</w:t>
      </w:r>
      <w:r w:rsidRPr="00D75D2E">
        <w:rPr>
          <w:rFonts w:ascii="Times New Roman" w:hAnsi="Times New Roman"/>
          <w:sz w:val="24"/>
          <w:szCs w:val="24"/>
        </w:rPr>
        <w:t>s sorti</w:t>
      </w:r>
      <w:r w:rsidRPr="00D75D2E">
        <w:rPr>
          <w:rFonts w:ascii="Times New Roman" w:hAnsi="Times New Roman"/>
          <w:spacing w:val="1"/>
          <w:sz w:val="24"/>
          <w:szCs w:val="24"/>
        </w:rPr>
        <w:t>e</w:t>
      </w:r>
      <w:r w:rsidRPr="00D75D2E">
        <w:rPr>
          <w:rFonts w:ascii="Times New Roman" w:hAnsi="Times New Roman"/>
          <w:sz w:val="24"/>
          <w:szCs w:val="24"/>
        </w:rPr>
        <w:t>s de v</w:t>
      </w:r>
      <w:r w:rsidRPr="00D75D2E">
        <w:rPr>
          <w:rFonts w:ascii="Times New Roman" w:hAnsi="Times New Roman"/>
          <w:spacing w:val="-1"/>
          <w:sz w:val="24"/>
          <w:szCs w:val="24"/>
        </w:rPr>
        <w:t>é</w:t>
      </w:r>
      <w:r w:rsidRPr="00D75D2E">
        <w:rPr>
          <w:rFonts w:ascii="Times New Roman" w:hAnsi="Times New Roman"/>
          <w:sz w:val="24"/>
          <w:szCs w:val="24"/>
        </w:rPr>
        <w:t>hicu</w:t>
      </w:r>
      <w:r w:rsidRPr="00D75D2E">
        <w:rPr>
          <w:rFonts w:ascii="Times New Roman" w:hAnsi="Times New Roman"/>
          <w:spacing w:val="3"/>
          <w:sz w:val="24"/>
          <w:szCs w:val="24"/>
        </w:rPr>
        <w:t>l</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e</w:t>
      </w:r>
      <w:r w:rsidRPr="00D75D2E">
        <w:rPr>
          <w:rFonts w:ascii="Times New Roman" w:hAnsi="Times New Roman"/>
          <w:sz w:val="24"/>
          <w:szCs w:val="24"/>
        </w:rPr>
        <w:t xml:space="preserve">t </w:t>
      </w:r>
      <w:r w:rsidRPr="00D75D2E">
        <w:rPr>
          <w:rFonts w:ascii="Times New Roman" w:hAnsi="Times New Roman"/>
          <w:spacing w:val="2"/>
          <w:sz w:val="24"/>
          <w:szCs w:val="24"/>
        </w:rPr>
        <w:t>d</w:t>
      </w:r>
      <w:r w:rsidRPr="00D75D2E">
        <w:rPr>
          <w:rFonts w:ascii="Times New Roman" w:hAnsi="Times New Roman"/>
          <w:spacing w:val="-5"/>
          <w:sz w:val="24"/>
          <w:szCs w:val="24"/>
        </w:rPr>
        <w:t>'</w:t>
      </w:r>
      <w:r w:rsidRPr="00D75D2E">
        <w:rPr>
          <w:rFonts w:ascii="Times New Roman" w:hAnsi="Times New Roman"/>
          <w:spacing w:val="-1"/>
          <w:sz w:val="24"/>
          <w:szCs w:val="24"/>
        </w:rPr>
        <w:t>e</w:t>
      </w:r>
      <w:r w:rsidRPr="00D75D2E">
        <w:rPr>
          <w:rFonts w:ascii="Times New Roman" w:hAnsi="Times New Roman"/>
          <w:spacing w:val="3"/>
          <w:sz w:val="24"/>
          <w:szCs w:val="24"/>
        </w:rPr>
        <w:t>n</w:t>
      </w:r>
      <w:r w:rsidRPr="00D75D2E">
        <w:rPr>
          <w:rFonts w:ascii="Times New Roman" w:hAnsi="Times New Roman"/>
          <w:spacing w:val="-2"/>
          <w:sz w:val="24"/>
          <w:szCs w:val="24"/>
        </w:rPr>
        <w:t>g</w:t>
      </w:r>
      <w:r w:rsidRPr="00D75D2E">
        <w:rPr>
          <w:rFonts w:ascii="Times New Roman" w:hAnsi="Times New Roman"/>
          <w:sz w:val="24"/>
          <w:szCs w:val="24"/>
        </w:rPr>
        <w:t>ins de mani</w:t>
      </w:r>
      <w:r w:rsidRPr="00D75D2E">
        <w:rPr>
          <w:rFonts w:ascii="Times New Roman" w:hAnsi="Times New Roman"/>
          <w:spacing w:val="1"/>
          <w:sz w:val="24"/>
          <w:szCs w:val="24"/>
        </w:rPr>
        <w:t>è</w:t>
      </w:r>
      <w:r w:rsidRPr="00D75D2E">
        <w:rPr>
          <w:rFonts w:ascii="Times New Roman" w:hAnsi="Times New Roman"/>
          <w:spacing w:val="-1"/>
          <w:sz w:val="24"/>
          <w:szCs w:val="24"/>
        </w:rPr>
        <w:t>r</w:t>
      </w:r>
      <w:r w:rsidRPr="00D75D2E">
        <w:rPr>
          <w:rFonts w:ascii="Times New Roman" w:hAnsi="Times New Roman"/>
          <w:sz w:val="24"/>
          <w:szCs w:val="24"/>
        </w:rPr>
        <w:t>e à ne p</w:t>
      </w:r>
      <w:r w:rsidRPr="00D75D2E">
        <w:rPr>
          <w:rFonts w:ascii="Times New Roman" w:hAnsi="Times New Roman"/>
          <w:spacing w:val="-1"/>
          <w:sz w:val="24"/>
          <w:szCs w:val="24"/>
        </w:rPr>
        <w:t>r</w:t>
      </w:r>
      <w:r w:rsidRPr="00D75D2E">
        <w:rPr>
          <w:rFonts w:ascii="Times New Roman" w:hAnsi="Times New Roman"/>
          <w:spacing w:val="-3"/>
          <w:sz w:val="24"/>
          <w:szCs w:val="24"/>
        </w:rPr>
        <w:t>é</w:t>
      </w:r>
      <w:r w:rsidRPr="00D75D2E">
        <w:rPr>
          <w:rFonts w:ascii="Times New Roman" w:hAnsi="Times New Roman"/>
          <w:spacing w:val="3"/>
          <w:sz w:val="24"/>
          <w:szCs w:val="24"/>
        </w:rPr>
        <w:t>s</w:t>
      </w:r>
      <w:r w:rsidRPr="00D75D2E">
        <w:rPr>
          <w:rFonts w:ascii="Times New Roman" w:hAnsi="Times New Roman"/>
          <w:spacing w:val="-1"/>
          <w:sz w:val="24"/>
          <w:szCs w:val="24"/>
        </w:rPr>
        <w:t>e</w:t>
      </w:r>
      <w:r w:rsidRPr="00D75D2E">
        <w:rPr>
          <w:rFonts w:ascii="Times New Roman" w:hAnsi="Times New Roman"/>
          <w:sz w:val="24"/>
          <w:szCs w:val="24"/>
        </w:rPr>
        <w:t>nter</w:t>
      </w:r>
      <w:r w:rsidRPr="00D75D2E">
        <w:rPr>
          <w:rFonts w:ascii="Times New Roman" w:hAnsi="Times New Roman"/>
          <w:spacing w:val="-1"/>
          <w:sz w:val="24"/>
          <w:szCs w:val="24"/>
        </w:rPr>
        <w:t xml:space="preserve"> a</w:t>
      </w:r>
      <w:r w:rsidRPr="00D75D2E">
        <w:rPr>
          <w:rFonts w:ascii="Times New Roman" w:hAnsi="Times New Roman"/>
          <w:sz w:val="24"/>
          <w:szCs w:val="24"/>
        </w:rPr>
        <w:t>ucun ris</w:t>
      </w:r>
      <w:r w:rsidRPr="00D75D2E">
        <w:rPr>
          <w:rFonts w:ascii="Times New Roman" w:hAnsi="Times New Roman"/>
          <w:spacing w:val="5"/>
          <w:sz w:val="24"/>
          <w:szCs w:val="24"/>
        </w:rPr>
        <w:t>q</w:t>
      </w:r>
      <w:r w:rsidRPr="00D75D2E">
        <w:rPr>
          <w:rFonts w:ascii="Times New Roman" w:hAnsi="Times New Roman"/>
          <w:sz w:val="24"/>
          <w:szCs w:val="24"/>
        </w:rPr>
        <w:t>ue pour la s</w:t>
      </w:r>
      <w:r w:rsidRPr="00D75D2E">
        <w:rPr>
          <w:rFonts w:ascii="Times New Roman" w:hAnsi="Times New Roman"/>
          <w:spacing w:val="-1"/>
          <w:sz w:val="24"/>
          <w:szCs w:val="24"/>
        </w:rPr>
        <w:t>éc</w:t>
      </w:r>
      <w:r w:rsidRPr="00D75D2E">
        <w:rPr>
          <w:rFonts w:ascii="Times New Roman" w:hAnsi="Times New Roman"/>
          <w:sz w:val="24"/>
          <w:szCs w:val="24"/>
        </w:rPr>
        <w:t>urité d</w:t>
      </w:r>
      <w:r w:rsidRPr="00D75D2E">
        <w:rPr>
          <w:rFonts w:ascii="Times New Roman" w:hAnsi="Times New Roman"/>
          <w:spacing w:val="-1"/>
          <w:sz w:val="24"/>
          <w:szCs w:val="24"/>
        </w:rPr>
        <w:t>e</w:t>
      </w:r>
      <w:r w:rsidRPr="00D75D2E">
        <w:rPr>
          <w:rFonts w:ascii="Times New Roman" w:hAnsi="Times New Roman"/>
          <w:sz w:val="24"/>
          <w:szCs w:val="24"/>
        </w:rPr>
        <w:t>s p</w:t>
      </w:r>
      <w:r w:rsidRPr="00D75D2E">
        <w:rPr>
          <w:rFonts w:ascii="Times New Roman" w:hAnsi="Times New Roman"/>
          <w:spacing w:val="5"/>
          <w:sz w:val="24"/>
          <w:szCs w:val="24"/>
        </w:rPr>
        <w:t>i</w:t>
      </w:r>
      <w:r w:rsidRPr="00D75D2E">
        <w:rPr>
          <w:rFonts w:ascii="Times New Roman" w:hAnsi="Times New Roman"/>
          <w:spacing w:val="-1"/>
          <w:sz w:val="24"/>
          <w:szCs w:val="24"/>
        </w:rPr>
        <w:t>é</w:t>
      </w:r>
      <w:r w:rsidRPr="00D75D2E">
        <w:rPr>
          <w:rFonts w:ascii="Times New Roman" w:hAnsi="Times New Roman"/>
          <w:sz w:val="24"/>
          <w:szCs w:val="24"/>
        </w:rPr>
        <w:t>tons et d</w:t>
      </w:r>
      <w:r w:rsidRPr="00D75D2E">
        <w:rPr>
          <w:rFonts w:ascii="Times New Roman" w:hAnsi="Times New Roman"/>
          <w:spacing w:val="-1"/>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a</w:t>
      </w:r>
      <w:r w:rsidRPr="00D75D2E">
        <w:rPr>
          <w:rFonts w:ascii="Times New Roman" w:hAnsi="Times New Roman"/>
          <w:sz w:val="24"/>
          <w:szCs w:val="24"/>
        </w:rPr>
        <w:t>utomob</w:t>
      </w:r>
      <w:r w:rsidRPr="00D75D2E">
        <w:rPr>
          <w:rFonts w:ascii="Times New Roman" w:hAnsi="Times New Roman"/>
          <w:spacing w:val="1"/>
          <w:sz w:val="24"/>
          <w:szCs w:val="24"/>
        </w:rPr>
        <w:t>i</w:t>
      </w:r>
      <w:r w:rsidRPr="00D75D2E">
        <w:rPr>
          <w:rFonts w:ascii="Times New Roman" w:hAnsi="Times New Roman"/>
          <w:sz w:val="24"/>
          <w:szCs w:val="24"/>
        </w:rPr>
        <w:t>li</w:t>
      </w:r>
      <w:r w:rsidRPr="00D75D2E">
        <w:rPr>
          <w:rFonts w:ascii="Times New Roman" w:hAnsi="Times New Roman"/>
          <w:spacing w:val="3"/>
          <w:sz w:val="24"/>
          <w:szCs w:val="24"/>
        </w:rPr>
        <w:t>s</w:t>
      </w:r>
      <w:r w:rsidRPr="00D75D2E">
        <w:rPr>
          <w:rFonts w:ascii="Times New Roman" w:hAnsi="Times New Roman"/>
          <w:spacing w:val="-2"/>
          <w:sz w:val="24"/>
          <w:szCs w:val="24"/>
        </w:rPr>
        <w:t>t</w:t>
      </w:r>
      <w:r w:rsidRPr="00D75D2E">
        <w:rPr>
          <w:rFonts w:ascii="Times New Roman" w:hAnsi="Times New Roman"/>
          <w:spacing w:val="-1"/>
          <w:sz w:val="24"/>
          <w:szCs w:val="24"/>
        </w:rPr>
        <w:t>e</w:t>
      </w:r>
      <w:r w:rsidRPr="00D75D2E">
        <w:rPr>
          <w:rFonts w:ascii="Times New Roman" w:hAnsi="Times New Roman"/>
          <w:sz w:val="24"/>
          <w:szCs w:val="24"/>
        </w:rPr>
        <w:t>s ;</w:t>
      </w:r>
    </w:p>
    <w:p w14:paraId="303163A3" w14:textId="77777777" w:rsidR="000705BE" w:rsidRPr="00D75D2E" w:rsidRDefault="000705BE" w:rsidP="00215867">
      <w:pPr>
        <w:widowControl w:val="0"/>
        <w:numPr>
          <w:ilvl w:val="0"/>
          <w:numId w:val="183"/>
        </w:numPr>
        <w:tabs>
          <w:tab w:val="left" w:pos="0"/>
          <w:tab w:val="left" w:pos="820"/>
        </w:tabs>
        <w:suppressAutoHyphens/>
        <w:spacing w:after="0" w:line="240" w:lineRule="auto"/>
        <w:ind w:left="714" w:right="153" w:hanging="357"/>
        <w:jc w:val="both"/>
        <w:rPr>
          <w:rFonts w:ascii="Times New Roman" w:hAnsi="Times New Roman"/>
          <w:sz w:val="24"/>
          <w:szCs w:val="24"/>
        </w:rPr>
      </w:pPr>
      <w:r w:rsidRPr="00D75D2E">
        <w:rPr>
          <w:rFonts w:ascii="Times New Roman" w:hAnsi="Times New Roman"/>
          <w:sz w:val="24"/>
          <w:szCs w:val="24"/>
        </w:rPr>
        <w:t xml:space="preserve">D’indiquer les </w:t>
      </w:r>
      <w:r w:rsidRPr="00D75D2E">
        <w:rPr>
          <w:rFonts w:ascii="Times New Roman" w:hAnsi="Times New Roman"/>
          <w:spacing w:val="-1"/>
          <w:sz w:val="24"/>
          <w:szCs w:val="24"/>
        </w:rPr>
        <w:t>c</w:t>
      </w:r>
      <w:r w:rsidRPr="00D75D2E">
        <w:rPr>
          <w:rFonts w:ascii="Times New Roman" w:hAnsi="Times New Roman"/>
          <w:sz w:val="24"/>
          <w:szCs w:val="24"/>
        </w:rPr>
        <w:t>ons</w:t>
      </w:r>
      <w:r w:rsidRPr="00D75D2E">
        <w:rPr>
          <w:rFonts w:ascii="Times New Roman" w:hAnsi="Times New Roman"/>
          <w:spacing w:val="1"/>
          <w:sz w:val="24"/>
          <w:szCs w:val="24"/>
        </w:rPr>
        <w:t>i</w:t>
      </w:r>
      <w:r w:rsidRPr="00D75D2E">
        <w:rPr>
          <w:rFonts w:ascii="Times New Roman" w:hAnsi="Times New Roman"/>
          <w:spacing w:val="-2"/>
          <w:sz w:val="24"/>
          <w:szCs w:val="24"/>
        </w:rPr>
        <w:t>g</w:t>
      </w:r>
      <w:r w:rsidRPr="00D75D2E">
        <w:rPr>
          <w:rFonts w:ascii="Times New Roman" w:hAnsi="Times New Roman"/>
          <w:spacing w:val="2"/>
          <w:sz w:val="24"/>
          <w:szCs w:val="24"/>
        </w:rPr>
        <w:t>n</w:t>
      </w:r>
      <w:r w:rsidRPr="00D75D2E">
        <w:rPr>
          <w:rFonts w:ascii="Times New Roman" w:hAnsi="Times New Roman"/>
          <w:spacing w:val="-1"/>
          <w:sz w:val="24"/>
          <w:szCs w:val="24"/>
        </w:rPr>
        <w:t>e</w:t>
      </w:r>
      <w:r w:rsidRPr="00D75D2E">
        <w:rPr>
          <w:rFonts w:ascii="Times New Roman" w:hAnsi="Times New Roman"/>
          <w:sz w:val="24"/>
          <w:szCs w:val="24"/>
        </w:rPr>
        <w:t>s de s</w:t>
      </w:r>
      <w:r w:rsidRPr="00D75D2E">
        <w:rPr>
          <w:rFonts w:ascii="Times New Roman" w:hAnsi="Times New Roman"/>
          <w:spacing w:val="-1"/>
          <w:sz w:val="24"/>
          <w:szCs w:val="24"/>
        </w:rPr>
        <w:t>éc</w:t>
      </w:r>
      <w:r w:rsidRPr="00D75D2E">
        <w:rPr>
          <w:rFonts w:ascii="Times New Roman" w:hAnsi="Times New Roman"/>
          <w:sz w:val="24"/>
          <w:szCs w:val="24"/>
        </w:rPr>
        <w:t>urité routi</w:t>
      </w:r>
      <w:r w:rsidRPr="00D75D2E">
        <w:rPr>
          <w:rFonts w:ascii="Times New Roman" w:hAnsi="Times New Roman"/>
          <w:spacing w:val="-1"/>
          <w:sz w:val="24"/>
          <w:szCs w:val="24"/>
        </w:rPr>
        <w:t>èr</w:t>
      </w:r>
      <w:r w:rsidRPr="00D75D2E">
        <w:rPr>
          <w:rFonts w:ascii="Times New Roman" w:hAnsi="Times New Roman"/>
          <w:sz w:val="24"/>
          <w:szCs w:val="24"/>
        </w:rPr>
        <w:t>e sur</w:t>
      </w:r>
      <w:r w:rsidRPr="00D75D2E">
        <w:rPr>
          <w:rFonts w:ascii="Times New Roman" w:hAnsi="Times New Roman"/>
          <w:spacing w:val="5"/>
          <w:sz w:val="24"/>
          <w:szCs w:val="24"/>
        </w:rPr>
        <w:t>t</w:t>
      </w:r>
      <w:r w:rsidRPr="00D75D2E">
        <w:rPr>
          <w:rFonts w:ascii="Times New Roman" w:hAnsi="Times New Roman"/>
          <w:sz w:val="24"/>
          <w:szCs w:val="24"/>
        </w:rPr>
        <w:t>out le lo</w:t>
      </w:r>
      <w:r w:rsidRPr="00D75D2E">
        <w:rPr>
          <w:rFonts w:ascii="Times New Roman" w:hAnsi="Times New Roman"/>
          <w:spacing w:val="2"/>
          <w:sz w:val="24"/>
          <w:szCs w:val="24"/>
        </w:rPr>
        <w:t>n</w:t>
      </w:r>
      <w:r w:rsidRPr="00D75D2E">
        <w:rPr>
          <w:rFonts w:ascii="Times New Roman" w:hAnsi="Times New Roman"/>
          <w:sz w:val="24"/>
          <w:szCs w:val="24"/>
        </w:rPr>
        <w:t>g</w:t>
      </w:r>
      <w:r w:rsidRPr="00D75D2E">
        <w:rPr>
          <w:rFonts w:ascii="Times New Roman" w:hAnsi="Times New Roman"/>
          <w:spacing w:val="2"/>
          <w:sz w:val="24"/>
          <w:szCs w:val="24"/>
        </w:rPr>
        <w:t xml:space="preserve"> d</w:t>
      </w:r>
      <w:r w:rsidRPr="00D75D2E">
        <w:rPr>
          <w:rFonts w:ascii="Times New Roman" w:hAnsi="Times New Roman"/>
          <w:sz w:val="24"/>
          <w:szCs w:val="24"/>
        </w:rPr>
        <w:t xml:space="preserve">e </w:t>
      </w:r>
      <w:r w:rsidRPr="00D75D2E">
        <w:rPr>
          <w:rFonts w:ascii="Times New Roman" w:hAnsi="Times New Roman"/>
          <w:spacing w:val="3"/>
          <w:sz w:val="24"/>
          <w:szCs w:val="24"/>
        </w:rPr>
        <w:t>l</w:t>
      </w:r>
      <w:r w:rsidRPr="00D75D2E">
        <w:rPr>
          <w:rFonts w:ascii="Times New Roman" w:hAnsi="Times New Roman"/>
          <w:spacing w:val="-5"/>
          <w:sz w:val="24"/>
          <w:szCs w:val="24"/>
        </w:rPr>
        <w:t>'</w:t>
      </w:r>
      <w:r w:rsidRPr="00D75D2E">
        <w:rPr>
          <w:rFonts w:ascii="Times New Roman" w:hAnsi="Times New Roman"/>
          <w:sz w:val="24"/>
          <w:szCs w:val="24"/>
        </w:rPr>
        <w:t>itiné</w:t>
      </w:r>
      <w:r w:rsidRPr="00D75D2E">
        <w:rPr>
          <w:rFonts w:ascii="Times New Roman" w:hAnsi="Times New Roman"/>
          <w:spacing w:val="-1"/>
          <w:sz w:val="24"/>
          <w:szCs w:val="24"/>
        </w:rPr>
        <w:t>r</w:t>
      </w:r>
      <w:r w:rsidRPr="00D75D2E">
        <w:rPr>
          <w:rFonts w:ascii="Times New Roman" w:hAnsi="Times New Roman"/>
          <w:sz w:val="24"/>
          <w:szCs w:val="24"/>
        </w:rPr>
        <w:t>ai</w:t>
      </w:r>
      <w:r w:rsidRPr="00D75D2E">
        <w:rPr>
          <w:rFonts w:ascii="Times New Roman" w:hAnsi="Times New Roman"/>
          <w:spacing w:val="2"/>
          <w:sz w:val="24"/>
          <w:szCs w:val="24"/>
        </w:rPr>
        <w:t>r</w:t>
      </w:r>
      <w:r w:rsidRPr="00D75D2E">
        <w:rPr>
          <w:rFonts w:ascii="Times New Roman" w:hAnsi="Times New Roman"/>
          <w:sz w:val="24"/>
          <w:szCs w:val="24"/>
        </w:rPr>
        <w:t>e de la voie utilisée par le projet</w:t>
      </w:r>
      <w:r w:rsidRPr="00D75D2E">
        <w:rPr>
          <w:rFonts w:ascii="Times New Roman" w:hAnsi="Times New Roman"/>
          <w:spacing w:val="-1"/>
          <w:sz w:val="24"/>
          <w:szCs w:val="24"/>
        </w:rPr>
        <w:t> </w:t>
      </w:r>
      <w:r w:rsidRPr="00D75D2E">
        <w:rPr>
          <w:rFonts w:ascii="Times New Roman" w:hAnsi="Times New Roman"/>
          <w:sz w:val="24"/>
          <w:szCs w:val="24"/>
        </w:rPr>
        <w:t>;</w:t>
      </w:r>
    </w:p>
    <w:p w14:paraId="71C83403" w14:textId="77777777" w:rsidR="000705BE" w:rsidRPr="00D75D2E" w:rsidRDefault="000705BE" w:rsidP="00215867">
      <w:pPr>
        <w:widowControl w:val="0"/>
        <w:numPr>
          <w:ilvl w:val="0"/>
          <w:numId w:val="183"/>
        </w:numPr>
        <w:tabs>
          <w:tab w:val="left" w:pos="0"/>
          <w:tab w:val="left" w:pos="820"/>
        </w:tabs>
        <w:suppressAutoHyphens/>
        <w:spacing w:after="0" w:line="240" w:lineRule="auto"/>
        <w:ind w:left="714" w:right="153" w:hanging="357"/>
        <w:jc w:val="both"/>
        <w:rPr>
          <w:rFonts w:ascii="Times New Roman" w:hAnsi="Times New Roman"/>
          <w:sz w:val="24"/>
          <w:szCs w:val="24"/>
        </w:rPr>
      </w:pPr>
      <w:r w:rsidRPr="00D75D2E">
        <w:rPr>
          <w:rFonts w:ascii="Times New Roman" w:hAnsi="Times New Roman"/>
          <w:sz w:val="24"/>
          <w:szCs w:val="24"/>
        </w:rPr>
        <w:t xml:space="preserve">D’isoler la </w:t>
      </w:r>
      <w:r w:rsidRPr="00D75D2E">
        <w:rPr>
          <w:rFonts w:ascii="Times New Roman" w:hAnsi="Times New Roman"/>
          <w:spacing w:val="1"/>
          <w:sz w:val="24"/>
          <w:szCs w:val="24"/>
        </w:rPr>
        <w:t>z</w:t>
      </w:r>
      <w:r w:rsidRPr="00D75D2E">
        <w:rPr>
          <w:rFonts w:ascii="Times New Roman" w:hAnsi="Times New Roman"/>
          <w:sz w:val="24"/>
          <w:szCs w:val="24"/>
        </w:rPr>
        <w:t xml:space="preserve">one </w:t>
      </w:r>
      <w:r w:rsidRPr="00D75D2E">
        <w:rPr>
          <w:rFonts w:ascii="Times New Roman" w:hAnsi="Times New Roman"/>
          <w:spacing w:val="2"/>
          <w:sz w:val="24"/>
          <w:szCs w:val="24"/>
        </w:rPr>
        <w:t>d</w:t>
      </w:r>
      <w:r w:rsidRPr="00D75D2E">
        <w:rPr>
          <w:rFonts w:ascii="Times New Roman" w:hAnsi="Times New Roman"/>
          <w:sz w:val="24"/>
          <w:szCs w:val="24"/>
        </w:rPr>
        <w:t>es tr</w:t>
      </w:r>
      <w:r w:rsidRPr="00D75D2E">
        <w:rPr>
          <w:rFonts w:ascii="Times New Roman" w:hAnsi="Times New Roman"/>
          <w:spacing w:val="-1"/>
          <w:sz w:val="24"/>
          <w:szCs w:val="24"/>
        </w:rPr>
        <w:t>a</w:t>
      </w:r>
      <w:r w:rsidRPr="00D75D2E">
        <w:rPr>
          <w:rFonts w:ascii="Times New Roman" w:hAnsi="Times New Roman"/>
          <w:sz w:val="24"/>
          <w:szCs w:val="24"/>
        </w:rPr>
        <w:t>v</w:t>
      </w:r>
      <w:r w:rsidRPr="00D75D2E">
        <w:rPr>
          <w:rFonts w:ascii="Times New Roman" w:hAnsi="Times New Roman"/>
          <w:spacing w:val="-1"/>
          <w:sz w:val="24"/>
          <w:szCs w:val="24"/>
        </w:rPr>
        <w:t>a</w:t>
      </w:r>
      <w:r w:rsidRPr="00D75D2E">
        <w:rPr>
          <w:rFonts w:ascii="Times New Roman" w:hAnsi="Times New Roman"/>
          <w:sz w:val="24"/>
          <w:szCs w:val="24"/>
        </w:rPr>
        <w:t>ux d</w:t>
      </w:r>
      <w:r w:rsidRPr="00D75D2E">
        <w:rPr>
          <w:rFonts w:ascii="Times New Roman" w:hAnsi="Times New Roman"/>
          <w:spacing w:val="-1"/>
          <w:sz w:val="24"/>
          <w:szCs w:val="24"/>
        </w:rPr>
        <w:t>e</w:t>
      </w:r>
      <w:r w:rsidRPr="00D75D2E">
        <w:rPr>
          <w:rFonts w:ascii="Times New Roman" w:hAnsi="Times New Roman"/>
          <w:sz w:val="24"/>
          <w:szCs w:val="24"/>
        </w:rPr>
        <w:t>s d</w:t>
      </w:r>
      <w:r w:rsidRPr="00D75D2E">
        <w:rPr>
          <w:rFonts w:ascii="Times New Roman" w:hAnsi="Times New Roman"/>
          <w:spacing w:val="-1"/>
          <w:sz w:val="24"/>
          <w:szCs w:val="24"/>
        </w:rPr>
        <w:t>é</w:t>
      </w:r>
      <w:r w:rsidRPr="00D75D2E">
        <w:rPr>
          <w:rFonts w:ascii="Times New Roman" w:hAnsi="Times New Roman"/>
          <w:sz w:val="24"/>
          <w:szCs w:val="24"/>
        </w:rPr>
        <w:t>pla</w:t>
      </w:r>
      <w:r w:rsidRPr="00D75D2E">
        <w:rPr>
          <w:rFonts w:ascii="Times New Roman" w:hAnsi="Times New Roman"/>
          <w:spacing w:val="-1"/>
          <w:sz w:val="24"/>
          <w:szCs w:val="24"/>
        </w:rPr>
        <w:t>ce</w:t>
      </w:r>
      <w:r w:rsidRPr="00D75D2E">
        <w:rPr>
          <w:rFonts w:ascii="Times New Roman" w:hAnsi="Times New Roman"/>
          <w:sz w:val="24"/>
          <w:szCs w:val="24"/>
        </w:rPr>
        <w:t xml:space="preserve">ments </w:t>
      </w:r>
      <w:r w:rsidRPr="00D75D2E">
        <w:rPr>
          <w:rFonts w:ascii="Times New Roman" w:hAnsi="Times New Roman"/>
          <w:spacing w:val="1"/>
          <w:sz w:val="24"/>
          <w:szCs w:val="24"/>
        </w:rPr>
        <w:t>d</w:t>
      </w:r>
      <w:r w:rsidRPr="00D75D2E">
        <w:rPr>
          <w:rFonts w:ascii="Times New Roman" w:hAnsi="Times New Roman"/>
          <w:spacing w:val="-1"/>
          <w:sz w:val="24"/>
          <w:szCs w:val="24"/>
        </w:rPr>
        <w:t>e</w:t>
      </w:r>
      <w:r w:rsidRPr="00D75D2E">
        <w:rPr>
          <w:rFonts w:ascii="Times New Roman" w:hAnsi="Times New Roman"/>
          <w:sz w:val="24"/>
          <w:szCs w:val="24"/>
        </w:rPr>
        <w:t>s populations.</w:t>
      </w:r>
    </w:p>
    <w:p w14:paraId="28804217" w14:textId="77777777" w:rsidR="000705BE" w:rsidRPr="00D75D2E" w:rsidRDefault="000705BE" w:rsidP="00E737B4">
      <w:pPr>
        <w:widowControl w:val="0"/>
        <w:tabs>
          <w:tab w:val="left" w:pos="0"/>
        </w:tabs>
        <w:spacing w:before="120" w:after="120" w:line="20" w:lineRule="atLeast"/>
        <w:ind w:right="72"/>
        <w:jc w:val="both"/>
        <w:rPr>
          <w:rFonts w:ascii="Times New Roman" w:hAnsi="Times New Roman"/>
          <w:sz w:val="24"/>
          <w:szCs w:val="24"/>
        </w:rPr>
      </w:pPr>
      <w:r w:rsidRPr="00D75D2E">
        <w:rPr>
          <w:rFonts w:ascii="Times New Roman" w:hAnsi="Times New Roman"/>
          <w:spacing w:val="1"/>
          <w:sz w:val="24"/>
          <w:szCs w:val="24"/>
        </w:rPr>
        <w:t>C</w:t>
      </w:r>
      <w:r w:rsidRPr="00D75D2E">
        <w:rPr>
          <w:rFonts w:ascii="Times New Roman" w:hAnsi="Times New Roman"/>
          <w:spacing w:val="-1"/>
          <w:sz w:val="24"/>
          <w:szCs w:val="24"/>
        </w:rPr>
        <w:t>e</w:t>
      </w:r>
      <w:r w:rsidRPr="00D75D2E">
        <w:rPr>
          <w:rFonts w:ascii="Times New Roman" w:hAnsi="Times New Roman"/>
          <w:sz w:val="24"/>
          <w:szCs w:val="24"/>
        </w:rPr>
        <w:t>s p</w:t>
      </w:r>
      <w:r w:rsidRPr="00D75D2E">
        <w:rPr>
          <w:rFonts w:ascii="Times New Roman" w:hAnsi="Times New Roman"/>
          <w:spacing w:val="-1"/>
          <w:sz w:val="24"/>
          <w:szCs w:val="24"/>
        </w:rPr>
        <w:t>a</w:t>
      </w:r>
      <w:r w:rsidRPr="00D75D2E">
        <w:rPr>
          <w:rFonts w:ascii="Times New Roman" w:hAnsi="Times New Roman"/>
          <w:sz w:val="24"/>
          <w:szCs w:val="24"/>
        </w:rPr>
        <w:t>nn</w:t>
      </w:r>
      <w:r w:rsidRPr="00D75D2E">
        <w:rPr>
          <w:rFonts w:ascii="Times New Roman" w:hAnsi="Times New Roman"/>
          <w:spacing w:val="-1"/>
          <w:sz w:val="24"/>
          <w:szCs w:val="24"/>
        </w:rPr>
        <w:t>ea</w:t>
      </w:r>
      <w:r w:rsidRPr="00D75D2E">
        <w:rPr>
          <w:rFonts w:ascii="Times New Roman" w:hAnsi="Times New Roman"/>
          <w:sz w:val="24"/>
          <w:szCs w:val="24"/>
        </w:rPr>
        <w:t xml:space="preserve">ux </w:t>
      </w:r>
      <w:r w:rsidRPr="00D75D2E">
        <w:rPr>
          <w:rFonts w:ascii="Times New Roman" w:hAnsi="Times New Roman"/>
          <w:spacing w:val="-1"/>
          <w:sz w:val="24"/>
          <w:szCs w:val="24"/>
        </w:rPr>
        <w:t>e</w:t>
      </w:r>
      <w:r w:rsidRPr="00D75D2E">
        <w:rPr>
          <w:rFonts w:ascii="Times New Roman" w:hAnsi="Times New Roman"/>
          <w:sz w:val="24"/>
          <w:szCs w:val="24"/>
        </w:rPr>
        <w:t>t b</w:t>
      </w:r>
      <w:r w:rsidRPr="00D75D2E">
        <w:rPr>
          <w:rFonts w:ascii="Times New Roman" w:hAnsi="Times New Roman"/>
          <w:spacing w:val="-1"/>
          <w:sz w:val="24"/>
          <w:szCs w:val="24"/>
        </w:rPr>
        <w:t>a</w:t>
      </w:r>
      <w:r w:rsidRPr="00D75D2E">
        <w:rPr>
          <w:rFonts w:ascii="Times New Roman" w:hAnsi="Times New Roman"/>
          <w:sz w:val="24"/>
          <w:szCs w:val="24"/>
        </w:rPr>
        <w:t>lis</w:t>
      </w:r>
      <w:r w:rsidRPr="00D75D2E">
        <w:rPr>
          <w:rFonts w:ascii="Times New Roman" w:hAnsi="Times New Roman"/>
          <w:spacing w:val="-1"/>
          <w:sz w:val="24"/>
          <w:szCs w:val="24"/>
        </w:rPr>
        <w:t>e</w:t>
      </w:r>
      <w:r w:rsidRPr="00D75D2E">
        <w:rPr>
          <w:rFonts w:ascii="Times New Roman" w:hAnsi="Times New Roman"/>
          <w:sz w:val="24"/>
          <w:szCs w:val="24"/>
        </w:rPr>
        <w:t>s s</w:t>
      </w:r>
      <w:r w:rsidRPr="00D75D2E">
        <w:rPr>
          <w:rFonts w:ascii="Times New Roman" w:hAnsi="Times New Roman"/>
          <w:spacing w:val="2"/>
          <w:sz w:val="24"/>
          <w:szCs w:val="24"/>
        </w:rPr>
        <w:t>o</w:t>
      </w:r>
      <w:r w:rsidRPr="00D75D2E">
        <w:rPr>
          <w:rFonts w:ascii="Times New Roman" w:hAnsi="Times New Roman"/>
          <w:sz w:val="24"/>
          <w:szCs w:val="24"/>
        </w:rPr>
        <w:t xml:space="preserve">nt </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pacing w:val="2"/>
          <w:sz w:val="24"/>
          <w:szCs w:val="24"/>
        </w:rPr>
        <w:t>n</w:t>
      </w:r>
      <w:r w:rsidRPr="00D75D2E">
        <w:rPr>
          <w:rFonts w:ascii="Times New Roman" w:hAnsi="Times New Roman"/>
          <w:spacing w:val="-1"/>
          <w:sz w:val="24"/>
          <w:szCs w:val="24"/>
        </w:rPr>
        <w:t>f</w:t>
      </w:r>
      <w:r w:rsidRPr="00D75D2E">
        <w:rPr>
          <w:rFonts w:ascii="Times New Roman" w:hAnsi="Times New Roman"/>
          <w:sz w:val="24"/>
          <w:szCs w:val="24"/>
        </w:rPr>
        <w:t>o</w:t>
      </w:r>
      <w:r w:rsidRPr="00D75D2E">
        <w:rPr>
          <w:rFonts w:ascii="Times New Roman" w:hAnsi="Times New Roman"/>
          <w:spacing w:val="2"/>
          <w:sz w:val="24"/>
          <w:szCs w:val="24"/>
        </w:rPr>
        <w:t>r</w:t>
      </w:r>
      <w:r w:rsidRPr="00D75D2E">
        <w:rPr>
          <w:rFonts w:ascii="Times New Roman" w:hAnsi="Times New Roman"/>
          <w:spacing w:val="-1"/>
          <w:sz w:val="24"/>
          <w:szCs w:val="24"/>
        </w:rPr>
        <w:t>cé</w:t>
      </w:r>
      <w:r w:rsidRPr="00D75D2E">
        <w:rPr>
          <w:rFonts w:ascii="Times New Roman" w:hAnsi="Times New Roman"/>
          <w:sz w:val="24"/>
          <w:szCs w:val="24"/>
        </w:rPr>
        <w:t xml:space="preserve">s </w:t>
      </w:r>
      <w:r w:rsidRPr="00D75D2E">
        <w:rPr>
          <w:rFonts w:ascii="Times New Roman" w:hAnsi="Times New Roman"/>
          <w:spacing w:val="2"/>
          <w:sz w:val="24"/>
          <w:szCs w:val="24"/>
        </w:rPr>
        <w:t>p</w:t>
      </w:r>
      <w:r w:rsidRPr="00D75D2E">
        <w:rPr>
          <w:rFonts w:ascii="Times New Roman" w:hAnsi="Times New Roman"/>
          <w:spacing w:val="-1"/>
          <w:sz w:val="24"/>
          <w:szCs w:val="24"/>
        </w:rPr>
        <w:t>a</w:t>
      </w:r>
      <w:r w:rsidRPr="00D75D2E">
        <w:rPr>
          <w:rFonts w:ascii="Times New Roman" w:hAnsi="Times New Roman"/>
          <w:sz w:val="24"/>
          <w:szCs w:val="24"/>
        </w:rPr>
        <w:t xml:space="preserve">r </w:t>
      </w:r>
      <w:r w:rsidRPr="00D75D2E">
        <w:rPr>
          <w:rFonts w:ascii="Times New Roman" w:hAnsi="Times New Roman"/>
          <w:spacing w:val="3"/>
          <w:sz w:val="24"/>
          <w:szCs w:val="24"/>
        </w:rPr>
        <w:t>l</w:t>
      </w:r>
      <w:r w:rsidRPr="00D75D2E">
        <w:rPr>
          <w:rFonts w:ascii="Times New Roman" w:hAnsi="Times New Roman"/>
          <w:sz w:val="24"/>
          <w:szCs w:val="24"/>
        </w:rPr>
        <w:t xml:space="preserve">a </w:t>
      </w:r>
      <w:r w:rsidRPr="00D75D2E">
        <w:rPr>
          <w:rFonts w:ascii="Times New Roman" w:hAnsi="Times New Roman"/>
          <w:spacing w:val="3"/>
          <w:sz w:val="24"/>
          <w:szCs w:val="24"/>
        </w:rPr>
        <w:t>m</w:t>
      </w:r>
      <w:r w:rsidRPr="00D75D2E">
        <w:rPr>
          <w:rFonts w:ascii="Times New Roman" w:hAnsi="Times New Roman"/>
          <w:sz w:val="24"/>
          <w:szCs w:val="24"/>
        </w:rPr>
        <w:t>ob</w:t>
      </w:r>
      <w:r w:rsidRPr="00D75D2E">
        <w:rPr>
          <w:rFonts w:ascii="Times New Roman" w:hAnsi="Times New Roman"/>
          <w:spacing w:val="1"/>
          <w:sz w:val="24"/>
          <w:szCs w:val="24"/>
        </w:rPr>
        <w:t>i</w:t>
      </w:r>
      <w:r w:rsidRPr="00D75D2E">
        <w:rPr>
          <w:rFonts w:ascii="Times New Roman" w:hAnsi="Times New Roman"/>
          <w:sz w:val="24"/>
          <w:szCs w:val="24"/>
        </w:rPr>
        <w:t>lisation d</w:t>
      </w:r>
      <w:r w:rsidRPr="00D75D2E">
        <w:rPr>
          <w:rFonts w:ascii="Times New Roman" w:hAnsi="Times New Roman"/>
          <w:spacing w:val="-5"/>
          <w:sz w:val="24"/>
          <w:szCs w:val="24"/>
        </w:rPr>
        <w:t>'</w:t>
      </w:r>
      <w:r w:rsidRPr="00D75D2E">
        <w:rPr>
          <w:rFonts w:ascii="Times New Roman" w:hAnsi="Times New Roman"/>
          <w:sz w:val="24"/>
          <w:szCs w:val="24"/>
        </w:rPr>
        <w:t>ouvr</w:t>
      </w:r>
      <w:r w:rsidRPr="00D75D2E">
        <w:rPr>
          <w:rFonts w:ascii="Times New Roman" w:hAnsi="Times New Roman"/>
          <w:spacing w:val="2"/>
          <w:sz w:val="24"/>
          <w:szCs w:val="24"/>
        </w:rPr>
        <w:t>i</w:t>
      </w:r>
      <w:r w:rsidRPr="00D75D2E">
        <w:rPr>
          <w:rFonts w:ascii="Times New Roman" w:hAnsi="Times New Roman"/>
          <w:spacing w:val="-1"/>
          <w:sz w:val="24"/>
          <w:szCs w:val="24"/>
        </w:rPr>
        <w:t>er</w:t>
      </w:r>
      <w:r w:rsidRPr="00D75D2E">
        <w:rPr>
          <w:rFonts w:ascii="Times New Roman" w:hAnsi="Times New Roman"/>
          <w:sz w:val="24"/>
          <w:szCs w:val="24"/>
        </w:rPr>
        <w:t xml:space="preserve">s </w:t>
      </w:r>
      <w:r w:rsidRPr="00D75D2E">
        <w:rPr>
          <w:rFonts w:ascii="Times New Roman" w:hAnsi="Times New Roman"/>
          <w:spacing w:val="1"/>
          <w:sz w:val="24"/>
          <w:szCs w:val="24"/>
        </w:rPr>
        <w:t>c</w:t>
      </w:r>
      <w:r w:rsidRPr="00D75D2E">
        <w:rPr>
          <w:rFonts w:ascii="Times New Roman" w:hAnsi="Times New Roman"/>
          <w:spacing w:val="2"/>
          <w:sz w:val="24"/>
          <w:szCs w:val="24"/>
        </w:rPr>
        <w:t>h</w:t>
      </w:r>
      <w:r w:rsidRPr="00D75D2E">
        <w:rPr>
          <w:rFonts w:ascii="Times New Roman" w:hAnsi="Times New Roman"/>
          <w:spacing w:val="-1"/>
          <w:sz w:val="24"/>
          <w:szCs w:val="24"/>
        </w:rPr>
        <w:t>ar</w:t>
      </w:r>
      <w:r w:rsidRPr="00D75D2E">
        <w:rPr>
          <w:rFonts w:ascii="Times New Roman" w:hAnsi="Times New Roman"/>
          <w:spacing w:val="-2"/>
          <w:sz w:val="24"/>
          <w:szCs w:val="24"/>
        </w:rPr>
        <w:t>g</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7"/>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ré</w:t>
      </w:r>
      <w:r w:rsidRPr="00D75D2E">
        <w:rPr>
          <w:rFonts w:ascii="Times New Roman" w:hAnsi="Times New Roman"/>
          <w:spacing w:val="-2"/>
          <w:sz w:val="24"/>
          <w:szCs w:val="24"/>
        </w:rPr>
        <w:t>g</w:t>
      </w:r>
      <w:r w:rsidRPr="00D75D2E">
        <w:rPr>
          <w:rFonts w:ascii="Times New Roman" w:hAnsi="Times New Roman"/>
          <w:sz w:val="24"/>
          <w:szCs w:val="24"/>
        </w:rPr>
        <w:t>ul</w:t>
      </w:r>
      <w:r w:rsidRPr="00D75D2E">
        <w:rPr>
          <w:rFonts w:ascii="Times New Roman" w:hAnsi="Times New Roman"/>
          <w:spacing w:val="1"/>
          <w:sz w:val="24"/>
          <w:szCs w:val="24"/>
        </w:rPr>
        <w:t>e</w:t>
      </w:r>
      <w:r w:rsidRPr="00D75D2E">
        <w:rPr>
          <w:rFonts w:ascii="Times New Roman" w:hAnsi="Times New Roman"/>
          <w:sz w:val="24"/>
          <w:szCs w:val="24"/>
        </w:rPr>
        <w:t xml:space="preserve">r la </w:t>
      </w:r>
      <w:r w:rsidRPr="00D75D2E">
        <w:rPr>
          <w:rFonts w:ascii="Times New Roman" w:hAnsi="Times New Roman"/>
          <w:spacing w:val="-1"/>
          <w:sz w:val="24"/>
          <w:szCs w:val="24"/>
        </w:rPr>
        <w:t>c</w:t>
      </w:r>
      <w:r w:rsidRPr="00D75D2E">
        <w:rPr>
          <w:rFonts w:ascii="Times New Roman" w:hAnsi="Times New Roman"/>
          <w:sz w:val="24"/>
          <w:szCs w:val="24"/>
        </w:rPr>
        <w:t>i</w:t>
      </w:r>
      <w:r w:rsidRPr="00D75D2E">
        <w:rPr>
          <w:rFonts w:ascii="Times New Roman" w:hAnsi="Times New Roman"/>
          <w:spacing w:val="-1"/>
          <w:sz w:val="24"/>
          <w:szCs w:val="24"/>
        </w:rPr>
        <w:t>rc</w:t>
      </w:r>
      <w:r w:rsidRPr="00D75D2E">
        <w:rPr>
          <w:rFonts w:ascii="Times New Roman" w:hAnsi="Times New Roman"/>
          <w:sz w:val="24"/>
          <w:szCs w:val="24"/>
        </w:rPr>
        <w:t>ulation aux h</w:t>
      </w:r>
      <w:r w:rsidRPr="00D75D2E">
        <w:rPr>
          <w:rFonts w:ascii="Times New Roman" w:hAnsi="Times New Roman"/>
          <w:spacing w:val="-1"/>
          <w:sz w:val="24"/>
          <w:szCs w:val="24"/>
        </w:rPr>
        <w:t>e</w:t>
      </w:r>
      <w:r w:rsidRPr="00D75D2E">
        <w:rPr>
          <w:rFonts w:ascii="Times New Roman" w:hAnsi="Times New Roman"/>
          <w:sz w:val="24"/>
          <w:szCs w:val="24"/>
        </w:rPr>
        <w:t>u</w:t>
      </w:r>
      <w:r w:rsidRPr="00D75D2E">
        <w:rPr>
          <w:rFonts w:ascii="Times New Roman" w:hAnsi="Times New Roman"/>
          <w:spacing w:val="-1"/>
          <w:sz w:val="24"/>
          <w:szCs w:val="24"/>
        </w:rPr>
        <w:t>r</w:t>
      </w:r>
      <w:r w:rsidRPr="00D75D2E">
        <w:rPr>
          <w:rFonts w:ascii="Times New Roman" w:hAnsi="Times New Roman"/>
          <w:spacing w:val="-3"/>
          <w:sz w:val="24"/>
          <w:szCs w:val="24"/>
        </w:rPr>
        <w:t>e</w:t>
      </w:r>
      <w:r w:rsidRPr="00D75D2E">
        <w:rPr>
          <w:rFonts w:ascii="Times New Roman" w:hAnsi="Times New Roman"/>
          <w:sz w:val="24"/>
          <w:szCs w:val="24"/>
        </w:rPr>
        <w:t xml:space="preserve">s </w:t>
      </w:r>
      <w:r w:rsidRPr="00D75D2E">
        <w:rPr>
          <w:rFonts w:ascii="Times New Roman" w:hAnsi="Times New Roman"/>
          <w:spacing w:val="5"/>
          <w:sz w:val="24"/>
          <w:szCs w:val="24"/>
        </w:rPr>
        <w:t>d</w:t>
      </w:r>
      <w:r w:rsidRPr="00D75D2E">
        <w:rPr>
          <w:rFonts w:ascii="Times New Roman" w:hAnsi="Times New Roman"/>
          <w:spacing w:val="-2"/>
          <w:sz w:val="24"/>
          <w:szCs w:val="24"/>
        </w:rPr>
        <w:t>'</w:t>
      </w:r>
      <w:r w:rsidRPr="00D75D2E">
        <w:rPr>
          <w:rFonts w:ascii="Times New Roman" w:hAnsi="Times New Roman"/>
          <w:spacing w:val="2"/>
          <w:sz w:val="24"/>
          <w:szCs w:val="24"/>
        </w:rPr>
        <w:t>a</w:t>
      </w:r>
      <w:r w:rsidRPr="00D75D2E">
        <w:rPr>
          <w:rFonts w:ascii="Times New Roman" w:hAnsi="Times New Roman"/>
          <w:spacing w:val="-1"/>
          <w:sz w:val="24"/>
          <w:szCs w:val="24"/>
        </w:rPr>
        <w:t>ff</w:t>
      </w:r>
      <w:r w:rsidRPr="00D75D2E">
        <w:rPr>
          <w:rFonts w:ascii="Times New Roman" w:hAnsi="Times New Roman"/>
          <w:sz w:val="24"/>
          <w:szCs w:val="24"/>
        </w:rPr>
        <w:t>luen</w:t>
      </w:r>
      <w:r w:rsidRPr="00D75D2E">
        <w:rPr>
          <w:rFonts w:ascii="Times New Roman" w:hAnsi="Times New Roman"/>
          <w:spacing w:val="1"/>
          <w:sz w:val="24"/>
          <w:szCs w:val="24"/>
        </w:rPr>
        <w:t>c</w:t>
      </w:r>
      <w:r w:rsidRPr="00D75D2E">
        <w:rPr>
          <w:rFonts w:ascii="Times New Roman" w:hAnsi="Times New Roman"/>
          <w:sz w:val="24"/>
          <w:szCs w:val="24"/>
        </w:rPr>
        <w:t>e</w:t>
      </w:r>
      <w:r w:rsidRPr="00D75D2E">
        <w:rPr>
          <w:rFonts w:ascii="Times New Roman" w:hAnsi="Times New Roman"/>
          <w:spacing w:val="-1"/>
          <w:sz w:val="24"/>
          <w:szCs w:val="24"/>
        </w:rPr>
        <w:t xml:space="preserve"> e</w:t>
      </w:r>
      <w:r w:rsidRPr="00D75D2E">
        <w:rPr>
          <w:rFonts w:ascii="Times New Roman" w:hAnsi="Times New Roman"/>
          <w:sz w:val="24"/>
          <w:szCs w:val="24"/>
        </w:rPr>
        <w:t xml:space="preserve">t aux </w:t>
      </w:r>
      <w:r w:rsidRPr="00D75D2E">
        <w:rPr>
          <w:rFonts w:ascii="Times New Roman" w:hAnsi="Times New Roman"/>
          <w:spacing w:val="-1"/>
          <w:sz w:val="24"/>
          <w:szCs w:val="24"/>
        </w:rPr>
        <w:t>e</w:t>
      </w:r>
      <w:r w:rsidRPr="00D75D2E">
        <w:rPr>
          <w:rFonts w:ascii="Times New Roman" w:hAnsi="Times New Roman"/>
          <w:sz w:val="24"/>
          <w:szCs w:val="24"/>
        </w:rPr>
        <w:t>ndroits ju</w:t>
      </w:r>
      <w:r w:rsidRPr="00D75D2E">
        <w:rPr>
          <w:rFonts w:ascii="Times New Roman" w:hAnsi="Times New Roman"/>
          <w:spacing w:val="-2"/>
          <w:sz w:val="24"/>
          <w:szCs w:val="24"/>
        </w:rPr>
        <w:t>g</w:t>
      </w:r>
      <w:r w:rsidRPr="00D75D2E">
        <w:rPr>
          <w:rFonts w:ascii="Times New Roman" w:hAnsi="Times New Roman"/>
          <w:spacing w:val="-1"/>
          <w:sz w:val="24"/>
          <w:szCs w:val="24"/>
        </w:rPr>
        <w:t>é</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pacing w:val="-1"/>
          <w:sz w:val="24"/>
          <w:szCs w:val="24"/>
        </w:rPr>
        <w:t>a</w:t>
      </w:r>
      <w:r w:rsidRPr="00D75D2E">
        <w:rPr>
          <w:rFonts w:ascii="Times New Roman" w:hAnsi="Times New Roman"/>
          <w:spacing w:val="2"/>
          <w:sz w:val="24"/>
          <w:szCs w:val="24"/>
        </w:rPr>
        <w:t>n</w:t>
      </w:r>
      <w:r w:rsidRPr="00D75D2E">
        <w:rPr>
          <w:rFonts w:ascii="Times New Roman" w:hAnsi="Times New Roman"/>
          <w:spacing w:val="-2"/>
          <w:sz w:val="24"/>
          <w:szCs w:val="24"/>
        </w:rPr>
        <w:t>g</w:t>
      </w:r>
      <w:r w:rsidRPr="00D75D2E">
        <w:rPr>
          <w:rFonts w:ascii="Times New Roman" w:hAnsi="Times New Roman"/>
          <w:spacing w:val="-1"/>
          <w:sz w:val="24"/>
          <w:szCs w:val="24"/>
        </w:rPr>
        <w:t>ere</w:t>
      </w:r>
      <w:r w:rsidRPr="00D75D2E">
        <w:rPr>
          <w:rFonts w:ascii="Times New Roman" w:hAnsi="Times New Roman"/>
          <w:sz w:val="24"/>
          <w:szCs w:val="24"/>
        </w:rPr>
        <w:t>u</w:t>
      </w:r>
      <w:r w:rsidRPr="00D75D2E">
        <w:rPr>
          <w:rFonts w:ascii="Times New Roman" w:hAnsi="Times New Roman"/>
          <w:spacing w:val="2"/>
          <w:sz w:val="24"/>
          <w:szCs w:val="24"/>
        </w:rPr>
        <w:t>x</w:t>
      </w:r>
      <w:r w:rsidRPr="00D75D2E">
        <w:rPr>
          <w:rFonts w:ascii="Times New Roman" w:hAnsi="Times New Roman"/>
          <w:sz w:val="24"/>
          <w:szCs w:val="24"/>
        </w:rPr>
        <w:t xml:space="preserve"> </w:t>
      </w:r>
    </w:p>
    <w:p w14:paraId="5B742E84" w14:textId="77777777" w:rsidR="001A5C8F" w:rsidRPr="00215867" w:rsidRDefault="001A5C8F" w:rsidP="00215867">
      <w:pPr>
        <w:pStyle w:val="Titre1"/>
        <w:numPr>
          <w:ilvl w:val="1"/>
          <w:numId w:val="54"/>
        </w:numPr>
        <w:spacing w:before="120" w:after="120" w:line="23" w:lineRule="atLeast"/>
        <w:ind w:left="709" w:hanging="567"/>
        <w:rPr>
          <w:b w:val="0"/>
        </w:rPr>
      </w:pPr>
      <w:bookmarkStart w:id="982" w:name="_Toc77917464"/>
      <w:bookmarkStart w:id="983" w:name="_Toc103685752"/>
      <w:r w:rsidRPr="007E5A67">
        <w:t xml:space="preserve">Procédure </w:t>
      </w:r>
      <w:r w:rsidR="005C5A08" w:rsidRPr="00B334B1">
        <w:t>spécifique général pour</w:t>
      </w:r>
      <w:r w:rsidRPr="00B334B1">
        <w:t xml:space="preserve"> la protection de la biodiversité</w:t>
      </w:r>
      <w:bookmarkEnd w:id="982"/>
      <w:bookmarkEnd w:id="983"/>
      <w:r w:rsidRPr="00B334B1">
        <w:t> </w:t>
      </w:r>
    </w:p>
    <w:p w14:paraId="132966B5" w14:textId="77777777" w:rsidR="001A5C8F" w:rsidRPr="001A5C8F" w:rsidRDefault="001A5C8F" w:rsidP="00E737B4">
      <w:pPr>
        <w:spacing w:before="120" w:after="120" w:line="20" w:lineRule="atLeast"/>
        <w:jc w:val="both"/>
        <w:rPr>
          <w:rFonts w:ascii="Times New Roman" w:hAnsi="Times New Roman"/>
          <w:sz w:val="24"/>
          <w:szCs w:val="24"/>
        </w:rPr>
      </w:pPr>
      <w:r w:rsidRPr="001A5C8F">
        <w:rPr>
          <w:rFonts w:ascii="Times New Roman" w:hAnsi="Times New Roman"/>
          <w:sz w:val="24"/>
          <w:szCs w:val="24"/>
        </w:rPr>
        <w:t xml:space="preserve">Conformément à la stratégie d’atténuation prévue par la norme 6 du CES, il est nécessaire, en premier lieu, que le Projet s’efforce d’éviter les impacts sur la biodiversité. Quand les impacts sont inévitables, des mesures visant à les réduire au minimum et à restaurer la biodiversité doivent être mises en œuvre. Les mesures d’atténuation concernant la  biodiversité ont été présentées dans ce paragraphe  afin d’assurer leur bonne mise en œuvre. </w:t>
      </w:r>
    </w:p>
    <w:p w14:paraId="3655DEAF" w14:textId="77777777" w:rsidR="001A5C8F" w:rsidRPr="001A5C8F" w:rsidRDefault="001A5C8F" w:rsidP="00E737B4">
      <w:pPr>
        <w:spacing w:before="120" w:after="120" w:line="20" w:lineRule="atLeast"/>
        <w:jc w:val="both"/>
        <w:rPr>
          <w:rFonts w:ascii="Times New Roman" w:hAnsi="Times New Roman"/>
          <w:sz w:val="24"/>
          <w:szCs w:val="24"/>
        </w:rPr>
      </w:pPr>
      <w:r w:rsidRPr="001A5C8F">
        <w:rPr>
          <w:rFonts w:ascii="Times New Roman" w:hAnsi="Times New Roman"/>
          <w:sz w:val="24"/>
          <w:szCs w:val="24"/>
        </w:rPr>
        <w:t xml:space="preserve">Selon les normes N°6, il est nécessaire que le Projet démontre un gain net pour la biodiversité en ce qui concerne l’Habitat Critique, et c’est pourquoi des recommandations supplémentaires sont formulées afin d’atteindre ce but. </w:t>
      </w:r>
    </w:p>
    <w:p w14:paraId="174CAA81" w14:textId="77777777" w:rsidR="001A5C8F" w:rsidRPr="001A5C8F" w:rsidRDefault="001A5C8F" w:rsidP="00E737B4">
      <w:pPr>
        <w:spacing w:before="120" w:after="120" w:line="20" w:lineRule="atLeast"/>
        <w:jc w:val="both"/>
        <w:rPr>
          <w:rFonts w:ascii="Times New Roman" w:hAnsi="Times New Roman"/>
          <w:sz w:val="24"/>
          <w:szCs w:val="24"/>
        </w:rPr>
      </w:pPr>
      <w:r w:rsidRPr="001A5C8F">
        <w:rPr>
          <w:rFonts w:ascii="Times New Roman" w:hAnsi="Times New Roman"/>
          <w:sz w:val="24"/>
          <w:szCs w:val="24"/>
        </w:rPr>
        <w:t xml:space="preserve">En règle générale, et sachant que la plupart des impacts sont susceptibles de se produire pendant toute la durée de vie du projet, des mesures d’atténuation générales sont présentées.  Certaines mesures de gestion doivent être entreprises au démarrage des activités de construction. Elles consistent à: </w:t>
      </w:r>
    </w:p>
    <w:p w14:paraId="7335E2EA" w14:textId="77777777" w:rsidR="001A5C8F" w:rsidRPr="001A5C8F" w:rsidRDefault="001A5C8F" w:rsidP="008C79F0">
      <w:pPr>
        <w:pStyle w:val="Paragraphedeliste"/>
        <w:numPr>
          <w:ilvl w:val="0"/>
          <w:numId w:val="210"/>
        </w:numPr>
        <w:spacing w:after="0" w:line="240" w:lineRule="auto"/>
        <w:ind w:right="8"/>
        <w:jc w:val="both"/>
        <w:rPr>
          <w:rFonts w:ascii="Times New Roman" w:hAnsi="Times New Roman"/>
          <w:sz w:val="24"/>
          <w:szCs w:val="24"/>
        </w:rPr>
      </w:pPr>
      <w:r w:rsidRPr="001A5C8F">
        <w:rPr>
          <w:rFonts w:ascii="Times New Roman" w:hAnsi="Times New Roman"/>
          <w:sz w:val="24"/>
          <w:szCs w:val="24"/>
        </w:rPr>
        <w:t>Mener une évaluation rapide de la faune et de la flore présentes dans les portions de terre devant être affectés au projet;</w:t>
      </w:r>
    </w:p>
    <w:p w14:paraId="754F12DB" w14:textId="77777777" w:rsidR="001A5C8F" w:rsidRPr="001A5C8F" w:rsidRDefault="001A5C8F" w:rsidP="008C79F0">
      <w:pPr>
        <w:pStyle w:val="Paragraphedeliste"/>
        <w:numPr>
          <w:ilvl w:val="0"/>
          <w:numId w:val="210"/>
        </w:numPr>
        <w:spacing w:after="0" w:line="240" w:lineRule="auto"/>
        <w:ind w:right="8"/>
        <w:jc w:val="both"/>
        <w:rPr>
          <w:rFonts w:ascii="Times New Roman" w:hAnsi="Times New Roman"/>
          <w:sz w:val="24"/>
          <w:szCs w:val="24"/>
        </w:rPr>
      </w:pPr>
      <w:r w:rsidRPr="001A5C8F">
        <w:rPr>
          <w:rFonts w:ascii="Times New Roman" w:hAnsi="Times New Roman"/>
          <w:sz w:val="24"/>
          <w:szCs w:val="24"/>
        </w:rPr>
        <w:t xml:space="preserve">et réaliser de reboisement dans les régions dégradées. </w:t>
      </w:r>
    </w:p>
    <w:p w14:paraId="75935278" w14:textId="3D17C1BE" w:rsidR="001A5C8F" w:rsidRPr="00E737B4" w:rsidRDefault="001A5C8F" w:rsidP="00E737B4">
      <w:pPr>
        <w:pStyle w:val="Lgende"/>
        <w:keepNext/>
        <w:spacing w:before="120" w:after="120"/>
        <w:jc w:val="center"/>
        <w:rPr>
          <w:rFonts w:eastAsia="Arial"/>
          <w:sz w:val="24"/>
          <w:szCs w:val="22"/>
        </w:rPr>
      </w:pPr>
      <w:bookmarkStart w:id="984" w:name="_Toc93050329"/>
      <w:r w:rsidRPr="00E737B4">
        <w:rPr>
          <w:sz w:val="24"/>
          <w:szCs w:val="22"/>
        </w:rPr>
        <w:t xml:space="preserve">Tableau </w:t>
      </w:r>
      <w:r w:rsidRPr="00E737B4">
        <w:rPr>
          <w:sz w:val="24"/>
          <w:szCs w:val="22"/>
        </w:rPr>
        <w:fldChar w:fldCharType="begin"/>
      </w:r>
      <w:r w:rsidRPr="00E737B4">
        <w:rPr>
          <w:sz w:val="24"/>
          <w:szCs w:val="22"/>
        </w:rPr>
        <w:instrText xml:space="preserve"> SEQ Tableau \* ARABIC </w:instrText>
      </w:r>
      <w:r w:rsidRPr="00E737B4">
        <w:rPr>
          <w:sz w:val="24"/>
          <w:szCs w:val="22"/>
        </w:rPr>
        <w:fldChar w:fldCharType="separate"/>
      </w:r>
      <w:r w:rsidR="00A86929">
        <w:rPr>
          <w:noProof/>
          <w:sz w:val="24"/>
          <w:szCs w:val="22"/>
        </w:rPr>
        <w:t>67</w:t>
      </w:r>
      <w:r w:rsidRPr="00E737B4">
        <w:rPr>
          <w:sz w:val="24"/>
          <w:szCs w:val="22"/>
        </w:rPr>
        <w:fldChar w:fldCharType="end"/>
      </w:r>
      <w:r w:rsidRPr="00E737B4">
        <w:rPr>
          <w:sz w:val="24"/>
          <w:szCs w:val="22"/>
        </w:rPr>
        <w:t xml:space="preserve">: </w:t>
      </w:r>
      <w:r w:rsidRPr="00E737B4">
        <w:rPr>
          <w:rFonts w:eastAsia="Arial"/>
          <w:sz w:val="24"/>
          <w:szCs w:val="22"/>
        </w:rPr>
        <w:t>Mesures d’atténuation envisagées afin de réduire au minimum les impacts sur la biodiversité</w:t>
      </w:r>
      <w:bookmarkEnd w:id="984"/>
    </w:p>
    <w:tbl>
      <w:tblPr>
        <w:tblW w:w="91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324"/>
      </w:tblGrid>
      <w:tr w:rsidR="001A5C8F" w:rsidRPr="00420C1B" w14:paraId="5CC9CF07" w14:textId="77777777" w:rsidTr="00420C1B">
        <w:trPr>
          <w:tblHeader/>
        </w:trPr>
        <w:tc>
          <w:tcPr>
            <w:tcW w:w="1843" w:type="dxa"/>
            <w:shd w:val="clear" w:color="auto" w:fill="92D050"/>
          </w:tcPr>
          <w:p w14:paraId="2FCFA9A0" w14:textId="77777777" w:rsidR="001A5C8F" w:rsidRPr="00420C1B" w:rsidRDefault="001A5C8F" w:rsidP="00420C1B">
            <w:pPr>
              <w:spacing w:after="0" w:line="240" w:lineRule="auto"/>
              <w:rPr>
                <w:rFonts w:ascii="Times New Roman" w:hAnsi="Times New Roman"/>
              </w:rPr>
            </w:pPr>
            <w:r w:rsidRPr="00420C1B">
              <w:rPr>
                <w:rFonts w:ascii="Times New Roman" w:eastAsia="Arial" w:hAnsi="Times New Roman"/>
                <w:b/>
              </w:rPr>
              <w:t xml:space="preserve">Impact </w:t>
            </w:r>
          </w:p>
        </w:tc>
        <w:tc>
          <w:tcPr>
            <w:tcW w:w="7324" w:type="dxa"/>
            <w:shd w:val="clear" w:color="auto" w:fill="92D050"/>
          </w:tcPr>
          <w:p w14:paraId="4CAB257B" w14:textId="77777777" w:rsidR="001A5C8F" w:rsidRPr="00420C1B" w:rsidRDefault="001A5C8F" w:rsidP="00420C1B">
            <w:pPr>
              <w:spacing w:after="0" w:line="240" w:lineRule="auto"/>
              <w:rPr>
                <w:rFonts w:ascii="Times New Roman" w:hAnsi="Times New Roman"/>
              </w:rPr>
            </w:pPr>
            <w:r w:rsidRPr="00420C1B">
              <w:rPr>
                <w:rFonts w:ascii="Times New Roman" w:eastAsia="Arial" w:hAnsi="Times New Roman"/>
                <w:b/>
              </w:rPr>
              <w:t xml:space="preserve">Mesures d’atténuation </w:t>
            </w:r>
          </w:p>
        </w:tc>
      </w:tr>
      <w:tr w:rsidR="001A5C8F" w:rsidRPr="00420C1B" w14:paraId="75738B90" w14:textId="77777777" w:rsidTr="00420C1B">
        <w:tc>
          <w:tcPr>
            <w:tcW w:w="1843" w:type="dxa"/>
            <w:shd w:val="clear" w:color="auto" w:fill="auto"/>
          </w:tcPr>
          <w:p w14:paraId="4518163C"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Perte d’habitat </w:t>
            </w:r>
          </w:p>
        </w:tc>
        <w:tc>
          <w:tcPr>
            <w:tcW w:w="7324" w:type="dxa"/>
            <w:shd w:val="clear" w:color="auto" w:fill="auto"/>
          </w:tcPr>
          <w:p w14:paraId="4819DBB4" w14:textId="77777777" w:rsidR="001A5C8F" w:rsidRPr="00420C1B" w:rsidRDefault="001A5C8F" w:rsidP="00420C1B">
            <w:pPr>
              <w:spacing w:after="120"/>
              <w:rPr>
                <w:rFonts w:ascii="Times New Roman" w:hAnsi="Times New Roman"/>
                <w:bCs/>
              </w:rPr>
            </w:pPr>
            <w:r w:rsidRPr="00420C1B">
              <w:rPr>
                <w:rFonts w:ascii="Times New Roman" w:hAnsi="Times New Roman"/>
                <w:bCs/>
              </w:rPr>
              <w:t xml:space="preserve">Construction et exploitation </w:t>
            </w:r>
          </w:p>
          <w:p w14:paraId="230E756A"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L’étendue du défrichage doit faire l’objet d’une surveillance afin de ne pas déborder de la surface de la zone envisagée dont le défrichage est prévu; </w:t>
            </w:r>
          </w:p>
          <w:p w14:paraId="7CBB21FF" w14:textId="77777777" w:rsidR="001A5C8F" w:rsidRPr="00420C1B" w:rsidRDefault="001A5C8F" w:rsidP="00420C1B">
            <w:pPr>
              <w:numPr>
                <w:ilvl w:val="0"/>
                <w:numId w:val="211"/>
              </w:numPr>
              <w:spacing w:after="11" w:line="241" w:lineRule="auto"/>
              <w:ind w:right="87" w:hanging="360"/>
              <w:rPr>
                <w:rFonts w:ascii="Times New Roman" w:hAnsi="Times New Roman"/>
              </w:rPr>
            </w:pPr>
            <w:r w:rsidRPr="00420C1B">
              <w:rPr>
                <w:rFonts w:ascii="Times New Roman" w:hAnsi="Times New Roman"/>
              </w:rPr>
              <w:t xml:space="preserve">La végétation retirée ne doit pas être brûlée mais laissée sur le sol dans des zones appropriées afin de s’y décomposer (de préférence dans des zones de dépôts de terre); </w:t>
            </w:r>
          </w:p>
          <w:p w14:paraId="32142036" w14:textId="77777777" w:rsidR="001A5C8F" w:rsidRPr="00420C1B" w:rsidRDefault="001A5C8F" w:rsidP="00420C1B">
            <w:pPr>
              <w:numPr>
                <w:ilvl w:val="0"/>
                <w:numId w:val="211"/>
              </w:numPr>
              <w:spacing w:after="0" w:line="250" w:lineRule="auto"/>
              <w:ind w:right="87" w:hanging="360"/>
              <w:rPr>
                <w:rFonts w:ascii="Times New Roman" w:hAnsi="Times New Roman"/>
              </w:rPr>
            </w:pPr>
            <w:r w:rsidRPr="00420C1B">
              <w:rPr>
                <w:rFonts w:ascii="Times New Roman" w:hAnsi="Times New Roman"/>
              </w:rPr>
              <w:t>Retirer physiquement ou faire fuir les animaux juste</w:t>
            </w:r>
            <w:r w:rsidR="004E5302" w:rsidRPr="00420C1B">
              <w:rPr>
                <w:rFonts w:ascii="Times New Roman" w:hAnsi="Times New Roman"/>
              </w:rPr>
              <w:t>s</w:t>
            </w:r>
            <w:r w:rsidRPr="00420C1B">
              <w:rPr>
                <w:rFonts w:ascii="Times New Roman" w:hAnsi="Times New Roman"/>
              </w:rPr>
              <w:t xml:space="preserve"> avant le début du défrichage. </w:t>
            </w:r>
          </w:p>
          <w:p w14:paraId="492472BC" w14:textId="77777777" w:rsidR="001A5C8F" w:rsidRPr="00420C1B" w:rsidRDefault="001A5C8F" w:rsidP="00420C1B">
            <w:pPr>
              <w:spacing w:after="120"/>
              <w:rPr>
                <w:rFonts w:ascii="Times New Roman" w:hAnsi="Times New Roman"/>
                <w:bCs/>
              </w:rPr>
            </w:pPr>
            <w:r w:rsidRPr="00420C1B">
              <w:rPr>
                <w:rFonts w:ascii="Times New Roman" w:hAnsi="Times New Roman"/>
                <w:bCs/>
              </w:rPr>
              <w:t xml:space="preserve">Fermeture </w:t>
            </w:r>
          </w:p>
          <w:p w14:paraId="16527C34"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Reboisement des zones dénudées par l’utilisation d’espèces végétales locales et en assurant, dans la mesure du possible, la restauration d’une combinaison d’habitats semblables à ceux qui se trouvaient là précédemment. </w:t>
            </w:r>
          </w:p>
        </w:tc>
      </w:tr>
      <w:tr w:rsidR="001A5C8F" w:rsidRPr="00420C1B" w14:paraId="09803987" w14:textId="77777777" w:rsidTr="00420C1B">
        <w:tc>
          <w:tcPr>
            <w:tcW w:w="1843" w:type="dxa"/>
            <w:shd w:val="clear" w:color="auto" w:fill="auto"/>
          </w:tcPr>
          <w:p w14:paraId="6CBE07C0" w14:textId="77777777" w:rsidR="001A5C8F" w:rsidRPr="00420C1B" w:rsidRDefault="001A5C8F" w:rsidP="00420C1B">
            <w:pPr>
              <w:spacing w:after="0"/>
              <w:rPr>
                <w:rFonts w:ascii="Times New Roman" w:hAnsi="Times New Roman"/>
              </w:rPr>
            </w:pPr>
            <w:r w:rsidRPr="00420C1B">
              <w:rPr>
                <w:rFonts w:ascii="Times New Roman" w:hAnsi="Times New Roman"/>
              </w:rPr>
              <w:t xml:space="preserve">Fragmentation de </w:t>
            </w:r>
          </w:p>
          <w:p w14:paraId="513C3514"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l’habitat  </w:t>
            </w:r>
          </w:p>
        </w:tc>
        <w:tc>
          <w:tcPr>
            <w:tcW w:w="7324" w:type="dxa"/>
            <w:shd w:val="clear" w:color="auto" w:fill="auto"/>
          </w:tcPr>
          <w:p w14:paraId="0DCD2280" w14:textId="77777777" w:rsidR="001A5C8F" w:rsidRPr="00420C1B" w:rsidRDefault="001A5C8F" w:rsidP="00420C1B">
            <w:pPr>
              <w:spacing w:after="0"/>
              <w:rPr>
                <w:rFonts w:ascii="Times New Roman" w:hAnsi="Times New Roman"/>
              </w:rPr>
            </w:pPr>
            <w:r w:rsidRPr="00420C1B">
              <w:rPr>
                <w:rFonts w:ascii="Times New Roman" w:hAnsi="Times New Roman"/>
                <w:u w:val="single" w:color="000000"/>
              </w:rPr>
              <w:t>Construction et exploitation</w:t>
            </w:r>
            <w:r w:rsidRPr="00420C1B">
              <w:rPr>
                <w:rFonts w:ascii="Times New Roman" w:hAnsi="Times New Roman"/>
              </w:rPr>
              <w:t xml:space="preserve"> </w:t>
            </w:r>
          </w:p>
          <w:p w14:paraId="11B14100"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La restauration des habitats environnants des zones défrichées afin de compenser les pertes d’habitat si possible. </w:t>
            </w:r>
          </w:p>
          <w:p w14:paraId="58174ED4"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La création d’une interconnexion entre les aires d’habitat à proximité des zones défrichées lorsque cela est possible.  </w:t>
            </w:r>
          </w:p>
          <w:p w14:paraId="1137ECD7" w14:textId="77777777" w:rsidR="001A5C8F" w:rsidRPr="00420C1B" w:rsidRDefault="001A5C8F" w:rsidP="00420C1B">
            <w:pPr>
              <w:spacing w:after="0"/>
              <w:rPr>
                <w:rFonts w:ascii="Times New Roman" w:hAnsi="Times New Roman"/>
              </w:rPr>
            </w:pPr>
            <w:r w:rsidRPr="00420C1B">
              <w:rPr>
                <w:rFonts w:ascii="Times New Roman" w:hAnsi="Times New Roman"/>
                <w:u w:val="single" w:color="000000"/>
              </w:rPr>
              <w:t>Fermeture</w:t>
            </w:r>
            <w:r w:rsidRPr="00420C1B">
              <w:rPr>
                <w:rFonts w:ascii="Times New Roman" w:hAnsi="Times New Roman"/>
              </w:rPr>
              <w:t xml:space="preserve"> </w:t>
            </w:r>
          </w:p>
          <w:p w14:paraId="2985B512"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La création d’un corridor végétal lorsque cela est possible. </w:t>
            </w:r>
          </w:p>
        </w:tc>
      </w:tr>
      <w:tr w:rsidR="001A5C8F" w:rsidRPr="00420C1B" w14:paraId="5D69E7AD" w14:textId="77777777" w:rsidTr="00420C1B">
        <w:tc>
          <w:tcPr>
            <w:tcW w:w="1843" w:type="dxa"/>
            <w:shd w:val="clear" w:color="auto" w:fill="auto"/>
          </w:tcPr>
          <w:p w14:paraId="172B962F"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Impacts hydrologiques </w:t>
            </w:r>
          </w:p>
        </w:tc>
        <w:tc>
          <w:tcPr>
            <w:tcW w:w="7324" w:type="dxa"/>
            <w:shd w:val="clear" w:color="auto" w:fill="auto"/>
          </w:tcPr>
          <w:p w14:paraId="7E2D4E01"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Éviter les détournements des chemins  d’eau lorsque cela est </w:t>
            </w:r>
          </w:p>
          <w:p w14:paraId="2B1680C3"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possible; </w:t>
            </w:r>
          </w:p>
          <w:p w14:paraId="1956912F"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Stabiliser ou reboiser les pentes pour prévenir l’érosion; </w:t>
            </w:r>
            <w:r w:rsidRPr="00420C1B">
              <w:rPr>
                <w:rFonts w:ascii="Times New Roman" w:hAnsi="Times New Roman"/>
              </w:rPr>
              <w:t xml:space="preserve"> </w:t>
            </w:r>
            <w:r w:rsidRPr="00420C1B">
              <w:rPr>
                <w:rFonts w:ascii="Times New Roman" w:hAnsi="Times New Roman"/>
              </w:rPr>
              <w:tab/>
            </w:r>
          </w:p>
          <w:p w14:paraId="290C7179"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Surveiller la qualité de l’habitat en eau douce.  </w:t>
            </w:r>
          </w:p>
        </w:tc>
      </w:tr>
      <w:tr w:rsidR="001A5C8F" w:rsidRPr="00420C1B" w14:paraId="353F2DFF" w14:textId="77777777" w:rsidTr="00420C1B">
        <w:tc>
          <w:tcPr>
            <w:tcW w:w="1843" w:type="dxa"/>
            <w:shd w:val="clear" w:color="auto" w:fill="auto"/>
          </w:tcPr>
          <w:p w14:paraId="42E9C4F2"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Pollution des eaux et du sol </w:t>
            </w:r>
          </w:p>
        </w:tc>
        <w:tc>
          <w:tcPr>
            <w:tcW w:w="7324" w:type="dxa"/>
            <w:shd w:val="clear" w:color="auto" w:fill="auto"/>
          </w:tcPr>
          <w:p w14:paraId="1D353D60" w14:textId="77777777" w:rsidR="001A5C8F" w:rsidRPr="00420C1B" w:rsidRDefault="001A5C8F" w:rsidP="00420C1B">
            <w:pPr>
              <w:spacing w:after="0"/>
              <w:rPr>
                <w:rFonts w:ascii="Times New Roman" w:hAnsi="Times New Roman"/>
              </w:rPr>
            </w:pPr>
            <w:r w:rsidRPr="00420C1B">
              <w:rPr>
                <w:rFonts w:ascii="Times New Roman" w:hAnsi="Times New Roman"/>
                <w:u w:val="single" w:color="000000"/>
              </w:rPr>
              <w:t>Construction et exploitation</w:t>
            </w:r>
            <w:r w:rsidRPr="00420C1B">
              <w:rPr>
                <w:rFonts w:ascii="Times New Roman" w:hAnsi="Times New Roman"/>
              </w:rPr>
              <w:t xml:space="preserve"> </w:t>
            </w:r>
          </w:p>
          <w:p w14:paraId="1E804DF7"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Des mesures spécifiques comme un stockage en surface des carburants et des huiles protégé par berme seront mises en œuvre pour prévenir la pollution susceptible de se produire en raison de coulis de ciment, de déversements de carburants ou d’huiles, ou d’autres contaminations. </w:t>
            </w:r>
          </w:p>
          <w:p w14:paraId="3B3BB826"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Traiter des eaux contaminées pour atteindre les limites légales avant tout déversement dans l’environnement. </w:t>
            </w:r>
          </w:p>
          <w:p w14:paraId="7D146537"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Des kits de déversement d’huiles et de carburants seront mis à disposition en cas de fuites (provenant des machines ou des réservoirs de carburant). </w:t>
            </w:r>
          </w:p>
          <w:p w14:paraId="127BDFE7"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Des bermes seront construites autour des zones où se trouvent les huiles et les carburants afin de prévenir les déversements. </w:t>
            </w:r>
          </w:p>
          <w:p w14:paraId="35494A34" w14:textId="77777777" w:rsidR="001A5C8F" w:rsidRPr="00420C1B" w:rsidRDefault="001A5C8F" w:rsidP="00420C1B">
            <w:pPr>
              <w:numPr>
                <w:ilvl w:val="0"/>
                <w:numId w:val="211"/>
              </w:numPr>
              <w:spacing w:after="12" w:line="243" w:lineRule="auto"/>
              <w:ind w:right="87" w:hanging="360"/>
              <w:rPr>
                <w:rFonts w:ascii="Times New Roman" w:hAnsi="Times New Roman"/>
              </w:rPr>
            </w:pPr>
            <w:r w:rsidRPr="00420C1B">
              <w:rPr>
                <w:rFonts w:ascii="Times New Roman" w:hAnsi="Times New Roman"/>
              </w:rPr>
              <w:t xml:space="preserve">Gérer les déchets et les matières à recycler. </w:t>
            </w:r>
          </w:p>
          <w:p w14:paraId="57B089F3" w14:textId="77777777" w:rsidR="001A5C8F" w:rsidRPr="00420C1B" w:rsidRDefault="001A5C8F" w:rsidP="00420C1B">
            <w:pPr>
              <w:spacing w:before="120" w:after="120" w:line="240" w:lineRule="auto"/>
              <w:rPr>
                <w:rFonts w:ascii="Times New Roman" w:hAnsi="Times New Roman"/>
              </w:rPr>
            </w:pPr>
            <w:r w:rsidRPr="00420C1B">
              <w:rPr>
                <w:rFonts w:ascii="Times New Roman" w:hAnsi="Times New Roman"/>
              </w:rPr>
              <w:t xml:space="preserve"> </w:t>
            </w:r>
            <w:r w:rsidRPr="00420C1B">
              <w:rPr>
                <w:rFonts w:ascii="Times New Roman" w:hAnsi="Times New Roman"/>
                <w:u w:val="single" w:color="000000"/>
              </w:rPr>
              <w:t>Fermeture</w:t>
            </w:r>
            <w:r w:rsidRPr="00420C1B">
              <w:rPr>
                <w:rFonts w:ascii="Times New Roman" w:hAnsi="Times New Roman"/>
              </w:rPr>
              <w:t xml:space="preserve"> </w:t>
            </w:r>
          </w:p>
          <w:p w14:paraId="2AA9200C" w14:textId="77777777" w:rsidR="001A5C8F" w:rsidRPr="00420C1B" w:rsidRDefault="001A5C8F" w:rsidP="00420C1B">
            <w:pPr>
              <w:spacing w:after="0" w:line="240" w:lineRule="auto"/>
              <w:ind w:left="34"/>
              <w:rPr>
                <w:rFonts w:ascii="Times New Roman" w:hAnsi="Times New Roman"/>
              </w:rPr>
            </w:pPr>
            <w:r w:rsidRPr="00420C1B">
              <w:rPr>
                <w:rFonts w:ascii="Times New Roman" w:hAnsi="Times New Roman"/>
              </w:rPr>
              <w:t xml:space="preserve">Éliminer les déchets de manière à éviter toute contamination de l’environnement.  </w:t>
            </w:r>
          </w:p>
        </w:tc>
      </w:tr>
      <w:tr w:rsidR="001A5C8F" w:rsidRPr="00420C1B" w14:paraId="195AE157" w14:textId="77777777" w:rsidTr="00420C1B">
        <w:tc>
          <w:tcPr>
            <w:tcW w:w="1843" w:type="dxa"/>
            <w:shd w:val="clear" w:color="auto" w:fill="auto"/>
          </w:tcPr>
          <w:p w14:paraId="53D46DF8"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Dégradation de l’habitat  </w:t>
            </w:r>
          </w:p>
        </w:tc>
        <w:tc>
          <w:tcPr>
            <w:tcW w:w="7324" w:type="dxa"/>
            <w:shd w:val="clear" w:color="auto" w:fill="auto"/>
          </w:tcPr>
          <w:p w14:paraId="178BB73C"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Adoption d’une stratégie d’atténuation du bruit en vertu de la section sur le bruit; </w:t>
            </w:r>
          </w:p>
          <w:p w14:paraId="6601411A"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Les travaux de construction bruyants doivent être effectués de jour afin de limiter les niveaux de bruit dans l’environnement sonore nocturne normalement plus calme. </w:t>
            </w:r>
          </w:p>
          <w:p w14:paraId="592B6726"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Entretien régulier des équipements et des véhicules conformément aux recommandations des fabricants afin de prévenir les augmentations des émissions de bruit. </w:t>
            </w:r>
          </w:p>
          <w:p w14:paraId="7120FB70" w14:textId="77777777" w:rsidR="001A5C8F" w:rsidRPr="00420C1B" w:rsidRDefault="001A5C8F" w:rsidP="00420C1B">
            <w:pPr>
              <w:spacing w:after="14" w:line="248" w:lineRule="auto"/>
              <w:rPr>
                <w:rFonts w:ascii="Times New Roman" w:hAnsi="Times New Roman"/>
              </w:rPr>
            </w:pPr>
            <w:r w:rsidRPr="00420C1B">
              <w:rPr>
                <w:rFonts w:ascii="Times New Roman" w:hAnsi="Times New Roman"/>
              </w:rPr>
              <w:t xml:space="preserve">Recours à l’assourdissement ou à la couverture des réserves de matériaux friables lorsque les conditions sont sèches ou venteuses, arrosage des routes et des chantiers pour réduire la présence de poussière, couverture des matériaux poussiéreux. </w:t>
            </w:r>
          </w:p>
        </w:tc>
      </w:tr>
      <w:tr w:rsidR="001A5C8F" w:rsidRPr="00420C1B" w14:paraId="61F914E8" w14:textId="77777777" w:rsidTr="00420C1B">
        <w:tc>
          <w:tcPr>
            <w:tcW w:w="1843" w:type="dxa"/>
            <w:shd w:val="clear" w:color="auto" w:fill="auto"/>
          </w:tcPr>
          <w:p w14:paraId="4E837E94"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L’augmentation de la population par l’immigration et facilitation de l’accès à la zone </w:t>
            </w:r>
          </w:p>
        </w:tc>
        <w:tc>
          <w:tcPr>
            <w:tcW w:w="7324" w:type="dxa"/>
            <w:shd w:val="clear" w:color="auto" w:fill="auto"/>
          </w:tcPr>
          <w:p w14:paraId="259BC18B"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Mettre en place des campagnes locales de sensibilisation à l’environnement. </w:t>
            </w:r>
          </w:p>
          <w:p w14:paraId="635CB9CD" w14:textId="77777777" w:rsidR="001A5C8F" w:rsidRPr="00420C1B" w:rsidRDefault="001A5C8F" w:rsidP="00420C1B">
            <w:pPr>
              <w:numPr>
                <w:ilvl w:val="0"/>
                <w:numId w:val="212"/>
              </w:numPr>
              <w:spacing w:after="11" w:line="242" w:lineRule="auto"/>
              <w:ind w:left="317"/>
              <w:rPr>
                <w:rFonts w:ascii="Times New Roman" w:hAnsi="Times New Roman"/>
              </w:rPr>
            </w:pPr>
            <w:r w:rsidRPr="00420C1B">
              <w:rPr>
                <w:rFonts w:ascii="Times New Roman" w:hAnsi="Times New Roman"/>
              </w:rPr>
              <w:t xml:space="preserve">Élaborer des recommandations de conduite à l’attention du personnel du Projet qui comprennent une politique interdisant la chasse et une interdiction de transporter des animaux vivants ou morts, des plantes ou des graines dans les véhicules ayant un lien avec le Projet. </w:t>
            </w:r>
          </w:p>
          <w:p w14:paraId="7750D22C" w14:textId="77777777" w:rsidR="001A5C8F" w:rsidRPr="00420C1B" w:rsidRDefault="001A5C8F" w:rsidP="00420C1B">
            <w:pPr>
              <w:numPr>
                <w:ilvl w:val="0"/>
                <w:numId w:val="212"/>
              </w:numPr>
              <w:spacing w:after="18" w:line="241" w:lineRule="auto"/>
              <w:ind w:left="317"/>
              <w:rPr>
                <w:rFonts w:ascii="Times New Roman" w:hAnsi="Times New Roman"/>
              </w:rPr>
            </w:pPr>
            <w:r w:rsidRPr="00420C1B">
              <w:rPr>
                <w:rFonts w:ascii="Times New Roman" w:hAnsi="Times New Roman"/>
              </w:rPr>
              <w:t xml:space="preserve">Installer des barrières et inspecter les véhicules de la société afin de repérer les éléments de faune ou de flore illégaux. </w:t>
            </w:r>
          </w:p>
          <w:p w14:paraId="729BE6FB" w14:textId="77777777" w:rsidR="001A5C8F" w:rsidRPr="00420C1B" w:rsidRDefault="001A5C8F" w:rsidP="00420C1B">
            <w:pPr>
              <w:pStyle w:val="Paragraphedeliste"/>
              <w:numPr>
                <w:ilvl w:val="0"/>
                <w:numId w:val="212"/>
              </w:numPr>
              <w:spacing w:after="0" w:line="240" w:lineRule="auto"/>
              <w:ind w:left="317"/>
              <w:rPr>
                <w:rFonts w:ascii="Times New Roman" w:hAnsi="Times New Roman"/>
              </w:rPr>
            </w:pPr>
            <w:r w:rsidRPr="00420C1B">
              <w:rPr>
                <w:rFonts w:ascii="Times New Roman" w:hAnsi="Times New Roman"/>
              </w:rPr>
              <w:t xml:space="preserve">S’efforcer à développer des activités alternatives génératrices de revenus. </w:t>
            </w:r>
          </w:p>
        </w:tc>
      </w:tr>
      <w:tr w:rsidR="001A5C8F" w:rsidRPr="00420C1B" w14:paraId="2AECC97D" w14:textId="77777777" w:rsidTr="00420C1B">
        <w:tc>
          <w:tcPr>
            <w:tcW w:w="1843" w:type="dxa"/>
            <w:shd w:val="clear" w:color="auto" w:fill="auto"/>
          </w:tcPr>
          <w:p w14:paraId="2BA3ED83"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Espèces invasives et pathogènes </w:t>
            </w:r>
          </w:p>
        </w:tc>
        <w:tc>
          <w:tcPr>
            <w:tcW w:w="7324" w:type="dxa"/>
            <w:shd w:val="clear" w:color="auto" w:fill="auto"/>
          </w:tcPr>
          <w:p w14:paraId="4ADB7D47"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Élaborer des recommandations de conduite à l’attention du personnel du Projet qui comprennent une politique interdisant la chasse et une interdiction de transporter des animaux vivants ou morts, des plantes ou des graines dans les véhicules ayant un lien avec le Projet. </w:t>
            </w:r>
          </w:p>
          <w:p w14:paraId="6161D998"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Installer des barrières et inspecter les véhicules de la société afin de repérer les éléments de faune ou de flore illégaux. </w:t>
            </w:r>
          </w:p>
          <w:p w14:paraId="01E57D08"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Soumettre le personnel à une campagne de vaccination et de sensibilisation à l’hygiène. </w:t>
            </w:r>
          </w:p>
          <w:p w14:paraId="5BFA4318" w14:textId="77777777" w:rsidR="001A5C8F" w:rsidRPr="00420C1B" w:rsidRDefault="001A5C8F" w:rsidP="00420C1B">
            <w:pPr>
              <w:numPr>
                <w:ilvl w:val="0"/>
                <w:numId w:val="212"/>
              </w:numPr>
              <w:spacing w:after="14" w:line="248" w:lineRule="auto"/>
              <w:ind w:left="317"/>
              <w:rPr>
                <w:rFonts w:ascii="Times New Roman" w:hAnsi="Times New Roman"/>
              </w:rPr>
            </w:pPr>
            <w:r w:rsidRPr="00420C1B">
              <w:rPr>
                <w:rFonts w:ascii="Times New Roman" w:hAnsi="Times New Roman"/>
              </w:rPr>
              <w:t xml:space="preserve">Former le personnel à la reconnaissance des principales espèces invasives. </w:t>
            </w:r>
          </w:p>
        </w:tc>
      </w:tr>
      <w:tr w:rsidR="001A5C8F" w:rsidRPr="00420C1B" w14:paraId="774595C3" w14:textId="77777777" w:rsidTr="00420C1B">
        <w:tc>
          <w:tcPr>
            <w:tcW w:w="1843" w:type="dxa"/>
            <w:shd w:val="clear" w:color="auto" w:fill="auto"/>
          </w:tcPr>
          <w:p w14:paraId="58FA7BC1" w14:textId="77777777" w:rsidR="001A5C8F" w:rsidRPr="00420C1B" w:rsidRDefault="001A5C8F" w:rsidP="00420C1B">
            <w:pPr>
              <w:spacing w:after="0" w:line="240" w:lineRule="auto"/>
              <w:rPr>
                <w:rFonts w:ascii="Times New Roman" w:hAnsi="Times New Roman"/>
              </w:rPr>
            </w:pPr>
            <w:r w:rsidRPr="00420C1B">
              <w:rPr>
                <w:rFonts w:ascii="Times New Roman" w:hAnsi="Times New Roman"/>
              </w:rPr>
              <w:t xml:space="preserve">Habitat Critique </w:t>
            </w:r>
          </w:p>
        </w:tc>
        <w:tc>
          <w:tcPr>
            <w:tcW w:w="7324" w:type="dxa"/>
            <w:shd w:val="clear" w:color="auto" w:fill="auto"/>
          </w:tcPr>
          <w:p w14:paraId="1C6A6F8F" w14:textId="77777777" w:rsidR="001A5C8F" w:rsidRPr="00420C1B" w:rsidRDefault="001A5C8F" w:rsidP="00420C1B">
            <w:pPr>
              <w:numPr>
                <w:ilvl w:val="0"/>
                <w:numId w:val="212"/>
              </w:numPr>
              <w:spacing w:after="14" w:line="248" w:lineRule="auto"/>
              <w:rPr>
                <w:rFonts w:ascii="Times New Roman" w:hAnsi="Times New Roman"/>
              </w:rPr>
            </w:pPr>
            <w:r w:rsidRPr="00420C1B">
              <w:rPr>
                <w:rFonts w:ascii="Times New Roman" w:hAnsi="Times New Roman"/>
              </w:rPr>
              <w:t xml:space="preserve">Mener des études de suivi afin d’évaluer l’étendue de l’Habitat Critique;  </w:t>
            </w:r>
          </w:p>
          <w:p w14:paraId="3A468FA0" w14:textId="77777777" w:rsidR="001A5C8F" w:rsidRPr="00420C1B" w:rsidRDefault="001A5C8F" w:rsidP="00420C1B">
            <w:pPr>
              <w:numPr>
                <w:ilvl w:val="0"/>
                <w:numId w:val="212"/>
              </w:numPr>
              <w:spacing w:after="14" w:line="248" w:lineRule="auto"/>
              <w:rPr>
                <w:rFonts w:ascii="Times New Roman" w:hAnsi="Times New Roman"/>
              </w:rPr>
            </w:pPr>
            <w:r w:rsidRPr="00420C1B">
              <w:rPr>
                <w:rFonts w:ascii="Times New Roman" w:hAnsi="Times New Roman"/>
              </w:rPr>
              <w:t xml:space="preserve">Donner la priorité à la préservation de l’Habitat Critique, dans lequel il sera évité de mener des activités ; et </w:t>
            </w:r>
          </w:p>
          <w:p w14:paraId="4000BC53" w14:textId="77777777" w:rsidR="001A5C8F" w:rsidRPr="00420C1B" w:rsidRDefault="001A5C8F" w:rsidP="00420C1B">
            <w:pPr>
              <w:numPr>
                <w:ilvl w:val="0"/>
                <w:numId w:val="212"/>
              </w:numPr>
              <w:spacing w:after="14" w:line="248" w:lineRule="auto"/>
              <w:rPr>
                <w:rFonts w:ascii="Times New Roman" w:hAnsi="Times New Roman"/>
              </w:rPr>
            </w:pPr>
            <w:r w:rsidRPr="00420C1B">
              <w:rPr>
                <w:rFonts w:ascii="Times New Roman" w:hAnsi="Times New Roman"/>
              </w:rPr>
              <w:t xml:space="preserve">Mettre en œuvre des actions de préservation supplémentaires afin d’obtenir un gain net pour la biodiversité dans l’Habitat Critique. </w:t>
            </w:r>
          </w:p>
        </w:tc>
      </w:tr>
    </w:tbl>
    <w:p w14:paraId="438F6355" w14:textId="77777777" w:rsidR="00F16F4B" w:rsidRPr="00E737B4" w:rsidRDefault="00F16F4B" w:rsidP="00E737B4">
      <w:pPr>
        <w:spacing w:before="80"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 232cabine juillet 2021</w:t>
      </w:r>
    </w:p>
    <w:p w14:paraId="6EE299B4" w14:textId="77777777" w:rsidR="00AE61CE" w:rsidRPr="00024B30" w:rsidRDefault="00AE61CE" w:rsidP="0096548B">
      <w:pPr>
        <w:rPr>
          <w:rFonts w:ascii="Times New Roman" w:hAnsi="Times New Roman"/>
          <w:bCs/>
          <w:i/>
        </w:rPr>
      </w:pPr>
    </w:p>
    <w:p w14:paraId="062F88D4" w14:textId="77777777" w:rsidR="00574826" w:rsidRPr="00215867" w:rsidRDefault="00574826" w:rsidP="00215867">
      <w:pPr>
        <w:pStyle w:val="Titre1"/>
        <w:numPr>
          <w:ilvl w:val="1"/>
          <w:numId w:val="54"/>
        </w:numPr>
        <w:spacing w:before="0" w:after="120" w:line="23" w:lineRule="atLeast"/>
        <w:ind w:left="709" w:hanging="567"/>
        <w:rPr>
          <w:b w:val="0"/>
        </w:rPr>
      </w:pPr>
      <w:bookmarkStart w:id="985" w:name="_Toc103685753"/>
      <w:r w:rsidRPr="007E5A67">
        <w:t>Procédure en cas de découverte fortuite</w:t>
      </w:r>
      <w:bookmarkEnd w:id="985"/>
    </w:p>
    <w:p w14:paraId="68A0D8FF"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Pour les projets de génie civil comportant des travaux d’excavation, des procédures sont normalement prévues en cas de « découverte fortuite</w:t>
      </w:r>
      <w:r w:rsidRPr="00857867">
        <w:rPr>
          <w:rFonts w:ascii="Times New Roman" w:eastAsia="Times New Roman" w:hAnsi="Times New Roman"/>
          <w:sz w:val="24"/>
          <w:szCs w:val="24"/>
          <w:vertAlign w:val="superscript"/>
          <w:lang w:eastAsia="fr-FR"/>
        </w:rPr>
        <w:footnoteReference w:id="11"/>
      </w:r>
      <w:r w:rsidRPr="00857867">
        <w:rPr>
          <w:rFonts w:ascii="Times New Roman" w:eastAsia="Times New Roman" w:hAnsi="Times New Roman"/>
          <w:sz w:val="24"/>
          <w:szCs w:val="24"/>
          <w:lang w:eastAsia="fr-FR"/>
        </w:rPr>
        <w:t xml:space="preserve"> » de biens culturels physiques enfouis. </w:t>
      </w:r>
    </w:p>
    <w:p w14:paraId="7DB1A060"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Les procédures arrêtées dépendent du cadre réglementaire locale qui tient compte notamment des dispositions législatives applicables à la découverte fortuite d’antiquité sous de biens archéologiques.</w:t>
      </w:r>
    </w:p>
    <w:p w14:paraId="226278BD"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Note : Les recommandations générales ci-après s’appliquent aux situations dans lesquelles il sera fait appel à un archéologue. Dans les situations exceptionnelles où les travaux d’excavation sont effectués dans des régions riches en biens culturels physiques, comme un site du patrimoine mondial de l’UNESCO, un archéologue est généralement présent sur place pour surveiller les fouilles et prendre les décisions qui s’imposent. Dans ce cas, les procédures doivent être modifiées en conséquence, avec l’accord des autorités chargées des questions culturelles.</w:t>
      </w:r>
    </w:p>
    <w:p w14:paraId="36BEB9DC"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Les procédures applicables aux découvertes fortuites comprennent généralement les éléments ci-après :</w:t>
      </w:r>
    </w:p>
    <w:p w14:paraId="4DED0689" w14:textId="77777777" w:rsidR="00574826" w:rsidRPr="00857867" w:rsidRDefault="00574826" w:rsidP="008C79F0">
      <w:pPr>
        <w:numPr>
          <w:ilvl w:val="0"/>
          <w:numId w:val="167"/>
        </w:num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Définition des biens culturels physiques</w:t>
      </w:r>
    </w:p>
    <w:p w14:paraId="192098E7"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Les biens culturels physiques sont définis comme : « objets mobiliers ou immobiliers, sites, ouvrages ou groupes d’ouvrages ayant une valeur archéologique, paléontologique, historique, architecturale, religieuse, esthétique ou autre ».</w:t>
      </w:r>
    </w:p>
    <w:p w14:paraId="1296954F" w14:textId="77777777" w:rsidR="00574826" w:rsidRPr="00857867" w:rsidRDefault="00574826" w:rsidP="008C79F0">
      <w:pPr>
        <w:numPr>
          <w:ilvl w:val="0"/>
          <w:numId w:val="167"/>
        </w:num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Propriété</w:t>
      </w:r>
    </w:p>
    <w:p w14:paraId="35EAC4CD"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Selon les circonstances, une propriété peut être l’administration locale, l’État, une institution religieuse ou le propriétaire du site. Il arrive également que l’identité du propriétaire soit déterminée ultérieurement par les autorités compétentes.</w:t>
      </w:r>
    </w:p>
    <w:p w14:paraId="0A8CC2CB" w14:textId="77777777" w:rsidR="00574826" w:rsidRPr="00857867" w:rsidRDefault="00574826" w:rsidP="008C79F0">
      <w:pPr>
        <w:numPr>
          <w:ilvl w:val="0"/>
          <w:numId w:val="167"/>
        </w:num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Reconnaissance</w:t>
      </w:r>
    </w:p>
    <w:p w14:paraId="5519A2D0" w14:textId="77777777" w:rsidR="00574826" w:rsidRPr="00857867" w:rsidRDefault="00574826" w:rsidP="00E737B4">
      <w:p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C’est la manière avec laquelle l’entreprise reconnaîtra un bien culturel physique n’est pas spécifiée et l’entreprise peut exiger une clause limitative de responsabilité.</w:t>
      </w:r>
    </w:p>
    <w:p w14:paraId="5387E0D3" w14:textId="77777777" w:rsidR="00574826" w:rsidRPr="00857867" w:rsidRDefault="00574826" w:rsidP="008C79F0">
      <w:pPr>
        <w:numPr>
          <w:ilvl w:val="0"/>
          <w:numId w:val="167"/>
        </w:numPr>
        <w:spacing w:before="120" w:after="120" w:line="20" w:lineRule="atLeast"/>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Procédure applicable en cas de découverte</w:t>
      </w:r>
    </w:p>
    <w:p w14:paraId="1EC8E1A3" w14:textId="77777777" w:rsidR="00574826" w:rsidRPr="00857867" w:rsidRDefault="00574826" w:rsidP="008C79F0">
      <w:pPr>
        <w:numPr>
          <w:ilvl w:val="0"/>
          <w:numId w:val="168"/>
        </w:num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 xml:space="preserve">Suspension des travaux : </w:t>
      </w:r>
    </w:p>
    <w:p w14:paraId="1B84DBAC" w14:textId="77777777" w:rsidR="00574826" w:rsidRPr="00857867" w:rsidRDefault="00574826" w:rsidP="00E737B4">
      <w:p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Après la suspension des travaux, l’entreprise doit immédiatement signaler la découverte à l’ingénieur résident. Il se peut que l’entreprise ne soit pas en droit de réclamer une indemnisation pour la période de suspension des travaux.</w:t>
      </w:r>
    </w:p>
    <w:p w14:paraId="52EC0477" w14:textId="77777777" w:rsidR="00574826" w:rsidRPr="00857867" w:rsidRDefault="00574826" w:rsidP="00E737B4">
      <w:pPr>
        <w:spacing w:before="120" w:after="120" w:line="240" w:lineRule="auto"/>
        <w:jc w:val="both"/>
        <w:rPr>
          <w:rFonts w:ascii="Times New Roman" w:eastAsia="Times New Roman" w:hAnsi="Times New Roman"/>
          <w:sz w:val="24"/>
          <w:szCs w:val="24"/>
          <w:lang w:eastAsia="fr-FR"/>
        </w:rPr>
      </w:pPr>
    </w:p>
    <w:p w14:paraId="43741ECC" w14:textId="77777777" w:rsidR="00574826" w:rsidRPr="00857867" w:rsidRDefault="00574826" w:rsidP="00E737B4">
      <w:p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L’ingénieur résident peut être habilité à suspendre les travaux et à demander à l’entreprise de procéder à des fouilles à ses propres frais s’il estime qu’une découverte qui vient d’être faite n’a pas été signalée.</w:t>
      </w:r>
    </w:p>
    <w:p w14:paraId="58CE6295" w14:textId="77777777" w:rsidR="00574826" w:rsidRPr="00857867" w:rsidRDefault="00574826" w:rsidP="008C79F0">
      <w:pPr>
        <w:numPr>
          <w:ilvl w:val="0"/>
          <w:numId w:val="168"/>
        </w:num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Délimitation du site de la découverte</w:t>
      </w:r>
    </w:p>
    <w:p w14:paraId="00A8CC3E" w14:textId="77777777" w:rsidR="00574826" w:rsidRPr="00857867" w:rsidRDefault="00574826" w:rsidP="00E737B4">
      <w:p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Avec l’approbation de l’ingénieur résident, il est ensuite demandé à l’entreprise de délimiter temporairement le site et d’en restreindre l’accès.</w:t>
      </w:r>
    </w:p>
    <w:p w14:paraId="66B01F64" w14:textId="77777777" w:rsidR="00574826" w:rsidRPr="00857867" w:rsidRDefault="00574826" w:rsidP="008C79F0">
      <w:pPr>
        <w:numPr>
          <w:ilvl w:val="0"/>
          <w:numId w:val="168"/>
        </w:num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Non suspension des travaux</w:t>
      </w:r>
    </w:p>
    <w:p w14:paraId="0DB13A5D" w14:textId="77777777" w:rsidR="00574826" w:rsidRPr="00857867" w:rsidRDefault="00574826" w:rsidP="00E737B4">
      <w:p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La procédure peut autoriser d’ingénieur résident à déterminer si le bien culturel physique peut être transporté ailleurs avant de poursuivre les travaux, par exemple si l’objet découvert est une pièce de monnaie.</w:t>
      </w:r>
    </w:p>
    <w:p w14:paraId="6318CA77" w14:textId="77777777" w:rsidR="00574826" w:rsidRPr="00857867" w:rsidRDefault="00574826" w:rsidP="008C79F0">
      <w:pPr>
        <w:numPr>
          <w:ilvl w:val="0"/>
          <w:numId w:val="168"/>
        </w:numPr>
        <w:spacing w:before="120" w:after="120" w:line="240" w:lineRule="auto"/>
        <w:jc w:val="both"/>
        <w:rPr>
          <w:rFonts w:ascii="Times New Roman" w:eastAsia="Times New Roman" w:hAnsi="Times New Roman"/>
          <w:sz w:val="24"/>
          <w:szCs w:val="24"/>
          <w:lang w:eastAsia="fr-FR"/>
        </w:rPr>
      </w:pPr>
      <w:r w:rsidRPr="00857867">
        <w:rPr>
          <w:rFonts w:ascii="Times New Roman" w:eastAsia="Times New Roman" w:hAnsi="Times New Roman"/>
          <w:sz w:val="24"/>
          <w:szCs w:val="24"/>
          <w:lang w:eastAsia="fr-FR"/>
        </w:rPr>
        <w:t>Rapport de découverte fortuite</w:t>
      </w:r>
    </w:p>
    <w:p w14:paraId="491C186A" w14:textId="77777777" w:rsidR="00574826" w:rsidRPr="00D75D2E" w:rsidRDefault="00574826" w:rsidP="00E737B4">
      <w:p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L’entreprise doit ensuite, sur la demande de l’ingénieur résident et dans les délais spécifiés, établir un Rapport de découverte fortuite fournissant les informations suivantes :</w:t>
      </w:r>
    </w:p>
    <w:p w14:paraId="55E16489" w14:textId="77777777" w:rsidR="00574826" w:rsidRPr="00D75D2E" w:rsidRDefault="00574826" w:rsidP="008C79F0">
      <w:pPr>
        <w:numPr>
          <w:ilvl w:val="0"/>
          <w:numId w:val="169"/>
        </w:numPr>
        <w:spacing w:after="0" w:line="240" w:lineRule="auto"/>
        <w:ind w:left="567" w:hanging="425"/>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Date et heure de la découverte ;</w:t>
      </w:r>
    </w:p>
    <w:p w14:paraId="42DAC74B" w14:textId="77777777" w:rsidR="00574826" w:rsidRPr="00D75D2E" w:rsidRDefault="00574826" w:rsidP="008C79F0">
      <w:pPr>
        <w:numPr>
          <w:ilvl w:val="0"/>
          <w:numId w:val="169"/>
        </w:numPr>
        <w:spacing w:after="0" w:line="240" w:lineRule="auto"/>
        <w:ind w:left="567" w:hanging="425"/>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Emplacement de la découverte ;</w:t>
      </w:r>
    </w:p>
    <w:p w14:paraId="5E1C54D2" w14:textId="77777777" w:rsidR="00574826" w:rsidRPr="00D75D2E" w:rsidRDefault="00574826" w:rsidP="008C79F0">
      <w:pPr>
        <w:numPr>
          <w:ilvl w:val="0"/>
          <w:numId w:val="169"/>
        </w:numPr>
        <w:spacing w:after="0" w:line="240" w:lineRule="auto"/>
        <w:ind w:left="567" w:hanging="425"/>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Description du bien culturel physique ;</w:t>
      </w:r>
    </w:p>
    <w:p w14:paraId="7FEEEE8D" w14:textId="77777777" w:rsidR="00574826" w:rsidRPr="00D75D2E" w:rsidRDefault="00574826" w:rsidP="008C79F0">
      <w:pPr>
        <w:numPr>
          <w:ilvl w:val="0"/>
          <w:numId w:val="169"/>
        </w:numPr>
        <w:spacing w:after="0" w:line="240" w:lineRule="auto"/>
        <w:ind w:left="567" w:hanging="425"/>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Estimation du poids et des dimensions du bien ;</w:t>
      </w:r>
    </w:p>
    <w:p w14:paraId="0C429781" w14:textId="77777777" w:rsidR="00574826" w:rsidRPr="00D75D2E" w:rsidRDefault="00574826" w:rsidP="008C79F0">
      <w:pPr>
        <w:numPr>
          <w:ilvl w:val="0"/>
          <w:numId w:val="169"/>
        </w:numPr>
        <w:spacing w:after="0" w:line="240" w:lineRule="auto"/>
        <w:ind w:left="567" w:hanging="425"/>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Mesures de protection temporaire mises en place.</w:t>
      </w:r>
    </w:p>
    <w:p w14:paraId="71BAE223" w14:textId="77777777" w:rsidR="00574826" w:rsidRPr="00D75D2E" w:rsidRDefault="00574826" w:rsidP="0096548B">
      <w:p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Rapport de découverte fortuite doit être présenté à l’ingénieur résident et aux autres parties désignées d’un commun accord avec les services culturels, et conformément à la législation nationale. </w:t>
      </w:r>
    </w:p>
    <w:p w14:paraId="29825459" w14:textId="77777777" w:rsidR="00574826" w:rsidRPr="00D75D2E" w:rsidRDefault="00574826" w:rsidP="0096548B">
      <w:p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L’ingénieur résident, ou toute autre partie désignée d’un commun accord, doit informer les services culturels de la découverte.</w:t>
      </w:r>
    </w:p>
    <w:p w14:paraId="07EAA916" w14:textId="77777777" w:rsidR="00574826" w:rsidRPr="00D75D2E" w:rsidRDefault="00574826" w:rsidP="008C79F0">
      <w:pPr>
        <w:numPr>
          <w:ilvl w:val="0"/>
          <w:numId w:val="168"/>
        </w:num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Arrivée des services culturels et mesures prises</w:t>
      </w:r>
    </w:p>
    <w:p w14:paraId="506560CC" w14:textId="77777777" w:rsidR="00574826" w:rsidRPr="00D75D2E" w:rsidRDefault="00574826" w:rsidP="00E737B4">
      <w:p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services responsables du patrimoine culturel font le nécessaire pour envoyer un représentant sur le lieu de la découverte dans des délais convenus (dans les 24 heures, par exemple) et déterminer les mesures à prendre, notamment :</w:t>
      </w:r>
    </w:p>
    <w:p w14:paraId="5C3F479A" w14:textId="77777777" w:rsidR="00574826" w:rsidRPr="00D75D2E" w:rsidRDefault="00574826" w:rsidP="008C79F0">
      <w:pPr>
        <w:numPr>
          <w:ilvl w:val="0"/>
          <w:numId w:val="169"/>
        </w:numPr>
        <w:spacing w:after="0" w:line="240" w:lineRule="auto"/>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Retrait des biens culturels physiques jugés importants ;</w:t>
      </w:r>
    </w:p>
    <w:p w14:paraId="02AAC274" w14:textId="77777777" w:rsidR="00574826" w:rsidRPr="00D75D2E" w:rsidRDefault="00574826" w:rsidP="008C79F0">
      <w:pPr>
        <w:numPr>
          <w:ilvl w:val="0"/>
          <w:numId w:val="169"/>
        </w:numPr>
        <w:spacing w:after="0" w:line="240" w:lineRule="auto"/>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Poursuite des travaux d’excavation dans un rayon spécifié autour du site de la découverte ;</w:t>
      </w:r>
    </w:p>
    <w:p w14:paraId="6BF29802" w14:textId="77777777" w:rsidR="00574826" w:rsidRPr="00D75D2E" w:rsidRDefault="00574826" w:rsidP="008C79F0">
      <w:pPr>
        <w:numPr>
          <w:ilvl w:val="0"/>
          <w:numId w:val="169"/>
        </w:numPr>
        <w:spacing w:after="0" w:line="240" w:lineRule="auto"/>
        <w:contextualSpacing/>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Élargissement ou réduction de la zone délimitée par l’entreprise.</w:t>
      </w:r>
    </w:p>
    <w:p w14:paraId="54BE6396" w14:textId="77777777" w:rsidR="00574826" w:rsidRPr="00D75D2E" w:rsidRDefault="00574826" w:rsidP="00AA000C">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Ces mesures doivent être prises dans un délai donné (dans les 7 jours, par exemple).</w:t>
      </w:r>
    </w:p>
    <w:p w14:paraId="26FF60C3" w14:textId="77777777" w:rsidR="00574826" w:rsidRPr="00D75D2E" w:rsidRDefault="00574826" w:rsidP="00AA000C">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L’entreprise peut, mais pas nécessairement, prétendre à une indemnisation pour la période de suspension des travaux.</w:t>
      </w:r>
    </w:p>
    <w:p w14:paraId="2E2FE891" w14:textId="77777777" w:rsidR="00574826" w:rsidRPr="00D75D2E" w:rsidRDefault="00574826" w:rsidP="00AA000C">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Si les services culturels n’envoient pas un représentant dans les délais spécifiés (dans les 24 heures, par exemple), l’ingénieur résident peut-être autorisé à proroger ces délais pour une période spécifiée.</w:t>
      </w:r>
    </w:p>
    <w:p w14:paraId="7EF9C057" w14:textId="77777777" w:rsidR="00574826" w:rsidRPr="00D75D2E" w:rsidRDefault="00574826"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Si les services culturels n’envoient pas un représentant dans la période de prorogation, l’ingénieur résident peut-être autorisé à demander à l’entreprise de déplacer le bien culturel physique ou de prendre d’autres mesures d’atténuation et de reprendre les travaux. Les travaux supplémentaires seront imputés sur le marché, mais l’entreprise ne pourra pas réclamer une indemnisation pour la période de suspension des travaux.</w:t>
      </w:r>
    </w:p>
    <w:p w14:paraId="4E54B640" w14:textId="77777777" w:rsidR="00574826" w:rsidRPr="00D75D2E" w:rsidRDefault="00574826" w:rsidP="008C79F0">
      <w:pPr>
        <w:numPr>
          <w:ilvl w:val="0"/>
          <w:numId w:val="168"/>
        </w:num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Suspension supplémentaire des travaux</w:t>
      </w:r>
    </w:p>
    <w:p w14:paraId="22E09DC7" w14:textId="77777777" w:rsidR="00574826" w:rsidRPr="00D75D2E" w:rsidRDefault="00574826"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Durant la période de 7 jours, les services culturels peuvent être en droit de demander la suspension temporaire des travaux sur le site de la découverte ou à proximité pendant une période supplémentaire de 30 jours, par exemple.</w:t>
      </w:r>
    </w:p>
    <w:p w14:paraId="1E119DAF" w14:textId="77777777" w:rsidR="00574826" w:rsidRPr="00D75D2E" w:rsidRDefault="00574826"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L’entreprise peut, mais pas nécessairement, prétendre à une indemnisation pour cette période supplémentaire de suspension des travaux.</w:t>
      </w:r>
    </w:p>
    <w:p w14:paraId="24DAF381" w14:textId="77777777" w:rsidR="00574826" w:rsidRPr="00D75D2E" w:rsidRDefault="00574826" w:rsidP="00E737B4">
      <w:pPr>
        <w:spacing w:before="120" w:after="120" w:line="20" w:lineRule="atLeast"/>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L’entreprise peut cependant être autorisée à signer avec les services responsables du patrimoine culturel un nouvel accord portant sur la fourniture de services ou de ressources supplémentaires durant cette période.</w:t>
      </w:r>
    </w:p>
    <w:p w14:paraId="7EBC66CA" w14:textId="77777777" w:rsidR="00244161" w:rsidRPr="00215867" w:rsidRDefault="00244161" w:rsidP="00215867">
      <w:pPr>
        <w:pStyle w:val="Titre1"/>
        <w:numPr>
          <w:ilvl w:val="1"/>
          <w:numId w:val="54"/>
        </w:numPr>
        <w:spacing w:before="0" w:after="120" w:line="23" w:lineRule="atLeast"/>
        <w:ind w:left="709" w:hanging="567"/>
        <w:rPr>
          <w:b w:val="0"/>
        </w:rPr>
      </w:pPr>
      <w:bookmarkStart w:id="986" w:name="_Toc452538261"/>
      <w:bookmarkStart w:id="987" w:name="_Toc16663523"/>
      <w:bookmarkStart w:id="988" w:name="_Toc16663697"/>
      <w:bookmarkStart w:id="989" w:name="_Toc16664942"/>
      <w:bookmarkStart w:id="990" w:name="_Toc103685754"/>
      <w:bookmarkEnd w:id="853"/>
      <w:bookmarkEnd w:id="854"/>
      <w:bookmarkEnd w:id="855"/>
      <w:bookmarkEnd w:id="856"/>
      <w:r w:rsidRPr="007E5A67">
        <w:t>Programme de surveillance et de suivi environnemental</w:t>
      </w:r>
      <w:bookmarkEnd w:id="986"/>
      <w:bookmarkEnd w:id="987"/>
      <w:bookmarkEnd w:id="988"/>
      <w:bookmarkEnd w:id="989"/>
      <w:bookmarkEnd w:id="990"/>
    </w:p>
    <w:p w14:paraId="1CC045CD" w14:textId="77777777" w:rsidR="003D0C4F" w:rsidRPr="00D75D2E" w:rsidRDefault="0024416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La surveillance environnementale a pour objectif de s’assurer que le promoteur respecte ses engagements et ses obligations de prise en compte de l’environnement et d’application des mesures envisagées dans l’étude. Elle vise à s’assurer également que les mesures d’atténuation et de bonification sont mises en œuvre, qu'elles produisent les résultats escomptés ; ou si elles s’avèrent inadéquates qu'elles puissent être modifiées, interrompues ou remplacées. Le tableau ci-après présente le programme de surveillance environnemental du PGES en y spécifiant les différents acteurs impliqués ainsi que les coûts associés. </w:t>
      </w:r>
    </w:p>
    <w:p w14:paraId="17428B0A" w14:textId="77777777" w:rsidR="003D0C4F" w:rsidRPr="00215867" w:rsidRDefault="003D0C4F" w:rsidP="00215867">
      <w:pPr>
        <w:pStyle w:val="Titre31"/>
        <w:numPr>
          <w:ilvl w:val="2"/>
          <w:numId w:val="54"/>
        </w:numPr>
        <w:tabs>
          <w:tab w:val="left" w:pos="993"/>
        </w:tabs>
        <w:spacing w:before="120" w:after="120" w:line="20" w:lineRule="atLeast"/>
        <w:ind w:left="993" w:hanging="709"/>
        <w:rPr>
          <w:rFonts w:eastAsia="Calibri"/>
          <w:i/>
        </w:rPr>
      </w:pPr>
      <w:bookmarkStart w:id="991" w:name="_Toc78602057"/>
      <w:bookmarkStart w:id="992" w:name="_Toc103685755"/>
      <w:r w:rsidRPr="00215867">
        <w:rPr>
          <w:rFonts w:eastAsia="Calibri"/>
          <w:i/>
          <w:u w:val="none"/>
        </w:rPr>
        <w:t>Activités de surveillance environnementale et sociale</w:t>
      </w:r>
      <w:bookmarkEnd w:id="991"/>
      <w:bookmarkEnd w:id="992"/>
    </w:p>
    <w:p w14:paraId="6EDCAFA2" w14:textId="77777777" w:rsidR="003D0C4F" w:rsidRPr="00D75D2E" w:rsidRDefault="003D0C4F" w:rsidP="005E3765">
      <w:pPr>
        <w:spacing w:before="120" w:after="120" w:line="20" w:lineRule="atLeast"/>
        <w:jc w:val="both"/>
        <w:rPr>
          <w:rFonts w:ascii="Times New Roman" w:hAnsi="Times New Roman"/>
          <w:sz w:val="24"/>
          <w:szCs w:val="24"/>
        </w:rPr>
      </w:pPr>
      <w:r w:rsidRPr="00D75D2E">
        <w:rPr>
          <w:rFonts w:ascii="Times New Roman" w:hAnsi="Times New Roman"/>
          <w:sz w:val="24"/>
          <w:szCs w:val="24"/>
        </w:rPr>
        <w:t>La surveillance environnementale et sociale est une activité qui vise à s’assurer que les entreprises respectent leurs engagements et obligations en matière d’environnement tout au long du cycle du projet. Elle vise à s’assurer que les mesures de bonification et d’atténuation proposées sont effectivement mises en œuvre pendant la phase d’exécution. La surveillance a donc comme objectif de réduire les désagréments pour les populations résidentes et les effets sur le milieu des différentes activités du projet. Chaque activité du projet fera l’objet de surveillance environnementale et sociale par le maître d’ouvrage qui pourra déléguer une partie de ses prérogatives à un bureau de contrôle agréé.</w:t>
      </w:r>
    </w:p>
    <w:p w14:paraId="234AD21D" w14:textId="77777777" w:rsidR="003D0C4F" w:rsidRPr="00215867" w:rsidRDefault="003D0C4F" w:rsidP="00215867">
      <w:pPr>
        <w:pStyle w:val="Titre31"/>
        <w:numPr>
          <w:ilvl w:val="2"/>
          <w:numId w:val="54"/>
        </w:numPr>
        <w:tabs>
          <w:tab w:val="left" w:pos="993"/>
        </w:tabs>
        <w:spacing w:before="120" w:after="120" w:line="20" w:lineRule="atLeast"/>
        <w:ind w:left="993" w:hanging="709"/>
        <w:rPr>
          <w:rFonts w:eastAsia="Calibri"/>
          <w:i/>
        </w:rPr>
      </w:pPr>
      <w:bookmarkStart w:id="993" w:name="_Toc425004202"/>
      <w:bookmarkStart w:id="994" w:name="_Toc421133559"/>
      <w:bookmarkStart w:id="995" w:name="_Toc341306118"/>
      <w:bookmarkStart w:id="996" w:name="_Toc78602058"/>
      <w:bookmarkStart w:id="997" w:name="_Toc103685756"/>
      <w:bookmarkEnd w:id="993"/>
      <w:bookmarkEnd w:id="994"/>
      <w:bookmarkEnd w:id="995"/>
      <w:r w:rsidRPr="00215867">
        <w:rPr>
          <w:rFonts w:eastAsia="Calibri"/>
          <w:i/>
          <w:u w:val="none"/>
        </w:rPr>
        <w:t>Activités de suivi environnemental et social</w:t>
      </w:r>
      <w:bookmarkEnd w:id="996"/>
      <w:bookmarkEnd w:id="997"/>
    </w:p>
    <w:p w14:paraId="086B6A8C" w14:textId="77777777" w:rsidR="003D0C4F" w:rsidRPr="00D75D2E" w:rsidRDefault="003D0C4F"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Ces activités consistent à mesurer et évaluer les impacts du projet sur certaines composantes environnementales et sociales préoccupantes après l’application des mesures d’atténuation et à mettre en œuvre des mesures correctives au besoin. Par ailleurs, il peut aider à réagir promptement à la défaillance d’une mesure d’atténuation ou de compensation ou à toute nouvelle perturbation du milieu par la mise en place des mesures appropriées.</w:t>
      </w:r>
    </w:p>
    <w:p w14:paraId="1BE31F54" w14:textId="77777777" w:rsidR="003D0C4F" w:rsidRPr="00D75D2E" w:rsidRDefault="003D0C4F"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Enfin le suivi environnemental aide à mieux traiter les impacts dans les projets ultérieurs similaires et à réviser éventuellement les normes et principes directeurs relatifs à la protection de l’environnement.</w:t>
      </w:r>
    </w:p>
    <w:p w14:paraId="7335A245" w14:textId="77777777" w:rsidR="003D0C4F" w:rsidRPr="00D75D2E" w:rsidRDefault="003D0C4F"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Le programme de suivi définit aussi clairement que possible les indicateurs à utiliser pour assurer le suivi des mesures d’atténuation et de bonification qui ont besoin d’être évaluées pendant l'exécution et/ou l’opérationnalisation du projet. Il fournit également les détails techniques sur les activités de suivi telles que les méthodes à employer les lieux d’échantillonnage, la fréquence des mesures, les limites de détection ainsi que la définition des seuils permettant de signaler le besoin de mesures correctives.</w:t>
      </w:r>
    </w:p>
    <w:p w14:paraId="6B9F1937" w14:textId="77777777" w:rsidR="003D0C4F" w:rsidRPr="00D75D2E" w:rsidRDefault="003D0C4F"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Plusieurs indicateurs ont été identifiés pour le suivi environnemental et social comme l’indique le tableau ci – après. Ce tableau appelle à considérer ces indicateurs de performance clés suivants en vue d’évaluer la performance environnementale et sociale du projet. Il s’agit de :</w:t>
      </w:r>
    </w:p>
    <w:p w14:paraId="51973F67"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100 % des plaintes enregistrées sont traitées ;</w:t>
      </w:r>
    </w:p>
    <w:p w14:paraId="326825F7" w14:textId="77777777" w:rsidR="003D0C4F" w:rsidRPr="00D75D2E" w:rsidRDefault="003D0C4F" w:rsidP="008C79F0">
      <w:pPr>
        <w:pStyle w:val="Paragraphedeliste"/>
        <w:numPr>
          <w:ilvl w:val="0"/>
          <w:numId w:val="190"/>
        </w:numPr>
        <w:spacing w:after="0" w:line="240" w:lineRule="auto"/>
        <w:jc w:val="both"/>
        <w:rPr>
          <w:rFonts w:ascii="Times New Roman" w:eastAsia="Times New Roman" w:hAnsi="Times New Roman"/>
          <w:sz w:val="24"/>
          <w:szCs w:val="24"/>
          <w:lang w:eastAsia="fr-FR"/>
        </w:rPr>
      </w:pPr>
      <w:r w:rsidRPr="00D75D2E">
        <w:rPr>
          <w:rFonts w:ascii="Times New Roman" w:hAnsi="Times New Roman"/>
          <w:sz w:val="24"/>
          <w:szCs w:val="24"/>
        </w:rPr>
        <w:t>100 % d’ouvriers respectant le port d’EPI ;</w:t>
      </w:r>
    </w:p>
    <w:p w14:paraId="60853C83"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100 % superficies mises en état ou reboisement compensatoire ;</w:t>
      </w:r>
    </w:p>
    <w:p w14:paraId="726F47E0"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Rapport de mise en œuvre du plan sécurité et d’hygiène</w:t>
      </w:r>
    </w:p>
    <w:p w14:paraId="322557DC" w14:textId="085C3A8E"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100 % des travailleurs sensibilisés sur la lutte contre les IST/VIH-SIDA</w:t>
      </w:r>
      <w:r w:rsidR="001400F9">
        <w:rPr>
          <w:rFonts w:ascii="Times New Roman" w:hAnsi="Times New Roman"/>
          <w:sz w:val="24"/>
          <w:szCs w:val="24"/>
        </w:rPr>
        <w:t xml:space="preserve"> et l’EAS/HS</w:t>
      </w:r>
    </w:p>
    <w:p w14:paraId="5DA85395"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100% des travailleurs sensibilisés sur la lutte contre la COVID-19</w:t>
      </w:r>
    </w:p>
    <w:p w14:paraId="1D9B71F8"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100 % d’accidents enregistrés sont pris en charges</w:t>
      </w:r>
    </w:p>
    <w:p w14:paraId="6F6FEDB7" w14:textId="39416E81"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 xml:space="preserve">100 % de personnes ayant fait l’objet </w:t>
      </w:r>
      <w:r w:rsidR="001400F9">
        <w:rPr>
          <w:rFonts w:ascii="Times New Roman" w:hAnsi="Times New Roman"/>
          <w:sz w:val="24"/>
          <w:szCs w:val="24"/>
        </w:rPr>
        <w:t>d’EAS/HS</w:t>
      </w:r>
      <w:r w:rsidRPr="00D75D2E">
        <w:rPr>
          <w:rFonts w:ascii="Times New Roman" w:hAnsi="Times New Roman"/>
          <w:sz w:val="24"/>
          <w:szCs w:val="24"/>
        </w:rPr>
        <w:t xml:space="preserve"> par les entreprises</w:t>
      </w:r>
    </w:p>
    <w:p w14:paraId="33FF6F48" w14:textId="114D5E8C" w:rsidR="003D0C4F" w:rsidRPr="00D75D2E" w:rsidRDefault="001400F9" w:rsidP="008C79F0">
      <w:pPr>
        <w:pStyle w:val="Paragraphedeliste"/>
        <w:numPr>
          <w:ilvl w:val="0"/>
          <w:numId w:val="190"/>
        </w:numPr>
        <w:suppressAutoHyphens/>
        <w:spacing w:after="0" w:line="240" w:lineRule="auto"/>
        <w:jc w:val="both"/>
        <w:rPr>
          <w:rFonts w:ascii="Times New Roman" w:hAnsi="Times New Roman"/>
          <w:sz w:val="24"/>
          <w:szCs w:val="24"/>
        </w:rPr>
      </w:pPr>
      <w:r>
        <w:rPr>
          <w:rFonts w:ascii="Times New Roman" w:hAnsi="Times New Roman"/>
          <w:sz w:val="24"/>
          <w:szCs w:val="24"/>
        </w:rPr>
        <w:t>%</w:t>
      </w:r>
      <w:r w:rsidRPr="00D75D2E">
        <w:rPr>
          <w:rFonts w:ascii="Times New Roman" w:hAnsi="Times New Roman"/>
          <w:sz w:val="24"/>
          <w:szCs w:val="24"/>
        </w:rPr>
        <w:t xml:space="preserve"> </w:t>
      </w:r>
      <w:r w:rsidR="003D0C4F" w:rsidRPr="00D75D2E">
        <w:rPr>
          <w:rFonts w:ascii="Times New Roman" w:hAnsi="Times New Roman"/>
          <w:sz w:val="24"/>
          <w:szCs w:val="24"/>
        </w:rPr>
        <w:t xml:space="preserve">des </w:t>
      </w:r>
      <w:r>
        <w:rPr>
          <w:rFonts w:ascii="Times New Roman" w:hAnsi="Times New Roman"/>
          <w:sz w:val="24"/>
          <w:szCs w:val="24"/>
        </w:rPr>
        <w:t>survivantes</w:t>
      </w:r>
      <w:r w:rsidRPr="00D75D2E">
        <w:rPr>
          <w:rFonts w:ascii="Times New Roman" w:hAnsi="Times New Roman"/>
          <w:sz w:val="24"/>
          <w:szCs w:val="24"/>
        </w:rPr>
        <w:t xml:space="preserve"> </w:t>
      </w:r>
      <w:r w:rsidR="003D0C4F" w:rsidRPr="00D75D2E">
        <w:rPr>
          <w:rFonts w:ascii="Times New Roman" w:hAnsi="Times New Roman"/>
          <w:sz w:val="24"/>
          <w:szCs w:val="24"/>
        </w:rPr>
        <w:t>prises en charge à travers les structures d’offre des services mises en place par le projet</w:t>
      </w:r>
    </w:p>
    <w:p w14:paraId="6C73BC9C" w14:textId="4F84D3ED" w:rsidR="001400F9" w:rsidRDefault="001400F9" w:rsidP="001400F9">
      <w:pPr>
        <w:pStyle w:val="Paragraphedeliste"/>
        <w:numPr>
          <w:ilvl w:val="0"/>
          <w:numId w:val="190"/>
        </w:numPr>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003D0C4F" w:rsidRPr="00D75D2E">
        <w:rPr>
          <w:rFonts w:ascii="Times New Roman" w:hAnsi="Times New Roman"/>
          <w:sz w:val="24"/>
          <w:szCs w:val="24"/>
        </w:rPr>
        <w:t>d’agents des entreprises formés sur les VBG</w:t>
      </w:r>
      <w:r>
        <w:rPr>
          <w:rFonts w:ascii="Times New Roman" w:hAnsi="Times New Roman"/>
          <w:sz w:val="24"/>
          <w:szCs w:val="24"/>
        </w:rPr>
        <w:t xml:space="preserve">, </w:t>
      </w:r>
      <w:r w:rsidR="003D0C4F" w:rsidRPr="00D75D2E">
        <w:rPr>
          <w:rFonts w:ascii="Times New Roman" w:hAnsi="Times New Roman"/>
          <w:sz w:val="24"/>
          <w:szCs w:val="24"/>
        </w:rPr>
        <w:t>code de bonne conduite</w:t>
      </w:r>
      <w:r>
        <w:rPr>
          <w:rFonts w:ascii="Times New Roman" w:hAnsi="Times New Roman"/>
          <w:sz w:val="24"/>
          <w:szCs w:val="24"/>
        </w:rPr>
        <w:t>, et le MGP-EAS/HS</w:t>
      </w:r>
    </w:p>
    <w:p w14:paraId="7642215F" w14:textId="76E90F68" w:rsidR="001400F9" w:rsidRDefault="001400F9" w:rsidP="001400F9">
      <w:pPr>
        <w:pStyle w:val="Paragraphedeliste"/>
        <w:numPr>
          <w:ilvl w:val="0"/>
          <w:numId w:val="190"/>
        </w:numPr>
        <w:suppressAutoHyphens/>
        <w:spacing w:after="0" w:line="240" w:lineRule="auto"/>
        <w:jc w:val="both"/>
        <w:rPr>
          <w:rFonts w:ascii="Times New Roman" w:hAnsi="Times New Roman"/>
          <w:sz w:val="24"/>
          <w:szCs w:val="24"/>
        </w:rPr>
      </w:pPr>
      <w:r>
        <w:rPr>
          <w:rFonts w:ascii="Times New Roman" w:hAnsi="Times New Roman"/>
          <w:sz w:val="24"/>
          <w:szCs w:val="24"/>
        </w:rPr>
        <w:t>% communauté sensibilisé en EAS/HS</w:t>
      </w:r>
    </w:p>
    <w:p w14:paraId="66010B14" w14:textId="4FCA6904" w:rsidR="001400F9" w:rsidRDefault="001400F9" w:rsidP="001400F9">
      <w:pPr>
        <w:pStyle w:val="Paragraphedeliste"/>
        <w:numPr>
          <w:ilvl w:val="0"/>
          <w:numId w:val="190"/>
        </w:numPr>
        <w:suppressAutoHyphens/>
        <w:spacing w:after="0" w:line="240" w:lineRule="auto"/>
        <w:jc w:val="both"/>
        <w:rPr>
          <w:rFonts w:ascii="Times New Roman" w:hAnsi="Times New Roman"/>
          <w:sz w:val="24"/>
          <w:szCs w:val="24"/>
        </w:rPr>
      </w:pPr>
      <w:r>
        <w:rPr>
          <w:rFonts w:ascii="Times New Roman" w:hAnsi="Times New Roman"/>
          <w:sz w:val="24"/>
          <w:szCs w:val="24"/>
        </w:rPr>
        <w:t>Nombre de consultations réalisées</w:t>
      </w:r>
    </w:p>
    <w:p w14:paraId="113006D8" w14:textId="7A6E5CBF" w:rsidR="001400F9" w:rsidRPr="00AE31F1" w:rsidRDefault="001400F9" w:rsidP="001400F9">
      <w:pPr>
        <w:pStyle w:val="Paragraphedeliste"/>
        <w:numPr>
          <w:ilvl w:val="0"/>
          <w:numId w:val="190"/>
        </w:numPr>
        <w:suppressAutoHyphens/>
        <w:spacing w:after="0" w:line="240" w:lineRule="auto"/>
        <w:jc w:val="both"/>
        <w:rPr>
          <w:rFonts w:ascii="Times New Roman" w:hAnsi="Times New Roman"/>
          <w:sz w:val="24"/>
          <w:szCs w:val="24"/>
        </w:rPr>
      </w:pPr>
      <w:r>
        <w:rPr>
          <w:rFonts w:ascii="Times New Roman" w:hAnsi="Times New Roman"/>
          <w:sz w:val="24"/>
          <w:szCs w:val="24"/>
        </w:rPr>
        <w:t>% communautés consultés</w:t>
      </w:r>
    </w:p>
    <w:p w14:paraId="2B7A08F8" w14:textId="77777777" w:rsidR="003D0C4F" w:rsidRPr="00D75D2E" w:rsidRDefault="003D0C4F" w:rsidP="008C79F0">
      <w:pPr>
        <w:pStyle w:val="Paragraphedeliste"/>
        <w:numPr>
          <w:ilvl w:val="0"/>
          <w:numId w:val="190"/>
        </w:numPr>
        <w:suppressAutoHyphens/>
        <w:spacing w:after="0" w:line="240" w:lineRule="auto"/>
        <w:jc w:val="both"/>
        <w:rPr>
          <w:rFonts w:ascii="Times New Roman" w:hAnsi="Times New Roman"/>
          <w:sz w:val="24"/>
          <w:szCs w:val="24"/>
        </w:rPr>
      </w:pPr>
      <w:r w:rsidRPr="00D75D2E">
        <w:rPr>
          <w:rFonts w:ascii="Times New Roman" w:hAnsi="Times New Roman"/>
          <w:sz w:val="24"/>
          <w:szCs w:val="24"/>
        </w:rPr>
        <w:t>Nombre de gites d’emprunts ouverts et remis en état par le projet</w:t>
      </w:r>
    </w:p>
    <w:p w14:paraId="1A3E503E" w14:textId="5370734F" w:rsidR="008727A1" w:rsidRPr="00A86929" w:rsidRDefault="003D0C4F" w:rsidP="00215867">
      <w:pPr>
        <w:pStyle w:val="Paragraphedeliste"/>
        <w:numPr>
          <w:ilvl w:val="0"/>
          <w:numId w:val="192"/>
        </w:numPr>
        <w:spacing w:after="0" w:line="276" w:lineRule="auto"/>
        <w:jc w:val="both"/>
        <w:rPr>
          <w:rFonts w:ascii="Times New Roman" w:hAnsi="Times New Roman"/>
        </w:rPr>
      </w:pPr>
      <w:r w:rsidRPr="00A86929">
        <w:rPr>
          <w:rFonts w:ascii="Times New Roman" w:hAnsi="Times New Roman"/>
          <w:sz w:val="24"/>
          <w:szCs w:val="24"/>
        </w:rPr>
        <w:t>% ou Nombre des mesures</w:t>
      </w:r>
      <w:r w:rsidRPr="00A86929">
        <w:rPr>
          <w:rFonts w:ascii="Times New Roman" w:hAnsi="Times New Roman"/>
        </w:rPr>
        <w:t xml:space="preserve"> </w:t>
      </w:r>
      <w:r w:rsidR="001400F9" w:rsidRPr="00A86929">
        <w:rPr>
          <w:rFonts w:ascii="Times New Roman" w:hAnsi="Times New Roman"/>
        </w:rPr>
        <w:t>d’accompagnement mis</w:t>
      </w:r>
      <w:r w:rsidRPr="00A86929">
        <w:rPr>
          <w:rFonts w:ascii="Times New Roman" w:hAnsi="Times New Roman"/>
        </w:rPr>
        <w:t xml:space="preserve"> en œuvre  parmi les mesures prévues dans le PGES</w:t>
      </w:r>
      <w:r w:rsidR="008727A1" w:rsidRPr="00A86929">
        <w:rPr>
          <w:rFonts w:ascii="Times New Roman" w:hAnsi="Times New Roman"/>
        </w:rPr>
        <w:t>.</w:t>
      </w:r>
      <w:r w:rsidR="008727A1" w:rsidRPr="00A86929">
        <w:rPr>
          <w:rFonts w:ascii="Times New Roman" w:hAnsi="Times New Roman"/>
        </w:rPr>
        <w:br w:type="page"/>
      </w:r>
    </w:p>
    <w:p w14:paraId="639916FD" w14:textId="77777777" w:rsidR="008727A1" w:rsidRPr="00D75D2E" w:rsidRDefault="008727A1" w:rsidP="008C79F0">
      <w:pPr>
        <w:pStyle w:val="Paragraphedeliste"/>
        <w:numPr>
          <w:ilvl w:val="0"/>
          <w:numId w:val="192"/>
        </w:numPr>
        <w:spacing w:after="0" w:line="276" w:lineRule="auto"/>
        <w:jc w:val="both"/>
        <w:rPr>
          <w:rFonts w:ascii="Times New Roman" w:hAnsi="Times New Roman"/>
        </w:rPr>
        <w:sectPr w:rsidR="008727A1" w:rsidRPr="00D75D2E" w:rsidSect="00EB0E4A">
          <w:pgSz w:w="11907" w:h="16840" w:code="9"/>
          <w:pgMar w:top="1417" w:right="1417" w:bottom="1417" w:left="1417" w:header="720" w:footer="720" w:gutter="0"/>
          <w:cols w:space="720"/>
          <w:titlePg/>
          <w:docGrid w:linePitch="360"/>
        </w:sectPr>
      </w:pPr>
    </w:p>
    <w:p w14:paraId="0313D828" w14:textId="1C048AA6" w:rsidR="008727A1" w:rsidRPr="00D75D2E" w:rsidRDefault="00244161" w:rsidP="00E737B4">
      <w:pPr>
        <w:spacing w:after="120" w:line="240" w:lineRule="auto"/>
        <w:jc w:val="both"/>
        <w:rPr>
          <w:rFonts w:ascii="Times New Roman" w:hAnsi="Times New Roman"/>
          <w:sz w:val="24"/>
          <w:szCs w:val="24"/>
        </w:rPr>
      </w:pPr>
      <w:r w:rsidRPr="00D75D2E">
        <w:rPr>
          <w:rFonts w:ascii="Times New Roman" w:hAnsi="Times New Roman"/>
          <w:sz w:val="24"/>
          <w:szCs w:val="24"/>
        </w:rPr>
        <w:t xml:space="preserve"> </w:t>
      </w:r>
      <w:bookmarkStart w:id="998" w:name="_Toc78602913"/>
      <w:bookmarkStart w:id="999" w:name="_Toc93050330"/>
      <w:bookmarkStart w:id="1000" w:name="_Toc466809081"/>
      <w:r w:rsidR="008727A1" w:rsidRPr="00D75D2E">
        <w:rPr>
          <w:rFonts w:ascii="Times New Roman" w:hAnsi="Times New Roman"/>
          <w:sz w:val="24"/>
          <w:szCs w:val="24"/>
        </w:rPr>
        <w:t xml:space="preserve">Tableau </w:t>
      </w:r>
      <w:r w:rsidR="008727A1" w:rsidRPr="00D75D2E">
        <w:rPr>
          <w:rFonts w:ascii="Times New Roman" w:hAnsi="Times New Roman"/>
          <w:sz w:val="24"/>
          <w:szCs w:val="24"/>
        </w:rPr>
        <w:fldChar w:fldCharType="begin"/>
      </w:r>
      <w:r w:rsidR="008727A1" w:rsidRPr="00D75D2E">
        <w:rPr>
          <w:rFonts w:ascii="Times New Roman" w:hAnsi="Times New Roman"/>
          <w:sz w:val="24"/>
          <w:szCs w:val="24"/>
        </w:rPr>
        <w:instrText xml:space="preserve"> SEQ Tableau \* ARABIC </w:instrText>
      </w:r>
      <w:r w:rsidR="008727A1" w:rsidRPr="00D75D2E">
        <w:rPr>
          <w:rFonts w:ascii="Times New Roman" w:hAnsi="Times New Roman"/>
          <w:sz w:val="24"/>
          <w:szCs w:val="24"/>
        </w:rPr>
        <w:fldChar w:fldCharType="separate"/>
      </w:r>
      <w:r w:rsidR="00A86929">
        <w:rPr>
          <w:rFonts w:ascii="Times New Roman" w:hAnsi="Times New Roman"/>
          <w:noProof/>
          <w:sz w:val="24"/>
          <w:szCs w:val="24"/>
        </w:rPr>
        <w:t>68</w:t>
      </w:r>
      <w:r w:rsidR="008727A1" w:rsidRPr="00D75D2E">
        <w:rPr>
          <w:rFonts w:ascii="Times New Roman" w:hAnsi="Times New Roman"/>
          <w:sz w:val="24"/>
          <w:szCs w:val="24"/>
        </w:rPr>
        <w:fldChar w:fldCharType="end"/>
      </w:r>
      <w:r w:rsidR="008727A1" w:rsidRPr="00D75D2E">
        <w:rPr>
          <w:rFonts w:ascii="Times New Roman" w:hAnsi="Times New Roman"/>
          <w:sz w:val="24"/>
          <w:szCs w:val="24"/>
        </w:rPr>
        <w:t>: Indicateurs  de suivi de performance</w:t>
      </w:r>
      <w:bookmarkEnd w:id="998"/>
      <w:bookmarkEnd w:id="999"/>
    </w:p>
    <w:tbl>
      <w:tblPr>
        <w:tblW w:w="14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7"/>
        <w:gridCol w:w="6237"/>
        <w:gridCol w:w="3131"/>
        <w:gridCol w:w="2268"/>
        <w:gridCol w:w="1677"/>
      </w:tblGrid>
      <w:tr w:rsidR="00D75D2E" w:rsidRPr="00420C1B" w14:paraId="775634F4" w14:textId="77777777" w:rsidTr="00E737B4">
        <w:trPr>
          <w:trHeight w:val="315"/>
          <w:tblHeader/>
          <w:jc w:val="center"/>
        </w:trPr>
        <w:tc>
          <w:tcPr>
            <w:tcW w:w="1577" w:type="dxa"/>
            <w:vMerge w:val="restart"/>
            <w:shd w:val="clear" w:color="auto" w:fill="92D050"/>
          </w:tcPr>
          <w:p w14:paraId="2B582DC1" w14:textId="77777777" w:rsidR="008727A1" w:rsidRPr="00420C1B" w:rsidRDefault="008727A1" w:rsidP="00422EE3">
            <w:pPr>
              <w:spacing w:after="0" w:line="240" w:lineRule="auto"/>
              <w:jc w:val="both"/>
              <w:rPr>
                <w:rFonts w:ascii="Times New Roman" w:hAnsi="Times New Roman"/>
                <w:b/>
                <w:sz w:val="20"/>
                <w:lang w:val="en-US"/>
              </w:rPr>
            </w:pPr>
            <w:r w:rsidRPr="00420C1B">
              <w:rPr>
                <w:rFonts w:ascii="Times New Roman" w:hAnsi="Times New Roman"/>
                <w:b/>
                <w:sz w:val="20"/>
                <w:lang w:val="en-US"/>
              </w:rPr>
              <w:t>Eléments de suivi</w:t>
            </w:r>
          </w:p>
        </w:tc>
        <w:tc>
          <w:tcPr>
            <w:tcW w:w="6237" w:type="dxa"/>
            <w:vMerge w:val="restart"/>
            <w:shd w:val="clear" w:color="auto" w:fill="92D050"/>
          </w:tcPr>
          <w:p w14:paraId="70E019EF" w14:textId="77777777" w:rsidR="008727A1" w:rsidRPr="00420C1B" w:rsidRDefault="008727A1" w:rsidP="00422EE3">
            <w:pPr>
              <w:spacing w:after="0" w:line="240" w:lineRule="auto"/>
              <w:jc w:val="both"/>
              <w:rPr>
                <w:rFonts w:ascii="Times New Roman" w:hAnsi="Times New Roman"/>
                <w:b/>
                <w:sz w:val="20"/>
              </w:rPr>
            </w:pPr>
            <w:r w:rsidRPr="00420C1B">
              <w:rPr>
                <w:rFonts w:ascii="Times New Roman" w:hAnsi="Times New Roman"/>
                <w:b/>
                <w:sz w:val="20"/>
              </w:rPr>
              <w:t>Indicateurs</w:t>
            </w:r>
          </w:p>
        </w:tc>
        <w:tc>
          <w:tcPr>
            <w:tcW w:w="3131" w:type="dxa"/>
            <w:vMerge w:val="restart"/>
            <w:shd w:val="clear" w:color="auto" w:fill="92D050"/>
          </w:tcPr>
          <w:p w14:paraId="604FC7FB" w14:textId="77777777" w:rsidR="008727A1" w:rsidRPr="00420C1B" w:rsidRDefault="008727A1" w:rsidP="00422EE3">
            <w:pPr>
              <w:spacing w:after="0" w:line="240" w:lineRule="auto"/>
              <w:jc w:val="both"/>
              <w:rPr>
                <w:rFonts w:ascii="Times New Roman" w:hAnsi="Times New Roman"/>
                <w:b/>
                <w:sz w:val="20"/>
                <w:lang w:val="en-US"/>
              </w:rPr>
            </w:pPr>
            <w:r w:rsidRPr="00420C1B">
              <w:rPr>
                <w:rFonts w:ascii="Times New Roman" w:hAnsi="Times New Roman"/>
                <w:b/>
                <w:sz w:val="20"/>
                <w:lang w:val="en-US"/>
              </w:rPr>
              <w:t>Moyen de verification</w:t>
            </w:r>
            <w:r w:rsidR="00857867" w:rsidRPr="00420C1B">
              <w:rPr>
                <w:rFonts w:ascii="Times New Roman" w:hAnsi="Times New Roman"/>
                <w:b/>
                <w:sz w:val="20"/>
                <w:lang w:val="en-US"/>
              </w:rPr>
              <w:t>/méthode</w:t>
            </w:r>
          </w:p>
        </w:tc>
        <w:tc>
          <w:tcPr>
            <w:tcW w:w="3945" w:type="dxa"/>
            <w:gridSpan w:val="2"/>
            <w:shd w:val="clear" w:color="auto" w:fill="92D050"/>
          </w:tcPr>
          <w:p w14:paraId="6FB7C039" w14:textId="77777777" w:rsidR="008727A1" w:rsidRPr="00420C1B" w:rsidRDefault="008727A1" w:rsidP="00422EE3">
            <w:pPr>
              <w:spacing w:after="0" w:line="240" w:lineRule="auto"/>
              <w:jc w:val="both"/>
              <w:rPr>
                <w:rFonts w:ascii="Times New Roman" w:hAnsi="Times New Roman"/>
                <w:b/>
                <w:sz w:val="20"/>
                <w:lang w:val="en-US"/>
              </w:rPr>
            </w:pPr>
            <w:r w:rsidRPr="00420C1B">
              <w:rPr>
                <w:rFonts w:ascii="Times New Roman" w:hAnsi="Times New Roman"/>
                <w:b/>
                <w:sz w:val="20"/>
                <w:lang w:val="en-US"/>
              </w:rPr>
              <w:t>Responsables et période</w:t>
            </w:r>
          </w:p>
        </w:tc>
      </w:tr>
      <w:tr w:rsidR="00D75D2E" w:rsidRPr="00420C1B" w14:paraId="1C64ECB6" w14:textId="77777777" w:rsidTr="00E737B4">
        <w:trPr>
          <w:trHeight w:val="180"/>
          <w:tblHeader/>
          <w:jc w:val="center"/>
        </w:trPr>
        <w:tc>
          <w:tcPr>
            <w:tcW w:w="1577" w:type="dxa"/>
            <w:vMerge/>
            <w:shd w:val="clear" w:color="auto" w:fill="92D050"/>
          </w:tcPr>
          <w:p w14:paraId="413A645C" w14:textId="77777777" w:rsidR="008727A1" w:rsidRPr="00420C1B" w:rsidRDefault="008727A1" w:rsidP="00422EE3">
            <w:pPr>
              <w:spacing w:after="0" w:line="240" w:lineRule="auto"/>
              <w:jc w:val="both"/>
              <w:rPr>
                <w:rFonts w:ascii="Times New Roman" w:hAnsi="Times New Roman"/>
                <w:b/>
                <w:sz w:val="20"/>
                <w:lang w:val="en-US"/>
              </w:rPr>
            </w:pPr>
          </w:p>
        </w:tc>
        <w:tc>
          <w:tcPr>
            <w:tcW w:w="6237" w:type="dxa"/>
            <w:vMerge/>
            <w:shd w:val="clear" w:color="auto" w:fill="92D050"/>
          </w:tcPr>
          <w:p w14:paraId="7828F0AA" w14:textId="77777777" w:rsidR="008727A1" w:rsidRPr="00420C1B" w:rsidRDefault="008727A1" w:rsidP="00422EE3">
            <w:pPr>
              <w:spacing w:after="0" w:line="240" w:lineRule="auto"/>
              <w:jc w:val="both"/>
              <w:rPr>
                <w:rFonts w:ascii="Times New Roman" w:hAnsi="Times New Roman"/>
                <w:b/>
                <w:sz w:val="20"/>
                <w:lang w:val="en-US"/>
              </w:rPr>
            </w:pPr>
          </w:p>
        </w:tc>
        <w:tc>
          <w:tcPr>
            <w:tcW w:w="3131" w:type="dxa"/>
            <w:vMerge/>
            <w:shd w:val="clear" w:color="auto" w:fill="92D050"/>
          </w:tcPr>
          <w:p w14:paraId="55A5A264" w14:textId="77777777" w:rsidR="008727A1" w:rsidRPr="00420C1B" w:rsidRDefault="008727A1" w:rsidP="00422EE3">
            <w:pPr>
              <w:spacing w:after="0" w:line="240" w:lineRule="auto"/>
              <w:jc w:val="both"/>
              <w:rPr>
                <w:rFonts w:ascii="Times New Roman" w:hAnsi="Times New Roman"/>
                <w:b/>
                <w:sz w:val="20"/>
                <w:lang w:val="en-US"/>
              </w:rPr>
            </w:pPr>
          </w:p>
        </w:tc>
        <w:tc>
          <w:tcPr>
            <w:tcW w:w="2268" w:type="dxa"/>
            <w:shd w:val="clear" w:color="auto" w:fill="92D050"/>
          </w:tcPr>
          <w:p w14:paraId="4E53C140" w14:textId="77777777" w:rsidR="008727A1" w:rsidRPr="00E737B4" w:rsidRDefault="008727A1" w:rsidP="00422EE3">
            <w:pPr>
              <w:spacing w:after="0" w:line="240" w:lineRule="auto"/>
              <w:jc w:val="both"/>
              <w:rPr>
                <w:rFonts w:ascii="Times New Roman" w:eastAsia="Times New Roman" w:hAnsi="Times New Roman"/>
                <w:b/>
                <w:sz w:val="20"/>
                <w:lang w:val="en-US" w:eastAsia="fr-FR"/>
              </w:rPr>
            </w:pPr>
            <w:r w:rsidRPr="00420C1B">
              <w:rPr>
                <w:rFonts w:ascii="Times New Roman" w:hAnsi="Times New Roman"/>
                <w:b/>
                <w:sz w:val="20"/>
                <w:lang w:val="en-US"/>
              </w:rPr>
              <w:t>Surveillance</w:t>
            </w:r>
          </w:p>
        </w:tc>
        <w:tc>
          <w:tcPr>
            <w:tcW w:w="1677" w:type="dxa"/>
            <w:shd w:val="clear" w:color="auto" w:fill="92D050"/>
          </w:tcPr>
          <w:p w14:paraId="7E2995CE" w14:textId="77777777" w:rsidR="008727A1" w:rsidRPr="00E737B4" w:rsidRDefault="008727A1" w:rsidP="00422EE3">
            <w:pPr>
              <w:spacing w:after="0" w:line="240" w:lineRule="auto"/>
              <w:jc w:val="both"/>
              <w:rPr>
                <w:rFonts w:ascii="Times New Roman" w:eastAsia="Times New Roman" w:hAnsi="Times New Roman"/>
                <w:b/>
                <w:sz w:val="20"/>
                <w:lang w:val="en-US" w:eastAsia="fr-FR"/>
              </w:rPr>
            </w:pPr>
            <w:r w:rsidRPr="00420C1B">
              <w:rPr>
                <w:rFonts w:ascii="Times New Roman" w:hAnsi="Times New Roman"/>
                <w:b/>
                <w:sz w:val="20"/>
                <w:lang w:val="en-US"/>
              </w:rPr>
              <w:t>Suivi</w:t>
            </w:r>
          </w:p>
        </w:tc>
      </w:tr>
      <w:tr w:rsidR="00D75D2E" w:rsidRPr="00420C1B" w14:paraId="38306B38" w14:textId="77777777" w:rsidTr="00E737B4">
        <w:trPr>
          <w:cantSplit/>
          <w:trHeight w:val="555"/>
          <w:jc w:val="center"/>
        </w:trPr>
        <w:tc>
          <w:tcPr>
            <w:tcW w:w="1577" w:type="dxa"/>
            <w:vAlign w:val="center"/>
          </w:tcPr>
          <w:p w14:paraId="66D9B2BE" w14:textId="77777777" w:rsidR="008727A1" w:rsidRPr="00420C1B" w:rsidRDefault="008727A1" w:rsidP="00E737B4">
            <w:pPr>
              <w:spacing w:after="0" w:line="240" w:lineRule="auto"/>
              <w:rPr>
                <w:rFonts w:ascii="Times New Roman" w:hAnsi="Times New Roman"/>
                <w:sz w:val="20"/>
                <w:lang w:val="en-US"/>
              </w:rPr>
            </w:pPr>
            <w:r w:rsidRPr="00420C1B">
              <w:rPr>
                <w:rFonts w:ascii="Times New Roman" w:hAnsi="Times New Roman"/>
                <w:sz w:val="20"/>
                <w:lang w:val="en-US"/>
              </w:rPr>
              <w:t>Air</w:t>
            </w:r>
          </w:p>
        </w:tc>
        <w:tc>
          <w:tcPr>
            <w:tcW w:w="6237" w:type="dxa"/>
          </w:tcPr>
          <w:p w14:paraId="48AB1ECE" w14:textId="77777777" w:rsidR="008727A1" w:rsidRPr="00420C1B" w:rsidRDefault="008727A1" w:rsidP="008C79F0">
            <w:pPr>
              <w:numPr>
                <w:ilvl w:val="0"/>
                <w:numId w:val="187"/>
              </w:numPr>
              <w:autoSpaceDE w:val="0"/>
              <w:autoSpaceDN w:val="0"/>
              <w:adjustRightInd w:val="0"/>
              <w:spacing w:after="0" w:line="240" w:lineRule="auto"/>
              <w:jc w:val="both"/>
              <w:rPr>
                <w:rFonts w:ascii="Times New Roman" w:hAnsi="Times New Roman"/>
                <w:iCs/>
                <w:sz w:val="20"/>
              </w:rPr>
            </w:pPr>
            <w:r w:rsidRPr="00420C1B">
              <w:rPr>
                <w:rFonts w:ascii="Times New Roman" w:hAnsi="Times New Roman"/>
                <w:iCs/>
                <w:sz w:val="20"/>
              </w:rPr>
              <w:t>100 % des personnes sensibilisés</w:t>
            </w:r>
          </w:p>
          <w:p w14:paraId="67C9A15F" w14:textId="77777777" w:rsidR="008727A1" w:rsidRPr="00E737B4" w:rsidRDefault="008727A1" w:rsidP="008C79F0">
            <w:pPr>
              <w:numPr>
                <w:ilvl w:val="0"/>
                <w:numId w:val="187"/>
              </w:numPr>
              <w:autoSpaceDE w:val="0"/>
              <w:autoSpaceDN w:val="0"/>
              <w:adjustRightInd w:val="0"/>
              <w:spacing w:after="0" w:line="240" w:lineRule="auto"/>
              <w:jc w:val="both"/>
              <w:rPr>
                <w:rFonts w:ascii="Times New Roman" w:eastAsia="Times New Roman" w:hAnsi="Times New Roman"/>
                <w:iCs/>
                <w:sz w:val="20"/>
                <w:lang w:eastAsia="fr-FR"/>
              </w:rPr>
            </w:pPr>
            <w:r w:rsidRPr="00420C1B">
              <w:rPr>
                <w:rFonts w:ascii="Times New Roman" w:hAnsi="Times New Roman"/>
                <w:iCs/>
                <w:sz w:val="20"/>
              </w:rPr>
              <w:t>100 % d’ouvriers portant des EPI</w:t>
            </w:r>
          </w:p>
          <w:p w14:paraId="3D409FDD" w14:textId="77777777" w:rsidR="008727A1" w:rsidRPr="00E737B4" w:rsidRDefault="008727A1" w:rsidP="008C79F0">
            <w:pPr>
              <w:numPr>
                <w:ilvl w:val="0"/>
                <w:numId w:val="187"/>
              </w:numPr>
              <w:autoSpaceDE w:val="0"/>
              <w:autoSpaceDN w:val="0"/>
              <w:adjustRightInd w:val="0"/>
              <w:spacing w:after="0" w:line="240" w:lineRule="auto"/>
              <w:jc w:val="both"/>
              <w:rPr>
                <w:rFonts w:ascii="Times New Roman" w:eastAsia="Times New Roman" w:hAnsi="Times New Roman"/>
                <w:iCs/>
                <w:sz w:val="20"/>
                <w:lang w:eastAsia="fr-FR"/>
              </w:rPr>
            </w:pPr>
            <w:r w:rsidRPr="00420C1B">
              <w:rPr>
                <w:rFonts w:ascii="Times New Roman" w:hAnsi="Times New Roman"/>
                <w:iCs/>
                <w:sz w:val="20"/>
              </w:rPr>
              <w:t>100 % d’Equipement de Protection à distribuer</w:t>
            </w:r>
          </w:p>
          <w:p w14:paraId="7341BFC4" w14:textId="77777777" w:rsidR="008727A1" w:rsidRPr="00E737B4" w:rsidRDefault="008727A1" w:rsidP="008C79F0">
            <w:pPr>
              <w:numPr>
                <w:ilvl w:val="0"/>
                <w:numId w:val="187"/>
              </w:numPr>
              <w:autoSpaceDE w:val="0"/>
              <w:autoSpaceDN w:val="0"/>
              <w:adjustRightInd w:val="0"/>
              <w:spacing w:after="0" w:line="240" w:lineRule="auto"/>
              <w:jc w:val="both"/>
              <w:rPr>
                <w:rFonts w:ascii="Times New Roman" w:eastAsia="Times New Roman" w:hAnsi="Times New Roman"/>
                <w:iCs/>
                <w:sz w:val="20"/>
                <w:lang w:eastAsia="fr-FR"/>
              </w:rPr>
            </w:pPr>
            <w:r w:rsidRPr="00420C1B">
              <w:rPr>
                <w:rFonts w:ascii="Times New Roman" w:hAnsi="Times New Roman"/>
                <w:iCs/>
                <w:sz w:val="20"/>
              </w:rPr>
              <w:t>100 % de camions avec protection</w:t>
            </w:r>
          </w:p>
          <w:p w14:paraId="3C66C447" w14:textId="77777777" w:rsidR="008727A1" w:rsidRPr="00E737B4" w:rsidRDefault="008727A1" w:rsidP="008C79F0">
            <w:pPr>
              <w:numPr>
                <w:ilvl w:val="0"/>
                <w:numId w:val="187"/>
              </w:numPr>
              <w:autoSpaceDE w:val="0"/>
              <w:autoSpaceDN w:val="0"/>
              <w:adjustRightInd w:val="0"/>
              <w:spacing w:after="0" w:line="240" w:lineRule="auto"/>
              <w:jc w:val="both"/>
              <w:rPr>
                <w:rFonts w:ascii="Times New Roman" w:eastAsia="Times New Roman" w:hAnsi="Times New Roman"/>
                <w:iCs/>
                <w:sz w:val="20"/>
                <w:lang w:eastAsia="fr-FR"/>
              </w:rPr>
            </w:pPr>
            <w:r w:rsidRPr="00420C1B">
              <w:rPr>
                <w:rFonts w:ascii="Times New Roman" w:hAnsi="Times New Roman"/>
                <w:iCs/>
                <w:sz w:val="20"/>
              </w:rPr>
              <w:t>100 % du linéaire de tronçon arrosé deux à trois fois / jour</w:t>
            </w:r>
          </w:p>
        </w:tc>
        <w:tc>
          <w:tcPr>
            <w:tcW w:w="3131" w:type="dxa"/>
          </w:tcPr>
          <w:p w14:paraId="4D84BE38"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p w14:paraId="78824FCB"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Nombre des plaintes sur la pollution d’air provenant des riverains</w:t>
            </w:r>
          </w:p>
        </w:tc>
        <w:tc>
          <w:tcPr>
            <w:tcW w:w="2268" w:type="dxa"/>
          </w:tcPr>
          <w:p w14:paraId="3A3C1CB4"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w:t>
            </w:r>
          </w:p>
          <w:p w14:paraId="2F25E5E8"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tc>
        <w:tc>
          <w:tcPr>
            <w:tcW w:w="1677" w:type="dxa"/>
          </w:tcPr>
          <w:p w14:paraId="5BF1B7D1"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6325B227"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CPE/ACE (trimestriel)</w:t>
            </w:r>
          </w:p>
        </w:tc>
      </w:tr>
      <w:tr w:rsidR="00D75D2E" w:rsidRPr="00420C1B" w14:paraId="1BEEB140" w14:textId="77777777" w:rsidTr="00E737B4">
        <w:trPr>
          <w:cantSplit/>
          <w:trHeight w:val="555"/>
          <w:jc w:val="center"/>
        </w:trPr>
        <w:tc>
          <w:tcPr>
            <w:tcW w:w="1577" w:type="dxa"/>
            <w:vMerge w:val="restart"/>
            <w:vAlign w:val="center"/>
          </w:tcPr>
          <w:p w14:paraId="348E1025" w14:textId="77777777" w:rsidR="008727A1" w:rsidRPr="00E737B4" w:rsidRDefault="008727A1" w:rsidP="00E737B4">
            <w:pPr>
              <w:spacing w:after="0" w:line="240" w:lineRule="auto"/>
              <w:rPr>
                <w:rFonts w:ascii="Times New Roman" w:eastAsia="Times New Roman" w:hAnsi="Times New Roman"/>
                <w:sz w:val="20"/>
                <w:lang w:val="en-US" w:eastAsia="fr-FR"/>
              </w:rPr>
            </w:pPr>
            <w:r w:rsidRPr="00420C1B">
              <w:rPr>
                <w:rFonts w:ascii="Times New Roman" w:hAnsi="Times New Roman"/>
                <w:sz w:val="20"/>
                <w:lang w:val="en-US"/>
              </w:rPr>
              <w:t>Eau</w:t>
            </w:r>
          </w:p>
        </w:tc>
        <w:tc>
          <w:tcPr>
            <w:tcW w:w="6237" w:type="dxa"/>
            <w:vMerge w:val="restart"/>
          </w:tcPr>
          <w:p w14:paraId="490E3C40" w14:textId="77777777"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Présence de déchets solides et liquides provenant des travaux dans les cours d’eau</w:t>
            </w:r>
          </w:p>
          <w:p w14:paraId="422A30CD"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Quantité d’eau prélevée dans les cours d’eau pour les besoins des travaux</w:t>
            </w:r>
          </w:p>
          <w:p w14:paraId="679F023C"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Turbidité des cours d’eau due à l’érosion</w:t>
            </w:r>
          </w:p>
        </w:tc>
        <w:tc>
          <w:tcPr>
            <w:tcW w:w="3131" w:type="dxa"/>
            <w:vMerge w:val="restart"/>
          </w:tcPr>
          <w:p w14:paraId="5A25A8DD"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p w14:paraId="71CC03CB" w14:textId="77777777" w:rsidR="008727A1" w:rsidRPr="00420C1B" w:rsidRDefault="008727A1" w:rsidP="00422EE3">
            <w:pPr>
              <w:spacing w:after="0" w:line="240" w:lineRule="auto"/>
              <w:jc w:val="both"/>
              <w:rPr>
                <w:rFonts w:ascii="Times New Roman" w:hAnsi="Times New Roman"/>
                <w:sz w:val="20"/>
              </w:rPr>
            </w:pPr>
          </w:p>
        </w:tc>
        <w:tc>
          <w:tcPr>
            <w:tcW w:w="2268" w:type="dxa"/>
            <w:vMerge w:val="restart"/>
          </w:tcPr>
          <w:p w14:paraId="3ABA76F6"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w:t>
            </w:r>
          </w:p>
          <w:p w14:paraId="1E728AB8"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tc>
        <w:tc>
          <w:tcPr>
            <w:tcW w:w="1677" w:type="dxa"/>
            <w:vMerge w:val="restart"/>
          </w:tcPr>
          <w:p w14:paraId="2B407608"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62FCEBCB"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CPE/ACE (trimestriel)</w:t>
            </w:r>
          </w:p>
        </w:tc>
      </w:tr>
      <w:tr w:rsidR="00D75D2E" w:rsidRPr="00420C1B" w14:paraId="04C23EE4" w14:textId="77777777" w:rsidTr="00E737B4">
        <w:trPr>
          <w:cantSplit/>
          <w:trHeight w:val="509"/>
          <w:jc w:val="center"/>
        </w:trPr>
        <w:tc>
          <w:tcPr>
            <w:tcW w:w="1577" w:type="dxa"/>
            <w:vMerge/>
            <w:vAlign w:val="center"/>
          </w:tcPr>
          <w:p w14:paraId="2F12AA4F" w14:textId="77777777" w:rsidR="008727A1" w:rsidRPr="00420C1B" w:rsidRDefault="008727A1" w:rsidP="00E737B4">
            <w:pPr>
              <w:spacing w:after="0" w:line="240" w:lineRule="auto"/>
              <w:rPr>
                <w:rFonts w:ascii="Times New Roman" w:hAnsi="Times New Roman"/>
                <w:sz w:val="20"/>
              </w:rPr>
            </w:pPr>
          </w:p>
        </w:tc>
        <w:tc>
          <w:tcPr>
            <w:tcW w:w="6237" w:type="dxa"/>
            <w:vMerge/>
          </w:tcPr>
          <w:p w14:paraId="7A1C6C2B"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2F6E94CC" w14:textId="77777777" w:rsidR="008727A1" w:rsidRPr="00420C1B" w:rsidRDefault="008727A1" w:rsidP="00422EE3">
            <w:pPr>
              <w:spacing w:after="0" w:line="240" w:lineRule="auto"/>
              <w:jc w:val="both"/>
              <w:rPr>
                <w:rFonts w:ascii="Times New Roman" w:hAnsi="Times New Roman"/>
                <w:sz w:val="20"/>
              </w:rPr>
            </w:pPr>
          </w:p>
        </w:tc>
        <w:tc>
          <w:tcPr>
            <w:tcW w:w="2268" w:type="dxa"/>
            <w:vMerge/>
          </w:tcPr>
          <w:p w14:paraId="404F3498" w14:textId="77777777" w:rsidR="008727A1" w:rsidRPr="00420C1B" w:rsidRDefault="008727A1" w:rsidP="00422EE3">
            <w:pPr>
              <w:spacing w:after="0" w:line="240" w:lineRule="auto"/>
              <w:jc w:val="both"/>
              <w:rPr>
                <w:rFonts w:ascii="Times New Roman" w:hAnsi="Times New Roman"/>
                <w:sz w:val="20"/>
              </w:rPr>
            </w:pPr>
          </w:p>
        </w:tc>
        <w:tc>
          <w:tcPr>
            <w:tcW w:w="1677" w:type="dxa"/>
            <w:vMerge/>
          </w:tcPr>
          <w:p w14:paraId="39A186EF" w14:textId="77777777" w:rsidR="008727A1" w:rsidRPr="00420C1B" w:rsidRDefault="008727A1" w:rsidP="00422EE3">
            <w:pPr>
              <w:spacing w:after="0" w:line="240" w:lineRule="auto"/>
              <w:jc w:val="both"/>
              <w:rPr>
                <w:rFonts w:ascii="Times New Roman" w:hAnsi="Times New Roman"/>
                <w:sz w:val="20"/>
              </w:rPr>
            </w:pPr>
          </w:p>
        </w:tc>
      </w:tr>
      <w:tr w:rsidR="00D75D2E" w:rsidRPr="00420C1B" w14:paraId="0F145CC9" w14:textId="77777777" w:rsidTr="00E737B4">
        <w:trPr>
          <w:cantSplit/>
          <w:trHeight w:val="509"/>
          <w:jc w:val="center"/>
        </w:trPr>
        <w:tc>
          <w:tcPr>
            <w:tcW w:w="1577" w:type="dxa"/>
            <w:vMerge w:val="restart"/>
            <w:vAlign w:val="center"/>
          </w:tcPr>
          <w:p w14:paraId="2AF36FEB" w14:textId="77777777" w:rsidR="008727A1" w:rsidRPr="00E737B4" w:rsidRDefault="008727A1" w:rsidP="00E737B4">
            <w:pPr>
              <w:spacing w:after="0" w:line="240" w:lineRule="auto"/>
              <w:rPr>
                <w:rFonts w:ascii="Times New Roman" w:eastAsia="Times New Roman" w:hAnsi="Times New Roman"/>
                <w:sz w:val="20"/>
                <w:lang w:val="en-US" w:eastAsia="fr-FR"/>
              </w:rPr>
            </w:pPr>
            <w:r w:rsidRPr="00420C1B">
              <w:rPr>
                <w:rFonts w:ascii="Times New Roman" w:hAnsi="Times New Roman"/>
                <w:sz w:val="20"/>
                <w:lang w:val="en-US"/>
              </w:rPr>
              <w:t>Sol</w:t>
            </w:r>
          </w:p>
        </w:tc>
        <w:tc>
          <w:tcPr>
            <w:tcW w:w="6237" w:type="dxa"/>
            <w:vMerge w:val="restart"/>
          </w:tcPr>
          <w:p w14:paraId="581961F6" w14:textId="77777777"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100 % de ravinements et points d’érosion des sols identifiés</w:t>
            </w:r>
          </w:p>
          <w:p w14:paraId="60D0012B"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des points de déversement de déchets identifiés</w:t>
            </w:r>
          </w:p>
          <w:p w14:paraId="26C9B08E"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 sites contaminés par les déchets liquides traités</w:t>
            </w:r>
          </w:p>
          <w:p w14:paraId="2286FA93"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 carrières ouvertes sont remises en état</w:t>
            </w:r>
          </w:p>
        </w:tc>
        <w:tc>
          <w:tcPr>
            <w:tcW w:w="3131" w:type="dxa"/>
            <w:vMerge w:val="restart"/>
          </w:tcPr>
          <w:p w14:paraId="2F479BB7" w14:textId="77777777" w:rsidR="008727A1" w:rsidRPr="00E737B4" w:rsidRDefault="008727A1" w:rsidP="00DE24E2">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tc>
        <w:tc>
          <w:tcPr>
            <w:tcW w:w="2268" w:type="dxa"/>
            <w:vMerge w:val="restart"/>
          </w:tcPr>
          <w:p w14:paraId="692D8BCD" w14:textId="77777777" w:rsidR="008727A1" w:rsidRPr="00E737B4" w:rsidRDefault="008727A1" w:rsidP="00601B68">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w:t>
            </w:r>
          </w:p>
          <w:p w14:paraId="13592CE3" w14:textId="77777777" w:rsidR="008727A1" w:rsidRPr="00E737B4" w:rsidRDefault="008727A1" w:rsidP="00317F3D">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tc>
        <w:tc>
          <w:tcPr>
            <w:tcW w:w="1677" w:type="dxa"/>
            <w:vMerge w:val="restart"/>
          </w:tcPr>
          <w:p w14:paraId="5F1BCC24" w14:textId="77777777" w:rsidR="008727A1" w:rsidRPr="00E737B4" w:rsidRDefault="008727A1" w:rsidP="00C3123A">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48736C73" w14:textId="77777777" w:rsidR="008727A1" w:rsidRPr="00E737B4" w:rsidRDefault="008727A1" w:rsidP="007E402E">
            <w:pPr>
              <w:spacing w:after="0" w:line="240" w:lineRule="auto"/>
              <w:jc w:val="both"/>
              <w:rPr>
                <w:rFonts w:ascii="Times New Roman" w:eastAsia="Times New Roman" w:hAnsi="Times New Roman"/>
                <w:sz w:val="20"/>
                <w:lang w:eastAsia="fr-FR"/>
              </w:rPr>
            </w:pPr>
            <w:r w:rsidRPr="00420C1B">
              <w:rPr>
                <w:rFonts w:ascii="Times New Roman" w:hAnsi="Times New Roman"/>
                <w:sz w:val="20"/>
              </w:rPr>
              <w:t>CPE/ACE (trimestriel)</w:t>
            </w:r>
          </w:p>
        </w:tc>
      </w:tr>
      <w:tr w:rsidR="00D75D2E" w:rsidRPr="00420C1B" w14:paraId="194937B1" w14:textId="77777777" w:rsidTr="00E737B4">
        <w:trPr>
          <w:cantSplit/>
          <w:trHeight w:val="705"/>
          <w:jc w:val="center"/>
        </w:trPr>
        <w:tc>
          <w:tcPr>
            <w:tcW w:w="1577" w:type="dxa"/>
            <w:vMerge/>
            <w:vAlign w:val="center"/>
          </w:tcPr>
          <w:p w14:paraId="1B3838CE" w14:textId="77777777" w:rsidR="008727A1" w:rsidRPr="00420C1B" w:rsidRDefault="008727A1" w:rsidP="00E737B4">
            <w:pPr>
              <w:spacing w:after="0" w:line="240" w:lineRule="auto"/>
              <w:rPr>
                <w:rFonts w:ascii="Times New Roman" w:hAnsi="Times New Roman"/>
                <w:sz w:val="20"/>
              </w:rPr>
            </w:pPr>
          </w:p>
        </w:tc>
        <w:tc>
          <w:tcPr>
            <w:tcW w:w="6237" w:type="dxa"/>
            <w:vMerge/>
          </w:tcPr>
          <w:p w14:paraId="56E7E9A3"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19FAF1E7" w14:textId="77777777" w:rsidR="008727A1" w:rsidRPr="00420C1B" w:rsidRDefault="008727A1" w:rsidP="00422EE3">
            <w:pPr>
              <w:spacing w:after="0" w:line="240" w:lineRule="auto"/>
              <w:jc w:val="both"/>
              <w:rPr>
                <w:rFonts w:ascii="Times New Roman" w:hAnsi="Times New Roman"/>
                <w:sz w:val="20"/>
              </w:rPr>
            </w:pPr>
          </w:p>
        </w:tc>
        <w:tc>
          <w:tcPr>
            <w:tcW w:w="2268" w:type="dxa"/>
            <w:vMerge/>
          </w:tcPr>
          <w:p w14:paraId="4B1EDCAC" w14:textId="77777777" w:rsidR="008727A1" w:rsidRPr="00420C1B" w:rsidRDefault="008727A1" w:rsidP="00422EE3">
            <w:pPr>
              <w:spacing w:after="0" w:line="240" w:lineRule="auto"/>
              <w:jc w:val="both"/>
              <w:rPr>
                <w:rFonts w:ascii="Times New Roman" w:hAnsi="Times New Roman"/>
                <w:sz w:val="20"/>
              </w:rPr>
            </w:pPr>
          </w:p>
        </w:tc>
        <w:tc>
          <w:tcPr>
            <w:tcW w:w="1677" w:type="dxa"/>
            <w:vMerge/>
          </w:tcPr>
          <w:p w14:paraId="7A047D56" w14:textId="77777777" w:rsidR="008727A1" w:rsidRPr="00420C1B" w:rsidRDefault="008727A1" w:rsidP="00422EE3">
            <w:pPr>
              <w:spacing w:after="0" w:line="240" w:lineRule="auto"/>
              <w:jc w:val="both"/>
              <w:rPr>
                <w:rFonts w:ascii="Times New Roman" w:hAnsi="Times New Roman"/>
                <w:sz w:val="20"/>
              </w:rPr>
            </w:pPr>
          </w:p>
        </w:tc>
      </w:tr>
      <w:tr w:rsidR="00D75D2E" w:rsidRPr="00420C1B" w14:paraId="24AABA69" w14:textId="77777777" w:rsidTr="00E737B4">
        <w:trPr>
          <w:cantSplit/>
          <w:trHeight w:val="230"/>
          <w:jc w:val="center"/>
        </w:trPr>
        <w:tc>
          <w:tcPr>
            <w:tcW w:w="1577" w:type="dxa"/>
            <w:vMerge/>
            <w:vAlign w:val="center"/>
          </w:tcPr>
          <w:p w14:paraId="28EA4710" w14:textId="77777777" w:rsidR="008727A1" w:rsidRPr="00420C1B" w:rsidRDefault="008727A1" w:rsidP="00E737B4">
            <w:pPr>
              <w:spacing w:after="0" w:line="240" w:lineRule="auto"/>
              <w:rPr>
                <w:rFonts w:ascii="Times New Roman" w:hAnsi="Times New Roman"/>
                <w:sz w:val="20"/>
              </w:rPr>
            </w:pPr>
          </w:p>
        </w:tc>
        <w:tc>
          <w:tcPr>
            <w:tcW w:w="6237" w:type="dxa"/>
            <w:vMerge/>
          </w:tcPr>
          <w:p w14:paraId="3EB4E869"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3D44D571" w14:textId="77777777" w:rsidR="008727A1" w:rsidRPr="00420C1B" w:rsidRDefault="008727A1" w:rsidP="00422EE3">
            <w:pPr>
              <w:spacing w:after="0" w:line="240" w:lineRule="auto"/>
              <w:jc w:val="both"/>
              <w:rPr>
                <w:rFonts w:ascii="Times New Roman" w:hAnsi="Times New Roman"/>
                <w:sz w:val="20"/>
                <w:lang w:val="nl-NL"/>
              </w:rPr>
            </w:pPr>
          </w:p>
        </w:tc>
        <w:tc>
          <w:tcPr>
            <w:tcW w:w="2268" w:type="dxa"/>
            <w:vMerge/>
          </w:tcPr>
          <w:p w14:paraId="14BD2CF7" w14:textId="77777777" w:rsidR="008727A1" w:rsidRPr="00420C1B" w:rsidRDefault="008727A1" w:rsidP="00422EE3">
            <w:pPr>
              <w:spacing w:after="0" w:line="240" w:lineRule="auto"/>
              <w:jc w:val="both"/>
              <w:rPr>
                <w:rFonts w:ascii="Times New Roman" w:hAnsi="Times New Roman"/>
                <w:sz w:val="20"/>
                <w:lang w:val="nl-NL"/>
              </w:rPr>
            </w:pPr>
          </w:p>
        </w:tc>
        <w:tc>
          <w:tcPr>
            <w:tcW w:w="1677" w:type="dxa"/>
            <w:vMerge/>
          </w:tcPr>
          <w:p w14:paraId="3872BC33" w14:textId="77777777" w:rsidR="008727A1" w:rsidRPr="00420C1B" w:rsidRDefault="008727A1" w:rsidP="00422EE3">
            <w:pPr>
              <w:spacing w:after="0" w:line="240" w:lineRule="auto"/>
              <w:jc w:val="both"/>
              <w:rPr>
                <w:rFonts w:ascii="Times New Roman" w:hAnsi="Times New Roman"/>
                <w:sz w:val="20"/>
                <w:lang w:val="nl-NL"/>
              </w:rPr>
            </w:pPr>
          </w:p>
        </w:tc>
      </w:tr>
      <w:tr w:rsidR="00D75D2E" w:rsidRPr="00420C1B" w14:paraId="0AE07242" w14:textId="77777777" w:rsidTr="00E737B4">
        <w:trPr>
          <w:cantSplit/>
          <w:trHeight w:val="525"/>
          <w:jc w:val="center"/>
        </w:trPr>
        <w:tc>
          <w:tcPr>
            <w:tcW w:w="1577" w:type="dxa"/>
            <w:vMerge w:val="restart"/>
            <w:vAlign w:val="center"/>
          </w:tcPr>
          <w:p w14:paraId="44BE055E" w14:textId="77777777" w:rsidR="008727A1" w:rsidRPr="00E737B4" w:rsidRDefault="008727A1" w:rsidP="00E737B4">
            <w:pPr>
              <w:spacing w:after="0" w:line="240" w:lineRule="auto"/>
              <w:rPr>
                <w:rFonts w:ascii="Times New Roman" w:eastAsia="Times New Roman" w:hAnsi="Times New Roman"/>
                <w:sz w:val="20"/>
                <w:lang w:val="en-US" w:eastAsia="fr-FR"/>
              </w:rPr>
            </w:pPr>
            <w:r w:rsidRPr="00420C1B">
              <w:rPr>
                <w:rFonts w:ascii="Times New Roman" w:hAnsi="Times New Roman"/>
                <w:sz w:val="20"/>
              </w:rPr>
              <w:t>Végétation</w:t>
            </w:r>
            <w:r w:rsidRPr="00420C1B">
              <w:rPr>
                <w:rFonts w:ascii="Times New Roman" w:hAnsi="Times New Roman"/>
                <w:sz w:val="20"/>
                <w:lang w:val="en-US"/>
              </w:rPr>
              <w:t>/</w:t>
            </w:r>
          </w:p>
          <w:p w14:paraId="48E0BBF8" w14:textId="77777777" w:rsidR="008727A1" w:rsidRPr="00E737B4" w:rsidRDefault="008727A1" w:rsidP="00E737B4">
            <w:pPr>
              <w:spacing w:after="0" w:line="240" w:lineRule="auto"/>
              <w:rPr>
                <w:rFonts w:ascii="Times New Roman" w:eastAsia="Times New Roman" w:hAnsi="Times New Roman"/>
                <w:sz w:val="20"/>
                <w:lang w:val="en-US" w:eastAsia="fr-FR"/>
              </w:rPr>
            </w:pPr>
            <w:r w:rsidRPr="00420C1B">
              <w:rPr>
                <w:rFonts w:ascii="Times New Roman" w:hAnsi="Times New Roman"/>
                <w:sz w:val="20"/>
              </w:rPr>
              <w:t>Faune</w:t>
            </w:r>
          </w:p>
        </w:tc>
        <w:tc>
          <w:tcPr>
            <w:tcW w:w="6237" w:type="dxa"/>
            <w:vMerge w:val="restart"/>
          </w:tcPr>
          <w:p w14:paraId="7097E43F" w14:textId="77777777"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 xml:space="preserve">Nombre de pieds </w:t>
            </w:r>
            <w:r w:rsidR="00F27714" w:rsidRPr="00420C1B">
              <w:rPr>
                <w:rFonts w:ascii="Times New Roman" w:hAnsi="Times New Roman"/>
                <w:sz w:val="20"/>
              </w:rPr>
              <w:t>abattus</w:t>
            </w:r>
            <w:r w:rsidRPr="00420C1B">
              <w:rPr>
                <w:rFonts w:ascii="Times New Roman" w:hAnsi="Times New Roman"/>
                <w:sz w:val="20"/>
              </w:rPr>
              <w:t xml:space="preserve"> lors des travaux</w:t>
            </w:r>
          </w:p>
          <w:p w14:paraId="0E1C25D9"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Superficie reboisée après les travaux et taux de réussite</w:t>
            </w:r>
          </w:p>
          <w:p w14:paraId="68E4AB1B" w14:textId="77777777" w:rsidR="008727A1" w:rsidRPr="00E737B4" w:rsidRDefault="008727A1" w:rsidP="00422EE3">
            <w:pPr>
              <w:spacing w:after="0" w:line="240" w:lineRule="auto"/>
              <w:ind w:left="360"/>
              <w:jc w:val="both"/>
              <w:rPr>
                <w:rFonts w:ascii="Times New Roman" w:eastAsia="Times New Roman" w:hAnsi="Times New Roman"/>
                <w:sz w:val="20"/>
                <w:lang w:eastAsia="fr-FR"/>
              </w:rPr>
            </w:pPr>
          </w:p>
        </w:tc>
        <w:tc>
          <w:tcPr>
            <w:tcW w:w="3131" w:type="dxa"/>
            <w:vMerge w:val="restart"/>
          </w:tcPr>
          <w:p w14:paraId="27850A45"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p w14:paraId="35E7BC47"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inopiné</w:t>
            </w:r>
          </w:p>
        </w:tc>
        <w:tc>
          <w:tcPr>
            <w:tcW w:w="2268" w:type="dxa"/>
            <w:vMerge w:val="restart"/>
          </w:tcPr>
          <w:p w14:paraId="162EC703"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 et CPE</w:t>
            </w:r>
          </w:p>
          <w:p w14:paraId="1B95820D"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tc>
        <w:tc>
          <w:tcPr>
            <w:tcW w:w="1677" w:type="dxa"/>
            <w:vMerge w:val="restart"/>
          </w:tcPr>
          <w:p w14:paraId="51AAFCE5"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27B4C4AB" w14:textId="77777777" w:rsidR="008727A1" w:rsidRPr="00E737B4" w:rsidRDefault="008727A1" w:rsidP="00422EE3">
            <w:pPr>
              <w:spacing w:after="0" w:line="240" w:lineRule="auto"/>
              <w:jc w:val="both"/>
              <w:rPr>
                <w:rFonts w:ascii="Times New Roman" w:eastAsia="Times New Roman" w:hAnsi="Times New Roman"/>
                <w:bCs/>
                <w:sz w:val="20"/>
                <w:lang w:eastAsia="fr-FR"/>
              </w:rPr>
            </w:pPr>
            <w:r w:rsidRPr="00420C1B">
              <w:rPr>
                <w:rFonts w:ascii="Times New Roman" w:hAnsi="Times New Roman"/>
                <w:sz w:val="20"/>
              </w:rPr>
              <w:t>CPE/ACE</w:t>
            </w:r>
          </w:p>
          <w:p w14:paraId="5CE9A80A"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bCs/>
                <w:sz w:val="20"/>
              </w:rPr>
              <w:t xml:space="preserve"> </w:t>
            </w:r>
            <w:r w:rsidRPr="00420C1B">
              <w:rPr>
                <w:rFonts w:ascii="Times New Roman" w:hAnsi="Times New Roman"/>
                <w:sz w:val="20"/>
              </w:rPr>
              <w:t>(trimestriel)</w:t>
            </w:r>
          </w:p>
        </w:tc>
      </w:tr>
      <w:tr w:rsidR="00D75D2E" w:rsidRPr="00420C1B" w14:paraId="4CF3FFA9" w14:textId="77777777" w:rsidTr="00E737B4">
        <w:trPr>
          <w:cantSplit/>
          <w:trHeight w:val="253"/>
          <w:jc w:val="center"/>
        </w:trPr>
        <w:tc>
          <w:tcPr>
            <w:tcW w:w="1577" w:type="dxa"/>
            <w:vMerge/>
            <w:vAlign w:val="center"/>
          </w:tcPr>
          <w:p w14:paraId="5F8C13A9" w14:textId="77777777" w:rsidR="008727A1" w:rsidRPr="00420C1B" w:rsidRDefault="008727A1" w:rsidP="00E737B4">
            <w:pPr>
              <w:spacing w:after="0" w:line="240" w:lineRule="auto"/>
              <w:rPr>
                <w:rFonts w:ascii="Times New Roman" w:hAnsi="Times New Roman"/>
                <w:sz w:val="20"/>
              </w:rPr>
            </w:pPr>
          </w:p>
        </w:tc>
        <w:tc>
          <w:tcPr>
            <w:tcW w:w="6237" w:type="dxa"/>
            <w:vMerge/>
          </w:tcPr>
          <w:p w14:paraId="1BDB1164"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3E36D862" w14:textId="77777777" w:rsidR="008727A1" w:rsidRPr="00420C1B" w:rsidRDefault="008727A1" w:rsidP="00422EE3">
            <w:pPr>
              <w:spacing w:after="0" w:line="240" w:lineRule="auto"/>
              <w:jc w:val="both"/>
              <w:rPr>
                <w:rFonts w:ascii="Times New Roman" w:hAnsi="Times New Roman"/>
                <w:sz w:val="20"/>
              </w:rPr>
            </w:pPr>
          </w:p>
        </w:tc>
        <w:tc>
          <w:tcPr>
            <w:tcW w:w="2268" w:type="dxa"/>
            <w:vMerge/>
          </w:tcPr>
          <w:p w14:paraId="59180423" w14:textId="77777777" w:rsidR="008727A1" w:rsidRPr="00420C1B" w:rsidRDefault="008727A1" w:rsidP="00422EE3">
            <w:pPr>
              <w:spacing w:after="0" w:line="240" w:lineRule="auto"/>
              <w:jc w:val="both"/>
              <w:rPr>
                <w:rFonts w:ascii="Times New Roman" w:hAnsi="Times New Roman"/>
                <w:sz w:val="20"/>
              </w:rPr>
            </w:pPr>
          </w:p>
        </w:tc>
        <w:tc>
          <w:tcPr>
            <w:tcW w:w="1677" w:type="dxa"/>
            <w:vMerge/>
          </w:tcPr>
          <w:p w14:paraId="09639912" w14:textId="77777777" w:rsidR="008727A1" w:rsidRPr="00420C1B" w:rsidRDefault="008727A1" w:rsidP="00422EE3">
            <w:pPr>
              <w:spacing w:after="0" w:line="240" w:lineRule="auto"/>
              <w:jc w:val="both"/>
              <w:rPr>
                <w:rFonts w:ascii="Times New Roman" w:hAnsi="Times New Roman"/>
                <w:sz w:val="20"/>
              </w:rPr>
            </w:pPr>
          </w:p>
        </w:tc>
      </w:tr>
      <w:tr w:rsidR="00D75D2E" w:rsidRPr="00420C1B" w14:paraId="63F752F3" w14:textId="77777777" w:rsidTr="00E737B4">
        <w:trPr>
          <w:cantSplit/>
          <w:trHeight w:val="509"/>
          <w:jc w:val="center"/>
        </w:trPr>
        <w:tc>
          <w:tcPr>
            <w:tcW w:w="1577" w:type="dxa"/>
            <w:vMerge w:val="restart"/>
            <w:vAlign w:val="center"/>
          </w:tcPr>
          <w:p w14:paraId="47A3D21B" w14:textId="77777777" w:rsidR="008727A1" w:rsidRPr="00E737B4" w:rsidRDefault="008727A1" w:rsidP="00E737B4">
            <w:pPr>
              <w:spacing w:after="0" w:line="240" w:lineRule="auto"/>
              <w:rPr>
                <w:rFonts w:ascii="Times New Roman" w:eastAsia="Times New Roman" w:hAnsi="Times New Roman"/>
                <w:sz w:val="20"/>
                <w:lang w:val="en-US" w:eastAsia="fr-FR"/>
              </w:rPr>
            </w:pPr>
            <w:r w:rsidRPr="00420C1B">
              <w:rPr>
                <w:rFonts w:ascii="Times New Roman" w:hAnsi="Times New Roman"/>
                <w:sz w:val="20"/>
              </w:rPr>
              <w:t>Environnement  humain</w:t>
            </w:r>
          </w:p>
          <w:p w14:paraId="72C03C3C" w14:textId="77777777" w:rsidR="008727A1" w:rsidRPr="00420C1B" w:rsidRDefault="008727A1" w:rsidP="00E737B4">
            <w:pPr>
              <w:spacing w:after="0" w:line="240" w:lineRule="auto"/>
              <w:rPr>
                <w:rFonts w:ascii="Times New Roman" w:hAnsi="Times New Roman"/>
                <w:sz w:val="20"/>
                <w:lang w:val="en-US"/>
              </w:rPr>
            </w:pPr>
          </w:p>
          <w:p w14:paraId="53D3AF40" w14:textId="77777777" w:rsidR="008727A1" w:rsidRPr="00420C1B" w:rsidRDefault="008727A1" w:rsidP="00E737B4">
            <w:pPr>
              <w:spacing w:after="0" w:line="240" w:lineRule="auto"/>
              <w:rPr>
                <w:rFonts w:ascii="Times New Roman" w:hAnsi="Times New Roman"/>
                <w:sz w:val="20"/>
                <w:lang w:val="en-US"/>
              </w:rPr>
            </w:pPr>
          </w:p>
        </w:tc>
        <w:tc>
          <w:tcPr>
            <w:tcW w:w="6237" w:type="dxa"/>
            <w:vMerge w:val="restart"/>
          </w:tcPr>
          <w:p w14:paraId="7AF701FD" w14:textId="77777777" w:rsidR="008727A1" w:rsidRPr="00E737B4" w:rsidRDefault="008727A1" w:rsidP="00422EE3">
            <w:pPr>
              <w:tabs>
                <w:tab w:val="num" w:pos="360"/>
              </w:tabs>
              <w:spacing w:after="0" w:line="240" w:lineRule="auto"/>
              <w:ind w:left="360" w:hanging="360"/>
              <w:jc w:val="both"/>
              <w:rPr>
                <w:rFonts w:ascii="Times New Roman" w:eastAsia="Times New Roman" w:hAnsi="Times New Roman"/>
                <w:sz w:val="20"/>
                <w:u w:val="single"/>
                <w:lang w:eastAsia="fr-FR"/>
              </w:rPr>
            </w:pPr>
            <w:r w:rsidRPr="00420C1B">
              <w:rPr>
                <w:rFonts w:ascii="Times New Roman" w:hAnsi="Times New Roman"/>
                <w:sz w:val="20"/>
                <w:u w:val="single"/>
              </w:rPr>
              <w:t>Activités socioéconomiques :</w:t>
            </w:r>
          </w:p>
          <w:p w14:paraId="71143BA5" w14:textId="21A6917C"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100 % des travailleurs ont suivi des séances d’IEC menées</w:t>
            </w:r>
          </w:p>
          <w:p w14:paraId="0E28179E" w14:textId="0131B9C1" w:rsidR="00FF5C09" w:rsidRPr="00420C1B" w:rsidRDefault="00FF5C09"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100% des travailleurs sensibilisés en matière d’EAH/HS, CdC, et le MGP-EAS/HS</w:t>
            </w:r>
          </w:p>
          <w:p w14:paraId="6BAFCCA5" w14:textId="63F134E9" w:rsidR="00FF5C09" w:rsidRPr="00420C1B" w:rsidRDefault="00FF5C09"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100% communes sensibilisés et consultées</w:t>
            </w:r>
          </w:p>
          <w:p w14:paraId="30412925"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 personnes affectées sont compensées</w:t>
            </w:r>
          </w:p>
          <w:p w14:paraId="4ED44230"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 xml:space="preserve">100 % d’emplois créés localement </w:t>
            </w:r>
          </w:p>
          <w:p w14:paraId="3FFC0BCC"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 conflits sociaux reçus liés au projet sont résolus</w:t>
            </w:r>
          </w:p>
          <w:p w14:paraId="435D5B37"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 PA employés dans les chantiers sont identifié</w:t>
            </w:r>
          </w:p>
          <w:p w14:paraId="6F81191B" w14:textId="51326FDD"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 xml:space="preserve">100 % </w:t>
            </w:r>
            <w:r w:rsidR="00FF5C09">
              <w:rPr>
                <w:rFonts w:ascii="Times New Roman" w:eastAsia="Times New Roman" w:hAnsi="Times New Roman"/>
                <w:sz w:val="20"/>
                <w:lang w:eastAsia="fr-FR"/>
              </w:rPr>
              <w:t>de survivantes d’EAS/HS</w:t>
            </w:r>
            <w:r w:rsidRPr="00E737B4">
              <w:rPr>
                <w:rFonts w:ascii="Times New Roman" w:eastAsia="Times New Roman" w:hAnsi="Times New Roman"/>
                <w:sz w:val="20"/>
                <w:lang w:eastAsia="fr-FR"/>
              </w:rPr>
              <w:t xml:space="preserve"> traitées et pris en charge</w:t>
            </w:r>
          </w:p>
          <w:p w14:paraId="46AD0FA1"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E737B4">
              <w:rPr>
                <w:rFonts w:ascii="Times New Roman" w:eastAsia="Times New Roman" w:hAnsi="Times New Roman"/>
                <w:sz w:val="20"/>
                <w:lang w:eastAsia="fr-FR"/>
              </w:rPr>
              <w:t>100 % des plaintes reçues sont traitées et résolues</w:t>
            </w:r>
          </w:p>
        </w:tc>
        <w:tc>
          <w:tcPr>
            <w:tcW w:w="3131" w:type="dxa"/>
            <w:vMerge w:val="restart"/>
          </w:tcPr>
          <w:p w14:paraId="783D5FD6"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tc>
        <w:tc>
          <w:tcPr>
            <w:tcW w:w="2268" w:type="dxa"/>
            <w:vMerge w:val="restart"/>
          </w:tcPr>
          <w:p w14:paraId="65929877"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 xml:space="preserve">MdC/ </w:t>
            </w:r>
          </w:p>
          <w:p w14:paraId="43EFF3A8"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p w14:paraId="6763597B" w14:textId="77777777" w:rsidR="008727A1" w:rsidRPr="00420C1B" w:rsidRDefault="008727A1" w:rsidP="00422EE3">
            <w:pPr>
              <w:spacing w:after="0" w:line="240" w:lineRule="auto"/>
              <w:jc w:val="both"/>
              <w:rPr>
                <w:rFonts w:ascii="Times New Roman" w:hAnsi="Times New Roman"/>
                <w:sz w:val="20"/>
              </w:rPr>
            </w:pPr>
          </w:p>
        </w:tc>
        <w:tc>
          <w:tcPr>
            <w:tcW w:w="1677" w:type="dxa"/>
            <w:vMerge w:val="restart"/>
          </w:tcPr>
          <w:p w14:paraId="696CC1A3" w14:textId="77777777" w:rsidR="008727A1" w:rsidRPr="00420C1B" w:rsidRDefault="008727A1" w:rsidP="00422EE3">
            <w:pPr>
              <w:spacing w:after="0" w:line="240" w:lineRule="auto"/>
              <w:jc w:val="both"/>
              <w:rPr>
                <w:rFonts w:ascii="Times New Roman" w:hAnsi="Times New Roman"/>
                <w:sz w:val="20"/>
              </w:rPr>
            </w:pPr>
          </w:p>
          <w:p w14:paraId="0C4D7105"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11F58863"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 xml:space="preserve">CPE/ACE </w:t>
            </w:r>
          </w:p>
          <w:p w14:paraId="137E00F4"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(trimestriel)</w:t>
            </w:r>
          </w:p>
        </w:tc>
      </w:tr>
      <w:tr w:rsidR="00D75D2E" w:rsidRPr="00420C1B" w14:paraId="53F3ADC2" w14:textId="77777777" w:rsidTr="00E737B4">
        <w:trPr>
          <w:cantSplit/>
          <w:trHeight w:val="1745"/>
          <w:jc w:val="center"/>
        </w:trPr>
        <w:tc>
          <w:tcPr>
            <w:tcW w:w="1577" w:type="dxa"/>
            <w:vMerge/>
            <w:vAlign w:val="center"/>
          </w:tcPr>
          <w:p w14:paraId="22362AF7" w14:textId="77777777" w:rsidR="008727A1" w:rsidRPr="00420C1B" w:rsidRDefault="008727A1" w:rsidP="00E737B4">
            <w:pPr>
              <w:spacing w:after="0" w:line="240" w:lineRule="auto"/>
              <w:rPr>
                <w:rFonts w:ascii="Times New Roman" w:hAnsi="Times New Roman"/>
                <w:sz w:val="20"/>
              </w:rPr>
            </w:pPr>
          </w:p>
        </w:tc>
        <w:tc>
          <w:tcPr>
            <w:tcW w:w="6237" w:type="dxa"/>
            <w:vMerge/>
          </w:tcPr>
          <w:p w14:paraId="131B14C8"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10F90856" w14:textId="77777777" w:rsidR="008727A1" w:rsidRPr="00420C1B" w:rsidRDefault="008727A1" w:rsidP="00422EE3">
            <w:pPr>
              <w:spacing w:after="0" w:line="240" w:lineRule="auto"/>
              <w:jc w:val="both"/>
              <w:rPr>
                <w:rFonts w:ascii="Times New Roman" w:hAnsi="Times New Roman"/>
                <w:sz w:val="20"/>
                <w:lang w:val="nl-NL"/>
              </w:rPr>
            </w:pPr>
          </w:p>
        </w:tc>
        <w:tc>
          <w:tcPr>
            <w:tcW w:w="2268" w:type="dxa"/>
            <w:vMerge/>
          </w:tcPr>
          <w:p w14:paraId="3CC19040" w14:textId="77777777" w:rsidR="008727A1" w:rsidRPr="00420C1B" w:rsidRDefault="008727A1" w:rsidP="00422EE3">
            <w:pPr>
              <w:spacing w:after="0" w:line="240" w:lineRule="auto"/>
              <w:jc w:val="both"/>
              <w:rPr>
                <w:rFonts w:ascii="Times New Roman" w:hAnsi="Times New Roman"/>
                <w:sz w:val="20"/>
                <w:lang w:val="nl-NL"/>
              </w:rPr>
            </w:pPr>
          </w:p>
        </w:tc>
        <w:tc>
          <w:tcPr>
            <w:tcW w:w="1677" w:type="dxa"/>
            <w:vMerge/>
          </w:tcPr>
          <w:p w14:paraId="68C7CC40" w14:textId="77777777" w:rsidR="008727A1" w:rsidRPr="00420C1B" w:rsidRDefault="008727A1" w:rsidP="00422EE3">
            <w:pPr>
              <w:spacing w:after="0" w:line="240" w:lineRule="auto"/>
              <w:jc w:val="both"/>
              <w:rPr>
                <w:rFonts w:ascii="Times New Roman" w:hAnsi="Times New Roman"/>
                <w:sz w:val="20"/>
                <w:lang w:val="nl-NL"/>
              </w:rPr>
            </w:pPr>
          </w:p>
        </w:tc>
      </w:tr>
      <w:tr w:rsidR="00D75D2E" w:rsidRPr="00420C1B" w14:paraId="60E8296E" w14:textId="77777777" w:rsidTr="00E737B4">
        <w:trPr>
          <w:cantSplit/>
          <w:trHeight w:val="481"/>
          <w:jc w:val="center"/>
        </w:trPr>
        <w:tc>
          <w:tcPr>
            <w:tcW w:w="1577" w:type="dxa"/>
            <w:vMerge w:val="restart"/>
            <w:vAlign w:val="center"/>
          </w:tcPr>
          <w:p w14:paraId="465DC4A4" w14:textId="77777777" w:rsidR="008727A1" w:rsidRPr="00E737B4" w:rsidRDefault="008727A1" w:rsidP="00E737B4">
            <w:pPr>
              <w:spacing w:after="0" w:line="240" w:lineRule="auto"/>
              <w:rPr>
                <w:rFonts w:ascii="Times New Roman" w:eastAsia="Times New Roman" w:hAnsi="Times New Roman"/>
                <w:sz w:val="20"/>
                <w:lang w:eastAsia="fr-FR"/>
              </w:rPr>
            </w:pPr>
            <w:r w:rsidRPr="00420C1B">
              <w:rPr>
                <w:rFonts w:ascii="Times New Roman" w:hAnsi="Times New Roman"/>
                <w:sz w:val="20"/>
              </w:rPr>
              <w:t xml:space="preserve">Mesures sanitaires, d’hygiène et de sécurité </w:t>
            </w:r>
          </w:p>
          <w:p w14:paraId="164DA744" w14:textId="77777777" w:rsidR="008727A1" w:rsidRPr="00420C1B" w:rsidRDefault="008727A1" w:rsidP="00E737B4">
            <w:pPr>
              <w:spacing w:after="0" w:line="240" w:lineRule="auto"/>
              <w:rPr>
                <w:rFonts w:ascii="Times New Roman" w:hAnsi="Times New Roman"/>
                <w:sz w:val="20"/>
              </w:rPr>
            </w:pPr>
          </w:p>
        </w:tc>
        <w:tc>
          <w:tcPr>
            <w:tcW w:w="6237" w:type="dxa"/>
            <w:vMerge w:val="restart"/>
          </w:tcPr>
          <w:p w14:paraId="3C168D75" w14:textId="77777777" w:rsidR="008727A1" w:rsidRPr="00E737B4" w:rsidRDefault="008727A1" w:rsidP="00422EE3">
            <w:pPr>
              <w:tabs>
                <w:tab w:val="num" w:pos="360"/>
              </w:tabs>
              <w:spacing w:after="0" w:line="240" w:lineRule="auto"/>
              <w:ind w:left="360" w:hanging="360"/>
              <w:jc w:val="both"/>
              <w:rPr>
                <w:rFonts w:ascii="Times New Roman" w:eastAsia="Times New Roman" w:hAnsi="Times New Roman"/>
                <w:sz w:val="20"/>
                <w:u w:val="single"/>
                <w:lang w:eastAsia="fr-FR"/>
              </w:rPr>
            </w:pPr>
            <w:r w:rsidRPr="00420C1B">
              <w:rPr>
                <w:rFonts w:ascii="Times New Roman" w:hAnsi="Times New Roman"/>
                <w:sz w:val="20"/>
                <w:u w:val="single"/>
              </w:rPr>
              <w:t>Hygiène et santé/Pollution et nuisances :</w:t>
            </w:r>
          </w:p>
          <w:p w14:paraId="483D8C5B" w14:textId="77777777"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 xml:space="preserve">100 % d’entreprises respectant les mesures d’hygiène </w:t>
            </w:r>
          </w:p>
          <w:p w14:paraId="7C3E6A81"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Présence de déchets sur le chantier</w:t>
            </w:r>
          </w:p>
          <w:p w14:paraId="0188C2D7"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Existence d’un système de collecte et d’élimination des déchets au niveau du chantier</w:t>
            </w:r>
          </w:p>
          <w:p w14:paraId="76A75BD6"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des travailleurs sont sensibilisés, dépistés sur la lutte contre les IST/VIH-SIDA</w:t>
            </w:r>
          </w:p>
          <w:p w14:paraId="0D7B279E"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 des travailleurs accidentés sont pris en charge par le Projet</w:t>
            </w:r>
          </w:p>
          <w:p w14:paraId="48AB959D"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 xml:space="preserve">100 % des cas de la COVID-19 sont identifiés et pris en charge par le comité provincial de riposte </w:t>
            </w:r>
          </w:p>
          <w:p w14:paraId="7997913B"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 xml:space="preserve">Taux de prévalence maladies liées aux travaux (IRA) </w:t>
            </w:r>
          </w:p>
        </w:tc>
        <w:tc>
          <w:tcPr>
            <w:tcW w:w="3131" w:type="dxa"/>
            <w:vMerge w:val="restart"/>
          </w:tcPr>
          <w:p w14:paraId="46AB8589"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-Contrôle visuel lors des visites de terrain, enquêtes et rapports de mission</w:t>
            </w:r>
          </w:p>
          <w:p w14:paraId="3D2EB169" w14:textId="77777777" w:rsidR="008727A1" w:rsidRPr="00420C1B" w:rsidRDefault="008727A1" w:rsidP="00422EE3">
            <w:pPr>
              <w:spacing w:after="0" w:line="240" w:lineRule="auto"/>
              <w:jc w:val="both"/>
              <w:rPr>
                <w:rFonts w:ascii="Times New Roman" w:hAnsi="Times New Roman"/>
                <w:sz w:val="20"/>
              </w:rPr>
            </w:pPr>
          </w:p>
          <w:p w14:paraId="4358DE6A"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-Contrôle dans les Zones sanitaires (IRA et VIH/SIDA)</w:t>
            </w:r>
          </w:p>
          <w:p w14:paraId="4359571C" w14:textId="77777777" w:rsidR="008727A1" w:rsidRPr="00420C1B" w:rsidRDefault="008727A1" w:rsidP="00422EE3">
            <w:pPr>
              <w:spacing w:after="0" w:line="240" w:lineRule="auto"/>
              <w:jc w:val="both"/>
              <w:rPr>
                <w:rFonts w:ascii="Times New Roman" w:hAnsi="Times New Roman"/>
                <w:sz w:val="20"/>
              </w:rPr>
            </w:pPr>
          </w:p>
        </w:tc>
        <w:tc>
          <w:tcPr>
            <w:tcW w:w="2268" w:type="dxa"/>
            <w:vMerge w:val="restart"/>
          </w:tcPr>
          <w:p w14:paraId="556F9567"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w:t>
            </w:r>
          </w:p>
          <w:p w14:paraId="34C36E27"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(Durant les travaux)</w:t>
            </w:r>
          </w:p>
        </w:tc>
        <w:tc>
          <w:tcPr>
            <w:tcW w:w="1677" w:type="dxa"/>
            <w:vMerge w:val="restart"/>
          </w:tcPr>
          <w:p w14:paraId="4865B0EC"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00413703"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 xml:space="preserve">CPE/ACE Zones et Aires sanitaires </w:t>
            </w:r>
          </w:p>
        </w:tc>
      </w:tr>
      <w:tr w:rsidR="00D75D2E" w:rsidRPr="00420C1B" w14:paraId="2E3D7679" w14:textId="77777777" w:rsidTr="00E737B4">
        <w:trPr>
          <w:cantSplit/>
          <w:trHeight w:val="975"/>
          <w:jc w:val="center"/>
        </w:trPr>
        <w:tc>
          <w:tcPr>
            <w:tcW w:w="1577" w:type="dxa"/>
            <w:vMerge/>
          </w:tcPr>
          <w:p w14:paraId="458A5BC5" w14:textId="77777777" w:rsidR="008727A1" w:rsidRPr="00420C1B" w:rsidRDefault="008727A1" w:rsidP="00422EE3">
            <w:pPr>
              <w:spacing w:after="0" w:line="240" w:lineRule="auto"/>
              <w:jc w:val="both"/>
              <w:rPr>
                <w:rFonts w:ascii="Times New Roman" w:hAnsi="Times New Roman"/>
                <w:sz w:val="20"/>
              </w:rPr>
            </w:pPr>
          </w:p>
        </w:tc>
        <w:tc>
          <w:tcPr>
            <w:tcW w:w="6237" w:type="dxa"/>
            <w:vMerge/>
          </w:tcPr>
          <w:p w14:paraId="67EF71A0" w14:textId="77777777" w:rsidR="008727A1" w:rsidRPr="00420C1B" w:rsidRDefault="008727A1" w:rsidP="008C79F0">
            <w:pPr>
              <w:numPr>
                <w:ilvl w:val="0"/>
                <w:numId w:val="187"/>
              </w:numPr>
              <w:spacing w:after="0" w:line="240" w:lineRule="auto"/>
              <w:jc w:val="both"/>
              <w:rPr>
                <w:rFonts w:ascii="Times New Roman" w:hAnsi="Times New Roman"/>
                <w:sz w:val="20"/>
              </w:rPr>
            </w:pPr>
          </w:p>
        </w:tc>
        <w:tc>
          <w:tcPr>
            <w:tcW w:w="3131" w:type="dxa"/>
            <w:vMerge/>
          </w:tcPr>
          <w:p w14:paraId="67E6F7E4" w14:textId="77777777" w:rsidR="008727A1" w:rsidRPr="00420C1B" w:rsidRDefault="008727A1" w:rsidP="00422EE3">
            <w:pPr>
              <w:spacing w:after="0" w:line="240" w:lineRule="auto"/>
              <w:jc w:val="both"/>
              <w:rPr>
                <w:rFonts w:ascii="Times New Roman" w:hAnsi="Times New Roman"/>
                <w:sz w:val="20"/>
              </w:rPr>
            </w:pPr>
          </w:p>
        </w:tc>
        <w:tc>
          <w:tcPr>
            <w:tcW w:w="2268" w:type="dxa"/>
            <w:vMerge/>
          </w:tcPr>
          <w:p w14:paraId="22C0CDD5" w14:textId="77777777" w:rsidR="008727A1" w:rsidRPr="00420C1B" w:rsidRDefault="008727A1" w:rsidP="00422EE3">
            <w:pPr>
              <w:spacing w:after="0" w:line="240" w:lineRule="auto"/>
              <w:jc w:val="both"/>
              <w:rPr>
                <w:rFonts w:ascii="Times New Roman" w:hAnsi="Times New Roman"/>
                <w:sz w:val="20"/>
              </w:rPr>
            </w:pPr>
          </w:p>
        </w:tc>
        <w:tc>
          <w:tcPr>
            <w:tcW w:w="1677" w:type="dxa"/>
            <w:vMerge/>
          </w:tcPr>
          <w:p w14:paraId="59A51C59" w14:textId="77777777" w:rsidR="008727A1" w:rsidRPr="00420C1B" w:rsidRDefault="008727A1" w:rsidP="00422EE3">
            <w:pPr>
              <w:spacing w:after="0" w:line="240" w:lineRule="auto"/>
              <w:jc w:val="both"/>
              <w:rPr>
                <w:rFonts w:ascii="Times New Roman" w:hAnsi="Times New Roman"/>
                <w:sz w:val="20"/>
              </w:rPr>
            </w:pPr>
          </w:p>
        </w:tc>
      </w:tr>
      <w:tr w:rsidR="008727A1" w:rsidRPr="00420C1B" w14:paraId="0B4E3E76" w14:textId="77777777" w:rsidTr="00E737B4">
        <w:trPr>
          <w:cantSplit/>
          <w:trHeight w:val="2135"/>
          <w:jc w:val="center"/>
        </w:trPr>
        <w:tc>
          <w:tcPr>
            <w:tcW w:w="1577" w:type="dxa"/>
            <w:vMerge/>
            <w:tcBorders>
              <w:bottom w:val="single" w:sz="4" w:space="0" w:color="auto"/>
            </w:tcBorders>
          </w:tcPr>
          <w:p w14:paraId="06F6C844" w14:textId="77777777" w:rsidR="008727A1" w:rsidRPr="00420C1B" w:rsidRDefault="008727A1" w:rsidP="00422EE3">
            <w:pPr>
              <w:spacing w:after="0" w:line="240" w:lineRule="auto"/>
              <w:jc w:val="both"/>
              <w:rPr>
                <w:rFonts w:ascii="Times New Roman" w:hAnsi="Times New Roman"/>
                <w:sz w:val="20"/>
              </w:rPr>
            </w:pPr>
          </w:p>
        </w:tc>
        <w:tc>
          <w:tcPr>
            <w:tcW w:w="6237" w:type="dxa"/>
            <w:tcBorders>
              <w:bottom w:val="single" w:sz="4" w:space="0" w:color="auto"/>
            </w:tcBorders>
          </w:tcPr>
          <w:p w14:paraId="446D970B" w14:textId="77777777" w:rsidR="008727A1" w:rsidRPr="00E737B4" w:rsidRDefault="008727A1" w:rsidP="00422EE3">
            <w:pPr>
              <w:spacing w:after="0" w:line="240" w:lineRule="auto"/>
              <w:jc w:val="both"/>
              <w:rPr>
                <w:rFonts w:ascii="Times New Roman" w:eastAsia="Times New Roman" w:hAnsi="Times New Roman"/>
                <w:bCs/>
                <w:sz w:val="20"/>
                <w:u w:val="single"/>
                <w:lang w:eastAsia="fr-FR"/>
              </w:rPr>
            </w:pPr>
            <w:r w:rsidRPr="00420C1B">
              <w:rPr>
                <w:rFonts w:ascii="Times New Roman" w:hAnsi="Times New Roman"/>
                <w:bCs/>
                <w:sz w:val="20"/>
                <w:u w:val="single"/>
              </w:rPr>
              <w:t>Sécurité dans les chantiers :</w:t>
            </w:r>
          </w:p>
          <w:p w14:paraId="3B485FA2" w14:textId="77777777" w:rsidR="008727A1" w:rsidRPr="00420C1B" w:rsidRDefault="008727A1" w:rsidP="008C79F0">
            <w:pPr>
              <w:numPr>
                <w:ilvl w:val="0"/>
                <w:numId w:val="187"/>
              </w:numPr>
              <w:spacing w:after="0" w:line="240" w:lineRule="auto"/>
              <w:jc w:val="both"/>
              <w:rPr>
                <w:rFonts w:ascii="Times New Roman" w:hAnsi="Times New Roman"/>
                <w:sz w:val="20"/>
              </w:rPr>
            </w:pPr>
            <w:r w:rsidRPr="00420C1B">
              <w:rPr>
                <w:rFonts w:ascii="Times New Roman" w:hAnsi="Times New Roman"/>
                <w:sz w:val="20"/>
              </w:rPr>
              <w:t>Disponibilité de consignes de sécurité en cas d’accident</w:t>
            </w:r>
          </w:p>
          <w:p w14:paraId="62898D23"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100% d’ouvriers respectant le port d’EPI</w:t>
            </w:r>
          </w:p>
          <w:p w14:paraId="51F855E6"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Existence d’une signalisation appropriée</w:t>
            </w:r>
          </w:p>
          <w:p w14:paraId="3F043EC2"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Niveau de conformité technique des véhicules de transport</w:t>
            </w:r>
          </w:p>
          <w:p w14:paraId="20E86907"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Existence d’une convention médicale avec une formation sanitaire de référence</w:t>
            </w:r>
          </w:p>
          <w:p w14:paraId="0F11EF23"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Niveau de respect des horaires de travail</w:t>
            </w:r>
          </w:p>
          <w:p w14:paraId="3E0FD108"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Disponibilité de kits de premiers soins</w:t>
            </w:r>
          </w:p>
          <w:p w14:paraId="7FD2E609"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Respect de la limitation de vitesse</w:t>
            </w:r>
          </w:p>
          <w:p w14:paraId="58CFE812" w14:textId="77777777" w:rsidR="008727A1" w:rsidRPr="00E737B4" w:rsidRDefault="008727A1" w:rsidP="008C79F0">
            <w:pPr>
              <w:numPr>
                <w:ilvl w:val="0"/>
                <w:numId w:val="187"/>
              </w:numPr>
              <w:spacing w:after="0" w:line="240" w:lineRule="auto"/>
              <w:jc w:val="both"/>
              <w:rPr>
                <w:rFonts w:ascii="Times New Roman" w:eastAsia="Times New Roman" w:hAnsi="Times New Roman"/>
                <w:sz w:val="20"/>
                <w:lang w:eastAsia="fr-FR"/>
              </w:rPr>
            </w:pPr>
            <w:r w:rsidRPr="00420C1B">
              <w:rPr>
                <w:rFonts w:ascii="Times New Roman" w:hAnsi="Times New Roman"/>
                <w:sz w:val="20"/>
              </w:rPr>
              <w:t>Effectivité du programme de sensibilisation du personnel et des populations riveraines</w:t>
            </w:r>
          </w:p>
        </w:tc>
        <w:tc>
          <w:tcPr>
            <w:tcW w:w="3131" w:type="dxa"/>
          </w:tcPr>
          <w:p w14:paraId="3B06DDAB" w14:textId="77777777" w:rsidR="008727A1" w:rsidRPr="00420C1B" w:rsidRDefault="008727A1" w:rsidP="00422EE3">
            <w:pPr>
              <w:spacing w:after="0" w:line="240" w:lineRule="auto"/>
              <w:jc w:val="both"/>
              <w:rPr>
                <w:rFonts w:ascii="Times New Roman" w:hAnsi="Times New Roman"/>
                <w:sz w:val="20"/>
              </w:rPr>
            </w:pPr>
          </w:p>
          <w:p w14:paraId="1172CEE0" w14:textId="77777777" w:rsidR="008727A1" w:rsidRPr="00420C1B" w:rsidRDefault="008727A1" w:rsidP="00422EE3">
            <w:pPr>
              <w:spacing w:after="0" w:line="240" w:lineRule="auto"/>
              <w:jc w:val="both"/>
              <w:rPr>
                <w:rFonts w:ascii="Times New Roman" w:hAnsi="Times New Roman"/>
                <w:sz w:val="20"/>
              </w:rPr>
            </w:pPr>
          </w:p>
          <w:p w14:paraId="7C773479" w14:textId="77777777" w:rsidR="008727A1" w:rsidRPr="00420C1B" w:rsidRDefault="008727A1" w:rsidP="00422EE3">
            <w:pPr>
              <w:spacing w:after="0" w:line="240" w:lineRule="auto"/>
              <w:jc w:val="both"/>
              <w:rPr>
                <w:rFonts w:ascii="Times New Roman" w:hAnsi="Times New Roman"/>
                <w:sz w:val="20"/>
              </w:rPr>
            </w:pPr>
          </w:p>
          <w:p w14:paraId="042502A4"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Contrôle visuel lors des visites de terrain, enquêtes  et rapports de mission</w:t>
            </w:r>
          </w:p>
          <w:p w14:paraId="1AE30AA6" w14:textId="77777777" w:rsidR="008727A1" w:rsidRPr="00420C1B" w:rsidRDefault="008727A1" w:rsidP="00422EE3">
            <w:pPr>
              <w:spacing w:after="0" w:line="240" w:lineRule="auto"/>
              <w:jc w:val="both"/>
              <w:rPr>
                <w:rFonts w:ascii="Times New Roman" w:hAnsi="Times New Roman"/>
                <w:sz w:val="20"/>
              </w:rPr>
            </w:pPr>
          </w:p>
          <w:p w14:paraId="131C3735"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riveraines</w:t>
            </w:r>
          </w:p>
          <w:p w14:paraId="3C7EA8DF"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Consultation des communautés</w:t>
            </w:r>
          </w:p>
        </w:tc>
        <w:tc>
          <w:tcPr>
            <w:tcW w:w="2268" w:type="dxa"/>
          </w:tcPr>
          <w:p w14:paraId="62214AD3"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MdC/ (Durant les travaux)</w:t>
            </w:r>
          </w:p>
        </w:tc>
        <w:tc>
          <w:tcPr>
            <w:tcW w:w="1677" w:type="dxa"/>
          </w:tcPr>
          <w:p w14:paraId="32407C5C" w14:textId="77777777" w:rsidR="008727A1" w:rsidRPr="00420C1B" w:rsidRDefault="008727A1" w:rsidP="00422EE3">
            <w:pPr>
              <w:spacing w:after="0" w:line="240" w:lineRule="auto"/>
              <w:jc w:val="both"/>
              <w:rPr>
                <w:rFonts w:ascii="Times New Roman" w:hAnsi="Times New Roman"/>
                <w:sz w:val="20"/>
              </w:rPr>
            </w:pPr>
          </w:p>
          <w:p w14:paraId="6EEFAAFD" w14:textId="77777777" w:rsidR="008727A1" w:rsidRPr="00E737B4" w:rsidRDefault="008727A1" w:rsidP="00422EE3">
            <w:pPr>
              <w:spacing w:after="0" w:line="240" w:lineRule="auto"/>
              <w:jc w:val="both"/>
              <w:rPr>
                <w:rFonts w:ascii="Times New Roman" w:eastAsia="Times New Roman" w:hAnsi="Times New Roman"/>
                <w:sz w:val="20"/>
                <w:lang w:eastAsia="fr-FR"/>
              </w:rPr>
            </w:pPr>
            <w:r w:rsidRPr="00420C1B">
              <w:rPr>
                <w:rFonts w:ascii="Times New Roman" w:hAnsi="Times New Roman"/>
                <w:sz w:val="20"/>
              </w:rPr>
              <w:t>U</w:t>
            </w:r>
            <w:r w:rsidR="0073226F" w:rsidRPr="00420C1B">
              <w:rPr>
                <w:rFonts w:ascii="Times New Roman" w:hAnsi="Times New Roman"/>
                <w:sz w:val="20"/>
              </w:rPr>
              <w:t>G</w:t>
            </w:r>
            <w:r w:rsidRPr="00420C1B">
              <w:rPr>
                <w:rFonts w:ascii="Times New Roman" w:hAnsi="Times New Roman"/>
                <w:sz w:val="20"/>
              </w:rPr>
              <w:t>ES-UCM</w:t>
            </w:r>
          </w:p>
          <w:p w14:paraId="7B7F9661"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CPE/ACE</w:t>
            </w:r>
          </w:p>
          <w:p w14:paraId="68B90BC9" w14:textId="77777777" w:rsidR="008727A1" w:rsidRPr="00420C1B" w:rsidRDefault="008727A1" w:rsidP="00422EE3">
            <w:pPr>
              <w:spacing w:after="0" w:line="240" w:lineRule="auto"/>
              <w:jc w:val="both"/>
              <w:rPr>
                <w:rFonts w:ascii="Times New Roman" w:hAnsi="Times New Roman"/>
                <w:sz w:val="20"/>
              </w:rPr>
            </w:pPr>
            <w:r w:rsidRPr="00420C1B">
              <w:rPr>
                <w:rFonts w:ascii="Times New Roman" w:hAnsi="Times New Roman"/>
                <w:sz w:val="20"/>
              </w:rPr>
              <w:t>(trimestriel)</w:t>
            </w:r>
          </w:p>
          <w:p w14:paraId="1E06044D" w14:textId="77777777" w:rsidR="008727A1" w:rsidRPr="00420C1B" w:rsidRDefault="008727A1" w:rsidP="00422EE3">
            <w:pPr>
              <w:spacing w:after="0" w:line="240" w:lineRule="auto"/>
              <w:jc w:val="both"/>
              <w:rPr>
                <w:rFonts w:ascii="Times New Roman" w:hAnsi="Times New Roman"/>
                <w:sz w:val="20"/>
              </w:rPr>
            </w:pPr>
          </w:p>
          <w:p w14:paraId="67DFAF20" w14:textId="77777777" w:rsidR="008727A1" w:rsidRPr="00420C1B" w:rsidRDefault="008727A1" w:rsidP="00422EE3">
            <w:pPr>
              <w:spacing w:after="0" w:line="240" w:lineRule="auto"/>
              <w:jc w:val="both"/>
              <w:rPr>
                <w:rFonts w:ascii="Times New Roman" w:hAnsi="Times New Roman"/>
                <w:sz w:val="20"/>
              </w:rPr>
            </w:pPr>
          </w:p>
        </w:tc>
      </w:tr>
    </w:tbl>
    <w:p w14:paraId="53BEF48E" w14:textId="77777777" w:rsidR="00F16F4B" w:rsidRPr="00E737B4" w:rsidRDefault="00F16F4B" w:rsidP="00E737B4">
      <w:pPr>
        <w:spacing w:before="80"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 232cabine juillet 2021</w:t>
      </w:r>
    </w:p>
    <w:p w14:paraId="5FB8D48F" w14:textId="77777777" w:rsidR="00AE61CE" w:rsidRPr="00024B30" w:rsidRDefault="00AE61CE" w:rsidP="00AE61CE">
      <w:pPr>
        <w:spacing w:after="0" w:line="240" w:lineRule="auto"/>
        <w:rPr>
          <w:rFonts w:ascii="Times New Roman" w:hAnsi="Times New Roman"/>
          <w:bCs/>
          <w:i/>
        </w:rPr>
      </w:pPr>
    </w:p>
    <w:p w14:paraId="50BF5E25" w14:textId="77777777" w:rsidR="00234156" w:rsidRDefault="00234156">
      <w:pPr>
        <w:rPr>
          <w:rFonts w:ascii="Times New Roman" w:hAnsi="Times New Roman"/>
        </w:rPr>
      </w:pPr>
      <w:r>
        <w:rPr>
          <w:rFonts w:ascii="Times New Roman" w:hAnsi="Times New Roman"/>
        </w:rPr>
        <w:br w:type="page"/>
      </w:r>
    </w:p>
    <w:p w14:paraId="7E1487AF" w14:textId="7547B9D3" w:rsidR="008727A1" w:rsidRPr="00D75D2E" w:rsidRDefault="008727A1" w:rsidP="00E737B4">
      <w:pPr>
        <w:spacing w:after="120" w:line="20" w:lineRule="atLeast"/>
        <w:jc w:val="both"/>
        <w:rPr>
          <w:rFonts w:ascii="Times New Roman" w:hAnsi="Times New Roman"/>
          <w:sz w:val="24"/>
          <w:szCs w:val="24"/>
        </w:rPr>
      </w:pPr>
      <w:r w:rsidRPr="00D75D2E">
        <w:rPr>
          <w:rFonts w:ascii="Times New Roman" w:hAnsi="Times New Roman"/>
          <w:sz w:val="24"/>
          <w:szCs w:val="24"/>
        </w:rPr>
        <w:t xml:space="preserve">Le tableau </w:t>
      </w:r>
      <w:r w:rsidR="007220AC">
        <w:rPr>
          <w:rFonts w:ascii="Times New Roman" w:hAnsi="Times New Roman"/>
          <w:sz w:val="24"/>
          <w:szCs w:val="24"/>
        </w:rPr>
        <w:t>6</w:t>
      </w:r>
      <w:r w:rsidR="00A86929">
        <w:rPr>
          <w:rFonts w:ascii="Times New Roman" w:hAnsi="Times New Roman"/>
          <w:sz w:val="24"/>
          <w:szCs w:val="24"/>
        </w:rPr>
        <w:t>9</w:t>
      </w:r>
      <w:r w:rsidR="007220AC">
        <w:rPr>
          <w:rFonts w:ascii="Times New Roman" w:hAnsi="Times New Roman"/>
          <w:sz w:val="24"/>
          <w:szCs w:val="24"/>
        </w:rPr>
        <w:t xml:space="preserve"> </w:t>
      </w:r>
      <w:r w:rsidR="00F27714" w:rsidRPr="00D75D2E">
        <w:rPr>
          <w:rFonts w:ascii="Times New Roman" w:hAnsi="Times New Roman"/>
          <w:sz w:val="24"/>
          <w:szCs w:val="24"/>
        </w:rPr>
        <w:t>présente</w:t>
      </w:r>
      <w:r w:rsidRPr="00D75D2E">
        <w:rPr>
          <w:rFonts w:ascii="Times New Roman" w:hAnsi="Times New Roman"/>
          <w:sz w:val="24"/>
          <w:szCs w:val="24"/>
        </w:rPr>
        <w:t xml:space="preserve"> le suivi à travers la mise en œuvre des mesures environnementales et sociales.</w:t>
      </w:r>
    </w:p>
    <w:p w14:paraId="74A64838" w14:textId="5BB0C458" w:rsidR="008727A1" w:rsidRPr="00D75D2E" w:rsidRDefault="008727A1" w:rsidP="00E737B4">
      <w:pPr>
        <w:tabs>
          <w:tab w:val="left" w:pos="2115"/>
        </w:tabs>
        <w:spacing w:after="120" w:line="20" w:lineRule="atLeast"/>
        <w:jc w:val="both"/>
        <w:rPr>
          <w:rFonts w:ascii="Times New Roman" w:hAnsi="Times New Roman"/>
          <w:sz w:val="24"/>
          <w:szCs w:val="24"/>
        </w:rPr>
      </w:pPr>
      <w:bookmarkStart w:id="1001" w:name="_Toc78602914"/>
      <w:bookmarkStart w:id="1002" w:name="_Toc93050331"/>
      <w:r w:rsidRPr="00D75D2E">
        <w:rPr>
          <w:rFonts w:ascii="Times New Roman" w:hAnsi="Times New Roman"/>
          <w:sz w:val="24"/>
          <w:szCs w:val="24"/>
        </w:rPr>
        <w:t xml:space="preserve">Tableau </w:t>
      </w:r>
      <w:r w:rsidRPr="00D75D2E">
        <w:rPr>
          <w:rFonts w:ascii="Times New Roman" w:hAnsi="Times New Roman"/>
          <w:sz w:val="24"/>
          <w:szCs w:val="24"/>
        </w:rPr>
        <w:fldChar w:fldCharType="begin"/>
      </w:r>
      <w:r w:rsidRPr="00D75D2E">
        <w:rPr>
          <w:rFonts w:ascii="Times New Roman" w:hAnsi="Times New Roman"/>
          <w:sz w:val="24"/>
          <w:szCs w:val="24"/>
        </w:rPr>
        <w:instrText xml:space="preserve"> SEQ Tableau \* ARABIC </w:instrText>
      </w:r>
      <w:r w:rsidRPr="00D75D2E">
        <w:rPr>
          <w:rFonts w:ascii="Times New Roman" w:hAnsi="Times New Roman"/>
          <w:sz w:val="24"/>
          <w:szCs w:val="24"/>
        </w:rPr>
        <w:fldChar w:fldCharType="separate"/>
      </w:r>
      <w:r w:rsidR="00A86929">
        <w:rPr>
          <w:rFonts w:ascii="Times New Roman" w:hAnsi="Times New Roman"/>
          <w:noProof/>
          <w:sz w:val="24"/>
          <w:szCs w:val="24"/>
        </w:rPr>
        <w:t>69</w:t>
      </w:r>
      <w:r w:rsidRPr="00D75D2E">
        <w:rPr>
          <w:rFonts w:ascii="Times New Roman" w:hAnsi="Times New Roman"/>
          <w:sz w:val="24"/>
          <w:szCs w:val="24"/>
        </w:rPr>
        <w:fldChar w:fldCharType="end"/>
      </w:r>
      <w:r w:rsidRPr="00D75D2E">
        <w:rPr>
          <w:rFonts w:ascii="Times New Roman" w:hAnsi="Times New Roman"/>
          <w:sz w:val="24"/>
          <w:szCs w:val="24"/>
        </w:rPr>
        <w:t xml:space="preserve">: </w:t>
      </w:r>
      <w:r w:rsidR="00234156">
        <w:rPr>
          <w:rFonts w:ascii="Times New Roman" w:hAnsi="Times New Roman"/>
          <w:sz w:val="24"/>
          <w:szCs w:val="24"/>
        </w:rPr>
        <w:t xml:space="preserve">Méthode et dispositif de </w:t>
      </w:r>
      <w:r w:rsidRPr="00D75D2E">
        <w:rPr>
          <w:rFonts w:ascii="Times New Roman" w:hAnsi="Times New Roman"/>
          <w:sz w:val="24"/>
          <w:szCs w:val="24"/>
        </w:rPr>
        <w:t>surveillance environnementale et sociale</w:t>
      </w:r>
      <w:bookmarkEnd w:id="1001"/>
      <w:r w:rsidR="00234156">
        <w:rPr>
          <w:rFonts w:ascii="Times New Roman" w:hAnsi="Times New Roman"/>
          <w:sz w:val="24"/>
          <w:szCs w:val="24"/>
        </w:rPr>
        <w:t xml:space="preserve"> du PGES</w:t>
      </w:r>
      <w:bookmarkEnd w:id="1002"/>
    </w:p>
    <w:tbl>
      <w:tblPr>
        <w:tblW w:w="14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22"/>
        <w:gridCol w:w="5338"/>
        <w:gridCol w:w="4979"/>
        <w:gridCol w:w="2025"/>
      </w:tblGrid>
      <w:tr w:rsidR="00D75D2E" w:rsidRPr="00420C1B" w14:paraId="485AF281" w14:textId="77777777" w:rsidTr="00E737B4">
        <w:trPr>
          <w:tblHeader/>
          <w:jc w:val="center"/>
        </w:trPr>
        <w:tc>
          <w:tcPr>
            <w:tcW w:w="2122" w:type="dxa"/>
            <w:shd w:val="clear" w:color="auto" w:fill="92D050"/>
            <w:vAlign w:val="center"/>
          </w:tcPr>
          <w:p w14:paraId="2A2D9218" w14:textId="77777777" w:rsidR="008727A1" w:rsidRPr="00420C1B" w:rsidRDefault="008727A1" w:rsidP="00422EE3">
            <w:pPr>
              <w:spacing w:after="0" w:line="240" w:lineRule="auto"/>
              <w:jc w:val="both"/>
              <w:rPr>
                <w:rFonts w:ascii="Times New Roman" w:hAnsi="Times New Roman"/>
                <w:b/>
                <w:sz w:val="20"/>
                <w:szCs w:val="20"/>
                <w:lang w:val="en-US"/>
              </w:rPr>
            </w:pPr>
            <w:r w:rsidRPr="00420C1B">
              <w:rPr>
                <w:rFonts w:ascii="Times New Roman" w:hAnsi="Times New Roman"/>
                <w:b/>
                <w:sz w:val="20"/>
                <w:szCs w:val="20"/>
                <w:lang w:val="en-US"/>
              </w:rPr>
              <w:t xml:space="preserve">Eléments à </w:t>
            </w:r>
            <w:r w:rsidRPr="00420C1B">
              <w:rPr>
                <w:rFonts w:ascii="Times New Roman" w:hAnsi="Times New Roman"/>
                <w:b/>
                <w:sz w:val="20"/>
                <w:szCs w:val="20"/>
                <w:lang w:val="fr-BE"/>
              </w:rPr>
              <w:t>surveiller</w:t>
            </w:r>
          </w:p>
        </w:tc>
        <w:tc>
          <w:tcPr>
            <w:tcW w:w="5338" w:type="dxa"/>
            <w:shd w:val="clear" w:color="auto" w:fill="92D050"/>
            <w:vAlign w:val="center"/>
          </w:tcPr>
          <w:p w14:paraId="314A5F0A" w14:textId="77777777" w:rsidR="008727A1" w:rsidRPr="00420C1B" w:rsidRDefault="008727A1" w:rsidP="00422EE3">
            <w:pPr>
              <w:spacing w:after="0" w:line="240" w:lineRule="auto"/>
              <w:jc w:val="both"/>
              <w:rPr>
                <w:rFonts w:ascii="Times New Roman" w:hAnsi="Times New Roman"/>
                <w:b/>
                <w:sz w:val="20"/>
                <w:szCs w:val="20"/>
              </w:rPr>
            </w:pPr>
            <w:r w:rsidRPr="00420C1B">
              <w:rPr>
                <w:rFonts w:ascii="Times New Roman" w:hAnsi="Times New Roman"/>
                <w:b/>
                <w:sz w:val="20"/>
                <w:szCs w:val="20"/>
              </w:rPr>
              <w:t>Méthodes et Dispositifs de surveillance</w:t>
            </w:r>
          </w:p>
        </w:tc>
        <w:tc>
          <w:tcPr>
            <w:tcW w:w="4979" w:type="dxa"/>
            <w:shd w:val="clear" w:color="auto" w:fill="92D050"/>
          </w:tcPr>
          <w:p w14:paraId="0D2CBE94" w14:textId="77777777" w:rsidR="008727A1" w:rsidRPr="00420C1B" w:rsidRDefault="008727A1" w:rsidP="00422EE3">
            <w:pPr>
              <w:spacing w:after="0" w:line="240" w:lineRule="auto"/>
              <w:jc w:val="both"/>
              <w:rPr>
                <w:rFonts w:ascii="Times New Roman" w:hAnsi="Times New Roman"/>
                <w:b/>
                <w:sz w:val="20"/>
                <w:szCs w:val="20"/>
                <w:lang w:val="en-US"/>
              </w:rPr>
            </w:pPr>
            <w:r w:rsidRPr="00420C1B">
              <w:rPr>
                <w:rFonts w:ascii="Times New Roman" w:hAnsi="Times New Roman"/>
                <w:b/>
                <w:sz w:val="20"/>
                <w:szCs w:val="20"/>
                <w:lang w:val="en-US"/>
              </w:rPr>
              <w:t>Moyen de verification</w:t>
            </w:r>
          </w:p>
        </w:tc>
        <w:tc>
          <w:tcPr>
            <w:tcW w:w="2025" w:type="dxa"/>
            <w:tcBorders>
              <w:right w:val="single" w:sz="6" w:space="0" w:color="auto"/>
            </w:tcBorders>
            <w:shd w:val="clear" w:color="auto" w:fill="92D050"/>
            <w:vAlign w:val="center"/>
          </w:tcPr>
          <w:p w14:paraId="0897F33C" w14:textId="77777777" w:rsidR="008727A1" w:rsidRPr="00420C1B" w:rsidRDefault="008727A1" w:rsidP="00422EE3">
            <w:pPr>
              <w:spacing w:after="0" w:line="240" w:lineRule="auto"/>
              <w:jc w:val="both"/>
              <w:rPr>
                <w:rFonts w:ascii="Times New Roman" w:hAnsi="Times New Roman"/>
                <w:b/>
                <w:sz w:val="20"/>
                <w:szCs w:val="20"/>
                <w:lang w:val="en-US"/>
              </w:rPr>
            </w:pPr>
            <w:r w:rsidRPr="00420C1B">
              <w:rPr>
                <w:rFonts w:ascii="Times New Roman" w:hAnsi="Times New Roman"/>
                <w:b/>
                <w:sz w:val="20"/>
                <w:szCs w:val="20"/>
                <w:lang w:val="en-US"/>
              </w:rPr>
              <w:t>Responsables</w:t>
            </w:r>
          </w:p>
        </w:tc>
      </w:tr>
      <w:tr w:rsidR="00D75D2E" w:rsidRPr="00420C1B" w14:paraId="1DD69B02" w14:textId="77777777" w:rsidTr="00E737B4">
        <w:trPr>
          <w:jc w:val="center"/>
        </w:trPr>
        <w:tc>
          <w:tcPr>
            <w:tcW w:w="2122" w:type="dxa"/>
            <w:vAlign w:val="center"/>
          </w:tcPr>
          <w:p w14:paraId="6416110F" w14:textId="77777777" w:rsidR="008727A1" w:rsidRPr="00420C1B" w:rsidRDefault="008727A1" w:rsidP="00422EE3">
            <w:pPr>
              <w:spacing w:after="0" w:line="240" w:lineRule="auto"/>
              <w:jc w:val="both"/>
              <w:rPr>
                <w:rFonts w:ascii="Times New Roman" w:hAnsi="Times New Roman"/>
                <w:b/>
                <w:sz w:val="20"/>
                <w:szCs w:val="20"/>
              </w:rPr>
            </w:pPr>
            <w:r w:rsidRPr="00420C1B">
              <w:rPr>
                <w:rFonts w:ascii="Times New Roman" w:hAnsi="Times New Roman"/>
                <w:sz w:val="20"/>
                <w:szCs w:val="20"/>
              </w:rPr>
              <w:t>Mise en œuvre des mesures environnementales prescrites dans le PGES</w:t>
            </w:r>
          </w:p>
        </w:tc>
        <w:tc>
          <w:tcPr>
            <w:tcW w:w="5338" w:type="dxa"/>
            <w:vAlign w:val="center"/>
          </w:tcPr>
          <w:p w14:paraId="3D995041"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Contrôle de l’effectivité des mesures prescrites (conformité ; niveau de réalisation)</w:t>
            </w:r>
          </w:p>
          <w:p w14:paraId="3DA8A55B" w14:textId="77777777" w:rsidR="008727A1" w:rsidRPr="00420C1B" w:rsidRDefault="008727A1" w:rsidP="008C79F0">
            <w:pPr>
              <w:numPr>
                <w:ilvl w:val="0"/>
                <w:numId w:val="188"/>
              </w:numPr>
              <w:spacing w:after="0" w:line="240" w:lineRule="auto"/>
              <w:jc w:val="both"/>
              <w:rPr>
                <w:rFonts w:ascii="Times New Roman" w:hAnsi="Times New Roman"/>
                <w:sz w:val="20"/>
                <w:szCs w:val="20"/>
              </w:rPr>
            </w:pPr>
          </w:p>
        </w:tc>
        <w:tc>
          <w:tcPr>
            <w:tcW w:w="4979" w:type="dxa"/>
          </w:tcPr>
          <w:p w14:paraId="09DC6270"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Contrôle visuel lors des visites de terrain, enquêtes et rapports de mission</w:t>
            </w:r>
          </w:p>
          <w:p w14:paraId="66B91603"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Rapports mensuels de mise en œuvre de PGES</w:t>
            </w:r>
          </w:p>
          <w:p w14:paraId="658E5B30"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Rapports mensuels et trimestriels de suivi environnemental et social de PGES</w:t>
            </w:r>
          </w:p>
        </w:tc>
        <w:tc>
          <w:tcPr>
            <w:tcW w:w="2025" w:type="dxa"/>
            <w:tcBorders>
              <w:right w:val="single" w:sz="6" w:space="0" w:color="auto"/>
            </w:tcBorders>
          </w:tcPr>
          <w:p w14:paraId="214D2212" w14:textId="77777777" w:rsidR="008727A1" w:rsidRPr="00420C1B" w:rsidRDefault="008727A1" w:rsidP="00422EE3">
            <w:pPr>
              <w:spacing w:after="0" w:line="240" w:lineRule="auto"/>
              <w:jc w:val="both"/>
              <w:rPr>
                <w:rFonts w:ascii="Times New Roman" w:hAnsi="Times New Roman"/>
                <w:sz w:val="20"/>
                <w:szCs w:val="20"/>
              </w:rPr>
            </w:pPr>
          </w:p>
          <w:p w14:paraId="2720DA04"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MdC</w:t>
            </w:r>
          </w:p>
          <w:p w14:paraId="32589E40"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0CBBCC14" w14:textId="77777777" w:rsidR="008727A1" w:rsidRPr="00420C1B" w:rsidRDefault="008727A1" w:rsidP="00422EE3">
            <w:pPr>
              <w:spacing w:after="0" w:line="240" w:lineRule="auto"/>
              <w:jc w:val="both"/>
              <w:rPr>
                <w:rFonts w:ascii="Times New Roman" w:hAnsi="Times New Roman"/>
                <w:sz w:val="20"/>
                <w:szCs w:val="20"/>
              </w:rPr>
            </w:pPr>
          </w:p>
          <w:p w14:paraId="1B90D20A"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CPE/ACE</w:t>
            </w:r>
          </w:p>
        </w:tc>
      </w:tr>
      <w:tr w:rsidR="00D75D2E" w:rsidRPr="00420C1B" w14:paraId="24EA4D5C" w14:textId="77777777" w:rsidTr="00E737B4">
        <w:trPr>
          <w:trHeight w:val="679"/>
          <w:jc w:val="center"/>
        </w:trPr>
        <w:tc>
          <w:tcPr>
            <w:tcW w:w="2122" w:type="dxa"/>
            <w:vMerge w:val="restart"/>
            <w:vAlign w:val="center"/>
          </w:tcPr>
          <w:p w14:paraId="4D05593E"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xml:space="preserve">Mesures de réduction des effets induits par les activités du projet </w:t>
            </w:r>
          </w:p>
        </w:tc>
        <w:tc>
          <w:tcPr>
            <w:tcW w:w="5338" w:type="dxa"/>
            <w:vAlign w:val="center"/>
          </w:tcPr>
          <w:p w14:paraId="613D7E3B"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xml:space="preserve">La surveillance portera sur le contrôle : </w:t>
            </w:r>
          </w:p>
          <w:p w14:paraId="0F208E0E"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la qualité de l’air ;</w:t>
            </w:r>
          </w:p>
          <w:p w14:paraId="6EF662C9" w14:textId="77777777" w:rsidR="008727A1" w:rsidRPr="00E737B4" w:rsidRDefault="008727A1" w:rsidP="008C79F0">
            <w:pPr>
              <w:numPr>
                <w:ilvl w:val="0"/>
                <w:numId w:val="188"/>
              </w:numPr>
              <w:spacing w:after="0" w:line="240" w:lineRule="auto"/>
              <w:jc w:val="both"/>
              <w:rPr>
                <w:rFonts w:ascii="Times New Roman" w:eastAsia="Times New Roman" w:hAnsi="Times New Roman"/>
                <w:b/>
                <w:bCs/>
                <w:sz w:val="20"/>
                <w:szCs w:val="20"/>
                <w:lang w:eastAsia="fr-FR"/>
              </w:rPr>
            </w:pPr>
            <w:r w:rsidRPr="00420C1B">
              <w:rPr>
                <w:rFonts w:ascii="Times New Roman" w:hAnsi="Times New Roman"/>
                <w:sz w:val="20"/>
                <w:szCs w:val="20"/>
              </w:rPr>
              <w:t>le niveau d’ambiance sonore aux postes de travail</w:t>
            </w:r>
          </w:p>
        </w:tc>
        <w:tc>
          <w:tcPr>
            <w:tcW w:w="4979" w:type="dxa"/>
          </w:tcPr>
          <w:p w14:paraId="7D389F98"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 xml:space="preserve">Appareil de mesure de la qualité de l’air (sonde) </w:t>
            </w:r>
          </w:p>
          <w:p w14:paraId="004F7DB0"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Appareil de mesure du bruit (Sonomètre)</w:t>
            </w:r>
          </w:p>
        </w:tc>
        <w:tc>
          <w:tcPr>
            <w:tcW w:w="2025" w:type="dxa"/>
            <w:vMerge w:val="restart"/>
            <w:tcBorders>
              <w:right w:val="single" w:sz="6" w:space="0" w:color="auto"/>
            </w:tcBorders>
          </w:tcPr>
          <w:p w14:paraId="049578F8" w14:textId="77777777" w:rsidR="008727A1" w:rsidRPr="00420C1B" w:rsidRDefault="008727A1" w:rsidP="00422EE3">
            <w:pPr>
              <w:spacing w:after="0" w:line="240" w:lineRule="auto"/>
              <w:jc w:val="both"/>
              <w:rPr>
                <w:rFonts w:ascii="Times New Roman" w:hAnsi="Times New Roman"/>
                <w:sz w:val="20"/>
                <w:szCs w:val="20"/>
              </w:rPr>
            </w:pPr>
          </w:p>
          <w:p w14:paraId="754E8621"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MdC</w:t>
            </w:r>
          </w:p>
          <w:p w14:paraId="607C8580"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241A6D92"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CPE/ ACE</w:t>
            </w:r>
          </w:p>
        </w:tc>
      </w:tr>
      <w:tr w:rsidR="00D75D2E" w:rsidRPr="00420C1B" w14:paraId="7CD64484" w14:textId="77777777" w:rsidTr="00E737B4">
        <w:trPr>
          <w:trHeight w:val="642"/>
          <w:jc w:val="center"/>
        </w:trPr>
        <w:tc>
          <w:tcPr>
            <w:tcW w:w="2122" w:type="dxa"/>
            <w:vMerge/>
            <w:vAlign w:val="center"/>
          </w:tcPr>
          <w:p w14:paraId="4BA69BA9" w14:textId="77777777" w:rsidR="008727A1" w:rsidRPr="00420C1B" w:rsidRDefault="008727A1" w:rsidP="00422EE3">
            <w:pPr>
              <w:spacing w:after="0" w:line="240" w:lineRule="auto"/>
              <w:jc w:val="both"/>
              <w:rPr>
                <w:rFonts w:ascii="Times New Roman" w:hAnsi="Times New Roman"/>
                <w:sz w:val="20"/>
                <w:szCs w:val="20"/>
              </w:rPr>
            </w:pPr>
          </w:p>
        </w:tc>
        <w:tc>
          <w:tcPr>
            <w:tcW w:w="5338" w:type="dxa"/>
            <w:vAlign w:val="center"/>
          </w:tcPr>
          <w:p w14:paraId="51AE890C"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 xml:space="preserve">le nombre d’incidents de travail </w:t>
            </w:r>
          </w:p>
          <w:p w14:paraId="2FCC655B"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les plaintes enregistrées.</w:t>
            </w:r>
          </w:p>
        </w:tc>
        <w:tc>
          <w:tcPr>
            <w:tcW w:w="4979" w:type="dxa"/>
          </w:tcPr>
          <w:p w14:paraId="4F591F49"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Enquêtes et rapports de mission</w:t>
            </w:r>
          </w:p>
          <w:p w14:paraId="29121B72"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Rapports mensuels de mise en œuvre de PGES</w:t>
            </w:r>
          </w:p>
          <w:p w14:paraId="36B3BBC8"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Rapports mensuels et trimestriels de suivi environnemental et social de PGES</w:t>
            </w:r>
          </w:p>
        </w:tc>
        <w:tc>
          <w:tcPr>
            <w:tcW w:w="2025" w:type="dxa"/>
            <w:vMerge/>
            <w:tcBorders>
              <w:right w:val="single" w:sz="6" w:space="0" w:color="auto"/>
            </w:tcBorders>
          </w:tcPr>
          <w:p w14:paraId="2837B98E" w14:textId="77777777" w:rsidR="008727A1" w:rsidRPr="00420C1B" w:rsidRDefault="008727A1" w:rsidP="00422EE3">
            <w:pPr>
              <w:spacing w:after="0" w:line="240" w:lineRule="auto"/>
              <w:jc w:val="both"/>
              <w:rPr>
                <w:rFonts w:ascii="Times New Roman" w:hAnsi="Times New Roman"/>
                <w:sz w:val="20"/>
                <w:szCs w:val="20"/>
              </w:rPr>
            </w:pPr>
          </w:p>
        </w:tc>
      </w:tr>
      <w:tr w:rsidR="00D75D2E" w:rsidRPr="00420C1B" w14:paraId="484E9DA7" w14:textId="77777777" w:rsidTr="00E737B4">
        <w:trPr>
          <w:trHeight w:val="489"/>
          <w:jc w:val="center"/>
        </w:trPr>
        <w:tc>
          <w:tcPr>
            <w:tcW w:w="2122" w:type="dxa"/>
            <w:vMerge w:val="restart"/>
            <w:vAlign w:val="center"/>
          </w:tcPr>
          <w:p w14:paraId="430F642E"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Mise en œuvre des actions sécuritaires, sanitaires et sociales </w:t>
            </w:r>
          </w:p>
          <w:p w14:paraId="408305AA" w14:textId="77777777" w:rsidR="008727A1" w:rsidRPr="00420C1B" w:rsidRDefault="008727A1" w:rsidP="00422EE3">
            <w:pPr>
              <w:autoSpaceDE w:val="0"/>
              <w:autoSpaceDN w:val="0"/>
              <w:adjustRightInd w:val="0"/>
              <w:spacing w:after="0" w:line="240" w:lineRule="auto"/>
              <w:jc w:val="both"/>
              <w:rPr>
                <w:rFonts w:ascii="Times New Roman" w:hAnsi="Times New Roman"/>
                <w:sz w:val="20"/>
                <w:szCs w:val="20"/>
              </w:rPr>
            </w:pPr>
          </w:p>
        </w:tc>
        <w:tc>
          <w:tcPr>
            <w:tcW w:w="5338" w:type="dxa"/>
            <w:vAlign w:val="center"/>
          </w:tcPr>
          <w:p w14:paraId="7D7D1323"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Au plan sanitaire, un suivi médical sera assuré de façon permanente pour vérifier l’état de santé du personnel d’exploitation et le respect des mesures d’hygiène sur le site</w:t>
            </w:r>
          </w:p>
        </w:tc>
        <w:tc>
          <w:tcPr>
            <w:tcW w:w="4979" w:type="dxa"/>
          </w:tcPr>
          <w:p w14:paraId="42541163"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Contrôle médical du personnel et contrôle visuel lors des visites de terrain, enquêtes  et rapports de mission</w:t>
            </w:r>
          </w:p>
        </w:tc>
        <w:tc>
          <w:tcPr>
            <w:tcW w:w="2025" w:type="dxa"/>
            <w:tcBorders>
              <w:right w:val="single" w:sz="6" w:space="0" w:color="auto"/>
            </w:tcBorders>
            <w:vAlign w:val="center"/>
          </w:tcPr>
          <w:p w14:paraId="2E2BDD8E"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w:t>
            </w:r>
          </w:p>
          <w:p w14:paraId="63DF5B36"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0ABB2387"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tc>
      </w:tr>
      <w:tr w:rsidR="00D75D2E" w:rsidRPr="00420C1B" w14:paraId="146758BF" w14:textId="77777777" w:rsidTr="00E737B4">
        <w:trPr>
          <w:trHeight w:val="489"/>
          <w:jc w:val="center"/>
        </w:trPr>
        <w:tc>
          <w:tcPr>
            <w:tcW w:w="2122" w:type="dxa"/>
            <w:vMerge/>
            <w:vAlign w:val="center"/>
          </w:tcPr>
          <w:p w14:paraId="0B02DE92" w14:textId="77777777" w:rsidR="008727A1" w:rsidRPr="00420C1B" w:rsidRDefault="008727A1" w:rsidP="00422EE3">
            <w:pPr>
              <w:autoSpaceDE w:val="0"/>
              <w:autoSpaceDN w:val="0"/>
              <w:adjustRightInd w:val="0"/>
              <w:spacing w:after="0" w:line="240" w:lineRule="auto"/>
              <w:jc w:val="both"/>
              <w:rPr>
                <w:rFonts w:ascii="Times New Roman" w:hAnsi="Times New Roman"/>
                <w:sz w:val="20"/>
                <w:szCs w:val="20"/>
              </w:rPr>
            </w:pPr>
          </w:p>
        </w:tc>
        <w:tc>
          <w:tcPr>
            <w:tcW w:w="5338" w:type="dxa"/>
            <w:vAlign w:val="center"/>
          </w:tcPr>
          <w:p w14:paraId="082144C9" w14:textId="77777777" w:rsidR="008727A1" w:rsidRPr="00E737B4" w:rsidRDefault="008727A1" w:rsidP="00422EE3">
            <w:pPr>
              <w:spacing w:after="0" w:line="240" w:lineRule="auto"/>
              <w:jc w:val="both"/>
              <w:rPr>
                <w:rFonts w:ascii="Times New Roman" w:eastAsia="Times New Roman" w:hAnsi="Times New Roman"/>
                <w:sz w:val="20"/>
                <w:szCs w:val="20"/>
                <w:lang w:val="en-US" w:eastAsia="fr-FR"/>
              </w:rPr>
            </w:pPr>
            <w:r w:rsidRPr="00420C1B">
              <w:rPr>
                <w:rFonts w:ascii="Times New Roman" w:hAnsi="Times New Roman"/>
                <w:sz w:val="20"/>
                <w:szCs w:val="20"/>
                <w:lang w:val="en-US"/>
              </w:rPr>
              <w:t>Vérifier :</w:t>
            </w:r>
          </w:p>
          <w:p w14:paraId="7F5879E7"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la disponibilité de consignes de sécurité en cas d’accident</w:t>
            </w:r>
          </w:p>
          <w:p w14:paraId="00499D8A"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l’existence d’une signalisation appropriée</w:t>
            </w:r>
          </w:p>
          <w:p w14:paraId="232D6C1C"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 respect des dispositions de circulation</w:t>
            </w:r>
          </w:p>
          <w:p w14:paraId="209931C3"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la conformité des véhicules de transport</w:t>
            </w:r>
          </w:p>
          <w:p w14:paraId="3016C18F"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 respect de la limitation de vitesse</w:t>
            </w:r>
          </w:p>
          <w:p w14:paraId="740C5BDE"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 respect des horaires de travail</w:t>
            </w:r>
          </w:p>
          <w:p w14:paraId="192D5A72" w14:textId="77777777" w:rsidR="008727A1" w:rsidRPr="00E737B4" w:rsidRDefault="008727A1" w:rsidP="008C79F0">
            <w:pPr>
              <w:numPr>
                <w:ilvl w:val="0"/>
                <w:numId w:val="188"/>
              </w:num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le port d’équipements adéquats de protection</w:t>
            </w:r>
          </w:p>
        </w:tc>
        <w:tc>
          <w:tcPr>
            <w:tcW w:w="4979" w:type="dxa"/>
          </w:tcPr>
          <w:p w14:paraId="7BF3988F"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Contrôle visuel lors des visites de terrain, enquêtes  et rapports de mission</w:t>
            </w:r>
          </w:p>
        </w:tc>
        <w:tc>
          <w:tcPr>
            <w:tcW w:w="2025" w:type="dxa"/>
            <w:tcBorders>
              <w:right w:val="single" w:sz="6" w:space="0" w:color="auto"/>
            </w:tcBorders>
            <w:vAlign w:val="center"/>
          </w:tcPr>
          <w:p w14:paraId="4B309B49"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w:t>
            </w:r>
          </w:p>
          <w:p w14:paraId="22C22ABE"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0DEE9218"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tc>
      </w:tr>
      <w:tr w:rsidR="00D75D2E" w:rsidRPr="00420C1B" w14:paraId="357AAEFF" w14:textId="77777777" w:rsidTr="00E737B4">
        <w:trPr>
          <w:trHeight w:val="489"/>
          <w:jc w:val="center"/>
        </w:trPr>
        <w:tc>
          <w:tcPr>
            <w:tcW w:w="2122" w:type="dxa"/>
            <w:vMerge/>
            <w:vAlign w:val="center"/>
          </w:tcPr>
          <w:p w14:paraId="5BC44970" w14:textId="77777777" w:rsidR="008727A1" w:rsidRPr="00420C1B" w:rsidRDefault="008727A1" w:rsidP="00422EE3">
            <w:pPr>
              <w:autoSpaceDE w:val="0"/>
              <w:autoSpaceDN w:val="0"/>
              <w:adjustRightInd w:val="0"/>
              <w:spacing w:after="0" w:line="240" w:lineRule="auto"/>
              <w:jc w:val="both"/>
              <w:rPr>
                <w:rFonts w:ascii="Times New Roman" w:hAnsi="Times New Roman"/>
                <w:sz w:val="20"/>
                <w:szCs w:val="20"/>
              </w:rPr>
            </w:pPr>
          </w:p>
        </w:tc>
        <w:tc>
          <w:tcPr>
            <w:tcW w:w="5338" w:type="dxa"/>
            <w:vAlign w:val="center"/>
          </w:tcPr>
          <w:p w14:paraId="1442346B"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 xml:space="preserve">Un programme d’information et de sensibilisation du personnel et des populations sera élaboré et mis en œuvre </w:t>
            </w:r>
          </w:p>
        </w:tc>
        <w:tc>
          <w:tcPr>
            <w:tcW w:w="4979" w:type="dxa"/>
          </w:tcPr>
          <w:p w14:paraId="4AE1A178"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Enquêtes  auprès du personnel et des communautés et rapports de mission</w:t>
            </w:r>
          </w:p>
        </w:tc>
        <w:tc>
          <w:tcPr>
            <w:tcW w:w="2025" w:type="dxa"/>
            <w:tcBorders>
              <w:right w:val="single" w:sz="6" w:space="0" w:color="auto"/>
            </w:tcBorders>
            <w:vAlign w:val="center"/>
          </w:tcPr>
          <w:p w14:paraId="4CFC6610"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w:t>
            </w:r>
          </w:p>
          <w:p w14:paraId="09E45C1E"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18AE9862"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p w14:paraId="7D18A4E4"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Communes</w:t>
            </w:r>
          </w:p>
        </w:tc>
      </w:tr>
      <w:tr w:rsidR="00D75D2E" w:rsidRPr="00420C1B" w14:paraId="12823BC6" w14:textId="77777777" w:rsidTr="00E737B4">
        <w:trPr>
          <w:trHeight w:val="489"/>
          <w:jc w:val="center"/>
        </w:trPr>
        <w:tc>
          <w:tcPr>
            <w:tcW w:w="2122" w:type="dxa"/>
            <w:vAlign w:val="center"/>
          </w:tcPr>
          <w:p w14:paraId="3E984354"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Mise en œuvre des actions relatives à la santé et la sécurité au travail.</w:t>
            </w:r>
          </w:p>
        </w:tc>
        <w:tc>
          <w:tcPr>
            <w:tcW w:w="5338" w:type="dxa"/>
            <w:vAlign w:val="center"/>
          </w:tcPr>
          <w:p w14:paraId="725BCD6C"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Ouvrir et tenir un registre des accidents et incidents aux postes de travail</w:t>
            </w:r>
          </w:p>
        </w:tc>
        <w:tc>
          <w:tcPr>
            <w:tcW w:w="4979" w:type="dxa"/>
          </w:tcPr>
          <w:p w14:paraId="46E49541"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Visites de terrain, enquêtes  et rapports de mission</w:t>
            </w:r>
          </w:p>
        </w:tc>
        <w:tc>
          <w:tcPr>
            <w:tcW w:w="2025" w:type="dxa"/>
            <w:tcBorders>
              <w:right w:val="single" w:sz="6" w:space="0" w:color="auto"/>
            </w:tcBorders>
            <w:vAlign w:val="center"/>
          </w:tcPr>
          <w:p w14:paraId="4A3EC38B"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 U</w:t>
            </w:r>
            <w:r w:rsidR="0073226F" w:rsidRPr="00420C1B">
              <w:rPr>
                <w:rFonts w:ascii="Times New Roman" w:hAnsi="Times New Roman"/>
                <w:sz w:val="20"/>
                <w:szCs w:val="20"/>
              </w:rPr>
              <w:t>G</w:t>
            </w:r>
            <w:r w:rsidRPr="00420C1B">
              <w:rPr>
                <w:rFonts w:ascii="Times New Roman" w:hAnsi="Times New Roman"/>
                <w:sz w:val="20"/>
                <w:szCs w:val="20"/>
              </w:rPr>
              <w:t>ES-UCM</w:t>
            </w:r>
          </w:p>
          <w:p w14:paraId="64E078AC"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CPE/GEEC</w:t>
            </w:r>
          </w:p>
        </w:tc>
      </w:tr>
      <w:tr w:rsidR="00D75D2E" w:rsidRPr="00420C1B" w14:paraId="014711F0" w14:textId="77777777" w:rsidTr="00215867">
        <w:trPr>
          <w:trHeight w:val="489"/>
          <w:jc w:val="center"/>
        </w:trPr>
        <w:tc>
          <w:tcPr>
            <w:tcW w:w="2122" w:type="dxa"/>
            <w:vAlign w:val="center"/>
          </w:tcPr>
          <w:p w14:paraId="293BD3E0" w14:textId="77777777" w:rsidR="008727A1" w:rsidRPr="00420C1B" w:rsidRDefault="008727A1" w:rsidP="00215867">
            <w:pPr>
              <w:autoSpaceDE w:val="0"/>
              <w:autoSpaceDN w:val="0"/>
              <w:adjustRightInd w:val="0"/>
              <w:spacing w:after="0" w:line="240" w:lineRule="auto"/>
              <w:rPr>
                <w:rFonts w:ascii="Times New Roman" w:hAnsi="Times New Roman"/>
                <w:sz w:val="20"/>
                <w:szCs w:val="20"/>
              </w:rPr>
            </w:pPr>
            <w:r w:rsidRPr="00420C1B">
              <w:rPr>
                <w:rFonts w:ascii="Times New Roman" w:hAnsi="Times New Roman"/>
                <w:sz w:val="20"/>
                <w:szCs w:val="20"/>
              </w:rPr>
              <w:t>Violence faite sur les groupes vulnérables</w:t>
            </w:r>
          </w:p>
        </w:tc>
        <w:tc>
          <w:tcPr>
            <w:tcW w:w="5338" w:type="dxa"/>
            <w:vAlign w:val="center"/>
          </w:tcPr>
          <w:p w14:paraId="3BF28A13" w14:textId="040EB326" w:rsidR="006754C0" w:rsidRPr="00420C1B" w:rsidRDefault="006754C0" w:rsidP="00215867">
            <w:pPr>
              <w:numPr>
                <w:ilvl w:val="0"/>
                <w:numId w:val="188"/>
              </w:numPr>
              <w:spacing w:after="0" w:line="240" w:lineRule="auto"/>
              <w:rPr>
                <w:rFonts w:ascii="Times New Roman" w:hAnsi="Times New Roman"/>
                <w:sz w:val="20"/>
                <w:szCs w:val="20"/>
              </w:rPr>
            </w:pPr>
            <w:r w:rsidRPr="00420C1B">
              <w:rPr>
                <w:rFonts w:ascii="Times New Roman" w:hAnsi="Times New Roman"/>
                <w:sz w:val="20"/>
                <w:szCs w:val="20"/>
              </w:rPr>
              <w:t>Mettre en œuvre le Mécanisme de Gestion des Plaintes sensible aux EAS et HS</w:t>
            </w:r>
          </w:p>
          <w:p w14:paraId="56D8968C" w14:textId="0C88F376" w:rsidR="008727A1" w:rsidRPr="00420C1B" w:rsidRDefault="006754C0" w:rsidP="00215867">
            <w:pPr>
              <w:numPr>
                <w:ilvl w:val="0"/>
                <w:numId w:val="188"/>
              </w:numPr>
              <w:spacing w:after="0" w:line="240" w:lineRule="auto"/>
              <w:rPr>
                <w:rFonts w:ascii="Times New Roman" w:hAnsi="Times New Roman"/>
                <w:sz w:val="20"/>
                <w:szCs w:val="20"/>
              </w:rPr>
            </w:pPr>
            <w:r w:rsidRPr="00420C1B">
              <w:rPr>
                <w:rFonts w:ascii="Times New Roman" w:hAnsi="Times New Roman"/>
                <w:sz w:val="20"/>
                <w:szCs w:val="20"/>
              </w:rPr>
              <w:t xml:space="preserve">Type </w:t>
            </w:r>
            <w:r w:rsidR="008727A1" w:rsidRPr="00420C1B">
              <w:rPr>
                <w:rFonts w:ascii="Times New Roman" w:hAnsi="Times New Roman"/>
                <w:sz w:val="20"/>
                <w:szCs w:val="20"/>
              </w:rPr>
              <w:t>de personnes vulnérables ayant fait l’objet d’abus sexuels par les entreprises</w:t>
            </w:r>
            <w:r w:rsidRPr="00420C1B">
              <w:rPr>
                <w:rFonts w:ascii="Times New Roman" w:hAnsi="Times New Roman"/>
                <w:sz w:val="20"/>
                <w:szCs w:val="20"/>
              </w:rPr>
              <w:t>.</w:t>
            </w:r>
          </w:p>
        </w:tc>
        <w:tc>
          <w:tcPr>
            <w:tcW w:w="4979" w:type="dxa"/>
            <w:vAlign w:val="center"/>
          </w:tcPr>
          <w:p w14:paraId="4E146295" w14:textId="2ACED11E" w:rsidR="008727A1" w:rsidRPr="00E737B4" w:rsidRDefault="006754C0" w:rsidP="00215867">
            <w:pPr>
              <w:spacing w:after="0" w:line="240" w:lineRule="auto"/>
              <w:rPr>
                <w:rFonts w:ascii="Times New Roman" w:eastAsia="Times New Roman" w:hAnsi="Times New Roman"/>
                <w:sz w:val="20"/>
                <w:szCs w:val="20"/>
                <w:lang w:eastAsia="fr-FR"/>
              </w:rPr>
            </w:pPr>
            <w:r w:rsidRPr="00420C1B">
              <w:rPr>
                <w:rFonts w:ascii="Times New Roman" w:hAnsi="Times New Roman"/>
                <w:sz w:val="20"/>
                <w:szCs w:val="20"/>
              </w:rPr>
              <w:t xml:space="preserve">Nombre des plaintes enregistrées par les points focaux et le </w:t>
            </w:r>
            <w:r w:rsidR="008727A1" w:rsidRPr="00420C1B">
              <w:rPr>
                <w:rFonts w:ascii="Times New Roman" w:hAnsi="Times New Roman"/>
                <w:sz w:val="20"/>
                <w:szCs w:val="20"/>
              </w:rPr>
              <w:t xml:space="preserve">rapport de </w:t>
            </w:r>
            <w:r w:rsidRPr="00420C1B">
              <w:rPr>
                <w:rFonts w:ascii="Times New Roman" w:hAnsi="Times New Roman"/>
                <w:sz w:val="20"/>
                <w:szCs w:val="20"/>
              </w:rPr>
              <w:t xml:space="preserve">mise en œuvre du MGP sensible aux EAS et HS disponible </w:t>
            </w:r>
          </w:p>
          <w:p w14:paraId="7F16D347" w14:textId="77777777" w:rsidR="008727A1" w:rsidRPr="00420C1B" w:rsidRDefault="008727A1" w:rsidP="00215867">
            <w:pPr>
              <w:spacing w:after="0" w:line="240" w:lineRule="auto"/>
              <w:rPr>
                <w:rFonts w:ascii="Times New Roman" w:hAnsi="Times New Roman"/>
                <w:sz w:val="20"/>
                <w:szCs w:val="20"/>
              </w:rPr>
            </w:pPr>
          </w:p>
        </w:tc>
        <w:tc>
          <w:tcPr>
            <w:tcW w:w="2025" w:type="dxa"/>
            <w:tcBorders>
              <w:right w:val="single" w:sz="6" w:space="0" w:color="auto"/>
            </w:tcBorders>
            <w:vAlign w:val="center"/>
          </w:tcPr>
          <w:p w14:paraId="29B4533D"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 U</w:t>
            </w:r>
            <w:r w:rsidR="0073226F" w:rsidRPr="00420C1B">
              <w:rPr>
                <w:rFonts w:ascii="Times New Roman" w:hAnsi="Times New Roman"/>
                <w:sz w:val="20"/>
                <w:szCs w:val="20"/>
              </w:rPr>
              <w:t>G</w:t>
            </w:r>
            <w:r w:rsidRPr="00420C1B">
              <w:rPr>
                <w:rFonts w:ascii="Times New Roman" w:hAnsi="Times New Roman"/>
                <w:sz w:val="20"/>
                <w:szCs w:val="20"/>
              </w:rPr>
              <w:t>ES-UCM</w:t>
            </w:r>
          </w:p>
          <w:p w14:paraId="05EA1C29"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Collectivités</w:t>
            </w:r>
          </w:p>
        </w:tc>
      </w:tr>
      <w:tr w:rsidR="00D75D2E" w:rsidRPr="00420C1B" w14:paraId="12C96887" w14:textId="77777777" w:rsidTr="00E737B4">
        <w:trPr>
          <w:trHeight w:val="489"/>
          <w:jc w:val="center"/>
        </w:trPr>
        <w:tc>
          <w:tcPr>
            <w:tcW w:w="2122" w:type="dxa"/>
            <w:vAlign w:val="center"/>
          </w:tcPr>
          <w:p w14:paraId="1E87CAC7"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Embauche préférentielle des communautés locales</w:t>
            </w:r>
          </w:p>
        </w:tc>
        <w:tc>
          <w:tcPr>
            <w:tcW w:w="5338" w:type="dxa"/>
            <w:vAlign w:val="center"/>
          </w:tcPr>
          <w:p w14:paraId="5A7AFCAC"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Mettre en œuvre un fichier des habitants des communautés ayant bénéficié d’un emploi dans l’entreprise</w:t>
            </w:r>
          </w:p>
        </w:tc>
        <w:tc>
          <w:tcPr>
            <w:tcW w:w="4979" w:type="dxa"/>
          </w:tcPr>
          <w:p w14:paraId="3B3C49A9"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Enquêtes  et rapports de mission</w:t>
            </w:r>
          </w:p>
          <w:p w14:paraId="12E29B3C"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Présence des habitants locaux parmi le personnel de l’entreprise</w:t>
            </w:r>
          </w:p>
        </w:tc>
        <w:tc>
          <w:tcPr>
            <w:tcW w:w="2025" w:type="dxa"/>
            <w:tcBorders>
              <w:right w:val="single" w:sz="6" w:space="0" w:color="auto"/>
            </w:tcBorders>
            <w:vAlign w:val="center"/>
          </w:tcPr>
          <w:p w14:paraId="1A6A012D"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 U</w:t>
            </w:r>
            <w:r w:rsidR="0073226F" w:rsidRPr="00420C1B">
              <w:rPr>
                <w:rFonts w:ascii="Times New Roman" w:hAnsi="Times New Roman"/>
                <w:sz w:val="20"/>
                <w:szCs w:val="20"/>
              </w:rPr>
              <w:t>G</w:t>
            </w:r>
            <w:r w:rsidRPr="00420C1B">
              <w:rPr>
                <w:rFonts w:ascii="Times New Roman" w:hAnsi="Times New Roman"/>
                <w:sz w:val="20"/>
                <w:szCs w:val="20"/>
              </w:rPr>
              <w:t>ES-UCM</w:t>
            </w:r>
          </w:p>
          <w:p w14:paraId="6FBBCD8C"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Collectivités</w:t>
            </w:r>
          </w:p>
        </w:tc>
      </w:tr>
      <w:tr w:rsidR="00D75D2E" w:rsidRPr="00420C1B" w14:paraId="7A0CC8AB" w14:textId="77777777" w:rsidTr="00E737B4">
        <w:trPr>
          <w:trHeight w:val="489"/>
          <w:jc w:val="center"/>
        </w:trPr>
        <w:tc>
          <w:tcPr>
            <w:tcW w:w="2122" w:type="dxa"/>
            <w:vAlign w:val="center"/>
          </w:tcPr>
          <w:p w14:paraId="53BBAF79"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Dangers liés à la circulation des engins lourds</w:t>
            </w:r>
          </w:p>
        </w:tc>
        <w:tc>
          <w:tcPr>
            <w:tcW w:w="5338" w:type="dxa"/>
            <w:vAlign w:val="center"/>
          </w:tcPr>
          <w:p w14:paraId="6247AA25"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Performance sur le plan de la sécurité des travaux et nombre d’accidents</w:t>
            </w:r>
          </w:p>
        </w:tc>
        <w:tc>
          <w:tcPr>
            <w:tcW w:w="4979" w:type="dxa"/>
          </w:tcPr>
          <w:p w14:paraId="72572A93"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Contrôle lors des visites de terrain, enquêtes  et rapports de mission</w:t>
            </w:r>
          </w:p>
        </w:tc>
        <w:tc>
          <w:tcPr>
            <w:tcW w:w="2025" w:type="dxa"/>
            <w:tcBorders>
              <w:right w:val="single" w:sz="6" w:space="0" w:color="auto"/>
            </w:tcBorders>
            <w:vAlign w:val="center"/>
          </w:tcPr>
          <w:p w14:paraId="15094124"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 U</w:t>
            </w:r>
            <w:r w:rsidR="0073226F" w:rsidRPr="00420C1B">
              <w:rPr>
                <w:rFonts w:ascii="Times New Roman" w:hAnsi="Times New Roman"/>
                <w:sz w:val="20"/>
                <w:szCs w:val="20"/>
              </w:rPr>
              <w:t>G</w:t>
            </w:r>
            <w:r w:rsidRPr="00420C1B">
              <w:rPr>
                <w:rFonts w:ascii="Times New Roman" w:hAnsi="Times New Roman"/>
                <w:sz w:val="20"/>
                <w:szCs w:val="20"/>
              </w:rPr>
              <w:t>ES-UCM</w:t>
            </w:r>
          </w:p>
          <w:p w14:paraId="1F14BFBF"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tc>
      </w:tr>
      <w:tr w:rsidR="00D75D2E" w:rsidRPr="00420C1B" w14:paraId="447AABD2" w14:textId="77777777" w:rsidTr="00E737B4">
        <w:trPr>
          <w:trHeight w:val="489"/>
          <w:jc w:val="center"/>
        </w:trPr>
        <w:tc>
          <w:tcPr>
            <w:tcW w:w="2122" w:type="dxa"/>
            <w:vMerge w:val="restart"/>
            <w:vAlign w:val="center"/>
          </w:tcPr>
          <w:p w14:paraId="577B307F"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xml:space="preserve">Bruit, visibilité et vibrations </w:t>
            </w:r>
          </w:p>
          <w:p w14:paraId="2C005307" w14:textId="77777777" w:rsidR="008727A1" w:rsidRPr="00420C1B" w:rsidRDefault="008727A1" w:rsidP="00422EE3">
            <w:pPr>
              <w:autoSpaceDE w:val="0"/>
              <w:autoSpaceDN w:val="0"/>
              <w:adjustRightInd w:val="0"/>
              <w:spacing w:after="0" w:line="240" w:lineRule="auto"/>
              <w:jc w:val="both"/>
              <w:rPr>
                <w:rFonts w:ascii="Times New Roman" w:hAnsi="Times New Roman"/>
                <w:sz w:val="20"/>
                <w:szCs w:val="20"/>
              </w:rPr>
            </w:pPr>
          </w:p>
        </w:tc>
        <w:tc>
          <w:tcPr>
            <w:tcW w:w="5338" w:type="dxa"/>
            <w:vAlign w:val="center"/>
          </w:tcPr>
          <w:p w14:paraId="237DF3AF"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Plaintes et griefs des populations riveraines</w:t>
            </w:r>
          </w:p>
        </w:tc>
        <w:tc>
          <w:tcPr>
            <w:tcW w:w="4979" w:type="dxa"/>
            <w:vMerge w:val="restart"/>
          </w:tcPr>
          <w:p w14:paraId="31FA46A2"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Contrôle lors des visites de terrain, enquêtes  et rapports de mission</w:t>
            </w:r>
          </w:p>
        </w:tc>
        <w:tc>
          <w:tcPr>
            <w:tcW w:w="2025" w:type="dxa"/>
            <w:vMerge w:val="restart"/>
            <w:tcBorders>
              <w:right w:val="single" w:sz="6" w:space="0" w:color="auto"/>
            </w:tcBorders>
            <w:vAlign w:val="center"/>
          </w:tcPr>
          <w:p w14:paraId="69748852"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w:t>
            </w:r>
          </w:p>
          <w:p w14:paraId="369E98F7"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7D5F1A23"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tc>
      </w:tr>
      <w:tr w:rsidR="00D75D2E" w:rsidRPr="00420C1B" w14:paraId="1312442B" w14:textId="77777777" w:rsidTr="00E737B4">
        <w:trPr>
          <w:trHeight w:val="489"/>
          <w:jc w:val="center"/>
        </w:trPr>
        <w:tc>
          <w:tcPr>
            <w:tcW w:w="2122" w:type="dxa"/>
            <w:vMerge/>
            <w:vAlign w:val="center"/>
          </w:tcPr>
          <w:p w14:paraId="311E81EA" w14:textId="77777777" w:rsidR="008727A1" w:rsidRPr="00420C1B" w:rsidRDefault="008727A1" w:rsidP="00422EE3">
            <w:pPr>
              <w:autoSpaceDE w:val="0"/>
              <w:autoSpaceDN w:val="0"/>
              <w:adjustRightInd w:val="0"/>
              <w:spacing w:after="0" w:line="240" w:lineRule="auto"/>
              <w:jc w:val="both"/>
              <w:rPr>
                <w:rFonts w:ascii="Times New Roman" w:hAnsi="Times New Roman"/>
                <w:sz w:val="20"/>
                <w:szCs w:val="20"/>
              </w:rPr>
            </w:pPr>
          </w:p>
        </w:tc>
        <w:tc>
          <w:tcPr>
            <w:tcW w:w="5338" w:type="dxa"/>
            <w:vAlign w:val="center"/>
          </w:tcPr>
          <w:p w14:paraId="7A6AB3B0"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Niveau de bruit aux postes de travail</w:t>
            </w:r>
          </w:p>
        </w:tc>
        <w:tc>
          <w:tcPr>
            <w:tcW w:w="4979" w:type="dxa"/>
            <w:vMerge/>
          </w:tcPr>
          <w:p w14:paraId="6A7C644A" w14:textId="77777777" w:rsidR="008727A1" w:rsidRPr="00420C1B" w:rsidRDefault="008727A1" w:rsidP="00422EE3">
            <w:pPr>
              <w:spacing w:after="0" w:line="240" w:lineRule="auto"/>
              <w:jc w:val="both"/>
              <w:rPr>
                <w:rFonts w:ascii="Times New Roman" w:hAnsi="Times New Roman"/>
                <w:sz w:val="20"/>
                <w:szCs w:val="20"/>
              </w:rPr>
            </w:pPr>
          </w:p>
        </w:tc>
        <w:tc>
          <w:tcPr>
            <w:tcW w:w="2025" w:type="dxa"/>
            <w:vMerge/>
            <w:tcBorders>
              <w:right w:val="single" w:sz="6" w:space="0" w:color="auto"/>
            </w:tcBorders>
            <w:vAlign w:val="center"/>
          </w:tcPr>
          <w:p w14:paraId="412066BD" w14:textId="77777777" w:rsidR="008727A1" w:rsidRPr="00420C1B" w:rsidRDefault="008727A1" w:rsidP="00422EE3">
            <w:pPr>
              <w:spacing w:after="0" w:line="240" w:lineRule="auto"/>
              <w:jc w:val="both"/>
              <w:rPr>
                <w:rFonts w:ascii="Times New Roman" w:hAnsi="Times New Roman"/>
                <w:sz w:val="20"/>
                <w:szCs w:val="20"/>
              </w:rPr>
            </w:pPr>
          </w:p>
        </w:tc>
      </w:tr>
      <w:tr w:rsidR="00D75D2E" w:rsidRPr="00420C1B" w14:paraId="74996348" w14:textId="77777777" w:rsidTr="00E737B4">
        <w:trPr>
          <w:trHeight w:val="489"/>
          <w:jc w:val="center"/>
        </w:trPr>
        <w:tc>
          <w:tcPr>
            <w:tcW w:w="2122" w:type="dxa"/>
            <w:vAlign w:val="center"/>
          </w:tcPr>
          <w:p w14:paraId="3ECDE17D" w14:textId="77777777" w:rsidR="008727A1" w:rsidRPr="00E737B4" w:rsidRDefault="008727A1" w:rsidP="00422EE3">
            <w:pPr>
              <w:autoSpaceDE w:val="0"/>
              <w:autoSpaceDN w:val="0"/>
              <w:adjustRightInd w:val="0"/>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Poussière et émission atmosphériques sur le lieu de travail</w:t>
            </w:r>
          </w:p>
        </w:tc>
        <w:tc>
          <w:tcPr>
            <w:tcW w:w="5338" w:type="dxa"/>
            <w:vAlign w:val="center"/>
          </w:tcPr>
          <w:p w14:paraId="7B505744"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Plaintes et griefs des employés aux postes de travail</w:t>
            </w:r>
          </w:p>
          <w:p w14:paraId="5430CA42"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 xml:space="preserve">Suivi des Infections Respiratoires Aigues </w:t>
            </w:r>
          </w:p>
        </w:tc>
        <w:tc>
          <w:tcPr>
            <w:tcW w:w="4979" w:type="dxa"/>
          </w:tcPr>
          <w:p w14:paraId="6ECC17DF"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Contrôle visuel lors des visites de terrain, enquêtes  et rapports de mission</w:t>
            </w:r>
          </w:p>
          <w:p w14:paraId="26BCB44F"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Nombre et nature de plaintes enregistrés</w:t>
            </w:r>
          </w:p>
          <w:p w14:paraId="305DFC90"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Registre médical</w:t>
            </w:r>
          </w:p>
        </w:tc>
        <w:tc>
          <w:tcPr>
            <w:tcW w:w="2025" w:type="dxa"/>
            <w:tcBorders>
              <w:right w:val="single" w:sz="6" w:space="0" w:color="auto"/>
            </w:tcBorders>
            <w:vAlign w:val="center"/>
          </w:tcPr>
          <w:p w14:paraId="20AEED31"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w:t>
            </w:r>
          </w:p>
          <w:p w14:paraId="71CE3236"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 U</w:t>
            </w:r>
            <w:r w:rsidR="0073226F" w:rsidRPr="00420C1B">
              <w:rPr>
                <w:rFonts w:ascii="Times New Roman" w:hAnsi="Times New Roman"/>
                <w:sz w:val="20"/>
                <w:szCs w:val="20"/>
              </w:rPr>
              <w:t>G</w:t>
            </w:r>
            <w:r w:rsidRPr="00420C1B">
              <w:rPr>
                <w:rFonts w:ascii="Times New Roman" w:hAnsi="Times New Roman"/>
                <w:sz w:val="20"/>
                <w:szCs w:val="20"/>
              </w:rPr>
              <w:t>ES-UCM</w:t>
            </w:r>
          </w:p>
          <w:p w14:paraId="0E69316A"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CPE/ ACE</w:t>
            </w:r>
          </w:p>
        </w:tc>
      </w:tr>
      <w:tr w:rsidR="008727A1" w:rsidRPr="00420C1B" w14:paraId="1C34F412" w14:textId="77777777" w:rsidTr="00E737B4">
        <w:trPr>
          <w:trHeight w:val="489"/>
          <w:jc w:val="center"/>
        </w:trPr>
        <w:tc>
          <w:tcPr>
            <w:tcW w:w="2122" w:type="dxa"/>
            <w:vAlign w:val="center"/>
          </w:tcPr>
          <w:p w14:paraId="3B82AEB4"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Mesures de réduction des impacts négatifs liés à la mise en service des lignes</w:t>
            </w:r>
          </w:p>
        </w:tc>
        <w:tc>
          <w:tcPr>
            <w:tcW w:w="5338" w:type="dxa"/>
            <w:vAlign w:val="center"/>
          </w:tcPr>
          <w:p w14:paraId="1F74F873" w14:textId="77777777" w:rsidR="008727A1" w:rsidRPr="00420C1B" w:rsidRDefault="008727A1" w:rsidP="008C79F0">
            <w:pPr>
              <w:numPr>
                <w:ilvl w:val="0"/>
                <w:numId w:val="188"/>
              </w:numPr>
              <w:spacing w:after="0" w:line="240" w:lineRule="auto"/>
              <w:jc w:val="both"/>
              <w:rPr>
                <w:rFonts w:ascii="Times New Roman" w:hAnsi="Times New Roman"/>
                <w:sz w:val="20"/>
                <w:szCs w:val="20"/>
              </w:rPr>
            </w:pPr>
            <w:r w:rsidRPr="00420C1B">
              <w:rPr>
                <w:rFonts w:ascii="Times New Roman" w:hAnsi="Times New Roman"/>
                <w:sz w:val="20"/>
                <w:szCs w:val="20"/>
              </w:rPr>
              <w:t>Contrôle basé sur :</w:t>
            </w:r>
          </w:p>
          <w:p w14:paraId="656C0B13"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les comptes rendus socioéconomiques ;</w:t>
            </w:r>
          </w:p>
          <w:p w14:paraId="7CF1B3B0"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la qualité de l’air ;</w:t>
            </w:r>
          </w:p>
          <w:p w14:paraId="5F875455" w14:textId="77777777" w:rsidR="008727A1" w:rsidRPr="00420C1B" w:rsidRDefault="008727A1" w:rsidP="008C79F0">
            <w:pPr>
              <w:numPr>
                <w:ilvl w:val="0"/>
                <w:numId w:val="191"/>
              </w:numPr>
              <w:spacing w:after="0" w:line="240" w:lineRule="auto"/>
              <w:jc w:val="both"/>
              <w:rPr>
                <w:rFonts w:ascii="Times New Roman" w:hAnsi="Times New Roman"/>
                <w:sz w:val="20"/>
                <w:szCs w:val="20"/>
              </w:rPr>
            </w:pPr>
            <w:r w:rsidRPr="00420C1B">
              <w:rPr>
                <w:rFonts w:ascii="Times New Roman" w:hAnsi="Times New Roman"/>
                <w:sz w:val="20"/>
                <w:szCs w:val="20"/>
              </w:rPr>
              <w:t>les plaintes enregistrées.</w:t>
            </w:r>
          </w:p>
        </w:tc>
        <w:tc>
          <w:tcPr>
            <w:tcW w:w="4979" w:type="dxa"/>
          </w:tcPr>
          <w:p w14:paraId="65BB2235"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Rapport de mission de suivi et d’enquêtes du BEGES</w:t>
            </w:r>
          </w:p>
        </w:tc>
        <w:tc>
          <w:tcPr>
            <w:tcW w:w="2025" w:type="dxa"/>
            <w:tcBorders>
              <w:right w:val="single" w:sz="6" w:space="0" w:color="auto"/>
            </w:tcBorders>
          </w:tcPr>
          <w:p w14:paraId="571C4995" w14:textId="77777777" w:rsidR="008727A1" w:rsidRPr="00420C1B" w:rsidRDefault="008727A1" w:rsidP="00422EE3">
            <w:pPr>
              <w:spacing w:after="0" w:line="240" w:lineRule="auto"/>
              <w:jc w:val="both"/>
              <w:rPr>
                <w:rFonts w:ascii="Times New Roman" w:hAnsi="Times New Roman"/>
                <w:sz w:val="20"/>
                <w:szCs w:val="20"/>
              </w:rPr>
            </w:pPr>
          </w:p>
          <w:p w14:paraId="733FBC68" w14:textId="77777777" w:rsidR="008727A1" w:rsidRPr="00E737B4" w:rsidRDefault="008727A1" w:rsidP="00422EE3">
            <w:pPr>
              <w:spacing w:after="0" w:line="240" w:lineRule="auto"/>
              <w:jc w:val="both"/>
              <w:rPr>
                <w:rFonts w:ascii="Times New Roman" w:eastAsia="Times New Roman" w:hAnsi="Times New Roman"/>
                <w:sz w:val="20"/>
                <w:szCs w:val="20"/>
                <w:lang w:eastAsia="fr-FR"/>
              </w:rPr>
            </w:pPr>
            <w:r w:rsidRPr="00420C1B">
              <w:rPr>
                <w:rFonts w:ascii="Times New Roman" w:hAnsi="Times New Roman"/>
                <w:sz w:val="20"/>
                <w:szCs w:val="20"/>
              </w:rPr>
              <w:t>MdC/ U</w:t>
            </w:r>
            <w:r w:rsidR="0073226F" w:rsidRPr="00420C1B">
              <w:rPr>
                <w:rFonts w:ascii="Times New Roman" w:hAnsi="Times New Roman"/>
                <w:sz w:val="20"/>
                <w:szCs w:val="20"/>
              </w:rPr>
              <w:t>G</w:t>
            </w:r>
            <w:r w:rsidRPr="00420C1B">
              <w:rPr>
                <w:rFonts w:ascii="Times New Roman" w:hAnsi="Times New Roman"/>
                <w:sz w:val="20"/>
                <w:szCs w:val="20"/>
              </w:rPr>
              <w:t>ES-UCM</w:t>
            </w:r>
          </w:p>
          <w:p w14:paraId="6F2BD578" w14:textId="77777777" w:rsidR="008727A1" w:rsidRPr="00420C1B" w:rsidRDefault="008727A1" w:rsidP="00422EE3">
            <w:pPr>
              <w:spacing w:after="0" w:line="240" w:lineRule="auto"/>
              <w:jc w:val="both"/>
              <w:rPr>
                <w:rFonts w:ascii="Times New Roman" w:hAnsi="Times New Roman"/>
                <w:sz w:val="20"/>
                <w:szCs w:val="20"/>
              </w:rPr>
            </w:pPr>
          </w:p>
          <w:p w14:paraId="7FA947D0" w14:textId="77777777" w:rsidR="008727A1" w:rsidRPr="00420C1B" w:rsidRDefault="008727A1" w:rsidP="00422EE3">
            <w:pPr>
              <w:spacing w:after="0" w:line="240" w:lineRule="auto"/>
              <w:jc w:val="both"/>
              <w:rPr>
                <w:rFonts w:ascii="Times New Roman" w:hAnsi="Times New Roman"/>
                <w:sz w:val="20"/>
                <w:szCs w:val="20"/>
              </w:rPr>
            </w:pPr>
            <w:r w:rsidRPr="00420C1B">
              <w:rPr>
                <w:rFonts w:ascii="Times New Roman" w:hAnsi="Times New Roman"/>
                <w:sz w:val="20"/>
                <w:szCs w:val="20"/>
              </w:rPr>
              <w:t>CPE</w:t>
            </w:r>
          </w:p>
        </w:tc>
      </w:tr>
    </w:tbl>
    <w:p w14:paraId="3684139B" w14:textId="3FA5504A" w:rsidR="00F16F4B" w:rsidRPr="00E737B4" w:rsidRDefault="00F16F4B" w:rsidP="00E737B4">
      <w:pPr>
        <w:spacing w:before="80"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w:t>
      </w:r>
      <w:r w:rsidR="006754C0" w:rsidRPr="00E737B4">
        <w:rPr>
          <w:rFonts w:ascii="Times New Roman" w:hAnsi="Times New Roman"/>
          <w:bCs/>
          <w:i/>
          <w:sz w:val="24"/>
        </w:rPr>
        <w:t>d’</w:t>
      </w:r>
      <w:r w:rsidR="006754C0">
        <w:rPr>
          <w:rFonts w:ascii="Times New Roman" w:hAnsi="Times New Roman"/>
          <w:bCs/>
          <w:i/>
          <w:sz w:val="24"/>
        </w:rPr>
        <w:t>actu</w:t>
      </w:r>
      <w:r w:rsidR="006754C0" w:rsidRPr="00E737B4">
        <w:rPr>
          <w:rFonts w:ascii="Times New Roman" w:hAnsi="Times New Roman"/>
          <w:bCs/>
          <w:i/>
          <w:sz w:val="24"/>
        </w:rPr>
        <w:t>a</w:t>
      </w:r>
      <w:r w:rsidR="006754C0">
        <w:rPr>
          <w:rFonts w:ascii="Times New Roman" w:hAnsi="Times New Roman"/>
          <w:bCs/>
          <w:i/>
          <w:sz w:val="24"/>
        </w:rPr>
        <w:t>li</w:t>
      </w:r>
      <w:r w:rsidR="00A005D6">
        <w:rPr>
          <w:rFonts w:ascii="Times New Roman" w:hAnsi="Times New Roman"/>
          <w:bCs/>
          <w:i/>
          <w:sz w:val="24"/>
        </w:rPr>
        <w:t>sa</w:t>
      </w:r>
      <w:r w:rsidR="006754C0" w:rsidRPr="00E737B4">
        <w:rPr>
          <w:rFonts w:ascii="Times New Roman" w:hAnsi="Times New Roman"/>
          <w:bCs/>
          <w:i/>
          <w:sz w:val="24"/>
        </w:rPr>
        <w:t xml:space="preserve">tion </w:t>
      </w:r>
      <w:r w:rsidRPr="00E737B4">
        <w:rPr>
          <w:rFonts w:ascii="Times New Roman" w:hAnsi="Times New Roman"/>
          <w:bCs/>
          <w:i/>
          <w:sz w:val="24"/>
        </w:rPr>
        <w:t>de l’EIES DKC</w:t>
      </w:r>
      <w:r w:rsidR="006754C0">
        <w:rPr>
          <w:rFonts w:ascii="Times New Roman" w:hAnsi="Times New Roman"/>
          <w:bCs/>
          <w:i/>
          <w:sz w:val="24"/>
        </w:rPr>
        <w:t>&amp;</w:t>
      </w:r>
      <w:r w:rsidRPr="00E737B4">
        <w:rPr>
          <w:rFonts w:ascii="Times New Roman" w:hAnsi="Times New Roman"/>
          <w:bCs/>
          <w:i/>
          <w:sz w:val="24"/>
        </w:rPr>
        <w:t xml:space="preserve"> DKO</w:t>
      </w:r>
      <w:r w:rsidR="006754C0">
        <w:rPr>
          <w:rFonts w:ascii="Times New Roman" w:hAnsi="Times New Roman"/>
          <w:bCs/>
          <w:i/>
          <w:sz w:val="24"/>
        </w:rPr>
        <w:t>,</w:t>
      </w:r>
      <w:r w:rsidRPr="00E737B4">
        <w:rPr>
          <w:rFonts w:ascii="Times New Roman" w:hAnsi="Times New Roman"/>
          <w:bCs/>
          <w:i/>
          <w:sz w:val="24"/>
        </w:rPr>
        <w:t xml:space="preserve">  juillet 2021</w:t>
      </w:r>
    </w:p>
    <w:p w14:paraId="03F0FC93" w14:textId="77777777" w:rsidR="00AE61CE" w:rsidRPr="00E737B4" w:rsidRDefault="00AE61CE" w:rsidP="00E737B4">
      <w:pPr>
        <w:spacing w:before="80" w:after="0" w:line="240" w:lineRule="auto"/>
        <w:jc w:val="center"/>
        <w:rPr>
          <w:rFonts w:ascii="Times New Roman" w:hAnsi="Times New Roman"/>
          <w:bCs/>
          <w:i/>
          <w:sz w:val="24"/>
        </w:rPr>
      </w:pPr>
    </w:p>
    <w:p w14:paraId="4F165005" w14:textId="77777777" w:rsidR="008727A1" w:rsidRPr="00D75D2E" w:rsidRDefault="008727A1" w:rsidP="008727A1">
      <w:pPr>
        <w:spacing w:after="0" w:line="240" w:lineRule="auto"/>
        <w:jc w:val="both"/>
        <w:rPr>
          <w:rFonts w:ascii="Times New Roman" w:hAnsi="Times New Roman"/>
          <w:sz w:val="20"/>
          <w:u w:val="single"/>
        </w:rPr>
        <w:sectPr w:rsidR="008727A1" w:rsidRPr="00D75D2E" w:rsidSect="00422EE3">
          <w:pgSz w:w="16840" w:h="11907" w:orient="landscape" w:code="9"/>
          <w:pgMar w:top="1418" w:right="1418" w:bottom="1418" w:left="1418" w:header="720" w:footer="720" w:gutter="0"/>
          <w:cols w:space="720"/>
          <w:titlePg/>
          <w:docGrid w:linePitch="360"/>
        </w:sectPr>
      </w:pPr>
    </w:p>
    <w:p w14:paraId="2608A7A2" w14:textId="4405F901" w:rsidR="00244161" w:rsidRPr="00D75D2E" w:rsidRDefault="00244161" w:rsidP="00E737B4">
      <w:pPr>
        <w:pStyle w:val="Default"/>
        <w:keepNext/>
        <w:tabs>
          <w:tab w:val="left" w:pos="6096"/>
        </w:tabs>
        <w:spacing w:after="80"/>
        <w:rPr>
          <w:color w:val="auto"/>
          <w:sz w:val="22"/>
          <w:szCs w:val="22"/>
        </w:rPr>
      </w:pPr>
      <w:bookmarkStart w:id="1003" w:name="_Toc519048956"/>
      <w:bookmarkStart w:id="1004" w:name="_Toc93050332"/>
      <w:r w:rsidRPr="00E737B4">
        <w:rPr>
          <w:color w:val="auto"/>
          <w:szCs w:val="22"/>
        </w:rPr>
        <w:t xml:space="preserve">Tableau </w:t>
      </w:r>
      <w:r w:rsidRPr="00E737B4">
        <w:rPr>
          <w:color w:val="auto"/>
          <w:szCs w:val="22"/>
        </w:rPr>
        <w:fldChar w:fldCharType="begin"/>
      </w:r>
      <w:r w:rsidRPr="00E737B4">
        <w:rPr>
          <w:color w:val="auto"/>
          <w:szCs w:val="22"/>
        </w:rPr>
        <w:instrText xml:space="preserve"> SEQ Tableau \* ARABIC </w:instrText>
      </w:r>
      <w:r w:rsidRPr="00E737B4">
        <w:rPr>
          <w:color w:val="auto"/>
          <w:szCs w:val="22"/>
        </w:rPr>
        <w:fldChar w:fldCharType="separate"/>
      </w:r>
      <w:r w:rsidR="00A86929">
        <w:rPr>
          <w:noProof/>
          <w:color w:val="auto"/>
          <w:szCs w:val="22"/>
        </w:rPr>
        <w:t>70</w:t>
      </w:r>
      <w:r w:rsidRPr="00E737B4">
        <w:rPr>
          <w:color w:val="auto"/>
          <w:szCs w:val="22"/>
        </w:rPr>
        <w:fldChar w:fldCharType="end"/>
      </w:r>
      <w:r w:rsidRPr="00E737B4">
        <w:rPr>
          <w:color w:val="auto"/>
          <w:szCs w:val="22"/>
        </w:rPr>
        <w:t> : Programme de surveillance environnementale du PGES</w:t>
      </w:r>
      <w:bookmarkEnd w:id="1000"/>
      <w:bookmarkEnd w:id="1003"/>
      <w:bookmarkEnd w:id="1004"/>
    </w:p>
    <w:tbl>
      <w:tblPr>
        <w:tblW w:w="1547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612"/>
        <w:gridCol w:w="1163"/>
        <w:gridCol w:w="1672"/>
        <w:gridCol w:w="403"/>
        <w:gridCol w:w="1440"/>
        <w:gridCol w:w="596"/>
        <w:gridCol w:w="1247"/>
        <w:gridCol w:w="483"/>
        <w:gridCol w:w="651"/>
        <w:gridCol w:w="151"/>
        <w:gridCol w:w="1182"/>
        <w:gridCol w:w="1276"/>
        <w:gridCol w:w="1420"/>
        <w:gridCol w:w="1381"/>
      </w:tblGrid>
      <w:tr w:rsidR="00D75D2E" w:rsidRPr="00420C1B" w14:paraId="4EDA3F56" w14:textId="77777777" w:rsidTr="00215867">
        <w:trPr>
          <w:trHeight w:val="427"/>
          <w:tblHeader/>
        </w:trPr>
        <w:tc>
          <w:tcPr>
            <w:tcW w:w="798" w:type="dxa"/>
            <w:vMerge w:val="restart"/>
            <w:shd w:val="clear" w:color="auto" w:fill="92D050"/>
            <w:vAlign w:val="center"/>
          </w:tcPr>
          <w:p w14:paraId="3513C732" w14:textId="77777777" w:rsidR="00244161" w:rsidRPr="00420C1B" w:rsidRDefault="00244161" w:rsidP="0062151B">
            <w:pPr>
              <w:spacing w:after="0" w:line="240" w:lineRule="auto"/>
              <w:jc w:val="both"/>
              <w:rPr>
                <w:rFonts w:ascii="Times New Roman" w:hAnsi="Times New Roman"/>
                <w:b/>
                <w:sz w:val="20"/>
                <w:szCs w:val="20"/>
              </w:rPr>
            </w:pPr>
            <w:bookmarkStart w:id="1005" w:name="_Hlk519032719"/>
            <w:r w:rsidRPr="00420C1B">
              <w:rPr>
                <w:rFonts w:ascii="Times New Roman" w:hAnsi="Times New Roman"/>
                <w:b/>
                <w:sz w:val="20"/>
                <w:szCs w:val="20"/>
              </w:rPr>
              <w:t>Phase projet</w:t>
            </w:r>
          </w:p>
        </w:tc>
        <w:tc>
          <w:tcPr>
            <w:tcW w:w="1612" w:type="dxa"/>
            <w:vMerge w:val="restart"/>
            <w:shd w:val="clear" w:color="auto" w:fill="92D050"/>
          </w:tcPr>
          <w:p w14:paraId="52CD9EBB"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Activités sources d’impact</w:t>
            </w:r>
          </w:p>
        </w:tc>
        <w:tc>
          <w:tcPr>
            <w:tcW w:w="1163" w:type="dxa"/>
            <w:vMerge w:val="restart"/>
            <w:shd w:val="clear" w:color="auto" w:fill="92D050"/>
          </w:tcPr>
          <w:p w14:paraId="354F5668"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Récepteur d’impact</w:t>
            </w:r>
          </w:p>
        </w:tc>
        <w:tc>
          <w:tcPr>
            <w:tcW w:w="1672" w:type="dxa"/>
            <w:vMerge w:val="restart"/>
            <w:shd w:val="clear" w:color="auto" w:fill="92D050"/>
            <w:vAlign w:val="center"/>
          </w:tcPr>
          <w:p w14:paraId="3FB2B1E4"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Impacts potentiels </w:t>
            </w:r>
          </w:p>
        </w:tc>
        <w:tc>
          <w:tcPr>
            <w:tcW w:w="1843" w:type="dxa"/>
            <w:gridSpan w:val="2"/>
            <w:vMerge w:val="restart"/>
            <w:shd w:val="clear" w:color="auto" w:fill="92D050"/>
            <w:vAlign w:val="center"/>
          </w:tcPr>
          <w:p w14:paraId="455F5710"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Mesures d’atténuation</w:t>
            </w:r>
          </w:p>
        </w:tc>
        <w:tc>
          <w:tcPr>
            <w:tcW w:w="1843" w:type="dxa"/>
            <w:gridSpan w:val="2"/>
            <w:vMerge w:val="restart"/>
            <w:shd w:val="clear" w:color="auto" w:fill="92D050"/>
            <w:vAlign w:val="center"/>
          </w:tcPr>
          <w:p w14:paraId="759BD57B"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Indicateur de suivi</w:t>
            </w:r>
          </w:p>
        </w:tc>
        <w:tc>
          <w:tcPr>
            <w:tcW w:w="3743" w:type="dxa"/>
            <w:gridSpan w:val="5"/>
            <w:shd w:val="clear" w:color="auto" w:fill="92D050"/>
            <w:vAlign w:val="center"/>
          </w:tcPr>
          <w:p w14:paraId="7659B343"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Responsabilités</w:t>
            </w:r>
          </w:p>
        </w:tc>
        <w:tc>
          <w:tcPr>
            <w:tcW w:w="1420" w:type="dxa"/>
            <w:vMerge w:val="restart"/>
            <w:shd w:val="clear" w:color="auto" w:fill="92D050"/>
            <w:vAlign w:val="center"/>
          </w:tcPr>
          <w:p w14:paraId="6A3EFA9D"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 xml:space="preserve">Calendrier de réalisation </w:t>
            </w:r>
          </w:p>
        </w:tc>
        <w:tc>
          <w:tcPr>
            <w:tcW w:w="1381" w:type="dxa"/>
            <w:vMerge w:val="restart"/>
            <w:shd w:val="clear" w:color="auto" w:fill="92D050"/>
            <w:vAlign w:val="center"/>
          </w:tcPr>
          <w:p w14:paraId="0D213AD2"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Couts (Dollars us)</w:t>
            </w:r>
          </w:p>
        </w:tc>
      </w:tr>
      <w:tr w:rsidR="00D75D2E" w:rsidRPr="00420C1B" w14:paraId="10CB0B1C" w14:textId="77777777" w:rsidTr="00215867">
        <w:trPr>
          <w:trHeight w:val="423"/>
        </w:trPr>
        <w:tc>
          <w:tcPr>
            <w:tcW w:w="798" w:type="dxa"/>
            <w:vMerge/>
            <w:vAlign w:val="center"/>
          </w:tcPr>
          <w:p w14:paraId="25BCB729" w14:textId="77777777" w:rsidR="00244161" w:rsidRPr="00420C1B" w:rsidRDefault="00244161" w:rsidP="0062151B">
            <w:pPr>
              <w:spacing w:after="0" w:line="240" w:lineRule="auto"/>
              <w:jc w:val="both"/>
              <w:rPr>
                <w:rFonts w:ascii="Times New Roman" w:hAnsi="Times New Roman"/>
                <w:b/>
                <w:sz w:val="20"/>
                <w:szCs w:val="20"/>
              </w:rPr>
            </w:pPr>
          </w:p>
        </w:tc>
        <w:tc>
          <w:tcPr>
            <w:tcW w:w="1612" w:type="dxa"/>
            <w:vMerge/>
          </w:tcPr>
          <w:p w14:paraId="53CB6F78" w14:textId="77777777" w:rsidR="00244161" w:rsidRPr="00420C1B" w:rsidRDefault="00244161" w:rsidP="0062151B">
            <w:pPr>
              <w:spacing w:after="0" w:line="240" w:lineRule="auto"/>
              <w:jc w:val="both"/>
              <w:rPr>
                <w:rFonts w:ascii="Times New Roman" w:hAnsi="Times New Roman"/>
                <w:b/>
                <w:sz w:val="20"/>
                <w:szCs w:val="20"/>
              </w:rPr>
            </w:pPr>
          </w:p>
        </w:tc>
        <w:tc>
          <w:tcPr>
            <w:tcW w:w="1163" w:type="dxa"/>
            <w:vMerge/>
          </w:tcPr>
          <w:p w14:paraId="3E8024B0" w14:textId="77777777" w:rsidR="00244161" w:rsidRPr="00420C1B" w:rsidRDefault="00244161" w:rsidP="0062151B">
            <w:pPr>
              <w:spacing w:after="0" w:line="240" w:lineRule="auto"/>
              <w:jc w:val="both"/>
              <w:rPr>
                <w:rFonts w:ascii="Times New Roman" w:hAnsi="Times New Roman"/>
                <w:b/>
                <w:sz w:val="20"/>
                <w:szCs w:val="20"/>
              </w:rPr>
            </w:pPr>
          </w:p>
        </w:tc>
        <w:tc>
          <w:tcPr>
            <w:tcW w:w="1672" w:type="dxa"/>
            <w:vMerge/>
            <w:vAlign w:val="center"/>
          </w:tcPr>
          <w:p w14:paraId="550C4276" w14:textId="77777777" w:rsidR="00244161" w:rsidRPr="00420C1B" w:rsidRDefault="00244161" w:rsidP="0062151B">
            <w:pPr>
              <w:spacing w:after="0" w:line="240" w:lineRule="auto"/>
              <w:jc w:val="both"/>
              <w:rPr>
                <w:rFonts w:ascii="Times New Roman" w:hAnsi="Times New Roman"/>
                <w:b/>
                <w:sz w:val="20"/>
                <w:szCs w:val="20"/>
              </w:rPr>
            </w:pPr>
          </w:p>
        </w:tc>
        <w:tc>
          <w:tcPr>
            <w:tcW w:w="1843" w:type="dxa"/>
            <w:gridSpan w:val="2"/>
            <w:vMerge/>
            <w:vAlign w:val="center"/>
          </w:tcPr>
          <w:p w14:paraId="525E907E" w14:textId="77777777" w:rsidR="00244161" w:rsidRPr="00420C1B" w:rsidRDefault="00244161" w:rsidP="0062151B">
            <w:pPr>
              <w:spacing w:after="0" w:line="240" w:lineRule="auto"/>
              <w:jc w:val="both"/>
              <w:rPr>
                <w:rFonts w:ascii="Times New Roman" w:hAnsi="Times New Roman"/>
                <w:b/>
                <w:sz w:val="20"/>
                <w:szCs w:val="20"/>
              </w:rPr>
            </w:pPr>
          </w:p>
        </w:tc>
        <w:tc>
          <w:tcPr>
            <w:tcW w:w="1843" w:type="dxa"/>
            <w:gridSpan w:val="2"/>
            <w:vMerge/>
            <w:vAlign w:val="center"/>
          </w:tcPr>
          <w:p w14:paraId="10DA13A2" w14:textId="77777777" w:rsidR="00244161" w:rsidRPr="00420C1B" w:rsidRDefault="00244161" w:rsidP="0062151B">
            <w:pPr>
              <w:spacing w:after="0" w:line="240" w:lineRule="auto"/>
              <w:jc w:val="both"/>
              <w:rPr>
                <w:rFonts w:ascii="Times New Roman" w:hAnsi="Times New Roman"/>
                <w:b/>
                <w:sz w:val="20"/>
                <w:szCs w:val="20"/>
              </w:rPr>
            </w:pPr>
          </w:p>
        </w:tc>
        <w:tc>
          <w:tcPr>
            <w:tcW w:w="1134" w:type="dxa"/>
            <w:gridSpan w:val="2"/>
            <w:shd w:val="clear" w:color="auto" w:fill="92D050"/>
            <w:vAlign w:val="center"/>
          </w:tcPr>
          <w:p w14:paraId="192FE9DF"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Exécution</w:t>
            </w:r>
          </w:p>
        </w:tc>
        <w:tc>
          <w:tcPr>
            <w:tcW w:w="1333" w:type="dxa"/>
            <w:gridSpan w:val="2"/>
            <w:shd w:val="clear" w:color="auto" w:fill="92D050"/>
            <w:vAlign w:val="center"/>
          </w:tcPr>
          <w:p w14:paraId="5E2BD671"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Surveillance</w:t>
            </w:r>
          </w:p>
        </w:tc>
        <w:tc>
          <w:tcPr>
            <w:tcW w:w="1276" w:type="dxa"/>
            <w:shd w:val="clear" w:color="auto" w:fill="92D050"/>
            <w:vAlign w:val="center"/>
          </w:tcPr>
          <w:p w14:paraId="52CEA35D"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Suivi</w:t>
            </w:r>
          </w:p>
        </w:tc>
        <w:tc>
          <w:tcPr>
            <w:tcW w:w="1420" w:type="dxa"/>
            <w:vMerge/>
            <w:vAlign w:val="center"/>
          </w:tcPr>
          <w:p w14:paraId="5C5DF95B" w14:textId="77777777" w:rsidR="00244161" w:rsidRPr="00420C1B" w:rsidRDefault="00244161" w:rsidP="0062151B">
            <w:pPr>
              <w:spacing w:after="0" w:line="240" w:lineRule="auto"/>
              <w:jc w:val="both"/>
              <w:rPr>
                <w:rFonts w:ascii="Times New Roman" w:hAnsi="Times New Roman"/>
                <w:b/>
                <w:sz w:val="20"/>
                <w:szCs w:val="20"/>
              </w:rPr>
            </w:pPr>
          </w:p>
        </w:tc>
        <w:tc>
          <w:tcPr>
            <w:tcW w:w="1381" w:type="dxa"/>
            <w:vMerge/>
            <w:vAlign w:val="center"/>
          </w:tcPr>
          <w:p w14:paraId="1C33F858" w14:textId="77777777" w:rsidR="00244161" w:rsidRPr="00420C1B" w:rsidRDefault="00244161" w:rsidP="0062151B">
            <w:pPr>
              <w:spacing w:after="0" w:line="240" w:lineRule="auto"/>
              <w:jc w:val="both"/>
              <w:rPr>
                <w:rFonts w:ascii="Times New Roman" w:hAnsi="Times New Roman"/>
                <w:b/>
                <w:sz w:val="20"/>
                <w:szCs w:val="20"/>
              </w:rPr>
            </w:pPr>
          </w:p>
        </w:tc>
      </w:tr>
      <w:tr w:rsidR="00D75D2E" w:rsidRPr="00420C1B" w14:paraId="06D8AF35" w14:textId="77777777" w:rsidTr="00420C1B">
        <w:trPr>
          <w:trHeight w:val="142"/>
        </w:trPr>
        <w:tc>
          <w:tcPr>
            <w:tcW w:w="798" w:type="dxa"/>
            <w:vMerge w:val="restart"/>
            <w:shd w:val="clear" w:color="auto" w:fill="D9D9D9"/>
            <w:textDirection w:val="btLr"/>
            <w:vAlign w:val="center"/>
          </w:tcPr>
          <w:p w14:paraId="5875DB0E" w14:textId="77777777" w:rsidR="00244161" w:rsidRPr="00420C1B" w:rsidRDefault="00244161"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PREPARATOIRE</w:t>
            </w:r>
          </w:p>
        </w:tc>
        <w:tc>
          <w:tcPr>
            <w:tcW w:w="14677" w:type="dxa"/>
            <w:gridSpan w:val="14"/>
            <w:shd w:val="clear" w:color="auto" w:fill="D9D9D9"/>
          </w:tcPr>
          <w:p w14:paraId="3C619688"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Impacts environnementaux</w:t>
            </w:r>
          </w:p>
        </w:tc>
      </w:tr>
      <w:tr w:rsidR="002C66D7" w:rsidRPr="00420C1B" w14:paraId="2A4C5A02" w14:textId="77777777" w:rsidTr="00420C1B">
        <w:trPr>
          <w:trHeight w:val="1301"/>
        </w:trPr>
        <w:tc>
          <w:tcPr>
            <w:tcW w:w="798" w:type="dxa"/>
            <w:vMerge/>
            <w:shd w:val="clear" w:color="auto" w:fill="D9D9D9"/>
            <w:vAlign w:val="center"/>
          </w:tcPr>
          <w:p w14:paraId="41C648E3" w14:textId="77777777" w:rsidR="00244161" w:rsidRPr="00420C1B" w:rsidRDefault="00244161" w:rsidP="0062151B">
            <w:pPr>
              <w:spacing w:after="0" w:line="240" w:lineRule="auto"/>
              <w:jc w:val="both"/>
              <w:rPr>
                <w:rFonts w:ascii="Times New Roman" w:hAnsi="Times New Roman"/>
                <w:b/>
                <w:sz w:val="20"/>
                <w:szCs w:val="20"/>
              </w:rPr>
            </w:pPr>
          </w:p>
        </w:tc>
        <w:tc>
          <w:tcPr>
            <w:tcW w:w="1612" w:type="dxa"/>
            <w:vAlign w:val="center"/>
          </w:tcPr>
          <w:p w14:paraId="6EE714FD"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Libération des emprises du projet</w:t>
            </w:r>
          </w:p>
        </w:tc>
        <w:tc>
          <w:tcPr>
            <w:tcW w:w="1163" w:type="dxa"/>
            <w:vAlign w:val="center"/>
          </w:tcPr>
          <w:p w14:paraId="321D16A9" w14:textId="77777777" w:rsidR="00244161" w:rsidRPr="00420C1B" w:rsidRDefault="00244161" w:rsidP="00215867">
            <w:pPr>
              <w:spacing w:after="0" w:line="240" w:lineRule="auto"/>
              <w:rPr>
                <w:rFonts w:ascii="Times New Roman" w:hAnsi="Times New Roman"/>
                <w:sz w:val="20"/>
                <w:szCs w:val="20"/>
              </w:rPr>
            </w:pPr>
          </w:p>
          <w:p w14:paraId="20FB28D7"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Végétation</w:t>
            </w:r>
          </w:p>
        </w:tc>
        <w:tc>
          <w:tcPr>
            <w:tcW w:w="1672" w:type="dxa"/>
            <w:vAlign w:val="center"/>
          </w:tcPr>
          <w:p w14:paraId="5E5A729B"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Perte des espèces végétales et destruction d’habitat</w:t>
            </w:r>
          </w:p>
        </w:tc>
        <w:tc>
          <w:tcPr>
            <w:tcW w:w="1843" w:type="dxa"/>
            <w:gridSpan w:val="2"/>
            <w:vAlign w:val="center"/>
          </w:tcPr>
          <w:p w14:paraId="4EEB8E7B"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Reboisements compensatoires</w:t>
            </w:r>
          </w:p>
        </w:tc>
        <w:tc>
          <w:tcPr>
            <w:tcW w:w="1843" w:type="dxa"/>
            <w:gridSpan w:val="2"/>
            <w:vAlign w:val="center"/>
          </w:tcPr>
          <w:p w14:paraId="3DC5ED49" w14:textId="77777777" w:rsidR="00244161" w:rsidRPr="00420C1B" w:rsidRDefault="00244161" w:rsidP="00215867">
            <w:pPr>
              <w:spacing w:after="0" w:line="240" w:lineRule="auto"/>
              <w:ind w:left="-81"/>
              <w:rPr>
                <w:rFonts w:ascii="Times New Roman" w:hAnsi="Times New Roman"/>
                <w:sz w:val="20"/>
                <w:szCs w:val="20"/>
              </w:rPr>
            </w:pPr>
            <w:r w:rsidRPr="00420C1B">
              <w:rPr>
                <w:rFonts w:ascii="Times New Roman" w:hAnsi="Times New Roman"/>
                <w:sz w:val="20"/>
                <w:szCs w:val="20"/>
              </w:rPr>
              <w:t>-</w:t>
            </w:r>
            <w:r w:rsidRPr="00420C1B">
              <w:rPr>
                <w:rFonts w:ascii="Times New Roman" w:hAnsi="Times New Roman"/>
                <w:sz w:val="20"/>
                <w:szCs w:val="20"/>
              </w:rPr>
              <w:tab/>
              <w:t>Au moins 80 % de réussite des arbres plantés</w:t>
            </w:r>
          </w:p>
        </w:tc>
        <w:tc>
          <w:tcPr>
            <w:tcW w:w="1134" w:type="dxa"/>
            <w:gridSpan w:val="2"/>
            <w:vAlign w:val="center"/>
          </w:tcPr>
          <w:p w14:paraId="6D2CD2DF"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Entreprise</w:t>
            </w:r>
          </w:p>
        </w:tc>
        <w:tc>
          <w:tcPr>
            <w:tcW w:w="1333" w:type="dxa"/>
            <w:gridSpan w:val="2"/>
            <w:vAlign w:val="center"/>
          </w:tcPr>
          <w:p w14:paraId="6BA2AE8B" w14:textId="77777777" w:rsidR="00244161" w:rsidRPr="00420C1B" w:rsidRDefault="00244161" w:rsidP="00215867">
            <w:pPr>
              <w:spacing w:after="0" w:line="240" w:lineRule="auto"/>
              <w:rPr>
                <w:rFonts w:ascii="Times New Roman" w:hAnsi="Times New Roman"/>
                <w:sz w:val="20"/>
                <w:szCs w:val="20"/>
              </w:rPr>
            </w:pPr>
          </w:p>
          <w:p w14:paraId="5B0EFC50"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MdC</w:t>
            </w:r>
          </w:p>
          <w:p w14:paraId="68F25F9A"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BUE</w:t>
            </w:r>
          </w:p>
          <w:p w14:paraId="354A8F48"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UCM</w:t>
            </w:r>
          </w:p>
        </w:tc>
        <w:tc>
          <w:tcPr>
            <w:tcW w:w="1276" w:type="dxa"/>
            <w:vAlign w:val="center"/>
          </w:tcPr>
          <w:p w14:paraId="08678C0F"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 xml:space="preserve"> CPE</w:t>
            </w:r>
          </w:p>
          <w:p w14:paraId="0774D932"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 xml:space="preserve">Service environnement des Communes </w:t>
            </w:r>
          </w:p>
        </w:tc>
        <w:tc>
          <w:tcPr>
            <w:tcW w:w="1420" w:type="dxa"/>
            <w:vAlign w:val="center"/>
          </w:tcPr>
          <w:p w14:paraId="28BCFA0E"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Pendant et après les travaux</w:t>
            </w:r>
          </w:p>
        </w:tc>
        <w:tc>
          <w:tcPr>
            <w:tcW w:w="1381" w:type="dxa"/>
            <w:shd w:val="clear" w:color="auto" w:fill="auto"/>
            <w:vAlign w:val="center"/>
          </w:tcPr>
          <w:p w14:paraId="74D1A8F9"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FF 2000</w:t>
            </w:r>
          </w:p>
        </w:tc>
      </w:tr>
      <w:tr w:rsidR="002C66D7" w:rsidRPr="00420C1B" w14:paraId="6115C4E3" w14:textId="77777777" w:rsidTr="00420C1B">
        <w:trPr>
          <w:trHeight w:val="1301"/>
        </w:trPr>
        <w:tc>
          <w:tcPr>
            <w:tcW w:w="798" w:type="dxa"/>
            <w:vMerge/>
            <w:shd w:val="clear" w:color="auto" w:fill="D9D9D9"/>
            <w:vAlign w:val="center"/>
          </w:tcPr>
          <w:p w14:paraId="4E25DAD0" w14:textId="77777777" w:rsidR="00244161" w:rsidRPr="00420C1B" w:rsidRDefault="00244161" w:rsidP="0062151B">
            <w:pPr>
              <w:spacing w:after="0" w:line="240" w:lineRule="auto"/>
              <w:jc w:val="both"/>
              <w:rPr>
                <w:rFonts w:ascii="Times New Roman" w:hAnsi="Times New Roman"/>
                <w:b/>
                <w:sz w:val="20"/>
                <w:szCs w:val="20"/>
              </w:rPr>
            </w:pPr>
          </w:p>
        </w:tc>
        <w:tc>
          <w:tcPr>
            <w:tcW w:w="1612" w:type="dxa"/>
            <w:vAlign w:val="center"/>
          </w:tcPr>
          <w:p w14:paraId="1D484078"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Abatage des arbres dans les emprises</w:t>
            </w:r>
          </w:p>
        </w:tc>
        <w:tc>
          <w:tcPr>
            <w:tcW w:w="1163" w:type="dxa"/>
            <w:vAlign w:val="center"/>
          </w:tcPr>
          <w:p w14:paraId="77DE0C70"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Faune</w:t>
            </w:r>
          </w:p>
        </w:tc>
        <w:tc>
          <w:tcPr>
            <w:tcW w:w="1672" w:type="dxa"/>
            <w:vAlign w:val="center"/>
          </w:tcPr>
          <w:p w14:paraId="1C902485"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Destruction de l’habitat faunique</w:t>
            </w:r>
          </w:p>
        </w:tc>
        <w:tc>
          <w:tcPr>
            <w:tcW w:w="1843" w:type="dxa"/>
            <w:gridSpan w:val="2"/>
            <w:vAlign w:val="center"/>
          </w:tcPr>
          <w:p w14:paraId="60D5B14B"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Sensibilisation sur l’interdiction de chasse dans la zone des travaux</w:t>
            </w:r>
          </w:p>
        </w:tc>
        <w:tc>
          <w:tcPr>
            <w:tcW w:w="1843" w:type="dxa"/>
            <w:gridSpan w:val="2"/>
            <w:vAlign w:val="center"/>
          </w:tcPr>
          <w:p w14:paraId="00FF862F"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PV de sensibilisation sur l’interdiction de chasse</w:t>
            </w:r>
          </w:p>
        </w:tc>
        <w:tc>
          <w:tcPr>
            <w:tcW w:w="1134" w:type="dxa"/>
            <w:gridSpan w:val="2"/>
            <w:vAlign w:val="center"/>
          </w:tcPr>
          <w:p w14:paraId="65CB56D2"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Entreprise</w:t>
            </w:r>
          </w:p>
        </w:tc>
        <w:tc>
          <w:tcPr>
            <w:tcW w:w="1333" w:type="dxa"/>
            <w:gridSpan w:val="2"/>
            <w:vAlign w:val="center"/>
          </w:tcPr>
          <w:p w14:paraId="44CE9466" w14:textId="77777777" w:rsidR="00244161" w:rsidRPr="00420C1B" w:rsidRDefault="00244161" w:rsidP="00215867">
            <w:pPr>
              <w:spacing w:after="0" w:line="240" w:lineRule="auto"/>
              <w:rPr>
                <w:rFonts w:ascii="Times New Roman" w:hAnsi="Times New Roman"/>
                <w:sz w:val="20"/>
                <w:szCs w:val="20"/>
              </w:rPr>
            </w:pPr>
          </w:p>
          <w:p w14:paraId="441FF7C1"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MdC</w:t>
            </w:r>
          </w:p>
          <w:p w14:paraId="197073C5"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BUE</w:t>
            </w:r>
          </w:p>
          <w:p w14:paraId="0A15F914"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UCM</w:t>
            </w:r>
          </w:p>
        </w:tc>
        <w:tc>
          <w:tcPr>
            <w:tcW w:w="1276" w:type="dxa"/>
            <w:vAlign w:val="center"/>
          </w:tcPr>
          <w:p w14:paraId="080123B3"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 xml:space="preserve"> CPE</w:t>
            </w:r>
          </w:p>
          <w:p w14:paraId="2EC33CAE"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 xml:space="preserve">Service environnement des Communes </w:t>
            </w:r>
          </w:p>
        </w:tc>
        <w:tc>
          <w:tcPr>
            <w:tcW w:w="1420" w:type="dxa"/>
            <w:vAlign w:val="center"/>
          </w:tcPr>
          <w:p w14:paraId="12FBB0F6"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Pendant et après les travaux</w:t>
            </w:r>
          </w:p>
        </w:tc>
        <w:tc>
          <w:tcPr>
            <w:tcW w:w="1381" w:type="dxa"/>
            <w:shd w:val="clear" w:color="auto" w:fill="auto"/>
            <w:vAlign w:val="center"/>
          </w:tcPr>
          <w:p w14:paraId="5CC0875C" w14:textId="77777777" w:rsidR="00244161" w:rsidRPr="00420C1B" w:rsidRDefault="00C67F9B" w:rsidP="00215867">
            <w:pPr>
              <w:spacing w:after="0" w:line="240" w:lineRule="auto"/>
              <w:rPr>
                <w:rFonts w:ascii="Times New Roman" w:hAnsi="Times New Roman"/>
                <w:sz w:val="20"/>
                <w:szCs w:val="20"/>
              </w:rPr>
            </w:pPr>
            <w:r w:rsidRPr="00420C1B">
              <w:rPr>
                <w:rFonts w:ascii="Times New Roman" w:hAnsi="Times New Roman"/>
                <w:sz w:val="20"/>
                <w:szCs w:val="20"/>
              </w:rPr>
              <w:t>10</w:t>
            </w:r>
            <w:r w:rsidR="00244161" w:rsidRPr="00420C1B">
              <w:rPr>
                <w:rFonts w:ascii="Times New Roman" w:hAnsi="Times New Roman"/>
                <w:sz w:val="20"/>
                <w:szCs w:val="20"/>
              </w:rPr>
              <w:t xml:space="preserve"> séances x 500= </w:t>
            </w:r>
            <w:r w:rsidRPr="00420C1B">
              <w:rPr>
                <w:rFonts w:ascii="Times New Roman" w:hAnsi="Times New Roman"/>
                <w:b/>
                <w:sz w:val="20"/>
                <w:szCs w:val="20"/>
              </w:rPr>
              <w:t>5000</w:t>
            </w:r>
          </w:p>
        </w:tc>
      </w:tr>
      <w:tr w:rsidR="00D75D2E" w:rsidRPr="00420C1B" w14:paraId="41435A5E" w14:textId="77777777" w:rsidTr="00215867">
        <w:trPr>
          <w:trHeight w:val="1301"/>
        </w:trPr>
        <w:tc>
          <w:tcPr>
            <w:tcW w:w="798" w:type="dxa"/>
            <w:vMerge/>
            <w:shd w:val="clear" w:color="auto" w:fill="D9D9D9"/>
            <w:vAlign w:val="center"/>
          </w:tcPr>
          <w:p w14:paraId="1B2F2AF5" w14:textId="77777777" w:rsidR="00244161" w:rsidRPr="00420C1B" w:rsidRDefault="00244161" w:rsidP="0062151B">
            <w:pPr>
              <w:spacing w:after="0" w:line="240" w:lineRule="auto"/>
              <w:jc w:val="both"/>
              <w:rPr>
                <w:rFonts w:ascii="Times New Roman" w:hAnsi="Times New Roman"/>
                <w:b/>
                <w:sz w:val="20"/>
                <w:szCs w:val="20"/>
              </w:rPr>
            </w:pPr>
          </w:p>
        </w:tc>
        <w:tc>
          <w:tcPr>
            <w:tcW w:w="1612" w:type="dxa"/>
            <w:vAlign w:val="center"/>
          </w:tcPr>
          <w:p w14:paraId="7B8FC175" w14:textId="77777777" w:rsidR="00244161" w:rsidRPr="008B779B" w:rsidRDefault="00244161" w:rsidP="006754C0">
            <w:pPr>
              <w:spacing w:after="0" w:line="240" w:lineRule="auto"/>
              <w:rPr>
                <w:rFonts w:ascii="Times New Roman" w:hAnsi="Times New Roman"/>
                <w:sz w:val="20"/>
                <w:szCs w:val="20"/>
              </w:rPr>
            </w:pPr>
            <w:r w:rsidRPr="008B779B">
              <w:rPr>
                <w:rFonts w:ascii="Times New Roman" w:hAnsi="Times New Roman"/>
                <w:sz w:val="20"/>
                <w:szCs w:val="20"/>
              </w:rPr>
              <w:t>Installation de chantier et de base-vie</w:t>
            </w:r>
          </w:p>
        </w:tc>
        <w:tc>
          <w:tcPr>
            <w:tcW w:w="1163" w:type="dxa"/>
            <w:vAlign w:val="center"/>
          </w:tcPr>
          <w:p w14:paraId="54FD9825" w14:textId="77777777" w:rsidR="00244161" w:rsidRPr="008B779B" w:rsidRDefault="00244161" w:rsidP="00D13FCF">
            <w:pPr>
              <w:spacing w:after="0" w:line="240" w:lineRule="auto"/>
              <w:rPr>
                <w:rFonts w:ascii="Times New Roman" w:hAnsi="Times New Roman"/>
                <w:sz w:val="20"/>
                <w:szCs w:val="20"/>
              </w:rPr>
            </w:pPr>
            <w:r w:rsidRPr="008B779B">
              <w:rPr>
                <w:rFonts w:ascii="Times New Roman" w:hAnsi="Times New Roman"/>
                <w:sz w:val="20"/>
                <w:szCs w:val="20"/>
              </w:rPr>
              <w:t>Air</w:t>
            </w:r>
          </w:p>
          <w:p w14:paraId="1FC299FC" w14:textId="77777777" w:rsidR="00244161" w:rsidRPr="008B779B" w:rsidRDefault="00244161">
            <w:pPr>
              <w:spacing w:after="0" w:line="240" w:lineRule="auto"/>
              <w:rPr>
                <w:rFonts w:ascii="Times New Roman" w:hAnsi="Times New Roman"/>
                <w:sz w:val="20"/>
                <w:szCs w:val="20"/>
              </w:rPr>
            </w:pPr>
            <w:r w:rsidRPr="008B779B">
              <w:rPr>
                <w:rFonts w:ascii="Times New Roman" w:hAnsi="Times New Roman"/>
                <w:sz w:val="20"/>
                <w:szCs w:val="20"/>
              </w:rPr>
              <w:t>Eau</w:t>
            </w:r>
          </w:p>
          <w:p w14:paraId="079A2A86" w14:textId="77777777" w:rsidR="00244161" w:rsidRPr="008B779B" w:rsidRDefault="00244161">
            <w:pPr>
              <w:spacing w:after="0" w:line="240" w:lineRule="auto"/>
              <w:rPr>
                <w:rFonts w:ascii="Times New Roman" w:hAnsi="Times New Roman"/>
                <w:sz w:val="20"/>
                <w:szCs w:val="20"/>
              </w:rPr>
            </w:pPr>
            <w:r w:rsidRPr="008B779B">
              <w:rPr>
                <w:rFonts w:ascii="Times New Roman" w:hAnsi="Times New Roman"/>
                <w:sz w:val="20"/>
                <w:szCs w:val="20"/>
              </w:rPr>
              <w:t>Sol</w:t>
            </w:r>
          </w:p>
        </w:tc>
        <w:tc>
          <w:tcPr>
            <w:tcW w:w="1672" w:type="dxa"/>
            <w:vAlign w:val="center"/>
          </w:tcPr>
          <w:p w14:paraId="405DFF37"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 xml:space="preserve">Pollution suite à la production de déchets de chantier </w:t>
            </w:r>
          </w:p>
        </w:tc>
        <w:tc>
          <w:tcPr>
            <w:tcW w:w="1843" w:type="dxa"/>
            <w:gridSpan w:val="2"/>
            <w:vAlign w:val="center"/>
          </w:tcPr>
          <w:p w14:paraId="7114C515"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 xml:space="preserve">Mise en œuvre d’un Plan de Gestion et d’Elimination des Déchets (PGED) </w:t>
            </w:r>
          </w:p>
          <w:p w14:paraId="44D9AA3E"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Mise en place d’un plan d’information Education et Communication</w:t>
            </w:r>
          </w:p>
        </w:tc>
        <w:tc>
          <w:tcPr>
            <w:tcW w:w="1843" w:type="dxa"/>
            <w:gridSpan w:val="2"/>
            <w:vAlign w:val="center"/>
          </w:tcPr>
          <w:p w14:paraId="6D64F0DA"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-100% des séances de sensibilisation réalisées ;</w:t>
            </w:r>
          </w:p>
          <w:p w14:paraId="5478BD5A"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-Existence de 5 bacs à ordures ;</w:t>
            </w:r>
          </w:p>
          <w:p w14:paraId="3704FDBD"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-Protocole d’accord pour le transfert des ordures vers des décharges publiques</w:t>
            </w:r>
          </w:p>
        </w:tc>
        <w:tc>
          <w:tcPr>
            <w:tcW w:w="1134" w:type="dxa"/>
            <w:gridSpan w:val="2"/>
            <w:vAlign w:val="center"/>
          </w:tcPr>
          <w:p w14:paraId="5586FF8B"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Entreprise</w:t>
            </w:r>
          </w:p>
        </w:tc>
        <w:tc>
          <w:tcPr>
            <w:tcW w:w="1333" w:type="dxa"/>
            <w:gridSpan w:val="2"/>
            <w:vAlign w:val="center"/>
          </w:tcPr>
          <w:p w14:paraId="37066711" w14:textId="77777777" w:rsidR="0062151B"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 xml:space="preserve">ACE </w:t>
            </w:r>
          </w:p>
          <w:p w14:paraId="0BACBC6A"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UCM</w:t>
            </w:r>
          </w:p>
          <w:p w14:paraId="7CC4DBB0"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MdC</w:t>
            </w:r>
          </w:p>
        </w:tc>
        <w:tc>
          <w:tcPr>
            <w:tcW w:w="1276" w:type="dxa"/>
            <w:vAlign w:val="center"/>
          </w:tcPr>
          <w:p w14:paraId="272CDD15"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CPE</w:t>
            </w:r>
          </w:p>
        </w:tc>
        <w:tc>
          <w:tcPr>
            <w:tcW w:w="1420" w:type="dxa"/>
            <w:vAlign w:val="center"/>
          </w:tcPr>
          <w:p w14:paraId="7F2A4910" w14:textId="77777777" w:rsidR="00244161" w:rsidRPr="008B779B" w:rsidRDefault="00244161" w:rsidP="00215867">
            <w:pPr>
              <w:spacing w:after="0" w:line="240" w:lineRule="auto"/>
              <w:rPr>
                <w:rFonts w:ascii="Times New Roman" w:hAnsi="Times New Roman"/>
                <w:sz w:val="20"/>
                <w:szCs w:val="20"/>
              </w:rPr>
            </w:pPr>
            <w:r w:rsidRPr="008B779B">
              <w:rPr>
                <w:rFonts w:ascii="Times New Roman" w:hAnsi="Times New Roman"/>
                <w:sz w:val="20"/>
                <w:szCs w:val="20"/>
              </w:rPr>
              <w:t>Avant et pendant les travaux</w:t>
            </w:r>
          </w:p>
        </w:tc>
        <w:tc>
          <w:tcPr>
            <w:tcW w:w="1381" w:type="dxa"/>
            <w:vAlign w:val="center"/>
          </w:tcPr>
          <w:p w14:paraId="1441F43C" w14:textId="75C61863" w:rsidR="00244161" w:rsidRPr="008B779B" w:rsidRDefault="00244161" w:rsidP="00215867">
            <w:pPr>
              <w:spacing w:after="0" w:line="240" w:lineRule="auto"/>
              <w:rPr>
                <w:rFonts w:ascii="Times New Roman" w:hAnsi="Times New Roman"/>
                <w:sz w:val="20"/>
                <w:szCs w:val="20"/>
              </w:rPr>
            </w:pPr>
            <w:r w:rsidRPr="00E737B4">
              <w:rPr>
                <w:rFonts w:ascii="Times New Roman" w:hAnsi="Times New Roman"/>
                <w:sz w:val="20"/>
                <w:szCs w:val="20"/>
              </w:rPr>
              <w:t>(25 bacs x 50 = 1250) + (5 véhicules x 50 = 250) =</w:t>
            </w:r>
            <w:r w:rsidRPr="00E737B4">
              <w:rPr>
                <w:rFonts w:ascii="Times New Roman" w:hAnsi="Times New Roman"/>
                <w:b/>
                <w:sz w:val="20"/>
                <w:szCs w:val="20"/>
              </w:rPr>
              <w:t>1500</w:t>
            </w:r>
          </w:p>
        </w:tc>
      </w:tr>
      <w:tr w:rsidR="00D75D2E" w:rsidRPr="00420C1B" w14:paraId="2813E3C2" w14:textId="77777777" w:rsidTr="00420C1B">
        <w:trPr>
          <w:trHeight w:val="254"/>
        </w:trPr>
        <w:tc>
          <w:tcPr>
            <w:tcW w:w="798" w:type="dxa"/>
            <w:vMerge/>
            <w:shd w:val="clear" w:color="auto" w:fill="D9D9D9"/>
            <w:vAlign w:val="center"/>
          </w:tcPr>
          <w:p w14:paraId="4FEEA74F" w14:textId="77777777" w:rsidR="00244161" w:rsidRPr="00420C1B" w:rsidRDefault="00244161" w:rsidP="0062151B">
            <w:pPr>
              <w:spacing w:after="0" w:line="240" w:lineRule="auto"/>
              <w:jc w:val="both"/>
              <w:rPr>
                <w:rFonts w:ascii="Times New Roman" w:hAnsi="Times New Roman"/>
                <w:b/>
                <w:sz w:val="20"/>
                <w:szCs w:val="20"/>
              </w:rPr>
            </w:pPr>
          </w:p>
        </w:tc>
        <w:tc>
          <w:tcPr>
            <w:tcW w:w="14677" w:type="dxa"/>
            <w:gridSpan w:val="14"/>
            <w:shd w:val="clear" w:color="auto" w:fill="D9D9D9"/>
          </w:tcPr>
          <w:p w14:paraId="11954F67"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Impacts sociaux</w:t>
            </w:r>
          </w:p>
        </w:tc>
      </w:tr>
      <w:tr w:rsidR="00D75D2E" w:rsidRPr="00420C1B" w14:paraId="49903CEC" w14:textId="77777777" w:rsidTr="00215867">
        <w:trPr>
          <w:trHeight w:val="974"/>
        </w:trPr>
        <w:tc>
          <w:tcPr>
            <w:tcW w:w="798" w:type="dxa"/>
            <w:vMerge/>
            <w:shd w:val="clear" w:color="auto" w:fill="D9D9D9"/>
            <w:vAlign w:val="center"/>
          </w:tcPr>
          <w:p w14:paraId="1E154BF1" w14:textId="77777777" w:rsidR="00244161" w:rsidRPr="00420C1B" w:rsidRDefault="00244161" w:rsidP="0062151B">
            <w:pPr>
              <w:spacing w:after="0" w:line="240" w:lineRule="auto"/>
              <w:jc w:val="both"/>
              <w:rPr>
                <w:rFonts w:ascii="Times New Roman" w:hAnsi="Times New Roman"/>
                <w:b/>
                <w:sz w:val="20"/>
                <w:szCs w:val="20"/>
              </w:rPr>
            </w:pPr>
          </w:p>
        </w:tc>
        <w:tc>
          <w:tcPr>
            <w:tcW w:w="1612" w:type="dxa"/>
          </w:tcPr>
          <w:p w14:paraId="320F1473"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Libération des emprises du projet</w:t>
            </w:r>
          </w:p>
        </w:tc>
        <w:tc>
          <w:tcPr>
            <w:tcW w:w="1163" w:type="dxa"/>
          </w:tcPr>
          <w:p w14:paraId="07904697"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Humain</w:t>
            </w:r>
          </w:p>
        </w:tc>
        <w:tc>
          <w:tcPr>
            <w:tcW w:w="1672" w:type="dxa"/>
            <w:vAlign w:val="center"/>
          </w:tcPr>
          <w:p w14:paraId="44F0B4EB"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Perte foncière et de bâtisses  </w:t>
            </w:r>
          </w:p>
        </w:tc>
        <w:tc>
          <w:tcPr>
            <w:tcW w:w="1843" w:type="dxa"/>
            <w:gridSpan w:val="2"/>
            <w:vAlign w:val="center"/>
          </w:tcPr>
          <w:p w14:paraId="61597FB3" w14:textId="7345607A"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Mise en œuvre d’un plan d’action de réinstallation et d’indemnisation</w:t>
            </w:r>
            <w:r w:rsidR="008C1316" w:rsidRPr="00420C1B">
              <w:rPr>
                <w:rFonts w:ascii="Times New Roman" w:hAnsi="Times New Roman"/>
                <w:sz w:val="20"/>
                <w:szCs w:val="20"/>
              </w:rPr>
              <w:t xml:space="preserve"> </w:t>
            </w:r>
            <w:r w:rsidR="008C1316" w:rsidRPr="00215867">
              <w:rPr>
                <w:rFonts w:ascii="Times New Roman" w:hAnsi="Times New Roman"/>
                <w:sz w:val="20"/>
                <w:szCs w:val="20"/>
              </w:rPr>
              <w:t>incluant le plan de restauration des moyens de subsistance afin de compenser la perte des activités génératrices de revenus (AGR)</w:t>
            </w:r>
          </w:p>
        </w:tc>
        <w:tc>
          <w:tcPr>
            <w:tcW w:w="1843" w:type="dxa"/>
            <w:gridSpan w:val="2"/>
            <w:vAlign w:val="center"/>
          </w:tcPr>
          <w:p w14:paraId="4184D82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Rapport d’indemnisation</w:t>
            </w:r>
          </w:p>
        </w:tc>
        <w:tc>
          <w:tcPr>
            <w:tcW w:w="1134" w:type="dxa"/>
            <w:gridSpan w:val="2"/>
          </w:tcPr>
          <w:p w14:paraId="20665AF8"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UCM</w:t>
            </w:r>
          </w:p>
        </w:tc>
        <w:tc>
          <w:tcPr>
            <w:tcW w:w="1333" w:type="dxa"/>
            <w:gridSpan w:val="2"/>
          </w:tcPr>
          <w:p w14:paraId="11BC920C"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MdC</w:t>
            </w:r>
          </w:p>
          <w:p w14:paraId="0A3B8172"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ACE</w:t>
            </w:r>
          </w:p>
          <w:p w14:paraId="27E1B6E6"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Comité de réinstallation</w:t>
            </w:r>
          </w:p>
          <w:p w14:paraId="19327025" w14:textId="77777777" w:rsidR="00244161" w:rsidRPr="00420C1B" w:rsidRDefault="00244161" w:rsidP="0062151B">
            <w:pPr>
              <w:spacing w:after="0" w:line="240" w:lineRule="auto"/>
              <w:rPr>
                <w:rFonts w:ascii="Times New Roman" w:hAnsi="Times New Roman"/>
                <w:sz w:val="20"/>
                <w:szCs w:val="20"/>
              </w:rPr>
            </w:pPr>
          </w:p>
        </w:tc>
        <w:tc>
          <w:tcPr>
            <w:tcW w:w="1276" w:type="dxa"/>
          </w:tcPr>
          <w:p w14:paraId="3F050612"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3EC6B715"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BUE </w:t>
            </w:r>
          </w:p>
          <w:p w14:paraId="686A7299"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SCES/UCM</w:t>
            </w:r>
          </w:p>
          <w:p w14:paraId="56BB4CD8"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Communes concernées</w:t>
            </w:r>
          </w:p>
        </w:tc>
        <w:tc>
          <w:tcPr>
            <w:tcW w:w="1420" w:type="dxa"/>
          </w:tcPr>
          <w:p w14:paraId="6A7FDE92"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Avant les travaux</w:t>
            </w:r>
          </w:p>
        </w:tc>
        <w:tc>
          <w:tcPr>
            <w:tcW w:w="1381" w:type="dxa"/>
            <w:vAlign w:val="center"/>
          </w:tcPr>
          <w:p w14:paraId="468A7AA7" w14:textId="77777777" w:rsidR="00244161" w:rsidRPr="00420C1B" w:rsidRDefault="00244161" w:rsidP="00215867">
            <w:pPr>
              <w:spacing w:after="0" w:line="240" w:lineRule="auto"/>
              <w:rPr>
                <w:rFonts w:ascii="Times New Roman" w:hAnsi="Times New Roman"/>
                <w:sz w:val="20"/>
                <w:szCs w:val="20"/>
              </w:rPr>
            </w:pPr>
            <w:r w:rsidRPr="00420C1B">
              <w:rPr>
                <w:rFonts w:ascii="Times New Roman" w:hAnsi="Times New Roman"/>
                <w:sz w:val="20"/>
                <w:szCs w:val="20"/>
              </w:rPr>
              <w:t>Budgétisé dans le PAR</w:t>
            </w:r>
          </w:p>
        </w:tc>
      </w:tr>
      <w:tr w:rsidR="00D75D2E" w:rsidRPr="00420C1B" w14:paraId="48DA1649" w14:textId="77777777" w:rsidTr="00215867">
        <w:trPr>
          <w:trHeight w:val="820"/>
        </w:trPr>
        <w:tc>
          <w:tcPr>
            <w:tcW w:w="798" w:type="dxa"/>
            <w:shd w:val="clear" w:color="auto" w:fill="D9D9D9"/>
            <w:vAlign w:val="center"/>
          </w:tcPr>
          <w:p w14:paraId="3D7E04EC" w14:textId="77777777" w:rsidR="00244161" w:rsidRPr="00420C1B" w:rsidRDefault="00244161" w:rsidP="0062151B">
            <w:pPr>
              <w:spacing w:after="0" w:line="240" w:lineRule="auto"/>
              <w:jc w:val="both"/>
              <w:rPr>
                <w:rFonts w:ascii="Times New Roman" w:hAnsi="Times New Roman"/>
                <w:b/>
                <w:sz w:val="20"/>
                <w:szCs w:val="20"/>
              </w:rPr>
            </w:pPr>
          </w:p>
        </w:tc>
        <w:tc>
          <w:tcPr>
            <w:tcW w:w="1612" w:type="dxa"/>
          </w:tcPr>
          <w:p w14:paraId="268FADC0"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Abattage des arbres </w:t>
            </w:r>
          </w:p>
        </w:tc>
        <w:tc>
          <w:tcPr>
            <w:tcW w:w="1163" w:type="dxa"/>
          </w:tcPr>
          <w:p w14:paraId="71095452" w14:textId="77777777" w:rsidR="00244161" w:rsidRPr="00420C1B" w:rsidRDefault="00244161" w:rsidP="0062151B">
            <w:pPr>
              <w:spacing w:after="0" w:line="240" w:lineRule="auto"/>
              <w:rPr>
                <w:rFonts w:ascii="Times New Roman" w:hAnsi="Times New Roman"/>
                <w:sz w:val="20"/>
                <w:szCs w:val="20"/>
              </w:rPr>
            </w:pPr>
          </w:p>
        </w:tc>
        <w:tc>
          <w:tcPr>
            <w:tcW w:w="1672" w:type="dxa"/>
            <w:vAlign w:val="center"/>
          </w:tcPr>
          <w:p w14:paraId="0DF4C920"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Perte de  </w:t>
            </w:r>
            <w:r w:rsidR="00415626" w:rsidRPr="00420C1B">
              <w:rPr>
                <w:rFonts w:ascii="Times New Roman" w:hAnsi="Times New Roman"/>
                <w:sz w:val="20"/>
                <w:szCs w:val="20"/>
              </w:rPr>
              <w:t>815</w:t>
            </w:r>
            <w:r w:rsidRPr="00420C1B">
              <w:rPr>
                <w:rFonts w:ascii="Times New Roman" w:hAnsi="Times New Roman"/>
                <w:sz w:val="20"/>
                <w:szCs w:val="20"/>
              </w:rPr>
              <w:t xml:space="preserve"> arbres du domaine privé</w:t>
            </w:r>
          </w:p>
        </w:tc>
        <w:tc>
          <w:tcPr>
            <w:tcW w:w="1843" w:type="dxa"/>
            <w:gridSpan w:val="2"/>
            <w:vAlign w:val="center"/>
          </w:tcPr>
          <w:p w14:paraId="02D48381"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Indemnisation des biens ligneux </w:t>
            </w:r>
          </w:p>
        </w:tc>
        <w:tc>
          <w:tcPr>
            <w:tcW w:w="1843" w:type="dxa"/>
            <w:gridSpan w:val="2"/>
            <w:vAlign w:val="center"/>
          </w:tcPr>
          <w:p w14:paraId="2DC5AC2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Rapport d’indemnisation </w:t>
            </w:r>
          </w:p>
        </w:tc>
        <w:tc>
          <w:tcPr>
            <w:tcW w:w="1134" w:type="dxa"/>
            <w:gridSpan w:val="2"/>
            <w:vAlign w:val="center"/>
          </w:tcPr>
          <w:p w14:paraId="136A282B"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UCM</w:t>
            </w:r>
          </w:p>
        </w:tc>
        <w:tc>
          <w:tcPr>
            <w:tcW w:w="1333" w:type="dxa"/>
            <w:gridSpan w:val="2"/>
            <w:vAlign w:val="center"/>
          </w:tcPr>
          <w:p w14:paraId="6A93B57D" w14:textId="77777777" w:rsidR="00244161" w:rsidRPr="007E402E"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7E402E">
              <w:rPr>
                <w:rFonts w:ascii="Times New Roman" w:hAnsi="Times New Roman"/>
                <w:sz w:val="20"/>
                <w:szCs w:val="20"/>
              </w:rPr>
              <w:t>MdC ;</w:t>
            </w:r>
          </w:p>
          <w:p w14:paraId="3FA65B45"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ACE ;</w:t>
            </w:r>
          </w:p>
          <w:p w14:paraId="6C083E41"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BUE </w:t>
            </w:r>
            <w:r w:rsidRPr="00420C1B">
              <w:rPr>
                <w:rFonts w:ascii="Times New Roman" w:hAnsi="Times New Roman"/>
                <w:sz w:val="20"/>
                <w:szCs w:val="20"/>
              </w:rPr>
              <w:t xml:space="preserve"> </w:t>
            </w:r>
          </w:p>
        </w:tc>
        <w:tc>
          <w:tcPr>
            <w:tcW w:w="1276" w:type="dxa"/>
            <w:vAlign w:val="center"/>
          </w:tcPr>
          <w:p w14:paraId="13493BCD" w14:textId="77777777" w:rsidR="00244161" w:rsidRPr="008B779B" w:rsidRDefault="0024416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B779B">
              <w:rPr>
                <w:rFonts w:ascii="Times New Roman" w:hAnsi="Times New Roman"/>
                <w:sz w:val="20"/>
                <w:szCs w:val="20"/>
              </w:rPr>
              <w:t>CPE ;</w:t>
            </w:r>
          </w:p>
          <w:p w14:paraId="7B87E86F" w14:textId="77777777" w:rsidR="00244161" w:rsidRPr="008B779B" w:rsidRDefault="0024416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B779B">
              <w:rPr>
                <w:rFonts w:ascii="Times New Roman" w:hAnsi="Times New Roman"/>
                <w:sz w:val="20"/>
                <w:szCs w:val="20"/>
              </w:rPr>
              <w:t>SCES/UCM</w:t>
            </w:r>
          </w:p>
          <w:p w14:paraId="27ECD6AC"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Service environnement des communes concernées</w:t>
            </w:r>
          </w:p>
        </w:tc>
        <w:tc>
          <w:tcPr>
            <w:tcW w:w="1420" w:type="dxa"/>
            <w:vAlign w:val="center"/>
          </w:tcPr>
          <w:p w14:paraId="43F4512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Avant le début des travaux </w:t>
            </w:r>
          </w:p>
        </w:tc>
        <w:tc>
          <w:tcPr>
            <w:tcW w:w="1381" w:type="dxa"/>
            <w:vAlign w:val="center"/>
          </w:tcPr>
          <w:p w14:paraId="0ED97E97" w14:textId="77777777" w:rsidR="00244161" w:rsidRPr="00420C1B" w:rsidRDefault="00244161" w:rsidP="00215867">
            <w:pPr>
              <w:spacing w:after="0" w:line="240" w:lineRule="auto"/>
              <w:rPr>
                <w:rFonts w:ascii="Times New Roman" w:hAnsi="Times New Roman"/>
                <w:b/>
                <w:sz w:val="20"/>
                <w:szCs w:val="20"/>
                <w:highlight w:val="yellow"/>
              </w:rPr>
            </w:pPr>
            <w:r w:rsidRPr="00420C1B">
              <w:rPr>
                <w:rFonts w:ascii="Times New Roman" w:hAnsi="Times New Roman"/>
                <w:sz w:val="20"/>
                <w:szCs w:val="20"/>
              </w:rPr>
              <w:t>Budgétisé dans le PAR</w:t>
            </w:r>
          </w:p>
        </w:tc>
      </w:tr>
      <w:tr w:rsidR="00D75D2E" w:rsidRPr="00420C1B" w14:paraId="731BFF1B" w14:textId="77777777" w:rsidTr="00215867">
        <w:trPr>
          <w:trHeight w:val="820"/>
        </w:trPr>
        <w:tc>
          <w:tcPr>
            <w:tcW w:w="798" w:type="dxa"/>
            <w:shd w:val="clear" w:color="auto" w:fill="D9D9D9"/>
            <w:vAlign w:val="center"/>
          </w:tcPr>
          <w:p w14:paraId="7195C788" w14:textId="77777777" w:rsidR="00244161" w:rsidRPr="00420C1B" w:rsidRDefault="00244161" w:rsidP="0062151B">
            <w:pPr>
              <w:spacing w:after="0" w:line="240" w:lineRule="auto"/>
              <w:jc w:val="both"/>
              <w:rPr>
                <w:rFonts w:ascii="Times New Roman" w:hAnsi="Times New Roman"/>
                <w:b/>
                <w:sz w:val="20"/>
                <w:szCs w:val="20"/>
              </w:rPr>
            </w:pPr>
          </w:p>
        </w:tc>
        <w:tc>
          <w:tcPr>
            <w:tcW w:w="1612" w:type="dxa"/>
          </w:tcPr>
          <w:p w14:paraId="1A14A485"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Installation de chantier et de base-vie</w:t>
            </w:r>
          </w:p>
        </w:tc>
        <w:tc>
          <w:tcPr>
            <w:tcW w:w="1163" w:type="dxa"/>
          </w:tcPr>
          <w:p w14:paraId="24F83C63"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Santé publique</w:t>
            </w:r>
          </w:p>
        </w:tc>
        <w:tc>
          <w:tcPr>
            <w:tcW w:w="1672" w:type="dxa"/>
            <w:vAlign w:val="center"/>
          </w:tcPr>
          <w:p w14:paraId="6231730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Risques de dépravation des mœurs (violence faite sur les filles mineures et veuves) et de propagation des MST</w:t>
            </w:r>
          </w:p>
        </w:tc>
        <w:tc>
          <w:tcPr>
            <w:tcW w:w="1843" w:type="dxa"/>
            <w:gridSpan w:val="2"/>
            <w:vAlign w:val="center"/>
          </w:tcPr>
          <w:p w14:paraId="1E170EA4"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Mise en œuvre d’un Plan d’information Education et Communication envers la population et les personnes vulnérables</w:t>
            </w:r>
          </w:p>
        </w:tc>
        <w:tc>
          <w:tcPr>
            <w:tcW w:w="1843" w:type="dxa"/>
            <w:gridSpan w:val="2"/>
            <w:vAlign w:val="center"/>
          </w:tcPr>
          <w:p w14:paraId="75997268"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100% de plaintes enregistrées sur les VBG et sur les MST/SIDA sont traitées.</w:t>
            </w:r>
          </w:p>
          <w:p w14:paraId="1AC6EEE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100% des sensibilisations réalisées</w:t>
            </w:r>
          </w:p>
        </w:tc>
        <w:tc>
          <w:tcPr>
            <w:tcW w:w="1134" w:type="dxa"/>
            <w:gridSpan w:val="2"/>
            <w:vAlign w:val="center"/>
          </w:tcPr>
          <w:p w14:paraId="5CC7D5C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Entreprise</w:t>
            </w:r>
          </w:p>
        </w:tc>
        <w:tc>
          <w:tcPr>
            <w:tcW w:w="1333" w:type="dxa"/>
            <w:gridSpan w:val="2"/>
            <w:vAlign w:val="center"/>
          </w:tcPr>
          <w:p w14:paraId="79612688" w14:textId="77777777" w:rsidR="00244161" w:rsidRPr="00420C1B" w:rsidRDefault="00244161" w:rsidP="0062151B">
            <w:pPr>
              <w:spacing w:after="0" w:line="240" w:lineRule="auto"/>
              <w:jc w:val="both"/>
              <w:rPr>
                <w:rFonts w:ascii="Times New Roman" w:hAnsi="Times New Roman"/>
                <w:sz w:val="20"/>
                <w:szCs w:val="20"/>
              </w:rPr>
            </w:pPr>
          </w:p>
          <w:p w14:paraId="1F10172F"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MdC</w:t>
            </w:r>
          </w:p>
          <w:p w14:paraId="47562F94"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Centre de Santé (CS)  </w:t>
            </w:r>
          </w:p>
        </w:tc>
        <w:tc>
          <w:tcPr>
            <w:tcW w:w="1276" w:type="dxa"/>
            <w:vAlign w:val="center"/>
          </w:tcPr>
          <w:p w14:paraId="506C21DF"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 CPE et BUE </w:t>
            </w:r>
          </w:p>
          <w:p w14:paraId="5F5C516F" w14:textId="77777777" w:rsidR="00244161" w:rsidRPr="00420C1B" w:rsidRDefault="00244161" w:rsidP="0062151B">
            <w:pPr>
              <w:spacing w:after="0" w:line="240" w:lineRule="auto"/>
              <w:jc w:val="both"/>
              <w:rPr>
                <w:rFonts w:ascii="Times New Roman" w:hAnsi="Times New Roman"/>
                <w:sz w:val="20"/>
                <w:szCs w:val="20"/>
              </w:rPr>
            </w:pPr>
          </w:p>
        </w:tc>
        <w:tc>
          <w:tcPr>
            <w:tcW w:w="1420" w:type="dxa"/>
            <w:vAlign w:val="center"/>
          </w:tcPr>
          <w:p w14:paraId="73ACFEF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Pendant et après les travaux</w:t>
            </w:r>
          </w:p>
        </w:tc>
        <w:tc>
          <w:tcPr>
            <w:tcW w:w="1381" w:type="dxa"/>
            <w:vAlign w:val="center"/>
          </w:tcPr>
          <w:p w14:paraId="4EBE3C4C"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 xml:space="preserve">12 séances x 500= </w:t>
            </w:r>
            <w:r w:rsidRPr="00420C1B">
              <w:rPr>
                <w:rFonts w:ascii="Times New Roman" w:hAnsi="Times New Roman"/>
                <w:b/>
                <w:sz w:val="20"/>
                <w:szCs w:val="20"/>
              </w:rPr>
              <w:t>6000</w:t>
            </w:r>
          </w:p>
        </w:tc>
      </w:tr>
      <w:tr w:rsidR="00D75D2E" w:rsidRPr="00420C1B" w14:paraId="63C106DD" w14:textId="77777777" w:rsidTr="00420C1B">
        <w:trPr>
          <w:trHeight w:val="177"/>
        </w:trPr>
        <w:tc>
          <w:tcPr>
            <w:tcW w:w="798" w:type="dxa"/>
            <w:vMerge w:val="restart"/>
            <w:shd w:val="clear" w:color="auto" w:fill="D9D9D9"/>
            <w:textDirection w:val="btLr"/>
            <w:vAlign w:val="center"/>
          </w:tcPr>
          <w:p w14:paraId="1416A44D" w14:textId="77777777" w:rsidR="00244161" w:rsidRPr="00420C1B" w:rsidRDefault="00244161"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 xml:space="preserve">CONSTRUCTION </w:t>
            </w:r>
          </w:p>
        </w:tc>
        <w:tc>
          <w:tcPr>
            <w:tcW w:w="14677" w:type="dxa"/>
            <w:gridSpan w:val="14"/>
            <w:shd w:val="clear" w:color="auto" w:fill="D9D9D9"/>
          </w:tcPr>
          <w:p w14:paraId="43A9CA41"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Impacts Environnementaux</w:t>
            </w:r>
          </w:p>
        </w:tc>
      </w:tr>
      <w:tr w:rsidR="00D75D2E" w:rsidRPr="00420C1B" w14:paraId="4D1D9353" w14:textId="77777777" w:rsidTr="00420C1B">
        <w:trPr>
          <w:trHeight w:val="949"/>
        </w:trPr>
        <w:tc>
          <w:tcPr>
            <w:tcW w:w="798" w:type="dxa"/>
            <w:vMerge/>
            <w:shd w:val="clear" w:color="auto" w:fill="D9D9D9"/>
            <w:vAlign w:val="center"/>
          </w:tcPr>
          <w:p w14:paraId="7F3131A9" w14:textId="77777777" w:rsidR="00244161" w:rsidRPr="00420C1B" w:rsidRDefault="00244161" w:rsidP="0062151B">
            <w:pPr>
              <w:spacing w:after="0" w:line="240" w:lineRule="auto"/>
              <w:jc w:val="both"/>
              <w:rPr>
                <w:rFonts w:ascii="Times New Roman" w:hAnsi="Times New Roman"/>
                <w:sz w:val="20"/>
                <w:szCs w:val="20"/>
              </w:rPr>
            </w:pPr>
          </w:p>
        </w:tc>
        <w:tc>
          <w:tcPr>
            <w:tcW w:w="1612" w:type="dxa"/>
          </w:tcPr>
          <w:p w14:paraId="1D4B1762"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travaux de terrassement généraux (fouilles et de Terrassement et coulage de béton, circulation des engins sur le chantier</w:t>
            </w:r>
          </w:p>
        </w:tc>
        <w:tc>
          <w:tcPr>
            <w:tcW w:w="1163" w:type="dxa"/>
          </w:tcPr>
          <w:p w14:paraId="64CCCF29" w14:textId="77777777" w:rsidR="00244161" w:rsidRPr="00420C1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Qualité de l’air et ambiance sonore</w:t>
            </w:r>
          </w:p>
        </w:tc>
        <w:tc>
          <w:tcPr>
            <w:tcW w:w="2075" w:type="dxa"/>
            <w:gridSpan w:val="2"/>
            <w:vAlign w:val="center"/>
          </w:tcPr>
          <w:p w14:paraId="2107B141" w14:textId="77777777" w:rsidR="00244161"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Pollution atmosphérique par le soulèvement de poussières et l’émission de gaz d’échappement</w:t>
            </w:r>
          </w:p>
          <w:p w14:paraId="3F27C6B5" w14:textId="77777777" w:rsidR="00E6163A" w:rsidRDefault="00E6163A" w:rsidP="0062151B">
            <w:pPr>
              <w:spacing w:after="0" w:line="240" w:lineRule="auto"/>
              <w:jc w:val="both"/>
              <w:rPr>
                <w:rFonts w:ascii="Times New Roman" w:hAnsi="Times New Roman"/>
                <w:sz w:val="20"/>
                <w:szCs w:val="20"/>
              </w:rPr>
            </w:pPr>
          </w:p>
          <w:p w14:paraId="20343974" w14:textId="4DD2A35A" w:rsidR="00E6163A" w:rsidRPr="00420C1B" w:rsidRDefault="00E6163A" w:rsidP="00E6163A">
            <w:pPr>
              <w:spacing w:after="0" w:line="240" w:lineRule="auto"/>
              <w:jc w:val="both"/>
              <w:rPr>
                <w:rFonts w:ascii="Times New Roman" w:hAnsi="Times New Roman"/>
                <w:sz w:val="20"/>
                <w:szCs w:val="20"/>
              </w:rPr>
            </w:pPr>
          </w:p>
        </w:tc>
        <w:tc>
          <w:tcPr>
            <w:tcW w:w="2036" w:type="dxa"/>
            <w:gridSpan w:val="2"/>
            <w:tcBorders>
              <w:top w:val="single" w:sz="4" w:space="0" w:color="auto"/>
              <w:left w:val="single" w:sz="4" w:space="0" w:color="auto"/>
              <w:bottom w:val="single" w:sz="4" w:space="0" w:color="auto"/>
              <w:right w:val="single" w:sz="4" w:space="0" w:color="auto"/>
            </w:tcBorders>
          </w:tcPr>
          <w:p w14:paraId="0E8CDDA7" w14:textId="77777777" w:rsidR="00244161" w:rsidRPr="008B779B" w:rsidRDefault="00244161" w:rsidP="0062151B">
            <w:pPr>
              <w:autoSpaceDE w:val="0"/>
              <w:autoSpaceDN w:val="0"/>
              <w:adjustRightInd w:val="0"/>
              <w:spacing w:after="0" w:line="240" w:lineRule="auto"/>
              <w:jc w:val="both"/>
              <w:rPr>
                <w:rFonts w:ascii="Times New Roman" w:eastAsia="Times New Roman" w:hAnsi="Times New Roman"/>
                <w:sz w:val="20"/>
                <w:szCs w:val="20"/>
                <w:lang w:eastAsia="fr-FR"/>
              </w:rPr>
            </w:pPr>
            <w:r w:rsidRPr="008B779B">
              <w:rPr>
                <w:rFonts w:ascii="Times New Roman" w:hAnsi="Times New Roman"/>
                <w:sz w:val="20"/>
                <w:szCs w:val="20"/>
              </w:rPr>
              <w:t xml:space="preserve">Mise en œuvre d’un Plan de limitation de la pollution de l’air. </w:t>
            </w:r>
          </w:p>
        </w:tc>
        <w:tc>
          <w:tcPr>
            <w:tcW w:w="1730" w:type="dxa"/>
            <w:gridSpan w:val="2"/>
            <w:vAlign w:val="center"/>
          </w:tcPr>
          <w:p w14:paraId="4D200039" w14:textId="2435B3CC"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-100% des plaintes enregistrée</w:t>
            </w:r>
            <w:r w:rsidR="00D37E18" w:rsidRPr="00420C1B">
              <w:rPr>
                <w:rFonts w:ascii="Times New Roman" w:hAnsi="Times New Roman"/>
                <w:sz w:val="20"/>
                <w:szCs w:val="20"/>
              </w:rPr>
              <w:t>s</w:t>
            </w:r>
            <w:r w:rsidRPr="00420C1B">
              <w:rPr>
                <w:rFonts w:ascii="Times New Roman" w:hAnsi="Times New Roman"/>
                <w:sz w:val="20"/>
                <w:szCs w:val="20"/>
              </w:rPr>
              <w:t xml:space="preserve"> sont traitées</w:t>
            </w:r>
          </w:p>
          <w:p w14:paraId="5FB55928"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-PV de sensibilisation sur la limitation de vitesse.</w:t>
            </w:r>
          </w:p>
        </w:tc>
        <w:tc>
          <w:tcPr>
            <w:tcW w:w="802" w:type="dxa"/>
            <w:gridSpan w:val="2"/>
            <w:vAlign w:val="center"/>
          </w:tcPr>
          <w:p w14:paraId="4B2A3430"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Entreprise</w:t>
            </w:r>
          </w:p>
        </w:tc>
        <w:tc>
          <w:tcPr>
            <w:tcW w:w="1182" w:type="dxa"/>
            <w:vAlign w:val="center"/>
          </w:tcPr>
          <w:p w14:paraId="2D20FB6B"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MdC ;</w:t>
            </w:r>
          </w:p>
          <w:p w14:paraId="6559F383"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ACE ;</w:t>
            </w:r>
          </w:p>
          <w:p w14:paraId="46DFD8E8"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BUE. </w:t>
            </w:r>
          </w:p>
        </w:tc>
        <w:tc>
          <w:tcPr>
            <w:tcW w:w="1276" w:type="dxa"/>
            <w:vAlign w:val="center"/>
          </w:tcPr>
          <w:p w14:paraId="149120D7" w14:textId="77777777" w:rsidR="00244161" w:rsidRPr="008B779B" w:rsidRDefault="0024416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B779B">
              <w:rPr>
                <w:rFonts w:ascii="Times New Roman" w:hAnsi="Times New Roman"/>
                <w:sz w:val="20"/>
                <w:szCs w:val="20"/>
              </w:rPr>
              <w:t>CPE ;</w:t>
            </w:r>
          </w:p>
          <w:p w14:paraId="1EA58271" w14:textId="77777777" w:rsidR="00244161" w:rsidRPr="008B779B" w:rsidRDefault="0024416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B779B">
              <w:rPr>
                <w:rFonts w:ascii="Times New Roman" w:hAnsi="Times New Roman"/>
                <w:sz w:val="20"/>
                <w:szCs w:val="20"/>
              </w:rPr>
              <w:t>SCES/UCM</w:t>
            </w:r>
          </w:p>
          <w:p w14:paraId="4E89F494" w14:textId="77777777" w:rsidR="00244161" w:rsidRPr="008B779B" w:rsidRDefault="00244161" w:rsidP="008C79F0">
            <w:pPr>
              <w:numPr>
                <w:ilvl w:val="0"/>
                <w:numId w:val="32"/>
              </w:numPr>
              <w:autoSpaceDE w:val="0"/>
              <w:autoSpaceDN w:val="0"/>
              <w:adjustRightInd w:val="0"/>
              <w:spacing w:after="0" w:line="240" w:lineRule="auto"/>
              <w:ind w:left="175" w:hanging="175"/>
              <w:contextualSpacing/>
              <w:jc w:val="both"/>
              <w:rPr>
                <w:rFonts w:ascii="Times New Roman" w:hAnsi="Times New Roman"/>
                <w:sz w:val="20"/>
                <w:szCs w:val="20"/>
              </w:rPr>
            </w:pPr>
            <w:r w:rsidRPr="008B779B">
              <w:rPr>
                <w:rFonts w:ascii="Times New Roman" w:hAnsi="Times New Roman"/>
                <w:sz w:val="20"/>
                <w:szCs w:val="20"/>
              </w:rPr>
              <w:t>Service environnement des communes concernées</w:t>
            </w:r>
          </w:p>
        </w:tc>
        <w:tc>
          <w:tcPr>
            <w:tcW w:w="1420" w:type="dxa"/>
            <w:vAlign w:val="center"/>
          </w:tcPr>
          <w:p w14:paraId="1D78AF34"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pendant les travaux</w:t>
            </w:r>
          </w:p>
        </w:tc>
        <w:tc>
          <w:tcPr>
            <w:tcW w:w="1381" w:type="dxa"/>
            <w:vAlign w:val="center"/>
          </w:tcPr>
          <w:p w14:paraId="39E624C6" w14:textId="77777777" w:rsidR="00244161" w:rsidRPr="00420C1B" w:rsidRDefault="00C67F9B" w:rsidP="0062151B">
            <w:pPr>
              <w:spacing w:after="0" w:line="240" w:lineRule="auto"/>
              <w:jc w:val="both"/>
              <w:rPr>
                <w:rFonts w:ascii="Times New Roman" w:hAnsi="Times New Roman"/>
                <w:sz w:val="20"/>
                <w:szCs w:val="20"/>
                <w:highlight w:val="yellow"/>
              </w:rPr>
            </w:pPr>
            <w:r w:rsidRPr="00420C1B">
              <w:rPr>
                <w:rFonts w:ascii="Times New Roman" w:hAnsi="Times New Roman"/>
                <w:sz w:val="20"/>
                <w:szCs w:val="20"/>
              </w:rPr>
              <w:t>10</w:t>
            </w:r>
            <w:r w:rsidR="00244161" w:rsidRPr="00420C1B">
              <w:rPr>
                <w:rFonts w:ascii="Times New Roman" w:hAnsi="Times New Roman"/>
                <w:sz w:val="20"/>
                <w:szCs w:val="20"/>
              </w:rPr>
              <w:t xml:space="preserve"> séances x 500= </w:t>
            </w:r>
            <w:r w:rsidRPr="00420C1B">
              <w:rPr>
                <w:rFonts w:ascii="Times New Roman" w:hAnsi="Times New Roman"/>
                <w:sz w:val="20"/>
                <w:szCs w:val="20"/>
              </w:rPr>
              <w:t>5000</w:t>
            </w:r>
          </w:p>
        </w:tc>
      </w:tr>
      <w:tr w:rsidR="00D75D2E" w:rsidRPr="00420C1B" w14:paraId="5548558E" w14:textId="77777777" w:rsidTr="00420C1B">
        <w:trPr>
          <w:trHeight w:val="949"/>
        </w:trPr>
        <w:tc>
          <w:tcPr>
            <w:tcW w:w="798" w:type="dxa"/>
            <w:vMerge/>
            <w:shd w:val="clear" w:color="auto" w:fill="D9D9D9"/>
            <w:vAlign w:val="center"/>
          </w:tcPr>
          <w:p w14:paraId="02A9B75D"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43EC26F4"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eastAsia="Times New Roman" w:hAnsi="Times New Roman"/>
                <w:sz w:val="20"/>
                <w:szCs w:val="20"/>
                <w:lang w:eastAsia="fr-FR"/>
              </w:rPr>
              <w:t>Approvisionnement, stockage, distribution d’hydrocarbures et mouvement des engins  (déversement  de lubrifiants)</w:t>
            </w:r>
          </w:p>
        </w:tc>
        <w:tc>
          <w:tcPr>
            <w:tcW w:w="1163" w:type="dxa"/>
            <w:vAlign w:val="center"/>
          </w:tcPr>
          <w:p w14:paraId="559F3303"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Eau et Sol</w:t>
            </w:r>
          </w:p>
        </w:tc>
        <w:tc>
          <w:tcPr>
            <w:tcW w:w="2075" w:type="dxa"/>
            <w:gridSpan w:val="2"/>
            <w:vAlign w:val="center"/>
          </w:tcPr>
          <w:p w14:paraId="5774D8CC"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Pollution du sol et des eaux</w:t>
            </w:r>
          </w:p>
        </w:tc>
        <w:tc>
          <w:tcPr>
            <w:tcW w:w="2036" w:type="dxa"/>
            <w:gridSpan w:val="2"/>
          </w:tcPr>
          <w:p w14:paraId="38ADFAB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Mise en œuvre d’un Plan de drainage approprié des eaux de ruissellement de la base-vie et d’un Plan de gestion des déchets solides et liquides dans la zone du projet</w:t>
            </w:r>
          </w:p>
        </w:tc>
        <w:tc>
          <w:tcPr>
            <w:tcW w:w="1730" w:type="dxa"/>
            <w:gridSpan w:val="2"/>
            <w:vAlign w:val="center"/>
          </w:tcPr>
          <w:p w14:paraId="05788BA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•100% des sites visités ne présentent pas de trace d’hydrocarbure ;</w:t>
            </w:r>
          </w:p>
          <w:p w14:paraId="7C91AC6D"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•100% des fûts de récupération et de plateforme de stockage prévus sont mis en place</w:t>
            </w:r>
          </w:p>
        </w:tc>
        <w:tc>
          <w:tcPr>
            <w:tcW w:w="802" w:type="dxa"/>
            <w:gridSpan w:val="2"/>
            <w:vAlign w:val="center"/>
          </w:tcPr>
          <w:p w14:paraId="7B90C4FC"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tc>
        <w:tc>
          <w:tcPr>
            <w:tcW w:w="1182" w:type="dxa"/>
            <w:vAlign w:val="center"/>
          </w:tcPr>
          <w:p w14:paraId="7BE1ED42" w14:textId="77777777" w:rsidR="00244161" w:rsidRPr="008B779B" w:rsidRDefault="00244161"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B779B">
              <w:rPr>
                <w:rFonts w:ascii="Times New Roman" w:hAnsi="Times New Roman"/>
                <w:sz w:val="20"/>
                <w:szCs w:val="20"/>
              </w:rPr>
              <w:t>MdC ;</w:t>
            </w:r>
          </w:p>
          <w:p w14:paraId="2557E49B" w14:textId="77777777" w:rsidR="00244161" w:rsidRPr="008B779B" w:rsidRDefault="00244161"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B779B">
              <w:rPr>
                <w:rFonts w:ascii="Times New Roman" w:hAnsi="Times New Roman"/>
                <w:sz w:val="20"/>
                <w:szCs w:val="20"/>
              </w:rPr>
              <w:t>ACE ;</w:t>
            </w:r>
          </w:p>
          <w:p w14:paraId="37E9C9E1" w14:textId="77777777" w:rsidR="00244161" w:rsidRPr="008B779B" w:rsidRDefault="00244161" w:rsidP="008C79F0">
            <w:pPr>
              <w:numPr>
                <w:ilvl w:val="0"/>
                <w:numId w:val="42"/>
              </w:numPr>
              <w:autoSpaceDE w:val="0"/>
              <w:autoSpaceDN w:val="0"/>
              <w:adjustRightInd w:val="0"/>
              <w:spacing w:after="0" w:line="240" w:lineRule="auto"/>
              <w:ind w:left="0" w:right="-107" w:hanging="119"/>
              <w:contextualSpacing/>
              <w:jc w:val="both"/>
              <w:rPr>
                <w:rFonts w:ascii="Times New Roman" w:hAnsi="Times New Roman"/>
                <w:sz w:val="20"/>
                <w:szCs w:val="20"/>
              </w:rPr>
            </w:pPr>
            <w:r w:rsidRPr="008B779B">
              <w:rPr>
                <w:rFonts w:ascii="Times New Roman" w:hAnsi="Times New Roman"/>
                <w:sz w:val="20"/>
                <w:szCs w:val="20"/>
              </w:rPr>
              <w:t>BUE. </w:t>
            </w:r>
          </w:p>
        </w:tc>
        <w:tc>
          <w:tcPr>
            <w:tcW w:w="1276" w:type="dxa"/>
            <w:vAlign w:val="center"/>
          </w:tcPr>
          <w:p w14:paraId="1EF27FBA" w14:textId="77777777" w:rsidR="00244161" w:rsidRPr="008B779B" w:rsidRDefault="00244161" w:rsidP="0062151B">
            <w:pPr>
              <w:autoSpaceDE w:val="0"/>
              <w:autoSpaceDN w:val="0"/>
              <w:adjustRightInd w:val="0"/>
              <w:spacing w:after="0" w:line="240" w:lineRule="auto"/>
              <w:contextualSpacing/>
              <w:jc w:val="both"/>
              <w:rPr>
                <w:rFonts w:ascii="Times New Roman" w:hAnsi="Times New Roman"/>
                <w:sz w:val="20"/>
                <w:szCs w:val="20"/>
              </w:rPr>
            </w:pPr>
            <w:r w:rsidRPr="008B779B">
              <w:rPr>
                <w:rFonts w:ascii="Times New Roman" w:hAnsi="Times New Roman"/>
                <w:sz w:val="20"/>
                <w:szCs w:val="20"/>
              </w:rPr>
              <w:t>CPE ;</w:t>
            </w:r>
          </w:p>
          <w:p w14:paraId="581AC4E1" w14:textId="77777777" w:rsidR="00244161" w:rsidRPr="008B779B" w:rsidRDefault="00244161" w:rsidP="0062151B">
            <w:pPr>
              <w:autoSpaceDE w:val="0"/>
              <w:autoSpaceDN w:val="0"/>
              <w:adjustRightInd w:val="0"/>
              <w:spacing w:after="0" w:line="240" w:lineRule="auto"/>
              <w:contextualSpacing/>
              <w:jc w:val="both"/>
              <w:rPr>
                <w:rFonts w:ascii="Times New Roman" w:hAnsi="Times New Roman"/>
                <w:sz w:val="20"/>
                <w:szCs w:val="20"/>
              </w:rPr>
            </w:pPr>
            <w:r w:rsidRPr="008B779B">
              <w:rPr>
                <w:rFonts w:ascii="Times New Roman" w:hAnsi="Times New Roman"/>
                <w:sz w:val="20"/>
                <w:szCs w:val="20"/>
              </w:rPr>
              <w:t>SCES/UCM ;</w:t>
            </w:r>
          </w:p>
          <w:p w14:paraId="15FFE26D"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Service environnement des communes concernées</w:t>
            </w:r>
          </w:p>
        </w:tc>
        <w:tc>
          <w:tcPr>
            <w:tcW w:w="1420" w:type="dxa"/>
            <w:vAlign w:val="center"/>
          </w:tcPr>
          <w:p w14:paraId="149E3EA6"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Pendant les travaux</w:t>
            </w:r>
          </w:p>
        </w:tc>
        <w:tc>
          <w:tcPr>
            <w:tcW w:w="1381" w:type="dxa"/>
            <w:vAlign w:val="center"/>
          </w:tcPr>
          <w:p w14:paraId="15D631FC" w14:textId="77777777" w:rsidR="00244161" w:rsidRPr="00420C1B" w:rsidRDefault="00C67F9B" w:rsidP="0062151B">
            <w:pPr>
              <w:spacing w:after="0" w:line="240" w:lineRule="auto"/>
              <w:jc w:val="both"/>
              <w:rPr>
                <w:rFonts w:ascii="Times New Roman" w:hAnsi="Times New Roman"/>
                <w:b/>
                <w:sz w:val="20"/>
                <w:szCs w:val="20"/>
                <w:highlight w:val="yellow"/>
              </w:rPr>
            </w:pPr>
            <w:r w:rsidRPr="00420C1B">
              <w:rPr>
                <w:rFonts w:ascii="Times New Roman" w:hAnsi="Times New Roman"/>
                <w:sz w:val="20"/>
                <w:szCs w:val="20"/>
              </w:rPr>
              <w:t>10</w:t>
            </w:r>
            <w:r w:rsidR="00244161" w:rsidRPr="00420C1B">
              <w:rPr>
                <w:rFonts w:ascii="Times New Roman" w:hAnsi="Times New Roman"/>
                <w:sz w:val="20"/>
                <w:szCs w:val="20"/>
              </w:rPr>
              <w:t xml:space="preserve"> séances x 500= </w:t>
            </w:r>
            <w:r w:rsidRPr="00420C1B">
              <w:rPr>
                <w:rFonts w:ascii="Times New Roman" w:hAnsi="Times New Roman"/>
                <w:sz w:val="20"/>
                <w:szCs w:val="20"/>
              </w:rPr>
              <w:t>5000</w:t>
            </w:r>
          </w:p>
        </w:tc>
      </w:tr>
      <w:tr w:rsidR="00D75D2E" w:rsidRPr="00420C1B" w14:paraId="50AEF244" w14:textId="77777777" w:rsidTr="00420C1B">
        <w:trPr>
          <w:trHeight w:val="949"/>
        </w:trPr>
        <w:tc>
          <w:tcPr>
            <w:tcW w:w="798" w:type="dxa"/>
            <w:vMerge/>
            <w:shd w:val="clear" w:color="auto" w:fill="D9D9D9"/>
            <w:vAlign w:val="center"/>
          </w:tcPr>
          <w:p w14:paraId="53070D97"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50A12E00"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Terrassement (Remblai et déblais) et coulage de béton</w:t>
            </w:r>
          </w:p>
        </w:tc>
        <w:tc>
          <w:tcPr>
            <w:tcW w:w="1163" w:type="dxa"/>
            <w:vAlign w:val="center"/>
          </w:tcPr>
          <w:p w14:paraId="526E8F2A"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Sol et habitat naturel</w:t>
            </w:r>
          </w:p>
        </w:tc>
        <w:tc>
          <w:tcPr>
            <w:tcW w:w="2075" w:type="dxa"/>
            <w:gridSpan w:val="2"/>
            <w:vAlign w:val="center"/>
          </w:tcPr>
          <w:p w14:paraId="76771DF0"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Érosion et déstabilisation des sols.</w:t>
            </w:r>
          </w:p>
        </w:tc>
        <w:tc>
          <w:tcPr>
            <w:tcW w:w="2036" w:type="dxa"/>
            <w:gridSpan w:val="2"/>
          </w:tcPr>
          <w:p w14:paraId="52C47EA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Stabilisation des sols </w:t>
            </w:r>
          </w:p>
        </w:tc>
        <w:tc>
          <w:tcPr>
            <w:tcW w:w="1730" w:type="dxa"/>
            <w:gridSpan w:val="2"/>
            <w:vAlign w:val="center"/>
          </w:tcPr>
          <w:p w14:paraId="573C30F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-PV de restauration des sites après les travaux ;</w:t>
            </w:r>
          </w:p>
          <w:p w14:paraId="3B2FABE8"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-Aucune trace d’érosion observée au niveau des sites d’implantation des poteaux ou des cabines.</w:t>
            </w:r>
          </w:p>
        </w:tc>
        <w:tc>
          <w:tcPr>
            <w:tcW w:w="802" w:type="dxa"/>
            <w:gridSpan w:val="2"/>
            <w:vAlign w:val="center"/>
          </w:tcPr>
          <w:p w14:paraId="2EE2A8E4"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tc>
        <w:tc>
          <w:tcPr>
            <w:tcW w:w="1182" w:type="dxa"/>
            <w:vAlign w:val="center"/>
          </w:tcPr>
          <w:p w14:paraId="487602DA"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MdC ;</w:t>
            </w:r>
          </w:p>
          <w:p w14:paraId="72583EBB"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ACE ;</w:t>
            </w:r>
          </w:p>
          <w:p w14:paraId="3E6B8E76"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BUE. </w:t>
            </w:r>
          </w:p>
        </w:tc>
        <w:tc>
          <w:tcPr>
            <w:tcW w:w="1276" w:type="dxa"/>
            <w:vAlign w:val="center"/>
          </w:tcPr>
          <w:p w14:paraId="3F450887" w14:textId="77777777" w:rsidR="00244161" w:rsidRPr="008B779B" w:rsidRDefault="00244161" w:rsidP="008C79F0">
            <w:pPr>
              <w:numPr>
                <w:ilvl w:val="0"/>
                <w:numId w:val="42"/>
              </w:numPr>
              <w:autoSpaceDE w:val="0"/>
              <w:autoSpaceDN w:val="0"/>
              <w:adjustRightInd w:val="0"/>
              <w:spacing w:after="0" w:line="240" w:lineRule="auto"/>
              <w:ind w:left="41" w:hanging="142"/>
              <w:contextualSpacing/>
              <w:jc w:val="both"/>
              <w:rPr>
                <w:rFonts w:ascii="Times New Roman" w:hAnsi="Times New Roman"/>
                <w:sz w:val="20"/>
                <w:szCs w:val="20"/>
              </w:rPr>
            </w:pPr>
            <w:r w:rsidRPr="008B779B">
              <w:rPr>
                <w:rFonts w:ascii="Times New Roman" w:hAnsi="Times New Roman"/>
                <w:sz w:val="20"/>
                <w:szCs w:val="20"/>
              </w:rPr>
              <w:t>CPE ;</w:t>
            </w:r>
          </w:p>
          <w:p w14:paraId="5664FDB5" w14:textId="77777777" w:rsidR="00244161" w:rsidRPr="008B779B" w:rsidRDefault="00244161" w:rsidP="008C79F0">
            <w:pPr>
              <w:numPr>
                <w:ilvl w:val="0"/>
                <w:numId w:val="42"/>
              </w:numPr>
              <w:autoSpaceDE w:val="0"/>
              <w:autoSpaceDN w:val="0"/>
              <w:adjustRightInd w:val="0"/>
              <w:spacing w:after="0" w:line="240" w:lineRule="auto"/>
              <w:ind w:left="41" w:hanging="142"/>
              <w:contextualSpacing/>
              <w:jc w:val="both"/>
              <w:rPr>
                <w:rFonts w:ascii="Times New Roman" w:hAnsi="Times New Roman"/>
                <w:sz w:val="20"/>
                <w:szCs w:val="20"/>
              </w:rPr>
            </w:pPr>
            <w:r w:rsidRPr="008B779B">
              <w:rPr>
                <w:rFonts w:ascii="Times New Roman" w:hAnsi="Times New Roman"/>
                <w:sz w:val="20"/>
                <w:szCs w:val="20"/>
              </w:rPr>
              <w:t>SCES/UCM</w:t>
            </w:r>
          </w:p>
          <w:p w14:paraId="7B65DA59"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Service environnement des communes concernées</w:t>
            </w:r>
          </w:p>
        </w:tc>
        <w:tc>
          <w:tcPr>
            <w:tcW w:w="1420" w:type="dxa"/>
            <w:vAlign w:val="center"/>
          </w:tcPr>
          <w:p w14:paraId="0D76811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Pendant les travaux</w:t>
            </w:r>
          </w:p>
        </w:tc>
        <w:tc>
          <w:tcPr>
            <w:tcW w:w="1381" w:type="dxa"/>
            <w:vAlign w:val="center"/>
          </w:tcPr>
          <w:p w14:paraId="16442E3F"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sz w:val="20"/>
                <w:szCs w:val="20"/>
              </w:rPr>
              <w:t xml:space="preserve">FF  </w:t>
            </w:r>
            <w:r w:rsidRPr="00420C1B">
              <w:rPr>
                <w:rFonts w:ascii="Times New Roman" w:hAnsi="Times New Roman"/>
                <w:b/>
                <w:sz w:val="20"/>
                <w:szCs w:val="20"/>
              </w:rPr>
              <w:t>5000</w:t>
            </w:r>
          </w:p>
        </w:tc>
      </w:tr>
      <w:tr w:rsidR="00D75D2E" w:rsidRPr="00420C1B" w14:paraId="721EAB10" w14:textId="77777777" w:rsidTr="00420C1B">
        <w:trPr>
          <w:trHeight w:val="949"/>
        </w:trPr>
        <w:tc>
          <w:tcPr>
            <w:tcW w:w="798" w:type="dxa"/>
            <w:vMerge/>
            <w:shd w:val="clear" w:color="auto" w:fill="D9D9D9"/>
            <w:vAlign w:val="center"/>
          </w:tcPr>
          <w:p w14:paraId="6290EA33"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6C759C03"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Terrassement et coulage de béton, remblai et déblais, démantèlement des câbles dégradés</w:t>
            </w:r>
          </w:p>
        </w:tc>
        <w:tc>
          <w:tcPr>
            <w:tcW w:w="1163" w:type="dxa"/>
            <w:vAlign w:val="center"/>
          </w:tcPr>
          <w:p w14:paraId="76EF1819"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Air, Eau et Sol</w:t>
            </w:r>
          </w:p>
        </w:tc>
        <w:tc>
          <w:tcPr>
            <w:tcW w:w="2075" w:type="dxa"/>
            <w:gridSpan w:val="2"/>
            <w:vAlign w:val="center"/>
          </w:tcPr>
          <w:p w14:paraId="4D7C5E68"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Pollution liés à la gestion des déchets du chantier  </w:t>
            </w:r>
          </w:p>
        </w:tc>
        <w:tc>
          <w:tcPr>
            <w:tcW w:w="2036" w:type="dxa"/>
            <w:gridSpan w:val="2"/>
          </w:tcPr>
          <w:p w14:paraId="373EA834"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Mise en œuvre d’un Plan de gestion des déchets dans la zone d’évolution des travaux</w:t>
            </w:r>
          </w:p>
        </w:tc>
        <w:tc>
          <w:tcPr>
            <w:tcW w:w="1730" w:type="dxa"/>
            <w:gridSpan w:val="2"/>
            <w:vAlign w:val="center"/>
          </w:tcPr>
          <w:p w14:paraId="79C7A65C"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•Aucune trace de déchet de chantier observé dans la zone des travaux et dans la base vie ;</w:t>
            </w:r>
          </w:p>
          <w:p w14:paraId="7B45FE98"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•PV de sensibilisation sur la gestion des déchets ;</w:t>
            </w:r>
          </w:p>
          <w:p w14:paraId="47451211"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•Présence effective des bacs à ordures sur le chantier et dans la base vie</w:t>
            </w:r>
          </w:p>
        </w:tc>
        <w:tc>
          <w:tcPr>
            <w:tcW w:w="802" w:type="dxa"/>
            <w:gridSpan w:val="2"/>
            <w:vAlign w:val="center"/>
          </w:tcPr>
          <w:p w14:paraId="3FD2F1F7"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tc>
        <w:tc>
          <w:tcPr>
            <w:tcW w:w="1182" w:type="dxa"/>
            <w:vAlign w:val="center"/>
          </w:tcPr>
          <w:p w14:paraId="1A9957C4"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MdC ;</w:t>
            </w:r>
          </w:p>
          <w:p w14:paraId="07C8B52D"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ACE ;</w:t>
            </w:r>
          </w:p>
          <w:p w14:paraId="39DB30F3" w14:textId="77777777" w:rsidR="00244161" w:rsidRPr="008B779B" w:rsidRDefault="00244161" w:rsidP="008C79F0">
            <w:pPr>
              <w:numPr>
                <w:ilvl w:val="0"/>
                <w:numId w:val="42"/>
              </w:numPr>
              <w:autoSpaceDE w:val="0"/>
              <w:autoSpaceDN w:val="0"/>
              <w:adjustRightInd w:val="0"/>
              <w:spacing w:after="0" w:line="240" w:lineRule="auto"/>
              <w:ind w:left="119" w:hanging="119"/>
              <w:contextualSpacing/>
              <w:jc w:val="both"/>
              <w:rPr>
                <w:rFonts w:ascii="Times New Roman" w:hAnsi="Times New Roman"/>
                <w:sz w:val="20"/>
                <w:szCs w:val="20"/>
              </w:rPr>
            </w:pPr>
            <w:r w:rsidRPr="008B779B">
              <w:rPr>
                <w:rFonts w:ascii="Times New Roman" w:hAnsi="Times New Roman"/>
                <w:sz w:val="20"/>
                <w:szCs w:val="20"/>
              </w:rPr>
              <w:t>BUE. </w:t>
            </w:r>
          </w:p>
        </w:tc>
        <w:tc>
          <w:tcPr>
            <w:tcW w:w="1276" w:type="dxa"/>
            <w:vAlign w:val="center"/>
          </w:tcPr>
          <w:p w14:paraId="28F1BD8F" w14:textId="77777777" w:rsidR="00244161" w:rsidRPr="008B779B" w:rsidRDefault="00244161" w:rsidP="008C79F0">
            <w:pPr>
              <w:numPr>
                <w:ilvl w:val="0"/>
                <w:numId w:val="42"/>
              </w:numPr>
              <w:autoSpaceDE w:val="0"/>
              <w:autoSpaceDN w:val="0"/>
              <w:adjustRightInd w:val="0"/>
              <w:spacing w:after="0" w:line="240" w:lineRule="auto"/>
              <w:ind w:left="41" w:hanging="142"/>
              <w:contextualSpacing/>
              <w:jc w:val="both"/>
              <w:rPr>
                <w:rFonts w:ascii="Times New Roman" w:hAnsi="Times New Roman"/>
                <w:sz w:val="20"/>
                <w:szCs w:val="20"/>
              </w:rPr>
            </w:pPr>
            <w:r w:rsidRPr="008B779B">
              <w:rPr>
                <w:rFonts w:ascii="Times New Roman" w:hAnsi="Times New Roman"/>
                <w:sz w:val="20"/>
                <w:szCs w:val="20"/>
              </w:rPr>
              <w:t>CPE ;</w:t>
            </w:r>
          </w:p>
          <w:p w14:paraId="5D01E446" w14:textId="77777777" w:rsidR="00244161" w:rsidRPr="008B779B" w:rsidRDefault="00244161" w:rsidP="008C79F0">
            <w:pPr>
              <w:numPr>
                <w:ilvl w:val="0"/>
                <w:numId w:val="42"/>
              </w:numPr>
              <w:autoSpaceDE w:val="0"/>
              <w:autoSpaceDN w:val="0"/>
              <w:adjustRightInd w:val="0"/>
              <w:spacing w:after="0" w:line="240" w:lineRule="auto"/>
              <w:ind w:left="41" w:hanging="142"/>
              <w:contextualSpacing/>
              <w:jc w:val="both"/>
              <w:rPr>
                <w:rFonts w:ascii="Times New Roman" w:hAnsi="Times New Roman"/>
                <w:sz w:val="20"/>
                <w:szCs w:val="20"/>
              </w:rPr>
            </w:pPr>
            <w:r w:rsidRPr="008B779B">
              <w:rPr>
                <w:rFonts w:ascii="Times New Roman" w:hAnsi="Times New Roman"/>
                <w:sz w:val="20"/>
                <w:szCs w:val="20"/>
              </w:rPr>
              <w:t>SCES/UCM</w:t>
            </w:r>
          </w:p>
          <w:p w14:paraId="2C9F3CA7"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Service environnement des communes concernées</w:t>
            </w:r>
          </w:p>
        </w:tc>
        <w:tc>
          <w:tcPr>
            <w:tcW w:w="1420" w:type="dxa"/>
            <w:vAlign w:val="center"/>
          </w:tcPr>
          <w:p w14:paraId="73E6A9BB"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Pendant les travaux</w:t>
            </w:r>
          </w:p>
        </w:tc>
        <w:tc>
          <w:tcPr>
            <w:tcW w:w="1381" w:type="dxa"/>
            <w:shd w:val="clear" w:color="auto" w:fill="auto"/>
            <w:vAlign w:val="center"/>
          </w:tcPr>
          <w:p w14:paraId="730A6DAE" w14:textId="77777777" w:rsidR="00244161" w:rsidRPr="00420C1B" w:rsidRDefault="00C67F9B" w:rsidP="0062151B">
            <w:pPr>
              <w:spacing w:after="0" w:line="240" w:lineRule="auto"/>
              <w:jc w:val="both"/>
              <w:rPr>
                <w:rFonts w:ascii="Times New Roman" w:hAnsi="Times New Roman"/>
                <w:b/>
                <w:sz w:val="20"/>
                <w:szCs w:val="20"/>
              </w:rPr>
            </w:pPr>
            <w:r w:rsidRPr="00420C1B">
              <w:rPr>
                <w:rFonts w:ascii="Times New Roman" w:hAnsi="Times New Roman"/>
                <w:sz w:val="20"/>
                <w:szCs w:val="20"/>
              </w:rPr>
              <w:t>10</w:t>
            </w:r>
            <w:r w:rsidR="00244161" w:rsidRPr="00420C1B">
              <w:rPr>
                <w:rFonts w:ascii="Times New Roman" w:hAnsi="Times New Roman"/>
                <w:sz w:val="20"/>
                <w:szCs w:val="20"/>
              </w:rPr>
              <w:t xml:space="preserve"> séances x 500= </w:t>
            </w:r>
            <w:r w:rsidRPr="00420C1B">
              <w:rPr>
                <w:rFonts w:ascii="Times New Roman" w:hAnsi="Times New Roman"/>
                <w:sz w:val="20"/>
                <w:szCs w:val="20"/>
              </w:rPr>
              <w:t>5000</w:t>
            </w:r>
          </w:p>
        </w:tc>
      </w:tr>
      <w:tr w:rsidR="00D75D2E" w:rsidRPr="00420C1B" w14:paraId="4DC30FC8" w14:textId="77777777" w:rsidTr="00420C1B">
        <w:trPr>
          <w:trHeight w:val="427"/>
        </w:trPr>
        <w:tc>
          <w:tcPr>
            <w:tcW w:w="798" w:type="dxa"/>
            <w:vMerge/>
            <w:shd w:val="clear" w:color="auto" w:fill="D9D9D9"/>
            <w:vAlign w:val="center"/>
          </w:tcPr>
          <w:p w14:paraId="1D957296" w14:textId="77777777" w:rsidR="00244161" w:rsidRPr="00420C1B" w:rsidRDefault="00244161" w:rsidP="0062151B">
            <w:pPr>
              <w:spacing w:after="0" w:line="240" w:lineRule="auto"/>
              <w:jc w:val="both"/>
              <w:rPr>
                <w:rFonts w:ascii="Times New Roman" w:hAnsi="Times New Roman"/>
                <w:sz w:val="20"/>
                <w:szCs w:val="20"/>
              </w:rPr>
            </w:pPr>
          </w:p>
        </w:tc>
        <w:tc>
          <w:tcPr>
            <w:tcW w:w="14677" w:type="dxa"/>
            <w:gridSpan w:val="14"/>
            <w:shd w:val="clear" w:color="auto" w:fill="D9D9D9"/>
          </w:tcPr>
          <w:p w14:paraId="09599C05" w14:textId="77777777" w:rsidR="00244161" w:rsidRPr="00420C1B" w:rsidRDefault="00244161" w:rsidP="0062151B">
            <w:pPr>
              <w:spacing w:after="0" w:line="240" w:lineRule="auto"/>
              <w:jc w:val="center"/>
              <w:rPr>
                <w:rFonts w:ascii="Times New Roman" w:hAnsi="Times New Roman"/>
                <w:b/>
                <w:sz w:val="20"/>
                <w:szCs w:val="20"/>
              </w:rPr>
            </w:pPr>
            <w:r w:rsidRPr="00420C1B">
              <w:rPr>
                <w:rFonts w:ascii="Times New Roman" w:hAnsi="Times New Roman"/>
                <w:b/>
                <w:sz w:val="20"/>
                <w:szCs w:val="20"/>
              </w:rPr>
              <w:t>Impacts sociaux</w:t>
            </w:r>
          </w:p>
        </w:tc>
      </w:tr>
      <w:tr w:rsidR="00D75D2E" w:rsidRPr="00420C1B" w14:paraId="6BD0B5C7" w14:textId="77777777" w:rsidTr="00420C1B">
        <w:trPr>
          <w:trHeight w:val="427"/>
        </w:trPr>
        <w:tc>
          <w:tcPr>
            <w:tcW w:w="798" w:type="dxa"/>
            <w:vMerge/>
            <w:shd w:val="clear" w:color="auto" w:fill="D9D9D9"/>
            <w:vAlign w:val="center"/>
          </w:tcPr>
          <w:p w14:paraId="4F414CB0" w14:textId="77777777" w:rsidR="00244161" w:rsidRPr="00420C1B" w:rsidRDefault="00244161" w:rsidP="0062151B">
            <w:pPr>
              <w:spacing w:after="0" w:line="240" w:lineRule="auto"/>
              <w:jc w:val="both"/>
              <w:rPr>
                <w:rFonts w:ascii="Times New Roman" w:hAnsi="Times New Roman"/>
                <w:sz w:val="20"/>
                <w:szCs w:val="20"/>
              </w:rPr>
            </w:pPr>
          </w:p>
        </w:tc>
        <w:tc>
          <w:tcPr>
            <w:tcW w:w="1612" w:type="dxa"/>
          </w:tcPr>
          <w:p w14:paraId="1727DE65"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Transport et circulation de la machinerie et matériaux, tirage des câbles, fouilles et installation des poteaux</w:t>
            </w:r>
          </w:p>
        </w:tc>
        <w:tc>
          <w:tcPr>
            <w:tcW w:w="1163" w:type="dxa"/>
          </w:tcPr>
          <w:p w14:paraId="6F8B961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Santé publique et sécurité</w:t>
            </w:r>
          </w:p>
        </w:tc>
        <w:tc>
          <w:tcPr>
            <w:tcW w:w="2075" w:type="dxa"/>
            <w:gridSpan w:val="2"/>
            <w:vAlign w:val="center"/>
          </w:tcPr>
          <w:p w14:paraId="5909E28C"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Risque d’accidents  </w:t>
            </w:r>
          </w:p>
        </w:tc>
        <w:tc>
          <w:tcPr>
            <w:tcW w:w="2036" w:type="dxa"/>
            <w:gridSpan w:val="2"/>
            <w:vAlign w:val="center"/>
          </w:tcPr>
          <w:p w14:paraId="6B44E7CD"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Mise en œuvre d’un Plan d’Information Education Communication (PIEC) sur les risques d’accident en direction des ouvriers et des populations riveraines </w:t>
            </w:r>
          </w:p>
        </w:tc>
        <w:tc>
          <w:tcPr>
            <w:tcW w:w="1730" w:type="dxa"/>
            <w:gridSpan w:val="2"/>
            <w:vAlign w:val="center"/>
          </w:tcPr>
          <w:p w14:paraId="4D7DA699"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100% des personnes victimes d’accidents sont prises en charge</w:t>
            </w:r>
          </w:p>
        </w:tc>
        <w:tc>
          <w:tcPr>
            <w:tcW w:w="802" w:type="dxa"/>
            <w:gridSpan w:val="2"/>
            <w:vAlign w:val="center"/>
          </w:tcPr>
          <w:p w14:paraId="686D10A0"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tc>
        <w:tc>
          <w:tcPr>
            <w:tcW w:w="1182" w:type="dxa"/>
            <w:vAlign w:val="center"/>
          </w:tcPr>
          <w:p w14:paraId="3B23AA2F"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Entreprise</w:t>
            </w:r>
          </w:p>
          <w:p w14:paraId="6244A1AB" w14:textId="77777777" w:rsidR="00244161" w:rsidRPr="00420C1B" w:rsidRDefault="00244161" w:rsidP="0062151B">
            <w:pPr>
              <w:spacing w:after="0" w:line="240" w:lineRule="auto"/>
              <w:jc w:val="center"/>
              <w:rPr>
                <w:rFonts w:ascii="Times New Roman" w:hAnsi="Times New Roman"/>
                <w:sz w:val="20"/>
                <w:szCs w:val="20"/>
              </w:rPr>
            </w:pPr>
            <w:r w:rsidRPr="008B779B">
              <w:rPr>
                <w:rFonts w:ascii="Times New Roman" w:hAnsi="Times New Roman"/>
                <w:sz w:val="20"/>
                <w:szCs w:val="20"/>
              </w:rPr>
              <w:t>MdC</w:t>
            </w:r>
          </w:p>
        </w:tc>
        <w:tc>
          <w:tcPr>
            <w:tcW w:w="1276" w:type="dxa"/>
            <w:vAlign w:val="center"/>
          </w:tcPr>
          <w:p w14:paraId="7DFAF9BB"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CPE et BUE</w:t>
            </w:r>
          </w:p>
        </w:tc>
        <w:tc>
          <w:tcPr>
            <w:tcW w:w="1420" w:type="dxa"/>
            <w:vAlign w:val="center"/>
          </w:tcPr>
          <w:p w14:paraId="204B6842"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Avant et pendant la construction</w:t>
            </w:r>
          </w:p>
        </w:tc>
        <w:tc>
          <w:tcPr>
            <w:tcW w:w="1381" w:type="dxa"/>
            <w:vAlign w:val="center"/>
          </w:tcPr>
          <w:p w14:paraId="07EB600E" w14:textId="77777777" w:rsidR="00244161" w:rsidRPr="00420C1B" w:rsidRDefault="00244161" w:rsidP="0062151B">
            <w:pPr>
              <w:spacing w:after="0" w:line="240" w:lineRule="auto"/>
              <w:rPr>
                <w:rFonts w:ascii="Times New Roman" w:hAnsi="Times New Roman"/>
                <w:b/>
                <w:sz w:val="20"/>
                <w:szCs w:val="20"/>
              </w:rPr>
            </w:pPr>
            <w:r w:rsidRPr="00420C1B">
              <w:rPr>
                <w:rFonts w:ascii="Times New Roman" w:hAnsi="Times New Roman"/>
                <w:b/>
                <w:sz w:val="20"/>
                <w:szCs w:val="20"/>
              </w:rPr>
              <w:t xml:space="preserve">  </w:t>
            </w:r>
            <w:r w:rsidRPr="00420C1B">
              <w:rPr>
                <w:rFonts w:ascii="Times New Roman" w:hAnsi="Times New Roman"/>
                <w:sz w:val="20"/>
                <w:szCs w:val="20"/>
              </w:rPr>
              <w:t xml:space="preserve">Une (1) séance dans les </w:t>
            </w:r>
            <w:r w:rsidR="00C67F9B" w:rsidRPr="00420C1B">
              <w:rPr>
                <w:rFonts w:ascii="Times New Roman" w:hAnsi="Times New Roman"/>
                <w:sz w:val="20"/>
                <w:szCs w:val="20"/>
              </w:rPr>
              <w:t>10</w:t>
            </w:r>
            <w:r w:rsidRPr="00420C1B">
              <w:rPr>
                <w:rFonts w:ascii="Times New Roman" w:hAnsi="Times New Roman"/>
                <w:sz w:val="20"/>
                <w:szCs w:val="20"/>
              </w:rPr>
              <w:t xml:space="preserve"> communes  x 500 =</w:t>
            </w:r>
            <w:r w:rsidR="00C67F9B" w:rsidRPr="00420C1B">
              <w:rPr>
                <w:rFonts w:ascii="Times New Roman" w:hAnsi="Times New Roman"/>
                <w:b/>
                <w:sz w:val="20"/>
                <w:szCs w:val="20"/>
              </w:rPr>
              <w:t>5000</w:t>
            </w:r>
            <w:r w:rsidRPr="00420C1B">
              <w:rPr>
                <w:rFonts w:ascii="Times New Roman" w:hAnsi="Times New Roman"/>
                <w:b/>
                <w:sz w:val="20"/>
                <w:szCs w:val="20"/>
              </w:rPr>
              <w:t xml:space="preserve">   </w:t>
            </w:r>
          </w:p>
        </w:tc>
      </w:tr>
      <w:tr w:rsidR="00D75D2E" w:rsidRPr="00420C1B" w14:paraId="7FB07948" w14:textId="77777777" w:rsidTr="00420C1B">
        <w:trPr>
          <w:trHeight w:val="427"/>
        </w:trPr>
        <w:tc>
          <w:tcPr>
            <w:tcW w:w="798" w:type="dxa"/>
            <w:vMerge/>
            <w:shd w:val="clear" w:color="auto" w:fill="D9D9D9"/>
            <w:vAlign w:val="center"/>
          </w:tcPr>
          <w:p w14:paraId="40DA7214"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17573A91"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Approvisionnement, stockage, distribution et consommation des hydrocarbures (déversement d’hydrocarbure et production de déchet)</w:t>
            </w:r>
          </w:p>
        </w:tc>
        <w:tc>
          <w:tcPr>
            <w:tcW w:w="1163" w:type="dxa"/>
            <w:vAlign w:val="center"/>
          </w:tcPr>
          <w:p w14:paraId="086E833A"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Santé publique et sécurité</w:t>
            </w:r>
          </w:p>
        </w:tc>
        <w:tc>
          <w:tcPr>
            <w:tcW w:w="2075" w:type="dxa"/>
            <w:gridSpan w:val="2"/>
            <w:vAlign w:val="center"/>
          </w:tcPr>
          <w:p w14:paraId="12AD048A"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Risque de maladies </w:t>
            </w:r>
          </w:p>
        </w:tc>
        <w:tc>
          <w:tcPr>
            <w:tcW w:w="2036" w:type="dxa"/>
            <w:gridSpan w:val="2"/>
            <w:vAlign w:val="center"/>
          </w:tcPr>
          <w:p w14:paraId="1293EC04"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Mise en œuvre d’un Plan de gestion des déchets solides et liquides</w:t>
            </w:r>
          </w:p>
        </w:tc>
        <w:tc>
          <w:tcPr>
            <w:tcW w:w="1730" w:type="dxa"/>
            <w:gridSpan w:val="2"/>
            <w:vAlign w:val="center"/>
          </w:tcPr>
          <w:p w14:paraId="4FD20CAD" w14:textId="77777777" w:rsidR="00244161" w:rsidRPr="008B779B" w:rsidRDefault="00244161" w:rsidP="0062151B">
            <w:pPr>
              <w:autoSpaceDE w:val="0"/>
              <w:autoSpaceDN w:val="0"/>
              <w:adjustRightInd w:val="0"/>
              <w:spacing w:after="0" w:line="240" w:lineRule="auto"/>
              <w:rPr>
                <w:rFonts w:ascii="Times New Roman" w:hAnsi="Times New Roman"/>
                <w:sz w:val="20"/>
                <w:szCs w:val="20"/>
              </w:rPr>
            </w:pPr>
            <w:r w:rsidRPr="008B779B">
              <w:rPr>
                <w:rFonts w:ascii="Times New Roman" w:hAnsi="Times New Roman"/>
                <w:sz w:val="20"/>
                <w:szCs w:val="20"/>
              </w:rPr>
              <w:t xml:space="preserve">100% des séances de sensibilisation ont été réalisées </w:t>
            </w:r>
          </w:p>
          <w:p w14:paraId="483D1DAB" w14:textId="77777777" w:rsidR="00244161" w:rsidRPr="008B779B" w:rsidRDefault="00244161" w:rsidP="0062151B">
            <w:pPr>
              <w:autoSpaceDE w:val="0"/>
              <w:autoSpaceDN w:val="0"/>
              <w:adjustRightInd w:val="0"/>
              <w:spacing w:after="0" w:line="240" w:lineRule="auto"/>
              <w:rPr>
                <w:rFonts w:ascii="Times New Roman" w:hAnsi="Times New Roman"/>
                <w:sz w:val="20"/>
                <w:szCs w:val="20"/>
              </w:rPr>
            </w:pPr>
            <w:r w:rsidRPr="008B779B">
              <w:rPr>
                <w:rFonts w:ascii="Times New Roman" w:hAnsi="Times New Roman"/>
                <w:sz w:val="20"/>
                <w:szCs w:val="20"/>
              </w:rPr>
              <w:t xml:space="preserve">100% des travailleurs portent leurs EPI </w:t>
            </w:r>
          </w:p>
          <w:p w14:paraId="6BA7F446" w14:textId="77777777" w:rsidR="00244161" w:rsidRPr="008B779B" w:rsidRDefault="00244161" w:rsidP="0062151B">
            <w:pPr>
              <w:autoSpaceDE w:val="0"/>
              <w:autoSpaceDN w:val="0"/>
              <w:adjustRightInd w:val="0"/>
              <w:spacing w:after="0" w:line="240" w:lineRule="auto"/>
              <w:rPr>
                <w:rFonts w:ascii="Times New Roman" w:hAnsi="Times New Roman"/>
                <w:sz w:val="20"/>
                <w:szCs w:val="20"/>
              </w:rPr>
            </w:pPr>
            <w:r w:rsidRPr="008B779B">
              <w:rPr>
                <w:rFonts w:ascii="Times New Roman" w:hAnsi="Times New Roman"/>
                <w:sz w:val="20"/>
                <w:szCs w:val="20"/>
              </w:rPr>
              <w:t>0% plaintes enregistrées</w:t>
            </w:r>
          </w:p>
        </w:tc>
        <w:tc>
          <w:tcPr>
            <w:tcW w:w="802" w:type="dxa"/>
            <w:gridSpan w:val="2"/>
            <w:vAlign w:val="center"/>
          </w:tcPr>
          <w:p w14:paraId="25530264"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p w14:paraId="7C8F6B9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 </w:t>
            </w:r>
          </w:p>
        </w:tc>
        <w:tc>
          <w:tcPr>
            <w:tcW w:w="1182" w:type="dxa"/>
            <w:vAlign w:val="center"/>
          </w:tcPr>
          <w:p w14:paraId="251FD268"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MdC</w:t>
            </w:r>
          </w:p>
          <w:p w14:paraId="50D7A324"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BUE</w:t>
            </w:r>
          </w:p>
          <w:p w14:paraId="7B9A813A"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Ministère de la Santé Publique</w:t>
            </w:r>
          </w:p>
          <w:p w14:paraId="715C9683" w14:textId="77777777" w:rsidR="00244161" w:rsidRPr="00420C1B" w:rsidRDefault="00244161" w:rsidP="0062151B">
            <w:pPr>
              <w:spacing w:after="0" w:line="240" w:lineRule="auto"/>
              <w:jc w:val="center"/>
              <w:rPr>
                <w:rFonts w:ascii="Times New Roman" w:hAnsi="Times New Roman"/>
                <w:sz w:val="20"/>
                <w:szCs w:val="20"/>
              </w:rPr>
            </w:pPr>
          </w:p>
        </w:tc>
        <w:tc>
          <w:tcPr>
            <w:tcW w:w="1276" w:type="dxa"/>
          </w:tcPr>
          <w:p w14:paraId="080716F4"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CPE</w:t>
            </w:r>
          </w:p>
          <w:p w14:paraId="13084FC2"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ACE</w:t>
            </w:r>
          </w:p>
          <w:p w14:paraId="40E87309"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SCES/UCM</w:t>
            </w:r>
          </w:p>
          <w:p w14:paraId="3091E488"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 xml:space="preserve">Centre de santé et laboratoire spécialisé </w:t>
            </w:r>
          </w:p>
          <w:p w14:paraId="67F8FB16" w14:textId="77777777" w:rsidR="00244161" w:rsidRPr="00420C1B" w:rsidRDefault="00244161" w:rsidP="0062151B">
            <w:pPr>
              <w:spacing w:after="0" w:line="240" w:lineRule="auto"/>
              <w:rPr>
                <w:rFonts w:ascii="Times New Roman" w:hAnsi="Times New Roman"/>
                <w:sz w:val="20"/>
                <w:szCs w:val="20"/>
              </w:rPr>
            </w:pPr>
          </w:p>
        </w:tc>
        <w:tc>
          <w:tcPr>
            <w:tcW w:w="1420" w:type="dxa"/>
            <w:vAlign w:val="center"/>
          </w:tcPr>
          <w:p w14:paraId="55C5785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Avant et pendant les travaux</w:t>
            </w:r>
          </w:p>
        </w:tc>
        <w:tc>
          <w:tcPr>
            <w:tcW w:w="1381" w:type="dxa"/>
            <w:vAlign w:val="center"/>
          </w:tcPr>
          <w:p w14:paraId="13A6C3C1"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Budgétisé dans le volet environnemental</w:t>
            </w:r>
          </w:p>
        </w:tc>
      </w:tr>
      <w:tr w:rsidR="00D75D2E" w:rsidRPr="00420C1B" w14:paraId="773A3EB0" w14:textId="77777777" w:rsidTr="00420C1B">
        <w:trPr>
          <w:trHeight w:val="427"/>
        </w:trPr>
        <w:tc>
          <w:tcPr>
            <w:tcW w:w="798" w:type="dxa"/>
            <w:vMerge/>
            <w:shd w:val="clear" w:color="auto" w:fill="D9D9D9"/>
            <w:vAlign w:val="center"/>
          </w:tcPr>
          <w:p w14:paraId="3029CBDF"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4E7F08A5"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Recrutement du personnel du chantier  </w:t>
            </w:r>
          </w:p>
        </w:tc>
        <w:tc>
          <w:tcPr>
            <w:tcW w:w="1163" w:type="dxa"/>
            <w:vAlign w:val="center"/>
          </w:tcPr>
          <w:p w14:paraId="7A7B8B96"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Humain </w:t>
            </w:r>
          </w:p>
        </w:tc>
        <w:tc>
          <w:tcPr>
            <w:tcW w:w="2075" w:type="dxa"/>
            <w:gridSpan w:val="2"/>
            <w:vAlign w:val="center"/>
          </w:tcPr>
          <w:p w14:paraId="70A6FE0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Conflits entre les populations locales et le personnel du chantier</w:t>
            </w:r>
          </w:p>
        </w:tc>
        <w:tc>
          <w:tcPr>
            <w:tcW w:w="2036" w:type="dxa"/>
            <w:gridSpan w:val="2"/>
            <w:vAlign w:val="center"/>
          </w:tcPr>
          <w:p w14:paraId="516CABE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Mise en œuvre d’un Plan de recrutement du personnel et un mécanisme de prévention et de gestion des conflits</w:t>
            </w:r>
          </w:p>
        </w:tc>
        <w:tc>
          <w:tcPr>
            <w:tcW w:w="1730" w:type="dxa"/>
            <w:gridSpan w:val="2"/>
            <w:vAlign w:val="center"/>
          </w:tcPr>
          <w:p w14:paraId="510BE13C" w14:textId="77777777" w:rsidR="00244161" w:rsidRPr="008B779B" w:rsidRDefault="00244161" w:rsidP="0062151B">
            <w:pPr>
              <w:autoSpaceDE w:val="0"/>
              <w:autoSpaceDN w:val="0"/>
              <w:adjustRightInd w:val="0"/>
              <w:spacing w:after="0" w:line="240" w:lineRule="auto"/>
              <w:rPr>
                <w:rFonts w:ascii="Times New Roman" w:hAnsi="Times New Roman"/>
                <w:sz w:val="20"/>
                <w:szCs w:val="20"/>
              </w:rPr>
            </w:pPr>
            <w:r w:rsidRPr="008B779B">
              <w:rPr>
                <w:rFonts w:ascii="Times New Roman" w:hAnsi="Times New Roman"/>
                <w:sz w:val="20"/>
                <w:szCs w:val="20"/>
              </w:rPr>
              <w:t>Nombre de plantes enregistrées</w:t>
            </w:r>
          </w:p>
        </w:tc>
        <w:tc>
          <w:tcPr>
            <w:tcW w:w="802" w:type="dxa"/>
            <w:gridSpan w:val="2"/>
            <w:vAlign w:val="center"/>
          </w:tcPr>
          <w:p w14:paraId="4FCCA199"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Entreprise</w:t>
            </w:r>
          </w:p>
          <w:p w14:paraId="78604C83"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 </w:t>
            </w:r>
          </w:p>
        </w:tc>
        <w:tc>
          <w:tcPr>
            <w:tcW w:w="1182" w:type="dxa"/>
            <w:vAlign w:val="center"/>
          </w:tcPr>
          <w:p w14:paraId="216426F1"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MdC</w:t>
            </w:r>
          </w:p>
          <w:p w14:paraId="1A36AE04"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BUE</w:t>
            </w:r>
          </w:p>
        </w:tc>
        <w:tc>
          <w:tcPr>
            <w:tcW w:w="1276" w:type="dxa"/>
          </w:tcPr>
          <w:p w14:paraId="3EBE875A"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2E5B4E81"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SCES/UCM</w:t>
            </w:r>
          </w:p>
          <w:p w14:paraId="7FDF7749"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Communes concernées</w:t>
            </w:r>
          </w:p>
        </w:tc>
        <w:tc>
          <w:tcPr>
            <w:tcW w:w="1420" w:type="dxa"/>
            <w:vAlign w:val="center"/>
          </w:tcPr>
          <w:p w14:paraId="3AF03636"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Avant et pendant les travaux</w:t>
            </w:r>
          </w:p>
        </w:tc>
        <w:tc>
          <w:tcPr>
            <w:tcW w:w="1381" w:type="dxa"/>
            <w:vAlign w:val="center"/>
          </w:tcPr>
          <w:p w14:paraId="2C5C97DA" w14:textId="77777777" w:rsidR="00244161" w:rsidRPr="00420C1B" w:rsidRDefault="00C67F9B" w:rsidP="0062151B">
            <w:pPr>
              <w:spacing w:after="0" w:line="240" w:lineRule="auto"/>
              <w:jc w:val="both"/>
              <w:rPr>
                <w:rFonts w:ascii="Times New Roman" w:hAnsi="Times New Roman"/>
                <w:b/>
                <w:sz w:val="20"/>
                <w:szCs w:val="20"/>
              </w:rPr>
            </w:pPr>
            <w:r w:rsidRPr="00420C1B">
              <w:rPr>
                <w:rFonts w:ascii="Times New Roman" w:hAnsi="Times New Roman"/>
                <w:sz w:val="20"/>
                <w:szCs w:val="20"/>
              </w:rPr>
              <w:t>10</w:t>
            </w:r>
            <w:r w:rsidR="00244161" w:rsidRPr="00420C1B">
              <w:rPr>
                <w:rFonts w:ascii="Times New Roman" w:hAnsi="Times New Roman"/>
                <w:sz w:val="20"/>
                <w:szCs w:val="20"/>
              </w:rPr>
              <w:t xml:space="preserve"> séances x 500 = </w:t>
            </w:r>
            <w:r w:rsidRPr="00420C1B">
              <w:rPr>
                <w:rFonts w:ascii="Times New Roman" w:hAnsi="Times New Roman"/>
                <w:sz w:val="20"/>
                <w:szCs w:val="20"/>
              </w:rPr>
              <w:t>5000</w:t>
            </w:r>
          </w:p>
        </w:tc>
      </w:tr>
      <w:tr w:rsidR="00D75D2E" w:rsidRPr="00420C1B" w14:paraId="1D1E996B" w14:textId="77777777" w:rsidTr="00420C1B">
        <w:trPr>
          <w:trHeight w:val="176"/>
        </w:trPr>
        <w:tc>
          <w:tcPr>
            <w:tcW w:w="798" w:type="dxa"/>
            <w:vMerge w:val="restart"/>
            <w:shd w:val="clear" w:color="auto" w:fill="D9D9D9"/>
            <w:textDirection w:val="btLr"/>
            <w:vAlign w:val="center"/>
          </w:tcPr>
          <w:p w14:paraId="1083E47F" w14:textId="77777777" w:rsidR="00244161" w:rsidRPr="00420C1B" w:rsidRDefault="00244161" w:rsidP="0062151B">
            <w:pPr>
              <w:spacing w:after="0" w:line="240" w:lineRule="auto"/>
              <w:ind w:left="113" w:right="113"/>
              <w:jc w:val="center"/>
              <w:rPr>
                <w:rFonts w:ascii="Times New Roman" w:hAnsi="Times New Roman"/>
                <w:b/>
                <w:sz w:val="20"/>
                <w:szCs w:val="20"/>
              </w:rPr>
            </w:pPr>
            <w:r w:rsidRPr="00420C1B">
              <w:rPr>
                <w:rFonts w:ascii="Times New Roman" w:hAnsi="Times New Roman"/>
                <w:b/>
                <w:sz w:val="20"/>
                <w:szCs w:val="20"/>
              </w:rPr>
              <w:t>EXPLOITATION</w:t>
            </w:r>
          </w:p>
        </w:tc>
        <w:tc>
          <w:tcPr>
            <w:tcW w:w="14677" w:type="dxa"/>
            <w:gridSpan w:val="14"/>
            <w:shd w:val="clear" w:color="auto" w:fill="D9D9D9"/>
          </w:tcPr>
          <w:p w14:paraId="2EE187AC"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b/>
                <w:sz w:val="20"/>
                <w:szCs w:val="20"/>
              </w:rPr>
              <w:t>Impacts environnementaux</w:t>
            </w:r>
          </w:p>
        </w:tc>
      </w:tr>
      <w:tr w:rsidR="00D75D2E" w:rsidRPr="00420C1B" w14:paraId="34B2386E" w14:textId="77777777" w:rsidTr="00420C1B">
        <w:trPr>
          <w:trHeight w:val="427"/>
        </w:trPr>
        <w:tc>
          <w:tcPr>
            <w:tcW w:w="798" w:type="dxa"/>
            <w:vMerge/>
            <w:shd w:val="clear" w:color="auto" w:fill="D9D9D9"/>
            <w:vAlign w:val="center"/>
          </w:tcPr>
          <w:p w14:paraId="39F05FBC" w14:textId="77777777" w:rsidR="00244161" w:rsidRPr="00420C1B" w:rsidRDefault="00244161" w:rsidP="0062151B">
            <w:pPr>
              <w:spacing w:after="0" w:line="240" w:lineRule="auto"/>
              <w:jc w:val="both"/>
              <w:rPr>
                <w:rFonts w:ascii="Times New Roman" w:hAnsi="Times New Roman"/>
                <w:sz w:val="20"/>
                <w:szCs w:val="20"/>
              </w:rPr>
            </w:pPr>
          </w:p>
        </w:tc>
        <w:tc>
          <w:tcPr>
            <w:tcW w:w="1612" w:type="dxa"/>
            <w:vMerge w:val="restart"/>
            <w:vAlign w:val="center"/>
          </w:tcPr>
          <w:p w14:paraId="55957C2C"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 xml:space="preserve">Elagage des arbres dans l’emprise des lignes et des cabines </w:t>
            </w:r>
          </w:p>
        </w:tc>
        <w:tc>
          <w:tcPr>
            <w:tcW w:w="1163" w:type="dxa"/>
            <w:vAlign w:val="center"/>
          </w:tcPr>
          <w:p w14:paraId="62C98BC2"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 xml:space="preserve">Flore </w:t>
            </w:r>
          </w:p>
        </w:tc>
        <w:tc>
          <w:tcPr>
            <w:tcW w:w="2075" w:type="dxa"/>
            <w:gridSpan w:val="2"/>
            <w:vAlign w:val="center"/>
          </w:tcPr>
          <w:p w14:paraId="69038144" w14:textId="77777777" w:rsidR="00244161" w:rsidRPr="008B779B" w:rsidRDefault="00244161" w:rsidP="0062151B">
            <w:pPr>
              <w:spacing w:after="0" w:line="240" w:lineRule="auto"/>
              <w:jc w:val="both"/>
              <w:rPr>
                <w:rFonts w:ascii="Times New Roman" w:hAnsi="Times New Roman"/>
                <w:iCs/>
                <w:sz w:val="20"/>
                <w:szCs w:val="20"/>
              </w:rPr>
            </w:pPr>
            <w:r w:rsidRPr="008B779B">
              <w:rPr>
                <w:rFonts w:ascii="Times New Roman" w:hAnsi="Times New Roman"/>
                <w:iCs/>
                <w:sz w:val="20"/>
                <w:szCs w:val="20"/>
              </w:rPr>
              <w:t>Perte de couvert végétal</w:t>
            </w:r>
          </w:p>
        </w:tc>
        <w:tc>
          <w:tcPr>
            <w:tcW w:w="2036" w:type="dxa"/>
            <w:gridSpan w:val="2"/>
            <w:vAlign w:val="center"/>
          </w:tcPr>
          <w:p w14:paraId="46830E34"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Suivi régulier des lignes électriques</w:t>
            </w:r>
          </w:p>
        </w:tc>
        <w:tc>
          <w:tcPr>
            <w:tcW w:w="1730" w:type="dxa"/>
            <w:gridSpan w:val="2"/>
            <w:vMerge w:val="restart"/>
            <w:vAlign w:val="center"/>
          </w:tcPr>
          <w:p w14:paraId="2CC4CE70"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La fréquence de suivi régulier des lignes (tous les 6 mois)</w:t>
            </w:r>
          </w:p>
        </w:tc>
        <w:tc>
          <w:tcPr>
            <w:tcW w:w="802" w:type="dxa"/>
            <w:gridSpan w:val="2"/>
            <w:vAlign w:val="center"/>
          </w:tcPr>
          <w:p w14:paraId="15306798"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SNEL</w:t>
            </w:r>
          </w:p>
        </w:tc>
        <w:tc>
          <w:tcPr>
            <w:tcW w:w="1182" w:type="dxa"/>
            <w:vAlign w:val="center"/>
          </w:tcPr>
          <w:p w14:paraId="7D0301F0"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UCM</w:t>
            </w:r>
          </w:p>
          <w:p w14:paraId="776E5E94" w14:textId="77777777" w:rsidR="00244161" w:rsidRPr="00420C1B" w:rsidRDefault="00244161" w:rsidP="0062151B">
            <w:pPr>
              <w:spacing w:after="0" w:line="240" w:lineRule="auto"/>
              <w:jc w:val="both"/>
              <w:rPr>
                <w:rFonts w:ascii="Times New Roman" w:hAnsi="Times New Roman"/>
                <w:sz w:val="20"/>
                <w:szCs w:val="20"/>
              </w:rPr>
            </w:pPr>
          </w:p>
        </w:tc>
        <w:tc>
          <w:tcPr>
            <w:tcW w:w="1276" w:type="dxa"/>
          </w:tcPr>
          <w:p w14:paraId="602F407C"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0FC9C478"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Commune </w:t>
            </w:r>
          </w:p>
        </w:tc>
        <w:tc>
          <w:tcPr>
            <w:tcW w:w="1420" w:type="dxa"/>
            <w:vAlign w:val="center"/>
          </w:tcPr>
          <w:p w14:paraId="4A82E6E4"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Après les travaux </w:t>
            </w:r>
          </w:p>
        </w:tc>
        <w:tc>
          <w:tcPr>
            <w:tcW w:w="1381" w:type="dxa"/>
            <w:vAlign w:val="center"/>
          </w:tcPr>
          <w:p w14:paraId="1AE0949E" w14:textId="77777777" w:rsidR="00244161" w:rsidRPr="00420C1B" w:rsidRDefault="00244161" w:rsidP="0062151B">
            <w:pPr>
              <w:spacing w:after="0" w:line="240" w:lineRule="auto"/>
              <w:jc w:val="both"/>
              <w:rPr>
                <w:rFonts w:ascii="Times New Roman" w:hAnsi="Times New Roman"/>
                <w:sz w:val="20"/>
                <w:szCs w:val="20"/>
              </w:rPr>
            </w:pPr>
          </w:p>
        </w:tc>
      </w:tr>
      <w:tr w:rsidR="00D75D2E" w:rsidRPr="00420C1B" w14:paraId="695B31F6" w14:textId="77777777" w:rsidTr="00420C1B">
        <w:trPr>
          <w:trHeight w:val="427"/>
        </w:trPr>
        <w:tc>
          <w:tcPr>
            <w:tcW w:w="798" w:type="dxa"/>
            <w:vMerge/>
            <w:shd w:val="clear" w:color="auto" w:fill="D9D9D9"/>
            <w:vAlign w:val="center"/>
          </w:tcPr>
          <w:p w14:paraId="342BB54B" w14:textId="77777777" w:rsidR="00244161" w:rsidRPr="00420C1B" w:rsidRDefault="00244161" w:rsidP="0062151B">
            <w:pPr>
              <w:spacing w:after="0" w:line="240" w:lineRule="auto"/>
              <w:jc w:val="both"/>
              <w:rPr>
                <w:rFonts w:ascii="Times New Roman" w:hAnsi="Times New Roman"/>
                <w:sz w:val="20"/>
                <w:szCs w:val="20"/>
              </w:rPr>
            </w:pPr>
          </w:p>
        </w:tc>
        <w:tc>
          <w:tcPr>
            <w:tcW w:w="1612" w:type="dxa"/>
            <w:vMerge/>
            <w:vAlign w:val="center"/>
          </w:tcPr>
          <w:p w14:paraId="0BD6D637" w14:textId="77777777" w:rsidR="00244161" w:rsidRPr="00420C1B" w:rsidRDefault="00244161" w:rsidP="0062151B">
            <w:pPr>
              <w:spacing w:after="0" w:line="240" w:lineRule="auto"/>
              <w:jc w:val="both"/>
              <w:rPr>
                <w:rFonts w:ascii="Times New Roman" w:hAnsi="Times New Roman"/>
                <w:sz w:val="20"/>
                <w:szCs w:val="20"/>
              </w:rPr>
            </w:pPr>
          </w:p>
        </w:tc>
        <w:tc>
          <w:tcPr>
            <w:tcW w:w="1163" w:type="dxa"/>
            <w:vAlign w:val="center"/>
          </w:tcPr>
          <w:p w14:paraId="4BE4B8E6"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Faune </w:t>
            </w:r>
          </w:p>
        </w:tc>
        <w:tc>
          <w:tcPr>
            <w:tcW w:w="2075" w:type="dxa"/>
            <w:gridSpan w:val="2"/>
            <w:vAlign w:val="center"/>
          </w:tcPr>
          <w:p w14:paraId="20961CE2" w14:textId="77777777" w:rsidR="00244161" w:rsidRPr="008B779B" w:rsidRDefault="00244161" w:rsidP="0062151B">
            <w:pPr>
              <w:spacing w:after="0" w:line="240" w:lineRule="auto"/>
              <w:jc w:val="both"/>
              <w:rPr>
                <w:rFonts w:ascii="Times New Roman" w:hAnsi="Times New Roman"/>
                <w:iCs/>
                <w:sz w:val="20"/>
                <w:szCs w:val="20"/>
              </w:rPr>
            </w:pPr>
            <w:r w:rsidRPr="008B779B">
              <w:rPr>
                <w:rFonts w:ascii="Times New Roman" w:hAnsi="Times New Roman"/>
                <w:iCs/>
                <w:sz w:val="20"/>
                <w:szCs w:val="20"/>
              </w:rPr>
              <w:t xml:space="preserve">Perturbation des habitats fauniques (nids des oiseaux)  </w:t>
            </w:r>
          </w:p>
          <w:p w14:paraId="39DECEF6" w14:textId="77777777" w:rsidR="00244161" w:rsidRPr="00420C1B" w:rsidRDefault="00244161" w:rsidP="0062151B">
            <w:pPr>
              <w:spacing w:after="0" w:line="240" w:lineRule="auto"/>
              <w:jc w:val="both"/>
              <w:rPr>
                <w:rFonts w:ascii="Times New Roman" w:hAnsi="Times New Roman"/>
                <w:sz w:val="20"/>
                <w:szCs w:val="20"/>
              </w:rPr>
            </w:pPr>
          </w:p>
        </w:tc>
        <w:tc>
          <w:tcPr>
            <w:tcW w:w="2036" w:type="dxa"/>
            <w:gridSpan w:val="2"/>
            <w:vAlign w:val="center"/>
          </w:tcPr>
          <w:p w14:paraId="33B68A6F"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Réduire la destruction des habitats fauniques</w:t>
            </w:r>
          </w:p>
        </w:tc>
        <w:tc>
          <w:tcPr>
            <w:tcW w:w="1730" w:type="dxa"/>
            <w:gridSpan w:val="2"/>
            <w:vMerge/>
            <w:vAlign w:val="center"/>
          </w:tcPr>
          <w:p w14:paraId="7CE9A0B5" w14:textId="77777777" w:rsidR="00244161" w:rsidRPr="008B779B" w:rsidRDefault="00244161" w:rsidP="0062151B">
            <w:pPr>
              <w:spacing w:after="0" w:line="240" w:lineRule="auto"/>
              <w:rPr>
                <w:rFonts w:ascii="Times New Roman" w:hAnsi="Times New Roman"/>
                <w:sz w:val="20"/>
                <w:szCs w:val="20"/>
              </w:rPr>
            </w:pPr>
          </w:p>
        </w:tc>
        <w:tc>
          <w:tcPr>
            <w:tcW w:w="802" w:type="dxa"/>
            <w:gridSpan w:val="2"/>
            <w:vAlign w:val="center"/>
          </w:tcPr>
          <w:p w14:paraId="29C73E89"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SNEL </w:t>
            </w:r>
          </w:p>
        </w:tc>
        <w:tc>
          <w:tcPr>
            <w:tcW w:w="1182" w:type="dxa"/>
            <w:vAlign w:val="center"/>
          </w:tcPr>
          <w:p w14:paraId="5BB6CE22"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UCM</w:t>
            </w:r>
          </w:p>
          <w:p w14:paraId="0F0EC951" w14:textId="77777777" w:rsidR="00244161" w:rsidRPr="00420C1B" w:rsidRDefault="00244161" w:rsidP="0062151B">
            <w:pPr>
              <w:spacing w:after="0" w:line="240" w:lineRule="auto"/>
              <w:jc w:val="both"/>
              <w:rPr>
                <w:rFonts w:ascii="Times New Roman" w:hAnsi="Times New Roman"/>
                <w:sz w:val="20"/>
                <w:szCs w:val="20"/>
              </w:rPr>
            </w:pPr>
          </w:p>
        </w:tc>
        <w:tc>
          <w:tcPr>
            <w:tcW w:w="1276" w:type="dxa"/>
          </w:tcPr>
          <w:p w14:paraId="454DEF88"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59EB1CB5"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Commune </w:t>
            </w:r>
          </w:p>
        </w:tc>
        <w:tc>
          <w:tcPr>
            <w:tcW w:w="1420" w:type="dxa"/>
            <w:vAlign w:val="center"/>
          </w:tcPr>
          <w:p w14:paraId="2BB91F9A"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Après les travaux</w:t>
            </w:r>
          </w:p>
        </w:tc>
        <w:tc>
          <w:tcPr>
            <w:tcW w:w="1381" w:type="dxa"/>
            <w:vAlign w:val="center"/>
          </w:tcPr>
          <w:p w14:paraId="77FE143C" w14:textId="77777777" w:rsidR="00244161" w:rsidRPr="00420C1B" w:rsidRDefault="00244161" w:rsidP="0062151B">
            <w:pPr>
              <w:spacing w:after="0" w:line="240" w:lineRule="auto"/>
              <w:jc w:val="both"/>
              <w:rPr>
                <w:rFonts w:ascii="Times New Roman" w:hAnsi="Times New Roman"/>
                <w:sz w:val="20"/>
                <w:szCs w:val="20"/>
              </w:rPr>
            </w:pPr>
          </w:p>
        </w:tc>
      </w:tr>
      <w:tr w:rsidR="00D75D2E" w:rsidRPr="00420C1B" w14:paraId="4300E419" w14:textId="77777777" w:rsidTr="00420C1B">
        <w:trPr>
          <w:trHeight w:val="64"/>
        </w:trPr>
        <w:tc>
          <w:tcPr>
            <w:tcW w:w="798" w:type="dxa"/>
            <w:vMerge/>
            <w:shd w:val="clear" w:color="auto" w:fill="D9D9D9"/>
            <w:vAlign w:val="center"/>
          </w:tcPr>
          <w:p w14:paraId="6A98A76C" w14:textId="77777777" w:rsidR="00244161" w:rsidRPr="00420C1B" w:rsidRDefault="00244161" w:rsidP="0062151B">
            <w:pPr>
              <w:spacing w:after="0" w:line="240" w:lineRule="auto"/>
              <w:jc w:val="both"/>
              <w:rPr>
                <w:rFonts w:ascii="Times New Roman" w:hAnsi="Times New Roman"/>
                <w:sz w:val="20"/>
                <w:szCs w:val="20"/>
              </w:rPr>
            </w:pPr>
          </w:p>
        </w:tc>
        <w:tc>
          <w:tcPr>
            <w:tcW w:w="14677" w:type="dxa"/>
            <w:gridSpan w:val="14"/>
            <w:shd w:val="clear" w:color="auto" w:fill="D9D9D9"/>
          </w:tcPr>
          <w:p w14:paraId="7D5BBA24"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b/>
                <w:sz w:val="20"/>
                <w:szCs w:val="20"/>
              </w:rPr>
              <w:t>Impacts Sociaux</w:t>
            </w:r>
          </w:p>
        </w:tc>
      </w:tr>
      <w:tr w:rsidR="00D75D2E" w:rsidRPr="00420C1B" w14:paraId="5644744B" w14:textId="77777777" w:rsidTr="00420C1B">
        <w:trPr>
          <w:trHeight w:val="427"/>
        </w:trPr>
        <w:tc>
          <w:tcPr>
            <w:tcW w:w="798" w:type="dxa"/>
            <w:vMerge/>
            <w:shd w:val="clear" w:color="auto" w:fill="D9D9D9"/>
            <w:vAlign w:val="center"/>
          </w:tcPr>
          <w:p w14:paraId="143B7803"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4877D844"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Installation des compteurs prépayés chez les nouveaux abonnés  </w:t>
            </w:r>
          </w:p>
        </w:tc>
        <w:tc>
          <w:tcPr>
            <w:tcW w:w="1163" w:type="dxa"/>
            <w:vAlign w:val="center"/>
          </w:tcPr>
          <w:p w14:paraId="38B085FD"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Santé humaine</w:t>
            </w:r>
          </w:p>
        </w:tc>
        <w:tc>
          <w:tcPr>
            <w:tcW w:w="2075" w:type="dxa"/>
            <w:gridSpan w:val="2"/>
            <w:vAlign w:val="center"/>
          </w:tcPr>
          <w:p w14:paraId="67111A38" w14:textId="77777777" w:rsidR="00244161" w:rsidRPr="008B779B" w:rsidRDefault="00244161" w:rsidP="0062151B">
            <w:pPr>
              <w:spacing w:after="0" w:line="240" w:lineRule="auto"/>
              <w:jc w:val="both"/>
              <w:rPr>
                <w:rFonts w:ascii="Times New Roman" w:hAnsi="Times New Roman"/>
                <w:iCs/>
                <w:sz w:val="20"/>
                <w:szCs w:val="20"/>
              </w:rPr>
            </w:pPr>
            <w:r w:rsidRPr="008B779B">
              <w:rPr>
                <w:rFonts w:ascii="Times New Roman" w:hAnsi="Times New Roman"/>
                <w:iCs/>
                <w:sz w:val="20"/>
                <w:szCs w:val="20"/>
              </w:rPr>
              <w:t>Risques d’électrocution</w:t>
            </w:r>
          </w:p>
        </w:tc>
        <w:tc>
          <w:tcPr>
            <w:tcW w:w="2036" w:type="dxa"/>
            <w:gridSpan w:val="2"/>
            <w:vAlign w:val="center"/>
          </w:tcPr>
          <w:p w14:paraId="1627B1FC"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Renforcer la capacité des nouveaux ménages à réduire les risques d’incendie et d’électrocution</w:t>
            </w:r>
          </w:p>
        </w:tc>
        <w:tc>
          <w:tcPr>
            <w:tcW w:w="1730" w:type="dxa"/>
            <w:gridSpan w:val="2"/>
            <w:vAlign w:val="center"/>
          </w:tcPr>
          <w:p w14:paraId="0BE3C9A5"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Nombre des cas d’électrocution déclarés par trimestre pendant trois (3) ans</w:t>
            </w:r>
          </w:p>
        </w:tc>
        <w:tc>
          <w:tcPr>
            <w:tcW w:w="802" w:type="dxa"/>
            <w:gridSpan w:val="2"/>
            <w:vAlign w:val="center"/>
          </w:tcPr>
          <w:p w14:paraId="3CBB8227"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SNEL </w:t>
            </w:r>
          </w:p>
        </w:tc>
        <w:tc>
          <w:tcPr>
            <w:tcW w:w="1182" w:type="dxa"/>
            <w:vAlign w:val="center"/>
          </w:tcPr>
          <w:p w14:paraId="007CE964"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BUE</w:t>
            </w:r>
          </w:p>
          <w:p w14:paraId="53123EED"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SNEL</w:t>
            </w:r>
          </w:p>
          <w:p w14:paraId="7E04DA45"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 xml:space="preserve">Ministère de la santé </w:t>
            </w:r>
          </w:p>
          <w:p w14:paraId="1B367C02" w14:textId="77777777" w:rsidR="00244161" w:rsidRPr="00420C1B" w:rsidRDefault="00244161" w:rsidP="0062151B">
            <w:pPr>
              <w:spacing w:after="0" w:line="240" w:lineRule="auto"/>
              <w:jc w:val="both"/>
              <w:rPr>
                <w:rFonts w:ascii="Times New Roman" w:hAnsi="Times New Roman"/>
                <w:sz w:val="20"/>
                <w:szCs w:val="20"/>
              </w:rPr>
            </w:pPr>
          </w:p>
        </w:tc>
        <w:tc>
          <w:tcPr>
            <w:tcW w:w="1276" w:type="dxa"/>
          </w:tcPr>
          <w:p w14:paraId="144024C8" w14:textId="77777777" w:rsidR="00244161" w:rsidRPr="008B779B" w:rsidRDefault="00244161" w:rsidP="008C79F0">
            <w:pPr>
              <w:numPr>
                <w:ilvl w:val="0"/>
                <w:numId w:val="32"/>
              </w:numPr>
              <w:autoSpaceDE w:val="0"/>
              <w:autoSpaceDN w:val="0"/>
              <w:adjustRightInd w:val="0"/>
              <w:spacing w:after="0" w:line="240" w:lineRule="auto"/>
              <w:ind w:left="161" w:hanging="161"/>
              <w:contextualSpacing/>
              <w:rPr>
                <w:rFonts w:ascii="Times New Roman" w:hAnsi="Times New Roman"/>
                <w:sz w:val="20"/>
                <w:szCs w:val="20"/>
              </w:rPr>
            </w:pPr>
            <w:r w:rsidRPr="008B779B">
              <w:rPr>
                <w:rFonts w:ascii="Times New Roman" w:hAnsi="Times New Roman"/>
                <w:sz w:val="20"/>
                <w:szCs w:val="20"/>
              </w:rPr>
              <w:t>CPE</w:t>
            </w:r>
          </w:p>
          <w:p w14:paraId="7BCFCE24" w14:textId="77777777" w:rsidR="00244161" w:rsidRPr="008B779B" w:rsidRDefault="00244161" w:rsidP="008C79F0">
            <w:pPr>
              <w:numPr>
                <w:ilvl w:val="0"/>
                <w:numId w:val="32"/>
              </w:numPr>
              <w:autoSpaceDE w:val="0"/>
              <w:autoSpaceDN w:val="0"/>
              <w:adjustRightInd w:val="0"/>
              <w:spacing w:after="0" w:line="240" w:lineRule="auto"/>
              <w:ind w:left="161" w:hanging="161"/>
              <w:contextualSpacing/>
              <w:rPr>
                <w:rFonts w:ascii="Times New Roman" w:hAnsi="Times New Roman"/>
                <w:sz w:val="20"/>
                <w:szCs w:val="20"/>
              </w:rPr>
            </w:pPr>
            <w:r w:rsidRPr="008B779B">
              <w:rPr>
                <w:rFonts w:ascii="Times New Roman" w:hAnsi="Times New Roman"/>
                <w:sz w:val="20"/>
                <w:szCs w:val="20"/>
              </w:rPr>
              <w:t>ACE</w:t>
            </w:r>
          </w:p>
          <w:p w14:paraId="6E2431D6" w14:textId="77777777" w:rsidR="00244161" w:rsidRPr="00420C1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Communes concernées</w:t>
            </w:r>
          </w:p>
        </w:tc>
        <w:tc>
          <w:tcPr>
            <w:tcW w:w="1420" w:type="dxa"/>
            <w:vAlign w:val="center"/>
          </w:tcPr>
          <w:p w14:paraId="7D98DB32"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Après les travaux</w:t>
            </w:r>
          </w:p>
        </w:tc>
        <w:tc>
          <w:tcPr>
            <w:tcW w:w="1381" w:type="dxa"/>
            <w:vAlign w:val="center"/>
          </w:tcPr>
          <w:p w14:paraId="6C1E0220" w14:textId="4BA28254"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 xml:space="preserve">Une (1) séances dans </w:t>
            </w:r>
            <w:r w:rsidR="00C67F9B" w:rsidRPr="00420C1B">
              <w:rPr>
                <w:rFonts w:ascii="Times New Roman" w:hAnsi="Times New Roman"/>
                <w:sz w:val="20"/>
                <w:szCs w:val="20"/>
              </w:rPr>
              <w:t>10</w:t>
            </w:r>
            <w:r w:rsidRPr="00420C1B">
              <w:rPr>
                <w:rFonts w:ascii="Times New Roman" w:hAnsi="Times New Roman"/>
                <w:sz w:val="20"/>
                <w:szCs w:val="20"/>
              </w:rPr>
              <w:t xml:space="preserve"> communes x 1000 = </w:t>
            </w:r>
            <w:r w:rsidR="00C67F9B" w:rsidRPr="00420C1B">
              <w:rPr>
                <w:rFonts w:ascii="Times New Roman" w:hAnsi="Times New Roman"/>
                <w:b/>
                <w:bCs/>
                <w:sz w:val="20"/>
                <w:szCs w:val="20"/>
              </w:rPr>
              <w:t>10000</w:t>
            </w:r>
            <w:r w:rsidRPr="00420C1B">
              <w:rPr>
                <w:rFonts w:ascii="Times New Roman" w:hAnsi="Times New Roman"/>
                <w:b/>
                <w:bCs/>
                <w:sz w:val="20"/>
                <w:szCs w:val="20"/>
              </w:rPr>
              <w:t xml:space="preserve"> </w:t>
            </w:r>
            <w:r w:rsidRPr="00420C1B">
              <w:rPr>
                <w:rFonts w:ascii="Times New Roman" w:hAnsi="Times New Roman"/>
                <w:b/>
                <w:sz w:val="20"/>
                <w:szCs w:val="20"/>
              </w:rPr>
              <w:t xml:space="preserve"> </w:t>
            </w:r>
          </w:p>
        </w:tc>
      </w:tr>
      <w:tr w:rsidR="00D75D2E" w:rsidRPr="00420C1B" w14:paraId="668B9B86" w14:textId="77777777" w:rsidTr="00420C1B">
        <w:trPr>
          <w:trHeight w:val="427"/>
        </w:trPr>
        <w:tc>
          <w:tcPr>
            <w:tcW w:w="798" w:type="dxa"/>
            <w:vMerge/>
            <w:shd w:val="clear" w:color="auto" w:fill="D9D9D9"/>
            <w:vAlign w:val="center"/>
          </w:tcPr>
          <w:p w14:paraId="1B2E4607" w14:textId="77777777" w:rsidR="00244161" w:rsidRPr="00420C1B" w:rsidRDefault="00244161" w:rsidP="0062151B">
            <w:pPr>
              <w:spacing w:after="0" w:line="240" w:lineRule="auto"/>
              <w:jc w:val="both"/>
              <w:rPr>
                <w:rFonts w:ascii="Times New Roman" w:hAnsi="Times New Roman"/>
                <w:sz w:val="20"/>
                <w:szCs w:val="20"/>
              </w:rPr>
            </w:pPr>
          </w:p>
        </w:tc>
        <w:tc>
          <w:tcPr>
            <w:tcW w:w="1612" w:type="dxa"/>
            <w:vAlign w:val="center"/>
          </w:tcPr>
          <w:p w14:paraId="594139C8"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Entretien du réseau électriques (lignes et cabines)</w:t>
            </w:r>
          </w:p>
        </w:tc>
        <w:tc>
          <w:tcPr>
            <w:tcW w:w="1163" w:type="dxa"/>
            <w:vAlign w:val="center"/>
          </w:tcPr>
          <w:p w14:paraId="3652932F" w14:textId="77777777" w:rsidR="00244161" w:rsidRPr="008B779B" w:rsidRDefault="00244161" w:rsidP="0062151B">
            <w:pPr>
              <w:spacing w:after="0" w:line="240" w:lineRule="auto"/>
              <w:rPr>
                <w:rFonts w:ascii="Times New Roman" w:hAnsi="Times New Roman"/>
                <w:sz w:val="20"/>
                <w:szCs w:val="20"/>
              </w:rPr>
            </w:pPr>
            <w:r w:rsidRPr="008B779B">
              <w:rPr>
                <w:rFonts w:ascii="Times New Roman" w:hAnsi="Times New Roman"/>
                <w:sz w:val="20"/>
                <w:szCs w:val="20"/>
              </w:rPr>
              <w:t>Humain</w:t>
            </w:r>
          </w:p>
        </w:tc>
        <w:tc>
          <w:tcPr>
            <w:tcW w:w="2075" w:type="dxa"/>
            <w:gridSpan w:val="2"/>
            <w:vAlign w:val="center"/>
          </w:tcPr>
          <w:p w14:paraId="18E550A3" w14:textId="77777777" w:rsidR="00244161" w:rsidRPr="008B779B" w:rsidRDefault="00244161" w:rsidP="0062151B">
            <w:pPr>
              <w:spacing w:after="0" w:line="240" w:lineRule="auto"/>
              <w:jc w:val="both"/>
              <w:rPr>
                <w:rFonts w:ascii="Times New Roman" w:hAnsi="Times New Roman"/>
                <w:iCs/>
                <w:sz w:val="20"/>
                <w:szCs w:val="20"/>
              </w:rPr>
            </w:pPr>
            <w:r w:rsidRPr="008B779B">
              <w:rPr>
                <w:rFonts w:ascii="Times New Roman" w:hAnsi="Times New Roman"/>
                <w:sz w:val="20"/>
                <w:szCs w:val="20"/>
              </w:rPr>
              <w:t>Accident/incident lors des travaux d’entretien</w:t>
            </w:r>
          </w:p>
        </w:tc>
        <w:tc>
          <w:tcPr>
            <w:tcW w:w="2036" w:type="dxa"/>
            <w:gridSpan w:val="2"/>
            <w:vAlign w:val="center"/>
          </w:tcPr>
          <w:p w14:paraId="30533989" w14:textId="77777777" w:rsidR="00244161" w:rsidRPr="008B779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 xml:space="preserve">Réduire les risques d’accident    </w:t>
            </w:r>
          </w:p>
        </w:tc>
        <w:tc>
          <w:tcPr>
            <w:tcW w:w="1730" w:type="dxa"/>
            <w:gridSpan w:val="2"/>
            <w:vAlign w:val="center"/>
          </w:tcPr>
          <w:p w14:paraId="03D2F8B7" w14:textId="77777777" w:rsidR="00244161" w:rsidRPr="008B779B" w:rsidRDefault="00244161" w:rsidP="008C79F0">
            <w:pPr>
              <w:numPr>
                <w:ilvl w:val="0"/>
                <w:numId w:val="32"/>
              </w:numPr>
              <w:autoSpaceDE w:val="0"/>
              <w:autoSpaceDN w:val="0"/>
              <w:adjustRightInd w:val="0"/>
              <w:spacing w:after="0" w:line="240" w:lineRule="auto"/>
              <w:ind w:left="85" w:hanging="85"/>
              <w:contextualSpacing/>
              <w:jc w:val="both"/>
              <w:rPr>
                <w:rFonts w:ascii="Times New Roman" w:hAnsi="Times New Roman"/>
                <w:sz w:val="20"/>
                <w:szCs w:val="20"/>
              </w:rPr>
            </w:pPr>
            <w:r w:rsidRPr="008B779B">
              <w:rPr>
                <w:rFonts w:ascii="Times New Roman" w:hAnsi="Times New Roman"/>
                <w:sz w:val="20"/>
                <w:szCs w:val="20"/>
              </w:rPr>
              <w:t>100% des cas d’accident enregistré sont prise en charge</w:t>
            </w:r>
          </w:p>
          <w:p w14:paraId="4F9C43F2" w14:textId="77777777" w:rsidR="00244161" w:rsidRPr="008B779B" w:rsidRDefault="00244161" w:rsidP="008C79F0">
            <w:pPr>
              <w:pStyle w:val="Paragraphedeliste"/>
              <w:numPr>
                <w:ilvl w:val="0"/>
                <w:numId w:val="32"/>
              </w:numPr>
              <w:spacing w:after="0"/>
              <w:ind w:left="85" w:hanging="85"/>
              <w:jc w:val="both"/>
              <w:rPr>
                <w:rFonts w:ascii="Times New Roman" w:hAnsi="Times New Roman"/>
                <w:sz w:val="20"/>
                <w:szCs w:val="20"/>
              </w:rPr>
            </w:pPr>
            <w:r w:rsidRPr="008B779B">
              <w:rPr>
                <w:rFonts w:ascii="Times New Roman" w:hAnsi="Times New Roman"/>
                <w:sz w:val="20"/>
                <w:szCs w:val="20"/>
              </w:rPr>
              <w:t xml:space="preserve">100% des séances prévues sont réalisées </w:t>
            </w:r>
          </w:p>
          <w:p w14:paraId="38E76EFC" w14:textId="77777777" w:rsidR="00244161" w:rsidRPr="00420C1B" w:rsidRDefault="00244161" w:rsidP="0062151B">
            <w:pPr>
              <w:spacing w:after="0" w:line="240" w:lineRule="auto"/>
              <w:jc w:val="both"/>
              <w:rPr>
                <w:rFonts w:ascii="Times New Roman" w:hAnsi="Times New Roman"/>
                <w:sz w:val="20"/>
                <w:szCs w:val="20"/>
              </w:rPr>
            </w:pPr>
            <w:r w:rsidRPr="008B779B">
              <w:rPr>
                <w:rFonts w:ascii="Times New Roman" w:hAnsi="Times New Roman"/>
                <w:sz w:val="20"/>
                <w:szCs w:val="20"/>
              </w:rPr>
              <w:t>100 % personnel d’entretien sont équipés en EPI</w:t>
            </w:r>
          </w:p>
        </w:tc>
        <w:tc>
          <w:tcPr>
            <w:tcW w:w="802" w:type="dxa"/>
            <w:gridSpan w:val="2"/>
            <w:vAlign w:val="center"/>
          </w:tcPr>
          <w:p w14:paraId="21998BB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SNEL</w:t>
            </w:r>
          </w:p>
        </w:tc>
        <w:tc>
          <w:tcPr>
            <w:tcW w:w="1182" w:type="dxa"/>
            <w:vAlign w:val="center"/>
          </w:tcPr>
          <w:p w14:paraId="1A92DBD5"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BUE</w:t>
            </w:r>
          </w:p>
          <w:p w14:paraId="0F082BC3" w14:textId="77777777" w:rsidR="00244161" w:rsidRPr="00420C1B" w:rsidRDefault="00244161" w:rsidP="0062151B">
            <w:pPr>
              <w:spacing w:after="0" w:line="240" w:lineRule="auto"/>
              <w:jc w:val="center"/>
              <w:rPr>
                <w:rFonts w:ascii="Times New Roman" w:hAnsi="Times New Roman"/>
                <w:sz w:val="20"/>
                <w:szCs w:val="20"/>
              </w:rPr>
            </w:pPr>
            <w:r w:rsidRPr="00420C1B">
              <w:rPr>
                <w:rFonts w:ascii="Times New Roman" w:hAnsi="Times New Roman"/>
                <w:sz w:val="20"/>
                <w:szCs w:val="20"/>
              </w:rPr>
              <w:t>SNEL</w:t>
            </w:r>
          </w:p>
          <w:p w14:paraId="47837FDA" w14:textId="77777777" w:rsidR="00244161" w:rsidRPr="00420C1B" w:rsidRDefault="00244161" w:rsidP="0062151B">
            <w:pPr>
              <w:spacing w:after="0" w:line="240" w:lineRule="auto"/>
              <w:jc w:val="both"/>
              <w:rPr>
                <w:rFonts w:ascii="Times New Roman" w:hAnsi="Times New Roman"/>
                <w:sz w:val="20"/>
                <w:szCs w:val="20"/>
              </w:rPr>
            </w:pPr>
          </w:p>
        </w:tc>
        <w:tc>
          <w:tcPr>
            <w:tcW w:w="1276" w:type="dxa"/>
          </w:tcPr>
          <w:p w14:paraId="1ACCA7E3"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CPE  </w:t>
            </w:r>
          </w:p>
          <w:p w14:paraId="38517333"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ACE</w:t>
            </w:r>
          </w:p>
          <w:p w14:paraId="27BD4D29" w14:textId="77777777" w:rsidR="00244161" w:rsidRPr="00420C1B" w:rsidRDefault="00244161" w:rsidP="0062151B">
            <w:pPr>
              <w:spacing w:after="0" w:line="240" w:lineRule="auto"/>
              <w:rPr>
                <w:rFonts w:ascii="Times New Roman" w:hAnsi="Times New Roman"/>
                <w:sz w:val="20"/>
                <w:szCs w:val="20"/>
              </w:rPr>
            </w:pPr>
            <w:r w:rsidRPr="00420C1B">
              <w:rPr>
                <w:rFonts w:ascii="Times New Roman" w:hAnsi="Times New Roman"/>
                <w:sz w:val="20"/>
                <w:szCs w:val="20"/>
              </w:rPr>
              <w:t xml:space="preserve">Commune </w:t>
            </w:r>
          </w:p>
        </w:tc>
        <w:tc>
          <w:tcPr>
            <w:tcW w:w="1420" w:type="dxa"/>
            <w:vAlign w:val="center"/>
          </w:tcPr>
          <w:p w14:paraId="2445EB5F" w14:textId="77777777" w:rsidR="00244161" w:rsidRPr="00420C1B" w:rsidRDefault="00244161" w:rsidP="0062151B">
            <w:pPr>
              <w:spacing w:after="0" w:line="240" w:lineRule="auto"/>
              <w:jc w:val="both"/>
              <w:rPr>
                <w:rFonts w:ascii="Times New Roman" w:hAnsi="Times New Roman"/>
                <w:sz w:val="20"/>
                <w:szCs w:val="20"/>
              </w:rPr>
            </w:pPr>
            <w:r w:rsidRPr="00420C1B">
              <w:rPr>
                <w:rFonts w:ascii="Times New Roman" w:hAnsi="Times New Roman"/>
                <w:sz w:val="20"/>
                <w:szCs w:val="20"/>
              </w:rPr>
              <w:t>Après les travaux</w:t>
            </w:r>
          </w:p>
        </w:tc>
        <w:tc>
          <w:tcPr>
            <w:tcW w:w="1381" w:type="dxa"/>
            <w:vAlign w:val="center"/>
          </w:tcPr>
          <w:p w14:paraId="29636E4F"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sz w:val="20"/>
                <w:szCs w:val="20"/>
              </w:rPr>
              <w:t xml:space="preserve">IEC (une (1) séance = </w:t>
            </w:r>
            <w:r w:rsidR="00C67F9B" w:rsidRPr="00420C1B">
              <w:rPr>
                <w:rFonts w:ascii="Times New Roman" w:hAnsi="Times New Roman"/>
                <w:sz w:val="20"/>
                <w:szCs w:val="20"/>
              </w:rPr>
              <w:t>10</w:t>
            </w:r>
            <w:r w:rsidRPr="00420C1B">
              <w:rPr>
                <w:rFonts w:ascii="Times New Roman" w:hAnsi="Times New Roman"/>
                <w:sz w:val="20"/>
                <w:szCs w:val="20"/>
              </w:rPr>
              <w:t xml:space="preserve"> communes  x 1500 =</w:t>
            </w:r>
            <w:r w:rsidR="00C67F9B" w:rsidRPr="00420C1B">
              <w:rPr>
                <w:rFonts w:ascii="Times New Roman" w:hAnsi="Times New Roman"/>
                <w:sz w:val="20"/>
                <w:szCs w:val="20"/>
              </w:rPr>
              <w:t>15000</w:t>
            </w:r>
            <w:r w:rsidRPr="00420C1B">
              <w:rPr>
                <w:rFonts w:ascii="Times New Roman" w:hAnsi="Times New Roman"/>
                <w:sz w:val="20"/>
                <w:szCs w:val="20"/>
              </w:rPr>
              <w:t xml:space="preserve">) + (Kit EPI 25 x 200 = 5000 = </w:t>
            </w:r>
            <w:r w:rsidR="0062151B" w:rsidRPr="00420C1B">
              <w:rPr>
                <w:rFonts w:ascii="Times New Roman" w:hAnsi="Times New Roman"/>
                <w:b/>
                <w:sz w:val="20"/>
                <w:szCs w:val="20"/>
              </w:rPr>
              <w:t xml:space="preserve">20 </w:t>
            </w:r>
            <w:r w:rsidRPr="00420C1B">
              <w:rPr>
                <w:rFonts w:ascii="Times New Roman" w:hAnsi="Times New Roman"/>
                <w:b/>
                <w:sz w:val="20"/>
                <w:szCs w:val="20"/>
              </w:rPr>
              <w:t xml:space="preserve">000  </w:t>
            </w:r>
          </w:p>
        </w:tc>
      </w:tr>
      <w:tr w:rsidR="00D75D2E" w:rsidRPr="00420C1B" w14:paraId="47EF3E7D" w14:textId="77777777" w:rsidTr="0062151B">
        <w:trPr>
          <w:trHeight w:val="427"/>
        </w:trPr>
        <w:tc>
          <w:tcPr>
            <w:tcW w:w="14094" w:type="dxa"/>
            <w:gridSpan w:val="14"/>
          </w:tcPr>
          <w:p w14:paraId="14DA40D2" w14:textId="77777777" w:rsidR="00244161" w:rsidRPr="00420C1B" w:rsidRDefault="00244161" w:rsidP="0062151B">
            <w:pPr>
              <w:spacing w:after="0" w:line="240" w:lineRule="auto"/>
              <w:jc w:val="both"/>
              <w:rPr>
                <w:rFonts w:ascii="Times New Roman" w:hAnsi="Times New Roman"/>
                <w:b/>
                <w:sz w:val="20"/>
                <w:szCs w:val="20"/>
              </w:rPr>
            </w:pPr>
            <w:r w:rsidRPr="00420C1B">
              <w:rPr>
                <w:rFonts w:ascii="Times New Roman" w:hAnsi="Times New Roman"/>
                <w:b/>
                <w:sz w:val="20"/>
                <w:szCs w:val="20"/>
              </w:rPr>
              <w:t>TOTAL</w:t>
            </w:r>
          </w:p>
        </w:tc>
        <w:tc>
          <w:tcPr>
            <w:tcW w:w="1381" w:type="dxa"/>
            <w:vAlign w:val="center"/>
          </w:tcPr>
          <w:p w14:paraId="13F5634D" w14:textId="77777777" w:rsidR="00244161" w:rsidRPr="00420C1B" w:rsidRDefault="00743DC7" w:rsidP="0062151B">
            <w:pPr>
              <w:jc w:val="center"/>
              <w:rPr>
                <w:rFonts w:ascii="Times New Roman" w:hAnsi="Times New Roman"/>
                <w:b/>
                <w:sz w:val="20"/>
                <w:szCs w:val="20"/>
              </w:rPr>
            </w:pPr>
            <w:r w:rsidRPr="00420C1B">
              <w:rPr>
                <w:rFonts w:ascii="Times New Roman" w:hAnsi="Times New Roman"/>
                <w:b/>
                <w:sz w:val="20"/>
                <w:szCs w:val="20"/>
              </w:rPr>
              <w:t>74 500</w:t>
            </w:r>
          </w:p>
        </w:tc>
      </w:tr>
    </w:tbl>
    <w:bookmarkEnd w:id="1005"/>
    <w:p w14:paraId="403D201F" w14:textId="77777777" w:rsidR="00F16F4B" w:rsidRPr="00E737B4" w:rsidRDefault="00F16F4B" w:rsidP="00F16F4B">
      <w:pPr>
        <w:spacing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 232cabine juillet 2021</w:t>
      </w:r>
    </w:p>
    <w:p w14:paraId="04060F85" w14:textId="77777777" w:rsidR="00244161" w:rsidRPr="00D75D2E" w:rsidRDefault="00244161" w:rsidP="00244161">
      <w:pPr>
        <w:spacing w:after="0" w:line="240" w:lineRule="auto"/>
        <w:jc w:val="both"/>
        <w:rPr>
          <w:rFonts w:ascii="Times New Roman" w:hAnsi="Times New Roman"/>
          <w:sz w:val="24"/>
          <w:szCs w:val="24"/>
        </w:rPr>
        <w:sectPr w:rsidR="00244161" w:rsidRPr="00D75D2E" w:rsidSect="0082504D">
          <w:pgSz w:w="16838" w:h="11906" w:orient="landscape"/>
          <w:pgMar w:top="1418" w:right="1418" w:bottom="1418" w:left="1418" w:header="709" w:footer="709" w:gutter="0"/>
          <w:cols w:space="708"/>
          <w:docGrid w:linePitch="360"/>
        </w:sectPr>
      </w:pPr>
    </w:p>
    <w:p w14:paraId="778E1504" w14:textId="77777777" w:rsidR="00244161" w:rsidRPr="00215867" w:rsidRDefault="00244161" w:rsidP="00215867">
      <w:pPr>
        <w:pStyle w:val="Titre31"/>
        <w:numPr>
          <w:ilvl w:val="2"/>
          <w:numId w:val="54"/>
        </w:numPr>
        <w:tabs>
          <w:tab w:val="left" w:pos="993"/>
        </w:tabs>
        <w:spacing w:before="120" w:after="120" w:line="20" w:lineRule="atLeast"/>
        <w:ind w:left="993" w:hanging="709"/>
        <w:rPr>
          <w:rFonts w:eastAsia="Calibri"/>
          <w:i/>
          <w:u w:val="none"/>
        </w:rPr>
      </w:pPr>
      <w:bookmarkStart w:id="1006" w:name="_Toc16663525"/>
      <w:bookmarkStart w:id="1007" w:name="_Toc16663699"/>
      <w:bookmarkStart w:id="1008" w:name="_Toc16664944"/>
      <w:bookmarkStart w:id="1009" w:name="_Toc103685757"/>
      <w:r w:rsidRPr="00215867">
        <w:rPr>
          <w:rFonts w:eastAsia="Calibri"/>
          <w:i/>
          <w:u w:val="none"/>
        </w:rPr>
        <w:t>Programme de suivi environnemental</w:t>
      </w:r>
      <w:bookmarkEnd w:id="1006"/>
      <w:bookmarkEnd w:id="1007"/>
      <w:bookmarkEnd w:id="1008"/>
      <w:bookmarkEnd w:id="1009"/>
    </w:p>
    <w:p w14:paraId="20C92108" w14:textId="346EADCD" w:rsidR="00244161" w:rsidRPr="00E76B8B" w:rsidRDefault="00244161" w:rsidP="00E737B4">
      <w:pPr>
        <w:spacing w:before="120" w:after="120" w:line="20" w:lineRule="atLeast"/>
        <w:jc w:val="both"/>
        <w:rPr>
          <w:rFonts w:ascii="Times New Roman" w:hAnsi="Times New Roman"/>
          <w:sz w:val="24"/>
          <w:szCs w:val="24"/>
        </w:rPr>
      </w:pPr>
      <w:r w:rsidRPr="00320182">
        <w:rPr>
          <w:rFonts w:ascii="Times New Roman" w:hAnsi="Times New Roman"/>
          <w:sz w:val="24"/>
          <w:szCs w:val="24"/>
        </w:rPr>
        <w:t>Le suivi environnemental consacre une veille sur les impacts prédits. Il permet de vérifier la justesse des prévisions et de mesurer les impacts réels du projet et d’évaluer l’efficacité des mesures d’atténuation et de compensation proposées. Le suivi peut amener le promoteur à réagir promptement à la défaillance d’une mesure d’atténuation ou à toute nouvelle perturbation du milieu par la mise en place des mesures plus appropriées ou de nouvelles mesures pour les impacts non prévus. L</w:t>
      </w:r>
      <w:r w:rsidRPr="00F05618">
        <w:rPr>
          <w:rFonts w:ascii="Times New Roman" w:hAnsi="Times New Roman"/>
          <w:sz w:val="24"/>
          <w:szCs w:val="24"/>
        </w:rPr>
        <w:t xml:space="preserve">e programme de suivi environnemental s’appuie sur des indicateurs environnementaux et sociaux pour vérifier la conformité par rapport aux normes nationales en vigueur et aux politiques de sauvegarde de la Banque Mondiale. Le tableau </w:t>
      </w:r>
      <w:r w:rsidR="00A34342">
        <w:rPr>
          <w:rFonts w:ascii="Times New Roman" w:hAnsi="Times New Roman"/>
          <w:sz w:val="24"/>
          <w:szCs w:val="24"/>
        </w:rPr>
        <w:t>71</w:t>
      </w:r>
      <w:r w:rsidR="007220AC">
        <w:rPr>
          <w:rFonts w:ascii="Times New Roman" w:hAnsi="Times New Roman"/>
          <w:sz w:val="24"/>
          <w:szCs w:val="24"/>
        </w:rPr>
        <w:t xml:space="preserve"> </w:t>
      </w:r>
      <w:r w:rsidR="00E46106" w:rsidRPr="00E76B8B">
        <w:rPr>
          <w:rFonts w:ascii="Times New Roman" w:hAnsi="Times New Roman"/>
          <w:sz w:val="24"/>
          <w:szCs w:val="24"/>
        </w:rPr>
        <w:t>présente</w:t>
      </w:r>
      <w:r w:rsidRPr="00E76B8B">
        <w:rPr>
          <w:rFonts w:ascii="Times New Roman" w:hAnsi="Times New Roman"/>
          <w:sz w:val="24"/>
          <w:szCs w:val="24"/>
        </w:rPr>
        <w:t xml:space="preserve"> le programme de suivi environnemental du PGES.</w:t>
      </w:r>
    </w:p>
    <w:p w14:paraId="5F04FD02" w14:textId="150E70C9" w:rsidR="00244161" w:rsidRPr="00E737B4" w:rsidRDefault="00244161" w:rsidP="00E737B4">
      <w:pPr>
        <w:pStyle w:val="Default"/>
        <w:keepNext/>
        <w:spacing w:before="120" w:after="120" w:line="20" w:lineRule="atLeast"/>
        <w:jc w:val="center"/>
        <w:rPr>
          <w:color w:val="auto"/>
        </w:rPr>
      </w:pPr>
      <w:bookmarkStart w:id="1010" w:name="_Toc452467389"/>
      <w:bookmarkStart w:id="1011" w:name="_Toc466809082"/>
      <w:bookmarkStart w:id="1012" w:name="_Toc519048957"/>
      <w:bookmarkStart w:id="1013" w:name="_Toc93050333"/>
      <w:r w:rsidRPr="00E737B4">
        <w:rPr>
          <w:color w:val="auto"/>
        </w:rPr>
        <w:t xml:space="preserve">Tableau </w:t>
      </w:r>
      <w:r w:rsidRPr="00E737B4">
        <w:rPr>
          <w:color w:val="auto"/>
        </w:rPr>
        <w:fldChar w:fldCharType="begin"/>
      </w:r>
      <w:r w:rsidRPr="00E737B4">
        <w:rPr>
          <w:color w:val="auto"/>
        </w:rPr>
        <w:instrText xml:space="preserve"> SEQ Tableau \* ARABIC </w:instrText>
      </w:r>
      <w:r w:rsidRPr="00E737B4">
        <w:rPr>
          <w:color w:val="auto"/>
        </w:rPr>
        <w:fldChar w:fldCharType="separate"/>
      </w:r>
      <w:r w:rsidR="00A86929">
        <w:rPr>
          <w:noProof/>
          <w:color w:val="auto"/>
        </w:rPr>
        <w:t>71</w:t>
      </w:r>
      <w:r w:rsidRPr="00E737B4">
        <w:rPr>
          <w:color w:val="auto"/>
        </w:rPr>
        <w:fldChar w:fldCharType="end"/>
      </w:r>
      <w:r w:rsidRPr="00E737B4">
        <w:rPr>
          <w:color w:val="auto"/>
        </w:rPr>
        <w:t xml:space="preserve"> : Programme de suivi </w:t>
      </w:r>
      <w:bookmarkEnd w:id="1010"/>
      <w:r w:rsidRPr="00E737B4">
        <w:rPr>
          <w:color w:val="auto"/>
        </w:rPr>
        <w:t>environnemental</w:t>
      </w:r>
      <w:bookmarkEnd w:id="1011"/>
      <w:bookmarkEnd w:id="1012"/>
      <w:bookmarkEnd w:id="1013"/>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9"/>
        <w:gridCol w:w="1655"/>
        <w:gridCol w:w="1598"/>
        <w:gridCol w:w="1562"/>
        <w:gridCol w:w="1270"/>
        <w:gridCol w:w="1279"/>
        <w:gridCol w:w="1341"/>
      </w:tblGrid>
      <w:tr w:rsidR="00D75D2E" w:rsidRPr="00420C1B" w14:paraId="1519A93E" w14:textId="77777777" w:rsidTr="00E737B4">
        <w:trPr>
          <w:trHeight w:val="588"/>
          <w:jc w:val="center"/>
        </w:trPr>
        <w:tc>
          <w:tcPr>
            <w:tcW w:w="1349" w:type="dxa"/>
            <w:shd w:val="clear" w:color="auto" w:fill="92D050"/>
            <w:vAlign w:val="center"/>
          </w:tcPr>
          <w:p w14:paraId="5D6B0C0B"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Elément de suivi</w:t>
            </w:r>
          </w:p>
        </w:tc>
        <w:tc>
          <w:tcPr>
            <w:tcW w:w="1655" w:type="dxa"/>
            <w:shd w:val="clear" w:color="auto" w:fill="92D050"/>
            <w:vAlign w:val="center"/>
          </w:tcPr>
          <w:p w14:paraId="6EB9E56C"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Indicateur Technique (Impact)</w:t>
            </w:r>
          </w:p>
        </w:tc>
        <w:tc>
          <w:tcPr>
            <w:tcW w:w="1598" w:type="dxa"/>
            <w:shd w:val="clear" w:color="auto" w:fill="92D050"/>
            <w:vAlign w:val="center"/>
          </w:tcPr>
          <w:p w14:paraId="6CA361DC"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 xml:space="preserve">Nature des </w:t>
            </w:r>
          </w:p>
          <w:p w14:paraId="52EE180D"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Activités de suivi</w:t>
            </w:r>
          </w:p>
        </w:tc>
        <w:tc>
          <w:tcPr>
            <w:tcW w:w="1562" w:type="dxa"/>
            <w:shd w:val="clear" w:color="auto" w:fill="92D050"/>
            <w:vAlign w:val="center"/>
          </w:tcPr>
          <w:p w14:paraId="131D908E"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Périodicité</w:t>
            </w:r>
          </w:p>
        </w:tc>
        <w:tc>
          <w:tcPr>
            <w:tcW w:w="1270" w:type="dxa"/>
            <w:shd w:val="clear" w:color="auto" w:fill="92D050"/>
            <w:vAlign w:val="center"/>
          </w:tcPr>
          <w:p w14:paraId="703F454A"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Responsable du suivi</w:t>
            </w:r>
          </w:p>
        </w:tc>
        <w:tc>
          <w:tcPr>
            <w:tcW w:w="1279" w:type="dxa"/>
            <w:shd w:val="clear" w:color="auto" w:fill="92D050"/>
            <w:vAlign w:val="center"/>
          </w:tcPr>
          <w:p w14:paraId="46522071"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Indicateurs pertinents de suivi</w:t>
            </w:r>
          </w:p>
        </w:tc>
        <w:tc>
          <w:tcPr>
            <w:tcW w:w="1341" w:type="dxa"/>
            <w:shd w:val="clear" w:color="auto" w:fill="92D050"/>
            <w:vAlign w:val="center"/>
          </w:tcPr>
          <w:p w14:paraId="57B372EE"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Coût (Dollars us)</w:t>
            </w:r>
          </w:p>
          <w:p w14:paraId="1A4CF32C" w14:textId="77777777" w:rsidR="00244161" w:rsidRPr="00420C1B" w:rsidRDefault="00244161" w:rsidP="00234156">
            <w:pPr>
              <w:spacing w:after="0" w:line="240" w:lineRule="auto"/>
              <w:jc w:val="both"/>
              <w:rPr>
                <w:rFonts w:ascii="Times New Roman" w:hAnsi="Times New Roman"/>
                <w:b/>
                <w:sz w:val="20"/>
              </w:rPr>
            </w:pPr>
          </w:p>
        </w:tc>
      </w:tr>
      <w:tr w:rsidR="00D75D2E" w:rsidRPr="00420C1B" w14:paraId="2730111B" w14:textId="77777777" w:rsidTr="00E737B4">
        <w:trPr>
          <w:trHeight w:val="2265"/>
          <w:jc w:val="center"/>
        </w:trPr>
        <w:tc>
          <w:tcPr>
            <w:tcW w:w="1349" w:type="dxa"/>
            <w:vAlign w:val="center"/>
          </w:tcPr>
          <w:p w14:paraId="147E633A"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Santé des populations</w:t>
            </w:r>
          </w:p>
        </w:tc>
        <w:tc>
          <w:tcPr>
            <w:tcW w:w="1655" w:type="dxa"/>
            <w:vAlign w:val="center"/>
          </w:tcPr>
          <w:p w14:paraId="4FB16849"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Taux d’accroissement des cas de paludismes et du risque de contamination des personnes par les IST</w:t>
            </w:r>
            <w:r w:rsidR="0073226F" w:rsidRPr="00420C1B">
              <w:rPr>
                <w:rFonts w:ascii="Times New Roman" w:hAnsi="Times New Roman"/>
                <w:sz w:val="20"/>
              </w:rPr>
              <w:t>/VIH/SIDA</w:t>
            </w:r>
          </w:p>
        </w:tc>
        <w:tc>
          <w:tcPr>
            <w:tcW w:w="1598" w:type="dxa"/>
            <w:vAlign w:val="center"/>
          </w:tcPr>
          <w:p w14:paraId="63FA858B"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Suivi de la sensibilisation</w:t>
            </w:r>
          </w:p>
        </w:tc>
        <w:tc>
          <w:tcPr>
            <w:tcW w:w="1562" w:type="dxa"/>
            <w:vAlign w:val="center"/>
          </w:tcPr>
          <w:p w14:paraId="1CE21B36"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Avant le début des travaux et à la fin du chantier</w:t>
            </w:r>
          </w:p>
        </w:tc>
        <w:tc>
          <w:tcPr>
            <w:tcW w:w="1270" w:type="dxa"/>
            <w:vAlign w:val="center"/>
          </w:tcPr>
          <w:p w14:paraId="293AA7CE"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District sanitaire de commune concernée </w:t>
            </w:r>
          </w:p>
        </w:tc>
        <w:tc>
          <w:tcPr>
            <w:tcW w:w="1279" w:type="dxa"/>
            <w:vAlign w:val="center"/>
          </w:tcPr>
          <w:p w14:paraId="4A4464B9"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Nombre de cas de </w:t>
            </w:r>
            <w:r w:rsidR="0073226F" w:rsidRPr="00420C1B">
              <w:rPr>
                <w:rFonts w:ascii="Times New Roman" w:hAnsi="Times New Roman"/>
                <w:sz w:val="20"/>
              </w:rPr>
              <w:t>I</w:t>
            </w:r>
            <w:r w:rsidRPr="00420C1B">
              <w:rPr>
                <w:rFonts w:ascii="Times New Roman" w:hAnsi="Times New Roman"/>
                <w:sz w:val="20"/>
              </w:rPr>
              <w:t>ST</w:t>
            </w:r>
          </w:p>
          <w:p w14:paraId="3CD8F3B6" w14:textId="77777777" w:rsidR="00244161" w:rsidRPr="00420C1B" w:rsidRDefault="00244161" w:rsidP="00234156">
            <w:pPr>
              <w:spacing w:after="0" w:line="240" w:lineRule="auto"/>
              <w:rPr>
                <w:rFonts w:ascii="Times New Roman" w:hAnsi="Times New Roman"/>
                <w:sz w:val="20"/>
              </w:rPr>
            </w:pPr>
          </w:p>
          <w:p w14:paraId="6A0A532C" w14:textId="77777777" w:rsidR="00244161" w:rsidRPr="00420C1B" w:rsidRDefault="00244161" w:rsidP="00234156">
            <w:pPr>
              <w:pStyle w:val="Lgende"/>
              <w:spacing w:after="0"/>
              <w:ind w:left="360"/>
              <w:rPr>
                <w:color w:val="auto"/>
                <w:sz w:val="20"/>
              </w:rPr>
            </w:pPr>
          </w:p>
        </w:tc>
        <w:tc>
          <w:tcPr>
            <w:tcW w:w="1341" w:type="dxa"/>
            <w:vAlign w:val="center"/>
          </w:tcPr>
          <w:p w14:paraId="2925B8D2"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2 fois x 2H/jour x 100 = </w:t>
            </w:r>
            <w:r w:rsidRPr="00420C1B">
              <w:rPr>
                <w:rFonts w:ascii="Times New Roman" w:hAnsi="Times New Roman"/>
                <w:b/>
                <w:sz w:val="20"/>
              </w:rPr>
              <w:t>400 </w:t>
            </w:r>
          </w:p>
        </w:tc>
      </w:tr>
      <w:tr w:rsidR="00D75D2E" w:rsidRPr="00420C1B" w14:paraId="5A8C9BFF" w14:textId="77777777" w:rsidTr="00E737B4">
        <w:trPr>
          <w:trHeight w:val="692"/>
          <w:jc w:val="center"/>
        </w:trPr>
        <w:tc>
          <w:tcPr>
            <w:tcW w:w="1349" w:type="dxa"/>
            <w:vAlign w:val="center"/>
          </w:tcPr>
          <w:p w14:paraId="7A0CF0DA"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Végétation / Biodiversité </w:t>
            </w:r>
          </w:p>
        </w:tc>
        <w:tc>
          <w:tcPr>
            <w:tcW w:w="1655" w:type="dxa"/>
            <w:vAlign w:val="center"/>
          </w:tcPr>
          <w:p w14:paraId="5D80D64D"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Disparition de la végétation </w:t>
            </w:r>
          </w:p>
        </w:tc>
        <w:tc>
          <w:tcPr>
            <w:tcW w:w="1598" w:type="dxa"/>
            <w:vAlign w:val="center"/>
          </w:tcPr>
          <w:p w14:paraId="32AA3299"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Suivi des reboisements de compensation</w:t>
            </w:r>
          </w:p>
        </w:tc>
        <w:tc>
          <w:tcPr>
            <w:tcW w:w="1562" w:type="dxa"/>
            <w:vAlign w:val="center"/>
          </w:tcPr>
          <w:p w14:paraId="4663DD44"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1 fois par an en fin sur 4 ans</w:t>
            </w:r>
          </w:p>
        </w:tc>
        <w:tc>
          <w:tcPr>
            <w:tcW w:w="1270" w:type="dxa"/>
            <w:vAlign w:val="center"/>
          </w:tcPr>
          <w:p w14:paraId="002C50B3" w14:textId="77777777" w:rsidR="00244161" w:rsidRPr="00420C1B" w:rsidRDefault="00244161" w:rsidP="00234156">
            <w:pPr>
              <w:spacing w:after="0" w:line="240" w:lineRule="auto"/>
              <w:rPr>
                <w:rFonts w:ascii="Times New Roman" w:hAnsi="Times New Roman"/>
                <w:sz w:val="20"/>
              </w:rPr>
            </w:pPr>
            <w:r w:rsidRPr="00E737B4">
              <w:rPr>
                <w:rFonts w:ascii="Times New Roman" w:hAnsi="Times New Roman"/>
                <w:sz w:val="20"/>
              </w:rPr>
              <w:t>CPE et ACE</w:t>
            </w:r>
          </w:p>
        </w:tc>
        <w:tc>
          <w:tcPr>
            <w:tcW w:w="1279" w:type="dxa"/>
            <w:vAlign w:val="center"/>
          </w:tcPr>
          <w:p w14:paraId="3F209215"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Taux de réussite</w:t>
            </w:r>
          </w:p>
        </w:tc>
        <w:tc>
          <w:tcPr>
            <w:tcW w:w="1341" w:type="dxa"/>
            <w:vAlign w:val="center"/>
          </w:tcPr>
          <w:p w14:paraId="5F910C2A" w14:textId="77777777" w:rsidR="00244161" w:rsidRPr="00420C1B" w:rsidRDefault="00244161" w:rsidP="00234156">
            <w:pPr>
              <w:spacing w:after="0" w:line="240" w:lineRule="auto"/>
              <w:rPr>
                <w:rFonts w:ascii="Times New Roman" w:hAnsi="Times New Roman"/>
                <w:sz w:val="20"/>
              </w:rPr>
            </w:pPr>
            <w:r w:rsidRPr="00420C1B">
              <w:rPr>
                <w:rFonts w:ascii="Times New Roman" w:hAnsi="Times New Roman"/>
                <w:sz w:val="20"/>
              </w:rPr>
              <w:t xml:space="preserve">4 ans x 1 H/jour x 100 = </w:t>
            </w:r>
            <w:r w:rsidRPr="00420C1B">
              <w:rPr>
                <w:rFonts w:ascii="Times New Roman" w:hAnsi="Times New Roman"/>
                <w:b/>
                <w:sz w:val="20"/>
              </w:rPr>
              <w:t>400</w:t>
            </w:r>
          </w:p>
        </w:tc>
      </w:tr>
      <w:tr w:rsidR="00506957" w:rsidRPr="00420C1B" w14:paraId="1366C1E2" w14:textId="77777777" w:rsidTr="00E737B4">
        <w:trPr>
          <w:trHeight w:val="456"/>
          <w:jc w:val="center"/>
        </w:trPr>
        <w:tc>
          <w:tcPr>
            <w:tcW w:w="8713" w:type="dxa"/>
            <w:gridSpan w:val="6"/>
            <w:vAlign w:val="center"/>
          </w:tcPr>
          <w:p w14:paraId="5F495F53" w14:textId="77777777" w:rsidR="00244161" w:rsidRPr="00420C1B" w:rsidRDefault="00244161" w:rsidP="00234156">
            <w:pPr>
              <w:spacing w:after="0" w:line="240" w:lineRule="auto"/>
              <w:jc w:val="both"/>
              <w:rPr>
                <w:rFonts w:ascii="Times New Roman" w:hAnsi="Times New Roman"/>
                <w:b/>
                <w:sz w:val="20"/>
              </w:rPr>
            </w:pPr>
            <w:r w:rsidRPr="00420C1B">
              <w:rPr>
                <w:rFonts w:ascii="Times New Roman" w:hAnsi="Times New Roman"/>
                <w:b/>
                <w:sz w:val="20"/>
              </w:rPr>
              <w:t>Total</w:t>
            </w:r>
          </w:p>
        </w:tc>
        <w:tc>
          <w:tcPr>
            <w:tcW w:w="1341" w:type="dxa"/>
            <w:vAlign w:val="center"/>
          </w:tcPr>
          <w:p w14:paraId="1CDADD41" w14:textId="77777777" w:rsidR="00244161" w:rsidRPr="00420C1B" w:rsidRDefault="00244161" w:rsidP="00234156">
            <w:pPr>
              <w:pStyle w:val="Lgende"/>
              <w:spacing w:after="0"/>
              <w:ind w:left="146"/>
              <w:jc w:val="both"/>
              <w:rPr>
                <w:b/>
                <w:color w:val="auto"/>
                <w:sz w:val="20"/>
              </w:rPr>
            </w:pPr>
            <w:r w:rsidRPr="00420C1B">
              <w:rPr>
                <w:b/>
                <w:color w:val="auto"/>
                <w:sz w:val="20"/>
              </w:rPr>
              <w:t>800</w:t>
            </w:r>
          </w:p>
        </w:tc>
      </w:tr>
    </w:tbl>
    <w:p w14:paraId="6828C893" w14:textId="77777777" w:rsidR="00F16F4B" w:rsidRPr="00E737B4" w:rsidRDefault="00F16F4B" w:rsidP="00234156">
      <w:pPr>
        <w:spacing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 232cabine juillet 2021</w:t>
      </w:r>
    </w:p>
    <w:p w14:paraId="7FA3A88F" w14:textId="77777777" w:rsidR="00AE61CE" w:rsidRPr="00024B30" w:rsidRDefault="00AE61CE" w:rsidP="00234156">
      <w:pPr>
        <w:spacing w:after="0" w:line="240" w:lineRule="auto"/>
        <w:rPr>
          <w:rFonts w:ascii="Times New Roman" w:hAnsi="Times New Roman"/>
          <w:bCs/>
          <w:i/>
        </w:rPr>
      </w:pPr>
    </w:p>
    <w:p w14:paraId="44866B23" w14:textId="77777777" w:rsidR="00244161" w:rsidRPr="00215867" w:rsidRDefault="00244161" w:rsidP="00215867">
      <w:pPr>
        <w:pStyle w:val="Titre1"/>
        <w:numPr>
          <w:ilvl w:val="1"/>
          <w:numId w:val="54"/>
        </w:numPr>
        <w:spacing w:before="0" w:after="120" w:line="23" w:lineRule="atLeast"/>
        <w:ind w:left="709" w:hanging="567"/>
        <w:rPr>
          <w:b w:val="0"/>
        </w:rPr>
      </w:pPr>
      <w:bookmarkStart w:id="1014" w:name="_Toc452538262"/>
      <w:bookmarkStart w:id="1015" w:name="_Toc16663526"/>
      <w:bookmarkStart w:id="1016" w:name="_Toc16663700"/>
      <w:bookmarkStart w:id="1017" w:name="_Toc16664945"/>
      <w:bookmarkStart w:id="1018" w:name="_Toc103685758"/>
      <w:r w:rsidRPr="007E5A67">
        <w:t>Programme de renforcement de capacités</w:t>
      </w:r>
      <w:bookmarkEnd w:id="1014"/>
      <w:bookmarkEnd w:id="1015"/>
      <w:bookmarkEnd w:id="1016"/>
      <w:bookmarkEnd w:id="1017"/>
      <w:bookmarkEnd w:id="1018"/>
    </w:p>
    <w:p w14:paraId="73C8FAD9" w14:textId="4DFDB47B" w:rsidR="00244161" w:rsidRPr="00D75D2E" w:rsidRDefault="00244161" w:rsidP="00E737B4">
      <w:pPr>
        <w:spacing w:before="120" w:after="120" w:line="240" w:lineRule="auto"/>
        <w:ind w:left="-426"/>
        <w:jc w:val="both"/>
        <w:rPr>
          <w:rFonts w:ascii="Times New Roman" w:hAnsi="Times New Roman"/>
          <w:sz w:val="24"/>
          <w:szCs w:val="24"/>
        </w:rPr>
      </w:pPr>
      <w:r w:rsidRPr="00D75D2E">
        <w:rPr>
          <w:rFonts w:ascii="Times New Roman" w:hAnsi="Times New Roman"/>
          <w:sz w:val="24"/>
          <w:szCs w:val="24"/>
        </w:rPr>
        <w:t>Ce programme a pour objectif d’assurer une bonne mise en œuvre du projet et du PGES. Il comprend plusieurs thématiques de formation et s’intéresse à différents acteurs résumés dans le tableau </w:t>
      </w:r>
      <w:r w:rsidR="007220AC">
        <w:rPr>
          <w:rFonts w:ascii="Times New Roman" w:hAnsi="Times New Roman"/>
          <w:sz w:val="24"/>
          <w:szCs w:val="24"/>
        </w:rPr>
        <w:t>65</w:t>
      </w:r>
      <w:r w:rsidRPr="00D75D2E">
        <w:rPr>
          <w:rFonts w:ascii="Times New Roman" w:hAnsi="Times New Roman"/>
          <w:sz w:val="24"/>
          <w:szCs w:val="24"/>
        </w:rPr>
        <w:t xml:space="preserve">  </w:t>
      </w:r>
    </w:p>
    <w:p w14:paraId="004C4E92" w14:textId="6609844B" w:rsidR="00244161" w:rsidRPr="00E737B4" w:rsidRDefault="00244161" w:rsidP="00E737B4">
      <w:pPr>
        <w:pStyle w:val="Default"/>
        <w:keepNext/>
        <w:spacing w:before="120" w:after="120"/>
        <w:rPr>
          <w:color w:val="auto"/>
          <w:szCs w:val="22"/>
        </w:rPr>
      </w:pPr>
      <w:bookmarkStart w:id="1019" w:name="_Toc452467390"/>
      <w:bookmarkStart w:id="1020" w:name="_Toc466809083"/>
      <w:bookmarkStart w:id="1021" w:name="_Toc519048958"/>
      <w:bookmarkStart w:id="1022" w:name="_Toc93050334"/>
      <w:r w:rsidRPr="00E737B4">
        <w:rPr>
          <w:color w:val="auto"/>
          <w:szCs w:val="22"/>
        </w:rPr>
        <w:t xml:space="preserve">Tableau </w:t>
      </w:r>
      <w:r w:rsidRPr="00E737B4">
        <w:rPr>
          <w:color w:val="auto"/>
          <w:szCs w:val="22"/>
        </w:rPr>
        <w:fldChar w:fldCharType="begin"/>
      </w:r>
      <w:r w:rsidRPr="00E737B4">
        <w:rPr>
          <w:color w:val="auto"/>
          <w:szCs w:val="22"/>
        </w:rPr>
        <w:instrText xml:space="preserve"> SEQ Tableau \* ARABIC </w:instrText>
      </w:r>
      <w:r w:rsidRPr="00E737B4">
        <w:rPr>
          <w:color w:val="auto"/>
          <w:szCs w:val="22"/>
        </w:rPr>
        <w:fldChar w:fldCharType="separate"/>
      </w:r>
      <w:r w:rsidR="00A86929">
        <w:rPr>
          <w:noProof/>
          <w:color w:val="auto"/>
          <w:szCs w:val="22"/>
        </w:rPr>
        <w:t>72</w:t>
      </w:r>
      <w:r w:rsidRPr="00E737B4">
        <w:rPr>
          <w:color w:val="auto"/>
          <w:szCs w:val="22"/>
        </w:rPr>
        <w:fldChar w:fldCharType="end"/>
      </w:r>
      <w:r w:rsidRPr="00E737B4">
        <w:rPr>
          <w:color w:val="auto"/>
          <w:szCs w:val="22"/>
        </w:rPr>
        <w:t> : Formation proposée pour différentes parties prenantes du projet</w:t>
      </w:r>
      <w:bookmarkEnd w:id="1019"/>
      <w:bookmarkEnd w:id="1020"/>
      <w:bookmarkEnd w:id="1021"/>
      <w:bookmarkEnd w:id="1022"/>
      <w:r w:rsidRPr="00E737B4">
        <w:rPr>
          <w:color w:val="auto"/>
          <w:szCs w:val="22"/>
        </w:rPr>
        <w:t xml:space="preserve"> </w:t>
      </w: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650"/>
        <w:gridCol w:w="4252"/>
        <w:gridCol w:w="1086"/>
      </w:tblGrid>
      <w:tr w:rsidR="00D75D2E" w:rsidRPr="00420C1B" w14:paraId="6434D477" w14:textId="77777777" w:rsidTr="00E737B4">
        <w:trPr>
          <w:trHeight w:val="476"/>
          <w:tblHeader/>
          <w:jc w:val="center"/>
        </w:trPr>
        <w:tc>
          <w:tcPr>
            <w:tcW w:w="2122" w:type="dxa"/>
            <w:shd w:val="clear" w:color="auto" w:fill="92D050"/>
            <w:vAlign w:val="center"/>
          </w:tcPr>
          <w:p w14:paraId="0A6EF4B5" w14:textId="77777777" w:rsidR="00244161" w:rsidRPr="00420C1B" w:rsidRDefault="00244161" w:rsidP="0062151B">
            <w:pPr>
              <w:pStyle w:val="Lgende"/>
              <w:widowControl w:val="0"/>
              <w:suppressAutoHyphens/>
              <w:spacing w:after="0"/>
              <w:ind w:left="360"/>
              <w:jc w:val="both"/>
              <w:rPr>
                <w:b/>
                <w:color w:val="auto"/>
                <w:sz w:val="20"/>
              </w:rPr>
            </w:pPr>
            <w:r w:rsidRPr="00420C1B">
              <w:rPr>
                <w:b/>
                <w:color w:val="auto"/>
                <w:sz w:val="20"/>
              </w:rPr>
              <w:t>Acteurs concernés</w:t>
            </w:r>
          </w:p>
        </w:tc>
        <w:tc>
          <w:tcPr>
            <w:tcW w:w="2650" w:type="dxa"/>
            <w:shd w:val="clear" w:color="auto" w:fill="92D050"/>
            <w:vAlign w:val="center"/>
          </w:tcPr>
          <w:p w14:paraId="5DAE8A09" w14:textId="77777777" w:rsidR="00244161" w:rsidRPr="00420C1B" w:rsidRDefault="00244161" w:rsidP="0062151B">
            <w:pPr>
              <w:pStyle w:val="Lgende"/>
              <w:widowControl w:val="0"/>
              <w:suppressAutoHyphens/>
              <w:spacing w:after="0"/>
              <w:ind w:left="360"/>
              <w:jc w:val="both"/>
              <w:rPr>
                <w:b/>
                <w:color w:val="auto"/>
                <w:sz w:val="20"/>
              </w:rPr>
            </w:pPr>
            <w:r w:rsidRPr="00420C1B">
              <w:rPr>
                <w:b/>
                <w:color w:val="auto"/>
                <w:sz w:val="20"/>
              </w:rPr>
              <w:t>Insuffisances</w:t>
            </w:r>
          </w:p>
        </w:tc>
        <w:tc>
          <w:tcPr>
            <w:tcW w:w="4252" w:type="dxa"/>
            <w:shd w:val="clear" w:color="auto" w:fill="92D050"/>
            <w:vAlign w:val="center"/>
          </w:tcPr>
          <w:p w14:paraId="0BF27206" w14:textId="77777777" w:rsidR="00244161" w:rsidRPr="00420C1B" w:rsidRDefault="00244161" w:rsidP="0062151B">
            <w:pPr>
              <w:pStyle w:val="Lgende"/>
              <w:widowControl w:val="0"/>
              <w:suppressAutoHyphens/>
              <w:spacing w:after="0"/>
              <w:ind w:left="360"/>
              <w:jc w:val="both"/>
              <w:rPr>
                <w:b/>
                <w:color w:val="auto"/>
                <w:sz w:val="20"/>
              </w:rPr>
            </w:pPr>
            <w:r w:rsidRPr="00420C1B">
              <w:rPr>
                <w:b/>
                <w:color w:val="auto"/>
                <w:sz w:val="20"/>
              </w:rPr>
              <w:t>Thèmes de la formation</w:t>
            </w:r>
          </w:p>
        </w:tc>
        <w:tc>
          <w:tcPr>
            <w:tcW w:w="1086" w:type="dxa"/>
            <w:shd w:val="clear" w:color="auto" w:fill="92D050"/>
            <w:vAlign w:val="center"/>
          </w:tcPr>
          <w:p w14:paraId="6F0D16E9" w14:textId="77777777" w:rsidR="00244161" w:rsidRPr="00420C1B" w:rsidRDefault="00244161" w:rsidP="0062151B">
            <w:pPr>
              <w:widowControl w:val="0"/>
              <w:suppressAutoHyphens/>
              <w:spacing w:after="0" w:line="240" w:lineRule="auto"/>
              <w:jc w:val="both"/>
              <w:rPr>
                <w:rFonts w:ascii="Times New Roman" w:hAnsi="Times New Roman"/>
                <w:b/>
                <w:sz w:val="20"/>
              </w:rPr>
            </w:pPr>
            <w:r w:rsidRPr="00420C1B">
              <w:rPr>
                <w:rFonts w:ascii="Times New Roman" w:hAnsi="Times New Roman"/>
                <w:b/>
                <w:sz w:val="20"/>
              </w:rPr>
              <w:t>Coûts</w:t>
            </w:r>
          </w:p>
        </w:tc>
      </w:tr>
      <w:tr w:rsidR="00D75D2E" w:rsidRPr="00420C1B" w14:paraId="4E0F436D" w14:textId="77777777" w:rsidTr="00E737B4">
        <w:trPr>
          <w:trHeight w:val="801"/>
          <w:jc w:val="center"/>
        </w:trPr>
        <w:tc>
          <w:tcPr>
            <w:tcW w:w="2122" w:type="dxa"/>
            <w:shd w:val="clear" w:color="auto" w:fill="auto"/>
            <w:vAlign w:val="center"/>
          </w:tcPr>
          <w:p w14:paraId="59C7C1C1" w14:textId="77777777" w:rsidR="00244161" w:rsidRPr="00420C1B" w:rsidRDefault="00244161" w:rsidP="0062151B">
            <w:pPr>
              <w:widowControl w:val="0"/>
              <w:suppressAutoHyphens/>
              <w:spacing w:after="0" w:line="240" w:lineRule="auto"/>
              <w:jc w:val="both"/>
              <w:rPr>
                <w:rFonts w:ascii="Times New Roman" w:hAnsi="Times New Roman"/>
                <w:sz w:val="20"/>
              </w:rPr>
            </w:pPr>
            <w:r w:rsidRPr="00420C1B">
              <w:rPr>
                <w:rFonts w:ascii="Times New Roman" w:hAnsi="Times New Roman"/>
                <w:sz w:val="20"/>
              </w:rPr>
              <w:t xml:space="preserve">Les services clés du Projet </w:t>
            </w:r>
            <w:r w:rsidR="00506957" w:rsidRPr="00420C1B">
              <w:rPr>
                <w:rFonts w:ascii="Times New Roman" w:hAnsi="Times New Roman"/>
                <w:sz w:val="20"/>
              </w:rPr>
              <w:t>PGAE</w:t>
            </w:r>
            <w:r w:rsidRPr="00420C1B">
              <w:rPr>
                <w:rFonts w:ascii="Times New Roman" w:hAnsi="Times New Roman"/>
                <w:sz w:val="20"/>
              </w:rPr>
              <w:t>, de d</w:t>
            </w:r>
            <w:r w:rsidR="00506957" w:rsidRPr="00420C1B">
              <w:rPr>
                <w:rFonts w:ascii="Times New Roman" w:hAnsi="Times New Roman"/>
                <w:sz w:val="20"/>
              </w:rPr>
              <w:t>e l</w:t>
            </w:r>
            <w:r w:rsidRPr="00420C1B">
              <w:rPr>
                <w:rFonts w:ascii="Times New Roman" w:hAnsi="Times New Roman"/>
                <w:sz w:val="20"/>
              </w:rPr>
              <w:t>’UCM et de la SNEL</w:t>
            </w:r>
          </w:p>
        </w:tc>
        <w:tc>
          <w:tcPr>
            <w:tcW w:w="2650" w:type="dxa"/>
            <w:shd w:val="clear" w:color="auto" w:fill="auto"/>
            <w:vAlign w:val="center"/>
          </w:tcPr>
          <w:p w14:paraId="5F60F1DD" w14:textId="77777777" w:rsidR="00244161" w:rsidRPr="00420C1B" w:rsidRDefault="00244161" w:rsidP="0062151B">
            <w:pPr>
              <w:pStyle w:val="Lgende"/>
              <w:widowControl w:val="0"/>
              <w:suppressAutoHyphens/>
              <w:spacing w:after="0"/>
              <w:jc w:val="both"/>
              <w:rPr>
                <w:color w:val="auto"/>
                <w:sz w:val="20"/>
              </w:rPr>
            </w:pPr>
            <w:r w:rsidRPr="00420C1B">
              <w:rPr>
                <w:color w:val="auto"/>
                <w:sz w:val="20"/>
              </w:rPr>
              <w:t xml:space="preserve">Politiques de sauvegardes environnementales et sociales </w:t>
            </w:r>
          </w:p>
        </w:tc>
        <w:tc>
          <w:tcPr>
            <w:tcW w:w="4252" w:type="dxa"/>
            <w:shd w:val="clear" w:color="auto" w:fill="auto"/>
            <w:vAlign w:val="center"/>
          </w:tcPr>
          <w:p w14:paraId="252B8294" w14:textId="77777777" w:rsidR="00244161" w:rsidRPr="00420C1B" w:rsidRDefault="00244161" w:rsidP="0062151B">
            <w:pPr>
              <w:widowControl w:val="0"/>
              <w:suppressAutoHyphens/>
              <w:spacing w:after="0" w:line="240" w:lineRule="auto"/>
              <w:jc w:val="both"/>
              <w:rPr>
                <w:rFonts w:ascii="Times New Roman" w:hAnsi="Times New Roman"/>
                <w:sz w:val="20"/>
              </w:rPr>
            </w:pPr>
            <w:r w:rsidRPr="00420C1B">
              <w:rPr>
                <w:rFonts w:ascii="Times New Roman" w:hAnsi="Times New Roman"/>
                <w:sz w:val="20"/>
              </w:rPr>
              <w:t xml:space="preserve">Renforcement des capacités des services clés sur </w:t>
            </w:r>
            <w:r w:rsidR="00506957" w:rsidRPr="00420C1B">
              <w:rPr>
                <w:rFonts w:ascii="Times New Roman" w:hAnsi="Times New Roman"/>
                <w:sz w:val="20"/>
              </w:rPr>
              <w:t>Normes</w:t>
            </w:r>
            <w:r w:rsidRPr="00420C1B">
              <w:rPr>
                <w:rFonts w:ascii="Times New Roman" w:hAnsi="Times New Roman"/>
                <w:sz w:val="20"/>
              </w:rPr>
              <w:t xml:space="preserve"> environnementales et sociales. </w:t>
            </w:r>
          </w:p>
        </w:tc>
        <w:tc>
          <w:tcPr>
            <w:tcW w:w="1086" w:type="dxa"/>
            <w:shd w:val="clear" w:color="auto" w:fill="auto"/>
            <w:vAlign w:val="center"/>
          </w:tcPr>
          <w:p w14:paraId="113D32B2" w14:textId="77777777" w:rsidR="00244161" w:rsidRPr="00420C1B" w:rsidRDefault="00244161" w:rsidP="0062151B">
            <w:pPr>
              <w:widowControl w:val="0"/>
              <w:suppressAutoHyphens/>
              <w:spacing w:after="0" w:line="240" w:lineRule="auto"/>
              <w:jc w:val="both"/>
              <w:rPr>
                <w:rFonts w:ascii="Times New Roman" w:hAnsi="Times New Roman"/>
                <w:sz w:val="20"/>
              </w:rPr>
            </w:pPr>
            <w:r w:rsidRPr="00420C1B">
              <w:rPr>
                <w:rFonts w:ascii="Times New Roman" w:hAnsi="Times New Roman"/>
                <w:sz w:val="20"/>
              </w:rPr>
              <w:t>FF</w:t>
            </w:r>
          </w:p>
          <w:p w14:paraId="73CEA2B7" w14:textId="77777777" w:rsidR="00244161" w:rsidRPr="00420C1B" w:rsidRDefault="00244161" w:rsidP="0062151B">
            <w:pPr>
              <w:widowControl w:val="0"/>
              <w:suppressAutoHyphens/>
              <w:spacing w:after="0" w:line="240" w:lineRule="auto"/>
              <w:jc w:val="both"/>
              <w:rPr>
                <w:rFonts w:ascii="Times New Roman" w:hAnsi="Times New Roman"/>
                <w:sz w:val="20"/>
              </w:rPr>
            </w:pPr>
            <w:r w:rsidRPr="00420C1B">
              <w:rPr>
                <w:rFonts w:ascii="Times New Roman" w:hAnsi="Times New Roman"/>
                <w:sz w:val="20"/>
              </w:rPr>
              <w:t>1 séance/</w:t>
            </w:r>
          </w:p>
          <w:p w14:paraId="59452E54" w14:textId="77777777" w:rsidR="00244161" w:rsidRPr="00420C1B" w:rsidRDefault="00244161" w:rsidP="0062151B">
            <w:pPr>
              <w:widowControl w:val="0"/>
              <w:suppressAutoHyphens/>
              <w:spacing w:after="0" w:line="240" w:lineRule="auto"/>
              <w:jc w:val="both"/>
              <w:rPr>
                <w:rFonts w:ascii="Times New Roman" w:hAnsi="Times New Roman"/>
                <w:b/>
                <w:sz w:val="20"/>
              </w:rPr>
            </w:pPr>
            <w:r w:rsidRPr="00420C1B">
              <w:rPr>
                <w:rFonts w:ascii="Times New Roman" w:hAnsi="Times New Roman"/>
                <w:b/>
                <w:sz w:val="20"/>
              </w:rPr>
              <w:t>6000</w:t>
            </w:r>
          </w:p>
        </w:tc>
      </w:tr>
      <w:tr w:rsidR="00D75D2E" w:rsidRPr="00420C1B" w14:paraId="131AA20E" w14:textId="77777777" w:rsidTr="00420C1B">
        <w:trPr>
          <w:trHeight w:val="312"/>
          <w:jc w:val="center"/>
        </w:trPr>
        <w:tc>
          <w:tcPr>
            <w:tcW w:w="9024" w:type="dxa"/>
            <w:gridSpan w:val="3"/>
            <w:shd w:val="clear" w:color="auto" w:fill="EDEDED"/>
            <w:vAlign w:val="center"/>
          </w:tcPr>
          <w:p w14:paraId="3A9A908D" w14:textId="77777777" w:rsidR="00244161" w:rsidRPr="00420C1B" w:rsidRDefault="00244161" w:rsidP="0062151B">
            <w:pPr>
              <w:widowControl w:val="0"/>
              <w:suppressAutoHyphens/>
              <w:spacing w:after="0" w:line="240" w:lineRule="auto"/>
              <w:jc w:val="both"/>
              <w:rPr>
                <w:rFonts w:ascii="Times New Roman" w:hAnsi="Times New Roman"/>
                <w:b/>
                <w:sz w:val="20"/>
                <w:szCs w:val="20"/>
              </w:rPr>
            </w:pPr>
            <w:r w:rsidRPr="00420C1B">
              <w:rPr>
                <w:rFonts w:ascii="Times New Roman" w:hAnsi="Times New Roman"/>
                <w:b/>
                <w:sz w:val="20"/>
                <w:szCs w:val="20"/>
              </w:rPr>
              <w:t>Sous total 1</w:t>
            </w:r>
            <w:r w:rsidRPr="00420C1B">
              <w:rPr>
                <w:rFonts w:ascii="Times New Roman" w:hAnsi="Times New Roman"/>
                <w:sz w:val="20"/>
                <w:szCs w:val="20"/>
              </w:rPr>
              <w:t xml:space="preserve">                                                                                                                               </w:t>
            </w:r>
          </w:p>
        </w:tc>
        <w:tc>
          <w:tcPr>
            <w:tcW w:w="1086" w:type="dxa"/>
            <w:vAlign w:val="center"/>
          </w:tcPr>
          <w:p w14:paraId="56A856E6" w14:textId="77777777" w:rsidR="00244161" w:rsidRPr="00420C1B" w:rsidRDefault="00244161" w:rsidP="0062151B">
            <w:pPr>
              <w:widowControl w:val="0"/>
              <w:suppressAutoHyphens/>
              <w:spacing w:after="0" w:line="240" w:lineRule="auto"/>
              <w:rPr>
                <w:rFonts w:ascii="Times New Roman" w:hAnsi="Times New Roman"/>
                <w:b/>
                <w:sz w:val="20"/>
                <w:szCs w:val="20"/>
              </w:rPr>
            </w:pPr>
            <w:r w:rsidRPr="00420C1B">
              <w:rPr>
                <w:rFonts w:ascii="Times New Roman" w:hAnsi="Times New Roman"/>
                <w:b/>
                <w:sz w:val="20"/>
                <w:szCs w:val="20"/>
              </w:rPr>
              <w:t>6000</w:t>
            </w:r>
          </w:p>
        </w:tc>
      </w:tr>
      <w:tr w:rsidR="00D75D2E" w:rsidRPr="00420C1B" w14:paraId="577CF9D1" w14:textId="77777777" w:rsidTr="00E737B4">
        <w:trPr>
          <w:trHeight w:val="1491"/>
          <w:jc w:val="center"/>
        </w:trPr>
        <w:tc>
          <w:tcPr>
            <w:tcW w:w="2122" w:type="dxa"/>
            <w:vAlign w:val="center"/>
          </w:tcPr>
          <w:p w14:paraId="7FC7A728" w14:textId="77777777" w:rsidR="00244161" w:rsidRPr="00420C1B" w:rsidRDefault="00244161" w:rsidP="0062151B">
            <w:pPr>
              <w:widowControl w:val="0"/>
              <w:suppressAutoHyphens/>
              <w:spacing w:after="0" w:line="240" w:lineRule="auto"/>
              <w:jc w:val="both"/>
              <w:rPr>
                <w:rFonts w:ascii="Times New Roman" w:hAnsi="Times New Roman"/>
                <w:sz w:val="20"/>
                <w:szCs w:val="20"/>
              </w:rPr>
            </w:pPr>
            <w:r w:rsidRPr="00420C1B">
              <w:rPr>
                <w:rFonts w:ascii="Times New Roman" w:hAnsi="Times New Roman"/>
                <w:sz w:val="20"/>
                <w:szCs w:val="20"/>
              </w:rPr>
              <w:t>Ménages, Autorité</w:t>
            </w:r>
            <w:r w:rsidR="00506957" w:rsidRPr="00420C1B">
              <w:rPr>
                <w:rFonts w:ascii="Times New Roman" w:hAnsi="Times New Roman"/>
                <w:sz w:val="20"/>
                <w:szCs w:val="20"/>
              </w:rPr>
              <w:t>s</w:t>
            </w:r>
            <w:r w:rsidRPr="00420C1B">
              <w:rPr>
                <w:rFonts w:ascii="Times New Roman" w:hAnsi="Times New Roman"/>
                <w:sz w:val="20"/>
                <w:szCs w:val="20"/>
              </w:rPr>
              <w:t xml:space="preserve"> communales coutumières et religieuses</w:t>
            </w:r>
          </w:p>
        </w:tc>
        <w:tc>
          <w:tcPr>
            <w:tcW w:w="2650" w:type="dxa"/>
            <w:vAlign w:val="center"/>
          </w:tcPr>
          <w:p w14:paraId="2964B2F4" w14:textId="77777777" w:rsidR="00244161" w:rsidRPr="00420C1B" w:rsidRDefault="00244161" w:rsidP="0062151B">
            <w:pPr>
              <w:pStyle w:val="Lgende"/>
              <w:spacing w:after="0"/>
              <w:ind w:left="360"/>
              <w:jc w:val="both"/>
              <w:rPr>
                <w:color w:val="auto"/>
                <w:sz w:val="20"/>
                <w:szCs w:val="20"/>
              </w:rPr>
            </w:pPr>
            <w:r w:rsidRPr="00420C1B">
              <w:rPr>
                <w:color w:val="auto"/>
                <w:sz w:val="20"/>
                <w:szCs w:val="20"/>
              </w:rPr>
              <w:t xml:space="preserve">Risques liés à l’électricité et faible connaissance en matière de suivi du réseau électrique ; </w:t>
            </w:r>
          </w:p>
          <w:p w14:paraId="1731F337" w14:textId="77777777" w:rsidR="00244161" w:rsidRPr="00420C1B" w:rsidRDefault="00244161" w:rsidP="0062151B">
            <w:pPr>
              <w:pStyle w:val="Lgende"/>
              <w:spacing w:after="0"/>
              <w:ind w:left="360"/>
              <w:jc w:val="both"/>
              <w:rPr>
                <w:color w:val="auto"/>
                <w:sz w:val="20"/>
                <w:szCs w:val="20"/>
              </w:rPr>
            </w:pPr>
            <w:r w:rsidRPr="00420C1B">
              <w:rPr>
                <w:color w:val="auto"/>
                <w:sz w:val="20"/>
                <w:szCs w:val="20"/>
              </w:rPr>
              <w:t xml:space="preserve">Méconnaissance des procédures de gestion des plaintes </w:t>
            </w:r>
          </w:p>
        </w:tc>
        <w:tc>
          <w:tcPr>
            <w:tcW w:w="4252" w:type="dxa"/>
            <w:vAlign w:val="center"/>
          </w:tcPr>
          <w:p w14:paraId="724C3DC6" w14:textId="77777777" w:rsidR="00244161" w:rsidRPr="00420C1B" w:rsidRDefault="00244161" w:rsidP="0062151B">
            <w:pPr>
              <w:pStyle w:val="Sansinterligne"/>
              <w:jc w:val="both"/>
              <w:rPr>
                <w:rFonts w:ascii="Times New Roman" w:hAnsi="Times New Roman"/>
                <w:sz w:val="20"/>
                <w:szCs w:val="20"/>
              </w:rPr>
            </w:pPr>
            <w:r w:rsidRPr="00420C1B">
              <w:rPr>
                <w:rFonts w:ascii="Times New Roman" w:hAnsi="Times New Roman"/>
                <w:sz w:val="20"/>
                <w:szCs w:val="20"/>
              </w:rPr>
              <w:t>Formation sur les bonnes pratiques de l’utilisation du courant ;</w:t>
            </w:r>
          </w:p>
          <w:p w14:paraId="71EAC8FE" w14:textId="77777777" w:rsidR="00244161" w:rsidRPr="00420C1B" w:rsidRDefault="00244161" w:rsidP="0062151B">
            <w:pPr>
              <w:pStyle w:val="Sansinterligne"/>
              <w:jc w:val="both"/>
              <w:rPr>
                <w:rFonts w:ascii="Times New Roman" w:hAnsi="Times New Roman"/>
                <w:sz w:val="20"/>
                <w:szCs w:val="20"/>
              </w:rPr>
            </w:pPr>
            <w:r w:rsidRPr="00420C1B">
              <w:rPr>
                <w:rFonts w:ascii="Times New Roman" w:hAnsi="Times New Roman"/>
                <w:sz w:val="20"/>
                <w:szCs w:val="20"/>
              </w:rPr>
              <w:t>Renforcement des capacités sur la gestion des plaintes ;</w:t>
            </w:r>
          </w:p>
          <w:p w14:paraId="572DA00C" w14:textId="77777777" w:rsidR="00244161" w:rsidRPr="00420C1B" w:rsidRDefault="00244161" w:rsidP="0062151B">
            <w:pPr>
              <w:pStyle w:val="Sansinterligne"/>
              <w:rPr>
                <w:rFonts w:ascii="Times New Roman" w:hAnsi="Times New Roman"/>
                <w:sz w:val="20"/>
                <w:szCs w:val="20"/>
              </w:rPr>
            </w:pPr>
            <w:r w:rsidRPr="00420C1B">
              <w:rPr>
                <w:rFonts w:ascii="Times New Roman" w:hAnsi="Times New Roman"/>
                <w:sz w:val="20"/>
                <w:szCs w:val="20"/>
              </w:rPr>
              <w:t xml:space="preserve">Formation des responsables communaux sur le suivi et l’entretien du réseau. </w:t>
            </w:r>
          </w:p>
        </w:tc>
        <w:tc>
          <w:tcPr>
            <w:tcW w:w="1086" w:type="dxa"/>
            <w:vAlign w:val="center"/>
          </w:tcPr>
          <w:p w14:paraId="0C61DC3B" w14:textId="77777777" w:rsidR="00244161" w:rsidRPr="00420C1B" w:rsidRDefault="00244161" w:rsidP="0062151B">
            <w:pPr>
              <w:spacing w:after="0" w:line="240" w:lineRule="auto"/>
              <w:rPr>
                <w:rFonts w:ascii="Times New Roman" w:hAnsi="Times New Roman"/>
                <w:sz w:val="20"/>
                <w:szCs w:val="20"/>
                <w:lang w:eastAsia="fr-FR"/>
              </w:rPr>
            </w:pPr>
            <w:r w:rsidRPr="00420C1B">
              <w:rPr>
                <w:rFonts w:ascii="Times New Roman" w:hAnsi="Times New Roman"/>
                <w:sz w:val="20"/>
                <w:szCs w:val="20"/>
                <w:lang w:eastAsia="fr-FR"/>
              </w:rPr>
              <w:t>FF</w:t>
            </w:r>
          </w:p>
          <w:p w14:paraId="214A7E2E" w14:textId="77777777" w:rsidR="00244161" w:rsidRPr="00420C1B" w:rsidRDefault="00244161" w:rsidP="0062151B">
            <w:pPr>
              <w:widowControl w:val="0"/>
              <w:suppressAutoHyphens/>
              <w:spacing w:after="0" w:line="240" w:lineRule="auto"/>
              <w:jc w:val="both"/>
              <w:rPr>
                <w:rFonts w:ascii="Times New Roman" w:hAnsi="Times New Roman"/>
                <w:sz w:val="20"/>
                <w:szCs w:val="20"/>
              </w:rPr>
            </w:pPr>
            <w:r w:rsidRPr="00420C1B">
              <w:rPr>
                <w:rFonts w:ascii="Times New Roman" w:hAnsi="Times New Roman"/>
                <w:sz w:val="20"/>
                <w:szCs w:val="20"/>
              </w:rPr>
              <w:t>1 séance</w:t>
            </w:r>
          </w:p>
          <w:p w14:paraId="41D76DC6" w14:textId="77777777" w:rsidR="00244161" w:rsidRPr="00420C1B" w:rsidRDefault="00244161" w:rsidP="0062151B">
            <w:pPr>
              <w:spacing w:after="0" w:line="240" w:lineRule="auto"/>
              <w:rPr>
                <w:rFonts w:ascii="Times New Roman" w:hAnsi="Times New Roman"/>
                <w:sz w:val="20"/>
                <w:szCs w:val="20"/>
                <w:lang w:eastAsia="fr-FR"/>
              </w:rPr>
            </w:pPr>
            <w:r w:rsidRPr="00420C1B">
              <w:rPr>
                <w:rFonts w:ascii="Times New Roman" w:hAnsi="Times New Roman"/>
                <w:b/>
                <w:sz w:val="20"/>
                <w:szCs w:val="20"/>
                <w:lang w:eastAsia="fr-FR"/>
              </w:rPr>
              <w:t>5000</w:t>
            </w:r>
          </w:p>
          <w:p w14:paraId="009B0E37" w14:textId="77777777" w:rsidR="00244161" w:rsidRPr="00420C1B" w:rsidRDefault="00244161" w:rsidP="0062151B">
            <w:pPr>
              <w:spacing w:after="0" w:line="240" w:lineRule="auto"/>
              <w:rPr>
                <w:rFonts w:ascii="Times New Roman" w:hAnsi="Times New Roman"/>
                <w:sz w:val="20"/>
                <w:szCs w:val="20"/>
                <w:lang w:eastAsia="fr-FR"/>
              </w:rPr>
            </w:pPr>
          </w:p>
        </w:tc>
      </w:tr>
      <w:tr w:rsidR="00D75D2E" w:rsidRPr="00420C1B" w14:paraId="04579033" w14:textId="77777777" w:rsidTr="00E737B4">
        <w:trPr>
          <w:trHeight w:val="73"/>
          <w:jc w:val="center"/>
        </w:trPr>
        <w:tc>
          <w:tcPr>
            <w:tcW w:w="9024" w:type="dxa"/>
            <w:gridSpan w:val="3"/>
            <w:vAlign w:val="center"/>
          </w:tcPr>
          <w:p w14:paraId="7088BCB6" w14:textId="77777777" w:rsidR="00244161" w:rsidRPr="00420C1B" w:rsidRDefault="00244161" w:rsidP="0062151B">
            <w:pPr>
              <w:pStyle w:val="Sansinterligne"/>
              <w:rPr>
                <w:rFonts w:ascii="Times New Roman" w:hAnsi="Times New Roman"/>
                <w:b/>
                <w:sz w:val="20"/>
                <w:szCs w:val="20"/>
              </w:rPr>
            </w:pPr>
            <w:r w:rsidRPr="00420C1B">
              <w:rPr>
                <w:rFonts w:ascii="Times New Roman" w:hAnsi="Times New Roman"/>
                <w:b/>
                <w:sz w:val="20"/>
                <w:szCs w:val="20"/>
              </w:rPr>
              <w:t xml:space="preserve">Sous total 2 </w:t>
            </w:r>
          </w:p>
        </w:tc>
        <w:tc>
          <w:tcPr>
            <w:tcW w:w="1086" w:type="dxa"/>
            <w:vAlign w:val="center"/>
          </w:tcPr>
          <w:p w14:paraId="48BC8C1A" w14:textId="77777777" w:rsidR="00244161" w:rsidRPr="00420C1B" w:rsidRDefault="00244161" w:rsidP="0062151B">
            <w:pPr>
              <w:spacing w:after="0" w:line="240" w:lineRule="auto"/>
              <w:rPr>
                <w:rFonts w:ascii="Times New Roman" w:hAnsi="Times New Roman"/>
                <w:b/>
                <w:sz w:val="20"/>
                <w:szCs w:val="20"/>
                <w:lang w:eastAsia="fr-FR"/>
              </w:rPr>
            </w:pPr>
            <w:r w:rsidRPr="00420C1B">
              <w:rPr>
                <w:rFonts w:ascii="Times New Roman" w:hAnsi="Times New Roman"/>
                <w:b/>
                <w:sz w:val="20"/>
                <w:szCs w:val="20"/>
                <w:lang w:eastAsia="fr-FR"/>
              </w:rPr>
              <w:t>5.000</w:t>
            </w:r>
          </w:p>
        </w:tc>
      </w:tr>
      <w:tr w:rsidR="00506957" w:rsidRPr="00420C1B" w14:paraId="5E40EE04" w14:textId="77777777" w:rsidTr="00E737B4">
        <w:trPr>
          <w:trHeight w:val="406"/>
          <w:jc w:val="center"/>
        </w:trPr>
        <w:tc>
          <w:tcPr>
            <w:tcW w:w="9024" w:type="dxa"/>
            <w:gridSpan w:val="3"/>
            <w:vAlign w:val="center"/>
          </w:tcPr>
          <w:p w14:paraId="2E43A455" w14:textId="77777777" w:rsidR="00244161" w:rsidRPr="00420C1B" w:rsidRDefault="00244161" w:rsidP="0062151B">
            <w:pPr>
              <w:pStyle w:val="Sansinterligne"/>
              <w:rPr>
                <w:rFonts w:ascii="Times New Roman" w:hAnsi="Times New Roman"/>
                <w:b/>
                <w:i/>
                <w:sz w:val="20"/>
                <w:szCs w:val="20"/>
              </w:rPr>
            </w:pPr>
            <w:r w:rsidRPr="00420C1B">
              <w:rPr>
                <w:rFonts w:ascii="Times New Roman" w:hAnsi="Times New Roman"/>
                <w:b/>
                <w:i/>
                <w:sz w:val="20"/>
                <w:szCs w:val="20"/>
              </w:rPr>
              <w:t>TOTAL GENERAL</w:t>
            </w:r>
          </w:p>
        </w:tc>
        <w:tc>
          <w:tcPr>
            <w:tcW w:w="1086" w:type="dxa"/>
            <w:vAlign w:val="center"/>
          </w:tcPr>
          <w:p w14:paraId="7404265F" w14:textId="77777777" w:rsidR="00244161" w:rsidRPr="00420C1B" w:rsidRDefault="00244161" w:rsidP="0062151B">
            <w:pPr>
              <w:spacing w:after="0" w:line="240" w:lineRule="auto"/>
              <w:rPr>
                <w:rFonts w:ascii="Times New Roman" w:hAnsi="Times New Roman"/>
                <w:b/>
                <w:sz w:val="20"/>
                <w:szCs w:val="20"/>
                <w:lang w:eastAsia="fr-FR"/>
              </w:rPr>
            </w:pPr>
            <w:r w:rsidRPr="00420C1B">
              <w:rPr>
                <w:rFonts w:ascii="Times New Roman" w:hAnsi="Times New Roman"/>
                <w:b/>
                <w:noProof/>
                <w:sz w:val="20"/>
                <w:szCs w:val="20"/>
                <w:lang w:val="fr-CA"/>
              </w:rPr>
              <w:t>11.000</w:t>
            </w:r>
          </w:p>
        </w:tc>
      </w:tr>
    </w:tbl>
    <w:p w14:paraId="7BF7F1AE" w14:textId="162510B5" w:rsidR="00F16F4B" w:rsidRPr="00E737B4" w:rsidRDefault="00F16F4B" w:rsidP="00F16F4B">
      <w:pPr>
        <w:spacing w:after="0" w:line="240" w:lineRule="auto"/>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xml:space="preserve">: Mission d’élaboration de l’EIES DKC </w:t>
      </w:r>
      <w:r w:rsidR="003F72AC">
        <w:rPr>
          <w:rFonts w:ascii="Times New Roman" w:hAnsi="Times New Roman"/>
          <w:bCs/>
          <w:i/>
          <w:sz w:val="24"/>
        </w:rPr>
        <w:t xml:space="preserve">&amp; </w:t>
      </w:r>
      <w:r w:rsidRPr="00E737B4">
        <w:rPr>
          <w:rFonts w:ascii="Times New Roman" w:hAnsi="Times New Roman"/>
          <w:bCs/>
          <w:i/>
          <w:sz w:val="24"/>
        </w:rPr>
        <w:t>DKO</w:t>
      </w:r>
      <w:r w:rsidR="003F72AC">
        <w:rPr>
          <w:rFonts w:ascii="Times New Roman" w:hAnsi="Times New Roman"/>
          <w:bCs/>
          <w:i/>
          <w:sz w:val="24"/>
        </w:rPr>
        <w:t xml:space="preserve">, </w:t>
      </w:r>
      <w:r w:rsidRPr="00E737B4">
        <w:rPr>
          <w:rFonts w:ascii="Times New Roman" w:hAnsi="Times New Roman"/>
          <w:bCs/>
          <w:i/>
          <w:sz w:val="24"/>
        </w:rPr>
        <w:t>juillet 2021</w:t>
      </w:r>
    </w:p>
    <w:p w14:paraId="71FFA56E" w14:textId="77777777" w:rsidR="00EF34AF" w:rsidRPr="00024B30" w:rsidRDefault="00EF34AF" w:rsidP="00EF34AF">
      <w:pPr>
        <w:spacing w:after="0" w:line="240" w:lineRule="auto"/>
        <w:rPr>
          <w:rFonts w:ascii="Times New Roman" w:hAnsi="Times New Roman"/>
          <w:bCs/>
          <w:i/>
        </w:rPr>
      </w:pPr>
    </w:p>
    <w:p w14:paraId="0ED1C475" w14:textId="77777777" w:rsidR="0083630B" w:rsidRDefault="00EE0B4E" w:rsidP="005B3314">
      <w:pPr>
        <w:suppressAutoHyphens/>
        <w:spacing w:before="120" w:after="120" w:line="240" w:lineRule="auto"/>
        <w:ind w:left="284"/>
        <w:rPr>
          <w:rFonts w:ascii="Times New Roman" w:eastAsia="Times New Roman" w:hAnsi="Times New Roman"/>
          <w:b/>
          <w:sz w:val="24"/>
          <w:szCs w:val="24"/>
        </w:rPr>
      </w:pPr>
      <w:bookmarkStart w:id="1023" w:name="_Hlk82348213"/>
      <w:r w:rsidRPr="00113AB0">
        <w:rPr>
          <w:rFonts w:ascii="Times New Roman" w:eastAsia="Times New Roman" w:hAnsi="Times New Roman"/>
          <w:b/>
          <w:sz w:val="24"/>
          <w:szCs w:val="24"/>
        </w:rPr>
        <w:t xml:space="preserve">Mesures et actions clés du Plan d’engagement environnemental et social </w:t>
      </w:r>
      <w:bookmarkEnd w:id="1023"/>
    </w:p>
    <w:p w14:paraId="32138A8C" w14:textId="40A07237" w:rsidR="005B3314" w:rsidRPr="00D75D2E" w:rsidRDefault="005B3314" w:rsidP="005B3314">
      <w:pPr>
        <w:suppressAutoHyphens/>
        <w:spacing w:before="120" w:after="120" w:line="240" w:lineRule="auto"/>
        <w:ind w:left="284"/>
        <w:rPr>
          <w:rFonts w:ascii="Times New Roman" w:hAnsi="Times New Roman"/>
          <w:bCs/>
          <w:iCs/>
          <w:sz w:val="24"/>
          <w:szCs w:val="24"/>
          <w:lang w:val="fr-CA"/>
        </w:rPr>
      </w:pPr>
      <w:r w:rsidRPr="00D75D2E">
        <w:rPr>
          <w:rFonts w:ascii="Times New Roman" w:hAnsi="Times New Roman"/>
          <w:bCs/>
          <w:iCs/>
          <w:sz w:val="24"/>
          <w:szCs w:val="24"/>
          <w:lang w:val="fr-CA"/>
        </w:rPr>
        <w:t xml:space="preserve">Il sera intégré </w:t>
      </w:r>
      <w:r w:rsidRPr="00E737B4">
        <w:rPr>
          <w:rFonts w:ascii="Times New Roman" w:eastAsia="Arial Unicode MS" w:hAnsi="Times New Roman"/>
          <w:sz w:val="24"/>
          <w:szCs w:val="24"/>
          <w:lang w:val="fr-CA" w:eastAsia="fr-FR"/>
        </w:rPr>
        <w:t>dans</w:t>
      </w:r>
      <w:r w:rsidRPr="00D75D2E">
        <w:rPr>
          <w:rFonts w:ascii="Times New Roman" w:hAnsi="Times New Roman"/>
          <w:bCs/>
          <w:iCs/>
          <w:sz w:val="24"/>
          <w:szCs w:val="24"/>
          <w:lang w:val="fr-CA"/>
        </w:rPr>
        <w:t xml:space="preserve"> le PEES</w:t>
      </w:r>
      <w:r w:rsidR="00EE4D50">
        <w:rPr>
          <w:rFonts w:ascii="Times New Roman" w:hAnsi="Times New Roman"/>
          <w:bCs/>
          <w:iCs/>
          <w:sz w:val="24"/>
          <w:szCs w:val="24"/>
          <w:lang w:val="fr-CA"/>
        </w:rPr>
        <w:t xml:space="preserve"> les éléments </w:t>
      </w:r>
      <w:r w:rsidR="0083630B">
        <w:rPr>
          <w:rFonts w:ascii="Times New Roman" w:hAnsi="Times New Roman"/>
          <w:bCs/>
          <w:iCs/>
          <w:sz w:val="24"/>
          <w:szCs w:val="24"/>
          <w:lang w:val="fr-CA"/>
        </w:rPr>
        <w:t>ci-après</w:t>
      </w:r>
      <w:r w:rsidR="00EE4D50">
        <w:rPr>
          <w:rFonts w:ascii="Times New Roman" w:hAnsi="Times New Roman"/>
          <w:bCs/>
          <w:iCs/>
          <w:sz w:val="24"/>
          <w:szCs w:val="24"/>
          <w:lang w:val="fr-CA"/>
        </w:rPr>
        <w:t xml:space="preserve"> </w:t>
      </w:r>
      <w:r w:rsidRPr="00D75D2E">
        <w:rPr>
          <w:rFonts w:ascii="Times New Roman" w:hAnsi="Times New Roman"/>
          <w:bCs/>
          <w:iCs/>
          <w:sz w:val="24"/>
          <w:szCs w:val="24"/>
          <w:lang w:val="fr-CA"/>
        </w:rPr>
        <w:t>:</w:t>
      </w:r>
    </w:p>
    <w:p w14:paraId="643A69FF" w14:textId="77777777" w:rsidR="00EE4D50" w:rsidRPr="00AE31F1" w:rsidRDefault="00EE4D50" w:rsidP="00AE31F1">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sidRPr="00AE31F1">
        <w:rPr>
          <w:rFonts w:ascii="Times New Roman" w:hAnsi="Times New Roman"/>
          <w:sz w:val="24"/>
          <w:szCs w:val="24"/>
        </w:rPr>
        <w:t>Les entreprises et la mission de contrôle devront développer un mécanisme de feedback communautaires adaptés aux plaintes d’EAS/HS.</w:t>
      </w:r>
    </w:p>
    <w:p w14:paraId="300152B3" w14:textId="77777777" w:rsidR="00EE4D5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 xml:space="preserve">Le projet a l’obligation de  recruter un spécialiste  ESHS de l’UCP, </w:t>
      </w:r>
    </w:p>
    <w:p w14:paraId="3DCE688E" w14:textId="77777777" w:rsidR="00EE4D5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Le projet a l’obligation de préparer des rapports de suivi des aspects environnementaux et sociaux du sous projet  par trimestre et par an et transmis à la Banque ;</w:t>
      </w:r>
    </w:p>
    <w:p w14:paraId="328DED06" w14:textId="48E26BF2" w:rsidR="00EE4D5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 xml:space="preserve">Le projet </w:t>
      </w:r>
      <w:r w:rsidR="0083630B">
        <w:rPr>
          <w:rFonts w:ascii="Times New Roman" w:hAnsi="Times New Roman"/>
          <w:sz w:val="24"/>
          <w:szCs w:val="24"/>
        </w:rPr>
        <w:t>v</w:t>
      </w:r>
      <w:r>
        <w:rPr>
          <w:rFonts w:ascii="Times New Roman" w:hAnsi="Times New Roman"/>
          <w:sz w:val="24"/>
          <w:szCs w:val="24"/>
        </w:rPr>
        <w:t>a faire un état de mobilisation des parties prenantes et la mise en œuvre du Mécanisme de Gestion des Plaintes (MGP) à transmettre à la Banque,</w:t>
      </w:r>
    </w:p>
    <w:p w14:paraId="09CAC611" w14:textId="7C8D5B5F" w:rsidR="00EE4D5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 xml:space="preserve">Le projet a </w:t>
      </w:r>
      <w:r w:rsidR="0083630B">
        <w:rPr>
          <w:rFonts w:ascii="Times New Roman" w:hAnsi="Times New Roman"/>
          <w:sz w:val="24"/>
          <w:szCs w:val="24"/>
        </w:rPr>
        <w:t>l’obligation de</w:t>
      </w:r>
      <w:r>
        <w:rPr>
          <w:rFonts w:ascii="Times New Roman" w:hAnsi="Times New Roman"/>
          <w:sz w:val="24"/>
          <w:szCs w:val="24"/>
        </w:rPr>
        <w:t xml:space="preserve"> préparer les actions et mesures sur les accidents/incidents de travail (notification de la BM dans les 48 heures pour les cas graves et les incidents environnementaux graves, l’analyse des causes profondes des accidents de travail et des actions correctives « </w:t>
      </w:r>
      <w:r>
        <w:rPr>
          <w:rFonts w:ascii="Times New Roman" w:hAnsi="Times New Roman"/>
          <w:i/>
          <w:sz w:val="24"/>
          <w:szCs w:val="24"/>
        </w:rPr>
        <w:t>root cause analysis</w:t>
      </w:r>
      <w:r>
        <w:rPr>
          <w:rFonts w:ascii="Times New Roman" w:hAnsi="Times New Roman"/>
          <w:sz w:val="24"/>
          <w:szCs w:val="24"/>
        </w:rPr>
        <w:t> </w:t>
      </w:r>
      <w:r w:rsidR="0083630B">
        <w:rPr>
          <w:rFonts w:ascii="Times New Roman" w:hAnsi="Times New Roman"/>
          <w:sz w:val="24"/>
          <w:szCs w:val="24"/>
        </w:rPr>
        <w:t>»)</w:t>
      </w:r>
      <w:r>
        <w:rPr>
          <w:rFonts w:ascii="Times New Roman" w:hAnsi="Times New Roman"/>
          <w:sz w:val="24"/>
          <w:szCs w:val="24"/>
        </w:rPr>
        <w:t>,</w:t>
      </w:r>
    </w:p>
    <w:p w14:paraId="431D2735" w14:textId="77777777" w:rsidR="00EE4D5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 xml:space="preserve">la nécessité pour la coordination du projet  de préparer une Procédure de Gestion des entrepreneurs et des sous-traitants, </w:t>
      </w:r>
    </w:p>
    <w:p w14:paraId="5075FC76" w14:textId="77777777" w:rsidR="00EE4D50" w:rsidRPr="006B5600" w:rsidRDefault="00EE4D50" w:rsidP="00EE4D50">
      <w:pPr>
        <w:pStyle w:val="Paragraphedeliste"/>
        <w:numPr>
          <w:ilvl w:val="0"/>
          <w:numId w:val="221"/>
        </w:numPr>
        <w:suppressAutoHyphens/>
        <w:spacing w:before="40" w:after="40" w:line="240" w:lineRule="auto"/>
        <w:ind w:left="709" w:hanging="651"/>
        <w:contextualSpacing w:val="0"/>
        <w:jc w:val="both"/>
        <w:rPr>
          <w:rFonts w:ascii="Times New Roman" w:hAnsi="Times New Roman"/>
          <w:sz w:val="24"/>
          <w:szCs w:val="24"/>
        </w:rPr>
      </w:pPr>
      <w:r>
        <w:rPr>
          <w:rFonts w:ascii="Times New Roman" w:hAnsi="Times New Roman"/>
          <w:sz w:val="24"/>
          <w:szCs w:val="24"/>
        </w:rPr>
        <w:t xml:space="preserve">Le projet a </w:t>
      </w:r>
      <w:r w:rsidRPr="006B5600">
        <w:rPr>
          <w:rFonts w:ascii="Times New Roman" w:hAnsi="Times New Roman"/>
          <w:sz w:val="24"/>
          <w:szCs w:val="24"/>
        </w:rPr>
        <w:t>l</w:t>
      </w:r>
      <w:r>
        <w:rPr>
          <w:rFonts w:ascii="Times New Roman" w:hAnsi="Times New Roman"/>
          <w:sz w:val="24"/>
          <w:szCs w:val="24"/>
        </w:rPr>
        <w:t xml:space="preserve">’obligation </w:t>
      </w:r>
      <w:r w:rsidRPr="006B5600">
        <w:rPr>
          <w:rFonts w:ascii="Times New Roman" w:hAnsi="Times New Roman"/>
          <w:sz w:val="24"/>
          <w:szCs w:val="24"/>
        </w:rPr>
        <w:t xml:space="preserve"> d’intégrer dans les contrats des entreprises l’obligation pour ces entrepreneures et sous-traitants de préparer et de mettre en œuvre le PGES chantier, le Plan d’Assurance Environnement (PAE), le Plan Particulier de Gestion et</w:t>
      </w:r>
      <w:r w:rsidRPr="006B5600">
        <w:rPr>
          <w:rFonts w:ascii="Times New Roman" w:hAnsi="Times New Roman"/>
          <w:bCs/>
          <w:iCs/>
          <w:sz w:val="24"/>
          <w:szCs w:val="24"/>
        </w:rPr>
        <w:t xml:space="preserve"> d’Elimination des Déchets (PPGED), le Plan Particulier de Sécurité et de Protection de la Santé (PPSPS)</w:t>
      </w:r>
      <w:r w:rsidRPr="006B5600">
        <w:rPr>
          <w:rFonts w:ascii="Times New Roman" w:hAnsi="Times New Roman"/>
          <w:bCs/>
          <w:iCs/>
          <w:sz w:val="24"/>
          <w:szCs w:val="24"/>
          <w:lang w:val="fr-CA"/>
        </w:rPr>
        <w:t>, le Mécanisme de Gestion des Plaintes de l’Employeur (MGPE)</w:t>
      </w:r>
      <w:r w:rsidRPr="006B5600">
        <w:rPr>
          <w:rFonts w:ascii="Times New Roman" w:hAnsi="Times New Roman"/>
          <w:sz w:val="24"/>
          <w:szCs w:val="24"/>
        </w:rPr>
        <w:t xml:space="preserve">, </w:t>
      </w:r>
    </w:p>
    <w:p w14:paraId="59631D66" w14:textId="77777777" w:rsidR="00EE4D50" w:rsidRDefault="00EE4D50" w:rsidP="00EE4D50">
      <w:pPr>
        <w:numPr>
          <w:ilvl w:val="0"/>
          <w:numId w:val="221"/>
        </w:numPr>
        <w:suppressAutoHyphens/>
        <w:spacing w:after="120" w:line="240" w:lineRule="auto"/>
        <w:contextualSpacing/>
        <w:jc w:val="both"/>
        <w:rPr>
          <w:rFonts w:ascii="Times New Roman" w:hAnsi="Times New Roman"/>
          <w:iCs/>
          <w:sz w:val="24"/>
          <w:szCs w:val="24"/>
        </w:rPr>
      </w:pPr>
      <w:r>
        <w:rPr>
          <w:rFonts w:ascii="Times New Roman" w:hAnsi="Times New Roman"/>
          <w:iCs/>
          <w:sz w:val="24"/>
          <w:szCs w:val="24"/>
        </w:rPr>
        <w:t>Un état de lieu des sites d’emprunt des matériaux et des bases vies  sera établi  par l’entreprise  avant le démarrage des travaux et les non-conformités environnementales et sociales comblées en mettant en œuvre un PGES ou une EIES simplifiée ou éventuellement un PAR  pour les sites d’emprunt et les bases vie avec une procédure réhabilitation des sites d’emprunt des bases vie ;</w:t>
      </w:r>
    </w:p>
    <w:p w14:paraId="4A6BA66C" w14:textId="77777777" w:rsidR="00EE4D50" w:rsidRDefault="00EE4D50" w:rsidP="00EE4D50">
      <w:pPr>
        <w:numPr>
          <w:ilvl w:val="0"/>
          <w:numId w:val="221"/>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d’un  plan de gestion de la main d’œuvre (PGMO) en s’inspirant au PGMO du projet ;</w:t>
      </w:r>
    </w:p>
    <w:p w14:paraId="1EDC6B4E" w14:textId="77777777" w:rsidR="00EE4D50" w:rsidRDefault="00EE4D50" w:rsidP="00EE4D50">
      <w:pPr>
        <w:numPr>
          <w:ilvl w:val="0"/>
          <w:numId w:val="221"/>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un plan d’IEC (Information – Education – Communication) sur le travail des enfants et les EAS/HS ;</w:t>
      </w:r>
    </w:p>
    <w:p w14:paraId="090D62A9" w14:textId="77777777" w:rsidR="00EE4D50" w:rsidRPr="00D75D2E" w:rsidRDefault="00EE4D50" w:rsidP="00EE4D50">
      <w:pPr>
        <w:numPr>
          <w:ilvl w:val="0"/>
          <w:numId w:val="221"/>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va élaborer et mettre en œuvre un Plan de Gestion du Trafic ou de Sécurité Routière.</w:t>
      </w:r>
    </w:p>
    <w:p w14:paraId="194929C6" w14:textId="77777777" w:rsidR="008D17B0" w:rsidRPr="00215867" w:rsidRDefault="00E06E75" w:rsidP="00215867">
      <w:pPr>
        <w:numPr>
          <w:ilvl w:val="0"/>
          <w:numId w:val="221"/>
        </w:numPr>
        <w:suppressAutoHyphens/>
        <w:spacing w:after="120" w:line="276" w:lineRule="auto"/>
        <w:ind w:left="1077"/>
        <w:jc w:val="both"/>
        <w:rPr>
          <w:rFonts w:ascii="Times New Roman" w:eastAsia="Times New Roman" w:hAnsi="Times New Roman"/>
          <w:b/>
          <w:sz w:val="24"/>
          <w:szCs w:val="24"/>
        </w:rPr>
      </w:pPr>
      <w:r w:rsidRPr="00215867">
        <w:rPr>
          <w:rFonts w:ascii="Times New Roman" w:hAnsi="Times New Roman"/>
          <w:sz w:val="24"/>
          <w:szCs w:val="24"/>
        </w:rPr>
        <w:t xml:space="preserve">la nécessité pour la </w:t>
      </w:r>
      <w:r w:rsidR="006B5600" w:rsidRPr="00215867">
        <w:rPr>
          <w:rFonts w:ascii="Times New Roman" w:hAnsi="Times New Roman"/>
          <w:sz w:val="24"/>
          <w:szCs w:val="24"/>
        </w:rPr>
        <w:t xml:space="preserve">Coordination </w:t>
      </w:r>
      <w:r w:rsidRPr="00215867">
        <w:rPr>
          <w:rFonts w:ascii="Times New Roman" w:hAnsi="Times New Roman"/>
          <w:sz w:val="24"/>
          <w:szCs w:val="24"/>
        </w:rPr>
        <w:t xml:space="preserve"> mettre en œuvre un plan d'action </w:t>
      </w:r>
      <w:r w:rsidR="00E46106" w:rsidRPr="00215867">
        <w:rPr>
          <w:rFonts w:ascii="Times New Roman" w:hAnsi="Times New Roman"/>
          <w:sz w:val="24"/>
          <w:szCs w:val="24"/>
        </w:rPr>
        <w:t xml:space="preserve">de prévention, atténuation et réponse </w:t>
      </w:r>
      <w:r w:rsidRPr="00215867">
        <w:rPr>
          <w:rFonts w:ascii="Times New Roman" w:hAnsi="Times New Roman"/>
          <w:sz w:val="24"/>
          <w:szCs w:val="24"/>
        </w:rPr>
        <w:t xml:space="preserve">contre </w:t>
      </w:r>
      <w:r w:rsidR="00E46106" w:rsidRPr="00215867">
        <w:rPr>
          <w:rFonts w:ascii="Times New Roman" w:hAnsi="Times New Roman"/>
          <w:sz w:val="24"/>
          <w:szCs w:val="24"/>
        </w:rPr>
        <w:t>l’EAS/HS</w:t>
      </w:r>
      <w:r w:rsidRPr="00215867">
        <w:rPr>
          <w:rFonts w:ascii="Times New Roman" w:hAnsi="Times New Roman"/>
          <w:sz w:val="24"/>
          <w:szCs w:val="24"/>
        </w:rPr>
        <w:t xml:space="preserve">, pour évaluer et gérer les risques </w:t>
      </w:r>
      <w:r w:rsidR="00E46106" w:rsidRPr="00215867">
        <w:rPr>
          <w:rFonts w:ascii="Times New Roman" w:hAnsi="Times New Roman"/>
          <w:sz w:val="24"/>
          <w:szCs w:val="24"/>
        </w:rPr>
        <w:t xml:space="preserve">d’EAS/HS </w:t>
      </w:r>
    </w:p>
    <w:p w14:paraId="1F0EDD03" w14:textId="26D441EF" w:rsidR="008727A1" w:rsidRPr="00215867" w:rsidRDefault="008727A1" w:rsidP="00215867">
      <w:pPr>
        <w:pStyle w:val="Titre1"/>
        <w:numPr>
          <w:ilvl w:val="1"/>
          <w:numId w:val="54"/>
        </w:numPr>
        <w:spacing w:before="120" w:after="120" w:line="23" w:lineRule="atLeast"/>
        <w:ind w:left="709" w:hanging="567"/>
        <w:rPr>
          <w:b w:val="0"/>
        </w:rPr>
      </w:pPr>
      <w:bookmarkStart w:id="1024" w:name="_Toc103685759"/>
      <w:r w:rsidRPr="007E5A67">
        <w:t>Synthèse des Responsabilités pour la mise en œuvre et de suivi du PGES</w:t>
      </w:r>
      <w:bookmarkEnd w:id="1024"/>
    </w:p>
    <w:p w14:paraId="18418CCA" w14:textId="77777777" w:rsidR="008727A1" w:rsidRPr="00D75D2E" w:rsidRDefault="008727A1" w:rsidP="00E737B4">
      <w:pPr>
        <w:spacing w:before="120" w:after="120" w:line="20" w:lineRule="atLeast"/>
        <w:rPr>
          <w:rFonts w:ascii="Times New Roman" w:hAnsi="Times New Roman"/>
          <w:sz w:val="24"/>
          <w:szCs w:val="24"/>
        </w:rPr>
      </w:pPr>
      <w:r w:rsidRPr="00D75D2E">
        <w:rPr>
          <w:rFonts w:ascii="Times New Roman" w:hAnsi="Times New Roman"/>
          <w:sz w:val="24"/>
          <w:szCs w:val="24"/>
        </w:rPr>
        <w:t>Dans le cadre de la mise en œuvre et du suivi du PGES, les arrangements suivants sont proposés :</w:t>
      </w:r>
    </w:p>
    <w:p w14:paraId="42078415" w14:textId="77777777" w:rsidR="008727A1" w:rsidRPr="00D75D2E" w:rsidRDefault="008727A1" w:rsidP="008C79F0">
      <w:pPr>
        <w:numPr>
          <w:ilvl w:val="0"/>
          <w:numId w:val="27"/>
        </w:numPr>
        <w:spacing w:before="120" w:after="120" w:line="20" w:lineRule="atLeast"/>
        <w:ind w:left="708"/>
        <w:jc w:val="both"/>
        <w:rPr>
          <w:rFonts w:ascii="Times New Roman" w:hAnsi="Times New Roman"/>
          <w:b/>
          <w:i/>
          <w:sz w:val="24"/>
          <w:szCs w:val="24"/>
        </w:rPr>
      </w:pPr>
      <w:r w:rsidRPr="00D75D2E">
        <w:rPr>
          <w:rFonts w:ascii="Times New Roman" w:hAnsi="Times New Roman"/>
          <w:b/>
          <w:i/>
          <w:sz w:val="24"/>
          <w:szCs w:val="24"/>
        </w:rPr>
        <w:t xml:space="preserve">Le Ministère des Ressources Hydrauliques et de l’Electricité </w:t>
      </w:r>
    </w:p>
    <w:p w14:paraId="3562E083" w14:textId="77777777" w:rsidR="008727A1" w:rsidRPr="00D75D2E" w:rsidRDefault="008727A1" w:rsidP="00E737B4">
      <w:pPr>
        <w:shd w:val="clear" w:color="auto" w:fill="FFFFFF"/>
        <w:tabs>
          <w:tab w:val="left" w:pos="0"/>
          <w:tab w:val="left" w:pos="567"/>
        </w:tabs>
        <w:spacing w:before="120" w:after="120" w:line="20" w:lineRule="atLeast"/>
        <w:jc w:val="both"/>
        <w:rPr>
          <w:rFonts w:ascii="Times New Roman" w:hAnsi="Times New Roman"/>
          <w:sz w:val="24"/>
          <w:szCs w:val="24"/>
        </w:rPr>
      </w:pPr>
      <w:r w:rsidRPr="00D75D2E">
        <w:rPr>
          <w:rFonts w:ascii="Times New Roman" w:hAnsi="Times New Roman"/>
          <w:sz w:val="24"/>
          <w:szCs w:val="24"/>
        </w:rPr>
        <w:t>La mise en œuvre du projet est coordonnée par le Ministère</w:t>
      </w:r>
      <w:r w:rsidRPr="00D75D2E">
        <w:rPr>
          <w:rFonts w:ascii="Times New Roman" w:hAnsi="Times New Roman"/>
          <w:spacing w:val="4"/>
          <w:sz w:val="24"/>
          <w:szCs w:val="24"/>
        </w:rPr>
        <w:t xml:space="preserve"> des Ressources Hydrauliques et de l’électricité à travers l’</w:t>
      </w:r>
      <w:r w:rsidRPr="00D75D2E">
        <w:rPr>
          <w:rFonts w:ascii="Times New Roman" w:hAnsi="Times New Roman"/>
          <w:bCs/>
          <w:spacing w:val="-4"/>
          <w:sz w:val="24"/>
          <w:szCs w:val="24"/>
        </w:rPr>
        <w:t>Unit</w:t>
      </w:r>
      <w:r w:rsidRPr="00D75D2E">
        <w:rPr>
          <w:rFonts w:ascii="Times New Roman" w:eastAsia="Times New Roman" w:hAnsi="Times New Roman"/>
          <w:bCs/>
          <w:spacing w:val="-4"/>
          <w:sz w:val="24"/>
          <w:szCs w:val="24"/>
        </w:rPr>
        <w:t>é de Coordination et de Management des projets du Ministère</w:t>
      </w:r>
      <w:r w:rsidRPr="00D75D2E">
        <w:rPr>
          <w:rFonts w:ascii="Times New Roman" w:hAnsi="Times New Roman"/>
          <w:bCs/>
          <w:spacing w:val="-10"/>
          <w:sz w:val="24"/>
          <w:szCs w:val="24"/>
        </w:rPr>
        <w:t xml:space="preserve"> (UCM). </w:t>
      </w:r>
      <w:r w:rsidRPr="00D75D2E">
        <w:rPr>
          <w:rFonts w:ascii="Times New Roman" w:hAnsi="Times New Roman"/>
          <w:sz w:val="24"/>
          <w:szCs w:val="24"/>
        </w:rPr>
        <w:t>Dans la préparation du PGES, son rôle est d’informer les parties prenantes ; organiser le séminaire de restitution et de validation du PGES ; consulter la société civile pendant la mise en œuvre du PGES ; assurer la mise en œuvre de certaines mesures complémentaires à exécuter pour corriger des problèmes environnementaux et sociaux qui concernent l’espace couvert par la zone d’influence du projet.</w:t>
      </w:r>
    </w:p>
    <w:p w14:paraId="2D4BD4FD"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La U</w:t>
      </w:r>
      <w:r w:rsidR="0073226F">
        <w:rPr>
          <w:rFonts w:ascii="Times New Roman" w:hAnsi="Times New Roman"/>
          <w:sz w:val="24"/>
          <w:szCs w:val="24"/>
        </w:rPr>
        <w:t>G</w:t>
      </w:r>
      <w:r w:rsidRPr="00D75D2E">
        <w:rPr>
          <w:rFonts w:ascii="Times New Roman" w:hAnsi="Times New Roman"/>
          <w:sz w:val="24"/>
          <w:szCs w:val="24"/>
        </w:rPr>
        <w:t xml:space="preserve">ES/UCM et l’Unité de Gestion Environnementale et Sociale de la SNEL vont assurer la supervision environnementale et sociale des travaux. Compte tenu des enjeux environnementaux, sociaux et fonciers du projet, </w:t>
      </w:r>
      <w:bookmarkStart w:id="1025" w:name="_Hlk519022707"/>
      <w:r w:rsidRPr="00D75D2E">
        <w:rPr>
          <w:rFonts w:ascii="Times New Roman" w:hAnsi="Times New Roman"/>
          <w:sz w:val="24"/>
          <w:szCs w:val="24"/>
        </w:rPr>
        <w:t xml:space="preserve">ces deux organes et </w:t>
      </w:r>
      <w:bookmarkEnd w:id="1025"/>
      <w:r w:rsidRPr="00D75D2E">
        <w:rPr>
          <w:rFonts w:ascii="Times New Roman" w:hAnsi="Times New Roman"/>
          <w:sz w:val="24"/>
          <w:szCs w:val="24"/>
        </w:rPr>
        <w:t>la Mission de Contrôle (MdC) vont veiller à l’effectivité de la prise en compte de ces aspects par les entreprises lors des travaux. Dans ce cadre, des rapports sur la gestion environnementale et sociale des travaux devront être produits tous les mois et transmis à l’U</w:t>
      </w:r>
      <w:r w:rsidR="00853DCC">
        <w:rPr>
          <w:rFonts w:ascii="Times New Roman" w:hAnsi="Times New Roman"/>
          <w:sz w:val="24"/>
          <w:szCs w:val="24"/>
        </w:rPr>
        <w:t>G</w:t>
      </w:r>
      <w:r w:rsidRPr="00D75D2E">
        <w:rPr>
          <w:rFonts w:ascii="Times New Roman" w:hAnsi="Times New Roman"/>
          <w:sz w:val="24"/>
          <w:szCs w:val="24"/>
        </w:rPr>
        <w:t>ES-UCM afin de permettre de suivre l’évolution de la gestion environnementale du chantier.</w:t>
      </w:r>
    </w:p>
    <w:p w14:paraId="38CE79A5" w14:textId="77777777" w:rsidR="008727A1" w:rsidRPr="00D75D2E" w:rsidRDefault="008727A1" w:rsidP="008C79F0">
      <w:pPr>
        <w:numPr>
          <w:ilvl w:val="0"/>
          <w:numId w:val="27"/>
        </w:numPr>
        <w:spacing w:before="120" w:after="120" w:line="20" w:lineRule="atLeast"/>
        <w:ind w:left="708"/>
        <w:jc w:val="both"/>
        <w:rPr>
          <w:rFonts w:ascii="Times New Roman" w:hAnsi="Times New Roman"/>
          <w:b/>
          <w:i/>
          <w:sz w:val="24"/>
          <w:szCs w:val="24"/>
        </w:rPr>
      </w:pPr>
      <w:r w:rsidRPr="00D75D2E">
        <w:rPr>
          <w:rFonts w:ascii="Times New Roman" w:hAnsi="Times New Roman"/>
          <w:b/>
          <w:i/>
          <w:sz w:val="24"/>
          <w:szCs w:val="24"/>
        </w:rPr>
        <w:t>Rôles et responsabilités de la mise en œuvre, du suivi du PGES</w:t>
      </w:r>
    </w:p>
    <w:p w14:paraId="641D834F"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Plusieurs acteurs interviennent dans la mise en œuvre et le suivi du PGES. Il s’agit entre autres : </w:t>
      </w:r>
    </w:p>
    <w:p w14:paraId="422467E3" w14:textId="77777777" w:rsidR="008727A1" w:rsidRPr="00D75D2E" w:rsidRDefault="008727A1" w:rsidP="008C79F0">
      <w:pPr>
        <w:pStyle w:val="Paragraphedeliste"/>
        <w:numPr>
          <w:ilvl w:val="0"/>
          <w:numId w:val="44"/>
        </w:numPr>
        <w:spacing w:before="120" w:after="120" w:line="20" w:lineRule="atLeast"/>
        <w:contextualSpacing w:val="0"/>
        <w:jc w:val="both"/>
        <w:rPr>
          <w:rFonts w:ascii="Times New Roman" w:hAnsi="Times New Roman"/>
          <w:sz w:val="24"/>
          <w:szCs w:val="24"/>
        </w:rPr>
      </w:pPr>
      <w:r w:rsidRPr="00D75D2E">
        <w:rPr>
          <w:rFonts w:ascii="Times New Roman" w:hAnsi="Times New Roman"/>
          <w:sz w:val="24"/>
          <w:szCs w:val="24"/>
        </w:rPr>
        <w:t>La Sous Cellule environnementale et sociale de l’UCM,</w:t>
      </w:r>
    </w:p>
    <w:p w14:paraId="09B248B5"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Dans la préparation du PGES, son rôle est de: informer les parties prenantes ; organiser le séminaire de restitution et de validation du PGES ; consulter la société civile pendant la mise en œuvre du PGES ; suivre la mise en œuvre du PGES par l’intermédiaire d’une mission de contrôle; assurer la mise en œuvre de certaines mesures complémentaires à exécuter pour corriger des problèmes environnementaux et sociaux ; assurer la mise en œuvre des mesures environnementales et sociales du projet ; assurer la supervision environnementale et sociale des travaux. </w:t>
      </w:r>
    </w:p>
    <w:p w14:paraId="179C080C" w14:textId="77777777" w:rsidR="008727A1" w:rsidRPr="00D75D2E" w:rsidRDefault="008727A1" w:rsidP="008C79F0">
      <w:pPr>
        <w:pStyle w:val="Paragraphedeliste"/>
        <w:numPr>
          <w:ilvl w:val="0"/>
          <w:numId w:val="44"/>
        </w:numPr>
        <w:spacing w:before="120" w:after="120" w:line="20" w:lineRule="atLeast"/>
        <w:contextualSpacing w:val="0"/>
        <w:jc w:val="both"/>
        <w:rPr>
          <w:rFonts w:ascii="Times New Roman" w:hAnsi="Times New Roman"/>
          <w:b/>
          <w:i/>
          <w:sz w:val="24"/>
          <w:szCs w:val="24"/>
        </w:rPr>
      </w:pPr>
      <w:r w:rsidRPr="00D75D2E">
        <w:rPr>
          <w:rFonts w:ascii="Times New Roman" w:hAnsi="Times New Roman"/>
          <w:b/>
          <w:i/>
          <w:sz w:val="24"/>
          <w:szCs w:val="24"/>
        </w:rPr>
        <w:t>Le Ministère de l’Environnement et Développement Durable (MEDD)</w:t>
      </w:r>
    </w:p>
    <w:p w14:paraId="57ED61FD"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Le MEDD intervient essentiellement par l’intermédiaire de l’ACE et de la DCVI, notamment en ce qui concerne la validation des EIES et le suivi-contrôle environnemental et social.</w:t>
      </w:r>
    </w:p>
    <w:p w14:paraId="48D51880" w14:textId="77777777" w:rsidR="008727A1" w:rsidRPr="00D75D2E" w:rsidRDefault="008727A1" w:rsidP="008C79F0">
      <w:pPr>
        <w:pStyle w:val="Paragraphedeliste"/>
        <w:numPr>
          <w:ilvl w:val="0"/>
          <w:numId w:val="44"/>
        </w:numPr>
        <w:spacing w:before="120" w:after="120" w:line="20" w:lineRule="atLeast"/>
        <w:contextualSpacing w:val="0"/>
        <w:jc w:val="both"/>
        <w:rPr>
          <w:rFonts w:ascii="Times New Roman" w:hAnsi="Times New Roman"/>
          <w:sz w:val="24"/>
          <w:szCs w:val="24"/>
        </w:rPr>
      </w:pPr>
      <w:r w:rsidRPr="00D75D2E">
        <w:rPr>
          <w:rFonts w:ascii="Times New Roman" w:hAnsi="Times New Roman"/>
          <w:b/>
          <w:i/>
          <w:sz w:val="24"/>
          <w:szCs w:val="24"/>
        </w:rPr>
        <w:t xml:space="preserve">L’ACE et le CPE de la Province Kinshasa </w:t>
      </w:r>
    </w:p>
    <w:p w14:paraId="3219CE6D"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Ils ont pour rôle la validation de l’EIES par l’ACE pour le compte du MEDD. L’ACE assure le suivi-contrôle de la mise en œuvre des mesures environnementales et sociales du projet. Au niveau provincial et local, ce suivi-contrôle sera assuré par la CPE de Kinshasa. </w:t>
      </w:r>
    </w:p>
    <w:p w14:paraId="231102F7" w14:textId="77777777" w:rsidR="008727A1" w:rsidRPr="00D75D2E" w:rsidRDefault="008727A1" w:rsidP="008C79F0">
      <w:pPr>
        <w:pStyle w:val="Paragraphedeliste"/>
        <w:numPr>
          <w:ilvl w:val="0"/>
          <w:numId w:val="44"/>
        </w:numPr>
        <w:spacing w:before="120" w:after="120" w:line="20" w:lineRule="atLeast"/>
        <w:contextualSpacing w:val="0"/>
        <w:jc w:val="both"/>
        <w:rPr>
          <w:rFonts w:ascii="Times New Roman" w:hAnsi="Times New Roman"/>
          <w:b/>
          <w:i/>
          <w:sz w:val="24"/>
          <w:szCs w:val="24"/>
        </w:rPr>
      </w:pPr>
      <w:r w:rsidRPr="00D75D2E">
        <w:rPr>
          <w:rFonts w:ascii="Times New Roman" w:hAnsi="Times New Roman"/>
          <w:b/>
          <w:i/>
          <w:sz w:val="24"/>
          <w:szCs w:val="24"/>
        </w:rPr>
        <w:t>Les Entreprises de travaux </w:t>
      </w:r>
    </w:p>
    <w:p w14:paraId="5EAB8FA0"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Les entreprises sont chargées de l’exécution physique des travaux sur le terrain, y compris l’exécution du PGES. Les entreprises assurent la réalisation effective de certaines mesures d’atténuation inscrites dans le PGES et éventuellement, des mesures d’atténuation complémentaires identifiées dans le cadre des activités du suivi et de surveillance environnementale. Elles élaborent et mettent en œuvre un Plan de gestion environnementale et sociale de chantier.</w:t>
      </w:r>
    </w:p>
    <w:p w14:paraId="76B1DB6B" w14:textId="77777777" w:rsidR="008727A1" w:rsidRPr="00D75D2E" w:rsidRDefault="008727A1" w:rsidP="008C79F0">
      <w:pPr>
        <w:pStyle w:val="Paragraphedeliste"/>
        <w:numPr>
          <w:ilvl w:val="0"/>
          <w:numId w:val="44"/>
        </w:numPr>
        <w:spacing w:before="120" w:after="120" w:line="20" w:lineRule="atLeast"/>
        <w:contextualSpacing w:val="0"/>
        <w:jc w:val="both"/>
        <w:rPr>
          <w:rFonts w:ascii="Times New Roman" w:hAnsi="Times New Roman"/>
          <w:b/>
          <w:i/>
          <w:sz w:val="24"/>
          <w:szCs w:val="24"/>
        </w:rPr>
      </w:pPr>
      <w:r w:rsidRPr="00D75D2E">
        <w:rPr>
          <w:rFonts w:ascii="Times New Roman" w:hAnsi="Times New Roman"/>
          <w:b/>
          <w:i/>
          <w:sz w:val="24"/>
          <w:szCs w:val="24"/>
        </w:rPr>
        <w:t>La Mission de Contrôle (MdC) </w:t>
      </w:r>
    </w:p>
    <w:p w14:paraId="203B8019"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La </w:t>
      </w:r>
      <w:r w:rsidRPr="00D75D2E">
        <w:rPr>
          <w:rFonts w:ascii="Times New Roman" w:hAnsi="Times New Roman"/>
          <w:bCs/>
          <w:sz w:val="24"/>
          <w:szCs w:val="24"/>
        </w:rPr>
        <w:t>Mission de Contrôle (MdC) assure la supervision et le contrôle de l’ensemble des travaux exécutés par</w:t>
      </w:r>
      <w:r w:rsidRPr="00D75D2E">
        <w:rPr>
          <w:rFonts w:ascii="Times New Roman" w:hAnsi="Times New Roman"/>
          <w:sz w:val="24"/>
          <w:szCs w:val="24"/>
        </w:rPr>
        <w:t xml:space="preserve"> l’Entreprise de travaux.</w:t>
      </w:r>
    </w:p>
    <w:p w14:paraId="21107DA7" w14:textId="77777777" w:rsidR="008727A1" w:rsidRPr="00D75D2E" w:rsidRDefault="008727A1" w:rsidP="008C79F0">
      <w:pPr>
        <w:numPr>
          <w:ilvl w:val="0"/>
          <w:numId w:val="27"/>
        </w:numPr>
        <w:spacing w:before="120" w:after="120" w:line="20" w:lineRule="atLeast"/>
        <w:ind w:left="708"/>
        <w:jc w:val="both"/>
        <w:rPr>
          <w:rFonts w:ascii="Times New Roman" w:hAnsi="Times New Roman"/>
          <w:sz w:val="24"/>
          <w:szCs w:val="24"/>
        </w:rPr>
      </w:pPr>
      <w:r w:rsidRPr="00D75D2E">
        <w:rPr>
          <w:rFonts w:ascii="Times New Roman" w:hAnsi="Times New Roman"/>
          <w:sz w:val="24"/>
          <w:szCs w:val="24"/>
        </w:rPr>
        <w:t> </w:t>
      </w:r>
      <w:r w:rsidRPr="00D75D2E">
        <w:rPr>
          <w:rFonts w:ascii="Times New Roman" w:hAnsi="Times New Roman"/>
          <w:b/>
          <w:i/>
          <w:sz w:val="24"/>
          <w:szCs w:val="24"/>
        </w:rPr>
        <w:t>Les Communes situées dans la zone du projet </w:t>
      </w:r>
    </w:p>
    <w:p w14:paraId="10B134FB"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Les deux (02) communes de la zone du projet notamment les Bourgmestres par l’intermédiaire du Bureau Urbain de l’Environnement (BUE) participeront au suivi, à la sensibilisation des populations, aux activités de mobilisation sociale. Dans chaque commune concernée, les services techniques locaux vont assurer le suivi de proximité de la mise en œuvre des recommandations du PGES. Elles participeront à la mobilisation sociale, à l’adoption et à la diffusion de l’information contenue dans le PGES et veilleront à la surveillance des infrastructures réalisées.</w:t>
      </w:r>
    </w:p>
    <w:p w14:paraId="794A3555" w14:textId="77777777" w:rsidR="008727A1" w:rsidRPr="00D75D2E" w:rsidRDefault="008727A1" w:rsidP="008C79F0">
      <w:pPr>
        <w:numPr>
          <w:ilvl w:val="0"/>
          <w:numId w:val="27"/>
        </w:numPr>
        <w:spacing w:before="120" w:after="120" w:line="20" w:lineRule="atLeast"/>
        <w:ind w:left="708"/>
        <w:jc w:val="both"/>
        <w:rPr>
          <w:rFonts w:ascii="Times New Roman" w:hAnsi="Times New Roman"/>
          <w:b/>
          <w:i/>
          <w:sz w:val="24"/>
          <w:szCs w:val="24"/>
        </w:rPr>
      </w:pPr>
      <w:bookmarkStart w:id="1026" w:name="_Toc104726419"/>
      <w:r w:rsidRPr="00D75D2E">
        <w:rPr>
          <w:rFonts w:ascii="Times New Roman" w:hAnsi="Times New Roman"/>
          <w:b/>
          <w:i/>
          <w:sz w:val="24"/>
          <w:szCs w:val="24"/>
        </w:rPr>
        <w:t>Les Association, ONG</w:t>
      </w:r>
      <w:bookmarkEnd w:id="1026"/>
      <w:r w:rsidRPr="00D75D2E">
        <w:rPr>
          <w:rFonts w:ascii="Times New Roman" w:hAnsi="Times New Roman"/>
          <w:b/>
          <w:i/>
          <w:sz w:val="24"/>
          <w:szCs w:val="24"/>
        </w:rPr>
        <w:t xml:space="preserve"> et autres organisations de la société civile</w:t>
      </w:r>
    </w:p>
    <w:p w14:paraId="2EECE7E7"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 xml:space="preserve">La société civile jouera un rôle essentiel en : participant à la phase préparatoire du projet ; participant pleinement aux consultations du public et au séminaire de restitution ; examinant le document du PGES et en transmettant ses commentaires au projet ; suivant les résultats et les problèmes qui surgissent et en donnant ses réactions et suggestions à tous les intervenants. </w:t>
      </w:r>
    </w:p>
    <w:p w14:paraId="518963A8" w14:textId="77777777" w:rsidR="008727A1" w:rsidRPr="00D75D2E" w:rsidRDefault="008727A1" w:rsidP="00E737B4">
      <w:pPr>
        <w:spacing w:before="120" w:after="120" w:line="20" w:lineRule="atLeast"/>
        <w:jc w:val="both"/>
        <w:rPr>
          <w:rFonts w:ascii="Times New Roman" w:hAnsi="Times New Roman"/>
          <w:sz w:val="24"/>
          <w:szCs w:val="24"/>
        </w:rPr>
      </w:pPr>
      <w:r w:rsidRPr="00D75D2E">
        <w:rPr>
          <w:rFonts w:ascii="Times New Roman" w:hAnsi="Times New Roman"/>
          <w:sz w:val="24"/>
          <w:szCs w:val="24"/>
        </w:rPr>
        <w:t>Ces organisations pourront aussi appuyer le projet dans l’information et la sensibilisation des acteurs impliqués et des populations des zones bénéficiaires sur les aspects environnementaux et sociaux liés aux travaux et à la mise en service du projet.</w:t>
      </w:r>
    </w:p>
    <w:p w14:paraId="1EC0FC99" w14:textId="0004A46F" w:rsidR="00ED17F3" w:rsidRPr="00215867" w:rsidRDefault="00E65C5C" w:rsidP="00215867">
      <w:pPr>
        <w:pStyle w:val="Titre1"/>
        <w:numPr>
          <w:ilvl w:val="1"/>
          <w:numId w:val="54"/>
        </w:numPr>
        <w:spacing w:before="120" w:after="120" w:line="23" w:lineRule="atLeast"/>
        <w:ind w:left="709" w:hanging="567"/>
        <w:rPr>
          <w:b w:val="0"/>
        </w:rPr>
      </w:pPr>
      <w:bookmarkStart w:id="1027" w:name="_Toc103685760"/>
      <w:r w:rsidRPr="007E5A67">
        <w:t xml:space="preserve">Mécanisme de gestion des </w:t>
      </w:r>
      <w:r w:rsidRPr="00B334B1">
        <w:t>plaintes</w:t>
      </w:r>
      <w:bookmarkEnd w:id="822"/>
      <w:bookmarkEnd w:id="823"/>
      <w:bookmarkEnd w:id="824"/>
      <w:r w:rsidR="00E46106" w:rsidRPr="00B334B1">
        <w:t xml:space="preserve"> sensible à l’EAS/HS</w:t>
      </w:r>
      <w:bookmarkEnd w:id="1027"/>
    </w:p>
    <w:p w14:paraId="6CA747E1" w14:textId="619B3AE7" w:rsidR="00B4133D" w:rsidRPr="00D75D2E" w:rsidRDefault="00B4133D" w:rsidP="00E737B4">
      <w:pPr>
        <w:spacing w:before="120" w:after="120" w:line="20" w:lineRule="atLeast"/>
        <w:jc w:val="both"/>
        <w:rPr>
          <w:rFonts w:ascii="Times New Roman" w:hAnsi="Times New Roman"/>
          <w:sz w:val="24"/>
          <w:szCs w:val="24"/>
        </w:rPr>
      </w:pPr>
      <w:bookmarkStart w:id="1028" w:name="_Toc16663531"/>
      <w:bookmarkStart w:id="1029" w:name="_Toc16663705"/>
      <w:bookmarkStart w:id="1030" w:name="_Toc16664950"/>
      <w:r w:rsidRPr="00D75D2E">
        <w:rPr>
          <w:rFonts w:ascii="Times New Roman" w:hAnsi="Times New Roman"/>
          <w:sz w:val="24"/>
          <w:szCs w:val="24"/>
        </w:rPr>
        <w:t>L’esprit de la NES n°</w:t>
      </w:r>
      <w:r w:rsidR="00D92D5F">
        <w:rPr>
          <w:rFonts w:ascii="Times New Roman" w:hAnsi="Times New Roman"/>
          <w:sz w:val="24"/>
          <w:szCs w:val="24"/>
        </w:rPr>
        <w:t>10</w:t>
      </w:r>
      <w:r w:rsidR="00D92D5F" w:rsidRPr="00D75D2E">
        <w:rPr>
          <w:rFonts w:ascii="Times New Roman" w:hAnsi="Times New Roman"/>
          <w:sz w:val="24"/>
          <w:szCs w:val="24"/>
        </w:rPr>
        <w:t xml:space="preserve"> </w:t>
      </w:r>
      <w:r w:rsidRPr="00D75D2E">
        <w:rPr>
          <w:rFonts w:ascii="Times New Roman" w:hAnsi="Times New Roman"/>
          <w:sz w:val="24"/>
          <w:szCs w:val="24"/>
        </w:rPr>
        <w:t>de la Banque mondiale est de résoudre tout problème au niveau local et à l’amiable. Mais dans le cas contraire, la PAP lésée pourrait saisir les juridictions compétentes. Ainsi plusieurs niveaux de gestion des plaintes ont été identifiés et mis en place dans le cadre des travaux d’électrification des poches noires, d’assainissement, de réhabilitation et de mise en conformité des réseaux SNEL des Directions de Kinshasa Centre et Ouest (DKC/DKO).</w:t>
      </w:r>
    </w:p>
    <w:p w14:paraId="687D7BD2"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la résolution des conflits à l’amiable, dont l’objectif est d’établir un dialogue entre le plaignant et le Projet, et de favoriser d’autres voies que l’action en justice afin de permettre aux plaignants de faire valoir leurs droits. Sauf les cas des incidents VBG qui sont exclus d’une résolution à l’amiable.</w:t>
      </w:r>
    </w:p>
    <w:p w14:paraId="31041583"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l’examen de la conformité, dont l’objectif est de s’assurer que le Projet s’est conformé aux politiques appropriées de la Banque et à la réglementation nationale. </w:t>
      </w:r>
    </w:p>
    <w:p w14:paraId="04B9FD7D" w14:textId="77777777" w:rsidR="00B4133D" w:rsidRPr="00D75D2E" w:rsidRDefault="00B4133D" w:rsidP="00B4133D">
      <w:pPr>
        <w:pStyle w:val="Textebrut"/>
        <w:spacing w:before="120" w:after="120" w:line="276" w:lineRule="auto"/>
        <w:jc w:val="both"/>
        <w:rPr>
          <w:rFonts w:ascii="Times New Roman" w:hAnsi="Times New Roman" w:cs="Times New Roman"/>
          <w:sz w:val="24"/>
          <w:szCs w:val="24"/>
        </w:rPr>
      </w:pPr>
      <w:r w:rsidRPr="00D75D2E">
        <w:rPr>
          <w:rFonts w:ascii="Times New Roman" w:hAnsi="Times New Roman" w:cs="Times New Roman"/>
          <w:sz w:val="24"/>
          <w:szCs w:val="24"/>
        </w:rPr>
        <w:t xml:space="preserve">De manière spécifique, ce MGP permet de/d’: </w:t>
      </w:r>
    </w:p>
    <w:p w14:paraId="6E3E4F0B"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éveiller la conscience du public sur le projet et augmenter le niveau d’implication des parties prenantes dans le projet </w:t>
      </w:r>
    </w:p>
    <w:p w14:paraId="676B4065"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prendre connaissance des problèmes en rapport avec la mise en œuvre du projet et les résoudre avant qu’ils ne dégénèrent  </w:t>
      </w:r>
    </w:p>
    <w:p w14:paraId="18925602"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mettre à la disposition des personnes, des communautés affectées ou de celles qui risqueraient de l’être par les activités du projet, des possibilités de soumettre leurs plaintes au travers d’un mécanisme accessible, rapide, efficace et culturellement adapté </w:t>
      </w:r>
    </w:p>
    <w:p w14:paraId="40FA531C"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prévenir la fraude, la corruption et les incidents de VBG pendant la mise en œuvre du projet</w:t>
      </w:r>
    </w:p>
    <w:p w14:paraId="5E531E7B"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augmenter l’implication des parties prenantes dans le projet</w:t>
      </w:r>
    </w:p>
    <w:p w14:paraId="35C52F33"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identifier, proposer et mettre en œuvre des solutions appropriées en réponse aux plaintes déposées.</w:t>
      </w:r>
    </w:p>
    <w:p w14:paraId="68B07B2F" w14:textId="77777777"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Trois niveau</w:t>
      </w:r>
      <w:r w:rsidR="00853DCC" w:rsidRPr="00420C1B">
        <w:rPr>
          <w:rFonts w:ascii="Times New Roman" w:eastAsia="Calibri" w:hAnsi="Times New Roman" w:cs="Times New Roman"/>
          <w:sz w:val="24"/>
          <w:szCs w:val="24"/>
          <w:lang w:eastAsia="en-US"/>
        </w:rPr>
        <w:t>x</w:t>
      </w:r>
      <w:r w:rsidRPr="00420C1B">
        <w:rPr>
          <w:rFonts w:ascii="Times New Roman" w:eastAsia="Calibri" w:hAnsi="Times New Roman" w:cs="Times New Roman"/>
          <w:sz w:val="24"/>
          <w:szCs w:val="24"/>
          <w:lang w:eastAsia="en-US"/>
        </w:rPr>
        <w:t xml:space="preserve"> d’organisation sont mis en exergues dans le MGP. </w:t>
      </w:r>
    </w:p>
    <w:p w14:paraId="5572BB1A" w14:textId="77777777"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Le niveau de base est la cellule de gestion des plaintes, le niveau intermédiaire est le comité de gestion des plaintes et le niveau supérieur est à l’échelle du projet.</w:t>
      </w:r>
    </w:p>
    <w:p w14:paraId="3B6EC66B" w14:textId="77777777"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 xml:space="preserve">Les plaintes sont transmises à UCM à travers son secrétariat. Les spécialistes en question environnementales et celui du développement social s’assurent de l’application des procédures suivantes : </w:t>
      </w:r>
    </w:p>
    <w:p w14:paraId="23BEC938"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réception et enregistrement des plaintes</w:t>
      </w:r>
    </w:p>
    <w:p w14:paraId="693A34B8"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réorientation de la plainte vers la structure appropriée  </w:t>
      </w:r>
    </w:p>
    <w:p w14:paraId="79056CB4"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 xml:space="preserve">informer immédiatement la Banque dans les 24 heures de tout incident grave (décès d’une personne, cas de VBG et d’AES) et des dispositions prises. </w:t>
      </w:r>
    </w:p>
    <w:p w14:paraId="60282AE0" w14:textId="77777777" w:rsidR="00B4133D" w:rsidRPr="00D75D2E" w:rsidRDefault="00B4133D" w:rsidP="008C79F0">
      <w:pPr>
        <w:numPr>
          <w:ilvl w:val="1"/>
          <w:numId w:val="92"/>
        </w:numPr>
        <w:suppressAutoHyphens/>
        <w:spacing w:after="0" w:line="240" w:lineRule="auto"/>
        <w:ind w:left="567"/>
        <w:contextualSpacing/>
        <w:jc w:val="both"/>
        <w:rPr>
          <w:rFonts w:ascii="Times New Roman" w:hAnsi="Times New Roman"/>
          <w:bCs/>
          <w:sz w:val="24"/>
          <w:szCs w:val="24"/>
        </w:rPr>
      </w:pPr>
      <w:r w:rsidRPr="00D75D2E">
        <w:rPr>
          <w:rFonts w:ascii="Times New Roman" w:hAnsi="Times New Roman"/>
          <w:bCs/>
          <w:sz w:val="24"/>
          <w:szCs w:val="24"/>
        </w:rPr>
        <w:t>suivi des plaintes</w:t>
      </w:r>
    </w:p>
    <w:p w14:paraId="600AB2DA" w14:textId="0AAA9ECE"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 xml:space="preserve">En ce qui concerne les plaintes ou les incidents </w:t>
      </w:r>
      <w:r w:rsidR="00E46106" w:rsidRPr="00420C1B">
        <w:rPr>
          <w:rFonts w:ascii="Times New Roman" w:eastAsia="Calibri" w:hAnsi="Times New Roman" w:cs="Times New Roman"/>
          <w:sz w:val="24"/>
          <w:szCs w:val="24"/>
          <w:lang w:eastAsia="en-US"/>
        </w:rPr>
        <w:t xml:space="preserve">EAS/HS </w:t>
      </w:r>
      <w:r w:rsidRPr="00420C1B">
        <w:rPr>
          <w:rFonts w:ascii="Times New Roman" w:eastAsia="Calibri" w:hAnsi="Times New Roman" w:cs="Times New Roman"/>
          <w:sz w:val="24"/>
          <w:szCs w:val="24"/>
          <w:lang w:eastAsia="en-US"/>
        </w:rPr>
        <w:t xml:space="preserve">le (la) spécialiste d´UCM en charge des questions liées </w:t>
      </w:r>
      <w:r w:rsidR="00E46106" w:rsidRPr="00420C1B">
        <w:rPr>
          <w:rFonts w:ascii="Times New Roman" w:eastAsia="Calibri" w:hAnsi="Times New Roman" w:cs="Times New Roman"/>
          <w:sz w:val="24"/>
          <w:szCs w:val="24"/>
          <w:lang w:eastAsia="en-US"/>
        </w:rPr>
        <w:t xml:space="preserve">à l’EAS/HS </w:t>
      </w:r>
      <w:r w:rsidRPr="00420C1B">
        <w:rPr>
          <w:rFonts w:ascii="Times New Roman" w:eastAsia="Calibri" w:hAnsi="Times New Roman" w:cs="Times New Roman"/>
          <w:sz w:val="24"/>
          <w:szCs w:val="24"/>
          <w:lang w:eastAsia="en-US"/>
        </w:rPr>
        <w:t xml:space="preserve">assurera la réception, le suivi, la production de rapport et communiquera l’incident à la Banque mondiale (IDA) via le TTL dans les 24 heures. </w:t>
      </w:r>
    </w:p>
    <w:p w14:paraId="157C3A94" w14:textId="4E9B0772" w:rsidR="00B4133D" w:rsidRPr="00D75D2E" w:rsidRDefault="00B4133D" w:rsidP="00E737B4">
      <w:pPr>
        <w:pStyle w:val="Textebrut"/>
        <w:spacing w:before="120" w:after="120"/>
        <w:jc w:val="both"/>
        <w:rPr>
          <w:rFonts w:ascii="Times New Roman" w:hAnsi="Times New Roman" w:cs="Times New Roman"/>
          <w:sz w:val="24"/>
          <w:szCs w:val="24"/>
        </w:rPr>
      </w:pPr>
      <w:r w:rsidRPr="00D75D2E">
        <w:rPr>
          <w:rFonts w:ascii="Times New Roman" w:hAnsi="Times New Roman" w:cs="Times New Roman"/>
          <w:sz w:val="24"/>
          <w:szCs w:val="24"/>
        </w:rPr>
        <w:t xml:space="preserve">Les plaintes </w:t>
      </w:r>
      <w:r w:rsidR="00E46106">
        <w:rPr>
          <w:rFonts w:ascii="Times New Roman" w:hAnsi="Times New Roman" w:cs="Times New Roman"/>
          <w:sz w:val="24"/>
          <w:szCs w:val="24"/>
        </w:rPr>
        <w:t xml:space="preserve">EAS/HS </w:t>
      </w:r>
      <w:r w:rsidR="00E46106" w:rsidRPr="00D75D2E">
        <w:rPr>
          <w:rFonts w:ascii="Times New Roman" w:hAnsi="Times New Roman" w:cs="Times New Roman"/>
          <w:sz w:val="24"/>
          <w:szCs w:val="24"/>
        </w:rPr>
        <w:t xml:space="preserve"> </w:t>
      </w:r>
      <w:r w:rsidRPr="00D75D2E">
        <w:rPr>
          <w:rFonts w:ascii="Times New Roman" w:hAnsi="Times New Roman" w:cs="Times New Roman"/>
          <w:sz w:val="24"/>
          <w:szCs w:val="24"/>
        </w:rPr>
        <w:t>auront différents points d´entrée, à savoir, les structures sanitaires, les ONG et  même le comité local de gestion de plaintes. Ces plaintes seront redirigées vers le spécialiste VBG d’UCM via les points focaux VBG sur site.</w:t>
      </w:r>
    </w:p>
    <w:p w14:paraId="59DFF7E3" w14:textId="4E14219A" w:rsidR="00B4133D" w:rsidRPr="00D75D2E" w:rsidRDefault="00B4133D" w:rsidP="00E76B8B">
      <w:pPr>
        <w:pStyle w:val="Textebrut"/>
        <w:spacing w:before="120" w:after="120"/>
        <w:jc w:val="both"/>
        <w:rPr>
          <w:rFonts w:ascii="Times New Roman" w:hAnsi="Times New Roman" w:cs="Times New Roman"/>
          <w:sz w:val="24"/>
          <w:szCs w:val="24"/>
        </w:rPr>
      </w:pPr>
      <w:r w:rsidRPr="00D75D2E">
        <w:rPr>
          <w:rFonts w:ascii="Times New Roman" w:hAnsi="Times New Roman" w:cs="Times New Roman"/>
          <w:sz w:val="24"/>
          <w:szCs w:val="24"/>
        </w:rPr>
        <w:t xml:space="preserve">Sur site, la supervision de la mise en œuvre du MGP sera assurée du côté UCM par les ONG en charge de la (i) réalisation d’une campagne de communication et de sensibilisation adaptée au genre, </w:t>
      </w:r>
      <w:r w:rsidR="00E46106">
        <w:rPr>
          <w:rFonts w:ascii="Times New Roman" w:hAnsi="Times New Roman" w:cs="Times New Roman"/>
          <w:sz w:val="24"/>
          <w:szCs w:val="24"/>
        </w:rPr>
        <w:t xml:space="preserve">à l’EAS/HS </w:t>
      </w:r>
      <w:r w:rsidRPr="00D75D2E">
        <w:rPr>
          <w:rFonts w:ascii="Times New Roman" w:hAnsi="Times New Roman" w:cs="Times New Roman"/>
          <w:sz w:val="24"/>
          <w:szCs w:val="24"/>
        </w:rPr>
        <w:t xml:space="preserve">et d’autres activités de mobilisation des citoyens pour la prise en compte des aspects sociaux (incluant le genre et </w:t>
      </w:r>
      <w:r w:rsidR="00E46106">
        <w:rPr>
          <w:rFonts w:ascii="Times New Roman" w:hAnsi="Times New Roman" w:cs="Times New Roman"/>
          <w:sz w:val="24"/>
          <w:szCs w:val="24"/>
        </w:rPr>
        <w:t>l’EAS/HS</w:t>
      </w:r>
      <w:r w:rsidRPr="00D75D2E">
        <w:rPr>
          <w:rFonts w:ascii="Times New Roman" w:hAnsi="Times New Roman" w:cs="Times New Roman"/>
          <w:sz w:val="24"/>
          <w:szCs w:val="24"/>
        </w:rPr>
        <w:t xml:space="preserve">) pendant la réalisation des travaux. Ces ONG auront pour mission de/d’ : </w:t>
      </w:r>
    </w:p>
    <w:p w14:paraId="00359B2E" w14:textId="7559DE1E"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élaborer un protocole et mettre en place un processus de rapportage des plaintes sensibles (les informations non-confidentielles sur les cas de violences sauf pour les cas d</w:t>
      </w:r>
      <w:r w:rsidR="00E46106">
        <w:rPr>
          <w:rFonts w:ascii="Times New Roman" w:hAnsi="Times New Roman" w:cs="Times New Roman"/>
          <w:sz w:val="24"/>
          <w:szCs w:val="24"/>
        </w:rPr>
        <w:t>’EAS/HS</w:t>
      </w:r>
      <w:r w:rsidRPr="00D75D2E">
        <w:rPr>
          <w:rFonts w:ascii="Times New Roman" w:hAnsi="Times New Roman" w:cs="Times New Roman"/>
          <w:sz w:val="24"/>
          <w:szCs w:val="24"/>
        </w:rPr>
        <w:t>, d’accidents graves, décès, etc., et plaintes non-sensibles (indemnisations, pertes, etc.)</w:t>
      </w:r>
    </w:p>
    <w:p w14:paraId="238EF3C7" w14:textId="13AB288D"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vulgariser le mécanisme de gestion des plaintes, y compris le MGP-</w:t>
      </w:r>
      <w:r w:rsidR="00E46106">
        <w:rPr>
          <w:rFonts w:ascii="Times New Roman" w:hAnsi="Times New Roman" w:cs="Times New Roman"/>
          <w:sz w:val="24"/>
          <w:szCs w:val="24"/>
        </w:rPr>
        <w:t>EAS/HS</w:t>
      </w:r>
      <w:r w:rsidR="00E46106" w:rsidRPr="00D75D2E">
        <w:rPr>
          <w:rFonts w:ascii="Times New Roman" w:hAnsi="Times New Roman" w:cs="Times New Roman"/>
          <w:sz w:val="24"/>
          <w:szCs w:val="24"/>
        </w:rPr>
        <w:t xml:space="preserve"> </w:t>
      </w:r>
      <w:r w:rsidRPr="00D75D2E">
        <w:rPr>
          <w:rFonts w:ascii="Times New Roman" w:hAnsi="Times New Roman" w:cs="Times New Roman"/>
          <w:sz w:val="24"/>
          <w:szCs w:val="24"/>
        </w:rPr>
        <w:t>mis en place par UCM lors des évaluations des impacts environnementaux et sociaux du projet</w:t>
      </w:r>
    </w:p>
    <w:p w14:paraId="3E2AD862" w14:textId="283F623F"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organiser une formation spécifique du personnel des entreprises contractantes sur la gestion de risques liés </w:t>
      </w:r>
      <w:r w:rsidR="00E46106">
        <w:rPr>
          <w:rFonts w:ascii="Times New Roman" w:hAnsi="Times New Roman" w:cs="Times New Roman"/>
          <w:sz w:val="24"/>
          <w:szCs w:val="24"/>
        </w:rPr>
        <w:t>à l’EAS/HS, le CdC, et le fonctionnement du MGP</w:t>
      </w:r>
    </w:p>
    <w:p w14:paraId="0CBC0D95"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préparer régulièrement des rapports de suivi des plaintes et d’évaluation du fonctionnement du mécanisme de gestion des plaintes </w:t>
      </w:r>
    </w:p>
    <w:p w14:paraId="2561C8C6" w14:textId="22A8C722"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assurer la large diffusion du Mécanisme de Gestion de Plaintes, et plus particulièrement les aspects </w:t>
      </w:r>
      <w:r w:rsidR="00E46106">
        <w:rPr>
          <w:rFonts w:ascii="Times New Roman" w:hAnsi="Times New Roman" w:cs="Times New Roman"/>
          <w:sz w:val="24"/>
          <w:szCs w:val="24"/>
        </w:rPr>
        <w:t xml:space="preserve">EAS/HS </w:t>
      </w:r>
      <w:r w:rsidRPr="00D75D2E">
        <w:rPr>
          <w:rFonts w:ascii="Times New Roman" w:hAnsi="Times New Roman" w:cs="Times New Roman"/>
          <w:sz w:val="24"/>
          <w:szCs w:val="24"/>
        </w:rPr>
        <w:t>en son sein à travers des séances de sensibilisation et de communication auprès des parties prenantes : les PAP, les communautés locales, les autorités locales, les travailleurs, etc.</w:t>
      </w:r>
    </w:p>
    <w:p w14:paraId="33601DE3" w14:textId="3FEC1854"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assurer après la réalisation du mapping et la vérification de la capacité de réponse des organisations de prise en charge des survivants, la diffusion des différents services de réponse pour les cas d</w:t>
      </w:r>
      <w:r w:rsidR="00E46106">
        <w:rPr>
          <w:rFonts w:ascii="Times New Roman" w:hAnsi="Times New Roman" w:cs="Times New Roman"/>
          <w:sz w:val="24"/>
          <w:szCs w:val="24"/>
        </w:rPr>
        <w:t>’EAS/HS</w:t>
      </w:r>
    </w:p>
    <w:p w14:paraId="09674BA9"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l’enregistrement des plaintes</w:t>
      </w:r>
    </w:p>
    <w:p w14:paraId="5ACE3CBA"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la gestion par délégation de la plupart des plaintes de nature non-sensible par dialogue et négociation et en informer le projet</w:t>
      </w:r>
    </w:p>
    <w:p w14:paraId="34FC9D76" w14:textId="0B97DC36"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la transmission des plaintes sensibles au Comité de gestion des plaintes</w:t>
      </w:r>
      <w:r w:rsidR="00276F79">
        <w:rPr>
          <w:rFonts w:ascii="Times New Roman" w:hAnsi="Times New Roman" w:cs="Times New Roman"/>
          <w:sz w:val="24"/>
          <w:szCs w:val="24"/>
        </w:rPr>
        <w:t xml:space="preserve"> EAS/HS</w:t>
      </w:r>
    </w:p>
    <w:p w14:paraId="5A31954D"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le suivi et la production des rapports de suivi de la mise en œuvre du MGP.</w:t>
      </w:r>
    </w:p>
    <w:p w14:paraId="3B399838" w14:textId="5F6E1219" w:rsidR="00B4133D" w:rsidRPr="00D75D2E" w:rsidRDefault="00B4133D" w:rsidP="00B4133D">
      <w:pPr>
        <w:pStyle w:val="Textebrut"/>
        <w:spacing w:before="120" w:after="120"/>
        <w:jc w:val="both"/>
        <w:rPr>
          <w:rFonts w:ascii="Times New Roman" w:hAnsi="Times New Roman" w:cs="Times New Roman"/>
          <w:sz w:val="24"/>
          <w:szCs w:val="24"/>
        </w:rPr>
      </w:pPr>
      <w:r w:rsidRPr="00D75D2E">
        <w:rPr>
          <w:rFonts w:ascii="Times New Roman" w:hAnsi="Times New Roman" w:cs="Times New Roman"/>
          <w:sz w:val="24"/>
          <w:szCs w:val="24"/>
        </w:rPr>
        <w:t xml:space="preserve">Les chargés de l’environnement et du développement social des missions de supervision des travaux concernés s’assurent de la vérification de l’identité des présumés auteurs d’incident </w:t>
      </w:r>
      <w:r w:rsidR="00276F79">
        <w:rPr>
          <w:rFonts w:ascii="Times New Roman" w:hAnsi="Times New Roman" w:cs="Times New Roman"/>
          <w:sz w:val="24"/>
          <w:szCs w:val="24"/>
        </w:rPr>
        <w:t>EAS/HS</w:t>
      </w:r>
      <w:r w:rsidR="00276F79" w:rsidRPr="00D75D2E">
        <w:rPr>
          <w:rFonts w:ascii="Times New Roman" w:hAnsi="Times New Roman" w:cs="Times New Roman"/>
          <w:sz w:val="24"/>
          <w:szCs w:val="24"/>
        </w:rPr>
        <w:t xml:space="preserve"> </w:t>
      </w:r>
      <w:r w:rsidRPr="00D75D2E">
        <w:rPr>
          <w:rFonts w:ascii="Times New Roman" w:hAnsi="Times New Roman" w:cs="Times New Roman"/>
          <w:sz w:val="24"/>
          <w:szCs w:val="24"/>
        </w:rPr>
        <w:t xml:space="preserve">et communiqueront les résultats de leurs investigations au spécialiste VBG ou à celui du développement social d’UCM et également à l’Entreprise pour l’application des mesures disciplinaires si nécessaires à l’endroit du présumé auteur du forfait. </w:t>
      </w:r>
    </w:p>
    <w:p w14:paraId="2B916FBE" w14:textId="77777777" w:rsidR="00B4133D" w:rsidRPr="00D75D2E" w:rsidRDefault="00B4133D" w:rsidP="00B4133D">
      <w:pPr>
        <w:pStyle w:val="Textebrut"/>
        <w:spacing w:before="120" w:after="120"/>
        <w:jc w:val="both"/>
        <w:rPr>
          <w:rFonts w:ascii="Times New Roman" w:hAnsi="Times New Roman" w:cs="Times New Roman"/>
          <w:sz w:val="24"/>
          <w:szCs w:val="24"/>
        </w:rPr>
      </w:pPr>
      <w:r w:rsidRPr="00D75D2E">
        <w:rPr>
          <w:rFonts w:ascii="Times New Roman" w:hAnsi="Times New Roman" w:cs="Times New Roman"/>
          <w:sz w:val="24"/>
          <w:szCs w:val="24"/>
        </w:rPr>
        <w:t>Les bénéficiaires institutionnels (SNEL et opérateurs privés) contribuent à la mise en œuvre du MGP à travers :</w:t>
      </w:r>
    </w:p>
    <w:p w14:paraId="057885DF"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la participation aux enquêtes et examens nécessaires  pour les plaintes non-sensibles</w:t>
      </w:r>
    </w:p>
    <w:p w14:paraId="7BB4782D"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l’apport d’éclaircissements et témoignages pouvant alimenter les enquêtes ou toute autre procédure de recherche d’information y compris les plaintes VBG.  </w:t>
      </w:r>
    </w:p>
    <w:p w14:paraId="55735114" w14:textId="77777777" w:rsidR="00B4133D" w:rsidRPr="00D75D2E" w:rsidRDefault="00B4133D" w:rsidP="00B4133D">
      <w:pPr>
        <w:pStyle w:val="Textebrut"/>
        <w:spacing w:before="60" w:after="60"/>
        <w:jc w:val="both"/>
        <w:rPr>
          <w:rFonts w:ascii="Times New Roman" w:hAnsi="Times New Roman" w:cs="Times New Roman"/>
          <w:sz w:val="24"/>
          <w:szCs w:val="24"/>
        </w:rPr>
      </w:pPr>
      <w:r w:rsidRPr="00D75D2E">
        <w:rPr>
          <w:rFonts w:ascii="Times New Roman" w:hAnsi="Times New Roman" w:cs="Times New Roman"/>
          <w:sz w:val="24"/>
          <w:szCs w:val="24"/>
        </w:rPr>
        <w:t>Les Ingénieurs Conseil recrutés dans le cadre de la surveillance et contrôle des travaux, participent dans la mise en œuvre du MGP à travers :</w:t>
      </w:r>
    </w:p>
    <w:p w14:paraId="43FA5A7C"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les témoignages pouvant alimenter les enquêtes, </w:t>
      </w:r>
    </w:p>
    <w:p w14:paraId="766E284D"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le suivi de la diffusion des codes de bonne conduite au niveau du chantier ;</w:t>
      </w:r>
    </w:p>
    <w:p w14:paraId="7B0D0955"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le suivi de la mise en œuvre des clauses environnementales et sociales contractuelles</w:t>
      </w:r>
    </w:p>
    <w:p w14:paraId="3E2BE95B"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le rapportage au projet de tout incident survenu au chantier dans les 24</w:t>
      </w:r>
    </w:p>
    <w:p w14:paraId="35A41C0E" w14:textId="77777777" w:rsidR="00B4133D" w:rsidRPr="00420C1B" w:rsidRDefault="00B4133D" w:rsidP="00B4133D">
      <w:pPr>
        <w:pStyle w:val="Textebrut"/>
        <w:contextualSpacing/>
        <w:jc w:val="both"/>
        <w:rPr>
          <w:rFonts w:ascii="Times New Roman" w:eastAsia="Calibri" w:hAnsi="Times New Roman" w:cs="Times New Roman"/>
          <w:sz w:val="24"/>
          <w:szCs w:val="24"/>
          <w:lang w:eastAsia="en-US"/>
        </w:rPr>
      </w:pPr>
    </w:p>
    <w:p w14:paraId="73D51050" w14:textId="1CB94325" w:rsidR="00B4133D" w:rsidRPr="00D75D2E" w:rsidRDefault="00B4133D" w:rsidP="00B4133D">
      <w:pPr>
        <w:spacing w:after="0" w:line="240" w:lineRule="auto"/>
        <w:rPr>
          <w:rFonts w:ascii="Times New Roman" w:hAnsi="Times New Roman"/>
          <w:sz w:val="24"/>
          <w:szCs w:val="24"/>
        </w:rPr>
      </w:pPr>
      <w:r w:rsidRPr="00D75D2E">
        <w:rPr>
          <w:rFonts w:ascii="Times New Roman" w:hAnsi="Times New Roman"/>
          <w:b/>
          <w:sz w:val="24"/>
          <w:szCs w:val="24"/>
        </w:rPr>
        <w:t>Le Comité de gestion des plaintes est l’organe d’exécution</w:t>
      </w:r>
      <w:r w:rsidRPr="00D75D2E">
        <w:rPr>
          <w:rFonts w:ascii="Times New Roman" w:hAnsi="Times New Roman"/>
          <w:sz w:val="24"/>
          <w:szCs w:val="24"/>
        </w:rPr>
        <w:t xml:space="preserve"> de la mise en œuvre du MGP. Dans ses attributions régaliennes de traitement objectif des plaintes à l’exception de celles liées </w:t>
      </w:r>
      <w:r w:rsidR="00276F79">
        <w:rPr>
          <w:rFonts w:ascii="Times New Roman" w:hAnsi="Times New Roman"/>
          <w:sz w:val="24"/>
          <w:szCs w:val="24"/>
        </w:rPr>
        <w:t>à l’EAS/HS</w:t>
      </w:r>
      <w:r w:rsidRPr="00D75D2E">
        <w:rPr>
          <w:rFonts w:ascii="Times New Roman" w:hAnsi="Times New Roman"/>
          <w:sz w:val="24"/>
          <w:szCs w:val="24"/>
        </w:rPr>
        <w:t xml:space="preserve"> qui lui sont adressées, il a pour rôles :</w:t>
      </w:r>
    </w:p>
    <w:p w14:paraId="4FDFB4FD"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d’assurer la coordination de la procédure de traitement des plaintes</w:t>
      </w:r>
    </w:p>
    <w:p w14:paraId="542F255A"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de rassembler et examiner les informations disponibles sur l’objet de la plainte</w:t>
      </w:r>
    </w:p>
    <w:p w14:paraId="2FB8C690"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de traiter les plaintes en favorisant le règlement à l'amiable</w:t>
      </w:r>
    </w:p>
    <w:p w14:paraId="5EA6461F"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de proposer des réponses et des mesures de résolution des plaintes</w:t>
      </w:r>
    </w:p>
    <w:p w14:paraId="2BDCFBDD"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de rédiger les réponses destinées aux plaignants</w:t>
      </w:r>
    </w:p>
    <w:p w14:paraId="57B716A4" w14:textId="77777777" w:rsidR="00B4133D" w:rsidRPr="00E737B4" w:rsidRDefault="00B4133D" w:rsidP="008C79F0">
      <w:pPr>
        <w:pStyle w:val="Textebrut"/>
        <w:numPr>
          <w:ilvl w:val="0"/>
          <w:numId w:val="129"/>
        </w:numPr>
        <w:ind w:left="567" w:hanging="357"/>
        <w:jc w:val="both"/>
        <w:rPr>
          <w:rFonts w:ascii="Times New Roman" w:hAnsi="Times New Roman" w:cs="Times New Roman"/>
          <w:sz w:val="24"/>
          <w:szCs w:val="24"/>
        </w:rPr>
      </w:pPr>
      <w:r w:rsidRPr="00E737B4">
        <w:rPr>
          <w:rFonts w:ascii="Times New Roman" w:hAnsi="Times New Roman" w:cs="Times New Roman"/>
          <w:sz w:val="24"/>
          <w:szCs w:val="24"/>
        </w:rPr>
        <w:t>de suivre et superviser la mise en œuvre du MGP au niveau local</w:t>
      </w:r>
    </w:p>
    <w:p w14:paraId="25EC64C0" w14:textId="0A5191CD"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 xml:space="preserve">Dans l’exercice de ses attributions, il sera appuyé par des cellules locales qui seront les points d’entrée des plaintes </w:t>
      </w:r>
      <w:r w:rsidR="00276F79" w:rsidRPr="00420C1B">
        <w:rPr>
          <w:rFonts w:ascii="Times New Roman" w:eastAsia="Calibri" w:hAnsi="Times New Roman" w:cs="Times New Roman"/>
          <w:sz w:val="24"/>
          <w:szCs w:val="24"/>
          <w:lang w:eastAsia="en-US"/>
        </w:rPr>
        <w:t xml:space="preserve">EAS/HS </w:t>
      </w:r>
      <w:r w:rsidRPr="00420C1B">
        <w:rPr>
          <w:rFonts w:ascii="Times New Roman" w:eastAsia="Calibri" w:hAnsi="Times New Roman" w:cs="Times New Roman"/>
          <w:sz w:val="24"/>
          <w:szCs w:val="24"/>
          <w:lang w:eastAsia="en-US"/>
        </w:rPr>
        <w:t xml:space="preserve">dans le cadre du projet. </w:t>
      </w:r>
    </w:p>
    <w:p w14:paraId="78E1E50D" w14:textId="77777777"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 xml:space="preserve">Au niveau local des cellules de base composées chacune d’un représentant du quartier, village ou groupement, un représentant des femmes et deux de jeunes (un jeune garçon et une jeune fille), seront constituées – les cellules locales de gestion des plaintes. </w:t>
      </w:r>
    </w:p>
    <w:p w14:paraId="0D1D129F" w14:textId="77777777" w:rsidR="00B4133D" w:rsidRPr="00420C1B" w:rsidRDefault="00B4133D" w:rsidP="00E737B4">
      <w:pPr>
        <w:pStyle w:val="Textebrut"/>
        <w:spacing w:before="120" w:after="120"/>
        <w:jc w:val="both"/>
        <w:rPr>
          <w:rFonts w:ascii="Times New Roman" w:eastAsia="Calibri" w:hAnsi="Times New Roman" w:cs="Times New Roman"/>
          <w:sz w:val="24"/>
          <w:szCs w:val="24"/>
          <w:lang w:eastAsia="en-US"/>
        </w:rPr>
      </w:pPr>
      <w:r w:rsidRPr="00420C1B">
        <w:rPr>
          <w:rFonts w:ascii="Times New Roman" w:eastAsia="Calibri" w:hAnsi="Times New Roman" w:cs="Times New Roman"/>
          <w:sz w:val="24"/>
          <w:szCs w:val="24"/>
          <w:lang w:eastAsia="en-US"/>
        </w:rPr>
        <w:t xml:space="preserve">Elles joueront le rôle de courroie de transmission pour des personnes n’ayant pas les possibilités de rédiger et de transmettre leurs plaintes au Comité de gestion des plaintes. </w:t>
      </w:r>
    </w:p>
    <w:p w14:paraId="2F600AA5" w14:textId="77777777" w:rsidR="00B4133D" w:rsidRPr="00D75D2E" w:rsidRDefault="00B4133D" w:rsidP="00E737B4">
      <w:pPr>
        <w:pStyle w:val="Textebrut"/>
        <w:spacing w:before="120" w:after="120"/>
        <w:jc w:val="both"/>
        <w:rPr>
          <w:rFonts w:ascii="Times New Roman" w:hAnsi="Times New Roman" w:cs="Times New Roman"/>
          <w:sz w:val="24"/>
          <w:szCs w:val="24"/>
        </w:rPr>
      </w:pPr>
      <w:r w:rsidRPr="00D75D2E">
        <w:rPr>
          <w:rFonts w:ascii="Times New Roman" w:hAnsi="Times New Roman" w:cs="Times New Roman"/>
          <w:sz w:val="24"/>
          <w:szCs w:val="24"/>
        </w:rPr>
        <w:t>Localement, les tâches leur dévolues sont notamment :</w:t>
      </w:r>
    </w:p>
    <w:p w14:paraId="12852E37"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de recevoir les plaintes et les enregistrer </w:t>
      </w:r>
    </w:p>
    <w:p w14:paraId="1A4AB865" w14:textId="7653112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de servir de porte d’entrée pour les plaintes liées </w:t>
      </w:r>
      <w:r w:rsidR="00276F79">
        <w:rPr>
          <w:rFonts w:ascii="Times New Roman" w:hAnsi="Times New Roman" w:cs="Times New Roman"/>
          <w:sz w:val="24"/>
          <w:szCs w:val="24"/>
        </w:rPr>
        <w:t xml:space="preserve">à </w:t>
      </w:r>
      <w:r w:rsidRPr="00D75D2E">
        <w:rPr>
          <w:rFonts w:ascii="Times New Roman" w:hAnsi="Times New Roman" w:cs="Times New Roman"/>
          <w:sz w:val="24"/>
          <w:szCs w:val="24"/>
        </w:rPr>
        <w:t xml:space="preserve"> </w:t>
      </w:r>
      <w:r w:rsidR="00276F79">
        <w:rPr>
          <w:rFonts w:ascii="Times New Roman" w:hAnsi="Times New Roman" w:cs="Times New Roman"/>
          <w:sz w:val="24"/>
          <w:szCs w:val="24"/>
        </w:rPr>
        <w:t>l’</w:t>
      </w:r>
      <w:r w:rsidRPr="00D75D2E">
        <w:rPr>
          <w:rFonts w:ascii="Times New Roman" w:hAnsi="Times New Roman" w:cs="Times New Roman"/>
          <w:sz w:val="24"/>
          <w:szCs w:val="24"/>
        </w:rPr>
        <w:t>EAS</w:t>
      </w:r>
      <w:r w:rsidR="00276F79">
        <w:rPr>
          <w:rFonts w:ascii="Times New Roman" w:hAnsi="Times New Roman" w:cs="Times New Roman"/>
          <w:sz w:val="24"/>
          <w:szCs w:val="24"/>
        </w:rPr>
        <w:t>/HS</w:t>
      </w:r>
      <w:r w:rsidRPr="00D75D2E">
        <w:rPr>
          <w:rFonts w:ascii="Times New Roman" w:hAnsi="Times New Roman" w:cs="Times New Roman"/>
          <w:sz w:val="24"/>
          <w:szCs w:val="24"/>
        </w:rPr>
        <w:t>, et de faire immédiatement le référencement vers les structures identifiées pour la prise en charge appropriées, sans récolte de données préalables et informer le spécialiste VBG/développement social d’UCM de l’incident</w:t>
      </w:r>
    </w:p>
    <w:p w14:paraId="3F90A7F3"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signaler rapidement les évènements graves, accidents mortels et autres risques au projet</w:t>
      </w:r>
    </w:p>
    <w:p w14:paraId="2B87E407"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d’assurer la coordination de la procédure de traitement des plaintes</w:t>
      </w:r>
    </w:p>
    <w:p w14:paraId="1743B6B7"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de rassembler et examiner les informations disponibles sur l’objet de la plainte</w:t>
      </w:r>
    </w:p>
    <w:p w14:paraId="1BC5399D" w14:textId="6BC60166"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 xml:space="preserve">de traiter les plaintes en favorisant le règlement à l'amiable, à l’exception de celles liés </w:t>
      </w:r>
      <w:r w:rsidR="00276F79">
        <w:rPr>
          <w:rFonts w:ascii="Times New Roman" w:hAnsi="Times New Roman" w:cs="Times New Roman"/>
          <w:sz w:val="24"/>
          <w:szCs w:val="24"/>
        </w:rPr>
        <w:t>á l’EAS/HS</w:t>
      </w:r>
      <w:r w:rsidRPr="00D75D2E">
        <w:rPr>
          <w:rFonts w:ascii="Times New Roman" w:hAnsi="Times New Roman" w:cs="Times New Roman"/>
          <w:sz w:val="24"/>
          <w:szCs w:val="24"/>
        </w:rPr>
        <w:t>,</w:t>
      </w:r>
    </w:p>
    <w:p w14:paraId="783FF92C"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de proposer des réponses et des mesures de résolution des plaintes</w:t>
      </w:r>
    </w:p>
    <w:p w14:paraId="49471594"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de rédiger les réponses destinées aux plaignants</w:t>
      </w:r>
    </w:p>
    <w:p w14:paraId="4713ADB3" w14:textId="77777777" w:rsidR="00B4133D" w:rsidRPr="00D75D2E" w:rsidRDefault="00B4133D" w:rsidP="008C79F0">
      <w:pPr>
        <w:pStyle w:val="Textebrut"/>
        <w:numPr>
          <w:ilvl w:val="0"/>
          <w:numId w:val="129"/>
        </w:numPr>
        <w:ind w:left="567" w:hanging="357"/>
        <w:jc w:val="both"/>
        <w:rPr>
          <w:rFonts w:ascii="Times New Roman" w:hAnsi="Times New Roman" w:cs="Times New Roman"/>
          <w:sz w:val="24"/>
          <w:szCs w:val="24"/>
        </w:rPr>
      </w:pPr>
      <w:r w:rsidRPr="00D75D2E">
        <w:rPr>
          <w:rFonts w:ascii="Times New Roman" w:hAnsi="Times New Roman" w:cs="Times New Roman"/>
          <w:sz w:val="24"/>
          <w:szCs w:val="24"/>
        </w:rPr>
        <w:t>de suivre et superviser la mise en œuvre du MGP au niveau local</w:t>
      </w:r>
    </w:p>
    <w:p w14:paraId="58FB8B2F" w14:textId="26308631" w:rsidR="00B4133D" w:rsidRPr="00D75D2E" w:rsidRDefault="00B4133D" w:rsidP="00B4133D">
      <w:pPr>
        <w:pStyle w:val="Textebrut"/>
        <w:spacing w:before="120" w:after="240"/>
        <w:jc w:val="both"/>
        <w:rPr>
          <w:rFonts w:ascii="Times New Roman" w:hAnsi="Times New Roman" w:cs="Times New Roman"/>
          <w:sz w:val="24"/>
          <w:szCs w:val="24"/>
        </w:rPr>
      </w:pPr>
      <w:r w:rsidRPr="00D75D2E">
        <w:rPr>
          <w:rFonts w:ascii="Times New Roman" w:hAnsi="Times New Roman" w:cs="Times New Roman"/>
          <w:sz w:val="24"/>
          <w:szCs w:val="24"/>
        </w:rPr>
        <w:t xml:space="preserve">Si la plainte ne peut trouver solution au niveau de la Cellule locale, elle sera transférée au Comité de gestion du ressort sauf pour le cas des plaintes </w:t>
      </w:r>
      <w:r w:rsidR="00276F79">
        <w:rPr>
          <w:rFonts w:ascii="Times New Roman" w:hAnsi="Times New Roman" w:cs="Times New Roman"/>
          <w:sz w:val="24"/>
          <w:szCs w:val="24"/>
        </w:rPr>
        <w:t>EAS/HS</w:t>
      </w:r>
      <w:r w:rsidRPr="00D75D2E">
        <w:rPr>
          <w:rFonts w:ascii="Times New Roman" w:hAnsi="Times New Roman" w:cs="Times New Roman"/>
          <w:sz w:val="24"/>
          <w:szCs w:val="24"/>
        </w:rPr>
        <w:t xml:space="preserve">. </w:t>
      </w:r>
    </w:p>
    <w:p w14:paraId="45177E23" w14:textId="77777777" w:rsidR="00B4133D" w:rsidRPr="00D75D2E" w:rsidRDefault="00B4133D" w:rsidP="00B4133D">
      <w:pPr>
        <w:pStyle w:val="Textebrut"/>
        <w:spacing w:before="120" w:after="240"/>
        <w:jc w:val="both"/>
        <w:rPr>
          <w:rFonts w:ascii="Times New Roman" w:hAnsi="Times New Roman" w:cs="Times New Roman"/>
          <w:sz w:val="24"/>
          <w:szCs w:val="24"/>
        </w:rPr>
      </w:pPr>
      <w:r w:rsidRPr="00D75D2E">
        <w:rPr>
          <w:rFonts w:ascii="Times New Roman" w:hAnsi="Times New Roman" w:cs="Times New Roman"/>
          <w:sz w:val="24"/>
          <w:szCs w:val="24"/>
        </w:rPr>
        <w:t xml:space="preserve">Le délai accordé à la Cellule locale pour apporter une réponse aux plaintes non-sensibles portées à son attention sera de 8 jours calendaires au maximum, délai durant lequel, la cellule accusera réception de la plainte et adressera par écrit une réponse au plaignant annonçant les prochaines étapes. Quant aux plaintes sensibles telles qu’un accident grave ou mortelles, la Cellule doit immédiatement remonté l’information au projet et ce dernier saisira dans les 24 heures la Banque mondiale (IDA) via le Chargé de projet (TTL). </w:t>
      </w:r>
    </w:p>
    <w:p w14:paraId="314EEC6B" w14:textId="19F3A9D3" w:rsidR="00B4133D" w:rsidRDefault="00B4133D" w:rsidP="00B4133D">
      <w:pPr>
        <w:spacing w:after="0" w:line="240" w:lineRule="auto"/>
        <w:jc w:val="both"/>
        <w:rPr>
          <w:rFonts w:ascii="Times New Roman" w:hAnsi="Times New Roman"/>
          <w:sz w:val="24"/>
          <w:szCs w:val="24"/>
        </w:rPr>
      </w:pPr>
      <w:r w:rsidRPr="00317F3D">
        <w:rPr>
          <w:rFonts w:ascii="Times New Roman" w:hAnsi="Times New Roman"/>
          <w:sz w:val="24"/>
          <w:szCs w:val="24"/>
        </w:rPr>
        <w:t xml:space="preserve">La figure </w:t>
      </w:r>
      <w:r w:rsidR="006B5600" w:rsidRPr="00317F3D">
        <w:rPr>
          <w:rFonts w:ascii="Times New Roman" w:hAnsi="Times New Roman"/>
          <w:sz w:val="24"/>
          <w:szCs w:val="24"/>
        </w:rPr>
        <w:t>3</w:t>
      </w:r>
      <w:r w:rsidRPr="00317F3D">
        <w:rPr>
          <w:rFonts w:ascii="Times New Roman" w:hAnsi="Times New Roman"/>
          <w:sz w:val="24"/>
          <w:szCs w:val="24"/>
        </w:rPr>
        <w:t xml:space="preserve"> illustre la composition et responsabilités des organes du mécanisme de gestion des plaintes</w:t>
      </w:r>
      <w:r w:rsidR="00D93A64">
        <w:rPr>
          <w:rFonts w:ascii="Times New Roman" w:hAnsi="Times New Roman"/>
          <w:sz w:val="24"/>
          <w:szCs w:val="24"/>
        </w:rPr>
        <w:t>.</w:t>
      </w:r>
    </w:p>
    <w:p w14:paraId="78741FC4" w14:textId="77777777" w:rsidR="00D93A64" w:rsidRDefault="00D93A64" w:rsidP="00B4133D">
      <w:pPr>
        <w:spacing w:after="0" w:line="240" w:lineRule="auto"/>
        <w:jc w:val="both"/>
        <w:rPr>
          <w:rFonts w:ascii="Times New Roman" w:hAnsi="Times New Roman"/>
          <w:sz w:val="24"/>
          <w:szCs w:val="24"/>
        </w:rPr>
      </w:pPr>
    </w:p>
    <w:p w14:paraId="0D987F7D" w14:textId="77777777" w:rsidR="00D93A64" w:rsidRDefault="00D93A64" w:rsidP="00B4133D">
      <w:pPr>
        <w:spacing w:after="0" w:line="240" w:lineRule="auto"/>
        <w:jc w:val="both"/>
        <w:rPr>
          <w:rFonts w:ascii="Times New Roman" w:hAnsi="Times New Roman"/>
          <w:sz w:val="24"/>
          <w:szCs w:val="24"/>
        </w:rPr>
      </w:pPr>
    </w:p>
    <w:p w14:paraId="2E5FA79E" w14:textId="77777777" w:rsidR="00D93A64" w:rsidRDefault="00D93A64" w:rsidP="00B4133D">
      <w:pPr>
        <w:spacing w:after="0" w:line="240" w:lineRule="auto"/>
        <w:jc w:val="both"/>
        <w:rPr>
          <w:rFonts w:ascii="Times New Roman" w:hAnsi="Times New Roman"/>
          <w:sz w:val="24"/>
          <w:szCs w:val="24"/>
        </w:rPr>
      </w:pPr>
    </w:p>
    <w:p w14:paraId="3BD08755" w14:textId="77777777" w:rsidR="00317F3D" w:rsidRPr="00317F3D" w:rsidRDefault="00317F3D" w:rsidP="00B4133D">
      <w:pPr>
        <w:spacing w:after="0" w:line="240" w:lineRule="auto"/>
        <w:jc w:val="both"/>
        <w:rPr>
          <w:rFonts w:ascii="Times New Roman" w:hAnsi="Times New Roman"/>
          <w:sz w:val="24"/>
          <w:szCs w:val="24"/>
        </w:rPr>
      </w:pPr>
    </w:p>
    <w:p w14:paraId="49E4A623" w14:textId="56C13067" w:rsidR="00B4133D" w:rsidRPr="00D75D2E" w:rsidRDefault="006B5600" w:rsidP="00317F3D">
      <w:pPr>
        <w:pStyle w:val="Lgende"/>
      </w:pPr>
      <w:bookmarkStart w:id="1031" w:name="_Toc93050538"/>
      <w:r w:rsidRPr="00E737B4">
        <w:rPr>
          <w:iCs w:val="0"/>
          <w:sz w:val="24"/>
          <w:szCs w:val="24"/>
        </w:rPr>
        <w:t xml:space="preserve">Figure </w:t>
      </w:r>
      <w:r w:rsidR="00564B43" w:rsidRPr="00E737B4">
        <w:rPr>
          <w:iCs w:val="0"/>
          <w:noProof/>
          <w:sz w:val="24"/>
          <w:szCs w:val="24"/>
        </w:rPr>
        <w:fldChar w:fldCharType="begin"/>
      </w:r>
      <w:r w:rsidR="00564B43" w:rsidRPr="00E737B4">
        <w:rPr>
          <w:iCs w:val="0"/>
          <w:noProof/>
          <w:sz w:val="24"/>
          <w:szCs w:val="24"/>
        </w:rPr>
        <w:instrText xml:space="preserve"> SEQ Figure \* ARABIC </w:instrText>
      </w:r>
      <w:r w:rsidR="00564B43" w:rsidRPr="00E737B4">
        <w:rPr>
          <w:iCs w:val="0"/>
          <w:noProof/>
          <w:sz w:val="24"/>
          <w:szCs w:val="24"/>
        </w:rPr>
        <w:fldChar w:fldCharType="separate"/>
      </w:r>
      <w:r w:rsidR="00A86929">
        <w:rPr>
          <w:iCs w:val="0"/>
          <w:noProof/>
          <w:sz w:val="24"/>
          <w:szCs w:val="24"/>
        </w:rPr>
        <w:t>11</w:t>
      </w:r>
      <w:r w:rsidR="00564B43" w:rsidRPr="00E737B4">
        <w:rPr>
          <w:iCs w:val="0"/>
          <w:noProof/>
          <w:sz w:val="24"/>
          <w:szCs w:val="24"/>
        </w:rPr>
        <w:fldChar w:fldCharType="end"/>
      </w:r>
      <w:r w:rsidRPr="00E737B4">
        <w:rPr>
          <w:iCs w:val="0"/>
          <w:sz w:val="24"/>
          <w:szCs w:val="24"/>
        </w:rPr>
        <w:t xml:space="preserve"> : Organigramme des fonctions du MGP</w:t>
      </w:r>
      <w:bookmarkEnd w:id="1031"/>
    </w:p>
    <w:p w14:paraId="63C679E2" w14:textId="64B3565A" w:rsidR="00B4133D" w:rsidRPr="00D75D2E" w:rsidRDefault="002C66D7" w:rsidP="00B4133D">
      <w:pPr>
        <w:keepNext/>
        <w:spacing w:after="0" w:line="240" w:lineRule="auto"/>
        <w:jc w:val="both"/>
      </w:pPr>
      <w:r w:rsidRPr="00420C1B">
        <w:rPr>
          <w:rFonts w:ascii="Arial Narrow" w:hAnsi="Arial Narrow"/>
          <w:noProof/>
          <w:sz w:val="26"/>
          <w:szCs w:val="26"/>
          <w:lang w:eastAsia="fr-FR"/>
        </w:rPr>
        <w:drawing>
          <wp:inline distT="0" distB="0" distL="0" distR="0" wp14:anchorId="22DACEF1" wp14:editId="58CDA803">
            <wp:extent cx="5810250" cy="3448050"/>
            <wp:effectExtent l="19050" t="19050" r="19050" b="19050"/>
            <wp:docPr id="14"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0250" cy="3448050"/>
                    </a:xfrm>
                    <a:prstGeom prst="rect">
                      <a:avLst/>
                    </a:prstGeom>
                    <a:noFill/>
                    <a:ln w="9525" cmpd="sng">
                      <a:solidFill>
                        <a:srgbClr val="2E75B6"/>
                      </a:solidFill>
                      <a:miter lim="800000"/>
                      <a:headEnd/>
                      <a:tailEnd/>
                    </a:ln>
                    <a:effectLst/>
                  </pic:spPr>
                </pic:pic>
              </a:graphicData>
            </a:graphic>
          </wp:inline>
        </w:drawing>
      </w:r>
    </w:p>
    <w:p w14:paraId="503EC5E4" w14:textId="77777777" w:rsidR="00B4133D" w:rsidRPr="00D75D2E" w:rsidRDefault="00B4133D" w:rsidP="00B4133D">
      <w:pPr>
        <w:spacing w:after="0" w:line="240" w:lineRule="auto"/>
        <w:contextualSpacing/>
        <w:jc w:val="both"/>
        <w:rPr>
          <w:rFonts w:ascii="Times New Roman" w:hAnsi="Times New Roman"/>
        </w:rPr>
      </w:pPr>
    </w:p>
    <w:p w14:paraId="133AA029" w14:textId="77777777" w:rsidR="00B4133D" w:rsidRPr="00D75D2E" w:rsidRDefault="00B4133D" w:rsidP="00B4133D">
      <w:pPr>
        <w:rPr>
          <w:rFonts w:ascii="Times New Roman" w:hAnsi="Times New Roman"/>
          <w:sz w:val="24"/>
          <w:szCs w:val="24"/>
        </w:rPr>
      </w:pPr>
      <w:r w:rsidRPr="00D75D2E">
        <w:rPr>
          <w:rFonts w:ascii="Times New Roman" w:hAnsi="Times New Roman"/>
          <w:sz w:val="24"/>
          <w:szCs w:val="24"/>
        </w:rPr>
        <w:br w:type="page"/>
      </w:r>
    </w:p>
    <w:p w14:paraId="4B1F00B0" w14:textId="408F06E9" w:rsidR="00ED17F3" w:rsidRPr="00215867" w:rsidRDefault="00ED17F3" w:rsidP="00215867">
      <w:pPr>
        <w:pStyle w:val="Titre1"/>
        <w:numPr>
          <w:ilvl w:val="1"/>
          <w:numId w:val="54"/>
        </w:numPr>
        <w:spacing w:before="120" w:after="120" w:line="23" w:lineRule="atLeast"/>
        <w:ind w:left="709" w:hanging="567"/>
        <w:rPr>
          <w:b w:val="0"/>
        </w:rPr>
      </w:pPr>
      <w:bookmarkStart w:id="1032" w:name="_Toc33356353"/>
      <w:bookmarkStart w:id="1033" w:name="_Toc33356354"/>
      <w:bookmarkStart w:id="1034" w:name="_Toc103685761"/>
      <w:bookmarkEnd w:id="1032"/>
      <w:bookmarkEnd w:id="1033"/>
      <w:r w:rsidRPr="007E5A67">
        <w:t>Budget du PGES</w:t>
      </w:r>
      <w:bookmarkEnd w:id="1028"/>
      <w:bookmarkEnd w:id="1029"/>
      <w:bookmarkEnd w:id="1030"/>
      <w:bookmarkEnd w:id="1034"/>
    </w:p>
    <w:p w14:paraId="7F6A37D3" w14:textId="47409761" w:rsidR="00ED17F3" w:rsidRPr="005844BC" w:rsidRDefault="00ED17F3" w:rsidP="00317F3D">
      <w:pPr>
        <w:spacing w:after="0" w:line="240" w:lineRule="auto"/>
        <w:jc w:val="both"/>
        <w:rPr>
          <w:rFonts w:ascii="Times New Roman" w:hAnsi="Times New Roman"/>
          <w:sz w:val="24"/>
          <w:szCs w:val="24"/>
        </w:rPr>
      </w:pPr>
      <w:bookmarkStart w:id="1035" w:name="_Hlk84073947"/>
      <w:r w:rsidRPr="005844BC">
        <w:rPr>
          <w:rFonts w:ascii="Times New Roman" w:hAnsi="Times New Roman"/>
          <w:sz w:val="24"/>
          <w:szCs w:val="24"/>
        </w:rPr>
        <w:t>L</w:t>
      </w:r>
      <w:bookmarkStart w:id="1036" w:name="_Hlk519045878"/>
      <w:r w:rsidRPr="005844BC">
        <w:rPr>
          <w:rFonts w:ascii="Times New Roman" w:hAnsi="Times New Roman"/>
          <w:sz w:val="24"/>
          <w:szCs w:val="24"/>
        </w:rPr>
        <w:t xml:space="preserve">a mise en œuvre du PGES </w:t>
      </w:r>
      <w:bookmarkStart w:id="1037" w:name="_Hlk519043159"/>
      <w:r w:rsidRPr="005844BC">
        <w:rPr>
          <w:rFonts w:ascii="Times New Roman" w:hAnsi="Times New Roman"/>
          <w:sz w:val="24"/>
          <w:szCs w:val="24"/>
        </w:rPr>
        <w:t xml:space="preserve">est estimée à </w:t>
      </w:r>
      <w:r w:rsidRPr="005844BC">
        <w:rPr>
          <w:rFonts w:ascii="Times New Roman" w:hAnsi="Times New Roman"/>
          <w:b/>
          <w:bCs/>
          <w:sz w:val="24"/>
          <w:szCs w:val="24"/>
        </w:rPr>
        <w:t xml:space="preserve">  </w:t>
      </w:r>
      <w:r w:rsidR="005844BC" w:rsidRPr="00AE31F1">
        <w:rPr>
          <w:rFonts w:ascii="Times New Roman" w:eastAsia="Times New Roman" w:hAnsi="Times New Roman"/>
          <w:b/>
          <w:bCs/>
          <w:sz w:val="24"/>
          <w:szCs w:val="24"/>
          <w:lang w:eastAsia="fr-FR"/>
        </w:rPr>
        <w:t>206 0</w:t>
      </w:r>
      <w:r w:rsidR="005844BC">
        <w:rPr>
          <w:rFonts w:ascii="Times New Roman" w:eastAsia="Times New Roman" w:hAnsi="Times New Roman"/>
          <w:b/>
          <w:bCs/>
          <w:sz w:val="24"/>
          <w:szCs w:val="24"/>
          <w:lang w:eastAsia="fr-FR"/>
        </w:rPr>
        <w:t>5</w:t>
      </w:r>
      <w:r w:rsidR="005844BC" w:rsidRPr="00AE31F1">
        <w:rPr>
          <w:rFonts w:ascii="Times New Roman" w:eastAsia="Times New Roman" w:hAnsi="Times New Roman"/>
          <w:b/>
          <w:bCs/>
          <w:sz w:val="24"/>
          <w:szCs w:val="24"/>
          <w:lang w:eastAsia="fr-FR"/>
        </w:rPr>
        <w:t>0</w:t>
      </w:r>
      <w:r w:rsidR="00BF2063" w:rsidRPr="00AE31F1">
        <w:rPr>
          <w:rFonts w:ascii="Times New Roman" w:eastAsia="Times New Roman" w:hAnsi="Times New Roman"/>
          <w:b/>
          <w:bCs/>
          <w:sz w:val="24"/>
          <w:szCs w:val="24"/>
          <w:lang w:eastAsia="fr-FR"/>
        </w:rPr>
        <w:t xml:space="preserve"> </w:t>
      </w:r>
      <w:r w:rsidRPr="005844BC">
        <w:rPr>
          <w:rFonts w:ascii="Times New Roman" w:eastAsia="Times New Roman" w:hAnsi="Times New Roman"/>
          <w:b/>
          <w:bCs/>
          <w:sz w:val="24"/>
          <w:szCs w:val="24"/>
          <w:lang w:eastAsia="fr-FR"/>
        </w:rPr>
        <w:t>$</w:t>
      </w:r>
      <w:r w:rsidRPr="005844BC">
        <w:rPr>
          <w:rFonts w:ascii="Times New Roman" w:hAnsi="Times New Roman"/>
          <w:sz w:val="24"/>
          <w:szCs w:val="24"/>
        </w:rPr>
        <w:t xml:space="preserve"> US dont </w:t>
      </w:r>
      <w:r w:rsidRPr="005844BC">
        <w:rPr>
          <w:rFonts w:ascii="Times New Roman" w:hAnsi="Times New Roman"/>
          <w:b/>
          <w:bCs/>
          <w:sz w:val="24"/>
          <w:szCs w:val="24"/>
        </w:rPr>
        <w:t xml:space="preserve">  </w:t>
      </w:r>
      <w:r w:rsidR="005844BC" w:rsidRPr="00AE31F1">
        <w:rPr>
          <w:rFonts w:ascii="Times New Roman" w:eastAsia="Times New Roman" w:hAnsi="Times New Roman"/>
          <w:b/>
          <w:bCs/>
          <w:color w:val="000000"/>
          <w:sz w:val="24"/>
          <w:szCs w:val="24"/>
          <w:lang w:eastAsia="fr-FR"/>
        </w:rPr>
        <w:t>141 300</w:t>
      </w:r>
      <w:r w:rsidR="0083630B">
        <w:rPr>
          <w:rFonts w:ascii="Times New Roman" w:eastAsia="Times New Roman" w:hAnsi="Times New Roman"/>
          <w:b/>
          <w:bCs/>
          <w:color w:val="000000"/>
          <w:sz w:val="24"/>
          <w:szCs w:val="24"/>
          <w:lang w:eastAsia="fr-FR"/>
        </w:rPr>
        <w:t xml:space="preserve"> </w:t>
      </w:r>
      <w:r w:rsidRPr="005844BC">
        <w:rPr>
          <w:rFonts w:ascii="Times New Roman" w:eastAsia="Times New Roman" w:hAnsi="Times New Roman"/>
          <w:bCs/>
          <w:sz w:val="24"/>
          <w:szCs w:val="24"/>
          <w:lang w:eastAsia="fr-FR"/>
        </w:rPr>
        <w:t>$</w:t>
      </w:r>
      <w:r w:rsidR="0083630B">
        <w:rPr>
          <w:rFonts w:ascii="Times New Roman" w:eastAsia="Times New Roman" w:hAnsi="Times New Roman"/>
          <w:bCs/>
          <w:sz w:val="24"/>
          <w:szCs w:val="24"/>
          <w:lang w:eastAsia="fr-FR"/>
        </w:rPr>
        <w:t xml:space="preserve"> </w:t>
      </w:r>
      <w:r w:rsidRPr="005844BC">
        <w:rPr>
          <w:rFonts w:ascii="Times New Roman" w:eastAsia="Times New Roman" w:hAnsi="Times New Roman"/>
          <w:bCs/>
          <w:sz w:val="24"/>
          <w:szCs w:val="24"/>
          <w:lang w:eastAsia="fr-FR"/>
        </w:rPr>
        <w:t xml:space="preserve">US pris en charge par le projet et </w:t>
      </w:r>
      <w:r w:rsidR="005844BC" w:rsidRPr="00AE31F1">
        <w:rPr>
          <w:rFonts w:ascii="Times New Roman" w:eastAsia="Times New Roman" w:hAnsi="Times New Roman"/>
          <w:b/>
          <w:bCs/>
          <w:color w:val="000000"/>
          <w:sz w:val="24"/>
          <w:szCs w:val="24"/>
          <w:lang w:eastAsia="fr-FR"/>
        </w:rPr>
        <w:t>64 750</w:t>
      </w:r>
      <w:r w:rsidR="0083630B">
        <w:rPr>
          <w:rFonts w:ascii="Times New Roman" w:eastAsia="Times New Roman" w:hAnsi="Times New Roman"/>
          <w:b/>
          <w:bCs/>
          <w:color w:val="000000"/>
          <w:sz w:val="24"/>
          <w:szCs w:val="24"/>
          <w:lang w:eastAsia="fr-FR"/>
        </w:rPr>
        <w:t xml:space="preserve"> </w:t>
      </w:r>
      <w:r w:rsidRPr="005844BC">
        <w:rPr>
          <w:rFonts w:ascii="Times New Roman" w:eastAsia="Times New Roman" w:hAnsi="Times New Roman"/>
          <w:b/>
          <w:bCs/>
          <w:sz w:val="24"/>
          <w:szCs w:val="24"/>
          <w:lang w:eastAsia="fr-FR"/>
        </w:rPr>
        <w:t>$</w:t>
      </w:r>
      <w:r w:rsidRPr="005844BC">
        <w:rPr>
          <w:rFonts w:ascii="Times New Roman" w:eastAsia="Times New Roman" w:hAnsi="Times New Roman"/>
          <w:bCs/>
          <w:sz w:val="24"/>
          <w:szCs w:val="24"/>
          <w:lang w:eastAsia="fr-FR"/>
        </w:rPr>
        <w:t xml:space="preserve"> US pris en charge par l’entreprise</w:t>
      </w:r>
      <w:bookmarkEnd w:id="1036"/>
      <w:r w:rsidRPr="005844BC">
        <w:rPr>
          <w:rFonts w:ascii="Times New Roman" w:eastAsia="Times New Roman" w:hAnsi="Times New Roman"/>
          <w:bCs/>
          <w:sz w:val="24"/>
          <w:szCs w:val="24"/>
          <w:lang w:eastAsia="fr-FR"/>
        </w:rPr>
        <w:t xml:space="preserve"> </w:t>
      </w:r>
      <w:r w:rsidRPr="005844BC">
        <w:rPr>
          <w:rFonts w:ascii="Times New Roman" w:hAnsi="Times New Roman"/>
          <w:sz w:val="24"/>
          <w:szCs w:val="24"/>
        </w:rPr>
        <w:t xml:space="preserve">comme l’indique le tableau </w:t>
      </w:r>
      <w:bookmarkEnd w:id="1037"/>
      <w:r w:rsidR="007220AC" w:rsidRPr="005844BC">
        <w:rPr>
          <w:rFonts w:ascii="Times New Roman" w:hAnsi="Times New Roman"/>
          <w:sz w:val="24"/>
          <w:szCs w:val="24"/>
        </w:rPr>
        <w:t>6</w:t>
      </w:r>
      <w:r w:rsidR="007220AC">
        <w:rPr>
          <w:rFonts w:ascii="Times New Roman" w:hAnsi="Times New Roman"/>
          <w:sz w:val="24"/>
          <w:szCs w:val="24"/>
        </w:rPr>
        <w:t>6</w:t>
      </w:r>
      <w:r w:rsidRPr="005844BC">
        <w:rPr>
          <w:rFonts w:ascii="Times New Roman" w:hAnsi="Times New Roman"/>
          <w:sz w:val="24"/>
          <w:szCs w:val="24"/>
        </w:rPr>
        <w:t xml:space="preserve">.  </w:t>
      </w:r>
    </w:p>
    <w:p w14:paraId="28EC9C54" w14:textId="77777777" w:rsidR="00BF2063" w:rsidRPr="005844BC" w:rsidRDefault="00BF2063" w:rsidP="00317F3D">
      <w:pPr>
        <w:spacing w:after="0" w:line="240" w:lineRule="auto"/>
        <w:ind w:hanging="83"/>
        <w:jc w:val="both"/>
        <w:rPr>
          <w:rFonts w:ascii="Times New Roman" w:hAnsi="Times New Roman"/>
          <w:sz w:val="24"/>
          <w:szCs w:val="24"/>
        </w:rPr>
      </w:pPr>
    </w:p>
    <w:p w14:paraId="183613F7" w14:textId="0B3E2FD6" w:rsidR="005D3D65" w:rsidRDefault="00ED17F3" w:rsidP="00E737B4">
      <w:pPr>
        <w:pStyle w:val="Default"/>
        <w:spacing w:after="80"/>
        <w:ind w:hanging="85"/>
        <w:jc w:val="center"/>
        <w:rPr>
          <w:color w:val="auto"/>
          <w:szCs w:val="22"/>
        </w:rPr>
      </w:pPr>
      <w:bookmarkStart w:id="1038" w:name="_Toc519048962"/>
      <w:bookmarkStart w:id="1039" w:name="_Toc93050335"/>
      <w:r w:rsidRPr="00D75D2E">
        <w:rPr>
          <w:color w:val="auto"/>
          <w:szCs w:val="22"/>
        </w:rPr>
        <w:t xml:space="preserve">Tableau </w:t>
      </w:r>
      <w:r w:rsidRPr="00D75D2E">
        <w:rPr>
          <w:noProof/>
          <w:color w:val="auto"/>
          <w:szCs w:val="22"/>
        </w:rPr>
        <w:fldChar w:fldCharType="begin"/>
      </w:r>
      <w:r w:rsidRPr="00D75D2E">
        <w:rPr>
          <w:noProof/>
          <w:color w:val="auto"/>
          <w:szCs w:val="22"/>
        </w:rPr>
        <w:instrText xml:space="preserve"> SEQ Tableau \* ARABIC </w:instrText>
      </w:r>
      <w:r w:rsidRPr="00D75D2E">
        <w:rPr>
          <w:noProof/>
          <w:color w:val="auto"/>
          <w:szCs w:val="22"/>
        </w:rPr>
        <w:fldChar w:fldCharType="separate"/>
      </w:r>
      <w:r w:rsidR="00A86929">
        <w:rPr>
          <w:noProof/>
          <w:color w:val="auto"/>
          <w:szCs w:val="22"/>
        </w:rPr>
        <w:t>73</w:t>
      </w:r>
      <w:r w:rsidRPr="00D75D2E">
        <w:rPr>
          <w:noProof/>
          <w:color w:val="auto"/>
          <w:szCs w:val="22"/>
        </w:rPr>
        <w:fldChar w:fldCharType="end"/>
      </w:r>
      <w:r w:rsidRPr="00D75D2E">
        <w:rPr>
          <w:color w:val="auto"/>
          <w:szCs w:val="22"/>
        </w:rPr>
        <w:t> : Budget de mise en œuvre du PGES</w:t>
      </w:r>
      <w:bookmarkStart w:id="1040" w:name="_Toc452538267"/>
      <w:bookmarkEnd w:id="1038"/>
      <w:bookmarkEnd w:id="1039"/>
    </w:p>
    <w:tbl>
      <w:tblPr>
        <w:tblW w:w="9484" w:type="dxa"/>
        <w:jc w:val="center"/>
        <w:tblCellMar>
          <w:left w:w="70" w:type="dxa"/>
          <w:right w:w="70" w:type="dxa"/>
        </w:tblCellMar>
        <w:tblLook w:val="04A0" w:firstRow="1" w:lastRow="0" w:firstColumn="1" w:lastColumn="0" w:noHBand="0" w:noVBand="1"/>
      </w:tblPr>
      <w:tblGrid>
        <w:gridCol w:w="585"/>
        <w:gridCol w:w="2152"/>
        <w:gridCol w:w="946"/>
        <w:gridCol w:w="1372"/>
        <w:gridCol w:w="1027"/>
        <w:gridCol w:w="1134"/>
        <w:gridCol w:w="993"/>
        <w:gridCol w:w="1275"/>
      </w:tblGrid>
      <w:tr w:rsidR="009707D0" w:rsidRPr="00420C1B" w14:paraId="3E936B93" w14:textId="77777777" w:rsidTr="001736A5">
        <w:trPr>
          <w:trHeight w:val="804"/>
          <w:tblHeader/>
          <w:jc w:val="center"/>
        </w:trPr>
        <w:tc>
          <w:tcPr>
            <w:tcW w:w="585" w:type="dxa"/>
            <w:tcBorders>
              <w:top w:val="single" w:sz="8" w:space="0" w:color="auto"/>
              <w:left w:val="single" w:sz="8" w:space="0" w:color="auto"/>
              <w:bottom w:val="single" w:sz="8" w:space="0" w:color="auto"/>
              <w:right w:val="single" w:sz="8" w:space="0" w:color="auto"/>
            </w:tcBorders>
            <w:shd w:val="clear" w:color="000000" w:fill="A8D08D"/>
            <w:vAlign w:val="center"/>
            <w:hideMark/>
          </w:tcPr>
          <w:p w14:paraId="531547EE"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Code FDI</w:t>
            </w:r>
          </w:p>
        </w:tc>
        <w:tc>
          <w:tcPr>
            <w:tcW w:w="2152" w:type="dxa"/>
            <w:tcBorders>
              <w:top w:val="single" w:sz="8" w:space="0" w:color="auto"/>
              <w:left w:val="nil"/>
              <w:bottom w:val="single" w:sz="8" w:space="0" w:color="auto"/>
              <w:right w:val="single" w:sz="8" w:space="0" w:color="auto"/>
            </w:tcBorders>
            <w:shd w:val="clear" w:color="000000" w:fill="A8D08D"/>
            <w:vAlign w:val="center"/>
            <w:hideMark/>
          </w:tcPr>
          <w:p w14:paraId="727562EE" w14:textId="77777777" w:rsidR="009707D0" w:rsidRPr="009707D0" w:rsidRDefault="009707D0" w:rsidP="009707D0">
            <w:pPr>
              <w:spacing w:after="0" w:line="240" w:lineRule="auto"/>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Mesures d’atténuation</w:t>
            </w:r>
          </w:p>
        </w:tc>
        <w:tc>
          <w:tcPr>
            <w:tcW w:w="946" w:type="dxa"/>
            <w:tcBorders>
              <w:top w:val="single" w:sz="8" w:space="0" w:color="auto"/>
              <w:left w:val="nil"/>
              <w:bottom w:val="single" w:sz="8" w:space="0" w:color="auto"/>
              <w:right w:val="single" w:sz="8" w:space="0" w:color="auto"/>
            </w:tcBorders>
            <w:shd w:val="clear" w:color="000000" w:fill="A8D08D"/>
            <w:vAlign w:val="center"/>
            <w:hideMark/>
          </w:tcPr>
          <w:p w14:paraId="1C612CC3"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Unités</w:t>
            </w:r>
          </w:p>
        </w:tc>
        <w:tc>
          <w:tcPr>
            <w:tcW w:w="1372" w:type="dxa"/>
            <w:tcBorders>
              <w:top w:val="single" w:sz="8" w:space="0" w:color="auto"/>
              <w:left w:val="nil"/>
              <w:bottom w:val="single" w:sz="8" w:space="0" w:color="auto"/>
              <w:right w:val="single" w:sz="8" w:space="0" w:color="auto"/>
            </w:tcBorders>
            <w:shd w:val="clear" w:color="000000" w:fill="A8D08D"/>
            <w:vAlign w:val="center"/>
            <w:hideMark/>
          </w:tcPr>
          <w:p w14:paraId="56FF08AF"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Quantités</w:t>
            </w:r>
          </w:p>
        </w:tc>
        <w:tc>
          <w:tcPr>
            <w:tcW w:w="1027" w:type="dxa"/>
            <w:tcBorders>
              <w:top w:val="single" w:sz="8" w:space="0" w:color="auto"/>
              <w:left w:val="nil"/>
              <w:bottom w:val="single" w:sz="8" w:space="0" w:color="auto"/>
              <w:right w:val="single" w:sz="8" w:space="0" w:color="auto"/>
            </w:tcBorders>
            <w:shd w:val="clear" w:color="000000" w:fill="A8D08D"/>
            <w:vAlign w:val="center"/>
            <w:hideMark/>
          </w:tcPr>
          <w:p w14:paraId="10FD053B"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Coûts unitaires en $</w:t>
            </w:r>
          </w:p>
        </w:tc>
        <w:tc>
          <w:tcPr>
            <w:tcW w:w="1134" w:type="dxa"/>
            <w:tcBorders>
              <w:top w:val="single" w:sz="8" w:space="0" w:color="auto"/>
              <w:left w:val="nil"/>
              <w:bottom w:val="single" w:sz="8" w:space="0" w:color="auto"/>
              <w:right w:val="single" w:sz="8" w:space="0" w:color="auto"/>
            </w:tcBorders>
            <w:shd w:val="clear" w:color="000000" w:fill="A8D08D"/>
            <w:vAlign w:val="center"/>
            <w:hideMark/>
          </w:tcPr>
          <w:p w14:paraId="55BE723D"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Entreprise en $</w:t>
            </w:r>
          </w:p>
        </w:tc>
        <w:tc>
          <w:tcPr>
            <w:tcW w:w="993" w:type="dxa"/>
            <w:tcBorders>
              <w:top w:val="single" w:sz="8" w:space="0" w:color="auto"/>
              <w:left w:val="nil"/>
              <w:bottom w:val="single" w:sz="8" w:space="0" w:color="auto"/>
              <w:right w:val="single" w:sz="8" w:space="0" w:color="auto"/>
            </w:tcBorders>
            <w:shd w:val="clear" w:color="000000" w:fill="A8D08D"/>
            <w:vAlign w:val="center"/>
            <w:hideMark/>
          </w:tcPr>
          <w:p w14:paraId="063164C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Projet</w:t>
            </w:r>
          </w:p>
        </w:tc>
        <w:tc>
          <w:tcPr>
            <w:tcW w:w="1275" w:type="dxa"/>
            <w:tcBorders>
              <w:top w:val="single" w:sz="8" w:space="0" w:color="auto"/>
              <w:left w:val="nil"/>
              <w:bottom w:val="single" w:sz="8" w:space="0" w:color="auto"/>
              <w:right w:val="single" w:sz="8" w:space="0" w:color="auto"/>
            </w:tcBorders>
            <w:shd w:val="clear" w:color="000000" w:fill="A8D08D"/>
            <w:vAlign w:val="center"/>
            <w:hideMark/>
          </w:tcPr>
          <w:p w14:paraId="2FF3FF3C"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TOTAL</w:t>
            </w:r>
          </w:p>
        </w:tc>
      </w:tr>
      <w:tr w:rsidR="009707D0" w:rsidRPr="00420C1B" w14:paraId="727E09D4" w14:textId="77777777" w:rsidTr="001736A5">
        <w:trPr>
          <w:trHeight w:val="300"/>
          <w:jc w:val="center"/>
        </w:trPr>
        <w:tc>
          <w:tcPr>
            <w:tcW w:w="948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3892CAE2"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Impacts environnementaux</w:t>
            </w:r>
          </w:p>
        </w:tc>
      </w:tr>
      <w:tr w:rsidR="009707D0" w:rsidRPr="00420C1B" w14:paraId="3AA97477"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684C000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46A9E9AE"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7F76899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0188FD0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préparatoire</w:t>
            </w:r>
          </w:p>
        </w:tc>
        <w:tc>
          <w:tcPr>
            <w:tcW w:w="1027" w:type="dxa"/>
            <w:tcBorders>
              <w:top w:val="nil"/>
              <w:left w:val="nil"/>
              <w:bottom w:val="single" w:sz="8" w:space="0" w:color="auto"/>
              <w:right w:val="single" w:sz="8" w:space="0" w:color="auto"/>
            </w:tcBorders>
            <w:shd w:val="clear" w:color="auto" w:fill="auto"/>
            <w:noWrap/>
            <w:vAlign w:val="center"/>
            <w:hideMark/>
          </w:tcPr>
          <w:p w14:paraId="7F5F148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7DA2B6C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664C2B0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131C2AF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7BFF659A" w14:textId="77777777" w:rsidTr="001736A5">
        <w:trPr>
          <w:trHeight w:val="54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11E5C33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2152" w:type="dxa"/>
            <w:tcBorders>
              <w:top w:val="nil"/>
              <w:left w:val="nil"/>
              <w:bottom w:val="single" w:sz="8" w:space="0" w:color="auto"/>
              <w:right w:val="single" w:sz="8" w:space="0" w:color="auto"/>
            </w:tcBorders>
            <w:shd w:val="clear" w:color="auto" w:fill="auto"/>
            <w:vAlign w:val="center"/>
            <w:hideMark/>
          </w:tcPr>
          <w:p w14:paraId="367DC6A1"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Reboisements compensatoires</w:t>
            </w:r>
          </w:p>
        </w:tc>
        <w:tc>
          <w:tcPr>
            <w:tcW w:w="946" w:type="dxa"/>
            <w:tcBorders>
              <w:top w:val="nil"/>
              <w:left w:val="nil"/>
              <w:bottom w:val="single" w:sz="8" w:space="0" w:color="auto"/>
              <w:right w:val="single" w:sz="8" w:space="0" w:color="auto"/>
            </w:tcBorders>
            <w:shd w:val="clear" w:color="auto" w:fill="auto"/>
            <w:noWrap/>
            <w:vAlign w:val="center"/>
            <w:hideMark/>
          </w:tcPr>
          <w:p w14:paraId="1239DF3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Pied</w:t>
            </w:r>
          </w:p>
        </w:tc>
        <w:tc>
          <w:tcPr>
            <w:tcW w:w="1372" w:type="dxa"/>
            <w:tcBorders>
              <w:top w:val="nil"/>
              <w:left w:val="nil"/>
              <w:bottom w:val="single" w:sz="8" w:space="0" w:color="auto"/>
              <w:right w:val="single" w:sz="8" w:space="0" w:color="auto"/>
            </w:tcBorders>
            <w:shd w:val="clear" w:color="auto" w:fill="auto"/>
            <w:noWrap/>
            <w:vAlign w:val="center"/>
            <w:hideMark/>
          </w:tcPr>
          <w:p w14:paraId="5133FFF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w:t>
            </w:r>
            <w:r w:rsidRPr="009707D0">
              <w:rPr>
                <w:rFonts w:eastAsia="Times New Roman" w:cs="Calibri"/>
                <w:color w:val="000000"/>
                <w:sz w:val="16"/>
                <w:szCs w:val="16"/>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52EF842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134" w:type="dxa"/>
            <w:tcBorders>
              <w:top w:val="nil"/>
              <w:left w:val="nil"/>
              <w:bottom w:val="single" w:sz="8" w:space="0" w:color="auto"/>
              <w:right w:val="single" w:sz="8" w:space="0" w:color="auto"/>
            </w:tcBorders>
            <w:shd w:val="clear" w:color="auto" w:fill="auto"/>
            <w:noWrap/>
            <w:vAlign w:val="center"/>
            <w:hideMark/>
          </w:tcPr>
          <w:p w14:paraId="49AE2C81"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39EE244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2000</w:t>
            </w:r>
          </w:p>
        </w:tc>
        <w:tc>
          <w:tcPr>
            <w:tcW w:w="1275" w:type="dxa"/>
            <w:tcBorders>
              <w:top w:val="nil"/>
              <w:left w:val="nil"/>
              <w:bottom w:val="single" w:sz="8" w:space="0" w:color="auto"/>
              <w:right w:val="single" w:sz="8" w:space="0" w:color="auto"/>
            </w:tcBorders>
            <w:shd w:val="clear" w:color="auto" w:fill="auto"/>
            <w:noWrap/>
            <w:vAlign w:val="center"/>
            <w:hideMark/>
          </w:tcPr>
          <w:p w14:paraId="7FF1D82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2000</w:t>
            </w:r>
          </w:p>
        </w:tc>
      </w:tr>
      <w:tr w:rsidR="009707D0" w:rsidRPr="00420C1B" w14:paraId="438CDCCD" w14:textId="77777777" w:rsidTr="001736A5">
        <w:trPr>
          <w:trHeight w:val="804"/>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0FE9BFC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w:t>
            </w:r>
          </w:p>
        </w:tc>
        <w:tc>
          <w:tcPr>
            <w:tcW w:w="2152" w:type="dxa"/>
            <w:tcBorders>
              <w:top w:val="nil"/>
              <w:left w:val="nil"/>
              <w:bottom w:val="single" w:sz="8" w:space="0" w:color="auto"/>
              <w:right w:val="single" w:sz="8" w:space="0" w:color="auto"/>
            </w:tcBorders>
            <w:shd w:val="clear" w:color="auto" w:fill="auto"/>
            <w:vAlign w:val="center"/>
            <w:hideMark/>
          </w:tcPr>
          <w:p w14:paraId="156E1DDE"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Information et sensibilisation sur l’interdiction des chasses</w:t>
            </w:r>
          </w:p>
        </w:tc>
        <w:tc>
          <w:tcPr>
            <w:tcW w:w="946" w:type="dxa"/>
            <w:tcBorders>
              <w:top w:val="nil"/>
              <w:left w:val="nil"/>
              <w:bottom w:val="single" w:sz="8" w:space="0" w:color="auto"/>
              <w:right w:val="single" w:sz="8" w:space="0" w:color="auto"/>
            </w:tcBorders>
            <w:shd w:val="clear" w:color="auto" w:fill="auto"/>
            <w:noWrap/>
            <w:vAlign w:val="center"/>
            <w:hideMark/>
          </w:tcPr>
          <w:p w14:paraId="3C7C7D7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Séance</w:t>
            </w:r>
          </w:p>
        </w:tc>
        <w:tc>
          <w:tcPr>
            <w:tcW w:w="1372" w:type="dxa"/>
            <w:tcBorders>
              <w:top w:val="nil"/>
              <w:left w:val="nil"/>
              <w:bottom w:val="single" w:sz="8" w:space="0" w:color="auto"/>
              <w:right w:val="single" w:sz="8" w:space="0" w:color="auto"/>
            </w:tcBorders>
            <w:shd w:val="clear" w:color="auto" w:fill="auto"/>
            <w:noWrap/>
            <w:vAlign w:val="center"/>
            <w:hideMark/>
          </w:tcPr>
          <w:p w14:paraId="0EE5A0A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1A504A5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1541674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092460B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53A0313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65FB1C20" w14:textId="77777777" w:rsidTr="001736A5">
        <w:trPr>
          <w:trHeight w:val="54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0DFF8BC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3</w:t>
            </w:r>
          </w:p>
        </w:tc>
        <w:tc>
          <w:tcPr>
            <w:tcW w:w="2152" w:type="dxa"/>
            <w:tcBorders>
              <w:top w:val="nil"/>
              <w:left w:val="nil"/>
              <w:bottom w:val="single" w:sz="8" w:space="0" w:color="auto"/>
              <w:right w:val="single" w:sz="8" w:space="0" w:color="auto"/>
            </w:tcBorders>
            <w:shd w:val="clear" w:color="auto" w:fill="auto"/>
            <w:vAlign w:val="center"/>
            <w:hideMark/>
          </w:tcPr>
          <w:p w14:paraId="1FA2FD75"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Plan d’IEC et de gestion des déchets</w:t>
            </w:r>
          </w:p>
        </w:tc>
        <w:tc>
          <w:tcPr>
            <w:tcW w:w="946" w:type="dxa"/>
            <w:tcBorders>
              <w:top w:val="nil"/>
              <w:left w:val="nil"/>
              <w:bottom w:val="single" w:sz="8" w:space="0" w:color="auto"/>
              <w:right w:val="single" w:sz="8" w:space="0" w:color="auto"/>
            </w:tcBorders>
            <w:shd w:val="clear" w:color="auto" w:fill="auto"/>
            <w:noWrap/>
            <w:vAlign w:val="center"/>
            <w:hideMark/>
          </w:tcPr>
          <w:p w14:paraId="4AE23E0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Séance</w:t>
            </w:r>
          </w:p>
        </w:tc>
        <w:tc>
          <w:tcPr>
            <w:tcW w:w="1372" w:type="dxa"/>
            <w:tcBorders>
              <w:top w:val="nil"/>
              <w:left w:val="nil"/>
              <w:bottom w:val="single" w:sz="8" w:space="0" w:color="auto"/>
              <w:right w:val="single" w:sz="8" w:space="0" w:color="auto"/>
            </w:tcBorders>
            <w:shd w:val="clear" w:color="auto" w:fill="auto"/>
            <w:noWrap/>
            <w:vAlign w:val="center"/>
            <w:hideMark/>
          </w:tcPr>
          <w:p w14:paraId="647197A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74D40C6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05EDB03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0A8E7A0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16EB8FD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669D8547"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6D72E7B7"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6C304D7D"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Récipient de récupération</w:t>
            </w:r>
          </w:p>
        </w:tc>
        <w:tc>
          <w:tcPr>
            <w:tcW w:w="946" w:type="dxa"/>
            <w:tcBorders>
              <w:top w:val="nil"/>
              <w:left w:val="nil"/>
              <w:bottom w:val="single" w:sz="8" w:space="0" w:color="auto"/>
              <w:right w:val="single" w:sz="8" w:space="0" w:color="auto"/>
            </w:tcBorders>
            <w:shd w:val="clear" w:color="auto" w:fill="auto"/>
            <w:noWrap/>
            <w:vAlign w:val="center"/>
            <w:hideMark/>
          </w:tcPr>
          <w:p w14:paraId="1419B7E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Bac</w:t>
            </w:r>
          </w:p>
        </w:tc>
        <w:tc>
          <w:tcPr>
            <w:tcW w:w="1372" w:type="dxa"/>
            <w:tcBorders>
              <w:top w:val="nil"/>
              <w:left w:val="nil"/>
              <w:bottom w:val="single" w:sz="8" w:space="0" w:color="auto"/>
              <w:right w:val="single" w:sz="8" w:space="0" w:color="auto"/>
            </w:tcBorders>
            <w:shd w:val="clear" w:color="auto" w:fill="auto"/>
            <w:noWrap/>
            <w:vAlign w:val="center"/>
            <w:hideMark/>
          </w:tcPr>
          <w:p w14:paraId="39B1371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25</w:t>
            </w:r>
          </w:p>
        </w:tc>
        <w:tc>
          <w:tcPr>
            <w:tcW w:w="1027" w:type="dxa"/>
            <w:tcBorders>
              <w:top w:val="nil"/>
              <w:left w:val="nil"/>
              <w:bottom w:val="single" w:sz="8" w:space="0" w:color="auto"/>
              <w:right w:val="single" w:sz="8" w:space="0" w:color="auto"/>
            </w:tcBorders>
            <w:shd w:val="clear" w:color="auto" w:fill="auto"/>
            <w:noWrap/>
            <w:vAlign w:val="center"/>
            <w:hideMark/>
          </w:tcPr>
          <w:p w14:paraId="5E9B583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w:t>
            </w:r>
          </w:p>
        </w:tc>
        <w:tc>
          <w:tcPr>
            <w:tcW w:w="1134" w:type="dxa"/>
            <w:tcBorders>
              <w:top w:val="nil"/>
              <w:left w:val="nil"/>
              <w:bottom w:val="single" w:sz="8" w:space="0" w:color="auto"/>
              <w:right w:val="single" w:sz="8" w:space="0" w:color="auto"/>
            </w:tcBorders>
            <w:shd w:val="clear" w:color="auto" w:fill="auto"/>
            <w:noWrap/>
            <w:vAlign w:val="center"/>
            <w:hideMark/>
          </w:tcPr>
          <w:p w14:paraId="08939D7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1250</w:t>
            </w:r>
          </w:p>
        </w:tc>
        <w:tc>
          <w:tcPr>
            <w:tcW w:w="993" w:type="dxa"/>
            <w:tcBorders>
              <w:top w:val="nil"/>
              <w:left w:val="nil"/>
              <w:bottom w:val="single" w:sz="8" w:space="0" w:color="auto"/>
              <w:right w:val="single" w:sz="8" w:space="0" w:color="auto"/>
            </w:tcBorders>
            <w:shd w:val="clear" w:color="auto" w:fill="auto"/>
            <w:noWrap/>
            <w:vAlign w:val="center"/>
            <w:hideMark/>
          </w:tcPr>
          <w:p w14:paraId="220D425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71B5CD9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1250</w:t>
            </w:r>
          </w:p>
        </w:tc>
      </w:tr>
      <w:tr w:rsidR="009707D0" w:rsidRPr="00420C1B" w14:paraId="37023635" w14:textId="77777777" w:rsidTr="001736A5">
        <w:trPr>
          <w:trHeight w:val="300"/>
          <w:jc w:val="center"/>
        </w:trPr>
        <w:tc>
          <w:tcPr>
            <w:tcW w:w="585" w:type="dxa"/>
            <w:tcBorders>
              <w:top w:val="nil"/>
              <w:left w:val="single" w:sz="8" w:space="0" w:color="auto"/>
              <w:bottom w:val="single" w:sz="8" w:space="0" w:color="000000"/>
              <w:right w:val="single" w:sz="8" w:space="0" w:color="auto"/>
            </w:tcBorders>
            <w:shd w:val="clear" w:color="auto" w:fill="auto"/>
            <w:vAlign w:val="center"/>
            <w:hideMark/>
          </w:tcPr>
          <w:p w14:paraId="440EEA3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0B3BBEE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0E189BD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611F1F6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de Construction</w:t>
            </w:r>
          </w:p>
        </w:tc>
        <w:tc>
          <w:tcPr>
            <w:tcW w:w="1027" w:type="dxa"/>
            <w:tcBorders>
              <w:top w:val="nil"/>
              <w:left w:val="nil"/>
              <w:bottom w:val="single" w:sz="8" w:space="0" w:color="auto"/>
              <w:right w:val="single" w:sz="8" w:space="0" w:color="auto"/>
            </w:tcBorders>
            <w:shd w:val="clear" w:color="auto" w:fill="auto"/>
            <w:noWrap/>
            <w:vAlign w:val="center"/>
            <w:hideMark/>
          </w:tcPr>
          <w:p w14:paraId="0203C6C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65EC668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39270EE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2A73C96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3270564C" w14:textId="77777777" w:rsidTr="001736A5">
        <w:trPr>
          <w:trHeight w:val="54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6AE6552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4</w:t>
            </w:r>
          </w:p>
        </w:tc>
        <w:tc>
          <w:tcPr>
            <w:tcW w:w="2152" w:type="dxa"/>
            <w:tcBorders>
              <w:top w:val="nil"/>
              <w:left w:val="nil"/>
              <w:bottom w:val="single" w:sz="8" w:space="0" w:color="auto"/>
              <w:right w:val="single" w:sz="8" w:space="0" w:color="auto"/>
            </w:tcBorders>
            <w:shd w:val="clear" w:color="auto" w:fill="auto"/>
            <w:vAlign w:val="center"/>
            <w:hideMark/>
          </w:tcPr>
          <w:p w14:paraId="215DF1CB"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la limitation de la pollution de l’air</w:t>
            </w:r>
          </w:p>
        </w:tc>
        <w:tc>
          <w:tcPr>
            <w:tcW w:w="946" w:type="dxa"/>
            <w:tcBorders>
              <w:top w:val="nil"/>
              <w:left w:val="nil"/>
              <w:bottom w:val="single" w:sz="8" w:space="0" w:color="auto"/>
              <w:right w:val="single" w:sz="8" w:space="0" w:color="auto"/>
            </w:tcBorders>
            <w:shd w:val="clear" w:color="auto" w:fill="auto"/>
            <w:noWrap/>
            <w:vAlign w:val="center"/>
            <w:hideMark/>
          </w:tcPr>
          <w:p w14:paraId="2C11C1C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Séance</w:t>
            </w:r>
          </w:p>
        </w:tc>
        <w:tc>
          <w:tcPr>
            <w:tcW w:w="1372" w:type="dxa"/>
            <w:tcBorders>
              <w:top w:val="nil"/>
              <w:left w:val="nil"/>
              <w:bottom w:val="single" w:sz="8" w:space="0" w:color="auto"/>
              <w:right w:val="single" w:sz="8" w:space="0" w:color="auto"/>
            </w:tcBorders>
            <w:shd w:val="clear" w:color="auto" w:fill="auto"/>
            <w:noWrap/>
            <w:vAlign w:val="center"/>
            <w:hideMark/>
          </w:tcPr>
          <w:p w14:paraId="4044B32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2698FB2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55E75B1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279F228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1EFB86D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5ADFFFCF"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1AAB6EF0"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3DCBB20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Dotation en EPI</w:t>
            </w:r>
          </w:p>
        </w:tc>
        <w:tc>
          <w:tcPr>
            <w:tcW w:w="946" w:type="dxa"/>
            <w:tcBorders>
              <w:top w:val="nil"/>
              <w:left w:val="nil"/>
              <w:bottom w:val="single" w:sz="8" w:space="0" w:color="auto"/>
              <w:right w:val="single" w:sz="8" w:space="0" w:color="auto"/>
            </w:tcBorders>
            <w:shd w:val="clear" w:color="auto" w:fill="auto"/>
            <w:noWrap/>
            <w:vAlign w:val="center"/>
            <w:hideMark/>
          </w:tcPr>
          <w:p w14:paraId="4A7A4D6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50F92AF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75</w:t>
            </w:r>
          </w:p>
        </w:tc>
        <w:tc>
          <w:tcPr>
            <w:tcW w:w="1027" w:type="dxa"/>
            <w:tcBorders>
              <w:top w:val="nil"/>
              <w:left w:val="nil"/>
              <w:bottom w:val="single" w:sz="8" w:space="0" w:color="auto"/>
              <w:right w:val="single" w:sz="8" w:space="0" w:color="auto"/>
            </w:tcBorders>
            <w:shd w:val="clear" w:color="auto" w:fill="auto"/>
            <w:noWrap/>
            <w:vAlign w:val="center"/>
            <w:hideMark/>
          </w:tcPr>
          <w:p w14:paraId="01F2DDF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w:t>
            </w:r>
          </w:p>
        </w:tc>
        <w:tc>
          <w:tcPr>
            <w:tcW w:w="1134" w:type="dxa"/>
            <w:tcBorders>
              <w:top w:val="nil"/>
              <w:left w:val="nil"/>
              <w:bottom w:val="single" w:sz="8" w:space="0" w:color="auto"/>
              <w:right w:val="single" w:sz="8" w:space="0" w:color="auto"/>
            </w:tcBorders>
            <w:shd w:val="clear" w:color="auto" w:fill="auto"/>
            <w:noWrap/>
            <w:vAlign w:val="center"/>
            <w:hideMark/>
          </w:tcPr>
          <w:p w14:paraId="5D3A0D1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15000</w:t>
            </w:r>
          </w:p>
        </w:tc>
        <w:tc>
          <w:tcPr>
            <w:tcW w:w="993" w:type="dxa"/>
            <w:tcBorders>
              <w:top w:val="nil"/>
              <w:left w:val="nil"/>
              <w:bottom w:val="single" w:sz="8" w:space="0" w:color="auto"/>
              <w:right w:val="single" w:sz="8" w:space="0" w:color="auto"/>
            </w:tcBorders>
            <w:shd w:val="clear" w:color="auto" w:fill="auto"/>
            <w:noWrap/>
            <w:vAlign w:val="center"/>
            <w:hideMark/>
          </w:tcPr>
          <w:p w14:paraId="17152CB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0</w:t>
            </w:r>
          </w:p>
        </w:tc>
        <w:tc>
          <w:tcPr>
            <w:tcW w:w="1275" w:type="dxa"/>
            <w:tcBorders>
              <w:top w:val="nil"/>
              <w:left w:val="nil"/>
              <w:bottom w:val="single" w:sz="8" w:space="0" w:color="auto"/>
              <w:right w:val="single" w:sz="8" w:space="0" w:color="auto"/>
            </w:tcBorders>
            <w:shd w:val="clear" w:color="auto" w:fill="auto"/>
            <w:noWrap/>
            <w:vAlign w:val="center"/>
            <w:hideMark/>
          </w:tcPr>
          <w:p w14:paraId="226013B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15000</w:t>
            </w:r>
          </w:p>
        </w:tc>
      </w:tr>
      <w:tr w:rsidR="009707D0" w:rsidRPr="00420C1B" w14:paraId="3A50768E" w14:textId="77777777" w:rsidTr="001736A5">
        <w:trPr>
          <w:trHeight w:val="30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5E657CD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w:t>
            </w:r>
          </w:p>
        </w:tc>
        <w:tc>
          <w:tcPr>
            <w:tcW w:w="2152" w:type="dxa"/>
            <w:tcBorders>
              <w:top w:val="nil"/>
              <w:left w:val="nil"/>
              <w:bottom w:val="single" w:sz="8" w:space="0" w:color="auto"/>
              <w:right w:val="single" w:sz="8" w:space="0" w:color="auto"/>
            </w:tcBorders>
            <w:shd w:val="clear" w:color="auto" w:fill="auto"/>
            <w:vAlign w:val="center"/>
            <w:hideMark/>
          </w:tcPr>
          <w:p w14:paraId="7674343A"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Récipient de récupération</w:t>
            </w:r>
          </w:p>
        </w:tc>
        <w:tc>
          <w:tcPr>
            <w:tcW w:w="946" w:type="dxa"/>
            <w:tcBorders>
              <w:top w:val="nil"/>
              <w:left w:val="nil"/>
              <w:bottom w:val="single" w:sz="8" w:space="0" w:color="auto"/>
              <w:right w:val="single" w:sz="8" w:space="0" w:color="auto"/>
            </w:tcBorders>
            <w:shd w:val="clear" w:color="auto" w:fill="auto"/>
            <w:noWrap/>
            <w:vAlign w:val="center"/>
            <w:hideMark/>
          </w:tcPr>
          <w:p w14:paraId="63047E4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Bac</w:t>
            </w:r>
          </w:p>
        </w:tc>
        <w:tc>
          <w:tcPr>
            <w:tcW w:w="1372" w:type="dxa"/>
            <w:tcBorders>
              <w:top w:val="nil"/>
              <w:left w:val="nil"/>
              <w:bottom w:val="single" w:sz="8" w:space="0" w:color="auto"/>
              <w:right w:val="single" w:sz="8" w:space="0" w:color="auto"/>
            </w:tcBorders>
            <w:shd w:val="clear" w:color="auto" w:fill="auto"/>
            <w:noWrap/>
            <w:vAlign w:val="center"/>
            <w:hideMark/>
          </w:tcPr>
          <w:p w14:paraId="3E6CF7C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25</w:t>
            </w:r>
          </w:p>
        </w:tc>
        <w:tc>
          <w:tcPr>
            <w:tcW w:w="1027" w:type="dxa"/>
            <w:tcBorders>
              <w:top w:val="nil"/>
              <w:left w:val="nil"/>
              <w:bottom w:val="single" w:sz="8" w:space="0" w:color="auto"/>
              <w:right w:val="single" w:sz="8" w:space="0" w:color="auto"/>
            </w:tcBorders>
            <w:shd w:val="clear" w:color="auto" w:fill="auto"/>
            <w:noWrap/>
            <w:vAlign w:val="center"/>
            <w:hideMark/>
          </w:tcPr>
          <w:p w14:paraId="756B726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w:t>
            </w:r>
          </w:p>
        </w:tc>
        <w:tc>
          <w:tcPr>
            <w:tcW w:w="1134" w:type="dxa"/>
            <w:tcBorders>
              <w:top w:val="nil"/>
              <w:left w:val="nil"/>
              <w:bottom w:val="single" w:sz="8" w:space="0" w:color="auto"/>
              <w:right w:val="single" w:sz="8" w:space="0" w:color="auto"/>
            </w:tcBorders>
            <w:shd w:val="clear" w:color="auto" w:fill="auto"/>
            <w:noWrap/>
            <w:vAlign w:val="center"/>
            <w:hideMark/>
          </w:tcPr>
          <w:p w14:paraId="3610A7B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1250</w:t>
            </w:r>
          </w:p>
        </w:tc>
        <w:tc>
          <w:tcPr>
            <w:tcW w:w="993" w:type="dxa"/>
            <w:tcBorders>
              <w:top w:val="nil"/>
              <w:left w:val="nil"/>
              <w:bottom w:val="single" w:sz="8" w:space="0" w:color="auto"/>
              <w:right w:val="single" w:sz="8" w:space="0" w:color="auto"/>
            </w:tcBorders>
            <w:shd w:val="clear" w:color="auto" w:fill="auto"/>
            <w:noWrap/>
            <w:vAlign w:val="center"/>
            <w:hideMark/>
          </w:tcPr>
          <w:p w14:paraId="37FF10A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4F2E326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1250</w:t>
            </w:r>
          </w:p>
        </w:tc>
      </w:tr>
      <w:tr w:rsidR="009707D0" w:rsidRPr="00420C1B" w14:paraId="2526826F"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3BE0F6F5"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406EF8E2"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Visite technique</w:t>
            </w:r>
          </w:p>
        </w:tc>
        <w:tc>
          <w:tcPr>
            <w:tcW w:w="946" w:type="dxa"/>
            <w:tcBorders>
              <w:top w:val="nil"/>
              <w:left w:val="nil"/>
              <w:bottom w:val="single" w:sz="8" w:space="0" w:color="auto"/>
              <w:right w:val="single" w:sz="8" w:space="0" w:color="auto"/>
            </w:tcBorders>
            <w:shd w:val="clear" w:color="auto" w:fill="auto"/>
            <w:noWrap/>
            <w:vAlign w:val="center"/>
            <w:hideMark/>
          </w:tcPr>
          <w:p w14:paraId="7C4ED4C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7746F9D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w:t>
            </w:r>
          </w:p>
        </w:tc>
        <w:tc>
          <w:tcPr>
            <w:tcW w:w="1027" w:type="dxa"/>
            <w:tcBorders>
              <w:top w:val="nil"/>
              <w:left w:val="nil"/>
              <w:bottom w:val="single" w:sz="8" w:space="0" w:color="auto"/>
              <w:right w:val="single" w:sz="8" w:space="0" w:color="auto"/>
            </w:tcBorders>
            <w:shd w:val="clear" w:color="auto" w:fill="auto"/>
            <w:noWrap/>
            <w:vAlign w:val="center"/>
            <w:hideMark/>
          </w:tcPr>
          <w:p w14:paraId="78EAA11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w:t>
            </w:r>
          </w:p>
        </w:tc>
        <w:tc>
          <w:tcPr>
            <w:tcW w:w="1134" w:type="dxa"/>
            <w:tcBorders>
              <w:top w:val="nil"/>
              <w:left w:val="nil"/>
              <w:bottom w:val="single" w:sz="8" w:space="0" w:color="auto"/>
              <w:right w:val="single" w:sz="8" w:space="0" w:color="auto"/>
            </w:tcBorders>
            <w:shd w:val="clear" w:color="auto" w:fill="auto"/>
            <w:noWrap/>
            <w:vAlign w:val="center"/>
            <w:hideMark/>
          </w:tcPr>
          <w:p w14:paraId="5C31D06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250</w:t>
            </w:r>
          </w:p>
        </w:tc>
        <w:tc>
          <w:tcPr>
            <w:tcW w:w="993" w:type="dxa"/>
            <w:tcBorders>
              <w:top w:val="nil"/>
              <w:left w:val="nil"/>
              <w:bottom w:val="single" w:sz="8" w:space="0" w:color="auto"/>
              <w:right w:val="single" w:sz="8" w:space="0" w:color="auto"/>
            </w:tcBorders>
            <w:shd w:val="clear" w:color="auto" w:fill="auto"/>
            <w:noWrap/>
            <w:vAlign w:val="center"/>
            <w:hideMark/>
          </w:tcPr>
          <w:p w14:paraId="7E16024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2D620A0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250</w:t>
            </w:r>
          </w:p>
        </w:tc>
      </w:tr>
      <w:tr w:rsidR="009707D0" w:rsidRPr="00420C1B" w14:paraId="117BBE92" w14:textId="77777777" w:rsidTr="001736A5">
        <w:trPr>
          <w:trHeight w:val="54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5166AD6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6</w:t>
            </w:r>
          </w:p>
        </w:tc>
        <w:tc>
          <w:tcPr>
            <w:tcW w:w="2152" w:type="dxa"/>
            <w:tcBorders>
              <w:top w:val="nil"/>
              <w:left w:val="nil"/>
              <w:bottom w:val="single" w:sz="8" w:space="0" w:color="auto"/>
              <w:right w:val="single" w:sz="8" w:space="0" w:color="auto"/>
            </w:tcBorders>
            <w:shd w:val="clear" w:color="auto" w:fill="auto"/>
            <w:vAlign w:val="center"/>
            <w:hideMark/>
          </w:tcPr>
          <w:p w14:paraId="6B16EA0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Restauration des emprunts après les travaux</w:t>
            </w:r>
          </w:p>
        </w:tc>
        <w:tc>
          <w:tcPr>
            <w:tcW w:w="946" w:type="dxa"/>
            <w:tcBorders>
              <w:top w:val="nil"/>
              <w:left w:val="nil"/>
              <w:bottom w:val="single" w:sz="8" w:space="0" w:color="auto"/>
              <w:right w:val="single" w:sz="8" w:space="0" w:color="auto"/>
            </w:tcBorders>
            <w:shd w:val="clear" w:color="auto" w:fill="auto"/>
            <w:noWrap/>
            <w:vAlign w:val="center"/>
            <w:hideMark/>
          </w:tcPr>
          <w:p w14:paraId="691E30A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463CF2B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2B377ED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c>
          <w:tcPr>
            <w:tcW w:w="1134" w:type="dxa"/>
            <w:tcBorders>
              <w:top w:val="nil"/>
              <w:left w:val="nil"/>
              <w:bottom w:val="single" w:sz="8" w:space="0" w:color="auto"/>
              <w:right w:val="single" w:sz="8" w:space="0" w:color="auto"/>
            </w:tcBorders>
            <w:shd w:val="clear" w:color="auto" w:fill="auto"/>
            <w:noWrap/>
            <w:vAlign w:val="center"/>
            <w:hideMark/>
          </w:tcPr>
          <w:p w14:paraId="0B08DDD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c>
          <w:tcPr>
            <w:tcW w:w="993" w:type="dxa"/>
            <w:tcBorders>
              <w:top w:val="nil"/>
              <w:left w:val="nil"/>
              <w:bottom w:val="single" w:sz="8" w:space="0" w:color="auto"/>
              <w:right w:val="single" w:sz="8" w:space="0" w:color="auto"/>
            </w:tcBorders>
            <w:shd w:val="clear" w:color="auto" w:fill="auto"/>
            <w:noWrap/>
            <w:vAlign w:val="center"/>
            <w:hideMark/>
          </w:tcPr>
          <w:p w14:paraId="6E33204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3A6A0CD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r>
      <w:tr w:rsidR="009707D0" w:rsidRPr="00420C1B" w14:paraId="500BDA9F" w14:textId="77777777" w:rsidTr="001736A5">
        <w:trPr>
          <w:trHeight w:val="54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534AA36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7</w:t>
            </w:r>
          </w:p>
        </w:tc>
        <w:tc>
          <w:tcPr>
            <w:tcW w:w="2152" w:type="dxa"/>
            <w:tcBorders>
              <w:top w:val="nil"/>
              <w:left w:val="nil"/>
              <w:bottom w:val="single" w:sz="8" w:space="0" w:color="auto"/>
              <w:right w:val="single" w:sz="8" w:space="0" w:color="auto"/>
            </w:tcBorders>
            <w:shd w:val="clear" w:color="auto" w:fill="auto"/>
            <w:vAlign w:val="center"/>
            <w:hideMark/>
          </w:tcPr>
          <w:p w14:paraId="716C9C3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la gestion des déchets</w:t>
            </w:r>
          </w:p>
        </w:tc>
        <w:tc>
          <w:tcPr>
            <w:tcW w:w="946" w:type="dxa"/>
            <w:tcBorders>
              <w:top w:val="nil"/>
              <w:left w:val="nil"/>
              <w:bottom w:val="single" w:sz="8" w:space="0" w:color="auto"/>
              <w:right w:val="single" w:sz="8" w:space="0" w:color="auto"/>
            </w:tcBorders>
            <w:shd w:val="clear" w:color="auto" w:fill="auto"/>
            <w:noWrap/>
            <w:vAlign w:val="center"/>
            <w:hideMark/>
          </w:tcPr>
          <w:p w14:paraId="6EB28B8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529EA84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Pris en compte au Code 3</w:t>
            </w:r>
          </w:p>
        </w:tc>
        <w:tc>
          <w:tcPr>
            <w:tcW w:w="1027" w:type="dxa"/>
            <w:tcBorders>
              <w:top w:val="nil"/>
              <w:left w:val="nil"/>
              <w:bottom w:val="single" w:sz="8" w:space="0" w:color="auto"/>
              <w:right w:val="single" w:sz="8" w:space="0" w:color="auto"/>
            </w:tcBorders>
            <w:shd w:val="clear" w:color="auto" w:fill="auto"/>
            <w:noWrap/>
            <w:vAlign w:val="center"/>
            <w:hideMark/>
          </w:tcPr>
          <w:p w14:paraId="2BABAD7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7429EAF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07271B6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0253485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13953966" w14:textId="77777777" w:rsidTr="001736A5">
        <w:trPr>
          <w:trHeight w:val="54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71CEE08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8</w:t>
            </w:r>
          </w:p>
        </w:tc>
        <w:tc>
          <w:tcPr>
            <w:tcW w:w="2152" w:type="dxa"/>
            <w:tcBorders>
              <w:top w:val="nil"/>
              <w:left w:val="nil"/>
              <w:bottom w:val="single" w:sz="8" w:space="0" w:color="auto"/>
              <w:right w:val="single" w:sz="8" w:space="0" w:color="auto"/>
            </w:tcBorders>
            <w:shd w:val="clear" w:color="auto" w:fill="auto"/>
            <w:vAlign w:val="center"/>
            <w:hideMark/>
          </w:tcPr>
          <w:p w14:paraId="28877E12"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Suivi régulier des lignes électriques</w:t>
            </w:r>
          </w:p>
        </w:tc>
        <w:tc>
          <w:tcPr>
            <w:tcW w:w="946" w:type="dxa"/>
            <w:tcBorders>
              <w:top w:val="nil"/>
              <w:left w:val="nil"/>
              <w:bottom w:val="single" w:sz="8" w:space="0" w:color="auto"/>
              <w:right w:val="single" w:sz="8" w:space="0" w:color="auto"/>
            </w:tcBorders>
            <w:shd w:val="clear" w:color="auto" w:fill="auto"/>
            <w:noWrap/>
            <w:vAlign w:val="center"/>
            <w:hideMark/>
          </w:tcPr>
          <w:p w14:paraId="70FC3DD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17DD885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w:t>
            </w:r>
          </w:p>
        </w:tc>
        <w:tc>
          <w:tcPr>
            <w:tcW w:w="1027" w:type="dxa"/>
            <w:tcBorders>
              <w:top w:val="nil"/>
              <w:left w:val="nil"/>
              <w:bottom w:val="single" w:sz="8" w:space="0" w:color="auto"/>
              <w:right w:val="single" w:sz="8" w:space="0" w:color="auto"/>
            </w:tcBorders>
            <w:shd w:val="clear" w:color="auto" w:fill="auto"/>
            <w:noWrap/>
            <w:vAlign w:val="center"/>
            <w:hideMark/>
          </w:tcPr>
          <w:p w14:paraId="28C481F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15BBC7F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5FF213C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c>
          <w:tcPr>
            <w:tcW w:w="1275" w:type="dxa"/>
            <w:tcBorders>
              <w:top w:val="nil"/>
              <w:left w:val="nil"/>
              <w:bottom w:val="single" w:sz="8" w:space="0" w:color="auto"/>
              <w:right w:val="single" w:sz="8" w:space="0" w:color="auto"/>
            </w:tcBorders>
            <w:shd w:val="clear" w:color="auto" w:fill="auto"/>
            <w:noWrap/>
            <w:vAlign w:val="center"/>
            <w:hideMark/>
          </w:tcPr>
          <w:p w14:paraId="64EDD87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r>
      <w:tr w:rsidR="009707D0" w:rsidRPr="00420C1B" w14:paraId="51E780E5"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5EC7C96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318776D3"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34E64BC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01F5E3F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d’exploitation</w:t>
            </w:r>
          </w:p>
        </w:tc>
        <w:tc>
          <w:tcPr>
            <w:tcW w:w="1027" w:type="dxa"/>
            <w:tcBorders>
              <w:top w:val="nil"/>
              <w:left w:val="nil"/>
              <w:bottom w:val="single" w:sz="8" w:space="0" w:color="auto"/>
              <w:right w:val="single" w:sz="8" w:space="0" w:color="auto"/>
            </w:tcBorders>
            <w:shd w:val="clear" w:color="auto" w:fill="auto"/>
            <w:noWrap/>
            <w:vAlign w:val="center"/>
            <w:hideMark/>
          </w:tcPr>
          <w:p w14:paraId="5136557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2C788F1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281566C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5815A85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46A42F4E" w14:textId="77777777" w:rsidTr="001736A5">
        <w:trPr>
          <w:trHeight w:val="804"/>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3948BDF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9</w:t>
            </w:r>
          </w:p>
        </w:tc>
        <w:tc>
          <w:tcPr>
            <w:tcW w:w="2152" w:type="dxa"/>
            <w:tcBorders>
              <w:top w:val="nil"/>
              <w:left w:val="nil"/>
              <w:bottom w:val="single" w:sz="8" w:space="0" w:color="auto"/>
              <w:right w:val="single" w:sz="8" w:space="0" w:color="auto"/>
            </w:tcBorders>
            <w:shd w:val="clear" w:color="auto" w:fill="auto"/>
            <w:vAlign w:val="center"/>
            <w:hideMark/>
          </w:tcPr>
          <w:p w14:paraId="36AD62D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Information et sensibilisation sur l’interdiction de la chasse</w:t>
            </w:r>
          </w:p>
        </w:tc>
        <w:tc>
          <w:tcPr>
            <w:tcW w:w="946" w:type="dxa"/>
            <w:tcBorders>
              <w:top w:val="nil"/>
              <w:left w:val="nil"/>
              <w:bottom w:val="single" w:sz="8" w:space="0" w:color="auto"/>
              <w:right w:val="single" w:sz="8" w:space="0" w:color="auto"/>
            </w:tcBorders>
            <w:shd w:val="clear" w:color="auto" w:fill="auto"/>
            <w:noWrap/>
            <w:vAlign w:val="center"/>
            <w:hideMark/>
          </w:tcPr>
          <w:p w14:paraId="34B6647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Séance </w:t>
            </w:r>
          </w:p>
        </w:tc>
        <w:tc>
          <w:tcPr>
            <w:tcW w:w="1372" w:type="dxa"/>
            <w:tcBorders>
              <w:top w:val="nil"/>
              <w:left w:val="nil"/>
              <w:bottom w:val="single" w:sz="8" w:space="0" w:color="auto"/>
              <w:right w:val="single" w:sz="8" w:space="0" w:color="auto"/>
            </w:tcBorders>
            <w:shd w:val="clear" w:color="auto" w:fill="auto"/>
            <w:noWrap/>
            <w:vAlign w:val="center"/>
            <w:hideMark/>
          </w:tcPr>
          <w:p w14:paraId="543A160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536D009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17BC4AB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2D8C231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1275" w:type="dxa"/>
            <w:tcBorders>
              <w:top w:val="nil"/>
              <w:left w:val="nil"/>
              <w:bottom w:val="single" w:sz="8" w:space="0" w:color="auto"/>
              <w:right w:val="single" w:sz="8" w:space="0" w:color="auto"/>
            </w:tcBorders>
            <w:shd w:val="clear" w:color="auto" w:fill="auto"/>
            <w:noWrap/>
            <w:vAlign w:val="center"/>
            <w:hideMark/>
          </w:tcPr>
          <w:p w14:paraId="742B929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0FEA65F9" w14:textId="77777777" w:rsidTr="001736A5">
        <w:trPr>
          <w:trHeight w:val="54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23B7ABD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2152" w:type="dxa"/>
            <w:tcBorders>
              <w:top w:val="nil"/>
              <w:left w:val="nil"/>
              <w:bottom w:val="single" w:sz="8" w:space="0" w:color="auto"/>
              <w:right w:val="single" w:sz="8" w:space="0" w:color="auto"/>
            </w:tcBorders>
            <w:shd w:val="clear" w:color="auto" w:fill="auto"/>
            <w:vAlign w:val="center"/>
            <w:hideMark/>
          </w:tcPr>
          <w:p w14:paraId="5848FFA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Réalisation des Fosses étanches</w:t>
            </w:r>
          </w:p>
        </w:tc>
        <w:tc>
          <w:tcPr>
            <w:tcW w:w="946" w:type="dxa"/>
            <w:tcBorders>
              <w:top w:val="nil"/>
              <w:left w:val="nil"/>
              <w:bottom w:val="single" w:sz="8" w:space="0" w:color="auto"/>
              <w:right w:val="single" w:sz="8" w:space="0" w:color="auto"/>
            </w:tcBorders>
            <w:shd w:val="clear" w:color="auto" w:fill="auto"/>
            <w:noWrap/>
            <w:vAlign w:val="center"/>
            <w:hideMark/>
          </w:tcPr>
          <w:p w14:paraId="038540C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2A12DD3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w:t>
            </w:r>
          </w:p>
        </w:tc>
        <w:tc>
          <w:tcPr>
            <w:tcW w:w="1027" w:type="dxa"/>
            <w:tcBorders>
              <w:top w:val="nil"/>
              <w:left w:val="nil"/>
              <w:bottom w:val="single" w:sz="8" w:space="0" w:color="auto"/>
              <w:right w:val="single" w:sz="8" w:space="0" w:color="auto"/>
            </w:tcBorders>
            <w:shd w:val="clear" w:color="auto" w:fill="auto"/>
            <w:noWrap/>
            <w:vAlign w:val="center"/>
            <w:hideMark/>
          </w:tcPr>
          <w:p w14:paraId="30BD9FC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1134" w:type="dxa"/>
            <w:tcBorders>
              <w:top w:val="nil"/>
              <w:left w:val="nil"/>
              <w:bottom w:val="single" w:sz="8" w:space="0" w:color="auto"/>
              <w:right w:val="single" w:sz="8" w:space="0" w:color="auto"/>
            </w:tcBorders>
            <w:shd w:val="clear" w:color="auto" w:fill="auto"/>
            <w:noWrap/>
            <w:vAlign w:val="center"/>
            <w:hideMark/>
          </w:tcPr>
          <w:p w14:paraId="75A6BD5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18BA0FE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10000</w:t>
            </w:r>
          </w:p>
        </w:tc>
        <w:tc>
          <w:tcPr>
            <w:tcW w:w="1275" w:type="dxa"/>
            <w:tcBorders>
              <w:top w:val="nil"/>
              <w:left w:val="nil"/>
              <w:bottom w:val="single" w:sz="8" w:space="0" w:color="auto"/>
              <w:right w:val="single" w:sz="8" w:space="0" w:color="auto"/>
            </w:tcBorders>
            <w:shd w:val="clear" w:color="auto" w:fill="auto"/>
            <w:noWrap/>
            <w:vAlign w:val="center"/>
            <w:hideMark/>
          </w:tcPr>
          <w:p w14:paraId="35015A1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10000</w:t>
            </w:r>
          </w:p>
        </w:tc>
      </w:tr>
      <w:tr w:rsidR="009707D0" w:rsidRPr="00420C1B" w14:paraId="16186189" w14:textId="77777777" w:rsidTr="001736A5">
        <w:trPr>
          <w:trHeight w:val="540"/>
          <w:jc w:val="center"/>
        </w:trPr>
        <w:tc>
          <w:tcPr>
            <w:tcW w:w="585" w:type="dxa"/>
            <w:vMerge/>
            <w:tcBorders>
              <w:top w:val="nil"/>
              <w:left w:val="single" w:sz="8" w:space="0" w:color="auto"/>
              <w:bottom w:val="single" w:sz="8" w:space="0" w:color="000000"/>
              <w:right w:val="single" w:sz="8" w:space="0" w:color="auto"/>
            </w:tcBorders>
            <w:vAlign w:val="center"/>
            <w:hideMark/>
          </w:tcPr>
          <w:p w14:paraId="2E56C2B9"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5178EEB3"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Réalisation cuves ouvertes (1,5m2x0,5m)</w:t>
            </w:r>
          </w:p>
        </w:tc>
        <w:tc>
          <w:tcPr>
            <w:tcW w:w="946" w:type="dxa"/>
            <w:tcBorders>
              <w:top w:val="nil"/>
              <w:left w:val="nil"/>
              <w:bottom w:val="single" w:sz="8" w:space="0" w:color="auto"/>
              <w:right w:val="single" w:sz="8" w:space="0" w:color="auto"/>
            </w:tcBorders>
            <w:shd w:val="clear" w:color="auto" w:fill="auto"/>
            <w:noWrap/>
            <w:vAlign w:val="center"/>
            <w:hideMark/>
          </w:tcPr>
          <w:p w14:paraId="276A2B6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2F10219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w:t>
            </w:r>
          </w:p>
        </w:tc>
        <w:tc>
          <w:tcPr>
            <w:tcW w:w="1027" w:type="dxa"/>
            <w:tcBorders>
              <w:top w:val="nil"/>
              <w:left w:val="nil"/>
              <w:bottom w:val="single" w:sz="8" w:space="0" w:color="auto"/>
              <w:right w:val="single" w:sz="8" w:space="0" w:color="auto"/>
            </w:tcBorders>
            <w:shd w:val="clear" w:color="auto" w:fill="auto"/>
            <w:noWrap/>
            <w:vAlign w:val="center"/>
            <w:hideMark/>
          </w:tcPr>
          <w:p w14:paraId="18E4FAB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300</w:t>
            </w:r>
          </w:p>
        </w:tc>
        <w:tc>
          <w:tcPr>
            <w:tcW w:w="1134" w:type="dxa"/>
            <w:tcBorders>
              <w:top w:val="nil"/>
              <w:left w:val="nil"/>
              <w:bottom w:val="single" w:sz="8" w:space="0" w:color="auto"/>
              <w:right w:val="single" w:sz="8" w:space="0" w:color="auto"/>
            </w:tcBorders>
            <w:shd w:val="clear" w:color="auto" w:fill="auto"/>
            <w:noWrap/>
            <w:vAlign w:val="center"/>
            <w:hideMark/>
          </w:tcPr>
          <w:p w14:paraId="2373110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1062000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30000</w:t>
            </w:r>
          </w:p>
        </w:tc>
        <w:tc>
          <w:tcPr>
            <w:tcW w:w="1275" w:type="dxa"/>
            <w:tcBorders>
              <w:top w:val="nil"/>
              <w:left w:val="nil"/>
              <w:bottom w:val="single" w:sz="8" w:space="0" w:color="auto"/>
              <w:right w:val="single" w:sz="8" w:space="0" w:color="auto"/>
            </w:tcBorders>
            <w:shd w:val="clear" w:color="auto" w:fill="auto"/>
            <w:noWrap/>
            <w:vAlign w:val="center"/>
            <w:hideMark/>
          </w:tcPr>
          <w:p w14:paraId="1AA70FD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30000</w:t>
            </w:r>
          </w:p>
        </w:tc>
      </w:tr>
      <w:tr w:rsidR="009707D0" w:rsidRPr="00420C1B" w14:paraId="60C84D5F" w14:textId="77777777" w:rsidTr="001736A5">
        <w:trPr>
          <w:trHeight w:val="300"/>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0628CDA" w14:textId="77777777" w:rsidR="009707D0" w:rsidRPr="009707D0" w:rsidRDefault="009707D0" w:rsidP="009707D0">
            <w:pPr>
              <w:spacing w:after="0" w:line="240" w:lineRule="auto"/>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xml:space="preserve">Sous Total plan environnementaux </w:t>
            </w:r>
          </w:p>
        </w:tc>
        <w:tc>
          <w:tcPr>
            <w:tcW w:w="946" w:type="dxa"/>
            <w:tcBorders>
              <w:top w:val="nil"/>
              <w:left w:val="nil"/>
              <w:bottom w:val="single" w:sz="8" w:space="0" w:color="auto"/>
              <w:right w:val="single" w:sz="8" w:space="0" w:color="auto"/>
            </w:tcBorders>
            <w:shd w:val="clear" w:color="auto" w:fill="auto"/>
            <w:noWrap/>
            <w:vAlign w:val="center"/>
            <w:hideMark/>
          </w:tcPr>
          <w:p w14:paraId="1FC256FF"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7D903945"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20F1F49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7D412DAD"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33 750</w:t>
            </w:r>
          </w:p>
        </w:tc>
        <w:tc>
          <w:tcPr>
            <w:tcW w:w="993" w:type="dxa"/>
            <w:tcBorders>
              <w:top w:val="nil"/>
              <w:left w:val="nil"/>
              <w:bottom w:val="single" w:sz="8" w:space="0" w:color="auto"/>
              <w:right w:val="single" w:sz="8" w:space="0" w:color="auto"/>
            </w:tcBorders>
            <w:shd w:val="clear" w:color="auto" w:fill="auto"/>
            <w:noWrap/>
            <w:vAlign w:val="center"/>
            <w:hideMark/>
          </w:tcPr>
          <w:p w14:paraId="48824A7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48 000</w:t>
            </w:r>
          </w:p>
        </w:tc>
        <w:tc>
          <w:tcPr>
            <w:tcW w:w="1275" w:type="dxa"/>
            <w:tcBorders>
              <w:top w:val="nil"/>
              <w:left w:val="nil"/>
              <w:bottom w:val="single" w:sz="8" w:space="0" w:color="auto"/>
              <w:right w:val="single" w:sz="8" w:space="0" w:color="auto"/>
            </w:tcBorders>
            <w:shd w:val="clear" w:color="auto" w:fill="auto"/>
            <w:noWrap/>
            <w:vAlign w:val="center"/>
            <w:hideMark/>
          </w:tcPr>
          <w:p w14:paraId="496FCAEA"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81 750</w:t>
            </w:r>
          </w:p>
        </w:tc>
      </w:tr>
      <w:tr w:rsidR="009707D0" w:rsidRPr="00420C1B" w14:paraId="4AA8FD7D" w14:textId="77777777" w:rsidTr="001736A5">
        <w:trPr>
          <w:trHeight w:val="300"/>
          <w:jc w:val="center"/>
        </w:trPr>
        <w:tc>
          <w:tcPr>
            <w:tcW w:w="9484"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14:paraId="7F4D119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Impacts sociaux</w:t>
            </w:r>
          </w:p>
        </w:tc>
      </w:tr>
      <w:tr w:rsidR="009707D0" w:rsidRPr="00420C1B" w14:paraId="444852CE"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5011754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48CC3E71"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5E844A3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14211A8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préparatoire</w:t>
            </w:r>
          </w:p>
        </w:tc>
        <w:tc>
          <w:tcPr>
            <w:tcW w:w="1027" w:type="dxa"/>
            <w:tcBorders>
              <w:top w:val="nil"/>
              <w:left w:val="nil"/>
              <w:bottom w:val="single" w:sz="8" w:space="0" w:color="auto"/>
              <w:right w:val="single" w:sz="8" w:space="0" w:color="auto"/>
            </w:tcBorders>
            <w:shd w:val="clear" w:color="auto" w:fill="auto"/>
            <w:noWrap/>
            <w:vAlign w:val="center"/>
            <w:hideMark/>
          </w:tcPr>
          <w:p w14:paraId="55032CA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75D5797B"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19A249F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01FC39F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287E3CC9" w14:textId="77777777" w:rsidTr="001736A5">
        <w:trPr>
          <w:trHeight w:val="804"/>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259D8AC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11 et 12</w:t>
            </w:r>
          </w:p>
        </w:tc>
        <w:tc>
          <w:tcPr>
            <w:tcW w:w="2152" w:type="dxa"/>
            <w:tcBorders>
              <w:top w:val="nil"/>
              <w:left w:val="nil"/>
              <w:bottom w:val="single" w:sz="8" w:space="0" w:color="auto"/>
              <w:right w:val="single" w:sz="8" w:space="0" w:color="auto"/>
            </w:tcBorders>
            <w:shd w:val="clear" w:color="auto" w:fill="auto"/>
            <w:vAlign w:val="center"/>
            <w:hideMark/>
          </w:tcPr>
          <w:p w14:paraId="27E1818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Indemnisation des pertes foncière et de bâtisses et autres biens privés </w:t>
            </w:r>
          </w:p>
        </w:tc>
        <w:tc>
          <w:tcPr>
            <w:tcW w:w="946" w:type="dxa"/>
            <w:tcBorders>
              <w:top w:val="nil"/>
              <w:left w:val="nil"/>
              <w:bottom w:val="single" w:sz="8" w:space="0" w:color="auto"/>
              <w:right w:val="single" w:sz="8" w:space="0" w:color="auto"/>
            </w:tcBorders>
            <w:shd w:val="clear" w:color="auto" w:fill="auto"/>
            <w:noWrap/>
            <w:vAlign w:val="center"/>
            <w:hideMark/>
          </w:tcPr>
          <w:p w14:paraId="1134043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1391C35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59FEA30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18C17B58"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51A5A81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5B2EABB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438956,7 </w:t>
            </w:r>
          </w:p>
        </w:tc>
      </w:tr>
      <w:tr w:rsidR="009707D0" w:rsidRPr="00420C1B" w14:paraId="52856084"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0DEEB26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1 3</w:t>
            </w:r>
          </w:p>
        </w:tc>
        <w:tc>
          <w:tcPr>
            <w:tcW w:w="2152" w:type="dxa"/>
            <w:tcBorders>
              <w:top w:val="nil"/>
              <w:left w:val="nil"/>
              <w:bottom w:val="single" w:sz="8" w:space="0" w:color="auto"/>
              <w:right w:val="single" w:sz="8" w:space="0" w:color="auto"/>
            </w:tcBorders>
            <w:shd w:val="clear" w:color="auto" w:fill="auto"/>
            <w:vAlign w:val="center"/>
            <w:hideMark/>
          </w:tcPr>
          <w:p w14:paraId="193FDD69"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IEC sur les VBG  </w:t>
            </w:r>
          </w:p>
        </w:tc>
        <w:tc>
          <w:tcPr>
            <w:tcW w:w="946" w:type="dxa"/>
            <w:tcBorders>
              <w:top w:val="nil"/>
              <w:left w:val="nil"/>
              <w:bottom w:val="single" w:sz="8" w:space="0" w:color="auto"/>
              <w:right w:val="single" w:sz="8" w:space="0" w:color="auto"/>
            </w:tcBorders>
            <w:shd w:val="clear" w:color="auto" w:fill="auto"/>
            <w:noWrap/>
            <w:vAlign w:val="center"/>
            <w:hideMark/>
          </w:tcPr>
          <w:p w14:paraId="421DC88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Séance</w:t>
            </w:r>
          </w:p>
        </w:tc>
        <w:tc>
          <w:tcPr>
            <w:tcW w:w="1372" w:type="dxa"/>
            <w:tcBorders>
              <w:top w:val="nil"/>
              <w:left w:val="nil"/>
              <w:bottom w:val="single" w:sz="8" w:space="0" w:color="auto"/>
              <w:right w:val="single" w:sz="8" w:space="0" w:color="auto"/>
            </w:tcBorders>
            <w:shd w:val="clear" w:color="auto" w:fill="auto"/>
            <w:noWrap/>
            <w:vAlign w:val="center"/>
            <w:hideMark/>
          </w:tcPr>
          <w:p w14:paraId="0BA1E20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5C68958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333D79B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58725BBB"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36360C5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1632817A"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61D4972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33B75590"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1B5A371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6F00A65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de construction</w:t>
            </w:r>
          </w:p>
        </w:tc>
        <w:tc>
          <w:tcPr>
            <w:tcW w:w="1027" w:type="dxa"/>
            <w:tcBorders>
              <w:top w:val="nil"/>
              <w:left w:val="nil"/>
              <w:bottom w:val="single" w:sz="8" w:space="0" w:color="auto"/>
              <w:right w:val="single" w:sz="8" w:space="0" w:color="auto"/>
            </w:tcBorders>
            <w:shd w:val="clear" w:color="auto" w:fill="auto"/>
            <w:noWrap/>
            <w:vAlign w:val="center"/>
            <w:hideMark/>
          </w:tcPr>
          <w:p w14:paraId="06FAB69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5B3BAE4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1B99911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6D5FFB2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01720082" w14:textId="77777777" w:rsidTr="001736A5">
        <w:trPr>
          <w:trHeight w:val="804"/>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2A9DE04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14</w:t>
            </w:r>
          </w:p>
        </w:tc>
        <w:tc>
          <w:tcPr>
            <w:tcW w:w="2152" w:type="dxa"/>
            <w:tcBorders>
              <w:top w:val="nil"/>
              <w:left w:val="nil"/>
              <w:bottom w:val="single" w:sz="8" w:space="0" w:color="auto"/>
              <w:right w:val="single" w:sz="8" w:space="0" w:color="auto"/>
            </w:tcBorders>
            <w:shd w:val="clear" w:color="auto" w:fill="auto"/>
            <w:vAlign w:val="center"/>
            <w:hideMark/>
          </w:tcPr>
          <w:p w14:paraId="05B24EDA"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les risques d’accident et sur la limitation des vitesses</w:t>
            </w:r>
          </w:p>
        </w:tc>
        <w:tc>
          <w:tcPr>
            <w:tcW w:w="946" w:type="dxa"/>
            <w:tcBorders>
              <w:top w:val="nil"/>
              <w:left w:val="nil"/>
              <w:bottom w:val="single" w:sz="8" w:space="0" w:color="auto"/>
              <w:right w:val="single" w:sz="8" w:space="0" w:color="auto"/>
            </w:tcBorders>
            <w:shd w:val="clear" w:color="auto" w:fill="auto"/>
            <w:noWrap/>
            <w:vAlign w:val="center"/>
            <w:hideMark/>
          </w:tcPr>
          <w:p w14:paraId="2487BE1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Séances </w:t>
            </w:r>
          </w:p>
        </w:tc>
        <w:tc>
          <w:tcPr>
            <w:tcW w:w="1372" w:type="dxa"/>
            <w:tcBorders>
              <w:top w:val="nil"/>
              <w:left w:val="nil"/>
              <w:bottom w:val="single" w:sz="8" w:space="0" w:color="auto"/>
              <w:right w:val="single" w:sz="8" w:space="0" w:color="auto"/>
            </w:tcBorders>
            <w:shd w:val="clear" w:color="auto" w:fill="auto"/>
            <w:noWrap/>
            <w:vAlign w:val="center"/>
            <w:hideMark/>
          </w:tcPr>
          <w:p w14:paraId="06952BD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23C0822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2B4D9C8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5B7A039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72E9767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615D2C7E" w14:textId="77777777" w:rsidTr="001736A5">
        <w:trPr>
          <w:trHeight w:val="540"/>
          <w:jc w:val="center"/>
        </w:trPr>
        <w:tc>
          <w:tcPr>
            <w:tcW w:w="585" w:type="dxa"/>
            <w:vMerge/>
            <w:tcBorders>
              <w:top w:val="nil"/>
              <w:left w:val="single" w:sz="8" w:space="0" w:color="auto"/>
              <w:bottom w:val="single" w:sz="8" w:space="0" w:color="000000"/>
              <w:right w:val="single" w:sz="8" w:space="0" w:color="auto"/>
            </w:tcBorders>
            <w:vAlign w:val="center"/>
            <w:hideMark/>
          </w:tcPr>
          <w:p w14:paraId="0D8A2FE8"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095C7F00"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Doter et Exiger le port des EPI adaptés</w:t>
            </w:r>
          </w:p>
        </w:tc>
        <w:tc>
          <w:tcPr>
            <w:tcW w:w="946" w:type="dxa"/>
            <w:tcBorders>
              <w:top w:val="nil"/>
              <w:left w:val="nil"/>
              <w:bottom w:val="single" w:sz="8" w:space="0" w:color="auto"/>
              <w:right w:val="single" w:sz="8" w:space="0" w:color="auto"/>
            </w:tcBorders>
            <w:shd w:val="clear" w:color="auto" w:fill="auto"/>
            <w:noWrap/>
            <w:vAlign w:val="center"/>
            <w:hideMark/>
          </w:tcPr>
          <w:p w14:paraId="3C80C5F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3337048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w:t>
            </w:r>
          </w:p>
        </w:tc>
        <w:tc>
          <w:tcPr>
            <w:tcW w:w="1027" w:type="dxa"/>
            <w:tcBorders>
              <w:top w:val="nil"/>
              <w:left w:val="nil"/>
              <w:bottom w:val="single" w:sz="8" w:space="0" w:color="auto"/>
              <w:right w:val="single" w:sz="8" w:space="0" w:color="auto"/>
            </w:tcBorders>
            <w:shd w:val="clear" w:color="auto" w:fill="auto"/>
            <w:noWrap/>
            <w:vAlign w:val="center"/>
            <w:hideMark/>
          </w:tcPr>
          <w:p w14:paraId="60B4CFB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w:t>
            </w:r>
          </w:p>
        </w:tc>
        <w:tc>
          <w:tcPr>
            <w:tcW w:w="1134" w:type="dxa"/>
            <w:tcBorders>
              <w:top w:val="nil"/>
              <w:left w:val="nil"/>
              <w:bottom w:val="single" w:sz="8" w:space="0" w:color="auto"/>
              <w:right w:val="single" w:sz="8" w:space="0" w:color="auto"/>
            </w:tcBorders>
            <w:shd w:val="clear" w:color="auto" w:fill="auto"/>
            <w:noWrap/>
            <w:vAlign w:val="center"/>
            <w:hideMark/>
          </w:tcPr>
          <w:p w14:paraId="1392375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10000</w:t>
            </w:r>
          </w:p>
        </w:tc>
        <w:tc>
          <w:tcPr>
            <w:tcW w:w="993" w:type="dxa"/>
            <w:tcBorders>
              <w:top w:val="nil"/>
              <w:left w:val="nil"/>
              <w:bottom w:val="single" w:sz="8" w:space="0" w:color="auto"/>
              <w:right w:val="single" w:sz="8" w:space="0" w:color="auto"/>
            </w:tcBorders>
            <w:shd w:val="clear" w:color="auto" w:fill="auto"/>
            <w:noWrap/>
            <w:vAlign w:val="center"/>
            <w:hideMark/>
          </w:tcPr>
          <w:p w14:paraId="6B61C87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215552F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10000</w:t>
            </w:r>
          </w:p>
        </w:tc>
      </w:tr>
      <w:tr w:rsidR="009707D0" w:rsidRPr="00420C1B" w14:paraId="2264A1B7" w14:textId="77777777" w:rsidTr="001736A5">
        <w:trPr>
          <w:trHeight w:val="30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4E80B84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15</w:t>
            </w:r>
          </w:p>
        </w:tc>
        <w:tc>
          <w:tcPr>
            <w:tcW w:w="2152" w:type="dxa"/>
            <w:tcBorders>
              <w:top w:val="nil"/>
              <w:left w:val="nil"/>
              <w:bottom w:val="single" w:sz="8" w:space="0" w:color="auto"/>
              <w:right w:val="single" w:sz="8" w:space="0" w:color="auto"/>
            </w:tcBorders>
            <w:shd w:val="clear" w:color="auto" w:fill="auto"/>
            <w:vAlign w:val="center"/>
            <w:hideMark/>
          </w:tcPr>
          <w:p w14:paraId="3B2AB28B"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Organisation du recrutement</w:t>
            </w:r>
          </w:p>
        </w:tc>
        <w:tc>
          <w:tcPr>
            <w:tcW w:w="946" w:type="dxa"/>
            <w:tcBorders>
              <w:top w:val="nil"/>
              <w:left w:val="nil"/>
              <w:bottom w:val="single" w:sz="8" w:space="0" w:color="auto"/>
              <w:right w:val="single" w:sz="8" w:space="0" w:color="auto"/>
            </w:tcBorders>
            <w:shd w:val="clear" w:color="auto" w:fill="auto"/>
            <w:noWrap/>
            <w:vAlign w:val="center"/>
            <w:hideMark/>
          </w:tcPr>
          <w:p w14:paraId="7010592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3E394B7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3711F34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46AE776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993" w:type="dxa"/>
            <w:tcBorders>
              <w:top w:val="nil"/>
              <w:left w:val="nil"/>
              <w:bottom w:val="single" w:sz="8" w:space="0" w:color="auto"/>
              <w:right w:val="single" w:sz="8" w:space="0" w:color="auto"/>
            </w:tcBorders>
            <w:shd w:val="clear" w:color="auto" w:fill="auto"/>
            <w:noWrap/>
            <w:vAlign w:val="center"/>
            <w:hideMark/>
          </w:tcPr>
          <w:p w14:paraId="2E26B1D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1D8214C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r>
      <w:tr w:rsidR="009707D0" w:rsidRPr="00420C1B" w14:paraId="454FC413"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099CA786"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59D38271"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MGP</w:t>
            </w:r>
          </w:p>
        </w:tc>
        <w:tc>
          <w:tcPr>
            <w:tcW w:w="946" w:type="dxa"/>
            <w:tcBorders>
              <w:top w:val="nil"/>
              <w:left w:val="nil"/>
              <w:bottom w:val="single" w:sz="8" w:space="0" w:color="auto"/>
              <w:right w:val="single" w:sz="8" w:space="0" w:color="auto"/>
            </w:tcBorders>
            <w:shd w:val="clear" w:color="auto" w:fill="auto"/>
            <w:noWrap/>
            <w:vAlign w:val="center"/>
            <w:hideMark/>
          </w:tcPr>
          <w:p w14:paraId="223FFCD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0BD2E0F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340DA4B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0A7609A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6D5C41F3"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075AE6A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5000</w:t>
            </w:r>
          </w:p>
        </w:tc>
      </w:tr>
      <w:tr w:rsidR="009707D0" w:rsidRPr="00420C1B" w14:paraId="27630B1D"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2021EF3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15</w:t>
            </w:r>
          </w:p>
        </w:tc>
        <w:tc>
          <w:tcPr>
            <w:tcW w:w="2152" w:type="dxa"/>
            <w:tcBorders>
              <w:top w:val="nil"/>
              <w:left w:val="nil"/>
              <w:bottom w:val="single" w:sz="8" w:space="0" w:color="auto"/>
              <w:right w:val="single" w:sz="8" w:space="0" w:color="auto"/>
            </w:tcBorders>
            <w:shd w:val="clear" w:color="auto" w:fill="auto"/>
            <w:vAlign w:val="center"/>
            <w:hideMark/>
          </w:tcPr>
          <w:p w14:paraId="50E2AA15"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Gestion des déchets</w:t>
            </w:r>
          </w:p>
        </w:tc>
        <w:tc>
          <w:tcPr>
            <w:tcW w:w="946" w:type="dxa"/>
            <w:tcBorders>
              <w:top w:val="nil"/>
              <w:left w:val="nil"/>
              <w:bottom w:val="single" w:sz="8" w:space="0" w:color="auto"/>
              <w:right w:val="single" w:sz="8" w:space="0" w:color="auto"/>
            </w:tcBorders>
            <w:shd w:val="clear" w:color="auto" w:fill="auto"/>
            <w:noWrap/>
            <w:vAlign w:val="center"/>
            <w:hideMark/>
          </w:tcPr>
          <w:p w14:paraId="22A3BBB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7E64943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Pris en compte au Code 3</w:t>
            </w:r>
          </w:p>
        </w:tc>
        <w:tc>
          <w:tcPr>
            <w:tcW w:w="1027" w:type="dxa"/>
            <w:tcBorders>
              <w:top w:val="nil"/>
              <w:left w:val="nil"/>
              <w:bottom w:val="single" w:sz="8" w:space="0" w:color="auto"/>
              <w:right w:val="single" w:sz="8" w:space="0" w:color="auto"/>
            </w:tcBorders>
            <w:shd w:val="clear" w:color="auto" w:fill="auto"/>
            <w:noWrap/>
            <w:vAlign w:val="center"/>
            <w:hideMark/>
          </w:tcPr>
          <w:p w14:paraId="7397328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0A79A35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777BC253"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61DAF12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3C82DF0A" w14:textId="77777777" w:rsidTr="001736A5">
        <w:trPr>
          <w:trHeight w:val="30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1DAE211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16</w:t>
            </w:r>
          </w:p>
        </w:tc>
        <w:tc>
          <w:tcPr>
            <w:tcW w:w="2152" w:type="dxa"/>
            <w:tcBorders>
              <w:top w:val="nil"/>
              <w:left w:val="nil"/>
              <w:bottom w:val="single" w:sz="8" w:space="0" w:color="auto"/>
              <w:right w:val="single" w:sz="8" w:space="0" w:color="auto"/>
            </w:tcBorders>
            <w:shd w:val="clear" w:color="auto" w:fill="auto"/>
            <w:vAlign w:val="center"/>
            <w:hideMark/>
          </w:tcPr>
          <w:p w14:paraId="3C393D9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Organisation du recrutement</w:t>
            </w:r>
          </w:p>
        </w:tc>
        <w:tc>
          <w:tcPr>
            <w:tcW w:w="946" w:type="dxa"/>
            <w:tcBorders>
              <w:top w:val="nil"/>
              <w:left w:val="nil"/>
              <w:bottom w:val="single" w:sz="8" w:space="0" w:color="auto"/>
              <w:right w:val="single" w:sz="8" w:space="0" w:color="auto"/>
            </w:tcBorders>
            <w:shd w:val="clear" w:color="auto" w:fill="auto"/>
            <w:noWrap/>
            <w:vAlign w:val="center"/>
            <w:hideMark/>
          </w:tcPr>
          <w:p w14:paraId="7AFD6EF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6797367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2F11AF1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5476540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w:t>
            </w:r>
          </w:p>
        </w:tc>
        <w:tc>
          <w:tcPr>
            <w:tcW w:w="993" w:type="dxa"/>
            <w:tcBorders>
              <w:top w:val="nil"/>
              <w:left w:val="nil"/>
              <w:bottom w:val="single" w:sz="8" w:space="0" w:color="auto"/>
              <w:right w:val="single" w:sz="8" w:space="0" w:color="auto"/>
            </w:tcBorders>
            <w:shd w:val="clear" w:color="auto" w:fill="auto"/>
            <w:noWrap/>
            <w:vAlign w:val="center"/>
            <w:hideMark/>
          </w:tcPr>
          <w:p w14:paraId="5A8362FE"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7D79962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w:t>
            </w:r>
          </w:p>
        </w:tc>
      </w:tr>
      <w:tr w:rsidR="009707D0" w:rsidRPr="00420C1B" w14:paraId="57CDB202"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03B3605F"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1384D8E8"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IEC sur MGP</w:t>
            </w:r>
          </w:p>
        </w:tc>
        <w:tc>
          <w:tcPr>
            <w:tcW w:w="946" w:type="dxa"/>
            <w:tcBorders>
              <w:top w:val="nil"/>
              <w:left w:val="nil"/>
              <w:bottom w:val="single" w:sz="8" w:space="0" w:color="auto"/>
              <w:right w:val="single" w:sz="8" w:space="0" w:color="auto"/>
            </w:tcBorders>
            <w:shd w:val="clear" w:color="auto" w:fill="auto"/>
            <w:noWrap/>
            <w:vAlign w:val="center"/>
            <w:hideMark/>
          </w:tcPr>
          <w:p w14:paraId="6A81FF3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Nombre</w:t>
            </w:r>
          </w:p>
        </w:tc>
        <w:tc>
          <w:tcPr>
            <w:tcW w:w="1372" w:type="dxa"/>
            <w:tcBorders>
              <w:top w:val="nil"/>
              <w:left w:val="nil"/>
              <w:bottom w:val="single" w:sz="8" w:space="0" w:color="auto"/>
              <w:right w:val="single" w:sz="8" w:space="0" w:color="auto"/>
            </w:tcBorders>
            <w:shd w:val="clear" w:color="auto" w:fill="auto"/>
            <w:noWrap/>
            <w:vAlign w:val="center"/>
            <w:hideMark/>
          </w:tcPr>
          <w:p w14:paraId="1827DC8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10</w:t>
            </w:r>
          </w:p>
        </w:tc>
        <w:tc>
          <w:tcPr>
            <w:tcW w:w="1027" w:type="dxa"/>
            <w:tcBorders>
              <w:top w:val="nil"/>
              <w:left w:val="nil"/>
              <w:bottom w:val="single" w:sz="8" w:space="0" w:color="auto"/>
              <w:right w:val="single" w:sz="8" w:space="0" w:color="auto"/>
            </w:tcBorders>
            <w:shd w:val="clear" w:color="auto" w:fill="auto"/>
            <w:noWrap/>
            <w:vAlign w:val="center"/>
            <w:hideMark/>
          </w:tcPr>
          <w:p w14:paraId="4C433BA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4A55042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5000</w:t>
            </w:r>
          </w:p>
        </w:tc>
        <w:tc>
          <w:tcPr>
            <w:tcW w:w="993" w:type="dxa"/>
            <w:tcBorders>
              <w:top w:val="nil"/>
              <w:left w:val="nil"/>
              <w:bottom w:val="single" w:sz="8" w:space="0" w:color="auto"/>
              <w:right w:val="single" w:sz="8" w:space="0" w:color="auto"/>
            </w:tcBorders>
            <w:shd w:val="clear" w:color="auto" w:fill="auto"/>
            <w:noWrap/>
            <w:vAlign w:val="center"/>
            <w:hideMark/>
          </w:tcPr>
          <w:p w14:paraId="3A8D6818"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5DDF3A5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hAnsi="Times New Roman"/>
                <w:color w:val="000000"/>
                <w:sz w:val="20"/>
                <w:szCs w:val="20"/>
                <w:lang w:eastAsia="fr-FR"/>
              </w:rPr>
              <w:t>5000</w:t>
            </w:r>
          </w:p>
        </w:tc>
      </w:tr>
      <w:tr w:rsidR="009707D0" w:rsidRPr="00420C1B" w14:paraId="45FE40B2" w14:textId="77777777" w:rsidTr="001736A5">
        <w:trPr>
          <w:trHeight w:val="30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0932DC7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2152" w:type="dxa"/>
            <w:tcBorders>
              <w:top w:val="nil"/>
              <w:left w:val="nil"/>
              <w:bottom w:val="single" w:sz="8" w:space="0" w:color="auto"/>
              <w:right w:val="single" w:sz="8" w:space="0" w:color="auto"/>
            </w:tcBorders>
            <w:shd w:val="clear" w:color="auto" w:fill="auto"/>
            <w:vAlign w:val="center"/>
            <w:hideMark/>
          </w:tcPr>
          <w:p w14:paraId="7F4127C8"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46" w:type="dxa"/>
            <w:tcBorders>
              <w:top w:val="nil"/>
              <w:left w:val="nil"/>
              <w:bottom w:val="single" w:sz="8" w:space="0" w:color="auto"/>
              <w:right w:val="single" w:sz="8" w:space="0" w:color="auto"/>
            </w:tcBorders>
            <w:shd w:val="clear" w:color="auto" w:fill="auto"/>
            <w:noWrap/>
            <w:vAlign w:val="center"/>
            <w:hideMark/>
          </w:tcPr>
          <w:p w14:paraId="01A02057"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770566A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Phase d’exploitation</w:t>
            </w:r>
          </w:p>
        </w:tc>
        <w:tc>
          <w:tcPr>
            <w:tcW w:w="1027" w:type="dxa"/>
            <w:tcBorders>
              <w:top w:val="nil"/>
              <w:left w:val="nil"/>
              <w:bottom w:val="single" w:sz="8" w:space="0" w:color="auto"/>
              <w:right w:val="single" w:sz="8" w:space="0" w:color="auto"/>
            </w:tcBorders>
            <w:shd w:val="clear" w:color="auto" w:fill="auto"/>
            <w:noWrap/>
            <w:vAlign w:val="center"/>
            <w:hideMark/>
          </w:tcPr>
          <w:p w14:paraId="2540AFC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3DA320E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36323B0D"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4010223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1789E4D3" w14:textId="77777777" w:rsidTr="001736A5">
        <w:trPr>
          <w:trHeight w:val="540"/>
          <w:jc w:val="center"/>
        </w:trPr>
        <w:tc>
          <w:tcPr>
            <w:tcW w:w="585" w:type="dxa"/>
            <w:tcBorders>
              <w:top w:val="nil"/>
              <w:left w:val="single" w:sz="8" w:space="0" w:color="auto"/>
              <w:bottom w:val="single" w:sz="8" w:space="0" w:color="auto"/>
              <w:right w:val="single" w:sz="8" w:space="0" w:color="auto"/>
            </w:tcBorders>
            <w:shd w:val="clear" w:color="auto" w:fill="auto"/>
            <w:vAlign w:val="center"/>
            <w:hideMark/>
          </w:tcPr>
          <w:p w14:paraId="4604D1E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17</w:t>
            </w:r>
          </w:p>
        </w:tc>
        <w:tc>
          <w:tcPr>
            <w:tcW w:w="2152" w:type="dxa"/>
            <w:tcBorders>
              <w:top w:val="nil"/>
              <w:left w:val="nil"/>
              <w:bottom w:val="single" w:sz="8" w:space="0" w:color="auto"/>
              <w:right w:val="single" w:sz="8" w:space="0" w:color="auto"/>
            </w:tcBorders>
            <w:shd w:val="clear" w:color="auto" w:fill="auto"/>
            <w:vAlign w:val="center"/>
            <w:hideMark/>
          </w:tcPr>
          <w:p w14:paraId="41F500E1"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les risques d’électrocution</w:t>
            </w:r>
          </w:p>
        </w:tc>
        <w:tc>
          <w:tcPr>
            <w:tcW w:w="946" w:type="dxa"/>
            <w:tcBorders>
              <w:top w:val="nil"/>
              <w:left w:val="nil"/>
              <w:bottom w:val="single" w:sz="8" w:space="0" w:color="auto"/>
              <w:right w:val="single" w:sz="8" w:space="0" w:color="auto"/>
            </w:tcBorders>
            <w:shd w:val="clear" w:color="auto" w:fill="auto"/>
            <w:noWrap/>
            <w:vAlign w:val="center"/>
            <w:hideMark/>
          </w:tcPr>
          <w:p w14:paraId="6F2F848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Séance</w:t>
            </w:r>
          </w:p>
        </w:tc>
        <w:tc>
          <w:tcPr>
            <w:tcW w:w="1372" w:type="dxa"/>
            <w:tcBorders>
              <w:top w:val="nil"/>
              <w:left w:val="nil"/>
              <w:bottom w:val="single" w:sz="8" w:space="0" w:color="auto"/>
              <w:right w:val="single" w:sz="8" w:space="0" w:color="auto"/>
            </w:tcBorders>
            <w:shd w:val="clear" w:color="auto" w:fill="auto"/>
            <w:noWrap/>
            <w:vAlign w:val="center"/>
            <w:hideMark/>
          </w:tcPr>
          <w:p w14:paraId="0CFC82F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12</w:t>
            </w:r>
          </w:p>
        </w:tc>
        <w:tc>
          <w:tcPr>
            <w:tcW w:w="1027" w:type="dxa"/>
            <w:tcBorders>
              <w:top w:val="nil"/>
              <w:left w:val="nil"/>
              <w:bottom w:val="single" w:sz="8" w:space="0" w:color="auto"/>
              <w:right w:val="single" w:sz="8" w:space="0" w:color="auto"/>
            </w:tcBorders>
            <w:shd w:val="clear" w:color="auto" w:fill="auto"/>
            <w:noWrap/>
            <w:vAlign w:val="center"/>
            <w:hideMark/>
          </w:tcPr>
          <w:p w14:paraId="4E38251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500</w:t>
            </w:r>
          </w:p>
        </w:tc>
        <w:tc>
          <w:tcPr>
            <w:tcW w:w="1134" w:type="dxa"/>
            <w:tcBorders>
              <w:top w:val="nil"/>
              <w:left w:val="nil"/>
              <w:bottom w:val="single" w:sz="8" w:space="0" w:color="auto"/>
              <w:right w:val="single" w:sz="8" w:space="0" w:color="auto"/>
            </w:tcBorders>
            <w:shd w:val="clear" w:color="auto" w:fill="auto"/>
            <w:noWrap/>
            <w:vAlign w:val="center"/>
            <w:hideMark/>
          </w:tcPr>
          <w:p w14:paraId="5AF43035"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64EA5252"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6000</w:t>
            </w:r>
          </w:p>
        </w:tc>
        <w:tc>
          <w:tcPr>
            <w:tcW w:w="1275" w:type="dxa"/>
            <w:tcBorders>
              <w:top w:val="nil"/>
              <w:left w:val="nil"/>
              <w:bottom w:val="single" w:sz="8" w:space="0" w:color="auto"/>
              <w:right w:val="single" w:sz="8" w:space="0" w:color="auto"/>
            </w:tcBorders>
            <w:shd w:val="clear" w:color="auto" w:fill="auto"/>
            <w:noWrap/>
            <w:vAlign w:val="center"/>
            <w:hideMark/>
          </w:tcPr>
          <w:p w14:paraId="0C64F14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6000</w:t>
            </w:r>
          </w:p>
        </w:tc>
      </w:tr>
      <w:tr w:rsidR="009707D0" w:rsidRPr="00420C1B" w14:paraId="6F049E2C" w14:textId="77777777" w:rsidTr="001736A5">
        <w:trPr>
          <w:trHeight w:val="540"/>
          <w:jc w:val="center"/>
        </w:trPr>
        <w:tc>
          <w:tcPr>
            <w:tcW w:w="585" w:type="dxa"/>
            <w:vMerge w:val="restart"/>
            <w:tcBorders>
              <w:top w:val="nil"/>
              <w:left w:val="single" w:sz="8" w:space="0" w:color="auto"/>
              <w:bottom w:val="single" w:sz="8" w:space="0" w:color="000000"/>
              <w:right w:val="single" w:sz="8" w:space="0" w:color="auto"/>
            </w:tcBorders>
            <w:shd w:val="clear" w:color="auto" w:fill="auto"/>
            <w:vAlign w:val="center"/>
            <w:hideMark/>
          </w:tcPr>
          <w:p w14:paraId="201C41E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18</w:t>
            </w:r>
          </w:p>
        </w:tc>
        <w:tc>
          <w:tcPr>
            <w:tcW w:w="2152" w:type="dxa"/>
            <w:tcBorders>
              <w:top w:val="nil"/>
              <w:left w:val="nil"/>
              <w:bottom w:val="single" w:sz="8" w:space="0" w:color="auto"/>
              <w:right w:val="single" w:sz="8" w:space="0" w:color="auto"/>
            </w:tcBorders>
            <w:shd w:val="clear" w:color="auto" w:fill="auto"/>
            <w:vAlign w:val="center"/>
            <w:hideMark/>
          </w:tcPr>
          <w:p w14:paraId="771A01AD"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IEC sur les risques d’électrocution</w:t>
            </w:r>
          </w:p>
        </w:tc>
        <w:tc>
          <w:tcPr>
            <w:tcW w:w="946" w:type="dxa"/>
            <w:tcBorders>
              <w:top w:val="nil"/>
              <w:left w:val="nil"/>
              <w:bottom w:val="single" w:sz="8" w:space="0" w:color="auto"/>
              <w:right w:val="single" w:sz="8" w:space="0" w:color="auto"/>
            </w:tcBorders>
            <w:shd w:val="clear" w:color="auto" w:fill="auto"/>
            <w:noWrap/>
            <w:vAlign w:val="center"/>
            <w:hideMark/>
          </w:tcPr>
          <w:p w14:paraId="3BBF4F3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354EFD79"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Pris en compte au Cide 17</w:t>
            </w:r>
          </w:p>
        </w:tc>
        <w:tc>
          <w:tcPr>
            <w:tcW w:w="1027" w:type="dxa"/>
            <w:tcBorders>
              <w:top w:val="nil"/>
              <w:left w:val="nil"/>
              <w:bottom w:val="single" w:sz="8" w:space="0" w:color="auto"/>
              <w:right w:val="single" w:sz="8" w:space="0" w:color="auto"/>
            </w:tcBorders>
            <w:shd w:val="clear" w:color="auto" w:fill="auto"/>
            <w:noWrap/>
            <w:vAlign w:val="center"/>
            <w:hideMark/>
          </w:tcPr>
          <w:p w14:paraId="325ED48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7B0C73D7"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27C50AC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1275" w:type="dxa"/>
            <w:tcBorders>
              <w:top w:val="nil"/>
              <w:left w:val="nil"/>
              <w:bottom w:val="single" w:sz="8" w:space="0" w:color="auto"/>
              <w:right w:val="single" w:sz="8" w:space="0" w:color="auto"/>
            </w:tcBorders>
            <w:shd w:val="clear" w:color="auto" w:fill="auto"/>
            <w:noWrap/>
            <w:vAlign w:val="center"/>
            <w:hideMark/>
          </w:tcPr>
          <w:p w14:paraId="4D3B179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r>
      <w:tr w:rsidR="009707D0" w:rsidRPr="00420C1B" w14:paraId="585B2D3C" w14:textId="77777777" w:rsidTr="001736A5">
        <w:trPr>
          <w:trHeight w:val="300"/>
          <w:jc w:val="center"/>
        </w:trPr>
        <w:tc>
          <w:tcPr>
            <w:tcW w:w="585" w:type="dxa"/>
            <w:vMerge/>
            <w:tcBorders>
              <w:top w:val="nil"/>
              <w:left w:val="single" w:sz="8" w:space="0" w:color="auto"/>
              <w:bottom w:val="single" w:sz="8" w:space="0" w:color="000000"/>
              <w:right w:val="single" w:sz="8" w:space="0" w:color="auto"/>
            </w:tcBorders>
            <w:vAlign w:val="center"/>
            <w:hideMark/>
          </w:tcPr>
          <w:p w14:paraId="1F34DF2B"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p>
        </w:tc>
        <w:tc>
          <w:tcPr>
            <w:tcW w:w="2152" w:type="dxa"/>
            <w:tcBorders>
              <w:top w:val="nil"/>
              <w:left w:val="nil"/>
              <w:bottom w:val="single" w:sz="8" w:space="0" w:color="auto"/>
              <w:right w:val="single" w:sz="8" w:space="0" w:color="auto"/>
            </w:tcBorders>
            <w:shd w:val="clear" w:color="auto" w:fill="auto"/>
            <w:vAlign w:val="center"/>
            <w:hideMark/>
          </w:tcPr>
          <w:p w14:paraId="4A623EBA"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Kit de protection </w:t>
            </w:r>
          </w:p>
        </w:tc>
        <w:tc>
          <w:tcPr>
            <w:tcW w:w="946" w:type="dxa"/>
            <w:tcBorders>
              <w:top w:val="nil"/>
              <w:left w:val="nil"/>
              <w:bottom w:val="single" w:sz="8" w:space="0" w:color="auto"/>
              <w:right w:val="single" w:sz="8" w:space="0" w:color="auto"/>
            </w:tcBorders>
            <w:shd w:val="clear" w:color="auto" w:fill="auto"/>
            <w:noWrap/>
            <w:vAlign w:val="center"/>
            <w:hideMark/>
          </w:tcPr>
          <w:p w14:paraId="360D31B3"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xml:space="preserve">Nombre </w:t>
            </w:r>
          </w:p>
        </w:tc>
        <w:tc>
          <w:tcPr>
            <w:tcW w:w="1372" w:type="dxa"/>
            <w:tcBorders>
              <w:top w:val="nil"/>
              <w:left w:val="nil"/>
              <w:bottom w:val="single" w:sz="8" w:space="0" w:color="auto"/>
              <w:right w:val="single" w:sz="8" w:space="0" w:color="auto"/>
            </w:tcBorders>
            <w:shd w:val="clear" w:color="auto" w:fill="auto"/>
            <w:noWrap/>
            <w:vAlign w:val="center"/>
            <w:hideMark/>
          </w:tcPr>
          <w:p w14:paraId="3338687C"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50</w:t>
            </w:r>
          </w:p>
        </w:tc>
        <w:tc>
          <w:tcPr>
            <w:tcW w:w="1027" w:type="dxa"/>
            <w:tcBorders>
              <w:top w:val="nil"/>
              <w:left w:val="nil"/>
              <w:bottom w:val="single" w:sz="8" w:space="0" w:color="auto"/>
              <w:right w:val="single" w:sz="8" w:space="0" w:color="auto"/>
            </w:tcBorders>
            <w:shd w:val="clear" w:color="auto" w:fill="auto"/>
            <w:noWrap/>
            <w:vAlign w:val="center"/>
            <w:hideMark/>
          </w:tcPr>
          <w:p w14:paraId="160D295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200</w:t>
            </w:r>
          </w:p>
        </w:tc>
        <w:tc>
          <w:tcPr>
            <w:tcW w:w="1134" w:type="dxa"/>
            <w:tcBorders>
              <w:top w:val="nil"/>
              <w:left w:val="nil"/>
              <w:bottom w:val="single" w:sz="8" w:space="0" w:color="auto"/>
              <w:right w:val="single" w:sz="8" w:space="0" w:color="auto"/>
            </w:tcBorders>
            <w:shd w:val="clear" w:color="auto" w:fill="auto"/>
            <w:noWrap/>
            <w:vAlign w:val="center"/>
            <w:hideMark/>
          </w:tcPr>
          <w:p w14:paraId="11F72B8C" w14:textId="77777777" w:rsidR="009707D0" w:rsidRPr="009707D0" w:rsidRDefault="009707D0" w:rsidP="009707D0">
            <w:pPr>
              <w:spacing w:after="0" w:line="240" w:lineRule="auto"/>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524E5DE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c>
          <w:tcPr>
            <w:tcW w:w="1275" w:type="dxa"/>
            <w:tcBorders>
              <w:top w:val="nil"/>
              <w:left w:val="nil"/>
              <w:bottom w:val="single" w:sz="8" w:space="0" w:color="auto"/>
              <w:right w:val="single" w:sz="8" w:space="0" w:color="auto"/>
            </w:tcBorders>
            <w:shd w:val="clear" w:color="auto" w:fill="auto"/>
            <w:noWrap/>
            <w:vAlign w:val="center"/>
            <w:hideMark/>
          </w:tcPr>
          <w:p w14:paraId="2374F15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1000</w:t>
            </w:r>
          </w:p>
        </w:tc>
      </w:tr>
      <w:tr w:rsidR="009707D0" w:rsidRPr="00420C1B" w14:paraId="387ABA09" w14:textId="77777777" w:rsidTr="001736A5">
        <w:trPr>
          <w:trHeight w:val="300"/>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CE32B17" w14:textId="77777777" w:rsidR="009707D0" w:rsidRPr="009707D0" w:rsidRDefault="009707D0" w:rsidP="009707D0">
            <w:pPr>
              <w:spacing w:after="0" w:line="240" w:lineRule="auto"/>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Sous Total plan social</w:t>
            </w:r>
          </w:p>
        </w:tc>
        <w:tc>
          <w:tcPr>
            <w:tcW w:w="946" w:type="dxa"/>
            <w:tcBorders>
              <w:top w:val="nil"/>
              <w:left w:val="nil"/>
              <w:bottom w:val="single" w:sz="8" w:space="0" w:color="auto"/>
              <w:right w:val="single" w:sz="8" w:space="0" w:color="auto"/>
            </w:tcBorders>
            <w:shd w:val="clear" w:color="auto" w:fill="auto"/>
            <w:noWrap/>
            <w:vAlign w:val="center"/>
            <w:hideMark/>
          </w:tcPr>
          <w:p w14:paraId="71F8F874"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776077F1"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4AE657DB"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01C5376B"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31000</w:t>
            </w:r>
          </w:p>
        </w:tc>
        <w:tc>
          <w:tcPr>
            <w:tcW w:w="993" w:type="dxa"/>
            <w:tcBorders>
              <w:top w:val="nil"/>
              <w:left w:val="nil"/>
              <w:bottom w:val="single" w:sz="8" w:space="0" w:color="auto"/>
              <w:right w:val="single" w:sz="8" w:space="0" w:color="auto"/>
            </w:tcBorders>
            <w:shd w:val="clear" w:color="auto" w:fill="auto"/>
            <w:noWrap/>
            <w:vAlign w:val="center"/>
            <w:hideMark/>
          </w:tcPr>
          <w:p w14:paraId="05EBA29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7000</w:t>
            </w:r>
          </w:p>
        </w:tc>
        <w:tc>
          <w:tcPr>
            <w:tcW w:w="1275" w:type="dxa"/>
            <w:tcBorders>
              <w:top w:val="nil"/>
              <w:left w:val="nil"/>
              <w:bottom w:val="single" w:sz="8" w:space="0" w:color="auto"/>
              <w:right w:val="single" w:sz="8" w:space="0" w:color="auto"/>
            </w:tcBorders>
            <w:shd w:val="clear" w:color="auto" w:fill="auto"/>
            <w:noWrap/>
            <w:vAlign w:val="center"/>
            <w:hideMark/>
          </w:tcPr>
          <w:p w14:paraId="3BC966D4"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38000</w:t>
            </w:r>
          </w:p>
        </w:tc>
      </w:tr>
      <w:tr w:rsidR="009707D0" w:rsidRPr="00420C1B" w14:paraId="42D9C101" w14:textId="77777777" w:rsidTr="001736A5">
        <w:trPr>
          <w:trHeight w:val="612"/>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73FAC75"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Programme de surveillance environnementale</w:t>
            </w:r>
          </w:p>
        </w:tc>
        <w:tc>
          <w:tcPr>
            <w:tcW w:w="946" w:type="dxa"/>
            <w:tcBorders>
              <w:top w:val="nil"/>
              <w:left w:val="nil"/>
              <w:bottom w:val="single" w:sz="8" w:space="0" w:color="auto"/>
              <w:right w:val="single" w:sz="8" w:space="0" w:color="auto"/>
            </w:tcBorders>
            <w:shd w:val="clear" w:color="auto" w:fill="auto"/>
            <w:noWrap/>
            <w:vAlign w:val="center"/>
            <w:hideMark/>
          </w:tcPr>
          <w:p w14:paraId="40C7DF6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4ED1E5D4"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656AE26F"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0</w:t>
            </w:r>
          </w:p>
        </w:tc>
        <w:tc>
          <w:tcPr>
            <w:tcW w:w="1134" w:type="dxa"/>
            <w:tcBorders>
              <w:top w:val="nil"/>
              <w:left w:val="nil"/>
              <w:bottom w:val="single" w:sz="8" w:space="0" w:color="auto"/>
              <w:right w:val="single" w:sz="8" w:space="0" w:color="auto"/>
            </w:tcBorders>
            <w:shd w:val="clear" w:color="auto" w:fill="auto"/>
            <w:noWrap/>
            <w:vAlign w:val="center"/>
            <w:hideMark/>
          </w:tcPr>
          <w:p w14:paraId="507DB62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01C203B6"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74 500</w:t>
            </w:r>
          </w:p>
        </w:tc>
        <w:tc>
          <w:tcPr>
            <w:tcW w:w="1275" w:type="dxa"/>
            <w:tcBorders>
              <w:top w:val="nil"/>
              <w:left w:val="nil"/>
              <w:bottom w:val="single" w:sz="8" w:space="0" w:color="auto"/>
              <w:right w:val="single" w:sz="8" w:space="0" w:color="auto"/>
            </w:tcBorders>
            <w:shd w:val="clear" w:color="auto" w:fill="auto"/>
            <w:noWrap/>
            <w:vAlign w:val="center"/>
            <w:hideMark/>
          </w:tcPr>
          <w:p w14:paraId="0B15152B"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74 500</w:t>
            </w:r>
          </w:p>
        </w:tc>
      </w:tr>
      <w:tr w:rsidR="009707D0" w:rsidRPr="00420C1B" w14:paraId="416C099D" w14:textId="77777777" w:rsidTr="001736A5">
        <w:trPr>
          <w:trHeight w:val="432"/>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6CE1E8B"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Programme de suivi environnemental</w:t>
            </w:r>
          </w:p>
        </w:tc>
        <w:tc>
          <w:tcPr>
            <w:tcW w:w="946" w:type="dxa"/>
            <w:tcBorders>
              <w:top w:val="nil"/>
              <w:left w:val="nil"/>
              <w:bottom w:val="single" w:sz="8" w:space="0" w:color="auto"/>
              <w:right w:val="single" w:sz="8" w:space="0" w:color="auto"/>
            </w:tcBorders>
            <w:shd w:val="clear" w:color="auto" w:fill="auto"/>
            <w:noWrap/>
            <w:vAlign w:val="center"/>
            <w:hideMark/>
          </w:tcPr>
          <w:p w14:paraId="1C76873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0A2E6F8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327A1F88"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1600</w:t>
            </w:r>
          </w:p>
        </w:tc>
        <w:tc>
          <w:tcPr>
            <w:tcW w:w="1134" w:type="dxa"/>
            <w:tcBorders>
              <w:top w:val="nil"/>
              <w:left w:val="nil"/>
              <w:bottom w:val="single" w:sz="8" w:space="0" w:color="auto"/>
              <w:right w:val="single" w:sz="8" w:space="0" w:color="auto"/>
            </w:tcBorders>
            <w:shd w:val="clear" w:color="auto" w:fill="auto"/>
            <w:noWrap/>
            <w:vAlign w:val="center"/>
            <w:hideMark/>
          </w:tcPr>
          <w:p w14:paraId="12187DCD"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509EC95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800</w:t>
            </w:r>
          </w:p>
        </w:tc>
        <w:tc>
          <w:tcPr>
            <w:tcW w:w="1275" w:type="dxa"/>
            <w:tcBorders>
              <w:top w:val="nil"/>
              <w:left w:val="nil"/>
              <w:bottom w:val="single" w:sz="8" w:space="0" w:color="auto"/>
              <w:right w:val="single" w:sz="8" w:space="0" w:color="auto"/>
            </w:tcBorders>
            <w:shd w:val="clear" w:color="auto" w:fill="auto"/>
            <w:noWrap/>
            <w:vAlign w:val="center"/>
            <w:hideMark/>
          </w:tcPr>
          <w:p w14:paraId="769EB3F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800</w:t>
            </w:r>
          </w:p>
        </w:tc>
      </w:tr>
      <w:tr w:rsidR="009707D0" w:rsidRPr="00420C1B" w14:paraId="31418137" w14:textId="77777777" w:rsidTr="001736A5">
        <w:trPr>
          <w:trHeight w:val="540"/>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8B9AD11" w14:textId="77777777" w:rsidR="009707D0" w:rsidRPr="009707D0" w:rsidRDefault="009707D0" w:rsidP="009707D0">
            <w:pPr>
              <w:spacing w:after="0" w:line="240" w:lineRule="auto"/>
              <w:jc w:val="both"/>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Programme de renforcement des capacités</w:t>
            </w:r>
          </w:p>
        </w:tc>
        <w:tc>
          <w:tcPr>
            <w:tcW w:w="946" w:type="dxa"/>
            <w:tcBorders>
              <w:top w:val="nil"/>
              <w:left w:val="nil"/>
              <w:bottom w:val="single" w:sz="8" w:space="0" w:color="auto"/>
              <w:right w:val="single" w:sz="8" w:space="0" w:color="auto"/>
            </w:tcBorders>
            <w:shd w:val="clear" w:color="auto" w:fill="auto"/>
            <w:noWrap/>
            <w:vAlign w:val="center"/>
            <w:hideMark/>
          </w:tcPr>
          <w:p w14:paraId="363147A2"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FF</w:t>
            </w:r>
          </w:p>
        </w:tc>
        <w:tc>
          <w:tcPr>
            <w:tcW w:w="1372" w:type="dxa"/>
            <w:tcBorders>
              <w:top w:val="nil"/>
              <w:left w:val="nil"/>
              <w:bottom w:val="single" w:sz="8" w:space="0" w:color="auto"/>
              <w:right w:val="single" w:sz="8" w:space="0" w:color="auto"/>
            </w:tcBorders>
            <w:shd w:val="clear" w:color="auto" w:fill="auto"/>
            <w:noWrap/>
            <w:vAlign w:val="center"/>
            <w:hideMark/>
          </w:tcPr>
          <w:p w14:paraId="1B95DF41"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w:t>
            </w:r>
          </w:p>
        </w:tc>
        <w:tc>
          <w:tcPr>
            <w:tcW w:w="1027" w:type="dxa"/>
            <w:tcBorders>
              <w:top w:val="nil"/>
              <w:left w:val="nil"/>
              <w:bottom w:val="single" w:sz="8" w:space="0" w:color="auto"/>
              <w:right w:val="single" w:sz="8" w:space="0" w:color="auto"/>
            </w:tcBorders>
            <w:shd w:val="clear" w:color="auto" w:fill="auto"/>
            <w:noWrap/>
            <w:vAlign w:val="center"/>
            <w:hideMark/>
          </w:tcPr>
          <w:p w14:paraId="5FA28C70"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11000</w:t>
            </w:r>
          </w:p>
        </w:tc>
        <w:tc>
          <w:tcPr>
            <w:tcW w:w="1134" w:type="dxa"/>
            <w:tcBorders>
              <w:top w:val="nil"/>
              <w:left w:val="nil"/>
              <w:bottom w:val="single" w:sz="8" w:space="0" w:color="auto"/>
              <w:right w:val="single" w:sz="8" w:space="0" w:color="auto"/>
            </w:tcBorders>
            <w:shd w:val="clear" w:color="auto" w:fill="auto"/>
            <w:noWrap/>
            <w:vAlign w:val="center"/>
            <w:hideMark/>
          </w:tcPr>
          <w:p w14:paraId="79F29DFE"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 </w:t>
            </w:r>
          </w:p>
        </w:tc>
        <w:tc>
          <w:tcPr>
            <w:tcW w:w="993" w:type="dxa"/>
            <w:tcBorders>
              <w:top w:val="nil"/>
              <w:left w:val="nil"/>
              <w:bottom w:val="single" w:sz="8" w:space="0" w:color="auto"/>
              <w:right w:val="single" w:sz="8" w:space="0" w:color="auto"/>
            </w:tcBorders>
            <w:shd w:val="clear" w:color="auto" w:fill="auto"/>
            <w:noWrap/>
            <w:vAlign w:val="center"/>
            <w:hideMark/>
          </w:tcPr>
          <w:p w14:paraId="6BA41C65"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11000</w:t>
            </w:r>
          </w:p>
        </w:tc>
        <w:tc>
          <w:tcPr>
            <w:tcW w:w="1275" w:type="dxa"/>
            <w:tcBorders>
              <w:top w:val="nil"/>
              <w:left w:val="nil"/>
              <w:bottom w:val="single" w:sz="8" w:space="0" w:color="auto"/>
              <w:right w:val="single" w:sz="8" w:space="0" w:color="auto"/>
            </w:tcBorders>
            <w:shd w:val="clear" w:color="auto" w:fill="auto"/>
            <w:noWrap/>
            <w:vAlign w:val="center"/>
            <w:hideMark/>
          </w:tcPr>
          <w:p w14:paraId="11E24A1A" w14:textId="77777777" w:rsidR="009707D0" w:rsidRPr="009707D0" w:rsidRDefault="009707D0" w:rsidP="009707D0">
            <w:pPr>
              <w:spacing w:after="0" w:line="240" w:lineRule="auto"/>
              <w:jc w:val="center"/>
              <w:rPr>
                <w:rFonts w:ascii="Times New Roman" w:eastAsia="Times New Roman" w:hAnsi="Times New Roman"/>
                <w:color w:val="000000"/>
                <w:sz w:val="20"/>
                <w:szCs w:val="20"/>
                <w:lang w:eastAsia="fr-FR"/>
              </w:rPr>
            </w:pPr>
            <w:r w:rsidRPr="009707D0">
              <w:rPr>
                <w:rFonts w:ascii="Times New Roman" w:eastAsia="Times New Roman" w:hAnsi="Times New Roman"/>
                <w:color w:val="000000"/>
                <w:sz w:val="20"/>
                <w:szCs w:val="20"/>
                <w:lang w:eastAsia="fr-FR"/>
              </w:rPr>
              <w:t>11 000</w:t>
            </w:r>
          </w:p>
        </w:tc>
      </w:tr>
      <w:tr w:rsidR="009707D0" w:rsidRPr="00420C1B" w14:paraId="767799DC" w14:textId="77777777" w:rsidTr="001736A5">
        <w:trPr>
          <w:trHeight w:val="564"/>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06F68B" w14:textId="77777777" w:rsidR="009707D0" w:rsidRPr="009707D0" w:rsidRDefault="009707D0" w:rsidP="009707D0">
            <w:pPr>
              <w:spacing w:after="0" w:line="240" w:lineRule="auto"/>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TOTAL SURVEILLANCE SUIVI ET RENFORCEMENT DE CAPACITES</w:t>
            </w:r>
          </w:p>
        </w:tc>
        <w:tc>
          <w:tcPr>
            <w:tcW w:w="946" w:type="dxa"/>
            <w:tcBorders>
              <w:top w:val="nil"/>
              <w:left w:val="nil"/>
              <w:bottom w:val="single" w:sz="8" w:space="0" w:color="auto"/>
              <w:right w:val="single" w:sz="8" w:space="0" w:color="auto"/>
            </w:tcBorders>
            <w:shd w:val="clear" w:color="auto" w:fill="auto"/>
            <w:noWrap/>
            <w:vAlign w:val="center"/>
            <w:hideMark/>
          </w:tcPr>
          <w:p w14:paraId="5B2D0AFC"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6A0B533D"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4F85485D"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473605A1"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0</w:t>
            </w:r>
          </w:p>
        </w:tc>
        <w:tc>
          <w:tcPr>
            <w:tcW w:w="993" w:type="dxa"/>
            <w:tcBorders>
              <w:top w:val="nil"/>
              <w:left w:val="nil"/>
              <w:bottom w:val="single" w:sz="8" w:space="0" w:color="auto"/>
              <w:right w:val="single" w:sz="8" w:space="0" w:color="auto"/>
            </w:tcBorders>
            <w:shd w:val="clear" w:color="auto" w:fill="auto"/>
            <w:noWrap/>
            <w:vAlign w:val="center"/>
            <w:hideMark/>
          </w:tcPr>
          <w:p w14:paraId="7E82D643"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86 300</w:t>
            </w:r>
          </w:p>
        </w:tc>
        <w:tc>
          <w:tcPr>
            <w:tcW w:w="1275" w:type="dxa"/>
            <w:tcBorders>
              <w:top w:val="nil"/>
              <w:left w:val="nil"/>
              <w:bottom w:val="single" w:sz="8" w:space="0" w:color="auto"/>
              <w:right w:val="single" w:sz="8" w:space="0" w:color="auto"/>
            </w:tcBorders>
            <w:shd w:val="clear" w:color="auto" w:fill="auto"/>
            <w:noWrap/>
            <w:vAlign w:val="center"/>
            <w:hideMark/>
          </w:tcPr>
          <w:p w14:paraId="7C62D44D"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86 300</w:t>
            </w:r>
          </w:p>
        </w:tc>
      </w:tr>
      <w:tr w:rsidR="009707D0" w:rsidRPr="00420C1B" w14:paraId="5209148F" w14:textId="77777777" w:rsidTr="001736A5">
        <w:trPr>
          <w:trHeight w:val="300"/>
          <w:jc w:val="center"/>
        </w:trPr>
        <w:tc>
          <w:tcPr>
            <w:tcW w:w="273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55691EB" w14:textId="77777777" w:rsidR="009707D0" w:rsidRPr="009707D0" w:rsidRDefault="009707D0" w:rsidP="009707D0">
            <w:pPr>
              <w:spacing w:after="0" w:line="240" w:lineRule="auto"/>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TOTAL GENERAL</w:t>
            </w:r>
          </w:p>
        </w:tc>
        <w:tc>
          <w:tcPr>
            <w:tcW w:w="946" w:type="dxa"/>
            <w:tcBorders>
              <w:top w:val="nil"/>
              <w:left w:val="nil"/>
              <w:bottom w:val="single" w:sz="8" w:space="0" w:color="auto"/>
              <w:right w:val="single" w:sz="8" w:space="0" w:color="auto"/>
            </w:tcBorders>
            <w:shd w:val="clear" w:color="auto" w:fill="auto"/>
            <w:noWrap/>
            <w:vAlign w:val="center"/>
            <w:hideMark/>
          </w:tcPr>
          <w:p w14:paraId="4528CE18"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372" w:type="dxa"/>
            <w:tcBorders>
              <w:top w:val="nil"/>
              <w:left w:val="nil"/>
              <w:bottom w:val="single" w:sz="8" w:space="0" w:color="auto"/>
              <w:right w:val="single" w:sz="8" w:space="0" w:color="auto"/>
            </w:tcBorders>
            <w:shd w:val="clear" w:color="auto" w:fill="auto"/>
            <w:noWrap/>
            <w:vAlign w:val="center"/>
            <w:hideMark/>
          </w:tcPr>
          <w:p w14:paraId="497753DF"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027" w:type="dxa"/>
            <w:tcBorders>
              <w:top w:val="nil"/>
              <w:left w:val="nil"/>
              <w:bottom w:val="single" w:sz="8" w:space="0" w:color="auto"/>
              <w:right w:val="single" w:sz="8" w:space="0" w:color="auto"/>
            </w:tcBorders>
            <w:shd w:val="clear" w:color="auto" w:fill="auto"/>
            <w:noWrap/>
            <w:vAlign w:val="center"/>
            <w:hideMark/>
          </w:tcPr>
          <w:p w14:paraId="01D97419"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 </w:t>
            </w:r>
          </w:p>
        </w:tc>
        <w:tc>
          <w:tcPr>
            <w:tcW w:w="1134" w:type="dxa"/>
            <w:tcBorders>
              <w:top w:val="nil"/>
              <w:left w:val="nil"/>
              <w:bottom w:val="single" w:sz="8" w:space="0" w:color="auto"/>
              <w:right w:val="single" w:sz="8" w:space="0" w:color="auto"/>
            </w:tcBorders>
            <w:shd w:val="clear" w:color="auto" w:fill="auto"/>
            <w:noWrap/>
            <w:vAlign w:val="center"/>
            <w:hideMark/>
          </w:tcPr>
          <w:p w14:paraId="0E478DA5"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64 750</w:t>
            </w:r>
          </w:p>
        </w:tc>
        <w:tc>
          <w:tcPr>
            <w:tcW w:w="993" w:type="dxa"/>
            <w:tcBorders>
              <w:top w:val="nil"/>
              <w:left w:val="nil"/>
              <w:bottom w:val="single" w:sz="8" w:space="0" w:color="auto"/>
              <w:right w:val="single" w:sz="8" w:space="0" w:color="auto"/>
            </w:tcBorders>
            <w:shd w:val="clear" w:color="auto" w:fill="auto"/>
            <w:noWrap/>
            <w:vAlign w:val="center"/>
            <w:hideMark/>
          </w:tcPr>
          <w:p w14:paraId="6A11AD03"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141 300</w:t>
            </w:r>
          </w:p>
        </w:tc>
        <w:tc>
          <w:tcPr>
            <w:tcW w:w="1275" w:type="dxa"/>
            <w:tcBorders>
              <w:top w:val="nil"/>
              <w:left w:val="nil"/>
              <w:bottom w:val="single" w:sz="8" w:space="0" w:color="auto"/>
              <w:right w:val="single" w:sz="8" w:space="0" w:color="auto"/>
            </w:tcBorders>
            <w:shd w:val="clear" w:color="auto" w:fill="auto"/>
            <w:noWrap/>
            <w:vAlign w:val="center"/>
            <w:hideMark/>
          </w:tcPr>
          <w:p w14:paraId="4327342A" w14:textId="77777777" w:rsidR="009707D0" w:rsidRPr="009707D0" w:rsidRDefault="009707D0" w:rsidP="009707D0">
            <w:pPr>
              <w:spacing w:after="0" w:line="240" w:lineRule="auto"/>
              <w:jc w:val="center"/>
              <w:rPr>
                <w:rFonts w:ascii="Times New Roman" w:eastAsia="Times New Roman" w:hAnsi="Times New Roman"/>
                <w:b/>
                <w:bCs/>
                <w:color w:val="000000"/>
                <w:sz w:val="20"/>
                <w:szCs w:val="20"/>
                <w:lang w:eastAsia="fr-FR"/>
              </w:rPr>
            </w:pPr>
            <w:r w:rsidRPr="009707D0">
              <w:rPr>
                <w:rFonts w:ascii="Times New Roman" w:eastAsia="Times New Roman" w:hAnsi="Times New Roman"/>
                <w:b/>
                <w:bCs/>
                <w:color w:val="000000"/>
                <w:sz w:val="20"/>
                <w:szCs w:val="20"/>
                <w:lang w:eastAsia="fr-FR"/>
              </w:rPr>
              <w:t>206 050</w:t>
            </w:r>
          </w:p>
        </w:tc>
      </w:tr>
    </w:tbl>
    <w:bookmarkEnd w:id="1035"/>
    <w:p w14:paraId="139CC56E" w14:textId="77777777" w:rsidR="00F16F4B" w:rsidRPr="00E737B4" w:rsidRDefault="00F16F4B" w:rsidP="00E737B4">
      <w:pPr>
        <w:spacing w:before="80" w:after="0" w:line="240" w:lineRule="auto"/>
        <w:jc w:val="center"/>
        <w:rPr>
          <w:rFonts w:ascii="Times New Roman" w:hAnsi="Times New Roman"/>
          <w:bCs/>
          <w:i/>
          <w:sz w:val="24"/>
        </w:rPr>
      </w:pPr>
      <w:r w:rsidRPr="00E737B4">
        <w:rPr>
          <w:rFonts w:ascii="Times New Roman" w:hAnsi="Times New Roman"/>
          <w:bCs/>
          <w:i/>
          <w:sz w:val="24"/>
          <w:u w:val="single"/>
        </w:rPr>
        <w:t>Source </w:t>
      </w:r>
      <w:r w:rsidRPr="00E737B4">
        <w:rPr>
          <w:rFonts w:ascii="Times New Roman" w:hAnsi="Times New Roman"/>
          <w:bCs/>
          <w:i/>
          <w:sz w:val="24"/>
        </w:rPr>
        <w:t>: Mission d’élaboration de l’EIES DKC DKO 232cabine juillet 2021</w:t>
      </w:r>
    </w:p>
    <w:p w14:paraId="004ECE87" w14:textId="77777777" w:rsidR="00F16F4B" w:rsidRDefault="00F16F4B">
      <w:pPr>
        <w:rPr>
          <w:rFonts w:ascii="Times New Roman" w:hAnsi="Times New Roman"/>
          <w:bCs/>
          <w:i/>
        </w:rPr>
      </w:pPr>
      <w:r>
        <w:rPr>
          <w:rFonts w:ascii="Times New Roman" w:hAnsi="Times New Roman"/>
          <w:bCs/>
          <w:i/>
        </w:rPr>
        <w:br w:type="page"/>
      </w:r>
    </w:p>
    <w:p w14:paraId="77021841" w14:textId="391C6250" w:rsidR="00ED17F3" w:rsidRPr="00D75D2E" w:rsidRDefault="009E743E" w:rsidP="00215867">
      <w:pPr>
        <w:pStyle w:val="Titre1"/>
        <w:numPr>
          <w:ilvl w:val="0"/>
          <w:numId w:val="54"/>
        </w:numPr>
        <w:spacing w:after="120"/>
        <w:ind w:left="357" w:hanging="357"/>
      </w:pPr>
      <w:bookmarkStart w:id="1041" w:name="_Toc16663532"/>
      <w:bookmarkStart w:id="1042" w:name="_Toc16663706"/>
      <w:bookmarkStart w:id="1043" w:name="_Toc16664951"/>
      <w:bookmarkEnd w:id="1040"/>
      <w:r>
        <w:t xml:space="preserve"> </w:t>
      </w:r>
      <w:bookmarkStart w:id="1044" w:name="_Toc103685762"/>
      <w:r w:rsidR="00ED17F3" w:rsidRPr="00D75D2E">
        <w:t>CONCLUSION /RECOMMANDATION</w:t>
      </w:r>
      <w:bookmarkEnd w:id="1041"/>
      <w:bookmarkEnd w:id="1042"/>
      <w:bookmarkEnd w:id="1043"/>
      <w:r w:rsidR="00E9451D" w:rsidRPr="00D75D2E">
        <w:t>S</w:t>
      </w:r>
      <w:bookmarkEnd w:id="1044"/>
    </w:p>
    <w:p w14:paraId="2669724C" w14:textId="03162BC4" w:rsidR="00B62693" w:rsidRPr="00D75D2E" w:rsidRDefault="00B62693" w:rsidP="00E737B4">
      <w:pPr>
        <w:spacing w:before="120" w:after="120" w:line="20" w:lineRule="atLeast"/>
        <w:ind w:left="-5" w:hanging="10"/>
        <w:jc w:val="both"/>
        <w:rPr>
          <w:rFonts w:ascii="Times New Roman" w:hAnsi="Times New Roman"/>
          <w:sz w:val="24"/>
          <w:szCs w:val="24"/>
        </w:rPr>
      </w:pPr>
      <w:r w:rsidRPr="00D75D2E">
        <w:rPr>
          <w:rFonts w:ascii="Times New Roman" w:hAnsi="Times New Roman"/>
          <w:sz w:val="24"/>
          <w:szCs w:val="24"/>
        </w:rPr>
        <w:t xml:space="preserve">La présente étude d’impact environnemental et social du </w:t>
      </w:r>
      <w:r w:rsidR="00853DCC">
        <w:rPr>
          <w:rFonts w:ascii="Times New Roman" w:hAnsi="Times New Roman"/>
          <w:sz w:val="24"/>
          <w:szCs w:val="24"/>
        </w:rPr>
        <w:t>projet d</w:t>
      </w:r>
      <w:r w:rsidR="00110EE4" w:rsidRPr="00D75D2E">
        <w:rPr>
          <w:rFonts w:ascii="Times New Roman" w:hAnsi="Times New Roman"/>
          <w:sz w:val="24"/>
          <w:szCs w:val="24"/>
        </w:rPr>
        <w:t>es travaux d’électrification des poches noires, d’assainissement, de réhabilitation et de mise en conformité des réseaux SNEL des Directions de Kinshasa Centre et Ouest (DKC/DKO)</w:t>
      </w:r>
      <w:r w:rsidR="00D85456">
        <w:rPr>
          <w:rFonts w:ascii="Times New Roman" w:hAnsi="Times New Roman"/>
          <w:sz w:val="24"/>
          <w:szCs w:val="24"/>
        </w:rPr>
        <w:t> ; concerne le réseau de distribution de Kinshasa Centre et Ouest et</w:t>
      </w:r>
      <w:r w:rsidR="00110EE4" w:rsidRPr="00D75D2E">
        <w:rPr>
          <w:rFonts w:ascii="Times New Roman" w:hAnsi="Times New Roman"/>
          <w:sz w:val="24"/>
          <w:szCs w:val="24"/>
        </w:rPr>
        <w:t xml:space="preserve"> </w:t>
      </w:r>
      <w:r w:rsidRPr="00D75D2E">
        <w:rPr>
          <w:rFonts w:ascii="Times New Roman" w:hAnsi="Times New Roman"/>
          <w:sz w:val="24"/>
          <w:szCs w:val="24"/>
        </w:rPr>
        <w:t xml:space="preserve">a été réalisée conformément à la réglementation environnementale de la République Démocratique du Congo et </w:t>
      </w:r>
      <w:r w:rsidR="00110EE4" w:rsidRPr="00D75D2E">
        <w:rPr>
          <w:rFonts w:ascii="Times New Roman" w:hAnsi="Times New Roman"/>
          <w:sz w:val="24"/>
          <w:szCs w:val="24"/>
        </w:rPr>
        <w:t xml:space="preserve">des Normes environnementales et sociales </w:t>
      </w:r>
      <w:r w:rsidR="008543CD" w:rsidRPr="00D75D2E">
        <w:rPr>
          <w:rFonts w:ascii="Times New Roman" w:eastAsia="Times New Roman" w:hAnsi="Times New Roman"/>
          <w:sz w:val="24"/>
          <w:szCs w:val="24"/>
          <w:lang w:eastAsia="fr-FR"/>
        </w:rPr>
        <w:t>de la Banque mondiale</w:t>
      </w:r>
      <w:r w:rsidRPr="00D75D2E">
        <w:rPr>
          <w:rFonts w:ascii="Times New Roman" w:eastAsia="Times New Roman" w:hAnsi="Times New Roman"/>
          <w:sz w:val="24"/>
          <w:szCs w:val="24"/>
          <w:lang w:eastAsia="fr-FR"/>
        </w:rPr>
        <w:t xml:space="preserve">. </w:t>
      </w:r>
    </w:p>
    <w:p w14:paraId="36528AAD" w14:textId="77777777" w:rsidR="00B62693" w:rsidRPr="00D75D2E" w:rsidRDefault="00B62693" w:rsidP="00E737B4">
      <w:pPr>
        <w:spacing w:before="120" w:after="120" w:line="20" w:lineRule="atLeast"/>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De manière générale, elle a permis d’analyser l’état actuel de la zone d’intervention du projet, identifier et évaluer les </w:t>
      </w:r>
      <w:r w:rsidRPr="00D75D2E">
        <w:rPr>
          <w:rFonts w:ascii="Times New Roman" w:hAnsi="Times New Roman"/>
          <w:sz w:val="24"/>
          <w:szCs w:val="24"/>
        </w:rPr>
        <w:t>impacts environnementaux et sociaux générés par les travaux du projet.</w:t>
      </w:r>
    </w:p>
    <w:p w14:paraId="179EEA1D" w14:textId="77777777" w:rsidR="00B62693" w:rsidRPr="00D75D2E" w:rsidRDefault="00B62693" w:rsidP="00E737B4">
      <w:pPr>
        <w:spacing w:before="120" w:after="120" w:line="20" w:lineRule="atLeast"/>
        <w:jc w:val="both"/>
        <w:rPr>
          <w:rFonts w:ascii="Times New Roman" w:hAnsi="Times New Roman"/>
          <w:spacing w:val="-4"/>
          <w:sz w:val="24"/>
          <w:szCs w:val="24"/>
        </w:rPr>
      </w:pPr>
      <w:r w:rsidRPr="00D75D2E">
        <w:rPr>
          <w:rFonts w:ascii="Times New Roman" w:hAnsi="Times New Roman"/>
          <w:sz w:val="24"/>
          <w:szCs w:val="24"/>
        </w:rPr>
        <w:t>E</w:t>
      </w:r>
      <w:r w:rsidRPr="00D75D2E">
        <w:rPr>
          <w:rFonts w:ascii="Times New Roman" w:eastAsia="Times New Roman" w:hAnsi="Times New Roman"/>
          <w:sz w:val="24"/>
          <w:lang w:eastAsia="fr-FR"/>
        </w:rPr>
        <w:t xml:space="preserve">lle propose également des mesures d’atténuation des impacts négatifs et des mesures de surveillance et de suivi </w:t>
      </w:r>
      <w:r w:rsidRPr="00D75D2E">
        <w:rPr>
          <w:rFonts w:ascii="Times New Roman" w:hAnsi="Times New Roman"/>
          <w:sz w:val="24"/>
          <w:szCs w:val="24"/>
        </w:rPr>
        <w:t>à travers un Plan de Gestion Environnementale et Sociale (PGES)</w:t>
      </w:r>
      <w:r w:rsidRPr="00D75D2E">
        <w:rPr>
          <w:rFonts w:ascii="Times New Roman" w:eastAsia="Times New Roman" w:hAnsi="Times New Roman"/>
          <w:sz w:val="24"/>
          <w:lang w:eastAsia="fr-FR"/>
        </w:rPr>
        <w:t xml:space="preserve"> assorti d’un coût estimatif de leur réalisation.</w:t>
      </w:r>
      <w:r w:rsidRPr="00D75D2E">
        <w:rPr>
          <w:rFonts w:ascii="Times New Roman" w:hAnsi="Times New Roman"/>
          <w:sz w:val="24"/>
          <w:szCs w:val="24"/>
        </w:rPr>
        <w:t xml:space="preserve"> La mise en œuvre du projet aura des impacts négatifs et positifs, d’importance différente sur les milieux biophysique et humain. </w:t>
      </w:r>
    </w:p>
    <w:p w14:paraId="46881727" w14:textId="77777777" w:rsidR="00B62693" w:rsidRPr="00D75D2E" w:rsidRDefault="00B62693" w:rsidP="00E737B4">
      <w:pPr>
        <w:spacing w:before="120" w:after="120" w:line="20" w:lineRule="atLeast"/>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 Les principaux impacts du projet sont : </w:t>
      </w:r>
    </w:p>
    <w:p w14:paraId="6DED0AFB" w14:textId="77777777" w:rsidR="00B62693" w:rsidRPr="00D75D2E" w:rsidRDefault="00B62693" w:rsidP="00AE31F1">
      <w:pPr>
        <w:pStyle w:val="Paragraphedeliste"/>
        <w:numPr>
          <w:ilvl w:val="0"/>
          <w:numId w:val="128"/>
        </w:numPr>
        <w:spacing w:before="120" w:after="120" w:line="240" w:lineRule="auto"/>
        <w:ind w:left="425" w:hanging="357"/>
        <w:contextualSpacing w:val="0"/>
        <w:jc w:val="both"/>
        <w:rPr>
          <w:rFonts w:ascii="Times New Roman" w:eastAsia="TimesNewRomanPSMT" w:hAnsi="Times New Roman"/>
          <w:b/>
          <w:sz w:val="24"/>
          <w:szCs w:val="24"/>
        </w:rPr>
      </w:pPr>
      <w:r w:rsidRPr="00D75D2E">
        <w:rPr>
          <w:rFonts w:ascii="Times New Roman" w:eastAsia="TimesNewRomanPSMT" w:hAnsi="Times New Roman"/>
          <w:b/>
          <w:sz w:val="24"/>
          <w:szCs w:val="24"/>
        </w:rPr>
        <w:t xml:space="preserve">Au plan environnemental </w:t>
      </w:r>
    </w:p>
    <w:p w14:paraId="39CB3AE4" w14:textId="2A0FF797"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Les arbres qui seront impactés</w:t>
      </w:r>
      <w:r w:rsidRPr="00D75D2E">
        <w:rPr>
          <w:rFonts w:ascii="Times New Roman" w:hAnsi="Times New Roman"/>
          <w:iCs/>
          <w:sz w:val="24"/>
          <w:szCs w:val="24"/>
        </w:rPr>
        <w:t xml:space="preserve"> dans les emprises des lignes ou des cabines sont </w:t>
      </w:r>
      <w:r w:rsidRPr="00D75D2E">
        <w:rPr>
          <w:rFonts w:ascii="Times New Roman" w:eastAsia="Times New Roman" w:hAnsi="Times New Roman"/>
          <w:sz w:val="24"/>
          <w:lang w:eastAsia="fr-FR"/>
        </w:rPr>
        <w:t xml:space="preserve">environ </w:t>
      </w:r>
      <w:r w:rsidR="00785FE1" w:rsidRPr="00D75D2E">
        <w:rPr>
          <w:rFonts w:ascii="Times New Roman" w:hAnsi="Times New Roman"/>
          <w:sz w:val="24"/>
          <w:szCs w:val="24"/>
        </w:rPr>
        <w:t>1</w:t>
      </w:r>
      <w:r w:rsidR="00D85456">
        <w:rPr>
          <w:rFonts w:ascii="Times New Roman" w:hAnsi="Times New Roman"/>
          <w:sz w:val="24"/>
          <w:szCs w:val="24"/>
        </w:rPr>
        <w:t xml:space="preserve"> </w:t>
      </w:r>
      <w:r w:rsidR="00785FE1" w:rsidRPr="00D75D2E">
        <w:rPr>
          <w:rFonts w:ascii="Times New Roman" w:hAnsi="Times New Roman"/>
          <w:sz w:val="24"/>
          <w:szCs w:val="24"/>
        </w:rPr>
        <w:t>169</w:t>
      </w:r>
      <w:r w:rsidRPr="00D75D2E">
        <w:rPr>
          <w:rFonts w:ascii="Times New Roman" w:hAnsi="Times New Roman"/>
          <w:sz w:val="24"/>
          <w:szCs w:val="24"/>
        </w:rPr>
        <w:t xml:space="preserve"> arbres (</w:t>
      </w:r>
      <w:r w:rsidR="00785FE1" w:rsidRPr="00D75D2E">
        <w:rPr>
          <w:rFonts w:ascii="Times New Roman" w:hAnsi="Times New Roman"/>
          <w:sz w:val="24"/>
          <w:szCs w:val="24"/>
        </w:rPr>
        <w:t>815 arbres privés et 354 arbres du domaine</w:t>
      </w:r>
      <w:r w:rsidRPr="00D75D2E">
        <w:rPr>
          <w:rFonts w:ascii="Times New Roman" w:hAnsi="Times New Roman"/>
          <w:sz w:val="24"/>
          <w:szCs w:val="24"/>
        </w:rPr>
        <w:t xml:space="preserve">). </w:t>
      </w:r>
    </w:p>
    <w:p w14:paraId="449F1279" w14:textId="77777777" w:rsidR="00B62693" w:rsidRPr="00D75D2E" w:rsidRDefault="00B62693" w:rsidP="008C79F0">
      <w:pPr>
        <w:numPr>
          <w:ilvl w:val="0"/>
          <w:numId w:val="19"/>
        </w:numPr>
        <w:spacing w:after="11" w:line="248"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perte de la faune et la perturbation des habitats fauniques;</w:t>
      </w:r>
    </w:p>
    <w:p w14:paraId="2594770A" w14:textId="77777777" w:rsidR="00B62693" w:rsidRPr="00D75D2E" w:rsidRDefault="00B62693" w:rsidP="008C79F0">
      <w:pPr>
        <w:numPr>
          <w:ilvl w:val="0"/>
          <w:numId w:val="19"/>
        </w:numPr>
        <w:spacing w:after="0" w:line="276" w:lineRule="auto"/>
        <w:ind w:left="851" w:hanging="425"/>
        <w:contextualSpacing/>
        <w:jc w:val="both"/>
        <w:rPr>
          <w:rFonts w:ascii="Times New Roman" w:hAnsi="Times New Roman"/>
          <w:sz w:val="24"/>
          <w:szCs w:val="24"/>
        </w:rPr>
      </w:pPr>
      <w:r w:rsidRPr="00D75D2E">
        <w:rPr>
          <w:rFonts w:ascii="Times New Roman" w:hAnsi="Times New Roman"/>
          <w:sz w:val="24"/>
          <w:szCs w:val="24"/>
        </w:rPr>
        <w:t>la pollution des eaux et du sol liée à la gestion des déchets solides et liquides de chantiers lors des travaux ;</w:t>
      </w:r>
    </w:p>
    <w:p w14:paraId="4BA76E42" w14:textId="77777777" w:rsidR="00B62693" w:rsidRPr="00D75D2E" w:rsidRDefault="00B62693" w:rsidP="008C79F0">
      <w:pPr>
        <w:numPr>
          <w:ilvl w:val="0"/>
          <w:numId w:val="19"/>
        </w:numPr>
        <w:spacing w:after="0" w:line="276" w:lineRule="auto"/>
        <w:ind w:left="851" w:hanging="425"/>
        <w:contextualSpacing/>
        <w:jc w:val="both"/>
        <w:rPr>
          <w:rFonts w:ascii="Times New Roman" w:hAnsi="Times New Roman"/>
          <w:sz w:val="24"/>
          <w:szCs w:val="24"/>
        </w:rPr>
      </w:pPr>
      <w:r w:rsidRPr="00D75D2E">
        <w:rPr>
          <w:rFonts w:ascii="Times New Roman" w:hAnsi="Times New Roman"/>
          <w:sz w:val="24"/>
          <w:szCs w:val="24"/>
        </w:rPr>
        <w:t>la dégradation ou l’éboulement du sol sous l’effet de l’érosion ;</w:t>
      </w:r>
    </w:p>
    <w:p w14:paraId="713DB995" w14:textId="77777777" w:rsidR="00B62693" w:rsidRPr="00D75D2E" w:rsidRDefault="00666C46" w:rsidP="008C79F0">
      <w:pPr>
        <w:numPr>
          <w:ilvl w:val="0"/>
          <w:numId w:val="19"/>
        </w:numPr>
        <w:spacing w:after="0" w:line="276" w:lineRule="auto"/>
        <w:ind w:left="851" w:hanging="425"/>
        <w:contextualSpacing/>
        <w:jc w:val="both"/>
        <w:rPr>
          <w:rFonts w:ascii="Times New Roman" w:hAnsi="Times New Roman"/>
          <w:sz w:val="24"/>
          <w:szCs w:val="24"/>
        </w:rPr>
      </w:pPr>
      <w:r w:rsidRPr="00D75D2E">
        <w:rPr>
          <w:rFonts w:ascii="Times New Roman" w:hAnsi="Times New Roman"/>
          <w:sz w:val="24"/>
          <w:szCs w:val="24"/>
        </w:rPr>
        <w:t>l</w:t>
      </w:r>
      <w:r w:rsidR="00B62693" w:rsidRPr="00D75D2E">
        <w:rPr>
          <w:rFonts w:ascii="Times New Roman" w:hAnsi="Times New Roman"/>
          <w:sz w:val="24"/>
          <w:szCs w:val="24"/>
        </w:rPr>
        <w:t xml:space="preserve">es nuisances sonores et les vibrations dues aux travaux </w:t>
      </w:r>
    </w:p>
    <w:p w14:paraId="680580A3" w14:textId="77777777" w:rsidR="00B62693" w:rsidRPr="00D75D2E" w:rsidRDefault="00B62693" w:rsidP="00AE31F1">
      <w:pPr>
        <w:pStyle w:val="Paragraphedeliste"/>
        <w:numPr>
          <w:ilvl w:val="0"/>
          <w:numId w:val="128"/>
        </w:numPr>
        <w:spacing w:before="120" w:after="120" w:line="240" w:lineRule="auto"/>
        <w:ind w:left="425" w:hanging="357"/>
        <w:contextualSpacing w:val="0"/>
        <w:jc w:val="both"/>
        <w:rPr>
          <w:rFonts w:ascii="Times New Roman" w:hAnsi="Times New Roman"/>
          <w:b/>
          <w:sz w:val="24"/>
          <w:szCs w:val="24"/>
        </w:rPr>
      </w:pPr>
      <w:r w:rsidRPr="00D75D2E">
        <w:rPr>
          <w:rFonts w:ascii="Times New Roman" w:hAnsi="Times New Roman"/>
          <w:b/>
          <w:sz w:val="24"/>
          <w:szCs w:val="24"/>
        </w:rPr>
        <w:t xml:space="preserve">Au plan social </w:t>
      </w:r>
    </w:p>
    <w:p w14:paraId="1B44A660" w14:textId="5F179C20" w:rsidR="00D85456" w:rsidRDefault="009E743E" w:rsidP="009E743E">
      <w:pPr>
        <w:pStyle w:val="Paragraphedeliste"/>
        <w:numPr>
          <w:ilvl w:val="0"/>
          <w:numId w:val="19"/>
        </w:numPr>
        <w:spacing w:after="0" w:line="240" w:lineRule="auto"/>
        <w:ind w:left="851" w:hanging="425"/>
        <w:jc w:val="both"/>
        <w:rPr>
          <w:rFonts w:ascii="Times New Roman" w:hAnsi="Times New Roman"/>
          <w:sz w:val="24"/>
          <w:szCs w:val="24"/>
        </w:rPr>
      </w:pPr>
      <w:r>
        <w:rPr>
          <w:rFonts w:ascii="Times New Roman" w:hAnsi="Times New Roman"/>
          <w:sz w:val="24"/>
          <w:szCs w:val="24"/>
        </w:rPr>
        <w:t>l</w:t>
      </w:r>
      <w:r w:rsidR="00D85456">
        <w:rPr>
          <w:rFonts w:ascii="Times New Roman" w:hAnsi="Times New Roman"/>
          <w:sz w:val="24"/>
          <w:szCs w:val="24"/>
        </w:rPr>
        <w:t xml:space="preserve">e promoteur du projet devra élaborer </w:t>
      </w:r>
      <w:r>
        <w:rPr>
          <w:rFonts w:ascii="Times New Roman" w:hAnsi="Times New Roman"/>
          <w:sz w:val="24"/>
          <w:szCs w:val="24"/>
        </w:rPr>
        <w:t xml:space="preserve">et mettre en œuvre </w:t>
      </w:r>
      <w:r w:rsidR="00D85456">
        <w:rPr>
          <w:rFonts w:ascii="Times New Roman" w:hAnsi="Times New Roman"/>
          <w:sz w:val="24"/>
          <w:szCs w:val="24"/>
        </w:rPr>
        <w:t>un Plan d’Action de Réinstallation (PAR)</w:t>
      </w:r>
      <w:r w:rsidR="008D17B0">
        <w:rPr>
          <w:rFonts w:ascii="Times New Roman" w:hAnsi="Times New Roman"/>
          <w:sz w:val="24"/>
          <w:szCs w:val="24"/>
        </w:rPr>
        <w:t xml:space="preserve"> incluant </w:t>
      </w:r>
      <w:r w:rsidR="008C1316">
        <w:rPr>
          <w:rFonts w:ascii="Times New Roman" w:eastAsia="Times New Roman" w:hAnsi="Times New Roman"/>
          <w:sz w:val="24"/>
          <w:szCs w:val="24"/>
          <w:lang w:eastAsia="fr-FR"/>
        </w:rPr>
        <w:t xml:space="preserve">le plan de restauration </w:t>
      </w:r>
      <w:r w:rsidR="008C1316" w:rsidRPr="003448B0">
        <w:rPr>
          <w:rFonts w:ascii="Times New Roman" w:eastAsia="Times New Roman" w:hAnsi="Times New Roman"/>
          <w:sz w:val="24"/>
          <w:szCs w:val="24"/>
          <w:lang w:eastAsia="fr-FR"/>
        </w:rPr>
        <w:t>des moyens de subsistance afin de compenser la perte des activités génératrices de revenus (AGR</w:t>
      </w:r>
      <w:r w:rsidR="008C1316">
        <w:rPr>
          <w:rFonts w:ascii="Times New Roman" w:eastAsia="Times New Roman" w:hAnsi="Times New Roman"/>
          <w:sz w:val="24"/>
          <w:szCs w:val="24"/>
          <w:lang w:eastAsia="fr-FR"/>
        </w:rPr>
        <w:t>)</w:t>
      </w:r>
      <w:r w:rsidR="00D85456">
        <w:rPr>
          <w:rFonts w:ascii="Times New Roman" w:hAnsi="Times New Roman"/>
          <w:sz w:val="24"/>
          <w:szCs w:val="24"/>
        </w:rPr>
        <w:t xml:space="preserve"> </w:t>
      </w:r>
      <w:r>
        <w:rPr>
          <w:rFonts w:ascii="Times New Roman" w:hAnsi="Times New Roman"/>
          <w:sz w:val="24"/>
          <w:szCs w:val="24"/>
        </w:rPr>
        <w:t>d</w:t>
      </w:r>
      <w:r w:rsidR="00D85456">
        <w:rPr>
          <w:rFonts w:ascii="Times New Roman" w:hAnsi="Times New Roman"/>
          <w:sz w:val="24"/>
          <w:szCs w:val="24"/>
        </w:rPr>
        <w:t xml:space="preserve">es personnes affectées par le </w:t>
      </w:r>
      <w:r>
        <w:rPr>
          <w:rFonts w:ascii="Times New Roman" w:hAnsi="Times New Roman"/>
          <w:sz w:val="24"/>
          <w:szCs w:val="24"/>
        </w:rPr>
        <w:t>sous-</w:t>
      </w:r>
      <w:r w:rsidR="00D85456">
        <w:rPr>
          <w:rFonts w:ascii="Times New Roman" w:hAnsi="Times New Roman"/>
          <w:sz w:val="24"/>
          <w:szCs w:val="24"/>
        </w:rPr>
        <w:t>projet (PAP)</w:t>
      </w:r>
      <w:r>
        <w:rPr>
          <w:rFonts w:ascii="Times New Roman" w:hAnsi="Times New Roman"/>
          <w:sz w:val="24"/>
          <w:szCs w:val="24"/>
        </w:rPr>
        <w:t xml:space="preserve"> et </w:t>
      </w:r>
      <w:r w:rsidR="00D85456">
        <w:rPr>
          <w:rFonts w:ascii="Times New Roman" w:hAnsi="Times New Roman"/>
          <w:sz w:val="24"/>
          <w:szCs w:val="24"/>
        </w:rPr>
        <w:t xml:space="preserve">veillera à ce que </w:t>
      </w:r>
      <w:r>
        <w:rPr>
          <w:rFonts w:ascii="Times New Roman" w:hAnsi="Times New Roman"/>
          <w:sz w:val="24"/>
          <w:szCs w:val="24"/>
        </w:rPr>
        <w:t xml:space="preserve">toute </w:t>
      </w:r>
      <w:r w:rsidR="00D85456">
        <w:rPr>
          <w:rFonts w:ascii="Times New Roman" w:hAnsi="Times New Roman"/>
          <w:sz w:val="24"/>
          <w:szCs w:val="24"/>
        </w:rPr>
        <w:t xml:space="preserve">les personnes </w:t>
      </w:r>
      <w:r>
        <w:rPr>
          <w:rFonts w:ascii="Times New Roman" w:hAnsi="Times New Roman"/>
          <w:sz w:val="24"/>
          <w:szCs w:val="24"/>
        </w:rPr>
        <w:t>identifiés dans le cadre du projet soient indemnisés conformément aux directives de la NES n°7 de la Banque mondiale et la législation nationale ;</w:t>
      </w:r>
    </w:p>
    <w:p w14:paraId="2EB0C512" w14:textId="38E029AC" w:rsidR="002B30C3" w:rsidRDefault="002B30C3" w:rsidP="009E743E">
      <w:pPr>
        <w:pStyle w:val="Paragraphedeliste"/>
        <w:numPr>
          <w:ilvl w:val="0"/>
          <w:numId w:val="19"/>
        </w:numPr>
        <w:spacing w:after="0" w:line="240" w:lineRule="auto"/>
        <w:ind w:left="851" w:hanging="425"/>
        <w:jc w:val="both"/>
        <w:rPr>
          <w:rFonts w:ascii="Times New Roman" w:hAnsi="Times New Roman"/>
          <w:sz w:val="24"/>
          <w:szCs w:val="24"/>
        </w:rPr>
      </w:pPr>
      <w:r>
        <w:rPr>
          <w:rFonts w:ascii="Times New Roman" w:hAnsi="Times New Roman"/>
          <w:sz w:val="24"/>
          <w:szCs w:val="24"/>
        </w:rPr>
        <w:t>Procédures de la Gestion de la Main d’œuvre ;</w:t>
      </w:r>
    </w:p>
    <w:p w14:paraId="3624E2A1" w14:textId="77777777"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E737B4">
        <w:rPr>
          <w:rFonts w:ascii="Times New Roman" w:hAnsi="Times New Roman"/>
          <w:sz w:val="24"/>
          <w:szCs w:val="24"/>
        </w:rPr>
        <w:t>la perte des sources de revenus ;</w:t>
      </w:r>
    </w:p>
    <w:p w14:paraId="4017062B" w14:textId="77777777"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 xml:space="preserve">les risques d’accidents (chute, mouvement d’engins, blessure, etc.) ; </w:t>
      </w:r>
    </w:p>
    <w:p w14:paraId="4E5464A1" w14:textId="77777777"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les risques liés à l’électricité (incendie, brûlure, électrocution ou électrisation) ;</w:t>
      </w:r>
    </w:p>
    <w:p w14:paraId="16A5597F" w14:textId="77777777" w:rsidR="00B62693" w:rsidRPr="00D75D2E" w:rsidRDefault="00666C46" w:rsidP="008C79F0">
      <w:pPr>
        <w:pStyle w:val="Paragraphedeliste"/>
        <w:numPr>
          <w:ilvl w:val="0"/>
          <w:numId w:val="1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154</w:t>
      </w:r>
      <w:r w:rsidR="00B62693" w:rsidRPr="00D75D2E">
        <w:rPr>
          <w:rFonts w:ascii="Times New Roman" w:hAnsi="Times New Roman"/>
          <w:sz w:val="24"/>
          <w:szCs w:val="24"/>
        </w:rPr>
        <w:t xml:space="preserve"> bâtisses composées </w:t>
      </w:r>
      <w:r w:rsidR="00B62693" w:rsidRPr="00E737B4">
        <w:rPr>
          <w:rFonts w:ascii="Times New Roman" w:hAnsi="Times New Roman"/>
          <w:sz w:val="24"/>
          <w:szCs w:val="24"/>
        </w:rPr>
        <w:t>à déplacer seront impactées</w:t>
      </w:r>
      <w:r w:rsidR="00B62693" w:rsidRPr="00D75D2E">
        <w:rPr>
          <w:rFonts w:ascii="Times New Roman" w:hAnsi="Times New Roman"/>
          <w:sz w:val="24"/>
          <w:szCs w:val="24"/>
        </w:rPr>
        <w:t xml:space="preserve"> </w:t>
      </w:r>
      <w:r w:rsidR="00B62693" w:rsidRPr="00317F3D">
        <w:rPr>
          <w:rFonts w:ascii="Times New Roman" w:hAnsi="Times New Roman"/>
          <w:sz w:val="24"/>
          <w:szCs w:val="24"/>
        </w:rPr>
        <w:t>lors de la libération des emprises des trava</w:t>
      </w:r>
      <w:r w:rsidR="00B62693" w:rsidRPr="00C3123A">
        <w:rPr>
          <w:rFonts w:ascii="Times New Roman" w:hAnsi="Times New Roman"/>
          <w:sz w:val="24"/>
          <w:szCs w:val="24"/>
        </w:rPr>
        <w:t>ux (sites d’installation des poteaux et cabines électriques</w:t>
      </w:r>
      <w:r w:rsidR="009E1D28" w:rsidRPr="00C3123A">
        <w:rPr>
          <w:rFonts w:ascii="Times New Roman" w:hAnsi="Times New Roman"/>
          <w:sz w:val="24"/>
          <w:szCs w:val="24"/>
        </w:rPr>
        <w:t>)</w:t>
      </w:r>
      <w:r w:rsidR="009E1D28" w:rsidRPr="00E737B4">
        <w:rPr>
          <w:rFonts w:ascii="Times New Roman" w:hAnsi="Times New Roman"/>
          <w:sz w:val="24"/>
          <w:szCs w:val="24"/>
        </w:rPr>
        <w:t xml:space="preserve"> ;</w:t>
      </w:r>
      <w:r w:rsidR="00B62693" w:rsidRPr="00E737B4">
        <w:rPr>
          <w:rFonts w:ascii="Times New Roman" w:hAnsi="Times New Roman"/>
          <w:sz w:val="24"/>
          <w:szCs w:val="24"/>
        </w:rPr>
        <w:t xml:space="preserve"> </w:t>
      </w:r>
    </w:p>
    <w:p w14:paraId="60670AEB" w14:textId="77777777"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D75D2E">
        <w:rPr>
          <w:rFonts w:ascii="Times New Roman" w:hAnsi="Times New Roman"/>
          <w:sz w:val="24"/>
          <w:szCs w:val="24"/>
        </w:rPr>
        <w:t xml:space="preserve">les risques de conflits sociaux liés </w:t>
      </w:r>
      <w:r w:rsidRPr="00E737B4">
        <w:rPr>
          <w:rFonts w:ascii="Times New Roman" w:hAnsi="Times New Roman"/>
          <w:sz w:val="24"/>
          <w:szCs w:val="24"/>
        </w:rPr>
        <w:t>au non recrutement de la main d’œuvre locale ;</w:t>
      </w:r>
    </w:p>
    <w:p w14:paraId="6C1AB289" w14:textId="35BB6250" w:rsidR="00B62693" w:rsidRPr="00D75D2E" w:rsidRDefault="00B62693" w:rsidP="008C79F0">
      <w:pPr>
        <w:pStyle w:val="Paragraphedeliste"/>
        <w:numPr>
          <w:ilvl w:val="0"/>
          <w:numId w:val="19"/>
        </w:numPr>
        <w:spacing w:after="0" w:line="240" w:lineRule="auto"/>
        <w:ind w:left="851" w:hanging="425"/>
        <w:jc w:val="both"/>
        <w:rPr>
          <w:rFonts w:ascii="Times New Roman" w:hAnsi="Times New Roman"/>
          <w:sz w:val="24"/>
          <w:szCs w:val="24"/>
        </w:rPr>
      </w:pPr>
      <w:r w:rsidRPr="00E737B4">
        <w:rPr>
          <w:rFonts w:ascii="Times New Roman" w:hAnsi="Times New Roman"/>
          <w:sz w:val="24"/>
          <w:szCs w:val="24"/>
        </w:rPr>
        <w:t xml:space="preserve">les </w:t>
      </w:r>
      <w:r w:rsidRPr="00D75D2E">
        <w:rPr>
          <w:rFonts w:ascii="Times New Roman" w:hAnsi="Times New Roman"/>
          <w:sz w:val="24"/>
          <w:szCs w:val="24"/>
        </w:rPr>
        <w:t xml:space="preserve">risques </w:t>
      </w:r>
      <w:r w:rsidR="00276F79">
        <w:rPr>
          <w:rFonts w:ascii="Times New Roman" w:hAnsi="Times New Roman"/>
          <w:sz w:val="24"/>
          <w:szCs w:val="24"/>
        </w:rPr>
        <w:t xml:space="preserve">d’EAS/HS </w:t>
      </w:r>
      <w:r w:rsidRPr="00E737B4">
        <w:rPr>
          <w:rFonts w:ascii="Times New Roman" w:hAnsi="Times New Roman"/>
          <w:sz w:val="24"/>
          <w:szCs w:val="24"/>
        </w:rPr>
        <w:t xml:space="preserve">et propagation des </w:t>
      </w:r>
      <w:r w:rsidR="00852ABD" w:rsidRPr="00E737B4">
        <w:rPr>
          <w:rFonts w:ascii="Times New Roman" w:hAnsi="Times New Roman"/>
          <w:sz w:val="24"/>
          <w:szCs w:val="24"/>
        </w:rPr>
        <w:t>I</w:t>
      </w:r>
      <w:r w:rsidRPr="00E737B4">
        <w:rPr>
          <w:rFonts w:ascii="Times New Roman" w:hAnsi="Times New Roman"/>
          <w:sz w:val="24"/>
          <w:szCs w:val="24"/>
        </w:rPr>
        <w:t>ST/SIDA</w:t>
      </w:r>
      <w:r w:rsidR="007B4B28" w:rsidRPr="00E737B4">
        <w:rPr>
          <w:rFonts w:ascii="Times New Roman" w:hAnsi="Times New Roman"/>
          <w:sz w:val="24"/>
          <w:szCs w:val="24"/>
        </w:rPr>
        <w:t xml:space="preserve">, </w:t>
      </w:r>
      <w:r w:rsidR="00666C46" w:rsidRPr="00E737B4">
        <w:rPr>
          <w:rFonts w:ascii="Times New Roman" w:hAnsi="Times New Roman"/>
          <w:sz w:val="24"/>
          <w:szCs w:val="24"/>
        </w:rPr>
        <w:t>et la COVID 19</w:t>
      </w:r>
      <w:r w:rsidRPr="00D75D2E">
        <w:rPr>
          <w:rFonts w:ascii="Times New Roman" w:hAnsi="Times New Roman"/>
          <w:sz w:val="24"/>
          <w:szCs w:val="24"/>
        </w:rPr>
        <w:t>.</w:t>
      </w:r>
    </w:p>
    <w:p w14:paraId="57401174" w14:textId="635DA9B6" w:rsidR="00B62693" w:rsidRPr="00D75D2E" w:rsidRDefault="00B62693" w:rsidP="00AE31F1">
      <w:pPr>
        <w:spacing w:before="120" w:after="120" w:line="240" w:lineRule="auto"/>
        <w:ind w:left="426" w:right="1"/>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L’ensemble de ces impacts pourra être maîtrisé ou atténué par des mesures adaptées. Ainsi, des propositions de mesures de </w:t>
      </w:r>
      <w:r w:rsidR="00D85456">
        <w:rPr>
          <w:rFonts w:ascii="Times New Roman" w:eastAsia="Times New Roman" w:hAnsi="Times New Roman"/>
          <w:sz w:val="24"/>
          <w:lang w:eastAsia="fr-FR"/>
        </w:rPr>
        <w:t xml:space="preserve">compensation, de </w:t>
      </w:r>
      <w:r w:rsidRPr="00D75D2E">
        <w:rPr>
          <w:rFonts w:ascii="Times New Roman" w:eastAsia="Times New Roman" w:hAnsi="Times New Roman"/>
          <w:sz w:val="24"/>
          <w:lang w:eastAsia="fr-FR"/>
        </w:rPr>
        <w:t xml:space="preserve">bonification et d’atténuations concernent : </w:t>
      </w:r>
    </w:p>
    <w:p w14:paraId="4FEA6755"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L’insertion et le respect de clauses et prescriptions environnementales et sociales durant les travaux et lors de la mise en œuvre ; </w:t>
      </w:r>
    </w:p>
    <w:p w14:paraId="6E8AF9B3" w14:textId="20D54BB1"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la mise en œuvre d’un plan de reboisement compensatoire des arbres du domaine public </w:t>
      </w:r>
      <w:r w:rsidR="00F9111F">
        <w:rPr>
          <w:rFonts w:ascii="Times New Roman" w:eastAsia="Times New Roman" w:hAnsi="Times New Roman"/>
          <w:sz w:val="24"/>
          <w:lang w:eastAsia="fr-FR"/>
        </w:rPr>
        <w:t xml:space="preserve">sera mené par les communautés locales </w:t>
      </w:r>
      <w:r w:rsidRPr="00D75D2E">
        <w:rPr>
          <w:rFonts w:ascii="Times New Roman" w:eastAsia="Times New Roman" w:hAnsi="Times New Roman"/>
          <w:sz w:val="24"/>
          <w:lang w:eastAsia="fr-FR"/>
        </w:rPr>
        <w:t>avec les services en charge de l’environnement surtout vers les espèces adaptées au milieu afin de stabiliser les zones sensibles à l’érosion ;</w:t>
      </w:r>
    </w:p>
    <w:p w14:paraId="649A2F5A"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mise en place d’un plan de gestion des déchets solides et liquides prenant en compte les questions de pollution de l’air, l’eau et du sol dans la zone du projet ;</w:t>
      </w:r>
    </w:p>
    <w:p w14:paraId="0A177C1F"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mise en œuvre d’un plan d’information Education et Communication(IEC) des acteurs sur le projet ;</w:t>
      </w:r>
    </w:p>
    <w:p w14:paraId="42015E5E"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mise en œuvre d’un plan de drainage approprié des eaux de ruissellement de la base-vie et stabilisation des sols ;</w:t>
      </w:r>
    </w:p>
    <w:p w14:paraId="498E2353"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mise en œuvre d’un plan  de suivi régulier et d’entretien des lignes électriques ;</w:t>
      </w:r>
    </w:p>
    <w:p w14:paraId="6CEE058F"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La sensibilisation des populations et du personnel de l’entreprise sur les abus sexuels sur les personnes vulnérables notamment des filles mineures et des veuves ; </w:t>
      </w:r>
    </w:p>
    <w:p w14:paraId="02583A0F" w14:textId="70B76852"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La sensibilisation des populations aux maladies respiratoires, ainsi que l’élaboration d’un programme de sensibilisation aux IST/VIH/SIDA</w:t>
      </w:r>
      <w:r w:rsidR="007B4B28" w:rsidRPr="00D75D2E">
        <w:rPr>
          <w:rFonts w:ascii="Times New Roman" w:eastAsia="Times New Roman" w:hAnsi="Times New Roman"/>
          <w:sz w:val="24"/>
          <w:lang w:eastAsia="fr-FR"/>
        </w:rPr>
        <w:t xml:space="preserve">, </w:t>
      </w:r>
      <w:r w:rsidR="00276F79">
        <w:rPr>
          <w:rFonts w:ascii="Times New Roman" w:eastAsia="Times New Roman" w:hAnsi="Times New Roman"/>
          <w:sz w:val="24"/>
          <w:lang w:eastAsia="fr-FR"/>
        </w:rPr>
        <w:t>l’EAS/HS</w:t>
      </w:r>
      <w:r w:rsidR="007B4B28" w:rsidRPr="00D75D2E">
        <w:rPr>
          <w:rFonts w:ascii="Times New Roman" w:eastAsia="Times New Roman" w:hAnsi="Times New Roman"/>
          <w:sz w:val="24"/>
          <w:lang w:eastAsia="fr-FR"/>
        </w:rPr>
        <w:t xml:space="preserve"> et la COVID 19</w:t>
      </w:r>
      <w:r w:rsidRPr="00D75D2E">
        <w:rPr>
          <w:rFonts w:ascii="Times New Roman" w:eastAsia="Times New Roman" w:hAnsi="Times New Roman"/>
          <w:sz w:val="24"/>
          <w:lang w:eastAsia="fr-FR"/>
        </w:rPr>
        <w:t xml:space="preserve"> ;  </w:t>
      </w:r>
    </w:p>
    <w:p w14:paraId="0DB815B6"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La priorisation de l’emploi de la main d’œuvre locale (ouvriers non qualifiés et manœuvres) en cas de besoin ; </w:t>
      </w:r>
    </w:p>
    <w:p w14:paraId="6A25ACCD" w14:textId="77777777" w:rsidR="00B62693" w:rsidRPr="00D75D2E"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Assurer le suivi-évaluation environnemental du projet ; </w:t>
      </w:r>
    </w:p>
    <w:p w14:paraId="42632278" w14:textId="77777777" w:rsidR="00B62693" w:rsidRPr="00D75D2E" w:rsidRDefault="00B62693" w:rsidP="00E737B4">
      <w:pPr>
        <w:spacing w:before="120" w:after="120" w:line="240" w:lineRule="auto"/>
        <w:ind w:left="420"/>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En termes d’évaluation des performances environnemental et social du projet, les   indicateurs suivants sont à prendre en compte :   </w:t>
      </w:r>
    </w:p>
    <w:p w14:paraId="702E21F1"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100% des arbres du domaine public coupés ou élagués sont compensés et 0% de plaintes enregistrées ;</w:t>
      </w:r>
    </w:p>
    <w:p w14:paraId="34D91E47"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100% PV des arbres coupés et d’arbres élagués et au moins 80 % de réussite d’arbres plantés ;</w:t>
      </w:r>
    </w:p>
    <w:p w14:paraId="086B49DC"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Nombre des bacs à ordure présents sur le chantier et dans la base vie avec un protocole d’accord pour le transfert des ordures vers des décharges publiques ;</w:t>
      </w:r>
    </w:p>
    <w:p w14:paraId="16FD3C04"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 xml:space="preserve">Aucune trace d’hydrocarbure dans les cours d’eau riverains au chantier et absence de trace d’hydrocarbure au sol dans la base vie et sur le chantier ; </w:t>
      </w:r>
    </w:p>
    <w:p w14:paraId="0BF416AF" w14:textId="4729FE6F"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 xml:space="preserve">0% de trace d’érosion observée au niveau des sites d’implantation des poteaux ou des cabines et suivi régulier des lignes (tous les 6 mois) </w:t>
      </w:r>
    </w:p>
    <w:p w14:paraId="2E16F804"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100% PV de restauration des sites après les travaux </w:t>
      </w:r>
    </w:p>
    <w:p w14:paraId="42356D05"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PV de sensibilisation sur la limitation de vitesse et de sensibilisation sur la gestion des déchets ;</w:t>
      </w:r>
    </w:p>
    <w:p w14:paraId="16A4422B"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0% de plaintes ne provenant de personnes vulnérables faisant l’objet d’abus sexuels par les entreprises ;</w:t>
      </w:r>
    </w:p>
    <w:p w14:paraId="368B2DEF" w14:textId="3112D0DA"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Rapport de visite technique des engins ;</w:t>
      </w:r>
    </w:p>
    <w:p w14:paraId="146DFA26" w14:textId="77777777" w:rsidR="00B62693" w:rsidRPr="00E737B4" w:rsidRDefault="00B62693" w:rsidP="008C79F0">
      <w:pPr>
        <w:pStyle w:val="Paragraphedeliste"/>
        <w:numPr>
          <w:ilvl w:val="0"/>
          <w:numId w:val="19"/>
        </w:numPr>
        <w:spacing w:after="0" w:line="240" w:lineRule="auto"/>
        <w:ind w:left="851" w:hanging="425"/>
        <w:jc w:val="both"/>
        <w:rPr>
          <w:rFonts w:ascii="Times New Roman" w:eastAsia="Times New Roman" w:hAnsi="Times New Roman"/>
          <w:sz w:val="24"/>
          <w:lang w:eastAsia="fr-FR"/>
        </w:rPr>
      </w:pPr>
      <w:r w:rsidRPr="00E737B4">
        <w:rPr>
          <w:rFonts w:ascii="Times New Roman" w:eastAsia="Times New Roman" w:hAnsi="Times New Roman"/>
          <w:sz w:val="24"/>
          <w:lang w:eastAsia="fr-FR"/>
        </w:rPr>
        <w:t>100% des séances de sensibilisation réalisées</w:t>
      </w:r>
    </w:p>
    <w:p w14:paraId="5A2252DA" w14:textId="77777777" w:rsidR="00B62693" w:rsidRPr="00D75D2E" w:rsidRDefault="00B62693" w:rsidP="00E737B4">
      <w:pPr>
        <w:spacing w:before="120" w:after="120" w:line="240" w:lineRule="auto"/>
        <w:ind w:left="284"/>
        <w:jc w:val="both"/>
        <w:rPr>
          <w:rFonts w:ascii="Times New Roman" w:eastAsia="Times New Roman" w:hAnsi="Times New Roman"/>
          <w:sz w:val="24"/>
          <w:lang w:eastAsia="fr-FR"/>
        </w:rPr>
      </w:pPr>
      <w:r w:rsidRPr="00D75D2E">
        <w:rPr>
          <w:rFonts w:ascii="Times New Roman" w:eastAsia="Times New Roman" w:hAnsi="Times New Roman"/>
          <w:sz w:val="24"/>
          <w:lang w:eastAsia="fr-FR"/>
        </w:rPr>
        <w:t xml:space="preserve"> Le programme de suivi concernera les impacts les plus préoccupants du projet à savoir : </w:t>
      </w:r>
    </w:p>
    <w:p w14:paraId="71D1673C" w14:textId="77777777" w:rsidR="00B62693" w:rsidRPr="00D75D2E" w:rsidRDefault="00B62693" w:rsidP="008C79F0">
      <w:pPr>
        <w:pStyle w:val="Paragraphedeliste"/>
        <w:numPr>
          <w:ilvl w:val="0"/>
          <w:numId w:val="93"/>
        </w:numPr>
        <w:spacing w:after="57" w:line="248" w:lineRule="auto"/>
        <w:jc w:val="both"/>
        <w:rPr>
          <w:rFonts w:ascii="Times New Roman" w:eastAsia="Times New Roman" w:hAnsi="Times New Roman"/>
          <w:sz w:val="24"/>
          <w:lang w:eastAsia="fr-FR"/>
        </w:rPr>
      </w:pPr>
      <w:r w:rsidRPr="00D75D2E">
        <w:rPr>
          <w:rFonts w:ascii="Times New Roman" w:eastAsia="Times New Roman" w:hAnsi="Times New Roman"/>
          <w:sz w:val="24"/>
          <w:lang w:eastAsia="fr-FR"/>
        </w:rPr>
        <w:t>L’intégrité de la diversité biologique et de la végétation par des reboisements compensatoires surtout des espèces adaptées au milieu, capables de stabiliser les zones sensibles à l’érosion ;</w:t>
      </w:r>
    </w:p>
    <w:p w14:paraId="0972542C" w14:textId="3647BED5" w:rsidR="00B62693" w:rsidRPr="00E97D6B" w:rsidRDefault="00B62693" w:rsidP="008C79F0">
      <w:pPr>
        <w:pStyle w:val="Paragraphedeliste"/>
        <w:numPr>
          <w:ilvl w:val="0"/>
          <w:numId w:val="93"/>
        </w:numPr>
        <w:suppressAutoHyphens/>
        <w:spacing w:after="0" w:line="276" w:lineRule="auto"/>
        <w:jc w:val="both"/>
        <w:rPr>
          <w:rFonts w:ascii="Times New Roman" w:hAnsi="Times New Roman"/>
          <w:iCs/>
          <w:sz w:val="24"/>
          <w:szCs w:val="24"/>
        </w:rPr>
      </w:pPr>
      <w:r w:rsidRPr="00D75D2E">
        <w:rPr>
          <w:rFonts w:ascii="Times New Roman" w:hAnsi="Times New Roman"/>
          <w:sz w:val="24"/>
          <w:szCs w:val="24"/>
        </w:rPr>
        <w:t>La gestion régulière des déchets solides et liquides générés sur le chantier et dans la base vie avec un protocole d’accord pour le transfert des ordures vers des décharges publiques.</w:t>
      </w:r>
    </w:p>
    <w:p w14:paraId="0213DAB4" w14:textId="16B49F77" w:rsidR="007B4B28" w:rsidRDefault="00B62693" w:rsidP="00E737B4">
      <w:pPr>
        <w:spacing w:before="120" w:after="120" w:line="240" w:lineRule="auto"/>
        <w:ind w:left="284"/>
        <w:jc w:val="both"/>
        <w:rPr>
          <w:rFonts w:ascii="Times New Roman" w:eastAsia="Times New Roman" w:hAnsi="Times New Roman"/>
          <w:b/>
          <w:sz w:val="24"/>
          <w:lang w:eastAsia="fr-FR"/>
        </w:rPr>
      </w:pPr>
      <w:r w:rsidRPr="00D75D2E">
        <w:rPr>
          <w:rFonts w:ascii="Times New Roman" w:hAnsi="Times New Roman"/>
          <w:sz w:val="24"/>
          <w:szCs w:val="24"/>
        </w:rPr>
        <w:t xml:space="preserve">Le PGES est un outil important qui aidera l’Unité de Coordination et de Management des projets à mieux intégrer les aspects sociaux et environnementaux dans la mise en œuvre du projet. </w:t>
      </w:r>
      <w:r w:rsidRPr="00D75D2E">
        <w:rPr>
          <w:rFonts w:ascii="Times New Roman" w:eastAsia="Times New Roman" w:hAnsi="Times New Roman"/>
          <w:sz w:val="24"/>
          <w:lang w:eastAsia="fr-FR"/>
        </w:rPr>
        <w:t xml:space="preserve">Les évaluations de coûts effectuées permettent de chiffrer </w:t>
      </w:r>
      <w:r w:rsidRPr="00D75D2E">
        <w:rPr>
          <w:rFonts w:ascii="Times New Roman" w:eastAsia="Times New Roman" w:hAnsi="Times New Roman"/>
          <w:sz w:val="24"/>
          <w:szCs w:val="24"/>
          <w:lang w:eastAsia="fr-FR"/>
        </w:rPr>
        <w:t xml:space="preserve">à </w:t>
      </w:r>
      <w:r w:rsidR="005844BC" w:rsidRPr="00AE31F1">
        <w:rPr>
          <w:rFonts w:ascii="Times New Roman" w:eastAsia="Times New Roman" w:hAnsi="Times New Roman"/>
          <w:b/>
          <w:bCs/>
          <w:sz w:val="24"/>
          <w:szCs w:val="24"/>
          <w:lang w:eastAsia="fr-FR"/>
        </w:rPr>
        <w:t>206 0</w:t>
      </w:r>
      <w:r w:rsidR="005844BC">
        <w:rPr>
          <w:rFonts w:ascii="Times New Roman" w:eastAsia="Times New Roman" w:hAnsi="Times New Roman"/>
          <w:b/>
          <w:bCs/>
          <w:sz w:val="24"/>
          <w:szCs w:val="24"/>
          <w:lang w:eastAsia="fr-FR"/>
        </w:rPr>
        <w:t>5</w:t>
      </w:r>
      <w:r w:rsidR="005844BC" w:rsidRPr="00AE31F1">
        <w:rPr>
          <w:rFonts w:ascii="Times New Roman" w:eastAsia="Times New Roman" w:hAnsi="Times New Roman"/>
          <w:b/>
          <w:bCs/>
          <w:sz w:val="24"/>
          <w:szCs w:val="24"/>
          <w:lang w:eastAsia="fr-FR"/>
        </w:rPr>
        <w:t>0</w:t>
      </w:r>
      <w:r w:rsidR="005844BC" w:rsidRPr="000E7AFE">
        <w:rPr>
          <w:rFonts w:ascii="Times New Roman" w:eastAsia="Times New Roman" w:hAnsi="Times New Roman"/>
          <w:b/>
          <w:bCs/>
          <w:sz w:val="24"/>
          <w:szCs w:val="24"/>
          <w:lang w:eastAsia="fr-FR"/>
        </w:rPr>
        <w:t xml:space="preserve"> </w:t>
      </w:r>
      <w:r w:rsidR="005844BC" w:rsidRPr="005844BC">
        <w:rPr>
          <w:rFonts w:ascii="Times New Roman" w:eastAsia="Times New Roman" w:hAnsi="Times New Roman"/>
          <w:b/>
          <w:bCs/>
          <w:sz w:val="24"/>
          <w:szCs w:val="24"/>
          <w:lang w:eastAsia="fr-FR"/>
        </w:rPr>
        <w:t>$</w:t>
      </w:r>
      <w:r w:rsidR="005844BC" w:rsidRPr="005844BC">
        <w:rPr>
          <w:rFonts w:ascii="Times New Roman" w:hAnsi="Times New Roman"/>
          <w:sz w:val="24"/>
          <w:szCs w:val="24"/>
        </w:rPr>
        <w:t xml:space="preserve"> US dont </w:t>
      </w:r>
      <w:r w:rsidR="005844BC" w:rsidRPr="005844BC">
        <w:rPr>
          <w:rFonts w:ascii="Times New Roman" w:hAnsi="Times New Roman"/>
          <w:b/>
          <w:bCs/>
          <w:sz w:val="24"/>
          <w:szCs w:val="24"/>
        </w:rPr>
        <w:t xml:space="preserve">  </w:t>
      </w:r>
      <w:r w:rsidR="005844BC" w:rsidRPr="00AE31F1">
        <w:rPr>
          <w:rFonts w:ascii="Times New Roman" w:eastAsia="Times New Roman" w:hAnsi="Times New Roman"/>
          <w:b/>
          <w:bCs/>
          <w:color w:val="000000"/>
          <w:sz w:val="24"/>
          <w:szCs w:val="24"/>
          <w:lang w:eastAsia="fr-FR"/>
        </w:rPr>
        <w:t>141 300</w:t>
      </w:r>
      <w:r w:rsidR="005844BC" w:rsidRPr="005844BC">
        <w:rPr>
          <w:rFonts w:ascii="Times New Roman" w:eastAsia="Times New Roman" w:hAnsi="Times New Roman"/>
          <w:bCs/>
          <w:sz w:val="24"/>
          <w:szCs w:val="24"/>
          <w:lang w:eastAsia="fr-FR"/>
        </w:rPr>
        <w:t xml:space="preserve">$US pris en charge par le projet et </w:t>
      </w:r>
      <w:r w:rsidR="005844BC" w:rsidRPr="00AE31F1">
        <w:rPr>
          <w:rFonts w:ascii="Times New Roman" w:eastAsia="Times New Roman" w:hAnsi="Times New Roman"/>
          <w:b/>
          <w:bCs/>
          <w:color w:val="000000"/>
          <w:sz w:val="24"/>
          <w:szCs w:val="24"/>
          <w:lang w:eastAsia="fr-FR"/>
        </w:rPr>
        <w:t>64 750</w:t>
      </w:r>
      <w:r w:rsidRPr="00D75D2E">
        <w:rPr>
          <w:rFonts w:ascii="Times New Roman" w:eastAsia="Times New Roman" w:hAnsi="Times New Roman"/>
          <w:b/>
          <w:sz w:val="24"/>
          <w:lang w:eastAsia="fr-FR"/>
        </w:rPr>
        <w:t xml:space="preserve"> $</w:t>
      </w:r>
      <w:r w:rsidR="007B4B28" w:rsidRPr="00D75D2E">
        <w:rPr>
          <w:rFonts w:ascii="Times New Roman" w:eastAsia="Times New Roman" w:hAnsi="Times New Roman"/>
          <w:b/>
          <w:sz w:val="24"/>
          <w:lang w:eastAsia="fr-FR"/>
        </w:rPr>
        <w:t xml:space="preserve"> US</w:t>
      </w:r>
      <w:r w:rsidRPr="00D75D2E">
        <w:rPr>
          <w:rFonts w:ascii="Times New Roman" w:eastAsia="Times New Roman" w:hAnsi="Times New Roman"/>
          <w:b/>
          <w:sz w:val="24"/>
          <w:lang w:eastAsia="fr-FR"/>
        </w:rPr>
        <w:t xml:space="preserve"> pris en charge par l’entreprise. </w:t>
      </w:r>
    </w:p>
    <w:p w14:paraId="5F20EA67" w14:textId="77777777" w:rsidR="00EE4D50" w:rsidRPr="00AE31F1" w:rsidRDefault="00EE4D50" w:rsidP="00EE4D50">
      <w:pPr>
        <w:rPr>
          <w:rFonts w:ascii="Times New Roman" w:hAnsi="Times New Roman"/>
          <w:sz w:val="24"/>
          <w:szCs w:val="24"/>
        </w:rPr>
      </w:pPr>
      <w:r w:rsidRPr="00AE31F1">
        <w:rPr>
          <w:rFonts w:ascii="Times New Roman" w:hAnsi="Times New Roman"/>
          <w:sz w:val="24"/>
          <w:szCs w:val="24"/>
        </w:rPr>
        <w:t>La mission relève des insuffisances dans le cadre de l’élaboration de la présente EIES. Il s’agit :</w:t>
      </w:r>
    </w:p>
    <w:p w14:paraId="0CCD4FAE" w14:textId="0023A1C3" w:rsidR="00EE4D50" w:rsidRPr="00AE31F1" w:rsidRDefault="00EE4D50" w:rsidP="00EE4D50">
      <w:pPr>
        <w:pStyle w:val="Paragraphedeliste"/>
        <w:numPr>
          <w:ilvl w:val="0"/>
          <w:numId w:val="355"/>
        </w:numPr>
        <w:rPr>
          <w:rFonts w:ascii="Times New Roman" w:hAnsi="Times New Roman"/>
          <w:sz w:val="24"/>
          <w:szCs w:val="24"/>
        </w:rPr>
      </w:pPr>
      <w:r w:rsidRPr="00AE31F1">
        <w:rPr>
          <w:rFonts w:ascii="Times New Roman" w:hAnsi="Times New Roman"/>
          <w:sz w:val="24"/>
          <w:szCs w:val="24"/>
        </w:rPr>
        <w:t xml:space="preserve">La non évaluation des sites d’emprunt et </w:t>
      </w:r>
      <w:r w:rsidR="003C5D8E" w:rsidRPr="00AE31F1">
        <w:rPr>
          <w:rFonts w:ascii="Times New Roman" w:hAnsi="Times New Roman"/>
          <w:sz w:val="24"/>
          <w:szCs w:val="24"/>
        </w:rPr>
        <w:t>des conditions</w:t>
      </w:r>
      <w:r w:rsidRPr="00AE31F1">
        <w:rPr>
          <w:rFonts w:ascii="Times New Roman" w:hAnsi="Times New Roman"/>
          <w:sz w:val="24"/>
          <w:szCs w:val="24"/>
        </w:rPr>
        <w:t xml:space="preserve"> de travail des exploitants de ces sites ainsi qu’une évaluation des conditions de travail des enfants ;</w:t>
      </w:r>
    </w:p>
    <w:p w14:paraId="4801535B" w14:textId="77777777" w:rsidR="003C5D8E" w:rsidRDefault="00EE4D50" w:rsidP="00EE4D50">
      <w:pPr>
        <w:pStyle w:val="Paragraphedeliste"/>
        <w:numPr>
          <w:ilvl w:val="0"/>
          <w:numId w:val="355"/>
        </w:numPr>
        <w:rPr>
          <w:rFonts w:ascii="Times New Roman" w:hAnsi="Times New Roman"/>
          <w:sz w:val="24"/>
          <w:szCs w:val="24"/>
        </w:rPr>
      </w:pPr>
      <w:r w:rsidRPr="00AE31F1">
        <w:rPr>
          <w:rFonts w:ascii="Times New Roman" w:hAnsi="Times New Roman"/>
          <w:sz w:val="24"/>
          <w:szCs w:val="24"/>
        </w:rPr>
        <w:t>La non évaluation des bases vies car ce stade les bases vies ne sont pas connues</w:t>
      </w:r>
      <w:r w:rsidR="003C5D8E">
        <w:rPr>
          <w:rFonts w:ascii="Times New Roman" w:hAnsi="Times New Roman"/>
          <w:sz w:val="24"/>
          <w:szCs w:val="24"/>
        </w:rPr>
        <w:t> ;</w:t>
      </w:r>
    </w:p>
    <w:p w14:paraId="3B768D05" w14:textId="4C1851CC" w:rsidR="00EE4D50" w:rsidRPr="00AE31F1" w:rsidRDefault="003C5D8E" w:rsidP="00EE4D50">
      <w:pPr>
        <w:pStyle w:val="Paragraphedeliste"/>
        <w:numPr>
          <w:ilvl w:val="0"/>
          <w:numId w:val="355"/>
        </w:numPr>
        <w:rPr>
          <w:rFonts w:ascii="Times New Roman" w:hAnsi="Times New Roman"/>
          <w:sz w:val="24"/>
          <w:szCs w:val="24"/>
        </w:rPr>
      </w:pPr>
      <w:r>
        <w:rPr>
          <w:rFonts w:ascii="Times New Roman" w:hAnsi="Times New Roman"/>
          <w:sz w:val="24"/>
          <w:szCs w:val="24"/>
        </w:rPr>
        <w:t>La non prise en compte de la gestion du trafic ou de la sécurité routière.</w:t>
      </w:r>
    </w:p>
    <w:p w14:paraId="0FAC0FCD" w14:textId="518F9849" w:rsidR="00EE4D50" w:rsidRPr="003C5D8E" w:rsidRDefault="003C5D8E" w:rsidP="00E737B4">
      <w:pPr>
        <w:spacing w:before="120" w:after="120" w:line="240" w:lineRule="auto"/>
        <w:ind w:left="284"/>
        <w:jc w:val="both"/>
        <w:rPr>
          <w:rFonts w:ascii="Times New Roman" w:eastAsia="Times New Roman" w:hAnsi="Times New Roman"/>
          <w:b/>
          <w:sz w:val="24"/>
          <w:szCs w:val="24"/>
          <w:lang w:eastAsia="fr-FR"/>
        </w:rPr>
      </w:pPr>
      <w:r w:rsidRPr="003C5D8E">
        <w:rPr>
          <w:rFonts w:ascii="Times New Roman" w:eastAsia="Times New Roman" w:hAnsi="Times New Roman"/>
          <w:b/>
          <w:sz w:val="24"/>
          <w:szCs w:val="24"/>
          <w:lang w:eastAsia="fr-FR"/>
        </w:rPr>
        <w:t>Pour remédier à cela, la mission recomma</w:t>
      </w:r>
      <w:r w:rsidR="0083630B">
        <w:rPr>
          <w:rFonts w:ascii="Times New Roman" w:eastAsia="Times New Roman" w:hAnsi="Times New Roman"/>
          <w:b/>
          <w:sz w:val="24"/>
          <w:szCs w:val="24"/>
          <w:lang w:eastAsia="fr-FR"/>
        </w:rPr>
        <w:t>n</w:t>
      </w:r>
      <w:r w:rsidRPr="003C5D8E">
        <w:rPr>
          <w:rFonts w:ascii="Times New Roman" w:eastAsia="Times New Roman" w:hAnsi="Times New Roman"/>
          <w:b/>
          <w:sz w:val="24"/>
          <w:szCs w:val="24"/>
          <w:lang w:eastAsia="fr-FR"/>
        </w:rPr>
        <w:t>de :</w:t>
      </w:r>
    </w:p>
    <w:p w14:paraId="2704CF86" w14:textId="59EC97E7" w:rsidR="00EE4D50" w:rsidRDefault="00EE4D50" w:rsidP="00EE4D50">
      <w:pPr>
        <w:numPr>
          <w:ilvl w:val="0"/>
          <w:numId w:val="354"/>
        </w:numPr>
        <w:suppressAutoHyphens/>
        <w:spacing w:after="120" w:line="240" w:lineRule="auto"/>
        <w:contextualSpacing/>
        <w:jc w:val="both"/>
        <w:rPr>
          <w:rFonts w:ascii="Times New Roman" w:hAnsi="Times New Roman"/>
          <w:iCs/>
          <w:sz w:val="24"/>
          <w:szCs w:val="24"/>
        </w:rPr>
      </w:pPr>
      <w:r w:rsidRPr="003C5D8E">
        <w:rPr>
          <w:rFonts w:ascii="Times New Roman" w:hAnsi="Times New Roman"/>
          <w:iCs/>
          <w:sz w:val="24"/>
          <w:szCs w:val="24"/>
        </w:rPr>
        <w:t>Un état de</w:t>
      </w:r>
      <w:r>
        <w:rPr>
          <w:rFonts w:ascii="Times New Roman" w:hAnsi="Times New Roman"/>
          <w:iCs/>
          <w:sz w:val="24"/>
          <w:szCs w:val="24"/>
        </w:rPr>
        <w:t xml:space="preserve"> lieu des sites d’emprunt des matériaux et des bases </w:t>
      </w:r>
      <w:r w:rsidR="003F4124">
        <w:rPr>
          <w:rFonts w:ascii="Times New Roman" w:hAnsi="Times New Roman"/>
          <w:iCs/>
          <w:sz w:val="24"/>
          <w:szCs w:val="24"/>
        </w:rPr>
        <w:t>vies sera</w:t>
      </w:r>
      <w:r>
        <w:rPr>
          <w:rFonts w:ascii="Times New Roman" w:hAnsi="Times New Roman"/>
          <w:iCs/>
          <w:sz w:val="24"/>
          <w:szCs w:val="24"/>
        </w:rPr>
        <w:t xml:space="preserve"> établi  par l’entreprise avant le démarrage des travaux et les non-conformités environnementales et sociales comblées en mettant en œuvre un PGES ou une EIES simplifiée ou éventuellement un PAR pour les sites d’emprunt et les bases vie avec une procédure réhabilitation des sites d’emprunt des bases vie ;</w:t>
      </w:r>
    </w:p>
    <w:p w14:paraId="1187CC03" w14:textId="2112E974" w:rsidR="00C6497B" w:rsidRDefault="00C6497B" w:rsidP="00EE4D50">
      <w:pPr>
        <w:numPr>
          <w:ilvl w:val="0"/>
          <w:numId w:val="354"/>
        </w:numPr>
        <w:suppressAutoHyphens/>
        <w:spacing w:after="120" w:line="240" w:lineRule="auto"/>
        <w:contextualSpacing/>
        <w:jc w:val="both"/>
        <w:rPr>
          <w:rFonts w:ascii="Times New Roman" w:hAnsi="Times New Roman"/>
          <w:iCs/>
          <w:sz w:val="24"/>
          <w:szCs w:val="24"/>
        </w:rPr>
      </w:pPr>
      <w:r>
        <w:rPr>
          <w:rFonts w:ascii="Times New Roman" w:hAnsi="Times New Roman"/>
          <w:iCs/>
          <w:sz w:val="24"/>
          <w:szCs w:val="24"/>
        </w:rPr>
        <w:t xml:space="preserve">Un renforcement des capacités des parties prenantes au projet (SNEL, Mission de Contrôle et Entreprises) sur le nouveau cadre environnemental et social de la Banque et la mise en œuvre des instruments de sauvegarde ; </w:t>
      </w:r>
    </w:p>
    <w:p w14:paraId="3F2357ED" w14:textId="020DFCE3" w:rsidR="00AE517A" w:rsidRPr="00215867" w:rsidRDefault="00AE517A" w:rsidP="00215867">
      <w:pPr>
        <w:numPr>
          <w:ilvl w:val="0"/>
          <w:numId w:val="354"/>
        </w:numPr>
        <w:suppressAutoHyphens/>
        <w:spacing w:after="0" w:line="240" w:lineRule="auto"/>
        <w:contextualSpacing/>
        <w:jc w:val="both"/>
        <w:rPr>
          <w:rFonts w:ascii="Times New Roman" w:hAnsi="Times New Roman"/>
          <w:sz w:val="24"/>
          <w:szCs w:val="24"/>
        </w:rPr>
      </w:pPr>
      <w:r w:rsidRPr="00215867">
        <w:rPr>
          <w:rFonts w:ascii="Times New Roman" w:hAnsi="Times New Roman"/>
          <w:sz w:val="24"/>
          <w:szCs w:val="24"/>
        </w:rPr>
        <w:t>des évaluations sociales supplémentaires</w:t>
      </w:r>
      <w:r w:rsidR="003F4124" w:rsidRPr="00004AEE">
        <w:rPr>
          <w:rFonts w:ascii="Times New Roman" w:hAnsi="Times New Roman"/>
          <w:sz w:val="24"/>
          <w:szCs w:val="24"/>
        </w:rPr>
        <w:t xml:space="preserve"> (la description du milieu récepteur</w:t>
      </w:r>
      <w:r w:rsidR="003F4124" w:rsidRPr="00B208A7">
        <w:rPr>
          <w:rFonts w:ascii="Times New Roman" w:hAnsi="Times New Roman"/>
          <w:sz w:val="24"/>
          <w:szCs w:val="24"/>
        </w:rPr>
        <w:t xml:space="preserve"> soit faite dans chaque commune concernée par ce sous-projet</w:t>
      </w:r>
      <w:r w:rsidR="003F4124" w:rsidRPr="00583FB0">
        <w:rPr>
          <w:rFonts w:ascii="Times New Roman" w:hAnsi="Times New Roman"/>
          <w:sz w:val="24"/>
          <w:szCs w:val="24"/>
        </w:rPr>
        <w:t xml:space="preserve">) </w:t>
      </w:r>
      <w:r w:rsidR="00D73C74" w:rsidRPr="00583FB0">
        <w:rPr>
          <w:rFonts w:ascii="Times New Roman" w:hAnsi="Times New Roman"/>
          <w:sz w:val="24"/>
          <w:szCs w:val="24"/>
        </w:rPr>
        <w:t>dans les PGES-chantier</w:t>
      </w:r>
      <w:r w:rsidR="00D73C74" w:rsidRPr="002E6723">
        <w:rPr>
          <w:rFonts w:ascii="Times New Roman" w:hAnsi="Times New Roman"/>
          <w:sz w:val="24"/>
          <w:szCs w:val="24"/>
        </w:rPr>
        <w:t>s</w:t>
      </w:r>
      <w:r w:rsidR="00D73C74" w:rsidRPr="00882BB9">
        <w:rPr>
          <w:rFonts w:ascii="Times New Roman" w:hAnsi="Times New Roman"/>
          <w:sz w:val="24"/>
          <w:szCs w:val="24"/>
        </w:rPr>
        <w:t xml:space="preserve"> par les</w:t>
      </w:r>
      <w:r w:rsidRPr="00215867">
        <w:rPr>
          <w:rFonts w:ascii="Times New Roman" w:hAnsi="Times New Roman"/>
          <w:sz w:val="24"/>
          <w:szCs w:val="24"/>
        </w:rPr>
        <w:t xml:space="preserve"> entreprises</w:t>
      </w:r>
      <w:r w:rsidR="00D73C74" w:rsidRPr="00004AEE">
        <w:rPr>
          <w:rFonts w:ascii="Times New Roman" w:hAnsi="Times New Roman"/>
          <w:sz w:val="24"/>
          <w:szCs w:val="24"/>
        </w:rPr>
        <w:t xml:space="preserve"> adjudicatrices des marchés</w:t>
      </w:r>
      <w:r w:rsidRPr="00215867">
        <w:rPr>
          <w:rFonts w:ascii="Times New Roman" w:hAnsi="Times New Roman"/>
          <w:sz w:val="24"/>
          <w:szCs w:val="24"/>
        </w:rPr>
        <w:t xml:space="preserve"> sur chaque site avant le début des travaux</w:t>
      </w:r>
      <w:r w:rsidRPr="00004AEE">
        <w:rPr>
          <w:rFonts w:ascii="Times New Roman" w:hAnsi="Times New Roman"/>
          <w:sz w:val="24"/>
          <w:szCs w:val="24"/>
        </w:rPr>
        <w:t> ;</w:t>
      </w:r>
    </w:p>
    <w:p w14:paraId="7E9A0F62" w14:textId="6DAB322E" w:rsidR="00EE4D50" w:rsidRDefault="00EE4D50" w:rsidP="00EE4D50">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préparera et mettra en œuvre d’un  plan de gestion de la main d’œuvre (PGMO) en s’inspirant au PGMO du projet ;</w:t>
      </w:r>
    </w:p>
    <w:p w14:paraId="774D1C48" w14:textId="5BB104E0" w:rsidR="00EE4D50" w:rsidRDefault="00EE4D50" w:rsidP="00EE4D50">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 xml:space="preserve">L’entreprise préparera et </w:t>
      </w:r>
      <w:r w:rsidR="003F4124">
        <w:rPr>
          <w:rFonts w:ascii="Times New Roman" w:hAnsi="Times New Roman"/>
          <w:sz w:val="24"/>
          <w:szCs w:val="24"/>
        </w:rPr>
        <w:t>mettra en</w:t>
      </w:r>
      <w:r>
        <w:rPr>
          <w:rFonts w:ascii="Times New Roman" w:hAnsi="Times New Roman"/>
          <w:sz w:val="24"/>
          <w:szCs w:val="24"/>
        </w:rPr>
        <w:t xml:space="preserve"> œuvre un plan d’IEC (Information – Education – Communication) sur le travail des enfants et les EAS/HS ;</w:t>
      </w:r>
    </w:p>
    <w:p w14:paraId="6442F5C2" w14:textId="77777777" w:rsidR="00EE4D50" w:rsidRDefault="00EE4D50" w:rsidP="00EE4D50">
      <w:pPr>
        <w:numPr>
          <w:ilvl w:val="0"/>
          <w:numId w:val="354"/>
        </w:numPr>
        <w:suppressAutoHyphens/>
        <w:spacing w:after="0" w:line="240" w:lineRule="auto"/>
        <w:contextualSpacing/>
        <w:jc w:val="both"/>
        <w:rPr>
          <w:rFonts w:ascii="Times New Roman" w:hAnsi="Times New Roman"/>
          <w:sz w:val="24"/>
          <w:szCs w:val="24"/>
        </w:rPr>
      </w:pPr>
      <w:r>
        <w:rPr>
          <w:rFonts w:ascii="Times New Roman" w:hAnsi="Times New Roman"/>
          <w:sz w:val="24"/>
          <w:szCs w:val="24"/>
        </w:rPr>
        <w:t>L’entreprise va élaborer et mettre en œuvre un Plan de Gestion du Trafic ou de Sécurité Routière.</w:t>
      </w:r>
    </w:p>
    <w:p w14:paraId="08157C27" w14:textId="77777777" w:rsidR="00B208A7" w:rsidRPr="00D75D2E" w:rsidRDefault="00B208A7" w:rsidP="00EE4D50">
      <w:pPr>
        <w:numPr>
          <w:ilvl w:val="0"/>
          <w:numId w:val="354"/>
        </w:numPr>
        <w:suppressAutoHyphens/>
        <w:spacing w:after="0" w:line="240" w:lineRule="auto"/>
        <w:contextualSpacing/>
        <w:jc w:val="both"/>
        <w:rPr>
          <w:rFonts w:ascii="Times New Roman" w:hAnsi="Times New Roman"/>
          <w:sz w:val="24"/>
          <w:szCs w:val="24"/>
        </w:rPr>
      </w:pPr>
    </w:p>
    <w:p w14:paraId="4EB9E024" w14:textId="77777777" w:rsidR="007B4B28" w:rsidRPr="00D75D2E" w:rsidRDefault="007B4B28" w:rsidP="00ED17F3">
      <w:pPr>
        <w:rPr>
          <w:rFonts w:ascii="Times New Roman" w:eastAsia="Times New Roman" w:hAnsi="Times New Roman"/>
          <w:b/>
          <w:sz w:val="24"/>
          <w:lang w:eastAsia="fr-FR"/>
        </w:rPr>
      </w:pPr>
    </w:p>
    <w:p w14:paraId="4BD89A20" w14:textId="77777777" w:rsidR="00ED17F3" w:rsidRPr="00420C1B" w:rsidRDefault="00ED17F3" w:rsidP="00ED17F3">
      <w:pPr>
        <w:rPr>
          <w:rFonts w:ascii="Times New Roman" w:eastAsia="Times New Roman" w:hAnsi="Times New Roman"/>
          <w:b/>
          <w:sz w:val="24"/>
          <w:szCs w:val="32"/>
        </w:rPr>
      </w:pPr>
      <w:r w:rsidRPr="00D75D2E">
        <w:br w:type="page"/>
      </w:r>
    </w:p>
    <w:p w14:paraId="4F9D8E52" w14:textId="463264C2" w:rsidR="00ED17F3" w:rsidRPr="00D75D2E" w:rsidRDefault="00ED17F3" w:rsidP="00E737B4">
      <w:pPr>
        <w:pStyle w:val="Titre1"/>
        <w:numPr>
          <w:ilvl w:val="0"/>
          <w:numId w:val="0"/>
        </w:numPr>
        <w:spacing w:after="240" w:line="240" w:lineRule="auto"/>
        <w:ind w:left="432" w:hanging="432"/>
        <w:jc w:val="center"/>
      </w:pPr>
      <w:bookmarkStart w:id="1045" w:name="_Toc16664952"/>
      <w:bookmarkStart w:id="1046" w:name="_Toc16663533"/>
      <w:bookmarkStart w:id="1047" w:name="_Toc16663707"/>
      <w:bookmarkStart w:id="1048" w:name="_Toc16664953"/>
      <w:bookmarkStart w:id="1049" w:name="_Toc103685763"/>
      <w:bookmarkEnd w:id="1045"/>
      <w:r w:rsidRPr="00D75D2E">
        <w:t>DOCUMENTS CONSULTES</w:t>
      </w:r>
      <w:bookmarkEnd w:id="1046"/>
      <w:bookmarkEnd w:id="1047"/>
      <w:bookmarkEnd w:id="1048"/>
      <w:bookmarkEnd w:id="1049"/>
    </w:p>
    <w:p w14:paraId="6A69D1AE"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bookmarkStart w:id="1050" w:name="_Toc452538270"/>
      <w:r w:rsidRPr="00E737B4">
        <w:rPr>
          <w:rFonts w:ascii="Times New Roman" w:hAnsi="Times New Roman"/>
          <w:sz w:val="24"/>
          <w:szCs w:val="24"/>
        </w:rPr>
        <w:t xml:space="preserve">Cellule Technique pour les Statistiques de l’Education (CTSE) 2015 : Annuaire Statistique De L’enseignement Primaire, Secondaire et Professionnel année Scolaire 2013-2014  </w:t>
      </w:r>
    </w:p>
    <w:p w14:paraId="789DDDA5"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Etude d’avant-projet détaillé version définitive, 2009. Amélioration du système de transport et de répartition d’eau vers les zones Nord et Sud de la ville de Kinshasa. Volume 1 : Rapport d’étude APD, juillet, 2009</w:t>
      </w:r>
    </w:p>
    <w:p w14:paraId="5B4CF02F"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 xml:space="preserve">Institut Congolais de Recherche en Développement et Etudes Stratégiques (ICREDES), 2017, Monographie de la ville de Kinshasa. </w:t>
      </w:r>
      <w:hyperlink r:id="rId75" w:history="1">
        <w:r w:rsidRPr="00E737B4">
          <w:rPr>
            <w:rFonts w:ascii="Times New Roman" w:hAnsi="Times New Roman"/>
            <w:sz w:val="24"/>
            <w:szCs w:val="24"/>
          </w:rPr>
          <w:t>www.congo-autrement.com</w:t>
        </w:r>
      </w:hyperlink>
      <w:r w:rsidRPr="00E737B4">
        <w:rPr>
          <w:rFonts w:ascii="Times New Roman" w:hAnsi="Times New Roman"/>
          <w:sz w:val="24"/>
          <w:szCs w:val="24"/>
        </w:rPr>
        <w:t xml:space="preserve"> consulté le 11/01/2020.</w:t>
      </w:r>
    </w:p>
    <w:p w14:paraId="31A734FC"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Profils des pêches et de l’aquaculture par pays 2009. Statistiques des pêches de la FAO en République Démocratique Du Congo, p.16</w:t>
      </w:r>
    </w:p>
    <w:p w14:paraId="76A86F53"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Projet d'Accès et d'Amélioration des Services Electriques (PAASE). Etude d’impact environnemental et social des travaux d’électrification des poches noires, d’assainissement, de réhabilitation et mise en conformité des réseaux de distribution d’électricité de la société nationale d’électricité à  Kinshasa Centre et Ouest (DKC, DKO), juillet, 2018.</w:t>
      </w:r>
    </w:p>
    <w:p w14:paraId="36C3C3CE"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PNUD mars 2009 : Ville de Kinshasa, Pauvreté et conditions de vie des ménages, Delvingt W. 1997.</w:t>
      </w:r>
    </w:p>
    <w:p w14:paraId="0F3B8B08"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Programme des Nations Unies pour le Développement, Unité de Lutte contre la pauvreté. Profil résumé, pauvreté et conditions de vie des ménages, 2009 p.20</w:t>
      </w:r>
    </w:p>
    <w:p w14:paraId="7A517989"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Projet de Développement des Marchés d’Electricité pour la consommation domestique et à l’exportation (PMEDE).  Lot 6 B – Extension du réseau de Kimbanseke 20/0,4 kv. Etude d'Impact Environnemental et Social (EIES). Rapport final, mars 2015, p.77</w:t>
      </w:r>
    </w:p>
    <w:p w14:paraId="22B06F7D"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S. Shomba Kinyamba, F. Mukoka Nsenda, D. Olela Nonga, T.M. Kaminar et W. Mbalanda, 2015. Monographie de la ville de Kinshasa. Edition l’Institut Congolais de Recherche en Développement et Etudes Stratégiques (ICREDES), Kinshasa- Montréal-Washington, p.101</w:t>
      </w:r>
    </w:p>
    <w:p w14:paraId="65B1C57B" w14:textId="77777777" w:rsidR="00BF7FDC" w:rsidRPr="00E737B4" w:rsidRDefault="00BF7FDC" w:rsidP="008C79F0">
      <w:pPr>
        <w:numPr>
          <w:ilvl w:val="0"/>
          <w:numId w:val="222"/>
        </w:numPr>
        <w:autoSpaceDE w:val="0"/>
        <w:autoSpaceDN w:val="0"/>
        <w:adjustRightInd w:val="0"/>
        <w:spacing w:after="0" w:line="240" w:lineRule="auto"/>
        <w:jc w:val="both"/>
        <w:rPr>
          <w:rFonts w:ascii="Times New Roman" w:hAnsi="Times New Roman"/>
          <w:sz w:val="24"/>
          <w:szCs w:val="24"/>
        </w:rPr>
      </w:pPr>
      <w:r w:rsidRPr="00E737B4">
        <w:rPr>
          <w:rFonts w:ascii="Times New Roman" w:hAnsi="Times New Roman"/>
          <w:sz w:val="24"/>
          <w:szCs w:val="24"/>
        </w:rPr>
        <w:t>Stratégie nationale de Conservation de la Biodiversité dans les Aires Protégées de la République Démocratique du Congo. Septembre 2012, 18p.</w:t>
      </w:r>
    </w:p>
    <w:p w14:paraId="6FF1ECED" w14:textId="77777777" w:rsidR="0044616B" w:rsidRPr="002C6E15" w:rsidRDefault="00BF7FDC"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D75D2E">
        <w:rPr>
          <w:rFonts w:ascii="Times New Roman" w:hAnsi="Times New Roman"/>
          <w:sz w:val="24"/>
          <w:szCs w:val="24"/>
        </w:rPr>
        <w:t xml:space="preserve">Réserve et Domaine de chasse de </w:t>
      </w:r>
      <w:r w:rsidR="0044616B" w:rsidRPr="00D75D2E">
        <w:rPr>
          <w:rFonts w:ascii="Times New Roman" w:hAnsi="Times New Roman"/>
          <w:sz w:val="24"/>
          <w:szCs w:val="24"/>
        </w:rPr>
        <w:t>Bombo</w:t>
      </w:r>
      <w:r w:rsidR="0044616B">
        <w:rPr>
          <w:rFonts w:ascii="Times New Roman" w:hAnsi="Times New Roman"/>
          <w:sz w:val="24"/>
          <w:szCs w:val="24"/>
        </w:rPr>
        <w:t>-</w:t>
      </w:r>
      <w:r w:rsidRPr="00D75D2E">
        <w:rPr>
          <w:rFonts w:ascii="Times New Roman" w:hAnsi="Times New Roman"/>
          <w:sz w:val="24"/>
          <w:szCs w:val="24"/>
        </w:rPr>
        <w:t xml:space="preserve">Lumene (plateau de Batéké) </w:t>
      </w:r>
      <w:r w:rsidR="0044616B" w:rsidRPr="002C6E15">
        <w:rPr>
          <w:rFonts w:ascii="Times New Roman" w:hAnsi="Times New Roman"/>
          <w:color w:val="000000" w:themeColor="text1"/>
          <w:sz w:val="24"/>
          <w:szCs w:val="24"/>
        </w:rPr>
        <w:fldChar w:fldCharType="begin"/>
      </w:r>
      <w:r w:rsidR="0044616B" w:rsidRPr="002C6E15">
        <w:rPr>
          <w:rFonts w:ascii="Times New Roman" w:hAnsi="Times New Roman"/>
          <w:color w:val="000000" w:themeColor="text1"/>
          <w:sz w:val="24"/>
          <w:szCs w:val="24"/>
        </w:rPr>
        <w:instrText xml:space="preserve"> HYPERLINK "http://www.congo-autrement. Documentation générale</w:instrText>
      </w:r>
    </w:p>
    <w:p w14:paraId="2F1B39DC"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 xml:space="preserve">The World Bank Operational Manuel Bank Procedures Environmental Assessment BP 4.01 January 1999; The World Bank Operational Manuel Bank Procedures Environmental Assessment BP 4.01 Annex A January 1999 </w:instrText>
      </w:r>
    </w:p>
    <w:p w14:paraId="428766D7"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Manuel d'Evaluation Environnementale.  Vol.1 : Politiques, procédures et questions intersectorielles ; Banque Mondiale / Secrétariat francophone de l'Association Internationale pour l'Evaluation d'Impacts ; Montréal, 1999</w:instrText>
      </w:r>
    </w:p>
    <w:p w14:paraId="5F812F9A"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Manuel d'Evaluation Environnementale, Vol.2 : Lignes directrices sectorielles Banque Mondiale / Secrétariat francophone de l'Association Internationale pour l'Evaluation d'Impacts, Montréal, 1999</w:instrText>
      </w:r>
    </w:p>
    <w:p w14:paraId="7A0C1D8E"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Manuel Opérationnel de la Banque Mondiale – Politiques Opérationnelles, Banque Mondiale, Washington, 1999</w:instrText>
      </w:r>
    </w:p>
    <w:p w14:paraId="3DD6BF08"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CES de la Banque mondiale</w:instrText>
      </w:r>
    </w:p>
    <w:p w14:paraId="726B65DA"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 – ROUTES, Août 2015 : Étude d'Impact environnemental et social des travaux de la réhabilitation et d'entretien de la RN4 (Beni-Kasindi), Rapport définitif, août 2015 ;</w:instrText>
      </w:r>
    </w:p>
    <w:p w14:paraId="1D2F5522"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 – ROUTES, Août 2015 : Étude d'Impact environnemental et social des travaux de la réhabilitation et d'entretien de la RN27 (Komanda-Bunia-Mahagi-Goli), Rapport définitif, août 2015 ;</w:instrText>
      </w:r>
    </w:p>
    <w:p w14:paraId="3BE1B36C"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 – ROUTES, Octobre 2015 : Cadre de gestion environnementale et sociale, Rapport Final, Octobre 2015 ;</w:instrText>
      </w:r>
    </w:p>
    <w:p w14:paraId="5CAD074E"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 – ROUTES, 2014 : Étude d'Impact environnemental et social de la réhabilitation de la RN4-Est (Kisangani - Beni), 2014 ;</w:instrText>
      </w:r>
    </w:p>
    <w:p w14:paraId="74FE29B4"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 – ROUTES, 2014 : Étude d'Impact environnemental et social de la réhabilitation de la RN6/RN23 (Akula-Gemena-Zongo), 2014 ;</w:instrText>
      </w:r>
    </w:p>
    <w:p w14:paraId="5592CD95"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PRO-ROUTES, 2011: Études environnementales et sociales de la réhabilitation de la RN5 (Kasomeno-Uvira) et RN4 (Dulia-Bondo) ;</w:instrText>
      </w:r>
    </w:p>
    <w:p w14:paraId="7BE5BC3F"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 xml:space="preserve">PRO-ROUTES, 2007 : Étude détaillée d'impact socio-environnemental de la route allant de Kisangani à Bunduki </w:instrText>
      </w:r>
    </w:p>
    <w:p w14:paraId="3773A50A" w14:textId="77777777" w:rsidR="0044616B"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pPr>
      <w:r w:rsidRPr="002C6E15">
        <w:rPr>
          <w:rFonts w:ascii="Times New Roman" w:hAnsi="Times New Roman"/>
          <w:color w:val="000000" w:themeColor="text1"/>
          <w:sz w:val="24"/>
          <w:szCs w:val="24"/>
        </w:rPr>
        <w:instrText>Congo – OSFAC 2007 : Étude d'impact environnemental et social du Projet PROROUTES en République Démocratique du Congo.</w:instrText>
      </w:r>
    </w:p>
    <w:p w14:paraId="6A8F36B0"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Fonts w:ascii="Times New Roman" w:hAnsi="Times New Roman"/>
          <w:color w:val="000000" w:themeColor="text1"/>
          <w:sz w:val="24"/>
          <w:szCs w:val="24"/>
        </w:rPr>
        <w:instrText xml:space="preserve">PRO-ROUTES, 2007 : Étude d'impact environnemental et social du projet PRO-Routes en RDC / Exploitation des données géographiques; com" </w:instrText>
      </w:r>
      <w:r w:rsidRPr="002C6E15">
        <w:rPr>
          <w:rFonts w:ascii="Times New Roman" w:hAnsi="Times New Roman"/>
          <w:color w:val="000000" w:themeColor="text1"/>
          <w:sz w:val="24"/>
          <w:szCs w:val="24"/>
        </w:rPr>
        <w:fldChar w:fldCharType="separate"/>
      </w:r>
      <w:r w:rsidRPr="002C6E15">
        <w:rPr>
          <w:rStyle w:val="Lienhypertexte"/>
          <w:rFonts w:ascii="Times New Roman" w:hAnsi="Times New Roman"/>
          <w:color w:val="000000" w:themeColor="text1"/>
          <w:sz w:val="24"/>
          <w:szCs w:val="24"/>
        </w:rPr>
        <w:t>www.congo-autrement. Documentation générale</w:t>
      </w:r>
    </w:p>
    <w:p w14:paraId="1331F7C6"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lang w:val="en-US"/>
        </w:rPr>
      </w:pPr>
      <w:r w:rsidRPr="002C6E15">
        <w:rPr>
          <w:rStyle w:val="Lienhypertexte"/>
          <w:rFonts w:ascii="Times New Roman" w:hAnsi="Times New Roman"/>
          <w:color w:val="000000" w:themeColor="text1"/>
          <w:sz w:val="24"/>
          <w:szCs w:val="24"/>
          <w:lang w:val="en-US"/>
        </w:rPr>
        <w:t xml:space="preserve">The World Bank Operational Manuel Bank Procedures Environmental Assessment BP 4.01 January 1999; The World Bank Operational Manuel Bank Procedures Environmental Assessment BP 4.01 Annex A January 1999 </w:t>
      </w:r>
    </w:p>
    <w:p w14:paraId="7EFB27BD"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Manuel d’Evaluation Environnementale.  Vol.1 : Politiques, procédures et questions intersectorielles ; Banque Mondiale / Secrétariat francophone de l’Association Internationale pour l’Evaluation d’Impacts ; Montréal, 1999</w:t>
      </w:r>
    </w:p>
    <w:p w14:paraId="04308270"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Manuel d’Evaluation Environnementale, Vol.2 : Lignes directrices sectorielles Banque Mondiale / Secrétariat francophone de l’Association Internationale pour l’Evaluation d’Impacts, Montréal, 1999</w:t>
      </w:r>
    </w:p>
    <w:p w14:paraId="5408B111"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Manuel Opérationnel de la Banque Mondiale – Politiques Opérationnelles, Banque Mondiale, Washington, 1999</w:t>
      </w:r>
    </w:p>
    <w:p w14:paraId="6C7DC3B9"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CES de la Banque mondiale</w:t>
      </w:r>
    </w:p>
    <w:p w14:paraId="2FCA7549"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 – ROUTES, Août 2015 : Étude d'Impact environnemental et social des travaux de la réhabilitation et d’entretien de la RN4 (Beni-Kasindi), Rapport définitif, août 2015 ;</w:t>
      </w:r>
    </w:p>
    <w:p w14:paraId="05024CB6"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 – ROUTES, Août 2015 : Étude d'Impact environnemental et social des travaux de la réhabilitation et d’entretien de la RN27 (Komanda-Bunia-Mahagi-Goli), Rapport définitif, août 2015 ;</w:t>
      </w:r>
    </w:p>
    <w:p w14:paraId="444597C4"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 – ROUTES, Octobre 2015 : Cadre de gestion environnementale et sociale, Rapport Final, Octobre 2015 ;</w:t>
      </w:r>
    </w:p>
    <w:p w14:paraId="3CDC1624"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 – ROUTES, 2014 : Étude d'Impact environnemental et social de la réhabilitation de la RN4-Est (Kisangani - Beni), 2014 ;</w:t>
      </w:r>
    </w:p>
    <w:p w14:paraId="624A380C"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 – ROUTES, 2014 : Étude d'Impact environnemental et social de la réhabilitation de la RN6/RN23 (Akula-Gemena-Zongo), 2014 ;</w:t>
      </w:r>
    </w:p>
    <w:p w14:paraId="5454FD73"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PRO-ROUTES, 2011: Études environnementales et sociales de la réhabilitation de la RN5 (Kasomeno-Uvira) et RN4 (Dulia-Bondo) ;</w:t>
      </w:r>
    </w:p>
    <w:p w14:paraId="5B8BFD7E"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 xml:space="preserve">PRO-ROUTES, 2007 : Étude détaillée d'impact socio-environnemental de la route allant de Kisangani à Bunduki </w:t>
      </w:r>
    </w:p>
    <w:p w14:paraId="2488A703" w14:textId="77777777" w:rsidR="0044616B" w:rsidRPr="002C6E15" w:rsidRDefault="0044616B" w:rsidP="008C79F0">
      <w:pPr>
        <w:numPr>
          <w:ilvl w:val="0"/>
          <w:numId w:val="222"/>
        </w:numPr>
        <w:autoSpaceDE w:val="0"/>
        <w:autoSpaceDN w:val="0"/>
        <w:adjustRightInd w:val="0"/>
        <w:spacing w:after="0" w:line="240" w:lineRule="auto"/>
        <w:jc w:val="both"/>
        <w:rPr>
          <w:rStyle w:val="Lienhypertexte"/>
          <w:rFonts w:ascii="Times New Roman" w:hAnsi="Times New Roman"/>
          <w:color w:val="000000" w:themeColor="text1"/>
          <w:sz w:val="24"/>
          <w:szCs w:val="24"/>
        </w:rPr>
      </w:pPr>
      <w:r w:rsidRPr="002C6E15">
        <w:rPr>
          <w:rStyle w:val="Lienhypertexte"/>
          <w:rFonts w:ascii="Times New Roman" w:hAnsi="Times New Roman"/>
          <w:color w:val="000000" w:themeColor="text1"/>
          <w:sz w:val="24"/>
          <w:szCs w:val="24"/>
        </w:rPr>
        <w:t>Congo – OSFAC 2007 : Étude d'impact environnemental et social du Projet PROROUTES en République Démocratique du Congo.</w:t>
      </w:r>
    </w:p>
    <w:p w14:paraId="297BE892" w14:textId="7B3C19BE" w:rsidR="00BF7FDC" w:rsidRPr="002C6E15" w:rsidRDefault="0044616B" w:rsidP="008C79F0">
      <w:pPr>
        <w:numPr>
          <w:ilvl w:val="0"/>
          <w:numId w:val="222"/>
        </w:numPr>
        <w:autoSpaceDE w:val="0"/>
        <w:autoSpaceDN w:val="0"/>
        <w:adjustRightInd w:val="0"/>
        <w:spacing w:after="0" w:line="240" w:lineRule="auto"/>
        <w:jc w:val="both"/>
        <w:rPr>
          <w:rFonts w:ascii="Times New Roman" w:hAnsi="Times New Roman"/>
          <w:color w:val="000000" w:themeColor="text1"/>
          <w:sz w:val="24"/>
          <w:szCs w:val="24"/>
        </w:rPr>
        <w:sectPr w:rsidR="00BF7FDC" w:rsidRPr="002C6E15" w:rsidSect="0082504D">
          <w:headerReference w:type="even" r:id="rId76"/>
          <w:headerReference w:type="default" r:id="rId77"/>
          <w:footerReference w:type="even" r:id="rId78"/>
          <w:footerReference w:type="default" r:id="rId79"/>
          <w:headerReference w:type="first" r:id="rId80"/>
          <w:footerReference w:type="first" r:id="rId81"/>
          <w:pgSz w:w="11906" w:h="16838"/>
          <w:pgMar w:top="1421" w:right="1414" w:bottom="1434" w:left="1419" w:header="749" w:footer="720" w:gutter="0"/>
          <w:cols w:space="720"/>
        </w:sectPr>
      </w:pPr>
      <w:r w:rsidRPr="002C6E15">
        <w:rPr>
          <w:rStyle w:val="Lienhypertexte"/>
          <w:rFonts w:ascii="Times New Roman" w:hAnsi="Times New Roman"/>
          <w:color w:val="000000" w:themeColor="text1"/>
          <w:sz w:val="24"/>
          <w:szCs w:val="24"/>
        </w:rPr>
        <w:t>PRO-ROUTES, 2007 : Étude d'impact environnemental et social du projet PRO-Routes en RDC / Exploitation des données géographiques; com</w:t>
      </w:r>
      <w:r w:rsidRPr="002C6E15">
        <w:rPr>
          <w:rFonts w:ascii="Times New Roman" w:hAnsi="Times New Roman"/>
          <w:color w:val="000000" w:themeColor="text1"/>
          <w:sz w:val="24"/>
          <w:szCs w:val="24"/>
        </w:rPr>
        <w:fldChar w:fldCharType="end"/>
      </w:r>
      <w:r w:rsidR="00B62693" w:rsidRPr="002C6E15">
        <w:rPr>
          <w:rFonts w:ascii="Times New Roman" w:hAnsi="Times New Roman"/>
          <w:color w:val="000000" w:themeColor="text1"/>
          <w:sz w:val="24"/>
          <w:szCs w:val="24"/>
        </w:rPr>
        <w:t xml:space="preserve"> consulté le 11/01/2</w:t>
      </w:r>
      <w:r w:rsidR="002C6E15">
        <w:rPr>
          <w:rFonts w:ascii="Times New Roman" w:hAnsi="Times New Roman"/>
          <w:color w:val="000000" w:themeColor="text1"/>
          <w:sz w:val="24"/>
          <w:szCs w:val="24"/>
        </w:rPr>
        <w:t>022</w:t>
      </w:r>
    </w:p>
    <w:p w14:paraId="1195F1A6" w14:textId="77777777" w:rsidR="00ED17F3" w:rsidRPr="00D75D2E" w:rsidRDefault="00ED17F3" w:rsidP="00B62693">
      <w:pPr>
        <w:pStyle w:val="Titre1"/>
        <w:numPr>
          <w:ilvl w:val="0"/>
          <w:numId w:val="0"/>
        </w:numPr>
        <w:spacing w:after="240" w:line="240" w:lineRule="auto"/>
        <w:ind w:left="432" w:hanging="432"/>
      </w:pPr>
      <w:bookmarkStart w:id="1051" w:name="_Toc452538269"/>
      <w:bookmarkStart w:id="1052" w:name="_Toc16663534"/>
      <w:bookmarkStart w:id="1053" w:name="_Toc16663708"/>
      <w:bookmarkStart w:id="1054" w:name="_Toc16664954"/>
      <w:bookmarkStart w:id="1055" w:name="_Toc103685764"/>
      <w:r w:rsidRPr="00D75D2E">
        <w:t>ANNEXES</w:t>
      </w:r>
      <w:bookmarkEnd w:id="1051"/>
      <w:bookmarkEnd w:id="1052"/>
      <w:bookmarkEnd w:id="1053"/>
      <w:bookmarkEnd w:id="1054"/>
      <w:bookmarkEnd w:id="1055"/>
    </w:p>
    <w:p w14:paraId="40642128" w14:textId="77777777" w:rsidR="00ED17F3" w:rsidRPr="00CC7A47" w:rsidRDefault="00ED17F3" w:rsidP="00CC7A47">
      <w:pPr>
        <w:pStyle w:val="Titre41"/>
        <w:rPr>
          <w:rStyle w:val="Titre2Car1"/>
        </w:rPr>
      </w:pPr>
      <w:bookmarkStart w:id="1056" w:name="_Toc519049073"/>
      <w:bookmarkStart w:id="1057" w:name="_Toc93050612"/>
      <w:bookmarkStart w:id="1058" w:name="_Toc103685765"/>
      <w:bookmarkEnd w:id="1050"/>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1</w:t>
      </w:r>
      <w:r w:rsidRPr="00CC7A47">
        <w:rPr>
          <w:rStyle w:val="Titre2Car1"/>
        </w:rPr>
        <w:fldChar w:fldCharType="end"/>
      </w:r>
      <w:r w:rsidRPr="00CC7A47">
        <w:rPr>
          <w:rStyle w:val="Titre2Car1"/>
        </w:rPr>
        <w:t> : PV de consultation Publique au niveau communal et liste des personnes rencontrées</w:t>
      </w:r>
      <w:bookmarkEnd w:id="1056"/>
      <w:bookmarkEnd w:id="1057"/>
      <w:bookmarkEnd w:id="1058"/>
      <w:r w:rsidRPr="00CC7A47">
        <w:rPr>
          <w:rStyle w:val="Titre2Car1"/>
        </w:rPr>
        <w:t xml:space="preserve"> </w:t>
      </w:r>
    </w:p>
    <w:p w14:paraId="5C58C9AE" w14:textId="77777777" w:rsidR="001534C0" w:rsidRPr="00E737B4" w:rsidRDefault="0044616B">
      <w:pPr>
        <w:rPr>
          <w:rFonts w:ascii="Times New Roman" w:hAnsi="Times New Roman"/>
          <w:iCs/>
          <w:sz w:val="24"/>
          <w:szCs w:val="24"/>
          <w:lang w:eastAsia="fr-FR"/>
        </w:rPr>
      </w:pPr>
      <w:r w:rsidRPr="00E737B4">
        <w:rPr>
          <w:rFonts w:ascii="Times New Roman" w:hAnsi="Times New Roman"/>
          <w:iCs/>
          <w:sz w:val="24"/>
          <w:szCs w:val="24"/>
          <w:lang w:eastAsia="fr-FR"/>
        </w:rPr>
        <w:t xml:space="preserve">Voir PV en annexe </w:t>
      </w:r>
    </w:p>
    <w:p w14:paraId="553E035C" w14:textId="77777777" w:rsidR="0044616B" w:rsidRDefault="0044616B">
      <w:pPr>
        <w:rPr>
          <w:rFonts w:ascii="Times New Roman" w:hAnsi="Times New Roman"/>
          <w:b/>
          <w:sz w:val="24"/>
          <w:szCs w:val="24"/>
          <w:lang w:eastAsia="fr-FR"/>
        </w:rPr>
      </w:pPr>
      <w:r>
        <w:rPr>
          <w:b/>
        </w:rPr>
        <w:br w:type="page"/>
      </w:r>
    </w:p>
    <w:p w14:paraId="4713B085" w14:textId="17F14F78" w:rsidR="004F08B7" w:rsidRPr="00CC7A47" w:rsidRDefault="00ED17F3" w:rsidP="00CC7A47">
      <w:pPr>
        <w:pStyle w:val="Titre41"/>
        <w:spacing w:before="0" w:after="120"/>
        <w:jc w:val="center"/>
        <w:rPr>
          <w:rStyle w:val="Titre2Car1"/>
          <w:b w:val="0"/>
        </w:rPr>
      </w:pPr>
      <w:bookmarkStart w:id="1059" w:name="_Toc93050613"/>
      <w:bookmarkStart w:id="1060" w:name="_Toc103685766"/>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2</w:t>
      </w:r>
      <w:r w:rsidRPr="00CC7A47">
        <w:rPr>
          <w:rStyle w:val="Titre2Car1"/>
        </w:rPr>
        <w:fldChar w:fldCharType="end"/>
      </w:r>
      <w:r w:rsidRPr="00CC7A47">
        <w:rPr>
          <w:rStyle w:val="Titre2Car1"/>
        </w:rPr>
        <w:t> :</w:t>
      </w:r>
      <w:r w:rsidRPr="00CC7A47">
        <w:rPr>
          <w:rStyle w:val="Titre2Car1"/>
          <w:b w:val="0"/>
        </w:rPr>
        <w:t xml:space="preserve"> </w:t>
      </w:r>
      <w:bookmarkStart w:id="1061" w:name="_Toc28908464"/>
      <w:bookmarkStart w:id="1062" w:name="_Toc29151539"/>
      <w:r w:rsidR="004F08B7" w:rsidRPr="00CC7A47">
        <w:rPr>
          <w:rStyle w:val="Titre2Car1"/>
        </w:rPr>
        <w:t xml:space="preserve">Note aux soumissionnaires sur les attentes concernant les formations sur les VBG, </w:t>
      </w:r>
      <w:r w:rsidR="00276F79" w:rsidRPr="00CC7A47">
        <w:rPr>
          <w:rStyle w:val="Titre2Car1"/>
        </w:rPr>
        <w:t xml:space="preserve">y compris l’EAS/HS, </w:t>
      </w:r>
      <w:r w:rsidR="004F08B7" w:rsidRPr="00CC7A47">
        <w:rPr>
          <w:rStyle w:val="Titre2Car1"/>
        </w:rPr>
        <w:t xml:space="preserve">VCE et VIH.SIDA dans le cadre </w:t>
      </w:r>
      <w:bookmarkEnd w:id="1061"/>
      <w:bookmarkEnd w:id="1062"/>
      <w:r w:rsidR="004F08B7" w:rsidRPr="00CC7A47">
        <w:rPr>
          <w:rStyle w:val="Titre2Car1"/>
        </w:rPr>
        <w:t>de UCM</w:t>
      </w:r>
      <w:bookmarkEnd w:id="1059"/>
      <w:bookmarkEnd w:id="1060"/>
    </w:p>
    <w:p w14:paraId="5967BED3" w14:textId="77777777" w:rsidR="004F08B7" w:rsidRPr="00D75D2E" w:rsidRDefault="004F08B7" w:rsidP="004F08B7">
      <w:pPr>
        <w:spacing w:after="0" w:line="276" w:lineRule="auto"/>
        <w:jc w:val="both"/>
        <w:rPr>
          <w:rFonts w:ascii="Times New Roman" w:hAnsi="Times New Roman"/>
        </w:rPr>
      </w:pPr>
      <w:r w:rsidRPr="00D75D2E">
        <w:rPr>
          <w:rFonts w:ascii="Times New Roman" w:hAnsi="Times New Roman"/>
        </w:rPr>
        <w:t xml:space="preserve">En plus de la formation sur la santé et la sécurité au travail, les conditions particulières du contrat exigent que le personnel de l'entrepreneur suive une formation sur la prévention de </w:t>
      </w:r>
      <w:r w:rsidRPr="00D75D2E">
        <w:rPr>
          <w:rFonts w:ascii="Times New Roman" w:hAnsi="Times New Roman"/>
          <w:b/>
        </w:rPr>
        <w:t>la transmission du VIH/SIDA, la violence basée sur le genre (VBG)</w:t>
      </w:r>
      <w:r w:rsidRPr="00D75D2E">
        <w:rPr>
          <w:rFonts w:ascii="Times New Roman" w:hAnsi="Times New Roman"/>
          <w:b/>
          <w:vertAlign w:val="superscript"/>
        </w:rPr>
        <w:t xml:space="preserve"> </w:t>
      </w:r>
      <w:r w:rsidRPr="00D75D2E">
        <w:rPr>
          <w:rFonts w:ascii="Times New Roman" w:hAnsi="Times New Roman"/>
          <w:b/>
          <w:vertAlign w:val="superscript"/>
        </w:rPr>
        <w:footnoteReference w:id="12"/>
      </w:r>
      <w:r w:rsidRPr="00D75D2E">
        <w:rPr>
          <w:rFonts w:ascii="Times New Roman" w:hAnsi="Times New Roman"/>
          <w:b/>
        </w:rPr>
        <w:t xml:space="preserve"> et la violence contre les enfants (VCE)</w:t>
      </w:r>
      <w:r w:rsidRPr="00D75D2E">
        <w:rPr>
          <w:rFonts w:ascii="Times New Roman" w:hAnsi="Times New Roman"/>
          <w:b/>
          <w:vertAlign w:val="superscript"/>
        </w:rPr>
        <w:t xml:space="preserve"> </w:t>
      </w:r>
      <w:r w:rsidRPr="00D75D2E">
        <w:rPr>
          <w:rFonts w:ascii="Times New Roman" w:hAnsi="Times New Roman"/>
          <w:b/>
          <w:vertAlign w:val="superscript"/>
        </w:rPr>
        <w:footnoteReference w:id="13"/>
      </w:r>
      <w:r w:rsidRPr="00D75D2E">
        <w:rPr>
          <w:rFonts w:ascii="Times New Roman" w:hAnsi="Times New Roman"/>
          <w:b/>
        </w:rPr>
        <w:t>.</w:t>
      </w:r>
    </w:p>
    <w:p w14:paraId="7C107CB1" w14:textId="79BB5E4D" w:rsidR="004F08B7" w:rsidRPr="00D75D2E" w:rsidRDefault="004F08B7" w:rsidP="004F08B7">
      <w:pPr>
        <w:spacing w:after="0" w:line="276" w:lineRule="auto"/>
        <w:jc w:val="both"/>
        <w:rPr>
          <w:rFonts w:ascii="Times New Roman" w:hAnsi="Times New Roman"/>
        </w:rPr>
      </w:pPr>
      <w:r w:rsidRPr="00D75D2E">
        <w:rPr>
          <w:rFonts w:ascii="Times New Roman" w:hAnsi="Times New Roman"/>
        </w:rPr>
        <w:t xml:space="preserve">L'entrepreneur doit adopter : (i) </w:t>
      </w:r>
      <w:r w:rsidRPr="00D75D2E">
        <w:rPr>
          <w:rFonts w:ascii="Times New Roman" w:hAnsi="Times New Roman"/>
          <w:b/>
        </w:rPr>
        <w:t xml:space="preserve">un code de conduite contre </w:t>
      </w:r>
      <w:r w:rsidR="00276F79">
        <w:rPr>
          <w:rFonts w:ascii="Times New Roman" w:hAnsi="Times New Roman"/>
          <w:b/>
        </w:rPr>
        <w:t>EAS/HS</w:t>
      </w:r>
      <w:r w:rsidR="00276F79" w:rsidRPr="00D75D2E">
        <w:rPr>
          <w:rFonts w:ascii="Times New Roman" w:hAnsi="Times New Roman"/>
          <w:b/>
        </w:rPr>
        <w:t xml:space="preserve"> </w:t>
      </w:r>
      <w:r w:rsidRPr="00D75D2E">
        <w:rPr>
          <w:rFonts w:ascii="Times New Roman" w:hAnsi="Times New Roman"/>
          <w:b/>
        </w:rPr>
        <w:t>et VCE</w:t>
      </w:r>
      <w:r w:rsidRPr="00D75D2E">
        <w:rPr>
          <w:rFonts w:ascii="Times New Roman" w:hAnsi="Times New Roman"/>
        </w:rPr>
        <w:t xml:space="preserve"> ; et (ii) </w:t>
      </w:r>
      <w:r w:rsidRPr="00D75D2E">
        <w:rPr>
          <w:rFonts w:ascii="Times New Roman" w:hAnsi="Times New Roman"/>
          <w:b/>
        </w:rPr>
        <w:t>un plan d'action</w:t>
      </w:r>
      <w:r w:rsidRPr="00D75D2E">
        <w:rPr>
          <w:rFonts w:ascii="Times New Roman" w:hAnsi="Times New Roman"/>
        </w:rPr>
        <w:t xml:space="preserve"> pour atténuer et répondre </w:t>
      </w:r>
      <w:r w:rsidR="00276F79">
        <w:rPr>
          <w:rFonts w:ascii="Times New Roman" w:hAnsi="Times New Roman"/>
        </w:rPr>
        <w:t xml:space="preserve">à l’EAS/HS </w:t>
      </w:r>
      <w:r w:rsidRPr="00D75D2E">
        <w:rPr>
          <w:rFonts w:ascii="Times New Roman" w:hAnsi="Times New Roman"/>
        </w:rPr>
        <w:t>et VCE au sein de l'entreprise et de la communauté</w:t>
      </w:r>
      <w:r w:rsidR="00276F79">
        <w:rPr>
          <w:rFonts w:ascii="Times New Roman" w:hAnsi="Times New Roman"/>
        </w:rPr>
        <w:t xml:space="preserve">, en ligne avec celui développé par le projet. </w:t>
      </w:r>
      <w:r w:rsidRPr="00D75D2E">
        <w:rPr>
          <w:rFonts w:ascii="Times New Roman" w:hAnsi="Times New Roman"/>
        </w:rPr>
        <w:t xml:space="preserve">Les codes de conduite préciseront les responsabilités : (i) de l'entreprise, qui doit créer une culture positive pour le lieu de travail et pour ses employés ; (ii) des gestionnaires (managers), qui doivent s'assurer que cette culture est mise en œuvre ; et (iii) des individus, qui doivent adhérer aux principes de cette culture et qui ne doivent pas commettre </w:t>
      </w:r>
      <w:r w:rsidR="00276F79">
        <w:rPr>
          <w:rFonts w:ascii="Times New Roman" w:hAnsi="Times New Roman"/>
        </w:rPr>
        <w:t>EAS-7HS</w:t>
      </w:r>
      <w:r w:rsidR="00276F79" w:rsidRPr="00D75D2E">
        <w:rPr>
          <w:rFonts w:ascii="Times New Roman" w:hAnsi="Times New Roman"/>
        </w:rPr>
        <w:t xml:space="preserve"> </w:t>
      </w:r>
      <w:r w:rsidRPr="00D75D2E">
        <w:rPr>
          <w:rFonts w:ascii="Times New Roman" w:hAnsi="Times New Roman"/>
        </w:rPr>
        <w:t xml:space="preserve">et/ou VCE. Un code de conduite et un plan d'action de standard minimum seront fournis à l'entrepreneur. L'entrepreneur peut proposer un autre code de conduite avec des normes plus élevées. L'entrepreneur devra mettre en œuvre intégralement le code de conduite et le plan d'action contre </w:t>
      </w:r>
      <w:r w:rsidR="00276F79">
        <w:rPr>
          <w:rFonts w:ascii="Times New Roman" w:hAnsi="Times New Roman"/>
        </w:rPr>
        <w:t>EAS/HS</w:t>
      </w:r>
      <w:r w:rsidR="00276F79" w:rsidRPr="00D75D2E">
        <w:rPr>
          <w:rFonts w:ascii="Times New Roman" w:hAnsi="Times New Roman"/>
        </w:rPr>
        <w:t xml:space="preserve"> </w:t>
      </w:r>
      <w:r w:rsidRPr="00D75D2E">
        <w:rPr>
          <w:rFonts w:ascii="Times New Roman" w:hAnsi="Times New Roman"/>
        </w:rPr>
        <w:t xml:space="preserve">et VCE qu’il aura été convenu d’appliquer.  </w:t>
      </w:r>
    </w:p>
    <w:p w14:paraId="1F8C7C8D" w14:textId="09090F8D" w:rsidR="004F08B7" w:rsidRPr="00D75D2E" w:rsidRDefault="004F08B7" w:rsidP="004F08B7">
      <w:pPr>
        <w:spacing w:after="0" w:line="276" w:lineRule="auto"/>
        <w:jc w:val="both"/>
        <w:rPr>
          <w:rFonts w:ascii="Times New Roman" w:hAnsi="Times New Roman"/>
        </w:rPr>
      </w:pPr>
      <w:r w:rsidRPr="00D75D2E">
        <w:rPr>
          <w:rFonts w:ascii="Times New Roman" w:hAnsi="Times New Roman"/>
        </w:rPr>
        <w:t xml:space="preserve">Afin de faciliter et d'appuyer </w:t>
      </w:r>
      <w:r w:rsidRPr="00D75D2E">
        <w:rPr>
          <w:rFonts w:ascii="Times New Roman" w:hAnsi="Times New Roman"/>
          <w:b/>
        </w:rPr>
        <w:t xml:space="preserve">le code de conduite et le plan d'action contre </w:t>
      </w:r>
      <w:r w:rsidR="00276F79">
        <w:rPr>
          <w:rFonts w:ascii="Times New Roman" w:hAnsi="Times New Roman"/>
          <w:b/>
        </w:rPr>
        <w:t>EAS/HS</w:t>
      </w:r>
      <w:r w:rsidR="00276F79" w:rsidRPr="00D75D2E">
        <w:rPr>
          <w:rFonts w:ascii="Times New Roman" w:hAnsi="Times New Roman"/>
          <w:b/>
        </w:rPr>
        <w:t xml:space="preserve"> </w:t>
      </w:r>
      <w:r w:rsidRPr="00D75D2E">
        <w:rPr>
          <w:rFonts w:ascii="Times New Roman" w:hAnsi="Times New Roman"/>
          <w:b/>
        </w:rPr>
        <w:t>et de VCE</w:t>
      </w:r>
      <w:r w:rsidRPr="00D75D2E">
        <w:rPr>
          <w:rFonts w:ascii="Times New Roman" w:hAnsi="Times New Roman"/>
        </w:rPr>
        <w:t xml:space="preserve">, des formations sur la prévention, l'atténuation, la sensibilisation et l'intervention seront dispensées à tous les employés et gestionnaires (managers) concernant la façon de mettre en œuvre les codes de conduite et de mettre en œuvre le plan d'action dans le contexte </w:t>
      </w:r>
      <w:r w:rsidR="00FB57E4" w:rsidRPr="00D75D2E">
        <w:rPr>
          <w:rFonts w:ascii="Times New Roman" w:hAnsi="Times New Roman"/>
        </w:rPr>
        <w:t>d</w:t>
      </w:r>
      <w:r w:rsidR="00FB57E4">
        <w:rPr>
          <w:rFonts w:ascii="Times New Roman" w:hAnsi="Times New Roman"/>
        </w:rPr>
        <w:t>e la RDC</w:t>
      </w:r>
      <w:r w:rsidRPr="00AE31F1">
        <w:rPr>
          <w:rFonts w:ascii="Times New Roman" w:hAnsi="Times New Roman"/>
          <w:b/>
          <w:bCs/>
          <w:highlight w:val="yellow"/>
        </w:rPr>
        <w:t>.</w:t>
      </w:r>
      <w:r w:rsidRPr="00D75D2E">
        <w:rPr>
          <w:rFonts w:ascii="Times New Roman" w:hAnsi="Times New Roman"/>
        </w:rPr>
        <w:t xml:space="preserve"> Les formations comprendront des activités de sensibilisation sur ce qui constitue </w:t>
      </w:r>
      <w:r w:rsidR="00276F79">
        <w:rPr>
          <w:rFonts w:ascii="Times New Roman" w:hAnsi="Times New Roman"/>
        </w:rPr>
        <w:t>EAS/HS</w:t>
      </w:r>
      <w:r w:rsidR="00276F79" w:rsidRPr="00D75D2E">
        <w:rPr>
          <w:rFonts w:ascii="Times New Roman" w:hAnsi="Times New Roman"/>
        </w:rPr>
        <w:t xml:space="preserve"> </w:t>
      </w:r>
      <w:r w:rsidRPr="00D75D2E">
        <w:rPr>
          <w:rFonts w:ascii="Times New Roman" w:hAnsi="Times New Roman"/>
        </w:rPr>
        <w:t>et VCE, le cadre dans lequel s'inscrivent VBG et VCE, les lois d</w:t>
      </w:r>
      <w:r w:rsidR="007F2438">
        <w:rPr>
          <w:rFonts w:ascii="Times New Roman" w:hAnsi="Times New Roman"/>
        </w:rPr>
        <w:t xml:space="preserve">e la RDC </w:t>
      </w:r>
      <w:r w:rsidRPr="00AE31F1">
        <w:rPr>
          <w:rFonts w:ascii="Times New Roman" w:hAnsi="Times New Roman"/>
          <w:highlight w:val="yellow"/>
        </w:rPr>
        <w:t>s</w:t>
      </w:r>
      <w:r w:rsidRPr="00D75D2E">
        <w:rPr>
          <w:rFonts w:ascii="Times New Roman" w:hAnsi="Times New Roman"/>
        </w:rPr>
        <w:t xml:space="preserve">ur </w:t>
      </w:r>
      <w:r w:rsidR="007F2438">
        <w:rPr>
          <w:rFonts w:ascii="Times New Roman" w:hAnsi="Times New Roman"/>
        </w:rPr>
        <w:t xml:space="preserve">les </w:t>
      </w:r>
      <w:r w:rsidRPr="00D75D2E">
        <w:rPr>
          <w:rFonts w:ascii="Times New Roman" w:hAnsi="Times New Roman"/>
        </w:rPr>
        <w:t xml:space="preserve">VBG et VCE, les politiques de l'entreprise à l'égard des auteurs de ces violences, le système de prise en charge des survivants, et les mécanismes de signalement. Le financement pour les prestations de formation et le temps des participants est inclus dans le Bordereau des Prix et Détail Quantitatif et Estimatif comme somme provisionnelle. </w:t>
      </w:r>
    </w:p>
    <w:p w14:paraId="6B92F693" w14:textId="691BF009" w:rsidR="004F08B7" w:rsidRPr="00D75D2E" w:rsidRDefault="004F08B7" w:rsidP="00F933DF">
      <w:pPr>
        <w:spacing w:after="120" w:line="276" w:lineRule="auto"/>
        <w:jc w:val="both"/>
        <w:rPr>
          <w:rFonts w:ascii="Times New Roman" w:hAnsi="Times New Roman"/>
        </w:rPr>
      </w:pPr>
      <w:r w:rsidRPr="00D75D2E">
        <w:rPr>
          <w:rFonts w:ascii="Times New Roman" w:hAnsi="Times New Roman"/>
        </w:rPr>
        <w:t>Les formations doivent être dispensées par des fournisseurs de services locaux, identifiés par l'entrepreneur</w:t>
      </w:r>
      <w:r w:rsidR="007F2438">
        <w:rPr>
          <w:rFonts w:ascii="Times New Roman" w:hAnsi="Times New Roman"/>
        </w:rPr>
        <w:t xml:space="preserve"> et approuvé par</w:t>
      </w:r>
      <w:r w:rsidRPr="00D75D2E">
        <w:rPr>
          <w:rFonts w:ascii="Times New Roman" w:hAnsi="Times New Roman"/>
        </w:rPr>
        <w:t xml:space="preserve"> le client pendant la durée du contrat de construction du projet. Le programme de formation doit être fondé sur les outils et le matériel locaux développé par le fournisseur de services local. Les formations suivantes seront développées et dispensées pendant toute la durée du contrat : </w:t>
      </w:r>
    </w:p>
    <w:p w14:paraId="000A5EF1" w14:textId="77777777" w:rsidR="004F08B7" w:rsidRPr="00D75D2E" w:rsidRDefault="004F08B7" w:rsidP="008C79F0">
      <w:pPr>
        <w:numPr>
          <w:ilvl w:val="1"/>
          <w:numId w:val="94"/>
        </w:numPr>
        <w:spacing w:after="0" w:line="276" w:lineRule="auto"/>
        <w:contextualSpacing/>
        <w:jc w:val="both"/>
        <w:rPr>
          <w:rFonts w:ascii="Times New Roman" w:hAnsi="Times New Roman"/>
        </w:rPr>
      </w:pPr>
      <w:r w:rsidRPr="00D75D2E">
        <w:rPr>
          <w:rFonts w:ascii="Times New Roman" w:hAnsi="Times New Roman"/>
        </w:rPr>
        <w:t>Une journée complète de formation d'initiation pour les travailleurs (à laquelle les gestionnaires (managers) participeront également) avant le début des travaux ;</w:t>
      </w:r>
    </w:p>
    <w:p w14:paraId="28E8E8A4" w14:textId="77777777" w:rsidR="004F08B7" w:rsidRPr="00D75D2E" w:rsidRDefault="004F08B7" w:rsidP="008C79F0">
      <w:pPr>
        <w:numPr>
          <w:ilvl w:val="1"/>
          <w:numId w:val="94"/>
        </w:numPr>
        <w:spacing w:after="0" w:line="276" w:lineRule="auto"/>
        <w:contextualSpacing/>
        <w:jc w:val="both"/>
        <w:rPr>
          <w:rFonts w:ascii="Times New Roman" w:hAnsi="Times New Roman"/>
        </w:rPr>
      </w:pPr>
      <w:r w:rsidRPr="00D75D2E">
        <w:rPr>
          <w:rFonts w:ascii="Times New Roman" w:hAnsi="Times New Roman"/>
        </w:rPr>
        <w:t xml:space="preserve">Une demi-journée de formation d'initiation pour les gestionnaires (managers) afin de les familiariser avec leurs rôles et responsabilités, </w:t>
      </w:r>
    </w:p>
    <w:p w14:paraId="0A31B20D" w14:textId="77777777" w:rsidR="004F08B7" w:rsidRPr="00D75D2E" w:rsidRDefault="004F08B7" w:rsidP="008C79F0">
      <w:pPr>
        <w:numPr>
          <w:ilvl w:val="1"/>
          <w:numId w:val="94"/>
        </w:numPr>
        <w:spacing w:after="0" w:line="276" w:lineRule="auto"/>
        <w:contextualSpacing/>
        <w:jc w:val="both"/>
        <w:rPr>
          <w:rFonts w:ascii="Times New Roman" w:hAnsi="Times New Roman"/>
        </w:rPr>
      </w:pPr>
      <w:r w:rsidRPr="00D75D2E">
        <w:rPr>
          <w:rFonts w:ascii="Times New Roman" w:hAnsi="Times New Roman"/>
        </w:rPr>
        <w:t xml:space="preserve">Une formation de recyclage d'une demi-journée tous les deux mois à l'intention des travailleurs et des gestionnaires (managers), qui sera donnée tant que l'entrepreneur est mobilisé, </w:t>
      </w:r>
    </w:p>
    <w:p w14:paraId="2F884F00" w14:textId="77777777" w:rsidR="004F08B7" w:rsidRPr="00D75D2E" w:rsidRDefault="004F08B7" w:rsidP="008C79F0">
      <w:pPr>
        <w:numPr>
          <w:ilvl w:val="1"/>
          <w:numId w:val="94"/>
        </w:numPr>
        <w:spacing w:after="0" w:line="276" w:lineRule="auto"/>
        <w:contextualSpacing/>
        <w:jc w:val="both"/>
        <w:rPr>
          <w:rFonts w:ascii="Times New Roman" w:hAnsi="Times New Roman"/>
        </w:rPr>
      </w:pPr>
      <w:r w:rsidRPr="00D75D2E">
        <w:rPr>
          <w:rFonts w:ascii="Times New Roman" w:hAnsi="Times New Roman"/>
        </w:rPr>
        <w:t>Une journée complète d’activités de sensibilisation destinées à la communauté locale</w:t>
      </w:r>
    </w:p>
    <w:p w14:paraId="3BB78DAB" w14:textId="77777777" w:rsidR="004F08B7" w:rsidRPr="00D75D2E" w:rsidRDefault="004F08B7" w:rsidP="00AE31F1">
      <w:pPr>
        <w:spacing w:before="120" w:after="120" w:line="276" w:lineRule="auto"/>
        <w:jc w:val="both"/>
        <w:rPr>
          <w:rFonts w:ascii="Times New Roman" w:hAnsi="Times New Roman"/>
          <w:b/>
        </w:rPr>
      </w:pPr>
      <w:r w:rsidRPr="00D75D2E">
        <w:rPr>
          <w:rFonts w:ascii="Times New Roman" w:hAnsi="Times New Roman"/>
          <w:b/>
        </w:rPr>
        <w:t xml:space="preserve">Formation de VIH/SIDA </w:t>
      </w:r>
    </w:p>
    <w:p w14:paraId="0BC2A15B" w14:textId="77777777" w:rsidR="004F08B7" w:rsidRPr="00D75D2E" w:rsidRDefault="004F08B7" w:rsidP="004F08B7">
      <w:pPr>
        <w:spacing w:after="0" w:line="276" w:lineRule="auto"/>
        <w:jc w:val="both"/>
        <w:rPr>
          <w:rFonts w:ascii="Times New Roman" w:hAnsi="Times New Roman"/>
          <w:b/>
        </w:rPr>
      </w:pPr>
      <w:r w:rsidRPr="00D75D2E">
        <w:rPr>
          <w:rFonts w:ascii="Times New Roman" w:hAnsi="Times New Roman"/>
        </w:rPr>
        <w:t>La formation à l'éducation sur le VIH/SIDA se fera à l'aide de la boîte à outils " The Road to Good Health " (RTGH). Des programmes de formation seront offerts aux gestionnaires, aux travailleurs et à la communauté locale en ce qui a trait aux risques liés au VIH/SIDA et à l'atténuation de ces risques.</w:t>
      </w:r>
    </w:p>
    <w:p w14:paraId="44B4D76E" w14:textId="77777777" w:rsidR="004F08B7" w:rsidRPr="00D75D2E" w:rsidRDefault="004F08B7" w:rsidP="004F08B7">
      <w:pPr>
        <w:spacing w:after="0" w:line="240" w:lineRule="auto"/>
        <w:rPr>
          <w:rFonts w:ascii="Times New Roman" w:hAnsi="Times New Roman"/>
          <w:sz w:val="24"/>
          <w:szCs w:val="24"/>
          <w:lang w:eastAsia="fr-FR"/>
        </w:rPr>
      </w:pPr>
    </w:p>
    <w:p w14:paraId="68B979B7" w14:textId="77777777" w:rsidR="004F08B7" w:rsidRPr="00D75D2E" w:rsidRDefault="004F08B7" w:rsidP="004F08B7">
      <w:pPr>
        <w:rPr>
          <w:rFonts w:ascii="Times New Roman" w:hAnsi="Times New Roman"/>
          <w:sz w:val="24"/>
          <w:szCs w:val="24"/>
        </w:rPr>
      </w:pPr>
      <w:bookmarkStart w:id="1063" w:name="_Toc526130104"/>
      <w:bookmarkStart w:id="1064" w:name="_Toc8256166"/>
      <w:bookmarkStart w:id="1065" w:name="_Toc28908465"/>
      <w:r w:rsidRPr="00D75D2E">
        <w:rPr>
          <w:rFonts w:ascii="Times New Roman" w:hAnsi="Times New Roman"/>
          <w:sz w:val="24"/>
          <w:szCs w:val="24"/>
        </w:rPr>
        <w:br w:type="page"/>
      </w:r>
    </w:p>
    <w:p w14:paraId="2E7F4AC2" w14:textId="33C715F7" w:rsidR="004F08B7" w:rsidRPr="00CC7A47" w:rsidRDefault="004F08B7" w:rsidP="00CC7A47">
      <w:pPr>
        <w:pStyle w:val="Titre41"/>
        <w:spacing w:before="0" w:after="120"/>
        <w:jc w:val="center"/>
        <w:rPr>
          <w:rStyle w:val="Titre2Car1"/>
        </w:rPr>
      </w:pPr>
      <w:bookmarkStart w:id="1066" w:name="_Toc29151540"/>
      <w:bookmarkStart w:id="1067" w:name="_Toc93050614"/>
      <w:bookmarkStart w:id="1068" w:name="_Toc103685767"/>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3</w:t>
      </w:r>
      <w:r w:rsidRPr="00CC7A47">
        <w:rPr>
          <w:rStyle w:val="Titre2Car1"/>
        </w:rPr>
        <w:fldChar w:fldCharType="end"/>
      </w:r>
      <w:r w:rsidRPr="00CC7A47">
        <w:rPr>
          <w:rStyle w:val="Titre2Car1"/>
        </w:rPr>
        <w:t xml:space="preserve"> : Codes </w:t>
      </w:r>
      <w:r w:rsidR="00583FB0" w:rsidRPr="00CC7A47">
        <w:rPr>
          <w:rStyle w:val="Titre2Car1"/>
        </w:rPr>
        <w:t xml:space="preserve">de </w:t>
      </w:r>
      <w:r w:rsidRPr="00CC7A47">
        <w:rPr>
          <w:rStyle w:val="Titre2Car1"/>
        </w:rPr>
        <w:t xml:space="preserve">Conduite et Plan </w:t>
      </w:r>
      <w:r w:rsidR="00583FB0" w:rsidRPr="00CC7A47">
        <w:rPr>
          <w:rStyle w:val="Titre2Car1"/>
        </w:rPr>
        <w:t xml:space="preserve">d'Action </w:t>
      </w:r>
      <w:r w:rsidRPr="00CC7A47">
        <w:rPr>
          <w:rStyle w:val="Titre2Car1"/>
        </w:rPr>
        <w:t xml:space="preserve">pour la </w:t>
      </w:r>
      <w:r w:rsidR="00583FB0" w:rsidRPr="00CC7A47">
        <w:rPr>
          <w:rStyle w:val="Titre2Car1"/>
        </w:rPr>
        <w:t xml:space="preserve">mise en œuvre </w:t>
      </w:r>
      <w:r w:rsidRPr="00CC7A47">
        <w:rPr>
          <w:rStyle w:val="Titre2Car1"/>
        </w:rPr>
        <w:t xml:space="preserve">des Normes ESHS et SST et Prévention </w:t>
      </w:r>
      <w:r w:rsidR="00935BA6" w:rsidRPr="00CC7A47">
        <w:rPr>
          <w:rStyle w:val="Titre2Car1"/>
        </w:rPr>
        <w:t xml:space="preserve">d’EAS/HS </w:t>
      </w:r>
      <w:r w:rsidRPr="00CC7A47">
        <w:rPr>
          <w:rStyle w:val="Titre2Car1"/>
        </w:rPr>
        <w:t>et Violence Contre Les Enfants</w:t>
      </w:r>
      <w:bookmarkEnd w:id="1063"/>
      <w:bookmarkEnd w:id="1064"/>
      <w:bookmarkEnd w:id="1065"/>
      <w:bookmarkEnd w:id="1066"/>
      <w:bookmarkEnd w:id="1067"/>
      <w:bookmarkEnd w:id="1068"/>
    </w:p>
    <w:p w14:paraId="6463AFD1" w14:textId="77777777" w:rsidR="004F08B7" w:rsidRPr="00D75D2E" w:rsidRDefault="004F08B7" w:rsidP="008C79F0">
      <w:pPr>
        <w:numPr>
          <w:ilvl w:val="0"/>
          <w:numId w:val="110"/>
        </w:numPr>
        <w:spacing w:before="120" w:after="120" w:line="240" w:lineRule="auto"/>
        <w:jc w:val="both"/>
        <w:rPr>
          <w:rFonts w:ascii="Times New Roman" w:hAnsi="Times New Roman"/>
          <w:b/>
          <w:sz w:val="24"/>
          <w:szCs w:val="24"/>
        </w:rPr>
      </w:pPr>
      <w:bookmarkStart w:id="1069" w:name="_Toc510532978"/>
      <w:r w:rsidRPr="00D75D2E">
        <w:rPr>
          <w:rFonts w:ascii="Times New Roman" w:hAnsi="Times New Roman"/>
          <w:b/>
          <w:sz w:val="24"/>
          <w:szCs w:val="24"/>
        </w:rPr>
        <w:t>Context</w:t>
      </w:r>
      <w:bookmarkEnd w:id="1069"/>
      <w:r w:rsidRPr="00D75D2E">
        <w:rPr>
          <w:rFonts w:ascii="Times New Roman" w:hAnsi="Times New Roman"/>
          <w:b/>
          <w:sz w:val="24"/>
          <w:szCs w:val="24"/>
        </w:rPr>
        <w:t xml:space="preserve">e </w:t>
      </w:r>
    </w:p>
    <w:p w14:paraId="5F5CDFBB" w14:textId="51E3E74F" w:rsidR="004F08B7" w:rsidRPr="00D75D2E" w:rsidRDefault="004F08B7" w:rsidP="00E73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L'objectif de ces codes de conduite et plan d'action pour la mise en œuvre des normes ESHS et SST et la prévention d</w:t>
      </w:r>
      <w:r w:rsidR="00935BA6">
        <w:rPr>
          <w:rFonts w:ascii="Times New Roman" w:hAnsi="Times New Roman"/>
          <w:sz w:val="24"/>
          <w:szCs w:val="24"/>
        </w:rPr>
        <w:t xml:space="preserve">’EAS/HS </w:t>
      </w:r>
      <w:r w:rsidRPr="00D75D2E">
        <w:rPr>
          <w:rFonts w:ascii="Times New Roman" w:hAnsi="Times New Roman"/>
          <w:sz w:val="24"/>
          <w:szCs w:val="24"/>
        </w:rPr>
        <w:t>et la violence contre les enfants (VCE) est d'introduire un ensemble de définitions clés, codes de conduite et directives pour :</w:t>
      </w:r>
    </w:p>
    <w:p w14:paraId="08FFFDFA" w14:textId="77777777" w:rsidR="004F08B7" w:rsidRPr="00D75D2E" w:rsidRDefault="004F08B7" w:rsidP="008C79F0">
      <w:pPr>
        <w:numPr>
          <w:ilvl w:val="0"/>
          <w:numId w:val="112"/>
        </w:numPr>
        <w:suppressAutoHyphens/>
        <w:overflowPunct w:val="0"/>
        <w:autoSpaceDE w:val="0"/>
        <w:autoSpaceDN w:val="0"/>
        <w:adjustRightInd w:val="0"/>
        <w:spacing w:after="0" w:line="240" w:lineRule="auto"/>
        <w:ind w:left="567" w:hanging="425"/>
        <w:contextualSpacing/>
        <w:jc w:val="both"/>
        <w:textAlignment w:val="baseline"/>
        <w:rPr>
          <w:rFonts w:ascii="Times New Roman" w:hAnsi="Times New Roman"/>
          <w:sz w:val="24"/>
          <w:szCs w:val="24"/>
        </w:rPr>
      </w:pPr>
      <w:r w:rsidRPr="00D75D2E">
        <w:rPr>
          <w:rFonts w:ascii="Times New Roman" w:hAnsi="Times New Roman"/>
          <w:sz w:val="24"/>
          <w:szCs w:val="24"/>
        </w:rPr>
        <w:t>Définir clairement les obligations de tout le personnel du projet (y compris les sous-traitants et les journaliers) en ce qui concerne la mise en œuvre des exigences environnementales, sociales, d’hygiène et de sécurité (ESHS) et de santé et sécurité au travail (SST) et ;</w:t>
      </w:r>
    </w:p>
    <w:p w14:paraId="5FBF08A8" w14:textId="062D325B" w:rsidR="004F08B7" w:rsidRPr="00D75D2E" w:rsidRDefault="004F08B7" w:rsidP="008C79F0">
      <w:pPr>
        <w:numPr>
          <w:ilvl w:val="0"/>
          <w:numId w:val="112"/>
        </w:numPr>
        <w:suppressAutoHyphens/>
        <w:overflowPunct w:val="0"/>
        <w:autoSpaceDE w:val="0"/>
        <w:autoSpaceDN w:val="0"/>
        <w:adjustRightInd w:val="0"/>
        <w:spacing w:after="0" w:line="240" w:lineRule="auto"/>
        <w:ind w:left="567" w:hanging="425"/>
        <w:contextualSpacing/>
        <w:jc w:val="both"/>
        <w:textAlignment w:val="baseline"/>
        <w:rPr>
          <w:rFonts w:ascii="Times New Roman" w:hAnsi="Times New Roman"/>
          <w:sz w:val="24"/>
          <w:szCs w:val="24"/>
        </w:rPr>
      </w:pPr>
      <w:r w:rsidRPr="00D75D2E">
        <w:rPr>
          <w:rFonts w:ascii="Times New Roman" w:hAnsi="Times New Roman"/>
          <w:sz w:val="24"/>
          <w:szCs w:val="24"/>
        </w:rPr>
        <w:t xml:space="preserve">Aider à prévenir, signaler et </w:t>
      </w:r>
      <w:r w:rsidR="00935BA6">
        <w:rPr>
          <w:rFonts w:ascii="Times New Roman" w:hAnsi="Times New Roman"/>
          <w:sz w:val="24"/>
          <w:szCs w:val="24"/>
        </w:rPr>
        <w:t xml:space="preserve">gérer les risques </w:t>
      </w:r>
      <w:r w:rsidR="00935BA6" w:rsidRPr="00D75D2E">
        <w:rPr>
          <w:rFonts w:ascii="Times New Roman" w:hAnsi="Times New Roman"/>
          <w:sz w:val="24"/>
          <w:szCs w:val="24"/>
        </w:rPr>
        <w:t xml:space="preserve"> </w:t>
      </w:r>
      <w:r w:rsidR="00935BA6">
        <w:rPr>
          <w:rFonts w:ascii="Times New Roman" w:hAnsi="Times New Roman"/>
          <w:sz w:val="24"/>
          <w:szCs w:val="24"/>
        </w:rPr>
        <w:t>d’EAS/HS</w:t>
      </w:r>
      <w:r w:rsidRPr="00D75D2E">
        <w:rPr>
          <w:rFonts w:ascii="Times New Roman" w:hAnsi="Times New Roman"/>
          <w:sz w:val="24"/>
          <w:szCs w:val="24"/>
        </w:rPr>
        <w:t xml:space="preserve"> et le VCE sur le lieu de travail et dans les communautés environnantes.</w:t>
      </w:r>
    </w:p>
    <w:p w14:paraId="3EBBEEA5" w14:textId="0EF18E2D" w:rsidR="004F08B7" w:rsidRPr="00D75D2E" w:rsidRDefault="004F08B7" w:rsidP="00E737B4">
      <w:pPr>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L’application de ces codes de conduite contribuera à assurer que le projet atteigne ses objectifs ESHS et SST, ainsi qu’à prévenir et/ou atténuer les risques d</w:t>
      </w:r>
      <w:r w:rsidR="00935BA6">
        <w:rPr>
          <w:rFonts w:ascii="Times New Roman" w:hAnsi="Times New Roman"/>
          <w:sz w:val="24"/>
          <w:szCs w:val="24"/>
        </w:rPr>
        <w:t xml:space="preserve">’EAS/HS </w:t>
      </w:r>
      <w:r w:rsidRPr="00D75D2E">
        <w:rPr>
          <w:rFonts w:ascii="Times New Roman" w:hAnsi="Times New Roman"/>
          <w:sz w:val="24"/>
          <w:szCs w:val="24"/>
        </w:rPr>
        <w:t>et VCE sur le projet et dans les communautés locales. Ces codes de conduite doivent être adoptés par ceux qui travaillent sur le projet et sont destinés à :</w:t>
      </w:r>
    </w:p>
    <w:p w14:paraId="4ABF1312" w14:textId="77777777" w:rsidR="004F08B7" w:rsidRPr="00D75D2E" w:rsidRDefault="004F08B7" w:rsidP="008C79F0">
      <w:pPr>
        <w:numPr>
          <w:ilvl w:val="0"/>
          <w:numId w:val="112"/>
        </w:numPr>
        <w:suppressAutoHyphens/>
        <w:overflowPunct w:val="0"/>
        <w:autoSpaceDE w:val="0"/>
        <w:autoSpaceDN w:val="0"/>
        <w:adjustRightInd w:val="0"/>
        <w:spacing w:after="0" w:line="240" w:lineRule="auto"/>
        <w:ind w:left="567" w:hanging="425"/>
        <w:contextualSpacing/>
        <w:jc w:val="both"/>
        <w:textAlignment w:val="baseline"/>
        <w:rPr>
          <w:rFonts w:ascii="Times New Roman" w:hAnsi="Times New Roman"/>
          <w:sz w:val="24"/>
          <w:szCs w:val="24"/>
        </w:rPr>
      </w:pPr>
      <w:r w:rsidRPr="00D75D2E">
        <w:rPr>
          <w:rFonts w:ascii="Times New Roman" w:hAnsi="Times New Roman"/>
          <w:sz w:val="24"/>
          <w:szCs w:val="24"/>
        </w:rPr>
        <w:t>Sensibiliser aux attentes ESHS et SST sur le projet ;</w:t>
      </w:r>
    </w:p>
    <w:p w14:paraId="1F4B7F4B" w14:textId="63E801E7" w:rsidR="004F08B7" w:rsidRPr="00D75D2E" w:rsidRDefault="004F08B7" w:rsidP="008C79F0">
      <w:pPr>
        <w:numPr>
          <w:ilvl w:val="0"/>
          <w:numId w:val="112"/>
        </w:numPr>
        <w:suppressAutoHyphens/>
        <w:overflowPunct w:val="0"/>
        <w:autoSpaceDE w:val="0"/>
        <w:autoSpaceDN w:val="0"/>
        <w:adjustRightInd w:val="0"/>
        <w:spacing w:after="12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 xml:space="preserve">Créer une conscience commune </w:t>
      </w:r>
      <w:r w:rsidR="00935BA6">
        <w:rPr>
          <w:rFonts w:ascii="Times New Roman" w:hAnsi="Times New Roman"/>
          <w:sz w:val="24"/>
          <w:szCs w:val="24"/>
        </w:rPr>
        <w:t>d’EAS/HS</w:t>
      </w:r>
      <w:r w:rsidRPr="00D75D2E">
        <w:rPr>
          <w:rFonts w:ascii="Times New Roman" w:hAnsi="Times New Roman"/>
          <w:sz w:val="24"/>
          <w:szCs w:val="24"/>
        </w:rPr>
        <w:t xml:space="preserve"> et de la VCE et :</w:t>
      </w:r>
    </w:p>
    <w:p w14:paraId="2E5F2D59" w14:textId="77777777" w:rsidR="004F08B7" w:rsidRPr="00D75D2E" w:rsidRDefault="004F08B7" w:rsidP="008C79F0">
      <w:pPr>
        <w:numPr>
          <w:ilvl w:val="0"/>
          <w:numId w:val="108"/>
        </w:numPr>
        <w:shd w:val="clear" w:color="auto" w:fill="FFFFFF"/>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1276" w:hanging="425"/>
        <w:jc w:val="both"/>
        <w:textAlignment w:val="baseline"/>
        <w:rPr>
          <w:rFonts w:ascii="Times New Roman" w:hAnsi="Times New Roman"/>
          <w:sz w:val="24"/>
          <w:szCs w:val="24"/>
        </w:rPr>
      </w:pPr>
      <w:r w:rsidRPr="00D75D2E">
        <w:rPr>
          <w:rFonts w:ascii="Times New Roman" w:hAnsi="Times New Roman"/>
          <w:sz w:val="24"/>
          <w:szCs w:val="24"/>
        </w:rPr>
        <w:t>Assurer une compréhension commune du fait que ces violences n'ont pas leur place dans le projet ; et,</w:t>
      </w:r>
    </w:p>
    <w:p w14:paraId="145B85A7" w14:textId="569DE58A" w:rsidR="004F08B7" w:rsidRPr="00D75D2E" w:rsidRDefault="004F08B7" w:rsidP="008C79F0">
      <w:pPr>
        <w:numPr>
          <w:ilvl w:val="0"/>
          <w:numId w:val="108"/>
        </w:numPr>
        <w:shd w:val="clear" w:color="auto" w:fill="FFFFFF"/>
        <w:tabs>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1276" w:hanging="425"/>
        <w:jc w:val="both"/>
        <w:textAlignment w:val="baseline"/>
        <w:rPr>
          <w:rFonts w:ascii="Times New Roman" w:hAnsi="Times New Roman"/>
          <w:sz w:val="24"/>
          <w:szCs w:val="24"/>
        </w:rPr>
      </w:pPr>
      <w:r w:rsidRPr="00D75D2E">
        <w:rPr>
          <w:rFonts w:ascii="Times New Roman" w:hAnsi="Times New Roman"/>
          <w:sz w:val="24"/>
          <w:szCs w:val="24"/>
        </w:rPr>
        <w:t>Créer un système clair d'identification, de réponse et de sanction des incidents d</w:t>
      </w:r>
      <w:r w:rsidR="00935BA6">
        <w:rPr>
          <w:rFonts w:ascii="Times New Roman" w:hAnsi="Times New Roman"/>
          <w:sz w:val="24"/>
          <w:szCs w:val="24"/>
        </w:rPr>
        <w:t>’EAS/HS</w:t>
      </w:r>
      <w:r w:rsidRPr="00D75D2E">
        <w:rPr>
          <w:rFonts w:ascii="Times New Roman" w:hAnsi="Times New Roman"/>
          <w:sz w:val="24"/>
          <w:szCs w:val="24"/>
        </w:rPr>
        <w:t xml:space="preserve"> et de VCE.</w:t>
      </w:r>
    </w:p>
    <w:p w14:paraId="162314BD" w14:textId="77777777" w:rsidR="004F08B7" w:rsidRPr="00D75D2E" w:rsidRDefault="004F08B7" w:rsidP="00E737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S'assurer que tout le personnel du projet connait les valeurs du projet, comprend ce qui est attendu de lui, et reconnaît les conséquences des violations de ces valeurs, contribuera à une mise en œuvre du projet plus harmonieuse, plus respectueuse et productive, garantissant ainsi la réalisation des objectifs du projet.</w:t>
      </w:r>
    </w:p>
    <w:p w14:paraId="5ADF4B8F" w14:textId="77777777" w:rsidR="004F08B7" w:rsidRPr="00D75D2E" w:rsidRDefault="004F08B7" w:rsidP="008C79F0">
      <w:pPr>
        <w:numPr>
          <w:ilvl w:val="0"/>
          <w:numId w:val="110"/>
        </w:numPr>
        <w:spacing w:before="120" w:after="120" w:line="240" w:lineRule="auto"/>
        <w:ind w:left="714" w:hanging="357"/>
        <w:jc w:val="both"/>
        <w:rPr>
          <w:rFonts w:ascii="Times New Roman" w:hAnsi="Times New Roman"/>
          <w:b/>
          <w:sz w:val="24"/>
          <w:szCs w:val="24"/>
        </w:rPr>
      </w:pPr>
      <w:r w:rsidRPr="00D75D2E">
        <w:rPr>
          <w:rFonts w:ascii="Times New Roman" w:hAnsi="Times New Roman"/>
          <w:b/>
          <w:sz w:val="24"/>
          <w:szCs w:val="24"/>
        </w:rPr>
        <w:t xml:space="preserve">Définitions </w:t>
      </w:r>
    </w:p>
    <w:p w14:paraId="43628FEE"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Les définitions suivantes s’appliquent :</w:t>
      </w:r>
    </w:p>
    <w:p w14:paraId="37387547" w14:textId="77777777" w:rsidR="004F08B7" w:rsidRPr="00E737B4" w:rsidRDefault="004F08B7" w:rsidP="008C79F0">
      <w:pPr>
        <w:pStyle w:val="Paragraphedeliste"/>
        <w:numPr>
          <w:ilvl w:val="0"/>
          <w:numId w:val="233"/>
        </w:numPr>
        <w:suppressAutoHyphen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E737B4">
        <w:rPr>
          <w:rFonts w:ascii="Times New Roman" w:hAnsi="Times New Roman"/>
          <w:b/>
          <w:sz w:val="24"/>
          <w:szCs w:val="24"/>
        </w:rPr>
        <w:t xml:space="preserve">Environnement, Social, Hygiène et Sécurité (ESHS): </w:t>
      </w:r>
      <w:r w:rsidRPr="00E737B4">
        <w:rPr>
          <w:rFonts w:ascii="Times New Roman" w:hAnsi="Times New Roman"/>
          <w:sz w:val="24"/>
          <w:szCs w:val="24"/>
        </w:rPr>
        <w:t>terme générique couvrant les questions liées à l'impact du projet sur l'environnement, les communautés et les travailleurs.</w:t>
      </w:r>
    </w:p>
    <w:p w14:paraId="0BF7FA24" w14:textId="77777777" w:rsidR="004F08B7" w:rsidRPr="00D75D2E" w:rsidRDefault="004F08B7" w:rsidP="008C79F0">
      <w:pPr>
        <w:pStyle w:val="Paragraphedeliste"/>
        <w:numPr>
          <w:ilvl w:val="0"/>
          <w:numId w:val="233"/>
        </w:numPr>
        <w:suppressAutoHyphen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D75D2E">
        <w:rPr>
          <w:rFonts w:ascii="Times New Roman" w:hAnsi="Times New Roman"/>
          <w:b/>
          <w:sz w:val="24"/>
          <w:szCs w:val="24"/>
        </w:rPr>
        <w:t xml:space="preserve">Santé et Sécurité au Travail (SST): </w:t>
      </w:r>
      <w:r w:rsidRPr="00D75D2E">
        <w:rPr>
          <w:rFonts w:ascii="Times New Roman" w:hAnsi="Times New Roman"/>
          <w:sz w:val="24"/>
          <w:szCs w:val="24"/>
        </w:rPr>
        <w:t>La santé et la sécurité au travail visent à protéger la sécurité, la santé et le bien-être des personnes exerçant un emploi. La jouissance de ces normes au plus haut niveau est un droit humain fondamental qui devrait être accessible à chaque travailleur.</w:t>
      </w:r>
    </w:p>
    <w:p w14:paraId="4343E648" w14:textId="77777777" w:rsidR="004F08B7" w:rsidRPr="00D75D2E" w:rsidRDefault="004F08B7" w:rsidP="008C79F0">
      <w:pPr>
        <w:pStyle w:val="Paragraphedeliste"/>
        <w:numPr>
          <w:ilvl w:val="0"/>
          <w:numId w:val="233"/>
        </w:numPr>
        <w:suppressAutoHyphens/>
        <w:overflowPunct w:val="0"/>
        <w:autoSpaceDE w:val="0"/>
        <w:autoSpaceDN w:val="0"/>
        <w:adjustRightInd w:val="0"/>
        <w:spacing w:after="0" w:line="240" w:lineRule="auto"/>
        <w:ind w:left="426"/>
        <w:jc w:val="both"/>
        <w:textAlignment w:val="baseline"/>
        <w:rPr>
          <w:rFonts w:ascii="Times New Roman" w:hAnsi="Times New Roman"/>
          <w:sz w:val="24"/>
          <w:szCs w:val="24"/>
        </w:rPr>
      </w:pPr>
      <w:r w:rsidRPr="00D75D2E">
        <w:rPr>
          <w:rFonts w:ascii="Times New Roman" w:hAnsi="Times New Roman"/>
          <w:b/>
          <w:sz w:val="24"/>
          <w:szCs w:val="24"/>
        </w:rPr>
        <w:t xml:space="preserve">Violence Basée sur le Genre (VBG): </w:t>
      </w:r>
      <w:r w:rsidRPr="00D75D2E">
        <w:rPr>
          <w:rFonts w:ascii="Times New Roman" w:hAnsi="Times New Roman"/>
          <w:sz w:val="24"/>
          <w:szCs w:val="24"/>
        </w:rPr>
        <w:t xml:space="preserve">terme générique désignant tout acte préjudiciable perpétré contre la volonté d'une personne et </w:t>
      </w:r>
      <w:r w:rsidRPr="00D75D2E">
        <w:rPr>
          <w:rFonts w:ascii="Times New Roman" w:hAnsi="Times New Roman"/>
          <w:b/>
          <w:sz w:val="24"/>
          <w:szCs w:val="24"/>
        </w:rPr>
        <w:t>fondé sur les différences sociales (c'est-à-dire entre les sexes) entre les hommes et les femmes</w:t>
      </w:r>
      <w:r w:rsidRPr="00D75D2E">
        <w:rPr>
          <w:rFonts w:ascii="Times New Roman" w:hAnsi="Times New Roman"/>
          <w:sz w:val="24"/>
          <w:szCs w:val="24"/>
        </w:rPr>
        <w:t>. Cela comprend les actes qui infligent des souffrances ou des préjudices physiques, sexuels ou mentaux, les menaces de tels actes, la coercition et d'autres privations de liberté. Ces actes peuvent survenir en public ou en privé. Le terme VBG est utilisé pour souligner l'inégalité systémique entre les hommes et les femmes (qui existent dans chaque société dans le monde) et agit comme une caractéristique unificatrice et fondamentale de la plupart des formes de violence perpétrées contre les femmes et les filles. La Déclaration des Nations Unies sur l'élimination de la violence à l'égard des femmes de 1993 définit la violence contre les femmes comme «tout acte de violence sexiste qui entraîne ou risque d'entraîner des souffrances ou préjudices physiques, sexuels ou psychologiques ou des souffrances pour les femmes»</w:t>
      </w:r>
      <w:r w:rsidRPr="00D75D2E">
        <w:rPr>
          <w:rFonts w:ascii="Times New Roman" w:hAnsi="Times New Roman"/>
          <w:sz w:val="24"/>
          <w:szCs w:val="24"/>
          <w:vertAlign w:val="superscript"/>
        </w:rPr>
        <w:footnoteReference w:id="14"/>
      </w:r>
      <w:r w:rsidRPr="00D75D2E">
        <w:rPr>
          <w:rFonts w:ascii="Times New Roman" w:hAnsi="Times New Roman"/>
          <w:sz w:val="24"/>
          <w:szCs w:val="24"/>
        </w:rPr>
        <w:t>. Les six principaux types de VBG sont :</w:t>
      </w:r>
    </w:p>
    <w:p w14:paraId="1EE642A2" w14:textId="77777777" w:rsidR="004F08B7" w:rsidRPr="00D75D2E" w:rsidRDefault="004F08B7" w:rsidP="008C79F0">
      <w:pPr>
        <w:pStyle w:val="Paragraphedeliste"/>
        <w:numPr>
          <w:ilvl w:val="0"/>
          <w:numId w:val="233"/>
        </w:numPr>
        <w:suppressAutoHyphens/>
        <w:overflowPunct w:val="0"/>
        <w:autoSpaceDE w:val="0"/>
        <w:autoSpaceDN w:val="0"/>
        <w:adjustRightInd w:val="0"/>
        <w:spacing w:after="0" w:line="240" w:lineRule="auto"/>
        <w:ind w:left="426"/>
        <w:jc w:val="both"/>
        <w:textAlignment w:val="baseline"/>
        <w:rPr>
          <w:rFonts w:ascii="Times New Roman" w:hAnsi="Times New Roman"/>
          <w:bCs/>
          <w:sz w:val="24"/>
          <w:szCs w:val="24"/>
        </w:rPr>
      </w:pPr>
      <w:bookmarkStart w:id="1070" w:name="_Hlk519762032"/>
      <w:r w:rsidRPr="00D75D2E">
        <w:rPr>
          <w:rFonts w:ascii="Times New Roman" w:hAnsi="Times New Roman"/>
          <w:b/>
          <w:bCs/>
          <w:sz w:val="24"/>
          <w:szCs w:val="24"/>
        </w:rPr>
        <w:t xml:space="preserve">Viol : </w:t>
      </w:r>
      <w:r w:rsidRPr="00D75D2E">
        <w:rPr>
          <w:rFonts w:ascii="Times New Roman" w:hAnsi="Times New Roman"/>
          <w:bCs/>
          <w:sz w:val="24"/>
          <w:szCs w:val="24"/>
        </w:rPr>
        <w:t>pénétration non consensuelle (même légère) du vagin, de l'anus ou de la bouche avec un pénis, une autre partie du corps ou un objet,</w:t>
      </w:r>
    </w:p>
    <w:p w14:paraId="0296F89A" w14:textId="77777777" w:rsidR="004F08B7" w:rsidRPr="00D75D2E"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D75D2E">
        <w:rPr>
          <w:rFonts w:ascii="Times New Roman" w:hAnsi="Times New Roman"/>
          <w:b/>
          <w:bCs/>
          <w:sz w:val="24"/>
          <w:szCs w:val="24"/>
        </w:rPr>
        <w:t>Agression sexuelle :</w:t>
      </w:r>
      <w:r w:rsidRPr="00D75D2E">
        <w:rPr>
          <w:rFonts w:ascii="Times New Roman" w:hAnsi="Times New Roman"/>
          <w:bCs/>
          <w:sz w:val="24"/>
          <w:szCs w:val="24"/>
        </w:rPr>
        <w:t xml:space="preserve"> toute forme de contact sexuel non consensuel qui n'entraîne pas ou n'inclut pas la pénétration. Les exemples incluent : la tentative de viol, ainsi que les baisers non désirés, les caresses, ou le toucher des organes génitaux et des fesses.</w:t>
      </w:r>
    </w:p>
    <w:p w14:paraId="74CBE4D0" w14:textId="77777777" w:rsidR="004F08B7" w:rsidRPr="00D75D2E" w:rsidRDefault="004F08B7" w:rsidP="008C79F0">
      <w:pPr>
        <w:numPr>
          <w:ilvl w:val="0"/>
          <w:numId w:val="9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993"/>
        <w:jc w:val="both"/>
        <w:textAlignment w:val="baseline"/>
        <w:rPr>
          <w:rFonts w:ascii="Times New Roman" w:hAnsi="Times New Roman"/>
          <w:sz w:val="24"/>
          <w:szCs w:val="24"/>
        </w:rPr>
      </w:pPr>
      <w:r w:rsidRPr="00D75D2E">
        <w:rPr>
          <w:rFonts w:ascii="Times New Roman" w:hAnsi="Times New Roman"/>
          <w:b/>
          <w:sz w:val="24"/>
          <w:szCs w:val="24"/>
        </w:rPr>
        <w:t>Harcèlement sexuel</w:t>
      </w:r>
      <w:r w:rsidRPr="00D75D2E">
        <w:rPr>
          <w:rFonts w:ascii="Times New Roman" w:hAnsi="Times New Roman"/>
          <w:sz w:val="24"/>
          <w:szCs w:val="24"/>
        </w:rPr>
        <w:t> : ce sont des avances sexuelles non désirées, des demandes de faveurs sexuelles et d'autres comportements verbaux ou physiques de nature sexuelle. Le harcèlement sexuel n'est pas toujours explicite ou évident, il peut inclure des actes implicites et subtils mais implique toujours une dynamique de pouvoir et de genre dans laquelle une personne au pouvoir utilise sa position pour harceler une autre selon son sexe. La conduite sexuelle est importune chaque fois que la personne qui la subit la considère comme indésirable (par exemple, regarder quelqu'un de haut en bas, embrasser, hurler ou claquer des sons, traîner quelqu'un, siffler et crier, dans certains cas, donner des cadeaux personnels).</w:t>
      </w:r>
    </w:p>
    <w:p w14:paraId="4D15FA99" w14:textId="77777777" w:rsidR="004F08B7" w:rsidRPr="00D75D2E" w:rsidRDefault="004F08B7" w:rsidP="008C79F0">
      <w:pPr>
        <w:numPr>
          <w:ilvl w:val="0"/>
          <w:numId w:val="99"/>
        </w:numPr>
        <w:shd w:val="clear" w:color="auto" w:fill="FFFFFF"/>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993"/>
        <w:jc w:val="both"/>
        <w:textAlignment w:val="baseline"/>
        <w:rPr>
          <w:rFonts w:ascii="Times New Roman" w:hAnsi="Times New Roman"/>
          <w:sz w:val="24"/>
          <w:szCs w:val="24"/>
        </w:rPr>
      </w:pPr>
      <w:r w:rsidRPr="00D75D2E">
        <w:rPr>
          <w:rFonts w:ascii="Times New Roman" w:hAnsi="Times New Roman"/>
          <w:b/>
          <w:sz w:val="24"/>
          <w:szCs w:val="24"/>
        </w:rPr>
        <w:t>Faveurs sexuelles</w:t>
      </w:r>
      <w:r w:rsidRPr="00D75D2E">
        <w:rPr>
          <w:rFonts w:ascii="Times New Roman" w:hAnsi="Times New Roman"/>
          <w:sz w:val="24"/>
          <w:szCs w:val="24"/>
        </w:rPr>
        <w:t> : est une forme de harcèlement sexuel et consiste à faire des promesses de traitement favorable (par exemple promotion) ou de traitement défavorable (perte d'emploi, par exemple) dépendant d'actes sexuels ou d'autres comportements humiliants, dégradants ou exploiteurs.</w:t>
      </w:r>
    </w:p>
    <w:p w14:paraId="5F3B93E0" w14:textId="77777777" w:rsidR="004F08B7" w:rsidRPr="00D75D2E"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Agression physique :</w:t>
      </w:r>
      <w:r w:rsidRPr="00D75D2E">
        <w:rPr>
          <w:rFonts w:ascii="Times New Roman" w:hAnsi="Times New Roman"/>
          <w:bCs/>
          <w:sz w:val="24"/>
          <w:szCs w:val="24"/>
        </w:rPr>
        <w:t xml:space="preserve"> un acte de violence physique qui n'est pas de nature sexuelle. Exemples : frapper, gifler, étouffer, couper, bousculer, brûler, tirer ou utiliser des armes, des attaques à l'acide ou tout autre acte entraînant des douleurs, des malaises ou des blessures ;</w:t>
      </w:r>
    </w:p>
    <w:p w14:paraId="0BA4DF7B" w14:textId="77777777" w:rsidR="004F08B7" w:rsidRPr="00D75D2E"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Mariage forcé :</w:t>
      </w:r>
      <w:r w:rsidRPr="00D75D2E">
        <w:rPr>
          <w:rFonts w:ascii="Times New Roman" w:hAnsi="Times New Roman"/>
          <w:bCs/>
          <w:sz w:val="24"/>
          <w:szCs w:val="24"/>
        </w:rPr>
        <w:t xml:space="preserve"> le mariage d'un individu contre sa volonté.</w:t>
      </w:r>
    </w:p>
    <w:p w14:paraId="4F1E22C3" w14:textId="77777777" w:rsidR="004F08B7" w:rsidRPr="00E737B4"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Déni de ressources, d'opportunités ou de services </w:t>
      </w:r>
      <w:r w:rsidRPr="00D75D2E">
        <w:rPr>
          <w:rFonts w:ascii="Times New Roman" w:hAnsi="Times New Roman"/>
          <w:bCs/>
          <w:sz w:val="24"/>
          <w:szCs w:val="24"/>
        </w:rPr>
        <w:t>: refus d'accès légitime aux ressources / ressources économiques ou aux moyens de subsistance, à l'éducation, à la santé ou à d'autres services sociaux (par exemple, une veuve empêchée de recevoir un héritage, une femme empêchée d'utiliser des contraceptifs, une fille empêchée d'aller à l'école, etc.).</w:t>
      </w:r>
    </w:p>
    <w:p w14:paraId="52286BB4" w14:textId="77777777" w:rsidR="004F08B7" w:rsidRPr="00D75D2E"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Abus psychologique/émotionnel :</w:t>
      </w:r>
      <w:r w:rsidRPr="00D75D2E">
        <w:rPr>
          <w:rFonts w:ascii="Times New Roman" w:hAnsi="Times New Roman"/>
          <w:bCs/>
          <w:sz w:val="24"/>
          <w:szCs w:val="24"/>
        </w:rPr>
        <w:t xml:space="preserve"> infliction de douleur ou de blessures mentales ou émotionnelles. Exemples : menaces de violence physique ou sexuelle, intimidation, humiliation, isolement forcé, harcèlement, attention non désirée, remarques, gestes ou écrits de nature sexuelle et / ou menaçante, destruction de choses chéries, etc.</w:t>
      </w:r>
    </w:p>
    <w:p w14:paraId="73B8C290" w14:textId="77777777" w:rsidR="004F08B7" w:rsidRPr="005F13FF"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Violence Contre les Enfants (VCE):</w:t>
      </w:r>
      <w:r w:rsidRPr="00E737B4">
        <w:rPr>
          <w:rFonts w:ascii="Times New Roman" w:hAnsi="Times New Roman"/>
          <w:bCs/>
          <w:sz w:val="24"/>
          <w:szCs w:val="24"/>
        </w:rPr>
        <w:t xml:space="preserve"> </w:t>
      </w:r>
      <w:r w:rsidRPr="0044616B">
        <w:rPr>
          <w:rFonts w:ascii="Times New Roman" w:hAnsi="Times New Roman"/>
          <w:bCs/>
          <w:sz w:val="24"/>
          <w:szCs w:val="24"/>
        </w:rPr>
        <w:t>est défini comme un préjudice physique, sexuel, émotionnel et/ou psychologique, négligence ou traitement négligent d'enfants mineurs (moins de 18 ans), y compris l'exposition à un tel préjudice</w:t>
      </w:r>
      <w:r w:rsidRPr="00E737B4">
        <w:rPr>
          <w:rFonts w:ascii="Times New Roman" w:hAnsi="Times New Roman"/>
          <w:bCs/>
          <w:sz w:val="24"/>
          <w:szCs w:val="24"/>
        </w:rPr>
        <w:footnoteReference w:id="15"/>
      </w:r>
      <w:r w:rsidRPr="0044616B">
        <w:rPr>
          <w:rFonts w:ascii="Times New Roman" w:hAnsi="Times New Roman"/>
          <w:bCs/>
          <w:sz w:val="24"/>
          <w:szCs w:val="24"/>
        </w:rPr>
        <w:t>, qui entraîne des dommages réels ou potentiels à la santé, la survie, le développement ou la dignité de l'enfant dans le cadre d'une relation de responsabilité, de confiance ou de pouvoir</w:t>
      </w:r>
      <w:r w:rsidRPr="00124BDB">
        <w:rPr>
          <w:rFonts w:ascii="Times New Roman" w:hAnsi="Times New Roman"/>
          <w:bCs/>
          <w:sz w:val="24"/>
          <w:szCs w:val="24"/>
        </w:rPr>
        <w:t>. Cela inclut l'utilisation des enfants pour le profit, le travail</w:t>
      </w:r>
      <w:r w:rsidRPr="00E737B4">
        <w:rPr>
          <w:rFonts w:ascii="Times New Roman" w:hAnsi="Times New Roman"/>
          <w:bCs/>
          <w:sz w:val="24"/>
          <w:szCs w:val="24"/>
        </w:rPr>
        <w:footnoteReference w:id="16"/>
      </w:r>
      <w:r w:rsidRPr="0044616B">
        <w:rPr>
          <w:rFonts w:ascii="Times New Roman" w:hAnsi="Times New Roman"/>
          <w:bCs/>
          <w:sz w:val="24"/>
          <w:szCs w:val="24"/>
        </w:rPr>
        <w:t>, la gratification sexuelle, ou un autre avantage personnel ou financier. Cela inclut également d'autres activités telles que l'utilisation d'ordinateurs, de téléphones portables, de caméra</w:t>
      </w:r>
      <w:r w:rsidRPr="00124BDB">
        <w:rPr>
          <w:rFonts w:ascii="Times New Roman" w:hAnsi="Times New Roman"/>
          <w:bCs/>
          <w:sz w:val="24"/>
          <w:szCs w:val="24"/>
        </w:rPr>
        <w:t>s vidéo et numériques ou de tout autre moyen d'exploiter ou de harceler les enfants ou d'accéder à la pornographie mettant en scène</w:t>
      </w:r>
      <w:r w:rsidRPr="005F13FF">
        <w:rPr>
          <w:rFonts w:ascii="Times New Roman" w:hAnsi="Times New Roman"/>
          <w:bCs/>
          <w:sz w:val="24"/>
          <w:szCs w:val="24"/>
        </w:rPr>
        <w:t xml:space="preserve"> des enfants.</w:t>
      </w:r>
    </w:p>
    <w:p w14:paraId="120CF6EA" w14:textId="77777777" w:rsidR="004F08B7" w:rsidRPr="005F13FF"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Toilettage :</w:t>
      </w:r>
      <w:r w:rsidRPr="0044616B">
        <w:rPr>
          <w:rFonts w:ascii="Times New Roman" w:hAnsi="Times New Roman"/>
          <w:bCs/>
          <w:sz w:val="24"/>
          <w:szCs w:val="24"/>
        </w:rPr>
        <w:t xml:space="preserve"> ce sont des comportements qui permettent à un agresseur de se procurer un enfant pour une activité</w:t>
      </w:r>
      <w:r w:rsidRPr="00124BDB">
        <w:rPr>
          <w:rFonts w:ascii="Times New Roman" w:hAnsi="Times New Roman"/>
          <w:bCs/>
          <w:sz w:val="24"/>
          <w:szCs w:val="24"/>
        </w:rPr>
        <w:t xml:space="preserve"> sexuelle. Par exemple, un délinquant peut établir une relation de confiance avec l'enfant, puis chercher à sexualiser cette relati</w:t>
      </w:r>
      <w:r w:rsidRPr="005F13FF">
        <w:rPr>
          <w:rFonts w:ascii="Times New Roman" w:hAnsi="Times New Roman"/>
          <w:bCs/>
          <w:sz w:val="24"/>
          <w:szCs w:val="24"/>
        </w:rPr>
        <w:t>on (par exemple en encourageant des sentiments romantiques ou en exposant l'enfant à des concepts sexuels à travers la pornographie).</w:t>
      </w:r>
    </w:p>
    <w:p w14:paraId="1669385E"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Toilettage en ligne :</w:t>
      </w:r>
      <w:r w:rsidRPr="0044616B">
        <w:rPr>
          <w:rFonts w:ascii="Times New Roman" w:hAnsi="Times New Roman"/>
          <w:bCs/>
          <w:sz w:val="24"/>
          <w:szCs w:val="24"/>
        </w:rPr>
        <w:t xml:space="preserve"> est l'acte d'envoyer un message électronique avec un contenu indécent à un destinataire que l'expéditeur croit être mineur, avec l'intention de procurer le destinataire pour s'engager ou se soumettre à une activité sexuelle a</w:t>
      </w:r>
      <w:r w:rsidRPr="00124BDB">
        <w:rPr>
          <w:rFonts w:ascii="Times New Roman" w:hAnsi="Times New Roman"/>
          <w:bCs/>
          <w:sz w:val="24"/>
          <w:szCs w:val="24"/>
        </w:rPr>
        <w:t>vec une autre personne, y compris mais pas nécessairement expéditeur.</w:t>
      </w:r>
    </w:p>
    <w:p w14:paraId="5DA41AF4" w14:textId="027BCB2F"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Mesures de responsabilisation :</w:t>
      </w:r>
      <w:r w:rsidRPr="0044616B">
        <w:rPr>
          <w:rFonts w:ascii="Times New Roman" w:hAnsi="Times New Roman"/>
          <w:bCs/>
          <w:sz w:val="24"/>
          <w:szCs w:val="24"/>
        </w:rPr>
        <w:t xml:space="preserve"> les mesures mises en place garantissant la confidentialité des survivants et obligent les entrepreneurs, les consultants et le client à mettre en place un</w:t>
      </w:r>
      <w:r w:rsidRPr="00124BDB">
        <w:rPr>
          <w:rFonts w:ascii="Times New Roman" w:hAnsi="Times New Roman"/>
          <w:bCs/>
          <w:sz w:val="24"/>
          <w:szCs w:val="24"/>
        </w:rPr>
        <w:t xml:space="preserve"> système équitable de traitement des cas d</w:t>
      </w:r>
      <w:r w:rsidR="00935BA6">
        <w:rPr>
          <w:rFonts w:ascii="Times New Roman" w:hAnsi="Times New Roman"/>
          <w:bCs/>
          <w:sz w:val="24"/>
          <w:szCs w:val="24"/>
        </w:rPr>
        <w:t>’EAS/HS</w:t>
      </w:r>
      <w:r w:rsidRPr="00124BDB">
        <w:rPr>
          <w:rFonts w:ascii="Times New Roman" w:hAnsi="Times New Roman"/>
          <w:bCs/>
          <w:sz w:val="24"/>
          <w:szCs w:val="24"/>
        </w:rPr>
        <w:t xml:space="preserve"> et VCE.</w:t>
      </w:r>
    </w:p>
    <w:p w14:paraId="7BAAF44E"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Plan de gestion environnementale et sociale des entrepreneurs (PGES-E)</w:t>
      </w:r>
      <w:r w:rsidRPr="00E737B4">
        <w:rPr>
          <w:rFonts w:ascii="Times New Roman" w:hAnsi="Times New Roman"/>
          <w:bCs/>
          <w:sz w:val="24"/>
          <w:szCs w:val="24"/>
        </w:rPr>
        <w:t> </w:t>
      </w:r>
      <w:r w:rsidRPr="0044616B">
        <w:rPr>
          <w:rFonts w:ascii="Times New Roman" w:hAnsi="Times New Roman"/>
          <w:bCs/>
          <w:sz w:val="24"/>
          <w:szCs w:val="24"/>
        </w:rPr>
        <w:t>: plan élaboré par l’entrepreneur décrivant la manière dont il mettra en œuvre les travaux conformément au plan de gestion enviro</w:t>
      </w:r>
      <w:r w:rsidRPr="00124BDB">
        <w:rPr>
          <w:rFonts w:ascii="Times New Roman" w:hAnsi="Times New Roman"/>
          <w:bCs/>
          <w:sz w:val="24"/>
          <w:szCs w:val="24"/>
        </w:rPr>
        <w:t>nnementale et sociale (PGES) du projet.</w:t>
      </w:r>
    </w:p>
    <w:p w14:paraId="686B433A"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Enfant :</w:t>
      </w:r>
      <w:r w:rsidRPr="0044616B">
        <w:rPr>
          <w:rFonts w:ascii="Times New Roman" w:hAnsi="Times New Roman"/>
          <w:bCs/>
          <w:sz w:val="24"/>
          <w:szCs w:val="24"/>
        </w:rPr>
        <w:t xml:space="preserve"> est utilisé de manière interchangeable avec le terme « mineur » et se réfère à une personne de moins de 18 ans. Ceci est conforme à l'article 1 de la Convention des Nations Unies relative aux droits de l'enf</w:t>
      </w:r>
      <w:r w:rsidRPr="00124BDB">
        <w:rPr>
          <w:rFonts w:ascii="Times New Roman" w:hAnsi="Times New Roman"/>
          <w:bCs/>
          <w:sz w:val="24"/>
          <w:szCs w:val="24"/>
        </w:rPr>
        <w:t>ant.</w:t>
      </w:r>
    </w:p>
    <w:p w14:paraId="75FF01AD"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Protection de l'enfance (PE)</w:t>
      </w:r>
      <w:r w:rsidRPr="00E737B4">
        <w:rPr>
          <w:rFonts w:ascii="Times New Roman" w:hAnsi="Times New Roman"/>
          <w:bCs/>
          <w:sz w:val="24"/>
          <w:szCs w:val="24"/>
        </w:rPr>
        <w:t> </w:t>
      </w:r>
      <w:r w:rsidRPr="0044616B">
        <w:rPr>
          <w:rFonts w:ascii="Times New Roman" w:hAnsi="Times New Roman"/>
          <w:bCs/>
          <w:sz w:val="24"/>
          <w:szCs w:val="24"/>
        </w:rPr>
        <w:t>: est une activité ou une initiative conçue pour protéger les enfants de toute forme de préjudice, en particulier découlant de VCE.</w:t>
      </w:r>
    </w:p>
    <w:p w14:paraId="52F0427B" w14:textId="77777777" w:rsidR="004F08B7" w:rsidRPr="00E737B4"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Consentement :</w:t>
      </w:r>
      <w:r w:rsidRPr="0044616B">
        <w:rPr>
          <w:rFonts w:ascii="Times New Roman" w:hAnsi="Times New Roman"/>
          <w:bCs/>
          <w:sz w:val="24"/>
          <w:szCs w:val="24"/>
        </w:rPr>
        <w:t xml:space="preserve"> est le choix éclairé qui sous-tend l'intention libre et volontaire d'un ind</w:t>
      </w:r>
      <w:r w:rsidRPr="00124BDB">
        <w:rPr>
          <w:rFonts w:ascii="Times New Roman" w:hAnsi="Times New Roman"/>
          <w:bCs/>
          <w:sz w:val="24"/>
          <w:szCs w:val="24"/>
        </w:rPr>
        <w:t>ividu, son acceptation ou son accord à faire quelque chose. Aucun consentement ne peut être trouvé lorsque cette acceptation ou cet</w:t>
      </w:r>
      <w:r w:rsidRPr="005F13FF">
        <w:rPr>
          <w:rFonts w:ascii="Times New Roman" w:hAnsi="Times New Roman"/>
          <w:bCs/>
          <w:sz w:val="24"/>
          <w:szCs w:val="24"/>
        </w:rPr>
        <w:t xml:space="preserve"> accord est obtenu en utilisant des menaces, la force ou d'autres formes de coercition, d'enlèvement, de fraude, de tromperie ou de fausse déclaration. Conformément à la Convention des Nations Unies relative aux droits de l'enfant, la Banque mondiale consi</w:t>
      </w:r>
      <w:r w:rsidRPr="00E737B4">
        <w:rPr>
          <w:rFonts w:ascii="Times New Roman" w:hAnsi="Times New Roman"/>
          <w:bCs/>
          <w:sz w:val="24"/>
          <w:szCs w:val="24"/>
        </w:rPr>
        <w:t>dère que le consentement ne peut être donné par des enfants de moins de 18 ans, même si la législation nationale du pays dans lequel le Code de conduite est introduite a un âge inférieur. Une croyance erronée concernant l'âge de l'enfant et le consentement de l'enfant n'est pas un moyen de défense.</w:t>
      </w:r>
    </w:p>
    <w:p w14:paraId="6633539B" w14:textId="77777777" w:rsidR="004F08B7" w:rsidRPr="005F13FF"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Consultant :</w:t>
      </w:r>
      <w:r w:rsidRPr="0044616B">
        <w:rPr>
          <w:rFonts w:ascii="Times New Roman" w:hAnsi="Times New Roman"/>
          <w:bCs/>
          <w:sz w:val="24"/>
          <w:szCs w:val="24"/>
        </w:rPr>
        <w:t xml:space="preserve"> c'est une entreprise, une organisation ou un autre établissement qui</w:t>
      </w:r>
      <w:r w:rsidRPr="00124BDB">
        <w:rPr>
          <w:rFonts w:ascii="Times New Roman" w:hAnsi="Times New Roman"/>
          <w:bCs/>
          <w:sz w:val="24"/>
          <w:szCs w:val="24"/>
        </w:rPr>
        <w:t xml:space="preserve"> a obtenu un contrat pour fournir des services de consultants au projet et qui a embauché des gestionnaires et/ou des employés pour</w:t>
      </w:r>
      <w:r w:rsidRPr="005F13FF">
        <w:rPr>
          <w:rFonts w:ascii="Times New Roman" w:hAnsi="Times New Roman"/>
          <w:bCs/>
          <w:sz w:val="24"/>
          <w:szCs w:val="24"/>
        </w:rPr>
        <w:t xml:space="preserve"> effectuer ce travail.</w:t>
      </w:r>
    </w:p>
    <w:p w14:paraId="5A1B42DD" w14:textId="77777777" w:rsidR="004F08B7" w:rsidRPr="00E737B4"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AE31F1">
        <w:rPr>
          <w:rFonts w:ascii="Times New Roman" w:hAnsi="Times New Roman"/>
          <w:b/>
          <w:sz w:val="24"/>
          <w:szCs w:val="24"/>
        </w:rPr>
        <w:t>Entrepreneur :</w:t>
      </w:r>
      <w:r w:rsidRPr="0044616B">
        <w:rPr>
          <w:rFonts w:ascii="Times New Roman" w:hAnsi="Times New Roman"/>
          <w:bCs/>
          <w:sz w:val="24"/>
          <w:szCs w:val="24"/>
        </w:rPr>
        <w:t xml:space="preserve"> Est ‘une entreprise, une organisation ou un autre établissement qui a obtenu un contrat</w:t>
      </w:r>
      <w:r w:rsidRPr="00124BDB">
        <w:rPr>
          <w:rFonts w:ascii="Times New Roman" w:hAnsi="Times New Roman"/>
          <w:bCs/>
          <w:sz w:val="24"/>
          <w:szCs w:val="24"/>
        </w:rPr>
        <w:t xml:space="preserve"> pour exécuter des travaux de développement d'infrastructure pour le projet et a embauché des gestionnaires et/ou des employés pour</w:t>
      </w:r>
      <w:r w:rsidRPr="005F13FF">
        <w:rPr>
          <w:rFonts w:ascii="Times New Roman" w:hAnsi="Times New Roman"/>
          <w:bCs/>
          <w:sz w:val="24"/>
          <w:szCs w:val="24"/>
        </w:rPr>
        <w:t xml:space="preserve"> effectuer ce travail. Cela comprend également les sous-traitants embauchés pour entreprendre des activités au nom de l'entrepreneur.</w:t>
      </w:r>
    </w:p>
    <w:p w14:paraId="62E10527"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7F2438">
        <w:rPr>
          <w:rFonts w:ascii="Times New Roman" w:hAnsi="Times New Roman"/>
          <w:sz w:val="24"/>
          <w:szCs w:val="24"/>
        </w:rPr>
        <w:t>Employé</w:t>
      </w:r>
      <w:r w:rsidRPr="00AE31F1">
        <w:rPr>
          <w:rFonts w:ascii="Times New Roman" w:hAnsi="Times New Roman"/>
          <w:b/>
          <w:sz w:val="24"/>
          <w:szCs w:val="24"/>
        </w:rPr>
        <w:t> :</w:t>
      </w:r>
      <w:r w:rsidRPr="0044616B">
        <w:rPr>
          <w:rFonts w:ascii="Times New Roman" w:hAnsi="Times New Roman"/>
          <w:bCs/>
          <w:sz w:val="24"/>
          <w:szCs w:val="24"/>
        </w:rPr>
        <w:t xml:space="preserve"> toute personne offrant de la main-d'œuvre à l'entrepreneur ou consultant dans le pays sur ou hors du site de travail, sous un contrat de travail formel ou informel, généralement, mais pas nécessairement (y compris les stagiaires et </w:t>
      </w:r>
      <w:r w:rsidRPr="00124BDB">
        <w:rPr>
          <w:rFonts w:ascii="Times New Roman" w:hAnsi="Times New Roman"/>
          <w:bCs/>
          <w:sz w:val="24"/>
          <w:szCs w:val="24"/>
        </w:rPr>
        <w:t>bénévoles non rémunérés), en échange d'un salaire, sans responsabilité de gérer ou de superviser d'autres employés.</w:t>
      </w:r>
    </w:p>
    <w:p w14:paraId="6D8FA672"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Procédure d'Allégation VBG et VCE </w:t>
      </w:r>
      <w:r w:rsidRPr="0044616B">
        <w:rPr>
          <w:rFonts w:ascii="Times New Roman" w:hAnsi="Times New Roman"/>
          <w:bCs/>
          <w:sz w:val="24"/>
          <w:szCs w:val="24"/>
        </w:rPr>
        <w:t>: est la procédure à suivre pour signaler les incidents de VBG ou VCE.</w:t>
      </w:r>
    </w:p>
    <w:p w14:paraId="3AF1583A" w14:textId="622E7AB3" w:rsidR="004F08B7" w:rsidRPr="00E737B4"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 xml:space="preserve">Codes de conduite </w:t>
      </w:r>
      <w:r w:rsidR="00935BA6">
        <w:rPr>
          <w:rFonts w:ascii="Times New Roman" w:hAnsi="Times New Roman"/>
          <w:bCs/>
          <w:sz w:val="24"/>
          <w:szCs w:val="24"/>
        </w:rPr>
        <w:t>EAS/HS</w:t>
      </w:r>
      <w:r w:rsidR="00935BA6" w:rsidRPr="00E737B4">
        <w:rPr>
          <w:rFonts w:ascii="Times New Roman" w:hAnsi="Times New Roman"/>
          <w:bCs/>
          <w:sz w:val="24"/>
          <w:szCs w:val="24"/>
        </w:rPr>
        <w:t xml:space="preserve"> </w:t>
      </w:r>
      <w:r w:rsidRPr="00E737B4">
        <w:rPr>
          <w:rFonts w:ascii="Times New Roman" w:hAnsi="Times New Roman"/>
          <w:bCs/>
          <w:sz w:val="24"/>
          <w:szCs w:val="24"/>
        </w:rPr>
        <w:t>et VCE </w:t>
      </w:r>
      <w:r w:rsidRPr="0044616B">
        <w:rPr>
          <w:rFonts w:ascii="Times New Roman" w:hAnsi="Times New Roman"/>
          <w:bCs/>
          <w:sz w:val="24"/>
          <w:szCs w:val="24"/>
        </w:rPr>
        <w:t>: Les codes de conduite adoptés pour le projet couvrent l'engagement de l'entreprise et les responsabilités des gestionnaires et des individus en matière de VBG et VCE.</w:t>
      </w:r>
    </w:p>
    <w:p w14:paraId="57D289CD" w14:textId="308167F2"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 xml:space="preserve">Equipe de conformité </w:t>
      </w:r>
      <w:r w:rsidR="00935BA6">
        <w:rPr>
          <w:rFonts w:ascii="Times New Roman" w:hAnsi="Times New Roman"/>
          <w:bCs/>
          <w:sz w:val="24"/>
          <w:szCs w:val="24"/>
        </w:rPr>
        <w:t xml:space="preserve">EAS_/HS </w:t>
      </w:r>
      <w:r w:rsidRPr="00E737B4">
        <w:rPr>
          <w:rFonts w:ascii="Times New Roman" w:hAnsi="Times New Roman"/>
          <w:bCs/>
          <w:sz w:val="24"/>
          <w:szCs w:val="24"/>
        </w:rPr>
        <w:t>et VCE (ECVV) </w:t>
      </w:r>
      <w:r w:rsidRPr="0044616B">
        <w:rPr>
          <w:rFonts w:ascii="Times New Roman" w:hAnsi="Times New Roman"/>
          <w:bCs/>
          <w:sz w:val="24"/>
          <w:szCs w:val="24"/>
        </w:rPr>
        <w:t xml:space="preserve">: une équipe mise en place par le projet pour traiter </w:t>
      </w:r>
      <w:r w:rsidRPr="00124BDB">
        <w:rPr>
          <w:rFonts w:ascii="Times New Roman" w:hAnsi="Times New Roman"/>
          <w:bCs/>
          <w:sz w:val="24"/>
          <w:szCs w:val="24"/>
        </w:rPr>
        <w:t xml:space="preserve">les questions </w:t>
      </w:r>
      <w:r w:rsidR="00935BA6">
        <w:rPr>
          <w:rFonts w:ascii="Times New Roman" w:hAnsi="Times New Roman"/>
          <w:bCs/>
          <w:sz w:val="24"/>
          <w:szCs w:val="24"/>
        </w:rPr>
        <w:t>d’EAS/HS et VCE</w:t>
      </w:r>
    </w:p>
    <w:p w14:paraId="42FD6A6B" w14:textId="3EC5FC58"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 xml:space="preserve">Mécanisme de règlement des </w:t>
      </w:r>
      <w:r w:rsidR="00935BA6">
        <w:rPr>
          <w:rFonts w:ascii="Times New Roman" w:hAnsi="Times New Roman"/>
          <w:bCs/>
          <w:sz w:val="24"/>
          <w:szCs w:val="24"/>
        </w:rPr>
        <w:t xml:space="preserve">plaintes </w:t>
      </w:r>
      <w:r w:rsidRPr="00E737B4">
        <w:rPr>
          <w:rFonts w:ascii="Times New Roman" w:hAnsi="Times New Roman"/>
          <w:bCs/>
          <w:sz w:val="24"/>
          <w:szCs w:val="24"/>
        </w:rPr>
        <w:t>(M</w:t>
      </w:r>
      <w:r w:rsidR="00935BA6">
        <w:rPr>
          <w:rFonts w:ascii="Times New Roman" w:hAnsi="Times New Roman"/>
          <w:bCs/>
          <w:sz w:val="24"/>
          <w:szCs w:val="24"/>
        </w:rPr>
        <w:t>GP</w:t>
      </w:r>
      <w:r w:rsidRPr="00E737B4">
        <w:rPr>
          <w:rFonts w:ascii="Times New Roman" w:hAnsi="Times New Roman"/>
          <w:bCs/>
          <w:sz w:val="24"/>
          <w:szCs w:val="24"/>
        </w:rPr>
        <w:t>) </w:t>
      </w:r>
      <w:r w:rsidRPr="0044616B">
        <w:rPr>
          <w:rFonts w:ascii="Times New Roman" w:hAnsi="Times New Roman"/>
          <w:bCs/>
          <w:sz w:val="24"/>
          <w:szCs w:val="24"/>
        </w:rPr>
        <w:t>: est le processus établi par un projet pour recevoir et traiter les plaintes.</w:t>
      </w:r>
    </w:p>
    <w:p w14:paraId="0EE868C2" w14:textId="77777777" w:rsidR="004F08B7" w:rsidRPr="005F13FF"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Gestionnaire </w:t>
      </w:r>
      <w:r w:rsidRPr="0044616B">
        <w:rPr>
          <w:rFonts w:ascii="Times New Roman" w:hAnsi="Times New Roman"/>
          <w:bCs/>
          <w:sz w:val="24"/>
          <w:szCs w:val="24"/>
        </w:rPr>
        <w:t xml:space="preserve">: toute personne offrant son travail à l'entrepreneur ou au consultant, sur ou hors du lieu de </w:t>
      </w:r>
      <w:r w:rsidRPr="00124BDB">
        <w:rPr>
          <w:rFonts w:ascii="Times New Roman" w:hAnsi="Times New Roman"/>
          <w:bCs/>
          <w:sz w:val="24"/>
          <w:szCs w:val="24"/>
        </w:rPr>
        <w:t>travail, en vertu d'un contrat de travail formel ou informel et en échange d'un salaire, et ayant la responsabilité de contrôler ou de d</w:t>
      </w:r>
      <w:r w:rsidRPr="005F13FF">
        <w:rPr>
          <w:rFonts w:ascii="Times New Roman" w:hAnsi="Times New Roman"/>
          <w:bCs/>
          <w:sz w:val="24"/>
          <w:szCs w:val="24"/>
        </w:rPr>
        <w:t>iriger les activités d’une équipe, unité, division ou similaire de l'entrepreneur ou du consultant, et de superviser et de gérer un nombre prédéfini d'employés.</w:t>
      </w:r>
    </w:p>
    <w:p w14:paraId="0507A4CF" w14:textId="4C6E9B80"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E737B4">
        <w:rPr>
          <w:rFonts w:ascii="Times New Roman" w:hAnsi="Times New Roman"/>
          <w:bCs/>
          <w:sz w:val="24"/>
          <w:szCs w:val="24"/>
        </w:rPr>
        <w:t>L’auteur </w:t>
      </w:r>
      <w:r w:rsidRPr="0044616B">
        <w:rPr>
          <w:rFonts w:ascii="Times New Roman" w:hAnsi="Times New Roman"/>
          <w:bCs/>
          <w:sz w:val="24"/>
          <w:szCs w:val="24"/>
        </w:rPr>
        <w:t>: la ou les personnes qui commettent ou menacent de commettre un acte ou des actes d</w:t>
      </w:r>
      <w:r w:rsidR="00935BA6">
        <w:rPr>
          <w:rFonts w:ascii="Times New Roman" w:hAnsi="Times New Roman"/>
          <w:bCs/>
          <w:sz w:val="24"/>
          <w:szCs w:val="24"/>
        </w:rPr>
        <w:t>’EAS/HS</w:t>
      </w:r>
      <w:r w:rsidRPr="0044616B">
        <w:rPr>
          <w:rFonts w:ascii="Times New Roman" w:hAnsi="Times New Roman"/>
          <w:bCs/>
          <w:sz w:val="24"/>
          <w:szCs w:val="24"/>
        </w:rPr>
        <w:t xml:space="preserve"> ou VCE.</w:t>
      </w:r>
    </w:p>
    <w:p w14:paraId="114A53DF"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7F2438">
        <w:rPr>
          <w:rFonts w:ascii="Times New Roman" w:hAnsi="Times New Roman"/>
          <w:sz w:val="24"/>
          <w:szCs w:val="24"/>
        </w:rPr>
        <w:t>Protocole de réponse</w:t>
      </w:r>
      <w:r w:rsidRPr="00AE31F1">
        <w:rPr>
          <w:rFonts w:ascii="Times New Roman" w:hAnsi="Times New Roman"/>
          <w:b/>
          <w:sz w:val="24"/>
          <w:szCs w:val="24"/>
        </w:rPr>
        <w:t> :</w:t>
      </w:r>
      <w:r w:rsidRPr="0044616B">
        <w:rPr>
          <w:rFonts w:ascii="Times New Roman" w:hAnsi="Times New Roman"/>
          <w:bCs/>
          <w:sz w:val="24"/>
          <w:szCs w:val="24"/>
        </w:rPr>
        <w:t xml:space="preserve"> les mécanismes mis en place pour répondre aux cas de VBG et de VCE (voir la section 4</w:t>
      </w:r>
      <w:r w:rsidRPr="00124BDB">
        <w:rPr>
          <w:rFonts w:ascii="Times New Roman" w:hAnsi="Times New Roman"/>
          <w:bCs/>
          <w:sz w:val="24"/>
          <w:szCs w:val="24"/>
        </w:rPr>
        <w:t>.7 Protocole de réponse).</w:t>
      </w:r>
    </w:p>
    <w:p w14:paraId="6B804E1A"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7F2438">
        <w:rPr>
          <w:rFonts w:ascii="Times New Roman" w:hAnsi="Times New Roman"/>
          <w:sz w:val="24"/>
          <w:szCs w:val="24"/>
        </w:rPr>
        <w:t>Survivant</w:t>
      </w:r>
      <w:r w:rsidRPr="00AE31F1">
        <w:rPr>
          <w:rFonts w:ascii="Times New Roman" w:hAnsi="Times New Roman"/>
          <w:b/>
          <w:sz w:val="24"/>
          <w:szCs w:val="24"/>
        </w:rPr>
        <w:t xml:space="preserve"> / </w:t>
      </w:r>
      <w:r w:rsidRPr="007F2438">
        <w:rPr>
          <w:rFonts w:ascii="Times New Roman" w:hAnsi="Times New Roman"/>
          <w:sz w:val="24"/>
          <w:szCs w:val="24"/>
        </w:rPr>
        <w:t>Survivants</w:t>
      </w:r>
      <w:r w:rsidRPr="00AE31F1">
        <w:rPr>
          <w:rFonts w:ascii="Times New Roman" w:hAnsi="Times New Roman"/>
          <w:b/>
          <w:sz w:val="24"/>
          <w:szCs w:val="24"/>
        </w:rPr>
        <w:t> </w:t>
      </w:r>
      <w:r w:rsidRPr="007F2438">
        <w:rPr>
          <w:rFonts w:ascii="Times New Roman" w:hAnsi="Times New Roman"/>
          <w:sz w:val="24"/>
          <w:szCs w:val="24"/>
        </w:rPr>
        <w:t>:</w:t>
      </w:r>
      <w:r w:rsidRPr="0044616B">
        <w:rPr>
          <w:rFonts w:ascii="Times New Roman" w:hAnsi="Times New Roman"/>
          <w:bCs/>
          <w:sz w:val="24"/>
          <w:szCs w:val="24"/>
        </w:rPr>
        <w:t xml:space="preserve"> la ou les personnes touchées par la VBG ou la VCE. Les femmes, les hommes et les enfants peuvent être des survivants de la VBG ; les enfants peuvent être des survivants de la VCE.</w:t>
      </w:r>
    </w:p>
    <w:p w14:paraId="34412F36" w14:textId="77777777" w:rsidR="004F08B7" w:rsidRPr="00124BD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7F2438">
        <w:rPr>
          <w:rFonts w:ascii="Times New Roman" w:hAnsi="Times New Roman"/>
          <w:sz w:val="24"/>
          <w:szCs w:val="24"/>
        </w:rPr>
        <w:t>Site de travail :</w:t>
      </w:r>
      <w:r w:rsidRPr="0044616B">
        <w:rPr>
          <w:rFonts w:ascii="Times New Roman" w:hAnsi="Times New Roman"/>
          <w:bCs/>
          <w:sz w:val="24"/>
          <w:szCs w:val="24"/>
        </w:rPr>
        <w:t xml:space="preserve"> c'est le lieu où les travaux de développement d'infrastructure sont menés, dans le cadre du projet. Les missions de consultant sont considérées comme ayant les zones dans lesquelles elles sont actives en tant que sites de travail.</w:t>
      </w:r>
    </w:p>
    <w:p w14:paraId="43BCF685" w14:textId="5742B685" w:rsidR="004F08B7" w:rsidRPr="0044616B" w:rsidRDefault="004F08B7" w:rsidP="008C79F0">
      <w:pPr>
        <w:pStyle w:val="Paragraphedeliste"/>
        <w:numPr>
          <w:ilvl w:val="0"/>
          <w:numId w:val="233"/>
        </w:numPr>
        <w:suppressAutoHyphens/>
        <w:overflowPunct w:val="0"/>
        <w:autoSpaceDE w:val="0"/>
        <w:autoSpaceDN w:val="0"/>
        <w:adjustRightInd w:val="0"/>
        <w:spacing w:before="80" w:after="80" w:line="240" w:lineRule="auto"/>
        <w:ind w:left="425" w:hanging="357"/>
        <w:contextualSpacing w:val="0"/>
        <w:jc w:val="both"/>
        <w:textAlignment w:val="baseline"/>
        <w:rPr>
          <w:rFonts w:ascii="Times New Roman" w:hAnsi="Times New Roman"/>
          <w:bCs/>
          <w:sz w:val="24"/>
          <w:szCs w:val="24"/>
        </w:rPr>
      </w:pPr>
      <w:r w:rsidRPr="007F2438">
        <w:rPr>
          <w:rFonts w:ascii="Times New Roman" w:hAnsi="Times New Roman"/>
          <w:sz w:val="24"/>
          <w:szCs w:val="24"/>
        </w:rPr>
        <w:t>Alentours du site de travail :</w:t>
      </w:r>
      <w:r w:rsidRPr="0044616B">
        <w:rPr>
          <w:rFonts w:ascii="Times New Roman" w:hAnsi="Times New Roman"/>
          <w:bCs/>
          <w:sz w:val="24"/>
          <w:szCs w:val="24"/>
        </w:rPr>
        <w:t xml:space="preserve"> est la « zone d'influence du projet » qui est une zone, urbaine ou rurale, directement affectée par le projet, y compris toutes les implantations humaines qui s'y trouvent.</w:t>
      </w:r>
      <w:bookmarkEnd w:id="1070"/>
    </w:p>
    <w:p w14:paraId="434A263B" w14:textId="77777777" w:rsidR="004F08B7" w:rsidRPr="00AE31F1" w:rsidRDefault="004F08B7" w:rsidP="008C79F0">
      <w:pPr>
        <w:numPr>
          <w:ilvl w:val="0"/>
          <w:numId w:val="110"/>
        </w:numPr>
        <w:spacing w:before="120" w:after="120" w:line="240" w:lineRule="auto"/>
        <w:ind w:left="426" w:hanging="357"/>
        <w:jc w:val="both"/>
        <w:rPr>
          <w:rFonts w:ascii="Times New Roman" w:hAnsi="Times New Roman"/>
          <w:sz w:val="24"/>
          <w:szCs w:val="24"/>
        </w:rPr>
      </w:pPr>
      <w:bookmarkStart w:id="1071" w:name="_Toc498427560"/>
      <w:bookmarkStart w:id="1072" w:name="_Toc510532980"/>
      <w:r w:rsidRPr="00AE31F1">
        <w:rPr>
          <w:rFonts w:ascii="Times New Roman" w:hAnsi="Times New Roman"/>
          <w:sz w:val="24"/>
          <w:szCs w:val="24"/>
        </w:rPr>
        <w:t xml:space="preserve">Codes de </w:t>
      </w:r>
      <w:bookmarkEnd w:id="1071"/>
      <w:r w:rsidRPr="00AE31F1">
        <w:rPr>
          <w:rFonts w:ascii="Times New Roman" w:hAnsi="Times New Roman"/>
          <w:sz w:val="24"/>
          <w:szCs w:val="24"/>
        </w:rPr>
        <w:t>Conduit</w:t>
      </w:r>
      <w:bookmarkEnd w:id="1072"/>
      <w:r w:rsidRPr="00AE31F1">
        <w:rPr>
          <w:rFonts w:ascii="Times New Roman" w:hAnsi="Times New Roman"/>
          <w:sz w:val="24"/>
          <w:szCs w:val="24"/>
        </w:rPr>
        <w:t xml:space="preserve">e </w:t>
      </w:r>
    </w:p>
    <w:p w14:paraId="0EA97E14" w14:textId="77777777" w:rsidR="004F08B7" w:rsidRPr="00D75D2E" w:rsidRDefault="004F08B7" w:rsidP="00AE31F1">
      <w:pPr>
        <w:suppressAutoHyphens/>
        <w:overflowPunct w:val="0"/>
        <w:autoSpaceDE w:val="0"/>
        <w:autoSpaceDN w:val="0"/>
        <w:adjustRightInd w:val="0"/>
        <w:spacing w:before="120" w:after="120" w:line="240" w:lineRule="auto"/>
        <w:ind w:left="426"/>
        <w:jc w:val="both"/>
        <w:textAlignment w:val="baseline"/>
        <w:rPr>
          <w:rFonts w:ascii="Times New Roman" w:hAnsi="Times New Roman"/>
          <w:sz w:val="24"/>
          <w:szCs w:val="24"/>
        </w:rPr>
      </w:pPr>
      <w:r w:rsidRPr="00D75D2E">
        <w:rPr>
          <w:rFonts w:ascii="Times New Roman" w:hAnsi="Times New Roman"/>
          <w:sz w:val="24"/>
          <w:szCs w:val="24"/>
        </w:rPr>
        <w:t>Ce chapitre présent trois codes de conduite à utiliser :</w:t>
      </w:r>
    </w:p>
    <w:p w14:paraId="1756742C" w14:textId="575F3989" w:rsidR="004F08B7" w:rsidRPr="00D75D2E" w:rsidRDefault="004F08B7" w:rsidP="002F4BEA">
      <w:pPr>
        <w:numPr>
          <w:ilvl w:val="0"/>
          <w:numId w:val="113"/>
        </w:numPr>
        <w:suppressAutoHyphens/>
        <w:overflowPunct w:val="0"/>
        <w:autoSpaceDE w:val="0"/>
        <w:autoSpaceDN w:val="0"/>
        <w:adjustRightInd w:val="0"/>
        <w:spacing w:after="0" w:line="240" w:lineRule="auto"/>
        <w:ind w:left="851" w:hanging="425"/>
        <w:contextualSpacing/>
        <w:jc w:val="both"/>
        <w:textAlignment w:val="baseline"/>
        <w:rPr>
          <w:rFonts w:ascii="Times New Roman" w:hAnsi="Times New Roman"/>
          <w:sz w:val="24"/>
          <w:szCs w:val="24"/>
        </w:rPr>
      </w:pPr>
      <w:r w:rsidRPr="00D75D2E">
        <w:rPr>
          <w:rFonts w:ascii="Times New Roman" w:hAnsi="Times New Roman"/>
          <w:b/>
          <w:sz w:val="24"/>
          <w:szCs w:val="24"/>
        </w:rPr>
        <w:t>Code de conduite de l’entreprise</w:t>
      </w:r>
      <w:r w:rsidRPr="00D75D2E">
        <w:rPr>
          <w:rFonts w:ascii="Times New Roman" w:hAnsi="Times New Roman"/>
          <w:sz w:val="24"/>
          <w:szCs w:val="24"/>
        </w:rPr>
        <w:t xml:space="preserve"> : engage l'entreprise à traiter les questions </w:t>
      </w:r>
      <w:r w:rsidR="00935BA6">
        <w:rPr>
          <w:rFonts w:ascii="Times New Roman" w:hAnsi="Times New Roman"/>
          <w:sz w:val="24"/>
          <w:szCs w:val="24"/>
        </w:rPr>
        <w:t>d’EAS/HS</w:t>
      </w:r>
      <w:r w:rsidRPr="00D75D2E">
        <w:rPr>
          <w:rFonts w:ascii="Times New Roman" w:hAnsi="Times New Roman"/>
          <w:sz w:val="24"/>
          <w:szCs w:val="24"/>
        </w:rPr>
        <w:t>et VCE ;</w:t>
      </w:r>
    </w:p>
    <w:p w14:paraId="6AB38A95" w14:textId="77777777" w:rsidR="004F08B7" w:rsidRPr="00D75D2E" w:rsidRDefault="004F08B7" w:rsidP="002F4BEA">
      <w:pPr>
        <w:numPr>
          <w:ilvl w:val="0"/>
          <w:numId w:val="113"/>
        </w:numPr>
        <w:suppressAutoHyphens/>
        <w:overflowPunct w:val="0"/>
        <w:autoSpaceDE w:val="0"/>
        <w:autoSpaceDN w:val="0"/>
        <w:adjustRightInd w:val="0"/>
        <w:spacing w:after="0" w:line="240" w:lineRule="auto"/>
        <w:ind w:left="851" w:hanging="425"/>
        <w:contextualSpacing/>
        <w:jc w:val="both"/>
        <w:textAlignment w:val="baseline"/>
        <w:rPr>
          <w:rFonts w:ascii="Times New Roman" w:hAnsi="Times New Roman"/>
          <w:sz w:val="24"/>
          <w:szCs w:val="24"/>
        </w:rPr>
      </w:pPr>
      <w:r w:rsidRPr="00D75D2E">
        <w:rPr>
          <w:rFonts w:ascii="Times New Roman" w:hAnsi="Times New Roman"/>
          <w:b/>
          <w:sz w:val="24"/>
          <w:szCs w:val="24"/>
        </w:rPr>
        <w:t>Code de conduite du gestionnaire</w:t>
      </w:r>
      <w:r w:rsidRPr="00D75D2E">
        <w:rPr>
          <w:rFonts w:ascii="Times New Roman" w:hAnsi="Times New Roman"/>
          <w:sz w:val="24"/>
          <w:szCs w:val="24"/>
        </w:rPr>
        <w:t> : engage les gestionnaires à mettre en œuvre le code de conduite de l’entreprise, ainsi que ceux signés par des individus ; et,</w:t>
      </w:r>
    </w:p>
    <w:p w14:paraId="04D864BA" w14:textId="77777777" w:rsidR="004F08B7" w:rsidRDefault="004F08B7" w:rsidP="002F4BEA">
      <w:pPr>
        <w:numPr>
          <w:ilvl w:val="0"/>
          <w:numId w:val="113"/>
        </w:numPr>
        <w:suppressAutoHyphens/>
        <w:overflowPunct w:val="0"/>
        <w:autoSpaceDE w:val="0"/>
        <w:autoSpaceDN w:val="0"/>
        <w:adjustRightInd w:val="0"/>
        <w:spacing w:after="0" w:line="240" w:lineRule="auto"/>
        <w:ind w:left="851" w:hanging="425"/>
        <w:contextualSpacing/>
        <w:jc w:val="both"/>
        <w:textAlignment w:val="baseline"/>
        <w:rPr>
          <w:rFonts w:ascii="Times New Roman" w:hAnsi="Times New Roman"/>
          <w:sz w:val="24"/>
          <w:szCs w:val="24"/>
        </w:rPr>
      </w:pPr>
      <w:r w:rsidRPr="00D75D2E">
        <w:rPr>
          <w:rFonts w:ascii="Times New Roman" w:hAnsi="Times New Roman"/>
          <w:b/>
          <w:sz w:val="24"/>
          <w:szCs w:val="24"/>
        </w:rPr>
        <w:t>Code de conduite individuel</w:t>
      </w:r>
      <w:r w:rsidRPr="00D75D2E">
        <w:rPr>
          <w:rFonts w:ascii="Times New Roman" w:hAnsi="Times New Roman"/>
          <w:sz w:val="24"/>
          <w:szCs w:val="24"/>
        </w:rPr>
        <w:t> : Code de conduite pour toute personne travaillant sur le projet, y compris les gestionnaires.</w:t>
      </w:r>
    </w:p>
    <w:p w14:paraId="11A6448F" w14:textId="77777777" w:rsidR="007F2438" w:rsidRDefault="007F2438" w:rsidP="00AE31F1">
      <w:p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14:paraId="32A0CF22" w14:textId="77777777" w:rsidR="007F2438" w:rsidRDefault="007F2438" w:rsidP="00AE31F1">
      <w:p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14:paraId="5E371EA2" w14:textId="77777777" w:rsidR="007F2438" w:rsidRPr="00D75D2E" w:rsidRDefault="007F2438" w:rsidP="00AE31F1">
      <w:p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p>
    <w:p w14:paraId="7C9CEAF0" w14:textId="7C40CDC2" w:rsidR="004F08B7" w:rsidRPr="00D75D2E" w:rsidRDefault="004F08B7" w:rsidP="008C79F0">
      <w:pPr>
        <w:numPr>
          <w:ilvl w:val="1"/>
          <w:numId w:val="110"/>
        </w:numPr>
        <w:tabs>
          <w:tab w:val="left" w:pos="993"/>
        </w:tabs>
        <w:spacing w:before="120" w:after="120" w:line="240" w:lineRule="auto"/>
        <w:ind w:left="714" w:hanging="357"/>
        <w:jc w:val="both"/>
        <w:rPr>
          <w:rFonts w:ascii="Times New Roman" w:hAnsi="Times New Roman"/>
          <w:b/>
          <w:sz w:val="24"/>
          <w:szCs w:val="24"/>
        </w:rPr>
      </w:pPr>
      <w:bookmarkStart w:id="1073" w:name="_Toc510532981"/>
      <w:r w:rsidRPr="00D75D2E">
        <w:rPr>
          <w:rFonts w:ascii="Times New Roman" w:hAnsi="Times New Roman"/>
          <w:b/>
          <w:sz w:val="24"/>
          <w:szCs w:val="24"/>
        </w:rPr>
        <w:t>Code de conduite de l'entreprise</w:t>
      </w:r>
      <w:bookmarkEnd w:id="1073"/>
    </w:p>
    <w:p w14:paraId="2AEE024F" w14:textId="77777777" w:rsidR="004F08B7" w:rsidRPr="00D75D2E" w:rsidRDefault="004F08B7" w:rsidP="00AE31F1">
      <w:pPr>
        <w:suppressAutoHyphens/>
        <w:overflowPunct w:val="0"/>
        <w:autoSpaceDE w:val="0"/>
        <w:autoSpaceDN w:val="0"/>
        <w:adjustRightInd w:val="0"/>
        <w:spacing w:after="120" w:line="240" w:lineRule="auto"/>
        <w:textAlignment w:val="baseline"/>
        <w:rPr>
          <w:rFonts w:ascii="Times New Roman" w:hAnsi="Times New Roman"/>
          <w:b/>
          <w:sz w:val="24"/>
          <w:szCs w:val="24"/>
        </w:rPr>
      </w:pPr>
      <w:r w:rsidRPr="00D75D2E">
        <w:rPr>
          <w:rFonts w:ascii="Times New Roman" w:hAnsi="Times New Roman"/>
          <w:b/>
          <w:sz w:val="24"/>
          <w:szCs w:val="24"/>
        </w:rPr>
        <w:t>Mise en œuvre des normes ESHS et SST</w:t>
      </w:r>
    </w:p>
    <w:p w14:paraId="07DB53C4" w14:textId="1685BF34" w:rsidR="004F08B7" w:rsidRPr="00D75D2E" w:rsidRDefault="004F08B7" w:rsidP="004F08B7">
      <w:pPr>
        <w:suppressAutoHyphens/>
        <w:overflowPunct w:val="0"/>
        <w:autoSpaceDE w:val="0"/>
        <w:autoSpaceDN w:val="0"/>
        <w:adjustRightInd w:val="0"/>
        <w:spacing w:after="0" w:line="240" w:lineRule="auto"/>
        <w:textAlignment w:val="baseline"/>
        <w:rPr>
          <w:rFonts w:ascii="Times New Roman" w:hAnsi="Times New Roman"/>
          <w:b/>
          <w:sz w:val="24"/>
          <w:szCs w:val="24"/>
        </w:rPr>
      </w:pPr>
      <w:r w:rsidRPr="00D75D2E">
        <w:rPr>
          <w:rFonts w:ascii="Times New Roman" w:hAnsi="Times New Roman"/>
          <w:b/>
          <w:sz w:val="24"/>
          <w:szCs w:val="24"/>
        </w:rPr>
        <w:t xml:space="preserve">Prévenir </w:t>
      </w:r>
      <w:r w:rsidR="00935BA6">
        <w:rPr>
          <w:rFonts w:ascii="Times New Roman" w:hAnsi="Times New Roman"/>
          <w:b/>
          <w:sz w:val="24"/>
          <w:szCs w:val="24"/>
        </w:rPr>
        <w:t>l’EAS/HS</w:t>
      </w:r>
      <w:r w:rsidRPr="00D75D2E">
        <w:rPr>
          <w:rFonts w:ascii="Times New Roman" w:hAnsi="Times New Roman"/>
          <w:b/>
          <w:sz w:val="24"/>
          <w:szCs w:val="24"/>
        </w:rPr>
        <w:t xml:space="preserve"> et la violence contre les enfants</w:t>
      </w:r>
    </w:p>
    <w:p w14:paraId="04292920"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L'entreprise s'engage à veiller à ce que le projet soit mis en œuvre de manière à minimiser les impacts négatifs sur l'environnement local, les communautés et les travailleurs. Cela se fera en respectant les normes environnementales, sociales, d’hygiène et de sécurité (ESHS) et en veillant à ce que les normes appropriées en matière de santé et de sécurité au travail (SST) soient respectées. </w:t>
      </w:r>
    </w:p>
    <w:p w14:paraId="3A1B5677" w14:textId="6D20C3F8"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L'entreprise s'engage également à créer et maintenir un environnement dans lequel </w:t>
      </w:r>
      <w:r w:rsidR="00935BA6">
        <w:rPr>
          <w:rFonts w:ascii="Times New Roman" w:hAnsi="Times New Roman"/>
          <w:sz w:val="24"/>
          <w:szCs w:val="24"/>
        </w:rPr>
        <w:t xml:space="preserve">l’EAS/HS </w:t>
      </w:r>
      <w:r w:rsidRPr="00D75D2E">
        <w:rPr>
          <w:rFonts w:ascii="Times New Roman" w:hAnsi="Times New Roman"/>
          <w:sz w:val="24"/>
          <w:szCs w:val="24"/>
        </w:rPr>
        <w:t>et la violence contre les enfants (VCE) n'ont pas leur place et où elles ne seront tolérées par aucun employé, sous-traitant, fournisseur, associé ou représentant de l'entreprise.</w:t>
      </w:r>
    </w:p>
    <w:p w14:paraId="45D0E2A8"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Par conséquent, pour s'assurer que tous les participants au projet sont conscients de cet engagement, l'entreprise s'engage à respecter les principes fondamentaux et les normes de comportement suivants qui s'appliquent à tous les employés, associés et représentants de l'entreprise, y compris les sous-traitants et les fournisseurs, sans exception :</w:t>
      </w:r>
    </w:p>
    <w:p w14:paraId="79940F2F" w14:textId="77777777"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Général</w:t>
      </w:r>
    </w:p>
    <w:p w14:paraId="40177B34"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 et donc tous les employés, associés, représentants, sous-traitants et fournisseurs - s'engage à se conformer à toutes les lois, règles et réglementations nationales pertinentes.</w:t>
      </w:r>
    </w:p>
    <w:p w14:paraId="5FDE60EA"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s'engage à mettre en œuvre intégralement son « Plan de gestion environnementale et sociale des entrepreneurs » (PGES-E).</w:t>
      </w:r>
    </w:p>
    <w:p w14:paraId="7138E7D7" w14:textId="1D0AF5E9"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s'engage à traiter les femmes, les enfants (personnes de moins de 18 ans) et les hommes avec respect quelle que soit leur race, couleur, langue, religion, opinion politique ou autre, origine nationale, ethnique ou sociale, propriété, handicap, naissance ou un autre statut. Les actes d</w:t>
      </w:r>
      <w:r w:rsidR="00935BA6">
        <w:rPr>
          <w:rFonts w:ascii="Times New Roman" w:hAnsi="Times New Roman"/>
          <w:sz w:val="24"/>
          <w:szCs w:val="24"/>
        </w:rPr>
        <w:t>’EAS/HS</w:t>
      </w:r>
      <w:r w:rsidRPr="00D75D2E">
        <w:rPr>
          <w:rFonts w:ascii="Times New Roman" w:hAnsi="Times New Roman"/>
          <w:sz w:val="24"/>
          <w:szCs w:val="24"/>
        </w:rPr>
        <w:t xml:space="preserve"> et de VCE sont en violation de cet engagement.</w:t>
      </w:r>
    </w:p>
    <w:p w14:paraId="2F232675"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doit s'assurer que les interactions avec les membres de la communauté locale sont faites avec respect et sans discrimination.</w:t>
      </w:r>
    </w:p>
    <w:p w14:paraId="72871A03"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 langage et le comportement avilissants, menaçants, harcelants, abusifs, culturellement inappropriés ou sexuellement provocateurs sont interdits chez tous les employés, associés et représentants de l'entreprise, y compris les sous-traitants et les fournisseurs.</w:t>
      </w:r>
    </w:p>
    <w:p w14:paraId="43FDD82E"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L'entreprise suivra toutes les instructions de travail raisonnables (y compris en ce qui concerne les </w:t>
      </w:r>
      <w:r w:rsidR="003415F3" w:rsidRPr="00D75D2E">
        <w:rPr>
          <w:rFonts w:ascii="Times New Roman" w:hAnsi="Times New Roman"/>
          <w:sz w:val="24"/>
          <w:szCs w:val="24"/>
        </w:rPr>
        <w:t>Politiques opérationnelles de la Banque mondiale</w:t>
      </w:r>
      <w:r w:rsidRPr="00D75D2E">
        <w:rPr>
          <w:rFonts w:ascii="Times New Roman" w:hAnsi="Times New Roman"/>
          <w:sz w:val="24"/>
          <w:szCs w:val="24"/>
        </w:rPr>
        <w:t>).</w:t>
      </w:r>
    </w:p>
    <w:p w14:paraId="7C5B368C"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protégera et assurera l'utilisation appropriée des biens (par exemple, pour interdire le vol, la négligence ou le gaspillage).</w:t>
      </w:r>
    </w:p>
    <w:p w14:paraId="44EB7ABB" w14:textId="77777777"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Santé et sécurité</w:t>
      </w:r>
    </w:p>
    <w:p w14:paraId="18D03419"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veillera à ce que le plan de gestion de la santé et de la sécurité au travail (SST) du projet soit mis en œuvre efficacement par le personnel de l'entreprise, ainsi que par les sous-traitants et les fournisseurs.</w:t>
      </w:r>
    </w:p>
    <w:p w14:paraId="066B6699"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veillera à ce que toutes les personnes sur le site portent un équipement de protection individuelle (EPI) approprié et prescrit, empêchant les accidents évitables et les conditions ou pratiques de déclaration qui présentent un danger pour la sécurité ou qui menacent l'environnement.</w:t>
      </w:r>
    </w:p>
    <w:p w14:paraId="614BA1F2"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s’engage à :</w:t>
      </w:r>
    </w:p>
    <w:p w14:paraId="2D909AC1" w14:textId="77777777" w:rsidR="004F08B7" w:rsidRPr="00D75D2E" w:rsidRDefault="004F08B7" w:rsidP="007F2438">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interdire l'usage de l'alcool pendant les activités de travail.</w:t>
      </w:r>
    </w:p>
    <w:p w14:paraId="1F8DAFCA" w14:textId="77777777" w:rsidR="004F08B7" w:rsidRPr="00D75D2E" w:rsidRDefault="004F08B7" w:rsidP="007F2438">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interdire l'usage de stupéfiants ou d'autres substances qui peuvent altérer les facultés en tout temps.</w:t>
      </w:r>
    </w:p>
    <w:p w14:paraId="199D8B69"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L'entreprise veillera à ce que des installations d'assainissement adéquates soient disponibles sur le site et dans tous les logements des travailleurs fournis aux personnes travaillant sur le projet.</w:t>
      </w:r>
    </w:p>
    <w:p w14:paraId="4BFA095F" w14:textId="4888A603" w:rsidR="004F08B7" w:rsidRPr="00D75D2E" w:rsidRDefault="00935BA6" w:rsidP="00F933DF">
      <w:pPr>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Pr>
          <w:rFonts w:ascii="Times New Roman" w:hAnsi="Times New Roman"/>
          <w:b/>
          <w:sz w:val="24"/>
          <w:szCs w:val="24"/>
        </w:rPr>
        <w:t xml:space="preserve">EAS/HS </w:t>
      </w:r>
      <w:r w:rsidR="004F08B7" w:rsidRPr="00D75D2E">
        <w:rPr>
          <w:rFonts w:ascii="Times New Roman" w:hAnsi="Times New Roman"/>
          <w:b/>
          <w:sz w:val="24"/>
          <w:szCs w:val="24"/>
        </w:rPr>
        <w:t>et Violence Contre les Enfants</w:t>
      </w:r>
    </w:p>
    <w:p w14:paraId="52464D43" w14:textId="3D55AE09"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Les actes d</w:t>
      </w:r>
      <w:r w:rsidR="00935BA6">
        <w:rPr>
          <w:rFonts w:ascii="Times New Roman" w:hAnsi="Times New Roman"/>
          <w:sz w:val="24"/>
          <w:szCs w:val="24"/>
        </w:rPr>
        <w:t>’EAS/HS</w:t>
      </w:r>
      <w:r w:rsidRPr="00D75D2E">
        <w:rPr>
          <w:rFonts w:ascii="Times New Roman" w:hAnsi="Times New Roman"/>
          <w:sz w:val="24"/>
          <w:szCs w:val="24"/>
        </w:rPr>
        <w:t xml:space="preserve"> ou VCE constituent une faute grave et sont donc des motifs de sanctions, qui peuvent inclure des sanctions et/ou la cessation d'emploi, et si nécessaire le renvoi à la police pour d'autres mesures.</w:t>
      </w:r>
    </w:p>
    <w:p w14:paraId="6E0EF5AE" w14:textId="1B026D28" w:rsidR="004F08B7" w:rsidRPr="00D75D2E" w:rsidRDefault="004F08B7" w:rsidP="00AE31F1">
      <w:pPr>
        <w:numPr>
          <w:ilvl w:val="0"/>
          <w:numId w:val="100"/>
        </w:numPr>
        <w:suppressAutoHyphens/>
        <w:overflowPunct w:val="0"/>
        <w:autoSpaceDE w:val="0"/>
        <w:autoSpaceDN w:val="0"/>
        <w:adjustRightInd w:val="0"/>
        <w:spacing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Toutes les formes d</w:t>
      </w:r>
      <w:r w:rsidR="00935BA6">
        <w:rPr>
          <w:rFonts w:ascii="Times New Roman" w:hAnsi="Times New Roman"/>
          <w:sz w:val="24"/>
          <w:szCs w:val="24"/>
        </w:rPr>
        <w:t>’EAS/HS</w:t>
      </w:r>
      <w:r w:rsidRPr="00D75D2E">
        <w:rPr>
          <w:rFonts w:ascii="Times New Roman" w:hAnsi="Times New Roman"/>
          <w:sz w:val="24"/>
          <w:szCs w:val="24"/>
        </w:rPr>
        <w:t xml:space="preserve"> et VCE, y compris le toilettage, sont inacceptables, qu'elles aient lieu sur le site de travail, aux alentours du site de travail, dans les camps de travailleurs ou dans la communauté locale.</w:t>
      </w:r>
    </w:p>
    <w:p w14:paraId="4EF3F518"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Le harcèlement sexuel - par exemple, faire des avances sexuelles inopportunes, des demandes de faveurs sexuelles et d'autres comportements verbaux ou physiques, de nature sexuelle, y compris des actes subtils d'un tel comportement, est interdit.</w:t>
      </w:r>
    </w:p>
    <w:p w14:paraId="000E6E51"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Les faveurs sexuelles - par exemple, faire des promesses ou un traitement favorable dépendant d'actes sexuels - ou d'autres formes de comportement humiliant, dégradant ou d'exploitation sont interdites.</w:t>
      </w:r>
    </w:p>
    <w:p w14:paraId="44AACFAD" w14:textId="77777777" w:rsidR="004F08B7" w:rsidRPr="00D75D2E" w:rsidRDefault="004F08B7" w:rsidP="00AE31F1">
      <w:pPr>
        <w:numPr>
          <w:ilvl w:val="0"/>
          <w:numId w:val="100"/>
        </w:numPr>
        <w:suppressAutoHyphens/>
        <w:overflowPunct w:val="0"/>
        <w:autoSpaceDE w:val="0"/>
        <w:autoSpaceDN w:val="0"/>
        <w:adjustRightInd w:val="0"/>
        <w:spacing w:before="120" w:after="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Le contact ou l'activité sexuelle avec des enfants de moins de 18 ans, y compris par le biais des médias numériques, est interdit. Une croyance erronée concernant l'âge d'un enfant n'est pas une défense. Le consentement de l'enfant n'est pas non plus une défense ou une excuse.</w:t>
      </w:r>
    </w:p>
    <w:p w14:paraId="67EDE6CE"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À moins d'un consentement total de toutes les parties impliquées dans l'acte sexuel, les interactions sexuelles entre les employés de l'entreprise (à tous les niveaux) et les membres des communautés entourant le lieu de travail sont interdites. Cela inclut les relations impliquant la retenue / la promesse d'une prestation réelle (monétaire ou non monétaire) aux membres de la communauté en échange de rapports sexuels - une telle activité sexuelle est considérée comme « non consensuelle » dans le champ d'application de ce Code.</w:t>
      </w:r>
    </w:p>
    <w:p w14:paraId="2CBC54D7" w14:textId="472261DC"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En plus des sanctions imposées aux entreprises, des poursuites judiciaires seront engagées contre ceux qui commettent des actes d</w:t>
      </w:r>
      <w:r w:rsidR="00935BA6">
        <w:rPr>
          <w:rFonts w:ascii="Times New Roman" w:hAnsi="Times New Roman"/>
          <w:sz w:val="24"/>
          <w:szCs w:val="24"/>
        </w:rPr>
        <w:t>’EAS/HS</w:t>
      </w:r>
      <w:r w:rsidRPr="00D75D2E">
        <w:rPr>
          <w:rFonts w:ascii="Times New Roman" w:hAnsi="Times New Roman"/>
          <w:sz w:val="24"/>
          <w:szCs w:val="24"/>
        </w:rPr>
        <w:t xml:space="preserve"> ou de VCE, le cas échéant.</w:t>
      </w:r>
    </w:p>
    <w:p w14:paraId="500F7414" w14:textId="63841418"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Tous les employés, y compris les bénévoles et les sous-traitants, sont fortement encouragés à signaler les actes présumés ou réels d</w:t>
      </w:r>
      <w:r w:rsidR="00935BA6">
        <w:rPr>
          <w:rFonts w:ascii="Times New Roman" w:hAnsi="Times New Roman"/>
          <w:sz w:val="24"/>
          <w:szCs w:val="24"/>
        </w:rPr>
        <w:t>’EAS/HS</w:t>
      </w:r>
      <w:r w:rsidRPr="00D75D2E">
        <w:rPr>
          <w:rFonts w:ascii="Times New Roman" w:hAnsi="Times New Roman"/>
          <w:sz w:val="24"/>
          <w:szCs w:val="24"/>
        </w:rPr>
        <w:t xml:space="preserve"> et /ou VCE par un collègue, que ce soit dans la même entreprise ou non. Les rapports doivent être faits conformément aux procédures d'allégation</w:t>
      </w:r>
      <w:r w:rsidR="00935BA6">
        <w:rPr>
          <w:rFonts w:ascii="Times New Roman" w:hAnsi="Times New Roman"/>
          <w:sz w:val="24"/>
          <w:szCs w:val="24"/>
        </w:rPr>
        <w:t xml:space="preserve"> EAS/HS</w:t>
      </w:r>
      <w:r w:rsidRPr="00D75D2E">
        <w:rPr>
          <w:rFonts w:ascii="Times New Roman" w:hAnsi="Times New Roman"/>
          <w:sz w:val="24"/>
          <w:szCs w:val="24"/>
        </w:rPr>
        <w:t xml:space="preserve"> et VCE du projet.</w:t>
      </w:r>
    </w:p>
    <w:p w14:paraId="7BE4F10A" w14:textId="0BB1A136"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Les gestionnaires sont tenus de signaler et de prendre des mesures pour contrer les actes présumés ou réels d</w:t>
      </w:r>
      <w:r w:rsidR="00935BA6">
        <w:rPr>
          <w:rFonts w:ascii="Times New Roman" w:hAnsi="Times New Roman"/>
          <w:sz w:val="24"/>
          <w:szCs w:val="24"/>
        </w:rPr>
        <w:t>’EAS/HS</w:t>
      </w:r>
      <w:r w:rsidR="00935BA6" w:rsidRPr="00D75D2E">
        <w:rPr>
          <w:rFonts w:ascii="Times New Roman" w:hAnsi="Times New Roman"/>
          <w:sz w:val="24"/>
          <w:szCs w:val="24"/>
        </w:rPr>
        <w:t xml:space="preserve"> </w:t>
      </w:r>
      <w:r w:rsidR="00935BA6">
        <w:rPr>
          <w:rFonts w:ascii="Times New Roman" w:hAnsi="Times New Roman"/>
          <w:sz w:val="24"/>
          <w:szCs w:val="24"/>
        </w:rPr>
        <w:t xml:space="preserve"> </w:t>
      </w:r>
      <w:r w:rsidRPr="00D75D2E">
        <w:rPr>
          <w:rFonts w:ascii="Times New Roman" w:hAnsi="Times New Roman"/>
          <w:sz w:val="24"/>
          <w:szCs w:val="24"/>
        </w:rPr>
        <w:t>et /ou VCE, car ils ont la responsabilité de respecter les engagements de l'entreprise et de tenir leurs subordonnés directs responsables.</w:t>
      </w:r>
    </w:p>
    <w:p w14:paraId="2F589DC1" w14:textId="77777777" w:rsidR="004F08B7" w:rsidRPr="00D75D2E" w:rsidRDefault="004F08B7" w:rsidP="00215867">
      <w:pPr>
        <w:spacing w:before="120" w:after="120" w:line="240" w:lineRule="auto"/>
        <w:jc w:val="both"/>
        <w:rPr>
          <w:rFonts w:ascii="Times New Roman" w:hAnsi="Times New Roman"/>
          <w:b/>
          <w:sz w:val="24"/>
          <w:szCs w:val="24"/>
        </w:rPr>
      </w:pPr>
      <w:r w:rsidRPr="00D75D2E">
        <w:rPr>
          <w:rFonts w:ascii="Times New Roman" w:hAnsi="Times New Roman"/>
          <w:b/>
          <w:sz w:val="24"/>
          <w:szCs w:val="24"/>
        </w:rPr>
        <w:t>La mise en œuvre</w:t>
      </w:r>
    </w:p>
    <w:p w14:paraId="75A8B45A"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Pour s'assurer que les principes ci-dessus sont mis en œuvre efficacement, l'entreprise s'engage à assurer que :</w:t>
      </w:r>
    </w:p>
    <w:p w14:paraId="641BC639"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Tous les gestionnaires signent le « code de conduite du gestionnaire » du projet, détaillant leurs responsabilités pour la mise en œuvre des engagements de l'entreprise et l'application des responsabilités dans le « code de conduite individuel ».</w:t>
      </w:r>
    </w:p>
    <w:p w14:paraId="18905758" w14:textId="26629453"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Tous les employés signent le « Code de conduite individuel » du projet, confirmant qu'ils acceptent de se conformer aux normes ESHS et SST, et de ne pas s'engager dans des activités aboutissant à l</w:t>
      </w:r>
      <w:r w:rsidR="00935BA6">
        <w:rPr>
          <w:rFonts w:ascii="Times New Roman" w:hAnsi="Times New Roman"/>
          <w:sz w:val="24"/>
          <w:szCs w:val="24"/>
        </w:rPr>
        <w:t>’EAS/HS</w:t>
      </w:r>
      <w:r w:rsidRPr="00D75D2E">
        <w:rPr>
          <w:rFonts w:ascii="Times New Roman" w:hAnsi="Times New Roman"/>
          <w:sz w:val="24"/>
          <w:szCs w:val="24"/>
        </w:rPr>
        <w:t xml:space="preserve"> ou au VCE.</w:t>
      </w:r>
    </w:p>
    <w:p w14:paraId="74738E40"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Afficher le code de conduite de l'entreprise et le code de conduite individuel dans les camps de travailleurs, les bureaux et dans les zones publiques de l'espace de travail. Des exemples de zones comprennent les zones d'attente, de repos et d'accueil des sites, des zones de cantine et des centres de santé.</w:t>
      </w:r>
    </w:p>
    <w:p w14:paraId="102531CD"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S'assurer que les copies postées et distribuées du code de conduite de l’entreprise et du code de conduite individuel sont traduites dans la langue utilisée dans les zones de travail ainsi que pour tout le personnel international dans leur langue maternelle.</w:t>
      </w:r>
    </w:p>
    <w:p w14:paraId="7DF44562" w14:textId="3882416D"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Une personne appropriée est désignée comme « point focal » de l'entreprise pour traiter les questions d</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sz w:val="24"/>
          <w:szCs w:val="24"/>
        </w:rPr>
        <w:t xml:space="preserve">et de VCE, y compris pour représenter l'entreprise au sein de l'équipe de conformité </w:t>
      </w:r>
      <w:r w:rsidR="00935BA6">
        <w:rPr>
          <w:rFonts w:ascii="Times New Roman" w:hAnsi="Times New Roman"/>
          <w:sz w:val="24"/>
          <w:szCs w:val="24"/>
        </w:rPr>
        <w:t>EAS/HS</w:t>
      </w:r>
      <w:r w:rsidRPr="00D75D2E">
        <w:rPr>
          <w:rFonts w:ascii="Times New Roman" w:hAnsi="Times New Roman"/>
          <w:sz w:val="24"/>
          <w:szCs w:val="24"/>
        </w:rPr>
        <w:t xml:space="preserve"> et VCE (ECVV) composée de représentants du client, de l'entrepreneur, de la mission de contrôle et des fournisseur (s) de services locaux.</w:t>
      </w:r>
    </w:p>
    <w:p w14:paraId="1F16BE7C" w14:textId="7814C966" w:rsidR="004F08B7" w:rsidRPr="00D75D2E" w:rsidRDefault="004F08B7" w:rsidP="00F933DF">
      <w:pPr>
        <w:numPr>
          <w:ilvl w:val="0"/>
          <w:numId w:val="100"/>
        </w:numPr>
        <w:suppressAutoHyphens/>
        <w:overflowPunct w:val="0"/>
        <w:autoSpaceDE w:val="0"/>
        <w:autoSpaceDN w:val="0"/>
        <w:adjustRightInd w:val="0"/>
        <w:spacing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S'assurer qu'un plan d'action efficace en matière d</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sz w:val="24"/>
          <w:szCs w:val="24"/>
        </w:rPr>
        <w:t>et de VCE est élaboré en consultation avec la ECVV, ce qui comprend au minimum :</w:t>
      </w:r>
    </w:p>
    <w:p w14:paraId="46965484" w14:textId="507F4BA2" w:rsidR="004F08B7" w:rsidRPr="00D75D2E" w:rsidRDefault="004F08B7" w:rsidP="00F933DF">
      <w:pPr>
        <w:numPr>
          <w:ilvl w:val="0"/>
          <w:numId w:val="114"/>
        </w:numPr>
        <w:suppressAutoHyphens/>
        <w:overflowPunct w:val="0"/>
        <w:autoSpaceDE w:val="0"/>
        <w:autoSpaceDN w:val="0"/>
        <w:adjustRightInd w:val="0"/>
        <w:spacing w:after="0" w:line="240" w:lineRule="auto"/>
        <w:ind w:left="993" w:hanging="426"/>
        <w:jc w:val="both"/>
        <w:textAlignment w:val="baseline"/>
        <w:rPr>
          <w:rFonts w:ascii="Times New Roman" w:hAnsi="Times New Roman"/>
          <w:sz w:val="24"/>
          <w:szCs w:val="24"/>
        </w:rPr>
      </w:pPr>
      <w:r w:rsidRPr="00D75D2E">
        <w:rPr>
          <w:rFonts w:ascii="Times New Roman" w:hAnsi="Times New Roman"/>
          <w:b/>
          <w:sz w:val="24"/>
          <w:szCs w:val="24"/>
        </w:rPr>
        <w:t>Procédure d'allégation d</w:t>
      </w:r>
      <w:r w:rsidR="00935BA6">
        <w:rPr>
          <w:rFonts w:ascii="Times New Roman" w:hAnsi="Times New Roman"/>
          <w:b/>
          <w:sz w:val="24"/>
          <w:szCs w:val="24"/>
        </w:rPr>
        <w:t>’</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b/>
          <w:sz w:val="24"/>
          <w:szCs w:val="24"/>
        </w:rPr>
        <w:t>et de VCE</w:t>
      </w:r>
      <w:r w:rsidRPr="00D75D2E">
        <w:rPr>
          <w:rFonts w:ascii="Times New Roman" w:hAnsi="Times New Roman"/>
          <w:sz w:val="24"/>
          <w:szCs w:val="24"/>
        </w:rPr>
        <w:t xml:space="preserve"> pour signaler les problèmes d</w:t>
      </w:r>
      <w:r w:rsidR="00935BA6">
        <w:rPr>
          <w:rFonts w:ascii="Times New Roman" w:hAnsi="Times New Roman"/>
          <w:sz w:val="24"/>
          <w:szCs w:val="24"/>
        </w:rPr>
        <w:t>’EAS/HS</w:t>
      </w:r>
      <w:r w:rsidRPr="00D75D2E">
        <w:rPr>
          <w:rFonts w:ascii="Times New Roman" w:hAnsi="Times New Roman"/>
          <w:sz w:val="24"/>
          <w:szCs w:val="24"/>
        </w:rPr>
        <w:t xml:space="preserve"> et de VCE par le biais du mécanisme de règlement des griefs du projet (section 4.3 Plan d'action) ;</w:t>
      </w:r>
    </w:p>
    <w:p w14:paraId="10353202" w14:textId="77777777" w:rsidR="004F08B7" w:rsidRPr="00D75D2E" w:rsidRDefault="004F08B7" w:rsidP="00F933DF">
      <w:pPr>
        <w:numPr>
          <w:ilvl w:val="0"/>
          <w:numId w:val="114"/>
        </w:numPr>
        <w:suppressAutoHyphens/>
        <w:overflowPunct w:val="0"/>
        <w:autoSpaceDE w:val="0"/>
        <w:autoSpaceDN w:val="0"/>
        <w:adjustRightInd w:val="0"/>
        <w:spacing w:after="0" w:line="240" w:lineRule="auto"/>
        <w:ind w:left="993" w:hanging="426"/>
        <w:jc w:val="both"/>
        <w:textAlignment w:val="baseline"/>
        <w:rPr>
          <w:rFonts w:ascii="Times New Roman" w:hAnsi="Times New Roman"/>
          <w:sz w:val="24"/>
          <w:szCs w:val="24"/>
        </w:rPr>
      </w:pPr>
      <w:r w:rsidRPr="00D75D2E">
        <w:rPr>
          <w:rFonts w:ascii="Times New Roman" w:hAnsi="Times New Roman"/>
          <w:b/>
          <w:sz w:val="24"/>
          <w:szCs w:val="24"/>
        </w:rPr>
        <w:t>Mesures de responsabilisation pour protéger la confidentialité</w:t>
      </w:r>
      <w:r w:rsidRPr="00D75D2E">
        <w:rPr>
          <w:rFonts w:ascii="Times New Roman" w:hAnsi="Times New Roman"/>
          <w:sz w:val="24"/>
          <w:szCs w:val="24"/>
        </w:rPr>
        <w:t xml:space="preserve"> de toutes les parties concernées (section 4.4 Plan d'action) ; et,</w:t>
      </w:r>
    </w:p>
    <w:p w14:paraId="63CC3956" w14:textId="59E25D04" w:rsidR="004F08B7" w:rsidRPr="00D75D2E" w:rsidRDefault="004F08B7" w:rsidP="00F933DF">
      <w:pPr>
        <w:numPr>
          <w:ilvl w:val="0"/>
          <w:numId w:val="114"/>
        </w:numPr>
        <w:suppressAutoHyphens/>
        <w:overflowPunct w:val="0"/>
        <w:autoSpaceDE w:val="0"/>
        <w:autoSpaceDN w:val="0"/>
        <w:adjustRightInd w:val="0"/>
        <w:spacing w:after="0" w:line="240" w:lineRule="auto"/>
        <w:ind w:left="993" w:hanging="426"/>
        <w:jc w:val="both"/>
        <w:textAlignment w:val="baseline"/>
        <w:rPr>
          <w:rFonts w:ascii="Times New Roman" w:hAnsi="Times New Roman"/>
          <w:sz w:val="24"/>
          <w:szCs w:val="24"/>
        </w:rPr>
      </w:pPr>
      <w:r w:rsidRPr="00D75D2E">
        <w:rPr>
          <w:rFonts w:ascii="Times New Roman" w:hAnsi="Times New Roman"/>
          <w:b/>
          <w:sz w:val="24"/>
          <w:szCs w:val="24"/>
        </w:rPr>
        <w:t>Protocole de réponse applicable aux survivants et auteurs de</w:t>
      </w:r>
      <w:r w:rsidR="00935BA6">
        <w:rPr>
          <w:rFonts w:ascii="Times New Roman" w:hAnsi="Times New Roman"/>
          <w:b/>
          <w:sz w:val="24"/>
          <w:szCs w:val="24"/>
        </w:rPr>
        <w:t>’</w:t>
      </w:r>
      <w:r w:rsidR="00935BA6" w:rsidRPr="00935BA6">
        <w:rPr>
          <w:rFonts w:ascii="Times New Roman" w:hAnsi="Times New Roman"/>
          <w:sz w:val="24"/>
          <w:szCs w:val="24"/>
        </w:rPr>
        <w:t xml:space="preserve"> </w:t>
      </w:r>
      <w:r w:rsidR="00935BA6">
        <w:rPr>
          <w:rFonts w:ascii="Times New Roman" w:hAnsi="Times New Roman"/>
          <w:sz w:val="24"/>
          <w:szCs w:val="24"/>
        </w:rPr>
        <w:t xml:space="preserve">EAS/HS </w:t>
      </w:r>
      <w:r w:rsidRPr="00D75D2E">
        <w:rPr>
          <w:rFonts w:ascii="Times New Roman" w:hAnsi="Times New Roman"/>
          <w:b/>
          <w:sz w:val="24"/>
          <w:szCs w:val="24"/>
        </w:rPr>
        <w:t>et de VCE</w:t>
      </w:r>
      <w:r w:rsidRPr="00D75D2E">
        <w:rPr>
          <w:rFonts w:ascii="Times New Roman" w:hAnsi="Times New Roman"/>
          <w:sz w:val="24"/>
          <w:szCs w:val="24"/>
        </w:rPr>
        <w:t xml:space="preserve"> (section 4.7 Plan d'action).</w:t>
      </w:r>
    </w:p>
    <w:p w14:paraId="2CC08471" w14:textId="3E85702D" w:rsidR="004F08B7" w:rsidRPr="00D75D2E" w:rsidRDefault="004F08B7" w:rsidP="00F933DF">
      <w:pPr>
        <w:numPr>
          <w:ilvl w:val="0"/>
          <w:numId w:val="100"/>
        </w:numPr>
        <w:suppressAutoHyphens/>
        <w:overflowPunct w:val="0"/>
        <w:autoSpaceDE w:val="0"/>
        <w:autoSpaceDN w:val="0"/>
        <w:adjustRightInd w:val="0"/>
        <w:spacing w:before="120" w:after="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Que l'entreprise mette en œuvre efficacement le plan d'action final sur l</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sz w:val="24"/>
          <w:szCs w:val="24"/>
        </w:rPr>
        <w:t>et la VCE convenu, en fournissant des commentaires à la ECVV pour des améliorations et des mises à jour, le cas échéant.</w:t>
      </w:r>
    </w:p>
    <w:p w14:paraId="70A5A19D" w14:textId="04B580CC"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Tous les employés suivent un cours de formation initiale avant de commencer à travailler sur le site afin de s'assurer qu'ils connaissent les engagements de l'entreprise envers les normes ESHS et SST et les codes de conduite </w:t>
      </w:r>
      <w:r w:rsidR="00935BA6">
        <w:rPr>
          <w:rFonts w:ascii="Times New Roman" w:hAnsi="Times New Roman"/>
          <w:sz w:val="24"/>
          <w:szCs w:val="24"/>
        </w:rPr>
        <w:t>EAS/HS</w:t>
      </w:r>
      <w:r w:rsidRPr="00D75D2E">
        <w:rPr>
          <w:rFonts w:ascii="Times New Roman" w:hAnsi="Times New Roman"/>
          <w:sz w:val="24"/>
          <w:szCs w:val="24"/>
        </w:rPr>
        <w:t xml:space="preserve"> et VCE du projet.</w:t>
      </w:r>
    </w:p>
    <w:p w14:paraId="1D35F794" w14:textId="77777777" w:rsidR="004F08B7" w:rsidRPr="00D75D2E" w:rsidRDefault="004F08B7" w:rsidP="008C79F0">
      <w:pPr>
        <w:numPr>
          <w:ilvl w:val="0"/>
          <w:numId w:val="100"/>
        </w:num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Tous les employés suivent un cours de formation obligatoire une fois par mois pour la durée du contrat à compter de la première formation initiale avant le début des travaux pour renforcer la compréhension des normes ESHS et SST du projet et du code de conduite VBG et VCE.</w:t>
      </w:r>
    </w:p>
    <w:p w14:paraId="3A679FD7" w14:textId="202D3E86" w:rsidR="004F08B7" w:rsidRPr="00D75D2E" w:rsidRDefault="004F08B7" w:rsidP="004F08B7">
      <w:pPr>
        <w:spacing w:after="0" w:line="240" w:lineRule="auto"/>
        <w:jc w:val="both"/>
        <w:rPr>
          <w:rFonts w:ascii="Times New Roman" w:hAnsi="Times New Roman"/>
          <w:i/>
          <w:sz w:val="24"/>
          <w:szCs w:val="24"/>
        </w:rPr>
      </w:pPr>
      <w:r w:rsidRPr="00D75D2E">
        <w:rPr>
          <w:rFonts w:ascii="Times New Roman" w:hAnsi="Times New Roman"/>
          <w:i/>
          <w:sz w:val="24"/>
          <w:szCs w:val="24"/>
        </w:rPr>
        <w:t>Je reconnais par la présente avoir lu le Code de Conduite de l’Entreprise et, au nom de l’entreprise, j'accepte de me conformer aux normes qui y sont contenues. Je comprends mon rôle et mes responsabilités pour soutenir les normes SST et ESHS du projet, et prévenir et répondre à l</w:t>
      </w:r>
      <w:r w:rsidR="00935BA6">
        <w:rPr>
          <w:rFonts w:ascii="Times New Roman" w:hAnsi="Times New Roman"/>
          <w:i/>
          <w:sz w:val="24"/>
          <w:szCs w:val="24"/>
        </w:rPr>
        <w:t>’</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i/>
          <w:sz w:val="24"/>
          <w:szCs w:val="24"/>
        </w:rPr>
        <w:t>et à la VCE. Je comprends que toute action incompatible avec le présent Code de conduite de l’Entreprise ou l'omission d'agir conformément au présent Code de conduite de l’Entreprise peut entraîner des mesures disciplinaires.</w:t>
      </w:r>
    </w:p>
    <w:p w14:paraId="346BC1FD"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Nom de l’entreprise : _________________________</w:t>
      </w:r>
    </w:p>
    <w:p w14:paraId="24FDDA4F"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39ACC28B"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Signature :</w:t>
      </w:r>
      <w:r w:rsidRPr="00D75D2E">
        <w:rPr>
          <w:rFonts w:ascii="Times New Roman" w:hAnsi="Times New Roman"/>
          <w:sz w:val="24"/>
          <w:szCs w:val="24"/>
        </w:rPr>
        <w:tab/>
        <w:t>_________________________</w:t>
      </w:r>
    </w:p>
    <w:p w14:paraId="33B03107"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0955ADEA"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Nom en caractères d’imprimerie :      _________________________</w:t>
      </w:r>
    </w:p>
    <w:p w14:paraId="36FDB1B7"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3D978CCD"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Titre : </w:t>
      </w:r>
      <w:r w:rsidRPr="00D75D2E">
        <w:rPr>
          <w:rFonts w:ascii="Times New Roman" w:hAnsi="Times New Roman"/>
          <w:sz w:val="24"/>
          <w:szCs w:val="24"/>
        </w:rPr>
        <w:tab/>
      </w:r>
      <w:r w:rsidRPr="00D75D2E">
        <w:rPr>
          <w:rFonts w:ascii="Times New Roman" w:hAnsi="Times New Roman"/>
          <w:sz w:val="24"/>
          <w:szCs w:val="24"/>
        </w:rPr>
        <w:tab/>
        <w:t>_________________________</w:t>
      </w:r>
    </w:p>
    <w:p w14:paraId="7A016DB6"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23DAC5C5"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Date : </w:t>
      </w:r>
      <w:r w:rsidRPr="00D75D2E">
        <w:rPr>
          <w:rFonts w:ascii="Times New Roman" w:hAnsi="Times New Roman"/>
          <w:sz w:val="24"/>
          <w:szCs w:val="24"/>
        </w:rPr>
        <w:tab/>
      </w:r>
      <w:r w:rsidRPr="00D75D2E">
        <w:rPr>
          <w:rFonts w:ascii="Times New Roman" w:hAnsi="Times New Roman"/>
          <w:sz w:val="24"/>
          <w:szCs w:val="24"/>
        </w:rPr>
        <w:tab/>
        <w:t>_________________________</w:t>
      </w:r>
    </w:p>
    <w:p w14:paraId="1AE1EAB7"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67F62148"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6B785E38" w14:textId="3153C4A2" w:rsidR="004F08B7" w:rsidRPr="00D75D2E" w:rsidRDefault="004F08B7" w:rsidP="00AE31F1">
      <w:pPr>
        <w:numPr>
          <w:ilvl w:val="1"/>
          <w:numId w:val="110"/>
        </w:numPr>
        <w:spacing w:after="120" w:line="240" w:lineRule="auto"/>
        <w:ind w:left="426" w:hanging="425"/>
        <w:jc w:val="both"/>
        <w:rPr>
          <w:rFonts w:ascii="Times New Roman" w:hAnsi="Times New Roman"/>
          <w:b/>
          <w:sz w:val="24"/>
          <w:szCs w:val="24"/>
        </w:rPr>
      </w:pPr>
      <w:r w:rsidRPr="00D75D2E">
        <w:rPr>
          <w:rFonts w:ascii="Times New Roman" w:hAnsi="Times New Roman"/>
          <w:b/>
          <w:sz w:val="24"/>
          <w:szCs w:val="24"/>
        </w:rPr>
        <w:t>Code de conduite du gestionnaire</w:t>
      </w:r>
    </w:p>
    <w:p w14:paraId="03C37B90" w14:textId="77777777" w:rsidR="004F08B7" w:rsidRPr="00D75D2E" w:rsidRDefault="004F08B7" w:rsidP="00AE31F1">
      <w:pPr>
        <w:suppressAutoHyphens/>
        <w:overflowPunct w:val="0"/>
        <w:autoSpaceDE w:val="0"/>
        <w:autoSpaceDN w:val="0"/>
        <w:adjustRightInd w:val="0"/>
        <w:spacing w:after="0" w:line="240" w:lineRule="auto"/>
        <w:textAlignment w:val="baseline"/>
        <w:rPr>
          <w:rFonts w:ascii="Times New Roman" w:hAnsi="Times New Roman"/>
          <w:b/>
          <w:sz w:val="24"/>
          <w:szCs w:val="24"/>
        </w:rPr>
      </w:pPr>
      <w:r w:rsidRPr="00D75D2E">
        <w:rPr>
          <w:rFonts w:ascii="Times New Roman" w:hAnsi="Times New Roman"/>
          <w:b/>
          <w:sz w:val="24"/>
          <w:szCs w:val="24"/>
        </w:rPr>
        <w:t>Mise en œuvre des normes ESHS et SST</w:t>
      </w:r>
    </w:p>
    <w:p w14:paraId="7D680878" w14:textId="19C44A07" w:rsidR="004F08B7" w:rsidRPr="00D75D2E" w:rsidRDefault="004F08B7" w:rsidP="00AE31F1">
      <w:pPr>
        <w:suppressAutoHyphens/>
        <w:overflowPunct w:val="0"/>
        <w:autoSpaceDE w:val="0"/>
        <w:autoSpaceDN w:val="0"/>
        <w:adjustRightInd w:val="0"/>
        <w:spacing w:before="120" w:after="120" w:line="240" w:lineRule="auto"/>
        <w:textAlignment w:val="baseline"/>
        <w:rPr>
          <w:rFonts w:ascii="Times New Roman" w:hAnsi="Times New Roman"/>
          <w:b/>
          <w:sz w:val="24"/>
          <w:szCs w:val="24"/>
        </w:rPr>
      </w:pPr>
      <w:r w:rsidRPr="00D75D2E">
        <w:rPr>
          <w:rFonts w:ascii="Times New Roman" w:hAnsi="Times New Roman"/>
          <w:b/>
          <w:sz w:val="24"/>
          <w:szCs w:val="24"/>
        </w:rPr>
        <w:t xml:space="preserve">Prévenir </w:t>
      </w:r>
      <w:r w:rsidR="00935BA6" w:rsidRPr="00AE31F1">
        <w:rPr>
          <w:rFonts w:ascii="Times New Roman" w:hAnsi="Times New Roman"/>
          <w:b/>
          <w:sz w:val="24"/>
          <w:szCs w:val="24"/>
        </w:rPr>
        <w:t>EAS/HS</w:t>
      </w:r>
      <w:r w:rsidR="00935BA6" w:rsidRPr="00D75D2E">
        <w:rPr>
          <w:rFonts w:ascii="Times New Roman" w:hAnsi="Times New Roman"/>
          <w:sz w:val="24"/>
          <w:szCs w:val="24"/>
        </w:rPr>
        <w:t xml:space="preserve"> </w:t>
      </w:r>
      <w:r w:rsidRPr="00D75D2E">
        <w:rPr>
          <w:rFonts w:ascii="Times New Roman" w:hAnsi="Times New Roman"/>
          <w:b/>
          <w:sz w:val="24"/>
          <w:szCs w:val="24"/>
        </w:rPr>
        <w:t>et la violence contre les enfants</w:t>
      </w:r>
    </w:p>
    <w:p w14:paraId="1B19D689" w14:textId="6D90BA61"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Les gestionnaires de tous les niveaux ont la responsabilité de respecter l'engagement de l'entreprise à mettre en œuvre les normes ESHS et SST, et de prévenir et combattre l</w:t>
      </w:r>
      <w:r w:rsidR="00935BA6">
        <w:rPr>
          <w:rFonts w:ascii="Times New Roman" w:hAnsi="Times New Roman"/>
          <w:sz w:val="24"/>
          <w:szCs w:val="24"/>
        </w:rPr>
        <w:t>’EAS/HS</w:t>
      </w:r>
      <w:r w:rsidR="00935BA6" w:rsidRPr="00D75D2E">
        <w:rPr>
          <w:rFonts w:ascii="Times New Roman" w:hAnsi="Times New Roman"/>
          <w:sz w:val="24"/>
          <w:szCs w:val="24"/>
        </w:rPr>
        <w:t xml:space="preserve"> </w:t>
      </w:r>
      <w:r w:rsidR="00935BA6">
        <w:rPr>
          <w:rFonts w:ascii="Times New Roman" w:hAnsi="Times New Roman"/>
          <w:sz w:val="24"/>
          <w:szCs w:val="24"/>
        </w:rPr>
        <w:t xml:space="preserve"> </w:t>
      </w:r>
      <w:r w:rsidRPr="00D75D2E">
        <w:rPr>
          <w:rFonts w:ascii="Times New Roman" w:hAnsi="Times New Roman"/>
          <w:sz w:val="24"/>
          <w:szCs w:val="24"/>
        </w:rPr>
        <w:t>et le VCE. Cela signifie que les gestionnaires ont la responsabilité de créer et de maintenir un environnement qui respecte ces normes et empêche l</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sz w:val="24"/>
          <w:szCs w:val="24"/>
        </w:rPr>
        <w:t xml:space="preserve"> et la VCE. Les gestionnaires doivent soutenir et promouvoir la mise en œuvre du code de conduite de l’entreprise. À cette fin, les gestionnaires doivent respecter le présent code de conduite du gestionnaire et signer le code de conduite individuel. Ceci les engage à soutenir la mise en œuvre du PGES-E et du plan de gestion de SST, et à développer des systèmes qui facilitent la mise en œuvre du Plan d'action sur l</w:t>
      </w:r>
      <w:r w:rsidR="00935BA6">
        <w:rPr>
          <w:rFonts w:ascii="Times New Roman" w:hAnsi="Times New Roman"/>
          <w:sz w:val="24"/>
          <w:szCs w:val="24"/>
        </w:rPr>
        <w:t>’EAS/HS</w:t>
      </w:r>
      <w:r w:rsidR="00935BA6" w:rsidRPr="00D75D2E">
        <w:rPr>
          <w:rFonts w:ascii="Times New Roman" w:hAnsi="Times New Roman"/>
          <w:sz w:val="24"/>
          <w:szCs w:val="24"/>
        </w:rPr>
        <w:t xml:space="preserve"> </w:t>
      </w:r>
      <w:r w:rsidRPr="00D75D2E">
        <w:rPr>
          <w:rFonts w:ascii="Times New Roman" w:hAnsi="Times New Roman"/>
          <w:sz w:val="24"/>
          <w:szCs w:val="24"/>
        </w:rPr>
        <w:t xml:space="preserve"> et le VCE. Ils doivent maintenir un environnement de travail sûr, ainsi qu'un environnement exempt de VBG et de VCE sur le lieu de travail et dans la communauté locale. Ces responsabilités incluent mais ne sont pas limitées à :</w:t>
      </w:r>
    </w:p>
    <w:p w14:paraId="6CE08D23" w14:textId="77777777" w:rsidR="004F08B7" w:rsidRPr="00D75D2E" w:rsidRDefault="004F08B7" w:rsidP="00AE31F1">
      <w:pPr>
        <w:suppressAutoHyphens/>
        <w:overflowPunct w:val="0"/>
        <w:autoSpaceDE w:val="0"/>
        <w:autoSpaceDN w:val="0"/>
        <w:adjustRightInd w:val="0"/>
        <w:spacing w:before="120" w:after="120" w:line="240" w:lineRule="auto"/>
        <w:textAlignment w:val="baseline"/>
        <w:rPr>
          <w:rFonts w:ascii="Times New Roman" w:hAnsi="Times New Roman"/>
          <w:b/>
          <w:sz w:val="24"/>
          <w:szCs w:val="24"/>
        </w:rPr>
      </w:pPr>
      <w:r w:rsidRPr="00D75D2E">
        <w:rPr>
          <w:rFonts w:ascii="Times New Roman" w:hAnsi="Times New Roman"/>
          <w:b/>
          <w:sz w:val="24"/>
          <w:szCs w:val="24"/>
        </w:rPr>
        <w:t>La mise en œuvre</w:t>
      </w:r>
    </w:p>
    <w:p w14:paraId="7D936E79" w14:textId="77777777" w:rsidR="004F08B7" w:rsidRPr="00D75D2E" w:rsidRDefault="004F08B7" w:rsidP="00AE31F1">
      <w:pPr>
        <w:numPr>
          <w:ilvl w:val="0"/>
          <w:numId w:val="101"/>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Pour assurer une efficacité maximale du code de conduite de l’entreprise et du code de conduite individuel :</w:t>
      </w:r>
    </w:p>
    <w:p w14:paraId="1C02146A" w14:textId="77777777" w:rsidR="004F08B7" w:rsidRPr="00D75D2E" w:rsidRDefault="004F08B7" w:rsidP="00C700F6">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Afficher bien en évidence le code de conduite de l’entreprise et le code de conduite individuel dans les camps de travailleurs, les bureaux et dans les zones publiques de l'espace de travail. Des exemples de telles zones comprennent les zones d'attente, de repos et d'accueil des sites, les zones de repas et des centres de santé.</w:t>
      </w:r>
    </w:p>
    <w:p w14:paraId="16D5F51C" w14:textId="37E74AC1" w:rsidR="004F08B7" w:rsidRPr="00D75D2E" w:rsidRDefault="004F08B7" w:rsidP="00C700F6">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S'assurer que toutes les copies postées et distribuées du code de conduite de l’entreprise et du code de conduite individuel sont traduites dans la langue utilisée dans les zones de travail ainsi que pour tout le personnel international dans leur langue maternelle.</w:t>
      </w:r>
    </w:p>
    <w:p w14:paraId="2928FB68" w14:textId="77777777" w:rsidR="004F08B7" w:rsidRPr="00D75D2E" w:rsidRDefault="004F08B7" w:rsidP="00215867">
      <w:pPr>
        <w:numPr>
          <w:ilvl w:val="0"/>
          <w:numId w:val="101"/>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Expliquer verbalement et par écrit le code de conduite individuel et le code de conduite de l’entreprise à tout le personnel.</w:t>
      </w:r>
    </w:p>
    <w:p w14:paraId="24417C28" w14:textId="77777777" w:rsidR="004F08B7" w:rsidRPr="00D75D2E" w:rsidRDefault="004F08B7" w:rsidP="00215867">
      <w:pPr>
        <w:numPr>
          <w:ilvl w:val="0"/>
          <w:numId w:val="101"/>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Assurez-vous que :</w:t>
      </w:r>
    </w:p>
    <w:p w14:paraId="7F44C6EB"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Tous les subordonnés directs signent le « Code de conduite individuel», y compris la reconnaissance qu'ils ont lu et accepté le Code de conduite.</w:t>
      </w:r>
    </w:p>
    <w:p w14:paraId="0C903503" w14:textId="3F2BA568"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 xml:space="preserve">Des listes du personnel et des copies signées du code de conduite individuel sont fournies au gestionnaire SST, à l’Équipe de Conformité </w:t>
      </w:r>
      <w:r w:rsidR="00935BA6">
        <w:rPr>
          <w:rFonts w:ascii="Times New Roman" w:hAnsi="Times New Roman"/>
          <w:sz w:val="24"/>
          <w:szCs w:val="24"/>
        </w:rPr>
        <w:t>EAS/HS</w:t>
      </w:r>
      <w:r w:rsidRPr="00D75D2E">
        <w:rPr>
          <w:rFonts w:ascii="Times New Roman" w:hAnsi="Times New Roman"/>
          <w:sz w:val="24"/>
          <w:szCs w:val="24"/>
        </w:rPr>
        <w:t xml:space="preserve"> et VCE (ECVV) et au client.</w:t>
      </w:r>
    </w:p>
    <w:p w14:paraId="134E6F83"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Participer à la formation et s'assurer que le personnel participe également comme indiqué ci-dessous.</w:t>
      </w:r>
    </w:p>
    <w:p w14:paraId="4318A9A4"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Mettre en place un mécanisme permettant au personnel de :</w:t>
      </w:r>
    </w:p>
    <w:p w14:paraId="2430C322" w14:textId="1789AB35" w:rsidR="004F08B7" w:rsidRPr="00D75D2E" w:rsidRDefault="004F08B7" w:rsidP="00C700F6">
      <w:pPr>
        <w:suppressAutoHyphens/>
        <w:overflowPunct w:val="0"/>
        <w:autoSpaceDE w:val="0"/>
        <w:autoSpaceDN w:val="0"/>
        <w:adjustRightInd w:val="0"/>
        <w:spacing w:after="0" w:line="240" w:lineRule="auto"/>
        <w:ind w:left="1276" w:hanging="425"/>
        <w:jc w:val="both"/>
        <w:textAlignment w:val="baseline"/>
        <w:rPr>
          <w:rFonts w:ascii="Times New Roman" w:hAnsi="Times New Roman"/>
          <w:sz w:val="24"/>
          <w:szCs w:val="24"/>
        </w:rPr>
      </w:pPr>
      <w:r w:rsidRPr="00D75D2E">
        <w:rPr>
          <w:rFonts w:ascii="Times New Roman" w:hAnsi="Times New Roman"/>
          <w:sz w:val="24"/>
          <w:szCs w:val="24"/>
        </w:rPr>
        <w:t xml:space="preserve">(a) </w:t>
      </w:r>
      <w:r w:rsidR="00C700F6">
        <w:rPr>
          <w:rFonts w:ascii="Times New Roman" w:hAnsi="Times New Roman"/>
          <w:sz w:val="24"/>
          <w:szCs w:val="24"/>
        </w:rPr>
        <w:t xml:space="preserve">  </w:t>
      </w:r>
      <w:r w:rsidRPr="00D75D2E">
        <w:rPr>
          <w:rFonts w:ascii="Times New Roman" w:hAnsi="Times New Roman"/>
          <w:sz w:val="24"/>
          <w:szCs w:val="24"/>
        </w:rPr>
        <w:t>signaler les préoccupations relatives à conformité ESHS ou SST ; et,</w:t>
      </w:r>
    </w:p>
    <w:p w14:paraId="7DBABEEC" w14:textId="288F29D3" w:rsidR="004F08B7" w:rsidRPr="00D75D2E" w:rsidRDefault="004F08B7" w:rsidP="00C700F6">
      <w:pPr>
        <w:suppressAutoHyphens/>
        <w:overflowPunct w:val="0"/>
        <w:autoSpaceDE w:val="0"/>
        <w:autoSpaceDN w:val="0"/>
        <w:adjustRightInd w:val="0"/>
        <w:spacing w:after="0" w:line="240" w:lineRule="auto"/>
        <w:ind w:left="1276" w:hanging="425"/>
        <w:jc w:val="both"/>
        <w:textAlignment w:val="baseline"/>
        <w:rPr>
          <w:rFonts w:ascii="Times New Roman" w:hAnsi="Times New Roman"/>
          <w:sz w:val="24"/>
          <w:szCs w:val="24"/>
        </w:rPr>
      </w:pPr>
      <w:r w:rsidRPr="00D75D2E">
        <w:rPr>
          <w:rFonts w:ascii="Times New Roman" w:hAnsi="Times New Roman"/>
          <w:sz w:val="24"/>
          <w:szCs w:val="24"/>
        </w:rPr>
        <w:t xml:space="preserve">(b) </w:t>
      </w:r>
      <w:r w:rsidR="00C700F6">
        <w:rPr>
          <w:rFonts w:ascii="Times New Roman" w:hAnsi="Times New Roman"/>
          <w:sz w:val="24"/>
          <w:szCs w:val="24"/>
        </w:rPr>
        <w:t xml:space="preserve"> s</w:t>
      </w:r>
      <w:r w:rsidRPr="00D75D2E">
        <w:rPr>
          <w:rFonts w:ascii="Times New Roman" w:hAnsi="Times New Roman"/>
          <w:sz w:val="24"/>
          <w:szCs w:val="24"/>
        </w:rPr>
        <w:t>ignaler confidentiellement les incidents d</w:t>
      </w:r>
      <w:r w:rsidR="00935BA6">
        <w:rPr>
          <w:rFonts w:ascii="Times New Roman" w:hAnsi="Times New Roman"/>
          <w:sz w:val="24"/>
          <w:szCs w:val="24"/>
        </w:rPr>
        <w:t>’EAS/HS</w:t>
      </w:r>
      <w:r w:rsidRPr="00D75D2E">
        <w:rPr>
          <w:rFonts w:ascii="Times New Roman" w:hAnsi="Times New Roman"/>
          <w:sz w:val="24"/>
          <w:szCs w:val="24"/>
        </w:rPr>
        <w:t xml:space="preserve"> ou de VCE par l'entremise du mécanisme de </w:t>
      </w:r>
      <w:r w:rsidR="002F4BEA">
        <w:rPr>
          <w:rFonts w:ascii="Times New Roman" w:hAnsi="Times New Roman"/>
          <w:sz w:val="24"/>
          <w:szCs w:val="24"/>
        </w:rPr>
        <w:t>gestion</w:t>
      </w:r>
      <w:r w:rsidR="002F4BEA" w:rsidRPr="00D75D2E">
        <w:rPr>
          <w:rFonts w:ascii="Times New Roman" w:hAnsi="Times New Roman"/>
          <w:sz w:val="24"/>
          <w:szCs w:val="24"/>
        </w:rPr>
        <w:t xml:space="preserve"> </w:t>
      </w:r>
      <w:r w:rsidRPr="00D75D2E">
        <w:rPr>
          <w:rFonts w:ascii="Times New Roman" w:hAnsi="Times New Roman"/>
          <w:sz w:val="24"/>
          <w:szCs w:val="24"/>
        </w:rPr>
        <w:t>de</w:t>
      </w:r>
      <w:r w:rsidR="00935BA6">
        <w:rPr>
          <w:rFonts w:ascii="Times New Roman" w:hAnsi="Times New Roman"/>
          <w:sz w:val="24"/>
          <w:szCs w:val="24"/>
        </w:rPr>
        <w:t xml:space="preserve"> plaintes </w:t>
      </w:r>
      <w:r w:rsidRPr="00D75D2E">
        <w:rPr>
          <w:rFonts w:ascii="Times New Roman" w:hAnsi="Times New Roman"/>
          <w:sz w:val="24"/>
          <w:szCs w:val="24"/>
        </w:rPr>
        <w:t>(MG</w:t>
      </w:r>
      <w:r w:rsidR="00935BA6">
        <w:rPr>
          <w:rFonts w:ascii="Times New Roman" w:hAnsi="Times New Roman"/>
          <w:sz w:val="24"/>
          <w:szCs w:val="24"/>
        </w:rPr>
        <w:t>P</w:t>
      </w:r>
      <w:r w:rsidRPr="00D75D2E">
        <w:rPr>
          <w:rFonts w:ascii="Times New Roman" w:hAnsi="Times New Roman"/>
          <w:sz w:val="24"/>
          <w:szCs w:val="24"/>
        </w:rPr>
        <w:t>)</w:t>
      </w:r>
      <w:r w:rsidR="002F4BEA">
        <w:rPr>
          <w:rFonts w:ascii="Times New Roman" w:hAnsi="Times New Roman"/>
          <w:sz w:val="24"/>
          <w:szCs w:val="24"/>
        </w:rPr>
        <w:t xml:space="preserve"> sensible aux EAS/HS</w:t>
      </w:r>
    </w:p>
    <w:p w14:paraId="003B6032" w14:textId="1744490A"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 personnel est encouragé à signaler les problèmes ESHS, SST, </w:t>
      </w:r>
      <w:r w:rsidR="00A96FC0">
        <w:rPr>
          <w:rFonts w:ascii="Times New Roman" w:hAnsi="Times New Roman"/>
          <w:sz w:val="24"/>
          <w:szCs w:val="24"/>
        </w:rPr>
        <w:t>EAS/HS</w:t>
      </w:r>
      <w:r w:rsidRPr="00D75D2E">
        <w:rPr>
          <w:rFonts w:ascii="Times New Roman" w:hAnsi="Times New Roman"/>
          <w:sz w:val="24"/>
          <w:szCs w:val="24"/>
        </w:rPr>
        <w:t xml:space="preserve"> ou VCE suspectés ou réels, en soulignant la responsabilité du personnel envers l’entreprise et le pays d'accueil, et en insistant sur le respect de la confidentialité.</w:t>
      </w:r>
    </w:p>
    <w:p w14:paraId="00E60668" w14:textId="77777777"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En conformité avec les lois applicables et au mieux de vos capacités, empêchez les auteurs d'exploitation et d'abus sexuels d'être embauchés, réembauchés ou déployés. Utilisez les vérifications d'antécédents et de références criminelles pour tous les employés.</w:t>
      </w:r>
    </w:p>
    <w:p w14:paraId="139065A7" w14:textId="77777777" w:rsidR="004F08B7" w:rsidRPr="00D75D2E" w:rsidRDefault="004F08B7" w:rsidP="00AE31F1">
      <w:pPr>
        <w:numPr>
          <w:ilvl w:val="0"/>
          <w:numId w:val="95"/>
        </w:numPr>
        <w:suppressAutoHyphens/>
        <w:overflowPunct w:val="0"/>
        <w:autoSpaceDE w:val="0"/>
        <w:autoSpaceDN w:val="0"/>
        <w:adjustRightInd w:val="0"/>
        <w:spacing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S'assurer lors d’engagement dans des accords avec des partenaires, des sous-traitants, des fournisseurs ou des accords similaires, que ces accords :</w:t>
      </w:r>
    </w:p>
    <w:p w14:paraId="25987D6A" w14:textId="31B2BFC1" w:rsidR="004F08B7" w:rsidRPr="00D75D2E" w:rsidRDefault="004F08B7" w:rsidP="00AE31F1">
      <w:pPr>
        <w:numPr>
          <w:ilvl w:val="0"/>
          <w:numId w:val="287"/>
        </w:numPr>
        <w:suppressAutoHyphens/>
        <w:overflowPunct w:val="0"/>
        <w:autoSpaceDE w:val="0"/>
        <w:autoSpaceDN w:val="0"/>
        <w:adjustRightInd w:val="0"/>
        <w:spacing w:after="0" w:line="240" w:lineRule="auto"/>
        <w:ind w:left="851" w:hanging="437"/>
        <w:contextualSpacing/>
        <w:jc w:val="both"/>
        <w:textAlignment w:val="baseline"/>
        <w:rPr>
          <w:rFonts w:ascii="Times New Roman" w:hAnsi="Times New Roman"/>
          <w:sz w:val="24"/>
          <w:szCs w:val="24"/>
        </w:rPr>
      </w:pPr>
      <w:r w:rsidRPr="00D75D2E">
        <w:rPr>
          <w:rFonts w:ascii="Times New Roman" w:hAnsi="Times New Roman"/>
          <w:sz w:val="24"/>
          <w:szCs w:val="24"/>
        </w:rPr>
        <w:t xml:space="preserve">Incorporent les codes de conduite ESHS, SST, </w:t>
      </w:r>
      <w:r w:rsidR="00A96FC0">
        <w:rPr>
          <w:rFonts w:ascii="Times New Roman" w:hAnsi="Times New Roman"/>
          <w:sz w:val="24"/>
          <w:szCs w:val="24"/>
        </w:rPr>
        <w:t>EAS/HS</w:t>
      </w:r>
      <w:r w:rsidRPr="00D75D2E">
        <w:rPr>
          <w:rFonts w:ascii="Times New Roman" w:hAnsi="Times New Roman"/>
          <w:sz w:val="24"/>
          <w:szCs w:val="24"/>
        </w:rPr>
        <w:t xml:space="preserve"> et SST en pièce jointe ;</w:t>
      </w:r>
    </w:p>
    <w:p w14:paraId="66101E14" w14:textId="77777777" w:rsidR="004F08B7" w:rsidRPr="00D75D2E" w:rsidRDefault="004F08B7" w:rsidP="00AE31F1">
      <w:pPr>
        <w:numPr>
          <w:ilvl w:val="0"/>
          <w:numId w:val="287"/>
        </w:numPr>
        <w:suppressAutoHyphens/>
        <w:overflowPunct w:val="0"/>
        <w:autoSpaceDE w:val="0"/>
        <w:autoSpaceDN w:val="0"/>
        <w:adjustRightInd w:val="0"/>
        <w:spacing w:after="0" w:line="240" w:lineRule="auto"/>
        <w:ind w:left="851" w:hanging="437"/>
        <w:contextualSpacing/>
        <w:jc w:val="both"/>
        <w:textAlignment w:val="baseline"/>
        <w:rPr>
          <w:rFonts w:ascii="Times New Roman" w:hAnsi="Times New Roman"/>
          <w:sz w:val="24"/>
          <w:szCs w:val="24"/>
        </w:rPr>
      </w:pPr>
      <w:r w:rsidRPr="00D75D2E">
        <w:rPr>
          <w:rFonts w:ascii="Times New Roman" w:hAnsi="Times New Roman"/>
          <w:sz w:val="24"/>
          <w:szCs w:val="24"/>
        </w:rPr>
        <w:t>ii. Incluent le langage approprié exigeant que ces entités adjudicatrices et individus, ainsi que leurs employés et bénévoles, se conforment au code de conduite individuel.</w:t>
      </w:r>
    </w:p>
    <w:p w14:paraId="135EC58D" w14:textId="644B1E49" w:rsidR="004F08B7" w:rsidRPr="00D75D2E" w:rsidRDefault="004F08B7" w:rsidP="00AE31F1">
      <w:pPr>
        <w:numPr>
          <w:ilvl w:val="0"/>
          <w:numId w:val="287"/>
        </w:numPr>
        <w:suppressAutoHyphens/>
        <w:overflowPunct w:val="0"/>
        <w:autoSpaceDE w:val="0"/>
        <w:autoSpaceDN w:val="0"/>
        <w:adjustRightInd w:val="0"/>
        <w:spacing w:after="0" w:line="240" w:lineRule="auto"/>
        <w:ind w:left="851" w:hanging="437"/>
        <w:contextualSpacing/>
        <w:jc w:val="both"/>
        <w:textAlignment w:val="baseline"/>
        <w:rPr>
          <w:rFonts w:ascii="Times New Roman" w:hAnsi="Times New Roman"/>
          <w:sz w:val="24"/>
          <w:szCs w:val="24"/>
        </w:rPr>
      </w:pPr>
      <w:r w:rsidRPr="00D75D2E">
        <w:rPr>
          <w:rFonts w:ascii="Times New Roman" w:hAnsi="Times New Roman"/>
          <w:sz w:val="24"/>
          <w:szCs w:val="24"/>
        </w:rPr>
        <w:t xml:space="preserve">. Déclarent expressément que l'incapacité de ces entités ou individus, selon le cas, à assurer la conformité aux normes ESHS et SST, prendre des mesures préventives contre </w:t>
      </w:r>
      <w:r w:rsidR="00A96FC0">
        <w:rPr>
          <w:rFonts w:ascii="Times New Roman" w:hAnsi="Times New Roman"/>
          <w:sz w:val="24"/>
          <w:szCs w:val="24"/>
        </w:rPr>
        <w:t>l’EAS/HS</w:t>
      </w:r>
      <w:r w:rsidRPr="00D75D2E">
        <w:rPr>
          <w:rFonts w:ascii="Times New Roman" w:hAnsi="Times New Roman"/>
          <w:sz w:val="24"/>
          <w:szCs w:val="24"/>
        </w:rPr>
        <w:t xml:space="preserve"> et VCE, enquêter sur les allégations, ou prendre des mesures correctives lorsque </w:t>
      </w:r>
      <w:r w:rsidR="00A96FC0">
        <w:rPr>
          <w:rFonts w:ascii="Times New Roman" w:hAnsi="Times New Roman"/>
          <w:sz w:val="24"/>
          <w:szCs w:val="24"/>
        </w:rPr>
        <w:t>l’EAS/HS</w:t>
      </w:r>
      <w:r w:rsidRPr="00D75D2E">
        <w:rPr>
          <w:rFonts w:ascii="Times New Roman" w:hAnsi="Times New Roman"/>
          <w:sz w:val="24"/>
          <w:szCs w:val="24"/>
        </w:rPr>
        <w:t xml:space="preserve"> ou VCE a eu lieu, non seulement constituent des motifs de sanctions et de pénalités conformément aux codes de conduite individuels, mais aussi la résiliation des accords pour travailler sur ou fournir le projet.</w:t>
      </w:r>
    </w:p>
    <w:p w14:paraId="35CD755C" w14:textId="30D5CAE2" w:rsidR="004F08B7" w:rsidRPr="00D75D2E" w:rsidRDefault="004F08B7" w:rsidP="00AE31F1">
      <w:pPr>
        <w:numPr>
          <w:ilvl w:val="0"/>
          <w:numId w:val="95"/>
        </w:numPr>
        <w:suppressAutoHyphens/>
        <w:overflowPunct w:val="0"/>
        <w:autoSpaceDE w:val="0"/>
        <w:autoSpaceDN w:val="0"/>
        <w:adjustRightInd w:val="0"/>
        <w:spacing w:before="120" w:after="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 xml:space="preserve">Fournir un soutien et des ressources à la ECVV pour créer et diffuser des initiatives de sensibilisation interne grâce à la stratégie de sensibilisation dans le cadre du Plan d'action sur </w:t>
      </w:r>
      <w:r w:rsidR="00A96FC0">
        <w:rPr>
          <w:rFonts w:ascii="Times New Roman" w:hAnsi="Times New Roman"/>
          <w:sz w:val="24"/>
          <w:szCs w:val="24"/>
        </w:rPr>
        <w:t>l’EAS/HS</w:t>
      </w:r>
      <w:r w:rsidRPr="00D75D2E">
        <w:rPr>
          <w:rFonts w:ascii="Times New Roman" w:hAnsi="Times New Roman"/>
          <w:sz w:val="24"/>
          <w:szCs w:val="24"/>
        </w:rPr>
        <w:t xml:space="preserve"> et le VCE.</w:t>
      </w:r>
    </w:p>
    <w:p w14:paraId="261C1AAC" w14:textId="36CB9F62"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Veiller à ce que tout problème de </w:t>
      </w:r>
      <w:r w:rsidR="00A96FC0">
        <w:rPr>
          <w:rFonts w:ascii="Times New Roman" w:hAnsi="Times New Roman"/>
          <w:sz w:val="24"/>
          <w:szCs w:val="24"/>
        </w:rPr>
        <w:t>EAS/HS</w:t>
      </w:r>
      <w:r w:rsidRPr="00D75D2E">
        <w:rPr>
          <w:rFonts w:ascii="Times New Roman" w:hAnsi="Times New Roman"/>
          <w:sz w:val="24"/>
          <w:szCs w:val="24"/>
        </w:rPr>
        <w:t xml:space="preserve"> ou de VCE justifiant une action de la police soit immédiatement signalé à la police, au client, et à la Banque mondiale.</w:t>
      </w:r>
    </w:p>
    <w:p w14:paraId="1F380091" w14:textId="3CAE52BC"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Signaler et agir conformément au protocole de réponse (section 4.7 Protocole de réponse) tout acte suspecté ou réel de </w:t>
      </w:r>
      <w:r w:rsidR="00A96FC0">
        <w:rPr>
          <w:rFonts w:ascii="Times New Roman" w:hAnsi="Times New Roman"/>
          <w:sz w:val="24"/>
          <w:szCs w:val="24"/>
        </w:rPr>
        <w:t>EAS/HS</w:t>
      </w:r>
      <w:r w:rsidRPr="00D75D2E">
        <w:rPr>
          <w:rFonts w:ascii="Times New Roman" w:hAnsi="Times New Roman"/>
          <w:sz w:val="24"/>
          <w:szCs w:val="24"/>
        </w:rPr>
        <w:t xml:space="preserve"> et/ou de VCE étant donné que les gestionnaires ont la responsabilité de faire respecter les engagements de l'entreprise et de tenir leurs subordonnés directs responsables.</w:t>
      </w:r>
    </w:p>
    <w:p w14:paraId="427A8A79" w14:textId="77777777"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S'assurer que tout incident ESHS ou SST important est signalé au client et à la mission de contrôle immédiatement.</w:t>
      </w:r>
    </w:p>
    <w:p w14:paraId="45734715" w14:textId="77777777"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 xml:space="preserve">Formation </w:t>
      </w:r>
    </w:p>
    <w:p w14:paraId="727ACEE3" w14:textId="77777777" w:rsidR="004F08B7" w:rsidRPr="00D75D2E" w:rsidRDefault="004F08B7" w:rsidP="00AE31F1">
      <w:pPr>
        <w:numPr>
          <w:ilvl w:val="0"/>
          <w:numId w:val="95"/>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Les gestionnaires sont responsables de :</w:t>
      </w:r>
    </w:p>
    <w:p w14:paraId="6C5FC7A2" w14:textId="3D96FBAD"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S'assurer que le plan de gestion de SST est mis en œuvre, avec une formation appropriée requise pour tout le personnel, y compris les sous-traitants et les fournisseurs ; et,</w:t>
      </w:r>
    </w:p>
    <w:p w14:paraId="317A84B8"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S'assurer que le personnel a une bonne compréhension du PGES-E et qu'il est formé de manière appropriée pour mettre en œuvre les exigences du PGES-E.</w:t>
      </w:r>
    </w:p>
    <w:p w14:paraId="44424BDA" w14:textId="14D51D51" w:rsidR="004F08B7" w:rsidRPr="00D75D2E" w:rsidRDefault="004F08B7" w:rsidP="00AE31F1">
      <w:pPr>
        <w:numPr>
          <w:ilvl w:val="0"/>
          <w:numId w:val="95"/>
        </w:numPr>
        <w:suppressAutoHyphens/>
        <w:overflowPunct w:val="0"/>
        <w:autoSpaceDE w:val="0"/>
        <w:autoSpaceDN w:val="0"/>
        <w:adjustRightInd w:val="0"/>
        <w:spacing w:before="120" w:after="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 xml:space="preserve">Tous les gestionnaires doivent assister à une formation d’initiation pour les gestionnaires avant de commencer à travailler sur le site pour s'assurer qu'ils sont familiers avec leurs rôles et responsabilités dans le respect des éléments </w:t>
      </w:r>
      <w:r w:rsidR="00A96FC0">
        <w:rPr>
          <w:rFonts w:ascii="Times New Roman" w:hAnsi="Times New Roman"/>
          <w:sz w:val="24"/>
          <w:szCs w:val="24"/>
        </w:rPr>
        <w:t>EAS/HS</w:t>
      </w:r>
      <w:r w:rsidRPr="00D75D2E">
        <w:rPr>
          <w:rFonts w:ascii="Times New Roman" w:hAnsi="Times New Roman"/>
          <w:sz w:val="24"/>
          <w:szCs w:val="24"/>
        </w:rPr>
        <w:t xml:space="preserve"> et VCE de ces codes de conduite. Cette formation sera distincte du cours de formation initiale obligatoire pour tous les employés et fournira aux gestionnaires la compréhension et le soutien technique nécessaires pour commencer à élaborer le plan d'action sur l</w:t>
      </w:r>
      <w:r w:rsidR="00A96FC0">
        <w:rPr>
          <w:rFonts w:ascii="Times New Roman" w:hAnsi="Times New Roman"/>
          <w:sz w:val="24"/>
          <w:szCs w:val="24"/>
        </w:rPr>
        <w:t>’EAS/HS</w:t>
      </w:r>
      <w:r w:rsidRPr="00D75D2E">
        <w:rPr>
          <w:rFonts w:ascii="Times New Roman" w:hAnsi="Times New Roman"/>
          <w:sz w:val="24"/>
          <w:szCs w:val="24"/>
        </w:rPr>
        <w:t xml:space="preserve"> et VCE pour aborder les questions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 xml:space="preserve"> et de VCE.</w:t>
      </w:r>
    </w:p>
    <w:p w14:paraId="3E64CF33" w14:textId="77777777"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Les gestionnaires sont tenus d'assister et de soutenir les cours de formation mensuels facilités par le projet pour tous les employés. Les gestionnaires seront tenus de présenter les formations et d'annoncer les auto-évaluations, y compris la collecte de sondages de satisfaction pour évaluer les expériences de formation et fournir des conseils sur l'amélioration de l'efficacité de la formation.</w:t>
      </w:r>
    </w:p>
    <w:p w14:paraId="3C6DABAC" w14:textId="77777777" w:rsidR="004F08B7" w:rsidRPr="00D75D2E" w:rsidRDefault="004F08B7" w:rsidP="00AE31F1">
      <w:pPr>
        <w:numPr>
          <w:ilvl w:val="0"/>
          <w:numId w:val="95"/>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Veiller à ce que le temps soit fourni pendant les heures de travail et que le personnel avant de commencer les travaux sur le site assiste à la formation d'initiation facilitée par le projet obligatoire sur:</w:t>
      </w:r>
    </w:p>
    <w:p w14:paraId="565FBEA6"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SST et ESHS ; et,</w:t>
      </w:r>
    </w:p>
    <w:p w14:paraId="3221C5FD" w14:textId="7237A9C2" w:rsidR="004F08B7" w:rsidRPr="00D75D2E" w:rsidRDefault="00A96FC0"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Pr>
          <w:rFonts w:ascii="Times New Roman" w:hAnsi="Times New Roman"/>
          <w:sz w:val="24"/>
          <w:szCs w:val="24"/>
        </w:rPr>
        <w:t>EAS/HS</w:t>
      </w:r>
      <w:r w:rsidR="004F08B7" w:rsidRPr="00D75D2E">
        <w:rPr>
          <w:rFonts w:ascii="Times New Roman" w:hAnsi="Times New Roman"/>
          <w:sz w:val="24"/>
          <w:szCs w:val="24"/>
        </w:rPr>
        <w:t xml:space="preserve"> et VCE requis pour tous les employés.</w:t>
      </w:r>
    </w:p>
    <w:p w14:paraId="54B55306" w14:textId="4ED25E67" w:rsidR="004F08B7" w:rsidRPr="00D75D2E" w:rsidRDefault="004F08B7" w:rsidP="00AE31F1">
      <w:pPr>
        <w:numPr>
          <w:ilvl w:val="0"/>
          <w:numId w:val="95"/>
        </w:numPr>
        <w:suppressAutoHyphens/>
        <w:overflowPunct w:val="0"/>
        <w:autoSpaceDE w:val="0"/>
        <w:autoSpaceDN w:val="0"/>
        <w:adjustRightInd w:val="0"/>
        <w:spacing w:before="120" w:after="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Pendant les travaux de génie civil, s'assurer que le personnel suit une formation continue en SST et ESHS, ainsi que le cours de recyclage obligatoire mensuel exigé de tous les employés pour combattre le risque accru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et VCE.</w:t>
      </w:r>
    </w:p>
    <w:p w14:paraId="4AB25423" w14:textId="77777777"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Réponse</w:t>
      </w:r>
    </w:p>
    <w:p w14:paraId="3652AEB0" w14:textId="77777777"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Les gestionnaires seront tenus de prendre les mesures appropriées pour traiter les incidents liés à l'ESHS ou à la SST.</w:t>
      </w:r>
    </w:p>
    <w:p w14:paraId="1D0465F7" w14:textId="68EF7660" w:rsidR="004F08B7" w:rsidRPr="00D75D2E" w:rsidRDefault="004F08B7" w:rsidP="00AE31F1">
      <w:pPr>
        <w:numPr>
          <w:ilvl w:val="0"/>
          <w:numId w:val="95"/>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En ce qui concerne l</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et le VCE :</w:t>
      </w:r>
    </w:p>
    <w:p w14:paraId="4CC867E8" w14:textId="777C752C"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Fournir des commentaires sur les procédures d'allégation VBG et VCE (section 4.2 Plan d'action) et le protocole d'intervention (section 4.7 Plan d'action) élaborés par l’ECVV dans le cadre du plan d'action final sur l</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et la VCE.</w:t>
      </w:r>
    </w:p>
    <w:p w14:paraId="3F470B72" w14:textId="3AF5A29D"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 xml:space="preserve">Une fois adopté par l’entreprise, les gestionnaires respecteront les mesures de responsabilisation (section 4.4) énoncées dans le plan d'action </w:t>
      </w:r>
      <w:r w:rsidR="00A96FC0">
        <w:rPr>
          <w:rFonts w:ascii="Times New Roman" w:hAnsi="Times New Roman"/>
          <w:sz w:val="24"/>
          <w:szCs w:val="24"/>
        </w:rPr>
        <w:t>EAS/HS</w:t>
      </w:r>
      <w:r w:rsidRPr="00D75D2E">
        <w:rPr>
          <w:rFonts w:ascii="Times New Roman" w:hAnsi="Times New Roman"/>
          <w:sz w:val="24"/>
          <w:szCs w:val="24"/>
        </w:rPr>
        <w:t xml:space="preserve"> et VCE afin de préserver la confidentialité de tous les employés qui signalent (ou prétendument) commettent des cas d</w:t>
      </w:r>
      <w:r w:rsidR="00A96FC0">
        <w:rPr>
          <w:rFonts w:ascii="Times New Roman" w:hAnsi="Times New Roman"/>
          <w:sz w:val="24"/>
          <w:szCs w:val="24"/>
        </w:rPr>
        <w:t>’EAS/HS</w:t>
      </w:r>
      <w:r w:rsidRPr="00D75D2E">
        <w:rPr>
          <w:rFonts w:ascii="Times New Roman" w:hAnsi="Times New Roman"/>
          <w:sz w:val="24"/>
          <w:szCs w:val="24"/>
        </w:rPr>
        <w:t xml:space="preserve"> et VCE (sauf si une rupture des règles de confidentialité est nécessaire pour protéger des personnes ou des biens d'un préjudice grave ou lorsque la loi l'exige).</w:t>
      </w:r>
    </w:p>
    <w:p w14:paraId="238ED7ED" w14:textId="5E85FBC5"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Si un responsable développe des inquiétudes ou des soupçons concernant une forme d</w:t>
      </w:r>
      <w:r w:rsidR="00A96FC0">
        <w:rPr>
          <w:rFonts w:ascii="Times New Roman" w:hAnsi="Times New Roman"/>
          <w:sz w:val="24"/>
          <w:szCs w:val="24"/>
        </w:rPr>
        <w:t>’ EAS/HS</w:t>
      </w:r>
      <w:r w:rsidRPr="00D75D2E">
        <w:rPr>
          <w:rFonts w:ascii="Times New Roman" w:hAnsi="Times New Roman"/>
          <w:sz w:val="24"/>
          <w:szCs w:val="24"/>
        </w:rPr>
        <w:t xml:space="preserve"> ou de VCE par l'un de ses subordonnés directs, ou par un employé travaillant pour un autre contractant sur le même lieu de travail, il est tenu de signaler le cas.</w:t>
      </w:r>
    </w:p>
    <w:p w14:paraId="39FE6BD3"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Une fois qu'une sanction a été décidée, le (s) gestionnaire (s) concerné (s) est (sont) personnellement responsable (s) de l'exécution effective de la mesure, dans un délai maximum de 14 jours à compter de la date de sanction.</w:t>
      </w:r>
    </w:p>
    <w:p w14:paraId="707B577D" w14:textId="77777777"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Si un gestionnaire a un conflit d'intérêts en raison de ses relations personnelles ou familiales avec le survivant et/ou l'auteur de l'infraction, il doit aviser l’entreprise concernée et l’ECVV. L’entreprise sera tenue de nommer un autre gestionnaire sans conflit d'intérêts pour répondre aux plaintes.</w:t>
      </w:r>
    </w:p>
    <w:p w14:paraId="46D84E72" w14:textId="5518A495" w:rsidR="004F08B7" w:rsidRPr="00D75D2E" w:rsidRDefault="004F08B7" w:rsidP="002F4BEA">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Veiller à ce que tout problème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ou de VCE justifiant une action de la police soit immédiatement signalé à la police, au client et à la Banque mondiale.</w:t>
      </w:r>
    </w:p>
    <w:p w14:paraId="734644F3" w14:textId="2D6ED72D" w:rsidR="004F08B7" w:rsidRPr="00D75D2E" w:rsidRDefault="004F08B7" w:rsidP="00AE31F1">
      <w:pPr>
        <w:numPr>
          <w:ilvl w:val="0"/>
          <w:numId w:val="95"/>
        </w:numPr>
        <w:suppressAutoHyphens/>
        <w:overflowPunct w:val="0"/>
        <w:autoSpaceDE w:val="0"/>
        <w:autoSpaceDN w:val="0"/>
        <w:adjustRightInd w:val="0"/>
        <w:spacing w:before="120" w:after="120" w:line="240" w:lineRule="auto"/>
        <w:ind w:left="357" w:hanging="357"/>
        <w:jc w:val="both"/>
        <w:textAlignment w:val="baseline"/>
        <w:rPr>
          <w:rFonts w:ascii="Times New Roman" w:hAnsi="Times New Roman"/>
          <w:sz w:val="24"/>
          <w:szCs w:val="24"/>
        </w:rPr>
      </w:pPr>
      <w:r w:rsidRPr="00D75D2E">
        <w:rPr>
          <w:rFonts w:ascii="Times New Roman" w:hAnsi="Times New Roman"/>
          <w:sz w:val="24"/>
          <w:szCs w:val="24"/>
        </w:rPr>
        <w:t xml:space="preserve">Les gestionnaires qui échouent à traiter les incidents ESHS ou SST, ou qui ne déclarent pas ou ne respectent les dispositions relatives à </w:t>
      </w:r>
      <w:r w:rsidR="00A96FC0">
        <w:rPr>
          <w:rFonts w:ascii="Times New Roman" w:hAnsi="Times New Roman"/>
          <w:sz w:val="24"/>
          <w:szCs w:val="24"/>
        </w:rPr>
        <w:t>l’EAS/HS</w:t>
      </w:r>
      <w:r w:rsidRPr="00D75D2E">
        <w:rPr>
          <w:rFonts w:ascii="Times New Roman" w:hAnsi="Times New Roman"/>
          <w:sz w:val="24"/>
          <w:szCs w:val="24"/>
        </w:rPr>
        <w:t xml:space="preserve"> et à la VCE peuvent faire l'objet de mesures disciplinaires, déterminées et promulguées par le directeur général de l’entreprise ou l’équivalent du plus haut responsable de l’entreprise. Ces mesures peuvent inclure :</w:t>
      </w:r>
    </w:p>
    <w:p w14:paraId="69D020CD"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Avertissement informel.</w:t>
      </w:r>
    </w:p>
    <w:p w14:paraId="7087427E"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Avertissement formel.</w:t>
      </w:r>
    </w:p>
    <w:p w14:paraId="100EDCCE"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Formation supplémentaire.</w:t>
      </w:r>
    </w:p>
    <w:p w14:paraId="25397639"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Perte de jusqu'à une semaine de salaire.</w:t>
      </w:r>
    </w:p>
    <w:p w14:paraId="287922B4"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Suspension de l'emploi (sans paiement de salaire), pour une période minimale de 1 mois jusqu'à un maximum de 6 mois.</w:t>
      </w:r>
    </w:p>
    <w:p w14:paraId="4A351D7F" w14:textId="77777777" w:rsidR="004F08B7" w:rsidRPr="00D75D2E" w:rsidRDefault="004F08B7" w:rsidP="00AE31F1">
      <w:pPr>
        <w:numPr>
          <w:ilvl w:val="0"/>
          <w:numId w:val="114"/>
        </w:numPr>
        <w:suppressAutoHyphens/>
        <w:overflowPunct w:val="0"/>
        <w:autoSpaceDE w:val="0"/>
        <w:autoSpaceDN w:val="0"/>
        <w:adjustRightInd w:val="0"/>
        <w:spacing w:after="0" w:line="240" w:lineRule="auto"/>
        <w:ind w:left="851" w:hanging="425"/>
        <w:jc w:val="both"/>
        <w:textAlignment w:val="baseline"/>
        <w:rPr>
          <w:rFonts w:ascii="Times New Roman" w:hAnsi="Times New Roman"/>
          <w:sz w:val="24"/>
          <w:szCs w:val="24"/>
        </w:rPr>
      </w:pPr>
      <w:r w:rsidRPr="00D75D2E">
        <w:rPr>
          <w:rFonts w:ascii="Times New Roman" w:hAnsi="Times New Roman"/>
          <w:sz w:val="24"/>
          <w:szCs w:val="24"/>
        </w:rPr>
        <w:t>Cessation d'emploi.</w:t>
      </w:r>
    </w:p>
    <w:p w14:paraId="72B95D43" w14:textId="1041942B" w:rsidR="004F08B7" w:rsidRPr="00D75D2E" w:rsidRDefault="004F08B7" w:rsidP="008C79F0">
      <w:pPr>
        <w:numPr>
          <w:ilvl w:val="0"/>
          <w:numId w:val="9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En fin de compte, le fait de ne pas répondre efficacement aux cas ESHS, SST, </w:t>
      </w:r>
      <w:r w:rsidR="00A96FC0">
        <w:rPr>
          <w:rFonts w:ascii="Times New Roman" w:hAnsi="Times New Roman"/>
          <w:sz w:val="24"/>
          <w:szCs w:val="24"/>
        </w:rPr>
        <w:t>EAS/HS</w:t>
      </w:r>
      <w:r w:rsidRPr="00D75D2E">
        <w:rPr>
          <w:rFonts w:ascii="Times New Roman" w:hAnsi="Times New Roman"/>
          <w:sz w:val="24"/>
          <w:szCs w:val="24"/>
        </w:rPr>
        <w:t xml:space="preserve"> et VCE sur le lieu de travail par les directeurs de l'entreprise peut donner lieu à des poursuites judiciaires par les autorités.</w:t>
      </w:r>
    </w:p>
    <w:p w14:paraId="4C3BC229"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2B946B3F" w14:textId="3EDDFFA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Je reconnais par la présente avoir lu le Code de conduite du gestionnaire, accepter de me conformer aux normes qui y sont énoncées et comprendre mes rôles et responsabilités pour prévenir et répondre aux exigences ESHS, SST, </w:t>
      </w:r>
      <w:r w:rsidR="00A96FC0">
        <w:rPr>
          <w:rFonts w:ascii="Times New Roman" w:hAnsi="Times New Roman"/>
          <w:sz w:val="24"/>
          <w:szCs w:val="24"/>
        </w:rPr>
        <w:t>EAS/HS</w:t>
      </w:r>
      <w:r w:rsidRPr="00D75D2E">
        <w:rPr>
          <w:rFonts w:ascii="Times New Roman" w:hAnsi="Times New Roman"/>
          <w:sz w:val="24"/>
          <w:szCs w:val="24"/>
        </w:rPr>
        <w:t xml:space="preserve"> et VCE. Je comprends que toute action incompatible avec le code de conduite de ce gestionnaire ou l'omission d'agir conformément au code de conduite du gestionnaire peut entraîner des mesures disciplinaires.</w:t>
      </w:r>
    </w:p>
    <w:p w14:paraId="77E32D3F"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614BB02A"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Signature : </w:t>
      </w:r>
      <w:r w:rsidRPr="00D75D2E">
        <w:rPr>
          <w:rFonts w:ascii="Times New Roman" w:hAnsi="Times New Roman"/>
          <w:sz w:val="24"/>
          <w:szCs w:val="24"/>
        </w:rPr>
        <w:tab/>
        <w:t>_________________________</w:t>
      </w:r>
    </w:p>
    <w:p w14:paraId="2FB212DA"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5D89F5A2"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Nom en caractères d’imprimerie :          _________________________</w:t>
      </w:r>
    </w:p>
    <w:p w14:paraId="10A129C9"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11CCC702"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Titre : </w:t>
      </w:r>
      <w:r w:rsidRPr="00D75D2E">
        <w:rPr>
          <w:rFonts w:ascii="Times New Roman" w:hAnsi="Times New Roman"/>
          <w:sz w:val="24"/>
          <w:szCs w:val="24"/>
        </w:rPr>
        <w:tab/>
      </w:r>
      <w:r w:rsidRPr="00D75D2E">
        <w:rPr>
          <w:rFonts w:ascii="Times New Roman" w:hAnsi="Times New Roman"/>
          <w:sz w:val="24"/>
          <w:szCs w:val="24"/>
        </w:rPr>
        <w:tab/>
        <w:t>_______________________</w:t>
      </w:r>
    </w:p>
    <w:p w14:paraId="77FB5A09"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00BA01F6"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Date : </w:t>
      </w:r>
      <w:r w:rsidRPr="00D75D2E">
        <w:rPr>
          <w:rFonts w:ascii="Times New Roman" w:hAnsi="Times New Roman"/>
          <w:sz w:val="24"/>
          <w:szCs w:val="24"/>
        </w:rPr>
        <w:tab/>
      </w:r>
      <w:r w:rsidRPr="00D75D2E">
        <w:rPr>
          <w:rFonts w:ascii="Times New Roman" w:hAnsi="Times New Roman"/>
          <w:sz w:val="24"/>
          <w:szCs w:val="24"/>
        </w:rPr>
        <w:tab/>
        <w:t>_______________________</w:t>
      </w:r>
    </w:p>
    <w:p w14:paraId="7AE9E30D"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79B85BC3"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53FA29EC" w14:textId="6EEE5E44" w:rsidR="002F4BEA" w:rsidRDefault="002F4BEA" w:rsidP="00AE31F1">
      <w:pPr>
        <w:spacing w:after="0" w:line="240" w:lineRule="auto"/>
        <w:ind w:left="426"/>
        <w:contextualSpacing/>
        <w:jc w:val="both"/>
        <w:rPr>
          <w:rFonts w:ascii="Times New Roman" w:hAnsi="Times New Roman"/>
          <w:b/>
          <w:sz w:val="24"/>
          <w:szCs w:val="24"/>
        </w:rPr>
      </w:pPr>
      <w:bookmarkStart w:id="1074" w:name="_Toc510532982"/>
    </w:p>
    <w:p w14:paraId="5B185E38" w14:textId="77777777" w:rsidR="002F4BEA" w:rsidRDefault="002F4BEA">
      <w:pPr>
        <w:rPr>
          <w:rFonts w:ascii="Times New Roman" w:hAnsi="Times New Roman"/>
          <w:b/>
          <w:sz w:val="24"/>
          <w:szCs w:val="24"/>
        </w:rPr>
      </w:pPr>
      <w:r>
        <w:rPr>
          <w:rFonts w:ascii="Times New Roman" w:hAnsi="Times New Roman"/>
          <w:b/>
          <w:sz w:val="24"/>
          <w:szCs w:val="24"/>
        </w:rPr>
        <w:br w:type="page"/>
      </w:r>
    </w:p>
    <w:p w14:paraId="30A53EC1" w14:textId="3F27208C" w:rsidR="004F08B7" w:rsidRPr="00D75D2E" w:rsidRDefault="004F08B7" w:rsidP="00215867">
      <w:pPr>
        <w:numPr>
          <w:ilvl w:val="1"/>
          <w:numId w:val="110"/>
        </w:numPr>
        <w:spacing w:after="0" w:line="240" w:lineRule="auto"/>
        <w:ind w:left="425" w:hanging="425"/>
        <w:jc w:val="both"/>
        <w:rPr>
          <w:rFonts w:ascii="Times New Roman" w:hAnsi="Times New Roman"/>
          <w:b/>
          <w:sz w:val="24"/>
          <w:szCs w:val="24"/>
        </w:rPr>
      </w:pPr>
      <w:r w:rsidRPr="00D75D2E">
        <w:rPr>
          <w:rFonts w:ascii="Times New Roman" w:hAnsi="Times New Roman"/>
          <w:b/>
          <w:sz w:val="24"/>
          <w:szCs w:val="24"/>
        </w:rPr>
        <w:t>Code de conduite individuel</w:t>
      </w:r>
      <w:bookmarkEnd w:id="1074"/>
    </w:p>
    <w:p w14:paraId="4E652FC7" w14:textId="77777777" w:rsidR="004F08B7" w:rsidRPr="00D75D2E" w:rsidRDefault="004F08B7" w:rsidP="00AE31F1">
      <w:pPr>
        <w:suppressAutoHyphens/>
        <w:overflowPunct w:val="0"/>
        <w:autoSpaceDE w:val="0"/>
        <w:autoSpaceDN w:val="0"/>
        <w:adjustRightInd w:val="0"/>
        <w:spacing w:before="120" w:after="120" w:line="240" w:lineRule="auto"/>
        <w:textAlignment w:val="baseline"/>
        <w:rPr>
          <w:rFonts w:ascii="Times New Roman" w:hAnsi="Times New Roman"/>
          <w:b/>
          <w:sz w:val="24"/>
          <w:szCs w:val="24"/>
        </w:rPr>
      </w:pPr>
      <w:r w:rsidRPr="00D75D2E">
        <w:rPr>
          <w:rFonts w:ascii="Times New Roman" w:hAnsi="Times New Roman"/>
          <w:b/>
          <w:sz w:val="24"/>
          <w:szCs w:val="24"/>
        </w:rPr>
        <w:t>Mise en œuvre des normes ESHS et SST</w:t>
      </w:r>
    </w:p>
    <w:p w14:paraId="1AE6D1F1" w14:textId="6BE83656" w:rsidR="004F08B7" w:rsidRPr="00D75D2E" w:rsidRDefault="004F08B7" w:rsidP="00AE31F1">
      <w:pPr>
        <w:suppressAutoHyphens/>
        <w:overflowPunct w:val="0"/>
        <w:autoSpaceDE w:val="0"/>
        <w:autoSpaceDN w:val="0"/>
        <w:adjustRightInd w:val="0"/>
        <w:spacing w:after="0" w:line="240" w:lineRule="auto"/>
        <w:textAlignment w:val="baseline"/>
        <w:rPr>
          <w:rFonts w:ascii="Times New Roman" w:hAnsi="Times New Roman"/>
          <w:b/>
          <w:sz w:val="24"/>
          <w:szCs w:val="24"/>
        </w:rPr>
      </w:pPr>
      <w:r w:rsidRPr="00D75D2E">
        <w:rPr>
          <w:rFonts w:ascii="Times New Roman" w:hAnsi="Times New Roman"/>
          <w:b/>
          <w:sz w:val="24"/>
          <w:szCs w:val="24"/>
        </w:rPr>
        <w:t xml:space="preserve">Prévenir </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b/>
          <w:sz w:val="24"/>
          <w:szCs w:val="24"/>
        </w:rPr>
        <w:t>et la violence contre les enfants</w:t>
      </w:r>
    </w:p>
    <w:p w14:paraId="33848B20" w14:textId="46796160"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Cs/>
          <w:sz w:val="24"/>
          <w:szCs w:val="24"/>
        </w:rPr>
      </w:pPr>
      <w:r w:rsidRPr="00D75D2E">
        <w:rPr>
          <w:rFonts w:ascii="Times New Roman" w:hAnsi="Times New Roman"/>
          <w:bCs/>
          <w:sz w:val="24"/>
          <w:szCs w:val="24"/>
        </w:rPr>
        <w:t>Je, soussigné(e) ______________________________,</w:t>
      </w:r>
      <w:r w:rsidRPr="00D75D2E">
        <w:rPr>
          <w:rFonts w:ascii="Times New Roman" w:hAnsi="Times New Roman"/>
          <w:sz w:val="24"/>
          <w:szCs w:val="24"/>
        </w:rPr>
        <w:t xml:space="preserve"> </w:t>
      </w:r>
      <w:r w:rsidRPr="00D75D2E">
        <w:rPr>
          <w:rFonts w:ascii="Times New Roman" w:hAnsi="Times New Roman"/>
          <w:bCs/>
          <w:sz w:val="24"/>
          <w:szCs w:val="24"/>
        </w:rPr>
        <w:t xml:space="preserve">reconnais qu'il est important de respecter les normes environnementales, sociales, d’hygiène et de sécurité (ESHS), de respecter les exigences de santé et de sécurité au travail (SST) du projet et de prévenir </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bCs/>
          <w:sz w:val="24"/>
          <w:szCs w:val="24"/>
        </w:rPr>
        <w:t>et la violence contre les enfants (VCE).</w:t>
      </w:r>
    </w:p>
    <w:p w14:paraId="7EDA2A28" w14:textId="175425F0"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L’entreprise considère que le non-respect des normes ESHS et SST ou la participation à des activités </w:t>
      </w:r>
      <w:r w:rsidR="00A96FC0">
        <w:rPr>
          <w:rFonts w:ascii="Times New Roman" w:hAnsi="Times New Roman"/>
          <w:sz w:val="24"/>
          <w:szCs w:val="24"/>
        </w:rPr>
        <w:t>EAS/HS</w:t>
      </w:r>
      <w:r w:rsidRPr="00D75D2E">
        <w:rPr>
          <w:rFonts w:ascii="Times New Roman" w:hAnsi="Times New Roman"/>
          <w:sz w:val="24"/>
          <w:szCs w:val="24"/>
        </w:rPr>
        <w:t xml:space="preserve"> ou VCE, que ce soit sur le lieu de travail, aux alentours du lieu de travail, dans les camps de travailleurs ou dans les communautés avoisinantes, constituent des fautes graves, et sont donc passibles de sanctions, des pénalités ou d’une éventuelle cessation d'emploi. Des poursuites par la police contre les auteurs d</w:t>
      </w:r>
      <w:r w:rsidR="00A96FC0">
        <w:rPr>
          <w:rFonts w:ascii="Times New Roman" w:hAnsi="Times New Roman"/>
          <w:sz w:val="24"/>
          <w:szCs w:val="24"/>
        </w:rPr>
        <w:t>’EAS/HS</w:t>
      </w:r>
      <w:r w:rsidRPr="00D75D2E">
        <w:rPr>
          <w:rFonts w:ascii="Times New Roman" w:hAnsi="Times New Roman"/>
          <w:sz w:val="24"/>
          <w:szCs w:val="24"/>
        </w:rPr>
        <w:t xml:space="preserve"> ou de VCE peuvent être engagées si nécessaire.</w:t>
      </w:r>
    </w:p>
    <w:p w14:paraId="12903114" w14:textId="77777777"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Je suis d'accord que tout en travaillant sur le projet, je dois :</w:t>
      </w:r>
    </w:p>
    <w:p w14:paraId="40B77926" w14:textId="1240190B"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 xml:space="preserve">Assister et participer activement à des cours de formation liés à ESHS, SST, VIH / SIDA, </w:t>
      </w:r>
      <w:r w:rsidR="00A96FC0">
        <w:rPr>
          <w:rFonts w:ascii="Times New Roman" w:hAnsi="Times New Roman"/>
          <w:sz w:val="24"/>
          <w:szCs w:val="24"/>
        </w:rPr>
        <w:t>EAS/HS</w:t>
      </w:r>
      <w:r w:rsidRPr="00D75D2E">
        <w:rPr>
          <w:rFonts w:ascii="Times New Roman" w:hAnsi="Times New Roman"/>
          <w:sz w:val="24"/>
          <w:szCs w:val="24"/>
        </w:rPr>
        <w:t xml:space="preserve"> et VCE comme demandé par mon employeur.</w:t>
      </w:r>
    </w:p>
    <w:p w14:paraId="59AF7913"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Porter mon équipement de protection individuelle (EPI) en tout temps sur le lieu de travail ou dans le cadre d'activités liées au projet.</w:t>
      </w:r>
    </w:p>
    <w:p w14:paraId="3BC4B8AD"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Prendre toutes les mesures pratiques pour mettre en œuvre le plan de gestion environnementale et sociale de l'entrepreneur (PGES-E).</w:t>
      </w:r>
    </w:p>
    <w:p w14:paraId="04ED9879"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Mettre en œuvre le plan de gestion de la SST.</w:t>
      </w:r>
    </w:p>
    <w:p w14:paraId="29FF0258"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Adhérer à une politique sans alcool pendant les activités de travail et s'abstenir d'utiliser des stupéfiants ou d'autres substances qui peuvent altérer les facultés en tout temps.</w:t>
      </w:r>
    </w:p>
    <w:p w14:paraId="3709C023"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Consentir à la vérification des antécédents de la police.</w:t>
      </w:r>
    </w:p>
    <w:p w14:paraId="0C1CD436"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Traiter les femmes, les enfants (personnes de moins de 18 ans) et les hommes avec respect sans distinction de race, couleur, langue, religion, opinion politique ou autre, origine nationale, ethnique ou sociale, propriété, handicap, naissance ou autre statut.</w:t>
      </w:r>
    </w:p>
    <w:p w14:paraId="4905D8C2"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Ne pas utiliser de langage ou de comportement envers les femmes, les enfants ou les hommes qui soit inapproprié, harcelant, abusif, sexuellement provocant, avilissant ou culturellement inapproprié.</w:t>
      </w:r>
    </w:p>
    <w:p w14:paraId="00596CB6"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Ne pas se livrer au harcèlement sexuel - par exemple, faire des avances sexuelles importunes, des demandes de faveurs sexuelles et d'autres comportements verbaux ou physiques, de nature sexuelle, y compris des actes subtils de ce genre (par exemple, regarder quelqu'un de haut en bas, embrasser, hurler ou claquer des sons, traîner quelqu'un, siffler et faire des appels, donner des cadeaux personnels, faire des commentaires sur la vie sexuelle de quelqu'un, etc.).</w:t>
      </w:r>
    </w:p>
    <w:p w14:paraId="01AC3A9E"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Ne pas se livrer à des faveurs sexuelles - par exemple, faire des promesses ou un traitement favorable dépendant d'actes sexuels - ou d'autres formes de comportement humiliant, dégradant ou d'exploitation.</w:t>
      </w:r>
    </w:p>
    <w:p w14:paraId="4751713A"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Ne pas participer à un contact ou une activité sexuelle avec des enfants - y compris le toilettage ou le contact par le biais des médias numériques. Une croyance erronée concernant l'âge d'un enfant n'est pas une défense. Le consentement de l'enfant n'est pas non plus une défense ou une excuse.</w:t>
      </w:r>
    </w:p>
    <w:p w14:paraId="1A719E45"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À moins d'avoir le plein consentement</w:t>
      </w:r>
      <w:r w:rsidRPr="00AE31F1">
        <w:rPr>
          <w:rFonts w:ascii="Times New Roman" w:hAnsi="Times New Roman"/>
          <w:sz w:val="24"/>
          <w:szCs w:val="24"/>
        </w:rPr>
        <w:footnoteReference w:id="17"/>
      </w:r>
      <w:r w:rsidRPr="00D75D2E">
        <w:rPr>
          <w:rFonts w:ascii="Times New Roman" w:hAnsi="Times New Roman"/>
          <w:sz w:val="24"/>
          <w:szCs w:val="24"/>
        </w:rPr>
        <w:t xml:space="preserve"> de toutes les parties impliquées, je n'aurai pas d'interactions sexuelles avec les membres des communautés environnantes. Cela inclut les relations impliquant la retenue ou la promesse de prestation effective de bénéfices (monétaires ou non) aux membres de la communauté en échange de rapports sexuels - une telle activité sexuelle est considérée comme « non consensuelle » dans le champ d'application de ce Code.</w:t>
      </w:r>
    </w:p>
    <w:p w14:paraId="13D17950" w14:textId="400D7EF5"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 xml:space="preserve">Envisager de signaler par l'intermédiaire du mécanisme de règlement des griefs ou de mon directeur toute </w:t>
      </w:r>
      <w:r w:rsidR="00A96FC0">
        <w:rPr>
          <w:rFonts w:ascii="Times New Roman" w:hAnsi="Times New Roman"/>
          <w:sz w:val="24"/>
          <w:szCs w:val="24"/>
        </w:rPr>
        <w:t>EAS/HS</w:t>
      </w:r>
      <w:r w:rsidRPr="00D75D2E">
        <w:rPr>
          <w:rFonts w:ascii="Times New Roman" w:hAnsi="Times New Roman"/>
          <w:sz w:val="24"/>
          <w:szCs w:val="24"/>
        </w:rPr>
        <w:t xml:space="preserve"> ou VCE présumée ou réelle par un collègue, qu'il soit ou non employé par mon entreprise, ou toute violation de ce Code de Conduite.</w:t>
      </w:r>
    </w:p>
    <w:p w14:paraId="1A3FEE39" w14:textId="77777777"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En ce qui concerne les enfants de moins de 18 ans :</w:t>
      </w:r>
    </w:p>
    <w:p w14:paraId="21A2AE0A"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Dans la mesure du possible, je dois m’assurer qu'un autre adulte est présent lorsque je travaille à la proximité d'enfants.</w:t>
      </w:r>
    </w:p>
    <w:p w14:paraId="78FB8B59"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Ne pas inviter des enfants non accompagnés sans lien avec ma famille dans ma maison, à moins qu'ils ne courent un risque immédiat de blessure ou de danger physique.</w:t>
      </w:r>
    </w:p>
    <w:p w14:paraId="651DCDBD"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N'utiliser aucun ordinateur, téléphone portable, caméra vidéo ou numérique ou tout autre support pour exploiter ou harceler des enfants ou accéder à de la pornographie enfantine (voir aussi "Utilisation d'images d'enfants à des fins professionnelles" ci-dessous).</w:t>
      </w:r>
    </w:p>
    <w:p w14:paraId="436AC7F7"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S'abstenir de punir physiquement ou de discipliner les enfants.</w:t>
      </w:r>
    </w:p>
    <w:p w14:paraId="728635AE"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S'abstenir d'embaucher des enfants pour des travaux domestiques ou autres, en dessous de l'âge minimum de 14 ans, sauf si la législation nationale spécifie un âge plus élevé, ou qui les exposent à un risque important de blessure.</w:t>
      </w:r>
    </w:p>
    <w:p w14:paraId="21C64415"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Respecter toutes les lois locales pertinentes, y compris les lois du travail relatives au travail des enfants et les politiques de sauvegarde de la Banque mondiale sur le travail des enfants et l'âge minimum.</w:t>
      </w:r>
    </w:p>
    <w:p w14:paraId="4E2E9472" w14:textId="77777777" w:rsidR="004F08B7" w:rsidRPr="00D75D2E" w:rsidRDefault="004F08B7" w:rsidP="00AE31F1">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Etre prudent lorsque je photographie ou filme des enfants (voir l'annexe 2 pour plus de détails).</w:t>
      </w:r>
    </w:p>
    <w:p w14:paraId="1BA7CF5C" w14:textId="77777777" w:rsidR="004F08B7" w:rsidRPr="00D75D2E" w:rsidRDefault="004F08B7" w:rsidP="00AE31F1">
      <w:pPr>
        <w:suppressAutoHyphens/>
        <w:overflowPunct w:val="0"/>
        <w:autoSpaceDE w:val="0"/>
        <w:autoSpaceDN w:val="0"/>
        <w:adjustRightInd w:val="0"/>
        <w:spacing w:before="120" w:after="120" w:line="240" w:lineRule="auto"/>
        <w:jc w:val="both"/>
        <w:textAlignment w:val="baseline"/>
        <w:rPr>
          <w:rFonts w:ascii="Times New Roman" w:hAnsi="Times New Roman"/>
          <w:b/>
          <w:bCs/>
          <w:sz w:val="24"/>
          <w:szCs w:val="24"/>
        </w:rPr>
      </w:pPr>
      <w:r w:rsidRPr="00D75D2E">
        <w:rPr>
          <w:rFonts w:ascii="Times New Roman" w:hAnsi="Times New Roman"/>
          <w:b/>
          <w:bCs/>
          <w:sz w:val="24"/>
          <w:szCs w:val="24"/>
        </w:rPr>
        <w:t>Utilisation d’images d'enfants à des fins professionnelles</w:t>
      </w:r>
    </w:p>
    <w:p w14:paraId="0FCAC914" w14:textId="77777777" w:rsidR="004F08B7" w:rsidRPr="00D75D2E" w:rsidRDefault="004F08B7" w:rsidP="00C700F6">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Avant de photographier ou filmer un enfant, évaluer et s’efforcer de suivre les traditions locales ou les restrictions concernant la reproduction d’images de personnes.</w:t>
      </w:r>
    </w:p>
    <w:p w14:paraId="7190B0C5" w14:textId="77777777" w:rsidR="004F08B7" w:rsidRPr="00D75D2E" w:rsidRDefault="004F08B7" w:rsidP="00C700F6">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Avant de photographier ou filmer un enfant, obtenir le consentement éclairé de l’enfant et d’un parent ou du tuteur de l’enfant. En faisant cela, je dois expliquer comment la photo ou le film seront utilisés.</w:t>
      </w:r>
    </w:p>
    <w:p w14:paraId="56DA71B9" w14:textId="77777777" w:rsidR="004F08B7" w:rsidRPr="00D75D2E" w:rsidRDefault="004F08B7" w:rsidP="00C700F6">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Veiller à ce que les photographies, les films, les vidéos et les DVD présentent les enfants de manière digne et respectueuse et non de manière vulnérable ou soumise. Les enfants doivent être vêtus de manière adéquate et ne pas avoir de poses pouvant être considérées comme sexuellement suggestives.</w:t>
      </w:r>
    </w:p>
    <w:p w14:paraId="15499F4D" w14:textId="77777777" w:rsidR="004F08B7" w:rsidRPr="00D75D2E" w:rsidRDefault="004F08B7" w:rsidP="00C700F6">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Assurer que les images sont des représentations honnêtes du contexte et des faits.</w:t>
      </w:r>
    </w:p>
    <w:p w14:paraId="4470FF53" w14:textId="77777777" w:rsidR="004F08B7" w:rsidRDefault="004F08B7" w:rsidP="00C700F6">
      <w:pPr>
        <w:numPr>
          <w:ilvl w:val="0"/>
          <w:numId w:val="9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hanging="425"/>
        <w:jc w:val="both"/>
        <w:textAlignment w:val="baseline"/>
        <w:rPr>
          <w:rFonts w:ascii="Times New Roman" w:hAnsi="Times New Roman"/>
          <w:sz w:val="24"/>
          <w:szCs w:val="24"/>
        </w:rPr>
      </w:pPr>
      <w:r w:rsidRPr="00D75D2E">
        <w:rPr>
          <w:rFonts w:ascii="Times New Roman" w:hAnsi="Times New Roman"/>
          <w:sz w:val="24"/>
          <w:szCs w:val="24"/>
        </w:rPr>
        <w:t>S'assurer que les étiquettes de fichiers ne révèlent pas d'informations d'identification sur un enfant lors de l'envoi d'images par voie électronique.</w:t>
      </w:r>
    </w:p>
    <w:p w14:paraId="49A33723" w14:textId="77777777" w:rsidR="002F4BEA" w:rsidRPr="00D75D2E" w:rsidRDefault="002F4BEA" w:rsidP="00AE31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3DFFEF64" w14:textId="77777777" w:rsidR="004F08B7" w:rsidRPr="00D75D2E" w:rsidRDefault="004F08B7" w:rsidP="002F4BEA">
      <w:pPr>
        <w:suppressAutoHyphens/>
        <w:overflowPunct w:val="0"/>
        <w:autoSpaceDE w:val="0"/>
        <w:autoSpaceDN w:val="0"/>
        <w:adjustRightInd w:val="0"/>
        <w:spacing w:after="0" w:line="240" w:lineRule="auto"/>
        <w:jc w:val="both"/>
        <w:textAlignment w:val="baseline"/>
        <w:rPr>
          <w:rFonts w:ascii="Times New Roman" w:hAnsi="Times New Roman"/>
          <w:b/>
          <w:bCs/>
          <w:sz w:val="24"/>
          <w:szCs w:val="24"/>
        </w:rPr>
      </w:pPr>
      <w:r w:rsidRPr="00D75D2E">
        <w:rPr>
          <w:rFonts w:ascii="Times New Roman" w:hAnsi="Times New Roman"/>
          <w:b/>
          <w:bCs/>
          <w:sz w:val="24"/>
          <w:szCs w:val="24"/>
        </w:rPr>
        <w:t>Sanctions</w:t>
      </w:r>
    </w:p>
    <w:p w14:paraId="1E8F99CF" w14:textId="77777777"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Je comprends que si je ne respecte pas ce Code de conduite individuel, mon employeur prendra des mesures disciplinaires qui pourraient inclure :</w:t>
      </w:r>
    </w:p>
    <w:p w14:paraId="060C62CF"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Avertissement informel.</w:t>
      </w:r>
    </w:p>
    <w:p w14:paraId="2437530D"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Avertissement formel.</w:t>
      </w:r>
    </w:p>
    <w:p w14:paraId="7979E7DF"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Formation supplémentaire.</w:t>
      </w:r>
    </w:p>
    <w:p w14:paraId="54C14129"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Perte d'un maximum d'une semaine de salaire.</w:t>
      </w:r>
    </w:p>
    <w:p w14:paraId="14ED9225"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Suspension de l'emploi (sans paiement de salaire), pour une période minimum de 1 mois jusqu'à un maximum de 6 mois.</w:t>
      </w:r>
    </w:p>
    <w:p w14:paraId="790C5D85"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Cessation d'emploi.</w:t>
      </w:r>
    </w:p>
    <w:p w14:paraId="6A6CAD7A" w14:textId="77777777" w:rsidR="004F08B7" w:rsidRPr="00D75D2E" w:rsidRDefault="004F08B7" w:rsidP="00C700F6">
      <w:pPr>
        <w:numPr>
          <w:ilvl w:val="0"/>
          <w:numId w:val="9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ind w:left="567"/>
        <w:jc w:val="both"/>
        <w:textAlignment w:val="baseline"/>
        <w:rPr>
          <w:rFonts w:ascii="Times New Roman" w:hAnsi="Times New Roman"/>
          <w:sz w:val="24"/>
          <w:szCs w:val="24"/>
        </w:rPr>
      </w:pPr>
      <w:r w:rsidRPr="00D75D2E">
        <w:rPr>
          <w:rFonts w:ascii="Times New Roman" w:hAnsi="Times New Roman"/>
          <w:sz w:val="24"/>
          <w:szCs w:val="24"/>
        </w:rPr>
        <w:t>Faire rapport à la police si nécessaire.</w:t>
      </w:r>
    </w:p>
    <w:p w14:paraId="66480C64" w14:textId="18B99ED4" w:rsidR="004F08B7" w:rsidRPr="00D75D2E" w:rsidRDefault="004F08B7" w:rsidP="00AE31F1">
      <w:pPr>
        <w:shd w:val="clear" w:color="auto" w:fill="FFFFFF"/>
        <w:suppressAutoHyphens/>
        <w:overflowPunct w:val="0"/>
        <w:autoSpaceDE w:val="0"/>
        <w:autoSpaceDN w:val="0"/>
        <w:adjustRightInd w:val="0"/>
        <w:spacing w:before="120" w:after="0" w:line="240" w:lineRule="auto"/>
        <w:jc w:val="both"/>
        <w:textAlignment w:val="baseline"/>
        <w:rPr>
          <w:rFonts w:ascii="Times New Roman" w:hAnsi="Times New Roman"/>
          <w:i/>
          <w:sz w:val="24"/>
          <w:szCs w:val="24"/>
        </w:rPr>
      </w:pPr>
      <w:r w:rsidRPr="00D75D2E">
        <w:rPr>
          <w:rFonts w:ascii="Times New Roman" w:hAnsi="Times New Roman"/>
          <w:i/>
          <w:sz w:val="24"/>
          <w:szCs w:val="24"/>
        </w:rPr>
        <w:t xml:space="preserve">Je comprends qu'il est de ma responsabilité de veiller à ce que les normes environnementales, sociales, d’hygiène et de sécurité soient respectées. Que je vais adhérer au plan de gestion de la santé et de la sécurité au travail. Que je vais éviter les actions ou les comportements qui pourraient être interprétés comme </w:t>
      </w:r>
      <w:r w:rsidR="00A96FC0">
        <w:rPr>
          <w:rFonts w:ascii="Times New Roman" w:hAnsi="Times New Roman"/>
          <w:sz w:val="24"/>
          <w:szCs w:val="24"/>
        </w:rPr>
        <w:t>EAS/HS</w:t>
      </w:r>
      <w:r w:rsidRPr="00D75D2E">
        <w:rPr>
          <w:rFonts w:ascii="Times New Roman" w:hAnsi="Times New Roman"/>
          <w:i/>
          <w:sz w:val="24"/>
          <w:szCs w:val="24"/>
        </w:rPr>
        <w:t xml:space="preserve"> ou VCE. De telles actions constitueront une violation de ce code de conduite individuel. Je reconnais par la présente avoir lu le Code de conduite individuel ci-dessus, j’accepte de me conformer aux normes qui y sont énoncées et comprendre mes rôles et responsabilités pour prévenir et répondre aux questions ESHS, SST, </w:t>
      </w:r>
      <w:r w:rsidR="00A96FC0">
        <w:rPr>
          <w:rFonts w:ascii="Times New Roman" w:hAnsi="Times New Roman"/>
          <w:sz w:val="24"/>
          <w:szCs w:val="24"/>
        </w:rPr>
        <w:t>EAS/HS</w:t>
      </w:r>
      <w:r w:rsidRPr="00D75D2E">
        <w:rPr>
          <w:rFonts w:ascii="Times New Roman" w:hAnsi="Times New Roman"/>
          <w:i/>
          <w:sz w:val="24"/>
          <w:szCs w:val="24"/>
        </w:rPr>
        <w:t xml:space="preserve"> et VCE. Je comprends que toute action incompatible avec ce code de conduite individuel ou toute omission d'agir conformément au présent code de conduite peut entraîner des mesures disciplinaires et affecter mon emploi actuel.</w:t>
      </w:r>
    </w:p>
    <w:p w14:paraId="751047D2"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0CA027EC"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77283A1C"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Signature : </w:t>
      </w:r>
      <w:r w:rsidRPr="00D75D2E">
        <w:rPr>
          <w:rFonts w:ascii="Times New Roman" w:hAnsi="Times New Roman"/>
          <w:sz w:val="24"/>
          <w:szCs w:val="24"/>
        </w:rPr>
        <w:tab/>
        <w:t>_________________________</w:t>
      </w:r>
    </w:p>
    <w:p w14:paraId="5D4A38E9"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03761C7D"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Nom en caractères d’imprimerie :       _________________________</w:t>
      </w:r>
    </w:p>
    <w:p w14:paraId="652F92B7"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6D1C763B"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Titre : </w:t>
      </w:r>
      <w:r w:rsidRPr="00D75D2E">
        <w:rPr>
          <w:rFonts w:ascii="Times New Roman" w:hAnsi="Times New Roman"/>
          <w:sz w:val="24"/>
          <w:szCs w:val="24"/>
        </w:rPr>
        <w:tab/>
      </w:r>
      <w:r w:rsidRPr="00D75D2E">
        <w:rPr>
          <w:rFonts w:ascii="Times New Roman" w:hAnsi="Times New Roman"/>
          <w:sz w:val="24"/>
          <w:szCs w:val="24"/>
        </w:rPr>
        <w:tab/>
        <w:t>_________________________</w:t>
      </w:r>
    </w:p>
    <w:p w14:paraId="77F0AA05"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66B773EE"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Date : </w:t>
      </w:r>
      <w:r w:rsidRPr="00D75D2E">
        <w:rPr>
          <w:rFonts w:ascii="Times New Roman" w:hAnsi="Times New Roman"/>
          <w:sz w:val="24"/>
          <w:szCs w:val="24"/>
        </w:rPr>
        <w:tab/>
      </w:r>
      <w:r w:rsidRPr="00D75D2E">
        <w:rPr>
          <w:rFonts w:ascii="Times New Roman" w:hAnsi="Times New Roman"/>
          <w:sz w:val="24"/>
          <w:szCs w:val="24"/>
        </w:rPr>
        <w:tab/>
        <w:t>_________________________</w:t>
      </w:r>
    </w:p>
    <w:p w14:paraId="26E763E1" w14:textId="77777777" w:rsidR="004F08B7" w:rsidRPr="00D75D2E" w:rsidRDefault="004F08B7" w:rsidP="004F08B7">
      <w:pPr>
        <w:spacing w:after="0" w:line="240" w:lineRule="auto"/>
        <w:rPr>
          <w:rFonts w:ascii="Times New Roman" w:hAnsi="Times New Roman"/>
          <w:bCs/>
          <w:i/>
          <w:sz w:val="24"/>
          <w:szCs w:val="24"/>
        </w:rPr>
      </w:pPr>
      <w:r w:rsidRPr="00D75D2E">
        <w:rPr>
          <w:rFonts w:ascii="Times New Roman" w:hAnsi="Times New Roman"/>
          <w:bCs/>
          <w:i/>
          <w:sz w:val="24"/>
          <w:szCs w:val="24"/>
        </w:rPr>
        <w:br w:type="page"/>
      </w:r>
    </w:p>
    <w:p w14:paraId="15EF703A" w14:textId="7610B91D" w:rsidR="004F08B7" w:rsidRPr="00D75D2E" w:rsidRDefault="00C700F6" w:rsidP="00F933DF">
      <w:pPr>
        <w:numPr>
          <w:ilvl w:val="0"/>
          <w:numId w:val="110"/>
        </w:numPr>
        <w:spacing w:after="120" w:line="240" w:lineRule="auto"/>
        <w:ind w:left="426" w:hanging="357"/>
        <w:jc w:val="both"/>
        <w:rPr>
          <w:rFonts w:ascii="Times New Roman" w:hAnsi="Times New Roman"/>
          <w:b/>
          <w:sz w:val="24"/>
          <w:szCs w:val="24"/>
        </w:rPr>
      </w:pPr>
      <w:bookmarkStart w:id="1075" w:name="_Toc510532983"/>
      <w:r>
        <w:rPr>
          <w:rFonts w:ascii="Times New Roman" w:hAnsi="Times New Roman"/>
          <w:b/>
          <w:sz w:val="24"/>
          <w:szCs w:val="24"/>
        </w:rPr>
        <w:t>Fonctionnement du m</w:t>
      </w:r>
      <w:bookmarkEnd w:id="1075"/>
      <w:r>
        <w:rPr>
          <w:rFonts w:ascii="Times New Roman" w:hAnsi="Times New Roman"/>
          <w:b/>
          <w:sz w:val="24"/>
          <w:szCs w:val="24"/>
        </w:rPr>
        <w:t>écanisme de gestion des plaintes sensibles à l’EAS/HS</w:t>
      </w:r>
    </w:p>
    <w:p w14:paraId="1DB13179" w14:textId="6E96B1D5"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76" w:name="_Toc510532984"/>
      <w:r w:rsidRPr="00D75D2E">
        <w:rPr>
          <w:rFonts w:ascii="Times New Roman" w:hAnsi="Times New Roman"/>
          <w:b/>
          <w:sz w:val="24"/>
          <w:szCs w:val="24"/>
        </w:rPr>
        <w:t xml:space="preserve">L'équipe de conformité </w:t>
      </w:r>
      <w:bookmarkEnd w:id="1076"/>
      <w:r w:rsidRPr="00D75D2E">
        <w:rPr>
          <w:rFonts w:ascii="Times New Roman" w:hAnsi="Times New Roman"/>
          <w:b/>
          <w:sz w:val="24"/>
          <w:szCs w:val="24"/>
        </w:rPr>
        <w:t>en matière d</w:t>
      </w:r>
      <w:r w:rsidR="00A96FC0">
        <w:rPr>
          <w:rFonts w:ascii="Times New Roman" w:hAnsi="Times New Roman"/>
          <w:b/>
          <w:sz w:val="24"/>
          <w:szCs w:val="24"/>
        </w:rPr>
        <w:t>’</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b/>
          <w:sz w:val="24"/>
          <w:szCs w:val="24"/>
        </w:rPr>
        <w:t>et VCE</w:t>
      </w:r>
    </w:p>
    <w:p w14:paraId="31C39E9D" w14:textId="4577AA5D"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shd w:val="clear" w:color="auto" w:fill="FFFFFF"/>
        </w:rPr>
      </w:pPr>
      <w:r w:rsidRPr="00D75D2E">
        <w:rPr>
          <w:rFonts w:ascii="Times New Roman" w:hAnsi="Times New Roman"/>
          <w:sz w:val="24"/>
          <w:szCs w:val="24"/>
        </w:rPr>
        <w:t>Le projet doit mettre en place une « équipe de conformité en matière d</w:t>
      </w:r>
      <w:r w:rsidR="00A96FC0">
        <w:rPr>
          <w:rFonts w:ascii="Times New Roman" w:hAnsi="Times New Roman"/>
          <w:sz w:val="24"/>
          <w:szCs w:val="24"/>
        </w:rPr>
        <w:t>’EAS/HS</w:t>
      </w:r>
      <w:r w:rsidRPr="00D75D2E">
        <w:rPr>
          <w:rFonts w:ascii="Times New Roman" w:hAnsi="Times New Roman"/>
          <w:sz w:val="24"/>
          <w:szCs w:val="24"/>
        </w:rPr>
        <w:t xml:space="preserve"> et de VCE </w:t>
      </w:r>
      <w:r w:rsidRPr="00D75D2E">
        <w:rPr>
          <w:rFonts w:ascii="Times New Roman" w:hAnsi="Times New Roman"/>
          <w:sz w:val="24"/>
          <w:szCs w:val="24"/>
          <w:shd w:val="clear" w:color="auto" w:fill="FFFFFF"/>
        </w:rPr>
        <w:t xml:space="preserve">» (ECVV). </w:t>
      </w:r>
      <w:r w:rsidRPr="00AE31F1">
        <w:rPr>
          <w:rFonts w:ascii="Times New Roman" w:hAnsi="Times New Roman"/>
          <w:sz w:val="24"/>
          <w:szCs w:val="24"/>
        </w:rPr>
        <w:t>L’ECVV</w:t>
      </w:r>
      <w:r w:rsidRPr="00D75D2E">
        <w:rPr>
          <w:rFonts w:ascii="Times New Roman" w:hAnsi="Times New Roman"/>
          <w:sz w:val="24"/>
          <w:szCs w:val="24"/>
          <w:shd w:val="clear" w:color="auto" w:fill="FFFFFF"/>
        </w:rPr>
        <w:t xml:space="preserve"> inclura, selon le cas, au moins quatre représentants « points focaux » comme suit :</w:t>
      </w:r>
    </w:p>
    <w:p w14:paraId="38A8B498" w14:textId="77777777" w:rsidR="004F08B7" w:rsidRPr="00D75D2E" w:rsidRDefault="004F08B7" w:rsidP="000C31FB">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 xml:space="preserve">Un spécialiste en sauvegardes du client ; </w:t>
      </w:r>
    </w:p>
    <w:p w14:paraId="3B24F09A" w14:textId="27E162A7" w:rsidR="004F08B7" w:rsidRPr="00D75D2E" w:rsidRDefault="004F08B7" w:rsidP="000C31FB">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Le responsable de la santé et de la sécurité au travail de l'entrepreneur</w:t>
      </w:r>
      <w:r w:rsidRPr="00D75D2E">
        <w:rPr>
          <w:rFonts w:ascii="Times New Roman" w:hAnsi="Times New Roman"/>
          <w:sz w:val="24"/>
          <w:szCs w:val="24"/>
        </w:rPr>
        <w:footnoteReference w:id="18"/>
      </w:r>
      <w:r w:rsidRPr="00D75D2E">
        <w:rPr>
          <w:rFonts w:ascii="Times New Roman" w:hAnsi="Times New Roman"/>
          <w:sz w:val="24"/>
          <w:szCs w:val="24"/>
        </w:rPr>
        <w:t>, ou quelqu'un d'autre chargé de s'occuper d</w:t>
      </w:r>
      <w:r w:rsidR="00A96FC0">
        <w:rPr>
          <w:rFonts w:ascii="Times New Roman" w:hAnsi="Times New Roman"/>
          <w:sz w:val="24"/>
          <w:szCs w:val="24"/>
        </w:rPr>
        <w:t>’EAS/HS</w:t>
      </w:r>
      <w:r w:rsidRPr="00D75D2E">
        <w:rPr>
          <w:rFonts w:ascii="Times New Roman" w:hAnsi="Times New Roman"/>
          <w:sz w:val="24"/>
          <w:szCs w:val="24"/>
        </w:rPr>
        <w:t xml:space="preserve"> et VCE avec suffisamment de temps et d'ancienneté pour se consacrer au poste;</w:t>
      </w:r>
    </w:p>
    <w:p w14:paraId="132F256E" w14:textId="77777777" w:rsidR="004F08B7" w:rsidRPr="00D75D2E" w:rsidRDefault="004F08B7" w:rsidP="000C31FB">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 xml:space="preserve">Le consultant en supervision (mission de contrôle); et, </w:t>
      </w:r>
    </w:p>
    <w:p w14:paraId="12BBAC81" w14:textId="65F7B27F" w:rsidR="004F08B7" w:rsidRPr="00D75D2E" w:rsidRDefault="004F08B7" w:rsidP="000C31FB">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Un représentant d'un fournisseur de services local ayant de l'expérience en matière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00A96FC0">
        <w:rPr>
          <w:rFonts w:ascii="Times New Roman" w:hAnsi="Times New Roman"/>
          <w:sz w:val="24"/>
          <w:szCs w:val="24"/>
        </w:rPr>
        <w:t xml:space="preserve"> </w:t>
      </w:r>
      <w:r w:rsidRPr="00D75D2E">
        <w:rPr>
          <w:rFonts w:ascii="Times New Roman" w:hAnsi="Times New Roman"/>
          <w:sz w:val="24"/>
          <w:szCs w:val="24"/>
        </w:rPr>
        <w:t>et de VCE « fournisseur de services ».</w:t>
      </w:r>
    </w:p>
    <w:p w14:paraId="44D5858A" w14:textId="71F42F3C"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Il appartiendra à l’ECVV, avec le soutien de la direction de l'entrepreneur, d'informer les travailleurs des activités et des responsabilités de l’ECVV. Pour servir efficacement sur au sein de l’ECVV, les membres doivent suivre une formation par le fournisseur de services local avant le début de leur affectation pour s'assurer qu'ils sont sensibilisés sur </w:t>
      </w:r>
      <w:r w:rsidR="00A96FC0">
        <w:rPr>
          <w:rFonts w:ascii="Times New Roman" w:hAnsi="Times New Roman"/>
          <w:sz w:val="24"/>
          <w:szCs w:val="24"/>
        </w:rPr>
        <w:t>l’EAS/HS</w:t>
      </w:r>
      <w:r w:rsidRPr="00D75D2E">
        <w:rPr>
          <w:rFonts w:ascii="Times New Roman" w:hAnsi="Times New Roman"/>
          <w:sz w:val="24"/>
          <w:szCs w:val="24"/>
        </w:rPr>
        <w:t xml:space="preserve"> et la protection de l'enfance.</w:t>
      </w:r>
    </w:p>
    <w:p w14:paraId="4E70CD35" w14:textId="77777777" w:rsidR="004F08B7" w:rsidRPr="00D75D2E" w:rsidRDefault="004F08B7" w:rsidP="00AE31F1">
      <w:pPr>
        <w:shd w:val="clear" w:color="auto" w:fill="FFFFFF"/>
        <w:suppressAutoHyphens/>
        <w:overflowPunct w:val="0"/>
        <w:autoSpaceDE w:val="0"/>
        <w:autoSpaceDN w:val="0"/>
        <w:adjustRightInd w:val="0"/>
        <w:spacing w:before="120" w:after="120" w:line="240" w:lineRule="auto"/>
        <w:jc w:val="both"/>
        <w:textAlignment w:val="baseline"/>
        <w:rPr>
          <w:rFonts w:ascii="Times New Roman" w:hAnsi="Times New Roman"/>
          <w:sz w:val="24"/>
          <w:szCs w:val="24"/>
        </w:rPr>
      </w:pPr>
      <w:r w:rsidRPr="00D75D2E">
        <w:rPr>
          <w:rFonts w:ascii="Times New Roman" w:hAnsi="Times New Roman"/>
          <w:sz w:val="24"/>
          <w:szCs w:val="24"/>
        </w:rPr>
        <w:t>L’ECVV devra :</w:t>
      </w:r>
    </w:p>
    <w:p w14:paraId="587D4E6F" w14:textId="3FC4F49A"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 xml:space="preserve">Approuver tout changement aux codes de conduite </w:t>
      </w:r>
      <w:r w:rsidR="00A96FC0">
        <w:rPr>
          <w:rFonts w:ascii="Times New Roman" w:hAnsi="Times New Roman"/>
          <w:sz w:val="24"/>
          <w:szCs w:val="24"/>
        </w:rPr>
        <w:t>EAS/HS</w:t>
      </w:r>
      <w:r w:rsidRPr="00D75D2E">
        <w:rPr>
          <w:rFonts w:ascii="Times New Roman" w:hAnsi="Times New Roman"/>
          <w:sz w:val="24"/>
          <w:szCs w:val="24"/>
        </w:rPr>
        <w:t xml:space="preserve"> et VCE contenus dans ce document, avec les autorisations de la Banque Mondiale pour de tels changements.</w:t>
      </w:r>
    </w:p>
    <w:p w14:paraId="5A36CC8B" w14:textId="51DD2150"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Préparer le plan d'action en matière d</w:t>
      </w:r>
      <w:r w:rsidR="00A96FC0">
        <w:rPr>
          <w:rFonts w:ascii="Times New Roman" w:hAnsi="Times New Roman"/>
          <w:sz w:val="24"/>
          <w:szCs w:val="24"/>
        </w:rPr>
        <w:t>’EAS/HS</w:t>
      </w:r>
      <w:r w:rsidRPr="00D75D2E">
        <w:rPr>
          <w:rFonts w:ascii="Times New Roman" w:hAnsi="Times New Roman"/>
          <w:sz w:val="24"/>
          <w:szCs w:val="24"/>
        </w:rPr>
        <w:t xml:space="preserve"> et VCE reflétant les codes de conduite qui comprennent :</w:t>
      </w:r>
    </w:p>
    <w:p w14:paraId="0351D0A2" w14:textId="77777777" w:rsidR="004F08B7" w:rsidRPr="00D75D2E" w:rsidRDefault="004F08B7" w:rsidP="000C31FB">
      <w:pPr>
        <w:numPr>
          <w:ilvl w:val="1"/>
          <w:numId w:val="109"/>
        </w:numPr>
        <w:shd w:val="clear" w:color="auto" w:fill="FFFFFF"/>
        <w:suppressAutoHyphens/>
        <w:overflowPunct w:val="0"/>
        <w:autoSpaceDE w:val="0"/>
        <w:autoSpaceDN w:val="0"/>
        <w:adjustRightInd w:val="0"/>
        <w:spacing w:after="0" w:line="240" w:lineRule="auto"/>
        <w:ind w:left="851"/>
        <w:contextualSpacing/>
        <w:jc w:val="both"/>
        <w:textAlignment w:val="baseline"/>
        <w:rPr>
          <w:rFonts w:ascii="Times New Roman" w:hAnsi="Times New Roman"/>
          <w:sz w:val="24"/>
          <w:szCs w:val="24"/>
        </w:rPr>
      </w:pPr>
      <w:r w:rsidRPr="00D75D2E">
        <w:rPr>
          <w:rFonts w:ascii="Times New Roman" w:hAnsi="Times New Roman"/>
          <w:sz w:val="24"/>
          <w:szCs w:val="24"/>
        </w:rPr>
        <w:t>Procédures d'allégation en matière de VBG et VCE (voir 4.2)</w:t>
      </w:r>
    </w:p>
    <w:p w14:paraId="74BD8C0C" w14:textId="77777777" w:rsidR="004F08B7" w:rsidRPr="00D75D2E" w:rsidRDefault="004F08B7" w:rsidP="000C31FB">
      <w:pPr>
        <w:numPr>
          <w:ilvl w:val="1"/>
          <w:numId w:val="109"/>
        </w:numPr>
        <w:shd w:val="clear" w:color="auto" w:fill="FFFFFF"/>
        <w:suppressAutoHyphens/>
        <w:overflowPunct w:val="0"/>
        <w:autoSpaceDE w:val="0"/>
        <w:autoSpaceDN w:val="0"/>
        <w:adjustRightInd w:val="0"/>
        <w:spacing w:after="0" w:line="240" w:lineRule="auto"/>
        <w:ind w:left="851"/>
        <w:contextualSpacing/>
        <w:jc w:val="both"/>
        <w:textAlignment w:val="baseline"/>
        <w:rPr>
          <w:rFonts w:ascii="Times New Roman" w:hAnsi="Times New Roman"/>
          <w:sz w:val="24"/>
          <w:szCs w:val="24"/>
        </w:rPr>
      </w:pPr>
      <w:r w:rsidRPr="00D75D2E">
        <w:rPr>
          <w:rFonts w:ascii="Times New Roman" w:hAnsi="Times New Roman"/>
          <w:sz w:val="24"/>
          <w:szCs w:val="24"/>
        </w:rPr>
        <w:t>Mesures de responsabilisation (Voir 4.4)</w:t>
      </w:r>
    </w:p>
    <w:p w14:paraId="26B2A738" w14:textId="77777777" w:rsidR="004F08B7" w:rsidRPr="00D75D2E" w:rsidRDefault="004F08B7" w:rsidP="000C31FB">
      <w:pPr>
        <w:numPr>
          <w:ilvl w:val="1"/>
          <w:numId w:val="109"/>
        </w:numPr>
        <w:shd w:val="clear" w:color="auto" w:fill="FFFFFF"/>
        <w:suppressAutoHyphens/>
        <w:overflowPunct w:val="0"/>
        <w:autoSpaceDE w:val="0"/>
        <w:autoSpaceDN w:val="0"/>
        <w:adjustRightInd w:val="0"/>
        <w:spacing w:after="0" w:line="240" w:lineRule="auto"/>
        <w:ind w:left="851"/>
        <w:contextualSpacing/>
        <w:jc w:val="both"/>
        <w:textAlignment w:val="baseline"/>
        <w:rPr>
          <w:rFonts w:ascii="Times New Roman" w:hAnsi="Times New Roman"/>
          <w:sz w:val="24"/>
          <w:szCs w:val="24"/>
        </w:rPr>
      </w:pPr>
      <w:r w:rsidRPr="00D75D2E">
        <w:rPr>
          <w:rFonts w:ascii="Times New Roman" w:hAnsi="Times New Roman"/>
          <w:sz w:val="24"/>
          <w:szCs w:val="24"/>
        </w:rPr>
        <w:t>Une stratégie de sensibilisation (Voir 4.6)</w:t>
      </w:r>
    </w:p>
    <w:p w14:paraId="2EC5C751" w14:textId="77777777" w:rsidR="004F08B7" w:rsidRPr="00D75D2E" w:rsidRDefault="004F08B7" w:rsidP="000C31FB">
      <w:pPr>
        <w:numPr>
          <w:ilvl w:val="1"/>
          <w:numId w:val="109"/>
        </w:numPr>
        <w:shd w:val="clear" w:color="auto" w:fill="FFFFFF"/>
        <w:suppressAutoHyphens/>
        <w:overflowPunct w:val="0"/>
        <w:autoSpaceDE w:val="0"/>
        <w:autoSpaceDN w:val="0"/>
        <w:adjustRightInd w:val="0"/>
        <w:spacing w:after="0" w:line="240" w:lineRule="auto"/>
        <w:ind w:left="851"/>
        <w:contextualSpacing/>
        <w:jc w:val="both"/>
        <w:textAlignment w:val="baseline"/>
        <w:rPr>
          <w:rFonts w:ascii="Times New Roman" w:hAnsi="Times New Roman"/>
          <w:sz w:val="24"/>
          <w:szCs w:val="24"/>
        </w:rPr>
      </w:pPr>
      <w:r w:rsidRPr="00D75D2E">
        <w:rPr>
          <w:rFonts w:ascii="Times New Roman" w:hAnsi="Times New Roman"/>
          <w:sz w:val="24"/>
          <w:szCs w:val="24"/>
        </w:rPr>
        <w:t>Un protocole de réponse (Voir 4.7)</w:t>
      </w:r>
    </w:p>
    <w:p w14:paraId="747C3C33" w14:textId="49EF6DDA"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Obtenir l'approbation du plan d'action sur l</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et le VCE par la direction de l’entrepreneur ;</w:t>
      </w:r>
    </w:p>
    <w:p w14:paraId="5D1E5F32" w14:textId="5F9A3323"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Obtenir les autorisations du client et de la Banque mondiale pour le plan d'action sur l</w:t>
      </w:r>
      <w:r w:rsidR="00A96FC0">
        <w:rPr>
          <w:rFonts w:ascii="Times New Roman" w:hAnsi="Times New Roman"/>
          <w:sz w:val="24"/>
          <w:szCs w:val="24"/>
        </w:rPr>
        <w:t>’EAS/HS</w:t>
      </w:r>
      <w:r w:rsidRPr="00D75D2E">
        <w:rPr>
          <w:rFonts w:ascii="Times New Roman" w:hAnsi="Times New Roman"/>
          <w:sz w:val="24"/>
          <w:szCs w:val="24"/>
        </w:rPr>
        <w:t xml:space="preserve"> et le VCE avant la mobilisation totale ;</w:t>
      </w:r>
    </w:p>
    <w:p w14:paraId="7136E5F1" w14:textId="19AC91CC"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Recevoir et suivre les résolutions et les sanctions concernant les plaintes reçues relatives à l</w:t>
      </w:r>
      <w:r w:rsidR="00A96FC0">
        <w:rPr>
          <w:rFonts w:ascii="Times New Roman" w:hAnsi="Times New Roman"/>
          <w:sz w:val="24"/>
          <w:szCs w:val="24"/>
        </w:rPr>
        <w:t>’EAS/HS</w:t>
      </w:r>
      <w:r w:rsidRPr="00D75D2E">
        <w:rPr>
          <w:rFonts w:ascii="Times New Roman" w:hAnsi="Times New Roman"/>
          <w:sz w:val="24"/>
          <w:szCs w:val="24"/>
        </w:rPr>
        <w:t xml:space="preserve"> et à la VCE associées au projet ; et,</w:t>
      </w:r>
    </w:p>
    <w:p w14:paraId="62203427" w14:textId="248D3733" w:rsidR="004F08B7" w:rsidRPr="00D75D2E" w:rsidRDefault="004F08B7" w:rsidP="00AE31F1">
      <w:pPr>
        <w:numPr>
          <w:ilvl w:val="0"/>
          <w:numId w:val="114"/>
        </w:numPr>
        <w:suppressAutoHyphens/>
        <w:overflowPunct w:val="0"/>
        <w:autoSpaceDE w:val="0"/>
        <w:autoSpaceDN w:val="0"/>
        <w:adjustRightInd w:val="0"/>
        <w:spacing w:after="0" w:line="240" w:lineRule="auto"/>
        <w:ind w:left="426" w:hanging="284"/>
        <w:jc w:val="both"/>
        <w:textAlignment w:val="baseline"/>
        <w:rPr>
          <w:rFonts w:ascii="Times New Roman" w:hAnsi="Times New Roman"/>
          <w:sz w:val="24"/>
          <w:szCs w:val="24"/>
        </w:rPr>
      </w:pPr>
      <w:r w:rsidRPr="00D75D2E">
        <w:rPr>
          <w:rFonts w:ascii="Times New Roman" w:hAnsi="Times New Roman"/>
          <w:sz w:val="24"/>
          <w:szCs w:val="24"/>
        </w:rPr>
        <w:t>Assurer que les statistiques sur l</w:t>
      </w:r>
      <w:r w:rsidR="00A96FC0">
        <w:rPr>
          <w:rFonts w:ascii="Times New Roman" w:hAnsi="Times New Roman"/>
          <w:sz w:val="24"/>
          <w:szCs w:val="24"/>
        </w:rPr>
        <w:t>’EAS/HS</w:t>
      </w:r>
      <w:r w:rsidRPr="00D75D2E">
        <w:rPr>
          <w:rFonts w:ascii="Times New Roman" w:hAnsi="Times New Roman"/>
          <w:sz w:val="24"/>
          <w:szCs w:val="24"/>
        </w:rPr>
        <w:t xml:space="preserve"> et les VCE dans le mécanisme de règlement des griefs sont à jour et incluses dans les rapports de projet réguliers.</w:t>
      </w:r>
    </w:p>
    <w:p w14:paraId="087DA1B3" w14:textId="588B7385"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L’ECVV tiendra des réunions de mise à jour trimestrielles pour discuter des moyens de renforcer les ressources et le soutien </w:t>
      </w:r>
      <w:r w:rsidR="00A96FC0">
        <w:rPr>
          <w:rFonts w:ascii="Times New Roman" w:hAnsi="Times New Roman"/>
          <w:sz w:val="24"/>
          <w:szCs w:val="24"/>
        </w:rPr>
        <w:t>EAS/HS</w:t>
      </w:r>
      <w:r w:rsidRPr="00D75D2E">
        <w:rPr>
          <w:rFonts w:ascii="Times New Roman" w:hAnsi="Times New Roman"/>
          <w:sz w:val="24"/>
          <w:szCs w:val="24"/>
        </w:rPr>
        <w:t xml:space="preserve"> et VCE pour les employés et les membres de la communauté.</w:t>
      </w:r>
    </w:p>
    <w:p w14:paraId="60955563" w14:textId="2513BE1B"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77" w:name="_Toc510532985"/>
      <w:r w:rsidRPr="00D75D2E">
        <w:rPr>
          <w:rFonts w:ascii="Times New Roman" w:hAnsi="Times New Roman"/>
          <w:b/>
          <w:sz w:val="24"/>
          <w:szCs w:val="24"/>
        </w:rPr>
        <w:t xml:space="preserve">Déposition de plaintes : Procédures d'allégation en matière de </w:t>
      </w:r>
      <w:r w:rsidR="00A96FC0">
        <w:rPr>
          <w:rFonts w:ascii="Times New Roman" w:hAnsi="Times New Roman"/>
          <w:sz w:val="24"/>
          <w:szCs w:val="24"/>
        </w:rPr>
        <w:t>EAS/HS</w:t>
      </w:r>
      <w:r w:rsidRPr="00D75D2E">
        <w:rPr>
          <w:rFonts w:ascii="Times New Roman" w:hAnsi="Times New Roman"/>
          <w:b/>
          <w:sz w:val="24"/>
          <w:szCs w:val="24"/>
        </w:rPr>
        <w:t xml:space="preserve"> et de VCE</w:t>
      </w:r>
      <w:bookmarkEnd w:id="1077"/>
    </w:p>
    <w:p w14:paraId="1179D1E6" w14:textId="68E831A8" w:rsidR="004F08B7" w:rsidRPr="00D75D2E" w:rsidRDefault="004F08B7" w:rsidP="00AE31F1">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Tout le personnel, les volontaires, les consultants et les sous-traitants sont encouragés à signaler les cas d</w:t>
      </w:r>
      <w:r w:rsidR="00A96FC0">
        <w:rPr>
          <w:rFonts w:ascii="Times New Roman" w:hAnsi="Times New Roman"/>
          <w:sz w:val="24"/>
          <w:szCs w:val="24"/>
        </w:rPr>
        <w:t>’EAS/HS</w:t>
      </w:r>
      <w:r w:rsidRPr="00D75D2E">
        <w:rPr>
          <w:rFonts w:ascii="Times New Roman" w:hAnsi="Times New Roman"/>
          <w:sz w:val="24"/>
          <w:szCs w:val="24"/>
        </w:rPr>
        <w:t xml:space="preserve"> ou de VCE suspectés ou réels. Les managers sont tenus de signaler les cas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 xml:space="preserve"> et/ou de VCE soupçonnés ou réels car ils ont la responsabilité de respecter les engagements de l'entreprise et ils tiennent leurs subordonnés directs responsables du respect du Code de conduite individuel. Le projet fournira de l'information aux employés et à la communauté sur la façon de signaler les cas de violation des codes de conduite en matière de </w:t>
      </w:r>
      <w:r w:rsidR="00A96FC0">
        <w:rPr>
          <w:rFonts w:ascii="Times New Roman" w:hAnsi="Times New Roman"/>
          <w:sz w:val="24"/>
          <w:szCs w:val="24"/>
        </w:rPr>
        <w:t>EAS/HS</w:t>
      </w:r>
      <w:r w:rsidRPr="00D75D2E">
        <w:rPr>
          <w:rFonts w:ascii="Times New Roman" w:hAnsi="Times New Roman"/>
          <w:sz w:val="24"/>
          <w:szCs w:val="24"/>
        </w:rPr>
        <w:t xml:space="preserve"> et de VCE par le biais du mécanisme de règlement des </w:t>
      </w:r>
      <w:r w:rsidR="00A96FC0">
        <w:rPr>
          <w:rFonts w:ascii="Times New Roman" w:hAnsi="Times New Roman"/>
          <w:sz w:val="24"/>
          <w:szCs w:val="24"/>
        </w:rPr>
        <w:t>plaintes</w:t>
      </w:r>
      <w:r w:rsidR="00A96FC0" w:rsidRPr="00D75D2E">
        <w:rPr>
          <w:rFonts w:ascii="Times New Roman" w:hAnsi="Times New Roman"/>
          <w:sz w:val="24"/>
          <w:szCs w:val="24"/>
        </w:rPr>
        <w:t xml:space="preserve"> </w:t>
      </w:r>
      <w:r w:rsidRPr="00D75D2E">
        <w:rPr>
          <w:rFonts w:ascii="Times New Roman" w:hAnsi="Times New Roman"/>
          <w:sz w:val="24"/>
          <w:szCs w:val="24"/>
        </w:rPr>
        <w:t>(</w:t>
      </w:r>
      <w:r w:rsidR="00A96FC0">
        <w:rPr>
          <w:rFonts w:ascii="Times New Roman" w:hAnsi="Times New Roman"/>
          <w:sz w:val="24"/>
          <w:szCs w:val="24"/>
        </w:rPr>
        <w:t>MGP</w:t>
      </w:r>
      <w:r w:rsidRPr="00D75D2E">
        <w:rPr>
          <w:rFonts w:ascii="Times New Roman" w:hAnsi="Times New Roman"/>
          <w:sz w:val="24"/>
          <w:szCs w:val="24"/>
        </w:rPr>
        <w:t xml:space="preserve">). L’ECVV assurera le suivi des cas de violation </w:t>
      </w:r>
      <w:r w:rsidR="00A96FC0">
        <w:rPr>
          <w:rFonts w:ascii="Times New Roman" w:hAnsi="Times New Roman"/>
          <w:sz w:val="24"/>
          <w:szCs w:val="24"/>
        </w:rPr>
        <w:t>d’EAS/HS</w:t>
      </w:r>
      <w:r w:rsidRPr="00D75D2E">
        <w:rPr>
          <w:rFonts w:ascii="Times New Roman" w:hAnsi="Times New Roman"/>
          <w:sz w:val="24"/>
          <w:szCs w:val="24"/>
        </w:rPr>
        <w:t>, de VCE et du code de conduite signalés via le GRM.</w:t>
      </w:r>
      <w:r w:rsidR="002C66D7">
        <w:rPr>
          <w:noProof/>
          <w:lang w:eastAsia="fr-FR"/>
        </w:rPr>
        <mc:AlternateContent>
          <mc:Choice Requires="wps">
            <w:drawing>
              <wp:anchor distT="0" distB="0" distL="114300" distR="114300" simplePos="0" relativeHeight="251650560" behindDoc="0" locked="0" layoutInCell="1" allowOverlap="1" wp14:anchorId="34E8E9BA" wp14:editId="278D0AE8">
                <wp:simplePos x="0" y="0"/>
                <wp:positionH relativeFrom="column">
                  <wp:posOffset>3514725</wp:posOffset>
                </wp:positionH>
                <wp:positionV relativeFrom="paragraph">
                  <wp:posOffset>-70485</wp:posOffset>
                </wp:positionV>
                <wp:extent cx="189865" cy="59690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9865" cy="596900"/>
                        </a:xfrm>
                        <a:prstGeom prst="rect">
                          <a:avLst/>
                        </a:prstGeom>
                        <a:noFill/>
                        <a:ln w="12700" cap="flat" cmpd="sng" algn="ctr">
                          <a:noFill/>
                          <a:prstDash val="solid"/>
                          <a:miter lim="800000"/>
                        </a:ln>
                        <a:effectLst/>
                      </wps:spPr>
                      <wps:txbx>
                        <w:txbxContent>
                          <w:p w14:paraId="2F4FC2C0" w14:textId="77777777" w:rsidR="0075784E" w:rsidRPr="00237F22" w:rsidRDefault="0075784E" w:rsidP="004F08B7">
                            <w:pPr>
                              <w:jc w:val="center"/>
                              <w:rPr>
                                <w:color w:val="FFFFFF"/>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4E8E9BA" id="Rectangle 60" o:spid="_x0000_s1053" style="position:absolute;left:0;text-align:left;margin-left:276.75pt;margin-top:-5.55pt;width:14.95pt;height:47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" filled="f" stroked="f" strokeweight="1pt">
                <v:path arrowok="t"/>
                <v:textbox style="layout-flow:vertical;mso-layout-flow-alt:bottom-to-top">
                  <w:txbxContent>
                    <w:p w14:paraId="2F4FC2C0" w14:textId="77777777" w:rsidR="0075784E" w:rsidRPr="00237F22" w:rsidRDefault="0075784E" w:rsidP="004F08B7">
                      <w:pPr>
                        <w:jc w:val="center"/>
                        <w:rPr>
                          <w:color w:val="FFFFFF"/>
                        </w:rPr>
                      </w:pPr>
                    </w:p>
                  </w:txbxContent>
                </v:textbox>
              </v:rect>
            </w:pict>
          </mc:Fallback>
        </mc:AlternateContent>
      </w:r>
    </w:p>
    <w:p w14:paraId="09761244" w14:textId="25AD5C47"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78" w:name="_Toc510532986"/>
      <w:r w:rsidRPr="00D75D2E">
        <w:rPr>
          <w:rFonts w:ascii="Times New Roman" w:hAnsi="Times New Roman"/>
          <w:b/>
          <w:sz w:val="24"/>
          <w:szCs w:val="24"/>
        </w:rPr>
        <w:t xml:space="preserve">Traiter les plaintes à propos </w:t>
      </w:r>
      <w:r w:rsidR="00951BB1" w:rsidRPr="00D75D2E">
        <w:rPr>
          <w:rFonts w:ascii="Times New Roman" w:hAnsi="Times New Roman"/>
          <w:b/>
          <w:sz w:val="24"/>
          <w:szCs w:val="24"/>
        </w:rPr>
        <w:t>d</w:t>
      </w:r>
      <w:r w:rsidR="00951BB1">
        <w:rPr>
          <w:rFonts w:ascii="Times New Roman" w:hAnsi="Times New Roman"/>
          <w:b/>
          <w:sz w:val="24"/>
          <w:szCs w:val="24"/>
        </w:rPr>
        <w:t>’</w:t>
      </w:r>
      <w:r w:rsidR="00951BB1" w:rsidRPr="00A96FC0">
        <w:rPr>
          <w:rFonts w:ascii="Times New Roman" w:hAnsi="Times New Roman"/>
          <w:sz w:val="24"/>
          <w:szCs w:val="24"/>
        </w:rPr>
        <w:t>EAS</w:t>
      </w:r>
      <w:r w:rsidR="00A96FC0">
        <w:rPr>
          <w:rFonts w:ascii="Times New Roman" w:hAnsi="Times New Roman"/>
          <w:sz w:val="24"/>
          <w:szCs w:val="24"/>
        </w:rPr>
        <w:t>/HS</w:t>
      </w:r>
      <w:r w:rsidR="00A96FC0" w:rsidRPr="00D75D2E">
        <w:rPr>
          <w:rFonts w:ascii="Times New Roman" w:hAnsi="Times New Roman"/>
          <w:sz w:val="24"/>
          <w:szCs w:val="24"/>
        </w:rPr>
        <w:t xml:space="preserve"> </w:t>
      </w:r>
      <w:r w:rsidRPr="00D75D2E">
        <w:rPr>
          <w:rFonts w:ascii="Times New Roman" w:hAnsi="Times New Roman"/>
          <w:b/>
          <w:sz w:val="24"/>
          <w:szCs w:val="24"/>
        </w:rPr>
        <w:t>ou de VCE</w:t>
      </w:r>
      <w:bookmarkEnd w:id="1078"/>
    </w:p>
    <w:p w14:paraId="11A7668A"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La figure ci-dessous montre le processus de traitement des plaintes.</w:t>
      </w:r>
    </w:p>
    <w:p w14:paraId="5E157993"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78E5D424" w14:textId="08E599C8" w:rsidR="004F08B7" w:rsidRPr="00D75D2E" w:rsidRDefault="002C66D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420C1B">
        <w:rPr>
          <w:rFonts w:ascii="Times New Roman" w:hAnsi="Times New Roman"/>
          <w:noProof/>
          <w:sz w:val="24"/>
          <w:szCs w:val="24"/>
          <w:lang w:eastAsia="fr-FR"/>
        </w:rPr>
        <w:drawing>
          <wp:inline distT="0" distB="0" distL="0" distR="0" wp14:anchorId="0822B224" wp14:editId="67642B7F">
            <wp:extent cx="5953125" cy="3381375"/>
            <wp:effectExtent l="0" t="0" r="9525" b="9525"/>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53125" cy="3381375"/>
                    </a:xfrm>
                    <a:prstGeom prst="rect">
                      <a:avLst/>
                    </a:prstGeom>
                    <a:noFill/>
                    <a:ln>
                      <a:noFill/>
                    </a:ln>
                  </pic:spPr>
                </pic:pic>
              </a:graphicData>
            </a:graphic>
          </wp:inline>
        </w:drawing>
      </w:r>
    </w:p>
    <w:p w14:paraId="7003F4C3" w14:textId="47B8201E" w:rsidR="004F08B7" w:rsidRPr="00D75D2E" w:rsidRDefault="004F08B7" w:rsidP="00AE31F1">
      <w:pPr>
        <w:numPr>
          <w:ilvl w:val="0"/>
          <w:numId w:val="74"/>
        </w:numPr>
        <w:spacing w:before="120" w:after="120" w:line="240" w:lineRule="auto"/>
        <w:ind w:left="714" w:hanging="357"/>
        <w:jc w:val="both"/>
        <w:rPr>
          <w:rFonts w:ascii="Times New Roman" w:hAnsi="Times New Roman"/>
          <w:b/>
          <w:sz w:val="24"/>
          <w:szCs w:val="24"/>
        </w:rPr>
      </w:pPr>
      <w:bookmarkStart w:id="1079" w:name="_Toc498427568"/>
      <w:bookmarkStart w:id="1080" w:name="_Toc510532987"/>
      <w:r w:rsidRPr="00D75D2E">
        <w:rPr>
          <w:rFonts w:ascii="Times New Roman" w:hAnsi="Times New Roman"/>
          <w:b/>
          <w:sz w:val="24"/>
          <w:szCs w:val="24"/>
        </w:rPr>
        <w:t xml:space="preserve">Mécanisme de </w:t>
      </w:r>
      <w:bookmarkEnd w:id="1079"/>
      <w:bookmarkEnd w:id="1080"/>
      <w:r w:rsidR="00A96FC0">
        <w:rPr>
          <w:rFonts w:ascii="Times New Roman" w:hAnsi="Times New Roman"/>
          <w:b/>
          <w:sz w:val="24"/>
          <w:szCs w:val="24"/>
        </w:rPr>
        <w:t>gestion de plaintes</w:t>
      </w:r>
    </w:p>
    <w:p w14:paraId="62D1D4E0" w14:textId="7DB4F9A2"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Un mécanisme de Gestion des Plaintes (MGP) est proposé dans le CGES. Les plaintes relatives à l</w:t>
      </w:r>
      <w:r w:rsidR="00A96FC0">
        <w:rPr>
          <w:rFonts w:ascii="Times New Roman" w:hAnsi="Times New Roman"/>
          <w:sz w:val="24"/>
          <w:szCs w:val="24"/>
        </w:rPr>
        <w:t xml:space="preserve">’EAS/HS </w:t>
      </w:r>
      <w:r w:rsidRPr="00D75D2E">
        <w:rPr>
          <w:rFonts w:ascii="Times New Roman" w:hAnsi="Times New Roman"/>
          <w:sz w:val="24"/>
          <w:szCs w:val="24"/>
        </w:rPr>
        <w:t>ou VCE, les autres plaintes, ou les autres préoccupations peuvent être soumises en ligne, par téléphone ou par courrier, ou en personne. Toutes les plaintes concernant la VBG et la VCE doivent être immédiatement signalées à l'équipe de travail de la Banque mondiale par l’équipe du projet.</w:t>
      </w:r>
    </w:p>
    <w:p w14:paraId="26E06EEB" w14:textId="346A4178"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Les plaintes liées à </w:t>
      </w:r>
      <w:r w:rsidR="00A96FC0" w:rsidRPr="00D75D2E">
        <w:rPr>
          <w:rFonts w:ascii="Times New Roman" w:hAnsi="Times New Roman"/>
          <w:sz w:val="24"/>
          <w:szCs w:val="24"/>
        </w:rPr>
        <w:t>l</w:t>
      </w:r>
      <w:r w:rsidR="00A96FC0">
        <w:rPr>
          <w:rFonts w:ascii="Times New Roman" w:hAnsi="Times New Roman"/>
          <w:sz w:val="24"/>
          <w:szCs w:val="24"/>
        </w:rPr>
        <w:t xml:space="preserve">’EAS/HS </w:t>
      </w:r>
      <w:r w:rsidRPr="00D75D2E">
        <w:rPr>
          <w:rFonts w:ascii="Times New Roman" w:hAnsi="Times New Roman"/>
          <w:sz w:val="24"/>
          <w:szCs w:val="24"/>
        </w:rPr>
        <w:t xml:space="preserve">ou au VCE à l’équipe de conformité </w:t>
      </w:r>
      <w:r w:rsidR="00A96FC0">
        <w:rPr>
          <w:rFonts w:ascii="Times New Roman" w:hAnsi="Times New Roman"/>
          <w:sz w:val="24"/>
          <w:szCs w:val="24"/>
        </w:rPr>
        <w:t>EAS/HS</w:t>
      </w:r>
      <w:r w:rsidRPr="00D75D2E">
        <w:rPr>
          <w:rFonts w:ascii="Times New Roman" w:hAnsi="Times New Roman"/>
          <w:sz w:val="24"/>
          <w:szCs w:val="24"/>
        </w:rPr>
        <w:t xml:space="preserve"> et VCE (ECVV) pour les résoudre. Conformément au plan d'action </w:t>
      </w:r>
      <w:r w:rsidR="00A96FC0">
        <w:rPr>
          <w:rFonts w:ascii="Times New Roman" w:hAnsi="Times New Roman"/>
          <w:sz w:val="24"/>
          <w:szCs w:val="24"/>
        </w:rPr>
        <w:t>EAS/HS</w:t>
      </w:r>
      <w:r w:rsidRPr="00D75D2E">
        <w:rPr>
          <w:rFonts w:ascii="Times New Roman" w:hAnsi="Times New Roman"/>
          <w:sz w:val="24"/>
          <w:szCs w:val="24"/>
        </w:rPr>
        <w:t xml:space="preserve"> et VCE, l’ECVV, par l'intermédiaire du fournisseur de services et des points focaux, enquêtera sur la plainte et fournira finalement à l’équipe du projet une résolution de la plainte, ou la police si nécessaire. La confidentialité de la victime doit également être gardée à l'esprit lors de la déclaration de tout incident à la police.</w:t>
      </w:r>
    </w:p>
    <w:p w14:paraId="0B0BE32C"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Après résolution, l’équipe du projet informera le plaignant du résultat, à moins qu'il ne soit fait anonymement. Les plaintes adressées aux gestionnaires ou au fournisseur de services seront transmises par eux pour traitement. Si la plainte est faite par un survivant ou au nom d'un survivant, le plaignant sera directement référé au fournisseur de services pour recevoir des services de soutien tandis que le ECVV étudie la plainte en parallèle.</w:t>
      </w:r>
    </w:p>
    <w:p w14:paraId="6216D27E" w14:textId="77777777" w:rsidR="004F08B7" w:rsidRPr="00D75D2E" w:rsidRDefault="004F08B7" w:rsidP="00AE31F1">
      <w:pPr>
        <w:numPr>
          <w:ilvl w:val="0"/>
          <w:numId w:val="74"/>
        </w:numPr>
        <w:spacing w:before="120" w:after="120" w:line="240" w:lineRule="auto"/>
        <w:ind w:left="714" w:hanging="357"/>
        <w:jc w:val="both"/>
        <w:rPr>
          <w:rFonts w:ascii="Times New Roman" w:hAnsi="Times New Roman"/>
          <w:b/>
          <w:sz w:val="24"/>
          <w:szCs w:val="24"/>
        </w:rPr>
      </w:pPr>
      <w:bookmarkStart w:id="1081" w:name="_Toc510532988"/>
      <w:r w:rsidRPr="00D75D2E">
        <w:rPr>
          <w:rFonts w:ascii="Times New Roman" w:hAnsi="Times New Roman"/>
          <w:b/>
          <w:sz w:val="24"/>
          <w:szCs w:val="24"/>
        </w:rPr>
        <w:t>Fournisseur de services</w:t>
      </w:r>
      <w:bookmarkEnd w:id="1081"/>
      <w:r w:rsidRPr="00D75D2E">
        <w:rPr>
          <w:rFonts w:ascii="Times New Roman" w:hAnsi="Times New Roman"/>
          <w:b/>
          <w:sz w:val="24"/>
          <w:szCs w:val="24"/>
        </w:rPr>
        <w:t xml:space="preserve"> ou ONG locale</w:t>
      </w:r>
    </w:p>
    <w:p w14:paraId="20961EDE" w14:textId="25F3F12C"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 fournisseur de services est une organisation locale (ONG) qui a l'expérience et la capacité de soutenir les survivants d</w:t>
      </w:r>
      <w:r w:rsidR="00A96FC0">
        <w:rPr>
          <w:rFonts w:ascii="Times New Roman" w:hAnsi="Times New Roman"/>
          <w:sz w:val="24"/>
          <w:szCs w:val="24"/>
        </w:rPr>
        <w:t>’EAS/HS</w:t>
      </w:r>
      <w:r w:rsidRPr="00D75D2E">
        <w:rPr>
          <w:rFonts w:ascii="Times New Roman" w:hAnsi="Times New Roman"/>
          <w:sz w:val="24"/>
          <w:szCs w:val="24"/>
        </w:rPr>
        <w:t xml:space="preserve"> ou VCE. Le client, l'entrepreneur et le consultant doivent établir une relation de travail avec le fournisseur de services, afin que les cas d</w:t>
      </w:r>
      <w:r w:rsidR="00A96FC0">
        <w:rPr>
          <w:rFonts w:ascii="Times New Roman" w:hAnsi="Times New Roman"/>
          <w:sz w:val="24"/>
          <w:szCs w:val="24"/>
        </w:rPr>
        <w:t>’EAS/HS</w:t>
      </w:r>
      <w:r w:rsidRPr="00D75D2E">
        <w:rPr>
          <w:rFonts w:ascii="Times New Roman" w:hAnsi="Times New Roman"/>
          <w:sz w:val="24"/>
          <w:szCs w:val="24"/>
        </w:rPr>
        <w:t xml:space="preserve"> et de VCE puissent y être référés en toute sécurité. Le fournisseur de services fournira également un soutien et des conseils aux points focaux VBG et VCE si nécessaire. Le fournisseur de services aura un représentant (ONG Locale) au sein de l’ECVV et sera impliqué dans la résolution des plaintes liées à </w:t>
      </w:r>
      <w:r w:rsidR="00A96FC0" w:rsidRPr="00D75D2E">
        <w:rPr>
          <w:rFonts w:ascii="Times New Roman" w:hAnsi="Times New Roman"/>
          <w:sz w:val="24"/>
          <w:szCs w:val="24"/>
        </w:rPr>
        <w:t>l</w:t>
      </w:r>
      <w:r w:rsidR="00A96FC0">
        <w:rPr>
          <w:rFonts w:ascii="Times New Roman" w:hAnsi="Times New Roman"/>
          <w:sz w:val="24"/>
          <w:szCs w:val="24"/>
        </w:rPr>
        <w:t xml:space="preserve">’EAS/HS </w:t>
      </w:r>
      <w:r w:rsidRPr="00D75D2E">
        <w:rPr>
          <w:rFonts w:ascii="Times New Roman" w:hAnsi="Times New Roman"/>
          <w:sz w:val="24"/>
          <w:szCs w:val="24"/>
        </w:rPr>
        <w:t>ou VCE.</w:t>
      </w:r>
    </w:p>
    <w:p w14:paraId="3A2ADE20" w14:textId="1A77F084" w:rsidR="004F08B7" w:rsidRPr="00D75D2E" w:rsidRDefault="004F08B7" w:rsidP="00AE31F1">
      <w:pPr>
        <w:numPr>
          <w:ilvl w:val="0"/>
          <w:numId w:val="74"/>
        </w:numPr>
        <w:spacing w:before="120" w:after="120" w:line="240" w:lineRule="auto"/>
        <w:ind w:left="714" w:hanging="357"/>
        <w:jc w:val="both"/>
        <w:rPr>
          <w:rFonts w:ascii="Times New Roman" w:hAnsi="Times New Roman"/>
          <w:b/>
          <w:sz w:val="24"/>
          <w:szCs w:val="24"/>
        </w:rPr>
      </w:pPr>
      <w:bookmarkStart w:id="1082" w:name="_Toc510532989"/>
      <w:r w:rsidRPr="00D75D2E">
        <w:rPr>
          <w:rFonts w:ascii="Times New Roman" w:hAnsi="Times New Roman"/>
          <w:b/>
          <w:sz w:val="24"/>
          <w:szCs w:val="24"/>
        </w:rPr>
        <w:t xml:space="preserve">Points focaux ECVV </w:t>
      </w:r>
      <w:r w:rsidR="00A96FC0">
        <w:rPr>
          <w:rFonts w:ascii="Times New Roman" w:hAnsi="Times New Roman"/>
          <w:sz w:val="24"/>
          <w:szCs w:val="24"/>
        </w:rPr>
        <w:t>EAS/HS</w:t>
      </w:r>
      <w:r w:rsidRPr="00D75D2E">
        <w:rPr>
          <w:rFonts w:ascii="Times New Roman" w:hAnsi="Times New Roman"/>
          <w:b/>
          <w:sz w:val="24"/>
          <w:szCs w:val="24"/>
        </w:rPr>
        <w:t xml:space="preserve"> et VCE</w:t>
      </w:r>
      <w:bookmarkEnd w:id="1082"/>
    </w:p>
    <w:p w14:paraId="1998434D"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L’ECVV doit confirmer que toutes les plaintes relatives à la VBG ou à la VCE ont été transmises à la Banque mondiale par l’équipe du projet.</w:t>
      </w:r>
    </w:p>
    <w:p w14:paraId="015A9401" w14:textId="2D11666D"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L’ECVV doit prendre en compte toutes les plaintes d</w:t>
      </w:r>
      <w:r w:rsidR="00A96FC0">
        <w:rPr>
          <w:rFonts w:ascii="Times New Roman" w:hAnsi="Times New Roman"/>
          <w:sz w:val="24"/>
          <w:szCs w:val="24"/>
        </w:rPr>
        <w:t>’EAS/HS</w:t>
      </w:r>
      <w:r w:rsidRPr="00D75D2E">
        <w:rPr>
          <w:rFonts w:ascii="Times New Roman" w:hAnsi="Times New Roman"/>
          <w:sz w:val="24"/>
          <w:szCs w:val="24"/>
        </w:rPr>
        <w:t xml:space="preserve"> et de VCE et convenir d'un plan de résolution approprié.</w:t>
      </w:r>
    </w:p>
    <w:p w14:paraId="0AEC923B"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 point focal approprié sera chargé de la mise en œuvre du plan (c’est-à-dire que les problèmes avec le personnel de l’entreprise seront résolus par l’entreprise, les problèmes avec le personnel de la mission de contrôle seront résolus par la mission de contrôle et les problèmes avec le personnel du client seront résolus avec le client). Le point focal conseillera l’ECVV sur la résolution, y compris le renvoi à la police si nécessaire. Ils seront assistés par le fournisseur de services, le cas échéant.</w:t>
      </w:r>
    </w:p>
    <w:p w14:paraId="30B286D3" w14:textId="41392D6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Tous les points focaux de l’ECVV doivent être formés et habilités à résoudre les problèmes d</w:t>
      </w:r>
      <w:r w:rsidR="00A96FC0">
        <w:rPr>
          <w:rFonts w:ascii="Times New Roman" w:hAnsi="Times New Roman"/>
          <w:sz w:val="24"/>
          <w:szCs w:val="24"/>
        </w:rPr>
        <w:t>’EAS/HS</w:t>
      </w:r>
      <w:r w:rsidRPr="00D75D2E">
        <w:rPr>
          <w:rFonts w:ascii="Times New Roman" w:hAnsi="Times New Roman"/>
          <w:sz w:val="24"/>
          <w:szCs w:val="24"/>
        </w:rPr>
        <w:t xml:space="preserve"> et de VCE. Il est essentiel que tout le personnel du mécanisme de gestion des plaintes et de l’ECVV comprennent les principes directeurs et l'exigence éthique de traiter avec les survivants d</w:t>
      </w:r>
      <w:r w:rsidR="00A96FC0">
        <w:rPr>
          <w:rFonts w:ascii="Times New Roman" w:hAnsi="Times New Roman"/>
          <w:sz w:val="24"/>
          <w:szCs w:val="24"/>
        </w:rPr>
        <w:t>’EAS/HS</w:t>
      </w:r>
      <w:r w:rsidRPr="00D75D2E">
        <w:rPr>
          <w:rFonts w:ascii="Times New Roman" w:hAnsi="Times New Roman"/>
          <w:sz w:val="24"/>
          <w:szCs w:val="24"/>
        </w:rPr>
        <w:t xml:space="preserve"> et de VCE. Tous les rapports doivent rester confidentiels et transmis immédiatement au fournisseur de services représenté au sein de l’ECVV</w:t>
      </w:r>
      <w:r w:rsidRPr="00D75D2E">
        <w:rPr>
          <w:rFonts w:ascii="Times New Roman" w:hAnsi="Times New Roman"/>
          <w:sz w:val="24"/>
          <w:szCs w:val="24"/>
          <w:vertAlign w:val="superscript"/>
        </w:rPr>
        <w:footnoteReference w:id="19"/>
      </w:r>
      <w:r w:rsidRPr="00D75D2E">
        <w:rPr>
          <w:rFonts w:ascii="Times New Roman" w:hAnsi="Times New Roman"/>
          <w:sz w:val="24"/>
          <w:szCs w:val="24"/>
        </w:rPr>
        <w:t xml:space="preserve">. Dans les cas de </w:t>
      </w:r>
      <w:r w:rsidR="00A96FC0">
        <w:rPr>
          <w:rFonts w:ascii="Times New Roman" w:hAnsi="Times New Roman"/>
          <w:sz w:val="24"/>
          <w:szCs w:val="24"/>
        </w:rPr>
        <w:t>EAS/HS</w:t>
      </w:r>
      <w:r w:rsidRPr="00D75D2E">
        <w:rPr>
          <w:rFonts w:ascii="Times New Roman" w:hAnsi="Times New Roman"/>
          <w:sz w:val="24"/>
          <w:szCs w:val="24"/>
        </w:rPr>
        <w:t xml:space="preserve"> et de VCE justifiant une action de la police, les points focaux doivent transmettre la plainte de manière appropriée à: (i) les autorités; (ii) le fournisseur de services; et (iii) la CSCP pour d'autres actions. Le client et la Banque mondiale doivent être immédiatement informés.</w:t>
      </w:r>
    </w:p>
    <w:p w14:paraId="16D5F586" w14:textId="459F3A9A"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83" w:name="_Toc498427571"/>
      <w:bookmarkStart w:id="1084" w:name="_Toc510532990"/>
      <w:r w:rsidRPr="00D75D2E">
        <w:rPr>
          <w:rFonts w:ascii="Times New Roman" w:hAnsi="Times New Roman"/>
          <w:b/>
          <w:sz w:val="24"/>
          <w:szCs w:val="24"/>
        </w:rPr>
        <w:t>Mesures de responsabilisation</w:t>
      </w:r>
      <w:bookmarkEnd w:id="1083"/>
      <w:bookmarkEnd w:id="1084"/>
    </w:p>
    <w:p w14:paraId="2938C449" w14:textId="6FDC347A"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Tous les rapports de </w:t>
      </w:r>
      <w:r w:rsidR="00A96FC0">
        <w:rPr>
          <w:rFonts w:ascii="Times New Roman" w:hAnsi="Times New Roman"/>
          <w:sz w:val="24"/>
          <w:szCs w:val="24"/>
        </w:rPr>
        <w:t>EAS/HS</w:t>
      </w:r>
      <w:r w:rsidRPr="00D75D2E">
        <w:rPr>
          <w:rFonts w:ascii="Times New Roman" w:hAnsi="Times New Roman"/>
          <w:sz w:val="24"/>
          <w:szCs w:val="24"/>
        </w:rPr>
        <w:t xml:space="preserve"> ou de VCE doivent être traités de manière confidentielle afin de protéger les droits de toutes les personnes impliquées. Le client, l'entrepreneur et la mission de contrôle doivent maintenir la confidentialité des employés qui notifient tout acte ou menace de violence, et des employés accusés d'avoir commis des actes ou des menaces de violence (à moins qu'une violation de la confidentialité ne soit requise pour protéger des personnes ou des biens contre un dommage sérieux ou lorsque requis par la loi). L'entrepreneur et le consultant doivent interdire toute discrimination ou action défavorable contre un employé en raison de la divulgation, de l'expérience ou de l'expérience perçue de l</w:t>
      </w:r>
      <w:r w:rsidR="00A96FC0">
        <w:rPr>
          <w:rFonts w:ascii="Times New Roman" w:hAnsi="Times New Roman"/>
          <w:sz w:val="24"/>
          <w:szCs w:val="24"/>
        </w:rPr>
        <w:t>’EAS/HS</w:t>
      </w:r>
      <w:r w:rsidRPr="00D75D2E">
        <w:rPr>
          <w:rFonts w:ascii="Times New Roman" w:hAnsi="Times New Roman"/>
          <w:sz w:val="24"/>
          <w:szCs w:val="24"/>
        </w:rPr>
        <w:t xml:space="preserve"> ou de VCE.</w:t>
      </w:r>
    </w:p>
    <w:p w14:paraId="01CEFD9D" w14:textId="7CA81E6E" w:rsidR="004F08B7"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Pour s'assurer que les survivants se sentent confiants de révéler leur expérience d</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ou de VCE, ils peuvent signaler les cas d</w:t>
      </w:r>
      <w:r w:rsidR="00A96FC0">
        <w:rPr>
          <w:rFonts w:ascii="Times New Roman" w:hAnsi="Times New Roman"/>
          <w:sz w:val="24"/>
          <w:szCs w:val="24"/>
        </w:rPr>
        <w:t>’</w:t>
      </w:r>
      <w:r w:rsidR="00A96FC0" w:rsidRPr="00A96FC0">
        <w:rPr>
          <w:rFonts w:ascii="Times New Roman" w:hAnsi="Times New Roman"/>
          <w:sz w:val="24"/>
          <w:szCs w:val="24"/>
        </w:rPr>
        <w:t xml:space="preserve"> </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ou de VCE par différents canaux : (i) en ligne, (ii) par téléphone, (iii) en personne, (iv) le fournisseur de services local, (v) le (s) gestionnaire (s), (vi) les maires ; ou, (vii) la police. Pour assurer la confidentialité, seul le fournisseur de services aura accès aux informations concernant le survivant. L’ECVV sera le principal point de contact pour l'information et le suivi concernant l'auteur.</w:t>
      </w:r>
    </w:p>
    <w:p w14:paraId="1B1A2126" w14:textId="77777777" w:rsidR="00F933DF" w:rsidRDefault="00F933DF"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54766461" w14:textId="77777777" w:rsidR="00F933DF" w:rsidRDefault="00F933DF"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5CF5B235" w14:textId="77777777" w:rsidR="00F933DF" w:rsidRPr="00D75D2E" w:rsidRDefault="00F933DF"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p>
    <w:p w14:paraId="57080C34" w14:textId="4E0FF7D1"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85" w:name="_Toc510532991"/>
      <w:r w:rsidRPr="00D75D2E">
        <w:rPr>
          <w:rFonts w:ascii="Times New Roman" w:hAnsi="Times New Roman"/>
          <w:b/>
          <w:sz w:val="24"/>
          <w:szCs w:val="24"/>
        </w:rPr>
        <w:t>Suivi et évaluation</w:t>
      </w:r>
      <w:bookmarkEnd w:id="1085"/>
    </w:p>
    <w:p w14:paraId="6AC9085F"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L’ECVV doit surveiller le suivi des cas qui ont été signalés et maintenir tous les cas signalés dans un endroit confidentiel et sécurisé. Le suivi doit recueillir le nombre de cas qui ont été signalés et la part de ceux qui sont gérés par la police, les ONG, etc.</w:t>
      </w:r>
    </w:p>
    <w:p w14:paraId="3D530A6A" w14:textId="25C8D09F"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Ces statistiques doivent être signalées au </w:t>
      </w:r>
      <w:r w:rsidR="00A96FC0">
        <w:rPr>
          <w:rFonts w:ascii="Times New Roman" w:hAnsi="Times New Roman"/>
          <w:sz w:val="24"/>
          <w:szCs w:val="24"/>
        </w:rPr>
        <w:t>MGP</w:t>
      </w:r>
      <w:r w:rsidR="00A96FC0" w:rsidRPr="00D75D2E">
        <w:rPr>
          <w:rFonts w:ascii="Times New Roman" w:hAnsi="Times New Roman"/>
          <w:sz w:val="24"/>
          <w:szCs w:val="24"/>
        </w:rPr>
        <w:t xml:space="preserve"> </w:t>
      </w:r>
      <w:r w:rsidRPr="00D75D2E">
        <w:rPr>
          <w:rFonts w:ascii="Times New Roman" w:hAnsi="Times New Roman"/>
          <w:sz w:val="24"/>
          <w:szCs w:val="24"/>
        </w:rPr>
        <w:t>et à la mission de contrôle pour inclusion dans leurs rapports.</w:t>
      </w:r>
    </w:p>
    <w:p w14:paraId="35C35F8C" w14:textId="77777777"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Pour tous les cas de VBG et de VCE justifiant une action de la police, le client et la Banque mondiale doivent être immédiatement informés.</w:t>
      </w:r>
    </w:p>
    <w:p w14:paraId="4EAEF401" w14:textId="1A6ACA78"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86" w:name="_Toc510446198"/>
      <w:bookmarkStart w:id="1087" w:name="_Toc510532992"/>
      <w:r w:rsidRPr="00D75D2E">
        <w:rPr>
          <w:rFonts w:ascii="Times New Roman" w:hAnsi="Times New Roman"/>
          <w:b/>
          <w:sz w:val="24"/>
          <w:szCs w:val="24"/>
        </w:rPr>
        <w:t>Stratégie de sensibilisation</w:t>
      </w:r>
      <w:bookmarkEnd w:id="1086"/>
      <w:bookmarkEnd w:id="1087"/>
    </w:p>
    <w:p w14:paraId="28D39E96" w14:textId="77A0204A"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Il est important de créer une stratégie de sensibilisation avec des activités visant à sensibiliser les employés sur </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 xml:space="preserve">et la VCE sur le lieu de travail et ses risques, les dispositions des codes de conduite </w:t>
      </w:r>
      <w:r w:rsidR="00A96FC0">
        <w:rPr>
          <w:rFonts w:ascii="Times New Roman" w:hAnsi="Times New Roman"/>
          <w:sz w:val="24"/>
          <w:szCs w:val="24"/>
        </w:rPr>
        <w:t>EAS/HS</w:t>
      </w:r>
      <w:r w:rsidRPr="00D75D2E">
        <w:rPr>
          <w:rFonts w:ascii="Times New Roman" w:hAnsi="Times New Roman"/>
          <w:sz w:val="24"/>
          <w:szCs w:val="24"/>
        </w:rPr>
        <w:t xml:space="preserve"> et VCE, les procédures d'allégation d</w:t>
      </w:r>
      <w:r w:rsidR="00A96FC0">
        <w:rPr>
          <w:rFonts w:ascii="Times New Roman" w:hAnsi="Times New Roman"/>
          <w:sz w:val="24"/>
          <w:szCs w:val="24"/>
        </w:rPr>
        <w:t>’EAS/HS</w:t>
      </w:r>
      <w:r w:rsidRPr="00D75D2E">
        <w:rPr>
          <w:rFonts w:ascii="Times New Roman" w:hAnsi="Times New Roman"/>
          <w:sz w:val="24"/>
          <w:szCs w:val="24"/>
        </w:rPr>
        <w:t xml:space="preserve"> et VCE, les mesures de responsabilisation et le protocole d'intervention. La stratégie sera accompagnée d'un calendrier indiquant les différentes activités de sensibilisation à travers lesquelles la stratégie sera mise en œuvre et les dates de livraison correspondantes (attendues). Les activités de sensibilisation devraient être liées aux formations dispensées par le fournisseur de services.</w:t>
      </w:r>
    </w:p>
    <w:p w14:paraId="5C65D7E7" w14:textId="5503A387"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88" w:name="_Toc510446199"/>
      <w:bookmarkStart w:id="1089" w:name="_Toc510532993"/>
      <w:r w:rsidRPr="00D75D2E">
        <w:rPr>
          <w:rFonts w:ascii="Times New Roman" w:hAnsi="Times New Roman"/>
          <w:b/>
          <w:sz w:val="24"/>
          <w:szCs w:val="24"/>
        </w:rPr>
        <w:t>Protocole de réponse</w:t>
      </w:r>
      <w:bookmarkEnd w:id="1088"/>
      <w:bookmarkEnd w:id="1089"/>
    </w:p>
    <w:p w14:paraId="2B8F307A" w14:textId="2FA4A002"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La CSCP sera responsable de l'élaboration d'un protocole de réponse écrite pour répondre aux exigences du projet, conformément aux lois et protocoles nationaux. Le protocole de réponse doit inclure des mécanismes de notification et de réponse aux agresseurs sur le lieu de travail (voir 4.9 pour la politique et la réponse de l'auteur). Le protocole de réponse inclura le processus </w:t>
      </w:r>
      <w:r w:rsidR="00A96FC0">
        <w:rPr>
          <w:rFonts w:ascii="Times New Roman" w:hAnsi="Times New Roman"/>
          <w:sz w:val="24"/>
          <w:szCs w:val="24"/>
        </w:rPr>
        <w:t>MGP</w:t>
      </w:r>
      <w:r w:rsidR="00A96FC0" w:rsidRPr="00D75D2E">
        <w:rPr>
          <w:rFonts w:ascii="Times New Roman" w:hAnsi="Times New Roman"/>
          <w:sz w:val="24"/>
          <w:szCs w:val="24"/>
        </w:rPr>
        <w:t xml:space="preserve"> </w:t>
      </w:r>
      <w:r w:rsidRPr="00D75D2E">
        <w:rPr>
          <w:rFonts w:ascii="Times New Roman" w:hAnsi="Times New Roman"/>
          <w:sz w:val="24"/>
          <w:szCs w:val="24"/>
        </w:rPr>
        <w:t>pour assurer une réponse compétente et confidentielle aux divulgations de VBG et de VCE. Un employé qui divulgue un cas d</w:t>
      </w:r>
      <w:r w:rsidR="00A96FC0">
        <w:rPr>
          <w:rFonts w:ascii="Times New Roman" w:hAnsi="Times New Roman"/>
          <w:sz w:val="24"/>
          <w:szCs w:val="24"/>
        </w:rPr>
        <w:t>’EAS/HS</w:t>
      </w:r>
      <w:r w:rsidRPr="00D75D2E">
        <w:rPr>
          <w:rFonts w:ascii="Times New Roman" w:hAnsi="Times New Roman"/>
          <w:sz w:val="24"/>
          <w:szCs w:val="24"/>
        </w:rPr>
        <w:t xml:space="preserve"> ou de VCE sur le lieu de travail doit être référé au </w:t>
      </w:r>
      <w:r w:rsidR="00A96FC0">
        <w:rPr>
          <w:rFonts w:ascii="Times New Roman" w:hAnsi="Times New Roman"/>
          <w:sz w:val="24"/>
          <w:szCs w:val="24"/>
        </w:rPr>
        <w:t>MGP</w:t>
      </w:r>
      <w:r w:rsidR="00A96FC0" w:rsidRPr="00D75D2E">
        <w:rPr>
          <w:rFonts w:ascii="Times New Roman" w:hAnsi="Times New Roman"/>
          <w:sz w:val="24"/>
          <w:szCs w:val="24"/>
        </w:rPr>
        <w:t xml:space="preserve"> </w:t>
      </w:r>
      <w:r w:rsidRPr="00D75D2E">
        <w:rPr>
          <w:rFonts w:ascii="Times New Roman" w:hAnsi="Times New Roman"/>
          <w:sz w:val="24"/>
          <w:szCs w:val="24"/>
        </w:rPr>
        <w:t>pour notification.</w:t>
      </w:r>
    </w:p>
    <w:p w14:paraId="2F438F2A" w14:textId="64743B7C"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90" w:name="_Toc510446200"/>
      <w:bookmarkStart w:id="1091" w:name="_Toc510532994"/>
      <w:r w:rsidRPr="00D75D2E">
        <w:rPr>
          <w:rFonts w:ascii="Times New Roman" w:hAnsi="Times New Roman"/>
          <w:b/>
          <w:sz w:val="24"/>
          <w:szCs w:val="24"/>
        </w:rPr>
        <w:t>Mesures de soutien aux survivants</w:t>
      </w:r>
      <w:bookmarkEnd w:id="1090"/>
      <w:bookmarkEnd w:id="1091"/>
    </w:p>
    <w:p w14:paraId="73610870" w14:textId="3969C329"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Il est essentiel de répondre de manière appropriée à la plainte de la victime en respectant les choix du survivant afin de minimiser le risque de traumatisme et de violence supplémentaire contre le survivant. Renvoyer le survivant au fournisseur de services pour obtenir les services de soutien appropriés dans la communauté - soutien médical et psychosocial, hébergement d'urgence, sécurité, y compris la protection policière et soutien aux moyens de subsistance - en facilitant les contacts et la coordination avec ces services. Le client, l'entrepreneur ou la mission de contrôle peut, dans la mesure du possible, fournir un soutien financier et autre aux survivants d</w:t>
      </w:r>
      <w:r w:rsidR="00A96FC0">
        <w:rPr>
          <w:rFonts w:ascii="Times New Roman" w:hAnsi="Times New Roman"/>
          <w:sz w:val="24"/>
          <w:szCs w:val="24"/>
        </w:rPr>
        <w:t>’EAS/HS</w:t>
      </w:r>
      <w:r w:rsidRPr="00D75D2E">
        <w:rPr>
          <w:rFonts w:ascii="Times New Roman" w:hAnsi="Times New Roman"/>
          <w:sz w:val="24"/>
          <w:szCs w:val="24"/>
        </w:rPr>
        <w:t xml:space="preserve"> ou de VCE pour ces services</w:t>
      </w:r>
      <w:r w:rsidRPr="00D75D2E">
        <w:rPr>
          <w:rFonts w:ascii="Times New Roman" w:hAnsi="Times New Roman"/>
          <w:sz w:val="24"/>
          <w:szCs w:val="24"/>
          <w:shd w:val="clear" w:color="auto" w:fill="FFFFFF"/>
        </w:rPr>
        <w:t>.</w:t>
      </w:r>
      <w:r w:rsidRPr="00D75D2E">
        <w:rPr>
          <w:rFonts w:ascii="Times New Roman" w:hAnsi="Times New Roman"/>
          <w:sz w:val="24"/>
          <w:szCs w:val="24"/>
        </w:rPr>
        <w:t xml:space="preserve"> Si le survivant est un employé, pour assurer la sécurité du survivant et du lieu de travail en général, le client, l'entrepreneur ou la mission de contrôle, en consultation avec le survivant, évaluera le risque d'abus continu au survivant et au lieu de travail. Des ajustements raisonnables seront apportés à l'horaire de travail et au milieu de travail du survivant, au besoin (voir l'annexe 1 pour des exemples de mesures de sécurité). L'employeur accordera des congés adéquats aux survivants qui demandent des services après avoir été victimes de violence.</w:t>
      </w:r>
    </w:p>
    <w:p w14:paraId="6C8D964A" w14:textId="2970D36A" w:rsidR="004F08B7" w:rsidRPr="00D75D2E" w:rsidRDefault="004F08B7" w:rsidP="00AE31F1">
      <w:pPr>
        <w:numPr>
          <w:ilvl w:val="1"/>
          <w:numId w:val="110"/>
        </w:numPr>
        <w:spacing w:before="120" w:after="120" w:line="240" w:lineRule="auto"/>
        <w:ind w:left="567" w:hanging="357"/>
        <w:jc w:val="both"/>
        <w:rPr>
          <w:rFonts w:ascii="Times New Roman" w:hAnsi="Times New Roman"/>
          <w:b/>
          <w:sz w:val="24"/>
          <w:szCs w:val="24"/>
        </w:rPr>
      </w:pPr>
      <w:bookmarkStart w:id="1092" w:name="_Toc510446201"/>
      <w:bookmarkStart w:id="1093" w:name="_Toc510532995"/>
      <w:r w:rsidRPr="00D75D2E">
        <w:rPr>
          <w:rFonts w:ascii="Times New Roman" w:hAnsi="Times New Roman"/>
          <w:b/>
          <w:sz w:val="24"/>
          <w:szCs w:val="24"/>
        </w:rPr>
        <w:t>Politique et réponse du contrevenant</w:t>
      </w:r>
      <w:bookmarkEnd w:id="1092"/>
      <w:bookmarkEnd w:id="1093"/>
    </w:p>
    <w:p w14:paraId="0ECB7A6A" w14:textId="503EB294" w:rsidR="004F08B7" w:rsidRPr="00D75D2E" w:rsidRDefault="004F08B7" w:rsidP="004F08B7">
      <w:pPr>
        <w:shd w:val="clear" w:color="auto" w:fill="FFFFFF"/>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Encourager et accepter la notification par le </w:t>
      </w:r>
      <w:r w:rsidR="00A96FC0">
        <w:rPr>
          <w:rFonts w:ascii="Times New Roman" w:hAnsi="Times New Roman"/>
          <w:sz w:val="24"/>
          <w:szCs w:val="24"/>
        </w:rPr>
        <w:t>MGP</w:t>
      </w:r>
      <w:r w:rsidR="00A96FC0" w:rsidRPr="00D75D2E">
        <w:rPr>
          <w:rFonts w:ascii="Times New Roman" w:hAnsi="Times New Roman"/>
          <w:sz w:val="24"/>
          <w:szCs w:val="24"/>
        </w:rPr>
        <w:t xml:space="preserve"> </w:t>
      </w:r>
      <w:r w:rsidRPr="00D75D2E">
        <w:rPr>
          <w:rFonts w:ascii="Times New Roman" w:hAnsi="Times New Roman"/>
          <w:sz w:val="24"/>
          <w:szCs w:val="24"/>
        </w:rPr>
        <w:t>des employés et des membres de la communauté au sujet des auteurs sur le lieu de travail. Par l'entremise de l’ECVV et/ou du fournisseur de services, superviser l'enquête sur ces griefs, assurer l'équité procédurale pour l'accusé et respecter les lois locales. Si un employé a enfreint le code de conduite, l'employeur agira, ce qui pourrait inclure :</w:t>
      </w:r>
    </w:p>
    <w:p w14:paraId="2F23ECC8" w14:textId="1055A7CB" w:rsidR="004F08B7" w:rsidRPr="00D75D2E" w:rsidRDefault="004F08B7" w:rsidP="008C79F0">
      <w:pPr>
        <w:widowControl w:val="0"/>
        <w:numPr>
          <w:ilvl w:val="0"/>
          <w:numId w:val="102"/>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Entreprendre des mesures disciplinaires conformément aux sanctions prévues dans les codes de conduite </w:t>
      </w:r>
      <w:r w:rsidR="00A96FC0">
        <w:rPr>
          <w:rFonts w:ascii="Times New Roman" w:hAnsi="Times New Roman"/>
          <w:sz w:val="24"/>
          <w:szCs w:val="24"/>
        </w:rPr>
        <w:t>EAS/HS</w:t>
      </w:r>
      <w:r w:rsidRPr="00D75D2E">
        <w:rPr>
          <w:rFonts w:ascii="Times New Roman" w:hAnsi="Times New Roman"/>
          <w:sz w:val="24"/>
          <w:szCs w:val="24"/>
        </w:rPr>
        <w:t xml:space="preserve"> et VCE ; </w:t>
      </w:r>
    </w:p>
    <w:p w14:paraId="103F77F2" w14:textId="77777777" w:rsidR="004F08B7" w:rsidRPr="00D75D2E" w:rsidRDefault="004F08B7" w:rsidP="008C79F0">
      <w:pPr>
        <w:widowControl w:val="0"/>
        <w:numPr>
          <w:ilvl w:val="0"/>
          <w:numId w:val="102"/>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Signaler l'auteur à la police selon les paradigmes juridiques locaux ; et/ou </w:t>
      </w:r>
    </w:p>
    <w:p w14:paraId="6DE936BC" w14:textId="77777777" w:rsidR="004F08B7" w:rsidRPr="00D75D2E" w:rsidRDefault="004F08B7" w:rsidP="008C79F0">
      <w:pPr>
        <w:widowControl w:val="0"/>
        <w:numPr>
          <w:ilvl w:val="0"/>
          <w:numId w:val="102"/>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Si possible, fournissez ou facilitez le conseil pour l'auteur.</w:t>
      </w:r>
    </w:p>
    <w:p w14:paraId="54B0EF0C" w14:textId="09769986" w:rsidR="004F08B7" w:rsidRPr="00D75D2E" w:rsidRDefault="004F08B7" w:rsidP="00AE31F1">
      <w:pPr>
        <w:numPr>
          <w:ilvl w:val="0"/>
          <w:numId w:val="110"/>
        </w:numPr>
        <w:spacing w:before="120" w:after="120" w:line="240" w:lineRule="auto"/>
        <w:ind w:left="714" w:hanging="357"/>
        <w:jc w:val="both"/>
        <w:rPr>
          <w:rFonts w:ascii="Times New Roman" w:hAnsi="Times New Roman"/>
          <w:b/>
          <w:sz w:val="24"/>
          <w:szCs w:val="24"/>
        </w:rPr>
      </w:pPr>
      <w:bookmarkStart w:id="1094" w:name="_Toc498427577"/>
      <w:bookmarkStart w:id="1095" w:name="_Toc510446202"/>
      <w:bookmarkStart w:id="1096" w:name="_Toc510532996"/>
      <w:r w:rsidRPr="00D75D2E">
        <w:rPr>
          <w:rFonts w:ascii="Times New Roman" w:hAnsi="Times New Roman"/>
          <w:b/>
          <w:sz w:val="24"/>
          <w:szCs w:val="24"/>
        </w:rPr>
        <w:t>Sanctions</w:t>
      </w:r>
      <w:bookmarkEnd w:id="1094"/>
      <w:bookmarkEnd w:id="1095"/>
      <w:bookmarkEnd w:id="1096"/>
    </w:p>
    <w:p w14:paraId="22CF8351" w14:textId="66F9FAA8"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Conformément au Code de conduite, tout employé confirmé en tant qu'auteur d'une </w:t>
      </w:r>
      <w:r w:rsidR="00951BB1">
        <w:rPr>
          <w:rFonts w:ascii="Times New Roman" w:hAnsi="Times New Roman"/>
          <w:sz w:val="24"/>
          <w:szCs w:val="24"/>
        </w:rPr>
        <w:t>EAS/HS</w:t>
      </w:r>
      <w:r w:rsidRPr="00D75D2E">
        <w:rPr>
          <w:rFonts w:ascii="Times New Roman" w:hAnsi="Times New Roman"/>
          <w:sz w:val="24"/>
          <w:szCs w:val="24"/>
        </w:rPr>
        <w:t xml:space="preserve"> ou d'une VCE sera sanctionné pour des mesures disciplinaires conformément aux sanctions et aux pratiques convenues dans le Code de conduite individuel. Il est important de noter que, pour chaque cas, les sanctions disciplinaires sont destinées à faire partie d'un processus entièrement interne à l'employeur, placé sous le contrôle et la responsabilité de ses dirigeants et mené conformément à la législation nationale applicable (législation du travail).</w:t>
      </w:r>
    </w:p>
    <w:p w14:paraId="0DED79BE" w14:textId="77777777" w:rsidR="004F08B7" w:rsidRPr="00D75D2E" w:rsidRDefault="004F08B7" w:rsidP="004F08B7">
      <w:pPr>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Ce processus devrait être totalement indépendant de toute enquête officielle que les autorités compétentes (par exemple la police) pourraient décider de mener en relation avec le même cas, et conformément à la législation nationale applicable. De même, les mesures disciplinaires internes que les dirigeants de l'employeur peuvent décider d'adopter sont destinées à être distinctes de toutes les accusations ou sanctions pouvant donner lieu à l'enquête officielle ((par exemple, amendes, détention, etc.).</w:t>
      </w:r>
    </w:p>
    <w:p w14:paraId="2131BCF9" w14:textId="775A541A" w:rsidR="004F08B7" w:rsidRPr="00D75D2E" w:rsidRDefault="004F08B7" w:rsidP="00AE31F1">
      <w:pPr>
        <w:numPr>
          <w:ilvl w:val="0"/>
          <w:numId w:val="110"/>
        </w:numPr>
        <w:spacing w:before="120" w:after="120" w:line="240" w:lineRule="auto"/>
        <w:ind w:left="714" w:hanging="357"/>
        <w:jc w:val="both"/>
        <w:rPr>
          <w:rFonts w:ascii="Times New Roman" w:hAnsi="Times New Roman"/>
          <w:b/>
          <w:sz w:val="24"/>
          <w:szCs w:val="24"/>
        </w:rPr>
      </w:pPr>
      <w:bookmarkStart w:id="1097" w:name="_Toc510446203"/>
      <w:bookmarkStart w:id="1098" w:name="_Toc510532997"/>
      <w:r w:rsidRPr="00D75D2E">
        <w:rPr>
          <w:rFonts w:ascii="Times New Roman" w:hAnsi="Times New Roman"/>
          <w:b/>
          <w:sz w:val="24"/>
          <w:szCs w:val="24"/>
        </w:rPr>
        <w:t xml:space="preserve">Procédures potentielles pour traiter </w:t>
      </w:r>
      <w:r w:rsidR="00A96FC0" w:rsidRPr="00AE31F1">
        <w:rPr>
          <w:rFonts w:ascii="Times New Roman" w:hAnsi="Times New Roman"/>
          <w:b/>
          <w:sz w:val="24"/>
          <w:szCs w:val="24"/>
        </w:rPr>
        <w:t>EAS/HS</w:t>
      </w:r>
      <w:r w:rsidR="00A96FC0" w:rsidRPr="00D75D2E">
        <w:rPr>
          <w:rFonts w:ascii="Times New Roman" w:hAnsi="Times New Roman"/>
          <w:sz w:val="24"/>
          <w:szCs w:val="24"/>
        </w:rPr>
        <w:t xml:space="preserve"> </w:t>
      </w:r>
      <w:r w:rsidRPr="00D75D2E">
        <w:rPr>
          <w:rFonts w:ascii="Times New Roman" w:hAnsi="Times New Roman"/>
          <w:b/>
          <w:sz w:val="24"/>
          <w:szCs w:val="24"/>
        </w:rPr>
        <w:t xml:space="preserve">et </w:t>
      </w:r>
      <w:bookmarkEnd w:id="1097"/>
      <w:bookmarkEnd w:id="1098"/>
      <w:r w:rsidRPr="00D75D2E">
        <w:rPr>
          <w:rFonts w:ascii="Times New Roman" w:hAnsi="Times New Roman"/>
          <w:b/>
          <w:sz w:val="24"/>
          <w:szCs w:val="24"/>
        </w:rPr>
        <w:t>VCE</w:t>
      </w:r>
    </w:p>
    <w:p w14:paraId="0C2B5927" w14:textId="77777777" w:rsidR="004F08B7" w:rsidRPr="00D75D2E" w:rsidRDefault="004F08B7" w:rsidP="004F08B7">
      <w:pPr>
        <w:widowControl w:val="0"/>
        <w:suppressAutoHyphens/>
        <w:overflowPunct w:val="0"/>
        <w:autoSpaceDE w:val="0"/>
        <w:autoSpaceDN w:val="0"/>
        <w:adjustRightInd w:val="0"/>
        <w:spacing w:after="0" w:line="240" w:lineRule="auto"/>
        <w:jc w:val="both"/>
        <w:textAlignment w:val="baseline"/>
        <w:rPr>
          <w:rFonts w:ascii="Times New Roman" w:hAnsi="Times New Roman"/>
          <w:b/>
          <w:sz w:val="24"/>
          <w:szCs w:val="24"/>
        </w:rPr>
      </w:pPr>
      <w:r w:rsidRPr="00D75D2E">
        <w:rPr>
          <w:rFonts w:ascii="Times New Roman" w:hAnsi="Times New Roman"/>
          <w:b/>
          <w:sz w:val="24"/>
          <w:szCs w:val="24"/>
        </w:rPr>
        <w:t>Responsabilisation : Les mesures visant à préserver la confidentialité peuvent être réalisées grâce aux actions suivantes :</w:t>
      </w:r>
    </w:p>
    <w:p w14:paraId="7607E596" w14:textId="5F5969F2" w:rsidR="004F08B7" w:rsidRPr="00D75D2E" w:rsidRDefault="004F08B7" w:rsidP="008C79F0">
      <w:pPr>
        <w:widowControl w:val="0"/>
        <w:numPr>
          <w:ilvl w:val="0"/>
          <w:numId w:val="103"/>
        </w:numPr>
        <w:tabs>
          <w:tab w:val="left" w:pos="220"/>
        </w:tabs>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 xml:space="preserve">Informer tous les employés que la confidentialité des informations personnelles des survivants de </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/VCE est de la plus haute importance.</w:t>
      </w:r>
    </w:p>
    <w:p w14:paraId="27FFA314" w14:textId="77777777" w:rsidR="004F08B7" w:rsidRPr="00D75D2E" w:rsidRDefault="004F08B7" w:rsidP="008C79F0">
      <w:pPr>
        <w:widowControl w:val="0"/>
        <w:numPr>
          <w:ilvl w:val="0"/>
          <w:numId w:val="103"/>
        </w:numPr>
        <w:tabs>
          <w:tab w:val="left" w:pos="220"/>
        </w:tabs>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Fournir à l’ECVV une formation sur l'écoute empathique et sans jugement.</w:t>
      </w:r>
    </w:p>
    <w:p w14:paraId="15200C36" w14:textId="77777777" w:rsidR="004F08B7" w:rsidRPr="00D75D2E" w:rsidRDefault="004F08B7" w:rsidP="008C79F0">
      <w:pPr>
        <w:widowControl w:val="0"/>
        <w:numPr>
          <w:ilvl w:val="0"/>
          <w:numId w:val="103"/>
        </w:numPr>
        <w:tabs>
          <w:tab w:val="left" w:pos="220"/>
        </w:tabs>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Prendre des mesures disciplinaires, y compris le renvoi, contre ceux qui violent la confidentialité du survivant (sauf si une violation de la confidentialité est nécessaire pour protéger le survivant ou une autre personne d'un préjudice grave ou lorsque la loi l'exige).</w:t>
      </w:r>
    </w:p>
    <w:p w14:paraId="09813436" w14:textId="77777777" w:rsidR="004F08B7" w:rsidRPr="00D75D2E" w:rsidRDefault="004F08B7" w:rsidP="004F08B7">
      <w:pPr>
        <w:widowControl w:val="0"/>
        <w:suppressAutoHyphens/>
        <w:overflowPunct w:val="0"/>
        <w:autoSpaceDE w:val="0"/>
        <w:autoSpaceDN w:val="0"/>
        <w:adjustRightInd w:val="0"/>
        <w:spacing w:after="0" w:line="240" w:lineRule="auto"/>
        <w:jc w:val="both"/>
        <w:textAlignment w:val="baseline"/>
        <w:rPr>
          <w:rFonts w:ascii="Times New Roman" w:hAnsi="Times New Roman"/>
          <w:b/>
          <w:sz w:val="24"/>
          <w:szCs w:val="24"/>
        </w:rPr>
      </w:pPr>
    </w:p>
    <w:p w14:paraId="3CBC9EC2" w14:textId="0442568A" w:rsidR="004F08B7" w:rsidRPr="00D75D2E" w:rsidRDefault="004F08B7" w:rsidP="004F08B7">
      <w:pPr>
        <w:widowControl w:val="0"/>
        <w:suppressAutoHyphens/>
        <w:overflowPunct w:val="0"/>
        <w:autoSpaceDE w:val="0"/>
        <w:autoSpaceDN w:val="0"/>
        <w:adjustRightInd w:val="0"/>
        <w:spacing w:after="0" w:line="240" w:lineRule="auto"/>
        <w:jc w:val="both"/>
        <w:textAlignment w:val="baseline"/>
        <w:rPr>
          <w:rFonts w:ascii="Times New Roman" w:hAnsi="Times New Roman"/>
          <w:b/>
          <w:sz w:val="24"/>
          <w:szCs w:val="24"/>
        </w:rPr>
      </w:pPr>
      <w:r w:rsidRPr="00D75D2E">
        <w:rPr>
          <w:rFonts w:ascii="Times New Roman" w:hAnsi="Times New Roman"/>
          <w:b/>
          <w:sz w:val="24"/>
          <w:szCs w:val="24"/>
        </w:rPr>
        <w:t xml:space="preserve">Les procédures d'allégation </w:t>
      </w:r>
      <w:r w:rsidR="00A96FC0">
        <w:rPr>
          <w:rFonts w:ascii="Times New Roman" w:hAnsi="Times New Roman"/>
          <w:sz w:val="24"/>
          <w:szCs w:val="24"/>
        </w:rPr>
        <w:t>EAS/HS</w:t>
      </w:r>
      <w:r w:rsidRPr="00D75D2E">
        <w:rPr>
          <w:rFonts w:ascii="Times New Roman" w:hAnsi="Times New Roman"/>
          <w:b/>
          <w:sz w:val="24"/>
          <w:szCs w:val="24"/>
        </w:rPr>
        <w:t xml:space="preserve"> et VCE doivent spécifier :</w:t>
      </w:r>
    </w:p>
    <w:p w14:paraId="2B235996" w14:textId="77777777" w:rsidR="004F08B7" w:rsidRPr="00D75D2E" w:rsidRDefault="004F08B7" w:rsidP="008C79F0">
      <w:pPr>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Qui les survivants peuvent demander des informations et de l'aide.</w:t>
      </w:r>
    </w:p>
    <w:p w14:paraId="0630928F" w14:textId="64BFA68B" w:rsidR="004F08B7" w:rsidRPr="00D75D2E" w:rsidRDefault="004F08B7" w:rsidP="008C79F0">
      <w:pPr>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 xml:space="preserve">Le processus permettant aux membres de la communauté et aux employés de déposer une plainte par l'intermédiaire du </w:t>
      </w:r>
      <w:r w:rsidR="00951BB1">
        <w:rPr>
          <w:rFonts w:ascii="Times New Roman" w:hAnsi="Times New Roman"/>
          <w:sz w:val="24"/>
          <w:szCs w:val="24"/>
        </w:rPr>
        <w:t>MGP</w:t>
      </w:r>
      <w:r w:rsidR="00951BB1" w:rsidRPr="00D75D2E">
        <w:rPr>
          <w:rFonts w:ascii="Times New Roman" w:hAnsi="Times New Roman"/>
          <w:sz w:val="24"/>
          <w:szCs w:val="24"/>
        </w:rPr>
        <w:t xml:space="preserve"> </w:t>
      </w:r>
      <w:r w:rsidRPr="00D75D2E">
        <w:rPr>
          <w:rFonts w:ascii="Times New Roman" w:hAnsi="Times New Roman"/>
          <w:sz w:val="24"/>
          <w:szCs w:val="24"/>
        </w:rPr>
        <w:t>devrait être présumé être l</w:t>
      </w:r>
      <w:r w:rsidR="00A96FC0">
        <w:rPr>
          <w:rFonts w:ascii="Times New Roman" w:hAnsi="Times New Roman"/>
          <w:sz w:val="24"/>
          <w:szCs w:val="24"/>
        </w:rPr>
        <w:t>’EAS/HS</w:t>
      </w:r>
      <w:r w:rsidR="00A96FC0" w:rsidRPr="00D75D2E">
        <w:rPr>
          <w:rFonts w:ascii="Times New Roman" w:hAnsi="Times New Roman"/>
          <w:sz w:val="24"/>
          <w:szCs w:val="24"/>
        </w:rPr>
        <w:t xml:space="preserve"> </w:t>
      </w:r>
      <w:r w:rsidRPr="00D75D2E">
        <w:rPr>
          <w:rFonts w:ascii="Times New Roman" w:hAnsi="Times New Roman"/>
          <w:sz w:val="24"/>
          <w:szCs w:val="24"/>
        </w:rPr>
        <w:t>ou la VCE.</w:t>
      </w:r>
    </w:p>
    <w:p w14:paraId="10731ADE" w14:textId="77777777" w:rsidR="004F08B7" w:rsidRPr="00D75D2E" w:rsidRDefault="004F08B7" w:rsidP="008C79F0">
      <w:pPr>
        <w:numPr>
          <w:ilvl w:val="0"/>
          <w:numId w:val="9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 mécanisme permettant aux membres et aux employés de la communauté d'escalader une demande de soutien ou de notification de violence si le processus de déclaration est inefficace en raison de l'indisponibilité ou de la non-réponse ou si la préoccupation de l'employé n'est pas résolue.</w:t>
      </w:r>
    </w:p>
    <w:p w14:paraId="2ADA82DA" w14:textId="77777777" w:rsidR="004F08B7" w:rsidRPr="00D75D2E" w:rsidRDefault="004F08B7" w:rsidP="00AE31F1">
      <w:pPr>
        <w:widowControl w:val="0"/>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Les soutiens financiers et autres actions aux survivants peuvent inclure :</w:t>
      </w:r>
    </w:p>
    <w:p w14:paraId="1BDAB49F"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Prêts à faible intérêt ou sans intérêt</w:t>
      </w:r>
    </w:p>
    <w:p w14:paraId="304FFFEB"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Avances salariales.</w:t>
      </w:r>
    </w:p>
    <w:p w14:paraId="0819B124"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Paiement direct des frais médicaux.</w:t>
      </w:r>
    </w:p>
    <w:p w14:paraId="5CAD7297"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Couverture de tous les frais médicaux liés spécifiquement à l'incident.</w:t>
      </w:r>
    </w:p>
    <w:p w14:paraId="0511F3C2"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Les paiements initiaux pour les frais médicaux seront ultérieurement récupérés auprès de l'assurance maladie de l'employé.</w:t>
      </w:r>
    </w:p>
    <w:p w14:paraId="1CC11858"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Fournir ou faciliter l'accès à la garde d'enfants.</w:t>
      </w:r>
    </w:p>
    <w:p w14:paraId="36CFAAA8" w14:textId="77777777" w:rsidR="004F08B7" w:rsidRPr="00D75D2E" w:rsidRDefault="004F08B7"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sidRPr="00D75D2E">
        <w:rPr>
          <w:rFonts w:ascii="Times New Roman" w:hAnsi="Times New Roman"/>
          <w:sz w:val="24"/>
          <w:szCs w:val="24"/>
        </w:rPr>
        <w:t>Fournir des mises à niveau de sécurité à la maison de l'employé.</w:t>
      </w:r>
    </w:p>
    <w:p w14:paraId="4930219F" w14:textId="77777777" w:rsidR="000C31FB" w:rsidRDefault="000C31FB" w:rsidP="008C79F0">
      <w:pPr>
        <w:numPr>
          <w:ilvl w:val="0"/>
          <w:numId w:val="10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overflowPunct w:val="0"/>
        <w:autoSpaceDE w:val="0"/>
        <w:autoSpaceDN w:val="0"/>
        <w:adjustRightInd w:val="0"/>
        <w:spacing w:after="0" w:line="240" w:lineRule="auto"/>
        <w:jc w:val="both"/>
        <w:textAlignment w:val="baseline"/>
        <w:rPr>
          <w:rFonts w:ascii="Times New Roman" w:hAnsi="Times New Roman"/>
          <w:sz w:val="24"/>
          <w:szCs w:val="24"/>
        </w:rPr>
      </w:pPr>
      <w:r>
        <w:rPr>
          <w:rFonts w:ascii="Times New Roman" w:hAnsi="Times New Roman"/>
          <w:sz w:val="24"/>
          <w:szCs w:val="24"/>
        </w:rPr>
        <w:t>Aides aux survivantes fournis par les organisations qui offrent le soutien aux survivantes.</w:t>
      </w:r>
    </w:p>
    <w:p w14:paraId="4A7CBB30" w14:textId="77777777" w:rsidR="004F08B7" w:rsidRPr="00D75D2E" w:rsidRDefault="004F08B7" w:rsidP="00AE31F1">
      <w:pPr>
        <w:widowControl w:val="0"/>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Basé sur les droits, les besoins et les souhaits du survivant, les mesures de soutien aux survivants pour assurer la sécurité du survivant qui est un employé peuvent inclure</w:t>
      </w:r>
      <w:r w:rsidRPr="00D75D2E">
        <w:rPr>
          <w:rFonts w:ascii="Times New Roman" w:hAnsi="Times New Roman"/>
          <w:b/>
          <w:sz w:val="24"/>
          <w:szCs w:val="24"/>
          <w:vertAlign w:val="superscript"/>
        </w:rPr>
        <w:footnoteReference w:id="20"/>
      </w:r>
      <w:r w:rsidRPr="00D75D2E">
        <w:rPr>
          <w:rFonts w:ascii="Times New Roman" w:hAnsi="Times New Roman"/>
          <w:b/>
          <w:sz w:val="24"/>
          <w:szCs w:val="24"/>
        </w:rPr>
        <w:t> :</w:t>
      </w:r>
    </w:p>
    <w:p w14:paraId="2E25EDFD"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Changement de la durée des heures ou du modèle des heures et/ou des horaires de travail de l'auteur ou du survivant.</w:t>
      </w:r>
    </w:p>
    <w:p w14:paraId="0027DCAE"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Redéfinir ou changer les devoirs de l'auteur ou du survivant.</w:t>
      </w:r>
    </w:p>
    <w:p w14:paraId="1449A38E"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Modification du numéro de téléphone ou de l'adresse e-mail du survivant pour éviter tout contact avec l’harceleur.</w:t>
      </w:r>
    </w:p>
    <w:p w14:paraId="681435BC"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Relocaliser le survivant ou l'agresseur sur un autre lieu de travail/lieux alternatifs.</w:t>
      </w:r>
    </w:p>
    <w:p w14:paraId="6A5E4983"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Fournir un transport sûr vers et à partir du travail pour une période spécifiée.</w:t>
      </w:r>
    </w:p>
    <w:p w14:paraId="3E371F4D"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Soutenir le survivant pour demander une ordonnance de protection provisoire ou le référer à un soutien approprié.</w:t>
      </w:r>
    </w:p>
    <w:p w14:paraId="63B89859" w14:textId="77777777" w:rsidR="004F08B7" w:rsidRPr="00D75D2E" w:rsidRDefault="004F08B7" w:rsidP="008C79F0">
      <w:pPr>
        <w:widowControl w:val="0"/>
        <w:numPr>
          <w:ilvl w:val="0"/>
          <w:numId w:val="105"/>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Prendre toutes les autres mesures appropriées, y compris celles qui sont prévues par les dispositions existantes pour des modalités de travail favorables à la famille et flexibles.</w:t>
      </w:r>
    </w:p>
    <w:p w14:paraId="5711414A" w14:textId="77777777" w:rsidR="004F08B7" w:rsidRPr="00D75D2E" w:rsidRDefault="004F08B7" w:rsidP="00F933DF">
      <w:pPr>
        <w:widowControl w:val="0"/>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Les options de congé pour les survivants qui sont des employés peuvent inclure :</w:t>
      </w:r>
    </w:p>
    <w:p w14:paraId="4C028687" w14:textId="5E446174" w:rsidR="004F08B7" w:rsidRPr="00D75D2E" w:rsidRDefault="004F08B7" w:rsidP="008C79F0">
      <w:pPr>
        <w:widowControl w:val="0"/>
        <w:numPr>
          <w:ilvl w:val="0"/>
          <w:numId w:val="106"/>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Un employé victime d</w:t>
      </w:r>
      <w:r w:rsidR="00951BB1">
        <w:rPr>
          <w:rFonts w:ascii="Times New Roman" w:hAnsi="Times New Roman"/>
          <w:sz w:val="24"/>
          <w:szCs w:val="24"/>
        </w:rPr>
        <w:t>’EAS/HS</w:t>
      </w:r>
      <w:r w:rsidRPr="00D75D2E">
        <w:rPr>
          <w:rFonts w:ascii="Times New Roman" w:hAnsi="Times New Roman"/>
          <w:sz w:val="24"/>
          <w:szCs w:val="24"/>
        </w:rPr>
        <w:t xml:space="preserve"> doit être en mesure de demander un congé spécial payé pour assister à un rendez-vous médical ou psychosocial, une procédure judiciaire, une réinstallation dans un lieu sûr et d'autres activités liées à l</w:t>
      </w:r>
      <w:r w:rsidR="00951BB1">
        <w:rPr>
          <w:rFonts w:ascii="Times New Roman" w:hAnsi="Times New Roman"/>
          <w:sz w:val="24"/>
          <w:szCs w:val="24"/>
        </w:rPr>
        <w:t>’EAS/HS</w:t>
      </w:r>
      <w:r w:rsidRPr="00D75D2E">
        <w:rPr>
          <w:rFonts w:ascii="Times New Roman" w:hAnsi="Times New Roman"/>
          <w:sz w:val="24"/>
          <w:szCs w:val="24"/>
        </w:rPr>
        <w:t>.</w:t>
      </w:r>
    </w:p>
    <w:p w14:paraId="17EFD04C" w14:textId="58A44F21" w:rsidR="004F08B7" w:rsidRPr="00D75D2E" w:rsidRDefault="004F08B7" w:rsidP="008C79F0">
      <w:pPr>
        <w:widowControl w:val="0"/>
        <w:numPr>
          <w:ilvl w:val="0"/>
          <w:numId w:val="106"/>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Un employé qui prend en charge une personne confrontée à l</w:t>
      </w:r>
      <w:r w:rsidR="00951BB1">
        <w:rPr>
          <w:rFonts w:ascii="Times New Roman" w:hAnsi="Times New Roman"/>
          <w:sz w:val="24"/>
          <w:szCs w:val="24"/>
        </w:rPr>
        <w:t>’EAS/HS</w:t>
      </w:r>
      <w:r w:rsidR="00951BB1" w:rsidRPr="00D75D2E">
        <w:rPr>
          <w:rFonts w:ascii="Times New Roman" w:hAnsi="Times New Roman"/>
          <w:sz w:val="24"/>
          <w:szCs w:val="24"/>
        </w:rPr>
        <w:t xml:space="preserve"> </w:t>
      </w:r>
      <w:r w:rsidRPr="00D75D2E">
        <w:rPr>
          <w:rFonts w:ascii="Times New Roman" w:hAnsi="Times New Roman"/>
          <w:sz w:val="24"/>
          <w:szCs w:val="24"/>
        </w:rPr>
        <w:t>ou à la VCE peut le faire à partir des soins, y compris, mais sans y limiter, les accompagner à la cour ou à l'hôpital, ou prendre soin des enfants.</w:t>
      </w:r>
    </w:p>
    <w:p w14:paraId="6616B29F" w14:textId="77777777" w:rsidR="004F08B7" w:rsidRPr="00D75D2E" w:rsidRDefault="004F08B7" w:rsidP="008C79F0">
      <w:pPr>
        <w:widowControl w:val="0"/>
        <w:numPr>
          <w:ilvl w:val="0"/>
          <w:numId w:val="106"/>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Les employés qui occupent un emploi occasionnel peuvent demander un congé spécial non payé ou des personnes non rémunérées.</w:t>
      </w:r>
    </w:p>
    <w:p w14:paraId="0FCF74C0" w14:textId="77777777" w:rsidR="004F08B7" w:rsidRPr="00D75D2E" w:rsidRDefault="004F08B7" w:rsidP="008C79F0">
      <w:pPr>
        <w:widowControl w:val="0"/>
        <w:numPr>
          <w:ilvl w:val="0"/>
          <w:numId w:val="106"/>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Le nombre de jours de congé est déterminé en fonction de la situation de la personne au moyen de consultations avec l'employé, la direction et l’ECVV, le cas échéant.</w:t>
      </w:r>
    </w:p>
    <w:p w14:paraId="4231EE42" w14:textId="5472F65B" w:rsidR="004F08B7" w:rsidRPr="00D75D2E" w:rsidRDefault="004F08B7" w:rsidP="00F933DF">
      <w:pPr>
        <w:widowControl w:val="0"/>
        <w:suppressAutoHyphens/>
        <w:overflowPunct w:val="0"/>
        <w:autoSpaceDE w:val="0"/>
        <w:autoSpaceDN w:val="0"/>
        <w:adjustRightInd w:val="0"/>
        <w:spacing w:before="120" w:after="120" w:line="240" w:lineRule="auto"/>
        <w:jc w:val="both"/>
        <w:textAlignment w:val="baseline"/>
        <w:rPr>
          <w:rFonts w:ascii="Times New Roman" w:hAnsi="Times New Roman"/>
          <w:b/>
          <w:sz w:val="24"/>
          <w:szCs w:val="24"/>
        </w:rPr>
      </w:pPr>
      <w:r w:rsidRPr="00D75D2E">
        <w:rPr>
          <w:rFonts w:ascii="Times New Roman" w:hAnsi="Times New Roman"/>
          <w:b/>
          <w:sz w:val="24"/>
          <w:szCs w:val="24"/>
        </w:rPr>
        <w:t xml:space="preserve">Sanctions potentielles pour les employés auteurs de </w:t>
      </w:r>
      <w:r w:rsidR="00951BB1">
        <w:rPr>
          <w:rFonts w:ascii="Times New Roman" w:hAnsi="Times New Roman"/>
          <w:sz w:val="24"/>
          <w:szCs w:val="24"/>
        </w:rPr>
        <w:t>EAS/HS</w:t>
      </w:r>
      <w:r w:rsidRPr="00D75D2E">
        <w:rPr>
          <w:rFonts w:ascii="Times New Roman" w:hAnsi="Times New Roman"/>
          <w:b/>
          <w:sz w:val="24"/>
          <w:szCs w:val="24"/>
        </w:rPr>
        <w:t xml:space="preserve"> et de VCE inclus :</w:t>
      </w:r>
    </w:p>
    <w:p w14:paraId="108E207D"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Avertissement informel</w:t>
      </w:r>
    </w:p>
    <w:p w14:paraId="37810BF7"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Avertissement formel</w:t>
      </w:r>
    </w:p>
    <w:p w14:paraId="6CB4D12E"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Formation supplémentaire</w:t>
      </w:r>
    </w:p>
    <w:p w14:paraId="6FC9B25E"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Perte d'un maximum d'une semaine de salaire.</w:t>
      </w:r>
    </w:p>
    <w:p w14:paraId="27CCA647"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Suspension de l'emploi (sans paiement de salaire), pour une période minimum de 1 mois jusqu'à un maximum de 6 mois.</w:t>
      </w:r>
    </w:p>
    <w:p w14:paraId="7113BB72" w14:textId="77777777" w:rsidR="004F08B7" w:rsidRPr="00D75D2E" w:rsidRDefault="004F08B7" w:rsidP="008C79F0">
      <w:pPr>
        <w:numPr>
          <w:ilvl w:val="0"/>
          <w:numId w:val="107"/>
        </w:numPr>
        <w:suppressAutoHyphens/>
        <w:overflowPunct w:val="0"/>
        <w:autoSpaceDE w:val="0"/>
        <w:autoSpaceDN w:val="0"/>
        <w:adjustRightInd w:val="0"/>
        <w:spacing w:after="0" w:line="240" w:lineRule="auto"/>
        <w:contextualSpacing/>
        <w:jc w:val="both"/>
        <w:textAlignment w:val="baseline"/>
        <w:rPr>
          <w:rFonts w:ascii="Times New Roman" w:hAnsi="Times New Roman"/>
          <w:sz w:val="24"/>
          <w:szCs w:val="24"/>
        </w:rPr>
      </w:pPr>
      <w:r w:rsidRPr="00D75D2E">
        <w:rPr>
          <w:rFonts w:ascii="Times New Roman" w:hAnsi="Times New Roman"/>
          <w:sz w:val="24"/>
          <w:szCs w:val="24"/>
        </w:rPr>
        <w:t>Cessation d'emploi.</w:t>
      </w:r>
    </w:p>
    <w:p w14:paraId="1D0AF376" w14:textId="77777777" w:rsidR="004F08B7" w:rsidRPr="00D75D2E" w:rsidRDefault="004F08B7" w:rsidP="004F08B7">
      <w:pPr>
        <w:suppressAutoHyphens/>
        <w:overflowPunct w:val="0"/>
        <w:autoSpaceDE w:val="0"/>
        <w:autoSpaceDN w:val="0"/>
        <w:adjustRightInd w:val="0"/>
        <w:spacing w:after="0" w:line="240" w:lineRule="auto"/>
        <w:ind w:left="720"/>
        <w:contextualSpacing/>
        <w:jc w:val="both"/>
        <w:textAlignment w:val="baseline"/>
        <w:rPr>
          <w:rFonts w:ascii="Times New Roman" w:hAnsi="Times New Roman"/>
          <w:sz w:val="24"/>
          <w:szCs w:val="24"/>
        </w:rPr>
      </w:pPr>
    </w:p>
    <w:p w14:paraId="28CED9B6" w14:textId="77777777" w:rsidR="004F08B7" w:rsidRPr="00D75D2E" w:rsidRDefault="004F08B7" w:rsidP="004F08B7">
      <w:pPr>
        <w:autoSpaceDE w:val="0"/>
        <w:autoSpaceDN w:val="0"/>
        <w:adjustRightInd w:val="0"/>
        <w:spacing w:after="240" w:line="240" w:lineRule="auto"/>
        <w:jc w:val="both"/>
        <w:rPr>
          <w:rFonts w:ascii="Times New Roman" w:hAnsi="Times New Roman"/>
          <w:sz w:val="24"/>
          <w:szCs w:val="24"/>
          <w:lang w:eastAsia="fr-FR"/>
        </w:rPr>
      </w:pPr>
      <w:r w:rsidRPr="00D75D2E">
        <w:rPr>
          <w:rFonts w:ascii="Times New Roman" w:hAnsi="Times New Roman"/>
          <w:sz w:val="24"/>
          <w:szCs w:val="24"/>
          <w:lang w:eastAsia="fr-FR"/>
        </w:rPr>
        <w:br w:type="page"/>
      </w:r>
      <w:bookmarkStart w:id="1099" w:name="_Toc526130105"/>
      <w:bookmarkStart w:id="1100" w:name="_Toc8256167"/>
    </w:p>
    <w:p w14:paraId="2282D809" w14:textId="43EA989A" w:rsidR="004F08B7" w:rsidRPr="00CC7A47" w:rsidRDefault="004F08B7" w:rsidP="00CC7A47">
      <w:pPr>
        <w:pStyle w:val="Titre41"/>
        <w:spacing w:before="0" w:after="120"/>
        <w:jc w:val="center"/>
        <w:rPr>
          <w:rStyle w:val="Titre2Car1"/>
        </w:rPr>
      </w:pPr>
      <w:bookmarkStart w:id="1101" w:name="_Toc29151541"/>
      <w:bookmarkStart w:id="1102" w:name="_Toc93050615"/>
      <w:bookmarkStart w:id="1103" w:name="_Toc103685768"/>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4</w:t>
      </w:r>
      <w:r w:rsidRPr="00CC7A47">
        <w:rPr>
          <w:rStyle w:val="Titre2Car1"/>
        </w:rPr>
        <w:fldChar w:fldCharType="end"/>
      </w:r>
      <w:r w:rsidRPr="00CC7A47">
        <w:rPr>
          <w:rStyle w:val="Titre2Car1"/>
        </w:rPr>
        <w:t> :</w:t>
      </w:r>
      <w:bookmarkStart w:id="1104" w:name="_Toc28908466"/>
      <w:r w:rsidRPr="00CC7A47">
        <w:rPr>
          <w:rStyle w:val="Titre2Car1"/>
        </w:rPr>
        <w:t xml:space="preserve"> Cahier des Clauses Administratives Générales : Indicateurs de performance des dispositions environnementales, sociales, hygiène et sécurité</w:t>
      </w:r>
      <w:bookmarkEnd w:id="1099"/>
      <w:bookmarkEnd w:id="1100"/>
      <w:bookmarkEnd w:id="1101"/>
      <w:bookmarkEnd w:id="1102"/>
      <w:bookmarkEnd w:id="1103"/>
      <w:bookmarkEnd w:id="1104"/>
    </w:p>
    <w:p w14:paraId="10A69E99" w14:textId="77777777" w:rsidR="004F08B7" w:rsidRPr="00CC7A47" w:rsidRDefault="004F08B7" w:rsidP="004F08B7">
      <w:pPr>
        <w:spacing w:after="120"/>
        <w:jc w:val="both"/>
        <w:rPr>
          <w:rFonts w:ascii="Times New Roman" w:hAnsi="Times New Roman"/>
          <w:i/>
          <w:sz w:val="24"/>
          <w:szCs w:val="24"/>
        </w:rPr>
      </w:pPr>
      <w:r w:rsidRPr="00CC7A47">
        <w:rPr>
          <w:rFonts w:ascii="Times New Roman" w:hAnsi="Times New Roman"/>
          <w:i/>
          <w:sz w:val="24"/>
          <w:szCs w:val="24"/>
        </w:rPr>
        <w:t>[Note à l’intention du Maître d’Ouvrage : les indicateurs ci-après peuvent être modifiés afin de refléter les politiques environnementales, sociales, hygiène et sécurité et/ou les exigences ESHS du projet. Les indicateurs nécessaires devraient être déterminés en fonction des risques ESHS des Travaux et non nécessairement par le montant des travaux]</w:t>
      </w:r>
    </w:p>
    <w:p w14:paraId="631F1870" w14:textId="77777777" w:rsidR="004F08B7" w:rsidRPr="00D75D2E" w:rsidRDefault="004F08B7" w:rsidP="004F08B7">
      <w:pPr>
        <w:spacing w:after="120"/>
        <w:jc w:val="both"/>
        <w:rPr>
          <w:rFonts w:ascii="Times New Roman" w:hAnsi="Times New Roman"/>
          <w:i/>
          <w:sz w:val="24"/>
          <w:szCs w:val="24"/>
        </w:rPr>
      </w:pPr>
      <w:r w:rsidRPr="00D75D2E">
        <w:rPr>
          <w:rFonts w:ascii="Times New Roman" w:hAnsi="Times New Roman"/>
          <w:i/>
          <w:sz w:val="24"/>
          <w:szCs w:val="24"/>
        </w:rPr>
        <w:t>Indicateurs pour les rapports périodiques :</w:t>
      </w:r>
    </w:p>
    <w:p w14:paraId="3AF97E1E"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Incidents environnementaux ou non conformités avec les exigences contractuelles, y compris contamination, pollution ou dommage aux sols ou aux ressources en eau ;</w:t>
      </w:r>
    </w:p>
    <w:p w14:paraId="1068214A"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Incidents relatifs à l’hygiène et la sécurité, accidents, blessures et toutes victimes ayant nécessité des soins ;</w:t>
      </w:r>
    </w:p>
    <w:p w14:paraId="05D1C5F0"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Interactions avec les autorités de régulation : identifier l’agence, dates, objet, résultats (indiquer le résultat négatif en cas de non résultat) ;</w:t>
      </w:r>
    </w:p>
    <w:p w14:paraId="5BA3488D"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Etats de tous les permis et accords :</w:t>
      </w:r>
    </w:p>
    <w:p w14:paraId="22232430"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Permis de travail : nombre de permis requis, nombre de permis obtenus, actions entreprises pour les permis non obtenus ;</w:t>
      </w:r>
    </w:p>
    <w:p w14:paraId="39300C8C"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Situation des permis et consentements :</w:t>
      </w:r>
    </w:p>
    <w:p w14:paraId="035E18CD" w14:textId="77777777" w:rsidR="004F08B7" w:rsidRPr="00D75D2E" w:rsidRDefault="004F08B7" w:rsidP="008C79F0">
      <w:pPr>
        <w:numPr>
          <w:ilvl w:val="2"/>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Liste des zones/installations nécessitant un permis (carrières, centrales d’enrobage), la date de demande, la date d’obtention (actions de suivi pour les permis non obtenus), date de présentation au Directeur de travaux (ou représentant), état de la zone (attente de permis, en activité, abandonné sans remise en état, plan de restauration en cours de mise en œuvre, etc.)</w:t>
      </w:r>
    </w:p>
    <w:p w14:paraId="4BEA1DF4" w14:textId="77777777" w:rsidR="004F08B7" w:rsidRPr="00D75D2E" w:rsidRDefault="004F08B7" w:rsidP="008C79F0">
      <w:pPr>
        <w:numPr>
          <w:ilvl w:val="2"/>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Liste de zones nécessitant l’accord du propriétaire (zone d’emprunt ou de dépôt, site de camp), date de présentation au Directeur de travaux (ou représentant) ;</w:t>
      </w:r>
    </w:p>
    <w:p w14:paraId="6F8BFD4B" w14:textId="77777777" w:rsidR="004F08B7" w:rsidRPr="00D75D2E" w:rsidRDefault="004F08B7" w:rsidP="008C79F0">
      <w:pPr>
        <w:numPr>
          <w:ilvl w:val="2"/>
          <w:numId w:val="115"/>
        </w:numPr>
        <w:spacing w:after="120" w:line="240" w:lineRule="auto"/>
        <w:jc w:val="both"/>
        <w:rPr>
          <w:rFonts w:ascii="Times New Roman" w:hAnsi="Times New Roman"/>
          <w:i/>
          <w:spacing w:val="-2"/>
          <w:sz w:val="24"/>
          <w:szCs w:val="24"/>
        </w:rPr>
      </w:pPr>
      <w:r w:rsidRPr="00D75D2E">
        <w:rPr>
          <w:rFonts w:ascii="Times New Roman" w:hAnsi="Times New Roman"/>
          <w:i/>
          <w:spacing w:val="-2"/>
          <w:sz w:val="24"/>
          <w:szCs w:val="24"/>
        </w:rPr>
        <w:t>Identifier les activités principales entreprises sur chacune des zones durant la période couverte par le rapport et les grandes lignes des actions de protection environnementale et sociale (préparation du site/déboisement, marquage des limites/bornage, récupération de la terre végétale, gestion de la circulation, planification de la restauration/démobilisation, mise en œuvre de la restauration/démobilisation) ;</w:t>
      </w:r>
    </w:p>
    <w:p w14:paraId="68811669" w14:textId="77777777" w:rsidR="004F08B7" w:rsidRPr="00D75D2E" w:rsidRDefault="004F08B7" w:rsidP="008C79F0">
      <w:pPr>
        <w:numPr>
          <w:ilvl w:val="2"/>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Pour les carrières : le point des relogements et dédommagements (accompli ou détail des activités de la période couverte par le rapport et situation présente).</w:t>
      </w:r>
    </w:p>
    <w:p w14:paraId="3B45B733"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Supervision de l’hygiène et la sécurité :</w:t>
      </w:r>
    </w:p>
    <w:p w14:paraId="7C91FF6F"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Responsable de sécurité : nombre de jours travaillés, nombre d’inspections complètes et partielles, compte-rendu effectués aux responsables du projet ou des travaux ;</w:t>
      </w:r>
    </w:p>
    <w:p w14:paraId="08013259"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Nombre de travailleurs, d’heures de travail, indicateurs d’équipements de protection individuelles (EPI) utilisés (pourcentage de travailleurs dotés d’EPI complet, partiel, etc.), infractions observées commises par les travailleurs (par type d’infraction, EPI ou autres), avertissement donnés, avertissements en cas de récidives donnés, actions de suivi entreprises, le cas échéant ;</w:t>
      </w:r>
    </w:p>
    <w:p w14:paraId="30F53EE6"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Logement des travailleurs :</w:t>
      </w:r>
    </w:p>
    <w:p w14:paraId="4B7ACABB"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Nombre de personnels expatriés hébergés dans les installations, nombre de personnel local ;</w:t>
      </w:r>
    </w:p>
    <w:p w14:paraId="40C04538"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Date de la dernière inspection, et principales constatations effectuées lors de l’inspection, y compris la conformité des hébergements avec la réglementation nationale et locale et avec les bonnes pratiques, incluant l’assainissement /sanitaires, l’espace, etc. :</w:t>
      </w:r>
    </w:p>
    <w:p w14:paraId="2B2C54A7"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Actions entreprises pour recommander/demander des conditions améliorées, ou pour améliorer les conditions.</w:t>
      </w:r>
    </w:p>
    <w:p w14:paraId="5EB8664E"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VIH/SIDA : fournisseur de services de santé, information et/ou formation, localisation de clinique, nombre de malades et de traitements de maladies et diagnostics (ne pas fournir de noms de patients) ;</w:t>
      </w:r>
    </w:p>
    <w:p w14:paraId="63399DCB"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Genre (pour expatriés et locaux séparément) : nombre de travailleurs femmes, pourcentage de la main d’œuvre, problème sexo-spécifiques rencontrés et remédiés (se référer aux sections concernant les réclamations/plaintes ou autres, selon les besoins) ;</w:t>
      </w:r>
    </w:p>
    <w:p w14:paraId="34675E52"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Formation :</w:t>
      </w:r>
    </w:p>
    <w:p w14:paraId="7C9A4701"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Nombre de nouveaux travailleurs, nombre ayant reçu une formation initiale, dates de ces formations ;</w:t>
      </w:r>
    </w:p>
    <w:p w14:paraId="45A2DBB0"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Nombre et dates de discussions concernant les « boites à outils », nombre de travailleurs ayant reçu la formation sur la sécurité et l’hygiène au travail, la formation environnementale et sociale ;</w:t>
      </w:r>
    </w:p>
    <w:p w14:paraId="13D2BF30"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Nombre et dates des séances de sensibilisation et/ou formation au VIH/SIDA, nombre de travailleurs ayant reçu la formation (au cours de la période couverte par le rapport et cumulé) ; question identique pour la sensibilisation sexo-spécifique, formation de l’homme/la femme « porte drapeau » ;</w:t>
      </w:r>
    </w:p>
    <w:p w14:paraId="16FD5C85" w14:textId="15527329"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 xml:space="preserve">Nombre et date des séances de sensibilisation et/ou formation à </w:t>
      </w:r>
      <w:r w:rsidR="00951BB1">
        <w:rPr>
          <w:rFonts w:ascii="Times New Roman" w:hAnsi="Times New Roman"/>
          <w:sz w:val="24"/>
          <w:szCs w:val="24"/>
        </w:rPr>
        <w:t>EAS/HS</w:t>
      </w:r>
      <w:r w:rsidRPr="00D75D2E">
        <w:rPr>
          <w:rFonts w:ascii="Times New Roman" w:hAnsi="Times New Roman"/>
          <w:i/>
          <w:sz w:val="24"/>
          <w:szCs w:val="24"/>
        </w:rPr>
        <w:t xml:space="preserve">, nombre de travailleurs ayant reçu la formation sur le code de conduite (au cours de la période couverte par le rapport et cumulé) ;  </w:t>
      </w:r>
    </w:p>
    <w:p w14:paraId="10D32A1E"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Supervision environnementale et sociale</w:t>
      </w:r>
    </w:p>
    <w:p w14:paraId="10038589"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Environnementaliste : nombre de jours travaillés, zones inspectées et nombre d’inspections de chacune (section de route, camp, logements, carrières, zones d’emprunt, zones de dépôt, marais, traversées forestières, etc.) ; grandes lignes des activités et constatations (y compris infractions aux bonnes pratiques environnementales et/ou sociales, actions entreprises), compte-rendu effectués aux responsables environnementaux/sociaux du projet ou des travaux ;</w:t>
      </w:r>
    </w:p>
    <w:p w14:paraId="72269AEE"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Sociologiste : nombre de jours travaillés, nombre d’inspections complètes ou partielles (par zone, section de route, camp, logements, carrières, zones d’emprunt, zones de dépôt, clinique, centre VIH/SIDA, centres communautaires, etc.) ; grandes lignes des activités et constatations (y compris infractions aux bonnes pratiques environnementales et/ou sociales, actions entreprises), compte-rendu effectués aux responsables environnementaux/sociaux du projet ou des travaux ;</w:t>
      </w:r>
    </w:p>
    <w:p w14:paraId="4E128536"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Personne(s) chargée de liaison avec les communautés : nombre de jours travaillés, nombre de personnes rencontrées, grandes lignes des activités (problèmes soulevés), compte-rendu effectués aux responsables environnementaux/sociaux du projet ou des travaux </w:t>
      </w:r>
    </w:p>
    <w:p w14:paraId="378D400F" w14:textId="1718B64D"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 xml:space="preserve">Plaintes/réclamations : liste des nouvelles plaintes (par exemple les accusations de </w:t>
      </w:r>
      <w:r w:rsidR="00951BB1">
        <w:rPr>
          <w:rFonts w:ascii="Times New Roman" w:hAnsi="Times New Roman"/>
          <w:sz w:val="24"/>
          <w:szCs w:val="24"/>
        </w:rPr>
        <w:t>EAS/HS</w:t>
      </w:r>
      <w:r w:rsidRPr="00D75D2E">
        <w:rPr>
          <w:rFonts w:ascii="Times New Roman" w:hAnsi="Times New Roman"/>
          <w:i/>
          <w:sz w:val="24"/>
          <w:szCs w:val="24"/>
        </w:rPr>
        <w:t>) reçues au cours de la période couverte par le rapport  et des plaintes antérieures non résolues, par ordre chronologique d’enregistrement, plaignant, mode de réception, à qui la plainte a-t-elle été référée pour suite à donner, résolution et date (si l’affaire est traitée et classée), information en retour du plaignant, action de suivi nécessaire le cas échéant (se référer aux autres sections, selon les besoins) :</w:t>
      </w:r>
    </w:p>
    <w:p w14:paraId="40DF5850"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Griefs des travailleurs ;</w:t>
      </w:r>
    </w:p>
    <w:p w14:paraId="534BDF3C"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Griefs des communautés ;</w:t>
      </w:r>
    </w:p>
    <w:p w14:paraId="20BFE966"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Circulation/trafic et matériels/véhicules :</w:t>
      </w:r>
    </w:p>
    <w:p w14:paraId="7D69B768"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Accidents de circulation impliquant des véhicules ou des matériels du projet : indiquer la date, le lieu, les dommages, la cause, le suivi ;</w:t>
      </w:r>
    </w:p>
    <w:p w14:paraId="5BAE0A50"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Accidents de circulation impliquant des véhicules ou des propriétés extérieures au projet : indiquer la date, le lieu, les dommages, la cause, le suivi ;</w:t>
      </w:r>
    </w:p>
    <w:p w14:paraId="3ECE90E1"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Etat général des véhicules ou des matériels (évaluation subjective par l’environnementaliste) ; réparations et entretien non-courant nécessaire pour améliorer la sécurité et/ou la performance environnementale (pour restreindre les fumées, etc.)</w:t>
      </w:r>
    </w:p>
    <w:p w14:paraId="1598DE35"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Aspects environnementaux et mesures de réduction (ce qui a été réalisé) :</w:t>
      </w:r>
    </w:p>
    <w:p w14:paraId="24916242"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Poussière : nombre d’arroseuses en service, nombre de jours d’arrosage, nombre de plaintes, avertissements donnés par l’environnementaliste, mesures prises pour remédier ; grandes lignes des mesures de contrôle de poussière à la carrière (enveloppes, sprays, état opérationnel) ; % de camions d’enrochements/terres/matériaux bâchés, actions entreprises pour les véhicules non bâchés ;</w:t>
      </w:r>
    </w:p>
    <w:p w14:paraId="787350FE"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Contrôle de l’érosion : mesure de prévention par lieu, état des traversées de filet ou cours d’eau, inspections de l’environnementaliste et résultats, actions entreprises pour traiter les questions, réparations d’urgence nécessaires afin de limiter l’érosion/la sédimentation ;</w:t>
      </w:r>
    </w:p>
    <w:p w14:paraId="7AF72A5D" w14:textId="27DB987D" w:rsidR="004F08B7" w:rsidRPr="00D75D2E" w:rsidRDefault="004F08B7" w:rsidP="00F933DF">
      <w:pPr>
        <w:numPr>
          <w:ilvl w:val="1"/>
          <w:numId w:val="115"/>
        </w:numPr>
        <w:spacing w:after="120" w:line="240" w:lineRule="auto"/>
        <w:rPr>
          <w:rFonts w:ascii="Times New Roman" w:hAnsi="Times New Roman"/>
          <w:i/>
          <w:sz w:val="24"/>
          <w:szCs w:val="24"/>
        </w:rPr>
      </w:pPr>
      <w:r w:rsidRPr="00D75D2E">
        <w:rPr>
          <w:rFonts w:ascii="Times New Roman" w:hAnsi="Times New Roman"/>
          <w:i/>
          <w:sz w:val="24"/>
          <w:szCs w:val="24"/>
        </w:rPr>
        <w:t>Carrières, zones d’emprunt et de dépôt de matériaux, centrales d’enrobés : identifier les activités principales réalisées sur chacun des sites au cours de la période couverte par le rapport , et grandes lignes des mesures de protection environnementales et sociales : nettoyage de site/débroussaillage, marquage des limites/bornages, mise en dépôt provisoire pour réutilisation de terre végétale, gestion de la circulation, planification de la</w:t>
      </w:r>
      <w:r w:rsidR="00F933DF">
        <w:rPr>
          <w:rFonts w:ascii="Times New Roman" w:hAnsi="Times New Roman"/>
          <w:i/>
          <w:sz w:val="24"/>
          <w:szCs w:val="24"/>
        </w:rPr>
        <w:t xml:space="preserve"> </w:t>
      </w:r>
      <w:r w:rsidRPr="00D75D2E">
        <w:rPr>
          <w:rFonts w:ascii="Times New Roman" w:hAnsi="Times New Roman"/>
          <w:i/>
          <w:sz w:val="24"/>
          <w:szCs w:val="24"/>
        </w:rPr>
        <w:t>restauration/démobilisation, mise en œuvre de la restauration/démobilisation) ;</w:t>
      </w:r>
    </w:p>
    <w:p w14:paraId="772128FE"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Tirs/explosions : nombre de tirs (et lieux), état de mise en œuvre des plans de tir (incluant l’information préalable, les évacuations, etc.), incidents de dommages ou de plaintes hors-site (se référer aux autres sections, selon les besoins) ;</w:t>
      </w:r>
    </w:p>
    <w:p w14:paraId="4E2E982D"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Nettoyage des déversements, le cas échéant : substance déversée, lieu, quantité, actions entreprises, élimination des substances (rendre compte de tous les déversements qui ont résulté en la contamination de l’eau ou des sols ;</w:t>
      </w:r>
    </w:p>
    <w:p w14:paraId="6C90D295"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Gestion des déchets : types et quantités générées et traitées, y compris quantités enlevées du chantier (et par qui) ou réutilisées/recyclées/éliminées sur place ;</w:t>
      </w:r>
    </w:p>
    <w:p w14:paraId="0AEB8EF9"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Détails des plantations d’arbres et autres actions de protection/réduction exigées réalisées au cours de la période couverte par le rapport ;</w:t>
      </w:r>
    </w:p>
    <w:p w14:paraId="09D8AF37" w14:textId="77777777" w:rsidR="004F08B7" w:rsidRPr="00D75D2E" w:rsidRDefault="004F08B7" w:rsidP="008C79F0">
      <w:pPr>
        <w:numPr>
          <w:ilvl w:val="1"/>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Détails des mesures de protections des eaux et marais exigées réalisées au cours de la période couverte par le rapport ;</w:t>
      </w:r>
    </w:p>
    <w:p w14:paraId="58C692C4" w14:textId="77777777" w:rsidR="004F08B7" w:rsidRPr="00D75D2E" w:rsidRDefault="004F08B7" w:rsidP="008C79F0">
      <w:pPr>
        <w:numPr>
          <w:ilvl w:val="0"/>
          <w:numId w:val="115"/>
        </w:numPr>
        <w:spacing w:after="120" w:line="240" w:lineRule="auto"/>
        <w:jc w:val="both"/>
        <w:rPr>
          <w:rFonts w:ascii="Times New Roman" w:hAnsi="Times New Roman"/>
          <w:i/>
          <w:sz w:val="24"/>
          <w:szCs w:val="24"/>
        </w:rPr>
      </w:pPr>
      <w:r w:rsidRPr="00D75D2E">
        <w:rPr>
          <w:rFonts w:ascii="Times New Roman" w:hAnsi="Times New Roman"/>
          <w:i/>
          <w:sz w:val="24"/>
          <w:szCs w:val="24"/>
        </w:rPr>
        <w:t>Conformité :</w:t>
      </w:r>
    </w:p>
    <w:p w14:paraId="54F95579" w14:textId="77777777" w:rsidR="004F08B7" w:rsidRPr="00D75D2E" w:rsidRDefault="004F08B7" w:rsidP="00215867">
      <w:pPr>
        <w:numPr>
          <w:ilvl w:val="1"/>
          <w:numId w:val="115"/>
        </w:numPr>
        <w:spacing w:before="80" w:after="80" w:line="240" w:lineRule="auto"/>
        <w:ind w:left="1434" w:hanging="357"/>
        <w:jc w:val="both"/>
        <w:rPr>
          <w:rFonts w:ascii="Times New Roman" w:hAnsi="Times New Roman"/>
          <w:i/>
          <w:sz w:val="24"/>
          <w:szCs w:val="24"/>
        </w:rPr>
      </w:pPr>
      <w:r w:rsidRPr="00D75D2E">
        <w:rPr>
          <w:rFonts w:ascii="Times New Roman" w:hAnsi="Times New Roman"/>
          <w:i/>
          <w:sz w:val="24"/>
          <w:szCs w:val="24"/>
        </w:rPr>
        <w:t>Etat de la conformité concernant les consentements/permis pertinents, les Travaux, incluant les carrières etc. : déclaration de conformité ou listes des problèmes et actions entreprises (ou devant être entreprises) afin de se conformer ;</w:t>
      </w:r>
    </w:p>
    <w:p w14:paraId="7C50EEDA" w14:textId="77777777" w:rsidR="004F08B7" w:rsidRPr="00D75D2E" w:rsidRDefault="004F08B7" w:rsidP="00215867">
      <w:pPr>
        <w:numPr>
          <w:ilvl w:val="1"/>
          <w:numId w:val="115"/>
        </w:numPr>
        <w:spacing w:before="80" w:after="80" w:line="240" w:lineRule="auto"/>
        <w:ind w:left="1434" w:hanging="357"/>
        <w:jc w:val="both"/>
        <w:rPr>
          <w:rFonts w:ascii="Times New Roman" w:hAnsi="Times New Roman"/>
          <w:i/>
          <w:sz w:val="24"/>
          <w:szCs w:val="24"/>
        </w:rPr>
      </w:pPr>
      <w:r w:rsidRPr="00D75D2E">
        <w:rPr>
          <w:rFonts w:ascii="Times New Roman" w:hAnsi="Times New Roman"/>
          <w:i/>
          <w:sz w:val="24"/>
          <w:szCs w:val="24"/>
        </w:rPr>
        <w:t>Etat de la conformité concernant les exigences PGES-E et pour sa mise en œuvre : déclaration de conformité ou listes des problèmes et actions entreprises (ou devant être entreprises) afin de se conformer ;</w:t>
      </w:r>
    </w:p>
    <w:p w14:paraId="47E8109D" w14:textId="77777777" w:rsidR="004F08B7" w:rsidRPr="00D75D2E" w:rsidRDefault="004F08B7" w:rsidP="00215867">
      <w:pPr>
        <w:numPr>
          <w:ilvl w:val="1"/>
          <w:numId w:val="115"/>
        </w:numPr>
        <w:spacing w:before="80" w:after="80" w:line="240" w:lineRule="auto"/>
        <w:ind w:left="1434" w:hanging="357"/>
        <w:jc w:val="both"/>
        <w:rPr>
          <w:rFonts w:ascii="Times New Roman" w:hAnsi="Times New Roman"/>
          <w:i/>
          <w:sz w:val="24"/>
          <w:szCs w:val="24"/>
        </w:rPr>
      </w:pPr>
      <w:r w:rsidRPr="00D75D2E">
        <w:rPr>
          <w:rFonts w:ascii="Times New Roman" w:hAnsi="Times New Roman"/>
          <w:i/>
          <w:sz w:val="24"/>
          <w:szCs w:val="24"/>
        </w:rPr>
        <w:t>Etat de la conformité concernant le plan d’action et de prévention VCS/EAS : déclaration de conformité ou liste des problèmes et actions entreprises (ou devant être entreprises) afin de se conformer ;</w:t>
      </w:r>
    </w:p>
    <w:p w14:paraId="2CD234C6" w14:textId="77777777" w:rsidR="004F08B7" w:rsidRPr="00D75D2E" w:rsidRDefault="004F08B7" w:rsidP="00215867">
      <w:pPr>
        <w:numPr>
          <w:ilvl w:val="1"/>
          <w:numId w:val="115"/>
        </w:numPr>
        <w:spacing w:before="80" w:after="80" w:line="240" w:lineRule="auto"/>
        <w:ind w:left="1434" w:hanging="357"/>
        <w:jc w:val="both"/>
        <w:rPr>
          <w:rFonts w:ascii="Times New Roman" w:hAnsi="Times New Roman"/>
          <w:i/>
          <w:sz w:val="24"/>
          <w:szCs w:val="24"/>
        </w:rPr>
      </w:pPr>
      <w:r w:rsidRPr="00D75D2E">
        <w:rPr>
          <w:rFonts w:ascii="Times New Roman" w:hAnsi="Times New Roman"/>
          <w:i/>
          <w:sz w:val="24"/>
          <w:szCs w:val="24"/>
        </w:rPr>
        <w:t>Etat de la conformité concernant le Plan de Gestion Santé et Sécurité : déclaration de conformité ou liste des problèmes et actions entreprises (ou devant être entreprises) afin de se conformer ;</w:t>
      </w:r>
    </w:p>
    <w:p w14:paraId="173F4C53" w14:textId="77777777" w:rsidR="004F08B7" w:rsidRPr="00D75D2E" w:rsidRDefault="004F08B7" w:rsidP="00215867">
      <w:pPr>
        <w:numPr>
          <w:ilvl w:val="1"/>
          <w:numId w:val="115"/>
        </w:numPr>
        <w:spacing w:before="80" w:after="80" w:line="240" w:lineRule="auto"/>
        <w:ind w:left="1434" w:hanging="357"/>
        <w:jc w:val="both"/>
        <w:rPr>
          <w:rFonts w:ascii="Times New Roman" w:hAnsi="Times New Roman"/>
          <w:i/>
          <w:sz w:val="24"/>
          <w:szCs w:val="24"/>
        </w:rPr>
      </w:pPr>
      <w:r w:rsidRPr="00D75D2E">
        <w:rPr>
          <w:rFonts w:ascii="Times New Roman" w:hAnsi="Times New Roman"/>
          <w:i/>
          <w:sz w:val="24"/>
          <w:szCs w:val="24"/>
        </w:rPr>
        <w:t>Autres questions non résolues déjà identifiées au cours des périodes de rapport précédentes concernant les infractions environnementales et sociales : infractions persistantes, déficiences de matériel persistantes, persistance de véhicules non bâchés, déversements non traités, problèmes de dédommagement ou de tirs de mines persistants, etc. Références aux autres sections, selon les besoins.</w:t>
      </w:r>
    </w:p>
    <w:p w14:paraId="725FCF10" w14:textId="2B9AF420" w:rsidR="004F08B7" w:rsidRPr="00D75D2E" w:rsidRDefault="004F08B7" w:rsidP="00215867">
      <w:pPr>
        <w:spacing w:after="0" w:line="276" w:lineRule="auto"/>
        <w:ind w:hanging="11"/>
        <w:rPr>
          <w:rFonts w:ascii="Times New Roman" w:eastAsia="Times New Roman" w:hAnsi="Times New Roman"/>
          <w:b/>
          <w:sz w:val="24"/>
          <w:szCs w:val="24"/>
          <w:lang w:eastAsia="fr-FR"/>
        </w:rPr>
      </w:pPr>
      <w:bookmarkStart w:id="1105" w:name="_Toc489274349"/>
      <w:r w:rsidRPr="00D75D2E">
        <w:rPr>
          <w:rFonts w:ascii="Times New Roman" w:eastAsia="Times New Roman" w:hAnsi="Times New Roman"/>
          <w:b/>
          <w:sz w:val="24"/>
          <w:szCs w:val="24"/>
          <w:lang w:eastAsia="fr-FR"/>
        </w:rPr>
        <w:t>Modèle de garantie de performance environnementale, sociale, hygiène et sécurité (garantie bancaire)</w:t>
      </w:r>
      <w:bookmarkEnd w:id="1105"/>
    </w:p>
    <w:p w14:paraId="60977A84" w14:textId="77777777" w:rsidR="004F08B7" w:rsidRPr="00D75D2E" w:rsidRDefault="004F08B7" w:rsidP="00215867">
      <w:pPr>
        <w:tabs>
          <w:tab w:val="left" w:leader="underscore" w:pos="3969"/>
        </w:tabs>
        <w:spacing w:after="0" w:line="276" w:lineRule="auto"/>
        <w:jc w:val="both"/>
        <w:rPr>
          <w:rFonts w:ascii="Times New Roman" w:hAnsi="Times New Roman"/>
          <w:sz w:val="24"/>
          <w:szCs w:val="24"/>
        </w:rPr>
      </w:pPr>
      <w:r w:rsidRPr="00D75D2E">
        <w:rPr>
          <w:rFonts w:ascii="Times New Roman" w:hAnsi="Times New Roman"/>
          <w:i/>
          <w:iCs/>
          <w:sz w:val="24"/>
          <w:szCs w:val="24"/>
        </w:rPr>
        <w:tab/>
        <w:t>[Nom de la banque et adresse de la banque d’émission]</w:t>
      </w:r>
    </w:p>
    <w:p w14:paraId="2E4414C3" w14:textId="77777777" w:rsidR="004F08B7" w:rsidRPr="00D75D2E" w:rsidRDefault="004F08B7" w:rsidP="00215867">
      <w:pPr>
        <w:tabs>
          <w:tab w:val="left" w:leader="underscore" w:pos="5529"/>
        </w:tabs>
        <w:spacing w:before="120" w:after="120" w:line="276" w:lineRule="auto"/>
        <w:jc w:val="both"/>
        <w:rPr>
          <w:rFonts w:ascii="Times New Roman" w:hAnsi="Times New Roman"/>
          <w:sz w:val="24"/>
          <w:szCs w:val="24"/>
        </w:rPr>
      </w:pPr>
      <w:r w:rsidRPr="00D75D2E">
        <w:rPr>
          <w:rFonts w:ascii="Times New Roman" w:hAnsi="Times New Roman"/>
          <w:b/>
          <w:sz w:val="24"/>
          <w:szCs w:val="24"/>
        </w:rPr>
        <w:t>Bénéficiaire </w:t>
      </w:r>
      <w:r w:rsidRPr="00D75D2E">
        <w:rPr>
          <w:rFonts w:ascii="Times New Roman" w:hAnsi="Times New Roman"/>
          <w:sz w:val="24"/>
          <w:szCs w:val="24"/>
        </w:rPr>
        <w:t xml:space="preserve">  </w:t>
      </w:r>
      <w:r w:rsidRPr="00D75D2E">
        <w:rPr>
          <w:rFonts w:ascii="Times New Roman" w:hAnsi="Times New Roman"/>
          <w:sz w:val="24"/>
          <w:szCs w:val="24"/>
        </w:rPr>
        <w:tab/>
      </w:r>
      <w:r w:rsidRPr="00D75D2E">
        <w:rPr>
          <w:rFonts w:ascii="Times New Roman" w:hAnsi="Times New Roman"/>
          <w:i/>
          <w:iCs/>
          <w:sz w:val="24"/>
          <w:szCs w:val="24"/>
        </w:rPr>
        <w:t xml:space="preserve">[nom et adresse du Maître d’Ouvrage] </w:t>
      </w:r>
    </w:p>
    <w:p w14:paraId="04DD4B85" w14:textId="77777777" w:rsidR="004F08B7" w:rsidRPr="00D75D2E" w:rsidRDefault="004F08B7" w:rsidP="00215867">
      <w:pPr>
        <w:tabs>
          <w:tab w:val="left" w:leader="underscore" w:pos="5529"/>
        </w:tabs>
        <w:spacing w:before="120" w:after="120" w:line="276" w:lineRule="auto"/>
        <w:jc w:val="both"/>
        <w:rPr>
          <w:rFonts w:ascii="Times New Roman" w:hAnsi="Times New Roman"/>
          <w:sz w:val="24"/>
          <w:szCs w:val="24"/>
        </w:rPr>
      </w:pPr>
      <w:r w:rsidRPr="00D75D2E">
        <w:rPr>
          <w:rFonts w:ascii="Times New Roman" w:hAnsi="Times New Roman"/>
          <w:b/>
          <w:sz w:val="24"/>
          <w:szCs w:val="24"/>
        </w:rPr>
        <w:t>Date :</w:t>
      </w:r>
      <w:r w:rsidRPr="00D75D2E">
        <w:rPr>
          <w:rFonts w:ascii="Times New Roman" w:hAnsi="Times New Roman"/>
          <w:sz w:val="24"/>
          <w:szCs w:val="24"/>
        </w:rPr>
        <w:t xml:space="preserve"> </w:t>
      </w:r>
      <w:r w:rsidRPr="00D75D2E">
        <w:rPr>
          <w:rFonts w:ascii="Times New Roman" w:hAnsi="Times New Roman"/>
          <w:sz w:val="24"/>
          <w:szCs w:val="24"/>
        </w:rPr>
        <w:tab/>
      </w:r>
    </w:p>
    <w:p w14:paraId="38A6D627" w14:textId="77777777" w:rsidR="004F08B7" w:rsidRPr="00D75D2E" w:rsidRDefault="004F08B7" w:rsidP="00215867">
      <w:pPr>
        <w:tabs>
          <w:tab w:val="left" w:leader="underscore" w:pos="9072"/>
        </w:tabs>
        <w:spacing w:before="120" w:after="120" w:line="276" w:lineRule="auto"/>
        <w:jc w:val="both"/>
        <w:rPr>
          <w:rFonts w:ascii="Times New Roman" w:hAnsi="Times New Roman"/>
          <w:sz w:val="24"/>
          <w:szCs w:val="24"/>
        </w:rPr>
      </w:pPr>
      <w:r w:rsidRPr="00D75D2E">
        <w:rPr>
          <w:rFonts w:ascii="Times New Roman" w:hAnsi="Times New Roman"/>
          <w:b/>
          <w:sz w:val="24"/>
          <w:szCs w:val="24"/>
        </w:rPr>
        <w:t>Garantie de performance ESHS no. :</w:t>
      </w:r>
      <w:r w:rsidRPr="00D75D2E">
        <w:rPr>
          <w:rFonts w:ascii="Times New Roman" w:hAnsi="Times New Roman"/>
          <w:sz w:val="24"/>
          <w:szCs w:val="24"/>
        </w:rPr>
        <w:t xml:space="preserve"> </w:t>
      </w:r>
      <w:r w:rsidRPr="00D75D2E">
        <w:rPr>
          <w:rFonts w:ascii="Times New Roman" w:hAnsi="Times New Roman"/>
          <w:sz w:val="24"/>
          <w:szCs w:val="24"/>
        </w:rPr>
        <w:tab/>
      </w:r>
    </w:p>
    <w:p w14:paraId="73726FC8" w14:textId="77777777" w:rsidR="004F08B7" w:rsidRPr="00D75D2E" w:rsidRDefault="004F08B7" w:rsidP="00215867">
      <w:pPr>
        <w:spacing w:before="120" w:after="0" w:line="276" w:lineRule="auto"/>
        <w:jc w:val="both"/>
        <w:rPr>
          <w:rFonts w:ascii="Times New Roman" w:hAnsi="Times New Roman"/>
          <w:sz w:val="24"/>
          <w:szCs w:val="24"/>
        </w:rPr>
      </w:pPr>
      <w:r w:rsidRPr="00D75D2E">
        <w:rPr>
          <w:rFonts w:ascii="Times New Roman" w:hAnsi="Times New Roman"/>
          <w:sz w:val="24"/>
          <w:szCs w:val="24"/>
        </w:rPr>
        <w:t xml:space="preserve">Nous avons été informés que ____________________ </w:t>
      </w:r>
      <w:r w:rsidRPr="00D75D2E">
        <w:rPr>
          <w:rFonts w:ascii="Times New Roman" w:hAnsi="Times New Roman"/>
          <w:i/>
          <w:sz w:val="24"/>
          <w:szCs w:val="24"/>
        </w:rPr>
        <w:t>[nom de l’Entrepreneur]</w:t>
      </w:r>
      <w:r w:rsidRPr="00D75D2E">
        <w:rPr>
          <w:rFonts w:ascii="Times New Roman" w:hAnsi="Times New Roman"/>
          <w:sz w:val="24"/>
          <w:szCs w:val="24"/>
        </w:rPr>
        <w:t xml:space="preserve"> (ci-après dénommé le Donneur d’ordre) a conclu avec vous le Marché no. ____________________ </w:t>
      </w:r>
      <w:r w:rsidRPr="00D75D2E">
        <w:rPr>
          <w:rFonts w:ascii="Times New Roman" w:hAnsi="Times New Roman"/>
          <w:i/>
          <w:iCs/>
          <w:sz w:val="24"/>
          <w:szCs w:val="24"/>
        </w:rPr>
        <w:t>[insérer No]</w:t>
      </w:r>
      <w:r w:rsidRPr="00D75D2E">
        <w:rPr>
          <w:rFonts w:ascii="Times New Roman" w:hAnsi="Times New Roman"/>
          <w:sz w:val="24"/>
          <w:szCs w:val="24"/>
        </w:rPr>
        <w:t xml:space="preserve"> en date du ____________________ </w:t>
      </w:r>
      <w:r w:rsidRPr="00D75D2E">
        <w:rPr>
          <w:rFonts w:ascii="Times New Roman" w:hAnsi="Times New Roman"/>
          <w:i/>
          <w:iCs/>
          <w:sz w:val="24"/>
          <w:szCs w:val="24"/>
        </w:rPr>
        <w:t>[insérer la date]</w:t>
      </w:r>
      <w:r w:rsidRPr="00D75D2E">
        <w:rPr>
          <w:rFonts w:ascii="Times New Roman" w:hAnsi="Times New Roman"/>
          <w:sz w:val="24"/>
          <w:szCs w:val="24"/>
        </w:rPr>
        <w:t xml:space="preserve"> pour l’exécution de ____________________ </w:t>
      </w:r>
      <w:r w:rsidRPr="00D75D2E">
        <w:rPr>
          <w:rFonts w:ascii="Times New Roman" w:hAnsi="Times New Roman"/>
          <w:i/>
          <w:sz w:val="24"/>
          <w:szCs w:val="24"/>
        </w:rPr>
        <w:t>[description des travaux et services]</w:t>
      </w:r>
      <w:r w:rsidRPr="00D75D2E">
        <w:rPr>
          <w:rFonts w:ascii="Times New Roman" w:hAnsi="Times New Roman"/>
          <w:sz w:val="24"/>
          <w:szCs w:val="24"/>
        </w:rPr>
        <w:t xml:space="preserve"> (ci-après dénommé « le Marché »).</w:t>
      </w:r>
    </w:p>
    <w:p w14:paraId="08372ECA" w14:textId="77777777" w:rsidR="004F08B7" w:rsidRPr="00D75D2E" w:rsidRDefault="004F08B7" w:rsidP="004F08B7">
      <w:pPr>
        <w:spacing w:before="120" w:after="120"/>
        <w:jc w:val="both"/>
        <w:rPr>
          <w:rFonts w:ascii="Times New Roman" w:hAnsi="Times New Roman"/>
          <w:sz w:val="24"/>
          <w:szCs w:val="24"/>
        </w:rPr>
      </w:pPr>
      <w:r w:rsidRPr="00D75D2E">
        <w:rPr>
          <w:rFonts w:ascii="Times New Roman" w:hAnsi="Times New Roman"/>
          <w:sz w:val="24"/>
          <w:szCs w:val="24"/>
        </w:rPr>
        <w:t>De plus, nous comprenons qu’une garantie de performance environnementale, sociale, hygiène et sécurité est exigée en vertu des conditions du Marché.</w:t>
      </w:r>
    </w:p>
    <w:p w14:paraId="480ABAD9" w14:textId="77777777" w:rsidR="004F08B7" w:rsidRPr="00D75D2E" w:rsidRDefault="004F08B7" w:rsidP="004F08B7">
      <w:pPr>
        <w:spacing w:before="120" w:after="120"/>
        <w:jc w:val="both"/>
        <w:rPr>
          <w:rFonts w:ascii="Times New Roman" w:hAnsi="Times New Roman"/>
          <w:sz w:val="24"/>
          <w:szCs w:val="24"/>
        </w:rPr>
      </w:pPr>
      <w:r w:rsidRPr="00D75D2E">
        <w:rPr>
          <w:rFonts w:ascii="Times New Roman" w:hAnsi="Times New Roman"/>
          <w:sz w:val="24"/>
          <w:szCs w:val="24"/>
        </w:rPr>
        <w:t xml:space="preserve">A la demande du Donneur d’ordre, nous ____________________ </w:t>
      </w:r>
      <w:r w:rsidRPr="00D75D2E">
        <w:rPr>
          <w:rFonts w:ascii="Times New Roman" w:hAnsi="Times New Roman"/>
          <w:i/>
          <w:sz w:val="24"/>
          <w:szCs w:val="24"/>
        </w:rPr>
        <w:t>[nom de la banque garante]</w:t>
      </w:r>
      <w:r w:rsidRPr="00D75D2E">
        <w:rPr>
          <w:rFonts w:ascii="Times New Roman" w:hAnsi="Times New Roman"/>
          <w:sz w:val="24"/>
          <w:szCs w:val="24"/>
        </w:rPr>
        <w:t xml:space="preserve"> prenons, en tant que Garant, l’engagement irrévocable de payer au Bénéficiaire toute somme dans la limite du Montant de la Garantie qui s’élève à ____________________ </w:t>
      </w:r>
      <w:r w:rsidRPr="00D75D2E">
        <w:rPr>
          <w:rFonts w:ascii="Times New Roman" w:hAnsi="Times New Roman"/>
          <w:i/>
          <w:sz w:val="24"/>
          <w:szCs w:val="24"/>
        </w:rPr>
        <w:t>[insérer la somme en chiffres]</w:t>
      </w:r>
      <w:r w:rsidRPr="00D75D2E">
        <w:rPr>
          <w:rFonts w:ascii="Times New Roman" w:hAnsi="Times New Roman"/>
          <w:sz w:val="24"/>
          <w:szCs w:val="24"/>
        </w:rPr>
        <w:t xml:space="preserve"> ____________________ </w:t>
      </w:r>
      <w:r w:rsidRPr="00D75D2E">
        <w:rPr>
          <w:rFonts w:ascii="Times New Roman" w:hAnsi="Times New Roman"/>
          <w:i/>
          <w:sz w:val="24"/>
          <w:szCs w:val="24"/>
        </w:rPr>
        <w:t>[insérer la somme en lettres]</w:t>
      </w:r>
      <w:r w:rsidRPr="00D75D2E">
        <w:rPr>
          <w:rFonts w:ascii="Times New Roman" w:hAnsi="Times New Roman"/>
          <w:sz w:val="24"/>
          <w:szCs w:val="24"/>
          <w:vertAlign w:val="superscript"/>
        </w:rPr>
        <w:footnoteReference w:id="21"/>
      </w:r>
      <w:r w:rsidRPr="00D75D2E">
        <w:rPr>
          <w:rFonts w:ascii="Times New Roman" w:hAnsi="Times New Roman"/>
          <w:sz w:val="24"/>
          <w:szCs w:val="24"/>
        </w:rPr>
        <w:t>. Votre demande en paiement doit comprendre, que ce soit dans la demande elle-même ou dans un document séparé signé</w:t>
      </w:r>
      <w:r w:rsidRPr="00D75D2E" w:rsidDel="00667289">
        <w:rPr>
          <w:rFonts w:ascii="Times New Roman" w:hAnsi="Times New Roman"/>
          <w:sz w:val="24"/>
          <w:szCs w:val="24"/>
        </w:rPr>
        <w:t xml:space="preserve"> </w:t>
      </w:r>
      <w:r w:rsidRPr="00D75D2E">
        <w:rPr>
          <w:rFonts w:ascii="Times New Roman" w:hAnsi="Times New Roman"/>
          <w:sz w:val="24"/>
          <w:szCs w:val="24"/>
        </w:rPr>
        <w:t xml:space="preserve">accompagnant ou identifiant la demande, la déclaration que le Donneur d’ordre n’a pas rempli ses obligations environnementales, sociales, hygiène et sécurité (ESHS) au titre du Marché, sans que vous ayez à prouver ou à donner les raisons ou le motif de votre demande ou du montant qui y figure. </w:t>
      </w:r>
    </w:p>
    <w:p w14:paraId="5EAEEAE6" w14:textId="77777777" w:rsidR="004F08B7" w:rsidRPr="00D75D2E" w:rsidRDefault="004F08B7" w:rsidP="004F08B7">
      <w:pPr>
        <w:spacing w:before="120" w:after="120"/>
        <w:jc w:val="both"/>
        <w:rPr>
          <w:rFonts w:ascii="Times New Roman" w:hAnsi="Times New Roman"/>
          <w:sz w:val="24"/>
          <w:szCs w:val="24"/>
        </w:rPr>
      </w:pPr>
      <w:r w:rsidRPr="00D75D2E">
        <w:rPr>
          <w:rFonts w:ascii="Times New Roman" w:hAnsi="Times New Roman"/>
          <w:sz w:val="24"/>
          <w:szCs w:val="24"/>
        </w:rPr>
        <w:t xml:space="preserve">La présente garantie expire au plus tard le ____________ </w:t>
      </w:r>
      <w:r w:rsidRPr="00D75D2E">
        <w:rPr>
          <w:rFonts w:ascii="Times New Roman" w:hAnsi="Times New Roman"/>
          <w:bCs/>
          <w:i/>
          <w:iCs/>
          <w:sz w:val="24"/>
          <w:szCs w:val="24"/>
        </w:rPr>
        <w:t>[insérer la date]</w:t>
      </w:r>
      <w:r w:rsidRPr="00D75D2E">
        <w:rPr>
          <w:rFonts w:ascii="Times New Roman" w:hAnsi="Times New Roman"/>
          <w:sz w:val="24"/>
          <w:szCs w:val="24"/>
        </w:rPr>
        <w:t xml:space="preserve"> jour de ____________ </w:t>
      </w:r>
      <w:r w:rsidRPr="00D75D2E">
        <w:rPr>
          <w:rFonts w:ascii="Times New Roman" w:hAnsi="Times New Roman"/>
          <w:bCs/>
          <w:i/>
          <w:iCs/>
          <w:sz w:val="24"/>
          <w:szCs w:val="24"/>
        </w:rPr>
        <w:t>[insérer le mois]</w:t>
      </w:r>
      <w:r w:rsidRPr="00D75D2E">
        <w:rPr>
          <w:rFonts w:ascii="Times New Roman" w:hAnsi="Times New Roman"/>
          <w:sz w:val="24"/>
          <w:szCs w:val="24"/>
        </w:rPr>
        <w:t xml:space="preserve"> ____________ </w:t>
      </w:r>
      <w:r w:rsidRPr="00D75D2E">
        <w:rPr>
          <w:rFonts w:ascii="Times New Roman" w:hAnsi="Times New Roman"/>
          <w:bCs/>
          <w:i/>
          <w:iCs/>
          <w:sz w:val="24"/>
          <w:szCs w:val="24"/>
        </w:rPr>
        <w:t>[insérer l’année]</w:t>
      </w:r>
      <w:r w:rsidRPr="00D75D2E">
        <w:rPr>
          <w:rFonts w:ascii="Times New Roman" w:hAnsi="Times New Roman"/>
          <w:sz w:val="24"/>
          <w:szCs w:val="24"/>
        </w:rPr>
        <w:t xml:space="preserve">, </w:t>
      </w:r>
      <w:r w:rsidRPr="00D75D2E">
        <w:rPr>
          <w:rFonts w:ascii="Times New Roman" w:hAnsi="Times New Roman"/>
          <w:sz w:val="24"/>
          <w:szCs w:val="24"/>
          <w:vertAlign w:val="superscript"/>
        </w:rPr>
        <w:footnoteReference w:id="22"/>
      </w:r>
      <w:r w:rsidRPr="00D75D2E">
        <w:rPr>
          <w:rFonts w:ascii="Times New Roman" w:hAnsi="Times New Roman"/>
          <w:sz w:val="24"/>
          <w:szCs w:val="24"/>
        </w:rPr>
        <w:t xml:space="preserve"> et toute demande de paiement doit être reçue à cette date au plus tard, à l’adresse figurant ci-dessus.</w:t>
      </w:r>
    </w:p>
    <w:p w14:paraId="7776721C" w14:textId="77777777" w:rsidR="004F08B7" w:rsidRPr="00D75D2E" w:rsidRDefault="004F08B7" w:rsidP="00215867">
      <w:pPr>
        <w:spacing w:before="120" w:after="120" w:line="20" w:lineRule="atLeast"/>
        <w:jc w:val="both"/>
        <w:rPr>
          <w:rFonts w:ascii="Times New Roman" w:hAnsi="Times New Roman"/>
          <w:sz w:val="24"/>
          <w:szCs w:val="24"/>
        </w:rPr>
      </w:pPr>
      <w:r w:rsidRPr="00D75D2E">
        <w:rPr>
          <w:rFonts w:ascii="Times New Roman" w:hAnsi="Times New Roman"/>
          <w:sz w:val="24"/>
          <w:szCs w:val="24"/>
        </w:rPr>
        <w:t>La présente garantie est régie par les Règles uniformes de la CCI relatives aux garanties sur demande, Publication CCI no : 758, à l’exception de leur Article 15 (a) dont l’application est expressément écartée.</w:t>
      </w:r>
    </w:p>
    <w:p w14:paraId="1604A658" w14:textId="77777777" w:rsidR="004F08B7" w:rsidRPr="00D75D2E" w:rsidRDefault="004F08B7" w:rsidP="00215867">
      <w:pPr>
        <w:tabs>
          <w:tab w:val="left" w:leader="underscore" w:pos="3828"/>
        </w:tabs>
        <w:spacing w:before="120" w:after="120" w:line="20" w:lineRule="atLeast"/>
        <w:jc w:val="both"/>
        <w:rPr>
          <w:rFonts w:ascii="Times New Roman" w:hAnsi="Times New Roman"/>
          <w:sz w:val="24"/>
          <w:szCs w:val="24"/>
        </w:rPr>
      </w:pPr>
      <w:r w:rsidRPr="00D75D2E">
        <w:rPr>
          <w:rFonts w:ascii="Times New Roman" w:hAnsi="Times New Roman"/>
          <w:sz w:val="24"/>
          <w:szCs w:val="24"/>
        </w:rPr>
        <w:tab/>
      </w:r>
    </w:p>
    <w:p w14:paraId="4B6E2F59" w14:textId="77777777" w:rsidR="004F08B7" w:rsidRPr="00D75D2E" w:rsidRDefault="004F08B7" w:rsidP="00215867">
      <w:pPr>
        <w:tabs>
          <w:tab w:val="left" w:leader="underscore" w:pos="3828"/>
        </w:tabs>
        <w:spacing w:before="120" w:after="120" w:line="20" w:lineRule="atLeast"/>
        <w:jc w:val="both"/>
        <w:rPr>
          <w:rFonts w:ascii="Times New Roman" w:hAnsi="Times New Roman"/>
          <w:bCs/>
          <w:i/>
          <w:iCs/>
          <w:sz w:val="24"/>
          <w:szCs w:val="24"/>
        </w:rPr>
      </w:pPr>
      <w:r w:rsidRPr="00D75D2E">
        <w:rPr>
          <w:rFonts w:ascii="Times New Roman" w:hAnsi="Times New Roman"/>
          <w:bCs/>
          <w:i/>
          <w:iCs/>
          <w:sz w:val="24"/>
          <w:szCs w:val="24"/>
        </w:rPr>
        <w:t>[</w:t>
      </w:r>
      <w:r w:rsidRPr="00D75D2E">
        <w:rPr>
          <w:rFonts w:ascii="Times New Roman" w:hAnsi="Times New Roman"/>
          <w:i/>
          <w:iCs/>
          <w:sz w:val="24"/>
          <w:szCs w:val="24"/>
        </w:rPr>
        <w:t>Signature</w:t>
      </w:r>
      <w:r w:rsidRPr="00D75D2E">
        <w:rPr>
          <w:rFonts w:ascii="Times New Roman" w:hAnsi="Times New Roman"/>
          <w:bCs/>
          <w:i/>
          <w:iCs/>
          <w:sz w:val="24"/>
          <w:szCs w:val="24"/>
        </w:rPr>
        <w:t>]</w:t>
      </w:r>
    </w:p>
    <w:p w14:paraId="5D1B37B5" w14:textId="77777777" w:rsidR="004F08B7" w:rsidRPr="00D75D2E" w:rsidRDefault="004F08B7" w:rsidP="00215867">
      <w:pPr>
        <w:tabs>
          <w:tab w:val="left" w:leader="underscore" w:pos="3828"/>
        </w:tabs>
        <w:spacing w:before="120" w:after="120" w:line="20" w:lineRule="atLeast"/>
        <w:jc w:val="both"/>
        <w:rPr>
          <w:rFonts w:ascii="Times New Roman" w:hAnsi="Times New Roman"/>
          <w:b/>
          <w:i/>
          <w:sz w:val="24"/>
          <w:szCs w:val="24"/>
        </w:rPr>
      </w:pPr>
      <w:r w:rsidRPr="00D75D2E">
        <w:rPr>
          <w:rFonts w:ascii="Times New Roman" w:hAnsi="Times New Roman"/>
          <w:b/>
          <w:i/>
          <w:sz w:val="24"/>
          <w:szCs w:val="24"/>
        </w:rPr>
        <w:t>Note : Le texte en italiques doit être retiré du document final ; il est fourni à titre indicatif en vue de faciliter la préparation du document.</w:t>
      </w:r>
    </w:p>
    <w:p w14:paraId="7834F471" w14:textId="77777777" w:rsidR="004F08B7" w:rsidRPr="00D75D2E" w:rsidRDefault="004F08B7" w:rsidP="00215867">
      <w:pPr>
        <w:tabs>
          <w:tab w:val="left" w:leader="underscore" w:pos="3828"/>
        </w:tabs>
        <w:spacing w:before="120" w:after="120" w:line="20" w:lineRule="atLeast"/>
        <w:jc w:val="both"/>
        <w:rPr>
          <w:rFonts w:ascii="Times New Roman" w:hAnsi="Times New Roman"/>
          <w:sz w:val="24"/>
          <w:szCs w:val="24"/>
          <w:u w:val="single"/>
        </w:rPr>
      </w:pPr>
      <w:r w:rsidRPr="00D75D2E">
        <w:rPr>
          <w:rFonts w:ascii="Times New Roman" w:hAnsi="Times New Roman"/>
          <w:sz w:val="24"/>
          <w:szCs w:val="24"/>
          <w:u w:val="single"/>
        </w:rPr>
        <w:tab/>
      </w:r>
    </w:p>
    <w:p w14:paraId="22927D27" w14:textId="5DE1B1F4" w:rsidR="004F08B7" w:rsidRPr="00D75D2E" w:rsidRDefault="004F08B7" w:rsidP="004F08B7">
      <w:pPr>
        <w:spacing w:before="240" w:after="120"/>
        <w:jc w:val="both"/>
        <w:rPr>
          <w:rFonts w:ascii="Times New Roman" w:hAnsi="Times New Roman"/>
          <w:sz w:val="24"/>
          <w:szCs w:val="24"/>
        </w:rPr>
      </w:pPr>
      <w:r w:rsidRPr="00D75D2E">
        <w:rPr>
          <w:rFonts w:ascii="Times New Roman" w:hAnsi="Times New Roman"/>
          <w:sz w:val="24"/>
          <w:szCs w:val="24"/>
        </w:rPr>
        <w:t>En date du ______</w:t>
      </w:r>
      <w:r w:rsidR="00CB6B05">
        <w:rPr>
          <w:rFonts w:ascii="Times New Roman" w:hAnsi="Times New Roman"/>
          <w:sz w:val="24"/>
          <w:szCs w:val="24"/>
        </w:rPr>
        <w:t>__________</w:t>
      </w:r>
      <w:r w:rsidRPr="00D75D2E">
        <w:rPr>
          <w:rFonts w:ascii="Times New Roman" w:hAnsi="Times New Roman"/>
          <w:sz w:val="24"/>
          <w:szCs w:val="24"/>
        </w:rPr>
        <w:t>________ jour de ___________</w:t>
      </w:r>
      <w:r w:rsidR="00CB6B05">
        <w:rPr>
          <w:rFonts w:ascii="Times New Roman" w:hAnsi="Times New Roman"/>
          <w:sz w:val="24"/>
          <w:szCs w:val="24"/>
        </w:rPr>
        <w:t>____________</w:t>
      </w:r>
      <w:r w:rsidRPr="00D75D2E">
        <w:rPr>
          <w:rFonts w:ascii="Times New Roman" w:hAnsi="Times New Roman"/>
          <w:sz w:val="24"/>
          <w:szCs w:val="24"/>
        </w:rPr>
        <w:t>___.</w:t>
      </w:r>
    </w:p>
    <w:p w14:paraId="23B7780E" w14:textId="69C3E643" w:rsidR="004F08B7" w:rsidRPr="00CC7A47" w:rsidRDefault="004F08B7" w:rsidP="00CC7A47">
      <w:pPr>
        <w:pStyle w:val="Titre41"/>
        <w:spacing w:before="0" w:after="240"/>
        <w:jc w:val="center"/>
        <w:rPr>
          <w:rStyle w:val="Titre2Car1"/>
        </w:rPr>
      </w:pPr>
      <w:bookmarkStart w:id="1106" w:name="_Toc526130106"/>
      <w:bookmarkStart w:id="1107" w:name="_Toc8256168"/>
      <w:bookmarkStart w:id="1108" w:name="_Toc28908467"/>
      <w:bookmarkStart w:id="1109" w:name="_Toc93050616"/>
      <w:bookmarkStart w:id="1110" w:name="_Toc103685769"/>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5</w:t>
      </w:r>
      <w:r w:rsidRPr="00CC7A47">
        <w:rPr>
          <w:rStyle w:val="Titre2Car1"/>
        </w:rPr>
        <w:fldChar w:fldCharType="end"/>
      </w:r>
      <w:r w:rsidRPr="00CC7A47">
        <w:rPr>
          <w:rStyle w:val="Titre2Car1"/>
        </w:rPr>
        <w:t> : Clauses environnementales à insérer dans les dossiers de travaux contractuels</w:t>
      </w:r>
      <w:bookmarkEnd w:id="1106"/>
      <w:bookmarkEnd w:id="1107"/>
      <w:bookmarkEnd w:id="1108"/>
      <w:bookmarkEnd w:id="1109"/>
      <w:bookmarkEnd w:id="1110"/>
    </w:p>
    <w:p w14:paraId="50857FE9"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 ENGAGEMENT DE L’ENTREPRENEUR</w:t>
      </w:r>
    </w:p>
    <w:p w14:paraId="1BA3CC08" w14:textId="228E3933"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Ce marché s’exécutera dans le respect intégral des prescriptions du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 xml:space="preserve">, dont celles de la Composante environnementale et sociale qui gère les mesures de sauvegarde de la Banque mondiale relatives au CES applicables au projet (NES 1, NES 2 ; NES 3, NES 4, NES 5, NES 6, NES 8 et NES 10), ainsi que les textes nationaux et internationaux en vigueur y relatifs. </w:t>
      </w:r>
    </w:p>
    <w:p w14:paraId="75D70C6B"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p>
    <w:p w14:paraId="560469F1"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Dans le cadre de l’exécution du marché, l’Entrepreneur (y compris ses sous-traitants) est tenu de respecter :</w:t>
      </w:r>
    </w:p>
    <w:p w14:paraId="0261332C"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clauses contractuelles le liant au Maître de l’Ouvrage ;</w:t>
      </w:r>
    </w:p>
    <w:p w14:paraId="65F4D2AF"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l’ensemble des dispositions environnementales et sociales applicables au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 xml:space="preserve"> en application des dispositions des accords de financement ; </w:t>
      </w:r>
    </w:p>
    <w:p w14:paraId="7C436A26"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politiques de sauvegarde environnementale et sociale de la Banque Mondiale, applicables au projet (y compris celles relatives à la santé, l’hygiène et la sécurité)</w:t>
      </w:r>
    </w:p>
    <w:p w14:paraId="414C3E33"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éléments issus de l’EIES/ PGES, du PAR.</w:t>
      </w:r>
    </w:p>
    <w:p w14:paraId="24FAF0E3"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lois et règlementations congolaises en vigueur applicables au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w:t>
      </w:r>
    </w:p>
    <w:p w14:paraId="49F7FD72"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textes nationaux, régionaux et internationaux relatifs aux harcèlements et  violences sexuels contre les femmes, ainsi qu’au travail et exploitation des enfants, notamment (i) la Résolution 48/104 des Nationaux Unies relative à la Déclaration sur l’Elimination des Violence contre les Femmes, (ii) la Résolution 2011/33 sur la Prévention, la protection et la coopération international contre l’utilisation de nouvelles technologies d’information pour abuser et/ou exploiter les enfants, (iii) la Résolution 44/25 du 20 novembre 1989 sur les droits des enfants.</w:t>
      </w:r>
    </w:p>
    <w:p w14:paraId="52764CB7"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cas de désaccord entre les textes nationaux en vigueur, les textes internationaux, les politiques de sauvegarde du bailleur de fonds et/ou les présentes clauses, les prescriptions les plus contraignantes s’appliquent.</w:t>
      </w:r>
    </w:p>
    <w:p w14:paraId="3EFC145B"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Dans l’organisation journalière de son chantier, l’Entrepreneur doit prendre toutes les mesures appropriées en vue de minimiser les atteintes à l’environnement, en appliquant les prescriptions du contrat et veiller à ce que son personnel, les personnes à charge de celui-ci et ses employés locaux, ainsi que ses sous-traitants, les respectent et les appliquent également.</w:t>
      </w:r>
    </w:p>
    <w:p w14:paraId="59F4EB1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devra désigner un responsable environnement et social de chantier qui aura à s’intégrer dans la dynamique du cadre de gestion environnementale et sociale du projet pour mener à bien sa mission.</w:t>
      </w:r>
    </w:p>
    <w:p w14:paraId="40959AF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engagera autant que possible sa main d'œuvre (en dehors de son personnel cadre technique) dans la zone où les travaux sont réalisés, afin de favoriser les retombées socioéconomiques locales et de réduire la propagation des IST/SIDA. Dans ce cadre, une attention particulière devra être portée au recrutement de la main d’œuvre issue des populations autochtones pygmées.</w:t>
      </w:r>
    </w:p>
    <w:p w14:paraId="7523F872" w14:textId="77777777" w:rsidR="00E15268"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favorisera autant que possible le regroupement familial de ses employés.</w:t>
      </w:r>
    </w:p>
    <w:p w14:paraId="3086A431" w14:textId="77777777" w:rsidR="00CC7A47" w:rsidRDefault="00CC7A47"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p>
    <w:p w14:paraId="3855B2E9" w14:textId="77777777" w:rsidR="00CC7A47" w:rsidRDefault="00CC7A47"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p>
    <w:p w14:paraId="7805007E"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i/>
          <w:sz w:val="24"/>
          <w:szCs w:val="24"/>
          <w:lang w:eastAsia="fr-FR"/>
        </w:rPr>
      </w:pPr>
      <w:r w:rsidRPr="00D75D2E">
        <w:rPr>
          <w:rFonts w:ascii="Times New Roman" w:eastAsia="Times New Roman" w:hAnsi="Times New Roman"/>
          <w:i/>
          <w:sz w:val="24"/>
          <w:szCs w:val="24"/>
          <w:lang w:eastAsia="fr-FR"/>
        </w:rPr>
        <w:t>Responsable environnemental et social de chantier</w:t>
      </w:r>
    </w:p>
    <w:p w14:paraId="1C4E1A4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d’avoir un Expert en Environnement au sein de son équipe  qui officiera en qualité de responsable de contrôle environnemental et social interne de chantier; le personnel à mettre en place doit être autonome en terme de moyens (véhicule, équipement informatique, bureau, appareil photo numérique, dictaphone, chaîne d’arpenteur, petit équipement de terrain) et de responsabilité (rattachement hiérarchique direct à la direction de travaux, aptitude à stopper l’exécution de travaux non-conformes, etc.).</w:t>
      </w:r>
    </w:p>
    <w:p w14:paraId="7B523D99"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i/>
          <w:sz w:val="24"/>
          <w:szCs w:val="24"/>
          <w:lang w:eastAsia="fr-FR"/>
        </w:rPr>
      </w:pPr>
      <w:r w:rsidRPr="00D75D2E">
        <w:rPr>
          <w:rFonts w:ascii="Times New Roman" w:eastAsia="Times New Roman" w:hAnsi="Times New Roman"/>
          <w:sz w:val="24"/>
          <w:szCs w:val="24"/>
          <w:lang w:eastAsia="fr-FR"/>
        </w:rPr>
        <w:t xml:space="preserve">Il est responsable de l’adaptation du règlement interne de l’Entrepreneur, ainsi que de la conception, de la mise en œuvre et du suivi des prescriptions et des dispositions environnementales et sociales. Il est tenu de produire mensuellement le bilan de conformité environnementale et sociale de l’Entrepreneur quant à l’exécution des travaux (rapport de mise en œuvre du PGES de chantier), conformément au canevas du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 xml:space="preserve">. </w:t>
      </w:r>
      <w:r w:rsidRPr="00D75D2E">
        <w:rPr>
          <w:rFonts w:ascii="Times New Roman" w:eastAsia="Times New Roman" w:hAnsi="Times New Roman"/>
          <w:i/>
          <w:sz w:val="24"/>
          <w:szCs w:val="24"/>
          <w:lang w:eastAsia="fr-FR"/>
        </w:rPr>
        <w:t>Ledit bilan devra explicitement comporter, en dehors de tous les autres aspects, une section spécifique sur le harcèlement sexuel, les abus et violences sexuels contre les femmes et les situations d’exploitation des enfants sur les chantiers les installations de l’entreprise et en contacts avec des populations locales.</w:t>
      </w:r>
    </w:p>
    <w:p w14:paraId="5B348101"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 la fin des travaux, l’Expert en Environnement est tenu de produire dans un délai d’un mois un rapport environnemental et social de fin de chantier.</w:t>
      </w:r>
    </w:p>
    <w:p w14:paraId="7A720F00"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i/>
          <w:sz w:val="24"/>
          <w:szCs w:val="24"/>
          <w:lang w:eastAsia="fr-FR"/>
        </w:rPr>
        <w:t>Paiement</w:t>
      </w:r>
    </w:p>
    <w:p w14:paraId="65744ED0"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b/>
          <w:sz w:val="24"/>
          <w:szCs w:val="24"/>
          <w:u w:val="single"/>
          <w:lang w:eastAsia="fr-FR"/>
        </w:rPr>
        <w:t>Aucun paiement distinct</w:t>
      </w:r>
      <w:r w:rsidRPr="00D75D2E">
        <w:rPr>
          <w:rFonts w:ascii="Times New Roman" w:eastAsia="Times New Roman" w:hAnsi="Times New Roman"/>
          <w:sz w:val="24"/>
          <w:szCs w:val="24"/>
          <w:lang w:eastAsia="fr-FR"/>
        </w:rPr>
        <w:t xml:space="preserve"> ne sera fait pour une prestation couverte par la mise en œuvre de la gestion environnementale et sociale des travaux telle que prévue ou induite par les présentes spécifications environnementales et sociales.</w:t>
      </w:r>
    </w:p>
    <w:p w14:paraId="3CAAD9FA"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sera responsable du paiement des frais associatifs avec les permis environnementaux, l’application, et ou les rapports obtenus par l’entrepreneur. Tous les coûts associés avec cette section seront inclus dans la charge du contrat et supposés pris en compte dans les prix unitaires repris aux bordereaux des prix. L’entrepreneur sera responsable du paiement de toutes les amendes/frais relatifs aux violations ou à la non-conformité avec les lois et règlementations nationales et internationales, dans ce domaine.</w:t>
      </w:r>
    </w:p>
    <w:p w14:paraId="1D760F4A" w14:textId="77777777" w:rsidR="00E15268" w:rsidRPr="00D75D2E" w:rsidRDefault="00E15268" w:rsidP="00215867">
      <w:pPr>
        <w:suppressAutoHyphens/>
        <w:spacing w:before="120" w:after="120" w:line="276"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2. SOUMISSION DU PROGRAMME D’ORGANISATION DES TRAVAUX</w:t>
      </w:r>
    </w:p>
    <w:p w14:paraId="7620F3D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cours d'exécution du Marché, l’Entrepreneur établit et soumet au Maître d’œuvre les documents suivants pour approbation :</w:t>
      </w:r>
    </w:p>
    <w:p w14:paraId="69383BE6" w14:textId="77777777" w:rsidR="00E15268" w:rsidRPr="00D75D2E" w:rsidRDefault="00E15268" w:rsidP="00215867">
      <w:pPr>
        <w:numPr>
          <w:ilvl w:val="0"/>
          <w:numId w:val="186"/>
        </w:num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mois avant l’installation des chantiers, des sites d'emprunt et des aires de stockage </w:t>
      </w:r>
    </w:p>
    <w:p w14:paraId="2D5EE5DC"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localisation des terrains qui seront utilisés,</w:t>
      </w:r>
    </w:p>
    <w:p w14:paraId="2CA4F3B4"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liste des accords pris avec les propriétaires et les utilisateurs actuels de ces aires.</w:t>
      </w:r>
    </w:p>
    <w:p w14:paraId="4F25FE81"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état des lieux détaillé des divers sites,</w:t>
      </w:r>
    </w:p>
    <w:p w14:paraId="7FA18AF4"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plan général indiquant les différentes zones du chantier, les implantations prévues et une description des aménagements prévus,</w:t>
      </w:r>
    </w:p>
    <w:p w14:paraId="735CA8A6"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plan de protection de l’environnement du site détaillé pour la base-vie. Ce plan devra prévoir toutes les dispositions adéquates pour l'élimination des eaux usées et des ordures, afin qu'il n'en résulte aucune pollution et aucun danger pour la santé humaine ou animale.</w:t>
      </w:r>
    </w:p>
    <w:p w14:paraId="44BEEBCE"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plan de gestion de l'eau,</w:t>
      </w:r>
    </w:p>
    <w:p w14:paraId="6B690F48"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description des mesures prévues pour éviter et lutter contre les pollutions et les accidents tels que pollutions du sol, des nappes et des eaux de surface, les incendies et les feux de brousse ainsi que les accidents de la route,</w:t>
      </w:r>
    </w:p>
    <w:p w14:paraId="387C2801"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description de l'infrastructure sanitaire prévue et son organisation,</w:t>
      </w:r>
    </w:p>
    <w:p w14:paraId="0E17891B"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liste des mesures prévues afin d'assurer un approvisionnement des travailleurs en aliments et en énergie (gaz) et celles prévues afin de favoriser l'achat des produits locaux de la zone du projet, à l'exception de la viande de chasse,</w:t>
      </w:r>
    </w:p>
    <w:p w14:paraId="37F38303"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plan de réaménagement des aires à la fin des travaux,</w:t>
      </w:r>
    </w:p>
    <w:p w14:paraId="13F5D865"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dispositions ou mesures prévues pour prévenir, interdire et sanctionner les cas de harcèlement, abus et violences sexuels sur les femmes, et l’exploitation des enfants. Les mesures de prévention pourraient comprendre par exemple des activités de sensibilisation et formation obligatoire du personnel sur les textes nationaux, régionaux et internationaux sur le harcèlement et  violences sexuels contre les femmes, ainsi que l’exploitation des enfants (Résolution 48/104 des Nationaux Unies relative à la Déclaration sur l’Elimination des Violence contre les Femmes, Résolution 2011/33 sur la Prévention, la protection et la coopération international contre l’utilisation de nouvelles technologies d’information pour abuser et/ou exploiter les enfants, Résolution 44/25 du 20 novembre 1989 sur les droits des enfants, etc.). Ces dispositions devront aussi préciser le mécanisme qui sera mis en place par l’entrepreneur pour identifier, traiter et rapporter des cas de harcèlement, abus et violences sexuels sur les femmes, et l’exploitation des enfants sur les chantiers. </w:t>
      </w:r>
    </w:p>
    <w:p w14:paraId="597B470C"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articles du règlement de chantier traitant du respect de l'environnement, de la gestion des déchets, des actions prévues en cas d'accident, des obligations en matière de conduite des véhicules, de la réparation et de l'entretien des véhicules, etc.</w:t>
      </w:r>
    </w:p>
    <w:p w14:paraId="5D4E6005"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L’ensemble de ces documents seront transmis par le Maître d’œuvre au BEGES (avec copie au Maître d’ouvrage) pour approbation.</w:t>
      </w:r>
    </w:p>
    <w:p w14:paraId="22C6972E"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apporter aux documents, règlements et propositions qu'il a transmis au  Maître d’œuvre , les corrections, mises au point et actualisations découlant des observations émises à leur encontre dans un délai de quinze jours à compter de la notification de ces observations.</w:t>
      </w:r>
    </w:p>
    <w:p w14:paraId="37A280C0"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documents sont de nouveau soumis au Maître d’œuvre pour approbation suivant la même procédure. Le visa accordé par le BEGES n'atténue en rien la responsabilité de l’Entrepreneur.</w:t>
      </w:r>
    </w:p>
    <w:p w14:paraId="703212B3"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journal des travaux reprendra en outre tous les relevés des impacts négatifs  ayant donné lieu à une incidence significative sur l’environnement  et aussi tout  accident ou incident enregistré avec la population et les mesures correctives adoptées.</w:t>
      </w:r>
    </w:p>
    <w:p w14:paraId="5BDBB063" w14:textId="77777777" w:rsidR="00E15268" w:rsidRPr="00D75D2E" w:rsidRDefault="00E15268" w:rsidP="008C79F0">
      <w:pPr>
        <w:numPr>
          <w:ilvl w:val="0"/>
          <w:numId w:val="18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Dans un délai de quarante-cinq jours à compter de la notification de l'attribution du Marché, l’Entrepreneur devra établir et soumettre à l'approbation du Maître d’Œuvre un Plan de gestion environnementale et sociale du chantier, comportant notamment les informations suivantes :</w:t>
      </w:r>
    </w:p>
    <w:p w14:paraId="32D1FA4A" w14:textId="77777777" w:rsidR="00E15268" w:rsidRPr="00D75D2E" w:rsidRDefault="00E15268" w:rsidP="00215867">
      <w:pPr>
        <w:numPr>
          <w:ilvl w:val="0"/>
          <w:numId w:val="116"/>
        </w:numPr>
        <w:suppressAutoHyphens/>
        <w:overflowPunct w:val="0"/>
        <w:autoSpaceDE w:val="0"/>
        <w:autoSpaceDN w:val="0"/>
        <w:adjustRightInd w:val="0"/>
        <w:spacing w:before="120" w:after="0" w:line="240" w:lineRule="auto"/>
        <w:ind w:left="714" w:hanging="357"/>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Un Plan Assurance Environnement (PAE) : Ce plan décrit les méthodes de travail et de préservation et de protection de l’environnement ; expose la procédure de traitement des anomalies probables sur le chantier et rappelle les enjeux environnementaux du chantier (site  des travaux, la base-vie). </w:t>
      </w:r>
    </w:p>
    <w:p w14:paraId="3C7BC44C"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Un Plan Particulier de Gestion et d’Elimination des Déchets (PPGED) :Ce plan décrit les mesures à prendre pour ne pas mélanger les différents types de déchets ; décline les moyens de contrôle et de suivi du respect des mesures d’éliminations indiquées ; montre les dispositions prises pour la réutilisation de certains déchets ; évoque les moyens (humains et matériels) prévus pour garantir la gestion des déchets ; annoncer les mesures en matière de sensibilisation de tout le personnel pour un comportement éco-citoyen sur le chantier devra . </w:t>
      </w:r>
    </w:p>
    <w:p w14:paraId="73266229"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plan de gestion de l'eau : modes et sources d'approvisionnement, débits utilisés, système de gestion prévu pour les eaux sanitaires et industrielles du chantier, lieu de rejet et type de contrôle prévu, etc.</w:t>
      </w:r>
    </w:p>
    <w:p w14:paraId="2290B4D5"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plan de gestion globale pour l'exploitation et la remise en état des zones d'emprunt et des carrières, y compris les pistes d’accès : actions anti-érosion, réaménagement prévu, etc.</w:t>
      </w:r>
    </w:p>
    <w:p w14:paraId="247625A0"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Plan Particulier de Sécurité et de Protection de la Santé(PPSPS) : Ce plan analyse de façon détaillée les procédés de construction et les modes opératoires qui ont des conséquences sur l’hygiène et la santé du personnel et des populations riveraines du chantier ; définit les risques prévisibles sur le chantier (matériels, circulation, modes opératoires, etc.).</w:t>
      </w:r>
    </w:p>
    <w:p w14:paraId="5E9D6717"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Ces documents seront retournés à l’Entrepreneur avec l’approbation du Maître d’Œuvre ou avec toute observation utile dans un délai de 15 jours à compter de leur réception par le Maître d’Œuvre, sauf en cas de convocation de l’Entrepreneur par le Maître d’Œuvre pour discussion.</w:t>
      </w:r>
    </w:p>
    <w:p w14:paraId="34391BB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b/>
          <w:sz w:val="24"/>
          <w:szCs w:val="24"/>
          <w:lang w:eastAsia="fr-FR"/>
        </w:rPr>
      </w:pPr>
      <w:r w:rsidRPr="00D75D2E">
        <w:rPr>
          <w:rFonts w:ascii="Times New Roman" w:eastAsia="Times New Roman" w:hAnsi="Times New Roman"/>
          <w:b/>
          <w:sz w:val="24"/>
          <w:szCs w:val="24"/>
          <w:lang w:eastAsia="fr-FR"/>
        </w:rPr>
        <w:t>Règlement intérieur et procédures internes</w:t>
      </w:r>
    </w:p>
    <w:p w14:paraId="330E874D"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b/>
          <w:i/>
          <w:sz w:val="24"/>
          <w:szCs w:val="24"/>
          <w:lang w:eastAsia="fr-FR"/>
        </w:rPr>
      </w:pPr>
      <w:r w:rsidRPr="00D75D2E">
        <w:rPr>
          <w:rFonts w:ascii="Times New Roman" w:eastAsia="Times New Roman" w:hAnsi="Times New Roman"/>
          <w:b/>
          <w:i/>
          <w:sz w:val="24"/>
          <w:szCs w:val="24"/>
          <w:lang w:eastAsia="fr-FR"/>
        </w:rPr>
        <w:t>Règlement intérieur</w:t>
      </w:r>
    </w:p>
    <w:p w14:paraId="1A2EDA5A"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règlement régissant la vie à l'intérieur du campement doit prévoir des mesures destinées à protéger l'environnement et le personnel de chantier tels que :</w:t>
      </w:r>
    </w:p>
    <w:p w14:paraId="21D9AA83"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contrôle de la consommation de viande de chasse, même par approvisionnement du fait de personnes extérieures au chantier,</w:t>
      </w:r>
    </w:p>
    <w:p w14:paraId="366F3137"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réglementation de l'exploitation forestière,</w:t>
      </w:r>
    </w:p>
    <w:p w14:paraId="62BFEBB6"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restrictions sur l’utilisation du feu,</w:t>
      </w:r>
    </w:p>
    <w:p w14:paraId="77C2920F" w14:textId="77777777" w:rsidR="00E15268" w:rsidRPr="00D75D2E" w:rsidRDefault="00E15268" w:rsidP="008C79F0">
      <w:pPr>
        <w:numPr>
          <w:ilvl w:val="0"/>
          <w:numId w:val="116"/>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l’interdiction du harcèlement, abus et violences sexuels sur les femmes, exploitation des enfants, etc.</w:t>
      </w:r>
    </w:p>
    <w:p w14:paraId="4F33966E"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règlement interne de l’Entrepreneur, portant dispositions spécifiques à son ou ses installations de chantier, doit mentionner de manière non ambiguë pour l’ensemble du personnel les règles de sécurité, l’interdiction de la consommation d’alcool pendant les heures de travail, l’interdiction du harcèlement, abus et violences sexuels sur les femmes, et l’exploitation des enfants, la sensibilisation et la formation obligatoire du personnel sur (i) la protection de l'environnement, (ii) l’hygiène et la sécurité au travail, (iii) la lutte contre les IST et VIH-SIDA, (iv) les textes nationaux, régionaux et internationaux sur le harcèlement et  violences sexuels contre les femmes, ainsi que l’exploitation des enfants (Résolution 48/104 des Nationaux Unies relative à la Déclaration sur l’Elimination des Violence contre les Femmes, Résolution 2011/33 sur la Prévention, la protection et la coopération international contre l’utilisation de nouvelles technologies d’information pour abuser et/ou exploiter les enfants, Résolution 44/25 du 20 novembre 1989 sur les droits des enfants, etc.), le respect des us et coutumes des populations et des relations humaines d’une manière générale.</w:t>
      </w:r>
    </w:p>
    <w:p w14:paraId="00D2589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règlement devra être affiché visiblement dans les diverses installations et figurer dans les véhicules et engins de l’Entrepreneur dans la langue de travail en RDC (français). Il porte engagement de l’Entrepreneur à la mise en œuvre des dispositions environnementales et sociales prévues au marché, et à apporter toutes améliorations à son degré de conformité si celui-ci s’avérait incompatible avec les clauses contractuelles et réglementations applicables.</w:t>
      </w:r>
    </w:p>
    <w:p w14:paraId="39DA0D22"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Une présentation de ce règlement interne et des procédures sera faite aux nouveaux employés, quel que soit leur statut, ainsi qu’au personnel déjà en fonction, avant le démarrage des travaux, dont une copie sera remise à leur représentant. L’original sera conservé en archivage interne à l’Entrepreneur, qui lui servira de preuve en cas de litige avec l’un de ses employés.</w:t>
      </w:r>
    </w:p>
    <w:p w14:paraId="32657A3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règlement citera une liste de fautes graves donnant lieu, après récidive de la part du fautif et malgré la connaissance du règlement interne, à licenciement immédiat de la part de son employeur, et ce, sans préjudice des éventuelles poursuites judiciaires par l’autorité publique pour non-respect de la réglementation en vigueur :</w:t>
      </w:r>
    </w:p>
    <w:p w14:paraId="7F5B73AE"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état d’ébriété pendant les heures de travail, entraînant des risques pour la sécurité des riverains, clients, usagers et personnels, ainsi que pour la préservation de l’environnement,</w:t>
      </w:r>
    </w:p>
    <w:p w14:paraId="7271C954"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propos et attitudes déplacés vis-à-vis des personnes de sexe féminin,</w:t>
      </w:r>
    </w:p>
    <w:p w14:paraId="124583BE"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recours aux services de prostituées durant les heures de chantier,</w:t>
      </w:r>
    </w:p>
    <w:p w14:paraId="0FDBDCFA"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comportements violents,</w:t>
      </w:r>
    </w:p>
    <w:p w14:paraId="00B92B35"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atteintes volontaires aux biens et intérêts d’autrui, ou à l’environnement,</w:t>
      </w:r>
    </w:p>
    <w:p w14:paraId="5ABB2F33"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refus de mise en application des procédures internes malgré rappel de la part de sa hiérarchie,</w:t>
      </w:r>
    </w:p>
    <w:p w14:paraId="5A0E920A"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négligences ou imprudences répétées ayant entraîné des dommages ou préjudices à la population, aux biens, à l’environnement, notamment en rapport avec les prescriptions de lutte contre la propagation des IST et du VIH-SIDA ;</w:t>
      </w:r>
    </w:p>
    <w:p w14:paraId="7C057F1E"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consommation de stupéfiants,</w:t>
      </w:r>
    </w:p>
    <w:p w14:paraId="79EA9AE8"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transport, possession et/ou consommation de viande ou de tout autre partie animale ou végétale issue d’espèces protégées au sens de la Convention de Washington (CITES) et de la réglementation nationale.</w:t>
      </w:r>
    </w:p>
    <w:p w14:paraId="61BC2FBA"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fautes plus graves encore telles que proxénétisme, harcèlement, abus et violences sexuels sur les femmes, pédophilie, coups et blessures, trafic de stupéfiants, pollution volontaire grave, commerce et/ou trafic de tout ou partie d’espèces protégées et/ou d’espèces provenant d’aires protégées, notamment l’ivoire, etc. donneront lieu à licenciement immédiat dès la première constatation de la faute, ainsi qu’à transmission des éléments caractéristiques de la faute aux services compétents de répression de l’Etat.</w:t>
      </w:r>
    </w:p>
    <w:p w14:paraId="459D129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L’employeur établira une fiche de non-conformité pour chaque faute grave, dont copie remise à l’intéressé, portant mention des dispositions prises pour mettre fin aux actes fautifs de sa part. Il attirera l’attention des autres membres du personnel sur le type de dérive constatée. Ces informations seront consignées dans le rapport mensuel de mise en œuvre de PGES de chantiers dans les sections réservées à cet effet (les fiches de non-conformité étant jointes en annexe), et transmis au Maître d’œuvre (Mission de Contrôle). Dans le cas où l’entreprise n’a pas enregistré de cas de non-conformité pour une faute grave donnée au cours de la période, notamment ceux relatifs au harcèlement sexuel, les abus et violences sexuels contre les femmes et les situations d’exploitation des enfants sur les chantiers, le rapport mensuel de mise en œuvre de PGES de chantiers de la période concernée, mentionnera de façon explicite dans les sections réservées à cet effet qu</w:t>
      </w:r>
      <w:r w:rsidRPr="00D75D2E">
        <w:rPr>
          <w:rFonts w:ascii="Times New Roman" w:eastAsia="Times New Roman" w:hAnsi="Times New Roman"/>
          <w:i/>
          <w:sz w:val="24"/>
          <w:szCs w:val="24"/>
          <w:lang w:eastAsia="fr-FR"/>
        </w:rPr>
        <w:t>’</w:t>
      </w:r>
      <w:r w:rsidRPr="00D75D2E">
        <w:rPr>
          <w:rFonts w:ascii="Times New Roman" w:eastAsia="Times New Roman" w:hAnsi="Times New Roman"/>
          <w:b/>
          <w:i/>
          <w:sz w:val="24"/>
          <w:szCs w:val="24"/>
          <w:lang w:eastAsia="fr-FR"/>
        </w:rPr>
        <w:t>aucun cas de harcèlement sexuel, d’abus et violences sexuels contre les femmes, et d’exploitation des enfants sur les chantiers, n’a été enregistré au cours de la période</w:t>
      </w:r>
    </w:p>
    <w:p w14:paraId="4E33083B"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bCs/>
          <w:i/>
          <w:sz w:val="24"/>
          <w:szCs w:val="24"/>
          <w:lang w:eastAsia="fr-FR"/>
        </w:rPr>
      </w:pPr>
      <w:r w:rsidRPr="00D75D2E">
        <w:rPr>
          <w:rFonts w:ascii="Times New Roman" w:eastAsia="Times New Roman" w:hAnsi="Times New Roman"/>
          <w:b/>
          <w:bCs/>
          <w:i/>
          <w:sz w:val="24"/>
          <w:szCs w:val="24"/>
          <w:lang w:eastAsia="fr-FR"/>
        </w:rPr>
        <w:t>Procédures internes</w:t>
      </w:r>
    </w:p>
    <w:p w14:paraId="16CFA9F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de présenter et d’appliquer les procédures internes suivantes :</w:t>
      </w:r>
    </w:p>
    <w:p w14:paraId="4B8CD074"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Gestion des déchets.</w:t>
      </w:r>
    </w:p>
    <w:p w14:paraId="7425C72E"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Gestion des produits dangereux.</w:t>
      </w:r>
    </w:p>
    <w:p w14:paraId="68573621"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Stockage et approvisionnements en carburant.</w:t>
      </w:r>
    </w:p>
    <w:p w14:paraId="74C48B18"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Réduction des nuisances et des gênes aux riverains et aux activités économiques, incluant les tracés de déviations provisoires de chantier.</w:t>
      </w:r>
    </w:p>
    <w:p w14:paraId="33190245"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Contrôle des IST et VIH-SIDA.</w:t>
      </w:r>
    </w:p>
    <w:p w14:paraId="6178CFEE"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Comportement du personnel et des conducteurs.</w:t>
      </w:r>
    </w:p>
    <w:p w14:paraId="72CDC682"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Conservation de la nature (faune, flore, sols, eaux, air).</w:t>
      </w:r>
    </w:p>
    <w:p w14:paraId="5B455C64"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Conservation des patrimoines (archéologie et paysages).</w:t>
      </w:r>
    </w:p>
    <w:p w14:paraId="0EF64937"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Etat des lieux initial et de libération des sites (tous sites, emprunts, carrières et dépôts compris).</w:t>
      </w:r>
    </w:p>
    <w:p w14:paraId="19637124" w14:textId="77777777" w:rsidR="00E15268" w:rsidRPr="00D75D2E" w:rsidRDefault="00E15268" w:rsidP="008C79F0">
      <w:pPr>
        <w:numPr>
          <w:ilvl w:val="0"/>
          <w:numId w:val="122"/>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Traitement des doléances.</w:t>
      </w:r>
    </w:p>
    <w:p w14:paraId="48249180"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Ces procédures devront être simples, pragmatiques, intelligibles par tous (largement illustrées en particulier), affichées sur les sites de mise en application et/ou dans ou sur les engins selon le besoin, distribuées et enseignées au personnel quel que soit son niveau hiérarchique. Elles seront validées par le Maître d’œuvre.</w:t>
      </w:r>
    </w:p>
    <w:p w14:paraId="3DEEB57D"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séances internes de contrôle de la connaissance et de la compréhension des procédures par le personnel seront organisées par l’Entrepreneur, qui procèdera aussi tous les mois à un audit partiel de l’application des procédures, et à un audit général tous les trois mois (modalités à établir en conformité avec le Plan Assurance Qualité).</w:t>
      </w:r>
    </w:p>
    <w:p w14:paraId="0D97FCF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bCs/>
          <w:i/>
          <w:sz w:val="24"/>
          <w:szCs w:val="24"/>
          <w:lang w:eastAsia="fr-FR"/>
        </w:rPr>
      </w:pPr>
      <w:r w:rsidRPr="00D75D2E">
        <w:rPr>
          <w:rFonts w:ascii="Times New Roman" w:eastAsia="Times New Roman" w:hAnsi="Times New Roman"/>
          <w:b/>
          <w:bCs/>
          <w:i/>
          <w:sz w:val="24"/>
          <w:szCs w:val="24"/>
          <w:lang w:eastAsia="fr-FR"/>
        </w:rPr>
        <w:t>Personnel</w:t>
      </w:r>
    </w:p>
    <w:p w14:paraId="46CE0A77"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u w:val="single"/>
          <w:lang w:eastAsia="fr-FR"/>
        </w:rPr>
      </w:pPr>
      <w:r w:rsidRPr="00D75D2E">
        <w:rPr>
          <w:rFonts w:ascii="Times New Roman" w:eastAsia="Times New Roman" w:hAnsi="Times New Roman"/>
          <w:sz w:val="24"/>
          <w:szCs w:val="24"/>
          <w:u w:val="single"/>
          <w:lang w:eastAsia="fr-FR"/>
        </w:rPr>
        <w:t>Embauche</w:t>
      </w:r>
    </w:p>
    <w:p w14:paraId="6974405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est tenu d’engager (en dehors de son personnel cadre technique) le plus possible la main d'œuvre dans la zone où les travaux sont réalisés, afin de favoriser les retombées socio-économiques locales et de réduire la propagation des IST et VIH-SIDA. Dans ce cadre, une attention particulière devra être portée au recrutement de la main d’œuvre issue des populations autochtones pygmées et des femmes. </w:t>
      </w:r>
    </w:p>
    <w:p w14:paraId="2BD5EE0D"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 défaut de trouver le personnel qualifié sur place, il est autorisé d’engager la main d'œuvre à l’extérieur de la zone de travail. Il favorisera dans ce cas le regroupement familial de ses employés.</w:t>
      </w:r>
    </w:p>
    <w:p w14:paraId="491A406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devra prendre toutes les dispositions nécessaires afin de s’assurer que le personnel qu’il recrute a atteint l’âge légal requis lui permettant de travailler sur un chantier, conformément aux textes nationaux et internationaux en la matière.</w:t>
      </w:r>
    </w:p>
    <w:p w14:paraId="1A0D211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u w:val="single"/>
          <w:lang w:eastAsia="fr-FR"/>
        </w:rPr>
      </w:pPr>
      <w:r w:rsidRPr="00D75D2E">
        <w:rPr>
          <w:rFonts w:ascii="Times New Roman" w:eastAsia="Times New Roman" w:hAnsi="Times New Roman"/>
          <w:sz w:val="24"/>
          <w:szCs w:val="24"/>
          <w:u w:val="single"/>
          <w:lang w:eastAsia="fr-FR"/>
        </w:rPr>
        <w:t>Identification et accès</w:t>
      </w:r>
    </w:p>
    <w:p w14:paraId="04BBF289"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Chaque membre du personnel de l’Entrepreneur se voit attribuer un badge, qu’il porte visiblement sur lui en toutes circonstances durant les heures de travail. Ce badge porte la mention du nom et le logo de l’Entrepreneur, les noms, prénoms et fonctions de l’employé, sa photo, le nom officiel du projet et le lot de travaux, la durée de validité du badge à compter de la date d’établissement, également citée.</w:t>
      </w:r>
    </w:p>
    <w:p w14:paraId="3954308F"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personnels embauchés à titre intérimaire disposent du même badge, portant mention de leur date de fin de contrat.</w:t>
      </w:r>
    </w:p>
    <w:p w14:paraId="6DD7C007"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responsable environnement de l’Entrepreneur, ainsi que les représentants des institutions citées dans la clause 1, disposent d’un accès à toutes les installations et sites de l’Entrepreneur, à toute heure.</w:t>
      </w:r>
    </w:p>
    <w:p w14:paraId="4ADB7C7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u w:val="single"/>
          <w:lang w:eastAsia="fr-FR"/>
        </w:rPr>
      </w:pPr>
      <w:r w:rsidRPr="00D75D2E">
        <w:rPr>
          <w:rFonts w:ascii="Times New Roman" w:eastAsia="Times New Roman" w:hAnsi="Times New Roman"/>
          <w:sz w:val="24"/>
          <w:szCs w:val="24"/>
          <w:u w:val="single"/>
          <w:lang w:eastAsia="fr-FR"/>
        </w:rPr>
        <w:t>Responsable environnement et social de chantier</w:t>
      </w:r>
    </w:p>
    <w:p w14:paraId="614218D9"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de mettre à disposition un responsable de contrôle environnemental interne de chantier de formation environnementaliste. Il doit être autonome en terme de moyens (véhicule, équipement informatique, bureau, appareil photo numérique, dictaphone, chaîne d’arpenteur, petit équipement de terrain) et de responsabilité (rattachement hiérarchique direct à la direction de travaux, aptitude à stopper l’exécution de travaux non-conformes, etc.).</w:t>
      </w:r>
    </w:p>
    <w:p w14:paraId="3FC02B3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a à sa disposition une copie de l’ensemble des documents produits dans le cadre de l’Etude d’Impact Environnemental et social du projet sur lequel il travaille.</w:t>
      </w:r>
    </w:p>
    <w:p w14:paraId="4A4632B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est responsable de l’adaptation du règlement interne de l’Entrepreneur, ainsi que de la conception, de la mise en œuvre et du suivi des procédures internes de mise en application de la politique environnementale de l’Entrepreneur. Il appuie la préparation du projet d’exécution de l’Entrepreneur, en veillant au respect des présentes clauses environnementales et sociales, à la prise en charge de tout impact environnemental non anticipé ou qui survient de fait du choix de l’option technique voire technologique, au respect de la réglementation nationale et internationale, des politiques de sauvegarde et des directives de la Banque Mondiale applicables. Il élabore le PGES de chantier et assure sa validation auprès du Maître d’œuvre. Il effectue les évaluations initiales de sites (tous sites, emprunts, carrières et dépôts compris), suit leur exploitation ou utilisation, et préconise les modes de libération de sites en rapport avec le BEGES ; les rapports correspondant sont transmis à la mission de contrôle pour approbation.</w:t>
      </w:r>
    </w:p>
    <w:p w14:paraId="0214ABF7"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préconise de manière générale toute disposition ou mesure environnementale et sociale nécessaire pour le respect des présentes clauses environnementales et sociales, de la réglementation nationale et internationale, des politiques de sauvegarde et des directives de la Banque Mondiale applicables au projet.</w:t>
      </w:r>
    </w:p>
    <w:p w14:paraId="6E15E48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est tenu de produire mensuellement le bilan de conformité environnementale et sociale de l’Entrepreneur quant à l’exécution des travaux ou rapport de mise en œuvre de PGES de chantier ; il a également à charge, en relation avec la direction de travaux, de la mise en œuvre des actions de redressement de la situation en cas de non-conformité(s) constatée(s). L’Entrepreneur reste responsable de l’efficacité environnementale et sociale du chantier.</w:t>
      </w:r>
    </w:p>
    <w:p w14:paraId="58EC883A"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 niveau ingénieur, il est chargé des contacts avec les riverains, les propriétaires et/ou exploitants de sites ainsi que les autorités. Il recueille et traite les doléances en rapport avec la mission de contrôle et le BEGES. Il assure de manière générale le suivi environnemental et social interne de l’ensemble des travaux.</w:t>
      </w:r>
    </w:p>
    <w:p w14:paraId="0F0521AA" w14:textId="77777777" w:rsidR="00E15268" w:rsidRPr="00D75D2E" w:rsidRDefault="00E15268" w:rsidP="00215867">
      <w:pPr>
        <w:suppressAutoHyphens/>
        <w:spacing w:before="120" w:after="120" w:line="276"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3 : EXTENSION DE LA GARANTIE AUX ASPECTS ENVIRONNEMENTAUX ET SOCIAUX</w:t>
      </w:r>
    </w:p>
    <w:p w14:paraId="56B8497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pendant la période de garantie d’effectuer l'entretien courant des ouvrages réalisés et de remédier aux impacts négatifs des travaux exécutés qui seraient constatés dans la zone d’influence de la route, tels que les tassements, les érosions ou les éboulements de terrain.</w:t>
      </w:r>
    </w:p>
    <w:p w14:paraId="76E6A73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aspects environnementaux et sociaux tels que la reprise de végétation, le rétablissement des écoulements et du régime hydraulique des rivières, la remise en culture de terres agricoles sont également couverts par ce délai de garantie.</w:t>
      </w:r>
    </w:p>
    <w:p w14:paraId="412216B6" w14:textId="77777777" w:rsidR="00E15268" w:rsidRPr="00D75D2E" w:rsidRDefault="00E15268" w:rsidP="00215867">
      <w:pPr>
        <w:suppressAutoHyphens/>
        <w:spacing w:before="120" w:after="120" w:line="276"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4 CHOIX ET GESTION DES AIRES DESTINEES A L’USAGE DE L’ENTREPRENEUR</w:t>
      </w:r>
    </w:p>
    <w:p w14:paraId="23A84577" w14:textId="77777777" w:rsidR="00E15268" w:rsidRPr="00215867" w:rsidRDefault="00E15268" w:rsidP="00215867">
      <w:pPr>
        <w:suppressAutoHyphens/>
        <w:spacing w:before="120" w:after="120" w:line="276" w:lineRule="auto"/>
        <w:jc w:val="both"/>
        <w:rPr>
          <w:rFonts w:ascii="Times New Roman" w:eastAsia="SimSun" w:hAnsi="Times New Roman"/>
          <w:b/>
          <w:sz w:val="24"/>
          <w:lang w:eastAsia="fr-FR"/>
        </w:rPr>
      </w:pPr>
      <w:r w:rsidRPr="00215867">
        <w:rPr>
          <w:rFonts w:ascii="Times New Roman" w:eastAsia="SimSun" w:hAnsi="Times New Roman"/>
          <w:b/>
          <w:sz w:val="24"/>
          <w:lang w:eastAsia="fr-FR"/>
        </w:rPr>
        <w:t>3.1 Plan d’installation</w:t>
      </w:r>
    </w:p>
    <w:p w14:paraId="097DA9F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application du chapitre 1 des spécifications, l’Entrepreneur est tenu de présenter pour approbation au Maître d’œuvre un dossier de demande d’occupation de sites (portant constat de l’existant) qu’il compte utiliser durant la période des travaux, incluant pour les aspects environnementaux, un descriptif :</w:t>
      </w:r>
    </w:p>
    <w:p w14:paraId="34EE4A5D"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du site et de ses accès,</w:t>
      </w:r>
    </w:p>
    <w:p w14:paraId="34A79F43"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 l’environnement proche du site,</w:t>
      </w:r>
    </w:p>
    <w:p w14:paraId="1D95A023"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usages et des droits de propriétés du site,</w:t>
      </w:r>
    </w:p>
    <w:p w14:paraId="102D2D8B"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procédures réglementaires engagées le cas échéant sous la responsabilité de la Coordination provinciale de l’environnement,</w:t>
      </w:r>
    </w:p>
    <w:p w14:paraId="3038E445"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dispositions prises pour réduire les conséquences de la mise en exploitation du site : sécurité des personnes et des usagers des voies d’accès et sur le site, préparation du site en prévision des modalités de sa libération, nuisances et gênes éventuelles, etc.,</w:t>
      </w:r>
    </w:p>
    <w:p w14:paraId="1199FC71"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dispositions de libération du site telles que convenues sur plan avec son propriétaire et/ou son utilisateur, intégrant toutes les dispositions environnementales propres à réduire les conséquences secondaires de son occupation, qu’il s’agisse de simple réhabilitation et/ou de réaménagement.</w:t>
      </w:r>
    </w:p>
    <w:p w14:paraId="6164F162"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L’accent sera mis sur les sensibilités du site et de ses environs, conditionnant la possibilité d’implantation ou d’extension du site et la nature des activités autorisées ; le dossier présentera de manière précise les dispositions que l’Entrepreneur mettra en œuvre pour remédier aux impacts potentiels des travaux sur les sensibilités reconnues.</w:t>
      </w:r>
    </w:p>
    <w:p w14:paraId="5B0C976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dossier sera illustré de manière systématique par des photographies représentatives des états initiaux des sites, ainsi que par le ou les plans et extraits de cartes nécessaires à la compréhension des sensibilités et des dispositions prises.</w:t>
      </w:r>
    </w:p>
    <w:p w14:paraId="203EF131"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projet des installations devra respecter les règles environnementales et sociales suivantes :</w:t>
      </w:r>
    </w:p>
    <w:p w14:paraId="29B7ABE9"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sites de travaux ne doivent pas être implantés ni porter atteinte d’une quelconque manière aux zones sensibles présentées dans les Etudes d’Impact Environnemental et Social réalisée </w:t>
      </w:r>
      <w:r w:rsidR="0015345E">
        <w:rPr>
          <w:rFonts w:ascii="Times New Roman" w:eastAsia="Times New Roman" w:hAnsi="Times New Roman"/>
          <w:sz w:val="24"/>
          <w:szCs w:val="24"/>
          <w:lang w:eastAsia="fr-FR"/>
        </w:rPr>
        <w:t>au compte du Projet</w:t>
      </w:r>
      <w:r w:rsidRPr="00D75D2E">
        <w:rPr>
          <w:rFonts w:ascii="Times New Roman" w:eastAsia="Times New Roman" w:hAnsi="Times New Roman"/>
          <w:sz w:val="24"/>
          <w:szCs w:val="24"/>
          <w:lang w:eastAsia="fr-FR"/>
        </w:rPr>
        <w:t xml:space="preserve">  (ressources en eau et ripisylves, flore locale, plantations privées, etc.). Ces EIES présentent également pour les sites d’emprunt et de carrières de roche massive certaines dispositions à intégrer.</w:t>
      </w:r>
    </w:p>
    <w:p w14:paraId="064ACB96" w14:textId="2F9FDA3B"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L’usage de tout terrain pour besoin des travaux (site des travaux, installations, carrières) sera impérativement subordonnée à la mise en œuvre du PAR (Plan d’Action de Réinstallation</w:t>
      </w:r>
      <w:r w:rsidR="008D17B0">
        <w:rPr>
          <w:rFonts w:ascii="Times New Roman" w:eastAsia="Times New Roman" w:hAnsi="Times New Roman"/>
          <w:sz w:val="24"/>
          <w:szCs w:val="24"/>
          <w:lang w:eastAsia="fr-FR"/>
        </w:rPr>
        <w:t xml:space="preserve"> incluant le plan de restauration </w:t>
      </w:r>
      <w:r w:rsidR="008D17B0" w:rsidRPr="00215867">
        <w:rPr>
          <w:rFonts w:ascii="Times New Roman" w:eastAsia="Times New Roman" w:hAnsi="Times New Roman"/>
          <w:sz w:val="24"/>
          <w:szCs w:val="24"/>
          <w:lang w:eastAsia="fr-FR"/>
        </w:rPr>
        <w:t>des moyens de subsistance afin de compenser la perte des activités génératrices de revenus (AGR</w:t>
      </w:r>
      <w:r w:rsidRPr="00D75D2E">
        <w:rPr>
          <w:rFonts w:ascii="Times New Roman" w:eastAsia="Times New Roman" w:hAnsi="Times New Roman"/>
          <w:sz w:val="24"/>
          <w:szCs w:val="24"/>
          <w:lang w:eastAsia="fr-FR"/>
        </w:rPr>
        <w:t>) et à une EIES simplifiée (ou Notice d’impact) suivant les procédures établies dans le cadre des études CPR et CGES validées par l’IDA.</w:t>
      </w:r>
    </w:p>
    <w:p w14:paraId="7E70E6F8"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BEGES, avec le financement du projet, assure la mise en œuvre du PAR pour les actifs bâtis et non bâtis situés sur l’emprise de la route, sur l’emplacement de la base vie, sur les gîtes d’emprunt des matériaux et sur les tracés des ouvrages d’assainissement (saignées).</w:t>
      </w:r>
    </w:p>
    <w:p w14:paraId="2A789C7E"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plan d’installation principal de chantier devra tenir compte des aménagements et mesures de protection suivantes :</w:t>
      </w:r>
    </w:p>
    <w:p w14:paraId="70184BF6"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limites du site choisi doivent être à une distance d’au moins :</w:t>
      </w:r>
    </w:p>
    <w:p w14:paraId="6F27136D" w14:textId="77777777" w:rsidR="00E15268" w:rsidRPr="00D75D2E" w:rsidRDefault="00E15268" w:rsidP="008C79F0">
      <w:pPr>
        <w:numPr>
          <w:ilvl w:val="0"/>
          <w:numId w:val="118"/>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500 m de tout cours d’eau de surface en pente nulle et de 1000 m pour toute autre pente différente,</w:t>
      </w:r>
    </w:p>
    <w:p w14:paraId="49212E90" w14:textId="77777777" w:rsidR="00E15268" w:rsidRPr="00D75D2E" w:rsidRDefault="00E15268" w:rsidP="008C79F0">
      <w:pPr>
        <w:numPr>
          <w:ilvl w:val="0"/>
          <w:numId w:val="118"/>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500 m d’un forage d’hydraulique villageoise, et 5.000 m d’un forage destiné au pompage d’eau minérale naturelle (la nouvelle réglementation sur les Zones de Protection des Ressources en Eau s’appliquera de plein droit dès son adoption),</w:t>
      </w:r>
    </w:p>
    <w:p w14:paraId="19042ECB" w14:textId="77777777" w:rsidR="00E15268" w:rsidRPr="00D75D2E" w:rsidRDefault="00E15268" w:rsidP="008C79F0">
      <w:pPr>
        <w:numPr>
          <w:ilvl w:val="0"/>
          <w:numId w:val="118"/>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250 m d’équipements sensibles (infrastructures sanitaires, éducatives) et de quartiers d’habitations. La direction des vents dominants sera un critère de choix du site (pas d’habitations sous le vent),</w:t>
      </w:r>
    </w:p>
    <w:p w14:paraId="5083EB7A" w14:textId="77777777" w:rsidR="00E15268" w:rsidRPr="00D75D2E" w:rsidRDefault="00E15268" w:rsidP="008C79F0">
      <w:pPr>
        <w:numPr>
          <w:ilvl w:val="0"/>
          <w:numId w:val="118"/>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cinq (5) kilomètres d’un campement de populations autochtones ;</w:t>
      </w:r>
    </w:p>
    <w:p w14:paraId="6FED76F7" w14:textId="77777777" w:rsidR="00E15268" w:rsidRPr="00D75D2E" w:rsidRDefault="00E15268" w:rsidP="008C79F0">
      <w:pPr>
        <w:numPr>
          <w:ilvl w:val="0"/>
          <w:numId w:val="118"/>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dix (10) km d’une aire protégée afin d’éviter toute exploitation forestière illégale et tout braconnage (sauf cas exceptionnel et sur autorisation écrite de l’Institut Congolais pour la Conservation de la Nature)</w:t>
      </w:r>
    </w:p>
    <w:p w14:paraId="03F9E529"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site devra être délimité par une clôture ou un mur d'enceinte infranchissable, l'accès devra en être rigoureusement contrôlé.</w:t>
      </w:r>
    </w:p>
    <w:p w14:paraId="24D8FA16"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Si le site doit héberger les dépôts de carburant destiné au chantier, il devra être situé à  une distance d’au moins 1000 m des habitations.</w:t>
      </w:r>
    </w:p>
    <w:p w14:paraId="32FEED91"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sorties de véhicules et d’engins devront être localisées et aménagées de manière à ne présenter aucun risque pour la sécurité des piétons et automobilistes, notamment du point de vue de la visibilité de la signalisation et du règlement de la circulation. Les entrées et sorties de véhicules devront être possible sans perturbations des circulations locales,</w:t>
      </w:r>
    </w:p>
    <w:p w14:paraId="78ECA9C4"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site sera de préférence choisi sur un emplacement déjà dégradé par d’anciens travaux, par érosion, etc. Il devra être choisi afin de limiter le débroussaillement, l’arrachage d’arbustes, l’abattage des arbres. Les arbres utiles ou de grande taille (diamètre supérieur à 20 cm) seront à préserver sur le site et à protéger,</w:t>
      </w:r>
    </w:p>
    <w:p w14:paraId="2A39B918"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drainage adéquat des eaux sur l’ensemble de la superficie doit éviter les points de stagnation.</w:t>
      </w:r>
    </w:p>
    <w:p w14:paraId="2940150B" w14:textId="77777777" w:rsidR="00E15268" w:rsidRPr="00215867" w:rsidRDefault="00E15268" w:rsidP="00215867">
      <w:pPr>
        <w:suppressAutoHyphens/>
        <w:spacing w:before="120" w:after="120" w:line="276" w:lineRule="auto"/>
        <w:jc w:val="both"/>
        <w:rPr>
          <w:rFonts w:ascii="Times New Roman" w:eastAsia="SimSun" w:hAnsi="Times New Roman"/>
          <w:b/>
          <w:sz w:val="24"/>
          <w:szCs w:val="24"/>
          <w:lang w:eastAsia="fr-FR"/>
        </w:rPr>
      </w:pPr>
      <w:r w:rsidRPr="00215867">
        <w:rPr>
          <w:rFonts w:ascii="Times New Roman" w:eastAsia="SimSun" w:hAnsi="Times New Roman"/>
          <w:b/>
          <w:sz w:val="24"/>
          <w:szCs w:val="24"/>
          <w:lang w:eastAsia="fr-FR"/>
        </w:rPr>
        <w:t>3.2 Aménagement et gestion des aires destinées à l'usage de l'Entrepreneur</w:t>
      </w:r>
    </w:p>
    <w:p w14:paraId="1A74030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retenues par l'Entrepreneur pour ses installations et/ou comme aires de stockage ou d’emprunt de matériaux devront être aménagées afin d'éviter l'apparition d'un phénomène d'érosion sur le site ou aux abords immédiats et qu'il soit possible de maîtriser et contrôler toute pollution accidentelle ou non.</w:t>
      </w:r>
    </w:p>
    <w:p w14:paraId="6FA476E2"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 cette fin, les aires destinées au stockage ou à la manipulation de produits dangereux, toxiques, inflammables ou polluants devront être aménagées afin d'assurer une protection efficace du sol et du sous-sol et permettre la récupération et l'évacuation des produits et/ou des terres éventuellement pollués, conformément à l’Article 4.3.</w:t>
      </w:r>
    </w:p>
    <w:p w14:paraId="1371B26B"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Ces aménagements (aires de vidange bétonnées, fosses en béton, bacs de décantation, etc.) prendront en considération les conditions climatiques de la région (pluies abondantes pendant l’hivernage) afin d'éviter tout écoulement accidentel en dehors des aires aménagées.</w:t>
      </w:r>
    </w:p>
    <w:p w14:paraId="0BD65F28"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de stockage pour les déchets seront prévues et clairement identifiées par nature de déchets. Chaque aire comprendra :</w:t>
      </w:r>
    </w:p>
    <w:p w14:paraId="3A0D426B"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une zone réservée au stockage des terres éventuellement contaminées/polluées ;</w:t>
      </w:r>
    </w:p>
    <w:p w14:paraId="29B9E840"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une zone protégée équipée de récipients étanches pour la récupération des huiles usagées ;</w:t>
      </w:r>
    </w:p>
    <w:p w14:paraId="5C0FAFDF"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une zone protégée et grillagée pour le stockage des déchets toxiques ou dangereux (réactifs de laboratoire, déchets du dispensaire, produits spéciaux, etc.) ;</w:t>
      </w:r>
    </w:p>
    <w:p w14:paraId="60DAE8EF"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une zone pour le stockage des hydrocarbures respectant les dispositions définies à l’Article 4.3 ci-dessous.</w:t>
      </w:r>
    </w:p>
    <w:p w14:paraId="4926FA61" w14:textId="77777777" w:rsidR="00E15268"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535FE0">
        <w:rPr>
          <w:rFonts w:ascii="Times New Roman" w:eastAsia="Times New Roman" w:hAnsi="Times New Roman"/>
          <w:sz w:val="24"/>
          <w:szCs w:val="24"/>
          <w:lang w:eastAsia="fr-FR"/>
        </w:rPr>
        <w:t>L'exploitation de sables, graviers, galets et tous matériaux prélevés dans les lits mineurs ou majeurs des rivières devra faire l'objet d'une demande d'autorisation particulière. Celle-ci sera accompagnée d'une notice certifiant l'</w:t>
      </w:r>
      <w:r w:rsidRPr="00882BB9">
        <w:rPr>
          <w:rFonts w:ascii="Times New Roman" w:eastAsia="Times New Roman" w:hAnsi="Times New Roman"/>
          <w:sz w:val="24"/>
          <w:szCs w:val="24"/>
          <w:lang w:eastAsia="fr-FR"/>
        </w:rPr>
        <w:t>absence d'impact majeur pour la stabilité de la rivière, les possibilités de restauration par alluvionnement naturel, des volumes et nature de matériaux objets de la demande d'extraction. Dans le cas contraire, l'autorisation pourra être refusée ou assorti</w:t>
      </w:r>
      <w:r w:rsidRPr="00FA4B4B">
        <w:rPr>
          <w:rFonts w:ascii="Times New Roman" w:eastAsia="Times New Roman" w:hAnsi="Times New Roman"/>
          <w:sz w:val="24"/>
          <w:szCs w:val="24"/>
          <w:lang w:eastAsia="fr-FR"/>
        </w:rPr>
        <w:t>e de l'exigence de travaux de réhabilitation du type construction de seuils en rivière.</w:t>
      </w:r>
    </w:p>
    <w:p w14:paraId="3B4226E7" w14:textId="77777777" w:rsidR="0075784E" w:rsidRDefault="0075784E"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p>
    <w:p w14:paraId="73DB430F" w14:textId="77777777" w:rsidR="0075784E" w:rsidRDefault="0075784E"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p>
    <w:p w14:paraId="3DA879CE" w14:textId="77777777" w:rsidR="0075784E" w:rsidRPr="00FA4B4B" w:rsidRDefault="0075784E"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p>
    <w:p w14:paraId="43BB3117" w14:textId="77777777" w:rsidR="00E15268" w:rsidRPr="00215867" w:rsidRDefault="00E15268" w:rsidP="0075784E">
      <w:pPr>
        <w:tabs>
          <w:tab w:val="left" w:pos="567"/>
        </w:tabs>
        <w:suppressAutoHyphens/>
        <w:spacing w:before="120" w:after="120" w:line="276" w:lineRule="auto"/>
        <w:jc w:val="both"/>
        <w:rPr>
          <w:rFonts w:ascii="Times New Roman" w:eastAsia="SimSun" w:hAnsi="Times New Roman"/>
          <w:b/>
          <w:sz w:val="24"/>
          <w:szCs w:val="24"/>
          <w:lang w:eastAsia="fr-FR"/>
        </w:rPr>
      </w:pPr>
      <w:r w:rsidRPr="00215867">
        <w:rPr>
          <w:rFonts w:ascii="Times New Roman" w:eastAsia="SimSun" w:hAnsi="Times New Roman"/>
          <w:b/>
          <w:sz w:val="24"/>
          <w:szCs w:val="24"/>
          <w:lang w:eastAsia="fr-FR"/>
        </w:rPr>
        <w:t>3.3</w:t>
      </w:r>
      <w:r w:rsidRPr="00215867">
        <w:rPr>
          <w:rFonts w:ascii="Times New Roman" w:eastAsia="SimSun" w:hAnsi="Times New Roman"/>
          <w:b/>
          <w:sz w:val="24"/>
          <w:szCs w:val="24"/>
          <w:lang w:eastAsia="fr-FR"/>
        </w:rPr>
        <w:tab/>
        <w:t>Abandon des sites et installations en fin de travaux</w:t>
      </w:r>
    </w:p>
    <w:p w14:paraId="7F570DCD" w14:textId="77777777" w:rsidR="00E15268" w:rsidRPr="00882BB9"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535FE0">
        <w:rPr>
          <w:rFonts w:ascii="Times New Roman" w:eastAsia="Times New Roman" w:hAnsi="Times New Roman"/>
          <w:sz w:val="24"/>
          <w:szCs w:val="24"/>
          <w:lang w:eastAsia="fr-FR"/>
        </w:rPr>
        <w:t>Dans le cas où l'Entrepreneur n'utiliserait plus un site d'installation à la fin du chantier, il réalisera tou</w:t>
      </w:r>
      <w:r w:rsidRPr="00882BB9">
        <w:rPr>
          <w:rFonts w:ascii="Times New Roman" w:eastAsia="Times New Roman" w:hAnsi="Times New Roman"/>
          <w:sz w:val="24"/>
          <w:szCs w:val="24"/>
          <w:lang w:eastAsia="fr-FR"/>
        </w:rPr>
        <w:t>s les travaux nécessaires à la remise en état des lieux telle qu’initialement convenue avec son propriétaire ou utilisateur, et acceptée par le Maître d’œuvre.</w:t>
      </w:r>
    </w:p>
    <w:p w14:paraId="6B505FE6" w14:textId="77777777" w:rsidR="00E15268" w:rsidRPr="00997893"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FA4B4B">
        <w:rPr>
          <w:rFonts w:ascii="Times New Roman" w:eastAsia="Times New Roman" w:hAnsi="Times New Roman"/>
          <w:sz w:val="24"/>
          <w:szCs w:val="24"/>
          <w:lang w:eastAsia="fr-FR"/>
        </w:rPr>
        <w:t>Il présentera à l’issue de la réhabilitation et/ou du réaménagement des sites un dossier de lib</w:t>
      </w:r>
      <w:r w:rsidRPr="004E35F0">
        <w:rPr>
          <w:rFonts w:ascii="Times New Roman" w:eastAsia="Times New Roman" w:hAnsi="Times New Roman"/>
          <w:sz w:val="24"/>
          <w:szCs w:val="24"/>
          <w:lang w:eastAsia="fr-FR"/>
        </w:rPr>
        <w:t>ération de ceux-ci – portant constat de libération – à transmettre au Maître d’œuvre pour approbation avant réception partielle provisoire des travaux de la zone concernée, ou, en tout état de cause, avant la réception provisoire générale des travaux objet</w:t>
      </w:r>
      <w:r w:rsidRPr="00997893">
        <w:rPr>
          <w:rFonts w:ascii="Times New Roman" w:eastAsia="Times New Roman" w:hAnsi="Times New Roman"/>
          <w:sz w:val="24"/>
          <w:szCs w:val="24"/>
          <w:lang w:eastAsia="fr-FR"/>
        </w:rPr>
        <w:t xml:space="preserve"> du marché.</w:t>
      </w:r>
    </w:p>
    <w:p w14:paraId="7DDFF25C" w14:textId="77777777" w:rsidR="00E15268" w:rsidRPr="00997893"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997893">
        <w:rPr>
          <w:rFonts w:ascii="Times New Roman" w:eastAsia="Times New Roman" w:hAnsi="Times New Roman"/>
          <w:sz w:val="24"/>
          <w:szCs w:val="24"/>
          <w:lang w:eastAsia="fr-FR"/>
        </w:rPr>
        <w:t>L’Entrepreneur devra récupérer tout son matériel, engins et matériaux. Il ne pourra abandonner aucun équipement ni matériaux sur le site, ni dans les environs. Sauf accord initial au dossier de demande d’occupation de site, ou modification d’accord parties des termes de ce dossier, les aires bétonnées devront être démolies et les matériaux de démolition mis en dépôt ou enterrés sur un site adéquat approuvé par le Maître d’œuvre.</w:t>
      </w:r>
    </w:p>
    <w:p w14:paraId="24438952" w14:textId="77777777" w:rsidR="00E15268" w:rsidRPr="003F350A"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4018EA">
        <w:rPr>
          <w:rFonts w:ascii="Times New Roman" w:eastAsia="Times New Roman" w:hAnsi="Times New Roman"/>
          <w:sz w:val="24"/>
          <w:szCs w:val="24"/>
          <w:lang w:eastAsia="fr-FR"/>
        </w:rPr>
        <w:t>S’il est dans l’intérêt du Maître d’Ouvrage en particulier ou d’u</w:t>
      </w:r>
      <w:r w:rsidRPr="003F350A">
        <w:rPr>
          <w:rFonts w:ascii="Times New Roman" w:eastAsia="Times New Roman" w:hAnsi="Times New Roman"/>
          <w:sz w:val="24"/>
          <w:szCs w:val="24"/>
          <w:lang w:eastAsia="fr-FR"/>
        </w:rPr>
        <w:t>ne collectivité de récupérer les installations fixes, pour une utilisation future, le Maître de l’ouvrage pourra demander à l’Entrepreneur de lui céder sans dédommagements les installations sujettes à démolition lors d’un repli.</w:t>
      </w:r>
    </w:p>
    <w:p w14:paraId="3A455E6E" w14:textId="77777777" w:rsidR="00E15268" w:rsidRPr="000E6816"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3F350A">
        <w:rPr>
          <w:rFonts w:ascii="Times New Roman" w:eastAsia="Times New Roman" w:hAnsi="Times New Roman"/>
          <w:sz w:val="24"/>
          <w:szCs w:val="24"/>
          <w:lang w:eastAsia="fr-FR"/>
        </w:rPr>
        <w:t>Après le repli du matériel, la réalisation des travaux de réhabilitation et/ou de réaménagement du site et l’approbation du dossier de libération de site présenté au Maître d’œuvre, un procès-verbal constatant la remise en état conforme du site devra être dressé et joint au P.V. de</w:t>
      </w:r>
      <w:r w:rsidRPr="000E6816">
        <w:rPr>
          <w:rFonts w:ascii="Times New Roman" w:eastAsia="Times New Roman" w:hAnsi="Times New Roman"/>
          <w:sz w:val="24"/>
          <w:szCs w:val="24"/>
          <w:lang w:eastAsia="fr-FR"/>
        </w:rPr>
        <w:t xml:space="preserve"> la réception des travaux, les autres pièces en étant les annexes.</w:t>
      </w:r>
    </w:p>
    <w:p w14:paraId="124469E5" w14:textId="77777777" w:rsidR="00E15268" w:rsidRPr="00B5027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7642">
        <w:rPr>
          <w:rFonts w:ascii="Times New Roman" w:eastAsia="Times New Roman" w:hAnsi="Times New Roman"/>
          <w:sz w:val="24"/>
          <w:szCs w:val="24"/>
          <w:lang w:eastAsia="fr-FR"/>
        </w:rPr>
        <w:t xml:space="preserve">Cette procédure d’abandon s’applique également aux sites temporairement exploités par l’Entrepreneur, comme les emprunts, carrières de roche massive, sites de dépôts </w:t>
      </w:r>
      <w:r w:rsidRPr="00B5027E">
        <w:rPr>
          <w:rFonts w:ascii="Times New Roman" w:eastAsia="Times New Roman" w:hAnsi="Times New Roman"/>
          <w:sz w:val="24"/>
          <w:szCs w:val="24"/>
          <w:lang w:eastAsia="fr-FR"/>
        </w:rPr>
        <w:t>de matériaux, etc.</w:t>
      </w:r>
    </w:p>
    <w:p w14:paraId="28363DF7" w14:textId="77777777" w:rsidR="00E15268" w:rsidRPr="00215867" w:rsidRDefault="00E15268" w:rsidP="00215867">
      <w:pPr>
        <w:suppressAutoHyphens/>
        <w:spacing w:before="120" w:after="120" w:line="276" w:lineRule="auto"/>
        <w:jc w:val="both"/>
        <w:rPr>
          <w:rFonts w:ascii="Times New Roman" w:eastAsia="SimSun" w:hAnsi="Times New Roman"/>
          <w:b/>
          <w:sz w:val="24"/>
          <w:szCs w:val="24"/>
          <w:lang w:eastAsia="fr-FR"/>
        </w:rPr>
      </w:pPr>
      <w:r w:rsidRPr="00215867">
        <w:rPr>
          <w:rFonts w:ascii="Times New Roman" w:eastAsia="SimSun" w:hAnsi="Times New Roman"/>
          <w:b/>
          <w:sz w:val="24"/>
          <w:szCs w:val="24"/>
          <w:lang w:eastAsia="fr-FR"/>
        </w:rPr>
        <w:t>3.4</w:t>
      </w:r>
      <w:r w:rsidRPr="00215867">
        <w:rPr>
          <w:rFonts w:ascii="Times New Roman" w:eastAsia="SimSun" w:hAnsi="Times New Roman"/>
          <w:b/>
          <w:sz w:val="24"/>
          <w:szCs w:val="24"/>
          <w:lang w:eastAsia="fr-FR"/>
        </w:rPr>
        <w:tab/>
        <w:t>Remise en état des sites après exploitation</w:t>
      </w:r>
    </w:p>
    <w:p w14:paraId="43F3EE25" w14:textId="77777777" w:rsidR="00E15268" w:rsidRPr="00535FE0"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535FE0">
        <w:rPr>
          <w:rFonts w:ascii="Times New Roman" w:eastAsia="Times New Roman" w:hAnsi="Times New Roman"/>
          <w:sz w:val="24"/>
          <w:szCs w:val="24"/>
          <w:lang w:eastAsia="fr-FR"/>
        </w:rPr>
        <w:t>L’Entrepreneur est tenu de se conformer à la réglementation congolaise en matière de réhabilitation des zones d’emprunts et de remise en état des lieux (code minier) et aux présentes clauses.</w:t>
      </w:r>
    </w:p>
    <w:p w14:paraId="0003CAE0" w14:textId="77777777" w:rsidR="00E15268" w:rsidRPr="00FA4B4B"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882BB9">
        <w:rPr>
          <w:rFonts w:ascii="Times New Roman" w:eastAsia="Times New Roman" w:hAnsi="Times New Roman"/>
          <w:sz w:val="24"/>
          <w:szCs w:val="24"/>
          <w:lang w:eastAsia="fr-FR"/>
        </w:rPr>
        <w:t>Un plan de remise e</w:t>
      </w:r>
      <w:r w:rsidRPr="00FA4B4B">
        <w:rPr>
          <w:rFonts w:ascii="Times New Roman" w:eastAsia="Times New Roman" w:hAnsi="Times New Roman"/>
          <w:sz w:val="24"/>
          <w:szCs w:val="24"/>
          <w:lang w:eastAsia="fr-FR"/>
        </w:rPr>
        <w:t>n état de chaque site sera préparé par l’Entrepreneur et soumis à l'agrément du Maître d’Œuvre.</w:t>
      </w:r>
    </w:p>
    <w:p w14:paraId="2C8AA727" w14:textId="77777777" w:rsidR="00E15268" w:rsidRPr="004E35F0"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FA4B4B">
        <w:rPr>
          <w:rFonts w:ascii="Times New Roman" w:eastAsia="Times New Roman" w:hAnsi="Times New Roman"/>
          <w:sz w:val="24"/>
          <w:szCs w:val="24"/>
          <w:lang w:eastAsia="fr-FR"/>
        </w:rPr>
        <w:t>La remise en état des lieux devra se faire en accord avec la destination d'usage du site après réhabilitation telle que souhaitée par les exploitants actuels du</w:t>
      </w:r>
      <w:r w:rsidRPr="004E35F0">
        <w:rPr>
          <w:rFonts w:ascii="Times New Roman" w:eastAsia="Times New Roman" w:hAnsi="Times New Roman"/>
          <w:sz w:val="24"/>
          <w:szCs w:val="24"/>
          <w:lang w:eastAsia="fr-FR"/>
        </w:rPr>
        <w:t xml:space="preserve"> terrain en tenant compte de l'usage du site avant son exploitation ainsi que des aptitudes et contraintes du contexte écologique local.</w:t>
      </w:r>
    </w:p>
    <w:p w14:paraId="5E3B4A5A" w14:textId="77777777" w:rsidR="00E15268" w:rsidRPr="00997893"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997893">
        <w:rPr>
          <w:rFonts w:ascii="Times New Roman" w:eastAsia="Times New Roman" w:hAnsi="Times New Roman"/>
          <w:sz w:val="24"/>
          <w:szCs w:val="24"/>
          <w:lang w:eastAsia="fr-FR"/>
        </w:rPr>
        <w:t>Le plan de remise en état spécifiera les obligations de l’Entrepreneur et les contributions éventuelles des populations locales à des aménagements productifs qu'elles auraient sollicités.</w:t>
      </w:r>
    </w:p>
    <w:p w14:paraId="23A0356D" w14:textId="77777777" w:rsidR="00E15268" w:rsidRPr="00997893"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997893">
        <w:rPr>
          <w:rFonts w:ascii="Times New Roman" w:eastAsia="Times New Roman" w:hAnsi="Times New Roman"/>
          <w:sz w:val="24"/>
          <w:szCs w:val="24"/>
          <w:lang w:eastAsia="fr-FR"/>
        </w:rPr>
        <w:t>Dès que l'exploitation d'un emprunt ou gisement est abandonné, la zone est réaménagée conformément aux plans proposés et un état des lieux est dressé en fin de réaménagement, en présence du Maître d’Œuvre.</w:t>
      </w:r>
    </w:p>
    <w:p w14:paraId="542E66C5" w14:textId="77777777" w:rsidR="00E15268" w:rsidRPr="00997893"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997893">
        <w:rPr>
          <w:rFonts w:ascii="Times New Roman" w:eastAsia="Times New Roman" w:hAnsi="Times New Roman"/>
          <w:sz w:val="24"/>
          <w:szCs w:val="24"/>
          <w:lang w:eastAsia="fr-FR"/>
        </w:rPr>
        <w:t>Les travaux minimaux à réaliser par l’Entrepreneur dans le cadre de la remise en état des aires utilisées sont :</w:t>
      </w:r>
    </w:p>
    <w:p w14:paraId="396228EB"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repli de tous les matériels et engins de l’Entrepreneur, ainsi que l'enlèvement de tous les déchets et leur mise en dépôt dans un endroit agréé,</w:t>
      </w:r>
    </w:p>
    <w:p w14:paraId="05C883A2"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nivellement du terrain avec adoucissement des pentes et recoupage des fronts de taille,</w:t>
      </w:r>
    </w:p>
    <w:p w14:paraId="786EA388"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comblement des principales excavations avec matériau de découverte ou autre matériaux de comblement (débris issus de la destruction d’ouvrage),  </w:t>
      </w:r>
    </w:p>
    <w:p w14:paraId="478495C3" w14:textId="77777777" w:rsidR="00E15268" w:rsidRPr="00D75D2E" w:rsidRDefault="00E15268" w:rsidP="008C79F0">
      <w:pPr>
        <w:numPr>
          <w:ilvl w:val="0"/>
          <w:numId w:val="117"/>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restitution en surface et étalement de la terre végétale mise en réserve lors de l’exploitation pour faciliter la reprise de la végétation,</w:t>
      </w:r>
    </w:p>
    <w:p w14:paraId="6B8EB362"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ainsi tenu de procéder à la récupération de tous les matériaux excédentaires (déblais excédentaires, déchets de démolition, etc.), et leur acheminement vers des lieux de stockage appropriés à fixer en concertation avec les autorités et la cellule de coordination (ancienne carrière par exemple).</w:t>
      </w:r>
    </w:p>
    <w:p w14:paraId="5C8498D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L'abandon en bord de route de matériel ou d'épaves d'engins n’est absolument pas autorisé.</w:t>
      </w:r>
    </w:p>
    <w:p w14:paraId="65E80250"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préviendra le Maître d’Œuvre de la remise en état d'une aire et fixera une date afin qu'un état contradictoire des lieux après travaux puisse être dressé.</w:t>
      </w:r>
    </w:p>
    <w:p w14:paraId="10AD963A"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Si lors de l’établissement de l’état des lieux contradictoire final, il est établi que des matériaux ont chuté dans les lits de rivières et risquent de perturber le régime d’écoulement, le curage de ces cours d’eau devient obligatoire et demeure à la charge de l’Entrepreneur.</w:t>
      </w:r>
    </w:p>
    <w:p w14:paraId="6E68D668"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sera seul responsable des travaux et frais complémentaires afin de parachever la remise en état et des actions de dépollution complémentaires.</w:t>
      </w:r>
    </w:p>
    <w:p w14:paraId="46F63B7B"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travaux seront réalisés sur la base de l'accord préalable conclu avec le propriétaire ou l’exploitant du site en tenant compte de l’état des lieux initial et de la valeur initiale productive ou environnementale du site, sa configuration et la nature des matériaux récupérés en vue de sa réhabilitation.</w:t>
      </w:r>
    </w:p>
    <w:p w14:paraId="2250477D" w14:textId="77777777" w:rsidR="00E15268" w:rsidRPr="00D75D2E" w:rsidRDefault="00E15268" w:rsidP="00215867">
      <w:pPr>
        <w:suppressAutoHyphens/>
        <w:spacing w:before="120" w:after="120" w:line="23" w:lineRule="atLeast"/>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5  GESTION DES DECHETS LIQUIDES ET SOLIDES</w:t>
      </w:r>
    </w:p>
    <w:p w14:paraId="514BE983" w14:textId="77777777" w:rsidR="00E15268" w:rsidRPr="00215867" w:rsidRDefault="00E15268" w:rsidP="00215867">
      <w:pPr>
        <w:suppressAutoHyphens/>
        <w:spacing w:before="120" w:after="120" w:line="23" w:lineRule="atLeast"/>
        <w:jc w:val="both"/>
        <w:rPr>
          <w:rFonts w:ascii="Times New Roman" w:eastAsia="SimSun" w:hAnsi="Times New Roman"/>
          <w:b/>
          <w:sz w:val="24"/>
          <w:lang w:eastAsia="fr-FR"/>
        </w:rPr>
      </w:pPr>
      <w:r w:rsidRPr="00215867">
        <w:rPr>
          <w:rFonts w:ascii="Times New Roman" w:eastAsia="SimSun" w:hAnsi="Times New Roman"/>
          <w:b/>
          <w:sz w:val="24"/>
          <w:lang w:eastAsia="fr-FR"/>
        </w:rPr>
        <w:t>4.1</w:t>
      </w:r>
      <w:r w:rsidRPr="00215867">
        <w:rPr>
          <w:rFonts w:ascii="Times New Roman" w:eastAsia="SimSun" w:hAnsi="Times New Roman"/>
          <w:b/>
          <w:sz w:val="24"/>
          <w:lang w:eastAsia="fr-FR"/>
        </w:rPr>
        <w:tab/>
        <w:t>Gestion des déchets solides</w:t>
      </w:r>
    </w:p>
    <w:p w14:paraId="7F26E97E"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déchets solides de chantier doivent être collectés dans des réceptacles régulièrement enlevés et transvasés dans des zones de dépôts adéquats (décharges publiques formalisées).</w:t>
      </w:r>
    </w:p>
    <w:p w14:paraId="12D875BF"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Aucun déchet ne doit être enterré ou brûlé sur place. L’Entrepreneur peut toutefois être autorisé à brûler certains déchets combustibles à condition de respecter toutes les conditions de sécurité et d'éviter le dégagement de fumées toxiques.</w:t>
      </w:r>
    </w:p>
    <w:p w14:paraId="1529D451" w14:textId="77777777" w:rsidR="00E15268"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Seuls les papiers et emballages carton non pollués, ainsi que les feuilles mortes et branchages secs, peuvent être brûlés dans un incinérateur de chantier, dont le tirage sera assuré par une cheminée d’au moins 2 m de hauteur. L’Entrepreneur doit garantir une combustion dans une chambre la plus aérée possible. Les opérations de brûlage devront être effectuées en période de vent favorable (pas d’habitation sous le vent, dispersion rapide des fumées).</w:t>
      </w:r>
    </w:p>
    <w:p w14:paraId="0355A849" w14:textId="77777777" w:rsidR="0075784E" w:rsidRPr="00D75D2E" w:rsidRDefault="0075784E"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p>
    <w:p w14:paraId="7C73E822" w14:textId="77777777" w:rsidR="00E15268" w:rsidRPr="00215867" w:rsidRDefault="00E15268" w:rsidP="00215867">
      <w:pPr>
        <w:suppressAutoHyphens/>
        <w:spacing w:before="120" w:after="120" w:line="23" w:lineRule="atLeast"/>
        <w:jc w:val="both"/>
        <w:rPr>
          <w:rFonts w:ascii="Times New Roman" w:eastAsia="SimSun" w:hAnsi="Times New Roman"/>
          <w:b/>
          <w:sz w:val="24"/>
          <w:lang w:eastAsia="fr-FR"/>
        </w:rPr>
      </w:pPr>
      <w:r w:rsidRPr="00215867">
        <w:rPr>
          <w:rFonts w:ascii="Times New Roman" w:eastAsia="SimSun" w:hAnsi="Times New Roman"/>
          <w:b/>
          <w:sz w:val="24"/>
          <w:lang w:eastAsia="fr-FR"/>
        </w:rPr>
        <w:t>4.2</w:t>
      </w:r>
      <w:r w:rsidRPr="00215867">
        <w:rPr>
          <w:rFonts w:ascii="Times New Roman" w:eastAsia="SimSun" w:hAnsi="Times New Roman"/>
          <w:b/>
          <w:sz w:val="24"/>
          <w:lang w:eastAsia="fr-FR"/>
        </w:rPr>
        <w:tab/>
        <w:t>Gestion des eaux usées</w:t>
      </w:r>
    </w:p>
    <w:p w14:paraId="059D48CE"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eaux usées provenant des cuisines – après dégraissage -, des aires de lavage des engins – après séparation des graisses, hydrocarbures et sables - , des locaux de bureaux, etc. exceptées les eaux des toilettes, sont évacuées dans le réseau public existant de collecte des eaux usées s’il existe. A défaut, elles sont dirigées vers un puits perdu.</w:t>
      </w:r>
    </w:p>
    <w:p w14:paraId="3174D2C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eaux-vannes provenant des toilettes sont dirigées vers une fosse septique dimensionnée pour le nombre de personnels prévus par site. Cette fosse, conçue selon les règles de l’art, comprendra un dessableur, une double chambre et des parois en béton étanche ; elle devra être régulièrement entretenue.</w:t>
      </w:r>
    </w:p>
    <w:p w14:paraId="69C69207"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Elle peut être déplacée d’un chantier de l’Entrepreneur vers un autre, son transport ne pouvant être effectué qu’après vidange dans un puits perdu en fin de service sur site et nettoyage.</w:t>
      </w:r>
    </w:p>
    <w:p w14:paraId="01DCF4CF"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Son implantation est faite de telle manière qu’elle ne génère aucune pollution organique et bactériologique de la nappe phréatique susceptible d’affecter la qualité des eaux des puits ou autres dispositifs de captage d’eau environnants.</w:t>
      </w:r>
    </w:p>
    <w:p w14:paraId="14A849A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Cette fosse sera désinfectée régulièrement avec de la chaux et déversera dans un puits perdu de façon que les eaux ne rejoignent le milieu naturel (nappe ou rivière) qu’après avoir subi un prétraitement minimal. La fosse septique et son puits perdu doivent être assez éloignés des lieux d’exploitation des eaux par la population locale (puits, rivières).</w:t>
      </w:r>
    </w:p>
    <w:p w14:paraId="76A7107A" w14:textId="77777777" w:rsidR="00E15268" w:rsidRPr="00215867" w:rsidRDefault="00E15268" w:rsidP="0075784E">
      <w:pPr>
        <w:tabs>
          <w:tab w:val="left" w:pos="567"/>
        </w:tabs>
        <w:suppressAutoHyphens/>
        <w:spacing w:before="120" w:after="120" w:line="23" w:lineRule="atLeast"/>
        <w:jc w:val="both"/>
        <w:rPr>
          <w:rFonts w:ascii="Times New Roman" w:eastAsia="SimSun" w:hAnsi="Times New Roman"/>
          <w:b/>
          <w:sz w:val="24"/>
          <w:lang w:eastAsia="fr-FR"/>
        </w:rPr>
      </w:pPr>
      <w:r w:rsidRPr="00215867">
        <w:rPr>
          <w:rFonts w:ascii="Times New Roman" w:eastAsia="SimSun" w:hAnsi="Times New Roman"/>
          <w:b/>
          <w:sz w:val="24"/>
          <w:lang w:eastAsia="fr-FR"/>
        </w:rPr>
        <w:t>4.3</w:t>
      </w:r>
      <w:r w:rsidRPr="00215867">
        <w:rPr>
          <w:rFonts w:ascii="Times New Roman" w:eastAsia="SimSun" w:hAnsi="Times New Roman"/>
          <w:b/>
          <w:sz w:val="24"/>
          <w:lang w:eastAsia="fr-FR"/>
        </w:rPr>
        <w:tab/>
        <w:t>Gestion des hydrocarbures et des huiles usées</w:t>
      </w:r>
    </w:p>
    <w:p w14:paraId="0A0CDFB9"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opérations de vidanges de moteurs doivent être exclusivement réalisées au niveau d’installations fixes équipées pour ces besoins (étanchéité du revêtement au sol, collecte des huiles).</w:t>
      </w:r>
    </w:p>
    <w:p w14:paraId="2AEF790E"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d’entretien et de lavage des engins, doivent être bétonnées et prévoir un puisard de récupération des huiles et des graisses. Les eaux usées provenant de ces aires d’entretien doivent être canalisées vers le puisard et vers l’intérieur de la plate-forme afin d’éviter l’écoulement des produits polluants vers les sols non revêtus.</w:t>
      </w:r>
    </w:p>
    <w:p w14:paraId="4003C513"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de stockage des hydrocarbures et les aires de ravitaillement en produits pétroliers doivent être bétonnées. Les citernes hors terre doivent être placées sur une aire bétonnée étanche et cette aire entourée d'un mur étanche constituant un bassin de rétention dont le volume sera égal au plus grand volume entre 100% du volume de la plus grosse citerne ou 50% du volume total d'hydrocarbures stockés. Des produits absorbants doivent être stockés à proximité et tous les équipements et mesures de sécurité mis en place.</w:t>
      </w:r>
    </w:p>
    <w:p w14:paraId="6BAC40EE"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d’avitaillement seront également étanches et pourvues d’un système de drainage étanche équipé d’une fosse. Un dispositif de lutte contre l’incendie ainsi qu’un bac à sable équiperont toutes les aires d’avitaillement. Les citernes d’avitaillement des engins lourds sur les chantiers et leurs équipements périphériques ne devront pas montrer de fuites visibles laissant s’échapper du carburant sur le sol et ce du début à la fin du chantier.</w:t>
      </w:r>
    </w:p>
    <w:p w14:paraId="2789105F"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La totalité des huiles usées et des filtres à huile produits sur le chantier sera récupérée, stockées dans des réservoirs étanches et doit être reprise par leur(s) fournisseur(s) – société(s) de distribution de produits pétroliers – qui les récupère(nt) aux fins de recyclage. </w:t>
      </w:r>
    </w:p>
    <w:p w14:paraId="5045C981"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batteries sont à stocker dans des contenants étanches et à diriger vers un centre de recyclage.</w:t>
      </w:r>
    </w:p>
    <w:p w14:paraId="20502E29"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liquides de batterie (acides) seront préalablement neutralisés en les faisant réagir avec du béton de démolition d’ouvrages.</w:t>
      </w:r>
    </w:p>
    <w:p w14:paraId="396FAF1D" w14:textId="77777777" w:rsidR="00E15268" w:rsidRPr="00D75D2E" w:rsidRDefault="00E15268" w:rsidP="00215867">
      <w:pPr>
        <w:suppressAutoHyphens/>
        <w:spacing w:before="120" w:after="120" w:line="23" w:lineRule="atLeast"/>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6 PROTECTION DE LA FLORE ET DE LA FAUNE</w:t>
      </w:r>
    </w:p>
    <w:p w14:paraId="185CAB92" w14:textId="77777777" w:rsidR="00E15268" w:rsidRPr="00D75D2E" w:rsidRDefault="00E15268" w:rsidP="00215867">
      <w:pPr>
        <w:suppressAutoHyphens/>
        <w:spacing w:before="120" w:after="120" w:line="23" w:lineRule="atLeast"/>
        <w:jc w:val="both"/>
        <w:rPr>
          <w:rFonts w:ascii="Times New Roman" w:eastAsia="SimSun" w:hAnsi="Times New Roman"/>
          <w:b/>
          <w:lang w:eastAsia="fr-FR"/>
        </w:rPr>
      </w:pPr>
      <w:r w:rsidRPr="00215867">
        <w:rPr>
          <w:rFonts w:ascii="Times New Roman" w:eastAsia="SimSun" w:hAnsi="Times New Roman"/>
          <w:b/>
          <w:sz w:val="24"/>
          <w:lang w:eastAsia="fr-FR"/>
        </w:rPr>
        <w:t>5.1</w:t>
      </w:r>
      <w:r w:rsidRPr="00215867">
        <w:rPr>
          <w:rFonts w:ascii="Times New Roman" w:eastAsia="SimSun" w:hAnsi="Times New Roman"/>
          <w:b/>
          <w:sz w:val="24"/>
          <w:lang w:eastAsia="fr-FR"/>
        </w:rPr>
        <w:tab/>
        <w:t>Protection de la faune</w:t>
      </w:r>
    </w:p>
    <w:p w14:paraId="3BF0FADD"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dehors comme à l’intérieur des zones protégées, l'application de la réglementation congolaise sur la chasse et la protection de la faune reste la référence.</w:t>
      </w:r>
    </w:p>
    <w:p w14:paraId="26D4BB97"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devra veiller au respect de l'interdiction de toutes formes abusives de chasse pratiquée par le personnel permanent ou occasionnel qu'il aura contracté.</w:t>
      </w:r>
    </w:p>
    <w:p w14:paraId="4A2D5863"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règle générale, l’Entrepreneur veillera au respect des prescriptions applicables en matière de viande de brousse :</w:t>
      </w:r>
    </w:p>
    <w:p w14:paraId="48A4A136" w14:textId="77777777" w:rsidR="00E15268" w:rsidRPr="00D75D2E" w:rsidRDefault="00E15268" w:rsidP="00535FE0">
      <w:pPr>
        <w:numPr>
          <w:ilvl w:val="0"/>
          <w:numId w:val="121"/>
        </w:numPr>
        <w:tabs>
          <w:tab w:val="clear" w:pos="360"/>
          <w:tab w:val="num" w:pos="567"/>
        </w:tabs>
        <w:suppressAutoHyphens/>
        <w:overflowPunct w:val="0"/>
        <w:autoSpaceDE w:val="0"/>
        <w:autoSpaceDN w:val="0"/>
        <w:adjustRightInd w:val="0"/>
        <w:spacing w:after="0" w:line="240" w:lineRule="auto"/>
        <w:ind w:left="567" w:hanging="425"/>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interdiction de toute consommation de viande de brousse par le personnel sur les bases et les chantiers ;</w:t>
      </w:r>
    </w:p>
    <w:p w14:paraId="6EC966E3" w14:textId="77777777" w:rsidR="00E15268" w:rsidRPr="00D75D2E" w:rsidRDefault="00E15268" w:rsidP="00535FE0">
      <w:pPr>
        <w:numPr>
          <w:ilvl w:val="0"/>
          <w:numId w:val="121"/>
        </w:numPr>
        <w:tabs>
          <w:tab w:val="clear" w:pos="360"/>
          <w:tab w:val="num" w:pos="567"/>
        </w:tabs>
        <w:suppressAutoHyphens/>
        <w:overflowPunct w:val="0"/>
        <w:autoSpaceDE w:val="0"/>
        <w:autoSpaceDN w:val="0"/>
        <w:adjustRightInd w:val="0"/>
        <w:spacing w:after="0" w:line="240" w:lineRule="auto"/>
        <w:ind w:left="567" w:hanging="425"/>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interdiction de tout transport de viande de brousse dans les véhicules de l’Entrepreneur ;</w:t>
      </w:r>
    </w:p>
    <w:p w14:paraId="3F7CFD3D" w14:textId="77777777" w:rsidR="00E15268" w:rsidRPr="00D75D2E" w:rsidRDefault="00E15268" w:rsidP="00535FE0">
      <w:pPr>
        <w:numPr>
          <w:ilvl w:val="0"/>
          <w:numId w:val="121"/>
        </w:numPr>
        <w:tabs>
          <w:tab w:val="clear" w:pos="360"/>
          <w:tab w:val="num" w:pos="567"/>
        </w:tabs>
        <w:suppressAutoHyphens/>
        <w:overflowPunct w:val="0"/>
        <w:autoSpaceDE w:val="0"/>
        <w:autoSpaceDN w:val="0"/>
        <w:adjustRightInd w:val="0"/>
        <w:spacing w:after="0" w:line="240" w:lineRule="auto"/>
        <w:ind w:left="567" w:hanging="425"/>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Organisation d’un contrôle des véhicules, des bases vie et des chantiers pour s’assurer que ces interdictions seront respectées ;</w:t>
      </w:r>
    </w:p>
    <w:p w14:paraId="390BE0DB" w14:textId="77777777" w:rsidR="00E15268" w:rsidRPr="00D75D2E" w:rsidRDefault="00E15268" w:rsidP="00535FE0">
      <w:pPr>
        <w:numPr>
          <w:ilvl w:val="0"/>
          <w:numId w:val="121"/>
        </w:numPr>
        <w:tabs>
          <w:tab w:val="clear" w:pos="360"/>
          <w:tab w:val="num" w:pos="567"/>
        </w:tabs>
        <w:suppressAutoHyphens/>
        <w:overflowPunct w:val="0"/>
        <w:autoSpaceDE w:val="0"/>
        <w:autoSpaceDN w:val="0"/>
        <w:adjustRightInd w:val="0"/>
        <w:spacing w:after="0" w:line="240" w:lineRule="auto"/>
        <w:ind w:left="567" w:hanging="425"/>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Sensibilisation du personnel de l’Entrepreneur à ces interdictions et à leur justification.</w:t>
      </w:r>
    </w:p>
    <w:p w14:paraId="166F0DFA" w14:textId="77777777" w:rsidR="00E15268" w:rsidRPr="00215867" w:rsidRDefault="00E15268" w:rsidP="00215867">
      <w:pPr>
        <w:suppressAutoHyphens/>
        <w:spacing w:before="120" w:after="120" w:line="23" w:lineRule="atLeast"/>
        <w:jc w:val="both"/>
        <w:rPr>
          <w:rFonts w:ascii="Times New Roman" w:eastAsia="SimSun" w:hAnsi="Times New Roman"/>
          <w:b/>
          <w:sz w:val="24"/>
          <w:lang w:eastAsia="fr-FR"/>
        </w:rPr>
      </w:pPr>
      <w:r w:rsidRPr="00215867">
        <w:rPr>
          <w:rFonts w:ascii="Times New Roman" w:eastAsia="SimSun" w:hAnsi="Times New Roman"/>
          <w:b/>
          <w:sz w:val="24"/>
          <w:lang w:eastAsia="fr-FR"/>
        </w:rPr>
        <w:t>5.2</w:t>
      </w:r>
      <w:r w:rsidRPr="00215867">
        <w:rPr>
          <w:rFonts w:ascii="Times New Roman" w:eastAsia="SimSun" w:hAnsi="Times New Roman"/>
          <w:b/>
          <w:sz w:val="24"/>
          <w:lang w:eastAsia="fr-FR"/>
        </w:rPr>
        <w:tab/>
        <w:t>Protection de la flore</w:t>
      </w:r>
    </w:p>
    <w:p w14:paraId="3C49216B"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A l’arrivée sur site de travaux, tout engin, matériel ou véhicule de l’Entrepreneur susceptible de pouvoir contribuer à la propagation d’espèces végétales envahissantes (notamment en cas de transport transfrontalier d’engins entre bases-pays de l’Entrepreneur) devra être lavé. </w:t>
      </w:r>
    </w:p>
    <w:p w14:paraId="5C93DE5C"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prélèvements de végétation à des fins de services et de combustibles seront exécutés en conformité avec la législation forestière en vigueur en RDC et dans le respect des droits coutumiers de la zone d’intervention.</w:t>
      </w:r>
    </w:p>
    <w:p w14:paraId="67EF1EBD"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Toute utilisation de produits herbicides et insecticides, tel que dans les bases-vie, sera soumis à l’agrément préalable du Maître d’œuvre  et de la Cellule de Coordination;</w:t>
      </w:r>
    </w:p>
    <w:p w14:paraId="5B7B2681"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prélèvements de plantes locales à des fins de végétalisation ne pourront être effectués dans la bande de 50 m de part et d’autre de l’emprise de la route et de ses dépendances et il en est de même de l’emprunt de terres végétales hors de la zone d’emprise.</w:t>
      </w:r>
    </w:p>
    <w:p w14:paraId="1E8107A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coupe éventuelle de matériaux ligneux sera exécutée en conformité avec la législation forestière locale.</w:t>
      </w:r>
    </w:p>
    <w:p w14:paraId="76203E3C" w14:textId="77777777" w:rsidR="00E15268" w:rsidRPr="00D75D2E" w:rsidRDefault="00E15268" w:rsidP="00215867">
      <w:pPr>
        <w:suppressAutoHyphens/>
        <w:spacing w:before="120" w:after="120" w:line="23" w:lineRule="atLeast"/>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7 PROTECTION DES RESSOURCES EN EAU ET EN SOL</w:t>
      </w:r>
    </w:p>
    <w:p w14:paraId="0589DDAE" w14:textId="77777777" w:rsidR="00E15268" w:rsidRPr="00215867" w:rsidRDefault="00E15268" w:rsidP="00215867">
      <w:pPr>
        <w:suppressAutoHyphens/>
        <w:spacing w:before="120" w:after="120" w:line="23" w:lineRule="atLeast"/>
        <w:jc w:val="both"/>
        <w:rPr>
          <w:rFonts w:ascii="Times New Roman" w:eastAsia="SimSun" w:hAnsi="Times New Roman"/>
          <w:b/>
          <w:sz w:val="24"/>
          <w:lang w:eastAsia="fr-FR"/>
        </w:rPr>
      </w:pPr>
      <w:r w:rsidRPr="00215867">
        <w:rPr>
          <w:rFonts w:ascii="Times New Roman" w:eastAsia="SimSun" w:hAnsi="Times New Roman"/>
          <w:b/>
          <w:sz w:val="24"/>
          <w:lang w:eastAsia="fr-FR"/>
        </w:rPr>
        <w:t>6.1</w:t>
      </w:r>
      <w:r w:rsidRPr="00215867">
        <w:rPr>
          <w:rFonts w:ascii="Times New Roman" w:eastAsia="SimSun" w:hAnsi="Times New Roman"/>
          <w:b/>
          <w:sz w:val="24"/>
          <w:lang w:eastAsia="fr-FR"/>
        </w:rPr>
        <w:tab/>
        <w:t>Protection contre la pollution</w:t>
      </w:r>
    </w:p>
    <w:p w14:paraId="3BA46028"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Tout déversement ou rejet d’eaux usées, de boue, coulis, hydrocarbures, polluants de toute nature dans les puits, forages, nappes, cours d’eau, fossés ou à même le sol est strictement interdit.</w:t>
      </w:r>
    </w:p>
    <w:p w14:paraId="2C09B35A"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installations doivent être dotées de bassin de décantation recevant les eaux de lavage des équipements. Dans la mesure du possible, ces eaux seront utilisées en circuit fermé pour minimiser les quantités d’eau exploitées et limiter au maximum les pollutions afférentes.</w:t>
      </w:r>
    </w:p>
    <w:p w14:paraId="0B324EDA"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 nettoyage des véhicules en dehors de ces aires aménagées ou des stations-service (et surtout à proximité des rivières) est strictement interdit. </w:t>
      </w:r>
    </w:p>
    <w:p w14:paraId="2407BBCB"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ne pourra importer, acquérir, stocker, utiliser, évacuer ou détruire sans autorisation écrite du Maître de l’Ouvrage un produit contenant un ou plusieurs des éléments figurant sur les listes de produits dangereux de la Convention de Stockholm (Liste des 12 composés strictement prohibés au plan international).</w:t>
      </w:r>
    </w:p>
    <w:p w14:paraId="64B9AF88"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également tenu de :</w:t>
      </w:r>
    </w:p>
    <w:p w14:paraId="428FE639" w14:textId="77777777" w:rsidR="00E15268" w:rsidRPr="00D75D2E" w:rsidRDefault="00E15268" w:rsidP="00535FE0">
      <w:pPr>
        <w:numPr>
          <w:ilvl w:val="0"/>
          <w:numId w:val="118"/>
        </w:numPr>
        <w:suppressAutoHyphens/>
        <w:overflowPunct w:val="0"/>
        <w:autoSpaceDE w:val="0"/>
        <w:autoSpaceDN w:val="0"/>
        <w:adjustRightInd w:val="0"/>
        <w:spacing w:after="0" w:line="240" w:lineRule="auto"/>
        <w:ind w:left="567"/>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Prendre toutes les mesures préventives et curatives ainsi que les précautions raisonnables pour empêcher les fuites et les déversements accidentels de produits susceptibles de polluer les ressources en eau ou le sol. </w:t>
      </w:r>
    </w:p>
    <w:p w14:paraId="257FEF2D" w14:textId="77777777" w:rsidR="00E15268" w:rsidRPr="00D75D2E" w:rsidRDefault="00E15268" w:rsidP="00535FE0">
      <w:pPr>
        <w:numPr>
          <w:ilvl w:val="0"/>
          <w:numId w:val="118"/>
        </w:numPr>
        <w:suppressAutoHyphens/>
        <w:overflowPunct w:val="0"/>
        <w:autoSpaceDE w:val="0"/>
        <w:autoSpaceDN w:val="0"/>
        <w:adjustRightInd w:val="0"/>
        <w:spacing w:after="0" w:line="240" w:lineRule="auto"/>
        <w:ind w:left="567"/>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Prendre toutes les précautions possibles lors du ravitaillement des véhicules de transport et la machinerie. </w:t>
      </w:r>
    </w:p>
    <w:p w14:paraId="38075C5A" w14:textId="77777777" w:rsidR="00E15268" w:rsidRPr="00D75D2E" w:rsidRDefault="00E15268" w:rsidP="00535FE0">
      <w:pPr>
        <w:numPr>
          <w:ilvl w:val="0"/>
          <w:numId w:val="118"/>
        </w:numPr>
        <w:suppressAutoHyphens/>
        <w:overflowPunct w:val="0"/>
        <w:autoSpaceDE w:val="0"/>
        <w:autoSpaceDN w:val="0"/>
        <w:adjustRightInd w:val="0"/>
        <w:spacing w:after="0" w:line="240" w:lineRule="auto"/>
        <w:ind w:left="567"/>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Ne pas ravitailler les véhicules ou la machinerie à proximité des canaux de circulation des eaux de drainage et des rivières. </w:t>
      </w:r>
    </w:p>
    <w:p w14:paraId="0D6EBBB8" w14:textId="77777777" w:rsidR="00E15268" w:rsidRPr="00D75D2E" w:rsidRDefault="00E15268" w:rsidP="00535FE0">
      <w:pPr>
        <w:numPr>
          <w:ilvl w:val="0"/>
          <w:numId w:val="118"/>
        </w:numPr>
        <w:suppressAutoHyphens/>
        <w:overflowPunct w:val="0"/>
        <w:autoSpaceDE w:val="0"/>
        <w:autoSpaceDN w:val="0"/>
        <w:adjustRightInd w:val="0"/>
        <w:spacing w:after="0" w:line="240" w:lineRule="auto"/>
        <w:ind w:left="567"/>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Prévoir des mesures en cas de contamination accidentelles (matières absorbantes, décapage de la couche de sol atteinte par les hydrocarbures et mise en décharge). Garder sur place une provision de matières absorbantes ainsi que des récipients étanches bien identifiés, destinés à recevoir des résidus pétroliers et les déchets en cas de déversements accidentels.</w:t>
      </w:r>
    </w:p>
    <w:p w14:paraId="6C243F3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matériaux mis en œuvre par l’Entrepreneur pour le comblement éventuel de puits traditionnels doivent impérativement être sains et non pollués et la procédure de comblement doit être agrée par le Maître d’œuvre. </w:t>
      </w:r>
    </w:p>
    <w:p w14:paraId="381C8DFA" w14:textId="453525A8"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SimSun" w:hAnsi="Times New Roman"/>
          <w:b/>
          <w:lang w:eastAsia="fr-FR"/>
        </w:rPr>
      </w:pPr>
      <w:r w:rsidRPr="00D75D2E">
        <w:rPr>
          <w:rFonts w:ascii="Times New Roman" w:eastAsia="Times New Roman" w:hAnsi="Times New Roman"/>
          <w:sz w:val="24"/>
          <w:szCs w:val="24"/>
          <w:lang w:eastAsia="fr-FR"/>
        </w:rPr>
        <w:t>L’Entrepreneur devra évaluer la nature et le caractère polluant ou non des matériaux qu’il évacue ; en cas de doute sur le degré de pollution d’un matériau, celui-ci doit être mis en œuvre ou en dépôt de telle manière à éviter toute atteinte en retour à l’environnement.</w:t>
      </w:r>
    </w:p>
    <w:p w14:paraId="3A7F70B5" w14:textId="77777777" w:rsidR="00E15268" w:rsidRPr="00D75D2E" w:rsidRDefault="00E15268" w:rsidP="00215867">
      <w:pPr>
        <w:suppressAutoHyphens/>
        <w:spacing w:before="120" w:after="120" w:line="23" w:lineRule="atLeast"/>
        <w:jc w:val="both"/>
        <w:rPr>
          <w:rFonts w:ascii="Times New Roman" w:eastAsia="SimSun" w:hAnsi="Times New Roman"/>
          <w:b/>
          <w:lang w:eastAsia="fr-FR"/>
        </w:rPr>
      </w:pPr>
      <w:r w:rsidRPr="00D75D2E">
        <w:rPr>
          <w:rFonts w:ascii="Times New Roman" w:eastAsia="SimSun" w:hAnsi="Times New Roman"/>
          <w:b/>
          <w:lang w:eastAsia="fr-FR"/>
        </w:rPr>
        <w:t>6.2</w:t>
      </w:r>
      <w:r w:rsidRPr="00D75D2E">
        <w:rPr>
          <w:rFonts w:ascii="Times New Roman" w:eastAsia="SimSun" w:hAnsi="Times New Roman"/>
          <w:b/>
          <w:lang w:eastAsia="fr-FR"/>
        </w:rPr>
        <w:tab/>
      </w:r>
      <w:r w:rsidRPr="00215867">
        <w:rPr>
          <w:rFonts w:ascii="Times New Roman" w:eastAsia="SimSun" w:hAnsi="Times New Roman"/>
          <w:b/>
          <w:sz w:val="24"/>
          <w:lang w:eastAsia="fr-FR"/>
        </w:rPr>
        <w:t>Protection des besoins en eau des populations</w:t>
      </w:r>
    </w:p>
    <w:p w14:paraId="7D18A9F9"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La protection des besoins des populations en eaux potables se fait en assurant les besoins en eau du chantier tout en respectant les besoins des populations, du bétail et de la faune tels qu'ils étaient satisfaits auparavant, qu'il s'agisse des eaux de surface ou des eaux souterraines. </w:t>
      </w:r>
    </w:p>
    <w:p w14:paraId="363DA061"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La recherche et l'exploitation des points d'eau étant à la charge de l’Entrepreneur, celui-ci veillera à ne pas compromettre l'alimentation en eau des populations locales. A ce titre, l’Entrepreneur devra soumettre à l'approbation du  Maître d’œuvre ses plans pour le développement et l'exploitation éventuelle des forages d'eau (avec le calcul détaillé des quantités maximales qui seront pompées par période de 24 heures). </w:t>
      </w:r>
    </w:p>
    <w:p w14:paraId="753E8ADE"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p>
    <w:p w14:paraId="7B625A7C"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Si, de l'avis du Maître d’œuvre, le pompage sur un site approuvé entraîne une diminution importante du débit des puits et des sources du voisinage, l’Entrepreneur devra alimenter en eau de quantité et de qualité au moins équivalentes les populations concernées. </w:t>
      </w:r>
    </w:p>
    <w:p w14:paraId="0736405C"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devra informer les chefs des villages concernés, 30 jours avant de dériver provisoirement, en tout ou en partie, l'eau d'une quelconque rivière pour ses travaux. </w:t>
      </w:r>
    </w:p>
    <w:p w14:paraId="474FBFE5" w14:textId="77777777" w:rsidR="00E15268" w:rsidRPr="00D75D2E"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fin de chantier, les puits, forages et mares créés pour les besoins des travaux seront remis aux populations usufruitières coutumières. Toutefois, cette remise n’inclut pas nécessairement celle des dispositifs d’exhaure tels que les pompes.</w:t>
      </w:r>
    </w:p>
    <w:p w14:paraId="5981900D" w14:textId="77777777" w:rsidR="00E15268" w:rsidRDefault="00E15268"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p>
    <w:p w14:paraId="0825A0D6" w14:textId="77777777" w:rsidR="0075784E" w:rsidRPr="00D75D2E" w:rsidRDefault="0075784E" w:rsidP="00215867">
      <w:pPr>
        <w:suppressAutoHyphens/>
        <w:overflowPunct w:val="0"/>
        <w:autoSpaceDE w:val="0"/>
        <w:autoSpaceDN w:val="0"/>
        <w:adjustRightInd w:val="0"/>
        <w:spacing w:before="120" w:after="120" w:line="23" w:lineRule="atLeast"/>
        <w:jc w:val="both"/>
        <w:textAlignment w:val="baseline"/>
        <w:rPr>
          <w:rFonts w:ascii="Times New Roman" w:eastAsia="Times New Roman" w:hAnsi="Times New Roman"/>
          <w:sz w:val="24"/>
          <w:szCs w:val="24"/>
          <w:lang w:eastAsia="fr-FR"/>
        </w:rPr>
      </w:pPr>
    </w:p>
    <w:p w14:paraId="03CE2435" w14:textId="77777777" w:rsidR="00E15268" w:rsidRPr="00D75D2E" w:rsidRDefault="00E15268" w:rsidP="00215867">
      <w:pPr>
        <w:suppressAutoHyphens/>
        <w:spacing w:before="120" w:after="120" w:line="23" w:lineRule="atLeast"/>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8 LIMITATION DES ATTEINTES AUX PERCEPTIONS HUMAINES</w:t>
      </w:r>
    </w:p>
    <w:p w14:paraId="0B353232" w14:textId="77777777" w:rsidR="00E15268" w:rsidRPr="00D75D2E" w:rsidRDefault="00E15268" w:rsidP="00215867">
      <w:pPr>
        <w:suppressAutoHyphens/>
        <w:spacing w:before="120" w:after="120" w:line="240" w:lineRule="auto"/>
        <w:jc w:val="both"/>
        <w:rPr>
          <w:rFonts w:ascii="Times New Roman" w:eastAsia="SimSun" w:hAnsi="Times New Roman"/>
          <w:b/>
          <w:lang w:eastAsia="fr-FR"/>
        </w:rPr>
      </w:pPr>
      <w:r w:rsidRPr="00D75D2E">
        <w:rPr>
          <w:rFonts w:ascii="Times New Roman" w:eastAsia="SimSun" w:hAnsi="Times New Roman"/>
          <w:b/>
          <w:lang w:eastAsia="fr-FR"/>
        </w:rPr>
        <w:t>7.1</w:t>
      </w:r>
      <w:r w:rsidRPr="00D75D2E">
        <w:rPr>
          <w:rFonts w:ascii="Times New Roman" w:eastAsia="SimSun" w:hAnsi="Times New Roman"/>
          <w:b/>
          <w:lang w:eastAsia="fr-FR"/>
        </w:rPr>
        <w:tab/>
      </w:r>
      <w:r w:rsidRPr="00215867">
        <w:rPr>
          <w:rFonts w:ascii="Times New Roman" w:eastAsia="SimSun" w:hAnsi="Times New Roman"/>
          <w:b/>
          <w:sz w:val="24"/>
          <w:lang w:eastAsia="fr-FR"/>
        </w:rPr>
        <w:t>Protection contre le bruit</w:t>
      </w:r>
    </w:p>
    <w:p w14:paraId="5238AB32"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L’attention de l’Entrepreneur est spécialement attirée sur l’obligation de limiter les bruits de chantier susceptibles d’importuner gravement les riverains, soit par une durée exagérément longue, soit par leur prolongation en dehors des heures normales de travail, soit par toutes ces causes simultanément.</w:t>
      </w:r>
    </w:p>
    <w:p w14:paraId="72F013FE"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maintien des chantiers en activité pendant la nuit à proximité des habitations sera subordonné à l'autorisation du Maître d’œuvre, spécialement pour les travaux en zones proches de villages.</w:t>
      </w:r>
    </w:p>
    <w:p w14:paraId="3BC2875C" w14:textId="77777777" w:rsidR="00E15268" w:rsidRPr="00D75D2E" w:rsidRDefault="00E15268" w:rsidP="00215867">
      <w:pPr>
        <w:suppressAutoHyphens/>
        <w:spacing w:before="120" w:after="120" w:line="240" w:lineRule="auto"/>
        <w:jc w:val="both"/>
        <w:rPr>
          <w:rFonts w:ascii="Times New Roman" w:eastAsia="SimSun" w:hAnsi="Times New Roman"/>
          <w:b/>
          <w:lang w:eastAsia="fr-FR"/>
        </w:rPr>
      </w:pPr>
      <w:r w:rsidRPr="00D75D2E">
        <w:rPr>
          <w:rFonts w:ascii="Times New Roman" w:eastAsia="SimSun" w:hAnsi="Times New Roman"/>
          <w:b/>
          <w:lang w:eastAsia="fr-FR"/>
        </w:rPr>
        <w:t>7.2</w:t>
      </w:r>
      <w:r w:rsidRPr="00D75D2E">
        <w:rPr>
          <w:rFonts w:ascii="Times New Roman" w:eastAsia="SimSun" w:hAnsi="Times New Roman"/>
          <w:b/>
          <w:lang w:eastAsia="fr-FR"/>
        </w:rPr>
        <w:tab/>
      </w:r>
      <w:r w:rsidRPr="00215867">
        <w:rPr>
          <w:rFonts w:ascii="Times New Roman" w:eastAsia="SimSun" w:hAnsi="Times New Roman"/>
          <w:b/>
          <w:sz w:val="24"/>
          <w:lang w:eastAsia="fr-FR"/>
        </w:rPr>
        <w:t>Protection contre les émissions atmosphériques</w:t>
      </w:r>
    </w:p>
    <w:p w14:paraId="2920E03D"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équipements du chantier doivent être entretenus et maintenus en bon état de fonctionnement, en vue d’éviter toute émission exagérée de polluants atmosphériques. Toute émission anormale de gaz d’échappement constatée sera notifiée à l’Entrepreneur, qui sera alors tenu de réparer ou de remplacer dans les meilleurs délais l’équipement source de nuisance.</w:t>
      </w:r>
    </w:p>
    <w:p w14:paraId="64CE849A" w14:textId="77777777" w:rsidR="00E15268" w:rsidRPr="00D75D2E" w:rsidRDefault="00E15268" w:rsidP="00215867">
      <w:pPr>
        <w:suppressAutoHyphens/>
        <w:spacing w:before="120" w:after="120" w:line="240" w:lineRule="auto"/>
        <w:jc w:val="both"/>
        <w:rPr>
          <w:rFonts w:ascii="Times New Roman" w:eastAsia="SimSun" w:hAnsi="Times New Roman"/>
          <w:b/>
          <w:lang w:eastAsia="fr-FR"/>
        </w:rPr>
      </w:pPr>
      <w:r w:rsidRPr="00D75D2E">
        <w:rPr>
          <w:rFonts w:ascii="Times New Roman" w:eastAsia="SimSun" w:hAnsi="Times New Roman"/>
          <w:b/>
          <w:lang w:eastAsia="fr-FR"/>
        </w:rPr>
        <w:t>7.3</w:t>
      </w:r>
      <w:r w:rsidRPr="00D75D2E">
        <w:rPr>
          <w:rFonts w:ascii="Times New Roman" w:eastAsia="SimSun" w:hAnsi="Times New Roman"/>
          <w:b/>
          <w:lang w:eastAsia="fr-FR"/>
        </w:rPr>
        <w:tab/>
      </w:r>
      <w:r w:rsidRPr="00215867">
        <w:rPr>
          <w:rFonts w:ascii="Times New Roman" w:eastAsia="SimSun" w:hAnsi="Times New Roman"/>
          <w:b/>
          <w:sz w:val="24"/>
          <w:lang w:eastAsia="fr-FR"/>
        </w:rPr>
        <w:t>Protection contre les poussières</w:t>
      </w:r>
    </w:p>
    <w:p w14:paraId="6A387D10" w14:textId="77777777" w:rsidR="00E15268" w:rsidRPr="00D75D2E" w:rsidRDefault="00E15268" w:rsidP="00215867">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dispositions spéciales seront prises pour éviter la propagation des poussières dans les zones d’habitation. En période sèche, un arrosage efficace des pistes empruntées par les véhicules du chantier sera prévu sans qu’il puisse en résulter d’inconvénient pour le voisinage (boues, stagnation d’eau).</w:t>
      </w:r>
    </w:p>
    <w:p w14:paraId="2351D58A" w14:textId="77777777" w:rsidR="00E15268" w:rsidRPr="00D75D2E" w:rsidRDefault="00E15268" w:rsidP="00215867">
      <w:pPr>
        <w:suppressAutoHyphens/>
        <w:spacing w:before="120" w:after="120" w:line="276"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9  SANTE, HYGIENE ET SECURITE SUR LE CHANTIER</w:t>
      </w:r>
    </w:p>
    <w:p w14:paraId="7F1C9EF2"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sera soumis aux régimes particuliers d’hygiène et de sécurité définis par la réglementation congolaise en vigueur et les directives de la Banque mondiale en la matière. Il organisera un service médical courant et d’urgence à la base-vie (dispensaire), adapté à l’effectif de son personnel.</w:t>
      </w:r>
    </w:p>
    <w:p w14:paraId="1DCDDFD2"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aires de bureaux et de logement doivent être pourvues d’installations sanitaires (latrines, lavabos et douches), dont la taille est fonction du nombre des employés. Les aires éventuelles de cuisines et de réfectoires devront être pourvues d’un dallage en béton lissé, être désinfectées et nettoyées quotidiennement.</w:t>
      </w:r>
    </w:p>
    <w:p w14:paraId="503D6B96"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imposera, pour les postes exposés, le port d'équipement de sécurité et de confort tel que casque de protection, casque antibruit, gants, chaussures de sécurité, vêtements fluorescents, etc. Les engins et véhicules devront également être équipés des dispositifs de sécurité adéquats. </w:t>
      </w:r>
    </w:p>
    <w:p w14:paraId="647C4015"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équipes de chantier comportent au minimum un personnel secouriste qualifié permanent. L’Entrepreneur assure le transport des employés ou personnes extérieures à ses effectifs, et accidentés de son fait, vers le centre de santé adapté le plus proche. Il assure également le transport de ses employés malades dans les mêmes conditions. Il effectue l’avance des frais de santé pour permettre la prise en charge immédiate des personnes par les structures sanitaires.</w:t>
      </w:r>
    </w:p>
    <w:p w14:paraId="317CA5EC"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devra disposer dans son équipe d’un coordonnateur sécurité qui veillera à assurer une sécurité maximum sur le chantier et dans la base-vie, tant pour les travailleurs que pour la population et autres personnes en contact avec le chantier.</w:t>
      </w:r>
    </w:p>
    <w:p w14:paraId="1C04492B"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Afin de limiter la progression des maladies sexuellement transmissibles tel que le Sida, l’Entrepreneur est tenu de prendre toutes dispositions utiles pour limiter les risques pour ses employés et la population riveraine. Il est tenu de se conformer aux dispositions prévues dans les programmes nationaux et les programmes spécifiques du BEGES applicable au </w:t>
      </w:r>
      <w:r w:rsidR="0015345E">
        <w:rPr>
          <w:rFonts w:ascii="Times New Roman" w:eastAsia="Times New Roman" w:hAnsi="Times New Roman"/>
          <w:sz w:val="24"/>
          <w:szCs w:val="24"/>
          <w:lang w:eastAsia="fr-FR"/>
        </w:rPr>
        <w:t>Projet</w:t>
      </w:r>
      <w:r w:rsidRPr="00D75D2E">
        <w:rPr>
          <w:rFonts w:ascii="Times New Roman" w:eastAsia="Times New Roman" w:hAnsi="Times New Roman"/>
          <w:sz w:val="24"/>
          <w:szCs w:val="24"/>
          <w:lang w:eastAsia="fr-FR"/>
        </w:rPr>
        <w:t>.  L’Entrepreneur mettra en œuvre toutes les mesures et procédures prévues en la matière en étroite collaboration avec le BEGES.</w:t>
      </w:r>
    </w:p>
    <w:p w14:paraId="6A6EBF9D"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 façon spécifique, l’entrepreneur prendra des mesures de sécurité comprenant, cette liste n’étant pas exhaustive, les volets ci-après.</w:t>
      </w:r>
    </w:p>
    <w:p w14:paraId="332633D7"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Clôtures temporaires</w:t>
      </w:r>
    </w:p>
    <w:p w14:paraId="13C418B6"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construire, entretenir puis démanteler les clôtures temporaires adaptées et approuvées autour des lopins de terre (notamment ceux abritant les bureaux et cours du Maitre d’œuvre/Entrepreneur, les travaux de construction en cours près des bâtiments, les voies publiques ou les voies piétonnières et tout autre lieu où les opérations de l’Entrepreneur sont susceptibles de constituer une menace pour la vie ou les biens publics) occupés par l’Entrepreneur sur le site, qui sont jugées nécessaires pour honorer ses obligations au titre du Contrat, à la satisfaction du Maître d’œuvre. Lorsqu’une clôture temporaire doit être construite le long d’une voie publique ou d’une voie piétonnière, elle doit être du type requis et construit selon les normes acceptables pour l’autorité compétente.</w:t>
      </w:r>
    </w:p>
    <w:p w14:paraId="1B9B56E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i/>
          <w:sz w:val="24"/>
          <w:szCs w:val="24"/>
          <w:u w:val="single"/>
          <w:lang w:eastAsia="fr-FR"/>
        </w:rPr>
      </w:pPr>
      <w:r w:rsidRPr="00D75D2E">
        <w:rPr>
          <w:rFonts w:ascii="Times New Roman" w:eastAsia="Times New Roman" w:hAnsi="Times New Roman"/>
          <w:i/>
          <w:sz w:val="24"/>
          <w:szCs w:val="24"/>
          <w:u w:val="single"/>
          <w:lang w:eastAsia="fr-FR"/>
        </w:rPr>
        <w:t>Eclairage</w:t>
      </w:r>
    </w:p>
    <w:p w14:paraId="788FCB16"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fournir suffisamment d’éclairage afin de veiller à ce que, dans tous les endroits où les travaux sont en cours :</w:t>
      </w:r>
    </w:p>
    <w:p w14:paraId="3F6F0A98"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existe des conditions de travail sûres pour le personnel de l’Entrepreneur, le personnel des autres entrepreneurs employé par le Client et/ou le personnel du Maitre d’œuvre ;</w:t>
      </w:r>
    </w:p>
    <w:p w14:paraId="21F64FF3"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travaux puissent être exécutés en parfaite conformité avec les termes du Contrat ; et</w:t>
      </w:r>
    </w:p>
    <w:p w14:paraId="0165D1E2"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Maitre d’œuvre puisse procéder à une inspection complète de tous les travaux en cours.</w:t>
      </w:r>
    </w:p>
    <w:p w14:paraId="150325C6"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Tous les équipements mobiles utilisés pendant les opérations nocturnes doivent être équipés de lumières et de réflecteurs suffisants pour assurer des conditions de travail sûres.</w:t>
      </w:r>
    </w:p>
    <w:p w14:paraId="3135CE03"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Au minimum, 14 jours avant le démarrage des opérations nocturnes, l’Entrepreneur doit soumettre au Maitre d’œuvre ses propositions relatives à l’éclairage des zones où il entend travailler la nuit. Il doit modifier les propositions, à la demande du Maitre d’œuvre, et ne doit commencer les opérations nocturnes qu’une fois que ses propositions concernant l’éclairage, sous leur forme amendée, le cas échéant, ont été approuvées par le Maitre d’œuvre.</w:t>
      </w:r>
    </w:p>
    <w:p w14:paraId="77796C6E"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Ni la présentation par l’Entrepreneur de ses propositions relatives à l’éclairage au Maître d’œuvre ni l’approbation de ces propositions par le Maître d’œuvre n’exonèrent l’Entrepreneur de ses responsabilités et obligations au titre du Contrat.</w:t>
      </w:r>
    </w:p>
    <w:p w14:paraId="5BE13966"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Activités à proximité des équipements électriques</w:t>
      </w:r>
    </w:p>
    <w:p w14:paraId="1818676B"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Pour des raisons de sûreté et de sécurité, l’Entrepreneur doit avoir achevé la construction de toutes les clôtures de sécurité nécessaires autour des appareils électriques et mécaniques, avant que lesdits appareils ne soient branchés à une quelconque source d’alimentation en électricité.</w:t>
      </w:r>
    </w:p>
    <w:p w14:paraId="050A4071"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Consignes de sécurité</w:t>
      </w:r>
    </w:p>
    <w:p w14:paraId="212BE77E"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donner à ses employés et à ceux de ses sous-traitants, ainsi qu’au personnel du Maitre d’œuvre, à ses propres frais, des instructions de sécurité imprimées en Français ou dans toutes autres langues utilisées par ses employés sur le chantier.</w:t>
      </w:r>
    </w:p>
    <w:p w14:paraId="77543F0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Rapports sur les incidents</w:t>
      </w:r>
    </w:p>
    <w:p w14:paraId="59833E9F"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rendre compte au Maitre d’œuvre, dans les meilleurs délais, de tous accidents ou incidents entraînant la mort, de graves blessures causées à des membres du personnel ou aux autres travailleurs, des découvertes archéologiques fortuites, des dégâts aux biens publics ou privés, ou le déversement de matériaux ou liquides dangereux. En outre, il doit soumettre des rapports mensuels sur tous les accidents dont sont victimes les membres du personnel et autres travailleurs, qui se traduisent par une perte de temps, selon la formule exigée par le Maître d’œuvre.</w:t>
      </w:r>
    </w:p>
    <w:p w14:paraId="5863A7B4" w14:textId="77777777"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Panneaux</w:t>
      </w:r>
    </w:p>
    <w:p w14:paraId="5B475D72" w14:textId="22F2667D" w:rsidR="00E15268" w:rsidRPr="00D75D2E" w:rsidRDefault="00E15268" w:rsidP="00215867">
      <w:pPr>
        <w:suppressAutoHyphens/>
        <w:overflowPunct w:val="0"/>
        <w:autoSpaceDE w:val="0"/>
        <w:autoSpaceDN w:val="0"/>
        <w:adjustRightInd w:val="0"/>
        <w:spacing w:before="120" w:after="120" w:line="276"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incombe à l’Entrepreneur de fournir toutes les signalisations nécessaires pour les travaux. Celles-ci doivent comprendre, cette liste n’étant pas exhaustive :</w:t>
      </w:r>
    </w:p>
    <w:p w14:paraId="5BD8D805"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signalisation routière classique ;</w:t>
      </w:r>
    </w:p>
    <w:p w14:paraId="28E43074"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signaux d’avertissement/danger ;</w:t>
      </w:r>
    </w:p>
    <w:p w14:paraId="5523968D"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signaux de contrôle ;</w:t>
      </w:r>
    </w:p>
    <w:p w14:paraId="515372D8"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signaux de sécurité ; et</w:t>
      </w:r>
    </w:p>
    <w:p w14:paraId="09699739"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signaux d’orientation.</w:t>
      </w:r>
    </w:p>
    <w:p w14:paraId="19D5181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 libellé sur toutes les signalisations doit être en français. La taille, la couleur et les inscriptions sur tous les panneaux, ainsi que l’emplacement de ceux-ci seront soumis à l’approbation du Maitre d’œuvre.</w:t>
      </w:r>
    </w:p>
    <w:p w14:paraId="54431795"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doit assurer l’entretien de toute la signalisation mise en place par lui-même. </w:t>
      </w:r>
    </w:p>
    <w:p w14:paraId="0A0FFB1B" w14:textId="77777777" w:rsidR="00E15268"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Si le Maître d’œuvre estime que le système de signalisation mis en place par l’Entrepreneur est insuffisant pour assurer la sécurité ou n’est pas satisfaisant sous d’autres rapports, l’Entrepreneur doit compléter, amender ou changer le système, à la satisfaction du Maître d’œuvre.</w:t>
      </w:r>
    </w:p>
    <w:p w14:paraId="3718C5F0" w14:textId="77777777" w:rsidR="0075784E" w:rsidRDefault="0075784E"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p>
    <w:p w14:paraId="4C6E50CB" w14:textId="77777777" w:rsidR="0075784E" w:rsidRDefault="0075784E"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p>
    <w:p w14:paraId="632EA607" w14:textId="77777777" w:rsidR="00E15268" w:rsidRPr="00D75D2E" w:rsidRDefault="00E15268" w:rsidP="0075784E">
      <w:pPr>
        <w:suppressAutoHyphens/>
        <w:overflowPunct w:val="0"/>
        <w:autoSpaceDE w:val="0"/>
        <w:autoSpaceDN w:val="0"/>
        <w:adjustRightInd w:val="0"/>
        <w:spacing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Vêtements et équipements de protection</w:t>
      </w:r>
    </w:p>
    <w:p w14:paraId="2C406555"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fournir aux travailleurs des vêtements et équipements de protection qui soient appropriés pour l’exécution de leurs activités. Ceux-ci comprennent, cette liste n’étant pas exhaustive :</w:t>
      </w:r>
    </w:p>
    <w:p w14:paraId="60B63399"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bottes Wellington ;</w:t>
      </w:r>
    </w:p>
    <w:p w14:paraId="48E64CD9"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bottes de chantier, les bottes à embout d'acier ou des bottes similaires ;</w:t>
      </w:r>
    </w:p>
    <w:p w14:paraId="461EF99F"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gants de travail ;</w:t>
      </w:r>
    </w:p>
    <w:p w14:paraId="2D5B2BF8"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casques de protection ;</w:t>
      </w:r>
    </w:p>
    <w:p w14:paraId="1DB28F74"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lunettes de protection ;</w:t>
      </w:r>
    </w:p>
    <w:p w14:paraId="66361E1E"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protège-oreilles ; et</w:t>
      </w:r>
    </w:p>
    <w:p w14:paraId="452E61F4"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masques pour éviter l’inhalation de la poussière.</w:t>
      </w:r>
    </w:p>
    <w:p w14:paraId="40BEC0E1"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Services de lutte contre l’incendie</w:t>
      </w:r>
    </w:p>
    <w:p w14:paraId="4FBEF96D"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incombe à l’Entrepreneur de prendre toutes les mesures de prévention de l’incendie, de protection contre l’incendie et de lutte contre l’incendie sur le chantier, pendant la durée du Contrat.</w:t>
      </w:r>
    </w:p>
    <w:p w14:paraId="2C9D612B"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 cet égard, il doit se conformer aux recommandations des autorités locales compétentes (le cas échéant).</w:t>
      </w:r>
    </w:p>
    <w:p w14:paraId="2CA589A9"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fournir, entretenir régulièrement et exploiter tous les équipements de lutte contre l’incendie, notamment, cette liste n’étant pas exhaustive, les pompes à eau, le cordage, les prises d’eau, les tuyaux et les extincteurs à base de produits chimiques, appropriés pour assurer la protection de tous les bâtiments et les ouvrages en construction.</w:t>
      </w:r>
    </w:p>
    <w:p w14:paraId="1BFC6DC7"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Tous les services et équipements fournis au titre de la présente section doivent faire l’objet de l’approbation préalable du Maître d’œuvre. Au cas où ce dernier estimerait, à un moment donné, que ces services ou équipements sont inadéquats pour satisfaire les besoins du projet et le notifierait à l’Entrepreneur par écrit, celui-ci doit prendre immédiatement les mesures nécessaires pour combler les lacunes, tel qu’exigé par le Maitre d’œuvre. Toutes ces mesures sont à la charge de l’Entrepreneur.</w:t>
      </w:r>
    </w:p>
    <w:p w14:paraId="712DA6EF"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veiller à ce qu’un nombre suffisant d’employés maîtrisent la manipulation des équipements de lutte contre l’incendie et puissent prendre le contrôle des opérations, en cas de situation d’urgence. L’Entrepreneur aura pour obligation de réaliser des démonstrations périodiques de l’utilisation de ces équipements ou des simulations de sinistre à l’attention de tout le personnel de l’Entreprise.</w:t>
      </w:r>
    </w:p>
    <w:p w14:paraId="25773E64"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Concernant les mesures de santé, l’entrepreneur prendra des dispositions comprenant, cette liste n’étant pas exhaustive, les volets suivant :</w:t>
      </w:r>
    </w:p>
    <w:p w14:paraId="4AAD370D"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Services de premiers secours et services médicaux</w:t>
      </w:r>
    </w:p>
    <w:p w14:paraId="30E3D44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entièrement responsable de la fourniture à son personnel et à ses ouvriers des services de premiers secours nécessaires, y compris le transfert des membres du personnel blessés à l’hôpital ou dans d’autres lieux appropriés, le cas échéant.</w:t>
      </w:r>
    </w:p>
    <w:p w14:paraId="2CB02E6E"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fournir, gérer et conserver des stocks de médicaments et d’équipements médicaux dont la couverture, la quantité et les normes sont jugées satisfaisantes, par un médecin, pour les premiers secours. En outre, il doit veiller à ce que un ou plusieurs employés sur le site de travail soit/soient initié(s) à la fourniture des services de premiers secours et assurer l’évacuation médicale, le cas échéant.</w:t>
      </w:r>
    </w:p>
    <w:p w14:paraId="45717A8C"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obtenir et suivre les conseils d’un médecin sur des questions telles que l’alimentation en eau, l’assainissement, l’élimination des déchets et des eaux usées, ainsi que l’installation de grillages-moustiquaires, les mesures préventives contre la schistosomiase et le paludisme et concernant la santé et l’hygiène professionnelles. Il est nécessaire qu’une partie des employés de l’Entrepreneur, en principe un homme par groupe, soit initiée aux rudiments des premiers secours.</w:t>
      </w:r>
    </w:p>
    <w:p w14:paraId="4F36F12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Alimentation en eau</w:t>
      </w:r>
    </w:p>
    <w:p w14:paraId="40D9978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prendre ses propres dispositions afin d’installer un système d’alimentation en eau potable pour les infrastructures de construction, notamment les bureaux et le laboratoire de chantier, ainsi que pour les installations du Maître d’œuvre prévues au titre du Contrat. L’alimentation en eau se fera à partir des sources approuvées par le Maître d’œuvre.</w:t>
      </w:r>
    </w:p>
    <w:p w14:paraId="1A8B5F99"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qualité de l’eau potable doit être conforme aux normes de l’Organisation mondiale de la santé. Le pH doit se situer entre 7,5 et 8,5.</w:t>
      </w:r>
    </w:p>
    <w:p w14:paraId="62E971E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soumettre au Maître d’œuvre ses plans relatifs au système d’alimentation en eau et de distribution, notamment le filtrage, la chloration et les autres traitements proposés, aux fins d’approbation, dans un délai maximum de 28 jours avant le démarrage de la construction des installations. La qualité, le nombre, la capacité et l’emplacement des points d’eau doivent être satisfaisants pour le Maître d’œuvre.</w:t>
      </w:r>
    </w:p>
    <w:p w14:paraId="30C3BC81"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outre, l’Entrepreneur doit assurer la disponibilité de quantités suffisantes d’eau propre pour le traitement des agrégats, le béton, le nettoyage et ses autres usages pour les travaux.</w:t>
      </w:r>
    </w:p>
    <w:p w14:paraId="602377EE"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ce qui concerne les bureaux de chantier du Maitre d’œuvre et les laboratoires, l’Entrepreneur doit prendre les mesures provisoires nécessaires jusqu’à ce que les dispositions permanentes prévues au titre du Contrat entrent en vigueur, étant entendu que toutes ces mesures doivent être approuvées par le Maître d’œuvre.</w:t>
      </w:r>
    </w:p>
    <w:p w14:paraId="23657A40"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Installations d’assainissement</w:t>
      </w:r>
    </w:p>
    <w:p w14:paraId="7EEAC6FF"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doit fournir, construire, exploiter des toilettes provisoires dans suffisamment d’endroits sur le chantier et en assurer l’entretien. Les installations doivent comprendre des latrines, des cabinets d’aisance, d’urinoirs et des lavabos, des fosses septiques, des tranchées d’absorption ou toutes autres installations d’élimination d’eaux usées approuvées.</w:t>
      </w:r>
    </w:p>
    <w:p w14:paraId="48807E2F"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toilettes temporaires doivent répondre aux normes fixées par les autorités sanitaires locales. Il convient d’éviter que les eaux usées éliminées n’entrent en contact direct avec la nappe phréatique ou les eaux de surface à un moment quelconque de l’année. Tant le lieu d’implantation que la construction de ces installations doivent être approuvés par le Maître d’œuvre.</w:t>
      </w:r>
    </w:p>
    <w:p w14:paraId="31500300"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eaux usées issues des installations temporaires doivent être éliminées de manière hygiénique, tel qu’approuvé par le Maître d’œuvre.</w:t>
      </w:r>
    </w:p>
    <w:p w14:paraId="5BBE74CE" w14:textId="77777777" w:rsidR="00E15268"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Toutes les personnes concernées par l’exécution des travaux sont tenues d’utiliser ces commodités. Tout employé qui se rend coupable de violation de ces normes sera passible de renvoi immédiat et d’une impossibilité d’occuper d’autres emplois au titre de l’exécution des travaux, voire d’une interdiction d’accès au site.</w:t>
      </w:r>
    </w:p>
    <w:p w14:paraId="56A26F51" w14:textId="77777777" w:rsidR="0075784E" w:rsidRDefault="0075784E"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p>
    <w:p w14:paraId="30955FDA" w14:textId="77777777" w:rsidR="0075784E" w:rsidRPr="00D75D2E" w:rsidRDefault="0075784E"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p>
    <w:p w14:paraId="2A0C6D6C"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i/>
          <w:sz w:val="24"/>
          <w:szCs w:val="24"/>
          <w:u w:val="single"/>
          <w:lang w:eastAsia="fr-FR"/>
        </w:rPr>
      </w:pPr>
      <w:r w:rsidRPr="00D75D2E">
        <w:rPr>
          <w:rFonts w:ascii="Times New Roman" w:eastAsia="Times New Roman" w:hAnsi="Times New Roman"/>
          <w:i/>
          <w:sz w:val="24"/>
          <w:szCs w:val="24"/>
          <w:u w:val="single"/>
          <w:lang w:eastAsia="fr-FR"/>
        </w:rPr>
        <w:t>Elimination des déchets</w:t>
      </w:r>
    </w:p>
    <w:p w14:paraId="4621309A"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responsable de la collecte des déchets produits dans les aires de travail, y compris les bureaux du Maitre d’œuvre et les laboratoires, et de leur élimination. Les ordures doivent être collectées au moins deux fois par semaine, aux moments approuvés par le Maitre d’œuvre, et ce service doit se poursuivre jusqu’à la fin de la Période de garantie pour l’ensemble des travaux.</w:t>
      </w:r>
    </w:p>
    <w:p w14:paraId="2CC51B1E"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ordures seront séparées entre biodégradables et non biodégradables. Les premiers seront, dans la mesure du possible, valorisés  par compostage, en impliquant au besoin des personnes ou groupes locaux intéressés ou volontaires. Les ordures non biodégradables  doivent être éliminés dans un incinérateur construit selon les normes, à l’exception des déchets non combustibles et des matériaux de construction usagés, ou enfouies dans des sites approuvés par le Maitre d’œuvre et les autorités locales compétentes en matière d’environnement. </w:t>
      </w:r>
    </w:p>
    <w:p w14:paraId="20AE07E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En outre, l’Entrepreneur doit nécessairement enterrer tout déchet non combustible ou matériaux de construction usagés. Dans tous les cas, il convient d’éviter que les ordures enterrées n’entrent en contact direct avec la nappe phréatique ou les eaux de surface à un moment quelconque de l’année. </w:t>
      </w:r>
    </w:p>
    <w:p w14:paraId="5977F60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déchets dangereux et les produits pétroliers doivent être éliminés selon les Directives de la Banque Mondiales et les lois et règlements de la RDC et ne doivent pas être mélangés aux eaux usées ou aux déchets éliminés.</w:t>
      </w:r>
    </w:p>
    <w:p w14:paraId="621E6D6C"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b/>
          <w:i/>
          <w:sz w:val="24"/>
          <w:szCs w:val="24"/>
          <w:u w:val="single"/>
          <w:lang w:eastAsia="fr-FR"/>
        </w:rPr>
      </w:pPr>
      <w:r w:rsidRPr="00D75D2E">
        <w:rPr>
          <w:rFonts w:ascii="Times New Roman" w:eastAsia="Times New Roman" w:hAnsi="Times New Roman"/>
          <w:i/>
          <w:sz w:val="24"/>
          <w:szCs w:val="24"/>
          <w:u w:val="single"/>
          <w:lang w:eastAsia="fr-FR"/>
        </w:rPr>
        <w:t>Logements des travailleurs</w:t>
      </w:r>
    </w:p>
    <w:p w14:paraId="1B7EB457"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Des toilettes et autres installations sanitaires doivent être construites à la satisfaction du Maitre d’œuvre et du Responsable local de la santé publique. L’Entrepreneur prendra les dispositions appropriées pour l’élimination des déchets et des ordures ménagères. Il veillera, par ailleurs, à assurer une alimentation suffisante en eau pour la lessive, la cuisine et la consommation humaine. Les dortoirs doivent être convenablement ventilés et éclairés.</w:t>
      </w:r>
    </w:p>
    <w:p w14:paraId="522011D8"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10 ORGANISATION DE LA CIRCULATION ROUTIERE</w:t>
      </w:r>
    </w:p>
    <w:p w14:paraId="094545B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Les déviations provisoires devront permettre une circulation sans danger à la vitesse de 35 km/h. Le drainage sera assuré par les fossés et ouvrages nécessaires. La signalisation adaptée à chaque déviation sera conforme aux dispositions explicitées dans les textes en vigueur sur la signalisation temporaire et restera aux frais et risques de l’Entrepreneur. </w:t>
      </w:r>
    </w:p>
    <w:p w14:paraId="41904A4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proposera au Maître d’œuvre les itinéraires et la fréquence de ses véhicules de transport des matériaux. Dans l'objectif de réduire les nuisances à l'égard des populations locales, les itinéraires définitifs seront optimisés avec les autorités locales et la cellule de coordination. </w:t>
      </w:r>
    </w:p>
    <w:p w14:paraId="577E8CF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L'Entrepreneur devra imposer à l'ensemble de ses chauffeurs et à ses éventuels sous-traitants une limitation de vitesse à 40 km/h dans les villes, villages et hameaux traversés par ses véhicules. Cette limitation sera également imposée aux croisements avec des pistes de transhumance. </w:t>
      </w:r>
    </w:p>
    <w:p w14:paraId="74EE7CEB"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Pour la protection des piétons, l’Entrepreneur est tenu de :</w:t>
      </w:r>
    </w:p>
    <w:p w14:paraId="7C3B346F" w14:textId="77777777" w:rsidR="00E15268" w:rsidRPr="00D75D2E" w:rsidRDefault="00E15268" w:rsidP="008C79F0">
      <w:pPr>
        <w:numPr>
          <w:ilvl w:val="0"/>
          <w:numId w:val="120"/>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assurer la sécurité des piétons sur tous ses sites de travaux et d’installations, par voie de panneautage, pose de protections et garde-corps, etc.,</w:t>
      </w:r>
    </w:p>
    <w:p w14:paraId="06578A47" w14:textId="77777777" w:rsidR="00E15268" w:rsidRPr="00D75D2E" w:rsidRDefault="00E15268" w:rsidP="008C79F0">
      <w:pPr>
        <w:numPr>
          <w:ilvl w:val="0"/>
          <w:numId w:val="120"/>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interdire l’accès des zones dangereuses,</w:t>
      </w:r>
    </w:p>
    <w:p w14:paraId="67607452" w14:textId="77777777" w:rsidR="00E15268" w:rsidRPr="00D75D2E" w:rsidRDefault="00E15268" w:rsidP="008C79F0">
      <w:pPr>
        <w:numPr>
          <w:ilvl w:val="0"/>
          <w:numId w:val="120"/>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former son personnel, notamment les conducteurs, au respect des piétons,</w:t>
      </w:r>
    </w:p>
    <w:p w14:paraId="7A5B6645" w14:textId="77777777" w:rsidR="00E15268" w:rsidRPr="00D75D2E" w:rsidRDefault="00E15268" w:rsidP="008C79F0">
      <w:pPr>
        <w:numPr>
          <w:ilvl w:val="0"/>
          <w:numId w:val="120"/>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construire des escaliers d'accessibilité définitifs aux lieux définis par le Maître d’œuvre.</w:t>
      </w:r>
    </w:p>
    <w:p w14:paraId="0FFFD4A5"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en outre tenu d’adapter ses programmations de tâches aux horaires d’utilisation et contraintes des équipements les plus sensibles, infrastructures sanitaires et éducatives, dispositifs d’approvisionnement en eau des populations (bornes fontaines notamment), etc.</w:t>
      </w:r>
    </w:p>
    <w:p w14:paraId="208A0FF4"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11 DECOUVERTE DE VESTIGES OU DE PARTICULARITE DU SOL ET DU SOUS-SOL</w:t>
      </w:r>
    </w:p>
    <w:p w14:paraId="765CAD82" w14:textId="77777777" w:rsidR="00E15268" w:rsidRPr="00D75D2E" w:rsidRDefault="00E15268" w:rsidP="0075784E">
      <w:pPr>
        <w:spacing w:before="120" w:after="120" w:line="240" w:lineRule="auto"/>
        <w:jc w:val="both"/>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d’arrêter les travaux, de baliser le périmètre et d’informer immédiatement les services compétents de l’Etat et le Maître d’Ouvrage en cas de découverte de particularités du sol et du sous-sol ou de vestiges de toute nature (historiques, archéologiques) lors des travaux qu’il exécute. Par ailleurs, il doit prendre les dispositions pour empêcher ses ouvriers ou toute autre personne d’enlever ou d’endommager ces objets ou ces choses.</w:t>
      </w:r>
    </w:p>
    <w:p w14:paraId="335E6C17"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Un arrêt provisoire des travaux pourra être programmé sur le site le temps que des fouilles de sauvegarde puissent être exécutées. Une modification de programmation des travaux sera alors engagée sans indemnité financière pour l’Entrepreneur tant que la date de livraison des travaux perturbés, les modes opératoires ou la composition des équipes et/ou matériels sur site restent inchangés.</w:t>
      </w:r>
    </w:p>
    <w:p w14:paraId="48658B6B"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xml:space="preserve">En cas de besoin, l’Entrepreneur prêtera son concours à des opérations de sauvetage archéologique. </w:t>
      </w:r>
    </w:p>
    <w:p w14:paraId="7AA25246"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Il sera rémunéré, à cet effet, par application des prix unitaires pour les travaux en régie.</w:t>
      </w:r>
    </w:p>
    <w:p w14:paraId="39976D4C"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12  MESURES PARTICULIERES AU DEGAGEMENT DES EMPRISES</w:t>
      </w:r>
    </w:p>
    <w:p w14:paraId="60890045"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mise en œuvre du PAR par le BEGES suivant les procédures validées par l’IDA conditionne l’exécution de tous les travaux préparatoires.</w:t>
      </w:r>
    </w:p>
    <w:p w14:paraId="55EDDEAA" w14:textId="77777777" w:rsidR="00E15268" w:rsidRPr="00D75D2E" w:rsidRDefault="00E15268" w:rsidP="0075784E">
      <w:pPr>
        <w:suppressAutoHyphens/>
        <w:spacing w:before="120" w:after="120" w:line="240" w:lineRule="auto"/>
        <w:jc w:val="both"/>
        <w:rPr>
          <w:rFonts w:ascii="Times New Roman" w:eastAsia="SimSun" w:hAnsi="Times New Roman"/>
          <w:b/>
          <w:lang w:eastAsia="fr-FR"/>
        </w:rPr>
      </w:pPr>
      <w:r w:rsidRPr="00D75D2E">
        <w:rPr>
          <w:rFonts w:ascii="Times New Roman" w:eastAsia="SimSun" w:hAnsi="Times New Roman"/>
          <w:b/>
          <w:lang w:eastAsia="fr-FR"/>
        </w:rPr>
        <w:t>11.1</w:t>
      </w:r>
      <w:r w:rsidRPr="00D75D2E">
        <w:rPr>
          <w:rFonts w:ascii="Times New Roman" w:eastAsia="SimSun" w:hAnsi="Times New Roman"/>
          <w:b/>
          <w:lang w:eastAsia="fr-FR"/>
        </w:rPr>
        <w:tab/>
        <w:t>Démolition d’habitations</w:t>
      </w:r>
    </w:p>
    <w:p w14:paraId="60363DCE"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Avant toute démolition d'habitation ou autre propriété immobilière, l'Entrepreneur devra s'assurer que le propriétaire ait été informé et que les indemnisations ont effectivement été fixées et payées par le BEGES dans le cadre de la mise en œuvre du PAR. Dans le cas contraire, il devra informer le Maître d’œuvre du problème et ne pourra en aucun cas procéder aux démolitions sans qu'un accord n'ait été négocié et avalisé par le Maître d’œuvre.</w:t>
      </w:r>
    </w:p>
    <w:p w14:paraId="1BEDF7EE"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Aucun bâtiment d'habitation ou autres (commerces formels et informels, etc.) ne pourra être détruit sans l'accord préalable du Maître d’œuvre. En cas de démolition ou de dégradation de bâtiment de son fait, l'Entrepreneur devra en dédommager équitablement et rapidement le propriétaire.</w:t>
      </w:r>
    </w:p>
    <w:p w14:paraId="13FB503C" w14:textId="77777777" w:rsidR="00E15268" w:rsidRPr="00D75D2E" w:rsidRDefault="00E15268" w:rsidP="0075784E">
      <w:pPr>
        <w:suppressAutoHyphens/>
        <w:spacing w:before="120" w:after="120" w:line="240" w:lineRule="auto"/>
        <w:jc w:val="both"/>
        <w:rPr>
          <w:rFonts w:ascii="Times New Roman" w:eastAsia="SimSun" w:hAnsi="Times New Roman"/>
          <w:b/>
          <w:lang w:eastAsia="fr-FR"/>
        </w:rPr>
      </w:pPr>
      <w:r w:rsidRPr="00D75D2E">
        <w:rPr>
          <w:rFonts w:ascii="Times New Roman" w:eastAsia="SimSun" w:hAnsi="Times New Roman"/>
          <w:b/>
          <w:lang w:eastAsia="fr-FR"/>
        </w:rPr>
        <w:t>11.2</w:t>
      </w:r>
      <w:r w:rsidRPr="00D75D2E">
        <w:rPr>
          <w:rFonts w:ascii="Times New Roman" w:eastAsia="SimSun" w:hAnsi="Times New Roman"/>
          <w:b/>
          <w:lang w:eastAsia="fr-FR"/>
        </w:rPr>
        <w:tab/>
        <w:t>Démolition d'ouvrage</w:t>
      </w:r>
    </w:p>
    <w:p w14:paraId="18100488"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est tenu de :</w:t>
      </w:r>
    </w:p>
    <w:p w14:paraId="398A8D61"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évacuer tous les déchets et gravats aux endroits agréés par le Maître d’œuvre,</w:t>
      </w:r>
    </w:p>
    <w:p w14:paraId="135E9004" w14:textId="77777777" w:rsidR="00E15268" w:rsidRPr="00D75D2E" w:rsidRDefault="00E15268" w:rsidP="008C79F0">
      <w:pPr>
        <w:numPr>
          <w:ilvl w:val="0"/>
          <w:numId w:val="119"/>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régaler les matériaux de manière à ne pas entraver l’écoulement normal des eaux et les recouvrir par une couche de terre, sauf usage agréé de ces matériaux.</w:t>
      </w:r>
    </w:p>
    <w:p w14:paraId="2DC7B1C3" w14:textId="77777777" w:rsidR="00E15268" w:rsidRPr="00D75D2E" w:rsidRDefault="00E15268" w:rsidP="00E15268">
      <w:pPr>
        <w:suppressAutoHyphens/>
        <w:overflowPunct w:val="0"/>
        <w:autoSpaceDE w:val="0"/>
        <w:autoSpaceDN w:val="0"/>
        <w:adjustRightInd w:val="0"/>
        <w:spacing w:after="0" w:line="240" w:lineRule="auto"/>
        <w:ind w:left="720"/>
        <w:jc w:val="both"/>
        <w:textAlignment w:val="baseline"/>
        <w:rPr>
          <w:rFonts w:ascii="Times New Roman" w:eastAsia="Times New Roman" w:hAnsi="Times New Roman"/>
          <w:sz w:val="24"/>
          <w:szCs w:val="24"/>
          <w:lang w:eastAsia="fr-FR"/>
        </w:rPr>
      </w:pPr>
    </w:p>
    <w:p w14:paraId="60FB442E"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Lorsque des travaux sont exécutés dans l’eau courante, l’Entrepreneur doit prendre les mesures nécessaires pour ne pas perturber ni polluer le milieu aquatique.</w:t>
      </w:r>
    </w:p>
    <w:p w14:paraId="22737759"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cas de chute de quantités non négligeables de matériaux dans une rivière, l’entrepreneur est tenu de curer le cours d’eau dans les meilleurs délais fixés en commun accord avec le Maître d’œuvre.</w:t>
      </w:r>
    </w:p>
    <w:p w14:paraId="67D90F95" w14:textId="77777777" w:rsidR="00E15268" w:rsidRPr="00D75D2E" w:rsidRDefault="00E15268" w:rsidP="0075784E">
      <w:pPr>
        <w:suppressAutoHyphens/>
        <w:spacing w:before="120" w:after="120" w:line="20" w:lineRule="atLeast"/>
        <w:jc w:val="both"/>
        <w:rPr>
          <w:rFonts w:ascii="Times New Roman" w:eastAsia="SimSun" w:hAnsi="Times New Roman"/>
          <w:b/>
          <w:lang w:eastAsia="fr-FR"/>
        </w:rPr>
      </w:pPr>
      <w:r w:rsidRPr="00D75D2E">
        <w:rPr>
          <w:rFonts w:ascii="Times New Roman" w:eastAsia="SimSun" w:hAnsi="Times New Roman"/>
          <w:b/>
          <w:lang w:eastAsia="fr-FR"/>
        </w:rPr>
        <w:t>11.3</w:t>
      </w:r>
      <w:r w:rsidRPr="00D75D2E">
        <w:rPr>
          <w:rFonts w:ascii="Times New Roman" w:eastAsia="SimSun" w:hAnsi="Times New Roman"/>
          <w:b/>
          <w:lang w:eastAsia="fr-FR"/>
        </w:rPr>
        <w:tab/>
        <w:t>Débroussaillement</w:t>
      </w:r>
    </w:p>
    <w:p w14:paraId="2C01666E"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L'Entrepreneur ne pourra débroussailler que les zones définies dans l’avant-projet et approuvées par le Maître d’œuvre. Lors du débroussaillement, il sera tenu, quinze jours avant d'entamer les travaux, d'informer les autorités de la date du début des travaux et de la possibilité pour la population de récupérer les bois et matériaux enlevés n'appartenant pas à des particuliers. De plus, il devra vérifier que le BEGES a déjà procédé à la mise en œuvre du PAR sur les sections routières concernées par les travaux et que les emprises des travaux sont effectivement libérées par les anciens propriétaires. .</w:t>
      </w:r>
    </w:p>
    <w:p w14:paraId="7A9CD1E6"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Après récupération éventuelle par la population riveraine des matériaux réutilisables, l'Entrepreneur devra enlever les débris végétaux et les évacuer en un lieu de dépôt agréé par le Maître d’œuvre , soit afin d'être compostés, soit brûlés sur une aire spécialement aménagée à cet effet, permettant d'éviter tout risque de feu de brousse.</w:t>
      </w:r>
    </w:p>
    <w:p w14:paraId="7E8B3A28"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Tous les déchets végétaux seront soigneusement enlevés des abords de la route, fossés ou ouvrages et évacués vers des zones désignées par le Maître d’œuvre où ils pourront être mis à la disposition des populations. Leur brûlage est interdit, afin de permettre un retour au sol par dégradation naturelle. Les produits d’abattage, notamment les branchages, seront exploités par l’Entrepreneur aux fins de stabilisation des cordons de découverte, de gestion antiérosive des écoulements et de réhabilitation des sols soumis à travaux.</w:t>
      </w:r>
    </w:p>
    <w:p w14:paraId="3E431A06"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Aucun produit végétal ne pourra être poussé dans un cours d’eau.</w:t>
      </w:r>
    </w:p>
    <w:p w14:paraId="4E39A6CC" w14:textId="77777777" w:rsidR="00E15268" w:rsidRPr="00D75D2E" w:rsidRDefault="00E15268" w:rsidP="0075784E">
      <w:pPr>
        <w:suppressAutoHyphens/>
        <w:spacing w:before="120" w:after="120" w:line="20" w:lineRule="atLeast"/>
        <w:jc w:val="both"/>
        <w:rPr>
          <w:rFonts w:ascii="Times New Roman" w:eastAsia="SimSun" w:hAnsi="Times New Roman"/>
          <w:b/>
          <w:lang w:eastAsia="fr-FR"/>
        </w:rPr>
      </w:pPr>
      <w:r w:rsidRPr="00D75D2E">
        <w:rPr>
          <w:rFonts w:ascii="Times New Roman" w:eastAsia="SimSun" w:hAnsi="Times New Roman"/>
          <w:b/>
          <w:lang w:eastAsia="fr-FR"/>
        </w:rPr>
        <w:t>11.4</w:t>
      </w:r>
      <w:r w:rsidRPr="00D75D2E">
        <w:rPr>
          <w:rFonts w:ascii="Times New Roman" w:eastAsia="SimSun" w:hAnsi="Times New Roman"/>
          <w:b/>
          <w:lang w:eastAsia="fr-FR"/>
        </w:rPr>
        <w:tab/>
        <w:t>Décapages</w:t>
      </w:r>
    </w:p>
    <w:p w14:paraId="3F853E24"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emprunts seront déboisés, débroussaillés et essouchés. La terre végétale sera décapée ainsi que les couches de surface inutilisables. Ces matériaux seront mis en dépôts séparés et de telle manière qu'ils ne subissent pas une érosion rapide mais puissent être facilement réutilisés.</w:t>
      </w:r>
    </w:p>
    <w:p w14:paraId="75ADC2D1"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Les emprunts seront aménagés de façon à assurer l’écoulement normal des eaux hors du site, sans entraîner d’érosion.</w:t>
      </w:r>
    </w:p>
    <w:p w14:paraId="2617C0AA"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terre végétale décapée devra être stockée en un lieu de dépôt agréé afin d’être réutilisée ultérieurement lors des opérations de remise en état ou de végétalisation.</w:t>
      </w:r>
    </w:p>
    <w:p w14:paraId="5B41E527" w14:textId="77777777" w:rsidR="00E15268" w:rsidRPr="00D75D2E" w:rsidRDefault="00E15268" w:rsidP="0075784E">
      <w:pPr>
        <w:suppressAutoHyphens/>
        <w:spacing w:before="120" w:after="120" w:line="20" w:lineRule="atLeast"/>
        <w:jc w:val="both"/>
        <w:rPr>
          <w:rFonts w:ascii="Times New Roman" w:eastAsia="SimSun" w:hAnsi="Times New Roman"/>
          <w:b/>
          <w:lang w:eastAsia="fr-FR"/>
        </w:rPr>
      </w:pPr>
      <w:r w:rsidRPr="00D75D2E">
        <w:rPr>
          <w:rFonts w:ascii="Times New Roman" w:eastAsia="SimSun" w:hAnsi="Times New Roman"/>
          <w:b/>
          <w:lang w:eastAsia="fr-FR"/>
        </w:rPr>
        <w:t>11.5</w:t>
      </w:r>
      <w:r w:rsidRPr="00D75D2E">
        <w:rPr>
          <w:rFonts w:ascii="Times New Roman" w:eastAsia="SimSun" w:hAnsi="Times New Roman"/>
          <w:b/>
          <w:lang w:eastAsia="fr-FR"/>
        </w:rPr>
        <w:tab/>
        <w:t>Dépôts</w:t>
      </w:r>
    </w:p>
    <w:p w14:paraId="5F6AB163" w14:textId="77777777" w:rsidR="00E15268" w:rsidRPr="00D75D2E" w:rsidRDefault="00E15268" w:rsidP="0075784E">
      <w:pPr>
        <w:suppressAutoHyphens/>
        <w:overflowPunct w:val="0"/>
        <w:autoSpaceDE w:val="0"/>
        <w:autoSpaceDN w:val="0"/>
        <w:adjustRightInd w:val="0"/>
        <w:spacing w:before="120" w:after="120" w:line="20" w:lineRule="atLeast"/>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L'aménagement et l'entretien des zones de dépôts sont à la charge de l’Entrepreneur. Les prescriptions suivantes sont à prévoir :</w:t>
      </w:r>
    </w:p>
    <w:p w14:paraId="526EF0ED" w14:textId="77777777" w:rsidR="00E15268" w:rsidRPr="00D75D2E"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Les dépôts seront organisés de façon à assurer l'écoulement normal des eaux sans que cela entraîne une modification du drainage naturel ou une érosion des dépôts ou des zones voisines, ou l'apport sur celles-ci de sédiments issus des dépôts.</w:t>
      </w:r>
    </w:p>
    <w:p w14:paraId="051D85C6" w14:textId="77777777" w:rsidR="00E15268" w:rsidRDefault="00E15268"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 En fin d'utilisation de la zone de dépôt, un réaménagement de la zone sera effectué, en accord avec le Maître d’œuvre.</w:t>
      </w:r>
    </w:p>
    <w:p w14:paraId="5CAF65F9" w14:textId="77777777" w:rsidR="00CC7A47" w:rsidRDefault="00CC7A47"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p>
    <w:p w14:paraId="4FE7E51C" w14:textId="77777777" w:rsidR="00CC7A47" w:rsidRPr="00D75D2E" w:rsidRDefault="00CC7A47" w:rsidP="00E15268">
      <w:p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p>
    <w:p w14:paraId="4DE8183B"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 xml:space="preserve">ARTICLE 13 DISPOSITIONS SPECIFIQUES AUX TRAVAUX DES PONTS </w:t>
      </w:r>
    </w:p>
    <w:p w14:paraId="15150C6B" w14:textId="77777777" w:rsidR="00E15268" w:rsidRPr="00D75D2E" w:rsidRDefault="00E15268" w:rsidP="0075784E">
      <w:pPr>
        <w:widowControl w:val="0"/>
        <w:autoSpaceDE w:val="0"/>
        <w:autoSpaceDN w:val="0"/>
        <w:adjustRightInd w:val="0"/>
        <w:spacing w:before="120" w:after="120" w:line="240" w:lineRule="auto"/>
        <w:ind w:right="101"/>
        <w:jc w:val="both"/>
        <w:rPr>
          <w:rFonts w:ascii="Times New Roman" w:hAnsi="Times New Roman"/>
          <w:sz w:val="24"/>
          <w:szCs w:val="24"/>
        </w:rPr>
      </w:pPr>
      <w:r w:rsidRPr="00D75D2E">
        <w:rPr>
          <w:rFonts w:ascii="Times New Roman" w:hAnsi="Times New Roman"/>
          <w:sz w:val="24"/>
          <w:szCs w:val="24"/>
        </w:rPr>
        <w:t xml:space="preserve">Pendant toute la durée </w:t>
      </w:r>
      <w:r w:rsidRPr="00D75D2E">
        <w:rPr>
          <w:rFonts w:ascii="Times New Roman" w:hAnsi="Times New Roman"/>
          <w:spacing w:val="-2"/>
          <w:sz w:val="24"/>
          <w:szCs w:val="24"/>
        </w:rPr>
        <w:t>d</w:t>
      </w:r>
      <w:r w:rsidRPr="00D75D2E">
        <w:rPr>
          <w:rFonts w:ascii="Times New Roman" w:hAnsi="Times New Roman"/>
          <w:sz w:val="24"/>
          <w:szCs w:val="24"/>
        </w:rPr>
        <w:t xml:space="preserve">es travaux, </w:t>
      </w:r>
      <w:r w:rsidRPr="00D75D2E">
        <w:rPr>
          <w:rFonts w:ascii="Times New Roman" w:hAnsi="Times New Roman"/>
          <w:spacing w:val="1"/>
          <w:sz w:val="24"/>
          <w:szCs w:val="24"/>
        </w:rPr>
        <w:t>l</w:t>
      </w:r>
      <w:r w:rsidRPr="00D75D2E">
        <w:rPr>
          <w:rFonts w:ascii="Times New Roman" w:hAnsi="Times New Roman"/>
          <w:spacing w:val="-2"/>
          <w:sz w:val="24"/>
          <w:szCs w:val="24"/>
        </w:rPr>
        <w:t>'</w:t>
      </w:r>
      <w:r w:rsidRPr="00D75D2E">
        <w:rPr>
          <w:rFonts w:ascii="Times New Roman" w:hAnsi="Times New Roman"/>
          <w:spacing w:val="1"/>
          <w:sz w:val="24"/>
          <w:szCs w:val="24"/>
        </w:rPr>
        <w:t>E</w:t>
      </w:r>
      <w:r w:rsidRPr="00D75D2E">
        <w:rPr>
          <w:rFonts w:ascii="Times New Roman" w:hAnsi="Times New Roman"/>
          <w:sz w:val="24"/>
          <w:szCs w:val="24"/>
        </w:rPr>
        <w:t>n</w:t>
      </w:r>
      <w:r w:rsidRPr="00D75D2E">
        <w:rPr>
          <w:rFonts w:ascii="Times New Roman" w:hAnsi="Times New Roman"/>
          <w:spacing w:val="-1"/>
          <w:sz w:val="24"/>
          <w:szCs w:val="24"/>
        </w:rPr>
        <w:t>tr</w:t>
      </w:r>
      <w:r w:rsidRPr="00D75D2E">
        <w:rPr>
          <w:rFonts w:ascii="Times New Roman" w:hAnsi="Times New Roman"/>
          <w:sz w:val="24"/>
          <w:szCs w:val="24"/>
        </w:rPr>
        <w:t>ep</w:t>
      </w:r>
      <w:r w:rsidRPr="00D75D2E">
        <w:rPr>
          <w:rFonts w:ascii="Times New Roman" w:hAnsi="Times New Roman"/>
          <w:spacing w:val="-3"/>
          <w:sz w:val="24"/>
          <w:szCs w:val="24"/>
        </w:rPr>
        <w:t>r</w:t>
      </w:r>
      <w:r w:rsidRPr="00D75D2E">
        <w:rPr>
          <w:rFonts w:ascii="Times New Roman" w:hAnsi="Times New Roman"/>
          <w:sz w:val="24"/>
          <w:szCs w:val="24"/>
        </w:rPr>
        <w:t>en</w:t>
      </w:r>
      <w:r w:rsidRPr="00D75D2E">
        <w:rPr>
          <w:rFonts w:ascii="Times New Roman" w:hAnsi="Times New Roman"/>
          <w:spacing w:val="-2"/>
          <w:sz w:val="24"/>
          <w:szCs w:val="24"/>
        </w:rPr>
        <w:t>e</w:t>
      </w:r>
      <w:r w:rsidRPr="00D75D2E">
        <w:rPr>
          <w:rFonts w:ascii="Times New Roman" w:hAnsi="Times New Roman"/>
          <w:sz w:val="24"/>
          <w:szCs w:val="24"/>
        </w:rPr>
        <w:t>ur d</w:t>
      </w:r>
      <w:r w:rsidRPr="00D75D2E">
        <w:rPr>
          <w:rFonts w:ascii="Times New Roman" w:hAnsi="Times New Roman"/>
          <w:spacing w:val="-2"/>
          <w:sz w:val="24"/>
          <w:szCs w:val="24"/>
        </w:rPr>
        <w:t>o</w:t>
      </w:r>
      <w:r w:rsidRPr="00D75D2E">
        <w:rPr>
          <w:rFonts w:ascii="Times New Roman" w:hAnsi="Times New Roman"/>
          <w:spacing w:val="1"/>
          <w:sz w:val="24"/>
          <w:szCs w:val="24"/>
        </w:rPr>
        <w:t>i</w:t>
      </w:r>
      <w:r w:rsidRPr="00D75D2E">
        <w:rPr>
          <w:rFonts w:ascii="Times New Roman" w:hAnsi="Times New Roman"/>
          <w:sz w:val="24"/>
          <w:szCs w:val="24"/>
        </w:rPr>
        <w:t>t  obse</w:t>
      </w:r>
      <w:r w:rsidRPr="00D75D2E">
        <w:rPr>
          <w:rFonts w:ascii="Times New Roman" w:hAnsi="Times New Roman"/>
          <w:spacing w:val="-1"/>
          <w:sz w:val="24"/>
          <w:szCs w:val="24"/>
        </w:rPr>
        <w:t>r</w:t>
      </w:r>
      <w:r w:rsidRPr="00D75D2E">
        <w:rPr>
          <w:rFonts w:ascii="Times New Roman" w:hAnsi="Times New Roman"/>
          <w:spacing w:val="-2"/>
          <w:sz w:val="24"/>
          <w:szCs w:val="24"/>
        </w:rPr>
        <w:t>v</w:t>
      </w:r>
      <w:r w:rsidRPr="00D75D2E">
        <w:rPr>
          <w:rFonts w:ascii="Times New Roman" w:hAnsi="Times New Roman"/>
          <w:sz w:val="24"/>
          <w:szCs w:val="24"/>
        </w:rPr>
        <w:t xml:space="preserve">er </w:t>
      </w:r>
      <w:r w:rsidRPr="00D75D2E">
        <w:rPr>
          <w:rFonts w:ascii="Times New Roman" w:hAnsi="Times New Roman"/>
          <w:spacing w:val="-1"/>
          <w:sz w:val="24"/>
          <w:szCs w:val="24"/>
        </w:rPr>
        <w:t>l</w:t>
      </w:r>
      <w:r w:rsidRPr="00D75D2E">
        <w:rPr>
          <w:rFonts w:ascii="Times New Roman" w:hAnsi="Times New Roman"/>
          <w:sz w:val="24"/>
          <w:szCs w:val="24"/>
        </w:rPr>
        <w:t xml:space="preserve">es </w:t>
      </w:r>
      <w:r w:rsidRPr="00D75D2E">
        <w:rPr>
          <w:rFonts w:ascii="Times New Roman" w:hAnsi="Times New Roman"/>
          <w:spacing w:val="-1"/>
          <w:sz w:val="24"/>
          <w:szCs w:val="24"/>
        </w:rPr>
        <w:t>r</w:t>
      </w:r>
      <w:r w:rsidRPr="00D75D2E">
        <w:rPr>
          <w:rFonts w:ascii="Times New Roman" w:hAnsi="Times New Roman"/>
          <w:spacing w:val="-2"/>
          <w:sz w:val="24"/>
          <w:szCs w:val="24"/>
        </w:rPr>
        <w:t>è</w:t>
      </w:r>
      <w:r w:rsidRPr="00D75D2E">
        <w:rPr>
          <w:rFonts w:ascii="Times New Roman" w:hAnsi="Times New Roman"/>
          <w:sz w:val="24"/>
          <w:szCs w:val="24"/>
        </w:rPr>
        <w:t>g</w:t>
      </w:r>
      <w:r w:rsidRPr="00D75D2E">
        <w:rPr>
          <w:rFonts w:ascii="Times New Roman" w:hAnsi="Times New Roman"/>
          <w:spacing w:val="-1"/>
          <w:sz w:val="24"/>
          <w:szCs w:val="24"/>
        </w:rPr>
        <w:t>l</w:t>
      </w:r>
      <w:r w:rsidRPr="00D75D2E">
        <w:rPr>
          <w:rFonts w:ascii="Times New Roman" w:hAnsi="Times New Roman"/>
          <w:sz w:val="24"/>
          <w:szCs w:val="24"/>
        </w:rPr>
        <w:t>es su</w:t>
      </w:r>
      <w:r w:rsidRPr="00D75D2E">
        <w:rPr>
          <w:rFonts w:ascii="Times New Roman" w:hAnsi="Times New Roman"/>
          <w:spacing w:val="1"/>
          <w:sz w:val="24"/>
          <w:szCs w:val="24"/>
        </w:rPr>
        <w:t>i</w:t>
      </w:r>
      <w:r w:rsidRPr="00D75D2E">
        <w:rPr>
          <w:rFonts w:ascii="Times New Roman" w:hAnsi="Times New Roman"/>
          <w:spacing w:val="-2"/>
          <w:sz w:val="24"/>
          <w:szCs w:val="24"/>
        </w:rPr>
        <w:t>v</w:t>
      </w:r>
      <w:r w:rsidRPr="00D75D2E">
        <w:rPr>
          <w:rFonts w:ascii="Times New Roman" w:hAnsi="Times New Roman"/>
          <w:sz w:val="24"/>
          <w:szCs w:val="24"/>
        </w:rPr>
        <w:t>an</w:t>
      </w:r>
      <w:r w:rsidRPr="00D75D2E">
        <w:rPr>
          <w:rFonts w:ascii="Times New Roman" w:hAnsi="Times New Roman"/>
          <w:spacing w:val="-1"/>
          <w:sz w:val="24"/>
          <w:szCs w:val="24"/>
        </w:rPr>
        <w:t>t</w:t>
      </w:r>
      <w:r w:rsidRPr="00D75D2E">
        <w:rPr>
          <w:rFonts w:ascii="Times New Roman" w:hAnsi="Times New Roman"/>
          <w:sz w:val="24"/>
          <w:szCs w:val="24"/>
        </w:rPr>
        <w:t>es :</w:t>
      </w:r>
    </w:p>
    <w:p w14:paraId="638A1F63"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Assurer la continuité du trafic avant tout démontage du tablier existant ;</w:t>
      </w:r>
    </w:p>
    <w:p w14:paraId="44E313D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pacing w:val="1"/>
          <w:sz w:val="24"/>
          <w:szCs w:val="24"/>
        </w:rPr>
        <w:t>a</w:t>
      </w:r>
      <w:r w:rsidRPr="00D75D2E">
        <w:rPr>
          <w:rFonts w:ascii="Times New Roman" w:hAnsi="Times New Roman"/>
          <w:sz w:val="24"/>
          <w:szCs w:val="24"/>
        </w:rPr>
        <w:t>c</w:t>
      </w:r>
      <w:r w:rsidRPr="00D75D2E">
        <w:rPr>
          <w:rFonts w:ascii="Times New Roman" w:hAnsi="Times New Roman"/>
          <w:spacing w:val="-2"/>
          <w:sz w:val="24"/>
          <w:szCs w:val="24"/>
        </w:rPr>
        <w:t>h</w:t>
      </w:r>
      <w:r w:rsidRPr="00D75D2E">
        <w:rPr>
          <w:rFonts w:ascii="Times New Roman" w:hAnsi="Times New Roman"/>
          <w:sz w:val="24"/>
          <w:szCs w:val="24"/>
        </w:rPr>
        <w:t>e</w:t>
      </w:r>
      <w:r w:rsidRPr="00D75D2E">
        <w:rPr>
          <w:rFonts w:ascii="Times New Roman" w:hAnsi="Times New Roman"/>
          <w:spacing w:val="-2"/>
          <w:sz w:val="24"/>
          <w:szCs w:val="24"/>
        </w:rPr>
        <w:t>v</w:t>
      </w:r>
      <w:r w:rsidRPr="00D75D2E">
        <w:rPr>
          <w:rFonts w:ascii="Times New Roman" w:hAnsi="Times New Roman"/>
          <w:sz w:val="24"/>
          <w:szCs w:val="24"/>
        </w:rPr>
        <w:t>er</w:t>
      </w:r>
      <w:r w:rsidRPr="00D75D2E">
        <w:rPr>
          <w:rFonts w:ascii="Times New Roman" w:hAnsi="Times New Roman"/>
          <w:spacing w:val="1"/>
          <w:sz w:val="24"/>
          <w:szCs w:val="24"/>
        </w:rPr>
        <w:t xml:space="preserve"> le montage au sol du nouveau tablier avant le démontage du tablier existant</w:t>
      </w:r>
      <w:r w:rsidRPr="00D75D2E">
        <w:rPr>
          <w:rFonts w:ascii="Times New Roman" w:hAnsi="Times New Roman"/>
          <w:sz w:val="24"/>
          <w:szCs w:val="24"/>
        </w:rPr>
        <w:t xml:space="preserve"> ;</w:t>
      </w:r>
    </w:p>
    <w:p w14:paraId="567D417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pacing w:val="1"/>
          <w:sz w:val="24"/>
          <w:szCs w:val="24"/>
        </w:rPr>
        <w:t>p</w:t>
      </w:r>
      <w:r w:rsidRPr="00D75D2E">
        <w:rPr>
          <w:rFonts w:ascii="Times New Roman" w:hAnsi="Times New Roman"/>
          <w:spacing w:val="-1"/>
          <w:sz w:val="24"/>
          <w:szCs w:val="24"/>
        </w:rPr>
        <w:t>r</w:t>
      </w:r>
      <w:r w:rsidRPr="00D75D2E">
        <w:rPr>
          <w:rFonts w:ascii="Times New Roman" w:hAnsi="Times New Roman"/>
          <w:sz w:val="24"/>
          <w:szCs w:val="24"/>
        </w:rPr>
        <w:t>end</w:t>
      </w:r>
      <w:r w:rsidRPr="00D75D2E">
        <w:rPr>
          <w:rFonts w:ascii="Times New Roman" w:hAnsi="Times New Roman"/>
          <w:spacing w:val="-3"/>
          <w:sz w:val="24"/>
          <w:szCs w:val="24"/>
        </w:rPr>
        <w:t>r</w:t>
      </w:r>
      <w:r w:rsidRPr="00D75D2E">
        <w:rPr>
          <w:rFonts w:ascii="Times New Roman" w:hAnsi="Times New Roman"/>
          <w:sz w:val="24"/>
          <w:szCs w:val="24"/>
        </w:rPr>
        <w:t xml:space="preserve">e </w:t>
      </w:r>
      <w:r w:rsidRPr="00D75D2E">
        <w:rPr>
          <w:rFonts w:ascii="Times New Roman" w:hAnsi="Times New Roman"/>
          <w:spacing w:val="1"/>
          <w:sz w:val="24"/>
          <w:szCs w:val="24"/>
        </w:rPr>
        <w:t>l</w:t>
      </w:r>
      <w:r w:rsidRPr="00D75D2E">
        <w:rPr>
          <w:rFonts w:ascii="Times New Roman" w:hAnsi="Times New Roman"/>
          <w:sz w:val="24"/>
          <w:szCs w:val="24"/>
        </w:rPr>
        <w:t>es d</w:t>
      </w:r>
      <w:r w:rsidRPr="00D75D2E">
        <w:rPr>
          <w:rFonts w:ascii="Times New Roman" w:hAnsi="Times New Roman"/>
          <w:spacing w:val="-1"/>
          <w:sz w:val="24"/>
          <w:szCs w:val="24"/>
        </w:rPr>
        <w:t>i</w:t>
      </w:r>
      <w:r w:rsidRPr="00D75D2E">
        <w:rPr>
          <w:rFonts w:ascii="Times New Roman" w:hAnsi="Times New Roman"/>
          <w:sz w:val="24"/>
          <w:szCs w:val="24"/>
        </w:rPr>
        <w:t>sp</w:t>
      </w:r>
      <w:r w:rsidRPr="00D75D2E">
        <w:rPr>
          <w:rFonts w:ascii="Times New Roman" w:hAnsi="Times New Roman"/>
          <w:spacing w:val="-2"/>
          <w:sz w:val="24"/>
          <w:szCs w:val="24"/>
        </w:rPr>
        <w:t>o</w:t>
      </w:r>
      <w:r w:rsidRPr="00D75D2E">
        <w:rPr>
          <w:rFonts w:ascii="Times New Roman" w:hAnsi="Times New Roman"/>
          <w:sz w:val="24"/>
          <w:szCs w:val="24"/>
        </w:rPr>
        <w:t>s</w:t>
      </w:r>
      <w:r w:rsidRPr="00D75D2E">
        <w:rPr>
          <w:rFonts w:ascii="Times New Roman" w:hAnsi="Times New Roman"/>
          <w:spacing w:val="1"/>
          <w:sz w:val="24"/>
          <w:szCs w:val="24"/>
        </w:rPr>
        <w:t>i</w:t>
      </w:r>
      <w:r w:rsidRPr="00D75D2E">
        <w:rPr>
          <w:rFonts w:ascii="Times New Roman" w:hAnsi="Times New Roman"/>
          <w:spacing w:val="-1"/>
          <w:sz w:val="24"/>
          <w:szCs w:val="24"/>
        </w:rPr>
        <w:t>ti</w:t>
      </w:r>
      <w:r w:rsidRPr="00D75D2E">
        <w:rPr>
          <w:rFonts w:ascii="Times New Roman" w:hAnsi="Times New Roman"/>
          <w:sz w:val="24"/>
          <w:szCs w:val="24"/>
        </w:rPr>
        <w:t>ons néce</w:t>
      </w:r>
      <w:r w:rsidRPr="00D75D2E">
        <w:rPr>
          <w:rFonts w:ascii="Times New Roman" w:hAnsi="Times New Roman"/>
          <w:spacing w:val="-2"/>
          <w:sz w:val="24"/>
          <w:szCs w:val="24"/>
        </w:rPr>
        <w:t>s</w:t>
      </w:r>
      <w:r w:rsidRPr="00D75D2E">
        <w:rPr>
          <w:rFonts w:ascii="Times New Roman" w:hAnsi="Times New Roman"/>
          <w:sz w:val="24"/>
          <w:szCs w:val="24"/>
        </w:rPr>
        <w:t>s</w:t>
      </w:r>
      <w:r w:rsidRPr="00D75D2E">
        <w:rPr>
          <w:rFonts w:ascii="Times New Roman" w:hAnsi="Times New Roman"/>
          <w:spacing w:val="-2"/>
          <w:sz w:val="24"/>
          <w:szCs w:val="24"/>
        </w:rPr>
        <w:t>a</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 xml:space="preserve">es pour </w:t>
      </w:r>
      <w:r w:rsidRPr="00D75D2E">
        <w:rPr>
          <w:rFonts w:ascii="Times New Roman" w:hAnsi="Times New Roman"/>
          <w:spacing w:val="-1"/>
          <w:sz w:val="24"/>
          <w:szCs w:val="24"/>
        </w:rPr>
        <w:t>l</w:t>
      </w:r>
      <w:r w:rsidRPr="00D75D2E">
        <w:rPr>
          <w:rFonts w:ascii="Times New Roman" w:hAnsi="Times New Roman"/>
          <w:sz w:val="24"/>
          <w:szCs w:val="24"/>
        </w:rPr>
        <w:t>a 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1"/>
          <w:sz w:val="24"/>
          <w:szCs w:val="24"/>
        </w:rPr>
        <w:t>t</w:t>
      </w:r>
      <w:r w:rsidRPr="00D75D2E">
        <w:rPr>
          <w:rFonts w:ascii="Times New Roman" w:hAnsi="Times New Roman"/>
          <w:spacing w:val="-2"/>
          <w:sz w:val="24"/>
          <w:szCs w:val="24"/>
        </w:rPr>
        <w:t>e</w:t>
      </w:r>
      <w:r w:rsidRPr="00D75D2E">
        <w:rPr>
          <w:rFonts w:ascii="Times New Roman" w:hAnsi="Times New Roman"/>
          <w:sz w:val="24"/>
          <w:szCs w:val="24"/>
        </w:rPr>
        <w:t>c</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z w:val="24"/>
          <w:szCs w:val="24"/>
        </w:rPr>
        <w:t>on du s</w:t>
      </w:r>
      <w:r w:rsidRPr="00D75D2E">
        <w:rPr>
          <w:rFonts w:ascii="Times New Roman" w:hAnsi="Times New Roman"/>
          <w:spacing w:val="1"/>
          <w:sz w:val="24"/>
          <w:szCs w:val="24"/>
        </w:rPr>
        <w:t>i</w:t>
      </w:r>
      <w:r w:rsidRPr="00D75D2E">
        <w:rPr>
          <w:rFonts w:ascii="Times New Roman" w:hAnsi="Times New Roman"/>
          <w:spacing w:val="-1"/>
          <w:sz w:val="24"/>
          <w:szCs w:val="24"/>
        </w:rPr>
        <w:t>t</w:t>
      </w:r>
      <w:r w:rsidRPr="00D75D2E">
        <w:rPr>
          <w:rFonts w:ascii="Times New Roman" w:hAnsi="Times New Roman"/>
          <w:sz w:val="24"/>
          <w:szCs w:val="24"/>
        </w:rPr>
        <w:t>e c</w:t>
      </w:r>
      <w:r w:rsidRPr="00D75D2E">
        <w:rPr>
          <w:rFonts w:ascii="Times New Roman" w:hAnsi="Times New Roman"/>
          <w:spacing w:val="-2"/>
          <w:sz w:val="24"/>
          <w:szCs w:val="24"/>
        </w:rPr>
        <w:t>o</w:t>
      </w:r>
      <w:r w:rsidRPr="00D75D2E">
        <w:rPr>
          <w:rFonts w:ascii="Times New Roman" w:hAnsi="Times New Roman"/>
          <w:sz w:val="24"/>
          <w:szCs w:val="24"/>
        </w:rPr>
        <w:t>n</w:t>
      </w:r>
      <w:r w:rsidRPr="00D75D2E">
        <w:rPr>
          <w:rFonts w:ascii="Times New Roman" w:hAnsi="Times New Roman"/>
          <w:spacing w:val="-1"/>
          <w:sz w:val="24"/>
          <w:szCs w:val="24"/>
        </w:rPr>
        <w:t>tr</w:t>
      </w:r>
      <w:r w:rsidRPr="00D75D2E">
        <w:rPr>
          <w:rFonts w:ascii="Times New Roman" w:hAnsi="Times New Roman"/>
          <w:sz w:val="24"/>
          <w:szCs w:val="24"/>
        </w:rPr>
        <w:t xml:space="preserve">e </w:t>
      </w:r>
      <w:r w:rsidRPr="00D75D2E">
        <w:rPr>
          <w:rFonts w:ascii="Times New Roman" w:hAnsi="Times New Roman"/>
          <w:spacing w:val="-1"/>
          <w:sz w:val="24"/>
          <w:szCs w:val="24"/>
        </w:rPr>
        <w:t>l</w:t>
      </w:r>
      <w:r w:rsidRPr="00D75D2E">
        <w:rPr>
          <w:rFonts w:ascii="Times New Roman" w:hAnsi="Times New Roman"/>
          <w:spacing w:val="1"/>
          <w:sz w:val="24"/>
          <w:szCs w:val="24"/>
        </w:rPr>
        <w:t>’</w:t>
      </w:r>
      <w:r w:rsidRPr="00D75D2E">
        <w:rPr>
          <w:rFonts w:ascii="Times New Roman" w:hAnsi="Times New Roman"/>
          <w:sz w:val="24"/>
          <w:szCs w:val="24"/>
        </w:rPr>
        <w:t>é</w:t>
      </w:r>
      <w:r w:rsidRPr="00D75D2E">
        <w:rPr>
          <w:rFonts w:ascii="Times New Roman" w:hAnsi="Times New Roman"/>
          <w:spacing w:val="-3"/>
          <w:sz w:val="24"/>
          <w:szCs w:val="24"/>
        </w:rPr>
        <w:t>r</w:t>
      </w:r>
      <w:r w:rsidRPr="00D75D2E">
        <w:rPr>
          <w:rFonts w:ascii="Times New Roman" w:hAnsi="Times New Roman"/>
          <w:sz w:val="24"/>
          <w:szCs w:val="24"/>
        </w:rPr>
        <w:t>os</w:t>
      </w:r>
      <w:r w:rsidRPr="00D75D2E">
        <w:rPr>
          <w:rFonts w:ascii="Times New Roman" w:hAnsi="Times New Roman"/>
          <w:spacing w:val="-1"/>
          <w:sz w:val="24"/>
          <w:szCs w:val="24"/>
        </w:rPr>
        <w:t>i</w:t>
      </w:r>
      <w:r w:rsidRPr="00D75D2E">
        <w:rPr>
          <w:rFonts w:ascii="Times New Roman" w:hAnsi="Times New Roman"/>
          <w:sz w:val="24"/>
          <w:szCs w:val="24"/>
        </w:rPr>
        <w:t>on et dé</w:t>
      </w:r>
      <w:r w:rsidRPr="00D75D2E">
        <w:rPr>
          <w:rFonts w:ascii="Times New Roman" w:hAnsi="Times New Roman"/>
          <w:spacing w:val="-2"/>
          <w:sz w:val="24"/>
          <w:szCs w:val="24"/>
        </w:rPr>
        <w:t>b</w:t>
      </w:r>
      <w:r w:rsidRPr="00D75D2E">
        <w:rPr>
          <w:rFonts w:ascii="Times New Roman" w:hAnsi="Times New Roman"/>
          <w:sz w:val="24"/>
          <w:szCs w:val="24"/>
        </w:rPr>
        <w:t>a</w:t>
      </w:r>
      <w:r w:rsidRPr="00D75D2E">
        <w:rPr>
          <w:rFonts w:ascii="Times New Roman" w:hAnsi="Times New Roman"/>
          <w:spacing w:val="-1"/>
          <w:sz w:val="24"/>
          <w:szCs w:val="24"/>
        </w:rPr>
        <w:t>rr</w:t>
      </w:r>
      <w:r w:rsidRPr="00D75D2E">
        <w:rPr>
          <w:rFonts w:ascii="Times New Roman" w:hAnsi="Times New Roman"/>
          <w:sz w:val="24"/>
          <w:szCs w:val="24"/>
        </w:rPr>
        <w:t>as</w:t>
      </w:r>
      <w:r w:rsidRPr="00D75D2E">
        <w:rPr>
          <w:rFonts w:ascii="Times New Roman" w:hAnsi="Times New Roman"/>
          <w:spacing w:val="-2"/>
          <w:sz w:val="24"/>
          <w:szCs w:val="24"/>
        </w:rPr>
        <w:t>se</w:t>
      </w:r>
      <w:r w:rsidRPr="00D75D2E">
        <w:rPr>
          <w:rFonts w:ascii="Times New Roman" w:hAnsi="Times New Roman"/>
          <w:sz w:val="24"/>
          <w:szCs w:val="24"/>
        </w:rPr>
        <w:t xml:space="preserve">r </w:t>
      </w:r>
      <w:r w:rsidRPr="00D75D2E">
        <w:rPr>
          <w:rFonts w:ascii="Times New Roman" w:hAnsi="Times New Roman"/>
          <w:spacing w:val="1"/>
          <w:sz w:val="24"/>
          <w:szCs w:val="24"/>
        </w:rPr>
        <w:t>l</w:t>
      </w:r>
      <w:r w:rsidRPr="00D75D2E">
        <w:rPr>
          <w:rFonts w:ascii="Times New Roman" w:hAnsi="Times New Roman"/>
          <w:sz w:val="24"/>
          <w:szCs w:val="24"/>
        </w:rPr>
        <w:t>es</w:t>
      </w:r>
      <w:r w:rsidRPr="00D75D2E">
        <w:rPr>
          <w:rFonts w:ascii="Times New Roman" w:hAnsi="Times New Roman"/>
          <w:spacing w:val="1"/>
          <w:sz w:val="24"/>
          <w:szCs w:val="24"/>
        </w:rPr>
        <w:t xml:space="preserve"> li</w:t>
      </w:r>
      <w:r w:rsidRPr="00D75D2E">
        <w:rPr>
          <w:rFonts w:ascii="Times New Roman" w:hAnsi="Times New Roman"/>
          <w:spacing w:val="-1"/>
          <w:sz w:val="24"/>
          <w:szCs w:val="24"/>
        </w:rPr>
        <w:t>t</w:t>
      </w:r>
      <w:r w:rsidRPr="00D75D2E">
        <w:rPr>
          <w:rFonts w:ascii="Times New Roman" w:hAnsi="Times New Roman"/>
          <w:sz w:val="24"/>
          <w:szCs w:val="24"/>
        </w:rPr>
        <w:t xml:space="preserve">s </w:t>
      </w:r>
      <w:r w:rsidRPr="00D75D2E">
        <w:rPr>
          <w:rFonts w:ascii="Times New Roman" w:hAnsi="Times New Roman"/>
          <w:spacing w:val="2"/>
          <w:sz w:val="24"/>
          <w:szCs w:val="24"/>
        </w:rPr>
        <w:t>m</w:t>
      </w:r>
      <w:r w:rsidRPr="00D75D2E">
        <w:rPr>
          <w:rFonts w:ascii="Times New Roman" w:hAnsi="Times New Roman"/>
          <w:spacing w:val="-2"/>
          <w:sz w:val="24"/>
          <w:szCs w:val="24"/>
        </w:rPr>
        <w:t>a</w:t>
      </w:r>
      <w:r w:rsidRPr="00D75D2E">
        <w:rPr>
          <w:rFonts w:ascii="Times New Roman" w:hAnsi="Times New Roman"/>
          <w:spacing w:val="1"/>
          <w:sz w:val="24"/>
          <w:szCs w:val="24"/>
        </w:rPr>
        <w:t>j</w:t>
      </w:r>
      <w:r w:rsidRPr="00D75D2E">
        <w:rPr>
          <w:rFonts w:ascii="Times New Roman" w:hAnsi="Times New Roman"/>
          <w:spacing w:val="-2"/>
          <w:sz w:val="24"/>
          <w:szCs w:val="24"/>
        </w:rPr>
        <w:t>e</w:t>
      </w:r>
      <w:r w:rsidRPr="00D75D2E">
        <w:rPr>
          <w:rFonts w:ascii="Times New Roman" w:hAnsi="Times New Roman"/>
          <w:sz w:val="24"/>
          <w:szCs w:val="24"/>
        </w:rPr>
        <w:t>u</w:t>
      </w:r>
      <w:r w:rsidRPr="00D75D2E">
        <w:rPr>
          <w:rFonts w:ascii="Times New Roman" w:hAnsi="Times New Roman"/>
          <w:spacing w:val="-1"/>
          <w:sz w:val="24"/>
          <w:szCs w:val="24"/>
        </w:rPr>
        <w:t>r</w:t>
      </w:r>
      <w:r w:rsidRPr="00D75D2E">
        <w:rPr>
          <w:rFonts w:ascii="Times New Roman" w:hAnsi="Times New Roman"/>
          <w:sz w:val="24"/>
          <w:szCs w:val="24"/>
        </w:rPr>
        <w:t xml:space="preserve">s et </w:t>
      </w:r>
      <w:r w:rsidRPr="00D75D2E">
        <w:rPr>
          <w:rFonts w:ascii="Times New Roman" w:hAnsi="Times New Roman"/>
          <w:spacing w:val="2"/>
          <w:sz w:val="24"/>
          <w:szCs w:val="24"/>
        </w:rPr>
        <w:t>m</w:t>
      </w:r>
      <w:r w:rsidRPr="00D75D2E">
        <w:rPr>
          <w:rFonts w:ascii="Times New Roman" w:hAnsi="Times New Roman"/>
          <w:spacing w:val="1"/>
          <w:sz w:val="24"/>
          <w:szCs w:val="24"/>
        </w:rPr>
        <w:t>i</w:t>
      </w:r>
      <w:r w:rsidRPr="00D75D2E">
        <w:rPr>
          <w:rFonts w:ascii="Times New Roman" w:hAnsi="Times New Roman"/>
          <w:spacing w:val="-2"/>
          <w:sz w:val="24"/>
          <w:szCs w:val="24"/>
        </w:rPr>
        <w:t>n</w:t>
      </w:r>
      <w:r w:rsidRPr="00D75D2E">
        <w:rPr>
          <w:rFonts w:ascii="Times New Roman" w:hAnsi="Times New Roman"/>
          <w:sz w:val="24"/>
          <w:szCs w:val="24"/>
        </w:rPr>
        <w:t>eu</w:t>
      </w:r>
      <w:r w:rsidRPr="00D75D2E">
        <w:rPr>
          <w:rFonts w:ascii="Times New Roman" w:hAnsi="Times New Roman"/>
          <w:spacing w:val="-1"/>
          <w:sz w:val="24"/>
          <w:szCs w:val="24"/>
        </w:rPr>
        <w:t>r</w:t>
      </w:r>
      <w:r w:rsidRPr="00D75D2E">
        <w:rPr>
          <w:rFonts w:ascii="Times New Roman" w:hAnsi="Times New Roman"/>
          <w:sz w:val="24"/>
          <w:szCs w:val="24"/>
        </w:rPr>
        <w:t xml:space="preserve">s de tous </w:t>
      </w:r>
      <w:r w:rsidRPr="00D75D2E">
        <w:rPr>
          <w:rFonts w:ascii="Times New Roman" w:hAnsi="Times New Roman"/>
          <w:spacing w:val="2"/>
          <w:sz w:val="24"/>
          <w:szCs w:val="24"/>
        </w:rPr>
        <w:t>m</w:t>
      </w:r>
      <w:r w:rsidRPr="00D75D2E">
        <w:rPr>
          <w:rFonts w:ascii="Times New Roman" w:hAnsi="Times New Roman"/>
          <w:sz w:val="24"/>
          <w:szCs w:val="24"/>
        </w:rPr>
        <w:t>a</w:t>
      </w:r>
      <w:r w:rsidRPr="00D75D2E">
        <w:rPr>
          <w:rFonts w:ascii="Times New Roman" w:hAnsi="Times New Roman"/>
          <w:spacing w:val="-1"/>
          <w:sz w:val="24"/>
          <w:szCs w:val="24"/>
        </w:rPr>
        <w:t>t</w:t>
      </w:r>
      <w:r w:rsidRPr="00D75D2E">
        <w:rPr>
          <w:rFonts w:ascii="Times New Roman" w:hAnsi="Times New Roman"/>
          <w:sz w:val="24"/>
          <w:szCs w:val="24"/>
        </w:rPr>
        <w:t>é</w:t>
      </w:r>
      <w:r w:rsidRPr="00D75D2E">
        <w:rPr>
          <w:rFonts w:ascii="Times New Roman" w:hAnsi="Times New Roman"/>
          <w:spacing w:val="-3"/>
          <w:sz w:val="24"/>
          <w:szCs w:val="24"/>
        </w:rPr>
        <w:t>r</w:t>
      </w:r>
      <w:r w:rsidRPr="00D75D2E">
        <w:rPr>
          <w:rFonts w:ascii="Times New Roman" w:hAnsi="Times New Roman"/>
          <w:spacing w:val="1"/>
          <w:sz w:val="24"/>
          <w:szCs w:val="24"/>
        </w:rPr>
        <w:t>i</w:t>
      </w:r>
      <w:r w:rsidRPr="00D75D2E">
        <w:rPr>
          <w:rFonts w:ascii="Times New Roman" w:hAnsi="Times New Roman"/>
          <w:sz w:val="24"/>
          <w:szCs w:val="24"/>
        </w:rPr>
        <w:t>a</w:t>
      </w:r>
      <w:r w:rsidRPr="00D75D2E">
        <w:rPr>
          <w:rFonts w:ascii="Times New Roman" w:hAnsi="Times New Roman"/>
          <w:spacing w:val="-2"/>
          <w:sz w:val="24"/>
          <w:szCs w:val="24"/>
        </w:rPr>
        <w:t>u</w:t>
      </w:r>
      <w:r w:rsidRPr="00D75D2E">
        <w:rPr>
          <w:rFonts w:ascii="Times New Roman" w:hAnsi="Times New Roman"/>
          <w:sz w:val="24"/>
          <w:szCs w:val="24"/>
        </w:rPr>
        <w:t xml:space="preserve">x et </w:t>
      </w:r>
      <w:r w:rsidRPr="00D75D2E">
        <w:rPr>
          <w:rFonts w:ascii="Times New Roman" w:hAnsi="Times New Roman"/>
          <w:spacing w:val="2"/>
          <w:sz w:val="24"/>
          <w:szCs w:val="24"/>
        </w:rPr>
        <w:t>m</w:t>
      </w:r>
      <w:r w:rsidRPr="00D75D2E">
        <w:rPr>
          <w:rFonts w:ascii="Times New Roman" w:hAnsi="Times New Roman"/>
          <w:sz w:val="24"/>
          <w:szCs w:val="24"/>
        </w:rPr>
        <w:t>a</w:t>
      </w:r>
      <w:r w:rsidRPr="00D75D2E">
        <w:rPr>
          <w:rFonts w:ascii="Times New Roman" w:hAnsi="Times New Roman"/>
          <w:spacing w:val="-3"/>
          <w:sz w:val="24"/>
          <w:szCs w:val="24"/>
        </w:rPr>
        <w:t>t</w:t>
      </w:r>
      <w:r w:rsidRPr="00D75D2E">
        <w:rPr>
          <w:rFonts w:ascii="Times New Roman" w:hAnsi="Times New Roman"/>
          <w:sz w:val="24"/>
          <w:szCs w:val="24"/>
        </w:rPr>
        <w:t>é</w:t>
      </w:r>
      <w:r w:rsidRPr="00D75D2E">
        <w:rPr>
          <w:rFonts w:ascii="Times New Roman" w:hAnsi="Times New Roman"/>
          <w:spacing w:val="-1"/>
          <w:sz w:val="24"/>
          <w:szCs w:val="24"/>
        </w:rPr>
        <w:t>r</w:t>
      </w:r>
      <w:r w:rsidRPr="00D75D2E">
        <w:rPr>
          <w:rFonts w:ascii="Times New Roman" w:hAnsi="Times New Roman"/>
          <w:spacing w:val="1"/>
          <w:sz w:val="24"/>
          <w:szCs w:val="24"/>
        </w:rPr>
        <w:t>i</w:t>
      </w:r>
      <w:r w:rsidRPr="00D75D2E">
        <w:rPr>
          <w:rFonts w:ascii="Times New Roman" w:hAnsi="Times New Roman"/>
          <w:spacing w:val="-2"/>
          <w:sz w:val="24"/>
          <w:szCs w:val="24"/>
        </w:rPr>
        <w:t>e</w:t>
      </w:r>
      <w:r w:rsidRPr="00D75D2E">
        <w:rPr>
          <w:rFonts w:ascii="Times New Roman" w:hAnsi="Times New Roman"/>
          <w:spacing w:val="1"/>
          <w:sz w:val="24"/>
          <w:szCs w:val="24"/>
        </w:rPr>
        <w:t>l</w:t>
      </w:r>
      <w:r w:rsidRPr="00D75D2E">
        <w:rPr>
          <w:rFonts w:ascii="Times New Roman" w:hAnsi="Times New Roman"/>
          <w:sz w:val="24"/>
          <w:szCs w:val="24"/>
        </w:rPr>
        <w:t>s e</w:t>
      </w:r>
      <w:r w:rsidRPr="00D75D2E">
        <w:rPr>
          <w:rFonts w:ascii="Times New Roman" w:hAnsi="Times New Roman"/>
          <w:spacing w:val="-2"/>
          <w:sz w:val="24"/>
          <w:szCs w:val="24"/>
        </w:rPr>
        <w:t>n</w:t>
      </w:r>
      <w:r w:rsidRPr="00D75D2E">
        <w:rPr>
          <w:rFonts w:ascii="Times New Roman" w:hAnsi="Times New Roman"/>
          <w:sz w:val="24"/>
          <w:szCs w:val="24"/>
        </w:rPr>
        <w:t>c</w:t>
      </w:r>
      <w:r w:rsidRPr="00D75D2E">
        <w:rPr>
          <w:rFonts w:ascii="Times New Roman" w:hAnsi="Times New Roman"/>
          <w:spacing w:val="-2"/>
          <w:sz w:val="24"/>
          <w:szCs w:val="24"/>
        </w:rPr>
        <w:t>o</w:t>
      </w:r>
      <w:r w:rsidRPr="00D75D2E">
        <w:rPr>
          <w:rFonts w:ascii="Times New Roman" w:hAnsi="Times New Roman"/>
          <w:spacing w:val="2"/>
          <w:sz w:val="24"/>
          <w:szCs w:val="24"/>
        </w:rPr>
        <w:t>m</w:t>
      </w:r>
      <w:r w:rsidRPr="00D75D2E">
        <w:rPr>
          <w:rFonts w:ascii="Times New Roman" w:hAnsi="Times New Roman"/>
          <w:sz w:val="24"/>
          <w:szCs w:val="24"/>
        </w:rPr>
        <w:t>b</w:t>
      </w:r>
      <w:r w:rsidRPr="00D75D2E">
        <w:rPr>
          <w:rFonts w:ascii="Times New Roman" w:hAnsi="Times New Roman"/>
          <w:spacing w:val="-3"/>
          <w:sz w:val="24"/>
          <w:szCs w:val="24"/>
        </w:rPr>
        <w:t>r</w:t>
      </w:r>
      <w:r w:rsidRPr="00D75D2E">
        <w:rPr>
          <w:rFonts w:ascii="Times New Roman" w:hAnsi="Times New Roman"/>
          <w:sz w:val="24"/>
          <w:szCs w:val="24"/>
        </w:rPr>
        <w:t>ant a</w:t>
      </w:r>
      <w:r w:rsidRPr="00D75D2E">
        <w:rPr>
          <w:rFonts w:ascii="Times New Roman" w:hAnsi="Times New Roman"/>
          <w:spacing w:val="-2"/>
          <w:sz w:val="24"/>
          <w:szCs w:val="24"/>
        </w:rPr>
        <w:t>v</w:t>
      </w:r>
      <w:r w:rsidRPr="00D75D2E">
        <w:rPr>
          <w:rFonts w:ascii="Times New Roman" w:hAnsi="Times New Roman"/>
          <w:sz w:val="24"/>
          <w:szCs w:val="24"/>
        </w:rPr>
        <w:t xml:space="preserve">ant </w:t>
      </w:r>
      <w:r w:rsidRPr="00D75D2E">
        <w:rPr>
          <w:rFonts w:ascii="Times New Roman" w:hAnsi="Times New Roman"/>
          <w:spacing w:val="-1"/>
          <w:sz w:val="24"/>
          <w:szCs w:val="24"/>
        </w:rPr>
        <w:t>l</w:t>
      </w:r>
      <w:r w:rsidRPr="00D75D2E">
        <w:rPr>
          <w:rFonts w:ascii="Times New Roman" w:hAnsi="Times New Roman"/>
          <w:sz w:val="24"/>
          <w:szCs w:val="24"/>
        </w:rPr>
        <w:t>a sus</w:t>
      </w:r>
      <w:r w:rsidRPr="00D75D2E">
        <w:rPr>
          <w:rFonts w:ascii="Times New Roman" w:hAnsi="Times New Roman"/>
          <w:spacing w:val="-2"/>
          <w:sz w:val="24"/>
          <w:szCs w:val="24"/>
        </w:rPr>
        <w:t>p</w:t>
      </w:r>
      <w:r w:rsidRPr="00D75D2E">
        <w:rPr>
          <w:rFonts w:ascii="Times New Roman" w:hAnsi="Times New Roman"/>
          <w:sz w:val="24"/>
          <w:szCs w:val="24"/>
        </w:rPr>
        <w:t>en</w:t>
      </w:r>
      <w:r w:rsidRPr="00D75D2E">
        <w:rPr>
          <w:rFonts w:ascii="Times New Roman" w:hAnsi="Times New Roman"/>
          <w:spacing w:val="-2"/>
          <w:sz w:val="24"/>
          <w:szCs w:val="24"/>
        </w:rPr>
        <w:t>s</w:t>
      </w:r>
      <w:r w:rsidRPr="00D75D2E">
        <w:rPr>
          <w:rFonts w:ascii="Times New Roman" w:hAnsi="Times New Roman"/>
          <w:spacing w:val="1"/>
          <w:sz w:val="24"/>
          <w:szCs w:val="24"/>
        </w:rPr>
        <w:t>i</w:t>
      </w:r>
      <w:r w:rsidRPr="00D75D2E">
        <w:rPr>
          <w:rFonts w:ascii="Times New Roman" w:hAnsi="Times New Roman"/>
          <w:spacing w:val="-2"/>
          <w:sz w:val="24"/>
          <w:szCs w:val="24"/>
        </w:rPr>
        <w:t>o</w:t>
      </w:r>
      <w:r w:rsidRPr="00D75D2E">
        <w:rPr>
          <w:rFonts w:ascii="Times New Roman" w:hAnsi="Times New Roman"/>
          <w:sz w:val="24"/>
          <w:szCs w:val="24"/>
        </w:rPr>
        <w:t>n d</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aux ;</w:t>
      </w:r>
    </w:p>
    <w:p w14:paraId="1E45B067"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pacing w:val="-1"/>
          <w:sz w:val="24"/>
          <w:szCs w:val="24"/>
        </w:rPr>
        <w:t>r</w:t>
      </w:r>
      <w:r w:rsidRPr="00D75D2E">
        <w:rPr>
          <w:rFonts w:ascii="Times New Roman" w:hAnsi="Times New Roman"/>
          <w:sz w:val="24"/>
          <w:szCs w:val="24"/>
        </w:rPr>
        <w:t>éa</w:t>
      </w:r>
      <w:r w:rsidRPr="00D75D2E">
        <w:rPr>
          <w:rFonts w:ascii="Times New Roman" w:hAnsi="Times New Roman"/>
          <w:spacing w:val="-1"/>
          <w:sz w:val="24"/>
          <w:szCs w:val="24"/>
        </w:rPr>
        <w:t>l</w:t>
      </w:r>
      <w:r w:rsidRPr="00D75D2E">
        <w:rPr>
          <w:rFonts w:ascii="Times New Roman" w:hAnsi="Times New Roman"/>
          <w:spacing w:val="1"/>
          <w:sz w:val="24"/>
          <w:szCs w:val="24"/>
        </w:rPr>
        <w:t>i</w:t>
      </w:r>
      <w:r w:rsidRPr="00D75D2E">
        <w:rPr>
          <w:rFonts w:ascii="Times New Roman" w:hAnsi="Times New Roman"/>
          <w:sz w:val="24"/>
          <w:szCs w:val="24"/>
        </w:rPr>
        <w:t>ser</w:t>
      </w:r>
      <w:r w:rsidRPr="00D75D2E">
        <w:rPr>
          <w:rFonts w:ascii="Times New Roman" w:hAnsi="Times New Roman"/>
          <w:spacing w:val="-1"/>
          <w:sz w:val="24"/>
          <w:szCs w:val="24"/>
        </w:rPr>
        <w:t xml:space="preserve"> l</w:t>
      </w:r>
      <w:r w:rsidRPr="00D75D2E">
        <w:rPr>
          <w:rFonts w:ascii="Times New Roman" w:hAnsi="Times New Roman"/>
          <w:sz w:val="24"/>
          <w:szCs w:val="24"/>
        </w:rPr>
        <w:t xml:space="preserve">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aux da</w:t>
      </w:r>
      <w:r w:rsidRPr="00D75D2E">
        <w:rPr>
          <w:rFonts w:ascii="Times New Roman" w:hAnsi="Times New Roman"/>
          <w:spacing w:val="-2"/>
          <w:sz w:val="24"/>
          <w:szCs w:val="24"/>
        </w:rPr>
        <w:t>n</w:t>
      </w:r>
      <w:r w:rsidRPr="00D75D2E">
        <w:rPr>
          <w:rFonts w:ascii="Times New Roman" w:hAnsi="Times New Roman"/>
          <w:sz w:val="24"/>
          <w:szCs w:val="24"/>
        </w:rPr>
        <w:t xml:space="preserve">s </w:t>
      </w:r>
      <w:r w:rsidRPr="00D75D2E">
        <w:rPr>
          <w:rFonts w:ascii="Times New Roman" w:hAnsi="Times New Roman"/>
          <w:spacing w:val="-1"/>
          <w:sz w:val="24"/>
          <w:szCs w:val="24"/>
        </w:rPr>
        <w:t>l</w:t>
      </w:r>
      <w:r w:rsidRPr="00D75D2E">
        <w:rPr>
          <w:rFonts w:ascii="Times New Roman" w:hAnsi="Times New Roman"/>
          <w:sz w:val="24"/>
          <w:szCs w:val="24"/>
        </w:rPr>
        <w:t xml:space="preserve">es </w:t>
      </w:r>
      <w:r w:rsidRPr="00D75D2E">
        <w:rPr>
          <w:rFonts w:ascii="Times New Roman" w:hAnsi="Times New Roman"/>
          <w:spacing w:val="-1"/>
          <w:sz w:val="24"/>
          <w:szCs w:val="24"/>
        </w:rPr>
        <w:t>m</w:t>
      </w:r>
      <w:r w:rsidRPr="00D75D2E">
        <w:rPr>
          <w:rFonts w:ascii="Times New Roman" w:hAnsi="Times New Roman"/>
          <w:sz w:val="24"/>
          <w:szCs w:val="24"/>
        </w:rPr>
        <w:t>e</w:t>
      </w:r>
      <w:r w:rsidRPr="00D75D2E">
        <w:rPr>
          <w:rFonts w:ascii="Times New Roman" w:hAnsi="Times New Roman"/>
          <w:spacing w:val="-1"/>
          <w:sz w:val="24"/>
          <w:szCs w:val="24"/>
        </w:rPr>
        <w:t>i</w:t>
      </w:r>
      <w:r w:rsidRPr="00D75D2E">
        <w:rPr>
          <w:rFonts w:ascii="Times New Roman" w:hAnsi="Times New Roman"/>
          <w:spacing w:val="1"/>
          <w:sz w:val="24"/>
          <w:szCs w:val="24"/>
        </w:rPr>
        <w:t>l</w:t>
      </w:r>
      <w:r w:rsidRPr="00D75D2E">
        <w:rPr>
          <w:rFonts w:ascii="Times New Roman" w:hAnsi="Times New Roman"/>
          <w:spacing w:val="-1"/>
          <w:sz w:val="24"/>
          <w:szCs w:val="24"/>
        </w:rPr>
        <w:t>l</w:t>
      </w:r>
      <w:r w:rsidRPr="00D75D2E">
        <w:rPr>
          <w:rFonts w:ascii="Times New Roman" w:hAnsi="Times New Roman"/>
          <w:sz w:val="24"/>
          <w:szCs w:val="24"/>
        </w:rPr>
        <w:t>eu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é</w:t>
      </w:r>
      <w:r w:rsidRPr="00D75D2E">
        <w:rPr>
          <w:rFonts w:ascii="Times New Roman" w:hAnsi="Times New Roman"/>
          <w:spacing w:val="1"/>
          <w:sz w:val="24"/>
          <w:szCs w:val="24"/>
        </w:rPr>
        <w:t>l</w:t>
      </w:r>
      <w:r w:rsidRPr="00D75D2E">
        <w:rPr>
          <w:rFonts w:ascii="Times New Roman" w:hAnsi="Times New Roman"/>
          <w:spacing w:val="-2"/>
          <w:sz w:val="24"/>
          <w:szCs w:val="24"/>
        </w:rPr>
        <w:t>a</w:t>
      </w:r>
      <w:r w:rsidRPr="00D75D2E">
        <w:rPr>
          <w:rFonts w:ascii="Times New Roman" w:hAnsi="Times New Roman"/>
          <w:spacing w:val="1"/>
          <w:sz w:val="24"/>
          <w:szCs w:val="24"/>
        </w:rPr>
        <w:t>i</w:t>
      </w:r>
      <w:r w:rsidRPr="00D75D2E">
        <w:rPr>
          <w:rFonts w:ascii="Times New Roman" w:hAnsi="Times New Roman"/>
          <w:sz w:val="24"/>
          <w:szCs w:val="24"/>
        </w:rPr>
        <w:t xml:space="preserve">s </w:t>
      </w:r>
      <w:r w:rsidRPr="00D75D2E">
        <w:rPr>
          <w:rFonts w:ascii="Times New Roman" w:hAnsi="Times New Roman"/>
          <w:spacing w:val="-2"/>
          <w:sz w:val="24"/>
          <w:szCs w:val="24"/>
        </w:rPr>
        <w:t>p</w:t>
      </w:r>
      <w:r w:rsidRPr="00D75D2E">
        <w:rPr>
          <w:rFonts w:ascii="Times New Roman" w:hAnsi="Times New Roman"/>
          <w:sz w:val="24"/>
          <w:szCs w:val="24"/>
        </w:rPr>
        <w:t>os</w:t>
      </w:r>
      <w:r w:rsidRPr="00D75D2E">
        <w:rPr>
          <w:rFonts w:ascii="Times New Roman" w:hAnsi="Times New Roman"/>
          <w:spacing w:val="-2"/>
          <w:sz w:val="24"/>
          <w:szCs w:val="24"/>
        </w:rPr>
        <w:t>s</w:t>
      </w:r>
      <w:r w:rsidRPr="00D75D2E">
        <w:rPr>
          <w:rFonts w:ascii="Times New Roman" w:hAnsi="Times New Roman"/>
          <w:spacing w:val="1"/>
          <w:sz w:val="24"/>
          <w:szCs w:val="24"/>
        </w:rPr>
        <w:t>i</w:t>
      </w:r>
      <w:r w:rsidRPr="00D75D2E">
        <w:rPr>
          <w:rFonts w:ascii="Times New Roman" w:hAnsi="Times New Roman"/>
          <w:spacing w:val="-2"/>
          <w:sz w:val="24"/>
          <w:szCs w:val="24"/>
        </w:rPr>
        <w:t>b</w:t>
      </w:r>
      <w:r w:rsidRPr="00D75D2E">
        <w:rPr>
          <w:rFonts w:ascii="Times New Roman" w:hAnsi="Times New Roman"/>
          <w:spacing w:val="-1"/>
          <w:sz w:val="24"/>
          <w:szCs w:val="24"/>
        </w:rPr>
        <w:t>l</w:t>
      </w:r>
      <w:r w:rsidRPr="00D75D2E">
        <w:rPr>
          <w:rFonts w:ascii="Times New Roman" w:hAnsi="Times New Roman"/>
          <w:sz w:val="24"/>
          <w:szCs w:val="24"/>
        </w:rPr>
        <w:t>es ;</w:t>
      </w:r>
    </w:p>
    <w:p w14:paraId="728D130A"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ne p</w:t>
      </w:r>
      <w:r w:rsidRPr="00D75D2E">
        <w:rPr>
          <w:rFonts w:ascii="Times New Roman" w:hAnsi="Times New Roman"/>
          <w:spacing w:val="-1"/>
          <w:sz w:val="24"/>
          <w:szCs w:val="24"/>
        </w:rPr>
        <w:t>r</w:t>
      </w:r>
      <w:r w:rsidRPr="00D75D2E">
        <w:rPr>
          <w:rFonts w:ascii="Times New Roman" w:hAnsi="Times New Roman"/>
          <w:spacing w:val="-2"/>
          <w:sz w:val="24"/>
          <w:szCs w:val="24"/>
        </w:rPr>
        <w:t>é</w:t>
      </w:r>
      <w:r w:rsidRPr="00D75D2E">
        <w:rPr>
          <w:rFonts w:ascii="Times New Roman" w:hAnsi="Times New Roman"/>
          <w:spacing w:val="1"/>
          <w:sz w:val="24"/>
          <w:szCs w:val="24"/>
        </w:rPr>
        <w:t>l</w:t>
      </w:r>
      <w:r w:rsidRPr="00D75D2E">
        <w:rPr>
          <w:rFonts w:ascii="Times New Roman" w:hAnsi="Times New Roman"/>
          <w:sz w:val="24"/>
          <w:szCs w:val="24"/>
        </w:rPr>
        <w:t>e</w:t>
      </w:r>
      <w:r w:rsidRPr="00D75D2E">
        <w:rPr>
          <w:rFonts w:ascii="Times New Roman" w:hAnsi="Times New Roman"/>
          <w:spacing w:val="-2"/>
          <w:sz w:val="24"/>
          <w:szCs w:val="24"/>
        </w:rPr>
        <w:t>v</w:t>
      </w:r>
      <w:r w:rsidRPr="00D75D2E">
        <w:rPr>
          <w:rFonts w:ascii="Times New Roman" w:hAnsi="Times New Roman"/>
          <w:sz w:val="24"/>
          <w:szCs w:val="24"/>
        </w:rPr>
        <w:t xml:space="preserve">er en </w:t>
      </w:r>
      <w:r w:rsidRPr="00D75D2E">
        <w:rPr>
          <w:rFonts w:ascii="Times New Roman" w:hAnsi="Times New Roman"/>
          <w:spacing w:val="-2"/>
          <w:sz w:val="24"/>
          <w:szCs w:val="24"/>
        </w:rPr>
        <w:t>a</w:t>
      </w:r>
      <w:r w:rsidRPr="00D75D2E">
        <w:rPr>
          <w:rFonts w:ascii="Times New Roman" w:hAnsi="Times New Roman"/>
          <w:sz w:val="24"/>
          <w:szCs w:val="24"/>
        </w:rPr>
        <w:t>uc</w:t>
      </w:r>
      <w:r w:rsidRPr="00D75D2E">
        <w:rPr>
          <w:rFonts w:ascii="Times New Roman" w:hAnsi="Times New Roman"/>
          <w:spacing w:val="-2"/>
          <w:sz w:val="24"/>
          <w:szCs w:val="24"/>
        </w:rPr>
        <w:t>u</w:t>
      </w:r>
      <w:r w:rsidRPr="00D75D2E">
        <w:rPr>
          <w:rFonts w:ascii="Times New Roman" w:hAnsi="Times New Roman"/>
          <w:sz w:val="24"/>
          <w:szCs w:val="24"/>
        </w:rPr>
        <w:t xml:space="preserve">n cas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m</w:t>
      </w:r>
      <w:r w:rsidRPr="00D75D2E">
        <w:rPr>
          <w:rFonts w:ascii="Times New Roman" w:hAnsi="Times New Roman"/>
          <w:sz w:val="24"/>
          <w:szCs w:val="24"/>
        </w:rPr>
        <w:t>a</w:t>
      </w:r>
      <w:r w:rsidRPr="00D75D2E">
        <w:rPr>
          <w:rFonts w:ascii="Times New Roman" w:hAnsi="Times New Roman"/>
          <w:spacing w:val="-1"/>
          <w:sz w:val="24"/>
          <w:szCs w:val="24"/>
        </w:rPr>
        <w:t>t</w:t>
      </w:r>
      <w:r w:rsidRPr="00D75D2E">
        <w:rPr>
          <w:rFonts w:ascii="Times New Roman" w:hAnsi="Times New Roman"/>
          <w:sz w:val="24"/>
          <w:szCs w:val="24"/>
        </w:rPr>
        <w:t>é</w:t>
      </w:r>
      <w:r w:rsidRPr="00D75D2E">
        <w:rPr>
          <w:rFonts w:ascii="Times New Roman" w:hAnsi="Times New Roman"/>
          <w:spacing w:val="-3"/>
          <w:sz w:val="24"/>
          <w:szCs w:val="24"/>
        </w:rPr>
        <w:t>r</w:t>
      </w:r>
      <w:r w:rsidRPr="00D75D2E">
        <w:rPr>
          <w:rFonts w:ascii="Times New Roman" w:hAnsi="Times New Roman"/>
          <w:spacing w:val="1"/>
          <w:sz w:val="24"/>
          <w:szCs w:val="24"/>
        </w:rPr>
        <w:t>i</w:t>
      </w:r>
      <w:r w:rsidRPr="00D75D2E">
        <w:rPr>
          <w:rFonts w:ascii="Times New Roman" w:hAnsi="Times New Roman"/>
          <w:sz w:val="24"/>
          <w:szCs w:val="24"/>
        </w:rPr>
        <w:t>au g</w:t>
      </w:r>
      <w:r w:rsidRPr="00D75D2E">
        <w:rPr>
          <w:rFonts w:ascii="Times New Roman" w:hAnsi="Times New Roman"/>
          <w:spacing w:val="-1"/>
          <w:sz w:val="24"/>
          <w:szCs w:val="24"/>
        </w:rPr>
        <w:t>r</w:t>
      </w:r>
      <w:r w:rsidRPr="00D75D2E">
        <w:rPr>
          <w:rFonts w:ascii="Times New Roman" w:hAnsi="Times New Roman"/>
          <w:sz w:val="24"/>
          <w:szCs w:val="24"/>
        </w:rPr>
        <w:t>an</w:t>
      </w:r>
      <w:r w:rsidRPr="00D75D2E">
        <w:rPr>
          <w:rFonts w:ascii="Times New Roman" w:hAnsi="Times New Roman"/>
          <w:spacing w:val="-2"/>
          <w:sz w:val="24"/>
          <w:szCs w:val="24"/>
        </w:rPr>
        <w:t>u</w:t>
      </w:r>
      <w:r w:rsidRPr="00D75D2E">
        <w:rPr>
          <w:rFonts w:ascii="Times New Roman" w:hAnsi="Times New Roman"/>
          <w:spacing w:val="1"/>
          <w:sz w:val="24"/>
          <w:szCs w:val="24"/>
        </w:rPr>
        <w:t>l</w:t>
      </w:r>
      <w:r w:rsidRPr="00D75D2E">
        <w:rPr>
          <w:rFonts w:ascii="Times New Roman" w:hAnsi="Times New Roman"/>
          <w:spacing w:val="-2"/>
          <w:sz w:val="24"/>
          <w:szCs w:val="24"/>
        </w:rPr>
        <w:t>a</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2"/>
          <w:sz w:val="24"/>
          <w:szCs w:val="24"/>
        </w:rPr>
        <w:t>su</w:t>
      </w:r>
      <w:r w:rsidRPr="00D75D2E">
        <w:rPr>
          <w:rFonts w:ascii="Times New Roman" w:hAnsi="Times New Roman"/>
          <w:sz w:val="24"/>
          <w:szCs w:val="24"/>
        </w:rPr>
        <w:t xml:space="preserve">r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1"/>
          <w:sz w:val="24"/>
          <w:szCs w:val="24"/>
        </w:rPr>
        <w:t>l</w:t>
      </w:r>
      <w:r w:rsidRPr="00D75D2E">
        <w:rPr>
          <w:rFonts w:ascii="Times New Roman" w:hAnsi="Times New Roman"/>
          <w:spacing w:val="1"/>
          <w:sz w:val="24"/>
          <w:szCs w:val="24"/>
        </w:rPr>
        <w:t>i</w:t>
      </w:r>
      <w:r w:rsidRPr="00D75D2E">
        <w:rPr>
          <w:rFonts w:ascii="Times New Roman" w:hAnsi="Times New Roman"/>
          <w:sz w:val="24"/>
          <w:szCs w:val="24"/>
        </w:rPr>
        <w:t xml:space="preserve">t et </w:t>
      </w:r>
      <w:r w:rsidRPr="00D75D2E">
        <w:rPr>
          <w:rFonts w:ascii="Times New Roman" w:hAnsi="Times New Roman"/>
          <w:spacing w:val="1"/>
          <w:sz w:val="24"/>
          <w:szCs w:val="24"/>
        </w:rPr>
        <w:t>l</w:t>
      </w:r>
      <w:r w:rsidRPr="00D75D2E">
        <w:rPr>
          <w:rFonts w:ascii="Times New Roman" w:hAnsi="Times New Roman"/>
          <w:sz w:val="24"/>
          <w:szCs w:val="24"/>
        </w:rPr>
        <w:t>es be</w:t>
      </w:r>
      <w:r w:rsidRPr="00D75D2E">
        <w:rPr>
          <w:rFonts w:ascii="Times New Roman" w:hAnsi="Times New Roman"/>
          <w:spacing w:val="-1"/>
          <w:sz w:val="24"/>
          <w:szCs w:val="24"/>
        </w:rPr>
        <w:t>r</w:t>
      </w:r>
      <w:r w:rsidRPr="00D75D2E">
        <w:rPr>
          <w:rFonts w:ascii="Times New Roman" w:hAnsi="Times New Roman"/>
          <w:spacing w:val="-2"/>
          <w:sz w:val="24"/>
          <w:szCs w:val="24"/>
        </w:rPr>
        <w:t>g</w:t>
      </w:r>
      <w:r w:rsidRPr="00D75D2E">
        <w:rPr>
          <w:rFonts w:ascii="Times New Roman" w:hAnsi="Times New Roman"/>
          <w:sz w:val="24"/>
          <w:szCs w:val="24"/>
        </w:rPr>
        <w:t>es d</w:t>
      </w:r>
      <w:r w:rsidRPr="00D75D2E">
        <w:rPr>
          <w:rFonts w:ascii="Times New Roman" w:hAnsi="Times New Roman"/>
          <w:spacing w:val="-2"/>
          <w:sz w:val="24"/>
          <w:szCs w:val="24"/>
        </w:rPr>
        <w:t>'</w:t>
      </w:r>
      <w:r w:rsidRPr="00D75D2E">
        <w:rPr>
          <w:rFonts w:ascii="Times New Roman" w:hAnsi="Times New Roman"/>
          <w:sz w:val="24"/>
          <w:szCs w:val="24"/>
        </w:rPr>
        <w:t>un cou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2"/>
          <w:sz w:val="24"/>
          <w:szCs w:val="24"/>
        </w:rPr>
        <w:t>a</w:t>
      </w:r>
      <w:r w:rsidRPr="00D75D2E">
        <w:rPr>
          <w:rFonts w:ascii="Times New Roman" w:hAnsi="Times New Roman"/>
          <w:sz w:val="24"/>
          <w:szCs w:val="24"/>
        </w:rPr>
        <w:t>u po</w:t>
      </w:r>
      <w:r w:rsidRPr="00D75D2E">
        <w:rPr>
          <w:rFonts w:ascii="Times New Roman" w:hAnsi="Times New Roman"/>
          <w:spacing w:val="-2"/>
          <w:sz w:val="24"/>
          <w:szCs w:val="24"/>
        </w:rPr>
        <w:t>u</w:t>
      </w:r>
      <w:r w:rsidRPr="00D75D2E">
        <w:rPr>
          <w:rFonts w:ascii="Times New Roman" w:hAnsi="Times New Roman"/>
          <w:sz w:val="24"/>
          <w:szCs w:val="24"/>
        </w:rPr>
        <w:t>r se</w:t>
      </w:r>
      <w:r w:rsidRPr="00D75D2E">
        <w:rPr>
          <w:rFonts w:ascii="Times New Roman" w:hAnsi="Times New Roman"/>
          <w:spacing w:val="-1"/>
          <w:sz w:val="24"/>
          <w:szCs w:val="24"/>
        </w:rPr>
        <w:t>r</w:t>
      </w:r>
      <w:r w:rsidRPr="00D75D2E">
        <w:rPr>
          <w:rFonts w:ascii="Times New Roman" w:hAnsi="Times New Roman"/>
          <w:spacing w:val="-2"/>
          <w:sz w:val="24"/>
          <w:szCs w:val="24"/>
        </w:rPr>
        <w:t>v</w:t>
      </w:r>
      <w:r w:rsidRPr="00D75D2E">
        <w:rPr>
          <w:rFonts w:ascii="Times New Roman" w:hAnsi="Times New Roman"/>
          <w:spacing w:val="1"/>
          <w:sz w:val="24"/>
          <w:szCs w:val="24"/>
        </w:rPr>
        <w:t>i</w:t>
      </w:r>
      <w:r w:rsidRPr="00D75D2E">
        <w:rPr>
          <w:rFonts w:ascii="Times New Roman" w:hAnsi="Times New Roman"/>
          <w:sz w:val="24"/>
          <w:szCs w:val="24"/>
        </w:rPr>
        <w:t xml:space="preserve">r de </w:t>
      </w:r>
      <w:r w:rsidRPr="00D75D2E">
        <w:rPr>
          <w:rFonts w:ascii="Times New Roman" w:hAnsi="Times New Roman"/>
          <w:spacing w:val="-1"/>
          <w:sz w:val="24"/>
          <w:szCs w:val="24"/>
        </w:rPr>
        <w:t>r</w:t>
      </w:r>
      <w:r w:rsidRPr="00D75D2E">
        <w:rPr>
          <w:rFonts w:ascii="Times New Roman" w:hAnsi="Times New Roman"/>
          <w:sz w:val="24"/>
          <w:szCs w:val="24"/>
        </w:rPr>
        <w:t>e</w:t>
      </w:r>
      <w:r w:rsidRPr="00D75D2E">
        <w:rPr>
          <w:rFonts w:ascii="Times New Roman" w:hAnsi="Times New Roman"/>
          <w:spacing w:val="-1"/>
          <w:sz w:val="24"/>
          <w:szCs w:val="24"/>
        </w:rPr>
        <w:t>m</w:t>
      </w:r>
      <w:r w:rsidRPr="00D75D2E">
        <w:rPr>
          <w:rFonts w:ascii="Times New Roman" w:hAnsi="Times New Roman"/>
          <w:sz w:val="24"/>
          <w:szCs w:val="24"/>
        </w:rPr>
        <w:t>b</w:t>
      </w:r>
      <w:r w:rsidRPr="00D75D2E">
        <w:rPr>
          <w:rFonts w:ascii="Times New Roman" w:hAnsi="Times New Roman"/>
          <w:spacing w:val="-1"/>
          <w:sz w:val="24"/>
          <w:szCs w:val="24"/>
        </w:rPr>
        <w:t>l</w:t>
      </w:r>
      <w:r w:rsidRPr="00D75D2E">
        <w:rPr>
          <w:rFonts w:ascii="Times New Roman" w:hAnsi="Times New Roman"/>
          <w:sz w:val="24"/>
          <w:szCs w:val="24"/>
        </w:rPr>
        <w:t>ai ou la fabrication du béton ;</w:t>
      </w:r>
    </w:p>
    <w:p w14:paraId="29206C9B"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s'</w:t>
      </w:r>
      <w:r w:rsidRPr="00D75D2E">
        <w:rPr>
          <w:rFonts w:ascii="Times New Roman" w:hAnsi="Times New Roman"/>
          <w:spacing w:val="-1"/>
          <w:sz w:val="24"/>
          <w:szCs w:val="24"/>
        </w:rPr>
        <w:t>i</w:t>
      </w:r>
      <w:r w:rsidRPr="00D75D2E">
        <w:rPr>
          <w:rFonts w:ascii="Times New Roman" w:hAnsi="Times New Roman"/>
          <w:sz w:val="24"/>
          <w:szCs w:val="24"/>
        </w:rPr>
        <w:t xml:space="preserve">l y a </w:t>
      </w:r>
      <w:r w:rsidRPr="00D75D2E">
        <w:rPr>
          <w:rFonts w:ascii="Times New Roman" w:hAnsi="Times New Roman"/>
          <w:spacing w:val="-1"/>
          <w:sz w:val="24"/>
          <w:szCs w:val="24"/>
        </w:rPr>
        <w:t>r</w:t>
      </w:r>
      <w:r w:rsidRPr="00D75D2E">
        <w:rPr>
          <w:rFonts w:ascii="Times New Roman" w:hAnsi="Times New Roman"/>
          <w:spacing w:val="1"/>
          <w:sz w:val="24"/>
          <w:szCs w:val="24"/>
        </w:rPr>
        <w:t>i</w:t>
      </w:r>
      <w:r w:rsidRPr="00D75D2E">
        <w:rPr>
          <w:rFonts w:ascii="Times New Roman" w:hAnsi="Times New Roman"/>
          <w:sz w:val="24"/>
          <w:szCs w:val="24"/>
        </w:rPr>
        <w:t>s</w:t>
      </w:r>
      <w:r w:rsidRPr="00D75D2E">
        <w:rPr>
          <w:rFonts w:ascii="Times New Roman" w:hAnsi="Times New Roman"/>
          <w:spacing w:val="-2"/>
          <w:sz w:val="24"/>
          <w:szCs w:val="24"/>
        </w:rPr>
        <w:t>q</w:t>
      </w:r>
      <w:r w:rsidRPr="00D75D2E">
        <w:rPr>
          <w:rFonts w:ascii="Times New Roman" w:hAnsi="Times New Roman"/>
          <w:sz w:val="24"/>
          <w:szCs w:val="24"/>
        </w:rPr>
        <w:t xml:space="preserve">ue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2"/>
          <w:sz w:val="24"/>
          <w:szCs w:val="24"/>
        </w:rPr>
        <w:t>n</w:t>
      </w:r>
      <w:r w:rsidRPr="00D75D2E">
        <w:rPr>
          <w:rFonts w:ascii="Times New Roman" w:hAnsi="Times New Roman"/>
          <w:sz w:val="24"/>
          <w:szCs w:val="24"/>
        </w:rPr>
        <w:t>d</w:t>
      </w:r>
      <w:r w:rsidRPr="00D75D2E">
        <w:rPr>
          <w:rFonts w:ascii="Times New Roman" w:hAnsi="Times New Roman"/>
          <w:spacing w:val="-2"/>
          <w:sz w:val="24"/>
          <w:szCs w:val="24"/>
        </w:rPr>
        <w:t>o</w:t>
      </w:r>
      <w:r w:rsidRPr="00D75D2E">
        <w:rPr>
          <w:rFonts w:ascii="Times New Roman" w:hAnsi="Times New Roman"/>
          <w:spacing w:val="-1"/>
          <w:sz w:val="24"/>
          <w:szCs w:val="24"/>
        </w:rPr>
        <w:t>m</w:t>
      </w:r>
      <w:r w:rsidRPr="00D75D2E">
        <w:rPr>
          <w:rFonts w:ascii="Times New Roman" w:hAnsi="Times New Roman"/>
          <w:spacing w:val="2"/>
          <w:sz w:val="24"/>
          <w:szCs w:val="24"/>
        </w:rPr>
        <w:t>m</w:t>
      </w:r>
      <w:r w:rsidRPr="00D75D2E">
        <w:rPr>
          <w:rFonts w:ascii="Times New Roman" w:hAnsi="Times New Roman"/>
          <w:spacing w:val="-2"/>
          <w:sz w:val="24"/>
          <w:szCs w:val="24"/>
        </w:rPr>
        <w:t>a</w:t>
      </w:r>
      <w:r w:rsidRPr="00D75D2E">
        <w:rPr>
          <w:rFonts w:ascii="Times New Roman" w:hAnsi="Times New Roman"/>
          <w:sz w:val="24"/>
          <w:szCs w:val="24"/>
        </w:rPr>
        <w:t xml:space="preserve">ger </w:t>
      </w:r>
      <w:r w:rsidRPr="00D75D2E">
        <w:rPr>
          <w:rFonts w:ascii="Times New Roman" w:hAnsi="Times New Roman"/>
          <w:spacing w:val="1"/>
          <w:sz w:val="24"/>
          <w:szCs w:val="24"/>
        </w:rPr>
        <w:t>l</w:t>
      </w:r>
      <w:r w:rsidRPr="00D75D2E">
        <w:rPr>
          <w:rFonts w:ascii="Times New Roman" w:hAnsi="Times New Roman"/>
          <w:sz w:val="24"/>
          <w:szCs w:val="24"/>
        </w:rPr>
        <w:t>es be</w:t>
      </w:r>
      <w:r w:rsidRPr="00D75D2E">
        <w:rPr>
          <w:rFonts w:ascii="Times New Roman" w:hAnsi="Times New Roman"/>
          <w:spacing w:val="-1"/>
          <w:sz w:val="24"/>
          <w:szCs w:val="24"/>
        </w:rPr>
        <w:t>r</w:t>
      </w:r>
      <w:r w:rsidRPr="00D75D2E">
        <w:rPr>
          <w:rFonts w:ascii="Times New Roman" w:hAnsi="Times New Roman"/>
          <w:sz w:val="24"/>
          <w:szCs w:val="24"/>
        </w:rPr>
        <w:t>g</w:t>
      </w:r>
      <w:r w:rsidRPr="00D75D2E">
        <w:rPr>
          <w:rFonts w:ascii="Times New Roman" w:hAnsi="Times New Roman"/>
          <w:spacing w:val="-2"/>
          <w:sz w:val="24"/>
          <w:szCs w:val="24"/>
        </w:rPr>
        <w:t>e</w:t>
      </w:r>
      <w:r w:rsidRPr="00D75D2E">
        <w:rPr>
          <w:rFonts w:ascii="Times New Roman" w:hAnsi="Times New Roman"/>
          <w:sz w:val="24"/>
          <w:szCs w:val="24"/>
        </w:rPr>
        <w:t>s, installer u</w:t>
      </w:r>
      <w:r w:rsidRPr="00D75D2E">
        <w:rPr>
          <w:rFonts w:ascii="Times New Roman" w:hAnsi="Times New Roman"/>
          <w:spacing w:val="-2"/>
          <w:sz w:val="24"/>
          <w:szCs w:val="24"/>
        </w:rPr>
        <w:t>n</w:t>
      </w:r>
      <w:r w:rsidRPr="00D75D2E">
        <w:rPr>
          <w:rFonts w:ascii="Times New Roman" w:hAnsi="Times New Roman"/>
          <w:sz w:val="24"/>
          <w:szCs w:val="24"/>
        </w:rPr>
        <w:t>e 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1"/>
          <w:sz w:val="24"/>
          <w:szCs w:val="24"/>
        </w:rPr>
        <w:t>t</w:t>
      </w:r>
      <w:r w:rsidRPr="00D75D2E">
        <w:rPr>
          <w:rFonts w:ascii="Times New Roman" w:hAnsi="Times New Roman"/>
          <w:spacing w:val="-2"/>
          <w:sz w:val="24"/>
          <w:szCs w:val="24"/>
        </w:rPr>
        <w:t>e</w:t>
      </w:r>
      <w:r w:rsidRPr="00D75D2E">
        <w:rPr>
          <w:rFonts w:ascii="Times New Roman" w:hAnsi="Times New Roman"/>
          <w:sz w:val="24"/>
          <w:szCs w:val="24"/>
        </w:rPr>
        <w:t>c</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pacing w:val="-2"/>
          <w:sz w:val="24"/>
          <w:szCs w:val="24"/>
        </w:rPr>
        <w:t>o</w:t>
      </w:r>
      <w:r w:rsidRPr="00D75D2E">
        <w:rPr>
          <w:rFonts w:ascii="Times New Roman" w:hAnsi="Times New Roman"/>
          <w:sz w:val="24"/>
          <w:szCs w:val="24"/>
        </w:rPr>
        <w:t>n</w:t>
      </w:r>
      <w:r w:rsidRPr="00D75D2E">
        <w:rPr>
          <w:rFonts w:ascii="Times New Roman" w:hAnsi="Times New Roman"/>
          <w:spacing w:val="-1"/>
          <w:sz w:val="24"/>
          <w:szCs w:val="24"/>
        </w:rPr>
        <w:t xml:space="preserve"> (</w:t>
      </w:r>
      <w:r w:rsidRPr="00D75D2E">
        <w:rPr>
          <w:rFonts w:ascii="Times New Roman" w:hAnsi="Times New Roman"/>
          <w:sz w:val="24"/>
          <w:szCs w:val="24"/>
        </w:rPr>
        <w:t>a</w:t>
      </w:r>
      <w:r w:rsidRPr="00D75D2E">
        <w:rPr>
          <w:rFonts w:ascii="Times New Roman" w:hAnsi="Times New Roman"/>
          <w:spacing w:val="-1"/>
          <w:sz w:val="24"/>
          <w:szCs w:val="24"/>
        </w:rPr>
        <w:t>r</w:t>
      </w:r>
      <w:r w:rsidRPr="00D75D2E">
        <w:rPr>
          <w:rFonts w:ascii="Times New Roman" w:hAnsi="Times New Roman"/>
          <w:sz w:val="24"/>
          <w:szCs w:val="24"/>
        </w:rPr>
        <w:t>b</w:t>
      </w:r>
      <w:r w:rsidRPr="00D75D2E">
        <w:rPr>
          <w:rFonts w:ascii="Times New Roman" w:hAnsi="Times New Roman"/>
          <w:spacing w:val="-1"/>
          <w:sz w:val="24"/>
          <w:szCs w:val="24"/>
        </w:rPr>
        <w:t>r</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2"/>
          <w:sz w:val="24"/>
          <w:szCs w:val="24"/>
        </w:rPr>
        <w:t>m</w:t>
      </w:r>
      <w:r w:rsidRPr="00D75D2E">
        <w:rPr>
          <w:rFonts w:ascii="Times New Roman" w:hAnsi="Times New Roman"/>
          <w:spacing w:val="-2"/>
          <w:sz w:val="24"/>
          <w:szCs w:val="24"/>
        </w:rPr>
        <w:t>a</w:t>
      </w:r>
      <w:r w:rsidRPr="00D75D2E">
        <w:rPr>
          <w:rFonts w:ascii="Times New Roman" w:hAnsi="Times New Roman"/>
          <w:sz w:val="24"/>
          <w:szCs w:val="24"/>
        </w:rPr>
        <w:t>d</w:t>
      </w:r>
      <w:r w:rsidRPr="00D75D2E">
        <w:rPr>
          <w:rFonts w:ascii="Times New Roman" w:hAnsi="Times New Roman"/>
          <w:spacing w:val="-1"/>
          <w:sz w:val="24"/>
          <w:szCs w:val="24"/>
        </w:rPr>
        <w:t>ri</w:t>
      </w:r>
      <w:r w:rsidRPr="00D75D2E">
        <w:rPr>
          <w:rFonts w:ascii="Times New Roman" w:hAnsi="Times New Roman"/>
          <w:sz w:val="24"/>
          <w:szCs w:val="24"/>
        </w:rPr>
        <w:t>e</w:t>
      </w:r>
      <w:r w:rsidRPr="00D75D2E">
        <w:rPr>
          <w:rFonts w:ascii="Times New Roman" w:hAnsi="Times New Roman"/>
          <w:spacing w:val="-1"/>
          <w:sz w:val="24"/>
          <w:szCs w:val="24"/>
        </w:rPr>
        <w:t>r</w:t>
      </w:r>
      <w:r w:rsidRPr="00D75D2E">
        <w:rPr>
          <w:rFonts w:ascii="Times New Roman" w:hAnsi="Times New Roman"/>
          <w:sz w:val="24"/>
          <w:szCs w:val="24"/>
        </w:rPr>
        <w:t>s, g</w:t>
      </w:r>
      <w:r w:rsidRPr="00D75D2E">
        <w:rPr>
          <w:rFonts w:ascii="Times New Roman" w:hAnsi="Times New Roman"/>
          <w:spacing w:val="-1"/>
          <w:sz w:val="24"/>
          <w:szCs w:val="24"/>
        </w:rPr>
        <w:t>rill</w:t>
      </w:r>
      <w:r w:rsidRPr="00D75D2E">
        <w:rPr>
          <w:rFonts w:ascii="Times New Roman" w:hAnsi="Times New Roman"/>
          <w:sz w:val="24"/>
          <w:szCs w:val="24"/>
        </w:rPr>
        <w:t xml:space="preserve">e </w:t>
      </w:r>
      <w:r w:rsidRPr="00D75D2E">
        <w:rPr>
          <w:rFonts w:ascii="Times New Roman" w:hAnsi="Times New Roman"/>
          <w:spacing w:val="2"/>
          <w:sz w:val="24"/>
          <w:szCs w:val="24"/>
        </w:rPr>
        <w:t>m</w:t>
      </w:r>
      <w:r w:rsidRPr="00D75D2E">
        <w:rPr>
          <w:rFonts w:ascii="Times New Roman" w:hAnsi="Times New Roman"/>
          <w:sz w:val="24"/>
          <w:szCs w:val="24"/>
        </w:rPr>
        <w:t>é</w:t>
      </w:r>
      <w:r w:rsidRPr="00D75D2E">
        <w:rPr>
          <w:rFonts w:ascii="Times New Roman" w:hAnsi="Times New Roman"/>
          <w:spacing w:val="-1"/>
          <w:sz w:val="24"/>
          <w:szCs w:val="24"/>
        </w:rPr>
        <w:t>t</w:t>
      </w:r>
      <w:r w:rsidRPr="00D75D2E">
        <w:rPr>
          <w:rFonts w:ascii="Times New Roman" w:hAnsi="Times New Roman"/>
          <w:spacing w:val="-2"/>
          <w:sz w:val="24"/>
          <w:szCs w:val="24"/>
        </w:rPr>
        <w:t>a</w:t>
      </w:r>
      <w:r w:rsidRPr="00D75D2E">
        <w:rPr>
          <w:rFonts w:ascii="Times New Roman" w:hAnsi="Times New Roman"/>
          <w:spacing w:val="-1"/>
          <w:sz w:val="24"/>
          <w:szCs w:val="24"/>
        </w:rPr>
        <w:t>l</w:t>
      </w:r>
      <w:r w:rsidRPr="00D75D2E">
        <w:rPr>
          <w:rFonts w:ascii="Times New Roman" w:hAnsi="Times New Roman"/>
          <w:spacing w:val="1"/>
          <w:sz w:val="24"/>
          <w:szCs w:val="24"/>
        </w:rPr>
        <w:t>li</w:t>
      </w:r>
      <w:r w:rsidRPr="00D75D2E">
        <w:rPr>
          <w:rFonts w:ascii="Times New Roman" w:hAnsi="Times New Roman"/>
          <w:spacing w:val="-2"/>
          <w:sz w:val="24"/>
          <w:szCs w:val="24"/>
        </w:rPr>
        <w:t>q</w:t>
      </w:r>
      <w:r w:rsidRPr="00D75D2E">
        <w:rPr>
          <w:rFonts w:ascii="Times New Roman" w:hAnsi="Times New Roman"/>
          <w:sz w:val="24"/>
          <w:szCs w:val="24"/>
        </w:rPr>
        <w:t>ue</w:t>
      </w:r>
      <w:r w:rsidRPr="00D75D2E">
        <w:rPr>
          <w:rFonts w:ascii="Times New Roman" w:hAnsi="Times New Roman"/>
          <w:spacing w:val="-1"/>
          <w:sz w:val="24"/>
          <w:szCs w:val="24"/>
        </w:rPr>
        <w:t>,...</w:t>
      </w:r>
      <w:r w:rsidRPr="00D75D2E">
        <w:rPr>
          <w:rFonts w:ascii="Times New Roman" w:hAnsi="Times New Roman"/>
          <w:sz w:val="24"/>
          <w:szCs w:val="24"/>
        </w:rPr>
        <w:t>) a</w:t>
      </w:r>
      <w:r w:rsidRPr="00D75D2E">
        <w:rPr>
          <w:rFonts w:ascii="Times New Roman" w:hAnsi="Times New Roman"/>
          <w:spacing w:val="-2"/>
          <w:sz w:val="24"/>
          <w:szCs w:val="24"/>
        </w:rPr>
        <w:t>v</w:t>
      </w:r>
      <w:r w:rsidRPr="00D75D2E">
        <w:rPr>
          <w:rFonts w:ascii="Times New Roman" w:hAnsi="Times New Roman"/>
          <w:sz w:val="24"/>
          <w:szCs w:val="24"/>
        </w:rPr>
        <w:t xml:space="preserve">ant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dé</w:t>
      </w:r>
      <w:r w:rsidRPr="00D75D2E">
        <w:rPr>
          <w:rFonts w:ascii="Times New Roman" w:hAnsi="Times New Roman"/>
          <w:sz w:val="24"/>
          <w:szCs w:val="24"/>
        </w:rPr>
        <w:t xml:space="preserve">but des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 xml:space="preserve">aux. </w:t>
      </w:r>
      <w:r w:rsidRPr="00D75D2E">
        <w:rPr>
          <w:rFonts w:ascii="Times New Roman" w:hAnsi="Times New Roman"/>
          <w:spacing w:val="1"/>
          <w:sz w:val="24"/>
          <w:szCs w:val="24"/>
        </w:rPr>
        <w:t>S</w:t>
      </w:r>
      <w:r w:rsidRPr="00D75D2E">
        <w:rPr>
          <w:rFonts w:ascii="Times New Roman" w:hAnsi="Times New Roman"/>
          <w:spacing w:val="-2"/>
          <w:sz w:val="24"/>
          <w:szCs w:val="24"/>
        </w:rPr>
        <w:t>'</w:t>
      </w:r>
      <w:r w:rsidRPr="00D75D2E">
        <w:rPr>
          <w:rFonts w:ascii="Times New Roman" w:hAnsi="Times New Roman"/>
          <w:spacing w:val="1"/>
          <w:sz w:val="24"/>
          <w:szCs w:val="24"/>
        </w:rPr>
        <w:t>i</w:t>
      </w:r>
      <w:r w:rsidRPr="00D75D2E">
        <w:rPr>
          <w:rFonts w:ascii="Times New Roman" w:hAnsi="Times New Roman"/>
          <w:sz w:val="24"/>
          <w:szCs w:val="24"/>
        </w:rPr>
        <w:t>l est néce</w:t>
      </w:r>
      <w:r w:rsidRPr="00D75D2E">
        <w:rPr>
          <w:rFonts w:ascii="Times New Roman" w:hAnsi="Times New Roman"/>
          <w:spacing w:val="-2"/>
          <w:sz w:val="24"/>
          <w:szCs w:val="24"/>
        </w:rPr>
        <w:t>s</w:t>
      </w:r>
      <w:r w:rsidRPr="00D75D2E">
        <w:rPr>
          <w:rFonts w:ascii="Times New Roman" w:hAnsi="Times New Roman"/>
          <w:sz w:val="24"/>
          <w:szCs w:val="24"/>
        </w:rPr>
        <w:t>s</w:t>
      </w:r>
      <w:r w:rsidRPr="00D75D2E">
        <w:rPr>
          <w:rFonts w:ascii="Times New Roman" w:hAnsi="Times New Roman"/>
          <w:spacing w:val="-2"/>
          <w:sz w:val="24"/>
          <w:szCs w:val="24"/>
        </w:rPr>
        <w:t>a</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2"/>
          <w:sz w:val="24"/>
          <w:szCs w:val="24"/>
        </w:rPr>
        <w:t>n</w:t>
      </w:r>
      <w:r w:rsidRPr="00D75D2E">
        <w:rPr>
          <w:rFonts w:ascii="Times New Roman" w:hAnsi="Times New Roman"/>
          <w:spacing w:val="1"/>
          <w:sz w:val="24"/>
          <w:szCs w:val="24"/>
        </w:rPr>
        <w:t>l</w:t>
      </w:r>
      <w:r w:rsidRPr="00D75D2E">
        <w:rPr>
          <w:rFonts w:ascii="Times New Roman" w:hAnsi="Times New Roman"/>
          <w:sz w:val="24"/>
          <w:szCs w:val="24"/>
        </w:rPr>
        <w:t>e</w:t>
      </w:r>
      <w:r w:rsidRPr="00D75D2E">
        <w:rPr>
          <w:rFonts w:ascii="Times New Roman" w:hAnsi="Times New Roman"/>
          <w:spacing w:val="-2"/>
          <w:sz w:val="24"/>
          <w:szCs w:val="24"/>
        </w:rPr>
        <w:t>v</w:t>
      </w:r>
      <w:r w:rsidRPr="00D75D2E">
        <w:rPr>
          <w:rFonts w:ascii="Times New Roman" w:hAnsi="Times New Roman"/>
          <w:sz w:val="24"/>
          <w:szCs w:val="24"/>
        </w:rPr>
        <w:t xml:space="preserve">er </w:t>
      </w:r>
      <w:r w:rsidRPr="00D75D2E">
        <w:rPr>
          <w:rFonts w:ascii="Times New Roman" w:hAnsi="Times New Roman"/>
          <w:spacing w:val="-1"/>
          <w:sz w:val="24"/>
          <w:szCs w:val="24"/>
        </w:rPr>
        <w:t>l</w:t>
      </w:r>
      <w:r w:rsidRPr="00D75D2E">
        <w:rPr>
          <w:rFonts w:ascii="Times New Roman" w:hAnsi="Times New Roman"/>
          <w:sz w:val="24"/>
          <w:szCs w:val="24"/>
        </w:rPr>
        <w:t xml:space="preserve">a </w:t>
      </w:r>
      <w:r w:rsidRPr="00D75D2E">
        <w:rPr>
          <w:rFonts w:ascii="Times New Roman" w:hAnsi="Times New Roman"/>
          <w:spacing w:val="-2"/>
          <w:sz w:val="24"/>
          <w:szCs w:val="24"/>
        </w:rPr>
        <w:t>v</w:t>
      </w:r>
      <w:r w:rsidRPr="00D75D2E">
        <w:rPr>
          <w:rFonts w:ascii="Times New Roman" w:hAnsi="Times New Roman"/>
          <w:sz w:val="24"/>
          <w:szCs w:val="24"/>
        </w:rPr>
        <w:t>égé</w:t>
      </w:r>
      <w:r w:rsidRPr="00D75D2E">
        <w:rPr>
          <w:rFonts w:ascii="Times New Roman" w:hAnsi="Times New Roman"/>
          <w:spacing w:val="-1"/>
          <w:sz w:val="24"/>
          <w:szCs w:val="24"/>
        </w:rPr>
        <w:t>t</w:t>
      </w:r>
      <w:r w:rsidRPr="00D75D2E">
        <w:rPr>
          <w:rFonts w:ascii="Times New Roman" w:hAnsi="Times New Roman"/>
          <w:sz w:val="24"/>
          <w:szCs w:val="24"/>
        </w:rPr>
        <w:t>a</w:t>
      </w:r>
      <w:r w:rsidRPr="00D75D2E">
        <w:rPr>
          <w:rFonts w:ascii="Times New Roman" w:hAnsi="Times New Roman"/>
          <w:spacing w:val="-1"/>
          <w:sz w:val="24"/>
          <w:szCs w:val="24"/>
        </w:rPr>
        <w:t>ti</w:t>
      </w:r>
      <w:r w:rsidRPr="00D75D2E">
        <w:rPr>
          <w:rFonts w:ascii="Times New Roman" w:hAnsi="Times New Roman"/>
          <w:sz w:val="24"/>
          <w:szCs w:val="24"/>
        </w:rPr>
        <w:t xml:space="preserve">on </w:t>
      </w:r>
      <w:r w:rsidRPr="00D75D2E">
        <w:rPr>
          <w:rFonts w:ascii="Times New Roman" w:hAnsi="Times New Roman"/>
          <w:spacing w:val="-2"/>
          <w:sz w:val="24"/>
          <w:szCs w:val="24"/>
        </w:rPr>
        <w:t>p</w:t>
      </w:r>
      <w:r w:rsidRPr="00D75D2E">
        <w:rPr>
          <w:rFonts w:ascii="Times New Roman" w:hAnsi="Times New Roman"/>
          <w:sz w:val="24"/>
          <w:szCs w:val="24"/>
        </w:rPr>
        <w:t>our</w:t>
      </w:r>
      <w:r w:rsidRPr="00D75D2E">
        <w:rPr>
          <w:rFonts w:ascii="Times New Roman" w:hAnsi="Times New Roman"/>
          <w:spacing w:val="1"/>
          <w:sz w:val="24"/>
          <w:szCs w:val="24"/>
        </w:rPr>
        <w:t xml:space="preserve"> l</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aux, s</w:t>
      </w:r>
      <w:r w:rsidRPr="00D75D2E">
        <w:rPr>
          <w:rFonts w:ascii="Times New Roman" w:hAnsi="Times New Roman"/>
          <w:spacing w:val="-1"/>
          <w:sz w:val="24"/>
          <w:szCs w:val="24"/>
        </w:rPr>
        <w:t>t</w:t>
      </w:r>
      <w:r w:rsidRPr="00D75D2E">
        <w:rPr>
          <w:rFonts w:ascii="Times New Roman" w:hAnsi="Times New Roman"/>
          <w:sz w:val="24"/>
          <w:szCs w:val="24"/>
        </w:rPr>
        <w:t>ab</w:t>
      </w:r>
      <w:r w:rsidRPr="00D75D2E">
        <w:rPr>
          <w:rFonts w:ascii="Times New Roman" w:hAnsi="Times New Roman"/>
          <w:spacing w:val="1"/>
          <w:sz w:val="24"/>
          <w:szCs w:val="24"/>
        </w:rPr>
        <w:t>i</w:t>
      </w:r>
      <w:r w:rsidRPr="00D75D2E">
        <w:rPr>
          <w:rFonts w:ascii="Times New Roman" w:hAnsi="Times New Roman"/>
          <w:spacing w:val="-1"/>
          <w:sz w:val="24"/>
          <w:szCs w:val="24"/>
        </w:rPr>
        <w:t>l</w:t>
      </w:r>
      <w:r w:rsidRPr="00D75D2E">
        <w:rPr>
          <w:rFonts w:ascii="Times New Roman" w:hAnsi="Times New Roman"/>
          <w:spacing w:val="1"/>
          <w:sz w:val="24"/>
          <w:szCs w:val="24"/>
        </w:rPr>
        <w:t>i</w:t>
      </w:r>
      <w:r w:rsidRPr="00D75D2E">
        <w:rPr>
          <w:rFonts w:ascii="Times New Roman" w:hAnsi="Times New Roman"/>
          <w:sz w:val="24"/>
          <w:szCs w:val="24"/>
        </w:rPr>
        <w:t>ser</w:t>
      </w:r>
      <w:r w:rsidRPr="00D75D2E">
        <w:rPr>
          <w:rFonts w:ascii="Times New Roman" w:hAnsi="Times New Roman"/>
          <w:spacing w:val="-1"/>
          <w:sz w:val="24"/>
          <w:szCs w:val="24"/>
        </w:rPr>
        <w:t xml:space="preserve"> l</w:t>
      </w:r>
      <w:r w:rsidRPr="00D75D2E">
        <w:rPr>
          <w:rFonts w:ascii="Times New Roman" w:hAnsi="Times New Roman"/>
          <w:sz w:val="24"/>
          <w:szCs w:val="24"/>
        </w:rPr>
        <w:t>es be</w:t>
      </w:r>
      <w:r w:rsidRPr="00D75D2E">
        <w:rPr>
          <w:rFonts w:ascii="Times New Roman" w:hAnsi="Times New Roman"/>
          <w:spacing w:val="-3"/>
          <w:sz w:val="24"/>
          <w:szCs w:val="24"/>
        </w:rPr>
        <w:t>r</w:t>
      </w:r>
      <w:r w:rsidRPr="00D75D2E">
        <w:rPr>
          <w:rFonts w:ascii="Times New Roman" w:hAnsi="Times New Roman"/>
          <w:spacing w:val="-2"/>
          <w:sz w:val="24"/>
          <w:szCs w:val="24"/>
        </w:rPr>
        <w:t>g</w:t>
      </w:r>
      <w:r w:rsidRPr="00D75D2E">
        <w:rPr>
          <w:rFonts w:ascii="Times New Roman" w:hAnsi="Times New Roman"/>
          <w:sz w:val="24"/>
          <w:szCs w:val="24"/>
        </w:rPr>
        <w:t xml:space="preserve">es et </w:t>
      </w:r>
      <w:r w:rsidRPr="00D75D2E">
        <w:rPr>
          <w:rFonts w:ascii="Times New Roman" w:hAnsi="Times New Roman"/>
          <w:spacing w:val="-1"/>
          <w:sz w:val="24"/>
          <w:szCs w:val="24"/>
        </w:rPr>
        <w:t>r</w:t>
      </w:r>
      <w:r w:rsidRPr="00D75D2E">
        <w:rPr>
          <w:rFonts w:ascii="Times New Roman" w:hAnsi="Times New Roman"/>
          <w:sz w:val="24"/>
          <w:szCs w:val="24"/>
        </w:rPr>
        <w:t>es</w:t>
      </w:r>
      <w:r w:rsidRPr="00D75D2E">
        <w:rPr>
          <w:rFonts w:ascii="Times New Roman" w:hAnsi="Times New Roman"/>
          <w:spacing w:val="-1"/>
          <w:sz w:val="24"/>
          <w:szCs w:val="24"/>
        </w:rPr>
        <w:t>t</w:t>
      </w:r>
      <w:r w:rsidRPr="00D75D2E">
        <w:rPr>
          <w:rFonts w:ascii="Times New Roman" w:hAnsi="Times New Roman"/>
          <w:sz w:val="24"/>
          <w:szCs w:val="24"/>
        </w:rPr>
        <w:t>au</w:t>
      </w:r>
      <w:r w:rsidRPr="00D75D2E">
        <w:rPr>
          <w:rFonts w:ascii="Times New Roman" w:hAnsi="Times New Roman"/>
          <w:spacing w:val="-1"/>
          <w:sz w:val="24"/>
          <w:szCs w:val="24"/>
        </w:rPr>
        <w:t>r</w:t>
      </w:r>
      <w:r w:rsidRPr="00D75D2E">
        <w:rPr>
          <w:rFonts w:ascii="Times New Roman" w:hAnsi="Times New Roman"/>
          <w:sz w:val="24"/>
          <w:szCs w:val="24"/>
        </w:rPr>
        <w:t xml:space="preserve">er </w:t>
      </w:r>
      <w:r w:rsidRPr="00D75D2E">
        <w:rPr>
          <w:rFonts w:ascii="Times New Roman" w:hAnsi="Times New Roman"/>
          <w:spacing w:val="1"/>
          <w:sz w:val="24"/>
          <w:szCs w:val="24"/>
        </w:rPr>
        <w:t>l</w:t>
      </w:r>
      <w:r w:rsidRPr="00D75D2E">
        <w:rPr>
          <w:rFonts w:ascii="Times New Roman" w:hAnsi="Times New Roman"/>
          <w:sz w:val="24"/>
          <w:szCs w:val="24"/>
        </w:rPr>
        <w:t xml:space="preserve">a </w:t>
      </w:r>
      <w:r w:rsidRPr="00D75D2E">
        <w:rPr>
          <w:rFonts w:ascii="Times New Roman" w:hAnsi="Times New Roman"/>
          <w:spacing w:val="-2"/>
          <w:sz w:val="24"/>
          <w:szCs w:val="24"/>
        </w:rPr>
        <w:t>v</w:t>
      </w:r>
      <w:r w:rsidRPr="00D75D2E">
        <w:rPr>
          <w:rFonts w:ascii="Times New Roman" w:hAnsi="Times New Roman"/>
          <w:sz w:val="24"/>
          <w:szCs w:val="24"/>
        </w:rPr>
        <w:t>égé</w:t>
      </w:r>
      <w:r w:rsidRPr="00D75D2E">
        <w:rPr>
          <w:rFonts w:ascii="Times New Roman" w:hAnsi="Times New Roman"/>
          <w:spacing w:val="-1"/>
          <w:sz w:val="24"/>
          <w:szCs w:val="24"/>
        </w:rPr>
        <w:t>t</w:t>
      </w:r>
      <w:r w:rsidRPr="00D75D2E">
        <w:rPr>
          <w:rFonts w:ascii="Times New Roman" w:hAnsi="Times New Roman"/>
          <w:sz w:val="24"/>
          <w:szCs w:val="24"/>
        </w:rPr>
        <w:t>a</w:t>
      </w:r>
      <w:r w:rsidRPr="00D75D2E">
        <w:rPr>
          <w:rFonts w:ascii="Times New Roman" w:hAnsi="Times New Roman"/>
          <w:spacing w:val="-3"/>
          <w:sz w:val="24"/>
          <w:szCs w:val="24"/>
        </w:rPr>
        <w:t>t</w:t>
      </w:r>
      <w:r w:rsidRPr="00D75D2E">
        <w:rPr>
          <w:rFonts w:ascii="Times New Roman" w:hAnsi="Times New Roman"/>
          <w:spacing w:val="-1"/>
          <w:sz w:val="24"/>
          <w:szCs w:val="24"/>
        </w:rPr>
        <w:t>i</w:t>
      </w:r>
      <w:r w:rsidRPr="00D75D2E">
        <w:rPr>
          <w:rFonts w:ascii="Times New Roman" w:hAnsi="Times New Roman"/>
          <w:sz w:val="24"/>
          <w:szCs w:val="24"/>
        </w:rPr>
        <w:t>on ap</w:t>
      </w:r>
      <w:r w:rsidRPr="00D75D2E">
        <w:rPr>
          <w:rFonts w:ascii="Times New Roman" w:hAnsi="Times New Roman"/>
          <w:spacing w:val="-1"/>
          <w:sz w:val="24"/>
          <w:szCs w:val="24"/>
        </w:rPr>
        <w:t>r</w:t>
      </w:r>
      <w:r w:rsidRPr="00D75D2E">
        <w:rPr>
          <w:rFonts w:ascii="Times New Roman" w:hAnsi="Times New Roman"/>
          <w:sz w:val="24"/>
          <w:szCs w:val="24"/>
        </w:rPr>
        <w:t xml:space="preserve">ès </w:t>
      </w:r>
      <w:r w:rsidRPr="00D75D2E">
        <w:rPr>
          <w:rFonts w:ascii="Times New Roman" w:hAnsi="Times New Roman"/>
          <w:spacing w:val="1"/>
          <w:sz w:val="24"/>
          <w:szCs w:val="24"/>
        </w:rPr>
        <w:t>l</w:t>
      </w:r>
      <w:r w:rsidRPr="00D75D2E">
        <w:rPr>
          <w:rFonts w:ascii="Times New Roman" w:hAnsi="Times New Roman"/>
          <w:sz w:val="24"/>
          <w:szCs w:val="24"/>
        </w:rPr>
        <w:t xml:space="preserve">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aux ;</w:t>
      </w:r>
    </w:p>
    <w:p w14:paraId="5BF34774"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en b</w:t>
      </w:r>
      <w:r w:rsidRPr="00D75D2E">
        <w:rPr>
          <w:rFonts w:ascii="Times New Roman" w:hAnsi="Times New Roman"/>
          <w:spacing w:val="-1"/>
          <w:sz w:val="24"/>
          <w:szCs w:val="24"/>
        </w:rPr>
        <w:t>o</w:t>
      </w:r>
      <w:r w:rsidRPr="00D75D2E">
        <w:rPr>
          <w:rFonts w:ascii="Times New Roman" w:hAnsi="Times New Roman"/>
          <w:spacing w:val="-2"/>
          <w:sz w:val="24"/>
          <w:szCs w:val="24"/>
        </w:rPr>
        <w:t>r</w:t>
      </w:r>
      <w:r w:rsidRPr="00D75D2E">
        <w:rPr>
          <w:rFonts w:ascii="Times New Roman" w:hAnsi="Times New Roman"/>
          <w:sz w:val="24"/>
          <w:szCs w:val="24"/>
        </w:rPr>
        <w:t>d</w:t>
      </w:r>
      <w:r w:rsidRPr="00D75D2E">
        <w:rPr>
          <w:rFonts w:ascii="Times New Roman" w:hAnsi="Times New Roman"/>
          <w:spacing w:val="-1"/>
          <w:sz w:val="24"/>
          <w:szCs w:val="24"/>
        </w:rPr>
        <w:t>u</w:t>
      </w:r>
      <w:r w:rsidRPr="00D75D2E">
        <w:rPr>
          <w:rFonts w:ascii="Times New Roman" w:hAnsi="Times New Roman"/>
          <w:sz w:val="24"/>
          <w:szCs w:val="24"/>
        </w:rPr>
        <w:t>re d</w:t>
      </w:r>
      <w:r w:rsidRPr="00D75D2E">
        <w:rPr>
          <w:rFonts w:ascii="Times New Roman" w:hAnsi="Times New Roman"/>
          <w:spacing w:val="-2"/>
          <w:sz w:val="24"/>
          <w:szCs w:val="24"/>
        </w:rPr>
        <w:t>e</w:t>
      </w:r>
      <w:r w:rsidRPr="00D75D2E">
        <w:rPr>
          <w:rFonts w:ascii="Times New Roman" w:hAnsi="Times New Roman"/>
          <w:sz w:val="24"/>
          <w:szCs w:val="24"/>
        </w:rPr>
        <w:t>s cou</w:t>
      </w:r>
      <w:r w:rsidRPr="00D75D2E">
        <w:rPr>
          <w:rFonts w:ascii="Times New Roman" w:hAnsi="Times New Roman"/>
          <w:spacing w:val="-1"/>
          <w:sz w:val="24"/>
          <w:szCs w:val="24"/>
        </w:rPr>
        <w:t>r</w:t>
      </w:r>
      <w:r w:rsidRPr="00D75D2E">
        <w:rPr>
          <w:rFonts w:ascii="Times New Roman" w:hAnsi="Times New Roman"/>
          <w:sz w:val="24"/>
          <w:szCs w:val="24"/>
        </w:rPr>
        <w:t>s d'</w:t>
      </w:r>
      <w:r w:rsidRPr="00D75D2E">
        <w:rPr>
          <w:rFonts w:ascii="Times New Roman" w:hAnsi="Times New Roman"/>
          <w:spacing w:val="-2"/>
          <w:sz w:val="24"/>
          <w:szCs w:val="24"/>
        </w:rPr>
        <w:t>e</w:t>
      </w:r>
      <w:r w:rsidRPr="00D75D2E">
        <w:rPr>
          <w:rFonts w:ascii="Times New Roman" w:hAnsi="Times New Roman"/>
          <w:sz w:val="24"/>
          <w:szCs w:val="24"/>
        </w:rPr>
        <w:t xml:space="preserve">au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e</w:t>
      </w:r>
      <w:r w:rsidRPr="00D75D2E">
        <w:rPr>
          <w:rFonts w:ascii="Times New Roman" w:hAnsi="Times New Roman"/>
          <w:spacing w:val="-1"/>
          <w:sz w:val="24"/>
          <w:szCs w:val="24"/>
        </w:rPr>
        <w:t>r</w:t>
      </w:r>
      <w:r w:rsidRPr="00D75D2E">
        <w:rPr>
          <w:rFonts w:ascii="Times New Roman" w:hAnsi="Times New Roman"/>
          <w:sz w:val="24"/>
          <w:szCs w:val="24"/>
        </w:rPr>
        <w:t>sés, p</w:t>
      </w:r>
      <w:r w:rsidRPr="00D75D2E">
        <w:rPr>
          <w:rFonts w:ascii="Times New Roman" w:hAnsi="Times New Roman"/>
          <w:spacing w:val="-1"/>
          <w:sz w:val="24"/>
          <w:szCs w:val="24"/>
        </w:rPr>
        <w:t>r</w:t>
      </w:r>
      <w:r w:rsidRPr="00D75D2E">
        <w:rPr>
          <w:rFonts w:ascii="Times New Roman" w:hAnsi="Times New Roman"/>
          <w:sz w:val="24"/>
          <w:szCs w:val="24"/>
        </w:rPr>
        <w:t>ése</w:t>
      </w:r>
      <w:r w:rsidRPr="00D75D2E">
        <w:rPr>
          <w:rFonts w:ascii="Times New Roman" w:hAnsi="Times New Roman"/>
          <w:spacing w:val="-1"/>
          <w:sz w:val="24"/>
          <w:szCs w:val="24"/>
        </w:rPr>
        <w:t>r</w:t>
      </w:r>
      <w:r w:rsidRPr="00D75D2E">
        <w:rPr>
          <w:rFonts w:ascii="Times New Roman" w:hAnsi="Times New Roman"/>
          <w:spacing w:val="-2"/>
          <w:sz w:val="24"/>
          <w:szCs w:val="24"/>
        </w:rPr>
        <w:t>v</w:t>
      </w:r>
      <w:r w:rsidRPr="00D75D2E">
        <w:rPr>
          <w:rFonts w:ascii="Times New Roman" w:hAnsi="Times New Roman"/>
          <w:sz w:val="24"/>
          <w:szCs w:val="24"/>
        </w:rPr>
        <w:t xml:space="preserve">er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1"/>
          <w:sz w:val="24"/>
          <w:szCs w:val="24"/>
        </w:rPr>
        <w:t>t</w:t>
      </w:r>
      <w:r w:rsidRPr="00D75D2E">
        <w:rPr>
          <w:rFonts w:ascii="Times New Roman" w:hAnsi="Times New Roman"/>
          <w:sz w:val="24"/>
          <w:szCs w:val="24"/>
        </w:rPr>
        <w:t>ap</w:t>
      </w:r>
      <w:r w:rsidRPr="00D75D2E">
        <w:rPr>
          <w:rFonts w:ascii="Times New Roman" w:hAnsi="Times New Roman"/>
          <w:spacing w:val="1"/>
          <w:sz w:val="24"/>
          <w:szCs w:val="24"/>
        </w:rPr>
        <w:t>i</w:t>
      </w:r>
      <w:r w:rsidRPr="00D75D2E">
        <w:rPr>
          <w:rFonts w:ascii="Times New Roman" w:hAnsi="Times New Roman"/>
          <w:sz w:val="24"/>
          <w:szCs w:val="24"/>
        </w:rPr>
        <w:t xml:space="preserve">s </w:t>
      </w:r>
      <w:r w:rsidRPr="00D75D2E">
        <w:rPr>
          <w:rFonts w:ascii="Times New Roman" w:hAnsi="Times New Roman"/>
          <w:spacing w:val="-2"/>
          <w:sz w:val="24"/>
          <w:szCs w:val="24"/>
        </w:rPr>
        <w:t>v</w:t>
      </w:r>
      <w:r w:rsidRPr="00D75D2E">
        <w:rPr>
          <w:rFonts w:ascii="Times New Roman" w:hAnsi="Times New Roman"/>
          <w:sz w:val="24"/>
          <w:szCs w:val="24"/>
        </w:rPr>
        <w:t>égé</w:t>
      </w:r>
      <w:r w:rsidRPr="00D75D2E">
        <w:rPr>
          <w:rFonts w:ascii="Times New Roman" w:hAnsi="Times New Roman"/>
          <w:spacing w:val="-1"/>
          <w:sz w:val="24"/>
          <w:szCs w:val="24"/>
        </w:rPr>
        <w:t>t</w:t>
      </w:r>
      <w:r w:rsidRPr="00D75D2E">
        <w:rPr>
          <w:rFonts w:ascii="Times New Roman" w:hAnsi="Times New Roman"/>
          <w:spacing w:val="-2"/>
          <w:sz w:val="24"/>
          <w:szCs w:val="24"/>
        </w:rPr>
        <w:t>a</w:t>
      </w:r>
      <w:r w:rsidRPr="00D75D2E">
        <w:rPr>
          <w:rFonts w:ascii="Times New Roman" w:hAnsi="Times New Roman"/>
          <w:sz w:val="24"/>
          <w:szCs w:val="24"/>
        </w:rPr>
        <w:t xml:space="preserve">l à </w:t>
      </w:r>
      <w:r w:rsidRPr="00D75D2E">
        <w:rPr>
          <w:rFonts w:ascii="Times New Roman" w:hAnsi="Times New Roman"/>
          <w:spacing w:val="1"/>
          <w:sz w:val="24"/>
          <w:szCs w:val="24"/>
        </w:rPr>
        <w:t>l</w:t>
      </w:r>
      <w:r w:rsidRPr="00D75D2E">
        <w:rPr>
          <w:rFonts w:ascii="Times New Roman" w:hAnsi="Times New Roman"/>
          <w:spacing w:val="-2"/>
          <w:sz w:val="24"/>
          <w:szCs w:val="24"/>
        </w:rPr>
        <w:t>'</w:t>
      </w:r>
      <w:r w:rsidRPr="00D75D2E">
        <w:rPr>
          <w:rFonts w:ascii="Times New Roman" w:hAnsi="Times New Roman"/>
          <w:sz w:val="24"/>
          <w:szCs w:val="24"/>
        </w:rPr>
        <w:t>ex</w:t>
      </w:r>
      <w:r w:rsidRPr="00D75D2E">
        <w:rPr>
          <w:rFonts w:ascii="Times New Roman" w:hAnsi="Times New Roman"/>
          <w:spacing w:val="-1"/>
          <w:sz w:val="24"/>
          <w:szCs w:val="24"/>
        </w:rPr>
        <w:t>t</w:t>
      </w:r>
      <w:r w:rsidRPr="00D75D2E">
        <w:rPr>
          <w:rFonts w:ascii="Times New Roman" w:hAnsi="Times New Roman"/>
          <w:sz w:val="24"/>
          <w:szCs w:val="24"/>
        </w:rPr>
        <w:t>é</w:t>
      </w:r>
      <w:r w:rsidRPr="00D75D2E">
        <w:rPr>
          <w:rFonts w:ascii="Times New Roman" w:hAnsi="Times New Roman"/>
          <w:spacing w:val="-1"/>
          <w:sz w:val="24"/>
          <w:szCs w:val="24"/>
        </w:rPr>
        <w:t>ri</w:t>
      </w:r>
      <w:r w:rsidRPr="00D75D2E">
        <w:rPr>
          <w:rFonts w:ascii="Times New Roman" w:hAnsi="Times New Roman"/>
          <w:sz w:val="24"/>
          <w:szCs w:val="24"/>
        </w:rPr>
        <w:t xml:space="preserve">eur de </w:t>
      </w:r>
      <w:r w:rsidRPr="00D75D2E">
        <w:rPr>
          <w:rFonts w:ascii="Times New Roman" w:hAnsi="Times New Roman"/>
          <w:spacing w:val="1"/>
          <w:sz w:val="24"/>
          <w:szCs w:val="24"/>
        </w:rPr>
        <w:t>l</w:t>
      </w:r>
      <w:r w:rsidRPr="00D75D2E">
        <w:rPr>
          <w:rFonts w:ascii="Times New Roman" w:hAnsi="Times New Roman"/>
          <w:sz w:val="24"/>
          <w:szCs w:val="24"/>
        </w:rPr>
        <w:t xml:space="preserve">a </w:t>
      </w:r>
      <w:r w:rsidRPr="00D75D2E">
        <w:rPr>
          <w:rFonts w:ascii="Times New Roman" w:hAnsi="Times New Roman"/>
          <w:spacing w:val="-2"/>
          <w:sz w:val="24"/>
          <w:szCs w:val="24"/>
        </w:rPr>
        <w:t>s</w:t>
      </w:r>
      <w:r w:rsidRPr="00D75D2E">
        <w:rPr>
          <w:rFonts w:ascii="Times New Roman" w:hAnsi="Times New Roman"/>
          <w:sz w:val="24"/>
          <w:szCs w:val="24"/>
        </w:rPr>
        <w:t>u</w:t>
      </w:r>
      <w:r w:rsidRPr="00D75D2E">
        <w:rPr>
          <w:rFonts w:ascii="Times New Roman" w:hAnsi="Times New Roman"/>
          <w:spacing w:val="-1"/>
          <w:sz w:val="24"/>
          <w:szCs w:val="24"/>
        </w:rPr>
        <w:t>r</w:t>
      </w:r>
      <w:r w:rsidRPr="00D75D2E">
        <w:rPr>
          <w:rFonts w:ascii="Times New Roman" w:hAnsi="Times New Roman"/>
          <w:spacing w:val="1"/>
          <w:sz w:val="24"/>
          <w:szCs w:val="24"/>
        </w:rPr>
        <w:t>f</w:t>
      </w:r>
      <w:r w:rsidRPr="00D75D2E">
        <w:rPr>
          <w:rFonts w:ascii="Times New Roman" w:hAnsi="Times New Roman"/>
          <w:spacing w:val="-2"/>
          <w:sz w:val="24"/>
          <w:szCs w:val="24"/>
        </w:rPr>
        <w:t>a</w:t>
      </w:r>
      <w:r w:rsidRPr="00D75D2E">
        <w:rPr>
          <w:rFonts w:ascii="Times New Roman" w:hAnsi="Times New Roman"/>
          <w:sz w:val="24"/>
          <w:szCs w:val="24"/>
        </w:rPr>
        <w:t xml:space="preserve">ce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r</w:t>
      </w:r>
      <w:r w:rsidRPr="00D75D2E">
        <w:rPr>
          <w:rFonts w:ascii="Times New Roman" w:hAnsi="Times New Roman"/>
          <w:sz w:val="24"/>
          <w:szCs w:val="24"/>
        </w:rPr>
        <w:t>ou</w:t>
      </w:r>
      <w:r w:rsidRPr="00D75D2E">
        <w:rPr>
          <w:rFonts w:ascii="Times New Roman" w:hAnsi="Times New Roman"/>
          <w:spacing w:val="1"/>
          <w:sz w:val="24"/>
          <w:szCs w:val="24"/>
        </w:rPr>
        <w:t>l</w:t>
      </w:r>
      <w:r w:rsidRPr="00D75D2E">
        <w:rPr>
          <w:rFonts w:ascii="Times New Roman" w:hAnsi="Times New Roman"/>
          <w:spacing w:val="-2"/>
          <w:sz w:val="24"/>
          <w:szCs w:val="24"/>
        </w:rPr>
        <w:t>e</w:t>
      </w:r>
      <w:r w:rsidRPr="00D75D2E">
        <w:rPr>
          <w:rFonts w:ascii="Times New Roman" w:hAnsi="Times New Roman"/>
          <w:spacing w:val="-1"/>
          <w:sz w:val="24"/>
          <w:szCs w:val="24"/>
        </w:rPr>
        <w:t>m</w:t>
      </w:r>
      <w:r w:rsidRPr="00D75D2E">
        <w:rPr>
          <w:rFonts w:ascii="Times New Roman" w:hAnsi="Times New Roman"/>
          <w:sz w:val="24"/>
          <w:szCs w:val="24"/>
        </w:rPr>
        <w:t xml:space="preserve">ent </w:t>
      </w:r>
      <w:r w:rsidRPr="00D75D2E">
        <w:rPr>
          <w:rFonts w:ascii="Times New Roman" w:hAnsi="Times New Roman"/>
          <w:spacing w:val="-2"/>
          <w:sz w:val="24"/>
          <w:szCs w:val="24"/>
        </w:rPr>
        <w:t>s</w:t>
      </w:r>
      <w:r w:rsidRPr="00D75D2E">
        <w:rPr>
          <w:rFonts w:ascii="Times New Roman" w:hAnsi="Times New Roman"/>
          <w:sz w:val="24"/>
          <w:szCs w:val="24"/>
        </w:rPr>
        <w:t xml:space="preserve">ur </w:t>
      </w:r>
      <w:r w:rsidRPr="00D75D2E">
        <w:rPr>
          <w:rFonts w:ascii="Times New Roman" w:hAnsi="Times New Roman"/>
          <w:spacing w:val="-2"/>
          <w:sz w:val="24"/>
          <w:szCs w:val="24"/>
        </w:rPr>
        <w:t>u</w:t>
      </w:r>
      <w:r w:rsidRPr="00D75D2E">
        <w:rPr>
          <w:rFonts w:ascii="Times New Roman" w:hAnsi="Times New Roman"/>
          <w:sz w:val="24"/>
          <w:szCs w:val="24"/>
        </w:rPr>
        <w:t>ne d</w:t>
      </w:r>
      <w:r w:rsidRPr="00D75D2E">
        <w:rPr>
          <w:rFonts w:ascii="Times New Roman" w:hAnsi="Times New Roman"/>
          <w:spacing w:val="-1"/>
          <w:sz w:val="24"/>
          <w:szCs w:val="24"/>
        </w:rPr>
        <w:t>i</w:t>
      </w:r>
      <w:r w:rsidRPr="00D75D2E">
        <w:rPr>
          <w:rFonts w:ascii="Times New Roman" w:hAnsi="Times New Roman"/>
          <w:sz w:val="24"/>
          <w:szCs w:val="24"/>
        </w:rPr>
        <w:t>s</w:t>
      </w:r>
      <w:r w:rsidRPr="00D75D2E">
        <w:rPr>
          <w:rFonts w:ascii="Times New Roman" w:hAnsi="Times New Roman"/>
          <w:spacing w:val="-1"/>
          <w:sz w:val="24"/>
          <w:szCs w:val="24"/>
        </w:rPr>
        <w:t>t</w:t>
      </w:r>
      <w:r w:rsidRPr="00D75D2E">
        <w:rPr>
          <w:rFonts w:ascii="Times New Roman" w:hAnsi="Times New Roman"/>
          <w:sz w:val="24"/>
          <w:szCs w:val="24"/>
        </w:rPr>
        <w:t>an</w:t>
      </w:r>
      <w:r w:rsidRPr="00D75D2E">
        <w:rPr>
          <w:rFonts w:ascii="Times New Roman" w:hAnsi="Times New Roman"/>
          <w:spacing w:val="-2"/>
          <w:sz w:val="24"/>
          <w:szCs w:val="24"/>
        </w:rPr>
        <w:t>c</w:t>
      </w:r>
      <w:r w:rsidRPr="00D75D2E">
        <w:rPr>
          <w:rFonts w:ascii="Times New Roman" w:hAnsi="Times New Roman"/>
          <w:sz w:val="24"/>
          <w:szCs w:val="24"/>
        </w:rPr>
        <w:t xml:space="preserve">e </w:t>
      </w:r>
      <w:r w:rsidRPr="00D75D2E">
        <w:rPr>
          <w:rFonts w:ascii="Times New Roman" w:hAnsi="Times New Roman"/>
          <w:spacing w:val="2"/>
          <w:sz w:val="24"/>
          <w:szCs w:val="24"/>
        </w:rPr>
        <w:t>m</w:t>
      </w:r>
      <w:r w:rsidRPr="00D75D2E">
        <w:rPr>
          <w:rFonts w:ascii="Times New Roman" w:hAnsi="Times New Roman"/>
          <w:spacing w:val="-1"/>
          <w:sz w:val="24"/>
          <w:szCs w:val="24"/>
        </w:rPr>
        <w:t>i</w:t>
      </w:r>
      <w:r w:rsidRPr="00D75D2E">
        <w:rPr>
          <w:rFonts w:ascii="Times New Roman" w:hAnsi="Times New Roman"/>
          <w:sz w:val="24"/>
          <w:szCs w:val="24"/>
        </w:rPr>
        <w:t>n</w:t>
      </w:r>
      <w:r w:rsidRPr="00D75D2E">
        <w:rPr>
          <w:rFonts w:ascii="Times New Roman" w:hAnsi="Times New Roman"/>
          <w:spacing w:val="-1"/>
          <w:sz w:val="24"/>
          <w:szCs w:val="24"/>
        </w:rPr>
        <w:t>im</w:t>
      </w:r>
      <w:r w:rsidRPr="00D75D2E">
        <w:rPr>
          <w:rFonts w:ascii="Times New Roman" w:hAnsi="Times New Roman"/>
          <w:sz w:val="24"/>
          <w:szCs w:val="24"/>
        </w:rPr>
        <w:t>a</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2"/>
          <w:sz w:val="24"/>
          <w:szCs w:val="24"/>
        </w:rPr>
        <w:t>3</w:t>
      </w:r>
      <w:r w:rsidRPr="00D75D2E">
        <w:rPr>
          <w:rFonts w:ascii="Times New Roman" w:hAnsi="Times New Roman"/>
          <w:sz w:val="24"/>
          <w:szCs w:val="24"/>
        </w:rPr>
        <w:t>0m de c</w:t>
      </w:r>
      <w:r w:rsidRPr="00D75D2E">
        <w:rPr>
          <w:rFonts w:ascii="Times New Roman" w:hAnsi="Times New Roman"/>
          <w:spacing w:val="-2"/>
          <w:sz w:val="24"/>
          <w:szCs w:val="24"/>
        </w:rPr>
        <w:t>h</w:t>
      </w:r>
      <w:r w:rsidRPr="00D75D2E">
        <w:rPr>
          <w:rFonts w:ascii="Times New Roman" w:hAnsi="Times New Roman"/>
          <w:sz w:val="24"/>
          <w:szCs w:val="24"/>
        </w:rPr>
        <w:t>aque cô</w:t>
      </w:r>
      <w:r w:rsidRPr="00D75D2E">
        <w:rPr>
          <w:rFonts w:ascii="Times New Roman" w:hAnsi="Times New Roman"/>
          <w:spacing w:val="-1"/>
          <w:sz w:val="24"/>
          <w:szCs w:val="24"/>
        </w:rPr>
        <w:t>t</w:t>
      </w:r>
      <w:r w:rsidRPr="00D75D2E">
        <w:rPr>
          <w:rFonts w:ascii="Times New Roman" w:hAnsi="Times New Roman"/>
          <w:sz w:val="24"/>
          <w:szCs w:val="24"/>
        </w:rPr>
        <w:t>é du c</w:t>
      </w:r>
      <w:r w:rsidRPr="00D75D2E">
        <w:rPr>
          <w:rFonts w:ascii="Times New Roman" w:hAnsi="Times New Roman"/>
          <w:spacing w:val="-2"/>
          <w:sz w:val="24"/>
          <w:szCs w:val="24"/>
        </w:rPr>
        <w:t>o</w:t>
      </w:r>
      <w:r w:rsidRPr="00D75D2E">
        <w:rPr>
          <w:rFonts w:ascii="Times New Roman" w:hAnsi="Times New Roman"/>
          <w:sz w:val="24"/>
          <w:szCs w:val="24"/>
        </w:rPr>
        <w:t>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2"/>
          <w:sz w:val="24"/>
          <w:szCs w:val="24"/>
        </w:rPr>
        <w:t>a</w:t>
      </w:r>
      <w:r w:rsidRPr="00D75D2E">
        <w:rPr>
          <w:rFonts w:ascii="Times New Roman" w:hAnsi="Times New Roman"/>
          <w:sz w:val="24"/>
          <w:szCs w:val="24"/>
        </w:rPr>
        <w:t>u et é</w:t>
      </w:r>
      <w:r w:rsidRPr="00D75D2E">
        <w:rPr>
          <w:rFonts w:ascii="Times New Roman" w:hAnsi="Times New Roman"/>
          <w:spacing w:val="-2"/>
          <w:sz w:val="24"/>
          <w:szCs w:val="24"/>
        </w:rPr>
        <w:t>v</w:t>
      </w:r>
      <w:r w:rsidRPr="00D75D2E">
        <w:rPr>
          <w:rFonts w:ascii="Times New Roman" w:hAnsi="Times New Roman"/>
          <w:spacing w:val="1"/>
          <w:sz w:val="24"/>
          <w:szCs w:val="24"/>
        </w:rPr>
        <w:t>i</w:t>
      </w:r>
      <w:r w:rsidRPr="00D75D2E">
        <w:rPr>
          <w:rFonts w:ascii="Times New Roman" w:hAnsi="Times New Roman"/>
          <w:spacing w:val="-1"/>
          <w:sz w:val="24"/>
          <w:szCs w:val="24"/>
        </w:rPr>
        <w:t>t</w:t>
      </w:r>
      <w:r w:rsidRPr="00D75D2E">
        <w:rPr>
          <w:rFonts w:ascii="Times New Roman" w:hAnsi="Times New Roman"/>
          <w:sz w:val="24"/>
          <w:szCs w:val="24"/>
        </w:rPr>
        <w:t xml:space="preserve">er de </w:t>
      </w:r>
      <w:r w:rsidRPr="00D75D2E">
        <w:rPr>
          <w:rFonts w:ascii="Times New Roman" w:hAnsi="Times New Roman"/>
          <w:spacing w:val="1"/>
          <w:sz w:val="24"/>
          <w:szCs w:val="24"/>
        </w:rPr>
        <w:t>f</w:t>
      </w:r>
      <w:r w:rsidRPr="00D75D2E">
        <w:rPr>
          <w:rFonts w:ascii="Times New Roman" w:hAnsi="Times New Roman"/>
          <w:sz w:val="24"/>
          <w:szCs w:val="24"/>
        </w:rPr>
        <w:t>a</w:t>
      </w:r>
      <w:r w:rsidRPr="00D75D2E">
        <w:rPr>
          <w:rFonts w:ascii="Times New Roman" w:hAnsi="Times New Roman"/>
          <w:spacing w:val="-1"/>
          <w:sz w:val="24"/>
          <w:szCs w:val="24"/>
        </w:rPr>
        <w:t>i</w:t>
      </w:r>
      <w:r w:rsidRPr="00D75D2E">
        <w:rPr>
          <w:rFonts w:ascii="Times New Roman" w:hAnsi="Times New Roman"/>
          <w:spacing w:val="-3"/>
          <w:sz w:val="24"/>
          <w:szCs w:val="24"/>
        </w:rPr>
        <w:t>r</w:t>
      </w:r>
      <w:r w:rsidRPr="00D75D2E">
        <w:rPr>
          <w:rFonts w:ascii="Times New Roman" w:hAnsi="Times New Roman"/>
          <w:sz w:val="24"/>
          <w:szCs w:val="24"/>
        </w:rPr>
        <w:t>e c</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c</w:t>
      </w:r>
      <w:r w:rsidRPr="00D75D2E">
        <w:rPr>
          <w:rFonts w:ascii="Times New Roman" w:hAnsi="Times New Roman"/>
          <w:spacing w:val="-2"/>
          <w:sz w:val="24"/>
          <w:szCs w:val="24"/>
        </w:rPr>
        <w:t>u</w:t>
      </w:r>
      <w:r w:rsidRPr="00D75D2E">
        <w:rPr>
          <w:rFonts w:ascii="Times New Roman" w:hAnsi="Times New Roman"/>
          <w:spacing w:val="1"/>
          <w:sz w:val="24"/>
          <w:szCs w:val="24"/>
        </w:rPr>
        <w:t>l</w:t>
      </w:r>
      <w:r w:rsidRPr="00D75D2E">
        <w:rPr>
          <w:rFonts w:ascii="Times New Roman" w:hAnsi="Times New Roman"/>
          <w:sz w:val="24"/>
          <w:szCs w:val="24"/>
        </w:rPr>
        <w:t>er</w:t>
      </w:r>
      <w:r w:rsidRPr="00D75D2E">
        <w:rPr>
          <w:rFonts w:ascii="Times New Roman" w:hAnsi="Times New Roman"/>
          <w:spacing w:val="-1"/>
          <w:sz w:val="24"/>
          <w:szCs w:val="24"/>
        </w:rPr>
        <w:t xml:space="preserve"> l</w:t>
      </w:r>
      <w:r w:rsidRPr="00D75D2E">
        <w:rPr>
          <w:rFonts w:ascii="Times New Roman" w:hAnsi="Times New Roman"/>
          <w:sz w:val="24"/>
          <w:szCs w:val="24"/>
        </w:rPr>
        <w:t xml:space="preserve">a </w:t>
      </w:r>
      <w:r w:rsidRPr="00D75D2E">
        <w:rPr>
          <w:rFonts w:ascii="Times New Roman" w:hAnsi="Times New Roman"/>
          <w:spacing w:val="-1"/>
          <w:sz w:val="24"/>
          <w:szCs w:val="24"/>
        </w:rPr>
        <w:t>m</w:t>
      </w:r>
      <w:r w:rsidRPr="00D75D2E">
        <w:rPr>
          <w:rFonts w:ascii="Times New Roman" w:hAnsi="Times New Roman"/>
          <w:sz w:val="24"/>
          <w:szCs w:val="24"/>
        </w:rPr>
        <w:t>ac</w:t>
      </w:r>
      <w:r w:rsidRPr="00D75D2E">
        <w:rPr>
          <w:rFonts w:ascii="Times New Roman" w:hAnsi="Times New Roman"/>
          <w:spacing w:val="-2"/>
          <w:sz w:val="24"/>
          <w:szCs w:val="24"/>
        </w:rPr>
        <w:t>h</w:t>
      </w:r>
      <w:r w:rsidRPr="00D75D2E">
        <w:rPr>
          <w:rFonts w:ascii="Times New Roman" w:hAnsi="Times New Roman"/>
          <w:spacing w:val="1"/>
          <w:sz w:val="24"/>
          <w:szCs w:val="24"/>
        </w:rPr>
        <w:t>i</w:t>
      </w:r>
      <w:r w:rsidRPr="00D75D2E">
        <w:rPr>
          <w:rFonts w:ascii="Times New Roman" w:hAnsi="Times New Roman"/>
          <w:spacing w:val="-2"/>
          <w:sz w:val="24"/>
          <w:szCs w:val="24"/>
        </w:rPr>
        <w:t>n</w:t>
      </w:r>
      <w:r w:rsidRPr="00D75D2E">
        <w:rPr>
          <w:rFonts w:ascii="Times New Roman" w:hAnsi="Times New Roman"/>
          <w:sz w:val="24"/>
          <w:szCs w:val="24"/>
        </w:rPr>
        <w:t>e</w:t>
      </w:r>
      <w:r w:rsidRPr="00D75D2E">
        <w:rPr>
          <w:rFonts w:ascii="Times New Roman" w:hAnsi="Times New Roman"/>
          <w:spacing w:val="-1"/>
          <w:sz w:val="24"/>
          <w:szCs w:val="24"/>
        </w:rPr>
        <w:t>r</w:t>
      </w:r>
      <w:r w:rsidRPr="00D75D2E">
        <w:rPr>
          <w:rFonts w:ascii="Times New Roman" w:hAnsi="Times New Roman"/>
          <w:spacing w:val="1"/>
          <w:sz w:val="24"/>
          <w:szCs w:val="24"/>
        </w:rPr>
        <w:t>i</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a</w:t>
      </w:r>
      <w:r w:rsidRPr="00D75D2E">
        <w:rPr>
          <w:rFonts w:ascii="Times New Roman" w:hAnsi="Times New Roman"/>
          <w:spacing w:val="-2"/>
          <w:sz w:val="24"/>
          <w:szCs w:val="24"/>
        </w:rPr>
        <w:t>n</w:t>
      </w:r>
      <w:r w:rsidRPr="00D75D2E">
        <w:rPr>
          <w:rFonts w:ascii="Times New Roman" w:hAnsi="Times New Roman"/>
          <w:sz w:val="24"/>
          <w:szCs w:val="24"/>
        </w:rPr>
        <w:t>s ce</w:t>
      </w:r>
      <w:r w:rsidRPr="00D75D2E">
        <w:rPr>
          <w:rFonts w:ascii="Times New Roman" w:hAnsi="Times New Roman"/>
          <w:spacing w:val="-1"/>
          <w:sz w:val="24"/>
          <w:szCs w:val="24"/>
        </w:rPr>
        <w:t>tt</w:t>
      </w:r>
      <w:r w:rsidRPr="00D75D2E">
        <w:rPr>
          <w:rFonts w:ascii="Times New Roman" w:hAnsi="Times New Roman"/>
          <w:sz w:val="24"/>
          <w:szCs w:val="24"/>
        </w:rPr>
        <w:t>e e</w:t>
      </w:r>
      <w:r w:rsidRPr="00D75D2E">
        <w:rPr>
          <w:rFonts w:ascii="Times New Roman" w:hAnsi="Times New Roman"/>
          <w:spacing w:val="-1"/>
          <w:sz w:val="24"/>
          <w:szCs w:val="24"/>
        </w:rPr>
        <w:t>m</w:t>
      </w:r>
      <w:r w:rsidRPr="00D75D2E">
        <w:rPr>
          <w:rFonts w:ascii="Times New Roman" w:hAnsi="Times New Roman"/>
          <w:sz w:val="24"/>
          <w:szCs w:val="24"/>
        </w:rPr>
        <w:t>p</w:t>
      </w:r>
      <w:r w:rsidRPr="00D75D2E">
        <w:rPr>
          <w:rFonts w:ascii="Times New Roman" w:hAnsi="Times New Roman"/>
          <w:spacing w:val="-1"/>
          <w:sz w:val="24"/>
          <w:szCs w:val="24"/>
        </w:rPr>
        <w:t>r</w:t>
      </w:r>
      <w:r w:rsidRPr="00D75D2E">
        <w:rPr>
          <w:rFonts w:ascii="Times New Roman" w:hAnsi="Times New Roman"/>
          <w:spacing w:val="1"/>
          <w:sz w:val="24"/>
          <w:szCs w:val="24"/>
        </w:rPr>
        <w:t>i</w:t>
      </w:r>
      <w:r w:rsidRPr="00D75D2E">
        <w:rPr>
          <w:rFonts w:ascii="Times New Roman" w:hAnsi="Times New Roman"/>
          <w:spacing w:val="-2"/>
          <w:sz w:val="24"/>
          <w:szCs w:val="24"/>
        </w:rPr>
        <w:t>s</w:t>
      </w:r>
      <w:r w:rsidRPr="00D75D2E">
        <w:rPr>
          <w:rFonts w:ascii="Times New Roman" w:hAnsi="Times New Roman"/>
          <w:sz w:val="24"/>
          <w:szCs w:val="24"/>
        </w:rPr>
        <w:t>e ;</w:t>
      </w:r>
    </w:p>
    <w:p w14:paraId="1F09227B"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pacing w:val="1"/>
          <w:sz w:val="24"/>
          <w:szCs w:val="24"/>
        </w:rPr>
        <w:t xml:space="preserve">en cas de mise en place de remblai provisoire, </w:t>
      </w:r>
      <w:r w:rsidRPr="00D75D2E">
        <w:rPr>
          <w:rFonts w:ascii="Times New Roman" w:hAnsi="Times New Roman"/>
          <w:sz w:val="24"/>
          <w:szCs w:val="24"/>
        </w:rPr>
        <w:t>é</w:t>
      </w:r>
      <w:r w:rsidRPr="00D75D2E">
        <w:rPr>
          <w:rFonts w:ascii="Times New Roman" w:hAnsi="Times New Roman"/>
          <w:spacing w:val="-2"/>
          <w:sz w:val="24"/>
          <w:szCs w:val="24"/>
        </w:rPr>
        <w:t>v</w:t>
      </w:r>
      <w:r w:rsidRPr="00D75D2E">
        <w:rPr>
          <w:rFonts w:ascii="Times New Roman" w:hAnsi="Times New Roman"/>
          <w:spacing w:val="1"/>
          <w:sz w:val="24"/>
          <w:szCs w:val="24"/>
        </w:rPr>
        <w:t>i</w:t>
      </w:r>
      <w:r w:rsidRPr="00D75D2E">
        <w:rPr>
          <w:rFonts w:ascii="Times New Roman" w:hAnsi="Times New Roman"/>
          <w:spacing w:val="-1"/>
          <w:sz w:val="24"/>
          <w:szCs w:val="24"/>
        </w:rPr>
        <w:t>t</w:t>
      </w:r>
      <w:r w:rsidRPr="00D75D2E">
        <w:rPr>
          <w:rFonts w:ascii="Times New Roman" w:hAnsi="Times New Roman"/>
          <w:sz w:val="24"/>
          <w:szCs w:val="24"/>
        </w:rPr>
        <w:t xml:space="preserve">er la </w:t>
      </w:r>
      <w:r w:rsidRPr="00D75D2E">
        <w:rPr>
          <w:rFonts w:ascii="Times New Roman" w:hAnsi="Times New Roman"/>
          <w:spacing w:val="-1"/>
          <w:sz w:val="24"/>
          <w:szCs w:val="24"/>
        </w:rPr>
        <w:t>m</w:t>
      </w:r>
      <w:r w:rsidRPr="00D75D2E">
        <w:rPr>
          <w:rFonts w:ascii="Times New Roman" w:hAnsi="Times New Roman"/>
          <w:spacing w:val="1"/>
          <w:sz w:val="24"/>
          <w:szCs w:val="24"/>
        </w:rPr>
        <w:t>i</w:t>
      </w:r>
      <w:r w:rsidRPr="00D75D2E">
        <w:rPr>
          <w:rFonts w:ascii="Times New Roman" w:hAnsi="Times New Roman"/>
          <w:spacing w:val="-2"/>
          <w:sz w:val="24"/>
          <w:szCs w:val="24"/>
        </w:rPr>
        <w:t>s</w:t>
      </w:r>
      <w:r w:rsidRPr="00D75D2E">
        <w:rPr>
          <w:rFonts w:ascii="Times New Roman" w:hAnsi="Times New Roman"/>
          <w:sz w:val="24"/>
          <w:szCs w:val="24"/>
        </w:rPr>
        <w:t>e en su</w:t>
      </w:r>
      <w:r w:rsidRPr="00D75D2E">
        <w:rPr>
          <w:rFonts w:ascii="Times New Roman" w:hAnsi="Times New Roman"/>
          <w:spacing w:val="-2"/>
          <w:sz w:val="24"/>
          <w:szCs w:val="24"/>
        </w:rPr>
        <w:t>s</w:t>
      </w:r>
      <w:r w:rsidRPr="00D75D2E">
        <w:rPr>
          <w:rFonts w:ascii="Times New Roman" w:hAnsi="Times New Roman"/>
          <w:sz w:val="24"/>
          <w:szCs w:val="24"/>
        </w:rPr>
        <w:t>pen</w:t>
      </w:r>
      <w:r w:rsidRPr="00D75D2E">
        <w:rPr>
          <w:rFonts w:ascii="Times New Roman" w:hAnsi="Times New Roman"/>
          <w:spacing w:val="-2"/>
          <w:sz w:val="24"/>
          <w:szCs w:val="24"/>
        </w:rPr>
        <w:t>s</w:t>
      </w:r>
      <w:r w:rsidRPr="00D75D2E">
        <w:rPr>
          <w:rFonts w:ascii="Times New Roman" w:hAnsi="Times New Roman"/>
          <w:spacing w:val="1"/>
          <w:sz w:val="24"/>
          <w:szCs w:val="24"/>
        </w:rPr>
        <w:t>i</w:t>
      </w:r>
      <w:r w:rsidRPr="00D75D2E">
        <w:rPr>
          <w:rFonts w:ascii="Times New Roman" w:hAnsi="Times New Roman"/>
          <w:sz w:val="24"/>
          <w:szCs w:val="24"/>
        </w:rPr>
        <w:t xml:space="preserve">on </w:t>
      </w:r>
      <w:r w:rsidRPr="00D75D2E">
        <w:rPr>
          <w:rFonts w:ascii="Times New Roman" w:hAnsi="Times New Roman"/>
          <w:spacing w:val="-2"/>
          <w:sz w:val="24"/>
          <w:szCs w:val="24"/>
        </w:rPr>
        <w:t>d</w:t>
      </w:r>
      <w:r w:rsidRPr="00D75D2E">
        <w:rPr>
          <w:rFonts w:ascii="Times New Roman" w:hAnsi="Times New Roman"/>
          <w:sz w:val="24"/>
          <w:szCs w:val="24"/>
        </w:rPr>
        <w:t>e sé</w:t>
      </w:r>
      <w:r w:rsidRPr="00D75D2E">
        <w:rPr>
          <w:rFonts w:ascii="Times New Roman" w:hAnsi="Times New Roman"/>
          <w:spacing w:val="-2"/>
          <w:sz w:val="24"/>
          <w:szCs w:val="24"/>
        </w:rPr>
        <w:t>d</w:t>
      </w:r>
      <w:r w:rsidRPr="00D75D2E">
        <w:rPr>
          <w:rFonts w:ascii="Times New Roman" w:hAnsi="Times New Roman"/>
          <w:spacing w:val="-1"/>
          <w:sz w:val="24"/>
          <w:szCs w:val="24"/>
        </w:rPr>
        <w:t>i</w:t>
      </w:r>
      <w:r w:rsidRPr="00D75D2E">
        <w:rPr>
          <w:rFonts w:ascii="Times New Roman" w:hAnsi="Times New Roman"/>
          <w:spacing w:val="2"/>
          <w:sz w:val="24"/>
          <w:szCs w:val="24"/>
        </w:rPr>
        <w:t>m</w:t>
      </w:r>
      <w:r w:rsidRPr="00D75D2E">
        <w:rPr>
          <w:rFonts w:ascii="Times New Roman" w:hAnsi="Times New Roman"/>
          <w:spacing w:val="-2"/>
          <w:sz w:val="24"/>
          <w:szCs w:val="24"/>
        </w:rPr>
        <w:t>e</w:t>
      </w:r>
      <w:r w:rsidRPr="00D75D2E">
        <w:rPr>
          <w:rFonts w:ascii="Times New Roman" w:hAnsi="Times New Roman"/>
          <w:sz w:val="24"/>
          <w:szCs w:val="24"/>
        </w:rPr>
        <w:t>n</w:t>
      </w:r>
      <w:r w:rsidRPr="00D75D2E">
        <w:rPr>
          <w:rFonts w:ascii="Times New Roman" w:hAnsi="Times New Roman"/>
          <w:spacing w:val="-1"/>
          <w:sz w:val="24"/>
          <w:szCs w:val="24"/>
        </w:rPr>
        <w:t>t</w:t>
      </w:r>
      <w:r w:rsidRPr="00D75D2E">
        <w:rPr>
          <w:rFonts w:ascii="Times New Roman" w:hAnsi="Times New Roman"/>
          <w:sz w:val="24"/>
          <w:szCs w:val="24"/>
        </w:rPr>
        <w:t>s da</w:t>
      </w:r>
      <w:r w:rsidRPr="00D75D2E">
        <w:rPr>
          <w:rFonts w:ascii="Times New Roman" w:hAnsi="Times New Roman"/>
          <w:spacing w:val="-2"/>
          <w:sz w:val="24"/>
          <w:szCs w:val="24"/>
        </w:rPr>
        <w:t>n</w:t>
      </w:r>
      <w:r w:rsidRPr="00D75D2E">
        <w:rPr>
          <w:rFonts w:ascii="Times New Roman" w:hAnsi="Times New Roman"/>
          <w:sz w:val="24"/>
          <w:szCs w:val="24"/>
        </w:rPr>
        <w:t xml:space="preserve">s </w:t>
      </w:r>
      <w:r w:rsidRPr="00D75D2E">
        <w:rPr>
          <w:rFonts w:ascii="Times New Roman" w:hAnsi="Times New Roman"/>
          <w:spacing w:val="1"/>
          <w:sz w:val="24"/>
          <w:szCs w:val="24"/>
        </w:rPr>
        <w:t>l</w:t>
      </w:r>
      <w:r w:rsidRPr="00D75D2E">
        <w:rPr>
          <w:rFonts w:ascii="Times New Roman" w:hAnsi="Times New Roman"/>
          <w:sz w:val="24"/>
          <w:szCs w:val="24"/>
        </w:rPr>
        <w:t>e cou</w:t>
      </w:r>
      <w:r w:rsidRPr="00D75D2E">
        <w:rPr>
          <w:rFonts w:ascii="Times New Roman" w:hAnsi="Times New Roman"/>
          <w:spacing w:val="-3"/>
          <w:sz w:val="24"/>
          <w:szCs w:val="24"/>
        </w:rPr>
        <w:t>r</w:t>
      </w:r>
      <w:r w:rsidRPr="00D75D2E">
        <w:rPr>
          <w:rFonts w:ascii="Times New Roman" w:hAnsi="Times New Roman"/>
          <w:sz w:val="24"/>
          <w:szCs w:val="24"/>
        </w:rPr>
        <w:t>s d'</w:t>
      </w:r>
      <w:r w:rsidRPr="00D75D2E">
        <w:rPr>
          <w:rFonts w:ascii="Times New Roman" w:hAnsi="Times New Roman"/>
          <w:spacing w:val="-2"/>
          <w:sz w:val="24"/>
          <w:szCs w:val="24"/>
        </w:rPr>
        <w:t>e</w:t>
      </w:r>
      <w:r w:rsidRPr="00D75D2E">
        <w:rPr>
          <w:rFonts w:ascii="Times New Roman" w:hAnsi="Times New Roman"/>
          <w:sz w:val="24"/>
          <w:szCs w:val="24"/>
        </w:rPr>
        <w:t xml:space="preserve">au et ne </w:t>
      </w:r>
      <w:r w:rsidRPr="00D75D2E">
        <w:rPr>
          <w:rFonts w:ascii="Times New Roman" w:hAnsi="Times New Roman"/>
          <w:spacing w:val="-1"/>
          <w:sz w:val="24"/>
          <w:szCs w:val="24"/>
        </w:rPr>
        <w:t>r</w:t>
      </w:r>
      <w:r w:rsidRPr="00D75D2E">
        <w:rPr>
          <w:rFonts w:ascii="Times New Roman" w:hAnsi="Times New Roman"/>
          <w:sz w:val="24"/>
          <w:szCs w:val="24"/>
        </w:rPr>
        <w:t>éd</w:t>
      </w:r>
      <w:r w:rsidRPr="00D75D2E">
        <w:rPr>
          <w:rFonts w:ascii="Times New Roman" w:hAnsi="Times New Roman"/>
          <w:spacing w:val="-2"/>
          <w:sz w:val="24"/>
          <w:szCs w:val="24"/>
        </w:rPr>
        <w:t>u</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 xml:space="preserve">e en </w:t>
      </w:r>
      <w:r w:rsidRPr="00D75D2E">
        <w:rPr>
          <w:rFonts w:ascii="Times New Roman" w:hAnsi="Times New Roman"/>
          <w:spacing w:val="-2"/>
          <w:sz w:val="24"/>
          <w:szCs w:val="24"/>
        </w:rPr>
        <w:t>a</w:t>
      </w:r>
      <w:r w:rsidRPr="00D75D2E">
        <w:rPr>
          <w:rFonts w:ascii="Times New Roman" w:hAnsi="Times New Roman"/>
          <w:sz w:val="24"/>
          <w:szCs w:val="24"/>
        </w:rPr>
        <w:t>uc</w:t>
      </w:r>
      <w:r w:rsidRPr="00D75D2E">
        <w:rPr>
          <w:rFonts w:ascii="Times New Roman" w:hAnsi="Times New Roman"/>
          <w:spacing w:val="-2"/>
          <w:sz w:val="24"/>
          <w:szCs w:val="24"/>
        </w:rPr>
        <w:t>u</w:t>
      </w:r>
      <w:r w:rsidRPr="00D75D2E">
        <w:rPr>
          <w:rFonts w:ascii="Times New Roman" w:hAnsi="Times New Roman"/>
          <w:sz w:val="24"/>
          <w:szCs w:val="24"/>
        </w:rPr>
        <w:t xml:space="preserve">n cas </w:t>
      </w:r>
      <w:r w:rsidRPr="00D75D2E">
        <w:rPr>
          <w:rFonts w:ascii="Times New Roman" w:hAnsi="Times New Roman"/>
          <w:spacing w:val="-1"/>
          <w:sz w:val="24"/>
          <w:szCs w:val="24"/>
        </w:rPr>
        <w:t>l</w:t>
      </w:r>
      <w:r w:rsidRPr="00D75D2E">
        <w:rPr>
          <w:rFonts w:ascii="Times New Roman" w:hAnsi="Times New Roman"/>
          <w:sz w:val="24"/>
          <w:szCs w:val="24"/>
        </w:rPr>
        <w:t>a sec</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pacing w:val="-2"/>
          <w:sz w:val="24"/>
          <w:szCs w:val="24"/>
        </w:rPr>
        <w:t>o</w:t>
      </w:r>
      <w:r w:rsidRPr="00D75D2E">
        <w:rPr>
          <w:rFonts w:ascii="Times New Roman" w:hAnsi="Times New Roman"/>
          <w:sz w:val="24"/>
          <w:szCs w:val="24"/>
        </w:rPr>
        <w:t>n d'</w:t>
      </w:r>
      <w:r w:rsidRPr="00D75D2E">
        <w:rPr>
          <w:rFonts w:ascii="Times New Roman" w:hAnsi="Times New Roman"/>
          <w:spacing w:val="-2"/>
          <w:sz w:val="24"/>
          <w:szCs w:val="24"/>
        </w:rPr>
        <w:t>é</w:t>
      </w:r>
      <w:r w:rsidRPr="00D75D2E">
        <w:rPr>
          <w:rFonts w:ascii="Times New Roman" w:hAnsi="Times New Roman"/>
          <w:sz w:val="24"/>
          <w:szCs w:val="24"/>
        </w:rPr>
        <w:t>co</w:t>
      </w:r>
      <w:r w:rsidRPr="00D75D2E">
        <w:rPr>
          <w:rFonts w:ascii="Times New Roman" w:hAnsi="Times New Roman"/>
          <w:spacing w:val="-2"/>
          <w:sz w:val="24"/>
          <w:szCs w:val="24"/>
        </w:rPr>
        <w:t>u</w:t>
      </w:r>
      <w:r w:rsidRPr="00D75D2E">
        <w:rPr>
          <w:rFonts w:ascii="Times New Roman" w:hAnsi="Times New Roman"/>
          <w:spacing w:val="1"/>
          <w:sz w:val="24"/>
          <w:szCs w:val="24"/>
        </w:rPr>
        <w:t>l</w:t>
      </w:r>
      <w:r w:rsidRPr="00D75D2E">
        <w:rPr>
          <w:rFonts w:ascii="Times New Roman" w:hAnsi="Times New Roman"/>
          <w:spacing w:val="-2"/>
          <w:sz w:val="24"/>
          <w:szCs w:val="24"/>
        </w:rPr>
        <w:t>e</w:t>
      </w:r>
      <w:r w:rsidRPr="00D75D2E">
        <w:rPr>
          <w:rFonts w:ascii="Times New Roman" w:hAnsi="Times New Roman"/>
          <w:spacing w:val="-1"/>
          <w:sz w:val="24"/>
          <w:szCs w:val="24"/>
        </w:rPr>
        <w:t>m</w:t>
      </w:r>
      <w:r w:rsidRPr="00D75D2E">
        <w:rPr>
          <w:rFonts w:ascii="Times New Roman" w:hAnsi="Times New Roman"/>
          <w:sz w:val="24"/>
          <w:szCs w:val="24"/>
        </w:rPr>
        <w:t>ent de p</w:t>
      </w:r>
      <w:r w:rsidRPr="00D75D2E">
        <w:rPr>
          <w:rFonts w:ascii="Times New Roman" w:hAnsi="Times New Roman"/>
          <w:spacing w:val="1"/>
          <w:sz w:val="24"/>
          <w:szCs w:val="24"/>
        </w:rPr>
        <w:t>l</w:t>
      </w:r>
      <w:r w:rsidRPr="00D75D2E">
        <w:rPr>
          <w:rFonts w:ascii="Times New Roman" w:hAnsi="Times New Roman"/>
          <w:sz w:val="24"/>
          <w:szCs w:val="24"/>
        </w:rPr>
        <w:t xml:space="preserve">us </w:t>
      </w:r>
      <w:r w:rsidRPr="00D75D2E">
        <w:rPr>
          <w:rFonts w:ascii="Times New Roman" w:hAnsi="Times New Roman"/>
          <w:spacing w:val="-2"/>
          <w:sz w:val="24"/>
          <w:szCs w:val="24"/>
        </w:rPr>
        <w:t>d</w:t>
      </w:r>
      <w:r w:rsidRPr="00D75D2E">
        <w:rPr>
          <w:rFonts w:ascii="Times New Roman" w:hAnsi="Times New Roman"/>
          <w:sz w:val="24"/>
          <w:szCs w:val="24"/>
        </w:rPr>
        <w:t xml:space="preserve">u </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z w:val="24"/>
          <w:szCs w:val="24"/>
        </w:rPr>
        <w:t>e</w:t>
      </w:r>
      <w:r w:rsidRPr="00D75D2E">
        <w:rPr>
          <w:rFonts w:ascii="Times New Roman" w:hAnsi="Times New Roman"/>
          <w:spacing w:val="-1"/>
          <w:sz w:val="24"/>
          <w:szCs w:val="24"/>
        </w:rPr>
        <w:t>r</w:t>
      </w:r>
      <w:r w:rsidRPr="00D75D2E">
        <w:rPr>
          <w:rFonts w:ascii="Times New Roman" w:hAnsi="Times New Roman"/>
          <w:sz w:val="24"/>
          <w:szCs w:val="24"/>
        </w:rPr>
        <w:t>s ;</w:t>
      </w:r>
    </w:p>
    <w:p w14:paraId="3C7C8D65"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veiller au maintien de la vitesse d’écoulement des eaux dans la section résiduelle du cours d’eau permettant la libre circulation des poissons ;</w:t>
      </w:r>
    </w:p>
    <w:p w14:paraId="114924D3"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veiller à ce qu’aucune laitance de béton ne soit rejetée dans le cours d’eau ;</w:t>
      </w:r>
    </w:p>
    <w:p w14:paraId="3E1670EB"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interdire formellement tout lavage dans le cours d’eau de matériels servant à la préparation, au transport et à la mise en œuvre du béton, ainsi que les produits de lavage de ces matériels.</w:t>
      </w:r>
    </w:p>
    <w:p w14:paraId="7DF6BF0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pacing w:val="-2"/>
          <w:sz w:val="24"/>
          <w:szCs w:val="24"/>
        </w:rPr>
        <w:t>v</w:t>
      </w:r>
      <w:r w:rsidRPr="00D75D2E">
        <w:rPr>
          <w:rFonts w:ascii="Times New Roman" w:hAnsi="Times New Roman"/>
          <w:sz w:val="24"/>
          <w:szCs w:val="24"/>
        </w:rPr>
        <w:t>e</w:t>
      </w:r>
      <w:r w:rsidRPr="00D75D2E">
        <w:rPr>
          <w:rFonts w:ascii="Times New Roman" w:hAnsi="Times New Roman"/>
          <w:spacing w:val="1"/>
          <w:sz w:val="24"/>
          <w:szCs w:val="24"/>
        </w:rPr>
        <w:t>il</w:t>
      </w:r>
      <w:r w:rsidRPr="00D75D2E">
        <w:rPr>
          <w:rFonts w:ascii="Times New Roman" w:hAnsi="Times New Roman"/>
          <w:spacing w:val="-1"/>
          <w:sz w:val="24"/>
          <w:szCs w:val="24"/>
        </w:rPr>
        <w:t>l</w:t>
      </w:r>
      <w:r w:rsidRPr="00D75D2E">
        <w:rPr>
          <w:rFonts w:ascii="Times New Roman" w:hAnsi="Times New Roman"/>
          <w:sz w:val="24"/>
          <w:szCs w:val="24"/>
        </w:rPr>
        <w:t xml:space="preserve">er à ce que </w:t>
      </w:r>
      <w:r w:rsidRPr="00D75D2E">
        <w:rPr>
          <w:rFonts w:ascii="Times New Roman" w:hAnsi="Times New Roman"/>
          <w:spacing w:val="1"/>
          <w:sz w:val="24"/>
          <w:szCs w:val="24"/>
        </w:rPr>
        <w:t>l</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m</w:t>
      </w:r>
      <w:r w:rsidRPr="00D75D2E">
        <w:rPr>
          <w:rFonts w:ascii="Times New Roman" w:hAnsi="Times New Roman"/>
          <w:sz w:val="24"/>
          <w:szCs w:val="24"/>
        </w:rPr>
        <w:t>a</w:t>
      </w:r>
      <w:r w:rsidRPr="00D75D2E">
        <w:rPr>
          <w:rFonts w:ascii="Times New Roman" w:hAnsi="Times New Roman"/>
          <w:spacing w:val="-1"/>
          <w:sz w:val="24"/>
          <w:szCs w:val="24"/>
        </w:rPr>
        <w:t>t</w:t>
      </w:r>
      <w:r w:rsidRPr="00D75D2E">
        <w:rPr>
          <w:rFonts w:ascii="Times New Roman" w:hAnsi="Times New Roman"/>
          <w:sz w:val="24"/>
          <w:szCs w:val="24"/>
        </w:rPr>
        <w:t>é</w:t>
      </w:r>
      <w:r w:rsidRPr="00D75D2E">
        <w:rPr>
          <w:rFonts w:ascii="Times New Roman" w:hAnsi="Times New Roman"/>
          <w:spacing w:val="-1"/>
          <w:sz w:val="24"/>
          <w:szCs w:val="24"/>
        </w:rPr>
        <w:t>r</w:t>
      </w:r>
      <w:r w:rsidRPr="00D75D2E">
        <w:rPr>
          <w:rFonts w:ascii="Times New Roman" w:hAnsi="Times New Roman"/>
          <w:spacing w:val="1"/>
          <w:sz w:val="24"/>
          <w:szCs w:val="24"/>
        </w:rPr>
        <w:t>i</w:t>
      </w:r>
      <w:r w:rsidRPr="00D75D2E">
        <w:rPr>
          <w:rFonts w:ascii="Times New Roman" w:hAnsi="Times New Roman"/>
          <w:sz w:val="24"/>
          <w:szCs w:val="24"/>
        </w:rPr>
        <w:t>aux u</w:t>
      </w:r>
      <w:r w:rsidRPr="00D75D2E">
        <w:rPr>
          <w:rFonts w:ascii="Times New Roman" w:hAnsi="Times New Roman"/>
          <w:spacing w:val="-3"/>
          <w:sz w:val="24"/>
          <w:szCs w:val="24"/>
        </w:rPr>
        <w:t>t</w:t>
      </w:r>
      <w:r w:rsidRPr="00D75D2E">
        <w:rPr>
          <w:rFonts w:ascii="Times New Roman" w:hAnsi="Times New Roman"/>
          <w:spacing w:val="1"/>
          <w:sz w:val="24"/>
          <w:szCs w:val="24"/>
        </w:rPr>
        <w:t>i</w:t>
      </w:r>
      <w:r w:rsidRPr="00D75D2E">
        <w:rPr>
          <w:rFonts w:ascii="Times New Roman" w:hAnsi="Times New Roman"/>
          <w:spacing w:val="-1"/>
          <w:sz w:val="24"/>
          <w:szCs w:val="24"/>
        </w:rPr>
        <w:t>l</w:t>
      </w:r>
      <w:r w:rsidRPr="00D75D2E">
        <w:rPr>
          <w:rFonts w:ascii="Times New Roman" w:hAnsi="Times New Roman"/>
          <w:spacing w:val="1"/>
          <w:sz w:val="24"/>
          <w:szCs w:val="24"/>
        </w:rPr>
        <w:t>i</w:t>
      </w:r>
      <w:r w:rsidRPr="00D75D2E">
        <w:rPr>
          <w:rFonts w:ascii="Times New Roman" w:hAnsi="Times New Roman"/>
          <w:sz w:val="24"/>
          <w:szCs w:val="24"/>
        </w:rPr>
        <w:t>s</w:t>
      </w:r>
      <w:r w:rsidRPr="00D75D2E">
        <w:rPr>
          <w:rFonts w:ascii="Times New Roman" w:hAnsi="Times New Roman"/>
          <w:spacing w:val="-2"/>
          <w:sz w:val="24"/>
          <w:szCs w:val="24"/>
        </w:rPr>
        <w:t>é</w:t>
      </w:r>
      <w:r w:rsidRPr="00D75D2E">
        <w:rPr>
          <w:rFonts w:ascii="Times New Roman" w:hAnsi="Times New Roman"/>
          <w:sz w:val="24"/>
          <w:szCs w:val="24"/>
        </w:rPr>
        <w:t xml:space="preserve">s pour </w:t>
      </w:r>
      <w:r w:rsidRPr="00D75D2E">
        <w:rPr>
          <w:rFonts w:ascii="Times New Roman" w:hAnsi="Times New Roman"/>
          <w:spacing w:val="1"/>
          <w:sz w:val="24"/>
          <w:szCs w:val="24"/>
        </w:rPr>
        <w:t>l</w:t>
      </w:r>
      <w:r w:rsidRPr="00D75D2E">
        <w:rPr>
          <w:rFonts w:ascii="Times New Roman" w:hAnsi="Times New Roman"/>
          <w:sz w:val="24"/>
          <w:szCs w:val="24"/>
        </w:rPr>
        <w:t>a c</w:t>
      </w:r>
      <w:r w:rsidRPr="00D75D2E">
        <w:rPr>
          <w:rFonts w:ascii="Times New Roman" w:hAnsi="Times New Roman"/>
          <w:spacing w:val="-2"/>
          <w:sz w:val="24"/>
          <w:szCs w:val="24"/>
        </w:rPr>
        <w:t>o</w:t>
      </w:r>
      <w:r w:rsidRPr="00D75D2E">
        <w:rPr>
          <w:rFonts w:ascii="Times New Roman" w:hAnsi="Times New Roman"/>
          <w:sz w:val="24"/>
          <w:szCs w:val="24"/>
        </w:rPr>
        <w:t>ns</w:t>
      </w:r>
      <w:r w:rsidRPr="00D75D2E">
        <w:rPr>
          <w:rFonts w:ascii="Times New Roman" w:hAnsi="Times New Roman"/>
          <w:spacing w:val="-3"/>
          <w:sz w:val="24"/>
          <w:szCs w:val="24"/>
        </w:rPr>
        <w:t>t</w:t>
      </w:r>
      <w:r w:rsidRPr="00D75D2E">
        <w:rPr>
          <w:rFonts w:ascii="Times New Roman" w:hAnsi="Times New Roman"/>
          <w:spacing w:val="-1"/>
          <w:sz w:val="24"/>
          <w:szCs w:val="24"/>
        </w:rPr>
        <w:t>r</w:t>
      </w:r>
      <w:r w:rsidRPr="00D75D2E">
        <w:rPr>
          <w:rFonts w:ascii="Times New Roman" w:hAnsi="Times New Roman"/>
          <w:sz w:val="24"/>
          <w:szCs w:val="24"/>
        </w:rPr>
        <w:t>uc</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z w:val="24"/>
          <w:szCs w:val="24"/>
        </w:rPr>
        <w:t>on d</w:t>
      </w:r>
      <w:r w:rsidRPr="00D75D2E">
        <w:rPr>
          <w:rFonts w:ascii="Times New Roman" w:hAnsi="Times New Roman"/>
          <w:spacing w:val="-2"/>
          <w:sz w:val="24"/>
          <w:szCs w:val="24"/>
        </w:rPr>
        <w:t>'</w:t>
      </w:r>
      <w:r w:rsidRPr="00D75D2E">
        <w:rPr>
          <w:rFonts w:ascii="Times New Roman" w:hAnsi="Times New Roman"/>
          <w:sz w:val="24"/>
          <w:szCs w:val="24"/>
        </w:rPr>
        <w:t>ou</w:t>
      </w:r>
      <w:r w:rsidRPr="00D75D2E">
        <w:rPr>
          <w:rFonts w:ascii="Times New Roman" w:hAnsi="Times New Roman"/>
          <w:spacing w:val="-2"/>
          <w:sz w:val="24"/>
          <w:szCs w:val="24"/>
        </w:rPr>
        <w:t>v</w:t>
      </w:r>
      <w:r w:rsidRPr="00D75D2E">
        <w:rPr>
          <w:rFonts w:ascii="Times New Roman" w:hAnsi="Times New Roman"/>
          <w:spacing w:val="-1"/>
          <w:sz w:val="24"/>
          <w:szCs w:val="24"/>
        </w:rPr>
        <w:t>r</w:t>
      </w:r>
      <w:r w:rsidRPr="00D75D2E">
        <w:rPr>
          <w:rFonts w:ascii="Times New Roman" w:hAnsi="Times New Roman"/>
          <w:sz w:val="24"/>
          <w:szCs w:val="24"/>
        </w:rPr>
        <w:t>ag</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t</w:t>
      </w:r>
      <w:r w:rsidRPr="00D75D2E">
        <w:rPr>
          <w:rFonts w:ascii="Times New Roman" w:hAnsi="Times New Roman"/>
          <w:sz w:val="24"/>
          <w:szCs w:val="24"/>
        </w:rPr>
        <w:t>e</w:t>
      </w:r>
      <w:r w:rsidRPr="00D75D2E">
        <w:rPr>
          <w:rFonts w:ascii="Times New Roman" w:hAnsi="Times New Roman"/>
          <w:spacing w:val="2"/>
          <w:sz w:val="24"/>
          <w:szCs w:val="24"/>
        </w:rPr>
        <w:t>m</w:t>
      </w:r>
      <w:r w:rsidRPr="00D75D2E">
        <w:rPr>
          <w:rFonts w:ascii="Times New Roman" w:hAnsi="Times New Roman"/>
          <w:spacing w:val="-2"/>
          <w:sz w:val="24"/>
          <w:szCs w:val="24"/>
        </w:rPr>
        <w:t>p</w:t>
      </w:r>
      <w:r w:rsidRPr="00D75D2E">
        <w:rPr>
          <w:rFonts w:ascii="Times New Roman" w:hAnsi="Times New Roman"/>
          <w:sz w:val="24"/>
          <w:szCs w:val="24"/>
        </w:rPr>
        <w:t>o</w:t>
      </w:r>
      <w:r w:rsidRPr="00D75D2E">
        <w:rPr>
          <w:rFonts w:ascii="Times New Roman" w:hAnsi="Times New Roman"/>
          <w:spacing w:val="-3"/>
          <w:sz w:val="24"/>
          <w:szCs w:val="24"/>
        </w:rPr>
        <w:t>r</w:t>
      </w:r>
      <w:r w:rsidRPr="00D75D2E">
        <w:rPr>
          <w:rFonts w:ascii="Times New Roman" w:hAnsi="Times New Roman"/>
          <w:sz w:val="24"/>
          <w:szCs w:val="24"/>
        </w:rPr>
        <w:t>a</w:t>
      </w:r>
      <w:r w:rsidRPr="00D75D2E">
        <w:rPr>
          <w:rFonts w:ascii="Times New Roman" w:hAnsi="Times New Roman"/>
          <w:spacing w:val="1"/>
          <w:sz w:val="24"/>
          <w:szCs w:val="24"/>
        </w:rPr>
        <w:t>i</w:t>
      </w:r>
      <w:r w:rsidRPr="00D75D2E">
        <w:rPr>
          <w:rFonts w:ascii="Times New Roman" w:hAnsi="Times New Roman"/>
          <w:spacing w:val="-1"/>
          <w:sz w:val="24"/>
          <w:szCs w:val="24"/>
        </w:rPr>
        <w:t>r</w:t>
      </w:r>
      <w:r w:rsidRPr="00D75D2E">
        <w:rPr>
          <w:rFonts w:ascii="Times New Roman" w:hAnsi="Times New Roman"/>
          <w:sz w:val="24"/>
          <w:szCs w:val="24"/>
        </w:rPr>
        <w:t xml:space="preserve">es </w:t>
      </w:r>
      <w:r w:rsidRPr="00D75D2E">
        <w:rPr>
          <w:rFonts w:ascii="Times New Roman" w:hAnsi="Times New Roman"/>
          <w:spacing w:val="-2"/>
          <w:sz w:val="24"/>
          <w:szCs w:val="24"/>
        </w:rPr>
        <w:t>e</w:t>
      </w:r>
      <w:r w:rsidRPr="00D75D2E">
        <w:rPr>
          <w:rFonts w:ascii="Times New Roman" w:hAnsi="Times New Roman"/>
          <w:sz w:val="24"/>
          <w:szCs w:val="24"/>
        </w:rPr>
        <w:t xml:space="preserve">n </w:t>
      </w:r>
      <w:r w:rsidRPr="00D75D2E">
        <w:rPr>
          <w:rFonts w:ascii="Times New Roman" w:hAnsi="Times New Roman"/>
          <w:spacing w:val="-1"/>
          <w:sz w:val="24"/>
          <w:szCs w:val="24"/>
        </w:rPr>
        <w:t>t</w:t>
      </w:r>
      <w:r w:rsidRPr="00D75D2E">
        <w:rPr>
          <w:rFonts w:ascii="Times New Roman" w:hAnsi="Times New Roman"/>
          <w:sz w:val="24"/>
          <w:szCs w:val="24"/>
        </w:rPr>
        <w:t>e</w:t>
      </w:r>
      <w:r w:rsidRPr="00D75D2E">
        <w:rPr>
          <w:rFonts w:ascii="Times New Roman" w:hAnsi="Times New Roman"/>
          <w:spacing w:val="-1"/>
          <w:sz w:val="24"/>
          <w:szCs w:val="24"/>
        </w:rPr>
        <w:t>rr</w:t>
      </w:r>
      <w:r w:rsidRPr="00D75D2E">
        <w:rPr>
          <w:rFonts w:ascii="Times New Roman" w:hAnsi="Times New Roman"/>
          <w:sz w:val="24"/>
          <w:szCs w:val="24"/>
        </w:rPr>
        <w:t>e ne con</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pacing w:val="-2"/>
          <w:sz w:val="24"/>
          <w:szCs w:val="24"/>
        </w:rPr>
        <w:t>e</w:t>
      </w:r>
      <w:r w:rsidRPr="00D75D2E">
        <w:rPr>
          <w:rFonts w:ascii="Times New Roman" w:hAnsi="Times New Roman"/>
          <w:sz w:val="24"/>
          <w:szCs w:val="24"/>
        </w:rPr>
        <w:t>nn</w:t>
      </w:r>
      <w:r w:rsidRPr="00D75D2E">
        <w:rPr>
          <w:rFonts w:ascii="Times New Roman" w:hAnsi="Times New Roman"/>
          <w:spacing w:val="-2"/>
          <w:sz w:val="24"/>
          <w:szCs w:val="24"/>
        </w:rPr>
        <w:t>e</w:t>
      </w:r>
      <w:r w:rsidRPr="00D75D2E">
        <w:rPr>
          <w:rFonts w:ascii="Times New Roman" w:hAnsi="Times New Roman"/>
          <w:sz w:val="24"/>
          <w:szCs w:val="24"/>
        </w:rPr>
        <w:t xml:space="preserve">nt </w:t>
      </w:r>
      <w:r w:rsidRPr="00D75D2E">
        <w:rPr>
          <w:rFonts w:ascii="Times New Roman" w:hAnsi="Times New Roman"/>
          <w:spacing w:val="-2"/>
          <w:sz w:val="24"/>
          <w:szCs w:val="24"/>
        </w:rPr>
        <w:t>p</w:t>
      </w:r>
      <w:r w:rsidRPr="00D75D2E">
        <w:rPr>
          <w:rFonts w:ascii="Times New Roman" w:hAnsi="Times New Roman"/>
          <w:spacing w:val="1"/>
          <w:sz w:val="24"/>
          <w:szCs w:val="24"/>
        </w:rPr>
        <w:t>l</w:t>
      </w:r>
      <w:r w:rsidRPr="00D75D2E">
        <w:rPr>
          <w:rFonts w:ascii="Times New Roman" w:hAnsi="Times New Roman"/>
          <w:sz w:val="24"/>
          <w:szCs w:val="24"/>
        </w:rPr>
        <w:t>us de 5% de m</w:t>
      </w:r>
      <w:r w:rsidRPr="00D75D2E">
        <w:rPr>
          <w:rFonts w:ascii="Times New Roman" w:hAnsi="Times New Roman"/>
          <w:spacing w:val="-1"/>
          <w:sz w:val="24"/>
          <w:szCs w:val="24"/>
        </w:rPr>
        <w:t>a</w:t>
      </w:r>
      <w:r w:rsidRPr="00D75D2E">
        <w:rPr>
          <w:rFonts w:ascii="Times New Roman" w:hAnsi="Times New Roman"/>
          <w:spacing w:val="1"/>
          <w:sz w:val="24"/>
          <w:szCs w:val="24"/>
        </w:rPr>
        <w:t>t</w:t>
      </w:r>
      <w:r w:rsidRPr="00D75D2E">
        <w:rPr>
          <w:rFonts w:ascii="Times New Roman" w:hAnsi="Times New Roman"/>
          <w:sz w:val="24"/>
          <w:szCs w:val="24"/>
        </w:rPr>
        <w:t>i</w:t>
      </w:r>
      <w:r w:rsidRPr="00D75D2E">
        <w:rPr>
          <w:rFonts w:ascii="Times New Roman" w:hAnsi="Times New Roman"/>
          <w:spacing w:val="-1"/>
          <w:sz w:val="24"/>
          <w:szCs w:val="24"/>
        </w:rPr>
        <w:t>è</w:t>
      </w:r>
      <w:r w:rsidRPr="00D75D2E">
        <w:rPr>
          <w:rFonts w:ascii="Times New Roman" w:hAnsi="Times New Roman"/>
          <w:spacing w:val="-2"/>
          <w:sz w:val="24"/>
          <w:szCs w:val="24"/>
        </w:rPr>
        <w:t>r</w:t>
      </w:r>
      <w:r w:rsidRPr="00D75D2E">
        <w:rPr>
          <w:rFonts w:ascii="Times New Roman" w:hAnsi="Times New Roman"/>
          <w:sz w:val="24"/>
          <w:szCs w:val="24"/>
        </w:rPr>
        <w:t>es</w:t>
      </w:r>
      <w:r w:rsidRPr="00D75D2E">
        <w:rPr>
          <w:rFonts w:ascii="Times New Roman" w:hAnsi="Times New Roman"/>
          <w:spacing w:val="1"/>
          <w:sz w:val="24"/>
          <w:szCs w:val="24"/>
        </w:rPr>
        <w:t xml:space="preserve"> f</w:t>
      </w:r>
      <w:r w:rsidRPr="00D75D2E">
        <w:rPr>
          <w:rFonts w:ascii="Times New Roman" w:hAnsi="Times New Roman"/>
          <w:spacing w:val="-1"/>
          <w:sz w:val="24"/>
          <w:szCs w:val="24"/>
        </w:rPr>
        <w:t>i</w:t>
      </w:r>
      <w:r w:rsidRPr="00D75D2E">
        <w:rPr>
          <w:rFonts w:ascii="Times New Roman" w:hAnsi="Times New Roman"/>
          <w:sz w:val="24"/>
          <w:szCs w:val="24"/>
        </w:rPr>
        <w:t>nes pa</w:t>
      </w:r>
      <w:r w:rsidRPr="00D75D2E">
        <w:rPr>
          <w:rFonts w:ascii="Times New Roman" w:hAnsi="Times New Roman"/>
          <w:spacing w:val="-2"/>
          <w:sz w:val="24"/>
          <w:szCs w:val="24"/>
        </w:rPr>
        <w:t>ss</w:t>
      </w:r>
      <w:r w:rsidRPr="00D75D2E">
        <w:rPr>
          <w:rFonts w:ascii="Times New Roman" w:hAnsi="Times New Roman"/>
          <w:sz w:val="24"/>
          <w:szCs w:val="24"/>
        </w:rPr>
        <w:t xml:space="preserve">ant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1"/>
          <w:sz w:val="24"/>
          <w:szCs w:val="24"/>
        </w:rPr>
        <w:t>t</w:t>
      </w:r>
      <w:r w:rsidRPr="00D75D2E">
        <w:rPr>
          <w:rFonts w:ascii="Times New Roman" w:hAnsi="Times New Roman"/>
          <w:spacing w:val="-2"/>
          <w:sz w:val="24"/>
          <w:szCs w:val="24"/>
        </w:rPr>
        <w:t>a</w:t>
      </w:r>
      <w:r w:rsidRPr="00D75D2E">
        <w:rPr>
          <w:rFonts w:ascii="Times New Roman" w:hAnsi="Times New Roman"/>
          <w:spacing w:val="-1"/>
          <w:sz w:val="24"/>
          <w:szCs w:val="24"/>
        </w:rPr>
        <w:t>m</w:t>
      </w:r>
      <w:r w:rsidRPr="00D75D2E">
        <w:rPr>
          <w:rFonts w:ascii="Times New Roman" w:hAnsi="Times New Roman"/>
          <w:spacing w:val="1"/>
          <w:sz w:val="24"/>
          <w:szCs w:val="24"/>
        </w:rPr>
        <w:t>i</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2"/>
          <w:sz w:val="24"/>
          <w:szCs w:val="24"/>
        </w:rPr>
        <w:t>8</w:t>
      </w:r>
      <w:r w:rsidRPr="00D75D2E">
        <w:rPr>
          <w:rFonts w:ascii="Times New Roman" w:hAnsi="Times New Roman"/>
          <w:sz w:val="24"/>
          <w:szCs w:val="24"/>
        </w:rPr>
        <w:t xml:space="preserve">0 </w:t>
      </w:r>
      <w:r w:rsidRPr="00D75D2E">
        <w:rPr>
          <w:rFonts w:ascii="Times New Roman" w:hAnsi="Times New Roman"/>
          <w:spacing w:val="-1"/>
          <w:sz w:val="24"/>
          <w:szCs w:val="24"/>
        </w:rPr>
        <w:t>m</w:t>
      </w:r>
      <w:r w:rsidRPr="00D75D2E">
        <w:rPr>
          <w:rFonts w:ascii="Times New Roman" w:hAnsi="Times New Roman"/>
          <w:spacing w:val="1"/>
          <w:sz w:val="24"/>
          <w:szCs w:val="24"/>
        </w:rPr>
        <w:t>i</w:t>
      </w:r>
      <w:r w:rsidRPr="00D75D2E">
        <w:rPr>
          <w:rFonts w:ascii="Times New Roman" w:hAnsi="Times New Roman"/>
          <w:sz w:val="24"/>
          <w:szCs w:val="24"/>
        </w:rPr>
        <w:t>c</w:t>
      </w:r>
      <w:r w:rsidRPr="00D75D2E">
        <w:rPr>
          <w:rFonts w:ascii="Times New Roman" w:hAnsi="Times New Roman"/>
          <w:spacing w:val="-3"/>
          <w:sz w:val="24"/>
          <w:szCs w:val="24"/>
        </w:rPr>
        <w:t>r</w:t>
      </w:r>
      <w:r w:rsidRPr="00D75D2E">
        <w:rPr>
          <w:rFonts w:ascii="Times New Roman" w:hAnsi="Times New Roman"/>
          <w:sz w:val="24"/>
          <w:szCs w:val="24"/>
        </w:rPr>
        <w:t>ons;</w:t>
      </w:r>
    </w:p>
    <w:p w14:paraId="7E0BAA0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pen</w:t>
      </w:r>
      <w:r w:rsidRPr="00D75D2E">
        <w:rPr>
          <w:rFonts w:ascii="Times New Roman" w:hAnsi="Times New Roman"/>
          <w:spacing w:val="-2"/>
          <w:sz w:val="24"/>
          <w:szCs w:val="24"/>
        </w:rPr>
        <w:t>d</w:t>
      </w:r>
      <w:r w:rsidRPr="00D75D2E">
        <w:rPr>
          <w:rFonts w:ascii="Times New Roman" w:hAnsi="Times New Roman"/>
          <w:sz w:val="24"/>
          <w:szCs w:val="24"/>
        </w:rPr>
        <w:t xml:space="preserve">ant </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2"/>
          <w:sz w:val="24"/>
          <w:szCs w:val="24"/>
        </w:rPr>
        <w:t>démontage du tablier existant</w:t>
      </w:r>
      <w:r w:rsidRPr="00D75D2E">
        <w:rPr>
          <w:rFonts w:ascii="Times New Roman" w:hAnsi="Times New Roman"/>
          <w:sz w:val="24"/>
          <w:szCs w:val="24"/>
        </w:rPr>
        <w:t xml:space="preserve">, éviter la chute des éléments dans </w:t>
      </w:r>
      <w:r w:rsidRPr="00D75D2E">
        <w:rPr>
          <w:rFonts w:ascii="Times New Roman" w:hAnsi="Times New Roman"/>
          <w:spacing w:val="1"/>
          <w:sz w:val="24"/>
          <w:szCs w:val="24"/>
        </w:rPr>
        <w:t>l</w:t>
      </w:r>
      <w:r w:rsidRPr="00D75D2E">
        <w:rPr>
          <w:rFonts w:ascii="Times New Roman" w:hAnsi="Times New Roman"/>
          <w:sz w:val="24"/>
          <w:szCs w:val="24"/>
        </w:rPr>
        <w:t>e cou</w:t>
      </w:r>
      <w:r w:rsidRPr="00D75D2E">
        <w:rPr>
          <w:rFonts w:ascii="Times New Roman" w:hAnsi="Times New Roman"/>
          <w:spacing w:val="-3"/>
          <w:sz w:val="24"/>
          <w:szCs w:val="24"/>
        </w:rPr>
        <w:t>r</w:t>
      </w:r>
      <w:r w:rsidRPr="00D75D2E">
        <w:rPr>
          <w:rFonts w:ascii="Times New Roman" w:hAnsi="Times New Roman"/>
          <w:sz w:val="24"/>
          <w:szCs w:val="24"/>
        </w:rPr>
        <w:t>s d'</w:t>
      </w:r>
      <w:r w:rsidRPr="00D75D2E">
        <w:rPr>
          <w:rFonts w:ascii="Times New Roman" w:hAnsi="Times New Roman"/>
          <w:spacing w:val="-2"/>
          <w:sz w:val="24"/>
          <w:szCs w:val="24"/>
        </w:rPr>
        <w:t>e</w:t>
      </w:r>
      <w:r w:rsidRPr="00D75D2E">
        <w:rPr>
          <w:rFonts w:ascii="Times New Roman" w:hAnsi="Times New Roman"/>
          <w:sz w:val="24"/>
          <w:szCs w:val="24"/>
        </w:rPr>
        <w:t>au ;</w:t>
      </w:r>
    </w:p>
    <w:p w14:paraId="20871F85"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s</w:t>
      </w:r>
      <w:r w:rsidRPr="00D75D2E">
        <w:rPr>
          <w:rFonts w:ascii="Times New Roman" w:hAnsi="Times New Roman"/>
          <w:spacing w:val="-1"/>
          <w:sz w:val="24"/>
          <w:szCs w:val="24"/>
        </w:rPr>
        <w:t>t</w:t>
      </w:r>
      <w:r w:rsidRPr="00D75D2E">
        <w:rPr>
          <w:rFonts w:ascii="Times New Roman" w:hAnsi="Times New Roman"/>
          <w:sz w:val="24"/>
          <w:szCs w:val="24"/>
        </w:rPr>
        <w:t>o</w:t>
      </w:r>
      <w:r w:rsidRPr="00D75D2E">
        <w:rPr>
          <w:rFonts w:ascii="Times New Roman" w:hAnsi="Times New Roman"/>
          <w:spacing w:val="-2"/>
          <w:sz w:val="24"/>
          <w:szCs w:val="24"/>
        </w:rPr>
        <w:t>c</w:t>
      </w:r>
      <w:r w:rsidRPr="00D75D2E">
        <w:rPr>
          <w:rFonts w:ascii="Times New Roman" w:hAnsi="Times New Roman"/>
          <w:spacing w:val="2"/>
          <w:sz w:val="24"/>
          <w:szCs w:val="24"/>
        </w:rPr>
        <w:t>k</w:t>
      </w:r>
      <w:r w:rsidRPr="00D75D2E">
        <w:rPr>
          <w:rFonts w:ascii="Times New Roman" w:hAnsi="Times New Roman"/>
          <w:sz w:val="24"/>
          <w:szCs w:val="24"/>
        </w:rPr>
        <w:t>e</w:t>
      </w:r>
      <w:r w:rsidRPr="00D75D2E">
        <w:rPr>
          <w:rFonts w:ascii="Times New Roman" w:hAnsi="Times New Roman"/>
          <w:spacing w:val="-1"/>
          <w:sz w:val="24"/>
          <w:szCs w:val="24"/>
        </w:rPr>
        <w:t>r, autant</w:t>
      </w:r>
      <w:r w:rsidRPr="00D75D2E">
        <w:rPr>
          <w:rFonts w:ascii="Times New Roman" w:hAnsi="Times New Roman"/>
          <w:sz w:val="24"/>
          <w:szCs w:val="24"/>
        </w:rPr>
        <w:t xml:space="preserve"> que p</w:t>
      </w:r>
      <w:r w:rsidRPr="00D75D2E">
        <w:rPr>
          <w:rFonts w:ascii="Times New Roman" w:hAnsi="Times New Roman"/>
          <w:spacing w:val="-2"/>
          <w:sz w:val="24"/>
          <w:szCs w:val="24"/>
        </w:rPr>
        <w:t>o</w:t>
      </w:r>
      <w:r w:rsidRPr="00D75D2E">
        <w:rPr>
          <w:rFonts w:ascii="Times New Roman" w:hAnsi="Times New Roman"/>
          <w:sz w:val="24"/>
          <w:szCs w:val="24"/>
        </w:rPr>
        <w:t>s</w:t>
      </w:r>
      <w:r w:rsidRPr="00D75D2E">
        <w:rPr>
          <w:rFonts w:ascii="Times New Roman" w:hAnsi="Times New Roman"/>
          <w:spacing w:val="-2"/>
          <w:sz w:val="24"/>
          <w:szCs w:val="24"/>
        </w:rPr>
        <w:t>s</w:t>
      </w:r>
      <w:r w:rsidRPr="00D75D2E">
        <w:rPr>
          <w:rFonts w:ascii="Times New Roman" w:hAnsi="Times New Roman"/>
          <w:spacing w:val="1"/>
          <w:sz w:val="24"/>
          <w:szCs w:val="24"/>
        </w:rPr>
        <w:t>i</w:t>
      </w:r>
      <w:r w:rsidRPr="00D75D2E">
        <w:rPr>
          <w:rFonts w:ascii="Times New Roman" w:hAnsi="Times New Roman"/>
          <w:sz w:val="24"/>
          <w:szCs w:val="24"/>
        </w:rPr>
        <w:t>b</w:t>
      </w:r>
      <w:r w:rsidRPr="00D75D2E">
        <w:rPr>
          <w:rFonts w:ascii="Times New Roman" w:hAnsi="Times New Roman"/>
          <w:spacing w:val="-1"/>
          <w:sz w:val="24"/>
          <w:szCs w:val="24"/>
        </w:rPr>
        <w:t>l</w:t>
      </w:r>
      <w:r w:rsidRPr="00D75D2E">
        <w:rPr>
          <w:rFonts w:ascii="Times New Roman" w:hAnsi="Times New Roman"/>
          <w:sz w:val="24"/>
          <w:szCs w:val="24"/>
        </w:rPr>
        <w:t xml:space="preserve">e, </w:t>
      </w:r>
      <w:r w:rsidRPr="00D75D2E">
        <w:rPr>
          <w:rFonts w:ascii="Times New Roman" w:hAnsi="Times New Roman"/>
          <w:spacing w:val="1"/>
          <w:sz w:val="24"/>
          <w:szCs w:val="24"/>
        </w:rPr>
        <w:t>l</w:t>
      </w:r>
      <w:r w:rsidRPr="00D75D2E">
        <w:rPr>
          <w:rFonts w:ascii="Times New Roman" w:hAnsi="Times New Roman"/>
          <w:sz w:val="24"/>
          <w:szCs w:val="24"/>
        </w:rPr>
        <w:t>es d</w:t>
      </w:r>
      <w:r w:rsidRPr="00D75D2E">
        <w:rPr>
          <w:rFonts w:ascii="Times New Roman" w:hAnsi="Times New Roman"/>
          <w:spacing w:val="-2"/>
          <w:sz w:val="24"/>
          <w:szCs w:val="24"/>
        </w:rPr>
        <w:t>é</w:t>
      </w:r>
      <w:r w:rsidRPr="00D75D2E">
        <w:rPr>
          <w:rFonts w:ascii="Times New Roman" w:hAnsi="Times New Roman"/>
          <w:sz w:val="24"/>
          <w:szCs w:val="24"/>
        </w:rPr>
        <w:t>che</w:t>
      </w:r>
      <w:r w:rsidRPr="00D75D2E">
        <w:rPr>
          <w:rFonts w:ascii="Times New Roman" w:hAnsi="Times New Roman"/>
          <w:spacing w:val="-1"/>
          <w:sz w:val="24"/>
          <w:szCs w:val="24"/>
        </w:rPr>
        <w:t>t</w:t>
      </w:r>
      <w:r w:rsidRPr="00D75D2E">
        <w:rPr>
          <w:rFonts w:ascii="Times New Roman" w:hAnsi="Times New Roman"/>
          <w:sz w:val="24"/>
          <w:szCs w:val="24"/>
        </w:rPr>
        <w:t>s organiques et les sables en</w:t>
      </w:r>
      <w:r w:rsidRPr="00D75D2E">
        <w:rPr>
          <w:rFonts w:ascii="Times New Roman" w:hAnsi="Times New Roman"/>
          <w:spacing w:val="-1"/>
          <w:sz w:val="24"/>
          <w:szCs w:val="24"/>
        </w:rPr>
        <w:t>l</w:t>
      </w:r>
      <w:r w:rsidRPr="00D75D2E">
        <w:rPr>
          <w:rFonts w:ascii="Times New Roman" w:hAnsi="Times New Roman"/>
          <w:sz w:val="24"/>
          <w:szCs w:val="24"/>
        </w:rPr>
        <w:t>e</w:t>
      </w:r>
      <w:r w:rsidRPr="00D75D2E">
        <w:rPr>
          <w:rFonts w:ascii="Times New Roman" w:hAnsi="Times New Roman"/>
          <w:spacing w:val="-2"/>
          <w:sz w:val="24"/>
          <w:szCs w:val="24"/>
        </w:rPr>
        <w:t>v</w:t>
      </w:r>
      <w:r w:rsidRPr="00D75D2E">
        <w:rPr>
          <w:rFonts w:ascii="Times New Roman" w:hAnsi="Times New Roman"/>
          <w:sz w:val="24"/>
          <w:szCs w:val="24"/>
        </w:rPr>
        <w:t>és p</w:t>
      </w:r>
      <w:r w:rsidRPr="00D75D2E">
        <w:rPr>
          <w:rFonts w:ascii="Times New Roman" w:hAnsi="Times New Roman"/>
          <w:spacing w:val="-2"/>
          <w:sz w:val="24"/>
          <w:szCs w:val="24"/>
        </w:rPr>
        <w:t>e</w:t>
      </w:r>
      <w:r w:rsidRPr="00D75D2E">
        <w:rPr>
          <w:rFonts w:ascii="Times New Roman" w:hAnsi="Times New Roman"/>
          <w:sz w:val="24"/>
          <w:szCs w:val="24"/>
        </w:rPr>
        <w:t>nd</w:t>
      </w:r>
      <w:r w:rsidRPr="00D75D2E">
        <w:rPr>
          <w:rFonts w:ascii="Times New Roman" w:hAnsi="Times New Roman"/>
          <w:spacing w:val="-2"/>
          <w:sz w:val="24"/>
          <w:szCs w:val="24"/>
        </w:rPr>
        <w:t>a</w:t>
      </w:r>
      <w:r w:rsidRPr="00D75D2E">
        <w:rPr>
          <w:rFonts w:ascii="Times New Roman" w:hAnsi="Times New Roman"/>
          <w:sz w:val="24"/>
          <w:szCs w:val="24"/>
        </w:rPr>
        <w:t xml:space="preserve">nt </w:t>
      </w:r>
      <w:r w:rsidRPr="00D75D2E">
        <w:rPr>
          <w:rFonts w:ascii="Times New Roman" w:hAnsi="Times New Roman"/>
          <w:spacing w:val="-1"/>
          <w:sz w:val="24"/>
          <w:szCs w:val="24"/>
        </w:rPr>
        <w:t>l</w:t>
      </w:r>
      <w:r w:rsidRPr="00D75D2E">
        <w:rPr>
          <w:rFonts w:ascii="Times New Roman" w:hAnsi="Times New Roman"/>
          <w:spacing w:val="-2"/>
          <w:sz w:val="24"/>
          <w:szCs w:val="24"/>
        </w:rPr>
        <w:t>e</w:t>
      </w:r>
      <w:r w:rsidRPr="00D75D2E">
        <w:rPr>
          <w:rFonts w:ascii="Times New Roman" w:hAnsi="Times New Roman"/>
          <w:sz w:val="24"/>
          <w:szCs w:val="24"/>
        </w:rPr>
        <w:t>s opé</w:t>
      </w:r>
      <w:r w:rsidRPr="00D75D2E">
        <w:rPr>
          <w:rFonts w:ascii="Times New Roman" w:hAnsi="Times New Roman"/>
          <w:spacing w:val="-1"/>
          <w:sz w:val="24"/>
          <w:szCs w:val="24"/>
        </w:rPr>
        <w:t>r</w:t>
      </w:r>
      <w:r w:rsidRPr="00D75D2E">
        <w:rPr>
          <w:rFonts w:ascii="Times New Roman" w:hAnsi="Times New Roman"/>
          <w:sz w:val="24"/>
          <w:szCs w:val="24"/>
        </w:rPr>
        <w:t>a</w:t>
      </w:r>
      <w:r w:rsidRPr="00D75D2E">
        <w:rPr>
          <w:rFonts w:ascii="Times New Roman" w:hAnsi="Times New Roman"/>
          <w:spacing w:val="-1"/>
          <w:sz w:val="24"/>
          <w:szCs w:val="24"/>
        </w:rPr>
        <w:t>ti</w:t>
      </w:r>
      <w:r w:rsidRPr="00D75D2E">
        <w:rPr>
          <w:rFonts w:ascii="Times New Roman" w:hAnsi="Times New Roman"/>
          <w:sz w:val="24"/>
          <w:szCs w:val="24"/>
        </w:rPr>
        <w:t>ons en bo</w:t>
      </w:r>
      <w:r w:rsidRPr="00D75D2E">
        <w:rPr>
          <w:rFonts w:ascii="Times New Roman" w:hAnsi="Times New Roman"/>
          <w:spacing w:val="-3"/>
          <w:sz w:val="24"/>
          <w:szCs w:val="24"/>
        </w:rPr>
        <w:t>r</w:t>
      </w:r>
      <w:r w:rsidRPr="00D75D2E">
        <w:rPr>
          <w:rFonts w:ascii="Times New Roman" w:hAnsi="Times New Roman"/>
          <w:sz w:val="24"/>
          <w:szCs w:val="24"/>
        </w:rPr>
        <w:t>du</w:t>
      </w:r>
      <w:r w:rsidRPr="00D75D2E">
        <w:rPr>
          <w:rFonts w:ascii="Times New Roman" w:hAnsi="Times New Roman"/>
          <w:spacing w:val="-1"/>
          <w:sz w:val="24"/>
          <w:szCs w:val="24"/>
        </w:rPr>
        <w:t>r</w:t>
      </w:r>
      <w:r w:rsidRPr="00D75D2E">
        <w:rPr>
          <w:rFonts w:ascii="Times New Roman" w:hAnsi="Times New Roman"/>
          <w:sz w:val="24"/>
          <w:szCs w:val="24"/>
        </w:rPr>
        <w:t xml:space="preserve">e </w:t>
      </w:r>
      <w:r w:rsidRPr="00D75D2E">
        <w:rPr>
          <w:rFonts w:ascii="Times New Roman" w:hAnsi="Times New Roman"/>
          <w:spacing w:val="-2"/>
          <w:sz w:val="24"/>
          <w:szCs w:val="24"/>
        </w:rPr>
        <w:t>d</w:t>
      </w:r>
      <w:r w:rsidRPr="00D75D2E">
        <w:rPr>
          <w:rFonts w:ascii="Times New Roman" w:hAnsi="Times New Roman"/>
          <w:sz w:val="24"/>
          <w:szCs w:val="24"/>
        </w:rPr>
        <w:t>u c</w:t>
      </w:r>
      <w:r w:rsidRPr="00D75D2E">
        <w:rPr>
          <w:rFonts w:ascii="Times New Roman" w:hAnsi="Times New Roman"/>
          <w:spacing w:val="-2"/>
          <w:sz w:val="24"/>
          <w:szCs w:val="24"/>
        </w:rPr>
        <w:t>o</w:t>
      </w:r>
      <w:r w:rsidRPr="00D75D2E">
        <w:rPr>
          <w:rFonts w:ascii="Times New Roman" w:hAnsi="Times New Roman"/>
          <w:sz w:val="24"/>
          <w:szCs w:val="24"/>
        </w:rPr>
        <w:t>u</w:t>
      </w:r>
      <w:r w:rsidRPr="00D75D2E">
        <w:rPr>
          <w:rFonts w:ascii="Times New Roman" w:hAnsi="Times New Roman"/>
          <w:spacing w:val="-1"/>
          <w:sz w:val="24"/>
          <w:szCs w:val="24"/>
        </w:rPr>
        <w:t>r</w:t>
      </w:r>
      <w:r w:rsidRPr="00D75D2E">
        <w:rPr>
          <w:rFonts w:ascii="Times New Roman" w:hAnsi="Times New Roman"/>
          <w:sz w:val="24"/>
          <w:szCs w:val="24"/>
        </w:rPr>
        <w:t xml:space="preserve">s </w:t>
      </w:r>
      <w:r w:rsidRPr="00D75D2E">
        <w:rPr>
          <w:rFonts w:ascii="Times New Roman" w:hAnsi="Times New Roman"/>
          <w:spacing w:val="-2"/>
          <w:sz w:val="24"/>
          <w:szCs w:val="24"/>
        </w:rPr>
        <w:t>d</w:t>
      </w:r>
      <w:r w:rsidRPr="00D75D2E">
        <w:rPr>
          <w:rFonts w:ascii="Times New Roman" w:hAnsi="Times New Roman"/>
          <w:sz w:val="24"/>
          <w:szCs w:val="24"/>
        </w:rPr>
        <w:t>'e</w:t>
      </w:r>
      <w:r w:rsidRPr="00D75D2E">
        <w:rPr>
          <w:rFonts w:ascii="Times New Roman" w:hAnsi="Times New Roman"/>
          <w:spacing w:val="-2"/>
          <w:sz w:val="24"/>
          <w:szCs w:val="24"/>
        </w:rPr>
        <w:t>a</w:t>
      </w:r>
      <w:r w:rsidRPr="00D75D2E">
        <w:rPr>
          <w:rFonts w:ascii="Times New Roman" w:hAnsi="Times New Roman"/>
          <w:sz w:val="24"/>
          <w:szCs w:val="24"/>
        </w:rPr>
        <w:t xml:space="preserve">u </w:t>
      </w:r>
      <w:r w:rsidRPr="00D75D2E">
        <w:rPr>
          <w:rFonts w:ascii="Times New Roman" w:hAnsi="Times New Roman"/>
          <w:spacing w:val="-2"/>
          <w:sz w:val="24"/>
          <w:szCs w:val="24"/>
        </w:rPr>
        <w:t>p</w:t>
      </w:r>
      <w:r w:rsidRPr="00D75D2E">
        <w:rPr>
          <w:rFonts w:ascii="Times New Roman" w:hAnsi="Times New Roman"/>
          <w:sz w:val="24"/>
          <w:szCs w:val="24"/>
        </w:rPr>
        <w:t xml:space="preserve">our </w:t>
      </w:r>
      <w:r w:rsidRPr="00D75D2E">
        <w:rPr>
          <w:rFonts w:ascii="Times New Roman" w:hAnsi="Times New Roman"/>
          <w:spacing w:val="-1"/>
          <w:sz w:val="24"/>
          <w:szCs w:val="24"/>
        </w:rPr>
        <w:t>f</w:t>
      </w:r>
      <w:r w:rsidRPr="00D75D2E">
        <w:rPr>
          <w:rFonts w:ascii="Times New Roman" w:hAnsi="Times New Roman"/>
          <w:spacing w:val="1"/>
          <w:sz w:val="24"/>
          <w:szCs w:val="24"/>
        </w:rPr>
        <w:t>i</w:t>
      </w:r>
      <w:r w:rsidRPr="00D75D2E">
        <w:rPr>
          <w:rFonts w:ascii="Times New Roman" w:hAnsi="Times New Roman"/>
          <w:sz w:val="24"/>
          <w:szCs w:val="24"/>
        </w:rPr>
        <w:t>n d'u</w:t>
      </w:r>
      <w:r w:rsidRPr="00D75D2E">
        <w:rPr>
          <w:rFonts w:ascii="Times New Roman" w:hAnsi="Times New Roman"/>
          <w:spacing w:val="-1"/>
          <w:sz w:val="24"/>
          <w:szCs w:val="24"/>
        </w:rPr>
        <w:t>ti</w:t>
      </w:r>
      <w:r w:rsidRPr="00D75D2E">
        <w:rPr>
          <w:rFonts w:ascii="Times New Roman" w:hAnsi="Times New Roman"/>
          <w:spacing w:val="1"/>
          <w:sz w:val="24"/>
          <w:szCs w:val="24"/>
        </w:rPr>
        <w:t>l</w:t>
      </w:r>
      <w:r w:rsidRPr="00D75D2E">
        <w:rPr>
          <w:rFonts w:ascii="Times New Roman" w:hAnsi="Times New Roman"/>
          <w:spacing w:val="-1"/>
          <w:sz w:val="24"/>
          <w:szCs w:val="24"/>
        </w:rPr>
        <w:t>i</w:t>
      </w:r>
      <w:r w:rsidRPr="00D75D2E">
        <w:rPr>
          <w:rFonts w:ascii="Times New Roman" w:hAnsi="Times New Roman"/>
          <w:sz w:val="24"/>
          <w:szCs w:val="24"/>
        </w:rPr>
        <w:t>sa</w:t>
      </w:r>
      <w:r w:rsidRPr="00D75D2E">
        <w:rPr>
          <w:rFonts w:ascii="Times New Roman" w:hAnsi="Times New Roman"/>
          <w:spacing w:val="-1"/>
          <w:sz w:val="24"/>
          <w:szCs w:val="24"/>
        </w:rPr>
        <w:t>t</w:t>
      </w:r>
      <w:r w:rsidRPr="00D75D2E">
        <w:rPr>
          <w:rFonts w:ascii="Times New Roman" w:hAnsi="Times New Roman"/>
          <w:spacing w:val="1"/>
          <w:sz w:val="24"/>
          <w:szCs w:val="24"/>
        </w:rPr>
        <w:t>i</w:t>
      </w:r>
      <w:r w:rsidRPr="00D75D2E">
        <w:rPr>
          <w:rFonts w:ascii="Times New Roman" w:hAnsi="Times New Roman"/>
          <w:spacing w:val="-2"/>
          <w:sz w:val="24"/>
          <w:szCs w:val="24"/>
        </w:rPr>
        <w:t>o</w:t>
      </w:r>
      <w:r w:rsidRPr="00D75D2E">
        <w:rPr>
          <w:rFonts w:ascii="Times New Roman" w:hAnsi="Times New Roman"/>
          <w:sz w:val="24"/>
          <w:szCs w:val="24"/>
        </w:rPr>
        <w:t>n</w:t>
      </w:r>
      <w:r w:rsidRPr="00D75D2E">
        <w:rPr>
          <w:rFonts w:ascii="Times New Roman" w:hAnsi="Times New Roman"/>
          <w:spacing w:val="1"/>
          <w:sz w:val="24"/>
          <w:szCs w:val="24"/>
        </w:rPr>
        <w:t xml:space="preserve"> l</w:t>
      </w:r>
      <w:r w:rsidRPr="00D75D2E">
        <w:rPr>
          <w:rFonts w:ascii="Times New Roman" w:hAnsi="Times New Roman"/>
          <w:sz w:val="24"/>
          <w:szCs w:val="24"/>
        </w:rPr>
        <w:t>o</w:t>
      </w:r>
      <w:r w:rsidRPr="00D75D2E">
        <w:rPr>
          <w:rFonts w:ascii="Times New Roman" w:hAnsi="Times New Roman"/>
          <w:spacing w:val="-1"/>
          <w:sz w:val="24"/>
          <w:szCs w:val="24"/>
        </w:rPr>
        <w:t>r</w:t>
      </w:r>
      <w:r w:rsidRPr="00D75D2E">
        <w:rPr>
          <w:rFonts w:ascii="Times New Roman" w:hAnsi="Times New Roman"/>
          <w:sz w:val="24"/>
          <w:szCs w:val="24"/>
        </w:rPr>
        <w:t xml:space="preserve">s de </w:t>
      </w:r>
      <w:r w:rsidRPr="00D75D2E">
        <w:rPr>
          <w:rFonts w:ascii="Times New Roman" w:hAnsi="Times New Roman"/>
          <w:spacing w:val="-1"/>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r</w:t>
      </w:r>
      <w:r w:rsidRPr="00D75D2E">
        <w:rPr>
          <w:rFonts w:ascii="Times New Roman" w:hAnsi="Times New Roman"/>
          <w:spacing w:val="-2"/>
          <w:sz w:val="24"/>
          <w:szCs w:val="24"/>
        </w:rPr>
        <w:t>e</w:t>
      </w:r>
      <w:r w:rsidRPr="00D75D2E">
        <w:rPr>
          <w:rFonts w:ascii="Times New Roman" w:hAnsi="Times New Roman"/>
          <w:spacing w:val="-1"/>
          <w:sz w:val="24"/>
          <w:szCs w:val="24"/>
        </w:rPr>
        <w:t>m</w:t>
      </w:r>
      <w:r w:rsidRPr="00D75D2E">
        <w:rPr>
          <w:rFonts w:ascii="Times New Roman" w:hAnsi="Times New Roman"/>
          <w:spacing w:val="1"/>
          <w:sz w:val="24"/>
          <w:szCs w:val="24"/>
        </w:rPr>
        <w:t>i</w:t>
      </w:r>
      <w:r w:rsidRPr="00D75D2E">
        <w:rPr>
          <w:rFonts w:ascii="Times New Roman" w:hAnsi="Times New Roman"/>
          <w:sz w:val="24"/>
          <w:szCs w:val="24"/>
        </w:rPr>
        <w:t>se en é</w:t>
      </w:r>
      <w:r w:rsidRPr="00D75D2E">
        <w:rPr>
          <w:rFonts w:ascii="Times New Roman" w:hAnsi="Times New Roman"/>
          <w:spacing w:val="-1"/>
          <w:sz w:val="24"/>
          <w:szCs w:val="24"/>
        </w:rPr>
        <w:t>t</w:t>
      </w:r>
      <w:r w:rsidRPr="00D75D2E">
        <w:rPr>
          <w:rFonts w:ascii="Times New Roman" w:hAnsi="Times New Roman"/>
          <w:sz w:val="24"/>
          <w:szCs w:val="24"/>
        </w:rPr>
        <w:t xml:space="preserve">at </w:t>
      </w:r>
      <w:r w:rsidRPr="00D75D2E">
        <w:rPr>
          <w:rFonts w:ascii="Times New Roman" w:hAnsi="Times New Roman"/>
          <w:spacing w:val="-2"/>
          <w:sz w:val="24"/>
          <w:szCs w:val="24"/>
        </w:rPr>
        <w:t>d</w:t>
      </w:r>
      <w:r w:rsidRPr="00D75D2E">
        <w:rPr>
          <w:rFonts w:ascii="Times New Roman" w:hAnsi="Times New Roman"/>
          <w:sz w:val="24"/>
          <w:szCs w:val="24"/>
        </w:rPr>
        <w:t xml:space="preserve">e </w:t>
      </w:r>
      <w:r w:rsidRPr="00D75D2E">
        <w:rPr>
          <w:rFonts w:ascii="Times New Roman" w:hAnsi="Times New Roman"/>
          <w:spacing w:val="1"/>
          <w:sz w:val="24"/>
          <w:szCs w:val="24"/>
        </w:rPr>
        <w:t>l</w:t>
      </w:r>
      <w:r w:rsidRPr="00D75D2E">
        <w:rPr>
          <w:rFonts w:ascii="Times New Roman" w:hAnsi="Times New Roman"/>
          <w:sz w:val="24"/>
          <w:szCs w:val="24"/>
        </w:rPr>
        <w:t>'</w:t>
      </w:r>
      <w:r w:rsidRPr="00D75D2E">
        <w:rPr>
          <w:rFonts w:ascii="Times New Roman" w:hAnsi="Times New Roman"/>
          <w:spacing w:val="-2"/>
          <w:sz w:val="24"/>
          <w:szCs w:val="24"/>
        </w:rPr>
        <w:t>e</w:t>
      </w:r>
      <w:r w:rsidRPr="00D75D2E">
        <w:rPr>
          <w:rFonts w:ascii="Times New Roman" w:hAnsi="Times New Roman"/>
          <w:spacing w:val="-1"/>
          <w:sz w:val="24"/>
          <w:szCs w:val="24"/>
        </w:rPr>
        <w:t>m</w:t>
      </w:r>
      <w:r w:rsidRPr="00D75D2E">
        <w:rPr>
          <w:rFonts w:ascii="Times New Roman" w:hAnsi="Times New Roman"/>
          <w:sz w:val="24"/>
          <w:szCs w:val="24"/>
        </w:rPr>
        <w:t>p</w:t>
      </w:r>
      <w:r w:rsidRPr="00D75D2E">
        <w:rPr>
          <w:rFonts w:ascii="Times New Roman" w:hAnsi="Times New Roman"/>
          <w:spacing w:val="-1"/>
          <w:sz w:val="24"/>
          <w:szCs w:val="24"/>
        </w:rPr>
        <w:t>l</w:t>
      </w:r>
      <w:r w:rsidRPr="00D75D2E">
        <w:rPr>
          <w:rFonts w:ascii="Times New Roman" w:hAnsi="Times New Roman"/>
          <w:sz w:val="24"/>
          <w:szCs w:val="24"/>
        </w:rPr>
        <w:t>ac</w:t>
      </w:r>
      <w:r w:rsidRPr="00D75D2E">
        <w:rPr>
          <w:rFonts w:ascii="Times New Roman" w:hAnsi="Times New Roman"/>
          <w:spacing w:val="-2"/>
          <w:sz w:val="24"/>
          <w:szCs w:val="24"/>
        </w:rPr>
        <w:t>e</w:t>
      </w:r>
      <w:r w:rsidRPr="00D75D2E">
        <w:rPr>
          <w:rFonts w:ascii="Times New Roman" w:hAnsi="Times New Roman"/>
          <w:spacing w:val="-1"/>
          <w:sz w:val="24"/>
          <w:szCs w:val="24"/>
        </w:rPr>
        <w:t>m</w:t>
      </w:r>
      <w:r w:rsidRPr="00D75D2E">
        <w:rPr>
          <w:rFonts w:ascii="Times New Roman" w:hAnsi="Times New Roman"/>
          <w:sz w:val="24"/>
          <w:szCs w:val="24"/>
        </w:rPr>
        <w:t>ent;</w:t>
      </w:r>
    </w:p>
    <w:p w14:paraId="7AD0FBB8"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 xml:space="preserve">à </w:t>
      </w:r>
      <w:r w:rsidRPr="00D75D2E">
        <w:rPr>
          <w:rFonts w:ascii="Times New Roman" w:hAnsi="Times New Roman"/>
          <w:spacing w:val="1"/>
          <w:sz w:val="24"/>
          <w:szCs w:val="24"/>
        </w:rPr>
        <w:t>l</w:t>
      </w:r>
      <w:r w:rsidRPr="00D75D2E">
        <w:rPr>
          <w:rFonts w:ascii="Times New Roman" w:hAnsi="Times New Roman"/>
          <w:sz w:val="24"/>
          <w:szCs w:val="24"/>
        </w:rPr>
        <w:t xml:space="preserve">a </w:t>
      </w:r>
      <w:r w:rsidRPr="00D75D2E">
        <w:rPr>
          <w:rFonts w:ascii="Times New Roman" w:hAnsi="Times New Roman"/>
          <w:spacing w:val="1"/>
          <w:sz w:val="24"/>
          <w:szCs w:val="24"/>
        </w:rPr>
        <w:t>f</w:t>
      </w:r>
      <w:r w:rsidRPr="00D75D2E">
        <w:rPr>
          <w:rFonts w:ascii="Times New Roman" w:hAnsi="Times New Roman"/>
          <w:spacing w:val="-1"/>
          <w:sz w:val="24"/>
          <w:szCs w:val="24"/>
        </w:rPr>
        <w:t>i</w:t>
      </w:r>
      <w:r w:rsidRPr="00D75D2E">
        <w:rPr>
          <w:rFonts w:ascii="Times New Roman" w:hAnsi="Times New Roman"/>
          <w:sz w:val="24"/>
          <w:szCs w:val="24"/>
        </w:rPr>
        <w:t>n d</w:t>
      </w:r>
      <w:r w:rsidRPr="00D75D2E">
        <w:rPr>
          <w:rFonts w:ascii="Times New Roman" w:hAnsi="Times New Roman"/>
          <w:spacing w:val="-2"/>
          <w:sz w:val="24"/>
          <w:szCs w:val="24"/>
        </w:rPr>
        <w:t>e</w:t>
      </w:r>
      <w:r w:rsidRPr="00D75D2E">
        <w:rPr>
          <w:rFonts w:ascii="Times New Roman" w:hAnsi="Times New Roman"/>
          <w:sz w:val="24"/>
          <w:szCs w:val="24"/>
        </w:rPr>
        <w:t xml:space="preserve">s </w:t>
      </w:r>
      <w:r w:rsidRPr="00D75D2E">
        <w:rPr>
          <w:rFonts w:ascii="Times New Roman" w:hAnsi="Times New Roman"/>
          <w:spacing w:val="-1"/>
          <w:sz w:val="24"/>
          <w:szCs w:val="24"/>
        </w:rPr>
        <w:t>tr</w:t>
      </w:r>
      <w:r w:rsidRPr="00D75D2E">
        <w:rPr>
          <w:rFonts w:ascii="Times New Roman" w:hAnsi="Times New Roman"/>
          <w:sz w:val="24"/>
          <w:szCs w:val="24"/>
        </w:rPr>
        <w:t>a</w:t>
      </w:r>
      <w:r w:rsidRPr="00D75D2E">
        <w:rPr>
          <w:rFonts w:ascii="Times New Roman" w:hAnsi="Times New Roman"/>
          <w:spacing w:val="-2"/>
          <w:sz w:val="24"/>
          <w:szCs w:val="24"/>
        </w:rPr>
        <w:t>v</w:t>
      </w:r>
      <w:r w:rsidRPr="00D75D2E">
        <w:rPr>
          <w:rFonts w:ascii="Times New Roman" w:hAnsi="Times New Roman"/>
          <w:sz w:val="24"/>
          <w:szCs w:val="24"/>
        </w:rPr>
        <w:t>aux, p</w:t>
      </w:r>
      <w:r w:rsidRPr="00D75D2E">
        <w:rPr>
          <w:rFonts w:ascii="Times New Roman" w:hAnsi="Times New Roman"/>
          <w:spacing w:val="-1"/>
          <w:sz w:val="24"/>
          <w:szCs w:val="24"/>
        </w:rPr>
        <w:t>r</w:t>
      </w:r>
      <w:r w:rsidRPr="00D75D2E">
        <w:rPr>
          <w:rFonts w:ascii="Times New Roman" w:hAnsi="Times New Roman"/>
          <w:sz w:val="24"/>
          <w:szCs w:val="24"/>
        </w:rPr>
        <w:t>o</w:t>
      </w:r>
      <w:r w:rsidRPr="00D75D2E">
        <w:rPr>
          <w:rFonts w:ascii="Times New Roman" w:hAnsi="Times New Roman"/>
          <w:spacing w:val="-2"/>
          <w:sz w:val="24"/>
          <w:szCs w:val="24"/>
        </w:rPr>
        <w:t>c</w:t>
      </w:r>
      <w:r w:rsidRPr="00D75D2E">
        <w:rPr>
          <w:rFonts w:ascii="Times New Roman" w:hAnsi="Times New Roman"/>
          <w:sz w:val="24"/>
          <w:szCs w:val="24"/>
        </w:rPr>
        <w:t xml:space="preserve">éder à </w:t>
      </w:r>
      <w:r w:rsidRPr="00D75D2E">
        <w:rPr>
          <w:rFonts w:ascii="Times New Roman" w:hAnsi="Times New Roman"/>
          <w:spacing w:val="1"/>
          <w:sz w:val="24"/>
          <w:szCs w:val="24"/>
        </w:rPr>
        <w:t>l</w:t>
      </w:r>
      <w:r w:rsidRPr="00D75D2E">
        <w:rPr>
          <w:rFonts w:ascii="Times New Roman" w:hAnsi="Times New Roman"/>
          <w:sz w:val="24"/>
          <w:szCs w:val="24"/>
        </w:rPr>
        <w:t>'</w:t>
      </w:r>
      <w:r w:rsidRPr="00D75D2E">
        <w:rPr>
          <w:rFonts w:ascii="Times New Roman" w:hAnsi="Times New Roman"/>
          <w:spacing w:val="-2"/>
          <w:sz w:val="24"/>
          <w:szCs w:val="24"/>
        </w:rPr>
        <w:t>e</w:t>
      </w:r>
      <w:r w:rsidRPr="00D75D2E">
        <w:rPr>
          <w:rFonts w:ascii="Times New Roman" w:hAnsi="Times New Roman"/>
          <w:sz w:val="24"/>
          <w:szCs w:val="24"/>
        </w:rPr>
        <w:t>n</w:t>
      </w:r>
      <w:r w:rsidRPr="00D75D2E">
        <w:rPr>
          <w:rFonts w:ascii="Times New Roman" w:hAnsi="Times New Roman"/>
          <w:spacing w:val="-1"/>
          <w:sz w:val="24"/>
          <w:szCs w:val="24"/>
        </w:rPr>
        <w:t>l</w:t>
      </w:r>
      <w:r w:rsidRPr="00D75D2E">
        <w:rPr>
          <w:rFonts w:ascii="Times New Roman" w:hAnsi="Times New Roman"/>
          <w:sz w:val="24"/>
          <w:szCs w:val="24"/>
        </w:rPr>
        <w:t>è</w:t>
      </w:r>
      <w:r w:rsidRPr="00D75D2E">
        <w:rPr>
          <w:rFonts w:ascii="Times New Roman" w:hAnsi="Times New Roman"/>
          <w:spacing w:val="-2"/>
          <w:sz w:val="24"/>
          <w:szCs w:val="24"/>
        </w:rPr>
        <w:t>v</w:t>
      </w:r>
      <w:r w:rsidRPr="00D75D2E">
        <w:rPr>
          <w:rFonts w:ascii="Times New Roman" w:hAnsi="Times New Roman"/>
          <w:sz w:val="24"/>
          <w:szCs w:val="24"/>
        </w:rPr>
        <w:t>e</w:t>
      </w:r>
      <w:r w:rsidRPr="00D75D2E">
        <w:rPr>
          <w:rFonts w:ascii="Times New Roman" w:hAnsi="Times New Roman"/>
          <w:spacing w:val="-1"/>
          <w:sz w:val="24"/>
          <w:szCs w:val="24"/>
        </w:rPr>
        <w:t>m</w:t>
      </w:r>
      <w:r w:rsidRPr="00D75D2E">
        <w:rPr>
          <w:rFonts w:ascii="Times New Roman" w:hAnsi="Times New Roman"/>
          <w:sz w:val="24"/>
          <w:szCs w:val="24"/>
        </w:rPr>
        <w:t>ent c</w:t>
      </w:r>
      <w:r w:rsidRPr="00D75D2E">
        <w:rPr>
          <w:rFonts w:ascii="Times New Roman" w:hAnsi="Times New Roman"/>
          <w:spacing w:val="-2"/>
          <w:sz w:val="24"/>
          <w:szCs w:val="24"/>
        </w:rPr>
        <w:t>o</w:t>
      </w:r>
      <w:r w:rsidRPr="00D75D2E">
        <w:rPr>
          <w:rFonts w:ascii="Times New Roman" w:hAnsi="Times New Roman"/>
          <w:spacing w:val="-1"/>
          <w:sz w:val="24"/>
          <w:szCs w:val="24"/>
        </w:rPr>
        <w:t>m</w:t>
      </w:r>
      <w:r w:rsidRPr="00D75D2E">
        <w:rPr>
          <w:rFonts w:ascii="Times New Roman" w:hAnsi="Times New Roman"/>
          <w:spacing w:val="-2"/>
          <w:sz w:val="24"/>
          <w:szCs w:val="24"/>
        </w:rPr>
        <w:t>p</w:t>
      </w:r>
      <w:r w:rsidRPr="00D75D2E">
        <w:rPr>
          <w:rFonts w:ascii="Times New Roman" w:hAnsi="Times New Roman"/>
          <w:spacing w:val="1"/>
          <w:sz w:val="24"/>
          <w:szCs w:val="24"/>
        </w:rPr>
        <w:t>l</w:t>
      </w:r>
      <w:r w:rsidRPr="00D75D2E">
        <w:rPr>
          <w:rFonts w:ascii="Times New Roman" w:hAnsi="Times New Roman"/>
          <w:sz w:val="24"/>
          <w:szCs w:val="24"/>
        </w:rPr>
        <w:t>et des ou</w:t>
      </w:r>
      <w:r w:rsidRPr="00D75D2E">
        <w:rPr>
          <w:rFonts w:ascii="Times New Roman" w:hAnsi="Times New Roman"/>
          <w:spacing w:val="-2"/>
          <w:sz w:val="24"/>
          <w:szCs w:val="24"/>
        </w:rPr>
        <w:t>v</w:t>
      </w:r>
      <w:r w:rsidRPr="00D75D2E">
        <w:rPr>
          <w:rFonts w:ascii="Times New Roman" w:hAnsi="Times New Roman"/>
          <w:spacing w:val="-1"/>
          <w:sz w:val="24"/>
          <w:szCs w:val="24"/>
        </w:rPr>
        <w:t>r</w:t>
      </w:r>
      <w:r w:rsidRPr="00D75D2E">
        <w:rPr>
          <w:rFonts w:ascii="Times New Roman" w:hAnsi="Times New Roman"/>
          <w:sz w:val="24"/>
          <w:szCs w:val="24"/>
        </w:rPr>
        <w:t xml:space="preserve">ages provisoires, des déchets de démolitions et des chutes de </w:t>
      </w:r>
      <w:r w:rsidRPr="00D75D2E">
        <w:rPr>
          <w:rFonts w:ascii="Times New Roman" w:hAnsi="Times New Roman"/>
          <w:spacing w:val="2"/>
          <w:sz w:val="24"/>
          <w:szCs w:val="24"/>
        </w:rPr>
        <w:t>m</w:t>
      </w:r>
      <w:r w:rsidRPr="00D75D2E">
        <w:rPr>
          <w:rFonts w:ascii="Times New Roman" w:hAnsi="Times New Roman"/>
          <w:spacing w:val="-2"/>
          <w:sz w:val="24"/>
          <w:szCs w:val="24"/>
        </w:rPr>
        <w:t>a</w:t>
      </w:r>
      <w:r w:rsidRPr="00D75D2E">
        <w:rPr>
          <w:rFonts w:ascii="Times New Roman" w:hAnsi="Times New Roman"/>
          <w:sz w:val="24"/>
          <w:szCs w:val="24"/>
        </w:rPr>
        <w:t>n</w:t>
      </w:r>
      <w:r w:rsidRPr="00D75D2E">
        <w:rPr>
          <w:rFonts w:ascii="Times New Roman" w:hAnsi="Times New Roman"/>
          <w:spacing w:val="-1"/>
          <w:sz w:val="24"/>
          <w:szCs w:val="24"/>
        </w:rPr>
        <w:t>i</w:t>
      </w:r>
      <w:r w:rsidRPr="00D75D2E">
        <w:rPr>
          <w:rFonts w:ascii="Times New Roman" w:hAnsi="Times New Roman"/>
          <w:sz w:val="24"/>
          <w:szCs w:val="24"/>
        </w:rPr>
        <w:t>è</w:t>
      </w:r>
      <w:r w:rsidRPr="00D75D2E">
        <w:rPr>
          <w:rFonts w:ascii="Times New Roman" w:hAnsi="Times New Roman"/>
          <w:spacing w:val="-1"/>
          <w:sz w:val="24"/>
          <w:szCs w:val="24"/>
        </w:rPr>
        <w:t>r</w:t>
      </w:r>
      <w:r w:rsidRPr="00D75D2E">
        <w:rPr>
          <w:rFonts w:ascii="Times New Roman" w:hAnsi="Times New Roman"/>
          <w:sz w:val="24"/>
          <w:szCs w:val="24"/>
        </w:rPr>
        <w:t xml:space="preserve">e à </w:t>
      </w:r>
      <w:r w:rsidRPr="00D75D2E">
        <w:rPr>
          <w:rFonts w:ascii="Times New Roman" w:hAnsi="Times New Roman"/>
          <w:spacing w:val="-1"/>
          <w:sz w:val="24"/>
          <w:szCs w:val="24"/>
        </w:rPr>
        <w:t>r</w:t>
      </w:r>
      <w:r w:rsidRPr="00D75D2E">
        <w:rPr>
          <w:rFonts w:ascii="Times New Roman" w:hAnsi="Times New Roman"/>
          <w:sz w:val="24"/>
          <w:szCs w:val="24"/>
        </w:rPr>
        <w:t>e</w:t>
      </w:r>
      <w:r w:rsidRPr="00D75D2E">
        <w:rPr>
          <w:rFonts w:ascii="Times New Roman" w:hAnsi="Times New Roman"/>
          <w:spacing w:val="-2"/>
          <w:sz w:val="24"/>
          <w:szCs w:val="24"/>
        </w:rPr>
        <w:t>d</w:t>
      </w:r>
      <w:r w:rsidRPr="00D75D2E">
        <w:rPr>
          <w:rFonts w:ascii="Times New Roman" w:hAnsi="Times New Roman"/>
          <w:sz w:val="24"/>
          <w:szCs w:val="24"/>
        </w:rPr>
        <w:t>on</w:t>
      </w:r>
      <w:r w:rsidRPr="00D75D2E">
        <w:rPr>
          <w:rFonts w:ascii="Times New Roman" w:hAnsi="Times New Roman"/>
          <w:spacing w:val="-2"/>
          <w:sz w:val="24"/>
          <w:szCs w:val="24"/>
        </w:rPr>
        <w:t>n</w:t>
      </w:r>
      <w:r w:rsidRPr="00D75D2E">
        <w:rPr>
          <w:rFonts w:ascii="Times New Roman" w:hAnsi="Times New Roman"/>
          <w:sz w:val="24"/>
          <w:szCs w:val="24"/>
        </w:rPr>
        <w:t xml:space="preserve">er </w:t>
      </w:r>
      <w:r w:rsidRPr="00D75D2E">
        <w:rPr>
          <w:rFonts w:ascii="Times New Roman" w:hAnsi="Times New Roman"/>
          <w:spacing w:val="-2"/>
          <w:sz w:val="24"/>
          <w:szCs w:val="24"/>
        </w:rPr>
        <w:t>a</w:t>
      </w:r>
      <w:r w:rsidRPr="00D75D2E">
        <w:rPr>
          <w:rFonts w:ascii="Times New Roman" w:hAnsi="Times New Roman"/>
          <w:sz w:val="24"/>
          <w:szCs w:val="24"/>
        </w:rPr>
        <w:t>u cou</w:t>
      </w:r>
      <w:r w:rsidRPr="00D75D2E">
        <w:rPr>
          <w:rFonts w:ascii="Times New Roman" w:hAnsi="Times New Roman"/>
          <w:spacing w:val="-1"/>
          <w:sz w:val="24"/>
          <w:szCs w:val="24"/>
        </w:rPr>
        <w:t>r</w:t>
      </w:r>
      <w:r w:rsidRPr="00D75D2E">
        <w:rPr>
          <w:rFonts w:ascii="Times New Roman" w:hAnsi="Times New Roman"/>
          <w:sz w:val="24"/>
          <w:szCs w:val="24"/>
        </w:rPr>
        <w:t>s d</w:t>
      </w:r>
      <w:r w:rsidRPr="00D75D2E">
        <w:rPr>
          <w:rFonts w:ascii="Times New Roman" w:hAnsi="Times New Roman"/>
          <w:spacing w:val="-2"/>
          <w:sz w:val="24"/>
          <w:szCs w:val="24"/>
        </w:rPr>
        <w:t>'</w:t>
      </w:r>
      <w:r w:rsidRPr="00D75D2E">
        <w:rPr>
          <w:rFonts w:ascii="Times New Roman" w:hAnsi="Times New Roman"/>
          <w:sz w:val="24"/>
          <w:szCs w:val="24"/>
        </w:rPr>
        <w:t xml:space="preserve">eau </w:t>
      </w:r>
      <w:r w:rsidRPr="00D75D2E">
        <w:rPr>
          <w:rFonts w:ascii="Times New Roman" w:hAnsi="Times New Roman"/>
          <w:spacing w:val="-2"/>
          <w:sz w:val="24"/>
          <w:szCs w:val="24"/>
        </w:rPr>
        <w:t>s</w:t>
      </w:r>
      <w:r w:rsidRPr="00D75D2E">
        <w:rPr>
          <w:rFonts w:ascii="Times New Roman" w:hAnsi="Times New Roman"/>
          <w:sz w:val="24"/>
          <w:szCs w:val="24"/>
        </w:rPr>
        <w:t>a sec</w:t>
      </w:r>
      <w:r w:rsidRPr="00D75D2E">
        <w:rPr>
          <w:rFonts w:ascii="Times New Roman" w:hAnsi="Times New Roman"/>
          <w:spacing w:val="-1"/>
          <w:sz w:val="24"/>
          <w:szCs w:val="24"/>
        </w:rPr>
        <w:t>ti</w:t>
      </w:r>
      <w:r w:rsidRPr="00D75D2E">
        <w:rPr>
          <w:rFonts w:ascii="Times New Roman" w:hAnsi="Times New Roman"/>
          <w:sz w:val="24"/>
          <w:szCs w:val="24"/>
        </w:rPr>
        <w:t>on o</w:t>
      </w:r>
      <w:r w:rsidRPr="00D75D2E">
        <w:rPr>
          <w:rFonts w:ascii="Times New Roman" w:hAnsi="Times New Roman"/>
          <w:spacing w:val="-1"/>
          <w:sz w:val="24"/>
          <w:szCs w:val="24"/>
        </w:rPr>
        <w:t>ri</w:t>
      </w:r>
      <w:r w:rsidRPr="00D75D2E">
        <w:rPr>
          <w:rFonts w:ascii="Times New Roman" w:hAnsi="Times New Roman"/>
          <w:sz w:val="24"/>
          <w:szCs w:val="24"/>
        </w:rPr>
        <w:t>g</w:t>
      </w:r>
      <w:r w:rsidRPr="00D75D2E">
        <w:rPr>
          <w:rFonts w:ascii="Times New Roman" w:hAnsi="Times New Roman"/>
          <w:spacing w:val="1"/>
          <w:sz w:val="24"/>
          <w:szCs w:val="24"/>
        </w:rPr>
        <w:t>i</w:t>
      </w:r>
      <w:r w:rsidRPr="00D75D2E">
        <w:rPr>
          <w:rFonts w:ascii="Times New Roman" w:hAnsi="Times New Roman"/>
          <w:spacing w:val="-2"/>
          <w:sz w:val="24"/>
          <w:szCs w:val="24"/>
        </w:rPr>
        <w:t>n</w:t>
      </w:r>
      <w:r w:rsidRPr="00D75D2E">
        <w:rPr>
          <w:rFonts w:ascii="Times New Roman" w:hAnsi="Times New Roman"/>
          <w:sz w:val="24"/>
          <w:szCs w:val="24"/>
        </w:rPr>
        <w:t>a</w:t>
      </w:r>
      <w:r w:rsidRPr="00D75D2E">
        <w:rPr>
          <w:rFonts w:ascii="Times New Roman" w:hAnsi="Times New Roman"/>
          <w:spacing w:val="1"/>
          <w:sz w:val="24"/>
          <w:szCs w:val="24"/>
        </w:rPr>
        <w:t>l</w:t>
      </w:r>
      <w:r w:rsidRPr="00D75D2E">
        <w:rPr>
          <w:rFonts w:ascii="Times New Roman" w:hAnsi="Times New Roman"/>
          <w:sz w:val="24"/>
          <w:szCs w:val="24"/>
        </w:rPr>
        <w:t>e et s</w:t>
      </w:r>
      <w:r w:rsidRPr="00D75D2E">
        <w:rPr>
          <w:rFonts w:ascii="Times New Roman" w:hAnsi="Times New Roman"/>
          <w:spacing w:val="-2"/>
          <w:sz w:val="24"/>
          <w:szCs w:val="24"/>
        </w:rPr>
        <w:t>o</w:t>
      </w:r>
      <w:r w:rsidRPr="00D75D2E">
        <w:rPr>
          <w:rFonts w:ascii="Times New Roman" w:hAnsi="Times New Roman"/>
          <w:sz w:val="24"/>
          <w:szCs w:val="24"/>
        </w:rPr>
        <w:t>n p</w:t>
      </w:r>
      <w:r w:rsidRPr="00D75D2E">
        <w:rPr>
          <w:rFonts w:ascii="Times New Roman" w:hAnsi="Times New Roman"/>
          <w:spacing w:val="-1"/>
          <w:sz w:val="24"/>
          <w:szCs w:val="24"/>
        </w:rPr>
        <w:t>r</w:t>
      </w:r>
      <w:r w:rsidRPr="00D75D2E">
        <w:rPr>
          <w:rFonts w:ascii="Times New Roman" w:hAnsi="Times New Roman"/>
          <w:spacing w:val="-2"/>
          <w:sz w:val="24"/>
          <w:szCs w:val="24"/>
        </w:rPr>
        <w:t>o</w:t>
      </w:r>
      <w:r w:rsidRPr="00D75D2E">
        <w:rPr>
          <w:rFonts w:ascii="Times New Roman" w:hAnsi="Times New Roman"/>
          <w:spacing w:val="1"/>
          <w:sz w:val="24"/>
          <w:szCs w:val="24"/>
        </w:rPr>
        <w:t>f</w:t>
      </w:r>
      <w:r w:rsidRPr="00D75D2E">
        <w:rPr>
          <w:rFonts w:ascii="Times New Roman" w:hAnsi="Times New Roman"/>
          <w:spacing w:val="-1"/>
          <w:sz w:val="24"/>
          <w:szCs w:val="24"/>
        </w:rPr>
        <w:t>i</w:t>
      </w:r>
      <w:r w:rsidRPr="00D75D2E">
        <w:rPr>
          <w:rFonts w:ascii="Times New Roman" w:hAnsi="Times New Roman"/>
          <w:sz w:val="24"/>
          <w:szCs w:val="24"/>
        </w:rPr>
        <w:t xml:space="preserve">l en </w:t>
      </w:r>
      <w:r w:rsidRPr="00D75D2E">
        <w:rPr>
          <w:rFonts w:ascii="Times New Roman" w:hAnsi="Times New Roman"/>
          <w:spacing w:val="-1"/>
          <w:sz w:val="24"/>
          <w:szCs w:val="24"/>
        </w:rPr>
        <w:t>l</w:t>
      </w:r>
      <w:r w:rsidRPr="00D75D2E">
        <w:rPr>
          <w:rFonts w:ascii="Times New Roman" w:hAnsi="Times New Roman"/>
          <w:sz w:val="24"/>
          <w:szCs w:val="24"/>
        </w:rPr>
        <w:t>on</w:t>
      </w:r>
      <w:r w:rsidRPr="00D75D2E">
        <w:rPr>
          <w:rFonts w:ascii="Times New Roman" w:hAnsi="Times New Roman"/>
          <w:spacing w:val="-2"/>
          <w:sz w:val="24"/>
          <w:szCs w:val="24"/>
        </w:rPr>
        <w:t>g</w:t>
      </w:r>
      <w:r w:rsidRPr="00D75D2E">
        <w:rPr>
          <w:rFonts w:ascii="Times New Roman" w:hAnsi="Times New Roman"/>
          <w:sz w:val="24"/>
          <w:szCs w:val="24"/>
        </w:rPr>
        <w:t>.</w:t>
      </w:r>
    </w:p>
    <w:p w14:paraId="7761A1CD"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14 MESURES PARTICULIERES EN CAS DE DEVIATION TEMPORAIRE DE LIT D’UNE RIVIERE</w:t>
      </w:r>
    </w:p>
    <w:p w14:paraId="640E347D" w14:textId="77777777" w:rsidR="00E15268" w:rsidRPr="00D75D2E" w:rsidRDefault="00E15268" w:rsidP="0075784E">
      <w:pPr>
        <w:suppressAutoHyphens/>
        <w:overflowPunct w:val="0"/>
        <w:autoSpaceDE w:val="0"/>
        <w:autoSpaceDN w:val="0"/>
        <w:adjustRightInd w:val="0"/>
        <w:spacing w:before="120" w:after="12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 cas de déviation temporaire de lit d’une rivière pour les besoins des travaux d’ouvrages d’art, les dispositions suivantes devront être observées :</w:t>
      </w:r>
    </w:p>
    <w:p w14:paraId="00F2B2FD"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La déviation devra se faire en dehors des périodes de crues ;</w:t>
      </w:r>
    </w:p>
    <w:p w14:paraId="79C953D2"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Garantir l’écoulement continu du cours d’eau afin de parer à tout risque de stress hydrique en Aval ;</w:t>
      </w:r>
    </w:p>
    <w:p w14:paraId="3BA19D2C"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Creuser le canal de dérivation temporaire du cours en laissant les deux extrémités fermées et adoucir les pentes de manière à réduire l’érosion ;</w:t>
      </w:r>
    </w:p>
    <w:p w14:paraId="421765FE"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Enlever graduellement la digue qui bouche l’extrémité « amont » du canal de dérivation et laisser l’eau décanter ;</w:t>
      </w:r>
    </w:p>
    <w:p w14:paraId="16B0A648"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Enlever la digue à l’extrémité « aval » du canal de dérivation ;</w:t>
      </w:r>
    </w:p>
    <w:p w14:paraId="11E7C5F1"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Installer la digue en amont de la section de la rivière où l’on doit réaliser l’ouvrage d’art ;</w:t>
      </w:r>
    </w:p>
    <w:p w14:paraId="03A1615B"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Après avoir laissé le lit de la rivière se vider, installer la digue en aval de la section de la rivière où l’on doit réaliser l’ouvrage d’art ;</w:t>
      </w:r>
    </w:p>
    <w:p w14:paraId="61209961"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Réaliser les travaux de l’ouvrage d’art ;</w:t>
      </w:r>
    </w:p>
    <w:p w14:paraId="3AA8F65B"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Ouvrir graduellement la digue installée en amont de la rivière et laisser l’eau décanter ;</w:t>
      </w:r>
    </w:p>
    <w:p w14:paraId="7EFFCBE9"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Enlever la digue installée en aval de la rivière ;</w:t>
      </w:r>
    </w:p>
    <w:p w14:paraId="363E9518"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Remblayer le canal de déviation en commençant par l’amont et restaurer la couverture végétale au besoin ;</w:t>
      </w:r>
    </w:p>
    <w:p w14:paraId="19EA7F7B" w14:textId="77777777" w:rsidR="00E15268" w:rsidRPr="00D75D2E" w:rsidRDefault="00E15268" w:rsidP="008C79F0">
      <w:pPr>
        <w:numPr>
          <w:ilvl w:val="0"/>
          <w:numId w:val="123"/>
        </w:numPr>
        <w:suppressAutoHyphens/>
        <w:overflowPunct w:val="0"/>
        <w:autoSpaceDE w:val="0"/>
        <w:autoSpaceDN w:val="0"/>
        <w:adjustRightInd w:val="0"/>
        <w:spacing w:after="0" w:line="240" w:lineRule="auto"/>
        <w:jc w:val="both"/>
        <w:textAlignment w:val="baseline"/>
        <w:rPr>
          <w:rFonts w:ascii="Times New Roman" w:eastAsia="Times New Roman" w:hAnsi="Times New Roman"/>
          <w:sz w:val="24"/>
          <w:szCs w:val="24"/>
          <w:lang w:eastAsia="fr-FR"/>
        </w:rPr>
      </w:pPr>
      <w:r w:rsidRPr="00D75D2E">
        <w:rPr>
          <w:rFonts w:ascii="Times New Roman" w:eastAsia="Times New Roman" w:hAnsi="Times New Roman"/>
          <w:sz w:val="24"/>
          <w:szCs w:val="24"/>
          <w:lang w:eastAsia="fr-FR"/>
        </w:rPr>
        <w:t>Stabiliser les rives de la section de la rivière où l’on a effectué les travaux.</w:t>
      </w:r>
    </w:p>
    <w:p w14:paraId="4EED2074"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15  PRISE EN COMPTE DU GENRE</w:t>
      </w:r>
    </w:p>
    <w:p w14:paraId="5B33D88D" w14:textId="77777777" w:rsidR="00E15268" w:rsidRPr="00D75D2E" w:rsidRDefault="00E15268" w:rsidP="0075784E">
      <w:pPr>
        <w:widowControl w:val="0"/>
        <w:autoSpaceDE w:val="0"/>
        <w:autoSpaceDN w:val="0"/>
        <w:adjustRightInd w:val="0"/>
        <w:spacing w:before="120" w:after="120" w:line="240" w:lineRule="auto"/>
        <w:ind w:right="101"/>
        <w:jc w:val="both"/>
        <w:rPr>
          <w:rFonts w:ascii="Times New Roman" w:hAnsi="Times New Roman"/>
          <w:sz w:val="24"/>
          <w:szCs w:val="24"/>
        </w:rPr>
      </w:pPr>
      <w:r w:rsidRPr="00D75D2E">
        <w:rPr>
          <w:rFonts w:ascii="Times New Roman" w:hAnsi="Times New Roman"/>
          <w:sz w:val="24"/>
          <w:szCs w:val="24"/>
        </w:rPr>
        <w:t>L’Entreprise devra prendre en compte les aspects genre dans la mise en œuvre de ses activités au même titre que ceux de l’hygiène, la sécurité et l’environnement :</w:t>
      </w:r>
    </w:p>
    <w:p w14:paraId="6F07898A"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respecter  les règles d’implantation des bases vie qui sont contenues dans le cahier de charge de l’entreprise de construction,</w:t>
      </w:r>
    </w:p>
    <w:p w14:paraId="0F3457B1"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autant que faire se peut recruter des ouvriers non qualifiés parmi les femmes et les hommes pygmées dans les zones des travaux,</w:t>
      </w:r>
    </w:p>
    <w:p w14:paraId="6614CBC8"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confier certaines tâches de collecte de matériaux aux femmes afin de leur permettre d’accroitre leurs revenus,</w:t>
      </w:r>
    </w:p>
    <w:p w14:paraId="46DAB77C"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dans la mesure du possible, confier des tâches d’entretien des locaux et de la restauration de la base vie aux organisations féminines locales,</w:t>
      </w:r>
    </w:p>
    <w:p w14:paraId="4FBDE53D"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prendre des dispositions pour veiller à la défense des intérêts des femmes et des couches vulnérables,</w:t>
      </w:r>
    </w:p>
    <w:p w14:paraId="43104328"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s’assurer à tout moment que des ouvriers venus d’ailleurs ne commettent pas des forfaits sur les femmes ou d’autres personnes vulnérables (filles mères abandonnées, enfants abandonnés, dettes non payées, femmes enlevées…).</w:t>
      </w:r>
    </w:p>
    <w:p w14:paraId="6139B876" w14:textId="77777777" w:rsidR="00E15268" w:rsidRPr="00D75D2E" w:rsidRDefault="00E15268" w:rsidP="0075784E">
      <w:pPr>
        <w:suppressAutoHyphens/>
        <w:spacing w:before="120" w:after="120" w:line="240" w:lineRule="auto"/>
        <w:jc w:val="both"/>
        <w:rPr>
          <w:rFonts w:ascii="Times New Roman" w:eastAsia="SimSun" w:hAnsi="Times New Roman"/>
          <w:b/>
          <w:sz w:val="24"/>
          <w:szCs w:val="24"/>
          <w:lang w:eastAsia="fr-FR"/>
        </w:rPr>
      </w:pPr>
      <w:r w:rsidRPr="00D75D2E">
        <w:rPr>
          <w:rFonts w:ascii="Times New Roman" w:eastAsia="SimSun" w:hAnsi="Times New Roman"/>
          <w:b/>
          <w:sz w:val="24"/>
          <w:szCs w:val="24"/>
          <w:lang w:eastAsia="fr-FR"/>
        </w:rPr>
        <w:t>ARTICLE 16 : ETABLISSEMENT DES RAPPORTS SUR LES ASPECTS ENVIRONNEMENTAUX, SOCIAUX, SANITAIRES ET SECURITAIRES</w:t>
      </w:r>
    </w:p>
    <w:p w14:paraId="3A75FBF5" w14:textId="77777777" w:rsidR="00E15268" w:rsidRPr="00D75D2E" w:rsidRDefault="00E15268" w:rsidP="0075784E">
      <w:pPr>
        <w:widowControl w:val="0"/>
        <w:autoSpaceDE w:val="0"/>
        <w:autoSpaceDN w:val="0"/>
        <w:adjustRightInd w:val="0"/>
        <w:spacing w:before="120" w:after="120" w:line="240" w:lineRule="auto"/>
        <w:ind w:right="101"/>
        <w:jc w:val="both"/>
        <w:rPr>
          <w:rFonts w:ascii="Times New Roman" w:hAnsi="Times New Roman"/>
          <w:sz w:val="24"/>
          <w:szCs w:val="24"/>
        </w:rPr>
      </w:pPr>
      <w:r w:rsidRPr="00D75D2E">
        <w:rPr>
          <w:rFonts w:ascii="Times New Roman" w:hAnsi="Times New Roman"/>
          <w:sz w:val="24"/>
          <w:szCs w:val="24"/>
        </w:rPr>
        <w:t>L’Entrepreneur doit élaborer et soumettre au Maître d’œuvre, pour approbation, des rapports mensuels d’activités sur le respect des dispositions relatives à la mise en œuvre des activités du PGES de chantier. Ces rapports devraient contenir au moins des informations sur les points ci-après :</w:t>
      </w:r>
    </w:p>
    <w:p w14:paraId="5B4FC5D6"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l’état de mise en œuvre des mesures d’atténuation en rapport avec celles initialement prévues et une présentation des nouvelles mesures prises en fonction des nécessités sur le terrain.</w:t>
      </w:r>
    </w:p>
    <w:p w14:paraId="1E6588CC"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les mesures environnementales, sociales et sécuritaires, notamment les autorisations sollicitées auprès des autorités locales et nationales; les problèmes liés aux aspects environnementaux, sociaux, sanitaires et sécuritaires (les incidents, notamment les retards, les conséquences en termes de coûts, etc. qui en découlent) ;</w:t>
      </w:r>
    </w:p>
    <w:p w14:paraId="383DBCB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les cas de non-conformité enregistrés par l’Entrepreneur (les fiches de non-conformité étant jointes en annexe). Dans le cas où l’entrepreneur n’a pas enregistré de cas de non-conformité pour faute grave au cours de la période, notamment ceux relatifs au harcèlement sexuel, les abus et violences sexuels contre les femmes et les situations d’exploitation des enfants sur les chantiers, le rapport mensuel mentionnera de façon explicite dans les sections réservées à cet effet qu</w:t>
      </w:r>
      <w:r w:rsidRPr="00D75D2E">
        <w:rPr>
          <w:rFonts w:ascii="Times New Roman" w:hAnsi="Times New Roman"/>
          <w:i/>
          <w:sz w:val="24"/>
          <w:szCs w:val="24"/>
        </w:rPr>
        <w:t>’</w:t>
      </w:r>
      <w:r w:rsidRPr="00D75D2E">
        <w:rPr>
          <w:rFonts w:ascii="Times New Roman" w:hAnsi="Times New Roman"/>
          <w:b/>
          <w:i/>
          <w:sz w:val="24"/>
          <w:szCs w:val="24"/>
        </w:rPr>
        <w:t>aucun cas de harcèlement sexuel, d’abus et violences sexuels contre les femmes, et d’exploitation des enfants sur les chantiers, n’a été enregistré au cours de la période</w:t>
      </w:r>
      <w:r w:rsidRPr="00D75D2E">
        <w:rPr>
          <w:rFonts w:ascii="Times New Roman" w:hAnsi="Times New Roman"/>
          <w:sz w:val="24"/>
          <w:szCs w:val="24"/>
        </w:rPr>
        <w:t xml:space="preserve"> ;</w:t>
      </w:r>
    </w:p>
    <w:p w14:paraId="337DCB0B"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les changements liés aux hypothèses, conditions, mesures, plans et aux activités réelles au titre des aspects environnementaux, sanitaires et sécuritaires ;</w:t>
      </w:r>
    </w:p>
    <w:p w14:paraId="7BE3238F"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les observations faites, les préoccupations exprimées et/ou les décisions prises concernant la gestion de l’environnement, de la santé et de la sécurité au cours des réunions sur le chantier ;</w:t>
      </w:r>
    </w:p>
    <w:p w14:paraId="53D8187D"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les découvertes archéologiques éventuelles ;</w:t>
      </w:r>
    </w:p>
    <w:p w14:paraId="243050D9"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hAnsi="Times New Roman"/>
          <w:sz w:val="24"/>
          <w:szCs w:val="24"/>
        </w:rPr>
      </w:pPr>
      <w:r w:rsidRPr="00D75D2E">
        <w:rPr>
          <w:rFonts w:ascii="Times New Roman" w:hAnsi="Times New Roman"/>
          <w:sz w:val="24"/>
          <w:szCs w:val="24"/>
        </w:rPr>
        <w:t>le suivi de l’état et de l’efficacité des mesures de protection et/ou des mesures correctives identifiées dans les Formulaires de notification d’incident ou par tout autre moyen ; et</w:t>
      </w:r>
    </w:p>
    <w:p w14:paraId="6C9A5BB6" w14:textId="77777777" w:rsidR="00E15268" w:rsidRPr="00D75D2E" w:rsidRDefault="00E15268" w:rsidP="008C79F0">
      <w:pPr>
        <w:widowControl w:val="0"/>
        <w:numPr>
          <w:ilvl w:val="0"/>
          <w:numId w:val="189"/>
        </w:numPr>
        <w:suppressAutoHyphens/>
        <w:autoSpaceDE w:val="0"/>
        <w:autoSpaceDN w:val="0"/>
        <w:adjustRightInd w:val="0"/>
        <w:spacing w:after="0" w:line="240" w:lineRule="auto"/>
        <w:ind w:right="-59"/>
        <w:jc w:val="both"/>
        <w:rPr>
          <w:rFonts w:ascii="Times New Roman" w:eastAsia="Times New Roman" w:hAnsi="Times New Roman"/>
          <w:b/>
          <w:sz w:val="24"/>
          <w:szCs w:val="24"/>
          <w:lang w:eastAsia="fr-FR"/>
        </w:rPr>
      </w:pPr>
      <w:r w:rsidRPr="00D75D2E">
        <w:rPr>
          <w:rFonts w:ascii="Times New Roman" w:hAnsi="Times New Roman"/>
          <w:sz w:val="24"/>
          <w:szCs w:val="24"/>
        </w:rPr>
        <w:t>le suivi, notamment les mesures de protection, l’état des mesures et leur efficacité, concernant le non-respect des conditions contractuelles.</w:t>
      </w:r>
    </w:p>
    <w:p w14:paraId="78BD4EDF" w14:textId="77777777" w:rsidR="00E15268" w:rsidRPr="00D75D2E" w:rsidRDefault="00E15268" w:rsidP="00E15268">
      <w:pPr>
        <w:suppressAutoHyphens/>
        <w:spacing w:after="200" w:line="276" w:lineRule="auto"/>
        <w:jc w:val="both"/>
        <w:rPr>
          <w:rFonts w:eastAsia="SimSun" w:cs="Calibri"/>
        </w:rPr>
      </w:pPr>
      <w:bookmarkStart w:id="1111" w:name="_Toc316669097"/>
      <w:bookmarkStart w:id="1112" w:name="_Toc275170452"/>
      <w:bookmarkStart w:id="1113" w:name="_Toc121046668"/>
      <w:bookmarkStart w:id="1114" w:name="_Toc33938973"/>
      <w:bookmarkStart w:id="1115" w:name="_Toc33938865"/>
      <w:bookmarkStart w:id="1116" w:name="_Toc32370622"/>
      <w:bookmarkStart w:id="1117" w:name="_Toc500081136"/>
      <w:bookmarkStart w:id="1118" w:name="_Toc500081069"/>
      <w:bookmarkStart w:id="1119" w:name="_Toc498507015"/>
      <w:bookmarkStart w:id="1120" w:name="_Toc316669098"/>
      <w:bookmarkStart w:id="1121" w:name="_Toc316669099"/>
      <w:bookmarkStart w:id="1122" w:name="_Toc316669100"/>
      <w:bookmarkStart w:id="1123" w:name="_Toc316669101"/>
      <w:bookmarkStart w:id="1124" w:name="_Toc316669102"/>
      <w:bookmarkStart w:id="1125" w:name="_Toc316669103"/>
      <w:bookmarkStart w:id="1126" w:name="_Toc316669104"/>
      <w:bookmarkStart w:id="1127" w:name="_Toc295226190"/>
      <w:bookmarkStart w:id="1128" w:name="_Toc286930280"/>
      <w:bookmarkStart w:id="1129" w:name="_Toc286929987"/>
      <w:bookmarkStart w:id="1130" w:name="_Toc204503001"/>
      <w:bookmarkStart w:id="1131" w:name="_Toc295226191"/>
      <w:bookmarkStart w:id="1132" w:name="_Toc286930281"/>
      <w:bookmarkStart w:id="1133" w:name="_Toc286929988"/>
      <w:bookmarkStart w:id="1134" w:name="_Toc204503002"/>
      <w:bookmarkStart w:id="1135" w:name="_Toc295226194"/>
      <w:bookmarkStart w:id="1136" w:name="_Toc286930284"/>
      <w:bookmarkStart w:id="1137" w:name="_Toc286929991"/>
      <w:bookmarkStart w:id="1138" w:name="_Toc204503005"/>
      <w:bookmarkStart w:id="1139" w:name="_Toc295226195"/>
      <w:bookmarkStart w:id="1140" w:name="_Toc286930285"/>
      <w:bookmarkStart w:id="1141" w:name="_Toc286929992"/>
      <w:bookmarkStart w:id="1142" w:name="_Toc204503006"/>
      <w:bookmarkStart w:id="1143" w:name="_Toc196038081"/>
      <w:bookmarkStart w:id="1144" w:name="_Toc196038082"/>
      <w:bookmarkStart w:id="1145" w:name="_Toc295226196"/>
      <w:bookmarkStart w:id="1146" w:name="_Toc286930286"/>
      <w:bookmarkStart w:id="1147" w:name="_Toc286929993"/>
      <w:bookmarkStart w:id="1148" w:name="_Toc204503007"/>
      <w:bookmarkStart w:id="1149" w:name="_Toc204503008"/>
      <w:bookmarkStart w:id="1150" w:name="_Toc318382552"/>
      <w:bookmarkStart w:id="1151" w:name="_Toc310853175"/>
      <w:bookmarkStart w:id="1152" w:name="_Toc295226197"/>
      <w:bookmarkStart w:id="1153" w:name="_Toc286930287"/>
      <w:bookmarkStart w:id="1154" w:name="_Toc286929994"/>
      <w:bookmarkStart w:id="1155" w:name="_Toc295226198"/>
      <w:bookmarkStart w:id="1156" w:name="_Toc286930288"/>
      <w:bookmarkStart w:id="1157" w:name="_Toc286929995"/>
      <w:bookmarkStart w:id="1158" w:name="_Toc204503009"/>
      <w:bookmarkStart w:id="1159" w:name="_Toc295226199"/>
      <w:bookmarkStart w:id="1160" w:name="_Toc286930289"/>
      <w:bookmarkStart w:id="1161" w:name="_Toc286929996"/>
      <w:bookmarkStart w:id="1162" w:name="_Toc204503010"/>
      <w:bookmarkStart w:id="1163" w:name="_Toc295226200"/>
      <w:bookmarkStart w:id="1164" w:name="_Toc286930290"/>
      <w:bookmarkStart w:id="1165" w:name="_Toc286929997"/>
      <w:bookmarkStart w:id="1166" w:name="_Toc204503011"/>
      <w:bookmarkStart w:id="1167" w:name="_Toc295226201"/>
      <w:bookmarkStart w:id="1168" w:name="_Toc286930291"/>
      <w:bookmarkStart w:id="1169" w:name="_Toc286929998"/>
      <w:bookmarkStart w:id="1170" w:name="_Toc204503012"/>
      <w:bookmarkStart w:id="1171" w:name="_Toc295226202"/>
      <w:bookmarkStart w:id="1172" w:name="_Toc286930292"/>
      <w:bookmarkStart w:id="1173" w:name="_Toc286929999"/>
      <w:bookmarkStart w:id="1174" w:name="_Toc204503013"/>
      <w:bookmarkStart w:id="1175" w:name="_Toc316669105"/>
      <w:bookmarkStart w:id="1176" w:name="_Toc316669106"/>
      <w:bookmarkStart w:id="1177" w:name="_Toc316669107"/>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p>
    <w:p w14:paraId="1187C7A9" w14:textId="77777777" w:rsidR="00ED17F3" w:rsidRPr="00D75D2E" w:rsidRDefault="00ED17F3" w:rsidP="00ED17F3">
      <w:pPr>
        <w:rPr>
          <w:rFonts w:ascii="Times New Roman" w:hAnsi="Times New Roman"/>
          <w:b/>
          <w:bCs/>
          <w:iCs/>
          <w:sz w:val="24"/>
          <w:lang w:eastAsia="x-none"/>
        </w:rPr>
      </w:pPr>
      <w:r w:rsidRPr="00D75D2E">
        <w:rPr>
          <w:rFonts w:ascii="Times New Roman" w:hAnsi="Times New Roman"/>
          <w:b/>
          <w:bCs/>
          <w:iCs/>
          <w:sz w:val="24"/>
          <w:lang w:eastAsia="x-none"/>
        </w:rPr>
        <w:br w:type="page"/>
      </w:r>
    </w:p>
    <w:p w14:paraId="19C44E87" w14:textId="77777777" w:rsidR="0098254E" w:rsidRPr="00CC7A47" w:rsidRDefault="0098254E" w:rsidP="00CC7A47">
      <w:pPr>
        <w:pStyle w:val="Titre41"/>
        <w:spacing w:before="0" w:after="240"/>
        <w:jc w:val="center"/>
        <w:rPr>
          <w:rStyle w:val="Titre2Car1"/>
        </w:rPr>
      </w:pPr>
      <w:bookmarkStart w:id="1178" w:name="_Toc93050617"/>
      <w:bookmarkStart w:id="1179" w:name="_Toc103685770"/>
      <w:r w:rsidRPr="00CC7A47">
        <w:rPr>
          <w:rStyle w:val="Titre2Car1"/>
        </w:rPr>
        <w:t xml:space="preserve">Annexe </w:t>
      </w:r>
      <w:r w:rsidRPr="00CC7A47">
        <w:rPr>
          <w:rStyle w:val="Titre2Car1"/>
        </w:rPr>
        <w:fldChar w:fldCharType="begin"/>
      </w:r>
      <w:r w:rsidRPr="00CC7A47">
        <w:rPr>
          <w:rStyle w:val="Titre2Car1"/>
        </w:rPr>
        <w:instrText xml:space="preserve"> SEQ Annexe \* ARABIC </w:instrText>
      </w:r>
      <w:r w:rsidRPr="00CC7A47">
        <w:rPr>
          <w:rStyle w:val="Titre2Car1"/>
        </w:rPr>
        <w:fldChar w:fldCharType="separate"/>
      </w:r>
      <w:r w:rsidR="000F2319" w:rsidRPr="00CC7A47">
        <w:rPr>
          <w:rStyle w:val="Titre2Car1"/>
        </w:rPr>
        <w:t>6</w:t>
      </w:r>
      <w:r w:rsidRPr="00CC7A47">
        <w:rPr>
          <w:rStyle w:val="Titre2Car1"/>
        </w:rPr>
        <w:fldChar w:fldCharType="end"/>
      </w:r>
      <w:r w:rsidRPr="00CC7A47">
        <w:rPr>
          <w:rStyle w:val="Titre2Car1"/>
        </w:rPr>
        <w:t xml:space="preserve"> : </w:t>
      </w:r>
      <w:bookmarkEnd w:id="3"/>
      <w:r w:rsidRPr="00CC7A47">
        <w:rPr>
          <w:rStyle w:val="Titre2Car1"/>
        </w:rPr>
        <w:t>TERMES DE REFERENCE</w:t>
      </w:r>
      <w:bookmarkEnd w:id="1178"/>
      <w:bookmarkEnd w:id="1179"/>
    </w:p>
    <w:p w14:paraId="08A37AE0" w14:textId="5C07448B" w:rsidR="004C12CB" w:rsidRPr="00215867" w:rsidRDefault="004C12CB" w:rsidP="004C12CB">
      <w:pPr>
        <w:keepNext/>
        <w:keepLines/>
        <w:ind w:right="-96"/>
        <w:jc w:val="center"/>
        <w:rPr>
          <w:rFonts w:ascii="Times New Roman" w:hAnsi="Times New Roman"/>
          <w:b/>
          <w:sz w:val="24"/>
          <w:szCs w:val="24"/>
          <w:lang w:val="fr-CD"/>
        </w:rPr>
      </w:pPr>
      <w:r w:rsidRPr="00215867">
        <w:rPr>
          <w:rFonts w:ascii="Times New Roman" w:hAnsi="Times New Roman"/>
          <w:b/>
          <w:sz w:val="24"/>
          <w:szCs w:val="24"/>
          <w:lang w:val="fr-CD"/>
        </w:rPr>
        <w:t>Mission d’actualisation des Etudes d’Impact Environnemental et Social et des Plans d’Action de Réinstallation des travaux d’électrification des poches noires, d’assainissement, de réhabilitation et de mise en conformité des réseaux de distribution de la Société Nationale d’Electricité de ses directions de Kinshasa Centre et Ouest</w:t>
      </w:r>
    </w:p>
    <w:p w14:paraId="02AD8B3E" w14:textId="77777777" w:rsidR="004C12CB" w:rsidRPr="00AE31F1" w:rsidRDefault="004C0F64" w:rsidP="004C12CB">
      <w:pPr>
        <w:jc w:val="center"/>
        <w:rPr>
          <w:rFonts w:ascii="Times New Roman" w:hAnsi="Times New Roman"/>
          <w:b/>
        </w:rPr>
      </w:pPr>
      <w:r>
        <w:rPr>
          <w:rFonts w:ascii="Times New Roman" w:hAnsi="Times New Roman"/>
        </w:rPr>
        <w:pict w14:anchorId="188CE058">
          <v:rect id="_x0000_i1025" style="width:441.35pt;height:3pt" o:hralign="center" o:hrstd="t" o:hrnoshade="t" o:hr="t" fillcolor="#0070c0" stroked="f"/>
        </w:pict>
      </w:r>
    </w:p>
    <w:p w14:paraId="56C36EE9" w14:textId="77777777" w:rsidR="004C12CB" w:rsidRPr="00215867" w:rsidRDefault="004C12CB" w:rsidP="00AE31F1">
      <w:pPr>
        <w:pStyle w:val="Paragraphedeliste"/>
        <w:numPr>
          <w:ilvl w:val="0"/>
          <w:numId w:val="248"/>
        </w:numPr>
        <w:spacing w:before="120" w:after="0" w:line="240" w:lineRule="auto"/>
        <w:ind w:left="567" w:hanging="567"/>
        <w:contextualSpacing w:val="0"/>
        <w:rPr>
          <w:rFonts w:ascii="Times New Roman" w:hAnsi="Times New Roman"/>
          <w:b/>
          <w:sz w:val="24"/>
          <w:szCs w:val="24"/>
        </w:rPr>
      </w:pPr>
      <w:r w:rsidRPr="00215867">
        <w:rPr>
          <w:rFonts w:ascii="Times New Roman" w:hAnsi="Times New Roman"/>
          <w:b/>
          <w:sz w:val="24"/>
          <w:szCs w:val="24"/>
        </w:rPr>
        <w:t xml:space="preserve">CONTEXTE ET JUSTIFICATION </w:t>
      </w:r>
    </w:p>
    <w:p w14:paraId="2282D2FD" w14:textId="77777777" w:rsidR="004C12CB" w:rsidRPr="00215867" w:rsidRDefault="004C0F64" w:rsidP="004C12CB">
      <w:pPr>
        <w:ind w:left="567"/>
        <w:jc w:val="both"/>
        <w:rPr>
          <w:rFonts w:ascii="Times New Roman" w:hAnsi="Times New Roman"/>
          <w:b/>
          <w:sz w:val="24"/>
          <w:szCs w:val="24"/>
        </w:rPr>
      </w:pPr>
      <w:r>
        <w:rPr>
          <w:rFonts w:ascii="Times New Roman" w:hAnsi="Times New Roman"/>
          <w:sz w:val="24"/>
          <w:szCs w:val="24"/>
        </w:rPr>
        <w:pict w14:anchorId="6F875B0B">
          <v:rect id="_x0000_i1026" style="width:443.65pt;height:1.5pt" o:hralign="center" o:hrstd="t" o:hr="t" fillcolor="#a0a0a0" stroked="f"/>
        </w:pict>
      </w:r>
    </w:p>
    <w:p w14:paraId="0FE5056F" w14:textId="77777777" w:rsidR="004C12CB" w:rsidRPr="00215867" w:rsidRDefault="004C12CB" w:rsidP="004C12CB">
      <w:pPr>
        <w:pStyle w:val="Paragraphedeliste"/>
        <w:numPr>
          <w:ilvl w:val="1"/>
          <w:numId w:val="272"/>
        </w:numPr>
        <w:spacing w:before="120" w:after="120" w:line="276" w:lineRule="auto"/>
        <w:ind w:left="567" w:hanging="567"/>
        <w:contextualSpacing w:val="0"/>
        <w:rPr>
          <w:rFonts w:ascii="Times New Roman" w:hAnsi="Times New Roman"/>
          <w:b/>
          <w:sz w:val="24"/>
          <w:szCs w:val="24"/>
        </w:rPr>
      </w:pPr>
      <w:bookmarkStart w:id="1180" w:name="_Toc110164242"/>
      <w:r w:rsidRPr="00215867">
        <w:rPr>
          <w:rFonts w:ascii="Times New Roman" w:hAnsi="Times New Roman"/>
          <w:b/>
          <w:sz w:val="24"/>
          <w:szCs w:val="24"/>
        </w:rPr>
        <w:t xml:space="preserve">CONTEXTE </w:t>
      </w:r>
    </w:p>
    <w:p w14:paraId="600E3EC6"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La République Démocratique du Congo a obtenu de l’Association Internationale de Développement (IDA) des fonds en vue de financer un projet dénommé «Projet d’Accès et d’Amélioration des Services Electriques», EASE, dont l’objectif est de répondre aux besoins urgents en électricité des zones non desservies ou insuffisamment desservies en tant que première phase d'un vaste programme national d'électrification qui sera financé par le gouvernement, divers bailleurs de fonds et le secteur privé dans la perspective d’assurer un accès universel à l'électricité aux populations à l’horizon 2035. </w:t>
      </w:r>
    </w:p>
    <w:p w14:paraId="1D8B2EC3"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Le projet EASE dont la gestion est assurée par l’Unité de Coordination et de Management des projets du ministère des Ressources Hydrauliques et Electricité « UCM », finance entre autres :</w:t>
      </w:r>
      <w:r w:rsidRPr="00215867">
        <w:rPr>
          <w:rFonts w:ascii="Times New Roman" w:hAnsi="Times New Roman"/>
          <w:color w:val="FF0000"/>
          <w:sz w:val="24"/>
          <w:szCs w:val="24"/>
          <w:lang w:val="fr-CD"/>
        </w:rPr>
        <w:t xml:space="preserve"> </w:t>
      </w:r>
    </w:p>
    <w:p w14:paraId="7F8DB9D7" w14:textId="77777777" w:rsidR="004C12CB" w:rsidRPr="00215867" w:rsidRDefault="004C12CB" w:rsidP="0075784E">
      <w:pPr>
        <w:pStyle w:val="Paragraphedeliste"/>
        <w:numPr>
          <w:ilvl w:val="1"/>
          <w:numId w:val="246"/>
        </w:numPr>
        <w:spacing w:before="60" w:after="60" w:line="276" w:lineRule="auto"/>
        <w:ind w:left="1418" w:hanging="424"/>
        <w:contextualSpacing w:val="0"/>
        <w:jc w:val="both"/>
        <w:rPr>
          <w:rFonts w:ascii="Times New Roman" w:hAnsi="Times New Roman"/>
          <w:sz w:val="24"/>
          <w:szCs w:val="24"/>
          <w:lang w:val="fr-CD"/>
        </w:rPr>
      </w:pPr>
      <w:r w:rsidRPr="00215867">
        <w:rPr>
          <w:rFonts w:ascii="Times New Roman" w:hAnsi="Times New Roman"/>
          <w:sz w:val="24"/>
          <w:szCs w:val="24"/>
          <w:lang w:val="fr-CD"/>
        </w:rPr>
        <w:t>les études de faisabilité, d’avant-projet détaillé et l’élaboration des dossiers d’appel d’offres des travaux d’électrification de poches noires, d’assainissement, de réhabilitation et de mise en conformité des réseaux de distribution d’électricité de la Société Nationale d’Electricité (SNEL) dans ses directions de Kinshasa Centre et Ouest.</w:t>
      </w:r>
    </w:p>
    <w:p w14:paraId="7B1F667C" w14:textId="77777777" w:rsidR="004C12CB" w:rsidRPr="00215867" w:rsidRDefault="004C12CB" w:rsidP="0075784E">
      <w:pPr>
        <w:pStyle w:val="Paragraphedeliste"/>
        <w:ind w:left="1418"/>
        <w:jc w:val="both"/>
        <w:rPr>
          <w:rFonts w:ascii="Times New Roman" w:hAnsi="Times New Roman"/>
          <w:sz w:val="24"/>
          <w:szCs w:val="24"/>
          <w:lang w:val="fr-CD"/>
        </w:rPr>
      </w:pPr>
      <w:r w:rsidRPr="00215867">
        <w:rPr>
          <w:rFonts w:ascii="Times New Roman" w:hAnsi="Times New Roman"/>
          <w:sz w:val="24"/>
          <w:szCs w:val="24"/>
          <w:lang w:val="fr-CD"/>
        </w:rPr>
        <w:t xml:space="preserve">Ces études se sont également appesanties sur la réhabilitation du réseau amont à DKC et DKO en vue de garantir la fourniture en énergie électrique aux infrastructures construites et réhabilitées  </w:t>
      </w:r>
    </w:p>
    <w:p w14:paraId="7EABAD23" w14:textId="77777777" w:rsidR="004C12CB" w:rsidRPr="00215867" w:rsidRDefault="004C12CB" w:rsidP="0075784E">
      <w:pPr>
        <w:pStyle w:val="Paragraphedeliste"/>
        <w:numPr>
          <w:ilvl w:val="1"/>
          <w:numId w:val="246"/>
        </w:numPr>
        <w:spacing w:before="60" w:after="60" w:line="276" w:lineRule="auto"/>
        <w:ind w:left="1418" w:hanging="424"/>
        <w:contextualSpacing w:val="0"/>
        <w:jc w:val="both"/>
        <w:rPr>
          <w:rFonts w:ascii="Times New Roman" w:hAnsi="Times New Roman"/>
          <w:sz w:val="24"/>
          <w:szCs w:val="24"/>
          <w:lang w:val="fr-CD"/>
        </w:rPr>
      </w:pPr>
      <w:r w:rsidRPr="00215867">
        <w:rPr>
          <w:rFonts w:ascii="Times New Roman" w:hAnsi="Times New Roman"/>
          <w:sz w:val="24"/>
          <w:szCs w:val="24"/>
          <w:lang w:val="fr-CD"/>
        </w:rPr>
        <w:t>les études de faisabilité, d’avant-projet détaillé et l’élaboration du dossier d’appel d’offres des travaux de réhabilitation de la centrale hydroélectrique de Mobayi, de justifications économique et financière pour l’extension de ladite centrale</w:t>
      </w:r>
    </w:p>
    <w:p w14:paraId="1B1E0EEE" w14:textId="77777777" w:rsidR="004C12CB" w:rsidRPr="00215867" w:rsidRDefault="004C12CB" w:rsidP="0075784E">
      <w:pPr>
        <w:pStyle w:val="Paragraphedeliste"/>
        <w:numPr>
          <w:ilvl w:val="1"/>
          <w:numId w:val="246"/>
        </w:numPr>
        <w:spacing w:before="60" w:after="60" w:line="276" w:lineRule="auto"/>
        <w:ind w:left="1418" w:hanging="424"/>
        <w:contextualSpacing w:val="0"/>
        <w:jc w:val="both"/>
        <w:rPr>
          <w:rFonts w:ascii="Times New Roman" w:hAnsi="Times New Roman"/>
          <w:sz w:val="24"/>
          <w:szCs w:val="24"/>
          <w:lang w:val="fr-CD"/>
        </w:rPr>
      </w:pPr>
      <w:r w:rsidRPr="00215867">
        <w:rPr>
          <w:rFonts w:ascii="Times New Roman" w:hAnsi="Times New Roman"/>
          <w:sz w:val="24"/>
          <w:szCs w:val="24"/>
          <w:lang w:val="fr-CD"/>
        </w:rPr>
        <w:t>les études de faisabilité, d’avant-projet détaillé et d’élaboration des dossiers d’appel d’offres des travaux de réhabilitation du réseau de distribution SNEL de Gbadolite ainsi que de la ligne aérienne HT 132 kV Mobayi-Gbadolite.</w:t>
      </w:r>
    </w:p>
    <w:p w14:paraId="6B2F73A2" w14:textId="77777777" w:rsidR="004C12CB" w:rsidRPr="00215867" w:rsidRDefault="004C12CB" w:rsidP="0075784E">
      <w:pPr>
        <w:pStyle w:val="Paragraphedeliste"/>
        <w:numPr>
          <w:ilvl w:val="1"/>
          <w:numId w:val="246"/>
        </w:numPr>
        <w:spacing w:before="60" w:after="60" w:line="276" w:lineRule="auto"/>
        <w:ind w:left="1418" w:hanging="424"/>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les Etudes d’Impact Environnemental et Social et les Plans d’Action de Réinstallation pour les travaux définis par les études techniques précitées.  </w:t>
      </w:r>
    </w:p>
    <w:p w14:paraId="16741061"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En ce qui concerne en particulier les travaux d’électrification des poches noires, d’assainissement, de réhabilitation et de mise en conformité des réseaux de distribution d’électricité de SNEL des directions de Kinshasa Centre et Ouest, les conclusions des études techniques ont révélé que l’implantation des 180 cabines de distribution et de leurs réseau associés telle qu’initialement  prévue dans le Document d’Evaluation du Projet (PAD) ne permettrait pas d’atteindre les indicateurs cibles du projet, à savoir le raccordement de 50 000 nouveaux ménages dans les poches noires de DKC &amp; DKO.  Pour atteindre cette cible, ces études ont recommandé  l’implantation de 232 cabines additionnelles et de leurs réseaux associés</w:t>
      </w:r>
    </w:p>
    <w:p w14:paraId="7DA51CE5"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Ceci explique l’existence des deux l’EIES et des deux PAR réalisés pour ces travaux, en l’occurrence une EIES et un PAR pour les travaux d’implantation des 180 cabines de distribution et leurs réseau associés et une EIES et un PAR pour les travaux des 232  cabines de distribution additionnelles et leurs réseaux associés recommandés par les études techniques.</w:t>
      </w:r>
    </w:p>
    <w:p w14:paraId="42527E38"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Par ailleurs, le coût des travaux tel qu’estimé par les études techniques est largement supérieur au montant du financement prévu dans le projet EASE, de sorte que le scope de travaux prévus a été réduit pour le rendre compatible avec le financement disponible. </w:t>
      </w:r>
    </w:p>
    <w:p w14:paraId="71C0FC16"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C’est  en considération de ce qui précède que le Projet d’Accès et d’Amélioration des Services Electriques, EASE, prend en charge la réalisation des travaux afférents à l’implantation de 120 cabines et de leurs réseaux associés au lieu des 180 cabines initialement prévues.  </w:t>
      </w:r>
      <w:r w:rsidRPr="00215867" w:rsidDel="00EA2F36">
        <w:rPr>
          <w:rFonts w:ascii="Times New Roman" w:hAnsi="Times New Roman"/>
          <w:sz w:val="24"/>
          <w:szCs w:val="24"/>
          <w:lang w:val="fr-CD"/>
        </w:rPr>
        <w:t xml:space="preserve"> </w:t>
      </w:r>
    </w:p>
    <w:p w14:paraId="1393DEB7"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Entretemps, le Gouvernement a sollicité de l’IDA un autre financement pour la mise en place d’un nouveau projet dénommé « Projet de Gouvernance et d’Accès à l’Électricité, à l’Eau potable et à l’Assainissement de base », dont les principales composantes sont  les suivantes :</w:t>
      </w:r>
    </w:p>
    <w:p w14:paraId="2AD3DCBC" w14:textId="77777777" w:rsidR="004C12CB" w:rsidRPr="00215867" w:rsidRDefault="004C12CB" w:rsidP="004C12CB">
      <w:pPr>
        <w:pStyle w:val="Paragraphedeliste"/>
        <w:numPr>
          <w:ilvl w:val="0"/>
          <w:numId w:val="138"/>
        </w:numPr>
        <w:spacing w:before="60" w:after="60" w:line="276" w:lineRule="auto"/>
        <w:ind w:right="6"/>
        <w:jc w:val="both"/>
        <w:rPr>
          <w:rFonts w:ascii="Times New Roman" w:hAnsi="Times New Roman"/>
          <w:color w:val="000000"/>
          <w:sz w:val="24"/>
          <w:szCs w:val="24"/>
          <w:lang w:val="fr-CD"/>
        </w:rPr>
      </w:pPr>
      <w:r w:rsidRPr="00215867">
        <w:rPr>
          <w:rFonts w:ascii="Times New Roman" w:hAnsi="Times New Roman"/>
          <w:color w:val="000000"/>
          <w:sz w:val="24"/>
          <w:szCs w:val="24"/>
          <w:lang w:val="fr-CD"/>
        </w:rPr>
        <w:t>Composante 1 : Gouvernance et Amélioration des performances des Entreprises d’Électricité et d'Eau</w:t>
      </w:r>
    </w:p>
    <w:p w14:paraId="1CC7F25D" w14:textId="77777777" w:rsidR="004C12CB" w:rsidRPr="00215867" w:rsidRDefault="004C12CB" w:rsidP="004C12CB">
      <w:pPr>
        <w:pStyle w:val="Paragraphedeliste"/>
        <w:numPr>
          <w:ilvl w:val="0"/>
          <w:numId w:val="138"/>
        </w:numPr>
        <w:spacing w:before="60" w:after="60" w:line="276" w:lineRule="auto"/>
        <w:ind w:right="6"/>
        <w:jc w:val="both"/>
        <w:rPr>
          <w:rFonts w:ascii="Times New Roman" w:eastAsia="MS PGothic" w:hAnsi="Times New Roman"/>
          <w:bCs/>
          <w:color w:val="000000"/>
          <w:kern w:val="24"/>
          <w:sz w:val="24"/>
          <w:szCs w:val="24"/>
          <w:lang w:val="fr-CD"/>
        </w:rPr>
      </w:pPr>
      <w:r w:rsidRPr="00215867">
        <w:rPr>
          <w:rFonts w:ascii="Times New Roman" w:hAnsi="Times New Roman"/>
          <w:color w:val="000000"/>
          <w:sz w:val="24"/>
          <w:szCs w:val="24"/>
          <w:lang w:val="fr-CD"/>
        </w:rPr>
        <w:t>Composante 2 : Renforcement des Institutions des secteurs de l’électricité, de l’eau et de l’assainissement et Assistance Technique</w:t>
      </w:r>
    </w:p>
    <w:p w14:paraId="3DA99A00" w14:textId="77777777" w:rsidR="004C12CB" w:rsidRPr="00215867" w:rsidRDefault="004C12CB" w:rsidP="004C12CB">
      <w:pPr>
        <w:pStyle w:val="Paragraphedeliste"/>
        <w:numPr>
          <w:ilvl w:val="0"/>
          <w:numId w:val="138"/>
        </w:numPr>
        <w:spacing w:before="60" w:after="60" w:line="276" w:lineRule="auto"/>
        <w:ind w:right="6"/>
        <w:jc w:val="both"/>
        <w:rPr>
          <w:rFonts w:ascii="Times New Roman" w:eastAsia="MS PGothic" w:hAnsi="Times New Roman"/>
          <w:bCs/>
          <w:color w:val="000000"/>
          <w:kern w:val="24"/>
          <w:sz w:val="24"/>
          <w:szCs w:val="24"/>
          <w:lang w:val="fr-CD"/>
        </w:rPr>
      </w:pPr>
      <w:r w:rsidRPr="00215867">
        <w:rPr>
          <w:rFonts w:ascii="Times New Roman" w:eastAsia="MS PGothic" w:hAnsi="Times New Roman"/>
          <w:bCs/>
          <w:color w:val="000000"/>
          <w:kern w:val="24"/>
          <w:sz w:val="24"/>
          <w:szCs w:val="24"/>
          <w:lang w:val="fr-CD"/>
        </w:rPr>
        <w:t>Composante 3 - Electrification basée sur le secteur privé de villes provinciales sélectionnées et  soutien aux opérateurs privés d'eau et d'assainissement</w:t>
      </w:r>
    </w:p>
    <w:p w14:paraId="2E85BF07" w14:textId="77777777" w:rsidR="004C12CB" w:rsidRPr="00215867" w:rsidRDefault="004C12CB" w:rsidP="004C12CB">
      <w:pPr>
        <w:pStyle w:val="NormalWeb"/>
        <w:numPr>
          <w:ilvl w:val="0"/>
          <w:numId w:val="138"/>
        </w:numPr>
        <w:spacing w:before="60" w:after="60"/>
        <w:ind w:right="6"/>
        <w:jc w:val="both"/>
        <w:rPr>
          <w:rFonts w:ascii="Times New Roman" w:eastAsia="MS PGothic" w:hAnsi="Times New Roman" w:cs="Times New Roman"/>
          <w:bCs/>
          <w:kern w:val="24"/>
          <w:lang w:val="fr-CD"/>
        </w:rPr>
      </w:pPr>
      <w:r w:rsidRPr="00215867">
        <w:rPr>
          <w:rFonts w:ascii="Times New Roman" w:eastAsia="MS PGothic" w:hAnsi="Times New Roman" w:cs="Times New Roman"/>
          <w:bCs/>
          <w:kern w:val="24"/>
          <w:lang w:val="fr-CD"/>
        </w:rPr>
        <w:t xml:space="preserve">Composante 4 - Expansion de l'accès à l'électricité et à l'eau basée sur le secteur public </w:t>
      </w:r>
    </w:p>
    <w:p w14:paraId="5BFE3EE4" w14:textId="77777777" w:rsidR="004C12CB" w:rsidRPr="00215867" w:rsidRDefault="004C12CB" w:rsidP="004C12CB">
      <w:pPr>
        <w:pStyle w:val="Paragraphedeliste"/>
        <w:numPr>
          <w:ilvl w:val="0"/>
          <w:numId w:val="138"/>
        </w:numPr>
        <w:spacing w:before="60" w:after="60" w:line="276" w:lineRule="auto"/>
        <w:ind w:right="6"/>
        <w:jc w:val="both"/>
        <w:rPr>
          <w:rFonts w:ascii="Times New Roman" w:hAnsi="Times New Roman"/>
          <w:color w:val="000000"/>
          <w:sz w:val="24"/>
          <w:szCs w:val="24"/>
        </w:rPr>
      </w:pPr>
      <w:r w:rsidRPr="00215867">
        <w:rPr>
          <w:rFonts w:ascii="Times New Roman" w:hAnsi="Times New Roman"/>
          <w:color w:val="000000"/>
          <w:sz w:val="24"/>
          <w:szCs w:val="24"/>
        </w:rPr>
        <w:t>Composante 5 : Composante d'Intervention d'Urgence Conditionnelle</w:t>
      </w:r>
    </w:p>
    <w:p w14:paraId="43BF9861" w14:textId="77777777" w:rsidR="004C12CB" w:rsidRPr="0075784E"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75784E">
        <w:rPr>
          <w:rFonts w:ascii="Times New Roman" w:hAnsi="Times New Roman"/>
          <w:sz w:val="24"/>
          <w:szCs w:val="24"/>
          <w:lang w:val="fr-CD"/>
        </w:rPr>
        <w:t xml:space="preserve">La Composante 4 (Expansion de l'accès à l'électricité et à l'eau basée sur le secteur public) du nouveau projet cible entre autres la ville de Kinshasa en prenant notamment en charge la tranche des travaux non exécutée sous EASE suite à l’insuffisance de financement   </w:t>
      </w:r>
    </w:p>
    <w:p w14:paraId="11835E21"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UCM, agence fiduciaire du projet EASE et la Cellule d’exécution des Projets de REGIDESO (CEP-O) agence du Projet d’alimentation en Eau potable en Milieu Urbain (PEMU) sont désignées pour assurer l’exécution de certaines activités nécessaires à la préparation du nouveau Projet. </w:t>
      </w:r>
    </w:p>
    <w:p w14:paraId="77BEDE0B"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Dans le cadre de la préparation du document d’évaluation du nouveau Projet et comme prescrit dans le nouveau cadre environnemental et social de la Banque mondiale, le gouvernement se propose de recruter un Consultant individuel en charge de l’actualisation de l’Etude d’Impact Environnemental et social (EIES) et du Plan d’Action de Réinstallation des travaux d’électrification des poches noires, d’assainissement, de réhabilitation et de mise en conformité des réseaux SNEL des directions de Kinshasa Centre et Ouest, qui sont des documents préalables à l’examen du dudit Projet  par le Conseil d’Administration de la Banque, envisagé au début du deuxième semestre 2021.</w:t>
      </w:r>
    </w:p>
    <w:p w14:paraId="705945D4"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Les EIES et le PAR seront rendus publics aussi bien en RDC que sur le site d’information de la Banque mondiale avant l’évaluation du nouveau Projet et son examen au Conseil d’Administration de la Banque.</w:t>
      </w:r>
    </w:p>
    <w:p w14:paraId="2BD8BD58"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Les présents Termes de Référence (TDR) ont pour but de définir l’étendue des prestations de service du consultant en charge de l’actualisation de l’EIES et du PAR des travaux précités.</w:t>
      </w:r>
    </w:p>
    <w:p w14:paraId="34E49F07" w14:textId="77777777" w:rsidR="004C12CB" w:rsidRPr="00215867" w:rsidRDefault="004C12CB" w:rsidP="004C12CB">
      <w:pPr>
        <w:pStyle w:val="Paragraphedeliste"/>
        <w:numPr>
          <w:ilvl w:val="1"/>
          <w:numId w:val="272"/>
        </w:numPr>
        <w:spacing w:before="120" w:after="120" w:line="276" w:lineRule="auto"/>
        <w:ind w:left="567" w:hanging="567"/>
        <w:contextualSpacing w:val="0"/>
        <w:rPr>
          <w:rFonts w:ascii="Times New Roman" w:hAnsi="Times New Roman"/>
          <w:b/>
          <w:sz w:val="24"/>
          <w:szCs w:val="24"/>
        </w:rPr>
      </w:pPr>
      <w:r w:rsidRPr="00215867">
        <w:rPr>
          <w:rFonts w:ascii="Times New Roman" w:hAnsi="Times New Roman"/>
          <w:b/>
          <w:sz w:val="24"/>
          <w:szCs w:val="24"/>
        </w:rPr>
        <w:t>JUSTIFICATION</w:t>
      </w:r>
    </w:p>
    <w:p w14:paraId="41B5A303"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Le projet vise à déployer à plus grande échelle l'accès à l'électricité et à l'eau potable dans les zones d’intervention de la Banque mondiale, tout en améliorant la gouvernance et la performance des services publics et en renforçant les capacités des institutions publiques. Il étendra les services d’électricité e/ou d’eau potable d’eau potable dans 13 villes de neuf (09) provinces suivantes : Kinshasa, Kwilu (Kikwit et Bandundu), Kasaï (Tshikapa), Kasaï central (Kananga), Kasaï oriental (Mbuji-Mayi), Lomami (Mwene-Ditu, Kabinda), Sud-Kivu (Bukavu), Nord-Kivu (Goma, Butembo et Beni), Ituri (Bunia) ainsi que leurs structures administratives. Le projet mettra aussi en œuvre les réformes nécessaires et les améliorations opérationnelles pour amener la SNEL et la REGIDESO sur la voie du redressement et renforcer la capacité des principales institutions nationales et provinciales.</w:t>
      </w:r>
    </w:p>
    <w:p w14:paraId="703B9143"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Le projet prévoit également de poursuivre l’expansion de l’accès à l’électricité menée par le secteur public à Kinshasa, qui soutiennent le parachèvement des activités d’extension et d’assainissement du réseau SNEL de Kinshasa, dont les études techniques et les études environnementales et sociales ont été financées par le projet EASE. Cette expansion de l’accès à l’électricité porte sur la réhabilitation et l’extension des segments du réseau de distribution de SNEL dans la ville de Kinshasa.</w:t>
      </w:r>
    </w:p>
    <w:p w14:paraId="3840BC1D"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Ces segments du réseau de distribution de SNEL dans la ville de Kinshasa, ont été évalués sur le plan environnemental et social au travers d’une étude d’impact environnemental et social (EIES) assortie de son Plan de Gestion Environnementale et Sociale (PGES) et du Plan d’Action de Réinstallation (PAR), élaborés par un consultant  en 2019 sous l‘empire de Politiques Opérationnelles de sauvegarde environnementale et sociale de la Banque mondiale</w:t>
      </w:r>
      <w:r w:rsidRPr="0075784E">
        <w:rPr>
          <w:rFonts w:ascii="Times New Roman" w:hAnsi="Times New Roman"/>
          <w:sz w:val="24"/>
          <w:szCs w:val="24"/>
          <w:lang w:val="fr-CD"/>
        </w:rPr>
        <w:footnoteReference w:id="23"/>
      </w:r>
      <w:r w:rsidRPr="00215867">
        <w:rPr>
          <w:rFonts w:ascii="Times New Roman" w:hAnsi="Times New Roman"/>
          <w:sz w:val="24"/>
          <w:szCs w:val="24"/>
          <w:lang w:val="fr-CD"/>
        </w:rPr>
        <w:t xml:space="preserve">, étant entendu que le projet EASE est en entrée en vigueur en février 2018, et donc avant la publication du Nouveau Cadre Environnemental et Social en octobre </w:t>
      </w:r>
      <w:r w:rsidRPr="0075784E">
        <w:rPr>
          <w:rFonts w:ascii="Times New Roman" w:hAnsi="Times New Roman"/>
          <w:sz w:val="24"/>
          <w:szCs w:val="24"/>
          <w:lang w:val="fr-CD"/>
        </w:rPr>
        <w:t>2018</w:t>
      </w:r>
      <w:r w:rsidRPr="00215867">
        <w:rPr>
          <w:rFonts w:ascii="Times New Roman" w:hAnsi="Times New Roman"/>
          <w:sz w:val="24"/>
          <w:szCs w:val="24"/>
          <w:lang w:val="fr-CD"/>
        </w:rPr>
        <w:t xml:space="preserve">. </w:t>
      </w:r>
    </w:p>
    <w:p w14:paraId="267D7948"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La Politique environnementale et sociale de la Banque mondiale pour le financement de projets d’investissement exige aux Emprunteurs de procéder à une évaluation environnementale et sociale des projets pour lesquels une demande de financement est adressée à la Banque, conformément à la NES n° 1. De plus, conformément au Décret n° 14/019 du 02 août 2014 fixant les règles de fonctionnement des mécanismes procéduraux de la protection de l'environnement, tout projet d'installation de ligne électrique est assujetti à une EIES.  Il est donc indispensable d’actualiser les documents de sauvegarde environnementale et sociale des travaux de Kinshasa afin de répondre aux exigences de la Banque mondiale et du cadre règlementaire national. De ce fait, UCM se propose de recruter un consultant individuel en vue de procéder à l’actualisation de l’EIES et du PAR des travaux susmentionnés afin de se conformer aux normes environnementales et sociales de la Banque mondiale.  </w:t>
      </w:r>
    </w:p>
    <w:p w14:paraId="36A28358"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Le Cadre environnemental et social de la Banque mondiale met plus d’accent sur l’identification et la gestion des risques environnementaux et sociaux et permet à l’emprunteur (le Gouvernement) de réaliser ses objectifs de réduction de la pauvreté et d’accroissement de la prospérité d’une façon durable pour le bien-être de ses citoyens et de l’environnement. Ses Normes favorisent la non-discrimination, la transparence, la participation, la responsabilisation et la gouvernance, et contribuent à améliorer les résultats du Projet en matière de développement durable grâce à l’adhésion permanente des parties prenantes.  </w:t>
      </w:r>
    </w:p>
    <w:p w14:paraId="139585B0"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Les textes ci-dessous reprennent les principales dispositions légales qui s’appliquent au Projet : </w:t>
      </w:r>
    </w:p>
    <w:p w14:paraId="6A3665AF"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Loi n°11/009 du 09 juillet 2011 portant principes fondamentaux de protection de l’environnement en RDC ;</w:t>
      </w:r>
    </w:p>
    <w:p w14:paraId="43E7E5FB"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Loi n°14/011 du 17 juin 2014 relative au secteur de l’électricité ;</w:t>
      </w:r>
    </w:p>
    <w:p w14:paraId="326EAE3E"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Loi n°15/026 du 31 décembre 2015 relative à l’eau.</w:t>
      </w:r>
    </w:p>
    <w:p w14:paraId="5B1F551E"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Décret n° 20/023 du 1</w:t>
      </w:r>
      <w:r w:rsidRPr="00215867">
        <w:rPr>
          <w:rFonts w:ascii="Times New Roman" w:hAnsi="Times New Roman"/>
          <w:sz w:val="24"/>
          <w:szCs w:val="24"/>
          <w:vertAlign w:val="superscript"/>
          <w:lang w:val="fr-CD"/>
        </w:rPr>
        <w:t>er</w:t>
      </w:r>
      <w:r w:rsidRPr="00215867">
        <w:rPr>
          <w:rFonts w:ascii="Times New Roman" w:hAnsi="Times New Roman"/>
          <w:sz w:val="24"/>
          <w:szCs w:val="24"/>
          <w:lang w:val="fr-CD"/>
        </w:rPr>
        <w:t xml:space="preserve"> octobre 2020 portant mesures barrières de lutte contre la pandémie de Covid-19 en République Démocratique du Congo ;</w:t>
      </w:r>
    </w:p>
    <w:p w14:paraId="5C113C82"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Arrêté n° CAB.MIN/IND/CJA/10/10/2020 du 27 octobre 2020 portant adoption des normes nationales congolaises sur les produits cosmétiques et détergents, les lubrifiants et produits pétroliers, les ciments, les peintures et vernis, l'électrotechnique, la technologie de l'information et la sécurité, le management sécurité routière et l'approvisionnement, l'assainissement, l'environnement, eaux usées et de forage et leur mise en application. </w:t>
      </w:r>
    </w:p>
    <w:p w14:paraId="1C4B348D"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Cadre Environnemental et Social de la Banque mondiale </w:t>
      </w:r>
    </w:p>
    <w:p w14:paraId="0C2BB93A" w14:textId="77777777" w:rsidR="004C12CB" w:rsidRPr="00215867" w:rsidRDefault="004C12CB" w:rsidP="0075784E">
      <w:pPr>
        <w:pStyle w:val="Paragraphedeliste"/>
        <w:numPr>
          <w:ilvl w:val="0"/>
          <w:numId w:val="254"/>
        </w:numPr>
        <w:tabs>
          <w:tab w:val="left" w:pos="1418"/>
          <w:tab w:val="left" w:pos="1560"/>
        </w:tabs>
        <w:spacing w:before="60" w:after="60" w:line="240" w:lineRule="auto"/>
        <w:ind w:left="1418"/>
        <w:contextualSpacing w:val="0"/>
        <w:jc w:val="both"/>
        <w:rPr>
          <w:rFonts w:ascii="Times New Roman" w:hAnsi="Times New Roman"/>
          <w:sz w:val="24"/>
          <w:szCs w:val="24"/>
          <w:lang w:val="fr-CD"/>
        </w:rPr>
      </w:pPr>
      <w:r w:rsidRPr="00215867">
        <w:rPr>
          <w:rFonts w:ascii="Times New Roman" w:hAnsi="Times New Roman"/>
          <w:sz w:val="24"/>
          <w:szCs w:val="24"/>
          <w:lang w:val="fr-CD"/>
        </w:rPr>
        <w:t>Note de bonnes pratiques pour lutter contre l’Exploitation et les atteintes Sexuelles, et le Harcèlement sexuel (NBP-EAS/HS) dans le cadre du financement de projets d´investissement comportant de grands travaux de génie civil sera prise en compte pour l´enrichissement des mesures de prévention, d’atténuation et de réponse aux risques EAS/HS liés au projet</w:t>
      </w:r>
      <w:r w:rsidRPr="00215867">
        <w:rPr>
          <w:rStyle w:val="Appelnotedebasdep"/>
          <w:rFonts w:ascii="Times New Roman" w:hAnsi="Times New Roman"/>
          <w:sz w:val="24"/>
          <w:szCs w:val="24"/>
          <w:lang w:val="fr-CD"/>
        </w:rPr>
        <w:footnoteReference w:id="24"/>
      </w:r>
      <w:r w:rsidRPr="00215867">
        <w:rPr>
          <w:rFonts w:ascii="Times New Roman" w:hAnsi="Times New Roman"/>
          <w:sz w:val="24"/>
          <w:szCs w:val="24"/>
          <w:lang w:val="fr-CD"/>
        </w:rPr>
        <w:t xml:space="preserve"> </w:t>
      </w:r>
    </w:p>
    <w:p w14:paraId="046D9BCC" w14:textId="77777777" w:rsidR="004C12CB" w:rsidRPr="00215867" w:rsidRDefault="004C12CB" w:rsidP="0075784E">
      <w:pPr>
        <w:pStyle w:val="Paragraphedeliste"/>
        <w:numPr>
          <w:ilvl w:val="0"/>
          <w:numId w:val="246"/>
        </w:numPr>
        <w:spacing w:before="60" w:after="60" w:line="276" w:lineRule="auto"/>
        <w:ind w:left="993" w:hanging="425"/>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Au regard du nouveau Cadre Environnemental et Social (CES) de la Banque mondiale en vigueur depuis octobre 2018, le projet de Gouvernance et d’Accès à l’Électricité, à l’Eau et à l’Assainissement de base  en RDC est classé comme projet à </w:t>
      </w:r>
      <w:r w:rsidRPr="00215867">
        <w:rPr>
          <w:rFonts w:ascii="Times New Roman" w:hAnsi="Times New Roman"/>
          <w:i/>
          <w:sz w:val="24"/>
          <w:szCs w:val="24"/>
          <w:lang w:val="fr-CD"/>
        </w:rPr>
        <w:t xml:space="preserve">risque élevé. </w:t>
      </w:r>
      <w:r w:rsidRPr="00215867">
        <w:rPr>
          <w:rFonts w:ascii="Times New Roman" w:hAnsi="Times New Roman"/>
          <w:sz w:val="24"/>
          <w:szCs w:val="24"/>
          <w:lang w:val="fr-CD"/>
        </w:rPr>
        <w:t>De ce fait,</w:t>
      </w:r>
      <w:r w:rsidRPr="00215867">
        <w:rPr>
          <w:rFonts w:ascii="Times New Roman" w:hAnsi="Times New Roman"/>
          <w:i/>
          <w:sz w:val="24"/>
          <w:szCs w:val="24"/>
          <w:lang w:val="fr-CD"/>
        </w:rPr>
        <w:t xml:space="preserve"> </w:t>
      </w:r>
      <w:r w:rsidRPr="00215867">
        <w:rPr>
          <w:rFonts w:ascii="Times New Roman" w:hAnsi="Times New Roman"/>
          <w:sz w:val="24"/>
          <w:szCs w:val="24"/>
          <w:lang w:val="fr-CD"/>
        </w:rPr>
        <w:t xml:space="preserve"> neuf (09) des dix normes environnementales et sociales (NES) reprises dans le tableau en annexe 1 sont pertinentes pour sa mise en œuvre, à l’exception de la norme 7 relative aux peuples autochtones et communautés locales traditionnelles d’Afrique subsaharienne historiquement défavorisées, étant donné que le projet intervient en milieu urbain et péri-urbain et que la présence des peuples autochtones n’est pas signalée dans ces milieux. </w:t>
      </w:r>
    </w:p>
    <w:p w14:paraId="7BFE9DA6" w14:textId="77777777" w:rsidR="004C12CB" w:rsidRPr="00215867" w:rsidRDefault="004C12CB" w:rsidP="00AE31F1">
      <w:pPr>
        <w:pStyle w:val="Paragraphedeliste"/>
        <w:numPr>
          <w:ilvl w:val="0"/>
          <w:numId w:val="248"/>
        </w:numPr>
        <w:spacing w:before="120" w:after="0" w:line="240" w:lineRule="auto"/>
        <w:ind w:left="567" w:hanging="567"/>
        <w:contextualSpacing w:val="0"/>
        <w:rPr>
          <w:rFonts w:ascii="Times New Roman" w:hAnsi="Times New Roman"/>
          <w:b/>
          <w:sz w:val="24"/>
          <w:szCs w:val="24"/>
          <w:lang w:val="fr-CD"/>
        </w:rPr>
      </w:pPr>
      <w:r w:rsidRPr="00215867">
        <w:rPr>
          <w:rFonts w:ascii="Times New Roman" w:hAnsi="Times New Roman"/>
          <w:b/>
          <w:sz w:val="24"/>
          <w:szCs w:val="24"/>
          <w:lang w:val="fr-CD"/>
        </w:rPr>
        <w:t>DESCRIPTION SOMMAIRE DU PROJET</w:t>
      </w:r>
    </w:p>
    <w:p w14:paraId="71F2E083" w14:textId="77777777" w:rsidR="004C12CB" w:rsidRPr="00215867" w:rsidRDefault="004C0F64" w:rsidP="00AE31F1">
      <w:pPr>
        <w:spacing w:after="120"/>
        <w:ind w:left="567"/>
        <w:jc w:val="both"/>
        <w:rPr>
          <w:rFonts w:ascii="Times New Roman" w:hAnsi="Times New Roman"/>
          <w:sz w:val="24"/>
          <w:szCs w:val="24"/>
          <w:lang w:val="fr-CD"/>
        </w:rPr>
      </w:pPr>
      <w:r>
        <w:rPr>
          <w:rFonts w:ascii="Times New Roman" w:hAnsi="Times New Roman"/>
          <w:sz w:val="24"/>
          <w:szCs w:val="24"/>
          <w:lang w:val="fr-CD"/>
        </w:rPr>
        <w:pict w14:anchorId="36BCB559">
          <v:rect id="_x0000_i1027" style="width:443.65pt;height:1.5pt" o:hralign="center" o:hrstd="t" o:hr="t" fillcolor="#a0a0a0" stroked="f"/>
        </w:pict>
      </w:r>
    </w:p>
    <w:p w14:paraId="0D9C017F" w14:textId="77777777" w:rsidR="004C12CB" w:rsidRPr="00215867" w:rsidRDefault="004C12CB" w:rsidP="004C12CB">
      <w:pPr>
        <w:spacing w:before="120" w:after="120"/>
        <w:ind w:left="567"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Il n’a pas paru nécessaire de décrire sommairement le projet pour le solde des travaux  non pris en charge par le Projet EASE compte tenu de leur similitude avec les travaux prévus dans le nouveau projet dénommé « Projet de Gouvernance et d’Accès à l’Électricité, à l’Eau potable et à l’Assainissement de base ». </w:t>
      </w:r>
    </w:p>
    <w:p w14:paraId="34F21B03" w14:textId="77777777" w:rsidR="004C12CB" w:rsidRPr="00215867" w:rsidRDefault="004C12CB" w:rsidP="004C12CB">
      <w:pPr>
        <w:spacing w:before="120" w:after="120"/>
        <w:ind w:left="567"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De manière générale, les activités à réaliser dans le cadre des travaux d’électrification des poches noires, d’assainissement, de réhabilitation et de mise en conformité des réseaux de distribution SNEL des directions de Kinshasa Centre et Ouest pris en charge par le nouveau projet dénommé « Projet de Gouvernance et d’Accès à l’Électricité, à l’Eau potable et à l’Assainissement de base » portent essentiellement  sur : </w:t>
      </w:r>
    </w:p>
    <w:p w14:paraId="47030C92" w14:textId="77777777" w:rsidR="004C12CB" w:rsidRPr="00215867" w:rsidRDefault="004C12CB" w:rsidP="004C12CB">
      <w:pPr>
        <w:pStyle w:val="Paragraphedeliste"/>
        <w:numPr>
          <w:ilvl w:val="0"/>
          <w:numId w:val="132"/>
        </w:numPr>
        <w:spacing w:before="120" w:after="120" w:line="276" w:lineRule="auto"/>
        <w:ind w:left="1134" w:right="6" w:hanging="425"/>
        <w:jc w:val="both"/>
        <w:rPr>
          <w:rFonts w:ascii="Times New Roman" w:hAnsi="Times New Roman"/>
          <w:sz w:val="24"/>
          <w:szCs w:val="24"/>
          <w:lang w:val="fr-CD"/>
        </w:rPr>
      </w:pPr>
      <w:r w:rsidRPr="00215867">
        <w:rPr>
          <w:rFonts w:ascii="Times New Roman" w:hAnsi="Times New Roman"/>
          <w:sz w:val="24"/>
          <w:szCs w:val="24"/>
          <w:lang w:val="fr-CD"/>
        </w:rPr>
        <w:t>la décharge des réseaux de distribution (MT et BT) des directions de Kinshasa Centre et Kinshasa Ouest ;</w:t>
      </w:r>
    </w:p>
    <w:p w14:paraId="5B0605A5" w14:textId="77777777" w:rsidR="004C12CB" w:rsidRPr="00215867" w:rsidRDefault="004C12CB" w:rsidP="004C12CB">
      <w:pPr>
        <w:pStyle w:val="Paragraphedeliste"/>
        <w:numPr>
          <w:ilvl w:val="0"/>
          <w:numId w:val="132"/>
        </w:numPr>
        <w:spacing w:before="120" w:after="120" w:line="276" w:lineRule="auto"/>
        <w:ind w:left="1134" w:right="6" w:hanging="425"/>
        <w:jc w:val="both"/>
        <w:rPr>
          <w:rFonts w:ascii="Times New Roman" w:hAnsi="Times New Roman"/>
          <w:sz w:val="24"/>
          <w:szCs w:val="24"/>
          <w:lang w:val="fr-CD"/>
        </w:rPr>
      </w:pPr>
      <w:r w:rsidRPr="00215867">
        <w:rPr>
          <w:rFonts w:ascii="Times New Roman" w:hAnsi="Times New Roman"/>
          <w:sz w:val="24"/>
          <w:szCs w:val="24"/>
          <w:lang w:val="fr-CD"/>
        </w:rPr>
        <w:t>l’assainissement et la mise en conformité des réseaux de distribution (MT et BT) des directions de Kinshasa Centre et Kinshasa Ouest ;</w:t>
      </w:r>
    </w:p>
    <w:p w14:paraId="11136529" w14:textId="77777777" w:rsidR="004C12CB" w:rsidRPr="00215867" w:rsidRDefault="004C12CB" w:rsidP="004C12CB">
      <w:pPr>
        <w:pStyle w:val="Paragraphedeliste"/>
        <w:numPr>
          <w:ilvl w:val="0"/>
          <w:numId w:val="132"/>
        </w:numPr>
        <w:spacing w:before="120" w:after="120" w:line="276" w:lineRule="auto"/>
        <w:ind w:left="1134" w:right="6" w:hanging="425"/>
        <w:jc w:val="both"/>
        <w:rPr>
          <w:rFonts w:ascii="Times New Roman" w:hAnsi="Times New Roman"/>
          <w:sz w:val="24"/>
          <w:szCs w:val="24"/>
          <w:lang w:val="fr-CD"/>
        </w:rPr>
      </w:pPr>
      <w:r w:rsidRPr="00215867">
        <w:rPr>
          <w:rFonts w:ascii="Times New Roman" w:hAnsi="Times New Roman"/>
          <w:sz w:val="24"/>
          <w:szCs w:val="24"/>
          <w:lang w:val="fr-CD"/>
        </w:rPr>
        <w:t>l’extension des réseaux de distribution (MT et BT) des directions de Kinshasa Centre et Kinshasa Ouest ;</w:t>
      </w:r>
    </w:p>
    <w:p w14:paraId="301C7DAF" w14:textId="77777777" w:rsidR="004C12CB" w:rsidRPr="00215867" w:rsidRDefault="004C12CB" w:rsidP="004C12CB">
      <w:pPr>
        <w:pStyle w:val="Paragraphedeliste"/>
        <w:numPr>
          <w:ilvl w:val="0"/>
          <w:numId w:val="132"/>
        </w:numPr>
        <w:spacing w:before="120" w:after="120" w:line="276" w:lineRule="auto"/>
        <w:ind w:left="1134" w:right="6" w:hanging="425"/>
        <w:jc w:val="both"/>
        <w:rPr>
          <w:rFonts w:ascii="Times New Roman" w:hAnsi="Times New Roman"/>
          <w:sz w:val="24"/>
          <w:szCs w:val="24"/>
          <w:lang w:val="fr-CD"/>
        </w:rPr>
      </w:pPr>
      <w:r w:rsidRPr="00215867">
        <w:rPr>
          <w:rFonts w:ascii="Times New Roman" w:hAnsi="Times New Roman"/>
          <w:sz w:val="24"/>
          <w:szCs w:val="24"/>
          <w:lang w:val="fr-CD"/>
        </w:rPr>
        <w:t xml:space="preserve">l’installation des compteurs BT à prépaiement chez les ménages. </w:t>
      </w:r>
    </w:p>
    <w:p w14:paraId="500E675C" w14:textId="77777777" w:rsidR="004C12CB" w:rsidRPr="00215867" w:rsidRDefault="004C12CB" w:rsidP="004C12CB">
      <w:pPr>
        <w:spacing w:before="120" w:after="120"/>
        <w:ind w:left="578" w:right="6"/>
        <w:jc w:val="both"/>
        <w:rPr>
          <w:rFonts w:ascii="Times New Roman" w:hAnsi="Times New Roman"/>
          <w:sz w:val="24"/>
          <w:szCs w:val="24"/>
          <w:lang w:val="fr-CD"/>
        </w:rPr>
      </w:pPr>
      <w:r w:rsidRPr="00215867">
        <w:rPr>
          <w:rFonts w:ascii="Times New Roman" w:hAnsi="Times New Roman"/>
          <w:sz w:val="24"/>
          <w:szCs w:val="24"/>
          <w:lang w:val="fr-CD"/>
        </w:rPr>
        <w:t xml:space="preserve">Les actions sur les postes Haute-tension et Moyenne-tension ne sont pas concernées par le présent Projet. </w:t>
      </w:r>
    </w:p>
    <w:p w14:paraId="3CDA42D3" w14:textId="77777777" w:rsidR="004C12CB" w:rsidRPr="00215867" w:rsidRDefault="004C12CB" w:rsidP="004C12CB">
      <w:pPr>
        <w:pStyle w:val="Paragraphedeliste"/>
        <w:numPr>
          <w:ilvl w:val="1"/>
          <w:numId w:val="261"/>
        </w:numPr>
        <w:spacing w:before="120" w:after="120" w:line="276" w:lineRule="auto"/>
        <w:ind w:left="567" w:hanging="567"/>
        <w:contextualSpacing w:val="0"/>
        <w:jc w:val="both"/>
        <w:rPr>
          <w:rFonts w:ascii="Times New Roman" w:hAnsi="Times New Roman"/>
          <w:b/>
          <w:sz w:val="24"/>
          <w:szCs w:val="24"/>
          <w:lang w:val="fr-CD"/>
        </w:rPr>
      </w:pPr>
      <w:r w:rsidRPr="00215867">
        <w:rPr>
          <w:rFonts w:ascii="Times New Roman" w:hAnsi="Times New Roman"/>
          <w:b/>
          <w:sz w:val="24"/>
          <w:szCs w:val="24"/>
          <w:lang w:val="fr-CD"/>
        </w:rPr>
        <w:t>Electrification des poches noires</w:t>
      </w:r>
    </w:p>
    <w:p w14:paraId="1C4270B2" w14:textId="77777777" w:rsidR="004C12CB" w:rsidRPr="00215867" w:rsidRDefault="004C12CB" w:rsidP="004C12CB">
      <w:pPr>
        <w:tabs>
          <w:tab w:val="left" w:pos="567"/>
        </w:tabs>
        <w:autoSpaceDE w:val="0"/>
        <w:autoSpaceDN w:val="0"/>
        <w:adjustRightInd w:val="0"/>
        <w:spacing w:after="120"/>
        <w:ind w:left="567"/>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L’électrification des poches noires portera sur la construction des nouveaux segments du réseau moyenne-tension (MT), la réhabilitation et l’assainissement des anciens segments du réseau MT et BT dans la zone du projet. </w:t>
      </w:r>
    </w:p>
    <w:p w14:paraId="3BEA208D" w14:textId="77777777" w:rsidR="004C12CB" w:rsidRPr="00215867" w:rsidRDefault="004C12CB" w:rsidP="00AE31F1">
      <w:pPr>
        <w:pStyle w:val="Paragraphedeliste"/>
        <w:numPr>
          <w:ilvl w:val="0"/>
          <w:numId w:val="286"/>
        </w:numPr>
        <w:tabs>
          <w:tab w:val="left" w:pos="567"/>
        </w:tabs>
        <w:autoSpaceDE w:val="0"/>
        <w:autoSpaceDN w:val="0"/>
        <w:adjustRightInd w:val="0"/>
        <w:spacing w:before="60" w:after="60" w:line="240" w:lineRule="auto"/>
        <w:ind w:left="1134" w:hanging="425"/>
        <w:contextualSpacing w:val="0"/>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Décharge des réseaux de distribution (MT et BT) </w:t>
      </w:r>
    </w:p>
    <w:p w14:paraId="1FEF8A6E" w14:textId="77777777" w:rsidR="004C12CB" w:rsidRPr="00215867" w:rsidRDefault="004C12CB" w:rsidP="004C12CB">
      <w:pPr>
        <w:pStyle w:val="Paragraphedeliste"/>
        <w:tabs>
          <w:tab w:val="left" w:pos="1134"/>
        </w:tabs>
        <w:autoSpaceDE w:val="0"/>
        <w:autoSpaceDN w:val="0"/>
        <w:adjustRightInd w:val="0"/>
        <w:spacing w:after="120"/>
        <w:ind w:left="1134"/>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Les actions de décharge des réseaux portent sur l’installation des 148 nouvelles cabines pour décharger les cabines existantes dans les poches noires des communes de Bumbu, Selembao, Ngiri-Ngiri, Kalamu, Makala, Mont-Ngafula, Kintambo, Bandalungwa et Ngaliema. Ces poches noires fonctionnent avec un taux de charge dépassant 100% de leur capacité ; ce qui entraine au niveau de l’exploitant SNEL, l’application du régime de délestage pour préserver les équipements électriques. L’installation des nouvelles cabines prévues dans le cadre de la décharge des réseaux permettra de réduire la surcharge et le taux de charge maximum de 100 à 80% pour les cabines.</w:t>
      </w:r>
    </w:p>
    <w:p w14:paraId="439E6332" w14:textId="77777777" w:rsidR="004C12CB" w:rsidRPr="00215867" w:rsidRDefault="004C12CB" w:rsidP="00AE31F1">
      <w:pPr>
        <w:pStyle w:val="Paragraphedeliste"/>
        <w:numPr>
          <w:ilvl w:val="0"/>
          <w:numId w:val="286"/>
        </w:numPr>
        <w:tabs>
          <w:tab w:val="left" w:pos="567"/>
        </w:tabs>
        <w:autoSpaceDE w:val="0"/>
        <w:autoSpaceDN w:val="0"/>
        <w:adjustRightInd w:val="0"/>
        <w:spacing w:before="60" w:after="60" w:line="240" w:lineRule="auto"/>
        <w:ind w:left="1134" w:hanging="425"/>
        <w:contextualSpacing w:val="0"/>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L’extension des réseaux de distribution (MT et BT) </w:t>
      </w:r>
    </w:p>
    <w:p w14:paraId="2E5048B6" w14:textId="77777777" w:rsidR="004C12CB" w:rsidRPr="00215867" w:rsidRDefault="004C12CB" w:rsidP="004C12CB">
      <w:pPr>
        <w:pStyle w:val="Paragraphedeliste"/>
        <w:tabs>
          <w:tab w:val="left" w:pos="1134"/>
        </w:tabs>
        <w:autoSpaceDE w:val="0"/>
        <w:autoSpaceDN w:val="0"/>
        <w:adjustRightInd w:val="0"/>
        <w:spacing w:after="120"/>
        <w:ind w:left="1134"/>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L’extension des réseaux de distribution portera sur l’ajout de 86 nouvelles cabines dans la zone desservie par les réseaux DKC et DKO, dont 14 cabines sur poteau et 72 cabines compactes pour alimenter 43 000 nouveaux abonnés situés dans les 33 poches noires de la zone du projet.  </w:t>
      </w:r>
    </w:p>
    <w:p w14:paraId="590235E6" w14:textId="77777777" w:rsidR="004C12CB" w:rsidRPr="00215867" w:rsidRDefault="004C12CB" w:rsidP="00AE31F1">
      <w:pPr>
        <w:pStyle w:val="Paragraphedeliste"/>
        <w:numPr>
          <w:ilvl w:val="0"/>
          <w:numId w:val="286"/>
        </w:numPr>
        <w:tabs>
          <w:tab w:val="left" w:pos="567"/>
        </w:tabs>
        <w:autoSpaceDE w:val="0"/>
        <w:autoSpaceDN w:val="0"/>
        <w:adjustRightInd w:val="0"/>
        <w:spacing w:before="60" w:after="60" w:line="240" w:lineRule="auto"/>
        <w:ind w:left="1134" w:hanging="425"/>
        <w:contextualSpacing w:val="0"/>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L’assainissement et la mise en conformité des réseaux de distribution (MT et BT) </w:t>
      </w:r>
    </w:p>
    <w:p w14:paraId="44DA92D8" w14:textId="77777777" w:rsidR="004C12CB" w:rsidRPr="00215867" w:rsidRDefault="004C12CB" w:rsidP="00AE31F1">
      <w:pPr>
        <w:pStyle w:val="Paragraphedeliste"/>
        <w:tabs>
          <w:tab w:val="left" w:pos="1134"/>
        </w:tabs>
        <w:autoSpaceDE w:val="0"/>
        <w:autoSpaceDN w:val="0"/>
        <w:adjustRightInd w:val="0"/>
        <w:spacing w:after="120"/>
        <w:ind w:left="1134"/>
        <w:contextualSpacing w:val="0"/>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Les actions prévues dans le cadre de ce volet portent sur la réhabilitation des infrastructures électriques, l’installation des équipements de contrôle, de comptage et de protection des réseaux. En sus de ces actions, le basculement des abonnés facturés sur base d’un régime forfaitaire dans le cadre du  système post-paiement d sur le système de prépaiement grâce à l’installation des nouveaux compteurs intelligents.</w:t>
      </w:r>
    </w:p>
    <w:p w14:paraId="10403D97" w14:textId="77777777" w:rsidR="004C12CB" w:rsidRPr="00215867" w:rsidRDefault="004C12CB" w:rsidP="00AE31F1">
      <w:pPr>
        <w:pStyle w:val="Paragraphedeliste"/>
        <w:numPr>
          <w:ilvl w:val="1"/>
          <w:numId w:val="261"/>
        </w:numPr>
        <w:spacing w:before="120" w:after="120" w:line="240" w:lineRule="auto"/>
        <w:ind w:left="567" w:hanging="567"/>
        <w:contextualSpacing w:val="0"/>
        <w:jc w:val="both"/>
        <w:rPr>
          <w:rFonts w:ascii="Times New Roman" w:hAnsi="Times New Roman"/>
          <w:b/>
          <w:color w:val="000000"/>
          <w:sz w:val="24"/>
          <w:szCs w:val="24"/>
          <w:lang w:val="fr-CD"/>
        </w:rPr>
      </w:pPr>
      <w:r w:rsidRPr="00215867">
        <w:rPr>
          <w:rFonts w:ascii="Times New Roman" w:hAnsi="Times New Roman"/>
          <w:b/>
          <w:color w:val="000000"/>
          <w:sz w:val="24"/>
          <w:szCs w:val="24"/>
          <w:lang w:val="fr-CD"/>
        </w:rPr>
        <w:t>Fournitures des équipements MT/BT</w:t>
      </w:r>
    </w:p>
    <w:p w14:paraId="0B878A86" w14:textId="77777777" w:rsidR="004C12CB" w:rsidRPr="00215867" w:rsidRDefault="004C12CB" w:rsidP="004C12CB">
      <w:pPr>
        <w:pStyle w:val="Paragraphedeliste"/>
        <w:tabs>
          <w:tab w:val="left" w:pos="567"/>
        </w:tabs>
        <w:autoSpaceDE w:val="0"/>
        <w:autoSpaceDN w:val="0"/>
        <w:adjustRightInd w:val="0"/>
        <w:spacing w:after="120"/>
        <w:ind w:left="567"/>
        <w:rPr>
          <w:rFonts w:ascii="Times New Roman" w:hAnsi="Times New Roman"/>
          <w:color w:val="000000"/>
          <w:sz w:val="24"/>
          <w:szCs w:val="24"/>
          <w:lang w:val="fr-CD"/>
        </w:rPr>
      </w:pPr>
      <w:r w:rsidRPr="00215867">
        <w:rPr>
          <w:rFonts w:ascii="Times New Roman" w:hAnsi="Times New Roman"/>
          <w:color w:val="000000"/>
          <w:sz w:val="24"/>
          <w:szCs w:val="24"/>
          <w:lang w:val="fr-CD"/>
        </w:rPr>
        <w:t>De façon résumée, les travaux portent comprennent la fourniture, l’installation et la pose de :</w:t>
      </w:r>
    </w:p>
    <w:p w14:paraId="69D9E0CA"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cabines préfabriquées compactes  20/0,4 kV - 630 kVA et 20/0,4 kV - 160 kVA triphasées pour décharger le réseau de Kinshasa;cabines triphasées 160 kVA (MALT), 150 kVA (MALT) et 75 kVA (MALT) sur  poteau </w:t>
      </w:r>
    </w:p>
    <w:p w14:paraId="6691825E"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cabines monophasées 150 kVA (MALT) et 75 kVA (MALT) sur poteau ; </w:t>
      </w:r>
    </w:p>
    <w:p w14:paraId="774339F2"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réseaux </w:t>
      </w:r>
      <w:bookmarkStart w:id="1181" w:name="_Hlk63343886"/>
      <w:r w:rsidRPr="00215867">
        <w:rPr>
          <w:rFonts w:ascii="Times New Roman" w:hAnsi="Times New Roman"/>
          <w:color w:val="000000"/>
          <w:sz w:val="24"/>
          <w:szCs w:val="24"/>
          <w:lang w:val="fr-CD"/>
        </w:rPr>
        <w:t>moyenne-tension (MT</w:t>
      </w:r>
      <w:bookmarkEnd w:id="1181"/>
      <w:r w:rsidRPr="00215867">
        <w:rPr>
          <w:rFonts w:ascii="Times New Roman" w:hAnsi="Times New Roman"/>
          <w:color w:val="000000"/>
          <w:sz w:val="24"/>
          <w:szCs w:val="24"/>
          <w:lang w:val="fr-CD"/>
        </w:rPr>
        <w:t xml:space="preserve">) en conducteurs torsadés. </w:t>
      </w:r>
    </w:p>
    <w:p w14:paraId="6912E509"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rPr>
          <w:rFonts w:ascii="Times New Roman" w:hAnsi="Times New Roman"/>
          <w:color w:val="000000"/>
          <w:sz w:val="24"/>
          <w:szCs w:val="24"/>
          <w:lang w:val="fr-CD"/>
        </w:rPr>
      </w:pPr>
      <w:r w:rsidRPr="00215867">
        <w:rPr>
          <w:rFonts w:ascii="Times New Roman" w:hAnsi="Times New Roman"/>
          <w:color w:val="000000"/>
          <w:sz w:val="24"/>
          <w:szCs w:val="24"/>
          <w:lang w:val="fr-CD"/>
        </w:rPr>
        <w:t>réseaux aériens moyenne-tension (MT) en conducteurs nus à 4 fils</w:t>
      </w:r>
    </w:p>
    <w:p w14:paraId="14E9684F"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rPr>
          <w:rFonts w:ascii="Times New Roman" w:hAnsi="Times New Roman"/>
          <w:color w:val="000000"/>
          <w:sz w:val="24"/>
          <w:szCs w:val="24"/>
          <w:lang w:val="fr-CD"/>
        </w:rPr>
      </w:pPr>
      <w:r w:rsidRPr="00215867">
        <w:rPr>
          <w:rFonts w:ascii="Times New Roman" w:hAnsi="Times New Roman"/>
          <w:color w:val="000000"/>
          <w:sz w:val="24"/>
          <w:szCs w:val="24"/>
          <w:lang w:val="fr-CD"/>
        </w:rPr>
        <w:t>réseaux BT.</w:t>
      </w:r>
    </w:p>
    <w:p w14:paraId="5953509A" w14:textId="77777777" w:rsidR="004C12CB" w:rsidRPr="00215867" w:rsidRDefault="004C12CB" w:rsidP="00AE31F1">
      <w:pPr>
        <w:pStyle w:val="Paragraphedeliste"/>
        <w:tabs>
          <w:tab w:val="left" w:pos="567"/>
        </w:tabs>
        <w:autoSpaceDE w:val="0"/>
        <w:autoSpaceDN w:val="0"/>
        <w:adjustRightInd w:val="0"/>
        <w:spacing w:after="120" w:line="240" w:lineRule="auto"/>
        <w:ind w:left="567"/>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Ces travaux nécessiteront l’acquisition de près de  lopins de terre pour l’installation des cabines compactes, en gardant à l’esprit  que chaque cabine est appelée à occupe une surface d’environ 36m</w:t>
      </w:r>
      <w:r w:rsidRPr="00215867">
        <w:rPr>
          <w:rFonts w:ascii="Times New Roman" w:hAnsi="Times New Roman"/>
          <w:color w:val="000000"/>
          <w:sz w:val="24"/>
          <w:szCs w:val="24"/>
          <w:vertAlign w:val="superscript"/>
          <w:lang w:val="fr-CD"/>
        </w:rPr>
        <w:t>2</w:t>
      </w:r>
      <w:r w:rsidRPr="00215867">
        <w:rPr>
          <w:rFonts w:ascii="Times New Roman" w:hAnsi="Times New Roman"/>
          <w:color w:val="000000"/>
          <w:sz w:val="24"/>
          <w:szCs w:val="24"/>
          <w:lang w:val="fr-CD"/>
        </w:rPr>
        <w:t>.</w:t>
      </w:r>
    </w:p>
    <w:p w14:paraId="6C47FCBC" w14:textId="77777777" w:rsidR="004C12CB" w:rsidRPr="00215867" w:rsidRDefault="004C12CB" w:rsidP="004C12CB">
      <w:pPr>
        <w:pStyle w:val="Paragraphedeliste"/>
        <w:numPr>
          <w:ilvl w:val="1"/>
          <w:numId w:val="261"/>
        </w:numPr>
        <w:spacing w:before="120" w:after="120" w:line="276" w:lineRule="auto"/>
        <w:ind w:left="567" w:hanging="567"/>
        <w:contextualSpacing w:val="0"/>
        <w:jc w:val="both"/>
        <w:rPr>
          <w:rFonts w:ascii="Times New Roman" w:hAnsi="Times New Roman"/>
          <w:b/>
          <w:sz w:val="24"/>
          <w:szCs w:val="24"/>
          <w:lang w:val="fr-CD"/>
        </w:rPr>
      </w:pPr>
      <w:bookmarkStart w:id="1182" w:name="_Toc4785105"/>
      <w:r w:rsidRPr="00215867">
        <w:rPr>
          <w:rFonts w:ascii="Times New Roman" w:hAnsi="Times New Roman"/>
          <w:b/>
          <w:sz w:val="24"/>
          <w:szCs w:val="24"/>
          <w:lang w:val="fr-CD"/>
        </w:rPr>
        <w:t>Montage des lignes MT</w:t>
      </w:r>
      <w:bookmarkEnd w:id="1182"/>
    </w:p>
    <w:p w14:paraId="20B79B81" w14:textId="77777777" w:rsidR="004C12CB" w:rsidRPr="00215867" w:rsidRDefault="004C12CB" w:rsidP="004C12CB">
      <w:pPr>
        <w:tabs>
          <w:tab w:val="left" w:pos="567"/>
        </w:tabs>
        <w:autoSpaceDE w:val="0"/>
        <w:autoSpaceDN w:val="0"/>
        <w:adjustRightInd w:val="0"/>
        <w:spacing w:after="120"/>
        <w:ind w:left="567"/>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montage des lignes MT se fait en trois grandes étapes :</w:t>
      </w:r>
    </w:p>
    <w:p w14:paraId="3ED56A39" w14:textId="77777777" w:rsidR="004C12CB" w:rsidRPr="00215867"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la réalisation des fondations pour les supports (Poteaux).</w:t>
      </w:r>
    </w:p>
    <w:p w14:paraId="1C58D5B1" w14:textId="77777777" w:rsidR="004C12CB" w:rsidRPr="00215867"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le levage des supports, approvisionnés en plusieurs éléments, à l'aide d'une grue.</w:t>
      </w:r>
    </w:p>
    <w:p w14:paraId="170A97A2" w14:textId="77777777" w:rsidR="004C12CB"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la pose des accessoires et le déroulage (Tirage) des câbles.</w:t>
      </w:r>
    </w:p>
    <w:p w14:paraId="61F62ED4" w14:textId="77777777" w:rsidR="0075784E" w:rsidRDefault="0075784E" w:rsidP="0075784E">
      <w:pPr>
        <w:autoSpaceDE w:val="0"/>
        <w:autoSpaceDN w:val="0"/>
        <w:adjustRightInd w:val="0"/>
        <w:spacing w:after="0" w:line="276" w:lineRule="auto"/>
        <w:rPr>
          <w:rFonts w:ascii="Times New Roman" w:hAnsi="Times New Roman"/>
          <w:color w:val="000000"/>
          <w:sz w:val="24"/>
          <w:szCs w:val="24"/>
          <w:lang w:val="fr-CD"/>
        </w:rPr>
      </w:pPr>
    </w:p>
    <w:p w14:paraId="45C7A922" w14:textId="77777777" w:rsidR="0075784E" w:rsidRPr="0075784E" w:rsidRDefault="0075784E" w:rsidP="0075784E">
      <w:pPr>
        <w:autoSpaceDE w:val="0"/>
        <w:autoSpaceDN w:val="0"/>
        <w:adjustRightInd w:val="0"/>
        <w:spacing w:after="0" w:line="276" w:lineRule="auto"/>
        <w:rPr>
          <w:rFonts w:ascii="Times New Roman" w:hAnsi="Times New Roman"/>
          <w:color w:val="000000"/>
          <w:sz w:val="24"/>
          <w:szCs w:val="24"/>
          <w:lang w:val="fr-CD"/>
        </w:rPr>
      </w:pPr>
    </w:p>
    <w:p w14:paraId="0C67DB66" w14:textId="77777777" w:rsidR="004C12CB" w:rsidRPr="00215867" w:rsidRDefault="004C12CB" w:rsidP="004C12CB">
      <w:pPr>
        <w:pStyle w:val="Paragraphedeliste"/>
        <w:numPr>
          <w:ilvl w:val="2"/>
          <w:numId w:val="277"/>
        </w:numPr>
        <w:spacing w:before="120" w:after="120" w:line="276" w:lineRule="auto"/>
        <w:ind w:left="1077" w:hanging="793"/>
        <w:contextualSpacing w:val="0"/>
        <w:jc w:val="both"/>
        <w:rPr>
          <w:rFonts w:ascii="Times New Roman" w:hAnsi="Times New Roman"/>
          <w:i/>
          <w:iCs/>
          <w:color w:val="000000"/>
          <w:sz w:val="24"/>
          <w:szCs w:val="24"/>
          <w:lang w:val="fr-CD"/>
        </w:rPr>
      </w:pPr>
      <w:r w:rsidRPr="00215867">
        <w:rPr>
          <w:rFonts w:ascii="Times New Roman" w:hAnsi="Times New Roman"/>
          <w:i/>
          <w:iCs/>
          <w:color w:val="000000"/>
          <w:sz w:val="24"/>
          <w:szCs w:val="24"/>
          <w:lang w:val="fr-CD"/>
        </w:rPr>
        <w:t>Description des travaux de montage des lignes MT</w:t>
      </w:r>
    </w:p>
    <w:p w14:paraId="07589EB7" w14:textId="77777777" w:rsidR="004C12CB" w:rsidRPr="00215867" w:rsidRDefault="004C12CB" w:rsidP="004C12CB">
      <w:pPr>
        <w:autoSpaceDE w:val="0"/>
        <w:autoSpaceDN w:val="0"/>
        <w:spacing w:before="120" w:after="120"/>
        <w:ind w:left="992"/>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Les travaux comprennent principalement :</w:t>
      </w:r>
    </w:p>
    <w:p w14:paraId="6DCD90F8"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rPr>
          <w:rFonts w:ascii="Times New Roman" w:hAnsi="Times New Roman"/>
          <w:color w:val="000000"/>
          <w:sz w:val="24"/>
          <w:szCs w:val="24"/>
          <w:lang w:val="fr-CD"/>
        </w:rPr>
      </w:pPr>
      <w:r w:rsidRPr="00215867">
        <w:rPr>
          <w:rFonts w:ascii="Times New Roman" w:hAnsi="Times New Roman"/>
          <w:color w:val="000000"/>
          <w:sz w:val="24"/>
          <w:szCs w:val="24"/>
          <w:lang w:val="fr-CD"/>
        </w:rPr>
        <w:t>le piquetage de la ligne ;</w:t>
      </w:r>
    </w:p>
    <w:p w14:paraId="023F66AB"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rPr>
          <w:rFonts w:ascii="Times New Roman" w:hAnsi="Times New Roman"/>
          <w:color w:val="000000"/>
          <w:sz w:val="24"/>
          <w:szCs w:val="24"/>
          <w:lang w:val="fr-CD"/>
        </w:rPr>
      </w:pPr>
      <w:r w:rsidRPr="00215867">
        <w:rPr>
          <w:rFonts w:ascii="Times New Roman" w:hAnsi="Times New Roman"/>
          <w:color w:val="000000"/>
          <w:sz w:val="24"/>
          <w:szCs w:val="24"/>
          <w:lang w:val="fr-CD"/>
        </w:rPr>
        <w:t>le nettoyage des surfaces,  l’élagage ou la coupe d’arbres pour la libération de l’emprise</w:t>
      </w:r>
    </w:p>
    <w:p w14:paraId="5552693D"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déboisement et le débroussaillage pour les lignes en dehors des agglomérations ;</w:t>
      </w:r>
    </w:p>
    <w:p w14:paraId="559C2F10"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rPr>
          <w:rFonts w:ascii="Times New Roman" w:hAnsi="Times New Roman"/>
          <w:color w:val="000000"/>
          <w:sz w:val="24"/>
          <w:szCs w:val="24"/>
          <w:lang w:val="fr-CD"/>
        </w:rPr>
      </w:pPr>
      <w:r w:rsidRPr="00215867">
        <w:rPr>
          <w:rFonts w:ascii="Times New Roman" w:hAnsi="Times New Roman"/>
          <w:color w:val="000000"/>
          <w:sz w:val="24"/>
          <w:szCs w:val="24"/>
          <w:lang w:val="fr-CD"/>
        </w:rPr>
        <w:t>la préparation des accès et leur entretien ;</w:t>
      </w:r>
    </w:p>
    <w:p w14:paraId="63C66ADA"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rPr>
          <w:rFonts w:ascii="Times New Roman" w:hAnsi="Times New Roman"/>
          <w:color w:val="000000"/>
          <w:sz w:val="24"/>
          <w:szCs w:val="24"/>
          <w:lang w:val="fr-CD"/>
        </w:rPr>
      </w:pPr>
      <w:r w:rsidRPr="00215867">
        <w:rPr>
          <w:rFonts w:ascii="Times New Roman" w:hAnsi="Times New Roman"/>
          <w:color w:val="000000"/>
          <w:sz w:val="24"/>
          <w:szCs w:val="24"/>
          <w:lang w:val="fr-CD"/>
        </w:rPr>
        <w:t>les essais de sol éventuels ;</w:t>
      </w:r>
    </w:p>
    <w:p w14:paraId="4DFE1891"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l’excavation des sols ou le creusage des trous qui accueillera la fondation stabilisant le poteau métallique </w:t>
      </w:r>
    </w:p>
    <w:p w14:paraId="280157AE"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 réalisation complète des fondations ;</w:t>
      </w:r>
    </w:p>
    <w:p w14:paraId="568D825B"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levage du poteau métallique à l’aide d’une grue et son ancrage dans le trou</w:t>
      </w:r>
    </w:p>
    <w:p w14:paraId="0DCEB63A"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déroulage, tirage, réglage et mise sur pinces des câbles : le déroulage consiste à tirer les câbles d’un poteau métallique à l’autre. Le déroulage se fait à l’aide d’un poste tracteur, équipé d’un treuil de déroulage et d’une freineuse.</w:t>
      </w:r>
    </w:p>
    <w:p w14:paraId="4E318864"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 réalisation complète des mises à la terre et la mesure des résistances de terre des supports. La mise à la terre permet de protéger la ligne et le support contre la foudre. Les travaux mineurs d’excavations et de remblayage sont réalisés pour assurer la mise à la terre de la ligne pour le réseau MALT et des supports métalliques pour le réseau conventionnel</w:t>
      </w:r>
    </w:p>
    <w:p w14:paraId="5D4A3C71"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nettoyage du chantier. Cette activité va consister à enlever tous les débris et les déchets et le démantèlement des installations provisoires.</w:t>
      </w:r>
    </w:p>
    <w:p w14:paraId="03FDAC45"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les différents essais et mesures après achèvement de la ligne et lors de l'inspection finale;</w:t>
      </w:r>
    </w:p>
    <w:p w14:paraId="35C69827" w14:textId="77777777" w:rsidR="004C12CB" w:rsidRPr="00215867" w:rsidRDefault="004C12CB" w:rsidP="004C12CB">
      <w:pPr>
        <w:pStyle w:val="Paragraphedeliste"/>
        <w:numPr>
          <w:ilvl w:val="0"/>
          <w:numId w:val="271"/>
        </w:numPr>
        <w:autoSpaceDE w:val="0"/>
        <w:autoSpaceDN w:val="0"/>
        <w:adjustRightInd w:val="0"/>
        <w:spacing w:after="0" w:line="276" w:lineRule="auto"/>
        <w:ind w:left="1418" w:hanging="425"/>
        <w:rPr>
          <w:rFonts w:ascii="Times New Roman" w:hAnsi="Times New Roman"/>
          <w:color w:val="000000"/>
          <w:sz w:val="24"/>
          <w:szCs w:val="24"/>
          <w:lang w:val="fr-CD"/>
        </w:rPr>
      </w:pPr>
      <w:r w:rsidRPr="00215867">
        <w:rPr>
          <w:rFonts w:ascii="Times New Roman" w:hAnsi="Times New Roman"/>
          <w:color w:val="000000"/>
          <w:sz w:val="24"/>
          <w:szCs w:val="24"/>
          <w:lang w:val="fr-CD"/>
        </w:rPr>
        <w:t>la mise en service de la ligne.</w:t>
      </w:r>
    </w:p>
    <w:p w14:paraId="1EC7D5C7" w14:textId="77777777" w:rsidR="004C12CB" w:rsidRPr="00215867" w:rsidRDefault="004C12CB" w:rsidP="004C12CB">
      <w:pPr>
        <w:pStyle w:val="Paragraphedeliste"/>
        <w:numPr>
          <w:ilvl w:val="2"/>
          <w:numId w:val="277"/>
        </w:numPr>
        <w:spacing w:before="120" w:after="120" w:line="276" w:lineRule="auto"/>
        <w:ind w:left="993"/>
        <w:contextualSpacing w:val="0"/>
        <w:jc w:val="both"/>
        <w:rPr>
          <w:rFonts w:ascii="Times New Roman" w:hAnsi="Times New Roman"/>
          <w:i/>
          <w:iCs/>
          <w:color w:val="000000"/>
          <w:sz w:val="24"/>
          <w:szCs w:val="24"/>
          <w:lang w:val="fr-CD"/>
        </w:rPr>
      </w:pPr>
      <w:r w:rsidRPr="00215867">
        <w:rPr>
          <w:rFonts w:ascii="Times New Roman" w:hAnsi="Times New Roman"/>
          <w:i/>
          <w:iCs/>
          <w:color w:val="000000"/>
          <w:sz w:val="24"/>
          <w:szCs w:val="24"/>
          <w:lang w:val="fr-CD"/>
        </w:rPr>
        <w:t>Caractéristiques générales du réseau MT</w:t>
      </w:r>
    </w:p>
    <w:p w14:paraId="73610350" w14:textId="77777777" w:rsidR="004C12CB" w:rsidRPr="00215867" w:rsidRDefault="004C12CB" w:rsidP="004C12CB">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 réseau à construire pour l'alimentation des poches noires sera aérien sur supports métalliques à partir du :</w:t>
      </w:r>
    </w:p>
    <w:p w14:paraId="6BC913F6" w14:textId="77777777" w:rsidR="004C12CB" w:rsidRPr="00215867" w:rsidRDefault="004C12CB" w:rsidP="004C12CB">
      <w:pPr>
        <w:numPr>
          <w:ilvl w:val="0"/>
          <w:numId w:val="278"/>
        </w:numPr>
        <w:spacing w:after="0" w:line="240" w:lineRule="auto"/>
        <w:ind w:left="1418" w:hanging="284"/>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nouveau poste 132/20 kV de MITENDI pour le réseau MALT </w:t>
      </w:r>
    </w:p>
    <w:p w14:paraId="1C0FC6F8" w14:textId="77777777" w:rsidR="004C12CB" w:rsidRPr="00215867" w:rsidRDefault="004C12CB" w:rsidP="004C12CB">
      <w:pPr>
        <w:numPr>
          <w:ilvl w:val="0"/>
          <w:numId w:val="278"/>
        </w:numPr>
        <w:spacing w:after="120" w:line="240" w:lineRule="auto"/>
        <w:ind w:left="1418" w:hanging="284"/>
        <w:jc w:val="both"/>
        <w:rPr>
          <w:rFonts w:ascii="Times New Roman" w:hAnsi="Times New Roman"/>
          <w:sz w:val="24"/>
          <w:szCs w:val="24"/>
          <w:lang w:val="fr-CD" w:eastAsia="bs-Latn-BA"/>
        </w:rPr>
      </w:pPr>
      <w:r w:rsidRPr="00215867">
        <w:rPr>
          <w:rFonts w:ascii="Times New Roman" w:hAnsi="Times New Roman"/>
          <w:sz w:val="24"/>
          <w:szCs w:val="24"/>
          <w:lang w:val="fr-CD" w:eastAsia="bs-Latn-BA"/>
        </w:rPr>
        <w:t>des sous-stations : Dévinière, Kinsuka, CDA, Ndolo, UPN et Badiadingi pour le réseau conventionnel.</w:t>
      </w:r>
    </w:p>
    <w:p w14:paraId="2450E2A6"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Il sera conçu et réalisé pour permettre l'alimentation des lignes de type MALT (lignes triphasées avec neutre mis à la terre et distribué).</w:t>
      </w:r>
    </w:p>
    <w:p w14:paraId="4E13C9E1"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Les transformateurs 20/0.4 kV seront du type accroché aux poteaux et pour des puissances ne dépassant pas 300 kVA. </w:t>
      </w:r>
    </w:p>
    <w:p w14:paraId="683492D4"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La tension de service moyenne tension sera le 20 kV. </w:t>
      </w:r>
    </w:p>
    <w:p w14:paraId="43F1C3E7"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Les feeders MT seront protégés par des disjoncteurs avec des relais à temps inverse et les dérivations seront protégées par des sectionneurs fusibles à expulsion.</w:t>
      </w:r>
    </w:p>
    <w:p w14:paraId="2CF55C8C" w14:textId="77777777" w:rsidR="004C12CB" w:rsidRPr="00215867" w:rsidRDefault="004C12CB" w:rsidP="004C12CB">
      <w:pPr>
        <w:pStyle w:val="Paragraphedeliste"/>
        <w:numPr>
          <w:ilvl w:val="0"/>
          <w:numId w:val="279"/>
        </w:numPr>
        <w:spacing w:before="120" w:after="120" w:line="276" w:lineRule="auto"/>
        <w:ind w:left="1560"/>
        <w:jc w:val="both"/>
        <w:rPr>
          <w:rFonts w:ascii="Times New Roman" w:hAnsi="Times New Roman"/>
          <w:sz w:val="24"/>
          <w:szCs w:val="24"/>
          <w:lang w:val="fr-CD" w:eastAsia="bs-Latn-BA"/>
        </w:rPr>
      </w:pPr>
      <w:r w:rsidRPr="00215867">
        <w:rPr>
          <w:rFonts w:ascii="Times New Roman" w:hAnsi="Times New Roman"/>
          <w:b/>
          <w:sz w:val="24"/>
          <w:szCs w:val="24"/>
          <w:lang w:val="fr-CD" w:eastAsia="bs-Latn-BA"/>
        </w:rPr>
        <w:t>Les lignes seront</w:t>
      </w:r>
      <w:r w:rsidRPr="00215867">
        <w:rPr>
          <w:rFonts w:ascii="Times New Roman" w:hAnsi="Times New Roman"/>
          <w:sz w:val="24"/>
          <w:szCs w:val="24"/>
          <w:lang w:val="fr-CD" w:eastAsia="bs-Latn-BA"/>
        </w:rPr>
        <w:t xml:space="preserve"> : </w:t>
      </w:r>
    </w:p>
    <w:p w14:paraId="5BEC225A" w14:textId="77777777" w:rsidR="004C12CB" w:rsidRPr="00215867" w:rsidRDefault="004C12CB" w:rsidP="004C12CB">
      <w:pPr>
        <w:numPr>
          <w:ilvl w:val="0"/>
          <w:numId w:val="278"/>
        </w:numPr>
        <w:spacing w:before="120" w:after="120" w:line="240" w:lineRule="auto"/>
        <w:ind w:left="1560"/>
        <w:contextualSpacing/>
        <w:jc w:val="both"/>
        <w:rPr>
          <w:rFonts w:ascii="Times New Roman" w:hAnsi="Times New Roman"/>
          <w:sz w:val="24"/>
          <w:szCs w:val="24"/>
          <w:lang w:val="fr-CD" w:eastAsia="bs-Latn-BA"/>
        </w:rPr>
      </w:pPr>
      <w:r w:rsidRPr="00215867">
        <w:rPr>
          <w:rFonts w:ascii="Times New Roman" w:hAnsi="Times New Roman"/>
          <w:sz w:val="24"/>
          <w:szCs w:val="24"/>
          <w:lang w:val="fr-CD" w:eastAsia="bs-Latn-BA"/>
        </w:rPr>
        <w:t>Triphasées avec trois conducteurs de phases et un conducteur de neutre, ou</w:t>
      </w:r>
    </w:p>
    <w:p w14:paraId="0CEEB914" w14:textId="77777777" w:rsidR="004C12CB" w:rsidRPr="00215867" w:rsidRDefault="004C12CB" w:rsidP="004C12CB">
      <w:pPr>
        <w:numPr>
          <w:ilvl w:val="0"/>
          <w:numId w:val="278"/>
        </w:numPr>
        <w:spacing w:before="120" w:after="120" w:line="240" w:lineRule="auto"/>
        <w:ind w:left="1560"/>
        <w:jc w:val="both"/>
        <w:rPr>
          <w:rFonts w:ascii="Times New Roman" w:hAnsi="Times New Roman"/>
          <w:sz w:val="24"/>
          <w:szCs w:val="24"/>
          <w:lang w:val="fr-CD" w:eastAsia="bs-Latn-BA"/>
        </w:rPr>
      </w:pPr>
      <w:r w:rsidRPr="00215867">
        <w:rPr>
          <w:rFonts w:ascii="Times New Roman" w:hAnsi="Times New Roman"/>
          <w:sz w:val="24"/>
          <w:szCs w:val="24"/>
          <w:lang w:val="fr-CD" w:eastAsia="bs-Latn-BA"/>
        </w:rPr>
        <w:t>Monophasées avec un conducteur de phase et un conducteur de neutre.</w:t>
      </w:r>
    </w:p>
    <w:p w14:paraId="3D3EFAB3"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Les supports seront du type métallique galvanisés à chaud à section polygonale à 8 pans ou 12 pans ou circulaire, les hauteurs et les efforts ramenés à la tête du support seront choisis en fonction des calculs des efforts subis dans les conditions les plus défavorables et des contraintes de dégagement des conducteurs par rapport aux obstacles.</w:t>
      </w:r>
    </w:p>
    <w:p w14:paraId="342474FA"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Chaque dérivation triphasée ou monophasée à partir de la ligne principale sera protégée respectivement par trois ou un sectionneur(s)-fusible(s) à expulsion. </w:t>
      </w:r>
    </w:p>
    <w:p w14:paraId="75A86D63"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En alignement, les armements seront constitués d'isolateurs composites jouant le rôle de bras et d'isolateur ("Composite Horizontal line post Insulator" 20 kV). Les arrêts et les angles seront réalisés avec des herses, des isolateurs composites d’ancrage et un élément isolateur de passage, respectant les spécifications techniques précisées ci-dessous.</w:t>
      </w:r>
    </w:p>
    <w:p w14:paraId="5979759C"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Parmi ces lignes, certaines seront des lignes mixtes MT/BT. Les tracés des lignes respecteront la configuration de l'urbanisme et les limites des propriétés.</w:t>
      </w:r>
    </w:p>
    <w:p w14:paraId="23A1CB3F"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Les traversées de routes nationales, de marécages et de rivières, se feront en respectant les hauteurs de garde mentionnées préalablement.</w:t>
      </w:r>
    </w:p>
    <w:p w14:paraId="10FF071B"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Les lignes évitent au maximum le surplomb des routes nationales, sauf dans le cas de traversées obligatoires. </w:t>
      </w:r>
    </w:p>
    <w:p w14:paraId="22C05AC5"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Chaque support aura un massif bétonné aux dimensions requises. </w:t>
      </w:r>
    </w:p>
    <w:p w14:paraId="486707BD" w14:textId="77777777" w:rsidR="004C12CB" w:rsidRPr="00215867" w:rsidRDefault="004C12CB" w:rsidP="004C12CB">
      <w:pPr>
        <w:pStyle w:val="Paragraphedeliste"/>
        <w:numPr>
          <w:ilvl w:val="0"/>
          <w:numId w:val="279"/>
        </w:numPr>
        <w:spacing w:before="120" w:after="120" w:line="276" w:lineRule="auto"/>
        <w:ind w:left="1560"/>
        <w:jc w:val="both"/>
        <w:rPr>
          <w:rFonts w:ascii="Times New Roman" w:hAnsi="Times New Roman"/>
          <w:b/>
          <w:bCs/>
          <w:iCs/>
          <w:color w:val="000000"/>
          <w:sz w:val="24"/>
          <w:szCs w:val="24"/>
          <w:lang w:val="fr-CD" w:eastAsia="bs-Latn-BA"/>
        </w:rPr>
      </w:pPr>
      <w:r w:rsidRPr="00215867">
        <w:rPr>
          <w:rFonts w:ascii="Times New Roman" w:hAnsi="Times New Roman"/>
          <w:b/>
          <w:sz w:val="24"/>
          <w:szCs w:val="24"/>
          <w:lang w:val="fr-CD" w:eastAsia="bs-Latn-BA"/>
        </w:rPr>
        <w:t>Feeders</w:t>
      </w:r>
      <w:r w:rsidRPr="00215867">
        <w:rPr>
          <w:rFonts w:ascii="Times New Roman" w:hAnsi="Times New Roman"/>
          <w:b/>
          <w:bCs/>
          <w:iCs/>
          <w:color w:val="000000"/>
          <w:sz w:val="24"/>
          <w:szCs w:val="24"/>
          <w:lang w:val="fr-CD" w:eastAsia="bs-Latn-BA"/>
        </w:rPr>
        <w:t xml:space="preserve"> MT MALT</w:t>
      </w:r>
    </w:p>
    <w:p w14:paraId="33A0C523"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 conducteur du neutre moyenne tension sera mis à la terre au moins toutes les deux portées ou au maximum tous les trois cents mètres </w:t>
      </w:r>
    </w:p>
    <w:p w14:paraId="39B7A3A3"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 réseau MT MALT sera composé de deux feeders MT.</w:t>
      </w:r>
    </w:p>
    <w:p w14:paraId="550D6879"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Ces feeders MT seront constitués d'une ossature principale triphasée avec le neutre distribué le long de la ligne et des dérivations à quatre conducteurs (triphasées) pour les usages qui nécessitent du triphasé ou des dérivations à deux conducteurs pour le monophasé. </w:t>
      </w:r>
    </w:p>
    <w:p w14:paraId="7E6DD600"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Les dérivations importantes seront protégées par des disjoncteurs extérieurs en haut de poteaux ("Recloosers") et celles monophasées par des sectionneurs fusibles. </w:t>
      </w:r>
    </w:p>
    <w:p w14:paraId="56B7BB5B"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Les ossatures principales seront réalisées en ligne aérienne 20 kV sur des supports métalliques de 12 mètres. Les conducteurs seront en Almélec avec une section de 148 mm² pour les conducteurs de phase et de 54.6 mm² Almélec pour le conducteur neutre.</w:t>
      </w:r>
    </w:p>
    <w:p w14:paraId="619B678D"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Les dérivations monophasées seront sur supports métalliques de 10 mètres, le conducteur de phase et celui du neutre seront en 54.6 mm² Almélec. </w:t>
      </w:r>
    </w:p>
    <w:p w14:paraId="21E06FBB"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Pour l'isolement des conducteurs de phase, des chaines de deux éléments d’isolateurs suspendus seront installées sur des poteaux d’alignement et de trois éléments d’isolateurs pour les ancrages ; et un isolateur BT de type A22 sera utilisé pour le neutre en alignement ou un élément de chaine pour l'ancrage du neutre.</w:t>
      </w:r>
    </w:p>
    <w:p w14:paraId="3A2B14CD" w14:textId="77777777" w:rsidR="004C12CB" w:rsidRPr="00215867" w:rsidRDefault="004C12CB" w:rsidP="00AE31F1">
      <w:pPr>
        <w:spacing w:after="120"/>
        <w:ind w:left="993"/>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Chaque support métallique sera mis à la terre et une descente de mise à la terre du neutre sera raccordée à la mise à la terre du support. </w:t>
      </w:r>
    </w:p>
    <w:p w14:paraId="21C9DB56" w14:textId="77777777" w:rsidR="004C12CB" w:rsidRPr="00215867" w:rsidRDefault="004C12CB" w:rsidP="004C12CB">
      <w:pPr>
        <w:pStyle w:val="Paragraphedeliste"/>
        <w:numPr>
          <w:ilvl w:val="0"/>
          <w:numId w:val="279"/>
        </w:numPr>
        <w:spacing w:before="120" w:after="120" w:line="276" w:lineRule="auto"/>
        <w:ind w:left="1560"/>
        <w:jc w:val="both"/>
        <w:rPr>
          <w:rFonts w:ascii="Times New Roman" w:hAnsi="Times New Roman"/>
          <w:b/>
          <w:bCs/>
          <w:iCs/>
          <w:color w:val="000000"/>
          <w:sz w:val="24"/>
          <w:szCs w:val="24"/>
          <w:lang w:val="fr-CD" w:eastAsia="bs-Latn-BA"/>
        </w:rPr>
      </w:pPr>
      <w:r w:rsidRPr="00215867">
        <w:rPr>
          <w:rFonts w:ascii="Times New Roman" w:hAnsi="Times New Roman"/>
          <w:b/>
          <w:sz w:val="24"/>
          <w:szCs w:val="24"/>
          <w:lang w:val="fr-CD" w:eastAsia="bs-Latn-BA"/>
        </w:rPr>
        <w:t>Cabines</w:t>
      </w:r>
      <w:r w:rsidRPr="00215867">
        <w:rPr>
          <w:rFonts w:ascii="Times New Roman" w:hAnsi="Times New Roman"/>
          <w:b/>
          <w:bCs/>
          <w:iCs/>
          <w:color w:val="000000"/>
          <w:sz w:val="24"/>
          <w:szCs w:val="24"/>
          <w:lang w:val="fr-CD" w:eastAsia="bs-Latn-BA"/>
        </w:rPr>
        <w:t xml:space="preserve"> MT/BT </w:t>
      </w:r>
    </w:p>
    <w:p w14:paraId="57F02412" w14:textId="77777777" w:rsidR="004C12CB" w:rsidRPr="00215867" w:rsidRDefault="004C12CB" w:rsidP="004C12CB">
      <w:pPr>
        <w:ind w:left="1134"/>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Les cabines à réaliser seront soit monophasées, accrochées aux supports et protégées par des parafoudres et sectionneurs fusibles, soit triphasées, accrochées aux supports   et protégées par des parafoudres et sectionneurs fusibles</w:t>
      </w:r>
    </w:p>
    <w:p w14:paraId="32A4985D" w14:textId="77777777" w:rsidR="004C12CB" w:rsidRPr="00215867" w:rsidRDefault="004C12CB" w:rsidP="004C12CB">
      <w:pPr>
        <w:ind w:left="1134"/>
        <w:jc w:val="both"/>
        <w:rPr>
          <w:rFonts w:ascii="Times New Roman" w:hAnsi="Times New Roman"/>
          <w:sz w:val="24"/>
          <w:szCs w:val="24"/>
          <w:lang w:val="fr-CD" w:eastAsia="bs-Latn-BA"/>
        </w:rPr>
      </w:pPr>
      <w:r w:rsidRPr="00215867">
        <w:rPr>
          <w:rFonts w:ascii="Times New Roman" w:hAnsi="Times New Roman"/>
          <w:sz w:val="24"/>
          <w:szCs w:val="24"/>
          <w:lang w:val="fr-CD" w:eastAsia="bs-Latn-BA"/>
        </w:rPr>
        <w:t xml:space="preserve">Le disjoncteur haut de poteau assurera la liaison avec le réseau BT. </w:t>
      </w:r>
    </w:p>
    <w:p w14:paraId="6F75E8BF" w14:textId="77777777" w:rsidR="004C12CB" w:rsidRPr="00215867" w:rsidRDefault="004C12CB" w:rsidP="004C12CB">
      <w:pPr>
        <w:ind w:left="1134"/>
        <w:jc w:val="both"/>
        <w:rPr>
          <w:rFonts w:ascii="Times New Roman" w:hAnsi="Times New Roman"/>
          <w:sz w:val="24"/>
          <w:szCs w:val="24"/>
          <w:lang w:val="fr-CD" w:eastAsia="bs-Latn-BA"/>
        </w:rPr>
      </w:pPr>
      <w:r w:rsidRPr="00215867">
        <w:rPr>
          <w:rFonts w:ascii="Times New Roman" w:hAnsi="Times New Roman"/>
          <w:sz w:val="24"/>
          <w:szCs w:val="24"/>
          <w:lang w:val="fr-CD" w:eastAsia="bs-Latn-BA"/>
        </w:rPr>
        <w:t>Le neutre et les masses métalliques seront mis à la terre séparément et auront une résistance de terre inférieure ou égale à 5 ohms.</w:t>
      </w:r>
    </w:p>
    <w:p w14:paraId="196ED3BC" w14:textId="77777777" w:rsidR="004C12CB" w:rsidRPr="00215867" w:rsidRDefault="004C12CB" w:rsidP="004C12CB">
      <w:pPr>
        <w:spacing w:before="120" w:after="120"/>
        <w:ind w:left="1134"/>
        <w:jc w:val="both"/>
        <w:rPr>
          <w:rFonts w:ascii="Times New Roman" w:hAnsi="Times New Roman"/>
          <w:sz w:val="24"/>
          <w:szCs w:val="24"/>
          <w:lang w:val="fr-CD" w:eastAsia="de-DE"/>
        </w:rPr>
      </w:pPr>
      <w:r w:rsidRPr="00215867">
        <w:rPr>
          <w:rFonts w:ascii="Times New Roman" w:hAnsi="Times New Roman"/>
          <w:sz w:val="24"/>
          <w:szCs w:val="24"/>
          <w:lang w:val="fr-CD" w:eastAsia="bs-Latn-BA"/>
        </w:rPr>
        <w:t>Les cabines MT/BT comprendront les é</w:t>
      </w:r>
      <w:r w:rsidRPr="00215867">
        <w:rPr>
          <w:rFonts w:ascii="Times New Roman" w:hAnsi="Times New Roman"/>
          <w:sz w:val="24"/>
          <w:szCs w:val="24"/>
          <w:lang w:val="fr-CD" w:eastAsia="de-DE"/>
        </w:rPr>
        <w:t xml:space="preserve">quipements principaux suivants :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19"/>
      </w:tblGrid>
      <w:tr w:rsidR="004C12CB" w:rsidRPr="00420C1B" w14:paraId="62488799" w14:textId="77777777" w:rsidTr="0075784E">
        <w:tc>
          <w:tcPr>
            <w:tcW w:w="1843" w:type="dxa"/>
            <w:shd w:val="clear" w:color="auto" w:fill="auto"/>
          </w:tcPr>
          <w:p w14:paraId="4BBD9FF3" w14:textId="77777777" w:rsidR="004C12CB" w:rsidRPr="00215867" w:rsidRDefault="004C12CB" w:rsidP="00D8391C">
            <w:pPr>
              <w:pStyle w:val="Normal0"/>
              <w:rPr>
                <w:rFonts w:ascii="Times New Roman" w:hAnsi="Times New Roman"/>
                <w:szCs w:val="24"/>
                <w:lang w:eastAsia="de-DE"/>
              </w:rPr>
            </w:pPr>
            <w:r w:rsidRPr="00215867">
              <w:rPr>
                <w:rFonts w:ascii="Times New Roman" w:hAnsi="Times New Roman"/>
                <w:szCs w:val="24"/>
                <w:lang w:eastAsia="de-DE"/>
              </w:rPr>
              <w:t>Transformateurs</w:t>
            </w:r>
          </w:p>
        </w:tc>
        <w:tc>
          <w:tcPr>
            <w:tcW w:w="6519" w:type="dxa"/>
            <w:shd w:val="clear" w:color="auto" w:fill="auto"/>
          </w:tcPr>
          <w:p w14:paraId="44AE0026" w14:textId="77777777" w:rsidR="004C12CB" w:rsidRPr="00215867" w:rsidRDefault="004C12CB" w:rsidP="00D8391C">
            <w:pPr>
              <w:pStyle w:val="Normal0"/>
              <w:rPr>
                <w:rFonts w:ascii="Times New Roman" w:hAnsi="Times New Roman"/>
                <w:szCs w:val="24"/>
                <w:lang w:eastAsia="de-DE"/>
              </w:rPr>
            </w:pPr>
            <w:r w:rsidRPr="00215867">
              <w:rPr>
                <w:rFonts w:ascii="Times New Roman" w:hAnsi="Times New Roman"/>
                <w:szCs w:val="24"/>
                <w:lang w:eastAsia="de-DE"/>
              </w:rPr>
              <w:t xml:space="preserve">Caractéristiques </w:t>
            </w:r>
          </w:p>
        </w:tc>
      </w:tr>
      <w:tr w:rsidR="004C12CB" w:rsidRPr="00420C1B" w14:paraId="372D1318" w14:textId="77777777" w:rsidTr="0075784E">
        <w:tc>
          <w:tcPr>
            <w:tcW w:w="1843" w:type="dxa"/>
            <w:shd w:val="clear" w:color="auto" w:fill="auto"/>
            <w:vAlign w:val="center"/>
          </w:tcPr>
          <w:p w14:paraId="1386D19A" w14:textId="77777777" w:rsidR="004C12CB" w:rsidRPr="00215867" w:rsidRDefault="004C12CB" w:rsidP="00D8391C">
            <w:pPr>
              <w:pStyle w:val="Normal0"/>
              <w:rPr>
                <w:rFonts w:ascii="Times New Roman" w:hAnsi="Times New Roman"/>
                <w:szCs w:val="24"/>
                <w:lang w:eastAsia="de-DE"/>
              </w:rPr>
            </w:pPr>
            <w:r w:rsidRPr="00215867">
              <w:rPr>
                <w:rFonts w:ascii="Times New Roman" w:hAnsi="Times New Roman"/>
                <w:szCs w:val="24"/>
                <w:lang w:eastAsia="de-DE"/>
              </w:rPr>
              <w:t>Monophasé</w:t>
            </w:r>
          </w:p>
        </w:tc>
        <w:tc>
          <w:tcPr>
            <w:tcW w:w="6519" w:type="dxa"/>
            <w:shd w:val="clear" w:color="auto" w:fill="auto"/>
          </w:tcPr>
          <w:p w14:paraId="3623AC54"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un transformateur monophasé de puissance: 1x25, 1x50, 1x75 1x100 kVA ou  1x150 kVA</w:t>
            </w:r>
          </w:p>
          <w:p w14:paraId="1196F2E0"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 xml:space="preserve">un sectionneur fusible </w:t>
            </w:r>
          </w:p>
          <w:p w14:paraId="66F0457A"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 xml:space="preserve">un parafoudre </w:t>
            </w:r>
          </w:p>
          <w:p w14:paraId="2AA64BD0"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un disjoncteur BT</w:t>
            </w:r>
          </w:p>
          <w:p w14:paraId="48B73305" w14:textId="77777777" w:rsidR="004C12CB" w:rsidRPr="00215867" w:rsidRDefault="004C12CB" w:rsidP="00D8391C">
            <w:pPr>
              <w:pStyle w:val="Normal0"/>
              <w:rPr>
                <w:rFonts w:ascii="Times New Roman" w:hAnsi="Times New Roman"/>
                <w:bCs/>
                <w:smallCaps/>
                <w:szCs w:val="24"/>
                <w:lang w:val="fr-FR" w:eastAsia="bs-Latn-BA"/>
              </w:rPr>
            </w:pPr>
            <w:r w:rsidRPr="00215867">
              <w:rPr>
                <w:rFonts w:ascii="Times New Roman" w:hAnsi="Times New Roman"/>
                <w:szCs w:val="24"/>
                <w:lang w:val="fr-FR" w:eastAsia="de-DE"/>
              </w:rPr>
              <w:t>Accessoires de raccordement et interconnexion des différentes unités</w:t>
            </w:r>
          </w:p>
        </w:tc>
      </w:tr>
      <w:tr w:rsidR="004C12CB" w:rsidRPr="00420C1B" w14:paraId="77A2701A" w14:textId="77777777" w:rsidTr="0075784E">
        <w:tc>
          <w:tcPr>
            <w:tcW w:w="1843" w:type="dxa"/>
            <w:shd w:val="clear" w:color="auto" w:fill="auto"/>
            <w:vAlign w:val="center"/>
          </w:tcPr>
          <w:p w14:paraId="5742561C" w14:textId="77777777" w:rsidR="004C12CB" w:rsidRPr="00215867" w:rsidRDefault="004C12CB" w:rsidP="00D8391C">
            <w:pPr>
              <w:pStyle w:val="Normal0"/>
              <w:rPr>
                <w:rFonts w:ascii="Times New Roman" w:hAnsi="Times New Roman"/>
                <w:szCs w:val="24"/>
                <w:lang w:eastAsia="de-DE"/>
              </w:rPr>
            </w:pPr>
            <w:r w:rsidRPr="00215867">
              <w:rPr>
                <w:rFonts w:ascii="Times New Roman" w:hAnsi="Times New Roman"/>
                <w:szCs w:val="24"/>
                <w:lang w:eastAsia="de-DE"/>
              </w:rPr>
              <w:t>Poste triphasé aérien</w:t>
            </w:r>
          </w:p>
        </w:tc>
        <w:tc>
          <w:tcPr>
            <w:tcW w:w="6519" w:type="dxa"/>
            <w:shd w:val="clear" w:color="auto" w:fill="auto"/>
          </w:tcPr>
          <w:p w14:paraId="26EE5A92"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 xml:space="preserve">trois transformateurs monophasés de puissance: (3x100 kVA) </w:t>
            </w:r>
          </w:p>
          <w:p w14:paraId="21156A2F"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 xml:space="preserve">trois sectionneurs fusibles </w:t>
            </w:r>
          </w:p>
          <w:p w14:paraId="4D974A11"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 xml:space="preserve">trois parafoudres </w:t>
            </w:r>
          </w:p>
          <w:p w14:paraId="40014278" w14:textId="77777777" w:rsidR="004C12CB" w:rsidRPr="00215867" w:rsidRDefault="004C12CB" w:rsidP="00D8391C">
            <w:pPr>
              <w:pStyle w:val="Normal0"/>
              <w:rPr>
                <w:rFonts w:ascii="Times New Roman" w:hAnsi="Times New Roman"/>
                <w:szCs w:val="24"/>
                <w:lang w:val="fr-FR" w:eastAsia="de-DE"/>
              </w:rPr>
            </w:pPr>
            <w:r w:rsidRPr="00215867">
              <w:rPr>
                <w:rFonts w:ascii="Times New Roman" w:hAnsi="Times New Roman"/>
                <w:szCs w:val="24"/>
                <w:lang w:val="fr-FR" w:eastAsia="de-DE"/>
              </w:rPr>
              <w:t>Un disjoncteur BT</w:t>
            </w:r>
          </w:p>
          <w:p w14:paraId="0B5FDCB3" w14:textId="77777777" w:rsidR="004C12CB" w:rsidRPr="00215867" w:rsidRDefault="004C12CB" w:rsidP="00D8391C">
            <w:pPr>
              <w:pStyle w:val="Normal0"/>
              <w:rPr>
                <w:rFonts w:ascii="Times New Roman" w:hAnsi="Times New Roman"/>
                <w:bCs/>
                <w:smallCaps/>
                <w:szCs w:val="24"/>
                <w:lang w:val="fr-FR" w:eastAsia="bs-Latn-BA"/>
              </w:rPr>
            </w:pPr>
            <w:r w:rsidRPr="00215867">
              <w:rPr>
                <w:rFonts w:ascii="Times New Roman" w:hAnsi="Times New Roman"/>
                <w:szCs w:val="24"/>
                <w:lang w:val="fr-FR" w:eastAsia="de-DE"/>
              </w:rPr>
              <w:t>Accessoires de raccordement et interconnexion des différentes unités</w:t>
            </w:r>
          </w:p>
        </w:tc>
      </w:tr>
    </w:tbl>
    <w:p w14:paraId="2DB394AD" w14:textId="77777777" w:rsidR="004C12CB" w:rsidRPr="000E6816" w:rsidRDefault="004C12CB" w:rsidP="0075784E">
      <w:pPr>
        <w:pStyle w:val="Normal0"/>
        <w:spacing w:before="120" w:after="120"/>
        <w:ind w:left="567"/>
        <w:rPr>
          <w:rFonts w:ascii="Times New Roman" w:hAnsi="Times New Roman"/>
          <w:szCs w:val="24"/>
          <w:lang w:val="fr-FR" w:eastAsia="de-DE"/>
        </w:rPr>
      </w:pPr>
      <w:r w:rsidRPr="003F350A">
        <w:rPr>
          <w:rFonts w:ascii="Times New Roman" w:hAnsi="Times New Roman"/>
          <w:szCs w:val="24"/>
          <w:lang w:val="fr-FR" w:eastAsia="de-DE"/>
        </w:rPr>
        <w:t xml:space="preserve">Les transformateurs seront accrochés aux poteaux avec une ferrure support normalisée pour l'accrochage sur supports métalliques. </w:t>
      </w:r>
    </w:p>
    <w:p w14:paraId="5D5B74CE" w14:textId="77777777" w:rsidR="004C12CB" w:rsidRPr="00215867" w:rsidRDefault="004C12CB" w:rsidP="004C12CB">
      <w:pPr>
        <w:pStyle w:val="Paragraphedeliste"/>
        <w:numPr>
          <w:ilvl w:val="1"/>
          <w:numId w:val="282"/>
        </w:numPr>
        <w:spacing w:before="120" w:after="120" w:line="276" w:lineRule="auto"/>
        <w:ind w:left="1134" w:hanging="567"/>
        <w:contextualSpacing w:val="0"/>
        <w:jc w:val="both"/>
        <w:rPr>
          <w:rFonts w:ascii="Times New Roman" w:hAnsi="Times New Roman"/>
          <w:b/>
          <w:sz w:val="24"/>
          <w:szCs w:val="24"/>
          <w:lang w:val="fr-CD"/>
        </w:rPr>
      </w:pPr>
      <w:r w:rsidRPr="00215867">
        <w:rPr>
          <w:rFonts w:ascii="Times New Roman" w:hAnsi="Times New Roman"/>
          <w:b/>
          <w:sz w:val="24"/>
          <w:szCs w:val="24"/>
          <w:lang w:val="fr-CD"/>
        </w:rPr>
        <w:t>Montage du réseau BT</w:t>
      </w:r>
    </w:p>
    <w:p w14:paraId="189CF960" w14:textId="77777777" w:rsidR="004C12CB" w:rsidRPr="00215867" w:rsidRDefault="004C12CB" w:rsidP="004C12CB">
      <w:pPr>
        <w:tabs>
          <w:tab w:val="left" w:pos="567"/>
        </w:tabs>
        <w:autoSpaceDE w:val="0"/>
        <w:autoSpaceDN w:val="0"/>
        <w:adjustRightInd w:val="0"/>
        <w:spacing w:after="120"/>
        <w:ind w:left="567"/>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déploiement du réseau BT se fait en trois grandes étapes :</w:t>
      </w:r>
    </w:p>
    <w:p w14:paraId="591798FD" w14:textId="77777777" w:rsidR="004C12CB" w:rsidRPr="00215867"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la réalisation des fondations pour les supports (Poteaux)</w:t>
      </w:r>
    </w:p>
    <w:p w14:paraId="7954F5D4" w14:textId="77777777" w:rsidR="004C12CB" w:rsidRPr="00215867"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le levage des supports est réalisé à l'aide d'une grue.</w:t>
      </w:r>
    </w:p>
    <w:p w14:paraId="4B67B0A3" w14:textId="77777777" w:rsidR="004C12CB" w:rsidRPr="00215867" w:rsidRDefault="004C12CB" w:rsidP="004C12CB">
      <w:pPr>
        <w:pStyle w:val="Paragraphedeliste"/>
        <w:numPr>
          <w:ilvl w:val="0"/>
          <w:numId w:val="270"/>
        </w:numPr>
        <w:autoSpaceDE w:val="0"/>
        <w:autoSpaceDN w:val="0"/>
        <w:adjustRightInd w:val="0"/>
        <w:spacing w:after="0" w:line="276" w:lineRule="auto"/>
        <w:ind w:left="1134" w:hanging="425"/>
        <w:contextualSpacing w:val="0"/>
        <w:rPr>
          <w:rFonts w:ascii="Times New Roman" w:hAnsi="Times New Roman"/>
          <w:color w:val="000000"/>
          <w:sz w:val="24"/>
          <w:szCs w:val="24"/>
          <w:lang w:val="fr-CD"/>
        </w:rPr>
      </w:pPr>
      <w:r w:rsidRPr="00215867">
        <w:rPr>
          <w:rFonts w:ascii="Times New Roman" w:hAnsi="Times New Roman"/>
          <w:color w:val="000000"/>
          <w:sz w:val="24"/>
          <w:szCs w:val="24"/>
          <w:lang w:val="fr-CD"/>
        </w:rPr>
        <w:t>la pose des accessoires et le déroulage du câble.</w:t>
      </w:r>
    </w:p>
    <w:p w14:paraId="1AA40A31" w14:textId="77777777" w:rsidR="004C12CB" w:rsidRPr="00215867" w:rsidRDefault="004C12CB" w:rsidP="004C12CB">
      <w:pPr>
        <w:pStyle w:val="Paragraphedeliste"/>
        <w:autoSpaceDE w:val="0"/>
        <w:autoSpaceDN w:val="0"/>
        <w:adjustRightInd w:val="0"/>
        <w:spacing w:line="276" w:lineRule="auto"/>
        <w:rPr>
          <w:rFonts w:ascii="Times New Roman" w:hAnsi="Times New Roman"/>
          <w:color w:val="000000"/>
          <w:sz w:val="24"/>
          <w:szCs w:val="24"/>
          <w:lang w:val="fr-CD"/>
        </w:rPr>
      </w:pPr>
    </w:p>
    <w:p w14:paraId="2227B05A" w14:textId="77777777" w:rsidR="004C12CB" w:rsidRPr="00215867" w:rsidRDefault="004C12CB" w:rsidP="004C12CB">
      <w:pPr>
        <w:pStyle w:val="Paragraphedeliste"/>
        <w:numPr>
          <w:ilvl w:val="2"/>
          <w:numId w:val="282"/>
        </w:numPr>
        <w:spacing w:before="120" w:after="120" w:line="276" w:lineRule="auto"/>
        <w:ind w:left="1418"/>
        <w:contextualSpacing w:val="0"/>
        <w:jc w:val="both"/>
        <w:rPr>
          <w:rFonts w:ascii="Times New Roman" w:hAnsi="Times New Roman"/>
          <w:i/>
          <w:iCs/>
          <w:color w:val="000000"/>
          <w:sz w:val="24"/>
          <w:szCs w:val="24"/>
          <w:lang w:val="fr-CD"/>
        </w:rPr>
      </w:pPr>
      <w:r w:rsidRPr="00215867">
        <w:rPr>
          <w:rFonts w:ascii="Times New Roman" w:hAnsi="Times New Roman"/>
          <w:i/>
          <w:iCs/>
          <w:color w:val="000000"/>
          <w:sz w:val="24"/>
          <w:szCs w:val="24"/>
          <w:lang w:val="fr-CD"/>
        </w:rPr>
        <w:t>Description des travaux de la ligne BT</w:t>
      </w:r>
    </w:p>
    <w:p w14:paraId="67A52929" w14:textId="77777777" w:rsidR="004C12CB" w:rsidRPr="00215867" w:rsidRDefault="004C12CB" w:rsidP="004C12CB">
      <w:pPr>
        <w:tabs>
          <w:tab w:val="left" w:pos="709"/>
        </w:tabs>
        <w:autoSpaceDE w:val="0"/>
        <w:autoSpaceDN w:val="0"/>
        <w:adjustRightInd w:val="0"/>
        <w:spacing w:after="120"/>
        <w:ind w:left="709"/>
        <w:rPr>
          <w:rFonts w:ascii="Times New Roman" w:hAnsi="Times New Roman"/>
          <w:color w:val="000000"/>
          <w:sz w:val="24"/>
          <w:szCs w:val="24"/>
          <w:lang w:val="fr-CD"/>
        </w:rPr>
      </w:pPr>
      <w:r w:rsidRPr="00215867">
        <w:rPr>
          <w:rFonts w:ascii="Times New Roman" w:hAnsi="Times New Roman"/>
          <w:color w:val="000000"/>
          <w:sz w:val="24"/>
          <w:szCs w:val="24"/>
          <w:lang w:val="fr-CD"/>
        </w:rPr>
        <w:t>Les travaux comprennent essentiellement :</w:t>
      </w:r>
    </w:p>
    <w:p w14:paraId="4628FA23"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piquetage de la ligne ;</w:t>
      </w:r>
    </w:p>
    <w:p w14:paraId="2D10EE4D"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nettoyage des surfaces,  l’élagage ou la coupe d’arbre pour la libération de l’emprise</w:t>
      </w:r>
    </w:p>
    <w:p w14:paraId="7D92D4CA"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l’excavation des sols ou le creusage des trous qui accueillera la fondation stabilisant le poteau métallique </w:t>
      </w:r>
    </w:p>
    <w:p w14:paraId="04FA3AE7"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 réalisation complète des fondations ;</w:t>
      </w:r>
    </w:p>
    <w:p w14:paraId="0EB26A97"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levage du poteau bois à l’aide d’une grue ou manuellement et mise encrage dans le trou.</w:t>
      </w:r>
    </w:p>
    <w:p w14:paraId="6DAFDEF2"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déroulage, tirage, réglage et mise sur pinces des câbles.</w:t>
      </w:r>
    </w:p>
    <w:p w14:paraId="0F08DDAE"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 nettoyage du chantier. </w:t>
      </w:r>
    </w:p>
    <w:p w14:paraId="622D281D"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les différents essais et mesures après achèvement de la ligne et lors de l'inspection finale;</w:t>
      </w:r>
    </w:p>
    <w:p w14:paraId="7968BA72" w14:textId="77777777" w:rsidR="004C12CB" w:rsidRPr="00215867" w:rsidRDefault="004C12CB" w:rsidP="004C12CB">
      <w:pPr>
        <w:pStyle w:val="Paragraphedeliste"/>
        <w:numPr>
          <w:ilvl w:val="0"/>
          <w:numId w:val="271"/>
        </w:numPr>
        <w:autoSpaceDE w:val="0"/>
        <w:autoSpaceDN w:val="0"/>
        <w:adjustRightInd w:val="0"/>
        <w:spacing w:after="0" w:line="276" w:lineRule="auto"/>
        <w:ind w:left="1134"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 mise en service de la ligne BT.</w:t>
      </w:r>
    </w:p>
    <w:p w14:paraId="41C5A66B" w14:textId="77777777" w:rsidR="004C12CB" w:rsidRPr="00215867" w:rsidRDefault="004C12CB" w:rsidP="004C12CB">
      <w:pPr>
        <w:pStyle w:val="Paragraphedeliste"/>
        <w:autoSpaceDE w:val="0"/>
        <w:autoSpaceDN w:val="0"/>
        <w:adjustRightInd w:val="0"/>
        <w:ind w:left="1134"/>
        <w:jc w:val="both"/>
        <w:rPr>
          <w:rFonts w:ascii="Times New Roman" w:hAnsi="Times New Roman"/>
          <w:color w:val="000000"/>
          <w:sz w:val="24"/>
          <w:szCs w:val="24"/>
          <w:lang w:val="fr-CD"/>
        </w:rPr>
      </w:pPr>
    </w:p>
    <w:p w14:paraId="568E2C37" w14:textId="77777777" w:rsidR="004C12CB" w:rsidRPr="00215867" w:rsidRDefault="004C12CB" w:rsidP="004C12CB">
      <w:pPr>
        <w:pStyle w:val="Paragraphedeliste"/>
        <w:numPr>
          <w:ilvl w:val="2"/>
          <w:numId w:val="282"/>
        </w:numPr>
        <w:spacing w:before="120" w:after="120" w:line="276" w:lineRule="auto"/>
        <w:ind w:left="1418"/>
        <w:contextualSpacing w:val="0"/>
        <w:jc w:val="both"/>
        <w:rPr>
          <w:rFonts w:ascii="Times New Roman" w:hAnsi="Times New Roman"/>
          <w:i/>
          <w:iCs/>
          <w:color w:val="000000"/>
          <w:sz w:val="24"/>
          <w:szCs w:val="24"/>
          <w:lang w:val="fr-CD"/>
        </w:rPr>
      </w:pPr>
      <w:r w:rsidRPr="00215867">
        <w:rPr>
          <w:rFonts w:ascii="Times New Roman" w:hAnsi="Times New Roman"/>
          <w:i/>
          <w:iCs/>
          <w:color w:val="000000"/>
          <w:sz w:val="24"/>
          <w:szCs w:val="24"/>
          <w:lang w:val="fr-CD"/>
        </w:rPr>
        <w:t>Caractéristiques générales du réseau de distribution BT</w:t>
      </w:r>
    </w:p>
    <w:p w14:paraId="27430F8D" w14:textId="77777777" w:rsidR="004C12CB" w:rsidRPr="00215867" w:rsidRDefault="004C12CB" w:rsidP="004C12CB">
      <w:pPr>
        <w:tabs>
          <w:tab w:val="left" w:pos="709"/>
        </w:tabs>
        <w:autoSpaceDE w:val="0"/>
        <w:autoSpaceDN w:val="0"/>
        <w:adjustRightInd w:val="0"/>
        <w:ind w:left="709"/>
        <w:rPr>
          <w:rFonts w:ascii="Times New Roman" w:hAnsi="Times New Roman"/>
          <w:color w:val="FF0000"/>
          <w:sz w:val="24"/>
          <w:szCs w:val="24"/>
          <w:lang w:val="fr-CD"/>
        </w:rPr>
      </w:pPr>
      <w:r w:rsidRPr="00215867">
        <w:rPr>
          <w:rFonts w:ascii="Times New Roman" w:hAnsi="Times New Roman"/>
          <w:color w:val="000000"/>
          <w:sz w:val="24"/>
          <w:szCs w:val="24"/>
          <w:lang w:val="fr-CD"/>
        </w:rPr>
        <w:t>Le réseau à construire pour l'alimentation des poches noires sera aérien sur supports métalliques.</w:t>
      </w:r>
    </w:p>
    <w:p w14:paraId="52B85855" w14:textId="77777777" w:rsidR="004C12CB" w:rsidRPr="00D8391C" w:rsidRDefault="004C12CB" w:rsidP="00215867">
      <w:pPr>
        <w:pStyle w:val="Normal0"/>
        <w:numPr>
          <w:ilvl w:val="0"/>
          <w:numId w:val="356"/>
        </w:numPr>
        <w:spacing w:before="120" w:after="120"/>
        <w:ind w:left="714" w:hanging="357"/>
        <w:rPr>
          <w:rFonts w:ascii="Times New Roman" w:hAnsi="Times New Roman"/>
          <w:lang w:eastAsia="bs-Latn-BA"/>
        </w:rPr>
      </w:pPr>
      <w:r w:rsidRPr="00D8391C">
        <w:rPr>
          <w:rFonts w:ascii="Times New Roman" w:hAnsi="Times New Roman"/>
          <w:lang w:eastAsia="bs-Latn-BA"/>
        </w:rPr>
        <w:t>Réseaux 230/400 V</w:t>
      </w:r>
    </w:p>
    <w:p w14:paraId="052192FE" w14:textId="5D0B8413" w:rsidR="004C12CB" w:rsidRPr="00220A75" w:rsidRDefault="004C12CB" w:rsidP="001736A5">
      <w:pPr>
        <w:pStyle w:val="Normal0"/>
        <w:ind w:left="709"/>
        <w:jc w:val="both"/>
        <w:rPr>
          <w:rFonts w:ascii="Times New Roman" w:hAnsi="Times New Roman"/>
          <w:lang w:val="fr-FR"/>
        </w:rPr>
      </w:pPr>
      <w:r w:rsidRPr="00220A75">
        <w:rPr>
          <w:rFonts w:ascii="Times New Roman" w:hAnsi="Times New Roman"/>
          <w:lang w:val="fr-FR"/>
        </w:rPr>
        <w:t xml:space="preserve">Le réseau BT associé aux nouvelles cabines sera de type radial arborescent. Il sera réalisé au moyen de conducteurs torsadés en aluminium isolés montés sur des poteaux métalliques. Une option en poteau en bois devra également être proposée. </w:t>
      </w:r>
    </w:p>
    <w:p w14:paraId="7410D324" w14:textId="77777777" w:rsidR="004C12CB" w:rsidRPr="00220A75" w:rsidRDefault="004C12CB" w:rsidP="001736A5">
      <w:pPr>
        <w:pStyle w:val="Normal0"/>
        <w:spacing w:before="120" w:after="120"/>
        <w:ind w:left="709"/>
        <w:jc w:val="both"/>
        <w:rPr>
          <w:rFonts w:ascii="Times New Roman" w:hAnsi="Times New Roman"/>
          <w:lang w:val="fr-FR"/>
        </w:rPr>
      </w:pPr>
      <w:r w:rsidRPr="00220A75">
        <w:rPr>
          <w:rFonts w:ascii="Times New Roman" w:hAnsi="Times New Roman"/>
          <w:lang w:val="fr-FR"/>
        </w:rPr>
        <w:t>Les sections des conducteurs ci-dessous seront utilisées :</w:t>
      </w:r>
    </w:p>
    <w:p w14:paraId="4481071C"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3x70+1x54,6 mm²</w:t>
      </w:r>
    </w:p>
    <w:p w14:paraId="24FAA0E7"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3x50+1x54,6 mm²</w:t>
      </w:r>
    </w:p>
    <w:p w14:paraId="3DFB8EB1"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3x35+1x54,6 mm²</w:t>
      </w:r>
    </w:p>
    <w:p w14:paraId="769DEECB"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1x50+1x54,6 mm²</w:t>
      </w:r>
    </w:p>
    <w:p w14:paraId="23DEE16D"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 xml:space="preserve">1x35+1x54,6 mm² </w:t>
      </w:r>
    </w:p>
    <w:p w14:paraId="387AD9DB" w14:textId="77777777" w:rsidR="004C12CB" w:rsidRPr="00D8391C"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 xml:space="preserve">2x16 mm² et </w:t>
      </w:r>
    </w:p>
    <w:p w14:paraId="5C04766E" w14:textId="4417A568" w:rsidR="004C12CB" w:rsidRDefault="004C12CB" w:rsidP="001736A5">
      <w:pPr>
        <w:pStyle w:val="Normal0"/>
        <w:numPr>
          <w:ilvl w:val="0"/>
          <w:numId w:val="358"/>
        </w:numPr>
        <w:ind w:left="1134"/>
        <w:jc w:val="both"/>
        <w:rPr>
          <w:rFonts w:ascii="Times New Roman" w:hAnsi="Times New Roman"/>
          <w:snapToGrid w:val="0"/>
          <w:lang w:eastAsia="de-DE"/>
        </w:rPr>
      </w:pPr>
      <w:r w:rsidRPr="00D8391C">
        <w:rPr>
          <w:rFonts w:ascii="Times New Roman" w:hAnsi="Times New Roman"/>
          <w:snapToGrid w:val="0"/>
          <w:lang w:eastAsia="de-DE"/>
        </w:rPr>
        <w:t>4x 16 mm²</w:t>
      </w:r>
    </w:p>
    <w:p w14:paraId="32404BEE" w14:textId="77777777" w:rsidR="004C12CB" w:rsidRPr="00D8391C" w:rsidRDefault="004C12CB" w:rsidP="00215867">
      <w:pPr>
        <w:pStyle w:val="Normal0"/>
        <w:numPr>
          <w:ilvl w:val="0"/>
          <w:numId w:val="356"/>
        </w:numPr>
        <w:spacing w:before="120" w:after="120"/>
        <w:ind w:left="714" w:hanging="357"/>
        <w:rPr>
          <w:rFonts w:ascii="Times New Roman" w:hAnsi="Times New Roman"/>
          <w:lang w:eastAsia="bs-Latn-BA"/>
        </w:rPr>
      </w:pPr>
      <w:r w:rsidRPr="00D8391C">
        <w:rPr>
          <w:rFonts w:ascii="Times New Roman" w:hAnsi="Times New Roman"/>
          <w:lang w:eastAsia="bs-Latn-BA"/>
        </w:rPr>
        <w:t>Branchement de ménages</w:t>
      </w:r>
    </w:p>
    <w:p w14:paraId="67ADA780" w14:textId="77777777" w:rsidR="004C12CB" w:rsidRPr="00220A75" w:rsidRDefault="004C12CB" w:rsidP="001736A5">
      <w:pPr>
        <w:pStyle w:val="Normal0"/>
        <w:ind w:left="709"/>
        <w:jc w:val="both"/>
        <w:rPr>
          <w:rFonts w:ascii="Times New Roman" w:hAnsi="Times New Roman"/>
          <w:lang w:val="fr-FR"/>
        </w:rPr>
      </w:pPr>
      <w:r w:rsidRPr="00220A75">
        <w:rPr>
          <w:rFonts w:ascii="Times New Roman" w:hAnsi="Times New Roman"/>
          <w:lang w:val="fr-FR"/>
        </w:rPr>
        <w:t>Les lignes de branchement seront soit en monophasé soit en triphasé. Le choix du mode de branchement dépendra de la puissance souscrite par le ménage et tiendra compte des normes BT SNEL.</w:t>
      </w:r>
    </w:p>
    <w:p w14:paraId="0BFFC2A1" w14:textId="77777777" w:rsidR="004C12CB" w:rsidRPr="00220A75" w:rsidRDefault="004C12CB" w:rsidP="001736A5">
      <w:pPr>
        <w:pStyle w:val="Normal0"/>
        <w:spacing w:before="120" w:after="120"/>
        <w:ind w:left="709"/>
        <w:jc w:val="both"/>
        <w:rPr>
          <w:rFonts w:ascii="Times New Roman" w:hAnsi="Times New Roman"/>
          <w:lang w:val="fr-FR"/>
        </w:rPr>
      </w:pPr>
      <w:r w:rsidRPr="00220A75">
        <w:rPr>
          <w:rFonts w:ascii="Times New Roman" w:hAnsi="Times New Roman"/>
          <w:lang w:val="fr-FR"/>
        </w:rPr>
        <w:t>Le raccordement de ménage se fera via un compteur BT à prépaiement monophasé ou triphasé. Ce compteur sera soit installé sur poteau soit sur un point extérieur à la maison mais géré par la SNEL. Une unité d'interface client (CIU) sera installée dans la maison du client.</w:t>
      </w:r>
    </w:p>
    <w:p w14:paraId="6DDA47E4" w14:textId="77777777" w:rsidR="004C12CB" w:rsidRPr="00215867" w:rsidRDefault="004C12CB" w:rsidP="004C12CB">
      <w:pPr>
        <w:pStyle w:val="Paragraphedeliste"/>
        <w:numPr>
          <w:ilvl w:val="1"/>
          <w:numId w:val="282"/>
        </w:numPr>
        <w:spacing w:before="120" w:after="120" w:line="276" w:lineRule="auto"/>
        <w:ind w:left="1134" w:hanging="567"/>
        <w:contextualSpacing w:val="0"/>
        <w:jc w:val="both"/>
        <w:rPr>
          <w:rFonts w:ascii="Times New Roman" w:hAnsi="Times New Roman"/>
          <w:b/>
          <w:iCs/>
          <w:color w:val="000000"/>
          <w:sz w:val="24"/>
          <w:lang w:val="fr-CD"/>
        </w:rPr>
      </w:pPr>
      <w:r w:rsidRPr="00215867">
        <w:rPr>
          <w:rFonts w:ascii="Times New Roman" w:hAnsi="Times New Roman"/>
          <w:b/>
          <w:iCs/>
          <w:color w:val="000000"/>
          <w:sz w:val="24"/>
          <w:lang w:val="fr-CD"/>
        </w:rPr>
        <w:t xml:space="preserve">Raccordement des ménages BT en prépaiement </w:t>
      </w:r>
    </w:p>
    <w:p w14:paraId="6A04F8E0" w14:textId="77777777" w:rsidR="004C12CB" w:rsidRPr="00220A75" w:rsidRDefault="004C12CB" w:rsidP="001736A5">
      <w:pPr>
        <w:pStyle w:val="Normal0"/>
        <w:spacing w:before="120" w:after="120"/>
        <w:ind w:left="709"/>
        <w:jc w:val="both"/>
        <w:rPr>
          <w:rFonts w:ascii="Times New Roman" w:hAnsi="Times New Roman"/>
          <w:lang w:val="fr-FR"/>
        </w:rPr>
      </w:pPr>
      <w:r w:rsidRPr="00220A75">
        <w:rPr>
          <w:rFonts w:ascii="Times New Roman" w:hAnsi="Times New Roman"/>
          <w:lang w:val="fr-FR"/>
        </w:rPr>
        <w:t>Le raccordement des ménages se fera par selon le processus suivant:</w:t>
      </w:r>
    </w:p>
    <w:p w14:paraId="5BCC9DBD" w14:textId="77777777" w:rsidR="004C12CB" w:rsidRPr="00D8391C" w:rsidRDefault="004C12CB" w:rsidP="001736A5">
      <w:pPr>
        <w:pStyle w:val="Normal0"/>
        <w:numPr>
          <w:ilvl w:val="0"/>
          <w:numId w:val="359"/>
        </w:numPr>
        <w:ind w:left="1134"/>
        <w:jc w:val="both"/>
        <w:rPr>
          <w:rFonts w:ascii="Times New Roman" w:hAnsi="Times New Roman"/>
        </w:rPr>
      </w:pPr>
      <w:r w:rsidRPr="00D8391C">
        <w:rPr>
          <w:rFonts w:ascii="Times New Roman" w:hAnsi="Times New Roman"/>
        </w:rPr>
        <w:t>Identification des abonnées</w:t>
      </w:r>
    </w:p>
    <w:p w14:paraId="53CC38DF" w14:textId="77777777" w:rsidR="004C12CB" w:rsidRPr="00220A75" w:rsidRDefault="004C12CB" w:rsidP="001736A5">
      <w:pPr>
        <w:pStyle w:val="Normal0"/>
        <w:numPr>
          <w:ilvl w:val="0"/>
          <w:numId w:val="359"/>
        </w:numPr>
        <w:ind w:left="1134"/>
        <w:jc w:val="both"/>
        <w:rPr>
          <w:rFonts w:ascii="Times New Roman" w:hAnsi="Times New Roman"/>
          <w:lang w:val="fr-FR"/>
        </w:rPr>
      </w:pPr>
      <w:r w:rsidRPr="00220A75">
        <w:rPr>
          <w:rFonts w:ascii="Times New Roman" w:hAnsi="Times New Roman"/>
          <w:lang w:val="fr-FR"/>
        </w:rPr>
        <w:t xml:space="preserve">Vérification du schéma unifilaire et de la conformité des installations du ménage </w:t>
      </w:r>
    </w:p>
    <w:p w14:paraId="5CAE9B5A" w14:textId="77777777" w:rsidR="004C12CB" w:rsidRPr="00220A75" w:rsidRDefault="004C12CB" w:rsidP="001736A5">
      <w:pPr>
        <w:pStyle w:val="Normal0"/>
        <w:numPr>
          <w:ilvl w:val="0"/>
          <w:numId w:val="359"/>
        </w:numPr>
        <w:ind w:left="1134"/>
        <w:jc w:val="both"/>
        <w:rPr>
          <w:rFonts w:ascii="Times New Roman" w:hAnsi="Times New Roman"/>
          <w:lang w:val="fr-FR"/>
        </w:rPr>
      </w:pPr>
      <w:r w:rsidRPr="00220A75">
        <w:rPr>
          <w:rFonts w:ascii="Times New Roman" w:hAnsi="Times New Roman"/>
          <w:lang w:val="fr-FR"/>
        </w:rPr>
        <w:t>Tirage de câble BT du poteau vers le ménage</w:t>
      </w:r>
    </w:p>
    <w:p w14:paraId="318AAB74" w14:textId="77777777" w:rsidR="004C12CB" w:rsidRPr="00220A75" w:rsidRDefault="004C12CB" w:rsidP="001736A5">
      <w:pPr>
        <w:pStyle w:val="Normal0"/>
        <w:numPr>
          <w:ilvl w:val="0"/>
          <w:numId w:val="359"/>
        </w:numPr>
        <w:ind w:left="1134"/>
        <w:jc w:val="both"/>
        <w:rPr>
          <w:rFonts w:ascii="Times New Roman" w:hAnsi="Times New Roman"/>
          <w:lang w:val="fr-FR"/>
        </w:rPr>
      </w:pPr>
      <w:r w:rsidRPr="00220A75">
        <w:rPr>
          <w:rFonts w:ascii="Times New Roman" w:hAnsi="Times New Roman"/>
          <w:lang w:val="fr-FR"/>
        </w:rPr>
        <w:t>Fixation et installation du coffret de compteur sur poteau et de l’interface utilisation (clavier) au niveau du ménage</w:t>
      </w:r>
    </w:p>
    <w:p w14:paraId="2FE0603A" w14:textId="77777777" w:rsidR="004C12CB" w:rsidRPr="00220A75" w:rsidRDefault="004C12CB" w:rsidP="001736A5">
      <w:pPr>
        <w:pStyle w:val="Normal0"/>
        <w:numPr>
          <w:ilvl w:val="0"/>
          <w:numId w:val="359"/>
        </w:numPr>
        <w:ind w:left="1134"/>
        <w:jc w:val="both"/>
        <w:rPr>
          <w:rFonts w:ascii="Times New Roman" w:hAnsi="Times New Roman"/>
          <w:lang w:val="fr-FR"/>
        </w:rPr>
      </w:pPr>
      <w:r w:rsidRPr="00220A75">
        <w:rPr>
          <w:rFonts w:ascii="Times New Roman" w:hAnsi="Times New Roman"/>
          <w:lang w:val="fr-FR"/>
        </w:rPr>
        <w:t>Activation du compteur et octroi du code client au ménage bénéficiaire par le service commercial de SNEL</w:t>
      </w:r>
    </w:p>
    <w:p w14:paraId="4DD857CD" w14:textId="77777777" w:rsidR="004C12CB" w:rsidRPr="00215867" w:rsidRDefault="004C12CB" w:rsidP="004C12CB">
      <w:pPr>
        <w:pStyle w:val="Paragraphedeliste"/>
        <w:numPr>
          <w:ilvl w:val="1"/>
          <w:numId w:val="282"/>
        </w:numPr>
        <w:spacing w:before="120" w:after="120" w:line="276" w:lineRule="auto"/>
        <w:ind w:left="1134" w:hanging="567"/>
        <w:contextualSpacing w:val="0"/>
        <w:jc w:val="both"/>
        <w:rPr>
          <w:rFonts w:ascii="Times New Roman" w:hAnsi="Times New Roman"/>
          <w:b/>
          <w:iCs/>
          <w:color w:val="000000"/>
          <w:sz w:val="24"/>
          <w:lang w:val="fr-CD"/>
        </w:rPr>
      </w:pPr>
      <w:r w:rsidRPr="00215867">
        <w:rPr>
          <w:rFonts w:ascii="Times New Roman" w:hAnsi="Times New Roman"/>
          <w:b/>
          <w:iCs/>
          <w:color w:val="000000"/>
          <w:sz w:val="24"/>
          <w:lang w:val="fr-CD"/>
        </w:rPr>
        <w:t xml:space="preserve">Main d’œuvre nécessaire pour les activités </w:t>
      </w:r>
    </w:p>
    <w:p w14:paraId="7FAD3F4A" w14:textId="77777777" w:rsidR="004C12CB" w:rsidRPr="00215867" w:rsidRDefault="004C12CB" w:rsidP="001736A5">
      <w:pPr>
        <w:pStyle w:val="Normal0"/>
        <w:spacing w:before="120" w:after="120"/>
        <w:ind w:left="567"/>
        <w:jc w:val="both"/>
        <w:rPr>
          <w:rFonts w:ascii="Times New Roman" w:hAnsi="Times New Roman"/>
          <w:lang w:val="fr-FR"/>
        </w:rPr>
      </w:pPr>
      <w:r w:rsidRPr="00215867">
        <w:rPr>
          <w:rFonts w:ascii="Times New Roman" w:hAnsi="Times New Roman"/>
          <w:lang w:val="fr-FR"/>
        </w:rPr>
        <w:t>La main d’œuvre nécessaire pour les travaux est estimée à 250 personnes, dont plus d’une centaine d’emplois non qualifiés. La priorité sera accordée à la main d’œuvre locale du site du projet lors du recrutement du personnel.</w:t>
      </w:r>
    </w:p>
    <w:p w14:paraId="346208B2" w14:textId="77777777" w:rsidR="004C12CB" w:rsidRPr="00215867" w:rsidRDefault="004C12CB" w:rsidP="004C12CB">
      <w:pPr>
        <w:pStyle w:val="Paragraphedeliste"/>
        <w:numPr>
          <w:ilvl w:val="1"/>
          <w:numId w:val="282"/>
        </w:numPr>
        <w:spacing w:before="120" w:after="120" w:line="276" w:lineRule="auto"/>
        <w:ind w:left="1134" w:hanging="567"/>
        <w:contextualSpacing w:val="0"/>
        <w:jc w:val="both"/>
        <w:rPr>
          <w:rFonts w:ascii="Times New Roman" w:hAnsi="Times New Roman"/>
          <w:b/>
          <w:iCs/>
          <w:color w:val="000000"/>
          <w:sz w:val="24"/>
          <w:lang w:val="fr-CD"/>
        </w:rPr>
      </w:pPr>
      <w:r w:rsidRPr="00215867">
        <w:rPr>
          <w:rFonts w:ascii="Times New Roman" w:hAnsi="Times New Roman"/>
          <w:b/>
          <w:iCs/>
          <w:color w:val="000000"/>
          <w:sz w:val="24"/>
          <w:lang w:val="fr-CD"/>
        </w:rPr>
        <w:t>Sources d’approvisionnement des matériaux</w:t>
      </w:r>
    </w:p>
    <w:p w14:paraId="2FF47699" w14:textId="77777777" w:rsidR="004C12CB" w:rsidRPr="00215867" w:rsidRDefault="004C12CB" w:rsidP="001736A5">
      <w:pPr>
        <w:pStyle w:val="Normal0"/>
        <w:spacing w:before="120" w:after="120"/>
        <w:ind w:left="567"/>
        <w:jc w:val="both"/>
        <w:rPr>
          <w:rFonts w:ascii="Times New Roman" w:hAnsi="Times New Roman"/>
          <w:lang w:val="fr-FR"/>
        </w:rPr>
      </w:pPr>
      <w:r w:rsidRPr="00215867">
        <w:rPr>
          <w:rFonts w:ascii="Times New Roman" w:hAnsi="Times New Roman"/>
          <w:lang w:val="fr-FR"/>
        </w:rPr>
        <w:t>Les intrants des travaux (matériaux naturels nécessaires aux travaux de construction des socles, massif en béton, etc.) seront constitués essentiellement des concassés, du sable, du ciment et de l’eau.</w:t>
      </w:r>
    </w:p>
    <w:p w14:paraId="50768E91" w14:textId="77777777" w:rsidR="004C12CB" w:rsidRPr="00215867" w:rsidRDefault="004C12CB" w:rsidP="001736A5">
      <w:pPr>
        <w:pStyle w:val="Paragraphedeliste"/>
        <w:numPr>
          <w:ilvl w:val="0"/>
          <w:numId w:val="276"/>
        </w:numPr>
        <w:tabs>
          <w:tab w:val="left" w:pos="1134"/>
        </w:tabs>
        <w:autoSpaceDE w:val="0"/>
        <w:autoSpaceDN w:val="0"/>
        <w:adjustRightInd w:val="0"/>
        <w:spacing w:before="120" w:after="120" w:line="240" w:lineRule="auto"/>
        <w:ind w:left="993" w:hanging="425"/>
        <w:contextualSpacing w:val="0"/>
        <w:jc w:val="both"/>
        <w:rPr>
          <w:rFonts w:ascii="Times New Roman" w:hAnsi="Times New Roman"/>
          <w:sz w:val="24"/>
          <w:lang w:val="fr-CD"/>
        </w:rPr>
      </w:pPr>
      <w:r w:rsidRPr="00215867">
        <w:rPr>
          <w:rFonts w:ascii="Times New Roman" w:hAnsi="Times New Roman"/>
          <w:sz w:val="24"/>
          <w:u w:val="single"/>
          <w:lang w:val="fr-CD"/>
        </w:rPr>
        <w:t>Carrières d’emprunts</w:t>
      </w:r>
      <w:r w:rsidRPr="00215867">
        <w:rPr>
          <w:rFonts w:ascii="Times New Roman" w:hAnsi="Times New Roman"/>
          <w:sz w:val="24"/>
          <w:lang w:val="fr-CD"/>
        </w:rPr>
        <w:t xml:space="preserve"> : Le projet va acheter les concassés à partir des carrières des graviers </w:t>
      </w:r>
      <w:bookmarkStart w:id="1183" w:name="_Hlk58697387"/>
      <w:r w:rsidRPr="00215867">
        <w:rPr>
          <w:rFonts w:ascii="Times New Roman" w:hAnsi="Times New Roman"/>
          <w:sz w:val="24"/>
          <w:lang w:val="fr-CD"/>
        </w:rPr>
        <w:t>exploités par des entreprises chinoise</w:t>
      </w:r>
      <w:bookmarkEnd w:id="1183"/>
      <w:r w:rsidRPr="00215867">
        <w:rPr>
          <w:rFonts w:ascii="Times New Roman" w:hAnsi="Times New Roman"/>
          <w:sz w:val="24"/>
          <w:lang w:val="fr-CD"/>
        </w:rPr>
        <w:t>s à Kasangulu dans la province du Kongo-central pour les sites des travaux situés dans les communes de Mont-Ngafula et les carrières de Carrigres et Safricas à Kinsuka dans la commune de Ngaliema à Kinshasa pour les autres sites des travaux.</w:t>
      </w:r>
    </w:p>
    <w:p w14:paraId="6F483959" w14:textId="77777777" w:rsidR="004C12CB" w:rsidRPr="00215867" w:rsidRDefault="004C12CB" w:rsidP="001736A5">
      <w:pPr>
        <w:pStyle w:val="Paragraphedeliste"/>
        <w:numPr>
          <w:ilvl w:val="0"/>
          <w:numId w:val="276"/>
        </w:numPr>
        <w:tabs>
          <w:tab w:val="left" w:pos="1134"/>
        </w:tabs>
        <w:autoSpaceDE w:val="0"/>
        <w:autoSpaceDN w:val="0"/>
        <w:adjustRightInd w:val="0"/>
        <w:spacing w:before="120" w:after="120" w:line="240" w:lineRule="auto"/>
        <w:ind w:left="993" w:hanging="425"/>
        <w:contextualSpacing w:val="0"/>
        <w:jc w:val="both"/>
        <w:rPr>
          <w:rFonts w:ascii="Times New Roman" w:hAnsi="Times New Roman"/>
          <w:sz w:val="24"/>
          <w:lang w:val="fr-CD"/>
        </w:rPr>
      </w:pPr>
      <w:r w:rsidRPr="00215867">
        <w:rPr>
          <w:rFonts w:ascii="Times New Roman" w:hAnsi="Times New Roman"/>
          <w:sz w:val="24"/>
          <w:u w:val="single"/>
          <w:lang w:val="fr-CD"/>
        </w:rPr>
        <w:t>Sables</w:t>
      </w:r>
      <w:r w:rsidRPr="00215867">
        <w:rPr>
          <w:rFonts w:ascii="Times New Roman" w:hAnsi="Times New Roman"/>
          <w:sz w:val="24"/>
          <w:lang w:val="fr-CD"/>
        </w:rPr>
        <w:t xml:space="preserve"> : le projet va nécessiter du sable pour fabriquer du béton devant servir au coulage du socle des supports des poteaux et les massifs en béton pour la fondation des différentes cabines compactes. L’approvisionnement en sable se fera à partir des carrières de Kinsuka, Kingatoko et N’djili CECOMAF dans la ville de Kinshasa. Il s’agit des sables extraits des cours d’eau, notamment : la rivière Nd’jili, Lukaya et Binza. </w:t>
      </w:r>
    </w:p>
    <w:p w14:paraId="40CD0205" w14:textId="77777777" w:rsidR="004C12CB" w:rsidRPr="00215867" w:rsidRDefault="004C12CB" w:rsidP="001736A5">
      <w:pPr>
        <w:pStyle w:val="Paragraphedeliste"/>
        <w:tabs>
          <w:tab w:val="left" w:pos="567"/>
          <w:tab w:val="left" w:pos="1134"/>
        </w:tabs>
        <w:autoSpaceDE w:val="0"/>
        <w:autoSpaceDN w:val="0"/>
        <w:adjustRightInd w:val="0"/>
        <w:spacing w:before="120" w:after="120"/>
        <w:ind w:left="993"/>
        <w:jc w:val="both"/>
        <w:rPr>
          <w:rFonts w:ascii="Times New Roman" w:hAnsi="Times New Roman"/>
          <w:sz w:val="24"/>
          <w:lang w:val="fr-CD"/>
        </w:rPr>
      </w:pPr>
      <w:r w:rsidRPr="00215867">
        <w:rPr>
          <w:rFonts w:ascii="Times New Roman" w:hAnsi="Times New Roman"/>
          <w:sz w:val="24"/>
          <w:lang w:val="fr-CD"/>
        </w:rPr>
        <w:t xml:space="preserve">L’acheminement du sable des différentes carrières vers les sites des travaux se fera par camion via la route nationale n°1, la route de Matadi, l’avenue du Tourisme, l’avenue de la Libération et l’avenue By-pass. Le sable ne devra pas renfermer de grains dont la plus grande dimension dépasse 5 mm. Dans les mêmes conditions, la terre en provenance des fouilles ne renfermant aucune impureté dont la plus grande dimension dépasserait 5 mm. Elle  pourra être employée pour le remblaiement des tranchées exclusivement. </w:t>
      </w:r>
    </w:p>
    <w:p w14:paraId="13D348DE" w14:textId="77777777" w:rsidR="004C12CB" w:rsidRPr="00215867" w:rsidRDefault="004C12CB" w:rsidP="001736A5">
      <w:pPr>
        <w:pStyle w:val="Paragraphedeliste"/>
        <w:numPr>
          <w:ilvl w:val="0"/>
          <w:numId w:val="276"/>
        </w:numPr>
        <w:tabs>
          <w:tab w:val="left" w:pos="1134"/>
        </w:tabs>
        <w:autoSpaceDE w:val="0"/>
        <w:autoSpaceDN w:val="0"/>
        <w:adjustRightInd w:val="0"/>
        <w:spacing w:before="120" w:after="120" w:line="240" w:lineRule="auto"/>
        <w:ind w:left="993" w:hanging="425"/>
        <w:contextualSpacing w:val="0"/>
        <w:jc w:val="both"/>
        <w:rPr>
          <w:rFonts w:ascii="Times New Roman" w:hAnsi="Times New Roman"/>
          <w:sz w:val="24"/>
          <w:lang w:val="fr-CD"/>
        </w:rPr>
      </w:pPr>
      <w:r w:rsidRPr="00215867">
        <w:rPr>
          <w:rFonts w:ascii="Times New Roman" w:hAnsi="Times New Roman"/>
          <w:sz w:val="24"/>
          <w:u w:val="single"/>
          <w:lang w:val="fr-CD"/>
        </w:rPr>
        <w:t>Eau</w:t>
      </w:r>
      <w:r w:rsidRPr="00215867">
        <w:rPr>
          <w:rFonts w:ascii="Times New Roman" w:hAnsi="Times New Roman"/>
          <w:sz w:val="24"/>
          <w:lang w:val="fr-CD"/>
        </w:rPr>
        <w:t xml:space="preserve"> : Le projet va nécessiter une grande quantité d’eau pour la fabrication du béton, l’arrosage du site pendant le terrassement, les besoins d’hygiène corporelle (WC &amp; Douche), le nettoyage d’outils et d’engins, etc.</w:t>
      </w:r>
    </w:p>
    <w:p w14:paraId="2B9F3854" w14:textId="77777777" w:rsidR="004C12CB" w:rsidRPr="00215867" w:rsidRDefault="004C12CB" w:rsidP="001736A5">
      <w:pPr>
        <w:pStyle w:val="Paragraphedeliste"/>
        <w:numPr>
          <w:ilvl w:val="0"/>
          <w:numId w:val="276"/>
        </w:numPr>
        <w:tabs>
          <w:tab w:val="left" w:pos="1134"/>
        </w:tabs>
        <w:autoSpaceDE w:val="0"/>
        <w:autoSpaceDN w:val="0"/>
        <w:adjustRightInd w:val="0"/>
        <w:spacing w:before="120" w:after="120" w:line="240" w:lineRule="auto"/>
        <w:ind w:left="993" w:hanging="425"/>
        <w:contextualSpacing w:val="0"/>
        <w:jc w:val="both"/>
        <w:rPr>
          <w:rFonts w:ascii="Times New Roman" w:hAnsi="Times New Roman"/>
          <w:sz w:val="24"/>
          <w:lang w:val="fr-CD"/>
        </w:rPr>
      </w:pPr>
      <w:r w:rsidRPr="00215867">
        <w:rPr>
          <w:rFonts w:ascii="Times New Roman" w:hAnsi="Times New Roman"/>
          <w:sz w:val="24"/>
          <w:u w:val="single"/>
          <w:lang w:val="fr-CD"/>
        </w:rPr>
        <w:t>Ciment</w:t>
      </w:r>
      <w:r w:rsidRPr="00215867">
        <w:rPr>
          <w:rFonts w:ascii="Times New Roman" w:hAnsi="Times New Roman"/>
          <w:sz w:val="24"/>
          <w:lang w:val="fr-CD"/>
        </w:rPr>
        <w:t> : Les ciments devront satisfaire aux normes NF P 15300 et NF P 15301. Le ciment employé sera composé CPJ classe 45 ou 55. L'eau de gâchage aura un degré hydrométrique inférieur à 20 et sera conforme à la norme NF P 18303 :</w:t>
      </w:r>
    </w:p>
    <w:p w14:paraId="1640B387" w14:textId="77777777" w:rsidR="004C12CB" w:rsidRPr="00215867" w:rsidRDefault="004C12CB" w:rsidP="001736A5">
      <w:pPr>
        <w:pStyle w:val="Paragraphedeliste"/>
        <w:tabs>
          <w:tab w:val="left" w:pos="567"/>
          <w:tab w:val="left" w:pos="1134"/>
        </w:tabs>
        <w:autoSpaceDE w:val="0"/>
        <w:autoSpaceDN w:val="0"/>
        <w:adjustRightInd w:val="0"/>
        <w:spacing w:before="120" w:after="120"/>
        <w:ind w:left="993"/>
        <w:jc w:val="both"/>
        <w:rPr>
          <w:rFonts w:ascii="Times New Roman" w:hAnsi="Times New Roman"/>
          <w:sz w:val="24"/>
          <w:lang w:val="fr-CD"/>
        </w:rPr>
      </w:pPr>
      <w:r w:rsidRPr="00215867">
        <w:rPr>
          <w:rFonts w:ascii="Times New Roman" w:hAnsi="Times New Roman"/>
          <w:sz w:val="24"/>
          <w:lang w:val="fr-CD"/>
        </w:rPr>
        <w:t>Le rapport E/C (eau sur ciment) sera dans tous les cas inférieur à 0,50,</w:t>
      </w:r>
    </w:p>
    <w:p w14:paraId="4B3400AF" w14:textId="77777777" w:rsidR="004C12CB" w:rsidRPr="00215867" w:rsidRDefault="004C12CB" w:rsidP="001736A5">
      <w:pPr>
        <w:pStyle w:val="Paragraphedeliste"/>
        <w:tabs>
          <w:tab w:val="left" w:pos="1134"/>
        </w:tabs>
        <w:ind w:left="993"/>
        <w:jc w:val="both"/>
        <w:rPr>
          <w:rFonts w:ascii="Times New Roman" w:hAnsi="Times New Roman"/>
          <w:sz w:val="24"/>
          <w:lang w:val="fr-CD"/>
        </w:rPr>
      </w:pPr>
      <w:r w:rsidRPr="00215867">
        <w:rPr>
          <w:rFonts w:ascii="Times New Roman" w:hAnsi="Times New Roman"/>
          <w:sz w:val="24"/>
          <w:lang w:val="fr-CD"/>
        </w:rPr>
        <w:t xml:space="preserve">La teneur en chlorure de sodium devra être nulle. Le ciment qui sera utilisé lors des travaux proviendra des industries locales de la province du Kongo-central (PPC Barnet, CILU, CIMKO).   </w:t>
      </w:r>
    </w:p>
    <w:p w14:paraId="250B0DB8" w14:textId="77777777" w:rsidR="004C12CB" w:rsidRPr="00997893" w:rsidRDefault="004C12CB" w:rsidP="001736A5">
      <w:pPr>
        <w:pStyle w:val="Normal0"/>
        <w:spacing w:before="120" w:after="120"/>
        <w:ind w:left="567"/>
        <w:jc w:val="both"/>
        <w:rPr>
          <w:rFonts w:ascii="Times New Roman" w:hAnsi="Times New Roman"/>
          <w:lang w:val="fr-CD"/>
        </w:rPr>
      </w:pPr>
      <w:r w:rsidRPr="00997893">
        <w:rPr>
          <w:rFonts w:ascii="Times New Roman" w:eastAsia="Calibri" w:hAnsi="Times New Roman"/>
          <w:lang w:val="fr-CD"/>
        </w:rPr>
        <w:t xml:space="preserve">Le projet </w:t>
      </w:r>
      <w:r w:rsidRPr="00215867">
        <w:rPr>
          <w:rFonts w:ascii="Times New Roman" w:hAnsi="Times New Roman"/>
          <w:lang w:val="fr-FR"/>
        </w:rPr>
        <w:t>va</w:t>
      </w:r>
      <w:r w:rsidRPr="00997893">
        <w:rPr>
          <w:rFonts w:ascii="Times New Roman" w:eastAsia="Calibri" w:hAnsi="Times New Roman"/>
          <w:lang w:val="fr-CD"/>
        </w:rPr>
        <w:t xml:space="preserve"> utiliser deux voies de transport pour acheminer les matériaux, les matériels et les équipements, à savoir la voie maritime et la voie routière.</w:t>
      </w:r>
    </w:p>
    <w:p w14:paraId="341A2502" w14:textId="77777777" w:rsidR="004C12CB" w:rsidRPr="00215867" w:rsidRDefault="004C12CB" w:rsidP="004C12CB">
      <w:pPr>
        <w:pStyle w:val="Paragraphedeliste"/>
        <w:numPr>
          <w:ilvl w:val="1"/>
          <w:numId w:val="282"/>
        </w:numPr>
        <w:spacing w:before="120" w:after="120" w:line="276" w:lineRule="auto"/>
        <w:ind w:left="1134" w:hanging="567"/>
        <w:contextualSpacing w:val="0"/>
        <w:jc w:val="both"/>
        <w:rPr>
          <w:rFonts w:ascii="Times New Roman" w:hAnsi="Times New Roman"/>
          <w:b/>
          <w:sz w:val="24"/>
          <w:lang w:val="fr-CD"/>
        </w:rPr>
      </w:pPr>
      <w:r w:rsidRPr="00215867">
        <w:rPr>
          <w:rFonts w:ascii="Times New Roman" w:hAnsi="Times New Roman"/>
          <w:b/>
          <w:sz w:val="24"/>
          <w:lang w:val="fr-CD"/>
        </w:rPr>
        <w:t xml:space="preserve">Durée des travaux et de l’exploitation des ouvrages </w:t>
      </w:r>
    </w:p>
    <w:p w14:paraId="6A0A9D68"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La mise en œuvre de ce sous-projet va s’étaler sur une période de 16 mois y compris la période de commande, de fabrication, de réception en usine et sur sites des travaux. Le calendrier  d’exécution sera élaboré par l’entrepreneur en charge des travaux sur base des conclusions de ses études d’exécution des travaux.</w:t>
      </w:r>
    </w:p>
    <w:p w14:paraId="34459D43" w14:textId="77777777" w:rsidR="004C12CB" w:rsidRPr="00AE31F1" w:rsidRDefault="004C12CB" w:rsidP="004C12CB">
      <w:pPr>
        <w:pStyle w:val="Paragraphedeliste"/>
        <w:numPr>
          <w:ilvl w:val="0"/>
          <w:numId w:val="248"/>
        </w:numPr>
        <w:spacing w:before="120" w:after="0" w:line="240" w:lineRule="auto"/>
        <w:ind w:left="567" w:hanging="567"/>
        <w:contextualSpacing w:val="0"/>
        <w:rPr>
          <w:rFonts w:ascii="Times New Roman" w:hAnsi="Times New Roman"/>
          <w:b/>
          <w:lang w:val="fr-CD"/>
        </w:rPr>
      </w:pPr>
      <w:r w:rsidRPr="00AE31F1">
        <w:rPr>
          <w:rFonts w:ascii="Times New Roman" w:hAnsi="Times New Roman"/>
          <w:b/>
          <w:lang w:val="fr-CD"/>
        </w:rPr>
        <w:t>OBJET DE LA MISSION ET ETENDUE DES PRESTATIONS DU CONSULTANT</w:t>
      </w:r>
    </w:p>
    <w:p w14:paraId="6DAEDE31" w14:textId="77777777" w:rsidR="004C12CB" w:rsidRPr="00AE31F1" w:rsidRDefault="004C0F64" w:rsidP="004C12CB">
      <w:pPr>
        <w:pStyle w:val="Paragraphedeliste"/>
        <w:spacing w:line="120" w:lineRule="auto"/>
        <w:ind w:left="567"/>
        <w:rPr>
          <w:rFonts w:ascii="Times New Roman" w:hAnsi="Times New Roman"/>
          <w:b/>
        </w:rPr>
      </w:pPr>
      <w:r>
        <w:rPr>
          <w:rFonts w:ascii="Times New Roman" w:hAnsi="Times New Roman"/>
        </w:rPr>
        <w:pict w14:anchorId="0085F705">
          <v:rect id="_x0000_i1028" style="width:443.65pt;height:1.5pt" o:hralign="center" o:hrstd="t" o:hr="t" fillcolor="#a0a0a0" stroked="f"/>
        </w:pict>
      </w:r>
    </w:p>
    <w:p w14:paraId="688EE93F" w14:textId="77777777" w:rsidR="004C12CB" w:rsidRPr="00AE31F1" w:rsidRDefault="004C12CB" w:rsidP="004C12CB">
      <w:pPr>
        <w:pStyle w:val="Paragraphedeliste"/>
        <w:numPr>
          <w:ilvl w:val="1"/>
          <w:numId w:val="273"/>
        </w:numPr>
        <w:spacing w:before="120" w:after="120" w:line="276" w:lineRule="auto"/>
        <w:ind w:left="567" w:hanging="567"/>
        <w:contextualSpacing w:val="0"/>
        <w:jc w:val="both"/>
        <w:rPr>
          <w:rFonts w:ascii="Times New Roman" w:hAnsi="Times New Roman"/>
          <w:b/>
        </w:rPr>
      </w:pPr>
      <w:r w:rsidRPr="00AE31F1">
        <w:rPr>
          <w:rFonts w:ascii="Times New Roman" w:hAnsi="Times New Roman"/>
          <w:b/>
        </w:rPr>
        <w:t xml:space="preserve">OBJET DE LA MISSION </w:t>
      </w:r>
    </w:p>
    <w:p w14:paraId="4D970202"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 xml:space="preserve">La mission décrite dans les présents termes de référence a pour objet le recrutement d’un consultant individuel chargé de l’actualisation des Etudes d’Impact Environnemental et Social (EIES) et des Plans d’Action de Réinstallation (PAR) élaborés en son temps dans le cadre du Projet EASE pour les travaux d’électrification des poches noires, d’assainissement, de réhabilitation et mise en conformité des réseaux SNEL des directions de Kinshasa Centre et Ouest. </w:t>
      </w:r>
    </w:p>
    <w:p w14:paraId="3534E4B0"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Il est précisé que ces documents ont été élaborés en deux séquences,  à savoir une EIES et un PAR pour les travaux portant sur l’implantation de 180 cabines de distribution et de leurs réseaux associés tels que prévus dans le Document d’Evaluation du Projet EASE (PAD), et une EIES et un PAR pour les 232  cabines de distribution additionnelles et leurs réseaux associés dont l’implantation a été recommandée par les études techniques.</w:t>
      </w:r>
    </w:p>
    <w:p w14:paraId="4936053C"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Le consultant actualisera les deux EIES et les deux PAR réalisés dans le cadre du projet EASE et complétera les informations nécessaires en tenant compte de l’évolution de la situation sur terrain et ce, conformément  aux exigences du nouveau cadre environnemental et social de la Banque mondiale.</w:t>
      </w:r>
    </w:p>
    <w:p w14:paraId="3873ABB5"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 xml:space="preserve">Etant donné que le projet EASE a pris en charge, en proportion du financement disponible,  les travaux afférents à 120 cabines sur les 180 cabines initialement prévues, l’actualisation de l’EIES et du PAR portera sur des travaux relatifs au solde des 60 cabines non financées par EASE. En ce qui concerne, l’EIES et le PAR relatifs aux 232 cabines, l’actualisation concernera les travaux pour l’intégralité des cabines. </w:t>
      </w:r>
    </w:p>
    <w:p w14:paraId="488F2196"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 xml:space="preserve">La mission se déroulera dans 4 communes de la ville province de Kinshasa, principalement dans les sites concernés pour l’implantation des cabines et les réseaux moyenne et basse-tension ainsi que dans la zone d’influence desdites cabines, tout en considérant que le rayon d’action de chaque cabine est de 500 mètres et que la servitude d’une ligne moyenne-tension en 30 kV torsadées est de 2 mètres de part et d’autre, et 7 mètres de part et autre pour la ligne moyenne-tension en câble nus. Le tableau ci-dessous reprend les communes et les quartiers concernés :  </w:t>
      </w:r>
    </w:p>
    <w:tbl>
      <w:tblPr>
        <w:tblW w:w="480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09"/>
        <w:gridCol w:w="6933"/>
      </w:tblGrid>
      <w:tr w:rsidR="004C12CB" w:rsidRPr="00420C1B" w14:paraId="5F24B692" w14:textId="77777777" w:rsidTr="00215867">
        <w:tc>
          <w:tcPr>
            <w:tcW w:w="259" w:type="pct"/>
            <w:shd w:val="clear" w:color="auto" w:fill="auto"/>
            <w:vAlign w:val="center"/>
          </w:tcPr>
          <w:p w14:paraId="75C0B718" w14:textId="77777777" w:rsidR="004C12CB" w:rsidRPr="00215867" w:rsidRDefault="004C12CB" w:rsidP="00215867">
            <w:pPr>
              <w:rPr>
                <w:rFonts w:ascii="Times New Roman" w:hAnsi="Times New Roman"/>
                <w:b/>
                <w:sz w:val="24"/>
              </w:rPr>
            </w:pPr>
            <w:r w:rsidRPr="00215867">
              <w:rPr>
                <w:rFonts w:ascii="Times New Roman" w:hAnsi="Times New Roman"/>
                <w:b/>
                <w:sz w:val="24"/>
              </w:rPr>
              <w:t>N°</w:t>
            </w:r>
          </w:p>
        </w:tc>
        <w:tc>
          <w:tcPr>
            <w:tcW w:w="852" w:type="pct"/>
            <w:shd w:val="clear" w:color="auto" w:fill="auto"/>
            <w:vAlign w:val="center"/>
          </w:tcPr>
          <w:p w14:paraId="7D3D0EE6" w14:textId="77777777" w:rsidR="004C12CB" w:rsidRPr="00215867" w:rsidRDefault="004C12CB" w:rsidP="00215867">
            <w:pPr>
              <w:rPr>
                <w:rFonts w:ascii="Times New Roman" w:hAnsi="Times New Roman"/>
                <w:b/>
                <w:sz w:val="24"/>
              </w:rPr>
            </w:pPr>
            <w:r w:rsidRPr="00215867">
              <w:rPr>
                <w:rFonts w:ascii="Times New Roman" w:hAnsi="Times New Roman"/>
                <w:b/>
                <w:sz w:val="24"/>
              </w:rPr>
              <w:t>Commune</w:t>
            </w:r>
          </w:p>
        </w:tc>
        <w:tc>
          <w:tcPr>
            <w:tcW w:w="3888" w:type="pct"/>
            <w:shd w:val="clear" w:color="auto" w:fill="auto"/>
            <w:vAlign w:val="center"/>
          </w:tcPr>
          <w:p w14:paraId="2A717F13" w14:textId="77777777" w:rsidR="004C12CB" w:rsidRPr="00215867" w:rsidRDefault="004C12CB" w:rsidP="00215867">
            <w:pPr>
              <w:rPr>
                <w:rFonts w:ascii="Times New Roman" w:hAnsi="Times New Roman"/>
                <w:b/>
                <w:sz w:val="24"/>
              </w:rPr>
            </w:pPr>
            <w:r w:rsidRPr="00215867">
              <w:rPr>
                <w:rFonts w:ascii="Times New Roman" w:hAnsi="Times New Roman"/>
                <w:b/>
                <w:sz w:val="24"/>
              </w:rPr>
              <w:t>Quartier</w:t>
            </w:r>
          </w:p>
        </w:tc>
      </w:tr>
      <w:tr w:rsidR="004C12CB" w:rsidRPr="00420C1B" w14:paraId="40C84750" w14:textId="77777777" w:rsidTr="00215867">
        <w:tc>
          <w:tcPr>
            <w:tcW w:w="259" w:type="pct"/>
            <w:shd w:val="clear" w:color="auto" w:fill="auto"/>
            <w:vAlign w:val="center"/>
          </w:tcPr>
          <w:p w14:paraId="1E7CE17F" w14:textId="77777777" w:rsidR="004C12CB" w:rsidRPr="00215867" w:rsidRDefault="004C12CB" w:rsidP="003F350A">
            <w:pPr>
              <w:rPr>
                <w:rFonts w:ascii="Times New Roman" w:hAnsi="Times New Roman"/>
                <w:sz w:val="24"/>
              </w:rPr>
            </w:pPr>
            <w:r w:rsidRPr="00215867">
              <w:rPr>
                <w:rFonts w:ascii="Times New Roman" w:hAnsi="Times New Roman"/>
                <w:sz w:val="24"/>
              </w:rPr>
              <w:t>1</w:t>
            </w:r>
          </w:p>
        </w:tc>
        <w:tc>
          <w:tcPr>
            <w:tcW w:w="852" w:type="pct"/>
            <w:shd w:val="clear" w:color="auto" w:fill="auto"/>
            <w:vAlign w:val="center"/>
          </w:tcPr>
          <w:p w14:paraId="37E3928A" w14:textId="77777777" w:rsidR="004C12CB" w:rsidRPr="00215867" w:rsidRDefault="004C12CB" w:rsidP="003F350A">
            <w:pPr>
              <w:rPr>
                <w:rFonts w:ascii="Times New Roman" w:hAnsi="Times New Roman"/>
                <w:sz w:val="24"/>
              </w:rPr>
            </w:pPr>
            <w:r w:rsidRPr="00215867">
              <w:rPr>
                <w:rFonts w:ascii="Times New Roman" w:hAnsi="Times New Roman"/>
                <w:sz w:val="24"/>
              </w:rPr>
              <w:t>Mont-Ngafula</w:t>
            </w:r>
          </w:p>
        </w:tc>
        <w:tc>
          <w:tcPr>
            <w:tcW w:w="3888" w:type="pct"/>
            <w:shd w:val="clear" w:color="auto" w:fill="auto"/>
            <w:vAlign w:val="center"/>
          </w:tcPr>
          <w:p w14:paraId="307983F6" w14:textId="0AC17501" w:rsidR="004C12CB" w:rsidRPr="00215867" w:rsidRDefault="004C12CB" w:rsidP="003F350A">
            <w:pPr>
              <w:rPr>
                <w:rFonts w:ascii="Times New Roman" w:hAnsi="Times New Roman"/>
                <w:sz w:val="24"/>
              </w:rPr>
            </w:pPr>
            <w:r w:rsidRPr="00215867">
              <w:rPr>
                <w:rFonts w:ascii="Times New Roman" w:hAnsi="Times New Roman"/>
                <w:sz w:val="24"/>
              </w:rPr>
              <w:t>Matadi Kibala, Lutendele, CPA Mushie, Sangamamba, Kimbuta, Mitendi, Kimwenza, Kimvula, Kimbuala, Kindele, Saya, Mussangu, Tshikapa 1 et 2, Matadi Mayo, Cogelos, Kimbondo, Mbenseke, Sans-fil, Salongo, Nzengi, CPA-Mushie, CPA-Mbudi, Musanfu et Kisangani,</w:t>
            </w:r>
          </w:p>
        </w:tc>
      </w:tr>
      <w:tr w:rsidR="004C12CB" w:rsidRPr="00420C1B" w14:paraId="12A61506" w14:textId="77777777" w:rsidTr="00215867">
        <w:trPr>
          <w:trHeight w:val="72"/>
        </w:trPr>
        <w:tc>
          <w:tcPr>
            <w:tcW w:w="259" w:type="pct"/>
            <w:shd w:val="clear" w:color="auto" w:fill="auto"/>
            <w:vAlign w:val="center"/>
          </w:tcPr>
          <w:p w14:paraId="5E64A4D2" w14:textId="77777777" w:rsidR="004C12CB" w:rsidRPr="00215867" w:rsidRDefault="004C12CB" w:rsidP="00215867">
            <w:pPr>
              <w:rPr>
                <w:rFonts w:ascii="Times New Roman" w:hAnsi="Times New Roman"/>
                <w:sz w:val="24"/>
              </w:rPr>
            </w:pPr>
            <w:r w:rsidRPr="00215867">
              <w:rPr>
                <w:rFonts w:ascii="Times New Roman" w:hAnsi="Times New Roman"/>
                <w:sz w:val="24"/>
              </w:rPr>
              <w:t>2</w:t>
            </w:r>
          </w:p>
        </w:tc>
        <w:tc>
          <w:tcPr>
            <w:tcW w:w="852" w:type="pct"/>
            <w:shd w:val="clear" w:color="auto" w:fill="auto"/>
            <w:vAlign w:val="center"/>
          </w:tcPr>
          <w:p w14:paraId="5614078C" w14:textId="77777777" w:rsidR="004C12CB" w:rsidRPr="00215867" w:rsidRDefault="004C12CB" w:rsidP="00215867">
            <w:pPr>
              <w:rPr>
                <w:rFonts w:ascii="Times New Roman" w:hAnsi="Times New Roman"/>
                <w:sz w:val="24"/>
              </w:rPr>
            </w:pPr>
            <w:r w:rsidRPr="00215867">
              <w:rPr>
                <w:rFonts w:ascii="Times New Roman" w:hAnsi="Times New Roman"/>
                <w:sz w:val="24"/>
              </w:rPr>
              <w:t>Selembao</w:t>
            </w:r>
          </w:p>
        </w:tc>
        <w:tc>
          <w:tcPr>
            <w:tcW w:w="3888" w:type="pct"/>
            <w:shd w:val="clear" w:color="auto" w:fill="auto"/>
            <w:vAlign w:val="center"/>
          </w:tcPr>
          <w:p w14:paraId="597257FB" w14:textId="77777777" w:rsidR="004C12CB" w:rsidRPr="00215867" w:rsidRDefault="004C12CB" w:rsidP="00215867">
            <w:pPr>
              <w:rPr>
                <w:rFonts w:ascii="Times New Roman" w:hAnsi="Times New Roman"/>
                <w:sz w:val="24"/>
              </w:rPr>
            </w:pPr>
            <w:r w:rsidRPr="00215867">
              <w:rPr>
                <w:rFonts w:ascii="Times New Roman" w:hAnsi="Times New Roman"/>
                <w:sz w:val="24"/>
              </w:rPr>
              <w:t>Kalunga</w:t>
            </w:r>
          </w:p>
        </w:tc>
      </w:tr>
      <w:tr w:rsidR="004C12CB" w:rsidRPr="00420C1B" w14:paraId="080B165C" w14:textId="77777777" w:rsidTr="00215867">
        <w:tc>
          <w:tcPr>
            <w:tcW w:w="259" w:type="pct"/>
            <w:shd w:val="clear" w:color="auto" w:fill="auto"/>
            <w:vAlign w:val="center"/>
          </w:tcPr>
          <w:p w14:paraId="08813CAF" w14:textId="77777777" w:rsidR="004C12CB" w:rsidRPr="00215867" w:rsidRDefault="004C12CB" w:rsidP="00215867">
            <w:pPr>
              <w:rPr>
                <w:rFonts w:ascii="Times New Roman" w:hAnsi="Times New Roman"/>
                <w:sz w:val="24"/>
              </w:rPr>
            </w:pPr>
            <w:r w:rsidRPr="00215867">
              <w:rPr>
                <w:rFonts w:ascii="Times New Roman" w:hAnsi="Times New Roman"/>
                <w:sz w:val="24"/>
              </w:rPr>
              <w:t>3</w:t>
            </w:r>
          </w:p>
        </w:tc>
        <w:tc>
          <w:tcPr>
            <w:tcW w:w="852" w:type="pct"/>
            <w:shd w:val="clear" w:color="auto" w:fill="auto"/>
            <w:vAlign w:val="center"/>
          </w:tcPr>
          <w:p w14:paraId="6101AD36" w14:textId="77777777" w:rsidR="004C12CB" w:rsidRPr="00215867" w:rsidRDefault="004C12CB" w:rsidP="00215867">
            <w:pPr>
              <w:rPr>
                <w:rFonts w:ascii="Times New Roman" w:hAnsi="Times New Roman"/>
                <w:sz w:val="24"/>
              </w:rPr>
            </w:pPr>
            <w:r w:rsidRPr="00215867">
              <w:rPr>
                <w:rFonts w:ascii="Times New Roman" w:hAnsi="Times New Roman"/>
                <w:sz w:val="24"/>
              </w:rPr>
              <w:t>Ngaliema</w:t>
            </w:r>
          </w:p>
        </w:tc>
        <w:tc>
          <w:tcPr>
            <w:tcW w:w="3888" w:type="pct"/>
            <w:shd w:val="clear" w:color="auto" w:fill="auto"/>
            <w:vAlign w:val="center"/>
          </w:tcPr>
          <w:p w14:paraId="185ECDD5" w14:textId="77777777" w:rsidR="004C12CB" w:rsidRPr="00215867" w:rsidRDefault="004C12CB" w:rsidP="00215867">
            <w:pPr>
              <w:rPr>
                <w:rFonts w:ascii="Times New Roman" w:hAnsi="Times New Roman"/>
                <w:sz w:val="24"/>
                <w:lang w:val="fr-CD"/>
              </w:rPr>
            </w:pPr>
            <w:r w:rsidRPr="00215867">
              <w:rPr>
                <w:rFonts w:ascii="Times New Roman" w:hAnsi="Times New Roman"/>
                <w:sz w:val="24"/>
                <w:lang w:val="fr-CD"/>
              </w:rPr>
              <w:t>Ngomba-Kinkusa, Lubudi, Manenga, Molende, Bumba, Finda, Sekeseke, Sayi, Lukunga, Masisi, Pigeon, Djelo-Binza, UPN, Promobat, Cité des anciens Combattant A &amp; B</w:t>
            </w:r>
          </w:p>
        </w:tc>
      </w:tr>
      <w:tr w:rsidR="004C12CB" w:rsidRPr="00420C1B" w14:paraId="144B121D" w14:textId="77777777" w:rsidTr="00215867">
        <w:tc>
          <w:tcPr>
            <w:tcW w:w="259" w:type="pct"/>
            <w:shd w:val="clear" w:color="auto" w:fill="auto"/>
            <w:vAlign w:val="center"/>
          </w:tcPr>
          <w:p w14:paraId="2C6580D2" w14:textId="77777777" w:rsidR="004C12CB" w:rsidRPr="00215867" w:rsidRDefault="004C12CB" w:rsidP="00215867">
            <w:pPr>
              <w:rPr>
                <w:rFonts w:ascii="Times New Roman" w:hAnsi="Times New Roman"/>
                <w:sz w:val="24"/>
              </w:rPr>
            </w:pPr>
            <w:r w:rsidRPr="00215867">
              <w:rPr>
                <w:rFonts w:ascii="Times New Roman" w:hAnsi="Times New Roman"/>
                <w:sz w:val="24"/>
              </w:rPr>
              <w:t>4</w:t>
            </w:r>
          </w:p>
        </w:tc>
        <w:tc>
          <w:tcPr>
            <w:tcW w:w="852" w:type="pct"/>
            <w:shd w:val="clear" w:color="auto" w:fill="auto"/>
            <w:vAlign w:val="center"/>
          </w:tcPr>
          <w:p w14:paraId="4D0BB102" w14:textId="77777777" w:rsidR="004C12CB" w:rsidRPr="00215867" w:rsidRDefault="004C12CB" w:rsidP="00215867">
            <w:pPr>
              <w:rPr>
                <w:rFonts w:ascii="Times New Roman" w:hAnsi="Times New Roman"/>
                <w:sz w:val="24"/>
              </w:rPr>
            </w:pPr>
            <w:r w:rsidRPr="00215867">
              <w:rPr>
                <w:rFonts w:ascii="Times New Roman" w:hAnsi="Times New Roman"/>
                <w:sz w:val="24"/>
              </w:rPr>
              <w:t>Lemba</w:t>
            </w:r>
          </w:p>
        </w:tc>
        <w:tc>
          <w:tcPr>
            <w:tcW w:w="3888" w:type="pct"/>
            <w:shd w:val="clear" w:color="auto" w:fill="auto"/>
            <w:vAlign w:val="center"/>
          </w:tcPr>
          <w:p w14:paraId="549286D2" w14:textId="77777777" w:rsidR="004C12CB" w:rsidRPr="00215867" w:rsidRDefault="004C12CB" w:rsidP="00215867">
            <w:pPr>
              <w:rPr>
                <w:rFonts w:ascii="Times New Roman" w:hAnsi="Times New Roman"/>
                <w:sz w:val="24"/>
              </w:rPr>
            </w:pPr>
            <w:r w:rsidRPr="00215867">
              <w:rPr>
                <w:rFonts w:ascii="Times New Roman" w:hAnsi="Times New Roman"/>
                <w:sz w:val="24"/>
              </w:rPr>
              <w:t>Plateau des Professeurs</w:t>
            </w:r>
          </w:p>
        </w:tc>
      </w:tr>
    </w:tbl>
    <w:p w14:paraId="1F02A4A0"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 xml:space="preserve">La zone d’influence du sous-projet s’étend des sites des travaux, leurs environs, jusqu’aux gîtes d’emprunts et de carrières. </w:t>
      </w:r>
    </w:p>
    <w:p w14:paraId="4372498B" w14:textId="77777777" w:rsidR="004C12CB" w:rsidRPr="00AE31F1" w:rsidRDefault="004C12CB" w:rsidP="004C12CB">
      <w:pPr>
        <w:pStyle w:val="Paragraphedeliste"/>
        <w:numPr>
          <w:ilvl w:val="1"/>
          <w:numId w:val="273"/>
        </w:numPr>
        <w:spacing w:before="120" w:after="120" w:line="276" w:lineRule="auto"/>
        <w:ind w:left="567" w:hanging="567"/>
        <w:contextualSpacing w:val="0"/>
        <w:jc w:val="both"/>
        <w:rPr>
          <w:rFonts w:ascii="Times New Roman" w:hAnsi="Times New Roman"/>
          <w:b/>
        </w:rPr>
      </w:pPr>
      <w:r w:rsidRPr="00AE31F1">
        <w:rPr>
          <w:rFonts w:ascii="Times New Roman" w:hAnsi="Times New Roman"/>
          <w:b/>
        </w:rPr>
        <w:t xml:space="preserve">ETENDUE DES PRESTATIONS </w:t>
      </w:r>
    </w:p>
    <w:p w14:paraId="127C34E9"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Le Consultant conduira une étude d’impact environnemental et social menant à l’élaboration d’un Plan de Gestion Environnementale et sociale (PGES), qui sera inclus dans le rapport de l’Évaluation Environnementale et Sociale (EES).</w:t>
      </w:r>
    </w:p>
    <w:p w14:paraId="42069933" w14:textId="77777777" w:rsidR="004C12CB" w:rsidRPr="00215867" w:rsidRDefault="004C12CB" w:rsidP="00215867">
      <w:pPr>
        <w:pStyle w:val="Normal0"/>
        <w:spacing w:before="120" w:after="120"/>
        <w:jc w:val="both"/>
        <w:rPr>
          <w:rFonts w:ascii="Times New Roman" w:hAnsi="Times New Roman"/>
          <w:lang w:val="fr-FR"/>
        </w:rPr>
      </w:pPr>
      <w:r w:rsidRPr="00215867">
        <w:rPr>
          <w:rFonts w:ascii="Times New Roman" w:hAnsi="Times New Roman"/>
          <w:lang w:val="fr-FR"/>
        </w:rPr>
        <w:t xml:space="preserve">Cette évaluation comprendra les tâches requises ci-après : </w:t>
      </w:r>
    </w:p>
    <w:p w14:paraId="1230091B" w14:textId="77777777" w:rsidR="004C12CB" w:rsidRPr="00215867" w:rsidRDefault="004C12CB" w:rsidP="003F350A">
      <w:pPr>
        <w:pStyle w:val="Paragraphedeliste"/>
        <w:widowControl w:val="0"/>
        <w:numPr>
          <w:ilvl w:val="0"/>
          <w:numId w:val="263"/>
        </w:numPr>
        <w:tabs>
          <w:tab w:val="left" w:pos="709"/>
        </w:tabs>
        <w:spacing w:after="0" w:line="276" w:lineRule="auto"/>
        <w:ind w:left="709" w:hanging="426"/>
        <w:jc w:val="both"/>
        <w:rPr>
          <w:rFonts w:ascii="Times New Roman" w:hAnsi="Times New Roman"/>
          <w:sz w:val="24"/>
          <w:lang w:val="fr-CD"/>
        </w:rPr>
      </w:pPr>
      <w:r w:rsidRPr="00215867">
        <w:rPr>
          <w:rFonts w:ascii="Times New Roman" w:hAnsi="Times New Roman"/>
          <w:sz w:val="24"/>
          <w:lang w:val="fr-CD"/>
        </w:rPr>
        <w:t xml:space="preserve">la collecte, la revue et l’analyse de toutes les données et informations nécessaires relative au projet, à la zone d’influence, aux populations affectées et à la législation nationale en vigueur. Là où les informations sont insuffisantes, notamment en ce qui concerne les mercuriales pour l’établissement des coûts d’indemnisation, le Consultant proposera un modèle en se basant sur les autres projets en cours dans la zone et devra fournir des efforts pratiques pour collecter les informations/données manquantes   </w:t>
      </w:r>
    </w:p>
    <w:p w14:paraId="57DA0089" w14:textId="77777777" w:rsidR="004C12CB" w:rsidRPr="00215867" w:rsidRDefault="004C12CB" w:rsidP="003F350A">
      <w:pPr>
        <w:pStyle w:val="Paragraphedeliste"/>
        <w:widowControl w:val="0"/>
        <w:numPr>
          <w:ilvl w:val="0"/>
          <w:numId w:val="263"/>
        </w:numPr>
        <w:tabs>
          <w:tab w:val="left" w:pos="709"/>
        </w:tabs>
        <w:spacing w:after="0" w:line="276" w:lineRule="auto"/>
        <w:ind w:left="709" w:hanging="426"/>
        <w:jc w:val="both"/>
        <w:rPr>
          <w:rFonts w:ascii="Times New Roman" w:hAnsi="Times New Roman"/>
          <w:sz w:val="24"/>
          <w:lang w:val="fr-CD"/>
        </w:rPr>
      </w:pPr>
      <w:r w:rsidRPr="00215867">
        <w:rPr>
          <w:rFonts w:ascii="Times New Roman" w:hAnsi="Times New Roman"/>
          <w:sz w:val="24"/>
          <w:lang w:val="fr-CD"/>
        </w:rPr>
        <w:t>les consultations et les réunions avec toutes les parties concernées par ce projet en accord avec les exigences du Gouvernement de la RDC et les procédures et règlements de la Banque mondiale.</w:t>
      </w:r>
    </w:p>
    <w:p w14:paraId="61537CA8" w14:textId="77777777" w:rsidR="004C12CB" w:rsidRPr="00215867" w:rsidRDefault="004C12CB" w:rsidP="003F350A">
      <w:pPr>
        <w:pStyle w:val="Paragraphedeliste"/>
        <w:widowControl w:val="0"/>
        <w:numPr>
          <w:ilvl w:val="0"/>
          <w:numId w:val="263"/>
        </w:numPr>
        <w:tabs>
          <w:tab w:val="left" w:pos="709"/>
        </w:tabs>
        <w:spacing w:after="0" w:line="276" w:lineRule="auto"/>
        <w:ind w:left="709" w:hanging="426"/>
        <w:jc w:val="both"/>
        <w:rPr>
          <w:rFonts w:ascii="Times New Roman" w:hAnsi="Times New Roman"/>
          <w:sz w:val="24"/>
          <w:lang w:val="fr-CD"/>
        </w:rPr>
      </w:pPr>
      <w:r w:rsidRPr="00215867">
        <w:rPr>
          <w:rFonts w:ascii="Times New Roman" w:hAnsi="Times New Roman"/>
          <w:sz w:val="24"/>
          <w:lang w:val="fr-CD"/>
        </w:rPr>
        <w:t>l’identification des personnes potentiellement affectées par les travaux.</w:t>
      </w:r>
    </w:p>
    <w:p w14:paraId="5AE220A8" w14:textId="77777777" w:rsidR="004C12CB" w:rsidRPr="00215867" w:rsidRDefault="004C12CB" w:rsidP="003F350A">
      <w:pPr>
        <w:spacing w:before="120" w:after="120"/>
        <w:ind w:right="6" w:firstLine="11"/>
        <w:jc w:val="both"/>
        <w:rPr>
          <w:rFonts w:ascii="Times New Roman" w:eastAsia="Arial" w:hAnsi="Times New Roman"/>
          <w:noProof/>
          <w:sz w:val="24"/>
          <w:szCs w:val="24"/>
        </w:rPr>
      </w:pPr>
      <w:r w:rsidRPr="00215867">
        <w:rPr>
          <w:rFonts w:ascii="Times New Roman" w:eastAsia="Arial" w:hAnsi="Times New Roman"/>
          <w:noProof/>
          <w:sz w:val="24"/>
          <w:szCs w:val="20"/>
        </w:rPr>
        <w:t xml:space="preserve">Le Consultant élaborera aussi un Plan d’Action de Réinstallation des Personnes Affectées par le Projet, se basant sur les deux  Plans d’Action de Réinstallation (PAR) précités, en actualisant la liste des personnes affectées par le projet, tenant compte de l’évolution de la situation sur terrain et, sur la Norme Environnementale et Sociale (NES)  n°5 (Acquisition des terres, restrictions à l’utilisation des terres et réinstallation forcée). </w:t>
      </w:r>
    </w:p>
    <w:p w14:paraId="300BAEE4" w14:textId="77777777" w:rsidR="004C12CB" w:rsidRPr="00215867" w:rsidRDefault="004C12CB" w:rsidP="004C12CB">
      <w:pPr>
        <w:pStyle w:val="Paragraphedeliste"/>
        <w:numPr>
          <w:ilvl w:val="2"/>
          <w:numId w:val="283"/>
        </w:numPr>
        <w:spacing w:before="120" w:after="120" w:line="276" w:lineRule="auto"/>
        <w:ind w:left="1077"/>
        <w:contextualSpacing w:val="0"/>
        <w:jc w:val="both"/>
        <w:rPr>
          <w:rFonts w:ascii="Times New Roman" w:hAnsi="Times New Roman"/>
          <w:b/>
          <w:sz w:val="24"/>
          <w:szCs w:val="24"/>
          <w:lang w:val="fr-CD"/>
        </w:rPr>
      </w:pPr>
      <w:r w:rsidRPr="00215867">
        <w:rPr>
          <w:rFonts w:ascii="Times New Roman" w:hAnsi="Times New Roman"/>
          <w:b/>
          <w:sz w:val="24"/>
          <w:szCs w:val="24"/>
          <w:lang w:val="fr-CD"/>
        </w:rPr>
        <w:t xml:space="preserve">Evaluation environnementale et sociale </w:t>
      </w:r>
    </w:p>
    <w:p w14:paraId="4B411CD8" w14:textId="77777777" w:rsidR="004C12CB" w:rsidRPr="00215867" w:rsidRDefault="004C12CB" w:rsidP="004C12CB">
      <w:pPr>
        <w:pStyle w:val="Paragraphedeliste"/>
        <w:numPr>
          <w:ilvl w:val="3"/>
          <w:numId w:val="283"/>
        </w:numPr>
        <w:spacing w:before="120" w:after="120" w:line="276" w:lineRule="auto"/>
        <w:ind w:left="1418" w:hanging="851"/>
        <w:contextualSpacing w:val="0"/>
        <w:jc w:val="both"/>
        <w:rPr>
          <w:rFonts w:ascii="Times New Roman" w:hAnsi="Times New Roman"/>
          <w:b/>
          <w:sz w:val="24"/>
          <w:szCs w:val="24"/>
          <w:lang w:val="fr-CD"/>
        </w:rPr>
      </w:pPr>
      <w:r w:rsidRPr="00215867">
        <w:rPr>
          <w:rFonts w:ascii="Times New Roman" w:hAnsi="Times New Roman"/>
          <w:b/>
          <w:sz w:val="24"/>
          <w:szCs w:val="24"/>
          <w:lang w:val="fr-CD"/>
        </w:rPr>
        <w:t>Objectif principal de l’EIES</w:t>
      </w:r>
    </w:p>
    <w:p w14:paraId="1BFC7744" w14:textId="77777777" w:rsidR="004C12CB" w:rsidRPr="00215867" w:rsidRDefault="004C12CB" w:rsidP="004C12CB">
      <w:pPr>
        <w:spacing w:before="120" w:after="120"/>
        <w:ind w:left="567"/>
        <w:jc w:val="both"/>
        <w:rPr>
          <w:rFonts w:ascii="Times New Roman" w:hAnsi="Times New Roman"/>
          <w:sz w:val="24"/>
          <w:szCs w:val="24"/>
          <w:lang w:val="fr-CD"/>
        </w:rPr>
      </w:pPr>
      <w:r w:rsidRPr="00215867">
        <w:rPr>
          <w:rFonts w:ascii="Times New Roman" w:hAnsi="Times New Roman"/>
          <w:sz w:val="24"/>
          <w:szCs w:val="24"/>
          <w:lang w:val="fr-CD"/>
        </w:rPr>
        <w:t>L’objectif principal de l’EIES est de « déterminer, évaluer et gérer les risques et effets environnementaux et sociaux du projet d’une manière compatible avec les NES ».  Elle devra :</w:t>
      </w:r>
    </w:p>
    <w:p w14:paraId="3F783BA7"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hAnsi="Times New Roman" w:cs="Times New Roman"/>
          <w:sz w:val="24"/>
          <w:szCs w:val="24"/>
          <w:lang w:val="fr-FR"/>
        </w:rPr>
      </w:pPr>
      <w:r w:rsidRPr="00215867">
        <w:rPr>
          <w:rFonts w:ascii="Times New Roman" w:hAnsi="Times New Roman" w:cs="Times New Roman"/>
          <w:sz w:val="24"/>
          <w:szCs w:val="24"/>
          <w:lang w:val="fr-FR"/>
        </w:rPr>
        <w:t>Adopter une approche de hiérarchie d’atténuation consistant à : a) anticiper et éviter les risques et les impacts ; b) lorsqu’il n’est pas possible de les éviter, minimiser ou réduire les risques et les impacts à des niveaux acceptables ; c) une fois que les risques et les impacts ont été minimisés ou réduits, les atténuer; et d) lorsque les impacts résiduels sont importants, les compenser ou les neutraliser si cela est techniquement et financièrement possible. ;</w:t>
      </w:r>
    </w:p>
    <w:p w14:paraId="0295483E"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hAnsi="Times New Roman" w:cs="Times New Roman"/>
          <w:sz w:val="24"/>
          <w:szCs w:val="24"/>
          <w:lang w:val="fr-FR"/>
        </w:rPr>
      </w:pPr>
      <w:r w:rsidRPr="00215867">
        <w:rPr>
          <w:rFonts w:ascii="Times New Roman" w:hAnsi="Times New Roman" w:cs="Times New Roman"/>
          <w:sz w:val="24"/>
          <w:szCs w:val="24"/>
          <w:lang w:val="fr-FR"/>
        </w:rPr>
        <w:t>Adopter des mesures différenciées de telle sorte que les impacts négatifs ne touchent pas de façon disproportionnée les personnes défavorisées ou vulnérables, et que celles-ci ne soient pas lésées dans le partage des avantages et opportunités de développement qu’offre le projet ;</w:t>
      </w:r>
    </w:p>
    <w:p w14:paraId="34012C72"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hAnsi="Times New Roman" w:cs="Times New Roman"/>
          <w:sz w:val="24"/>
          <w:szCs w:val="24"/>
          <w:lang w:val="fr-FR"/>
        </w:rPr>
      </w:pPr>
      <w:r w:rsidRPr="00215867">
        <w:rPr>
          <w:rFonts w:ascii="Times New Roman" w:hAnsi="Times New Roman" w:cs="Times New Roman"/>
          <w:sz w:val="24"/>
          <w:szCs w:val="24"/>
          <w:lang w:val="fr-FR"/>
        </w:rPr>
        <w:t>Utiliser, chaque fois qu’il convient, les institutions, lois, procédures, réglementations et systèmes nationaux en matière environnementale et sociale pour l’évaluation, la préparation et la mise en œuvre des projets ;</w:t>
      </w:r>
    </w:p>
    <w:p w14:paraId="2C12D48E"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hAnsi="Times New Roman" w:cs="Times New Roman"/>
          <w:sz w:val="24"/>
          <w:szCs w:val="24"/>
          <w:lang w:val="fr-FR"/>
        </w:rPr>
      </w:pPr>
      <w:r w:rsidRPr="00215867">
        <w:rPr>
          <w:rFonts w:ascii="Times New Roman" w:hAnsi="Times New Roman" w:cs="Times New Roman"/>
          <w:sz w:val="24"/>
          <w:szCs w:val="24"/>
          <w:lang w:val="fr-FR"/>
        </w:rPr>
        <w:t>Promouvoir l’amélioration des performances environnementales et sociales d’une manière qui prend en compte et renforce les capacités de l’Emprunteur ;</w:t>
      </w:r>
    </w:p>
    <w:p w14:paraId="69710C79"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hAnsi="Times New Roman" w:cs="Times New Roman"/>
          <w:sz w:val="24"/>
          <w:szCs w:val="24"/>
          <w:lang w:val="fr-CD"/>
        </w:rPr>
      </w:pPr>
      <w:r w:rsidRPr="00215867">
        <w:rPr>
          <w:rFonts w:ascii="Times New Roman" w:hAnsi="Times New Roman" w:cs="Times New Roman"/>
          <w:sz w:val="24"/>
          <w:szCs w:val="24"/>
          <w:lang w:val="fr-FR"/>
        </w:rPr>
        <w:t>déterminer et mesurer la nature, le niveau des risques et effets environnementaux et sociaux, en ce compris les risques VBG, EAS, HS et COVID-19, susceptibles d’être générés par les travaux concernés par le projet en vue d’évaluer et de proposer des mesures de suppression, d’atténuation et de compensation des effets négatifs et de bonification des impacts positifs, des indicateurs de suivi et de surveillance appropriés, ainsi que des dispositions institutionnelles à mettre en place pour la mise en œuvre desdites mesures.</w:t>
      </w:r>
      <w:r w:rsidRPr="00215867">
        <w:rPr>
          <w:rFonts w:ascii="Times New Roman" w:eastAsia="Times New Roman" w:hAnsi="Times New Roman" w:cs="Times New Roman"/>
          <w:color w:val="222222"/>
          <w:sz w:val="24"/>
          <w:szCs w:val="24"/>
          <w:lang w:val="fr-FR" w:eastAsia="fr-FR"/>
        </w:rPr>
        <w:t xml:space="preserve"> </w:t>
      </w:r>
    </w:p>
    <w:p w14:paraId="30F86356" w14:textId="77777777" w:rsidR="004C12CB" w:rsidRPr="00215867" w:rsidRDefault="004C12CB" w:rsidP="004C12CB">
      <w:pPr>
        <w:pStyle w:val="Paragraphedeliste"/>
        <w:numPr>
          <w:ilvl w:val="3"/>
          <w:numId w:val="283"/>
        </w:numPr>
        <w:spacing w:before="120" w:after="120" w:line="276" w:lineRule="auto"/>
        <w:ind w:left="1418" w:hanging="851"/>
        <w:contextualSpacing w:val="0"/>
        <w:jc w:val="both"/>
        <w:rPr>
          <w:rFonts w:ascii="Times New Roman" w:hAnsi="Times New Roman"/>
          <w:b/>
          <w:sz w:val="24"/>
          <w:szCs w:val="24"/>
          <w:lang w:val="fr-CD"/>
        </w:rPr>
      </w:pPr>
      <w:r w:rsidRPr="00215867">
        <w:rPr>
          <w:rFonts w:ascii="Times New Roman" w:hAnsi="Times New Roman"/>
          <w:b/>
          <w:sz w:val="24"/>
          <w:szCs w:val="24"/>
          <w:lang w:val="fr-CD"/>
        </w:rPr>
        <w:t>Objectifs spécifiques</w:t>
      </w:r>
    </w:p>
    <w:p w14:paraId="4407AADD"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Décrire le sous-projet (durée et chronogramme prévisionnel des différentes phases, modalités de mise en œuvre, activités des différentes phases, matières premières et procédés </w:t>
      </w:r>
      <w:r w:rsidRPr="00215867">
        <w:rPr>
          <w:rFonts w:ascii="Times New Roman" w:hAnsi="Times New Roman" w:cs="Times New Roman"/>
          <w:sz w:val="24"/>
          <w:szCs w:val="24"/>
          <w:lang w:val="fr-FR"/>
        </w:rPr>
        <w:t>d’extraction</w:t>
      </w:r>
      <w:r w:rsidRPr="00215867">
        <w:rPr>
          <w:rFonts w:ascii="Times New Roman" w:eastAsia="Times New Roman" w:hAnsi="Times New Roman" w:cs="Times New Roman"/>
          <w:sz w:val="24"/>
          <w:szCs w:val="24"/>
          <w:lang w:val="fr-CD" w:eastAsia="fr-FR"/>
        </w:rPr>
        <w:t>, emplois, etc.) en incluant tous les services requis incluant les investissements hors site qui peuvent se révéler nécessaires. Il devra être indiqué sur les cartes l’emplacement des sous-projets et les zones susceptibles de subir l’impact direct, indirect et cumulatif ;</w:t>
      </w:r>
    </w:p>
    <w:p w14:paraId="7532CB34"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Décrire les autres projets de développement passés, en cours et envisagés dans la zone d’influence du sous-projet, même s’ils ne sont pas directement liés au projet ;</w:t>
      </w:r>
    </w:p>
    <w:p w14:paraId="38AA91D0"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S’assurer que les communautés affectées et les autres parties prenantes sont impliquées dès le début du processus et tout au long du processus de l’EIES et de la durée de vie du projet, y compris à travers un mécanisme de recours efficace en cas de plainte.</w:t>
      </w:r>
    </w:p>
    <w:p w14:paraId="02A89F39"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Définir et analyser l’état actuel de la zone d’influence (direct, indirect et cumulatif) des sous-projets (étude de caractérisation environnementale et sociale de base) y compris son évolution probable en situation « sans projet », en intégrant notamment les aspects liés aux VBG, EAS et HS, ainsi que les considérations du coronavirus/covid-19 ; </w:t>
      </w:r>
    </w:p>
    <w:p w14:paraId="19F10C3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Fournir l’information sur les risques et impacts des sous-projets, mais aussi sur les différentes options, les mesures d'atténuation et de gestion des risques et  impacts après la prise de décision</w:t>
      </w:r>
      <w:r w:rsidRPr="00215867">
        <w:rPr>
          <w:rFonts w:ascii="Times New Roman" w:eastAsia="Times New Roman" w:hAnsi="Times New Roman" w:cs="Times New Roman"/>
          <w:color w:val="333333"/>
          <w:sz w:val="24"/>
          <w:szCs w:val="24"/>
          <w:shd w:val="clear" w:color="auto" w:fill="FFFFFF"/>
          <w:lang w:val="fr-CD" w:eastAsia="fr-FR"/>
        </w:rPr>
        <w:t> ;</w:t>
      </w:r>
    </w:p>
    <w:p w14:paraId="4F6DC6BD"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Analyser le cadre politique, juridique et institutionnel du projet dans lequel s’inscrit l’évaluation environnementale et sociale, tenant compte des exigences du nouveau CES sur les aspects liés aux VIH/SIDA, VBG, EAS et HS, gestion de la main d’œuvre, mobilisation des parties prenantes, gestion de la sécurité, hygiène et santé des communautés (y compris les considérations du coronavirus/covid-19). L’analyse du cadre institutionnel devra entre autres inclure l’analyse des capacités (personnel, spécialités disponibles, budget dédié aux aspects E&amp;S, nombre de supervision E&amp;S conduites au cours des deux dernières années ; MGP fonctionnel, logistique, reporting, etc.) et la performance environnementales et sociale des acteurs impliqués dans le projet y compris  l’UGP ; </w:t>
      </w:r>
    </w:p>
    <w:p w14:paraId="416E12B5"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Comparer la politique environnementale et sociale de la RDC avec les NES et faire ressortir les différences entre les deux. Cette comparaison devra être faite sur la base des objectifs et des exigences respectifs de chaque norme et des instruments qui en découlent. En outre, l’EIES tiendra compte des instruments juridiques relatifs au travail des enfants, à la discrimination et aux exigences relatives aux personnes handicapées.</w:t>
      </w:r>
    </w:p>
    <w:p w14:paraId="36D07F9F"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Identifier les potentiels passifs environnementaux des sites qui doivent être résolus dans le cadre des mesures environnementale et sociales du projet ; </w:t>
      </w:r>
    </w:p>
    <w:p w14:paraId="77BCD6BE"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Identifier le besoin d’acquisition des terres pour les besoins du projet, ainsi que les impacts sur les moyens de subsistance des populations riveraines ;</w:t>
      </w:r>
    </w:p>
    <w:p w14:paraId="22872B04"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Identifier, analyser et évaluer de manière intégrée les impacts directs, indirects, cumulatifs, et transfrontaliers, et tenir compte du principe de hiérarchie dans l’atténuation, à la lumière des neuf (9) NES pertinentes, associés aux travaux envisagés </w:t>
      </w:r>
    </w:p>
    <w:p w14:paraId="3689F2D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Évaluer les risques et impacts associés aux installations associées et ceux de la chaîne d'approvisionnement, ou démontrer l'incapacité juridique et institutionnelle de les contrôler ou influencer</w:t>
      </w:r>
    </w:p>
    <w:p w14:paraId="65354F3C"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Identifier et évaluer les potentiels risques des sous-projets sur les services écosystémiques, la circulation, la sécurité routière, le dispositif de sécurité et la santé communautaire; conformément à la NES 4 ;  </w:t>
      </w:r>
    </w:p>
    <w:p w14:paraId="492D8EAF"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Identifier les risques d’EAS/HS, en particulier les risques susceptibles d’être générés, exacerbés ou potentiellement prévenus par les travaux dans les zones d’intervention du projet. Tenir en compte les types de VBG qui touchent la communauté, ainsi que les communautés plus vulnérables auxdites violences, les lieux où les femmes et les filles se sentent le moins en sécurité, la manière dont la communauté se protège et traite actuellement les cas de VBG.</w:t>
      </w:r>
    </w:p>
    <w:p w14:paraId="73C799E6"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Proposer des mesures réalistes et appropriées, notamment celles liés aux risques de VBG, EAS et HS, de sécurité routière, ainsi que les considérations du coronavirus/covid-19, permettant soit d’éviter, d’atténuer, de minimiser ou de compenser les risques et effets négatifs, de prévenir et gérer leurs impacts, soit d’optimiser des impacts positifs et d’en évaluer les coûts y afférents ; ceci à la lumière des exigences des NES pertinentes applicables au projet ;</w:t>
      </w:r>
    </w:p>
    <w:p w14:paraId="4B6813F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Proposer le MGP adapté à la réalité de terrain de manière qu’il prenne en compte les plaintes générales et les plaintes sensibles à l’EAS/HS, conforme avec les exigences de la NES n°2, 4 , 5, 7, 8 et 10, de manière qu’il prenne en compte les exigences relatives à la gestion des plaintes de EAS/HS et les leçons apprises dans la mise en œuvre de Pro-Routes,  en ligne avec une approche axée sur les survivant(e)s et conforme avec les exigences du plan d’action EAS/HS en cours d’élaboration par le projet ;</w:t>
      </w:r>
    </w:p>
    <w:p w14:paraId="72D233CE"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Proposer un plan de santé, sécurité au travail en tenant compte du guide environnemental, santé et sécurité du groupe de la Banque mondiale et les bonnes pratiques internationales.</w:t>
      </w:r>
    </w:p>
    <w:p w14:paraId="051A609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Proposer les mesures liées à la promotion de l’inclusion sociale afin d’assurer l’égalité de chances dans les activités sur le terrain </w:t>
      </w:r>
    </w:p>
    <w:p w14:paraId="5FF788E5"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Proposer un résumé des mesures et actions clés à insérer dans le Plan d’Engagement Environnemental et Social (PEES), ainsi que les délais correspondants pour que le projet réponde aux exigences des Normes Environnementales et Sociales ; </w:t>
      </w:r>
    </w:p>
    <w:p w14:paraId="364B9A7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Proposer des clauses environnementales et sociales, incluant celles liées aux risques d’EAS et HS, à la sécurité routière, ainsi qu’aux considérations du coronavirus/covid-19, à insérer dans les Dossier d’Appel d’Offres (DAO) ; </w:t>
      </w:r>
    </w:p>
    <w:p w14:paraId="0D70FEC7"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Proposer le mécanisme de surveillance et de suivi socio-environnemental, prenant notamment compte la sécurité routière et des considérations du coronavirus/covid-19), et d’évaluer les coûts y afférents ;</w:t>
      </w:r>
    </w:p>
    <w:p w14:paraId="42EAD955"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Elaborer le Plan de Gestion Environnementale et Sociale conforme aux prescrits de la NES n°1 du CES de la Banque mondiale et de la législation nationale, qui comprendra les mesures d’atténuation et de suivi (y compris celles relatives à la prévention, la minimisation et/ou la mitigation des risques VBG/EAS/HS, de sécurité routière et du coronavirus/covid19), ainsi que de dispositions institutionnelles (intégrant les considérations du coronavirus/covid-19) à prendre en compte pendant l’exécution des travaux de la réalisation des infrastructures pour éliminer les risques et effets environnementaux et sociaux négatifs, les compenser ou les ramener à des niveaux acceptables, les besoins en renforcement de capacités et formation, le calendrier d’exécution et estimation des coûts de mise en œuvre du PGES.</w:t>
      </w:r>
    </w:p>
    <w:p w14:paraId="46A05ED5"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bidi="fr-FR"/>
        </w:rPr>
      </w:pPr>
      <w:r w:rsidRPr="00215867">
        <w:rPr>
          <w:rFonts w:ascii="Times New Roman" w:eastAsia="Times New Roman" w:hAnsi="Times New Roman" w:cs="Times New Roman"/>
          <w:sz w:val="24"/>
          <w:szCs w:val="24"/>
          <w:lang w:val="fr-CD" w:eastAsia="fr-FR"/>
        </w:rPr>
        <w:t>En ce qui concerne l’identification et l´évaluation de risques VBG, le Consultant (la firme) s’appuiera principalement sur les résultats de l’évaluation</w:t>
      </w:r>
      <w:r w:rsidRPr="00215867">
        <w:rPr>
          <w:rFonts w:ascii="Times New Roman" w:eastAsia="Times New Roman" w:hAnsi="Times New Roman" w:cs="Times New Roman"/>
          <w:sz w:val="24"/>
          <w:szCs w:val="24"/>
          <w:lang w:val="fr-CD" w:eastAsia="fr-FR" w:bidi="fr-FR"/>
        </w:rPr>
        <w:t xml:space="preserve"> les risques VBG, EAS et HS qui sera réalisée dans le cadre de ce projet.</w:t>
      </w:r>
    </w:p>
    <w:p w14:paraId="1162D9C3" w14:textId="77777777" w:rsidR="004C12CB" w:rsidRPr="00215867" w:rsidRDefault="004C12CB" w:rsidP="004C12CB">
      <w:pPr>
        <w:pStyle w:val="gmail-msolistparagraph"/>
        <w:numPr>
          <w:ilvl w:val="0"/>
          <w:numId w:val="139"/>
        </w:numPr>
        <w:spacing w:before="0" w:beforeAutospacing="0" w:after="60" w:afterAutospacing="0" w:line="276" w:lineRule="auto"/>
        <w:ind w:left="1134"/>
        <w:jc w:val="both"/>
        <w:rPr>
          <w:rFonts w:ascii="Times New Roman" w:eastAsia="Times New Roman" w:hAnsi="Times New Roman" w:cs="Times New Roman"/>
          <w:sz w:val="24"/>
          <w:szCs w:val="24"/>
          <w:lang w:val="fr-CD" w:eastAsia="fr-FR"/>
        </w:rPr>
      </w:pPr>
      <w:r w:rsidRPr="00215867">
        <w:rPr>
          <w:rFonts w:ascii="Times New Roman" w:eastAsia="Times New Roman" w:hAnsi="Times New Roman" w:cs="Times New Roman"/>
          <w:sz w:val="24"/>
          <w:szCs w:val="24"/>
          <w:lang w:val="fr-CD" w:eastAsia="fr-FR"/>
        </w:rPr>
        <w:t xml:space="preserve">S’agissant </w:t>
      </w:r>
      <w:r w:rsidRPr="00215867">
        <w:rPr>
          <w:rFonts w:ascii="Times New Roman" w:eastAsia="Times New Roman" w:hAnsi="Times New Roman" w:cs="Times New Roman"/>
          <w:sz w:val="24"/>
          <w:szCs w:val="24"/>
          <w:lang w:val="fr-CD" w:eastAsia="fr-FR" w:bidi="fr-FR"/>
        </w:rPr>
        <w:t>des considérations liées au  coronavirus/covid-19 :</w:t>
      </w:r>
    </w:p>
    <w:p w14:paraId="1848D327" w14:textId="77777777" w:rsidR="004C12CB" w:rsidRPr="00215867" w:rsidRDefault="004C12CB" w:rsidP="004C12CB">
      <w:pPr>
        <w:numPr>
          <w:ilvl w:val="0"/>
          <w:numId w:val="140"/>
        </w:numPr>
        <w:tabs>
          <w:tab w:val="left" w:pos="426"/>
          <w:tab w:val="left" w:pos="1560"/>
        </w:tabs>
        <w:spacing w:after="200" w:line="276" w:lineRule="auto"/>
        <w:ind w:left="1560" w:hanging="425"/>
        <w:contextualSpacing/>
        <w:jc w:val="both"/>
        <w:rPr>
          <w:rFonts w:ascii="Times New Roman" w:hAnsi="Times New Roman"/>
          <w:sz w:val="24"/>
          <w:szCs w:val="24"/>
          <w:lang w:val="fr-CD" w:eastAsia="fr-FR"/>
        </w:rPr>
      </w:pPr>
      <w:r w:rsidRPr="00215867">
        <w:rPr>
          <w:rFonts w:ascii="Times New Roman" w:hAnsi="Times New Roman"/>
          <w:sz w:val="24"/>
          <w:szCs w:val="24"/>
          <w:lang w:val="fr-CD" w:eastAsia="fr-FR"/>
        </w:rPr>
        <w:t xml:space="preserve">Identifier les risques spécifiques de COVID-19 face aux communautés locales, tout en s’assurant de tenir en compte des différentes perspectives et expériences des femmes, hommes, jeunes femmes et jeunes hommes ;  </w:t>
      </w:r>
    </w:p>
    <w:p w14:paraId="3CD93352" w14:textId="77777777" w:rsidR="004C12CB" w:rsidRPr="00215867" w:rsidRDefault="004C12CB" w:rsidP="004C12CB">
      <w:pPr>
        <w:numPr>
          <w:ilvl w:val="0"/>
          <w:numId w:val="140"/>
        </w:numPr>
        <w:tabs>
          <w:tab w:val="left" w:pos="426"/>
          <w:tab w:val="left" w:pos="1560"/>
        </w:tabs>
        <w:spacing w:after="200" w:line="276" w:lineRule="auto"/>
        <w:ind w:left="1560" w:hanging="425"/>
        <w:contextualSpacing/>
        <w:jc w:val="both"/>
        <w:rPr>
          <w:rFonts w:ascii="Times New Roman" w:hAnsi="Times New Roman"/>
          <w:sz w:val="24"/>
          <w:szCs w:val="24"/>
          <w:lang w:val="fr-CD" w:eastAsia="fr-FR"/>
        </w:rPr>
      </w:pPr>
      <w:r w:rsidRPr="00215867">
        <w:rPr>
          <w:rFonts w:ascii="Times New Roman" w:hAnsi="Times New Roman"/>
          <w:sz w:val="24"/>
          <w:szCs w:val="24"/>
          <w:lang w:val="fr-CD" w:eastAsia="fr-FR"/>
        </w:rPr>
        <w:t xml:space="preserve">Identifier les groupes vulnérables les plus touchés sur le plan psychologique et économique notamment les personnes âgées, les personnes atteintes de maladies chroniques, les femmes, les personnes vivantes avec handicap </w:t>
      </w:r>
    </w:p>
    <w:p w14:paraId="73929472" w14:textId="77777777" w:rsidR="004C12CB" w:rsidRPr="00215867" w:rsidRDefault="004C12CB" w:rsidP="004C12CB">
      <w:pPr>
        <w:numPr>
          <w:ilvl w:val="0"/>
          <w:numId w:val="140"/>
        </w:numPr>
        <w:tabs>
          <w:tab w:val="left" w:pos="426"/>
          <w:tab w:val="left" w:pos="1560"/>
        </w:tabs>
        <w:spacing w:after="0" w:line="276" w:lineRule="auto"/>
        <w:ind w:left="1560" w:hanging="425"/>
        <w:contextualSpacing/>
        <w:jc w:val="both"/>
        <w:rPr>
          <w:rFonts w:ascii="Times New Roman" w:hAnsi="Times New Roman"/>
          <w:sz w:val="24"/>
          <w:szCs w:val="24"/>
          <w:lang w:val="fr-CD" w:eastAsia="fr-FR"/>
        </w:rPr>
      </w:pPr>
      <w:r w:rsidRPr="00215867">
        <w:rPr>
          <w:rFonts w:ascii="Times New Roman" w:hAnsi="Times New Roman"/>
          <w:sz w:val="24"/>
          <w:szCs w:val="24"/>
          <w:lang w:val="fr-CD" w:eastAsia="fr-FR"/>
        </w:rPr>
        <w:t>Analyser les risques du COVID-19 face à la situation du genre, des violences conjugales, des VBG, y compris l’EAS/HS et comment la communauté fait face au COVID-19, et comment le projet peut potentiellement contribuer à exacerber ou prévenir ces risques </w:t>
      </w:r>
    </w:p>
    <w:p w14:paraId="5955DA70" w14:textId="77777777" w:rsidR="004C12CB" w:rsidRPr="00215867" w:rsidRDefault="004C12CB" w:rsidP="004C12CB">
      <w:pPr>
        <w:numPr>
          <w:ilvl w:val="0"/>
          <w:numId w:val="140"/>
        </w:numPr>
        <w:shd w:val="clear" w:color="auto" w:fill="FFFFFF"/>
        <w:tabs>
          <w:tab w:val="left" w:pos="1560"/>
        </w:tabs>
        <w:spacing w:after="0" w:line="240" w:lineRule="auto"/>
        <w:ind w:left="1560" w:hanging="425"/>
        <w:jc w:val="both"/>
        <w:rPr>
          <w:rFonts w:ascii="Times New Roman" w:hAnsi="Times New Roman"/>
          <w:color w:val="222222"/>
          <w:sz w:val="24"/>
          <w:szCs w:val="24"/>
          <w:lang w:val="fr-CD" w:eastAsia="fr-FR"/>
        </w:rPr>
      </w:pPr>
      <w:r w:rsidRPr="00215867">
        <w:rPr>
          <w:rFonts w:ascii="Times New Roman" w:hAnsi="Times New Roman"/>
          <w:color w:val="222222"/>
          <w:sz w:val="24"/>
          <w:szCs w:val="24"/>
          <w:lang w:val="fr-CD" w:eastAsia="fr-FR"/>
        </w:rPr>
        <w:t>Proposer des mesures à mettre en place pour la prévention, la minimisation et/ou mitigation des risques spécifiquement associés au coronavirus/covid19 ;</w:t>
      </w:r>
    </w:p>
    <w:p w14:paraId="4DA9F2CC" w14:textId="77777777" w:rsidR="004C12CB" w:rsidRPr="00215867" w:rsidRDefault="004C12CB" w:rsidP="004C12CB">
      <w:pPr>
        <w:numPr>
          <w:ilvl w:val="0"/>
          <w:numId w:val="140"/>
        </w:numPr>
        <w:shd w:val="clear" w:color="auto" w:fill="FFFFFF"/>
        <w:tabs>
          <w:tab w:val="left" w:pos="1560"/>
        </w:tabs>
        <w:spacing w:after="0" w:line="240" w:lineRule="auto"/>
        <w:ind w:left="1560" w:hanging="425"/>
        <w:jc w:val="both"/>
        <w:rPr>
          <w:rFonts w:ascii="Times New Roman" w:hAnsi="Times New Roman"/>
          <w:color w:val="222222"/>
          <w:sz w:val="24"/>
          <w:szCs w:val="24"/>
          <w:lang w:val="fr-CD" w:eastAsia="fr-FR"/>
        </w:rPr>
      </w:pPr>
      <w:r w:rsidRPr="00215867">
        <w:rPr>
          <w:rFonts w:ascii="Times New Roman" w:hAnsi="Times New Roman"/>
          <w:color w:val="222222"/>
          <w:sz w:val="24"/>
          <w:szCs w:val="24"/>
          <w:lang w:val="fr-CD" w:eastAsia="fr-FR"/>
        </w:rPr>
        <w:t>Intégrer les considérations du coronavirus/covid-19 dans les activités de suivi-évaluation ;</w:t>
      </w:r>
    </w:p>
    <w:p w14:paraId="0BD45C78" w14:textId="77777777" w:rsidR="004C12CB" w:rsidRPr="00215867" w:rsidRDefault="004C12CB" w:rsidP="004C12CB">
      <w:pPr>
        <w:numPr>
          <w:ilvl w:val="0"/>
          <w:numId w:val="140"/>
        </w:numPr>
        <w:shd w:val="clear" w:color="auto" w:fill="FFFFFF"/>
        <w:tabs>
          <w:tab w:val="left" w:pos="1560"/>
        </w:tabs>
        <w:spacing w:after="0" w:line="240" w:lineRule="auto"/>
        <w:ind w:left="1560" w:hanging="425"/>
        <w:jc w:val="both"/>
        <w:rPr>
          <w:rFonts w:ascii="Times New Roman" w:hAnsi="Times New Roman"/>
          <w:color w:val="222222"/>
          <w:sz w:val="24"/>
          <w:szCs w:val="24"/>
          <w:lang w:val="fr-CD" w:eastAsia="fr-FR"/>
        </w:rPr>
      </w:pPr>
      <w:r w:rsidRPr="00215867">
        <w:rPr>
          <w:rFonts w:ascii="Times New Roman" w:hAnsi="Times New Roman"/>
          <w:color w:val="222222"/>
          <w:sz w:val="24"/>
          <w:szCs w:val="24"/>
          <w:lang w:val="fr-CD" w:eastAsia="fr-FR"/>
        </w:rPr>
        <w:t>Intégrer les considérations du coronavirus/covid-19 dans les arrangements institutionnels pour la mise en œuvre et le suivi-évaluation des activités de prévention et de minimisation de la propagation du coronavirus/covid-19.</w:t>
      </w:r>
    </w:p>
    <w:p w14:paraId="6CEC31B2" w14:textId="77777777" w:rsidR="004C12CB" w:rsidRPr="00215867" w:rsidRDefault="004C12CB" w:rsidP="004C12CB">
      <w:pPr>
        <w:pStyle w:val="Paragraphedeliste"/>
        <w:numPr>
          <w:ilvl w:val="3"/>
          <w:numId w:val="283"/>
        </w:numPr>
        <w:spacing w:before="120" w:after="120" w:line="276" w:lineRule="auto"/>
        <w:ind w:left="1418" w:hanging="851"/>
        <w:contextualSpacing w:val="0"/>
        <w:jc w:val="both"/>
        <w:rPr>
          <w:rFonts w:ascii="Times New Roman" w:hAnsi="Times New Roman"/>
          <w:b/>
          <w:sz w:val="24"/>
          <w:szCs w:val="24"/>
          <w:lang w:val="fr-CD"/>
        </w:rPr>
      </w:pPr>
      <w:r w:rsidRPr="00215867">
        <w:rPr>
          <w:rFonts w:ascii="Times New Roman" w:hAnsi="Times New Roman"/>
          <w:b/>
          <w:sz w:val="24"/>
          <w:szCs w:val="24"/>
          <w:lang w:val="fr-CD"/>
        </w:rPr>
        <w:t>Tâches du consultant</w:t>
      </w:r>
    </w:p>
    <w:p w14:paraId="3C3B6C28" w14:textId="77777777" w:rsidR="004C12CB" w:rsidRPr="00215867" w:rsidRDefault="004C12CB" w:rsidP="004C12CB">
      <w:pPr>
        <w:spacing w:before="120" w:after="120"/>
        <w:ind w:left="567" w:right="6" w:firstLine="11"/>
        <w:jc w:val="both"/>
        <w:rPr>
          <w:rFonts w:ascii="Times New Roman" w:hAnsi="Times New Roman"/>
          <w:sz w:val="24"/>
          <w:szCs w:val="24"/>
          <w:lang w:val="fr-CD"/>
        </w:rPr>
      </w:pPr>
      <w:r w:rsidRPr="00215867">
        <w:rPr>
          <w:rFonts w:ascii="Times New Roman" w:hAnsi="Times New Roman"/>
          <w:sz w:val="24"/>
          <w:szCs w:val="24"/>
          <w:lang w:val="fr-CD"/>
        </w:rPr>
        <w:t>Le consultant réalisera les tâches reprises ci-dessous afin d’actualiser les informations contenues dans les EIES et les PAR :</w:t>
      </w:r>
    </w:p>
    <w:p w14:paraId="4EB102FD"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Décrire la méthodologie utilisée pour réaliser cette évaluation et indiquer les critères de sélection</w:t>
      </w:r>
    </w:p>
    <w:p w14:paraId="77CC702F"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Décrire de manière qualitative et quantitative le sous-projet objet de l’EIES : Structures, activités des différentes phases, installations techniques et infrastructures [types, empreinte en m2, dimensions, dessins, spécifications techniques] ; normes et standards de conception appliqués, y compris les mesures d’atténuation des risques et impacts environnementaux et sociaux intégrées dans la conception et dans les critères et standards de sécurité ; main d’œuvre, entreposage et dépôts de terres et matériaux, quantités de matériaux à transporter et provenance desdits matériaux ; nombre, périodicité et intensité des transports de matériaux, calendrier de réalisation des travaux, routines d’opération des structures et installation, etc…).</w:t>
      </w:r>
    </w:p>
    <w:p w14:paraId="78F8B7D4"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 xml:space="preserve">Définir la zone d’influence du Projet et l’analyser (étude de caractérisation environnementale et sociale de base) y compris son évolution probable en  situation « sans projet »,  en intégrant notamment les aspects liés aux VBG, EAS, HS et COVID-19. Une attention particulière devra être prêtée aux données de référence pour les impacts significatifs. </w:t>
      </w:r>
    </w:p>
    <w:p w14:paraId="78B12A7C"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 xml:space="preserve">Localiser les Chantiers et indiquer s’ils devront induire les déplacements de véhicules de tous types pour les besoins de l’approvisionnement du Chantier ou des travaux. Décrire de manière générale les tracés devant être utilisés pour les besoins de l’approvisionnement du Chantier ou des travaux : géométrie, densité de population, occupation du territoire ; statistiques d’accidentologie sur les différents tronçons routiers sur les dernières années ; </w:t>
      </w:r>
    </w:p>
    <w:p w14:paraId="3FB7DB98"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rPr>
      </w:pPr>
      <w:r w:rsidRPr="00215867">
        <w:rPr>
          <w:rFonts w:ascii="Times New Roman" w:hAnsi="Times New Roman"/>
          <w:sz w:val="24"/>
          <w:szCs w:val="24"/>
          <w:lang w:val="fr-CD"/>
        </w:rPr>
        <w:t xml:space="preserve">Analyser le cadre politique, juridique et institutionnel du projet dans lequel s’inscrit l’évaluation environnementale et sociale, tenant compte des </w:t>
      </w:r>
      <w:bookmarkStart w:id="1184" w:name="_Hlk34409384"/>
      <w:r w:rsidRPr="00215867">
        <w:rPr>
          <w:rFonts w:ascii="Times New Roman" w:hAnsi="Times New Roman"/>
          <w:sz w:val="24"/>
          <w:szCs w:val="24"/>
          <w:lang w:val="fr-CD"/>
        </w:rPr>
        <w:t xml:space="preserve">exigences du nouveau CES sur les </w:t>
      </w:r>
      <w:bookmarkEnd w:id="1184"/>
      <w:r w:rsidRPr="00215867">
        <w:rPr>
          <w:rFonts w:ascii="Times New Roman" w:hAnsi="Times New Roman"/>
          <w:sz w:val="24"/>
          <w:szCs w:val="24"/>
          <w:lang w:val="fr-CD"/>
        </w:rPr>
        <w:t>aspects VBG, EAS, HS y compris la situation</w:t>
      </w:r>
      <w:r w:rsidRPr="00215867">
        <w:rPr>
          <w:rFonts w:ascii="Times New Roman" w:hAnsi="Times New Roman"/>
          <w:sz w:val="24"/>
          <w:szCs w:val="24"/>
          <w:lang w:val="fr-CD" w:bidi="fr-FR"/>
        </w:rPr>
        <w:t xml:space="preserve"> de COVID-19. </w:t>
      </w:r>
      <w:r w:rsidRPr="00215867">
        <w:rPr>
          <w:rFonts w:ascii="Times New Roman" w:hAnsi="Times New Roman"/>
          <w:sz w:val="24"/>
          <w:szCs w:val="24"/>
        </w:rPr>
        <w:t>A cet effet, le consultant actualisera, décrira et analysera :</w:t>
      </w:r>
    </w:p>
    <w:p w14:paraId="0B703C80" w14:textId="77777777" w:rsidR="004C12CB" w:rsidRPr="00215867" w:rsidRDefault="004C12CB" w:rsidP="004C12CB">
      <w:pPr>
        <w:numPr>
          <w:ilvl w:val="0"/>
          <w:numId w:val="255"/>
        </w:numPr>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les règlements et normes les plus pertinents qui régissent la qualité de l’environnement, la santé, la sécurité, la protection des espèces en danger, le contrôle de l’utilisation du sol, la réinstallation, l’acquisition des terrains, la sécurité routière, la sécurité incendie, etc. ; </w:t>
      </w:r>
    </w:p>
    <w:p w14:paraId="6BCDABA7" w14:textId="77777777" w:rsidR="004C12CB" w:rsidRPr="00215867" w:rsidRDefault="004C12CB" w:rsidP="004C12CB">
      <w:pPr>
        <w:numPr>
          <w:ilvl w:val="0"/>
          <w:numId w:val="255"/>
        </w:numPr>
        <w:spacing w:after="0" w:line="276" w:lineRule="auto"/>
        <w:ind w:left="1701" w:hanging="425"/>
        <w:jc w:val="both"/>
        <w:rPr>
          <w:rFonts w:ascii="Times New Roman" w:hAnsi="Times New Roman"/>
          <w:sz w:val="24"/>
          <w:szCs w:val="24"/>
          <w:lang w:val="fr-CD"/>
        </w:rPr>
      </w:pPr>
      <w:bookmarkStart w:id="1185" w:name="_Hlk34409400"/>
      <w:r w:rsidRPr="00215867">
        <w:rPr>
          <w:rFonts w:ascii="Times New Roman" w:hAnsi="Times New Roman"/>
          <w:sz w:val="24"/>
          <w:szCs w:val="24"/>
          <w:lang w:val="fr-CD" w:bidi="fr-FR"/>
        </w:rPr>
        <w:t xml:space="preserve">la procédure de </w:t>
      </w:r>
      <w:r w:rsidRPr="00215867">
        <w:rPr>
          <w:rFonts w:ascii="Times New Roman" w:hAnsi="Times New Roman"/>
          <w:sz w:val="24"/>
          <w:szCs w:val="24"/>
          <w:lang w:val="fr-CD"/>
        </w:rPr>
        <w:t xml:space="preserve">gestion de la main d’œuvre, de mobilisation des parties prenantes, de la sécurité, </w:t>
      </w:r>
      <w:bookmarkStart w:id="1186" w:name="_Hlk34409430"/>
      <w:bookmarkEnd w:id="1185"/>
      <w:r w:rsidRPr="00215867">
        <w:rPr>
          <w:rFonts w:ascii="Times New Roman" w:hAnsi="Times New Roman"/>
          <w:sz w:val="24"/>
          <w:szCs w:val="24"/>
          <w:lang w:val="fr-CD"/>
        </w:rPr>
        <w:t>de l’hygiène et  de la sécurité des communautés</w:t>
      </w:r>
      <w:bookmarkEnd w:id="1186"/>
      <w:r w:rsidRPr="00215867">
        <w:rPr>
          <w:rFonts w:ascii="Times New Roman" w:hAnsi="Times New Roman"/>
          <w:sz w:val="24"/>
          <w:szCs w:val="24"/>
          <w:lang w:val="fr-CD"/>
        </w:rPr>
        <w:t xml:space="preserve"> dans la nouvelle configuration du projet. </w:t>
      </w:r>
    </w:p>
    <w:p w14:paraId="4C3F0580" w14:textId="77777777" w:rsidR="004C12CB" w:rsidRPr="00215867" w:rsidRDefault="004C12CB" w:rsidP="004C12CB">
      <w:pPr>
        <w:numPr>
          <w:ilvl w:val="0"/>
          <w:numId w:val="255"/>
        </w:numPr>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l’adéquation entre le cadre institutionnel, légal et juridique applicable identifié, la mise en œuvre et le maintien du projet proposé, en particulier, les responsabilités d’atténuation, de suivi et institutionnelles proposées afin de s’assurer de la capacité des parties prenantes pour la mise en œuvre et le suivi du PGES et, le cas échéant, proposer un renforcement de leurs capacités. Le consultant comparera également le cadre environnemental et social de la RDC avec les NES de la Banque et fera ressortir les différences entre les deux pour afin appliquer le plus pondérant. </w:t>
      </w:r>
      <w:r w:rsidRPr="00215867">
        <w:rPr>
          <w:rFonts w:ascii="Times New Roman" w:hAnsi="Times New Roman"/>
          <w:sz w:val="24"/>
          <w:szCs w:val="24"/>
          <w:lang w:val="fr-CD" w:bidi="fr-FR"/>
        </w:rPr>
        <w:t>Cette comparaison devra être faite sur la base des objectifs et des exigences respectifs de chaque norme et des instruments qui en découlent</w:t>
      </w:r>
      <w:r w:rsidRPr="00215867">
        <w:rPr>
          <w:rFonts w:ascii="Times New Roman" w:hAnsi="Times New Roman"/>
          <w:sz w:val="24"/>
          <w:szCs w:val="24"/>
          <w:lang w:val="fr-CD"/>
        </w:rPr>
        <w:t>;</w:t>
      </w:r>
    </w:p>
    <w:p w14:paraId="28C2E5A1"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bookmarkStart w:id="1187" w:name="_Hlk34409467"/>
      <w:r w:rsidRPr="00215867">
        <w:rPr>
          <w:rFonts w:ascii="Times New Roman" w:hAnsi="Times New Roman"/>
          <w:sz w:val="24"/>
          <w:szCs w:val="24"/>
          <w:lang w:val="fr-CD"/>
        </w:rPr>
        <w:t>Identifier les  besoins d’acquisition des terres pour les nécessités du projet, ainsi que leurs impacts sur les moyens de subsistance des populations riveraines qui nécessiteraient la préparation d’un PAR ;</w:t>
      </w:r>
      <w:bookmarkEnd w:id="1187"/>
    </w:p>
    <w:p w14:paraId="57F01B11"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Identifier, analyser, caractériser et évaluer de manière intégrée les risques et effets environnementaux</w:t>
      </w:r>
      <w:r w:rsidRPr="00215867" w:rsidDel="00CB5519">
        <w:rPr>
          <w:rFonts w:ascii="Times New Roman" w:hAnsi="Times New Roman"/>
          <w:sz w:val="24"/>
          <w:szCs w:val="24"/>
          <w:lang w:val="fr-CD"/>
        </w:rPr>
        <w:t xml:space="preserve"> </w:t>
      </w:r>
      <w:r w:rsidRPr="00215867">
        <w:rPr>
          <w:rFonts w:ascii="Times New Roman" w:hAnsi="Times New Roman"/>
          <w:sz w:val="24"/>
          <w:szCs w:val="24"/>
          <w:lang w:val="fr-CD"/>
        </w:rPr>
        <w:t>et sociaux directs, indirects, cumulatifs, positifs et négatifs, à la lumière des huit NES pertinentes applicables au projet, associées aux travaux ainsi que les risques de VBG, EAS, HS et COVID-19 existant et ceux susceptibles d'être générés par les activités découlant de la réalisation des travaux et prévoir des mesures de prévention, d’atténuation afin de répondre aux risques identifiés dès le début du projet. A ce sujet, le consultant indiquera les critères de sélection à utiliser pour identifier les composantes environnementales importantes et analyser les risques, effets et les impacts significatifs à considérer ainsi que les impacts cumulatifs des autres activités de développement en cours et/ou prévues dans la même zone d’intervention du projet tels que prévus par la NES n°1 de la Banque mondiale ;</w:t>
      </w:r>
    </w:p>
    <w:p w14:paraId="314B4341" w14:textId="77777777" w:rsidR="004C12CB" w:rsidRPr="00215867" w:rsidRDefault="004C12CB" w:rsidP="004C12CB">
      <w:pPr>
        <w:numPr>
          <w:ilvl w:val="0"/>
          <w:numId w:val="262"/>
        </w:numPr>
        <w:spacing w:after="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En ce qui concerne l’identification et l´évaluation de risques VBG :</w:t>
      </w:r>
    </w:p>
    <w:p w14:paraId="2F5FD38E"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Inclure les risques spécifiques des communautés et identifier les groupes les plus vulnérables, les endroits où les femmes se sentent moins en sécurité, les différentes formes de VBG et comment la communauté fait face aux violences faites aux femmes ; </w:t>
      </w:r>
    </w:p>
    <w:p w14:paraId="0A43B83E"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Conduire des consultations avec les groupes des femmes et des jeunes filles pour recueillir leurs préoccupations relatives à leur bien-être, leur santé et leur sécurité, et aux impacts potentiels de la mise en œuvre du projet. Pour les consultations devant être menées auprès des mineures, le consultant doit avoir dans son équipe, une personne disposant des compétences nécessaire à communiquer avec les mineures et une compréhension approfondie de la culture et des coutumes locales. </w:t>
      </w:r>
    </w:p>
    <w:p w14:paraId="62FFEB34" w14:textId="77777777" w:rsidR="004C12CB" w:rsidRPr="00215867" w:rsidRDefault="004C12CB" w:rsidP="004C12CB">
      <w:pPr>
        <w:tabs>
          <w:tab w:val="left" w:pos="1701"/>
        </w:tabs>
        <w:ind w:left="1701"/>
        <w:jc w:val="both"/>
        <w:rPr>
          <w:rFonts w:ascii="Times New Roman" w:hAnsi="Times New Roman"/>
          <w:sz w:val="24"/>
          <w:szCs w:val="24"/>
          <w:lang w:val="fr-CD"/>
        </w:rPr>
      </w:pPr>
      <w:r w:rsidRPr="00215867">
        <w:rPr>
          <w:rFonts w:ascii="Times New Roman" w:hAnsi="Times New Roman"/>
          <w:sz w:val="24"/>
          <w:szCs w:val="24"/>
          <w:lang w:val="fr-CD"/>
        </w:rPr>
        <w:t>Ces consultations ne devront jamais porter directement sur les expériences individuelles en matière de VBG ou essayer d’identifier ou interviewer des survivant(e)s. Elles doivent plutôt être axées sur la nécessité de comprendre l’expérience des femmes et des filles dans les communautés riveraines. Avant de commencer les consultations, les équipes devront être bien préparées et disposer d’informations sur les services de soutien aux survivant(e)s existants au sein de la communauté, de sorte que toute personne qui évoque des expériences personnelles de VBG puisse être orientée immédiatement.</w:t>
      </w:r>
    </w:p>
    <w:p w14:paraId="0EEF0B13"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Identifier les potentiels points d´entrée pour le mécanisme de gestion de plaintes du projet, en tenant en compte de l’efficacité, la confidentialité et la sécurité des plaignantes. </w:t>
      </w:r>
    </w:p>
    <w:p w14:paraId="0388A1EF"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S’assurer que les consultations du public sont conformes aux lignes directrices de la Banque mondiale pour le processus de participation compte tenu de la situation due à la COVID-19. </w:t>
      </w:r>
    </w:p>
    <w:p w14:paraId="2BB912FC"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Au sujet de la pandémie de la COVID-19:</w:t>
      </w:r>
    </w:p>
    <w:p w14:paraId="761A1A1F"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Identifier les risques spécifiques de la COVID-19 face aux communautés locales, identifier les groupes vulnérables les plus touchés sur le plan psychologique et économique notamment les femmes, les personnes de troisième âge et les personnes vivantes avec handicap </w:t>
      </w:r>
    </w:p>
    <w:p w14:paraId="62690987"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Analyser les risques de la  COVID-19 face à la situation du genre, des violences conjugales, des VBG et comment la communauté fait face à la COVID-19.</w:t>
      </w:r>
    </w:p>
    <w:p w14:paraId="729F5A07"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Proposer des mesures réalistes pour éviter, minimiser ou compenser les risques et effets environnementaux</w:t>
      </w:r>
      <w:r w:rsidRPr="00215867" w:rsidDel="00CB5519">
        <w:rPr>
          <w:rFonts w:ascii="Times New Roman" w:hAnsi="Times New Roman"/>
          <w:sz w:val="24"/>
          <w:szCs w:val="24"/>
          <w:lang w:val="fr-CD"/>
        </w:rPr>
        <w:t xml:space="preserve"> </w:t>
      </w:r>
      <w:r w:rsidRPr="00215867">
        <w:rPr>
          <w:rFonts w:ascii="Times New Roman" w:hAnsi="Times New Roman"/>
          <w:sz w:val="24"/>
          <w:szCs w:val="24"/>
          <w:lang w:val="fr-CD"/>
        </w:rPr>
        <w:t xml:space="preserve">et sociaux négatifs associés aux travaux et à l’exploitation des infrastructures et aménagements préconisés, mais également celles visant à bonifier les impacts positifs potentiels, et évaluer les coûts y afférents ; </w:t>
      </w:r>
    </w:p>
    <w:p w14:paraId="664DC483" w14:textId="77777777" w:rsidR="004C12CB" w:rsidRPr="00215867" w:rsidRDefault="004C12CB" w:rsidP="004C12CB">
      <w:pPr>
        <w:pStyle w:val="Paragraphedeliste"/>
        <w:numPr>
          <w:ilvl w:val="1"/>
          <w:numId w:val="262"/>
        </w:numPr>
        <w:spacing w:after="0" w:line="276" w:lineRule="auto"/>
        <w:ind w:left="1701"/>
        <w:jc w:val="both"/>
        <w:rPr>
          <w:rFonts w:ascii="Times New Roman" w:hAnsi="Times New Roman"/>
          <w:sz w:val="24"/>
          <w:szCs w:val="24"/>
          <w:lang w:val="fr-CD"/>
        </w:rPr>
      </w:pPr>
      <w:r w:rsidRPr="00215867">
        <w:rPr>
          <w:rFonts w:ascii="Times New Roman" w:hAnsi="Times New Roman"/>
          <w:sz w:val="24"/>
          <w:szCs w:val="24"/>
          <w:lang w:val="fr-CD"/>
        </w:rPr>
        <w:t xml:space="preserve">en se basant sur le principe de la hiérarchie de l’atténuation, qui consiste à : </w:t>
      </w:r>
    </w:p>
    <w:p w14:paraId="5078CD1A" w14:textId="77777777" w:rsidR="004C12CB" w:rsidRPr="00215867" w:rsidRDefault="004C12CB" w:rsidP="004C12CB">
      <w:pPr>
        <w:pStyle w:val="Paragraphedeliste"/>
        <w:numPr>
          <w:ilvl w:val="0"/>
          <w:numId w:val="274"/>
        </w:numPr>
        <w:spacing w:after="0" w:line="240"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anticiper et éviter les risques et les impacts ;</w:t>
      </w:r>
    </w:p>
    <w:p w14:paraId="45612D6B" w14:textId="77777777" w:rsidR="004C12CB" w:rsidRPr="00215867" w:rsidRDefault="004C12CB" w:rsidP="004C12CB">
      <w:pPr>
        <w:pStyle w:val="Paragraphedeliste"/>
        <w:numPr>
          <w:ilvl w:val="0"/>
          <w:numId w:val="274"/>
        </w:numPr>
        <w:spacing w:after="0" w:line="240"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lorsqu’il n’est pas possible de les éviter, minimiser ou réduire les risques et les impacts à des niveaux acceptables ;  </w:t>
      </w:r>
    </w:p>
    <w:p w14:paraId="3C184CF2" w14:textId="77777777" w:rsidR="004C12CB" w:rsidRPr="00215867" w:rsidRDefault="004C12CB" w:rsidP="004C12CB">
      <w:pPr>
        <w:pStyle w:val="Paragraphedeliste"/>
        <w:numPr>
          <w:ilvl w:val="0"/>
          <w:numId w:val="274"/>
        </w:numPr>
        <w:spacing w:after="0" w:line="240"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une fois que les risques et les impacts ont été minimisés ou réduits, les atténuer</w:t>
      </w:r>
    </w:p>
    <w:p w14:paraId="0B4CA90C" w14:textId="77777777" w:rsidR="004C12CB" w:rsidRPr="00215867" w:rsidRDefault="004C12CB" w:rsidP="004C12CB">
      <w:pPr>
        <w:pStyle w:val="Paragraphedeliste"/>
        <w:numPr>
          <w:ilvl w:val="1"/>
          <w:numId w:val="262"/>
        </w:numPr>
        <w:spacing w:after="0" w:line="276" w:lineRule="auto"/>
        <w:ind w:left="1701"/>
        <w:jc w:val="both"/>
        <w:rPr>
          <w:rFonts w:ascii="Times New Roman" w:hAnsi="Times New Roman"/>
          <w:sz w:val="24"/>
          <w:szCs w:val="24"/>
          <w:lang w:val="fr-CD"/>
        </w:rPr>
      </w:pPr>
      <w:r w:rsidRPr="00215867">
        <w:rPr>
          <w:rFonts w:ascii="Times New Roman" w:hAnsi="Times New Roman"/>
          <w:sz w:val="24"/>
          <w:szCs w:val="24"/>
          <w:lang w:val="fr-CD"/>
        </w:rPr>
        <w:t>en distinguant les impacts et risques dont la gestion relève entièrement des entreprises et ceux dont la gestion relève du promoteur du sous-projet ou des services techniques compétents du gouvernement, qui seront gérés au moyen d’engagements spécifiques de ces structures, en tant que contrepartie nationale du Projet</w:t>
      </w:r>
    </w:p>
    <w:p w14:paraId="16FDEFA1"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 xml:space="preserve">Proposer en conformité avec les exigences des NES pertinentes applicables au projet : </w:t>
      </w:r>
    </w:p>
    <w:p w14:paraId="26DEA4CB" w14:textId="77777777" w:rsidR="004C12CB" w:rsidRPr="00215867" w:rsidRDefault="004C12CB" w:rsidP="004C12CB">
      <w:pPr>
        <w:numPr>
          <w:ilvl w:val="0"/>
          <w:numId w:val="255"/>
        </w:numPr>
        <w:spacing w:after="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le mécanisme de Gestion des Plaintes (MGP) flexible et adaptatif en tenant compte de la NES n°10, incluant les plaintes liées aux incidents VBG et des mesures nécessaires de manière à ce qu’il soit orienté vers les survivantes pour réduire et prévenir les risques de VBG/EAS/HS/COVID-19 identifiés, </w:t>
      </w:r>
    </w:p>
    <w:p w14:paraId="4664C727" w14:textId="77777777" w:rsidR="004C12CB" w:rsidRPr="00215867" w:rsidRDefault="004C12CB" w:rsidP="004C12CB">
      <w:pPr>
        <w:numPr>
          <w:ilvl w:val="0"/>
          <w:numId w:val="255"/>
        </w:numPr>
        <w:spacing w:after="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des mesures garantissant la jouissance équitable des infrastructures et aménagements réalisés ; </w:t>
      </w:r>
    </w:p>
    <w:p w14:paraId="233900FB" w14:textId="77777777" w:rsidR="004C12CB" w:rsidRPr="00215867" w:rsidRDefault="004C12CB" w:rsidP="004C12CB">
      <w:pPr>
        <w:numPr>
          <w:ilvl w:val="0"/>
          <w:numId w:val="255"/>
        </w:numPr>
        <w:spacing w:after="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des mesures de protection contre les maladies, les risques professionnels, les pollutions, les émissions de gaz à effet de serre ;</w:t>
      </w:r>
    </w:p>
    <w:p w14:paraId="5CE7608B"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 xml:space="preserve">Elaborer un Plan de Gestion Environnementale et sociale (PGES) comprenant un ensemble de mesures d’atténuation, de contrôle et institutionnelles, y compris les politiques, les procédures et des pratiques, ainsi que les actions nécessaires pour mettre en œuvre ces mesures, afin d’obtenir les résultats souhaités en termes de durabilité environnementale et sociale. </w:t>
      </w:r>
    </w:p>
    <w:p w14:paraId="336F99A6" w14:textId="77777777" w:rsidR="004C12CB" w:rsidRPr="00215867" w:rsidRDefault="004C12CB" w:rsidP="004C12CB">
      <w:pPr>
        <w:pStyle w:val="Paragraphedeliste"/>
        <w:spacing w:before="120" w:after="120"/>
        <w:ind w:left="709"/>
        <w:jc w:val="both"/>
        <w:rPr>
          <w:rFonts w:ascii="Times New Roman" w:hAnsi="Times New Roman"/>
          <w:sz w:val="24"/>
          <w:szCs w:val="24"/>
          <w:lang w:val="fr-CD"/>
        </w:rPr>
      </w:pPr>
      <w:r w:rsidRPr="00215867">
        <w:rPr>
          <w:rFonts w:ascii="Times New Roman" w:hAnsi="Times New Roman"/>
          <w:sz w:val="24"/>
          <w:szCs w:val="24"/>
        </w:rPr>
        <w:t xml:space="preserve">Le </w:t>
      </w:r>
      <w:r w:rsidRPr="00215867">
        <w:rPr>
          <w:rFonts w:ascii="Times New Roman" w:hAnsi="Times New Roman"/>
          <w:sz w:val="24"/>
          <w:szCs w:val="24"/>
          <w:lang w:val="fr-CD"/>
        </w:rPr>
        <w:t>PGES comprendra :</w:t>
      </w:r>
    </w:p>
    <w:p w14:paraId="5B665762" w14:textId="77777777" w:rsidR="004C12CB" w:rsidRPr="00215867" w:rsidRDefault="004C12CB" w:rsidP="004C12CB">
      <w:pPr>
        <w:numPr>
          <w:ilvl w:val="0"/>
          <w:numId w:val="255"/>
        </w:numPr>
        <w:spacing w:after="0" w:line="276" w:lineRule="auto"/>
        <w:ind w:left="1560" w:hanging="425"/>
        <w:jc w:val="both"/>
        <w:rPr>
          <w:rFonts w:ascii="Times New Roman" w:hAnsi="Times New Roman"/>
          <w:sz w:val="24"/>
          <w:szCs w:val="24"/>
          <w:lang w:val="fr-CD"/>
        </w:rPr>
      </w:pPr>
      <w:r w:rsidRPr="00215867">
        <w:rPr>
          <w:rFonts w:ascii="Times New Roman" w:hAnsi="Times New Roman"/>
          <w:sz w:val="24"/>
          <w:szCs w:val="24"/>
          <w:lang w:val="fr-CD"/>
        </w:rPr>
        <w:t xml:space="preserve">les mesures d’évitement, d’atténuation, de suppression et de compensation des impacts environnementaux et sociaux (hygiène, sécurité et santé) potentiels, et la gestion des plaintes en accord avec la NES n°1 ; </w:t>
      </w:r>
    </w:p>
    <w:p w14:paraId="003341E4" w14:textId="77777777" w:rsidR="004C12CB" w:rsidRPr="00215867" w:rsidRDefault="004C12CB" w:rsidP="004C12CB">
      <w:pPr>
        <w:numPr>
          <w:ilvl w:val="0"/>
          <w:numId w:val="255"/>
        </w:numPr>
        <w:spacing w:after="0" w:line="276" w:lineRule="auto"/>
        <w:ind w:left="1560" w:hanging="425"/>
        <w:jc w:val="both"/>
        <w:rPr>
          <w:rFonts w:ascii="Times New Roman" w:hAnsi="Times New Roman"/>
          <w:sz w:val="24"/>
          <w:szCs w:val="24"/>
          <w:lang w:val="fr-CD"/>
        </w:rPr>
      </w:pPr>
      <w:r w:rsidRPr="00215867">
        <w:rPr>
          <w:rFonts w:ascii="Times New Roman" w:hAnsi="Times New Roman"/>
          <w:sz w:val="24"/>
          <w:szCs w:val="24"/>
          <w:lang w:val="fr-CD"/>
        </w:rPr>
        <w:t>une série de mesures d’atténuation et de suivi ainsi que de dispositions institutionnelles à prendre pendant la mise en œuvre et l’exploitation du projet pour éliminer les risques et effets environnementaux et sociaux néfastes, les compenser ou les ramener à des niveaux acceptables , et  également les mesures et actions nécessaires pour mettre en œuvre ces mesures, actions et dispositions ;</w:t>
      </w:r>
    </w:p>
    <w:p w14:paraId="497381E6"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les mécanismes de suivi et de surveillance du projet et de son environnement ; </w:t>
      </w:r>
    </w:p>
    <w:p w14:paraId="6F4B25A0"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les responsabilités et les besoins en renforcement des capacités des divers acteurs  </w:t>
      </w:r>
    </w:p>
    <w:p w14:paraId="30EF67E2"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les dispositions institutionnelles à prendre pendant les phases d’exécution et d’exploitation des travaux pour éliminer les risques et effets environnementaux et sociaux négatifs, les compenser ou les ramener à des niveaux acceptables ;</w:t>
      </w:r>
    </w:p>
    <w:p w14:paraId="6B710D36"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un mécanisme de communication aux parties prenantes des résultats du suivi donné à l’étude environnementale et sociale, afin d’obtenir un retour d’information sur les performances de la mise en œuvre du projet et du PGES ; </w:t>
      </w:r>
    </w:p>
    <w:p w14:paraId="6B14AEBA"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 xml:space="preserve">un plan d’urgence définissant les attributions du personnel, et au besoin, le plan de formation y afférent, les rôles et responsabilités de chaque employé pour les mesures d’urgence. Ce plan comprendra : </w:t>
      </w:r>
    </w:p>
    <w:p w14:paraId="137FF4CF"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un inventaire des accidents majeurs survenus sur les sites de l’exploitant et l’analyse de la typologie des accidents les plus fréquents </w:t>
      </w:r>
    </w:p>
    <w:p w14:paraId="2EDF5795"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un recensement des agressions externes potentielles (activités humaines et phénomènes naturels : vents et tempête ; foudre ; glissement de sols ; inondations, etc.) </w:t>
      </w:r>
    </w:p>
    <w:p w14:paraId="492FB350"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les scénarii d’accidents en se basant sur un questionnement systématique des causes et conséquences possibles des événements accidentels, ainsi que sur le retour d’expérience disponible: conséquences et zones à risque </w:t>
      </w:r>
    </w:p>
    <w:p w14:paraId="45FEE924"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la mise en place des mesures de sécurité et de protection des personnes et de l'environnement extérieur contre des effets liés à l'utilisation de l'énergie électrique. Les cabines par exemple, pourront être installées dans des emplacements accessibles au public et le sous-projet doit donc assurer la sécurité des personnes dans les conditions de service normales, tout en maintenant leur niveau de caractéristique technique. </w:t>
      </w:r>
    </w:p>
    <w:p w14:paraId="5F42E530"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les formations pertinentes en cas d’urgence </w:t>
      </w:r>
    </w:p>
    <w:p w14:paraId="245F5DD9"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la structure d’intervention en situation d’urgence  </w:t>
      </w:r>
    </w:p>
    <w:p w14:paraId="79A00786"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rPr>
      </w:pPr>
      <w:r w:rsidRPr="00215867">
        <w:rPr>
          <w:rFonts w:ascii="Times New Roman" w:hAnsi="Times New Roman"/>
          <w:sz w:val="24"/>
          <w:szCs w:val="24"/>
        </w:rPr>
        <w:t>les modes de communication </w:t>
      </w:r>
    </w:p>
    <w:p w14:paraId="0B4D9AA4"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les mesures d’intervention et les actions envisagées par scénario d’accident  </w:t>
      </w:r>
    </w:p>
    <w:p w14:paraId="3B323BE7"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les mesures de protection des populations des zones à risque </w:t>
      </w:r>
    </w:p>
    <w:p w14:paraId="1130DAD9"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les moyens prévus pour alerter les  populations concernées  </w:t>
      </w:r>
    </w:p>
    <w:p w14:paraId="1A4866B7" w14:textId="77777777" w:rsidR="004C12CB" w:rsidRPr="00215867" w:rsidRDefault="004C12CB" w:rsidP="004C12CB">
      <w:pPr>
        <w:pStyle w:val="Paragraphedeliste"/>
        <w:numPr>
          <w:ilvl w:val="0"/>
          <w:numId w:val="264"/>
        </w:numPr>
        <w:spacing w:after="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le programme de révision des mesures d’urgence selon les besoins.</w:t>
      </w:r>
    </w:p>
    <w:p w14:paraId="66993094" w14:textId="77777777" w:rsidR="004C12CB" w:rsidRPr="00215867" w:rsidRDefault="004C12CB" w:rsidP="004C12CB">
      <w:pPr>
        <w:pStyle w:val="Paragraphedeliste"/>
        <w:spacing w:before="120" w:after="120"/>
        <w:ind w:left="1276"/>
        <w:jc w:val="both"/>
        <w:rPr>
          <w:rFonts w:ascii="Times New Roman" w:hAnsi="Times New Roman"/>
          <w:sz w:val="24"/>
          <w:szCs w:val="24"/>
          <w:lang w:val="fr-CD"/>
        </w:rPr>
      </w:pPr>
      <w:r w:rsidRPr="00215867">
        <w:rPr>
          <w:rFonts w:ascii="Times New Roman" w:hAnsi="Times New Roman"/>
          <w:sz w:val="24"/>
          <w:szCs w:val="24"/>
          <w:lang w:val="fr-CD"/>
        </w:rPr>
        <w:t xml:space="preserve">Le Consultant prévoira un système d’alerte précoce en cas de situation d’urgence et présentera une carte de zones à risque. L’efficacité de ce système d’alerte précoce permettra : </w:t>
      </w:r>
    </w:p>
    <w:p w14:paraId="1DE97D27"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une large connaissance des dangers</w:t>
      </w:r>
    </w:p>
    <w:p w14:paraId="2172FD6A"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 xml:space="preserve">l’établissement de la vulnérabilité de l’environnement </w:t>
      </w:r>
    </w:p>
    <w:p w14:paraId="5370807B" w14:textId="77777777" w:rsidR="004C12CB" w:rsidRPr="00215867" w:rsidRDefault="004C12CB" w:rsidP="004C12CB">
      <w:pPr>
        <w:pStyle w:val="Paragraphedeliste"/>
        <w:numPr>
          <w:ilvl w:val="0"/>
          <w:numId w:val="264"/>
        </w:numPr>
        <w:spacing w:before="120" w:after="120" w:line="276" w:lineRule="auto"/>
        <w:ind w:left="2127" w:hanging="425"/>
        <w:jc w:val="both"/>
        <w:rPr>
          <w:rFonts w:ascii="Times New Roman" w:hAnsi="Times New Roman"/>
          <w:sz w:val="24"/>
          <w:szCs w:val="24"/>
          <w:lang w:val="fr-CD"/>
        </w:rPr>
      </w:pPr>
      <w:r w:rsidRPr="00215867">
        <w:rPr>
          <w:rFonts w:ascii="Times New Roman" w:hAnsi="Times New Roman"/>
          <w:sz w:val="24"/>
          <w:szCs w:val="24"/>
          <w:lang w:val="fr-CD"/>
        </w:rPr>
        <w:t>la préparation à l’alerte et la capacité de réponse adéquate.</w:t>
      </w:r>
    </w:p>
    <w:p w14:paraId="1DFDD8A2" w14:textId="77777777" w:rsidR="004C12CB" w:rsidRPr="00215867" w:rsidRDefault="004C12CB" w:rsidP="004C12CB">
      <w:pPr>
        <w:numPr>
          <w:ilvl w:val="0"/>
          <w:numId w:val="255"/>
        </w:numPr>
        <w:spacing w:after="0" w:line="276" w:lineRule="auto"/>
        <w:ind w:left="1560" w:hanging="425"/>
        <w:jc w:val="both"/>
        <w:rPr>
          <w:rFonts w:ascii="Times New Roman" w:hAnsi="Times New Roman"/>
          <w:sz w:val="24"/>
          <w:szCs w:val="24"/>
          <w:lang w:val="fr-CD"/>
        </w:rPr>
      </w:pPr>
      <w:r w:rsidRPr="00215867">
        <w:rPr>
          <w:rFonts w:ascii="Times New Roman" w:hAnsi="Times New Roman"/>
          <w:sz w:val="24"/>
          <w:szCs w:val="24"/>
          <w:lang w:val="fr-CD"/>
        </w:rPr>
        <w:t>le calendrier d’exécution et estimation des coûts de mise en œuvre du PGES.</w:t>
      </w:r>
    </w:p>
    <w:p w14:paraId="2E6C928C" w14:textId="77777777" w:rsidR="004C12CB" w:rsidRPr="00215867" w:rsidRDefault="004C12CB" w:rsidP="004C12CB">
      <w:pPr>
        <w:spacing w:before="120" w:after="120"/>
        <w:ind w:left="1560"/>
        <w:jc w:val="both"/>
        <w:rPr>
          <w:rFonts w:ascii="Times New Roman" w:hAnsi="Times New Roman"/>
          <w:sz w:val="24"/>
          <w:szCs w:val="24"/>
          <w:lang w:val="fr-CD"/>
        </w:rPr>
      </w:pPr>
      <w:r w:rsidRPr="00215867">
        <w:rPr>
          <w:rFonts w:ascii="Times New Roman" w:hAnsi="Times New Roman"/>
          <w:sz w:val="24"/>
          <w:szCs w:val="24"/>
          <w:lang w:val="fr-CD"/>
        </w:rPr>
        <w:t>De ce fait, le consultant proposera un cahier des clauses environnementales et sociales à insérer dans le DAO des travaux en tenant compte des exigences de la NES n°2 sur les conditions des travailleurs</w:t>
      </w:r>
    </w:p>
    <w:p w14:paraId="163EDA95"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Procéder à l’examen et à la comparaison systématique des options alternatives de rechange acceptables pour les activités identifiées au cours de la détermination de la portée et de la consultation du public initial. Il sélectionnera, la ou les option(s) privilégiées(s) ou les plus bénignes du point de vue environnemental et social, afin d’atteindre les objectifs du sous-projet proposé. Il considérera toutes les alternatives liées à l’approche et à la conception globale du sous-projet, notamment  la localisation du site, le calendrier, les échelles, les partenaires, le genre, l’intensité, la technologie, le processus, la conception des installations, l’exploitation et la maintenance, les dispositions organisationnelles et de gestion, les moyens de traiter les impacts.  En outre, il évaluera la capacité des alternatives à atténuer les impacts environnementaux et sociaux du projet sur la base de leurs effets environnementaux et sociaux potentiels ; les coûts d’investissement et les charges récurrentes correspondant aux mesures d’atténuation et la pertinence de ces mesures par rapport aux conditions locales ; ainsi que les besoins en termes d’institutions, de formation et de suivi pour leur mise en œuvre. Il  quantifiera les impacts environnementaux et sociaux pour chacune des alternatives, autant que faire se peut, et leur attribuera une valeur économique lorsque cela est possible. Sur base de l’analyse des variantes effectuée ci-dessus, le Consultant  déterminera les modifications qui seront éventuellement apportées à la conception du projet proposé pour en améliorer la durabilité environnementale et sociale. De ce fait, il devra faire la distinction entre les différentes phases du projet : la préparation, la construction, l’exploitation et la fermeture ;</w:t>
      </w:r>
    </w:p>
    <w:p w14:paraId="045431D1"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Proposer un plan de santé et sécurité au travail en tenant compte des exigences de la NES n°4 (sécurité du matériel de l’entreprise, des travailleurs…), du guide environnemental, santé et sécurité du groupe de la Banque mondiale, de la législation nationale en matière du travail et des bonnes pratiques internationales.</w:t>
      </w:r>
    </w:p>
    <w:p w14:paraId="2D07CE6F"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rPr>
      </w:pPr>
      <w:r w:rsidRPr="00215867">
        <w:rPr>
          <w:rFonts w:ascii="Times New Roman" w:hAnsi="Times New Roman"/>
          <w:sz w:val="24"/>
          <w:szCs w:val="24"/>
          <w:lang w:val="fr-CD"/>
        </w:rPr>
        <w:t xml:space="preserve">Conduire des consultations du public afin d’inclure les commentaires et les recommandations issues de ces consultations dans la version finale de l’EIES. </w:t>
      </w:r>
      <w:r w:rsidRPr="00215867">
        <w:rPr>
          <w:rFonts w:ascii="Times New Roman" w:hAnsi="Times New Roman"/>
          <w:sz w:val="24"/>
          <w:szCs w:val="24"/>
        </w:rPr>
        <w:t>Pour ce, le consultant :</w:t>
      </w:r>
    </w:p>
    <w:p w14:paraId="1F8731F2"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identifiera les différents groupes affectés par les travaux et faciliter la diffusion de l’information aux autorités compétentes ;</w:t>
      </w:r>
    </w:p>
    <w:p w14:paraId="2093DE8B"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élaborera un programme de consultations publiques avec ces différents groupes, en spécifiant le nombre de participants et le délai d’enregistrement des requêtes, et les méthodes à employer (annonce par voie des médias, réunions publiques, questionnaires). La consultation publique devra se faire au démarrage, durant la période de collecte des informations de base et à l’étape de rédaction du rapport provisoire.</w:t>
      </w:r>
    </w:p>
    <w:p w14:paraId="63CD34DD"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rassemblera le plus d’informations détaillées pouvant permettre à l’étude d’anticiper les questions non soulevées par les personnes affectées par le projet.</w:t>
      </w:r>
    </w:p>
    <w:p w14:paraId="5271EF3B" w14:textId="77777777" w:rsidR="004C12CB" w:rsidRPr="00215867" w:rsidRDefault="004C12CB" w:rsidP="004C12CB">
      <w:pPr>
        <w:numPr>
          <w:ilvl w:val="0"/>
          <w:numId w:val="255"/>
        </w:numPr>
        <w:tabs>
          <w:tab w:val="left" w:pos="1701"/>
        </w:tabs>
        <w:spacing w:after="0" w:line="276" w:lineRule="auto"/>
        <w:ind w:left="1701" w:hanging="425"/>
        <w:jc w:val="both"/>
        <w:rPr>
          <w:rFonts w:ascii="Times New Roman" w:hAnsi="Times New Roman"/>
          <w:sz w:val="24"/>
          <w:szCs w:val="24"/>
          <w:lang w:val="fr-CD"/>
        </w:rPr>
      </w:pPr>
      <w:r w:rsidRPr="00215867">
        <w:rPr>
          <w:rFonts w:ascii="Times New Roman" w:hAnsi="Times New Roman"/>
          <w:sz w:val="24"/>
          <w:szCs w:val="24"/>
          <w:lang w:val="fr-CD"/>
        </w:rPr>
        <w:t>répondra à toutes les observations formulées par les parties prenantes jusqu’à l’obtention de l’autorisation de publication du rapport par la Banque.</w:t>
      </w:r>
    </w:p>
    <w:p w14:paraId="77F38851"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 xml:space="preserve">Proposer un résumé des mesures et actions clés à insérer dans le Plan d’engagement environnemental et social (PEES), ainsi que les délais correspondants pour que le projet réponde aux exigences des Normes Environnementales et Sociales (NES) ; </w:t>
      </w:r>
    </w:p>
    <w:p w14:paraId="54C17C1E" w14:textId="77777777" w:rsidR="004C12CB" w:rsidRPr="00215867" w:rsidRDefault="004C12CB" w:rsidP="004C12CB">
      <w:pPr>
        <w:numPr>
          <w:ilvl w:val="0"/>
          <w:numId w:val="262"/>
        </w:numPr>
        <w:spacing w:before="120" w:after="120" w:line="276" w:lineRule="auto"/>
        <w:ind w:left="1276" w:hanging="567"/>
        <w:jc w:val="both"/>
        <w:rPr>
          <w:rFonts w:ascii="Times New Roman" w:hAnsi="Times New Roman"/>
          <w:sz w:val="24"/>
          <w:szCs w:val="24"/>
          <w:lang w:val="fr-CD"/>
        </w:rPr>
      </w:pPr>
      <w:r w:rsidRPr="00215867">
        <w:rPr>
          <w:rFonts w:ascii="Times New Roman" w:hAnsi="Times New Roman"/>
          <w:sz w:val="24"/>
          <w:szCs w:val="24"/>
          <w:lang w:val="fr-CD"/>
        </w:rPr>
        <w:t>Présenter le rapport détaillé ainsi que les procès-verbaux des réunions de consultation avec les signatures et les photos des participants en annexe de l’étude.</w:t>
      </w:r>
    </w:p>
    <w:p w14:paraId="1DC36BEF" w14:textId="77777777" w:rsidR="004C12CB" w:rsidRPr="00215867" w:rsidRDefault="004C12CB" w:rsidP="004C12CB">
      <w:pPr>
        <w:pStyle w:val="Paragraphedeliste"/>
        <w:numPr>
          <w:ilvl w:val="3"/>
          <w:numId w:val="283"/>
        </w:numPr>
        <w:spacing w:before="120" w:after="120" w:line="276" w:lineRule="auto"/>
        <w:ind w:left="1418" w:hanging="851"/>
        <w:contextualSpacing w:val="0"/>
        <w:jc w:val="both"/>
        <w:rPr>
          <w:rFonts w:ascii="Times New Roman" w:hAnsi="Times New Roman"/>
          <w:b/>
          <w:sz w:val="24"/>
          <w:szCs w:val="24"/>
          <w:lang w:val="fr-CD"/>
        </w:rPr>
      </w:pPr>
      <w:r w:rsidRPr="00215867">
        <w:rPr>
          <w:rFonts w:ascii="Times New Roman" w:hAnsi="Times New Roman"/>
          <w:b/>
          <w:sz w:val="24"/>
          <w:szCs w:val="24"/>
          <w:lang w:val="fr-CD"/>
        </w:rPr>
        <w:t>Contenu de l’étude d’impact environnemental et social (EIES)</w:t>
      </w:r>
    </w:p>
    <w:p w14:paraId="6D106BEA" w14:textId="77777777" w:rsidR="004C12CB" w:rsidRPr="00215867" w:rsidRDefault="004C12CB" w:rsidP="004C12CB">
      <w:pPr>
        <w:spacing w:before="120" w:after="120"/>
        <w:ind w:left="567" w:right="6" w:firstLine="11"/>
        <w:jc w:val="both"/>
        <w:rPr>
          <w:rFonts w:ascii="Times New Roman" w:hAnsi="Times New Roman"/>
          <w:sz w:val="24"/>
          <w:szCs w:val="24"/>
          <w:lang w:val="fr-CD" w:eastAsia="fr-FR" w:bidi="fr-FR"/>
        </w:rPr>
      </w:pPr>
      <w:r w:rsidRPr="00215867">
        <w:rPr>
          <w:rFonts w:ascii="Times New Roman" w:hAnsi="Times New Roman"/>
          <w:sz w:val="24"/>
          <w:szCs w:val="24"/>
          <w:lang w:val="fr-CD" w:eastAsia="fr-FR" w:bidi="fr-FR"/>
        </w:rPr>
        <w:t xml:space="preserve">L’étude d’impact environnemental </w:t>
      </w:r>
      <w:r w:rsidRPr="00215867">
        <w:rPr>
          <w:rFonts w:ascii="Times New Roman" w:hAnsi="Times New Roman"/>
          <w:sz w:val="24"/>
          <w:szCs w:val="24"/>
          <w:lang w:val="fr-CD"/>
        </w:rPr>
        <w:t>et</w:t>
      </w:r>
      <w:r w:rsidRPr="00215867">
        <w:rPr>
          <w:rFonts w:ascii="Times New Roman" w:hAnsi="Times New Roman"/>
          <w:sz w:val="24"/>
          <w:szCs w:val="24"/>
          <w:lang w:val="fr-CD" w:eastAsia="fr-FR" w:bidi="fr-FR"/>
        </w:rPr>
        <w:t xml:space="preserve"> social actualisée comprendra le PGES et tous les deux instruments seront conformes à la NES n°1 et contiendront les points essentiels suivants : </w:t>
      </w:r>
    </w:p>
    <w:p w14:paraId="2A08E3C6" w14:textId="77777777" w:rsidR="004C12CB" w:rsidRPr="00215867" w:rsidRDefault="004C12CB" w:rsidP="004C12CB">
      <w:pPr>
        <w:pStyle w:val="Paragraphedeliste"/>
        <w:numPr>
          <w:ilvl w:val="0"/>
          <w:numId w:val="256"/>
        </w:numPr>
        <w:tabs>
          <w:tab w:val="left" w:pos="1701"/>
        </w:tabs>
        <w:spacing w:before="120" w:after="120" w:line="276" w:lineRule="auto"/>
        <w:ind w:left="993" w:hanging="357"/>
        <w:contextualSpacing w:val="0"/>
        <w:jc w:val="both"/>
        <w:rPr>
          <w:rFonts w:ascii="Times New Roman" w:hAnsi="Times New Roman"/>
          <w:b/>
          <w:sz w:val="24"/>
          <w:szCs w:val="24"/>
          <w:lang w:val="fr-CD"/>
        </w:rPr>
      </w:pPr>
      <w:r w:rsidRPr="00215867">
        <w:rPr>
          <w:rFonts w:ascii="Times New Roman" w:hAnsi="Times New Roman"/>
          <w:b/>
          <w:sz w:val="24"/>
          <w:szCs w:val="24"/>
          <w:lang w:val="fr-CD"/>
        </w:rPr>
        <w:t xml:space="preserve">Contenu indicatif de l’EIES/Structure du rapport </w:t>
      </w:r>
    </w:p>
    <w:p w14:paraId="3216EED5" w14:textId="77777777" w:rsidR="004C12CB" w:rsidRPr="00215867" w:rsidRDefault="004C12CB" w:rsidP="004C12CB">
      <w:pPr>
        <w:pStyle w:val="Paragraphedeliste"/>
        <w:jc w:val="both"/>
        <w:rPr>
          <w:rFonts w:ascii="Times New Roman" w:hAnsi="Times New Roman"/>
          <w:sz w:val="24"/>
          <w:szCs w:val="24"/>
          <w:lang w:val="fr-CD"/>
        </w:rPr>
      </w:pPr>
      <w:r w:rsidRPr="00215867">
        <w:rPr>
          <w:rFonts w:ascii="Times New Roman" w:hAnsi="Times New Roman"/>
          <w:sz w:val="24"/>
          <w:szCs w:val="24"/>
          <w:lang w:val="fr-CD"/>
        </w:rPr>
        <w:t>Page de garde</w:t>
      </w:r>
    </w:p>
    <w:p w14:paraId="34D53B4B" w14:textId="77777777" w:rsidR="004C12CB" w:rsidRPr="00215867" w:rsidRDefault="004C12CB" w:rsidP="004C12CB">
      <w:pPr>
        <w:pStyle w:val="Paragraphedeliste"/>
        <w:jc w:val="both"/>
        <w:rPr>
          <w:rFonts w:ascii="Times New Roman" w:hAnsi="Times New Roman"/>
          <w:sz w:val="24"/>
          <w:szCs w:val="24"/>
          <w:lang w:val="fr-CD"/>
        </w:rPr>
      </w:pPr>
      <w:r w:rsidRPr="00215867">
        <w:rPr>
          <w:rFonts w:ascii="Times New Roman" w:hAnsi="Times New Roman"/>
          <w:sz w:val="24"/>
          <w:szCs w:val="24"/>
          <w:lang w:val="fr-CD"/>
        </w:rPr>
        <w:t>Table des matières</w:t>
      </w:r>
    </w:p>
    <w:p w14:paraId="735084E2" w14:textId="77777777" w:rsidR="004C12CB" w:rsidRPr="00215867" w:rsidRDefault="004C12CB" w:rsidP="004C12CB">
      <w:pPr>
        <w:pStyle w:val="Paragraphedeliste"/>
        <w:jc w:val="both"/>
        <w:rPr>
          <w:rFonts w:ascii="Times New Roman" w:hAnsi="Times New Roman"/>
          <w:sz w:val="24"/>
          <w:szCs w:val="24"/>
          <w:lang w:val="fr-CD"/>
        </w:rPr>
      </w:pPr>
      <w:r w:rsidRPr="00215867">
        <w:rPr>
          <w:rFonts w:ascii="Times New Roman" w:hAnsi="Times New Roman"/>
          <w:sz w:val="24"/>
          <w:szCs w:val="24"/>
          <w:lang w:val="fr-CD"/>
        </w:rPr>
        <w:t>Liste des sigles et abréviations</w:t>
      </w:r>
    </w:p>
    <w:p w14:paraId="7306CDBB"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iCs/>
          <w:sz w:val="24"/>
          <w:szCs w:val="24"/>
          <w:lang w:val="fr-CD"/>
        </w:rPr>
      </w:pPr>
      <w:r w:rsidRPr="00215867">
        <w:rPr>
          <w:rFonts w:ascii="Times New Roman" w:hAnsi="Times New Roman"/>
          <w:b/>
          <w:bCs/>
          <w:iCs/>
          <w:sz w:val="24"/>
          <w:szCs w:val="24"/>
          <w:lang w:val="fr-CD"/>
        </w:rPr>
        <w:t>Résumé exécutif</w:t>
      </w:r>
      <w:r w:rsidRPr="00215867">
        <w:rPr>
          <w:rFonts w:ascii="Times New Roman" w:hAnsi="Times New Roman"/>
          <w:iCs/>
          <w:sz w:val="24"/>
          <w:szCs w:val="24"/>
          <w:lang w:val="fr-CD"/>
        </w:rPr>
        <w:t> </w:t>
      </w:r>
      <w:r w:rsidRPr="00215867">
        <w:rPr>
          <w:rFonts w:ascii="Times New Roman" w:hAnsi="Times New Roman"/>
          <w:sz w:val="24"/>
          <w:szCs w:val="24"/>
          <w:lang w:val="fr-CD"/>
        </w:rPr>
        <w:t>en français, anglais et langue lingala</w:t>
      </w:r>
      <w:r w:rsidRPr="00215867">
        <w:rPr>
          <w:rFonts w:ascii="Times New Roman" w:hAnsi="Times New Roman"/>
          <w:iCs/>
          <w:sz w:val="24"/>
          <w:szCs w:val="24"/>
          <w:lang w:val="fr-CD"/>
        </w:rPr>
        <w:t xml:space="preserve"> : </w:t>
      </w:r>
    </w:p>
    <w:p w14:paraId="670F740B"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Description avec concision des principales conclusions et des actions recommandées.</w:t>
      </w:r>
    </w:p>
    <w:p w14:paraId="56E3C69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Définition de la zone d’influence directe et indirecte du projet et une brève description des activités dans le cadre de l’EIES.</w:t>
      </w:r>
    </w:p>
    <w:p w14:paraId="7B46DE67"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Introduction </w:t>
      </w:r>
    </w:p>
    <w:p w14:paraId="68CF1B2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Objectifs de l’étude ;</w:t>
      </w:r>
    </w:p>
    <w:p w14:paraId="6C51FCF0"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Responsables de l’EIES ; </w:t>
      </w:r>
    </w:p>
    <w:p w14:paraId="2061657F"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Méthodologie</w:t>
      </w:r>
    </w:p>
    <w:p w14:paraId="537F789A"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Cs/>
          <w:sz w:val="24"/>
          <w:szCs w:val="24"/>
          <w:lang w:val="fr-CD"/>
        </w:rPr>
        <w:t>Cadre politique,</w:t>
      </w:r>
      <w:r w:rsidRPr="00215867">
        <w:rPr>
          <w:rFonts w:ascii="Times New Roman" w:hAnsi="Times New Roman"/>
          <w:b/>
          <w:bCs/>
          <w:i/>
          <w:iCs/>
          <w:sz w:val="24"/>
          <w:szCs w:val="24"/>
          <w:lang w:val="fr-CD"/>
        </w:rPr>
        <w:t xml:space="preserve"> juridique et institutionnel</w:t>
      </w:r>
    </w:p>
    <w:p w14:paraId="5C428003"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Analyse du cadre juridique et institutionnel du projet dans lequel s’inscrit l’évaluation environnementale et sociale, y compris les questions énoncées au paragraphe 26 de la NES n° 1.</w:t>
      </w:r>
    </w:p>
    <w:p w14:paraId="7E35EBA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Comparaison du cadre environnemental et social de la RDC avec les NES faisant ressortir les différences entre les deux.</w:t>
      </w:r>
    </w:p>
    <w:p w14:paraId="759E231B"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Énoncé et évaluation des dispositions environnementales et sociales de toutes les entités participant au financement du projet.</w:t>
      </w:r>
    </w:p>
    <w:p w14:paraId="4EB5C0E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Description des responsabilités institutionnelles ainsi que les responsabilités des entreprises et des autres parties prenantes.</w:t>
      </w:r>
    </w:p>
    <w:p w14:paraId="2DB69F76"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sz w:val="24"/>
          <w:szCs w:val="24"/>
          <w:lang w:val="fr-CD"/>
        </w:rPr>
      </w:pPr>
      <w:r w:rsidRPr="00215867">
        <w:rPr>
          <w:rFonts w:ascii="Times New Roman" w:hAnsi="Times New Roman"/>
          <w:b/>
          <w:bCs/>
          <w:iCs/>
          <w:sz w:val="24"/>
          <w:szCs w:val="24"/>
          <w:lang w:val="fr-CD"/>
        </w:rPr>
        <w:t>Description</w:t>
      </w:r>
      <w:r w:rsidRPr="00215867">
        <w:rPr>
          <w:rFonts w:ascii="Times New Roman" w:hAnsi="Times New Roman"/>
          <w:b/>
          <w:bCs/>
          <w:sz w:val="24"/>
          <w:szCs w:val="24"/>
          <w:lang w:val="fr-CD"/>
        </w:rPr>
        <w:t xml:space="preserve"> du projet</w:t>
      </w:r>
    </w:p>
    <w:p w14:paraId="52102C29"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Description concise du projet proposé et son contexte géographique, environnemental, social et temporel, y compris les investissements hors site qui peuvent se révéler nécessaires (par exemple des conduites d’hydrocarbures, des voies d’accès, des réseaux électriques, des adductions d’eau, des logements et des installations de stockage de matières premières et d’autres produits), ainsi que les fournisseurs principaux du projet.</w:t>
      </w:r>
    </w:p>
    <w:p w14:paraId="517B06DF"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Nécessité d’un plan pour répondre aux exigences des NES pertinentes.</w:t>
      </w:r>
    </w:p>
    <w:p w14:paraId="77C37B04"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Carte détaillée indiquant l’emplacement du projet et la zone susceptible de subir l’impact direct, indirect et cumulatif de ce projet.</w:t>
      </w:r>
    </w:p>
    <w:p w14:paraId="215338C6"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Cs/>
          <w:sz w:val="24"/>
          <w:szCs w:val="24"/>
          <w:lang w:val="fr-CD"/>
        </w:rPr>
        <w:t>Données</w:t>
      </w:r>
      <w:r w:rsidRPr="00215867">
        <w:rPr>
          <w:rFonts w:ascii="Times New Roman" w:hAnsi="Times New Roman"/>
          <w:b/>
          <w:bCs/>
          <w:i/>
          <w:iCs/>
          <w:sz w:val="24"/>
          <w:szCs w:val="24"/>
          <w:lang w:val="fr-CD"/>
        </w:rPr>
        <w:t xml:space="preserve"> de base</w:t>
      </w:r>
    </w:p>
    <w:p w14:paraId="10B5C233"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Description détaillée des données qui serviront de base à la prise de décisions sur l’emplacement du projet ;</w:t>
      </w:r>
    </w:p>
    <w:p w14:paraId="27E7CFD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Définition et estimation de la portée et de la qualité des données disponibles, les lacunes essentielles en matière de données et les incertitudes liées aux prévisions.</w:t>
      </w:r>
    </w:p>
    <w:p w14:paraId="031CE5C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Détermination de l’envergure de la zone à étudier, sur la base des informations disponibles, et description des conditions physiques, biologiques et socioéconomiques pertinentes, y compris tout changement escompté avant le démarrage du projet.</w:t>
      </w:r>
    </w:p>
    <w:p w14:paraId="06A82DD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Prise en compte des activités de développement en cours et envisagées dans la zone du projet, mais qui ne sont pas directement liées au projet</w:t>
      </w:r>
    </w:p>
    <w:p w14:paraId="7CF307BD"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Prise en compte de la situation de la pandémie de COVID-19 par rapport à la survie des ménages dans la zone du Projet dont la majorité de la population vit de l’économie informelle. </w:t>
      </w:r>
    </w:p>
    <w:p w14:paraId="127CD9CF"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Prise en compte de l’impact de COVID-19 par rapport à la question du genre et aux violences basées sur le genre (VBG). </w:t>
      </w:r>
    </w:p>
    <w:p w14:paraId="5ABCA401"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
          <w:iCs/>
          <w:sz w:val="24"/>
          <w:szCs w:val="24"/>
          <w:lang w:val="fr-CD"/>
        </w:rPr>
        <w:t>Risques et effets environnementaux et sociaux</w:t>
      </w:r>
    </w:p>
    <w:p w14:paraId="11EC90FC"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Risques et effets environnementaux et sociaux associés au projet. Il s’agit des risques et effets environnementaux et sociaux décrits expressément dans les NES n°2 à 8 et des autres risques et effets environnementaux et sociaux découlant de la nature et du contexte particuliers du projet, y compris les risques et effets énoncés au paragraphe 28 de la NES n°1 ;</w:t>
      </w:r>
    </w:p>
    <w:p w14:paraId="3B82C620"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Déterminer les risques et effets de la propagation de COVID-19 si les mesures barrières ne sont pas respectées. </w:t>
      </w:r>
    </w:p>
    <w:p w14:paraId="22F78468"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
          <w:iCs/>
          <w:sz w:val="24"/>
          <w:szCs w:val="24"/>
          <w:lang w:val="fr-CD"/>
        </w:rPr>
        <w:t>Mesures d’atténuation</w:t>
      </w:r>
    </w:p>
    <w:p w14:paraId="0C9F47E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des mesures d’atténuation et des impacts résiduels négatifs importants qui ne peuvent pas être atténués et, dans la mesure du possible, évaluer l’acceptabilité de ces impacts résiduels.</w:t>
      </w:r>
    </w:p>
    <w:p w14:paraId="55960C48"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des mesures différenciées à prendre afin que les impacts négatifs ne touchent pas de façon disproportionnée les personnes défavorisées ou vulnérables.</w:t>
      </w:r>
    </w:p>
    <w:p w14:paraId="78621C2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des mesures barrières contre la propagation de la COVID-19</w:t>
      </w:r>
    </w:p>
    <w:p w14:paraId="66DF7AAE"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Évaluation de la possibilité d’atténuer les impacts environnementaux et sociaux ; les coûts d’investissement et les charges récurrentes correspondant aux mesures d’atténuation proposées et la validité de ces mesures par rapport aux conditions locales, ainsi que les besoins en termes d’institutions, de formation et de suivi pour leur mise en œuvre ;</w:t>
      </w:r>
    </w:p>
    <w:p w14:paraId="26725621"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des questions qui ne requièrent pas une attention plus poussée, ainsi que les motifs d’une telle décision.</w:t>
      </w:r>
    </w:p>
    <w:p w14:paraId="0B5EFF91"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
          <w:iCs/>
          <w:sz w:val="24"/>
          <w:szCs w:val="24"/>
          <w:lang w:val="fr-CD"/>
        </w:rPr>
        <w:t>Analyse des solutions de rechange</w:t>
      </w:r>
    </w:p>
    <w:p w14:paraId="567F0D67"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Comparaison systématique des solutions de rechange acceptables par rapport à l’emplacement, la technologie, la conception et l’exploitation du projet — y compris « l’absence de projet » sur la base de leurs risques et effets environnementaux et sociaux potentiels.</w:t>
      </w:r>
    </w:p>
    <w:p w14:paraId="63321D4E"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Évaluation de la capacité des solutions de rechange à atténuer les impacts environnementaux et sociaux du projet ; des coûts d’investissement et des charges récurrentes correspondant aux mesures d’atténuation de rechange et de la validité de ces mesures par rapport aux conditions locales ; ainsi que des besoins en termes d’institutions, de formation et de suivi pour leur mise en œuvre.</w:t>
      </w:r>
    </w:p>
    <w:p w14:paraId="149B20F7"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Quantification des impacts environnementaux et sociaux pour chacune des solutions de rechange, autant que faire se peut, et leur attribuer une valeur économique lorsque cela est possible.</w:t>
      </w:r>
    </w:p>
    <w:p w14:paraId="1E4C5F3A"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
          <w:iCs/>
          <w:sz w:val="24"/>
          <w:szCs w:val="24"/>
          <w:lang w:val="fr-CD"/>
        </w:rPr>
        <w:t>Conception du projet</w:t>
      </w:r>
    </w:p>
    <w:p w14:paraId="72EDF01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des éléments qui déterminent le choix des caractéristiques particulières proposées pour le projet et préciser les Directives ESS applicables ou si celles-ci sont jugées inapplicables, justifier les niveaux d’émission et les méthodes recommandées pour la prévention et la réduction de la pollution, qui sont compatibles avec les BPISA.</w:t>
      </w:r>
    </w:p>
    <w:p w14:paraId="2D2068CA"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i/>
          <w:iCs/>
          <w:sz w:val="24"/>
          <w:szCs w:val="24"/>
          <w:lang w:val="fr-CD"/>
        </w:rPr>
      </w:pPr>
      <w:r w:rsidRPr="00215867">
        <w:rPr>
          <w:rFonts w:ascii="Times New Roman" w:hAnsi="Times New Roman"/>
          <w:b/>
          <w:bCs/>
          <w:i/>
          <w:iCs/>
          <w:sz w:val="24"/>
          <w:szCs w:val="24"/>
          <w:lang w:val="fr-CD"/>
        </w:rPr>
        <w:t>Mesures et actions clés du Plan d’engagement environnemental et social (PEES)</w:t>
      </w:r>
    </w:p>
    <w:p w14:paraId="4F60DD5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Résumé des mesures et actions clés à entreprendre et les délais correspondants pour que le projet réponde aux exigences des NES. Ces informations seront utilisées pour l’élaboration du Plan d’engagement environnemental et social (PEES).</w:t>
      </w:r>
    </w:p>
    <w:p w14:paraId="5217D873" w14:textId="77777777" w:rsidR="004C12CB" w:rsidRPr="00215867" w:rsidRDefault="004C12CB" w:rsidP="004C12CB">
      <w:pPr>
        <w:pStyle w:val="Paragraphedeliste"/>
        <w:numPr>
          <w:ilvl w:val="0"/>
          <w:numId w:val="141"/>
        </w:numPr>
        <w:autoSpaceDE w:val="0"/>
        <w:autoSpaceDN w:val="0"/>
        <w:adjustRightInd w:val="0"/>
        <w:spacing w:before="120" w:after="120" w:line="276" w:lineRule="auto"/>
        <w:ind w:left="709" w:hanging="425"/>
        <w:contextualSpacing w:val="0"/>
        <w:jc w:val="both"/>
        <w:rPr>
          <w:rFonts w:ascii="Times New Roman" w:hAnsi="Times New Roman"/>
          <w:b/>
          <w:bCs/>
          <w:sz w:val="24"/>
          <w:szCs w:val="24"/>
          <w:lang w:val="fr-CD"/>
        </w:rPr>
      </w:pPr>
      <w:r w:rsidRPr="00215867">
        <w:rPr>
          <w:rFonts w:ascii="Times New Roman" w:hAnsi="Times New Roman"/>
          <w:b/>
          <w:bCs/>
          <w:i/>
          <w:iCs/>
          <w:sz w:val="24"/>
          <w:szCs w:val="24"/>
          <w:lang w:val="fr-CD"/>
        </w:rPr>
        <w:t>Consultation</w:t>
      </w:r>
      <w:r w:rsidRPr="00215867">
        <w:rPr>
          <w:rFonts w:ascii="Times New Roman" w:hAnsi="Times New Roman"/>
          <w:b/>
          <w:bCs/>
          <w:sz w:val="24"/>
          <w:szCs w:val="24"/>
          <w:lang w:val="fr-CD"/>
        </w:rPr>
        <w:t xml:space="preserve"> publique</w:t>
      </w:r>
    </w:p>
    <w:p w14:paraId="77D7940F"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Information des populations sur le programme de consultations publiques au moins deux semaines avant la date de la première réunion ; </w:t>
      </w:r>
    </w:p>
    <w:p w14:paraId="2457ECF3"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Indication sur les consultations menées, les dates de consultations, les personnes consultées désagrégées en tenant compte du genre et de la vulnérabilité, conformément à la réglementation en vigueur. Les procès – verbaux des différentes consultations seront annexés au rapport d’étude d’impact. Les consultations se feront afin d’inclure les commentaires et les recommandations issues des consultations dans la version finale de l’EIES actualisée.</w:t>
      </w:r>
    </w:p>
    <w:p w14:paraId="5C29F686" w14:textId="77777777" w:rsidR="004C12CB" w:rsidRPr="00215867" w:rsidRDefault="004C12CB" w:rsidP="004C12CB">
      <w:pPr>
        <w:pStyle w:val="Paragraphedeliste"/>
        <w:numPr>
          <w:ilvl w:val="0"/>
          <w:numId w:val="256"/>
        </w:numPr>
        <w:spacing w:before="120" w:after="120" w:line="276" w:lineRule="auto"/>
        <w:ind w:left="714" w:hanging="357"/>
        <w:contextualSpacing w:val="0"/>
        <w:jc w:val="both"/>
        <w:rPr>
          <w:rFonts w:ascii="Times New Roman" w:hAnsi="Times New Roman"/>
          <w:b/>
          <w:i/>
          <w:sz w:val="24"/>
          <w:szCs w:val="24"/>
          <w:lang w:val="fr-CD" w:eastAsia="fr-FR" w:bidi="fr-FR"/>
        </w:rPr>
      </w:pPr>
      <w:r w:rsidRPr="00215867">
        <w:rPr>
          <w:rFonts w:ascii="Times New Roman" w:hAnsi="Times New Roman"/>
          <w:b/>
          <w:i/>
          <w:sz w:val="24"/>
          <w:szCs w:val="24"/>
          <w:lang w:val="fr-CD" w:eastAsia="fr-FR" w:bidi="fr-FR"/>
        </w:rPr>
        <w:t>PGES</w:t>
      </w:r>
    </w:p>
    <w:p w14:paraId="50E36120" w14:textId="77777777" w:rsidR="004C12CB" w:rsidRPr="00215867" w:rsidRDefault="004C12CB" w:rsidP="004C12CB">
      <w:pPr>
        <w:spacing w:before="120" w:after="120"/>
        <w:ind w:left="284"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Le </w:t>
      </w:r>
      <w:r w:rsidRPr="00215867">
        <w:rPr>
          <w:rFonts w:ascii="Times New Roman" w:hAnsi="Times New Roman"/>
          <w:sz w:val="24"/>
          <w:szCs w:val="24"/>
          <w:lang w:val="fr-CD" w:eastAsia="fr-FR" w:bidi="fr-FR"/>
        </w:rPr>
        <w:t>PGES</w:t>
      </w:r>
      <w:r w:rsidRPr="00215867">
        <w:rPr>
          <w:rFonts w:ascii="Times New Roman" w:hAnsi="Times New Roman"/>
          <w:sz w:val="24"/>
          <w:szCs w:val="24"/>
          <w:lang w:val="fr-CD"/>
        </w:rPr>
        <w:t xml:space="preserve"> compr</w:t>
      </w:r>
      <w:r w:rsidRPr="00215867">
        <w:rPr>
          <w:rFonts w:ascii="Times New Roman" w:hAnsi="Times New Roman"/>
          <w:sz w:val="24"/>
          <w:szCs w:val="24"/>
          <w:lang w:val="fr-CD" w:eastAsia="fr-FR" w:bidi="fr-FR"/>
        </w:rPr>
        <w:t>e</w:t>
      </w:r>
      <w:r w:rsidRPr="00215867">
        <w:rPr>
          <w:rFonts w:ascii="Times New Roman" w:hAnsi="Times New Roman"/>
          <w:sz w:val="24"/>
          <w:szCs w:val="24"/>
          <w:lang w:val="fr-CD"/>
        </w:rPr>
        <w:t>ndra les éléments suivants :</w:t>
      </w:r>
    </w:p>
    <w:p w14:paraId="3E11D86D" w14:textId="77777777" w:rsidR="004C12CB" w:rsidRPr="00215867" w:rsidRDefault="004C12CB" w:rsidP="004C12CB">
      <w:pPr>
        <w:pStyle w:val="Paragraphedeliste"/>
        <w:numPr>
          <w:ilvl w:val="0"/>
          <w:numId w:val="142"/>
        </w:numPr>
        <w:autoSpaceDE w:val="0"/>
        <w:autoSpaceDN w:val="0"/>
        <w:adjustRightInd w:val="0"/>
        <w:spacing w:after="0" w:line="276" w:lineRule="auto"/>
        <w:jc w:val="both"/>
        <w:rPr>
          <w:rFonts w:ascii="Times New Roman" w:hAnsi="Times New Roman"/>
          <w:b/>
          <w:bCs/>
          <w:i/>
          <w:iCs/>
          <w:sz w:val="24"/>
          <w:szCs w:val="24"/>
          <w:lang w:val="fr-CD"/>
        </w:rPr>
      </w:pPr>
      <w:r w:rsidRPr="00215867">
        <w:rPr>
          <w:rFonts w:ascii="Times New Roman" w:hAnsi="Times New Roman"/>
          <w:b/>
          <w:bCs/>
          <w:i/>
          <w:iCs/>
          <w:sz w:val="24"/>
          <w:szCs w:val="24"/>
          <w:lang w:val="fr-CD"/>
        </w:rPr>
        <w:t>Atténuation</w:t>
      </w:r>
    </w:p>
    <w:p w14:paraId="4DA8923B" w14:textId="77777777" w:rsidR="004C12CB" w:rsidRPr="00215867" w:rsidRDefault="004C12CB" w:rsidP="004C12CB">
      <w:pPr>
        <w:spacing w:before="120" w:after="120"/>
        <w:ind w:left="284" w:right="6" w:firstLine="11"/>
        <w:jc w:val="both"/>
        <w:rPr>
          <w:rFonts w:ascii="Times New Roman" w:hAnsi="Times New Roman"/>
          <w:iCs/>
          <w:sz w:val="24"/>
          <w:szCs w:val="24"/>
          <w:lang w:val="fr-CD"/>
        </w:rPr>
      </w:pPr>
      <w:r w:rsidRPr="00215867">
        <w:rPr>
          <w:rFonts w:ascii="Times New Roman" w:hAnsi="Times New Roman"/>
          <w:sz w:val="24"/>
          <w:szCs w:val="24"/>
          <w:lang w:val="fr-CD"/>
        </w:rPr>
        <w:t>La section du PGES relative à l’atténuation porte sur :</w:t>
      </w:r>
    </w:p>
    <w:p w14:paraId="56FEC9F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 recensement et le résumé de tous les risques et impacts environnementaux et sociaux négatifs envisagés, y compris les VBG/EAS/HS/COVID-19 ;</w:t>
      </w:r>
    </w:p>
    <w:p w14:paraId="0796A4C2"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la description - avec des détails techniques - de chaque mesure d’atténuation, y compris le type d’impact auquel elle se rapporte et les conditions dans lesquelles elle doit être prise en compte (par exemple, en permanence ou en cas d’imprévus), ainsi que ses caractéristiques, les équipements qui seront employés et les procédures d’exploitation correspondantes, le cas échéant. La description des mesures devra se selon leur chronologie (avant le démarrage, démarrage des travaux, pendant les travaux et pendant l’exploitation) et de leurs coûts ; les mesures seront codifiées par source et en relation avec la codification des impacts ; Cette description doit également inclure les mesures de prévention et de minimisation de la propagation du coronavirus/covid-19 et des risques de sécurité routière ;</w:t>
      </w:r>
    </w:p>
    <w:p w14:paraId="393B5768"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l’évaluation de tout risque et impact environnemental et social que pourrait générer ces mesures ;</w:t>
      </w:r>
    </w:p>
    <w:p w14:paraId="3494FBB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la prise en compte des autres plans d’atténuation requis pour le projet (par exemple pour l’atténuation des risques VBG et de COVID-19) et les mesures pour s’y conformer</w:t>
      </w:r>
    </w:p>
    <w:p w14:paraId="5289412B"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la description des mesures de gestion des impacts (MGI) </w:t>
      </w:r>
    </w:p>
    <w:p w14:paraId="7695F678" w14:textId="77777777" w:rsidR="004C12CB" w:rsidRPr="00215867" w:rsidRDefault="004C12CB" w:rsidP="004C12CB">
      <w:pPr>
        <w:numPr>
          <w:ilvl w:val="0"/>
          <w:numId w:val="255"/>
        </w:numPr>
        <w:spacing w:after="0" w:line="276" w:lineRule="auto"/>
        <w:ind w:left="1134" w:hanging="425"/>
        <w:jc w:val="both"/>
        <w:rPr>
          <w:rFonts w:ascii="Times New Roman" w:hAnsi="Times New Roman"/>
          <w:b/>
          <w:bCs/>
          <w:i/>
          <w:iCs/>
          <w:sz w:val="24"/>
          <w:szCs w:val="24"/>
          <w:lang w:val="fr-CD"/>
        </w:rPr>
      </w:pPr>
      <w:r w:rsidRPr="00215867">
        <w:rPr>
          <w:rFonts w:ascii="Times New Roman" w:hAnsi="Times New Roman"/>
          <w:bCs/>
          <w:iCs/>
          <w:sz w:val="24"/>
          <w:szCs w:val="24"/>
          <w:lang w:val="fr-CD"/>
        </w:rPr>
        <w:t>Description des responsabilités institutionnelles ainsi que les responsabilités des entreprises et des autres parties prenantes</w:t>
      </w:r>
      <w:r w:rsidRPr="00215867">
        <w:rPr>
          <w:rFonts w:ascii="Times New Roman" w:hAnsi="Times New Roman"/>
          <w:b/>
          <w:bCs/>
          <w:i/>
          <w:iCs/>
          <w:sz w:val="24"/>
          <w:szCs w:val="24"/>
          <w:lang w:val="fr-CD"/>
        </w:rPr>
        <w:t>.</w:t>
      </w:r>
    </w:p>
    <w:p w14:paraId="721D505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 l’arrangement institutionnel (rôles et responsabilités au sein de l’équipe de coordination, et structures impliquées dans le suivi interne et externe) de mise en œuvre du PGES y compris celui du Comité Multisectoriel de Riposte de COVID-19 (CMR) qui assure la surveillance épidémiologique et du Fonds national de solidarité contre la COVID-19 (FNSCC) avec un tableau des coûts ; </w:t>
      </w:r>
    </w:p>
    <w:p w14:paraId="69A0892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 Mécanisme de gestion des plaintes (MGP), y compris celles liées aux incidents VBG ;</w:t>
      </w:r>
    </w:p>
    <w:p w14:paraId="4EBA6BC4"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mesures de gestion de la sécurité des sites</w:t>
      </w:r>
    </w:p>
    <w:p w14:paraId="60C52CCC"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dispositions à suivre en cas de trouvailles fortuites des richesses coutumières ;</w:t>
      </w:r>
    </w:p>
    <w:p w14:paraId="07546BD9"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le mécanisme de suivi-évaluation de la mise en œuvre du PGES, incluant les aspects relatifs à la prévention, minimisation et/ou mitigation du corona virus (COVID-19) </w:t>
      </w:r>
    </w:p>
    <w:p w14:paraId="4CBA2039" w14:textId="77777777" w:rsidR="004C12CB" w:rsidRPr="00215867" w:rsidRDefault="004C12CB" w:rsidP="004C12CB">
      <w:pPr>
        <w:numPr>
          <w:ilvl w:val="0"/>
          <w:numId w:val="255"/>
        </w:numPr>
        <w:spacing w:after="0" w:line="276" w:lineRule="auto"/>
        <w:ind w:left="1134" w:hanging="425"/>
        <w:jc w:val="both"/>
        <w:rPr>
          <w:rFonts w:ascii="Times New Roman" w:hAnsi="Times New Roman"/>
          <w:color w:val="FF0000"/>
          <w:sz w:val="24"/>
          <w:szCs w:val="24"/>
          <w:lang w:val="fr-CD"/>
        </w:rPr>
      </w:pPr>
      <w:r w:rsidRPr="00215867">
        <w:rPr>
          <w:rFonts w:ascii="Times New Roman" w:hAnsi="Times New Roman"/>
          <w:sz w:val="24"/>
          <w:szCs w:val="24"/>
          <w:lang w:val="fr-CD"/>
        </w:rPr>
        <w:t>le plan de gestion des risques prenant en compte les risques liés aux Violences basées sur le genre (VBG/EAS/HS), les risques du COVID-19 et des accidents. Ce plan sera mieux détaillé dans les clauses environnementales et sociales devant être mis en annexe du rapport</w:t>
      </w:r>
    </w:p>
    <w:p w14:paraId="1B7313FC" w14:textId="77777777" w:rsidR="004C12CB" w:rsidRPr="00215867" w:rsidRDefault="004C12CB" w:rsidP="004C12CB">
      <w:pPr>
        <w:pStyle w:val="Paragraphedeliste"/>
        <w:numPr>
          <w:ilvl w:val="0"/>
          <w:numId w:val="142"/>
        </w:numPr>
        <w:autoSpaceDE w:val="0"/>
        <w:autoSpaceDN w:val="0"/>
        <w:adjustRightInd w:val="0"/>
        <w:spacing w:after="0" w:line="276" w:lineRule="auto"/>
        <w:jc w:val="both"/>
        <w:rPr>
          <w:rFonts w:ascii="Times New Roman" w:hAnsi="Times New Roman"/>
          <w:b/>
          <w:bCs/>
          <w:i/>
          <w:sz w:val="24"/>
          <w:szCs w:val="24"/>
        </w:rPr>
      </w:pPr>
      <w:r w:rsidRPr="00215867">
        <w:rPr>
          <w:rFonts w:ascii="Times New Roman" w:hAnsi="Times New Roman"/>
          <w:b/>
          <w:bCs/>
          <w:i/>
          <w:sz w:val="24"/>
          <w:szCs w:val="24"/>
        </w:rPr>
        <w:t>Suivi</w:t>
      </w:r>
    </w:p>
    <w:p w14:paraId="28D265E4" w14:textId="77777777" w:rsidR="004C12CB" w:rsidRPr="00215867" w:rsidRDefault="004C12CB" w:rsidP="004C12CB">
      <w:pPr>
        <w:spacing w:before="120" w:after="120"/>
        <w:ind w:left="284"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La section du PGES relative au suivi comprend : </w:t>
      </w:r>
    </w:p>
    <w:p w14:paraId="2A9BB04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w:t>
      </w:r>
    </w:p>
    <w:p w14:paraId="31C63C1B"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FCA703" w14:textId="77777777" w:rsidR="004C12CB" w:rsidRPr="00215867" w:rsidRDefault="004C12CB" w:rsidP="004C12CB">
      <w:pPr>
        <w:pStyle w:val="Paragraphedeliste"/>
        <w:numPr>
          <w:ilvl w:val="0"/>
          <w:numId w:val="142"/>
        </w:numPr>
        <w:autoSpaceDE w:val="0"/>
        <w:autoSpaceDN w:val="0"/>
        <w:adjustRightInd w:val="0"/>
        <w:spacing w:after="0" w:line="276" w:lineRule="auto"/>
        <w:jc w:val="both"/>
        <w:rPr>
          <w:rFonts w:ascii="Times New Roman" w:hAnsi="Times New Roman"/>
          <w:b/>
          <w:bCs/>
          <w:iCs/>
          <w:sz w:val="24"/>
          <w:szCs w:val="24"/>
          <w:lang w:val="fr-CD"/>
        </w:rPr>
      </w:pPr>
      <w:r w:rsidRPr="00215867">
        <w:rPr>
          <w:rFonts w:ascii="Times New Roman" w:hAnsi="Times New Roman"/>
          <w:b/>
          <w:bCs/>
          <w:sz w:val="24"/>
          <w:szCs w:val="24"/>
          <w:lang w:val="fr-CD"/>
        </w:rPr>
        <w:t>Renforcement</w:t>
      </w:r>
      <w:r w:rsidRPr="00215867">
        <w:rPr>
          <w:rFonts w:ascii="Times New Roman" w:hAnsi="Times New Roman"/>
          <w:b/>
          <w:bCs/>
          <w:iCs/>
          <w:sz w:val="24"/>
          <w:szCs w:val="24"/>
          <w:lang w:val="fr-CD"/>
        </w:rPr>
        <w:t xml:space="preserve"> des capacités et formation</w:t>
      </w:r>
    </w:p>
    <w:p w14:paraId="239FD158" w14:textId="77777777" w:rsidR="004C12CB" w:rsidRPr="00215867" w:rsidRDefault="004C12CB" w:rsidP="004C12CB">
      <w:pPr>
        <w:ind w:left="1134"/>
        <w:jc w:val="both"/>
        <w:rPr>
          <w:rFonts w:ascii="Times New Roman" w:hAnsi="Times New Roman"/>
          <w:sz w:val="24"/>
          <w:szCs w:val="24"/>
          <w:lang w:val="fr-CD"/>
        </w:rPr>
      </w:pPr>
      <w:r w:rsidRPr="00215867">
        <w:rPr>
          <w:rFonts w:ascii="Times New Roman" w:hAnsi="Times New Roman"/>
          <w:sz w:val="24"/>
          <w:szCs w:val="24"/>
          <w:lang w:val="fr-CD"/>
        </w:rPr>
        <w:t>Cette section du rapport portera sur :</w:t>
      </w:r>
    </w:p>
    <w:p w14:paraId="452ED9BC"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recommandations de la création ou de l’expansion des entités concernées, la formation du personnel et toute autre mesure supplémentaire indispensable pour soutenir la mise en œuvre des mesures d’atténuation</w:t>
      </w:r>
    </w:p>
    <w:p w14:paraId="3163E70D"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toute autre recommandation issue de l’étude d’impact environnemental et social.</w:t>
      </w:r>
    </w:p>
    <w:p w14:paraId="60A3AAD2"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le Programme de sensibilisation et d’information; </w:t>
      </w:r>
    </w:p>
    <w:p w14:paraId="01DD36F9" w14:textId="77777777" w:rsidR="004C12CB" w:rsidRPr="00215867" w:rsidRDefault="004C12CB" w:rsidP="004C12CB">
      <w:pPr>
        <w:ind w:left="1134"/>
        <w:jc w:val="both"/>
        <w:rPr>
          <w:rFonts w:ascii="Times New Roman" w:hAnsi="Times New Roman"/>
          <w:sz w:val="24"/>
          <w:szCs w:val="24"/>
          <w:lang w:val="fr-CD"/>
        </w:rPr>
      </w:pPr>
    </w:p>
    <w:p w14:paraId="1E92AB87" w14:textId="77777777" w:rsidR="004C12CB" w:rsidRPr="00215867" w:rsidRDefault="004C12CB" w:rsidP="004C12CB">
      <w:pPr>
        <w:pStyle w:val="Paragraphedeliste"/>
        <w:numPr>
          <w:ilvl w:val="0"/>
          <w:numId w:val="142"/>
        </w:numPr>
        <w:autoSpaceDE w:val="0"/>
        <w:autoSpaceDN w:val="0"/>
        <w:adjustRightInd w:val="0"/>
        <w:spacing w:after="0" w:line="276" w:lineRule="auto"/>
        <w:jc w:val="both"/>
        <w:rPr>
          <w:rFonts w:ascii="Times New Roman" w:hAnsi="Times New Roman"/>
          <w:b/>
          <w:bCs/>
          <w:iCs/>
          <w:sz w:val="24"/>
          <w:szCs w:val="24"/>
          <w:lang w:val="fr-CD"/>
        </w:rPr>
      </w:pPr>
      <w:r w:rsidRPr="00215867">
        <w:rPr>
          <w:rFonts w:ascii="Times New Roman" w:hAnsi="Times New Roman"/>
          <w:b/>
          <w:bCs/>
          <w:iCs/>
          <w:sz w:val="24"/>
          <w:szCs w:val="24"/>
          <w:lang w:val="fr-CD"/>
        </w:rPr>
        <w:t xml:space="preserve">Calendrier </w:t>
      </w:r>
      <w:r w:rsidRPr="00215867">
        <w:rPr>
          <w:rFonts w:ascii="Times New Roman" w:hAnsi="Times New Roman"/>
          <w:b/>
          <w:bCs/>
          <w:sz w:val="24"/>
          <w:szCs w:val="24"/>
          <w:lang w:val="fr-CD"/>
        </w:rPr>
        <w:t>d’exécution</w:t>
      </w:r>
      <w:r w:rsidRPr="00215867">
        <w:rPr>
          <w:rFonts w:ascii="Times New Roman" w:hAnsi="Times New Roman"/>
          <w:b/>
          <w:bCs/>
          <w:iCs/>
          <w:sz w:val="24"/>
          <w:szCs w:val="24"/>
          <w:lang w:val="fr-CD"/>
        </w:rPr>
        <w:t xml:space="preserve"> et estimation des coûts</w:t>
      </w:r>
    </w:p>
    <w:p w14:paraId="7BCB0EF1" w14:textId="77777777" w:rsidR="004C12CB" w:rsidRPr="00215867" w:rsidRDefault="004C12CB" w:rsidP="004C12CB">
      <w:pPr>
        <w:spacing w:before="120" w:after="120"/>
        <w:ind w:left="284" w:right="6" w:firstLine="11"/>
        <w:jc w:val="both"/>
        <w:rPr>
          <w:rFonts w:ascii="Times New Roman" w:hAnsi="Times New Roman"/>
          <w:sz w:val="24"/>
          <w:szCs w:val="24"/>
          <w:lang w:val="fr-CD"/>
        </w:rPr>
      </w:pPr>
      <w:r w:rsidRPr="00215867">
        <w:rPr>
          <w:rFonts w:ascii="Times New Roman" w:hAnsi="Times New Roman"/>
          <w:sz w:val="24"/>
          <w:szCs w:val="24"/>
          <w:lang w:val="fr-CD"/>
        </w:rPr>
        <w:t>Pour les trois aspects (atténuation, suivi et renforcement des capacités), le PGES comprendra :</w:t>
      </w:r>
    </w:p>
    <w:p w14:paraId="38092D89"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un calendrier d’exécution des mesures devant être prises dans le cadre du projet, indiquant les différentes étapes et la coordination avec les plans de mise en œuvre globale du projet ;  </w:t>
      </w:r>
    </w:p>
    <w:p w14:paraId="5324AF8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une estimation de son coût d’investissement et de ses charges récurrentes ainsi que des sources de financement de sa mise en œuvre. Ces chiffres sont également inscrits sur les tableaux récapitulatifs de l’ensemble des coûts du projet.</w:t>
      </w:r>
    </w:p>
    <w:p w14:paraId="416E577C" w14:textId="77777777" w:rsidR="004C12CB" w:rsidRPr="00215867" w:rsidRDefault="004C12CB" w:rsidP="004C12CB">
      <w:pPr>
        <w:ind w:left="1134"/>
        <w:jc w:val="both"/>
        <w:rPr>
          <w:rFonts w:ascii="Times New Roman" w:hAnsi="Times New Roman"/>
          <w:sz w:val="24"/>
          <w:szCs w:val="24"/>
          <w:lang w:val="fr-CD"/>
        </w:rPr>
      </w:pPr>
      <w:r w:rsidRPr="00215867">
        <w:rPr>
          <w:rFonts w:ascii="Times New Roman" w:hAnsi="Times New Roman"/>
          <w:sz w:val="24"/>
          <w:szCs w:val="24"/>
          <w:lang w:val="fr-CD"/>
        </w:rPr>
        <w:t>Intégration du PGES dans le projet</w:t>
      </w:r>
    </w:p>
    <w:p w14:paraId="411F058A"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 PGES sera intégré dans l’EIES pour être exécuté de manière efficace. En conséquence, chacune des mesures et actions à mettre en œuvre sera clairement indiquée, y compris les mesures et actions d’atténuation et de suivi et les responsabilités institutionnelles relatives à chacune de ces mesures et actions. En outre, les coûts correspondants seront pris en compte dans la planification globale, la conception, le budget et la mise en œuvre du projet.</w:t>
      </w:r>
    </w:p>
    <w:p w14:paraId="5E2462A3"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 PGES comprendra aussi des mesures à suivre en cas de « trouvailles fortuites », conformément aux directives de la Banque mondiale sur le patrimoine culturel ainsi que les dispositions de la loi nationale.</w:t>
      </w:r>
    </w:p>
    <w:p w14:paraId="34E8E972" w14:textId="77777777" w:rsidR="004C12CB" w:rsidRPr="00215867" w:rsidRDefault="004C12CB" w:rsidP="004C12CB">
      <w:pPr>
        <w:pStyle w:val="Paragraphedeliste"/>
        <w:numPr>
          <w:ilvl w:val="0"/>
          <w:numId w:val="142"/>
        </w:numPr>
        <w:autoSpaceDE w:val="0"/>
        <w:autoSpaceDN w:val="0"/>
        <w:adjustRightInd w:val="0"/>
        <w:spacing w:after="0" w:line="276" w:lineRule="auto"/>
        <w:jc w:val="both"/>
        <w:rPr>
          <w:rFonts w:ascii="Times New Roman" w:hAnsi="Times New Roman"/>
          <w:b/>
          <w:bCs/>
          <w:iCs/>
          <w:sz w:val="24"/>
          <w:szCs w:val="24"/>
        </w:rPr>
      </w:pPr>
      <w:r w:rsidRPr="00215867">
        <w:rPr>
          <w:rFonts w:ascii="Times New Roman" w:hAnsi="Times New Roman"/>
          <w:b/>
          <w:bCs/>
          <w:iCs/>
          <w:sz w:val="24"/>
          <w:szCs w:val="24"/>
        </w:rPr>
        <w:t>Appendices</w:t>
      </w:r>
    </w:p>
    <w:p w14:paraId="6650994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rPr>
      </w:pPr>
      <w:r w:rsidRPr="00215867">
        <w:rPr>
          <w:rFonts w:ascii="Times New Roman" w:hAnsi="Times New Roman"/>
          <w:sz w:val="24"/>
          <w:szCs w:val="24"/>
        </w:rPr>
        <w:t>les références bibliographiques ;</w:t>
      </w:r>
    </w:p>
    <w:p w14:paraId="3D14EA9F"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présents termes de référence ;</w:t>
      </w:r>
    </w:p>
    <w:p w14:paraId="6679A795"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 programme de sensibilisation et d’information ainsi que les procès-verbaux des réunions tenues avec les populations, les agences gouvernementales impliquées dans la mise en œuvre du projet, les organisations non gouvernementales, les syndicats, les leaders d’opinions et autres groupes organisés concernés par le projet ;</w:t>
      </w:r>
    </w:p>
    <w:p w14:paraId="641EE674"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les listes des personnes consultées ; </w:t>
      </w:r>
    </w:p>
    <w:p w14:paraId="107BDC7D"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rapports de réunions des séances de restitution ;</w:t>
      </w:r>
    </w:p>
    <w:p w14:paraId="7AC673E9"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rPr>
      </w:pPr>
      <w:r w:rsidRPr="00215867">
        <w:rPr>
          <w:rFonts w:ascii="Times New Roman" w:hAnsi="Times New Roman"/>
          <w:sz w:val="24"/>
          <w:szCs w:val="24"/>
        </w:rPr>
        <w:t xml:space="preserve">les documents fonciers ; </w:t>
      </w:r>
    </w:p>
    <w:p w14:paraId="2A599CF2"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La liste des personnes ou des organisations qui ont préparé l’évaluation environnementale et sociale ou y ont contribué ;</w:t>
      </w:r>
    </w:p>
    <w:p w14:paraId="4AE6A796"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comptes-rendus des réunions, des consultations et des enquêtes associant les parties prenantes, y compris les personnes touchées et les autres parties concernées. Ces comptes-rendus décrivent les moyens utilisés auxdites occasions pour obtenir les points de vue des populations touchées et des autres parties concernées ;</w:t>
      </w:r>
    </w:p>
    <w:p w14:paraId="0DB7FDC3"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les tableaux présentant les données pertinentes visées ou résumées dans le corps du texte ;</w:t>
      </w:r>
    </w:p>
    <w:p w14:paraId="668ED444" w14:textId="77777777" w:rsidR="004C12CB" w:rsidRPr="00215867" w:rsidRDefault="004C12CB" w:rsidP="004C12CB">
      <w:pPr>
        <w:numPr>
          <w:ilvl w:val="0"/>
          <w:numId w:val="255"/>
        </w:numPr>
        <w:spacing w:after="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la liste des rapports ou des plans associés, cartes, figures, de la documentation relative à la consultation du public, des différents documents administratifs, des résultats des analyses, des informations supplémentaires relatives à l’étude et les termes de référence de l’étude ;</w:t>
      </w:r>
    </w:p>
    <w:p w14:paraId="107217E9" w14:textId="77777777" w:rsidR="004C12CB" w:rsidRPr="00215867" w:rsidRDefault="004C12CB" w:rsidP="004C12CB">
      <w:pPr>
        <w:ind w:left="1134"/>
        <w:jc w:val="both"/>
        <w:rPr>
          <w:rFonts w:ascii="Times New Roman" w:hAnsi="Times New Roman"/>
          <w:sz w:val="24"/>
          <w:szCs w:val="24"/>
          <w:lang w:val="fr-CD"/>
        </w:rPr>
      </w:pPr>
      <w:r w:rsidRPr="00215867">
        <w:rPr>
          <w:rFonts w:ascii="Times New Roman" w:hAnsi="Times New Roman"/>
          <w:sz w:val="24"/>
          <w:szCs w:val="24"/>
          <w:lang w:val="fr-CD"/>
        </w:rPr>
        <w:t>Les tableaux de synthèse sur les données récoltées et les références appropriées, de même que toute information facilitant la compréhension ou l’interprétation des données, seront présentées en annexe exceptés les tableaux de synthèse des impacts, des mesures d’atténuation, de surveillance et de suivi environnementaux et sociaux, assortis des fréquences de suivi et des entités responsables pour ces tâches.</w:t>
      </w:r>
      <w:bookmarkStart w:id="1188" w:name="_Hlk34409846"/>
    </w:p>
    <w:bookmarkEnd w:id="1188"/>
    <w:p w14:paraId="040C0C02" w14:textId="77777777" w:rsidR="004C12CB" w:rsidRPr="00215867" w:rsidRDefault="004C12CB" w:rsidP="004C12CB">
      <w:pPr>
        <w:pStyle w:val="Paragraphedeliste"/>
        <w:numPr>
          <w:ilvl w:val="2"/>
          <w:numId w:val="283"/>
        </w:numPr>
        <w:spacing w:before="120" w:after="120" w:line="276" w:lineRule="auto"/>
        <w:ind w:left="709" w:hanging="709"/>
        <w:contextualSpacing w:val="0"/>
        <w:jc w:val="both"/>
        <w:rPr>
          <w:rFonts w:ascii="Times New Roman" w:hAnsi="Times New Roman"/>
          <w:b/>
          <w:sz w:val="24"/>
          <w:szCs w:val="24"/>
        </w:rPr>
      </w:pPr>
      <w:r w:rsidRPr="00215867">
        <w:rPr>
          <w:rFonts w:ascii="Times New Roman" w:hAnsi="Times New Roman"/>
          <w:b/>
          <w:sz w:val="24"/>
          <w:szCs w:val="24"/>
        </w:rPr>
        <w:t xml:space="preserve">Plan d’Action de Réinstallation </w:t>
      </w:r>
    </w:p>
    <w:p w14:paraId="5D354B58" w14:textId="77777777" w:rsidR="004C12CB" w:rsidRPr="00215867" w:rsidRDefault="004C12CB" w:rsidP="004C12CB">
      <w:pPr>
        <w:pStyle w:val="Paragraphedeliste"/>
        <w:numPr>
          <w:ilvl w:val="3"/>
          <w:numId w:val="283"/>
        </w:numPr>
        <w:spacing w:before="120" w:after="120" w:line="276" w:lineRule="auto"/>
        <w:ind w:left="993" w:hanging="851"/>
        <w:contextualSpacing w:val="0"/>
        <w:jc w:val="both"/>
        <w:rPr>
          <w:rFonts w:ascii="Times New Roman" w:hAnsi="Times New Roman"/>
          <w:b/>
          <w:sz w:val="24"/>
          <w:szCs w:val="24"/>
        </w:rPr>
      </w:pPr>
      <w:r w:rsidRPr="00215867">
        <w:rPr>
          <w:rFonts w:ascii="Times New Roman" w:hAnsi="Times New Roman"/>
          <w:b/>
          <w:sz w:val="24"/>
          <w:szCs w:val="24"/>
        </w:rPr>
        <w:t xml:space="preserve">Objectifs </w:t>
      </w:r>
    </w:p>
    <w:p w14:paraId="609845A9" w14:textId="77777777" w:rsidR="004C12CB" w:rsidRPr="00215867" w:rsidRDefault="004C12CB" w:rsidP="004C12CB">
      <w:pPr>
        <w:spacing w:before="120" w:after="120"/>
        <w:ind w:left="284" w:right="6" w:firstLine="11"/>
        <w:jc w:val="both"/>
        <w:rPr>
          <w:rFonts w:ascii="Times New Roman" w:hAnsi="Times New Roman"/>
          <w:bCs/>
          <w:sz w:val="24"/>
          <w:szCs w:val="24"/>
          <w:lang w:val="fr-CD"/>
        </w:rPr>
      </w:pPr>
      <w:r w:rsidRPr="00215867">
        <w:rPr>
          <w:rFonts w:ascii="Times New Roman" w:hAnsi="Times New Roman"/>
          <w:bCs/>
          <w:sz w:val="24"/>
          <w:szCs w:val="24"/>
          <w:lang w:val="fr-CD"/>
        </w:rPr>
        <w:t xml:space="preserve">L’objectif du Plan d’Action de Réinstallation selon la norme n°5 de la Banque mondiale comprennent des mesures </w:t>
      </w:r>
      <w:r w:rsidRPr="00215867">
        <w:rPr>
          <w:rFonts w:ascii="Times New Roman" w:hAnsi="Times New Roman"/>
          <w:sz w:val="24"/>
          <w:szCs w:val="24"/>
          <w:lang w:val="fr-CD"/>
        </w:rPr>
        <w:t>visant</w:t>
      </w:r>
      <w:r w:rsidRPr="00215867">
        <w:rPr>
          <w:rFonts w:ascii="Times New Roman" w:hAnsi="Times New Roman"/>
          <w:bCs/>
          <w:sz w:val="24"/>
          <w:szCs w:val="24"/>
          <w:lang w:val="fr-CD"/>
        </w:rPr>
        <w:t xml:space="preserve"> à faire face aux déplacements physiques et /ou économiques, selon la nature des effets escomptés </w:t>
      </w:r>
      <w:r w:rsidRPr="00215867">
        <w:rPr>
          <w:rFonts w:ascii="Times New Roman" w:hAnsi="Times New Roman"/>
          <w:sz w:val="24"/>
          <w:szCs w:val="24"/>
          <w:lang w:val="fr-CD"/>
        </w:rPr>
        <w:t>d’un</w:t>
      </w:r>
      <w:r w:rsidRPr="00215867">
        <w:rPr>
          <w:rFonts w:ascii="Times New Roman" w:hAnsi="Times New Roman"/>
          <w:bCs/>
          <w:sz w:val="24"/>
          <w:szCs w:val="24"/>
          <w:lang w:val="fr-CD"/>
        </w:rPr>
        <w:t xml:space="preserve"> projet. </w:t>
      </w:r>
    </w:p>
    <w:p w14:paraId="4CB5444D" w14:textId="77777777" w:rsidR="004C12CB" w:rsidRPr="00215867" w:rsidRDefault="004C12CB" w:rsidP="004C12CB">
      <w:pPr>
        <w:spacing w:before="120" w:after="120"/>
        <w:ind w:left="284" w:right="6" w:firstLine="11"/>
        <w:jc w:val="both"/>
        <w:rPr>
          <w:rFonts w:ascii="Times New Roman" w:hAnsi="Times New Roman"/>
          <w:bCs/>
          <w:sz w:val="24"/>
          <w:szCs w:val="24"/>
          <w:lang w:val="fr-CD"/>
        </w:rPr>
      </w:pPr>
      <w:r w:rsidRPr="00215867">
        <w:rPr>
          <w:rFonts w:ascii="Times New Roman" w:hAnsi="Times New Roman"/>
          <w:bCs/>
          <w:sz w:val="24"/>
          <w:szCs w:val="24"/>
          <w:lang w:val="fr-CD"/>
        </w:rPr>
        <w:t>Les objectifs spécifiques de l’actualisation des PAR existants sont  de :</w:t>
      </w:r>
    </w:p>
    <w:p w14:paraId="610A2AFE" w14:textId="77777777" w:rsidR="004C12CB" w:rsidRPr="00215867" w:rsidRDefault="004C12CB" w:rsidP="004C12CB">
      <w:pPr>
        <w:pStyle w:val="Paragraphedeliste"/>
        <w:numPr>
          <w:ilvl w:val="0"/>
          <w:numId w:val="267"/>
        </w:numPr>
        <w:spacing w:before="120" w:after="120" w:line="240" w:lineRule="auto"/>
        <w:ind w:left="709" w:hanging="425"/>
        <w:jc w:val="both"/>
        <w:rPr>
          <w:rFonts w:ascii="Times New Roman" w:hAnsi="Times New Roman"/>
          <w:bCs/>
          <w:sz w:val="24"/>
          <w:szCs w:val="24"/>
          <w:lang w:val="fr-CD"/>
        </w:rPr>
      </w:pPr>
      <w:r w:rsidRPr="00215867">
        <w:rPr>
          <w:rFonts w:ascii="Times New Roman" w:hAnsi="Times New Roman"/>
          <w:bCs/>
          <w:sz w:val="24"/>
          <w:szCs w:val="24"/>
          <w:lang w:val="fr-CD"/>
        </w:rPr>
        <w:t>Inventorier dans la mesure du possible, toutes les personnes susceptibles d’être affectées par l’acquisition des emprises nécessaires pour le réseau MT et l’emplacement des cabines MT/BT, ainsi que le réseau BT qui sera construit dans le cadre du projet</w:t>
      </w:r>
    </w:p>
    <w:p w14:paraId="5E203720" w14:textId="77777777" w:rsidR="004C12CB" w:rsidRPr="00215867" w:rsidRDefault="004C12CB" w:rsidP="004C12CB">
      <w:pPr>
        <w:pStyle w:val="Paragraphedeliste"/>
        <w:numPr>
          <w:ilvl w:val="0"/>
          <w:numId w:val="267"/>
        </w:numPr>
        <w:spacing w:before="120" w:after="120" w:line="240" w:lineRule="auto"/>
        <w:ind w:left="709" w:hanging="425"/>
        <w:jc w:val="both"/>
        <w:rPr>
          <w:rFonts w:ascii="Times New Roman" w:hAnsi="Times New Roman"/>
          <w:bCs/>
          <w:sz w:val="24"/>
          <w:szCs w:val="24"/>
          <w:lang w:val="fr-CD"/>
        </w:rPr>
      </w:pPr>
      <w:r w:rsidRPr="00215867">
        <w:rPr>
          <w:rFonts w:ascii="Times New Roman" w:hAnsi="Times New Roman"/>
          <w:bCs/>
          <w:sz w:val="24"/>
          <w:szCs w:val="24"/>
          <w:lang w:val="fr-CD"/>
        </w:rPr>
        <w:t>s’assurer que toutes les personnes susceptibles d’être affectées sont consultées et ont l’opportunité de participer à toutes les étapes charnières du processus d’élaboration et de mise en œuvre du PAR</w:t>
      </w:r>
    </w:p>
    <w:p w14:paraId="14EFB333" w14:textId="77777777" w:rsidR="004C12CB" w:rsidRPr="00215867" w:rsidRDefault="004C12CB" w:rsidP="004C12CB">
      <w:pPr>
        <w:pStyle w:val="Paragraphedeliste"/>
        <w:numPr>
          <w:ilvl w:val="0"/>
          <w:numId w:val="267"/>
        </w:numPr>
        <w:spacing w:before="120" w:after="120" w:line="240" w:lineRule="auto"/>
        <w:ind w:left="709" w:hanging="425"/>
        <w:jc w:val="both"/>
        <w:rPr>
          <w:rFonts w:ascii="Times New Roman" w:hAnsi="Times New Roman"/>
          <w:bCs/>
          <w:sz w:val="24"/>
          <w:szCs w:val="24"/>
          <w:lang w:val="fr-CD"/>
        </w:rPr>
      </w:pPr>
      <w:r w:rsidRPr="00215867">
        <w:rPr>
          <w:rFonts w:ascii="Times New Roman" w:hAnsi="Times New Roman"/>
          <w:bCs/>
          <w:sz w:val="24"/>
          <w:szCs w:val="24"/>
          <w:lang w:val="fr-CD"/>
        </w:rPr>
        <w:t>s’assurer que les indemnisations sont déterminées en fonction des impacts réellement subis</w:t>
      </w:r>
    </w:p>
    <w:p w14:paraId="4ABA6692" w14:textId="77777777" w:rsidR="004C12CB" w:rsidRPr="00215867" w:rsidRDefault="004C12CB" w:rsidP="004C12CB">
      <w:pPr>
        <w:pStyle w:val="Paragraphedeliste"/>
        <w:numPr>
          <w:ilvl w:val="0"/>
          <w:numId w:val="267"/>
        </w:numPr>
        <w:spacing w:before="120" w:after="120" w:line="240" w:lineRule="auto"/>
        <w:ind w:left="709" w:hanging="425"/>
        <w:jc w:val="both"/>
        <w:rPr>
          <w:rFonts w:ascii="Times New Roman" w:hAnsi="Times New Roman"/>
          <w:bCs/>
          <w:sz w:val="24"/>
          <w:szCs w:val="24"/>
          <w:lang w:val="fr-CD"/>
        </w:rPr>
      </w:pPr>
      <w:r w:rsidRPr="00215867">
        <w:rPr>
          <w:rFonts w:ascii="Times New Roman" w:hAnsi="Times New Roman"/>
          <w:bCs/>
          <w:sz w:val="24"/>
          <w:szCs w:val="24"/>
          <w:lang w:val="fr-CD"/>
        </w:rPr>
        <w:t>s’assurer que les personnes déplacées et vulnérables sont assistées dans leurs efforts pour améliorer leurs moyens de subsistance et leur niveau de vie ou au minimum les rétablir à leur état d’avant le processus de réinstallation</w:t>
      </w:r>
    </w:p>
    <w:p w14:paraId="6BFDCDF9" w14:textId="77777777" w:rsidR="004C12CB" w:rsidRPr="00215867" w:rsidRDefault="004C12CB" w:rsidP="004C12CB">
      <w:pPr>
        <w:pStyle w:val="Paragraphedeliste"/>
        <w:numPr>
          <w:ilvl w:val="0"/>
          <w:numId w:val="267"/>
        </w:numPr>
        <w:spacing w:before="120" w:after="120" w:line="240" w:lineRule="auto"/>
        <w:ind w:left="709" w:hanging="425"/>
        <w:contextualSpacing w:val="0"/>
        <w:jc w:val="both"/>
        <w:rPr>
          <w:rFonts w:ascii="Times New Roman" w:hAnsi="Times New Roman"/>
          <w:sz w:val="24"/>
          <w:szCs w:val="24"/>
          <w:lang w:val="fr-CD"/>
        </w:rPr>
      </w:pPr>
      <w:r w:rsidRPr="00215867">
        <w:rPr>
          <w:rFonts w:ascii="Times New Roman" w:hAnsi="Times New Roman"/>
          <w:bCs/>
          <w:sz w:val="24"/>
          <w:szCs w:val="24"/>
          <w:lang w:val="fr-CD"/>
        </w:rPr>
        <w:t>proposer des alternatives de réinstaller les personnes affectées, et s’assurer, si possible, que les personnes affectées obtiennent des concessions sur la même zone.</w:t>
      </w:r>
    </w:p>
    <w:p w14:paraId="02D3A89F" w14:textId="77777777" w:rsidR="004C12CB" w:rsidRPr="00215867" w:rsidRDefault="004C12CB" w:rsidP="004C12CB">
      <w:pPr>
        <w:pStyle w:val="Paragraphedeliste"/>
        <w:numPr>
          <w:ilvl w:val="3"/>
          <w:numId w:val="283"/>
        </w:numPr>
        <w:spacing w:before="120" w:after="120" w:line="276" w:lineRule="auto"/>
        <w:ind w:left="993" w:hanging="851"/>
        <w:contextualSpacing w:val="0"/>
        <w:jc w:val="both"/>
        <w:rPr>
          <w:rFonts w:ascii="Times New Roman" w:hAnsi="Times New Roman"/>
          <w:b/>
          <w:sz w:val="24"/>
          <w:szCs w:val="24"/>
        </w:rPr>
      </w:pPr>
      <w:r w:rsidRPr="00215867">
        <w:rPr>
          <w:rFonts w:ascii="Times New Roman" w:hAnsi="Times New Roman"/>
          <w:b/>
          <w:sz w:val="24"/>
          <w:szCs w:val="24"/>
        </w:rPr>
        <w:t>Tâches du consultant</w:t>
      </w:r>
    </w:p>
    <w:p w14:paraId="0CF88341" w14:textId="77777777" w:rsidR="004C12CB" w:rsidRPr="00215867" w:rsidRDefault="004C12CB" w:rsidP="004C12CB">
      <w:pPr>
        <w:spacing w:before="120" w:after="120"/>
        <w:ind w:left="284"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Le </w:t>
      </w:r>
      <w:r w:rsidRPr="00215867">
        <w:rPr>
          <w:rFonts w:ascii="Times New Roman" w:hAnsi="Times New Roman"/>
          <w:bCs/>
          <w:sz w:val="24"/>
          <w:szCs w:val="24"/>
          <w:lang w:val="fr-CD"/>
        </w:rPr>
        <w:t>consultant</w:t>
      </w:r>
      <w:r w:rsidRPr="00215867">
        <w:rPr>
          <w:rFonts w:ascii="Times New Roman" w:hAnsi="Times New Roman"/>
          <w:sz w:val="24"/>
          <w:szCs w:val="24"/>
          <w:lang w:val="fr-CD"/>
        </w:rPr>
        <w:t xml:space="preserve"> réalisera les tâches suivantes :</w:t>
      </w:r>
    </w:p>
    <w:p w14:paraId="34CFFD87" w14:textId="77777777" w:rsidR="004C12CB" w:rsidRPr="00215867" w:rsidRDefault="004C12CB" w:rsidP="004C12CB">
      <w:pPr>
        <w:pStyle w:val="Paragraphedeliste"/>
        <w:numPr>
          <w:ilvl w:val="0"/>
          <w:numId w:val="269"/>
        </w:numPr>
        <w:spacing w:after="0" w:line="276" w:lineRule="auto"/>
        <w:ind w:left="709" w:hanging="426"/>
        <w:jc w:val="both"/>
        <w:rPr>
          <w:rFonts w:ascii="Times New Roman" w:hAnsi="Times New Roman"/>
          <w:sz w:val="24"/>
          <w:szCs w:val="24"/>
        </w:rPr>
      </w:pPr>
      <w:r w:rsidRPr="00215867">
        <w:rPr>
          <w:rFonts w:ascii="Times New Roman" w:hAnsi="Times New Roman"/>
          <w:sz w:val="24"/>
          <w:szCs w:val="24"/>
        </w:rPr>
        <w:t xml:space="preserve">Etablissement de cartes thématiques  </w:t>
      </w:r>
    </w:p>
    <w:p w14:paraId="2A3DF542"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Le consultant établira les cartes thématiques identifiant la zone du projet, les ménages affectés, les ressources naturelles, les actifs fixes et les activités socioéconomiques des ménages impactées par les travaux. Ce travail devra se faire en franche collaboration avec les experts de la SNEL et de l’UCM.</w:t>
      </w:r>
    </w:p>
    <w:p w14:paraId="25F6ABAC" w14:textId="77777777" w:rsidR="004C12CB" w:rsidRPr="00215867" w:rsidRDefault="004C12CB" w:rsidP="004C12CB">
      <w:pPr>
        <w:pStyle w:val="Paragraphedeliste"/>
        <w:numPr>
          <w:ilvl w:val="0"/>
          <w:numId w:val="269"/>
        </w:numPr>
        <w:spacing w:after="0" w:line="276" w:lineRule="auto"/>
        <w:ind w:left="709" w:hanging="426"/>
        <w:jc w:val="both"/>
        <w:rPr>
          <w:rFonts w:ascii="Times New Roman" w:hAnsi="Times New Roman"/>
          <w:sz w:val="24"/>
          <w:szCs w:val="24"/>
          <w:lang w:val="fr-CD"/>
        </w:rPr>
      </w:pPr>
      <w:r w:rsidRPr="00215867">
        <w:rPr>
          <w:rFonts w:ascii="Times New Roman" w:hAnsi="Times New Roman"/>
          <w:sz w:val="24"/>
          <w:szCs w:val="24"/>
          <w:lang w:val="fr-CD"/>
        </w:rPr>
        <w:t>Recensement des personnes affectées par le projet (PAP)</w:t>
      </w:r>
    </w:p>
    <w:p w14:paraId="0324BAA5" w14:textId="77777777" w:rsidR="004C12CB" w:rsidRPr="00215867" w:rsidRDefault="004C12CB" w:rsidP="004C12CB">
      <w:pPr>
        <w:spacing w:before="120" w:after="120"/>
        <w:ind w:left="709"/>
        <w:jc w:val="both"/>
        <w:rPr>
          <w:rFonts w:ascii="Times New Roman" w:hAnsi="Times New Roman"/>
          <w:sz w:val="24"/>
          <w:szCs w:val="24"/>
        </w:rPr>
      </w:pPr>
      <w:r w:rsidRPr="00215867">
        <w:rPr>
          <w:rFonts w:ascii="Times New Roman" w:hAnsi="Times New Roman"/>
          <w:bCs/>
          <w:sz w:val="24"/>
          <w:szCs w:val="24"/>
          <w:lang w:val="fr-CD"/>
        </w:rPr>
        <w:t xml:space="preserve">Le consultant fera un recensement permettant de dresser la liste des personnes susceptibles d’être réellement affectées par le projet en fonction de leur lieu d’habitation. </w:t>
      </w:r>
      <w:r w:rsidRPr="00215867">
        <w:rPr>
          <w:rFonts w:ascii="Times New Roman" w:hAnsi="Times New Roman"/>
          <w:bCs/>
          <w:sz w:val="24"/>
          <w:szCs w:val="24"/>
        </w:rPr>
        <w:t>Par ce recensement, il devra :</w:t>
      </w:r>
    </w:p>
    <w:p w14:paraId="3318FCE8" w14:textId="77777777" w:rsidR="004C12CB" w:rsidRPr="00215867" w:rsidRDefault="004C12CB" w:rsidP="004C12CB">
      <w:pPr>
        <w:pStyle w:val="Paragraphedeliste"/>
        <w:numPr>
          <w:ilvl w:val="0"/>
          <w:numId w:val="257"/>
        </w:numPr>
        <w:spacing w:before="60" w:after="6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inventorier et collecter des informations de base sur la population en question </w:t>
      </w:r>
    </w:p>
    <w:p w14:paraId="60AB31E0"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établir un registre de cette population, selon le lieu de résidence ou la localité</w:t>
      </w:r>
    </w:p>
    <w:p w14:paraId="22A5528E"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dresser une liste de bénéficiaires légitimes avant le démarrage du projet, liste qui pourra être utilisée à l’encontre de réclamations fallacieuses de personnes venues vivre dans la zone du projet uniquement en prévision des avantages accordés</w:t>
      </w:r>
    </w:p>
    <w:p w14:paraId="3B5CCA3B"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réaliser des études socioéconomiques en vue d’établir de justes taux d’indemnisation et d’assurer la conception, le suivi et l’évaluation d’initiatives durables de rétablissement des revenus ou de développement, et</w:t>
      </w:r>
    </w:p>
    <w:p w14:paraId="71C71F8F" w14:textId="77777777" w:rsidR="004C12CB" w:rsidRPr="00215867" w:rsidRDefault="004C12CB" w:rsidP="004C12CB">
      <w:pPr>
        <w:pStyle w:val="Paragraphedeliste"/>
        <w:numPr>
          <w:ilvl w:val="0"/>
          <w:numId w:val="257"/>
        </w:numPr>
        <w:spacing w:after="120" w:line="240" w:lineRule="auto"/>
        <w:ind w:left="1134" w:hanging="425"/>
        <w:contextualSpacing w:val="0"/>
        <w:jc w:val="both"/>
        <w:rPr>
          <w:rFonts w:ascii="Times New Roman" w:hAnsi="Times New Roman"/>
          <w:bCs/>
          <w:sz w:val="24"/>
          <w:szCs w:val="24"/>
          <w:lang w:val="fr-CD"/>
        </w:rPr>
      </w:pPr>
      <w:r w:rsidRPr="00215867">
        <w:rPr>
          <w:rFonts w:ascii="Times New Roman" w:hAnsi="Times New Roman"/>
          <w:bCs/>
          <w:sz w:val="24"/>
          <w:szCs w:val="24"/>
          <w:lang w:val="fr-CD"/>
        </w:rPr>
        <w:t>fournir un point de référence pour le travail de suivi et d’évaluation.</w:t>
      </w:r>
    </w:p>
    <w:p w14:paraId="7F12A0E3" w14:textId="77777777" w:rsidR="004C12CB" w:rsidRPr="00215867" w:rsidRDefault="004C12CB" w:rsidP="004C12CB">
      <w:pPr>
        <w:pStyle w:val="Paragraphedeliste"/>
        <w:numPr>
          <w:ilvl w:val="0"/>
          <w:numId w:val="269"/>
        </w:numPr>
        <w:spacing w:after="0" w:line="276" w:lineRule="auto"/>
        <w:ind w:left="709" w:hanging="426"/>
        <w:jc w:val="both"/>
        <w:rPr>
          <w:rFonts w:ascii="Times New Roman" w:hAnsi="Times New Roman"/>
          <w:sz w:val="24"/>
          <w:szCs w:val="24"/>
        </w:rPr>
      </w:pPr>
      <w:r w:rsidRPr="00215867">
        <w:rPr>
          <w:rFonts w:ascii="Times New Roman" w:hAnsi="Times New Roman"/>
          <w:sz w:val="24"/>
          <w:szCs w:val="24"/>
        </w:rPr>
        <w:t>Inventaire des actifs en cause</w:t>
      </w:r>
    </w:p>
    <w:p w14:paraId="08B3330F"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Le consultant fera un recensement détaillé de l’ensemble des pertes occasionnées pour chacun des ménages ou la communauté affectée par le projet. Cet inventaire tiendra compte des acquisitions de terrains et de la perte de biens matériels comme de la perte de revenus (dépôts d’argile, lieux de pêche, zones de clientèle pour les petits commerces, etc.).</w:t>
      </w:r>
    </w:p>
    <w:p w14:paraId="5DBA6D09"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 xml:space="preserve">Il consultera les populations concernées afin de parvenir à un degré de consensus raisonnable sur les méthodes et formules à suivre pour établir la valeur des actifs perdus. </w:t>
      </w:r>
    </w:p>
    <w:p w14:paraId="53F5E103"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Pour chaque bien perdu ou affecté par les travaux, sa valeur de remplacement sera calculée au taux en vigueur sur le marché et en fonction du titre d’occupation.</w:t>
      </w:r>
    </w:p>
    <w:p w14:paraId="1AC61BC4"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Il devra inventorier (i) les biens tels que les habitations et structures connexes, cuisines, toilettes, entrepôts, granges, atelier, etc., à classer selon les matériaux de construction utilisés (bois d’œuvre, clayonnage, bambous, roseaux, brique et mortier, ciment, terre, etc.) et (ii) les autres biens matériels privés, comme les cultures sur pied, arbres fruitiers et plantes fourragères, parcelles boisées, clôture, puits, tombes ou sépultures.</w:t>
      </w:r>
    </w:p>
    <w:p w14:paraId="3D23E25B"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 xml:space="preserve">A ce stade, les autorités locales et SNEL devront valider les revendications présentées au titre de biens. Les chefs de ménages seront invités à contresigner les inventaires d’actifs pour réduire au maximum les risques de revendications ultérieures ou de différends dans ce domaine. </w:t>
      </w:r>
    </w:p>
    <w:p w14:paraId="24AF80B9"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Ces recensements prendront en compte les éléments suivants :</w:t>
      </w:r>
    </w:p>
    <w:p w14:paraId="7BE9ED81"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l’utilisation effective ou potentielle des sols : le consultant recensera, catégorisera et consignera dans un registre tous les terrains acquis par le projet ou les zones impactées d’une façon ou d’une autre par le projet. Cette catégorisation permettra de tracer les différences entre l’utilisation effective et potentielle des sols, pour garantir que les terrains de rechange accordés aux personnes affectées soient au moins d’une valeur équivalente à ceux qu’elles ont perdus ou cédés </w:t>
      </w:r>
    </w:p>
    <w:p w14:paraId="584965D3"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les biens tels que les habitations et structures connexes, cuisines, toilettes, entrepôts, granges, atelier, etc., à classer selon les matériaux de construction utilisés (bois d’œuvre, clayonnage, bambous, roseaux, brique et mortier, ciment, terre, etc.). </w:t>
      </w:r>
    </w:p>
    <w:p w14:paraId="12D42227"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les autres biens matériels privés : cette catégorie comprendra les biens tels que cultures sur pied, arbres fruitiers et plantes fourragères, parcelles boisées, clôtures, puits, ouvrages d’irrigation, et tombes ou sépultures. </w:t>
      </w:r>
    </w:p>
    <w:p w14:paraId="6F2EE51E"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les structures publiques et communautaires (les écoles, les cliniques, les salles de réunion, les lieux de culte, les points d’eau communautaires, les  points d’eau pour le bétail, les bains-douches, les abribus, et les monuments, etc.)</w:t>
      </w:r>
    </w:p>
    <w:p w14:paraId="75189D84"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Patrimoine culturel (les sites archéologiques, les cimetières, les monuments, les sanctuaires, les objets d’art, les sites de valeur religieuse ou historique, etc.) </w:t>
      </w:r>
    </w:p>
    <w:p w14:paraId="4C5FC744" w14:textId="77777777" w:rsidR="004C12CB" w:rsidRPr="00215867" w:rsidRDefault="004C12CB" w:rsidP="004C12CB">
      <w:pPr>
        <w:pStyle w:val="Paragraphedeliste"/>
        <w:ind w:left="1134"/>
        <w:jc w:val="both"/>
        <w:rPr>
          <w:rFonts w:ascii="Times New Roman" w:hAnsi="Times New Roman"/>
          <w:bCs/>
          <w:sz w:val="24"/>
          <w:szCs w:val="24"/>
          <w:lang w:val="fr-CD"/>
        </w:rPr>
      </w:pPr>
      <w:r w:rsidRPr="00215867">
        <w:rPr>
          <w:rFonts w:ascii="Times New Roman" w:hAnsi="Times New Roman"/>
          <w:bCs/>
          <w:sz w:val="24"/>
          <w:szCs w:val="24"/>
          <w:lang w:val="fr-CD"/>
        </w:rPr>
        <w:t xml:space="preserve">Pour cette dernière catégorie, le consultant se référera à la NES n°8 de la Banque mondiale pour préconiser les mesures applicables.  </w:t>
      </w:r>
    </w:p>
    <w:p w14:paraId="116C4E5A" w14:textId="77777777" w:rsidR="004C12CB" w:rsidRPr="00215867" w:rsidRDefault="004C12CB" w:rsidP="004C12CB">
      <w:pPr>
        <w:pStyle w:val="Paragraphedeliste"/>
        <w:numPr>
          <w:ilvl w:val="0"/>
          <w:numId w:val="269"/>
        </w:numPr>
        <w:spacing w:before="120" w:after="120" w:line="276" w:lineRule="auto"/>
        <w:ind w:left="709" w:hanging="425"/>
        <w:contextualSpacing w:val="0"/>
        <w:jc w:val="both"/>
        <w:rPr>
          <w:rFonts w:ascii="Times New Roman" w:hAnsi="Times New Roman"/>
          <w:sz w:val="24"/>
          <w:szCs w:val="24"/>
        </w:rPr>
      </w:pPr>
      <w:r w:rsidRPr="00215867">
        <w:rPr>
          <w:rFonts w:ascii="Times New Roman" w:hAnsi="Times New Roman"/>
          <w:sz w:val="24"/>
          <w:szCs w:val="24"/>
        </w:rPr>
        <w:t>Etudes socio-économiques</w:t>
      </w:r>
    </w:p>
    <w:p w14:paraId="03069396"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Les études socio-économiques devront être liées au recensement et à l’inventaire des biens, pour fournir des informations complètes sur le flux de revenus des ménages.</w:t>
      </w:r>
    </w:p>
    <w:p w14:paraId="2E58A082" w14:textId="77777777" w:rsidR="004C12CB" w:rsidRPr="00215867" w:rsidRDefault="004C12CB" w:rsidP="004C12CB">
      <w:pPr>
        <w:spacing w:before="120" w:after="120"/>
        <w:ind w:left="709"/>
        <w:jc w:val="both"/>
        <w:rPr>
          <w:rFonts w:ascii="Times New Roman" w:hAnsi="Times New Roman"/>
          <w:bCs/>
          <w:sz w:val="24"/>
          <w:szCs w:val="24"/>
        </w:rPr>
      </w:pPr>
      <w:r w:rsidRPr="00215867">
        <w:rPr>
          <w:rFonts w:ascii="Times New Roman" w:hAnsi="Times New Roman"/>
          <w:bCs/>
          <w:sz w:val="24"/>
          <w:szCs w:val="24"/>
        </w:rPr>
        <w:t>Elles permettront de définir :</w:t>
      </w:r>
    </w:p>
    <w:p w14:paraId="19126BDB"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rPr>
      </w:pPr>
      <w:r w:rsidRPr="00215867">
        <w:rPr>
          <w:rFonts w:ascii="Times New Roman" w:hAnsi="Times New Roman"/>
          <w:bCs/>
          <w:sz w:val="24"/>
          <w:szCs w:val="24"/>
        </w:rPr>
        <w:t xml:space="preserve">les paramètres d’indemnisation </w:t>
      </w:r>
    </w:p>
    <w:p w14:paraId="72C065C1"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les couches économiques au sein des communautés (ménages les plus pauvres et vulnérables, ménages dépendant d’envois de fonds, etc.) </w:t>
      </w:r>
    </w:p>
    <w:p w14:paraId="5A0C9BF7"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rPr>
      </w:pPr>
      <w:r w:rsidRPr="00215867">
        <w:rPr>
          <w:rFonts w:ascii="Times New Roman" w:hAnsi="Times New Roman"/>
          <w:bCs/>
          <w:sz w:val="24"/>
          <w:szCs w:val="24"/>
        </w:rPr>
        <w:t xml:space="preserve">les mesures d’aide appropriées </w:t>
      </w:r>
    </w:p>
    <w:p w14:paraId="30C84080"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 xml:space="preserve">les stratégies de développement appropriées. </w:t>
      </w:r>
    </w:p>
    <w:p w14:paraId="0D5F4C50" w14:textId="77777777" w:rsidR="004C12CB" w:rsidRPr="00215867" w:rsidRDefault="004C12CB" w:rsidP="004C12CB">
      <w:pPr>
        <w:pStyle w:val="Paragraphedeliste"/>
        <w:numPr>
          <w:ilvl w:val="0"/>
          <w:numId w:val="269"/>
        </w:numPr>
        <w:spacing w:before="120" w:after="120" w:line="276" w:lineRule="auto"/>
        <w:ind w:left="709" w:hanging="425"/>
        <w:contextualSpacing w:val="0"/>
        <w:jc w:val="both"/>
        <w:rPr>
          <w:rFonts w:ascii="Times New Roman" w:hAnsi="Times New Roman"/>
          <w:sz w:val="24"/>
          <w:szCs w:val="24"/>
        </w:rPr>
      </w:pPr>
      <w:r w:rsidRPr="00215867">
        <w:rPr>
          <w:rFonts w:ascii="Times New Roman" w:hAnsi="Times New Roman"/>
          <w:sz w:val="24"/>
          <w:szCs w:val="24"/>
        </w:rPr>
        <w:t>Consultations des populations affectées</w:t>
      </w:r>
    </w:p>
    <w:p w14:paraId="1BFF5C6D"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 xml:space="preserve">Le consultant organisera des séances de consultations publiques avec les populations concernées afin de parvenir à un consensus sur les méthodes permettant l’établissement de la valeur des biens affectés. </w:t>
      </w:r>
    </w:p>
    <w:p w14:paraId="2E898064"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bCs/>
          <w:sz w:val="24"/>
          <w:szCs w:val="24"/>
          <w:lang w:val="fr-CD"/>
        </w:rPr>
        <w:t>Dans l’accomplissement de ces tâches, le consultant :</w:t>
      </w:r>
    </w:p>
    <w:p w14:paraId="6C0F380B" w14:textId="77777777" w:rsidR="004C12CB" w:rsidRPr="00215867" w:rsidRDefault="004C12CB" w:rsidP="004C12CB">
      <w:pPr>
        <w:pStyle w:val="Paragraphedeliste"/>
        <w:numPr>
          <w:ilvl w:val="0"/>
          <w:numId w:val="268"/>
        </w:numPr>
        <w:spacing w:after="0" w:line="276" w:lineRule="auto"/>
        <w:ind w:left="1134" w:hanging="425"/>
        <w:jc w:val="both"/>
        <w:rPr>
          <w:rFonts w:ascii="Times New Roman" w:hAnsi="Times New Roman"/>
          <w:sz w:val="24"/>
          <w:szCs w:val="24"/>
          <w:lang w:val="fr-CD"/>
        </w:rPr>
      </w:pPr>
      <w:r w:rsidRPr="00215867">
        <w:rPr>
          <w:rFonts w:ascii="Times New Roman" w:hAnsi="Times New Roman"/>
          <w:bCs/>
          <w:iCs/>
          <w:sz w:val="24"/>
          <w:szCs w:val="24"/>
          <w:lang w:val="fr-CD"/>
        </w:rPr>
        <w:t>Soumettra un plan de travail à la validation de la SNEL &amp; d’UCM </w:t>
      </w:r>
    </w:p>
    <w:p w14:paraId="1EE5F549" w14:textId="77777777" w:rsidR="004C12CB" w:rsidRPr="00215867" w:rsidRDefault="004C12CB" w:rsidP="004C12CB">
      <w:pPr>
        <w:pStyle w:val="Paragraphedeliste"/>
        <w:numPr>
          <w:ilvl w:val="0"/>
          <w:numId w:val="268"/>
        </w:numPr>
        <w:spacing w:before="120" w:after="120" w:line="276" w:lineRule="auto"/>
        <w:ind w:left="1134" w:hanging="425"/>
        <w:jc w:val="both"/>
        <w:rPr>
          <w:rFonts w:ascii="Times New Roman" w:hAnsi="Times New Roman"/>
          <w:sz w:val="24"/>
          <w:szCs w:val="24"/>
          <w:lang w:val="fr-CD"/>
        </w:rPr>
      </w:pPr>
      <w:r w:rsidRPr="00215867">
        <w:rPr>
          <w:rFonts w:ascii="Times New Roman" w:hAnsi="Times New Roman"/>
          <w:bCs/>
          <w:iCs/>
          <w:sz w:val="24"/>
          <w:szCs w:val="24"/>
          <w:lang w:val="fr-CD"/>
        </w:rPr>
        <w:t>évaluera les indemnités à octroyer aux personnes affectées et, le cas échéant, à leurs ayant-droits, conformément aux lois de la RDC et à la NES n°5 de la Banque mondiale </w:t>
      </w:r>
    </w:p>
    <w:p w14:paraId="76FFAB96" w14:textId="77777777" w:rsidR="004C12CB" w:rsidRPr="00215867" w:rsidRDefault="004C12CB" w:rsidP="004C12CB">
      <w:pPr>
        <w:pStyle w:val="Paragraphedeliste"/>
        <w:numPr>
          <w:ilvl w:val="0"/>
          <w:numId w:val="268"/>
        </w:numPr>
        <w:spacing w:before="120" w:after="120" w:line="276" w:lineRule="auto"/>
        <w:ind w:left="1134" w:hanging="425"/>
        <w:jc w:val="both"/>
        <w:rPr>
          <w:rFonts w:ascii="Times New Roman" w:hAnsi="Times New Roman"/>
          <w:sz w:val="24"/>
          <w:szCs w:val="24"/>
          <w:lang w:val="fr-CD"/>
        </w:rPr>
      </w:pPr>
      <w:r w:rsidRPr="00215867">
        <w:rPr>
          <w:rFonts w:ascii="Times New Roman" w:hAnsi="Times New Roman"/>
          <w:bCs/>
          <w:iCs/>
          <w:sz w:val="24"/>
          <w:szCs w:val="24"/>
          <w:lang w:val="fr-CD"/>
        </w:rPr>
        <w:t>évaluera avec précision le coût global de réinstallation et des indemnisations des personnes affectées </w:t>
      </w:r>
    </w:p>
    <w:p w14:paraId="496690ED" w14:textId="77777777" w:rsidR="004C12CB" w:rsidRPr="00215867" w:rsidRDefault="004C12CB" w:rsidP="004C12CB">
      <w:pPr>
        <w:pStyle w:val="Paragraphedeliste"/>
        <w:numPr>
          <w:ilvl w:val="0"/>
          <w:numId w:val="268"/>
        </w:numPr>
        <w:spacing w:before="120" w:after="120" w:line="276" w:lineRule="auto"/>
        <w:ind w:left="1134" w:hanging="425"/>
        <w:jc w:val="both"/>
        <w:rPr>
          <w:rFonts w:ascii="Times New Roman" w:hAnsi="Times New Roman"/>
          <w:sz w:val="24"/>
          <w:szCs w:val="24"/>
          <w:lang w:val="fr-CD"/>
        </w:rPr>
      </w:pPr>
      <w:r w:rsidRPr="00215867">
        <w:rPr>
          <w:rFonts w:ascii="Times New Roman" w:hAnsi="Times New Roman"/>
          <w:sz w:val="24"/>
          <w:szCs w:val="24"/>
          <w:lang w:val="fr-CD"/>
        </w:rPr>
        <w:t xml:space="preserve">signera avec SNEL et fera signer par les personnes affectées par le projet (PAP) </w:t>
      </w:r>
      <w:bookmarkStart w:id="1189" w:name="_Hlk63435339"/>
      <w:r w:rsidRPr="00215867">
        <w:rPr>
          <w:rFonts w:ascii="Times New Roman" w:hAnsi="Times New Roman"/>
          <w:sz w:val="24"/>
          <w:szCs w:val="24"/>
          <w:lang w:val="fr-CD"/>
        </w:rPr>
        <w:t>les procès-verbaux des négociations </w:t>
      </w:r>
    </w:p>
    <w:bookmarkEnd w:id="1189"/>
    <w:p w14:paraId="7ED2C29D" w14:textId="77777777" w:rsidR="004C12CB" w:rsidRPr="00215867" w:rsidRDefault="004C12CB" w:rsidP="004C12CB">
      <w:pPr>
        <w:pStyle w:val="Paragraphedeliste"/>
        <w:numPr>
          <w:ilvl w:val="0"/>
          <w:numId w:val="268"/>
        </w:numPr>
        <w:spacing w:after="0" w:line="276" w:lineRule="auto"/>
        <w:ind w:left="1134" w:hanging="425"/>
        <w:jc w:val="both"/>
        <w:rPr>
          <w:rFonts w:ascii="Times New Roman" w:hAnsi="Times New Roman"/>
          <w:sz w:val="24"/>
          <w:szCs w:val="24"/>
          <w:lang w:val="fr-CD"/>
        </w:rPr>
      </w:pPr>
      <w:r w:rsidRPr="00215867">
        <w:rPr>
          <w:rFonts w:ascii="Times New Roman" w:hAnsi="Times New Roman"/>
          <w:bCs/>
          <w:iCs/>
          <w:sz w:val="24"/>
          <w:szCs w:val="24"/>
          <w:lang w:val="fr-CD"/>
        </w:rPr>
        <w:t>élaborera un mécanisme de gestion des plaintes et de règlement des litiges liés à la mise en œuvre du PAR, sur base de MGP global du projet.</w:t>
      </w:r>
    </w:p>
    <w:p w14:paraId="7680FE2A" w14:textId="77777777" w:rsidR="004C12CB" w:rsidRPr="00215867" w:rsidRDefault="004C12CB" w:rsidP="004C12CB">
      <w:pPr>
        <w:pStyle w:val="Paragraphedeliste"/>
        <w:numPr>
          <w:ilvl w:val="0"/>
          <w:numId w:val="268"/>
        </w:numPr>
        <w:spacing w:before="120" w:after="120" w:line="276" w:lineRule="auto"/>
        <w:ind w:left="1134" w:hanging="425"/>
        <w:jc w:val="both"/>
        <w:rPr>
          <w:rFonts w:ascii="Times New Roman" w:hAnsi="Times New Roman"/>
          <w:sz w:val="24"/>
          <w:szCs w:val="24"/>
          <w:lang w:val="fr-CD"/>
        </w:rPr>
      </w:pPr>
      <w:r w:rsidRPr="00215867">
        <w:rPr>
          <w:rFonts w:ascii="Times New Roman" w:hAnsi="Times New Roman"/>
          <w:bCs/>
          <w:iCs/>
          <w:sz w:val="24"/>
          <w:szCs w:val="24"/>
          <w:lang w:val="fr-CD"/>
        </w:rPr>
        <w:t>proposera un calendrier de mise en œuvre du PAR et un mécanisme de suivi &amp; évaluation.</w:t>
      </w:r>
    </w:p>
    <w:p w14:paraId="4DA37849" w14:textId="77777777" w:rsidR="004C12CB" w:rsidRPr="00215867" w:rsidRDefault="004C12CB" w:rsidP="004C12CB">
      <w:pPr>
        <w:spacing w:before="120" w:after="120"/>
        <w:ind w:left="709"/>
        <w:jc w:val="both"/>
        <w:rPr>
          <w:rFonts w:ascii="Times New Roman" w:hAnsi="Times New Roman"/>
          <w:bCs/>
          <w:sz w:val="24"/>
          <w:szCs w:val="24"/>
          <w:lang w:val="fr-CD"/>
        </w:rPr>
      </w:pPr>
      <w:r w:rsidRPr="00215867">
        <w:rPr>
          <w:rFonts w:ascii="Times New Roman" w:hAnsi="Times New Roman"/>
          <w:sz w:val="24"/>
          <w:szCs w:val="24"/>
          <w:lang w:val="fr-CD"/>
        </w:rPr>
        <w:t xml:space="preserve">Le Consultant </w:t>
      </w:r>
      <w:r w:rsidRPr="00215867">
        <w:rPr>
          <w:rFonts w:ascii="Times New Roman" w:hAnsi="Times New Roman"/>
          <w:bCs/>
          <w:sz w:val="24"/>
          <w:szCs w:val="24"/>
          <w:lang w:val="fr-CD"/>
        </w:rPr>
        <w:t>rédigera les procès-verbaux relatifs aux différentes réunions tenues, assortis des noms de participants, de photos et de leurs signatures ou empreintes digitales.</w:t>
      </w:r>
    </w:p>
    <w:p w14:paraId="134A5912" w14:textId="77777777" w:rsidR="004C12CB" w:rsidRPr="00215867" w:rsidRDefault="004C12CB" w:rsidP="004C12CB">
      <w:pPr>
        <w:spacing w:before="120" w:after="120"/>
        <w:ind w:left="709"/>
        <w:jc w:val="both"/>
        <w:rPr>
          <w:rFonts w:ascii="Times New Roman" w:hAnsi="Times New Roman"/>
          <w:sz w:val="24"/>
          <w:szCs w:val="24"/>
          <w:lang w:val="fr-CD"/>
        </w:rPr>
      </w:pPr>
      <w:r w:rsidRPr="00215867">
        <w:rPr>
          <w:rFonts w:ascii="Times New Roman" w:hAnsi="Times New Roman"/>
          <w:bCs/>
          <w:sz w:val="24"/>
          <w:szCs w:val="24"/>
          <w:lang w:val="fr-CD"/>
        </w:rPr>
        <w:t>Il est aussi attendu du Consultant de considérer comme date butoir de clôture de l’identification des PAP, la date qui correspond avec le début du recensement. Cette date sera communiquée aux populations par les autorités</w:t>
      </w:r>
      <w:r w:rsidRPr="00215867">
        <w:rPr>
          <w:rFonts w:ascii="Times New Roman" w:hAnsi="Times New Roman"/>
          <w:sz w:val="24"/>
          <w:szCs w:val="24"/>
          <w:lang w:val="fr-CD"/>
        </w:rPr>
        <w:t xml:space="preserve"> locales et affichée dans les lieux publics Toute personne qui s’installera dans la zone du projet après la date butoir, ne sera pas considérée comme ayant-droit.</w:t>
      </w:r>
    </w:p>
    <w:p w14:paraId="2647C522" w14:textId="77777777" w:rsidR="004C12CB" w:rsidRPr="00215867" w:rsidRDefault="004C12CB" w:rsidP="004C12CB">
      <w:pPr>
        <w:pStyle w:val="Paragraphedeliste"/>
        <w:numPr>
          <w:ilvl w:val="3"/>
          <w:numId w:val="283"/>
        </w:numPr>
        <w:spacing w:before="120" w:after="120" w:line="276" w:lineRule="auto"/>
        <w:ind w:left="993" w:hanging="851"/>
        <w:contextualSpacing w:val="0"/>
        <w:jc w:val="both"/>
        <w:rPr>
          <w:rFonts w:ascii="Times New Roman" w:hAnsi="Times New Roman"/>
          <w:b/>
          <w:sz w:val="24"/>
          <w:szCs w:val="24"/>
          <w:lang w:val="fr-CD"/>
        </w:rPr>
      </w:pPr>
      <w:r w:rsidRPr="00215867">
        <w:rPr>
          <w:rFonts w:ascii="Times New Roman" w:hAnsi="Times New Roman"/>
          <w:b/>
          <w:sz w:val="24"/>
          <w:szCs w:val="24"/>
          <w:lang w:val="fr-CD"/>
        </w:rPr>
        <w:t>Contenu du PAR</w:t>
      </w:r>
    </w:p>
    <w:p w14:paraId="2A6268AB" w14:textId="77777777" w:rsidR="004C12CB" w:rsidRPr="00215867" w:rsidRDefault="004C12CB" w:rsidP="004C12CB">
      <w:pPr>
        <w:spacing w:before="120" w:after="120"/>
        <w:ind w:left="284" w:right="6" w:firstLine="11"/>
        <w:jc w:val="both"/>
        <w:rPr>
          <w:rFonts w:ascii="Times New Roman" w:hAnsi="Times New Roman"/>
          <w:bCs/>
          <w:sz w:val="24"/>
          <w:szCs w:val="24"/>
          <w:lang w:val="fr-CD"/>
        </w:rPr>
      </w:pPr>
      <w:r w:rsidRPr="00215867">
        <w:rPr>
          <w:rFonts w:ascii="Times New Roman" w:hAnsi="Times New Roman"/>
          <w:bCs/>
          <w:sz w:val="24"/>
          <w:szCs w:val="24"/>
          <w:lang w:val="fr-CD"/>
        </w:rPr>
        <w:t>De manière générale, le PAR contiendra au moins les éléments essentiels suivants :</w:t>
      </w:r>
    </w:p>
    <w:p w14:paraId="1C562E42" w14:textId="77777777" w:rsidR="004C12CB" w:rsidRPr="00215867" w:rsidRDefault="004C12CB" w:rsidP="004C12CB">
      <w:pPr>
        <w:numPr>
          <w:ilvl w:val="0"/>
          <w:numId w:val="258"/>
        </w:numPr>
        <w:spacing w:after="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un tableau reprenant les données de base du PAR</w:t>
      </w:r>
    </w:p>
    <w:p w14:paraId="31394E0E"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un résumé non technique en français, en anglais et en lingala : comprenant un exposé des objectifs, le cadre juridique et les principales recommandations</w:t>
      </w:r>
    </w:p>
    <w:p w14:paraId="7E742BC6"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la description générale du projet et l’identification de la zone du projet</w:t>
      </w:r>
    </w:p>
    <w:p w14:paraId="49C05014"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les effets potentiels du projet, comprenant l’identification:</w:t>
      </w:r>
    </w:p>
    <w:p w14:paraId="71CCE08F"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des composantes ou des activités du projet qui donnent lieu à un déplacement, en expliquant pourquoi les terres retenues doivent être acquises et exploitées pendant la durée de vie du projet</w:t>
      </w:r>
    </w:p>
    <w:p w14:paraId="5BCFD139"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de la zone d’impact de ces composantes ou activités</w:t>
      </w:r>
    </w:p>
    <w:p w14:paraId="4E9A5A89"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de l’envergure et l’ampleur des acquisitions de terres et des effets de telles acquisitions sur des ouvrages et autres immobilisations</w:t>
      </w:r>
    </w:p>
    <w:p w14:paraId="12902A04"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des restrictions imposées par le projet à l’utilisation des terres ou d’autres ressources naturelles, ainsi qu’à l’accès auxdites terres ou ressources</w:t>
      </w:r>
    </w:p>
    <w:p w14:paraId="3FA892AD"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des variantes de conception du projet envisagées pour éviter ou minimiser les déplacements et des motifs pour lesquelles celles-ci ont été rejetées, et</w:t>
      </w:r>
    </w:p>
    <w:p w14:paraId="410FCBAB"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bCs/>
          <w:sz w:val="24"/>
          <w:szCs w:val="24"/>
          <w:lang w:val="fr-CD"/>
        </w:rPr>
        <w:t>des mécanismes de mise en place pour minimiser les déplacements, dans la mesure du possible, pendant la</w:t>
      </w:r>
      <w:r w:rsidRPr="00215867">
        <w:rPr>
          <w:rFonts w:ascii="Times New Roman" w:hAnsi="Times New Roman"/>
          <w:sz w:val="24"/>
          <w:szCs w:val="24"/>
          <w:lang w:val="fr-CD"/>
        </w:rPr>
        <w:t xml:space="preserve"> mise en œuvre du projet</w:t>
      </w:r>
    </w:p>
    <w:p w14:paraId="16052A47"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les objectifs : les principaux objectifs du programme de réinstallation </w:t>
      </w:r>
    </w:p>
    <w:p w14:paraId="5F33A063"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 xml:space="preserve">le recensement et les études socio-économiques de référence. </w:t>
      </w:r>
    </w:p>
    <w:p w14:paraId="5A9CD173"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Les conclusions d’un recensement des ménages permettant d’identifier et de dénombrer les personnes touchées et, avec la participation de ces personnes, de faire des levés topographiques, d’étudier les ouvrages et d’autres immobilisations susceptibles d’être affectés par le projet. Le recensement doit remplir également d’autres fonctions essentielles :</w:t>
      </w:r>
    </w:p>
    <w:p w14:paraId="4D1C20AA"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identifier les caractéristiques des ménages déplacés, notamment en décrivant la structure des ménages et l’organisation de la production et du travail ; et recueillir des données de référence sur les moyens de subsistance (y compris, le cas échéant, les niveaux de production et les revenus générés par les activités économiques formelles et informelles) et les niveaux de vie (y compris l’état de santé) de la population déplacée ;</w:t>
      </w:r>
    </w:p>
    <w:p w14:paraId="4B1DE536"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recueillir des informations sur les groupes ou les personnes vulnérables pour lesquelles des dispositions spéciales seront probablement nécessaires</w:t>
      </w:r>
    </w:p>
    <w:p w14:paraId="54EF1F15"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identifier les infrastructures, les services ou les biens publics ou collectifs susceptibles d’être affectés ;</w:t>
      </w:r>
    </w:p>
    <w:p w14:paraId="748859FE"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bCs/>
          <w:sz w:val="24"/>
          <w:szCs w:val="24"/>
          <w:lang w:val="fr-CD"/>
        </w:rPr>
      </w:pPr>
      <w:r w:rsidRPr="00215867">
        <w:rPr>
          <w:rFonts w:ascii="Times New Roman" w:hAnsi="Times New Roman"/>
          <w:bCs/>
          <w:sz w:val="24"/>
          <w:szCs w:val="24"/>
          <w:lang w:val="fr-CD"/>
        </w:rPr>
        <w:t>établir une base pour la conception et la budgétisation du programme de réinstallation</w:t>
      </w:r>
    </w:p>
    <w:p w14:paraId="2DF15EA9"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bCs/>
          <w:sz w:val="24"/>
          <w:szCs w:val="24"/>
          <w:lang w:val="fr-CD"/>
        </w:rPr>
        <w:t>établir une base pour</w:t>
      </w:r>
      <w:r w:rsidRPr="00215867">
        <w:rPr>
          <w:rFonts w:ascii="Times New Roman" w:hAnsi="Times New Roman"/>
          <w:sz w:val="24"/>
          <w:szCs w:val="24"/>
          <w:lang w:val="fr-CD"/>
        </w:rPr>
        <w:t xml:space="preserve"> exclure les personnes non admissibles à l’indemnisation et à l’aide à la réinstallation en même temps qu’une date limite d’admissibilité est fixée, et</w:t>
      </w:r>
    </w:p>
    <w:p w14:paraId="1FC936C3"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 xml:space="preserve">établir des </w:t>
      </w:r>
      <w:r w:rsidRPr="00215867">
        <w:rPr>
          <w:rFonts w:ascii="Times New Roman" w:hAnsi="Times New Roman"/>
          <w:bCs/>
          <w:sz w:val="24"/>
          <w:szCs w:val="24"/>
          <w:lang w:val="fr-CD"/>
        </w:rPr>
        <w:t>conditions</w:t>
      </w:r>
      <w:r w:rsidRPr="00215867">
        <w:rPr>
          <w:rFonts w:ascii="Times New Roman" w:hAnsi="Times New Roman"/>
          <w:sz w:val="24"/>
          <w:szCs w:val="24"/>
          <w:lang w:val="fr-CD"/>
        </w:rPr>
        <w:t xml:space="preserve"> de base à des fins de suivi et évaluation.</w:t>
      </w:r>
    </w:p>
    <w:p w14:paraId="0546A79E"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Cadre juridique</w:t>
      </w:r>
    </w:p>
    <w:p w14:paraId="02990489"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Les résultats d’une analyse du cadre juridique, couvrant :</w:t>
      </w:r>
    </w:p>
    <w:p w14:paraId="434FAEB9"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l’étendue du pouvoir d’expropriation et d’imposition de restrictions à l’utilisation des terres et la nature des indemnisations connexes, y compris à la fois la méthodologie d’évaluation et des délais de paiement</w:t>
      </w:r>
    </w:p>
    <w:p w14:paraId="62EEB677"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procédures juridiques et administratives applicables, notamment une description des moyens de recours à la disposition des personnes déplacées pendant les procédures judiciaires et le délai normal pour de telles procédures, ainsi que tout mécanisme de gestion des plaintes disponible et applicable dans le cadre du projet</w:t>
      </w:r>
    </w:p>
    <w:p w14:paraId="7ADADA1B"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lois et réglementations concernant les agences responsables de la mise en œuvre des activités de réinstallation, et</w:t>
      </w:r>
    </w:p>
    <w:p w14:paraId="38EE26B5"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disparités, s’il y en a, entre les lois et pratiques locales en matière d’expropriation, d’imposition de restrictions à l’utilisation des terres et d’établissement de mesures de réinstallation et les dispositions de la NES n°5, ainsi que les dispositifs permettant de corriger ces disparités.</w:t>
      </w:r>
    </w:p>
    <w:p w14:paraId="234FD2FC"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Cadre institutionnel</w:t>
      </w:r>
    </w:p>
    <w:p w14:paraId="485DD03C"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Les résultats d’une analyse du cadre institutionnel, couvrant :</w:t>
      </w:r>
    </w:p>
    <w:p w14:paraId="520A5A99"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l’identification des agences chargées de la mise en œuvre des activités de réinstallation et des ONG susceptibles de jouer un rôle dans la mise en œuvre du projet ; y compris en apportant une aide aux personnes déplacées</w:t>
      </w:r>
    </w:p>
    <w:p w14:paraId="72428063"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une évaluation des capacités institutionnelles de ces agences et ONG, et</w:t>
      </w:r>
    </w:p>
    <w:p w14:paraId="7C4449E0"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toutes les mesures proposées pour renforcer les capacités institutionnelles des agences et des ONG responsables de la mise en œuvre des activités de réinstallation.</w:t>
      </w:r>
    </w:p>
    <w:p w14:paraId="62D31693"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Admissibilité ou éligibilité des personnes affectées</w:t>
      </w:r>
    </w:p>
    <w:p w14:paraId="5715FD83"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Il s’agit de la définition des personnes déplacées et des critères pour déterminer leur admissibilité à l’indemnisation et aux autres aides à la réinstallation, y compris les dates butoirs pertinentes.</w:t>
      </w:r>
    </w:p>
    <w:p w14:paraId="01AB6AF4"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Evaluation des pertes et indemnisations</w:t>
      </w:r>
    </w:p>
    <w:p w14:paraId="2832B662"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La méthode à utiliser pour évaluer les pertes afin de déterminer leur coût de remplacement ; et une description des types et niveaux d’indemnisation proposés pour les terres, les ressources naturelles et d’autres actifs en vertu du droit local ainsi que les mesures supplémentaires jugées nécessaires pour atteindre le coût de remplacement dans chaque cas.</w:t>
      </w:r>
    </w:p>
    <w:p w14:paraId="3C8B99BB"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Participation communautaire des personnes déplacées (y compris des communautés d’accueil, le cas échéant) </w:t>
      </w:r>
    </w:p>
    <w:p w14:paraId="52957A64"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Cette partie comprendra :</w:t>
      </w:r>
    </w:p>
    <w:p w14:paraId="4B8537E7"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Une description de la stratégie de consultation et de participation des personnes déplacées dans le cadre de la conception et la mise en œuvre des activités de réinstallation ;</w:t>
      </w:r>
    </w:p>
    <w:p w14:paraId="50BE7022"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Un résumé des points de vue exprimés et de la façon dont ces points de vue ont été pris en compte dans la préparation du plan de réinstallation ;</w:t>
      </w:r>
    </w:p>
    <w:p w14:paraId="34E0B2AD"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l’examen des options de réinstallation proposées et des choix opérés par les personnes déplacées parmi les options qui leur ont été soumises, et</w:t>
      </w:r>
    </w:p>
    <w:p w14:paraId="2B336706"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dispositions institutionnalisés à partir desquels les personnes déplacées peuvent transmettre leurs préoccupations aux responsables du projet tout au long des phases de planification et de mise en œuvre, et les mesures pour faire en sorte que des groupes vulnérables tels que les peuples autochtones s’il y en a dans la zone du projet, les minorités ethniques, les paysans sans terre et les femmes soient correctement représentés.</w:t>
      </w:r>
    </w:p>
    <w:p w14:paraId="6E04124A"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Calendrier de mise en œuvre</w:t>
      </w:r>
    </w:p>
    <w:p w14:paraId="2D3E9B2B"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Un calendrier de mise en œuvre fournissant les dates de déplacement envisagées, et une estimation des dates de démarrage et d’achèvement de toutes les activités prévues dans le plan de réinstallation. Ce calendrier devrait indiquer comment les activités de réinstallation sont liées à la mise en œuvre de l’ensemble du projet.</w:t>
      </w:r>
    </w:p>
    <w:p w14:paraId="55D384E1"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Coûts et budget</w:t>
      </w:r>
    </w:p>
    <w:p w14:paraId="2E9D97C9"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Des tableaux présentant des estimations de coûts par rubrique pour toutes les activités de réinstallation, y compris les ajustements pour tenir compte de l’inflation, de l’accroissement de la population et d’autres imprévus ; le calendrier des dépenses ; les sources de financement ; et les dispositions prises pour que les fonds soient disponibles en temps utile et pour le financement de la réinstallation, s’il y a lieu, dans les zones ne relevant pas de la juridiction des organismes d’exécution.</w:t>
      </w:r>
    </w:p>
    <w:p w14:paraId="6ED4D102"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Mécanisme de gestion des plaintes</w:t>
      </w:r>
    </w:p>
    <w:p w14:paraId="75633581"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 plan doit décrire les procédures abordables et accessibles pour un règlement par des tiers des différends découlant du déplacement ou de la réinstallation des populations touchées ; ces mécanismes de gestion des plaintes devraient tenir compte de la disponibilité de voies de recours judiciaires et de dispositions communautaires et traditionnels de règlement des différends.</w:t>
      </w:r>
    </w:p>
    <w:p w14:paraId="7A0898C3"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Suivi et évaluation</w:t>
      </w:r>
    </w:p>
    <w:p w14:paraId="36D95745"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Des dispositifs pour le suivi des déplacements et des activités de réinstallation par l’organisme d’exécution, complétés par des contrôles indépendants jugés opportuns par la Banque, pour garantir une information complète et objective ; des indicateurs de suivi de la performance pour mesurer les apports, les prestations et les résultats associés aux activités de réinstallation ; la participation des personnes déplacées au processus de suivi ; l’évaluation des résultats dans un délai raisonnable après la fin de toutes les activités de réinstallation ; en utilisant les résultats du suivi des activités de réinstallation pour orienter la mise en œuvre ultérieure du projet.</w:t>
      </w:r>
    </w:p>
    <w:p w14:paraId="4AF5B13B" w14:textId="77777777" w:rsidR="004C12CB" w:rsidRPr="00215867" w:rsidRDefault="004C12CB" w:rsidP="004C12CB">
      <w:pPr>
        <w:numPr>
          <w:ilvl w:val="0"/>
          <w:numId w:val="258"/>
        </w:numPr>
        <w:spacing w:before="60" w:after="60" w:line="276" w:lineRule="auto"/>
        <w:ind w:left="709" w:hanging="425"/>
        <w:jc w:val="both"/>
        <w:rPr>
          <w:rFonts w:ascii="Times New Roman" w:hAnsi="Times New Roman"/>
          <w:sz w:val="24"/>
          <w:szCs w:val="24"/>
          <w:lang w:val="fr-CD"/>
        </w:rPr>
      </w:pPr>
      <w:r w:rsidRPr="00215867">
        <w:rPr>
          <w:rFonts w:ascii="Times New Roman" w:hAnsi="Times New Roman"/>
          <w:sz w:val="24"/>
          <w:szCs w:val="24"/>
          <w:lang w:val="fr-CD"/>
        </w:rPr>
        <w:t>Dispositions pour une gestion adaptative</w:t>
      </w:r>
    </w:p>
    <w:p w14:paraId="4E9D02FE"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 xml:space="preserve">Le plan devrait inclure des dispositions pour adapter la mise en œuvre des activités de réinstallation à l’évolution imprévue des conditions du projet, ou à des difficultés inattendues pour obtenir des résultats satisfaisants en matière de réinstallation. </w:t>
      </w:r>
    </w:p>
    <w:p w14:paraId="7888ACF3"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 xml:space="preserve">Lorsque les circonstances du projet exigent le déplacement physique de la population (ou des </w:t>
      </w:r>
      <w:r w:rsidRPr="00215867">
        <w:rPr>
          <w:rFonts w:ascii="Times New Roman" w:hAnsi="Times New Roman"/>
          <w:bCs/>
          <w:sz w:val="24"/>
          <w:szCs w:val="24"/>
          <w:lang w:val="fr-CD"/>
        </w:rPr>
        <w:t>entreprises</w:t>
      </w:r>
      <w:r w:rsidRPr="00215867">
        <w:rPr>
          <w:rFonts w:ascii="Times New Roman" w:hAnsi="Times New Roman"/>
          <w:sz w:val="24"/>
          <w:szCs w:val="24"/>
          <w:lang w:val="fr-CD"/>
        </w:rPr>
        <w:t>) des zones concernées, les plans de réinstallation doivent comporter des éléments d’information et de planification supplémentaires pertinents. Les éléments supplémentaires à prendre en compte sont :</w:t>
      </w:r>
    </w:p>
    <w:p w14:paraId="2E5FEEF3"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Aide transitoire </w:t>
      </w:r>
    </w:p>
    <w:p w14:paraId="315E9FBE"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 plan décrit l’aide à fournir pour la réinstallation des familles et de leurs biens (ou de l’équipement et des stocks de l’entreprise). Il décrit également toute aide supplémentaire à fournir aux ménages qui choisissent d’être indemnisés en espèces et de chercher eux-mêmes leur logement de remplacement, y compris en construisant une nouvelle maison. Lorsque les sites prévus pour la réinstallation (pour les habitations ou les entreprises) ne peuvent pas encore être occupés au moment de déplacement physique, le plan établira une indemnité transitoire suffisante pour couvrir les dépenses temporaires de location et autres coûts associés jusqu’à ce que ces sites soient prêts.</w:t>
      </w:r>
    </w:p>
    <w:p w14:paraId="16231019"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 xml:space="preserve">Cette aide transitoire concernera aussi  ceux dont les moyens de subsistance seront perturbés. Il peut s’agir de paiements pour compenser la perte de cultures et de ressources naturelles, le manque à gagner subi par les entreprises ou les employés lésés par la délocalisation des entreprises. </w:t>
      </w:r>
    </w:p>
    <w:p w14:paraId="5A2D3AEA"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 plan prévoit le maintien de cette aide transitoire pendant toute la période de transition.</w:t>
      </w:r>
    </w:p>
    <w:p w14:paraId="143A06D1"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Choix, préparation du site et réinstallation</w:t>
      </w:r>
    </w:p>
    <w:p w14:paraId="1124314F"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Lorsque les sites prévus pour la réinstallation doivent être préparés, le plan de réinstallation décrit les autres sites de réinstallation envisagés et justifie le choix des sites retenus, y compris par les éléments suivants :</w:t>
      </w:r>
    </w:p>
    <w:p w14:paraId="34844BB6"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dispositifs institutionnels et techniques mis en place pour identifier et préparer les sites de réinstallation, en milieu rural ou urbain, dont la combinaison du potentiel productif, des avantages en termes d’emplacement et des autres caractéristiques est meilleure ou au moins comparable aux avantages des anciens sites ; assortis d’une estimation du temps nécessaire pour acquérir et céder les terres et les ressources connexes ;</w:t>
      </w:r>
    </w:p>
    <w:p w14:paraId="52595ECE"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L’identification et l’examen de possibilités d’amélioration des conditions de vie au niveau local en réalisant des investissements supplémentaires (ou en établissant des mécanismes de partage des avantages tirés du projet) dans les infrastructures, les équipements ou les services ;</w:t>
      </w:r>
    </w:p>
    <w:p w14:paraId="4996EEEF"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Toutes les mesures nécessaires pour empêcher la spéculation foncière ou l’afflux de personnes inadmissibles sur les sites retenus ;</w:t>
      </w:r>
    </w:p>
    <w:p w14:paraId="3E592875"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procédures de réinstallation physique dans le cadre du projet, y compris les délais de préparation et de cessions des sites ; et</w:t>
      </w:r>
    </w:p>
    <w:p w14:paraId="7D71DDFA" w14:textId="77777777" w:rsidR="004C12CB" w:rsidRPr="00215867" w:rsidRDefault="004C12CB" w:rsidP="004C12CB">
      <w:pPr>
        <w:pStyle w:val="Paragraphedeliste"/>
        <w:numPr>
          <w:ilvl w:val="0"/>
          <w:numId w:val="257"/>
        </w:numPr>
        <w:spacing w:after="0" w:line="276" w:lineRule="auto"/>
        <w:ind w:left="1134" w:hanging="426"/>
        <w:contextualSpacing w:val="0"/>
        <w:jc w:val="both"/>
        <w:rPr>
          <w:rFonts w:ascii="Times New Roman" w:hAnsi="Times New Roman"/>
          <w:sz w:val="24"/>
          <w:szCs w:val="24"/>
          <w:lang w:val="fr-CD"/>
        </w:rPr>
      </w:pPr>
      <w:r w:rsidRPr="00215867">
        <w:rPr>
          <w:rFonts w:ascii="Times New Roman" w:hAnsi="Times New Roman"/>
          <w:sz w:val="24"/>
          <w:szCs w:val="24"/>
          <w:lang w:val="fr-CD"/>
        </w:rPr>
        <w:t>Les modalités légales de régularisation de la propriété et de transfert de titres aux personnes réinstallées, y compris la sécurité de jouissance pour les personnes qui n’avaient pas les pleins droits sur les terres ou les structures concernées.</w:t>
      </w:r>
    </w:p>
    <w:p w14:paraId="145DB8FB"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Logement, infrastructures et services sociaux</w:t>
      </w:r>
    </w:p>
    <w:p w14:paraId="6A8E4415"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 xml:space="preserve">Le Consultant produira les plans visant à fournir (ou à financer la fourniture à la communauté locale) de logements, d’infrastructures (par exemple l’adduction d’eau, des routes de desserte, etc.) et des services sociaux (comme des écoles, des centres de santé, etc.), ainsi que les plans pour maintenir ou fournir un niveau comparable de services aux populations hôtes ; tout aménagement des sites, tout ouvrage de génie civil ainsi que les plans architecturaux de ces installations. </w:t>
      </w:r>
    </w:p>
    <w:p w14:paraId="6ED6BDBB"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Protection et gestion de l’environnement</w:t>
      </w:r>
    </w:p>
    <w:p w14:paraId="3F39A28C"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p w14:paraId="211DB931"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Consultation sur les modalités de la réinstallation.</w:t>
      </w:r>
    </w:p>
    <w:p w14:paraId="0C564899"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 plan décrit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p w14:paraId="652BC71C"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Intégration dans les communautés d’accueil. </w:t>
      </w:r>
    </w:p>
    <w:p w14:paraId="5B82597B"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Les mesures visant à atténuer l’impact des sites de réinstallation prévus sur les communautés d’accueil, y compris :</w:t>
      </w:r>
    </w:p>
    <w:p w14:paraId="32AFBB7F" w14:textId="77777777" w:rsidR="004C12CB" w:rsidRPr="00215867" w:rsidRDefault="004C12CB" w:rsidP="004C12CB">
      <w:pPr>
        <w:pStyle w:val="Paragraphedeliste"/>
        <w:numPr>
          <w:ilvl w:val="0"/>
          <w:numId w:val="259"/>
        </w:numPr>
        <w:spacing w:before="60" w:after="60" w:line="276" w:lineRule="auto"/>
        <w:ind w:left="1134" w:hanging="426"/>
        <w:jc w:val="both"/>
        <w:rPr>
          <w:rFonts w:ascii="Times New Roman" w:hAnsi="Times New Roman"/>
          <w:sz w:val="24"/>
          <w:szCs w:val="24"/>
          <w:lang w:val="fr-CD"/>
        </w:rPr>
      </w:pPr>
      <w:r w:rsidRPr="00215867">
        <w:rPr>
          <w:rFonts w:ascii="Times New Roman" w:hAnsi="Times New Roman"/>
          <w:sz w:val="24"/>
          <w:szCs w:val="24"/>
          <w:lang w:val="fr-CD"/>
        </w:rPr>
        <w:t>les consultations avec les communautés d’accueil et les autorités locales;</w:t>
      </w:r>
    </w:p>
    <w:p w14:paraId="1AB8BBA0" w14:textId="77777777" w:rsidR="004C12CB" w:rsidRPr="00215867" w:rsidRDefault="004C12CB" w:rsidP="004C12CB">
      <w:pPr>
        <w:pStyle w:val="Paragraphedeliste"/>
        <w:numPr>
          <w:ilvl w:val="0"/>
          <w:numId w:val="259"/>
        </w:numPr>
        <w:spacing w:before="60" w:after="60" w:line="276" w:lineRule="auto"/>
        <w:ind w:left="1134" w:hanging="426"/>
        <w:jc w:val="both"/>
        <w:rPr>
          <w:rFonts w:ascii="Times New Roman" w:hAnsi="Times New Roman"/>
          <w:sz w:val="24"/>
          <w:szCs w:val="24"/>
          <w:lang w:val="fr-CD"/>
        </w:rPr>
      </w:pPr>
      <w:r w:rsidRPr="00215867">
        <w:rPr>
          <w:rFonts w:ascii="Times New Roman" w:hAnsi="Times New Roman"/>
          <w:sz w:val="24"/>
          <w:szCs w:val="24"/>
          <w:lang w:val="fr-CD"/>
        </w:rPr>
        <w:t>les dispositions relatives au versement rapide de tout paiement dû aux hôtes pour les terres ou d’autres biens cédés au profit des sites de réinstallation prévus;</w:t>
      </w:r>
    </w:p>
    <w:p w14:paraId="3C029D5A" w14:textId="77777777" w:rsidR="004C12CB" w:rsidRPr="00215867" w:rsidRDefault="004C12CB" w:rsidP="004C12CB">
      <w:pPr>
        <w:pStyle w:val="Paragraphedeliste"/>
        <w:numPr>
          <w:ilvl w:val="0"/>
          <w:numId w:val="259"/>
        </w:numPr>
        <w:spacing w:before="60" w:after="60" w:line="276" w:lineRule="auto"/>
        <w:ind w:left="1134" w:hanging="426"/>
        <w:jc w:val="both"/>
        <w:rPr>
          <w:rFonts w:ascii="Times New Roman" w:hAnsi="Times New Roman"/>
          <w:sz w:val="24"/>
          <w:szCs w:val="24"/>
          <w:lang w:val="fr-CD"/>
        </w:rPr>
      </w:pPr>
      <w:r w:rsidRPr="00215867">
        <w:rPr>
          <w:rFonts w:ascii="Times New Roman" w:hAnsi="Times New Roman"/>
          <w:sz w:val="24"/>
          <w:szCs w:val="24"/>
          <w:lang w:val="fr-CD"/>
        </w:rPr>
        <w:t>les dispositions permettant d’identifier et de régler les conflits qui peuvent surgir entre les personnes réinstallées et les communautés d’accueil;</w:t>
      </w:r>
    </w:p>
    <w:p w14:paraId="4B5B5053" w14:textId="77777777" w:rsidR="004C12CB" w:rsidRPr="00215867" w:rsidRDefault="004C12CB" w:rsidP="004C12CB">
      <w:pPr>
        <w:pStyle w:val="Paragraphedeliste"/>
        <w:numPr>
          <w:ilvl w:val="0"/>
          <w:numId w:val="259"/>
        </w:numPr>
        <w:spacing w:before="60" w:after="60" w:line="276" w:lineRule="auto"/>
        <w:ind w:left="1134" w:hanging="426"/>
        <w:jc w:val="both"/>
        <w:rPr>
          <w:rFonts w:ascii="Times New Roman" w:hAnsi="Times New Roman"/>
          <w:sz w:val="24"/>
          <w:szCs w:val="24"/>
          <w:lang w:val="fr-CD"/>
        </w:rPr>
      </w:pPr>
      <w:r w:rsidRPr="00215867">
        <w:rPr>
          <w:rFonts w:ascii="Times New Roman" w:hAnsi="Times New Roman"/>
          <w:sz w:val="24"/>
          <w:szCs w:val="24"/>
          <w:lang w:val="fr-CD"/>
        </w:rPr>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p w14:paraId="092556B3"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Lorsque l’acquisition de terres ou les restrictions à l’utilisation et/ou l’accès à des terres ou à des ressources naturelles peuvent entraîner de nombreux déplacements économiques, les dispositions permettant de fournir aux personnes déplacées suffisamment d’occasions d’améliorer ou au moins de rétablir leurs moyens de subsistance sont également intégrés dans le plan de réinstallation, ou dans un plan distinct d’amélioration des moyens de subsistance. Ces dispositions sont, entre autres :</w:t>
      </w:r>
    </w:p>
    <w:p w14:paraId="787BBCA2"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Remplacement direct des terres. </w:t>
      </w:r>
    </w:p>
    <w:p w14:paraId="3E00881D"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Pour les personnes qui vivent de l’agriculture, le plan d’action de réinstallation offre l’option de recevoir des terres de remplacement d’une valeur productive équivalente, ou démontre que des terres suffisantes d’une valeur équivalente ne sont pas disponibles. Lorsque des terres de remplacement sont disponibles, le plan décrit les modalités et les délais d’attribution de ces terres aux personnes déplacées.</w:t>
      </w:r>
    </w:p>
    <w:p w14:paraId="3572A4B7"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Perte d’accès à des terres ou des ressources. </w:t>
      </w:r>
    </w:p>
    <w:p w14:paraId="0A25D4B4"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Pour les personnes dont les moyens de subsistance sont affectés par la perte de terres, d’utilisation de ressources ou d’accès à des terres ou des ressources, y compris les ressources en propriété collective, le plan de réinstallation décrit les moyens d’obtenir des ressources de substitution ou de remplacement, ou prévoit autrement un appui à d’autres moyens de subsistance.</w:t>
      </w:r>
    </w:p>
    <w:p w14:paraId="685DB729" w14:textId="77777777" w:rsidR="004C12CB" w:rsidRPr="00215867" w:rsidRDefault="004C12CB" w:rsidP="004C12CB">
      <w:pPr>
        <w:pStyle w:val="Paragraphedeliste"/>
        <w:numPr>
          <w:ilvl w:val="0"/>
          <w:numId w:val="260"/>
        </w:numPr>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Appui à d’autres moyens de subsistance. </w:t>
      </w:r>
    </w:p>
    <w:p w14:paraId="6E487B74" w14:textId="77777777" w:rsidR="004C12CB" w:rsidRPr="00215867" w:rsidRDefault="004C12CB" w:rsidP="004C12CB">
      <w:pPr>
        <w:spacing w:before="60" w:after="60"/>
        <w:ind w:left="709"/>
        <w:jc w:val="both"/>
        <w:rPr>
          <w:rFonts w:ascii="Times New Roman" w:hAnsi="Times New Roman"/>
          <w:sz w:val="24"/>
          <w:szCs w:val="24"/>
          <w:lang w:val="fr-CD"/>
        </w:rPr>
      </w:pPr>
      <w:r w:rsidRPr="00215867">
        <w:rPr>
          <w:rFonts w:ascii="Times New Roman" w:hAnsi="Times New Roman"/>
          <w:sz w:val="24"/>
          <w:szCs w:val="24"/>
          <w:lang w:val="fr-CD"/>
        </w:rPr>
        <w:t>Pour toutes les autres catégories de déplacés économiques, le plan de réinstallation décrit des moyens possibles d’obtenir un emploi ou de créer une entreprise, y compris par la fourniture d’une aide supplémentaire adaptée, notamment une formation professionnelle, un crédit, des licences ou  des  permis,  ou  encore  du  matériel  spécialisé.  Au  besoin,  le  plan  de  subsistance  prévoit  une  aide  spéciale aux femmes, aux minorités ou aux groupes vulnérables qui peuvent avoir plus de mal que les autres à exploiter d’autres moyens de subsistance.</w:t>
      </w:r>
    </w:p>
    <w:p w14:paraId="6DB50FFE" w14:textId="77777777" w:rsidR="004C12CB" w:rsidRPr="00215867" w:rsidRDefault="004C12CB" w:rsidP="004C12CB">
      <w:pPr>
        <w:pStyle w:val="Paragraphedeliste"/>
        <w:numPr>
          <w:ilvl w:val="0"/>
          <w:numId w:val="260"/>
        </w:numPr>
        <w:tabs>
          <w:tab w:val="left" w:pos="1560"/>
        </w:tabs>
        <w:spacing w:before="60" w:after="60" w:line="276" w:lineRule="auto"/>
        <w:jc w:val="both"/>
        <w:rPr>
          <w:rFonts w:ascii="Times New Roman" w:hAnsi="Times New Roman"/>
          <w:sz w:val="24"/>
          <w:szCs w:val="24"/>
          <w:lang w:val="fr-CD"/>
        </w:rPr>
      </w:pPr>
      <w:r w:rsidRPr="00215867">
        <w:rPr>
          <w:rFonts w:ascii="Times New Roman" w:hAnsi="Times New Roman"/>
          <w:sz w:val="24"/>
          <w:szCs w:val="24"/>
          <w:lang w:val="fr-CD"/>
        </w:rPr>
        <w:t xml:space="preserve">Analyse des opportunités de développement économique. </w:t>
      </w:r>
    </w:p>
    <w:p w14:paraId="5633710B" w14:textId="77777777" w:rsidR="004C12CB" w:rsidRPr="00215867" w:rsidRDefault="004C12CB" w:rsidP="004C12CB">
      <w:pPr>
        <w:spacing w:before="60" w:after="60"/>
        <w:ind w:left="709"/>
        <w:jc w:val="both"/>
        <w:rPr>
          <w:rFonts w:ascii="Times New Roman" w:hAnsi="Times New Roman"/>
          <w:color w:val="000000"/>
          <w:sz w:val="24"/>
          <w:szCs w:val="24"/>
          <w:lang w:val="fr-CD"/>
        </w:rPr>
      </w:pPr>
      <w:r w:rsidRPr="00215867">
        <w:rPr>
          <w:rFonts w:ascii="Times New Roman" w:hAnsi="Times New Roman"/>
          <w:sz w:val="24"/>
          <w:szCs w:val="24"/>
          <w:lang w:val="fr-CD"/>
        </w:rPr>
        <w:t>Le plan de réinstallation identifie et évalue toutes les possibilités de promotion de moyens de subsistance améliorés à la suite du processus de réinstallation. Il peut s’agir, par exemple, d’accords préférentiels en matière d’emploi dans le cadre du projet, du soutien au développement de produits ou de marchés spécialisés, de l’établissement de zones commerciales et d’accords commerciaux préférentiels, ou d’autres mesures. Le cas échéant, le plan devrait également déterminer la possibilité d’allouer des ressources financières aux communautés, ou directement aux personnes déplacées, par l’établissement de mécanismes de partage des avantages tirés du projet.</w:t>
      </w:r>
    </w:p>
    <w:p w14:paraId="0E8490E2" w14:textId="77777777" w:rsidR="004C12CB" w:rsidRPr="00215867" w:rsidRDefault="004C12CB" w:rsidP="004C12CB">
      <w:pPr>
        <w:pStyle w:val="Paragraphedeliste"/>
        <w:numPr>
          <w:ilvl w:val="0"/>
          <w:numId w:val="248"/>
        </w:numPr>
        <w:spacing w:after="0" w:line="240" w:lineRule="auto"/>
        <w:ind w:left="567" w:hanging="567"/>
        <w:contextualSpacing w:val="0"/>
        <w:rPr>
          <w:rFonts w:ascii="Times New Roman" w:hAnsi="Times New Roman"/>
          <w:b/>
          <w:sz w:val="24"/>
          <w:szCs w:val="24"/>
        </w:rPr>
      </w:pPr>
      <w:r w:rsidRPr="00215867">
        <w:rPr>
          <w:rFonts w:ascii="Times New Roman" w:hAnsi="Times New Roman"/>
          <w:b/>
          <w:sz w:val="24"/>
          <w:szCs w:val="24"/>
        </w:rPr>
        <w:t>RESULTATS ATTENDUS</w:t>
      </w:r>
    </w:p>
    <w:p w14:paraId="0EB6F86F" w14:textId="77777777" w:rsidR="004C12CB" w:rsidRPr="00215867" w:rsidRDefault="004C12CB" w:rsidP="004C12CB">
      <w:pPr>
        <w:spacing w:before="120" w:after="120"/>
        <w:ind w:left="567" w:right="6" w:firstLine="11"/>
        <w:jc w:val="both"/>
        <w:rPr>
          <w:rFonts w:ascii="Times New Roman" w:hAnsi="Times New Roman"/>
          <w:sz w:val="24"/>
          <w:szCs w:val="24"/>
          <w:lang w:val="fr-CD"/>
        </w:rPr>
      </w:pPr>
      <w:r w:rsidRPr="00215867">
        <w:rPr>
          <w:rFonts w:ascii="Times New Roman" w:hAnsi="Times New Roman"/>
          <w:sz w:val="24"/>
          <w:szCs w:val="24"/>
          <w:lang w:val="fr-CD"/>
        </w:rPr>
        <w:t>Des rapports d’EIES et de PAR répondant aux standards nationaux, aux normes environnementales et sociales de la Banque mondiale pour les activités mises en œuvre par le secteur public.</w:t>
      </w:r>
    </w:p>
    <w:p w14:paraId="1C6574FF" w14:textId="77777777" w:rsidR="004C12CB" w:rsidRPr="00215867" w:rsidRDefault="004C12CB" w:rsidP="004C12CB">
      <w:pPr>
        <w:pStyle w:val="Paragraphedeliste"/>
        <w:numPr>
          <w:ilvl w:val="0"/>
          <w:numId w:val="248"/>
        </w:numPr>
        <w:spacing w:after="0" w:line="240" w:lineRule="auto"/>
        <w:ind w:left="567" w:hanging="567"/>
        <w:contextualSpacing w:val="0"/>
        <w:rPr>
          <w:rFonts w:ascii="Times New Roman" w:hAnsi="Times New Roman"/>
          <w:b/>
          <w:sz w:val="24"/>
          <w:szCs w:val="24"/>
        </w:rPr>
      </w:pPr>
      <w:r w:rsidRPr="00215867">
        <w:rPr>
          <w:rFonts w:ascii="Times New Roman" w:hAnsi="Times New Roman"/>
          <w:b/>
          <w:sz w:val="24"/>
          <w:szCs w:val="24"/>
        </w:rPr>
        <w:t>METHODOLOGIE</w:t>
      </w:r>
    </w:p>
    <w:p w14:paraId="7B4616BA" w14:textId="77777777" w:rsidR="004C12CB" w:rsidRPr="00215867" w:rsidRDefault="004C0F64" w:rsidP="004C12CB">
      <w:pPr>
        <w:tabs>
          <w:tab w:val="left" w:pos="567"/>
        </w:tabs>
        <w:jc w:val="center"/>
        <w:rPr>
          <w:rFonts w:ascii="Times New Roman" w:hAnsi="Times New Roman"/>
          <w:sz w:val="24"/>
          <w:szCs w:val="24"/>
        </w:rPr>
      </w:pPr>
      <w:r>
        <w:rPr>
          <w:rFonts w:ascii="Times New Roman" w:hAnsi="Times New Roman"/>
          <w:noProof/>
          <w:sz w:val="24"/>
          <w:szCs w:val="24"/>
        </w:rPr>
        <w:pict w14:anchorId="2E622C92">
          <v:rect id="_x0000_i1029" style="width:382.25pt;height:.05pt" o:hrpct="847" o:hralign="center" o:hrstd="t" o:hr="t" fillcolor="#a0a0a0" stroked="f"/>
        </w:pict>
      </w:r>
    </w:p>
    <w:p w14:paraId="4AE2D156" w14:textId="77777777" w:rsidR="004C12CB" w:rsidRPr="00215867" w:rsidRDefault="004C12CB" w:rsidP="004C12CB">
      <w:pPr>
        <w:ind w:left="567" w:right="6" w:firstLine="11"/>
        <w:jc w:val="both"/>
        <w:rPr>
          <w:rFonts w:ascii="Times New Roman" w:hAnsi="Times New Roman"/>
          <w:sz w:val="24"/>
          <w:szCs w:val="24"/>
          <w:lang w:val="fr-CD"/>
        </w:rPr>
      </w:pPr>
      <w:r w:rsidRPr="00215867">
        <w:rPr>
          <w:rFonts w:ascii="Times New Roman" w:hAnsi="Times New Roman"/>
          <w:sz w:val="24"/>
          <w:szCs w:val="24"/>
          <w:lang w:val="fr-CD"/>
        </w:rPr>
        <w:t xml:space="preserve">Les détails de la méthodologie sont laissés à l’initiative du consultant. Ils seront décrits dans son offre. </w:t>
      </w:r>
    </w:p>
    <w:p w14:paraId="66DAA8B2" w14:textId="77777777" w:rsidR="004C12CB" w:rsidRPr="00215867" w:rsidRDefault="004C12CB" w:rsidP="004C12CB">
      <w:pPr>
        <w:pStyle w:val="Paragraphedeliste"/>
        <w:numPr>
          <w:ilvl w:val="0"/>
          <w:numId w:val="248"/>
        </w:numPr>
        <w:spacing w:after="0" w:line="240" w:lineRule="auto"/>
        <w:ind w:left="567" w:hanging="567"/>
        <w:contextualSpacing w:val="0"/>
        <w:rPr>
          <w:rFonts w:ascii="Times New Roman" w:hAnsi="Times New Roman"/>
          <w:b/>
          <w:sz w:val="24"/>
          <w:szCs w:val="24"/>
        </w:rPr>
      </w:pPr>
      <w:bookmarkStart w:id="1190" w:name="_Hlk525732628"/>
      <w:bookmarkEnd w:id="1180"/>
      <w:r w:rsidRPr="00215867">
        <w:rPr>
          <w:rFonts w:ascii="Times New Roman" w:hAnsi="Times New Roman"/>
          <w:b/>
          <w:sz w:val="24"/>
          <w:szCs w:val="24"/>
        </w:rPr>
        <w:t>LIVRABLES</w:t>
      </w:r>
    </w:p>
    <w:bookmarkEnd w:id="1190"/>
    <w:p w14:paraId="6D86B05E" w14:textId="77777777" w:rsidR="004C12CB" w:rsidRPr="00215867" w:rsidRDefault="004C0F64" w:rsidP="004C12CB">
      <w:pPr>
        <w:widowControl w:val="0"/>
        <w:tabs>
          <w:tab w:val="left" w:pos="567"/>
        </w:tabs>
        <w:ind w:left="567"/>
        <w:rPr>
          <w:rFonts w:ascii="Times New Roman" w:hAnsi="Times New Roman"/>
          <w:sz w:val="24"/>
          <w:szCs w:val="24"/>
        </w:rPr>
      </w:pPr>
      <w:r>
        <w:rPr>
          <w:rFonts w:ascii="Times New Roman" w:hAnsi="Times New Roman"/>
          <w:sz w:val="24"/>
          <w:szCs w:val="24"/>
        </w:rPr>
        <w:pict w14:anchorId="0754A7E6">
          <v:rect id="_x0000_i1030" style="width:443.65pt;height:1.5pt" o:hralign="center" o:hrstd="t" o:hr="t" fillcolor="#a0a0a0" stroked="f"/>
        </w:pict>
      </w:r>
    </w:p>
    <w:p w14:paraId="63290214" w14:textId="77777777" w:rsidR="004C12CB" w:rsidRPr="00215867" w:rsidRDefault="004C12CB" w:rsidP="004C12CB">
      <w:pPr>
        <w:widowControl w:val="0"/>
        <w:tabs>
          <w:tab w:val="left" w:pos="567"/>
        </w:tabs>
        <w:ind w:left="567"/>
        <w:jc w:val="both"/>
        <w:rPr>
          <w:rFonts w:ascii="Times New Roman" w:hAnsi="Times New Roman"/>
          <w:sz w:val="24"/>
          <w:szCs w:val="24"/>
          <w:lang w:val="fr-CD"/>
        </w:rPr>
      </w:pPr>
      <w:r w:rsidRPr="00215867">
        <w:rPr>
          <w:rFonts w:ascii="Times New Roman" w:hAnsi="Times New Roman"/>
          <w:sz w:val="24"/>
          <w:szCs w:val="24"/>
          <w:lang w:val="fr-CD"/>
        </w:rPr>
        <w:t>Les livrables attendus du Consultant, en versions imprimée (10 exemplaires) et électronique (6 clés USB), sont :</w:t>
      </w:r>
    </w:p>
    <w:p w14:paraId="3741A3E4" w14:textId="77777777" w:rsidR="004C12CB" w:rsidRPr="00215867" w:rsidRDefault="004C12CB" w:rsidP="004C12CB">
      <w:pPr>
        <w:pStyle w:val="Paragraphedeliste"/>
        <w:widowControl w:val="0"/>
        <w:numPr>
          <w:ilvl w:val="0"/>
          <w:numId w:val="265"/>
        </w:numPr>
        <w:tabs>
          <w:tab w:val="left" w:pos="993"/>
        </w:tabs>
        <w:spacing w:before="120" w:after="120" w:line="276" w:lineRule="auto"/>
        <w:ind w:left="993" w:hanging="426"/>
        <w:contextualSpacing w:val="0"/>
        <w:jc w:val="both"/>
        <w:rPr>
          <w:rFonts w:ascii="Times New Roman" w:hAnsi="Times New Roman"/>
          <w:sz w:val="24"/>
          <w:szCs w:val="24"/>
          <w:lang w:val="fr-CA"/>
        </w:rPr>
      </w:pPr>
      <w:r w:rsidRPr="00215867">
        <w:rPr>
          <w:rFonts w:ascii="Times New Roman" w:hAnsi="Times New Roman"/>
          <w:sz w:val="24"/>
          <w:szCs w:val="24"/>
          <w:lang w:val="fr-CA"/>
        </w:rPr>
        <w:t xml:space="preserve">Dix (10) jours calendaires après la date de démarrage de ses prestations telle que fixé par l’ordre de service émis à cette occasion par UCM : un </w:t>
      </w:r>
      <w:r w:rsidRPr="00215867">
        <w:rPr>
          <w:rFonts w:ascii="Times New Roman" w:hAnsi="Times New Roman"/>
          <w:b/>
          <w:sz w:val="24"/>
          <w:szCs w:val="24"/>
          <w:lang w:val="fr-CA"/>
        </w:rPr>
        <w:t>rapport de démarrage</w:t>
      </w:r>
      <w:r w:rsidRPr="00215867">
        <w:rPr>
          <w:rFonts w:ascii="Times New Roman" w:hAnsi="Times New Roman"/>
          <w:sz w:val="24"/>
          <w:szCs w:val="24"/>
          <w:lang w:val="fr-CA"/>
        </w:rPr>
        <w:t xml:space="preserve"> ou de cadrage de la mission, couvrant la phase préparatoire de l’étude en indiquant notamment : </w:t>
      </w:r>
    </w:p>
    <w:p w14:paraId="6C392782" w14:textId="77777777" w:rsidR="004C12CB" w:rsidRPr="00215867" w:rsidRDefault="004C12CB" w:rsidP="004C12CB">
      <w:pPr>
        <w:pStyle w:val="Paragraphedeliste"/>
        <w:widowControl w:val="0"/>
        <w:numPr>
          <w:ilvl w:val="0"/>
          <w:numId w:val="266"/>
        </w:numPr>
        <w:tabs>
          <w:tab w:val="left" w:pos="0"/>
        </w:tabs>
        <w:spacing w:after="0" w:line="240" w:lineRule="auto"/>
        <w:ind w:left="1418" w:hanging="426"/>
        <w:jc w:val="both"/>
        <w:rPr>
          <w:rFonts w:ascii="Times New Roman" w:hAnsi="Times New Roman"/>
          <w:sz w:val="24"/>
          <w:szCs w:val="24"/>
          <w:lang w:val="fr-CA"/>
        </w:rPr>
      </w:pPr>
      <w:r w:rsidRPr="00215867">
        <w:rPr>
          <w:rFonts w:ascii="Times New Roman" w:hAnsi="Times New Roman"/>
          <w:sz w:val="24"/>
          <w:szCs w:val="24"/>
          <w:lang w:val="fr-CA"/>
        </w:rPr>
        <w:t>les grandes lignes du plan de la mission</w:t>
      </w:r>
    </w:p>
    <w:p w14:paraId="67ADA394" w14:textId="77777777" w:rsidR="004C12CB" w:rsidRPr="00215867" w:rsidRDefault="004C12CB" w:rsidP="004C12CB">
      <w:pPr>
        <w:pStyle w:val="Paragraphedeliste"/>
        <w:widowControl w:val="0"/>
        <w:numPr>
          <w:ilvl w:val="0"/>
          <w:numId w:val="266"/>
        </w:numPr>
        <w:tabs>
          <w:tab w:val="left" w:pos="0"/>
        </w:tabs>
        <w:spacing w:after="0" w:line="240" w:lineRule="auto"/>
        <w:ind w:left="1418" w:hanging="426"/>
        <w:jc w:val="both"/>
        <w:rPr>
          <w:rFonts w:ascii="Times New Roman" w:hAnsi="Times New Roman"/>
          <w:sz w:val="24"/>
          <w:szCs w:val="24"/>
          <w:lang w:val="fr-CA"/>
        </w:rPr>
      </w:pPr>
      <w:r w:rsidRPr="00215867">
        <w:rPr>
          <w:rFonts w:ascii="Times New Roman" w:hAnsi="Times New Roman"/>
          <w:sz w:val="24"/>
          <w:szCs w:val="24"/>
          <w:lang w:val="fr-CA"/>
        </w:rPr>
        <w:t xml:space="preserve">la documentation mise à disposition et celle qui devra être fournie par SNEL </w:t>
      </w:r>
    </w:p>
    <w:p w14:paraId="0B6960A0" w14:textId="77777777" w:rsidR="004C12CB" w:rsidRPr="00215867" w:rsidRDefault="004C12CB" w:rsidP="004C12CB">
      <w:pPr>
        <w:pStyle w:val="Paragraphedeliste"/>
        <w:widowControl w:val="0"/>
        <w:numPr>
          <w:ilvl w:val="0"/>
          <w:numId w:val="266"/>
        </w:numPr>
        <w:tabs>
          <w:tab w:val="left" w:pos="0"/>
        </w:tabs>
        <w:spacing w:after="0" w:line="240" w:lineRule="auto"/>
        <w:ind w:left="1418" w:hanging="426"/>
        <w:jc w:val="both"/>
        <w:rPr>
          <w:rFonts w:ascii="Times New Roman" w:hAnsi="Times New Roman"/>
          <w:sz w:val="24"/>
          <w:szCs w:val="24"/>
          <w:lang w:val="fr-CA"/>
        </w:rPr>
      </w:pPr>
      <w:r w:rsidRPr="00215867">
        <w:rPr>
          <w:rFonts w:ascii="Times New Roman" w:hAnsi="Times New Roman"/>
          <w:sz w:val="24"/>
          <w:szCs w:val="24"/>
          <w:lang w:val="fr-CA"/>
        </w:rPr>
        <w:t xml:space="preserve">la méthode ou démarche qui sera adoptée </w:t>
      </w:r>
    </w:p>
    <w:p w14:paraId="64AC9744" w14:textId="77777777" w:rsidR="004C12CB" w:rsidRPr="00215867" w:rsidRDefault="004C12CB" w:rsidP="004C12CB">
      <w:pPr>
        <w:pStyle w:val="Paragraphedeliste"/>
        <w:widowControl w:val="0"/>
        <w:numPr>
          <w:ilvl w:val="0"/>
          <w:numId w:val="266"/>
        </w:numPr>
        <w:tabs>
          <w:tab w:val="left" w:pos="0"/>
        </w:tabs>
        <w:spacing w:after="0" w:line="240" w:lineRule="auto"/>
        <w:ind w:left="1418" w:hanging="426"/>
        <w:jc w:val="both"/>
        <w:rPr>
          <w:rFonts w:ascii="Times New Roman" w:hAnsi="Times New Roman"/>
          <w:sz w:val="24"/>
          <w:szCs w:val="24"/>
          <w:lang w:val="fr-CA"/>
        </w:rPr>
      </w:pPr>
      <w:r w:rsidRPr="00215867">
        <w:rPr>
          <w:rFonts w:ascii="Times New Roman" w:hAnsi="Times New Roman"/>
          <w:sz w:val="24"/>
          <w:szCs w:val="24"/>
          <w:lang w:val="fr-CA"/>
        </w:rPr>
        <w:t xml:space="preserve">le registre des personnes à rencontrer </w:t>
      </w:r>
    </w:p>
    <w:p w14:paraId="4C33EDEF" w14:textId="77777777" w:rsidR="004C12CB" w:rsidRPr="00215867" w:rsidRDefault="004C12CB" w:rsidP="004C12CB">
      <w:pPr>
        <w:pStyle w:val="Paragraphedeliste"/>
        <w:widowControl w:val="0"/>
        <w:numPr>
          <w:ilvl w:val="0"/>
          <w:numId w:val="265"/>
        </w:numPr>
        <w:tabs>
          <w:tab w:val="left" w:pos="993"/>
        </w:tabs>
        <w:spacing w:before="120" w:after="120" w:line="276" w:lineRule="auto"/>
        <w:ind w:left="993" w:hanging="426"/>
        <w:contextualSpacing w:val="0"/>
        <w:jc w:val="both"/>
        <w:rPr>
          <w:rFonts w:ascii="Times New Roman" w:hAnsi="Times New Roman"/>
          <w:sz w:val="24"/>
          <w:szCs w:val="24"/>
          <w:lang w:val="fr-CA"/>
        </w:rPr>
      </w:pPr>
      <w:r w:rsidRPr="00215867">
        <w:rPr>
          <w:rFonts w:ascii="Times New Roman" w:hAnsi="Times New Roman"/>
          <w:sz w:val="24"/>
          <w:szCs w:val="24"/>
          <w:lang w:val="fr-CA"/>
        </w:rPr>
        <w:t xml:space="preserve">Vingt-cinq (25) jours calendaires après la présentation du rapport de démarrage de la mission : </w:t>
      </w:r>
      <w:r w:rsidRPr="00215867">
        <w:rPr>
          <w:rFonts w:ascii="Times New Roman" w:hAnsi="Times New Roman"/>
          <w:b/>
          <w:sz w:val="24"/>
          <w:szCs w:val="24"/>
          <w:lang w:val="fr-CA"/>
        </w:rPr>
        <w:t xml:space="preserve">la version provisoire du rapport d’EIES et du PAR </w:t>
      </w:r>
      <w:r w:rsidRPr="00215867">
        <w:rPr>
          <w:rFonts w:ascii="Times New Roman" w:hAnsi="Times New Roman"/>
          <w:sz w:val="24"/>
          <w:szCs w:val="24"/>
          <w:lang w:val="fr-CA"/>
        </w:rPr>
        <w:t xml:space="preserve">suivant les formats indiqués précédemment. </w:t>
      </w:r>
    </w:p>
    <w:p w14:paraId="7F3BC8AE" w14:textId="77777777" w:rsidR="004C12CB" w:rsidRPr="00215867" w:rsidRDefault="004C12CB" w:rsidP="004C12CB">
      <w:pPr>
        <w:widowControl w:val="0"/>
        <w:tabs>
          <w:tab w:val="left" w:pos="0"/>
        </w:tabs>
        <w:spacing w:before="60" w:after="60"/>
        <w:ind w:left="993"/>
        <w:jc w:val="both"/>
        <w:rPr>
          <w:rFonts w:ascii="Times New Roman" w:hAnsi="Times New Roman"/>
          <w:sz w:val="24"/>
          <w:szCs w:val="24"/>
          <w:lang w:val="fr-CD"/>
        </w:rPr>
      </w:pPr>
      <w:r w:rsidRPr="00215867">
        <w:rPr>
          <w:rFonts w:ascii="Times New Roman" w:hAnsi="Times New Roman"/>
          <w:sz w:val="24"/>
          <w:szCs w:val="24"/>
          <w:lang w:val="fr-CA"/>
        </w:rPr>
        <w:t xml:space="preserve">Sept (7) jours calendaire suivant le dépôt de la version provisoire du rapport d’EIES et du PAR à UCM, le consultant organisera à ses frais un atelier d’un (1) jour pour recueillir les observations des parties prenantes. </w:t>
      </w:r>
      <w:r w:rsidRPr="00215867">
        <w:rPr>
          <w:rFonts w:ascii="Times New Roman" w:hAnsi="Times New Roman"/>
          <w:sz w:val="24"/>
          <w:szCs w:val="24"/>
          <w:lang w:val="fr-CD"/>
        </w:rPr>
        <w:t xml:space="preserve">A la fin de l’atelier, les observations formulées seront consignées dans un document ad-hoc qui sera signé par les différentes parties prenantes. </w:t>
      </w:r>
    </w:p>
    <w:p w14:paraId="338EB9C4" w14:textId="77777777" w:rsidR="004C12CB" w:rsidRPr="00215867" w:rsidRDefault="004C12CB" w:rsidP="004C12CB">
      <w:pPr>
        <w:widowControl w:val="0"/>
        <w:tabs>
          <w:tab w:val="left" w:pos="0"/>
        </w:tabs>
        <w:spacing w:before="60" w:after="60"/>
        <w:ind w:left="993"/>
        <w:jc w:val="both"/>
        <w:rPr>
          <w:rFonts w:ascii="Times New Roman" w:hAnsi="Times New Roman"/>
          <w:sz w:val="24"/>
          <w:szCs w:val="24"/>
          <w:lang w:val="fr-CD"/>
        </w:rPr>
      </w:pPr>
      <w:r w:rsidRPr="00215867">
        <w:rPr>
          <w:rFonts w:ascii="Times New Roman" w:hAnsi="Times New Roman"/>
          <w:sz w:val="24"/>
          <w:szCs w:val="24"/>
          <w:lang w:val="fr-CD"/>
        </w:rPr>
        <w:t>Il disposera de 7 jours calendaires pour la production des versions définitives desdits rapports intégrant les observations des parties prenantes au projet.</w:t>
      </w:r>
    </w:p>
    <w:p w14:paraId="0579661B" w14:textId="77777777" w:rsidR="004C12CB" w:rsidRPr="00215867" w:rsidRDefault="004C12CB" w:rsidP="004C12CB">
      <w:pPr>
        <w:widowControl w:val="0"/>
        <w:tabs>
          <w:tab w:val="left" w:pos="0"/>
        </w:tabs>
        <w:spacing w:before="60" w:after="60"/>
        <w:ind w:left="993"/>
        <w:jc w:val="both"/>
        <w:rPr>
          <w:rFonts w:ascii="Times New Roman" w:hAnsi="Times New Roman"/>
          <w:sz w:val="24"/>
          <w:szCs w:val="24"/>
          <w:lang w:val="fr-CD"/>
        </w:rPr>
      </w:pPr>
      <w:r w:rsidRPr="00215867">
        <w:rPr>
          <w:rFonts w:ascii="Times New Roman" w:hAnsi="Times New Roman"/>
          <w:sz w:val="24"/>
          <w:szCs w:val="24"/>
          <w:lang w:val="fr-CD"/>
        </w:rPr>
        <w:t>Le rapport, d’une centaine de pages, devra être concis, et centré sur les résultats des analyses effectuées, les conclusions et les actions recommandées, avec cartes et tableaux de synthèse. Il sera complété par des annexes ou un volume séparé contenant toutes les données d’appui, analyses complémentaires, et les procès-verbaux et résumés des consultations et liste des participants.</w:t>
      </w:r>
    </w:p>
    <w:p w14:paraId="1D4EBB61" w14:textId="77777777" w:rsidR="004C12CB" w:rsidRPr="00215867" w:rsidRDefault="004C12CB" w:rsidP="004C12CB">
      <w:pPr>
        <w:pStyle w:val="Paragraphedeliste"/>
        <w:numPr>
          <w:ilvl w:val="0"/>
          <w:numId w:val="248"/>
        </w:numPr>
        <w:spacing w:after="0" w:line="240" w:lineRule="auto"/>
        <w:ind w:left="567" w:hanging="567"/>
        <w:contextualSpacing w:val="0"/>
        <w:rPr>
          <w:rFonts w:ascii="Times New Roman" w:hAnsi="Times New Roman"/>
          <w:b/>
          <w:sz w:val="24"/>
          <w:szCs w:val="24"/>
          <w:lang w:val="fr-CD"/>
        </w:rPr>
      </w:pPr>
      <w:bookmarkStart w:id="1191" w:name="_Hlk525732686"/>
      <w:r w:rsidRPr="00215867">
        <w:rPr>
          <w:rFonts w:ascii="Times New Roman" w:hAnsi="Times New Roman"/>
          <w:b/>
          <w:sz w:val="24"/>
          <w:szCs w:val="24"/>
          <w:lang w:val="fr-CD"/>
        </w:rPr>
        <w:t>DUREE DE LA MISSION ET CALENDRIER DE PAIEMENT</w:t>
      </w:r>
      <w:bookmarkEnd w:id="1191"/>
    </w:p>
    <w:p w14:paraId="70773A19" w14:textId="77777777" w:rsidR="004C12CB" w:rsidRPr="00215867" w:rsidRDefault="004C0F64" w:rsidP="004C12CB">
      <w:pPr>
        <w:pStyle w:val="Paragraphedeliste"/>
        <w:ind w:left="567"/>
        <w:rPr>
          <w:rFonts w:ascii="Times New Roman" w:hAnsi="Times New Roman"/>
          <w:b/>
          <w:sz w:val="24"/>
          <w:szCs w:val="24"/>
        </w:rPr>
      </w:pPr>
      <w:r>
        <w:rPr>
          <w:rFonts w:ascii="Times New Roman" w:hAnsi="Times New Roman"/>
          <w:sz w:val="24"/>
          <w:szCs w:val="24"/>
        </w:rPr>
        <w:pict w14:anchorId="55B9CCC7">
          <v:rect id="_x0000_i1031" style="width:443.65pt;height:1.5pt" o:hralign="center" o:hrstd="t" o:hr="t" fillcolor="#a0a0a0" stroked="f"/>
        </w:pict>
      </w:r>
    </w:p>
    <w:p w14:paraId="28FCC453" w14:textId="77777777" w:rsidR="004C12CB" w:rsidRPr="003F350A" w:rsidRDefault="004C12CB" w:rsidP="008B7F9D">
      <w:pPr>
        <w:pStyle w:val="Normal0"/>
        <w:rPr>
          <w:rFonts w:ascii="Times New Roman" w:hAnsi="Times New Roman"/>
          <w:szCs w:val="24"/>
          <w:lang w:val="fr-FR"/>
        </w:rPr>
      </w:pPr>
      <w:r w:rsidRPr="003F350A">
        <w:rPr>
          <w:rFonts w:ascii="Times New Roman" w:hAnsi="Times New Roman"/>
          <w:szCs w:val="24"/>
          <w:lang w:val="fr-FR"/>
        </w:rPr>
        <w:t>La durée maximale pour cette mission est de 50 hommes/jour.</w:t>
      </w:r>
    </w:p>
    <w:p w14:paraId="040465B8" w14:textId="77777777" w:rsidR="004C12CB" w:rsidRPr="003F350A" w:rsidRDefault="004C12CB" w:rsidP="008B7F9D">
      <w:pPr>
        <w:pStyle w:val="Normal0"/>
        <w:rPr>
          <w:rFonts w:ascii="Times New Roman" w:hAnsi="Times New Roman"/>
          <w:szCs w:val="24"/>
          <w:lang w:val="fr-FR"/>
        </w:rPr>
      </w:pPr>
      <w:r w:rsidRPr="003F350A">
        <w:rPr>
          <w:rFonts w:ascii="Times New Roman" w:hAnsi="Times New Roman"/>
          <w:szCs w:val="24"/>
          <w:lang w:val="fr-FR"/>
        </w:rPr>
        <w:t>La remise des rapports et les modalités de paiements sont les suivantes :</w:t>
      </w:r>
    </w:p>
    <w:tbl>
      <w:tblPr>
        <w:tblW w:w="4490" w:type="pct"/>
        <w:jc w:val="center"/>
        <w:tblLook w:val="04A0" w:firstRow="1" w:lastRow="0" w:firstColumn="1" w:lastColumn="0" w:noHBand="0" w:noVBand="1"/>
      </w:tblPr>
      <w:tblGrid>
        <w:gridCol w:w="803"/>
        <w:gridCol w:w="4343"/>
        <w:gridCol w:w="1736"/>
        <w:gridCol w:w="1457"/>
      </w:tblGrid>
      <w:tr w:rsidR="004C12CB" w:rsidRPr="00420C1B" w14:paraId="61427377" w14:textId="77777777" w:rsidTr="001736A5">
        <w:trPr>
          <w:trHeight w:val="429"/>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BEF4D9" w14:textId="77777777" w:rsidR="004C12CB" w:rsidRPr="000E6816" w:rsidRDefault="004C12CB" w:rsidP="008B7F9D">
            <w:pPr>
              <w:pStyle w:val="Normal0"/>
              <w:rPr>
                <w:rFonts w:ascii="Times New Roman" w:hAnsi="Times New Roman"/>
                <w:szCs w:val="24"/>
              </w:rPr>
            </w:pPr>
            <w:r w:rsidRPr="000E6816">
              <w:rPr>
                <w:rFonts w:ascii="Times New Roman" w:hAnsi="Times New Roman"/>
                <w:szCs w:val="24"/>
              </w:rPr>
              <w:t>ITEM</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C3FABB" w14:textId="77777777" w:rsidR="004C12CB" w:rsidRPr="00D77642" w:rsidRDefault="004C12CB" w:rsidP="008B7F9D">
            <w:pPr>
              <w:pStyle w:val="Normal0"/>
              <w:rPr>
                <w:rFonts w:ascii="Times New Roman" w:hAnsi="Times New Roman"/>
                <w:szCs w:val="24"/>
              </w:rPr>
            </w:pPr>
            <w:r w:rsidRPr="00D77642">
              <w:rPr>
                <w:rFonts w:ascii="Times New Roman" w:hAnsi="Times New Roman"/>
                <w:szCs w:val="24"/>
              </w:rPr>
              <w:t>FAIT GENERATEUR</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69FDE" w14:textId="77777777" w:rsidR="004C12CB" w:rsidRPr="008C748D" w:rsidRDefault="004C12CB" w:rsidP="008B7F9D">
            <w:pPr>
              <w:pStyle w:val="Normal0"/>
              <w:rPr>
                <w:rFonts w:ascii="Times New Roman" w:hAnsi="Times New Roman"/>
                <w:szCs w:val="24"/>
              </w:rPr>
            </w:pPr>
            <w:r w:rsidRPr="008C748D">
              <w:rPr>
                <w:rFonts w:ascii="Times New Roman" w:hAnsi="Times New Roman"/>
                <w:szCs w:val="24"/>
              </w:rPr>
              <w:t>CALENDRIER</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FC982" w14:textId="77777777" w:rsidR="004C12CB" w:rsidRPr="008C748D" w:rsidRDefault="004C12CB" w:rsidP="008B7F9D">
            <w:pPr>
              <w:pStyle w:val="Normal0"/>
              <w:rPr>
                <w:rFonts w:ascii="Times New Roman" w:hAnsi="Times New Roman"/>
                <w:szCs w:val="24"/>
              </w:rPr>
            </w:pPr>
            <w:r w:rsidRPr="008C748D">
              <w:rPr>
                <w:rFonts w:ascii="Times New Roman" w:hAnsi="Times New Roman"/>
                <w:szCs w:val="24"/>
              </w:rPr>
              <w:t xml:space="preserve">PAIEMENT </w:t>
            </w:r>
          </w:p>
        </w:tc>
      </w:tr>
      <w:tr w:rsidR="004C12CB" w:rsidRPr="00420C1B" w14:paraId="0007237D" w14:textId="77777777" w:rsidTr="001736A5">
        <w:trPr>
          <w:trHeight w:val="427"/>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548F78"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1</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10D65F"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Signature du contrat</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CC3F1" w14:textId="77777777" w:rsidR="004C12CB" w:rsidRPr="000E6816" w:rsidRDefault="004C12CB" w:rsidP="008B7F9D">
            <w:pPr>
              <w:pStyle w:val="Normal0"/>
              <w:rPr>
                <w:rFonts w:ascii="Times New Roman" w:hAnsi="Times New Roman"/>
                <w:szCs w:val="24"/>
              </w:rPr>
            </w:pPr>
            <w:r w:rsidRPr="000E6816">
              <w:rPr>
                <w:rFonts w:ascii="Times New Roman" w:hAnsi="Times New Roman"/>
                <w:szCs w:val="24"/>
              </w:rPr>
              <w:t>T0</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F5CEB0" w14:textId="77777777" w:rsidR="004C12CB" w:rsidRPr="00D77642" w:rsidRDefault="004C12CB" w:rsidP="008B7F9D">
            <w:pPr>
              <w:pStyle w:val="Normal0"/>
              <w:rPr>
                <w:rFonts w:ascii="Times New Roman" w:hAnsi="Times New Roman"/>
                <w:szCs w:val="24"/>
              </w:rPr>
            </w:pPr>
            <w:r w:rsidRPr="00D77642">
              <w:rPr>
                <w:rFonts w:ascii="Times New Roman" w:hAnsi="Times New Roman"/>
                <w:szCs w:val="24"/>
              </w:rPr>
              <w:t>0%</w:t>
            </w:r>
          </w:p>
        </w:tc>
      </w:tr>
      <w:tr w:rsidR="004C12CB" w:rsidRPr="00420C1B" w14:paraId="1ADBB8BB" w14:textId="77777777" w:rsidTr="001736A5">
        <w:trPr>
          <w:trHeight w:val="448"/>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E914F4"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2</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5A45F"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 xml:space="preserve">Démarrage des prestations </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F7574" w14:textId="77777777" w:rsidR="004C12CB" w:rsidRPr="000E6816" w:rsidRDefault="004C12CB" w:rsidP="008B7F9D">
            <w:pPr>
              <w:pStyle w:val="Normal0"/>
              <w:rPr>
                <w:rFonts w:ascii="Times New Roman" w:hAnsi="Times New Roman"/>
                <w:szCs w:val="24"/>
              </w:rPr>
            </w:pPr>
            <w:r w:rsidRPr="000E6816">
              <w:rPr>
                <w:rFonts w:ascii="Times New Roman" w:hAnsi="Times New Roman"/>
                <w:szCs w:val="24"/>
              </w:rPr>
              <w:t>T1</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19ABAC" w14:textId="77777777" w:rsidR="004C12CB" w:rsidRPr="00D77642" w:rsidRDefault="004C12CB" w:rsidP="008B7F9D">
            <w:pPr>
              <w:pStyle w:val="Normal0"/>
              <w:rPr>
                <w:rFonts w:ascii="Times New Roman" w:hAnsi="Times New Roman"/>
                <w:szCs w:val="24"/>
              </w:rPr>
            </w:pPr>
            <w:r w:rsidRPr="00D77642">
              <w:rPr>
                <w:rFonts w:ascii="Times New Roman" w:hAnsi="Times New Roman"/>
                <w:szCs w:val="24"/>
              </w:rPr>
              <w:t>10%</w:t>
            </w:r>
          </w:p>
        </w:tc>
      </w:tr>
      <w:tr w:rsidR="004C12CB" w:rsidRPr="00420C1B" w14:paraId="43D672F8" w14:textId="77777777" w:rsidTr="001736A5">
        <w:trPr>
          <w:trHeight w:val="521"/>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4AB034"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3</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56A5AA" w14:textId="77777777" w:rsidR="004C12CB" w:rsidRPr="003F350A" w:rsidRDefault="004C12CB" w:rsidP="008B7F9D">
            <w:pPr>
              <w:pStyle w:val="Normal0"/>
              <w:rPr>
                <w:rFonts w:ascii="Times New Roman" w:hAnsi="Times New Roman"/>
                <w:szCs w:val="24"/>
                <w:lang w:val="fr-FR"/>
              </w:rPr>
            </w:pPr>
            <w:r w:rsidRPr="003F350A">
              <w:rPr>
                <w:rFonts w:ascii="Times New Roman" w:hAnsi="Times New Roman"/>
                <w:szCs w:val="24"/>
                <w:lang w:val="fr-FR"/>
              </w:rPr>
              <w:t xml:space="preserve">Rapport de démarrage de la mission  </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E3E73" w14:textId="77777777" w:rsidR="004C12CB" w:rsidRPr="000E6816" w:rsidRDefault="004C12CB" w:rsidP="008B7F9D">
            <w:pPr>
              <w:pStyle w:val="Normal0"/>
              <w:rPr>
                <w:rFonts w:ascii="Times New Roman" w:hAnsi="Times New Roman"/>
                <w:szCs w:val="24"/>
              </w:rPr>
            </w:pPr>
            <w:r w:rsidRPr="000E6816">
              <w:rPr>
                <w:rFonts w:ascii="Times New Roman" w:hAnsi="Times New Roman"/>
                <w:szCs w:val="24"/>
              </w:rPr>
              <w:t>T1 + 10 jours</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EBDDD" w14:textId="77777777" w:rsidR="004C12CB" w:rsidRPr="00D77642" w:rsidRDefault="004C12CB" w:rsidP="008B7F9D">
            <w:pPr>
              <w:pStyle w:val="Normal0"/>
              <w:rPr>
                <w:rFonts w:ascii="Times New Roman" w:hAnsi="Times New Roman"/>
                <w:szCs w:val="24"/>
              </w:rPr>
            </w:pPr>
            <w:r w:rsidRPr="00D77642">
              <w:rPr>
                <w:rFonts w:ascii="Times New Roman" w:hAnsi="Times New Roman"/>
                <w:szCs w:val="24"/>
              </w:rPr>
              <w:t>20%</w:t>
            </w:r>
          </w:p>
        </w:tc>
      </w:tr>
      <w:tr w:rsidR="004C12CB" w:rsidRPr="00420C1B" w14:paraId="3711A143" w14:textId="77777777" w:rsidTr="001736A5">
        <w:trPr>
          <w:trHeight w:val="429"/>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150569F7"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4</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0BBEE25B" w14:textId="77777777" w:rsidR="004C12CB" w:rsidRPr="003F350A" w:rsidRDefault="004C12CB" w:rsidP="008B7F9D">
            <w:pPr>
              <w:pStyle w:val="Normal0"/>
              <w:rPr>
                <w:rFonts w:ascii="Times New Roman" w:hAnsi="Times New Roman"/>
                <w:szCs w:val="24"/>
                <w:lang w:val="fr-FR"/>
              </w:rPr>
            </w:pPr>
            <w:r w:rsidRPr="003F350A">
              <w:rPr>
                <w:rFonts w:ascii="Times New Roman" w:hAnsi="Times New Roman"/>
                <w:szCs w:val="24"/>
                <w:lang w:val="fr-FR"/>
              </w:rPr>
              <w:t>Rapport définitif de l’EIES &amp; PAR</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14:paraId="34FE6452" w14:textId="77777777" w:rsidR="004C12CB" w:rsidRPr="000E6816" w:rsidRDefault="004C12CB" w:rsidP="008B7F9D">
            <w:pPr>
              <w:pStyle w:val="Normal0"/>
              <w:rPr>
                <w:rFonts w:ascii="Times New Roman" w:hAnsi="Times New Roman"/>
                <w:szCs w:val="24"/>
              </w:rPr>
            </w:pPr>
            <w:r w:rsidRPr="000E6816">
              <w:rPr>
                <w:rFonts w:ascii="Times New Roman" w:hAnsi="Times New Roman"/>
                <w:szCs w:val="24"/>
              </w:rPr>
              <w:t xml:space="preserve">T0 + 50 jours </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1E5B7E86" w14:textId="77777777" w:rsidR="004C12CB" w:rsidRPr="00D77642" w:rsidRDefault="004C12CB" w:rsidP="008B7F9D">
            <w:pPr>
              <w:pStyle w:val="Normal0"/>
              <w:rPr>
                <w:rFonts w:ascii="Times New Roman" w:hAnsi="Times New Roman"/>
                <w:szCs w:val="24"/>
              </w:rPr>
            </w:pPr>
            <w:r w:rsidRPr="00D77642">
              <w:rPr>
                <w:rFonts w:ascii="Times New Roman" w:hAnsi="Times New Roman"/>
                <w:szCs w:val="24"/>
              </w:rPr>
              <w:t>50%</w:t>
            </w:r>
          </w:p>
        </w:tc>
      </w:tr>
      <w:tr w:rsidR="004C12CB" w:rsidRPr="00420C1B" w14:paraId="220E9555" w14:textId="77777777" w:rsidTr="001736A5">
        <w:trPr>
          <w:trHeight w:val="577"/>
          <w:jc w:val="center"/>
        </w:trPr>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A64653A"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5</w:t>
            </w:r>
          </w:p>
        </w:tc>
        <w:tc>
          <w:tcPr>
            <w:tcW w:w="2615" w:type="pct"/>
            <w:tcBorders>
              <w:top w:val="single" w:sz="4" w:space="0" w:color="auto"/>
              <w:left w:val="single" w:sz="4" w:space="0" w:color="auto"/>
              <w:bottom w:val="single" w:sz="4" w:space="0" w:color="auto"/>
              <w:right w:val="single" w:sz="4" w:space="0" w:color="auto"/>
            </w:tcBorders>
            <w:shd w:val="clear" w:color="auto" w:fill="auto"/>
            <w:vAlign w:val="center"/>
          </w:tcPr>
          <w:p w14:paraId="388C2C66" w14:textId="77777777" w:rsidR="004C12CB" w:rsidRPr="000E6816" w:rsidRDefault="004C12CB" w:rsidP="008B7F9D">
            <w:pPr>
              <w:pStyle w:val="Normal0"/>
              <w:rPr>
                <w:rFonts w:ascii="Times New Roman" w:hAnsi="Times New Roman"/>
                <w:szCs w:val="24"/>
                <w:lang w:val="fr-FR"/>
              </w:rPr>
            </w:pPr>
            <w:r w:rsidRPr="003F350A">
              <w:rPr>
                <w:rFonts w:ascii="Times New Roman" w:hAnsi="Times New Roman"/>
                <w:szCs w:val="24"/>
                <w:lang w:val="fr-FR"/>
              </w:rPr>
              <w:t>Version finale intégrant les observations de l’Agence C</w:t>
            </w:r>
            <w:r w:rsidRPr="000E6816">
              <w:rPr>
                <w:rFonts w:ascii="Times New Roman" w:hAnsi="Times New Roman"/>
                <w:szCs w:val="24"/>
                <w:lang w:val="fr-FR"/>
              </w:rPr>
              <w:t>ongolaise de l’Environnement (ACE) et de la Banque mondiale</w:t>
            </w:r>
          </w:p>
        </w:tc>
        <w:tc>
          <w:tcPr>
            <w:tcW w:w="1020" w:type="pct"/>
            <w:tcBorders>
              <w:top w:val="single" w:sz="4" w:space="0" w:color="auto"/>
              <w:left w:val="single" w:sz="4" w:space="0" w:color="auto"/>
              <w:bottom w:val="single" w:sz="4" w:space="0" w:color="auto"/>
              <w:right w:val="single" w:sz="4" w:space="0" w:color="auto"/>
            </w:tcBorders>
            <w:shd w:val="clear" w:color="auto" w:fill="auto"/>
            <w:vAlign w:val="center"/>
          </w:tcPr>
          <w:p w14:paraId="74902615" w14:textId="77777777" w:rsidR="004C12CB" w:rsidRPr="00D77642" w:rsidRDefault="004C12CB" w:rsidP="008B7F9D">
            <w:pPr>
              <w:pStyle w:val="Normal0"/>
              <w:rPr>
                <w:rFonts w:ascii="Times New Roman" w:hAnsi="Times New Roman"/>
                <w:szCs w:val="24"/>
                <w:lang w:val="fr-FR"/>
              </w:rPr>
            </w:pP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tcPr>
          <w:p w14:paraId="5911FC72" w14:textId="77777777" w:rsidR="004C12CB" w:rsidRPr="008C748D" w:rsidRDefault="004C12CB" w:rsidP="008B7F9D">
            <w:pPr>
              <w:pStyle w:val="Normal0"/>
              <w:rPr>
                <w:rFonts w:ascii="Times New Roman" w:hAnsi="Times New Roman"/>
                <w:szCs w:val="24"/>
              </w:rPr>
            </w:pPr>
            <w:r w:rsidRPr="008C748D">
              <w:rPr>
                <w:rFonts w:ascii="Times New Roman" w:hAnsi="Times New Roman"/>
                <w:szCs w:val="24"/>
              </w:rPr>
              <w:t>20%</w:t>
            </w:r>
          </w:p>
        </w:tc>
      </w:tr>
      <w:tr w:rsidR="004C12CB" w:rsidRPr="00420C1B" w14:paraId="6F10726E" w14:textId="77777777" w:rsidTr="001736A5">
        <w:trPr>
          <w:trHeight w:val="356"/>
          <w:jc w:val="center"/>
        </w:trPr>
        <w:tc>
          <w:tcPr>
            <w:tcW w:w="4116" w:type="pct"/>
            <w:gridSpan w:val="3"/>
            <w:tcBorders>
              <w:top w:val="single" w:sz="4" w:space="0" w:color="auto"/>
              <w:left w:val="single" w:sz="4" w:space="0" w:color="auto"/>
              <w:bottom w:val="single" w:sz="4" w:space="0" w:color="auto"/>
              <w:right w:val="single" w:sz="4" w:space="0" w:color="auto"/>
            </w:tcBorders>
            <w:shd w:val="clear" w:color="auto" w:fill="auto"/>
            <w:hideMark/>
          </w:tcPr>
          <w:p w14:paraId="24839148"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TOTAL</w:t>
            </w:r>
          </w:p>
        </w:tc>
        <w:tc>
          <w:tcPr>
            <w:tcW w:w="8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6941DC" w14:textId="77777777" w:rsidR="004C12CB" w:rsidRPr="003F350A" w:rsidRDefault="004C12CB" w:rsidP="008B7F9D">
            <w:pPr>
              <w:pStyle w:val="Normal0"/>
              <w:rPr>
                <w:rFonts w:ascii="Times New Roman" w:hAnsi="Times New Roman"/>
                <w:szCs w:val="24"/>
              </w:rPr>
            </w:pPr>
            <w:r w:rsidRPr="003F350A">
              <w:rPr>
                <w:rFonts w:ascii="Times New Roman" w:hAnsi="Times New Roman"/>
                <w:szCs w:val="24"/>
              </w:rPr>
              <w:t>100</w:t>
            </w:r>
          </w:p>
        </w:tc>
      </w:tr>
    </w:tbl>
    <w:p w14:paraId="6502DA2C" w14:textId="77777777" w:rsidR="004C12CB" w:rsidRPr="003F350A" w:rsidRDefault="004C12CB" w:rsidP="001736A5">
      <w:pPr>
        <w:pStyle w:val="Normal0"/>
        <w:spacing w:before="120" w:after="120"/>
        <w:rPr>
          <w:rFonts w:ascii="Times New Roman" w:hAnsi="Times New Roman"/>
          <w:szCs w:val="24"/>
          <w:lang w:val="fr-FR"/>
        </w:rPr>
      </w:pPr>
      <w:r w:rsidRPr="003F350A">
        <w:rPr>
          <w:rFonts w:ascii="Times New Roman" w:hAnsi="Times New Roman"/>
          <w:szCs w:val="24"/>
          <w:lang w:val="fr-FR"/>
        </w:rPr>
        <w:t>Le solde des paiements (20% du montant total du marché) sera versé au consultant à la remise de la version finale du rapport intégrant les commentaires de l’IDA et de l’ACE.</w:t>
      </w:r>
    </w:p>
    <w:p w14:paraId="3978BFB3" w14:textId="77777777" w:rsidR="004C12CB" w:rsidRPr="00215867" w:rsidRDefault="004C12CB" w:rsidP="004C12CB">
      <w:pPr>
        <w:pStyle w:val="Paragraphedeliste"/>
        <w:numPr>
          <w:ilvl w:val="0"/>
          <w:numId w:val="248"/>
        </w:numPr>
        <w:spacing w:before="120" w:after="0" w:line="240" w:lineRule="auto"/>
        <w:ind w:left="567" w:hanging="567"/>
        <w:contextualSpacing w:val="0"/>
        <w:rPr>
          <w:rFonts w:ascii="Times New Roman" w:hAnsi="Times New Roman"/>
          <w:b/>
          <w:sz w:val="24"/>
          <w:szCs w:val="24"/>
        </w:rPr>
      </w:pPr>
      <w:r w:rsidRPr="00215867">
        <w:rPr>
          <w:rFonts w:ascii="Times New Roman" w:hAnsi="Times New Roman"/>
          <w:b/>
          <w:sz w:val="24"/>
          <w:szCs w:val="24"/>
        </w:rPr>
        <w:t xml:space="preserve">PROFIL DU CONSULTANT </w:t>
      </w:r>
    </w:p>
    <w:p w14:paraId="685EF736" w14:textId="77777777" w:rsidR="004C12CB" w:rsidRPr="00215867" w:rsidRDefault="004C0F64" w:rsidP="004C12CB">
      <w:pPr>
        <w:widowControl w:val="0"/>
        <w:spacing w:line="120" w:lineRule="auto"/>
        <w:ind w:left="567" w:right="-6"/>
        <w:jc w:val="both"/>
        <w:rPr>
          <w:rFonts w:ascii="Times New Roman" w:hAnsi="Times New Roman"/>
          <w:sz w:val="24"/>
          <w:szCs w:val="24"/>
        </w:rPr>
      </w:pPr>
      <w:r>
        <w:rPr>
          <w:rFonts w:ascii="Times New Roman" w:hAnsi="Times New Roman"/>
          <w:sz w:val="24"/>
          <w:szCs w:val="24"/>
        </w:rPr>
        <w:pict w14:anchorId="53F1C28D">
          <v:rect id="_x0000_i1032" style="width:443.65pt;height:1.5pt" o:hralign="center" o:hrstd="t" o:hr="t" fillcolor="#a0a0a0" stroked="f"/>
        </w:pict>
      </w:r>
    </w:p>
    <w:p w14:paraId="1E3ED3DF" w14:textId="77777777" w:rsidR="004C12CB" w:rsidRPr="00215867" w:rsidRDefault="004C12CB" w:rsidP="004C12CB">
      <w:pPr>
        <w:widowControl w:val="0"/>
        <w:spacing w:before="120" w:after="120"/>
        <w:ind w:left="567" w:right="-6"/>
        <w:jc w:val="both"/>
        <w:rPr>
          <w:rFonts w:ascii="Times New Roman" w:hAnsi="Times New Roman"/>
          <w:sz w:val="24"/>
          <w:szCs w:val="24"/>
          <w:lang w:val="fr-CD"/>
        </w:rPr>
      </w:pPr>
      <w:r w:rsidRPr="00215867">
        <w:rPr>
          <w:rFonts w:ascii="Times New Roman" w:hAnsi="Times New Roman"/>
          <w:sz w:val="24"/>
          <w:szCs w:val="24"/>
          <w:lang w:val="fr-CD"/>
        </w:rPr>
        <w:t>Le consultant individuel national ou international à recruter pour la réalisation des prestations définies par les présents termes de référence devra être un expert en évaluation environnementale et sociale répondant au profil suivant :</w:t>
      </w:r>
    </w:p>
    <w:p w14:paraId="6B52D226" w14:textId="77777777" w:rsidR="004C12CB" w:rsidRPr="00215867" w:rsidRDefault="004C12CB" w:rsidP="004C12CB">
      <w:pPr>
        <w:numPr>
          <w:ilvl w:val="0"/>
          <w:numId w:val="250"/>
        </w:numPr>
        <w:tabs>
          <w:tab w:val="left" w:pos="993"/>
        </w:tabs>
        <w:spacing w:after="0" w:line="240"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être titulaire d’un diplôme de niveau universitaire (Bac + 5 ou équivalent) en environnement, ingénierie, sociologie ou équivalent, avec une spécialisation en évaluation environnementale et sociale</w:t>
      </w:r>
    </w:p>
    <w:p w14:paraId="6354E839"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avoir au moins 10 ans d’expériences dans la préparation des instruments de gestion environnementale et sociale (CGES, EIES, PGES, CPR, PAR,  …) dans le secteur d’électricité</w:t>
      </w:r>
    </w:p>
    <w:p w14:paraId="4B5DCC9D"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 xml:space="preserve">avoir au moins  une expérience similaire à celle du projet d’électrification en milieu urbain et périurbain </w:t>
      </w:r>
    </w:p>
    <w:p w14:paraId="687F912D"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avoir une bonne connaissance du nouveau cadre environnemental et social (CES) de la Banque mondiale, des directives environnementales générale, sécuritaires et sanitaire, des normes internationales et de la réglementation, des procédures nationales et de la législation congolaise en matière d’environnement</w:t>
      </w:r>
    </w:p>
    <w:p w14:paraId="00F16C01"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avoir participé à au moins une mission d’évaluation environnementale et sociale de projets en Afrique subsaharienne durant les cinq dernières années </w:t>
      </w:r>
    </w:p>
    <w:p w14:paraId="48C9111E"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avoir une expérience en organisation des consultations publiques, incluant les mécanismes de gestion des plaintes.</w:t>
      </w:r>
    </w:p>
    <w:p w14:paraId="64A292ED" w14:textId="77777777" w:rsidR="004C12CB" w:rsidRPr="00215867" w:rsidRDefault="004C12CB" w:rsidP="004C12CB">
      <w:pPr>
        <w:numPr>
          <w:ilvl w:val="0"/>
          <w:numId w:val="250"/>
        </w:numPr>
        <w:tabs>
          <w:tab w:val="left" w:pos="993"/>
        </w:tabs>
        <w:spacing w:after="0" w:line="276" w:lineRule="auto"/>
        <w:ind w:left="993" w:right="6" w:hanging="426"/>
        <w:jc w:val="both"/>
        <w:rPr>
          <w:rFonts w:ascii="Times New Roman" w:hAnsi="Times New Roman"/>
          <w:sz w:val="24"/>
          <w:szCs w:val="24"/>
          <w:lang w:val="fr-CD"/>
        </w:rPr>
      </w:pPr>
      <w:r w:rsidRPr="00215867">
        <w:rPr>
          <w:rFonts w:ascii="Times New Roman" w:hAnsi="Times New Roman"/>
          <w:sz w:val="24"/>
          <w:szCs w:val="24"/>
          <w:lang w:val="fr-CD"/>
        </w:rPr>
        <w:t>avoir une bonne maitrise de la langue française à l’oral comme à l’écrit.</w:t>
      </w:r>
    </w:p>
    <w:p w14:paraId="4BEB6A09" w14:textId="77777777" w:rsidR="004C12CB" w:rsidRPr="00215867" w:rsidRDefault="004C12CB" w:rsidP="004C12CB">
      <w:pPr>
        <w:spacing w:before="120" w:after="120"/>
        <w:ind w:left="567" w:right="6"/>
        <w:jc w:val="both"/>
        <w:rPr>
          <w:rFonts w:ascii="Times New Roman" w:hAnsi="Times New Roman"/>
          <w:sz w:val="24"/>
          <w:szCs w:val="24"/>
          <w:lang w:val="fr-CD"/>
        </w:rPr>
      </w:pPr>
      <w:r w:rsidRPr="00215867">
        <w:rPr>
          <w:rFonts w:ascii="Times New Roman" w:hAnsi="Times New Roman"/>
          <w:sz w:val="24"/>
          <w:szCs w:val="24"/>
          <w:lang w:val="fr-CD"/>
        </w:rPr>
        <w:t>Le (la) consultant (e) devra prévoir notamment d’être appuyé(e) par un(e) Expert en VBG avec au moins 3 ans d'expérience dans les programmes de lutte contre les VBG, l'analyse de genre et avec des connaissances avérées dans la prévention, la réponse et l'atténuation des risques de VBG, y compris EAS / HS.</w:t>
      </w:r>
    </w:p>
    <w:p w14:paraId="214FB03E" w14:textId="77777777" w:rsidR="004C12CB" w:rsidRPr="00215867" w:rsidRDefault="004C12CB" w:rsidP="004C12CB">
      <w:pPr>
        <w:widowControl w:val="0"/>
        <w:spacing w:before="120" w:after="120"/>
        <w:ind w:left="567" w:right="-6"/>
        <w:jc w:val="both"/>
        <w:rPr>
          <w:rFonts w:ascii="Times New Roman" w:hAnsi="Times New Roman"/>
          <w:sz w:val="24"/>
          <w:szCs w:val="24"/>
          <w:lang w:val="fr-CD"/>
        </w:rPr>
      </w:pPr>
      <w:r w:rsidRPr="00215867">
        <w:rPr>
          <w:rFonts w:ascii="Times New Roman" w:hAnsi="Times New Roman"/>
          <w:sz w:val="24"/>
          <w:szCs w:val="24"/>
          <w:lang w:val="fr-CD"/>
        </w:rPr>
        <w:t>Le consultant pourra recourir, à ses frais, à tout autre personnel d’appui (personnel local, enquêteurs, etc.) qu’il jugera nécessaire pour l’accomplissement de sa mission.</w:t>
      </w:r>
    </w:p>
    <w:p w14:paraId="0928ED41" w14:textId="77777777" w:rsidR="004C12CB" w:rsidRPr="00215867" w:rsidRDefault="004C12CB" w:rsidP="004C12CB">
      <w:pPr>
        <w:pStyle w:val="Paragraphedeliste"/>
        <w:numPr>
          <w:ilvl w:val="0"/>
          <w:numId w:val="248"/>
        </w:numPr>
        <w:spacing w:after="0" w:line="240" w:lineRule="auto"/>
        <w:ind w:left="567" w:hanging="567"/>
        <w:contextualSpacing w:val="0"/>
        <w:rPr>
          <w:rFonts w:ascii="Times New Roman" w:hAnsi="Times New Roman"/>
          <w:b/>
          <w:sz w:val="24"/>
          <w:szCs w:val="24"/>
        </w:rPr>
      </w:pPr>
      <w:r w:rsidRPr="00215867">
        <w:rPr>
          <w:rFonts w:ascii="Times New Roman" w:hAnsi="Times New Roman"/>
          <w:b/>
          <w:sz w:val="24"/>
          <w:szCs w:val="24"/>
        </w:rPr>
        <w:t>OBLIGATION DU CONSULTANT</w:t>
      </w:r>
    </w:p>
    <w:p w14:paraId="022288F8" w14:textId="77777777" w:rsidR="004C12CB" w:rsidRPr="00215867" w:rsidRDefault="004C0F64" w:rsidP="004C12CB">
      <w:pPr>
        <w:spacing w:line="120" w:lineRule="auto"/>
        <w:ind w:left="567"/>
        <w:jc w:val="both"/>
        <w:rPr>
          <w:rFonts w:ascii="Times New Roman" w:hAnsi="Times New Roman"/>
          <w:sz w:val="24"/>
          <w:szCs w:val="24"/>
        </w:rPr>
      </w:pPr>
      <w:r>
        <w:rPr>
          <w:rFonts w:ascii="Times New Roman" w:hAnsi="Times New Roman"/>
          <w:sz w:val="24"/>
          <w:szCs w:val="24"/>
        </w:rPr>
        <w:pict w14:anchorId="7CC16BB1">
          <v:rect id="_x0000_i1033" style="width:443.65pt;height:1.5pt" o:hralign="center" o:hrstd="t" o:hr="t" fillcolor="#a0a0a0" stroked="f"/>
        </w:pict>
      </w:r>
    </w:p>
    <w:p w14:paraId="01ED47F9" w14:textId="77777777" w:rsidR="004C12CB" w:rsidRPr="00215867" w:rsidRDefault="004C12CB" w:rsidP="004C12CB">
      <w:pPr>
        <w:widowControl w:val="0"/>
        <w:spacing w:before="120" w:after="120"/>
        <w:ind w:left="567" w:right="-6"/>
        <w:rPr>
          <w:rFonts w:ascii="Times New Roman" w:hAnsi="Times New Roman"/>
          <w:sz w:val="24"/>
          <w:szCs w:val="24"/>
          <w:lang w:val="fr-CD"/>
        </w:rPr>
      </w:pPr>
      <w:r w:rsidRPr="00215867">
        <w:rPr>
          <w:rFonts w:ascii="Times New Roman" w:hAnsi="Times New Roman"/>
          <w:sz w:val="24"/>
          <w:szCs w:val="24"/>
          <w:lang w:val="fr-CD"/>
        </w:rPr>
        <w:t xml:space="preserve">Le </w:t>
      </w:r>
      <w:r w:rsidRPr="00215867">
        <w:rPr>
          <w:rFonts w:ascii="Times New Roman" w:hAnsi="Times New Roman"/>
          <w:bCs/>
          <w:sz w:val="24"/>
          <w:szCs w:val="24"/>
          <w:lang w:val="fr-CD"/>
        </w:rPr>
        <w:t>Consultant</w:t>
      </w:r>
      <w:r w:rsidRPr="00215867">
        <w:rPr>
          <w:rFonts w:ascii="Times New Roman" w:hAnsi="Times New Roman"/>
          <w:sz w:val="24"/>
          <w:szCs w:val="24"/>
          <w:lang w:val="fr-CD"/>
        </w:rPr>
        <w:t xml:space="preserve"> est responsable de : </w:t>
      </w:r>
    </w:p>
    <w:p w14:paraId="06EEBF94" w14:textId="77777777" w:rsidR="004C12CB" w:rsidRPr="00215867" w:rsidRDefault="004C12CB" w:rsidP="004C12CB">
      <w:pPr>
        <w:pStyle w:val="Paragraphedeliste"/>
        <w:widowControl w:val="0"/>
        <w:numPr>
          <w:ilvl w:val="0"/>
          <w:numId w:val="249"/>
        </w:numPr>
        <w:tabs>
          <w:tab w:val="left" w:pos="993"/>
        </w:tabs>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la description de la méthodologie utilisée pour réalisation de cette évaluation environnementale et sociale;</w:t>
      </w:r>
    </w:p>
    <w:p w14:paraId="10384A02" w14:textId="77777777" w:rsidR="004C12CB" w:rsidRPr="00215867" w:rsidRDefault="004C12CB" w:rsidP="004C12CB">
      <w:pPr>
        <w:pStyle w:val="Paragraphedeliste"/>
        <w:widowControl w:val="0"/>
        <w:numPr>
          <w:ilvl w:val="0"/>
          <w:numId w:val="249"/>
        </w:numPr>
        <w:tabs>
          <w:tab w:val="left" w:pos="993"/>
        </w:tabs>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 xml:space="preserve">la conception et de la conduite de l’étude conformément au CES de la Banque mondiale, y compris le recueil de toute information pertinente auprès de personnes ou structures ressources qu’il identifiera ; </w:t>
      </w:r>
    </w:p>
    <w:p w14:paraId="5A7BF840" w14:textId="77777777" w:rsidR="004C12CB" w:rsidRPr="00215867" w:rsidRDefault="004C12CB" w:rsidP="004C12CB">
      <w:pPr>
        <w:pStyle w:val="Paragraphedeliste"/>
        <w:widowControl w:val="0"/>
        <w:numPr>
          <w:ilvl w:val="0"/>
          <w:numId w:val="249"/>
        </w:numPr>
        <w:tabs>
          <w:tab w:val="left" w:pos="993"/>
        </w:tabs>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 xml:space="preserve">la fourniture des livrables dans les délais requis, en vue de leur revue et approbation ; </w:t>
      </w:r>
    </w:p>
    <w:p w14:paraId="60EF8882" w14:textId="77777777" w:rsidR="004C12CB" w:rsidRPr="00215867" w:rsidRDefault="004C12CB" w:rsidP="004C12CB">
      <w:pPr>
        <w:pStyle w:val="Paragraphedeliste"/>
        <w:widowControl w:val="0"/>
        <w:numPr>
          <w:ilvl w:val="0"/>
          <w:numId w:val="249"/>
        </w:numPr>
        <w:tabs>
          <w:tab w:val="left" w:pos="993"/>
        </w:tabs>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l’organisation et de la tenue des ateliers de validation de l’étude auprès des parties prenantes du projet dans la ville de Kinshasa.</w:t>
      </w:r>
    </w:p>
    <w:p w14:paraId="6054C202" w14:textId="77777777" w:rsidR="004C12CB" w:rsidRPr="00215867" w:rsidRDefault="004C12CB" w:rsidP="004C12CB">
      <w:pPr>
        <w:widowControl w:val="0"/>
        <w:spacing w:before="120" w:after="120"/>
        <w:ind w:left="567" w:right="-6"/>
        <w:jc w:val="both"/>
        <w:rPr>
          <w:rFonts w:ascii="Times New Roman" w:hAnsi="Times New Roman"/>
          <w:sz w:val="24"/>
          <w:szCs w:val="24"/>
          <w:lang w:val="fr-CD"/>
        </w:rPr>
      </w:pPr>
      <w:r w:rsidRPr="00215867">
        <w:rPr>
          <w:rFonts w:ascii="Times New Roman" w:hAnsi="Times New Roman"/>
          <w:sz w:val="24"/>
          <w:szCs w:val="24"/>
          <w:lang w:val="fr-CD"/>
        </w:rPr>
        <w:t>Durant toute la mission, le consultant, aura un devoir de réserve et de confidentialité dans le respect des règles et des procédures en vigueur au niveau national et à la Banque mondiale.</w:t>
      </w:r>
    </w:p>
    <w:p w14:paraId="2EA3BE50" w14:textId="77777777" w:rsidR="004C12CB" w:rsidRPr="00215867" w:rsidRDefault="004C12CB" w:rsidP="004C12CB">
      <w:pPr>
        <w:pStyle w:val="Paragraphedeliste"/>
        <w:numPr>
          <w:ilvl w:val="0"/>
          <w:numId w:val="248"/>
        </w:numPr>
        <w:spacing w:before="120" w:after="0" w:line="240" w:lineRule="auto"/>
        <w:ind w:left="567" w:hanging="567"/>
        <w:contextualSpacing w:val="0"/>
        <w:rPr>
          <w:rFonts w:ascii="Times New Roman" w:hAnsi="Times New Roman"/>
          <w:b/>
          <w:sz w:val="24"/>
          <w:szCs w:val="24"/>
        </w:rPr>
      </w:pPr>
      <w:bookmarkStart w:id="1192" w:name="_Hlk525732804"/>
      <w:r w:rsidRPr="00215867">
        <w:rPr>
          <w:rFonts w:ascii="Times New Roman" w:hAnsi="Times New Roman"/>
          <w:b/>
          <w:sz w:val="24"/>
          <w:szCs w:val="24"/>
        </w:rPr>
        <w:t xml:space="preserve">INTERFACE </w:t>
      </w:r>
    </w:p>
    <w:bookmarkEnd w:id="1192"/>
    <w:p w14:paraId="5AC8D901" w14:textId="77777777" w:rsidR="004C12CB" w:rsidRPr="00215867" w:rsidRDefault="004C0F64" w:rsidP="004C12CB">
      <w:pPr>
        <w:widowControl w:val="0"/>
        <w:tabs>
          <w:tab w:val="left" w:pos="426"/>
        </w:tabs>
        <w:spacing w:line="120" w:lineRule="auto"/>
        <w:ind w:left="567" w:firstLine="11"/>
        <w:jc w:val="center"/>
        <w:rPr>
          <w:rFonts w:ascii="Times New Roman" w:hAnsi="Times New Roman"/>
          <w:sz w:val="24"/>
          <w:szCs w:val="24"/>
        </w:rPr>
      </w:pPr>
      <w:r>
        <w:rPr>
          <w:rFonts w:ascii="Times New Roman" w:hAnsi="Times New Roman"/>
          <w:sz w:val="24"/>
          <w:szCs w:val="24"/>
        </w:rPr>
        <w:pict w14:anchorId="234D68A7">
          <v:rect id="_x0000_i1034" style="width:443.65pt;height:1.5pt" o:hralign="center" o:hrstd="t" o:hr="t" fillcolor="#a0a0a0" stroked="f"/>
        </w:pict>
      </w:r>
    </w:p>
    <w:p w14:paraId="6639E250" w14:textId="77777777" w:rsidR="004C12CB" w:rsidRPr="00215867" w:rsidRDefault="004C12CB" w:rsidP="004C12CB">
      <w:pPr>
        <w:widowControl w:val="0"/>
        <w:spacing w:before="120" w:after="120"/>
        <w:ind w:left="567" w:right="-6"/>
        <w:jc w:val="both"/>
        <w:rPr>
          <w:rFonts w:ascii="Times New Roman" w:hAnsi="Times New Roman"/>
          <w:bCs/>
          <w:sz w:val="24"/>
          <w:szCs w:val="24"/>
          <w:lang w:val="fr-CD"/>
        </w:rPr>
      </w:pPr>
      <w:r w:rsidRPr="00215867">
        <w:rPr>
          <w:rFonts w:ascii="Times New Roman" w:hAnsi="Times New Roman"/>
          <w:bCs/>
          <w:sz w:val="24"/>
          <w:szCs w:val="24"/>
          <w:lang w:val="fr-CD"/>
        </w:rPr>
        <w:t xml:space="preserve">Le/la consultant (e) travaillera en étroite collaboration avec UCM qui mettra à sa disposition les documents </w:t>
      </w:r>
      <w:r w:rsidRPr="00215867">
        <w:rPr>
          <w:rFonts w:ascii="Times New Roman" w:hAnsi="Times New Roman"/>
          <w:sz w:val="24"/>
          <w:szCs w:val="24"/>
          <w:lang w:val="fr-CD"/>
        </w:rPr>
        <w:t>utiles</w:t>
      </w:r>
      <w:r w:rsidRPr="00215867">
        <w:rPr>
          <w:rFonts w:ascii="Times New Roman" w:hAnsi="Times New Roman"/>
          <w:bCs/>
          <w:sz w:val="24"/>
          <w:szCs w:val="24"/>
          <w:lang w:val="fr-CD"/>
        </w:rPr>
        <w:t xml:space="preserve"> et disponibles, notamment l’EIES et le PAR élaborés en 2019 pour lesdits travaux et lui apportera son concours pour les contacts nécessaires auprès des divers acteurs concernés par le projet. Il collaborera  aussi avec la Société Nationale d’Electricité, gestionnaire es réseaux électriques objet des travaux. </w:t>
      </w:r>
    </w:p>
    <w:p w14:paraId="55AC06EE" w14:textId="77777777" w:rsidR="004C12CB" w:rsidRPr="00215867" w:rsidRDefault="004C12CB" w:rsidP="004C12CB">
      <w:pPr>
        <w:pStyle w:val="Paragraphedeliste"/>
        <w:numPr>
          <w:ilvl w:val="0"/>
          <w:numId w:val="248"/>
        </w:numPr>
        <w:spacing w:before="120" w:after="0" w:line="240" w:lineRule="auto"/>
        <w:ind w:left="567" w:hanging="567"/>
        <w:contextualSpacing w:val="0"/>
        <w:rPr>
          <w:rFonts w:ascii="Times New Roman" w:hAnsi="Times New Roman"/>
          <w:b/>
          <w:sz w:val="24"/>
          <w:szCs w:val="24"/>
        </w:rPr>
      </w:pPr>
      <w:bookmarkStart w:id="1193" w:name="_Hlk525732878"/>
      <w:r w:rsidRPr="00215867">
        <w:rPr>
          <w:rFonts w:ascii="Times New Roman" w:hAnsi="Times New Roman"/>
          <w:b/>
          <w:sz w:val="24"/>
          <w:szCs w:val="24"/>
        </w:rPr>
        <w:t>LOGISTIQUE DU CONSULTANT</w:t>
      </w:r>
    </w:p>
    <w:bookmarkEnd w:id="1193"/>
    <w:p w14:paraId="4392B991" w14:textId="77777777" w:rsidR="004C12CB" w:rsidRPr="00215867" w:rsidRDefault="004C0F64" w:rsidP="004C12CB">
      <w:pPr>
        <w:widowControl w:val="0"/>
        <w:tabs>
          <w:tab w:val="left" w:pos="426"/>
        </w:tabs>
        <w:spacing w:line="120" w:lineRule="auto"/>
        <w:ind w:left="567"/>
        <w:jc w:val="center"/>
        <w:rPr>
          <w:rFonts w:ascii="Times New Roman" w:hAnsi="Times New Roman"/>
          <w:sz w:val="24"/>
          <w:szCs w:val="24"/>
        </w:rPr>
      </w:pPr>
      <w:r>
        <w:rPr>
          <w:rFonts w:ascii="Times New Roman" w:hAnsi="Times New Roman"/>
          <w:sz w:val="24"/>
          <w:szCs w:val="24"/>
        </w:rPr>
        <w:pict w14:anchorId="6BB4922D">
          <v:rect id="_x0000_i1035" style="width:443.65pt;height:1.5pt" o:hralign="center" o:hrstd="t" o:hr="t" fillcolor="#a0a0a0" stroked="f"/>
        </w:pict>
      </w:r>
    </w:p>
    <w:p w14:paraId="6EE5D919" w14:textId="77777777" w:rsidR="004C12CB" w:rsidRPr="00215867" w:rsidRDefault="004C12CB" w:rsidP="004C12CB">
      <w:pPr>
        <w:widowControl w:val="0"/>
        <w:spacing w:before="120" w:after="120"/>
        <w:ind w:left="567" w:right="-6"/>
        <w:rPr>
          <w:rFonts w:ascii="Times New Roman" w:hAnsi="Times New Roman"/>
          <w:sz w:val="24"/>
          <w:szCs w:val="24"/>
          <w:lang w:val="fr-CD" w:eastAsia="de-DE"/>
        </w:rPr>
      </w:pPr>
      <w:r w:rsidRPr="00215867">
        <w:rPr>
          <w:rFonts w:ascii="Times New Roman" w:hAnsi="Times New Roman"/>
          <w:bCs/>
          <w:sz w:val="24"/>
          <w:szCs w:val="24"/>
          <w:lang w:val="fr-CD"/>
        </w:rPr>
        <w:t xml:space="preserve">Le consultant </w:t>
      </w:r>
      <w:r w:rsidRPr="00215867">
        <w:rPr>
          <w:rFonts w:ascii="Times New Roman" w:hAnsi="Times New Roman"/>
          <w:sz w:val="24"/>
          <w:szCs w:val="24"/>
          <w:lang w:val="fr-CD" w:eastAsia="de-DE"/>
        </w:rPr>
        <w:t xml:space="preserve">prendra en charge tous les moyens </w:t>
      </w:r>
      <w:r w:rsidRPr="00215867">
        <w:rPr>
          <w:rFonts w:ascii="Times New Roman" w:hAnsi="Times New Roman"/>
          <w:bCs/>
          <w:sz w:val="24"/>
          <w:szCs w:val="24"/>
          <w:lang w:val="fr-CD"/>
        </w:rPr>
        <w:t>nécessaires</w:t>
      </w:r>
      <w:r w:rsidRPr="00215867">
        <w:rPr>
          <w:rFonts w:ascii="Times New Roman" w:hAnsi="Times New Roman"/>
          <w:sz w:val="24"/>
          <w:szCs w:val="24"/>
          <w:lang w:val="fr-CD" w:eastAsia="de-DE"/>
        </w:rPr>
        <w:t xml:space="preserve"> à la bonne exécution de ses tâches, notamment :</w:t>
      </w:r>
    </w:p>
    <w:p w14:paraId="02C683BB" w14:textId="77777777" w:rsidR="004C12CB" w:rsidRPr="00215867" w:rsidRDefault="004C12CB" w:rsidP="004C12CB">
      <w:pPr>
        <w:pStyle w:val="Paragraphedeliste"/>
        <w:widowControl w:val="0"/>
        <w:numPr>
          <w:ilvl w:val="0"/>
          <w:numId w:val="249"/>
        </w:numPr>
        <w:suppressAutoHyphens/>
        <w:spacing w:after="0" w:line="276" w:lineRule="auto"/>
        <w:ind w:left="993" w:hanging="426"/>
        <w:jc w:val="both"/>
        <w:rPr>
          <w:rFonts w:ascii="Times New Roman" w:hAnsi="Times New Roman"/>
          <w:sz w:val="24"/>
          <w:szCs w:val="24"/>
          <w:lang w:eastAsia="de-DE"/>
        </w:rPr>
      </w:pPr>
      <w:r w:rsidRPr="00215867">
        <w:rPr>
          <w:rFonts w:ascii="Times New Roman" w:hAnsi="Times New Roman"/>
          <w:sz w:val="24"/>
          <w:szCs w:val="24"/>
          <w:lang w:eastAsia="de-DE"/>
        </w:rPr>
        <w:t>les bureaux et équipements requis</w:t>
      </w:r>
    </w:p>
    <w:p w14:paraId="14B842ED" w14:textId="77777777" w:rsidR="004C12CB" w:rsidRPr="00215867" w:rsidRDefault="004C12CB" w:rsidP="004C12CB">
      <w:pPr>
        <w:pStyle w:val="Paragraphedeliste"/>
        <w:widowControl w:val="0"/>
        <w:numPr>
          <w:ilvl w:val="0"/>
          <w:numId w:val="249"/>
        </w:numPr>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les moyens de transport pour son déplacement sur le terrain</w:t>
      </w:r>
    </w:p>
    <w:p w14:paraId="7BEC3518" w14:textId="77777777" w:rsidR="004C12CB" w:rsidRPr="00215867" w:rsidRDefault="004C12CB" w:rsidP="004C12CB">
      <w:pPr>
        <w:pStyle w:val="Paragraphedeliste"/>
        <w:widowControl w:val="0"/>
        <w:numPr>
          <w:ilvl w:val="0"/>
          <w:numId w:val="249"/>
        </w:numPr>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 xml:space="preserve">les équipements, matériels informatiques et scientifiques permettant le bon déroulement de la mission  </w:t>
      </w:r>
    </w:p>
    <w:p w14:paraId="2FBDD700" w14:textId="77777777" w:rsidR="004C12CB" w:rsidRPr="00215867" w:rsidRDefault="004C12CB" w:rsidP="004C12CB">
      <w:pPr>
        <w:pStyle w:val="Paragraphedeliste"/>
        <w:widowControl w:val="0"/>
        <w:numPr>
          <w:ilvl w:val="0"/>
          <w:numId w:val="249"/>
        </w:numPr>
        <w:suppressAutoHyphens/>
        <w:spacing w:after="0" w:line="276" w:lineRule="auto"/>
        <w:ind w:left="993" w:hanging="426"/>
        <w:jc w:val="both"/>
        <w:rPr>
          <w:rFonts w:ascii="Times New Roman" w:hAnsi="Times New Roman"/>
          <w:sz w:val="24"/>
          <w:szCs w:val="24"/>
          <w:lang w:val="fr-CD" w:eastAsia="de-DE"/>
        </w:rPr>
      </w:pPr>
      <w:r w:rsidRPr="00215867">
        <w:rPr>
          <w:rFonts w:ascii="Times New Roman" w:hAnsi="Times New Roman"/>
          <w:sz w:val="24"/>
          <w:szCs w:val="24"/>
          <w:lang w:val="fr-CD" w:eastAsia="de-DE"/>
        </w:rPr>
        <w:t>les moyens de communication (téléphone, internet, etc.)</w:t>
      </w:r>
    </w:p>
    <w:p w14:paraId="20EDE974" w14:textId="77777777" w:rsidR="004C12CB" w:rsidRPr="00215867" w:rsidRDefault="004C12CB" w:rsidP="004C12CB">
      <w:pPr>
        <w:pStyle w:val="Paragraphedeliste"/>
        <w:widowControl w:val="0"/>
        <w:numPr>
          <w:ilvl w:val="0"/>
          <w:numId w:val="249"/>
        </w:numPr>
        <w:suppressAutoHyphens/>
        <w:spacing w:after="0" w:line="276" w:lineRule="auto"/>
        <w:ind w:left="993" w:hanging="426"/>
        <w:jc w:val="both"/>
        <w:rPr>
          <w:rFonts w:ascii="Times New Roman" w:hAnsi="Times New Roman"/>
          <w:sz w:val="24"/>
          <w:szCs w:val="24"/>
          <w:lang w:eastAsia="de-DE"/>
        </w:rPr>
      </w:pPr>
      <w:r w:rsidRPr="00215867">
        <w:rPr>
          <w:rFonts w:ascii="Times New Roman" w:hAnsi="Times New Roman"/>
          <w:sz w:val="24"/>
          <w:szCs w:val="24"/>
          <w:lang w:eastAsia="de-DE"/>
        </w:rPr>
        <w:t>tout autre équipement jugé utile</w:t>
      </w:r>
    </w:p>
    <w:p w14:paraId="6221C16F" w14:textId="77777777" w:rsidR="004C12CB" w:rsidRPr="00215867" w:rsidRDefault="004C12CB" w:rsidP="004C12CB">
      <w:pPr>
        <w:widowControl w:val="0"/>
        <w:spacing w:before="120" w:after="120"/>
        <w:ind w:left="567" w:right="-6"/>
        <w:rPr>
          <w:rFonts w:ascii="Times New Roman" w:hAnsi="Times New Roman"/>
          <w:sz w:val="24"/>
          <w:szCs w:val="24"/>
          <w:lang w:val="fr-CD"/>
        </w:rPr>
      </w:pPr>
      <w:r w:rsidRPr="00215867">
        <w:rPr>
          <w:rFonts w:ascii="Times New Roman" w:hAnsi="Times New Roman"/>
          <w:sz w:val="24"/>
          <w:szCs w:val="24"/>
          <w:lang w:val="fr-CD"/>
        </w:rPr>
        <w:t xml:space="preserve">Toute la logistique acquise par le </w:t>
      </w:r>
      <w:r w:rsidRPr="00215867">
        <w:rPr>
          <w:rFonts w:ascii="Times New Roman" w:hAnsi="Times New Roman"/>
          <w:sz w:val="24"/>
          <w:szCs w:val="24"/>
          <w:lang w:val="fr-CD" w:eastAsia="de-DE"/>
        </w:rPr>
        <w:t>Consultant</w:t>
      </w:r>
      <w:r w:rsidRPr="00215867">
        <w:rPr>
          <w:rFonts w:ascii="Times New Roman" w:hAnsi="Times New Roman"/>
          <w:sz w:val="24"/>
          <w:szCs w:val="24"/>
          <w:lang w:val="fr-CD"/>
        </w:rPr>
        <w:t xml:space="preserve">  sur les fonds du projet EASE sera remise sans frais à UCM à la fin de sa mission.</w:t>
      </w:r>
    </w:p>
    <w:p w14:paraId="4406A54D" w14:textId="77777777" w:rsidR="004C12CB" w:rsidRPr="00215867" w:rsidRDefault="004C12CB" w:rsidP="004C12CB">
      <w:pPr>
        <w:pStyle w:val="Paragraphedeliste"/>
        <w:numPr>
          <w:ilvl w:val="0"/>
          <w:numId w:val="248"/>
        </w:numPr>
        <w:spacing w:before="120" w:after="0" w:line="240" w:lineRule="auto"/>
        <w:ind w:left="567" w:hanging="567"/>
        <w:contextualSpacing w:val="0"/>
        <w:rPr>
          <w:rFonts w:ascii="Times New Roman" w:hAnsi="Times New Roman"/>
          <w:b/>
          <w:sz w:val="24"/>
          <w:szCs w:val="24"/>
          <w:lang w:val="fr-CD"/>
        </w:rPr>
      </w:pPr>
      <w:r w:rsidRPr="00215867">
        <w:rPr>
          <w:rFonts w:ascii="Times New Roman" w:hAnsi="Times New Roman"/>
          <w:b/>
          <w:sz w:val="24"/>
          <w:szCs w:val="24"/>
          <w:lang w:val="fr-CD"/>
        </w:rPr>
        <w:t>DOCUMENTATIONS ET SERVICES FOURNIS PAR LE CLIENT</w:t>
      </w:r>
    </w:p>
    <w:p w14:paraId="4E005CFA" w14:textId="77777777" w:rsidR="004C12CB" w:rsidRPr="00215867" w:rsidRDefault="004C0F64" w:rsidP="004C12CB">
      <w:pPr>
        <w:tabs>
          <w:tab w:val="left" w:pos="567"/>
          <w:tab w:val="right" w:leader="dot" w:pos="8640"/>
        </w:tabs>
        <w:jc w:val="both"/>
        <w:rPr>
          <w:rFonts w:ascii="Times New Roman" w:hAnsi="Times New Roman"/>
          <w:b/>
          <w:sz w:val="24"/>
          <w:szCs w:val="24"/>
        </w:rPr>
      </w:pPr>
      <w:r>
        <w:rPr>
          <w:rFonts w:ascii="Times New Roman" w:hAnsi="Times New Roman"/>
          <w:b/>
          <w:sz w:val="24"/>
          <w:szCs w:val="24"/>
        </w:rPr>
        <w:pict w14:anchorId="0958BB71">
          <v:rect id="_x0000_i1036" style="width:453.3pt;height:1pt" o:hralign="center" o:hrstd="t" o:hrnoshade="t" o:hr="t" fillcolor="#bfbfbf" stroked="f"/>
        </w:pict>
      </w:r>
    </w:p>
    <w:p w14:paraId="7EFBD322" w14:textId="77777777" w:rsidR="004C12CB" w:rsidRPr="00215867" w:rsidRDefault="004C12CB" w:rsidP="004C12CB">
      <w:pPr>
        <w:spacing w:after="120"/>
        <w:jc w:val="both"/>
        <w:rPr>
          <w:rFonts w:ascii="Times New Roman" w:hAnsi="Times New Roman"/>
          <w:sz w:val="24"/>
          <w:szCs w:val="24"/>
          <w:lang w:val="fr-CD"/>
        </w:rPr>
      </w:pPr>
      <w:r w:rsidRPr="00215867">
        <w:rPr>
          <w:rFonts w:ascii="Times New Roman" w:hAnsi="Times New Roman"/>
          <w:sz w:val="24"/>
          <w:szCs w:val="24"/>
          <w:lang w:val="fr-CD"/>
        </w:rPr>
        <w:t>Les documentations et services suivant seront  fournis par UCM sont :</w:t>
      </w:r>
    </w:p>
    <w:p w14:paraId="1DDFCA45"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l’Accord de financement du projet et le Document d’évaluation du projet</w:t>
      </w:r>
    </w:p>
    <w:p w14:paraId="2D5F89EA"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 Manuel d’exécution du Projet</w:t>
      </w:r>
    </w:p>
    <w:p w14:paraId="453AAF79"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l’EIES et le PAR pour les travaux d’implantation des 180 cabines et de leurs réseaux associés</w:t>
      </w:r>
    </w:p>
    <w:p w14:paraId="776A8A26"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l’EIES et le PAR pour les travaux d’implantation des 232 cabines et de leurs réseaux associés</w:t>
      </w:r>
    </w:p>
    <w:p w14:paraId="4D42C1CD"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 xml:space="preserve">les Dossiers d’appels d’offres en rapport avec  la mission du consultant </w:t>
      </w:r>
    </w:p>
    <w:p w14:paraId="1511A1D4" w14:textId="77777777" w:rsidR="004C12CB" w:rsidRPr="00215867" w:rsidRDefault="004C12CB" w:rsidP="004C12CB">
      <w:pPr>
        <w:numPr>
          <w:ilvl w:val="0"/>
          <w:numId w:val="285"/>
        </w:numPr>
        <w:tabs>
          <w:tab w:val="clear" w:pos="720"/>
          <w:tab w:val="num" w:pos="567"/>
        </w:tabs>
        <w:autoSpaceDE w:val="0"/>
        <w:autoSpaceDN w:val="0"/>
        <w:adjustRightInd w:val="0"/>
        <w:spacing w:after="0" w:line="240" w:lineRule="auto"/>
        <w:ind w:left="567" w:hanging="425"/>
        <w:jc w:val="both"/>
        <w:rPr>
          <w:rFonts w:ascii="Times New Roman" w:hAnsi="Times New Roman"/>
          <w:color w:val="000000"/>
          <w:sz w:val="24"/>
          <w:szCs w:val="24"/>
          <w:lang w:val="fr-CD"/>
        </w:rPr>
      </w:pPr>
      <w:r w:rsidRPr="00215867">
        <w:rPr>
          <w:rFonts w:ascii="Times New Roman" w:hAnsi="Times New Roman"/>
          <w:color w:val="000000"/>
          <w:sz w:val="24"/>
          <w:szCs w:val="24"/>
          <w:lang w:val="fr-CD"/>
        </w:rPr>
        <w:t>l’accès aux locaux d’UCM</w:t>
      </w:r>
    </w:p>
    <w:p w14:paraId="1B055501" w14:textId="2925A7C8" w:rsidR="00774C2D" w:rsidRPr="00215867" w:rsidRDefault="004C12CB" w:rsidP="00AE31F1">
      <w:pPr>
        <w:numPr>
          <w:ilvl w:val="0"/>
          <w:numId w:val="285"/>
        </w:numPr>
        <w:tabs>
          <w:tab w:val="clear" w:pos="720"/>
          <w:tab w:val="num" w:pos="567"/>
        </w:tabs>
        <w:autoSpaceDE w:val="0"/>
        <w:autoSpaceDN w:val="0"/>
        <w:adjustRightInd w:val="0"/>
        <w:spacing w:after="240" w:line="240" w:lineRule="auto"/>
        <w:ind w:left="567" w:hanging="425"/>
        <w:jc w:val="both"/>
        <w:rPr>
          <w:sz w:val="24"/>
          <w:szCs w:val="24"/>
          <w:lang w:val="fr-CD"/>
        </w:rPr>
      </w:pPr>
      <w:r w:rsidRPr="00215867">
        <w:rPr>
          <w:rFonts w:ascii="Times New Roman" w:hAnsi="Times New Roman"/>
          <w:color w:val="000000"/>
          <w:sz w:val="24"/>
          <w:szCs w:val="24"/>
          <w:lang w:val="fr-CD"/>
        </w:rPr>
        <w:t>les facilitations auprès des services de l’administration concernés par la réalisation du Projet.</w:t>
      </w:r>
    </w:p>
    <w:p w14:paraId="74068B78" w14:textId="3A21696A" w:rsidR="00EE758A" w:rsidRDefault="00EE758A">
      <w:pPr>
        <w:rPr>
          <w:rFonts w:ascii="Times New Roman" w:hAnsi="Times New Roman"/>
          <w:color w:val="000000"/>
          <w:lang w:val="fr-CD"/>
        </w:rPr>
      </w:pPr>
      <w:r>
        <w:rPr>
          <w:rFonts w:ascii="Times New Roman" w:hAnsi="Times New Roman"/>
          <w:color w:val="000000"/>
          <w:lang w:val="fr-CD"/>
        </w:rPr>
        <w:br w:type="page"/>
      </w:r>
    </w:p>
    <w:p w14:paraId="5B7C7A71" w14:textId="1EB12871" w:rsidR="003F350A" w:rsidRPr="00D72D88" w:rsidRDefault="003F350A" w:rsidP="00215867">
      <w:pPr>
        <w:pStyle w:val="Default"/>
        <w:spacing w:after="240"/>
        <w:jc w:val="both"/>
        <w:rPr>
          <w:b/>
        </w:rPr>
      </w:pPr>
      <w:bookmarkStart w:id="1194" w:name="_Toc93050618"/>
      <w:r w:rsidRPr="003F350A">
        <w:rPr>
          <w:b/>
          <w:color w:val="auto"/>
        </w:rPr>
        <w:t xml:space="preserve">Annexe </w:t>
      </w:r>
      <w:r w:rsidRPr="00F6533B">
        <w:rPr>
          <w:b/>
          <w:color w:val="auto"/>
        </w:rPr>
        <w:fldChar w:fldCharType="begin"/>
      </w:r>
      <w:r w:rsidRPr="00F6533B">
        <w:rPr>
          <w:b/>
          <w:color w:val="auto"/>
        </w:rPr>
        <w:instrText xml:space="preserve"> SEQ Annexe \* ARABIC </w:instrText>
      </w:r>
      <w:r w:rsidRPr="00F6533B">
        <w:rPr>
          <w:b/>
          <w:color w:val="auto"/>
        </w:rPr>
        <w:fldChar w:fldCharType="separate"/>
      </w:r>
      <w:r>
        <w:rPr>
          <w:b/>
          <w:noProof/>
          <w:color w:val="auto"/>
        </w:rPr>
        <w:t>7</w:t>
      </w:r>
      <w:r w:rsidRPr="00F6533B">
        <w:rPr>
          <w:b/>
          <w:noProof/>
          <w:color w:val="auto"/>
        </w:rPr>
        <w:fldChar w:fldCharType="end"/>
      </w:r>
      <w:r w:rsidRPr="00F6533B">
        <w:rPr>
          <w:b/>
          <w:color w:val="auto"/>
        </w:rPr>
        <w:t xml:space="preserve"> : </w:t>
      </w:r>
      <w:r w:rsidRPr="00D72D88">
        <w:rPr>
          <w:b/>
        </w:rPr>
        <w:t>Code de procédures applicable à l’intention des fournisseurs principaux</w:t>
      </w:r>
      <w:bookmarkEnd w:id="1194"/>
    </w:p>
    <w:p w14:paraId="517216FE" w14:textId="77777777" w:rsidR="003F350A" w:rsidRDefault="003F350A" w:rsidP="003F350A">
      <w:pPr>
        <w:jc w:val="both"/>
        <w:rPr>
          <w:rFonts w:ascii="Times New Roman" w:hAnsi="Times New Roman"/>
          <w:sz w:val="24"/>
        </w:rPr>
      </w:pPr>
      <w:r w:rsidRPr="000A6129">
        <w:rPr>
          <w:rFonts w:ascii="Times New Roman" w:hAnsi="Times New Roman"/>
          <w:sz w:val="24"/>
        </w:rPr>
        <w:t xml:space="preserve">Code de </w:t>
      </w:r>
      <w:r>
        <w:rPr>
          <w:rFonts w:ascii="Times New Roman" w:hAnsi="Times New Roman"/>
          <w:sz w:val="24"/>
        </w:rPr>
        <w:t xml:space="preserve">procédures </w:t>
      </w:r>
      <w:r w:rsidRPr="000A6129">
        <w:rPr>
          <w:rFonts w:ascii="Times New Roman" w:hAnsi="Times New Roman"/>
          <w:sz w:val="24"/>
        </w:rPr>
        <w:t xml:space="preserve">s’applique aux personnes, organisations et entreprises (les Fournisseurs) qui fournissent ou visent à fournir des produits et services, y compris, sans s’y restreindre : les matières premières, la fabrication en sous-traitance, excipients, les produits échangés, les emballages, la logistique (distribution et stockage), le matériel, les machines et fournitures, les impressions, les études de marché, les services associés aux voyages, les réunions et services événementiels, le matériel informatique, les logiciels et services de soutien informatique, les services professionnels (conseil et travail temporaire), les prestataires de services généraux et administratifs en flotte automobile , installations, services financiers et ressources humaines, les fournisseurs </w:t>
      </w:r>
      <w:r>
        <w:rPr>
          <w:rFonts w:ascii="Times New Roman" w:hAnsi="Times New Roman"/>
          <w:sz w:val="24"/>
        </w:rPr>
        <w:t>des matériaux de construction,</w:t>
      </w:r>
      <w:r w:rsidRPr="000A6129">
        <w:rPr>
          <w:rFonts w:ascii="Times New Roman" w:hAnsi="Times New Roman"/>
          <w:sz w:val="24"/>
        </w:rPr>
        <w:t xml:space="preserve"> y compris, sans s’y restreindre, </w:t>
      </w:r>
      <w:r>
        <w:rPr>
          <w:rFonts w:ascii="Times New Roman" w:hAnsi="Times New Roman"/>
          <w:sz w:val="24"/>
        </w:rPr>
        <w:t>agents d’appel d’offres et</w:t>
      </w:r>
      <w:r w:rsidRPr="000A6129">
        <w:rPr>
          <w:rFonts w:ascii="Times New Roman" w:hAnsi="Times New Roman"/>
          <w:sz w:val="24"/>
        </w:rPr>
        <w:t xml:space="preserve"> agents commerciaux </w:t>
      </w:r>
      <w:r>
        <w:rPr>
          <w:rFonts w:ascii="Times New Roman" w:hAnsi="Times New Roman"/>
          <w:sz w:val="24"/>
        </w:rPr>
        <w:t>de l’entrepreneur</w:t>
      </w:r>
      <w:r w:rsidRPr="000A6129">
        <w:rPr>
          <w:rFonts w:ascii="Times New Roman" w:hAnsi="Times New Roman"/>
          <w:sz w:val="24"/>
        </w:rPr>
        <w:t xml:space="preserve">. </w:t>
      </w:r>
    </w:p>
    <w:p w14:paraId="20E8F53A" w14:textId="77777777" w:rsidR="003F350A" w:rsidRPr="00590D64" w:rsidRDefault="003F350A" w:rsidP="003F350A">
      <w:pPr>
        <w:jc w:val="both"/>
        <w:rPr>
          <w:rFonts w:ascii="Times New Roman" w:hAnsi="Times New Roman"/>
          <w:b/>
          <w:i/>
          <w:sz w:val="24"/>
        </w:rPr>
      </w:pPr>
      <w:r w:rsidRPr="00590D64">
        <w:rPr>
          <w:rFonts w:ascii="Times New Roman" w:hAnsi="Times New Roman"/>
          <w:b/>
          <w:i/>
          <w:sz w:val="24"/>
        </w:rPr>
        <w:t xml:space="preserve">1. Adhésion aux lois applicables, à la règlementation et au Code des fournisseurs </w:t>
      </w:r>
    </w:p>
    <w:p w14:paraId="24147B94"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doivent respecter les lois, règles, réglementations et normes déontologiques industrielles et locales applicables à leurs opérations, ainsi qu’au Code de </w:t>
      </w:r>
      <w:r>
        <w:rPr>
          <w:rFonts w:ascii="Times New Roman" w:hAnsi="Times New Roman"/>
          <w:sz w:val="24"/>
        </w:rPr>
        <w:t>procédure</w:t>
      </w:r>
      <w:r w:rsidRPr="000A6129">
        <w:rPr>
          <w:rFonts w:ascii="Times New Roman" w:hAnsi="Times New Roman"/>
          <w:sz w:val="24"/>
        </w:rPr>
        <w:t xml:space="preserve"> des Fournisseurs. </w:t>
      </w:r>
    </w:p>
    <w:p w14:paraId="40D59782" w14:textId="77777777" w:rsidR="003F350A" w:rsidRPr="00590D64" w:rsidRDefault="003F350A" w:rsidP="003F350A">
      <w:pPr>
        <w:jc w:val="both"/>
        <w:rPr>
          <w:rFonts w:ascii="Times New Roman" w:hAnsi="Times New Roman"/>
          <w:b/>
          <w:i/>
          <w:sz w:val="24"/>
        </w:rPr>
      </w:pPr>
      <w:r w:rsidRPr="00590D64">
        <w:rPr>
          <w:rFonts w:ascii="Times New Roman" w:hAnsi="Times New Roman"/>
          <w:b/>
          <w:i/>
          <w:sz w:val="24"/>
        </w:rPr>
        <w:t xml:space="preserve">2. Pratiques commerciales </w:t>
      </w:r>
    </w:p>
    <w:p w14:paraId="5D223FA6"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s’engagent à mener leur activité de manière éthique et à agir avec intégrité. Notamment : </w:t>
      </w:r>
    </w:p>
    <w:p w14:paraId="05F0B2F4" w14:textId="77777777" w:rsidR="003F350A" w:rsidRDefault="003F350A" w:rsidP="003F350A">
      <w:pPr>
        <w:jc w:val="both"/>
        <w:rPr>
          <w:rFonts w:ascii="Times New Roman" w:hAnsi="Times New Roman"/>
          <w:sz w:val="24"/>
        </w:rPr>
      </w:pPr>
      <w:r>
        <w:rPr>
          <w:rFonts w:ascii="Times New Roman" w:hAnsi="Times New Roman"/>
          <w:sz w:val="24"/>
        </w:rPr>
        <w:t xml:space="preserve">(i) </w:t>
      </w:r>
      <w:r w:rsidRPr="000A6129">
        <w:rPr>
          <w:rFonts w:ascii="Times New Roman" w:hAnsi="Times New Roman"/>
          <w:sz w:val="24"/>
        </w:rPr>
        <w:t>Lutte contre la corruption, les rétro-commissions, les paiements illicites et autres actes de corruption</w:t>
      </w:r>
      <w:r>
        <w:rPr>
          <w:rFonts w:ascii="Times New Roman" w:hAnsi="Times New Roman"/>
          <w:sz w:val="24"/>
        </w:rPr>
        <w:t xml:space="preserve">. Ils </w:t>
      </w:r>
      <w:r w:rsidRPr="000A6129">
        <w:rPr>
          <w:rFonts w:ascii="Times New Roman" w:hAnsi="Times New Roman"/>
          <w:sz w:val="24"/>
        </w:rPr>
        <w:t xml:space="preserve">s’engagent à s’abstenir de payer des pots-de-vin ou de fournir toute chose de valeur, directement ou indirectement par l’intermédiaire d’un tiers, à un fonctionnaire, parti politique, ou personnes privées, afin d’obtenir un avantage indu, de gagner ou de retenir une activité, d’influencer irrégulièrement l’action ou la décision d’une telle personne ou organisation, ou d’influencer illégalement les actions d’une personne, d’un client, d’une entreprise ou d’un représentant d’entreprise. Les fournisseurs doivent tenir des registres précis et transparents qui reflètent les transactions et paiements réels. Les fournisseurs s’engagent à ne pas accepter de pots-de-vin ou participer à d’autres incitations illégales dans le cadre de relations commerciales ou avec le secteur public. </w:t>
      </w:r>
    </w:p>
    <w:p w14:paraId="7E0DE07A" w14:textId="77777777" w:rsidR="003F350A" w:rsidRDefault="003F350A" w:rsidP="003F350A">
      <w:pPr>
        <w:jc w:val="both"/>
        <w:rPr>
          <w:rFonts w:ascii="Times New Roman" w:hAnsi="Times New Roman"/>
          <w:sz w:val="24"/>
        </w:rPr>
      </w:pPr>
      <w:r>
        <w:rPr>
          <w:rFonts w:ascii="Times New Roman" w:hAnsi="Times New Roman"/>
          <w:sz w:val="24"/>
        </w:rPr>
        <w:t xml:space="preserve">(ii) </w:t>
      </w:r>
      <w:r w:rsidRPr="000A6129">
        <w:rPr>
          <w:rFonts w:ascii="Times New Roman" w:hAnsi="Times New Roman"/>
          <w:sz w:val="24"/>
        </w:rPr>
        <w:t xml:space="preserve">Concurrence loyale et antitrust </w:t>
      </w:r>
    </w:p>
    <w:p w14:paraId="75699E1B"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s’engagent à mener leur activité en cohérence avec une concurrence équitable et vigoureuse, conformément à l’ensemble des lois antitrust en vigueur. Les fournisseurs s’engagent à adopter des pratiques commerciales équitables, y compris une publicité équitable et fidèle à la réalité. </w:t>
      </w:r>
    </w:p>
    <w:p w14:paraId="6FE36053" w14:textId="77777777" w:rsidR="003F350A" w:rsidRDefault="003F350A" w:rsidP="003F350A">
      <w:pPr>
        <w:jc w:val="both"/>
        <w:rPr>
          <w:rFonts w:ascii="Times New Roman" w:hAnsi="Times New Roman"/>
          <w:sz w:val="24"/>
        </w:rPr>
      </w:pPr>
      <w:r>
        <w:rPr>
          <w:rFonts w:ascii="Times New Roman" w:hAnsi="Times New Roman"/>
          <w:sz w:val="24"/>
        </w:rPr>
        <w:t xml:space="preserve">(iii) </w:t>
      </w:r>
      <w:r w:rsidRPr="000A6129">
        <w:rPr>
          <w:rFonts w:ascii="Times New Roman" w:hAnsi="Times New Roman"/>
          <w:sz w:val="24"/>
        </w:rPr>
        <w:t xml:space="preserve">Conflits d’intérêts </w:t>
      </w:r>
    </w:p>
    <w:p w14:paraId="00F34D5D"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doivent divulguer </w:t>
      </w:r>
      <w:r>
        <w:rPr>
          <w:rFonts w:ascii="Times New Roman" w:hAnsi="Times New Roman"/>
          <w:sz w:val="24"/>
        </w:rPr>
        <w:t xml:space="preserve">au client </w:t>
      </w:r>
      <w:r w:rsidRPr="000A6129">
        <w:rPr>
          <w:rFonts w:ascii="Times New Roman" w:hAnsi="Times New Roman"/>
          <w:sz w:val="24"/>
        </w:rPr>
        <w:t>tous les conflits d’intérêts réels ou perçus. L</w:t>
      </w:r>
      <w:r>
        <w:rPr>
          <w:rFonts w:ascii="Times New Roman" w:hAnsi="Times New Roman"/>
          <w:sz w:val="24"/>
        </w:rPr>
        <w:t xml:space="preserve">e chargé de projet </w:t>
      </w:r>
      <w:r w:rsidRPr="000A6129">
        <w:rPr>
          <w:rFonts w:ascii="Times New Roman" w:hAnsi="Times New Roman"/>
          <w:sz w:val="24"/>
        </w:rPr>
        <w:t xml:space="preserve">examiner tout conflit d’intérêts réel ou apparent, et si un conflit d’intérêts est autorisé, cette décision devra figurer dans une documentation. Un conflit d’intérêts survient lorsque des intérêts personnels ou des activités influencent, ou semblent influencer, la capacité à agir au mieux et dans les intérêts objectifs de </w:t>
      </w:r>
      <w:r>
        <w:rPr>
          <w:rFonts w:ascii="Times New Roman" w:hAnsi="Times New Roman"/>
          <w:sz w:val="24"/>
        </w:rPr>
        <w:t>Client</w:t>
      </w:r>
      <w:r w:rsidRPr="000A6129">
        <w:rPr>
          <w:rFonts w:ascii="Times New Roman" w:hAnsi="Times New Roman"/>
          <w:sz w:val="24"/>
        </w:rPr>
        <w:t>. Les f</w:t>
      </w:r>
      <w:r>
        <w:rPr>
          <w:rFonts w:ascii="Times New Roman" w:hAnsi="Times New Roman"/>
          <w:sz w:val="24"/>
        </w:rPr>
        <w:t xml:space="preserve">ournisseurs doivent divulguer au client </w:t>
      </w:r>
      <w:r w:rsidRPr="000A6129">
        <w:rPr>
          <w:rFonts w:ascii="Times New Roman" w:hAnsi="Times New Roman"/>
          <w:sz w:val="24"/>
        </w:rPr>
        <w:t xml:space="preserve">le fait qu’un </w:t>
      </w:r>
      <w:r>
        <w:rPr>
          <w:rFonts w:ascii="Times New Roman" w:hAnsi="Times New Roman"/>
          <w:sz w:val="24"/>
        </w:rPr>
        <w:t xml:space="preserve">de ses </w:t>
      </w:r>
      <w:r w:rsidRPr="000A6129">
        <w:rPr>
          <w:rFonts w:ascii="Times New Roman" w:hAnsi="Times New Roman"/>
          <w:sz w:val="24"/>
        </w:rPr>
        <w:t>employé</w:t>
      </w:r>
      <w:r>
        <w:rPr>
          <w:rFonts w:ascii="Times New Roman" w:hAnsi="Times New Roman"/>
          <w:sz w:val="24"/>
        </w:rPr>
        <w:t>s</w:t>
      </w:r>
      <w:r w:rsidRPr="000A6129">
        <w:rPr>
          <w:rFonts w:ascii="Times New Roman" w:hAnsi="Times New Roman"/>
          <w:sz w:val="24"/>
        </w:rPr>
        <w:t xml:space="preserve"> ou un professionnel engagé par </w:t>
      </w:r>
      <w:r>
        <w:rPr>
          <w:rFonts w:ascii="Times New Roman" w:hAnsi="Times New Roman"/>
          <w:sz w:val="24"/>
        </w:rPr>
        <w:t>le client</w:t>
      </w:r>
      <w:r w:rsidRPr="000A6129">
        <w:rPr>
          <w:rFonts w:ascii="Times New Roman" w:hAnsi="Times New Roman"/>
          <w:sz w:val="24"/>
        </w:rPr>
        <w:t xml:space="preserve"> puisse avoir un intérêt de quelque sorte que ce soit dans l’activité du fournisseur, ou de quelconques liens économiques avec le fournisseur. </w:t>
      </w:r>
    </w:p>
    <w:p w14:paraId="10EB89FB" w14:textId="77777777" w:rsidR="003F350A" w:rsidRDefault="003F350A" w:rsidP="003F350A">
      <w:pPr>
        <w:jc w:val="both"/>
        <w:rPr>
          <w:rFonts w:ascii="Times New Roman" w:hAnsi="Times New Roman"/>
          <w:sz w:val="24"/>
        </w:rPr>
      </w:pPr>
      <w:r>
        <w:rPr>
          <w:rFonts w:ascii="Times New Roman" w:hAnsi="Times New Roman"/>
          <w:sz w:val="24"/>
        </w:rPr>
        <w:t xml:space="preserve">(iv) </w:t>
      </w:r>
      <w:r w:rsidRPr="000A6129">
        <w:rPr>
          <w:rFonts w:ascii="Times New Roman" w:hAnsi="Times New Roman"/>
          <w:sz w:val="24"/>
        </w:rPr>
        <w:t xml:space="preserve">Cadeaux et loisirs </w:t>
      </w:r>
    </w:p>
    <w:p w14:paraId="37192792"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cadeaux et loisirs ne sont pas nécessaires pour faire affaire avec Takeda. Nous choisirons nos fournisseurs en fonction de critères équitables et objectifs, sans faveur ou préférence basée sur une relation personnelle. Nous n’acceptons ni ne sollicitons aucun avantage illégal ou inapproprié (incluant argent, biens, accueil, cadeaux ou tout autre objet de valeur) de la part de fournisseurs ou autres personnes avec lesquels nous faisons affaire. </w:t>
      </w:r>
    </w:p>
    <w:p w14:paraId="5B0FD2A8" w14:textId="77777777" w:rsidR="003F350A" w:rsidRDefault="003F350A" w:rsidP="003F350A">
      <w:pPr>
        <w:jc w:val="both"/>
        <w:rPr>
          <w:rFonts w:ascii="Times New Roman" w:hAnsi="Times New Roman"/>
          <w:sz w:val="24"/>
        </w:rPr>
      </w:pPr>
      <w:r>
        <w:rPr>
          <w:rFonts w:ascii="Times New Roman" w:hAnsi="Times New Roman"/>
          <w:sz w:val="24"/>
        </w:rPr>
        <w:t xml:space="preserve">(v) </w:t>
      </w:r>
      <w:r w:rsidRPr="000A6129">
        <w:rPr>
          <w:rFonts w:ascii="Times New Roman" w:hAnsi="Times New Roman"/>
          <w:sz w:val="24"/>
        </w:rPr>
        <w:t xml:space="preserve">Identification des problèmes </w:t>
      </w:r>
    </w:p>
    <w:p w14:paraId="09116BA0" w14:textId="77777777" w:rsidR="003F350A" w:rsidRPr="000A6129" w:rsidRDefault="003F350A" w:rsidP="003F350A">
      <w:pPr>
        <w:jc w:val="both"/>
        <w:rPr>
          <w:rFonts w:ascii="Times New Roman" w:hAnsi="Times New Roman"/>
          <w:sz w:val="24"/>
        </w:rPr>
      </w:pPr>
      <w:r w:rsidRPr="000A6129">
        <w:rPr>
          <w:rFonts w:ascii="Times New Roman" w:hAnsi="Times New Roman"/>
          <w:sz w:val="24"/>
        </w:rPr>
        <w:t>Tous les travailleurs doivent être encouragés à signaler les problèmes ou les activités illicites sur le lieu de travail sans menace de représailles, intimidation ou harcèlement. Les fournisseurs doivent examiner et prendre des mesures correctives si nécessaire. Les fournisseurs et leur</w:t>
      </w:r>
      <w:r>
        <w:rPr>
          <w:rFonts w:ascii="Times New Roman" w:hAnsi="Times New Roman"/>
          <w:sz w:val="24"/>
        </w:rPr>
        <w:t>s</w:t>
      </w:r>
      <w:r w:rsidRPr="000A6129">
        <w:rPr>
          <w:rFonts w:ascii="Times New Roman" w:hAnsi="Times New Roman"/>
          <w:sz w:val="24"/>
        </w:rPr>
        <w:t xml:space="preserve"> employés peuvent signaler les problèmes </w:t>
      </w:r>
      <w:r>
        <w:rPr>
          <w:rFonts w:ascii="Times New Roman" w:hAnsi="Times New Roman"/>
          <w:sz w:val="24"/>
        </w:rPr>
        <w:t>au client</w:t>
      </w:r>
      <w:r w:rsidRPr="000A6129">
        <w:rPr>
          <w:rFonts w:ascii="Times New Roman" w:hAnsi="Times New Roman"/>
          <w:sz w:val="24"/>
        </w:rPr>
        <w:t xml:space="preserve"> de manière confidentielle et anonyme </w:t>
      </w:r>
      <w:r>
        <w:rPr>
          <w:rFonts w:ascii="Times New Roman" w:hAnsi="Times New Roman"/>
          <w:sz w:val="24"/>
        </w:rPr>
        <w:t xml:space="preserve">via le mécanisme de gestion des plaintes du projet ou via l’adresse électronique : </w:t>
      </w:r>
      <w:hyperlink r:id="rId83" w:history="1">
        <w:r w:rsidRPr="009779DB">
          <w:rPr>
            <w:rStyle w:val="Lienhypertexte"/>
          </w:rPr>
          <w:t>info@ucmenergie-rdc.com</w:t>
        </w:r>
      </w:hyperlink>
      <w:r w:rsidRPr="000A6129">
        <w:rPr>
          <w:rFonts w:ascii="Times New Roman" w:hAnsi="Times New Roman"/>
          <w:sz w:val="24"/>
        </w:rPr>
        <w:t>.</w:t>
      </w:r>
    </w:p>
    <w:p w14:paraId="7C5A7E83" w14:textId="77777777" w:rsidR="003F350A" w:rsidRPr="00590D64" w:rsidRDefault="003F350A" w:rsidP="003F350A">
      <w:pPr>
        <w:jc w:val="both"/>
        <w:rPr>
          <w:rFonts w:ascii="Times New Roman" w:hAnsi="Times New Roman"/>
          <w:b/>
          <w:i/>
          <w:sz w:val="24"/>
        </w:rPr>
      </w:pPr>
      <w:r w:rsidRPr="00590D64">
        <w:rPr>
          <w:rFonts w:ascii="Times New Roman" w:hAnsi="Times New Roman"/>
          <w:b/>
          <w:i/>
          <w:sz w:val="24"/>
        </w:rPr>
        <w:t xml:space="preserve">3. Confidentialité des données </w:t>
      </w:r>
    </w:p>
    <w:p w14:paraId="36B459EE" w14:textId="77777777" w:rsidR="003F350A" w:rsidRDefault="003F350A" w:rsidP="003F350A">
      <w:pPr>
        <w:jc w:val="both"/>
        <w:rPr>
          <w:rFonts w:ascii="Times New Roman" w:hAnsi="Times New Roman"/>
          <w:sz w:val="24"/>
        </w:rPr>
      </w:pPr>
      <w:r w:rsidRPr="000A6129">
        <w:rPr>
          <w:rFonts w:ascii="Times New Roman" w:hAnsi="Times New Roman"/>
          <w:sz w:val="24"/>
        </w:rPr>
        <w:t>Les fournisseurs s’engagent à fonctionner de manière cohérente avec les lois applicables en matière de protection des données, y compris la protection de la vie privée et de la sécurité, et appropriées quant à la sensibilité des informations personnelles recueillies ou autrement traitées par le fournisseur pour le compte d</w:t>
      </w:r>
      <w:r>
        <w:rPr>
          <w:rFonts w:ascii="Times New Roman" w:hAnsi="Times New Roman"/>
          <w:sz w:val="24"/>
        </w:rPr>
        <w:t>u client</w:t>
      </w:r>
      <w:r w:rsidRPr="000A6129">
        <w:rPr>
          <w:rFonts w:ascii="Times New Roman" w:hAnsi="Times New Roman"/>
          <w:sz w:val="24"/>
        </w:rPr>
        <w:t xml:space="preserve">. Les fournisseurs auront des structures et procédures organisationnelles appropriées pour garantir la protection des informations personnelles contre toute perte, destruction, altération, divulgation, utilisation ou accès accidentel, non autorisé ou illicite. Ceci inclut les politiques et procédures qui visent à traiter la sécurité technique et organisationnelle, ainsi que la confirmation de la conformité à ces exigences. Les fournisseurs doivent se conformer aux lois qui régissent les transmissions de données transfrontalières. </w:t>
      </w:r>
    </w:p>
    <w:p w14:paraId="3FEAE07E" w14:textId="58655895" w:rsidR="003F350A" w:rsidRPr="00590D64" w:rsidRDefault="003F350A" w:rsidP="003F350A">
      <w:pPr>
        <w:jc w:val="both"/>
        <w:rPr>
          <w:rFonts w:ascii="Times New Roman" w:hAnsi="Times New Roman"/>
          <w:b/>
          <w:i/>
          <w:sz w:val="24"/>
        </w:rPr>
      </w:pPr>
      <w:r w:rsidRPr="00590D64">
        <w:rPr>
          <w:rFonts w:ascii="Times New Roman" w:hAnsi="Times New Roman"/>
          <w:b/>
          <w:i/>
          <w:sz w:val="24"/>
        </w:rPr>
        <w:t xml:space="preserve">4. </w:t>
      </w:r>
      <w:r>
        <w:rPr>
          <w:rFonts w:ascii="Times New Roman" w:hAnsi="Times New Roman"/>
          <w:b/>
          <w:i/>
          <w:sz w:val="24"/>
        </w:rPr>
        <w:t xml:space="preserve"> </w:t>
      </w:r>
      <w:r w:rsidRPr="00590D64">
        <w:rPr>
          <w:rFonts w:ascii="Times New Roman" w:hAnsi="Times New Roman"/>
          <w:b/>
          <w:i/>
          <w:sz w:val="24"/>
        </w:rPr>
        <w:t xml:space="preserve">Droits de l’homme, pratiques en matière d’emploi et de travail, santé et sécurité </w:t>
      </w:r>
    </w:p>
    <w:p w14:paraId="30B3243B"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fournisseurs s’engagent à respecter les droits de l’homme des employés et autres parties prenantes d</w:t>
      </w:r>
      <w:r>
        <w:rPr>
          <w:rFonts w:ascii="Times New Roman" w:hAnsi="Times New Roman"/>
          <w:sz w:val="24"/>
        </w:rPr>
        <w:t xml:space="preserve">u client </w:t>
      </w:r>
      <w:r w:rsidRPr="000A6129">
        <w:rPr>
          <w:rFonts w:ascii="Times New Roman" w:hAnsi="Times New Roman"/>
          <w:sz w:val="24"/>
        </w:rPr>
        <w:t xml:space="preserve">et à les traiter avec dignité et respect. Les fournisseurs doivent respecter la législation en matière de droits de l’homme, y compris les lois et la réglementation sur le trafic d’êtres humains et l’esclavage au cours de la fourniture de services, produits finis ou autres produits </w:t>
      </w:r>
      <w:r>
        <w:rPr>
          <w:rFonts w:ascii="Times New Roman" w:hAnsi="Times New Roman"/>
          <w:sz w:val="24"/>
        </w:rPr>
        <w:t>au client</w:t>
      </w:r>
      <w:r w:rsidRPr="000A6129">
        <w:rPr>
          <w:rFonts w:ascii="Times New Roman" w:hAnsi="Times New Roman"/>
          <w:sz w:val="24"/>
        </w:rPr>
        <w:t>.</w:t>
      </w:r>
    </w:p>
    <w:p w14:paraId="6381B8D5" w14:textId="48329AB1" w:rsidR="003F350A" w:rsidRDefault="003F350A" w:rsidP="003F350A">
      <w:pPr>
        <w:jc w:val="both"/>
        <w:rPr>
          <w:rFonts w:ascii="Times New Roman" w:hAnsi="Times New Roman"/>
          <w:i/>
          <w:sz w:val="24"/>
        </w:rPr>
      </w:pPr>
      <w:r w:rsidRPr="0095451D">
        <w:rPr>
          <w:rFonts w:ascii="Times New Roman" w:hAnsi="Times New Roman"/>
          <w:i/>
          <w:sz w:val="24"/>
        </w:rPr>
        <w:t xml:space="preserve">4.1 </w:t>
      </w:r>
      <w:r>
        <w:rPr>
          <w:rFonts w:ascii="Times New Roman" w:hAnsi="Times New Roman"/>
          <w:i/>
          <w:sz w:val="24"/>
        </w:rPr>
        <w:t xml:space="preserve"> </w:t>
      </w:r>
      <w:r w:rsidRPr="0095451D">
        <w:rPr>
          <w:rFonts w:ascii="Times New Roman" w:hAnsi="Times New Roman"/>
          <w:i/>
          <w:sz w:val="24"/>
        </w:rPr>
        <w:t xml:space="preserve">Emploi librement choisi </w:t>
      </w:r>
    </w:p>
    <w:p w14:paraId="029CB593"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n’auront pas recours au travail forcé, à la servitude pour dettes ou au travail involontaire de prisonniers. </w:t>
      </w:r>
    </w:p>
    <w:p w14:paraId="50EE74FC" w14:textId="432A48AB" w:rsidR="003F350A"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.2 </w:t>
      </w:r>
      <w:r>
        <w:rPr>
          <w:rFonts w:ascii="Times New Roman" w:hAnsi="Times New Roman"/>
          <w:sz w:val="24"/>
        </w:rPr>
        <w:t xml:space="preserve"> </w:t>
      </w:r>
      <w:r w:rsidRPr="000A6129">
        <w:rPr>
          <w:rFonts w:ascii="Times New Roman" w:hAnsi="Times New Roman"/>
          <w:sz w:val="24"/>
        </w:rPr>
        <w:t xml:space="preserve">Travail des enfants et jeunes travailleurs </w:t>
      </w:r>
    </w:p>
    <w:p w14:paraId="670AC44F"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n’auront pas recours au travail des enfants. L’emploi de jeunes employés âgés de moins de 18 ans ne doit pas avoir lieu à des postes à risques ou de nuit, et ne doit être autorisé que lorsque les jeunes employés ont atteint l’âge légal permettant de travailler dans leur pays. </w:t>
      </w:r>
    </w:p>
    <w:p w14:paraId="2319F699" w14:textId="17236018" w:rsidR="003F350A"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.3 </w:t>
      </w:r>
      <w:r>
        <w:rPr>
          <w:rFonts w:ascii="Times New Roman" w:hAnsi="Times New Roman"/>
          <w:sz w:val="24"/>
        </w:rPr>
        <w:t xml:space="preserve"> </w:t>
      </w:r>
      <w:r w:rsidRPr="000A6129">
        <w:rPr>
          <w:rFonts w:ascii="Times New Roman" w:hAnsi="Times New Roman"/>
          <w:sz w:val="24"/>
        </w:rPr>
        <w:t xml:space="preserve">Absence de discrimination </w:t>
      </w:r>
    </w:p>
    <w:p w14:paraId="361614A3"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doivent se conformer à l’ensemble de la législation et de la règlementation en vigueur, et doivent assurer un lieu de travail sans harcèlement ni discrimination. Les fournisseurs ne doivent pas se livrer à la discrimination contre les personnes en fonction de leur appartenance ethnique, couleur de peau, âge, sexe, orientation sexuelle, situation de handicap, religion, affiliation politique, appartenance syndicale, situation de famille ou autres raisons interdites par la loi. </w:t>
      </w:r>
    </w:p>
    <w:p w14:paraId="08228EE1" w14:textId="1CD0F3BD"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.4 </w:t>
      </w:r>
      <w:r>
        <w:rPr>
          <w:rFonts w:ascii="Times New Roman" w:hAnsi="Times New Roman"/>
          <w:sz w:val="24"/>
        </w:rPr>
        <w:t xml:space="preserve"> </w:t>
      </w:r>
      <w:r w:rsidRPr="000A6129">
        <w:rPr>
          <w:rFonts w:ascii="Times New Roman" w:hAnsi="Times New Roman"/>
          <w:sz w:val="24"/>
        </w:rPr>
        <w:t xml:space="preserve">Traitement équitable </w:t>
      </w:r>
    </w:p>
    <w:p w14:paraId="30D0032A"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doivent fournir un lieu de travail dépourvu de traitement dur et inhumain (y compris le harcèlement sexuel, les violences sexuelles, les châtiments corporels, la contrainte mentale ou physique, ou la violence verbale à l’encontre des employés) et dépourvu de menaces de tels traitements. </w:t>
      </w:r>
    </w:p>
    <w:p w14:paraId="3716294A" w14:textId="77777777"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.5 Salaires, prestations et horaires de travail Les fournisseurs s’engagent à payer les employés selon les lois en vigueur en matière de salaires, y compris le salaire minimum, les heures supplémentaires et les prestations obligatoires, notamment la sécurité sociale.</w:t>
      </w:r>
    </w:p>
    <w:p w14:paraId="683ADD36"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doivent communiquer à l’employé la base de sa rémunération en temps utiles, y compris les heures et le taux des heures supplémentaires, tels que prescrits par la loi locale et la politique du fournisseur. Toute déduction sur le salaire doit être raisonnable, clairement comprise par les employés, et autorisée par la loi en vigueur. Les fournisseurs doivent prévoir des périodes de repos et des jours de congé suffisants, et respecter la législation et les conventions en vigueur en matière de temps de travail maximum. </w:t>
      </w:r>
    </w:p>
    <w:p w14:paraId="35455EF2" w14:textId="359B2B17"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.6 </w:t>
      </w:r>
      <w:r>
        <w:rPr>
          <w:rFonts w:ascii="Times New Roman" w:hAnsi="Times New Roman"/>
          <w:sz w:val="24"/>
        </w:rPr>
        <w:t xml:space="preserve"> </w:t>
      </w:r>
      <w:r w:rsidRPr="000A6129">
        <w:rPr>
          <w:rFonts w:ascii="Times New Roman" w:hAnsi="Times New Roman"/>
          <w:sz w:val="24"/>
        </w:rPr>
        <w:t xml:space="preserve">Liberté d’association </w:t>
      </w:r>
    </w:p>
    <w:p w14:paraId="41584D32"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fournisseurs doivent encourager la communication sincère et l’engagement de leurs travailleurs et de leurs représentants pour résoudre les problèmes sur le lieu de travail et de rémunération. Les fournisseurs respecteront les droits des travailleurs, tels que définis dans les lois locales, à s’associer librement, à rejoindre ou ne pas rejoindre un syndicat, à chercher une représentation et des comités de personnel communs. Les employés doivent être en mesure de communiquer ouvertement avec la Direction en ce qui concerne les conditions de travail sans menace de représailles, intimidation ou harcèlement.</w:t>
      </w:r>
    </w:p>
    <w:p w14:paraId="7396447D" w14:textId="6DF6F17D"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.7 </w:t>
      </w:r>
      <w:r>
        <w:rPr>
          <w:rFonts w:ascii="Times New Roman" w:hAnsi="Times New Roman"/>
          <w:sz w:val="24"/>
        </w:rPr>
        <w:t xml:space="preserve"> </w:t>
      </w:r>
      <w:r w:rsidRPr="000A6129">
        <w:rPr>
          <w:rFonts w:ascii="Times New Roman" w:hAnsi="Times New Roman"/>
          <w:sz w:val="24"/>
        </w:rPr>
        <w:t xml:space="preserve">Santé et sécurité </w:t>
      </w:r>
    </w:p>
    <w:p w14:paraId="66CE5AA1"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s’engagent à fournir un environnement de sécurité sain et sûr, y compris les éventuelles zones résidentielles fournies par le fournisseur. Les fournisseurs doivent se conformer à l’ensemble des lois et de la règlementation en vigueur en matière de santé et de sécurité. </w:t>
      </w:r>
    </w:p>
    <w:p w14:paraId="1577CFFF" w14:textId="398993C6"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.8 </w:t>
      </w:r>
      <w:r>
        <w:rPr>
          <w:rFonts w:ascii="Times New Roman" w:hAnsi="Times New Roman"/>
          <w:sz w:val="24"/>
        </w:rPr>
        <w:t xml:space="preserve"> </w:t>
      </w:r>
      <w:r w:rsidRPr="000A6129">
        <w:rPr>
          <w:rFonts w:ascii="Times New Roman" w:hAnsi="Times New Roman"/>
          <w:sz w:val="24"/>
        </w:rPr>
        <w:t xml:space="preserve">Protection des employés </w:t>
      </w:r>
    </w:p>
    <w:p w14:paraId="307326A1"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fournisseurs s’engagent à protéger les employés contre la surexposition aux dangers chimiques, biologiques et physiques, et aux tâches et conditions physiquement éprouvantes (par exemple la chaleur extrêmes</w:t>
      </w:r>
      <w:r w:rsidRPr="006E55CF">
        <w:rPr>
          <w:rFonts w:ascii="Times New Roman" w:hAnsi="Times New Roman"/>
          <w:sz w:val="24"/>
        </w:rPr>
        <w:t xml:space="preserve"> </w:t>
      </w:r>
      <w:r w:rsidRPr="000A6129">
        <w:rPr>
          <w:rFonts w:ascii="Times New Roman" w:hAnsi="Times New Roman"/>
          <w:sz w:val="24"/>
        </w:rPr>
        <w:t xml:space="preserve">ou le froid) sur le lieu de travail et dans toutes les zones résidentielles fournies par la société. </w:t>
      </w:r>
    </w:p>
    <w:p w14:paraId="4C9DC2C8" w14:textId="138A31BD"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.9 Sécurité des procédures </w:t>
      </w:r>
    </w:p>
    <w:p w14:paraId="5B4659C2" w14:textId="7FA133D2" w:rsidR="003F350A" w:rsidRPr="000A6129" w:rsidRDefault="003F350A" w:rsidP="003F350A">
      <w:pPr>
        <w:jc w:val="both"/>
        <w:rPr>
          <w:rFonts w:ascii="Times New Roman" w:hAnsi="Times New Roman"/>
          <w:sz w:val="24"/>
        </w:rPr>
      </w:pPr>
      <w:r w:rsidRPr="000A6129">
        <w:rPr>
          <w:rFonts w:ascii="Times New Roman" w:hAnsi="Times New Roman"/>
          <w:sz w:val="24"/>
        </w:rPr>
        <w:t>Les fournisseurs s’engagent à mettre en place des programmes pour empêcher et atténuer les fuites catastrophiques de produits chimiques ou autres maté</w:t>
      </w:r>
      <w:r>
        <w:rPr>
          <w:rFonts w:ascii="Times New Roman" w:hAnsi="Times New Roman"/>
          <w:sz w:val="24"/>
        </w:rPr>
        <w:t xml:space="preserve">riaux, y compris des programmes </w:t>
      </w:r>
      <w:r w:rsidRPr="000A6129">
        <w:rPr>
          <w:rFonts w:ascii="Times New Roman" w:hAnsi="Times New Roman"/>
          <w:sz w:val="24"/>
        </w:rPr>
        <w:t xml:space="preserve">particuliers pour prévenir les incendies et explosions. </w:t>
      </w:r>
    </w:p>
    <w:p w14:paraId="34EE3EEB" w14:textId="0BD359BC"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.10 </w:t>
      </w:r>
      <w:r>
        <w:rPr>
          <w:rFonts w:ascii="Times New Roman" w:hAnsi="Times New Roman"/>
          <w:sz w:val="24"/>
        </w:rPr>
        <w:t xml:space="preserve"> </w:t>
      </w:r>
      <w:r w:rsidRPr="000A6129">
        <w:rPr>
          <w:rFonts w:ascii="Times New Roman" w:hAnsi="Times New Roman"/>
          <w:sz w:val="24"/>
        </w:rPr>
        <w:t xml:space="preserve">Préparation et réponse aux situations d’urgence </w:t>
      </w:r>
    </w:p>
    <w:p w14:paraId="32F0963D"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doivent identifier et évaluer les situations d’urgence sur le lieu de travail et dans les éventuelles zones résidentielles fournies par la société, et doivent s’efforcer d’atténuer leur impact potentiel en mettant en œuvre des plans d’urgence et des procédures de réaction. </w:t>
      </w:r>
    </w:p>
    <w:p w14:paraId="52C065F8" w14:textId="77CCEDFF"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11 </w:t>
      </w:r>
      <w:r>
        <w:rPr>
          <w:rFonts w:ascii="Times New Roman" w:hAnsi="Times New Roman"/>
          <w:sz w:val="24"/>
        </w:rPr>
        <w:t xml:space="preserve"> </w:t>
      </w:r>
      <w:r w:rsidRPr="000A6129">
        <w:rPr>
          <w:rFonts w:ascii="Times New Roman" w:hAnsi="Times New Roman"/>
          <w:sz w:val="24"/>
        </w:rPr>
        <w:t xml:space="preserve">Information sur les risques </w:t>
      </w:r>
    </w:p>
    <w:p w14:paraId="3A14C3B2"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informations de sécurité relatives aux matériaux dangereux</w:t>
      </w:r>
      <w:r>
        <w:rPr>
          <w:rFonts w:ascii="Times New Roman" w:hAnsi="Times New Roman"/>
          <w:sz w:val="24"/>
        </w:rPr>
        <w:t xml:space="preserve"> </w:t>
      </w:r>
      <w:r w:rsidRPr="000A6129">
        <w:rPr>
          <w:rFonts w:ascii="Times New Roman" w:hAnsi="Times New Roman"/>
          <w:sz w:val="24"/>
        </w:rPr>
        <w:t>doivent être disponibles pour former et protéger les travailleurs contre les risques potentiels. Ces informations de sécurité doivent être disponibles dans des documents écrits, notamment les fiches signalétiques (FS) dans les langues couramment utilisées par le personnel du fournisseur.</w:t>
      </w:r>
    </w:p>
    <w:p w14:paraId="49A44D05"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doivent veiller à la communication appropriée avec les autres partenaires commerciaux de la chaîne d’approvisionnement, selon le cas, y compris </w:t>
      </w:r>
      <w:r>
        <w:rPr>
          <w:rFonts w:ascii="Times New Roman" w:hAnsi="Times New Roman"/>
          <w:sz w:val="24"/>
        </w:rPr>
        <w:t>le client</w:t>
      </w:r>
      <w:r w:rsidRPr="000A6129">
        <w:rPr>
          <w:rFonts w:ascii="Times New Roman" w:hAnsi="Times New Roman"/>
          <w:sz w:val="24"/>
        </w:rPr>
        <w:t xml:space="preserve"> et ses partenaires logistiques et distributeurs, afin de veiller à ce que les risques soient correctement communiqués et traités. </w:t>
      </w:r>
    </w:p>
    <w:p w14:paraId="3F2B8BFD" w14:textId="2B828775"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 xml:space="preserve">.12 </w:t>
      </w:r>
      <w:r>
        <w:rPr>
          <w:rFonts w:ascii="Times New Roman" w:hAnsi="Times New Roman"/>
          <w:sz w:val="24"/>
        </w:rPr>
        <w:t xml:space="preserve"> </w:t>
      </w:r>
      <w:r w:rsidRPr="000A6129">
        <w:rPr>
          <w:rFonts w:ascii="Times New Roman" w:hAnsi="Times New Roman"/>
          <w:sz w:val="24"/>
        </w:rPr>
        <w:t xml:space="preserve">Hygiène et sécurité des installations du lieu de travail </w:t>
      </w:r>
    </w:p>
    <w:p w14:paraId="04A63438"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installations du fournisseur sur le lieu de travail, y compris les toilettes, réfectoires et autres installations fournies, doivent être sûres, propres et hygiéniques, et correspondre aux besoins élémentaires des employés. Les employés doivent également avoir accès à de l’eau potable.</w:t>
      </w:r>
    </w:p>
    <w:p w14:paraId="772DEA82"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s’engagent à travailler de manière responsable du point de vue de l’environnement, et efficace de manière à atténuer les impacts sur l’environnement. Les fournisseurs sont encouragés à préserver les ressources naturelles, à éviter le recours aux matériaux dangereux dans la mesure du possible, et à mener des activités avec les parties prenantes (notamment le personnel et les collectivités) pour la promotion de programmes de réutilisation et de recyclage. </w:t>
      </w:r>
    </w:p>
    <w:p w14:paraId="378A76D6" w14:textId="1220DB8A" w:rsidR="003F350A" w:rsidRPr="000A6129" w:rsidRDefault="003F350A" w:rsidP="003F350A">
      <w:pPr>
        <w:jc w:val="both"/>
        <w:rPr>
          <w:rFonts w:ascii="Times New Roman" w:hAnsi="Times New Roman"/>
          <w:sz w:val="24"/>
        </w:rPr>
      </w:pPr>
      <w:r>
        <w:rPr>
          <w:rFonts w:ascii="Times New Roman" w:hAnsi="Times New Roman"/>
          <w:sz w:val="24"/>
        </w:rPr>
        <w:t>4</w:t>
      </w:r>
      <w:r w:rsidRPr="000A6129">
        <w:rPr>
          <w:rFonts w:ascii="Times New Roman" w:hAnsi="Times New Roman"/>
          <w:sz w:val="24"/>
        </w:rPr>
        <w:t>.1</w:t>
      </w:r>
      <w:r>
        <w:rPr>
          <w:rFonts w:ascii="Times New Roman" w:hAnsi="Times New Roman"/>
          <w:sz w:val="24"/>
        </w:rPr>
        <w:t xml:space="preserve">3 </w:t>
      </w:r>
      <w:r w:rsidRPr="000A6129">
        <w:rPr>
          <w:rFonts w:ascii="Times New Roman" w:hAnsi="Times New Roman"/>
          <w:sz w:val="24"/>
        </w:rPr>
        <w:t xml:space="preserve"> Autorisations environnementales </w:t>
      </w:r>
    </w:p>
    <w:p w14:paraId="55FDC216" w14:textId="77777777" w:rsidR="003F350A" w:rsidRDefault="003F350A" w:rsidP="003F350A">
      <w:pPr>
        <w:jc w:val="both"/>
        <w:rPr>
          <w:rFonts w:ascii="Times New Roman" w:hAnsi="Times New Roman"/>
          <w:sz w:val="24"/>
        </w:rPr>
      </w:pPr>
      <w:r w:rsidRPr="000A6129">
        <w:rPr>
          <w:rFonts w:ascii="Times New Roman" w:hAnsi="Times New Roman"/>
          <w:sz w:val="24"/>
        </w:rPr>
        <w:t xml:space="preserve">Les fournisseurs s’engagent à respecter l’ensemble de la réglementation environnementale en vigueur. Tous les permis, licences, informations, enregistrements et restrictions environnementaux nécessaires seront obtenus, et leurs conditions d’exploitation et de déclarations seront respectées. </w:t>
      </w:r>
    </w:p>
    <w:p w14:paraId="3E15D04F" w14:textId="77777777" w:rsidR="003F350A" w:rsidRPr="000A6129" w:rsidRDefault="003F350A" w:rsidP="003F350A">
      <w:pPr>
        <w:jc w:val="both"/>
        <w:rPr>
          <w:rFonts w:ascii="Times New Roman" w:hAnsi="Times New Roman"/>
          <w:sz w:val="24"/>
        </w:rPr>
      </w:pPr>
    </w:p>
    <w:p w14:paraId="030BB7BD" w14:textId="2FE34D36" w:rsidR="003F350A" w:rsidRPr="000A6129" w:rsidRDefault="003F350A" w:rsidP="003F350A">
      <w:pPr>
        <w:jc w:val="both"/>
        <w:rPr>
          <w:rFonts w:ascii="Times New Roman" w:hAnsi="Times New Roman"/>
          <w:sz w:val="24"/>
        </w:rPr>
      </w:pPr>
      <w:r>
        <w:rPr>
          <w:rFonts w:ascii="Times New Roman" w:hAnsi="Times New Roman"/>
          <w:sz w:val="24"/>
        </w:rPr>
        <w:t xml:space="preserve">4.14 </w:t>
      </w:r>
      <w:r w:rsidRPr="000A6129">
        <w:rPr>
          <w:rFonts w:ascii="Times New Roman" w:hAnsi="Times New Roman"/>
          <w:sz w:val="24"/>
        </w:rPr>
        <w:t xml:space="preserve"> Déchets et émissions </w:t>
      </w:r>
    </w:p>
    <w:p w14:paraId="739476CB"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fournisseurs s’engagent à mettre en place des systèmes visant à veiller à la sécurité du traitement, du déplacement, du stockage, du recyclage, de la réutilisation ou de l’administration des déchets, des émissions atmosphériques et des déversements d’eaux usées. Les déchets, eaux usées et émissions ayant un impact défavorable potentiel sur la santé humaine ou l’environnement seront traités, contrôlés et administrés de manière appropriée avant leur rejet dans l’environnement.</w:t>
      </w:r>
    </w:p>
    <w:p w14:paraId="219E3F3D" w14:textId="672BE11E" w:rsidR="003F350A" w:rsidRPr="000A6129" w:rsidRDefault="003F350A" w:rsidP="003F350A">
      <w:pPr>
        <w:jc w:val="both"/>
        <w:rPr>
          <w:rFonts w:ascii="Times New Roman" w:hAnsi="Times New Roman"/>
          <w:sz w:val="24"/>
        </w:rPr>
      </w:pPr>
      <w:r>
        <w:rPr>
          <w:rFonts w:ascii="Times New Roman" w:hAnsi="Times New Roman"/>
          <w:sz w:val="24"/>
        </w:rPr>
        <w:t xml:space="preserve">4.15 </w:t>
      </w:r>
      <w:r w:rsidRPr="000A6129">
        <w:rPr>
          <w:rFonts w:ascii="Times New Roman" w:hAnsi="Times New Roman"/>
          <w:sz w:val="24"/>
        </w:rPr>
        <w:t xml:space="preserve"> Déversements et rejets </w:t>
      </w:r>
    </w:p>
    <w:p w14:paraId="4EECCA85"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mettront en place des systèmes destinés à prévenir les déversements et rejets accidentels dans l’environnement. </w:t>
      </w:r>
    </w:p>
    <w:p w14:paraId="6D223578" w14:textId="08A52CC3" w:rsidR="003F350A" w:rsidRPr="000A6129" w:rsidRDefault="003F350A" w:rsidP="003F350A">
      <w:pPr>
        <w:jc w:val="both"/>
        <w:rPr>
          <w:rFonts w:ascii="Times New Roman" w:hAnsi="Times New Roman"/>
          <w:sz w:val="24"/>
        </w:rPr>
      </w:pPr>
      <w:r>
        <w:rPr>
          <w:rFonts w:ascii="Times New Roman" w:hAnsi="Times New Roman"/>
          <w:sz w:val="24"/>
        </w:rPr>
        <w:t xml:space="preserve">4.16 </w:t>
      </w:r>
      <w:r w:rsidRPr="000A6129">
        <w:rPr>
          <w:rFonts w:ascii="Times New Roman" w:hAnsi="Times New Roman"/>
          <w:sz w:val="24"/>
        </w:rPr>
        <w:t xml:space="preserve"> Efficacité environnementale </w:t>
      </w:r>
    </w:p>
    <w:p w14:paraId="546A1EAD"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s’engagent à prendre des mesures pour conserver l’énergie et réduire la consommation en eau dans les zones de pénurie, et à s’efforcer de mesurer et de déclarer régulièrement leurs émissions de gaz à effet de serre. </w:t>
      </w:r>
    </w:p>
    <w:p w14:paraId="0627A3D9" w14:textId="249BB4D5" w:rsidR="003F350A" w:rsidRPr="000A6129" w:rsidRDefault="003F350A" w:rsidP="003F350A">
      <w:pPr>
        <w:jc w:val="both"/>
        <w:rPr>
          <w:rFonts w:ascii="Times New Roman" w:hAnsi="Times New Roman"/>
          <w:sz w:val="24"/>
        </w:rPr>
      </w:pPr>
      <w:r>
        <w:rPr>
          <w:rFonts w:ascii="Times New Roman" w:hAnsi="Times New Roman"/>
          <w:sz w:val="24"/>
        </w:rPr>
        <w:t xml:space="preserve">4.17 </w:t>
      </w:r>
      <w:r w:rsidRPr="000A6129">
        <w:rPr>
          <w:rFonts w:ascii="Times New Roman" w:hAnsi="Times New Roman"/>
          <w:sz w:val="24"/>
        </w:rPr>
        <w:t xml:space="preserve"> Système de contrôle </w:t>
      </w:r>
    </w:p>
    <w:p w14:paraId="39C57CDF"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s’engagent à utiliser des systèmes de contrôle pour permettre l’amélioration continue et la conformité aux attentes du présent Code de </w:t>
      </w:r>
      <w:r>
        <w:rPr>
          <w:rFonts w:ascii="Times New Roman" w:hAnsi="Times New Roman"/>
          <w:sz w:val="24"/>
        </w:rPr>
        <w:t xml:space="preserve">procédures des </w:t>
      </w:r>
      <w:r w:rsidRPr="000A6129">
        <w:rPr>
          <w:rFonts w:ascii="Times New Roman" w:hAnsi="Times New Roman"/>
          <w:sz w:val="24"/>
        </w:rPr>
        <w:t xml:space="preserve">fournisseurs. Les éléments du système de contrôle incluent : </w:t>
      </w:r>
    </w:p>
    <w:p w14:paraId="685443F6" w14:textId="77777777" w:rsidR="003F350A" w:rsidRPr="002F3BDD" w:rsidRDefault="003F350A" w:rsidP="003F350A">
      <w:pPr>
        <w:pStyle w:val="Paragraphedeliste"/>
        <w:numPr>
          <w:ilvl w:val="0"/>
          <w:numId w:val="402"/>
        </w:numPr>
        <w:spacing w:after="200" w:line="276" w:lineRule="auto"/>
        <w:ind w:left="709" w:hanging="513"/>
        <w:jc w:val="both"/>
        <w:rPr>
          <w:rFonts w:ascii="Times New Roman" w:hAnsi="Times New Roman"/>
          <w:sz w:val="24"/>
        </w:rPr>
      </w:pPr>
      <w:r w:rsidRPr="002F3BDD">
        <w:rPr>
          <w:rFonts w:ascii="Times New Roman" w:hAnsi="Times New Roman"/>
          <w:sz w:val="24"/>
        </w:rPr>
        <w:t xml:space="preserve">Engagement et responsabilité </w:t>
      </w:r>
    </w:p>
    <w:p w14:paraId="03C0231D"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s’engagent à démontrer leur engagement en faveur des concepts décrits dans ce document par l’affectation de ressources appropriées. </w:t>
      </w:r>
    </w:p>
    <w:p w14:paraId="7D0FD4D7" w14:textId="77777777" w:rsidR="003F350A" w:rsidRPr="000A6129" w:rsidRDefault="003F350A" w:rsidP="003F350A">
      <w:pPr>
        <w:pStyle w:val="Paragraphedeliste"/>
        <w:numPr>
          <w:ilvl w:val="0"/>
          <w:numId w:val="402"/>
        </w:numPr>
        <w:spacing w:after="200" w:line="276" w:lineRule="auto"/>
        <w:ind w:left="709" w:hanging="513"/>
        <w:jc w:val="both"/>
        <w:rPr>
          <w:rFonts w:ascii="Times New Roman" w:hAnsi="Times New Roman"/>
          <w:sz w:val="24"/>
        </w:rPr>
      </w:pPr>
      <w:r w:rsidRPr="000A6129">
        <w:rPr>
          <w:rFonts w:ascii="Times New Roman" w:hAnsi="Times New Roman"/>
          <w:sz w:val="24"/>
        </w:rPr>
        <w:t xml:space="preserve">Administration des risques </w:t>
      </w:r>
    </w:p>
    <w:p w14:paraId="63653CFB"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mettront en œuvre des mécanismes pour déterminer et gérer les risques dans les domaines traités par le présent Code. </w:t>
      </w:r>
    </w:p>
    <w:p w14:paraId="3DE15335" w14:textId="77777777" w:rsidR="003F350A" w:rsidRPr="000A6129" w:rsidRDefault="003F350A" w:rsidP="003F350A">
      <w:pPr>
        <w:pStyle w:val="Paragraphedeliste"/>
        <w:numPr>
          <w:ilvl w:val="0"/>
          <w:numId w:val="402"/>
        </w:numPr>
        <w:spacing w:after="200" w:line="276" w:lineRule="auto"/>
        <w:ind w:left="709" w:hanging="513"/>
        <w:jc w:val="both"/>
        <w:rPr>
          <w:rFonts w:ascii="Times New Roman" w:hAnsi="Times New Roman"/>
          <w:sz w:val="24"/>
        </w:rPr>
      </w:pPr>
      <w:r w:rsidRPr="000A6129">
        <w:rPr>
          <w:rFonts w:ascii="Times New Roman" w:hAnsi="Times New Roman"/>
          <w:sz w:val="24"/>
        </w:rPr>
        <w:t xml:space="preserve">Registres exacts et documentation </w:t>
      </w:r>
    </w:p>
    <w:p w14:paraId="0841F2EC"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tiendront des registres exacts et auront la documentation nécessaire pour démontrer leur conformité à ces attentes et leur respect de la réglementation applicable. Ces registres doivent être mis à disposition du client ou de ses auditeurs désignés pour inspection, afin de confirmer la conformité à ces normes. Les registres doit être lisibles, transparents et fidèles aux transactions et aux paiements réels. Les fournisseurs s’engagent à ne pas faire de dissimulations, omissions ou fausses écritures. </w:t>
      </w:r>
    </w:p>
    <w:p w14:paraId="6510F2F7" w14:textId="77777777" w:rsidR="003F350A" w:rsidRPr="000A6129" w:rsidRDefault="003F350A" w:rsidP="003F350A">
      <w:pPr>
        <w:pStyle w:val="Paragraphedeliste"/>
        <w:numPr>
          <w:ilvl w:val="0"/>
          <w:numId w:val="402"/>
        </w:numPr>
        <w:spacing w:after="200" w:line="276" w:lineRule="auto"/>
        <w:ind w:left="709" w:hanging="513"/>
        <w:jc w:val="both"/>
        <w:rPr>
          <w:rFonts w:ascii="Times New Roman" w:hAnsi="Times New Roman"/>
          <w:sz w:val="24"/>
        </w:rPr>
      </w:pPr>
      <w:r w:rsidRPr="000A6129">
        <w:rPr>
          <w:rFonts w:ascii="Times New Roman" w:hAnsi="Times New Roman"/>
          <w:sz w:val="24"/>
        </w:rPr>
        <w:t xml:space="preserve">Formation et compétence </w:t>
      </w:r>
    </w:p>
    <w:p w14:paraId="5645E684" w14:textId="77777777" w:rsidR="003F350A" w:rsidRPr="000A6129" w:rsidRDefault="003F350A" w:rsidP="003F350A">
      <w:pPr>
        <w:jc w:val="both"/>
        <w:rPr>
          <w:rFonts w:ascii="Times New Roman" w:hAnsi="Times New Roman"/>
          <w:sz w:val="24"/>
        </w:rPr>
      </w:pPr>
      <w:r w:rsidRPr="000A6129">
        <w:rPr>
          <w:rFonts w:ascii="Times New Roman" w:hAnsi="Times New Roman"/>
          <w:sz w:val="24"/>
        </w:rPr>
        <w:t xml:space="preserve">Les fournisseurs auront un programme de formation qui permet d’atteindre un niveau approprié de connaissances, de compétences et de capacités au sein de la Direction et des employés pour être à la hauteur de ces attentes. </w:t>
      </w:r>
    </w:p>
    <w:p w14:paraId="52A9284C" w14:textId="77777777" w:rsidR="003F350A" w:rsidRPr="000A6129" w:rsidRDefault="003F350A" w:rsidP="003F350A">
      <w:pPr>
        <w:pStyle w:val="Paragraphedeliste"/>
        <w:numPr>
          <w:ilvl w:val="0"/>
          <w:numId w:val="402"/>
        </w:numPr>
        <w:spacing w:after="200" w:line="276" w:lineRule="auto"/>
        <w:ind w:left="709" w:hanging="513"/>
        <w:jc w:val="both"/>
        <w:rPr>
          <w:rFonts w:ascii="Times New Roman" w:hAnsi="Times New Roman"/>
          <w:sz w:val="24"/>
        </w:rPr>
      </w:pPr>
      <w:r w:rsidRPr="000A6129">
        <w:rPr>
          <w:rFonts w:ascii="Times New Roman" w:hAnsi="Times New Roman"/>
          <w:sz w:val="24"/>
        </w:rPr>
        <w:t xml:space="preserve">Amélioration continue </w:t>
      </w:r>
    </w:p>
    <w:p w14:paraId="3E7BDD5A" w14:textId="77777777" w:rsidR="003F350A" w:rsidRPr="000A6129" w:rsidRDefault="003F350A" w:rsidP="003F350A">
      <w:pPr>
        <w:jc w:val="both"/>
        <w:rPr>
          <w:rFonts w:ascii="Times New Roman" w:hAnsi="Times New Roman"/>
          <w:sz w:val="24"/>
        </w:rPr>
      </w:pPr>
      <w:r w:rsidRPr="000A6129">
        <w:rPr>
          <w:rFonts w:ascii="Times New Roman" w:hAnsi="Times New Roman"/>
          <w:sz w:val="24"/>
        </w:rPr>
        <w:t>Les fournisseurs sont tenus de progresser en permanence sur les éléments de ce Code en définissant des objectifs de performance, en définissant des plans de mise en œuvre et en prenant les mesures correctives nécessaires pour les défaillances identifiées par les évaluations internes ou externes, les inspections et les examens de la direction.</w:t>
      </w:r>
    </w:p>
    <w:p w14:paraId="2ED5D3DC" w14:textId="77777777" w:rsidR="00EE758A" w:rsidRPr="00215867" w:rsidRDefault="00EE758A" w:rsidP="00215867">
      <w:pPr>
        <w:autoSpaceDE w:val="0"/>
        <w:autoSpaceDN w:val="0"/>
        <w:adjustRightInd w:val="0"/>
        <w:spacing w:after="240" w:line="240" w:lineRule="auto"/>
        <w:jc w:val="both"/>
      </w:pPr>
    </w:p>
    <w:sectPr w:rsidR="00EE758A" w:rsidRPr="00215867" w:rsidSect="0082504D">
      <w:footerReference w:type="default" r:id="rId84"/>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7BAE6" w14:textId="77777777" w:rsidR="004C0F64" w:rsidRDefault="004C0F64">
      <w:pPr>
        <w:spacing w:after="0" w:line="240" w:lineRule="auto"/>
      </w:pPr>
      <w:r>
        <w:separator/>
      </w:r>
    </w:p>
  </w:endnote>
  <w:endnote w:type="continuationSeparator" w:id="0">
    <w:p w14:paraId="215CF11D" w14:textId="77777777" w:rsidR="004C0F64" w:rsidRDefault="004C0F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0"/>
    <w:family w:val="roman"/>
    <w:pitch w:val="variable"/>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Bookman Old Style">
    <w:panose1 w:val="02050604050505020204"/>
    <w:charset w:val="00"/>
    <w:family w:val="roman"/>
    <w:pitch w:val="variable"/>
    <w:sig w:usb0="00000287" w:usb1="00000000" w:usb2="00000000" w:usb3="00000000" w:csb0="0000009F" w:csb1="00000000"/>
  </w:font>
  <w:font w:name="Noto Sans Symbols">
    <w:altName w:val="Calibri"/>
    <w:charset w:val="00"/>
    <w:family w:val="auto"/>
    <w:pitch w:val="default"/>
  </w:font>
  <w:font w:name="cgtimes">
    <w:altName w:val="Times New Roman"/>
    <w:panose1 w:val="00000000000000000000"/>
    <w:charset w:val="00"/>
    <w:family w:val="roman"/>
    <w:notTrueType/>
    <w:pitch w:val="default"/>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2FF" w:usb1="0000F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Gras">
    <w:altName w:val="Times New Roman"/>
    <w:panose1 w:val="020208030705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rutiger 45 Light">
    <w:altName w:val="Arial Narrow"/>
    <w:panose1 w:val="00000000000000000000"/>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Optima">
    <w:panose1 w:val="00000000000000000000"/>
    <w:charset w:val="00"/>
    <w:family w:val="auto"/>
    <w:notTrueType/>
    <w:pitch w:val="variable"/>
    <w:sig w:usb0="80000067" w:usb1="00000000" w:usb2="00000000" w:usb3="00000000" w:csb0="00000001" w:csb1="00000000"/>
  </w:font>
  <w:font w:name="Chicago">
    <w:altName w:val="Arial"/>
    <w:panose1 w:val="00000000000000000000"/>
    <w:charset w:val="00"/>
    <w:family w:val="swiss"/>
    <w:notTrueType/>
    <w:pitch w:val="variable"/>
    <w:sig w:usb0="00000003" w:usb1="00000000" w:usb2="00000000" w:usb3="00000000" w:csb0="00000001" w:csb1="00000000"/>
  </w:font>
  <w:font w:name="CG Times">
    <w:panose1 w:val="02020603050405020304"/>
    <w:charset w:val="00"/>
    <w:family w:val="roman"/>
    <w:pitch w:val="variable"/>
    <w:sig w:usb0="00000007" w:usb1="00000000" w:usb2="00000000" w:usb3="00000000" w:csb0="00000093" w:csb1="00000000"/>
  </w:font>
  <w:font w:name="Times New Roman Bold">
    <w:altName w:val="Times New Roman"/>
    <w:charset w:val="00"/>
    <w:family w:val="roman"/>
    <w:pitch w:val="default"/>
  </w:font>
  <w:font w:name="Arial Gras">
    <w:altName w:val="Times New Roman"/>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FiraSans-Light">
    <w:altName w:val="Yu Gothic"/>
    <w:panose1 w:val="00000000000000000000"/>
    <w:charset w:val="00"/>
    <w:family w:val="roman"/>
    <w:notTrueType/>
    <w:pitch w:val="default"/>
  </w:font>
  <w:font w:name="font694">
    <w:altName w:val="Calibri"/>
    <w:charset w:val="00"/>
    <w:family w:val="auto"/>
    <w:pitch w:val="variable"/>
  </w:font>
  <w:font w:name="Lucida Grande">
    <w:altName w:val="Ari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font946">
    <w:altName w:val="Calibri"/>
    <w:charset w:val="00"/>
    <w:family w:val="auto"/>
    <w:pitch w:val="variable"/>
  </w:font>
  <w:font w:name="TimesNewRomanPSMT">
    <w:altName w:val="Times New Roman"/>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DA3BA" w14:textId="344F26DF" w:rsidR="0075784E" w:rsidRDefault="0075784E">
    <w:pPr>
      <w:pStyle w:val="Pieddepage"/>
    </w:pPr>
    <w:r>
      <w:rPr>
        <w:noProof/>
        <w:lang w:eastAsia="fr-FR"/>
      </w:rPr>
      <mc:AlternateContent>
        <mc:Choice Requires="wps">
          <w:drawing>
            <wp:anchor distT="0" distB="0" distL="114300" distR="114300" simplePos="0" relativeHeight="251656192" behindDoc="0" locked="0" layoutInCell="1" allowOverlap="1" wp14:anchorId="4EC7A885" wp14:editId="211817A0">
              <wp:simplePos x="0" y="0"/>
              <wp:positionH relativeFrom="page">
                <wp:posOffset>6849110</wp:posOffset>
              </wp:positionH>
              <wp:positionV relativeFrom="page">
                <wp:posOffset>10022840</wp:posOffset>
              </wp:positionV>
              <wp:extent cx="512445" cy="441325"/>
              <wp:effectExtent l="0" t="0" r="0" b="0"/>
              <wp:wrapNone/>
              <wp:docPr id="17" name="Organigramme : Alternativ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569D9AA" w14:textId="726E66AB" w:rsidR="0075784E" w:rsidRDefault="0075784E" w:rsidP="00420C1B">
                          <w:pPr>
                            <w:pStyle w:val="Pieddepage"/>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8A7175" w:rsidRPr="008A7175">
                            <w:rPr>
                              <w:noProof/>
                              <w:sz w:val="28"/>
                              <w:szCs w:val="28"/>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7A8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7" o:spid="_x0000_s1054" type="#_x0000_t176" style="position:absolute;margin-left:539.3pt;margin-top:789.2pt;width:40.35pt;height:34.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" filled="f" fillcolor="#5c83b4" stroked="f" strokecolor="#737373">
              <v:textbox>
                <w:txbxContent>
                  <w:p w14:paraId="3569D9AA" w14:textId="726E66AB" w:rsidR="0075784E" w:rsidRDefault="0075784E" w:rsidP="00420C1B">
                    <w:pPr>
                      <w:pStyle w:val="Pieddepage"/>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8A7175" w:rsidRPr="008A7175">
                      <w:rPr>
                        <w:noProof/>
                        <w:sz w:val="28"/>
                        <w:szCs w:val="28"/>
                      </w:rPr>
                      <w:t>2</w:t>
                    </w:r>
                    <w:r>
                      <w:rPr>
                        <w:sz w:val="28"/>
                        <w:szCs w:val="28"/>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FD260" w14:textId="77777777" w:rsidR="0075784E" w:rsidRDefault="0075784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717C6" w14:textId="1991A665" w:rsidR="0075784E" w:rsidRDefault="0075784E">
    <w:pPr>
      <w:jc w:val="right"/>
    </w:pPr>
    <w:r>
      <w:fldChar w:fldCharType="begin"/>
    </w:r>
    <w:r>
      <w:instrText>PAGE   \* MERGEFORMAT</w:instrText>
    </w:r>
    <w:r>
      <w:fldChar w:fldCharType="separate"/>
    </w:r>
    <w:r w:rsidR="00214E6B">
      <w:rPr>
        <w:noProof/>
      </w:rPr>
      <w:t>376</w:t>
    </w:r>
    <w:r>
      <w:rPr>
        <w:noProof/>
      </w:rPr>
      <w:fldChar w:fldCharType="end"/>
    </w:r>
  </w:p>
  <w:p w14:paraId="3017F347" w14:textId="77777777" w:rsidR="0075784E" w:rsidRDefault="007578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C9A70" w14:textId="180BCF88" w:rsidR="0075784E" w:rsidRDefault="0075784E">
    <w:pPr>
      <w:pStyle w:val="Pieddepage"/>
    </w:pPr>
    <w:r>
      <w:rPr>
        <w:noProof/>
        <w:lang w:eastAsia="fr-FR"/>
      </w:rPr>
      <mc:AlternateContent>
        <mc:Choice Requires="wps">
          <w:drawing>
            <wp:anchor distT="0" distB="0" distL="114300" distR="114300" simplePos="0" relativeHeight="251658240" behindDoc="0" locked="0" layoutInCell="1" allowOverlap="1" wp14:anchorId="36520472" wp14:editId="7CDBD1C8">
              <wp:simplePos x="0" y="0"/>
              <wp:positionH relativeFrom="page">
                <wp:posOffset>6849110</wp:posOffset>
              </wp:positionH>
              <wp:positionV relativeFrom="page">
                <wp:posOffset>10022840</wp:posOffset>
              </wp:positionV>
              <wp:extent cx="512445" cy="441325"/>
              <wp:effectExtent l="0" t="0" r="0" b="0"/>
              <wp:wrapNone/>
              <wp:docPr id="18" name="Organigramme : Alternativ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830D1BF" w14:textId="09A761C8" w:rsidR="0075784E" w:rsidRDefault="0075784E" w:rsidP="00420C1B">
                          <w:pPr>
                            <w:pStyle w:val="Pieddepage"/>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8A7175" w:rsidRPr="008A7175">
                            <w:rPr>
                              <w:noProof/>
                              <w:sz w:val="28"/>
                              <w:szCs w:val="28"/>
                            </w:rPr>
                            <w:t>0</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204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8" o:spid="_x0000_s1055" type="#_x0000_t176" style="position:absolute;margin-left:539.3pt;margin-top:789.2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" filled="f" fillcolor="#5c83b4" stroked="f" strokecolor="#737373">
              <v:textbox>
                <w:txbxContent>
                  <w:p w14:paraId="7830D1BF" w14:textId="09A761C8" w:rsidR="0075784E" w:rsidRDefault="0075784E" w:rsidP="00420C1B">
                    <w:pPr>
                      <w:pStyle w:val="Pieddepage"/>
                      <w:pBdr>
                        <w:top w:val="single" w:sz="12" w:space="1" w:color="A5A5A5"/>
                        <w:bottom w:val="single" w:sz="48" w:space="1" w:color="A5A5A5"/>
                      </w:pBdr>
                      <w:jc w:val="center"/>
                      <w:rPr>
                        <w:sz w:val="28"/>
                        <w:szCs w:val="28"/>
                      </w:rPr>
                    </w:pPr>
                    <w:r>
                      <w:fldChar w:fldCharType="begin"/>
                    </w:r>
                    <w:r>
                      <w:instrText>PAGE    \* MERGEFORMAT</w:instrText>
                    </w:r>
                    <w:r>
                      <w:fldChar w:fldCharType="separate"/>
                    </w:r>
                    <w:r w:rsidR="008A7175" w:rsidRPr="008A7175">
                      <w:rPr>
                        <w:noProof/>
                        <w:sz w:val="28"/>
                        <w:szCs w:val="28"/>
                      </w:rPr>
                      <w:t>0</w:t>
                    </w:r>
                    <w:r>
                      <w:rPr>
                        <w:sz w:val="28"/>
                        <w:szCs w:val="2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2A1A" w14:textId="66C5C6E1" w:rsidR="0075784E" w:rsidRDefault="0075784E">
    <w:pPr>
      <w:pStyle w:val="Pieddepage"/>
      <w:jc w:val="right"/>
    </w:pPr>
    <w:r>
      <w:fldChar w:fldCharType="begin"/>
    </w:r>
    <w:r>
      <w:instrText>PAGE   \* MERGEFORMAT</w:instrText>
    </w:r>
    <w:r>
      <w:fldChar w:fldCharType="separate"/>
    </w:r>
    <w:r w:rsidR="00214E6B">
      <w:rPr>
        <w:noProof/>
      </w:rPr>
      <w:t>172</w:t>
    </w:r>
    <w:r>
      <w:fldChar w:fldCharType="end"/>
    </w:r>
  </w:p>
  <w:p w14:paraId="36292420" w14:textId="77777777" w:rsidR="0075784E" w:rsidRDefault="0075784E">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6CB59" w14:textId="03118CEE" w:rsidR="0075784E" w:rsidRDefault="0075784E">
    <w:pPr>
      <w:pStyle w:val="Pieddepage"/>
      <w:jc w:val="right"/>
    </w:pPr>
    <w:r>
      <w:fldChar w:fldCharType="begin"/>
    </w:r>
    <w:r>
      <w:instrText>PAGE   \* MERGEFORMAT</w:instrText>
    </w:r>
    <w:r>
      <w:fldChar w:fldCharType="separate"/>
    </w:r>
    <w:r w:rsidR="00214E6B">
      <w:rPr>
        <w:noProof/>
      </w:rPr>
      <w:t>268</w:t>
    </w:r>
    <w:r>
      <w:fldChar w:fldCharType="end"/>
    </w:r>
  </w:p>
  <w:p w14:paraId="66C3F84F" w14:textId="77777777" w:rsidR="0075784E" w:rsidRDefault="0075784E">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B6FC2" w14:textId="77777777" w:rsidR="0075784E" w:rsidRDefault="0075784E">
    <w:pPr>
      <w:spacing w:after="0"/>
      <w:ind w:right="-3"/>
      <w:jc w:val="right"/>
    </w:pPr>
    <w:r>
      <w:fldChar w:fldCharType="begin"/>
    </w:r>
    <w:r>
      <w:instrText xml:space="preserve"> PAGE   \* MERGEFORMAT </w:instrText>
    </w:r>
    <w:r>
      <w:fldChar w:fldCharType="separate"/>
    </w:r>
    <w:r>
      <w:t>23</w:t>
    </w:r>
    <w:r>
      <w:fldChar w:fldCharType="end"/>
    </w:r>
    <w:r>
      <w:rPr>
        <w:rFonts w:cs="Calibri"/>
      </w:rPr>
      <w:t xml:space="preserve"> </w:t>
    </w:r>
  </w:p>
  <w:p w14:paraId="04DB294A" w14:textId="77777777" w:rsidR="0075784E" w:rsidRDefault="0075784E">
    <w:pPr>
      <w:spacing w:after="0"/>
    </w:pPr>
    <w:r>
      <w:rPr>
        <w:rFonts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9749E" w14:textId="73262C2F" w:rsidR="0075784E" w:rsidRDefault="0075784E">
    <w:pPr>
      <w:spacing w:after="0"/>
      <w:ind w:right="-3"/>
      <w:jc w:val="right"/>
    </w:pPr>
    <w:r>
      <w:fldChar w:fldCharType="begin"/>
    </w:r>
    <w:r>
      <w:instrText xml:space="preserve"> PAGE   \* MERGEFORMAT </w:instrText>
    </w:r>
    <w:r>
      <w:fldChar w:fldCharType="separate"/>
    </w:r>
    <w:r w:rsidR="00214E6B">
      <w:rPr>
        <w:noProof/>
      </w:rPr>
      <w:t>328</w:t>
    </w:r>
    <w:r>
      <w:fldChar w:fldCharType="end"/>
    </w:r>
    <w:r>
      <w:rPr>
        <w:rFonts w:cs="Calibri"/>
      </w:rPr>
      <w:t xml:space="preserve"> </w:t>
    </w:r>
  </w:p>
  <w:p w14:paraId="6A0BA491" w14:textId="77777777" w:rsidR="0075784E" w:rsidRDefault="0075784E">
    <w:pPr>
      <w:spacing w:after="0"/>
    </w:pPr>
    <w:r>
      <w:rPr>
        <w:rFonts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723880" w14:textId="270AECE3" w:rsidR="0075784E" w:rsidRDefault="0075784E">
    <w:pPr>
      <w:spacing w:after="0"/>
      <w:ind w:right="-3"/>
      <w:jc w:val="right"/>
    </w:pPr>
    <w:r>
      <w:fldChar w:fldCharType="begin"/>
    </w:r>
    <w:r>
      <w:instrText xml:space="preserve"> PAGE   \* MERGEFORMAT </w:instrText>
    </w:r>
    <w:r>
      <w:fldChar w:fldCharType="separate"/>
    </w:r>
    <w:r w:rsidR="00214E6B">
      <w:rPr>
        <w:noProof/>
      </w:rPr>
      <w:t>320</w:t>
    </w:r>
    <w:r>
      <w:fldChar w:fldCharType="end"/>
    </w:r>
    <w:r>
      <w:rPr>
        <w:rFonts w:cs="Calibri"/>
      </w:rPr>
      <w:t xml:space="preserve"> </w:t>
    </w:r>
  </w:p>
  <w:p w14:paraId="5FEE59BE" w14:textId="77777777" w:rsidR="0075784E" w:rsidRDefault="0075784E">
    <w:pPr>
      <w:spacing w:after="0"/>
    </w:pPr>
    <w:r>
      <w:rPr>
        <w:rFonts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A5395" w14:textId="77777777" w:rsidR="0075784E" w:rsidRDefault="0075784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99E597" w14:textId="7F824293" w:rsidR="0075784E" w:rsidRDefault="0075784E">
    <w:pPr>
      <w:pStyle w:val="Pieddepage"/>
      <w:jc w:val="center"/>
    </w:pPr>
    <w:r>
      <w:fldChar w:fldCharType="begin"/>
    </w:r>
    <w:r>
      <w:instrText>PAGE   \* MERGEFORMAT</w:instrText>
    </w:r>
    <w:r>
      <w:fldChar w:fldCharType="separate"/>
    </w:r>
    <w:r w:rsidR="00214E6B">
      <w:rPr>
        <w:noProof/>
      </w:rPr>
      <w:t>342</w:t>
    </w:r>
    <w:r>
      <w:fldChar w:fldCharType="end"/>
    </w:r>
  </w:p>
  <w:p w14:paraId="3E09A806" w14:textId="77777777" w:rsidR="0075784E" w:rsidRDefault="007578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15C4A" w14:textId="77777777" w:rsidR="004C0F64" w:rsidRDefault="004C0F64">
      <w:pPr>
        <w:spacing w:after="0" w:line="240" w:lineRule="auto"/>
      </w:pPr>
      <w:r>
        <w:separator/>
      </w:r>
    </w:p>
  </w:footnote>
  <w:footnote w:type="continuationSeparator" w:id="0">
    <w:p w14:paraId="11D21C2F" w14:textId="77777777" w:rsidR="004C0F64" w:rsidRDefault="004C0F64">
      <w:pPr>
        <w:spacing w:after="0" w:line="240" w:lineRule="auto"/>
      </w:pPr>
      <w:r>
        <w:continuationSeparator/>
      </w:r>
    </w:p>
  </w:footnote>
  <w:footnote w:id="1">
    <w:p w14:paraId="5857F8AC" w14:textId="77777777" w:rsidR="0075784E" w:rsidRPr="00AE31F1" w:rsidRDefault="0075784E" w:rsidP="00F56080">
      <w:pPr>
        <w:pStyle w:val="Notedebasdepage"/>
        <w:rPr>
          <w:rFonts w:ascii="Times New Roman" w:hAnsi="Times New Roman" w:cs="Times New Roman"/>
          <w:sz w:val="18"/>
          <w:szCs w:val="18"/>
          <w:u w:val="single"/>
        </w:rPr>
      </w:pPr>
      <w:r w:rsidRPr="00AE31F1">
        <w:rPr>
          <w:rStyle w:val="Appelnotedebasdep"/>
          <w:rFonts w:ascii="Times New Roman" w:hAnsi="Times New Roman" w:cs="Times New Roman"/>
          <w:sz w:val="18"/>
          <w:szCs w:val="18"/>
        </w:rPr>
        <w:footnoteRef/>
      </w:r>
      <w:r w:rsidRPr="00AE31F1">
        <w:rPr>
          <w:rFonts w:ascii="Times New Roman" w:hAnsi="Times New Roman" w:cs="Times New Roman"/>
          <w:sz w:val="18"/>
          <w:szCs w:val="18"/>
        </w:rPr>
        <w:t xml:space="preserve"> </w:t>
      </w:r>
      <w:hyperlink r:id="rId1" w:tgtFrame="_blank" w:history="1">
        <w:r w:rsidRPr="00AE31F1">
          <w:rPr>
            <w:rStyle w:val="Lienhypertexte"/>
            <w:rFonts w:ascii="Times New Roman" w:hAnsi="Times New Roman" w:cs="Times New Roman"/>
            <w:sz w:val="18"/>
            <w:szCs w:val="18"/>
          </w:rPr>
          <w:t>http://pubdocs.worldbank.org/en/215761593706525660/ESF-GPN-SEASH-in-major-civil-works-French.pdf</w:t>
        </w:r>
      </w:hyperlink>
    </w:p>
    <w:p w14:paraId="1CE78DF2" w14:textId="41EBBF38" w:rsidR="0075784E" w:rsidRPr="00AE31F1" w:rsidRDefault="0075784E">
      <w:pPr>
        <w:pStyle w:val="Notedebasdepage"/>
        <w:rPr>
          <w:lang w:val="es-ES"/>
        </w:rPr>
      </w:pPr>
    </w:p>
  </w:footnote>
  <w:footnote w:id="2">
    <w:p w14:paraId="0A898F3F" w14:textId="77777777" w:rsidR="0075784E" w:rsidRPr="00AE31F1" w:rsidRDefault="0075784E" w:rsidP="009C11E8">
      <w:pPr>
        <w:pStyle w:val="Notedebasdepage"/>
        <w:rPr>
          <w:lang w:val="es-ES"/>
        </w:rPr>
      </w:pPr>
      <w:r>
        <w:rPr>
          <w:rStyle w:val="Caractresdenotedebasdepage"/>
          <w:rFonts w:ascii="Times New Roman" w:hAnsi="Times New Roman"/>
        </w:rPr>
        <w:footnoteRef/>
      </w:r>
      <w:hyperlink r:id="rId2" w:anchor="_blank" w:history="1">
        <w:r w:rsidRPr="00AE31F1">
          <w:rPr>
            <w:rStyle w:val="Lienhypertexte"/>
            <w:rFonts w:ascii="Times New Roman" w:hAnsi="Times New Roman" w:cs="Times New Roman"/>
            <w:sz w:val="18"/>
            <w:szCs w:val="18"/>
            <w:lang w:val="es-ES"/>
          </w:rPr>
          <w:t xml:space="preserve"> http://pubdocs.worldbank.org/en/215761593706525660/ESF-GPN-SEASH-in-major-civil-works-French.pdf</w:t>
        </w:r>
      </w:hyperlink>
    </w:p>
    <w:p w14:paraId="5A490E25" w14:textId="77777777" w:rsidR="0075784E" w:rsidRPr="00AE31F1" w:rsidRDefault="0075784E" w:rsidP="009C11E8">
      <w:pPr>
        <w:pStyle w:val="Notedebasdepage"/>
        <w:rPr>
          <w:lang w:val="es-ES"/>
        </w:rPr>
      </w:pPr>
    </w:p>
  </w:footnote>
  <w:footnote w:id="3">
    <w:p w14:paraId="0FDDCFF8" w14:textId="77777777" w:rsidR="0075784E" w:rsidRPr="00215867" w:rsidRDefault="0075784E" w:rsidP="00915003">
      <w:pPr>
        <w:pStyle w:val="Notedebasdepage"/>
        <w:rPr>
          <w:sz w:val="18"/>
          <w:szCs w:val="18"/>
          <w:lang w:val="es-ES"/>
        </w:rPr>
      </w:pPr>
      <w:r>
        <w:rPr>
          <w:rStyle w:val="Appelnotedebasdep"/>
          <w:rFonts w:ascii="Times New Roman" w:hAnsi="Times New Roman" w:cs="Times New Roman"/>
          <w:sz w:val="18"/>
          <w:szCs w:val="18"/>
        </w:rPr>
        <w:footnoteRef/>
      </w:r>
      <w:r w:rsidRPr="00215867">
        <w:rPr>
          <w:rFonts w:ascii="Times New Roman" w:hAnsi="Times New Roman" w:cs="Times New Roman"/>
          <w:sz w:val="18"/>
          <w:szCs w:val="18"/>
          <w:lang w:val="es-ES"/>
        </w:rPr>
        <w:t xml:space="preserve"> </w:t>
      </w:r>
      <w:hyperlink r:id="rId3" w:tgtFrame="_blank" w:history="1">
        <w:r w:rsidRPr="00215867">
          <w:rPr>
            <w:rStyle w:val="Lienhypertexte"/>
            <w:rFonts w:cs="Times New Roman"/>
            <w:sz w:val="18"/>
            <w:szCs w:val="18"/>
            <w:lang w:val="es-ES"/>
          </w:rPr>
          <w:t>http://pubdocs.worldbank.org/en/215761593706525660/ESF-GPN-SEASH-in-major-civil-works-French.pdf</w:t>
        </w:r>
      </w:hyperlink>
    </w:p>
    <w:p w14:paraId="4B8004BB" w14:textId="77777777" w:rsidR="0075784E" w:rsidRDefault="0075784E" w:rsidP="00915003">
      <w:pPr>
        <w:pStyle w:val="Notedebasdepage"/>
        <w:rPr>
          <w:lang w:val="es-ES"/>
        </w:rPr>
      </w:pPr>
    </w:p>
  </w:footnote>
  <w:footnote w:id="4">
    <w:p w14:paraId="1B3EE989" w14:textId="77777777" w:rsidR="0075784E" w:rsidRPr="00AE31F1" w:rsidRDefault="0075784E">
      <w:pPr>
        <w:rPr>
          <w:lang w:val="es-ES"/>
        </w:rPr>
      </w:pPr>
    </w:p>
    <w:p w14:paraId="5791DEAC" w14:textId="77777777" w:rsidR="0075784E" w:rsidRPr="00AE31F1" w:rsidRDefault="0075784E" w:rsidP="003B6467">
      <w:pPr>
        <w:pStyle w:val="Notedebasdepage"/>
        <w:rPr>
          <w:lang w:val="es-ES"/>
        </w:rPr>
      </w:pPr>
    </w:p>
  </w:footnote>
  <w:footnote w:id="5">
    <w:p w14:paraId="0CE64469" w14:textId="77777777" w:rsidR="0075784E" w:rsidRPr="00AE31F1" w:rsidRDefault="0075784E" w:rsidP="003A1A9E">
      <w:pPr>
        <w:pStyle w:val="Notedebasdepage"/>
        <w:rPr>
          <w:u w:val="single"/>
          <w:lang w:val="es-ES"/>
        </w:rPr>
      </w:pPr>
      <w:r>
        <w:rPr>
          <w:rStyle w:val="Appelnotedebasdep"/>
        </w:rPr>
        <w:footnoteRef/>
      </w:r>
      <w:r w:rsidRPr="00AE31F1">
        <w:rPr>
          <w:lang w:val="es-ES"/>
        </w:rPr>
        <w:t xml:space="preserve"> </w:t>
      </w:r>
      <w:hyperlink r:id="rId4" w:tgtFrame="_blank" w:history="1">
        <w:r w:rsidRPr="00AE31F1">
          <w:rPr>
            <w:rStyle w:val="Lienhypertexte"/>
            <w:lang w:val="es-ES"/>
          </w:rPr>
          <w:t>http://pubdocs.worldbank.org/en/215761593706525660/ESF-GPN-SEASH-in-major-civil-works-French.pdf</w:t>
        </w:r>
      </w:hyperlink>
    </w:p>
    <w:p w14:paraId="3FBF0BA1" w14:textId="78DB269D" w:rsidR="0075784E" w:rsidRPr="00AE31F1" w:rsidRDefault="0075784E">
      <w:pPr>
        <w:pStyle w:val="Notedebasdepage"/>
        <w:rPr>
          <w:lang w:val="es-ES"/>
        </w:rPr>
      </w:pPr>
    </w:p>
  </w:footnote>
  <w:footnote w:id="6">
    <w:p w14:paraId="51D77E2F" w14:textId="73E69E33" w:rsidR="0075784E" w:rsidRPr="00215867" w:rsidRDefault="0075784E">
      <w:pPr>
        <w:pStyle w:val="Notedebasdepage"/>
        <w:rPr>
          <w:rFonts w:ascii="Times New Roman" w:hAnsi="Times New Roman" w:cs="Times New Roman"/>
          <w:i/>
          <w:lang w:val="fr-CA"/>
        </w:rPr>
      </w:pPr>
      <w:r w:rsidRPr="00215867">
        <w:rPr>
          <w:rStyle w:val="Appelnotedebasdep"/>
          <w:rFonts w:ascii="Times New Roman" w:hAnsi="Times New Roman" w:cs="Times New Roman"/>
          <w:i/>
        </w:rPr>
        <w:footnoteRef/>
      </w:r>
      <w:r w:rsidRPr="00215867">
        <w:rPr>
          <w:rFonts w:ascii="Times New Roman" w:hAnsi="Times New Roman" w:cs="Times New Roman"/>
          <w:i/>
        </w:rPr>
        <w:t xml:space="preserve"> </w:t>
      </w:r>
      <w:r w:rsidRPr="00215867">
        <w:rPr>
          <w:rFonts w:ascii="Times New Roman" w:hAnsi="Times New Roman" w:cs="Times New Roman"/>
          <w:i/>
          <w:lang w:val="fr-CA"/>
        </w:rPr>
        <w:t>IFC : Directive environnementale, sanitaire et sécuritaire – Transport et distribution d’électricité, 30 avril 2007</w:t>
      </w:r>
    </w:p>
  </w:footnote>
  <w:footnote w:id="7">
    <w:p w14:paraId="340999A2" w14:textId="77777777" w:rsidR="0075784E" w:rsidRPr="000A4CE9" w:rsidRDefault="0075784E" w:rsidP="00AC7768">
      <w:pPr>
        <w:tabs>
          <w:tab w:val="left" w:pos="4820"/>
        </w:tabs>
        <w:autoSpaceDE w:val="0"/>
        <w:autoSpaceDN w:val="0"/>
        <w:adjustRightInd w:val="0"/>
        <w:spacing w:after="0" w:line="240" w:lineRule="auto"/>
        <w:rPr>
          <w:sz w:val="16"/>
          <w:szCs w:val="16"/>
        </w:rPr>
      </w:pPr>
      <w:r>
        <w:rPr>
          <w:rStyle w:val="Appelnotedebasdep"/>
        </w:rPr>
        <w:footnoteRef/>
      </w:r>
      <w:r>
        <w:t xml:space="preserve"> </w:t>
      </w:r>
      <w:r w:rsidRPr="000A4CE9">
        <w:rPr>
          <w:sz w:val="16"/>
          <w:szCs w:val="16"/>
        </w:rPr>
        <w:t>Autoévaluation Nationale des Capacités à</w:t>
      </w:r>
    </w:p>
    <w:p w14:paraId="6F579FF5" w14:textId="77777777" w:rsidR="0075784E" w:rsidRDefault="0075784E" w:rsidP="00AC7768">
      <w:pPr>
        <w:pStyle w:val="Notedebasdepage"/>
      </w:pPr>
      <w:r w:rsidRPr="000A4CE9">
        <w:rPr>
          <w:sz w:val="16"/>
          <w:szCs w:val="16"/>
        </w:rPr>
        <w:t>Renforcer</w:t>
      </w:r>
    </w:p>
  </w:footnote>
  <w:footnote w:id="8">
    <w:p w14:paraId="2791B884" w14:textId="5CAA5C9C" w:rsidR="0075784E" w:rsidRPr="00215867" w:rsidRDefault="0075784E">
      <w:pPr>
        <w:pStyle w:val="Notedebasdepage"/>
        <w:rPr>
          <w:lang w:val="fr-CD"/>
        </w:rPr>
      </w:pPr>
      <w:r>
        <w:rPr>
          <w:rStyle w:val="Appelnotedebasdep"/>
        </w:rPr>
        <w:footnoteRef/>
      </w:r>
      <w:r>
        <w:t xml:space="preserve"> </w:t>
      </w:r>
      <w:hyperlink r:id="rId5" w:anchor="ixzz7P1iWkMW6" w:history="1">
        <w:r w:rsidRPr="00215867">
          <w:rPr>
            <w:rFonts w:ascii="Arial Narrow" w:hAnsi="Arial Narrow"/>
            <w:sz w:val="16"/>
          </w:rPr>
          <w:t>https://www.lenntech.fr/periodique/elements/p.htm#ixzz7P1iWkMW6</w:t>
        </w:r>
      </w:hyperlink>
    </w:p>
  </w:footnote>
  <w:footnote w:id="9">
    <w:p w14:paraId="25E0DE54" w14:textId="3201B357" w:rsidR="0075784E" w:rsidRPr="00215867" w:rsidRDefault="0075784E">
      <w:pPr>
        <w:pStyle w:val="Notedebasdepage"/>
      </w:pPr>
      <w:r>
        <w:rPr>
          <w:rStyle w:val="Appelnotedebasdep"/>
        </w:rPr>
        <w:footnoteRef/>
      </w:r>
      <w:r w:rsidRPr="00215867">
        <w:t xml:space="preserve"> </w:t>
      </w:r>
      <w:r w:rsidRPr="00215867">
        <w:rPr>
          <w:rFonts w:ascii="Arial Narrow" w:hAnsi="Arial Narrow"/>
          <w:sz w:val="16"/>
        </w:rPr>
        <w:t>Fan, A. M. et Steinberg, V.E (1996), Health implications of nitrate and nitrite in drinking water ; an update on methemoglobinemia occurrence and reproductive and developmental toxicity, Regul Toxicol Pharmacol, 23 (1 Pt 1), 35-43</w:t>
      </w:r>
    </w:p>
  </w:footnote>
  <w:footnote w:id="10">
    <w:p w14:paraId="3F37D743" w14:textId="7FD7FE0E" w:rsidR="0075784E" w:rsidRPr="00215867" w:rsidRDefault="0075784E">
      <w:pPr>
        <w:pStyle w:val="Notedebasdepage"/>
      </w:pPr>
      <w:r>
        <w:rPr>
          <w:rStyle w:val="Appelnotedebasdep"/>
        </w:rPr>
        <w:footnoteRef/>
      </w:r>
      <w:r w:rsidRPr="00215867">
        <w:t xml:space="preserve"> </w:t>
      </w:r>
      <w:hyperlink r:id="rId6" w:history="1">
        <w:r w:rsidRPr="00215867">
          <w:rPr>
            <w:rStyle w:val="Lienhypertexte"/>
          </w:rPr>
          <w:t>www.lenntech.fr/periodique/elements/ni.htm</w:t>
        </w:r>
      </w:hyperlink>
      <w:r w:rsidRPr="00215867">
        <w:t xml:space="preserve"> </w:t>
      </w:r>
    </w:p>
  </w:footnote>
  <w:footnote w:id="11">
    <w:p w14:paraId="12184547" w14:textId="77777777" w:rsidR="0075784E" w:rsidRDefault="0075784E" w:rsidP="00574826">
      <w:pPr>
        <w:pStyle w:val="Notedebasdepage"/>
      </w:pPr>
      <w:r>
        <w:rPr>
          <w:rStyle w:val="Appelnotedebasdep"/>
        </w:rPr>
        <w:footnoteRef/>
      </w:r>
      <w:r>
        <w:t xml:space="preserve"> </w:t>
      </w:r>
      <w:r w:rsidRPr="00F35790">
        <w:rPr>
          <w:rFonts w:cs="Arial"/>
          <w:sz w:val="19"/>
          <w:szCs w:val="19"/>
        </w:rPr>
        <w:t>Banque Mon</w:t>
      </w:r>
      <w:r w:rsidRPr="00A50F5F">
        <w:rPr>
          <w:rFonts w:cs="Arial"/>
          <w:sz w:val="19"/>
          <w:szCs w:val="19"/>
        </w:rPr>
        <w:t>diale, Extrait de principes de sauvegarde du patrimoine culturel physique-guide pratique</w:t>
      </w:r>
      <w:r w:rsidRPr="00F35790">
        <w:rPr>
          <w:rFonts w:cs="Arial"/>
          <w:sz w:val="19"/>
          <w:szCs w:val="19"/>
        </w:rPr>
        <w:t>, mars 2009,</w:t>
      </w:r>
    </w:p>
  </w:footnote>
  <w:footnote w:id="12">
    <w:p w14:paraId="482671A2" w14:textId="77777777" w:rsidR="0075784E" w:rsidRPr="00E737B4" w:rsidRDefault="0075784E" w:rsidP="004F08B7">
      <w:pPr>
        <w:rPr>
          <w:rFonts w:ascii="Times New Roman" w:hAnsi="Times New Roman"/>
          <w:b/>
          <w:sz w:val="16"/>
          <w:szCs w:val="16"/>
        </w:rPr>
      </w:pPr>
      <w:r w:rsidRPr="00E737B4">
        <w:rPr>
          <w:rStyle w:val="Appelnotedebasdep"/>
          <w:rFonts w:ascii="Times New Roman" w:hAnsi="Times New Roman"/>
          <w:sz w:val="16"/>
          <w:szCs w:val="16"/>
        </w:rPr>
        <w:footnoteRef/>
      </w:r>
      <w:r w:rsidRPr="00E737B4">
        <w:rPr>
          <w:rFonts w:ascii="Times New Roman" w:hAnsi="Times New Roman"/>
          <w:b/>
          <w:sz w:val="16"/>
          <w:szCs w:val="16"/>
        </w:rPr>
        <w:t xml:space="preserve"> Violence basée sur le genre (VBG)</w:t>
      </w:r>
      <w:r w:rsidRPr="00E737B4">
        <w:rPr>
          <w:rFonts w:ascii="Times New Roman" w:hAnsi="Times New Roman"/>
          <w:sz w:val="16"/>
          <w:szCs w:val="16"/>
        </w:rPr>
        <w:t xml:space="preserve"> - est un terme générique pour tout acte nuisible qui est perpétré contre la volonté d'une personne et qui est basé sur les différences socialement attribuées (c.-à-d. le genre) entre les hommes et les femmes. Elle comprend les actes qui infligent un préjudice ou des souffrances physiques, sexuelles ou mentales, les menaces de tels actes, la coercition et d'autres privations de liberté. Ces actes peuvent se produire en public ou en privé. Le terme VBG est utilisé pour souligner l'inégalité systémique entre les hommes et les femmes (qui existe dans toutes les sociétés du monde) et agit comme une caractéristique unificatrice et fondatrice de la plupart des formes de violence perpétrées contre les femmes et les filles. La Déclaration des Nations Unies sur l'élimination de la violence à l'égard des femmes de 1993 définit la violence à l'égard des femmes comme " tout acte de violence fondée sur le sexe qui entraîne ou est susceptible d'entraîner un préjudice ou des souffrances physiques, sexuelles ou psychologiques pour les femmes ".</w:t>
      </w:r>
    </w:p>
  </w:footnote>
  <w:footnote w:id="13">
    <w:p w14:paraId="05E24094" w14:textId="77777777" w:rsidR="0075784E" w:rsidRPr="009658C8" w:rsidRDefault="0075784E" w:rsidP="004F08B7">
      <w:pPr>
        <w:pStyle w:val="Notedebasdepage"/>
        <w:rPr>
          <w:sz w:val="18"/>
          <w:szCs w:val="18"/>
        </w:rPr>
      </w:pPr>
      <w:r w:rsidRPr="00E737B4">
        <w:rPr>
          <w:rStyle w:val="Appelnotedebasdep"/>
          <w:rFonts w:ascii="Times New Roman" w:hAnsi="Times New Roman" w:cs="Times New Roman"/>
          <w:sz w:val="16"/>
          <w:szCs w:val="16"/>
        </w:rPr>
        <w:footnoteRef/>
      </w:r>
      <w:r w:rsidRPr="00E737B4">
        <w:rPr>
          <w:rFonts w:ascii="Times New Roman" w:hAnsi="Times New Roman" w:cs="Times New Roman"/>
          <w:sz w:val="16"/>
          <w:szCs w:val="16"/>
        </w:rPr>
        <w:t xml:space="preserve"> </w:t>
      </w:r>
      <w:r w:rsidRPr="00E737B4">
        <w:rPr>
          <w:rFonts w:ascii="Times New Roman" w:hAnsi="Times New Roman" w:cs="Times New Roman"/>
          <w:b/>
          <w:sz w:val="16"/>
          <w:szCs w:val="16"/>
        </w:rPr>
        <w:t xml:space="preserve">  Violence contre les enfants (VCE)</w:t>
      </w:r>
      <w:r w:rsidRPr="00E737B4">
        <w:rPr>
          <w:rFonts w:ascii="Times New Roman" w:hAnsi="Times New Roman" w:cs="Times New Roman"/>
          <w:sz w:val="16"/>
          <w:szCs w:val="16"/>
        </w:rPr>
        <w:t xml:space="preserve"> - est défini comme un préjudice physique, sexuel, émotionnel et/ou psychologique, la négligence ou le traitement négligent d'enfants mineurs (c.-à-d. de moins de 18 ans), y compris l'exposition à un tel préjudice, qui entraîne un préjudice réel ou potentiel pour la santé, la survie, le développement ou la dignité de l'enfant dans le contexte d'une relation de responsabilité, de confiance ou de pouvoir. Cela comprend l'utilisation des enfants à des fins lucratives, le travail, la gratification sexuelle ou tout autre avantage personnel ou financier. Cela comprend également d'autres activités telles que l'utilisation d'ordinateurs, de téléphones portables, de caméras vidéo et numériques ou de tout autre moyen d'exploiter ou de harceler les enfants ou d'accéder à de la pornographie enfantine.</w:t>
      </w:r>
    </w:p>
  </w:footnote>
  <w:footnote w:id="14">
    <w:p w14:paraId="53D41062"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Il est important de noter que les femmes et les filles expéri</w:t>
      </w:r>
      <w:r>
        <w:rPr>
          <w:sz w:val="16"/>
          <w:szCs w:val="16"/>
        </w:rPr>
        <w:t>m</w:t>
      </w:r>
      <w:r w:rsidRPr="00D241BD">
        <w:rPr>
          <w:sz w:val="16"/>
          <w:szCs w:val="16"/>
        </w:rPr>
        <w:t>en</w:t>
      </w:r>
      <w:r>
        <w:rPr>
          <w:sz w:val="16"/>
          <w:szCs w:val="16"/>
        </w:rPr>
        <w:t>t</w:t>
      </w:r>
      <w:r w:rsidRPr="00D241BD">
        <w:rPr>
          <w:sz w:val="16"/>
          <w:szCs w:val="16"/>
        </w:rPr>
        <w:t>ent la violence de façon disproportionnée ; au total 35% des femmes dans le monde ont subi des violences physiques ou sexuelles (OMS, estimations mondiales et régionales de la violence contre les femmes : prévalence et effets sur la santé de la violence domestique et de la violence sexuelle non-domestique, 2013). Des hommes et des garçons subissent aussi des violences basées sur leur genre et des relations de pouvoir inégales.</w:t>
      </w:r>
    </w:p>
  </w:footnote>
  <w:footnote w:id="15">
    <w:p w14:paraId="0985564C"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L’exposition à VBG est aussi considérée comme VCE.</w:t>
      </w:r>
    </w:p>
  </w:footnote>
  <w:footnote w:id="16">
    <w:p w14:paraId="5B4C5B27"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L’emploi des enfants doit respecter toute législation locale pertinente, y compris les lois du travail relatives au travail des enfants et les politiques de sauvegardes de la Banque mondiale sur le travail des enfants et l’âge minimum. Il doit aussi respecter les standards de santé et sécurité au travail du projet.</w:t>
      </w:r>
    </w:p>
  </w:footnote>
  <w:footnote w:id="17">
    <w:p w14:paraId="1B51D431"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Le consentement est défini comme le choix éclairé qui sous-tend l'intention libre et volontaire d'un individu, son acceptation ou son accord à faire quelque chose. Aucun consentement ne peut être trouvé lorsque cette acceptation ou cet accord est obtenu en utilisant des menaces, la force ou d'autres formes de coercition, d'enlèvement, de fraude, de tromperie ou de fausse déclaration. Conformément à la Convention des Nations Unies relative aux droits de l'enfant, la Banque mondiale considère que le consentement ne peut être donné par des enfants de moins de 18 ans, même si la législation nationale du pays dans lequel le Code de conduite est introduite à un âge inférieur. Une croyance erronée concernant l'âge de l'enfant et le consentement de l'enfant n'est pas un moyen de défense.</w:t>
      </w:r>
    </w:p>
  </w:footnote>
  <w:footnote w:id="18">
    <w:p w14:paraId="2D461A4B"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Lorsqu’il y a plusieurs entrepreneurs travaillant pour le projet, chacun d’entre eux doit nommer un représentant.</w:t>
      </w:r>
    </w:p>
  </w:footnote>
  <w:footnote w:id="19">
    <w:p w14:paraId="756B7573"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Les survivants de VBG et VCE peuvent avoir besoin de la police, la justice, des services de santé, des services psycho-sociaux, d’un hébergement d’urgence, et des services d’aide à la subsistance pour faire face à la situation.</w:t>
      </w:r>
    </w:p>
  </w:footnote>
  <w:footnote w:id="20">
    <w:p w14:paraId="3685C48C" w14:textId="77777777" w:rsidR="0075784E" w:rsidRPr="00D241BD" w:rsidRDefault="0075784E" w:rsidP="004F08B7">
      <w:pPr>
        <w:pStyle w:val="Notedebasdepage"/>
        <w:rPr>
          <w:sz w:val="16"/>
          <w:szCs w:val="16"/>
        </w:rPr>
      </w:pPr>
      <w:r w:rsidRPr="00D241BD">
        <w:rPr>
          <w:rStyle w:val="Appelnotedebasdep"/>
        </w:rPr>
        <w:footnoteRef/>
      </w:r>
      <w:r w:rsidRPr="00D241BD">
        <w:rPr>
          <w:sz w:val="16"/>
          <w:szCs w:val="16"/>
        </w:rPr>
        <w:t xml:space="preserve"> Il est essentiel d'adopter une approche centrée sur les survivants. Les survivants devraient participer pleinement à la prise de décision. Sauf circonstances exceptionnelles, les agresseurs devraient être tenus de prendre des mesures appropriées tenant compte des survivants (p. ex. déménagement, changement d’horaires, etc.), plutôt que l’inverse (i.e. faire subir des changements aux survivants). </w:t>
      </w:r>
    </w:p>
  </w:footnote>
  <w:footnote w:id="21">
    <w:p w14:paraId="44D20DCB" w14:textId="77777777" w:rsidR="0075784E" w:rsidRPr="007D49B0" w:rsidRDefault="0075784E" w:rsidP="004F08B7">
      <w:pPr>
        <w:pStyle w:val="Notedebasdepage"/>
        <w:rPr>
          <w:iCs/>
        </w:rPr>
      </w:pPr>
      <w:r w:rsidRPr="00DD6F80">
        <w:rPr>
          <w:rStyle w:val="Appelnotedebasdep"/>
        </w:rPr>
        <w:footnoteRef/>
      </w:r>
      <w:r>
        <w:tab/>
      </w:r>
      <w:r w:rsidRPr="007D49B0">
        <w:rPr>
          <w:iCs/>
        </w:rPr>
        <w:t>Le Garant doit insérer le montant du Marché mentionné au Marché soit dans la (ou les) monnaie(s) mentionnée(s) au Marché, soit dans toute autre monnaie librement convertible acceptable par le Maître de l’Ouvrage.</w:t>
      </w:r>
    </w:p>
  </w:footnote>
  <w:footnote w:id="22">
    <w:p w14:paraId="496803E8" w14:textId="77777777" w:rsidR="0075784E" w:rsidRPr="007D49B0" w:rsidRDefault="0075784E" w:rsidP="004F08B7">
      <w:pPr>
        <w:pStyle w:val="Notedebasdepage"/>
        <w:tabs>
          <w:tab w:val="left" w:pos="360"/>
        </w:tabs>
        <w:rPr>
          <w:iCs/>
        </w:rPr>
      </w:pPr>
      <w:r w:rsidRPr="007D49B0">
        <w:rPr>
          <w:rStyle w:val="Appelnotedebasdep"/>
          <w:iCs/>
        </w:rPr>
        <w:footnoteRef/>
      </w:r>
      <w:r w:rsidRPr="007D49B0">
        <w:rPr>
          <w:iCs/>
        </w:rPr>
        <w:t xml:space="preserve"> </w:t>
      </w:r>
      <w:r w:rsidRPr="007D49B0">
        <w:rPr>
          <w:iCs/>
        </w:rPr>
        <w:tab/>
        <w:t xml:space="preserve">Insérer la date représentant vingt-huit jours suivant la date estimée de l’émission du certificat de garantie des travaux. Le Maître de l’Ouvrage doit prendre en compte le fait que, dans le cas d’une prorogation de la durée du Marché, il devra demander au Garant de prolonger la durée de la présente garantie. Une telle demande doit être faite par écrit avant la date d’expiration mentionnée dans la garantie. Lorsqu’il préparera la garantie, le Maître de l’Ouvrage peut considérer ajouter ce qui suit à la fin de l’avant-dernier paragraphe : « Sur demande écrite du Bénéficiaire, formulée avant l’expiration de la présente garantie, le Garant prolongera la durée de cette garantie pour une période ne dépassant pas </w:t>
      </w:r>
      <w:r w:rsidRPr="007D49B0">
        <w:rPr>
          <w:i/>
        </w:rPr>
        <w:t>[six mois] [un an]</w:t>
      </w:r>
      <w:r w:rsidRPr="007D49B0">
        <w:rPr>
          <w:iCs/>
        </w:rPr>
        <w:t>. Une telle extension ne sera accordée qu’une fois. »</w:t>
      </w:r>
    </w:p>
  </w:footnote>
  <w:footnote w:id="23">
    <w:p w14:paraId="628ECB89" w14:textId="2B45D607" w:rsidR="0075784E" w:rsidRDefault="0075784E" w:rsidP="0075784E">
      <w:pPr>
        <w:tabs>
          <w:tab w:val="left" w:pos="3990"/>
        </w:tabs>
      </w:pPr>
      <w:r>
        <w:tab/>
      </w:r>
    </w:p>
    <w:p w14:paraId="4252CE5E" w14:textId="77777777" w:rsidR="0075784E" w:rsidRDefault="0075784E" w:rsidP="004C12CB">
      <w:pPr>
        <w:pStyle w:val="Notedebasdepage"/>
      </w:pPr>
    </w:p>
  </w:footnote>
  <w:footnote w:id="24">
    <w:p w14:paraId="7DC3C3A9" w14:textId="77777777" w:rsidR="0075784E" w:rsidRPr="00BD450E" w:rsidRDefault="0075784E" w:rsidP="004C12CB">
      <w:pPr>
        <w:ind w:right="-1"/>
        <w:rPr>
          <w:rFonts w:ascii="Arial" w:hAnsi="Arial" w:cs="Arial"/>
          <w:sz w:val="16"/>
          <w:szCs w:val="16"/>
          <w:lang w:eastAsia="es-ES_tradnl"/>
        </w:rPr>
      </w:pPr>
      <w:r w:rsidRPr="00BD450E">
        <w:rPr>
          <w:rStyle w:val="Appelnotedebasdep"/>
          <w:rFonts w:ascii="Arial" w:hAnsi="Arial" w:cs="Arial"/>
          <w:sz w:val="16"/>
          <w:szCs w:val="16"/>
        </w:rPr>
        <w:footnoteRef/>
      </w:r>
      <w:r w:rsidRPr="00BD450E">
        <w:rPr>
          <w:rFonts w:ascii="Arial" w:hAnsi="Arial" w:cs="Arial"/>
          <w:sz w:val="16"/>
          <w:szCs w:val="16"/>
        </w:rPr>
        <w:t xml:space="preserve"> </w:t>
      </w:r>
      <w:hyperlink r:id="rId7" w:tgtFrame="_blank" w:history="1">
        <w:r w:rsidRPr="00BD450E">
          <w:rPr>
            <w:rFonts w:ascii="Arial" w:hAnsi="Arial" w:cs="Arial"/>
            <w:color w:val="0000FF"/>
            <w:sz w:val="16"/>
            <w:szCs w:val="16"/>
            <w:u w:val="single"/>
            <w:bdr w:val="none" w:sz="0" w:space="0" w:color="auto" w:frame="1"/>
            <w:lang w:eastAsia="es-ES_tradnl"/>
          </w:rPr>
          <w:t>http://pubdocs.worldbank.org/en/215761593706525660/ESF-GPN-SEASH-in-major-civil-works-French.pdf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5207BCFC" w14:textId="77777777" w:rsidTr="0062151B">
      <w:tc>
        <w:tcPr>
          <w:tcW w:w="4668" w:type="dxa"/>
        </w:tcPr>
        <w:p w14:paraId="28FA9AB5" w14:textId="77777777" w:rsidR="0075784E" w:rsidRPr="00420C1B" w:rsidRDefault="0075784E" w:rsidP="0062151B">
          <w:pPr>
            <w:ind w:left="-115"/>
          </w:pPr>
        </w:p>
      </w:tc>
      <w:tc>
        <w:tcPr>
          <w:tcW w:w="4668" w:type="dxa"/>
        </w:tcPr>
        <w:p w14:paraId="310DCEF9" w14:textId="77777777" w:rsidR="0075784E" w:rsidRPr="00420C1B" w:rsidRDefault="0075784E" w:rsidP="0062151B">
          <w:pPr>
            <w:jc w:val="center"/>
          </w:pPr>
        </w:p>
      </w:tc>
      <w:tc>
        <w:tcPr>
          <w:tcW w:w="4668" w:type="dxa"/>
        </w:tcPr>
        <w:p w14:paraId="79C9E94A" w14:textId="77777777" w:rsidR="0075784E" w:rsidRPr="00420C1B" w:rsidRDefault="0075784E" w:rsidP="0062151B">
          <w:pPr>
            <w:ind w:right="-115"/>
            <w:jc w:val="right"/>
          </w:pPr>
        </w:p>
      </w:tc>
    </w:tr>
  </w:tbl>
  <w:p w14:paraId="0DE9E831" w14:textId="77777777" w:rsidR="0075784E" w:rsidRDefault="007578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44338B27" w14:textId="77777777" w:rsidTr="0062151B">
      <w:tc>
        <w:tcPr>
          <w:tcW w:w="4668" w:type="dxa"/>
        </w:tcPr>
        <w:p w14:paraId="1F41445B" w14:textId="77777777" w:rsidR="0075784E" w:rsidRPr="00420C1B" w:rsidRDefault="0075784E" w:rsidP="0062151B">
          <w:pPr>
            <w:ind w:left="-115"/>
          </w:pPr>
        </w:p>
      </w:tc>
      <w:tc>
        <w:tcPr>
          <w:tcW w:w="4668" w:type="dxa"/>
        </w:tcPr>
        <w:p w14:paraId="25E81F4B" w14:textId="77777777" w:rsidR="0075784E" w:rsidRPr="00420C1B" w:rsidRDefault="0075784E" w:rsidP="0062151B">
          <w:pPr>
            <w:jc w:val="center"/>
          </w:pPr>
        </w:p>
      </w:tc>
      <w:tc>
        <w:tcPr>
          <w:tcW w:w="4668" w:type="dxa"/>
        </w:tcPr>
        <w:p w14:paraId="5505379E" w14:textId="77777777" w:rsidR="0075784E" w:rsidRPr="00420C1B" w:rsidRDefault="0075784E" w:rsidP="0062151B">
          <w:pPr>
            <w:ind w:right="-115"/>
            <w:jc w:val="right"/>
          </w:pPr>
        </w:p>
      </w:tc>
    </w:tr>
  </w:tbl>
  <w:p w14:paraId="086E4072" w14:textId="77777777" w:rsidR="0075784E" w:rsidRDefault="007578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2B02A296" w14:textId="77777777" w:rsidTr="0062151B">
      <w:tc>
        <w:tcPr>
          <w:tcW w:w="4668" w:type="dxa"/>
        </w:tcPr>
        <w:p w14:paraId="25AEB6EC" w14:textId="77777777" w:rsidR="0075784E" w:rsidRPr="00420C1B" w:rsidRDefault="0075784E" w:rsidP="0062151B">
          <w:pPr>
            <w:ind w:left="-115"/>
          </w:pPr>
        </w:p>
      </w:tc>
      <w:tc>
        <w:tcPr>
          <w:tcW w:w="4668" w:type="dxa"/>
        </w:tcPr>
        <w:p w14:paraId="3AAC4A69" w14:textId="77777777" w:rsidR="0075784E" w:rsidRPr="00420C1B" w:rsidRDefault="0075784E" w:rsidP="0062151B">
          <w:pPr>
            <w:jc w:val="center"/>
          </w:pPr>
        </w:p>
      </w:tc>
      <w:tc>
        <w:tcPr>
          <w:tcW w:w="4668" w:type="dxa"/>
        </w:tcPr>
        <w:p w14:paraId="7EAF6D57" w14:textId="77777777" w:rsidR="0075784E" w:rsidRPr="00420C1B" w:rsidRDefault="0075784E" w:rsidP="0062151B">
          <w:pPr>
            <w:ind w:right="-115"/>
            <w:jc w:val="right"/>
          </w:pPr>
        </w:p>
      </w:tc>
    </w:tr>
  </w:tbl>
  <w:p w14:paraId="1F241143" w14:textId="77777777" w:rsidR="0075784E" w:rsidRDefault="0075784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1BA9DE00" w14:textId="77777777" w:rsidTr="0062151B">
      <w:tc>
        <w:tcPr>
          <w:tcW w:w="4668" w:type="dxa"/>
        </w:tcPr>
        <w:p w14:paraId="1724310A" w14:textId="77777777" w:rsidR="0075784E" w:rsidRPr="00420C1B" w:rsidRDefault="0075784E" w:rsidP="0062151B">
          <w:pPr>
            <w:ind w:left="-115"/>
          </w:pPr>
        </w:p>
      </w:tc>
      <w:tc>
        <w:tcPr>
          <w:tcW w:w="4668" w:type="dxa"/>
        </w:tcPr>
        <w:p w14:paraId="6279FC96" w14:textId="77777777" w:rsidR="0075784E" w:rsidRPr="00420C1B" w:rsidRDefault="0075784E" w:rsidP="0062151B">
          <w:pPr>
            <w:jc w:val="center"/>
          </w:pPr>
        </w:p>
      </w:tc>
      <w:tc>
        <w:tcPr>
          <w:tcW w:w="4668" w:type="dxa"/>
        </w:tcPr>
        <w:p w14:paraId="7CDBE9EB" w14:textId="77777777" w:rsidR="0075784E" w:rsidRPr="00420C1B" w:rsidRDefault="0075784E" w:rsidP="0062151B">
          <w:pPr>
            <w:ind w:right="-115"/>
            <w:jc w:val="right"/>
          </w:pPr>
        </w:p>
      </w:tc>
    </w:tr>
  </w:tbl>
  <w:p w14:paraId="5EB662C4" w14:textId="77777777" w:rsidR="0075784E" w:rsidRDefault="0075784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21089354" w14:textId="77777777" w:rsidTr="0062151B">
      <w:tc>
        <w:tcPr>
          <w:tcW w:w="4668" w:type="dxa"/>
        </w:tcPr>
        <w:p w14:paraId="08A14916" w14:textId="77777777" w:rsidR="0075784E" w:rsidRPr="00420C1B" w:rsidRDefault="0075784E" w:rsidP="0062151B">
          <w:pPr>
            <w:ind w:left="-115"/>
          </w:pPr>
        </w:p>
      </w:tc>
      <w:tc>
        <w:tcPr>
          <w:tcW w:w="4668" w:type="dxa"/>
        </w:tcPr>
        <w:p w14:paraId="2E7D8033" w14:textId="77777777" w:rsidR="0075784E" w:rsidRPr="00420C1B" w:rsidRDefault="0075784E" w:rsidP="0062151B">
          <w:pPr>
            <w:jc w:val="center"/>
          </w:pPr>
        </w:p>
      </w:tc>
      <w:tc>
        <w:tcPr>
          <w:tcW w:w="4668" w:type="dxa"/>
        </w:tcPr>
        <w:p w14:paraId="1FABE8A4" w14:textId="77777777" w:rsidR="0075784E" w:rsidRPr="00420C1B" w:rsidRDefault="0075784E" w:rsidP="0062151B">
          <w:pPr>
            <w:ind w:right="-115"/>
            <w:jc w:val="right"/>
          </w:pPr>
        </w:p>
      </w:tc>
    </w:tr>
  </w:tbl>
  <w:p w14:paraId="6108B662" w14:textId="77777777" w:rsidR="0075784E" w:rsidRDefault="0075784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75784E" w:rsidRPr="00420C1B" w14:paraId="3BC9296B" w14:textId="77777777" w:rsidTr="0062151B">
      <w:tc>
        <w:tcPr>
          <w:tcW w:w="4668" w:type="dxa"/>
        </w:tcPr>
        <w:p w14:paraId="77A2D26E" w14:textId="77777777" w:rsidR="0075784E" w:rsidRPr="00420C1B" w:rsidRDefault="0075784E" w:rsidP="0062151B">
          <w:pPr>
            <w:ind w:left="-115"/>
          </w:pPr>
        </w:p>
      </w:tc>
      <w:tc>
        <w:tcPr>
          <w:tcW w:w="4668" w:type="dxa"/>
        </w:tcPr>
        <w:p w14:paraId="3C6FAF29" w14:textId="77777777" w:rsidR="0075784E" w:rsidRPr="00420C1B" w:rsidRDefault="0075784E" w:rsidP="0062151B">
          <w:pPr>
            <w:jc w:val="center"/>
          </w:pPr>
        </w:p>
      </w:tc>
      <w:tc>
        <w:tcPr>
          <w:tcW w:w="4668" w:type="dxa"/>
        </w:tcPr>
        <w:p w14:paraId="239F92A2" w14:textId="77777777" w:rsidR="0075784E" w:rsidRPr="00420C1B" w:rsidRDefault="0075784E" w:rsidP="0062151B">
          <w:pPr>
            <w:ind w:right="-115"/>
            <w:jc w:val="right"/>
          </w:pPr>
        </w:p>
      </w:tc>
    </w:tr>
  </w:tbl>
  <w:p w14:paraId="2F46BC2C" w14:textId="77777777" w:rsidR="0075784E" w:rsidRDefault="0075784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059C" w14:textId="77777777" w:rsidR="0075784E" w:rsidRDefault="0075784E">
    <w:pPr>
      <w:spacing w:after="0"/>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1</w:t>
    </w:r>
    <w:r>
      <w:rPr>
        <w:rFonts w:cs="Calibri"/>
      </w:rPr>
      <w:fldChar w:fldCharType="end"/>
    </w:r>
    <w:r>
      <w:rPr>
        <w:rFonts w:cs="Calibri"/>
      </w:rPr>
      <w:t xml:space="preserve"> </w:t>
    </w:r>
  </w:p>
  <w:p w14:paraId="35AF12EE" w14:textId="77777777" w:rsidR="0075784E" w:rsidRDefault="0075784E">
    <w:pPr>
      <w:spacing w:after="0"/>
    </w:pPr>
    <w:r>
      <w:rPr>
        <w:rFonts w:cs="Calibri"/>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200A6" w14:textId="77777777" w:rsidR="0075784E" w:rsidRDefault="0075784E">
    <w:pPr>
      <w:spacing w:after="0"/>
    </w:pPr>
    <w:r>
      <w:rPr>
        <w:rFonts w:cs="Calibri"/>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280FE" w14:textId="77777777" w:rsidR="0075784E" w:rsidRDefault="0075784E">
    <w:pPr>
      <w:spacing w:after="0"/>
      <w:ind w:right="1"/>
      <w:jc w:val="right"/>
    </w:pPr>
    <w:r>
      <w:rPr>
        <w:rFonts w:cs="Calibri"/>
      </w:rPr>
      <w:fldChar w:fldCharType="begin"/>
    </w:r>
    <w:r>
      <w:rPr>
        <w:rFonts w:cs="Calibri"/>
      </w:rPr>
      <w:instrText xml:space="preserve"> PAGE   \* MERGEFORMAT </w:instrText>
    </w:r>
    <w:r>
      <w:rPr>
        <w:rFonts w:cs="Calibri"/>
      </w:rPr>
      <w:fldChar w:fldCharType="separate"/>
    </w:r>
    <w:r>
      <w:rPr>
        <w:rFonts w:cs="Calibri"/>
      </w:rPr>
      <w:t>1</w:t>
    </w:r>
    <w:r>
      <w:rPr>
        <w:rFonts w:cs="Calibri"/>
      </w:rPr>
      <w:fldChar w:fldCharType="end"/>
    </w:r>
    <w:r>
      <w:rPr>
        <w:rFonts w:cs="Calibri"/>
      </w:rPr>
      <w:t xml:space="preserve"> </w:t>
    </w:r>
  </w:p>
  <w:p w14:paraId="549B4C24" w14:textId="77777777" w:rsidR="0075784E" w:rsidRDefault="0075784E">
    <w:pPr>
      <w:spacing w:after="0"/>
    </w:pPr>
    <w:r>
      <w:rPr>
        <w:rFonts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5FE576A"/>
    <w:lvl w:ilvl="0">
      <w:numFmt w:val="decimal"/>
      <w:pStyle w:val="Listenumros3"/>
      <w:lvlText w:val=""/>
      <w:lvlJc w:val="left"/>
      <w:pPr>
        <w:tabs>
          <w:tab w:val="num" w:pos="360"/>
        </w:tabs>
      </w:pPr>
    </w:lvl>
  </w:abstractNum>
  <w:abstractNum w:abstractNumId="1" w15:restartNumberingAfterBreak="0">
    <w:nsid w:val="FFFFFF7F"/>
    <w:multiLevelType w:val="singleLevel"/>
    <w:tmpl w:val="A0A09CD2"/>
    <w:lvl w:ilvl="0">
      <w:start w:val="1"/>
      <w:numFmt w:val="lowerLetter"/>
      <w:pStyle w:val="Listenumros2"/>
      <w:lvlText w:val="%1)"/>
      <w:lvlJc w:val="left"/>
      <w:pPr>
        <w:tabs>
          <w:tab w:val="num" w:pos="720"/>
        </w:tabs>
        <w:ind w:left="720" w:hanging="360"/>
      </w:pPr>
      <w:rPr>
        <w:rFonts w:hint="default"/>
        <w:b w:val="0"/>
        <w:i w:val="0"/>
      </w:rPr>
    </w:lvl>
  </w:abstractNum>
  <w:abstractNum w:abstractNumId="2" w15:restartNumberingAfterBreak="0">
    <w:nsid w:val="FFFFFF88"/>
    <w:multiLevelType w:val="singleLevel"/>
    <w:tmpl w:val="39749266"/>
    <w:lvl w:ilvl="0">
      <w:start w:val="1"/>
      <w:numFmt w:val="decimal"/>
      <w:pStyle w:val="Listenumros"/>
      <w:lvlText w:val="%1."/>
      <w:lvlJc w:val="left"/>
      <w:pPr>
        <w:tabs>
          <w:tab w:val="num" w:pos="360"/>
        </w:tabs>
        <w:ind w:left="360" w:hanging="360"/>
      </w:pPr>
    </w:lvl>
  </w:abstractNum>
  <w:abstractNum w:abstractNumId="3" w15:restartNumberingAfterBreak="0">
    <w:nsid w:val="00000001"/>
    <w:multiLevelType w:val="singleLevel"/>
    <w:tmpl w:val="00000001"/>
    <w:name w:val="WW8Num1"/>
    <w:lvl w:ilvl="0">
      <w:numFmt w:val="bullet"/>
      <w:lvlText w:val="-"/>
      <w:lvlJc w:val="left"/>
      <w:pPr>
        <w:tabs>
          <w:tab w:val="num" w:pos="0"/>
        </w:tabs>
        <w:ind w:left="709" w:hanging="360"/>
      </w:pPr>
      <w:rPr>
        <w:rFonts w:ascii="Times New Roman" w:hAnsi="Times New Roman" w:cs="Times New Roman" w:hint="default"/>
        <w:sz w:val="24"/>
        <w:szCs w:val="24"/>
      </w:rPr>
    </w:lvl>
  </w:abstractNum>
  <w:abstractNum w:abstractNumId="4"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5" w15:restartNumberingAfterBreak="0">
    <w:nsid w:val="00000003"/>
    <w:multiLevelType w:val="singleLevel"/>
    <w:tmpl w:val="04090001"/>
    <w:lvl w:ilvl="0">
      <w:start w:val="1"/>
      <w:numFmt w:val="bullet"/>
      <w:lvlText w:val=""/>
      <w:lvlJc w:val="left"/>
      <w:pPr>
        <w:ind w:left="1080" w:hanging="360"/>
      </w:pPr>
      <w:rPr>
        <w:rFonts w:ascii="Symbol" w:hAnsi="Symbol" w:hint="default"/>
        <w:sz w:val="24"/>
        <w:szCs w:val="24"/>
      </w:rPr>
    </w:lvl>
  </w:abstractNum>
  <w:abstractNum w:abstractNumId="6" w15:restartNumberingAfterBreak="0">
    <w:nsid w:val="00000004"/>
    <w:multiLevelType w:val="singleLevel"/>
    <w:tmpl w:val="00000004"/>
    <w:name w:val="WW8Num4"/>
    <w:lvl w:ilvl="0">
      <w:numFmt w:val="bullet"/>
      <w:lvlText w:val="-"/>
      <w:lvlJc w:val="left"/>
      <w:pPr>
        <w:tabs>
          <w:tab w:val="num" w:pos="0"/>
        </w:tabs>
        <w:ind w:left="720" w:hanging="360"/>
      </w:pPr>
      <w:rPr>
        <w:rFonts w:ascii="Times New Roman" w:hAnsi="Times New Roman" w:cs="Times New Roman" w:hint="default"/>
      </w:rPr>
    </w:lvl>
  </w:abstractNum>
  <w:abstractNum w:abstractNumId="7" w15:restartNumberingAfterBreak="0">
    <w:nsid w:val="00000005"/>
    <w:multiLevelType w:val="singleLevel"/>
    <w:tmpl w:val="6CC2E018"/>
    <w:lvl w:ilvl="0">
      <w:start w:val="1"/>
      <w:numFmt w:val="upperLetter"/>
      <w:lvlText w:val="%1."/>
      <w:lvlJc w:val="left"/>
      <w:pPr>
        <w:ind w:left="720" w:hanging="360"/>
      </w:pPr>
      <w:rPr>
        <w:rFonts w:hint="default"/>
        <w:b/>
        <w:sz w:val="24"/>
        <w:szCs w:val="24"/>
      </w:rPr>
    </w:lvl>
  </w:abstractNum>
  <w:abstractNum w:abstractNumId="8" w15:restartNumberingAfterBreak="0">
    <w:nsid w:val="00000006"/>
    <w:multiLevelType w:val="multilevel"/>
    <w:tmpl w:val="00000006"/>
    <w:name w:val="WWNum6"/>
    <w:lvl w:ilvl="0">
      <w:start w:val="830"/>
      <w:numFmt w:val="bullet"/>
      <w:lvlText w:val="-"/>
      <w:lvlJc w:val="left"/>
      <w:pPr>
        <w:tabs>
          <w:tab w:val="num" w:pos="0"/>
        </w:tabs>
        <w:ind w:left="720" w:hanging="360"/>
      </w:pPr>
      <w:rPr>
        <w:rFonts w:ascii="OpenSymbol" w:hAnsi="OpenSymbol"/>
      </w:rPr>
    </w:lvl>
    <w:lvl w:ilvl="1">
      <w:start w:val="1"/>
      <w:numFmt w:val="bullet"/>
      <w:lvlText w:val="-"/>
      <w:lvlJc w:val="left"/>
      <w:pPr>
        <w:tabs>
          <w:tab w:val="num" w:pos="0"/>
        </w:tabs>
        <w:ind w:left="1440" w:hanging="360"/>
      </w:pPr>
      <w:rPr>
        <w:rFonts w:ascii="Times New Roman" w:hAnsi="Times New Roman"/>
        <w:sz w:val="24"/>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rPr>
    </w:lvl>
  </w:abstractNum>
  <w:abstractNum w:abstractNumId="10" w15:restartNumberingAfterBreak="0">
    <w:nsid w:val="00000008"/>
    <w:multiLevelType w:val="multilevel"/>
    <w:tmpl w:val="00000008"/>
    <w:name w:val="WW8Num8"/>
    <w:lvl w:ilvl="0">
      <w:start w:val="1"/>
      <w:numFmt w:val="bullet"/>
      <w:lvlText w:val=""/>
      <w:lvlJc w:val="left"/>
      <w:pPr>
        <w:tabs>
          <w:tab w:val="num" w:pos="0"/>
        </w:tabs>
        <w:ind w:left="502"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sz w:val="24"/>
        <w:szCs w:val="24"/>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sz w:val="24"/>
        <w:szCs w:val="24"/>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sz w:val="24"/>
        <w:szCs w:val="24"/>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0000009"/>
    <w:multiLevelType w:val="singleLevel"/>
    <w:tmpl w:val="00000009"/>
    <w:name w:val="WW8Num9"/>
    <w:lvl w:ilvl="0">
      <w:numFmt w:val="bullet"/>
      <w:lvlText w:val="-"/>
      <w:lvlJc w:val="left"/>
      <w:pPr>
        <w:tabs>
          <w:tab w:val="num" w:pos="0"/>
        </w:tabs>
        <w:ind w:left="720" w:hanging="360"/>
      </w:pPr>
      <w:rPr>
        <w:rFonts w:ascii="Times New Roman" w:hAnsi="Times New Roman" w:cs="Times New Roman" w:hint="default"/>
      </w:rPr>
    </w:lvl>
  </w:abstractNum>
  <w:abstractNum w:abstractNumId="12" w15:restartNumberingAfterBreak="0">
    <w:nsid w:val="0000000A"/>
    <w:multiLevelType w:val="multilevel"/>
    <w:tmpl w:val="0000000A"/>
    <w:name w:val="WW8Num10"/>
    <w:lvl w:ilvl="0">
      <w:start w:val="830"/>
      <w:numFmt w:val="bullet"/>
      <w:lvlText w:val="-"/>
      <w:lvlJc w:val="left"/>
      <w:pPr>
        <w:tabs>
          <w:tab w:val="num" w:pos="0"/>
        </w:tabs>
        <w:ind w:left="720" w:hanging="360"/>
      </w:pPr>
      <w:rPr>
        <w:rFonts w:ascii="Liberation Serif" w:hAnsi="Liberation Serif" w:cs="Times New Roman" w:hint="default"/>
        <w:sz w:val="24"/>
        <w:szCs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000000B"/>
    <w:multiLevelType w:val="singleLevel"/>
    <w:tmpl w:val="0000000B"/>
    <w:name w:val="WW8Num11"/>
    <w:lvl w:ilvl="0">
      <w:start w:val="830"/>
      <w:numFmt w:val="bullet"/>
      <w:lvlText w:val="-"/>
      <w:lvlJc w:val="left"/>
      <w:pPr>
        <w:tabs>
          <w:tab w:val="num" w:pos="0"/>
        </w:tabs>
        <w:ind w:left="720" w:hanging="360"/>
      </w:pPr>
      <w:rPr>
        <w:rFonts w:ascii="Liberation Serif" w:hAnsi="Liberation Serif" w:cs="Times New Roman" w:hint="default"/>
        <w:sz w:val="24"/>
        <w:szCs w:val="24"/>
      </w:rPr>
    </w:lvl>
  </w:abstractNum>
  <w:abstractNum w:abstractNumId="14" w15:restartNumberingAfterBreak="0">
    <w:nsid w:val="0000000C"/>
    <w:multiLevelType w:val="multilevel"/>
    <w:tmpl w:val="0000000C"/>
    <w:name w:val="WWNum12"/>
    <w:lvl w:ilvl="0">
      <w:start w:val="1"/>
      <w:numFmt w:val="bullet"/>
      <w:lvlText w:val="-"/>
      <w:lvlJc w:val="left"/>
      <w:pPr>
        <w:tabs>
          <w:tab w:val="num" w:pos="0"/>
        </w:tabs>
        <w:ind w:left="720" w:hanging="360"/>
      </w:pPr>
      <w:rPr>
        <w:rFonts w:ascii="Times New Roman" w:hAnsi="Times New Roman" w:cs="Times New Roman"/>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0D"/>
    <w:multiLevelType w:val="multilevel"/>
    <w:tmpl w:val="0000000D"/>
    <w:name w:val="WWNum13"/>
    <w:lvl w:ilvl="0">
      <w:start w:val="1"/>
      <w:numFmt w:val="bullet"/>
      <w:lvlText w:val=""/>
      <w:lvlJc w:val="left"/>
      <w:pPr>
        <w:tabs>
          <w:tab w:val="num" w:pos="0"/>
        </w:tabs>
        <w:ind w:left="6" w:hanging="360"/>
      </w:pPr>
      <w:rPr>
        <w:rFonts w:ascii="Wingdings" w:hAnsi="Wingdings"/>
      </w:rPr>
    </w:lvl>
    <w:lvl w:ilvl="1">
      <w:start w:val="1"/>
      <w:numFmt w:val="bullet"/>
      <w:lvlText w:val="o"/>
      <w:lvlJc w:val="left"/>
      <w:pPr>
        <w:tabs>
          <w:tab w:val="num" w:pos="0"/>
        </w:tabs>
        <w:ind w:left="726" w:hanging="360"/>
      </w:pPr>
      <w:rPr>
        <w:rFonts w:ascii="Courier New" w:hAnsi="Courier New" w:cs="Courier New"/>
      </w:rPr>
    </w:lvl>
    <w:lvl w:ilvl="2">
      <w:start w:val="1"/>
      <w:numFmt w:val="bullet"/>
      <w:lvlText w:val=""/>
      <w:lvlJc w:val="left"/>
      <w:pPr>
        <w:tabs>
          <w:tab w:val="num" w:pos="0"/>
        </w:tabs>
        <w:ind w:left="1446" w:hanging="360"/>
      </w:pPr>
      <w:rPr>
        <w:rFonts w:ascii="Wingdings" w:hAnsi="Wingdings"/>
      </w:rPr>
    </w:lvl>
    <w:lvl w:ilvl="3">
      <w:start w:val="1"/>
      <w:numFmt w:val="bullet"/>
      <w:lvlText w:val=""/>
      <w:lvlJc w:val="left"/>
      <w:pPr>
        <w:tabs>
          <w:tab w:val="num" w:pos="0"/>
        </w:tabs>
        <w:ind w:left="2166" w:hanging="360"/>
      </w:pPr>
      <w:rPr>
        <w:rFonts w:ascii="Symbol" w:hAnsi="Symbol"/>
      </w:rPr>
    </w:lvl>
    <w:lvl w:ilvl="4">
      <w:start w:val="1"/>
      <w:numFmt w:val="bullet"/>
      <w:lvlText w:val="o"/>
      <w:lvlJc w:val="left"/>
      <w:pPr>
        <w:tabs>
          <w:tab w:val="num" w:pos="0"/>
        </w:tabs>
        <w:ind w:left="2886" w:hanging="360"/>
      </w:pPr>
      <w:rPr>
        <w:rFonts w:ascii="Courier New" w:hAnsi="Courier New" w:cs="Courier New"/>
      </w:rPr>
    </w:lvl>
    <w:lvl w:ilvl="5">
      <w:start w:val="1"/>
      <w:numFmt w:val="bullet"/>
      <w:lvlText w:val=""/>
      <w:lvlJc w:val="left"/>
      <w:pPr>
        <w:tabs>
          <w:tab w:val="num" w:pos="0"/>
        </w:tabs>
        <w:ind w:left="3606" w:hanging="360"/>
      </w:pPr>
      <w:rPr>
        <w:rFonts w:ascii="Wingdings" w:hAnsi="Wingdings"/>
      </w:rPr>
    </w:lvl>
    <w:lvl w:ilvl="6">
      <w:start w:val="1"/>
      <w:numFmt w:val="bullet"/>
      <w:lvlText w:val=""/>
      <w:lvlJc w:val="left"/>
      <w:pPr>
        <w:tabs>
          <w:tab w:val="num" w:pos="0"/>
        </w:tabs>
        <w:ind w:left="4326" w:hanging="360"/>
      </w:pPr>
      <w:rPr>
        <w:rFonts w:ascii="Symbol" w:hAnsi="Symbol"/>
      </w:rPr>
    </w:lvl>
    <w:lvl w:ilvl="7">
      <w:start w:val="1"/>
      <w:numFmt w:val="bullet"/>
      <w:lvlText w:val="o"/>
      <w:lvlJc w:val="left"/>
      <w:pPr>
        <w:tabs>
          <w:tab w:val="num" w:pos="0"/>
        </w:tabs>
        <w:ind w:left="5046" w:hanging="360"/>
      </w:pPr>
      <w:rPr>
        <w:rFonts w:ascii="Courier New" w:hAnsi="Courier New" w:cs="Courier New"/>
      </w:rPr>
    </w:lvl>
    <w:lvl w:ilvl="8">
      <w:start w:val="1"/>
      <w:numFmt w:val="bullet"/>
      <w:lvlText w:val=""/>
      <w:lvlJc w:val="left"/>
      <w:pPr>
        <w:tabs>
          <w:tab w:val="num" w:pos="0"/>
        </w:tabs>
        <w:ind w:left="5766" w:hanging="360"/>
      </w:pPr>
      <w:rPr>
        <w:rFonts w:ascii="Wingdings" w:hAnsi="Wingdings"/>
      </w:rPr>
    </w:lvl>
  </w:abstractNum>
  <w:abstractNum w:abstractNumId="16" w15:restartNumberingAfterBreak="0">
    <w:nsid w:val="0000000E"/>
    <w:multiLevelType w:val="multilevel"/>
    <w:tmpl w:val="0000000E"/>
    <w:name w:val="WWNum14"/>
    <w:lvl w:ilvl="0">
      <w:start w:val="1"/>
      <w:numFmt w:val="bullet"/>
      <w:lvlText w:val="-"/>
      <w:lvlJc w:val="left"/>
      <w:pPr>
        <w:tabs>
          <w:tab w:val="num" w:pos="0"/>
        </w:tabs>
        <w:ind w:left="720" w:hanging="360"/>
      </w:pPr>
      <w:rPr>
        <w:rFonts w:ascii="Times New Roman" w:hAnsi="Times New Roman" w:cs="Times New Roman"/>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7" w15:restartNumberingAfterBreak="0">
    <w:nsid w:val="0000000F"/>
    <w:multiLevelType w:val="multilevel"/>
    <w:tmpl w:val="0000000F"/>
    <w:name w:val="WWNum15"/>
    <w:lvl w:ilvl="0">
      <w:start w:val="1"/>
      <w:numFmt w:val="bullet"/>
      <w:lvlText w:val=""/>
      <w:lvlJc w:val="left"/>
      <w:pPr>
        <w:tabs>
          <w:tab w:val="num" w:pos="0"/>
        </w:tabs>
        <w:ind w:left="6" w:hanging="360"/>
      </w:pPr>
      <w:rPr>
        <w:rFonts w:ascii="Wingdings" w:hAnsi="Wingdings"/>
      </w:rPr>
    </w:lvl>
    <w:lvl w:ilvl="1">
      <w:start w:val="1"/>
      <w:numFmt w:val="bullet"/>
      <w:lvlText w:val="o"/>
      <w:lvlJc w:val="left"/>
      <w:pPr>
        <w:tabs>
          <w:tab w:val="num" w:pos="0"/>
        </w:tabs>
        <w:ind w:left="726" w:hanging="360"/>
      </w:pPr>
      <w:rPr>
        <w:rFonts w:ascii="Courier New" w:hAnsi="Courier New" w:cs="Courier New"/>
      </w:rPr>
    </w:lvl>
    <w:lvl w:ilvl="2">
      <w:start w:val="1"/>
      <w:numFmt w:val="bullet"/>
      <w:lvlText w:val=""/>
      <w:lvlJc w:val="left"/>
      <w:pPr>
        <w:tabs>
          <w:tab w:val="num" w:pos="0"/>
        </w:tabs>
        <w:ind w:left="1446" w:hanging="360"/>
      </w:pPr>
      <w:rPr>
        <w:rFonts w:ascii="Wingdings" w:hAnsi="Wingdings"/>
      </w:rPr>
    </w:lvl>
    <w:lvl w:ilvl="3">
      <w:start w:val="1"/>
      <w:numFmt w:val="bullet"/>
      <w:lvlText w:val=""/>
      <w:lvlJc w:val="left"/>
      <w:pPr>
        <w:tabs>
          <w:tab w:val="num" w:pos="0"/>
        </w:tabs>
        <w:ind w:left="2166" w:hanging="360"/>
      </w:pPr>
      <w:rPr>
        <w:rFonts w:ascii="Symbol" w:hAnsi="Symbol"/>
      </w:rPr>
    </w:lvl>
    <w:lvl w:ilvl="4">
      <w:start w:val="1"/>
      <w:numFmt w:val="bullet"/>
      <w:lvlText w:val="o"/>
      <w:lvlJc w:val="left"/>
      <w:pPr>
        <w:tabs>
          <w:tab w:val="num" w:pos="0"/>
        </w:tabs>
        <w:ind w:left="2886" w:hanging="360"/>
      </w:pPr>
      <w:rPr>
        <w:rFonts w:ascii="Courier New" w:hAnsi="Courier New" w:cs="Courier New"/>
      </w:rPr>
    </w:lvl>
    <w:lvl w:ilvl="5">
      <w:start w:val="1"/>
      <w:numFmt w:val="bullet"/>
      <w:lvlText w:val=""/>
      <w:lvlJc w:val="left"/>
      <w:pPr>
        <w:tabs>
          <w:tab w:val="num" w:pos="0"/>
        </w:tabs>
        <w:ind w:left="3606" w:hanging="360"/>
      </w:pPr>
      <w:rPr>
        <w:rFonts w:ascii="Wingdings" w:hAnsi="Wingdings"/>
      </w:rPr>
    </w:lvl>
    <w:lvl w:ilvl="6">
      <w:start w:val="1"/>
      <w:numFmt w:val="bullet"/>
      <w:lvlText w:val=""/>
      <w:lvlJc w:val="left"/>
      <w:pPr>
        <w:tabs>
          <w:tab w:val="num" w:pos="0"/>
        </w:tabs>
        <w:ind w:left="4326" w:hanging="360"/>
      </w:pPr>
      <w:rPr>
        <w:rFonts w:ascii="Symbol" w:hAnsi="Symbol"/>
      </w:rPr>
    </w:lvl>
    <w:lvl w:ilvl="7">
      <w:start w:val="1"/>
      <w:numFmt w:val="bullet"/>
      <w:lvlText w:val="o"/>
      <w:lvlJc w:val="left"/>
      <w:pPr>
        <w:tabs>
          <w:tab w:val="num" w:pos="0"/>
        </w:tabs>
        <w:ind w:left="5046" w:hanging="360"/>
      </w:pPr>
      <w:rPr>
        <w:rFonts w:ascii="Courier New" w:hAnsi="Courier New" w:cs="Courier New"/>
      </w:rPr>
    </w:lvl>
    <w:lvl w:ilvl="8">
      <w:start w:val="1"/>
      <w:numFmt w:val="bullet"/>
      <w:lvlText w:val=""/>
      <w:lvlJc w:val="left"/>
      <w:pPr>
        <w:tabs>
          <w:tab w:val="num" w:pos="0"/>
        </w:tabs>
        <w:ind w:left="5766" w:hanging="360"/>
      </w:pPr>
      <w:rPr>
        <w:rFonts w:ascii="Wingdings" w:hAnsi="Wingdings"/>
      </w:rPr>
    </w:lvl>
  </w:abstractNum>
  <w:abstractNum w:abstractNumId="18" w15:restartNumberingAfterBreak="0">
    <w:nsid w:val="00000010"/>
    <w:multiLevelType w:val="multilevel"/>
    <w:tmpl w:val="00000010"/>
    <w:name w:val="WWNum16"/>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9" w15:restartNumberingAfterBreak="0">
    <w:nsid w:val="00000011"/>
    <w:multiLevelType w:val="multilevel"/>
    <w:tmpl w:val="00000011"/>
    <w:name w:val="WWNum17"/>
    <w:lvl w:ilvl="0">
      <w:start w:val="1"/>
      <w:numFmt w:val="bullet"/>
      <w:lvlText w:val=""/>
      <w:lvlJc w:val="left"/>
      <w:pPr>
        <w:tabs>
          <w:tab w:val="num" w:pos="0"/>
        </w:tabs>
        <w:ind w:left="644" w:hanging="360"/>
      </w:pPr>
      <w:rPr>
        <w:rFonts w:ascii="Symbol" w:hAnsi="Symbol"/>
      </w:rPr>
    </w:lvl>
    <w:lvl w:ilvl="1">
      <w:start w:val="1"/>
      <w:numFmt w:val="bullet"/>
      <w:lvlText w:val="o"/>
      <w:lvlJc w:val="left"/>
      <w:pPr>
        <w:tabs>
          <w:tab w:val="num" w:pos="0"/>
        </w:tabs>
        <w:ind w:left="1364" w:hanging="360"/>
      </w:pPr>
      <w:rPr>
        <w:rFonts w:ascii="Courier New" w:hAnsi="Courier New" w:cs="Courier New"/>
      </w:rPr>
    </w:lvl>
    <w:lvl w:ilvl="2">
      <w:start w:val="1"/>
      <w:numFmt w:val="bullet"/>
      <w:lvlText w:val=""/>
      <w:lvlJc w:val="left"/>
      <w:pPr>
        <w:tabs>
          <w:tab w:val="num" w:pos="0"/>
        </w:tabs>
        <w:ind w:left="2084" w:hanging="360"/>
      </w:pPr>
      <w:rPr>
        <w:rFonts w:ascii="Wingdings" w:hAnsi="Wingdings"/>
      </w:rPr>
    </w:lvl>
    <w:lvl w:ilvl="3">
      <w:start w:val="1"/>
      <w:numFmt w:val="bullet"/>
      <w:lvlText w:val=""/>
      <w:lvlJc w:val="left"/>
      <w:pPr>
        <w:tabs>
          <w:tab w:val="num" w:pos="0"/>
        </w:tabs>
        <w:ind w:left="2804" w:hanging="360"/>
      </w:pPr>
      <w:rPr>
        <w:rFonts w:ascii="Symbol" w:hAnsi="Symbol"/>
      </w:rPr>
    </w:lvl>
    <w:lvl w:ilvl="4">
      <w:start w:val="1"/>
      <w:numFmt w:val="bullet"/>
      <w:lvlText w:val="o"/>
      <w:lvlJc w:val="left"/>
      <w:pPr>
        <w:tabs>
          <w:tab w:val="num" w:pos="0"/>
        </w:tabs>
        <w:ind w:left="3524" w:hanging="360"/>
      </w:pPr>
      <w:rPr>
        <w:rFonts w:ascii="Courier New" w:hAnsi="Courier New" w:cs="Courier New"/>
      </w:rPr>
    </w:lvl>
    <w:lvl w:ilvl="5">
      <w:start w:val="1"/>
      <w:numFmt w:val="bullet"/>
      <w:lvlText w:val=""/>
      <w:lvlJc w:val="left"/>
      <w:pPr>
        <w:tabs>
          <w:tab w:val="num" w:pos="0"/>
        </w:tabs>
        <w:ind w:left="4244" w:hanging="360"/>
      </w:pPr>
      <w:rPr>
        <w:rFonts w:ascii="Wingdings" w:hAnsi="Wingdings"/>
      </w:rPr>
    </w:lvl>
    <w:lvl w:ilvl="6">
      <w:start w:val="1"/>
      <w:numFmt w:val="bullet"/>
      <w:lvlText w:val=""/>
      <w:lvlJc w:val="left"/>
      <w:pPr>
        <w:tabs>
          <w:tab w:val="num" w:pos="0"/>
        </w:tabs>
        <w:ind w:left="4964" w:hanging="360"/>
      </w:pPr>
      <w:rPr>
        <w:rFonts w:ascii="Symbol" w:hAnsi="Symbol"/>
      </w:rPr>
    </w:lvl>
    <w:lvl w:ilvl="7">
      <w:start w:val="1"/>
      <w:numFmt w:val="bullet"/>
      <w:lvlText w:val="o"/>
      <w:lvlJc w:val="left"/>
      <w:pPr>
        <w:tabs>
          <w:tab w:val="num" w:pos="0"/>
        </w:tabs>
        <w:ind w:left="5684" w:hanging="360"/>
      </w:pPr>
      <w:rPr>
        <w:rFonts w:ascii="Courier New" w:hAnsi="Courier New" w:cs="Courier New"/>
      </w:rPr>
    </w:lvl>
    <w:lvl w:ilvl="8">
      <w:start w:val="1"/>
      <w:numFmt w:val="bullet"/>
      <w:lvlText w:val=""/>
      <w:lvlJc w:val="left"/>
      <w:pPr>
        <w:tabs>
          <w:tab w:val="num" w:pos="0"/>
        </w:tabs>
        <w:ind w:left="6404" w:hanging="360"/>
      </w:pPr>
      <w:rPr>
        <w:rFonts w:ascii="Wingdings" w:hAnsi="Wingdings"/>
      </w:rPr>
    </w:lvl>
  </w:abstractNum>
  <w:abstractNum w:abstractNumId="20" w15:restartNumberingAfterBreak="0">
    <w:nsid w:val="0005736B"/>
    <w:multiLevelType w:val="hybridMultilevel"/>
    <w:tmpl w:val="3CC0DE46"/>
    <w:lvl w:ilvl="0" w:tplc="C144DDC4">
      <w:start w:val="1"/>
      <w:numFmt w:val="bullet"/>
      <w:lvlText w:val="-"/>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1851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800B4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283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E4DA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5AE9F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16A9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4CD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AEDDD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0277B67"/>
    <w:multiLevelType w:val="hybridMultilevel"/>
    <w:tmpl w:val="F296EBBC"/>
    <w:lvl w:ilvl="0" w:tplc="09BEF7D4">
      <w:start w:val="1"/>
      <w:numFmt w:val="bullet"/>
      <w:lvlText w:val="-"/>
      <w:lvlJc w:val="left"/>
      <w:pPr>
        <w:ind w:left="786" w:hanging="360"/>
      </w:pPr>
      <w:rPr>
        <w:rFonts w:ascii="Arial" w:hAnsi="Arial" w:hint="default"/>
        <w:b w:val="0"/>
      </w:rPr>
    </w:lvl>
    <w:lvl w:ilvl="1" w:tplc="040A0003">
      <w:start w:val="1"/>
      <w:numFmt w:val="bullet"/>
      <w:lvlText w:val="o"/>
      <w:lvlJc w:val="left"/>
      <w:pPr>
        <w:ind w:left="1506" w:hanging="360"/>
      </w:pPr>
      <w:rPr>
        <w:rFonts w:ascii="Courier New" w:hAnsi="Courier New" w:cs="Courier New" w:hint="default"/>
      </w:rPr>
    </w:lvl>
    <w:lvl w:ilvl="2" w:tplc="040A0005" w:tentative="1">
      <w:start w:val="1"/>
      <w:numFmt w:val="bullet"/>
      <w:lvlText w:val=""/>
      <w:lvlJc w:val="left"/>
      <w:pPr>
        <w:ind w:left="2226" w:hanging="360"/>
      </w:pPr>
      <w:rPr>
        <w:rFonts w:ascii="Wingdings" w:hAnsi="Wingdings" w:hint="default"/>
      </w:rPr>
    </w:lvl>
    <w:lvl w:ilvl="3" w:tplc="040A0001" w:tentative="1">
      <w:start w:val="1"/>
      <w:numFmt w:val="bullet"/>
      <w:lvlText w:val=""/>
      <w:lvlJc w:val="left"/>
      <w:pPr>
        <w:ind w:left="2946" w:hanging="360"/>
      </w:pPr>
      <w:rPr>
        <w:rFonts w:ascii="Symbol" w:hAnsi="Symbol" w:hint="default"/>
      </w:rPr>
    </w:lvl>
    <w:lvl w:ilvl="4" w:tplc="040A0003" w:tentative="1">
      <w:start w:val="1"/>
      <w:numFmt w:val="bullet"/>
      <w:lvlText w:val="o"/>
      <w:lvlJc w:val="left"/>
      <w:pPr>
        <w:ind w:left="3666" w:hanging="360"/>
      </w:pPr>
      <w:rPr>
        <w:rFonts w:ascii="Courier New" w:hAnsi="Courier New" w:cs="Courier New" w:hint="default"/>
      </w:rPr>
    </w:lvl>
    <w:lvl w:ilvl="5" w:tplc="040A0005" w:tentative="1">
      <w:start w:val="1"/>
      <w:numFmt w:val="bullet"/>
      <w:lvlText w:val=""/>
      <w:lvlJc w:val="left"/>
      <w:pPr>
        <w:ind w:left="4386" w:hanging="360"/>
      </w:pPr>
      <w:rPr>
        <w:rFonts w:ascii="Wingdings" w:hAnsi="Wingdings" w:hint="default"/>
      </w:rPr>
    </w:lvl>
    <w:lvl w:ilvl="6" w:tplc="040A0001" w:tentative="1">
      <w:start w:val="1"/>
      <w:numFmt w:val="bullet"/>
      <w:lvlText w:val=""/>
      <w:lvlJc w:val="left"/>
      <w:pPr>
        <w:ind w:left="5106" w:hanging="360"/>
      </w:pPr>
      <w:rPr>
        <w:rFonts w:ascii="Symbol" w:hAnsi="Symbol" w:hint="default"/>
      </w:rPr>
    </w:lvl>
    <w:lvl w:ilvl="7" w:tplc="040A0003" w:tentative="1">
      <w:start w:val="1"/>
      <w:numFmt w:val="bullet"/>
      <w:lvlText w:val="o"/>
      <w:lvlJc w:val="left"/>
      <w:pPr>
        <w:ind w:left="5826" w:hanging="360"/>
      </w:pPr>
      <w:rPr>
        <w:rFonts w:ascii="Courier New" w:hAnsi="Courier New" w:cs="Courier New" w:hint="default"/>
      </w:rPr>
    </w:lvl>
    <w:lvl w:ilvl="8" w:tplc="040A0005" w:tentative="1">
      <w:start w:val="1"/>
      <w:numFmt w:val="bullet"/>
      <w:lvlText w:val=""/>
      <w:lvlJc w:val="left"/>
      <w:pPr>
        <w:ind w:left="6546" w:hanging="360"/>
      </w:pPr>
      <w:rPr>
        <w:rFonts w:ascii="Wingdings" w:hAnsi="Wingdings" w:hint="default"/>
      </w:rPr>
    </w:lvl>
  </w:abstractNum>
  <w:abstractNum w:abstractNumId="22" w15:restartNumberingAfterBreak="0">
    <w:nsid w:val="00920C1A"/>
    <w:multiLevelType w:val="hybridMultilevel"/>
    <w:tmpl w:val="D9B812B0"/>
    <w:lvl w:ilvl="0" w:tplc="69DA50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8B968">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10A23F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C9C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EA876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0E5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6AF1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0AD30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D0BC28">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12B6D73"/>
    <w:multiLevelType w:val="hybridMultilevel"/>
    <w:tmpl w:val="D38C1D1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1467A2E"/>
    <w:multiLevelType w:val="hybridMultilevel"/>
    <w:tmpl w:val="B652F41E"/>
    <w:lvl w:ilvl="0" w:tplc="D9345462">
      <w:start w:val="1"/>
      <w:numFmt w:val="bullet"/>
      <w:lvlText w:val=""/>
      <w:lvlJc w:val="left"/>
      <w:pPr>
        <w:ind w:left="720" w:hanging="360"/>
      </w:pPr>
      <w:rPr>
        <w:rFonts w:ascii="Symbol" w:hAnsi="Symbol" w:hint="default"/>
      </w:rPr>
    </w:lvl>
    <w:lvl w:ilvl="1" w:tplc="A2063EB2" w:tentative="1">
      <w:start w:val="1"/>
      <w:numFmt w:val="bullet"/>
      <w:lvlText w:val="o"/>
      <w:lvlJc w:val="left"/>
      <w:pPr>
        <w:ind w:left="1440" w:hanging="360"/>
      </w:pPr>
      <w:rPr>
        <w:rFonts w:ascii="Courier New" w:hAnsi="Courier New" w:cs="Courier New" w:hint="default"/>
      </w:rPr>
    </w:lvl>
    <w:lvl w:ilvl="2" w:tplc="91B2F4C0" w:tentative="1">
      <w:start w:val="1"/>
      <w:numFmt w:val="bullet"/>
      <w:lvlText w:val=""/>
      <w:lvlJc w:val="left"/>
      <w:pPr>
        <w:ind w:left="2160" w:hanging="360"/>
      </w:pPr>
      <w:rPr>
        <w:rFonts w:ascii="Wingdings" w:hAnsi="Wingdings" w:hint="default"/>
      </w:rPr>
    </w:lvl>
    <w:lvl w:ilvl="3" w:tplc="2DE64618" w:tentative="1">
      <w:start w:val="1"/>
      <w:numFmt w:val="bullet"/>
      <w:lvlText w:val=""/>
      <w:lvlJc w:val="left"/>
      <w:pPr>
        <w:ind w:left="2880" w:hanging="360"/>
      </w:pPr>
      <w:rPr>
        <w:rFonts w:ascii="Symbol" w:hAnsi="Symbol" w:hint="default"/>
      </w:rPr>
    </w:lvl>
    <w:lvl w:ilvl="4" w:tplc="8108A5A0" w:tentative="1">
      <w:start w:val="1"/>
      <w:numFmt w:val="bullet"/>
      <w:lvlText w:val="o"/>
      <w:lvlJc w:val="left"/>
      <w:pPr>
        <w:ind w:left="3600" w:hanging="360"/>
      </w:pPr>
      <w:rPr>
        <w:rFonts w:ascii="Courier New" w:hAnsi="Courier New" w:cs="Courier New" w:hint="default"/>
      </w:rPr>
    </w:lvl>
    <w:lvl w:ilvl="5" w:tplc="54C2190E" w:tentative="1">
      <w:start w:val="1"/>
      <w:numFmt w:val="bullet"/>
      <w:lvlText w:val=""/>
      <w:lvlJc w:val="left"/>
      <w:pPr>
        <w:ind w:left="4320" w:hanging="360"/>
      </w:pPr>
      <w:rPr>
        <w:rFonts w:ascii="Wingdings" w:hAnsi="Wingdings" w:hint="default"/>
      </w:rPr>
    </w:lvl>
    <w:lvl w:ilvl="6" w:tplc="A5925E5A" w:tentative="1">
      <w:start w:val="1"/>
      <w:numFmt w:val="bullet"/>
      <w:lvlText w:val=""/>
      <w:lvlJc w:val="left"/>
      <w:pPr>
        <w:ind w:left="5040" w:hanging="360"/>
      </w:pPr>
      <w:rPr>
        <w:rFonts w:ascii="Symbol" w:hAnsi="Symbol" w:hint="default"/>
      </w:rPr>
    </w:lvl>
    <w:lvl w:ilvl="7" w:tplc="345E6588" w:tentative="1">
      <w:start w:val="1"/>
      <w:numFmt w:val="bullet"/>
      <w:lvlText w:val="o"/>
      <w:lvlJc w:val="left"/>
      <w:pPr>
        <w:ind w:left="5760" w:hanging="360"/>
      </w:pPr>
      <w:rPr>
        <w:rFonts w:ascii="Courier New" w:hAnsi="Courier New" w:cs="Courier New" w:hint="default"/>
      </w:rPr>
    </w:lvl>
    <w:lvl w:ilvl="8" w:tplc="A094FE1C" w:tentative="1">
      <w:start w:val="1"/>
      <w:numFmt w:val="bullet"/>
      <w:lvlText w:val=""/>
      <w:lvlJc w:val="left"/>
      <w:pPr>
        <w:ind w:left="6480" w:hanging="360"/>
      </w:pPr>
      <w:rPr>
        <w:rFonts w:ascii="Wingdings" w:hAnsi="Wingdings" w:hint="default"/>
      </w:rPr>
    </w:lvl>
  </w:abstractNum>
  <w:abstractNum w:abstractNumId="25" w15:restartNumberingAfterBreak="0">
    <w:nsid w:val="018A41F4"/>
    <w:multiLevelType w:val="multilevel"/>
    <w:tmpl w:val="D79C3C6C"/>
    <w:lvl w:ilvl="0">
      <w:start w:val="2"/>
      <w:numFmt w:val="decimal"/>
      <w:lvlText w:val="%1."/>
      <w:lvlJc w:val="left"/>
      <w:pPr>
        <w:ind w:left="540" w:hanging="540"/>
      </w:pPr>
      <w:rPr>
        <w:rFonts w:hint="default"/>
      </w:rPr>
    </w:lvl>
    <w:lvl w:ilvl="1">
      <w:start w:val="4"/>
      <w:numFmt w:val="decimal"/>
      <w:lvlText w:val="%1.%2."/>
      <w:lvlJc w:val="left"/>
      <w:pPr>
        <w:ind w:left="1251" w:hanging="54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6" w15:restartNumberingAfterBreak="0">
    <w:nsid w:val="018A451F"/>
    <w:multiLevelType w:val="hybridMultilevel"/>
    <w:tmpl w:val="898AD9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018F6F2D"/>
    <w:multiLevelType w:val="multilevel"/>
    <w:tmpl w:val="BE541958"/>
    <w:lvl w:ilvl="0">
      <w:start w:val="1"/>
      <w:numFmt w:val="upperLetter"/>
      <w:pStyle w:val="PDSHeading1"/>
      <w:lvlText w:val="%1."/>
      <w:lvlJc w:val="left"/>
      <w:pPr>
        <w:tabs>
          <w:tab w:val="num" w:pos="360"/>
        </w:tabs>
        <w:ind w:left="360" w:hanging="360"/>
      </w:pPr>
      <w:rPr>
        <w:rFonts w:hint="default"/>
      </w:rPr>
    </w:lvl>
    <w:lvl w:ilvl="1">
      <w:start w:val="1"/>
      <w:numFmt w:val="decimal"/>
      <w:pStyle w:val="PDSHeading2"/>
      <w:lvlText w:val="%2."/>
      <w:lvlJc w:val="left"/>
      <w:pPr>
        <w:tabs>
          <w:tab w:val="num" w:pos="36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01CF2075"/>
    <w:multiLevelType w:val="hybridMultilevel"/>
    <w:tmpl w:val="ACA018A6"/>
    <w:lvl w:ilvl="0" w:tplc="040C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21F13B2"/>
    <w:multiLevelType w:val="hybridMultilevel"/>
    <w:tmpl w:val="7E90BE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2216370"/>
    <w:multiLevelType w:val="hybridMultilevel"/>
    <w:tmpl w:val="3192243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02634CEA"/>
    <w:multiLevelType w:val="hybridMultilevel"/>
    <w:tmpl w:val="BEF8E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2A51637"/>
    <w:multiLevelType w:val="hybridMultilevel"/>
    <w:tmpl w:val="9E8E38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02CE492D"/>
    <w:multiLevelType w:val="hybridMultilevel"/>
    <w:tmpl w:val="29865F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3435314"/>
    <w:multiLevelType w:val="hybridMultilevel"/>
    <w:tmpl w:val="B01CCE8A"/>
    <w:lvl w:ilvl="0" w:tplc="76D2EB18">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36" w15:restartNumberingAfterBreak="0">
    <w:nsid w:val="0363241D"/>
    <w:multiLevelType w:val="hybridMultilevel"/>
    <w:tmpl w:val="44B092E4"/>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037379AD"/>
    <w:multiLevelType w:val="multilevel"/>
    <w:tmpl w:val="D9089A5E"/>
    <w:styleLink w:val="Style9"/>
    <w:lvl w:ilvl="0">
      <w:start w:val="2"/>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15"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038D5639"/>
    <w:multiLevelType w:val="hybridMultilevel"/>
    <w:tmpl w:val="0A8867D4"/>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15:restartNumberingAfterBreak="0">
    <w:nsid w:val="0403224D"/>
    <w:multiLevelType w:val="hybridMultilevel"/>
    <w:tmpl w:val="53D45B4E"/>
    <w:lvl w:ilvl="0" w:tplc="477A7790">
      <w:start w:val="1"/>
      <w:numFmt w:val="lowerLetter"/>
      <w:lvlText w:val="%1)"/>
      <w:lvlJc w:val="left"/>
      <w:pPr>
        <w:ind w:left="1211" w:hanging="360"/>
      </w:pPr>
      <w:rPr>
        <w:rFonts w:hint="default"/>
      </w:rPr>
    </w:lvl>
    <w:lvl w:ilvl="1" w:tplc="040C0019">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0" w15:restartNumberingAfterBreak="0">
    <w:nsid w:val="04847425"/>
    <w:multiLevelType w:val="hybridMultilevel"/>
    <w:tmpl w:val="BE5E8E9C"/>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41" w15:restartNumberingAfterBreak="0">
    <w:nsid w:val="04A322B4"/>
    <w:multiLevelType w:val="hybridMultilevel"/>
    <w:tmpl w:val="0582B492"/>
    <w:lvl w:ilvl="0" w:tplc="3F46D2D4">
      <w:numFmt w:val="bullet"/>
      <w:lvlText w:val="-"/>
      <w:lvlJc w:val="left"/>
      <w:pPr>
        <w:ind w:left="720" w:hanging="360"/>
      </w:pPr>
      <w:rPr>
        <w:rFonts w:ascii="Times New Roman" w:eastAsia="Arial Unicode MS"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04F556FB"/>
    <w:multiLevelType w:val="hybridMultilevel"/>
    <w:tmpl w:val="79AAE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05677A49"/>
    <w:multiLevelType w:val="hybridMultilevel"/>
    <w:tmpl w:val="4832355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060179C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063259C6"/>
    <w:multiLevelType w:val="hybridMultilevel"/>
    <w:tmpl w:val="70666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06494A83"/>
    <w:multiLevelType w:val="hybridMultilevel"/>
    <w:tmpl w:val="85A0F1E4"/>
    <w:lvl w:ilvl="0" w:tplc="5DDAF002">
      <w:start w:val="2"/>
      <w:numFmt w:val="bullet"/>
      <w:lvlText w:val="-"/>
      <w:lvlJc w:val="left"/>
      <w:pPr>
        <w:ind w:left="720" w:hanging="360"/>
      </w:pPr>
      <w:rPr>
        <w:rFonts w:ascii="Cambria" w:eastAsia="SimSun" w:hAnsi="Cambri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06B90A8B"/>
    <w:multiLevelType w:val="hybridMultilevel"/>
    <w:tmpl w:val="6204C86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15:restartNumberingAfterBreak="0">
    <w:nsid w:val="06E819A1"/>
    <w:multiLevelType w:val="hybridMultilevel"/>
    <w:tmpl w:val="D80A7FA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49" w15:restartNumberingAfterBreak="0">
    <w:nsid w:val="07092210"/>
    <w:multiLevelType w:val="multilevel"/>
    <w:tmpl w:val="D1B471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0" w15:restartNumberingAfterBreak="0">
    <w:nsid w:val="07E34832"/>
    <w:multiLevelType w:val="hybridMultilevel"/>
    <w:tmpl w:val="E8606D86"/>
    <w:lvl w:ilvl="0" w:tplc="189673A8">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3A82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AEBD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886106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6A586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AED54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50BA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FC13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8ADF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081E1EDF"/>
    <w:multiLevelType w:val="multilevel"/>
    <w:tmpl w:val="252A179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52" w15:restartNumberingAfterBreak="0">
    <w:nsid w:val="084D1793"/>
    <w:multiLevelType w:val="hybridMultilevel"/>
    <w:tmpl w:val="4D3084DC"/>
    <w:lvl w:ilvl="0" w:tplc="8AD0F34C">
      <w:start w:val="830"/>
      <w:numFmt w:val="bullet"/>
      <w:lvlText w:val="-"/>
      <w:lvlJc w:val="left"/>
      <w:pPr>
        <w:ind w:left="720" w:hanging="360"/>
      </w:pPr>
      <w:rPr>
        <w:rFonts w:hint="default"/>
      </w:rPr>
    </w:lvl>
    <w:lvl w:ilvl="1" w:tplc="3F46D2D4">
      <w:numFmt w:val="bullet"/>
      <w:lvlText w:val="-"/>
      <w:lvlJc w:val="left"/>
      <w:pPr>
        <w:ind w:left="1440" w:hanging="360"/>
      </w:pPr>
      <w:rPr>
        <w:rFonts w:ascii="Times New Roman" w:eastAsia="Arial Unicode MS"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08916282"/>
    <w:multiLevelType w:val="hybridMultilevel"/>
    <w:tmpl w:val="D312F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0893201D"/>
    <w:multiLevelType w:val="hybridMultilevel"/>
    <w:tmpl w:val="697AD19E"/>
    <w:lvl w:ilvl="0" w:tplc="792E46DE">
      <w:start w:val="201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09AE7ABF"/>
    <w:multiLevelType w:val="singleLevel"/>
    <w:tmpl w:val="992A7FCA"/>
    <w:lvl w:ilvl="0">
      <w:numFmt w:val="bullet"/>
      <w:pStyle w:val="Retraitpuces1"/>
      <w:lvlText w:val="-"/>
      <w:lvlJc w:val="left"/>
      <w:pPr>
        <w:tabs>
          <w:tab w:val="num" w:pos="435"/>
        </w:tabs>
        <w:ind w:left="435" w:hanging="435"/>
      </w:pPr>
      <w:rPr>
        <w:rFonts w:hint="default"/>
        <w:color w:val="auto"/>
      </w:rPr>
    </w:lvl>
  </w:abstractNum>
  <w:abstractNum w:abstractNumId="56" w15:restartNumberingAfterBreak="0">
    <w:nsid w:val="0A0808C4"/>
    <w:multiLevelType w:val="hybridMultilevel"/>
    <w:tmpl w:val="06AA01C6"/>
    <w:lvl w:ilvl="0" w:tplc="B35658DA">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0A550145"/>
    <w:multiLevelType w:val="hybridMultilevel"/>
    <w:tmpl w:val="D5268AAC"/>
    <w:lvl w:ilvl="0" w:tplc="040C0001">
      <w:start w:val="1"/>
      <w:numFmt w:val="bullet"/>
      <w:lvlText w:val=""/>
      <w:lvlJc w:val="left"/>
      <w:pPr>
        <w:ind w:left="1080" w:hanging="720"/>
      </w:pPr>
      <w:rPr>
        <w:rFonts w:ascii="Symbol" w:hAnsi="Symbol"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15:restartNumberingAfterBreak="0">
    <w:nsid w:val="0AA62C5E"/>
    <w:multiLevelType w:val="multilevel"/>
    <w:tmpl w:val="8CDC7B6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9" w15:restartNumberingAfterBreak="0">
    <w:nsid w:val="0AD414D2"/>
    <w:multiLevelType w:val="hybridMultilevel"/>
    <w:tmpl w:val="54A23D98"/>
    <w:lvl w:ilvl="0" w:tplc="E9D2A7BC">
      <w:numFmt w:val="bullet"/>
      <w:lvlText w:val="-"/>
      <w:lvlJc w:val="left"/>
      <w:pPr>
        <w:ind w:left="405" w:hanging="360"/>
      </w:pPr>
      <w:rPr>
        <w:rFonts w:ascii="Times New Roman" w:eastAsia="SimSun" w:hAnsi="Times New Roman"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60" w15:restartNumberingAfterBreak="0">
    <w:nsid w:val="0AEF273A"/>
    <w:multiLevelType w:val="hybridMultilevel"/>
    <w:tmpl w:val="B882D4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0AF76397"/>
    <w:multiLevelType w:val="multilevel"/>
    <w:tmpl w:val="C3AC35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0B85100A"/>
    <w:multiLevelType w:val="hybridMultilevel"/>
    <w:tmpl w:val="1A34BC98"/>
    <w:lvl w:ilvl="0" w:tplc="BF34B882">
      <w:start w:val="1"/>
      <w:numFmt w:val="bullet"/>
      <w:lvlText w:val="-"/>
      <w:lvlJc w:val="left"/>
      <w:pPr>
        <w:ind w:left="1068" w:hanging="360"/>
      </w:pPr>
      <w:rPr>
        <w:rFonts w:ascii="Tahoma" w:hAnsi="Tahoma" w:hint="default"/>
      </w:rPr>
    </w:lvl>
    <w:lvl w:ilvl="1" w:tplc="DD78C988" w:tentative="1">
      <w:start w:val="1"/>
      <w:numFmt w:val="bullet"/>
      <w:lvlText w:val="o"/>
      <w:lvlJc w:val="left"/>
      <w:pPr>
        <w:ind w:left="1788" w:hanging="360"/>
      </w:pPr>
      <w:rPr>
        <w:rFonts w:ascii="Courier New" w:hAnsi="Courier New" w:hint="default"/>
      </w:rPr>
    </w:lvl>
    <w:lvl w:ilvl="2" w:tplc="F2682BC6" w:tentative="1">
      <w:start w:val="1"/>
      <w:numFmt w:val="bullet"/>
      <w:lvlText w:val=""/>
      <w:lvlJc w:val="left"/>
      <w:pPr>
        <w:ind w:left="2508" w:hanging="360"/>
      </w:pPr>
      <w:rPr>
        <w:rFonts w:ascii="Wingdings" w:hAnsi="Wingdings" w:hint="default"/>
      </w:rPr>
    </w:lvl>
    <w:lvl w:ilvl="3" w:tplc="B24ED274" w:tentative="1">
      <w:start w:val="1"/>
      <w:numFmt w:val="bullet"/>
      <w:lvlText w:val=""/>
      <w:lvlJc w:val="left"/>
      <w:pPr>
        <w:ind w:left="3228" w:hanging="360"/>
      </w:pPr>
      <w:rPr>
        <w:rFonts w:ascii="Symbol" w:hAnsi="Symbol" w:hint="default"/>
      </w:rPr>
    </w:lvl>
    <w:lvl w:ilvl="4" w:tplc="6A6E81D6" w:tentative="1">
      <w:start w:val="1"/>
      <w:numFmt w:val="bullet"/>
      <w:lvlText w:val="o"/>
      <w:lvlJc w:val="left"/>
      <w:pPr>
        <w:ind w:left="3948" w:hanging="360"/>
      </w:pPr>
      <w:rPr>
        <w:rFonts w:ascii="Courier New" w:hAnsi="Courier New" w:hint="default"/>
      </w:rPr>
    </w:lvl>
    <w:lvl w:ilvl="5" w:tplc="50068AE0" w:tentative="1">
      <w:start w:val="1"/>
      <w:numFmt w:val="bullet"/>
      <w:lvlText w:val=""/>
      <w:lvlJc w:val="left"/>
      <w:pPr>
        <w:ind w:left="4668" w:hanging="360"/>
      </w:pPr>
      <w:rPr>
        <w:rFonts w:ascii="Wingdings" w:hAnsi="Wingdings" w:hint="default"/>
      </w:rPr>
    </w:lvl>
    <w:lvl w:ilvl="6" w:tplc="2F32DFAC" w:tentative="1">
      <w:start w:val="1"/>
      <w:numFmt w:val="bullet"/>
      <w:lvlText w:val=""/>
      <w:lvlJc w:val="left"/>
      <w:pPr>
        <w:ind w:left="5388" w:hanging="360"/>
      </w:pPr>
      <w:rPr>
        <w:rFonts w:ascii="Symbol" w:hAnsi="Symbol" w:hint="default"/>
      </w:rPr>
    </w:lvl>
    <w:lvl w:ilvl="7" w:tplc="4EB87ADE" w:tentative="1">
      <w:start w:val="1"/>
      <w:numFmt w:val="bullet"/>
      <w:lvlText w:val="o"/>
      <w:lvlJc w:val="left"/>
      <w:pPr>
        <w:ind w:left="6108" w:hanging="360"/>
      </w:pPr>
      <w:rPr>
        <w:rFonts w:ascii="Courier New" w:hAnsi="Courier New" w:hint="default"/>
      </w:rPr>
    </w:lvl>
    <w:lvl w:ilvl="8" w:tplc="3B1E7604" w:tentative="1">
      <w:start w:val="1"/>
      <w:numFmt w:val="bullet"/>
      <w:lvlText w:val=""/>
      <w:lvlJc w:val="left"/>
      <w:pPr>
        <w:ind w:left="6828" w:hanging="360"/>
      </w:pPr>
      <w:rPr>
        <w:rFonts w:ascii="Wingdings" w:hAnsi="Wingdings" w:hint="default"/>
      </w:rPr>
    </w:lvl>
  </w:abstractNum>
  <w:abstractNum w:abstractNumId="63" w15:restartNumberingAfterBreak="0">
    <w:nsid w:val="0B9F7FEB"/>
    <w:multiLevelType w:val="hybridMultilevel"/>
    <w:tmpl w:val="39142CB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C967756"/>
    <w:multiLevelType w:val="hybridMultilevel"/>
    <w:tmpl w:val="FF54E294"/>
    <w:lvl w:ilvl="0" w:tplc="24842482">
      <w:start w:val="1"/>
      <w:numFmt w:val="bullet"/>
      <w:pStyle w:val="Check-list"/>
      <w:lvlText w:val=""/>
      <w:lvlJc w:val="left"/>
      <w:pPr>
        <w:tabs>
          <w:tab w:val="num" w:pos="765"/>
        </w:tabs>
        <w:ind w:left="765" w:hanging="360"/>
      </w:pPr>
      <w:rPr>
        <w:rFonts w:ascii="Symbol" w:hAnsi="Symbol" w:hint="default"/>
      </w:rPr>
    </w:lvl>
    <w:lvl w:ilvl="1" w:tplc="040C000D">
      <w:start w:val="1"/>
      <w:numFmt w:val="bullet"/>
      <w:lvlText w:val=""/>
      <w:lvlJc w:val="left"/>
      <w:pPr>
        <w:tabs>
          <w:tab w:val="num" w:pos="1485"/>
        </w:tabs>
        <w:ind w:left="1485" w:hanging="360"/>
      </w:pPr>
      <w:rPr>
        <w:rFonts w:ascii="Wingdings" w:hAnsi="Wingdings" w:hint="default"/>
      </w:rPr>
    </w:lvl>
    <w:lvl w:ilvl="2" w:tplc="040C0005" w:tentative="1">
      <w:start w:val="1"/>
      <w:numFmt w:val="bullet"/>
      <w:lvlText w:val=""/>
      <w:lvlJc w:val="left"/>
      <w:pPr>
        <w:tabs>
          <w:tab w:val="num" w:pos="2205"/>
        </w:tabs>
        <w:ind w:left="2205" w:hanging="360"/>
      </w:pPr>
      <w:rPr>
        <w:rFonts w:ascii="Wingdings" w:hAnsi="Wingdings" w:hint="default"/>
      </w:rPr>
    </w:lvl>
    <w:lvl w:ilvl="3" w:tplc="040C0001" w:tentative="1">
      <w:start w:val="1"/>
      <w:numFmt w:val="bullet"/>
      <w:lvlText w:val=""/>
      <w:lvlJc w:val="left"/>
      <w:pPr>
        <w:tabs>
          <w:tab w:val="num" w:pos="2925"/>
        </w:tabs>
        <w:ind w:left="2925" w:hanging="360"/>
      </w:pPr>
      <w:rPr>
        <w:rFonts w:ascii="Symbol" w:hAnsi="Symbol" w:hint="default"/>
      </w:rPr>
    </w:lvl>
    <w:lvl w:ilvl="4" w:tplc="040C0003" w:tentative="1">
      <w:start w:val="1"/>
      <w:numFmt w:val="bullet"/>
      <w:lvlText w:val="o"/>
      <w:lvlJc w:val="left"/>
      <w:pPr>
        <w:tabs>
          <w:tab w:val="num" w:pos="3645"/>
        </w:tabs>
        <w:ind w:left="3645" w:hanging="360"/>
      </w:pPr>
      <w:rPr>
        <w:rFonts w:ascii="Courier New" w:hAnsi="Courier New" w:cs="Courier New" w:hint="default"/>
      </w:rPr>
    </w:lvl>
    <w:lvl w:ilvl="5" w:tplc="040C0005" w:tentative="1">
      <w:start w:val="1"/>
      <w:numFmt w:val="bullet"/>
      <w:lvlText w:val=""/>
      <w:lvlJc w:val="left"/>
      <w:pPr>
        <w:tabs>
          <w:tab w:val="num" w:pos="4365"/>
        </w:tabs>
        <w:ind w:left="4365" w:hanging="360"/>
      </w:pPr>
      <w:rPr>
        <w:rFonts w:ascii="Wingdings" w:hAnsi="Wingdings" w:hint="default"/>
      </w:rPr>
    </w:lvl>
    <w:lvl w:ilvl="6" w:tplc="040C0001" w:tentative="1">
      <w:start w:val="1"/>
      <w:numFmt w:val="bullet"/>
      <w:lvlText w:val=""/>
      <w:lvlJc w:val="left"/>
      <w:pPr>
        <w:tabs>
          <w:tab w:val="num" w:pos="5085"/>
        </w:tabs>
        <w:ind w:left="5085" w:hanging="360"/>
      </w:pPr>
      <w:rPr>
        <w:rFonts w:ascii="Symbol" w:hAnsi="Symbol" w:hint="default"/>
      </w:rPr>
    </w:lvl>
    <w:lvl w:ilvl="7" w:tplc="040C0003" w:tentative="1">
      <w:start w:val="1"/>
      <w:numFmt w:val="bullet"/>
      <w:lvlText w:val="o"/>
      <w:lvlJc w:val="left"/>
      <w:pPr>
        <w:tabs>
          <w:tab w:val="num" w:pos="5805"/>
        </w:tabs>
        <w:ind w:left="5805" w:hanging="360"/>
      </w:pPr>
      <w:rPr>
        <w:rFonts w:ascii="Courier New" w:hAnsi="Courier New" w:cs="Courier New" w:hint="default"/>
      </w:rPr>
    </w:lvl>
    <w:lvl w:ilvl="8" w:tplc="040C0005" w:tentative="1">
      <w:start w:val="1"/>
      <w:numFmt w:val="bullet"/>
      <w:lvlText w:val=""/>
      <w:lvlJc w:val="left"/>
      <w:pPr>
        <w:tabs>
          <w:tab w:val="num" w:pos="6525"/>
        </w:tabs>
        <w:ind w:left="6525" w:hanging="360"/>
      </w:pPr>
      <w:rPr>
        <w:rFonts w:ascii="Wingdings" w:hAnsi="Wingdings" w:hint="default"/>
      </w:rPr>
    </w:lvl>
  </w:abstractNum>
  <w:abstractNum w:abstractNumId="65" w15:restartNumberingAfterBreak="0">
    <w:nsid w:val="0CC344D7"/>
    <w:multiLevelType w:val="hybridMultilevel"/>
    <w:tmpl w:val="0F2425E0"/>
    <w:lvl w:ilvl="0" w:tplc="04090019">
      <w:start w:val="1"/>
      <w:numFmt w:val="lowerLetter"/>
      <w:lvlText w:val="%1."/>
      <w:lvlJc w:val="left"/>
      <w:pPr>
        <w:ind w:left="720" w:hanging="360"/>
      </w:pPr>
      <w:rPr>
        <w:rFonts w:cs="Times New Roman"/>
      </w:rPr>
    </w:lvl>
    <w:lvl w:ilvl="1" w:tplc="040C001B">
      <w:start w:val="1"/>
      <w:numFmt w:val="lowerRoman"/>
      <w:lvlText w:val="%2."/>
      <w:lvlJc w:val="right"/>
      <w:pPr>
        <w:ind w:left="1440" w:hanging="360"/>
      </w:pPr>
    </w:lvl>
    <w:lvl w:ilvl="2" w:tplc="64044598">
      <w:start w:val="6"/>
      <w:numFmt w:val="bullet"/>
      <w:lvlText w:val="-"/>
      <w:lvlJc w:val="left"/>
      <w:pPr>
        <w:ind w:left="1928" w:hanging="170"/>
      </w:pPr>
      <w:rPr>
        <w:rFonts w:ascii="Times New Roman" w:eastAsia="Times New Roman" w:hAnsi="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0D342E0A"/>
    <w:multiLevelType w:val="hybridMultilevel"/>
    <w:tmpl w:val="E84E9B62"/>
    <w:lvl w:ilvl="0" w:tplc="C9B852EA">
      <w:start w:val="1"/>
      <w:numFmt w:val="lowerLetter"/>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0DAD61A6"/>
    <w:multiLevelType w:val="hybridMultilevel"/>
    <w:tmpl w:val="CA388120"/>
    <w:lvl w:ilvl="0" w:tplc="0409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8" w15:restartNumberingAfterBreak="0">
    <w:nsid w:val="0DC97BC9"/>
    <w:multiLevelType w:val="hybridMultilevel"/>
    <w:tmpl w:val="55EA8D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0E742292"/>
    <w:multiLevelType w:val="hybridMultilevel"/>
    <w:tmpl w:val="E5D231AC"/>
    <w:lvl w:ilvl="0" w:tplc="15CC8CF6">
      <w:numFmt w:val="bullet"/>
      <w:lvlText w:val="-"/>
      <w:lvlJc w:val="left"/>
      <w:pPr>
        <w:ind w:left="401" w:hanging="284"/>
      </w:pPr>
      <w:rPr>
        <w:rFonts w:ascii="Arial" w:eastAsia="Arial" w:hAnsi="Arial" w:cs="Arial" w:hint="default"/>
        <w:w w:val="100"/>
        <w:sz w:val="22"/>
        <w:szCs w:val="22"/>
        <w:lang w:val="fr-FR" w:eastAsia="en-US" w:bidi="ar-SA"/>
      </w:rPr>
    </w:lvl>
    <w:lvl w:ilvl="1" w:tplc="3A3691BA">
      <w:numFmt w:val="bullet"/>
      <w:lvlText w:val="•"/>
      <w:lvlJc w:val="left"/>
      <w:pPr>
        <w:ind w:left="962" w:hanging="284"/>
      </w:pPr>
      <w:rPr>
        <w:rFonts w:hint="default"/>
        <w:lang w:val="fr-FR" w:eastAsia="en-US" w:bidi="ar-SA"/>
      </w:rPr>
    </w:lvl>
    <w:lvl w:ilvl="2" w:tplc="0700EF7C">
      <w:numFmt w:val="bullet"/>
      <w:lvlText w:val="•"/>
      <w:lvlJc w:val="left"/>
      <w:pPr>
        <w:ind w:left="1524" w:hanging="284"/>
      </w:pPr>
      <w:rPr>
        <w:rFonts w:hint="default"/>
        <w:lang w:val="fr-FR" w:eastAsia="en-US" w:bidi="ar-SA"/>
      </w:rPr>
    </w:lvl>
    <w:lvl w:ilvl="3" w:tplc="25800BFA">
      <w:numFmt w:val="bullet"/>
      <w:lvlText w:val="•"/>
      <w:lvlJc w:val="left"/>
      <w:pPr>
        <w:ind w:left="2086" w:hanging="284"/>
      </w:pPr>
      <w:rPr>
        <w:rFonts w:hint="default"/>
        <w:lang w:val="fr-FR" w:eastAsia="en-US" w:bidi="ar-SA"/>
      </w:rPr>
    </w:lvl>
    <w:lvl w:ilvl="4" w:tplc="FA3EE62E">
      <w:numFmt w:val="bullet"/>
      <w:lvlText w:val="•"/>
      <w:lvlJc w:val="left"/>
      <w:pPr>
        <w:ind w:left="2648" w:hanging="284"/>
      </w:pPr>
      <w:rPr>
        <w:rFonts w:hint="default"/>
        <w:lang w:val="fr-FR" w:eastAsia="en-US" w:bidi="ar-SA"/>
      </w:rPr>
    </w:lvl>
    <w:lvl w:ilvl="5" w:tplc="34168172">
      <w:numFmt w:val="bullet"/>
      <w:lvlText w:val="•"/>
      <w:lvlJc w:val="left"/>
      <w:pPr>
        <w:ind w:left="3211" w:hanging="284"/>
      </w:pPr>
      <w:rPr>
        <w:rFonts w:hint="default"/>
        <w:lang w:val="fr-FR" w:eastAsia="en-US" w:bidi="ar-SA"/>
      </w:rPr>
    </w:lvl>
    <w:lvl w:ilvl="6" w:tplc="6FCEB872">
      <w:numFmt w:val="bullet"/>
      <w:lvlText w:val="•"/>
      <w:lvlJc w:val="left"/>
      <w:pPr>
        <w:ind w:left="3773" w:hanging="284"/>
      </w:pPr>
      <w:rPr>
        <w:rFonts w:hint="default"/>
        <w:lang w:val="fr-FR" w:eastAsia="en-US" w:bidi="ar-SA"/>
      </w:rPr>
    </w:lvl>
    <w:lvl w:ilvl="7" w:tplc="943EA050">
      <w:numFmt w:val="bullet"/>
      <w:lvlText w:val="•"/>
      <w:lvlJc w:val="left"/>
      <w:pPr>
        <w:ind w:left="4335" w:hanging="284"/>
      </w:pPr>
      <w:rPr>
        <w:rFonts w:hint="default"/>
        <w:lang w:val="fr-FR" w:eastAsia="en-US" w:bidi="ar-SA"/>
      </w:rPr>
    </w:lvl>
    <w:lvl w:ilvl="8" w:tplc="B608EF28">
      <w:numFmt w:val="bullet"/>
      <w:lvlText w:val="•"/>
      <w:lvlJc w:val="left"/>
      <w:pPr>
        <w:ind w:left="4897" w:hanging="284"/>
      </w:pPr>
      <w:rPr>
        <w:rFonts w:hint="default"/>
        <w:lang w:val="fr-FR" w:eastAsia="en-US" w:bidi="ar-SA"/>
      </w:rPr>
    </w:lvl>
  </w:abstractNum>
  <w:abstractNum w:abstractNumId="70" w15:restartNumberingAfterBreak="0">
    <w:nsid w:val="0E7D1547"/>
    <w:multiLevelType w:val="hybridMultilevel"/>
    <w:tmpl w:val="F6941490"/>
    <w:lvl w:ilvl="0" w:tplc="4D284F3A">
      <w:numFmt w:val="bullet"/>
      <w:lvlText w:val="-"/>
      <w:lvlJc w:val="left"/>
      <w:pPr>
        <w:ind w:left="2137" w:hanging="360"/>
      </w:pPr>
      <w:rPr>
        <w:rFonts w:ascii="Arial" w:eastAsia="Times New Roman" w:hAnsi="Arial" w:cs="Arial" w:hint="default"/>
        <w:i w:val="0"/>
        <w:color w:val="auto"/>
        <w:sz w:val="22"/>
        <w:szCs w:val="22"/>
      </w:rPr>
    </w:lvl>
    <w:lvl w:ilvl="1" w:tplc="040C0003" w:tentative="1">
      <w:start w:val="1"/>
      <w:numFmt w:val="bullet"/>
      <w:lvlText w:val="o"/>
      <w:lvlJc w:val="left"/>
      <w:pPr>
        <w:ind w:left="2857" w:hanging="360"/>
      </w:pPr>
      <w:rPr>
        <w:rFonts w:ascii="Courier New" w:hAnsi="Courier New" w:cs="Courier New" w:hint="default"/>
      </w:rPr>
    </w:lvl>
    <w:lvl w:ilvl="2" w:tplc="040C0005" w:tentative="1">
      <w:start w:val="1"/>
      <w:numFmt w:val="bullet"/>
      <w:lvlText w:val=""/>
      <w:lvlJc w:val="left"/>
      <w:pPr>
        <w:ind w:left="3577" w:hanging="360"/>
      </w:pPr>
      <w:rPr>
        <w:rFonts w:ascii="Wingdings" w:hAnsi="Wingdings" w:hint="default"/>
      </w:rPr>
    </w:lvl>
    <w:lvl w:ilvl="3" w:tplc="040C0001" w:tentative="1">
      <w:start w:val="1"/>
      <w:numFmt w:val="bullet"/>
      <w:lvlText w:val=""/>
      <w:lvlJc w:val="left"/>
      <w:pPr>
        <w:ind w:left="4297" w:hanging="360"/>
      </w:pPr>
      <w:rPr>
        <w:rFonts w:ascii="Symbol" w:hAnsi="Symbol" w:hint="default"/>
      </w:rPr>
    </w:lvl>
    <w:lvl w:ilvl="4" w:tplc="040C0003" w:tentative="1">
      <w:start w:val="1"/>
      <w:numFmt w:val="bullet"/>
      <w:lvlText w:val="o"/>
      <w:lvlJc w:val="left"/>
      <w:pPr>
        <w:ind w:left="5017" w:hanging="360"/>
      </w:pPr>
      <w:rPr>
        <w:rFonts w:ascii="Courier New" w:hAnsi="Courier New" w:cs="Courier New" w:hint="default"/>
      </w:rPr>
    </w:lvl>
    <w:lvl w:ilvl="5" w:tplc="040C0005" w:tentative="1">
      <w:start w:val="1"/>
      <w:numFmt w:val="bullet"/>
      <w:lvlText w:val=""/>
      <w:lvlJc w:val="left"/>
      <w:pPr>
        <w:ind w:left="5737" w:hanging="360"/>
      </w:pPr>
      <w:rPr>
        <w:rFonts w:ascii="Wingdings" w:hAnsi="Wingdings" w:hint="default"/>
      </w:rPr>
    </w:lvl>
    <w:lvl w:ilvl="6" w:tplc="040C0001" w:tentative="1">
      <w:start w:val="1"/>
      <w:numFmt w:val="bullet"/>
      <w:lvlText w:val=""/>
      <w:lvlJc w:val="left"/>
      <w:pPr>
        <w:ind w:left="6457" w:hanging="360"/>
      </w:pPr>
      <w:rPr>
        <w:rFonts w:ascii="Symbol" w:hAnsi="Symbol" w:hint="default"/>
      </w:rPr>
    </w:lvl>
    <w:lvl w:ilvl="7" w:tplc="040C0003" w:tentative="1">
      <w:start w:val="1"/>
      <w:numFmt w:val="bullet"/>
      <w:lvlText w:val="o"/>
      <w:lvlJc w:val="left"/>
      <w:pPr>
        <w:ind w:left="7177" w:hanging="360"/>
      </w:pPr>
      <w:rPr>
        <w:rFonts w:ascii="Courier New" w:hAnsi="Courier New" w:cs="Courier New" w:hint="default"/>
      </w:rPr>
    </w:lvl>
    <w:lvl w:ilvl="8" w:tplc="040C0005" w:tentative="1">
      <w:start w:val="1"/>
      <w:numFmt w:val="bullet"/>
      <w:lvlText w:val=""/>
      <w:lvlJc w:val="left"/>
      <w:pPr>
        <w:ind w:left="7897" w:hanging="360"/>
      </w:pPr>
      <w:rPr>
        <w:rFonts w:ascii="Wingdings" w:hAnsi="Wingdings" w:hint="default"/>
      </w:rPr>
    </w:lvl>
  </w:abstractNum>
  <w:abstractNum w:abstractNumId="71" w15:restartNumberingAfterBreak="0">
    <w:nsid w:val="0EBE4AAE"/>
    <w:multiLevelType w:val="hybridMultilevel"/>
    <w:tmpl w:val="6B16A840"/>
    <w:lvl w:ilvl="0" w:tplc="2AB853FC">
      <w:start w:val="1"/>
      <w:numFmt w:val="bullet"/>
      <w:lvlText w:val="✓"/>
      <w:lvlJc w:val="left"/>
      <w:pPr>
        <w:ind w:left="4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A2F208">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A0E0DA2">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B161AE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3272C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1E85F2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38B280">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C214F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184A85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2E2204C"/>
    <w:multiLevelType w:val="hybridMultilevel"/>
    <w:tmpl w:val="8E76C5D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3" w15:restartNumberingAfterBreak="0">
    <w:nsid w:val="13880536"/>
    <w:multiLevelType w:val="hybridMultilevel"/>
    <w:tmpl w:val="1B584EF0"/>
    <w:lvl w:ilvl="0" w:tplc="C6F093C4">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7E57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02FE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4AFF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7A2B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72ACC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9225B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400F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347E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38C12F7"/>
    <w:multiLevelType w:val="hybridMultilevel"/>
    <w:tmpl w:val="A84880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13E02A94"/>
    <w:multiLevelType w:val="hybridMultilevel"/>
    <w:tmpl w:val="4BC8979A"/>
    <w:lvl w:ilvl="0" w:tplc="DBE09CEA">
      <w:start w:val="1"/>
      <w:numFmt w:val="lowerRoman"/>
      <w:lvlText w:val="%1."/>
      <w:lvlJc w:val="left"/>
      <w:pPr>
        <w:ind w:left="720" w:hanging="360"/>
      </w:pPr>
      <w:rPr>
        <w:rFonts w:ascii="Times New Roman" w:eastAsia="Calibri" w:hAnsi="Times New Roman" w:cs="Times New Roman"/>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6" w15:restartNumberingAfterBreak="0">
    <w:nsid w:val="13FC4E9B"/>
    <w:multiLevelType w:val="multilevel"/>
    <w:tmpl w:val="95C8AB00"/>
    <w:lvl w:ilvl="0">
      <w:start w:val="1"/>
      <w:numFmt w:val="decimal"/>
      <w:lvlText w:val="%1."/>
      <w:lvlJc w:val="left"/>
      <w:pPr>
        <w:ind w:left="720" w:hanging="360"/>
      </w:pPr>
      <w:rPr>
        <w:rFonts w:hint="default"/>
        <w:b/>
        <w:sz w:val="32"/>
      </w:rPr>
    </w:lvl>
    <w:lvl w:ilvl="1">
      <w:start w:val="1"/>
      <w:numFmt w:val="decimal"/>
      <w:lvlText w:val="3.%2."/>
      <w:lvlJc w:val="left"/>
      <w:pPr>
        <w:ind w:left="1080" w:hanging="720"/>
      </w:pPr>
      <w:rPr>
        <w:rFonts w:hint="default"/>
        <w:b/>
      </w:rPr>
    </w:lvl>
    <w:lvl w:ilvl="2">
      <w:start w:val="1"/>
      <w:numFmt w:val="decimal"/>
      <w:lvlText w:val="3.3.%3."/>
      <w:lvlJc w:val="left"/>
      <w:pPr>
        <w:ind w:left="1080" w:hanging="720"/>
      </w:pPr>
      <w:rPr>
        <w:rFonts w:hint="default"/>
      </w:rPr>
    </w:lvl>
    <w:lvl w:ilvl="3">
      <w:start w:val="1"/>
      <w:numFmt w:val="decimal"/>
      <w:lvlText w:val="3.3.1.%4."/>
      <w:lvlJc w:val="left"/>
      <w:pPr>
        <w:ind w:left="1440" w:hanging="1080"/>
      </w:pPr>
      <w:rPr>
        <w:rFonts w:hint="default"/>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14DF57AE"/>
    <w:multiLevelType w:val="hybridMultilevel"/>
    <w:tmpl w:val="9014C2E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14F53516"/>
    <w:multiLevelType w:val="hybridMultilevel"/>
    <w:tmpl w:val="94B8D0FE"/>
    <w:name w:val="WW8Num6"/>
    <w:lvl w:ilvl="0" w:tplc="D51C27D6">
      <w:start w:val="4"/>
      <w:numFmt w:val="bullet"/>
      <w:pStyle w:val="Papiermarg"/>
      <w:lvlText w:val="-"/>
      <w:lvlJc w:val="left"/>
      <w:pPr>
        <w:tabs>
          <w:tab w:val="num" w:pos="927"/>
        </w:tabs>
        <w:ind w:left="567"/>
      </w:pPr>
      <w:rPr>
        <w:rFonts w:ascii="Times New Roman" w:eastAsia="Times New Roman" w:hAnsi="Times New Roman" w:hint="default"/>
      </w:rPr>
    </w:lvl>
    <w:lvl w:ilvl="1" w:tplc="A7ECB326">
      <w:start w:val="1"/>
      <w:numFmt w:val="decimal"/>
      <w:lvlText w:val="%2."/>
      <w:lvlJc w:val="left"/>
      <w:pPr>
        <w:tabs>
          <w:tab w:val="num" w:pos="1440"/>
        </w:tabs>
        <w:ind w:left="1440" w:hanging="360"/>
      </w:pPr>
      <w:rPr>
        <w:rFonts w:cs="Times New Roman"/>
      </w:rPr>
    </w:lvl>
    <w:lvl w:ilvl="2" w:tplc="686EBE04">
      <w:start w:val="1"/>
      <w:numFmt w:val="decimal"/>
      <w:lvlText w:val="%3."/>
      <w:lvlJc w:val="left"/>
      <w:pPr>
        <w:tabs>
          <w:tab w:val="num" w:pos="2160"/>
        </w:tabs>
        <w:ind w:left="2160" w:hanging="360"/>
      </w:pPr>
      <w:rPr>
        <w:rFonts w:cs="Times New Roman"/>
      </w:rPr>
    </w:lvl>
    <w:lvl w:ilvl="3" w:tplc="20827EEE">
      <w:start w:val="1"/>
      <w:numFmt w:val="decimal"/>
      <w:lvlText w:val="%4."/>
      <w:lvlJc w:val="left"/>
      <w:pPr>
        <w:tabs>
          <w:tab w:val="num" w:pos="2880"/>
        </w:tabs>
        <w:ind w:left="2880" w:hanging="360"/>
      </w:pPr>
      <w:rPr>
        <w:rFonts w:cs="Times New Roman"/>
      </w:rPr>
    </w:lvl>
    <w:lvl w:ilvl="4" w:tplc="EAAC771A">
      <w:start w:val="1"/>
      <w:numFmt w:val="decimal"/>
      <w:lvlText w:val="%5."/>
      <w:lvlJc w:val="left"/>
      <w:pPr>
        <w:tabs>
          <w:tab w:val="num" w:pos="3600"/>
        </w:tabs>
        <w:ind w:left="3600" w:hanging="360"/>
      </w:pPr>
      <w:rPr>
        <w:rFonts w:cs="Times New Roman"/>
      </w:rPr>
    </w:lvl>
    <w:lvl w:ilvl="5" w:tplc="9D7ABC3C">
      <w:start w:val="1"/>
      <w:numFmt w:val="decimal"/>
      <w:lvlText w:val="%6."/>
      <w:lvlJc w:val="left"/>
      <w:pPr>
        <w:tabs>
          <w:tab w:val="num" w:pos="4320"/>
        </w:tabs>
        <w:ind w:left="4320" w:hanging="360"/>
      </w:pPr>
      <w:rPr>
        <w:rFonts w:cs="Times New Roman"/>
      </w:rPr>
    </w:lvl>
    <w:lvl w:ilvl="6" w:tplc="D54C7490">
      <w:start w:val="1"/>
      <w:numFmt w:val="decimal"/>
      <w:lvlText w:val="%7."/>
      <w:lvlJc w:val="left"/>
      <w:pPr>
        <w:tabs>
          <w:tab w:val="num" w:pos="5040"/>
        </w:tabs>
        <w:ind w:left="5040" w:hanging="360"/>
      </w:pPr>
      <w:rPr>
        <w:rFonts w:cs="Times New Roman"/>
      </w:rPr>
    </w:lvl>
    <w:lvl w:ilvl="7" w:tplc="2940CA8A">
      <w:start w:val="1"/>
      <w:numFmt w:val="decimal"/>
      <w:lvlText w:val="%8."/>
      <w:lvlJc w:val="left"/>
      <w:pPr>
        <w:tabs>
          <w:tab w:val="num" w:pos="5760"/>
        </w:tabs>
        <w:ind w:left="5760" w:hanging="360"/>
      </w:pPr>
      <w:rPr>
        <w:rFonts w:cs="Times New Roman"/>
      </w:rPr>
    </w:lvl>
    <w:lvl w:ilvl="8" w:tplc="9A763014">
      <w:start w:val="1"/>
      <w:numFmt w:val="decimal"/>
      <w:lvlText w:val="%9."/>
      <w:lvlJc w:val="left"/>
      <w:pPr>
        <w:tabs>
          <w:tab w:val="num" w:pos="6480"/>
        </w:tabs>
        <w:ind w:left="6480" w:hanging="360"/>
      </w:pPr>
      <w:rPr>
        <w:rFonts w:cs="Times New Roman"/>
      </w:rPr>
    </w:lvl>
  </w:abstractNum>
  <w:abstractNum w:abstractNumId="79" w15:restartNumberingAfterBreak="0">
    <w:nsid w:val="15AA45E8"/>
    <w:multiLevelType w:val="hybridMultilevel"/>
    <w:tmpl w:val="38706EB2"/>
    <w:lvl w:ilvl="0" w:tplc="08160003">
      <w:start w:val="1"/>
      <w:numFmt w:val="bullet"/>
      <w:lvlText w:val="o"/>
      <w:lvlJc w:val="left"/>
      <w:pPr>
        <w:ind w:left="1440" w:hanging="360"/>
      </w:pPr>
      <w:rPr>
        <w:rFonts w:ascii="Courier New" w:hAnsi="Courier New" w:cs="Courier New"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80" w15:restartNumberingAfterBreak="0">
    <w:nsid w:val="15D667E1"/>
    <w:multiLevelType w:val="hybridMultilevel"/>
    <w:tmpl w:val="4DA66E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16B54D7E"/>
    <w:multiLevelType w:val="hybridMultilevel"/>
    <w:tmpl w:val="53EAB2DA"/>
    <w:lvl w:ilvl="0" w:tplc="47F888E4">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73F0F55"/>
    <w:multiLevelType w:val="hybridMultilevel"/>
    <w:tmpl w:val="D38C515E"/>
    <w:lvl w:ilvl="0" w:tplc="BF34B882">
      <w:start w:val="1"/>
      <w:numFmt w:val="bullet"/>
      <w:lvlText w:val="-"/>
      <w:lvlJc w:val="left"/>
      <w:pPr>
        <w:ind w:left="720" w:hanging="360"/>
      </w:pPr>
      <w:rPr>
        <w:rFonts w:ascii="Tahoma" w:hAnsi="Tahom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3" w15:restartNumberingAfterBreak="0">
    <w:nsid w:val="17665DAB"/>
    <w:multiLevelType w:val="hybridMultilevel"/>
    <w:tmpl w:val="4DA66EA4"/>
    <w:styleLink w:val="Style121"/>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17B77DFE"/>
    <w:multiLevelType w:val="hybridMultilevel"/>
    <w:tmpl w:val="020CEE42"/>
    <w:lvl w:ilvl="0" w:tplc="040C0001">
      <w:start w:val="1"/>
      <w:numFmt w:val="bullet"/>
      <w:lvlText w:val=""/>
      <w:lvlJc w:val="left"/>
      <w:pPr>
        <w:ind w:left="417" w:hanging="360"/>
      </w:pPr>
      <w:rPr>
        <w:rFonts w:ascii="Symbol" w:hAnsi="Symbol"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85" w15:restartNumberingAfterBreak="0">
    <w:nsid w:val="17E57084"/>
    <w:multiLevelType w:val="hybridMultilevel"/>
    <w:tmpl w:val="1D68A6C6"/>
    <w:lvl w:ilvl="0" w:tplc="040C0001">
      <w:start w:val="1"/>
      <w:numFmt w:val="bullet"/>
      <w:lvlText w:val=""/>
      <w:lvlJc w:val="left"/>
      <w:pPr>
        <w:tabs>
          <w:tab w:val="num" w:pos="502"/>
        </w:tabs>
        <w:ind w:left="502" w:hanging="360"/>
      </w:pPr>
      <w:rPr>
        <w:rFonts w:ascii="Symbol" w:hAnsi="Symbol"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18047D6C"/>
    <w:multiLevelType w:val="hybridMultilevel"/>
    <w:tmpl w:val="DFFA040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181919AB"/>
    <w:multiLevelType w:val="hybridMultilevel"/>
    <w:tmpl w:val="F342C502"/>
    <w:lvl w:ilvl="0" w:tplc="60AAB0B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BFED61E">
      <w:start w:val="1"/>
      <w:numFmt w:val="bullet"/>
      <w:lvlText w:val="o"/>
      <w:lvlJc w:val="left"/>
      <w:pPr>
        <w:ind w:left="1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3ACAF6">
      <w:start w:val="1"/>
      <w:numFmt w:val="bullet"/>
      <w:lvlText w:val="▪"/>
      <w:lvlJc w:val="left"/>
      <w:pPr>
        <w:ind w:left="1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24F2F6">
      <w:start w:val="1"/>
      <w:numFmt w:val="bullet"/>
      <w:lvlText w:val="•"/>
      <w:lvlJc w:val="left"/>
      <w:pPr>
        <w:ind w:left="2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3CD41A">
      <w:start w:val="1"/>
      <w:numFmt w:val="bullet"/>
      <w:lvlText w:val="o"/>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7E8EE0">
      <w:start w:val="1"/>
      <w:numFmt w:val="bullet"/>
      <w:lvlText w:val="▪"/>
      <w:lvlJc w:val="left"/>
      <w:pPr>
        <w:ind w:left="39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B8B3CE">
      <w:start w:val="1"/>
      <w:numFmt w:val="bullet"/>
      <w:lvlText w:val="•"/>
      <w:lvlJc w:val="left"/>
      <w:pPr>
        <w:ind w:left="4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09D78">
      <w:start w:val="1"/>
      <w:numFmt w:val="bullet"/>
      <w:lvlText w:val="o"/>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A228FC">
      <w:start w:val="1"/>
      <w:numFmt w:val="bullet"/>
      <w:lvlText w:val="▪"/>
      <w:lvlJc w:val="left"/>
      <w:pPr>
        <w:ind w:left="61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1838517A"/>
    <w:multiLevelType w:val="hybridMultilevel"/>
    <w:tmpl w:val="DB8C41EE"/>
    <w:lvl w:ilvl="0" w:tplc="5052AA54">
      <w:start w:val="1"/>
      <w:numFmt w:val="bullet"/>
      <w:lvlText w:val="-"/>
      <w:lvlJc w:val="left"/>
      <w:pPr>
        <w:ind w:left="36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195A533C"/>
    <w:multiLevelType w:val="hybridMultilevel"/>
    <w:tmpl w:val="F154B5A6"/>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0" w15:restartNumberingAfterBreak="0">
    <w:nsid w:val="19C53DE0"/>
    <w:multiLevelType w:val="multilevel"/>
    <w:tmpl w:val="853854C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1A1E24D0"/>
    <w:multiLevelType w:val="multilevel"/>
    <w:tmpl w:val="8A742D64"/>
    <w:lvl w:ilvl="0">
      <w:start w:val="1"/>
      <w:numFmt w:val="decimal"/>
      <w:lvlText w:val="%1."/>
      <w:lvlJc w:val="left"/>
      <w:pPr>
        <w:ind w:left="360" w:hanging="360"/>
      </w:pPr>
      <w:rPr>
        <w:rFonts w:hint="default"/>
        <w:sz w:val="22"/>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1B1774CF"/>
    <w:multiLevelType w:val="hybridMultilevel"/>
    <w:tmpl w:val="15CA2AC2"/>
    <w:lvl w:ilvl="0" w:tplc="E22EAC72">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3" w15:restartNumberingAfterBreak="0">
    <w:nsid w:val="1B402B1A"/>
    <w:multiLevelType w:val="hybridMultilevel"/>
    <w:tmpl w:val="5F3868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1B930A82"/>
    <w:multiLevelType w:val="hybridMultilevel"/>
    <w:tmpl w:val="5F78FBF0"/>
    <w:styleLink w:val="Style151"/>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95" w15:restartNumberingAfterBreak="0">
    <w:nsid w:val="1BAF442C"/>
    <w:multiLevelType w:val="multilevel"/>
    <w:tmpl w:val="3FAA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BD439D7"/>
    <w:multiLevelType w:val="multilevel"/>
    <w:tmpl w:val="45484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C0060C3"/>
    <w:multiLevelType w:val="hybridMultilevel"/>
    <w:tmpl w:val="AA5C2A2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8" w15:restartNumberingAfterBreak="0">
    <w:nsid w:val="1C650A85"/>
    <w:multiLevelType w:val="hybridMultilevel"/>
    <w:tmpl w:val="7912050E"/>
    <w:lvl w:ilvl="0" w:tplc="040C0001">
      <w:start w:val="1"/>
      <w:numFmt w:val="bullet"/>
      <w:lvlText w:val=""/>
      <w:lvlJc w:val="left"/>
      <w:pPr>
        <w:ind w:left="1080" w:hanging="720"/>
      </w:pPr>
      <w:rPr>
        <w:rFonts w:ascii="Symbol" w:hAnsi="Symbol"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9" w15:restartNumberingAfterBreak="0">
    <w:nsid w:val="1CB9105E"/>
    <w:multiLevelType w:val="hybridMultilevel"/>
    <w:tmpl w:val="444CA410"/>
    <w:lvl w:ilvl="0" w:tplc="0816000F">
      <w:start w:val="1"/>
      <w:numFmt w:val="decimal"/>
      <w:lvlText w:val="%1."/>
      <w:lvlJc w:val="left"/>
      <w:pPr>
        <w:ind w:left="644" w:hanging="360"/>
      </w:p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100" w15:restartNumberingAfterBreak="0">
    <w:nsid w:val="1D05037A"/>
    <w:multiLevelType w:val="singleLevel"/>
    <w:tmpl w:val="D8CA5804"/>
    <w:lvl w:ilvl="0">
      <w:start w:val="1"/>
      <w:numFmt w:val="bullet"/>
      <w:pStyle w:val="Enum2"/>
      <w:lvlText w:val=""/>
      <w:lvlJc w:val="left"/>
      <w:pPr>
        <w:tabs>
          <w:tab w:val="num" w:pos="360"/>
        </w:tabs>
        <w:ind w:left="360" w:hanging="360"/>
      </w:pPr>
      <w:rPr>
        <w:rFonts w:ascii="Symbol" w:hAnsi="Symbol" w:hint="default"/>
      </w:rPr>
    </w:lvl>
  </w:abstractNum>
  <w:abstractNum w:abstractNumId="101" w15:restartNumberingAfterBreak="0">
    <w:nsid w:val="1D073A43"/>
    <w:multiLevelType w:val="hybridMultilevel"/>
    <w:tmpl w:val="B17C8D0C"/>
    <w:lvl w:ilvl="0" w:tplc="4D284F3A">
      <w:numFmt w:val="bullet"/>
      <w:lvlText w:val="-"/>
      <w:lvlJc w:val="left"/>
      <w:pPr>
        <w:ind w:left="720" w:hanging="360"/>
      </w:pPr>
      <w:rPr>
        <w:rFonts w:ascii="Arial" w:eastAsia="Times New Roman" w:hAnsi="Arial" w:cs="Arial" w:hint="default"/>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2" w15:restartNumberingAfterBreak="0">
    <w:nsid w:val="1D811F19"/>
    <w:multiLevelType w:val="hybridMultilevel"/>
    <w:tmpl w:val="58E6D1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1DAB5E39"/>
    <w:multiLevelType w:val="hybridMultilevel"/>
    <w:tmpl w:val="23BC54CC"/>
    <w:lvl w:ilvl="0" w:tplc="8B5CB436">
      <w:start w:val="1"/>
      <w:numFmt w:val="lowerLetter"/>
      <w:pStyle w:val="SectionVII"/>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1DF15067"/>
    <w:multiLevelType w:val="hybridMultilevel"/>
    <w:tmpl w:val="EF30B27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5" w15:restartNumberingAfterBreak="0">
    <w:nsid w:val="1DF4634B"/>
    <w:multiLevelType w:val="hybridMultilevel"/>
    <w:tmpl w:val="EFB6A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E101200"/>
    <w:multiLevelType w:val="multilevel"/>
    <w:tmpl w:val="6414CB82"/>
    <w:lvl w:ilvl="0">
      <w:start w:val="1"/>
      <w:numFmt w:val="decimal"/>
      <w:pStyle w:val="TitreTR"/>
      <w:lvlText w:val="(%1)"/>
      <w:lvlJc w:val="left"/>
      <w:pPr>
        <w:tabs>
          <w:tab w:val="num" w:pos="360"/>
        </w:tabs>
        <w:ind w:left="0" w:firstLine="0"/>
      </w:pPr>
      <w:rPr>
        <w:rFonts w:ascii="Arial" w:hAnsi="Arial"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1EB073A9"/>
    <w:multiLevelType w:val="hybridMultilevel"/>
    <w:tmpl w:val="DA5C7C24"/>
    <w:lvl w:ilvl="0" w:tplc="792E46DE">
      <w:start w:val="2014"/>
      <w:numFmt w:val="bullet"/>
      <w:lvlText w:val="-"/>
      <w:lvlJc w:val="left"/>
      <w:pPr>
        <w:ind w:left="1068" w:hanging="360"/>
      </w:pPr>
      <w:rPr>
        <w:rFonts w:ascii="Times New Roman" w:eastAsia="Calibri" w:hAnsi="Times New Roman"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8" w15:restartNumberingAfterBreak="0">
    <w:nsid w:val="1EBE0B47"/>
    <w:multiLevelType w:val="hybridMultilevel"/>
    <w:tmpl w:val="1DFA636C"/>
    <w:lvl w:ilvl="0" w:tplc="5288A42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F140BE4"/>
    <w:multiLevelType w:val="hybridMultilevel"/>
    <w:tmpl w:val="5F047C50"/>
    <w:lvl w:ilvl="0" w:tplc="D182058E">
      <w:start w:val="8"/>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1F3268BF"/>
    <w:multiLevelType w:val="hybridMultilevel"/>
    <w:tmpl w:val="3CA25D40"/>
    <w:lvl w:ilvl="0" w:tplc="51D0F7FC">
      <w:numFmt w:val="bullet"/>
      <w:lvlText w:val="-"/>
      <w:lvlJc w:val="left"/>
      <w:pPr>
        <w:ind w:left="644"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1FC04191"/>
    <w:multiLevelType w:val="multilevel"/>
    <w:tmpl w:val="0BCCE75E"/>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2" w15:restartNumberingAfterBreak="0">
    <w:nsid w:val="206200FA"/>
    <w:multiLevelType w:val="hybridMultilevel"/>
    <w:tmpl w:val="58C02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0790933"/>
    <w:multiLevelType w:val="hybridMultilevel"/>
    <w:tmpl w:val="52784A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14" w15:restartNumberingAfterBreak="0">
    <w:nsid w:val="21963D2A"/>
    <w:multiLevelType w:val="hybridMultilevel"/>
    <w:tmpl w:val="5EEE6CAE"/>
    <w:lvl w:ilvl="0" w:tplc="AF02956C">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21E51295"/>
    <w:multiLevelType w:val="multilevel"/>
    <w:tmpl w:val="040C001F"/>
    <w:styleLink w:val="Style10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222219D0"/>
    <w:multiLevelType w:val="hybridMultilevel"/>
    <w:tmpl w:val="06B4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24F79D3"/>
    <w:multiLevelType w:val="hybridMultilevel"/>
    <w:tmpl w:val="F22ACD4C"/>
    <w:lvl w:ilvl="0" w:tplc="5E22A1A6">
      <w:start w:val="1"/>
      <w:numFmt w:val="bullet"/>
      <w:lvlText w:val="-"/>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D07446">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DC8AA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20389A">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56244C">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E49B8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7089E2">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FEB706">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94F8D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226701FF"/>
    <w:multiLevelType w:val="multilevel"/>
    <w:tmpl w:val="4FBC43AE"/>
    <w:lvl w:ilvl="0">
      <w:start w:val="1"/>
      <w:numFmt w:val="decimal"/>
      <w:lvlText w:val="%1."/>
      <w:lvlJc w:val="left"/>
      <w:pPr>
        <w:ind w:left="720" w:hanging="360"/>
      </w:pPr>
      <w:rPr>
        <w:rFonts w:hint="default"/>
        <w:b/>
        <w:sz w:val="32"/>
      </w:rPr>
    </w:lvl>
    <w:lvl w:ilvl="1">
      <w:start w:val="1"/>
      <w:numFmt w:val="decimal"/>
      <w:lvlText w:val="2.%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9" w15:restartNumberingAfterBreak="0">
    <w:nsid w:val="2284565A"/>
    <w:multiLevelType w:val="hybridMultilevel"/>
    <w:tmpl w:val="3368A62C"/>
    <w:lvl w:ilvl="0" w:tplc="76201F0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2302428C"/>
    <w:multiLevelType w:val="hybridMultilevel"/>
    <w:tmpl w:val="5BB00140"/>
    <w:lvl w:ilvl="0" w:tplc="5A84E520">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3454FE7"/>
    <w:multiLevelType w:val="hybridMultilevel"/>
    <w:tmpl w:val="66AAD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3CE595C"/>
    <w:multiLevelType w:val="hybridMultilevel"/>
    <w:tmpl w:val="4DA66E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23D97115"/>
    <w:multiLevelType w:val="hybridMultilevel"/>
    <w:tmpl w:val="15360B30"/>
    <w:lvl w:ilvl="0" w:tplc="B32297A4">
      <w:start w:val="1"/>
      <w:numFmt w:val="bullet"/>
      <w:lvlText w:val="-"/>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B8D4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B0ADC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2A0A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F4612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E2E2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D8256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4C92E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220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23E137A5"/>
    <w:multiLevelType w:val="hybridMultilevel"/>
    <w:tmpl w:val="F2C078E8"/>
    <w:lvl w:ilvl="0" w:tplc="FA1812D2">
      <w:start w:val="1"/>
      <w:numFmt w:val="bullet"/>
      <w:lvlText w:val="▪"/>
      <w:lvlJc w:val="left"/>
      <w:pPr>
        <w:ind w:left="1428"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5" w15:restartNumberingAfterBreak="0">
    <w:nsid w:val="246869EA"/>
    <w:multiLevelType w:val="hybridMultilevel"/>
    <w:tmpl w:val="29865F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5E044C1"/>
    <w:multiLevelType w:val="hybridMultilevel"/>
    <w:tmpl w:val="B7EC7D68"/>
    <w:lvl w:ilvl="0" w:tplc="FBC8E63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2614762F"/>
    <w:multiLevelType w:val="hybridMultilevel"/>
    <w:tmpl w:val="838AD5D4"/>
    <w:styleLink w:val="Style131"/>
    <w:lvl w:ilvl="0" w:tplc="66680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2653072E"/>
    <w:multiLevelType w:val="hybridMultilevel"/>
    <w:tmpl w:val="28A49256"/>
    <w:lvl w:ilvl="0" w:tplc="BF34B882">
      <w:start w:val="1"/>
      <w:numFmt w:val="bullet"/>
      <w:lvlText w:val="-"/>
      <w:lvlJc w:val="left"/>
      <w:pPr>
        <w:ind w:left="360" w:hanging="360"/>
      </w:pPr>
      <w:rPr>
        <w:rFonts w:ascii="Tahoma" w:hAnsi="Tahoma" w:hint="default"/>
      </w:rPr>
    </w:lvl>
    <w:lvl w:ilvl="1" w:tplc="040C0003">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129" w15:restartNumberingAfterBreak="0">
    <w:nsid w:val="26605FE9"/>
    <w:multiLevelType w:val="hybridMultilevel"/>
    <w:tmpl w:val="8B1058F4"/>
    <w:lvl w:ilvl="0" w:tplc="FD58E4B6">
      <w:start w:val="1"/>
      <w:numFmt w:val="bullet"/>
      <w:lvlText w:val="-"/>
      <w:lvlJc w:val="left"/>
      <w:pPr>
        <w:ind w:left="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D6F782">
      <w:start w:val="1"/>
      <w:numFmt w:val="bullet"/>
      <w:lvlText w:val="o"/>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B4B3C2">
      <w:start w:val="1"/>
      <w:numFmt w:val="bullet"/>
      <w:lvlText w:val="▪"/>
      <w:lvlJc w:val="left"/>
      <w:pPr>
        <w:ind w:left="1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FCF018">
      <w:start w:val="1"/>
      <w:numFmt w:val="bullet"/>
      <w:lvlText w:val="•"/>
      <w:lvlJc w:val="left"/>
      <w:pPr>
        <w:ind w:left="2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06C9F4">
      <w:start w:val="1"/>
      <w:numFmt w:val="bullet"/>
      <w:lvlText w:val="o"/>
      <w:lvlJc w:val="left"/>
      <w:pPr>
        <w:ind w:left="3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5AC8FA">
      <w:start w:val="1"/>
      <w:numFmt w:val="bullet"/>
      <w:lvlText w:val="▪"/>
      <w:lvlJc w:val="left"/>
      <w:pPr>
        <w:ind w:left="4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8E14B2">
      <w:start w:val="1"/>
      <w:numFmt w:val="bullet"/>
      <w:lvlText w:val="•"/>
      <w:lvlJc w:val="left"/>
      <w:pPr>
        <w:ind w:left="4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06522C">
      <w:start w:val="1"/>
      <w:numFmt w:val="bullet"/>
      <w:lvlText w:val="o"/>
      <w:lvlJc w:val="left"/>
      <w:pPr>
        <w:ind w:left="5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94861C">
      <w:start w:val="1"/>
      <w:numFmt w:val="bullet"/>
      <w:lvlText w:val="▪"/>
      <w:lvlJc w:val="left"/>
      <w:pPr>
        <w:ind w:left="6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26750B57"/>
    <w:multiLevelType w:val="hybridMultilevel"/>
    <w:tmpl w:val="EAC423BC"/>
    <w:lvl w:ilvl="0" w:tplc="D3ECC2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78A1EB5"/>
    <w:multiLevelType w:val="multilevel"/>
    <w:tmpl w:val="7920213A"/>
    <w:lvl w:ilvl="0">
      <w:start w:val="1"/>
      <w:numFmt w:val="bullet"/>
      <w:lvlText w:val="-"/>
      <w:lvlJc w:val="left"/>
      <w:pPr>
        <w:ind w:left="1494" w:hanging="360"/>
      </w:pPr>
      <w:rPr>
        <w:rFonts w:ascii="Times New Roman" w:hAnsi="Times New Roman" w:cs="Times New Roman" w:hint="default"/>
      </w:rPr>
    </w:lvl>
    <w:lvl w:ilvl="1">
      <w:start w:val="1"/>
      <w:numFmt w:val="bullet"/>
      <w:lvlText w:val="o"/>
      <w:lvlJc w:val="left"/>
      <w:pPr>
        <w:ind w:left="2214" w:hanging="360"/>
      </w:pPr>
      <w:rPr>
        <w:rFonts w:ascii="Courier New" w:hAnsi="Courier New" w:cs="Courier New" w:hint="default"/>
      </w:rPr>
    </w:lvl>
    <w:lvl w:ilvl="2">
      <w:start w:val="1"/>
      <w:numFmt w:val="bullet"/>
      <w:lvlText w:val=""/>
      <w:lvlJc w:val="left"/>
      <w:pPr>
        <w:ind w:left="2934" w:hanging="360"/>
      </w:pPr>
      <w:rPr>
        <w:rFonts w:ascii="Wingdings" w:hAnsi="Wingdings" w:cs="Wingdings" w:hint="default"/>
      </w:rPr>
    </w:lvl>
    <w:lvl w:ilvl="3">
      <w:start w:val="1"/>
      <w:numFmt w:val="bullet"/>
      <w:lvlText w:val=""/>
      <w:lvlJc w:val="left"/>
      <w:pPr>
        <w:ind w:left="3654" w:hanging="360"/>
      </w:pPr>
      <w:rPr>
        <w:rFonts w:ascii="Symbol" w:hAnsi="Symbol" w:cs="Symbol" w:hint="default"/>
      </w:rPr>
    </w:lvl>
    <w:lvl w:ilvl="4">
      <w:start w:val="1"/>
      <w:numFmt w:val="bullet"/>
      <w:lvlText w:val="o"/>
      <w:lvlJc w:val="left"/>
      <w:pPr>
        <w:ind w:left="4374" w:hanging="360"/>
      </w:pPr>
      <w:rPr>
        <w:rFonts w:ascii="Courier New" w:hAnsi="Courier New" w:cs="Courier New" w:hint="default"/>
      </w:rPr>
    </w:lvl>
    <w:lvl w:ilvl="5">
      <w:start w:val="1"/>
      <w:numFmt w:val="bullet"/>
      <w:lvlText w:val=""/>
      <w:lvlJc w:val="left"/>
      <w:pPr>
        <w:ind w:left="5094" w:hanging="360"/>
      </w:pPr>
      <w:rPr>
        <w:rFonts w:ascii="Wingdings" w:hAnsi="Wingdings" w:cs="Wingdings" w:hint="default"/>
      </w:rPr>
    </w:lvl>
    <w:lvl w:ilvl="6">
      <w:start w:val="1"/>
      <w:numFmt w:val="bullet"/>
      <w:lvlText w:val=""/>
      <w:lvlJc w:val="left"/>
      <w:pPr>
        <w:ind w:left="5814" w:hanging="360"/>
      </w:pPr>
      <w:rPr>
        <w:rFonts w:ascii="Symbol" w:hAnsi="Symbol" w:cs="Symbol" w:hint="default"/>
      </w:rPr>
    </w:lvl>
    <w:lvl w:ilvl="7">
      <w:start w:val="1"/>
      <w:numFmt w:val="bullet"/>
      <w:lvlText w:val="o"/>
      <w:lvlJc w:val="left"/>
      <w:pPr>
        <w:ind w:left="6534" w:hanging="360"/>
      </w:pPr>
      <w:rPr>
        <w:rFonts w:ascii="Courier New" w:hAnsi="Courier New" w:cs="Courier New" w:hint="default"/>
      </w:rPr>
    </w:lvl>
    <w:lvl w:ilvl="8">
      <w:start w:val="1"/>
      <w:numFmt w:val="bullet"/>
      <w:lvlText w:val=""/>
      <w:lvlJc w:val="left"/>
      <w:pPr>
        <w:ind w:left="7254" w:hanging="360"/>
      </w:pPr>
      <w:rPr>
        <w:rFonts w:ascii="Wingdings" w:hAnsi="Wingdings" w:cs="Wingdings" w:hint="default"/>
      </w:rPr>
    </w:lvl>
  </w:abstractNum>
  <w:abstractNum w:abstractNumId="132" w15:restartNumberingAfterBreak="0">
    <w:nsid w:val="27F0509F"/>
    <w:multiLevelType w:val="hybridMultilevel"/>
    <w:tmpl w:val="7372481C"/>
    <w:lvl w:ilvl="0" w:tplc="E45E89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2810263F"/>
    <w:multiLevelType w:val="hybridMultilevel"/>
    <w:tmpl w:val="E726647A"/>
    <w:lvl w:ilvl="0" w:tplc="292E180E">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6CEC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1890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10E2C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0AB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4031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2676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E872E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0092B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28E0668F"/>
    <w:multiLevelType w:val="hybridMultilevel"/>
    <w:tmpl w:val="FA400420"/>
    <w:lvl w:ilvl="0" w:tplc="0ECE466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29555026"/>
    <w:multiLevelType w:val="hybridMultilevel"/>
    <w:tmpl w:val="0A98DA7E"/>
    <w:lvl w:ilvl="0" w:tplc="9A982796">
      <w:start w:val="1"/>
      <w:numFmt w:val="bullet"/>
      <w:lvlText w:val="-"/>
      <w:lvlJc w:val="left"/>
      <w:pPr>
        <w:ind w:left="4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0A9B78">
      <w:start w:val="1"/>
      <w:numFmt w:val="bullet"/>
      <w:lvlText w:val="o"/>
      <w:lvlJc w:val="left"/>
      <w:pPr>
        <w:ind w:left="11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FA6A84">
      <w:start w:val="1"/>
      <w:numFmt w:val="bullet"/>
      <w:lvlText w:val="▪"/>
      <w:lvlJc w:val="left"/>
      <w:pPr>
        <w:ind w:left="18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D8B658">
      <w:start w:val="1"/>
      <w:numFmt w:val="bullet"/>
      <w:lvlText w:val="•"/>
      <w:lvlJc w:val="left"/>
      <w:pPr>
        <w:ind w:left="25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2FE20">
      <w:start w:val="1"/>
      <w:numFmt w:val="bullet"/>
      <w:lvlText w:val="o"/>
      <w:lvlJc w:val="left"/>
      <w:pPr>
        <w:ind w:left="3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E41B48">
      <w:start w:val="1"/>
      <w:numFmt w:val="bullet"/>
      <w:lvlText w:val="▪"/>
      <w:lvlJc w:val="left"/>
      <w:pPr>
        <w:ind w:left="40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0C2EFC">
      <w:start w:val="1"/>
      <w:numFmt w:val="bullet"/>
      <w:lvlText w:val="•"/>
      <w:lvlJc w:val="left"/>
      <w:pPr>
        <w:ind w:left="4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6E17AA">
      <w:start w:val="1"/>
      <w:numFmt w:val="bullet"/>
      <w:lvlText w:val="o"/>
      <w:lvlJc w:val="left"/>
      <w:pPr>
        <w:ind w:left="54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20D6C8">
      <w:start w:val="1"/>
      <w:numFmt w:val="bullet"/>
      <w:lvlText w:val="▪"/>
      <w:lvlJc w:val="left"/>
      <w:pPr>
        <w:ind w:left="6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295E38F6"/>
    <w:multiLevelType w:val="hybridMultilevel"/>
    <w:tmpl w:val="0EB8FC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7" w15:restartNumberingAfterBreak="0">
    <w:nsid w:val="2A320D55"/>
    <w:multiLevelType w:val="hybridMultilevel"/>
    <w:tmpl w:val="4F00023A"/>
    <w:lvl w:ilvl="0" w:tplc="5A84E520">
      <w:start w:val="1"/>
      <w:numFmt w:val="bullet"/>
      <w:lvlText w:val="-"/>
      <w:lvlJc w:val="left"/>
      <w:pPr>
        <w:ind w:left="705" w:hanging="360"/>
      </w:pPr>
      <w:rPr>
        <w:rFonts w:ascii="Times New Roman" w:eastAsia="Calibri" w:hAnsi="Times New Roman" w:cs="Times New Roman"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38" w15:restartNumberingAfterBreak="0">
    <w:nsid w:val="2A9E18A2"/>
    <w:multiLevelType w:val="hybridMultilevel"/>
    <w:tmpl w:val="9F1A3512"/>
    <w:lvl w:ilvl="0" w:tplc="679C53E8">
      <w:start w:val="1"/>
      <w:numFmt w:val="lowerRoman"/>
      <w:lvlText w:val="(%1)"/>
      <w:lvlJc w:val="left"/>
      <w:pPr>
        <w:ind w:left="1080" w:hanging="720"/>
      </w:pPr>
      <w:rPr>
        <w:rFonts w:hint="default"/>
        <w:b w:val="0"/>
      </w:rPr>
    </w:lvl>
    <w:lvl w:ilvl="1" w:tplc="7D1E7826">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15:restartNumberingAfterBreak="0">
    <w:nsid w:val="2AD31D03"/>
    <w:multiLevelType w:val="hybridMultilevel"/>
    <w:tmpl w:val="5AC0CA9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0" w15:restartNumberingAfterBreak="0">
    <w:nsid w:val="2AF706CB"/>
    <w:multiLevelType w:val="hybridMultilevel"/>
    <w:tmpl w:val="26E21AF6"/>
    <w:lvl w:ilvl="0" w:tplc="EAD6DCA4">
      <w:start w:val="600"/>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2B02159C"/>
    <w:multiLevelType w:val="hybridMultilevel"/>
    <w:tmpl w:val="5F826660"/>
    <w:lvl w:ilvl="0" w:tplc="8AD0F34C">
      <w:start w:val="83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2B0A6080"/>
    <w:multiLevelType w:val="multilevel"/>
    <w:tmpl w:val="95DC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B1F7EF6"/>
    <w:multiLevelType w:val="multilevel"/>
    <w:tmpl w:val="F72A9A18"/>
    <w:lvl w:ilvl="0">
      <w:start w:val="1"/>
      <w:numFmt w:val="bullet"/>
      <w:lvlText w:val=""/>
      <w:lvlJc w:val="left"/>
      <w:pPr>
        <w:ind w:left="836" w:hanging="360"/>
      </w:pPr>
      <w:rPr>
        <w:rFonts w:ascii="Symbol" w:hAnsi="Symbol" w:cs="Symbol" w:hint="default"/>
      </w:rPr>
    </w:lvl>
    <w:lvl w:ilvl="1">
      <w:start w:val="1"/>
      <w:numFmt w:val="bullet"/>
      <w:lvlText w:val="o"/>
      <w:lvlJc w:val="left"/>
      <w:pPr>
        <w:ind w:left="1556" w:hanging="360"/>
      </w:pPr>
      <w:rPr>
        <w:rFonts w:ascii="Courier New" w:hAnsi="Courier New" w:cs="Courier New" w:hint="default"/>
      </w:rPr>
    </w:lvl>
    <w:lvl w:ilvl="2">
      <w:start w:val="1"/>
      <w:numFmt w:val="bullet"/>
      <w:lvlText w:val=""/>
      <w:lvlJc w:val="left"/>
      <w:pPr>
        <w:ind w:left="2276" w:hanging="360"/>
      </w:pPr>
      <w:rPr>
        <w:rFonts w:ascii="Wingdings" w:hAnsi="Wingdings" w:cs="Wingdings" w:hint="default"/>
      </w:rPr>
    </w:lvl>
    <w:lvl w:ilvl="3">
      <w:start w:val="1"/>
      <w:numFmt w:val="bullet"/>
      <w:lvlText w:val=""/>
      <w:lvlJc w:val="left"/>
      <w:pPr>
        <w:ind w:left="2996" w:hanging="360"/>
      </w:pPr>
      <w:rPr>
        <w:rFonts w:ascii="Symbol" w:hAnsi="Symbol" w:cs="Symbol" w:hint="default"/>
      </w:rPr>
    </w:lvl>
    <w:lvl w:ilvl="4">
      <w:start w:val="1"/>
      <w:numFmt w:val="bullet"/>
      <w:lvlText w:val="o"/>
      <w:lvlJc w:val="left"/>
      <w:pPr>
        <w:ind w:left="3716" w:hanging="360"/>
      </w:pPr>
      <w:rPr>
        <w:rFonts w:ascii="Courier New" w:hAnsi="Courier New" w:cs="Courier New" w:hint="default"/>
      </w:rPr>
    </w:lvl>
    <w:lvl w:ilvl="5">
      <w:start w:val="1"/>
      <w:numFmt w:val="bullet"/>
      <w:lvlText w:val=""/>
      <w:lvlJc w:val="left"/>
      <w:pPr>
        <w:ind w:left="4436" w:hanging="360"/>
      </w:pPr>
      <w:rPr>
        <w:rFonts w:ascii="Wingdings" w:hAnsi="Wingdings" w:cs="Wingdings" w:hint="default"/>
      </w:rPr>
    </w:lvl>
    <w:lvl w:ilvl="6">
      <w:start w:val="1"/>
      <w:numFmt w:val="bullet"/>
      <w:lvlText w:val=""/>
      <w:lvlJc w:val="left"/>
      <w:pPr>
        <w:ind w:left="5156" w:hanging="360"/>
      </w:pPr>
      <w:rPr>
        <w:rFonts w:ascii="Symbol" w:hAnsi="Symbol" w:cs="Symbol" w:hint="default"/>
      </w:rPr>
    </w:lvl>
    <w:lvl w:ilvl="7">
      <w:start w:val="1"/>
      <w:numFmt w:val="bullet"/>
      <w:lvlText w:val="o"/>
      <w:lvlJc w:val="left"/>
      <w:pPr>
        <w:ind w:left="5876" w:hanging="360"/>
      </w:pPr>
      <w:rPr>
        <w:rFonts w:ascii="Courier New" w:hAnsi="Courier New" w:cs="Courier New" w:hint="default"/>
      </w:rPr>
    </w:lvl>
    <w:lvl w:ilvl="8">
      <w:start w:val="1"/>
      <w:numFmt w:val="bullet"/>
      <w:lvlText w:val=""/>
      <w:lvlJc w:val="left"/>
      <w:pPr>
        <w:ind w:left="6596" w:hanging="360"/>
      </w:pPr>
      <w:rPr>
        <w:rFonts w:ascii="Wingdings" w:hAnsi="Wingdings" w:cs="Wingdings" w:hint="default"/>
      </w:rPr>
    </w:lvl>
  </w:abstractNum>
  <w:abstractNum w:abstractNumId="144" w15:restartNumberingAfterBreak="0">
    <w:nsid w:val="2B256298"/>
    <w:multiLevelType w:val="hybridMultilevel"/>
    <w:tmpl w:val="BE18424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5" w15:restartNumberingAfterBreak="0">
    <w:nsid w:val="2B3C5E99"/>
    <w:multiLevelType w:val="hybridMultilevel"/>
    <w:tmpl w:val="E17C05F6"/>
    <w:lvl w:ilvl="0" w:tplc="6C0C7AEE">
      <w:start w:val="1"/>
      <w:numFmt w:val="lowerRoman"/>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B407D36"/>
    <w:multiLevelType w:val="hybridMultilevel"/>
    <w:tmpl w:val="BE5E8E9C"/>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47" w15:restartNumberingAfterBreak="0">
    <w:nsid w:val="2B79027C"/>
    <w:multiLevelType w:val="hybridMultilevel"/>
    <w:tmpl w:val="CCD0BE8A"/>
    <w:lvl w:ilvl="0" w:tplc="040C000B">
      <w:start w:val="1"/>
      <w:numFmt w:val="bullet"/>
      <w:pStyle w:val="Intitulduposte"/>
      <w:lvlText w:val="■"/>
      <w:lvlJc w:val="left"/>
      <w:pPr>
        <w:tabs>
          <w:tab w:val="num" w:pos="360"/>
        </w:tabs>
        <w:ind w:left="288" w:hanging="288"/>
      </w:pPr>
      <w:rPr>
        <w:rFonts w:ascii="Arial" w:hAnsi="Arial" w:hint="default"/>
        <w:b w:val="0"/>
        <w:i w:val="0"/>
        <w:color w:val="0000FF"/>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2C480F91"/>
    <w:multiLevelType w:val="hybridMultilevel"/>
    <w:tmpl w:val="D398185A"/>
    <w:lvl w:ilvl="0" w:tplc="AC1ADD74">
      <w:start w:val="1"/>
      <w:numFmt w:val="bullet"/>
      <w:lvlText w:val="-"/>
      <w:lvlJc w:val="left"/>
      <w:pPr>
        <w:ind w:left="1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885C0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8C1D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660DC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E7C2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CA0EB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BA455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AC1C3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0AD10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2C85287C"/>
    <w:multiLevelType w:val="hybridMultilevel"/>
    <w:tmpl w:val="C1103356"/>
    <w:lvl w:ilvl="0" w:tplc="B02C171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C98A676">
      <w:start w:val="1"/>
      <w:numFmt w:val="bullet"/>
      <w:lvlText w:val="✓"/>
      <w:lvlJc w:val="left"/>
      <w:pPr>
        <w:ind w:left="1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46F77C">
      <w:start w:val="1"/>
      <w:numFmt w:val="bullet"/>
      <w:lvlText w:val="▪"/>
      <w:lvlJc w:val="left"/>
      <w:pPr>
        <w:ind w:left="1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DA222D4">
      <w:start w:val="1"/>
      <w:numFmt w:val="bullet"/>
      <w:lvlText w:val="•"/>
      <w:lvlJc w:val="left"/>
      <w:pPr>
        <w:ind w:left="2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48CF906">
      <w:start w:val="1"/>
      <w:numFmt w:val="bullet"/>
      <w:lvlText w:val="o"/>
      <w:lvlJc w:val="left"/>
      <w:pPr>
        <w:ind w:left="3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520FCE">
      <w:start w:val="1"/>
      <w:numFmt w:val="bullet"/>
      <w:lvlText w:val="▪"/>
      <w:lvlJc w:val="left"/>
      <w:pPr>
        <w:ind w:left="39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318E83C">
      <w:start w:val="1"/>
      <w:numFmt w:val="bullet"/>
      <w:lvlText w:val="•"/>
      <w:lvlJc w:val="left"/>
      <w:pPr>
        <w:ind w:left="46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C58B280">
      <w:start w:val="1"/>
      <w:numFmt w:val="bullet"/>
      <w:lvlText w:val="o"/>
      <w:lvlJc w:val="left"/>
      <w:pPr>
        <w:ind w:left="53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75C9CDE">
      <w:start w:val="1"/>
      <w:numFmt w:val="bullet"/>
      <w:lvlText w:val="▪"/>
      <w:lvlJc w:val="left"/>
      <w:pPr>
        <w:ind w:left="6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2CEE61D8"/>
    <w:multiLevelType w:val="hybridMultilevel"/>
    <w:tmpl w:val="0DFE1892"/>
    <w:lvl w:ilvl="0" w:tplc="FBC8E63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DB115DD"/>
    <w:multiLevelType w:val="hybridMultilevel"/>
    <w:tmpl w:val="CBB0CA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2E1056FF"/>
    <w:multiLevelType w:val="singleLevel"/>
    <w:tmpl w:val="EB1E94B4"/>
    <w:lvl w:ilvl="0">
      <w:start w:val="1"/>
      <w:numFmt w:val="decimal"/>
      <w:pStyle w:val="Block"/>
      <w:lvlText w:val="%1."/>
      <w:lvlJc w:val="left"/>
      <w:pPr>
        <w:tabs>
          <w:tab w:val="num" w:pos="360"/>
        </w:tabs>
        <w:ind w:left="360" w:hanging="360"/>
      </w:pPr>
    </w:lvl>
  </w:abstractNum>
  <w:abstractNum w:abstractNumId="153" w15:restartNumberingAfterBreak="0">
    <w:nsid w:val="2F06476E"/>
    <w:multiLevelType w:val="hybridMultilevel"/>
    <w:tmpl w:val="2C6C75F2"/>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54" w15:restartNumberingAfterBreak="0">
    <w:nsid w:val="2F546B12"/>
    <w:multiLevelType w:val="hybridMultilevel"/>
    <w:tmpl w:val="E00CC792"/>
    <w:lvl w:ilvl="0" w:tplc="D3C85A1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E96BB38">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92AA708">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346C4C4">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FC36BC">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87E4302">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AE0B5D0">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9FE7B9E">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E0E8F4">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5" w15:restartNumberingAfterBreak="0">
    <w:nsid w:val="2F953622"/>
    <w:multiLevelType w:val="hybridMultilevel"/>
    <w:tmpl w:val="E9224378"/>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30061A34"/>
    <w:multiLevelType w:val="hybridMultilevel"/>
    <w:tmpl w:val="EDB6F5A6"/>
    <w:lvl w:ilvl="0" w:tplc="8DAC6E8C">
      <w:start w:val="1"/>
      <w:numFmt w:val="bullet"/>
      <w:lvlText w:val="-"/>
      <w:lvlJc w:val="left"/>
      <w:pPr>
        <w:ind w:left="10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9C9204">
      <w:start w:val="1"/>
      <w:numFmt w:val="bullet"/>
      <w:lvlText w:val="o"/>
      <w:lvlJc w:val="left"/>
      <w:pPr>
        <w:ind w:left="1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848104">
      <w:start w:val="1"/>
      <w:numFmt w:val="bullet"/>
      <w:lvlText w:val="▪"/>
      <w:lvlJc w:val="left"/>
      <w:pPr>
        <w:ind w:left="2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D492BE">
      <w:start w:val="1"/>
      <w:numFmt w:val="bullet"/>
      <w:lvlText w:val="•"/>
      <w:lvlJc w:val="left"/>
      <w:pPr>
        <w:ind w:left="3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815B2">
      <w:start w:val="1"/>
      <w:numFmt w:val="bullet"/>
      <w:lvlText w:val="o"/>
      <w:lvlJc w:val="left"/>
      <w:pPr>
        <w:ind w:left="3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E7C02">
      <w:start w:val="1"/>
      <w:numFmt w:val="bullet"/>
      <w:lvlText w:val="▪"/>
      <w:lvlJc w:val="left"/>
      <w:pPr>
        <w:ind w:left="4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62E4E4">
      <w:start w:val="1"/>
      <w:numFmt w:val="bullet"/>
      <w:lvlText w:val="•"/>
      <w:lvlJc w:val="left"/>
      <w:pPr>
        <w:ind w:left="5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325DB2">
      <w:start w:val="1"/>
      <w:numFmt w:val="bullet"/>
      <w:lvlText w:val="o"/>
      <w:lvlJc w:val="left"/>
      <w:pPr>
        <w:ind w:left="5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E0744">
      <w:start w:val="1"/>
      <w:numFmt w:val="bullet"/>
      <w:lvlText w:val="▪"/>
      <w:lvlJc w:val="left"/>
      <w:pPr>
        <w:ind w:left="6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307E100F"/>
    <w:multiLevelType w:val="multilevel"/>
    <w:tmpl w:val="9314CB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8" w15:restartNumberingAfterBreak="0">
    <w:nsid w:val="30CD6D97"/>
    <w:multiLevelType w:val="hybridMultilevel"/>
    <w:tmpl w:val="134CCD24"/>
    <w:lvl w:ilvl="0" w:tplc="FFFFFFFF">
      <w:start w:val="2"/>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15:restartNumberingAfterBreak="0">
    <w:nsid w:val="30D62FD2"/>
    <w:multiLevelType w:val="hybridMultilevel"/>
    <w:tmpl w:val="7CEA8108"/>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316416DB"/>
    <w:multiLevelType w:val="hybridMultilevel"/>
    <w:tmpl w:val="24D8EC78"/>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32471186"/>
    <w:multiLevelType w:val="hybridMultilevel"/>
    <w:tmpl w:val="B00E967C"/>
    <w:lvl w:ilvl="0" w:tplc="85D49D3C">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2" w15:restartNumberingAfterBreak="0">
    <w:nsid w:val="32D968B4"/>
    <w:multiLevelType w:val="hybridMultilevel"/>
    <w:tmpl w:val="12E8B326"/>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332F3DE2"/>
    <w:multiLevelType w:val="multilevel"/>
    <w:tmpl w:val="040C001F"/>
    <w:styleLink w:val="Style13"/>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33382678"/>
    <w:multiLevelType w:val="hybridMultilevel"/>
    <w:tmpl w:val="F2CE7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334E64CF"/>
    <w:multiLevelType w:val="hybridMultilevel"/>
    <w:tmpl w:val="436E5792"/>
    <w:lvl w:ilvl="0" w:tplc="F4481EDA">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EA8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B00EE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64D3B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CCC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76473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6C0F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80E9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26753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336610C4"/>
    <w:multiLevelType w:val="hybridMultilevel"/>
    <w:tmpl w:val="B11ACA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339929BB"/>
    <w:multiLevelType w:val="multilevel"/>
    <w:tmpl w:val="568E203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8" w15:restartNumberingAfterBreak="0">
    <w:nsid w:val="33A21DCB"/>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69" w15:restartNumberingAfterBreak="0">
    <w:nsid w:val="33BF5F2D"/>
    <w:multiLevelType w:val="hybridMultilevel"/>
    <w:tmpl w:val="09DA50EA"/>
    <w:lvl w:ilvl="0" w:tplc="04090001">
      <w:start w:val="1"/>
      <w:numFmt w:val="bullet"/>
      <w:lvlText w:val=""/>
      <w:lvlJc w:val="left"/>
      <w:pPr>
        <w:ind w:left="786" w:hanging="360"/>
      </w:pPr>
      <w:rPr>
        <w:rFonts w:ascii="Symbol" w:hAnsi="Symbol" w:hint="default"/>
      </w:rPr>
    </w:lvl>
    <w:lvl w:ilvl="1" w:tplc="90BA9872">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344335F3"/>
    <w:multiLevelType w:val="hybridMultilevel"/>
    <w:tmpl w:val="CF44F1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1" w15:restartNumberingAfterBreak="0">
    <w:nsid w:val="349F0034"/>
    <w:multiLevelType w:val="hybridMultilevel"/>
    <w:tmpl w:val="F3AEFBDC"/>
    <w:lvl w:ilvl="0" w:tplc="CAF26574">
      <w:start w:val="1"/>
      <w:numFmt w:val="decimal"/>
      <w:lvlText w:val="3.3.1.4.%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2" w15:restartNumberingAfterBreak="0">
    <w:nsid w:val="34C0577D"/>
    <w:multiLevelType w:val="hybridMultilevel"/>
    <w:tmpl w:val="1F2EA846"/>
    <w:lvl w:ilvl="0" w:tplc="22044DB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68640C">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582A06">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13EDCBE">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AF482">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E58BD48">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EEB59A">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79A3866">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BA7AAA">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3" w15:restartNumberingAfterBreak="0">
    <w:nsid w:val="34CA6340"/>
    <w:multiLevelType w:val="hybridMultilevel"/>
    <w:tmpl w:val="A500745E"/>
    <w:lvl w:ilvl="0" w:tplc="6FCC67BA">
      <w:start w:val="1"/>
      <w:numFmt w:val="lowerRoman"/>
      <w:lvlText w:val="(%1)"/>
      <w:lvlJc w:val="left"/>
      <w:pPr>
        <w:ind w:left="938" w:hanging="360"/>
      </w:pPr>
      <w:rPr>
        <w:rFonts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174" w15:restartNumberingAfterBreak="0">
    <w:nsid w:val="35303983"/>
    <w:multiLevelType w:val="multilevel"/>
    <w:tmpl w:val="212AA24A"/>
    <w:lvl w:ilvl="0">
      <w:start w:val="1"/>
      <w:numFmt w:val="bullet"/>
      <w:lvlText w:val=""/>
      <w:lvlJc w:val="left"/>
      <w:pPr>
        <w:ind w:left="720" w:hanging="360"/>
      </w:pPr>
      <w:rPr>
        <w:rFonts w:ascii="Symbol" w:hAnsi="Symbol" w:cs="Symbol" w:hint="default"/>
      </w:rPr>
    </w:lvl>
    <w:lvl w:ilvl="1">
      <w:start w:val="3"/>
      <w:numFmt w:val="bullet"/>
      <w:lvlText w:val="•"/>
      <w:lvlJc w:val="left"/>
      <w:pPr>
        <w:ind w:left="1440" w:hanging="360"/>
      </w:pPr>
      <w:rPr>
        <w:rFonts w:ascii="Arial Narrow" w:hAnsi="Arial Narrow" w:cs="Arial Narro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5" w15:restartNumberingAfterBreak="0">
    <w:nsid w:val="36407849"/>
    <w:multiLevelType w:val="hybridMultilevel"/>
    <w:tmpl w:val="AC98BE1E"/>
    <w:lvl w:ilvl="0" w:tplc="4D284F3A">
      <w:numFmt w:val="bullet"/>
      <w:lvlText w:val="-"/>
      <w:lvlJc w:val="left"/>
      <w:pPr>
        <w:ind w:left="720" w:hanging="360"/>
      </w:pPr>
      <w:rPr>
        <w:rFonts w:ascii="Arial" w:eastAsia="Times New Roman" w:hAnsi="Arial" w:cs="Arial" w:hint="default"/>
        <w:i w:val="0"/>
        <w:color w:val="auto"/>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6C145DC"/>
    <w:multiLevelType w:val="hybridMultilevel"/>
    <w:tmpl w:val="A94E9F32"/>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3720796D"/>
    <w:multiLevelType w:val="hybridMultilevel"/>
    <w:tmpl w:val="242E3B9A"/>
    <w:lvl w:ilvl="0" w:tplc="040C0001">
      <w:start w:val="1"/>
      <w:numFmt w:val="bullet"/>
      <w:lvlText w:val=""/>
      <w:lvlJc w:val="left"/>
      <w:pPr>
        <w:ind w:left="786"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15:restartNumberingAfterBreak="0">
    <w:nsid w:val="37613D1B"/>
    <w:multiLevelType w:val="hybridMultilevel"/>
    <w:tmpl w:val="F990AE38"/>
    <w:lvl w:ilvl="0" w:tplc="50DEDBE8">
      <w:start w:val="1"/>
      <w:numFmt w:val="bullet"/>
      <w:lvlText w:val="-"/>
      <w:lvlJc w:val="left"/>
      <w:pPr>
        <w:ind w:left="1505"/>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1" w:tplc="CC986CAC">
      <w:start w:val="1"/>
      <w:numFmt w:val="bullet"/>
      <w:lvlText w:val="o"/>
      <w:lvlJc w:val="left"/>
      <w:pPr>
        <w:ind w:left="18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2" w:tplc="722698C8">
      <w:start w:val="1"/>
      <w:numFmt w:val="bullet"/>
      <w:lvlText w:val="▪"/>
      <w:lvlJc w:val="left"/>
      <w:pPr>
        <w:ind w:left="25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3" w:tplc="A10E1E6A">
      <w:start w:val="1"/>
      <w:numFmt w:val="bullet"/>
      <w:lvlText w:val="•"/>
      <w:lvlJc w:val="left"/>
      <w:pPr>
        <w:ind w:left="32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4" w:tplc="4C2C91C4">
      <w:start w:val="1"/>
      <w:numFmt w:val="bullet"/>
      <w:lvlText w:val="o"/>
      <w:lvlJc w:val="left"/>
      <w:pPr>
        <w:ind w:left="396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5" w:tplc="AEC098E2">
      <w:start w:val="1"/>
      <w:numFmt w:val="bullet"/>
      <w:lvlText w:val="▪"/>
      <w:lvlJc w:val="left"/>
      <w:pPr>
        <w:ind w:left="468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6" w:tplc="8FA4033A">
      <w:start w:val="1"/>
      <w:numFmt w:val="bullet"/>
      <w:lvlText w:val="•"/>
      <w:lvlJc w:val="left"/>
      <w:pPr>
        <w:ind w:left="540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7" w:tplc="068EE05A">
      <w:start w:val="1"/>
      <w:numFmt w:val="bullet"/>
      <w:lvlText w:val="o"/>
      <w:lvlJc w:val="left"/>
      <w:pPr>
        <w:ind w:left="612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lvl w:ilvl="8" w:tplc="6420871C">
      <w:start w:val="1"/>
      <w:numFmt w:val="bullet"/>
      <w:lvlText w:val="▪"/>
      <w:lvlJc w:val="left"/>
      <w:pPr>
        <w:ind w:left="6840"/>
      </w:pPr>
      <w:rPr>
        <w:rFonts w:ascii="Comic Sans MS" w:eastAsia="Comic Sans MS" w:hAnsi="Comic Sans MS" w:cs="Comic Sans MS"/>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37754DD3"/>
    <w:multiLevelType w:val="hybridMultilevel"/>
    <w:tmpl w:val="01B4CE6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1" w15:restartNumberingAfterBreak="0">
    <w:nsid w:val="37B84727"/>
    <w:multiLevelType w:val="hybridMultilevel"/>
    <w:tmpl w:val="BCF48408"/>
    <w:lvl w:ilvl="0" w:tplc="99FE38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CDD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9654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9AF3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3EEB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C611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24C3A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567C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EA9E0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38A429FD"/>
    <w:multiLevelType w:val="hybridMultilevel"/>
    <w:tmpl w:val="A40E354C"/>
    <w:styleLink w:val="Style111"/>
    <w:lvl w:ilvl="0" w:tplc="5D9CB044">
      <w:start w:val="1"/>
      <w:numFmt w:val="low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83" w15:restartNumberingAfterBreak="0">
    <w:nsid w:val="3954183C"/>
    <w:multiLevelType w:val="hybridMultilevel"/>
    <w:tmpl w:val="B1E89B34"/>
    <w:lvl w:ilvl="0" w:tplc="040C0017">
      <w:start w:val="1"/>
      <w:numFmt w:val="lowerLetter"/>
      <w:lvlText w:val="%1)"/>
      <w:lvlJc w:val="left"/>
      <w:pPr>
        <w:ind w:left="1571" w:hanging="360"/>
      </w:pPr>
    </w:lvl>
    <w:lvl w:ilvl="1" w:tplc="040C0019">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84" w15:restartNumberingAfterBreak="0">
    <w:nsid w:val="396D3AF1"/>
    <w:multiLevelType w:val="hybridMultilevel"/>
    <w:tmpl w:val="BF20BC82"/>
    <w:lvl w:ilvl="0" w:tplc="C62AB560">
      <w:start w:val="1958"/>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3A2B47A7"/>
    <w:multiLevelType w:val="multilevel"/>
    <w:tmpl w:val="040C001D"/>
    <w:styleLink w:val="Style10"/>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6" w15:restartNumberingAfterBreak="0">
    <w:nsid w:val="3A3E1665"/>
    <w:multiLevelType w:val="hybridMultilevel"/>
    <w:tmpl w:val="B3647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3A86620A"/>
    <w:multiLevelType w:val="hybridMultilevel"/>
    <w:tmpl w:val="E3305E48"/>
    <w:lvl w:ilvl="0" w:tplc="0409000F">
      <w:start w:val="1"/>
      <w:numFmt w:val="decimal"/>
      <w:lvlText w:val="%1."/>
      <w:lvlJc w:val="left"/>
      <w:pPr>
        <w:ind w:left="720" w:hanging="360"/>
      </w:pPr>
      <w:rPr>
        <w:rFonts w:hint="default"/>
      </w:rPr>
    </w:lvl>
    <w:lvl w:ilvl="1" w:tplc="6F580EF4">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6F580EF4">
      <w:start w:val="1"/>
      <w:numFmt w:val="lowerRoman"/>
      <w:lvlText w:val="(%5)"/>
      <w:lvlJc w:val="left"/>
      <w:pPr>
        <w:ind w:left="3960" w:hanging="72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3AED4DB1"/>
    <w:multiLevelType w:val="hybridMultilevel"/>
    <w:tmpl w:val="76D42876"/>
    <w:lvl w:ilvl="0" w:tplc="FFFFFFFF">
      <w:start w:val="2"/>
      <w:numFmt w:val="bullet"/>
      <w:lvlText w:val="-"/>
      <w:lvlJc w:val="left"/>
      <w:pPr>
        <w:ind w:left="1080" w:hanging="360"/>
      </w:pPr>
      <w:rPr>
        <w:rFonts w:ascii="Times New Roman" w:eastAsia="Times New Roman" w:hAnsi="Times New Roman" w:cs="Times New Roman" w:hint="default"/>
      </w:rPr>
    </w:lvl>
    <w:lvl w:ilvl="1" w:tplc="FFFFFFFF">
      <w:start w:val="1"/>
      <w:numFmt w:val="bullet"/>
      <w:lvlText w:val="o"/>
      <w:lvlJc w:val="left"/>
      <w:pPr>
        <w:ind w:left="1800" w:hanging="360"/>
      </w:pPr>
      <w:rPr>
        <w:rFonts w:ascii="Courier New" w:hAnsi="Courier New" w:cs="Symbol"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pStyle w:val="Titre4CentredCen"/>
      <w:lvlText w:val=""/>
      <w:lvlJc w:val="left"/>
      <w:pPr>
        <w:ind w:left="3240" w:hanging="360"/>
      </w:pPr>
      <w:rPr>
        <w:rFonts w:ascii="Symbol" w:hAnsi="Symbol" w:hint="default"/>
      </w:rPr>
    </w:lvl>
    <w:lvl w:ilvl="4" w:tplc="FFFFFFFF">
      <w:start w:val="1"/>
      <w:numFmt w:val="bullet"/>
      <w:pStyle w:val="Titre5Side"/>
      <w:lvlText w:val="o"/>
      <w:lvlJc w:val="left"/>
      <w:pPr>
        <w:ind w:left="3960" w:hanging="360"/>
      </w:pPr>
      <w:rPr>
        <w:rFonts w:ascii="Courier New" w:hAnsi="Courier New" w:cs="Symbol"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Symbol" w:hint="default"/>
      </w:rPr>
    </w:lvl>
    <w:lvl w:ilvl="8" w:tplc="FFFFFFFF" w:tentative="1">
      <w:start w:val="1"/>
      <w:numFmt w:val="bullet"/>
      <w:lvlText w:val=""/>
      <w:lvlJc w:val="left"/>
      <w:pPr>
        <w:ind w:left="6840" w:hanging="360"/>
      </w:pPr>
      <w:rPr>
        <w:rFonts w:ascii="Wingdings" w:hAnsi="Wingdings" w:hint="default"/>
      </w:rPr>
    </w:lvl>
  </w:abstractNum>
  <w:abstractNum w:abstractNumId="189" w15:restartNumberingAfterBreak="0">
    <w:nsid w:val="3B1311EA"/>
    <w:multiLevelType w:val="hybridMultilevel"/>
    <w:tmpl w:val="F1E4585E"/>
    <w:lvl w:ilvl="0" w:tplc="5BA2F208">
      <w:start w:val="1"/>
      <w:numFmt w:val="bullet"/>
      <w:lvlText w:val="o"/>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0" w15:restartNumberingAfterBreak="0">
    <w:nsid w:val="3B9E6683"/>
    <w:multiLevelType w:val="hybridMultilevel"/>
    <w:tmpl w:val="5E704386"/>
    <w:lvl w:ilvl="0" w:tplc="C2C226B8">
      <w:start w:val="1"/>
      <w:numFmt w:val="lowerLetter"/>
      <w:lvlText w:val="(%1)"/>
      <w:lvlJc w:val="left"/>
      <w:pPr>
        <w:ind w:left="720" w:hanging="360"/>
      </w:pPr>
      <w:rPr>
        <w:b w:val="0"/>
        <w:i w:val="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1" w15:restartNumberingAfterBreak="0">
    <w:nsid w:val="3BC36924"/>
    <w:multiLevelType w:val="hybridMultilevel"/>
    <w:tmpl w:val="6344B7F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2" w15:restartNumberingAfterBreak="0">
    <w:nsid w:val="3BE20333"/>
    <w:multiLevelType w:val="hybridMultilevel"/>
    <w:tmpl w:val="AF8C1B9A"/>
    <w:lvl w:ilvl="0" w:tplc="4B403568">
      <w:start w:val="1"/>
      <w:numFmt w:val="lowerLetter"/>
      <w:pStyle w:val="PuceRouge"/>
      <w:lvlText w:val="%1)"/>
      <w:lvlJc w:val="left"/>
      <w:pPr>
        <w:tabs>
          <w:tab w:val="num" w:pos="1211"/>
        </w:tabs>
        <w:ind w:left="851"/>
      </w:pPr>
      <w:rPr>
        <w:rFonts w:cs="Times New Roman" w:hint="default"/>
      </w:rPr>
    </w:lvl>
    <w:lvl w:ilvl="1" w:tplc="4890389A" w:tentative="1">
      <w:start w:val="1"/>
      <w:numFmt w:val="lowerLetter"/>
      <w:lvlText w:val="%2."/>
      <w:lvlJc w:val="left"/>
      <w:pPr>
        <w:tabs>
          <w:tab w:val="num" w:pos="1440"/>
        </w:tabs>
        <w:ind w:left="1440" w:hanging="360"/>
      </w:pPr>
      <w:rPr>
        <w:rFonts w:cs="Times New Roman"/>
      </w:rPr>
    </w:lvl>
    <w:lvl w:ilvl="2" w:tplc="CAC2EC2C" w:tentative="1">
      <w:start w:val="1"/>
      <w:numFmt w:val="lowerRoman"/>
      <w:lvlText w:val="%3."/>
      <w:lvlJc w:val="right"/>
      <w:pPr>
        <w:tabs>
          <w:tab w:val="num" w:pos="2160"/>
        </w:tabs>
        <w:ind w:left="2160" w:hanging="180"/>
      </w:pPr>
      <w:rPr>
        <w:rFonts w:cs="Times New Roman"/>
      </w:rPr>
    </w:lvl>
    <w:lvl w:ilvl="3" w:tplc="DE8417A6" w:tentative="1">
      <w:start w:val="1"/>
      <w:numFmt w:val="decimal"/>
      <w:lvlText w:val="%4."/>
      <w:lvlJc w:val="left"/>
      <w:pPr>
        <w:tabs>
          <w:tab w:val="num" w:pos="2880"/>
        </w:tabs>
        <w:ind w:left="2880" w:hanging="360"/>
      </w:pPr>
      <w:rPr>
        <w:rFonts w:cs="Times New Roman"/>
      </w:rPr>
    </w:lvl>
    <w:lvl w:ilvl="4" w:tplc="C26C2948" w:tentative="1">
      <w:start w:val="1"/>
      <w:numFmt w:val="lowerLetter"/>
      <w:lvlText w:val="%5."/>
      <w:lvlJc w:val="left"/>
      <w:pPr>
        <w:tabs>
          <w:tab w:val="num" w:pos="3600"/>
        </w:tabs>
        <w:ind w:left="3600" w:hanging="360"/>
      </w:pPr>
      <w:rPr>
        <w:rFonts w:cs="Times New Roman"/>
      </w:rPr>
    </w:lvl>
    <w:lvl w:ilvl="5" w:tplc="289C52B6" w:tentative="1">
      <w:start w:val="1"/>
      <w:numFmt w:val="lowerRoman"/>
      <w:lvlText w:val="%6."/>
      <w:lvlJc w:val="right"/>
      <w:pPr>
        <w:tabs>
          <w:tab w:val="num" w:pos="4320"/>
        </w:tabs>
        <w:ind w:left="4320" w:hanging="180"/>
      </w:pPr>
      <w:rPr>
        <w:rFonts w:cs="Times New Roman"/>
      </w:rPr>
    </w:lvl>
    <w:lvl w:ilvl="6" w:tplc="8A661716" w:tentative="1">
      <w:start w:val="1"/>
      <w:numFmt w:val="decimal"/>
      <w:lvlText w:val="%7."/>
      <w:lvlJc w:val="left"/>
      <w:pPr>
        <w:tabs>
          <w:tab w:val="num" w:pos="5040"/>
        </w:tabs>
        <w:ind w:left="5040" w:hanging="360"/>
      </w:pPr>
      <w:rPr>
        <w:rFonts w:cs="Times New Roman"/>
      </w:rPr>
    </w:lvl>
    <w:lvl w:ilvl="7" w:tplc="EC586E70" w:tentative="1">
      <w:start w:val="1"/>
      <w:numFmt w:val="lowerLetter"/>
      <w:lvlText w:val="%8."/>
      <w:lvlJc w:val="left"/>
      <w:pPr>
        <w:tabs>
          <w:tab w:val="num" w:pos="5760"/>
        </w:tabs>
        <w:ind w:left="5760" w:hanging="360"/>
      </w:pPr>
      <w:rPr>
        <w:rFonts w:cs="Times New Roman"/>
      </w:rPr>
    </w:lvl>
    <w:lvl w:ilvl="8" w:tplc="1B4EDD1C" w:tentative="1">
      <w:start w:val="1"/>
      <w:numFmt w:val="lowerRoman"/>
      <w:lvlText w:val="%9."/>
      <w:lvlJc w:val="right"/>
      <w:pPr>
        <w:tabs>
          <w:tab w:val="num" w:pos="6480"/>
        </w:tabs>
        <w:ind w:left="6480" w:hanging="180"/>
      </w:pPr>
      <w:rPr>
        <w:rFonts w:cs="Times New Roman"/>
      </w:rPr>
    </w:lvl>
  </w:abstractNum>
  <w:abstractNum w:abstractNumId="193" w15:restartNumberingAfterBreak="0">
    <w:nsid w:val="3C9E371C"/>
    <w:multiLevelType w:val="hybridMultilevel"/>
    <w:tmpl w:val="BB02DD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CB072FF"/>
    <w:multiLevelType w:val="hybridMultilevel"/>
    <w:tmpl w:val="E272B3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15:restartNumberingAfterBreak="0">
    <w:nsid w:val="3D2E574E"/>
    <w:multiLevelType w:val="hybridMultilevel"/>
    <w:tmpl w:val="6E1ECE5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3D9F2F70"/>
    <w:multiLevelType w:val="multilevel"/>
    <w:tmpl w:val="287C76E0"/>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7" w15:restartNumberingAfterBreak="0">
    <w:nsid w:val="3DCF77D5"/>
    <w:multiLevelType w:val="hybridMultilevel"/>
    <w:tmpl w:val="DD908C7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8" w15:restartNumberingAfterBreak="0">
    <w:nsid w:val="3DD26AE1"/>
    <w:multiLevelType w:val="hybridMultilevel"/>
    <w:tmpl w:val="FCBA1D1E"/>
    <w:lvl w:ilvl="0" w:tplc="BF34B882">
      <w:start w:val="1"/>
      <w:numFmt w:val="bullet"/>
      <w:lvlText w:val="-"/>
      <w:lvlJc w:val="left"/>
      <w:pPr>
        <w:ind w:left="360" w:hanging="360"/>
      </w:pPr>
      <w:rPr>
        <w:rFonts w:ascii="Tahoma" w:hAnsi="Tahom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15:restartNumberingAfterBreak="0">
    <w:nsid w:val="3E5B5A8D"/>
    <w:multiLevelType w:val="hybridMultilevel"/>
    <w:tmpl w:val="21A65994"/>
    <w:lvl w:ilvl="0" w:tplc="2B4C6E20">
      <w:start w:val="1"/>
      <w:numFmt w:val="bullet"/>
      <w:pStyle w:val="PuceN2"/>
      <w:lvlText w:val=""/>
      <w:lvlJc w:val="left"/>
      <w:pPr>
        <w:ind w:left="1069" w:hanging="360"/>
      </w:pPr>
      <w:rPr>
        <w:rFonts w:ascii="Wingdings" w:hAnsi="Wingdings" w:hint="default"/>
        <w:color w:val="000000"/>
        <w:sz w:val="24"/>
      </w:rPr>
    </w:lvl>
    <w:lvl w:ilvl="1" w:tplc="0C0C0003" w:tentative="1">
      <w:start w:val="1"/>
      <w:numFmt w:val="bullet"/>
      <w:lvlText w:val="o"/>
      <w:lvlJc w:val="left"/>
      <w:pPr>
        <w:ind w:left="1363" w:hanging="360"/>
      </w:pPr>
      <w:rPr>
        <w:rFonts w:ascii="Courier New" w:hAnsi="Courier New" w:cs="Courier New" w:hint="default"/>
      </w:rPr>
    </w:lvl>
    <w:lvl w:ilvl="2" w:tplc="0C0C0005" w:tentative="1">
      <w:start w:val="1"/>
      <w:numFmt w:val="bullet"/>
      <w:lvlText w:val=""/>
      <w:lvlJc w:val="left"/>
      <w:pPr>
        <w:ind w:left="2083" w:hanging="360"/>
      </w:pPr>
      <w:rPr>
        <w:rFonts w:ascii="Wingdings" w:hAnsi="Wingdings" w:hint="default"/>
      </w:rPr>
    </w:lvl>
    <w:lvl w:ilvl="3" w:tplc="0C0C0001" w:tentative="1">
      <w:start w:val="1"/>
      <w:numFmt w:val="bullet"/>
      <w:lvlText w:val=""/>
      <w:lvlJc w:val="left"/>
      <w:pPr>
        <w:ind w:left="2803" w:hanging="360"/>
      </w:pPr>
      <w:rPr>
        <w:rFonts w:ascii="Symbol" w:hAnsi="Symbol" w:hint="default"/>
      </w:rPr>
    </w:lvl>
    <w:lvl w:ilvl="4" w:tplc="0C0C0003" w:tentative="1">
      <w:start w:val="1"/>
      <w:numFmt w:val="bullet"/>
      <w:lvlText w:val="o"/>
      <w:lvlJc w:val="left"/>
      <w:pPr>
        <w:ind w:left="3523" w:hanging="360"/>
      </w:pPr>
      <w:rPr>
        <w:rFonts w:ascii="Courier New" w:hAnsi="Courier New" w:cs="Courier New" w:hint="default"/>
      </w:rPr>
    </w:lvl>
    <w:lvl w:ilvl="5" w:tplc="0C0C0005" w:tentative="1">
      <w:start w:val="1"/>
      <w:numFmt w:val="bullet"/>
      <w:lvlText w:val=""/>
      <w:lvlJc w:val="left"/>
      <w:pPr>
        <w:ind w:left="4243" w:hanging="360"/>
      </w:pPr>
      <w:rPr>
        <w:rFonts w:ascii="Wingdings" w:hAnsi="Wingdings" w:hint="default"/>
      </w:rPr>
    </w:lvl>
    <w:lvl w:ilvl="6" w:tplc="0C0C0001" w:tentative="1">
      <w:start w:val="1"/>
      <w:numFmt w:val="bullet"/>
      <w:lvlText w:val=""/>
      <w:lvlJc w:val="left"/>
      <w:pPr>
        <w:ind w:left="4963" w:hanging="360"/>
      </w:pPr>
      <w:rPr>
        <w:rFonts w:ascii="Symbol" w:hAnsi="Symbol" w:hint="default"/>
      </w:rPr>
    </w:lvl>
    <w:lvl w:ilvl="7" w:tplc="0C0C0003" w:tentative="1">
      <w:start w:val="1"/>
      <w:numFmt w:val="bullet"/>
      <w:lvlText w:val="o"/>
      <w:lvlJc w:val="left"/>
      <w:pPr>
        <w:ind w:left="5683" w:hanging="360"/>
      </w:pPr>
      <w:rPr>
        <w:rFonts w:ascii="Courier New" w:hAnsi="Courier New" w:cs="Courier New" w:hint="default"/>
      </w:rPr>
    </w:lvl>
    <w:lvl w:ilvl="8" w:tplc="0C0C0005" w:tentative="1">
      <w:start w:val="1"/>
      <w:numFmt w:val="bullet"/>
      <w:lvlText w:val=""/>
      <w:lvlJc w:val="left"/>
      <w:pPr>
        <w:ind w:left="6403" w:hanging="360"/>
      </w:pPr>
      <w:rPr>
        <w:rFonts w:ascii="Wingdings" w:hAnsi="Wingdings" w:hint="default"/>
      </w:rPr>
    </w:lvl>
  </w:abstractNum>
  <w:abstractNum w:abstractNumId="200" w15:restartNumberingAfterBreak="0">
    <w:nsid w:val="3E766EC2"/>
    <w:multiLevelType w:val="hybridMultilevel"/>
    <w:tmpl w:val="9E50E916"/>
    <w:lvl w:ilvl="0" w:tplc="040C0001">
      <w:start w:val="1"/>
      <w:numFmt w:val="bullet"/>
      <w:lvlText w:val=""/>
      <w:lvlJc w:val="left"/>
      <w:pPr>
        <w:ind w:left="1713" w:hanging="720"/>
      </w:pPr>
      <w:rPr>
        <w:rFonts w:ascii="Symbol" w:hAnsi="Symbol" w:hint="default"/>
      </w:rPr>
    </w:lvl>
    <w:lvl w:ilvl="1" w:tplc="08160019" w:tentative="1">
      <w:start w:val="1"/>
      <w:numFmt w:val="lowerLetter"/>
      <w:lvlText w:val="%2."/>
      <w:lvlJc w:val="left"/>
      <w:pPr>
        <w:ind w:left="2073" w:hanging="360"/>
      </w:pPr>
    </w:lvl>
    <w:lvl w:ilvl="2" w:tplc="0816001B" w:tentative="1">
      <w:start w:val="1"/>
      <w:numFmt w:val="lowerRoman"/>
      <w:lvlText w:val="%3."/>
      <w:lvlJc w:val="right"/>
      <w:pPr>
        <w:ind w:left="2793" w:hanging="180"/>
      </w:pPr>
    </w:lvl>
    <w:lvl w:ilvl="3" w:tplc="0816000F" w:tentative="1">
      <w:start w:val="1"/>
      <w:numFmt w:val="decimal"/>
      <w:lvlText w:val="%4."/>
      <w:lvlJc w:val="left"/>
      <w:pPr>
        <w:ind w:left="3513" w:hanging="360"/>
      </w:pPr>
    </w:lvl>
    <w:lvl w:ilvl="4" w:tplc="08160019" w:tentative="1">
      <w:start w:val="1"/>
      <w:numFmt w:val="lowerLetter"/>
      <w:lvlText w:val="%5."/>
      <w:lvlJc w:val="left"/>
      <w:pPr>
        <w:ind w:left="4233" w:hanging="360"/>
      </w:pPr>
    </w:lvl>
    <w:lvl w:ilvl="5" w:tplc="0816001B" w:tentative="1">
      <w:start w:val="1"/>
      <w:numFmt w:val="lowerRoman"/>
      <w:lvlText w:val="%6."/>
      <w:lvlJc w:val="right"/>
      <w:pPr>
        <w:ind w:left="4953" w:hanging="180"/>
      </w:pPr>
    </w:lvl>
    <w:lvl w:ilvl="6" w:tplc="0816000F" w:tentative="1">
      <w:start w:val="1"/>
      <w:numFmt w:val="decimal"/>
      <w:lvlText w:val="%7."/>
      <w:lvlJc w:val="left"/>
      <w:pPr>
        <w:ind w:left="5673" w:hanging="360"/>
      </w:pPr>
    </w:lvl>
    <w:lvl w:ilvl="7" w:tplc="08160019" w:tentative="1">
      <w:start w:val="1"/>
      <w:numFmt w:val="lowerLetter"/>
      <w:lvlText w:val="%8."/>
      <w:lvlJc w:val="left"/>
      <w:pPr>
        <w:ind w:left="6393" w:hanging="360"/>
      </w:pPr>
    </w:lvl>
    <w:lvl w:ilvl="8" w:tplc="0816001B" w:tentative="1">
      <w:start w:val="1"/>
      <w:numFmt w:val="lowerRoman"/>
      <w:lvlText w:val="%9."/>
      <w:lvlJc w:val="right"/>
      <w:pPr>
        <w:ind w:left="7113" w:hanging="180"/>
      </w:pPr>
    </w:lvl>
  </w:abstractNum>
  <w:abstractNum w:abstractNumId="201" w15:restartNumberingAfterBreak="0">
    <w:nsid w:val="3E767805"/>
    <w:multiLevelType w:val="hybridMultilevel"/>
    <w:tmpl w:val="4C769C82"/>
    <w:lvl w:ilvl="0" w:tplc="B41AE18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0290A8">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4AA506">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FEE2BA">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345856">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95E225A">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9C6812">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D87374">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84F3CE">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3EBC62C9"/>
    <w:multiLevelType w:val="hybridMultilevel"/>
    <w:tmpl w:val="D7A8F906"/>
    <w:lvl w:ilvl="0" w:tplc="809AFE9A">
      <w:start w:val="1"/>
      <w:numFmt w:val="bullet"/>
      <w:pStyle w:val="TitreTR1"/>
      <w:lvlText w:val=""/>
      <w:lvlJc w:val="left"/>
      <w:pPr>
        <w:tabs>
          <w:tab w:val="num" w:pos="360"/>
        </w:tabs>
        <w:ind w:left="360" w:hanging="360"/>
      </w:pPr>
      <w:rPr>
        <w:rFonts w:ascii="Symbol" w:hAnsi="Symbol" w:hint="default"/>
        <w:sz w:val="22"/>
        <w:szCs w:val="22"/>
      </w:rPr>
    </w:lvl>
    <w:lvl w:ilvl="1" w:tplc="040C0019">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203" w15:restartNumberingAfterBreak="0">
    <w:nsid w:val="3EC12616"/>
    <w:multiLevelType w:val="hybridMultilevel"/>
    <w:tmpl w:val="A1EA2486"/>
    <w:lvl w:ilvl="0" w:tplc="792E46DE">
      <w:start w:val="2014"/>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4" w15:restartNumberingAfterBreak="0">
    <w:nsid w:val="3EF2150D"/>
    <w:multiLevelType w:val="hybridMultilevel"/>
    <w:tmpl w:val="A18C00E0"/>
    <w:lvl w:ilvl="0" w:tplc="3F46D2D4">
      <w:numFmt w:val="bullet"/>
      <w:lvlText w:val="-"/>
      <w:lvlJc w:val="left"/>
      <w:pPr>
        <w:ind w:left="720" w:hanging="360"/>
      </w:pPr>
      <w:rPr>
        <w:rFonts w:ascii="Times New Roman" w:eastAsia="Arial Unicode MS"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3F0265A2"/>
    <w:multiLevelType w:val="hybridMultilevel"/>
    <w:tmpl w:val="6CFEC8D8"/>
    <w:lvl w:ilvl="0" w:tplc="B4165E1C">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15:restartNumberingAfterBreak="0">
    <w:nsid w:val="3F0A2954"/>
    <w:multiLevelType w:val="hybridMultilevel"/>
    <w:tmpl w:val="5C4EB2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15:restartNumberingAfterBreak="0">
    <w:nsid w:val="3F3068AE"/>
    <w:multiLevelType w:val="hybridMultilevel"/>
    <w:tmpl w:val="B7A012E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8" w15:restartNumberingAfterBreak="0">
    <w:nsid w:val="3F4C137A"/>
    <w:multiLevelType w:val="hybridMultilevel"/>
    <w:tmpl w:val="AA80A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9" w15:restartNumberingAfterBreak="0">
    <w:nsid w:val="3FB71D38"/>
    <w:multiLevelType w:val="hybridMultilevel"/>
    <w:tmpl w:val="CFC4388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0" w15:restartNumberingAfterBreak="0">
    <w:nsid w:val="401E0906"/>
    <w:multiLevelType w:val="hybridMultilevel"/>
    <w:tmpl w:val="91CA7C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1" w15:restartNumberingAfterBreak="0">
    <w:nsid w:val="40250020"/>
    <w:multiLevelType w:val="hybridMultilevel"/>
    <w:tmpl w:val="84A63E04"/>
    <w:lvl w:ilvl="0" w:tplc="C9CAF3BE">
      <w:start w:val="4"/>
      <w:numFmt w:val="bullet"/>
      <w:lvlText w:val="-"/>
      <w:lvlJc w:val="left"/>
      <w:pPr>
        <w:ind w:left="720" w:hanging="36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40676BAE"/>
    <w:multiLevelType w:val="multilevel"/>
    <w:tmpl w:val="60AAB60C"/>
    <w:lvl w:ilvl="0">
      <w:start w:val="3"/>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3" w15:restartNumberingAfterBreak="0">
    <w:nsid w:val="412A1FDE"/>
    <w:multiLevelType w:val="hybridMultilevel"/>
    <w:tmpl w:val="92D467D0"/>
    <w:lvl w:ilvl="0" w:tplc="BF34B882">
      <w:start w:val="1"/>
      <w:numFmt w:val="bullet"/>
      <w:lvlText w:val="-"/>
      <w:lvlJc w:val="left"/>
      <w:pPr>
        <w:ind w:left="720" w:hanging="360"/>
      </w:pPr>
      <w:rPr>
        <w:rFonts w:ascii="Tahoma" w:hAnsi="Tahoma" w:cs="Times New Roman" w:hint="default"/>
      </w:rPr>
    </w:lvl>
    <w:lvl w:ilvl="1" w:tplc="BF34B882">
      <w:start w:val="1"/>
      <w:numFmt w:val="bullet"/>
      <w:lvlText w:val="-"/>
      <w:lvlJc w:val="left"/>
      <w:pPr>
        <w:ind w:left="360" w:hanging="360"/>
      </w:pPr>
      <w:rPr>
        <w:rFonts w:ascii="Tahoma" w:hAnsi="Tahom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4" w15:restartNumberingAfterBreak="0">
    <w:nsid w:val="41517D3C"/>
    <w:multiLevelType w:val="hybridMultilevel"/>
    <w:tmpl w:val="386ABE40"/>
    <w:lvl w:ilvl="0" w:tplc="B76424E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5"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1"/>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16" w15:restartNumberingAfterBreak="0">
    <w:nsid w:val="423D665E"/>
    <w:multiLevelType w:val="multilevel"/>
    <w:tmpl w:val="AEB0455E"/>
    <w:lvl w:ilvl="0">
      <w:start w:val="1"/>
      <w:numFmt w:val="decimal"/>
      <w:pStyle w:val="Head12"/>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7" w15:restartNumberingAfterBreak="0">
    <w:nsid w:val="42557348"/>
    <w:multiLevelType w:val="multilevel"/>
    <w:tmpl w:val="040C001D"/>
    <w:styleLink w:val="Style1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8" w15:restartNumberingAfterBreak="0">
    <w:nsid w:val="42771533"/>
    <w:multiLevelType w:val="hybridMultilevel"/>
    <w:tmpl w:val="F878CEA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9" w15:restartNumberingAfterBreak="0">
    <w:nsid w:val="42946C56"/>
    <w:multiLevelType w:val="hybridMultilevel"/>
    <w:tmpl w:val="3B801DC6"/>
    <w:lvl w:ilvl="0" w:tplc="02EC66C0">
      <w:start w:val="9"/>
      <w:numFmt w:val="low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start w:val="1"/>
      <w:numFmt w:val="lowerRoman"/>
      <w:lvlText w:val="%3."/>
      <w:lvlJc w:val="right"/>
      <w:pPr>
        <w:ind w:left="2509" w:hanging="180"/>
      </w:pPr>
    </w:lvl>
    <w:lvl w:ilvl="3" w:tplc="040C000F">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20" w15:restartNumberingAfterBreak="0">
    <w:nsid w:val="43043478"/>
    <w:multiLevelType w:val="hybridMultilevel"/>
    <w:tmpl w:val="45BEFC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15:restartNumberingAfterBreak="0">
    <w:nsid w:val="431F368C"/>
    <w:multiLevelType w:val="hybridMultilevel"/>
    <w:tmpl w:val="D9A649E4"/>
    <w:lvl w:ilvl="0" w:tplc="040C0001">
      <w:start w:val="1"/>
      <w:numFmt w:val="bullet"/>
      <w:pStyle w:val="Tiret"/>
      <w:lvlText w:val="-"/>
      <w:lvlJc w:val="left"/>
      <w:pPr>
        <w:tabs>
          <w:tab w:val="num" w:pos="992"/>
        </w:tabs>
        <w:ind w:left="992" w:hanging="425"/>
      </w:pPr>
      <w:rPr>
        <w:rFonts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3804457"/>
    <w:multiLevelType w:val="hybridMultilevel"/>
    <w:tmpl w:val="03B0CED8"/>
    <w:lvl w:ilvl="0" w:tplc="AF02956C">
      <w:numFmt w:val="bullet"/>
      <w:lvlText w:val="-"/>
      <w:lvlJc w:val="left"/>
      <w:pPr>
        <w:ind w:left="1996" w:hanging="360"/>
      </w:pPr>
      <w:rPr>
        <w:rFonts w:ascii="Calibri" w:eastAsia="Times New Roman" w:hAnsi="Calibri" w:cs="Times New Roman" w:hint="default"/>
        <w:color w:val="auto"/>
      </w:rPr>
    </w:lvl>
    <w:lvl w:ilvl="1" w:tplc="080C0003" w:tentative="1">
      <w:start w:val="1"/>
      <w:numFmt w:val="bullet"/>
      <w:lvlText w:val="o"/>
      <w:lvlJc w:val="left"/>
      <w:pPr>
        <w:ind w:left="2716" w:hanging="360"/>
      </w:pPr>
      <w:rPr>
        <w:rFonts w:ascii="Courier New" w:hAnsi="Courier New" w:cs="Courier New" w:hint="default"/>
      </w:rPr>
    </w:lvl>
    <w:lvl w:ilvl="2" w:tplc="080C0005" w:tentative="1">
      <w:start w:val="1"/>
      <w:numFmt w:val="bullet"/>
      <w:lvlText w:val=""/>
      <w:lvlJc w:val="left"/>
      <w:pPr>
        <w:ind w:left="3436" w:hanging="360"/>
      </w:pPr>
      <w:rPr>
        <w:rFonts w:ascii="Wingdings" w:hAnsi="Wingdings" w:hint="default"/>
      </w:rPr>
    </w:lvl>
    <w:lvl w:ilvl="3" w:tplc="080C0001" w:tentative="1">
      <w:start w:val="1"/>
      <w:numFmt w:val="bullet"/>
      <w:lvlText w:val=""/>
      <w:lvlJc w:val="left"/>
      <w:pPr>
        <w:ind w:left="4156" w:hanging="360"/>
      </w:pPr>
      <w:rPr>
        <w:rFonts w:ascii="Symbol" w:hAnsi="Symbol" w:hint="default"/>
      </w:rPr>
    </w:lvl>
    <w:lvl w:ilvl="4" w:tplc="080C0003" w:tentative="1">
      <w:start w:val="1"/>
      <w:numFmt w:val="bullet"/>
      <w:lvlText w:val="o"/>
      <w:lvlJc w:val="left"/>
      <w:pPr>
        <w:ind w:left="4876" w:hanging="360"/>
      </w:pPr>
      <w:rPr>
        <w:rFonts w:ascii="Courier New" w:hAnsi="Courier New" w:cs="Courier New" w:hint="default"/>
      </w:rPr>
    </w:lvl>
    <w:lvl w:ilvl="5" w:tplc="080C0005" w:tentative="1">
      <w:start w:val="1"/>
      <w:numFmt w:val="bullet"/>
      <w:lvlText w:val=""/>
      <w:lvlJc w:val="left"/>
      <w:pPr>
        <w:ind w:left="5596" w:hanging="360"/>
      </w:pPr>
      <w:rPr>
        <w:rFonts w:ascii="Wingdings" w:hAnsi="Wingdings" w:hint="default"/>
      </w:rPr>
    </w:lvl>
    <w:lvl w:ilvl="6" w:tplc="080C0001" w:tentative="1">
      <w:start w:val="1"/>
      <w:numFmt w:val="bullet"/>
      <w:lvlText w:val=""/>
      <w:lvlJc w:val="left"/>
      <w:pPr>
        <w:ind w:left="6316" w:hanging="360"/>
      </w:pPr>
      <w:rPr>
        <w:rFonts w:ascii="Symbol" w:hAnsi="Symbol" w:hint="default"/>
      </w:rPr>
    </w:lvl>
    <w:lvl w:ilvl="7" w:tplc="080C0003" w:tentative="1">
      <w:start w:val="1"/>
      <w:numFmt w:val="bullet"/>
      <w:lvlText w:val="o"/>
      <w:lvlJc w:val="left"/>
      <w:pPr>
        <w:ind w:left="7036" w:hanging="360"/>
      </w:pPr>
      <w:rPr>
        <w:rFonts w:ascii="Courier New" w:hAnsi="Courier New" w:cs="Courier New" w:hint="default"/>
      </w:rPr>
    </w:lvl>
    <w:lvl w:ilvl="8" w:tplc="080C0005" w:tentative="1">
      <w:start w:val="1"/>
      <w:numFmt w:val="bullet"/>
      <w:lvlText w:val=""/>
      <w:lvlJc w:val="left"/>
      <w:pPr>
        <w:ind w:left="7756" w:hanging="360"/>
      </w:pPr>
      <w:rPr>
        <w:rFonts w:ascii="Wingdings" w:hAnsi="Wingdings" w:hint="default"/>
      </w:rPr>
    </w:lvl>
  </w:abstractNum>
  <w:abstractNum w:abstractNumId="223" w15:restartNumberingAfterBreak="0">
    <w:nsid w:val="44B467D6"/>
    <w:multiLevelType w:val="hybridMultilevel"/>
    <w:tmpl w:val="79308D14"/>
    <w:lvl w:ilvl="0" w:tplc="BE740DA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C674F0">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381FD0">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3C33CE">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8AAE00">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DCAAB90">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E98A9E4">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267E2C">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9D86086">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4" w15:restartNumberingAfterBreak="0">
    <w:nsid w:val="44C61527"/>
    <w:multiLevelType w:val="hybridMultilevel"/>
    <w:tmpl w:val="80A6E008"/>
    <w:lvl w:ilvl="0" w:tplc="040C0005">
      <w:start w:val="1"/>
      <w:numFmt w:val="bullet"/>
      <w:lvlText w:val=""/>
      <w:lvlJc w:val="left"/>
      <w:pPr>
        <w:ind w:left="1429" w:hanging="360"/>
      </w:pPr>
      <w:rPr>
        <w:rFonts w:ascii="Wingdings" w:hAnsi="Wingdings"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225" w15:restartNumberingAfterBreak="0">
    <w:nsid w:val="44CE6741"/>
    <w:multiLevelType w:val="hybridMultilevel"/>
    <w:tmpl w:val="EAEAAB54"/>
    <w:lvl w:ilvl="0" w:tplc="43268FEE">
      <w:start w:val="1"/>
      <w:numFmt w:val="bullet"/>
      <w:lvlText w:val="•"/>
      <w:lvlJc w:val="left"/>
      <w:pPr>
        <w:ind w:left="10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96F1D2">
      <w:start w:val="1"/>
      <w:numFmt w:val="bullet"/>
      <w:lvlText w:val="o"/>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A65448">
      <w:start w:val="1"/>
      <w:numFmt w:val="bullet"/>
      <w:lvlText w:val="▪"/>
      <w:lvlJc w:val="left"/>
      <w:pPr>
        <w:ind w:left="25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E27E66">
      <w:start w:val="1"/>
      <w:numFmt w:val="bullet"/>
      <w:lvlText w:val="•"/>
      <w:lvlJc w:val="left"/>
      <w:pPr>
        <w:ind w:left="32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DC4EC2">
      <w:start w:val="1"/>
      <w:numFmt w:val="bullet"/>
      <w:lvlText w:val="o"/>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B67F8A">
      <w:start w:val="1"/>
      <w:numFmt w:val="bullet"/>
      <w:lvlText w:val="▪"/>
      <w:lvlJc w:val="left"/>
      <w:pPr>
        <w:ind w:left="46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63D8C">
      <w:start w:val="1"/>
      <w:numFmt w:val="bullet"/>
      <w:lvlText w:val="•"/>
      <w:lvlJc w:val="left"/>
      <w:pPr>
        <w:ind w:left="54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5CB0D0">
      <w:start w:val="1"/>
      <w:numFmt w:val="bullet"/>
      <w:lvlText w:val="o"/>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EE1F4C">
      <w:start w:val="1"/>
      <w:numFmt w:val="bullet"/>
      <w:lvlText w:val="▪"/>
      <w:lvlJc w:val="left"/>
      <w:pPr>
        <w:ind w:left="68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44D8682B"/>
    <w:multiLevelType w:val="hybridMultilevel"/>
    <w:tmpl w:val="15E09BB0"/>
    <w:lvl w:ilvl="0" w:tplc="040C0001">
      <w:start w:val="1"/>
      <w:numFmt w:val="bullet"/>
      <w:lvlText w:val=""/>
      <w:lvlJc w:val="left"/>
      <w:pPr>
        <w:ind w:left="1854" w:hanging="360"/>
      </w:pPr>
      <w:rPr>
        <w:rFonts w:ascii="Symbol" w:hAnsi="Symbol" w:hint="default"/>
        <w:b/>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7" w15:restartNumberingAfterBreak="0">
    <w:nsid w:val="450F05E6"/>
    <w:multiLevelType w:val="hybridMultilevel"/>
    <w:tmpl w:val="4DA66E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8" w15:restartNumberingAfterBreak="0">
    <w:nsid w:val="46323EE0"/>
    <w:multiLevelType w:val="hybridMultilevel"/>
    <w:tmpl w:val="53BA9A56"/>
    <w:lvl w:ilvl="0" w:tplc="A2E82C98">
      <w:numFmt w:val="bullet"/>
      <w:lvlText w:val="•"/>
      <w:lvlJc w:val="left"/>
      <w:pPr>
        <w:ind w:left="720" w:hanging="360"/>
      </w:pPr>
      <w:rPr>
        <w:rFonts w:ascii="Arial" w:eastAsia="Times New Roman" w:hAnsi="Arial" w:hint="default"/>
      </w:rPr>
    </w:lvl>
    <w:lvl w:ilvl="1" w:tplc="040C0019" w:tentative="1">
      <w:start w:val="1"/>
      <w:numFmt w:val="bullet"/>
      <w:lvlText w:val="o"/>
      <w:lvlJc w:val="left"/>
      <w:pPr>
        <w:ind w:left="1440" w:hanging="360"/>
      </w:pPr>
      <w:rPr>
        <w:rFonts w:ascii="Courier New" w:hAnsi="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29" w15:restartNumberingAfterBreak="0">
    <w:nsid w:val="46503836"/>
    <w:multiLevelType w:val="multilevel"/>
    <w:tmpl w:val="040C001F"/>
    <w:styleLink w:val="Style12"/>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472231D6"/>
    <w:multiLevelType w:val="singleLevel"/>
    <w:tmpl w:val="DF346B04"/>
    <w:lvl w:ilvl="0">
      <w:start w:val="1"/>
      <w:numFmt w:val="bullet"/>
      <w:pStyle w:val="Date"/>
      <w:lvlText w:val=""/>
      <w:lvlJc w:val="left"/>
      <w:pPr>
        <w:tabs>
          <w:tab w:val="num" w:pos="360"/>
        </w:tabs>
        <w:ind w:left="245" w:hanging="245"/>
      </w:pPr>
      <w:rPr>
        <w:rFonts w:ascii="Symbol" w:hAnsi="Symbol" w:hint="default"/>
        <w:sz w:val="22"/>
        <w:effect w:val="none"/>
      </w:rPr>
    </w:lvl>
  </w:abstractNum>
  <w:abstractNum w:abstractNumId="231" w15:restartNumberingAfterBreak="0">
    <w:nsid w:val="47BA7DCE"/>
    <w:multiLevelType w:val="hybridMultilevel"/>
    <w:tmpl w:val="B39CD8FC"/>
    <w:lvl w:ilvl="0" w:tplc="687CE4EA">
      <w:start w:val="1"/>
      <w:numFmt w:val="lowerLetter"/>
      <w:pStyle w:val="SimpleLista"/>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2" w15:restartNumberingAfterBreak="0">
    <w:nsid w:val="47BC4096"/>
    <w:multiLevelType w:val="multilevel"/>
    <w:tmpl w:val="040C001F"/>
    <w:styleLink w:val="Style14"/>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3" w15:restartNumberingAfterBreak="0">
    <w:nsid w:val="48053E23"/>
    <w:multiLevelType w:val="hybridMultilevel"/>
    <w:tmpl w:val="4A16BDE0"/>
    <w:lvl w:ilvl="0" w:tplc="AE6C0A26">
      <w:start w:val="4"/>
      <w:numFmt w:val="bullet"/>
      <w:lvlText w:val=""/>
      <w:lvlJc w:val="left"/>
      <w:pPr>
        <w:ind w:left="720" w:hanging="360"/>
      </w:pPr>
      <w:rPr>
        <w:rFonts w:ascii="Symbol" w:eastAsia="Times New Roman" w:hAnsi="Symbol" w:hint="default"/>
      </w:rPr>
    </w:lvl>
    <w:lvl w:ilvl="1" w:tplc="C22E0462" w:tentative="1">
      <w:start w:val="1"/>
      <w:numFmt w:val="bullet"/>
      <w:lvlText w:val="o"/>
      <w:lvlJc w:val="left"/>
      <w:pPr>
        <w:ind w:left="1440" w:hanging="360"/>
      </w:pPr>
      <w:rPr>
        <w:rFonts w:ascii="Courier New" w:hAnsi="Courier New" w:hint="default"/>
      </w:rPr>
    </w:lvl>
    <w:lvl w:ilvl="2" w:tplc="80BAEF7C" w:tentative="1">
      <w:start w:val="1"/>
      <w:numFmt w:val="bullet"/>
      <w:lvlText w:val=""/>
      <w:lvlJc w:val="left"/>
      <w:pPr>
        <w:ind w:left="2160" w:hanging="360"/>
      </w:pPr>
      <w:rPr>
        <w:rFonts w:ascii="Wingdings" w:hAnsi="Wingdings" w:hint="default"/>
      </w:rPr>
    </w:lvl>
    <w:lvl w:ilvl="3" w:tplc="241484A4" w:tentative="1">
      <w:start w:val="1"/>
      <w:numFmt w:val="bullet"/>
      <w:lvlText w:val=""/>
      <w:lvlJc w:val="left"/>
      <w:pPr>
        <w:ind w:left="2880" w:hanging="360"/>
      </w:pPr>
      <w:rPr>
        <w:rFonts w:ascii="Symbol" w:hAnsi="Symbol" w:hint="default"/>
      </w:rPr>
    </w:lvl>
    <w:lvl w:ilvl="4" w:tplc="2A5C916C" w:tentative="1">
      <w:start w:val="1"/>
      <w:numFmt w:val="bullet"/>
      <w:lvlText w:val="o"/>
      <w:lvlJc w:val="left"/>
      <w:pPr>
        <w:ind w:left="3600" w:hanging="360"/>
      </w:pPr>
      <w:rPr>
        <w:rFonts w:ascii="Courier New" w:hAnsi="Courier New" w:hint="default"/>
      </w:rPr>
    </w:lvl>
    <w:lvl w:ilvl="5" w:tplc="683AE312" w:tentative="1">
      <w:start w:val="1"/>
      <w:numFmt w:val="bullet"/>
      <w:lvlText w:val=""/>
      <w:lvlJc w:val="left"/>
      <w:pPr>
        <w:ind w:left="4320" w:hanging="360"/>
      </w:pPr>
      <w:rPr>
        <w:rFonts w:ascii="Wingdings" w:hAnsi="Wingdings" w:hint="default"/>
      </w:rPr>
    </w:lvl>
    <w:lvl w:ilvl="6" w:tplc="BDD400BA" w:tentative="1">
      <w:start w:val="1"/>
      <w:numFmt w:val="bullet"/>
      <w:lvlText w:val=""/>
      <w:lvlJc w:val="left"/>
      <w:pPr>
        <w:ind w:left="5040" w:hanging="360"/>
      </w:pPr>
      <w:rPr>
        <w:rFonts w:ascii="Symbol" w:hAnsi="Symbol" w:hint="default"/>
      </w:rPr>
    </w:lvl>
    <w:lvl w:ilvl="7" w:tplc="19F06DE4" w:tentative="1">
      <w:start w:val="1"/>
      <w:numFmt w:val="bullet"/>
      <w:lvlText w:val="o"/>
      <w:lvlJc w:val="left"/>
      <w:pPr>
        <w:ind w:left="5760" w:hanging="360"/>
      </w:pPr>
      <w:rPr>
        <w:rFonts w:ascii="Courier New" w:hAnsi="Courier New" w:hint="default"/>
      </w:rPr>
    </w:lvl>
    <w:lvl w:ilvl="8" w:tplc="3C2CF238" w:tentative="1">
      <w:start w:val="1"/>
      <w:numFmt w:val="bullet"/>
      <w:lvlText w:val=""/>
      <w:lvlJc w:val="left"/>
      <w:pPr>
        <w:ind w:left="6480" w:hanging="360"/>
      </w:pPr>
      <w:rPr>
        <w:rFonts w:ascii="Wingdings" w:hAnsi="Wingdings" w:hint="default"/>
      </w:rPr>
    </w:lvl>
  </w:abstractNum>
  <w:abstractNum w:abstractNumId="234" w15:restartNumberingAfterBreak="0">
    <w:nsid w:val="48151EB0"/>
    <w:multiLevelType w:val="hybridMultilevel"/>
    <w:tmpl w:val="74100E3A"/>
    <w:lvl w:ilvl="0" w:tplc="16088862">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235" w15:restartNumberingAfterBreak="0">
    <w:nsid w:val="48720C0A"/>
    <w:multiLevelType w:val="hybridMultilevel"/>
    <w:tmpl w:val="CB2A7DE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6" w15:restartNumberingAfterBreak="0">
    <w:nsid w:val="48EE1E63"/>
    <w:multiLevelType w:val="hybridMultilevel"/>
    <w:tmpl w:val="C556FBAA"/>
    <w:lvl w:ilvl="0" w:tplc="3F46D2D4">
      <w:numFmt w:val="bullet"/>
      <w:lvlText w:val="-"/>
      <w:lvlJc w:val="left"/>
      <w:pPr>
        <w:ind w:left="720" w:hanging="360"/>
      </w:pPr>
      <w:rPr>
        <w:rFonts w:ascii="Times New Roman" w:eastAsia="Arial Unicode MS"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15:restartNumberingAfterBreak="0">
    <w:nsid w:val="491E3F40"/>
    <w:multiLevelType w:val="hybridMultilevel"/>
    <w:tmpl w:val="9CC6DDC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8" w15:restartNumberingAfterBreak="0">
    <w:nsid w:val="49476B25"/>
    <w:multiLevelType w:val="hybridMultilevel"/>
    <w:tmpl w:val="530EB984"/>
    <w:lvl w:ilvl="0" w:tplc="040C000B">
      <w:start w:val="1"/>
      <w:numFmt w:val="bullet"/>
      <w:pStyle w:val="Nomdesocit"/>
      <w:lvlText w:val=""/>
      <w:lvlJc w:val="left"/>
      <w:pPr>
        <w:tabs>
          <w:tab w:val="num" w:pos="360"/>
        </w:tabs>
        <w:ind w:left="340" w:hanging="340"/>
      </w:pPr>
      <w:rPr>
        <w:rFonts w:ascii="Wingdings" w:eastAsia="Times New Roman"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498C4D59"/>
    <w:multiLevelType w:val="hybridMultilevel"/>
    <w:tmpl w:val="0EDC578A"/>
    <w:lvl w:ilvl="0" w:tplc="E2C675C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2E78CE">
      <w:start w:val="1"/>
      <w:numFmt w:val="bullet"/>
      <w:lvlText w:val="o"/>
      <w:lvlJc w:val="left"/>
      <w:pPr>
        <w:ind w:left="11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4D8E946">
      <w:start w:val="1"/>
      <w:numFmt w:val="bullet"/>
      <w:lvlText w:val="▪"/>
      <w:lvlJc w:val="left"/>
      <w:pPr>
        <w:ind w:left="1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1C45172">
      <w:start w:val="1"/>
      <w:numFmt w:val="bullet"/>
      <w:lvlText w:val="•"/>
      <w:lvlJc w:val="left"/>
      <w:pPr>
        <w:ind w:left="26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D299BC">
      <w:start w:val="1"/>
      <w:numFmt w:val="bullet"/>
      <w:lvlText w:val="o"/>
      <w:lvlJc w:val="left"/>
      <w:pPr>
        <w:ind w:left="33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874A5F0">
      <w:start w:val="1"/>
      <w:numFmt w:val="bullet"/>
      <w:lvlText w:val="▪"/>
      <w:lvlJc w:val="left"/>
      <w:pPr>
        <w:ind w:left="40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490CF76">
      <w:start w:val="1"/>
      <w:numFmt w:val="bullet"/>
      <w:lvlText w:val="•"/>
      <w:lvlJc w:val="left"/>
      <w:pPr>
        <w:ind w:left="4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5C8B9B6">
      <w:start w:val="1"/>
      <w:numFmt w:val="bullet"/>
      <w:lvlText w:val="o"/>
      <w:lvlJc w:val="left"/>
      <w:pPr>
        <w:ind w:left="55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B802480">
      <w:start w:val="1"/>
      <w:numFmt w:val="bullet"/>
      <w:lvlText w:val="▪"/>
      <w:lvlJc w:val="left"/>
      <w:pPr>
        <w:ind w:left="62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0" w15:restartNumberingAfterBreak="0">
    <w:nsid w:val="498D6F0E"/>
    <w:multiLevelType w:val="hybridMultilevel"/>
    <w:tmpl w:val="4F3ACEFA"/>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A0F5492"/>
    <w:multiLevelType w:val="hybridMultilevel"/>
    <w:tmpl w:val="3D228D34"/>
    <w:lvl w:ilvl="0" w:tplc="3F46D2D4">
      <w:numFmt w:val="bullet"/>
      <w:lvlText w:val="-"/>
      <w:lvlJc w:val="left"/>
      <w:pPr>
        <w:ind w:left="720" w:hanging="360"/>
      </w:pPr>
      <w:rPr>
        <w:rFonts w:ascii="Times New Roman" w:eastAsia="Arial Unicode MS"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2" w15:restartNumberingAfterBreak="0">
    <w:nsid w:val="4A6E241D"/>
    <w:multiLevelType w:val="hybridMultilevel"/>
    <w:tmpl w:val="436E6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4AE56EC6"/>
    <w:multiLevelType w:val="hybridMultilevel"/>
    <w:tmpl w:val="01266058"/>
    <w:lvl w:ilvl="0" w:tplc="47F888E4">
      <w:start w:val="1"/>
      <w:numFmt w:val="bullet"/>
      <w:lvlText w:val="-"/>
      <w:lvlJc w:val="left"/>
      <w:pPr>
        <w:ind w:left="1571" w:hanging="360"/>
      </w:pPr>
      <w:rPr>
        <w:rFonts w:ascii="Sylfaen" w:hAnsi="Sylfaen"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44" w15:restartNumberingAfterBreak="0">
    <w:nsid w:val="4B1C2EC0"/>
    <w:multiLevelType w:val="hybridMultilevel"/>
    <w:tmpl w:val="50903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15:restartNumberingAfterBreak="0">
    <w:nsid w:val="4B3920DA"/>
    <w:multiLevelType w:val="hybridMultilevel"/>
    <w:tmpl w:val="FAB8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15:restartNumberingAfterBreak="0">
    <w:nsid w:val="4B5660D2"/>
    <w:multiLevelType w:val="hybridMultilevel"/>
    <w:tmpl w:val="CD4A215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7" w15:restartNumberingAfterBreak="0">
    <w:nsid w:val="4B6D6BBA"/>
    <w:multiLevelType w:val="hybridMultilevel"/>
    <w:tmpl w:val="25B022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8" w15:restartNumberingAfterBreak="0">
    <w:nsid w:val="4C3F46A5"/>
    <w:multiLevelType w:val="multilevel"/>
    <w:tmpl w:val="EE18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4C6E4B43"/>
    <w:multiLevelType w:val="hybridMultilevel"/>
    <w:tmpl w:val="69C8A3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0" w15:restartNumberingAfterBreak="0">
    <w:nsid w:val="4C74443E"/>
    <w:multiLevelType w:val="hybridMultilevel"/>
    <w:tmpl w:val="27E4BD4E"/>
    <w:lvl w:ilvl="0" w:tplc="0816000F">
      <w:start w:val="1"/>
      <w:numFmt w:val="decimal"/>
      <w:lvlText w:val="%1."/>
      <w:lvlJc w:val="left"/>
      <w:pPr>
        <w:ind w:left="360" w:hanging="360"/>
      </w:pPr>
    </w:lvl>
    <w:lvl w:ilvl="1" w:tplc="E482CB0A">
      <w:start w:val="1"/>
      <w:numFmt w:val="lowerRoman"/>
      <w:lvlText w:val="%2."/>
      <w:lvlJc w:val="left"/>
      <w:pPr>
        <w:ind w:left="1440" w:hanging="720"/>
      </w:pPr>
      <w:rPr>
        <w:rFonts w:hint="default"/>
      </w:r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51" w15:restartNumberingAfterBreak="0">
    <w:nsid w:val="4CDF39F0"/>
    <w:multiLevelType w:val="singleLevel"/>
    <w:tmpl w:val="A7EEDD90"/>
    <w:lvl w:ilvl="0">
      <w:start w:val="1"/>
      <w:numFmt w:val="bullet"/>
      <w:pStyle w:val="puce"/>
      <w:lvlText w:val=""/>
      <w:lvlJc w:val="left"/>
      <w:pPr>
        <w:tabs>
          <w:tab w:val="num" w:pos="360"/>
        </w:tabs>
        <w:ind w:left="360" w:hanging="360"/>
      </w:pPr>
      <w:rPr>
        <w:rFonts w:ascii="Wingdings" w:hAnsi="Wingdings" w:hint="default"/>
      </w:rPr>
    </w:lvl>
  </w:abstractNum>
  <w:abstractNum w:abstractNumId="252" w15:restartNumberingAfterBreak="0">
    <w:nsid w:val="4D487D7A"/>
    <w:multiLevelType w:val="multilevel"/>
    <w:tmpl w:val="040C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3" w15:restartNumberingAfterBreak="0">
    <w:nsid w:val="4D742E54"/>
    <w:multiLevelType w:val="hybridMultilevel"/>
    <w:tmpl w:val="B032F6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4" w15:restartNumberingAfterBreak="0">
    <w:nsid w:val="4D8769E0"/>
    <w:multiLevelType w:val="hybridMultilevel"/>
    <w:tmpl w:val="2A3C9414"/>
    <w:lvl w:ilvl="0" w:tplc="48DA20B0">
      <w:start w:val="1"/>
      <w:numFmt w:val="bullet"/>
      <w:lvlText w:val="-"/>
      <w:lvlJc w:val="left"/>
      <w:pPr>
        <w:ind w:left="4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6E985E">
      <w:start w:val="1"/>
      <w:numFmt w:val="bullet"/>
      <w:lvlText w:val="o"/>
      <w:lvlJc w:val="left"/>
      <w:pPr>
        <w:ind w:left="11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DC319E">
      <w:start w:val="1"/>
      <w:numFmt w:val="bullet"/>
      <w:lvlText w:val="▪"/>
      <w:lvlJc w:val="left"/>
      <w:pPr>
        <w:ind w:left="18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18BCFE">
      <w:start w:val="1"/>
      <w:numFmt w:val="bullet"/>
      <w:lvlText w:val="•"/>
      <w:lvlJc w:val="left"/>
      <w:pPr>
        <w:ind w:left="26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DA5C9C">
      <w:start w:val="1"/>
      <w:numFmt w:val="bullet"/>
      <w:lvlText w:val="o"/>
      <w:lvlJc w:val="left"/>
      <w:pPr>
        <w:ind w:left="33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CC269C">
      <w:start w:val="1"/>
      <w:numFmt w:val="bullet"/>
      <w:lvlText w:val="▪"/>
      <w:lvlJc w:val="left"/>
      <w:pPr>
        <w:ind w:left="40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C07638">
      <w:start w:val="1"/>
      <w:numFmt w:val="bullet"/>
      <w:lvlText w:val="•"/>
      <w:lvlJc w:val="left"/>
      <w:pPr>
        <w:ind w:left="47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DA0396">
      <w:start w:val="1"/>
      <w:numFmt w:val="bullet"/>
      <w:lvlText w:val="o"/>
      <w:lvlJc w:val="left"/>
      <w:pPr>
        <w:ind w:left="54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D6D6F6">
      <w:start w:val="1"/>
      <w:numFmt w:val="bullet"/>
      <w:lvlText w:val="▪"/>
      <w:lvlJc w:val="left"/>
      <w:pPr>
        <w:ind w:left="62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4D8D69F1"/>
    <w:multiLevelType w:val="hybridMultilevel"/>
    <w:tmpl w:val="06C61ED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6" w15:restartNumberingAfterBreak="0">
    <w:nsid w:val="4DAB53E9"/>
    <w:multiLevelType w:val="multilevel"/>
    <w:tmpl w:val="3AD0B04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4E247789"/>
    <w:multiLevelType w:val="hybridMultilevel"/>
    <w:tmpl w:val="17E06B6E"/>
    <w:lvl w:ilvl="0" w:tplc="040C0019">
      <w:start w:val="1"/>
      <w:numFmt w:val="bullet"/>
      <w:lvlText w:val="o"/>
      <w:lvlJc w:val="left"/>
      <w:pPr>
        <w:ind w:left="720" w:hanging="360"/>
      </w:pPr>
      <w:rPr>
        <w:rFonts w:ascii="Courier New" w:hAnsi="Courier New"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15:restartNumberingAfterBreak="0">
    <w:nsid w:val="4E914806"/>
    <w:multiLevelType w:val="hybridMultilevel"/>
    <w:tmpl w:val="B832062E"/>
    <w:lvl w:ilvl="0" w:tplc="6C0C7AEE">
      <w:start w:val="1"/>
      <w:numFmt w:val="lowerRoman"/>
      <w:lvlText w:val="(%1)"/>
      <w:lvlJc w:val="left"/>
      <w:pPr>
        <w:ind w:left="1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80272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1AC4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C2AE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C64E3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4795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0842F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1A3CF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C3F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60" w15:restartNumberingAfterBreak="0">
    <w:nsid w:val="4F5A7190"/>
    <w:multiLevelType w:val="multilevel"/>
    <w:tmpl w:val="E8885224"/>
    <w:lvl w:ilvl="0">
      <w:start w:val="1"/>
      <w:numFmt w:val="decimal"/>
      <w:lvlText w:val="%1."/>
      <w:lvlJc w:val="left"/>
      <w:pPr>
        <w:ind w:left="720" w:hanging="360"/>
      </w:pPr>
      <w:rPr>
        <w:rFonts w:ascii="Times New Roman" w:hAnsi="Times New Roman" w:cs="Times New Roman"/>
      </w:rPr>
    </w:lvl>
    <w:lvl w:ilvl="1">
      <w:start w:val="1"/>
      <w:numFmt w:val="decimal"/>
      <w:pStyle w:val="TITRE20"/>
      <w:isLgl/>
      <w:lvlText w:val="%1.%2."/>
      <w:lvlJc w:val="left"/>
      <w:pPr>
        <w:ind w:left="1080" w:hanging="720"/>
      </w:pPr>
      <w:rPr>
        <w:rFonts w:ascii="Times New Roman" w:hAnsi="Times New Roman" w:cs="Times New Roman" w:hint="default"/>
      </w:rPr>
    </w:lvl>
    <w:lvl w:ilvl="2">
      <w:start w:val="1"/>
      <w:numFmt w:val="decimal"/>
      <w:pStyle w:val="TITRE30"/>
      <w:isLgl/>
      <w:lvlText w:val="%1.%2.%3."/>
      <w:lvlJc w:val="left"/>
      <w:pPr>
        <w:ind w:left="1080" w:hanging="720"/>
      </w:pPr>
      <w:rPr>
        <w:rFonts w:ascii="Times New Roman" w:hAnsi="Times New Roman" w:cs="Times New Roman" w:hint="default"/>
      </w:rPr>
    </w:lvl>
    <w:lvl w:ilvl="3">
      <w:start w:val="1"/>
      <w:numFmt w:val="decimal"/>
      <w:isLgl/>
      <w:lvlText w:val="%1.%2.%3.%4."/>
      <w:lvlJc w:val="left"/>
      <w:pPr>
        <w:ind w:left="1440" w:hanging="1080"/>
      </w:pPr>
      <w:rPr>
        <w:rFonts w:ascii="Times New Roman" w:hAnsi="Times New Roman" w:cs="Times New Roman" w:hint="default"/>
      </w:rPr>
    </w:lvl>
    <w:lvl w:ilvl="4">
      <w:start w:val="1"/>
      <w:numFmt w:val="decimal"/>
      <w:isLgl/>
      <w:lvlText w:val="%1.%2.%3.%4.%5."/>
      <w:lvlJc w:val="left"/>
      <w:pPr>
        <w:ind w:left="1440" w:hanging="1080"/>
      </w:pPr>
      <w:rPr>
        <w:rFonts w:ascii="Times New Roman" w:hAnsi="Times New Roman" w:cs="Times New Roman" w:hint="default"/>
      </w:rPr>
    </w:lvl>
    <w:lvl w:ilvl="5">
      <w:start w:val="1"/>
      <w:numFmt w:val="decimal"/>
      <w:isLgl/>
      <w:lvlText w:val="%1.%2.%3.%4.%5.%6."/>
      <w:lvlJc w:val="left"/>
      <w:pPr>
        <w:ind w:left="1800" w:hanging="1440"/>
      </w:pPr>
      <w:rPr>
        <w:rFonts w:ascii="Times New Roman" w:hAnsi="Times New Roman" w:cs="Times New Roman" w:hint="default"/>
      </w:rPr>
    </w:lvl>
    <w:lvl w:ilvl="6">
      <w:start w:val="1"/>
      <w:numFmt w:val="decimal"/>
      <w:isLgl/>
      <w:lvlText w:val="%1.%2.%3.%4.%5.%6.%7."/>
      <w:lvlJc w:val="left"/>
      <w:pPr>
        <w:ind w:left="1800" w:hanging="1440"/>
      </w:pPr>
      <w:rPr>
        <w:rFonts w:ascii="Times New Roman" w:hAnsi="Times New Roman" w:cs="Times New Roman" w:hint="default"/>
      </w:rPr>
    </w:lvl>
    <w:lvl w:ilvl="7">
      <w:start w:val="1"/>
      <w:numFmt w:val="decimal"/>
      <w:isLgl/>
      <w:lvlText w:val="%1.%2.%3.%4.%5.%6.%7.%8."/>
      <w:lvlJc w:val="left"/>
      <w:pPr>
        <w:ind w:left="2160" w:hanging="1800"/>
      </w:pPr>
      <w:rPr>
        <w:rFonts w:ascii="Times New Roman" w:hAnsi="Times New Roman" w:cs="Times New Roman" w:hint="default"/>
      </w:rPr>
    </w:lvl>
    <w:lvl w:ilvl="8">
      <w:start w:val="1"/>
      <w:numFmt w:val="decimal"/>
      <w:isLgl/>
      <w:lvlText w:val="%1.%2.%3.%4.%5.%6.%7.%8.%9."/>
      <w:lvlJc w:val="left"/>
      <w:pPr>
        <w:ind w:left="2160" w:hanging="1800"/>
      </w:pPr>
      <w:rPr>
        <w:rFonts w:ascii="Times New Roman" w:hAnsi="Times New Roman" w:cs="Times New Roman" w:hint="default"/>
      </w:rPr>
    </w:lvl>
  </w:abstractNum>
  <w:abstractNum w:abstractNumId="261" w15:restartNumberingAfterBreak="0">
    <w:nsid w:val="4FF364A8"/>
    <w:multiLevelType w:val="hybridMultilevel"/>
    <w:tmpl w:val="B326587E"/>
    <w:lvl w:ilvl="0" w:tplc="5290ED78">
      <w:start w:val="1"/>
      <w:numFmt w:val="bullet"/>
      <w:lvlText w:val="•"/>
      <w:lvlJc w:val="left"/>
      <w:pPr>
        <w:ind w:left="1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C1B58">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FC41A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96E4AA">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2E6772">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6B6C16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55A71D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8151C">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380708">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509C2E43"/>
    <w:multiLevelType w:val="hybridMultilevel"/>
    <w:tmpl w:val="DDF8FE02"/>
    <w:lvl w:ilvl="0" w:tplc="57B4E6C4">
      <w:start w:val="1"/>
      <w:numFmt w:val="lowerLetter"/>
      <w:lvlText w:val="%1."/>
      <w:lvlJc w:val="left"/>
      <w:pPr>
        <w:ind w:left="7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70F7C6">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6CCE36">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98C08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1E8E6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9A513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2A94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9E05B4">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CA23DC">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3" w15:restartNumberingAfterBreak="0">
    <w:nsid w:val="51B97167"/>
    <w:multiLevelType w:val="hybridMultilevel"/>
    <w:tmpl w:val="B010FA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4" w15:restartNumberingAfterBreak="0">
    <w:nsid w:val="520A2371"/>
    <w:multiLevelType w:val="hybridMultilevel"/>
    <w:tmpl w:val="ED2C7874"/>
    <w:lvl w:ilvl="0" w:tplc="040C0001">
      <w:start w:val="1"/>
      <w:numFmt w:val="bullet"/>
      <w:lvlText w:val=""/>
      <w:lvlJc w:val="left"/>
      <w:pPr>
        <w:ind w:left="720"/>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421A6454">
      <w:start w:val="1"/>
      <w:numFmt w:val="bullet"/>
      <w:lvlText w:val="o"/>
      <w:lvlJc w:val="left"/>
      <w:pPr>
        <w:ind w:left="1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12E73AA">
      <w:start w:val="1"/>
      <w:numFmt w:val="bullet"/>
      <w:lvlText w:val="▪"/>
      <w:lvlJc w:val="left"/>
      <w:pPr>
        <w:ind w:left="22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C002D24">
      <w:start w:val="1"/>
      <w:numFmt w:val="bullet"/>
      <w:lvlText w:val="•"/>
      <w:lvlJc w:val="left"/>
      <w:pPr>
        <w:ind w:left="298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41EEC38">
      <w:start w:val="1"/>
      <w:numFmt w:val="bullet"/>
      <w:lvlText w:val="o"/>
      <w:lvlJc w:val="left"/>
      <w:pPr>
        <w:ind w:left="37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562624E">
      <w:start w:val="1"/>
      <w:numFmt w:val="bullet"/>
      <w:lvlText w:val="▪"/>
      <w:lvlJc w:val="left"/>
      <w:pPr>
        <w:ind w:left="44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EA0BBF2">
      <w:start w:val="1"/>
      <w:numFmt w:val="bullet"/>
      <w:lvlText w:val="•"/>
      <w:lvlJc w:val="left"/>
      <w:pPr>
        <w:ind w:left="51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6A1F18">
      <w:start w:val="1"/>
      <w:numFmt w:val="bullet"/>
      <w:lvlText w:val="o"/>
      <w:lvlJc w:val="left"/>
      <w:pPr>
        <w:ind w:left="58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1AEF304">
      <w:start w:val="1"/>
      <w:numFmt w:val="bullet"/>
      <w:lvlText w:val="▪"/>
      <w:lvlJc w:val="left"/>
      <w:pPr>
        <w:ind w:left="65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65" w15:restartNumberingAfterBreak="0">
    <w:nsid w:val="52AF56C2"/>
    <w:multiLevelType w:val="hybridMultilevel"/>
    <w:tmpl w:val="2B7EE05E"/>
    <w:lvl w:ilvl="0" w:tplc="38E630D4">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52CE7F54"/>
    <w:multiLevelType w:val="hybridMultilevel"/>
    <w:tmpl w:val="6F86E6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7" w15:restartNumberingAfterBreak="0">
    <w:nsid w:val="52CE7FAB"/>
    <w:multiLevelType w:val="multilevel"/>
    <w:tmpl w:val="4D6461B2"/>
    <w:lvl w:ilvl="0">
      <w:start w:val="1"/>
      <w:numFmt w:val="decimal"/>
      <w:lvlText w:val="%1."/>
      <w:lvlJc w:val="left"/>
      <w:pPr>
        <w:ind w:left="720" w:hanging="360"/>
      </w:pPr>
      <w:rPr>
        <w:rFonts w:ascii="Arial" w:hAnsi="Arial" w:cs="Arial" w:hint="default"/>
        <w:b/>
        <w:color w:val="auto"/>
        <w:sz w:val="21"/>
        <w:szCs w:val="21"/>
      </w:rPr>
    </w:lvl>
    <w:lvl w:ilvl="1">
      <w:start w:val="1"/>
      <w:numFmt w:val="decimal"/>
      <w:isLgl/>
      <w:lvlText w:val="%1.%2."/>
      <w:lvlJc w:val="left"/>
      <w:pPr>
        <w:ind w:left="4590" w:hanging="720"/>
      </w:pPr>
      <w:rPr>
        <w:rFonts w:hint="default"/>
      </w:rPr>
    </w:lvl>
    <w:lvl w:ilvl="2">
      <w:start w:val="1"/>
      <w:numFmt w:val="decimal"/>
      <w:isLgl/>
      <w:lvlText w:val="%1.%2.%3."/>
      <w:lvlJc w:val="left"/>
      <w:pPr>
        <w:ind w:left="1080" w:hanging="720"/>
      </w:pPr>
      <w:rPr>
        <w:rFonts w:hint="default"/>
        <w:b/>
        <w:i/>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8" w15:restartNumberingAfterBreak="0">
    <w:nsid w:val="530A74B0"/>
    <w:multiLevelType w:val="hybridMultilevel"/>
    <w:tmpl w:val="00BC8042"/>
    <w:lvl w:ilvl="0" w:tplc="2946C52E">
      <w:start w:val="3"/>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9"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Header2"/>
      <w:isLgl/>
      <w:lvlText w:val="%1.%2"/>
      <w:lvlJc w:val="left"/>
      <w:pPr>
        <w:tabs>
          <w:tab w:val="num" w:pos="1001"/>
        </w:tabs>
        <w:ind w:left="1001"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0" w15:restartNumberingAfterBreak="0">
    <w:nsid w:val="53151AC8"/>
    <w:multiLevelType w:val="hybridMultilevel"/>
    <w:tmpl w:val="25EE7B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271" w15:restartNumberingAfterBreak="0">
    <w:nsid w:val="5372065C"/>
    <w:multiLevelType w:val="hybridMultilevel"/>
    <w:tmpl w:val="4EA2F7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2" w15:restartNumberingAfterBreak="0">
    <w:nsid w:val="557A6F8E"/>
    <w:multiLevelType w:val="hybridMultilevel"/>
    <w:tmpl w:val="7776715E"/>
    <w:lvl w:ilvl="0" w:tplc="BF34B882">
      <w:start w:val="1"/>
      <w:numFmt w:val="bullet"/>
      <w:lvlText w:val="-"/>
      <w:lvlJc w:val="left"/>
      <w:pPr>
        <w:ind w:left="360" w:hanging="360"/>
      </w:pPr>
      <w:rPr>
        <w:rFonts w:ascii="Tahoma" w:hAnsi="Tahoma"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73" w15:restartNumberingAfterBreak="0">
    <w:nsid w:val="568B6A05"/>
    <w:multiLevelType w:val="hybridMultilevel"/>
    <w:tmpl w:val="27A6775A"/>
    <w:lvl w:ilvl="0" w:tplc="3D4AA728">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4" w15:restartNumberingAfterBreak="0">
    <w:nsid w:val="570236B5"/>
    <w:multiLevelType w:val="multilevel"/>
    <w:tmpl w:val="DB82B9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5" w15:restartNumberingAfterBreak="0">
    <w:nsid w:val="578716A8"/>
    <w:multiLevelType w:val="hybridMultilevel"/>
    <w:tmpl w:val="CB46DD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15:restartNumberingAfterBreak="0">
    <w:nsid w:val="57EB0C34"/>
    <w:multiLevelType w:val="hybridMultilevel"/>
    <w:tmpl w:val="A4249C0A"/>
    <w:lvl w:ilvl="0" w:tplc="6C0C7AEE">
      <w:start w:val="1"/>
      <w:numFmt w:val="lowerRoman"/>
      <w:lvlText w:val="(%1)"/>
      <w:lvlJc w:val="left"/>
      <w:pPr>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57EE0881"/>
    <w:multiLevelType w:val="hybridMultilevel"/>
    <w:tmpl w:val="F88A6E50"/>
    <w:lvl w:ilvl="0" w:tplc="FFFFFFFF">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8" w15:restartNumberingAfterBreak="0">
    <w:nsid w:val="580629BE"/>
    <w:multiLevelType w:val="hybridMultilevel"/>
    <w:tmpl w:val="186EAC7A"/>
    <w:lvl w:ilvl="0" w:tplc="767280B6">
      <w:start w:val="1"/>
      <w:numFmt w:val="bullet"/>
      <w:lvlText w:val="•"/>
      <w:lvlJc w:val="left"/>
      <w:pPr>
        <w:ind w:left="3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A8A36E">
      <w:start w:val="1"/>
      <w:numFmt w:val="bullet"/>
      <w:lvlText w:val="-"/>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2AC652">
      <w:start w:val="1"/>
      <w:numFmt w:val="bullet"/>
      <w:lvlText w:val="▪"/>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927D22">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8EAC86">
      <w:start w:val="1"/>
      <w:numFmt w:val="bullet"/>
      <w:lvlText w:val="o"/>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F072BA">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42C220">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9E30B6">
      <w:start w:val="1"/>
      <w:numFmt w:val="bullet"/>
      <w:lvlText w:val="o"/>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3245DC">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58FA4180"/>
    <w:multiLevelType w:val="hybridMultilevel"/>
    <w:tmpl w:val="0A467902"/>
    <w:lvl w:ilvl="0" w:tplc="B6D453AE">
      <w:start w:val="1"/>
      <w:numFmt w:val="lowerRoman"/>
      <w:lvlText w:val="(%1)"/>
      <w:lvlJc w:val="left"/>
      <w:pPr>
        <w:ind w:left="938" w:hanging="360"/>
      </w:pPr>
      <w:rPr>
        <w:rFonts w:hint="default"/>
      </w:rPr>
    </w:lvl>
    <w:lvl w:ilvl="1" w:tplc="040C0003" w:tentative="1">
      <w:start w:val="1"/>
      <w:numFmt w:val="bullet"/>
      <w:lvlText w:val="o"/>
      <w:lvlJc w:val="left"/>
      <w:pPr>
        <w:ind w:left="1658" w:hanging="360"/>
      </w:pPr>
      <w:rPr>
        <w:rFonts w:ascii="Courier New" w:hAnsi="Courier New" w:cs="Courier New" w:hint="default"/>
      </w:rPr>
    </w:lvl>
    <w:lvl w:ilvl="2" w:tplc="040C0005" w:tentative="1">
      <w:start w:val="1"/>
      <w:numFmt w:val="bullet"/>
      <w:lvlText w:val=""/>
      <w:lvlJc w:val="left"/>
      <w:pPr>
        <w:ind w:left="2378" w:hanging="360"/>
      </w:pPr>
      <w:rPr>
        <w:rFonts w:ascii="Wingdings" w:hAnsi="Wingdings" w:hint="default"/>
      </w:rPr>
    </w:lvl>
    <w:lvl w:ilvl="3" w:tplc="040C0001" w:tentative="1">
      <w:start w:val="1"/>
      <w:numFmt w:val="bullet"/>
      <w:lvlText w:val=""/>
      <w:lvlJc w:val="left"/>
      <w:pPr>
        <w:ind w:left="3098" w:hanging="360"/>
      </w:pPr>
      <w:rPr>
        <w:rFonts w:ascii="Symbol" w:hAnsi="Symbol" w:hint="default"/>
      </w:rPr>
    </w:lvl>
    <w:lvl w:ilvl="4" w:tplc="040C0003" w:tentative="1">
      <w:start w:val="1"/>
      <w:numFmt w:val="bullet"/>
      <w:lvlText w:val="o"/>
      <w:lvlJc w:val="left"/>
      <w:pPr>
        <w:ind w:left="3818" w:hanging="360"/>
      </w:pPr>
      <w:rPr>
        <w:rFonts w:ascii="Courier New" w:hAnsi="Courier New" w:cs="Courier New" w:hint="default"/>
      </w:rPr>
    </w:lvl>
    <w:lvl w:ilvl="5" w:tplc="040C0005" w:tentative="1">
      <w:start w:val="1"/>
      <w:numFmt w:val="bullet"/>
      <w:lvlText w:val=""/>
      <w:lvlJc w:val="left"/>
      <w:pPr>
        <w:ind w:left="4538" w:hanging="360"/>
      </w:pPr>
      <w:rPr>
        <w:rFonts w:ascii="Wingdings" w:hAnsi="Wingdings" w:hint="default"/>
      </w:rPr>
    </w:lvl>
    <w:lvl w:ilvl="6" w:tplc="040C0001" w:tentative="1">
      <w:start w:val="1"/>
      <w:numFmt w:val="bullet"/>
      <w:lvlText w:val=""/>
      <w:lvlJc w:val="left"/>
      <w:pPr>
        <w:ind w:left="5258" w:hanging="360"/>
      </w:pPr>
      <w:rPr>
        <w:rFonts w:ascii="Symbol" w:hAnsi="Symbol" w:hint="default"/>
      </w:rPr>
    </w:lvl>
    <w:lvl w:ilvl="7" w:tplc="040C0003" w:tentative="1">
      <w:start w:val="1"/>
      <w:numFmt w:val="bullet"/>
      <w:lvlText w:val="o"/>
      <w:lvlJc w:val="left"/>
      <w:pPr>
        <w:ind w:left="5978" w:hanging="360"/>
      </w:pPr>
      <w:rPr>
        <w:rFonts w:ascii="Courier New" w:hAnsi="Courier New" w:cs="Courier New" w:hint="default"/>
      </w:rPr>
    </w:lvl>
    <w:lvl w:ilvl="8" w:tplc="040C0005" w:tentative="1">
      <w:start w:val="1"/>
      <w:numFmt w:val="bullet"/>
      <w:lvlText w:val=""/>
      <w:lvlJc w:val="left"/>
      <w:pPr>
        <w:ind w:left="6698" w:hanging="360"/>
      </w:pPr>
      <w:rPr>
        <w:rFonts w:ascii="Wingdings" w:hAnsi="Wingdings" w:hint="default"/>
      </w:rPr>
    </w:lvl>
  </w:abstractNum>
  <w:abstractNum w:abstractNumId="280" w15:restartNumberingAfterBreak="0">
    <w:nsid w:val="59501638"/>
    <w:multiLevelType w:val="hybridMultilevel"/>
    <w:tmpl w:val="700E2372"/>
    <w:lvl w:ilvl="0" w:tplc="9BDA5F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1" w15:restartNumberingAfterBreak="0">
    <w:nsid w:val="59CF21F1"/>
    <w:multiLevelType w:val="hybridMultilevel"/>
    <w:tmpl w:val="92B83B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2" w15:restartNumberingAfterBreak="0">
    <w:nsid w:val="59DD30AF"/>
    <w:multiLevelType w:val="hybridMultilevel"/>
    <w:tmpl w:val="F1BAF1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15:restartNumberingAfterBreak="0">
    <w:nsid w:val="59F83B8E"/>
    <w:multiLevelType w:val="hybridMultilevel"/>
    <w:tmpl w:val="8BCCBC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4" w15:restartNumberingAfterBreak="0">
    <w:nsid w:val="59FF5202"/>
    <w:multiLevelType w:val="hybridMultilevel"/>
    <w:tmpl w:val="CAE40612"/>
    <w:lvl w:ilvl="0" w:tplc="F064AF6A">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5" w15:restartNumberingAfterBreak="0">
    <w:nsid w:val="5A2C0A07"/>
    <w:multiLevelType w:val="hybridMultilevel"/>
    <w:tmpl w:val="B97A05F4"/>
    <w:lvl w:ilvl="0" w:tplc="BF34B882">
      <w:start w:val="1"/>
      <w:numFmt w:val="bullet"/>
      <w:lvlText w:val="-"/>
      <w:lvlJc w:val="left"/>
      <w:pPr>
        <w:ind w:left="36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6" w15:restartNumberingAfterBreak="0">
    <w:nsid w:val="5A9E2EF4"/>
    <w:multiLevelType w:val="hybridMultilevel"/>
    <w:tmpl w:val="B8866E1E"/>
    <w:lvl w:ilvl="0" w:tplc="324E6BAA">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7" w15:restartNumberingAfterBreak="0">
    <w:nsid w:val="5AAE08D4"/>
    <w:multiLevelType w:val="hybridMultilevel"/>
    <w:tmpl w:val="20A849D4"/>
    <w:lvl w:ilvl="0" w:tplc="FFFFFFFF">
      <w:numFmt w:val="bullet"/>
      <w:pStyle w:val="Style2"/>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5ABD4C5B"/>
    <w:multiLevelType w:val="hybridMultilevel"/>
    <w:tmpl w:val="408CAE2A"/>
    <w:lvl w:ilvl="0" w:tplc="040C0001">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89" w15:restartNumberingAfterBreak="0">
    <w:nsid w:val="5AEA0450"/>
    <w:multiLevelType w:val="hybridMultilevel"/>
    <w:tmpl w:val="4BDCA8CC"/>
    <w:lvl w:ilvl="0" w:tplc="0CD4767E">
      <w:start w:val="1"/>
      <w:numFmt w:val="bullet"/>
      <w:lvlText w:val="-"/>
      <w:lvlJc w:val="left"/>
      <w:pPr>
        <w:ind w:left="1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66DAD4">
      <w:start w:val="1"/>
      <w:numFmt w:val="bullet"/>
      <w:lvlText w:val="o"/>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E3564">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F89912">
      <w:start w:val="1"/>
      <w:numFmt w:val="bullet"/>
      <w:lvlText w:val="•"/>
      <w:lvlJc w:val="left"/>
      <w:pPr>
        <w:ind w:left="3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BCC1EC">
      <w:start w:val="1"/>
      <w:numFmt w:val="bullet"/>
      <w:lvlText w:val="o"/>
      <w:lvlJc w:val="left"/>
      <w:pPr>
        <w:ind w:left="3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3C0D4E">
      <w:start w:val="1"/>
      <w:numFmt w:val="bullet"/>
      <w:lvlText w:val="▪"/>
      <w:lvlJc w:val="left"/>
      <w:pPr>
        <w:ind w:left="4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90ADB2">
      <w:start w:val="1"/>
      <w:numFmt w:val="bullet"/>
      <w:lvlText w:val="•"/>
      <w:lvlJc w:val="left"/>
      <w:pPr>
        <w:ind w:left="51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865EAA">
      <w:start w:val="1"/>
      <w:numFmt w:val="bullet"/>
      <w:lvlText w:val="o"/>
      <w:lvlJc w:val="left"/>
      <w:pPr>
        <w:ind w:left="59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E8F33E">
      <w:start w:val="1"/>
      <w:numFmt w:val="bullet"/>
      <w:lvlText w:val="▪"/>
      <w:lvlJc w:val="left"/>
      <w:pPr>
        <w:ind w:left="66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5B063AD5"/>
    <w:multiLevelType w:val="hybridMultilevel"/>
    <w:tmpl w:val="EC9E06E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1" w15:restartNumberingAfterBreak="0">
    <w:nsid w:val="5B091F02"/>
    <w:multiLevelType w:val="hybridMultilevel"/>
    <w:tmpl w:val="696E2874"/>
    <w:lvl w:ilvl="0" w:tplc="040C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B0D4738"/>
    <w:multiLevelType w:val="hybridMultilevel"/>
    <w:tmpl w:val="1F1A7C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5B2156A7"/>
    <w:multiLevelType w:val="hybridMultilevel"/>
    <w:tmpl w:val="306060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4" w15:restartNumberingAfterBreak="0">
    <w:nsid w:val="5B4D73BE"/>
    <w:multiLevelType w:val="hybridMultilevel"/>
    <w:tmpl w:val="2B7215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5" w15:restartNumberingAfterBreak="0">
    <w:nsid w:val="5B56402B"/>
    <w:multiLevelType w:val="hybridMultilevel"/>
    <w:tmpl w:val="C980B980"/>
    <w:lvl w:ilvl="0" w:tplc="D5769D3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3AC0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7668D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AE4E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8842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A8E5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DAD8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B4A6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82332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5B947FE8"/>
    <w:multiLevelType w:val="hybridMultilevel"/>
    <w:tmpl w:val="D182F0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7" w15:restartNumberingAfterBreak="0">
    <w:nsid w:val="5BE530BD"/>
    <w:multiLevelType w:val="hybridMultilevel"/>
    <w:tmpl w:val="22E626AA"/>
    <w:lvl w:ilvl="0" w:tplc="AF02956C">
      <w:numFmt w:val="bullet"/>
      <w:lvlText w:val="-"/>
      <w:lvlJc w:val="left"/>
      <w:pPr>
        <w:ind w:left="720" w:hanging="360"/>
      </w:pPr>
      <w:rPr>
        <w:rFonts w:ascii="Calibri" w:eastAsia="Times New Roman" w:hAnsi="Calibri"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8" w15:restartNumberingAfterBreak="0">
    <w:nsid w:val="5C3F15A3"/>
    <w:multiLevelType w:val="hybridMultilevel"/>
    <w:tmpl w:val="8A80B126"/>
    <w:lvl w:ilvl="0" w:tplc="B0F09B0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9" w15:restartNumberingAfterBreak="0">
    <w:nsid w:val="5C9F1A23"/>
    <w:multiLevelType w:val="singleLevel"/>
    <w:tmpl w:val="C8342DAA"/>
    <w:lvl w:ilvl="0">
      <w:start w:val="1"/>
      <w:numFmt w:val="decimal"/>
      <w:pStyle w:val="SectionVIIHeader2"/>
      <w:lvlText w:val="%1."/>
      <w:lvlJc w:val="left"/>
      <w:pPr>
        <w:tabs>
          <w:tab w:val="num" w:pos="360"/>
        </w:tabs>
        <w:ind w:left="360" w:hanging="360"/>
      </w:pPr>
      <w:rPr>
        <w:rFonts w:ascii="Times New Roman" w:hAnsi="Times New Roman" w:hint="default"/>
        <w:b/>
        <w:i w:val="0"/>
        <w:sz w:val="32"/>
      </w:rPr>
    </w:lvl>
  </w:abstractNum>
  <w:abstractNum w:abstractNumId="300" w15:restartNumberingAfterBreak="0">
    <w:nsid w:val="5D1F4758"/>
    <w:multiLevelType w:val="hybridMultilevel"/>
    <w:tmpl w:val="955C5E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1" w15:restartNumberingAfterBreak="0">
    <w:nsid w:val="5DEE30EE"/>
    <w:multiLevelType w:val="hybridMultilevel"/>
    <w:tmpl w:val="BD76D624"/>
    <w:lvl w:ilvl="0" w:tplc="B3BCA926">
      <w:start w:val="1"/>
      <w:numFmt w:val="decimal"/>
      <w:lvlText w:val="%1."/>
      <w:lvlJc w:val="left"/>
      <w:pPr>
        <w:ind w:left="729" w:hanging="360"/>
      </w:pPr>
      <w:rPr>
        <w:b/>
        <w:sz w:val="40"/>
      </w:rPr>
    </w:lvl>
    <w:lvl w:ilvl="1" w:tplc="04090019">
      <w:start w:val="1"/>
      <w:numFmt w:val="lowerLetter"/>
      <w:lvlText w:val="%2."/>
      <w:lvlJc w:val="left"/>
      <w:pPr>
        <w:ind w:left="1449" w:hanging="360"/>
      </w:pPr>
    </w:lvl>
    <w:lvl w:ilvl="2" w:tplc="0409001B">
      <w:start w:val="1"/>
      <w:numFmt w:val="lowerRoman"/>
      <w:lvlText w:val="%3."/>
      <w:lvlJc w:val="right"/>
      <w:pPr>
        <w:ind w:left="2169" w:hanging="180"/>
      </w:pPr>
    </w:lvl>
    <w:lvl w:ilvl="3" w:tplc="0409000F">
      <w:start w:val="1"/>
      <w:numFmt w:val="decimal"/>
      <w:lvlText w:val="%4."/>
      <w:lvlJc w:val="left"/>
      <w:pPr>
        <w:ind w:left="2889" w:hanging="360"/>
      </w:pPr>
    </w:lvl>
    <w:lvl w:ilvl="4" w:tplc="04090019">
      <w:start w:val="1"/>
      <w:numFmt w:val="lowerLetter"/>
      <w:lvlText w:val="%5."/>
      <w:lvlJc w:val="left"/>
      <w:pPr>
        <w:ind w:left="3609" w:hanging="360"/>
      </w:pPr>
    </w:lvl>
    <w:lvl w:ilvl="5" w:tplc="0409001B">
      <w:start w:val="1"/>
      <w:numFmt w:val="lowerRoman"/>
      <w:lvlText w:val="%6."/>
      <w:lvlJc w:val="right"/>
      <w:pPr>
        <w:ind w:left="4329" w:hanging="180"/>
      </w:pPr>
    </w:lvl>
    <w:lvl w:ilvl="6" w:tplc="0409000F">
      <w:start w:val="1"/>
      <w:numFmt w:val="decimal"/>
      <w:lvlText w:val="%7."/>
      <w:lvlJc w:val="left"/>
      <w:pPr>
        <w:ind w:left="5049" w:hanging="360"/>
      </w:pPr>
    </w:lvl>
    <w:lvl w:ilvl="7" w:tplc="04090019">
      <w:start w:val="1"/>
      <w:numFmt w:val="lowerLetter"/>
      <w:lvlText w:val="%8."/>
      <w:lvlJc w:val="left"/>
      <w:pPr>
        <w:ind w:left="5769" w:hanging="360"/>
      </w:pPr>
    </w:lvl>
    <w:lvl w:ilvl="8" w:tplc="0409001B">
      <w:start w:val="1"/>
      <w:numFmt w:val="lowerRoman"/>
      <w:lvlText w:val="%9."/>
      <w:lvlJc w:val="right"/>
      <w:pPr>
        <w:ind w:left="6489" w:hanging="180"/>
      </w:pPr>
    </w:lvl>
  </w:abstractNum>
  <w:abstractNum w:abstractNumId="302" w15:restartNumberingAfterBreak="0">
    <w:nsid w:val="5E827269"/>
    <w:multiLevelType w:val="multilevel"/>
    <w:tmpl w:val="05ACEF74"/>
    <w:lvl w:ilvl="0">
      <w:start w:val="9"/>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3" w15:restartNumberingAfterBreak="0">
    <w:nsid w:val="5E9259B2"/>
    <w:multiLevelType w:val="hybridMultilevel"/>
    <w:tmpl w:val="40764ECC"/>
    <w:lvl w:ilvl="0" w:tplc="FB64E41A">
      <w:start w:val="1"/>
      <w:numFmt w:val="bullet"/>
      <w:lvlText w:val="-"/>
      <w:lvlJc w:val="left"/>
      <w:pPr>
        <w:ind w:left="644" w:hanging="360"/>
      </w:pPr>
      <w:rPr>
        <w:rFonts w:ascii="Times New Roman" w:eastAsia="Calibri"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4" w15:restartNumberingAfterBreak="0">
    <w:nsid w:val="5EDC73F2"/>
    <w:multiLevelType w:val="hybridMultilevel"/>
    <w:tmpl w:val="DDE05B88"/>
    <w:lvl w:ilvl="0" w:tplc="04FC889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4C64F8">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02E540">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FEEA4C">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2474E">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DAAED2">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50D500">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CEE66">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107048">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5F3A791B"/>
    <w:multiLevelType w:val="hybridMultilevel"/>
    <w:tmpl w:val="E9E6D5B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6" w15:restartNumberingAfterBreak="0">
    <w:nsid w:val="5F686301"/>
    <w:multiLevelType w:val="hybridMultilevel"/>
    <w:tmpl w:val="D46A6990"/>
    <w:lvl w:ilvl="0" w:tplc="3BB4B8CA">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026B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1E843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E2C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CE2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60C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DE98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837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C44B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600F6A4E"/>
    <w:multiLevelType w:val="hybridMultilevel"/>
    <w:tmpl w:val="F4C27B1A"/>
    <w:lvl w:ilvl="0" w:tplc="189EB0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6DE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FE17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9874C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F67E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00CC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76A4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A2BC3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F06FF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607245E9"/>
    <w:multiLevelType w:val="hybridMultilevel"/>
    <w:tmpl w:val="52781DC8"/>
    <w:lvl w:ilvl="0" w:tplc="0D5CD592">
      <w:start w:val="7"/>
      <w:numFmt w:val="bullet"/>
      <w:pStyle w:val="Russite"/>
      <w:lvlText w:val="-"/>
      <w:lvlJc w:val="left"/>
      <w:pPr>
        <w:tabs>
          <w:tab w:val="num" w:pos="1068"/>
        </w:tabs>
        <w:ind w:left="1068" w:hanging="360"/>
      </w:pPr>
      <w:rPr>
        <w:rFonts w:ascii="Times New Roman" w:eastAsia="Times New Roman" w:hAnsi="Times New Roman" w:hint="default"/>
      </w:rPr>
    </w:lvl>
    <w:lvl w:ilvl="1" w:tplc="DEE24564">
      <w:start w:val="1"/>
      <w:numFmt w:val="lowerLetter"/>
      <w:lvlText w:val="%2)"/>
      <w:lvlJc w:val="left"/>
      <w:pPr>
        <w:tabs>
          <w:tab w:val="num" w:pos="1788"/>
        </w:tabs>
        <w:ind w:left="1788" w:hanging="360"/>
      </w:pPr>
      <w:rPr>
        <w:rFonts w:cs="Times New Roman" w:hint="default"/>
      </w:rPr>
    </w:lvl>
    <w:lvl w:ilvl="2" w:tplc="01A677DC">
      <w:start w:val="1"/>
      <w:numFmt w:val="lowerRoman"/>
      <w:lvlText w:val="%3)"/>
      <w:lvlJc w:val="left"/>
      <w:pPr>
        <w:ind w:left="3048" w:hanging="720"/>
      </w:pPr>
      <w:rPr>
        <w:rFonts w:hint="default"/>
      </w:rPr>
    </w:lvl>
    <w:lvl w:ilvl="3" w:tplc="040C000F">
      <w:start w:val="1"/>
      <w:numFmt w:val="decimal"/>
      <w:lvlText w:val="%4."/>
      <w:lvlJc w:val="left"/>
      <w:pPr>
        <w:tabs>
          <w:tab w:val="num" w:pos="3228"/>
        </w:tabs>
        <w:ind w:left="3228" w:hanging="360"/>
      </w:pPr>
      <w:rPr>
        <w:rFonts w:cs="Times New Roman"/>
      </w:rPr>
    </w:lvl>
    <w:lvl w:ilvl="4" w:tplc="040C0019" w:tentative="1">
      <w:start w:val="1"/>
      <w:numFmt w:val="lowerLetter"/>
      <w:lvlText w:val="%5."/>
      <w:lvlJc w:val="left"/>
      <w:pPr>
        <w:tabs>
          <w:tab w:val="num" w:pos="3948"/>
        </w:tabs>
        <w:ind w:left="3948" w:hanging="360"/>
      </w:pPr>
      <w:rPr>
        <w:rFonts w:cs="Times New Roman"/>
      </w:rPr>
    </w:lvl>
    <w:lvl w:ilvl="5" w:tplc="040C001B" w:tentative="1">
      <w:start w:val="1"/>
      <w:numFmt w:val="lowerRoman"/>
      <w:lvlText w:val="%6."/>
      <w:lvlJc w:val="right"/>
      <w:pPr>
        <w:tabs>
          <w:tab w:val="num" w:pos="4668"/>
        </w:tabs>
        <w:ind w:left="4668" w:hanging="180"/>
      </w:pPr>
      <w:rPr>
        <w:rFonts w:cs="Times New Roman"/>
      </w:rPr>
    </w:lvl>
    <w:lvl w:ilvl="6" w:tplc="040C000F" w:tentative="1">
      <w:start w:val="1"/>
      <w:numFmt w:val="decimal"/>
      <w:lvlText w:val="%7."/>
      <w:lvlJc w:val="left"/>
      <w:pPr>
        <w:tabs>
          <w:tab w:val="num" w:pos="5388"/>
        </w:tabs>
        <w:ind w:left="5388" w:hanging="360"/>
      </w:pPr>
      <w:rPr>
        <w:rFonts w:cs="Times New Roman"/>
      </w:rPr>
    </w:lvl>
    <w:lvl w:ilvl="7" w:tplc="040C0019" w:tentative="1">
      <w:start w:val="1"/>
      <w:numFmt w:val="lowerLetter"/>
      <w:lvlText w:val="%8."/>
      <w:lvlJc w:val="left"/>
      <w:pPr>
        <w:tabs>
          <w:tab w:val="num" w:pos="6108"/>
        </w:tabs>
        <w:ind w:left="6108" w:hanging="360"/>
      </w:pPr>
      <w:rPr>
        <w:rFonts w:cs="Times New Roman"/>
      </w:rPr>
    </w:lvl>
    <w:lvl w:ilvl="8" w:tplc="040C001B" w:tentative="1">
      <w:start w:val="1"/>
      <w:numFmt w:val="lowerRoman"/>
      <w:lvlText w:val="%9."/>
      <w:lvlJc w:val="right"/>
      <w:pPr>
        <w:tabs>
          <w:tab w:val="num" w:pos="6828"/>
        </w:tabs>
        <w:ind w:left="6828" w:hanging="180"/>
      </w:pPr>
      <w:rPr>
        <w:rFonts w:cs="Times New Roman"/>
      </w:rPr>
    </w:lvl>
  </w:abstractNum>
  <w:abstractNum w:abstractNumId="309" w15:restartNumberingAfterBreak="0">
    <w:nsid w:val="60BF44E4"/>
    <w:multiLevelType w:val="hybridMultilevel"/>
    <w:tmpl w:val="352C40E4"/>
    <w:lvl w:ilvl="0" w:tplc="C6089E96">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32073C">
      <w:start w:val="1"/>
      <w:numFmt w:val="bullet"/>
      <w:lvlText w:val="o"/>
      <w:lvlJc w:val="left"/>
      <w:pPr>
        <w:ind w:left="1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C60B38E">
      <w:start w:val="1"/>
      <w:numFmt w:val="bullet"/>
      <w:lvlText w:val="▪"/>
      <w:lvlJc w:val="left"/>
      <w:pPr>
        <w:ind w:left="2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2EA68C">
      <w:start w:val="1"/>
      <w:numFmt w:val="bullet"/>
      <w:lvlText w:val="•"/>
      <w:lvlJc w:val="left"/>
      <w:pPr>
        <w:ind w:left="3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93C2F0A">
      <w:start w:val="1"/>
      <w:numFmt w:val="bullet"/>
      <w:lvlText w:val="o"/>
      <w:lvlJc w:val="left"/>
      <w:pPr>
        <w:ind w:left="3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70C2CA">
      <w:start w:val="1"/>
      <w:numFmt w:val="bullet"/>
      <w:lvlText w:val="▪"/>
      <w:lvlJc w:val="left"/>
      <w:pPr>
        <w:ind w:left="4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6C051C">
      <w:start w:val="1"/>
      <w:numFmt w:val="bullet"/>
      <w:lvlText w:val="•"/>
      <w:lvlJc w:val="left"/>
      <w:pPr>
        <w:ind w:left="5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BEE226">
      <w:start w:val="1"/>
      <w:numFmt w:val="bullet"/>
      <w:lvlText w:val="o"/>
      <w:lvlJc w:val="left"/>
      <w:pPr>
        <w:ind w:left="61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A491C4">
      <w:start w:val="1"/>
      <w:numFmt w:val="bullet"/>
      <w:lvlText w:val="▪"/>
      <w:lvlJc w:val="left"/>
      <w:pPr>
        <w:ind w:left="6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0" w15:restartNumberingAfterBreak="0">
    <w:nsid w:val="61141691"/>
    <w:multiLevelType w:val="hybridMultilevel"/>
    <w:tmpl w:val="346225B8"/>
    <w:lvl w:ilvl="0" w:tplc="16CCD418">
      <w:start w:val="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1" w15:restartNumberingAfterBreak="0">
    <w:nsid w:val="619F6645"/>
    <w:multiLevelType w:val="hybridMultilevel"/>
    <w:tmpl w:val="80C8F7B8"/>
    <w:lvl w:ilvl="0" w:tplc="3F46D2D4">
      <w:numFmt w:val="bullet"/>
      <w:lvlText w:val="-"/>
      <w:lvlJc w:val="left"/>
      <w:pPr>
        <w:ind w:left="1571" w:hanging="360"/>
      </w:pPr>
      <w:rPr>
        <w:rFonts w:ascii="Times New Roman" w:eastAsia="Arial Unicode MS" w:hAnsi="Times New Roman" w:hint="default"/>
      </w:rPr>
    </w:lvl>
    <w:lvl w:ilvl="1" w:tplc="3F46D2D4">
      <w:numFmt w:val="bullet"/>
      <w:lvlText w:val="-"/>
      <w:lvlJc w:val="left"/>
      <w:pPr>
        <w:ind w:left="2291" w:hanging="360"/>
      </w:pPr>
      <w:rPr>
        <w:rFonts w:ascii="Times New Roman" w:eastAsia="Arial Unicode MS" w:hAnsi="Times New Roman"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12" w15:restartNumberingAfterBreak="0">
    <w:nsid w:val="61C917D5"/>
    <w:multiLevelType w:val="multilevel"/>
    <w:tmpl w:val="EE5285D8"/>
    <w:lvl w:ilvl="0">
      <w:start w:val="1"/>
      <w:numFmt w:val="decimal"/>
      <w:lvlText w:val="6.%1"/>
      <w:lvlJc w:val="left"/>
      <w:pPr>
        <w:tabs>
          <w:tab w:val="num" w:pos="1440"/>
        </w:tabs>
        <w:ind w:left="1440" w:hanging="360"/>
      </w:pPr>
      <w:rPr>
        <w:rFonts w:ascii="cgtimes" w:hAnsi="cgtimes" w:hint="default"/>
        <w:b w:val="0"/>
        <w:i w:val="0"/>
        <w:sz w:val="24"/>
        <w:u w:val="none"/>
      </w:rPr>
    </w:lvl>
    <w:lvl w:ilvl="1">
      <w:start w:val="1"/>
      <w:numFmt w:val="lowerLetter"/>
      <w:lvlText w:val="%2."/>
      <w:lvlJc w:val="left"/>
      <w:pPr>
        <w:tabs>
          <w:tab w:val="num" w:pos="1440"/>
        </w:tabs>
        <w:ind w:left="1440" w:hanging="360"/>
      </w:pPr>
    </w:lvl>
    <w:lvl w:ilvl="2">
      <w:start w:val="1"/>
      <w:numFmt w:val="lowerRoman"/>
      <w:pStyle w:val="r"/>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3" w15:restartNumberingAfterBreak="0">
    <w:nsid w:val="61D16918"/>
    <w:multiLevelType w:val="hybridMultilevel"/>
    <w:tmpl w:val="C58C48D8"/>
    <w:lvl w:ilvl="0" w:tplc="3F46D2D4">
      <w:numFmt w:val="bullet"/>
      <w:lvlText w:val="-"/>
      <w:lvlJc w:val="left"/>
      <w:pPr>
        <w:ind w:left="360" w:hanging="360"/>
      </w:pPr>
      <w:rPr>
        <w:rFonts w:ascii="Times New Roman" w:eastAsia="Arial Unicode MS" w:hAnsi="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14" w15:restartNumberingAfterBreak="0">
    <w:nsid w:val="632676A1"/>
    <w:multiLevelType w:val="hybridMultilevel"/>
    <w:tmpl w:val="93383824"/>
    <w:lvl w:ilvl="0" w:tplc="25BE35C6">
      <w:start w:val="1"/>
      <w:numFmt w:val="bullet"/>
      <w:lvlText w:val="-"/>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C208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02F1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9AB4F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CE36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ECB3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1A24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74F5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214D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63DB154B"/>
    <w:multiLevelType w:val="multilevel"/>
    <w:tmpl w:val="4B009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63DE0092"/>
    <w:multiLevelType w:val="multilevel"/>
    <w:tmpl w:val="01B015F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7" w15:restartNumberingAfterBreak="0">
    <w:nsid w:val="64B41DCB"/>
    <w:multiLevelType w:val="hybridMultilevel"/>
    <w:tmpl w:val="FBC2F4D6"/>
    <w:lvl w:ilvl="0" w:tplc="B454A0B6">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8" w15:restartNumberingAfterBreak="0">
    <w:nsid w:val="650E1BB0"/>
    <w:multiLevelType w:val="hybridMultilevel"/>
    <w:tmpl w:val="C0A659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9" w15:restartNumberingAfterBreak="0">
    <w:nsid w:val="661C7E5D"/>
    <w:multiLevelType w:val="hybridMultilevel"/>
    <w:tmpl w:val="21785996"/>
    <w:lvl w:ilvl="0" w:tplc="444219F0">
      <w:start w:val="1"/>
      <w:numFmt w:val="bullet"/>
      <w:lvlText w:val="-"/>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6A447E">
      <w:start w:val="1"/>
      <w:numFmt w:val="bullet"/>
      <w:lvlText w:val="o"/>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5CF55E">
      <w:start w:val="1"/>
      <w:numFmt w:val="bullet"/>
      <w:lvlText w:val="▪"/>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F47EE4">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989574">
      <w:start w:val="1"/>
      <w:numFmt w:val="bullet"/>
      <w:lvlText w:val="o"/>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5ADA0A">
      <w:start w:val="1"/>
      <w:numFmt w:val="bullet"/>
      <w:lvlText w:val="▪"/>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1CC8260">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2A568">
      <w:start w:val="1"/>
      <w:numFmt w:val="bullet"/>
      <w:lvlText w:val="o"/>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E07EB8">
      <w:start w:val="1"/>
      <w:numFmt w:val="bullet"/>
      <w:lvlText w:val="▪"/>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66367800"/>
    <w:multiLevelType w:val="multilevel"/>
    <w:tmpl w:val="F90007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1" w15:restartNumberingAfterBreak="0">
    <w:nsid w:val="663840BD"/>
    <w:multiLevelType w:val="hybridMultilevel"/>
    <w:tmpl w:val="9C889CEE"/>
    <w:lvl w:ilvl="0" w:tplc="0409000B">
      <w:start w:val="1"/>
      <w:numFmt w:val="bullet"/>
      <w:lvlText w:val=""/>
      <w:lvlJc w:val="left"/>
      <w:pPr>
        <w:ind w:left="720" w:hanging="360"/>
      </w:pPr>
      <w:rPr>
        <w:rFonts w:ascii="Wingdings" w:hAnsi="Wingdings" w:hint="default"/>
        <w:i w:val="0"/>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15:restartNumberingAfterBreak="0">
    <w:nsid w:val="668F5447"/>
    <w:multiLevelType w:val="hybridMultilevel"/>
    <w:tmpl w:val="FAD0A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15:restartNumberingAfterBreak="0">
    <w:nsid w:val="66EE17EE"/>
    <w:multiLevelType w:val="hybridMultilevel"/>
    <w:tmpl w:val="5840F09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4" w15:restartNumberingAfterBreak="0">
    <w:nsid w:val="66FF1B73"/>
    <w:multiLevelType w:val="multilevel"/>
    <w:tmpl w:val="040C001D"/>
    <w:styleLink w:val="Style15"/>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5" w15:restartNumberingAfterBreak="0">
    <w:nsid w:val="670859F5"/>
    <w:multiLevelType w:val="hybridMultilevel"/>
    <w:tmpl w:val="B6A42A58"/>
    <w:lvl w:ilvl="0" w:tplc="DF64A4B0">
      <w:start w:val="1"/>
      <w:numFmt w:val="decimal"/>
      <w:pStyle w:val="TableauCECAFUNICEF"/>
      <w:lvlText w:val="Tableau %1."/>
      <w:lvlJc w:val="left"/>
      <w:pPr>
        <w:ind w:left="720" w:hanging="360"/>
      </w:pPr>
      <w:rPr>
        <w:rFonts w:ascii="Arial" w:hAnsi="Arial" w:hint="default"/>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6" w15:restartNumberingAfterBreak="0">
    <w:nsid w:val="674750BD"/>
    <w:multiLevelType w:val="hybridMultilevel"/>
    <w:tmpl w:val="657CE0AA"/>
    <w:lvl w:ilvl="0" w:tplc="BD586ED6">
      <w:start w:val="4"/>
      <w:numFmt w:val="bullet"/>
      <w:lvlText w:val="-"/>
      <w:lvlJc w:val="left"/>
      <w:pPr>
        <w:ind w:left="720" w:hanging="360"/>
      </w:pPr>
      <w:rPr>
        <w:rFonts w:ascii="Courier New" w:eastAsia="Times New Roman"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7" w15:restartNumberingAfterBreak="0">
    <w:nsid w:val="67627472"/>
    <w:multiLevelType w:val="hybridMultilevel"/>
    <w:tmpl w:val="9C8AD448"/>
    <w:lvl w:ilvl="0" w:tplc="C2C226B8">
      <w:start w:val="1"/>
      <w:numFmt w:val="lowerLetter"/>
      <w:lvlText w:val="(%1)"/>
      <w:lvlJc w:val="left"/>
      <w:pPr>
        <w:tabs>
          <w:tab w:val="num" w:pos="720"/>
        </w:tabs>
        <w:ind w:left="720" w:hanging="360"/>
      </w:pPr>
      <w:rPr>
        <w:rFonts w:hint="default"/>
        <w:b w:val="0"/>
        <w:i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8" w15:restartNumberingAfterBreak="0">
    <w:nsid w:val="68722444"/>
    <w:multiLevelType w:val="hybridMultilevel"/>
    <w:tmpl w:val="DDBE85D4"/>
    <w:lvl w:ilvl="0" w:tplc="8AD0F34C">
      <w:start w:val="830"/>
      <w:numFmt w:val="bullet"/>
      <w:lvlText w:val="-"/>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68984A91"/>
    <w:multiLevelType w:val="hybridMultilevel"/>
    <w:tmpl w:val="95927196"/>
    <w:lvl w:ilvl="0" w:tplc="48507AF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13218D4">
      <w:numFmt w:val="bullet"/>
      <w:lvlText w:val="•"/>
      <w:lvlJc w:val="left"/>
      <w:pPr>
        <w:ind w:left="2508" w:hanging="708"/>
      </w:pPr>
      <w:rPr>
        <w:rFonts w:ascii="Times New Roman" w:eastAsia="Calibr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0" w15:restartNumberingAfterBreak="0">
    <w:nsid w:val="68C17D4C"/>
    <w:multiLevelType w:val="hybridMultilevel"/>
    <w:tmpl w:val="1BDC4104"/>
    <w:lvl w:ilvl="0" w:tplc="3F46D2D4">
      <w:numFmt w:val="bullet"/>
      <w:lvlText w:val="-"/>
      <w:lvlJc w:val="left"/>
      <w:pPr>
        <w:ind w:left="720" w:hanging="360"/>
      </w:pPr>
      <w:rPr>
        <w:rFonts w:ascii="Times New Roman" w:eastAsia="Arial Unicode MS"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15:restartNumberingAfterBreak="0">
    <w:nsid w:val="68EF72C5"/>
    <w:multiLevelType w:val="hybridMultilevel"/>
    <w:tmpl w:val="5DD88BE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2" w15:restartNumberingAfterBreak="0">
    <w:nsid w:val="68FB2466"/>
    <w:multiLevelType w:val="hybridMultilevel"/>
    <w:tmpl w:val="2624904E"/>
    <w:lvl w:ilvl="0" w:tplc="378C55AA">
      <w:start w:val="1"/>
      <w:numFmt w:val="lowerLetter"/>
      <w:lvlText w:val="%1)"/>
      <w:lvlJc w:val="left"/>
      <w:pPr>
        <w:ind w:left="360" w:hanging="360"/>
      </w:pPr>
      <w:rPr>
        <w:rFonts w:cs="Times New Roman"/>
      </w:rPr>
    </w:lvl>
    <w:lvl w:ilvl="1" w:tplc="E4AE8F8E" w:tentative="1">
      <w:start w:val="1"/>
      <w:numFmt w:val="lowerLetter"/>
      <w:lvlText w:val="%2."/>
      <w:lvlJc w:val="left"/>
      <w:pPr>
        <w:ind w:left="1080" w:hanging="360"/>
      </w:pPr>
      <w:rPr>
        <w:rFonts w:cs="Times New Roman"/>
      </w:rPr>
    </w:lvl>
    <w:lvl w:ilvl="2" w:tplc="C43CD1AC" w:tentative="1">
      <w:start w:val="1"/>
      <w:numFmt w:val="lowerRoman"/>
      <w:lvlText w:val="%3."/>
      <w:lvlJc w:val="right"/>
      <w:pPr>
        <w:ind w:left="1800" w:hanging="180"/>
      </w:pPr>
      <w:rPr>
        <w:rFonts w:cs="Times New Roman"/>
      </w:rPr>
    </w:lvl>
    <w:lvl w:ilvl="3" w:tplc="5804EE24" w:tentative="1">
      <w:start w:val="1"/>
      <w:numFmt w:val="decimal"/>
      <w:lvlText w:val="%4."/>
      <w:lvlJc w:val="left"/>
      <w:pPr>
        <w:ind w:left="2520" w:hanging="360"/>
      </w:pPr>
      <w:rPr>
        <w:rFonts w:cs="Times New Roman"/>
      </w:rPr>
    </w:lvl>
    <w:lvl w:ilvl="4" w:tplc="882A18F4" w:tentative="1">
      <w:start w:val="1"/>
      <w:numFmt w:val="lowerLetter"/>
      <w:lvlText w:val="%5."/>
      <w:lvlJc w:val="left"/>
      <w:pPr>
        <w:ind w:left="3240" w:hanging="360"/>
      </w:pPr>
      <w:rPr>
        <w:rFonts w:cs="Times New Roman"/>
      </w:rPr>
    </w:lvl>
    <w:lvl w:ilvl="5" w:tplc="89027744" w:tentative="1">
      <w:start w:val="1"/>
      <w:numFmt w:val="lowerRoman"/>
      <w:lvlText w:val="%6."/>
      <w:lvlJc w:val="right"/>
      <w:pPr>
        <w:ind w:left="3960" w:hanging="180"/>
      </w:pPr>
      <w:rPr>
        <w:rFonts w:cs="Times New Roman"/>
      </w:rPr>
    </w:lvl>
    <w:lvl w:ilvl="6" w:tplc="FED8294E" w:tentative="1">
      <w:start w:val="1"/>
      <w:numFmt w:val="decimal"/>
      <w:lvlText w:val="%7."/>
      <w:lvlJc w:val="left"/>
      <w:pPr>
        <w:ind w:left="4680" w:hanging="360"/>
      </w:pPr>
      <w:rPr>
        <w:rFonts w:cs="Times New Roman"/>
      </w:rPr>
    </w:lvl>
    <w:lvl w:ilvl="7" w:tplc="E566F8E6" w:tentative="1">
      <w:start w:val="1"/>
      <w:numFmt w:val="lowerLetter"/>
      <w:lvlText w:val="%8."/>
      <w:lvlJc w:val="left"/>
      <w:pPr>
        <w:ind w:left="5400" w:hanging="360"/>
      </w:pPr>
      <w:rPr>
        <w:rFonts w:cs="Times New Roman"/>
      </w:rPr>
    </w:lvl>
    <w:lvl w:ilvl="8" w:tplc="38440538" w:tentative="1">
      <w:start w:val="1"/>
      <w:numFmt w:val="lowerRoman"/>
      <w:lvlText w:val="%9."/>
      <w:lvlJc w:val="right"/>
      <w:pPr>
        <w:ind w:left="6120" w:hanging="180"/>
      </w:pPr>
      <w:rPr>
        <w:rFonts w:cs="Times New Roman"/>
      </w:rPr>
    </w:lvl>
  </w:abstractNum>
  <w:abstractNum w:abstractNumId="333" w15:restartNumberingAfterBreak="0">
    <w:nsid w:val="696762BB"/>
    <w:multiLevelType w:val="multilevel"/>
    <w:tmpl w:val="E7EA83A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34" w15:restartNumberingAfterBreak="0">
    <w:nsid w:val="699673C3"/>
    <w:multiLevelType w:val="multilevel"/>
    <w:tmpl w:val="040C001F"/>
    <w:lvl w:ilvl="0">
      <w:start w:val="1"/>
      <w:numFmt w:val="decimal"/>
      <w:lvlText w:val="%1."/>
      <w:lvlJc w:val="left"/>
      <w:pPr>
        <w:ind w:left="55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5" w15:restartNumberingAfterBreak="0">
    <w:nsid w:val="6A2A2699"/>
    <w:multiLevelType w:val="multilevel"/>
    <w:tmpl w:val="EE641F74"/>
    <w:lvl w:ilvl="0">
      <w:start w:val="9"/>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6" w15:restartNumberingAfterBreak="0">
    <w:nsid w:val="6A645CA8"/>
    <w:multiLevelType w:val="multilevel"/>
    <w:tmpl w:val="040C001F"/>
    <w:styleLink w:val="Style91"/>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7" w15:restartNumberingAfterBreak="0">
    <w:nsid w:val="6A6E5058"/>
    <w:multiLevelType w:val="multilevel"/>
    <w:tmpl w:val="58263D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353"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6B1135A5"/>
    <w:multiLevelType w:val="multilevel"/>
    <w:tmpl w:val="8B3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6CAE0E24"/>
    <w:multiLevelType w:val="hybridMultilevel"/>
    <w:tmpl w:val="67860D1A"/>
    <w:lvl w:ilvl="0" w:tplc="FFFFFFFF">
      <w:start w:val="1"/>
      <w:numFmt w:val="bullet"/>
      <w:lvlText w:val="-"/>
      <w:lvlJc w:val="left"/>
      <w:pPr>
        <w:ind w:left="777" w:hanging="360"/>
      </w:pPr>
      <w:rPr>
        <w:rFonts w:ascii="Times New Roman" w:hAnsi="Times New Roman" w:cs="Times New Roman" w:hint="default"/>
      </w:rPr>
    </w:lvl>
    <w:lvl w:ilvl="1" w:tplc="040C0003">
      <w:start w:val="1"/>
      <w:numFmt w:val="bullet"/>
      <w:lvlText w:val="o"/>
      <w:lvlJc w:val="left"/>
      <w:pPr>
        <w:ind w:left="1497" w:hanging="360"/>
      </w:pPr>
      <w:rPr>
        <w:rFonts w:ascii="Courier New" w:hAnsi="Courier New" w:cs="Courier New" w:hint="default"/>
      </w:rPr>
    </w:lvl>
    <w:lvl w:ilvl="2" w:tplc="040C0005">
      <w:start w:val="1"/>
      <w:numFmt w:val="bullet"/>
      <w:lvlText w:val=""/>
      <w:lvlJc w:val="left"/>
      <w:pPr>
        <w:ind w:left="2217" w:hanging="360"/>
      </w:pPr>
      <w:rPr>
        <w:rFonts w:ascii="Wingdings" w:hAnsi="Wingdings" w:hint="default"/>
      </w:rPr>
    </w:lvl>
    <w:lvl w:ilvl="3" w:tplc="040C0001">
      <w:start w:val="1"/>
      <w:numFmt w:val="bullet"/>
      <w:lvlText w:val=""/>
      <w:lvlJc w:val="left"/>
      <w:pPr>
        <w:ind w:left="2937" w:hanging="360"/>
      </w:pPr>
      <w:rPr>
        <w:rFonts w:ascii="Symbol" w:hAnsi="Symbol" w:hint="default"/>
      </w:rPr>
    </w:lvl>
    <w:lvl w:ilvl="4" w:tplc="040C0003">
      <w:start w:val="1"/>
      <w:numFmt w:val="bullet"/>
      <w:lvlText w:val="o"/>
      <w:lvlJc w:val="left"/>
      <w:pPr>
        <w:ind w:left="3657" w:hanging="360"/>
      </w:pPr>
      <w:rPr>
        <w:rFonts w:ascii="Courier New" w:hAnsi="Courier New" w:cs="Courier New" w:hint="default"/>
      </w:rPr>
    </w:lvl>
    <w:lvl w:ilvl="5" w:tplc="040C0005">
      <w:start w:val="1"/>
      <w:numFmt w:val="bullet"/>
      <w:lvlText w:val=""/>
      <w:lvlJc w:val="left"/>
      <w:pPr>
        <w:ind w:left="4377" w:hanging="360"/>
      </w:pPr>
      <w:rPr>
        <w:rFonts w:ascii="Wingdings" w:hAnsi="Wingdings" w:hint="default"/>
      </w:rPr>
    </w:lvl>
    <w:lvl w:ilvl="6" w:tplc="040C0001">
      <w:start w:val="1"/>
      <w:numFmt w:val="bullet"/>
      <w:lvlText w:val=""/>
      <w:lvlJc w:val="left"/>
      <w:pPr>
        <w:ind w:left="5097" w:hanging="360"/>
      </w:pPr>
      <w:rPr>
        <w:rFonts w:ascii="Symbol" w:hAnsi="Symbol" w:hint="default"/>
      </w:rPr>
    </w:lvl>
    <w:lvl w:ilvl="7" w:tplc="040C0003">
      <w:start w:val="1"/>
      <w:numFmt w:val="bullet"/>
      <w:lvlText w:val="o"/>
      <w:lvlJc w:val="left"/>
      <w:pPr>
        <w:ind w:left="5817" w:hanging="360"/>
      </w:pPr>
      <w:rPr>
        <w:rFonts w:ascii="Courier New" w:hAnsi="Courier New" w:cs="Courier New" w:hint="default"/>
      </w:rPr>
    </w:lvl>
    <w:lvl w:ilvl="8" w:tplc="040C0005">
      <w:start w:val="1"/>
      <w:numFmt w:val="bullet"/>
      <w:lvlText w:val=""/>
      <w:lvlJc w:val="left"/>
      <w:pPr>
        <w:ind w:left="6537" w:hanging="360"/>
      </w:pPr>
      <w:rPr>
        <w:rFonts w:ascii="Wingdings" w:hAnsi="Wingdings" w:hint="default"/>
      </w:rPr>
    </w:lvl>
  </w:abstractNum>
  <w:abstractNum w:abstractNumId="340" w15:restartNumberingAfterBreak="0">
    <w:nsid w:val="6CEA23BD"/>
    <w:multiLevelType w:val="hybridMultilevel"/>
    <w:tmpl w:val="6D2212BE"/>
    <w:lvl w:ilvl="0" w:tplc="4CFCBEE4">
      <w:start w:val="1"/>
      <w:numFmt w:val="bullet"/>
      <w:pStyle w:val="BodyText21"/>
      <w:lvlText w:val="■"/>
      <w:lvlJc w:val="left"/>
      <w:pPr>
        <w:tabs>
          <w:tab w:val="num" w:pos="360"/>
        </w:tabs>
        <w:ind w:left="284" w:hanging="284"/>
      </w:pPr>
      <w:rPr>
        <w:rFonts w:ascii="Arial" w:hAnsi="Arial" w:hint="default"/>
        <w:b w:val="0"/>
        <w:i w:val="0"/>
        <w:color w:val="FF0000"/>
        <w:sz w:val="20"/>
      </w:rPr>
    </w:lvl>
    <w:lvl w:ilvl="1" w:tplc="B4281318">
      <w:start w:val="1"/>
      <w:numFmt w:val="bullet"/>
      <w:lvlText w:val="o"/>
      <w:lvlJc w:val="left"/>
      <w:pPr>
        <w:tabs>
          <w:tab w:val="num" w:pos="1440"/>
        </w:tabs>
        <w:ind w:left="1440" w:hanging="360"/>
      </w:pPr>
      <w:rPr>
        <w:rFonts w:ascii="Courier New" w:hAnsi="Courier New" w:hint="default"/>
      </w:rPr>
    </w:lvl>
    <w:lvl w:ilvl="2" w:tplc="CA7A3A4C">
      <w:start w:val="1"/>
      <w:numFmt w:val="bullet"/>
      <w:lvlText w:val=""/>
      <w:lvlJc w:val="left"/>
      <w:pPr>
        <w:tabs>
          <w:tab w:val="num" w:pos="2160"/>
        </w:tabs>
        <w:ind w:left="2160" w:hanging="360"/>
      </w:pPr>
      <w:rPr>
        <w:rFonts w:ascii="Wingdings" w:hAnsi="Wingdings" w:hint="default"/>
      </w:rPr>
    </w:lvl>
    <w:lvl w:ilvl="3" w:tplc="E03613E0">
      <w:start w:val="1"/>
      <w:numFmt w:val="bullet"/>
      <w:lvlText w:val=""/>
      <w:lvlJc w:val="left"/>
      <w:pPr>
        <w:tabs>
          <w:tab w:val="num" w:pos="2880"/>
        </w:tabs>
        <w:ind w:left="2880" w:hanging="360"/>
      </w:pPr>
      <w:rPr>
        <w:rFonts w:ascii="Symbol" w:hAnsi="Symbol" w:hint="default"/>
      </w:rPr>
    </w:lvl>
    <w:lvl w:ilvl="4" w:tplc="FB4890BA">
      <w:start w:val="1"/>
      <w:numFmt w:val="bullet"/>
      <w:lvlText w:val="o"/>
      <w:lvlJc w:val="left"/>
      <w:pPr>
        <w:tabs>
          <w:tab w:val="num" w:pos="3600"/>
        </w:tabs>
        <w:ind w:left="3600" w:hanging="360"/>
      </w:pPr>
      <w:rPr>
        <w:rFonts w:ascii="Courier New" w:hAnsi="Courier New" w:hint="default"/>
      </w:rPr>
    </w:lvl>
    <w:lvl w:ilvl="5" w:tplc="BEAC8670">
      <w:start w:val="1"/>
      <w:numFmt w:val="bullet"/>
      <w:lvlText w:val=""/>
      <w:lvlJc w:val="left"/>
      <w:pPr>
        <w:tabs>
          <w:tab w:val="num" w:pos="4320"/>
        </w:tabs>
        <w:ind w:left="4320" w:hanging="360"/>
      </w:pPr>
      <w:rPr>
        <w:rFonts w:ascii="Wingdings" w:hAnsi="Wingdings" w:hint="default"/>
      </w:rPr>
    </w:lvl>
    <w:lvl w:ilvl="6" w:tplc="DB70DF86">
      <w:start w:val="1"/>
      <w:numFmt w:val="bullet"/>
      <w:lvlText w:val=""/>
      <w:lvlJc w:val="left"/>
      <w:pPr>
        <w:tabs>
          <w:tab w:val="num" w:pos="5040"/>
        </w:tabs>
        <w:ind w:left="5040" w:hanging="360"/>
      </w:pPr>
      <w:rPr>
        <w:rFonts w:ascii="Symbol" w:hAnsi="Symbol" w:hint="default"/>
      </w:rPr>
    </w:lvl>
    <w:lvl w:ilvl="7" w:tplc="A2A2B43C">
      <w:start w:val="1"/>
      <w:numFmt w:val="bullet"/>
      <w:lvlText w:val="o"/>
      <w:lvlJc w:val="left"/>
      <w:pPr>
        <w:tabs>
          <w:tab w:val="num" w:pos="5760"/>
        </w:tabs>
        <w:ind w:left="5760" w:hanging="360"/>
      </w:pPr>
      <w:rPr>
        <w:rFonts w:ascii="Courier New" w:hAnsi="Courier New" w:hint="default"/>
      </w:rPr>
    </w:lvl>
    <w:lvl w:ilvl="8" w:tplc="09681E56">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6CFF3E30"/>
    <w:multiLevelType w:val="hybridMultilevel"/>
    <w:tmpl w:val="73C602E6"/>
    <w:lvl w:ilvl="0" w:tplc="28E2AEF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2" w15:restartNumberingAfterBreak="0">
    <w:nsid w:val="6D1D3EE2"/>
    <w:multiLevelType w:val="multilevel"/>
    <w:tmpl w:val="3A4016DE"/>
    <w:lvl w:ilvl="0">
      <w:start w:val="1"/>
      <w:numFmt w:val="bullet"/>
      <w:lvlText w:val=""/>
      <w:lvlJc w:val="left"/>
      <w:pPr>
        <w:ind w:left="836" w:hanging="360"/>
      </w:pPr>
      <w:rPr>
        <w:rFonts w:ascii="Symbol" w:hAnsi="Symbol" w:cs="Symbol" w:hint="default"/>
      </w:rPr>
    </w:lvl>
    <w:lvl w:ilvl="1">
      <w:start w:val="1"/>
      <w:numFmt w:val="bullet"/>
      <w:lvlText w:val="o"/>
      <w:lvlJc w:val="left"/>
      <w:pPr>
        <w:ind w:left="1556" w:hanging="360"/>
      </w:pPr>
      <w:rPr>
        <w:rFonts w:ascii="Courier New" w:hAnsi="Courier New" w:cs="Courier New" w:hint="default"/>
      </w:rPr>
    </w:lvl>
    <w:lvl w:ilvl="2">
      <w:start w:val="1"/>
      <w:numFmt w:val="bullet"/>
      <w:lvlText w:val=""/>
      <w:lvlJc w:val="left"/>
      <w:pPr>
        <w:ind w:left="2276" w:hanging="360"/>
      </w:pPr>
      <w:rPr>
        <w:rFonts w:ascii="Wingdings" w:hAnsi="Wingdings" w:cs="Wingdings" w:hint="default"/>
      </w:rPr>
    </w:lvl>
    <w:lvl w:ilvl="3">
      <w:start w:val="1"/>
      <w:numFmt w:val="bullet"/>
      <w:lvlText w:val=""/>
      <w:lvlJc w:val="left"/>
      <w:pPr>
        <w:ind w:left="2996" w:hanging="360"/>
      </w:pPr>
      <w:rPr>
        <w:rFonts w:ascii="Symbol" w:hAnsi="Symbol" w:cs="Symbol" w:hint="default"/>
      </w:rPr>
    </w:lvl>
    <w:lvl w:ilvl="4">
      <w:start w:val="1"/>
      <w:numFmt w:val="bullet"/>
      <w:lvlText w:val="o"/>
      <w:lvlJc w:val="left"/>
      <w:pPr>
        <w:ind w:left="3716" w:hanging="360"/>
      </w:pPr>
      <w:rPr>
        <w:rFonts w:ascii="Courier New" w:hAnsi="Courier New" w:cs="Courier New" w:hint="default"/>
      </w:rPr>
    </w:lvl>
    <w:lvl w:ilvl="5">
      <w:start w:val="1"/>
      <w:numFmt w:val="bullet"/>
      <w:lvlText w:val=""/>
      <w:lvlJc w:val="left"/>
      <w:pPr>
        <w:ind w:left="4436" w:hanging="360"/>
      </w:pPr>
      <w:rPr>
        <w:rFonts w:ascii="Wingdings" w:hAnsi="Wingdings" w:cs="Wingdings" w:hint="default"/>
      </w:rPr>
    </w:lvl>
    <w:lvl w:ilvl="6">
      <w:start w:val="1"/>
      <w:numFmt w:val="bullet"/>
      <w:lvlText w:val=""/>
      <w:lvlJc w:val="left"/>
      <w:pPr>
        <w:ind w:left="5156" w:hanging="360"/>
      </w:pPr>
      <w:rPr>
        <w:rFonts w:ascii="Symbol" w:hAnsi="Symbol" w:cs="Symbol" w:hint="default"/>
      </w:rPr>
    </w:lvl>
    <w:lvl w:ilvl="7">
      <w:start w:val="1"/>
      <w:numFmt w:val="bullet"/>
      <w:lvlText w:val="o"/>
      <w:lvlJc w:val="left"/>
      <w:pPr>
        <w:ind w:left="5876" w:hanging="360"/>
      </w:pPr>
      <w:rPr>
        <w:rFonts w:ascii="Courier New" w:hAnsi="Courier New" w:cs="Courier New" w:hint="default"/>
      </w:rPr>
    </w:lvl>
    <w:lvl w:ilvl="8">
      <w:start w:val="1"/>
      <w:numFmt w:val="bullet"/>
      <w:lvlText w:val=""/>
      <w:lvlJc w:val="left"/>
      <w:pPr>
        <w:ind w:left="6596" w:hanging="360"/>
      </w:pPr>
      <w:rPr>
        <w:rFonts w:ascii="Wingdings" w:hAnsi="Wingdings" w:cs="Wingdings" w:hint="default"/>
      </w:rPr>
    </w:lvl>
  </w:abstractNum>
  <w:abstractNum w:abstractNumId="343" w15:restartNumberingAfterBreak="0">
    <w:nsid w:val="6D691FD2"/>
    <w:multiLevelType w:val="multilevel"/>
    <w:tmpl w:val="C772E72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4" w15:restartNumberingAfterBreak="0">
    <w:nsid w:val="6D785541"/>
    <w:multiLevelType w:val="hybridMultilevel"/>
    <w:tmpl w:val="B02AE362"/>
    <w:lvl w:ilvl="0" w:tplc="AF02956C">
      <w:numFmt w:val="bullet"/>
      <w:lvlText w:val="-"/>
      <w:lvlJc w:val="left"/>
      <w:pPr>
        <w:ind w:left="1429" w:hanging="360"/>
      </w:pPr>
      <w:rPr>
        <w:rFonts w:ascii="Calibri" w:eastAsia="Times New Roman" w:hAnsi="Calibri" w:cs="Times New Roman" w:hint="default"/>
        <w:color w:val="auto"/>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345" w15:restartNumberingAfterBreak="0">
    <w:nsid w:val="6DD24ED5"/>
    <w:multiLevelType w:val="hybridMultilevel"/>
    <w:tmpl w:val="D256A7E0"/>
    <w:lvl w:ilvl="0" w:tplc="F3ACAC32">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Arial"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Arial" w:hint="default"/>
      </w:rPr>
    </w:lvl>
    <w:lvl w:ilvl="8" w:tplc="040C0005">
      <w:start w:val="1"/>
      <w:numFmt w:val="bullet"/>
      <w:lvlText w:val=""/>
      <w:lvlJc w:val="left"/>
      <w:pPr>
        <w:ind w:left="6480" w:hanging="360"/>
      </w:pPr>
      <w:rPr>
        <w:rFonts w:ascii="Wingdings" w:hAnsi="Wingdings" w:hint="default"/>
      </w:rPr>
    </w:lvl>
  </w:abstractNum>
  <w:abstractNum w:abstractNumId="346" w15:restartNumberingAfterBreak="0">
    <w:nsid w:val="6DEA0989"/>
    <w:multiLevelType w:val="multilevel"/>
    <w:tmpl w:val="D9089A5E"/>
    <w:lvl w:ilvl="0">
      <w:start w:val="1"/>
      <w:numFmt w:val="decimal"/>
      <w:lvlText w:val="%1."/>
      <w:lvlJc w:val="left"/>
      <w:pPr>
        <w:ind w:left="408" w:hanging="408"/>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215"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7" w15:restartNumberingAfterBreak="0">
    <w:nsid w:val="6E4944A8"/>
    <w:multiLevelType w:val="hybridMultilevel"/>
    <w:tmpl w:val="26FE6032"/>
    <w:lvl w:ilvl="0" w:tplc="0816000F">
      <w:start w:val="1"/>
      <w:numFmt w:val="decimal"/>
      <w:lvlText w:val="%1."/>
      <w:lvlJc w:val="left"/>
      <w:pPr>
        <w:ind w:left="360" w:hanging="36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48" w15:restartNumberingAfterBreak="0">
    <w:nsid w:val="6E6A2C76"/>
    <w:multiLevelType w:val="hybridMultilevel"/>
    <w:tmpl w:val="A8F68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9" w15:restartNumberingAfterBreak="0">
    <w:nsid w:val="6F211003"/>
    <w:multiLevelType w:val="hybridMultilevel"/>
    <w:tmpl w:val="03DEA9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0" w15:restartNumberingAfterBreak="0">
    <w:nsid w:val="6F223447"/>
    <w:multiLevelType w:val="hybridMultilevel"/>
    <w:tmpl w:val="A44C68D2"/>
    <w:lvl w:ilvl="0" w:tplc="8A66F126">
      <w:start w:val="1"/>
      <w:numFmt w:val="lowerRoman"/>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1" w15:restartNumberingAfterBreak="0">
    <w:nsid w:val="6F8E5EA1"/>
    <w:multiLevelType w:val="hybridMultilevel"/>
    <w:tmpl w:val="208E3D90"/>
    <w:lvl w:ilvl="0" w:tplc="0F2C6B78">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6CF9C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80B0B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3AFA2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C859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E65A7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9EFDF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87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BEA2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6F9E47DF"/>
    <w:multiLevelType w:val="hybridMultilevel"/>
    <w:tmpl w:val="16982952"/>
    <w:lvl w:ilvl="0" w:tplc="293A05E4">
      <w:start w:val="2"/>
      <w:numFmt w:val="bullet"/>
      <w:lvlText w:val="-"/>
      <w:lvlJc w:val="left"/>
      <w:pPr>
        <w:ind w:left="720" w:hanging="360"/>
      </w:pPr>
      <w:rPr>
        <w:rFonts w:ascii="Aparajita" w:eastAsia="Calibri" w:hAnsi="Aparajita" w:cs="Aparajita"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3" w15:restartNumberingAfterBreak="0">
    <w:nsid w:val="6FB655F1"/>
    <w:multiLevelType w:val="hybridMultilevel"/>
    <w:tmpl w:val="B33EFC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4" w15:restartNumberingAfterBreak="0">
    <w:nsid w:val="70774B08"/>
    <w:multiLevelType w:val="hybridMultilevel"/>
    <w:tmpl w:val="48FC826C"/>
    <w:lvl w:ilvl="0" w:tplc="DDC8E5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0484A4">
      <w:start w:val="1"/>
      <w:numFmt w:val="bullet"/>
      <w:lvlText w:val="o"/>
      <w:lvlJc w:val="left"/>
      <w:pPr>
        <w:ind w:left="1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5E4402">
      <w:start w:val="1"/>
      <w:numFmt w:val="bullet"/>
      <w:lvlText w:val="▪"/>
      <w:lvlJc w:val="left"/>
      <w:pPr>
        <w:ind w:left="2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484956">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CCFAE">
      <w:start w:val="1"/>
      <w:numFmt w:val="bullet"/>
      <w:lvlText w:val="o"/>
      <w:lvlJc w:val="left"/>
      <w:pPr>
        <w:ind w:left="3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C4878A">
      <w:start w:val="1"/>
      <w:numFmt w:val="bullet"/>
      <w:lvlText w:val="▪"/>
      <w:lvlJc w:val="left"/>
      <w:pPr>
        <w:ind w:left="4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D424AC">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3486CC">
      <w:start w:val="1"/>
      <w:numFmt w:val="bullet"/>
      <w:lvlText w:val="o"/>
      <w:lvlJc w:val="left"/>
      <w:pPr>
        <w:ind w:left="5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946D98">
      <w:start w:val="1"/>
      <w:numFmt w:val="bullet"/>
      <w:lvlText w:val="▪"/>
      <w:lvlJc w:val="left"/>
      <w:pPr>
        <w:ind w:left="64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70E004EE"/>
    <w:multiLevelType w:val="hybridMultilevel"/>
    <w:tmpl w:val="BD227BD8"/>
    <w:lvl w:ilvl="0" w:tplc="AA9A4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A0A96E">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A08C2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781D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BAD87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AE8B5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D897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F02DE6">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872F92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70EA0829"/>
    <w:multiLevelType w:val="hybridMultilevel"/>
    <w:tmpl w:val="9BBC1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7" w15:restartNumberingAfterBreak="0">
    <w:nsid w:val="71226F86"/>
    <w:multiLevelType w:val="hybridMultilevel"/>
    <w:tmpl w:val="7C5655D6"/>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8" w15:restartNumberingAfterBreak="0">
    <w:nsid w:val="712A1618"/>
    <w:multiLevelType w:val="hybridMultilevel"/>
    <w:tmpl w:val="A4DAA796"/>
    <w:lvl w:ilvl="0" w:tplc="3D4AA728">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9" w15:restartNumberingAfterBreak="0">
    <w:nsid w:val="713E35C6"/>
    <w:multiLevelType w:val="hybridMultilevel"/>
    <w:tmpl w:val="5810C920"/>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60" w15:restartNumberingAfterBreak="0">
    <w:nsid w:val="714C4BD5"/>
    <w:multiLevelType w:val="multilevel"/>
    <w:tmpl w:val="F518520C"/>
    <w:lvl w:ilvl="0">
      <w:start w:val="1"/>
      <w:numFmt w:val="bullet"/>
      <w:lvlText w:val="•"/>
      <w:lvlJc w:val="left"/>
      <w:pPr>
        <w:ind w:left="720" w:hanging="360"/>
      </w:pPr>
      <w:rPr>
        <w:rFonts w:ascii="Arial" w:hAnsi="Arial" w:cs="Arial" w:hint="default"/>
        <w:b w:val="0"/>
        <w:i w:val="0"/>
        <w:strike w:val="0"/>
        <w:dstrike w:val="0"/>
        <w:color w:val="000000"/>
        <w:position w:val="0"/>
        <w:sz w:val="20"/>
        <w:szCs w:val="20"/>
        <w:u w:val="none" w:color="00000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1" w15:restartNumberingAfterBreak="0">
    <w:nsid w:val="71CF5889"/>
    <w:multiLevelType w:val="hybridMultilevel"/>
    <w:tmpl w:val="9CBC7AE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1E358EF"/>
    <w:multiLevelType w:val="hybridMultilevel"/>
    <w:tmpl w:val="2C5AFFE6"/>
    <w:lvl w:ilvl="0" w:tplc="040C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cs="Wingdings" w:hint="default"/>
      </w:rPr>
    </w:lvl>
    <w:lvl w:ilvl="3" w:tplc="040A0001" w:tentative="1">
      <w:start w:val="1"/>
      <w:numFmt w:val="bullet"/>
      <w:lvlText w:val=""/>
      <w:lvlJc w:val="left"/>
      <w:pPr>
        <w:ind w:left="2880" w:hanging="360"/>
      </w:pPr>
      <w:rPr>
        <w:rFonts w:ascii="Symbol" w:hAnsi="Symbol" w:cs="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cs="Wingdings" w:hint="default"/>
      </w:rPr>
    </w:lvl>
    <w:lvl w:ilvl="6" w:tplc="040A0001" w:tentative="1">
      <w:start w:val="1"/>
      <w:numFmt w:val="bullet"/>
      <w:lvlText w:val=""/>
      <w:lvlJc w:val="left"/>
      <w:pPr>
        <w:ind w:left="5040" w:hanging="360"/>
      </w:pPr>
      <w:rPr>
        <w:rFonts w:ascii="Symbol" w:hAnsi="Symbol" w:cs="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cs="Wingdings" w:hint="default"/>
      </w:rPr>
    </w:lvl>
  </w:abstractNum>
  <w:abstractNum w:abstractNumId="363" w15:restartNumberingAfterBreak="0">
    <w:nsid w:val="725032DB"/>
    <w:multiLevelType w:val="multilevel"/>
    <w:tmpl w:val="6832C4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4" w15:restartNumberingAfterBreak="0">
    <w:nsid w:val="725A31D6"/>
    <w:multiLevelType w:val="hybridMultilevel"/>
    <w:tmpl w:val="3D0EB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5" w15:restartNumberingAfterBreak="0">
    <w:nsid w:val="72BD08B5"/>
    <w:multiLevelType w:val="hybridMultilevel"/>
    <w:tmpl w:val="7A129C5A"/>
    <w:lvl w:ilvl="0" w:tplc="A07AFD4E">
      <w:start w:val="1"/>
      <w:numFmt w:val="bullet"/>
      <w:lvlText w:val="-"/>
      <w:lvlJc w:val="left"/>
      <w:pPr>
        <w:ind w:left="77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1263A4">
      <w:start w:val="1"/>
      <w:numFmt w:val="bullet"/>
      <w:lvlText w:val="o"/>
      <w:lvlJc w:val="left"/>
      <w:pPr>
        <w:ind w:left="1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514DDA2">
      <w:start w:val="1"/>
      <w:numFmt w:val="bullet"/>
      <w:lvlText w:val="▪"/>
      <w:lvlJc w:val="left"/>
      <w:pPr>
        <w:ind w:left="2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44C8E88">
      <w:start w:val="1"/>
      <w:numFmt w:val="bullet"/>
      <w:lvlText w:val="•"/>
      <w:lvlJc w:val="left"/>
      <w:pPr>
        <w:ind w:left="2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C2022DE">
      <w:start w:val="1"/>
      <w:numFmt w:val="bullet"/>
      <w:lvlText w:val="o"/>
      <w:lvlJc w:val="left"/>
      <w:pPr>
        <w:ind w:left="3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801462">
      <w:start w:val="1"/>
      <w:numFmt w:val="bullet"/>
      <w:lvlText w:val="▪"/>
      <w:lvlJc w:val="left"/>
      <w:pPr>
        <w:ind w:left="43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06CDDF0">
      <w:start w:val="1"/>
      <w:numFmt w:val="bullet"/>
      <w:lvlText w:val="•"/>
      <w:lvlJc w:val="left"/>
      <w:pPr>
        <w:ind w:left="50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E2291D2">
      <w:start w:val="1"/>
      <w:numFmt w:val="bullet"/>
      <w:lvlText w:val="o"/>
      <w:lvlJc w:val="left"/>
      <w:pPr>
        <w:ind w:left="57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A4BEE0">
      <w:start w:val="1"/>
      <w:numFmt w:val="bullet"/>
      <w:lvlText w:val="▪"/>
      <w:lvlJc w:val="left"/>
      <w:pPr>
        <w:ind w:left="6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73490FE7"/>
    <w:multiLevelType w:val="multilevel"/>
    <w:tmpl w:val="65FAC324"/>
    <w:lvl w:ilvl="0">
      <w:start w:val="2"/>
      <w:numFmt w:val="bullet"/>
      <w:lvlText w:val="-"/>
      <w:lvlJc w:val="left"/>
      <w:pPr>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7" w15:restartNumberingAfterBreak="0">
    <w:nsid w:val="735A2315"/>
    <w:multiLevelType w:val="hybridMultilevel"/>
    <w:tmpl w:val="185E214A"/>
    <w:lvl w:ilvl="0" w:tplc="93A46E8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AC3D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629A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703B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CBB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4241C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30E86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DA7A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4CAD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73665F80"/>
    <w:multiLevelType w:val="hybridMultilevel"/>
    <w:tmpl w:val="6B4CA5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9" w15:restartNumberingAfterBreak="0">
    <w:nsid w:val="736B16B6"/>
    <w:multiLevelType w:val="hybridMultilevel"/>
    <w:tmpl w:val="F9DAD252"/>
    <w:lvl w:ilvl="0" w:tplc="B64AC416">
      <w:start w:val="6"/>
      <w:numFmt w:val="bullet"/>
      <w:lvlText w:val="-"/>
      <w:lvlJc w:val="left"/>
      <w:pPr>
        <w:ind w:left="1068" w:hanging="360"/>
      </w:pPr>
      <w:rPr>
        <w:rFonts w:ascii="Arial" w:eastAsia="Times New Roman" w:hAnsi="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0" w15:restartNumberingAfterBreak="0">
    <w:nsid w:val="73C11663"/>
    <w:multiLevelType w:val="multilevel"/>
    <w:tmpl w:val="EBF4B88C"/>
    <w:lvl w:ilvl="0">
      <w:start w:val="1"/>
      <w:numFmt w:val="decimal"/>
      <w:pStyle w:val="Listepuces21"/>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371" w15:restartNumberingAfterBreak="0">
    <w:nsid w:val="74B87873"/>
    <w:multiLevelType w:val="hybridMultilevel"/>
    <w:tmpl w:val="2B108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74B92693"/>
    <w:multiLevelType w:val="multilevel"/>
    <w:tmpl w:val="01A6C0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3" w15:restartNumberingAfterBreak="0">
    <w:nsid w:val="74C0325C"/>
    <w:multiLevelType w:val="hybridMultilevel"/>
    <w:tmpl w:val="4B268048"/>
    <w:lvl w:ilvl="0" w:tplc="2A92ABA8">
      <w:numFmt w:val="bullet"/>
      <w:pStyle w:val="Style4"/>
      <w:lvlText w:val="-"/>
      <w:lvlJc w:val="left"/>
      <w:pPr>
        <w:tabs>
          <w:tab w:val="num" w:pos="1211"/>
        </w:tabs>
        <w:ind w:left="851"/>
      </w:pPr>
      <w:rPr>
        <w:rFonts w:ascii="Times New Roman" w:eastAsia="Times New Roman" w:hAnsi="Times New Roman" w:hint="default"/>
      </w:rPr>
    </w:lvl>
    <w:lvl w:ilvl="1" w:tplc="040C0019">
      <w:start w:val="1"/>
      <w:numFmt w:val="bullet"/>
      <w:lvlText w:val="o"/>
      <w:lvlJc w:val="left"/>
      <w:pPr>
        <w:tabs>
          <w:tab w:val="num" w:pos="2716"/>
        </w:tabs>
        <w:ind w:left="2716" w:hanging="360"/>
      </w:pPr>
      <w:rPr>
        <w:rFonts w:ascii="Courier New" w:hAnsi="Courier New" w:hint="default"/>
      </w:rPr>
    </w:lvl>
    <w:lvl w:ilvl="2" w:tplc="040C001B" w:tentative="1">
      <w:start w:val="1"/>
      <w:numFmt w:val="bullet"/>
      <w:lvlText w:val=""/>
      <w:lvlJc w:val="left"/>
      <w:pPr>
        <w:tabs>
          <w:tab w:val="num" w:pos="3436"/>
        </w:tabs>
        <w:ind w:left="3436" w:hanging="360"/>
      </w:pPr>
      <w:rPr>
        <w:rFonts w:ascii="Wingdings" w:hAnsi="Wingdings" w:hint="default"/>
      </w:rPr>
    </w:lvl>
    <w:lvl w:ilvl="3" w:tplc="040C000F" w:tentative="1">
      <w:start w:val="1"/>
      <w:numFmt w:val="bullet"/>
      <w:lvlText w:val=""/>
      <w:lvlJc w:val="left"/>
      <w:pPr>
        <w:tabs>
          <w:tab w:val="num" w:pos="4156"/>
        </w:tabs>
        <w:ind w:left="4156" w:hanging="360"/>
      </w:pPr>
      <w:rPr>
        <w:rFonts w:ascii="Symbol" w:hAnsi="Symbol" w:hint="default"/>
      </w:rPr>
    </w:lvl>
    <w:lvl w:ilvl="4" w:tplc="040C0019" w:tentative="1">
      <w:start w:val="1"/>
      <w:numFmt w:val="bullet"/>
      <w:lvlText w:val="o"/>
      <w:lvlJc w:val="left"/>
      <w:pPr>
        <w:tabs>
          <w:tab w:val="num" w:pos="4876"/>
        </w:tabs>
        <w:ind w:left="4876" w:hanging="360"/>
      </w:pPr>
      <w:rPr>
        <w:rFonts w:ascii="Courier New" w:hAnsi="Courier New" w:hint="default"/>
      </w:rPr>
    </w:lvl>
    <w:lvl w:ilvl="5" w:tplc="040C001B" w:tentative="1">
      <w:start w:val="1"/>
      <w:numFmt w:val="bullet"/>
      <w:lvlText w:val=""/>
      <w:lvlJc w:val="left"/>
      <w:pPr>
        <w:tabs>
          <w:tab w:val="num" w:pos="5596"/>
        </w:tabs>
        <w:ind w:left="5596" w:hanging="360"/>
      </w:pPr>
      <w:rPr>
        <w:rFonts w:ascii="Wingdings" w:hAnsi="Wingdings" w:hint="default"/>
      </w:rPr>
    </w:lvl>
    <w:lvl w:ilvl="6" w:tplc="040C000F" w:tentative="1">
      <w:start w:val="1"/>
      <w:numFmt w:val="bullet"/>
      <w:lvlText w:val=""/>
      <w:lvlJc w:val="left"/>
      <w:pPr>
        <w:tabs>
          <w:tab w:val="num" w:pos="6316"/>
        </w:tabs>
        <w:ind w:left="6316" w:hanging="360"/>
      </w:pPr>
      <w:rPr>
        <w:rFonts w:ascii="Symbol" w:hAnsi="Symbol" w:hint="default"/>
      </w:rPr>
    </w:lvl>
    <w:lvl w:ilvl="7" w:tplc="040C0019" w:tentative="1">
      <w:start w:val="1"/>
      <w:numFmt w:val="bullet"/>
      <w:lvlText w:val="o"/>
      <w:lvlJc w:val="left"/>
      <w:pPr>
        <w:tabs>
          <w:tab w:val="num" w:pos="7036"/>
        </w:tabs>
        <w:ind w:left="7036" w:hanging="360"/>
      </w:pPr>
      <w:rPr>
        <w:rFonts w:ascii="Courier New" w:hAnsi="Courier New" w:hint="default"/>
      </w:rPr>
    </w:lvl>
    <w:lvl w:ilvl="8" w:tplc="040C001B" w:tentative="1">
      <w:start w:val="1"/>
      <w:numFmt w:val="bullet"/>
      <w:lvlText w:val=""/>
      <w:lvlJc w:val="left"/>
      <w:pPr>
        <w:tabs>
          <w:tab w:val="num" w:pos="7756"/>
        </w:tabs>
        <w:ind w:left="7756" w:hanging="360"/>
      </w:pPr>
      <w:rPr>
        <w:rFonts w:ascii="Wingdings" w:hAnsi="Wingdings" w:hint="default"/>
      </w:rPr>
    </w:lvl>
  </w:abstractNum>
  <w:abstractNum w:abstractNumId="374" w15:restartNumberingAfterBreak="0">
    <w:nsid w:val="7576071B"/>
    <w:multiLevelType w:val="hybridMultilevel"/>
    <w:tmpl w:val="3D3A5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5" w15:restartNumberingAfterBreak="0">
    <w:nsid w:val="76363DF2"/>
    <w:multiLevelType w:val="hybridMultilevel"/>
    <w:tmpl w:val="72C2EC56"/>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6" w15:restartNumberingAfterBreak="0">
    <w:nsid w:val="76503387"/>
    <w:multiLevelType w:val="hybridMultilevel"/>
    <w:tmpl w:val="D2C68968"/>
    <w:lvl w:ilvl="0" w:tplc="1CAA14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76AC018B"/>
    <w:multiLevelType w:val="hybridMultilevel"/>
    <w:tmpl w:val="03423D5C"/>
    <w:lvl w:ilvl="0" w:tplc="D74C30E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8" w15:restartNumberingAfterBreak="0">
    <w:nsid w:val="76B12782"/>
    <w:multiLevelType w:val="hybridMultilevel"/>
    <w:tmpl w:val="C566598C"/>
    <w:lvl w:ilvl="0" w:tplc="EFF08A9A">
      <w:start w:val="3"/>
      <w:numFmt w:val="bullet"/>
      <w:lvlText w:val="-"/>
      <w:lvlJc w:val="left"/>
      <w:pPr>
        <w:ind w:left="720" w:hanging="360"/>
      </w:pPr>
      <w:rPr>
        <w:rFonts w:ascii="Arial Narrow" w:eastAsia="Calibr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9" w15:restartNumberingAfterBreak="0">
    <w:nsid w:val="76DF1E8E"/>
    <w:multiLevelType w:val="multilevel"/>
    <w:tmpl w:val="040C001F"/>
    <w:lvl w:ilvl="0">
      <w:start w:val="1"/>
      <w:numFmt w:val="decimal"/>
      <w:lvlText w:val="%1."/>
      <w:lvlJc w:val="left"/>
      <w:pPr>
        <w:ind w:left="55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0" w15:restartNumberingAfterBreak="0">
    <w:nsid w:val="773634C4"/>
    <w:multiLevelType w:val="hybridMultilevel"/>
    <w:tmpl w:val="EE3E7E4C"/>
    <w:lvl w:ilvl="0" w:tplc="040C000F">
      <w:start w:val="1"/>
      <w:numFmt w:val="decimal"/>
      <w:lvlText w:val="%1."/>
      <w:lvlJc w:val="left"/>
      <w:pPr>
        <w:ind w:left="720" w:hanging="360"/>
      </w:pPr>
      <w:rPr>
        <w:rFonts w:hint="default"/>
      </w:rPr>
    </w:lvl>
    <w:lvl w:ilvl="1" w:tplc="C95C7F68">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1" w15:restartNumberingAfterBreak="0">
    <w:nsid w:val="777925B6"/>
    <w:multiLevelType w:val="hybridMultilevel"/>
    <w:tmpl w:val="06B4AA98"/>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382" w15:restartNumberingAfterBreak="0">
    <w:nsid w:val="781B0495"/>
    <w:multiLevelType w:val="hybridMultilevel"/>
    <w:tmpl w:val="BD2847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3" w15:restartNumberingAfterBreak="0">
    <w:nsid w:val="78702B0F"/>
    <w:multiLevelType w:val="multilevel"/>
    <w:tmpl w:val="3AD0B04C"/>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78EF45D0"/>
    <w:multiLevelType w:val="hybridMultilevel"/>
    <w:tmpl w:val="FE9E9E54"/>
    <w:styleLink w:val="Style141"/>
    <w:lvl w:ilvl="0" w:tplc="040C000D">
      <w:start w:val="1"/>
      <w:numFmt w:val="bullet"/>
      <w:lvlText w:val=""/>
      <w:lvlJc w:val="left"/>
      <w:pPr>
        <w:ind w:left="6" w:hanging="360"/>
      </w:pPr>
      <w:rPr>
        <w:rFonts w:ascii="Wingdings" w:hAnsi="Wingdings" w:hint="default"/>
      </w:rPr>
    </w:lvl>
    <w:lvl w:ilvl="1" w:tplc="FFFFFFFF">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85" w15:restartNumberingAfterBreak="0">
    <w:nsid w:val="790E556A"/>
    <w:multiLevelType w:val="multilevel"/>
    <w:tmpl w:val="040C001F"/>
    <w:lvl w:ilvl="0">
      <w:start w:val="1"/>
      <w:numFmt w:val="decimal"/>
      <w:lvlText w:val="%1."/>
      <w:lvlJc w:val="left"/>
      <w:pPr>
        <w:ind w:left="55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6" w15:restartNumberingAfterBreak="0">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387" w15:restartNumberingAfterBreak="0">
    <w:nsid w:val="79935160"/>
    <w:multiLevelType w:val="hybridMultilevel"/>
    <w:tmpl w:val="3258A13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8" w15:restartNumberingAfterBreak="0">
    <w:nsid w:val="79E63BCB"/>
    <w:multiLevelType w:val="multilevel"/>
    <w:tmpl w:val="20D0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7A975238"/>
    <w:multiLevelType w:val="hybridMultilevel"/>
    <w:tmpl w:val="0A9692CA"/>
    <w:lvl w:ilvl="0" w:tplc="3F46D2D4">
      <w:numFmt w:val="bullet"/>
      <w:lvlText w:val="-"/>
      <w:lvlJc w:val="left"/>
      <w:pPr>
        <w:ind w:left="6" w:hanging="360"/>
      </w:pPr>
      <w:rPr>
        <w:rFonts w:ascii="Times New Roman" w:eastAsia="Arial Unicode MS" w:hAnsi="Times New Roman" w:hint="default"/>
      </w:rPr>
    </w:lvl>
    <w:lvl w:ilvl="1" w:tplc="FFFFFFFF">
      <w:start w:val="1"/>
      <w:numFmt w:val="bullet"/>
      <w:lvlText w:val="o"/>
      <w:lvlJc w:val="left"/>
      <w:pPr>
        <w:ind w:left="726" w:hanging="360"/>
      </w:pPr>
      <w:rPr>
        <w:rFonts w:ascii="Courier New" w:hAnsi="Courier New" w:cs="Courier New" w:hint="default"/>
      </w:rPr>
    </w:lvl>
    <w:lvl w:ilvl="2" w:tplc="FFFFFFFF" w:tentative="1">
      <w:start w:val="1"/>
      <w:numFmt w:val="bullet"/>
      <w:lvlText w:val=""/>
      <w:lvlJc w:val="left"/>
      <w:pPr>
        <w:ind w:left="1446" w:hanging="360"/>
      </w:pPr>
      <w:rPr>
        <w:rFonts w:ascii="Wingdings" w:hAnsi="Wingdings" w:hint="default"/>
      </w:rPr>
    </w:lvl>
    <w:lvl w:ilvl="3" w:tplc="FFFFFFFF" w:tentative="1">
      <w:start w:val="1"/>
      <w:numFmt w:val="bullet"/>
      <w:lvlText w:val=""/>
      <w:lvlJc w:val="left"/>
      <w:pPr>
        <w:ind w:left="2166" w:hanging="360"/>
      </w:pPr>
      <w:rPr>
        <w:rFonts w:ascii="Symbol" w:hAnsi="Symbol" w:hint="default"/>
      </w:rPr>
    </w:lvl>
    <w:lvl w:ilvl="4" w:tplc="FFFFFFFF" w:tentative="1">
      <w:start w:val="1"/>
      <w:numFmt w:val="bullet"/>
      <w:lvlText w:val="o"/>
      <w:lvlJc w:val="left"/>
      <w:pPr>
        <w:ind w:left="2886" w:hanging="360"/>
      </w:pPr>
      <w:rPr>
        <w:rFonts w:ascii="Courier New" w:hAnsi="Courier New" w:cs="Courier New" w:hint="default"/>
      </w:rPr>
    </w:lvl>
    <w:lvl w:ilvl="5" w:tplc="FFFFFFFF" w:tentative="1">
      <w:start w:val="1"/>
      <w:numFmt w:val="bullet"/>
      <w:lvlText w:val=""/>
      <w:lvlJc w:val="left"/>
      <w:pPr>
        <w:ind w:left="3606" w:hanging="360"/>
      </w:pPr>
      <w:rPr>
        <w:rFonts w:ascii="Wingdings" w:hAnsi="Wingdings" w:hint="default"/>
      </w:rPr>
    </w:lvl>
    <w:lvl w:ilvl="6" w:tplc="FFFFFFFF" w:tentative="1">
      <w:start w:val="1"/>
      <w:numFmt w:val="bullet"/>
      <w:lvlText w:val=""/>
      <w:lvlJc w:val="left"/>
      <w:pPr>
        <w:ind w:left="4326" w:hanging="360"/>
      </w:pPr>
      <w:rPr>
        <w:rFonts w:ascii="Symbol" w:hAnsi="Symbol" w:hint="default"/>
      </w:rPr>
    </w:lvl>
    <w:lvl w:ilvl="7" w:tplc="FFFFFFFF" w:tentative="1">
      <w:start w:val="1"/>
      <w:numFmt w:val="bullet"/>
      <w:lvlText w:val="o"/>
      <w:lvlJc w:val="left"/>
      <w:pPr>
        <w:ind w:left="5046" w:hanging="360"/>
      </w:pPr>
      <w:rPr>
        <w:rFonts w:ascii="Courier New" w:hAnsi="Courier New" w:cs="Courier New" w:hint="default"/>
      </w:rPr>
    </w:lvl>
    <w:lvl w:ilvl="8" w:tplc="FFFFFFFF" w:tentative="1">
      <w:start w:val="1"/>
      <w:numFmt w:val="bullet"/>
      <w:lvlText w:val=""/>
      <w:lvlJc w:val="left"/>
      <w:pPr>
        <w:ind w:left="5766" w:hanging="360"/>
      </w:pPr>
      <w:rPr>
        <w:rFonts w:ascii="Wingdings" w:hAnsi="Wingdings" w:hint="default"/>
      </w:rPr>
    </w:lvl>
  </w:abstractNum>
  <w:abstractNum w:abstractNumId="390" w15:restartNumberingAfterBreak="0">
    <w:nsid w:val="7ABE238B"/>
    <w:multiLevelType w:val="hybridMultilevel"/>
    <w:tmpl w:val="E104DA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1" w15:restartNumberingAfterBreak="0">
    <w:nsid w:val="7B3C005E"/>
    <w:multiLevelType w:val="hybridMultilevel"/>
    <w:tmpl w:val="27AC58A0"/>
    <w:lvl w:ilvl="0" w:tplc="FA1812D2">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2" w15:restartNumberingAfterBreak="0">
    <w:nsid w:val="7B44248C"/>
    <w:multiLevelType w:val="hybridMultilevel"/>
    <w:tmpl w:val="CE088C58"/>
    <w:lvl w:ilvl="0" w:tplc="3AA65366">
      <w:start w:val="4"/>
      <w:numFmt w:val="bullet"/>
      <w:pStyle w:val="Style8"/>
      <w:lvlText w:val="-"/>
      <w:lvlJc w:val="left"/>
      <w:pPr>
        <w:tabs>
          <w:tab w:val="num" w:pos="1068"/>
        </w:tabs>
        <w:ind w:left="708" w:firstLine="0"/>
      </w:pPr>
      <w:rPr>
        <w:rFonts w:ascii="Times New Roman" w:eastAsia="Times New Roman" w:hAnsi="Times New Roman" w:cs="Times New Roman" w:hint="default"/>
      </w:rPr>
    </w:lvl>
    <w:lvl w:ilvl="1" w:tplc="A4F00544">
      <w:start w:val="2"/>
      <w:numFmt w:val="bullet"/>
      <w:lvlText w:val=""/>
      <w:lvlJc w:val="left"/>
      <w:pPr>
        <w:tabs>
          <w:tab w:val="num" w:pos="1297"/>
        </w:tabs>
        <w:ind w:left="1297" w:hanging="360"/>
      </w:pPr>
      <w:rPr>
        <w:rFonts w:ascii="Symbol" w:eastAsia="Times New Roman" w:hAnsi="Symbol" w:cs="Times New Roman" w:hint="default"/>
      </w:rPr>
    </w:lvl>
    <w:lvl w:ilvl="2" w:tplc="040C0005" w:tentative="1">
      <w:start w:val="1"/>
      <w:numFmt w:val="bullet"/>
      <w:lvlText w:val=""/>
      <w:lvlJc w:val="left"/>
      <w:pPr>
        <w:tabs>
          <w:tab w:val="num" w:pos="2017"/>
        </w:tabs>
        <w:ind w:left="2017" w:hanging="360"/>
      </w:pPr>
      <w:rPr>
        <w:rFonts w:ascii="Wingdings" w:hAnsi="Wingdings" w:hint="default"/>
      </w:rPr>
    </w:lvl>
    <w:lvl w:ilvl="3" w:tplc="040C0001" w:tentative="1">
      <w:start w:val="1"/>
      <w:numFmt w:val="bullet"/>
      <w:lvlText w:val=""/>
      <w:lvlJc w:val="left"/>
      <w:pPr>
        <w:tabs>
          <w:tab w:val="num" w:pos="2737"/>
        </w:tabs>
        <w:ind w:left="2737" w:hanging="360"/>
      </w:pPr>
      <w:rPr>
        <w:rFonts w:ascii="Symbol" w:hAnsi="Symbol" w:hint="default"/>
      </w:rPr>
    </w:lvl>
    <w:lvl w:ilvl="4" w:tplc="040C0003" w:tentative="1">
      <w:start w:val="1"/>
      <w:numFmt w:val="bullet"/>
      <w:lvlText w:val="o"/>
      <w:lvlJc w:val="left"/>
      <w:pPr>
        <w:tabs>
          <w:tab w:val="num" w:pos="3457"/>
        </w:tabs>
        <w:ind w:left="3457" w:hanging="360"/>
      </w:pPr>
      <w:rPr>
        <w:rFonts w:ascii="Courier New" w:hAnsi="Courier New" w:hint="default"/>
      </w:rPr>
    </w:lvl>
    <w:lvl w:ilvl="5" w:tplc="040C0005" w:tentative="1">
      <w:start w:val="1"/>
      <w:numFmt w:val="bullet"/>
      <w:lvlText w:val=""/>
      <w:lvlJc w:val="left"/>
      <w:pPr>
        <w:tabs>
          <w:tab w:val="num" w:pos="4177"/>
        </w:tabs>
        <w:ind w:left="4177" w:hanging="360"/>
      </w:pPr>
      <w:rPr>
        <w:rFonts w:ascii="Wingdings" w:hAnsi="Wingdings" w:hint="default"/>
      </w:rPr>
    </w:lvl>
    <w:lvl w:ilvl="6" w:tplc="040C0001" w:tentative="1">
      <w:start w:val="1"/>
      <w:numFmt w:val="bullet"/>
      <w:lvlText w:val=""/>
      <w:lvlJc w:val="left"/>
      <w:pPr>
        <w:tabs>
          <w:tab w:val="num" w:pos="4897"/>
        </w:tabs>
        <w:ind w:left="4897" w:hanging="360"/>
      </w:pPr>
      <w:rPr>
        <w:rFonts w:ascii="Symbol" w:hAnsi="Symbol" w:hint="default"/>
      </w:rPr>
    </w:lvl>
    <w:lvl w:ilvl="7" w:tplc="040C0003" w:tentative="1">
      <w:start w:val="1"/>
      <w:numFmt w:val="bullet"/>
      <w:lvlText w:val="o"/>
      <w:lvlJc w:val="left"/>
      <w:pPr>
        <w:tabs>
          <w:tab w:val="num" w:pos="5617"/>
        </w:tabs>
        <w:ind w:left="5617" w:hanging="360"/>
      </w:pPr>
      <w:rPr>
        <w:rFonts w:ascii="Courier New" w:hAnsi="Courier New" w:hint="default"/>
      </w:rPr>
    </w:lvl>
    <w:lvl w:ilvl="8" w:tplc="040C0005" w:tentative="1">
      <w:start w:val="1"/>
      <w:numFmt w:val="bullet"/>
      <w:lvlText w:val=""/>
      <w:lvlJc w:val="left"/>
      <w:pPr>
        <w:tabs>
          <w:tab w:val="num" w:pos="6337"/>
        </w:tabs>
        <w:ind w:left="6337" w:hanging="360"/>
      </w:pPr>
      <w:rPr>
        <w:rFonts w:ascii="Wingdings" w:hAnsi="Wingdings" w:hint="default"/>
      </w:rPr>
    </w:lvl>
  </w:abstractNum>
  <w:abstractNum w:abstractNumId="393" w15:restartNumberingAfterBreak="0">
    <w:nsid w:val="7B4436BA"/>
    <w:multiLevelType w:val="hybridMultilevel"/>
    <w:tmpl w:val="878C9936"/>
    <w:lvl w:ilvl="0" w:tplc="1806125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CC9C3C">
      <w:start w:val="1"/>
      <w:numFmt w:val="bullet"/>
      <w:lvlText w:val="o"/>
      <w:lvlJc w:val="left"/>
      <w:pPr>
        <w:ind w:left="17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B6BBCC">
      <w:start w:val="1"/>
      <w:numFmt w:val="bullet"/>
      <w:lvlText w:val="▪"/>
      <w:lvlJc w:val="left"/>
      <w:pPr>
        <w:ind w:left="25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261268">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7E51DE">
      <w:start w:val="1"/>
      <w:numFmt w:val="bullet"/>
      <w:lvlText w:val="o"/>
      <w:lvlJc w:val="left"/>
      <w:pPr>
        <w:ind w:left="39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4E1D0E">
      <w:start w:val="1"/>
      <w:numFmt w:val="bullet"/>
      <w:lvlText w:val="▪"/>
      <w:lvlJc w:val="left"/>
      <w:pPr>
        <w:ind w:left="46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C21B46">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5E2266">
      <w:start w:val="1"/>
      <w:numFmt w:val="bullet"/>
      <w:lvlText w:val="o"/>
      <w:lvlJc w:val="left"/>
      <w:pPr>
        <w:ind w:left="6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42289E">
      <w:start w:val="1"/>
      <w:numFmt w:val="bullet"/>
      <w:lvlText w:val="▪"/>
      <w:lvlJc w:val="left"/>
      <w:pPr>
        <w:ind w:left="6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4" w15:restartNumberingAfterBreak="0">
    <w:nsid w:val="7BA076C6"/>
    <w:multiLevelType w:val="multilevel"/>
    <w:tmpl w:val="BF1E7A9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5" w15:restartNumberingAfterBreak="0">
    <w:nsid w:val="7BE37BEF"/>
    <w:multiLevelType w:val="hybridMultilevel"/>
    <w:tmpl w:val="8DC8C684"/>
    <w:lvl w:ilvl="0" w:tplc="1B0E4E72">
      <w:start w:val="1"/>
      <w:numFmt w:val="bullet"/>
      <w:lvlText w:val="-"/>
      <w:lvlJc w:val="left"/>
      <w:pPr>
        <w:ind w:left="1440" w:hanging="360"/>
      </w:pPr>
      <w:rPr>
        <w:rFonts w:ascii="Calibri" w:eastAsia="Calibri" w:hAnsi="Calibri"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6" w15:restartNumberingAfterBreak="0">
    <w:nsid w:val="7C011601"/>
    <w:multiLevelType w:val="hybridMultilevel"/>
    <w:tmpl w:val="9738B9FC"/>
    <w:lvl w:ilvl="0" w:tplc="6C0C7AEE">
      <w:start w:val="1"/>
      <w:numFmt w:val="lowerRoman"/>
      <w:lvlText w:val="(%1)"/>
      <w:lvlJc w:val="left"/>
      <w:pPr>
        <w:ind w:left="1146" w:hanging="72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97" w15:restartNumberingAfterBreak="0">
    <w:nsid w:val="7C727798"/>
    <w:multiLevelType w:val="hybridMultilevel"/>
    <w:tmpl w:val="BAF83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8" w15:restartNumberingAfterBreak="0">
    <w:nsid w:val="7C7D26DE"/>
    <w:multiLevelType w:val="hybridMultilevel"/>
    <w:tmpl w:val="B3D0B4EE"/>
    <w:lvl w:ilvl="0" w:tplc="C9CAF3BE">
      <w:start w:val="4"/>
      <w:numFmt w:val="bullet"/>
      <w:lvlText w:val="-"/>
      <w:lvlJc w:val="left"/>
      <w:pPr>
        <w:ind w:left="720" w:hanging="360"/>
      </w:pPr>
      <w:rPr>
        <w:rFonts w:ascii="Bookman Old Style" w:eastAsia="Times New Roman"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7CB74C49"/>
    <w:multiLevelType w:val="multilevel"/>
    <w:tmpl w:val="BEE8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7CE371A8"/>
    <w:multiLevelType w:val="hybridMultilevel"/>
    <w:tmpl w:val="198A46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1" w15:restartNumberingAfterBreak="0">
    <w:nsid w:val="7D9C0EB1"/>
    <w:multiLevelType w:val="hybridMultilevel"/>
    <w:tmpl w:val="AEEE8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2" w15:restartNumberingAfterBreak="0">
    <w:nsid w:val="7E667351"/>
    <w:multiLevelType w:val="multilevel"/>
    <w:tmpl w:val="040C001F"/>
    <w:lvl w:ilvl="0">
      <w:start w:val="1"/>
      <w:numFmt w:val="decimal"/>
      <w:lvlText w:val="%1."/>
      <w:lvlJc w:val="left"/>
      <w:pPr>
        <w:ind w:left="55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3" w15:restartNumberingAfterBreak="0">
    <w:nsid w:val="7E9B50A6"/>
    <w:multiLevelType w:val="hybridMultilevel"/>
    <w:tmpl w:val="179034AE"/>
    <w:lvl w:ilvl="0" w:tplc="04090005">
      <w:start w:val="1"/>
      <w:numFmt w:val="bullet"/>
      <w:lvlText w:val=""/>
      <w:lvlJc w:val="left"/>
      <w:pPr>
        <w:ind w:left="720" w:hanging="360"/>
      </w:pPr>
      <w:rPr>
        <w:rFonts w:ascii="Wingdings" w:hAnsi="Wingdings" w:hint="default"/>
      </w:rPr>
    </w:lvl>
    <w:lvl w:ilvl="1" w:tplc="428A2E0E">
      <w:start w:val="2"/>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4" w15:restartNumberingAfterBreak="0">
    <w:nsid w:val="7EE90D2A"/>
    <w:multiLevelType w:val="hybridMultilevel"/>
    <w:tmpl w:val="6B5E6B14"/>
    <w:lvl w:ilvl="0" w:tplc="E90299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7F5A7ECD"/>
    <w:multiLevelType w:val="multilevel"/>
    <w:tmpl w:val="B740AFD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169"/>
  </w:num>
  <w:num w:numId="2">
    <w:abstractNumId w:val="244"/>
  </w:num>
  <w:num w:numId="3">
    <w:abstractNumId w:val="45"/>
  </w:num>
  <w:num w:numId="4">
    <w:abstractNumId w:val="208"/>
  </w:num>
  <w:num w:numId="5">
    <w:abstractNumId w:val="42"/>
  </w:num>
  <w:num w:numId="6">
    <w:abstractNumId w:val="296"/>
  </w:num>
  <w:num w:numId="7">
    <w:abstractNumId w:val="47"/>
  </w:num>
  <w:num w:numId="8">
    <w:abstractNumId w:val="218"/>
  </w:num>
  <w:num w:numId="9">
    <w:abstractNumId w:val="30"/>
  </w:num>
  <w:num w:numId="10">
    <w:abstractNumId w:val="401"/>
  </w:num>
  <w:num w:numId="11">
    <w:abstractNumId w:val="387"/>
  </w:num>
  <w:num w:numId="12">
    <w:abstractNumId w:val="286"/>
  </w:num>
  <w:num w:numId="13">
    <w:abstractNumId w:val="318"/>
  </w:num>
  <w:num w:numId="14">
    <w:abstractNumId w:val="294"/>
  </w:num>
  <w:num w:numId="15">
    <w:abstractNumId w:val="266"/>
  </w:num>
  <w:num w:numId="16">
    <w:abstractNumId w:val="32"/>
  </w:num>
  <w:num w:numId="17">
    <w:abstractNumId w:val="31"/>
  </w:num>
  <w:num w:numId="18">
    <w:abstractNumId w:val="271"/>
  </w:num>
  <w:num w:numId="19">
    <w:abstractNumId w:val="303"/>
  </w:num>
  <w:num w:numId="20">
    <w:abstractNumId w:val="159"/>
  </w:num>
  <w:num w:numId="21">
    <w:abstractNumId w:val="346"/>
  </w:num>
  <w:num w:numId="22">
    <w:abstractNumId w:val="243"/>
  </w:num>
  <w:num w:numId="23">
    <w:abstractNumId w:val="174"/>
  </w:num>
  <w:num w:numId="24">
    <w:abstractNumId w:val="209"/>
  </w:num>
  <w:num w:numId="25">
    <w:abstractNumId w:val="341"/>
  </w:num>
  <w:num w:numId="26">
    <w:abstractNumId w:val="283"/>
  </w:num>
  <w:num w:numId="27">
    <w:abstractNumId w:val="345"/>
  </w:num>
  <w:num w:numId="28">
    <w:abstractNumId w:val="337"/>
  </w:num>
  <w:num w:numId="29">
    <w:abstractNumId w:val="39"/>
  </w:num>
  <w:num w:numId="30">
    <w:abstractNumId w:val="82"/>
  </w:num>
  <w:num w:numId="31">
    <w:abstractNumId w:val="144"/>
  </w:num>
  <w:num w:numId="32">
    <w:abstractNumId w:val="272"/>
  </w:num>
  <w:num w:numId="33">
    <w:abstractNumId w:val="203"/>
  </w:num>
  <w:num w:numId="34">
    <w:abstractNumId w:val="113"/>
  </w:num>
  <w:num w:numId="35">
    <w:abstractNumId w:val="85"/>
  </w:num>
  <w:num w:numId="36">
    <w:abstractNumId w:val="86"/>
  </w:num>
  <w:num w:numId="37">
    <w:abstractNumId w:val="178"/>
  </w:num>
  <w:num w:numId="38">
    <w:abstractNumId w:val="305"/>
  </w:num>
  <w:num w:numId="39">
    <w:abstractNumId w:val="23"/>
  </w:num>
  <w:num w:numId="40">
    <w:abstractNumId w:val="246"/>
  </w:num>
  <w:num w:numId="41">
    <w:abstractNumId w:val="54"/>
  </w:num>
  <w:num w:numId="42">
    <w:abstractNumId w:val="241"/>
  </w:num>
  <w:num w:numId="43">
    <w:abstractNumId w:val="120"/>
  </w:num>
  <w:num w:numId="44">
    <w:abstractNumId w:val="368"/>
  </w:num>
  <w:num w:numId="45">
    <w:abstractNumId w:val="136"/>
  </w:num>
  <w:num w:numId="46">
    <w:abstractNumId w:val="139"/>
  </w:num>
  <w:num w:numId="47">
    <w:abstractNumId w:val="170"/>
  </w:num>
  <w:num w:numId="48">
    <w:abstractNumId w:val="285"/>
  </w:num>
  <w:num w:numId="49">
    <w:abstractNumId w:val="213"/>
  </w:num>
  <w:num w:numId="50">
    <w:abstractNumId w:val="198"/>
  </w:num>
  <w:num w:numId="51">
    <w:abstractNumId w:val="293"/>
  </w:num>
  <w:num w:numId="52">
    <w:abstractNumId w:val="162"/>
  </w:num>
  <w:num w:numId="53">
    <w:abstractNumId w:val="168"/>
  </w:num>
  <w:num w:numId="54">
    <w:abstractNumId w:val="385"/>
  </w:num>
  <w:num w:numId="55">
    <w:abstractNumId w:val="373"/>
  </w:num>
  <w:num w:numId="56">
    <w:abstractNumId w:val="287"/>
  </w:num>
  <w:num w:numId="57">
    <w:abstractNumId w:val="392"/>
  </w:num>
  <w:num w:numId="58">
    <w:abstractNumId w:val="308"/>
  </w:num>
  <w:num w:numId="59">
    <w:abstractNumId w:val="252"/>
  </w:num>
  <w:num w:numId="60">
    <w:abstractNumId w:val="192"/>
  </w:num>
  <w:num w:numId="61">
    <w:abstractNumId w:val="340"/>
  </w:num>
  <w:num w:numId="62">
    <w:abstractNumId w:val="147"/>
  </w:num>
  <w:num w:numId="63">
    <w:abstractNumId w:val="78"/>
  </w:num>
  <w:num w:numId="64">
    <w:abstractNumId w:val="238"/>
  </w:num>
  <w:num w:numId="65">
    <w:abstractNumId w:val="230"/>
  </w:num>
  <w:num w:numId="6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num>
  <w:num w:numId="68">
    <w:abstractNumId w:val="188"/>
  </w:num>
  <w:num w:numId="69">
    <w:abstractNumId w:val="110"/>
  </w:num>
  <w:num w:numId="70">
    <w:abstractNumId w:val="356"/>
  </w:num>
  <w:num w:numId="71">
    <w:abstractNumId w:val="378"/>
  </w:num>
  <w:num w:numId="72">
    <w:abstractNumId w:val="374"/>
  </w:num>
  <w:num w:numId="73">
    <w:abstractNumId w:val="292"/>
  </w:num>
  <w:num w:numId="74">
    <w:abstractNumId w:val="282"/>
  </w:num>
  <w:num w:numId="75">
    <w:abstractNumId w:val="262"/>
  </w:num>
  <w:num w:numId="76">
    <w:abstractNumId w:val="313"/>
  </w:num>
  <w:num w:numId="77">
    <w:abstractNumId w:val="215"/>
  </w:num>
  <w:num w:numId="78">
    <w:abstractNumId w:val="27"/>
  </w:num>
  <w:num w:numId="79">
    <w:abstractNumId w:val="370"/>
  </w:num>
  <w:num w:numId="80">
    <w:abstractNumId w:val="251"/>
  </w:num>
  <w:num w:numId="81">
    <w:abstractNumId w:val="152"/>
  </w:num>
  <w:num w:numId="82">
    <w:abstractNumId w:val="55"/>
  </w:num>
  <w:num w:numId="83">
    <w:abstractNumId w:val="1"/>
  </w:num>
  <w:num w:numId="84">
    <w:abstractNumId w:val="64"/>
  </w:num>
  <w:num w:numId="85">
    <w:abstractNumId w:val="202"/>
  </w:num>
  <w:num w:numId="86">
    <w:abstractNumId w:val="106"/>
  </w:num>
  <w:num w:numId="87">
    <w:abstractNumId w:val="0"/>
  </w:num>
  <w:num w:numId="88">
    <w:abstractNumId w:val="221"/>
  </w:num>
  <w:num w:numId="89">
    <w:abstractNumId w:val="325"/>
  </w:num>
  <w:num w:numId="90">
    <w:abstractNumId w:val="199"/>
  </w:num>
  <w:num w:numId="91">
    <w:abstractNumId w:val="349"/>
  </w:num>
  <w:num w:numId="92">
    <w:abstractNumId w:val="52"/>
  </w:num>
  <w:num w:numId="93">
    <w:abstractNumId w:val="137"/>
  </w:num>
  <w:num w:numId="94">
    <w:abstractNumId w:val="240"/>
  </w:num>
  <w:num w:numId="95">
    <w:abstractNumId w:val="91"/>
  </w:num>
  <w:num w:numId="96">
    <w:abstractNumId w:val="371"/>
  </w:num>
  <w:num w:numId="97">
    <w:abstractNumId w:val="195"/>
  </w:num>
  <w:num w:numId="98">
    <w:abstractNumId w:val="193"/>
  </w:num>
  <w:num w:numId="99">
    <w:abstractNumId w:val="79"/>
  </w:num>
  <w:num w:numId="100">
    <w:abstractNumId w:val="250"/>
  </w:num>
  <w:num w:numId="101">
    <w:abstractNumId w:val="347"/>
  </w:num>
  <w:num w:numId="102">
    <w:abstractNumId w:val="75"/>
  </w:num>
  <w:num w:numId="103">
    <w:abstractNumId w:val="72"/>
  </w:num>
  <w:num w:numId="104">
    <w:abstractNumId w:val="97"/>
  </w:num>
  <w:num w:numId="105">
    <w:abstractNumId w:val="38"/>
  </w:num>
  <w:num w:numId="106">
    <w:abstractNumId w:val="99"/>
  </w:num>
  <w:num w:numId="107">
    <w:abstractNumId w:val="197"/>
  </w:num>
  <w:num w:numId="108">
    <w:abstractNumId w:val="381"/>
  </w:num>
  <w:num w:numId="109">
    <w:abstractNumId w:val="63"/>
  </w:num>
  <w:num w:numId="110">
    <w:abstractNumId w:val="90"/>
  </w:num>
  <w:num w:numId="111">
    <w:abstractNumId w:val="247"/>
  </w:num>
  <w:num w:numId="112">
    <w:abstractNumId w:val="98"/>
  </w:num>
  <w:num w:numId="113">
    <w:abstractNumId w:val="57"/>
  </w:num>
  <w:num w:numId="114">
    <w:abstractNumId w:val="200"/>
  </w:num>
  <w:num w:numId="115">
    <w:abstractNumId w:val="65"/>
  </w:num>
  <w:num w:numId="116">
    <w:abstractNumId w:val="228"/>
  </w:num>
  <w:num w:numId="117">
    <w:abstractNumId w:val="298"/>
  </w:num>
  <w:num w:numId="118">
    <w:abstractNumId w:val="369"/>
  </w:num>
  <w:num w:numId="119">
    <w:abstractNumId w:val="233"/>
  </w:num>
  <w:num w:numId="120">
    <w:abstractNumId w:val="62"/>
  </w:num>
  <w:num w:numId="121">
    <w:abstractNumId w:val="44"/>
  </w:num>
  <w:num w:numId="122">
    <w:abstractNumId w:val="255"/>
  </w:num>
  <w:num w:numId="123">
    <w:abstractNumId w:val="397"/>
  </w:num>
  <w:num w:numId="124">
    <w:abstractNumId w:val="182"/>
  </w:num>
  <w:num w:numId="125">
    <w:abstractNumId w:val="83"/>
  </w:num>
  <w:num w:numId="126">
    <w:abstractNumId w:val="127"/>
  </w:num>
  <w:num w:numId="127">
    <w:abstractNumId w:val="384"/>
  </w:num>
  <w:num w:numId="128">
    <w:abstractNumId w:val="94"/>
  </w:num>
  <w:num w:numId="129">
    <w:abstractNumId w:val="184"/>
  </w:num>
  <w:num w:numId="130">
    <w:abstractNumId w:val="37"/>
  </w:num>
  <w:num w:numId="131">
    <w:abstractNumId w:val="185"/>
  </w:num>
  <w:num w:numId="132">
    <w:abstractNumId w:val="173"/>
  </w:num>
  <w:num w:numId="133">
    <w:abstractNumId w:val="146"/>
  </w:num>
  <w:num w:numId="134">
    <w:abstractNumId w:val="321"/>
  </w:num>
  <w:num w:numId="135">
    <w:abstractNumId w:val="124"/>
  </w:num>
  <w:num w:numId="136">
    <w:abstractNumId w:val="277"/>
  </w:num>
  <w:num w:numId="137">
    <w:abstractNumId w:val="390"/>
  </w:num>
  <w:num w:numId="138">
    <w:abstractNumId w:val="395"/>
  </w:num>
  <w:num w:numId="139">
    <w:abstractNumId w:val="403"/>
  </w:num>
  <w:num w:numId="140">
    <w:abstractNumId w:val="21"/>
  </w:num>
  <w:num w:numId="141">
    <w:abstractNumId w:val="291"/>
  </w:num>
  <w:num w:numId="142">
    <w:abstractNumId w:val="60"/>
  </w:num>
  <w:num w:numId="143">
    <w:abstractNumId w:val="329"/>
  </w:num>
  <w:num w:numId="144">
    <w:abstractNumId w:val="176"/>
  </w:num>
  <w:num w:numId="145">
    <w:abstractNumId w:val="134"/>
  </w:num>
  <w:num w:numId="146">
    <w:abstractNumId w:val="382"/>
  </w:num>
  <w:num w:numId="147">
    <w:abstractNumId w:val="358"/>
  </w:num>
  <w:num w:numId="148">
    <w:abstractNumId w:val="257"/>
  </w:num>
  <w:num w:numId="149">
    <w:abstractNumId w:val="100"/>
  </w:num>
  <w:num w:numId="150">
    <w:abstractNumId w:val="386"/>
  </w:num>
  <w:num w:numId="151">
    <w:abstractNumId w:val="299"/>
  </w:num>
  <w:num w:numId="152">
    <w:abstractNumId w:val="259"/>
  </w:num>
  <w:num w:numId="153">
    <w:abstractNumId w:val="269"/>
  </w:num>
  <w:num w:numId="154">
    <w:abstractNumId w:val="231"/>
  </w:num>
  <w:num w:numId="155">
    <w:abstractNumId w:val="103"/>
  </w:num>
  <w:num w:numId="156">
    <w:abstractNumId w:val="312"/>
  </w:num>
  <w:num w:numId="157">
    <w:abstractNumId w:val="216"/>
  </w:num>
  <w:num w:numId="158">
    <w:abstractNumId w:val="2"/>
  </w:num>
  <w:num w:numId="159">
    <w:abstractNumId w:val="217"/>
  </w:num>
  <w:num w:numId="160">
    <w:abstractNumId w:val="229"/>
  </w:num>
  <w:num w:numId="161">
    <w:abstractNumId w:val="163"/>
  </w:num>
  <w:num w:numId="162">
    <w:abstractNumId w:val="232"/>
  </w:num>
  <w:num w:numId="163">
    <w:abstractNumId w:val="324"/>
  </w:num>
  <w:num w:numId="164">
    <w:abstractNumId w:val="177"/>
  </w:num>
  <w:num w:numId="165">
    <w:abstractNumId w:val="66"/>
  </w:num>
  <w:num w:numId="166">
    <w:abstractNumId w:val="131"/>
  </w:num>
  <w:num w:numId="167">
    <w:abstractNumId w:val="380"/>
  </w:num>
  <w:num w:numId="168">
    <w:abstractNumId w:val="326"/>
  </w:num>
  <w:num w:numId="169">
    <w:abstractNumId w:val="194"/>
  </w:num>
  <w:num w:numId="170">
    <w:abstractNumId w:val="51"/>
  </w:num>
  <w:num w:numId="171">
    <w:abstractNumId w:val="158"/>
  </w:num>
  <w:num w:numId="172">
    <w:abstractNumId w:val="3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85"/>
  </w:num>
  <w:num w:numId="174">
    <w:abstractNumId w:val="273"/>
  </w:num>
  <w:num w:numId="175">
    <w:abstractNumId w:val="342"/>
  </w:num>
  <w:num w:numId="176">
    <w:abstractNumId w:val="274"/>
  </w:num>
  <w:num w:numId="177">
    <w:abstractNumId w:val="49"/>
  </w:num>
  <w:num w:numId="178">
    <w:abstractNumId w:val="320"/>
  </w:num>
  <w:num w:numId="179">
    <w:abstractNumId w:val="61"/>
  </w:num>
  <w:num w:numId="180">
    <w:abstractNumId w:val="363"/>
  </w:num>
  <w:num w:numId="181">
    <w:abstractNumId w:val="143"/>
  </w:num>
  <w:num w:numId="182">
    <w:abstractNumId w:val="316"/>
  </w:num>
  <w:num w:numId="183">
    <w:abstractNumId w:val="157"/>
  </w:num>
  <w:num w:numId="184">
    <w:abstractNumId w:val="150"/>
  </w:num>
  <w:num w:numId="185">
    <w:abstractNumId w:val="126"/>
  </w:num>
  <w:num w:numId="186">
    <w:abstractNumId w:val="332"/>
  </w:num>
  <w:num w:numId="187">
    <w:abstractNumId w:val="33"/>
  </w:num>
  <w:num w:numId="188">
    <w:abstractNumId w:val="77"/>
  </w:num>
  <w:num w:numId="189">
    <w:abstractNumId w:val="270"/>
  </w:num>
  <w:num w:numId="190">
    <w:abstractNumId w:val="275"/>
  </w:num>
  <w:num w:numId="191">
    <w:abstractNumId w:val="128"/>
  </w:num>
  <w:num w:numId="192">
    <w:abstractNumId w:val="112"/>
  </w:num>
  <w:num w:numId="193">
    <w:abstractNumId w:val="336"/>
  </w:num>
  <w:num w:numId="194">
    <w:abstractNumId w:val="115"/>
  </w:num>
  <w:num w:numId="195">
    <w:abstractNumId w:val="210"/>
  </w:num>
  <w:num w:numId="196">
    <w:abstractNumId w:val="107"/>
  </w:num>
  <w:num w:numId="197">
    <w:abstractNumId w:val="258"/>
  </w:num>
  <w:num w:numId="198">
    <w:abstractNumId w:val="261"/>
  </w:num>
  <w:num w:numId="199">
    <w:abstractNumId w:val="20"/>
  </w:num>
  <w:num w:numId="200">
    <w:abstractNumId w:val="179"/>
  </w:num>
  <w:num w:numId="201">
    <w:abstractNumId w:val="365"/>
  </w:num>
  <w:num w:numId="202">
    <w:abstractNumId w:val="123"/>
  </w:num>
  <w:num w:numId="203">
    <w:abstractNumId w:val="314"/>
  </w:num>
  <w:num w:numId="204">
    <w:abstractNumId w:val="117"/>
  </w:num>
  <w:num w:numId="205">
    <w:abstractNumId w:val="289"/>
  </w:num>
  <w:num w:numId="206">
    <w:abstractNumId w:val="148"/>
  </w:num>
  <w:num w:numId="207">
    <w:abstractNumId w:val="71"/>
  </w:num>
  <w:num w:numId="208">
    <w:abstractNumId w:val="156"/>
  </w:num>
  <w:num w:numId="209">
    <w:abstractNumId w:val="375"/>
  </w:num>
  <w:num w:numId="210">
    <w:abstractNumId w:val="29"/>
  </w:num>
  <w:num w:numId="211">
    <w:abstractNumId w:val="264"/>
  </w:num>
  <w:num w:numId="212">
    <w:abstractNumId w:val="220"/>
  </w:num>
  <w:num w:numId="213">
    <w:abstractNumId w:val="323"/>
  </w:num>
  <w:num w:numId="214">
    <w:abstractNumId w:val="394"/>
  </w:num>
  <w:num w:numId="215">
    <w:abstractNumId w:val="405"/>
  </w:num>
  <w:num w:numId="216">
    <w:abstractNumId w:val="167"/>
  </w:num>
  <w:num w:numId="217">
    <w:abstractNumId w:val="333"/>
  </w:num>
  <w:num w:numId="218">
    <w:abstractNumId w:val="360"/>
  </w:num>
  <w:num w:numId="219">
    <w:abstractNumId w:val="343"/>
  </w:num>
  <w:num w:numId="220">
    <w:abstractNumId w:val="58"/>
  </w:num>
  <w:num w:numId="221">
    <w:abstractNumId w:val="383"/>
  </w:num>
  <w:num w:numId="222">
    <w:abstractNumId w:val="24"/>
  </w:num>
  <w:num w:numId="223">
    <w:abstractNumId w:val="389"/>
  </w:num>
  <w:num w:numId="224">
    <w:abstractNumId w:val="204"/>
  </w:num>
  <w:num w:numId="225">
    <w:abstractNumId w:val="265"/>
  </w:num>
  <w:num w:numId="226">
    <w:abstractNumId w:val="236"/>
  </w:num>
  <w:num w:numId="227">
    <w:abstractNumId w:val="404"/>
  </w:num>
  <w:num w:numId="228">
    <w:abstractNumId w:val="279"/>
  </w:num>
  <w:num w:numId="229">
    <w:abstractNumId w:val="41"/>
  </w:num>
  <w:num w:numId="230">
    <w:abstractNumId w:val="311"/>
  </w:num>
  <w:num w:numId="231">
    <w:abstractNumId w:val="330"/>
  </w:num>
  <w:num w:numId="232">
    <w:abstractNumId w:val="281"/>
  </w:num>
  <w:num w:numId="233">
    <w:abstractNumId w:val="353"/>
  </w:num>
  <w:num w:numId="234">
    <w:abstractNumId w:val="388"/>
  </w:num>
  <w:num w:numId="235">
    <w:abstractNumId w:val="105"/>
  </w:num>
  <w:num w:numId="236">
    <w:abstractNumId w:val="315"/>
  </w:num>
  <w:num w:numId="237">
    <w:abstractNumId w:val="399"/>
  </w:num>
  <w:num w:numId="238">
    <w:abstractNumId w:val="96"/>
  </w:num>
  <w:num w:numId="239">
    <w:abstractNumId w:val="142"/>
  </w:num>
  <w:num w:numId="240">
    <w:abstractNumId w:val="248"/>
  </w:num>
  <w:num w:numId="241">
    <w:abstractNumId w:val="338"/>
  </w:num>
  <w:num w:numId="242">
    <w:abstractNumId w:val="362"/>
  </w:num>
  <w:num w:numId="243">
    <w:abstractNumId w:val="104"/>
  </w:num>
  <w:num w:numId="244">
    <w:abstractNumId w:val="331"/>
  </w:num>
  <w:num w:numId="245">
    <w:abstractNumId w:val="268"/>
  </w:num>
  <w:num w:numId="246">
    <w:abstractNumId w:val="290"/>
  </w:num>
  <w:num w:numId="247">
    <w:abstractNumId w:val="84"/>
  </w:num>
  <w:num w:numId="248">
    <w:abstractNumId w:val="3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339"/>
  </w:num>
  <w:num w:numId="250">
    <w:abstractNumId w:val="89"/>
  </w:num>
  <w:num w:numId="251">
    <w:abstractNumId w:val="263"/>
  </w:num>
  <w:num w:numId="252">
    <w:abstractNumId w:val="161"/>
  </w:num>
  <w:num w:numId="253">
    <w:abstractNumId w:val="121"/>
  </w:num>
  <w:num w:numId="254">
    <w:abstractNumId w:val="101"/>
  </w:num>
  <w:num w:numId="255">
    <w:abstractNumId w:val="28"/>
  </w:num>
  <w:num w:numId="256">
    <w:abstractNumId w:val="171"/>
  </w:num>
  <w:num w:numId="257">
    <w:abstractNumId w:val="70"/>
  </w:num>
  <w:num w:numId="258">
    <w:abstractNumId w:val="327"/>
  </w:num>
  <w:num w:numId="259">
    <w:abstractNumId w:val="391"/>
  </w:num>
  <w:num w:numId="260">
    <w:abstractNumId w:val="35"/>
  </w:num>
  <w:num w:numId="261">
    <w:abstractNumId w:val="118"/>
  </w:num>
  <w:num w:numId="262">
    <w:abstractNumId w:val="108"/>
  </w:num>
  <w:num w:numId="263">
    <w:abstractNumId w:val="211"/>
  </w:num>
  <w:num w:numId="264">
    <w:abstractNumId w:val="398"/>
  </w:num>
  <w:num w:numId="265">
    <w:abstractNumId w:val="138"/>
  </w:num>
  <w:num w:numId="266">
    <w:abstractNumId w:val="183"/>
  </w:num>
  <w:num w:numId="267">
    <w:abstractNumId w:val="350"/>
  </w:num>
  <w:num w:numId="268">
    <w:abstractNumId w:val="190"/>
  </w:num>
  <w:num w:numId="269">
    <w:abstractNumId w:val="376"/>
  </w:num>
  <w:num w:numId="270">
    <w:abstractNumId w:val="153"/>
  </w:num>
  <w:num w:numId="271">
    <w:abstractNumId w:val="175"/>
  </w:num>
  <w:num w:numId="272">
    <w:abstractNumId w:val="372"/>
  </w:num>
  <w:num w:numId="273">
    <w:abstractNumId w:val="76"/>
  </w:num>
  <w:num w:numId="274">
    <w:abstractNumId w:val="237"/>
  </w:num>
  <w:num w:numId="275">
    <w:abstractNumId w:val="224"/>
  </w:num>
  <w:num w:numId="276">
    <w:abstractNumId w:val="132"/>
  </w:num>
  <w:num w:numId="277">
    <w:abstractNumId w:val="111"/>
  </w:num>
  <w:num w:numId="278">
    <w:abstractNumId w:val="344"/>
  </w:num>
  <w:num w:numId="279">
    <w:abstractNumId w:val="226"/>
  </w:num>
  <w:num w:numId="280">
    <w:abstractNumId w:val="36"/>
  </w:num>
  <w:num w:numId="281">
    <w:abstractNumId w:val="222"/>
  </w:num>
  <w:num w:numId="282">
    <w:abstractNumId w:val="25"/>
  </w:num>
  <w:num w:numId="283">
    <w:abstractNumId w:val="212"/>
  </w:num>
  <w:num w:numId="284">
    <w:abstractNumId w:val="219"/>
  </w:num>
  <w:num w:numId="285">
    <w:abstractNumId w:val="284"/>
  </w:num>
  <w:num w:numId="286">
    <w:abstractNumId w:val="40"/>
  </w:num>
  <w:num w:numId="287">
    <w:abstractNumId w:val="396"/>
  </w:num>
  <w:num w:numId="288">
    <w:abstractNumId w:val="59"/>
  </w:num>
  <w:num w:numId="289">
    <w:abstractNumId w:val="196"/>
  </w:num>
  <w:num w:numId="290">
    <w:abstractNumId w:val="207"/>
  </w:num>
  <w:num w:numId="291">
    <w:abstractNumId w:val="114"/>
  </w:num>
  <w:num w:numId="292">
    <w:abstractNumId w:val="297"/>
  </w:num>
  <w:num w:numId="293">
    <w:abstractNumId w:val="168"/>
  </w:num>
  <w:num w:numId="294">
    <w:abstractNumId w:val="168"/>
  </w:num>
  <w:num w:numId="295">
    <w:abstractNumId w:val="189"/>
  </w:num>
  <w:num w:numId="296">
    <w:abstractNumId w:val="334"/>
  </w:num>
  <w:num w:numId="297">
    <w:abstractNumId w:val="155"/>
  </w:num>
  <w:num w:numId="298">
    <w:abstractNumId w:val="379"/>
  </w:num>
  <w:num w:numId="299">
    <w:abstractNumId w:val="46"/>
  </w:num>
  <w:num w:numId="300">
    <w:abstractNumId w:val="319"/>
  </w:num>
  <w:num w:numId="301">
    <w:abstractNumId w:val="355"/>
  </w:num>
  <w:num w:numId="302">
    <w:abstractNumId w:val="307"/>
  </w:num>
  <w:num w:numId="303">
    <w:abstractNumId w:val="22"/>
  </w:num>
  <w:num w:numId="304">
    <w:abstractNumId w:val="367"/>
  </w:num>
  <w:num w:numId="305">
    <w:abstractNumId w:val="295"/>
  </w:num>
  <w:num w:numId="306">
    <w:abstractNumId w:val="149"/>
  </w:num>
  <w:num w:numId="307">
    <w:abstractNumId w:val="181"/>
  </w:num>
  <w:num w:numId="308">
    <w:abstractNumId w:val="225"/>
  </w:num>
  <w:num w:numId="309">
    <w:abstractNumId w:val="393"/>
  </w:num>
  <w:num w:numId="310">
    <w:abstractNumId w:val="201"/>
  </w:num>
  <w:num w:numId="311">
    <w:abstractNumId w:val="304"/>
  </w:num>
  <w:num w:numId="312">
    <w:abstractNumId w:val="354"/>
  </w:num>
  <w:num w:numId="313">
    <w:abstractNumId w:val="309"/>
  </w:num>
  <w:num w:numId="314">
    <w:abstractNumId w:val="278"/>
  </w:num>
  <w:num w:numId="315">
    <w:abstractNumId w:val="172"/>
  </w:num>
  <w:num w:numId="316">
    <w:abstractNumId w:val="154"/>
  </w:num>
  <w:num w:numId="317">
    <w:abstractNumId w:val="239"/>
  </w:num>
  <w:num w:numId="318">
    <w:abstractNumId w:val="223"/>
  </w:num>
  <w:num w:numId="319">
    <w:abstractNumId w:val="129"/>
  </w:num>
  <w:num w:numId="320">
    <w:abstractNumId w:val="135"/>
  </w:num>
  <w:num w:numId="321">
    <w:abstractNumId w:val="165"/>
  </w:num>
  <w:num w:numId="322">
    <w:abstractNumId w:val="50"/>
  </w:num>
  <w:num w:numId="323">
    <w:abstractNumId w:val="351"/>
  </w:num>
  <w:num w:numId="324">
    <w:abstractNumId w:val="73"/>
  </w:num>
  <w:num w:numId="325">
    <w:abstractNumId w:val="254"/>
  </w:num>
  <w:num w:numId="326">
    <w:abstractNumId w:val="87"/>
  </w:num>
  <w:num w:numId="327">
    <w:abstractNumId w:val="306"/>
  </w:num>
  <w:num w:numId="328">
    <w:abstractNumId w:val="133"/>
  </w:num>
  <w:num w:numId="329">
    <w:abstractNumId w:val="168"/>
  </w:num>
  <w:num w:numId="330">
    <w:abstractNumId w:val="253"/>
  </w:num>
  <w:num w:numId="331">
    <w:abstractNumId w:val="168"/>
  </w:num>
  <w:num w:numId="332">
    <w:abstractNumId w:val="302"/>
  </w:num>
  <w:num w:numId="333">
    <w:abstractNumId w:val="235"/>
  </w:num>
  <w:num w:numId="334">
    <w:abstractNumId w:val="249"/>
  </w:num>
  <w:num w:numId="335">
    <w:abstractNumId w:val="43"/>
  </w:num>
  <w:num w:numId="336">
    <w:abstractNumId w:val="53"/>
  </w:num>
  <w:num w:numId="337">
    <w:abstractNumId w:val="335"/>
  </w:num>
  <w:num w:numId="338">
    <w:abstractNumId w:val="288"/>
  </w:num>
  <w:num w:numId="339">
    <w:abstractNumId w:val="93"/>
  </w:num>
  <w:num w:numId="340">
    <w:abstractNumId w:val="348"/>
  </w:num>
  <w:num w:numId="341">
    <w:abstractNumId w:val="168"/>
  </w:num>
  <w:num w:numId="342">
    <w:abstractNumId w:val="4"/>
  </w:num>
  <w:num w:numId="343">
    <w:abstractNumId w:val="5"/>
  </w:num>
  <w:num w:numId="344">
    <w:abstractNumId w:val="6"/>
  </w:num>
  <w:num w:numId="345">
    <w:abstractNumId w:val="7"/>
  </w:num>
  <w:num w:numId="346">
    <w:abstractNumId w:val="8"/>
  </w:num>
  <w:num w:numId="347">
    <w:abstractNumId w:val="9"/>
  </w:num>
  <w:num w:numId="348">
    <w:abstractNumId w:val="10"/>
  </w:num>
  <w:num w:numId="349">
    <w:abstractNumId w:val="11"/>
  </w:num>
  <w:num w:numId="350">
    <w:abstractNumId w:val="12"/>
  </w:num>
  <w:num w:numId="351">
    <w:abstractNumId w:val="13"/>
  </w:num>
  <w:num w:numId="352">
    <w:abstractNumId w:val="14"/>
  </w:num>
  <w:num w:numId="353">
    <w:abstractNumId w:val="15"/>
  </w:num>
  <w:num w:numId="354">
    <w:abstractNumId w:val="256"/>
  </w:num>
  <w:num w:numId="355">
    <w:abstractNumId w:val="140"/>
  </w:num>
  <w:num w:numId="356">
    <w:abstractNumId w:val="245"/>
  </w:num>
  <w:num w:numId="357">
    <w:abstractNumId w:val="300"/>
  </w:num>
  <w:num w:numId="358">
    <w:abstractNumId w:val="357"/>
  </w:num>
  <w:num w:numId="359">
    <w:abstractNumId w:val="164"/>
  </w:num>
  <w:num w:numId="360">
    <w:abstractNumId w:val="352"/>
  </w:num>
  <w:num w:numId="361">
    <w:abstractNumId w:val="26"/>
  </w:num>
  <w:num w:numId="362">
    <w:abstractNumId w:val="267"/>
  </w:num>
  <w:num w:numId="363">
    <w:abstractNumId w:val="317"/>
  </w:num>
  <w:num w:numId="364">
    <w:abstractNumId w:val="109"/>
  </w:num>
  <w:num w:numId="365">
    <w:abstractNumId w:val="310"/>
  </w:num>
  <w:num w:numId="366">
    <w:abstractNumId w:val="400"/>
  </w:num>
  <w:num w:numId="367">
    <w:abstractNumId w:val="280"/>
  </w:num>
  <w:num w:numId="368">
    <w:abstractNumId w:val="48"/>
  </w:num>
  <w:num w:numId="369">
    <w:abstractNumId w:val="214"/>
  </w:num>
  <w:num w:numId="370">
    <w:abstractNumId w:val="88"/>
  </w:num>
  <w:num w:numId="371">
    <w:abstractNumId w:val="3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69"/>
  </w:num>
  <w:num w:numId="373">
    <w:abstractNumId w:val="168"/>
  </w:num>
  <w:num w:numId="374">
    <w:abstractNumId w:val="364"/>
  </w:num>
  <w:num w:numId="375">
    <w:abstractNumId w:val="168"/>
  </w:num>
  <w:num w:numId="376">
    <w:abstractNumId w:val="168"/>
  </w:num>
  <w:num w:numId="377">
    <w:abstractNumId w:val="56"/>
  </w:num>
  <w:num w:numId="378">
    <w:abstractNumId w:val="116"/>
  </w:num>
  <w:num w:numId="379">
    <w:abstractNumId w:val="206"/>
  </w:num>
  <w:num w:numId="380">
    <w:abstractNumId w:val="151"/>
  </w:num>
  <w:num w:numId="381">
    <w:abstractNumId w:val="234"/>
  </w:num>
  <w:num w:numId="382">
    <w:abstractNumId w:val="272"/>
  </w:num>
  <w:num w:numId="383">
    <w:abstractNumId w:val="241"/>
  </w:num>
  <w:num w:numId="384">
    <w:abstractNumId w:val="67"/>
  </w:num>
  <w:num w:numId="385">
    <w:abstractNumId w:val="168"/>
  </w:num>
  <w:num w:numId="386">
    <w:abstractNumId w:val="168"/>
  </w:num>
  <w:num w:numId="387">
    <w:abstractNumId w:val="168"/>
  </w:num>
  <w:num w:numId="388">
    <w:abstractNumId w:val="361"/>
  </w:num>
  <w:num w:numId="389">
    <w:abstractNumId w:val="160"/>
  </w:num>
  <w:num w:numId="390">
    <w:abstractNumId w:val="34"/>
  </w:num>
  <w:num w:numId="391">
    <w:abstractNumId w:val="276"/>
  </w:num>
  <w:num w:numId="392">
    <w:abstractNumId w:val="145"/>
  </w:num>
  <w:num w:numId="393">
    <w:abstractNumId w:val="125"/>
  </w:num>
  <w:num w:numId="394">
    <w:abstractNumId w:val="168"/>
  </w:num>
  <w:num w:numId="395">
    <w:abstractNumId w:val="187"/>
  </w:num>
  <w:num w:numId="396">
    <w:abstractNumId w:val="20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95"/>
  </w:num>
  <w:num w:numId="398">
    <w:abstractNumId w:val="205"/>
  </w:num>
  <w:num w:numId="399">
    <w:abstractNumId w:val="180"/>
  </w:num>
  <w:num w:numId="400">
    <w:abstractNumId w:val="74"/>
  </w:num>
  <w:num w:numId="40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77"/>
  </w:num>
  <w:num w:numId="403">
    <w:abstractNumId w:val="168"/>
  </w:num>
  <w:num w:numId="404">
    <w:abstractNumId w:val="402"/>
  </w:num>
  <w:num w:numId="405">
    <w:abstractNumId w:val="81"/>
  </w:num>
  <w:num w:numId="406">
    <w:abstractNumId w:val="168"/>
  </w:num>
  <w:num w:numId="407">
    <w:abstractNumId w:val="168"/>
  </w:num>
  <w:num w:numId="408">
    <w:abstractNumId w:val="168"/>
  </w:num>
  <w:num w:numId="409">
    <w:abstractNumId w:val="168"/>
  </w:num>
  <w:num w:numId="410">
    <w:abstractNumId w:val="168"/>
  </w:num>
  <w:num w:numId="411">
    <w:abstractNumId w:val="168"/>
  </w:num>
  <w:num w:numId="412">
    <w:abstractNumId w:val="168"/>
  </w:num>
  <w:num w:numId="413">
    <w:abstractNumId w:val="168"/>
  </w:num>
  <w:num w:numId="414">
    <w:abstractNumId w:val="168"/>
  </w:num>
  <w:num w:numId="415">
    <w:abstractNumId w:val="168"/>
  </w:num>
  <w:num w:numId="416">
    <w:abstractNumId w:val="168"/>
  </w:num>
  <w:num w:numId="417">
    <w:abstractNumId w:val="168"/>
  </w:num>
  <w:num w:numId="418">
    <w:abstractNumId w:val="168"/>
  </w:num>
  <w:num w:numId="419">
    <w:abstractNumId w:val="168"/>
  </w:num>
  <w:num w:numId="420">
    <w:abstractNumId w:val="168"/>
  </w:num>
  <w:num w:numId="421">
    <w:abstractNumId w:val="168"/>
  </w:num>
  <w:num w:numId="422">
    <w:abstractNumId w:val="168"/>
  </w:num>
  <w:num w:numId="423">
    <w:abstractNumId w:val="168"/>
  </w:num>
  <w:num w:numId="424">
    <w:abstractNumId w:val="168"/>
  </w:num>
  <w:num w:numId="425">
    <w:abstractNumId w:val="168"/>
  </w:num>
  <w:num w:numId="426">
    <w:abstractNumId w:val="168"/>
  </w:num>
  <w:num w:numId="427">
    <w:abstractNumId w:val="168"/>
  </w:num>
  <w:num w:numId="428">
    <w:abstractNumId w:val="168"/>
  </w:num>
  <w:num w:numId="429">
    <w:abstractNumId w:val="168"/>
  </w:num>
  <w:num w:numId="430">
    <w:abstractNumId w:val="168"/>
  </w:num>
  <w:num w:numId="431">
    <w:abstractNumId w:val="168"/>
  </w:num>
  <w:num w:numId="432">
    <w:abstractNumId w:val="168"/>
  </w:num>
  <w:num w:numId="433">
    <w:abstractNumId w:val="168"/>
  </w:num>
  <w:num w:numId="434">
    <w:abstractNumId w:val="168"/>
  </w:num>
  <w:num w:numId="435">
    <w:abstractNumId w:val="168"/>
  </w:num>
  <w:num w:numId="436">
    <w:abstractNumId w:val="168"/>
  </w:num>
  <w:num w:numId="437">
    <w:abstractNumId w:val="168"/>
  </w:num>
  <w:num w:numId="438">
    <w:abstractNumId w:val="168"/>
  </w:num>
  <w:num w:numId="439">
    <w:abstractNumId w:val="168"/>
  </w:num>
  <w:num w:numId="440">
    <w:abstractNumId w:val="168"/>
  </w:num>
  <w:num w:numId="441">
    <w:abstractNumId w:val="168"/>
  </w:num>
  <w:num w:numId="442">
    <w:abstractNumId w:val="168"/>
  </w:num>
  <w:num w:numId="443">
    <w:abstractNumId w:val="168"/>
  </w:num>
  <w:num w:numId="444">
    <w:abstractNumId w:val="168"/>
  </w:num>
  <w:num w:numId="445">
    <w:abstractNumId w:val="168"/>
  </w:num>
  <w:num w:numId="446">
    <w:abstractNumId w:val="168"/>
  </w:num>
  <w:num w:numId="447">
    <w:abstractNumId w:val="168"/>
  </w:num>
  <w:num w:numId="448">
    <w:abstractNumId w:val="168"/>
  </w:num>
  <w:num w:numId="449">
    <w:abstractNumId w:val="168"/>
  </w:num>
  <w:num w:numId="450">
    <w:abstractNumId w:val="168"/>
  </w:num>
  <w:num w:numId="451">
    <w:abstractNumId w:val="168"/>
  </w:num>
  <w:num w:numId="452">
    <w:abstractNumId w:val="168"/>
  </w:num>
  <w:num w:numId="453">
    <w:abstractNumId w:val="168"/>
  </w:num>
  <w:num w:numId="454">
    <w:abstractNumId w:val="168"/>
  </w:num>
  <w:num w:numId="455">
    <w:abstractNumId w:val="168"/>
  </w:num>
  <w:num w:numId="456">
    <w:abstractNumId w:val="168"/>
  </w:num>
  <w:num w:numId="457">
    <w:abstractNumId w:val="168"/>
  </w:num>
  <w:num w:numId="458">
    <w:abstractNumId w:val="168"/>
  </w:num>
  <w:num w:numId="459">
    <w:abstractNumId w:val="168"/>
  </w:num>
  <w:num w:numId="460">
    <w:abstractNumId w:val="168"/>
  </w:num>
  <w:num w:numId="461">
    <w:abstractNumId w:val="168"/>
  </w:num>
  <w:num w:numId="462">
    <w:abstractNumId w:val="168"/>
  </w:num>
  <w:num w:numId="463">
    <w:abstractNumId w:val="168"/>
  </w:num>
  <w:num w:numId="464">
    <w:abstractNumId w:val="168"/>
  </w:num>
  <w:num w:numId="465">
    <w:abstractNumId w:val="168"/>
  </w:num>
  <w:num w:numId="466">
    <w:abstractNumId w:val="168"/>
  </w:num>
  <w:num w:numId="467">
    <w:abstractNumId w:val="168"/>
  </w:num>
  <w:num w:numId="468">
    <w:abstractNumId w:val="168"/>
  </w:num>
  <w:num w:numId="469">
    <w:abstractNumId w:val="168"/>
  </w:num>
  <w:num w:numId="470">
    <w:abstractNumId w:val="168"/>
  </w:num>
  <w:num w:numId="471">
    <w:abstractNumId w:val="168"/>
  </w:num>
  <w:num w:numId="472">
    <w:abstractNumId w:val="168"/>
  </w:num>
  <w:num w:numId="473">
    <w:abstractNumId w:val="168"/>
  </w:num>
  <w:num w:numId="474">
    <w:abstractNumId w:val="168"/>
  </w:num>
  <w:num w:numId="475">
    <w:abstractNumId w:val="168"/>
  </w:num>
  <w:num w:numId="476">
    <w:abstractNumId w:val="168"/>
  </w:num>
  <w:num w:numId="477">
    <w:abstractNumId w:val="168"/>
  </w:num>
  <w:num w:numId="478">
    <w:abstractNumId w:val="168"/>
  </w:num>
  <w:num w:numId="479">
    <w:abstractNumId w:val="168"/>
  </w:num>
  <w:num w:numId="480">
    <w:abstractNumId w:val="168"/>
  </w:num>
  <w:num w:numId="481">
    <w:abstractNumId w:val="168"/>
  </w:num>
  <w:num w:numId="482">
    <w:abstractNumId w:val="168"/>
  </w:num>
  <w:num w:numId="483">
    <w:abstractNumId w:val="168"/>
  </w:num>
  <w:num w:numId="484">
    <w:abstractNumId w:val="168"/>
  </w:num>
  <w:num w:numId="485">
    <w:abstractNumId w:val="168"/>
  </w:num>
  <w:num w:numId="486">
    <w:abstractNumId w:val="168"/>
  </w:num>
  <w:num w:numId="487">
    <w:abstractNumId w:val="168"/>
  </w:num>
  <w:num w:numId="488">
    <w:abstractNumId w:val="168"/>
  </w:num>
  <w:num w:numId="489">
    <w:abstractNumId w:val="141"/>
  </w:num>
  <w:num w:numId="490">
    <w:abstractNumId w:val="68"/>
  </w:num>
  <w:num w:numId="491">
    <w:abstractNumId w:val="328"/>
  </w:num>
  <w:num w:numId="492">
    <w:abstractNumId w:val="242"/>
  </w:num>
  <w:num w:numId="493">
    <w:abstractNumId w:val="130"/>
  </w:num>
  <w:num w:numId="494">
    <w:abstractNumId w:val="83"/>
    <w:lvlOverride w:ilvl="0">
      <w:lvl w:ilvl="0" w:tplc="040C0015">
        <w:start w:val="1"/>
        <w:numFmt w:val="upperLetter"/>
        <w:lvlText w:val="%1."/>
        <w:lvlJc w:val="left"/>
        <w:pPr>
          <w:ind w:left="720" w:hanging="360"/>
        </w:pPr>
      </w:lvl>
    </w:lvlOverride>
  </w:num>
  <w:num w:numId="495">
    <w:abstractNumId w:val="322"/>
  </w:num>
  <w:num w:numId="496">
    <w:abstractNumId w:val="227"/>
  </w:num>
  <w:num w:numId="49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8">
    <w:abstractNumId w:val="119"/>
  </w:num>
  <w:num w:numId="499">
    <w:abstractNumId w:val="166"/>
  </w:num>
  <w:num w:numId="500">
    <w:abstractNumId w:val="186"/>
  </w:num>
  <w:num w:numId="501">
    <w:abstractNumId w:val="102"/>
  </w:num>
  <w:num w:numId="502">
    <w:abstractNumId w:val="122"/>
  </w:num>
  <w:num w:numId="503">
    <w:abstractNumId w:val="80"/>
  </w:num>
  <w:num w:numId="504">
    <w:abstractNumId w:val="168"/>
  </w:num>
  <w:num w:numId="505">
    <w:abstractNumId w:val="168"/>
  </w:num>
  <w:num w:numId="506">
    <w:abstractNumId w:val="168"/>
  </w:num>
  <w:numIdMacAtCleanup w:val="5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7F3"/>
    <w:rsid w:val="000017A8"/>
    <w:rsid w:val="0000285C"/>
    <w:rsid w:val="00002AD8"/>
    <w:rsid w:val="00004AEE"/>
    <w:rsid w:val="00004CD5"/>
    <w:rsid w:val="00007403"/>
    <w:rsid w:val="000106D6"/>
    <w:rsid w:val="000109F9"/>
    <w:rsid w:val="00010C0C"/>
    <w:rsid w:val="00011020"/>
    <w:rsid w:val="000125EF"/>
    <w:rsid w:val="000129FB"/>
    <w:rsid w:val="00020B6D"/>
    <w:rsid w:val="00021921"/>
    <w:rsid w:val="00021980"/>
    <w:rsid w:val="00024B30"/>
    <w:rsid w:val="00027C94"/>
    <w:rsid w:val="000300AA"/>
    <w:rsid w:val="000305AC"/>
    <w:rsid w:val="00031888"/>
    <w:rsid w:val="0003233B"/>
    <w:rsid w:val="00032FCB"/>
    <w:rsid w:val="000334CB"/>
    <w:rsid w:val="0003397E"/>
    <w:rsid w:val="00033BBF"/>
    <w:rsid w:val="000350FB"/>
    <w:rsid w:val="00036473"/>
    <w:rsid w:val="00040C01"/>
    <w:rsid w:val="00040F0E"/>
    <w:rsid w:val="0004235D"/>
    <w:rsid w:val="000425B9"/>
    <w:rsid w:val="0004474B"/>
    <w:rsid w:val="00044E00"/>
    <w:rsid w:val="0004526E"/>
    <w:rsid w:val="000470AD"/>
    <w:rsid w:val="000500AA"/>
    <w:rsid w:val="00050544"/>
    <w:rsid w:val="00051566"/>
    <w:rsid w:val="00051D29"/>
    <w:rsid w:val="00051E1D"/>
    <w:rsid w:val="0005340D"/>
    <w:rsid w:val="00055884"/>
    <w:rsid w:val="00055AA2"/>
    <w:rsid w:val="00057AA9"/>
    <w:rsid w:val="00057AB5"/>
    <w:rsid w:val="0006071C"/>
    <w:rsid w:val="00061BAF"/>
    <w:rsid w:val="00061EDC"/>
    <w:rsid w:val="000624E9"/>
    <w:rsid w:val="000625B3"/>
    <w:rsid w:val="000637A4"/>
    <w:rsid w:val="000657A0"/>
    <w:rsid w:val="000664F5"/>
    <w:rsid w:val="0006661F"/>
    <w:rsid w:val="00067141"/>
    <w:rsid w:val="00067F41"/>
    <w:rsid w:val="000705BE"/>
    <w:rsid w:val="00070C02"/>
    <w:rsid w:val="00070EB9"/>
    <w:rsid w:val="00074AF8"/>
    <w:rsid w:val="00074C01"/>
    <w:rsid w:val="00074CD0"/>
    <w:rsid w:val="00076BF7"/>
    <w:rsid w:val="000806A3"/>
    <w:rsid w:val="00080A0D"/>
    <w:rsid w:val="00080AD4"/>
    <w:rsid w:val="00081CFF"/>
    <w:rsid w:val="00082328"/>
    <w:rsid w:val="0008272C"/>
    <w:rsid w:val="00083978"/>
    <w:rsid w:val="00084A51"/>
    <w:rsid w:val="00085B13"/>
    <w:rsid w:val="00086328"/>
    <w:rsid w:val="00086ADF"/>
    <w:rsid w:val="0008785E"/>
    <w:rsid w:val="0008791A"/>
    <w:rsid w:val="00090DD6"/>
    <w:rsid w:val="000921EE"/>
    <w:rsid w:val="00092E71"/>
    <w:rsid w:val="00094221"/>
    <w:rsid w:val="00094CE9"/>
    <w:rsid w:val="00094F9F"/>
    <w:rsid w:val="0009605B"/>
    <w:rsid w:val="000968D6"/>
    <w:rsid w:val="00096959"/>
    <w:rsid w:val="00096A8B"/>
    <w:rsid w:val="000974B4"/>
    <w:rsid w:val="000978E2"/>
    <w:rsid w:val="00097BE8"/>
    <w:rsid w:val="00097E9F"/>
    <w:rsid w:val="000A0EED"/>
    <w:rsid w:val="000A1374"/>
    <w:rsid w:val="000A1900"/>
    <w:rsid w:val="000A27E0"/>
    <w:rsid w:val="000A4D2F"/>
    <w:rsid w:val="000A6843"/>
    <w:rsid w:val="000A7B80"/>
    <w:rsid w:val="000B1F83"/>
    <w:rsid w:val="000B456B"/>
    <w:rsid w:val="000B486A"/>
    <w:rsid w:val="000B48AC"/>
    <w:rsid w:val="000B7DFC"/>
    <w:rsid w:val="000C03FD"/>
    <w:rsid w:val="000C300F"/>
    <w:rsid w:val="000C31FB"/>
    <w:rsid w:val="000C3546"/>
    <w:rsid w:val="000C4D95"/>
    <w:rsid w:val="000C6AEA"/>
    <w:rsid w:val="000D0F2D"/>
    <w:rsid w:val="000D2E83"/>
    <w:rsid w:val="000D3302"/>
    <w:rsid w:val="000D3409"/>
    <w:rsid w:val="000D3A67"/>
    <w:rsid w:val="000D4294"/>
    <w:rsid w:val="000D42DE"/>
    <w:rsid w:val="000D5C7F"/>
    <w:rsid w:val="000D5CC7"/>
    <w:rsid w:val="000D5F9F"/>
    <w:rsid w:val="000D6739"/>
    <w:rsid w:val="000E0074"/>
    <w:rsid w:val="000E2836"/>
    <w:rsid w:val="000E2A26"/>
    <w:rsid w:val="000E39E0"/>
    <w:rsid w:val="000E460C"/>
    <w:rsid w:val="000E53A1"/>
    <w:rsid w:val="000E5DBC"/>
    <w:rsid w:val="000E62EE"/>
    <w:rsid w:val="000E652E"/>
    <w:rsid w:val="000E6816"/>
    <w:rsid w:val="000E76A0"/>
    <w:rsid w:val="000F01C4"/>
    <w:rsid w:val="000F2004"/>
    <w:rsid w:val="000F2319"/>
    <w:rsid w:val="000F30CD"/>
    <w:rsid w:val="000F5B16"/>
    <w:rsid w:val="000F66CC"/>
    <w:rsid w:val="00100479"/>
    <w:rsid w:val="00100514"/>
    <w:rsid w:val="001005EB"/>
    <w:rsid w:val="001022FD"/>
    <w:rsid w:val="001036BE"/>
    <w:rsid w:val="00104C87"/>
    <w:rsid w:val="00105E39"/>
    <w:rsid w:val="00106D83"/>
    <w:rsid w:val="0010755B"/>
    <w:rsid w:val="001105B8"/>
    <w:rsid w:val="0011070E"/>
    <w:rsid w:val="00110A00"/>
    <w:rsid w:val="00110EE4"/>
    <w:rsid w:val="001111A2"/>
    <w:rsid w:val="00111212"/>
    <w:rsid w:val="001116B7"/>
    <w:rsid w:val="00112355"/>
    <w:rsid w:val="00112761"/>
    <w:rsid w:val="00113AB0"/>
    <w:rsid w:val="0011561D"/>
    <w:rsid w:val="00115700"/>
    <w:rsid w:val="00117BAD"/>
    <w:rsid w:val="00117DDA"/>
    <w:rsid w:val="00120503"/>
    <w:rsid w:val="00122169"/>
    <w:rsid w:val="00122524"/>
    <w:rsid w:val="00122D41"/>
    <w:rsid w:val="001240AE"/>
    <w:rsid w:val="00124544"/>
    <w:rsid w:val="001248A7"/>
    <w:rsid w:val="00124BDB"/>
    <w:rsid w:val="00124EF5"/>
    <w:rsid w:val="001259D5"/>
    <w:rsid w:val="001271E5"/>
    <w:rsid w:val="00127470"/>
    <w:rsid w:val="00130572"/>
    <w:rsid w:val="00131D23"/>
    <w:rsid w:val="00132558"/>
    <w:rsid w:val="00132C40"/>
    <w:rsid w:val="00134015"/>
    <w:rsid w:val="0013726C"/>
    <w:rsid w:val="00137E32"/>
    <w:rsid w:val="001400F9"/>
    <w:rsid w:val="00143EF0"/>
    <w:rsid w:val="00145131"/>
    <w:rsid w:val="00145485"/>
    <w:rsid w:val="001472A8"/>
    <w:rsid w:val="00151C05"/>
    <w:rsid w:val="0015245E"/>
    <w:rsid w:val="00153019"/>
    <w:rsid w:val="0015345E"/>
    <w:rsid w:val="001534C0"/>
    <w:rsid w:val="00153636"/>
    <w:rsid w:val="00153E21"/>
    <w:rsid w:val="0015450C"/>
    <w:rsid w:val="0015461A"/>
    <w:rsid w:val="00154EAE"/>
    <w:rsid w:val="0015580D"/>
    <w:rsid w:val="00155D63"/>
    <w:rsid w:val="00156E71"/>
    <w:rsid w:val="001571EA"/>
    <w:rsid w:val="0016031E"/>
    <w:rsid w:val="001616CC"/>
    <w:rsid w:val="001629FF"/>
    <w:rsid w:val="0016425C"/>
    <w:rsid w:val="0016501C"/>
    <w:rsid w:val="001659F2"/>
    <w:rsid w:val="00165F25"/>
    <w:rsid w:val="00166547"/>
    <w:rsid w:val="00166795"/>
    <w:rsid w:val="001674F7"/>
    <w:rsid w:val="00170D42"/>
    <w:rsid w:val="00171512"/>
    <w:rsid w:val="00172539"/>
    <w:rsid w:val="001736A5"/>
    <w:rsid w:val="00174071"/>
    <w:rsid w:val="001742A7"/>
    <w:rsid w:val="0017499E"/>
    <w:rsid w:val="00174E1D"/>
    <w:rsid w:val="00177283"/>
    <w:rsid w:val="00177800"/>
    <w:rsid w:val="00180082"/>
    <w:rsid w:val="0018210F"/>
    <w:rsid w:val="00183BD3"/>
    <w:rsid w:val="00184D90"/>
    <w:rsid w:val="00184E65"/>
    <w:rsid w:val="00186DEC"/>
    <w:rsid w:val="00187A8A"/>
    <w:rsid w:val="00187F54"/>
    <w:rsid w:val="001912FF"/>
    <w:rsid w:val="00191C8E"/>
    <w:rsid w:val="00194A11"/>
    <w:rsid w:val="001950AA"/>
    <w:rsid w:val="00195FBE"/>
    <w:rsid w:val="00196478"/>
    <w:rsid w:val="00196DDA"/>
    <w:rsid w:val="0019702E"/>
    <w:rsid w:val="00197F2F"/>
    <w:rsid w:val="001A19AA"/>
    <w:rsid w:val="001A47FA"/>
    <w:rsid w:val="001A5A91"/>
    <w:rsid w:val="001A5C8F"/>
    <w:rsid w:val="001A5E8C"/>
    <w:rsid w:val="001A5EC1"/>
    <w:rsid w:val="001A6284"/>
    <w:rsid w:val="001A7FB4"/>
    <w:rsid w:val="001B08E8"/>
    <w:rsid w:val="001B0BF1"/>
    <w:rsid w:val="001B17A4"/>
    <w:rsid w:val="001B1F83"/>
    <w:rsid w:val="001B212F"/>
    <w:rsid w:val="001B2DC9"/>
    <w:rsid w:val="001B3193"/>
    <w:rsid w:val="001B3623"/>
    <w:rsid w:val="001B3B74"/>
    <w:rsid w:val="001B429B"/>
    <w:rsid w:val="001B5105"/>
    <w:rsid w:val="001B623B"/>
    <w:rsid w:val="001B6CBF"/>
    <w:rsid w:val="001B6EFC"/>
    <w:rsid w:val="001B7C43"/>
    <w:rsid w:val="001C0C9E"/>
    <w:rsid w:val="001C0D82"/>
    <w:rsid w:val="001C0F50"/>
    <w:rsid w:val="001C1D32"/>
    <w:rsid w:val="001C1ECC"/>
    <w:rsid w:val="001C1F09"/>
    <w:rsid w:val="001C21BB"/>
    <w:rsid w:val="001C33C8"/>
    <w:rsid w:val="001C36D6"/>
    <w:rsid w:val="001C4864"/>
    <w:rsid w:val="001C50D3"/>
    <w:rsid w:val="001C581D"/>
    <w:rsid w:val="001C63C0"/>
    <w:rsid w:val="001D0375"/>
    <w:rsid w:val="001D0D2E"/>
    <w:rsid w:val="001D239C"/>
    <w:rsid w:val="001D3B32"/>
    <w:rsid w:val="001D5096"/>
    <w:rsid w:val="001D5564"/>
    <w:rsid w:val="001D5E39"/>
    <w:rsid w:val="001D6804"/>
    <w:rsid w:val="001D7556"/>
    <w:rsid w:val="001D7D1C"/>
    <w:rsid w:val="001E05D7"/>
    <w:rsid w:val="001E0B8A"/>
    <w:rsid w:val="001E2063"/>
    <w:rsid w:val="001E33AE"/>
    <w:rsid w:val="001E48C3"/>
    <w:rsid w:val="001E4C5A"/>
    <w:rsid w:val="001E577F"/>
    <w:rsid w:val="001E753C"/>
    <w:rsid w:val="001F0DC2"/>
    <w:rsid w:val="001F1282"/>
    <w:rsid w:val="001F2614"/>
    <w:rsid w:val="001F2776"/>
    <w:rsid w:val="001F3E67"/>
    <w:rsid w:val="001F4CC4"/>
    <w:rsid w:val="001F4D3E"/>
    <w:rsid w:val="001F4D97"/>
    <w:rsid w:val="001F635F"/>
    <w:rsid w:val="001F6C6B"/>
    <w:rsid w:val="001F6EE2"/>
    <w:rsid w:val="001F70C0"/>
    <w:rsid w:val="002025D1"/>
    <w:rsid w:val="00202AE9"/>
    <w:rsid w:val="00204041"/>
    <w:rsid w:val="00204AC4"/>
    <w:rsid w:val="0020589B"/>
    <w:rsid w:val="0020728C"/>
    <w:rsid w:val="00211A87"/>
    <w:rsid w:val="0021202F"/>
    <w:rsid w:val="00212BF0"/>
    <w:rsid w:val="00213417"/>
    <w:rsid w:val="00213F69"/>
    <w:rsid w:val="0021429B"/>
    <w:rsid w:val="00214484"/>
    <w:rsid w:val="00214E6B"/>
    <w:rsid w:val="00215867"/>
    <w:rsid w:val="00217525"/>
    <w:rsid w:val="00217C04"/>
    <w:rsid w:val="0022013E"/>
    <w:rsid w:val="00220A75"/>
    <w:rsid w:val="00221028"/>
    <w:rsid w:val="00221268"/>
    <w:rsid w:val="00221496"/>
    <w:rsid w:val="00221588"/>
    <w:rsid w:val="0022196A"/>
    <w:rsid w:val="002222D6"/>
    <w:rsid w:val="002231E5"/>
    <w:rsid w:val="0022472B"/>
    <w:rsid w:val="00225154"/>
    <w:rsid w:val="002254ED"/>
    <w:rsid w:val="00227EF6"/>
    <w:rsid w:val="00227FCF"/>
    <w:rsid w:val="00230622"/>
    <w:rsid w:val="00230A0C"/>
    <w:rsid w:val="00232EBD"/>
    <w:rsid w:val="0023301F"/>
    <w:rsid w:val="00233259"/>
    <w:rsid w:val="002334A7"/>
    <w:rsid w:val="00233587"/>
    <w:rsid w:val="002339B8"/>
    <w:rsid w:val="00234156"/>
    <w:rsid w:val="00235C25"/>
    <w:rsid w:val="002367A8"/>
    <w:rsid w:val="00240958"/>
    <w:rsid w:val="002423AA"/>
    <w:rsid w:val="00242A7E"/>
    <w:rsid w:val="00242EA1"/>
    <w:rsid w:val="00243AC1"/>
    <w:rsid w:val="00243E0E"/>
    <w:rsid w:val="00244062"/>
    <w:rsid w:val="00244161"/>
    <w:rsid w:val="00244347"/>
    <w:rsid w:val="00244547"/>
    <w:rsid w:val="002449F6"/>
    <w:rsid w:val="002500B0"/>
    <w:rsid w:val="00250714"/>
    <w:rsid w:val="002522CD"/>
    <w:rsid w:val="00254951"/>
    <w:rsid w:val="00254D84"/>
    <w:rsid w:val="00255ECB"/>
    <w:rsid w:val="0025665A"/>
    <w:rsid w:val="00257707"/>
    <w:rsid w:val="0026128A"/>
    <w:rsid w:val="00261A6C"/>
    <w:rsid w:val="002626DB"/>
    <w:rsid w:val="002631FB"/>
    <w:rsid w:val="002633CF"/>
    <w:rsid w:val="00263560"/>
    <w:rsid w:val="00264233"/>
    <w:rsid w:val="00264282"/>
    <w:rsid w:val="00264924"/>
    <w:rsid w:val="00266342"/>
    <w:rsid w:val="0026709A"/>
    <w:rsid w:val="00267A83"/>
    <w:rsid w:val="002723D3"/>
    <w:rsid w:val="0027259C"/>
    <w:rsid w:val="0027266B"/>
    <w:rsid w:val="002736D5"/>
    <w:rsid w:val="0027374E"/>
    <w:rsid w:val="00276F79"/>
    <w:rsid w:val="002800A6"/>
    <w:rsid w:val="00280331"/>
    <w:rsid w:val="0028058F"/>
    <w:rsid w:val="00280AC4"/>
    <w:rsid w:val="002812D2"/>
    <w:rsid w:val="002843D8"/>
    <w:rsid w:val="002850C7"/>
    <w:rsid w:val="0028517D"/>
    <w:rsid w:val="00285D6E"/>
    <w:rsid w:val="002863A4"/>
    <w:rsid w:val="0028654C"/>
    <w:rsid w:val="00286657"/>
    <w:rsid w:val="00286E3E"/>
    <w:rsid w:val="00290FE4"/>
    <w:rsid w:val="002924F6"/>
    <w:rsid w:val="00292B5F"/>
    <w:rsid w:val="002938D2"/>
    <w:rsid w:val="002948CF"/>
    <w:rsid w:val="00294A11"/>
    <w:rsid w:val="00295092"/>
    <w:rsid w:val="00297D18"/>
    <w:rsid w:val="00297D69"/>
    <w:rsid w:val="002A37EE"/>
    <w:rsid w:val="002A5356"/>
    <w:rsid w:val="002A5509"/>
    <w:rsid w:val="002A665C"/>
    <w:rsid w:val="002A6B9A"/>
    <w:rsid w:val="002A6CCF"/>
    <w:rsid w:val="002A7B1B"/>
    <w:rsid w:val="002B30C3"/>
    <w:rsid w:val="002B329D"/>
    <w:rsid w:val="002B3522"/>
    <w:rsid w:val="002B3869"/>
    <w:rsid w:val="002B7F14"/>
    <w:rsid w:val="002C03C0"/>
    <w:rsid w:val="002C155B"/>
    <w:rsid w:val="002C15E9"/>
    <w:rsid w:val="002C336E"/>
    <w:rsid w:val="002C4071"/>
    <w:rsid w:val="002C4930"/>
    <w:rsid w:val="002C5BE1"/>
    <w:rsid w:val="002C5E13"/>
    <w:rsid w:val="002C5EB6"/>
    <w:rsid w:val="002C66D7"/>
    <w:rsid w:val="002C6E15"/>
    <w:rsid w:val="002D02AF"/>
    <w:rsid w:val="002D098B"/>
    <w:rsid w:val="002D1DE4"/>
    <w:rsid w:val="002D28DE"/>
    <w:rsid w:val="002D2DED"/>
    <w:rsid w:val="002D32E4"/>
    <w:rsid w:val="002D3431"/>
    <w:rsid w:val="002D3A81"/>
    <w:rsid w:val="002D5078"/>
    <w:rsid w:val="002D58FF"/>
    <w:rsid w:val="002D76CA"/>
    <w:rsid w:val="002E0267"/>
    <w:rsid w:val="002E1546"/>
    <w:rsid w:val="002E1FF2"/>
    <w:rsid w:val="002E20CB"/>
    <w:rsid w:val="002E2A56"/>
    <w:rsid w:val="002E4080"/>
    <w:rsid w:val="002E536E"/>
    <w:rsid w:val="002E53BD"/>
    <w:rsid w:val="002E5997"/>
    <w:rsid w:val="002E6723"/>
    <w:rsid w:val="002E72BC"/>
    <w:rsid w:val="002F1BC6"/>
    <w:rsid w:val="002F260D"/>
    <w:rsid w:val="002F3BC7"/>
    <w:rsid w:val="002F475F"/>
    <w:rsid w:val="002F4BEA"/>
    <w:rsid w:val="002F7B23"/>
    <w:rsid w:val="00301B26"/>
    <w:rsid w:val="003026D8"/>
    <w:rsid w:val="00303487"/>
    <w:rsid w:val="00303C6B"/>
    <w:rsid w:val="003042AF"/>
    <w:rsid w:val="00305844"/>
    <w:rsid w:val="003069EA"/>
    <w:rsid w:val="00306F01"/>
    <w:rsid w:val="00307C66"/>
    <w:rsid w:val="003108D8"/>
    <w:rsid w:val="00310B87"/>
    <w:rsid w:val="0031169B"/>
    <w:rsid w:val="003119C7"/>
    <w:rsid w:val="003119CF"/>
    <w:rsid w:val="00313641"/>
    <w:rsid w:val="00313ED2"/>
    <w:rsid w:val="003159D9"/>
    <w:rsid w:val="003178A5"/>
    <w:rsid w:val="00317F3D"/>
    <w:rsid w:val="00320182"/>
    <w:rsid w:val="00320218"/>
    <w:rsid w:val="00320913"/>
    <w:rsid w:val="0032096F"/>
    <w:rsid w:val="00320CCD"/>
    <w:rsid w:val="00321506"/>
    <w:rsid w:val="003216FD"/>
    <w:rsid w:val="00321989"/>
    <w:rsid w:val="00322663"/>
    <w:rsid w:val="003229B0"/>
    <w:rsid w:val="00324529"/>
    <w:rsid w:val="00324FC9"/>
    <w:rsid w:val="00325040"/>
    <w:rsid w:val="00325A16"/>
    <w:rsid w:val="0032609C"/>
    <w:rsid w:val="00326625"/>
    <w:rsid w:val="003306F6"/>
    <w:rsid w:val="003308FB"/>
    <w:rsid w:val="00330FB3"/>
    <w:rsid w:val="0033189E"/>
    <w:rsid w:val="003363BA"/>
    <w:rsid w:val="00336AE2"/>
    <w:rsid w:val="00340FD6"/>
    <w:rsid w:val="003415F3"/>
    <w:rsid w:val="00342979"/>
    <w:rsid w:val="00343D2D"/>
    <w:rsid w:val="00344BC8"/>
    <w:rsid w:val="00346B64"/>
    <w:rsid w:val="003471CB"/>
    <w:rsid w:val="003503C4"/>
    <w:rsid w:val="003512EC"/>
    <w:rsid w:val="0035140D"/>
    <w:rsid w:val="00352124"/>
    <w:rsid w:val="00352EAF"/>
    <w:rsid w:val="0035351F"/>
    <w:rsid w:val="00353946"/>
    <w:rsid w:val="00354391"/>
    <w:rsid w:val="003551F9"/>
    <w:rsid w:val="003556FA"/>
    <w:rsid w:val="00355FCC"/>
    <w:rsid w:val="00356FA2"/>
    <w:rsid w:val="00360D1B"/>
    <w:rsid w:val="00360D3A"/>
    <w:rsid w:val="00361344"/>
    <w:rsid w:val="00361E94"/>
    <w:rsid w:val="00361FE7"/>
    <w:rsid w:val="003641E4"/>
    <w:rsid w:val="00364A7E"/>
    <w:rsid w:val="00365C77"/>
    <w:rsid w:val="00366DDA"/>
    <w:rsid w:val="003671B0"/>
    <w:rsid w:val="00370918"/>
    <w:rsid w:val="00371664"/>
    <w:rsid w:val="00371DB2"/>
    <w:rsid w:val="0037202A"/>
    <w:rsid w:val="00374DA1"/>
    <w:rsid w:val="00375698"/>
    <w:rsid w:val="003756DD"/>
    <w:rsid w:val="00375888"/>
    <w:rsid w:val="00376FDB"/>
    <w:rsid w:val="00380269"/>
    <w:rsid w:val="00380BB5"/>
    <w:rsid w:val="00381482"/>
    <w:rsid w:val="003816A8"/>
    <w:rsid w:val="00381DC8"/>
    <w:rsid w:val="0038357C"/>
    <w:rsid w:val="00383693"/>
    <w:rsid w:val="0038379D"/>
    <w:rsid w:val="00384D46"/>
    <w:rsid w:val="00386C76"/>
    <w:rsid w:val="00390263"/>
    <w:rsid w:val="0039076C"/>
    <w:rsid w:val="00391227"/>
    <w:rsid w:val="003912E1"/>
    <w:rsid w:val="00391966"/>
    <w:rsid w:val="00394100"/>
    <w:rsid w:val="003947F8"/>
    <w:rsid w:val="00396C66"/>
    <w:rsid w:val="00396C8D"/>
    <w:rsid w:val="00396D55"/>
    <w:rsid w:val="00397C09"/>
    <w:rsid w:val="003A1A9E"/>
    <w:rsid w:val="003A2A5C"/>
    <w:rsid w:val="003A3A26"/>
    <w:rsid w:val="003A556C"/>
    <w:rsid w:val="003A5F81"/>
    <w:rsid w:val="003A7296"/>
    <w:rsid w:val="003B0CD0"/>
    <w:rsid w:val="003B12E2"/>
    <w:rsid w:val="003B1D92"/>
    <w:rsid w:val="003B27CB"/>
    <w:rsid w:val="003B4085"/>
    <w:rsid w:val="003B4201"/>
    <w:rsid w:val="003B587C"/>
    <w:rsid w:val="003B5920"/>
    <w:rsid w:val="003B5AD1"/>
    <w:rsid w:val="003B5F96"/>
    <w:rsid w:val="003B61DB"/>
    <w:rsid w:val="003B6467"/>
    <w:rsid w:val="003B72F2"/>
    <w:rsid w:val="003B7B66"/>
    <w:rsid w:val="003C1922"/>
    <w:rsid w:val="003C3D72"/>
    <w:rsid w:val="003C3E32"/>
    <w:rsid w:val="003C5554"/>
    <w:rsid w:val="003C5D8E"/>
    <w:rsid w:val="003D0015"/>
    <w:rsid w:val="003D070D"/>
    <w:rsid w:val="003D0C4F"/>
    <w:rsid w:val="003D2C31"/>
    <w:rsid w:val="003D4896"/>
    <w:rsid w:val="003D4DAA"/>
    <w:rsid w:val="003D615E"/>
    <w:rsid w:val="003D69DE"/>
    <w:rsid w:val="003D6ADD"/>
    <w:rsid w:val="003D6AF0"/>
    <w:rsid w:val="003E0D20"/>
    <w:rsid w:val="003E219B"/>
    <w:rsid w:val="003E2EF0"/>
    <w:rsid w:val="003E48F0"/>
    <w:rsid w:val="003E651F"/>
    <w:rsid w:val="003E6768"/>
    <w:rsid w:val="003E7334"/>
    <w:rsid w:val="003F0B30"/>
    <w:rsid w:val="003F12FC"/>
    <w:rsid w:val="003F2708"/>
    <w:rsid w:val="003F350A"/>
    <w:rsid w:val="003F4124"/>
    <w:rsid w:val="003F4707"/>
    <w:rsid w:val="003F4809"/>
    <w:rsid w:val="003F5E91"/>
    <w:rsid w:val="003F72AC"/>
    <w:rsid w:val="003F7473"/>
    <w:rsid w:val="003F770D"/>
    <w:rsid w:val="004017E4"/>
    <w:rsid w:val="004018EA"/>
    <w:rsid w:val="00402006"/>
    <w:rsid w:val="0040252F"/>
    <w:rsid w:val="0040280D"/>
    <w:rsid w:val="00402AC9"/>
    <w:rsid w:val="0040711D"/>
    <w:rsid w:val="00407587"/>
    <w:rsid w:val="00411DEF"/>
    <w:rsid w:val="00412C60"/>
    <w:rsid w:val="004130B3"/>
    <w:rsid w:val="004144E4"/>
    <w:rsid w:val="00415626"/>
    <w:rsid w:val="00417684"/>
    <w:rsid w:val="004179CA"/>
    <w:rsid w:val="00420141"/>
    <w:rsid w:val="00420C1B"/>
    <w:rsid w:val="004228F2"/>
    <w:rsid w:val="00422EE3"/>
    <w:rsid w:val="00422F2B"/>
    <w:rsid w:val="004231D7"/>
    <w:rsid w:val="00423615"/>
    <w:rsid w:val="00423E57"/>
    <w:rsid w:val="004241C7"/>
    <w:rsid w:val="004247C4"/>
    <w:rsid w:val="00425EDC"/>
    <w:rsid w:val="00426831"/>
    <w:rsid w:val="00427474"/>
    <w:rsid w:val="00427CD4"/>
    <w:rsid w:val="00427E17"/>
    <w:rsid w:val="004301C0"/>
    <w:rsid w:val="00430472"/>
    <w:rsid w:val="00435F64"/>
    <w:rsid w:val="00436B00"/>
    <w:rsid w:val="00437D69"/>
    <w:rsid w:val="004402C3"/>
    <w:rsid w:val="00440BAD"/>
    <w:rsid w:val="0044171D"/>
    <w:rsid w:val="00441B1D"/>
    <w:rsid w:val="004428EB"/>
    <w:rsid w:val="00442A60"/>
    <w:rsid w:val="00442D00"/>
    <w:rsid w:val="004431F4"/>
    <w:rsid w:val="00443B65"/>
    <w:rsid w:val="00443BD3"/>
    <w:rsid w:val="00443EDA"/>
    <w:rsid w:val="0044537E"/>
    <w:rsid w:val="00445634"/>
    <w:rsid w:val="00445E09"/>
    <w:rsid w:val="0044616B"/>
    <w:rsid w:val="00447A1D"/>
    <w:rsid w:val="00450985"/>
    <w:rsid w:val="00450D2A"/>
    <w:rsid w:val="00450F74"/>
    <w:rsid w:val="004522A1"/>
    <w:rsid w:val="00453984"/>
    <w:rsid w:val="00453A1F"/>
    <w:rsid w:val="00454140"/>
    <w:rsid w:val="00454EEC"/>
    <w:rsid w:val="0045523F"/>
    <w:rsid w:val="00455A1D"/>
    <w:rsid w:val="00456112"/>
    <w:rsid w:val="00456D47"/>
    <w:rsid w:val="00456F13"/>
    <w:rsid w:val="0045711F"/>
    <w:rsid w:val="00460921"/>
    <w:rsid w:val="00461C14"/>
    <w:rsid w:val="0046299A"/>
    <w:rsid w:val="0046404C"/>
    <w:rsid w:val="00466661"/>
    <w:rsid w:val="0046666F"/>
    <w:rsid w:val="00467E01"/>
    <w:rsid w:val="00470435"/>
    <w:rsid w:val="00474AD0"/>
    <w:rsid w:val="00476635"/>
    <w:rsid w:val="004766A4"/>
    <w:rsid w:val="0048370F"/>
    <w:rsid w:val="00483EF7"/>
    <w:rsid w:val="00484453"/>
    <w:rsid w:val="00484856"/>
    <w:rsid w:val="00486F23"/>
    <w:rsid w:val="00490A82"/>
    <w:rsid w:val="00491C96"/>
    <w:rsid w:val="00492332"/>
    <w:rsid w:val="00493573"/>
    <w:rsid w:val="0049361C"/>
    <w:rsid w:val="00493D65"/>
    <w:rsid w:val="0049600E"/>
    <w:rsid w:val="00496335"/>
    <w:rsid w:val="00496B7A"/>
    <w:rsid w:val="004A0CAC"/>
    <w:rsid w:val="004A374B"/>
    <w:rsid w:val="004A4725"/>
    <w:rsid w:val="004A53AC"/>
    <w:rsid w:val="004A5723"/>
    <w:rsid w:val="004A6A2A"/>
    <w:rsid w:val="004A76B9"/>
    <w:rsid w:val="004B0182"/>
    <w:rsid w:val="004B09F6"/>
    <w:rsid w:val="004B149C"/>
    <w:rsid w:val="004B2F80"/>
    <w:rsid w:val="004B5025"/>
    <w:rsid w:val="004B574D"/>
    <w:rsid w:val="004B75BA"/>
    <w:rsid w:val="004B75D6"/>
    <w:rsid w:val="004C0819"/>
    <w:rsid w:val="004C0F64"/>
    <w:rsid w:val="004C0F8D"/>
    <w:rsid w:val="004C12CB"/>
    <w:rsid w:val="004C1E0B"/>
    <w:rsid w:val="004C2496"/>
    <w:rsid w:val="004C33C0"/>
    <w:rsid w:val="004C4FE7"/>
    <w:rsid w:val="004C5595"/>
    <w:rsid w:val="004C6345"/>
    <w:rsid w:val="004C6B39"/>
    <w:rsid w:val="004D0902"/>
    <w:rsid w:val="004D24BE"/>
    <w:rsid w:val="004D65D9"/>
    <w:rsid w:val="004D71EF"/>
    <w:rsid w:val="004E039E"/>
    <w:rsid w:val="004E06C7"/>
    <w:rsid w:val="004E1ACD"/>
    <w:rsid w:val="004E209D"/>
    <w:rsid w:val="004E35F0"/>
    <w:rsid w:val="004E4233"/>
    <w:rsid w:val="004E5302"/>
    <w:rsid w:val="004E5688"/>
    <w:rsid w:val="004E5737"/>
    <w:rsid w:val="004E6E4A"/>
    <w:rsid w:val="004E72FC"/>
    <w:rsid w:val="004F0117"/>
    <w:rsid w:val="004F0646"/>
    <w:rsid w:val="004F08B7"/>
    <w:rsid w:val="004F25FE"/>
    <w:rsid w:val="004F3628"/>
    <w:rsid w:val="004F3787"/>
    <w:rsid w:val="004F4331"/>
    <w:rsid w:val="004F4E22"/>
    <w:rsid w:val="004F67C4"/>
    <w:rsid w:val="005005C3"/>
    <w:rsid w:val="0050124A"/>
    <w:rsid w:val="00501AAF"/>
    <w:rsid w:val="00501B86"/>
    <w:rsid w:val="0050227D"/>
    <w:rsid w:val="00502DF0"/>
    <w:rsid w:val="005058B0"/>
    <w:rsid w:val="00506957"/>
    <w:rsid w:val="00506B6F"/>
    <w:rsid w:val="005072E1"/>
    <w:rsid w:val="005079D2"/>
    <w:rsid w:val="00507EB4"/>
    <w:rsid w:val="00511635"/>
    <w:rsid w:val="005117C9"/>
    <w:rsid w:val="005124B5"/>
    <w:rsid w:val="00512A52"/>
    <w:rsid w:val="00513718"/>
    <w:rsid w:val="00513EB6"/>
    <w:rsid w:val="005150A6"/>
    <w:rsid w:val="00520358"/>
    <w:rsid w:val="00521352"/>
    <w:rsid w:val="00522F54"/>
    <w:rsid w:val="005232A3"/>
    <w:rsid w:val="005250AF"/>
    <w:rsid w:val="005269F6"/>
    <w:rsid w:val="005272EF"/>
    <w:rsid w:val="00527780"/>
    <w:rsid w:val="00530AC1"/>
    <w:rsid w:val="00532878"/>
    <w:rsid w:val="0053322D"/>
    <w:rsid w:val="00533316"/>
    <w:rsid w:val="00534AA9"/>
    <w:rsid w:val="0053587F"/>
    <w:rsid w:val="00535FE0"/>
    <w:rsid w:val="00540303"/>
    <w:rsid w:val="00540347"/>
    <w:rsid w:val="00540405"/>
    <w:rsid w:val="005407CD"/>
    <w:rsid w:val="00541C16"/>
    <w:rsid w:val="00541E93"/>
    <w:rsid w:val="005422E8"/>
    <w:rsid w:val="00543AF8"/>
    <w:rsid w:val="00543FEF"/>
    <w:rsid w:val="005446A8"/>
    <w:rsid w:val="00545201"/>
    <w:rsid w:val="00545424"/>
    <w:rsid w:val="00545CF9"/>
    <w:rsid w:val="00546259"/>
    <w:rsid w:val="00547767"/>
    <w:rsid w:val="0055245E"/>
    <w:rsid w:val="0055275C"/>
    <w:rsid w:val="00552EE4"/>
    <w:rsid w:val="00553A2D"/>
    <w:rsid w:val="00554D3A"/>
    <w:rsid w:val="00556CB6"/>
    <w:rsid w:val="00557BD4"/>
    <w:rsid w:val="00557CC3"/>
    <w:rsid w:val="00557EB6"/>
    <w:rsid w:val="00561321"/>
    <w:rsid w:val="00561C92"/>
    <w:rsid w:val="005623B7"/>
    <w:rsid w:val="00562E04"/>
    <w:rsid w:val="00564B43"/>
    <w:rsid w:val="005710B7"/>
    <w:rsid w:val="00571762"/>
    <w:rsid w:val="005726A1"/>
    <w:rsid w:val="00572DFD"/>
    <w:rsid w:val="005744CC"/>
    <w:rsid w:val="00574826"/>
    <w:rsid w:val="00574DAA"/>
    <w:rsid w:val="0057656E"/>
    <w:rsid w:val="005775DB"/>
    <w:rsid w:val="00580E91"/>
    <w:rsid w:val="00580F2B"/>
    <w:rsid w:val="00581CB4"/>
    <w:rsid w:val="0058227D"/>
    <w:rsid w:val="00582C9E"/>
    <w:rsid w:val="00583365"/>
    <w:rsid w:val="0058373E"/>
    <w:rsid w:val="00583D18"/>
    <w:rsid w:val="00583FB0"/>
    <w:rsid w:val="00584434"/>
    <w:rsid w:val="005844BC"/>
    <w:rsid w:val="00584934"/>
    <w:rsid w:val="00584FA4"/>
    <w:rsid w:val="00585D78"/>
    <w:rsid w:val="005871A0"/>
    <w:rsid w:val="0059120D"/>
    <w:rsid w:val="00591F45"/>
    <w:rsid w:val="00592E45"/>
    <w:rsid w:val="00593B19"/>
    <w:rsid w:val="00596C68"/>
    <w:rsid w:val="005A13D3"/>
    <w:rsid w:val="005A1DE8"/>
    <w:rsid w:val="005A1E1D"/>
    <w:rsid w:val="005A2D2B"/>
    <w:rsid w:val="005A37EA"/>
    <w:rsid w:val="005A55F1"/>
    <w:rsid w:val="005A6490"/>
    <w:rsid w:val="005A6589"/>
    <w:rsid w:val="005A6877"/>
    <w:rsid w:val="005A6C3A"/>
    <w:rsid w:val="005A6F29"/>
    <w:rsid w:val="005A7802"/>
    <w:rsid w:val="005B0F6E"/>
    <w:rsid w:val="005B1249"/>
    <w:rsid w:val="005B1D09"/>
    <w:rsid w:val="005B1EF8"/>
    <w:rsid w:val="005B2253"/>
    <w:rsid w:val="005B2F97"/>
    <w:rsid w:val="005B3314"/>
    <w:rsid w:val="005B3590"/>
    <w:rsid w:val="005B408B"/>
    <w:rsid w:val="005B48A5"/>
    <w:rsid w:val="005B4E09"/>
    <w:rsid w:val="005B5158"/>
    <w:rsid w:val="005B6781"/>
    <w:rsid w:val="005B6A08"/>
    <w:rsid w:val="005B724A"/>
    <w:rsid w:val="005B7E76"/>
    <w:rsid w:val="005C0D11"/>
    <w:rsid w:val="005C1986"/>
    <w:rsid w:val="005C271E"/>
    <w:rsid w:val="005C33D1"/>
    <w:rsid w:val="005C43C1"/>
    <w:rsid w:val="005C5509"/>
    <w:rsid w:val="005C58F5"/>
    <w:rsid w:val="005C5A08"/>
    <w:rsid w:val="005C5FB3"/>
    <w:rsid w:val="005C672B"/>
    <w:rsid w:val="005C723E"/>
    <w:rsid w:val="005C741C"/>
    <w:rsid w:val="005D0074"/>
    <w:rsid w:val="005D0716"/>
    <w:rsid w:val="005D1734"/>
    <w:rsid w:val="005D25FB"/>
    <w:rsid w:val="005D31BF"/>
    <w:rsid w:val="005D3D65"/>
    <w:rsid w:val="005D41BB"/>
    <w:rsid w:val="005D4357"/>
    <w:rsid w:val="005D4449"/>
    <w:rsid w:val="005D6EA1"/>
    <w:rsid w:val="005E0D23"/>
    <w:rsid w:val="005E1C0F"/>
    <w:rsid w:val="005E1DEE"/>
    <w:rsid w:val="005E22C6"/>
    <w:rsid w:val="005E2810"/>
    <w:rsid w:val="005E2FC3"/>
    <w:rsid w:val="005E3249"/>
    <w:rsid w:val="005E3574"/>
    <w:rsid w:val="005E3765"/>
    <w:rsid w:val="005E42F1"/>
    <w:rsid w:val="005E46A5"/>
    <w:rsid w:val="005E47FB"/>
    <w:rsid w:val="005E4E24"/>
    <w:rsid w:val="005E510B"/>
    <w:rsid w:val="005E52EC"/>
    <w:rsid w:val="005E5E69"/>
    <w:rsid w:val="005E6143"/>
    <w:rsid w:val="005E6703"/>
    <w:rsid w:val="005E6C9D"/>
    <w:rsid w:val="005F13FF"/>
    <w:rsid w:val="005F26AF"/>
    <w:rsid w:val="005F4279"/>
    <w:rsid w:val="005F47F8"/>
    <w:rsid w:val="005F4B3E"/>
    <w:rsid w:val="005F5016"/>
    <w:rsid w:val="005F5121"/>
    <w:rsid w:val="005F5746"/>
    <w:rsid w:val="005F6946"/>
    <w:rsid w:val="005F6EFA"/>
    <w:rsid w:val="005F702B"/>
    <w:rsid w:val="005F738E"/>
    <w:rsid w:val="005F7D3D"/>
    <w:rsid w:val="00601B68"/>
    <w:rsid w:val="00602157"/>
    <w:rsid w:val="00603942"/>
    <w:rsid w:val="006070D7"/>
    <w:rsid w:val="00607AF2"/>
    <w:rsid w:val="00610206"/>
    <w:rsid w:val="00610549"/>
    <w:rsid w:val="00610EAC"/>
    <w:rsid w:val="00611D39"/>
    <w:rsid w:val="006132F7"/>
    <w:rsid w:val="006148F5"/>
    <w:rsid w:val="00616588"/>
    <w:rsid w:val="00616A2E"/>
    <w:rsid w:val="006173F4"/>
    <w:rsid w:val="00620DAC"/>
    <w:rsid w:val="006212EB"/>
    <w:rsid w:val="0062151B"/>
    <w:rsid w:val="00622590"/>
    <w:rsid w:val="00622B07"/>
    <w:rsid w:val="00622D89"/>
    <w:rsid w:val="006234EE"/>
    <w:rsid w:val="00624B76"/>
    <w:rsid w:val="00624BB5"/>
    <w:rsid w:val="00624C19"/>
    <w:rsid w:val="00626F76"/>
    <w:rsid w:val="006304E4"/>
    <w:rsid w:val="00630984"/>
    <w:rsid w:val="00631B75"/>
    <w:rsid w:val="00631EF7"/>
    <w:rsid w:val="006325DA"/>
    <w:rsid w:val="00633B92"/>
    <w:rsid w:val="0063431F"/>
    <w:rsid w:val="00634742"/>
    <w:rsid w:val="00636F44"/>
    <w:rsid w:val="0064099A"/>
    <w:rsid w:val="006437AF"/>
    <w:rsid w:val="00647F6F"/>
    <w:rsid w:val="00647FCD"/>
    <w:rsid w:val="006512E2"/>
    <w:rsid w:val="006518A4"/>
    <w:rsid w:val="006526E4"/>
    <w:rsid w:val="00652849"/>
    <w:rsid w:val="006538B0"/>
    <w:rsid w:val="006538B7"/>
    <w:rsid w:val="00655A9B"/>
    <w:rsid w:val="00655E38"/>
    <w:rsid w:val="00655FAA"/>
    <w:rsid w:val="00656B3D"/>
    <w:rsid w:val="006602A4"/>
    <w:rsid w:val="00660A94"/>
    <w:rsid w:val="0066121B"/>
    <w:rsid w:val="006620BE"/>
    <w:rsid w:val="006644D1"/>
    <w:rsid w:val="00664874"/>
    <w:rsid w:val="00664EB3"/>
    <w:rsid w:val="00665804"/>
    <w:rsid w:val="00666BA5"/>
    <w:rsid w:val="00666C46"/>
    <w:rsid w:val="00666FAD"/>
    <w:rsid w:val="006672E0"/>
    <w:rsid w:val="00667C31"/>
    <w:rsid w:val="00670473"/>
    <w:rsid w:val="00671908"/>
    <w:rsid w:val="00671EAF"/>
    <w:rsid w:val="00672521"/>
    <w:rsid w:val="00672C89"/>
    <w:rsid w:val="0067443B"/>
    <w:rsid w:val="00674786"/>
    <w:rsid w:val="00674F71"/>
    <w:rsid w:val="006754C0"/>
    <w:rsid w:val="00675DFE"/>
    <w:rsid w:val="006769D4"/>
    <w:rsid w:val="006808D7"/>
    <w:rsid w:val="006814A8"/>
    <w:rsid w:val="00681D8C"/>
    <w:rsid w:val="0068264A"/>
    <w:rsid w:val="0068452B"/>
    <w:rsid w:val="00685C91"/>
    <w:rsid w:val="00691E11"/>
    <w:rsid w:val="00691EF5"/>
    <w:rsid w:val="00693A44"/>
    <w:rsid w:val="00696361"/>
    <w:rsid w:val="006965FA"/>
    <w:rsid w:val="006976BE"/>
    <w:rsid w:val="00697D51"/>
    <w:rsid w:val="00697EA6"/>
    <w:rsid w:val="006A196F"/>
    <w:rsid w:val="006A27D7"/>
    <w:rsid w:val="006A2C55"/>
    <w:rsid w:val="006A32FC"/>
    <w:rsid w:val="006A34FB"/>
    <w:rsid w:val="006A40F1"/>
    <w:rsid w:val="006A43C0"/>
    <w:rsid w:val="006A64C9"/>
    <w:rsid w:val="006A67DD"/>
    <w:rsid w:val="006A6A8D"/>
    <w:rsid w:val="006A6E48"/>
    <w:rsid w:val="006B05EE"/>
    <w:rsid w:val="006B0EC7"/>
    <w:rsid w:val="006B0FB4"/>
    <w:rsid w:val="006B2C61"/>
    <w:rsid w:val="006B3D39"/>
    <w:rsid w:val="006B49F7"/>
    <w:rsid w:val="006B5600"/>
    <w:rsid w:val="006B6AD5"/>
    <w:rsid w:val="006B7136"/>
    <w:rsid w:val="006B7B3E"/>
    <w:rsid w:val="006C03FE"/>
    <w:rsid w:val="006C0F14"/>
    <w:rsid w:val="006C1342"/>
    <w:rsid w:val="006C1ADB"/>
    <w:rsid w:val="006C1F98"/>
    <w:rsid w:val="006C1FBE"/>
    <w:rsid w:val="006C2AB9"/>
    <w:rsid w:val="006C38FC"/>
    <w:rsid w:val="006C5F48"/>
    <w:rsid w:val="006C61DE"/>
    <w:rsid w:val="006C64FC"/>
    <w:rsid w:val="006C6A48"/>
    <w:rsid w:val="006D08C7"/>
    <w:rsid w:val="006D3634"/>
    <w:rsid w:val="006D3E26"/>
    <w:rsid w:val="006D429B"/>
    <w:rsid w:val="006D4A80"/>
    <w:rsid w:val="006D5285"/>
    <w:rsid w:val="006D61EF"/>
    <w:rsid w:val="006D64B4"/>
    <w:rsid w:val="006D7000"/>
    <w:rsid w:val="006E0E14"/>
    <w:rsid w:val="006E0E5B"/>
    <w:rsid w:val="006E13C0"/>
    <w:rsid w:val="006E14E0"/>
    <w:rsid w:val="006E1CC9"/>
    <w:rsid w:val="006E2193"/>
    <w:rsid w:val="006E4D32"/>
    <w:rsid w:val="006E646A"/>
    <w:rsid w:val="006E7225"/>
    <w:rsid w:val="006E73B7"/>
    <w:rsid w:val="006F0716"/>
    <w:rsid w:val="006F1D78"/>
    <w:rsid w:val="006F2A90"/>
    <w:rsid w:val="006F2B8D"/>
    <w:rsid w:val="006F432E"/>
    <w:rsid w:val="006F465C"/>
    <w:rsid w:val="006F6952"/>
    <w:rsid w:val="007001C1"/>
    <w:rsid w:val="00701E20"/>
    <w:rsid w:val="00702626"/>
    <w:rsid w:val="007042CE"/>
    <w:rsid w:val="00704ABC"/>
    <w:rsid w:val="007062D7"/>
    <w:rsid w:val="0070641B"/>
    <w:rsid w:val="007076D5"/>
    <w:rsid w:val="00707BB2"/>
    <w:rsid w:val="00707EEA"/>
    <w:rsid w:val="00710500"/>
    <w:rsid w:val="007108ED"/>
    <w:rsid w:val="00710CAB"/>
    <w:rsid w:val="0071247F"/>
    <w:rsid w:val="00712864"/>
    <w:rsid w:val="00715273"/>
    <w:rsid w:val="007156AE"/>
    <w:rsid w:val="007178A7"/>
    <w:rsid w:val="00720223"/>
    <w:rsid w:val="007208D0"/>
    <w:rsid w:val="007220AC"/>
    <w:rsid w:val="00723ADA"/>
    <w:rsid w:val="00723E81"/>
    <w:rsid w:val="00725616"/>
    <w:rsid w:val="0072578D"/>
    <w:rsid w:val="00727D76"/>
    <w:rsid w:val="00730749"/>
    <w:rsid w:val="00731624"/>
    <w:rsid w:val="00731692"/>
    <w:rsid w:val="0073226F"/>
    <w:rsid w:val="00732D6F"/>
    <w:rsid w:val="0073411C"/>
    <w:rsid w:val="00735043"/>
    <w:rsid w:val="00740747"/>
    <w:rsid w:val="007427E7"/>
    <w:rsid w:val="00743DC7"/>
    <w:rsid w:val="00746A33"/>
    <w:rsid w:val="0074744C"/>
    <w:rsid w:val="00750078"/>
    <w:rsid w:val="0075165F"/>
    <w:rsid w:val="007518DA"/>
    <w:rsid w:val="00752DF2"/>
    <w:rsid w:val="007548E0"/>
    <w:rsid w:val="00754A63"/>
    <w:rsid w:val="00754C9F"/>
    <w:rsid w:val="0075784E"/>
    <w:rsid w:val="00760A2B"/>
    <w:rsid w:val="0076110B"/>
    <w:rsid w:val="0076170B"/>
    <w:rsid w:val="00761E36"/>
    <w:rsid w:val="00762040"/>
    <w:rsid w:val="007629EE"/>
    <w:rsid w:val="007636AC"/>
    <w:rsid w:val="00763A05"/>
    <w:rsid w:val="007653B5"/>
    <w:rsid w:val="00765E35"/>
    <w:rsid w:val="0076751E"/>
    <w:rsid w:val="007678A7"/>
    <w:rsid w:val="007679A0"/>
    <w:rsid w:val="00767B63"/>
    <w:rsid w:val="0077334F"/>
    <w:rsid w:val="00773A97"/>
    <w:rsid w:val="00773DE7"/>
    <w:rsid w:val="00774C2D"/>
    <w:rsid w:val="00775219"/>
    <w:rsid w:val="00775F91"/>
    <w:rsid w:val="007764C2"/>
    <w:rsid w:val="00776803"/>
    <w:rsid w:val="00777D4C"/>
    <w:rsid w:val="00777EE5"/>
    <w:rsid w:val="00781A81"/>
    <w:rsid w:val="007825A6"/>
    <w:rsid w:val="00782DB6"/>
    <w:rsid w:val="0078313E"/>
    <w:rsid w:val="007833A2"/>
    <w:rsid w:val="007841AE"/>
    <w:rsid w:val="00785FB7"/>
    <w:rsid w:val="00785FE1"/>
    <w:rsid w:val="007865F1"/>
    <w:rsid w:val="00787BF6"/>
    <w:rsid w:val="00787EE3"/>
    <w:rsid w:val="00792575"/>
    <w:rsid w:val="00792620"/>
    <w:rsid w:val="00792A79"/>
    <w:rsid w:val="0079345A"/>
    <w:rsid w:val="007937B2"/>
    <w:rsid w:val="00794E7D"/>
    <w:rsid w:val="00795387"/>
    <w:rsid w:val="007954D1"/>
    <w:rsid w:val="00795500"/>
    <w:rsid w:val="00795B42"/>
    <w:rsid w:val="007974BC"/>
    <w:rsid w:val="007A00BC"/>
    <w:rsid w:val="007A0C72"/>
    <w:rsid w:val="007A1AF0"/>
    <w:rsid w:val="007A277B"/>
    <w:rsid w:val="007A351D"/>
    <w:rsid w:val="007A769A"/>
    <w:rsid w:val="007B1C4A"/>
    <w:rsid w:val="007B1DA4"/>
    <w:rsid w:val="007B2F2C"/>
    <w:rsid w:val="007B3167"/>
    <w:rsid w:val="007B3819"/>
    <w:rsid w:val="007B4B28"/>
    <w:rsid w:val="007B5A3E"/>
    <w:rsid w:val="007B7DCD"/>
    <w:rsid w:val="007C319C"/>
    <w:rsid w:val="007C5130"/>
    <w:rsid w:val="007C584E"/>
    <w:rsid w:val="007C6252"/>
    <w:rsid w:val="007C721D"/>
    <w:rsid w:val="007C762A"/>
    <w:rsid w:val="007D00BF"/>
    <w:rsid w:val="007D0B95"/>
    <w:rsid w:val="007D208C"/>
    <w:rsid w:val="007D3B59"/>
    <w:rsid w:val="007D45E6"/>
    <w:rsid w:val="007D5104"/>
    <w:rsid w:val="007D5F03"/>
    <w:rsid w:val="007D62A8"/>
    <w:rsid w:val="007D7F11"/>
    <w:rsid w:val="007E0449"/>
    <w:rsid w:val="007E0871"/>
    <w:rsid w:val="007E135B"/>
    <w:rsid w:val="007E30D2"/>
    <w:rsid w:val="007E3A06"/>
    <w:rsid w:val="007E402E"/>
    <w:rsid w:val="007E4CA2"/>
    <w:rsid w:val="007E54FE"/>
    <w:rsid w:val="007E5A67"/>
    <w:rsid w:val="007E5CE8"/>
    <w:rsid w:val="007F0433"/>
    <w:rsid w:val="007F23C0"/>
    <w:rsid w:val="007F2438"/>
    <w:rsid w:val="007F253F"/>
    <w:rsid w:val="007F25AF"/>
    <w:rsid w:val="007F34EE"/>
    <w:rsid w:val="007F4D0B"/>
    <w:rsid w:val="007F5150"/>
    <w:rsid w:val="007F556A"/>
    <w:rsid w:val="007F5B06"/>
    <w:rsid w:val="007F6E19"/>
    <w:rsid w:val="007F7925"/>
    <w:rsid w:val="00800248"/>
    <w:rsid w:val="00800266"/>
    <w:rsid w:val="008005DD"/>
    <w:rsid w:val="00800B58"/>
    <w:rsid w:val="00801958"/>
    <w:rsid w:val="00803924"/>
    <w:rsid w:val="00803A8A"/>
    <w:rsid w:val="00805314"/>
    <w:rsid w:val="008067DB"/>
    <w:rsid w:val="00806E0E"/>
    <w:rsid w:val="00806FDD"/>
    <w:rsid w:val="0080720C"/>
    <w:rsid w:val="00810654"/>
    <w:rsid w:val="00810D07"/>
    <w:rsid w:val="0081196B"/>
    <w:rsid w:val="008121B4"/>
    <w:rsid w:val="0081404C"/>
    <w:rsid w:val="008152CA"/>
    <w:rsid w:val="00815569"/>
    <w:rsid w:val="00815835"/>
    <w:rsid w:val="00815B52"/>
    <w:rsid w:val="00815F5F"/>
    <w:rsid w:val="00816780"/>
    <w:rsid w:val="00816D77"/>
    <w:rsid w:val="0081725D"/>
    <w:rsid w:val="00817E86"/>
    <w:rsid w:val="00820712"/>
    <w:rsid w:val="00821A6C"/>
    <w:rsid w:val="00822EDF"/>
    <w:rsid w:val="00823AB3"/>
    <w:rsid w:val="00824C73"/>
    <w:rsid w:val="0082504D"/>
    <w:rsid w:val="008250FB"/>
    <w:rsid w:val="0082631D"/>
    <w:rsid w:val="00830399"/>
    <w:rsid w:val="00830618"/>
    <w:rsid w:val="0083090F"/>
    <w:rsid w:val="00830FC6"/>
    <w:rsid w:val="008315E5"/>
    <w:rsid w:val="00831E5D"/>
    <w:rsid w:val="0083274D"/>
    <w:rsid w:val="00832DD1"/>
    <w:rsid w:val="008333D6"/>
    <w:rsid w:val="008335D0"/>
    <w:rsid w:val="00833C3C"/>
    <w:rsid w:val="00834B18"/>
    <w:rsid w:val="008358BA"/>
    <w:rsid w:val="0083602B"/>
    <w:rsid w:val="0083630B"/>
    <w:rsid w:val="00837888"/>
    <w:rsid w:val="00841222"/>
    <w:rsid w:val="0084187C"/>
    <w:rsid w:val="00841D13"/>
    <w:rsid w:val="00842C98"/>
    <w:rsid w:val="00842DBE"/>
    <w:rsid w:val="00842F58"/>
    <w:rsid w:val="00842F86"/>
    <w:rsid w:val="00842FB9"/>
    <w:rsid w:val="00843901"/>
    <w:rsid w:val="008451CA"/>
    <w:rsid w:val="008455EF"/>
    <w:rsid w:val="00846BBC"/>
    <w:rsid w:val="00846C55"/>
    <w:rsid w:val="00846DF1"/>
    <w:rsid w:val="00847249"/>
    <w:rsid w:val="00847A48"/>
    <w:rsid w:val="00847BF9"/>
    <w:rsid w:val="00847E13"/>
    <w:rsid w:val="00850423"/>
    <w:rsid w:val="00852ABD"/>
    <w:rsid w:val="00853166"/>
    <w:rsid w:val="0085350A"/>
    <w:rsid w:val="00853DCC"/>
    <w:rsid w:val="008543CD"/>
    <w:rsid w:val="008559A9"/>
    <w:rsid w:val="008567CF"/>
    <w:rsid w:val="00857372"/>
    <w:rsid w:val="00857867"/>
    <w:rsid w:val="008605B4"/>
    <w:rsid w:val="00860BD4"/>
    <w:rsid w:val="0086242F"/>
    <w:rsid w:val="00862DBC"/>
    <w:rsid w:val="00863864"/>
    <w:rsid w:val="008639D4"/>
    <w:rsid w:val="008641B9"/>
    <w:rsid w:val="00864B25"/>
    <w:rsid w:val="00865F15"/>
    <w:rsid w:val="00866278"/>
    <w:rsid w:val="00866FDD"/>
    <w:rsid w:val="00867325"/>
    <w:rsid w:val="008704C0"/>
    <w:rsid w:val="008709AC"/>
    <w:rsid w:val="00870C84"/>
    <w:rsid w:val="00872496"/>
    <w:rsid w:val="008727A1"/>
    <w:rsid w:val="008745E6"/>
    <w:rsid w:val="0087475F"/>
    <w:rsid w:val="00874D0E"/>
    <w:rsid w:val="00875C40"/>
    <w:rsid w:val="008765E2"/>
    <w:rsid w:val="008767B9"/>
    <w:rsid w:val="00880524"/>
    <w:rsid w:val="00882BB9"/>
    <w:rsid w:val="00882C01"/>
    <w:rsid w:val="00882FE0"/>
    <w:rsid w:val="008830DF"/>
    <w:rsid w:val="008834B2"/>
    <w:rsid w:val="00884A70"/>
    <w:rsid w:val="0088779A"/>
    <w:rsid w:val="00887AA9"/>
    <w:rsid w:val="00887B80"/>
    <w:rsid w:val="00887C76"/>
    <w:rsid w:val="008915AF"/>
    <w:rsid w:val="00896915"/>
    <w:rsid w:val="00897366"/>
    <w:rsid w:val="00897FAF"/>
    <w:rsid w:val="00897FD6"/>
    <w:rsid w:val="008A06E4"/>
    <w:rsid w:val="008A2E62"/>
    <w:rsid w:val="008A36DE"/>
    <w:rsid w:val="008A5DC8"/>
    <w:rsid w:val="008A7175"/>
    <w:rsid w:val="008A7265"/>
    <w:rsid w:val="008B0047"/>
    <w:rsid w:val="008B0A87"/>
    <w:rsid w:val="008B0CC6"/>
    <w:rsid w:val="008B2A8E"/>
    <w:rsid w:val="008B383C"/>
    <w:rsid w:val="008B484C"/>
    <w:rsid w:val="008B4BBF"/>
    <w:rsid w:val="008B4EAF"/>
    <w:rsid w:val="008B67F2"/>
    <w:rsid w:val="008B6A04"/>
    <w:rsid w:val="008B72F2"/>
    <w:rsid w:val="008B779B"/>
    <w:rsid w:val="008B7DCB"/>
    <w:rsid w:val="008B7F9D"/>
    <w:rsid w:val="008C09F4"/>
    <w:rsid w:val="008C1316"/>
    <w:rsid w:val="008C14E4"/>
    <w:rsid w:val="008C19A5"/>
    <w:rsid w:val="008C2EBA"/>
    <w:rsid w:val="008C34F9"/>
    <w:rsid w:val="008C493D"/>
    <w:rsid w:val="008C50AC"/>
    <w:rsid w:val="008C5712"/>
    <w:rsid w:val="008C5919"/>
    <w:rsid w:val="008C696F"/>
    <w:rsid w:val="008C6CF6"/>
    <w:rsid w:val="008C748D"/>
    <w:rsid w:val="008C79F0"/>
    <w:rsid w:val="008D0902"/>
    <w:rsid w:val="008D17B0"/>
    <w:rsid w:val="008D22A9"/>
    <w:rsid w:val="008D45C7"/>
    <w:rsid w:val="008D480F"/>
    <w:rsid w:val="008D4C1F"/>
    <w:rsid w:val="008D4ECB"/>
    <w:rsid w:val="008D4F08"/>
    <w:rsid w:val="008D6C5F"/>
    <w:rsid w:val="008E1374"/>
    <w:rsid w:val="008E1B24"/>
    <w:rsid w:val="008E1E95"/>
    <w:rsid w:val="008E1FBE"/>
    <w:rsid w:val="008E219B"/>
    <w:rsid w:val="008E317D"/>
    <w:rsid w:val="008E318F"/>
    <w:rsid w:val="008E4326"/>
    <w:rsid w:val="008E6AED"/>
    <w:rsid w:val="008E6CE7"/>
    <w:rsid w:val="008F0093"/>
    <w:rsid w:val="008F02F7"/>
    <w:rsid w:val="008F20DB"/>
    <w:rsid w:val="008F2490"/>
    <w:rsid w:val="008F3511"/>
    <w:rsid w:val="008F588F"/>
    <w:rsid w:val="008F5A65"/>
    <w:rsid w:val="008F6C9E"/>
    <w:rsid w:val="008F6FCE"/>
    <w:rsid w:val="009014F7"/>
    <w:rsid w:val="00902EC7"/>
    <w:rsid w:val="00903D04"/>
    <w:rsid w:val="009049D4"/>
    <w:rsid w:val="00907B42"/>
    <w:rsid w:val="00910425"/>
    <w:rsid w:val="00910F9F"/>
    <w:rsid w:val="00911575"/>
    <w:rsid w:val="009125C5"/>
    <w:rsid w:val="00912AFF"/>
    <w:rsid w:val="00912C35"/>
    <w:rsid w:val="009137FE"/>
    <w:rsid w:val="00913C3B"/>
    <w:rsid w:val="009146E0"/>
    <w:rsid w:val="00914967"/>
    <w:rsid w:val="00914E2E"/>
    <w:rsid w:val="00915003"/>
    <w:rsid w:val="009157F4"/>
    <w:rsid w:val="00915C29"/>
    <w:rsid w:val="009164D6"/>
    <w:rsid w:val="009167A6"/>
    <w:rsid w:val="0091698C"/>
    <w:rsid w:val="00921398"/>
    <w:rsid w:val="00921A9F"/>
    <w:rsid w:val="00923465"/>
    <w:rsid w:val="00923A73"/>
    <w:rsid w:val="00924E20"/>
    <w:rsid w:val="00927B82"/>
    <w:rsid w:val="00931D29"/>
    <w:rsid w:val="00931FD8"/>
    <w:rsid w:val="009323FC"/>
    <w:rsid w:val="00933AAD"/>
    <w:rsid w:val="00933C77"/>
    <w:rsid w:val="00933DE2"/>
    <w:rsid w:val="00934D33"/>
    <w:rsid w:val="0093507C"/>
    <w:rsid w:val="00935BA6"/>
    <w:rsid w:val="00935E9D"/>
    <w:rsid w:val="009365F9"/>
    <w:rsid w:val="00936EA1"/>
    <w:rsid w:val="00937E0B"/>
    <w:rsid w:val="00942127"/>
    <w:rsid w:val="00943118"/>
    <w:rsid w:val="00943143"/>
    <w:rsid w:val="009437A7"/>
    <w:rsid w:val="00944A66"/>
    <w:rsid w:val="00946D15"/>
    <w:rsid w:val="00946F96"/>
    <w:rsid w:val="009511C7"/>
    <w:rsid w:val="00951509"/>
    <w:rsid w:val="00951BB1"/>
    <w:rsid w:val="00953590"/>
    <w:rsid w:val="00953AFE"/>
    <w:rsid w:val="00953FEE"/>
    <w:rsid w:val="009549F3"/>
    <w:rsid w:val="00954E29"/>
    <w:rsid w:val="00957AD8"/>
    <w:rsid w:val="00957FF5"/>
    <w:rsid w:val="0096060E"/>
    <w:rsid w:val="00961C76"/>
    <w:rsid w:val="00963014"/>
    <w:rsid w:val="00963510"/>
    <w:rsid w:val="00964376"/>
    <w:rsid w:val="00964D8F"/>
    <w:rsid w:val="00965106"/>
    <w:rsid w:val="0096548B"/>
    <w:rsid w:val="0096564E"/>
    <w:rsid w:val="0096774E"/>
    <w:rsid w:val="00967ED9"/>
    <w:rsid w:val="009707D0"/>
    <w:rsid w:val="00970FF2"/>
    <w:rsid w:val="00973E95"/>
    <w:rsid w:val="009752CF"/>
    <w:rsid w:val="0097560B"/>
    <w:rsid w:val="00975F18"/>
    <w:rsid w:val="00975FB9"/>
    <w:rsid w:val="00976060"/>
    <w:rsid w:val="009767FF"/>
    <w:rsid w:val="0097741C"/>
    <w:rsid w:val="00980A5F"/>
    <w:rsid w:val="00980F9C"/>
    <w:rsid w:val="0098118B"/>
    <w:rsid w:val="00981543"/>
    <w:rsid w:val="009819F8"/>
    <w:rsid w:val="00981BCA"/>
    <w:rsid w:val="0098254E"/>
    <w:rsid w:val="00982C24"/>
    <w:rsid w:val="0098346C"/>
    <w:rsid w:val="00983BCF"/>
    <w:rsid w:val="009842AC"/>
    <w:rsid w:val="0098504A"/>
    <w:rsid w:val="009860BE"/>
    <w:rsid w:val="00987263"/>
    <w:rsid w:val="00990D81"/>
    <w:rsid w:val="00991CCF"/>
    <w:rsid w:val="00991E6B"/>
    <w:rsid w:val="00992D1A"/>
    <w:rsid w:val="00992D95"/>
    <w:rsid w:val="00993D5C"/>
    <w:rsid w:val="009942E4"/>
    <w:rsid w:val="0099529B"/>
    <w:rsid w:val="009959F7"/>
    <w:rsid w:val="00995C80"/>
    <w:rsid w:val="00997893"/>
    <w:rsid w:val="00997B17"/>
    <w:rsid w:val="009A285C"/>
    <w:rsid w:val="009A2D70"/>
    <w:rsid w:val="009A4102"/>
    <w:rsid w:val="009A41B6"/>
    <w:rsid w:val="009A47EB"/>
    <w:rsid w:val="009A5830"/>
    <w:rsid w:val="009A5925"/>
    <w:rsid w:val="009A639C"/>
    <w:rsid w:val="009A6468"/>
    <w:rsid w:val="009A7621"/>
    <w:rsid w:val="009B0107"/>
    <w:rsid w:val="009B0C37"/>
    <w:rsid w:val="009B1638"/>
    <w:rsid w:val="009B17E2"/>
    <w:rsid w:val="009B19AF"/>
    <w:rsid w:val="009B4311"/>
    <w:rsid w:val="009B5587"/>
    <w:rsid w:val="009B58E7"/>
    <w:rsid w:val="009B5B6E"/>
    <w:rsid w:val="009B697D"/>
    <w:rsid w:val="009B7B15"/>
    <w:rsid w:val="009C0A0B"/>
    <w:rsid w:val="009C0F62"/>
    <w:rsid w:val="009C11E8"/>
    <w:rsid w:val="009C2744"/>
    <w:rsid w:val="009C2A98"/>
    <w:rsid w:val="009C2BB3"/>
    <w:rsid w:val="009C410D"/>
    <w:rsid w:val="009C4331"/>
    <w:rsid w:val="009C4354"/>
    <w:rsid w:val="009C52DF"/>
    <w:rsid w:val="009C7329"/>
    <w:rsid w:val="009D23C6"/>
    <w:rsid w:val="009D2DF8"/>
    <w:rsid w:val="009D3352"/>
    <w:rsid w:val="009D4361"/>
    <w:rsid w:val="009D44C1"/>
    <w:rsid w:val="009D4ABC"/>
    <w:rsid w:val="009D4DE0"/>
    <w:rsid w:val="009D6FDD"/>
    <w:rsid w:val="009E04D0"/>
    <w:rsid w:val="009E123F"/>
    <w:rsid w:val="009E16F4"/>
    <w:rsid w:val="009E17DA"/>
    <w:rsid w:val="009E197F"/>
    <w:rsid w:val="009E1D28"/>
    <w:rsid w:val="009E28F7"/>
    <w:rsid w:val="009E45F8"/>
    <w:rsid w:val="009E5294"/>
    <w:rsid w:val="009E5607"/>
    <w:rsid w:val="009E573A"/>
    <w:rsid w:val="009E5FD7"/>
    <w:rsid w:val="009E6037"/>
    <w:rsid w:val="009E743E"/>
    <w:rsid w:val="009F268B"/>
    <w:rsid w:val="009F2814"/>
    <w:rsid w:val="009F4327"/>
    <w:rsid w:val="009F556D"/>
    <w:rsid w:val="009F5D34"/>
    <w:rsid w:val="009F62C6"/>
    <w:rsid w:val="009F6978"/>
    <w:rsid w:val="009F6E4A"/>
    <w:rsid w:val="009F6EB1"/>
    <w:rsid w:val="009F6FE9"/>
    <w:rsid w:val="00A0006B"/>
    <w:rsid w:val="00A005D6"/>
    <w:rsid w:val="00A041AE"/>
    <w:rsid w:val="00A042F5"/>
    <w:rsid w:val="00A04927"/>
    <w:rsid w:val="00A0533D"/>
    <w:rsid w:val="00A068BD"/>
    <w:rsid w:val="00A1171C"/>
    <w:rsid w:val="00A11C24"/>
    <w:rsid w:val="00A12816"/>
    <w:rsid w:val="00A130F8"/>
    <w:rsid w:val="00A14871"/>
    <w:rsid w:val="00A15456"/>
    <w:rsid w:val="00A15B88"/>
    <w:rsid w:val="00A163D6"/>
    <w:rsid w:val="00A177DF"/>
    <w:rsid w:val="00A177FC"/>
    <w:rsid w:val="00A17FAB"/>
    <w:rsid w:val="00A20517"/>
    <w:rsid w:val="00A21868"/>
    <w:rsid w:val="00A2409E"/>
    <w:rsid w:val="00A25DB7"/>
    <w:rsid w:val="00A2633E"/>
    <w:rsid w:val="00A2677A"/>
    <w:rsid w:val="00A2722E"/>
    <w:rsid w:val="00A272CC"/>
    <w:rsid w:val="00A3035A"/>
    <w:rsid w:val="00A3093D"/>
    <w:rsid w:val="00A312B7"/>
    <w:rsid w:val="00A32A49"/>
    <w:rsid w:val="00A330D2"/>
    <w:rsid w:val="00A34342"/>
    <w:rsid w:val="00A35CD2"/>
    <w:rsid w:val="00A364B0"/>
    <w:rsid w:val="00A36569"/>
    <w:rsid w:val="00A376EE"/>
    <w:rsid w:val="00A4006F"/>
    <w:rsid w:val="00A4211F"/>
    <w:rsid w:val="00A42C0E"/>
    <w:rsid w:val="00A43E72"/>
    <w:rsid w:val="00A456E5"/>
    <w:rsid w:val="00A45E3D"/>
    <w:rsid w:val="00A47430"/>
    <w:rsid w:val="00A47C27"/>
    <w:rsid w:val="00A513B9"/>
    <w:rsid w:val="00A52EFF"/>
    <w:rsid w:val="00A53CAC"/>
    <w:rsid w:val="00A54017"/>
    <w:rsid w:val="00A54A60"/>
    <w:rsid w:val="00A5624B"/>
    <w:rsid w:val="00A56BA1"/>
    <w:rsid w:val="00A56C9C"/>
    <w:rsid w:val="00A57644"/>
    <w:rsid w:val="00A603C4"/>
    <w:rsid w:val="00A6086C"/>
    <w:rsid w:val="00A60CAA"/>
    <w:rsid w:val="00A62053"/>
    <w:rsid w:val="00A6226A"/>
    <w:rsid w:val="00A627D4"/>
    <w:rsid w:val="00A628B7"/>
    <w:rsid w:val="00A633DF"/>
    <w:rsid w:val="00A636F8"/>
    <w:rsid w:val="00A648F6"/>
    <w:rsid w:val="00A64AD3"/>
    <w:rsid w:val="00A64B53"/>
    <w:rsid w:val="00A64FDF"/>
    <w:rsid w:val="00A65708"/>
    <w:rsid w:val="00A66266"/>
    <w:rsid w:val="00A67850"/>
    <w:rsid w:val="00A70033"/>
    <w:rsid w:val="00A7025E"/>
    <w:rsid w:val="00A706C5"/>
    <w:rsid w:val="00A712F9"/>
    <w:rsid w:val="00A7196D"/>
    <w:rsid w:val="00A71D06"/>
    <w:rsid w:val="00A7302B"/>
    <w:rsid w:val="00A74378"/>
    <w:rsid w:val="00A76CFF"/>
    <w:rsid w:val="00A77456"/>
    <w:rsid w:val="00A82290"/>
    <w:rsid w:val="00A82C14"/>
    <w:rsid w:val="00A832AE"/>
    <w:rsid w:val="00A83865"/>
    <w:rsid w:val="00A8421F"/>
    <w:rsid w:val="00A84B3F"/>
    <w:rsid w:val="00A84C84"/>
    <w:rsid w:val="00A8548B"/>
    <w:rsid w:val="00A862C4"/>
    <w:rsid w:val="00A864C4"/>
    <w:rsid w:val="00A86929"/>
    <w:rsid w:val="00A9221F"/>
    <w:rsid w:val="00A93400"/>
    <w:rsid w:val="00A93D82"/>
    <w:rsid w:val="00A94DAE"/>
    <w:rsid w:val="00A951A7"/>
    <w:rsid w:val="00A95229"/>
    <w:rsid w:val="00A95404"/>
    <w:rsid w:val="00A958F9"/>
    <w:rsid w:val="00A96987"/>
    <w:rsid w:val="00A96FC0"/>
    <w:rsid w:val="00AA000C"/>
    <w:rsid w:val="00AA27E0"/>
    <w:rsid w:val="00AA307A"/>
    <w:rsid w:val="00AA34E4"/>
    <w:rsid w:val="00AA37CB"/>
    <w:rsid w:val="00AA4969"/>
    <w:rsid w:val="00AA4C77"/>
    <w:rsid w:val="00AA5AAE"/>
    <w:rsid w:val="00AA75B5"/>
    <w:rsid w:val="00AA776E"/>
    <w:rsid w:val="00AB0927"/>
    <w:rsid w:val="00AB201E"/>
    <w:rsid w:val="00AB2580"/>
    <w:rsid w:val="00AB2BC9"/>
    <w:rsid w:val="00AB3930"/>
    <w:rsid w:val="00AB4190"/>
    <w:rsid w:val="00AB4A83"/>
    <w:rsid w:val="00AB54AD"/>
    <w:rsid w:val="00AB5E12"/>
    <w:rsid w:val="00AB780B"/>
    <w:rsid w:val="00AC0BBE"/>
    <w:rsid w:val="00AC1157"/>
    <w:rsid w:val="00AC2F32"/>
    <w:rsid w:val="00AC32DA"/>
    <w:rsid w:val="00AC40BD"/>
    <w:rsid w:val="00AC53ED"/>
    <w:rsid w:val="00AC5D9F"/>
    <w:rsid w:val="00AC5F87"/>
    <w:rsid w:val="00AC6457"/>
    <w:rsid w:val="00AC6B73"/>
    <w:rsid w:val="00AC7768"/>
    <w:rsid w:val="00AD2037"/>
    <w:rsid w:val="00AD21E6"/>
    <w:rsid w:val="00AD247D"/>
    <w:rsid w:val="00AD28E4"/>
    <w:rsid w:val="00AD2D8F"/>
    <w:rsid w:val="00AD34E9"/>
    <w:rsid w:val="00AD3B2F"/>
    <w:rsid w:val="00AD491C"/>
    <w:rsid w:val="00AD595E"/>
    <w:rsid w:val="00AD5D5A"/>
    <w:rsid w:val="00AD67C2"/>
    <w:rsid w:val="00AD768B"/>
    <w:rsid w:val="00AD7E24"/>
    <w:rsid w:val="00AE08B0"/>
    <w:rsid w:val="00AE097D"/>
    <w:rsid w:val="00AE0BB8"/>
    <w:rsid w:val="00AE101C"/>
    <w:rsid w:val="00AE31F1"/>
    <w:rsid w:val="00AE339A"/>
    <w:rsid w:val="00AE473E"/>
    <w:rsid w:val="00AE517A"/>
    <w:rsid w:val="00AE61CE"/>
    <w:rsid w:val="00AE6C36"/>
    <w:rsid w:val="00AE7151"/>
    <w:rsid w:val="00AE766E"/>
    <w:rsid w:val="00AF133F"/>
    <w:rsid w:val="00AF39D7"/>
    <w:rsid w:val="00AF40E4"/>
    <w:rsid w:val="00AF4ABC"/>
    <w:rsid w:val="00AF5457"/>
    <w:rsid w:val="00AF5885"/>
    <w:rsid w:val="00AF5DFD"/>
    <w:rsid w:val="00AF6152"/>
    <w:rsid w:val="00B0041E"/>
    <w:rsid w:val="00B018EE"/>
    <w:rsid w:val="00B01E88"/>
    <w:rsid w:val="00B01F54"/>
    <w:rsid w:val="00B02BF6"/>
    <w:rsid w:val="00B03CE6"/>
    <w:rsid w:val="00B04092"/>
    <w:rsid w:val="00B04B65"/>
    <w:rsid w:val="00B04CC8"/>
    <w:rsid w:val="00B04EAD"/>
    <w:rsid w:val="00B05C64"/>
    <w:rsid w:val="00B06E35"/>
    <w:rsid w:val="00B07281"/>
    <w:rsid w:val="00B07E80"/>
    <w:rsid w:val="00B10228"/>
    <w:rsid w:val="00B10BFD"/>
    <w:rsid w:val="00B11113"/>
    <w:rsid w:val="00B113DF"/>
    <w:rsid w:val="00B11DAE"/>
    <w:rsid w:val="00B14633"/>
    <w:rsid w:val="00B148A7"/>
    <w:rsid w:val="00B152CB"/>
    <w:rsid w:val="00B15B98"/>
    <w:rsid w:val="00B17708"/>
    <w:rsid w:val="00B20601"/>
    <w:rsid w:val="00B208A7"/>
    <w:rsid w:val="00B20C65"/>
    <w:rsid w:val="00B21A3B"/>
    <w:rsid w:val="00B22202"/>
    <w:rsid w:val="00B233A4"/>
    <w:rsid w:val="00B25138"/>
    <w:rsid w:val="00B25506"/>
    <w:rsid w:val="00B25744"/>
    <w:rsid w:val="00B25DB5"/>
    <w:rsid w:val="00B260DF"/>
    <w:rsid w:val="00B26928"/>
    <w:rsid w:val="00B26BC3"/>
    <w:rsid w:val="00B27DF8"/>
    <w:rsid w:val="00B31BC3"/>
    <w:rsid w:val="00B32B70"/>
    <w:rsid w:val="00B33318"/>
    <w:rsid w:val="00B334B1"/>
    <w:rsid w:val="00B345CB"/>
    <w:rsid w:val="00B34F13"/>
    <w:rsid w:val="00B358B5"/>
    <w:rsid w:val="00B35F55"/>
    <w:rsid w:val="00B360A2"/>
    <w:rsid w:val="00B3661F"/>
    <w:rsid w:val="00B36819"/>
    <w:rsid w:val="00B36DF7"/>
    <w:rsid w:val="00B40D1D"/>
    <w:rsid w:val="00B4133D"/>
    <w:rsid w:val="00B42605"/>
    <w:rsid w:val="00B43D76"/>
    <w:rsid w:val="00B446D4"/>
    <w:rsid w:val="00B44991"/>
    <w:rsid w:val="00B44A33"/>
    <w:rsid w:val="00B44DD1"/>
    <w:rsid w:val="00B45810"/>
    <w:rsid w:val="00B46BE2"/>
    <w:rsid w:val="00B46DB4"/>
    <w:rsid w:val="00B47BC9"/>
    <w:rsid w:val="00B5027E"/>
    <w:rsid w:val="00B50E2C"/>
    <w:rsid w:val="00B52573"/>
    <w:rsid w:val="00B52C8F"/>
    <w:rsid w:val="00B531E2"/>
    <w:rsid w:val="00B55205"/>
    <w:rsid w:val="00B62263"/>
    <w:rsid w:val="00B62269"/>
    <w:rsid w:val="00B62693"/>
    <w:rsid w:val="00B646AA"/>
    <w:rsid w:val="00B65A00"/>
    <w:rsid w:val="00B703E5"/>
    <w:rsid w:val="00B71F2C"/>
    <w:rsid w:val="00B72A3E"/>
    <w:rsid w:val="00B72C2F"/>
    <w:rsid w:val="00B72E32"/>
    <w:rsid w:val="00B73062"/>
    <w:rsid w:val="00B74190"/>
    <w:rsid w:val="00B751BD"/>
    <w:rsid w:val="00B7656E"/>
    <w:rsid w:val="00B76612"/>
    <w:rsid w:val="00B771AB"/>
    <w:rsid w:val="00B77979"/>
    <w:rsid w:val="00B77B8D"/>
    <w:rsid w:val="00B80123"/>
    <w:rsid w:val="00B80C96"/>
    <w:rsid w:val="00B8234D"/>
    <w:rsid w:val="00B8289C"/>
    <w:rsid w:val="00B82A26"/>
    <w:rsid w:val="00B82F0A"/>
    <w:rsid w:val="00B832EF"/>
    <w:rsid w:val="00B8451C"/>
    <w:rsid w:val="00B854EC"/>
    <w:rsid w:val="00B86B2D"/>
    <w:rsid w:val="00B87FF6"/>
    <w:rsid w:val="00B9026C"/>
    <w:rsid w:val="00B90EFA"/>
    <w:rsid w:val="00B91A49"/>
    <w:rsid w:val="00B91BF9"/>
    <w:rsid w:val="00B93F31"/>
    <w:rsid w:val="00B9532B"/>
    <w:rsid w:val="00B95695"/>
    <w:rsid w:val="00B9688A"/>
    <w:rsid w:val="00B9730C"/>
    <w:rsid w:val="00BA0BF4"/>
    <w:rsid w:val="00BA11F6"/>
    <w:rsid w:val="00BA165C"/>
    <w:rsid w:val="00BA31E9"/>
    <w:rsid w:val="00BA3368"/>
    <w:rsid w:val="00BA5CBB"/>
    <w:rsid w:val="00BA6E55"/>
    <w:rsid w:val="00BA7153"/>
    <w:rsid w:val="00BB0479"/>
    <w:rsid w:val="00BB1529"/>
    <w:rsid w:val="00BB1D8F"/>
    <w:rsid w:val="00BB22C9"/>
    <w:rsid w:val="00BB3D7B"/>
    <w:rsid w:val="00BB63B5"/>
    <w:rsid w:val="00BB69A8"/>
    <w:rsid w:val="00BB6A81"/>
    <w:rsid w:val="00BB72DB"/>
    <w:rsid w:val="00BC01C9"/>
    <w:rsid w:val="00BC1225"/>
    <w:rsid w:val="00BC2C3C"/>
    <w:rsid w:val="00BC351D"/>
    <w:rsid w:val="00BC3A4C"/>
    <w:rsid w:val="00BC4187"/>
    <w:rsid w:val="00BC4DE2"/>
    <w:rsid w:val="00BC53BF"/>
    <w:rsid w:val="00BC61F9"/>
    <w:rsid w:val="00BC76C0"/>
    <w:rsid w:val="00BD0D91"/>
    <w:rsid w:val="00BD2C8B"/>
    <w:rsid w:val="00BD396F"/>
    <w:rsid w:val="00BD41A3"/>
    <w:rsid w:val="00BD506C"/>
    <w:rsid w:val="00BD5B4B"/>
    <w:rsid w:val="00BD60DA"/>
    <w:rsid w:val="00BD6279"/>
    <w:rsid w:val="00BD745A"/>
    <w:rsid w:val="00BE0553"/>
    <w:rsid w:val="00BE064F"/>
    <w:rsid w:val="00BE0CFC"/>
    <w:rsid w:val="00BE0FFE"/>
    <w:rsid w:val="00BE12FC"/>
    <w:rsid w:val="00BE14A1"/>
    <w:rsid w:val="00BE32A9"/>
    <w:rsid w:val="00BE32B4"/>
    <w:rsid w:val="00BE4548"/>
    <w:rsid w:val="00BE4600"/>
    <w:rsid w:val="00BE4A45"/>
    <w:rsid w:val="00BE4AA3"/>
    <w:rsid w:val="00BE53D7"/>
    <w:rsid w:val="00BE55C6"/>
    <w:rsid w:val="00BE58D0"/>
    <w:rsid w:val="00BE62E1"/>
    <w:rsid w:val="00BE6675"/>
    <w:rsid w:val="00BE77E4"/>
    <w:rsid w:val="00BE79BB"/>
    <w:rsid w:val="00BE7DE8"/>
    <w:rsid w:val="00BF1495"/>
    <w:rsid w:val="00BF2063"/>
    <w:rsid w:val="00BF211B"/>
    <w:rsid w:val="00BF2328"/>
    <w:rsid w:val="00BF2BBC"/>
    <w:rsid w:val="00BF37B8"/>
    <w:rsid w:val="00BF6D7C"/>
    <w:rsid w:val="00BF7FDC"/>
    <w:rsid w:val="00C007B0"/>
    <w:rsid w:val="00C00E4F"/>
    <w:rsid w:val="00C01664"/>
    <w:rsid w:val="00C01753"/>
    <w:rsid w:val="00C0347F"/>
    <w:rsid w:val="00C03A3D"/>
    <w:rsid w:val="00C045C2"/>
    <w:rsid w:val="00C05425"/>
    <w:rsid w:val="00C0620E"/>
    <w:rsid w:val="00C06C01"/>
    <w:rsid w:val="00C06FDD"/>
    <w:rsid w:val="00C071D5"/>
    <w:rsid w:val="00C076D7"/>
    <w:rsid w:val="00C0788C"/>
    <w:rsid w:val="00C07D9B"/>
    <w:rsid w:val="00C11FF9"/>
    <w:rsid w:val="00C13690"/>
    <w:rsid w:val="00C15259"/>
    <w:rsid w:val="00C15B1C"/>
    <w:rsid w:val="00C201E9"/>
    <w:rsid w:val="00C20244"/>
    <w:rsid w:val="00C2062A"/>
    <w:rsid w:val="00C20C52"/>
    <w:rsid w:val="00C2159A"/>
    <w:rsid w:val="00C21BB7"/>
    <w:rsid w:val="00C220E8"/>
    <w:rsid w:val="00C22310"/>
    <w:rsid w:val="00C224BD"/>
    <w:rsid w:val="00C22804"/>
    <w:rsid w:val="00C22D01"/>
    <w:rsid w:val="00C233B6"/>
    <w:rsid w:val="00C23415"/>
    <w:rsid w:val="00C23A04"/>
    <w:rsid w:val="00C2444A"/>
    <w:rsid w:val="00C246B2"/>
    <w:rsid w:val="00C250B0"/>
    <w:rsid w:val="00C27910"/>
    <w:rsid w:val="00C301B6"/>
    <w:rsid w:val="00C3123A"/>
    <w:rsid w:val="00C33AE4"/>
    <w:rsid w:val="00C34D04"/>
    <w:rsid w:val="00C34D9A"/>
    <w:rsid w:val="00C367D9"/>
    <w:rsid w:val="00C36F04"/>
    <w:rsid w:val="00C36F13"/>
    <w:rsid w:val="00C373F0"/>
    <w:rsid w:val="00C374F6"/>
    <w:rsid w:val="00C3762A"/>
    <w:rsid w:val="00C41A0D"/>
    <w:rsid w:val="00C41D48"/>
    <w:rsid w:val="00C4359F"/>
    <w:rsid w:val="00C458BE"/>
    <w:rsid w:val="00C468C2"/>
    <w:rsid w:val="00C470E5"/>
    <w:rsid w:val="00C47538"/>
    <w:rsid w:val="00C5014E"/>
    <w:rsid w:val="00C503D1"/>
    <w:rsid w:val="00C511D0"/>
    <w:rsid w:val="00C5293A"/>
    <w:rsid w:val="00C52C3E"/>
    <w:rsid w:val="00C532BA"/>
    <w:rsid w:val="00C53334"/>
    <w:rsid w:val="00C539C4"/>
    <w:rsid w:val="00C5466B"/>
    <w:rsid w:val="00C54761"/>
    <w:rsid w:val="00C54D10"/>
    <w:rsid w:val="00C54D2B"/>
    <w:rsid w:val="00C54E54"/>
    <w:rsid w:val="00C56B66"/>
    <w:rsid w:val="00C57086"/>
    <w:rsid w:val="00C5724E"/>
    <w:rsid w:val="00C57AA3"/>
    <w:rsid w:val="00C61D9D"/>
    <w:rsid w:val="00C62C2C"/>
    <w:rsid w:val="00C62F58"/>
    <w:rsid w:val="00C63DB9"/>
    <w:rsid w:val="00C6497B"/>
    <w:rsid w:val="00C649F9"/>
    <w:rsid w:val="00C6552B"/>
    <w:rsid w:val="00C67269"/>
    <w:rsid w:val="00C67F9B"/>
    <w:rsid w:val="00C700F6"/>
    <w:rsid w:val="00C707FD"/>
    <w:rsid w:val="00C709C7"/>
    <w:rsid w:val="00C731EE"/>
    <w:rsid w:val="00C75C87"/>
    <w:rsid w:val="00C760D0"/>
    <w:rsid w:val="00C768A0"/>
    <w:rsid w:val="00C76932"/>
    <w:rsid w:val="00C77F65"/>
    <w:rsid w:val="00C807A3"/>
    <w:rsid w:val="00C80A01"/>
    <w:rsid w:val="00C815D6"/>
    <w:rsid w:val="00C81822"/>
    <w:rsid w:val="00C83610"/>
    <w:rsid w:val="00C836E0"/>
    <w:rsid w:val="00C83A07"/>
    <w:rsid w:val="00C84B28"/>
    <w:rsid w:val="00C84F6C"/>
    <w:rsid w:val="00C865D8"/>
    <w:rsid w:val="00C86B57"/>
    <w:rsid w:val="00C87018"/>
    <w:rsid w:val="00C87356"/>
    <w:rsid w:val="00C90229"/>
    <w:rsid w:val="00C9119D"/>
    <w:rsid w:val="00C92042"/>
    <w:rsid w:val="00C93A04"/>
    <w:rsid w:val="00C93C99"/>
    <w:rsid w:val="00C94939"/>
    <w:rsid w:val="00C959F4"/>
    <w:rsid w:val="00C96718"/>
    <w:rsid w:val="00C9767B"/>
    <w:rsid w:val="00CA0495"/>
    <w:rsid w:val="00CA05B1"/>
    <w:rsid w:val="00CA088E"/>
    <w:rsid w:val="00CA0BA6"/>
    <w:rsid w:val="00CA23FA"/>
    <w:rsid w:val="00CA27E9"/>
    <w:rsid w:val="00CA52D1"/>
    <w:rsid w:val="00CA5A1E"/>
    <w:rsid w:val="00CA5BF3"/>
    <w:rsid w:val="00CA5F3E"/>
    <w:rsid w:val="00CA69CE"/>
    <w:rsid w:val="00CB0941"/>
    <w:rsid w:val="00CB0AB7"/>
    <w:rsid w:val="00CB37AE"/>
    <w:rsid w:val="00CB5BAC"/>
    <w:rsid w:val="00CB6B05"/>
    <w:rsid w:val="00CB6BCB"/>
    <w:rsid w:val="00CC0292"/>
    <w:rsid w:val="00CC0AE7"/>
    <w:rsid w:val="00CC10BC"/>
    <w:rsid w:val="00CC1751"/>
    <w:rsid w:val="00CC1E4C"/>
    <w:rsid w:val="00CC2F10"/>
    <w:rsid w:val="00CC337B"/>
    <w:rsid w:val="00CC426E"/>
    <w:rsid w:val="00CC6A5F"/>
    <w:rsid w:val="00CC6AB8"/>
    <w:rsid w:val="00CC7094"/>
    <w:rsid w:val="00CC7A47"/>
    <w:rsid w:val="00CC7C97"/>
    <w:rsid w:val="00CD0BD0"/>
    <w:rsid w:val="00CD1CAA"/>
    <w:rsid w:val="00CD4E57"/>
    <w:rsid w:val="00CD5689"/>
    <w:rsid w:val="00CD5E4C"/>
    <w:rsid w:val="00CD5F49"/>
    <w:rsid w:val="00CD6F38"/>
    <w:rsid w:val="00CD7818"/>
    <w:rsid w:val="00CE21C1"/>
    <w:rsid w:val="00CE24E5"/>
    <w:rsid w:val="00CE25A5"/>
    <w:rsid w:val="00CE351C"/>
    <w:rsid w:val="00CE35E2"/>
    <w:rsid w:val="00CE3EA2"/>
    <w:rsid w:val="00CE7E29"/>
    <w:rsid w:val="00CF0B91"/>
    <w:rsid w:val="00CF1520"/>
    <w:rsid w:val="00CF1B19"/>
    <w:rsid w:val="00CF2DDA"/>
    <w:rsid w:val="00CF2E6D"/>
    <w:rsid w:val="00CF3508"/>
    <w:rsid w:val="00CF4483"/>
    <w:rsid w:val="00CF541E"/>
    <w:rsid w:val="00CF54DB"/>
    <w:rsid w:val="00CF5F73"/>
    <w:rsid w:val="00CF5F93"/>
    <w:rsid w:val="00CF6488"/>
    <w:rsid w:val="00CF64A2"/>
    <w:rsid w:val="00CF7530"/>
    <w:rsid w:val="00CF7866"/>
    <w:rsid w:val="00CF7B89"/>
    <w:rsid w:val="00CF7E99"/>
    <w:rsid w:val="00D00131"/>
    <w:rsid w:val="00D014D6"/>
    <w:rsid w:val="00D0157D"/>
    <w:rsid w:val="00D01F9B"/>
    <w:rsid w:val="00D0282F"/>
    <w:rsid w:val="00D037FD"/>
    <w:rsid w:val="00D05103"/>
    <w:rsid w:val="00D059A3"/>
    <w:rsid w:val="00D06FD8"/>
    <w:rsid w:val="00D10714"/>
    <w:rsid w:val="00D10F80"/>
    <w:rsid w:val="00D1119B"/>
    <w:rsid w:val="00D111F1"/>
    <w:rsid w:val="00D11BCD"/>
    <w:rsid w:val="00D13FCF"/>
    <w:rsid w:val="00D16CFA"/>
    <w:rsid w:val="00D16DD1"/>
    <w:rsid w:val="00D22014"/>
    <w:rsid w:val="00D22480"/>
    <w:rsid w:val="00D24325"/>
    <w:rsid w:val="00D26D5C"/>
    <w:rsid w:val="00D2744A"/>
    <w:rsid w:val="00D275EA"/>
    <w:rsid w:val="00D27813"/>
    <w:rsid w:val="00D31235"/>
    <w:rsid w:val="00D33B66"/>
    <w:rsid w:val="00D346D3"/>
    <w:rsid w:val="00D34DF5"/>
    <w:rsid w:val="00D350F2"/>
    <w:rsid w:val="00D35524"/>
    <w:rsid w:val="00D37E18"/>
    <w:rsid w:val="00D40AD2"/>
    <w:rsid w:val="00D410BF"/>
    <w:rsid w:val="00D451AF"/>
    <w:rsid w:val="00D464DD"/>
    <w:rsid w:val="00D4672E"/>
    <w:rsid w:val="00D46AEE"/>
    <w:rsid w:val="00D46C33"/>
    <w:rsid w:val="00D47BA7"/>
    <w:rsid w:val="00D47F99"/>
    <w:rsid w:val="00D50056"/>
    <w:rsid w:val="00D5029E"/>
    <w:rsid w:val="00D51233"/>
    <w:rsid w:val="00D5137F"/>
    <w:rsid w:val="00D5312F"/>
    <w:rsid w:val="00D54E8D"/>
    <w:rsid w:val="00D55385"/>
    <w:rsid w:val="00D5621C"/>
    <w:rsid w:val="00D57D96"/>
    <w:rsid w:val="00D60CB5"/>
    <w:rsid w:val="00D61927"/>
    <w:rsid w:val="00D622A6"/>
    <w:rsid w:val="00D628C3"/>
    <w:rsid w:val="00D62D60"/>
    <w:rsid w:val="00D64FAE"/>
    <w:rsid w:val="00D66513"/>
    <w:rsid w:val="00D66B8C"/>
    <w:rsid w:val="00D6759E"/>
    <w:rsid w:val="00D701CD"/>
    <w:rsid w:val="00D70774"/>
    <w:rsid w:val="00D71784"/>
    <w:rsid w:val="00D73093"/>
    <w:rsid w:val="00D73638"/>
    <w:rsid w:val="00D73B2A"/>
    <w:rsid w:val="00D73C74"/>
    <w:rsid w:val="00D744C3"/>
    <w:rsid w:val="00D75990"/>
    <w:rsid w:val="00D75A9D"/>
    <w:rsid w:val="00D75D2E"/>
    <w:rsid w:val="00D760D6"/>
    <w:rsid w:val="00D76738"/>
    <w:rsid w:val="00D7717B"/>
    <w:rsid w:val="00D77642"/>
    <w:rsid w:val="00D77CCF"/>
    <w:rsid w:val="00D809E3"/>
    <w:rsid w:val="00D8156A"/>
    <w:rsid w:val="00D82062"/>
    <w:rsid w:val="00D827F3"/>
    <w:rsid w:val="00D836D3"/>
    <w:rsid w:val="00D837E3"/>
    <w:rsid w:val="00D8391C"/>
    <w:rsid w:val="00D85456"/>
    <w:rsid w:val="00D8597D"/>
    <w:rsid w:val="00D85B05"/>
    <w:rsid w:val="00D87F1B"/>
    <w:rsid w:val="00D90923"/>
    <w:rsid w:val="00D91516"/>
    <w:rsid w:val="00D91725"/>
    <w:rsid w:val="00D92D5F"/>
    <w:rsid w:val="00D9335C"/>
    <w:rsid w:val="00D93A64"/>
    <w:rsid w:val="00D9423A"/>
    <w:rsid w:val="00D94D85"/>
    <w:rsid w:val="00D95924"/>
    <w:rsid w:val="00D95E12"/>
    <w:rsid w:val="00D96532"/>
    <w:rsid w:val="00D96907"/>
    <w:rsid w:val="00D96A8F"/>
    <w:rsid w:val="00D96CC2"/>
    <w:rsid w:val="00D973D2"/>
    <w:rsid w:val="00DA06AD"/>
    <w:rsid w:val="00DA13E3"/>
    <w:rsid w:val="00DA38C0"/>
    <w:rsid w:val="00DA3D05"/>
    <w:rsid w:val="00DA45DA"/>
    <w:rsid w:val="00DA5034"/>
    <w:rsid w:val="00DA5C61"/>
    <w:rsid w:val="00DA6AFB"/>
    <w:rsid w:val="00DB2769"/>
    <w:rsid w:val="00DB2A78"/>
    <w:rsid w:val="00DB2D6B"/>
    <w:rsid w:val="00DB38D9"/>
    <w:rsid w:val="00DB4B7C"/>
    <w:rsid w:val="00DB519E"/>
    <w:rsid w:val="00DB688B"/>
    <w:rsid w:val="00DB7100"/>
    <w:rsid w:val="00DB7901"/>
    <w:rsid w:val="00DB7E1F"/>
    <w:rsid w:val="00DC0554"/>
    <w:rsid w:val="00DC0609"/>
    <w:rsid w:val="00DC187A"/>
    <w:rsid w:val="00DC33AC"/>
    <w:rsid w:val="00DC3914"/>
    <w:rsid w:val="00DC3952"/>
    <w:rsid w:val="00DC397F"/>
    <w:rsid w:val="00DC3D53"/>
    <w:rsid w:val="00DC442D"/>
    <w:rsid w:val="00DC4CEC"/>
    <w:rsid w:val="00DC4DDC"/>
    <w:rsid w:val="00DC619A"/>
    <w:rsid w:val="00DC630D"/>
    <w:rsid w:val="00DC6890"/>
    <w:rsid w:val="00DC6F77"/>
    <w:rsid w:val="00DC74B8"/>
    <w:rsid w:val="00DC7776"/>
    <w:rsid w:val="00DC7B15"/>
    <w:rsid w:val="00DD0065"/>
    <w:rsid w:val="00DD03AA"/>
    <w:rsid w:val="00DD0B93"/>
    <w:rsid w:val="00DD1320"/>
    <w:rsid w:val="00DD1446"/>
    <w:rsid w:val="00DD1DA7"/>
    <w:rsid w:val="00DD2D7E"/>
    <w:rsid w:val="00DD3B06"/>
    <w:rsid w:val="00DD5846"/>
    <w:rsid w:val="00DD58A3"/>
    <w:rsid w:val="00DD59D3"/>
    <w:rsid w:val="00DE0DDC"/>
    <w:rsid w:val="00DE1374"/>
    <w:rsid w:val="00DE24E2"/>
    <w:rsid w:val="00DE54D0"/>
    <w:rsid w:val="00DE5A2E"/>
    <w:rsid w:val="00DE757A"/>
    <w:rsid w:val="00DE7639"/>
    <w:rsid w:val="00DE7888"/>
    <w:rsid w:val="00DE7C3A"/>
    <w:rsid w:val="00DF0173"/>
    <w:rsid w:val="00DF089D"/>
    <w:rsid w:val="00DF0D65"/>
    <w:rsid w:val="00DF0D88"/>
    <w:rsid w:val="00DF526F"/>
    <w:rsid w:val="00DF6086"/>
    <w:rsid w:val="00DF6305"/>
    <w:rsid w:val="00DF79CF"/>
    <w:rsid w:val="00DF7B6E"/>
    <w:rsid w:val="00DF7D56"/>
    <w:rsid w:val="00E00E04"/>
    <w:rsid w:val="00E02417"/>
    <w:rsid w:val="00E03290"/>
    <w:rsid w:val="00E03375"/>
    <w:rsid w:val="00E03937"/>
    <w:rsid w:val="00E03A7B"/>
    <w:rsid w:val="00E044D1"/>
    <w:rsid w:val="00E0454E"/>
    <w:rsid w:val="00E04FC5"/>
    <w:rsid w:val="00E05AC5"/>
    <w:rsid w:val="00E06345"/>
    <w:rsid w:val="00E06A0D"/>
    <w:rsid w:val="00E06B21"/>
    <w:rsid w:val="00E06E75"/>
    <w:rsid w:val="00E11324"/>
    <w:rsid w:val="00E114CA"/>
    <w:rsid w:val="00E11C27"/>
    <w:rsid w:val="00E1219D"/>
    <w:rsid w:val="00E144B6"/>
    <w:rsid w:val="00E15268"/>
    <w:rsid w:val="00E15411"/>
    <w:rsid w:val="00E16C1F"/>
    <w:rsid w:val="00E20B7F"/>
    <w:rsid w:val="00E21424"/>
    <w:rsid w:val="00E2177B"/>
    <w:rsid w:val="00E22894"/>
    <w:rsid w:val="00E229EB"/>
    <w:rsid w:val="00E22B40"/>
    <w:rsid w:val="00E23769"/>
    <w:rsid w:val="00E24362"/>
    <w:rsid w:val="00E24DE2"/>
    <w:rsid w:val="00E25CB9"/>
    <w:rsid w:val="00E25FDC"/>
    <w:rsid w:val="00E26C98"/>
    <w:rsid w:val="00E279EC"/>
    <w:rsid w:val="00E27A31"/>
    <w:rsid w:val="00E300EB"/>
    <w:rsid w:val="00E30302"/>
    <w:rsid w:val="00E30421"/>
    <w:rsid w:val="00E30960"/>
    <w:rsid w:val="00E309A0"/>
    <w:rsid w:val="00E31771"/>
    <w:rsid w:val="00E31E9E"/>
    <w:rsid w:val="00E32E7B"/>
    <w:rsid w:val="00E343A7"/>
    <w:rsid w:val="00E34DFE"/>
    <w:rsid w:val="00E35043"/>
    <w:rsid w:val="00E36845"/>
    <w:rsid w:val="00E374F7"/>
    <w:rsid w:val="00E403C2"/>
    <w:rsid w:val="00E4063D"/>
    <w:rsid w:val="00E41A2F"/>
    <w:rsid w:val="00E422D7"/>
    <w:rsid w:val="00E429D2"/>
    <w:rsid w:val="00E43AAB"/>
    <w:rsid w:val="00E43C21"/>
    <w:rsid w:val="00E44139"/>
    <w:rsid w:val="00E45F4C"/>
    <w:rsid w:val="00E46106"/>
    <w:rsid w:val="00E47BB6"/>
    <w:rsid w:val="00E47F6C"/>
    <w:rsid w:val="00E508F5"/>
    <w:rsid w:val="00E51537"/>
    <w:rsid w:val="00E51580"/>
    <w:rsid w:val="00E51C87"/>
    <w:rsid w:val="00E52F58"/>
    <w:rsid w:val="00E53C19"/>
    <w:rsid w:val="00E5449E"/>
    <w:rsid w:val="00E5495C"/>
    <w:rsid w:val="00E56FD0"/>
    <w:rsid w:val="00E57239"/>
    <w:rsid w:val="00E577B7"/>
    <w:rsid w:val="00E6097A"/>
    <w:rsid w:val="00E60F21"/>
    <w:rsid w:val="00E61181"/>
    <w:rsid w:val="00E6163A"/>
    <w:rsid w:val="00E61B0C"/>
    <w:rsid w:val="00E61BB8"/>
    <w:rsid w:val="00E640D3"/>
    <w:rsid w:val="00E64277"/>
    <w:rsid w:val="00E64828"/>
    <w:rsid w:val="00E656BC"/>
    <w:rsid w:val="00E65707"/>
    <w:rsid w:val="00E65BEE"/>
    <w:rsid w:val="00E65C5C"/>
    <w:rsid w:val="00E668E2"/>
    <w:rsid w:val="00E67154"/>
    <w:rsid w:val="00E70355"/>
    <w:rsid w:val="00E72757"/>
    <w:rsid w:val="00E728BF"/>
    <w:rsid w:val="00E7291D"/>
    <w:rsid w:val="00E72A43"/>
    <w:rsid w:val="00E72A87"/>
    <w:rsid w:val="00E72E45"/>
    <w:rsid w:val="00E732DD"/>
    <w:rsid w:val="00E737B4"/>
    <w:rsid w:val="00E73B97"/>
    <w:rsid w:val="00E73C28"/>
    <w:rsid w:val="00E73D66"/>
    <w:rsid w:val="00E7457B"/>
    <w:rsid w:val="00E75616"/>
    <w:rsid w:val="00E756F2"/>
    <w:rsid w:val="00E759B8"/>
    <w:rsid w:val="00E76B8B"/>
    <w:rsid w:val="00E809F8"/>
    <w:rsid w:val="00E8208A"/>
    <w:rsid w:val="00E84DE2"/>
    <w:rsid w:val="00E90773"/>
    <w:rsid w:val="00E90802"/>
    <w:rsid w:val="00E90A25"/>
    <w:rsid w:val="00E910D4"/>
    <w:rsid w:val="00E91C13"/>
    <w:rsid w:val="00E92C22"/>
    <w:rsid w:val="00E93B91"/>
    <w:rsid w:val="00E9451D"/>
    <w:rsid w:val="00E95DBB"/>
    <w:rsid w:val="00E96966"/>
    <w:rsid w:val="00E97814"/>
    <w:rsid w:val="00E97D6B"/>
    <w:rsid w:val="00EA0201"/>
    <w:rsid w:val="00EA0B6A"/>
    <w:rsid w:val="00EA29B8"/>
    <w:rsid w:val="00EA2AA7"/>
    <w:rsid w:val="00EA491D"/>
    <w:rsid w:val="00EA5347"/>
    <w:rsid w:val="00EA601E"/>
    <w:rsid w:val="00EA6A0F"/>
    <w:rsid w:val="00EA6AF2"/>
    <w:rsid w:val="00EB011B"/>
    <w:rsid w:val="00EB0568"/>
    <w:rsid w:val="00EB08A9"/>
    <w:rsid w:val="00EB0E4A"/>
    <w:rsid w:val="00EB19DB"/>
    <w:rsid w:val="00EB2A1F"/>
    <w:rsid w:val="00EB34BA"/>
    <w:rsid w:val="00EB35FF"/>
    <w:rsid w:val="00EB3757"/>
    <w:rsid w:val="00EB502D"/>
    <w:rsid w:val="00EB53CD"/>
    <w:rsid w:val="00EB5729"/>
    <w:rsid w:val="00EB5964"/>
    <w:rsid w:val="00EB6100"/>
    <w:rsid w:val="00EB6C86"/>
    <w:rsid w:val="00EB7527"/>
    <w:rsid w:val="00EB7D46"/>
    <w:rsid w:val="00EC05B0"/>
    <w:rsid w:val="00EC05BC"/>
    <w:rsid w:val="00EC09DB"/>
    <w:rsid w:val="00EC0F66"/>
    <w:rsid w:val="00EC11FD"/>
    <w:rsid w:val="00EC1C18"/>
    <w:rsid w:val="00EC1F88"/>
    <w:rsid w:val="00EC390C"/>
    <w:rsid w:val="00EC52C9"/>
    <w:rsid w:val="00EC52D0"/>
    <w:rsid w:val="00EC7160"/>
    <w:rsid w:val="00EC7187"/>
    <w:rsid w:val="00EC72F2"/>
    <w:rsid w:val="00EC768A"/>
    <w:rsid w:val="00EC7985"/>
    <w:rsid w:val="00ED0921"/>
    <w:rsid w:val="00ED17F3"/>
    <w:rsid w:val="00ED2BF3"/>
    <w:rsid w:val="00ED42C6"/>
    <w:rsid w:val="00ED49CD"/>
    <w:rsid w:val="00ED5188"/>
    <w:rsid w:val="00ED5441"/>
    <w:rsid w:val="00ED5B4F"/>
    <w:rsid w:val="00ED6E1D"/>
    <w:rsid w:val="00ED7940"/>
    <w:rsid w:val="00ED7D58"/>
    <w:rsid w:val="00EE008A"/>
    <w:rsid w:val="00EE0716"/>
    <w:rsid w:val="00EE0B4E"/>
    <w:rsid w:val="00EE15CC"/>
    <w:rsid w:val="00EE1ABC"/>
    <w:rsid w:val="00EE4B1A"/>
    <w:rsid w:val="00EE4D50"/>
    <w:rsid w:val="00EE6526"/>
    <w:rsid w:val="00EE72A0"/>
    <w:rsid w:val="00EE758A"/>
    <w:rsid w:val="00EE77C2"/>
    <w:rsid w:val="00EE79F9"/>
    <w:rsid w:val="00EE7AE4"/>
    <w:rsid w:val="00EE7C54"/>
    <w:rsid w:val="00EE7F0E"/>
    <w:rsid w:val="00EF0286"/>
    <w:rsid w:val="00EF0B3F"/>
    <w:rsid w:val="00EF34AF"/>
    <w:rsid w:val="00EF4733"/>
    <w:rsid w:val="00EF4C1D"/>
    <w:rsid w:val="00EF4D46"/>
    <w:rsid w:val="00EF4D4D"/>
    <w:rsid w:val="00EF4E7C"/>
    <w:rsid w:val="00EF541B"/>
    <w:rsid w:val="00EF664C"/>
    <w:rsid w:val="00EF6C10"/>
    <w:rsid w:val="00EF77E4"/>
    <w:rsid w:val="00EF7B5B"/>
    <w:rsid w:val="00F0053B"/>
    <w:rsid w:val="00F01166"/>
    <w:rsid w:val="00F01C5B"/>
    <w:rsid w:val="00F01CD9"/>
    <w:rsid w:val="00F01E8F"/>
    <w:rsid w:val="00F0286A"/>
    <w:rsid w:val="00F0310E"/>
    <w:rsid w:val="00F03FD5"/>
    <w:rsid w:val="00F04288"/>
    <w:rsid w:val="00F04807"/>
    <w:rsid w:val="00F04D14"/>
    <w:rsid w:val="00F05618"/>
    <w:rsid w:val="00F05A1E"/>
    <w:rsid w:val="00F05A97"/>
    <w:rsid w:val="00F062D1"/>
    <w:rsid w:val="00F100EE"/>
    <w:rsid w:val="00F10CDE"/>
    <w:rsid w:val="00F111D7"/>
    <w:rsid w:val="00F117AE"/>
    <w:rsid w:val="00F119F9"/>
    <w:rsid w:val="00F127B4"/>
    <w:rsid w:val="00F158FB"/>
    <w:rsid w:val="00F15EDD"/>
    <w:rsid w:val="00F16F06"/>
    <w:rsid w:val="00F16F4B"/>
    <w:rsid w:val="00F17615"/>
    <w:rsid w:val="00F2116E"/>
    <w:rsid w:val="00F219F5"/>
    <w:rsid w:val="00F21BA8"/>
    <w:rsid w:val="00F21C13"/>
    <w:rsid w:val="00F22035"/>
    <w:rsid w:val="00F220A9"/>
    <w:rsid w:val="00F22655"/>
    <w:rsid w:val="00F259AB"/>
    <w:rsid w:val="00F26A6D"/>
    <w:rsid w:val="00F27714"/>
    <w:rsid w:val="00F3055B"/>
    <w:rsid w:val="00F334CB"/>
    <w:rsid w:val="00F3479A"/>
    <w:rsid w:val="00F360A0"/>
    <w:rsid w:val="00F36BDF"/>
    <w:rsid w:val="00F37153"/>
    <w:rsid w:val="00F37735"/>
    <w:rsid w:val="00F400F4"/>
    <w:rsid w:val="00F40128"/>
    <w:rsid w:val="00F402F6"/>
    <w:rsid w:val="00F40804"/>
    <w:rsid w:val="00F43E16"/>
    <w:rsid w:val="00F45ACC"/>
    <w:rsid w:val="00F47E7C"/>
    <w:rsid w:val="00F5144D"/>
    <w:rsid w:val="00F52934"/>
    <w:rsid w:val="00F5351A"/>
    <w:rsid w:val="00F53534"/>
    <w:rsid w:val="00F53D1B"/>
    <w:rsid w:val="00F54A2C"/>
    <w:rsid w:val="00F56080"/>
    <w:rsid w:val="00F5640C"/>
    <w:rsid w:val="00F577E1"/>
    <w:rsid w:val="00F57B13"/>
    <w:rsid w:val="00F6006F"/>
    <w:rsid w:val="00F624F4"/>
    <w:rsid w:val="00F6371D"/>
    <w:rsid w:val="00F65151"/>
    <w:rsid w:val="00F663A7"/>
    <w:rsid w:val="00F66749"/>
    <w:rsid w:val="00F674BC"/>
    <w:rsid w:val="00F675F0"/>
    <w:rsid w:val="00F70133"/>
    <w:rsid w:val="00F70D74"/>
    <w:rsid w:val="00F70E93"/>
    <w:rsid w:val="00F71552"/>
    <w:rsid w:val="00F74A3D"/>
    <w:rsid w:val="00F759C7"/>
    <w:rsid w:val="00F768F9"/>
    <w:rsid w:val="00F76AC0"/>
    <w:rsid w:val="00F80460"/>
    <w:rsid w:val="00F80BE4"/>
    <w:rsid w:val="00F81DD3"/>
    <w:rsid w:val="00F8366E"/>
    <w:rsid w:val="00F840FF"/>
    <w:rsid w:val="00F844C7"/>
    <w:rsid w:val="00F84FAF"/>
    <w:rsid w:val="00F85E83"/>
    <w:rsid w:val="00F8619E"/>
    <w:rsid w:val="00F86AC6"/>
    <w:rsid w:val="00F87EB6"/>
    <w:rsid w:val="00F909A5"/>
    <w:rsid w:val="00F90D97"/>
    <w:rsid w:val="00F91107"/>
    <w:rsid w:val="00F9111F"/>
    <w:rsid w:val="00F91E05"/>
    <w:rsid w:val="00F933DF"/>
    <w:rsid w:val="00F9340F"/>
    <w:rsid w:val="00F9401B"/>
    <w:rsid w:val="00F94E36"/>
    <w:rsid w:val="00F95A21"/>
    <w:rsid w:val="00FA09CC"/>
    <w:rsid w:val="00FA09FC"/>
    <w:rsid w:val="00FA0DCA"/>
    <w:rsid w:val="00FA0EB7"/>
    <w:rsid w:val="00FA1873"/>
    <w:rsid w:val="00FA1C0A"/>
    <w:rsid w:val="00FA3013"/>
    <w:rsid w:val="00FA337E"/>
    <w:rsid w:val="00FA4611"/>
    <w:rsid w:val="00FA4B4B"/>
    <w:rsid w:val="00FA5377"/>
    <w:rsid w:val="00FA579C"/>
    <w:rsid w:val="00FA71EE"/>
    <w:rsid w:val="00FB1D47"/>
    <w:rsid w:val="00FB29DC"/>
    <w:rsid w:val="00FB33B1"/>
    <w:rsid w:val="00FB3D81"/>
    <w:rsid w:val="00FB3F9F"/>
    <w:rsid w:val="00FB4627"/>
    <w:rsid w:val="00FB471B"/>
    <w:rsid w:val="00FB563A"/>
    <w:rsid w:val="00FB57E4"/>
    <w:rsid w:val="00FC021D"/>
    <w:rsid w:val="00FC08C8"/>
    <w:rsid w:val="00FC1122"/>
    <w:rsid w:val="00FC3322"/>
    <w:rsid w:val="00FC3A62"/>
    <w:rsid w:val="00FC4498"/>
    <w:rsid w:val="00FC491A"/>
    <w:rsid w:val="00FC4C0E"/>
    <w:rsid w:val="00FC514F"/>
    <w:rsid w:val="00FC6264"/>
    <w:rsid w:val="00FD1047"/>
    <w:rsid w:val="00FD1AB0"/>
    <w:rsid w:val="00FD1CA1"/>
    <w:rsid w:val="00FD206D"/>
    <w:rsid w:val="00FD2747"/>
    <w:rsid w:val="00FD3DAE"/>
    <w:rsid w:val="00FD70C0"/>
    <w:rsid w:val="00FE0209"/>
    <w:rsid w:val="00FE0258"/>
    <w:rsid w:val="00FE040D"/>
    <w:rsid w:val="00FE333D"/>
    <w:rsid w:val="00FE33B5"/>
    <w:rsid w:val="00FE41E3"/>
    <w:rsid w:val="00FE538C"/>
    <w:rsid w:val="00FE55C5"/>
    <w:rsid w:val="00FF21B0"/>
    <w:rsid w:val="00FF2641"/>
    <w:rsid w:val="00FF2755"/>
    <w:rsid w:val="00FF2CB9"/>
    <w:rsid w:val="00FF359F"/>
    <w:rsid w:val="00FF4942"/>
    <w:rsid w:val="00FF4A4B"/>
    <w:rsid w:val="00FF5C09"/>
    <w:rsid w:val="00FF5C9F"/>
    <w:rsid w:val="00FF7B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732C1"/>
  <w15:docId w15:val="{B3B76621-2AE1-4CD8-BD6C-0188A291D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iPriority="0" w:unhideWhenUsed="1" w:qFormat="1"/>
    <w:lsdException w:name="List" w:semiHidden="1" w:uiPriority="0"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iPriority="0"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nhideWhenUsed="1" w:qFormat="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qFormat="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0"/>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C16"/>
    <w:pPr>
      <w:spacing w:after="160" w:line="259" w:lineRule="auto"/>
    </w:pPr>
    <w:rPr>
      <w:sz w:val="22"/>
      <w:szCs w:val="22"/>
      <w:lang w:eastAsia="en-US"/>
    </w:rPr>
  </w:style>
  <w:style w:type="paragraph" w:styleId="Titre1">
    <w:name w:val="heading 1"/>
    <w:aliases w:val="Titre 1 Car Car Car Car Car Car Car Car Car Car Car Car Car Car Car Car Car Car,Main Heading,TCI 1.  Heading,Main Heading 1,Document Header1, 1,Heading 11,head,Heading 1_MNV,Chapitre,page top,TITRE 1, Main Heading"/>
    <w:basedOn w:val="Normal"/>
    <w:next w:val="Normal"/>
    <w:link w:val="Titre1Car"/>
    <w:uiPriority w:val="9"/>
    <w:qFormat/>
    <w:rsid w:val="00ED17F3"/>
    <w:pPr>
      <w:keepNext/>
      <w:keepLines/>
      <w:numPr>
        <w:numId w:val="53"/>
      </w:numPr>
      <w:spacing w:before="240" w:after="0"/>
      <w:outlineLvl w:val="0"/>
    </w:pPr>
    <w:rPr>
      <w:rFonts w:ascii="Times New Roman" w:eastAsia="Times New Roman" w:hAnsi="Times New Roman"/>
      <w:b/>
      <w:sz w:val="24"/>
      <w:szCs w:val="32"/>
    </w:rPr>
  </w:style>
  <w:style w:type="paragraph" w:styleId="Titre2">
    <w:name w:val="heading 2"/>
    <w:aliases w:val="Section,Paranum,alec2,Chapitre 2,an,(1.1),Title Header2,Titre secondaire (2),Titre secondaire (2) Car"/>
    <w:basedOn w:val="Normal"/>
    <w:next w:val="Normal"/>
    <w:link w:val="Titre2Car"/>
    <w:uiPriority w:val="9"/>
    <w:unhideWhenUsed/>
    <w:qFormat/>
    <w:rsid w:val="00ED17F3"/>
    <w:pPr>
      <w:keepNext/>
      <w:keepLines/>
      <w:numPr>
        <w:ilvl w:val="1"/>
        <w:numId w:val="53"/>
      </w:numPr>
      <w:spacing w:before="40" w:after="0"/>
      <w:outlineLvl w:val="1"/>
    </w:pPr>
    <w:rPr>
      <w:rFonts w:ascii="Times New Roman" w:eastAsia="Times New Roman" w:hAnsi="Times New Roman"/>
      <w:b/>
      <w:color w:val="000000"/>
      <w:sz w:val="24"/>
      <w:szCs w:val="26"/>
    </w:rPr>
  </w:style>
  <w:style w:type="paragraph" w:styleId="Titre3">
    <w:name w:val="heading 3"/>
    <w:aliases w:val="Centered,centered, Centered,C Heading,Client,3 bullet,don't use,h3,SECOND,Second,B1,bullet,b1,3,Normal Heading 3,Heading 3 Char,Heading 3 Char1 Char,Heading 3 Char Char Char,~MinorSubHeading,Subtitle 3,Minor,Newshead1,Sub-heading,H3,Parts 1.,2"/>
    <w:basedOn w:val="Normal"/>
    <w:next w:val="Normal"/>
    <w:link w:val="Titre3Car"/>
    <w:uiPriority w:val="9"/>
    <w:unhideWhenUsed/>
    <w:qFormat/>
    <w:rsid w:val="00ED17F3"/>
    <w:pPr>
      <w:keepNext/>
      <w:keepLines/>
      <w:numPr>
        <w:ilvl w:val="2"/>
        <w:numId w:val="53"/>
      </w:numPr>
      <w:spacing w:before="40" w:after="0"/>
      <w:outlineLvl w:val="2"/>
    </w:pPr>
    <w:rPr>
      <w:rFonts w:ascii="Times New Roman" w:eastAsia="Times New Roman" w:hAnsi="Times New Roman"/>
      <w:sz w:val="24"/>
      <w:szCs w:val="24"/>
    </w:rPr>
  </w:style>
  <w:style w:type="paragraph" w:styleId="Titre4">
    <w:name w:val="heading 4"/>
    <w:aliases w:val="Sub-Clause Sub-paragraph,ClauseSubSub_No&amp;Name,Centred,Cen.,A,(1.1.1.1.),Sous-Section,Sous-Sectipson,T4,Sous-Sectipson + Gauche :  0 cm,Premiè...,Première ligne : 0 cm...,MainPara,Première ligne : 0 cm"/>
    <w:basedOn w:val="Normal"/>
    <w:next w:val="Normal"/>
    <w:link w:val="Titre4Car"/>
    <w:uiPriority w:val="9"/>
    <w:unhideWhenUsed/>
    <w:qFormat/>
    <w:rsid w:val="00ED17F3"/>
    <w:pPr>
      <w:keepNext/>
      <w:keepLines/>
      <w:numPr>
        <w:ilvl w:val="3"/>
        <w:numId w:val="53"/>
      </w:numPr>
      <w:spacing w:before="40" w:after="0"/>
      <w:outlineLvl w:val="3"/>
    </w:pPr>
    <w:rPr>
      <w:rFonts w:ascii="Times New Roman" w:eastAsia="Times New Roman" w:hAnsi="Times New Roman"/>
      <w:i/>
      <w:iCs/>
      <w:color w:val="000000"/>
      <w:sz w:val="24"/>
    </w:rPr>
  </w:style>
  <w:style w:type="paragraph" w:styleId="Titre5">
    <w:name w:val="heading 5"/>
    <w:basedOn w:val="Normal"/>
    <w:next w:val="Normal"/>
    <w:link w:val="Titre5Car"/>
    <w:uiPriority w:val="9"/>
    <w:unhideWhenUsed/>
    <w:qFormat/>
    <w:rsid w:val="00ED17F3"/>
    <w:pPr>
      <w:keepNext/>
      <w:keepLines/>
      <w:numPr>
        <w:ilvl w:val="4"/>
        <w:numId w:val="53"/>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iPriority w:val="9"/>
    <w:unhideWhenUsed/>
    <w:qFormat/>
    <w:rsid w:val="00ED17F3"/>
    <w:pPr>
      <w:keepNext/>
      <w:keepLines/>
      <w:numPr>
        <w:ilvl w:val="5"/>
        <w:numId w:val="53"/>
      </w:numPr>
      <w:spacing w:before="40" w:after="0"/>
      <w:outlineLvl w:val="5"/>
    </w:pPr>
    <w:rPr>
      <w:rFonts w:ascii="Calibri Light" w:eastAsia="Times New Roman" w:hAnsi="Calibri Light"/>
      <w:color w:val="1F4D78"/>
    </w:rPr>
  </w:style>
  <w:style w:type="paragraph" w:styleId="Titre7">
    <w:name w:val="heading 7"/>
    <w:basedOn w:val="Normal"/>
    <w:next w:val="Normal"/>
    <w:link w:val="Titre7Car"/>
    <w:uiPriority w:val="9"/>
    <w:unhideWhenUsed/>
    <w:qFormat/>
    <w:rsid w:val="00ED17F3"/>
    <w:pPr>
      <w:keepNext/>
      <w:keepLines/>
      <w:numPr>
        <w:ilvl w:val="6"/>
        <w:numId w:val="53"/>
      </w:numPr>
      <w:suppressAutoHyphens/>
      <w:spacing w:before="200" w:after="0" w:line="276" w:lineRule="auto"/>
      <w:outlineLvl w:val="6"/>
    </w:pPr>
    <w:rPr>
      <w:rFonts w:ascii="Cambria" w:eastAsia="SimSun" w:hAnsi="Cambria" w:cs="Calibri"/>
      <w:i/>
      <w:iCs/>
      <w:color w:val="404040"/>
    </w:rPr>
  </w:style>
  <w:style w:type="paragraph" w:styleId="Titre8">
    <w:name w:val="heading 8"/>
    <w:basedOn w:val="Normal"/>
    <w:next w:val="Normal"/>
    <w:link w:val="Titre8Car"/>
    <w:uiPriority w:val="9"/>
    <w:unhideWhenUsed/>
    <w:qFormat/>
    <w:rsid w:val="00ED17F3"/>
    <w:pPr>
      <w:keepNext/>
      <w:keepLines/>
      <w:numPr>
        <w:ilvl w:val="7"/>
        <w:numId w:val="53"/>
      </w:numPr>
      <w:spacing w:before="40" w:after="0"/>
      <w:outlineLvl w:val="7"/>
    </w:pPr>
    <w:rPr>
      <w:rFonts w:ascii="Calibri Light" w:eastAsia="Times New Roman" w:hAnsi="Calibri Light"/>
      <w:color w:val="272727"/>
      <w:sz w:val="21"/>
      <w:szCs w:val="21"/>
    </w:rPr>
  </w:style>
  <w:style w:type="paragraph" w:styleId="Titre9">
    <w:name w:val="heading 9"/>
    <w:aliases w:val="Tableau. 1: Titre 9"/>
    <w:basedOn w:val="Normal"/>
    <w:next w:val="Normal"/>
    <w:link w:val="Titre9Car"/>
    <w:uiPriority w:val="9"/>
    <w:unhideWhenUsed/>
    <w:qFormat/>
    <w:rsid w:val="00ED17F3"/>
    <w:pPr>
      <w:keepNext/>
      <w:keepLines/>
      <w:numPr>
        <w:ilvl w:val="8"/>
        <w:numId w:val="53"/>
      </w:numPr>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 Car Car Car Car Car Car Car Car Car Car Car Car Car1,Main Heading Car,TCI 1.  Heading Car,Main Heading 1 Car,Document Header1 Car, 1 Car,Heading 11 Car,head Car,Heading 1_MNV Car,Chapitre Car,page top Car"/>
    <w:link w:val="Titre1"/>
    <w:uiPriority w:val="9"/>
    <w:qFormat/>
    <w:rsid w:val="00ED17F3"/>
    <w:rPr>
      <w:rFonts w:ascii="Times New Roman" w:eastAsia="Times New Roman" w:hAnsi="Times New Roman"/>
      <w:b/>
      <w:sz w:val="24"/>
      <w:szCs w:val="32"/>
      <w:lang w:eastAsia="en-US"/>
    </w:rPr>
  </w:style>
  <w:style w:type="character" w:customStyle="1" w:styleId="Titre2Car">
    <w:name w:val="Titre 2 Car"/>
    <w:aliases w:val="Section Car,Paranum Car,alec2 Car,Chapitre 2 Car,an Car,(1.1) Car,Title Header2 Car,Titre secondaire (2) Car1,Titre secondaire (2) Car Car"/>
    <w:link w:val="Titre2"/>
    <w:uiPriority w:val="9"/>
    <w:qFormat/>
    <w:rsid w:val="00ED17F3"/>
    <w:rPr>
      <w:rFonts w:ascii="Times New Roman" w:eastAsia="Times New Roman" w:hAnsi="Times New Roman" w:cs="Times New Roman"/>
      <w:b/>
      <w:color w:val="000000"/>
      <w:sz w:val="24"/>
      <w:szCs w:val="26"/>
    </w:rPr>
  </w:style>
  <w:style w:type="character" w:customStyle="1" w:styleId="Titre3Car">
    <w:name w:val="Titre 3 Car"/>
    <w:aliases w:val="Centered Car1,centered Car1, Centered Car1,C Heading Car1,Client Car1,3 bullet Car1,don't use Car1,h3 Car1,SECOND Car1,Second Car1,B1 Car1,bullet Car1,b1 Car1,3 Car1,Normal Heading 3 Car1,Heading 3 Char Car1,Heading 3 Char1 Char Car1,H3 Car"/>
    <w:link w:val="Titre3"/>
    <w:uiPriority w:val="9"/>
    <w:qFormat/>
    <w:rsid w:val="00ED17F3"/>
    <w:rPr>
      <w:rFonts w:ascii="Times New Roman" w:eastAsia="Times New Roman" w:hAnsi="Times New Roman" w:cs="Times New Roman"/>
      <w:sz w:val="24"/>
      <w:szCs w:val="24"/>
    </w:rPr>
  </w:style>
  <w:style w:type="character" w:customStyle="1" w:styleId="Titre4Car">
    <w:name w:val="Titre 4 Car"/>
    <w:aliases w:val="Sub-Clause Sub-paragraph Car,ClauseSubSub_No&amp;Name Car,Centred Car,Cen. Car,A Car,(1.1.1.1.) Car,Sous-Section Car,Sous-Sectipson Car,T4 Car,Sous-Sectipson + Gauche :  0 cm Car,Premiè... Car,Première ligne : 0 cm... Car,MainPara Car"/>
    <w:link w:val="Titre4"/>
    <w:uiPriority w:val="9"/>
    <w:qFormat/>
    <w:rsid w:val="00ED17F3"/>
    <w:rPr>
      <w:rFonts w:ascii="Times New Roman" w:eastAsia="Times New Roman" w:hAnsi="Times New Roman" w:cs="Times New Roman"/>
      <w:i/>
      <w:iCs/>
      <w:color w:val="000000"/>
      <w:sz w:val="24"/>
    </w:rPr>
  </w:style>
  <w:style w:type="character" w:customStyle="1" w:styleId="Titre5Car">
    <w:name w:val="Titre 5 Car"/>
    <w:link w:val="Titre5"/>
    <w:uiPriority w:val="9"/>
    <w:qFormat/>
    <w:rsid w:val="00ED17F3"/>
    <w:rPr>
      <w:rFonts w:ascii="Calibri Light" w:eastAsia="Times New Roman" w:hAnsi="Calibri Light" w:cs="Times New Roman"/>
      <w:color w:val="2E74B5"/>
    </w:rPr>
  </w:style>
  <w:style w:type="character" w:customStyle="1" w:styleId="Titre6Car">
    <w:name w:val="Titre 6 Car"/>
    <w:link w:val="Titre6"/>
    <w:uiPriority w:val="9"/>
    <w:qFormat/>
    <w:rsid w:val="00ED17F3"/>
    <w:rPr>
      <w:rFonts w:ascii="Calibri Light" w:eastAsia="Times New Roman" w:hAnsi="Calibri Light" w:cs="Times New Roman"/>
      <w:color w:val="1F4D78"/>
    </w:rPr>
  </w:style>
  <w:style w:type="character" w:customStyle="1" w:styleId="Titre7Car">
    <w:name w:val="Titre 7 Car"/>
    <w:link w:val="Titre7"/>
    <w:uiPriority w:val="9"/>
    <w:qFormat/>
    <w:rsid w:val="00ED17F3"/>
    <w:rPr>
      <w:rFonts w:ascii="Cambria" w:eastAsia="SimSun" w:hAnsi="Cambria" w:cs="Calibri"/>
      <w:i/>
      <w:iCs/>
      <w:color w:val="404040"/>
    </w:rPr>
  </w:style>
  <w:style w:type="character" w:customStyle="1" w:styleId="Titre8Car">
    <w:name w:val="Titre 8 Car"/>
    <w:link w:val="Titre8"/>
    <w:uiPriority w:val="9"/>
    <w:qFormat/>
    <w:rsid w:val="00ED17F3"/>
    <w:rPr>
      <w:rFonts w:ascii="Calibri Light" w:eastAsia="Times New Roman" w:hAnsi="Calibri Light" w:cs="Times New Roman"/>
      <w:color w:val="272727"/>
      <w:sz w:val="21"/>
      <w:szCs w:val="21"/>
    </w:rPr>
  </w:style>
  <w:style w:type="character" w:customStyle="1" w:styleId="Titre9Car">
    <w:name w:val="Titre 9 Car"/>
    <w:aliases w:val="Tableau. 1: Titre 9 Car"/>
    <w:link w:val="Titre9"/>
    <w:uiPriority w:val="9"/>
    <w:qFormat/>
    <w:rsid w:val="00ED17F3"/>
    <w:rPr>
      <w:rFonts w:ascii="Calibri Light" w:eastAsia="Times New Roman" w:hAnsi="Calibri Light" w:cs="Times New Roman"/>
      <w:i/>
      <w:iCs/>
      <w:color w:val="272727"/>
      <w:sz w:val="21"/>
      <w:szCs w:val="21"/>
    </w:rPr>
  </w:style>
  <w:style w:type="paragraph" w:styleId="En-tte">
    <w:name w:val="header"/>
    <w:aliases w:val="En-tête client,Car2,/ pied de page,Kopfzeile Char Char, Char Char Char,En-tête CV,Header1,hd"/>
    <w:basedOn w:val="Normal"/>
    <w:link w:val="En-tteCar"/>
    <w:uiPriority w:val="99"/>
    <w:unhideWhenUsed/>
    <w:qFormat/>
    <w:rsid w:val="00ED17F3"/>
    <w:pPr>
      <w:tabs>
        <w:tab w:val="center" w:pos="4536"/>
        <w:tab w:val="right" w:pos="9072"/>
      </w:tabs>
      <w:spacing w:after="0" w:line="240" w:lineRule="auto"/>
    </w:pPr>
  </w:style>
  <w:style w:type="character" w:customStyle="1" w:styleId="En-tteCar">
    <w:name w:val="En-tête Car"/>
    <w:aliases w:val="En-tête client Car,Car2 Car,/ pied de page Car,Kopfzeile Char Char Car, Char Char Char Car,En-tête CV Car,Header1 Car,hd Car"/>
    <w:basedOn w:val="Policepardfaut"/>
    <w:link w:val="En-tte"/>
    <w:uiPriority w:val="99"/>
    <w:qFormat/>
    <w:rsid w:val="00ED17F3"/>
  </w:style>
  <w:style w:type="paragraph" w:styleId="Pieddepage">
    <w:name w:val="footer"/>
    <w:aliases w:val="puces points"/>
    <w:basedOn w:val="Normal"/>
    <w:link w:val="PieddepageCar"/>
    <w:uiPriority w:val="99"/>
    <w:unhideWhenUsed/>
    <w:qFormat/>
    <w:rsid w:val="00ED17F3"/>
    <w:pPr>
      <w:tabs>
        <w:tab w:val="center" w:pos="4536"/>
        <w:tab w:val="right" w:pos="9072"/>
      </w:tabs>
      <w:spacing w:after="0" w:line="240" w:lineRule="auto"/>
    </w:pPr>
  </w:style>
  <w:style w:type="character" w:customStyle="1" w:styleId="PieddepageCar">
    <w:name w:val="Pied de page Car"/>
    <w:aliases w:val="puces points Car"/>
    <w:basedOn w:val="Policepardfaut"/>
    <w:link w:val="Pieddepage"/>
    <w:uiPriority w:val="99"/>
    <w:qFormat/>
    <w:rsid w:val="00ED17F3"/>
  </w:style>
  <w:style w:type="paragraph" w:styleId="Paragraphedeliste">
    <w:name w:val="List Paragraph"/>
    <w:aliases w:val="Titre 10,Yalgo corps,Paragraphe de liste11,Paragraphe  revu,Bullets,List Paragraph (numbered (a)),List Paragraph nowy,Numbered List Paragraph,List Bullet Mary,Bullet paras,Heading 1.1,Use Case List Paragraph,ANNEX,List Paragraph1,lp1"/>
    <w:basedOn w:val="Normal"/>
    <w:link w:val="ParagraphedelisteCar"/>
    <w:uiPriority w:val="34"/>
    <w:qFormat/>
    <w:rsid w:val="00ED17F3"/>
    <w:pPr>
      <w:ind w:left="720"/>
      <w:contextualSpacing/>
    </w:pPr>
  </w:style>
  <w:style w:type="character" w:customStyle="1" w:styleId="ParagraphedelisteCar">
    <w:name w:val="Paragraphe de liste Car"/>
    <w:aliases w:val="Titre 10 Car,Yalgo corps Car,Paragraphe de liste11 Car,Paragraphe  revu Car,Bullets Car,List Paragraph (numbered (a)) Car,List Paragraph nowy Car,Numbered List Paragraph Car,List Bullet Mary Car,Bullet paras Car,Heading 1.1 Car"/>
    <w:link w:val="Paragraphedeliste"/>
    <w:uiPriority w:val="34"/>
    <w:qFormat/>
    <w:locked/>
    <w:rsid w:val="00ED17F3"/>
  </w:style>
  <w:style w:type="table" w:styleId="Grilledutableau">
    <w:name w:val="Table Grid"/>
    <w:aliases w:val="GT0,Vale 4,Table long document,mtbs,tabelle2,CV table,EY Table,SGS Table Basic 1,网格型-中对齐,网格型!,表格样式,Default Table,Table Grid CFAA"/>
    <w:basedOn w:val="TableauNormal"/>
    <w:uiPriority w:val="59"/>
    <w:qFormat/>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aliases w:val=" Car Car Car,Car Car Car,Car,Caption Char,Caption [+C],0-Caption-Table,Char,Fig,Table Caption,Figure,headings,CPR Caption,CPR Caption Char,Table1,Figure1,headings1 Char,headings1,Table Char,Figure Char,headings Char,CPR Caption Char1,M,Map"/>
    <w:basedOn w:val="Normal"/>
    <w:next w:val="Normal"/>
    <w:link w:val="LgendeCar"/>
    <w:unhideWhenUsed/>
    <w:qFormat/>
    <w:rsid w:val="00ED17F3"/>
    <w:pPr>
      <w:spacing w:after="200" w:line="240" w:lineRule="auto"/>
    </w:pPr>
    <w:rPr>
      <w:rFonts w:ascii="Times New Roman" w:hAnsi="Times New Roman"/>
      <w:iCs/>
      <w:color w:val="000000"/>
      <w:szCs w:val="18"/>
    </w:rPr>
  </w:style>
  <w:style w:type="character" w:customStyle="1" w:styleId="LgendeCar">
    <w:name w:val="Légende Car"/>
    <w:aliases w:val=" Car Car Car Car,Car Car Car Car,Car Car,Caption Char Car,Caption [+C] Car,0-Caption-Table Car,Char Car,Fig Car,Table Caption Car,Figure Car,headings Car,CPR Caption Car,CPR Caption Char Car,Table1 Car,Figure1 Car,headings1 Char Car,M Car"/>
    <w:link w:val="Lgende"/>
    <w:qFormat/>
    <w:rsid w:val="00ED17F3"/>
    <w:rPr>
      <w:rFonts w:ascii="Times New Roman" w:hAnsi="Times New Roman"/>
      <w:iCs/>
      <w:color w:val="000000"/>
      <w:szCs w:val="18"/>
    </w:rPr>
  </w:style>
  <w:style w:type="paragraph" w:customStyle="1" w:styleId="Default">
    <w:name w:val="Default"/>
    <w:link w:val="DefaultCar"/>
    <w:qFormat/>
    <w:rsid w:val="00ED17F3"/>
    <w:pPr>
      <w:autoSpaceDE w:val="0"/>
      <w:autoSpaceDN w:val="0"/>
      <w:adjustRightInd w:val="0"/>
    </w:pPr>
    <w:rPr>
      <w:rFonts w:ascii="Times New Roman" w:hAnsi="Times New Roman"/>
      <w:color w:val="000000"/>
      <w:sz w:val="24"/>
      <w:szCs w:val="24"/>
    </w:rPr>
  </w:style>
  <w:style w:type="paragraph" w:styleId="Sansinterligne">
    <w:name w:val="No Spacing"/>
    <w:aliases w:val="Para HP"/>
    <w:link w:val="SansinterligneCar"/>
    <w:uiPriority w:val="1"/>
    <w:qFormat/>
    <w:rsid w:val="00ED17F3"/>
    <w:rPr>
      <w:sz w:val="22"/>
      <w:szCs w:val="22"/>
      <w:lang w:eastAsia="en-US"/>
    </w:rPr>
  </w:style>
  <w:style w:type="character" w:customStyle="1" w:styleId="SansinterligneCar">
    <w:name w:val="Sans interligne Car"/>
    <w:aliases w:val="Para HP Car"/>
    <w:link w:val="Sansinterligne"/>
    <w:uiPriority w:val="1"/>
    <w:qFormat/>
    <w:rsid w:val="00ED17F3"/>
  </w:style>
  <w:style w:type="paragraph" w:styleId="En-ttedetabledesmatires">
    <w:name w:val="TOC Heading"/>
    <w:basedOn w:val="Titre1"/>
    <w:next w:val="Normal"/>
    <w:uiPriority w:val="39"/>
    <w:unhideWhenUsed/>
    <w:qFormat/>
    <w:rsid w:val="00ED17F3"/>
    <w:pPr>
      <w:outlineLvl w:val="9"/>
    </w:pPr>
    <w:rPr>
      <w:rFonts w:ascii="Calibri Light" w:hAnsi="Calibri Light"/>
      <w:b w:val="0"/>
      <w:color w:val="2E74B5"/>
      <w:sz w:val="32"/>
      <w:lang w:eastAsia="fr-FR"/>
    </w:rPr>
  </w:style>
  <w:style w:type="paragraph" w:styleId="TM1">
    <w:name w:val="toc 1"/>
    <w:basedOn w:val="Normal"/>
    <w:next w:val="Normal"/>
    <w:autoRedefine/>
    <w:uiPriority w:val="39"/>
    <w:unhideWhenUsed/>
    <w:qFormat/>
    <w:rsid w:val="00C224BD"/>
    <w:pPr>
      <w:tabs>
        <w:tab w:val="left" w:pos="440"/>
        <w:tab w:val="right" w:leader="dot" w:pos="9060"/>
      </w:tabs>
      <w:spacing w:after="0"/>
      <w:ind w:right="425"/>
      <w:jc w:val="both"/>
    </w:pPr>
    <w:rPr>
      <w:rFonts w:ascii="Times New Roman" w:hAnsi="Times New Roman"/>
      <w:b/>
      <w:noProof/>
      <w:sz w:val="24"/>
      <w:szCs w:val="24"/>
    </w:rPr>
  </w:style>
  <w:style w:type="paragraph" w:styleId="TM2">
    <w:name w:val="toc 2"/>
    <w:basedOn w:val="Normal"/>
    <w:next w:val="Normal"/>
    <w:autoRedefine/>
    <w:uiPriority w:val="39"/>
    <w:unhideWhenUsed/>
    <w:qFormat/>
    <w:rsid w:val="00F933DF"/>
    <w:pPr>
      <w:tabs>
        <w:tab w:val="left" w:pos="660"/>
        <w:tab w:val="left" w:pos="1100"/>
        <w:tab w:val="right" w:leader="dot" w:pos="9060"/>
      </w:tabs>
      <w:spacing w:after="0" w:line="276" w:lineRule="auto"/>
      <w:ind w:left="426"/>
      <w:jc w:val="both"/>
    </w:pPr>
  </w:style>
  <w:style w:type="paragraph" w:styleId="TM3">
    <w:name w:val="toc 3"/>
    <w:basedOn w:val="Normal"/>
    <w:next w:val="Normal"/>
    <w:autoRedefine/>
    <w:uiPriority w:val="39"/>
    <w:unhideWhenUsed/>
    <w:qFormat/>
    <w:rsid w:val="00ED17F3"/>
    <w:pPr>
      <w:spacing w:after="100"/>
      <w:ind w:left="440"/>
    </w:pPr>
  </w:style>
  <w:style w:type="character" w:styleId="Lienhypertexte">
    <w:name w:val="Hyperlink"/>
    <w:uiPriority w:val="99"/>
    <w:unhideWhenUsed/>
    <w:rsid w:val="00ED17F3"/>
    <w:rPr>
      <w:color w:val="0563C1"/>
      <w:u w:val="single"/>
    </w:rPr>
  </w:style>
  <w:style w:type="character" w:customStyle="1" w:styleId="TextedebullesCar">
    <w:name w:val="Texte de bulles Car"/>
    <w:link w:val="Textedebulles"/>
    <w:uiPriority w:val="99"/>
    <w:qFormat/>
    <w:rsid w:val="00ED17F3"/>
    <w:rPr>
      <w:rFonts w:ascii="Tahoma" w:eastAsia="Times New Roman" w:hAnsi="Tahoma" w:cs="Tahoma"/>
      <w:sz w:val="16"/>
      <w:szCs w:val="16"/>
      <w:lang w:eastAsia="fr-FR"/>
    </w:rPr>
  </w:style>
  <w:style w:type="paragraph" w:styleId="Textedebulles">
    <w:name w:val="Balloon Text"/>
    <w:basedOn w:val="Normal"/>
    <w:link w:val="TextedebullesCar"/>
    <w:uiPriority w:val="99"/>
    <w:unhideWhenUsed/>
    <w:qFormat/>
    <w:rsid w:val="00ED17F3"/>
    <w:pPr>
      <w:spacing w:after="0" w:line="240" w:lineRule="auto"/>
    </w:pPr>
    <w:rPr>
      <w:rFonts w:ascii="Tahoma" w:eastAsia="Times New Roman" w:hAnsi="Tahoma" w:cs="Tahoma"/>
      <w:sz w:val="16"/>
      <w:szCs w:val="16"/>
      <w:lang w:eastAsia="fr-FR"/>
    </w:rPr>
  </w:style>
  <w:style w:type="character" w:customStyle="1" w:styleId="TextedebullesCar1">
    <w:name w:val="Texte de bulles Car1"/>
    <w:uiPriority w:val="99"/>
    <w:semiHidden/>
    <w:qFormat/>
    <w:rsid w:val="00ED17F3"/>
    <w:rPr>
      <w:rFonts w:ascii="Segoe UI" w:hAnsi="Segoe UI" w:cs="Segoe UI"/>
      <w:sz w:val="18"/>
      <w:szCs w:val="18"/>
    </w:rPr>
  </w:style>
  <w:style w:type="paragraph" w:styleId="Tabledesillustrations">
    <w:name w:val="table of figures"/>
    <w:basedOn w:val="Normal"/>
    <w:next w:val="Normal"/>
    <w:uiPriority w:val="99"/>
    <w:unhideWhenUsed/>
    <w:qFormat/>
    <w:rsid w:val="00ED17F3"/>
    <w:pPr>
      <w:spacing w:after="0"/>
    </w:pPr>
  </w:style>
  <w:style w:type="paragraph" w:styleId="TM4">
    <w:name w:val="toc 4"/>
    <w:basedOn w:val="Normal"/>
    <w:next w:val="Normal"/>
    <w:autoRedefine/>
    <w:uiPriority w:val="39"/>
    <w:unhideWhenUsed/>
    <w:qFormat/>
    <w:rsid w:val="00DB2A78"/>
    <w:pPr>
      <w:tabs>
        <w:tab w:val="left" w:pos="1100"/>
        <w:tab w:val="right" w:leader="dot" w:pos="9072"/>
      </w:tabs>
      <w:spacing w:after="100"/>
      <w:ind w:left="660" w:right="567"/>
    </w:pPr>
    <w:rPr>
      <w:rFonts w:eastAsia="Times New Roman"/>
      <w:lang w:eastAsia="fr-FR"/>
    </w:rPr>
  </w:style>
  <w:style w:type="paragraph" w:styleId="TM5">
    <w:name w:val="toc 5"/>
    <w:basedOn w:val="Normal"/>
    <w:next w:val="Normal"/>
    <w:autoRedefine/>
    <w:uiPriority w:val="39"/>
    <w:unhideWhenUsed/>
    <w:qFormat/>
    <w:rsid w:val="00ED17F3"/>
    <w:pPr>
      <w:spacing w:after="100"/>
      <w:ind w:left="880"/>
    </w:pPr>
    <w:rPr>
      <w:rFonts w:eastAsia="Times New Roman"/>
      <w:lang w:eastAsia="fr-FR"/>
    </w:rPr>
  </w:style>
  <w:style w:type="paragraph" w:styleId="TM6">
    <w:name w:val="toc 6"/>
    <w:basedOn w:val="Normal"/>
    <w:next w:val="Normal"/>
    <w:autoRedefine/>
    <w:uiPriority w:val="39"/>
    <w:unhideWhenUsed/>
    <w:qFormat/>
    <w:rsid w:val="00ED17F3"/>
    <w:pPr>
      <w:spacing w:after="100"/>
      <w:ind w:left="1100"/>
    </w:pPr>
    <w:rPr>
      <w:rFonts w:eastAsia="Times New Roman"/>
      <w:lang w:eastAsia="fr-FR"/>
    </w:rPr>
  </w:style>
  <w:style w:type="paragraph" w:styleId="TM7">
    <w:name w:val="toc 7"/>
    <w:basedOn w:val="Normal"/>
    <w:next w:val="Normal"/>
    <w:autoRedefine/>
    <w:uiPriority w:val="39"/>
    <w:unhideWhenUsed/>
    <w:qFormat/>
    <w:rsid w:val="00ED17F3"/>
    <w:pPr>
      <w:spacing w:after="100"/>
      <w:ind w:left="1320"/>
    </w:pPr>
    <w:rPr>
      <w:rFonts w:eastAsia="Times New Roman"/>
      <w:lang w:eastAsia="fr-FR"/>
    </w:rPr>
  </w:style>
  <w:style w:type="paragraph" w:styleId="TM8">
    <w:name w:val="toc 8"/>
    <w:basedOn w:val="Normal"/>
    <w:next w:val="Normal"/>
    <w:autoRedefine/>
    <w:uiPriority w:val="39"/>
    <w:unhideWhenUsed/>
    <w:qFormat/>
    <w:rsid w:val="00ED17F3"/>
    <w:pPr>
      <w:spacing w:after="100"/>
      <w:ind w:left="1540"/>
    </w:pPr>
    <w:rPr>
      <w:rFonts w:eastAsia="Times New Roman"/>
      <w:lang w:eastAsia="fr-FR"/>
    </w:rPr>
  </w:style>
  <w:style w:type="paragraph" w:styleId="TM9">
    <w:name w:val="toc 9"/>
    <w:basedOn w:val="Normal"/>
    <w:next w:val="Normal"/>
    <w:autoRedefine/>
    <w:uiPriority w:val="39"/>
    <w:unhideWhenUsed/>
    <w:qFormat/>
    <w:rsid w:val="00ED17F3"/>
    <w:pPr>
      <w:spacing w:after="100"/>
      <w:ind w:left="1760"/>
    </w:pPr>
    <w:rPr>
      <w:rFonts w:eastAsia="Times New Roman"/>
      <w:lang w:eastAsia="fr-FR"/>
    </w:rPr>
  </w:style>
  <w:style w:type="table" w:customStyle="1" w:styleId="Grilledutableau1">
    <w:name w:val="Grille du tableau1"/>
    <w:basedOn w:val="TableauNormal"/>
    <w:next w:val="Grilledutableau"/>
    <w:uiPriority w:val="39"/>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unhideWhenUsed/>
    <w:qFormat/>
    <w:rsid w:val="00ED17F3"/>
    <w:rPr>
      <w:sz w:val="16"/>
      <w:szCs w:val="16"/>
    </w:rPr>
  </w:style>
  <w:style w:type="paragraph" w:styleId="Commentaire">
    <w:name w:val="annotation text"/>
    <w:aliases w:val="Comment Text Char1,Comment Text Char Char, Char2 Char Char Char,Char2 Char Char Char"/>
    <w:basedOn w:val="Normal"/>
    <w:link w:val="CommentaireCar"/>
    <w:uiPriority w:val="99"/>
    <w:unhideWhenUsed/>
    <w:qFormat/>
    <w:rsid w:val="00ED17F3"/>
    <w:pPr>
      <w:spacing w:line="240" w:lineRule="auto"/>
    </w:pPr>
    <w:rPr>
      <w:sz w:val="20"/>
      <w:szCs w:val="20"/>
    </w:rPr>
  </w:style>
  <w:style w:type="character" w:customStyle="1" w:styleId="CommentaireCar">
    <w:name w:val="Commentaire Car"/>
    <w:aliases w:val="Comment Text Char1 Car,Comment Text Char Char Car, Char2 Char Char Char Car,Char2 Char Char Char Car"/>
    <w:link w:val="Commentaire"/>
    <w:uiPriority w:val="99"/>
    <w:qFormat/>
    <w:rsid w:val="00ED17F3"/>
    <w:rPr>
      <w:sz w:val="20"/>
      <w:szCs w:val="20"/>
    </w:rPr>
  </w:style>
  <w:style w:type="character" w:customStyle="1" w:styleId="ObjetducommentaireCar">
    <w:name w:val="Objet du commentaire Car"/>
    <w:link w:val="Objetducommentaire"/>
    <w:uiPriority w:val="99"/>
    <w:qFormat/>
    <w:rsid w:val="00ED17F3"/>
    <w:rPr>
      <w:b/>
      <w:bCs/>
      <w:sz w:val="20"/>
      <w:szCs w:val="20"/>
    </w:rPr>
  </w:style>
  <w:style w:type="paragraph" w:styleId="Objetducommentaire">
    <w:name w:val="annotation subject"/>
    <w:basedOn w:val="Commentaire"/>
    <w:next w:val="Commentaire"/>
    <w:link w:val="ObjetducommentaireCar"/>
    <w:uiPriority w:val="99"/>
    <w:unhideWhenUsed/>
    <w:qFormat/>
    <w:rsid w:val="00ED17F3"/>
    <w:rPr>
      <w:b/>
      <w:bCs/>
    </w:rPr>
  </w:style>
  <w:style w:type="character" w:customStyle="1" w:styleId="ObjetducommentaireCar1">
    <w:name w:val="Objet du commentaire Car1"/>
    <w:uiPriority w:val="99"/>
    <w:semiHidden/>
    <w:rsid w:val="00ED17F3"/>
    <w:rPr>
      <w:b/>
      <w:bCs/>
      <w:sz w:val="20"/>
      <w:szCs w:val="20"/>
    </w:rPr>
  </w:style>
  <w:style w:type="paragraph" w:customStyle="1" w:styleId="projet">
    <w:name w:val="projet"/>
    <w:basedOn w:val="Corpsdetexte"/>
    <w:uiPriority w:val="99"/>
    <w:qFormat/>
    <w:rsid w:val="00ED17F3"/>
    <w:pPr>
      <w:spacing w:before="120" w:after="240" w:line="240" w:lineRule="auto"/>
      <w:jc w:val="both"/>
    </w:pPr>
    <w:rPr>
      <w:rFonts w:ascii="Helvetica" w:eastAsia="Times New Roman" w:hAnsi="Helvetica"/>
      <w:sz w:val="24"/>
      <w:szCs w:val="20"/>
      <w:lang w:val="x-none" w:eastAsia="fr-FR"/>
    </w:rPr>
  </w:style>
  <w:style w:type="paragraph" w:styleId="Corpsdetexte">
    <w:name w:val="Body Text"/>
    <w:aliases w:val="tx,Body Text jaga,gl,Corps de texte Car1 Car,Corps de texte Car Car Car,Corps de texte Car Car1"/>
    <w:basedOn w:val="Normal"/>
    <w:link w:val="CorpsdetexteCar"/>
    <w:unhideWhenUsed/>
    <w:qFormat/>
    <w:rsid w:val="00ED17F3"/>
    <w:pPr>
      <w:spacing w:after="120"/>
    </w:pPr>
  </w:style>
  <w:style w:type="character" w:customStyle="1" w:styleId="CorpsdetexteCar">
    <w:name w:val="Corps de texte Car"/>
    <w:aliases w:val="tx Car,Body Text jaga Car,gl Car,Corps de texte Car1 Car Car,Corps de texte Car Car Car Car,Corps de texte Car Car1 Car"/>
    <w:basedOn w:val="Policepardfaut"/>
    <w:link w:val="Corpsdetexte"/>
    <w:qFormat/>
    <w:rsid w:val="00ED17F3"/>
  </w:style>
  <w:style w:type="character" w:customStyle="1" w:styleId="Titre3Car1">
    <w:name w:val="Titre 3 Car1"/>
    <w:aliases w:val="Centered Car,centered Car, Centered Car,C Heading Car,Client Car,3 bullet Car,don't use Car,h3 Car,SECOND Car,Second Car,B1 Car,bullet Car,b1 Car,3 Car,Normal Heading 3 Car,Heading 3 Char Car,Heading 3 Char1 Char Car,~MinorSubHeading Car"/>
    <w:qFormat/>
    <w:rsid w:val="00ED17F3"/>
    <w:rPr>
      <w:rFonts w:ascii="Times New Roman" w:eastAsia="Times New Roman" w:hAnsi="Times New Roman" w:cs="Times New Roman"/>
      <w:b/>
      <w:szCs w:val="20"/>
      <w:lang w:eastAsia="fr-FR"/>
    </w:rPr>
  </w:style>
  <w:style w:type="paragraph" w:customStyle="1" w:styleId="Corpsdetexte1">
    <w:name w:val="Corps de texte1"/>
    <w:basedOn w:val="Normal"/>
    <w:uiPriority w:val="99"/>
    <w:qFormat/>
    <w:rsid w:val="00ED17F3"/>
    <w:pPr>
      <w:spacing w:before="120" w:after="120" w:line="240" w:lineRule="auto"/>
      <w:jc w:val="both"/>
    </w:pPr>
    <w:rPr>
      <w:rFonts w:ascii="Arial" w:eastAsia="Times New Roman" w:hAnsi="Arial"/>
      <w:szCs w:val="24"/>
      <w:lang w:eastAsia="fr-FR"/>
    </w:rPr>
  </w:style>
  <w:style w:type="table" w:customStyle="1" w:styleId="Grilledutableau2">
    <w:name w:val="Grille du tableau2"/>
    <w:basedOn w:val="TableauNormal"/>
    <w:next w:val="Grilledutableau"/>
    <w:uiPriority w:val="39"/>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uiPriority w:val="99"/>
    <w:qFormat/>
    <w:rsid w:val="00ED17F3"/>
    <w:pPr>
      <w:spacing w:before="100" w:beforeAutospacing="1" w:after="100" w:afterAutospacing="1" w:line="240" w:lineRule="auto"/>
    </w:pPr>
    <w:rPr>
      <w:rFonts w:ascii="Arial Unicode MS" w:eastAsia="Arial Unicode MS" w:hAnsi="Arial Unicode MS" w:cs="Arial Unicode MS"/>
      <w:sz w:val="24"/>
      <w:szCs w:val="24"/>
      <w:lang w:val="fr-CA" w:eastAsia="fr-FR"/>
    </w:rPr>
  </w:style>
  <w:style w:type="character" w:customStyle="1" w:styleId="ParagraphedelisteCar1">
    <w:name w:val="Paragraphe de liste Car1"/>
    <w:aliases w:val="References Car,Colorful List - Accent 11 Car,Liste 1 Car,Liste couleur - Accent 11 Car,Medium Grid 1 - Accent 21 Car,123 List Paragraph Car,ReferencesCxSpLast Car,List_Paragraph Car,Paragraphe de liste2 Car,Bullet L1 Car,lp1 Car"/>
    <w:uiPriority w:val="34"/>
    <w:qFormat/>
    <w:rsid w:val="00ED17F3"/>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qFormat/>
    <w:rsid w:val="00ED17F3"/>
  </w:style>
  <w:style w:type="paragraph" w:styleId="Retraitcorpsdetexte">
    <w:name w:val="Body Text Indent"/>
    <w:basedOn w:val="Normal"/>
    <w:link w:val="RetraitcorpsdetexteCar"/>
    <w:unhideWhenUsed/>
    <w:qFormat/>
    <w:rsid w:val="00ED17F3"/>
    <w:pPr>
      <w:spacing w:after="120"/>
      <w:ind w:left="283"/>
    </w:pPr>
  </w:style>
  <w:style w:type="character" w:customStyle="1" w:styleId="RetraitcorpsdetexteCar1">
    <w:name w:val="Retrait corps de texte Car1"/>
    <w:basedOn w:val="Policepardfaut"/>
    <w:uiPriority w:val="99"/>
    <w:rsid w:val="00ED17F3"/>
  </w:style>
  <w:style w:type="paragraph" w:customStyle="1" w:styleId="Outline">
    <w:name w:val="Outline"/>
    <w:basedOn w:val="Normal"/>
    <w:qFormat/>
    <w:rsid w:val="00ED17F3"/>
    <w:pPr>
      <w:spacing w:before="240" w:after="0" w:line="240" w:lineRule="auto"/>
    </w:pPr>
    <w:rPr>
      <w:rFonts w:ascii="Times New Roman" w:eastAsia="Times New Roman" w:hAnsi="Times New Roman"/>
      <w:kern w:val="28"/>
      <w:szCs w:val="20"/>
      <w:lang w:eastAsia="fr-FR"/>
    </w:rPr>
  </w:style>
  <w:style w:type="character" w:styleId="lev">
    <w:name w:val="Strong"/>
    <w:uiPriority w:val="22"/>
    <w:qFormat/>
    <w:rsid w:val="00ED17F3"/>
    <w:rPr>
      <w:b/>
      <w:bCs/>
    </w:rPr>
  </w:style>
  <w:style w:type="paragraph" w:customStyle="1" w:styleId="Titre21">
    <w:name w:val="Titre2"/>
    <w:basedOn w:val="Titre2"/>
    <w:link w:val="Titre2Car0"/>
    <w:qFormat/>
    <w:rsid w:val="00ED17F3"/>
    <w:pPr>
      <w:keepLines w:val="0"/>
      <w:tabs>
        <w:tab w:val="num" w:pos="5352"/>
      </w:tabs>
      <w:autoSpaceDE w:val="0"/>
      <w:autoSpaceDN w:val="0"/>
      <w:adjustRightInd w:val="0"/>
      <w:spacing w:before="0" w:line="240" w:lineRule="atLeast"/>
      <w:ind w:left="5352" w:hanging="390"/>
    </w:pPr>
    <w:rPr>
      <w:bCs/>
      <w:szCs w:val="20"/>
      <w:lang w:eastAsia="fr-FR"/>
    </w:rPr>
  </w:style>
  <w:style w:type="character" w:customStyle="1" w:styleId="Titre2Car0">
    <w:name w:val="Titre2 Car"/>
    <w:link w:val="Titre21"/>
    <w:qFormat/>
    <w:rsid w:val="00ED17F3"/>
    <w:rPr>
      <w:rFonts w:ascii="Times New Roman" w:eastAsia="Times New Roman" w:hAnsi="Times New Roman" w:cs="Times New Roman"/>
      <w:b/>
      <w:bCs/>
      <w:color w:val="000000"/>
      <w:sz w:val="24"/>
      <w:szCs w:val="20"/>
      <w:lang w:eastAsia="fr-FR"/>
    </w:rPr>
  </w:style>
  <w:style w:type="paragraph" w:customStyle="1" w:styleId="Style1">
    <w:name w:val="Style 1"/>
    <w:basedOn w:val="Normal"/>
    <w:uiPriority w:val="99"/>
    <w:qFormat/>
    <w:rsid w:val="00ED17F3"/>
    <w:pPr>
      <w:widowControl w:val="0"/>
      <w:autoSpaceDE w:val="0"/>
      <w:autoSpaceDN w:val="0"/>
      <w:adjustRightInd w:val="0"/>
      <w:spacing w:after="0" w:line="240" w:lineRule="auto"/>
    </w:pPr>
    <w:rPr>
      <w:rFonts w:ascii="Times New Roman" w:eastAsia="Times New Roman" w:hAnsi="Times New Roman"/>
      <w:sz w:val="20"/>
      <w:szCs w:val="20"/>
      <w:lang w:eastAsia="fr-FR"/>
    </w:rPr>
  </w:style>
  <w:style w:type="paragraph" w:customStyle="1" w:styleId="Style19">
    <w:name w:val="Style 19"/>
    <w:basedOn w:val="Normal"/>
    <w:uiPriority w:val="99"/>
    <w:qFormat/>
    <w:rsid w:val="00ED17F3"/>
    <w:pPr>
      <w:widowControl w:val="0"/>
      <w:autoSpaceDE w:val="0"/>
      <w:autoSpaceDN w:val="0"/>
      <w:spacing w:before="108" w:after="0" w:line="240" w:lineRule="auto"/>
      <w:ind w:right="72"/>
      <w:jc w:val="both"/>
    </w:pPr>
    <w:rPr>
      <w:rFonts w:ascii="Helvetica" w:eastAsia="Times New Roman" w:hAnsi="Helvetica" w:cs="Helvetica"/>
      <w:color w:val="382222"/>
      <w:sz w:val="18"/>
      <w:szCs w:val="18"/>
      <w:lang w:eastAsia="fr-FR"/>
    </w:rPr>
  </w:style>
  <w:style w:type="character" w:customStyle="1" w:styleId="CharacterStyle1">
    <w:name w:val="Character Style 1"/>
    <w:uiPriority w:val="99"/>
    <w:qFormat/>
    <w:rsid w:val="00ED17F3"/>
    <w:rPr>
      <w:sz w:val="20"/>
    </w:rPr>
  </w:style>
  <w:style w:type="paragraph" w:styleId="PrformatHTML">
    <w:name w:val="HTML Preformatted"/>
    <w:basedOn w:val="Normal"/>
    <w:link w:val="PrformatHTMLCar"/>
    <w:unhideWhenUsed/>
    <w:qFormat/>
    <w:rsid w:val="00ED17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nsolas" w:eastAsia="SimSun" w:hAnsi="Consolas" w:cs="Consolas"/>
      <w:sz w:val="20"/>
      <w:szCs w:val="20"/>
    </w:rPr>
  </w:style>
  <w:style w:type="character" w:customStyle="1" w:styleId="PrformatHTMLCar">
    <w:name w:val="Préformaté HTML Car"/>
    <w:link w:val="PrformatHTML"/>
    <w:qFormat/>
    <w:rsid w:val="00ED17F3"/>
    <w:rPr>
      <w:rFonts w:ascii="Consolas" w:eastAsia="SimSun" w:hAnsi="Consolas" w:cs="Consolas"/>
      <w:sz w:val="20"/>
      <w:szCs w:val="20"/>
    </w:rPr>
  </w:style>
  <w:style w:type="paragraph" w:styleId="Notedebasdepage">
    <w:name w:val="footnote text"/>
    <w:aliases w:val="Footnote Text Char Char Char Char Char Char Char Char Char Char Char Char Char Char Char Char Char Char Char Char Char,FOOTNOTES,fn,single space,footnote text,f,Footnote Text Char2 Char,Footnote Text Char1 Char Char, Ch,Ch,Geneva 9,F"/>
    <w:basedOn w:val="Normal"/>
    <w:link w:val="NotedebasdepageCar"/>
    <w:uiPriority w:val="99"/>
    <w:unhideWhenUsed/>
    <w:qFormat/>
    <w:rsid w:val="00ED17F3"/>
    <w:pPr>
      <w:suppressAutoHyphens/>
      <w:spacing w:after="0" w:line="240" w:lineRule="auto"/>
    </w:pPr>
    <w:rPr>
      <w:rFonts w:eastAsia="SimSun" w:cs="Calibri"/>
      <w:sz w:val="20"/>
      <w:szCs w:val="20"/>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Footnote Text Char2 Char Car, Ch Car,Ch Car"/>
    <w:link w:val="Notedebasdepage"/>
    <w:uiPriority w:val="99"/>
    <w:qFormat/>
    <w:rsid w:val="00ED17F3"/>
    <w:rPr>
      <w:rFonts w:ascii="Calibri" w:eastAsia="SimSun" w:hAnsi="Calibri" w:cs="Calibri"/>
      <w:sz w:val="20"/>
      <w:szCs w:val="20"/>
    </w:rPr>
  </w:style>
  <w:style w:type="paragraph" w:styleId="Liste">
    <w:name w:val="List"/>
    <w:aliases w:val="1. List"/>
    <w:basedOn w:val="Corpsdetexte"/>
    <w:unhideWhenUsed/>
    <w:qFormat/>
    <w:rsid w:val="00ED17F3"/>
    <w:pPr>
      <w:suppressAutoHyphens/>
      <w:spacing w:line="288" w:lineRule="auto"/>
    </w:pPr>
    <w:rPr>
      <w:rFonts w:eastAsia="SimSun" w:cs="Mangal"/>
    </w:rPr>
  </w:style>
  <w:style w:type="paragraph" w:styleId="Listepuces">
    <w:name w:val="List Bullet"/>
    <w:basedOn w:val="Normal"/>
    <w:autoRedefine/>
    <w:uiPriority w:val="99"/>
    <w:unhideWhenUsed/>
    <w:qFormat/>
    <w:rsid w:val="002D28DE"/>
    <w:pPr>
      <w:tabs>
        <w:tab w:val="num" w:pos="360"/>
      </w:tabs>
      <w:suppressAutoHyphens/>
      <w:spacing w:after="0" w:line="240" w:lineRule="auto"/>
    </w:pPr>
    <w:rPr>
      <w:rFonts w:ascii="Arial" w:eastAsia="Times New Roman" w:hAnsi="Arial"/>
      <w:smallCaps/>
      <w:szCs w:val="20"/>
      <w:lang w:val="en-GB" w:eastAsia="fr-FR"/>
    </w:rPr>
  </w:style>
  <w:style w:type="paragraph" w:styleId="Titre">
    <w:name w:val="Title"/>
    <w:basedOn w:val="Normal"/>
    <w:next w:val="Corpsdetexte"/>
    <w:link w:val="TitreCar"/>
    <w:qFormat/>
    <w:rsid w:val="00ED17F3"/>
    <w:pPr>
      <w:keepNext/>
      <w:suppressAutoHyphens/>
      <w:spacing w:before="240" w:after="120" w:line="276" w:lineRule="auto"/>
    </w:pPr>
    <w:rPr>
      <w:rFonts w:ascii="Times New Roman" w:eastAsia="Times New Roman" w:hAnsi="Times New Roman"/>
      <w:b/>
      <w:sz w:val="24"/>
      <w:szCs w:val="20"/>
      <w:lang w:val="en-US"/>
    </w:rPr>
  </w:style>
  <w:style w:type="character" w:customStyle="1" w:styleId="TitreCar">
    <w:name w:val="Titre Car"/>
    <w:link w:val="Titre"/>
    <w:qFormat/>
    <w:rsid w:val="00ED17F3"/>
    <w:rPr>
      <w:rFonts w:ascii="Times New Roman" w:eastAsia="Times New Roman" w:hAnsi="Times New Roman" w:cs="Times New Roman"/>
      <w:b/>
      <w:sz w:val="24"/>
      <w:szCs w:val="20"/>
      <w:lang w:val="en-US"/>
    </w:rPr>
  </w:style>
  <w:style w:type="character" w:customStyle="1" w:styleId="Corpsdetexte2Car">
    <w:name w:val="Corps de texte 2 Car"/>
    <w:link w:val="Corpsdetexte2"/>
    <w:uiPriority w:val="99"/>
    <w:qFormat/>
    <w:rsid w:val="00ED17F3"/>
    <w:rPr>
      <w:rFonts w:ascii="Times New Roman" w:eastAsia="Times New Roman" w:hAnsi="Times New Roman" w:cs="Times New Roman"/>
      <w:szCs w:val="20"/>
      <w:lang w:eastAsia="fr-FR"/>
    </w:rPr>
  </w:style>
  <w:style w:type="paragraph" w:styleId="Corpsdetexte2">
    <w:name w:val="Body Text 2"/>
    <w:basedOn w:val="Normal"/>
    <w:link w:val="Corpsdetexte2Car"/>
    <w:uiPriority w:val="99"/>
    <w:unhideWhenUsed/>
    <w:qFormat/>
    <w:rsid w:val="00ED17F3"/>
    <w:pPr>
      <w:tabs>
        <w:tab w:val="left" w:pos="720"/>
      </w:tabs>
      <w:suppressAutoHyphens/>
      <w:spacing w:after="240" w:line="240" w:lineRule="auto"/>
      <w:jc w:val="both"/>
    </w:pPr>
    <w:rPr>
      <w:rFonts w:ascii="Times New Roman" w:eastAsia="Times New Roman" w:hAnsi="Times New Roman"/>
      <w:szCs w:val="20"/>
      <w:lang w:eastAsia="fr-FR"/>
    </w:rPr>
  </w:style>
  <w:style w:type="character" w:customStyle="1" w:styleId="Corpsdetexte2Car1">
    <w:name w:val="Corps de texte 2 Car1"/>
    <w:basedOn w:val="Policepardfaut"/>
    <w:uiPriority w:val="99"/>
    <w:semiHidden/>
    <w:qFormat/>
    <w:rsid w:val="00ED17F3"/>
  </w:style>
  <w:style w:type="paragraph" w:customStyle="1" w:styleId="Index">
    <w:name w:val="Index"/>
    <w:basedOn w:val="Normal"/>
    <w:uiPriority w:val="99"/>
    <w:qFormat/>
    <w:rsid w:val="00ED17F3"/>
    <w:pPr>
      <w:suppressLineNumbers/>
      <w:suppressAutoHyphens/>
      <w:spacing w:after="200" w:line="276" w:lineRule="auto"/>
    </w:pPr>
    <w:rPr>
      <w:rFonts w:eastAsia="SimSun" w:cs="Mangal"/>
    </w:rPr>
  </w:style>
  <w:style w:type="paragraph" w:customStyle="1" w:styleId="Style6">
    <w:name w:val="Style6"/>
    <w:basedOn w:val="Normal"/>
    <w:uiPriority w:val="99"/>
    <w:qFormat/>
    <w:rsid w:val="00ED17F3"/>
    <w:pPr>
      <w:suppressAutoHyphens/>
      <w:spacing w:after="0" w:line="240" w:lineRule="auto"/>
      <w:ind w:left="567"/>
      <w:jc w:val="both"/>
    </w:pPr>
    <w:rPr>
      <w:rFonts w:ascii="Arial" w:eastAsia="Times New Roman" w:hAnsi="Arial" w:cs="Arial"/>
      <w:b/>
      <w:bCs/>
      <w:sz w:val="24"/>
      <w:szCs w:val="24"/>
      <w:u w:val="single"/>
      <w:lang w:eastAsia="fr-FR"/>
    </w:rPr>
  </w:style>
  <w:style w:type="paragraph" w:customStyle="1" w:styleId="Titre31">
    <w:name w:val="Titre3"/>
    <w:basedOn w:val="Titre2"/>
    <w:uiPriority w:val="99"/>
    <w:qFormat/>
    <w:rsid w:val="00ED17F3"/>
    <w:pPr>
      <w:keepLines w:val="0"/>
      <w:suppressAutoHyphens/>
      <w:spacing w:before="0" w:line="240" w:lineRule="auto"/>
      <w:jc w:val="both"/>
    </w:pPr>
    <w:rPr>
      <w:rFonts w:cs="Calibri"/>
      <w:bCs/>
      <w:color w:val="auto"/>
      <w:szCs w:val="24"/>
      <w:u w:val="single"/>
      <w:lang w:eastAsia="fr-FR"/>
    </w:rPr>
  </w:style>
  <w:style w:type="paragraph" w:customStyle="1" w:styleId="Corpsdetexte22">
    <w:name w:val="Corps de texte 22"/>
    <w:basedOn w:val="Normal"/>
    <w:uiPriority w:val="99"/>
    <w:qFormat/>
    <w:rsid w:val="00ED17F3"/>
    <w:pPr>
      <w:suppressAutoHyphens/>
      <w:spacing w:after="0" w:line="240" w:lineRule="auto"/>
    </w:pPr>
    <w:rPr>
      <w:rFonts w:ascii="Times New Roman" w:eastAsia="Times New Roman" w:hAnsi="Times New Roman"/>
      <w:sz w:val="24"/>
      <w:szCs w:val="20"/>
      <w:lang w:eastAsia="fr-FR"/>
    </w:rPr>
  </w:style>
  <w:style w:type="paragraph" w:customStyle="1" w:styleId="Paragraphedeliste1">
    <w:name w:val="Paragraphe de liste1"/>
    <w:aliases w:val="List Paragraph,References,Colorful List - Accent 11,Liste 1,I..1,Bullet L1,ReferencesCxSpLast,Reference 2,Indent Normal,I.,ANN"/>
    <w:basedOn w:val="Normal"/>
    <w:uiPriority w:val="34"/>
    <w:qFormat/>
    <w:rsid w:val="00ED17F3"/>
    <w:pPr>
      <w:suppressAutoHyphens/>
      <w:spacing w:after="0" w:line="240" w:lineRule="auto"/>
      <w:ind w:left="708"/>
    </w:pPr>
    <w:rPr>
      <w:rFonts w:ascii="Times New Roman" w:eastAsia="Times New Roman" w:hAnsi="Times New Roman"/>
      <w:sz w:val="26"/>
      <w:szCs w:val="24"/>
      <w:lang w:eastAsia="fr-FR"/>
    </w:rPr>
  </w:style>
  <w:style w:type="paragraph" w:customStyle="1" w:styleId="Adressedest">
    <w:name w:val="Adresse dest."/>
    <w:basedOn w:val="Normal"/>
    <w:uiPriority w:val="99"/>
    <w:qFormat/>
    <w:rsid w:val="00ED17F3"/>
    <w:pPr>
      <w:suppressAutoHyphens/>
      <w:spacing w:after="0" w:line="240" w:lineRule="auto"/>
    </w:pPr>
    <w:rPr>
      <w:rFonts w:ascii="Times New Roman" w:eastAsia="Times New Roman" w:hAnsi="Times New Roman"/>
      <w:sz w:val="24"/>
      <w:szCs w:val="24"/>
      <w:lang w:eastAsia="fr-FR"/>
    </w:rPr>
  </w:style>
  <w:style w:type="paragraph" w:customStyle="1" w:styleId="yiv9656881541msonormal">
    <w:name w:val="yiv9656881541msonormal"/>
    <w:basedOn w:val="Normal"/>
    <w:uiPriority w:val="99"/>
    <w:qFormat/>
    <w:rsid w:val="00ED17F3"/>
    <w:pPr>
      <w:suppressAutoHyphens/>
      <w:spacing w:after="280" w:line="276" w:lineRule="auto"/>
    </w:pPr>
    <w:rPr>
      <w:rFonts w:ascii="Times New Roman" w:eastAsia="Times New Roman" w:hAnsi="Times New Roman"/>
      <w:sz w:val="24"/>
      <w:szCs w:val="24"/>
      <w:lang w:val="en-US"/>
    </w:rPr>
  </w:style>
  <w:style w:type="paragraph" w:customStyle="1" w:styleId="BankNormal">
    <w:name w:val="BankNormal"/>
    <w:basedOn w:val="Normal"/>
    <w:qFormat/>
    <w:rsid w:val="00ED17F3"/>
    <w:pPr>
      <w:suppressAutoHyphens/>
      <w:spacing w:after="240" w:line="240" w:lineRule="auto"/>
    </w:pPr>
    <w:rPr>
      <w:rFonts w:ascii="Times New Roman" w:eastAsia="Times New Roman" w:hAnsi="Times New Roman"/>
      <w:sz w:val="24"/>
      <w:szCs w:val="20"/>
    </w:rPr>
  </w:style>
  <w:style w:type="paragraph" w:customStyle="1" w:styleId="Tabledesmatiresniveau2">
    <w:name w:val="Table des matières niveau 2"/>
    <w:basedOn w:val="Normal"/>
    <w:next w:val="Normal"/>
    <w:autoRedefine/>
    <w:uiPriority w:val="39"/>
    <w:qFormat/>
    <w:rsid w:val="00ED17F3"/>
    <w:pPr>
      <w:suppressAutoHyphens/>
      <w:spacing w:after="100" w:line="276" w:lineRule="auto"/>
      <w:ind w:left="220"/>
    </w:pPr>
    <w:rPr>
      <w:rFonts w:eastAsia="SimSun" w:cs="Calibri"/>
    </w:rPr>
  </w:style>
  <w:style w:type="paragraph" w:customStyle="1" w:styleId="Tabledesmatiresniveau1">
    <w:name w:val="Table des matières niveau 1"/>
    <w:basedOn w:val="Normal"/>
    <w:next w:val="Normal"/>
    <w:autoRedefine/>
    <w:uiPriority w:val="39"/>
    <w:qFormat/>
    <w:rsid w:val="00ED17F3"/>
    <w:pPr>
      <w:suppressAutoHyphens/>
      <w:spacing w:after="100" w:line="276" w:lineRule="auto"/>
    </w:pPr>
    <w:rPr>
      <w:rFonts w:eastAsia="SimSun" w:cs="Calibri"/>
    </w:rPr>
  </w:style>
  <w:style w:type="paragraph" w:customStyle="1" w:styleId="Tabledesmatiresniveau3">
    <w:name w:val="Table des matières niveau 3"/>
    <w:basedOn w:val="Normal"/>
    <w:next w:val="Normal"/>
    <w:autoRedefine/>
    <w:uiPriority w:val="39"/>
    <w:qFormat/>
    <w:rsid w:val="00ED17F3"/>
    <w:pPr>
      <w:suppressAutoHyphens/>
      <w:spacing w:after="100" w:line="276" w:lineRule="auto"/>
      <w:ind w:left="440"/>
    </w:pPr>
    <w:rPr>
      <w:rFonts w:eastAsia="SimSun" w:cs="Calibri"/>
    </w:rPr>
  </w:style>
  <w:style w:type="paragraph" w:customStyle="1" w:styleId="Tabledesmatiresniveau4">
    <w:name w:val="Table des matières niveau 4"/>
    <w:basedOn w:val="Normal"/>
    <w:next w:val="Normal"/>
    <w:autoRedefine/>
    <w:uiPriority w:val="39"/>
    <w:qFormat/>
    <w:rsid w:val="00ED17F3"/>
    <w:pPr>
      <w:suppressAutoHyphens/>
      <w:spacing w:after="100" w:line="276" w:lineRule="auto"/>
      <w:ind w:left="660"/>
    </w:pPr>
    <w:rPr>
      <w:rFonts w:eastAsia="SimSun" w:cs="Calibri"/>
    </w:rPr>
  </w:style>
  <w:style w:type="paragraph" w:customStyle="1" w:styleId="Titreprincipal">
    <w:name w:val="Titre principal"/>
    <w:basedOn w:val="Normal"/>
    <w:uiPriority w:val="99"/>
    <w:qFormat/>
    <w:rsid w:val="00ED17F3"/>
    <w:pPr>
      <w:suppressAutoHyphens/>
      <w:spacing w:after="120" w:line="240" w:lineRule="auto"/>
      <w:jc w:val="center"/>
    </w:pPr>
    <w:rPr>
      <w:rFonts w:ascii="Times New Roman" w:eastAsia="Times New Roman" w:hAnsi="Times New Roman"/>
      <w:b/>
      <w:sz w:val="24"/>
      <w:szCs w:val="20"/>
      <w:lang w:val="en-US"/>
    </w:rPr>
  </w:style>
  <w:style w:type="paragraph" w:customStyle="1" w:styleId="Corpsdetexte21">
    <w:name w:val="Corps de texte 21"/>
    <w:basedOn w:val="Normal"/>
    <w:uiPriority w:val="99"/>
    <w:qFormat/>
    <w:rsid w:val="00ED17F3"/>
    <w:pPr>
      <w:suppressAutoHyphens/>
      <w:spacing w:after="0" w:line="240" w:lineRule="auto"/>
    </w:pPr>
    <w:rPr>
      <w:rFonts w:ascii="Times New Roman" w:eastAsia="Times New Roman" w:hAnsi="Times New Roman"/>
      <w:sz w:val="24"/>
      <w:szCs w:val="20"/>
      <w:lang w:eastAsia="fr-FR"/>
    </w:rPr>
  </w:style>
  <w:style w:type="paragraph" w:customStyle="1" w:styleId="ec">
    <w:name w:val="ec."/>
    <w:basedOn w:val="Normal"/>
    <w:autoRedefine/>
    <w:qFormat/>
    <w:rsid w:val="00ED17F3"/>
    <w:pPr>
      <w:widowControl w:val="0"/>
      <w:tabs>
        <w:tab w:val="left" w:pos="0"/>
      </w:tabs>
      <w:suppressAutoHyphens/>
      <w:spacing w:after="200" w:line="240" w:lineRule="exact"/>
      <w:ind w:left="360" w:hanging="360"/>
      <w:jc w:val="both"/>
    </w:pPr>
    <w:rPr>
      <w:rFonts w:ascii="Arial" w:hAnsi="Arial" w:cs="Arial"/>
      <w:sz w:val="18"/>
      <w:szCs w:val="18"/>
      <w:lang w:val="fr-CA" w:eastAsia="fr-FR"/>
    </w:rPr>
  </w:style>
  <w:style w:type="paragraph" w:customStyle="1" w:styleId="Tabledesmatiresniveau5">
    <w:name w:val="Table des matières niveau 5"/>
    <w:basedOn w:val="Normal"/>
    <w:next w:val="Normal"/>
    <w:autoRedefine/>
    <w:uiPriority w:val="39"/>
    <w:qFormat/>
    <w:rsid w:val="00ED17F3"/>
    <w:pPr>
      <w:suppressAutoHyphens/>
      <w:spacing w:after="100" w:line="276" w:lineRule="auto"/>
      <w:ind w:left="880"/>
    </w:pPr>
    <w:rPr>
      <w:rFonts w:eastAsia="SimSun" w:cs="Calibri"/>
      <w:lang w:eastAsia="fr-FR"/>
    </w:rPr>
  </w:style>
  <w:style w:type="paragraph" w:customStyle="1" w:styleId="Tabledesmatiresniveau6">
    <w:name w:val="Table des matières niveau 6"/>
    <w:basedOn w:val="Normal"/>
    <w:next w:val="Normal"/>
    <w:autoRedefine/>
    <w:uiPriority w:val="39"/>
    <w:qFormat/>
    <w:rsid w:val="00ED17F3"/>
    <w:pPr>
      <w:suppressAutoHyphens/>
      <w:spacing w:after="100" w:line="276" w:lineRule="auto"/>
      <w:ind w:left="1100"/>
    </w:pPr>
    <w:rPr>
      <w:rFonts w:eastAsia="SimSun" w:cs="Calibri"/>
      <w:lang w:eastAsia="fr-FR"/>
    </w:rPr>
  </w:style>
  <w:style w:type="paragraph" w:customStyle="1" w:styleId="Tabledesmatiresniveau7">
    <w:name w:val="Table des matières niveau 7"/>
    <w:basedOn w:val="Normal"/>
    <w:next w:val="Normal"/>
    <w:autoRedefine/>
    <w:uiPriority w:val="39"/>
    <w:qFormat/>
    <w:rsid w:val="00ED17F3"/>
    <w:pPr>
      <w:suppressAutoHyphens/>
      <w:spacing w:after="100" w:line="276" w:lineRule="auto"/>
      <w:ind w:left="1320"/>
    </w:pPr>
    <w:rPr>
      <w:rFonts w:eastAsia="SimSun" w:cs="Calibri"/>
      <w:lang w:eastAsia="fr-FR"/>
    </w:rPr>
  </w:style>
  <w:style w:type="paragraph" w:customStyle="1" w:styleId="Tabledesmatiresniveau8">
    <w:name w:val="Table des matières niveau 8"/>
    <w:basedOn w:val="Normal"/>
    <w:next w:val="Normal"/>
    <w:autoRedefine/>
    <w:uiPriority w:val="39"/>
    <w:qFormat/>
    <w:rsid w:val="00ED17F3"/>
    <w:pPr>
      <w:suppressAutoHyphens/>
      <w:spacing w:after="100" w:line="276" w:lineRule="auto"/>
      <w:ind w:left="1540"/>
    </w:pPr>
    <w:rPr>
      <w:rFonts w:eastAsia="SimSun" w:cs="Calibri"/>
      <w:lang w:eastAsia="fr-FR"/>
    </w:rPr>
  </w:style>
  <w:style w:type="paragraph" w:customStyle="1" w:styleId="Tabledesmatiresniveau9">
    <w:name w:val="Table des matières niveau 9"/>
    <w:basedOn w:val="Normal"/>
    <w:next w:val="Normal"/>
    <w:autoRedefine/>
    <w:uiPriority w:val="39"/>
    <w:qFormat/>
    <w:rsid w:val="00ED17F3"/>
    <w:pPr>
      <w:suppressAutoHyphens/>
      <w:spacing w:after="100" w:line="276" w:lineRule="auto"/>
      <w:ind w:left="1760"/>
    </w:pPr>
    <w:rPr>
      <w:rFonts w:eastAsia="SimSun" w:cs="Calibri"/>
      <w:lang w:eastAsia="fr-FR"/>
    </w:rPr>
  </w:style>
  <w:style w:type="paragraph" w:customStyle="1" w:styleId="Contenudecadre">
    <w:name w:val="Contenu de cadre"/>
    <w:basedOn w:val="Normal"/>
    <w:uiPriority w:val="99"/>
    <w:qFormat/>
    <w:rsid w:val="00ED17F3"/>
    <w:pPr>
      <w:suppressAutoHyphens/>
      <w:spacing w:after="200" w:line="276" w:lineRule="auto"/>
    </w:pPr>
    <w:rPr>
      <w:rFonts w:eastAsia="SimSun" w:cs="Calibri"/>
    </w:rPr>
  </w:style>
  <w:style w:type="paragraph" w:customStyle="1" w:styleId="Indexdesillustrations1">
    <w:name w:val="Index des illustrations 1"/>
    <w:basedOn w:val="Index"/>
    <w:uiPriority w:val="99"/>
    <w:qFormat/>
    <w:rsid w:val="00ED17F3"/>
  </w:style>
  <w:style w:type="paragraph" w:customStyle="1" w:styleId="s1">
    <w:name w:val="s1"/>
    <w:next w:val="Normal"/>
    <w:autoRedefine/>
    <w:uiPriority w:val="99"/>
    <w:qFormat/>
    <w:rsid w:val="00ED17F3"/>
    <w:pPr>
      <w:pageBreakBefore/>
      <w:spacing w:after="240"/>
      <w:ind w:left="360" w:hanging="360"/>
      <w:contextualSpacing/>
      <w:outlineLvl w:val="0"/>
    </w:pPr>
    <w:rPr>
      <w:rFonts w:ascii="Times" w:eastAsia="Times New Roman" w:hAnsi="Times"/>
      <w:b/>
      <w:caps/>
      <w:sz w:val="22"/>
      <w:szCs w:val="22"/>
      <w:u w:val="single"/>
    </w:rPr>
  </w:style>
  <w:style w:type="paragraph" w:customStyle="1" w:styleId="s2">
    <w:name w:val="s2"/>
    <w:next w:val="Normal"/>
    <w:autoRedefine/>
    <w:uiPriority w:val="99"/>
    <w:qFormat/>
    <w:rsid w:val="00ED17F3"/>
    <w:pPr>
      <w:spacing w:before="120" w:after="240"/>
      <w:outlineLvl w:val="1"/>
    </w:pPr>
    <w:rPr>
      <w:rFonts w:ascii="Times" w:eastAsia="Times New Roman Gras" w:hAnsi="Times"/>
      <w:b/>
      <w:smallCaps/>
      <w:sz w:val="24"/>
      <w:szCs w:val="22"/>
      <w:u w:val="single"/>
      <w:lang w:val="wo-SN" w:eastAsia="wo-SN"/>
    </w:rPr>
  </w:style>
  <w:style w:type="paragraph" w:customStyle="1" w:styleId="StyleGaramondJustifi">
    <w:name w:val="Style Garamond Justifié"/>
    <w:basedOn w:val="Normal"/>
    <w:autoRedefine/>
    <w:uiPriority w:val="99"/>
    <w:qFormat/>
    <w:rsid w:val="00ED17F3"/>
    <w:pPr>
      <w:spacing w:after="0" w:line="276" w:lineRule="auto"/>
      <w:ind w:left="360" w:hanging="360"/>
      <w:jc w:val="both"/>
    </w:pPr>
    <w:rPr>
      <w:rFonts w:ascii="Arial" w:eastAsia="Times New Roman" w:hAnsi="Arial" w:cs="Arial"/>
      <w:lang w:eastAsia="fr-FR"/>
    </w:rPr>
  </w:style>
  <w:style w:type="character" w:customStyle="1" w:styleId="Titre3Car0">
    <w:name w:val="Titre3 Car"/>
    <w:qFormat/>
    <w:rsid w:val="00ED17F3"/>
    <w:rPr>
      <w:rFonts w:ascii="Times New Roman" w:hAnsi="Times New Roman" w:cs="Times New Roman" w:hint="default"/>
      <w:b/>
      <w:bCs/>
      <w:sz w:val="24"/>
      <w:szCs w:val="24"/>
      <w:u w:val="single"/>
      <w:lang w:eastAsia="fr-FR"/>
    </w:rPr>
  </w:style>
  <w:style w:type="character" w:customStyle="1" w:styleId="LienInternet">
    <w:name w:val="Lien Internet"/>
    <w:uiPriority w:val="99"/>
    <w:rsid w:val="00ED17F3"/>
    <w:rPr>
      <w:color w:val="0000FF"/>
      <w:u w:val="single"/>
    </w:rPr>
  </w:style>
  <w:style w:type="character" w:customStyle="1" w:styleId="ListLabel1">
    <w:name w:val="ListLabel 1"/>
    <w:rsid w:val="00ED17F3"/>
    <w:rPr>
      <w:rFonts w:ascii="Times New Roman" w:hAnsi="Times New Roman" w:cs="Times New Roman" w:hint="default"/>
    </w:rPr>
  </w:style>
  <w:style w:type="character" w:customStyle="1" w:styleId="ListLabel2">
    <w:name w:val="ListLabel 2"/>
    <w:rsid w:val="00ED17F3"/>
    <w:rPr>
      <w:rFonts w:ascii="Batang" w:eastAsia="Batang" w:hint="eastAsia"/>
    </w:rPr>
  </w:style>
  <w:style w:type="character" w:customStyle="1" w:styleId="ListLabel3">
    <w:name w:val="ListLabel 3"/>
    <w:rsid w:val="00ED17F3"/>
    <w:rPr>
      <w:rFonts w:ascii="Courier New" w:hAnsi="Courier New" w:cs="Courier New" w:hint="default"/>
    </w:rPr>
  </w:style>
  <w:style w:type="character" w:customStyle="1" w:styleId="ListLabel4">
    <w:name w:val="ListLabel 4"/>
    <w:rsid w:val="00ED17F3"/>
    <w:rPr>
      <w:rFonts w:ascii="Calibri" w:eastAsia="Calibri" w:hAnsi="Calibri" w:cs="Arial" w:hint="default"/>
    </w:rPr>
  </w:style>
  <w:style w:type="character" w:customStyle="1" w:styleId="ListLabel5">
    <w:name w:val="ListLabel 5"/>
    <w:rsid w:val="00ED17F3"/>
    <w:rPr>
      <w:rFonts w:ascii="Times New Roman" w:eastAsia="Times New Roman" w:hAnsi="Times New Roman" w:cs="Times New Roman" w:hint="default"/>
    </w:rPr>
  </w:style>
  <w:style w:type="character" w:customStyle="1" w:styleId="ListLabel6">
    <w:name w:val="ListLabel 6"/>
    <w:rsid w:val="00ED17F3"/>
    <w:rPr>
      <w:rFonts w:ascii="Times New Roman" w:hAnsi="Times New Roman" w:cs="Times New Roman" w:hint="default"/>
      <w:i w:val="0"/>
      <w:iCs w:val="0"/>
      <w:sz w:val="22"/>
      <w:szCs w:val="22"/>
    </w:rPr>
  </w:style>
  <w:style w:type="character" w:customStyle="1" w:styleId="ListLabel7">
    <w:name w:val="ListLabel 7"/>
    <w:rsid w:val="00ED17F3"/>
    <w:rPr>
      <w:rFonts w:ascii="Book Antiqua" w:hAnsi="Book Antiqua" w:cs="Book Antiqua" w:hint="default"/>
    </w:rPr>
  </w:style>
  <w:style w:type="character" w:customStyle="1" w:styleId="ListLabel8">
    <w:name w:val="ListLabel 8"/>
    <w:rsid w:val="00ED17F3"/>
    <w:rPr>
      <w:b w:val="0"/>
      <w:bCs w:val="0"/>
      <w:i w:val="0"/>
      <w:iCs w:val="0"/>
    </w:rPr>
  </w:style>
  <w:style w:type="character" w:customStyle="1" w:styleId="ListLabel9">
    <w:name w:val="ListLabel 9"/>
    <w:rsid w:val="00ED17F3"/>
    <w:rPr>
      <w:rFonts w:ascii="Calibri" w:eastAsia="Calibri" w:hAnsi="Calibri" w:cs="Times New Roman" w:hint="default"/>
    </w:rPr>
  </w:style>
  <w:style w:type="character" w:customStyle="1" w:styleId="ListLabel10">
    <w:name w:val="ListLabel 10"/>
    <w:rsid w:val="00ED17F3"/>
    <w:rPr>
      <w:rFonts w:ascii="Calibri" w:hAnsi="Calibri" w:cs="Calibri" w:hint="default"/>
    </w:rPr>
  </w:style>
  <w:style w:type="character" w:customStyle="1" w:styleId="ListLabel11">
    <w:name w:val="ListLabel 11"/>
    <w:rsid w:val="00ED17F3"/>
    <w:rPr>
      <w:rFonts w:ascii="Arial" w:eastAsia="Arial" w:hAnsi="Arial" w:cs="Arial" w:hint="default"/>
      <w:b w:val="0"/>
      <w:bCs w:val="0"/>
      <w:i w:val="0"/>
      <w:iCs w:val="0"/>
      <w:strike w:val="0"/>
      <w:dstrike w:val="0"/>
      <w:color w:val="000000"/>
      <w:position w:val="0"/>
      <w:sz w:val="16"/>
      <w:u w:val="none" w:color="000000"/>
      <w:effect w:val="none"/>
      <w:shd w:val="clear" w:color="auto" w:fill="FFFFFF"/>
      <w:vertAlign w:val="baseline"/>
    </w:rPr>
  </w:style>
  <w:style w:type="character" w:customStyle="1" w:styleId="ListLabel12">
    <w:name w:val="ListLabel 12"/>
    <w:rsid w:val="00ED17F3"/>
    <w:rPr>
      <w:rFonts w:ascii="Segoe UI Symbol" w:eastAsia="Segoe UI Symbol" w:hAnsi="Segoe UI Symbol" w:cs="Segoe UI Symbol" w:hint="default"/>
      <w:b w:val="0"/>
      <w:bCs w:val="0"/>
      <w:i w:val="0"/>
      <w:iCs w:val="0"/>
      <w:strike w:val="0"/>
      <w:dstrike w:val="0"/>
      <w:color w:val="000000"/>
      <w:position w:val="0"/>
      <w:sz w:val="16"/>
      <w:u w:val="none" w:color="000000"/>
      <w:effect w:val="none"/>
      <w:shd w:val="clear" w:color="auto" w:fill="FFFFFF"/>
      <w:vertAlign w:val="baseline"/>
    </w:rPr>
  </w:style>
  <w:style w:type="character" w:customStyle="1" w:styleId="ListLabel13">
    <w:name w:val="ListLabel 13"/>
    <w:rsid w:val="00ED17F3"/>
    <w:rPr>
      <w:rFonts w:ascii="Arial" w:eastAsia="Arial" w:hAnsi="Arial" w:cs="Arial" w:hint="default"/>
      <w:b w:val="0"/>
      <w:bCs w:val="0"/>
      <w:i w:val="0"/>
      <w:iCs w:val="0"/>
      <w:strike w:val="0"/>
      <w:dstrike w:val="0"/>
      <w:color w:val="000000"/>
      <w:position w:val="0"/>
      <w:sz w:val="18"/>
      <w:u w:val="none" w:color="000000"/>
      <w:effect w:val="none"/>
      <w:shd w:val="clear" w:color="auto" w:fill="FFFFFF"/>
      <w:vertAlign w:val="baseline"/>
    </w:rPr>
  </w:style>
  <w:style w:type="character" w:customStyle="1" w:styleId="ListLabel14">
    <w:name w:val="ListLabel 14"/>
    <w:rsid w:val="00ED17F3"/>
    <w:rPr>
      <w:rFonts w:ascii="SymbolMT" w:eastAsia="SymbolMT" w:hAnsi="SymbolMT" w:cs="Times New Roman" w:hint="eastAsia"/>
    </w:rPr>
  </w:style>
  <w:style w:type="character" w:customStyle="1" w:styleId="ListLabel15">
    <w:name w:val="ListLabel 15"/>
    <w:rsid w:val="00ED17F3"/>
    <w:rPr>
      <w:rFonts w:ascii="Times New Roman" w:eastAsia="Times New Roman" w:hAnsi="Times New Roman" w:cs="Times New Roman" w:hint="default"/>
    </w:rPr>
  </w:style>
  <w:style w:type="character" w:customStyle="1" w:styleId="ListLabel16">
    <w:name w:val="ListLabel 16"/>
    <w:rsid w:val="00ED17F3"/>
    <w:rPr>
      <w:b/>
      <w:bCs w:val="0"/>
      <w:i/>
      <w:iCs w:val="0"/>
    </w:rPr>
  </w:style>
  <w:style w:type="character" w:customStyle="1" w:styleId="ListLabel17">
    <w:name w:val="ListLabel 17"/>
    <w:rsid w:val="00ED17F3"/>
    <w:rPr>
      <w:rFonts w:ascii="Arial" w:hAnsi="Arial" w:cs="Arial" w:hint="default"/>
    </w:rPr>
  </w:style>
  <w:style w:type="character" w:customStyle="1" w:styleId="Caractresdenotedefin">
    <w:name w:val="Caractères de note de fin"/>
    <w:qFormat/>
    <w:rsid w:val="00ED17F3"/>
  </w:style>
  <w:style w:type="character" w:customStyle="1" w:styleId="Sautdindex">
    <w:name w:val="Saut d'index"/>
    <w:qFormat/>
    <w:rsid w:val="00ED17F3"/>
  </w:style>
  <w:style w:type="character" w:customStyle="1" w:styleId="TitreCar1">
    <w:name w:val="Titre Car1"/>
    <w:uiPriority w:val="10"/>
    <w:qFormat/>
    <w:rsid w:val="00ED17F3"/>
    <w:rPr>
      <w:rFonts w:ascii="Calibri Light" w:eastAsia="Times New Roman" w:hAnsi="Calibri Light" w:cs="Times New Roman" w:hint="default"/>
      <w:color w:val="323E4F"/>
      <w:spacing w:val="5"/>
      <w:kern w:val="28"/>
      <w:sz w:val="52"/>
      <w:szCs w:val="52"/>
    </w:rPr>
  </w:style>
  <w:style w:type="character" w:customStyle="1" w:styleId="tagtrans3">
    <w:name w:val="tag_trans3"/>
    <w:qFormat/>
    <w:rsid w:val="00ED17F3"/>
    <w:rPr>
      <w:i w:val="0"/>
      <w:iCs w:val="0"/>
      <w:color w:val="333333"/>
      <w:sz w:val="24"/>
      <w:szCs w:val="24"/>
    </w:rPr>
  </w:style>
  <w:style w:type="character" w:styleId="Accentuation">
    <w:name w:val="Emphasis"/>
    <w:uiPriority w:val="20"/>
    <w:qFormat/>
    <w:rsid w:val="00ED17F3"/>
    <w:rPr>
      <w:i/>
      <w:iCs/>
    </w:rPr>
  </w:style>
  <w:style w:type="table" w:customStyle="1" w:styleId="Grilledutableau4">
    <w:name w:val="Grille du tableau4"/>
    <w:basedOn w:val="TableauNormal"/>
    <w:next w:val="Grilledutableau"/>
    <w:uiPriority w:val="39"/>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1">
    <w:name w:val="Titre 11"/>
    <w:basedOn w:val="Normal"/>
    <w:next w:val="Normal"/>
    <w:uiPriority w:val="1"/>
    <w:qFormat/>
    <w:rsid w:val="00ED17F3"/>
    <w:pPr>
      <w:keepNext/>
      <w:keepLines/>
      <w:spacing w:before="240" w:after="0"/>
      <w:outlineLvl w:val="0"/>
    </w:pPr>
    <w:rPr>
      <w:rFonts w:ascii="Times New Roman" w:eastAsia="Times New Roman" w:hAnsi="Times New Roman"/>
      <w:b/>
      <w:sz w:val="24"/>
      <w:szCs w:val="32"/>
    </w:rPr>
  </w:style>
  <w:style w:type="paragraph" w:customStyle="1" w:styleId="111">
    <w:name w:val="(1.1)1"/>
    <w:basedOn w:val="Normal"/>
    <w:next w:val="Normal"/>
    <w:unhideWhenUsed/>
    <w:qFormat/>
    <w:rsid w:val="00ED17F3"/>
    <w:pPr>
      <w:keepNext/>
      <w:keepLines/>
      <w:spacing w:before="40" w:after="0"/>
      <w:outlineLvl w:val="1"/>
    </w:pPr>
    <w:rPr>
      <w:rFonts w:ascii="Times New Roman" w:eastAsia="Times New Roman" w:hAnsi="Times New Roman"/>
      <w:b/>
      <w:color w:val="000000"/>
      <w:sz w:val="24"/>
      <w:szCs w:val="26"/>
    </w:rPr>
  </w:style>
  <w:style w:type="paragraph" w:customStyle="1" w:styleId="H31">
    <w:name w:val="H31"/>
    <w:basedOn w:val="Normal"/>
    <w:next w:val="Normal"/>
    <w:unhideWhenUsed/>
    <w:qFormat/>
    <w:rsid w:val="00ED17F3"/>
    <w:pPr>
      <w:keepNext/>
      <w:keepLines/>
      <w:spacing w:before="40" w:after="0"/>
      <w:outlineLvl w:val="2"/>
    </w:pPr>
    <w:rPr>
      <w:rFonts w:ascii="Times New Roman" w:eastAsia="Times New Roman" w:hAnsi="Times New Roman"/>
      <w:sz w:val="24"/>
      <w:szCs w:val="24"/>
    </w:rPr>
  </w:style>
  <w:style w:type="paragraph" w:customStyle="1" w:styleId="Titre41">
    <w:name w:val="Titre 41"/>
    <w:basedOn w:val="Normal"/>
    <w:next w:val="Normal"/>
    <w:uiPriority w:val="9"/>
    <w:unhideWhenUsed/>
    <w:qFormat/>
    <w:rsid w:val="00ED17F3"/>
    <w:pPr>
      <w:keepNext/>
      <w:keepLines/>
      <w:spacing w:before="40" w:after="0"/>
      <w:outlineLvl w:val="3"/>
    </w:pPr>
    <w:rPr>
      <w:rFonts w:ascii="Times New Roman" w:eastAsia="Times New Roman" w:hAnsi="Times New Roman"/>
      <w:i/>
      <w:iCs/>
      <w:color w:val="000000"/>
      <w:sz w:val="24"/>
    </w:rPr>
  </w:style>
  <w:style w:type="paragraph" w:customStyle="1" w:styleId="Titre51">
    <w:name w:val="Titre 51"/>
    <w:basedOn w:val="Normal"/>
    <w:next w:val="Normal"/>
    <w:uiPriority w:val="1"/>
    <w:unhideWhenUsed/>
    <w:qFormat/>
    <w:rsid w:val="00ED17F3"/>
    <w:pPr>
      <w:keepNext/>
      <w:keepLines/>
      <w:spacing w:before="40" w:after="0"/>
      <w:outlineLvl w:val="4"/>
    </w:pPr>
    <w:rPr>
      <w:rFonts w:ascii="Calibri Light" w:eastAsia="Times New Roman" w:hAnsi="Calibri Light"/>
      <w:color w:val="2E74B5"/>
    </w:rPr>
  </w:style>
  <w:style w:type="paragraph" w:customStyle="1" w:styleId="Table1Ch1">
    <w:name w:val="Table1 Ch1"/>
    <w:basedOn w:val="Normal"/>
    <w:next w:val="Normal"/>
    <w:unhideWhenUsed/>
    <w:qFormat/>
    <w:rsid w:val="00ED17F3"/>
    <w:pPr>
      <w:spacing w:after="200" w:line="240" w:lineRule="auto"/>
    </w:pPr>
    <w:rPr>
      <w:rFonts w:ascii="Times New Roman" w:hAnsi="Times New Roman"/>
      <w:iCs/>
      <w:color w:val="000000"/>
      <w:szCs w:val="18"/>
    </w:rPr>
  </w:style>
  <w:style w:type="paragraph" w:customStyle="1" w:styleId="En-ttedetabledesmatires1">
    <w:name w:val="En-tête de table des matières1"/>
    <w:basedOn w:val="Titre1"/>
    <w:next w:val="Normal"/>
    <w:uiPriority w:val="39"/>
    <w:unhideWhenUsed/>
    <w:qFormat/>
    <w:rsid w:val="00ED17F3"/>
  </w:style>
  <w:style w:type="character" w:customStyle="1" w:styleId="Lienhypertexte1">
    <w:name w:val="Lien hypertexte1"/>
    <w:uiPriority w:val="99"/>
    <w:unhideWhenUsed/>
    <w:rsid w:val="00ED17F3"/>
    <w:rPr>
      <w:color w:val="0563C1"/>
      <w:u w:val="single"/>
    </w:rPr>
  </w:style>
  <w:style w:type="paragraph" w:customStyle="1" w:styleId="Textedebulles1">
    <w:name w:val="Texte de bulles1"/>
    <w:basedOn w:val="Normal"/>
    <w:next w:val="Textedebulles"/>
    <w:uiPriority w:val="99"/>
    <w:semiHidden/>
    <w:unhideWhenUsed/>
    <w:rsid w:val="00ED17F3"/>
    <w:pPr>
      <w:spacing w:after="0" w:line="240" w:lineRule="auto"/>
    </w:pPr>
    <w:rPr>
      <w:rFonts w:ascii="Tahoma" w:eastAsia="Times New Roman" w:hAnsi="Tahoma" w:cs="Tahoma"/>
      <w:sz w:val="16"/>
      <w:szCs w:val="16"/>
      <w:lang w:eastAsia="fr-FR"/>
    </w:rPr>
  </w:style>
  <w:style w:type="paragraph" w:customStyle="1" w:styleId="TM41">
    <w:name w:val="TM 41"/>
    <w:basedOn w:val="Normal"/>
    <w:next w:val="Normal"/>
    <w:autoRedefine/>
    <w:uiPriority w:val="39"/>
    <w:unhideWhenUsed/>
    <w:qFormat/>
    <w:rsid w:val="00ED17F3"/>
    <w:pPr>
      <w:spacing w:after="100"/>
      <w:ind w:left="660"/>
    </w:pPr>
    <w:rPr>
      <w:rFonts w:eastAsia="Times New Roman"/>
      <w:lang w:eastAsia="fr-FR"/>
    </w:rPr>
  </w:style>
  <w:style w:type="paragraph" w:customStyle="1" w:styleId="TM51">
    <w:name w:val="TM 51"/>
    <w:basedOn w:val="Normal"/>
    <w:next w:val="Normal"/>
    <w:autoRedefine/>
    <w:uiPriority w:val="39"/>
    <w:unhideWhenUsed/>
    <w:qFormat/>
    <w:rsid w:val="00ED17F3"/>
    <w:pPr>
      <w:spacing w:after="100"/>
      <w:ind w:left="880"/>
    </w:pPr>
    <w:rPr>
      <w:rFonts w:eastAsia="Times New Roman"/>
      <w:lang w:eastAsia="fr-FR"/>
    </w:rPr>
  </w:style>
  <w:style w:type="paragraph" w:customStyle="1" w:styleId="TM61">
    <w:name w:val="TM 61"/>
    <w:basedOn w:val="Normal"/>
    <w:next w:val="Normal"/>
    <w:autoRedefine/>
    <w:uiPriority w:val="39"/>
    <w:unhideWhenUsed/>
    <w:qFormat/>
    <w:rsid w:val="00ED17F3"/>
    <w:pPr>
      <w:spacing w:after="100"/>
      <w:ind w:left="1100"/>
    </w:pPr>
    <w:rPr>
      <w:rFonts w:eastAsia="Times New Roman"/>
      <w:lang w:eastAsia="fr-FR"/>
    </w:rPr>
  </w:style>
  <w:style w:type="paragraph" w:customStyle="1" w:styleId="TM71">
    <w:name w:val="TM 71"/>
    <w:basedOn w:val="Normal"/>
    <w:next w:val="Normal"/>
    <w:autoRedefine/>
    <w:uiPriority w:val="39"/>
    <w:unhideWhenUsed/>
    <w:qFormat/>
    <w:rsid w:val="00ED17F3"/>
    <w:pPr>
      <w:spacing w:after="100"/>
      <w:ind w:left="1320"/>
    </w:pPr>
    <w:rPr>
      <w:rFonts w:eastAsia="Times New Roman"/>
      <w:lang w:eastAsia="fr-FR"/>
    </w:rPr>
  </w:style>
  <w:style w:type="paragraph" w:customStyle="1" w:styleId="TM81">
    <w:name w:val="TM 81"/>
    <w:basedOn w:val="Normal"/>
    <w:next w:val="Normal"/>
    <w:autoRedefine/>
    <w:uiPriority w:val="39"/>
    <w:unhideWhenUsed/>
    <w:qFormat/>
    <w:rsid w:val="00ED17F3"/>
    <w:pPr>
      <w:spacing w:after="100"/>
      <w:ind w:left="1540"/>
    </w:pPr>
    <w:rPr>
      <w:rFonts w:eastAsia="Times New Roman"/>
      <w:lang w:eastAsia="fr-FR"/>
    </w:rPr>
  </w:style>
  <w:style w:type="paragraph" w:customStyle="1" w:styleId="TM91">
    <w:name w:val="TM 91"/>
    <w:basedOn w:val="Normal"/>
    <w:next w:val="Normal"/>
    <w:autoRedefine/>
    <w:uiPriority w:val="39"/>
    <w:unhideWhenUsed/>
    <w:qFormat/>
    <w:rsid w:val="00ED17F3"/>
    <w:pPr>
      <w:spacing w:after="100"/>
      <w:ind w:left="1760"/>
    </w:pPr>
    <w:rPr>
      <w:rFonts w:eastAsia="Times New Roman"/>
      <w:lang w:eastAsia="fr-FR"/>
    </w:rPr>
  </w:style>
  <w:style w:type="character" w:customStyle="1" w:styleId="Titre1Car1">
    <w:name w:val="Titre 1 Car1"/>
    <w:aliases w:val="Document Header1 Car1"/>
    <w:rsid w:val="00ED17F3"/>
    <w:rPr>
      <w:rFonts w:ascii="Calibri Light" w:eastAsia="Times New Roman" w:hAnsi="Calibri Light" w:cs="Times New Roman"/>
      <w:color w:val="2F5496"/>
      <w:sz w:val="32"/>
      <w:szCs w:val="32"/>
    </w:rPr>
  </w:style>
  <w:style w:type="character" w:customStyle="1" w:styleId="Titre2Car1">
    <w:name w:val="Titre 2 Car1"/>
    <w:aliases w:val="Section Car1,Paranum Car1,alec2 Car1,Chapitre 2 Car1,an Car1,(1.1) Car1,Title Header2 Car1,Titre secondaire (2) Car2,Titre secondaire (2) Car Car1"/>
    <w:uiPriority w:val="99"/>
    <w:qFormat/>
    <w:rsid w:val="00CC7A47"/>
    <w:rPr>
      <w:b/>
      <w:color w:val="auto"/>
    </w:rPr>
  </w:style>
  <w:style w:type="character" w:customStyle="1" w:styleId="Titre3Car2">
    <w:name w:val="Titre 3 Car2"/>
    <w:uiPriority w:val="9"/>
    <w:semiHidden/>
    <w:rsid w:val="00ED17F3"/>
    <w:rPr>
      <w:rFonts w:ascii="Calibri Light" w:eastAsia="Times New Roman" w:hAnsi="Calibri Light" w:cs="Times New Roman"/>
      <w:color w:val="1F3763"/>
      <w:sz w:val="24"/>
      <w:szCs w:val="24"/>
    </w:rPr>
  </w:style>
  <w:style w:type="character" w:customStyle="1" w:styleId="Titre4Car1">
    <w:name w:val="Titre 4 Car1"/>
    <w:aliases w:val="Sub-Clause Sub-paragraph Car1,ClauseSubSub_No&amp;Name Car1"/>
    <w:uiPriority w:val="9"/>
    <w:semiHidden/>
    <w:rsid w:val="00ED17F3"/>
    <w:rPr>
      <w:rFonts w:ascii="Calibri Light" w:eastAsia="Times New Roman" w:hAnsi="Calibri Light" w:cs="Times New Roman"/>
      <w:i/>
      <w:iCs/>
      <w:color w:val="2F5496"/>
    </w:rPr>
  </w:style>
  <w:style w:type="character" w:customStyle="1" w:styleId="Titre5Car1">
    <w:name w:val="Titre 5 Car1"/>
    <w:aliases w:val="Side Car1"/>
    <w:uiPriority w:val="9"/>
    <w:semiHidden/>
    <w:rsid w:val="00ED17F3"/>
    <w:rPr>
      <w:rFonts w:ascii="Calibri Light" w:eastAsia="Times New Roman" w:hAnsi="Calibri Light" w:cs="Times New Roman"/>
      <w:color w:val="2F5496"/>
    </w:rPr>
  </w:style>
  <w:style w:type="character" w:customStyle="1" w:styleId="Mentionnonrsolue1">
    <w:name w:val="Mention non résolue1"/>
    <w:uiPriority w:val="99"/>
    <w:unhideWhenUsed/>
    <w:qFormat/>
    <w:rsid w:val="00ED17F3"/>
    <w:rPr>
      <w:color w:val="605E5C"/>
      <w:shd w:val="clear" w:color="auto" w:fill="E1DFDD"/>
    </w:rPr>
  </w:style>
  <w:style w:type="table" w:customStyle="1" w:styleId="Grilledutableau11">
    <w:name w:val="Grille du tableau11"/>
    <w:basedOn w:val="TableauNormal"/>
    <w:next w:val="Grilledutableau"/>
    <w:uiPriority w:val="59"/>
    <w:rsid w:val="00ED17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qFormat/>
    <w:rsid w:val="00ED17F3"/>
  </w:style>
  <w:style w:type="paragraph" w:customStyle="1" w:styleId="Style16">
    <w:name w:val="Style1"/>
    <w:basedOn w:val="Normal"/>
    <w:qFormat/>
    <w:rsid w:val="00ED17F3"/>
    <w:pPr>
      <w:spacing w:before="120" w:after="120" w:line="240" w:lineRule="auto"/>
    </w:pPr>
    <w:rPr>
      <w:rFonts w:ascii="Times New Roman" w:eastAsia="Times New Roman" w:hAnsi="Times New Roman"/>
      <w:b/>
      <w:bCs/>
      <w:smallCaps/>
      <w:sz w:val="28"/>
      <w:szCs w:val="28"/>
      <w:lang w:eastAsia="fr-FR"/>
    </w:rPr>
  </w:style>
  <w:style w:type="character" w:styleId="Numrodepage">
    <w:name w:val="page number"/>
    <w:basedOn w:val="Policepardfaut"/>
    <w:qFormat/>
    <w:rsid w:val="00ED17F3"/>
  </w:style>
  <w:style w:type="paragraph" w:customStyle="1" w:styleId="Style3">
    <w:name w:val="Style3"/>
    <w:basedOn w:val="Corpsdetexte"/>
    <w:autoRedefine/>
    <w:rsid w:val="00ED17F3"/>
    <w:pPr>
      <w:tabs>
        <w:tab w:val="left" w:pos="8100"/>
      </w:tabs>
      <w:spacing w:after="0" w:line="240" w:lineRule="auto"/>
      <w:ind w:right="-34"/>
      <w:jc w:val="both"/>
    </w:pPr>
    <w:rPr>
      <w:rFonts w:ascii="Times New Roman" w:eastAsia="Times New Roman" w:hAnsi="Times New Roman"/>
      <w:iCs/>
      <w:sz w:val="24"/>
      <w:szCs w:val="24"/>
      <w:lang w:val="fr-BE"/>
    </w:rPr>
  </w:style>
  <w:style w:type="paragraph" w:customStyle="1" w:styleId="spip">
    <w:name w:val="spip"/>
    <w:basedOn w:val="Normal"/>
    <w:uiPriority w:val="99"/>
    <w:rsid w:val="00ED17F3"/>
    <w:pPr>
      <w:spacing w:before="100" w:beforeAutospacing="1" w:after="100" w:afterAutospacing="1" w:line="240" w:lineRule="auto"/>
    </w:pPr>
    <w:rPr>
      <w:rFonts w:ascii="Times New Roman" w:eastAsia="Times New Roman" w:hAnsi="Times New Roman"/>
      <w:sz w:val="24"/>
      <w:szCs w:val="24"/>
      <w:lang w:eastAsia="fr-FR"/>
    </w:rPr>
  </w:style>
  <w:style w:type="paragraph" w:styleId="Corpsdetexte3">
    <w:name w:val="Body Text 3"/>
    <w:basedOn w:val="Normal"/>
    <w:link w:val="Corpsdetexte3Car"/>
    <w:unhideWhenUsed/>
    <w:qFormat/>
    <w:rsid w:val="00ED17F3"/>
    <w:pPr>
      <w:spacing w:after="120"/>
    </w:pPr>
    <w:rPr>
      <w:sz w:val="16"/>
      <w:szCs w:val="16"/>
    </w:rPr>
  </w:style>
  <w:style w:type="character" w:customStyle="1" w:styleId="Corpsdetexte3Car">
    <w:name w:val="Corps de texte 3 Car"/>
    <w:link w:val="Corpsdetexte3"/>
    <w:qFormat/>
    <w:rsid w:val="00ED17F3"/>
    <w:rPr>
      <w:sz w:val="16"/>
      <w:szCs w:val="16"/>
    </w:rPr>
  </w:style>
  <w:style w:type="paragraph" w:styleId="Sous-titre">
    <w:name w:val="Subtitle"/>
    <w:basedOn w:val="Normal"/>
    <w:link w:val="Sous-titreCar"/>
    <w:qFormat/>
    <w:rsid w:val="00ED17F3"/>
    <w:pPr>
      <w:numPr>
        <w:ilvl w:val="1"/>
      </w:numPr>
    </w:pPr>
    <w:rPr>
      <w:rFonts w:eastAsia="Times New Roman"/>
      <w:color w:val="5A5A5A"/>
      <w:spacing w:val="15"/>
    </w:rPr>
  </w:style>
  <w:style w:type="character" w:customStyle="1" w:styleId="Sous-titreCar">
    <w:name w:val="Sous-titre Car"/>
    <w:link w:val="Sous-titre"/>
    <w:qFormat/>
    <w:rsid w:val="00ED17F3"/>
    <w:rPr>
      <w:rFonts w:eastAsia="Times New Roman"/>
      <w:color w:val="5A5A5A"/>
      <w:spacing w:val="15"/>
    </w:rPr>
  </w:style>
  <w:style w:type="paragraph" w:styleId="Retraitcorpsdetexte2">
    <w:name w:val="Body Text Indent 2"/>
    <w:basedOn w:val="Normal"/>
    <w:link w:val="Retraitcorpsdetexte2Car"/>
    <w:unhideWhenUsed/>
    <w:qFormat/>
    <w:rsid w:val="00ED17F3"/>
    <w:pPr>
      <w:spacing w:after="120" w:line="480" w:lineRule="auto"/>
      <w:ind w:left="360"/>
    </w:pPr>
  </w:style>
  <w:style w:type="character" w:customStyle="1" w:styleId="Retraitcorpsdetexte2Car">
    <w:name w:val="Retrait corps de texte 2 Car"/>
    <w:basedOn w:val="Policepardfaut"/>
    <w:link w:val="Retraitcorpsdetexte2"/>
    <w:qFormat/>
    <w:rsid w:val="00ED17F3"/>
  </w:style>
  <w:style w:type="paragraph" w:customStyle="1" w:styleId="Style4">
    <w:name w:val="Style4"/>
    <w:basedOn w:val="Style3"/>
    <w:qFormat/>
    <w:rsid w:val="00ED17F3"/>
    <w:pPr>
      <w:numPr>
        <w:numId w:val="55"/>
      </w:numPr>
      <w:tabs>
        <w:tab w:val="clear" w:pos="8100"/>
      </w:tabs>
      <w:spacing w:before="120" w:line="360" w:lineRule="auto"/>
      <w:ind w:right="0"/>
    </w:pPr>
    <w:rPr>
      <w:rFonts w:ascii="Arial" w:hAnsi="Arial"/>
      <w:iCs w:val="0"/>
      <w:lang w:val="fr-FR" w:eastAsia="fr-FR"/>
    </w:rPr>
  </w:style>
  <w:style w:type="paragraph" w:customStyle="1" w:styleId="Style2">
    <w:name w:val="Style2"/>
    <w:basedOn w:val="Normal"/>
    <w:link w:val="Style2Car"/>
    <w:qFormat/>
    <w:rsid w:val="00ED17F3"/>
    <w:pPr>
      <w:numPr>
        <w:numId w:val="56"/>
      </w:numPr>
      <w:spacing w:before="120" w:after="0" w:line="360" w:lineRule="auto"/>
    </w:pPr>
    <w:rPr>
      <w:rFonts w:ascii="Arial" w:eastAsia="Times New Roman" w:hAnsi="Arial" w:cs="Arial"/>
      <w:b/>
      <w:bCs/>
      <w:sz w:val="28"/>
      <w:szCs w:val="24"/>
      <w:lang w:eastAsia="fr-FR"/>
    </w:rPr>
  </w:style>
  <w:style w:type="paragraph" w:customStyle="1" w:styleId="Style8">
    <w:name w:val="Style8"/>
    <w:basedOn w:val="Normal"/>
    <w:rsid w:val="00ED17F3"/>
    <w:pPr>
      <w:numPr>
        <w:numId w:val="57"/>
      </w:numPr>
      <w:spacing w:after="0" w:line="240" w:lineRule="auto"/>
    </w:pPr>
    <w:rPr>
      <w:rFonts w:ascii="Times New Roman" w:eastAsia="Times New Roman" w:hAnsi="Times New Roman"/>
      <w:sz w:val="24"/>
      <w:szCs w:val="24"/>
      <w:lang w:eastAsia="fr-FR"/>
    </w:rPr>
  </w:style>
  <w:style w:type="paragraph" w:customStyle="1" w:styleId="Tableau">
    <w:name w:val="Tableau"/>
    <w:basedOn w:val="Normal"/>
    <w:uiPriority w:val="99"/>
    <w:rsid w:val="00ED17F3"/>
    <w:pPr>
      <w:spacing w:before="40" w:after="40" w:line="240" w:lineRule="auto"/>
      <w:jc w:val="center"/>
    </w:pPr>
    <w:rPr>
      <w:rFonts w:ascii="Arial" w:eastAsia="Times New Roman" w:hAnsi="Arial"/>
      <w:sz w:val="20"/>
      <w:szCs w:val="20"/>
      <w:lang w:eastAsia="fr-FR"/>
    </w:rPr>
  </w:style>
  <w:style w:type="paragraph" w:customStyle="1" w:styleId="Russite">
    <w:name w:val="Réussite"/>
    <w:basedOn w:val="Corpsdetexte"/>
    <w:rsid w:val="00ED17F3"/>
    <w:pPr>
      <w:numPr>
        <w:numId w:val="58"/>
      </w:numPr>
      <w:tabs>
        <w:tab w:val="clear" w:pos="1068"/>
        <w:tab w:val="num" w:pos="644"/>
      </w:tabs>
      <w:spacing w:after="60" w:line="240" w:lineRule="atLeast"/>
      <w:ind w:left="644"/>
      <w:jc w:val="both"/>
    </w:pPr>
    <w:rPr>
      <w:rFonts w:ascii="Garamond" w:eastAsia="Times New Roman" w:hAnsi="Garamond"/>
      <w:szCs w:val="20"/>
      <w:lang w:eastAsia="fr-FR"/>
    </w:rPr>
  </w:style>
  <w:style w:type="paragraph" w:styleId="Retraitcorpsdetexte3">
    <w:name w:val="Body Text Indent 3"/>
    <w:basedOn w:val="Normal"/>
    <w:link w:val="Retraitcorpsdetexte3Car"/>
    <w:uiPriority w:val="99"/>
    <w:unhideWhenUsed/>
    <w:qFormat/>
    <w:rsid w:val="00ED17F3"/>
    <w:pPr>
      <w:spacing w:after="120"/>
      <w:ind w:left="283"/>
    </w:pPr>
    <w:rPr>
      <w:sz w:val="16"/>
      <w:szCs w:val="16"/>
    </w:rPr>
  </w:style>
  <w:style w:type="character" w:customStyle="1" w:styleId="Retraitcorpsdetexte3Car">
    <w:name w:val="Retrait corps de texte 3 Car"/>
    <w:link w:val="Retraitcorpsdetexte3"/>
    <w:uiPriority w:val="99"/>
    <w:qFormat/>
    <w:rsid w:val="00ED17F3"/>
    <w:rPr>
      <w:sz w:val="16"/>
      <w:szCs w:val="16"/>
    </w:rPr>
  </w:style>
  <w:style w:type="character" w:customStyle="1" w:styleId="apple-style-span">
    <w:name w:val="apple-style-span"/>
    <w:rsid w:val="00ED17F3"/>
  </w:style>
  <w:style w:type="character" w:customStyle="1" w:styleId="hps">
    <w:name w:val="hps"/>
    <w:rsid w:val="00ED17F3"/>
  </w:style>
  <w:style w:type="paragraph" w:customStyle="1" w:styleId="Boncorpsdetexte">
    <w:name w:val="Bon corps de texte"/>
    <w:basedOn w:val="Corpsdetexte"/>
    <w:rsid w:val="00ED17F3"/>
    <w:pPr>
      <w:spacing w:after="0" w:line="240" w:lineRule="auto"/>
      <w:jc w:val="both"/>
    </w:pPr>
    <w:rPr>
      <w:rFonts w:ascii="Arial" w:eastAsia="Times New Roman" w:hAnsi="Arial" w:cs="Arial"/>
      <w:szCs w:val="24"/>
      <w:lang w:eastAsia="fr-FR"/>
    </w:rPr>
  </w:style>
  <w:style w:type="paragraph" w:customStyle="1" w:styleId="Style">
    <w:name w:val="Style"/>
    <w:rsid w:val="00ED17F3"/>
    <w:pPr>
      <w:widowControl w:val="0"/>
      <w:autoSpaceDE w:val="0"/>
      <w:autoSpaceDN w:val="0"/>
      <w:adjustRightInd w:val="0"/>
    </w:pPr>
    <w:rPr>
      <w:rFonts w:ascii="Courier New" w:eastAsia="Times New Roman" w:hAnsi="Courier New" w:cs="Courier New"/>
      <w:sz w:val="24"/>
      <w:szCs w:val="24"/>
    </w:rPr>
  </w:style>
  <w:style w:type="paragraph" w:customStyle="1" w:styleId="0">
    <w:name w:val="0"/>
    <w:qFormat/>
    <w:rsid w:val="00ED17F3"/>
    <w:pPr>
      <w:tabs>
        <w:tab w:val="left" w:pos="1440"/>
        <w:tab w:val="right" w:pos="8931"/>
      </w:tabs>
      <w:spacing w:after="60"/>
      <w:ind w:left="851"/>
      <w:jc w:val="both"/>
    </w:pPr>
    <w:rPr>
      <w:rFonts w:ascii="Times New Roman" w:eastAsia="Times New Roman" w:hAnsi="Times New Roman"/>
      <w:sz w:val="22"/>
      <w:lang w:eastAsia="en-US"/>
    </w:rPr>
  </w:style>
  <w:style w:type="character" w:styleId="Appelnotedebasdep">
    <w:name w:val="footnote reference"/>
    <w:aliases w:val="ftref,Footnote Reference Number,Style 6,Char Char Char Char Car Char,16 Point,Superscript 6 Point,Footnote Reference_LVL6,Footnote Reference_LVL61,Footnote Reference_LVL62,Footnote Reference_LVL63,Footnote Reference_LVL64,SUPERS"/>
    <w:link w:val="CarattereCarattereCharCharCharCharCharCharZchn"/>
    <w:uiPriority w:val="99"/>
    <w:unhideWhenUsed/>
    <w:qFormat/>
    <w:rsid w:val="00ED17F3"/>
    <w:rPr>
      <w:vertAlign w:val="superscript"/>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qFormat/>
    <w:rsid w:val="00ED17F3"/>
    <w:pPr>
      <w:spacing w:line="240" w:lineRule="exact"/>
      <w:ind w:left="360" w:hanging="360"/>
      <w:jc w:val="both"/>
    </w:pPr>
    <w:rPr>
      <w:vertAlign w:val="superscript"/>
    </w:rPr>
  </w:style>
  <w:style w:type="paragraph" w:customStyle="1" w:styleId="NormalTCI-Normal">
    <w:name w:val="Normal.TCI-Normal"/>
    <w:qFormat/>
    <w:rsid w:val="00ED17F3"/>
    <w:pPr>
      <w:tabs>
        <w:tab w:val="left" w:pos="1134"/>
      </w:tabs>
      <w:jc w:val="both"/>
    </w:pPr>
    <w:rPr>
      <w:rFonts w:ascii="Times New Roman" w:eastAsia="Times New Roman" w:hAnsi="Times New Roman"/>
      <w:sz w:val="22"/>
    </w:rPr>
  </w:style>
  <w:style w:type="character" w:customStyle="1" w:styleId="Listepuces2Car">
    <w:name w:val="Liste à puces 2 Car"/>
    <w:link w:val="Listepuces2"/>
    <w:locked/>
    <w:rsid w:val="00ED17F3"/>
    <w:rPr>
      <w:rFonts w:ascii="Arial" w:eastAsia="Times New Roman" w:hAnsi="Arial"/>
      <w:szCs w:val="24"/>
    </w:rPr>
  </w:style>
  <w:style w:type="paragraph" w:styleId="Listepuces2">
    <w:name w:val="List Bullet 2"/>
    <w:basedOn w:val="Normal"/>
    <w:link w:val="Listepuces2Car"/>
    <w:uiPriority w:val="99"/>
    <w:unhideWhenUsed/>
    <w:qFormat/>
    <w:rsid w:val="00ED17F3"/>
    <w:pPr>
      <w:widowControl w:val="0"/>
      <w:tabs>
        <w:tab w:val="num" w:pos="643"/>
      </w:tabs>
      <w:adjustRightInd w:val="0"/>
      <w:spacing w:after="0" w:line="360" w:lineRule="auto"/>
      <w:ind w:left="643" w:hanging="360"/>
      <w:jc w:val="both"/>
    </w:pPr>
    <w:rPr>
      <w:rFonts w:ascii="Arial" w:eastAsia="Times New Roman" w:hAnsi="Arial"/>
      <w:szCs w:val="24"/>
    </w:rPr>
  </w:style>
  <w:style w:type="numbering" w:styleId="ArticleSection">
    <w:name w:val="Outline List 3"/>
    <w:basedOn w:val="Aucuneliste"/>
    <w:semiHidden/>
    <w:rsid w:val="00ED17F3"/>
    <w:pPr>
      <w:numPr>
        <w:numId w:val="59"/>
      </w:numPr>
    </w:pPr>
  </w:style>
  <w:style w:type="table" w:styleId="Tableauweb2">
    <w:name w:val="Table Web 2"/>
    <w:basedOn w:val="TableauNormal"/>
    <w:rsid w:val="00ED17F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3">
    <w:name w:val="Normal 3"/>
    <w:basedOn w:val="Normal"/>
    <w:rsid w:val="00ED17F3"/>
    <w:pPr>
      <w:snapToGrid w:val="0"/>
      <w:spacing w:after="120" w:line="240" w:lineRule="auto"/>
      <w:jc w:val="both"/>
    </w:pPr>
    <w:rPr>
      <w:rFonts w:ascii="Arial" w:eastAsia="Times New Roman" w:hAnsi="Arial"/>
      <w:szCs w:val="20"/>
      <w:lang w:eastAsia="fr-FR"/>
    </w:rPr>
  </w:style>
  <w:style w:type="paragraph" w:styleId="Citation">
    <w:name w:val="Quote"/>
    <w:basedOn w:val="Normal"/>
    <w:next w:val="Normal"/>
    <w:link w:val="CitationCar"/>
    <w:uiPriority w:val="29"/>
    <w:qFormat/>
    <w:rsid w:val="00ED17F3"/>
    <w:pPr>
      <w:spacing w:before="200"/>
      <w:ind w:left="864" w:right="864"/>
      <w:jc w:val="center"/>
    </w:pPr>
    <w:rPr>
      <w:i/>
      <w:iCs/>
      <w:color w:val="404040"/>
    </w:rPr>
  </w:style>
  <w:style w:type="character" w:customStyle="1" w:styleId="CitationCar">
    <w:name w:val="Citation Car"/>
    <w:link w:val="Citation"/>
    <w:uiPriority w:val="29"/>
    <w:rsid w:val="00ED17F3"/>
    <w:rPr>
      <w:i/>
      <w:iCs/>
      <w:color w:val="404040"/>
    </w:rPr>
  </w:style>
  <w:style w:type="paragraph" w:styleId="Citationintense">
    <w:name w:val="Intense Quote"/>
    <w:basedOn w:val="Normal"/>
    <w:next w:val="Normal"/>
    <w:link w:val="CitationintenseCar"/>
    <w:uiPriority w:val="30"/>
    <w:qFormat/>
    <w:rsid w:val="00ED17F3"/>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link w:val="Citationintense"/>
    <w:uiPriority w:val="30"/>
    <w:rsid w:val="00ED17F3"/>
    <w:rPr>
      <w:i/>
      <w:iCs/>
      <w:color w:val="5B9BD5"/>
    </w:rPr>
  </w:style>
  <w:style w:type="character" w:styleId="Emphaseple">
    <w:name w:val="Subtle Emphasis"/>
    <w:uiPriority w:val="19"/>
    <w:qFormat/>
    <w:rsid w:val="00ED17F3"/>
    <w:rPr>
      <w:i/>
      <w:iCs/>
      <w:color w:val="404040"/>
    </w:rPr>
  </w:style>
  <w:style w:type="character" w:styleId="Rfrenceple">
    <w:name w:val="Subtle Reference"/>
    <w:uiPriority w:val="31"/>
    <w:qFormat/>
    <w:rsid w:val="00ED17F3"/>
    <w:rPr>
      <w:smallCaps/>
      <w:color w:val="5A5A5A"/>
    </w:rPr>
  </w:style>
  <w:style w:type="character" w:styleId="Rfrenceintense">
    <w:name w:val="Intense Reference"/>
    <w:uiPriority w:val="32"/>
    <w:qFormat/>
    <w:rsid w:val="00ED17F3"/>
    <w:rPr>
      <w:b/>
      <w:bCs/>
      <w:smallCaps/>
      <w:color w:val="5B9BD5"/>
      <w:spacing w:val="5"/>
    </w:rPr>
  </w:style>
  <w:style w:type="character" w:styleId="Titredulivre">
    <w:name w:val="Book Title"/>
    <w:uiPriority w:val="33"/>
    <w:qFormat/>
    <w:rsid w:val="00ED17F3"/>
    <w:rPr>
      <w:b/>
      <w:bCs/>
      <w:i/>
      <w:iCs/>
      <w:spacing w:val="5"/>
    </w:rPr>
  </w:style>
  <w:style w:type="character" w:customStyle="1" w:styleId="Emphaseintense1">
    <w:name w:val="Emphase intense1"/>
    <w:aliases w:val="Emphase intense- titre"/>
    <w:semiHidden/>
    <w:rsid w:val="00ED17F3"/>
    <w:rPr>
      <w:rFonts w:ascii="Arial Black" w:hAnsi="Arial Black"/>
      <w:b/>
      <w:bCs/>
      <w:iCs/>
      <w:color w:val="auto"/>
      <w:sz w:val="28"/>
    </w:rPr>
  </w:style>
  <w:style w:type="paragraph" w:customStyle="1" w:styleId="RAPPORT1">
    <w:name w:val="RAPPORT 1"/>
    <w:basedOn w:val="Paragraphedeliste"/>
    <w:autoRedefine/>
    <w:semiHidden/>
    <w:rsid w:val="00ED17F3"/>
    <w:pPr>
      <w:spacing w:line="240" w:lineRule="auto"/>
      <w:ind w:left="0"/>
      <w:contextualSpacing w:val="0"/>
    </w:pPr>
    <w:rPr>
      <w:sz w:val="24"/>
      <w:lang w:eastAsia="fr-FR"/>
    </w:rPr>
  </w:style>
  <w:style w:type="paragraph" w:customStyle="1" w:styleId="RAPPORT2">
    <w:name w:val="RAPPORT 2"/>
    <w:basedOn w:val="Paragraphedeliste"/>
    <w:autoRedefine/>
    <w:semiHidden/>
    <w:rsid w:val="00ED17F3"/>
    <w:pPr>
      <w:spacing w:line="240" w:lineRule="auto"/>
      <w:ind w:left="180"/>
      <w:contextualSpacing w:val="0"/>
    </w:pPr>
    <w:rPr>
      <w:rFonts w:ascii="Times New Roman" w:hAnsi="Times New Roman"/>
      <w:sz w:val="24"/>
      <w:lang w:eastAsia="fr-FR"/>
    </w:rPr>
  </w:style>
  <w:style w:type="paragraph" w:customStyle="1" w:styleId="RAPPORT3">
    <w:name w:val="RAPPORT 3"/>
    <w:basedOn w:val="Normal"/>
    <w:autoRedefine/>
    <w:semiHidden/>
    <w:rsid w:val="00ED17F3"/>
    <w:pPr>
      <w:spacing w:after="0" w:line="240" w:lineRule="auto"/>
      <w:ind w:right="141"/>
      <w:outlineLvl w:val="0"/>
    </w:pPr>
    <w:rPr>
      <w:sz w:val="24"/>
      <w:lang w:eastAsia="fr-FR"/>
    </w:rPr>
  </w:style>
  <w:style w:type="paragraph" w:customStyle="1" w:styleId="Rapport30">
    <w:name w:val="Rapport 3"/>
    <w:basedOn w:val="RAPPORT1"/>
    <w:autoRedefine/>
    <w:semiHidden/>
    <w:rsid w:val="00ED17F3"/>
    <w:pPr>
      <w:spacing w:after="120"/>
    </w:pPr>
  </w:style>
  <w:style w:type="paragraph" w:styleId="Normalcentr">
    <w:name w:val="Block Text"/>
    <w:basedOn w:val="Normal"/>
    <w:unhideWhenUsed/>
    <w:qFormat/>
    <w:rsid w:val="00ED17F3"/>
    <w:pPr>
      <w:pBdr>
        <w:top w:val="single" w:sz="2" w:space="10" w:color="4F81BD" w:shadow="1"/>
        <w:left w:val="single" w:sz="2" w:space="10" w:color="4F81BD" w:shadow="1"/>
        <w:bottom w:val="single" w:sz="2" w:space="10" w:color="4F81BD" w:shadow="1"/>
        <w:right w:val="single" w:sz="2" w:space="10" w:color="4F81BD" w:shadow="1"/>
      </w:pBdr>
      <w:spacing w:after="0" w:line="240" w:lineRule="auto"/>
      <w:ind w:left="1152" w:right="1152"/>
    </w:pPr>
    <w:rPr>
      <w:rFonts w:eastAsia="Times New Roman"/>
      <w:i/>
      <w:iCs/>
      <w:color w:val="4F81BD"/>
      <w:sz w:val="24"/>
      <w:szCs w:val="24"/>
      <w:lang w:eastAsia="fr-FR"/>
    </w:rPr>
  </w:style>
  <w:style w:type="paragraph" w:customStyle="1" w:styleId="DefaultParagraphFontCharCharChar">
    <w:name w:val="Default Paragraph Font Char Char Char"/>
    <w:aliases w:val="Default Paragraph Font Para Char Char Char Char Char,Char Char Char Char,Default Paragraph Font Char Char12 Char,Default Paragraph Font Char Char11 Char,Default Paragraph Font Char Char1 Char"/>
    <w:basedOn w:val="Normal"/>
    <w:next w:val="Normal"/>
    <w:autoRedefine/>
    <w:semiHidden/>
    <w:rsid w:val="00ED17F3"/>
    <w:pPr>
      <w:spacing w:after="0" w:line="240" w:lineRule="auto"/>
      <w:jc w:val="both"/>
    </w:pPr>
    <w:rPr>
      <w:rFonts w:ascii="Times New Roman" w:eastAsia="Times New Roman" w:hAnsi="Times New Roman"/>
      <w:szCs w:val="24"/>
      <w:lang w:val="en-US"/>
    </w:rPr>
  </w:style>
  <w:style w:type="paragraph" w:styleId="Rvision">
    <w:name w:val="Revision"/>
    <w:hidden/>
    <w:uiPriority w:val="99"/>
    <w:semiHidden/>
    <w:qFormat/>
    <w:rsid w:val="00ED17F3"/>
    <w:rPr>
      <w:sz w:val="22"/>
      <w:szCs w:val="22"/>
      <w:lang w:eastAsia="en-US"/>
    </w:rPr>
  </w:style>
  <w:style w:type="paragraph" w:customStyle="1" w:styleId="footnotedescription">
    <w:name w:val="footnote description"/>
    <w:next w:val="Normal"/>
    <w:link w:val="footnotedescriptionChar"/>
    <w:hidden/>
    <w:qFormat/>
    <w:rsid w:val="00ED17F3"/>
    <w:pPr>
      <w:spacing w:line="258" w:lineRule="auto"/>
      <w:ind w:left="71" w:hanging="71"/>
    </w:pPr>
    <w:rPr>
      <w:rFonts w:ascii="Times New Roman" w:eastAsia="Times New Roman" w:hAnsi="Times New Roman"/>
      <w:color w:val="000000"/>
      <w:sz w:val="16"/>
      <w:szCs w:val="22"/>
    </w:rPr>
  </w:style>
  <w:style w:type="character" w:customStyle="1" w:styleId="footnotedescriptionChar">
    <w:name w:val="footnote description Char"/>
    <w:link w:val="footnotedescription"/>
    <w:qFormat/>
    <w:rsid w:val="00ED17F3"/>
    <w:rPr>
      <w:rFonts w:ascii="Times New Roman" w:eastAsia="Times New Roman" w:hAnsi="Times New Roman" w:cs="Times New Roman"/>
      <w:color w:val="000000"/>
      <w:sz w:val="16"/>
      <w:lang w:eastAsia="fr-FR"/>
    </w:rPr>
  </w:style>
  <w:style w:type="character" w:customStyle="1" w:styleId="footnotemark">
    <w:name w:val="footnote mark"/>
    <w:hidden/>
    <w:qFormat/>
    <w:rsid w:val="00ED17F3"/>
    <w:rPr>
      <w:rFonts w:ascii="Times New Roman" w:eastAsia="Times New Roman" w:hAnsi="Times New Roman" w:cs="Times New Roman"/>
      <w:color w:val="000000"/>
      <w:sz w:val="16"/>
      <w:vertAlign w:val="superscript"/>
    </w:rPr>
  </w:style>
  <w:style w:type="table" w:customStyle="1" w:styleId="TableGrid">
    <w:name w:val="TableGrid"/>
    <w:rsid w:val="00ED17F3"/>
    <w:rPr>
      <w:rFonts w:eastAsia="Times New Roman"/>
      <w:sz w:val="22"/>
      <w:szCs w:val="22"/>
    </w:rPr>
    <w:tblPr>
      <w:tblCellMar>
        <w:top w:w="0" w:type="dxa"/>
        <w:left w:w="0" w:type="dxa"/>
        <w:bottom w:w="0" w:type="dxa"/>
        <w:right w:w="0" w:type="dxa"/>
      </w:tblCellMar>
    </w:tblPr>
  </w:style>
  <w:style w:type="character" w:customStyle="1" w:styleId="Heading1Char">
    <w:name w:val="Heading 1 Char"/>
    <w:aliases w:val="Titre 1 Car Car Car Car Car Car Car Car Car Car Car Car Car Car Car Car Car Car Char"/>
    <w:uiPriority w:val="99"/>
    <w:locked/>
    <w:rsid w:val="00ED17F3"/>
    <w:rPr>
      <w:rFonts w:ascii="Cambria" w:hAnsi="Cambria" w:cs="Times New Roman"/>
      <w:b/>
      <w:bCs/>
      <w:kern w:val="32"/>
      <w:sz w:val="32"/>
      <w:szCs w:val="32"/>
    </w:rPr>
  </w:style>
  <w:style w:type="character" w:customStyle="1" w:styleId="Heading2Char">
    <w:name w:val="Heading 2 Char"/>
    <w:uiPriority w:val="99"/>
    <w:semiHidden/>
    <w:locked/>
    <w:rsid w:val="00ED17F3"/>
    <w:rPr>
      <w:rFonts w:ascii="Cambria" w:hAnsi="Cambria" w:cs="Times New Roman"/>
      <w:b/>
      <w:bCs/>
      <w:i/>
      <w:iCs/>
      <w:sz w:val="28"/>
      <w:szCs w:val="28"/>
    </w:rPr>
  </w:style>
  <w:style w:type="character" w:customStyle="1" w:styleId="Heading4Char">
    <w:name w:val="Heading 4 Char"/>
    <w:uiPriority w:val="99"/>
    <w:semiHidden/>
    <w:locked/>
    <w:rsid w:val="00ED17F3"/>
    <w:rPr>
      <w:rFonts w:ascii="Calibri" w:hAnsi="Calibri" w:cs="Times New Roman"/>
      <w:b/>
      <w:bCs/>
      <w:sz w:val="28"/>
      <w:szCs w:val="28"/>
    </w:rPr>
  </w:style>
  <w:style w:type="character" w:customStyle="1" w:styleId="Heading5Char">
    <w:name w:val="Heading 5 Char"/>
    <w:uiPriority w:val="99"/>
    <w:semiHidden/>
    <w:locked/>
    <w:rsid w:val="00ED17F3"/>
    <w:rPr>
      <w:rFonts w:ascii="Calibri" w:hAnsi="Calibri" w:cs="Times New Roman"/>
      <w:b/>
      <w:bCs/>
      <w:i/>
      <w:iCs/>
      <w:sz w:val="26"/>
      <w:szCs w:val="26"/>
    </w:rPr>
  </w:style>
  <w:style w:type="character" w:customStyle="1" w:styleId="Heading6Char">
    <w:name w:val="Heading 6 Char"/>
    <w:uiPriority w:val="99"/>
    <w:semiHidden/>
    <w:locked/>
    <w:rsid w:val="00ED17F3"/>
    <w:rPr>
      <w:rFonts w:ascii="Calibri" w:hAnsi="Calibri" w:cs="Times New Roman"/>
      <w:b/>
      <w:bCs/>
    </w:rPr>
  </w:style>
  <w:style w:type="character" w:customStyle="1" w:styleId="Heading7Char">
    <w:name w:val="Heading 7 Char"/>
    <w:uiPriority w:val="99"/>
    <w:semiHidden/>
    <w:locked/>
    <w:rsid w:val="00ED17F3"/>
    <w:rPr>
      <w:rFonts w:ascii="Calibri" w:hAnsi="Calibri" w:cs="Times New Roman"/>
      <w:sz w:val="24"/>
      <w:szCs w:val="24"/>
    </w:rPr>
  </w:style>
  <w:style w:type="character" w:customStyle="1" w:styleId="Heading8Char">
    <w:name w:val="Heading 8 Char"/>
    <w:uiPriority w:val="99"/>
    <w:semiHidden/>
    <w:locked/>
    <w:rsid w:val="00ED17F3"/>
    <w:rPr>
      <w:rFonts w:ascii="Calibri" w:hAnsi="Calibri" w:cs="Times New Roman"/>
      <w:i/>
      <w:iCs/>
      <w:sz w:val="24"/>
      <w:szCs w:val="24"/>
    </w:rPr>
  </w:style>
  <w:style w:type="character" w:customStyle="1" w:styleId="Heading9Char">
    <w:name w:val="Heading 9 Char"/>
    <w:uiPriority w:val="99"/>
    <w:semiHidden/>
    <w:locked/>
    <w:rsid w:val="00ED17F3"/>
    <w:rPr>
      <w:rFonts w:ascii="Cambria" w:hAnsi="Cambria" w:cs="Times New Roman"/>
    </w:rPr>
  </w:style>
  <w:style w:type="character" w:customStyle="1" w:styleId="Titre10">
    <w:name w:val="Titre1"/>
    <w:uiPriority w:val="99"/>
    <w:qFormat/>
    <w:locked/>
    <w:rsid w:val="00ED17F3"/>
    <w:rPr>
      <w:rFonts w:ascii="Times New Roman" w:hAnsi="Times New Roman" w:cs="Times New Roman"/>
      <w:b/>
      <w:bCs/>
      <w:caps w:val="0"/>
      <w:smallCaps w:val="0"/>
      <w:strike w:val="0"/>
      <w:dstrike w:val="0"/>
      <w:vanish w:val="0"/>
      <w:kern w:val="28"/>
      <w:sz w:val="24"/>
      <w:szCs w:val="32"/>
      <w:vertAlign w:val="baseline"/>
    </w:rPr>
  </w:style>
  <w:style w:type="character" w:customStyle="1" w:styleId="BodyTextChar">
    <w:name w:val="Body Text Char"/>
    <w:uiPriority w:val="99"/>
    <w:semiHidden/>
    <w:locked/>
    <w:rsid w:val="00ED17F3"/>
    <w:rPr>
      <w:rFonts w:cs="Times New Roman"/>
      <w:sz w:val="24"/>
      <w:szCs w:val="24"/>
    </w:rPr>
  </w:style>
  <w:style w:type="character" w:customStyle="1" w:styleId="BodyText2Char">
    <w:name w:val="Body Text 2 Char"/>
    <w:uiPriority w:val="99"/>
    <w:semiHidden/>
    <w:locked/>
    <w:rsid w:val="00ED17F3"/>
    <w:rPr>
      <w:rFonts w:cs="Times New Roman"/>
      <w:sz w:val="24"/>
      <w:szCs w:val="24"/>
    </w:rPr>
  </w:style>
  <w:style w:type="character" w:customStyle="1" w:styleId="BodyTextIndentChar">
    <w:name w:val="Body Text Indent Char"/>
    <w:uiPriority w:val="99"/>
    <w:semiHidden/>
    <w:locked/>
    <w:rsid w:val="00ED17F3"/>
    <w:rPr>
      <w:rFonts w:cs="Times New Roman"/>
      <w:sz w:val="24"/>
      <w:szCs w:val="24"/>
    </w:rPr>
  </w:style>
  <w:style w:type="character" w:customStyle="1" w:styleId="SubtitleChar">
    <w:name w:val="Subtitle Char"/>
    <w:uiPriority w:val="99"/>
    <w:locked/>
    <w:rsid w:val="00ED17F3"/>
    <w:rPr>
      <w:rFonts w:ascii="Cambria" w:hAnsi="Cambria" w:cs="Times New Roman"/>
      <w:sz w:val="24"/>
      <w:szCs w:val="24"/>
    </w:rPr>
  </w:style>
  <w:style w:type="paragraph" w:customStyle="1" w:styleId="Style7">
    <w:name w:val="Style7"/>
    <w:basedOn w:val="Corpsdetexte2"/>
    <w:rsid w:val="00ED17F3"/>
    <w:pPr>
      <w:tabs>
        <w:tab w:val="clear" w:pos="720"/>
        <w:tab w:val="num" w:pos="1211"/>
      </w:tabs>
      <w:suppressAutoHyphens w:val="0"/>
      <w:spacing w:before="120" w:after="0" w:line="360" w:lineRule="auto"/>
      <w:ind w:left="851"/>
      <w:jc w:val="left"/>
    </w:pPr>
    <w:rPr>
      <w:rFonts w:ascii="Arial" w:hAnsi="Arial"/>
      <w:color w:val="000000"/>
      <w:sz w:val="26"/>
      <w:szCs w:val="24"/>
      <w:u w:val="single"/>
    </w:rPr>
  </w:style>
  <w:style w:type="character" w:customStyle="1" w:styleId="FooterChar">
    <w:name w:val="Footer Char"/>
    <w:uiPriority w:val="99"/>
    <w:semiHidden/>
    <w:locked/>
    <w:rsid w:val="00ED17F3"/>
    <w:rPr>
      <w:rFonts w:cs="Times New Roman"/>
      <w:sz w:val="24"/>
      <w:szCs w:val="24"/>
    </w:rPr>
  </w:style>
  <w:style w:type="character" w:customStyle="1" w:styleId="BodyText3Char">
    <w:name w:val="Body Text 3 Char"/>
    <w:uiPriority w:val="99"/>
    <w:semiHidden/>
    <w:locked/>
    <w:rsid w:val="00ED17F3"/>
    <w:rPr>
      <w:rFonts w:cs="Times New Roman"/>
      <w:sz w:val="16"/>
      <w:szCs w:val="16"/>
    </w:rPr>
  </w:style>
  <w:style w:type="character" w:customStyle="1" w:styleId="BodyTextIndent2Char">
    <w:name w:val="Body Text Indent 2 Char"/>
    <w:uiPriority w:val="99"/>
    <w:semiHidden/>
    <w:locked/>
    <w:rsid w:val="00ED17F3"/>
    <w:rPr>
      <w:rFonts w:cs="Times New Roman"/>
      <w:sz w:val="24"/>
      <w:szCs w:val="24"/>
    </w:rPr>
  </w:style>
  <w:style w:type="character" w:customStyle="1" w:styleId="BodyTextIndent3Char">
    <w:name w:val="Body Text Indent 3 Char"/>
    <w:uiPriority w:val="99"/>
    <w:semiHidden/>
    <w:locked/>
    <w:rsid w:val="00ED17F3"/>
    <w:rPr>
      <w:rFonts w:cs="Times New Roman"/>
      <w:sz w:val="16"/>
      <w:szCs w:val="16"/>
    </w:rPr>
  </w:style>
  <w:style w:type="paragraph" w:customStyle="1" w:styleId="Style5">
    <w:name w:val="Style5"/>
    <w:basedOn w:val="Normal"/>
    <w:rsid w:val="00ED17F3"/>
    <w:pPr>
      <w:tabs>
        <w:tab w:val="num" w:pos="927"/>
      </w:tabs>
      <w:spacing w:after="0" w:line="240" w:lineRule="auto"/>
      <w:ind w:left="567"/>
    </w:pPr>
    <w:rPr>
      <w:rFonts w:ascii="Times New Roman" w:eastAsia="Times New Roman" w:hAnsi="Times New Roman"/>
      <w:sz w:val="24"/>
      <w:szCs w:val="24"/>
      <w:lang w:eastAsia="fr-FR"/>
    </w:rPr>
  </w:style>
  <w:style w:type="character" w:customStyle="1" w:styleId="HeaderChar">
    <w:name w:val="Header Char"/>
    <w:uiPriority w:val="99"/>
    <w:semiHidden/>
    <w:locked/>
    <w:rsid w:val="00ED17F3"/>
    <w:rPr>
      <w:rFonts w:cs="Times New Roman"/>
      <w:sz w:val="24"/>
      <w:szCs w:val="24"/>
    </w:rPr>
  </w:style>
  <w:style w:type="paragraph" w:customStyle="1" w:styleId="Corpsdetexte23">
    <w:name w:val="Corps de texte 23"/>
    <w:basedOn w:val="Normal"/>
    <w:rsid w:val="00ED17F3"/>
    <w:pPr>
      <w:tabs>
        <w:tab w:val="left" w:pos="-720"/>
      </w:tabs>
      <w:suppressAutoHyphens/>
      <w:spacing w:after="0" w:line="240" w:lineRule="auto"/>
      <w:jc w:val="both"/>
    </w:pPr>
    <w:rPr>
      <w:rFonts w:ascii="Times New Roman" w:eastAsia="Times New Roman" w:hAnsi="Times New Roman"/>
      <w:sz w:val="24"/>
      <w:szCs w:val="20"/>
      <w:lang w:eastAsia="fr-FR"/>
    </w:rPr>
  </w:style>
  <w:style w:type="paragraph" w:customStyle="1" w:styleId="ps">
    <w:name w:val="ps"/>
    <w:basedOn w:val="Normal"/>
    <w:rsid w:val="00ED17F3"/>
    <w:pPr>
      <w:keepLines/>
      <w:overflowPunct w:val="0"/>
      <w:autoSpaceDE w:val="0"/>
      <w:autoSpaceDN w:val="0"/>
      <w:adjustRightInd w:val="0"/>
      <w:spacing w:before="200" w:after="0" w:line="240" w:lineRule="auto"/>
      <w:jc w:val="both"/>
    </w:pPr>
    <w:rPr>
      <w:rFonts w:ascii="Arial" w:eastAsia="Times New Roman" w:hAnsi="Arial"/>
      <w:sz w:val="24"/>
      <w:szCs w:val="20"/>
      <w:lang w:eastAsia="fr-FR"/>
    </w:rPr>
  </w:style>
  <w:style w:type="paragraph" w:customStyle="1" w:styleId="p1">
    <w:name w:val="p1"/>
    <w:basedOn w:val="Normal"/>
    <w:qFormat/>
    <w:rsid w:val="00ED17F3"/>
    <w:pPr>
      <w:widowControl w:val="0"/>
      <w:tabs>
        <w:tab w:val="left" w:pos="720"/>
      </w:tabs>
      <w:spacing w:after="0" w:line="260" w:lineRule="auto"/>
    </w:pPr>
    <w:rPr>
      <w:rFonts w:ascii="Times New Roman" w:eastAsia="Times New Roman" w:hAnsi="Times New Roman"/>
      <w:sz w:val="24"/>
      <w:szCs w:val="24"/>
      <w:lang w:eastAsia="fr-FR"/>
    </w:rPr>
  </w:style>
  <w:style w:type="paragraph" w:customStyle="1" w:styleId="BodyText21">
    <w:name w:val="Body Text 21"/>
    <w:basedOn w:val="Normal"/>
    <w:qFormat/>
    <w:rsid w:val="00ED17F3"/>
    <w:pPr>
      <w:numPr>
        <w:numId w:val="61"/>
      </w:numPr>
      <w:tabs>
        <w:tab w:val="clear" w:pos="360"/>
        <w:tab w:val="left" w:pos="-720"/>
      </w:tabs>
      <w:suppressAutoHyphens/>
      <w:spacing w:after="0" w:line="240" w:lineRule="auto"/>
      <w:ind w:left="0" w:firstLine="0"/>
      <w:jc w:val="both"/>
    </w:pPr>
    <w:rPr>
      <w:rFonts w:ascii="Times New Roman" w:eastAsia="Times New Roman" w:hAnsi="Times New Roman"/>
      <w:sz w:val="24"/>
      <w:szCs w:val="20"/>
      <w:lang w:eastAsia="fr-FR"/>
    </w:rPr>
  </w:style>
  <w:style w:type="character" w:customStyle="1" w:styleId="BalloonTextChar">
    <w:name w:val="Balloon Text Char"/>
    <w:uiPriority w:val="99"/>
    <w:semiHidden/>
    <w:locked/>
    <w:rsid w:val="00ED17F3"/>
    <w:rPr>
      <w:rFonts w:cs="Times New Roman"/>
      <w:sz w:val="2"/>
    </w:rPr>
  </w:style>
  <w:style w:type="paragraph" w:customStyle="1" w:styleId="NomdesocitUn">
    <w:name w:val="Nom de société Un"/>
    <w:basedOn w:val="Normal"/>
    <w:next w:val="Intitulduposte"/>
    <w:rsid w:val="00ED17F3"/>
    <w:pPr>
      <w:tabs>
        <w:tab w:val="left" w:pos="1440"/>
        <w:tab w:val="right" w:pos="6480"/>
      </w:tabs>
      <w:spacing w:before="60" w:after="0" w:line="220" w:lineRule="atLeast"/>
    </w:pPr>
    <w:rPr>
      <w:rFonts w:ascii="Garamond" w:eastAsia="Times New Roman" w:hAnsi="Garamond"/>
      <w:szCs w:val="20"/>
      <w:lang w:eastAsia="fr-FR"/>
    </w:rPr>
  </w:style>
  <w:style w:type="paragraph" w:customStyle="1" w:styleId="Intitulduposte">
    <w:name w:val="Intitulé du poste"/>
    <w:next w:val="Russite"/>
    <w:rsid w:val="00ED17F3"/>
    <w:pPr>
      <w:numPr>
        <w:numId w:val="62"/>
      </w:numPr>
      <w:tabs>
        <w:tab w:val="clear" w:pos="360"/>
      </w:tabs>
      <w:spacing w:before="40" w:after="40" w:line="220" w:lineRule="atLeast"/>
      <w:ind w:left="0" w:firstLine="0"/>
    </w:pPr>
    <w:rPr>
      <w:rFonts w:ascii="Garamond" w:eastAsia="Times New Roman" w:hAnsi="Garamond"/>
      <w:i/>
      <w:spacing w:val="5"/>
      <w:sz w:val="23"/>
      <w:lang w:val="en-US"/>
    </w:rPr>
  </w:style>
  <w:style w:type="paragraph" w:customStyle="1" w:styleId="Normal1">
    <w:name w:val="Normal1"/>
    <w:basedOn w:val="Normal"/>
    <w:link w:val="normalCar"/>
    <w:qFormat/>
    <w:rsid w:val="00ED17F3"/>
    <w:pPr>
      <w:spacing w:after="0" w:line="240" w:lineRule="auto"/>
      <w:jc w:val="both"/>
    </w:pPr>
    <w:rPr>
      <w:rFonts w:ascii="Times New Roman" w:eastAsia="Times New Roman" w:hAnsi="Times New Roman"/>
      <w:sz w:val="24"/>
      <w:szCs w:val="20"/>
      <w:lang w:eastAsia="fr-FR"/>
    </w:rPr>
  </w:style>
  <w:style w:type="paragraph" w:customStyle="1" w:styleId="PuceGrise">
    <w:name w:val="Puce Grise"/>
    <w:basedOn w:val="Titre7"/>
    <w:rsid w:val="00ED17F3"/>
    <w:pPr>
      <w:numPr>
        <w:ilvl w:val="0"/>
        <w:numId w:val="0"/>
      </w:numPr>
      <w:tabs>
        <w:tab w:val="left" w:pos="288"/>
        <w:tab w:val="num" w:pos="1211"/>
      </w:tabs>
      <w:suppressAutoHyphens w:val="0"/>
      <w:spacing w:before="20" w:after="20" w:line="240" w:lineRule="auto"/>
      <w:ind w:left="851"/>
    </w:pPr>
    <w:rPr>
      <w:rFonts w:ascii="Arial" w:eastAsia="Times New Roman" w:hAnsi="Arial" w:cs="Times New Roman"/>
      <w:color w:val="000000"/>
      <w:sz w:val="20"/>
      <w:szCs w:val="20"/>
      <w:lang w:eastAsia="fr-FR"/>
    </w:rPr>
  </w:style>
  <w:style w:type="paragraph" w:customStyle="1" w:styleId="Intituldetable">
    <w:name w:val="Intitulé de table"/>
    <w:basedOn w:val="Normal"/>
    <w:rsid w:val="00ED17F3"/>
    <w:pPr>
      <w:spacing w:before="20" w:after="20" w:line="240" w:lineRule="auto"/>
    </w:pPr>
    <w:rPr>
      <w:rFonts w:ascii="Arial" w:eastAsia="Times New Roman" w:hAnsi="Arial"/>
      <w:i/>
      <w:iCs/>
      <w:sz w:val="20"/>
      <w:szCs w:val="20"/>
      <w:lang w:eastAsia="fr-FR"/>
    </w:rPr>
  </w:style>
  <w:style w:type="paragraph" w:customStyle="1" w:styleId="PuceRouge">
    <w:name w:val="Puce Rouge"/>
    <w:basedOn w:val="Titre7"/>
    <w:rsid w:val="00ED17F3"/>
    <w:pPr>
      <w:numPr>
        <w:ilvl w:val="0"/>
        <w:numId w:val="60"/>
      </w:numPr>
      <w:tabs>
        <w:tab w:val="clear" w:pos="1211"/>
        <w:tab w:val="left" w:pos="288"/>
        <w:tab w:val="num" w:pos="360"/>
      </w:tabs>
      <w:suppressAutoHyphens w:val="0"/>
      <w:spacing w:before="20" w:after="20" w:line="240" w:lineRule="auto"/>
      <w:ind w:left="360" w:hanging="360"/>
    </w:pPr>
    <w:rPr>
      <w:rFonts w:ascii="Arial" w:eastAsia="Times New Roman" w:hAnsi="Arial" w:cs="Times New Roman"/>
      <w:b/>
      <w:bCs/>
      <w:color w:val="1F4D78"/>
      <w:sz w:val="20"/>
      <w:szCs w:val="20"/>
      <w:lang w:eastAsia="fr-FR"/>
    </w:rPr>
  </w:style>
  <w:style w:type="paragraph" w:customStyle="1" w:styleId="IntitulLangues">
    <w:name w:val="Intitulé Langues"/>
    <w:basedOn w:val="Normal"/>
    <w:rsid w:val="00ED17F3"/>
    <w:pPr>
      <w:spacing w:before="20" w:after="20" w:line="240" w:lineRule="auto"/>
      <w:jc w:val="center"/>
    </w:pPr>
    <w:rPr>
      <w:rFonts w:ascii="Arial" w:eastAsia="Times New Roman" w:hAnsi="Arial"/>
      <w:i/>
      <w:iCs/>
      <w:color w:val="000000"/>
      <w:sz w:val="20"/>
      <w:szCs w:val="20"/>
      <w:lang w:eastAsia="fr-FR"/>
    </w:rPr>
  </w:style>
  <w:style w:type="paragraph" w:customStyle="1" w:styleId="Normalarcentr">
    <w:name w:val="Normal aéré centré"/>
    <w:basedOn w:val="Normal"/>
    <w:rsid w:val="00ED17F3"/>
    <w:pPr>
      <w:tabs>
        <w:tab w:val="left" w:pos="426"/>
      </w:tabs>
      <w:spacing w:before="20" w:after="20" w:line="240" w:lineRule="auto"/>
      <w:jc w:val="center"/>
    </w:pPr>
    <w:rPr>
      <w:rFonts w:ascii="Arial" w:eastAsia="Times New Roman" w:hAnsi="Arial"/>
      <w:sz w:val="20"/>
      <w:szCs w:val="20"/>
      <w:lang w:eastAsia="fr-FR"/>
    </w:rPr>
  </w:style>
  <w:style w:type="paragraph" w:customStyle="1" w:styleId="PuceBruneExprience">
    <w:name w:val="Puce Brune Expérience"/>
    <w:basedOn w:val="Normal"/>
    <w:rsid w:val="00ED17F3"/>
    <w:pPr>
      <w:widowControl w:val="0"/>
      <w:tabs>
        <w:tab w:val="left" w:pos="288"/>
      </w:tabs>
      <w:spacing w:before="20" w:after="20" w:line="240" w:lineRule="auto"/>
    </w:pPr>
    <w:rPr>
      <w:rFonts w:ascii="Arial" w:eastAsia="Times New Roman" w:hAnsi="Arial"/>
      <w:sz w:val="20"/>
      <w:szCs w:val="20"/>
      <w:lang w:eastAsia="fr-FR"/>
    </w:rPr>
  </w:style>
  <w:style w:type="paragraph" w:customStyle="1" w:styleId="Catgorie">
    <w:name w:val="Catégorie"/>
    <w:basedOn w:val="Normal"/>
    <w:rsid w:val="00ED17F3"/>
    <w:pPr>
      <w:tabs>
        <w:tab w:val="left" w:pos="2552"/>
      </w:tabs>
      <w:spacing w:before="20" w:after="20" w:line="240" w:lineRule="auto"/>
    </w:pPr>
    <w:rPr>
      <w:rFonts w:ascii="Arial" w:eastAsia="Times New Roman" w:hAnsi="Arial"/>
      <w:b/>
      <w:bCs/>
      <w:i/>
      <w:iCs/>
      <w:color w:val="000000"/>
      <w:sz w:val="20"/>
      <w:szCs w:val="20"/>
      <w:lang w:eastAsia="fr-FR"/>
    </w:rPr>
  </w:style>
  <w:style w:type="paragraph" w:customStyle="1" w:styleId="Corpsdetexte31">
    <w:name w:val="Corps de texte 31"/>
    <w:basedOn w:val="Normal"/>
    <w:qFormat/>
    <w:rsid w:val="00ED17F3"/>
    <w:pPr>
      <w:spacing w:after="0" w:line="240" w:lineRule="auto"/>
    </w:pPr>
    <w:rPr>
      <w:rFonts w:ascii="Times New Roman" w:eastAsia="Times New Roman" w:hAnsi="Times New Roman"/>
      <w:sz w:val="24"/>
      <w:szCs w:val="24"/>
      <w:lang w:eastAsia="fr-FR"/>
    </w:rPr>
  </w:style>
  <w:style w:type="character" w:customStyle="1" w:styleId="FootnoteTextChar1">
    <w:name w:val="Footnote Text Char1"/>
    <w:aliases w:val="Footnote Text Char Char,Footnote Text Char Char Char1 Char,Footnote Text Char1 Char Char Char1 Char,Footnote Text Char1 Char1 Char Char,Footnote Text Char Char Char Char Char,single space Char,fn Char,FOOTNOTES Char,footnote text Cha"/>
    <w:locked/>
    <w:rsid w:val="00ED17F3"/>
    <w:rPr>
      <w:rFonts w:cs="Times New Roman"/>
      <w:sz w:val="20"/>
      <w:szCs w:val="20"/>
    </w:rPr>
  </w:style>
  <w:style w:type="paragraph" w:customStyle="1" w:styleId="Pasdetitre">
    <w:name w:val="Pas de titre"/>
    <w:basedOn w:val="Normal"/>
    <w:rsid w:val="00ED17F3"/>
    <w:pPr>
      <w:spacing w:before="220" w:after="0" w:line="220" w:lineRule="atLeast"/>
    </w:pPr>
    <w:rPr>
      <w:rFonts w:ascii="Garamond" w:eastAsia="Times New Roman" w:hAnsi="Garamond"/>
      <w:caps/>
      <w:spacing w:val="15"/>
      <w:sz w:val="20"/>
      <w:szCs w:val="20"/>
      <w:lang w:eastAsia="fr-FR"/>
    </w:rPr>
  </w:style>
  <w:style w:type="paragraph" w:customStyle="1" w:styleId="Adresse1">
    <w:name w:val="Adresse 1"/>
    <w:basedOn w:val="Normal"/>
    <w:rsid w:val="00ED17F3"/>
    <w:pPr>
      <w:framePr w:w="2400" w:wrap="notBeside" w:vAnchor="page" w:hAnchor="page" w:x="8065" w:y="1009" w:anchorLock="1"/>
      <w:spacing w:after="0" w:line="200" w:lineRule="atLeast"/>
    </w:pPr>
    <w:rPr>
      <w:rFonts w:ascii="Times New Roman" w:eastAsia="Times New Roman" w:hAnsi="Times New Roman"/>
      <w:sz w:val="16"/>
      <w:szCs w:val="20"/>
      <w:lang w:eastAsia="fr-FR"/>
    </w:rPr>
  </w:style>
  <w:style w:type="paragraph" w:customStyle="1" w:styleId="Objectifs">
    <w:name w:val="Objectifs"/>
    <w:basedOn w:val="Normal"/>
    <w:next w:val="Corpsdetexte"/>
    <w:rsid w:val="00ED17F3"/>
    <w:pPr>
      <w:spacing w:before="220" w:after="220" w:line="220" w:lineRule="atLeast"/>
    </w:pPr>
    <w:rPr>
      <w:rFonts w:ascii="Times New Roman" w:eastAsia="Times New Roman" w:hAnsi="Times New Roman"/>
      <w:sz w:val="20"/>
      <w:szCs w:val="20"/>
      <w:lang w:eastAsia="fr-FR"/>
    </w:rPr>
  </w:style>
  <w:style w:type="paragraph" w:customStyle="1" w:styleId="Titresection">
    <w:name w:val="Titre section"/>
    <w:basedOn w:val="Catgorie"/>
    <w:rsid w:val="00ED17F3"/>
    <w:pPr>
      <w:keepNext/>
      <w:tabs>
        <w:tab w:val="clear" w:pos="2552"/>
        <w:tab w:val="left" w:pos="3510"/>
      </w:tabs>
      <w:spacing w:after="0"/>
    </w:pPr>
  </w:style>
  <w:style w:type="paragraph" w:customStyle="1" w:styleId="Betreff">
    <w:name w:val="Betreff"/>
    <w:basedOn w:val="Normal"/>
    <w:rsid w:val="00ED17F3"/>
    <w:pPr>
      <w:spacing w:after="0" w:line="290" w:lineRule="atLeast"/>
    </w:pPr>
    <w:rPr>
      <w:rFonts w:ascii="Frutiger 45 Light" w:eastAsia="Times New Roman" w:hAnsi="Frutiger 45 Light"/>
      <w:b/>
      <w:spacing w:val="4"/>
      <w:sz w:val="20"/>
      <w:szCs w:val="24"/>
      <w:lang w:val="fr-CH" w:eastAsia="de-DE"/>
    </w:rPr>
  </w:style>
  <w:style w:type="paragraph" w:customStyle="1" w:styleId="Empfnger">
    <w:name w:val="Empfänger"/>
    <w:basedOn w:val="Normal"/>
    <w:rsid w:val="00ED17F3"/>
    <w:pPr>
      <w:spacing w:after="0" w:line="240" w:lineRule="auto"/>
      <w:ind w:left="5954"/>
    </w:pPr>
    <w:rPr>
      <w:rFonts w:ascii="Frutiger 45 Light" w:eastAsia="Times New Roman" w:hAnsi="Frutiger 45 Light"/>
      <w:spacing w:val="4"/>
      <w:sz w:val="20"/>
      <w:szCs w:val="24"/>
      <w:lang w:val="fr-CH" w:eastAsia="de-DE"/>
    </w:rPr>
  </w:style>
  <w:style w:type="paragraph" w:customStyle="1" w:styleId="Titredesection">
    <w:name w:val="Titre de section"/>
    <w:basedOn w:val="Normal"/>
    <w:next w:val="Normal"/>
    <w:autoRedefine/>
    <w:rsid w:val="00ED17F3"/>
    <w:pPr>
      <w:shd w:val="pct10" w:color="auto" w:fill="auto"/>
      <w:spacing w:before="120" w:after="0" w:line="280" w:lineRule="atLeast"/>
    </w:pPr>
    <w:rPr>
      <w:rFonts w:ascii="Arial" w:eastAsia="Times New Roman" w:hAnsi="Arial" w:cs="Arial"/>
      <w:b/>
      <w:bCs/>
      <w:spacing w:val="-10"/>
      <w:position w:val="7"/>
      <w:sz w:val="24"/>
      <w:szCs w:val="24"/>
      <w:lang w:eastAsia="fr-FR"/>
    </w:rPr>
  </w:style>
  <w:style w:type="paragraph" w:customStyle="1" w:styleId="Papiermarg">
    <w:name w:val="Papier margé"/>
    <w:basedOn w:val="Normal"/>
    <w:rsid w:val="00ED17F3"/>
    <w:pPr>
      <w:numPr>
        <w:numId w:val="63"/>
      </w:numPr>
      <w:tabs>
        <w:tab w:val="clear" w:pos="927"/>
        <w:tab w:val="left" w:pos="1418"/>
        <w:tab w:val="right" w:pos="17712"/>
      </w:tabs>
      <w:spacing w:after="0" w:line="192" w:lineRule="auto"/>
      <w:ind w:left="425"/>
      <w:jc w:val="both"/>
    </w:pPr>
    <w:rPr>
      <w:rFonts w:ascii="Times New Roman" w:eastAsia="Times New Roman" w:hAnsi="Times New Roman"/>
      <w:szCs w:val="20"/>
      <w:lang w:eastAsia="fr-FR"/>
    </w:rPr>
  </w:style>
  <w:style w:type="paragraph" w:customStyle="1" w:styleId="sous-titre0">
    <w:name w:val="sous-titre"/>
    <w:basedOn w:val="Normal"/>
    <w:next w:val="texte"/>
    <w:rsid w:val="00ED17F3"/>
    <w:pPr>
      <w:spacing w:after="0" w:line="240" w:lineRule="auto"/>
      <w:ind w:left="280"/>
    </w:pPr>
    <w:rPr>
      <w:rFonts w:ascii="Times" w:eastAsia="Times New Roman" w:hAnsi="Times"/>
      <w:b/>
      <w:sz w:val="24"/>
      <w:szCs w:val="20"/>
      <w:lang w:eastAsia="fr-FR"/>
    </w:rPr>
  </w:style>
  <w:style w:type="paragraph" w:customStyle="1" w:styleId="texte">
    <w:name w:val="texte"/>
    <w:basedOn w:val="Normal"/>
    <w:rsid w:val="00ED17F3"/>
    <w:pPr>
      <w:spacing w:after="0" w:line="240" w:lineRule="auto"/>
      <w:ind w:left="280" w:firstLine="560"/>
      <w:jc w:val="both"/>
    </w:pPr>
    <w:rPr>
      <w:rFonts w:ascii="Times" w:eastAsia="Times New Roman" w:hAnsi="Times"/>
      <w:sz w:val="24"/>
      <w:szCs w:val="20"/>
      <w:lang w:eastAsia="fr-FR"/>
    </w:rPr>
  </w:style>
  <w:style w:type="paragraph" w:styleId="Index1">
    <w:name w:val="index 1"/>
    <w:basedOn w:val="Normal"/>
    <w:next w:val="Normal"/>
    <w:autoRedefine/>
    <w:uiPriority w:val="99"/>
    <w:qFormat/>
    <w:rsid w:val="00ED17F3"/>
    <w:pPr>
      <w:spacing w:after="0" w:line="240" w:lineRule="auto"/>
      <w:ind w:left="240" w:hanging="240"/>
    </w:pPr>
    <w:rPr>
      <w:rFonts w:ascii="Times New Roman" w:eastAsia="Times New Roman" w:hAnsi="Times New Roman"/>
      <w:sz w:val="24"/>
      <w:szCs w:val="24"/>
      <w:lang w:eastAsia="fr-FR"/>
    </w:rPr>
  </w:style>
  <w:style w:type="paragraph" w:customStyle="1" w:styleId="Normal2">
    <w:name w:val="Normal2"/>
    <w:basedOn w:val="Sous-titre"/>
    <w:autoRedefine/>
    <w:qFormat/>
    <w:rsid w:val="00ED17F3"/>
    <w:pPr>
      <w:tabs>
        <w:tab w:val="left" w:pos="2268"/>
      </w:tabs>
    </w:pPr>
    <w:rPr>
      <w:rFonts w:ascii="Times New Roman" w:hAnsi="Times New Roman"/>
      <w:b/>
      <w:sz w:val="24"/>
      <w:szCs w:val="24"/>
    </w:rPr>
  </w:style>
  <w:style w:type="paragraph" w:customStyle="1" w:styleId="Lignederfrence">
    <w:name w:val="Ligne de référence"/>
    <w:basedOn w:val="Corpsdetexte"/>
    <w:rsid w:val="00ED17F3"/>
    <w:pPr>
      <w:tabs>
        <w:tab w:val="left" w:pos="2268"/>
      </w:tabs>
      <w:spacing w:after="0" w:line="240" w:lineRule="auto"/>
      <w:jc w:val="both"/>
    </w:pPr>
    <w:rPr>
      <w:rFonts w:ascii="Arial" w:eastAsia="Times New Roman" w:hAnsi="Arial" w:cs="Arial"/>
      <w:b/>
      <w:bCs/>
      <w:sz w:val="24"/>
      <w:szCs w:val="28"/>
      <w:u w:val="single"/>
      <w:lang w:eastAsia="fr-FR"/>
    </w:rPr>
  </w:style>
  <w:style w:type="paragraph" w:customStyle="1" w:styleId="Nomdesocit">
    <w:name w:val="Nom de société"/>
    <w:basedOn w:val="Normal"/>
    <w:next w:val="Normal"/>
    <w:autoRedefine/>
    <w:rsid w:val="00ED17F3"/>
    <w:pPr>
      <w:numPr>
        <w:numId w:val="64"/>
      </w:numPr>
      <w:tabs>
        <w:tab w:val="clear" w:pos="360"/>
      </w:tabs>
      <w:spacing w:after="0" w:line="240" w:lineRule="auto"/>
      <w:ind w:left="0" w:firstLine="0"/>
    </w:pPr>
    <w:rPr>
      <w:rFonts w:ascii="Arial" w:eastAsia="Times New Roman" w:hAnsi="Arial" w:cs="Arial"/>
      <w:b/>
      <w:sz w:val="24"/>
      <w:szCs w:val="20"/>
      <w:lang w:eastAsia="fr-FR"/>
    </w:rPr>
  </w:style>
  <w:style w:type="paragraph" w:customStyle="1" w:styleId="Corpsdetexte32">
    <w:name w:val="Corps de texte 32"/>
    <w:basedOn w:val="Normal"/>
    <w:rsid w:val="00ED17F3"/>
    <w:pPr>
      <w:spacing w:after="0" w:line="240" w:lineRule="auto"/>
    </w:pPr>
    <w:rPr>
      <w:rFonts w:ascii="Times New Roman" w:eastAsia="Times New Roman" w:hAnsi="Times New Roman"/>
      <w:sz w:val="24"/>
      <w:szCs w:val="20"/>
      <w:lang w:eastAsia="fr-FR"/>
    </w:rPr>
  </w:style>
  <w:style w:type="paragraph" w:customStyle="1" w:styleId="Tiret1">
    <w:name w:val="Tiret 1"/>
    <w:basedOn w:val="Normal"/>
    <w:autoRedefine/>
    <w:rsid w:val="00ED17F3"/>
    <w:pPr>
      <w:tabs>
        <w:tab w:val="left" w:pos="2268"/>
      </w:tabs>
      <w:ind w:left="357" w:hanging="357"/>
    </w:pPr>
    <w:rPr>
      <w:rFonts w:ascii="Times" w:eastAsia="Times New Roman" w:hAnsi="Times"/>
      <w:b/>
      <w:szCs w:val="20"/>
      <w:lang w:eastAsia="fr-FR"/>
    </w:rPr>
  </w:style>
  <w:style w:type="paragraph" w:customStyle="1" w:styleId="Corpsdetexte24">
    <w:name w:val="Corps de texte 24"/>
    <w:basedOn w:val="Normal"/>
    <w:rsid w:val="00ED17F3"/>
    <w:pPr>
      <w:tabs>
        <w:tab w:val="left" w:pos="-720"/>
      </w:tabs>
      <w:suppressAutoHyphens/>
      <w:spacing w:after="0" w:line="240" w:lineRule="auto"/>
      <w:jc w:val="both"/>
    </w:pPr>
    <w:rPr>
      <w:rFonts w:ascii="Times New Roman" w:eastAsia="Times New Roman" w:hAnsi="Times New Roman"/>
      <w:sz w:val="24"/>
      <w:szCs w:val="20"/>
      <w:lang w:eastAsia="fr-FR"/>
    </w:rPr>
  </w:style>
  <w:style w:type="paragraph" w:customStyle="1" w:styleId="Corpsdetexte33">
    <w:name w:val="Corps de texte 33"/>
    <w:basedOn w:val="Normal"/>
    <w:rsid w:val="00ED17F3"/>
    <w:pPr>
      <w:spacing w:after="0" w:line="240" w:lineRule="auto"/>
    </w:pPr>
    <w:rPr>
      <w:rFonts w:ascii="Times New Roman" w:eastAsia="Times New Roman" w:hAnsi="Times New Roman"/>
      <w:sz w:val="24"/>
      <w:szCs w:val="20"/>
      <w:lang w:eastAsia="fr-FR"/>
    </w:rPr>
  </w:style>
  <w:style w:type="paragraph" w:customStyle="1" w:styleId="Paragraphedeliste2">
    <w:name w:val="Paragraphe de liste2"/>
    <w:basedOn w:val="Normal"/>
    <w:qFormat/>
    <w:rsid w:val="00ED17F3"/>
    <w:pPr>
      <w:spacing w:after="0" w:line="240" w:lineRule="auto"/>
      <w:ind w:left="720"/>
    </w:pPr>
    <w:rPr>
      <w:rFonts w:ascii="Times New Roman" w:eastAsia="Times New Roman" w:hAnsi="Times New Roman"/>
      <w:sz w:val="24"/>
      <w:szCs w:val="24"/>
      <w:lang w:eastAsia="fr-FR"/>
    </w:rPr>
  </w:style>
  <w:style w:type="paragraph" w:customStyle="1" w:styleId="Titredetablejuridique">
    <w:name w:val="Titre de table juridique"/>
    <w:basedOn w:val="Normal"/>
    <w:rsid w:val="00ED17F3"/>
    <w:pPr>
      <w:widowControl w:val="0"/>
      <w:tabs>
        <w:tab w:val="right" w:pos="9360"/>
      </w:tabs>
      <w:suppressAutoHyphens/>
      <w:autoSpaceDE w:val="0"/>
      <w:autoSpaceDN w:val="0"/>
      <w:adjustRightInd w:val="0"/>
      <w:spacing w:after="0" w:line="240" w:lineRule="atLeast"/>
    </w:pPr>
    <w:rPr>
      <w:rFonts w:ascii="Univers" w:eastAsia="Times New Roman" w:hAnsi="Univers"/>
      <w:sz w:val="20"/>
      <w:szCs w:val="20"/>
      <w:lang w:val="en-US" w:eastAsia="fr-FR"/>
    </w:rPr>
  </w:style>
  <w:style w:type="paragraph" w:customStyle="1" w:styleId="Nom">
    <w:name w:val="Nom"/>
    <w:basedOn w:val="Normal"/>
    <w:next w:val="Normal"/>
    <w:autoRedefine/>
    <w:rsid w:val="00ED17F3"/>
    <w:pPr>
      <w:spacing w:after="440" w:line="240" w:lineRule="atLeast"/>
      <w:ind w:left="2160"/>
    </w:pPr>
    <w:rPr>
      <w:rFonts w:ascii="Times New Roman" w:eastAsia="Times New Roman" w:hAnsi="Times New Roman"/>
      <w:spacing w:val="-20"/>
      <w:sz w:val="48"/>
      <w:szCs w:val="20"/>
      <w:lang w:eastAsia="fr-FR"/>
    </w:rPr>
  </w:style>
  <w:style w:type="paragraph" w:styleId="Textebrut">
    <w:name w:val="Plain Text"/>
    <w:basedOn w:val="Normal"/>
    <w:link w:val="TextebrutCar"/>
    <w:qFormat/>
    <w:rsid w:val="00ED17F3"/>
    <w:pPr>
      <w:spacing w:after="0" w:line="240" w:lineRule="auto"/>
    </w:pPr>
    <w:rPr>
      <w:rFonts w:ascii="Courier New" w:eastAsia="Times New Roman" w:hAnsi="Courier New" w:cs="Courier New"/>
      <w:sz w:val="20"/>
      <w:szCs w:val="20"/>
      <w:lang w:eastAsia="fr-FR"/>
    </w:rPr>
  </w:style>
  <w:style w:type="character" w:customStyle="1" w:styleId="TextebrutCar">
    <w:name w:val="Texte brut Car"/>
    <w:link w:val="Textebrut"/>
    <w:qFormat/>
    <w:rsid w:val="00ED17F3"/>
    <w:rPr>
      <w:rFonts w:ascii="Courier New" w:eastAsia="Times New Roman" w:hAnsi="Courier New" w:cs="Courier New"/>
      <w:sz w:val="20"/>
      <w:szCs w:val="20"/>
      <w:lang w:eastAsia="fr-FR"/>
    </w:rPr>
  </w:style>
  <w:style w:type="character" w:customStyle="1" w:styleId="PlainTextChar">
    <w:name w:val="Plain Text Char"/>
    <w:uiPriority w:val="99"/>
    <w:semiHidden/>
    <w:locked/>
    <w:rsid w:val="00ED17F3"/>
    <w:rPr>
      <w:rFonts w:ascii="Courier New" w:hAnsi="Courier New" w:cs="Courier New"/>
      <w:sz w:val="20"/>
      <w:szCs w:val="20"/>
    </w:rPr>
  </w:style>
  <w:style w:type="paragraph" w:customStyle="1" w:styleId="Textedenotedefin">
    <w:name w:val="Texte de note de fin"/>
    <w:basedOn w:val="Normal"/>
    <w:rsid w:val="00ED17F3"/>
    <w:pPr>
      <w:widowControl w:val="0"/>
      <w:spacing w:after="0" w:line="240" w:lineRule="auto"/>
    </w:pPr>
    <w:rPr>
      <w:rFonts w:ascii="Courier New" w:eastAsia="Times New Roman" w:hAnsi="Courier New"/>
      <w:sz w:val="24"/>
      <w:szCs w:val="20"/>
      <w:lang w:eastAsia="fr-FR"/>
    </w:rPr>
  </w:style>
  <w:style w:type="paragraph" w:customStyle="1" w:styleId="xl25">
    <w:name w:val="xl25"/>
    <w:basedOn w:val="Normal"/>
    <w:rsid w:val="00ED17F3"/>
    <w:pPr>
      <w:spacing w:before="100" w:beforeAutospacing="1" w:after="100" w:afterAutospacing="1" w:line="240" w:lineRule="auto"/>
    </w:pPr>
    <w:rPr>
      <w:rFonts w:ascii="Arial" w:eastAsia="Arial Unicode MS" w:hAnsi="Arial" w:cs="Arial"/>
      <w:lang w:eastAsia="fr-FR"/>
    </w:rPr>
  </w:style>
  <w:style w:type="paragraph" w:customStyle="1" w:styleId="Retrait1">
    <w:name w:val="Retrait 1"/>
    <w:basedOn w:val="Normal"/>
    <w:autoRedefine/>
    <w:rsid w:val="00ED17F3"/>
    <w:pPr>
      <w:spacing w:before="20" w:after="20" w:line="240" w:lineRule="auto"/>
      <w:jc w:val="both"/>
    </w:pPr>
    <w:rPr>
      <w:rFonts w:ascii="Arial" w:eastAsia="Times New Roman" w:hAnsi="Arial"/>
      <w:sz w:val="24"/>
      <w:szCs w:val="20"/>
      <w:lang w:eastAsia="fr-FR"/>
    </w:rPr>
  </w:style>
  <w:style w:type="paragraph" w:customStyle="1" w:styleId="Paragraphedeliste21">
    <w:name w:val="Paragraphe de liste21"/>
    <w:basedOn w:val="Normal"/>
    <w:rsid w:val="00ED17F3"/>
    <w:pPr>
      <w:spacing w:after="0" w:line="240" w:lineRule="auto"/>
      <w:ind w:left="720"/>
    </w:pPr>
    <w:rPr>
      <w:rFonts w:ascii="Times New Roman" w:eastAsia="Times New Roman" w:hAnsi="Times New Roman"/>
      <w:sz w:val="24"/>
      <w:szCs w:val="24"/>
      <w:lang w:eastAsia="fr-FR"/>
    </w:rPr>
  </w:style>
  <w:style w:type="paragraph" w:customStyle="1" w:styleId="Paragraphedeliste3">
    <w:name w:val="Paragraphe de liste3"/>
    <w:basedOn w:val="Normal"/>
    <w:qFormat/>
    <w:rsid w:val="00ED17F3"/>
    <w:pPr>
      <w:spacing w:after="0" w:line="240" w:lineRule="auto"/>
      <w:ind w:left="720"/>
    </w:pPr>
    <w:rPr>
      <w:rFonts w:ascii="Times New Roman" w:eastAsia="Times New Roman" w:hAnsi="Times New Roman"/>
      <w:sz w:val="24"/>
      <w:szCs w:val="24"/>
      <w:lang w:eastAsia="fr-FR"/>
    </w:rPr>
  </w:style>
  <w:style w:type="paragraph" w:customStyle="1" w:styleId="normaltableau">
    <w:name w:val="normal_tableau"/>
    <w:basedOn w:val="Normal"/>
    <w:rsid w:val="00ED17F3"/>
    <w:pPr>
      <w:spacing w:before="120" w:after="120" w:line="240" w:lineRule="auto"/>
      <w:jc w:val="both"/>
    </w:pPr>
    <w:rPr>
      <w:rFonts w:ascii="Optima" w:eastAsia="Times New Roman" w:hAnsi="Optima"/>
      <w:sz w:val="20"/>
      <w:szCs w:val="20"/>
      <w:lang w:val="en-GB" w:eastAsia="de-DE"/>
    </w:rPr>
  </w:style>
  <w:style w:type="character" w:styleId="Lienhypertextesuivivisit">
    <w:name w:val="FollowedHyperlink"/>
    <w:uiPriority w:val="99"/>
    <w:rsid w:val="00ED17F3"/>
    <w:rPr>
      <w:rFonts w:cs="Times New Roman"/>
      <w:color w:val="800080"/>
      <w:u w:val="single"/>
    </w:rPr>
  </w:style>
  <w:style w:type="character" w:styleId="MachinecrireHTML">
    <w:name w:val="HTML Typewriter"/>
    <w:qFormat/>
    <w:rsid w:val="00ED17F3"/>
    <w:rPr>
      <w:rFonts w:ascii="Courier New" w:hAnsi="Courier New" w:cs="Courier New"/>
      <w:sz w:val="20"/>
      <w:szCs w:val="20"/>
    </w:rPr>
  </w:style>
  <w:style w:type="character" w:customStyle="1" w:styleId="WW-DfinitionHTML">
    <w:name w:val="WW-Définition HTML"/>
    <w:rsid w:val="00ED17F3"/>
    <w:rPr>
      <w:rFonts w:cs="Times New Roman"/>
      <w:i/>
      <w:lang w:val="fr-FR"/>
    </w:rPr>
  </w:style>
  <w:style w:type="character" w:customStyle="1" w:styleId="CorpsdetexteCar1">
    <w:name w:val="Corps de texte Car1"/>
    <w:aliases w:val="tx Car1,Body Text jaga Car1,gl Car1"/>
    <w:qFormat/>
    <w:rsid w:val="00ED17F3"/>
    <w:rPr>
      <w:rFonts w:cs="Times New Roman"/>
      <w:sz w:val="24"/>
      <w:szCs w:val="24"/>
    </w:rPr>
  </w:style>
  <w:style w:type="character" w:customStyle="1" w:styleId="Corpsdetexte3Car1">
    <w:name w:val="Corps de texte 3 Car1"/>
    <w:uiPriority w:val="99"/>
    <w:rsid w:val="00ED17F3"/>
    <w:rPr>
      <w:rFonts w:ascii="Bookman Old Style" w:hAnsi="Bookman Old Style" w:cs="Times New Roman"/>
      <w:b/>
      <w:bCs/>
      <w:i/>
      <w:iCs/>
      <w:sz w:val="24"/>
      <w:szCs w:val="24"/>
      <w:lang w:val="fr-FR" w:eastAsia="fr-FR" w:bidi="ar-SA"/>
    </w:rPr>
  </w:style>
  <w:style w:type="character" w:customStyle="1" w:styleId="Style11pt">
    <w:name w:val="Style 11 pt"/>
    <w:rsid w:val="00ED17F3"/>
    <w:rPr>
      <w:rFonts w:ascii="Times New Roman" w:hAnsi="Times New Roman" w:cs="Times New Roman"/>
      <w:sz w:val="24"/>
      <w:szCs w:val="24"/>
    </w:rPr>
  </w:style>
  <w:style w:type="paragraph" w:customStyle="1" w:styleId="GraphicsText">
    <w:name w:val="Graphics Text"/>
    <w:basedOn w:val="Normal"/>
    <w:rsid w:val="00ED17F3"/>
    <w:pPr>
      <w:overflowPunct w:val="0"/>
      <w:autoSpaceDE w:val="0"/>
      <w:autoSpaceDN w:val="0"/>
      <w:adjustRightInd w:val="0"/>
      <w:spacing w:after="0" w:line="264" w:lineRule="auto"/>
      <w:textAlignment w:val="baseline"/>
    </w:pPr>
    <w:rPr>
      <w:rFonts w:ascii="Arial Narrow" w:eastAsia="Times New Roman" w:hAnsi="Arial Narrow"/>
      <w:sz w:val="18"/>
      <w:szCs w:val="20"/>
      <w:lang w:val="en-GB"/>
    </w:rPr>
  </w:style>
  <w:style w:type="paragraph" w:customStyle="1" w:styleId="p16">
    <w:name w:val="p16"/>
    <w:basedOn w:val="Normal"/>
    <w:rsid w:val="00ED17F3"/>
    <w:pPr>
      <w:widowControl w:val="0"/>
      <w:tabs>
        <w:tab w:val="left" w:pos="0"/>
      </w:tabs>
      <w:suppressAutoHyphens/>
      <w:spacing w:before="280" w:after="280" w:line="240" w:lineRule="atLeast"/>
      <w:ind w:firstLine="720"/>
      <w:jc w:val="both"/>
    </w:pPr>
    <w:rPr>
      <w:rFonts w:ascii="Chicago" w:eastAsia="Times New Roman" w:hAnsi="Chicago"/>
      <w:bCs/>
      <w:kern w:val="1"/>
      <w:sz w:val="24"/>
      <w:szCs w:val="24"/>
      <w:lang w:val="en-US" w:eastAsia="ar-SA"/>
    </w:rPr>
  </w:style>
  <w:style w:type="paragraph" w:customStyle="1" w:styleId="Corpsdetexte25">
    <w:name w:val="Corps de texte 25"/>
    <w:basedOn w:val="Normal"/>
    <w:rsid w:val="00ED17F3"/>
    <w:pPr>
      <w:tabs>
        <w:tab w:val="left" w:pos="-720"/>
      </w:tabs>
      <w:suppressAutoHyphens/>
      <w:spacing w:after="0" w:line="240" w:lineRule="auto"/>
      <w:jc w:val="both"/>
    </w:pPr>
    <w:rPr>
      <w:rFonts w:ascii="Times New Roman" w:eastAsia="Times New Roman" w:hAnsi="Times New Roman"/>
      <w:sz w:val="24"/>
      <w:szCs w:val="20"/>
      <w:lang w:eastAsia="fr-FR"/>
    </w:rPr>
  </w:style>
  <w:style w:type="paragraph" w:customStyle="1" w:styleId="Corpsdetexte34">
    <w:name w:val="Corps de texte 34"/>
    <w:basedOn w:val="Normal"/>
    <w:uiPriority w:val="99"/>
    <w:rsid w:val="00ED17F3"/>
    <w:pPr>
      <w:spacing w:after="0" w:line="240" w:lineRule="auto"/>
    </w:pPr>
    <w:rPr>
      <w:rFonts w:ascii="Times New Roman" w:eastAsia="Times New Roman" w:hAnsi="Times New Roman"/>
      <w:sz w:val="24"/>
      <w:szCs w:val="20"/>
      <w:lang w:eastAsia="fr-FR"/>
    </w:rPr>
  </w:style>
  <w:style w:type="paragraph" w:customStyle="1" w:styleId="Paragraphedeliste4">
    <w:name w:val="Paragraphe de liste4"/>
    <w:basedOn w:val="Normal"/>
    <w:qFormat/>
    <w:rsid w:val="00ED17F3"/>
    <w:pPr>
      <w:spacing w:after="0" w:line="240" w:lineRule="auto"/>
      <w:ind w:left="720"/>
    </w:pPr>
    <w:rPr>
      <w:rFonts w:ascii="Times New Roman" w:eastAsia="Times New Roman" w:hAnsi="Times New Roman"/>
      <w:sz w:val="24"/>
      <w:szCs w:val="24"/>
      <w:lang w:eastAsia="fr-FR"/>
    </w:rPr>
  </w:style>
  <w:style w:type="paragraph" w:customStyle="1" w:styleId="Corpsdetexte35">
    <w:name w:val="Corps de texte 35"/>
    <w:basedOn w:val="Normal"/>
    <w:uiPriority w:val="99"/>
    <w:rsid w:val="00ED17F3"/>
    <w:pPr>
      <w:spacing w:after="0" w:line="240" w:lineRule="auto"/>
    </w:pPr>
    <w:rPr>
      <w:rFonts w:ascii="Times New Roman" w:eastAsia="Times New Roman" w:hAnsi="Times New Roman"/>
      <w:sz w:val="24"/>
      <w:szCs w:val="20"/>
      <w:lang w:eastAsia="fr-FR"/>
    </w:rPr>
  </w:style>
  <w:style w:type="paragraph" w:customStyle="1" w:styleId="Corpsdetexte26">
    <w:name w:val="Corps de texte 26"/>
    <w:basedOn w:val="Normal"/>
    <w:rsid w:val="00ED17F3"/>
    <w:pPr>
      <w:tabs>
        <w:tab w:val="left" w:pos="-720"/>
      </w:tabs>
      <w:suppressAutoHyphens/>
      <w:spacing w:after="0" w:line="240" w:lineRule="auto"/>
      <w:jc w:val="both"/>
    </w:pPr>
    <w:rPr>
      <w:rFonts w:ascii="Times New Roman" w:eastAsia="Times New Roman" w:hAnsi="Times New Roman"/>
      <w:sz w:val="24"/>
      <w:szCs w:val="20"/>
      <w:lang w:eastAsia="fr-FR"/>
    </w:rPr>
  </w:style>
  <w:style w:type="paragraph" w:customStyle="1" w:styleId="Paragraphedeliste5">
    <w:name w:val="Paragraphe de liste5"/>
    <w:basedOn w:val="Normal"/>
    <w:qFormat/>
    <w:rsid w:val="00ED17F3"/>
    <w:pPr>
      <w:spacing w:after="0" w:line="240" w:lineRule="auto"/>
      <w:ind w:left="720"/>
      <w:contextualSpacing/>
    </w:pPr>
    <w:rPr>
      <w:rFonts w:ascii="Times New Roman" w:eastAsia="Times New Roman" w:hAnsi="Times New Roman"/>
      <w:sz w:val="24"/>
      <w:szCs w:val="24"/>
      <w:lang w:eastAsia="fr-FR"/>
    </w:rPr>
  </w:style>
  <w:style w:type="paragraph" w:styleId="Liste2">
    <w:name w:val="List 2"/>
    <w:basedOn w:val="Normal"/>
    <w:uiPriority w:val="99"/>
    <w:rsid w:val="00ED17F3"/>
    <w:pPr>
      <w:spacing w:after="0" w:line="240" w:lineRule="auto"/>
      <w:ind w:left="566" w:hanging="283"/>
    </w:pPr>
    <w:rPr>
      <w:rFonts w:ascii="Times New Roman" w:eastAsia="Times New Roman" w:hAnsi="Times New Roman"/>
      <w:sz w:val="24"/>
      <w:szCs w:val="24"/>
      <w:lang w:eastAsia="fr-FR"/>
    </w:rPr>
  </w:style>
  <w:style w:type="paragraph" w:styleId="Date">
    <w:name w:val="Date"/>
    <w:basedOn w:val="Corpsdetexte"/>
    <w:link w:val="DateCar"/>
    <w:uiPriority w:val="99"/>
    <w:rsid w:val="00ED17F3"/>
    <w:pPr>
      <w:keepNext/>
      <w:numPr>
        <w:numId w:val="65"/>
      </w:numPr>
      <w:autoSpaceDE w:val="0"/>
      <w:autoSpaceDN w:val="0"/>
      <w:spacing w:after="220" w:line="240" w:lineRule="atLeast"/>
      <w:jc w:val="both"/>
    </w:pPr>
    <w:rPr>
      <w:rFonts w:ascii="Garamond" w:eastAsia="Times New Roman" w:hAnsi="Garamond"/>
      <w:lang w:eastAsia="fr-FR"/>
    </w:rPr>
  </w:style>
  <w:style w:type="character" w:customStyle="1" w:styleId="DateCar">
    <w:name w:val="Date Car"/>
    <w:link w:val="Date"/>
    <w:uiPriority w:val="99"/>
    <w:rsid w:val="00ED17F3"/>
    <w:rPr>
      <w:rFonts w:ascii="Garamond" w:eastAsia="Times New Roman" w:hAnsi="Garamond"/>
      <w:lang w:eastAsia="fr-FR"/>
    </w:rPr>
  </w:style>
  <w:style w:type="paragraph" w:customStyle="1" w:styleId="Para-grMemIDRCarCar">
    <w:name w:val="Para-gr MemIDR Car Car"/>
    <w:basedOn w:val="Normal"/>
    <w:uiPriority w:val="99"/>
    <w:rsid w:val="00ED17F3"/>
    <w:pPr>
      <w:spacing w:after="0" w:line="360" w:lineRule="auto"/>
      <w:ind w:firstLine="709"/>
      <w:jc w:val="both"/>
    </w:pPr>
    <w:rPr>
      <w:rFonts w:ascii="Times New Roman" w:eastAsia="Times New Roman" w:hAnsi="Times New Roman"/>
      <w:sz w:val="24"/>
      <w:szCs w:val="24"/>
      <w:lang w:eastAsia="fr-FR"/>
    </w:rPr>
  </w:style>
  <w:style w:type="paragraph" w:customStyle="1" w:styleId="18">
    <w:name w:val="1 8"/>
    <w:uiPriority w:val="99"/>
    <w:rsid w:val="00ED17F3"/>
    <w:pPr>
      <w:widowControl w:val="0"/>
      <w:tabs>
        <w:tab w:val="left" w:pos="-720"/>
      </w:tabs>
      <w:suppressAutoHyphens/>
    </w:pPr>
    <w:rPr>
      <w:rFonts w:ascii="CG Times" w:eastAsia="Times New Roman" w:hAnsi="CG Times"/>
      <w:sz w:val="24"/>
      <w:lang w:val="en-US" w:eastAsia="en-US"/>
    </w:rPr>
  </w:style>
  <w:style w:type="paragraph" w:customStyle="1" w:styleId="Aufzhlung2">
    <w:name w:val="Aufzählung2"/>
    <w:basedOn w:val="Normal"/>
    <w:uiPriority w:val="99"/>
    <w:rsid w:val="00ED17F3"/>
    <w:pPr>
      <w:tabs>
        <w:tab w:val="num" w:pos="644"/>
      </w:tabs>
      <w:spacing w:before="60" w:after="0" w:line="300" w:lineRule="atLeast"/>
      <w:ind w:left="567" w:hanging="283"/>
      <w:jc w:val="both"/>
    </w:pPr>
    <w:rPr>
      <w:rFonts w:ascii="Arial" w:eastAsia="Times New Roman" w:hAnsi="Arial"/>
      <w:szCs w:val="20"/>
      <w:lang w:eastAsia="de-DE"/>
    </w:rPr>
  </w:style>
  <w:style w:type="paragraph" w:customStyle="1" w:styleId="xl38">
    <w:name w:val="xl38"/>
    <w:basedOn w:val="Normal"/>
    <w:uiPriority w:val="99"/>
    <w:rsid w:val="00ED17F3"/>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fr-FR"/>
    </w:rPr>
  </w:style>
  <w:style w:type="paragraph" w:customStyle="1" w:styleId="xl56">
    <w:name w:val="xl56"/>
    <w:basedOn w:val="Normal"/>
    <w:uiPriority w:val="99"/>
    <w:rsid w:val="00ED17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sz w:val="24"/>
      <w:szCs w:val="24"/>
      <w:lang w:eastAsia="fr-FR"/>
    </w:rPr>
  </w:style>
  <w:style w:type="paragraph" w:customStyle="1" w:styleId="xl58">
    <w:name w:val="xl58"/>
    <w:basedOn w:val="Normal"/>
    <w:uiPriority w:val="99"/>
    <w:rsid w:val="00ED17F3"/>
    <w:pPr>
      <w:pBdr>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fr-FR"/>
    </w:rPr>
  </w:style>
  <w:style w:type="paragraph" w:customStyle="1" w:styleId="Text2">
    <w:name w:val="Text 2"/>
    <w:basedOn w:val="Normal"/>
    <w:uiPriority w:val="99"/>
    <w:rsid w:val="00ED17F3"/>
    <w:pPr>
      <w:tabs>
        <w:tab w:val="left" w:pos="2161"/>
      </w:tabs>
      <w:suppressAutoHyphens/>
      <w:spacing w:after="240" w:line="240" w:lineRule="auto"/>
      <w:ind w:left="1202"/>
      <w:jc w:val="both"/>
    </w:pPr>
    <w:rPr>
      <w:rFonts w:ascii="Arial" w:eastAsia="Times New Roman" w:hAnsi="Arial"/>
      <w:sz w:val="20"/>
      <w:szCs w:val="20"/>
      <w:lang w:eastAsia="ar-SA"/>
    </w:rPr>
  </w:style>
  <w:style w:type="paragraph" w:customStyle="1" w:styleId="CoverClientName">
    <w:name w:val="CoverClientName"/>
    <w:basedOn w:val="Normal"/>
    <w:next w:val="Normal"/>
    <w:uiPriority w:val="99"/>
    <w:rsid w:val="00ED17F3"/>
    <w:pPr>
      <w:overflowPunct w:val="0"/>
      <w:autoSpaceDE w:val="0"/>
      <w:autoSpaceDN w:val="0"/>
      <w:adjustRightInd w:val="0"/>
      <w:spacing w:after="480" w:line="264" w:lineRule="auto"/>
      <w:textAlignment w:val="baseline"/>
    </w:pPr>
    <w:rPr>
      <w:rFonts w:ascii="Book Antiqua" w:eastAsia="Times New Roman" w:hAnsi="Book Antiqua"/>
      <w:szCs w:val="20"/>
      <w:lang w:val="en-US"/>
    </w:rPr>
  </w:style>
  <w:style w:type="paragraph" w:customStyle="1" w:styleId="CarCarCarCar1">
    <w:name w:val="Car Car Car Car1"/>
    <w:basedOn w:val="Normal"/>
    <w:uiPriority w:val="99"/>
    <w:rsid w:val="00ED17F3"/>
    <w:pPr>
      <w:spacing w:line="240" w:lineRule="exact"/>
    </w:pPr>
    <w:rPr>
      <w:rFonts w:ascii="Arial" w:eastAsia="Times New Roman" w:hAnsi="Arial"/>
      <w:sz w:val="20"/>
      <w:szCs w:val="20"/>
      <w:lang w:val="en-US"/>
    </w:rPr>
  </w:style>
  <w:style w:type="character" w:customStyle="1" w:styleId="CarCar4">
    <w:name w:val="Car Car4"/>
    <w:basedOn w:val="Policepardfaut"/>
    <w:locked/>
    <w:rsid w:val="00ED17F3"/>
  </w:style>
  <w:style w:type="character" w:customStyle="1" w:styleId="CarCar8">
    <w:name w:val="Car Car8"/>
    <w:rsid w:val="00ED17F3"/>
    <w:rPr>
      <w:sz w:val="24"/>
      <w:szCs w:val="24"/>
      <w:lang w:val="fr-FR" w:eastAsia="fr-FR" w:bidi="ar-SA"/>
    </w:rPr>
  </w:style>
  <w:style w:type="character" w:customStyle="1" w:styleId="CarCar5">
    <w:name w:val="Car Car5"/>
    <w:locked/>
    <w:rsid w:val="00ED17F3"/>
    <w:rPr>
      <w:rFonts w:cs="Times New Roman"/>
      <w:sz w:val="24"/>
      <w:szCs w:val="24"/>
    </w:rPr>
  </w:style>
  <w:style w:type="character" w:customStyle="1" w:styleId="CarCar3">
    <w:name w:val="Car Car3"/>
    <w:rsid w:val="00ED17F3"/>
    <w:rPr>
      <w:sz w:val="24"/>
      <w:szCs w:val="24"/>
      <w:lang w:val="fr-FR" w:eastAsia="fr-FR" w:bidi="ar-SA"/>
    </w:rPr>
  </w:style>
  <w:style w:type="paragraph" w:customStyle="1" w:styleId="Corpsdetexte27">
    <w:name w:val="Corps de texte 27"/>
    <w:basedOn w:val="Normal"/>
    <w:rsid w:val="00ED17F3"/>
    <w:pPr>
      <w:tabs>
        <w:tab w:val="left" w:pos="-720"/>
      </w:tabs>
      <w:suppressAutoHyphens/>
      <w:spacing w:after="0" w:line="240" w:lineRule="auto"/>
      <w:jc w:val="both"/>
    </w:pPr>
    <w:rPr>
      <w:rFonts w:ascii="Times New Roman" w:eastAsia="Times New Roman" w:hAnsi="Times New Roman"/>
      <w:sz w:val="24"/>
      <w:szCs w:val="20"/>
      <w:lang w:eastAsia="fr-FR"/>
    </w:rPr>
  </w:style>
  <w:style w:type="paragraph" w:customStyle="1" w:styleId="Paragraphedeliste6">
    <w:name w:val="Paragraphe de liste6"/>
    <w:basedOn w:val="Normal"/>
    <w:qFormat/>
    <w:rsid w:val="00ED17F3"/>
    <w:pPr>
      <w:spacing w:after="0" w:line="240" w:lineRule="auto"/>
      <w:ind w:left="720"/>
    </w:pPr>
    <w:rPr>
      <w:rFonts w:ascii="Times New Roman" w:eastAsia="Times New Roman" w:hAnsi="Times New Roman"/>
      <w:sz w:val="24"/>
      <w:szCs w:val="24"/>
      <w:lang w:eastAsia="fr-FR"/>
    </w:rPr>
  </w:style>
  <w:style w:type="paragraph" w:customStyle="1" w:styleId="Corpsdetexte36">
    <w:name w:val="Corps de texte 36"/>
    <w:basedOn w:val="Normal"/>
    <w:rsid w:val="00ED17F3"/>
    <w:pPr>
      <w:spacing w:after="0" w:line="240" w:lineRule="auto"/>
    </w:pPr>
    <w:rPr>
      <w:rFonts w:ascii="Times New Roman" w:eastAsia="Times New Roman" w:hAnsi="Times New Roman"/>
      <w:sz w:val="24"/>
      <w:szCs w:val="24"/>
      <w:lang w:eastAsia="fr-FR"/>
    </w:rPr>
  </w:style>
  <w:style w:type="paragraph" w:customStyle="1" w:styleId="XecSumm">
    <w:name w:val="XecSumm"/>
    <w:basedOn w:val="Normal"/>
    <w:rsid w:val="00ED17F3"/>
    <w:pPr>
      <w:overflowPunct w:val="0"/>
      <w:autoSpaceDE w:val="0"/>
      <w:autoSpaceDN w:val="0"/>
      <w:adjustRightInd w:val="0"/>
      <w:spacing w:after="0" w:line="264" w:lineRule="auto"/>
      <w:textAlignment w:val="baseline"/>
    </w:pPr>
    <w:rPr>
      <w:rFonts w:ascii="Book Antiqua" w:eastAsia="Times New Roman" w:hAnsi="Book Antiqua"/>
      <w:i/>
      <w:szCs w:val="20"/>
      <w:lang w:val="en-GB"/>
    </w:rPr>
  </w:style>
  <w:style w:type="paragraph" w:customStyle="1" w:styleId="xl41">
    <w:name w:val="xl41"/>
    <w:basedOn w:val="Normal"/>
    <w:rsid w:val="00ED17F3"/>
    <w:pPr>
      <w:spacing w:before="100" w:beforeAutospacing="1" w:after="100" w:afterAutospacing="1" w:line="240" w:lineRule="auto"/>
    </w:pPr>
    <w:rPr>
      <w:rFonts w:ascii="Times New Roman" w:eastAsia="Arial Unicode MS" w:hAnsi="Times New Roman"/>
      <w:sz w:val="20"/>
      <w:szCs w:val="20"/>
      <w:lang w:val="it-IT" w:eastAsia="it-IT"/>
    </w:rPr>
  </w:style>
  <w:style w:type="paragraph" w:customStyle="1" w:styleId="Sansinterligne1">
    <w:name w:val="Sans interligne1"/>
    <w:rsid w:val="00ED17F3"/>
    <w:rPr>
      <w:sz w:val="22"/>
      <w:szCs w:val="22"/>
      <w:lang w:eastAsia="en-US"/>
    </w:rPr>
  </w:style>
  <w:style w:type="character" w:customStyle="1" w:styleId="Style2Car">
    <w:name w:val="Style2 Car"/>
    <w:link w:val="Style2"/>
    <w:rsid w:val="00ED17F3"/>
    <w:rPr>
      <w:rFonts w:ascii="Arial" w:eastAsia="Times New Roman" w:hAnsi="Arial" w:cs="Arial"/>
      <w:b/>
      <w:bCs/>
      <w:sz w:val="28"/>
      <w:szCs w:val="24"/>
      <w:lang w:eastAsia="fr-FR"/>
    </w:rPr>
  </w:style>
  <w:style w:type="paragraph" w:customStyle="1" w:styleId="Listecouleur-Accent11">
    <w:name w:val="Liste couleur - Accent 11"/>
    <w:basedOn w:val="Normal"/>
    <w:uiPriority w:val="34"/>
    <w:rsid w:val="00ED17F3"/>
    <w:pPr>
      <w:spacing w:after="0" w:line="240" w:lineRule="auto"/>
      <w:ind w:left="720"/>
      <w:contextualSpacing/>
      <w:jc w:val="center"/>
    </w:pPr>
    <w:rPr>
      <w:rFonts w:ascii="Times New Roman" w:eastAsia="Times New Roman" w:hAnsi="Times New Roman"/>
      <w:sz w:val="24"/>
      <w:szCs w:val="24"/>
      <w:lang w:val="en-US"/>
    </w:rPr>
  </w:style>
  <w:style w:type="paragraph" w:customStyle="1" w:styleId="Normal5">
    <w:name w:val="Normal5"/>
    <w:basedOn w:val="Normal"/>
    <w:rsid w:val="00ED17F3"/>
    <w:pPr>
      <w:spacing w:after="0" w:line="240" w:lineRule="auto"/>
      <w:jc w:val="both"/>
    </w:pPr>
    <w:rPr>
      <w:rFonts w:ascii="Times New Roman" w:eastAsia="Times New Roman" w:hAnsi="Times New Roman"/>
      <w:sz w:val="24"/>
      <w:szCs w:val="20"/>
      <w:lang w:eastAsia="fr-FR"/>
    </w:rPr>
  </w:style>
  <w:style w:type="paragraph" w:customStyle="1" w:styleId="Normal30">
    <w:name w:val="Normal3"/>
    <w:basedOn w:val="Normal"/>
    <w:rsid w:val="00ED17F3"/>
    <w:pPr>
      <w:spacing w:after="0" w:line="240" w:lineRule="auto"/>
      <w:jc w:val="both"/>
    </w:pPr>
    <w:rPr>
      <w:rFonts w:ascii="Times New Roman" w:eastAsia="Times New Roman" w:hAnsi="Times New Roman"/>
      <w:sz w:val="24"/>
      <w:szCs w:val="20"/>
      <w:lang w:eastAsia="fr-FR"/>
    </w:rPr>
  </w:style>
  <w:style w:type="character" w:customStyle="1" w:styleId="DefaultCar">
    <w:name w:val="Default Car"/>
    <w:link w:val="Default"/>
    <w:qFormat/>
    <w:rsid w:val="00ED17F3"/>
    <w:rPr>
      <w:rFonts w:ascii="Times New Roman" w:eastAsia="Calibri" w:hAnsi="Times New Roman" w:cs="Times New Roman"/>
      <w:color w:val="000000"/>
      <w:sz w:val="24"/>
      <w:szCs w:val="24"/>
      <w:lang w:eastAsia="fr-FR"/>
    </w:rPr>
  </w:style>
  <w:style w:type="paragraph" w:customStyle="1" w:styleId="yiv0684581790msonormal">
    <w:name w:val="yiv0684581790msonormal"/>
    <w:basedOn w:val="Normal"/>
    <w:rsid w:val="00ED17F3"/>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nowrap">
    <w:name w:val="nowrap"/>
    <w:basedOn w:val="Policepardfaut"/>
    <w:qFormat/>
    <w:rsid w:val="00ED17F3"/>
  </w:style>
  <w:style w:type="character" w:customStyle="1" w:styleId="CharacterStyle10">
    <w:name w:val="Character Style 10"/>
    <w:uiPriority w:val="99"/>
    <w:rsid w:val="00ED17F3"/>
    <w:rPr>
      <w:rFonts w:ascii="Helvetica" w:hAnsi="Helvetica"/>
      <w:color w:val="382222"/>
      <w:sz w:val="18"/>
    </w:rPr>
  </w:style>
  <w:style w:type="paragraph" w:customStyle="1" w:styleId="TITRE20">
    <w:name w:val="TITRE2"/>
    <w:basedOn w:val="Titre6"/>
    <w:qFormat/>
    <w:rsid w:val="00ED17F3"/>
    <w:pPr>
      <w:keepNext w:val="0"/>
      <w:keepLines w:val="0"/>
      <w:numPr>
        <w:ilvl w:val="1"/>
        <w:numId w:val="66"/>
      </w:numPr>
      <w:spacing w:before="0" w:line="240" w:lineRule="auto"/>
      <w:jc w:val="both"/>
    </w:pPr>
    <w:rPr>
      <w:rFonts w:ascii="Times New Roman" w:hAnsi="Times New Roman"/>
      <w:b/>
      <w:bCs/>
      <w:color w:val="auto"/>
      <w:sz w:val="24"/>
      <w:szCs w:val="24"/>
    </w:rPr>
  </w:style>
  <w:style w:type="character" w:customStyle="1" w:styleId="TITRE3Car3">
    <w:name w:val="TITRE3 Car"/>
    <w:link w:val="TITRE30"/>
    <w:uiPriority w:val="99"/>
    <w:locked/>
    <w:rsid w:val="00ED17F3"/>
    <w:rPr>
      <w:rFonts w:ascii="Times New Roman" w:eastAsia="Times New Roman" w:hAnsi="Times New Roman"/>
      <w:sz w:val="24"/>
      <w:szCs w:val="24"/>
      <w:lang w:val="fr-CA"/>
    </w:rPr>
  </w:style>
  <w:style w:type="paragraph" w:customStyle="1" w:styleId="TITRE30">
    <w:name w:val="TITRE3"/>
    <w:basedOn w:val="Titre7"/>
    <w:link w:val="TITRE3Car3"/>
    <w:uiPriority w:val="99"/>
    <w:qFormat/>
    <w:rsid w:val="00ED17F3"/>
    <w:pPr>
      <w:keepNext w:val="0"/>
      <w:keepLines w:val="0"/>
      <w:numPr>
        <w:ilvl w:val="2"/>
        <w:numId w:val="66"/>
      </w:numPr>
      <w:suppressAutoHyphens w:val="0"/>
      <w:spacing w:before="0" w:line="240" w:lineRule="auto"/>
      <w:jc w:val="both"/>
    </w:pPr>
    <w:rPr>
      <w:rFonts w:ascii="Times New Roman" w:eastAsia="Times New Roman" w:hAnsi="Times New Roman" w:cs="Times New Roman"/>
      <w:i w:val="0"/>
      <w:iCs w:val="0"/>
      <w:color w:val="auto"/>
      <w:sz w:val="24"/>
      <w:szCs w:val="24"/>
      <w:lang w:val="fr-CA"/>
    </w:rPr>
  </w:style>
  <w:style w:type="paragraph" w:customStyle="1" w:styleId="normalrapport">
    <w:name w:val="normal rapport"/>
    <w:basedOn w:val="Normal"/>
    <w:rsid w:val="00ED17F3"/>
    <w:pPr>
      <w:widowControl w:val="0"/>
      <w:spacing w:after="0" w:line="240" w:lineRule="auto"/>
      <w:jc w:val="both"/>
    </w:pPr>
    <w:rPr>
      <w:rFonts w:ascii="Arial" w:eastAsia="Times New Roman" w:hAnsi="Arial" w:cs="Arial"/>
      <w:lang w:eastAsia="fr-FR"/>
    </w:rPr>
  </w:style>
  <w:style w:type="paragraph" w:customStyle="1" w:styleId="1erretrait">
    <w:name w:val="1er retrait"/>
    <w:basedOn w:val="Normal"/>
    <w:uiPriority w:val="99"/>
    <w:rsid w:val="00ED17F3"/>
    <w:pPr>
      <w:tabs>
        <w:tab w:val="left" w:pos="600"/>
      </w:tabs>
      <w:spacing w:after="240" w:line="240" w:lineRule="exact"/>
      <w:ind w:left="601" w:hanging="601"/>
      <w:jc w:val="both"/>
    </w:pPr>
    <w:rPr>
      <w:rFonts w:ascii="Arial" w:eastAsia="Times New Roman" w:hAnsi="Arial" w:cs="Arial"/>
      <w:lang w:eastAsia="fr-FR"/>
    </w:rPr>
  </w:style>
  <w:style w:type="paragraph" w:customStyle="1" w:styleId="dernieralina1ere">
    <w:name w:val="dernier alinéa 1e re"/>
    <w:basedOn w:val="Normal"/>
    <w:uiPriority w:val="99"/>
    <w:rsid w:val="00ED17F3"/>
    <w:pPr>
      <w:tabs>
        <w:tab w:val="left" w:pos="600"/>
      </w:tabs>
      <w:spacing w:after="480" w:line="240" w:lineRule="exact"/>
      <w:ind w:left="600" w:hanging="600"/>
      <w:jc w:val="both"/>
    </w:pPr>
    <w:rPr>
      <w:rFonts w:ascii="Arial" w:eastAsia="Times New Roman" w:hAnsi="Arial" w:cs="Arial"/>
      <w:lang w:eastAsia="fr-FR"/>
    </w:rPr>
  </w:style>
  <w:style w:type="paragraph" w:customStyle="1" w:styleId="paragraphestandard">
    <w:name w:val="paragraphe standard"/>
    <w:basedOn w:val="Normal"/>
    <w:uiPriority w:val="99"/>
    <w:rsid w:val="00ED17F3"/>
    <w:pPr>
      <w:spacing w:after="480" w:line="240" w:lineRule="exact"/>
      <w:jc w:val="both"/>
    </w:pPr>
    <w:rPr>
      <w:rFonts w:ascii="Arial" w:eastAsia="Times New Roman" w:hAnsi="Arial" w:cs="Arial"/>
      <w:lang w:eastAsia="fr-FR"/>
    </w:rPr>
  </w:style>
  <w:style w:type="paragraph" w:customStyle="1" w:styleId="Titre4CentredCen">
    <w:name w:val="Titre 4.Centred.Cen."/>
    <w:basedOn w:val="Normal"/>
    <w:next w:val="Normal"/>
    <w:rsid w:val="00ED17F3"/>
    <w:pPr>
      <w:keepNext/>
      <w:widowControl w:val="0"/>
      <w:numPr>
        <w:ilvl w:val="3"/>
        <w:numId w:val="68"/>
      </w:numPr>
      <w:tabs>
        <w:tab w:val="left" w:pos="1134"/>
      </w:tabs>
      <w:spacing w:before="120" w:after="240" w:line="240" w:lineRule="auto"/>
      <w:jc w:val="center"/>
      <w:outlineLvl w:val="3"/>
    </w:pPr>
    <w:rPr>
      <w:rFonts w:ascii="Times New Roman" w:eastAsia="Times New Roman" w:hAnsi="Times New Roman" w:cs="Arial"/>
      <w:b/>
      <w:sz w:val="24"/>
      <w:szCs w:val="20"/>
      <w:lang w:eastAsia="fr-FR"/>
    </w:rPr>
  </w:style>
  <w:style w:type="paragraph" w:customStyle="1" w:styleId="Titre5Side">
    <w:name w:val="Titre 5.Side"/>
    <w:basedOn w:val="Normal"/>
    <w:next w:val="Normal"/>
    <w:rsid w:val="00ED17F3"/>
    <w:pPr>
      <w:widowControl w:val="0"/>
      <w:numPr>
        <w:ilvl w:val="4"/>
        <w:numId w:val="68"/>
      </w:numPr>
      <w:tabs>
        <w:tab w:val="left" w:pos="1134"/>
      </w:tabs>
      <w:spacing w:before="120" w:after="240" w:line="240" w:lineRule="auto"/>
      <w:jc w:val="both"/>
      <w:outlineLvl w:val="4"/>
    </w:pPr>
    <w:rPr>
      <w:rFonts w:ascii="Times New Roman Bold" w:eastAsia="Times New Roman" w:hAnsi="Times New Roman Bold" w:cs="Arial"/>
      <w:b/>
      <w:sz w:val="24"/>
      <w:szCs w:val="20"/>
      <w:lang w:eastAsia="fr-FR"/>
    </w:rPr>
  </w:style>
  <w:style w:type="paragraph" w:customStyle="1" w:styleId="msonormal0">
    <w:name w:val="msonormal"/>
    <w:basedOn w:val="Normal"/>
    <w:qFormat/>
    <w:rsid w:val="00ED17F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65">
    <w:name w:val="xl65"/>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66">
    <w:name w:val="xl66"/>
    <w:basedOn w:val="Normal"/>
    <w:qFormat/>
    <w:rsid w:val="00ED17F3"/>
    <w:pPr>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67">
    <w:name w:val="xl67"/>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fr-FR"/>
    </w:rPr>
  </w:style>
  <w:style w:type="paragraph" w:customStyle="1" w:styleId="xl68">
    <w:name w:val="xl68"/>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69">
    <w:name w:val="xl69"/>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70">
    <w:name w:val="xl70"/>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70C0"/>
      <w:sz w:val="24"/>
      <w:szCs w:val="24"/>
      <w:lang w:eastAsia="fr-FR"/>
    </w:rPr>
  </w:style>
  <w:style w:type="paragraph" w:customStyle="1" w:styleId="xl71">
    <w:name w:val="xl71"/>
    <w:basedOn w:val="Normal"/>
    <w:qFormat/>
    <w:rsid w:val="00ED17F3"/>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fr-FR"/>
    </w:rPr>
  </w:style>
  <w:style w:type="paragraph" w:customStyle="1" w:styleId="xl72">
    <w:name w:val="xl72"/>
    <w:basedOn w:val="Normal"/>
    <w:qFormat/>
    <w:rsid w:val="00ED17F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3">
    <w:name w:val="xl73"/>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74">
    <w:name w:val="xl74"/>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75">
    <w:name w:val="xl75"/>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76">
    <w:name w:val="xl76"/>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77">
    <w:name w:val="xl77"/>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8">
    <w:name w:val="xl78"/>
    <w:basedOn w:val="Normal"/>
    <w:qFormat/>
    <w:rsid w:val="00ED17F3"/>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79">
    <w:name w:val="xl79"/>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80">
    <w:name w:val="xl80"/>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81">
    <w:name w:val="xl81"/>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2">
    <w:name w:val="xl82"/>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83">
    <w:name w:val="xl83"/>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84">
    <w:name w:val="xl84"/>
    <w:basedOn w:val="Normal"/>
    <w:qFormat/>
    <w:rsid w:val="00ED17F3"/>
    <w:pPr>
      <w:shd w:val="clear" w:color="000000" w:fill="FCD5B4"/>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85">
    <w:name w:val="xl85"/>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6">
    <w:name w:val="xl86"/>
    <w:basedOn w:val="Normal"/>
    <w:qFormat/>
    <w:rsid w:val="00ED17F3"/>
    <w:pPr>
      <w:pBdr>
        <w:top w:val="single" w:sz="4" w:space="0" w:color="auto"/>
        <w:left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87">
    <w:name w:val="xl87"/>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88">
    <w:name w:val="xl88"/>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89">
    <w:name w:val="xl89"/>
    <w:basedOn w:val="Normal"/>
    <w:qFormat/>
    <w:rsid w:val="00ED17F3"/>
    <w:pPr>
      <w:shd w:val="clear" w:color="000000" w:fill="FFC000"/>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90">
    <w:name w:val="xl90"/>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fr-FR"/>
    </w:rPr>
  </w:style>
  <w:style w:type="paragraph" w:customStyle="1" w:styleId="xl91">
    <w:name w:val="xl91"/>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92">
    <w:name w:val="xl92"/>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93">
    <w:name w:val="xl93"/>
    <w:basedOn w:val="Normal"/>
    <w:qFormat/>
    <w:rsid w:val="00ED17F3"/>
    <w:pPr>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xl94">
    <w:name w:val="xl94"/>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95">
    <w:name w:val="xl95"/>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96">
    <w:name w:val="xl96"/>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olor w:val="0070C0"/>
      <w:sz w:val="24"/>
      <w:szCs w:val="24"/>
      <w:lang w:eastAsia="fr-FR"/>
    </w:rPr>
  </w:style>
  <w:style w:type="paragraph" w:customStyle="1" w:styleId="xl97">
    <w:name w:val="xl97"/>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98">
    <w:name w:val="xl98"/>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b/>
      <w:bCs/>
      <w:i/>
      <w:iCs/>
      <w:color w:val="0070C0"/>
      <w:sz w:val="24"/>
      <w:szCs w:val="24"/>
      <w:lang w:eastAsia="fr-FR"/>
    </w:rPr>
  </w:style>
  <w:style w:type="paragraph" w:customStyle="1" w:styleId="xl99">
    <w:name w:val="xl99"/>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100">
    <w:name w:val="xl100"/>
    <w:basedOn w:val="Normal"/>
    <w:qFormat/>
    <w:rsid w:val="00ED17F3"/>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101">
    <w:name w:val="xl101"/>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olor w:val="0070C0"/>
      <w:sz w:val="24"/>
      <w:szCs w:val="24"/>
      <w:lang w:eastAsia="fr-FR"/>
    </w:rPr>
  </w:style>
  <w:style w:type="paragraph" w:customStyle="1" w:styleId="xl102">
    <w:name w:val="xl102"/>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olor w:val="000000"/>
      <w:sz w:val="24"/>
      <w:szCs w:val="24"/>
      <w:lang w:eastAsia="fr-FR"/>
    </w:rPr>
  </w:style>
  <w:style w:type="paragraph" w:customStyle="1" w:styleId="xl103">
    <w:name w:val="xl103"/>
    <w:basedOn w:val="Normal"/>
    <w:qFormat/>
    <w:rsid w:val="00ED17F3"/>
    <w:pPr>
      <w:shd w:val="clear" w:color="000000" w:fill="FCD5B4"/>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04">
    <w:name w:val="xl104"/>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color w:val="0070C0"/>
      <w:sz w:val="24"/>
      <w:szCs w:val="24"/>
      <w:lang w:eastAsia="fr-FR"/>
    </w:rPr>
  </w:style>
  <w:style w:type="paragraph" w:customStyle="1" w:styleId="xl105">
    <w:name w:val="xl105"/>
    <w:basedOn w:val="Normal"/>
    <w:qFormat/>
    <w:rsid w:val="00ED17F3"/>
    <w:pPr>
      <w:shd w:val="clear" w:color="000000" w:fill="FDE9D9"/>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06">
    <w:name w:val="xl106"/>
    <w:basedOn w:val="Normal"/>
    <w:qFormat/>
    <w:rsid w:val="00ED17F3"/>
    <w:pPr>
      <w:shd w:val="clear" w:color="000000" w:fill="FCD5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7">
    <w:name w:val="xl107"/>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08">
    <w:name w:val="xl108"/>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09">
    <w:name w:val="xl109"/>
    <w:basedOn w:val="Normal"/>
    <w:qFormat/>
    <w:rsid w:val="00ED17F3"/>
    <w:pPr>
      <w:shd w:val="clear" w:color="000000" w:fill="FDE9D9"/>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0">
    <w:name w:val="xl110"/>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11">
    <w:name w:val="xl111"/>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12">
    <w:name w:val="xl112"/>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3">
    <w:name w:val="xl113"/>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olor w:val="000000"/>
      <w:sz w:val="24"/>
      <w:szCs w:val="24"/>
      <w:lang w:eastAsia="fr-FR"/>
    </w:rPr>
  </w:style>
  <w:style w:type="paragraph" w:customStyle="1" w:styleId="xl114">
    <w:name w:val="xl114"/>
    <w:basedOn w:val="Normal"/>
    <w:qFormat/>
    <w:rsid w:val="00ED17F3"/>
    <w:pPr>
      <w:shd w:val="clear" w:color="000000" w:fill="FCD5B4"/>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xl115">
    <w:name w:val="xl115"/>
    <w:basedOn w:val="Normal"/>
    <w:qFormat/>
    <w:rsid w:val="00ED17F3"/>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16">
    <w:name w:val="xl116"/>
    <w:basedOn w:val="Normal"/>
    <w:qFormat/>
    <w:rsid w:val="00ED17F3"/>
    <w:pPr>
      <w:pBdr>
        <w:top w:val="single" w:sz="4" w:space="0" w:color="auto"/>
        <w:left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17">
    <w:name w:val="xl117"/>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color w:val="000000"/>
      <w:sz w:val="24"/>
      <w:szCs w:val="24"/>
      <w:lang w:eastAsia="fr-FR"/>
    </w:rPr>
  </w:style>
  <w:style w:type="paragraph" w:customStyle="1" w:styleId="xl118">
    <w:name w:val="xl118"/>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19">
    <w:name w:val="xl119"/>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olor w:val="0070C0"/>
      <w:sz w:val="24"/>
      <w:szCs w:val="24"/>
      <w:lang w:eastAsia="fr-FR"/>
    </w:rPr>
  </w:style>
  <w:style w:type="paragraph" w:customStyle="1" w:styleId="xl120">
    <w:name w:val="xl120"/>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Times New Roman" w:hAnsi="Times New Roman"/>
      <w:sz w:val="24"/>
      <w:szCs w:val="24"/>
      <w:lang w:eastAsia="fr-FR"/>
    </w:rPr>
  </w:style>
  <w:style w:type="paragraph" w:customStyle="1" w:styleId="xl121">
    <w:name w:val="xl121"/>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i/>
      <w:iCs/>
      <w:color w:val="000000"/>
      <w:sz w:val="24"/>
      <w:szCs w:val="24"/>
      <w:lang w:eastAsia="fr-FR"/>
    </w:rPr>
  </w:style>
  <w:style w:type="paragraph" w:customStyle="1" w:styleId="xl122">
    <w:name w:val="xl122"/>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b/>
      <w:bCs/>
      <w:i/>
      <w:iCs/>
      <w:color w:val="0070C0"/>
      <w:sz w:val="24"/>
      <w:szCs w:val="24"/>
      <w:lang w:eastAsia="fr-FR"/>
    </w:rPr>
  </w:style>
  <w:style w:type="paragraph" w:customStyle="1" w:styleId="xl123">
    <w:name w:val="xl123"/>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b/>
      <w:bCs/>
      <w:i/>
      <w:iCs/>
      <w:sz w:val="24"/>
      <w:szCs w:val="24"/>
      <w:lang w:eastAsia="fr-FR"/>
    </w:rPr>
  </w:style>
  <w:style w:type="paragraph" w:customStyle="1" w:styleId="xl124">
    <w:name w:val="xl124"/>
    <w:basedOn w:val="Normal"/>
    <w:qFormat/>
    <w:rsid w:val="00ED17F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eastAsia="Times New Roman" w:hAnsi="Times New Roman"/>
      <w:b/>
      <w:bCs/>
      <w:i/>
      <w:iCs/>
      <w:color w:val="0070C0"/>
      <w:sz w:val="24"/>
      <w:szCs w:val="24"/>
      <w:lang w:eastAsia="fr-FR"/>
    </w:rPr>
  </w:style>
  <w:style w:type="paragraph" w:customStyle="1" w:styleId="xl125">
    <w:name w:val="xl125"/>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i/>
      <w:iCs/>
      <w:color w:val="0070C0"/>
      <w:sz w:val="24"/>
      <w:szCs w:val="24"/>
      <w:lang w:eastAsia="fr-FR"/>
    </w:rPr>
  </w:style>
  <w:style w:type="paragraph" w:customStyle="1" w:styleId="xl126">
    <w:name w:val="xl126"/>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b/>
      <w:bCs/>
      <w:sz w:val="24"/>
      <w:szCs w:val="24"/>
      <w:lang w:eastAsia="fr-FR"/>
    </w:rPr>
  </w:style>
  <w:style w:type="paragraph" w:customStyle="1" w:styleId="Paragrafoelenco1">
    <w:name w:val="Paragrafo elenco1"/>
    <w:basedOn w:val="Normal"/>
    <w:uiPriority w:val="99"/>
    <w:rsid w:val="00ED17F3"/>
    <w:pPr>
      <w:spacing w:before="120" w:after="0" w:line="240" w:lineRule="auto"/>
      <w:ind w:left="720"/>
      <w:contextualSpacing/>
      <w:jc w:val="both"/>
    </w:pPr>
    <w:rPr>
      <w:rFonts w:ascii="Times New Roman" w:eastAsia="Times New Roman" w:hAnsi="Times New Roman"/>
      <w:sz w:val="20"/>
      <w:szCs w:val="24"/>
      <w:lang w:eastAsia="it-IT"/>
    </w:rPr>
  </w:style>
  <w:style w:type="paragraph" w:customStyle="1" w:styleId="xl63">
    <w:name w:val="xl63"/>
    <w:basedOn w:val="Normal"/>
    <w:qFormat/>
    <w:rsid w:val="00ED17F3"/>
    <w:pP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64">
    <w:name w:val="xl64"/>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127">
    <w:name w:val="xl127"/>
    <w:basedOn w:val="Normal"/>
    <w:qFormat/>
    <w:rsid w:val="00ED17F3"/>
    <w:pPr>
      <w:spacing w:before="100" w:beforeAutospacing="1" w:after="100" w:afterAutospacing="1" w:line="240" w:lineRule="auto"/>
    </w:pPr>
    <w:rPr>
      <w:rFonts w:ascii="Times New Roman" w:eastAsia="Times New Roman" w:hAnsi="Times New Roman"/>
      <w:color w:val="00B050"/>
      <w:sz w:val="20"/>
      <w:szCs w:val="20"/>
      <w:lang w:eastAsia="fr-FR"/>
    </w:rPr>
  </w:style>
  <w:style w:type="paragraph" w:customStyle="1" w:styleId="xl128">
    <w:name w:val="xl128"/>
    <w:basedOn w:val="Normal"/>
    <w:qFormat/>
    <w:rsid w:val="00ED17F3"/>
    <w:pPr>
      <w:pBdr>
        <w:top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olor w:val="000000"/>
      <w:sz w:val="20"/>
      <w:szCs w:val="20"/>
      <w:lang w:eastAsia="fr-FR"/>
    </w:rPr>
  </w:style>
  <w:style w:type="paragraph" w:customStyle="1" w:styleId="xl129">
    <w:name w:val="xl129"/>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30">
    <w:name w:val="xl130"/>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B050"/>
      <w:sz w:val="16"/>
      <w:szCs w:val="16"/>
      <w:lang w:eastAsia="fr-FR"/>
    </w:rPr>
  </w:style>
  <w:style w:type="paragraph" w:customStyle="1" w:styleId="xl131">
    <w:name w:val="xl131"/>
    <w:basedOn w:val="Normal"/>
    <w:qFormat/>
    <w:rsid w:val="00ED17F3"/>
    <w:pPr>
      <w:pBdr>
        <w:left w:val="single" w:sz="4" w:space="0" w:color="auto"/>
        <w:bottom w:val="single" w:sz="4" w:space="0" w:color="auto"/>
        <w:right w:val="single" w:sz="4" w:space="0" w:color="auto"/>
      </w:pBdr>
      <w:shd w:val="clear" w:color="C0C0C0" w:fill="00B0F0"/>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fr-FR"/>
    </w:rPr>
  </w:style>
  <w:style w:type="paragraph" w:customStyle="1" w:styleId="xl132">
    <w:name w:val="xl132"/>
    <w:basedOn w:val="Normal"/>
    <w:qFormat/>
    <w:rsid w:val="00ED17F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olor w:val="000000"/>
      <w:sz w:val="20"/>
      <w:szCs w:val="20"/>
      <w:lang w:eastAsia="fr-FR"/>
    </w:rPr>
  </w:style>
  <w:style w:type="paragraph" w:customStyle="1" w:styleId="xl133">
    <w:name w:val="xl133"/>
    <w:basedOn w:val="Normal"/>
    <w:qFormat/>
    <w:rsid w:val="00ED17F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olor w:val="00B050"/>
      <w:sz w:val="20"/>
      <w:szCs w:val="20"/>
      <w:lang w:eastAsia="fr-FR"/>
    </w:rPr>
  </w:style>
  <w:style w:type="paragraph" w:customStyle="1" w:styleId="xl134">
    <w:name w:val="xl134"/>
    <w:basedOn w:val="Normal"/>
    <w:qFormat/>
    <w:rsid w:val="00ED17F3"/>
    <w:pPr>
      <w:shd w:val="clear" w:color="000000" w:fill="00B0F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35">
    <w:name w:val="xl135"/>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36">
    <w:name w:val="xl136"/>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37">
    <w:name w:val="xl137"/>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0"/>
      <w:szCs w:val="20"/>
      <w:lang w:eastAsia="fr-FR"/>
    </w:rPr>
  </w:style>
  <w:style w:type="paragraph" w:customStyle="1" w:styleId="xl138">
    <w:name w:val="xl138"/>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B050"/>
      <w:sz w:val="20"/>
      <w:szCs w:val="20"/>
      <w:lang w:eastAsia="fr-FR"/>
    </w:rPr>
  </w:style>
  <w:style w:type="paragraph" w:customStyle="1" w:styleId="xl139">
    <w:name w:val="xl139"/>
    <w:basedOn w:val="Normal"/>
    <w:qFormat/>
    <w:rsid w:val="00ED17F3"/>
    <w:pPr>
      <w:shd w:val="clear" w:color="000000" w:fill="FFC00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0">
    <w:name w:val="xl140"/>
    <w:basedOn w:val="Normal"/>
    <w:qFormat/>
    <w:rsid w:val="00ED17F3"/>
    <w:pPr>
      <w:shd w:val="clear" w:color="000000" w:fill="92D05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1">
    <w:name w:val="xl141"/>
    <w:basedOn w:val="Normal"/>
    <w:qFormat/>
    <w:rsid w:val="00ED17F3"/>
    <w:pP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2">
    <w:name w:val="xl142"/>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43">
    <w:name w:val="xl143"/>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44">
    <w:name w:val="xl144"/>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45">
    <w:name w:val="xl145"/>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46">
    <w:name w:val="xl146"/>
    <w:basedOn w:val="Normal"/>
    <w:qFormat/>
    <w:rsid w:val="00ED17F3"/>
    <w:pPr>
      <w:shd w:val="clear" w:color="000000" w:fill="FFC00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7">
    <w:name w:val="xl147"/>
    <w:basedOn w:val="Normal"/>
    <w:qFormat/>
    <w:rsid w:val="00ED17F3"/>
    <w:pPr>
      <w:shd w:val="clear" w:color="000000" w:fill="92D05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8">
    <w:name w:val="xl148"/>
    <w:basedOn w:val="Normal"/>
    <w:qFormat/>
    <w:rsid w:val="00ED17F3"/>
    <w:pP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49">
    <w:name w:val="xl149"/>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70C0"/>
      <w:sz w:val="20"/>
      <w:szCs w:val="20"/>
      <w:lang w:eastAsia="fr-FR"/>
    </w:rPr>
  </w:style>
  <w:style w:type="paragraph" w:customStyle="1" w:styleId="xl150">
    <w:name w:val="xl150"/>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B050"/>
      <w:sz w:val="20"/>
      <w:szCs w:val="20"/>
      <w:lang w:eastAsia="fr-FR"/>
    </w:rPr>
  </w:style>
  <w:style w:type="paragraph" w:customStyle="1" w:styleId="xl151">
    <w:name w:val="xl151"/>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B050"/>
      <w:sz w:val="20"/>
      <w:szCs w:val="20"/>
      <w:lang w:eastAsia="fr-FR"/>
    </w:rPr>
  </w:style>
  <w:style w:type="paragraph" w:customStyle="1" w:styleId="xl152">
    <w:name w:val="xl152"/>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B050"/>
      <w:sz w:val="20"/>
      <w:szCs w:val="20"/>
      <w:lang w:eastAsia="fr-FR"/>
    </w:rPr>
  </w:style>
  <w:style w:type="paragraph" w:customStyle="1" w:styleId="xl153">
    <w:name w:val="xl153"/>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B050"/>
      <w:sz w:val="20"/>
      <w:szCs w:val="20"/>
      <w:lang w:eastAsia="fr-FR"/>
    </w:rPr>
  </w:style>
  <w:style w:type="paragraph" w:customStyle="1" w:styleId="xl154">
    <w:name w:val="xl154"/>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55">
    <w:name w:val="xl155"/>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fr-FR"/>
    </w:rPr>
  </w:style>
  <w:style w:type="paragraph" w:customStyle="1" w:styleId="xl156">
    <w:name w:val="xl156"/>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fr-FR"/>
    </w:rPr>
  </w:style>
  <w:style w:type="paragraph" w:customStyle="1" w:styleId="xl157">
    <w:name w:val="xl157"/>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20"/>
      <w:szCs w:val="20"/>
      <w:lang w:eastAsia="fr-FR"/>
    </w:rPr>
  </w:style>
  <w:style w:type="paragraph" w:customStyle="1" w:styleId="xl158">
    <w:name w:val="xl158"/>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B050"/>
      <w:sz w:val="20"/>
      <w:szCs w:val="20"/>
      <w:lang w:eastAsia="fr-FR"/>
    </w:rPr>
  </w:style>
  <w:style w:type="paragraph" w:customStyle="1" w:styleId="xl159">
    <w:name w:val="xl159"/>
    <w:basedOn w:val="Normal"/>
    <w:qFormat/>
    <w:rsid w:val="00ED17F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sz w:val="20"/>
      <w:szCs w:val="20"/>
      <w:lang w:eastAsia="fr-FR"/>
    </w:rPr>
  </w:style>
  <w:style w:type="paragraph" w:customStyle="1" w:styleId="xl160">
    <w:name w:val="xl160"/>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61">
    <w:name w:val="xl161"/>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62">
    <w:name w:val="xl162"/>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63">
    <w:name w:val="xl163"/>
    <w:basedOn w:val="Normal"/>
    <w:qFormat/>
    <w:rsid w:val="00ED17F3"/>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64">
    <w:name w:val="xl164"/>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65">
    <w:name w:val="xl165"/>
    <w:basedOn w:val="Normal"/>
    <w:qFormat/>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olor w:val="000000"/>
      <w:sz w:val="20"/>
      <w:szCs w:val="20"/>
      <w:lang w:eastAsia="fr-FR"/>
    </w:rPr>
  </w:style>
  <w:style w:type="paragraph" w:customStyle="1" w:styleId="xl166">
    <w:name w:val="xl166"/>
    <w:basedOn w:val="Normal"/>
    <w:qFormat/>
    <w:rsid w:val="00ED17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olor w:val="00B050"/>
      <w:sz w:val="20"/>
      <w:szCs w:val="20"/>
      <w:lang w:eastAsia="fr-FR"/>
    </w:rPr>
  </w:style>
  <w:style w:type="paragraph" w:customStyle="1" w:styleId="xl167">
    <w:name w:val="xl167"/>
    <w:basedOn w:val="Normal"/>
    <w:qFormat/>
    <w:rsid w:val="00ED17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68">
    <w:name w:val="xl168"/>
    <w:basedOn w:val="Normal"/>
    <w:qFormat/>
    <w:rsid w:val="00ED17F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sz w:val="20"/>
      <w:szCs w:val="20"/>
      <w:lang w:eastAsia="fr-FR"/>
    </w:rPr>
  </w:style>
  <w:style w:type="paragraph" w:customStyle="1" w:styleId="xl169">
    <w:name w:val="xl169"/>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olor w:val="FF0000"/>
      <w:sz w:val="20"/>
      <w:szCs w:val="20"/>
      <w:lang w:eastAsia="fr-FR"/>
    </w:rPr>
  </w:style>
  <w:style w:type="paragraph" w:customStyle="1" w:styleId="xl170">
    <w:name w:val="xl170"/>
    <w:basedOn w:val="Normal"/>
    <w:qFormat/>
    <w:rsid w:val="00ED17F3"/>
    <w:pPr>
      <w:pBdr>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b/>
      <w:bCs/>
      <w:color w:val="000000"/>
      <w:sz w:val="18"/>
      <w:szCs w:val="18"/>
      <w:lang w:eastAsia="fr-FR"/>
    </w:rPr>
  </w:style>
  <w:style w:type="paragraph" w:customStyle="1" w:styleId="xl171">
    <w:name w:val="xl171"/>
    <w:basedOn w:val="Normal"/>
    <w:qFormat/>
    <w:rsid w:val="00ED17F3"/>
    <w:pPr>
      <w:pBdr>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fr-FR"/>
    </w:rPr>
  </w:style>
  <w:style w:type="paragraph" w:customStyle="1" w:styleId="xl172">
    <w:name w:val="xl172"/>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color w:val="000000"/>
      <w:sz w:val="20"/>
      <w:szCs w:val="20"/>
      <w:lang w:eastAsia="fr-FR"/>
    </w:rPr>
  </w:style>
  <w:style w:type="paragraph" w:customStyle="1" w:styleId="xl173">
    <w:name w:val="xl173"/>
    <w:basedOn w:val="Normal"/>
    <w:qFormat/>
    <w:rsid w:val="00ED17F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74">
    <w:name w:val="xl174"/>
    <w:basedOn w:val="Normal"/>
    <w:qFormat/>
    <w:rsid w:val="00ED17F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75">
    <w:name w:val="xl175"/>
    <w:basedOn w:val="Normal"/>
    <w:qFormat/>
    <w:rsid w:val="00ED17F3"/>
    <w:pPr>
      <w:pBdr>
        <w:top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76">
    <w:name w:val="xl176"/>
    <w:basedOn w:val="Normal"/>
    <w:qFormat/>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77">
    <w:name w:val="xl177"/>
    <w:basedOn w:val="Normal"/>
    <w:qFormat/>
    <w:rsid w:val="00ED17F3"/>
    <w:pPr>
      <w:pBdr>
        <w:left w:val="single" w:sz="4" w:space="0" w:color="auto"/>
        <w:bottom w:val="single" w:sz="4" w:space="0" w:color="auto"/>
        <w:right w:val="single" w:sz="4" w:space="0" w:color="auto"/>
      </w:pBdr>
      <w:shd w:val="clear" w:color="C0C0C0" w:fill="DDD9C4"/>
      <w:spacing w:before="100" w:beforeAutospacing="1" w:after="100" w:afterAutospacing="1" w:line="240" w:lineRule="auto"/>
      <w:jc w:val="center"/>
      <w:textAlignment w:val="center"/>
    </w:pPr>
    <w:rPr>
      <w:rFonts w:ascii="Times New Roman" w:eastAsia="Times New Roman" w:hAnsi="Times New Roman"/>
      <w:b/>
      <w:bCs/>
      <w:color w:val="C00000"/>
      <w:sz w:val="20"/>
      <w:szCs w:val="20"/>
      <w:lang w:eastAsia="fr-FR"/>
    </w:rPr>
  </w:style>
  <w:style w:type="paragraph" w:customStyle="1" w:styleId="xl178">
    <w:name w:val="xl178"/>
    <w:basedOn w:val="Normal"/>
    <w:qFormat/>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0"/>
      <w:szCs w:val="20"/>
      <w:lang w:eastAsia="fr-FR"/>
    </w:rPr>
  </w:style>
  <w:style w:type="paragraph" w:customStyle="1" w:styleId="xl179">
    <w:name w:val="xl179"/>
    <w:basedOn w:val="Normal"/>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0"/>
      <w:szCs w:val="20"/>
      <w:lang w:eastAsia="fr-FR"/>
    </w:rPr>
  </w:style>
  <w:style w:type="paragraph" w:customStyle="1" w:styleId="xl180">
    <w:name w:val="xl180"/>
    <w:basedOn w:val="Normal"/>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C00000"/>
      <w:sz w:val="20"/>
      <w:szCs w:val="20"/>
      <w:lang w:eastAsia="fr-FR"/>
    </w:rPr>
  </w:style>
  <w:style w:type="paragraph" w:customStyle="1" w:styleId="xl181">
    <w:name w:val="xl181"/>
    <w:basedOn w:val="Normal"/>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olor w:val="C00000"/>
      <w:sz w:val="20"/>
      <w:szCs w:val="20"/>
      <w:lang w:eastAsia="fr-FR"/>
    </w:rPr>
  </w:style>
  <w:style w:type="paragraph" w:customStyle="1" w:styleId="xl182">
    <w:name w:val="xl182"/>
    <w:basedOn w:val="Normal"/>
    <w:rsid w:val="00ED17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C00000"/>
      <w:sz w:val="20"/>
      <w:szCs w:val="20"/>
      <w:lang w:eastAsia="fr-FR"/>
    </w:rPr>
  </w:style>
  <w:style w:type="paragraph" w:customStyle="1" w:styleId="xl183">
    <w:name w:val="xl183"/>
    <w:basedOn w:val="Normal"/>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color w:val="C00000"/>
      <w:sz w:val="20"/>
      <w:szCs w:val="20"/>
      <w:lang w:eastAsia="fr-FR"/>
    </w:rPr>
  </w:style>
  <w:style w:type="paragraph" w:customStyle="1" w:styleId="xl184">
    <w:name w:val="xl184"/>
    <w:basedOn w:val="Normal"/>
    <w:rsid w:val="00ED17F3"/>
    <w:pPr>
      <w:shd w:val="clear" w:color="000000" w:fill="FFC000"/>
      <w:spacing w:before="100" w:beforeAutospacing="1" w:after="100" w:afterAutospacing="1" w:line="240" w:lineRule="auto"/>
    </w:pPr>
    <w:rPr>
      <w:rFonts w:ascii="Times New Roman" w:eastAsia="Times New Roman" w:hAnsi="Times New Roman"/>
      <w:color w:val="C00000"/>
      <w:sz w:val="20"/>
      <w:szCs w:val="20"/>
      <w:lang w:eastAsia="fr-FR"/>
    </w:rPr>
  </w:style>
  <w:style w:type="paragraph" w:customStyle="1" w:styleId="xl185">
    <w:name w:val="xl185"/>
    <w:basedOn w:val="Normal"/>
    <w:rsid w:val="00ED17F3"/>
    <w:pPr>
      <w:shd w:val="clear" w:color="000000" w:fill="92D050"/>
      <w:spacing w:before="100" w:beforeAutospacing="1" w:after="100" w:afterAutospacing="1" w:line="240" w:lineRule="auto"/>
    </w:pPr>
    <w:rPr>
      <w:rFonts w:ascii="Times New Roman" w:eastAsia="Times New Roman" w:hAnsi="Times New Roman"/>
      <w:color w:val="C00000"/>
      <w:sz w:val="20"/>
      <w:szCs w:val="20"/>
      <w:lang w:eastAsia="fr-FR"/>
    </w:rPr>
  </w:style>
  <w:style w:type="paragraph" w:customStyle="1" w:styleId="xl186">
    <w:name w:val="xl186"/>
    <w:basedOn w:val="Normal"/>
    <w:rsid w:val="00ED17F3"/>
    <w:pPr>
      <w:spacing w:before="100" w:beforeAutospacing="1" w:after="100" w:afterAutospacing="1" w:line="240" w:lineRule="auto"/>
    </w:pPr>
    <w:rPr>
      <w:rFonts w:ascii="Times New Roman" w:eastAsia="Times New Roman" w:hAnsi="Times New Roman"/>
      <w:color w:val="C00000"/>
      <w:sz w:val="20"/>
      <w:szCs w:val="20"/>
      <w:lang w:eastAsia="fr-FR"/>
    </w:rPr>
  </w:style>
  <w:style w:type="paragraph" w:customStyle="1" w:styleId="xl187">
    <w:name w:val="xl187"/>
    <w:basedOn w:val="Normal"/>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right"/>
      <w:textAlignment w:val="center"/>
    </w:pPr>
    <w:rPr>
      <w:rFonts w:ascii="Times New Roman" w:eastAsia="Times New Roman" w:hAnsi="Times New Roman"/>
      <w:sz w:val="20"/>
      <w:szCs w:val="20"/>
      <w:lang w:eastAsia="fr-FR"/>
    </w:rPr>
  </w:style>
  <w:style w:type="paragraph" w:customStyle="1" w:styleId="xl188">
    <w:name w:val="xl188"/>
    <w:basedOn w:val="Normal"/>
    <w:rsid w:val="00ED17F3"/>
    <w:pPr>
      <w:pBdr>
        <w:top w:val="single" w:sz="4" w:space="0" w:color="auto"/>
        <w:left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89">
    <w:name w:val="xl189"/>
    <w:basedOn w:val="Normal"/>
    <w:rsid w:val="00ED17F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xl190">
    <w:name w:val="xl190"/>
    <w:basedOn w:val="Normal"/>
    <w:rsid w:val="00ED17F3"/>
    <w:pPr>
      <w:shd w:val="clear" w:color="000000" w:fill="FFC000"/>
      <w:spacing w:before="100" w:beforeAutospacing="1" w:after="100" w:afterAutospacing="1" w:line="240" w:lineRule="auto"/>
    </w:pPr>
    <w:rPr>
      <w:rFonts w:ascii="Times New Roman" w:eastAsia="Times New Roman" w:hAnsi="Times New Roman"/>
      <w:b/>
      <w:bCs/>
      <w:sz w:val="20"/>
      <w:szCs w:val="20"/>
      <w:lang w:eastAsia="fr-FR"/>
    </w:rPr>
  </w:style>
  <w:style w:type="paragraph" w:customStyle="1" w:styleId="xl191">
    <w:name w:val="xl191"/>
    <w:basedOn w:val="Normal"/>
    <w:rsid w:val="00ED17F3"/>
    <w:pPr>
      <w:shd w:val="clear" w:color="000000" w:fill="92D050"/>
      <w:spacing w:before="100" w:beforeAutospacing="1" w:after="100" w:afterAutospacing="1" w:line="240" w:lineRule="auto"/>
    </w:pPr>
    <w:rPr>
      <w:rFonts w:ascii="Times New Roman" w:eastAsia="Times New Roman" w:hAnsi="Times New Roman"/>
      <w:b/>
      <w:bCs/>
      <w:sz w:val="20"/>
      <w:szCs w:val="20"/>
      <w:lang w:eastAsia="fr-FR"/>
    </w:rPr>
  </w:style>
  <w:style w:type="paragraph" w:customStyle="1" w:styleId="normalgras">
    <w:name w:val="normal gras"/>
    <w:basedOn w:val="normalrapport"/>
    <w:rsid w:val="00ED17F3"/>
    <w:rPr>
      <w:rFonts w:ascii="Arial Gras" w:hAnsi="Arial Gras"/>
      <w:b/>
    </w:rPr>
  </w:style>
  <w:style w:type="character" w:customStyle="1" w:styleId="NormalWebCar">
    <w:name w:val="Normal (Web) Car"/>
    <w:link w:val="NormalWeb"/>
    <w:uiPriority w:val="99"/>
    <w:rsid w:val="00ED17F3"/>
    <w:rPr>
      <w:rFonts w:ascii="Arial Unicode MS" w:eastAsia="Arial Unicode MS" w:hAnsi="Arial Unicode MS" w:cs="Arial Unicode MS"/>
      <w:sz w:val="24"/>
      <w:szCs w:val="24"/>
      <w:lang w:val="fr-CA" w:eastAsia="fr-FR"/>
    </w:rPr>
  </w:style>
  <w:style w:type="paragraph" w:customStyle="1" w:styleId="PP">
    <w:name w:val="PP"/>
    <w:basedOn w:val="Normal"/>
    <w:rsid w:val="00ED17F3"/>
    <w:pPr>
      <w:suppressAutoHyphens/>
      <w:spacing w:before="180" w:after="0" w:line="360" w:lineRule="exact"/>
      <w:jc w:val="both"/>
    </w:pPr>
    <w:rPr>
      <w:rFonts w:ascii="Garamond" w:eastAsia="Times New Roman" w:hAnsi="Garamond"/>
      <w:sz w:val="26"/>
      <w:szCs w:val="26"/>
      <w:lang w:val="en-US" w:eastAsia="fr-FR"/>
    </w:rPr>
  </w:style>
  <w:style w:type="paragraph" w:customStyle="1" w:styleId="Heading1a">
    <w:name w:val="Heading 1a"/>
    <w:basedOn w:val="Titre1"/>
    <w:next w:val="Normal"/>
    <w:qFormat/>
    <w:rsid w:val="00ED17F3"/>
    <w:pPr>
      <w:numPr>
        <w:numId w:val="0"/>
      </w:numPr>
      <w:spacing w:before="720" w:after="240" w:line="240" w:lineRule="auto"/>
      <w:ind w:left="720" w:hanging="360"/>
      <w:jc w:val="center"/>
      <w:outlineLvl w:val="9"/>
    </w:pPr>
    <w:rPr>
      <w:rFonts w:ascii="Times New Roman Bold" w:hAnsi="Times New Roman Bold"/>
      <w:bCs/>
      <w:color w:val="0070C0"/>
      <w:sz w:val="32"/>
      <w:lang w:val="en-US" w:eastAsia="fr-FR"/>
    </w:rPr>
  </w:style>
  <w:style w:type="character" w:customStyle="1" w:styleId="notranslate">
    <w:name w:val="notranslate"/>
    <w:basedOn w:val="Policepardfaut"/>
    <w:qFormat/>
    <w:rsid w:val="00ED17F3"/>
  </w:style>
  <w:style w:type="character" w:customStyle="1" w:styleId="Mentionnonrsolue2">
    <w:name w:val="Mention non résolue2"/>
    <w:unhideWhenUsed/>
    <w:qFormat/>
    <w:rsid w:val="00ED17F3"/>
    <w:rPr>
      <w:color w:val="605E5C"/>
      <w:shd w:val="clear" w:color="auto" w:fill="E1DFDD"/>
    </w:rPr>
  </w:style>
  <w:style w:type="character" w:customStyle="1" w:styleId="Mentionnonrsolue3">
    <w:name w:val="Mention non résolue3"/>
    <w:uiPriority w:val="99"/>
    <w:semiHidden/>
    <w:unhideWhenUsed/>
    <w:qFormat/>
    <w:rsid w:val="00ED17F3"/>
    <w:rPr>
      <w:color w:val="605E5C"/>
      <w:shd w:val="clear" w:color="auto" w:fill="E1DFDD"/>
    </w:rPr>
  </w:style>
  <w:style w:type="paragraph" w:customStyle="1" w:styleId="WW-Lgende">
    <w:name w:val="WW-Légende"/>
    <w:basedOn w:val="Normal"/>
    <w:next w:val="Normal"/>
    <w:qFormat/>
    <w:rsid w:val="00ED17F3"/>
    <w:pPr>
      <w:suppressAutoHyphens/>
      <w:spacing w:after="200" w:line="240" w:lineRule="auto"/>
    </w:pPr>
    <w:rPr>
      <w:rFonts w:ascii="Times New Roman" w:hAnsi="Times New Roman"/>
      <w:iCs/>
      <w:color w:val="000000"/>
      <w:szCs w:val="18"/>
      <w:lang w:eastAsia="zh-CN"/>
    </w:rPr>
  </w:style>
  <w:style w:type="character" w:customStyle="1" w:styleId="Mentionnonrsolue4">
    <w:name w:val="Mention non résolue4"/>
    <w:uiPriority w:val="99"/>
    <w:semiHidden/>
    <w:unhideWhenUsed/>
    <w:rsid w:val="002F7B23"/>
    <w:rPr>
      <w:color w:val="605E5C"/>
      <w:shd w:val="clear" w:color="auto" w:fill="E1DFDD"/>
    </w:rPr>
  </w:style>
  <w:style w:type="paragraph" w:customStyle="1" w:styleId="Normal11ptjustufir">
    <w:name w:val="Normal 11pt justufiér"/>
    <w:basedOn w:val="Normal"/>
    <w:next w:val="Normal"/>
    <w:autoRedefine/>
    <w:semiHidden/>
    <w:rsid w:val="002F7B23"/>
    <w:pPr>
      <w:tabs>
        <w:tab w:val="left" w:pos="360"/>
      </w:tabs>
      <w:autoSpaceDE w:val="0"/>
      <w:autoSpaceDN w:val="0"/>
      <w:adjustRightInd w:val="0"/>
      <w:spacing w:after="0" w:line="240" w:lineRule="auto"/>
      <w:contextualSpacing/>
    </w:pPr>
    <w:rPr>
      <w:rFonts w:ascii="Times New Roman" w:eastAsia="Times New Roman" w:hAnsi="Times New Roman"/>
      <w:bCs/>
      <w:sz w:val="24"/>
      <w:szCs w:val="24"/>
      <w:lang w:val="fr-MC" w:eastAsia="fr-FR"/>
    </w:rPr>
  </w:style>
  <w:style w:type="table" w:customStyle="1" w:styleId="TableGrid1">
    <w:name w:val="TableGrid1"/>
    <w:rsid w:val="002C03C0"/>
    <w:rPr>
      <w:rFonts w:eastAsia="Times New Roman"/>
      <w:sz w:val="22"/>
      <w:szCs w:val="22"/>
    </w:rPr>
    <w:tblPr>
      <w:tblCellMar>
        <w:top w:w="0" w:type="dxa"/>
        <w:left w:w="0" w:type="dxa"/>
        <w:bottom w:w="0" w:type="dxa"/>
        <w:right w:w="0" w:type="dxa"/>
      </w:tblCellMar>
    </w:tblPr>
  </w:style>
  <w:style w:type="table" w:customStyle="1" w:styleId="TableGrid2">
    <w:name w:val="TableGrid2"/>
    <w:rsid w:val="002C03C0"/>
    <w:rPr>
      <w:rFonts w:eastAsia="Times New Roman"/>
      <w:sz w:val="22"/>
      <w:szCs w:val="22"/>
    </w:rPr>
    <w:tblPr>
      <w:tblCellMar>
        <w:top w:w="0" w:type="dxa"/>
        <w:left w:w="0" w:type="dxa"/>
        <w:bottom w:w="0" w:type="dxa"/>
        <w:right w:w="0" w:type="dxa"/>
      </w:tblCellMar>
    </w:tblPr>
  </w:style>
  <w:style w:type="table" w:customStyle="1" w:styleId="TableGrid3">
    <w:name w:val="TableGrid3"/>
    <w:rsid w:val="002C03C0"/>
    <w:rPr>
      <w:rFonts w:eastAsia="Times New Roman"/>
      <w:sz w:val="22"/>
      <w:szCs w:val="22"/>
    </w:rPr>
    <w:tblPr>
      <w:tblCellMar>
        <w:top w:w="0" w:type="dxa"/>
        <w:left w:w="0" w:type="dxa"/>
        <w:bottom w:w="0" w:type="dxa"/>
        <w:right w:w="0" w:type="dxa"/>
      </w:tblCellMar>
    </w:tblPr>
  </w:style>
  <w:style w:type="numbering" w:customStyle="1" w:styleId="Aucuneliste1">
    <w:name w:val="Aucune liste1"/>
    <w:next w:val="Aucuneliste"/>
    <w:uiPriority w:val="99"/>
    <w:semiHidden/>
    <w:unhideWhenUsed/>
    <w:qFormat/>
    <w:rsid w:val="002C03C0"/>
  </w:style>
  <w:style w:type="table" w:customStyle="1" w:styleId="mtbs1">
    <w:name w:val="mtbs1"/>
    <w:basedOn w:val="TableauNormal"/>
    <w:next w:val="Grilledutableau"/>
    <w:uiPriority w:val="39"/>
    <w:qFormat/>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CarCarCarCarCarCarCarCarCarCarCarCarCarCarCarCarCarCar">
    <w:name w:val="Titre 1 Car Car Car Car Car Car Car Car Car Car Car Car Car Car Car Car Car Car Car"/>
    <w:qFormat/>
    <w:rsid w:val="002C03C0"/>
    <w:rPr>
      <w:b/>
      <w:bCs/>
      <w:color w:val="000000"/>
      <w:sz w:val="24"/>
      <w:lang w:val="fr-FR" w:eastAsia="fr-FR" w:bidi="ar-SA"/>
    </w:rPr>
  </w:style>
  <w:style w:type="paragraph" w:customStyle="1" w:styleId="TableText">
    <w:name w:val="Table_Text"/>
    <w:basedOn w:val="Normal"/>
    <w:qFormat/>
    <w:rsid w:val="002C03C0"/>
    <w:pPr>
      <w:overflowPunct w:val="0"/>
      <w:autoSpaceDE w:val="0"/>
      <w:autoSpaceDN w:val="0"/>
      <w:adjustRightInd w:val="0"/>
      <w:spacing w:before="80" w:after="40" w:line="240" w:lineRule="auto"/>
      <w:textAlignment w:val="baseline"/>
    </w:pPr>
    <w:rPr>
      <w:rFonts w:ascii="Arial" w:eastAsia="Times New Roman" w:hAnsi="Arial"/>
      <w:sz w:val="18"/>
      <w:szCs w:val="20"/>
    </w:rPr>
  </w:style>
  <w:style w:type="paragraph" w:customStyle="1" w:styleId="Corpsdetexte4">
    <w:name w:val="Corps de texte 4"/>
    <w:basedOn w:val="Normal"/>
    <w:qFormat/>
    <w:rsid w:val="002C03C0"/>
    <w:pPr>
      <w:spacing w:after="240" w:line="240" w:lineRule="auto"/>
      <w:jc w:val="both"/>
    </w:pPr>
    <w:rPr>
      <w:rFonts w:ascii="Times New Roman" w:eastAsia="Times New Roman" w:hAnsi="Times New Roman"/>
      <w:szCs w:val="20"/>
      <w:lang w:eastAsia="fr-FR"/>
    </w:rPr>
  </w:style>
  <w:style w:type="paragraph" w:customStyle="1" w:styleId="BodyTextIndent31">
    <w:name w:val="Body Text Indent 31"/>
    <w:basedOn w:val="Normal"/>
    <w:qFormat/>
    <w:rsid w:val="002C03C0"/>
    <w:pPr>
      <w:widowControl w:val="0"/>
      <w:tabs>
        <w:tab w:val="num" w:pos="360"/>
      </w:tabs>
      <w:spacing w:after="0" w:line="240" w:lineRule="auto"/>
      <w:jc w:val="both"/>
    </w:pPr>
    <w:rPr>
      <w:rFonts w:ascii="Times New Roman" w:eastAsia="Times New Roman" w:hAnsi="Times New Roman"/>
      <w:szCs w:val="20"/>
      <w:lang w:eastAsia="fr-FR"/>
    </w:rPr>
  </w:style>
  <w:style w:type="paragraph" w:customStyle="1" w:styleId="Outline1">
    <w:name w:val="Outline1"/>
    <w:basedOn w:val="Outline"/>
    <w:next w:val="Outline2"/>
    <w:qFormat/>
    <w:rsid w:val="002C03C0"/>
    <w:pPr>
      <w:keepNext/>
      <w:numPr>
        <w:ilvl w:val="3"/>
        <w:numId w:val="77"/>
      </w:numPr>
      <w:tabs>
        <w:tab w:val="clear" w:pos="2304"/>
        <w:tab w:val="num" w:pos="360"/>
      </w:tabs>
      <w:ind w:left="360" w:hanging="360"/>
    </w:pPr>
    <w:rPr>
      <w:szCs w:val="22"/>
    </w:rPr>
  </w:style>
  <w:style w:type="paragraph" w:customStyle="1" w:styleId="Outline2">
    <w:name w:val="Outline2"/>
    <w:basedOn w:val="Normal"/>
    <w:qFormat/>
    <w:rsid w:val="002C03C0"/>
    <w:pPr>
      <w:numPr>
        <w:ilvl w:val="1"/>
        <w:numId w:val="77"/>
      </w:numPr>
      <w:tabs>
        <w:tab w:val="clear" w:pos="1152"/>
        <w:tab w:val="num" w:pos="864"/>
      </w:tabs>
      <w:spacing w:before="240" w:after="0" w:line="240" w:lineRule="auto"/>
      <w:ind w:left="864" w:hanging="504"/>
    </w:pPr>
    <w:rPr>
      <w:rFonts w:ascii="Times New Roman" w:eastAsia="Times New Roman" w:hAnsi="Times New Roman"/>
      <w:kern w:val="28"/>
      <w:lang w:eastAsia="fr-FR"/>
    </w:rPr>
  </w:style>
  <w:style w:type="paragraph" w:customStyle="1" w:styleId="Outline3">
    <w:name w:val="Outline3"/>
    <w:basedOn w:val="Normal"/>
    <w:qFormat/>
    <w:rsid w:val="002C03C0"/>
    <w:pPr>
      <w:numPr>
        <w:ilvl w:val="2"/>
        <w:numId w:val="77"/>
      </w:numPr>
      <w:tabs>
        <w:tab w:val="clear" w:pos="1728"/>
        <w:tab w:val="num" w:pos="1368"/>
      </w:tabs>
      <w:spacing w:before="240" w:after="0" w:line="240" w:lineRule="auto"/>
      <w:ind w:left="1368" w:hanging="504"/>
    </w:pPr>
    <w:rPr>
      <w:rFonts w:ascii="Times New Roman" w:eastAsia="Times New Roman" w:hAnsi="Times New Roman"/>
      <w:kern w:val="28"/>
      <w:lang w:eastAsia="fr-FR"/>
    </w:rPr>
  </w:style>
  <w:style w:type="paragraph" w:customStyle="1" w:styleId="Outline4">
    <w:name w:val="Outline4"/>
    <w:basedOn w:val="Normal"/>
    <w:qFormat/>
    <w:rsid w:val="002C03C0"/>
    <w:pPr>
      <w:tabs>
        <w:tab w:val="num" w:pos="1872"/>
      </w:tabs>
      <w:spacing w:before="240" w:after="0" w:line="240" w:lineRule="auto"/>
      <w:ind w:left="1872" w:hanging="504"/>
    </w:pPr>
    <w:rPr>
      <w:rFonts w:ascii="Times New Roman" w:eastAsia="Times New Roman" w:hAnsi="Times New Roman"/>
      <w:kern w:val="28"/>
      <w:lang w:eastAsia="fr-FR"/>
    </w:rPr>
  </w:style>
  <w:style w:type="paragraph" w:customStyle="1" w:styleId="BodyTextKeep">
    <w:name w:val="Body Text Keep"/>
    <w:basedOn w:val="Corpsdetexte"/>
    <w:qFormat/>
    <w:rsid w:val="002C03C0"/>
    <w:pPr>
      <w:keepNext/>
      <w:spacing w:after="240" w:line="240" w:lineRule="atLeast"/>
      <w:jc w:val="both"/>
    </w:pPr>
    <w:rPr>
      <w:rFonts w:ascii="Garamond" w:eastAsia="Times New Roman" w:hAnsi="Garamond"/>
      <w:sz w:val="20"/>
      <w:szCs w:val="20"/>
      <w:lang w:val="en-US"/>
    </w:rPr>
  </w:style>
  <w:style w:type="paragraph" w:customStyle="1" w:styleId="MainParanoChapter">
    <w:name w:val="Main Para no Chapter #"/>
    <w:basedOn w:val="Normal"/>
    <w:qFormat/>
    <w:rsid w:val="002C03C0"/>
    <w:pPr>
      <w:tabs>
        <w:tab w:val="num" w:pos="1065"/>
      </w:tabs>
      <w:spacing w:after="240" w:line="240" w:lineRule="auto"/>
      <w:outlineLvl w:val="1"/>
    </w:pPr>
    <w:rPr>
      <w:rFonts w:ascii="Times New Roman" w:eastAsia="Times New Roman" w:hAnsi="Times New Roman"/>
      <w:sz w:val="24"/>
      <w:szCs w:val="24"/>
      <w:lang w:val="en-US"/>
    </w:rPr>
  </w:style>
  <w:style w:type="paragraph" w:customStyle="1" w:styleId="para">
    <w:name w:val="para"/>
    <w:basedOn w:val="Normal"/>
    <w:qFormat/>
    <w:rsid w:val="002C03C0"/>
    <w:pPr>
      <w:spacing w:after="0" w:line="240" w:lineRule="auto"/>
      <w:ind w:firstLine="284"/>
      <w:jc w:val="both"/>
    </w:pPr>
    <w:rPr>
      <w:rFonts w:ascii="Times New Roman" w:eastAsia="Times New Roman" w:hAnsi="Times New Roman"/>
      <w:sz w:val="24"/>
      <w:szCs w:val="24"/>
    </w:rPr>
  </w:style>
  <w:style w:type="paragraph" w:customStyle="1" w:styleId="PDSHeading2">
    <w:name w:val="PDS Heading 2"/>
    <w:next w:val="Normal"/>
    <w:qFormat/>
    <w:rsid w:val="002C03C0"/>
    <w:pPr>
      <w:keepNext/>
      <w:numPr>
        <w:ilvl w:val="1"/>
        <w:numId w:val="78"/>
      </w:numPr>
    </w:pPr>
    <w:rPr>
      <w:rFonts w:ascii="Times New Roman" w:eastAsia="Times New Roman" w:hAnsi="Times New Roman"/>
      <w:b/>
      <w:sz w:val="24"/>
      <w:lang w:val="en-US" w:eastAsia="en-US"/>
    </w:rPr>
  </w:style>
  <w:style w:type="paragraph" w:customStyle="1" w:styleId="PDSHeading1">
    <w:name w:val="PDS Heading 1"/>
    <w:next w:val="PDSHeading2"/>
    <w:qFormat/>
    <w:rsid w:val="002C03C0"/>
    <w:pPr>
      <w:keepNext/>
      <w:numPr>
        <w:numId w:val="78"/>
      </w:numPr>
      <w:outlineLvl w:val="0"/>
    </w:pPr>
    <w:rPr>
      <w:rFonts w:ascii="Times New Roman" w:eastAsia="Times New Roman" w:hAnsi="Times New Roman"/>
      <w:b/>
      <w:caps/>
      <w:sz w:val="24"/>
      <w:lang w:val="en-US" w:eastAsia="en-US"/>
    </w:rPr>
  </w:style>
  <w:style w:type="paragraph" w:customStyle="1" w:styleId="PDSHeading10">
    <w:name w:val="PDSHeading1"/>
    <w:next w:val="Normal"/>
    <w:qFormat/>
    <w:rsid w:val="002C03C0"/>
    <w:rPr>
      <w:rFonts w:ascii="Times New Roman" w:eastAsia="Times New Roman" w:hAnsi="Times New Roman"/>
      <w:b/>
      <w:sz w:val="24"/>
      <w:lang w:val="en-US" w:eastAsia="en-US"/>
    </w:rPr>
  </w:style>
  <w:style w:type="paragraph" w:customStyle="1" w:styleId="MainParawithChapter">
    <w:name w:val="Main Para with Chapter#"/>
    <w:basedOn w:val="Normal"/>
    <w:qFormat/>
    <w:rsid w:val="002C03C0"/>
    <w:pPr>
      <w:numPr>
        <w:ilvl w:val="1"/>
        <w:numId w:val="79"/>
      </w:numPr>
      <w:tabs>
        <w:tab w:val="clear" w:pos="720"/>
      </w:tabs>
      <w:spacing w:after="240" w:line="240" w:lineRule="auto"/>
      <w:ind w:left="0" w:firstLine="0"/>
      <w:outlineLvl w:val="1"/>
    </w:pPr>
    <w:rPr>
      <w:rFonts w:ascii="Times New Roman" w:eastAsia="Times New Roman" w:hAnsi="Times New Roman"/>
      <w:sz w:val="24"/>
      <w:szCs w:val="24"/>
      <w:lang w:val="en-US"/>
    </w:rPr>
  </w:style>
  <w:style w:type="character" w:customStyle="1" w:styleId="spelle">
    <w:name w:val="spelle"/>
    <w:basedOn w:val="Policepardfaut"/>
    <w:qFormat/>
    <w:rsid w:val="002C03C0"/>
  </w:style>
  <w:style w:type="paragraph" w:customStyle="1" w:styleId="TxBrp7">
    <w:name w:val="TxBr_p7"/>
    <w:basedOn w:val="Normal"/>
    <w:qFormat/>
    <w:rsid w:val="002C03C0"/>
    <w:pPr>
      <w:widowControl w:val="0"/>
      <w:tabs>
        <w:tab w:val="left" w:pos="204"/>
      </w:tabs>
      <w:spacing w:after="0" w:line="255" w:lineRule="atLeast"/>
    </w:pPr>
    <w:rPr>
      <w:rFonts w:ascii="Times New Roman" w:eastAsia="Times New Roman" w:hAnsi="Times New Roman"/>
      <w:snapToGrid w:val="0"/>
      <w:sz w:val="24"/>
      <w:szCs w:val="20"/>
      <w:lang w:val="en-US"/>
    </w:rPr>
  </w:style>
  <w:style w:type="character" w:customStyle="1" w:styleId="grame">
    <w:name w:val="grame"/>
    <w:basedOn w:val="Policepardfaut"/>
    <w:qFormat/>
    <w:rsid w:val="002C03C0"/>
  </w:style>
  <w:style w:type="paragraph" w:customStyle="1" w:styleId="TxBrp8">
    <w:name w:val="TxBr_p8"/>
    <w:basedOn w:val="Normal"/>
    <w:qFormat/>
    <w:rsid w:val="002C03C0"/>
    <w:pPr>
      <w:widowControl w:val="0"/>
      <w:tabs>
        <w:tab w:val="left" w:pos="368"/>
      </w:tabs>
      <w:spacing w:after="0" w:line="255" w:lineRule="atLeast"/>
      <w:ind w:left="731" w:hanging="363"/>
    </w:pPr>
    <w:rPr>
      <w:rFonts w:ascii="Times New Roman" w:eastAsia="Times New Roman" w:hAnsi="Times New Roman"/>
      <w:snapToGrid w:val="0"/>
      <w:sz w:val="24"/>
      <w:szCs w:val="20"/>
      <w:lang w:val="en-US"/>
    </w:rPr>
  </w:style>
  <w:style w:type="paragraph" w:customStyle="1" w:styleId="puce">
    <w:name w:val="puce"/>
    <w:basedOn w:val="Normal"/>
    <w:qFormat/>
    <w:rsid w:val="002C03C0"/>
    <w:pPr>
      <w:numPr>
        <w:numId w:val="80"/>
      </w:numPr>
      <w:tabs>
        <w:tab w:val="left" w:pos="414"/>
        <w:tab w:val="left" w:pos="1134"/>
        <w:tab w:val="left" w:pos="1854"/>
        <w:tab w:val="left" w:pos="2041"/>
        <w:tab w:val="left" w:pos="2574"/>
        <w:tab w:val="left" w:pos="3294"/>
        <w:tab w:val="left" w:pos="4014"/>
        <w:tab w:val="left" w:pos="4734"/>
        <w:tab w:val="left" w:pos="5454"/>
        <w:tab w:val="left" w:pos="6174"/>
        <w:tab w:val="left" w:pos="6894"/>
        <w:tab w:val="left" w:pos="7614"/>
        <w:tab w:val="left" w:pos="8334"/>
        <w:tab w:val="left" w:pos="9054"/>
      </w:tabs>
      <w:spacing w:after="0" w:line="240" w:lineRule="auto"/>
      <w:jc w:val="both"/>
    </w:pPr>
    <w:rPr>
      <w:rFonts w:ascii="Century Schoolbook" w:eastAsia="Times New Roman" w:hAnsi="Century Schoolbook"/>
      <w:szCs w:val="20"/>
    </w:rPr>
  </w:style>
  <w:style w:type="paragraph" w:customStyle="1" w:styleId="Indice1">
    <w:name w:val="Indice1"/>
    <w:basedOn w:val="Normal"/>
    <w:qFormat/>
    <w:rsid w:val="002C03C0"/>
    <w:pPr>
      <w:tabs>
        <w:tab w:val="num" w:pos="720"/>
      </w:tabs>
      <w:spacing w:after="0" w:line="240" w:lineRule="auto"/>
      <w:ind w:left="720" w:hanging="360"/>
    </w:pPr>
    <w:rPr>
      <w:rFonts w:ascii="Times New Roman" w:eastAsia="Times New Roman" w:hAnsi="Times New Roman"/>
    </w:rPr>
  </w:style>
  <w:style w:type="paragraph" w:customStyle="1" w:styleId="Block">
    <w:name w:val="Block"/>
    <w:basedOn w:val="Normal"/>
    <w:qFormat/>
    <w:rsid w:val="002C03C0"/>
    <w:pPr>
      <w:widowControl w:val="0"/>
      <w:numPr>
        <w:numId w:val="81"/>
      </w:numPr>
      <w:tabs>
        <w:tab w:val="clear" w:pos="360"/>
      </w:tabs>
      <w:spacing w:after="0" w:line="240" w:lineRule="auto"/>
      <w:ind w:left="0" w:firstLine="0"/>
    </w:pPr>
    <w:rPr>
      <w:rFonts w:ascii="Times New Roman" w:eastAsia="Times New Roman" w:hAnsi="Times New Roman"/>
      <w:b/>
      <w:bCs/>
      <w:lang w:val="en-US"/>
    </w:rPr>
  </w:style>
  <w:style w:type="character" w:customStyle="1" w:styleId="En-tteCarCar">
    <w:name w:val="En-tête Car Car"/>
    <w:qFormat/>
    <w:rsid w:val="002C03C0"/>
    <w:rPr>
      <w:lang w:val="fr-FR" w:eastAsia="fr-FR" w:bidi="ar-SA"/>
    </w:rPr>
  </w:style>
  <w:style w:type="paragraph" w:customStyle="1" w:styleId="font7">
    <w:name w:val="font7"/>
    <w:basedOn w:val="Normal"/>
    <w:qFormat/>
    <w:rsid w:val="002C03C0"/>
    <w:pPr>
      <w:spacing w:before="100" w:beforeAutospacing="1" w:after="100" w:afterAutospacing="1" w:line="240" w:lineRule="auto"/>
    </w:pPr>
    <w:rPr>
      <w:rFonts w:ascii="Times New Roman" w:eastAsia="Arial Unicode MS" w:hAnsi="Times New Roman"/>
    </w:rPr>
  </w:style>
  <w:style w:type="paragraph" w:customStyle="1" w:styleId="RapEIS">
    <w:name w:val="RapEIS"/>
    <w:basedOn w:val="TM1"/>
    <w:autoRedefine/>
    <w:qFormat/>
    <w:rsid w:val="002C03C0"/>
    <w:pPr>
      <w:tabs>
        <w:tab w:val="clear" w:pos="440"/>
        <w:tab w:val="clear" w:pos="9060"/>
        <w:tab w:val="left" w:pos="480"/>
        <w:tab w:val="right" w:leader="dot" w:pos="9086"/>
      </w:tabs>
      <w:spacing w:before="120" w:after="120" w:line="240" w:lineRule="auto"/>
      <w:jc w:val="left"/>
    </w:pPr>
    <w:rPr>
      <w:rFonts w:eastAsia="Times New Roman"/>
      <w:bCs/>
    </w:rPr>
  </w:style>
  <w:style w:type="paragraph" w:customStyle="1" w:styleId="9-Intervalle">
    <w:name w:val="9 - Intervalle"/>
    <w:basedOn w:val="Normal"/>
    <w:qFormat/>
    <w:rsid w:val="002C03C0"/>
    <w:pPr>
      <w:tabs>
        <w:tab w:val="left" w:pos="709"/>
        <w:tab w:val="left" w:pos="1360"/>
        <w:tab w:val="right" w:pos="9072"/>
        <w:tab w:val="right" w:pos="9100"/>
      </w:tabs>
      <w:autoSpaceDE w:val="0"/>
      <w:autoSpaceDN w:val="0"/>
      <w:adjustRightInd w:val="0"/>
      <w:spacing w:after="0" w:line="100" w:lineRule="exact"/>
      <w:jc w:val="both"/>
    </w:pPr>
    <w:rPr>
      <w:rFonts w:ascii="Times New Roman" w:eastAsia="Times New Roman" w:hAnsi="Times New Roman"/>
      <w:sz w:val="16"/>
      <w:szCs w:val="16"/>
      <w:lang w:eastAsia="fr-FR"/>
    </w:rPr>
  </w:style>
  <w:style w:type="paragraph" w:customStyle="1" w:styleId="Retraitpuces1">
    <w:name w:val="Retrait à puces 1"/>
    <w:basedOn w:val="Normal"/>
    <w:qFormat/>
    <w:rsid w:val="002C03C0"/>
    <w:pPr>
      <w:numPr>
        <w:numId w:val="82"/>
      </w:numPr>
      <w:spacing w:after="120" w:line="240" w:lineRule="auto"/>
      <w:jc w:val="both"/>
    </w:pPr>
    <w:rPr>
      <w:rFonts w:ascii="Times New Roman" w:eastAsia="Times New Roman" w:hAnsi="Times New Roman"/>
      <w:sz w:val="24"/>
      <w:szCs w:val="20"/>
      <w:lang w:eastAsia="fr-FR"/>
    </w:rPr>
  </w:style>
  <w:style w:type="paragraph" w:customStyle="1" w:styleId="Titretableau">
    <w:name w:val="Titre tableau"/>
    <w:basedOn w:val="Normal"/>
    <w:qFormat/>
    <w:rsid w:val="002C03C0"/>
    <w:pPr>
      <w:keepNext/>
      <w:spacing w:before="100" w:line="240" w:lineRule="auto"/>
      <w:jc w:val="both"/>
    </w:pPr>
    <w:rPr>
      <w:rFonts w:ascii="Times New Roman" w:eastAsia="Times New Roman" w:hAnsi="Times New Roman"/>
      <w:b/>
      <w:sz w:val="24"/>
      <w:szCs w:val="20"/>
      <w:lang w:eastAsia="fr-FR"/>
    </w:rPr>
  </w:style>
  <w:style w:type="paragraph" w:customStyle="1" w:styleId="StyleLatinArialComplexeArial9ptJustifi">
    <w:name w:val="Style (Latin) Arial (Complexe) Arial 9 pt Justifié"/>
    <w:basedOn w:val="Normal"/>
    <w:qFormat/>
    <w:rsid w:val="002C03C0"/>
    <w:pPr>
      <w:spacing w:after="0" w:line="240" w:lineRule="auto"/>
      <w:jc w:val="both"/>
    </w:pPr>
    <w:rPr>
      <w:rFonts w:ascii="Arial" w:eastAsia="Times New Roman" w:hAnsi="Arial" w:cs="Arial"/>
      <w:sz w:val="18"/>
      <w:szCs w:val="18"/>
      <w:lang w:eastAsia="fr-FR"/>
    </w:rPr>
  </w:style>
  <w:style w:type="paragraph" w:customStyle="1" w:styleId="StyleTitre4Avant0pt">
    <w:name w:val="Style Titre 4 + Avant : 0 pt"/>
    <w:basedOn w:val="Titre4"/>
    <w:qFormat/>
    <w:rsid w:val="002C03C0"/>
    <w:pPr>
      <w:keepLines w:val="0"/>
      <w:widowControl w:val="0"/>
      <w:numPr>
        <w:numId w:val="0"/>
      </w:numPr>
      <w:tabs>
        <w:tab w:val="num" w:pos="2880"/>
      </w:tabs>
      <w:spacing w:before="0" w:after="200" w:line="240" w:lineRule="auto"/>
      <w:ind w:left="862" w:hanging="862"/>
      <w:jc w:val="both"/>
    </w:pPr>
    <w:rPr>
      <w:rFonts w:ascii="Arial" w:hAnsi="Arial" w:cs="Arial"/>
      <w:b/>
      <w:bCs/>
      <w:color w:val="auto"/>
      <w:sz w:val="20"/>
      <w:szCs w:val="20"/>
      <w:lang w:val="x-none" w:eastAsia="x-none"/>
    </w:rPr>
  </w:style>
  <w:style w:type="paragraph" w:customStyle="1" w:styleId="Normalprretrait">
    <w:name w:val="Normal préretrait"/>
    <w:basedOn w:val="Normal"/>
    <w:qFormat/>
    <w:rsid w:val="002C03C0"/>
    <w:pPr>
      <w:keepNext/>
      <w:spacing w:after="120" w:line="240" w:lineRule="auto"/>
      <w:jc w:val="both"/>
    </w:pPr>
    <w:rPr>
      <w:rFonts w:ascii="Times New Roman" w:eastAsia="Times New Roman" w:hAnsi="Times New Roman"/>
      <w:sz w:val="24"/>
      <w:szCs w:val="20"/>
      <w:lang w:eastAsia="fr-FR"/>
    </w:rPr>
  </w:style>
  <w:style w:type="paragraph" w:styleId="Listenumros2">
    <w:name w:val="List Number 2"/>
    <w:basedOn w:val="Normal"/>
    <w:uiPriority w:val="99"/>
    <w:qFormat/>
    <w:rsid w:val="002C03C0"/>
    <w:pPr>
      <w:numPr>
        <w:numId w:val="83"/>
      </w:numPr>
      <w:spacing w:after="0" w:line="240" w:lineRule="auto"/>
    </w:pPr>
    <w:rPr>
      <w:rFonts w:ascii="Times New Roman" w:eastAsia="Times New Roman" w:hAnsi="Times New Roman"/>
      <w:szCs w:val="24"/>
    </w:rPr>
  </w:style>
  <w:style w:type="paragraph" w:customStyle="1" w:styleId="Check-list">
    <w:name w:val="Check-list"/>
    <w:basedOn w:val="Normal"/>
    <w:qFormat/>
    <w:rsid w:val="002C03C0"/>
    <w:pPr>
      <w:widowControl w:val="0"/>
      <w:numPr>
        <w:numId w:val="84"/>
      </w:numPr>
      <w:spacing w:line="240" w:lineRule="auto"/>
      <w:jc w:val="both"/>
    </w:pPr>
    <w:rPr>
      <w:rFonts w:ascii="Arial" w:eastAsia="Times New Roman" w:hAnsi="Arial" w:cs="Arial"/>
      <w:bCs/>
      <w:sz w:val="20"/>
      <w:szCs w:val="20"/>
      <w:lang w:eastAsia="fr-FR"/>
    </w:rPr>
  </w:style>
  <w:style w:type="paragraph" w:customStyle="1" w:styleId="7">
    <w:name w:val="7"/>
    <w:basedOn w:val="Normal"/>
    <w:qFormat/>
    <w:rsid w:val="002C03C0"/>
    <w:pPr>
      <w:tabs>
        <w:tab w:val="left" w:pos="1800"/>
        <w:tab w:val="right" w:pos="9044"/>
      </w:tabs>
      <w:spacing w:after="60" w:line="240" w:lineRule="auto"/>
      <w:ind w:left="1803" w:hanging="510"/>
      <w:jc w:val="both"/>
    </w:pPr>
    <w:rPr>
      <w:rFonts w:ascii="Times New Roman" w:eastAsia="Times New Roman" w:hAnsi="Times New Roman"/>
      <w:szCs w:val="20"/>
      <w:lang w:eastAsia="fr-FR"/>
    </w:rPr>
  </w:style>
  <w:style w:type="character" w:customStyle="1" w:styleId="goohl4">
    <w:name w:val="goohl4"/>
    <w:basedOn w:val="Policepardfaut"/>
    <w:qFormat/>
    <w:rsid w:val="002C03C0"/>
  </w:style>
  <w:style w:type="character" w:customStyle="1" w:styleId="texte1">
    <w:name w:val="texte1"/>
    <w:basedOn w:val="Policepardfaut"/>
    <w:qFormat/>
    <w:rsid w:val="002C03C0"/>
  </w:style>
  <w:style w:type="character" w:styleId="CitationHTML">
    <w:name w:val="HTML Cite"/>
    <w:qFormat/>
    <w:rsid w:val="002C03C0"/>
    <w:rPr>
      <w:i/>
      <w:iCs/>
    </w:rPr>
  </w:style>
  <w:style w:type="paragraph" w:customStyle="1" w:styleId="TxBr5p1">
    <w:name w:val="TxBr_5p1"/>
    <w:basedOn w:val="Normal"/>
    <w:qFormat/>
    <w:rsid w:val="002C03C0"/>
    <w:pPr>
      <w:tabs>
        <w:tab w:val="left" w:pos="204"/>
      </w:tabs>
      <w:spacing w:after="0" w:line="283" w:lineRule="atLeast"/>
      <w:jc w:val="both"/>
    </w:pPr>
    <w:rPr>
      <w:rFonts w:ascii="Times New Roman" w:eastAsia="Times New Roman" w:hAnsi="Times New Roman"/>
      <w:snapToGrid w:val="0"/>
      <w:sz w:val="24"/>
      <w:szCs w:val="20"/>
      <w:lang w:eastAsia="fr-FR"/>
    </w:rPr>
  </w:style>
  <w:style w:type="paragraph" w:styleId="TitreTR">
    <w:name w:val="toa heading"/>
    <w:aliases w:val="Références bibliographiques"/>
    <w:basedOn w:val="Normal"/>
    <w:next w:val="Normal"/>
    <w:semiHidden/>
    <w:qFormat/>
    <w:rsid w:val="002C03C0"/>
    <w:pPr>
      <w:numPr>
        <w:numId w:val="86"/>
      </w:numPr>
      <w:spacing w:before="120" w:after="0" w:line="240" w:lineRule="auto"/>
    </w:pPr>
    <w:rPr>
      <w:rFonts w:ascii="Arial" w:eastAsia="Times New Roman" w:hAnsi="Arial" w:cs="Arial"/>
      <w:b/>
      <w:bCs/>
      <w:sz w:val="24"/>
      <w:szCs w:val="24"/>
      <w:lang w:eastAsia="fr-FR"/>
    </w:rPr>
  </w:style>
  <w:style w:type="paragraph" w:customStyle="1" w:styleId="symbole">
    <w:name w:val="symbole"/>
    <w:basedOn w:val="Normal"/>
    <w:qFormat/>
    <w:rsid w:val="002C03C0"/>
    <w:pPr>
      <w:spacing w:before="540" w:after="100" w:afterAutospacing="1" w:line="240" w:lineRule="auto"/>
    </w:pPr>
    <w:rPr>
      <w:rFonts w:ascii="Times New Roman" w:eastAsia="Times New Roman" w:hAnsi="Times New Roman"/>
      <w:sz w:val="24"/>
      <w:szCs w:val="24"/>
      <w:lang w:eastAsia="fr-FR"/>
    </w:rPr>
  </w:style>
  <w:style w:type="paragraph" w:customStyle="1" w:styleId="CarcterCarCarCarcterCarcter">
    <w:name w:val="Carácter Car Car Carácter Carácter"/>
    <w:basedOn w:val="Normal"/>
    <w:qFormat/>
    <w:rsid w:val="002C03C0"/>
    <w:pPr>
      <w:spacing w:line="240" w:lineRule="exact"/>
    </w:pPr>
    <w:rPr>
      <w:rFonts w:ascii="Book Antiqua" w:eastAsia="Times New Roman" w:hAnsi="Book Antiqua"/>
      <w:sz w:val="20"/>
      <w:szCs w:val="20"/>
      <w:lang w:val="en-US"/>
    </w:rPr>
  </w:style>
  <w:style w:type="paragraph" w:styleId="Listenumros3">
    <w:name w:val="List Number 3"/>
    <w:uiPriority w:val="99"/>
    <w:qFormat/>
    <w:rsid w:val="002C03C0"/>
    <w:pPr>
      <w:numPr>
        <w:numId w:val="87"/>
      </w:numPr>
      <w:snapToGrid w:val="0"/>
    </w:pPr>
    <w:rPr>
      <w:rFonts w:ascii="Times New Roman" w:eastAsia="Times New Roman" w:hAnsi="Times New Roman"/>
      <w:sz w:val="22"/>
      <w:lang w:eastAsia="en-US"/>
    </w:rPr>
  </w:style>
  <w:style w:type="paragraph" w:customStyle="1" w:styleId="ModelDoubleNoIndent">
    <w:name w:val="ModelDoubleNoIndent"/>
    <w:basedOn w:val="Normal"/>
    <w:qFormat/>
    <w:rsid w:val="002C03C0"/>
    <w:pPr>
      <w:spacing w:after="360" w:line="480" w:lineRule="auto"/>
      <w:jc w:val="both"/>
    </w:pPr>
    <w:rPr>
      <w:rFonts w:ascii="Times New Roman" w:eastAsia="Times New Roman" w:hAnsi="Times New Roman"/>
      <w:szCs w:val="20"/>
      <w:lang w:val="en-US"/>
    </w:rPr>
  </w:style>
  <w:style w:type="character" w:customStyle="1" w:styleId="normalCar">
    <w:name w:val="normal Car"/>
    <w:link w:val="Normal1"/>
    <w:qFormat/>
    <w:rsid w:val="002C03C0"/>
    <w:rPr>
      <w:rFonts w:ascii="Times New Roman" w:eastAsia="Times New Roman" w:hAnsi="Times New Roman"/>
      <w:sz w:val="24"/>
      <w:szCs w:val="20"/>
      <w:lang w:eastAsia="fr-FR"/>
    </w:rPr>
  </w:style>
  <w:style w:type="paragraph" w:customStyle="1" w:styleId="p5">
    <w:name w:val="p5"/>
    <w:basedOn w:val="Normal"/>
    <w:qFormat/>
    <w:rsid w:val="002C03C0"/>
    <w:pPr>
      <w:tabs>
        <w:tab w:val="left" w:pos="720"/>
      </w:tabs>
      <w:spacing w:after="0" w:line="240" w:lineRule="atLeast"/>
      <w:jc w:val="both"/>
    </w:pPr>
    <w:rPr>
      <w:rFonts w:ascii="Times New Roman" w:eastAsia="Times New Roman" w:hAnsi="Times New Roman"/>
      <w:snapToGrid w:val="0"/>
      <w:sz w:val="24"/>
      <w:szCs w:val="20"/>
      <w:lang w:eastAsia="fr-FR"/>
    </w:rPr>
  </w:style>
  <w:style w:type="paragraph" w:customStyle="1" w:styleId="p27">
    <w:name w:val="p27"/>
    <w:basedOn w:val="Normal"/>
    <w:qFormat/>
    <w:rsid w:val="002C03C0"/>
    <w:pPr>
      <w:tabs>
        <w:tab w:val="left" w:pos="720"/>
      </w:tabs>
      <w:spacing w:after="0" w:line="240" w:lineRule="atLeast"/>
    </w:pPr>
    <w:rPr>
      <w:rFonts w:ascii="Times New Roman" w:eastAsia="Times New Roman" w:hAnsi="Times New Roman"/>
      <w:snapToGrid w:val="0"/>
      <w:sz w:val="24"/>
      <w:szCs w:val="20"/>
      <w:lang w:eastAsia="fr-FR"/>
    </w:rPr>
  </w:style>
  <w:style w:type="paragraph" w:customStyle="1" w:styleId="Retraitcorpsdetexte21">
    <w:name w:val="Retrait corps de texte 21"/>
    <w:basedOn w:val="Normal"/>
    <w:qFormat/>
    <w:rsid w:val="002C03C0"/>
    <w:pPr>
      <w:widowControl w:val="0"/>
      <w:spacing w:after="120" w:line="240" w:lineRule="auto"/>
      <w:ind w:firstLine="567"/>
      <w:jc w:val="both"/>
    </w:pPr>
    <w:rPr>
      <w:rFonts w:eastAsia="Times New Roman"/>
      <w:sz w:val="26"/>
      <w:szCs w:val="20"/>
      <w:lang w:eastAsia="fr-FR"/>
    </w:rPr>
  </w:style>
  <w:style w:type="paragraph" w:customStyle="1" w:styleId="BodyTextIndent21">
    <w:name w:val="Body Text Indent 21"/>
    <w:basedOn w:val="Normal"/>
    <w:qFormat/>
    <w:rsid w:val="002C03C0"/>
    <w:pPr>
      <w:widowControl w:val="0"/>
      <w:spacing w:after="120" w:line="240" w:lineRule="auto"/>
      <w:ind w:firstLine="567"/>
      <w:jc w:val="both"/>
    </w:pPr>
    <w:rPr>
      <w:rFonts w:ascii="Times New Roman" w:eastAsia="Times New Roman" w:hAnsi="Times New Roman"/>
      <w:sz w:val="26"/>
      <w:szCs w:val="20"/>
      <w:lang w:eastAsia="fr-FR"/>
    </w:rPr>
  </w:style>
  <w:style w:type="paragraph" w:customStyle="1" w:styleId="Tiret">
    <w:name w:val="Tiret"/>
    <w:basedOn w:val="Normal"/>
    <w:qFormat/>
    <w:rsid w:val="002C03C0"/>
    <w:pPr>
      <w:numPr>
        <w:numId w:val="88"/>
      </w:numPr>
      <w:spacing w:before="60" w:after="60" w:line="240" w:lineRule="auto"/>
      <w:jc w:val="both"/>
    </w:pPr>
    <w:rPr>
      <w:rFonts w:ascii="Arial" w:eastAsia="Times New Roman" w:hAnsi="Arial" w:cs="Arial"/>
      <w:sz w:val="20"/>
      <w:szCs w:val="20"/>
      <w:lang w:eastAsia="fr-FR"/>
    </w:rPr>
  </w:style>
  <w:style w:type="character" w:customStyle="1" w:styleId="longtext">
    <w:name w:val="long_text"/>
    <w:qFormat/>
    <w:rsid w:val="002C03C0"/>
  </w:style>
  <w:style w:type="paragraph" w:customStyle="1" w:styleId="TableauCECAFUNICEF">
    <w:name w:val="Tableau CECAF UNICEF"/>
    <w:basedOn w:val="Normal"/>
    <w:qFormat/>
    <w:rsid w:val="002C03C0"/>
    <w:pPr>
      <w:numPr>
        <w:numId w:val="89"/>
      </w:numPr>
      <w:spacing w:before="120" w:after="120" w:line="300" w:lineRule="auto"/>
      <w:jc w:val="both"/>
    </w:pPr>
    <w:rPr>
      <w:rFonts w:cs="Arial"/>
      <w:b/>
      <w:sz w:val="24"/>
      <w:szCs w:val="24"/>
      <w:shd w:val="clear" w:color="auto" w:fill="FEFFFF"/>
      <w:lang w:bidi="he-IL"/>
    </w:rPr>
  </w:style>
  <w:style w:type="character" w:customStyle="1" w:styleId="Grillemoyenne1-Accent2Car">
    <w:name w:val="Grille moyenne 1 - Accent 2 Car"/>
    <w:basedOn w:val="Policepardfaut"/>
    <w:link w:val="Grillemoyenne1-Accent2"/>
    <w:qFormat/>
    <w:locked/>
    <w:rsid w:val="002C03C0"/>
  </w:style>
  <w:style w:type="table" w:styleId="Grillemoyenne1-Accent2">
    <w:name w:val="Medium Grid 1 Accent 2"/>
    <w:basedOn w:val="TableauNormal"/>
    <w:link w:val="Grillemoyenne1-Accent2Car"/>
    <w:rsid w:val="002C03C0"/>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ListParagraph4">
    <w:name w:val="List Paragraph_4"/>
    <w:basedOn w:val="Normal"/>
    <w:link w:val="ListParagraphChar3"/>
    <w:qFormat/>
    <w:rsid w:val="002C03C0"/>
    <w:pPr>
      <w:ind w:left="720"/>
      <w:contextualSpacing/>
    </w:pPr>
    <w:rPr>
      <w:sz w:val="20"/>
      <w:szCs w:val="20"/>
      <w:lang w:val="en-US" w:eastAsia="x-none"/>
    </w:rPr>
  </w:style>
  <w:style w:type="character" w:customStyle="1" w:styleId="ListParagraphChar3">
    <w:name w:val="List Paragraph Char_3"/>
    <w:link w:val="ListParagraph4"/>
    <w:qFormat/>
    <w:rsid w:val="002C03C0"/>
    <w:rPr>
      <w:rFonts w:ascii="Calibri" w:eastAsia="Calibri" w:hAnsi="Calibri" w:cs="Times New Roman"/>
      <w:sz w:val="20"/>
      <w:szCs w:val="20"/>
      <w:lang w:val="en-US" w:eastAsia="x-none"/>
    </w:rPr>
  </w:style>
  <w:style w:type="paragraph" w:customStyle="1" w:styleId="ListParagraph5">
    <w:name w:val="List Paragraph_5"/>
    <w:basedOn w:val="Normal"/>
    <w:link w:val="ListParagraphChar4"/>
    <w:qFormat/>
    <w:rsid w:val="002C03C0"/>
    <w:pPr>
      <w:ind w:left="720"/>
      <w:contextualSpacing/>
    </w:pPr>
    <w:rPr>
      <w:sz w:val="20"/>
      <w:szCs w:val="20"/>
      <w:lang w:val="en-US" w:eastAsia="x-none"/>
    </w:rPr>
  </w:style>
  <w:style w:type="character" w:customStyle="1" w:styleId="ListParagraphChar4">
    <w:name w:val="List Paragraph Char_4"/>
    <w:link w:val="ListParagraph5"/>
    <w:qFormat/>
    <w:rsid w:val="002C03C0"/>
    <w:rPr>
      <w:rFonts w:ascii="Calibri" w:eastAsia="Calibri" w:hAnsi="Calibri" w:cs="Times New Roman"/>
      <w:sz w:val="20"/>
      <w:szCs w:val="20"/>
      <w:lang w:val="en-US" w:eastAsia="x-none"/>
    </w:rPr>
  </w:style>
  <w:style w:type="paragraph" w:customStyle="1" w:styleId="ListParagraph6">
    <w:name w:val="List Paragraph_6"/>
    <w:basedOn w:val="Normal"/>
    <w:link w:val="ListParagraphChar5"/>
    <w:qFormat/>
    <w:rsid w:val="002C03C0"/>
    <w:pPr>
      <w:ind w:left="720"/>
      <w:contextualSpacing/>
    </w:pPr>
    <w:rPr>
      <w:sz w:val="20"/>
      <w:szCs w:val="20"/>
      <w:lang w:val="en-US" w:eastAsia="x-none"/>
    </w:rPr>
  </w:style>
  <w:style w:type="character" w:customStyle="1" w:styleId="ListParagraphChar5">
    <w:name w:val="List Paragraph Char_5"/>
    <w:link w:val="ListParagraph6"/>
    <w:qFormat/>
    <w:rsid w:val="002C03C0"/>
    <w:rPr>
      <w:rFonts w:ascii="Calibri" w:eastAsia="Calibri" w:hAnsi="Calibri" w:cs="Times New Roman"/>
      <w:sz w:val="20"/>
      <w:szCs w:val="20"/>
      <w:lang w:val="en-US" w:eastAsia="x-none"/>
    </w:rPr>
  </w:style>
  <w:style w:type="paragraph" w:customStyle="1" w:styleId="ListParagraph7">
    <w:name w:val="List Paragraph_7"/>
    <w:basedOn w:val="Normal"/>
    <w:link w:val="ListParagraphChar6"/>
    <w:qFormat/>
    <w:rsid w:val="002C03C0"/>
    <w:pPr>
      <w:ind w:left="720"/>
      <w:contextualSpacing/>
    </w:pPr>
    <w:rPr>
      <w:sz w:val="20"/>
      <w:szCs w:val="20"/>
      <w:lang w:val="en-US" w:eastAsia="x-none"/>
    </w:rPr>
  </w:style>
  <w:style w:type="character" w:customStyle="1" w:styleId="ListParagraphChar6">
    <w:name w:val="List Paragraph Char_6"/>
    <w:link w:val="ListParagraph7"/>
    <w:qFormat/>
    <w:rsid w:val="002C03C0"/>
    <w:rPr>
      <w:rFonts w:ascii="Calibri" w:eastAsia="Calibri" w:hAnsi="Calibri" w:cs="Times New Roman"/>
      <w:sz w:val="20"/>
      <w:szCs w:val="20"/>
      <w:lang w:val="en-US" w:eastAsia="x-none"/>
    </w:rPr>
  </w:style>
  <w:style w:type="paragraph" w:customStyle="1" w:styleId="ListParagraph10">
    <w:name w:val="List Paragraph_10"/>
    <w:basedOn w:val="Normal"/>
    <w:link w:val="ListParagraphChar9"/>
    <w:qFormat/>
    <w:rsid w:val="002C03C0"/>
    <w:pPr>
      <w:ind w:left="720"/>
      <w:contextualSpacing/>
    </w:pPr>
    <w:rPr>
      <w:sz w:val="20"/>
      <w:szCs w:val="20"/>
      <w:lang w:val="en-US" w:eastAsia="x-none"/>
    </w:rPr>
  </w:style>
  <w:style w:type="character" w:customStyle="1" w:styleId="ListParagraphChar9">
    <w:name w:val="List Paragraph Char_9"/>
    <w:link w:val="ListParagraph10"/>
    <w:qFormat/>
    <w:rsid w:val="002C03C0"/>
    <w:rPr>
      <w:rFonts w:ascii="Calibri" w:eastAsia="Calibri" w:hAnsi="Calibri" w:cs="Times New Roman"/>
      <w:sz w:val="20"/>
      <w:szCs w:val="20"/>
      <w:lang w:val="en-US" w:eastAsia="x-none"/>
    </w:rPr>
  </w:style>
  <w:style w:type="paragraph" w:customStyle="1" w:styleId="ListParagraph11">
    <w:name w:val="List Paragraph_11"/>
    <w:basedOn w:val="Normal"/>
    <w:link w:val="ListParagraphChar10"/>
    <w:qFormat/>
    <w:rsid w:val="002C03C0"/>
    <w:pPr>
      <w:ind w:left="720"/>
      <w:contextualSpacing/>
    </w:pPr>
    <w:rPr>
      <w:sz w:val="20"/>
      <w:szCs w:val="20"/>
      <w:lang w:val="en-US" w:eastAsia="x-none"/>
    </w:rPr>
  </w:style>
  <w:style w:type="character" w:customStyle="1" w:styleId="ListParagraphChar10">
    <w:name w:val="List Paragraph Char_10"/>
    <w:link w:val="ListParagraph11"/>
    <w:qFormat/>
    <w:rsid w:val="002C03C0"/>
    <w:rPr>
      <w:rFonts w:ascii="Calibri" w:eastAsia="Calibri" w:hAnsi="Calibri" w:cs="Times New Roman"/>
      <w:sz w:val="20"/>
      <w:szCs w:val="20"/>
      <w:lang w:val="en-US" w:eastAsia="x-none"/>
    </w:rPr>
  </w:style>
  <w:style w:type="paragraph" w:customStyle="1" w:styleId="ListParagraph12">
    <w:name w:val="List Paragraph_12"/>
    <w:basedOn w:val="Normal"/>
    <w:link w:val="ListParagraphChar11"/>
    <w:qFormat/>
    <w:rsid w:val="002C03C0"/>
    <w:pPr>
      <w:ind w:left="720"/>
      <w:contextualSpacing/>
    </w:pPr>
    <w:rPr>
      <w:sz w:val="20"/>
      <w:szCs w:val="20"/>
      <w:lang w:val="en-US" w:eastAsia="x-none"/>
    </w:rPr>
  </w:style>
  <w:style w:type="character" w:customStyle="1" w:styleId="ListParagraphChar11">
    <w:name w:val="List Paragraph Char_11"/>
    <w:link w:val="ListParagraph12"/>
    <w:qFormat/>
    <w:rsid w:val="002C03C0"/>
    <w:rPr>
      <w:rFonts w:ascii="Calibri" w:eastAsia="Calibri" w:hAnsi="Calibri" w:cs="Times New Roman"/>
      <w:sz w:val="20"/>
      <w:szCs w:val="20"/>
      <w:lang w:val="en-US" w:eastAsia="x-none"/>
    </w:rPr>
  </w:style>
  <w:style w:type="paragraph" w:customStyle="1" w:styleId="ListParagraph13">
    <w:name w:val="List Paragraph_13"/>
    <w:basedOn w:val="Normal"/>
    <w:link w:val="ListParagraphChar12"/>
    <w:qFormat/>
    <w:rsid w:val="002C03C0"/>
    <w:pPr>
      <w:ind w:left="720"/>
      <w:contextualSpacing/>
    </w:pPr>
    <w:rPr>
      <w:sz w:val="20"/>
      <w:szCs w:val="20"/>
      <w:lang w:val="en-US" w:eastAsia="x-none"/>
    </w:rPr>
  </w:style>
  <w:style w:type="character" w:customStyle="1" w:styleId="ListParagraphChar12">
    <w:name w:val="List Paragraph Char_12"/>
    <w:link w:val="ListParagraph13"/>
    <w:qFormat/>
    <w:rsid w:val="002C03C0"/>
    <w:rPr>
      <w:rFonts w:ascii="Calibri" w:eastAsia="Calibri" w:hAnsi="Calibri" w:cs="Times New Roman"/>
      <w:sz w:val="20"/>
      <w:szCs w:val="20"/>
      <w:lang w:val="en-US" w:eastAsia="x-none"/>
    </w:rPr>
  </w:style>
  <w:style w:type="paragraph" w:customStyle="1" w:styleId="ListParagraph14">
    <w:name w:val="List Paragraph_14"/>
    <w:basedOn w:val="Normal"/>
    <w:link w:val="ListParagraphChar13"/>
    <w:qFormat/>
    <w:rsid w:val="002C03C0"/>
    <w:pPr>
      <w:ind w:left="720"/>
      <w:contextualSpacing/>
    </w:pPr>
    <w:rPr>
      <w:sz w:val="20"/>
      <w:szCs w:val="20"/>
      <w:lang w:val="en-US" w:eastAsia="x-none"/>
    </w:rPr>
  </w:style>
  <w:style w:type="character" w:customStyle="1" w:styleId="ListParagraphChar13">
    <w:name w:val="List Paragraph Char_13"/>
    <w:link w:val="ListParagraph14"/>
    <w:qFormat/>
    <w:rsid w:val="002C03C0"/>
    <w:rPr>
      <w:rFonts w:ascii="Calibri" w:eastAsia="Calibri" w:hAnsi="Calibri" w:cs="Times New Roman"/>
      <w:sz w:val="20"/>
      <w:szCs w:val="20"/>
      <w:lang w:val="en-US" w:eastAsia="x-none"/>
    </w:rPr>
  </w:style>
  <w:style w:type="paragraph" w:customStyle="1" w:styleId="ListParagraph15">
    <w:name w:val="List Paragraph_15"/>
    <w:basedOn w:val="Normal"/>
    <w:link w:val="ListParagraphChar14"/>
    <w:qFormat/>
    <w:rsid w:val="002C03C0"/>
    <w:pPr>
      <w:ind w:left="720"/>
      <w:contextualSpacing/>
    </w:pPr>
    <w:rPr>
      <w:sz w:val="20"/>
      <w:szCs w:val="20"/>
      <w:lang w:val="en-US" w:eastAsia="x-none"/>
    </w:rPr>
  </w:style>
  <w:style w:type="character" w:customStyle="1" w:styleId="ListParagraphChar14">
    <w:name w:val="List Paragraph Char_14"/>
    <w:link w:val="ListParagraph15"/>
    <w:qFormat/>
    <w:rsid w:val="002C03C0"/>
    <w:rPr>
      <w:rFonts w:ascii="Calibri" w:eastAsia="Calibri" w:hAnsi="Calibri" w:cs="Times New Roman"/>
      <w:sz w:val="20"/>
      <w:szCs w:val="20"/>
      <w:lang w:val="en-US" w:eastAsia="x-none"/>
    </w:rPr>
  </w:style>
  <w:style w:type="paragraph" w:customStyle="1" w:styleId="ListParagraph17">
    <w:name w:val="List Paragraph_17"/>
    <w:basedOn w:val="Normal"/>
    <w:link w:val="ListParagraphChar16"/>
    <w:qFormat/>
    <w:rsid w:val="002C03C0"/>
    <w:pPr>
      <w:ind w:left="720"/>
      <w:contextualSpacing/>
    </w:pPr>
    <w:rPr>
      <w:sz w:val="20"/>
      <w:szCs w:val="20"/>
      <w:lang w:val="en-US" w:eastAsia="x-none"/>
    </w:rPr>
  </w:style>
  <w:style w:type="character" w:customStyle="1" w:styleId="ListParagraphChar16">
    <w:name w:val="List Paragraph Char_16"/>
    <w:link w:val="ListParagraph17"/>
    <w:qFormat/>
    <w:rsid w:val="002C03C0"/>
    <w:rPr>
      <w:rFonts w:ascii="Calibri" w:eastAsia="Calibri" w:hAnsi="Calibri" w:cs="Times New Roman"/>
      <w:sz w:val="20"/>
      <w:szCs w:val="20"/>
      <w:lang w:val="en-US" w:eastAsia="x-none"/>
    </w:rPr>
  </w:style>
  <w:style w:type="paragraph" w:customStyle="1" w:styleId="ListParagraph20">
    <w:name w:val="List Paragraph_20"/>
    <w:basedOn w:val="Normal"/>
    <w:link w:val="ListParagraphChar19"/>
    <w:qFormat/>
    <w:rsid w:val="002C03C0"/>
    <w:pPr>
      <w:ind w:left="720"/>
      <w:contextualSpacing/>
    </w:pPr>
    <w:rPr>
      <w:sz w:val="20"/>
      <w:szCs w:val="20"/>
      <w:lang w:val="en-US" w:eastAsia="x-none"/>
    </w:rPr>
  </w:style>
  <w:style w:type="character" w:customStyle="1" w:styleId="ListParagraphChar19">
    <w:name w:val="List Paragraph Char_19"/>
    <w:link w:val="ListParagraph20"/>
    <w:qFormat/>
    <w:rsid w:val="002C03C0"/>
    <w:rPr>
      <w:rFonts w:ascii="Calibri" w:eastAsia="Calibri" w:hAnsi="Calibri" w:cs="Times New Roman"/>
      <w:sz w:val="20"/>
      <w:szCs w:val="20"/>
      <w:lang w:val="en-US" w:eastAsia="x-none"/>
    </w:rPr>
  </w:style>
  <w:style w:type="paragraph" w:customStyle="1" w:styleId="ListParagraph21">
    <w:name w:val="List Paragraph_21"/>
    <w:basedOn w:val="Normal"/>
    <w:link w:val="ListParagraphChar20"/>
    <w:qFormat/>
    <w:rsid w:val="002C03C0"/>
    <w:pPr>
      <w:ind w:left="720"/>
      <w:contextualSpacing/>
    </w:pPr>
    <w:rPr>
      <w:sz w:val="20"/>
      <w:szCs w:val="20"/>
      <w:lang w:val="en-US" w:eastAsia="x-none"/>
    </w:rPr>
  </w:style>
  <w:style w:type="character" w:customStyle="1" w:styleId="ListParagraphChar20">
    <w:name w:val="List Paragraph Char_20"/>
    <w:link w:val="ListParagraph21"/>
    <w:qFormat/>
    <w:rsid w:val="002C03C0"/>
    <w:rPr>
      <w:rFonts w:ascii="Calibri" w:eastAsia="Calibri" w:hAnsi="Calibri" w:cs="Times New Roman"/>
      <w:sz w:val="20"/>
      <w:szCs w:val="20"/>
      <w:lang w:val="en-US" w:eastAsia="x-none"/>
    </w:rPr>
  </w:style>
  <w:style w:type="paragraph" w:customStyle="1" w:styleId="ListParagraph22">
    <w:name w:val="List Paragraph_22"/>
    <w:basedOn w:val="Normal"/>
    <w:link w:val="ListParagraphChar21"/>
    <w:qFormat/>
    <w:rsid w:val="002C03C0"/>
    <w:pPr>
      <w:ind w:left="720"/>
      <w:contextualSpacing/>
    </w:pPr>
    <w:rPr>
      <w:sz w:val="20"/>
      <w:szCs w:val="20"/>
      <w:lang w:val="en-US" w:eastAsia="x-none"/>
    </w:rPr>
  </w:style>
  <w:style w:type="character" w:customStyle="1" w:styleId="ListParagraphChar21">
    <w:name w:val="List Paragraph Char_21"/>
    <w:link w:val="ListParagraph22"/>
    <w:qFormat/>
    <w:rsid w:val="002C03C0"/>
    <w:rPr>
      <w:rFonts w:ascii="Calibri" w:eastAsia="Calibri" w:hAnsi="Calibri" w:cs="Times New Roman"/>
      <w:sz w:val="20"/>
      <w:szCs w:val="20"/>
      <w:lang w:val="en-US" w:eastAsia="x-none"/>
    </w:rPr>
  </w:style>
  <w:style w:type="paragraph" w:customStyle="1" w:styleId="a">
    <w:name w:val="_"/>
    <w:basedOn w:val="Normal"/>
    <w:qFormat/>
    <w:rsid w:val="002C03C0"/>
    <w:pPr>
      <w:widowControl w:val="0"/>
      <w:spacing w:after="0" w:line="240" w:lineRule="auto"/>
      <w:ind w:left="1440" w:hanging="720"/>
      <w:jc w:val="both"/>
    </w:pPr>
    <w:rPr>
      <w:rFonts w:ascii="Times New Roman" w:eastAsia="Times New Roman" w:hAnsi="Times New Roman"/>
      <w:snapToGrid w:val="0"/>
      <w:sz w:val="24"/>
      <w:szCs w:val="20"/>
      <w:lang w:val="en-US" w:eastAsia="fr-FR"/>
    </w:rPr>
  </w:style>
  <w:style w:type="paragraph" w:customStyle="1" w:styleId="PuceN2">
    <w:name w:val="PuceN2"/>
    <w:basedOn w:val="Normal"/>
    <w:qFormat/>
    <w:rsid w:val="002C03C0"/>
    <w:pPr>
      <w:numPr>
        <w:numId w:val="90"/>
      </w:numPr>
      <w:spacing w:after="120" w:line="240" w:lineRule="auto"/>
      <w:jc w:val="both"/>
    </w:pPr>
    <w:rPr>
      <w:rFonts w:ascii="Arial" w:eastAsia="Times New Roman" w:hAnsi="Arial"/>
      <w:sz w:val="20"/>
      <w:szCs w:val="20"/>
      <w:lang w:val="fr-CA" w:eastAsia="fr-FR"/>
    </w:rPr>
  </w:style>
  <w:style w:type="paragraph" w:customStyle="1" w:styleId="style22">
    <w:name w:val="style22"/>
    <w:basedOn w:val="Normal"/>
    <w:qFormat/>
    <w:rsid w:val="002C03C0"/>
    <w:pPr>
      <w:spacing w:before="100" w:beforeAutospacing="1" w:after="100" w:afterAutospacing="1" w:line="240" w:lineRule="auto"/>
    </w:pPr>
    <w:rPr>
      <w:rFonts w:ascii="Times New Roman" w:eastAsia="Times New Roman" w:hAnsi="Times New Roman"/>
      <w:sz w:val="24"/>
      <w:szCs w:val="24"/>
      <w:lang w:eastAsia="fr-FR"/>
    </w:rPr>
  </w:style>
  <w:style w:type="table" w:customStyle="1" w:styleId="TableauGrille1Clair-Accentuation11">
    <w:name w:val="Tableau Grille 1 Clair - Accentuation 11"/>
    <w:basedOn w:val="TableauNormal"/>
    <w:uiPriority w:val="46"/>
    <w:rsid w:val="002C03C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0">
    <w:name w:val="Table Grid1"/>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nhideWhenUsed/>
    <w:qFormat/>
    <w:rsid w:val="002C03C0"/>
    <w:rPr>
      <w:color w:val="2B579A"/>
      <w:shd w:val="clear" w:color="auto" w:fill="E6E6E6"/>
    </w:rPr>
  </w:style>
  <w:style w:type="paragraph" w:customStyle="1" w:styleId="description">
    <w:name w:val="description"/>
    <w:basedOn w:val="Normal"/>
    <w:qFormat/>
    <w:rsid w:val="002C03C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6658543074msonormal">
    <w:name w:val="yiv6658543074msonormal"/>
    <w:basedOn w:val="Normal"/>
    <w:qFormat/>
    <w:rsid w:val="002C03C0"/>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yiv7537515532msonormal">
    <w:name w:val="yiv7537515532msonormal"/>
    <w:basedOn w:val="Normal"/>
    <w:qFormat/>
    <w:rsid w:val="002C03C0"/>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
    <w:name w:val="st"/>
    <w:qFormat/>
    <w:rsid w:val="002C03C0"/>
  </w:style>
  <w:style w:type="paragraph" w:customStyle="1" w:styleId="Normal11justifi">
    <w:name w:val="Normal+11 justifié"/>
    <w:basedOn w:val="Normal"/>
    <w:next w:val="Normal"/>
    <w:autoRedefine/>
    <w:qFormat/>
    <w:rsid w:val="002C03C0"/>
    <w:pPr>
      <w:framePr w:hSpace="141" w:wrap="around" w:vAnchor="text" w:hAnchor="page" w:x="2311" w:y="45"/>
      <w:spacing w:after="0" w:line="360" w:lineRule="auto"/>
      <w:ind w:right="10"/>
      <w:jc w:val="both"/>
    </w:pPr>
    <w:rPr>
      <w:rFonts w:ascii="Times New Roman" w:eastAsia="Times New Roman" w:hAnsi="Times New Roman"/>
      <w:bCs/>
      <w:sz w:val="24"/>
      <w:szCs w:val="24"/>
      <w:lang w:eastAsia="fr-FR"/>
    </w:rPr>
  </w:style>
  <w:style w:type="paragraph" w:customStyle="1" w:styleId="Normal11ptJustifi">
    <w:name w:val="Normal+ 11 pt Justifié"/>
    <w:basedOn w:val="Normal11justifi"/>
    <w:next w:val="Normal11justifi"/>
    <w:autoRedefine/>
    <w:qFormat/>
    <w:rsid w:val="002C03C0"/>
    <w:pPr>
      <w:framePr w:hSpace="0" w:wrap="auto" w:vAnchor="margin" w:hAnchor="text" w:xAlign="left" w:yAlign="inline"/>
      <w:autoSpaceDE w:val="0"/>
      <w:autoSpaceDN w:val="0"/>
      <w:adjustRightInd w:val="0"/>
      <w:spacing w:before="120" w:after="120" w:line="240" w:lineRule="auto"/>
      <w:ind w:right="11"/>
      <w:jc w:val="center"/>
    </w:pPr>
    <w:rPr>
      <w:rFonts w:ascii="Calibri" w:eastAsia="Calibri" w:hAnsi="Calibri"/>
      <w:b/>
      <w:sz w:val="20"/>
      <w:szCs w:val="20"/>
    </w:rPr>
  </w:style>
  <w:style w:type="character" w:customStyle="1" w:styleId="ms-rtethemefontface-1">
    <w:name w:val="ms-rtethemefontface-1"/>
    <w:qFormat/>
    <w:rsid w:val="002C03C0"/>
  </w:style>
  <w:style w:type="character" w:customStyle="1" w:styleId="WW8Num1z0">
    <w:name w:val="WW8Num1z0"/>
    <w:qFormat/>
    <w:rsid w:val="002C03C0"/>
  </w:style>
  <w:style w:type="character" w:customStyle="1" w:styleId="WW8Num2z0">
    <w:name w:val="WW8Num2z0"/>
    <w:qFormat/>
    <w:rsid w:val="002C03C0"/>
    <w:rPr>
      <w:rFonts w:hint="default"/>
      <w:b w:val="0"/>
      <w:i w:val="0"/>
    </w:rPr>
  </w:style>
  <w:style w:type="character" w:customStyle="1" w:styleId="WW8Num3z0">
    <w:name w:val="WW8Num3z0"/>
    <w:qFormat/>
    <w:rsid w:val="002C03C0"/>
    <w:rPr>
      <w:rFonts w:ascii="Symbol" w:hAnsi="Symbol" w:cs="Symbol" w:hint="default"/>
    </w:rPr>
  </w:style>
  <w:style w:type="character" w:customStyle="1" w:styleId="WW8Num4z0">
    <w:name w:val="WW8Num4z0"/>
    <w:qFormat/>
    <w:rsid w:val="002C03C0"/>
    <w:rPr>
      <w:rFonts w:ascii="Symbol" w:hAnsi="Symbol" w:cs="Symbol" w:hint="default"/>
    </w:rPr>
  </w:style>
  <w:style w:type="character" w:customStyle="1" w:styleId="WW8Num4z1">
    <w:name w:val="WW8Num4z1"/>
    <w:qFormat/>
    <w:rsid w:val="002C03C0"/>
    <w:rPr>
      <w:rFonts w:ascii="Wingdings" w:hAnsi="Wingdings" w:cs="Wingdings" w:hint="default"/>
    </w:rPr>
  </w:style>
  <w:style w:type="character" w:customStyle="1" w:styleId="WW8Num4z4">
    <w:name w:val="WW8Num4z4"/>
    <w:qFormat/>
    <w:rsid w:val="002C03C0"/>
    <w:rPr>
      <w:rFonts w:ascii="Courier New" w:hAnsi="Courier New" w:cs="Symbol" w:hint="default"/>
    </w:rPr>
  </w:style>
  <w:style w:type="character" w:customStyle="1" w:styleId="WW8Num5z0">
    <w:name w:val="WW8Num5z0"/>
    <w:qFormat/>
    <w:rsid w:val="002C03C0"/>
    <w:rPr>
      <w:rFonts w:hint="default"/>
    </w:rPr>
  </w:style>
  <w:style w:type="character" w:customStyle="1" w:styleId="WW8Num6z0">
    <w:name w:val="WW8Num6z0"/>
    <w:qFormat/>
    <w:rsid w:val="002C03C0"/>
    <w:rPr>
      <w:rFonts w:hint="default"/>
      <w:color w:val="auto"/>
    </w:rPr>
  </w:style>
  <w:style w:type="character" w:customStyle="1" w:styleId="WW8Num7z0">
    <w:name w:val="WW8Num7z0"/>
    <w:qFormat/>
    <w:rsid w:val="002C03C0"/>
    <w:rPr>
      <w:rFonts w:hint="default"/>
      <w:b/>
      <w:i/>
      <w:lang w:val="fr-FR"/>
    </w:rPr>
  </w:style>
  <w:style w:type="character" w:customStyle="1" w:styleId="WW8Num7z1">
    <w:name w:val="WW8Num7z1"/>
    <w:qFormat/>
    <w:rsid w:val="002C03C0"/>
  </w:style>
  <w:style w:type="character" w:customStyle="1" w:styleId="WW8Num7z2">
    <w:name w:val="WW8Num7z2"/>
    <w:qFormat/>
    <w:rsid w:val="002C03C0"/>
  </w:style>
  <w:style w:type="character" w:customStyle="1" w:styleId="WW8Num7z3">
    <w:name w:val="WW8Num7z3"/>
    <w:qFormat/>
    <w:rsid w:val="002C03C0"/>
  </w:style>
  <w:style w:type="character" w:customStyle="1" w:styleId="WW8Num7z4">
    <w:name w:val="WW8Num7z4"/>
    <w:qFormat/>
    <w:rsid w:val="002C03C0"/>
  </w:style>
  <w:style w:type="character" w:customStyle="1" w:styleId="WW8Num7z5">
    <w:name w:val="WW8Num7z5"/>
    <w:qFormat/>
    <w:rsid w:val="002C03C0"/>
  </w:style>
  <w:style w:type="character" w:customStyle="1" w:styleId="WW8Num7z6">
    <w:name w:val="WW8Num7z6"/>
    <w:qFormat/>
    <w:rsid w:val="002C03C0"/>
  </w:style>
  <w:style w:type="character" w:customStyle="1" w:styleId="WW8Num7z7">
    <w:name w:val="WW8Num7z7"/>
    <w:qFormat/>
    <w:rsid w:val="002C03C0"/>
  </w:style>
  <w:style w:type="character" w:customStyle="1" w:styleId="WW8Num7z8">
    <w:name w:val="WW8Num7z8"/>
    <w:qFormat/>
    <w:rsid w:val="002C03C0"/>
  </w:style>
  <w:style w:type="character" w:customStyle="1" w:styleId="WW8Num8z0">
    <w:name w:val="WW8Num8z0"/>
    <w:qFormat/>
    <w:rsid w:val="002C03C0"/>
    <w:rPr>
      <w:rFonts w:ascii="Symbol" w:hAnsi="Symbol" w:cs="Symbol" w:hint="default"/>
    </w:rPr>
  </w:style>
  <w:style w:type="character" w:customStyle="1" w:styleId="WW8Num8z1">
    <w:name w:val="WW8Num8z1"/>
    <w:qFormat/>
    <w:rsid w:val="002C03C0"/>
    <w:rPr>
      <w:rFonts w:ascii="Wingdings" w:hAnsi="Wingdings" w:cs="Wingdings" w:hint="default"/>
    </w:rPr>
  </w:style>
  <w:style w:type="character" w:customStyle="1" w:styleId="WW8Num8z4">
    <w:name w:val="WW8Num8z4"/>
    <w:qFormat/>
    <w:rsid w:val="002C03C0"/>
    <w:rPr>
      <w:rFonts w:ascii="Courier New" w:hAnsi="Courier New" w:cs="Courier New" w:hint="default"/>
    </w:rPr>
  </w:style>
  <w:style w:type="character" w:customStyle="1" w:styleId="WW8Num9z0">
    <w:name w:val="WW8Num9z0"/>
    <w:qFormat/>
    <w:rsid w:val="002C03C0"/>
    <w:rPr>
      <w:rFonts w:ascii="Courier New" w:hAnsi="Courier New" w:cs="Courier New" w:hint="default"/>
    </w:rPr>
  </w:style>
  <w:style w:type="character" w:customStyle="1" w:styleId="WW8Num9z2">
    <w:name w:val="WW8Num9z2"/>
    <w:qFormat/>
    <w:rsid w:val="002C03C0"/>
    <w:rPr>
      <w:rFonts w:ascii="Wingdings" w:hAnsi="Wingdings" w:cs="Wingdings" w:hint="default"/>
    </w:rPr>
  </w:style>
  <w:style w:type="character" w:customStyle="1" w:styleId="WW8Num9z3">
    <w:name w:val="WW8Num9z3"/>
    <w:qFormat/>
    <w:rsid w:val="002C03C0"/>
    <w:rPr>
      <w:rFonts w:ascii="Symbol" w:hAnsi="Symbol" w:cs="Symbol" w:hint="default"/>
    </w:rPr>
  </w:style>
  <w:style w:type="character" w:customStyle="1" w:styleId="WW8Num10z0">
    <w:name w:val="WW8Num10z0"/>
    <w:qFormat/>
    <w:rsid w:val="002C03C0"/>
    <w:rPr>
      <w:rFonts w:ascii="Times New Roman" w:eastAsia="Calibri" w:hAnsi="Times New Roman" w:cs="Times New Roman" w:hint="default"/>
      <w:sz w:val="22"/>
      <w:szCs w:val="22"/>
      <w:lang w:val="fr-FR" w:eastAsia="fr-FR"/>
    </w:rPr>
  </w:style>
  <w:style w:type="character" w:customStyle="1" w:styleId="WW8Num10z1">
    <w:name w:val="WW8Num10z1"/>
    <w:qFormat/>
    <w:rsid w:val="002C03C0"/>
    <w:rPr>
      <w:rFonts w:ascii="Courier New" w:hAnsi="Courier New" w:cs="Courier New" w:hint="default"/>
    </w:rPr>
  </w:style>
  <w:style w:type="character" w:customStyle="1" w:styleId="WW8Num10z2">
    <w:name w:val="WW8Num10z2"/>
    <w:qFormat/>
    <w:rsid w:val="002C03C0"/>
    <w:rPr>
      <w:rFonts w:ascii="Wingdings" w:hAnsi="Wingdings" w:cs="Wingdings" w:hint="default"/>
    </w:rPr>
  </w:style>
  <w:style w:type="character" w:customStyle="1" w:styleId="WW8Num10z3">
    <w:name w:val="WW8Num10z3"/>
    <w:qFormat/>
    <w:rsid w:val="002C03C0"/>
    <w:rPr>
      <w:rFonts w:ascii="Symbol" w:hAnsi="Symbol" w:cs="Symbol" w:hint="default"/>
    </w:rPr>
  </w:style>
  <w:style w:type="character" w:customStyle="1" w:styleId="WW8Num11z0">
    <w:name w:val="WW8Num11z0"/>
    <w:qFormat/>
    <w:rsid w:val="002C03C0"/>
    <w:rPr>
      <w:rFonts w:ascii="Symbol" w:hAnsi="Symbol" w:cs="Symbol" w:hint="default"/>
      <w:sz w:val="22"/>
      <w:szCs w:val="22"/>
      <w:lang w:val="fr-FR"/>
    </w:rPr>
  </w:style>
  <w:style w:type="character" w:customStyle="1" w:styleId="WW8Num11z1">
    <w:name w:val="WW8Num11z1"/>
    <w:qFormat/>
    <w:rsid w:val="002C03C0"/>
    <w:rPr>
      <w:rFonts w:ascii="Courier New" w:hAnsi="Courier New" w:cs="Courier New" w:hint="default"/>
    </w:rPr>
  </w:style>
  <w:style w:type="character" w:customStyle="1" w:styleId="WW8Num11z2">
    <w:name w:val="WW8Num11z2"/>
    <w:qFormat/>
    <w:rsid w:val="002C03C0"/>
    <w:rPr>
      <w:rFonts w:ascii="Wingdings" w:hAnsi="Wingdings" w:cs="Wingdings" w:hint="default"/>
    </w:rPr>
  </w:style>
  <w:style w:type="character" w:customStyle="1" w:styleId="WW8Num12z0">
    <w:name w:val="WW8Num12z0"/>
    <w:qFormat/>
    <w:rsid w:val="002C03C0"/>
    <w:rPr>
      <w:rFonts w:ascii="Arial" w:hAnsi="Arial" w:cs="Arial" w:hint="default"/>
      <w:b/>
      <w:i w:val="0"/>
    </w:rPr>
  </w:style>
  <w:style w:type="character" w:customStyle="1" w:styleId="WW8Num12z1">
    <w:name w:val="WW8Num12z1"/>
    <w:qFormat/>
    <w:rsid w:val="002C03C0"/>
  </w:style>
  <w:style w:type="character" w:customStyle="1" w:styleId="WW8Num12z2">
    <w:name w:val="WW8Num12z2"/>
    <w:qFormat/>
    <w:rsid w:val="002C03C0"/>
  </w:style>
  <w:style w:type="character" w:customStyle="1" w:styleId="WW8Num12z3">
    <w:name w:val="WW8Num12z3"/>
    <w:qFormat/>
    <w:rsid w:val="002C03C0"/>
  </w:style>
  <w:style w:type="character" w:customStyle="1" w:styleId="WW8Num12z4">
    <w:name w:val="WW8Num12z4"/>
    <w:qFormat/>
    <w:rsid w:val="002C03C0"/>
  </w:style>
  <w:style w:type="character" w:customStyle="1" w:styleId="WW8Num12z5">
    <w:name w:val="WW8Num12z5"/>
    <w:qFormat/>
    <w:rsid w:val="002C03C0"/>
  </w:style>
  <w:style w:type="character" w:customStyle="1" w:styleId="WW8Num12z6">
    <w:name w:val="WW8Num12z6"/>
    <w:qFormat/>
    <w:rsid w:val="002C03C0"/>
  </w:style>
  <w:style w:type="character" w:customStyle="1" w:styleId="WW8Num12z7">
    <w:name w:val="WW8Num12z7"/>
    <w:qFormat/>
    <w:rsid w:val="002C03C0"/>
  </w:style>
  <w:style w:type="character" w:customStyle="1" w:styleId="WW8Num12z8">
    <w:name w:val="WW8Num12z8"/>
    <w:qFormat/>
    <w:rsid w:val="002C03C0"/>
  </w:style>
  <w:style w:type="character" w:customStyle="1" w:styleId="WW8Num13z0">
    <w:name w:val="WW8Num13z0"/>
    <w:qFormat/>
    <w:rsid w:val="002C03C0"/>
    <w:rPr>
      <w:rFonts w:ascii="Symbol" w:hAnsi="Symbol" w:cs="Symbol" w:hint="default"/>
    </w:rPr>
  </w:style>
  <w:style w:type="character" w:customStyle="1" w:styleId="WW8Num13z1">
    <w:name w:val="WW8Num13z1"/>
    <w:qFormat/>
    <w:rsid w:val="002C03C0"/>
    <w:rPr>
      <w:rFonts w:ascii="Courier New" w:hAnsi="Courier New" w:cs="Courier New" w:hint="default"/>
    </w:rPr>
  </w:style>
  <w:style w:type="character" w:customStyle="1" w:styleId="WW8Num13z2">
    <w:name w:val="WW8Num13z2"/>
    <w:qFormat/>
    <w:rsid w:val="002C03C0"/>
    <w:rPr>
      <w:rFonts w:ascii="Wingdings" w:hAnsi="Wingdings" w:cs="Wingdings" w:hint="default"/>
    </w:rPr>
  </w:style>
  <w:style w:type="character" w:customStyle="1" w:styleId="WW8Num14z0">
    <w:name w:val="WW8Num14z0"/>
    <w:qFormat/>
    <w:rsid w:val="002C03C0"/>
    <w:rPr>
      <w:rFonts w:ascii="Symbol" w:eastAsia="Calibri" w:hAnsi="Symbol" w:cs="Symbol" w:hint="default"/>
      <w:lang w:eastAsia="en-US"/>
    </w:rPr>
  </w:style>
  <w:style w:type="character" w:customStyle="1" w:styleId="WW8Num14z1">
    <w:name w:val="WW8Num14z1"/>
    <w:qFormat/>
    <w:rsid w:val="002C03C0"/>
    <w:rPr>
      <w:rFonts w:ascii="Courier New" w:hAnsi="Courier New" w:cs="Courier New" w:hint="default"/>
    </w:rPr>
  </w:style>
  <w:style w:type="character" w:customStyle="1" w:styleId="WW8Num14z2">
    <w:name w:val="WW8Num14z2"/>
    <w:qFormat/>
    <w:rsid w:val="002C03C0"/>
    <w:rPr>
      <w:rFonts w:ascii="Wingdings" w:hAnsi="Wingdings" w:cs="Wingdings" w:hint="default"/>
    </w:rPr>
  </w:style>
  <w:style w:type="character" w:customStyle="1" w:styleId="WW8Num15z0">
    <w:name w:val="WW8Num15z0"/>
    <w:qFormat/>
    <w:rsid w:val="002C03C0"/>
    <w:rPr>
      <w:rFonts w:ascii="Symbol" w:hAnsi="Symbol" w:cs="Symbol" w:hint="default"/>
      <w:lang w:val="fr-FR"/>
    </w:rPr>
  </w:style>
  <w:style w:type="character" w:customStyle="1" w:styleId="WW8Num15z1">
    <w:name w:val="WW8Num15z1"/>
    <w:qFormat/>
    <w:rsid w:val="002C03C0"/>
    <w:rPr>
      <w:rFonts w:ascii="Courier New" w:hAnsi="Courier New" w:cs="Courier New" w:hint="default"/>
    </w:rPr>
  </w:style>
  <w:style w:type="character" w:customStyle="1" w:styleId="WW8Num15z2">
    <w:name w:val="WW8Num15z2"/>
    <w:qFormat/>
    <w:rsid w:val="002C03C0"/>
    <w:rPr>
      <w:rFonts w:ascii="Wingdings" w:hAnsi="Wingdings" w:cs="Wingdings" w:hint="default"/>
    </w:rPr>
  </w:style>
  <w:style w:type="character" w:customStyle="1" w:styleId="WW8Num16z0">
    <w:name w:val="WW8Num16z0"/>
    <w:qFormat/>
    <w:rsid w:val="002C03C0"/>
    <w:rPr>
      <w:rFonts w:ascii="Symbol" w:hAnsi="Symbol" w:cs="Symbol" w:hint="default"/>
      <w:sz w:val="22"/>
      <w:szCs w:val="22"/>
      <w:lang w:val="fr-FR"/>
    </w:rPr>
  </w:style>
  <w:style w:type="character" w:customStyle="1" w:styleId="WW8Num16z1">
    <w:name w:val="WW8Num16z1"/>
    <w:qFormat/>
    <w:rsid w:val="002C03C0"/>
    <w:rPr>
      <w:rFonts w:ascii="Courier New" w:hAnsi="Courier New" w:cs="Courier New" w:hint="default"/>
    </w:rPr>
  </w:style>
  <w:style w:type="character" w:customStyle="1" w:styleId="WW8Num16z2">
    <w:name w:val="WW8Num16z2"/>
    <w:qFormat/>
    <w:rsid w:val="002C03C0"/>
    <w:rPr>
      <w:rFonts w:ascii="Wingdings" w:hAnsi="Wingdings" w:cs="Wingdings" w:hint="default"/>
    </w:rPr>
  </w:style>
  <w:style w:type="character" w:customStyle="1" w:styleId="WW8Num17z0">
    <w:name w:val="WW8Num17z0"/>
    <w:qFormat/>
    <w:rsid w:val="002C03C0"/>
  </w:style>
  <w:style w:type="character" w:customStyle="1" w:styleId="WW8Num18z0">
    <w:name w:val="WW8Num18z0"/>
    <w:qFormat/>
    <w:rsid w:val="002C03C0"/>
    <w:rPr>
      <w:rFonts w:ascii="Symbol" w:hAnsi="Symbol" w:cs="Symbol" w:hint="default"/>
      <w:lang w:val="fr-FR"/>
    </w:rPr>
  </w:style>
  <w:style w:type="character" w:customStyle="1" w:styleId="WW8Num18z1">
    <w:name w:val="WW8Num18z1"/>
    <w:qFormat/>
    <w:rsid w:val="002C03C0"/>
    <w:rPr>
      <w:rFonts w:ascii="Courier New" w:hAnsi="Courier New" w:cs="Courier New" w:hint="default"/>
    </w:rPr>
  </w:style>
  <w:style w:type="character" w:customStyle="1" w:styleId="WW8Num18z2">
    <w:name w:val="WW8Num18z2"/>
    <w:qFormat/>
    <w:rsid w:val="002C03C0"/>
    <w:rPr>
      <w:rFonts w:ascii="Wingdings" w:hAnsi="Wingdings" w:cs="Wingdings" w:hint="default"/>
    </w:rPr>
  </w:style>
  <w:style w:type="character" w:customStyle="1" w:styleId="WW8Num19z0">
    <w:name w:val="WW8Num19z0"/>
    <w:qFormat/>
    <w:rsid w:val="002C03C0"/>
    <w:rPr>
      <w:rFonts w:ascii="Symbol" w:hAnsi="Symbol" w:cs="Symbol" w:hint="default"/>
    </w:rPr>
  </w:style>
  <w:style w:type="character" w:customStyle="1" w:styleId="WW8Num19z1">
    <w:name w:val="WW8Num19z1"/>
    <w:qFormat/>
    <w:rsid w:val="002C03C0"/>
    <w:rPr>
      <w:rFonts w:ascii="Courier New" w:hAnsi="Courier New" w:cs="Courier New" w:hint="default"/>
    </w:rPr>
  </w:style>
  <w:style w:type="character" w:customStyle="1" w:styleId="WW8Num19z2">
    <w:name w:val="WW8Num19z2"/>
    <w:qFormat/>
    <w:rsid w:val="002C03C0"/>
    <w:rPr>
      <w:rFonts w:ascii="Wingdings" w:hAnsi="Wingdings" w:cs="Wingdings" w:hint="default"/>
    </w:rPr>
  </w:style>
  <w:style w:type="character" w:customStyle="1" w:styleId="WW8Num20z0">
    <w:name w:val="WW8Num20z0"/>
    <w:qFormat/>
    <w:rsid w:val="002C03C0"/>
    <w:rPr>
      <w:rFonts w:ascii="Symbol" w:hAnsi="Symbol" w:cs="Symbol" w:hint="default"/>
    </w:rPr>
  </w:style>
  <w:style w:type="character" w:customStyle="1" w:styleId="WW8Num20z1">
    <w:name w:val="WW8Num20z1"/>
    <w:qFormat/>
    <w:rsid w:val="002C03C0"/>
    <w:rPr>
      <w:rFonts w:ascii="Courier New" w:hAnsi="Courier New" w:cs="Courier New" w:hint="default"/>
    </w:rPr>
  </w:style>
  <w:style w:type="character" w:customStyle="1" w:styleId="WW8Num20z2">
    <w:name w:val="WW8Num20z2"/>
    <w:qFormat/>
    <w:rsid w:val="002C03C0"/>
    <w:rPr>
      <w:rFonts w:ascii="Wingdings" w:hAnsi="Wingdings" w:cs="Wingdings" w:hint="default"/>
    </w:rPr>
  </w:style>
  <w:style w:type="character" w:customStyle="1" w:styleId="WW8Num21z0">
    <w:name w:val="WW8Num21z0"/>
    <w:qFormat/>
    <w:rsid w:val="002C03C0"/>
    <w:rPr>
      <w:rFonts w:ascii="Wingdings" w:hAnsi="Wingdings" w:cs="Wingdings" w:hint="default"/>
      <w:color w:val="000000"/>
      <w:sz w:val="24"/>
    </w:rPr>
  </w:style>
  <w:style w:type="character" w:customStyle="1" w:styleId="WW8Num21z1">
    <w:name w:val="WW8Num21z1"/>
    <w:qFormat/>
    <w:rsid w:val="002C03C0"/>
    <w:rPr>
      <w:rFonts w:ascii="Courier New" w:hAnsi="Courier New" w:cs="Courier New" w:hint="default"/>
    </w:rPr>
  </w:style>
  <w:style w:type="character" w:customStyle="1" w:styleId="WW8Num21z2">
    <w:name w:val="WW8Num21z2"/>
    <w:qFormat/>
    <w:rsid w:val="002C03C0"/>
    <w:rPr>
      <w:rFonts w:ascii="Wingdings" w:hAnsi="Wingdings" w:cs="Wingdings" w:hint="default"/>
    </w:rPr>
  </w:style>
  <w:style w:type="character" w:customStyle="1" w:styleId="WW8Num21z3">
    <w:name w:val="WW8Num21z3"/>
    <w:qFormat/>
    <w:rsid w:val="002C03C0"/>
    <w:rPr>
      <w:rFonts w:ascii="Symbol" w:hAnsi="Symbol" w:cs="Symbol" w:hint="default"/>
    </w:rPr>
  </w:style>
  <w:style w:type="character" w:customStyle="1" w:styleId="WW8Num22z0">
    <w:name w:val="WW8Num22z0"/>
    <w:qFormat/>
    <w:rsid w:val="002C03C0"/>
  </w:style>
  <w:style w:type="character" w:customStyle="1" w:styleId="WW8Num22z1">
    <w:name w:val="WW8Num22z1"/>
    <w:qFormat/>
    <w:rsid w:val="002C03C0"/>
  </w:style>
  <w:style w:type="character" w:customStyle="1" w:styleId="WW8Num22z2">
    <w:name w:val="WW8Num22z2"/>
    <w:qFormat/>
    <w:rsid w:val="002C03C0"/>
  </w:style>
  <w:style w:type="character" w:customStyle="1" w:styleId="WW8Num22z3">
    <w:name w:val="WW8Num22z3"/>
    <w:qFormat/>
    <w:rsid w:val="002C03C0"/>
  </w:style>
  <w:style w:type="character" w:customStyle="1" w:styleId="WW8Num22z4">
    <w:name w:val="WW8Num22z4"/>
    <w:qFormat/>
    <w:rsid w:val="002C03C0"/>
  </w:style>
  <w:style w:type="character" w:customStyle="1" w:styleId="WW8Num22z5">
    <w:name w:val="WW8Num22z5"/>
    <w:qFormat/>
    <w:rsid w:val="002C03C0"/>
  </w:style>
  <w:style w:type="character" w:customStyle="1" w:styleId="WW8Num22z6">
    <w:name w:val="WW8Num22z6"/>
    <w:qFormat/>
    <w:rsid w:val="002C03C0"/>
  </w:style>
  <w:style w:type="character" w:customStyle="1" w:styleId="WW8Num22z7">
    <w:name w:val="WW8Num22z7"/>
    <w:qFormat/>
    <w:rsid w:val="002C03C0"/>
  </w:style>
  <w:style w:type="character" w:customStyle="1" w:styleId="WW8Num22z8">
    <w:name w:val="WW8Num22z8"/>
    <w:qFormat/>
    <w:rsid w:val="002C03C0"/>
  </w:style>
  <w:style w:type="character" w:customStyle="1" w:styleId="WW8Num23z0">
    <w:name w:val="WW8Num23z0"/>
    <w:qFormat/>
    <w:rsid w:val="002C03C0"/>
    <w:rPr>
      <w:rFonts w:cs="Arial" w:hint="default"/>
    </w:rPr>
  </w:style>
  <w:style w:type="character" w:customStyle="1" w:styleId="WW8Num23z1">
    <w:name w:val="WW8Num23z1"/>
    <w:qFormat/>
    <w:rsid w:val="002C03C0"/>
    <w:rPr>
      <w:rFonts w:ascii="Courier New" w:hAnsi="Courier New" w:cs="Courier New" w:hint="default"/>
    </w:rPr>
  </w:style>
  <w:style w:type="character" w:customStyle="1" w:styleId="WW8Num23z2">
    <w:name w:val="WW8Num23z2"/>
    <w:qFormat/>
    <w:rsid w:val="002C03C0"/>
    <w:rPr>
      <w:rFonts w:ascii="Wingdings" w:hAnsi="Wingdings" w:cs="Wingdings" w:hint="default"/>
    </w:rPr>
  </w:style>
  <w:style w:type="character" w:customStyle="1" w:styleId="WW8Num23z3">
    <w:name w:val="WW8Num23z3"/>
    <w:qFormat/>
    <w:rsid w:val="002C03C0"/>
    <w:rPr>
      <w:rFonts w:ascii="Symbol" w:hAnsi="Symbol" w:cs="Symbol" w:hint="default"/>
    </w:rPr>
  </w:style>
  <w:style w:type="character" w:customStyle="1" w:styleId="WW8Num24z0">
    <w:name w:val="WW8Num24z0"/>
    <w:qFormat/>
    <w:rsid w:val="002C03C0"/>
    <w:rPr>
      <w:rFonts w:ascii="Wingdings" w:hAnsi="Wingdings" w:cs="Wingdings" w:hint="default"/>
    </w:rPr>
  </w:style>
  <w:style w:type="character" w:customStyle="1" w:styleId="WW8Num25z0">
    <w:name w:val="WW8Num25z0"/>
    <w:qFormat/>
    <w:rsid w:val="002C03C0"/>
    <w:rPr>
      <w:rFonts w:hint="default"/>
    </w:rPr>
  </w:style>
  <w:style w:type="character" w:customStyle="1" w:styleId="WW8Num25z3">
    <w:name w:val="WW8Num25z3"/>
    <w:qFormat/>
    <w:rsid w:val="002C03C0"/>
  </w:style>
  <w:style w:type="character" w:customStyle="1" w:styleId="WW8Num25z4">
    <w:name w:val="WW8Num25z4"/>
    <w:qFormat/>
    <w:rsid w:val="002C03C0"/>
  </w:style>
  <w:style w:type="character" w:customStyle="1" w:styleId="WW8Num25z5">
    <w:name w:val="WW8Num25z5"/>
    <w:qFormat/>
    <w:rsid w:val="002C03C0"/>
  </w:style>
  <w:style w:type="character" w:customStyle="1" w:styleId="WW8Num25z6">
    <w:name w:val="WW8Num25z6"/>
    <w:qFormat/>
    <w:rsid w:val="002C03C0"/>
  </w:style>
  <w:style w:type="character" w:customStyle="1" w:styleId="WW8Num25z7">
    <w:name w:val="WW8Num25z7"/>
    <w:qFormat/>
    <w:rsid w:val="002C03C0"/>
  </w:style>
  <w:style w:type="character" w:customStyle="1" w:styleId="WW8Num25z8">
    <w:name w:val="WW8Num25z8"/>
    <w:qFormat/>
    <w:rsid w:val="002C03C0"/>
  </w:style>
  <w:style w:type="character" w:customStyle="1" w:styleId="WW8Num26z0">
    <w:name w:val="WW8Num26z0"/>
    <w:qFormat/>
    <w:rsid w:val="002C03C0"/>
    <w:rPr>
      <w:rFonts w:ascii="Times New Roman" w:eastAsia="Times New Roman" w:hAnsi="Times New Roman" w:cs="Times New Roman" w:hint="default"/>
      <w:b/>
      <w:i/>
      <w:sz w:val="22"/>
      <w:szCs w:val="22"/>
    </w:rPr>
  </w:style>
  <w:style w:type="character" w:customStyle="1" w:styleId="WW8Num26z1">
    <w:name w:val="WW8Num26z1"/>
    <w:qFormat/>
    <w:rsid w:val="002C03C0"/>
    <w:rPr>
      <w:rFonts w:ascii="Courier New" w:hAnsi="Courier New" w:cs="Courier New" w:hint="default"/>
    </w:rPr>
  </w:style>
  <w:style w:type="character" w:customStyle="1" w:styleId="WW8Num26z2">
    <w:name w:val="WW8Num26z2"/>
    <w:qFormat/>
    <w:rsid w:val="002C03C0"/>
    <w:rPr>
      <w:rFonts w:ascii="Wingdings" w:hAnsi="Wingdings" w:cs="Wingdings" w:hint="default"/>
    </w:rPr>
  </w:style>
  <w:style w:type="character" w:customStyle="1" w:styleId="WW8Num26z3">
    <w:name w:val="WW8Num26z3"/>
    <w:qFormat/>
    <w:rsid w:val="002C03C0"/>
    <w:rPr>
      <w:rFonts w:ascii="Symbol" w:hAnsi="Symbol" w:cs="Symbol" w:hint="default"/>
    </w:rPr>
  </w:style>
  <w:style w:type="character" w:customStyle="1" w:styleId="WW8Num27z0">
    <w:name w:val="WW8Num27z0"/>
    <w:qFormat/>
    <w:rsid w:val="002C03C0"/>
  </w:style>
  <w:style w:type="character" w:customStyle="1" w:styleId="WW8Num27z1">
    <w:name w:val="WW8Num27z1"/>
    <w:qFormat/>
    <w:rsid w:val="002C03C0"/>
  </w:style>
  <w:style w:type="character" w:customStyle="1" w:styleId="WW8Num27z2">
    <w:name w:val="WW8Num27z2"/>
    <w:qFormat/>
    <w:rsid w:val="002C03C0"/>
  </w:style>
  <w:style w:type="character" w:customStyle="1" w:styleId="WW8Num27z3">
    <w:name w:val="WW8Num27z3"/>
    <w:qFormat/>
    <w:rsid w:val="002C03C0"/>
    <w:rPr>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27z4">
    <w:name w:val="WW8Num27z4"/>
    <w:qFormat/>
    <w:rsid w:val="002C03C0"/>
  </w:style>
  <w:style w:type="character" w:customStyle="1" w:styleId="WW8Num27z5">
    <w:name w:val="WW8Num27z5"/>
    <w:qFormat/>
    <w:rsid w:val="002C03C0"/>
  </w:style>
  <w:style w:type="character" w:customStyle="1" w:styleId="WW8Num27z6">
    <w:name w:val="WW8Num27z6"/>
    <w:qFormat/>
    <w:rsid w:val="002C03C0"/>
  </w:style>
  <w:style w:type="character" w:customStyle="1" w:styleId="WW8Num27z7">
    <w:name w:val="WW8Num27z7"/>
    <w:qFormat/>
    <w:rsid w:val="002C03C0"/>
  </w:style>
  <w:style w:type="character" w:customStyle="1" w:styleId="WW8Num27z8">
    <w:name w:val="WW8Num27z8"/>
    <w:qFormat/>
    <w:rsid w:val="002C03C0"/>
  </w:style>
  <w:style w:type="character" w:customStyle="1" w:styleId="WW8Num28z0">
    <w:name w:val="WW8Num28z0"/>
    <w:qFormat/>
    <w:rsid w:val="002C03C0"/>
    <w:rPr>
      <w:rFonts w:ascii="Symbol" w:hAnsi="Symbol" w:cs="Symbol" w:hint="default"/>
      <w:sz w:val="22"/>
      <w:szCs w:val="22"/>
    </w:rPr>
  </w:style>
  <w:style w:type="character" w:customStyle="1" w:styleId="WW8Num28z1">
    <w:name w:val="WW8Num28z1"/>
    <w:qFormat/>
    <w:rsid w:val="002C03C0"/>
    <w:rPr>
      <w:rFonts w:ascii="Courier New" w:hAnsi="Courier New" w:cs="Courier New" w:hint="default"/>
    </w:rPr>
  </w:style>
  <w:style w:type="character" w:customStyle="1" w:styleId="WW8Num28z2">
    <w:name w:val="WW8Num28z2"/>
    <w:qFormat/>
    <w:rsid w:val="002C03C0"/>
    <w:rPr>
      <w:rFonts w:ascii="Wingdings" w:hAnsi="Wingdings" w:cs="Wingdings" w:hint="default"/>
    </w:rPr>
  </w:style>
  <w:style w:type="character" w:customStyle="1" w:styleId="WW8Num29z0">
    <w:name w:val="WW8Num29z0"/>
    <w:qFormat/>
    <w:rsid w:val="002C03C0"/>
    <w:rPr>
      <w:rFonts w:ascii="Symbol" w:hAnsi="Symbol" w:cs="Symbol" w:hint="default"/>
    </w:rPr>
  </w:style>
  <w:style w:type="character" w:customStyle="1" w:styleId="WW8Num29z1">
    <w:name w:val="WW8Num29z1"/>
    <w:qFormat/>
    <w:rsid w:val="002C03C0"/>
    <w:rPr>
      <w:rFonts w:ascii="Courier New" w:hAnsi="Courier New" w:cs="Courier New" w:hint="default"/>
    </w:rPr>
  </w:style>
  <w:style w:type="character" w:customStyle="1" w:styleId="WW8Num29z2">
    <w:name w:val="WW8Num29z2"/>
    <w:qFormat/>
    <w:rsid w:val="002C03C0"/>
    <w:rPr>
      <w:rFonts w:ascii="Wingdings" w:hAnsi="Wingdings" w:cs="Wingdings" w:hint="default"/>
    </w:rPr>
  </w:style>
  <w:style w:type="character" w:customStyle="1" w:styleId="WW8Num30z0">
    <w:name w:val="WW8Num30z0"/>
    <w:qFormat/>
    <w:rsid w:val="002C03C0"/>
    <w:rPr>
      <w:rFonts w:ascii="Arial" w:hAnsi="Arial" w:cs="Arial" w:hint="default"/>
      <w:sz w:val="24"/>
      <w:szCs w:val="24"/>
    </w:rPr>
  </w:style>
  <w:style w:type="character" w:customStyle="1" w:styleId="WW8Num30z1">
    <w:name w:val="WW8Num30z1"/>
    <w:qFormat/>
    <w:rsid w:val="002C03C0"/>
  </w:style>
  <w:style w:type="character" w:customStyle="1" w:styleId="WW8Num30z2">
    <w:name w:val="WW8Num30z2"/>
    <w:qFormat/>
    <w:rsid w:val="002C03C0"/>
  </w:style>
  <w:style w:type="character" w:customStyle="1" w:styleId="WW8Num30z3">
    <w:name w:val="WW8Num30z3"/>
    <w:qFormat/>
    <w:rsid w:val="002C03C0"/>
  </w:style>
  <w:style w:type="character" w:customStyle="1" w:styleId="WW8Num30z4">
    <w:name w:val="WW8Num30z4"/>
    <w:qFormat/>
    <w:rsid w:val="002C03C0"/>
  </w:style>
  <w:style w:type="character" w:customStyle="1" w:styleId="WW8Num30z5">
    <w:name w:val="WW8Num30z5"/>
    <w:qFormat/>
    <w:rsid w:val="002C03C0"/>
  </w:style>
  <w:style w:type="character" w:customStyle="1" w:styleId="WW8Num30z6">
    <w:name w:val="WW8Num30z6"/>
    <w:qFormat/>
    <w:rsid w:val="002C03C0"/>
  </w:style>
  <w:style w:type="character" w:customStyle="1" w:styleId="WW8Num30z7">
    <w:name w:val="WW8Num30z7"/>
    <w:qFormat/>
    <w:rsid w:val="002C03C0"/>
  </w:style>
  <w:style w:type="character" w:customStyle="1" w:styleId="WW8Num30z8">
    <w:name w:val="WW8Num30z8"/>
    <w:qFormat/>
    <w:rsid w:val="002C03C0"/>
  </w:style>
  <w:style w:type="character" w:customStyle="1" w:styleId="WW8Num31z0">
    <w:name w:val="WW8Num31z0"/>
    <w:qFormat/>
    <w:rsid w:val="002C03C0"/>
    <w:rPr>
      <w:rFonts w:ascii="Symbol" w:hAnsi="Symbol" w:cs="Symbol" w:hint="default"/>
    </w:rPr>
  </w:style>
  <w:style w:type="character" w:customStyle="1" w:styleId="WW8Num31z1">
    <w:name w:val="WW8Num31z1"/>
    <w:qFormat/>
    <w:rsid w:val="002C03C0"/>
    <w:rPr>
      <w:rFonts w:ascii="Courier New" w:hAnsi="Courier New" w:cs="Courier New" w:hint="default"/>
    </w:rPr>
  </w:style>
  <w:style w:type="character" w:customStyle="1" w:styleId="WW8Num31z2">
    <w:name w:val="WW8Num31z2"/>
    <w:qFormat/>
    <w:rsid w:val="002C03C0"/>
    <w:rPr>
      <w:rFonts w:ascii="Wingdings" w:hAnsi="Wingdings" w:cs="Wingdings" w:hint="default"/>
    </w:rPr>
  </w:style>
  <w:style w:type="character" w:customStyle="1" w:styleId="WW8Num32z0">
    <w:name w:val="WW8Num32z0"/>
    <w:qFormat/>
    <w:rsid w:val="002C03C0"/>
    <w:rPr>
      <w:rFonts w:hint="default"/>
    </w:rPr>
  </w:style>
  <w:style w:type="character" w:customStyle="1" w:styleId="WW8Num32z1">
    <w:name w:val="WW8Num32z1"/>
    <w:qFormat/>
    <w:rsid w:val="002C03C0"/>
    <w:rPr>
      <w:rFonts w:hint="default"/>
      <w:b/>
      <w:i w:val="0"/>
      <w:sz w:val="22"/>
      <w:szCs w:val="22"/>
    </w:rPr>
  </w:style>
  <w:style w:type="character" w:customStyle="1" w:styleId="WW8Num33z0">
    <w:name w:val="WW8Num33z0"/>
    <w:qFormat/>
    <w:rsid w:val="002C03C0"/>
    <w:rPr>
      <w:rFonts w:hint="default"/>
    </w:rPr>
  </w:style>
  <w:style w:type="character" w:customStyle="1" w:styleId="WW8Num34z0">
    <w:name w:val="WW8Num34z0"/>
    <w:qFormat/>
    <w:rsid w:val="002C03C0"/>
    <w:rPr>
      <w:rFonts w:ascii="Symbol" w:hAnsi="Symbol" w:cs="Symbol" w:hint="default"/>
      <w:lang w:val="fr-FR"/>
    </w:rPr>
  </w:style>
  <w:style w:type="character" w:customStyle="1" w:styleId="WW8Num34z1">
    <w:name w:val="WW8Num34z1"/>
    <w:qFormat/>
    <w:rsid w:val="002C03C0"/>
    <w:rPr>
      <w:rFonts w:ascii="Courier New" w:hAnsi="Courier New" w:cs="Courier New" w:hint="default"/>
    </w:rPr>
  </w:style>
  <w:style w:type="character" w:customStyle="1" w:styleId="WW8Num34z2">
    <w:name w:val="WW8Num34z2"/>
    <w:qFormat/>
    <w:rsid w:val="002C03C0"/>
    <w:rPr>
      <w:rFonts w:ascii="Wingdings" w:hAnsi="Wingdings" w:cs="Wingdings" w:hint="default"/>
    </w:rPr>
  </w:style>
  <w:style w:type="character" w:customStyle="1" w:styleId="Policepardfaut1">
    <w:name w:val="Police par défaut1"/>
    <w:qFormat/>
    <w:rsid w:val="002C03C0"/>
  </w:style>
  <w:style w:type="character" w:customStyle="1" w:styleId="Caractresdenotedebasdepage">
    <w:name w:val="Caractères de note de bas de page"/>
    <w:qFormat/>
    <w:rsid w:val="002C03C0"/>
    <w:rPr>
      <w:vertAlign w:val="superscript"/>
    </w:rPr>
  </w:style>
  <w:style w:type="character" w:customStyle="1" w:styleId="Marquedecommentaire1">
    <w:name w:val="Marque de commentaire1"/>
    <w:qFormat/>
    <w:rsid w:val="002C03C0"/>
    <w:rPr>
      <w:sz w:val="16"/>
      <w:szCs w:val="16"/>
    </w:rPr>
  </w:style>
  <w:style w:type="character" w:customStyle="1" w:styleId="WW-Mentionnonrsolue2">
    <w:name w:val="WW-Mention non résolue2"/>
    <w:qFormat/>
    <w:rsid w:val="002C03C0"/>
    <w:rPr>
      <w:color w:val="605E5C"/>
      <w:shd w:val="clear" w:color="auto" w:fill="E1DFDD"/>
    </w:rPr>
  </w:style>
  <w:style w:type="paragraph" w:customStyle="1" w:styleId="Retraitcorpsdetexte22">
    <w:name w:val="Retrait corps de texte 22"/>
    <w:basedOn w:val="Normal"/>
    <w:qFormat/>
    <w:rsid w:val="002C03C0"/>
    <w:pPr>
      <w:suppressAutoHyphens/>
      <w:spacing w:after="120" w:line="480" w:lineRule="auto"/>
      <w:ind w:left="283"/>
    </w:pPr>
    <w:rPr>
      <w:rFonts w:ascii="Times New Roman" w:eastAsia="Times New Roman" w:hAnsi="Times New Roman"/>
      <w:sz w:val="24"/>
      <w:szCs w:val="24"/>
      <w:lang w:val="x-none" w:eastAsia="zh-CN"/>
    </w:rPr>
  </w:style>
  <w:style w:type="paragraph" w:customStyle="1" w:styleId="Retraitcorpsdetexte31">
    <w:name w:val="Retrait corps de texte 31"/>
    <w:basedOn w:val="Normal"/>
    <w:qFormat/>
    <w:rsid w:val="002C03C0"/>
    <w:pPr>
      <w:suppressAutoHyphens/>
      <w:spacing w:after="120" w:line="240" w:lineRule="auto"/>
      <w:ind w:left="283"/>
    </w:pPr>
    <w:rPr>
      <w:rFonts w:ascii="Times New Roman" w:eastAsia="Times New Roman" w:hAnsi="Times New Roman"/>
      <w:sz w:val="16"/>
      <w:szCs w:val="16"/>
      <w:lang w:val="x-none" w:eastAsia="zh-CN"/>
    </w:rPr>
  </w:style>
  <w:style w:type="paragraph" w:customStyle="1" w:styleId="Tabledesillustrations1">
    <w:name w:val="Table des illustrations1"/>
    <w:basedOn w:val="Normal"/>
    <w:next w:val="Normal"/>
    <w:qFormat/>
    <w:rsid w:val="002C03C0"/>
    <w:pPr>
      <w:suppressAutoHyphens/>
      <w:spacing w:after="0" w:line="240" w:lineRule="auto"/>
      <w:ind w:left="480" w:hanging="480"/>
    </w:pPr>
    <w:rPr>
      <w:rFonts w:ascii="Times New Roman" w:eastAsia="Times New Roman" w:hAnsi="Times New Roman"/>
      <w:sz w:val="24"/>
      <w:szCs w:val="24"/>
      <w:lang w:eastAsia="zh-CN"/>
    </w:rPr>
  </w:style>
  <w:style w:type="paragraph" w:customStyle="1" w:styleId="Textebrut1">
    <w:name w:val="Texte brut1"/>
    <w:basedOn w:val="Normal"/>
    <w:qFormat/>
    <w:rsid w:val="002C03C0"/>
    <w:pPr>
      <w:suppressAutoHyphens/>
      <w:spacing w:after="0" w:line="240" w:lineRule="auto"/>
    </w:pPr>
    <w:rPr>
      <w:rFonts w:ascii="Courier New" w:eastAsia="Times New Roman" w:hAnsi="Courier New" w:cs="Courier New"/>
      <w:sz w:val="20"/>
      <w:szCs w:val="20"/>
      <w:lang w:val="fr-BE" w:eastAsia="zh-CN"/>
    </w:rPr>
  </w:style>
  <w:style w:type="paragraph" w:customStyle="1" w:styleId="Listepuces1">
    <w:name w:val="Liste à puces1"/>
    <w:basedOn w:val="Normal"/>
    <w:qFormat/>
    <w:rsid w:val="002C03C0"/>
    <w:pPr>
      <w:suppressAutoHyphens/>
      <w:spacing w:after="0" w:line="240" w:lineRule="auto"/>
      <w:jc w:val="both"/>
    </w:pPr>
    <w:rPr>
      <w:rFonts w:ascii="Times New Roman" w:eastAsia="Times New Roman" w:hAnsi="Times New Roman"/>
      <w:sz w:val="24"/>
      <w:szCs w:val="20"/>
      <w:lang w:val="fr-CA" w:eastAsia="zh-CN"/>
    </w:rPr>
  </w:style>
  <w:style w:type="paragraph" w:customStyle="1" w:styleId="Commentaire1">
    <w:name w:val="Commentaire1"/>
    <w:basedOn w:val="Normal"/>
    <w:qFormat/>
    <w:rsid w:val="002C03C0"/>
    <w:pPr>
      <w:suppressAutoHyphens/>
      <w:spacing w:before="280" w:after="280" w:line="240" w:lineRule="auto"/>
      <w:jc w:val="both"/>
    </w:pPr>
    <w:rPr>
      <w:rFonts w:ascii="Times New Roman" w:eastAsia="Times New Roman" w:hAnsi="Times New Roman"/>
      <w:sz w:val="20"/>
      <w:szCs w:val="20"/>
      <w:lang w:val="x-none" w:eastAsia="zh-CN"/>
    </w:rPr>
  </w:style>
  <w:style w:type="paragraph" w:customStyle="1" w:styleId="Listenumros21">
    <w:name w:val="Liste à numéros 21"/>
    <w:basedOn w:val="Normal"/>
    <w:qFormat/>
    <w:rsid w:val="002C03C0"/>
    <w:pPr>
      <w:tabs>
        <w:tab w:val="num" w:pos="360"/>
      </w:tabs>
      <w:suppressAutoHyphens/>
      <w:spacing w:after="0" w:line="240" w:lineRule="auto"/>
      <w:ind w:left="360" w:hanging="360"/>
    </w:pPr>
    <w:rPr>
      <w:rFonts w:ascii="Times New Roman" w:eastAsia="Times New Roman" w:hAnsi="Times New Roman"/>
      <w:szCs w:val="24"/>
      <w:lang w:eastAsia="zh-CN"/>
    </w:rPr>
  </w:style>
  <w:style w:type="paragraph" w:customStyle="1" w:styleId="Normalcentr1">
    <w:name w:val="Normal centré1"/>
    <w:basedOn w:val="Normal"/>
    <w:qFormat/>
    <w:rsid w:val="002C03C0"/>
    <w:pPr>
      <w:suppressAutoHyphens/>
      <w:spacing w:after="0" w:line="240" w:lineRule="auto"/>
      <w:ind w:left="180" w:right="5292" w:hanging="180"/>
    </w:pPr>
    <w:rPr>
      <w:rFonts w:ascii="Times New Roman" w:eastAsia="Times New Roman" w:hAnsi="Times New Roman"/>
      <w:sz w:val="24"/>
      <w:szCs w:val="24"/>
      <w:lang w:eastAsia="zh-CN"/>
    </w:rPr>
  </w:style>
  <w:style w:type="paragraph" w:customStyle="1" w:styleId="TitreTR1">
    <w:name w:val="Titre TR1"/>
    <w:basedOn w:val="Normal"/>
    <w:next w:val="Normal"/>
    <w:qFormat/>
    <w:rsid w:val="002C03C0"/>
    <w:pPr>
      <w:numPr>
        <w:numId w:val="85"/>
      </w:numPr>
      <w:suppressAutoHyphens/>
      <w:spacing w:before="120" w:after="0" w:line="240" w:lineRule="auto"/>
    </w:pPr>
    <w:rPr>
      <w:rFonts w:ascii="Arial" w:eastAsia="Times New Roman" w:hAnsi="Arial" w:cs="Arial"/>
      <w:b/>
      <w:bCs/>
      <w:sz w:val="24"/>
      <w:szCs w:val="24"/>
      <w:lang w:eastAsia="zh-CN"/>
    </w:rPr>
  </w:style>
  <w:style w:type="paragraph" w:customStyle="1" w:styleId="Listenumros31">
    <w:name w:val="Liste à numéros 31"/>
    <w:qFormat/>
    <w:rsid w:val="002C03C0"/>
    <w:pPr>
      <w:tabs>
        <w:tab w:val="num" w:pos="432"/>
      </w:tabs>
      <w:suppressAutoHyphens/>
      <w:snapToGrid w:val="0"/>
      <w:ind w:left="432" w:hanging="432"/>
    </w:pPr>
    <w:rPr>
      <w:rFonts w:ascii="Times New Roman" w:eastAsia="Times New Roman" w:hAnsi="Times New Roman"/>
      <w:sz w:val="22"/>
      <w:lang w:eastAsia="zh-CN"/>
    </w:rPr>
  </w:style>
  <w:style w:type="paragraph" w:customStyle="1" w:styleId="Listepuces21">
    <w:name w:val="Liste à puces 21"/>
    <w:basedOn w:val="Normal"/>
    <w:qFormat/>
    <w:rsid w:val="002C03C0"/>
    <w:pPr>
      <w:numPr>
        <w:numId w:val="79"/>
      </w:numPr>
      <w:suppressAutoHyphens/>
      <w:spacing w:after="0" w:line="240" w:lineRule="auto"/>
      <w:contextualSpacing/>
    </w:pPr>
    <w:rPr>
      <w:rFonts w:ascii="Times New Roman" w:eastAsia="Times New Roman" w:hAnsi="Times New Roman"/>
      <w:sz w:val="24"/>
      <w:szCs w:val="24"/>
      <w:lang w:val="en-US" w:eastAsia="zh-CN"/>
    </w:rPr>
  </w:style>
  <w:style w:type="paragraph" w:customStyle="1" w:styleId="Contenudetableau">
    <w:name w:val="Contenu de tableau"/>
    <w:basedOn w:val="Normal"/>
    <w:qFormat/>
    <w:rsid w:val="002C03C0"/>
    <w:pPr>
      <w:suppressLineNumbers/>
      <w:suppressAutoHyphens/>
      <w:spacing w:after="0" w:line="240" w:lineRule="auto"/>
    </w:pPr>
    <w:rPr>
      <w:rFonts w:ascii="Times New Roman" w:eastAsia="Times New Roman" w:hAnsi="Times New Roman"/>
      <w:sz w:val="24"/>
      <w:szCs w:val="24"/>
      <w:lang w:val="en-US" w:eastAsia="zh-CN"/>
    </w:rPr>
  </w:style>
  <w:style w:type="paragraph" w:customStyle="1" w:styleId="Titredetableau">
    <w:name w:val="Titre de tableau"/>
    <w:basedOn w:val="Contenudetableau"/>
    <w:qFormat/>
    <w:rsid w:val="002C03C0"/>
    <w:pPr>
      <w:jc w:val="center"/>
    </w:pPr>
    <w:rPr>
      <w:b/>
      <w:bCs/>
    </w:rPr>
  </w:style>
  <w:style w:type="numbering" w:customStyle="1" w:styleId="Aucuneliste2">
    <w:name w:val="Aucune liste2"/>
    <w:next w:val="Aucuneliste"/>
    <w:uiPriority w:val="99"/>
    <w:semiHidden/>
    <w:unhideWhenUsed/>
    <w:qFormat/>
    <w:rsid w:val="002C03C0"/>
  </w:style>
  <w:style w:type="table" w:customStyle="1" w:styleId="TableGrid4">
    <w:name w:val="TableGrid4"/>
    <w:rsid w:val="002C03C0"/>
    <w:rPr>
      <w:rFonts w:eastAsia="Times New Roman"/>
      <w:sz w:val="22"/>
      <w:szCs w:val="22"/>
    </w:rPr>
    <w:tblPr>
      <w:tblCellMar>
        <w:top w:w="0" w:type="dxa"/>
        <w:left w:w="0" w:type="dxa"/>
        <w:bottom w:w="0" w:type="dxa"/>
        <w:right w:w="0" w:type="dxa"/>
      </w:tblCellMar>
    </w:tblPr>
  </w:style>
  <w:style w:type="numbering" w:customStyle="1" w:styleId="Aucuneliste3">
    <w:name w:val="Aucune liste3"/>
    <w:next w:val="Aucuneliste"/>
    <w:uiPriority w:val="99"/>
    <w:semiHidden/>
    <w:unhideWhenUsed/>
    <w:qFormat/>
    <w:rsid w:val="002C03C0"/>
  </w:style>
  <w:style w:type="table" w:customStyle="1" w:styleId="EYTable1">
    <w:name w:val="EY Table1"/>
    <w:basedOn w:val="TableauNormal"/>
    <w:next w:val="Grilledutableau"/>
    <w:uiPriority w:val="39"/>
    <w:qFormat/>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
    <w:name w:val="Grille du tableau21"/>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2">
    <w:name w:val="En-tête Car2"/>
    <w:aliases w:val="En-tête client Car2,Car2 Car2,/ pied de page Car2,Header1 Car1,hd Car1"/>
    <w:uiPriority w:val="99"/>
    <w:qFormat/>
    <w:locked/>
    <w:rsid w:val="002C03C0"/>
    <w:rPr>
      <w:sz w:val="24"/>
      <w:szCs w:val="24"/>
    </w:rPr>
  </w:style>
  <w:style w:type="character" w:customStyle="1" w:styleId="En-tteCar1">
    <w:name w:val="En-tête Car1"/>
    <w:aliases w:val="En-tête client Car1,Car2 Car1,/ pied de page Car1"/>
    <w:basedOn w:val="Policepardfaut"/>
    <w:uiPriority w:val="99"/>
    <w:semiHidden/>
    <w:qFormat/>
    <w:rsid w:val="002C03C0"/>
  </w:style>
  <w:style w:type="character" w:customStyle="1" w:styleId="CorpsdetexteCar2">
    <w:name w:val="Corps de texte Car2"/>
    <w:basedOn w:val="Policepardfaut"/>
    <w:uiPriority w:val="99"/>
    <w:semiHidden/>
    <w:qFormat/>
    <w:rsid w:val="002C03C0"/>
  </w:style>
  <w:style w:type="character" w:customStyle="1" w:styleId="PieddepageCar1">
    <w:name w:val="Pied de page Car1"/>
    <w:basedOn w:val="Policepardfaut"/>
    <w:uiPriority w:val="99"/>
    <w:qFormat/>
    <w:rsid w:val="002C03C0"/>
  </w:style>
  <w:style w:type="table" w:customStyle="1" w:styleId="TableGrid11">
    <w:name w:val="Table Grid11"/>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41">
    <w:name w:val="Head 4.1"/>
    <w:basedOn w:val="Normal"/>
    <w:link w:val="Head41Char"/>
    <w:qFormat/>
    <w:rsid w:val="002C03C0"/>
    <w:pPr>
      <w:spacing w:after="200" w:line="240" w:lineRule="auto"/>
      <w:ind w:left="576" w:hanging="576"/>
      <w:jc w:val="center"/>
    </w:pPr>
    <w:rPr>
      <w:rFonts w:ascii="Times New Roman" w:eastAsia="Times New Roman" w:hAnsi="Times New Roman"/>
      <w:b/>
      <w:sz w:val="28"/>
      <w:szCs w:val="20"/>
      <w:lang w:val="x-none" w:eastAsia="x-none"/>
    </w:rPr>
  </w:style>
  <w:style w:type="character" w:customStyle="1" w:styleId="Head41Char">
    <w:name w:val="Head 4.1 Char"/>
    <w:link w:val="Head41"/>
    <w:qFormat/>
    <w:rsid w:val="002C03C0"/>
    <w:rPr>
      <w:rFonts w:ascii="Times New Roman" w:eastAsia="Times New Roman" w:hAnsi="Times New Roman" w:cs="Times New Roman"/>
      <w:b/>
      <w:sz w:val="28"/>
      <w:szCs w:val="20"/>
      <w:lang w:val="x-none" w:eastAsia="x-none"/>
    </w:rPr>
  </w:style>
  <w:style w:type="paragraph" w:customStyle="1" w:styleId="i">
    <w:name w:val="(i)"/>
    <w:basedOn w:val="Normal"/>
    <w:qFormat/>
    <w:rsid w:val="002C03C0"/>
    <w:pPr>
      <w:spacing w:after="200" w:line="240" w:lineRule="auto"/>
      <w:ind w:left="576" w:hanging="576"/>
      <w:jc w:val="both"/>
    </w:pPr>
    <w:rPr>
      <w:rFonts w:ascii="Tms Rmn" w:eastAsia="Times New Roman" w:hAnsi="Tms Rmn"/>
      <w:sz w:val="24"/>
      <w:szCs w:val="20"/>
      <w:lang w:val="en-US" w:eastAsia="fr-FR"/>
    </w:rPr>
  </w:style>
  <w:style w:type="paragraph" w:customStyle="1" w:styleId="Sec10head1">
    <w:name w:val="Sec 10 head 1"/>
    <w:basedOn w:val="Normal"/>
    <w:qFormat/>
    <w:rsid w:val="002C03C0"/>
    <w:pPr>
      <w:spacing w:before="360" w:after="240" w:line="240" w:lineRule="auto"/>
      <w:ind w:left="578" w:hanging="578"/>
      <w:jc w:val="center"/>
    </w:pPr>
    <w:rPr>
      <w:rFonts w:ascii="Times New Roman" w:eastAsia="Times New Roman" w:hAnsi="Times New Roman"/>
      <w:b/>
      <w:sz w:val="32"/>
      <w:szCs w:val="20"/>
      <w:lang w:eastAsia="fr-FR"/>
    </w:rPr>
  </w:style>
  <w:style w:type="table" w:customStyle="1" w:styleId="TableGrid5">
    <w:name w:val="TableGrid5"/>
    <w:rsid w:val="002C03C0"/>
    <w:rPr>
      <w:rFonts w:eastAsia="Times New Roman"/>
      <w:sz w:val="22"/>
      <w:szCs w:val="22"/>
    </w:rPr>
    <w:tblPr>
      <w:tblCellMar>
        <w:top w:w="0" w:type="dxa"/>
        <w:left w:w="0" w:type="dxa"/>
        <w:bottom w:w="0" w:type="dxa"/>
        <w:right w:w="0" w:type="dxa"/>
      </w:tblCellMar>
    </w:tblPr>
  </w:style>
  <w:style w:type="table" w:customStyle="1" w:styleId="Grilledutableau41">
    <w:name w:val="Grille du tableau41"/>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qFormat/>
    <w:rsid w:val="002C03C0"/>
  </w:style>
  <w:style w:type="table" w:customStyle="1" w:styleId="Grilledutableau111">
    <w:name w:val="Grille du tableau111"/>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
    <w:name w:val="Grille du tableau51"/>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1">
    <w:name w:val="Grille du tableau1111"/>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
    <w:name w:val="Grille du tableau8"/>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
    <w:name w:val="Grille du tableau9"/>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14">
    <w:name w:val="Char Style 14"/>
    <w:link w:val="Style130"/>
    <w:qFormat/>
    <w:rsid w:val="002C03C0"/>
    <w:rPr>
      <w:rFonts w:ascii="Arial" w:eastAsia="Arial" w:hAnsi="Arial" w:cs="Arial"/>
      <w:spacing w:val="-1"/>
      <w:sz w:val="17"/>
      <w:szCs w:val="17"/>
      <w:shd w:val="clear" w:color="auto" w:fill="FFFFFF"/>
    </w:rPr>
  </w:style>
  <w:style w:type="paragraph" w:customStyle="1" w:styleId="Style130">
    <w:name w:val="Style 13"/>
    <w:basedOn w:val="Normal"/>
    <w:link w:val="CharStyle14"/>
    <w:qFormat/>
    <w:rsid w:val="002C03C0"/>
    <w:pPr>
      <w:widowControl w:val="0"/>
      <w:shd w:val="clear" w:color="auto" w:fill="FFFFFF"/>
      <w:spacing w:before="240" w:after="0" w:line="259" w:lineRule="exact"/>
      <w:ind w:hanging="440"/>
      <w:jc w:val="both"/>
    </w:pPr>
    <w:rPr>
      <w:rFonts w:ascii="Arial" w:eastAsia="Arial" w:hAnsi="Arial" w:cs="Arial"/>
      <w:spacing w:val="-1"/>
      <w:sz w:val="17"/>
      <w:szCs w:val="17"/>
    </w:rPr>
  </w:style>
  <w:style w:type="table" w:customStyle="1" w:styleId="Grilledutableau13">
    <w:name w:val="Grille du tableau13"/>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2">
    <w:name w:val="Grille du tableau22"/>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2">
    <w:name w:val="Grille du tableau42"/>
    <w:basedOn w:val="TableauNormal"/>
    <w:next w:val="Grilledutableau"/>
    <w:uiPriority w:val="3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2">
    <w:name w:val="Grille du tableau112"/>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2">
    <w:name w:val="Grille du tableau1112"/>
    <w:basedOn w:val="TableauNormal"/>
    <w:next w:val="Grilledutableau"/>
    <w:uiPriority w:val="59"/>
    <w:rsid w:val="002C0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4F08B7"/>
  </w:style>
  <w:style w:type="table" w:customStyle="1" w:styleId="Grilledutableau14">
    <w:name w:val="Grille du tableau14"/>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4F08B7"/>
    <w:rPr>
      <w:rFonts w:eastAsia="Times New Roman"/>
      <w:sz w:val="22"/>
      <w:szCs w:val="22"/>
    </w:rPr>
    <w:tblPr>
      <w:tblCellMar>
        <w:top w:w="0" w:type="dxa"/>
        <w:left w:w="0" w:type="dxa"/>
        <w:bottom w:w="0" w:type="dxa"/>
        <w:right w:w="0" w:type="dxa"/>
      </w:tblCellMar>
    </w:tblPr>
  </w:style>
  <w:style w:type="table" w:customStyle="1" w:styleId="TableGrid110">
    <w:name w:val="TableGrid11"/>
    <w:rsid w:val="004F08B7"/>
    <w:rPr>
      <w:rFonts w:eastAsia="Times New Roman"/>
      <w:sz w:val="22"/>
      <w:szCs w:val="22"/>
    </w:rPr>
    <w:tblPr>
      <w:tblCellMar>
        <w:top w:w="0" w:type="dxa"/>
        <w:left w:w="0" w:type="dxa"/>
        <w:bottom w:w="0" w:type="dxa"/>
        <w:right w:w="0" w:type="dxa"/>
      </w:tblCellMar>
    </w:tblPr>
  </w:style>
  <w:style w:type="table" w:customStyle="1" w:styleId="TableGrid21">
    <w:name w:val="TableGrid21"/>
    <w:rsid w:val="004F08B7"/>
    <w:rPr>
      <w:rFonts w:eastAsia="Times New Roman"/>
      <w:sz w:val="22"/>
      <w:szCs w:val="22"/>
    </w:rPr>
    <w:tblPr>
      <w:tblCellMar>
        <w:top w:w="0" w:type="dxa"/>
        <w:left w:w="0" w:type="dxa"/>
        <w:bottom w:w="0" w:type="dxa"/>
        <w:right w:w="0" w:type="dxa"/>
      </w:tblCellMar>
    </w:tblPr>
  </w:style>
  <w:style w:type="table" w:customStyle="1" w:styleId="TableGrid31">
    <w:name w:val="TableGrid31"/>
    <w:rsid w:val="004F08B7"/>
    <w:rPr>
      <w:rFonts w:eastAsia="Times New Roman"/>
      <w:sz w:val="22"/>
      <w:szCs w:val="22"/>
    </w:rPr>
    <w:tblPr>
      <w:tblCellMar>
        <w:top w:w="0" w:type="dxa"/>
        <w:left w:w="0" w:type="dxa"/>
        <w:bottom w:w="0" w:type="dxa"/>
        <w:right w:w="0" w:type="dxa"/>
      </w:tblCellMar>
    </w:tblPr>
  </w:style>
  <w:style w:type="numbering" w:customStyle="1" w:styleId="Aucuneliste12">
    <w:name w:val="Aucune liste12"/>
    <w:next w:val="Aucuneliste"/>
    <w:uiPriority w:val="99"/>
    <w:semiHidden/>
    <w:unhideWhenUsed/>
    <w:rsid w:val="004F08B7"/>
  </w:style>
  <w:style w:type="table" w:customStyle="1" w:styleId="mtbs11">
    <w:name w:val="mtbs11"/>
    <w:basedOn w:val="TableauNormal"/>
    <w:next w:val="Grilledutableau"/>
    <w:uiPriority w:val="39"/>
    <w:qFormat/>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1">
    <w:name w:val="Grille moyenne 1 - Accent 21"/>
    <w:basedOn w:val="TableauNormal"/>
    <w:next w:val="Grillemoyenne1-Accent2"/>
    <w:rsid w:val="004F08B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eauGrille1Clair-Accentuation111">
    <w:name w:val="Tableau Grille 1 Clair - Accentuation 111"/>
    <w:basedOn w:val="TableauNormal"/>
    <w:uiPriority w:val="46"/>
    <w:rsid w:val="004F08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
    <w:name w:val="Table Grid12"/>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4F08B7"/>
  </w:style>
  <w:style w:type="table" w:customStyle="1" w:styleId="TableGrid41">
    <w:name w:val="TableGrid41"/>
    <w:rsid w:val="004F08B7"/>
    <w:rPr>
      <w:rFonts w:eastAsia="Times New Roman"/>
      <w:sz w:val="22"/>
      <w:szCs w:val="22"/>
    </w:rPr>
    <w:tblPr>
      <w:tblCellMar>
        <w:top w:w="0" w:type="dxa"/>
        <w:left w:w="0" w:type="dxa"/>
        <w:bottom w:w="0" w:type="dxa"/>
        <w:right w:w="0" w:type="dxa"/>
      </w:tblCellMar>
    </w:tblPr>
  </w:style>
  <w:style w:type="numbering" w:customStyle="1" w:styleId="Aucuneliste31">
    <w:name w:val="Aucune liste31"/>
    <w:next w:val="Aucuneliste"/>
    <w:uiPriority w:val="99"/>
    <w:semiHidden/>
    <w:unhideWhenUsed/>
    <w:rsid w:val="004F08B7"/>
  </w:style>
  <w:style w:type="table" w:customStyle="1" w:styleId="EYTable11">
    <w:name w:val="EY Table11"/>
    <w:basedOn w:val="TableauNormal"/>
    <w:next w:val="Grilledutableau"/>
    <w:uiPriority w:val="39"/>
    <w:qFormat/>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
    <w:name w:val="Grille du tableau23"/>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3">
    <w:name w:val="Grille du tableau33"/>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4F08B7"/>
    <w:rPr>
      <w:rFonts w:eastAsia="Times New Roman"/>
      <w:sz w:val="22"/>
      <w:szCs w:val="22"/>
    </w:rPr>
    <w:tblPr>
      <w:tblCellMar>
        <w:top w:w="0" w:type="dxa"/>
        <w:left w:w="0" w:type="dxa"/>
        <w:bottom w:w="0" w:type="dxa"/>
        <w:right w:w="0" w:type="dxa"/>
      </w:tblCellMar>
    </w:tblPr>
  </w:style>
  <w:style w:type="table" w:customStyle="1" w:styleId="Grilledutableau43">
    <w:name w:val="Grille du tableau43"/>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2">
    <w:name w:val="Grille du tableau52"/>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Aucuneliste"/>
    <w:uiPriority w:val="99"/>
    <w:semiHidden/>
    <w:unhideWhenUsed/>
    <w:rsid w:val="004F08B7"/>
  </w:style>
  <w:style w:type="table" w:customStyle="1" w:styleId="Grilledutableau113">
    <w:name w:val="Grille du tableau113"/>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1">
    <w:name w:val="Grille du tableau21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
    <w:name w:val="Grille du tableau411"/>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1">
    <w:name w:val="Grille du tableau51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1">
    <w:name w:val="Grille du tableau6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1">
    <w:name w:val="Grille du tableau71"/>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3">
    <w:name w:val="Grille du tableau1113"/>
    <w:basedOn w:val="TableauNormal"/>
    <w:next w:val="Grilledutableau"/>
    <w:uiPriority w:val="5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1">
    <w:name w:val="Grille du tableau8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1">
    <w:name w:val="Grille du tableau9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1">
    <w:name w:val="Grille du tableau101"/>
    <w:basedOn w:val="TableauNormal"/>
    <w:next w:val="Grilledutableau"/>
    <w:uiPriority w:val="39"/>
    <w:rsid w:val="004F0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6">
    <w:name w:val="Grille du tableau16"/>
    <w:basedOn w:val="TableauNormal"/>
    <w:next w:val="Grilledutableau"/>
    <w:uiPriority w:val="39"/>
    <w:rsid w:val="0098254E"/>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BC2C3C"/>
    <w:rPr>
      <w:color w:val="605E5C"/>
      <w:shd w:val="clear" w:color="auto" w:fill="E1DFDD"/>
    </w:rPr>
  </w:style>
  <w:style w:type="numbering" w:customStyle="1" w:styleId="Style9">
    <w:name w:val="Style9"/>
    <w:uiPriority w:val="99"/>
    <w:rsid w:val="00BD2C8B"/>
    <w:pPr>
      <w:numPr>
        <w:numId w:val="130"/>
      </w:numPr>
    </w:pPr>
  </w:style>
  <w:style w:type="numbering" w:customStyle="1" w:styleId="Style10">
    <w:name w:val="Style10"/>
    <w:uiPriority w:val="99"/>
    <w:rsid w:val="00C23415"/>
    <w:pPr>
      <w:numPr>
        <w:numId w:val="131"/>
      </w:numPr>
    </w:pPr>
  </w:style>
  <w:style w:type="character" w:customStyle="1" w:styleId="FootnoteCharacters">
    <w:name w:val="Footnote Characters"/>
    <w:qFormat/>
    <w:rsid w:val="00E41A2F"/>
    <w:rPr>
      <w:vertAlign w:val="superscript"/>
    </w:rPr>
  </w:style>
  <w:style w:type="paragraph" w:customStyle="1" w:styleId="Textebrut2">
    <w:name w:val="Texte brut2"/>
    <w:basedOn w:val="Normal"/>
    <w:qFormat/>
    <w:rsid w:val="00E41A2F"/>
    <w:pPr>
      <w:suppressAutoHyphens/>
      <w:spacing w:after="0" w:line="240" w:lineRule="auto"/>
    </w:pPr>
    <w:rPr>
      <w:rFonts w:ascii="Courier New" w:eastAsia="Times New Roman" w:hAnsi="Courier New" w:cs="Courier New"/>
      <w:sz w:val="20"/>
      <w:szCs w:val="20"/>
      <w:lang w:eastAsia="fr-FR"/>
    </w:rPr>
  </w:style>
  <w:style w:type="paragraph" w:customStyle="1" w:styleId="gmail-msolistparagraph">
    <w:name w:val="gmail-msolistparagraph"/>
    <w:basedOn w:val="Normal"/>
    <w:qFormat/>
    <w:rsid w:val="009D4361"/>
    <w:pPr>
      <w:spacing w:before="100" w:beforeAutospacing="1" w:after="100" w:afterAutospacing="1" w:line="240" w:lineRule="auto"/>
    </w:pPr>
    <w:rPr>
      <w:rFonts w:cs="Calibri"/>
      <w:lang w:val="en-US"/>
    </w:rPr>
  </w:style>
  <w:style w:type="character" w:customStyle="1" w:styleId="fontstyle01">
    <w:name w:val="fontstyle01"/>
    <w:rsid w:val="0082631D"/>
    <w:rPr>
      <w:rFonts w:ascii="FiraSans-Light" w:hAnsi="FiraSans-Light" w:hint="default"/>
      <w:b w:val="0"/>
      <w:bCs w:val="0"/>
      <w:i w:val="0"/>
      <w:iCs w:val="0"/>
      <w:color w:val="000000"/>
      <w:sz w:val="16"/>
      <w:szCs w:val="16"/>
    </w:rPr>
  </w:style>
  <w:style w:type="paragraph" w:customStyle="1" w:styleId="RefCharCarCharCar">
    <w:name w:val="Ref Char Car Char Car"/>
    <w:aliases w:val="de nota al pie Char Car Char Car,16 Point Char Car Char Car,Superscript 6 Point Char Car Char Car,ftref Char Car Char Car,BVI fnr Char Car Char Car,BVI fnr Car Car Char Car Char Car,Ref Car"/>
    <w:basedOn w:val="Normal"/>
    <w:uiPriority w:val="99"/>
    <w:qFormat/>
    <w:rsid w:val="0082631D"/>
    <w:pPr>
      <w:spacing w:line="240" w:lineRule="exact"/>
    </w:pPr>
    <w:rPr>
      <w:rFonts w:eastAsia="SimSun" w:cs="Calibri"/>
      <w:vertAlign w:val="superscript"/>
    </w:rPr>
  </w:style>
  <w:style w:type="character" w:customStyle="1" w:styleId="Ancredenotedebasdepage">
    <w:name w:val="Ancre de note de bas de page"/>
    <w:rsid w:val="0082631D"/>
    <w:rPr>
      <w:vertAlign w:val="superscript"/>
    </w:rPr>
  </w:style>
  <w:style w:type="character" w:customStyle="1" w:styleId="LienInternetvisit">
    <w:name w:val="Lien Internet visité"/>
    <w:uiPriority w:val="99"/>
    <w:rsid w:val="0082631D"/>
    <w:rPr>
      <w:color w:val="800080"/>
      <w:u w:val="single"/>
    </w:rPr>
  </w:style>
  <w:style w:type="character" w:customStyle="1" w:styleId="Mentionnonrsolue21">
    <w:name w:val="Mention non résolue21"/>
    <w:unhideWhenUsed/>
    <w:qFormat/>
    <w:rsid w:val="0082631D"/>
    <w:rPr>
      <w:color w:val="605E5C"/>
      <w:shd w:val="clear" w:color="auto" w:fill="E1DFDD"/>
    </w:rPr>
  </w:style>
  <w:style w:type="character" w:customStyle="1" w:styleId="UnresolvedMention11">
    <w:name w:val="Unresolved Mention11"/>
    <w:uiPriority w:val="99"/>
    <w:semiHidden/>
    <w:unhideWhenUsed/>
    <w:qFormat/>
    <w:rsid w:val="0082631D"/>
    <w:rPr>
      <w:color w:val="605E5C"/>
      <w:shd w:val="clear" w:color="auto" w:fill="E1DFDD"/>
    </w:rPr>
  </w:style>
  <w:style w:type="character" w:customStyle="1" w:styleId="Ancredenotedefin">
    <w:name w:val="Ancre de note de fin"/>
    <w:rsid w:val="0082631D"/>
    <w:rPr>
      <w:vertAlign w:val="superscript"/>
    </w:rPr>
  </w:style>
  <w:style w:type="paragraph" w:customStyle="1" w:styleId="En-tteetpieddepage">
    <w:name w:val="En-tête et pied de page"/>
    <w:basedOn w:val="Normal"/>
    <w:qFormat/>
    <w:rsid w:val="0082631D"/>
    <w:pPr>
      <w:suppressAutoHyphens/>
    </w:pPr>
  </w:style>
  <w:style w:type="character" w:customStyle="1" w:styleId="Sous-titreCar1">
    <w:name w:val="Sous-titre Car1"/>
    <w:rsid w:val="0082631D"/>
    <w:rPr>
      <w:rFonts w:ascii="Times New Roman" w:eastAsia="Times New Roman" w:hAnsi="Times New Roman" w:cs="Times New Roman"/>
      <w:b/>
      <w:bCs/>
      <w:sz w:val="24"/>
      <w:szCs w:val="24"/>
      <w:lang w:val="fr-CA" w:eastAsia="x-none"/>
    </w:rPr>
  </w:style>
  <w:style w:type="character" w:customStyle="1" w:styleId="Retraitcorpsdetexte2Car1">
    <w:name w:val="Retrait corps de texte 2 Car1"/>
    <w:basedOn w:val="Policepardfaut"/>
    <w:uiPriority w:val="99"/>
    <w:semiHidden/>
    <w:rsid w:val="0082631D"/>
  </w:style>
  <w:style w:type="character" w:customStyle="1" w:styleId="Retraitcorpsdetexte3Car1">
    <w:name w:val="Retrait corps de texte 3 Car1"/>
    <w:uiPriority w:val="99"/>
    <w:semiHidden/>
    <w:rsid w:val="0082631D"/>
    <w:rPr>
      <w:sz w:val="16"/>
      <w:szCs w:val="16"/>
    </w:rPr>
  </w:style>
  <w:style w:type="paragraph" w:customStyle="1" w:styleId="TM11">
    <w:name w:val="TM 11"/>
    <w:basedOn w:val="Normal"/>
    <w:next w:val="Normal"/>
    <w:autoRedefine/>
    <w:uiPriority w:val="39"/>
    <w:qFormat/>
    <w:rsid w:val="0082631D"/>
    <w:pPr>
      <w:suppressAutoHyphens/>
      <w:spacing w:after="100" w:line="276" w:lineRule="auto"/>
      <w:jc w:val="both"/>
    </w:pPr>
    <w:rPr>
      <w:rFonts w:eastAsia="SimSun" w:cs="Calibri"/>
      <w:sz w:val="24"/>
    </w:rPr>
  </w:style>
  <w:style w:type="paragraph" w:customStyle="1" w:styleId="TM21">
    <w:name w:val="TM 21"/>
    <w:basedOn w:val="Normal"/>
    <w:next w:val="Normal"/>
    <w:autoRedefine/>
    <w:uiPriority w:val="39"/>
    <w:qFormat/>
    <w:rsid w:val="0082631D"/>
    <w:pPr>
      <w:suppressAutoHyphens/>
      <w:spacing w:after="100" w:line="276" w:lineRule="auto"/>
      <w:ind w:left="220"/>
      <w:jc w:val="both"/>
    </w:pPr>
    <w:rPr>
      <w:rFonts w:eastAsia="SimSun" w:cs="Calibri"/>
      <w:sz w:val="24"/>
    </w:rPr>
  </w:style>
  <w:style w:type="paragraph" w:customStyle="1" w:styleId="TM31">
    <w:name w:val="TM 31"/>
    <w:basedOn w:val="Normal"/>
    <w:next w:val="Normal"/>
    <w:autoRedefine/>
    <w:uiPriority w:val="39"/>
    <w:qFormat/>
    <w:rsid w:val="0082631D"/>
    <w:pPr>
      <w:suppressAutoHyphens/>
      <w:spacing w:after="100" w:line="276" w:lineRule="auto"/>
      <w:ind w:left="440"/>
      <w:jc w:val="both"/>
    </w:pPr>
    <w:rPr>
      <w:rFonts w:eastAsia="SimSun" w:cs="Calibri"/>
      <w:sz w:val="24"/>
    </w:rPr>
  </w:style>
  <w:style w:type="character" w:customStyle="1" w:styleId="TextebrutCar1">
    <w:name w:val="Texte brut Car1"/>
    <w:uiPriority w:val="99"/>
    <w:semiHidden/>
    <w:rsid w:val="0082631D"/>
    <w:rPr>
      <w:rFonts w:ascii="Consolas" w:hAnsi="Consolas"/>
      <w:sz w:val="21"/>
      <w:szCs w:val="21"/>
    </w:rPr>
  </w:style>
  <w:style w:type="paragraph" w:customStyle="1" w:styleId="Lgende1">
    <w:name w:val="Légende1"/>
    <w:basedOn w:val="Normal"/>
    <w:next w:val="Normal"/>
    <w:qFormat/>
    <w:rsid w:val="0082631D"/>
    <w:pPr>
      <w:suppressAutoHyphens/>
      <w:spacing w:after="200" w:line="240" w:lineRule="auto"/>
    </w:pPr>
    <w:rPr>
      <w:rFonts w:cs="font694"/>
      <w:i/>
      <w:iCs/>
      <w:color w:val="44546A"/>
      <w:sz w:val="18"/>
      <w:szCs w:val="18"/>
    </w:rPr>
  </w:style>
  <w:style w:type="paragraph" w:customStyle="1" w:styleId="Texte0">
    <w:name w:val="Texte"/>
    <w:basedOn w:val="Normal"/>
    <w:qFormat/>
    <w:rsid w:val="0082631D"/>
    <w:pPr>
      <w:suppressAutoHyphens/>
      <w:spacing w:after="0" w:line="240" w:lineRule="auto"/>
      <w:ind w:left="851"/>
      <w:jc w:val="both"/>
    </w:pPr>
    <w:rPr>
      <w:rFonts w:ascii="Arial" w:eastAsia="Times New Roman" w:hAnsi="Arial"/>
      <w:bCs/>
      <w:szCs w:val="24"/>
      <w:lang w:val="fr-CA" w:eastAsia="fr-CA"/>
    </w:rPr>
  </w:style>
  <w:style w:type="paragraph" w:customStyle="1" w:styleId="Commentaire2">
    <w:name w:val="Commentaire2"/>
    <w:basedOn w:val="Normal"/>
    <w:qFormat/>
    <w:rsid w:val="0082631D"/>
    <w:pPr>
      <w:suppressAutoHyphens/>
      <w:spacing w:line="240" w:lineRule="auto"/>
    </w:pPr>
    <w:rPr>
      <w:sz w:val="20"/>
      <w:szCs w:val="20"/>
    </w:rPr>
  </w:style>
  <w:style w:type="paragraph" w:customStyle="1" w:styleId="western">
    <w:name w:val="western"/>
    <w:basedOn w:val="Normal"/>
    <w:qFormat/>
    <w:rsid w:val="0082631D"/>
    <w:pPr>
      <w:spacing w:before="100" w:beforeAutospacing="1" w:after="238" w:line="240" w:lineRule="auto"/>
      <w:jc w:val="both"/>
    </w:pPr>
    <w:rPr>
      <w:rFonts w:ascii="Times New Roman" w:eastAsia="Times New Roman" w:hAnsi="Times New Roman"/>
      <w:sz w:val="20"/>
      <w:szCs w:val="20"/>
      <w:lang w:eastAsia="fr-FR"/>
    </w:rPr>
  </w:style>
  <w:style w:type="paragraph" w:customStyle="1" w:styleId="Editable">
    <w:name w:val="Editable"/>
    <w:basedOn w:val="Normal"/>
    <w:link w:val="EditableChar"/>
    <w:qFormat/>
    <w:rsid w:val="0082631D"/>
    <w:pPr>
      <w:framePr w:hSpace="180" w:wrap="around" w:vAnchor="text" w:hAnchor="text" w:x="68" w:y="123"/>
      <w:autoSpaceDE w:val="0"/>
      <w:autoSpaceDN w:val="0"/>
      <w:adjustRightInd w:val="0"/>
      <w:spacing w:after="0" w:line="240" w:lineRule="auto"/>
    </w:pPr>
    <w:rPr>
      <w:rFonts w:ascii="Arial" w:hAnsi="Arial"/>
      <w:bCs/>
      <w:color w:val="000000"/>
      <w:sz w:val="16"/>
      <w:szCs w:val="16"/>
      <w:lang w:val="x-none" w:eastAsia="x-none"/>
    </w:rPr>
  </w:style>
  <w:style w:type="character" w:customStyle="1" w:styleId="EditableChar">
    <w:name w:val="Editable Char"/>
    <w:link w:val="Editable"/>
    <w:rsid w:val="0082631D"/>
    <w:rPr>
      <w:rFonts w:ascii="Arial" w:eastAsia="Calibri" w:hAnsi="Arial" w:cs="Times New Roman"/>
      <w:bCs/>
      <w:color w:val="000000"/>
      <w:sz w:val="16"/>
      <w:szCs w:val="16"/>
      <w:lang w:val="x-none" w:eastAsia="x-none"/>
    </w:rPr>
  </w:style>
  <w:style w:type="paragraph" w:customStyle="1" w:styleId="RapTitre3">
    <w:name w:val="Rap Titre 3"/>
    <w:basedOn w:val="Titre3"/>
    <w:autoRedefine/>
    <w:qFormat/>
    <w:rsid w:val="0082631D"/>
    <w:pPr>
      <w:keepNext w:val="0"/>
      <w:keepLines w:val="0"/>
      <w:widowControl w:val="0"/>
      <w:numPr>
        <w:ilvl w:val="0"/>
        <w:numId w:val="0"/>
      </w:numPr>
      <w:suppressAutoHyphens/>
      <w:spacing w:before="480" w:after="120" w:line="240" w:lineRule="auto"/>
      <w:jc w:val="both"/>
    </w:pPr>
    <w:rPr>
      <w:rFonts w:ascii="Arial" w:hAnsi="Arial" w:cs="Arial"/>
      <w:b/>
      <w:spacing w:val="-3"/>
      <w:szCs w:val="22"/>
      <w:lang w:eastAsia="fr-FR"/>
    </w:rPr>
  </w:style>
  <w:style w:type="paragraph" w:customStyle="1" w:styleId="Textebrut3">
    <w:name w:val="Texte brut3"/>
    <w:basedOn w:val="Normal"/>
    <w:qFormat/>
    <w:rsid w:val="0082631D"/>
    <w:pPr>
      <w:suppressAutoHyphens/>
      <w:spacing w:after="0" w:line="240" w:lineRule="auto"/>
    </w:pPr>
    <w:rPr>
      <w:rFonts w:ascii="Courier New" w:eastAsia="Times New Roman" w:hAnsi="Courier New"/>
      <w:sz w:val="20"/>
      <w:szCs w:val="20"/>
      <w:lang w:val="fr-BE" w:eastAsia="fr-FR"/>
    </w:rPr>
  </w:style>
  <w:style w:type="character" w:customStyle="1" w:styleId="UnresolvedMention2">
    <w:name w:val="Unresolved Mention2"/>
    <w:uiPriority w:val="99"/>
    <w:semiHidden/>
    <w:unhideWhenUsed/>
    <w:rsid w:val="0082631D"/>
    <w:rPr>
      <w:color w:val="605E5C"/>
      <w:shd w:val="clear" w:color="auto" w:fill="E1DFDD"/>
    </w:rPr>
  </w:style>
  <w:style w:type="paragraph" w:customStyle="1" w:styleId="Lgende2">
    <w:name w:val="Légende2"/>
    <w:basedOn w:val="Normal"/>
    <w:next w:val="Normal"/>
    <w:qFormat/>
    <w:rsid w:val="0082631D"/>
    <w:pPr>
      <w:suppressAutoHyphens/>
      <w:spacing w:after="0" w:line="360" w:lineRule="auto"/>
    </w:pPr>
    <w:rPr>
      <w:rFonts w:ascii="Arial" w:eastAsia="Batang" w:hAnsi="Arial"/>
      <w:b/>
      <w:bCs/>
      <w:i/>
      <w:iCs/>
      <w:sz w:val="24"/>
      <w:szCs w:val="24"/>
    </w:rPr>
  </w:style>
  <w:style w:type="paragraph" w:customStyle="1" w:styleId="Textebrut4">
    <w:name w:val="Texte brut4"/>
    <w:basedOn w:val="Normal"/>
    <w:qFormat/>
    <w:rsid w:val="0082631D"/>
    <w:pPr>
      <w:suppressAutoHyphens/>
      <w:spacing w:after="0" w:line="240" w:lineRule="auto"/>
    </w:pPr>
    <w:rPr>
      <w:rFonts w:ascii="Courier New" w:eastAsia="Times New Roman" w:hAnsi="Courier New"/>
      <w:sz w:val="20"/>
      <w:szCs w:val="20"/>
      <w:lang w:val="fr-BE" w:eastAsia="fr-FR"/>
    </w:rPr>
  </w:style>
  <w:style w:type="character" w:customStyle="1" w:styleId="css-901oao">
    <w:name w:val="css-901oao"/>
    <w:basedOn w:val="Policepardfaut"/>
    <w:rsid w:val="0082631D"/>
  </w:style>
  <w:style w:type="paragraph" w:customStyle="1" w:styleId="Tabletext0">
    <w:name w:val="Table text"/>
    <w:basedOn w:val="Corpsdetexte"/>
    <w:qFormat/>
    <w:rsid w:val="0082631D"/>
    <w:pPr>
      <w:widowControl w:val="0"/>
      <w:autoSpaceDE w:val="0"/>
      <w:autoSpaceDN w:val="0"/>
      <w:spacing w:after="0" w:line="240" w:lineRule="auto"/>
    </w:pPr>
    <w:rPr>
      <w:rFonts w:ascii="Times New Roman" w:eastAsia="Arial" w:hAnsi="Times New Roman" w:cs="Calibri"/>
      <w:w w:val="105"/>
      <w:sz w:val="20"/>
      <w:szCs w:val="10"/>
    </w:rPr>
  </w:style>
  <w:style w:type="paragraph" w:customStyle="1" w:styleId="TableParagraph">
    <w:name w:val="Table Paragraph"/>
    <w:basedOn w:val="Normal"/>
    <w:uiPriority w:val="1"/>
    <w:qFormat/>
    <w:rsid w:val="0082631D"/>
    <w:pPr>
      <w:widowControl w:val="0"/>
      <w:autoSpaceDE w:val="0"/>
      <w:autoSpaceDN w:val="0"/>
      <w:adjustRightInd w:val="0"/>
      <w:spacing w:after="0" w:line="240" w:lineRule="auto"/>
    </w:pPr>
    <w:rPr>
      <w:rFonts w:ascii="Times New Roman" w:eastAsia="Times New Roman" w:hAnsi="Times New Roman"/>
      <w:sz w:val="24"/>
      <w:szCs w:val="24"/>
      <w:lang w:eastAsia="fr-FR"/>
    </w:rPr>
  </w:style>
  <w:style w:type="paragraph" w:customStyle="1" w:styleId="Blockquote">
    <w:name w:val="Blockquote"/>
    <w:basedOn w:val="Normal"/>
    <w:qFormat/>
    <w:rsid w:val="0082631D"/>
    <w:pPr>
      <w:widowControl w:val="0"/>
      <w:spacing w:before="100" w:after="100" w:line="240" w:lineRule="auto"/>
      <w:ind w:left="360" w:right="360"/>
    </w:pPr>
    <w:rPr>
      <w:rFonts w:ascii="Times New Roman" w:eastAsia="Times New Roman" w:hAnsi="Times New Roman"/>
      <w:sz w:val="24"/>
      <w:szCs w:val="20"/>
      <w:lang w:val="en-US"/>
    </w:rPr>
  </w:style>
  <w:style w:type="paragraph" w:customStyle="1" w:styleId="tabulka">
    <w:name w:val="tabulka"/>
    <w:basedOn w:val="Normal"/>
    <w:qFormat/>
    <w:rsid w:val="0082631D"/>
    <w:pPr>
      <w:widowControl w:val="0"/>
      <w:spacing w:before="120" w:after="0" w:line="240" w:lineRule="exact"/>
      <w:jc w:val="center"/>
    </w:pPr>
    <w:rPr>
      <w:rFonts w:ascii="Arial" w:eastAsia="Times New Roman" w:hAnsi="Arial"/>
      <w:sz w:val="20"/>
      <w:szCs w:val="20"/>
      <w:lang w:val="cs-CZ" w:eastAsia="en-GB"/>
    </w:rPr>
  </w:style>
  <w:style w:type="paragraph" w:customStyle="1" w:styleId="oddl-nadpis">
    <w:name w:val="oddíl-nadpis"/>
    <w:basedOn w:val="Normal"/>
    <w:qFormat/>
    <w:rsid w:val="0082631D"/>
    <w:pPr>
      <w:keepNext/>
      <w:widowControl w:val="0"/>
      <w:tabs>
        <w:tab w:val="left" w:pos="567"/>
      </w:tabs>
      <w:spacing w:before="240" w:after="0" w:line="240" w:lineRule="exact"/>
    </w:pPr>
    <w:rPr>
      <w:rFonts w:ascii="Arial" w:eastAsia="Times New Roman" w:hAnsi="Arial"/>
      <w:b/>
      <w:sz w:val="24"/>
      <w:szCs w:val="20"/>
      <w:lang w:val="cs-CZ" w:eastAsia="en-GB"/>
    </w:rPr>
  </w:style>
  <w:style w:type="paragraph" w:customStyle="1" w:styleId="Normal12">
    <w:name w:val="Normal 12"/>
    <w:basedOn w:val="Normal"/>
    <w:qFormat/>
    <w:rsid w:val="0082631D"/>
    <w:pPr>
      <w:spacing w:after="0" w:line="240" w:lineRule="auto"/>
    </w:pPr>
    <w:rPr>
      <w:rFonts w:ascii="Times New Roman" w:eastAsia="Times New Roman" w:hAnsi="Times New Roman"/>
      <w:sz w:val="24"/>
      <w:szCs w:val="20"/>
      <w:lang w:eastAsia="en-GB"/>
    </w:rPr>
  </w:style>
  <w:style w:type="paragraph" w:styleId="Explorateurdedocuments">
    <w:name w:val="Document Map"/>
    <w:basedOn w:val="Normal"/>
    <w:link w:val="ExplorateurdedocumentsCar"/>
    <w:uiPriority w:val="99"/>
    <w:unhideWhenUsed/>
    <w:qFormat/>
    <w:rsid w:val="0082631D"/>
    <w:pPr>
      <w:spacing w:after="0" w:line="240" w:lineRule="auto"/>
    </w:pPr>
    <w:rPr>
      <w:rFonts w:ascii="Lucida Grande" w:eastAsia="MS Mincho" w:hAnsi="Lucida Grande" w:cs="Lucida Grande"/>
      <w:sz w:val="24"/>
      <w:szCs w:val="24"/>
      <w:lang w:eastAsia="fr-FR"/>
    </w:rPr>
  </w:style>
  <w:style w:type="character" w:customStyle="1" w:styleId="ExplorateurdedocumentsCar">
    <w:name w:val="Explorateur de documents Car"/>
    <w:link w:val="Explorateurdedocuments"/>
    <w:uiPriority w:val="99"/>
    <w:rsid w:val="0082631D"/>
    <w:rPr>
      <w:rFonts w:ascii="Lucida Grande" w:eastAsia="MS Mincho" w:hAnsi="Lucida Grande" w:cs="Lucida Grande"/>
      <w:sz w:val="24"/>
      <w:szCs w:val="24"/>
      <w:lang w:eastAsia="fr-FR"/>
    </w:rPr>
  </w:style>
  <w:style w:type="paragraph" w:customStyle="1" w:styleId="Titre310">
    <w:name w:val="Titre 31"/>
    <w:basedOn w:val="Normal"/>
    <w:uiPriority w:val="1"/>
    <w:qFormat/>
    <w:rsid w:val="0082631D"/>
    <w:pPr>
      <w:widowControl w:val="0"/>
      <w:spacing w:before="63" w:after="0" w:line="240" w:lineRule="auto"/>
      <w:ind w:left="992" w:right="1289"/>
      <w:outlineLvl w:val="3"/>
    </w:pPr>
    <w:rPr>
      <w:rFonts w:ascii="Cambria" w:eastAsia="Cambria" w:hAnsi="Cambria" w:cs="Cambria"/>
      <w:b/>
      <w:bCs/>
      <w:sz w:val="26"/>
      <w:szCs w:val="26"/>
      <w:lang w:val="en-US"/>
    </w:rPr>
  </w:style>
  <w:style w:type="paragraph" w:customStyle="1" w:styleId="Titre210">
    <w:name w:val="Titre 21"/>
    <w:basedOn w:val="Normal"/>
    <w:uiPriority w:val="1"/>
    <w:qFormat/>
    <w:rsid w:val="0082631D"/>
    <w:pPr>
      <w:widowControl w:val="0"/>
      <w:spacing w:before="59" w:after="0" w:line="240" w:lineRule="auto"/>
      <w:ind w:left="1712" w:hanging="360"/>
      <w:outlineLvl w:val="2"/>
    </w:pPr>
    <w:rPr>
      <w:rFonts w:ascii="Cambria" w:eastAsia="Cambria" w:hAnsi="Cambria" w:cs="Cambria"/>
      <w:b/>
      <w:bCs/>
      <w:i/>
      <w:sz w:val="28"/>
      <w:szCs w:val="28"/>
      <w:lang w:val="en-US"/>
    </w:rPr>
  </w:style>
  <w:style w:type="paragraph" w:styleId="Listecontinue">
    <w:name w:val="List Continue"/>
    <w:basedOn w:val="Normal"/>
    <w:qFormat/>
    <w:rsid w:val="0082631D"/>
    <w:pPr>
      <w:spacing w:after="120" w:line="240" w:lineRule="auto"/>
      <w:ind w:left="283"/>
    </w:pPr>
    <w:rPr>
      <w:rFonts w:ascii="Times New Roman" w:eastAsia="Times New Roman" w:hAnsi="Times New Roman"/>
      <w:sz w:val="20"/>
      <w:szCs w:val="20"/>
      <w:lang w:eastAsia="fr-FR"/>
    </w:rPr>
  </w:style>
  <w:style w:type="paragraph" w:customStyle="1" w:styleId="Enum2">
    <w:name w:val="Enum 2"/>
    <w:basedOn w:val="Normal"/>
    <w:autoRedefine/>
    <w:qFormat/>
    <w:rsid w:val="0082631D"/>
    <w:pPr>
      <w:keepLines/>
      <w:widowControl w:val="0"/>
      <w:numPr>
        <w:numId w:val="149"/>
      </w:numPr>
      <w:adjustRightInd w:val="0"/>
      <w:spacing w:before="60" w:after="0" w:line="240" w:lineRule="auto"/>
      <w:jc w:val="both"/>
    </w:pPr>
    <w:rPr>
      <w:rFonts w:ascii="Arial" w:eastAsia="Batang" w:hAnsi="Arial"/>
      <w:sz w:val="20"/>
      <w:szCs w:val="20"/>
      <w:lang w:eastAsia="fr-FR"/>
    </w:rPr>
  </w:style>
  <w:style w:type="paragraph" w:customStyle="1" w:styleId="Normal0">
    <w:name w:val="[Normal]"/>
    <w:qFormat/>
    <w:rsid w:val="0082631D"/>
    <w:rPr>
      <w:rFonts w:ascii="Arial" w:eastAsia="Arial" w:hAnsi="Arial"/>
      <w:noProof/>
      <w:sz w:val="24"/>
      <w:lang w:val="en-US" w:eastAsia="en-US"/>
    </w:rPr>
  </w:style>
  <w:style w:type="paragraph" w:customStyle="1" w:styleId="text">
    <w:name w:val="text"/>
    <w:qFormat/>
    <w:rsid w:val="0082631D"/>
    <w:pPr>
      <w:widowControl w:val="0"/>
      <w:spacing w:before="240" w:line="240" w:lineRule="exact"/>
      <w:jc w:val="both"/>
    </w:pPr>
    <w:rPr>
      <w:rFonts w:ascii="Arial" w:eastAsia="Times New Roman" w:hAnsi="Arial"/>
      <w:sz w:val="24"/>
      <w:lang w:val="cs-CZ" w:eastAsia="en-GB"/>
    </w:rPr>
  </w:style>
  <w:style w:type="paragraph" w:customStyle="1" w:styleId="outlinebullet">
    <w:name w:val="outlinebullet"/>
    <w:basedOn w:val="Normal"/>
    <w:qFormat/>
    <w:rsid w:val="0082631D"/>
    <w:pPr>
      <w:numPr>
        <w:numId w:val="150"/>
      </w:numPr>
      <w:tabs>
        <w:tab w:val="clear" w:pos="360"/>
        <w:tab w:val="left" w:pos="1440"/>
      </w:tabs>
      <w:spacing w:before="120" w:after="0" w:line="240" w:lineRule="auto"/>
      <w:ind w:left="1440" w:hanging="450"/>
    </w:pPr>
    <w:rPr>
      <w:rFonts w:ascii="Times New Roman" w:eastAsia="Times New Roman" w:hAnsi="Times New Roman"/>
      <w:sz w:val="24"/>
      <w:szCs w:val="20"/>
      <w:lang w:eastAsia="fr-FR"/>
    </w:rPr>
  </w:style>
  <w:style w:type="paragraph" w:customStyle="1" w:styleId="SectionVIIHeader2">
    <w:name w:val="Section VII Header2"/>
    <w:basedOn w:val="Titre1"/>
    <w:autoRedefine/>
    <w:qFormat/>
    <w:rsid w:val="0082631D"/>
    <w:pPr>
      <w:keepNext w:val="0"/>
      <w:keepLines w:val="0"/>
      <w:numPr>
        <w:numId w:val="151"/>
      </w:numPr>
      <w:spacing w:before="0" w:after="200" w:line="240" w:lineRule="auto"/>
      <w:jc w:val="center"/>
    </w:pPr>
    <w:rPr>
      <w:kern w:val="28"/>
      <w:sz w:val="32"/>
      <w:szCs w:val="20"/>
      <w:lang w:eastAsia="fr-FR"/>
    </w:rPr>
  </w:style>
  <w:style w:type="paragraph" w:customStyle="1" w:styleId="2AutoList1">
    <w:name w:val="2AutoList1"/>
    <w:basedOn w:val="Normal"/>
    <w:qFormat/>
    <w:rsid w:val="0082631D"/>
    <w:pPr>
      <w:numPr>
        <w:ilvl w:val="1"/>
        <w:numId w:val="152"/>
      </w:numPr>
      <w:spacing w:after="0" w:line="240" w:lineRule="auto"/>
      <w:jc w:val="both"/>
    </w:pPr>
    <w:rPr>
      <w:rFonts w:ascii="Times New Roman" w:eastAsia="Times New Roman" w:hAnsi="Times New Roman"/>
      <w:sz w:val="24"/>
      <w:szCs w:val="20"/>
      <w:lang w:val="es-ES_tradnl" w:eastAsia="fr-FR"/>
    </w:rPr>
  </w:style>
  <w:style w:type="paragraph" w:customStyle="1" w:styleId="Header3-Paragraph">
    <w:name w:val="Header 3 - Paragraph"/>
    <w:basedOn w:val="Normal"/>
    <w:qFormat/>
    <w:rsid w:val="0082631D"/>
    <w:pPr>
      <w:tabs>
        <w:tab w:val="num" w:pos="504"/>
      </w:tabs>
      <w:spacing w:after="200" w:line="240" w:lineRule="auto"/>
      <w:ind w:left="504" w:hanging="504"/>
      <w:jc w:val="both"/>
    </w:pPr>
    <w:rPr>
      <w:rFonts w:ascii="Times New Roman" w:eastAsia="Times New Roman" w:hAnsi="Times New Roman"/>
      <w:sz w:val="24"/>
      <w:szCs w:val="20"/>
      <w:lang w:val="en-US" w:eastAsia="fr-FR"/>
    </w:rPr>
  </w:style>
  <w:style w:type="paragraph" w:customStyle="1" w:styleId="P3Header1-Clauses">
    <w:name w:val="P3 Header1-Clauses"/>
    <w:basedOn w:val="Header1-Clauses"/>
    <w:rsid w:val="0082631D"/>
    <w:pPr>
      <w:tabs>
        <w:tab w:val="clear" w:pos="720"/>
      </w:tabs>
      <w:ind w:left="2934"/>
    </w:pPr>
  </w:style>
  <w:style w:type="paragraph" w:customStyle="1" w:styleId="Header1-Clauses">
    <w:name w:val="Header 1 - Clauses"/>
    <w:basedOn w:val="Normal"/>
    <w:link w:val="Header1-ClausesCar"/>
    <w:qFormat/>
    <w:rsid w:val="0082631D"/>
    <w:pPr>
      <w:tabs>
        <w:tab w:val="num" w:pos="720"/>
      </w:tabs>
      <w:spacing w:after="0" w:line="240" w:lineRule="auto"/>
      <w:ind w:left="720" w:hanging="360"/>
    </w:pPr>
    <w:rPr>
      <w:rFonts w:ascii="Times New Roman" w:eastAsia="Times New Roman" w:hAnsi="Times New Roman"/>
      <w:b/>
      <w:sz w:val="24"/>
      <w:szCs w:val="20"/>
      <w:lang w:val="es-ES_tradnl" w:eastAsia="fr-FR"/>
    </w:rPr>
  </w:style>
  <w:style w:type="character" w:customStyle="1" w:styleId="Header1-ClausesCar">
    <w:name w:val="Header 1 - Clauses Car"/>
    <w:link w:val="Header1-Clauses"/>
    <w:rsid w:val="0082631D"/>
    <w:rPr>
      <w:rFonts w:ascii="Times New Roman" w:eastAsia="Times New Roman" w:hAnsi="Times New Roman" w:cs="Times New Roman"/>
      <w:b/>
      <w:sz w:val="24"/>
      <w:szCs w:val="20"/>
      <w:lang w:val="es-ES_tradnl" w:eastAsia="fr-FR"/>
    </w:rPr>
  </w:style>
  <w:style w:type="paragraph" w:customStyle="1" w:styleId="TOCNumber1">
    <w:name w:val="TOC Number1"/>
    <w:basedOn w:val="Titre4"/>
    <w:autoRedefine/>
    <w:qFormat/>
    <w:rsid w:val="0082631D"/>
    <w:pPr>
      <w:keepNext w:val="0"/>
      <w:keepLines w:val="0"/>
      <w:numPr>
        <w:ilvl w:val="0"/>
        <w:numId w:val="0"/>
      </w:numPr>
      <w:spacing w:before="0" w:line="240" w:lineRule="auto"/>
      <w:outlineLvl w:val="9"/>
    </w:pPr>
    <w:rPr>
      <w:b/>
      <w:i w:val="0"/>
      <w:iCs w:val="0"/>
      <w:color w:val="auto"/>
      <w:szCs w:val="20"/>
      <w:lang w:eastAsia="fr-FR"/>
    </w:rPr>
  </w:style>
  <w:style w:type="paragraph" w:customStyle="1" w:styleId="Head2">
    <w:name w:val="Head 2"/>
    <w:basedOn w:val="Titre9"/>
    <w:qFormat/>
    <w:rsid w:val="0082631D"/>
    <w:pPr>
      <w:keepLines w:val="0"/>
      <w:widowControl w:val="0"/>
      <w:numPr>
        <w:ilvl w:val="0"/>
        <w:numId w:val="0"/>
      </w:numPr>
      <w:suppressAutoHyphens/>
      <w:spacing w:before="0" w:line="240" w:lineRule="auto"/>
      <w:jc w:val="both"/>
      <w:outlineLvl w:val="9"/>
    </w:pPr>
    <w:rPr>
      <w:rFonts w:ascii="Times New Roman Bold" w:hAnsi="Times New Roman Bold"/>
      <w:i w:val="0"/>
      <w:iCs w:val="0"/>
      <w:color w:val="auto"/>
      <w:spacing w:val="-4"/>
      <w:sz w:val="32"/>
      <w:szCs w:val="20"/>
      <w:lang w:val="en-US" w:eastAsia="fr-FR"/>
    </w:rPr>
  </w:style>
  <w:style w:type="paragraph" w:customStyle="1" w:styleId="Subtitle2">
    <w:name w:val="Subtitle 2"/>
    <w:basedOn w:val="Pieddepage"/>
    <w:autoRedefine/>
    <w:qFormat/>
    <w:rsid w:val="0082631D"/>
    <w:pPr>
      <w:tabs>
        <w:tab w:val="clear" w:pos="4536"/>
        <w:tab w:val="clear" w:pos="9072"/>
      </w:tabs>
      <w:spacing w:after="120"/>
      <w:jc w:val="center"/>
      <w:outlineLvl w:val="1"/>
    </w:pPr>
    <w:rPr>
      <w:rFonts w:ascii="Times New Roman" w:eastAsia="Times New Roman" w:hAnsi="Times New Roman"/>
      <w:b/>
      <w:sz w:val="28"/>
      <w:szCs w:val="28"/>
      <w:lang w:eastAsia="fr-FR"/>
    </w:rPr>
  </w:style>
  <w:style w:type="paragraph" w:customStyle="1" w:styleId="SectionXHeader3">
    <w:name w:val="Section X Header 3"/>
    <w:basedOn w:val="Titre1"/>
    <w:link w:val="SectionXHeader3Car"/>
    <w:autoRedefine/>
    <w:qFormat/>
    <w:rsid w:val="0082631D"/>
    <w:pPr>
      <w:keepNext w:val="0"/>
      <w:keepLines w:val="0"/>
      <w:numPr>
        <w:numId w:val="0"/>
      </w:numPr>
      <w:spacing w:before="0" w:line="240" w:lineRule="auto"/>
      <w:ind w:left="1260" w:right="1620"/>
      <w:jc w:val="center"/>
    </w:pPr>
    <w:rPr>
      <w:sz w:val="28"/>
      <w:szCs w:val="20"/>
      <w:lang w:eastAsia="fr-FR"/>
    </w:rPr>
  </w:style>
  <w:style w:type="character" w:customStyle="1" w:styleId="SectionXHeader3Car">
    <w:name w:val="Section X Header 3 Car"/>
    <w:link w:val="SectionXHeader3"/>
    <w:rsid w:val="0082631D"/>
    <w:rPr>
      <w:rFonts w:ascii="Times New Roman" w:eastAsia="Times New Roman" w:hAnsi="Times New Roman" w:cs="Times New Roman"/>
      <w:b/>
      <w:sz w:val="28"/>
      <w:szCs w:val="20"/>
      <w:lang w:eastAsia="fr-FR"/>
    </w:rPr>
  </w:style>
  <w:style w:type="paragraph" w:customStyle="1" w:styleId="explanatorynotes">
    <w:name w:val="explanatory_notes"/>
    <w:basedOn w:val="Normal"/>
    <w:qFormat/>
    <w:rsid w:val="0082631D"/>
    <w:pPr>
      <w:suppressAutoHyphens/>
      <w:spacing w:after="120" w:line="360" w:lineRule="exact"/>
      <w:jc w:val="both"/>
    </w:pPr>
    <w:rPr>
      <w:rFonts w:ascii="Arial" w:eastAsia="Times New Roman" w:hAnsi="Arial"/>
      <w:szCs w:val="20"/>
      <w:lang w:val="en-US" w:eastAsia="fr-FR"/>
    </w:rPr>
  </w:style>
  <w:style w:type="paragraph" w:customStyle="1" w:styleId="Header2-SubClauses">
    <w:name w:val="Header 2 - SubClauses"/>
    <w:basedOn w:val="Normal"/>
    <w:qFormat/>
    <w:rsid w:val="0082631D"/>
    <w:pPr>
      <w:tabs>
        <w:tab w:val="left" w:pos="619"/>
      </w:tabs>
      <w:spacing w:after="200" w:line="240" w:lineRule="auto"/>
      <w:jc w:val="both"/>
    </w:pPr>
    <w:rPr>
      <w:rFonts w:ascii="Times New Roman" w:eastAsia="Times New Roman" w:hAnsi="Times New Roman"/>
      <w:sz w:val="24"/>
      <w:szCs w:val="20"/>
      <w:lang w:val="es-ES_tradnl" w:eastAsia="fr-FR"/>
    </w:rPr>
  </w:style>
  <w:style w:type="paragraph" w:customStyle="1" w:styleId="Head22">
    <w:name w:val="Head 2.2"/>
    <w:basedOn w:val="Normal"/>
    <w:qFormat/>
    <w:rsid w:val="0082631D"/>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rPr>
  </w:style>
  <w:style w:type="paragraph" w:customStyle="1" w:styleId="sectionIIIheader">
    <w:name w:val="section III header"/>
    <w:basedOn w:val="Normal"/>
    <w:qFormat/>
    <w:rsid w:val="0082631D"/>
    <w:pPr>
      <w:spacing w:before="240" w:after="0" w:line="240" w:lineRule="auto"/>
    </w:pPr>
    <w:rPr>
      <w:rFonts w:ascii="Arial Black" w:eastAsia="Times New Roman" w:hAnsi="Arial Black"/>
      <w:sz w:val="24"/>
      <w:szCs w:val="20"/>
      <w:lang w:val="en-US" w:eastAsia="fr-FR"/>
    </w:rPr>
  </w:style>
  <w:style w:type="paragraph" w:customStyle="1" w:styleId="SectionVHeader">
    <w:name w:val="Section V. Header"/>
    <w:basedOn w:val="Normal"/>
    <w:qFormat/>
    <w:rsid w:val="0082631D"/>
    <w:pPr>
      <w:spacing w:after="0" w:line="240" w:lineRule="auto"/>
      <w:jc w:val="center"/>
    </w:pPr>
    <w:rPr>
      <w:rFonts w:ascii="Times New Roman" w:eastAsia="Times New Roman" w:hAnsi="Times New Roman"/>
      <w:b/>
      <w:sz w:val="36"/>
      <w:szCs w:val="20"/>
      <w:lang w:val="es-ES_tradnl" w:eastAsia="fr-FR"/>
    </w:rPr>
  </w:style>
  <w:style w:type="paragraph" w:customStyle="1" w:styleId="Head81">
    <w:name w:val="Head 8.1"/>
    <w:basedOn w:val="Normal"/>
    <w:qFormat/>
    <w:rsid w:val="0082631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rPr>
  </w:style>
  <w:style w:type="paragraph" w:customStyle="1" w:styleId="titulo">
    <w:name w:val="titulo"/>
    <w:basedOn w:val="Titre5"/>
    <w:qFormat/>
    <w:rsid w:val="0082631D"/>
    <w:pPr>
      <w:keepNext w:val="0"/>
      <w:keepLines w:val="0"/>
      <w:numPr>
        <w:ilvl w:val="0"/>
        <w:numId w:val="0"/>
      </w:numPr>
      <w:spacing w:before="0" w:after="240" w:line="240" w:lineRule="auto"/>
      <w:jc w:val="center"/>
    </w:pPr>
    <w:rPr>
      <w:rFonts w:ascii="Times New Roman Bold" w:hAnsi="Times New Roman Bold"/>
      <w:b/>
      <w:color w:val="auto"/>
      <w:sz w:val="24"/>
      <w:szCs w:val="20"/>
      <w:lang w:val="en-US" w:eastAsia="fr-FR"/>
    </w:rPr>
  </w:style>
  <w:style w:type="character" w:customStyle="1" w:styleId="Table">
    <w:name w:val="Table"/>
    <w:rsid w:val="0082631D"/>
    <w:rPr>
      <w:rFonts w:ascii="Arial" w:hAnsi="Arial"/>
      <w:sz w:val="20"/>
    </w:rPr>
  </w:style>
  <w:style w:type="paragraph" w:customStyle="1" w:styleId="Head42">
    <w:name w:val="Head 4.2"/>
    <w:basedOn w:val="Normal"/>
    <w:qFormat/>
    <w:rsid w:val="0082631D"/>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rPr>
  </w:style>
  <w:style w:type="paragraph" w:customStyle="1" w:styleId="StyleTM1Avant0ptAprs0pt">
    <w:name w:val="Style TM 1 + Avant : 0 pt Après : 0 pt"/>
    <w:basedOn w:val="TM1"/>
    <w:qFormat/>
    <w:rsid w:val="0082631D"/>
    <w:pPr>
      <w:tabs>
        <w:tab w:val="clear" w:pos="440"/>
        <w:tab w:val="clear" w:pos="9060"/>
        <w:tab w:val="right" w:leader="dot" w:pos="9360"/>
      </w:tabs>
      <w:spacing w:line="240" w:lineRule="auto"/>
      <w:ind w:right="0"/>
      <w:jc w:val="left"/>
    </w:pPr>
    <w:rPr>
      <w:rFonts w:eastAsia="Times New Roman"/>
      <w:lang w:eastAsia="fr-FR"/>
    </w:rPr>
  </w:style>
  <w:style w:type="paragraph" w:customStyle="1" w:styleId="SectionVIIarticle">
    <w:name w:val="Section VII article"/>
    <w:basedOn w:val="Normal"/>
    <w:link w:val="SectionVIIarticleCar"/>
    <w:qFormat/>
    <w:rsid w:val="0082631D"/>
    <w:pPr>
      <w:spacing w:after="0" w:line="240" w:lineRule="auto"/>
    </w:pPr>
    <w:rPr>
      <w:rFonts w:ascii="Times New Roman" w:eastAsia="Times New Roman" w:hAnsi="Times New Roman"/>
      <w:b/>
      <w:sz w:val="20"/>
      <w:szCs w:val="20"/>
      <w:lang w:eastAsia="fr-FR"/>
    </w:rPr>
  </w:style>
  <w:style w:type="character" w:customStyle="1" w:styleId="SectionVIIarticleCar">
    <w:name w:val="Section VII article Car"/>
    <w:link w:val="SectionVIIarticle"/>
    <w:rsid w:val="0082631D"/>
    <w:rPr>
      <w:rFonts w:ascii="Times New Roman" w:eastAsia="Times New Roman" w:hAnsi="Times New Roman" w:cs="Times New Roman"/>
      <w:b/>
      <w:sz w:val="20"/>
      <w:szCs w:val="20"/>
      <w:lang w:eastAsia="fr-FR"/>
    </w:rPr>
  </w:style>
  <w:style w:type="paragraph" w:customStyle="1" w:styleId="RightPar4">
    <w:name w:val="Right Par[4]"/>
    <w:qFormat/>
    <w:rsid w:val="0082631D"/>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eastAsia="Times New Roman" w:hAnsi="CG Times"/>
      <w:b/>
      <w:i/>
      <w:sz w:val="24"/>
      <w:lang w:val="en-US" w:eastAsia="en-US"/>
    </w:rPr>
  </w:style>
  <w:style w:type="paragraph" w:customStyle="1" w:styleId="S1-Header2">
    <w:name w:val="S1-Header2"/>
    <w:basedOn w:val="Normal"/>
    <w:autoRedefine/>
    <w:qFormat/>
    <w:rsid w:val="0082631D"/>
    <w:pPr>
      <w:numPr>
        <w:ilvl w:val="1"/>
        <w:numId w:val="153"/>
      </w:numPr>
      <w:tabs>
        <w:tab w:val="clear" w:pos="1001"/>
        <w:tab w:val="num" w:pos="432"/>
      </w:tabs>
      <w:spacing w:after="120" w:line="240" w:lineRule="auto"/>
      <w:ind w:left="432" w:hanging="432"/>
    </w:pPr>
    <w:rPr>
      <w:rFonts w:ascii="Times New Roman" w:eastAsia="Times New Roman" w:hAnsi="Times New Roman"/>
      <w:b/>
      <w:sz w:val="24"/>
      <w:szCs w:val="20"/>
      <w:lang w:val="en-US"/>
    </w:rPr>
  </w:style>
  <w:style w:type="paragraph" w:customStyle="1" w:styleId="S1-subpara">
    <w:name w:val="S1-sub para"/>
    <w:basedOn w:val="Normal"/>
    <w:link w:val="S1-subparaChar"/>
    <w:qFormat/>
    <w:rsid w:val="0082631D"/>
    <w:pPr>
      <w:tabs>
        <w:tab w:val="num" w:pos="1001"/>
      </w:tabs>
      <w:spacing w:after="200" w:line="240" w:lineRule="auto"/>
      <w:ind w:left="1001" w:hanging="576"/>
      <w:jc w:val="both"/>
    </w:pPr>
    <w:rPr>
      <w:rFonts w:ascii="Times New Roman" w:eastAsia="Times New Roman" w:hAnsi="Times New Roman"/>
      <w:sz w:val="24"/>
      <w:szCs w:val="20"/>
      <w:lang w:val="en-US"/>
    </w:rPr>
  </w:style>
  <w:style w:type="character" w:customStyle="1" w:styleId="S1-subparaChar">
    <w:name w:val="S1-sub para Char"/>
    <w:link w:val="S1-subpara"/>
    <w:rsid w:val="0082631D"/>
    <w:rPr>
      <w:rFonts w:ascii="Times New Roman" w:eastAsia="Times New Roman" w:hAnsi="Times New Roman" w:cs="Times New Roman"/>
      <w:sz w:val="24"/>
      <w:szCs w:val="20"/>
      <w:lang w:val="en-US"/>
    </w:rPr>
  </w:style>
  <w:style w:type="paragraph" w:customStyle="1" w:styleId="StyleStyleHeader1-ClausesAfter0ptLeft0Hanging">
    <w:name w:val="Style Style Header 1 - Clauses + After:  0 pt + Left:  0&quot; Hanging:..."/>
    <w:basedOn w:val="Normal"/>
    <w:qFormat/>
    <w:rsid w:val="0082631D"/>
    <w:pPr>
      <w:tabs>
        <w:tab w:val="left" w:pos="576"/>
      </w:tabs>
      <w:spacing w:after="200" w:line="240" w:lineRule="auto"/>
      <w:ind w:left="576" w:hanging="576"/>
      <w:jc w:val="both"/>
    </w:pPr>
    <w:rPr>
      <w:rFonts w:ascii="Times New Roman" w:eastAsia="Times New Roman" w:hAnsi="Times New Roman"/>
      <w:sz w:val="24"/>
      <w:szCs w:val="20"/>
      <w:lang w:val="es-ES_tradnl"/>
    </w:rPr>
  </w:style>
  <w:style w:type="paragraph" w:customStyle="1" w:styleId="SimpleLista">
    <w:name w:val="Simple List (a)"/>
    <w:qFormat/>
    <w:rsid w:val="0082631D"/>
    <w:pPr>
      <w:numPr>
        <w:numId w:val="154"/>
      </w:numPr>
      <w:spacing w:before="60" w:after="60"/>
    </w:pPr>
    <w:rPr>
      <w:rFonts w:ascii="Times New Roman" w:eastAsia="SimSun" w:hAnsi="Times New Roman"/>
      <w:sz w:val="24"/>
      <w:szCs w:val="28"/>
      <w:lang w:val="en-GB" w:eastAsia="zh-CN"/>
    </w:rPr>
  </w:style>
  <w:style w:type="paragraph" w:customStyle="1" w:styleId="StyleHeader1-ClausesAfter0pt">
    <w:name w:val="Style Header 1 - Clauses + After:  0 pt"/>
    <w:basedOn w:val="Normal"/>
    <w:qFormat/>
    <w:rsid w:val="0082631D"/>
    <w:pPr>
      <w:spacing w:after="200" w:line="240" w:lineRule="auto"/>
      <w:jc w:val="both"/>
    </w:pPr>
    <w:rPr>
      <w:rFonts w:ascii="Times New Roman" w:eastAsia="Times New Roman" w:hAnsi="Times New Roman"/>
      <w:bCs/>
      <w:sz w:val="24"/>
      <w:szCs w:val="20"/>
      <w:lang w:val="es-ES_tradnl"/>
    </w:rPr>
  </w:style>
  <w:style w:type="paragraph" w:customStyle="1" w:styleId="HeadB21">
    <w:name w:val="Head B.2.1"/>
    <w:basedOn w:val="Normal"/>
    <w:qFormat/>
    <w:rsid w:val="0082631D"/>
    <w:pPr>
      <w:keepNext/>
      <w:suppressAutoHyphens/>
      <w:spacing w:before="240" w:after="240" w:line="240" w:lineRule="auto"/>
      <w:jc w:val="center"/>
    </w:pPr>
    <w:rPr>
      <w:rFonts w:ascii="Times New Roman" w:eastAsia="Times New Roman" w:hAnsi="Times New Roman"/>
      <w:b/>
      <w:sz w:val="28"/>
      <w:szCs w:val="20"/>
      <w:lang w:val="en-US" w:eastAsia="fr-FR"/>
    </w:rPr>
  </w:style>
  <w:style w:type="paragraph" w:customStyle="1" w:styleId="HeadB22">
    <w:name w:val="Head B.2.2"/>
    <w:basedOn w:val="Normal"/>
    <w:link w:val="HeadB22Char"/>
    <w:qFormat/>
    <w:rsid w:val="0082631D"/>
    <w:pPr>
      <w:keepLines/>
      <w:tabs>
        <w:tab w:val="left" w:pos="540"/>
      </w:tabs>
      <w:suppressAutoHyphens/>
      <w:spacing w:after="240" w:line="240" w:lineRule="auto"/>
      <w:ind w:left="547" w:hanging="547"/>
    </w:pPr>
    <w:rPr>
      <w:rFonts w:ascii="Times New Roman" w:eastAsia="Times New Roman" w:hAnsi="Times New Roman"/>
      <w:b/>
      <w:sz w:val="24"/>
      <w:szCs w:val="20"/>
      <w:lang w:val="en-US" w:eastAsia="fr-FR"/>
    </w:rPr>
  </w:style>
  <w:style w:type="character" w:customStyle="1" w:styleId="HeadB22Char">
    <w:name w:val="Head B.2.2 Char"/>
    <w:link w:val="HeadB22"/>
    <w:rsid w:val="0082631D"/>
    <w:rPr>
      <w:rFonts w:ascii="Times New Roman" w:eastAsia="Times New Roman" w:hAnsi="Times New Roman" w:cs="Times New Roman"/>
      <w:b/>
      <w:sz w:val="24"/>
      <w:szCs w:val="20"/>
      <w:lang w:val="en-US" w:eastAsia="fr-FR"/>
    </w:rPr>
  </w:style>
  <w:style w:type="paragraph" w:customStyle="1" w:styleId="HeadA21">
    <w:name w:val="Head A.2.1"/>
    <w:basedOn w:val="Normal"/>
    <w:qFormat/>
    <w:rsid w:val="0082631D"/>
    <w:pPr>
      <w:keepNext/>
      <w:suppressAutoHyphens/>
      <w:spacing w:before="240" w:after="240" w:line="240" w:lineRule="auto"/>
      <w:jc w:val="center"/>
    </w:pPr>
    <w:rPr>
      <w:rFonts w:ascii="Times New Roman" w:eastAsia="Times New Roman" w:hAnsi="Times New Roman"/>
      <w:b/>
      <w:sz w:val="28"/>
      <w:szCs w:val="20"/>
      <w:lang w:val="en-US" w:eastAsia="fr-FR"/>
    </w:rPr>
  </w:style>
  <w:style w:type="paragraph" w:customStyle="1" w:styleId="HeadA22">
    <w:name w:val="Head A.2.2"/>
    <w:basedOn w:val="Normal"/>
    <w:qFormat/>
    <w:rsid w:val="0082631D"/>
    <w:pPr>
      <w:keepLines/>
      <w:tabs>
        <w:tab w:val="left" w:pos="547"/>
      </w:tabs>
      <w:suppressAutoHyphens/>
      <w:spacing w:after="240" w:line="240" w:lineRule="auto"/>
      <w:ind w:left="547" w:hanging="547"/>
    </w:pPr>
    <w:rPr>
      <w:rFonts w:ascii="Times New Roman" w:eastAsia="Times New Roman" w:hAnsi="Times New Roman"/>
      <w:b/>
      <w:sz w:val="24"/>
      <w:szCs w:val="20"/>
      <w:lang w:val="en-US" w:eastAsia="fr-FR"/>
    </w:rPr>
  </w:style>
  <w:style w:type="paragraph" w:customStyle="1" w:styleId="Head51">
    <w:name w:val="Head 5.1"/>
    <w:basedOn w:val="Normal"/>
    <w:qFormat/>
    <w:rsid w:val="0082631D"/>
    <w:pPr>
      <w:suppressAutoHyphens/>
      <w:spacing w:after="240" w:line="240" w:lineRule="auto"/>
      <w:ind w:left="720" w:hanging="720"/>
      <w:jc w:val="both"/>
    </w:pPr>
    <w:rPr>
      <w:rFonts w:ascii="Times New Roman" w:eastAsia="Times New Roman" w:hAnsi="Times New Roman"/>
      <w:b/>
      <w:sz w:val="24"/>
      <w:szCs w:val="20"/>
      <w:lang w:val="en-US" w:eastAsia="fr-FR"/>
    </w:rPr>
  </w:style>
  <w:style w:type="paragraph" w:customStyle="1" w:styleId="Head71">
    <w:name w:val="Head 7.1"/>
    <w:basedOn w:val="Normal"/>
    <w:qFormat/>
    <w:rsid w:val="0082631D"/>
    <w:pPr>
      <w:suppressAutoHyphens/>
      <w:spacing w:after="240" w:line="240" w:lineRule="auto"/>
      <w:jc w:val="center"/>
    </w:pPr>
    <w:rPr>
      <w:rFonts w:ascii="Times New Roman" w:eastAsia="Times New Roman" w:hAnsi="Times New Roman"/>
      <w:b/>
      <w:sz w:val="28"/>
      <w:szCs w:val="20"/>
      <w:lang w:val="en-US" w:eastAsia="fr-FR"/>
    </w:rPr>
  </w:style>
  <w:style w:type="paragraph" w:customStyle="1" w:styleId="HeadA21a">
    <w:name w:val="Head A.2.1a"/>
    <w:basedOn w:val="HeadA21"/>
    <w:qFormat/>
    <w:rsid w:val="0082631D"/>
    <w:rPr>
      <w:lang w:val="fr-FR"/>
    </w:rPr>
  </w:style>
  <w:style w:type="paragraph" w:customStyle="1" w:styleId="HeadA22a">
    <w:name w:val="Head A.2.2a"/>
    <w:basedOn w:val="HeadA22"/>
    <w:qFormat/>
    <w:rsid w:val="0082631D"/>
    <w:rPr>
      <w:lang w:val="fr-FR"/>
    </w:rPr>
  </w:style>
  <w:style w:type="paragraph" w:customStyle="1" w:styleId="Option">
    <w:name w:val="Option"/>
    <w:basedOn w:val="Titre1"/>
    <w:link w:val="OptionCar"/>
    <w:qFormat/>
    <w:rsid w:val="0082631D"/>
    <w:pPr>
      <w:keepNext w:val="0"/>
      <w:keepLines w:val="0"/>
      <w:numPr>
        <w:numId w:val="0"/>
      </w:numPr>
      <w:spacing w:before="360" w:after="200" w:line="240" w:lineRule="auto"/>
      <w:jc w:val="center"/>
    </w:pPr>
    <w:rPr>
      <w:kern w:val="28"/>
      <w:sz w:val="36"/>
      <w:szCs w:val="20"/>
      <w:lang w:eastAsia="fr-FR"/>
    </w:rPr>
  </w:style>
  <w:style w:type="character" w:customStyle="1" w:styleId="OptionCar">
    <w:name w:val="Option Car"/>
    <w:link w:val="Option"/>
    <w:rsid w:val="0082631D"/>
    <w:rPr>
      <w:rFonts w:ascii="Times New Roman" w:eastAsia="Times New Roman" w:hAnsi="Times New Roman" w:cs="Times New Roman"/>
      <w:b/>
      <w:kern w:val="28"/>
      <w:sz w:val="36"/>
      <w:szCs w:val="20"/>
      <w:lang w:eastAsia="fr-FR"/>
    </w:rPr>
  </w:style>
  <w:style w:type="paragraph" w:customStyle="1" w:styleId="S1-Header">
    <w:name w:val="S1-Header"/>
    <w:basedOn w:val="Corpsdetexte2"/>
    <w:link w:val="S1-HeaderCar"/>
    <w:qFormat/>
    <w:rsid w:val="0082631D"/>
    <w:pPr>
      <w:tabs>
        <w:tab w:val="clear" w:pos="720"/>
      </w:tabs>
      <w:suppressAutoHyphens w:val="0"/>
      <w:spacing w:before="120" w:after="120"/>
      <w:jc w:val="center"/>
    </w:pPr>
    <w:rPr>
      <w:b/>
      <w:sz w:val="28"/>
      <w:lang w:val="es-ES_tradnl"/>
    </w:rPr>
  </w:style>
  <w:style w:type="character" w:customStyle="1" w:styleId="S1-HeaderCar">
    <w:name w:val="S1-Header Car"/>
    <w:link w:val="S1-Header"/>
    <w:rsid w:val="0082631D"/>
    <w:rPr>
      <w:rFonts w:ascii="Times New Roman" w:eastAsia="Times New Roman" w:hAnsi="Times New Roman" w:cs="Times New Roman"/>
      <w:b/>
      <w:sz w:val="28"/>
      <w:szCs w:val="20"/>
      <w:lang w:val="es-ES_tradnl" w:eastAsia="fr-FR"/>
    </w:rPr>
  </w:style>
  <w:style w:type="paragraph" w:customStyle="1" w:styleId="S1-Header20">
    <w:name w:val="S1-Header 2"/>
    <w:basedOn w:val="Header1-Clauses"/>
    <w:link w:val="S1-Header2Car"/>
    <w:qFormat/>
    <w:rsid w:val="0082631D"/>
    <w:pPr>
      <w:tabs>
        <w:tab w:val="clear" w:pos="720"/>
      </w:tabs>
      <w:ind w:left="0" w:firstLine="0"/>
    </w:pPr>
  </w:style>
  <w:style w:type="character" w:customStyle="1" w:styleId="S1-Header2Car">
    <w:name w:val="S1-Header 2 Car"/>
    <w:link w:val="S1-Header20"/>
    <w:rsid w:val="0082631D"/>
    <w:rPr>
      <w:rFonts w:ascii="Times New Roman" w:eastAsia="Times New Roman" w:hAnsi="Times New Roman" w:cs="Times New Roman"/>
      <w:b/>
      <w:sz w:val="24"/>
      <w:szCs w:val="20"/>
      <w:lang w:val="es-ES_tradnl" w:eastAsia="fr-FR"/>
    </w:rPr>
  </w:style>
  <w:style w:type="paragraph" w:customStyle="1" w:styleId="S1b-Header">
    <w:name w:val="S1b-Header"/>
    <w:basedOn w:val="HeadB21"/>
    <w:qFormat/>
    <w:rsid w:val="0082631D"/>
  </w:style>
  <w:style w:type="paragraph" w:customStyle="1" w:styleId="S1b-Header2">
    <w:name w:val="S1b-Header2"/>
    <w:basedOn w:val="HeadB22"/>
    <w:qFormat/>
    <w:rsid w:val="0082631D"/>
    <w:rPr>
      <w:lang w:val="fr-FR"/>
    </w:rPr>
  </w:style>
  <w:style w:type="paragraph" w:customStyle="1" w:styleId="S1b-Header20">
    <w:name w:val="S1b-Header 2"/>
    <w:basedOn w:val="HeadB22"/>
    <w:link w:val="S1b-Header2Char"/>
    <w:qFormat/>
    <w:rsid w:val="0082631D"/>
    <w:pPr>
      <w:ind w:left="0" w:firstLine="0"/>
    </w:pPr>
    <w:rPr>
      <w:lang w:val="fr-FR"/>
    </w:rPr>
  </w:style>
  <w:style w:type="character" w:customStyle="1" w:styleId="S1b-Header2Char">
    <w:name w:val="S1b-Header 2 Char"/>
    <w:link w:val="S1b-Header20"/>
    <w:rsid w:val="0082631D"/>
    <w:rPr>
      <w:rFonts w:ascii="Times New Roman" w:eastAsia="Times New Roman" w:hAnsi="Times New Roman" w:cs="Times New Roman"/>
      <w:b/>
      <w:sz w:val="24"/>
      <w:szCs w:val="20"/>
      <w:lang w:eastAsia="fr-FR"/>
    </w:rPr>
  </w:style>
  <w:style w:type="paragraph" w:customStyle="1" w:styleId="Section4Header1">
    <w:name w:val="Section 4  Header 1"/>
    <w:basedOn w:val="Head71"/>
    <w:qFormat/>
    <w:rsid w:val="0082631D"/>
    <w:rPr>
      <w:lang w:val="fr-FR"/>
    </w:rPr>
  </w:style>
  <w:style w:type="paragraph" w:customStyle="1" w:styleId="Section4Header2">
    <w:name w:val="Section 4 Header 2"/>
    <w:basedOn w:val="Normal"/>
    <w:qFormat/>
    <w:rsid w:val="0082631D"/>
    <w:pPr>
      <w:spacing w:after="0" w:line="240" w:lineRule="auto"/>
      <w:jc w:val="center"/>
    </w:pPr>
    <w:rPr>
      <w:rFonts w:ascii="Times New Roman" w:eastAsia="Times New Roman" w:hAnsi="Times New Roman"/>
      <w:b/>
      <w:sz w:val="20"/>
      <w:szCs w:val="20"/>
      <w:lang w:eastAsia="fr-FR"/>
    </w:rPr>
  </w:style>
  <w:style w:type="paragraph" w:customStyle="1" w:styleId="SectionVII">
    <w:name w:val="Section VII"/>
    <w:basedOn w:val="Normal"/>
    <w:autoRedefine/>
    <w:qFormat/>
    <w:rsid w:val="0082631D"/>
    <w:pPr>
      <w:numPr>
        <w:numId w:val="155"/>
      </w:numPr>
      <w:tabs>
        <w:tab w:val="left" w:pos="2699"/>
      </w:tabs>
      <w:spacing w:after="120" w:line="240" w:lineRule="auto"/>
      <w:ind w:left="720" w:hanging="720"/>
      <w:jc w:val="both"/>
    </w:pPr>
    <w:rPr>
      <w:rFonts w:ascii="Times New Roman" w:eastAsia="Arial Unicode MS" w:hAnsi="Times New Roman"/>
      <w:bCs/>
      <w:sz w:val="24"/>
      <w:szCs w:val="24"/>
      <w:lang w:val="en-GB"/>
    </w:rPr>
  </w:style>
  <w:style w:type="character" w:customStyle="1" w:styleId="Style1Car">
    <w:name w:val="Style1 Car"/>
    <w:rsid w:val="0082631D"/>
    <w:rPr>
      <w:rFonts w:ascii="Arial Black" w:eastAsia="Times New Roman" w:hAnsi="Arial Black" w:cs="Times New Roman"/>
      <w:b w:val="0"/>
      <w:bCs w:val="0"/>
      <w:color w:val="0000FF"/>
      <w:sz w:val="24"/>
      <w:szCs w:val="24"/>
      <w:lang w:eastAsia="fr-FR"/>
    </w:rPr>
  </w:style>
  <w:style w:type="character" w:customStyle="1" w:styleId="Style3Car">
    <w:name w:val="Style3 Car"/>
    <w:rsid w:val="0082631D"/>
    <w:rPr>
      <w:rFonts w:ascii="Times New Roman" w:eastAsia="Times New Roman" w:hAnsi="Times New Roman" w:cs="Times New Roman"/>
      <w:b/>
      <w:kern w:val="28"/>
      <w:sz w:val="36"/>
      <w:szCs w:val="20"/>
      <w:lang w:eastAsia="fr-FR"/>
    </w:rPr>
  </w:style>
  <w:style w:type="character" w:customStyle="1" w:styleId="Style4Car">
    <w:name w:val="Style4 Car"/>
    <w:rsid w:val="0082631D"/>
    <w:rPr>
      <w:rFonts w:ascii="Times New Roman" w:eastAsia="Times New Roman" w:hAnsi="Times New Roman" w:cs="Times New Roman"/>
      <w:b w:val="0"/>
      <w:bCs w:val="0"/>
      <w:color w:val="5A5A5A"/>
      <w:spacing w:val="15"/>
      <w:sz w:val="44"/>
      <w:szCs w:val="20"/>
      <w:u w:val="single"/>
      <w:lang w:val="es-ES_tradnl" w:eastAsia="fr-FR"/>
    </w:rPr>
  </w:style>
  <w:style w:type="character" w:customStyle="1" w:styleId="Style5Car">
    <w:name w:val="Style5 Car"/>
    <w:rsid w:val="0082631D"/>
    <w:rPr>
      <w:rFonts w:ascii="Times New Roman" w:eastAsia="Times New Roman" w:hAnsi="Times New Roman" w:cs="Times New Roman"/>
      <w:b/>
      <w:sz w:val="28"/>
      <w:szCs w:val="20"/>
      <w:lang w:val="es-ES_tradnl" w:eastAsia="fr-FR"/>
    </w:rPr>
  </w:style>
  <w:style w:type="character" w:customStyle="1" w:styleId="Style6Car">
    <w:name w:val="Style6 Car"/>
    <w:rsid w:val="0082631D"/>
    <w:rPr>
      <w:rFonts w:ascii="Times New Roman" w:eastAsia="Times New Roman" w:hAnsi="Times New Roman" w:cs="Times New Roman"/>
      <w:b/>
      <w:sz w:val="24"/>
      <w:szCs w:val="20"/>
      <w:lang w:val="es-ES_tradnl" w:eastAsia="fr-FR"/>
    </w:rPr>
  </w:style>
  <w:style w:type="character" w:customStyle="1" w:styleId="Style7Car">
    <w:name w:val="Style7 Car"/>
    <w:rsid w:val="0082631D"/>
    <w:rPr>
      <w:rFonts w:ascii="Times New Roman" w:eastAsia="Times New Roman" w:hAnsi="Times New Roman" w:cs="Times New Roman"/>
      <w:b/>
      <w:sz w:val="28"/>
      <w:szCs w:val="20"/>
      <w:lang w:eastAsia="fr-FR"/>
    </w:rPr>
  </w:style>
  <w:style w:type="paragraph" w:customStyle="1" w:styleId="plane">
    <w:name w:val="plane"/>
    <w:basedOn w:val="Normal"/>
    <w:qFormat/>
    <w:rsid w:val="0082631D"/>
    <w:pPr>
      <w:suppressAutoHyphens/>
      <w:spacing w:after="0" w:line="240" w:lineRule="auto"/>
      <w:jc w:val="both"/>
    </w:pPr>
    <w:rPr>
      <w:rFonts w:ascii="Tms Rmn" w:eastAsia="Times New Roman" w:hAnsi="Tms Rmn"/>
      <w:sz w:val="24"/>
      <w:szCs w:val="20"/>
      <w:lang w:val="en-US"/>
    </w:rPr>
  </w:style>
  <w:style w:type="paragraph" w:customStyle="1" w:styleId="StyleHeading4Sub-ClauseSub-paragraphClauseSubSubNoNameAft">
    <w:name w:val="Style Heading 4Sub-Clause Sub-paragraphClauseSubSub_No&amp;Name + Aft..."/>
    <w:basedOn w:val="Titre4"/>
    <w:qFormat/>
    <w:rsid w:val="0082631D"/>
    <w:pPr>
      <w:keepLines w:val="0"/>
      <w:numPr>
        <w:ilvl w:val="0"/>
        <w:numId w:val="0"/>
      </w:numPr>
      <w:tabs>
        <w:tab w:val="left" w:pos="1512"/>
      </w:tabs>
      <w:spacing w:before="0" w:after="180" w:line="240" w:lineRule="auto"/>
      <w:ind w:left="1512" w:right="18" w:hanging="540"/>
      <w:jc w:val="both"/>
    </w:pPr>
    <w:rPr>
      <w:b/>
      <w:bCs/>
      <w:i w:val="0"/>
      <w:iCs w:val="0"/>
      <w:color w:val="auto"/>
      <w:szCs w:val="20"/>
      <w:lang w:val="en-US"/>
    </w:rPr>
  </w:style>
  <w:style w:type="character" w:customStyle="1" w:styleId="a1">
    <w:name w:val="a1"/>
    <w:rsid w:val="0082631D"/>
    <w:rPr>
      <w:rFonts w:ascii="Courier" w:hAnsi="Courier" w:cs="Times New Roman"/>
      <w:sz w:val="20"/>
      <w:lang w:val="en-US"/>
    </w:rPr>
  </w:style>
  <w:style w:type="character" w:customStyle="1" w:styleId="EquationCaption">
    <w:name w:val="_Equation Caption"/>
    <w:rsid w:val="0082631D"/>
  </w:style>
  <w:style w:type="paragraph" w:customStyle="1" w:styleId="Head21">
    <w:name w:val="Head 2.1"/>
    <w:basedOn w:val="Normal"/>
    <w:qFormat/>
    <w:rsid w:val="0082631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rPr>
  </w:style>
  <w:style w:type="paragraph" w:customStyle="1" w:styleId="Head32">
    <w:name w:val="Head 3.2"/>
    <w:basedOn w:val="Normal"/>
    <w:qFormat/>
    <w:rsid w:val="0082631D"/>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b/>
      <w:sz w:val="24"/>
      <w:szCs w:val="20"/>
      <w:lang w:eastAsia="fr-FR"/>
    </w:rPr>
  </w:style>
  <w:style w:type="paragraph" w:customStyle="1" w:styleId="Head31">
    <w:name w:val="Head 3.1"/>
    <w:basedOn w:val="Normal"/>
    <w:qFormat/>
    <w:rsid w:val="0082631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28"/>
      <w:szCs w:val="20"/>
      <w:lang w:eastAsia="fr-FR"/>
    </w:rPr>
  </w:style>
  <w:style w:type="paragraph" w:customStyle="1" w:styleId="explanatoryclause">
    <w:name w:val="explanatory_clause"/>
    <w:basedOn w:val="Normal"/>
    <w:qFormat/>
    <w:rsid w:val="0082631D"/>
    <w:pPr>
      <w:suppressAutoHyphens/>
      <w:overflowPunct w:val="0"/>
      <w:autoSpaceDE w:val="0"/>
      <w:autoSpaceDN w:val="0"/>
      <w:adjustRightInd w:val="0"/>
      <w:spacing w:after="240" w:line="240" w:lineRule="auto"/>
      <w:ind w:left="738" w:right="-14" w:hanging="738"/>
      <w:textAlignment w:val="baseline"/>
    </w:pPr>
    <w:rPr>
      <w:rFonts w:ascii="Arial" w:eastAsia="Times New Roman" w:hAnsi="Arial"/>
      <w:szCs w:val="20"/>
      <w:lang w:val="en-US" w:eastAsia="fr-FR"/>
    </w:rPr>
  </w:style>
  <w:style w:type="paragraph" w:customStyle="1" w:styleId="Sub-ClauseText">
    <w:name w:val="Sub-Clause Text"/>
    <w:basedOn w:val="Normal"/>
    <w:qFormat/>
    <w:rsid w:val="0082631D"/>
    <w:pPr>
      <w:overflowPunct w:val="0"/>
      <w:autoSpaceDE w:val="0"/>
      <w:autoSpaceDN w:val="0"/>
      <w:adjustRightInd w:val="0"/>
      <w:spacing w:before="120" w:after="120" w:line="240" w:lineRule="auto"/>
      <w:jc w:val="both"/>
      <w:textAlignment w:val="baseline"/>
    </w:pPr>
    <w:rPr>
      <w:rFonts w:ascii="Times New Roman" w:eastAsia="Times New Roman" w:hAnsi="Times New Roman"/>
      <w:spacing w:val="-4"/>
      <w:sz w:val="24"/>
      <w:szCs w:val="20"/>
      <w:lang w:val="en-US" w:eastAsia="fr-FR"/>
    </w:rPr>
  </w:style>
  <w:style w:type="paragraph" w:customStyle="1" w:styleId="SectionVIHeader">
    <w:name w:val="Section VI. Header"/>
    <w:basedOn w:val="SectionVHeader"/>
    <w:qFormat/>
    <w:rsid w:val="0082631D"/>
    <w:pPr>
      <w:overflowPunct w:val="0"/>
      <w:autoSpaceDE w:val="0"/>
      <w:autoSpaceDN w:val="0"/>
      <w:adjustRightInd w:val="0"/>
      <w:textAlignment w:val="baseline"/>
    </w:pPr>
    <w:rPr>
      <w:lang w:val="en-US"/>
    </w:rPr>
  </w:style>
  <w:style w:type="character" w:customStyle="1" w:styleId="Parahead">
    <w:name w:val="Para head"/>
    <w:rsid w:val="0082631D"/>
    <w:rPr>
      <w:rFonts w:cs="Times New Roman"/>
      <w:sz w:val="20"/>
    </w:rPr>
  </w:style>
  <w:style w:type="paragraph" w:customStyle="1" w:styleId="Part">
    <w:name w:val="Part"/>
    <w:basedOn w:val="Normal"/>
    <w:next w:val="Normal"/>
    <w:qFormat/>
    <w:rsid w:val="0082631D"/>
    <w:pPr>
      <w:suppressAutoHyphens/>
      <w:overflowPunct w:val="0"/>
      <w:autoSpaceDE w:val="0"/>
      <w:autoSpaceDN w:val="0"/>
      <w:adjustRightInd w:val="0"/>
      <w:spacing w:before="1200" w:after="0" w:line="240" w:lineRule="auto"/>
      <w:jc w:val="center"/>
      <w:textAlignment w:val="baseline"/>
    </w:pPr>
    <w:rPr>
      <w:rFonts w:ascii="Times New Roman" w:eastAsia="Times New Roman" w:hAnsi="Times New Roman"/>
      <w:b/>
      <w:sz w:val="56"/>
      <w:szCs w:val="20"/>
      <w:lang w:eastAsia="fr-FR"/>
    </w:rPr>
  </w:style>
  <w:style w:type="paragraph" w:customStyle="1" w:styleId="StyleHeader1-ClausesLeft0Firstline0">
    <w:name w:val="Style Header 1 - Clauses + Left:  0&quot; First line:  0&quot;"/>
    <w:basedOn w:val="Header1-Clauses"/>
    <w:qFormat/>
    <w:rsid w:val="0082631D"/>
    <w:pPr>
      <w:tabs>
        <w:tab w:val="clear" w:pos="720"/>
        <w:tab w:val="left" w:pos="432"/>
      </w:tabs>
      <w:overflowPunct w:val="0"/>
      <w:autoSpaceDE w:val="0"/>
      <w:autoSpaceDN w:val="0"/>
      <w:adjustRightInd w:val="0"/>
      <w:ind w:left="432" w:hanging="432"/>
      <w:textAlignment w:val="baseline"/>
    </w:pPr>
    <w:rPr>
      <w:bCs/>
    </w:rPr>
  </w:style>
  <w:style w:type="paragraph" w:customStyle="1" w:styleId="SectionIVHeader">
    <w:name w:val="Section IV Header"/>
    <w:basedOn w:val="SectionVHeader"/>
    <w:uiPriority w:val="99"/>
    <w:qFormat/>
    <w:rsid w:val="0082631D"/>
    <w:pPr>
      <w:overflowPunct w:val="0"/>
      <w:autoSpaceDE w:val="0"/>
      <w:autoSpaceDN w:val="0"/>
      <w:adjustRightInd w:val="0"/>
      <w:textAlignment w:val="baseline"/>
    </w:pPr>
    <w:rPr>
      <w:sz w:val="32"/>
      <w:lang w:val="fr-FR"/>
    </w:rPr>
  </w:style>
  <w:style w:type="paragraph" w:customStyle="1" w:styleId="SectionIVHeader-2">
    <w:name w:val="Section IV Header - 2"/>
    <w:basedOn w:val="Head81"/>
    <w:qFormat/>
    <w:rsid w:val="0082631D"/>
  </w:style>
  <w:style w:type="paragraph" w:customStyle="1" w:styleId="StyleSectionIVHeader-2Centered">
    <w:name w:val="Style Section IV Header - 2 + Centered"/>
    <w:basedOn w:val="SectionIVHeader-2"/>
    <w:qFormat/>
    <w:rsid w:val="0082631D"/>
    <w:rPr>
      <w:bCs/>
    </w:rPr>
  </w:style>
  <w:style w:type="paragraph" w:customStyle="1" w:styleId="SectionIXHeading">
    <w:name w:val="Section IX Heading"/>
    <w:basedOn w:val="Head81"/>
    <w:qFormat/>
    <w:rsid w:val="0082631D"/>
    <w:pPr>
      <w:spacing w:before="240" w:after="240"/>
    </w:pPr>
    <w:rPr>
      <w:sz w:val="32"/>
    </w:rPr>
  </w:style>
  <w:style w:type="paragraph" w:customStyle="1" w:styleId="Section1Header1">
    <w:name w:val="Section 1 Header 1"/>
    <w:basedOn w:val="BodyText21"/>
    <w:qFormat/>
    <w:rsid w:val="0082631D"/>
    <w:pPr>
      <w:numPr>
        <w:numId w:val="0"/>
      </w:numPr>
      <w:tabs>
        <w:tab w:val="clear" w:pos="-720"/>
      </w:tabs>
      <w:suppressAutoHyphens w:val="0"/>
      <w:overflowPunct w:val="0"/>
      <w:autoSpaceDE w:val="0"/>
      <w:autoSpaceDN w:val="0"/>
      <w:adjustRightInd w:val="0"/>
      <w:spacing w:before="120" w:after="120"/>
      <w:jc w:val="center"/>
      <w:textAlignment w:val="baseline"/>
    </w:pPr>
    <w:rPr>
      <w:b/>
      <w:sz w:val="28"/>
    </w:rPr>
  </w:style>
  <w:style w:type="paragraph" w:customStyle="1" w:styleId="UG-Heading1">
    <w:name w:val="UG - Heading 1"/>
    <w:basedOn w:val="Titre1"/>
    <w:qFormat/>
    <w:rsid w:val="0082631D"/>
    <w:pPr>
      <w:keepLines w:val="0"/>
      <w:numPr>
        <w:numId w:val="0"/>
      </w:numPr>
      <w:spacing w:before="0" w:after="200" w:line="240" w:lineRule="auto"/>
      <w:jc w:val="center"/>
    </w:pPr>
    <w:rPr>
      <w:kern w:val="28"/>
      <w:sz w:val="36"/>
      <w:szCs w:val="20"/>
      <w:lang w:eastAsia="fr-FR"/>
    </w:rPr>
  </w:style>
  <w:style w:type="paragraph" w:customStyle="1" w:styleId="UG-Heading2">
    <w:name w:val="UG - Heading 2"/>
    <w:basedOn w:val="Titre2"/>
    <w:qFormat/>
    <w:rsid w:val="0082631D"/>
    <w:pPr>
      <w:keepNext w:val="0"/>
      <w:keepLines w:val="0"/>
      <w:numPr>
        <w:ilvl w:val="0"/>
        <w:numId w:val="0"/>
      </w:numPr>
      <w:tabs>
        <w:tab w:val="left" w:pos="619"/>
      </w:tabs>
      <w:spacing w:before="0" w:after="200" w:line="240" w:lineRule="auto"/>
      <w:jc w:val="center"/>
    </w:pPr>
    <w:rPr>
      <w:rFonts w:ascii="Times New Roman Bold" w:hAnsi="Times New Roman Bold"/>
      <w:color w:val="auto"/>
      <w:sz w:val="28"/>
      <w:szCs w:val="28"/>
      <w:lang w:eastAsia="fr-FR"/>
    </w:rPr>
  </w:style>
  <w:style w:type="paragraph" w:customStyle="1" w:styleId="UG-Header">
    <w:name w:val="UG - Header"/>
    <w:basedOn w:val="Normal"/>
    <w:qFormat/>
    <w:rsid w:val="0082631D"/>
    <w:pPr>
      <w:suppressAutoHyphens/>
      <w:overflowPunct w:val="0"/>
      <w:autoSpaceDE w:val="0"/>
      <w:autoSpaceDN w:val="0"/>
      <w:adjustRightInd w:val="0"/>
      <w:spacing w:after="0" w:line="240" w:lineRule="auto"/>
      <w:jc w:val="center"/>
      <w:textAlignment w:val="baseline"/>
    </w:pPr>
    <w:rPr>
      <w:rFonts w:ascii="Times New Roman" w:eastAsia="Times New Roman" w:hAnsi="Times New Roman"/>
      <w:b/>
      <w:sz w:val="72"/>
      <w:szCs w:val="20"/>
      <w:lang w:eastAsia="fr-FR"/>
    </w:rPr>
  </w:style>
  <w:style w:type="paragraph" w:customStyle="1" w:styleId="Technical4">
    <w:name w:val="Technical 4"/>
    <w:qFormat/>
    <w:rsid w:val="0082631D"/>
    <w:pPr>
      <w:tabs>
        <w:tab w:val="left" w:pos="-720"/>
      </w:tabs>
      <w:suppressAutoHyphens/>
    </w:pPr>
    <w:rPr>
      <w:rFonts w:ascii="Times" w:eastAsia="Times New Roman" w:hAnsi="Times"/>
      <w:b/>
      <w:sz w:val="24"/>
      <w:lang w:val="en-US" w:eastAsia="en-US"/>
    </w:rPr>
  </w:style>
  <w:style w:type="paragraph" w:customStyle="1" w:styleId="ClauseSubPara">
    <w:name w:val="ClauseSub_Para"/>
    <w:qFormat/>
    <w:rsid w:val="0082631D"/>
    <w:pPr>
      <w:spacing w:before="60" w:after="60"/>
      <w:ind w:left="2268"/>
    </w:pPr>
    <w:rPr>
      <w:rFonts w:ascii="Times New Roman" w:eastAsia="Times New Roman" w:hAnsi="Times New Roman"/>
      <w:sz w:val="22"/>
      <w:szCs w:val="22"/>
      <w:lang w:val="en-GB" w:eastAsia="en-US"/>
    </w:rPr>
  </w:style>
  <w:style w:type="paragraph" w:customStyle="1" w:styleId="SectionVHeading2">
    <w:name w:val="Section V. Heading 2"/>
    <w:basedOn w:val="SectionVHeader"/>
    <w:qFormat/>
    <w:rsid w:val="0082631D"/>
    <w:pPr>
      <w:spacing w:before="120" w:after="200"/>
    </w:pPr>
    <w:rPr>
      <w:sz w:val="28"/>
      <w:lang w:eastAsia="en-US"/>
    </w:rPr>
  </w:style>
  <w:style w:type="paragraph" w:customStyle="1" w:styleId="UGHeader1">
    <w:name w:val="UG Header 1"/>
    <w:basedOn w:val="Titre1"/>
    <w:next w:val="Normal"/>
    <w:qFormat/>
    <w:rsid w:val="0082631D"/>
    <w:pPr>
      <w:keepNext w:val="0"/>
      <w:keepLines w:val="0"/>
      <w:numPr>
        <w:numId w:val="0"/>
      </w:numPr>
      <w:suppressAutoHyphens/>
      <w:spacing w:after="240" w:line="240" w:lineRule="auto"/>
      <w:jc w:val="center"/>
    </w:pPr>
    <w:rPr>
      <w:rFonts w:ascii="Times New Roman Bold" w:hAnsi="Times New Roman Bold"/>
      <w:sz w:val="36"/>
      <w:szCs w:val="20"/>
      <w:lang w:val="en-US"/>
    </w:rPr>
  </w:style>
  <w:style w:type="character" w:customStyle="1" w:styleId="NotedefinCar">
    <w:name w:val="Note de fin Car"/>
    <w:link w:val="Notedefin"/>
    <w:uiPriority w:val="99"/>
    <w:semiHidden/>
    <w:rsid w:val="0082631D"/>
    <w:rPr>
      <w:rFonts w:ascii="Times New Roman" w:eastAsia="Times New Roman" w:hAnsi="Times New Roman" w:cs="Times New Roman"/>
      <w:sz w:val="20"/>
      <w:szCs w:val="20"/>
    </w:rPr>
  </w:style>
  <w:style w:type="paragraph" w:styleId="Notedefin">
    <w:name w:val="endnote text"/>
    <w:basedOn w:val="Normal"/>
    <w:link w:val="NotedefinCar"/>
    <w:uiPriority w:val="99"/>
    <w:semiHidden/>
    <w:unhideWhenUsed/>
    <w:qFormat/>
    <w:rsid w:val="0082631D"/>
    <w:pPr>
      <w:suppressAutoHyphens/>
      <w:overflowPunct w:val="0"/>
      <w:autoSpaceDE w:val="0"/>
      <w:autoSpaceDN w:val="0"/>
      <w:adjustRightInd w:val="0"/>
      <w:spacing w:after="0" w:line="240" w:lineRule="auto"/>
      <w:jc w:val="both"/>
      <w:textAlignment w:val="baseline"/>
    </w:pPr>
    <w:rPr>
      <w:rFonts w:ascii="Times New Roman" w:eastAsia="Times New Roman" w:hAnsi="Times New Roman"/>
      <w:sz w:val="20"/>
      <w:szCs w:val="20"/>
    </w:rPr>
  </w:style>
  <w:style w:type="character" w:customStyle="1" w:styleId="NotedefinCar1">
    <w:name w:val="Note de fin Car1"/>
    <w:uiPriority w:val="99"/>
    <w:semiHidden/>
    <w:rsid w:val="0082631D"/>
    <w:rPr>
      <w:sz w:val="20"/>
      <w:szCs w:val="20"/>
    </w:rPr>
  </w:style>
  <w:style w:type="paragraph" w:customStyle="1" w:styleId="UG-Title">
    <w:name w:val="UG-Title"/>
    <w:basedOn w:val="Sous-titre"/>
    <w:qFormat/>
    <w:rsid w:val="0082631D"/>
    <w:pPr>
      <w:numPr>
        <w:ilvl w:val="0"/>
      </w:numPr>
      <w:overflowPunct w:val="0"/>
      <w:autoSpaceDE w:val="0"/>
      <w:autoSpaceDN w:val="0"/>
      <w:adjustRightInd w:val="0"/>
      <w:spacing w:after="0" w:line="240" w:lineRule="auto"/>
      <w:jc w:val="center"/>
      <w:textAlignment w:val="baseline"/>
    </w:pPr>
    <w:rPr>
      <w:rFonts w:ascii="Times New Roman" w:hAnsi="Times New Roman"/>
      <w:b/>
      <w:color w:val="auto"/>
      <w:spacing w:val="0"/>
      <w:sz w:val="44"/>
      <w:szCs w:val="20"/>
      <w:lang w:val="es-ES_tradnl" w:eastAsia="fr-FR"/>
    </w:rPr>
  </w:style>
  <w:style w:type="paragraph" w:customStyle="1" w:styleId="UG-SectionIVHeader">
    <w:name w:val="UG-Section IV Header"/>
    <w:basedOn w:val="SectionIVHeader"/>
    <w:qFormat/>
    <w:rsid w:val="0082631D"/>
  </w:style>
  <w:style w:type="paragraph" w:customStyle="1" w:styleId="UG-SectionIVHeader-2">
    <w:name w:val="UG-Section IV Header - 2"/>
    <w:basedOn w:val="SectionIVHeader-2"/>
    <w:qFormat/>
    <w:rsid w:val="0082631D"/>
  </w:style>
  <w:style w:type="paragraph" w:customStyle="1" w:styleId="TITREPROJET">
    <w:name w:val="TITRE PROJET"/>
    <w:basedOn w:val="Normal"/>
    <w:qFormat/>
    <w:rsid w:val="0082631D"/>
    <w:pPr>
      <w:spacing w:after="120" w:line="288" w:lineRule="auto"/>
      <w:jc w:val="both"/>
    </w:pPr>
    <w:rPr>
      <w:rFonts w:ascii="Arial" w:eastAsia="Times New Roman" w:hAnsi="Arial" w:cs="Arial"/>
      <w:b/>
      <w:sz w:val="48"/>
      <w:szCs w:val="48"/>
      <w:lang w:eastAsia="fr-FR"/>
    </w:rPr>
  </w:style>
  <w:style w:type="paragraph" w:customStyle="1" w:styleId="r">
    <w:name w:val="r"/>
    <w:basedOn w:val="Normal"/>
    <w:qFormat/>
    <w:rsid w:val="0082631D"/>
    <w:pPr>
      <w:widowControl w:val="0"/>
      <w:numPr>
        <w:ilvl w:val="2"/>
        <w:numId w:val="156"/>
      </w:numPr>
      <w:suppressAutoHyphens/>
      <w:spacing w:after="0" w:line="240" w:lineRule="auto"/>
      <w:jc w:val="both"/>
    </w:pPr>
    <w:rPr>
      <w:rFonts w:ascii="CG Times" w:eastAsia="Times New Roman" w:hAnsi="CG Times"/>
      <w:snapToGrid w:val="0"/>
      <w:spacing w:val="-3"/>
      <w:sz w:val="24"/>
      <w:szCs w:val="20"/>
    </w:rPr>
  </w:style>
  <w:style w:type="paragraph" w:customStyle="1" w:styleId="BodyText22">
    <w:name w:val="Body Text 22"/>
    <w:basedOn w:val="Normal"/>
    <w:qFormat/>
    <w:rsid w:val="0082631D"/>
    <w:pPr>
      <w:overflowPunct w:val="0"/>
      <w:autoSpaceDE w:val="0"/>
      <w:autoSpaceDN w:val="0"/>
      <w:adjustRightInd w:val="0"/>
      <w:spacing w:after="0" w:line="240" w:lineRule="auto"/>
      <w:jc w:val="center"/>
      <w:textAlignment w:val="baseline"/>
    </w:pPr>
    <w:rPr>
      <w:rFonts w:ascii="Times New Roman" w:eastAsia="Times New Roman" w:hAnsi="Times New Roman"/>
      <w:sz w:val="28"/>
      <w:szCs w:val="28"/>
      <w:lang w:eastAsia="fr-FR"/>
    </w:rPr>
  </w:style>
  <w:style w:type="paragraph" w:customStyle="1" w:styleId="Par2bis">
    <w:name w:val="Par 2 bis"/>
    <w:basedOn w:val="Normal"/>
    <w:uiPriority w:val="99"/>
    <w:qFormat/>
    <w:rsid w:val="0082631D"/>
    <w:pPr>
      <w:spacing w:after="0" w:line="240" w:lineRule="atLeast"/>
      <w:jc w:val="both"/>
    </w:pPr>
    <w:rPr>
      <w:rFonts w:ascii="Times New Roman" w:eastAsia="Times New Roman" w:hAnsi="Times New Roman"/>
      <w:sz w:val="24"/>
      <w:szCs w:val="20"/>
      <w:lang w:eastAsia="fr-FR"/>
    </w:rPr>
  </w:style>
  <w:style w:type="paragraph" w:customStyle="1" w:styleId="Head12">
    <w:name w:val="Head 1.2"/>
    <w:basedOn w:val="Normal"/>
    <w:autoRedefine/>
    <w:qFormat/>
    <w:rsid w:val="0082631D"/>
    <w:pPr>
      <w:numPr>
        <w:numId w:val="157"/>
      </w:numPr>
      <w:tabs>
        <w:tab w:val="clear" w:pos="570"/>
        <w:tab w:val="num" w:pos="250"/>
      </w:tabs>
      <w:spacing w:after="200" w:line="240" w:lineRule="auto"/>
      <w:ind w:left="250" w:hanging="250"/>
    </w:pPr>
    <w:rPr>
      <w:rFonts w:ascii="Times New Roman Bold" w:eastAsia="Times New Roman" w:hAnsi="Times New Roman Bold"/>
      <w:b/>
      <w:spacing w:val="-6"/>
      <w:sz w:val="24"/>
      <w:szCs w:val="24"/>
      <w:lang w:eastAsia="fr-FR"/>
    </w:rPr>
  </w:style>
  <w:style w:type="paragraph" w:customStyle="1" w:styleId="font5">
    <w:name w:val="font5"/>
    <w:basedOn w:val="Normal"/>
    <w:qFormat/>
    <w:rsid w:val="0082631D"/>
    <w:pPr>
      <w:spacing w:before="100" w:beforeAutospacing="1" w:after="100" w:afterAutospacing="1" w:line="240" w:lineRule="auto"/>
    </w:pPr>
    <w:rPr>
      <w:rFonts w:ascii="Times New Roman" w:eastAsia="Times New Roman" w:hAnsi="Times New Roman"/>
      <w:sz w:val="20"/>
      <w:szCs w:val="20"/>
      <w:lang w:eastAsia="fr-FR"/>
    </w:rPr>
  </w:style>
  <w:style w:type="paragraph" w:customStyle="1" w:styleId="font6">
    <w:name w:val="font6"/>
    <w:basedOn w:val="Normal"/>
    <w:qFormat/>
    <w:rsid w:val="0082631D"/>
    <w:pPr>
      <w:spacing w:before="100" w:beforeAutospacing="1" w:after="100" w:afterAutospacing="1" w:line="240" w:lineRule="auto"/>
    </w:pPr>
    <w:rPr>
      <w:rFonts w:ascii="Times New Roman" w:eastAsia="Times New Roman" w:hAnsi="Times New Roman"/>
      <w:b/>
      <w:bCs/>
      <w:sz w:val="20"/>
      <w:szCs w:val="20"/>
      <w:lang w:eastAsia="fr-FR"/>
    </w:rPr>
  </w:style>
  <w:style w:type="paragraph" w:customStyle="1" w:styleId="textesimple">
    <w:name w:val="texte_simple"/>
    <w:basedOn w:val="Normal"/>
    <w:qFormat/>
    <w:rsid w:val="0082631D"/>
    <w:pPr>
      <w:spacing w:before="100" w:beforeAutospacing="1" w:after="100" w:afterAutospacing="1" w:line="240" w:lineRule="auto"/>
    </w:pPr>
    <w:rPr>
      <w:rFonts w:ascii="Times New Roman" w:eastAsia="Times New Roman" w:hAnsi="Times New Roman"/>
      <w:sz w:val="24"/>
      <w:szCs w:val="24"/>
      <w:lang w:val="en-US"/>
    </w:rPr>
  </w:style>
  <w:style w:type="numbering" w:customStyle="1" w:styleId="NoList1">
    <w:name w:val="No List1"/>
    <w:next w:val="Aucuneliste"/>
    <w:uiPriority w:val="99"/>
    <w:semiHidden/>
    <w:unhideWhenUsed/>
    <w:rsid w:val="0082631D"/>
  </w:style>
  <w:style w:type="paragraph" w:styleId="Listenumros">
    <w:name w:val="List Number"/>
    <w:basedOn w:val="Normal"/>
    <w:uiPriority w:val="99"/>
    <w:unhideWhenUsed/>
    <w:qFormat/>
    <w:rsid w:val="0082631D"/>
    <w:pPr>
      <w:numPr>
        <w:numId w:val="158"/>
      </w:numPr>
      <w:spacing w:before="120" w:after="120" w:line="240" w:lineRule="auto"/>
      <w:ind w:left="568" w:hanging="284"/>
    </w:pPr>
    <w:rPr>
      <w:rFonts w:ascii="Times New Roman" w:eastAsia="Times New Roman" w:hAnsi="Times New Roman" w:cs="Arial"/>
      <w:snapToGrid w:val="0"/>
      <w:lang w:eastAsia="fr-FR"/>
    </w:rPr>
  </w:style>
  <w:style w:type="numbering" w:customStyle="1" w:styleId="Style11">
    <w:name w:val="Style11"/>
    <w:uiPriority w:val="99"/>
    <w:rsid w:val="0082631D"/>
    <w:pPr>
      <w:numPr>
        <w:numId w:val="159"/>
      </w:numPr>
    </w:pPr>
  </w:style>
  <w:style w:type="numbering" w:customStyle="1" w:styleId="Style12">
    <w:name w:val="Style12"/>
    <w:uiPriority w:val="99"/>
    <w:rsid w:val="0082631D"/>
    <w:pPr>
      <w:numPr>
        <w:numId w:val="160"/>
      </w:numPr>
    </w:pPr>
  </w:style>
  <w:style w:type="numbering" w:customStyle="1" w:styleId="Style13">
    <w:name w:val="Style13"/>
    <w:uiPriority w:val="99"/>
    <w:rsid w:val="0082631D"/>
    <w:pPr>
      <w:numPr>
        <w:numId w:val="161"/>
      </w:numPr>
    </w:pPr>
  </w:style>
  <w:style w:type="numbering" w:customStyle="1" w:styleId="Style14">
    <w:name w:val="Style14"/>
    <w:uiPriority w:val="99"/>
    <w:rsid w:val="0082631D"/>
    <w:pPr>
      <w:numPr>
        <w:numId w:val="162"/>
      </w:numPr>
    </w:pPr>
  </w:style>
  <w:style w:type="numbering" w:customStyle="1" w:styleId="Style15">
    <w:name w:val="Style15"/>
    <w:uiPriority w:val="99"/>
    <w:rsid w:val="0082631D"/>
    <w:pPr>
      <w:numPr>
        <w:numId w:val="163"/>
      </w:numPr>
    </w:pPr>
  </w:style>
  <w:style w:type="paragraph" w:customStyle="1" w:styleId="Lgende3">
    <w:name w:val="Légende3"/>
    <w:basedOn w:val="Normal"/>
    <w:next w:val="Normal"/>
    <w:qFormat/>
    <w:rsid w:val="0082631D"/>
    <w:pPr>
      <w:suppressAutoHyphens/>
      <w:spacing w:after="0" w:line="360" w:lineRule="auto"/>
    </w:pPr>
    <w:rPr>
      <w:rFonts w:ascii="Arial" w:eastAsia="Batang" w:hAnsi="Arial"/>
      <w:b/>
      <w:bCs/>
      <w:i/>
      <w:iCs/>
      <w:sz w:val="24"/>
      <w:szCs w:val="24"/>
    </w:rPr>
  </w:style>
  <w:style w:type="numbering" w:customStyle="1" w:styleId="Aucuneliste5">
    <w:name w:val="Aucune liste5"/>
    <w:next w:val="Aucuneliste"/>
    <w:uiPriority w:val="99"/>
    <w:semiHidden/>
    <w:unhideWhenUsed/>
    <w:rsid w:val="00E15268"/>
  </w:style>
  <w:style w:type="table" w:customStyle="1" w:styleId="mtbs2">
    <w:name w:val="mtbs2"/>
    <w:basedOn w:val="TableauNormal"/>
    <w:next w:val="Grilledutableau"/>
    <w:uiPriority w:val="39"/>
    <w:qFormat/>
    <w:rsid w:val="00E15268"/>
    <w:rPr>
      <w:rFonts w:eastAsia="SimSu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7">
    <w:name w:val="Grille du tableau17"/>
    <w:basedOn w:val="TableauNormal"/>
    <w:next w:val="Grilledutableau"/>
    <w:uiPriority w:val="39"/>
    <w:rsid w:val="00E15268"/>
    <w:pPr>
      <w:suppressAutoHyphens/>
      <w:overflowPunct w:val="0"/>
      <w:autoSpaceDE w:val="0"/>
      <w:autoSpaceDN w:val="0"/>
      <w:adjustRightInd w:val="0"/>
      <w:jc w:val="both"/>
      <w:textAlignment w:val="baseline"/>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4">
    <w:name w:val="Grille du tableau24"/>
    <w:basedOn w:val="TableauNormal"/>
    <w:next w:val="Grilledutableau"/>
    <w:uiPriority w:val="39"/>
    <w:rsid w:val="00E15268"/>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uiPriority w:val="99"/>
    <w:semiHidden/>
    <w:unhideWhenUsed/>
    <w:qFormat/>
    <w:rsid w:val="00E15268"/>
  </w:style>
  <w:style w:type="numbering" w:customStyle="1" w:styleId="Aucuneliste22">
    <w:name w:val="Aucune liste22"/>
    <w:uiPriority w:val="99"/>
    <w:semiHidden/>
    <w:unhideWhenUsed/>
    <w:qFormat/>
    <w:rsid w:val="00E15268"/>
  </w:style>
  <w:style w:type="numbering" w:customStyle="1" w:styleId="Aucuneliste32">
    <w:name w:val="Aucune liste32"/>
    <w:uiPriority w:val="99"/>
    <w:semiHidden/>
    <w:unhideWhenUsed/>
    <w:qFormat/>
    <w:rsid w:val="00E15268"/>
  </w:style>
  <w:style w:type="numbering" w:customStyle="1" w:styleId="Aucuneliste112">
    <w:name w:val="Aucune liste112"/>
    <w:uiPriority w:val="99"/>
    <w:semiHidden/>
    <w:unhideWhenUsed/>
    <w:qFormat/>
    <w:rsid w:val="00E15268"/>
  </w:style>
  <w:style w:type="table" w:customStyle="1" w:styleId="TableGrid7">
    <w:name w:val="TableGrid7"/>
    <w:rsid w:val="00E15268"/>
    <w:pPr>
      <w:suppressAutoHyphens/>
    </w:pPr>
    <w:rPr>
      <w:sz w:val="22"/>
      <w:szCs w:val="22"/>
    </w:rPr>
    <w:tblPr>
      <w:tblCellMar>
        <w:top w:w="0" w:type="dxa"/>
        <w:left w:w="0" w:type="dxa"/>
        <w:bottom w:w="0" w:type="dxa"/>
        <w:right w:w="0" w:type="dxa"/>
      </w:tblCellMar>
    </w:tblPr>
  </w:style>
  <w:style w:type="table" w:customStyle="1" w:styleId="TableGrid120">
    <w:name w:val="TableGrid12"/>
    <w:rsid w:val="00E15268"/>
    <w:pPr>
      <w:suppressAutoHyphens/>
    </w:pPr>
    <w:rPr>
      <w:sz w:val="22"/>
      <w:szCs w:val="22"/>
    </w:rPr>
    <w:tblPr>
      <w:tblCellMar>
        <w:top w:w="0" w:type="dxa"/>
        <w:left w:w="0" w:type="dxa"/>
        <w:bottom w:w="0" w:type="dxa"/>
        <w:right w:w="0" w:type="dxa"/>
      </w:tblCellMar>
    </w:tblPr>
  </w:style>
  <w:style w:type="table" w:customStyle="1" w:styleId="TableGrid22">
    <w:name w:val="TableGrid22"/>
    <w:rsid w:val="00E15268"/>
    <w:pPr>
      <w:suppressAutoHyphens/>
    </w:pPr>
    <w:rPr>
      <w:sz w:val="22"/>
      <w:szCs w:val="22"/>
    </w:rPr>
    <w:tblPr>
      <w:tblCellMar>
        <w:top w:w="0" w:type="dxa"/>
        <w:left w:w="0" w:type="dxa"/>
        <w:bottom w:w="0" w:type="dxa"/>
        <w:right w:w="0" w:type="dxa"/>
      </w:tblCellMar>
    </w:tblPr>
  </w:style>
  <w:style w:type="table" w:customStyle="1" w:styleId="TableGrid32">
    <w:name w:val="TableGrid32"/>
    <w:rsid w:val="00E15268"/>
    <w:pPr>
      <w:suppressAutoHyphens/>
    </w:pPr>
    <w:rPr>
      <w:sz w:val="22"/>
      <w:szCs w:val="22"/>
    </w:rPr>
    <w:tblPr>
      <w:tblCellMar>
        <w:top w:w="0" w:type="dxa"/>
        <w:left w:w="0" w:type="dxa"/>
        <w:bottom w:w="0" w:type="dxa"/>
        <w:right w:w="0" w:type="dxa"/>
      </w:tblCellMar>
    </w:tblPr>
  </w:style>
  <w:style w:type="table" w:customStyle="1" w:styleId="mtbs12">
    <w:name w:val="mtbs12"/>
    <w:basedOn w:val="TableauNormal"/>
    <w:uiPriority w:val="39"/>
    <w:qFormat/>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moyenne1-Accent22">
    <w:name w:val="Grille moyenne 1 - Accent 22"/>
    <w:basedOn w:val="TableauNormal"/>
    <w:next w:val="Grillemoyenne1-Accent2"/>
    <w:rsid w:val="00E15268"/>
    <w:pPr>
      <w:suppressAutoHyphens/>
    </w:pPr>
    <w:rPr>
      <w:rFonts w:eastAsia="SimSun"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TableauGrille1Clair-Accentuation112">
    <w:name w:val="Tableau Grille 1 Clair - Accentuation 112"/>
    <w:basedOn w:val="TableauNormal"/>
    <w:uiPriority w:val="46"/>
    <w:rsid w:val="00E15268"/>
    <w:pPr>
      <w:suppressAutoHyphens/>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3">
    <w:name w:val="Table Grid13"/>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E15268"/>
    <w:pPr>
      <w:suppressAutoHyphens/>
    </w:pPr>
    <w:rPr>
      <w:sz w:val="22"/>
      <w:szCs w:val="22"/>
    </w:rPr>
    <w:tblPr>
      <w:tblCellMar>
        <w:top w:w="0" w:type="dxa"/>
        <w:left w:w="0" w:type="dxa"/>
        <w:bottom w:w="0" w:type="dxa"/>
        <w:right w:w="0" w:type="dxa"/>
      </w:tblCellMar>
    </w:tblPr>
  </w:style>
  <w:style w:type="table" w:customStyle="1" w:styleId="EYTable12">
    <w:name w:val="EY Table12"/>
    <w:basedOn w:val="TableauNormal"/>
    <w:uiPriority w:val="39"/>
    <w:qFormat/>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4">
    <w:name w:val="Grille du tableau34"/>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Grid52"/>
    <w:rsid w:val="00E15268"/>
    <w:pPr>
      <w:suppressAutoHyphens/>
    </w:pPr>
    <w:rPr>
      <w:sz w:val="22"/>
      <w:szCs w:val="22"/>
    </w:rPr>
    <w:tblPr>
      <w:tblCellMar>
        <w:top w:w="0" w:type="dxa"/>
        <w:left w:w="0" w:type="dxa"/>
        <w:bottom w:w="0" w:type="dxa"/>
        <w:right w:w="0" w:type="dxa"/>
      </w:tblCellMar>
    </w:tblPr>
  </w:style>
  <w:style w:type="table" w:customStyle="1" w:styleId="Grilledutableau44">
    <w:name w:val="Grille du tableau44"/>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3">
    <w:name w:val="Grille du tableau53"/>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4">
    <w:name w:val="Grille du tableau114"/>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12">
    <w:name w:val="Grille du tableau21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2">
    <w:name w:val="Grille du tableau312"/>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2">
    <w:name w:val="Grille du tableau412"/>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12">
    <w:name w:val="Grille du tableau51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2">
    <w:name w:val="Grille du tableau6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2">
    <w:name w:val="Grille du tableau72"/>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14">
    <w:name w:val="Grille du tableau1114"/>
    <w:basedOn w:val="TableauNormal"/>
    <w:uiPriority w:val="5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82">
    <w:name w:val="Grille du tableau8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92">
    <w:name w:val="Grille du tableau9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2">
    <w:name w:val="Grille du tableau102"/>
    <w:basedOn w:val="TableauNormal"/>
    <w:uiPriority w:val="39"/>
    <w:rsid w:val="00E15268"/>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1">
    <w:name w:val="Aucune liste41"/>
    <w:next w:val="Aucuneliste"/>
    <w:uiPriority w:val="99"/>
    <w:semiHidden/>
    <w:unhideWhenUsed/>
    <w:rsid w:val="00E15268"/>
  </w:style>
  <w:style w:type="table" w:customStyle="1" w:styleId="Grilledutableau121">
    <w:name w:val="Grille du tableau121"/>
    <w:basedOn w:val="TableauNormal"/>
    <w:next w:val="Grilledutableau"/>
    <w:uiPriority w:val="59"/>
    <w:rsid w:val="00E15268"/>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auNormal"/>
    <w:next w:val="Grilledutableau"/>
    <w:uiPriority w:val="59"/>
    <w:rsid w:val="00E15268"/>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ucuneliste"/>
    <w:uiPriority w:val="99"/>
    <w:semiHidden/>
    <w:unhideWhenUsed/>
    <w:rsid w:val="00E15268"/>
  </w:style>
  <w:style w:type="numbering" w:customStyle="1" w:styleId="Style91">
    <w:name w:val="Style91"/>
    <w:uiPriority w:val="99"/>
    <w:rsid w:val="00E15268"/>
    <w:pPr>
      <w:numPr>
        <w:numId w:val="193"/>
      </w:numPr>
    </w:pPr>
  </w:style>
  <w:style w:type="numbering" w:customStyle="1" w:styleId="Style101">
    <w:name w:val="Style101"/>
    <w:uiPriority w:val="99"/>
    <w:rsid w:val="00E15268"/>
    <w:pPr>
      <w:numPr>
        <w:numId w:val="194"/>
      </w:numPr>
    </w:pPr>
  </w:style>
  <w:style w:type="numbering" w:customStyle="1" w:styleId="Style111">
    <w:name w:val="Style111"/>
    <w:uiPriority w:val="99"/>
    <w:rsid w:val="00E15268"/>
    <w:pPr>
      <w:numPr>
        <w:numId w:val="124"/>
      </w:numPr>
    </w:pPr>
  </w:style>
  <w:style w:type="numbering" w:customStyle="1" w:styleId="Style121">
    <w:name w:val="Style121"/>
    <w:uiPriority w:val="99"/>
    <w:rsid w:val="00E15268"/>
    <w:pPr>
      <w:numPr>
        <w:numId w:val="125"/>
      </w:numPr>
    </w:pPr>
  </w:style>
  <w:style w:type="numbering" w:customStyle="1" w:styleId="Style131">
    <w:name w:val="Style131"/>
    <w:uiPriority w:val="99"/>
    <w:rsid w:val="00E15268"/>
    <w:pPr>
      <w:numPr>
        <w:numId w:val="126"/>
      </w:numPr>
    </w:pPr>
  </w:style>
  <w:style w:type="numbering" w:customStyle="1" w:styleId="Style141">
    <w:name w:val="Style141"/>
    <w:uiPriority w:val="99"/>
    <w:rsid w:val="00E15268"/>
    <w:pPr>
      <w:numPr>
        <w:numId w:val="127"/>
      </w:numPr>
    </w:pPr>
  </w:style>
  <w:style w:type="numbering" w:customStyle="1" w:styleId="Style151">
    <w:name w:val="Style151"/>
    <w:uiPriority w:val="99"/>
    <w:rsid w:val="00E15268"/>
    <w:pPr>
      <w:numPr>
        <w:numId w:val="128"/>
      </w:numPr>
    </w:pPr>
  </w:style>
  <w:style w:type="table" w:customStyle="1" w:styleId="TableGrid8">
    <w:name w:val="TableGrid8"/>
    <w:rsid w:val="00A7025E"/>
    <w:rPr>
      <w:rFonts w:eastAsia="Times New Roman"/>
      <w:sz w:val="22"/>
      <w:szCs w:val="22"/>
    </w:rPr>
    <w:tblPr>
      <w:tblCellMar>
        <w:top w:w="0" w:type="dxa"/>
        <w:left w:w="0" w:type="dxa"/>
        <w:bottom w:w="0" w:type="dxa"/>
        <w:right w:w="0" w:type="dxa"/>
      </w:tblCellMar>
    </w:tblPr>
  </w:style>
  <w:style w:type="character" w:styleId="Emphaseintense">
    <w:name w:val="Intense Emphasis"/>
    <w:uiPriority w:val="21"/>
    <w:qFormat/>
    <w:rsid w:val="0015245E"/>
    <w:rPr>
      <w:i/>
      <w:iCs/>
      <w:color w:val="5B9BD5"/>
    </w:rPr>
  </w:style>
  <w:style w:type="table" w:customStyle="1" w:styleId="Tableausimple51">
    <w:name w:val="Tableau simple 51"/>
    <w:basedOn w:val="TableauNormal"/>
    <w:uiPriority w:val="45"/>
    <w:rsid w:val="0015245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FNRefeCharChar">
    <w:name w:val="FNRefe Char Char"/>
    <w:aliases w:val="BVI fnr Char Char, BVI fnr Char Char Char, BVI fnr Car Car Char Char Char,BVI fnr Car Char Char Char, BVI fnr Car Car Car Car Char Char Char Char Char,BVI fnr Car Car Char Char Char,BVI fnr Car Car Car Car Char Char Char Char Char"/>
    <w:basedOn w:val="Normal"/>
    <w:uiPriority w:val="99"/>
    <w:rsid w:val="00513718"/>
    <w:pPr>
      <w:spacing w:line="240" w:lineRule="exact"/>
    </w:pPr>
    <w:rPr>
      <w:vertAlign w:val="superscript"/>
    </w:rPr>
  </w:style>
  <w:style w:type="paragraph" w:customStyle="1" w:styleId="Titr3">
    <w:name w:val="Titr3"/>
    <w:basedOn w:val="Normal"/>
    <w:qFormat/>
    <w:rsid w:val="00F334CB"/>
    <w:pPr>
      <w:spacing w:after="0" w:line="276" w:lineRule="auto"/>
    </w:pPr>
    <w:rPr>
      <w:rFonts w:ascii="Times New Roman" w:hAnsi="Times New Roman"/>
      <w:b/>
      <w:sz w:val="24"/>
      <w:szCs w:val="24"/>
    </w:rPr>
  </w:style>
  <w:style w:type="character" w:customStyle="1" w:styleId="Mentionnonrsolue5">
    <w:name w:val="Mention non résolue5"/>
    <w:uiPriority w:val="99"/>
    <w:semiHidden/>
    <w:unhideWhenUsed/>
    <w:rsid w:val="00F56080"/>
    <w:rPr>
      <w:color w:val="605E5C"/>
      <w:shd w:val="clear" w:color="auto" w:fill="E1DFDD"/>
    </w:rPr>
  </w:style>
  <w:style w:type="character" w:customStyle="1" w:styleId="markedcontent">
    <w:name w:val="markedcontent"/>
    <w:basedOn w:val="Policepardfaut"/>
    <w:rsid w:val="00B76612"/>
  </w:style>
  <w:style w:type="character" w:customStyle="1" w:styleId="UnresolvedMention3">
    <w:name w:val="Unresolved Mention3"/>
    <w:uiPriority w:val="99"/>
    <w:semiHidden/>
    <w:unhideWhenUsed/>
    <w:rsid w:val="00981BCA"/>
    <w:rPr>
      <w:color w:val="605E5C"/>
      <w:shd w:val="clear" w:color="auto" w:fill="E1DFDD"/>
    </w:rPr>
  </w:style>
  <w:style w:type="paragraph" w:customStyle="1" w:styleId="Commentaire3">
    <w:name w:val="Commentaire3"/>
    <w:basedOn w:val="Normal"/>
    <w:rsid w:val="009C11E8"/>
    <w:pPr>
      <w:suppressAutoHyphens/>
      <w:spacing w:line="240" w:lineRule="auto"/>
    </w:pPr>
    <w:rPr>
      <w:rFonts w:cs="font946"/>
      <w:sz w:val="20"/>
      <w:szCs w:val="20"/>
    </w:rPr>
  </w:style>
  <w:style w:type="character" w:customStyle="1" w:styleId="hgkelc">
    <w:name w:val="hgkelc"/>
    <w:basedOn w:val="Policepardfaut"/>
    <w:rsid w:val="009B1638"/>
  </w:style>
  <w:style w:type="character" w:customStyle="1" w:styleId="jlqj4b">
    <w:name w:val="jlqj4b"/>
    <w:basedOn w:val="Policepardfaut"/>
    <w:rsid w:val="000E460C"/>
  </w:style>
  <w:style w:type="character" w:customStyle="1" w:styleId="CommentTextChar">
    <w:name w:val="Comment Text Char"/>
    <w:aliases w:val="Comment Text Char Char Char,Char2 Char Char Char Char"/>
    <w:basedOn w:val="Policepardfaut"/>
    <w:uiPriority w:val="99"/>
    <w:locked/>
    <w:rsid w:val="00E6163A"/>
  </w:style>
  <w:style w:type="character" w:customStyle="1" w:styleId="NotedebasdepageCar1">
    <w:name w:val="Note de bas de page Car1"/>
    <w:basedOn w:val="Policepardfaut"/>
    <w:uiPriority w:val="99"/>
    <w:semiHidden/>
    <w:rsid w:val="0091500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48912">
      <w:bodyDiv w:val="1"/>
      <w:marLeft w:val="0"/>
      <w:marRight w:val="0"/>
      <w:marTop w:val="0"/>
      <w:marBottom w:val="0"/>
      <w:divBdr>
        <w:top w:val="none" w:sz="0" w:space="0" w:color="auto"/>
        <w:left w:val="none" w:sz="0" w:space="0" w:color="auto"/>
        <w:bottom w:val="none" w:sz="0" w:space="0" w:color="auto"/>
        <w:right w:val="none" w:sz="0" w:space="0" w:color="auto"/>
      </w:divBdr>
    </w:div>
    <w:div w:id="50618202">
      <w:bodyDiv w:val="1"/>
      <w:marLeft w:val="0"/>
      <w:marRight w:val="0"/>
      <w:marTop w:val="0"/>
      <w:marBottom w:val="0"/>
      <w:divBdr>
        <w:top w:val="none" w:sz="0" w:space="0" w:color="auto"/>
        <w:left w:val="none" w:sz="0" w:space="0" w:color="auto"/>
        <w:bottom w:val="none" w:sz="0" w:space="0" w:color="auto"/>
        <w:right w:val="none" w:sz="0" w:space="0" w:color="auto"/>
      </w:divBdr>
    </w:div>
    <w:div w:id="83645598">
      <w:bodyDiv w:val="1"/>
      <w:marLeft w:val="0"/>
      <w:marRight w:val="0"/>
      <w:marTop w:val="0"/>
      <w:marBottom w:val="0"/>
      <w:divBdr>
        <w:top w:val="none" w:sz="0" w:space="0" w:color="auto"/>
        <w:left w:val="none" w:sz="0" w:space="0" w:color="auto"/>
        <w:bottom w:val="none" w:sz="0" w:space="0" w:color="auto"/>
        <w:right w:val="none" w:sz="0" w:space="0" w:color="auto"/>
      </w:divBdr>
    </w:div>
    <w:div w:id="94135448">
      <w:bodyDiv w:val="1"/>
      <w:marLeft w:val="0"/>
      <w:marRight w:val="0"/>
      <w:marTop w:val="0"/>
      <w:marBottom w:val="0"/>
      <w:divBdr>
        <w:top w:val="none" w:sz="0" w:space="0" w:color="auto"/>
        <w:left w:val="none" w:sz="0" w:space="0" w:color="auto"/>
        <w:bottom w:val="none" w:sz="0" w:space="0" w:color="auto"/>
        <w:right w:val="none" w:sz="0" w:space="0" w:color="auto"/>
      </w:divBdr>
    </w:div>
    <w:div w:id="195892032">
      <w:bodyDiv w:val="1"/>
      <w:marLeft w:val="0"/>
      <w:marRight w:val="0"/>
      <w:marTop w:val="0"/>
      <w:marBottom w:val="0"/>
      <w:divBdr>
        <w:top w:val="none" w:sz="0" w:space="0" w:color="auto"/>
        <w:left w:val="none" w:sz="0" w:space="0" w:color="auto"/>
        <w:bottom w:val="none" w:sz="0" w:space="0" w:color="auto"/>
        <w:right w:val="none" w:sz="0" w:space="0" w:color="auto"/>
      </w:divBdr>
    </w:div>
    <w:div w:id="245651573">
      <w:bodyDiv w:val="1"/>
      <w:marLeft w:val="0"/>
      <w:marRight w:val="0"/>
      <w:marTop w:val="0"/>
      <w:marBottom w:val="0"/>
      <w:divBdr>
        <w:top w:val="none" w:sz="0" w:space="0" w:color="auto"/>
        <w:left w:val="none" w:sz="0" w:space="0" w:color="auto"/>
        <w:bottom w:val="none" w:sz="0" w:space="0" w:color="auto"/>
        <w:right w:val="none" w:sz="0" w:space="0" w:color="auto"/>
      </w:divBdr>
    </w:div>
    <w:div w:id="313220008">
      <w:bodyDiv w:val="1"/>
      <w:marLeft w:val="0"/>
      <w:marRight w:val="0"/>
      <w:marTop w:val="0"/>
      <w:marBottom w:val="0"/>
      <w:divBdr>
        <w:top w:val="none" w:sz="0" w:space="0" w:color="auto"/>
        <w:left w:val="none" w:sz="0" w:space="0" w:color="auto"/>
        <w:bottom w:val="none" w:sz="0" w:space="0" w:color="auto"/>
        <w:right w:val="none" w:sz="0" w:space="0" w:color="auto"/>
      </w:divBdr>
    </w:div>
    <w:div w:id="358436866">
      <w:bodyDiv w:val="1"/>
      <w:marLeft w:val="0"/>
      <w:marRight w:val="0"/>
      <w:marTop w:val="0"/>
      <w:marBottom w:val="0"/>
      <w:divBdr>
        <w:top w:val="none" w:sz="0" w:space="0" w:color="auto"/>
        <w:left w:val="none" w:sz="0" w:space="0" w:color="auto"/>
        <w:bottom w:val="none" w:sz="0" w:space="0" w:color="auto"/>
        <w:right w:val="none" w:sz="0" w:space="0" w:color="auto"/>
      </w:divBdr>
    </w:div>
    <w:div w:id="422604220">
      <w:bodyDiv w:val="1"/>
      <w:marLeft w:val="0"/>
      <w:marRight w:val="0"/>
      <w:marTop w:val="0"/>
      <w:marBottom w:val="0"/>
      <w:divBdr>
        <w:top w:val="none" w:sz="0" w:space="0" w:color="auto"/>
        <w:left w:val="none" w:sz="0" w:space="0" w:color="auto"/>
        <w:bottom w:val="none" w:sz="0" w:space="0" w:color="auto"/>
        <w:right w:val="none" w:sz="0" w:space="0" w:color="auto"/>
      </w:divBdr>
    </w:div>
    <w:div w:id="445344947">
      <w:bodyDiv w:val="1"/>
      <w:marLeft w:val="0"/>
      <w:marRight w:val="0"/>
      <w:marTop w:val="0"/>
      <w:marBottom w:val="0"/>
      <w:divBdr>
        <w:top w:val="none" w:sz="0" w:space="0" w:color="auto"/>
        <w:left w:val="none" w:sz="0" w:space="0" w:color="auto"/>
        <w:bottom w:val="none" w:sz="0" w:space="0" w:color="auto"/>
        <w:right w:val="none" w:sz="0" w:space="0" w:color="auto"/>
      </w:divBdr>
    </w:div>
    <w:div w:id="589587231">
      <w:bodyDiv w:val="1"/>
      <w:marLeft w:val="0"/>
      <w:marRight w:val="0"/>
      <w:marTop w:val="0"/>
      <w:marBottom w:val="0"/>
      <w:divBdr>
        <w:top w:val="none" w:sz="0" w:space="0" w:color="auto"/>
        <w:left w:val="none" w:sz="0" w:space="0" w:color="auto"/>
        <w:bottom w:val="none" w:sz="0" w:space="0" w:color="auto"/>
        <w:right w:val="none" w:sz="0" w:space="0" w:color="auto"/>
      </w:divBdr>
    </w:div>
    <w:div w:id="640771510">
      <w:bodyDiv w:val="1"/>
      <w:marLeft w:val="0"/>
      <w:marRight w:val="0"/>
      <w:marTop w:val="0"/>
      <w:marBottom w:val="0"/>
      <w:divBdr>
        <w:top w:val="none" w:sz="0" w:space="0" w:color="auto"/>
        <w:left w:val="none" w:sz="0" w:space="0" w:color="auto"/>
        <w:bottom w:val="none" w:sz="0" w:space="0" w:color="auto"/>
        <w:right w:val="none" w:sz="0" w:space="0" w:color="auto"/>
      </w:divBdr>
    </w:div>
    <w:div w:id="807824082">
      <w:bodyDiv w:val="1"/>
      <w:marLeft w:val="0"/>
      <w:marRight w:val="0"/>
      <w:marTop w:val="0"/>
      <w:marBottom w:val="0"/>
      <w:divBdr>
        <w:top w:val="none" w:sz="0" w:space="0" w:color="auto"/>
        <w:left w:val="none" w:sz="0" w:space="0" w:color="auto"/>
        <w:bottom w:val="none" w:sz="0" w:space="0" w:color="auto"/>
        <w:right w:val="none" w:sz="0" w:space="0" w:color="auto"/>
      </w:divBdr>
    </w:div>
    <w:div w:id="1089614855">
      <w:bodyDiv w:val="1"/>
      <w:marLeft w:val="0"/>
      <w:marRight w:val="0"/>
      <w:marTop w:val="0"/>
      <w:marBottom w:val="0"/>
      <w:divBdr>
        <w:top w:val="none" w:sz="0" w:space="0" w:color="auto"/>
        <w:left w:val="none" w:sz="0" w:space="0" w:color="auto"/>
        <w:bottom w:val="none" w:sz="0" w:space="0" w:color="auto"/>
        <w:right w:val="none" w:sz="0" w:space="0" w:color="auto"/>
      </w:divBdr>
    </w:div>
    <w:div w:id="1099986056">
      <w:bodyDiv w:val="1"/>
      <w:marLeft w:val="0"/>
      <w:marRight w:val="0"/>
      <w:marTop w:val="0"/>
      <w:marBottom w:val="0"/>
      <w:divBdr>
        <w:top w:val="none" w:sz="0" w:space="0" w:color="auto"/>
        <w:left w:val="none" w:sz="0" w:space="0" w:color="auto"/>
        <w:bottom w:val="none" w:sz="0" w:space="0" w:color="auto"/>
        <w:right w:val="none" w:sz="0" w:space="0" w:color="auto"/>
      </w:divBdr>
    </w:div>
    <w:div w:id="1301425347">
      <w:bodyDiv w:val="1"/>
      <w:marLeft w:val="0"/>
      <w:marRight w:val="0"/>
      <w:marTop w:val="0"/>
      <w:marBottom w:val="0"/>
      <w:divBdr>
        <w:top w:val="none" w:sz="0" w:space="0" w:color="auto"/>
        <w:left w:val="none" w:sz="0" w:space="0" w:color="auto"/>
        <w:bottom w:val="none" w:sz="0" w:space="0" w:color="auto"/>
        <w:right w:val="none" w:sz="0" w:space="0" w:color="auto"/>
      </w:divBdr>
    </w:div>
    <w:div w:id="1314722023">
      <w:bodyDiv w:val="1"/>
      <w:marLeft w:val="0"/>
      <w:marRight w:val="0"/>
      <w:marTop w:val="0"/>
      <w:marBottom w:val="0"/>
      <w:divBdr>
        <w:top w:val="none" w:sz="0" w:space="0" w:color="auto"/>
        <w:left w:val="none" w:sz="0" w:space="0" w:color="auto"/>
        <w:bottom w:val="none" w:sz="0" w:space="0" w:color="auto"/>
        <w:right w:val="none" w:sz="0" w:space="0" w:color="auto"/>
      </w:divBdr>
    </w:div>
    <w:div w:id="1381322492">
      <w:bodyDiv w:val="1"/>
      <w:marLeft w:val="0"/>
      <w:marRight w:val="0"/>
      <w:marTop w:val="0"/>
      <w:marBottom w:val="0"/>
      <w:divBdr>
        <w:top w:val="none" w:sz="0" w:space="0" w:color="auto"/>
        <w:left w:val="none" w:sz="0" w:space="0" w:color="auto"/>
        <w:bottom w:val="none" w:sz="0" w:space="0" w:color="auto"/>
        <w:right w:val="none" w:sz="0" w:space="0" w:color="auto"/>
      </w:divBdr>
    </w:div>
    <w:div w:id="1407144531">
      <w:bodyDiv w:val="1"/>
      <w:marLeft w:val="0"/>
      <w:marRight w:val="0"/>
      <w:marTop w:val="0"/>
      <w:marBottom w:val="0"/>
      <w:divBdr>
        <w:top w:val="none" w:sz="0" w:space="0" w:color="auto"/>
        <w:left w:val="none" w:sz="0" w:space="0" w:color="auto"/>
        <w:bottom w:val="none" w:sz="0" w:space="0" w:color="auto"/>
        <w:right w:val="none" w:sz="0" w:space="0" w:color="auto"/>
      </w:divBdr>
    </w:div>
    <w:div w:id="1409810570">
      <w:bodyDiv w:val="1"/>
      <w:marLeft w:val="0"/>
      <w:marRight w:val="0"/>
      <w:marTop w:val="0"/>
      <w:marBottom w:val="0"/>
      <w:divBdr>
        <w:top w:val="none" w:sz="0" w:space="0" w:color="auto"/>
        <w:left w:val="none" w:sz="0" w:space="0" w:color="auto"/>
        <w:bottom w:val="none" w:sz="0" w:space="0" w:color="auto"/>
        <w:right w:val="none" w:sz="0" w:space="0" w:color="auto"/>
      </w:divBdr>
    </w:div>
    <w:div w:id="1530489436">
      <w:bodyDiv w:val="1"/>
      <w:marLeft w:val="0"/>
      <w:marRight w:val="0"/>
      <w:marTop w:val="0"/>
      <w:marBottom w:val="0"/>
      <w:divBdr>
        <w:top w:val="none" w:sz="0" w:space="0" w:color="auto"/>
        <w:left w:val="none" w:sz="0" w:space="0" w:color="auto"/>
        <w:bottom w:val="none" w:sz="0" w:space="0" w:color="auto"/>
        <w:right w:val="none" w:sz="0" w:space="0" w:color="auto"/>
      </w:divBdr>
    </w:div>
    <w:div w:id="1710447343">
      <w:bodyDiv w:val="1"/>
      <w:marLeft w:val="0"/>
      <w:marRight w:val="0"/>
      <w:marTop w:val="0"/>
      <w:marBottom w:val="0"/>
      <w:divBdr>
        <w:top w:val="none" w:sz="0" w:space="0" w:color="auto"/>
        <w:left w:val="none" w:sz="0" w:space="0" w:color="auto"/>
        <w:bottom w:val="none" w:sz="0" w:space="0" w:color="auto"/>
        <w:right w:val="none" w:sz="0" w:space="0" w:color="auto"/>
      </w:divBdr>
    </w:div>
    <w:div w:id="1813867645">
      <w:bodyDiv w:val="1"/>
      <w:marLeft w:val="0"/>
      <w:marRight w:val="0"/>
      <w:marTop w:val="0"/>
      <w:marBottom w:val="0"/>
      <w:divBdr>
        <w:top w:val="none" w:sz="0" w:space="0" w:color="auto"/>
        <w:left w:val="none" w:sz="0" w:space="0" w:color="auto"/>
        <w:bottom w:val="none" w:sz="0" w:space="0" w:color="auto"/>
        <w:right w:val="none" w:sz="0" w:space="0" w:color="auto"/>
      </w:divBdr>
    </w:div>
    <w:div w:id="1899438025">
      <w:bodyDiv w:val="1"/>
      <w:marLeft w:val="0"/>
      <w:marRight w:val="0"/>
      <w:marTop w:val="0"/>
      <w:marBottom w:val="0"/>
      <w:divBdr>
        <w:top w:val="none" w:sz="0" w:space="0" w:color="auto"/>
        <w:left w:val="none" w:sz="0" w:space="0" w:color="auto"/>
        <w:bottom w:val="none" w:sz="0" w:space="0" w:color="auto"/>
        <w:right w:val="none" w:sz="0" w:space="0" w:color="auto"/>
      </w:divBdr>
    </w:div>
    <w:div w:id="2057926661">
      <w:bodyDiv w:val="1"/>
      <w:marLeft w:val="0"/>
      <w:marRight w:val="0"/>
      <w:marTop w:val="0"/>
      <w:marBottom w:val="0"/>
      <w:divBdr>
        <w:top w:val="none" w:sz="0" w:space="0" w:color="auto"/>
        <w:left w:val="none" w:sz="0" w:space="0" w:color="auto"/>
        <w:bottom w:val="none" w:sz="0" w:space="0" w:color="auto"/>
        <w:right w:val="none" w:sz="0" w:space="0" w:color="auto"/>
      </w:divBdr>
    </w:div>
    <w:div w:id="2138983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https://leganet.cd/Legislation/Droit%20Public/DH/Loi.15.013.01.08.html" TargetMode="External"/><Relationship Id="rId42" Type="http://schemas.openxmlformats.org/officeDocument/2006/relationships/image" Target="media/image16.jpeg"/><Relationship Id="rId47" Type="http://schemas.openxmlformats.org/officeDocument/2006/relationships/image" Target="media/image20.jpeg"/><Relationship Id="rId63" Type="http://schemas.openxmlformats.org/officeDocument/2006/relationships/footer" Target="footer5.xml"/><Relationship Id="rId68" Type="http://schemas.openxmlformats.org/officeDocument/2006/relationships/image" Target="media/image35.jpeg"/><Relationship Id="rId84" Type="http://schemas.openxmlformats.org/officeDocument/2006/relationships/footer" Target="footer11.xml"/><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image" Target="media/image7.jpeg"/><Relationship Id="rId37" Type="http://schemas.openxmlformats.org/officeDocument/2006/relationships/image" Target="media/image12.png"/><Relationship Id="rId53" Type="http://schemas.openxmlformats.org/officeDocument/2006/relationships/header" Target="header6.xml"/><Relationship Id="rId58" Type="http://schemas.openxmlformats.org/officeDocument/2006/relationships/image" Target="media/image28.jpeg"/><Relationship Id="rId74" Type="http://schemas.openxmlformats.org/officeDocument/2006/relationships/image" Target="media/image41.png"/><Relationship Id="rId79" Type="http://schemas.openxmlformats.org/officeDocument/2006/relationships/footer" Target="footer9.xml"/><Relationship Id="rId5" Type="http://schemas.openxmlformats.org/officeDocument/2006/relationships/numbering" Target="numbering.xml"/><Relationship Id="rId19" Type="http://schemas.openxmlformats.org/officeDocument/2006/relationships/hyperlink" Target="file:///F:\EIES%20&amp;%20PAR%20DKC%20&amp;%20DKO\AGREE-P173506-EIES-Travaux%20d'&#233;lectrification%20des%20poches%20noires%20de%20DKC%20%20DKO-EWAG-ZA-rev-UCM-cl-jpn_YSM-clean_UCM-20%20NOV%2021.docx" TargetMode="External"/><Relationship Id="rId14" Type="http://schemas.openxmlformats.org/officeDocument/2006/relationships/image" Target="media/image3.jpeg"/><Relationship Id="rId22" Type="http://schemas.openxmlformats.org/officeDocument/2006/relationships/hyperlink" Target="https://leganet.cd/Legislation/Droit%20Public/DH/Loi.15.013.01.08.html" TargetMode="External"/><Relationship Id="rId27" Type="http://schemas.openxmlformats.org/officeDocument/2006/relationships/header" Target="header4.xml"/><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image" Target="media/image26.jpeg"/><Relationship Id="rId64" Type="http://schemas.openxmlformats.org/officeDocument/2006/relationships/footer" Target="footer6.xml"/><Relationship Id="rId69" Type="http://schemas.openxmlformats.org/officeDocument/2006/relationships/image" Target="media/image36.jpeg"/><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image" Target="media/image24.jpeg"/><Relationship Id="rId72" Type="http://schemas.openxmlformats.org/officeDocument/2006/relationships/image" Target="media/image39.jpeg"/><Relationship Id="rId80" Type="http://schemas.openxmlformats.org/officeDocument/2006/relationships/header" Target="header9.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upload.wikimedia.org/wikipedia/commons/thumb/1/1f/Coat_of_Arms_of_the_R&#233;publique_D&#233;mocratique_du_Congo.svg/140px-Coat_of_Arms_of_the_R&#233;publique_D&#233;mocratique_du_Congo.svg.png" TargetMode="External"/><Relationship Id="rId17" Type="http://schemas.openxmlformats.org/officeDocument/2006/relationships/footer" Target="footer1.xml"/><Relationship Id="rId25" Type="http://schemas.openxmlformats.org/officeDocument/2006/relationships/header" Target="header2.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hyperlink" Target="file:///F:\EIES%20&amp;%20PAR%20DKC%20&amp;%20DKO\AGREE-P173506-EIES-Travaux%20d'&#233;lectrification%20des%20poches%20noires%20de%20DKC%20%20DKO-EWAG-ZA-rev-UCM-cl-jpn_YSM-clean_UCM-20%20NOV%2021.docx" TargetMode="External"/><Relationship Id="rId41" Type="http://schemas.openxmlformats.org/officeDocument/2006/relationships/image" Target="media/image15.png"/><Relationship Id="rId54" Type="http://schemas.openxmlformats.org/officeDocument/2006/relationships/hyperlink" Target="http://pubdocs.worldbank.org/en/875401606251371090/Fact-Sheet-Citizen-%20Engagement-et-Consultations-des-parties%20prenantes-pendant-COVID-19.pdf" TargetMode="External"/><Relationship Id="rId62" Type="http://schemas.openxmlformats.org/officeDocument/2006/relationships/image" Target="media/image32.jpeg"/><Relationship Id="rId70" Type="http://schemas.openxmlformats.org/officeDocument/2006/relationships/image" Target="media/image37.jpeg"/><Relationship Id="rId75" Type="http://schemas.openxmlformats.org/officeDocument/2006/relationships/hyperlink" Target="http://www.congo-autrement.com" TargetMode="External"/><Relationship Id="rId83" Type="http://schemas.openxmlformats.org/officeDocument/2006/relationships/hyperlink" Target="mailto:info@ucmenergie-rdc.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leganet.cd/Legislation/Droit%20Public/DH/Loi.15.013.01.08.html" TargetMode="External"/><Relationship Id="rId28" Type="http://schemas.openxmlformats.org/officeDocument/2006/relationships/footer" Target="footer3.xml"/><Relationship Id="rId36" Type="http://schemas.openxmlformats.org/officeDocument/2006/relationships/image" Target="media/image11.jpeg"/><Relationship Id="rId49" Type="http://schemas.openxmlformats.org/officeDocument/2006/relationships/image" Target="media/image22.jpe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hyperlink" Target="https://esa.un.org/unpd/wup/" TargetMode="External"/><Relationship Id="rId44" Type="http://schemas.openxmlformats.org/officeDocument/2006/relationships/image" Target="media/image18.jpeg"/><Relationship Id="rId52" Type="http://schemas.openxmlformats.org/officeDocument/2006/relationships/header" Target="header5.xml"/><Relationship Id="rId60" Type="http://schemas.openxmlformats.org/officeDocument/2006/relationships/image" Target="media/image30.jpeg"/><Relationship Id="rId65" Type="http://schemas.openxmlformats.org/officeDocument/2006/relationships/footer" Target="footer7.xml"/><Relationship Id="rId73" Type="http://schemas.openxmlformats.org/officeDocument/2006/relationships/image" Target="media/image40.jpeg"/><Relationship Id="rId78" Type="http://schemas.openxmlformats.org/officeDocument/2006/relationships/footer" Target="footer8.xml"/><Relationship Id="rId81" Type="http://schemas.openxmlformats.org/officeDocument/2006/relationships/footer" Target="footer10.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oter" Target="footer2.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3.png"/><Relationship Id="rId55" Type="http://schemas.openxmlformats.org/officeDocument/2006/relationships/image" Target="media/image25.jpeg"/><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eader" Target="header1.xml"/><Relationship Id="rId40" Type="http://schemas.openxmlformats.org/officeDocument/2006/relationships/hyperlink" Target="https://www.iso.org/obp/ui/fr/" TargetMode="External"/><Relationship Id="rId45" Type="http://schemas.openxmlformats.org/officeDocument/2006/relationships/hyperlink" Target="https://www.lenntech.fr/periodique/elements/o.htm" TargetMode="External"/><Relationship Id="rId66" Type="http://schemas.openxmlformats.org/officeDocument/2006/relationships/image" Target="media/image33.jpeg"/><Relationship Id="rId61" Type="http://schemas.openxmlformats.org/officeDocument/2006/relationships/image" Target="media/image31.jpeg"/><Relationship Id="rId82" Type="http://schemas.openxmlformats.org/officeDocument/2006/relationships/image" Target="media/image42.png"/></Relationships>
</file>

<file path=word/_rels/footnotes.xml.rels><?xml version="1.0" encoding="UTF-8" standalone="yes"?>
<Relationships xmlns="http://schemas.openxmlformats.org/package/2006/relationships"><Relationship Id="rId3" Type="http://schemas.openxmlformats.org/officeDocument/2006/relationships/hyperlink" Target="http://pubdocs.worldbank.org/en/215761593706525660/ESF-GPN-SEASH-in-major-civil-works-French.pdf" TargetMode="External"/><Relationship Id="rId7" Type="http://schemas.openxmlformats.org/officeDocument/2006/relationships/hyperlink" Target="http://pubdocs.worldbank.org/en/215761593706525660/ESF-GPN-SEASH-in-major-civil-works-French.pdf" TargetMode="External"/><Relationship Id="rId2" Type="http://schemas.openxmlformats.org/officeDocument/2006/relationships/hyperlink" Target="http://pubdocs.worldbank.org/en/215761593706525660/ESF-GPN-SEASH-in-major-civil-works-French.pdf" TargetMode="External"/><Relationship Id="rId1" Type="http://schemas.openxmlformats.org/officeDocument/2006/relationships/hyperlink" Target="http://pubdocs.worldbank.org/en/215761593706525660/ESF-GPN-SEASH-in-major-civil-works-French.pdf" TargetMode="External"/><Relationship Id="rId6" Type="http://schemas.openxmlformats.org/officeDocument/2006/relationships/hyperlink" Target="http://www.lenntech.fr/periodique/elements/ni.htm" TargetMode="External"/><Relationship Id="rId5" Type="http://schemas.openxmlformats.org/officeDocument/2006/relationships/hyperlink" Target="https://www.lenntech.fr/periodique/elements/p.htm" TargetMode="External"/><Relationship Id="rId4" Type="http://schemas.openxmlformats.org/officeDocument/2006/relationships/hyperlink" Target="http://pubdocs.worldbank.org/en/215761593706525660/ESF-GPN-SEASH-in-major-civil-works-French.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2C549124220C41895749206506A3B5" ma:contentTypeVersion="13" ma:contentTypeDescription="Create a new document." ma:contentTypeScope="" ma:versionID="66b34fe667158f6e8ad3ad31b9e282a4">
  <xsd:schema xmlns:xsd="http://www.w3.org/2001/XMLSchema" xmlns:xs="http://www.w3.org/2001/XMLSchema" xmlns:p="http://schemas.microsoft.com/office/2006/metadata/properties" xmlns:ns3="f6e53ffa-f80a-4ee0-975f-3679301cac40" xmlns:ns4="68eddebc-41e7-4935-9845-c9984e2c6418" targetNamespace="http://schemas.microsoft.com/office/2006/metadata/properties" ma:root="true" ma:fieldsID="1c794957183e707e04ff01baa7fc7342" ns3:_="" ns4:_="">
    <xsd:import namespace="f6e53ffa-f80a-4ee0-975f-3679301cac40"/>
    <xsd:import namespace="68eddebc-41e7-4935-9845-c9984e2c64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53ffa-f80a-4ee0-975f-3679301cac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eddebc-41e7-4935-9845-c9984e2c641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DB418-D2F5-4ED7-A06E-AB6CF7E406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F9B2A71-7069-4DDD-8415-9B5BF6745B1E}">
  <ds:schemaRefs>
    <ds:schemaRef ds:uri="http://schemas.microsoft.com/sharepoint/v3/contenttype/forms"/>
  </ds:schemaRefs>
</ds:datastoreItem>
</file>

<file path=customXml/itemProps3.xml><?xml version="1.0" encoding="utf-8"?>
<ds:datastoreItem xmlns:ds="http://schemas.openxmlformats.org/officeDocument/2006/customXml" ds:itemID="{8E32FFB7-FB02-433D-B6D9-364B70327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53ffa-f80a-4ee0-975f-3679301cac40"/>
    <ds:schemaRef ds:uri="68eddebc-41e7-4935-9845-c9984e2c6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103D1-2C9A-47AD-B373-A39FB3013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173443</Words>
  <Characters>953938</Characters>
  <Application>Microsoft Office Word</Application>
  <DocSecurity>0</DocSecurity>
  <Lines>7949</Lines>
  <Paragraphs>2250</Paragraphs>
  <ScaleCrop>false</ScaleCrop>
  <HeadingPairs>
    <vt:vector size="6" baseType="variant">
      <vt:variant>
        <vt:lpstr>Titre</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HP</Company>
  <LinksUpToDate>false</LinksUpToDate>
  <CharactersWithSpaces>1125131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ZARE Adama</dc:creator>
  <cp:lastModifiedBy>MCN - Bureau</cp:lastModifiedBy>
  <cp:revision>2</cp:revision>
  <cp:lastPrinted>2021-08-26T07:36:00Z</cp:lastPrinted>
  <dcterms:created xsi:type="dcterms:W3CDTF">2022-06-01T14:00:00Z</dcterms:created>
  <dcterms:modified xsi:type="dcterms:W3CDTF">2022-06-01T14:00:00Z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0x010100CE2C549124220C41895749206506A3B5</vt:lpwstr>
  </property>
  <property fmtid="{D5CDD505-2E9C-101B-9397-08002B2CF9AE}" pid="3" name="NXPowerLiteLastOptimized">
    <vt:lpwstr>3330838</vt:lpwstr>
  </property>
  <property fmtid="{D5CDD505-2E9C-101B-9397-08002B2CF9AE}" pid="4" name="NXPowerLiteSettings">
    <vt:lpwstr>C7000400038000</vt:lpwstr>
  </property>
  <property fmtid="{D5CDD505-2E9C-101B-9397-08002B2CF9AE}" pid="5" name="NXPowerLiteVersion">
    <vt:lpwstr>S9.1.2</vt:lpwstr>
  </property>
</Properties>
</file>